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644B9" w:rsidP="00984BCE" w:rsidRDefault="009644B9" w14:paraId="5F63458B" w14:textId="77777777">
      <w:pPr>
        <w:spacing w:line="276" w:lineRule="auto"/>
        <w:jc w:val="both"/>
        <w:textAlignment w:val="baseline"/>
        <w:rPr>
          <w:rFonts w:ascii="Arial" w:hAnsi="Arial" w:cs="Arial"/>
          <w:b/>
          <w:color w:val="000000"/>
          <w:sz w:val="20"/>
          <w:szCs w:val="20"/>
          <w:lang w:val="es-MX" w:eastAsia="es-CO"/>
        </w:rPr>
      </w:pPr>
    </w:p>
    <w:p w:rsidRPr="00645A4B" w:rsidR="00984BCE" w:rsidP="00984BCE" w:rsidRDefault="00984BCE" w14:paraId="7C8FD53C" w14:textId="48B1930D">
      <w:pPr>
        <w:spacing w:line="276" w:lineRule="auto"/>
        <w:jc w:val="both"/>
        <w:textAlignment w:val="baseline"/>
        <w:rPr>
          <w:rFonts w:ascii="Arial" w:hAnsi="Arial" w:cs="Arial"/>
          <w:b/>
          <w:color w:val="000000"/>
          <w:sz w:val="20"/>
          <w:szCs w:val="20"/>
          <w:lang w:val="es-MX" w:eastAsia="es-CO"/>
        </w:rPr>
      </w:pPr>
      <w:r w:rsidRPr="00645A4B">
        <w:rPr>
          <w:rFonts w:ascii="Arial" w:hAnsi="Arial" w:cs="Arial"/>
          <w:b/>
          <w:color w:val="000000"/>
          <w:sz w:val="20"/>
          <w:szCs w:val="20"/>
          <w:lang w:val="es-MX" w:eastAsia="es-CO"/>
        </w:rPr>
        <w:t xml:space="preserve">CENTROS PROVINCIALES DE GESTIÓN AGROEMPRESARIAL – Naturaleza jurídica  </w:t>
      </w:r>
    </w:p>
    <w:p w:rsidRPr="00645A4B" w:rsidR="00984BCE" w:rsidP="00984BCE" w:rsidRDefault="00984BCE" w14:paraId="34F447B3" w14:textId="77777777">
      <w:pPr>
        <w:spacing w:line="276" w:lineRule="auto"/>
        <w:jc w:val="both"/>
        <w:textAlignment w:val="baseline"/>
        <w:rPr>
          <w:rFonts w:ascii="Arial" w:hAnsi="Arial" w:cs="Arial"/>
          <w:bCs/>
          <w:color w:val="000000"/>
          <w:sz w:val="20"/>
          <w:szCs w:val="20"/>
          <w:lang w:val="es-MX" w:eastAsia="es-CO"/>
        </w:rPr>
      </w:pPr>
    </w:p>
    <w:p w:rsidRPr="00F76425" w:rsidR="00984BCE" w:rsidP="00984BCE" w:rsidRDefault="00984BCE" w14:paraId="1A6F5CE5" w14:textId="77777777">
      <w:pPr>
        <w:spacing w:line="276" w:lineRule="auto"/>
        <w:jc w:val="both"/>
        <w:textAlignment w:val="baseline"/>
        <w:rPr>
          <w:rFonts w:ascii="Arial" w:hAnsi="Arial" w:cs="Arial"/>
          <w:bCs/>
          <w:color w:val="000000"/>
          <w:sz w:val="20"/>
          <w:szCs w:val="20"/>
          <w:lang w:val="es-MX" w:eastAsia="es-CO"/>
        </w:rPr>
      </w:pPr>
      <w:r w:rsidRPr="00645A4B">
        <w:rPr>
          <w:rFonts w:ascii="Arial" w:hAnsi="Arial" w:cs="Arial"/>
          <w:bCs/>
          <w:color w:val="000000"/>
          <w:sz w:val="20"/>
          <w:szCs w:val="20"/>
          <w:lang w:val="es-MX" w:eastAsia="es-CO"/>
        </w:rPr>
        <w:t>Los Centros Provinciales de Gestión Agroempresarial son los organismos para la coordinación, organización y gestión de los proyectos, negocios y planes generales de asistencia técnica directa rural, por encadenamientos productivos, que por su adecuada formulación garantizan el acceso a las entidades financieras, al capital de riesgo y a los instrumentos de política del Estado.</w:t>
      </w:r>
      <w:r>
        <w:rPr>
          <w:rFonts w:ascii="Arial" w:hAnsi="Arial" w:cs="Arial"/>
          <w:bCs/>
          <w:color w:val="000000"/>
          <w:sz w:val="20"/>
          <w:szCs w:val="20"/>
          <w:lang w:val="es-MX" w:eastAsia="es-CO"/>
        </w:rPr>
        <w:t xml:space="preserve"> </w:t>
      </w:r>
      <w:r w:rsidRPr="00645A4B">
        <w:rPr>
          <w:rFonts w:ascii="Arial" w:hAnsi="Arial" w:cs="Arial"/>
          <w:bCs/>
          <w:color w:val="000000"/>
          <w:sz w:val="20"/>
          <w:szCs w:val="20"/>
          <w:lang w:val="es-MX" w:eastAsia="es-CO"/>
        </w:rPr>
        <w:t>Ley 607 de 2000, que tenía por objeto garantizar la asistencia técnica directa rural agropecuaria, medio ambiental, asuntos de aguas y pesquera, que fue reglamentada parcialmente por el Decreto 2980 de 2004, compilado el Decreto 1071 de 2015, Decreto Único Reglamentario del Sector Administrativo Agropecuario, Pesquero y de Desarrollo Rural, estableció la posibilidad de crear Centros de Provinciales de Gestión Agroempresarial, mediante la asociación de municipios para el cumplimiento de la prestación del servicio obligatorio de asistencia técnica directa rural.</w:t>
      </w:r>
      <w:r>
        <w:rPr>
          <w:rFonts w:ascii="Arial" w:hAnsi="Arial" w:cs="Arial"/>
          <w:bCs/>
          <w:color w:val="000000"/>
          <w:sz w:val="20"/>
          <w:szCs w:val="20"/>
          <w:lang w:val="es-MX" w:eastAsia="es-CO"/>
        </w:rPr>
        <w:t xml:space="preserve"> </w:t>
      </w:r>
      <w:r w:rsidRPr="00645A4B">
        <w:rPr>
          <w:rFonts w:ascii="Arial" w:hAnsi="Arial" w:cs="Arial"/>
          <w:bCs/>
          <w:color w:val="000000"/>
          <w:sz w:val="20"/>
          <w:szCs w:val="20"/>
          <w:lang w:val="es-MX" w:eastAsia="es-CO"/>
        </w:rPr>
        <w:t>Conforme a lo anterior, los Centros Provinciales de Gestión Agroempresarial son asociaciones de municipios y como tal, conforme a lo dispuesto en el artículo 149 de la  Ley 136 de 1994, son entidades administrativas de derecho público y se encuentra incluidos en el concepto de entidades estatales previsto en el artículo 2 de la Ley 80 de 1993, en cuanto este prevé que se denominan entidades estatales todas las que específicamente se incluyen en su literal a); así como las demás personas jurídicas en las que exista participación pública mayoritaria,  cualquiera sea la denominación que ellas adopten, en todos los órdenes y niveles.</w:t>
      </w:r>
      <w:r w:rsidRPr="00F76425">
        <w:rPr>
          <w:rFonts w:ascii="Arial" w:hAnsi="Arial" w:eastAsia="Calibri" w:cs="Arial"/>
          <w:color w:val="000000"/>
          <w:sz w:val="22"/>
          <w:szCs w:val="22"/>
          <w:lang w:eastAsia="es-ES_tradnl"/>
        </w:rPr>
        <w:t xml:space="preserve"> </w:t>
      </w:r>
      <w:r>
        <w:rPr>
          <w:rFonts w:ascii="Arial" w:hAnsi="Arial" w:eastAsia="Calibri" w:cs="Arial"/>
          <w:color w:val="000000"/>
          <w:sz w:val="22"/>
          <w:szCs w:val="22"/>
          <w:lang w:eastAsia="es-ES_tradnl"/>
        </w:rPr>
        <w:t xml:space="preserve">Partiendo de esta naturaleza y por expresa voluntad del legislador están sometidos al Estatuto General de Contratación, contenido en las Leyes 80 de 1993, 1150 de 2007, las demás que las modifiquen, adicionen o complementen; así como a su respectiva reglamentación, es decir, el Decreto 1082 del 2015. </w:t>
      </w:r>
    </w:p>
    <w:p w:rsidRPr="00F76425" w:rsidR="00984BCE" w:rsidP="00984BCE" w:rsidRDefault="00984BCE" w14:paraId="3D4B7FE1" w14:textId="77777777">
      <w:pPr>
        <w:spacing w:line="276" w:lineRule="auto"/>
        <w:jc w:val="both"/>
        <w:textAlignment w:val="baseline"/>
        <w:rPr>
          <w:rFonts w:ascii="Arial" w:hAnsi="Arial" w:cs="Arial"/>
          <w:bCs/>
          <w:color w:val="000000"/>
          <w:sz w:val="20"/>
          <w:szCs w:val="20"/>
          <w:lang w:eastAsia="es-CO"/>
        </w:rPr>
      </w:pPr>
    </w:p>
    <w:p w:rsidRPr="00645A4B" w:rsidR="00984BCE" w:rsidP="00984BCE" w:rsidRDefault="00984BCE" w14:paraId="1475A78B" w14:textId="77777777">
      <w:pPr>
        <w:spacing w:line="276" w:lineRule="auto"/>
        <w:jc w:val="both"/>
        <w:textAlignment w:val="baseline"/>
        <w:rPr>
          <w:rFonts w:ascii="Arial" w:hAnsi="Arial" w:cs="Arial"/>
          <w:bCs/>
          <w:color w:val="000000"/>
          <w:sz w:val="20"/>
          <w:szCs w:val="20"/>
          <w:lang w:val="es-MX" w:eastAsia="es-CO"/>
        </w:rPr>
      </w:pPr>
    </w:p>
    <w:p w:rsidRPr="00645A4B" w:rsidR="00984BCE" w:rsidP="00984BCE" w:rsidRDefault="00984BCE" w14:paraId="00A939F2" w14:textId="77777777">
      <w:pPr>
        <w:spacing w:line="276" w:lineRule="auto"/>
        <w:jc w:val="both"/>
        <w:textAlignment w:val="baseline"/>
        <w:rPr>
          <w:rFonts w:ascii="Arial" w:hAnsi="Arial" w:cs="Arial"/>
          <w:b/>
          <w:color w:val="000000"/>
          <w:sz w:val="20"/>
          <w:szCs w:val="20"/>
          <w:lang w:val="es-MX" w:eastAsia="es-CO"/>
        </w:rPr>
      </w:pPr>
      <w:r w:rsidRPr="00645A4B">
        <w:rPr>
          <w:rFonts w:ascii="Arial" w:hAnsi="Arial" w:cs="Arial"/>
          <w:b/>
          <w:color w:val="000000"/>
          <w:sz w:val="20"/>
          <w:szCs w:val="20"/>
          <w:lang w:val="es-MX" w:eastAsia="es-CO"/>
        </w:rPr>
        <w:t>CENTROS PROVINCIALES DE GESTIÓN AGROEMPRESARIAL – Régimen jurídico Contractual – Estatuto General de Contratación de la administración Pública</w:t>
      </w:r>
    </w:p>
    <w:p w:rsidRPr="00645A4B" w:rsidR="00984BCE" w:rsidP="00984BCE" w:rsidRDefault="00984BCE" w14:paraId="7720A019" w14:textId="77777777">
      <w:pPr>
        <w:spacing w:line="276" w:lineRule="auto"/>
        <w:jc w:val="both"/>
        <w:textAlignment w:val="baseline"/>
        <w:rPr>
          <w:rFonts w:ascii="Arial" w:hAnsi="Arial" w:cs="Arial"/>
          <w:b/>
          <w:color w:val="000000"/>
          <w:sz w:val="20"/>
          <w:szCs w:val="20"/>
          <w:lang w:val="es-MX" w:eastAsia="es-CO"/>
        </w:rPr>
      </w:pPr>
    </w:p>
    <w:p w:rsidRPr="00645A4B" w:rsidR="00984BCE" w:rsidP="00984BCE" w:rsidRDefault="00984BCE" w14:paraId="39AADF36" w14:textId="77777777">
      <w:pPr>
        <w:spacing w:line="276" w:lineRule="auto"/>
        <w:jc w:val="both"/>
        <w:textAlignment w:val="baseline"/>
        <w:rPr>
          <w:rFonts w:ascii="Arial" w:hAnsi="Arial" w:cs="Arial"/>
          <w:bCs/>
          <w:color w:val="000000"/>
          <w:sz w:val="20"/>
          <w:szCs w:val="20"/>
          <w:lang w:val="es-MX" w:eastAsia="es-CO"/>
        </w:rPr>
      </w:pPr>
      <w:r w:rsidRPr="00645A4B">
        <w:rPr>
          <w:rFonts w:ascii="Arial" w:hAnsi="Arial" w:cs="Arial"/>
          <w:bCs/>
          <w:color w:val="000000"/>
          <w:sz w:val="20"/>
          <w:szCs w:val="20"/>
          <w:lang w:val="es-MX" w:eastAsia="es-CO"/>
        </w:rPr>
        <w:t>Posteriormente, el artículo 40 de la  Ley 1876 de 2017 estableció la posibilidad de que los municipios se asocien entre sí; así como la de que autoricen la asociación de las Unidades Municipales de Asistencia Técnica Agropecuaria – Umata para atender las demandas identificadas por provincia, cuenca, subregión o cualquier otro tipo de organización territorial dentro de un departamento, e incluso en relación con otros departamentos. Así mismo, el mencionado artículo estableció que los Centros Provinciales de Gestión Agroempresarial se sujetarán a las normas sobre contratación administrativa.</w:t>
      </w:r>
      <w:r>
        <w:rPr>
          <w:rFonts w:ascii="Arial" w:hAnsi="Arial" w:cs="Arial"/>
          <w:bCs/>
          <w:color w:val="000000"/>
          <w:sz w:val="20"/>
          <w:szCs w:val="20"/>
          <w:lang w:val="es-MX" w:eastAsia="es-CO"/>
        </w:rPr>
        <w:t xml:space="preserve"> </w:t>
      </w:r>
      <w:r w:rsidRPr="00645A4B">
        <w:rPr>
          <w:rFonts w:ascii="Arial" w:hAnsi="Arial" w:cs="Arial"/>
          <w:bCs/>
          <w:color w:val="000000"/>
          <w:sz w:val="20"/>
          <w:szCs w:val="20"/>
          <w:lang w:val="es-MX" w:eastAsia="es-CO"/>
        </w:rPr>
        <w:t>[...] Ahora, la Ley 80 de 1993, Estatuto General de Contratación de la Administración Pública, establece las reglas y principios que rigen los contratos celebrados por las entidades estatales, así como cuáles son las entidades estatales, que en todo caso serán las que allí se describen, y de manera general, los organismos o dependencias del Estado a los que la ley otorgue capacidad para celebrar contratos, como es el caso de los Centros Provinciales de Gestión, pues el inciso 2 del artículo 2.4.3.1.2 del Decreto 1071 de 2015, y el artículo 40 de la Ley 1876 de 2017 establecen que los contratos que celebren los centros estarán sujetos a la aplicación de las normas sobre contratación administrativa.</w:t>
      </w:r>
    </w:p>
    <w:p w:rsidRPr="00645A4B" w:rsidR="00984BCE" w:rsidP="00984BCE" w:rsidRDefault="00984BCE" w14:paraId="6B41F0DB" w14:textId="77777777">
      <w:pPr>
        <w:spacing w:line="276" w:lineRule="auto"/>
        <w:jc w:val="both"/>
        <w:textAlignment w:val="baseline"/>
        <w:rPr>
          <w:rFonts w:ascii="Arial" w:hAnsi="Arial" w:cs="Arial"/>
          <w:bCs/>
          <w:color w:val="000000"/>
          <w:sz w:val="20"/>
          <w:szCs w:val="20"/>
          <w:lang w:val="es-MX" w:eastAsia="es-CO"/>
        </w:rPr>
      </w:pPr>
    </w:p>
    <w:p w:rsidRPr="00645A4B" w:rsidR="00984BCE" w:rsidP="00984BCE" w:rsidRDefault="00984BCE" w14:paraId="5BC20462" w14:textId="77777777">
      <w:pPr>
        <w:spacing w:line="276" w:lineRule="auto"/>
        <w:jc w:val="both"/>
        <w:textAlignment w:val="baseline"/>
        <w:rPr>
          <w:rFonts w:ascii="Arial" w:hAnsi="Arial" w:cs="Arial"/>
          <w:b/>
          <w:color w:val="000000"/>
          <w:sz w:val="20"/>
          <w:szCs w:val="20"/>
          <w:lang w:val="es-MX" w:eastAsia="es-CO"/>
        </w:rPr>
      </w:pPr>
      <w:r w:rsidRPr="00645A4B">
        <w:rPr>
          <w:rFonts w:ascii="Arial" w:hAnsi="Arial" w:cs="Arial"/>
          <w:b/>
          <w:color w:val="000000"/>
          <w:sz w:val="20"/>
          <w:szCs w:val="20"/>
          <w:lang w:val="es-MX" w:eastAsia="es-CO"/>
        </w:rPr>
        <w:t>PRINCIPIO DE PUBLICIDAD – Democracia – Estado social de Derecho – Fundamento axiológico</w:t>
      </w:r>
    </w:p>
    <w:p w:rsidRPr="00645A4B" w:rsidR="00984BCE" w:rsidP="00984BCE" w:rsidRDefault="00984BCE" w14:paraId="3D2F0323" w14:textId="77777777">
      <w:pPr>
        <w:spacing w:line="276" w:lineRule="auto"/>
        <w:jc w:val="both"/>
        <w:textAlignment w:val="baseline"/>
        <w:rPr>
          <w:rFonts w:ascii="Arial" w:hAnsi="Arial" w:cs="Arial"/>
          <w:bCs/>
          <w:color w:val="000000"/>
          <w:sz w:val="20"/>
          <w:szCs w:val="20"/>
          <w:lang w:val="es-MX" w:eastAsia="es-CO"/>
        </w:rPr>
      </w:pPr>
    </w:p>
    <w:p w:rsidRPr="00645A4B" w:rsidR="00984BCE" w:rsidP="00984BCE" w:rsidRDefault="00984BCE" w14:paraId="4F981FE5" w14:textId="77777777">
      <w:pPr>
        <w:spacing w:line="276" w:lineRule="auto"/>
        <w:jc w:val="both"/>
        <w:textAlignment w:val="baseline"/>
        <w:rPr>
          <w:rFonts w:ascii="Arial" w:hAnsi="Arial" w:cs="Arial"/>
          <w:bCs/>
          <w:color w:val="000000"/>
          <w:sz w:val="20"/>
          <w:szCs w:val="20"/>
          <w:lang w:val="es-MX" w:eastAsia="es-CO"/>
        </w:rPr>
      </w:pPr>
      <w:r w:rsidRPr="00645A4B">
        <w:rPr>
          <w:rFonts w:ascii="Arial" w:hAnsi="Arial" w:cs="Arial"/>
          <w:bCs/>
          <w:color w:val="000000"/>
          <w:sz w:val="20"/>
          <w:szCs w:val="20"/>
          <w:lang w:val="es-MX" w:eastAsia="es-CO"/>
        </w:rPr>
        <w:t xml:space="preserve">Uno de los postulados más importantes de un Estado social y democrático de derecho es el principio de publicidad,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 El secreto generalizado en el ejercicio del poder político constituye, por el contrario, una negación de la democracia, porque dificulta la supervisión de las autoridades por parte de la sociedad civil y establece una barrera para la participación ciudadana. 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w:t>
      </w:r>
    </w:p>
    <w:p w:rsidRPr="00645A4B" w:rsidR="00984BCE" w:rsidP="00984BCE" w:rsidRDefault="00984BCE" w14:paraId="1A0C674A" w14:textId="77777777">
      <w:pPr>
        <w:spacing w:line="276" w:lineRule="auto"/>
        <w:jc w:val="both"/>
        <w:textAlignment w:val="baseline"/>
        <w:rPr>
          <w:rFonts w:ascii="Arial" w:hAnsi="Arial" w:cs="Arial"/>
          <w:bCs/>
          <w:color w:val="000000"/>
          <w:sz w:val="20"/>
          <w:szCs w:val="20"/>
          <w:lang w:val="es-MX" w:eastAsia="es-CO"/>
        </w:rPr>
      </w:pPr>
    </w:p>
    <w:p w:rsidRPr="00645A4B" w:rsidR="00984BCE" w:rsidP="00984BCE" w:rsidRDefault="00984BCE" w14:paraId="68E34637" w14:textId="77777777">
      <w:pPr>
        <w:spacing w:line="276" w:lineRule="auto"/>
        <w:jc w:val="both"/>
        <w:textAlignment w:val="baseline"/>
        <w:rPr>
          <w:rFonts w:ascii="Arial" w:hAnsi="Arial" w:cs="Arial"/>
          <w:b/>
          <w:color w:val="000000"/>
          <w:sz w:val="20"/>
          <w:szCs w:val="20"/>
          <w:lang w:val="es-MX" w:eastAsia="es-CO"/>
        </w:rPr>
      </w:pPr>
      <w:r w:rsidRPr="00645A4B">
        <w:rPr>
          <w:rFonts w:ascii="Arial" w:hAnsi="Arial" w:cs="Arial"/>
          <w:b/>
          <w:color w:val="000000"/>
          <w:sz w:val="20"/>
          <w:szCs w:val="20"/>
          <w:lang w:val="es-MX" w:eastAsia="es-CO"/>
        </w:rPr>
        <w:t>PRINCIPIO DE PUBLICIDAD-El Sistema Electrónico de Contratación Pública</w:t>
      </w:r>
    </w:p>
    <w:p w:rsidRPr="00645A4B" w:rsidR="00984BCE" w:rsidP="00984BCE" w:rsidRDefault="00984BCE" w14:paraId="72099EFE" w14:textId="77777777">
      <w:pPr>
        <w:spacing w:line="276" w:lineRule="auto"/>
        <w:jc w:val="both"/>
        <w:textAlignment w:val="baseline"/>
        <w:rPr>
          <w:rFonts w:ascii="Arial" w:hAnsi="Arial" w:cs="Arial"/>
          <w:bCs/>
          <w:color w:val="000000"/>
          <w:sz w:val="20"/>
          <w:szCs w:val="20"/>
          <w:lang w:val="es-MX" w:eastAsia="es-CO"/>
        </w:rPr>
      </w:pPr>
    </w:p>
    <w:p w:rsidRPr="00645A4B" w:rsidR="00984BCE" w:rsidP="00984BCE" w:rsidRDefault="00984BCE" w14:paraId="76256F81" w14:textId="77777777">
      <w:pPr>
        <w:spacing w:line="276" w:lineRule="auto"/>
        <w:jc w:val="both"/>
        <w:textAlignment w:val="baseline"/>
        <w:rPr>
          <w:rFonts w:ascii="Arial" w:hAnsi="Arial" w:cs="Arial"/>
          <w:bCs/>
          <w:color w:val="000000"/>
          <w:sz w:val="20"/>
          <w:szCs w:val="20"/>
          <w:lang w:val="es-MX" w:eastAsia="es-CO"/>
        </w:rPr>
      </w:pPr>
      <w:r w:rsidRPr="00645A4B">
        <w:rPr>
          <w:rFonts w:ascii="Arial" w:hAnsi="Arial" w:cs="Arial"/>
          <w:bCs/>
          <w:color w:val="000000"/>
          <w:sz w:val="20"/>
          <w:szCs w:val="20"/>
          <w:lang w:val="es-MX" w:eastAsia="es-CO"/>
        </w:rPr>
        <w:t>[…]El principio de publicidad impone a las autoridades administrativas el deber de dar a conocer sus actos, contratos y decisiones, para que se divulguen y eventualmente se controlen dichas actuaciones. Es por eso que,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 . 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legales. Y el principio de buena fe hace referencia al deber de todo sujeto obligado de cumplir con las obligaciones derivadas del derecho de acceso a la información pública con motivación honesta, leal y desprovista de cualquier intención dolosa o culposa .</w:t>
      </w:r>
      <w:r>
        <w:rPr>
          <w:rFonts w:ascii="Arial" w:hAnsi="Arial" w:cs="Arial"/>
          <w:bCs/>
          <w:color w:val="000000"/>
          <w:sz w:val="20"/>
          <w:szCs w:val="20"/>
          <w:lang w:val="es-MX" w:eastAsia="es-CO"/>
        </w:rPr>
        <w:t xml:space="preserve"> </w:t>
      </w:r>
      <w:r w:rsidRPr="00645A4B">
        <w:rPr>
          <w:rFonts w:ascii="Arial" w:hAnsi="Arial" w:cs="Arial"/>
          <w:bCs/>
          <w:color w:val="000000"/>
          <w:sz w:val="20"/>
          <w:szCs w:val="20"/>
          <w:lang w:val="es-MX" w:eastAsia="es-CO"/>
        </w:rPr>
        <w:t xml:space="preserve">La anterior obligación fue desarrollada por el Decreto Único Reglamentario 1081 de 2015 , el cual dispuso que la publicación de la información contractual de los sujetos obligados, que contratan con cargo a recursos públicos, debe hacerse en el Sistema Electrónico para la Contratación Pública −SECOP–. </w:t>
      </w:r>
      <w:r>
        <w:rPr>
          <w:rFonts w:ascii="Arial" w:hAnsi="Arial" w:cs="Arial"/>
          <w:bCs/>
          <w:color w:val="000000"/>
          <w:sz w:val="20"/>
          <w:szCs w:val="20"/>
          <w:lang w:val="es-MX" w:eastAsia="es-CO"/>
        </w:rPr>
        <w:t xml:space="preserve"> </w:t>
      </w:r>
      <w:r w:rsidRPr="00645A4B">
        <w:rPr>
          <w:rFonts w:ascii="Arial" w:hAnsi="Arial" w:cs="Arial"/>
          <w:bCs/>
          <w:color w:val="000000"/>
          <w:sz w:val="20"/>
          <w:szCs w:val="20"/>
          <w:lang w:val="es-MX" w:eastAsia="es-CO"/>
        </w:rPr>
        <w:t xml:space="preserve">[…] Así las cosas, tanto en virtud de lo previsto en la Ley 1150 de 2007 y en el Decreto 1082 del 2015, como de lo dispuesto en la Ley 1712 del 2014 y el Decreto 1081 </w:t>
      </w:r>
      <w:r w:rsidRPr="00645A4B">
        <w:rPr>
          <w:rFonts w:ascii="Arial" w:hAnsi="Arial" w:cs="Arial"/>
          <w:bCs/>
          <w:color w:val="000000"/>
          <w:sz w:val="20"/>
          <w:szCs w:val="20"/>
          <w:lang w:val="es-MX" w:eastAsia="es-CO"/>
        </w:rPr>
        <w:lastRenderedPageBreak/>
        <w:t xml:space="preserve">de 2015, los Centros Provinciales de Gestión Agroempresarial en tanto entidad estatal, cometida al Estatuto General de la Contratación Pública están obligados a publicar los documentos que producen en su gestión contractual en la plataforma SECOP. </w:t>
      </w:r>
    </w:p>
    <w:p w:rsidRPr="00645A4B" w:rsidR="00645A4B" w:rsidP="00645A4B" w:rsidRDefault="00645A4B" w14:paraId="49525CD6" w14:textId="77777777">
      <w:pPr>
        <w:spacing w:line="276" w:lineRule="auto"/>
        <w:jc w:val="both"/>
        <w:textAlignment w:val="baseline"/>
        <w:rPr>
          <w:rFonts w:ascii="Arial" w:hAnsi="Arial" w:cs="Arial"/>
          <w:bCs/>
          <w:color w:val="000000"/>
          <w:sz w:val="20"/>
          <w:szCs w:val="20"/>
          <w:lang w:val="es-MX" w:eastAsia="es-CO"/>
        </w:rPr>
      </w:pPr>
    </w:p>
    <w:p w:rsidRPr="00645A4B" w:rsidR="00645A4B" w:rsidP="00645A4B" w:rsidRDefault="00645A4B" w14:paraId="77C06C4C" w14:textId="77777777">
      <w:pPr>
        <w:spacing w:line="276" w:lineRule="auto"/>
        <w:jc w:val="both"/>
        <w:textAlignment w:val="baseline"/>
        <w:rPr>
          <w:rFonts w:ascii="Arial" w:hAnsi="Arial" w:cs="Arial"/>
          <w:bCs/>
          <w:color w:val="000000"/>
          <w:sz w:val="20"/>
          <w:szCs w:val="20"/>
          <w:lang w:val="es-MX" w:eastAsia="es-CO"/>
        </w:rPr>
      </w:pPr>
    </w:p>
    <w:p w:rsidRPr="00645A4B" w:rsidR="00645A4B" w:rsidP="00645A4B" w:rsidRDefault="00645A4B" w14:paraId="2C078D02" w14:textId="77777777">
      <w:pPr>
        <w:spacing w:line="276" w:lineRule="auto"/>
        <w:jc w:val="both"/>
        <w:textAlignment w:val="baseline"/>
        <w:rPr>
          <w:rFonts w:ascii="Arial" w:hAnsi="Arial" w:cs="Arial"/>
          <w:bCs/>
          <w:color w:val="000000"/>
          <w:sz w:val="20"/>
          <w:szCs w:val="20"/>
          <w:lang w:val="es-MX" w:eastAsia="es-CO"/>
        </w:rPr>
      </w:pPr>
    </w:p>
    <w:p w:rsidRPr="00645A4B" w:rsidR="00645A4B" w:rsidP="00645A4B" w:rsidRDefault="00645A4B" w14:paraId="38B940B2" w14:textId="77777777">
      <w:pPr>
        <w:spacing w:line="276" w:lineRule="auto"/>
        <w:jc w:val="both"/>
        <w:textAlignment w:val="baseline"/>
        <w:rPr>
          <w:rFonts w:ascii="Arial" w:hAnsi="Arial" w:cs="Arial"/>
          <w:bCs/>
          <w:color w:val="000000"/>
          <w:sz w:val="20"/>
          <w:szCs w:val="20"/>
          <w:lang w:val="es-MX" w:eastAsia="es-CO"/>
        </w:rPr>
      </w:pPr>
    </w:p>
    <w:p w:rsidR="00645A4B" w:rsidP="00645A4B" w:rsidRDefault="00645A4B" w14:paraId="35F3C4A1" w14:textId="2DE1E16F">
      <w:pPr>
        <w:spacing w:line="276" w:lineRule="auto"/>
        <w:jc w:val="both"/>
        <w:textAlignment w:val="baseline"/>
        <w:rPr>
          <w:rFonts w:ascii="Arial" w:hAnsi="Arial" w:cs="Arial"/>
          <w:bCs/>
          <w:color w:val="000000"/>
          <w:sz w:val="20"/>
          <w:szCs w:val="20"/>
          <w:lang w:val="es-MX" w:eastAsia="es-CO"/>
        </w:rPr>
      </w:pPr>
    </w:p>
    <w:p w:rsidRPr="00645A4B" w:rsidR="00645A4B" w:rsidP="00645A4B" w:rsidRDefault="00645A4B" w14:paraId="4D921845" w14:textId="77777777">
      <w:pPr>
        <w:spacing w:line="276" w:lineRule="auto"/>
        <w:jc w:val="both"/>
        <w:textAlignment w:val="baseline"/>
        <w:rPr>
          <w:rFonts w:ascii="Arial" w:hAnsi="Arial" w:cs="Arial"/>
          <w:bCs/>
          <w:color w:val="000000"/>
          <w:sz w:val="20"/>
          <w:szCs w:val="20"/>
          <w:lang w:val="es-MX" w:eastAsia="es-CO"/>
        </w:rPr>
      </w:pPr>
    </w:p>
    <w:p w:rsidRPr="00645A4B" w:rsidR="00645A4B" w:rsidP="00645A4B" w:rsidRDefault="00645A4B" w14:paraId="63CB37C4" w14:textId="77777777">
      <w:pPr>
        <w:spacing w:line="276" w:lineRule="auto"/>
        <w:jc w:val="both"/>
        <w:textAlignment w:val="baseline"/>
        <w:rPr>
          <w:rFonts w:ascii="Arial" w:hAnsi="Arial" w:cs="Arial"/>
          <w:bCs/>
          <w:color w:val="000000"/>
          <w:sz w:val="20"/>
          <w:szCs w:val="20"/>
          <w:lang w:val="es-MX" w:eastAsia="es-CO"/>
        </w:rPr>
      </w:pPr>
    </w:p>
    <w:p w:rsidRPr="00645A4B" w:rsidR="00645A4B" w:rsidP="00645A4B" w:rsidRDefault="00645A4B" w14:paraId="06274DE5" w14:textId="77777777">
      <w:pPr>
        <w:spacing w:line="276" w:lineRule="auto"/>
        <w:jc w:val="both"/>
        <w:textAlignment w:val="baseline"/>
        <w:rPr>
          <w:rFonts w:ascii="Arial" w:hAnsi="Arial" w:cs="Arial"/>
          <w:bCs/>
          <w:color w:val="000000"/>
          <w:sz w:val="20"/>
          <w:szCs w:val="20"/>
          <w:lang w:val="es-MX" w:eastAsia="es-CO"/>
        </w:rPr>
      </w:pPr>
    </w:p>
    <w:p w:rsidRPr="00645A4B" w:rsidR="00645A4B" w:rsidP="00645A4B" w:rsidRDefault="00645A4B" w14:paraId="2CE40F0D" w14:textId="77777777">
      <w:pPr>
        <w:spacing w:line="276" w:lineRule="auto"/>
        <w:jc w:val="both"/>
        <w:textAlignment w:val="baseline"/>
        <w:rPr>
          <w:rFonts w:ascii="Arial" w:hAnsi="Arial" w:cs="Arial"/>
          <w:bCs/>
          <w:color w:val="000000"/>
          <w:sz w:val="20"/>
          <w:szCs w:val="20"/>
          <w:lang w:val="es-MX" w:eastAsia="es-CO"/>
        </w:rPr>
      </w:pPr>
    </w:p>
    <w:p w:rsidRPr="00645A4B" w:rsidR="00645A4B" w:rsidP="00645A4B" w:rsidRDefault="00645A4B" w14:paraId="44223CCA" w14:textId="77777777">
      <w:pPr>
        <w:spacing w:line="276" w:lineRule="auto"/>
        <w:jc w:val="both"/>
        <w:textAlignment w:val="baseline"/>
        <w:rPr>
          <w:rFonts w:ascii="Arial" w:hAnsi="Arial" w:cs="Arial"/>
          <w:bCs/>
          <w:color w:val="000000"/>
          <w:sz w:val="20"/>
          <w:szCs w:val="20"/>
          <w:lang w:val="es-MX" w:eastAsia="es-CO"/>
        </w:rPr>
      </w:pPr>
    </w:p>
    <w:p w:rsidRPr="00645A4B" w:rsidR="00645A4B" w:rsidP="00645A4B" w:rsidRDefault="00645A4B" w14:paraId="7082EDC4" w14:textId="77777777">
      <w:pPr>
        <w:spacing w:line="276" w:lineRule="auto"/>
        <w:jc w:val="both"/>
        <w:textAlignment w:val="baseline"/>
        <w:rPr>
          <w:rFonts w:ascii="Arial" w:hAnsi="Arial" w:cs="Arial"/>
          <w:bCs/>
          <w:color w:val="000000"/>
          <w:sz w:val="20"/>
          <w:szCs w:val="20"/>
          <w:lang w:val="es-MX" w:eastAsia="es-CO"/>
        </w:rPr>
      </w:pPr>
    </w:p>
    <w:p w:rsidRPr="00645A4B" w:rsidR="00645A4B" w:rsidP="00645A4B" w:rsidRDefault="00645A4B" w14:paraId="69E876FB" w14:textId="77777777">
      <w:pPr>
        <w:spacing w:line="276" w:lineRule="auto"/>
        <w:jc w:val="both"/>
        <w:textAlignment w:val="baseline"/>
        <w:rPr>
          <w:rFonts w:ascii="Arial" w:hAnsi="Arial" w:cs="Arial"/>
          <w:bCs/>
          <w:color w:val="000000"/>
          <w:sz w:val="20"/>
          <w:szCs w:val="20"/>
          <w:lang w:val="es-MX" w:eastAsia="es-CO"/>
        </w:rPr>
      </w:pPr>
    </w:p>
    <w:p w:rsidRPr="00645A4B" w:rsidR="00645A4B" w:rsidP="00645A4B" w:rsidRDefault="00645A4B" w14:paraId="162961EA" w14:textId="77777777">
      <w:pPr>
        <w:spacing w:line="276" w:lineRule="auto"/>
        <w:jc w:val="both"/>
        <w:textAlignment w:val="baseline"/>
        <w:rPr>
          <w:rFonts w:ascii="Arial" w:hAnsi="Arial" w:cs="Arial"/>
          <w:bCs/>
          <w:color w:val="000000"/>
          <w:sz w:val="20"/>
          <w:szCs w:val="20"/>
          <w:lang w:val="es-MX" w:eastAsia="es-CO"/>
        </w:rPr>
      </w:pPr>
    </w:p>
    <w:p w:rsidRPr="00645A4B" w:rsidR="00645A4B" w:rsidP="00645A4B" w:rsidRDefault="00645A4B" w14:paraId="4C9E029B" w14:textId="77777777">
      <w:pPr>
        <w:spacing w:line="276" w:lineRule="auto"/>
        <w:jc w:val="both"/>
        <w:textAlignment w:val="baseline"/>
        <w:rPr>
          <w:rFonts w:ascii="Arial" w:hAnsi="Arial" w:cs="Arial"/>
          <w:bCs/>
          <w:color w:val="000000"/>
          <w:sz w:val="20"/>
          <w:szCs w:val="20"/>
          <w:lang w:val="es-MX" w:eastAsia="es-CO"/>
        </w:rPr>
      </w:pPr>
    </w:p>
    <w:p w:rsidRPr="00645A4B" w:rsidR="00645A4B" w:rsidP="00645A4B" w:rsidRDefault="00645A4B" w14:paraId="64D6E1C7" w14:textId="77777777">
      <w:pPr>
        <w:spacing w:line="276" w:lineRule="auto"/>
        <w:jc w:val="both"/>
        <w:textAlignment w:val="baseline"/>
        <w:rPr>
          <w:rFonts w:ascii="Arial" w:hAnsi="Arial" w:cs="Arial"/>
          <w:bCs/>
          <w:color w:val="000000"/>
          <w:sz w:val="20"/>
          <w:szCs w:val="20"/>
          <w:lang w:val="es-MX" w:eastAsia="es-CO"/>
        </w:rPr>
      </w:pPr>
    </w:p>
    <w:p w:rsidRPr="00645A4B" w:rsidR="00645A4B" w:rsidP="00645A4B" w:rsidRDefault="00645A4B" w14:paraId="22A07798" w14:textId="77777777">
      <w:pPr>
        <w:spacing w:line="276" w:lineRule="auto"/>
        <w:jc w:val="both"/>
        <w:textAlignment w:val="baseline"/>
        <w:rPr>
          <w:rFonts w:ascii="Arial" w:hAnsi="Arial" w:cs="Arial"/>
          <w:bCs/>
          <w:color w:val="000000"/>
          <w:sz w:val="20"/>
          <w:szCs w:val="20"/>
          <w:lang w:val="es-MX" w:eastAsia="es-CO"/>
        </w:rPr>
      </w:pPr>
    </w:p>
    <w:p w:rsidRPr="00645A4B" w:rsidR="00645A4B" w:rsidP="00645A4B" w:rsidRDefault="00645A4B" w14:paraId="0118D611" w14:textId="77777777">
      <w:pPr>
        <w:spacing w:line="276" w:lineRule="auto"/>
        <w:jc w:val="both"/>
        <w:textAlignment w:val="baseline"/>
        <w:rPr>
          <w:rFonts w:ascii="Arial" w:hAnsi="Arial" w:cs="Arial"/>
          <w:bCs/>
          <w:color w:val="000000"/>
          <w:sz w:val="20"/>
          <w:szCs w:val="20"/>
          <w:lang w:val="es-MX" w:eastAsia="es-CO"/>
        </w:rPr>
      </w:pPr>
    </w:p>
    <w:p w:rsidR="00E344F2" w:rsidP="00460695" w:rsidRDefault="00E344F2" w14:paraId="5F75E1FC" w14:textId="77777777">
      <w:pPr>
        <w:spacing w:line="276" w:lineRule="auto"/>
        <w:jc w:val="both"/>
        <w:textAlignment w:val="baseline"/>
        <w:rPr>
          <w:rFonts w:ascii="Arial" w:hAnsi="Arial" w:cs="Arial"/>
          <w:bCs/>
          <w:color w:val="000000"/>
          <w:sz w:val="20"/>
          <w:szCs w:val="20"/>
          <w:lang w:val="es-MX" w:eastAsia="es-CO"/>
        </w:rPr>
      </w:pPr>
    </w:p>
    <w:p w:rsidR="00E344F2" w:rsidP="00460695" w:rsidRDefault="00E344F2" w14:paraId="486B5B23" w14:textId="77777777">
      <w:pPr>
        <w:spacing w:line="276" w:lineRule="auto"/>
        <w:jc w:val="both"/>
        <w:textAlignment w:val="baseline"/>
        <w:rPr>
          <w:rFonts w:ascii="Arial" w:hAnsi="Arial" w:cs="Arial"/>
          <w:bCs/>
          <w:color w:val="000000"/>
          <w:sz w:val="20"/>
          <w:szCs w:val="20"/>
          <w:lang w:val="es-MX" w:eastAsia="es-CO"/>
        </w:rPr>
      </w:pPr>
    </w:p>
    <w:p w:rsidR="00E344F2" w:rsidP="00460695" w:rsidRDefault="00E344F2" w14:paraId="59941858" w14:textId="77777777">
      <w:pPr>
        <w:spacing w:line="276" w:lineRule="auto"/>
        <w:jc w:val="both"/>
        <w:textAlignment w:val="baseline"/>
        <w:rPr>
          <w:rFonts w:ascii="Arial" w:hAnsi="Arial" w:cs="Arial"/>
          <w:bCs/>
          <w:color w:val="000000"/>
          <w:sz w:val="20"/>
          <w:szCs w:val="20"/>
          <w:lang w:val="es-MX" w:eastAsia="es-CO"/>
        </w:rPr>
      </w:pPr>
    </w:p>
    <w:p w:rsidR="00E344F2" w:rsidP="00460695" w:rsidRDefault="00E344F2" w14:paraId="2176BE83" w14:textId="77777777">
      <w:pPr>
        <w:spacing w:line="276" w:lineRule="auto"/>
        <w:jc w:val="both"/>
        <w:textAlignment w:val="baseline"/>
        <w:rPr>
          <w:rFonts w:ascii="Arial" w:hAnsi="Arial" w:cs="Arial"/>
          <w:bCs/>
          <w:color w:val="000000"/>
          <w:sz w:val="20"/>
          <w:szCs w:val="20"/>
          <w:lang w:val="es-MX" w:eastAsia="es-CO"/>
        </w:rPr>
      </w:pPr>
    </w:p>
    <w:p w:rsidR="00E344F2" w:rsidP="00460695" w:rsidRDefault="00E344F2" w14:paraId="6377798F" w14:textId="77777777">
      <w:pPr>
        <w:spacing w:line="276" w:lineRule="auto"/>
        <w:jc w:val="both"/>
        <w:textAlignment w:val="baseline"/>
        <w:rPr>
          <w:rFonts w:ascii="Arial" w:hAnsi="Arial" w:cs="Arial"/>
          <w:bCs/>
          <w:color w:val="000000"/>
          <w:sz w:val="20"/>
          <w:szCs w:val="20"/>
          <w:lang w:val="es-MX" w:eastAsia="es-CO"/>
        </w:rPr>
      </w:pPr>
    </w:p>
    <w:p w:rsidR="00E344F2" w:rsidP="00460695" w:rsidRDefault="00E344F2" w14:paraId="797F5835" w14:textId="77777777">
      <w:pPr>
        <w:spacing w:line="276" w:lineRule="auto"/>
        <w:jc w:val="both"/>
        <w:textAlignment w:val="baseline"/>
        <w:rPr>
          <w:rFonts w:ascii="Arial" w:hAnsi="Arial" w:cs="Arial"/>
          <w:bCs/>
          <w:color w:val="000000"/>
          <w:sz w:val="20"/>
          <w:szCs w:val="20"/>
          <w:lang w:val="es-MX" w:eastAsia="es-CO"/>
        </w:rPr>
      </w:pPr>
    </w:p>
    <w:p w:rsidR="00E344F2" w:rsidP="00460695" w:rsidRDefault="00E344F2" w14:paraId="2567F3B9" w14:textId="77777777">
      <w:pPr>
        <w:spacing w:line="276" w:lineRule="auto"/>
        <w:jc w:val="both"/>
        <w:textAlignment w:val="baseline"/>
        <w:rPr>
          <w:rFonts w:ascii="Arial" w:hAnsi="Arial" w:cs="Arial"/>
          <w:bCs/>
          <w:color w:val="000000"/>
          <w:sz w:val="20"/>
          <w:szCs w:val="20"/>
          <w:lang w:val="es-MX" w:eastAsia="es-CO"/>
        </w:rPr>
      </w:pPr>
    </w:p>
    <w:p w:rsidR="00E344F2" w:rsidP="00460695" w:rsidRDefault="00E344F2" w14:paraId="1FFDCD76" w14:textId="77777777">
      <w:pPr>
        <w:spacing w:line="276" w:lineRule="auto"/>
        <w:jc w:val="both"/>
        <w:textAlignment w:val="baseline"/>
        <w:rPr>
          <w:rFonts w:ascii="Arial" w:hAnsi="Arial" w:cs="Arial"/>
          <w:bCs/>
          <w:color w:val="000000"/>
          <w:sz w:val="20"/>
          <w:szCs w:val="20"/>
          <w:lang w:val="es-MX" w:eastAsia="es-CO"/>
        </w:rPr>
      </w:pPr>
    </w:p>
    <w:p w:rsidR="00E344F2" w:rsidP="00460695" w:rsidRDefault="00E344F2" w14:paraId="66BFE5C2" w14:textId="77777777">
      <w:pPr>
        <w:spacing w:line="276" w:lineRule="auto"/>
        <w:jc w:val="both"/>
        <w:textAlignment w:val="baseline"/>
        <w:rPr>
          <w:rFonts w:ascii="Arial" w:hAnsi="Arial" w:cs="Arial"/>
          <w:bCs/>
          <w:color w:val="000000"/>
          <w:sz w:val="20"/>
          <w:szCs w:val="20"/>
          <w:lang w:val="es-MX" w:eastAsia="es-CO"/>
        </w:rPr>
      </w:pPr>
    </w:p>
    <w:p w:rsidRPr="00460695" w:rsidR="00E344F2" w:rsidP="00460695" w:rsidRDefault="00E344F2" w14:paraId="6ADE1EA9" w14:textId="77777777">
      <w:pPr>
        <w:spacing w:line="276" w:lineRule="auto"/>
        <w:jc w:val="both"/>
        <w:textAlignment w:val="baseline"/>
        <w:rPr>
          <w:rFonts w:ascii="Arial" w:hAnsi="Arial" w:cs="Arial"/>
          <w:bCs/>
          <w:color w:val="000000"/>
          <w:sz w:val="20"/>
          <w:szCs w:val="20"/>
          <w:lang w:val="es-MX" w:eastAsia="es-CO"/>
        </w:rPr>
      </w:pPr>
    </w:p>
    <w:p w:rsidRPr="00460695" w:rsidR="00460695" w:rsidP="00460695" w:rsidRDefault="00460695" w14:paraId="59B04AC1" w14:textId="77777777">
      <w:pPr>
        <w:spacing w:line="276" w:lineRule="auto"/>
        <w:jc w:val="both"/>
        <w:textAlignment w:val="baseline"/>
        <w:rPr>
          <w:rFonts w:ascii="Arial" w:hAnsi="Arial" w:cs="Arial"/>
          <w:bCs/>
          <w:color w:val="000000"/>
          <w:sz w:val="20"/>
          <w:szCs w:val="20"/>
          <w:lang w:val="es-MX" w:eastAsia="es-CO"/>
        </w:rPr>
      </w:pPr>
    </w:p>
    <w:p w:rsidRPr="00460695" w:rsidR="00460695" w:rsidP="00460695" w:rsidRDefault="00460695" w14:paraId="5B30B4D7" w14:textId="77777777">
      <w:pPr>
        <w:spacing w:line="276" w:lineRule="auto"/>
        <w:jc w:val="both"/>
        <w:textAlignment w:val="baseline"/>
        <w:rPr>
          <w:rFonts w:ascii="Arial" w:hAnsi="Arial" w:cs="Arial"/>
          <w:bCs/>
          <w:color w:val="000000"/>
          <w:sz w:val="20"/>
          <w:szCs w:val="20"/>
          <w:lang w:val="es-MX" w:eastAsia="es-CO"/>
        </w:rPr>
      </w:pPr>
    </w:p>
    <w:p w:rsidR="00460695" w:rsidP="00460695" w:rsidRDefault="00460695" w14:paraId="76967711" w14:textId="77777777">
      <w:pPr>
        <w:spacing w:line="276" w:lineRule="auto"/>
        <w:jc w:val="both"/>
        <w:textAlignment w:val="baseline"/>
        <w:rPr>
          <w:rFonts w:ascii="Arial" w:hAnsi="Arial" w:cs="Arial"/>
          <w:bCs/>
          <w:color w:val="000000"/>
          <w:sz w:val="20"/>
          <w:szCs w:val="20"/>
          <w:lang w:val="es-MX" w:eastAsia="es-CO"/>
        </w:rPr>
      </w:pPr>
    </w:p>
    <w:p w:rsidR="0051453D" w:rsidP="00460695" w:rsidRDefault="0051453D" w14:paraId="0235550A" w14:textId="77777777">
      <w:pPr>
        <w:spacing w:line="276" w:lineRule="auto"/>
        <w:jc w:val="both"/>
        <w:textAlignment w:val="baseline"/>
        <w:rPr>
          <w:rFonts w:ascii="Arial" w:hAnsi="Arial" w:cs="Arial"/>
          <w:bCs/>
          <w:color w:val="000000"/>
          <w:sz w:val="20"/>
          <w:szCs w:val="20"/>
          <w:lang w:val="es-MX" w:eastAsia="es-CO"/>
        </w:rPr>
      </w:pPr>
    </w:p>
    <w:p w:rsidR="0051453D" w:rsidP="00460695" w:rsidRDefault="0051453D" w14:paraId="530C068C" w14:textId="12154857">
      <w:pPr>
        <w:spacing w:line="276" w:lineRule="auto"/>
        <w:jc w:val="both"/>
        <w:textAlignment w:val="baseline"/>
        <w:rPr>
          <w:rFonts w:ascii="Arial" w:hAnsi="Arial" w:cs="Arial"/>
          <w:bCs/>
          <w:color w:val="000000"/>
          <w:sz w:val="20"/>
          <w:szCs w:val="20"/>
          <w:lang w:val="es-MX" w:eastAsia="es-CO"/>
        </w:rPr>
      </w:pPr>
    </w:p>
    <w:p w:rsidR="00984BCE" w:rsidP="00460695" w:rsidRDefault="00984BCE" w14:paraId="5584DCC3" w14:textId="651616A7">
      <w:pPr>
        <w:spacing w:line="276" w:lineRule="auto"/>
        <w:jc w:val="both"/>
        <w:textAlignment w:val="baseline"/>
        <w:rPr>
          <w:rFonts w:ascii="Arial" w:hAnsi="Arial" w:cs="Arial"/>
          <w:bCs/>
          <w:color w:val="000000"/>
          <w:sz w:val="20"/>
          <w:szCs w:val="20"/>
          <w:lang w:val="es-MX" w:eastAsia="es-CO"/>
        </w:rPr>
      </w:pPr>
    </w:p>
    <w:p w:rsidR="00984BCE" w:rsidP="00460695" w:rsidRDefault="00984BCE" w14:paraId="1B700180" w14:textId="32F65681">
      <w:pPr>
        <w:spacing w:line="276" w:lineRule="auto"/>
        <w:jc w:val="both"/>
        <w:textAlignment w:val="baseline"/>
        <w:rPr>
          <w:rFonts w:ascii="Arial" w:hAnsi="Arial" w:cs="Arial"/>
          <w:bCs/>
          <w:color w:val="000000"/>
          <w:sz w:val="20"/>
          <w:szCs w:val="20"/>
          <w:lang w:val="es-MX" w:eastAsia="es-CO"/>
        </w:rPr>
      </w:pPr>
    </w:p>
    <w:p w:rsidR="00984BCE" w:rsidP="00460695" w:rsidRDefault="00984BCE" w14:paraId="2F6165E3" w14:textId="468E72D5">
      <w:pPr>
        <w:spacing w:line="276" w:lineRule="auto"/>
        <w:jc w:val="both"/>
        <w:textAlignment w:val="baseline"/>
        <w:rPr>
          <w:rFonts w:ascii="Arial" w:hAnsi="Arial" w:cs="Arial"/>
          <w:bCs/>
          <w:color w:val="000000"/>
          <w:sz w:val="20"/>
          <w:szCs w:val="20"/>
          <w:lang w:val="es-MX" w:eastAsia="es-CO"/>
        </w:rPr>
      </w:pPr>
    </w:p>
    <w:p w:rsidR="00984BCE" w:rsidP="00460695" w:rsidRDefault="00984BCE" w14:paraId="61D82626" w14:textId="3C3C78AA">
      <w:pPr>
        <w:spacing w:line="276" w:lineRule="auto"/>
        <w:jc w:val="both"/>
        <w:textAlignment w:val="baseline"/>
        <w:rPr>
          <w:rFonts w:ascii="Arial" w:hAnsi="Arial" w:cs="Arial"/>
          <w:bCs/>
          <w:color w:val="000000"/>
          <w:sz w:val="20"/>
          <w:szCs w:val="20"/>
          <w:lang w:val="es-MX" w:eastAsia="es-CO"/>
        </w:rPr>
      </w:pPr>
    </w:p>
    <w:p w:rsidR="00984BCE" w:rsidP="00460695" w:rsidRDefault="00984BCE" w14:paraId="76EDEB12" w14:textId="205FFF29">
      <w:pPr>
        <w:spacing w:line="276" w:lineRule="auto"/>
        <w:jc w:val="both"/>
        <w:textAlignment w:val="baseline"/>
        <w:rPr>
          <w:rFonts w:ascii="Arial" w:hAnsi="Arial" w:cs="Arial"/>
          <w:bCs/>
          <w:color w:val="000000"/>
          <w:sz w:val="20"/>
          <w:szCs w:val="20"/>
          <w:lang w:val="es-MX" w:eastAsia="es-CO"/>
        </w:rPr>
      </w:pPr>
    </w:p>
    <w:p w:rsidR="00984BCE" w:rsidP="00460695" w:rsidRDefault="00984BCE" w14:paraId="1DCC97D8" w14:textId="4CEA0C0A">
      <w:pPr>
        <w:spacing w:line="276" w:lineRule="auto"/>
        <w:jc w:val="both"/>
        <w:textAlignment w:val="baseline"/>
        <w:rPr>
          <w:rFonts w:ascii="Arial" w:hAnsi="Arial" w:cs="Arial"/>
          <w:bCs/>
          <w:color w:val="000000"/>
          <w:sz w:val="20"/>
          <w:szCs w:val="20"/>
          <w:lang w:val="es-MX" w:eastAsia="es-CO"/>
        </w:rPr>
      </w:pPr>
    </w:p>
    <w:p w:rsidR="00984BCE" w:rsidP="00460695" w:rsidRDefault="00984BCE" w14:paraId="49DCBBEA" w14:textId="3421E982">
      <w:pPr>
        <w:spacing w:line="276" w:lineRule="auto"/>
        <w:jc w:val="both"/>
        <w:textAlignment w:val="baseline"/>
        <w:rPr>
          <w:rFonts w:ascii="Arial" w:hAnsi="Arial" w:cs="Arial"/>
          <w:bCs/>
          <w:color w:val="000000"/>
          <w:sz w:val="20"/>
          <w:szCs w:val="20"/>
          <w:lang w:val="es-MX" w:eastAsia="es-CO"/>
        </w:rPr>
      </w:pPr>
    </w:p>
    <w:p w:rsidR="00984BCE" w:rsidP="00C165A2" w:rsidRDefault="00C165A2" w14:paraId="1407F07A" w14:textId="39BE8B09">
      <w:pPr>
        <w:spacing w:line="276" w:lineRule="auto"/>
        <w:jc w:val="right"/>
        <w:textAlignment w:val="baseline"/>
        <w:rPr>
          <w:rFonts w:ascii="Arial" w:hAnsi="Arial" w:cs="Arial"/>
          <w:bCs/>
          <w:color w:val="000000"/>
          <w:sz w:val="20"/>
          <w:szCs w:val="20"/>
          <w:lang w:val="es-MX" w:eastAsia="es-CO"/>
        </w:rPr>
      </w:pPr>
      <w:r w:rsidRPr="00C165A2">
        <w:rPr>
          <w:rFonts w:ascii="Arial" w:hAnsi="Arial" w:cs="Arial"/>
          <w:bCs/>
          <w:color w:val="000000"/>
          <w:sz w:val="20"/>
          <w:szCs w:val="20"/>
          <w:lang w:val="es-MX" w:eastAsia="es-CO"/>
        </w:rPr>
        <w:lastRenderedPageBreak/>
        <w:drawing>
          <wp:inline distT="0" distB="0" distL="0" distR="0" wp14:anchorId="5DE8993B" wp14:editId="6B505C10">
            <wp:extent cx="2921000" cy="990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1000" cy="990600"/>
                    </a:xfrm>
                    <a:prstGeom prst="rect">
                      <a:avLst/>
                    </a:prstGeom>
                  </pic:spPr>
                </pic:pic>
              </a:graphicData>
            </a:graphic>
          </wp:inline>
        </w:drawing>
      </w:r>
    </w:p>
    <w:p w:rsidR="00C165A2" w:rsidP="00460695" w:rsidRDefault="00C165A2" w14:paraId="6BC45AFB" w14:textId="66E32F77">
      <w:pPr>
        <w:spacing w:line="276" w:lineRule="auto"/>
        <w:jc w:val="both"/>
        <w:textAlignment w:val="baseline"/>
        <w:rPr>
          <w:rFonts w:ascii="Arial" w:hAnsi="Arial" w:cs="Arial"/>
          <w:bCs/>
          <w:color w:val="000000"/>
          <w:sz w:val="20"/>
          <w:szCs w:val="20"/>
          <w:lang w:val="es-MX" w:eastAsia="es-CO"/>
        </w:rPr>
      </w:pPr>
    </w:p>
    <w:p w:rsidRPr="00460695" w:rsidR="00C165A2" w:rsidP="00460695" w:rsidRDefault="00C165A2" w14:paraId="34A0D1CE" w14:textId="77777777">
      <w:pPr>
        <w:spacing w:line="276" w:lineRule="auto"/>
        <w:jc w:val="both"/>
        <w:textAlignment w:val="baseline"/>
        <w:rPr>
          <w:rFonts w:ascii="Arial" w:hAnsi="Arial" w:cs="Arial"/>
          <w:bCs/>
          <w:color w:val="000000"/>
          <w:sz w:val="20"/>
          <w:szCs w:val="20"/>
          <w:lang w:val="es-MX" w:eastAsia="es-CO"/>
        </w:rPr>
      </w:pPr>
    </w:p>
    <w:p w:rsidRPr="00460695" w:rsidR="00460695" w:rsidP="00460695" w:rsidRDefault="00460695" w14:paraId="7B93B4B2" w14:textId="77777777">
      <w:pPr>
        <w:spacing w:line="276" w:lineRule="auto"/>
        <w:jc w:val="both"/>
        <w:rPr>
          <w:rFonts w:ascii="Arial" w:hAnsi="Arial" w:eastAsia="Arial" w:cs="Arial"/>
          <w:color w:val="000000"/>
          <w:sz w:val="22"/>
          <w:szCs w:val="22"/>
          <w:lang w:val="es-MX" w:eastAsia="es-ES_tradnl"/>
        </w:rPr>
      </w:pPr>
      <w:r w:rsidRPr="00460695">
        <w:rPr>
          <w:rFonts w:ascii="Arial" w:hAnsi="Arial" w:eastAsia="Arial" w:cs="Arial"/>
          <w:color w:val="000000"/>
          <w:sz w:val="22"/>
          <w:szCs w:val="22"/>
          <w:lang w:val="es-MX" w:eastAsia="es-ES_tradnl"/>
        </w:rPr>
        <w:t>Bogotá D.C</w:t>
      </w:r>
    </w:p>
    <w:p w:rsidRPr="00460695" w:rsidR="00460695" w:rsidP="00460695" w:rsidRDefault="00460695" w14:paraId="6C880A1F" w14:textId="77777777">
      <w:pPr>
        <w:spacing w:line="276" w:lineRule="auto"/>
        <w:jc w:val="both"/>
        <w:rPr>
          <w:rFonts w:ascii="Arial" w:hAnsi="Arial" w:eastAsia="Arial" w:cs="Arial"/>
          <w:color w:val="000000"/>
          <w:sz w:val="22"/>
          <w:szCs w:val="22"/>
          <w:lang w:val="es-MX" w:eastAsia="es-ES_tradnl"/>
        </w:rPr>
      </w:pPr>
    </w:p>
    <w:p w:rsidRPr="00460695" w:rsidR="00460695" w:rsidP="00460695" w:rsidRDefault="00460695" w14:paraId="39F93209" w14:textId="71F97143">
      <w:pPr>
        <w:spacing w:line="276" w:lineRule="auto"/>
        <w:jc w:val="both"/>
        <w:rPr>
          <w:rFonts w:ascii="Arial" w:hAnsi="Arial" w:eastAsia="Arial" w:cs="Arial"/>
          <w:color w:val="000000"/>
          <w:sz w:val="22"/>
          <w:szCs w:val="22"/>
          <w:lang w:val="es-MX" w:eastAsia="es-ES_tradnl"/>
        </w:rPr>
      </w:pPr>
      <w:r w:rsidRPr="00460695">
        <w:rPr>
          <w:rFonts w:ascii="Arial" w:hAnsi="Arial" w:eastAsia="Arial" w:cs="Arial"/>
          <w:color w:val="000000"/>
          <w:sz w:val="22"/>
          <w:szCs w:val="22"/>
          <w:lang w:val="es-MX" w:eastAsia="es-ES_tradnl"/>
        </w:rPr>
        <w:t>Señor</w:t>
      </w:r>
    </w:p>
    <w:p w:rsidRPr="0090280F" w:rsidR="00955D5B" w:rsidP="00460695" w:rsidRDefault="00273361" w14:paraId="7F706B49" w14:textId="77777777">
      <w:pPr>
        <w:spacing w:line="276" w:lineRule="auto"/>
        <w:jc w:val="both"/>
        <w:rPr>
          <w:rFonts w:ascii="Arial" w:hAnsi="Arial" w:eastAsia="Arial" w:cs="Arial"/>
          <w:b/>
          <w:bCs/>
          <w:color w:val="000000"/>
          <w:sz w:val="22"/>
          <w:szCs w:val="22"/>
          <w:lang w:val="es-MX" w:eastAsia="es-ES_tradnl"/>
        </w:rPr>
      </w:pPr>
      <w:r w:rsidRPr="0090280F">
        <w:rPr>
          <w:rFonts w:ascii="Arial" w:hAnsi="Arial" w:eastAsia="Arial" w:cs="Arial"/>
          <w:b/>
          <w:bCs/>
          <w:color w:val="000000"/>
          <w:sz w:val="22"/>
          <w:szCs w:val="22"/>
          <w:lang w:val="es-MX" w:eastAsia="es-ES_tradnl"/>
        </w:rPr>
        <w:t>Daniel Al</w:t>
      </w:r>
      <w:r w:rsidRPr="0090280F" w:rsidR="00955D5B">
        <w:rPr>
          <w:rFonts w:ascii="Arial" w:hAnsi="Arial" w:eastAsia="Arial" w:cs="Arial"/>
          <w:b/>
          <w:bCs/>
          <w:color w:val="000000"/>
          <w:sz w:val="22"/>
          <w:szCs w:val="22"/>
          <w:lang w:val="es-MX" w:eastAsia="es-ES_tradnl"/>
        </w:rPr>
        <w:t>ejandro Ramírez Cubillos</w:t>
      </w:r>
    </w:p>
    <w:p w:rsidRPr="00955D5B" w:rsidR="00460695" w:rsidP="00460695" w:rsidRDefault="00955D5B" w14:paraId="56721773" w14:textId="231DFD59">
      <w:pPr>
        <w:spacing w:line="276" w:lineRule="auto"/>
        <w:jc w:val="both"/>
        <w:rPr>
          <w:rFonts w:ascii="Arial" w:hAnsi="Arial" w:eastAsia="Arial" w:cs="Arial"/>
          <w:color w:val="000000"/>
          <w:sz w:val="22"/>
          <w:szCs w:val="22"/>
          <w:lang w:val="es-MX" w:eastAsia="es-ES_tradnl"/>
        </w:rPr>
      </w:pPr>
      <w:r w:rsidRPr="00955D5B">
        <w:rPr>
          <w:rFonts w:ascii="Arial" w:hAnsi="Arial" w:eastAsia="Arial" w:cs="Arial"/>
          <w:color w:val="000000"/>
          <w:sz w:val="22"/>
          <w:szCs w:val="22"/>
          <w:lang w:val="es-MX" w:eastAsia="es-ES_tradnl"/>
        </w:rPr>
        <w:t>danieramirez@gmail.com</w:t>
      </w:r>
    </w:p>
    <w:p w:rsidR="00F21199" w:rsidP="00460695" w:rsidRDefault="00F21199" w14:paraId="37FEB66E" w14:textId="77777777">
      <w:pPr>
        <w:spacing w:line="276" w:lineRule="auto"/>
        <w:jc w:val="center"/>
        <w:rPr>
          <w:rFonts w:ascii="Arial" w:hAnsi="Arial" w:eastAsia="Calibri" w:cs="Arial"/>
          <w:b/>
          <w:sz w:val="22"/>
          <w:szCs w:val="22"/>
          <w:lang w:val="es-MX" w:eastAsia="es-ES_tradnl"/>
        </w:rPr>
      </w:pPr>
    </w:p>
    <w:p w:rsidRPr="00460695" w:rsidR="00460695" w:rsidP="00460695" w:rsidRDefault="00460695" w14:paraId="4F0F2718" w14:textId="4921FD49">
      <w:pPr>
        <w:spacing w:line="276" w:lineRule="auto"/>
        <w:jc w:val="center"/>
        <w:rPr>
          <w:rFonts w:ascii="Arial" w:hAnsi="Arial" w:eastAsia="Arial" w:cs="Arial"/>
          <w:color w:val="000000"/>
          <w:sz w:val="20"/>
          <w:szCs w:val="20"/>
          <w:lang w:val="es-MX" w:eastAsia="es-ES_tradnl"/>
        </w:rPr>
      </w:pPr>
      <w:r w:rsidRPr="00460695">
        <w:rPr>
          <w:rFonts w:ascii="Arial" w:hAnsi="Arial" w:eastAsia="Calibri" w:cs="Arial"/>
          <w:b/>
          <w:sz w:val="22"/>
          <w:szCs w:val="22"/>
          <w:lang w:val="es-MX" w:eastAsia="es-ES_tradnl"/>
        </w:rPr>
        <w:t>Concepto C</w:t>
      </w:r>
      <w:r w:rsidR="00055900">
        <w:rPr>
          <w:rFonts w:ascii="Arial" w:hAnsi="Arial" w:eastAsia="Calibri" w:cs="Arial"/>
          <w:b/>
          <w:sz w:val="22"/>
          <w:szCs w:val="22"/>
          <w:lang w:val="es-MX" w:eastAsia="es-ES_tradnl"/>
        </w:rPr>
        <w:t>-</w:t>
      </w:r>
      <w:r w:rsidR="00955D5B">
        <w:rPr>
          <w:rFonts w:ascii="Arial" w:hAnsi="Arial" w:eastAsia="Calibri" w:cs="Arial"/>
          <w:b/>
          <w:sz w:val="22"/>
          <w:szCs w:val="22"/>
          <w:lang w:val="es-MX" w:eastAsia="es-ES_tradnl"/>
        </w:rPr>
        <w:t>706</w:t>
      </w:r>
      <w:r w:rsidRPr="00460695">
        <w:rPr>
          <w:rFonts w:ascii="Arial" w:hAnsi="Arial" w:eastAsia="Calibri" w:cs="Arial"/>
          <w:b/>
          <w:sz w:val="22"/>
          <w:szCs w:val="22"/>
          <w:lang w:val="es-MX" w:eastAsia="es-ES_tradnl"/>
        </w:rPr>
        <w:t xml:space="preserve"> </w:t>
      </w:r>
    </w:p>
    <w:p w:rsidRPr="00460695" w:rsidR="00460695" w:rsidP="00460695" w:rsidRDefault="00460695" w14:paraId="135BB16B" w14:textId="77777777">
      <w:pPr>
        <w:spacing w:line="276" w:lineRule="auto"/>
        <w:jc w:val="both"/>
        <w:rPr>
          <w:rFonts w:ascii="Arial" w:hAnsi="Arial" w:eastAsia="Arial" w:cs="Arial"/>
          <w:color w:val="000000"/>
          <w:sz w:val="22"/>
          <w:szCs w:val="22"/>
          <w:lang w:val="es-MX" w:eastAsia="es-ES_tradnl"/>
        </w:rPr>
      </w:pPr>
      <w:r w:rsidRPr="00460695">
        <w:rPr>
          <w:rFonts w:ascii="Arial" w:hAnsi="Arial" w:eastAsia="Arial" w:cs="Arial"/>
          <w:color w:val="000000"/>
          <w:sz w:val="22"/>
          <w:szCs w:val="22"/>
          <w:lang w:val="es-MX" w:eastAsia="es-ES_tradnl"/>
        </w:rPr>
        <w:t xml:space="preserve">                                            </w:t>
      </w:r>
    </w:p>
    <w:tbl>
      <w:tblPr>
        <w:tblStyle w:val="2"/>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Pr="00460695" w:rsidR="00460695" w:rsidTr="6D682A13" w14:paraId="08636A3B" w14:textId="77777777">
        <w:trPr>
          <w:trHeight w:val="1038"/>
        </w:trPr>
        <w:tc>
          <w:tcPr>
            <w:tcW w:w="2689" w:type="dxa"/>
            <w:tcMar/>
          </w:tcPr>
          <w:p w:rsidRPr="006132B7" w:rsidR="00460695" w:rsidP="00460695" w:rsidRDefault="00460695" w14:paraId="3FB2065A" w14:textId="554F7C4F">
            <w:pPr>
              <w:spacing w:line="276" w:lineRule="auto"/>
              <w:jc w:val="both"/>
              <w:rPr>
                <w:rFonts w:ascii="Arial" w:hAnsi="Arial" w:eastAsia="Arial" w:cs="Arial"/>
                <w:b/>
                <w:bCs/>
                <w:color w:val="000000"/>
                <w:sz w:val="22"/>
                <w:szCs w:val="22"/>
                <w:lang w:val="es-MX" w:eastAsia="es-ES_tradnl"/>
              </w:rPr>
            </w:pPr>
            <w:r w:rsidRPr="006132B7">
              <w:rPr>
                <w:rFonts w:ascii="Arial" w:hAnsi="Arial" w:eastAsia="Arial" w:cs="Arial"/>
                <w:b/>
                <w:bCs/>
                <w:color w:val="000000"/>
                <w:sz w:val="22"/>
                <w:szCs w:val="22"/>
                <w:lang w:val="es-MX" w:eastAsia="es-ES_tradnl"/>
              </w:rPr>
              <w:t xml:space="preserve">Temas:     </w:t>
            </w:r>
          </w:p>
        </w:tc>
        <w:tc>
          <w:tcPr>
            <w:tcW w:w="6237" w:type="dxa"/>
            <w:tcMar/>
          </w:tcPr>
          <w:p w:rsidRPr="00A36F76" w:rsidR="00A36F76" w:rsidP="00A36F76" w:rsidRDefault="00955D5B" w14:paraId="165AA1C3" w14:textId="383D12F6">
            <w:pPr>
              <w:spacing w:line="276" w:lineRule="auto"/>
              <w:jc w:val="both"/>
              <w:rPr>
                <w:rFonts w:ascii="Arial" w:hAnsi="Arial" w:eastAsia="Arial" w:cs="Arial"/>
                <w:bCs/>
                <w:color w:val="000000"/>
                <w:sz w:val="22"/>
                <w:szCs w:val="22"/>
                <w:lang w:val="es-ES" w:eastAsia="es-ES_tradnl"/>
              </w:rPr>
            </w:pPr>
            <w:r w:rsidRPr="00955D5B">
              <w:rPr>
                <w:rFonts w:ascii="Arial" w:hAnsi="Arial" w:eastAsia="Arial" w:cs="Arial"/>
                <w:color w:val="000000"/>
                <w:sz w:val="22"/>
                <w:szCs w:val="22"/>
                <w:lang w:val="es-ES" w:eastAsia="es-ES_tradnl"/>
              </w:rPr>
              <w:t xml:space="preserve">CENTROS PROVINCIALES DE GESTIÓN AGROEMPRESARIAL – Naturaleza jurídica </w:t>
            </w:r>
            <w:r w:rsidR="00A36F76">
              <w:rPr>
                <w:rFonts w:ascii="Arial" w:hAnsi="Arial" w:eastAsia="Arial" w:cs="Arial"/>
                <w:color w:val="000000"/>
                <w:sz w:val="22"/>
                <w:szCs w:val="22"/>
                <w:lang w:val="es-ES" w:eastAsia="es-ES_tradnl"/>
              </w:rPr>
              <w:t>/</w:t>
            </w:r>
            <w:r w:rsidRPr="00955D5B">
              <w:rPr>
                <w:rFonts w:ascii="Arial" w:hAnsi="Arial" w:eastAsia="Arial" w:cs="Arial"/>
                <w:color w:val="000000"/>
                <w:sz w:val="22"/>
                <w:szCs w:val="22"/>
                <w:lang w:val="es-ES" w:eastAsia="es-ES_tradnl"/>
              </w:rPr>
              <w:t xml:space="preserve"> </w:t>
            </w:r>
            <w:r w:rsidRPr="00955D5B">
              <w:rPr>
                <w:rFonts w:ascii="Arial" w:hAnsi="Arial" w:eastAsia="Arial" w:cs="Arial"/>
                <w:bCs/>
                <w:color w:val="000000"/>
                <w:sz w:val="22"/>
                <w:szCs w:val="22"/>
                <w:lang w:val="es-ES" w:eastAsia="es-ES_tradnl"/>
              </w:rPr>
              <w:t>CENTROS PROVINCIALES DE GESTIÓN AGROEMPRESARIAL – Régimen jurídico Contractual – Estatuto General de Contratación de la administración Pública</w:t>
            </w:r>
            <w:r w:rsidRPr="00A36F76" w:rsidR="00A36F76">
              <w:rPr>
                <w:rFonts w:ascii="Arial" w:hAnsi="Arial" w:eastAsia="Arial" w:cs="Arial"/>
                <w:b/>
                <w:bCs/>
                <w:sz w:val="22"/>
                <w:szCs w:val="22"/>
                <w:lang w:val="es-ES" w:eastAsia="en-US"/>
              </w:rPr>
              <w:t xml:space="preserve"> </w:t>
            </w:r>
            <w:r w:rsidR="00A36F76">
              <w:rPr>
                <w:rFonts w:ascii="Arial" w:hAnsi="Arial" w:eastAsia="Arial" w:cs="Arial"/>
                <w:b/>
                <w:bCs/>
                <w:sz w:val="22"/>
                <w:szCs w:val="22"/>
                <w:lang w:val="es-ES" w:eastAsia="en-US"/>
              </w:rPr>
              <w:t>/</w:t>
            </w:r>
            <w:r w:rsidRPr="00A36F76" w:rsidR="00A36F76">
              <w:rPr>
                <w:rFonts w:ascii="Arial" w:hAnsi="Arial" w:eastAsia="Arial" w:cs="Arial"/>
                <w:bCs/>
                <w:color w:val="000000"/>
                <w:sz w:val="22"/>
                <w:szCs w:val="22"/>
                <w:lang w:val="es-ES" w:eastAsia="es-ES_tradnl"/>
              </w:rPr>
              <w:t>PRINCIPIO DE PUBLICIDAD – Democracia – Estado social de Derecho – Fundamento axiológico</w:t>
            </w:r>
            <w:r w:rsidR="00A36F76">
              <w:rPr>
                <w:rFonts w:ascii="Arial" w:hAnsi="Arial" w:eastAsia="Arial" w:cs="Arial"/>
                <w:bCs/>
                <w:color w:val="000000"/>
                <w:sz w:val="22"/>
                <w:szCs w:val="22"/>
                <w:lang w:val="es-ES" w:eastAsia="es-ES_tradnl"/>
              </w:rPr>
              <w:t>/</w:t>
            </w:r>
            <w:r w:rsidRPr="0062027E" w:rsidR="00A36F76">
              <w:rPr>
                <w:rFonts w:ascii="Arial" w:hAnsi="Arial" w:eastAsia="Arial" w:cs="Arial"/>
                <w:bCs/>
                <w:color w:val="000000"/>
                <w:sz w:val="22"/>
                <w:szCs w:val="22"/>
                <w:lang w:val="es-ES" w:eastAsia="es-ES_tradnl"/>
              </w:rPr>
              <w:t>PRINCIPIO DE PUBLICIDAD-</w:t>
            </w:r>
            <w:r w:rsidRPr="0062027E" w:rsidR="0062027E">
              <w:rPr>
                <w:rFonts w:ascii="Arial" w:hAnsi="Arial" w:eastAsia="Arial" w:cs="Arial"/>
                <w:bCs/>
                <w:color w:val="000000"/>
                <w:sz w:val="22"/>
                <w:szCs w:val="22"/>
                <w:lang w:val="es-ES" w:eastAsia="es-ES_tradnl"/>
              </w:rPr>
              <w:t>El Sistema Electrónico de Contratación Pública</w:t>
            </w:r>
            <w:r w:rsidR="00F70580">
              <w:rPr>
                <w:rFonts w:ascii="Arial" w:hAnsi="Arial" w:eastAsia="Arial" w:cs="Arial"/>
                <w:bCs/>
                <w:color w:val="000000"/>
                <w:sz w:val="22"/>
                <w:szCs w:val="22"/>
                <w:lang w:val="es-ES" w:eastAsia="es-ES_tradnl"/>
              </w:rPr>
              <w:t>.</w:t>
            </w:r>
          </w:p>
          <w:p w:rsidRPr="00955D5B" w:rsidR="00955D5B" w:rsidP="00955D5B" w:rsidRDefault="00955D5B" w14:paraId="74326157" w14:textId="77777777">
            <w:pPr>
              <w:spacing w:line="276" w:lineRule="auto"/>
              <w:jc w:val="both"/>
              <w:rPr>
                <w:rFonts w:ascii="Arial" w:hAnsi="Arial" w:eastAsia="Arial" w:cs="Arial"/>
                <w:bCs/>
                <w:color w:val="000000"/>
                <w:sz w:val="22"/>
                <w:szCs w:val="22"/>
                <w:lang w:val="es-ES" w:eastAsia="es-ES_tradnl"/>
              </w:rPr>
            </w:pPr>
          </w:p>
          <w:p w:rsidRPr="00460695" w:rsidR="00460695" w:rsidP="00460695" w:rsidRDefault="00460695" w14:paraId="44EB0D20" w14:textId="77777777">
            <w:pPr>
              <w:spacing w:line="276" w:lineRule="auto"/>
              <w:jc w:val="both"/>
              <w:rPr>
                <w:rFonts w:ascii="Arial" w:hAnsi="Arial" w:eastAsia="Arial" w:cs="Arial"/>
                <w:color w:val="000000"/>
                <w:lang w:val="es-MX" w:eastAsia="es-ES_tradnl"/>
              </w:rPr>
            </w:pPr>
          </w:p>
        </w:tc>
      </w:tr>
      <w:tr w:rsidRPr="00460695" w:rsidR="00460695" w:rsidTr="6D682A13" w14:paraId="6D52D57B" w14:textId="77777777">
        <w:tc>
          <w:tcPr>
            <w:tcW w:w="2689" w:type="dxa"/>
            <w:tcMar/>
          </w:tcPr>
          <w:p w:rsidRPr="00460695" w:rsidR="00460695" w:rsidP="0094717E" w:rsidRDefault="00460695" w14:paraId="378F8424" w14:textId="77777777">
            <w:pPr>
              <w:spacing w:line="276" w:lineRule="auto"/>
              <w:ind w:left="-108"/>
              <w:rPr>
                <w:rFonts w:ascii="Arial" w:hAnsi="Arial" w:eastAsia="Arial" w:cs="Arial"/>
                <w:b/>
                <w:color w:val="000000"/>
                <w:sz w:val="22"/>
                <w:szCs w:val="22"/>
                <w:lang w:val="es-MX" w:eastAsia="es-ES_tradnl"/>
              </w:rPr>
            </w:pPr>
            <w:r w:rsidRPr="00460695">
              <w:rPr>
                <w:rFonts w:ascii="Arial" w:hAnsi="Arial" w:eastAsia="Arial" w:cs="Arial"/>
                <w:b/>
                <w:color w:val="000000"/>
                <w:sz w:val="22"/>
                <w:szCs w:val="22"/>
                <w:lang w:val="es-MX" w:eastAsia="es-ES_tradnl"/>
              </w:rPr>
              <w:t>Radicación:</w:t>
            </w:r>
            <w:r w:rsidRPr="00460695">
              <w:rPr>
                <w:rFonts w:ascii="Arial" w:hAnsi="Arial" w:eastAsia="Arial" w:cs="Arial"/>
                <w:color w:val="000000"/>
                <w:sz w:val="22"/>
                <w:szCs w:val="22"/>
                <w:lang w:val="es-MX" w:eastAsia="es-ES_tradnl"/>
              </w:rPr>
              <w:t xml:space="preserve">                              </w:t>
            </w:r>
          </w:p>
        </w:tc>
        <w:tc>
          <w:tcPr>
            <w:tcW w:w="6237" w:type="dxa"/>
            <w:tcMar/>
          </w:tcPr>
          <w:p w:rsidRPr="00460695" w:rsidR="00460695" w:rsidP="6D682A13" w:rsidRDefault="00460695" w14:paraId="377A63C9" w14:textId="478A419D">
            <w:pPr>
              <w:spacing w:line="276" w:lineRule="auto"/>
              <w:jc w:val="both"/>
              <w:rPr>
                <w:rFonts w:ascii="Arial" w:hAnsi="Arial" w:eastAsia="Arial" w:cs="Arial"/>
                <w:color w:val="000000"/>
                <w:sz w:val="22"/>
                <w:szCs w:val="22"/>
                <w:highlight w:val="yellow"/>
                <w:lang w:val="es-MX" w:eastAsia="es-ES"/>
              </w:rPr>
            </w:pPr>
            <w:r w:rsidRPr="6D682A13" w:rsidR="00460695">
              <w:rPr>
                <w:rFonts w:ascii="Arial" w:hAnsi="Arial" w:eastAsia="Arial" w:cs="Arial"/>
                <w:color w:val="000000" w:themeColor="text1" w:themeTint="FF" w:themeShade="FF"/>
                <w:sz w:val="22"/>
                <w:szCs w:val="22"/>
                <w:lang w:val="es-MX" w:eastAsia="es-ES"/>
              </w:rPr>
              <w:t xml:space="preserve">Respuesta a consulta </w:t>
            </w:r>
            <w:r w:rsidRPr="6D682A13" w:rsidR="7F32D67C">
              <w:rPr>
                <w:rFonts w:ascii="Arial" w:hAnsi="Arial" w:eastAsia="Arial" w:cs="Arial"/>
                <w:color w:val="000000" w:themeColor="text1" w:themeTint="FF" w:themeShade="FF"/>
                <w:sz w:val="22"/>
                <w:szCs w:val="22"/>
                <w:lang w:val="es-MX" w:eastAsia="es-ES"/>
              </w:rPr>
              <w:t>P</w:t>
            </w:r>
            <w:r w:rsidRPr="6D682A13" w:rsidR="00460695">
              <w:rPr>
                <w:rFonts w:ascii="Arial" w:hAnsi="Arial" w:eastAsia="Arial" w:cs="Arial"/>
                <w:color w:val="000000" w:themeColor="text1" w:themeTint="FF" w:themeShade="FF"/>
                <w:sz w:val="22"/>
                <w:szCs w:val="22"/>
                <w:lang w:val="es-MX" w:eastAsia="es-ES"/>
              </w:rPr>
              <w:t>202209</w:t>
            </w:r>
            <w:r w:rsidRPr="6D682A13" w:rsidR="00955D5B">
              <w:rPr>
                <w:rFonts w:ascii="Arial" w:hAnsi="Arial" w:eastAsia="Arial" w:cs="Arial"/>
                <w:color w:val="000000" w:themeColor="text1" w:themeTint="FF" w:themeShade="FF"/>
                <w:sz w:val="22"/>
                <w:szCs w:val="22"/>
                <w:lang w:val="es-MX" w:eastAsia="es-ES"/>
              </w:rPr>
              <w:t>13009233</w:t>
            </w:r>
          </w:p>
        </w:tc>
      </w:tr>
      <w:tr w:rsidRPr="00460695" w:rsidR="00460695" w:rsidTr="6D682A13" w14:paraId="3D9B4344" w14:textId="77777777">
        <w:tc>
          <w:tcPr>
            <w:tcW w:w="2689" w:type="dxa"/>
            <w:tcMar/>
          </w:tcPr>
          <w:p w:rsidRPr="00460695" w:rsidR="00460695" w:rsidP="00460695" w:rsidRDefault="00460695" w14:paraId="1DD4CA1E" w14:textId="77777777">
            <w:pPr>
              <w:spacing w:line="276" w:lineRule="auto"/>
              <w:rPr>
                <w:rFonts w:ascii="Arial" w:hAnsi="Arial" w:eastAsia="Arial" w:cs="Arial"/>
                <w:b/>
                <w:color w:val="000000"/>
                <w:sz w:val="22"/>
                <w:szCs w:val="22"/>
                <w:lang w:val="es-MX" w:eastAsia="es-ES_tradnl"/>
              </w:rPr>
            </w:pPr>
          </w:p>
        </w:tc>
        <w:tc>
          <w:tcPr>
            <w:tcW w:w="6237" w:type="dxa"/>
            <w:tcMar/>
          </w:tcPr>
          <w:p w:rsidRPr="00460695" w:rsidR="00460695" w:rsidP="00460695" w:rsidRDefault="00460695" w14:paraId="075AB340" w14:textId="77777777">
            <w:pPr>
              <w:spacing w:line="276" w:lineRule="auto"/>
              <w:rPr>
                <w:rFonts w:ascii="Arial" w:hAnsi="Arial" w:eastAsia="Arial" w:cs="Arial"/>
                <w:color w:val="000000"/>
                <w:sz w:val="22"/>
                <w:szCs w:val="22"/>
                <w:lang w:val="es-MX" w:eastAsia="es-ES_tradnl"/>
              </w:rPr>
            </w:pPr>
          </w:p>
        </w:tc>
      </w:tr>
    </w:tbl>
    <w:p w:rsidRPr="00460695" w:rsidR="00460695" w:rsidP="00460695" w:rsidRDefault="00460695" w14:paraId="08705735" w14:textId="77777777">
      <w:pPr>
        <w:spacing w:line="276" w:lineRule="auto"/>
        <w:jc w:val="both"/>
        <w:rPr>
          <w:rFonts w:ascii="Calibri" w:hAnsi="Calibri" w:eastAsia="Calibri" w:cs="Calibri"/>
          <w:color w:val="000000"/>
          <w:sz w:val="22"/>
          <w:szCs w:val="22"/>
          <w:lang w:val="es-MX" w:eastAsia="es-ES_tradnl"/>
        </w:rPr>
      </w:pPr>
    </w:p>
    <w:p w:rsidRPr="00460695" w:rsidR="00460695" w:rsidP="00460695" w:rsidRDefault="00460695" w14:paraId="58CE3504" w14:textId="77777777">
      <w:pPr>
        <w:spacing w:line="276" w:lineRule="auto"/>
        <w:jc w:val="both"/>
        <w:rPr>
          <w:rFonts w:ascii="Arial" w:hAnsi="Arial" w:eastAsia="Arial" w:cs="Arial"/>
          <w:color w:val="000000"/>
          <w:sz w:val="22"/>
          <w:szCs w:val="22"/>
          <w:lang w:val="es-MX" w:eastAsia="es-ES_tradnl"/>
        </w:rPr>
      </w:pPr>
    </w:p>
    <w:p w:rsidRPr="00460695" w:rsidR="00460695" w:rsidP="00460695" w:rsidRDefault="00955D5B" w14:paraId="79D4AD19" w14:textId="6F317F91">
      <w:pPr>
        <w:spacing w:line="276" w:lineRule="auto"/>
        <w:jc w:val="both"/>
        <w:rPr>
          <w:rFonts w:ascii="Arial" w:hAnsi="Arial" w:eastAsia="Arial" w:cs="Arial"/>
          <w:color w:val="000000"/>
          <w:sz w:val="22"/>
          <w:szCs w:val="22"/>
          <w:lang w:val="es-MX" w:eastAsia="es-ES_tradnl"/>
        </w:rPr>
      </w:pPr>
      <w:r>
        <w:rPr>
          <w:rFonts w:ascii="Arial" w:hAnsi="Arial" w:eastAsia="Arial" w:cs="Arial"/>
          <w:color w:val="000000"/>
          <w:sz w:val="22"/>
          <w:szCs w:val="22"/>
          <w:lang w:val="es-MX" w:eastAsia="es-ES_tradnl"/>
        </w:rPr>
        <w:t>Estimado señor Ramírez</w:t>
      </w:r>
      <w:r w:rsidRPr="00460695" w:rsidR="00460695">
        <w:rPr>
          <w:rFonts w:ascii="Arial" w:hAnsi="Arial" w:eastAsia="Arial" w:cs="Arial"/>
          <w:color w:val="000000"/>
          <w:sz w:val="22"/>
          <w:szCs w:val="22"/>
          <w:lang w:val="es-MX" w:eastAsia="es-ES_tradnl"/>
        </w:rPr>
        <w:t>:</w:t>
      </w:r>
    </w:p>
    <w:p w:rsidRPr="00460695" w:rsidR="00460695" w:rsidP="00460695" w:rsidRDefault="00460695" w14:paraId="6F017F55" w14:textId="77777777">
      <w:pPr>
        <w:spacing w:line="276" w:lineRule="auto"/>
        <w:ind w:firstLine="709"/>
        <w:jc w:val="both"/>
        <w:rPr>
          <w:rFonts w:ascii="Arial" w:hAnsi="Arial" w:eastAsia="Arial" w:cs="Arial"/>
          <w:color w:val="000000"/>
          <w:sz w:val="22"/>
          <w:szCs w:val="22"/>
          <w:lang w:val="es-MX" w:eastAsia="es-ES_tradnl"/>
        </w:rPr>
      </w:pPr>
    </w:p>
    <w:p w:rsidRPr="00460695" w:rsidR="00460695" w:rsidP="00460695" w:rsidRDefault="00460695" w14:paraId="277EC569" w14:textId="58F7C693">
      <w:pPr>
        <w:spacing w:line="276" w:lineRule="auto"/>
        <w:ind w:right="51"/>
        <w:jc w:val="both"/>
        <w:rPr>
          <w:rFonts w:ascii="Arial" w:hAnsi="Arial" w:eastAsia="Arial" w:cs="Arial"/>
          <w:color w:val="000000"/>
          <w:sz w:val="22"/>
          <w:szCs w:val="22"/>
          <w:lang w:val="es-MX" w:eastAsia="es-ES_tradnl"/>
        </w:rPr>
      </w:pPr>
      <w:r w:rsidRPr="00460695">
        <w:rPr>
          <w:rFonts w:ascii="Arial" w:hAnsi="Arial" w:eastAsia="Arial" w:cs="Arial"/>
          <w:color w:val="000000"/>
          <w:sz w:val="22"/>
          <w:szCs w:val="22"/>
          <w:lang w:val="es-MX" w:eastAsia="es-ES_tradnl"/>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955D5B">
        <w:rPr>
          <w:rFonts w:ascii="Arial" w:hAnsi="Arial" w:eastAsia="Arial" w:cs="Arial"/>
          <w:color w:val="000000"/>
          <w:sz w:val="22"/>
          <w:szCs w:val="22"/>
          <w:lang w:val="es-MX" w:eastAsia="es-ES_tradnl"/>
        </w:rPr>
        <w:t>1</w:t>
      </w:r>
      <w:r w:rsidRPr="00460695">
        <w:rPr>
          <w:rFonts w:ascii="Arial" w:hAnsi="Arial" w:eastAsia="Arial" w:cs="Arial"/>
          <w:color w:val="000000"/>
          <w:sz w:val="22"/>
          <w:szCs w:val="22"/>
          <w:lang w:val="es-MX" w:eastAsia="es-ES_tradnl"/>
        </w:rPr>
        <w:t xml:space="preserve">3 de septiembre de 2022. </w:t>
      </w:r>
    </w:p>
    <w:p w:rsidRPr="00460695" w:rsidR="00460695" w:rsidP="00460695" w:rsidRDefault="00460695" w14:paraId="4568056A" w14:textId="77777777">
      <w:pPr>
        <w:spacing w:line="276" w:lineRule="auto"/>
        <w:jc w:val="both"/>
        <w:rPr>
          <w:rFonts w:ascii="Arial" w:hAnsi="Arial" w:eastAsia="Arial" w:cs="Arial"/>
          <w:color w:val="000000"/>
          <w:sz w:val="22"/>
          <w:szCs w:val="22"/>
          <w:lang w:val="es-MX" w:eastAsia="es-ES_tradnl"/>
        </w:rPr>
      </w:pPr>
    </w:p>
    <w:p w:rsidRPr="00460695" w:rsidR="00460695" w:rsidP="00460695" w:rsidRDefault="00460695" w14:paraId="42A49D28" w14:textId="77777777">
      <w:pPr>
        <w:tabs>
          <w:tab w:val="left" w:pos="284"/>
        </w:tabs>
        <w:spacing w:line="276" w:lineRule="auto"/>
        <w:jc w:val="both"/>
        <w:rPr>
          <w:rFonts w:ascii="Arial" w:hAnsi="Arial" w:eastAsia="Arial" w:cs="Arial"/>
          <w:b/>
          <w:color w:val="000000"/>
          <w:sz w:val="22"/>
          <w:szCs w:val="22"/>
          <w:lang w:val="es-MX" w:eastAsia="es-ES_tradnl"/>
        </w:rPr>
      </w:pPr>
      <w:r w:rsidRPr="00460695">
        <w:rPr>
          <w:rFonts w:ascii="Arial" w:hAnsi="Arial" w:eastAsia="Arial" w:cs="Arial"/>
          <w:b/>
          <w:color w:val="000000"/>
          <w:sz w:val="22"/>
          <w:szCs w:val="22"/>
          <w:lang w:val="es-MX" w:eastAsia="es-ES_tradnl"/>
        </w:rPr>
        <w:t xml:space="preserve">1. Problema planteado </w:t>
      </w:r>
    </w:p>
    <w:p w:rsidRPr="00460695" w:rsidR="00460695" w:rsidP="00460695" w:rsidRDefault="00460695" w14:paraId="402DE5B7" w14:textId="77777777">
      <w:pPr>
        <w:pBdr>
          <w:top w:val="nil"/>
          <w:left w:val="nil"/>
          <w:bottom w:val="nil"/>
          <w:right w:val="nil"/>
          <w:between w:val="nil"/>
        </w:pBdr>
        <w:spacing w:line="276" w:lineRule="auto"/>
        <w:jc w:val="both"/>
        <w:rPr>
          <w:rFonts w:ascii="Arial" w:hAnsi="Arial" w:eastAsia="Arial" w:cs="Arial"/>
          <w:color w:val="000000"/>
          <w:sz w:val="22"/>
          <w:szCs w:val="22"/>
          <w:lang w:val="es-MX" w:eastAsia="es-ES_tradnl"/>
        </w:rPr>
      </w:pPr>
      <w:bookmarkStart w:name="_17dp8vu" w:colFirst="0" w:colLast="0" w:id="0"/>
      <w:bookmarkEnd w:id="0"/>
    </w:p>
    <w:p w:rsidRPr="00460695" w:rsidR="00460695" w:rsidP="00460695" w:rsidRDefault="00460695" w14:paraId="3BD283AF" w14:textId="28EF06EA">
      <w:pPr>
        <w:spacing w:line="276" w:lineRule="auto"/>
        <w:ind w:right="49"/>
        <w:jc w:val="both"/>
        <w:rPr>
          <w:rFonts w:ascii="Arial" w:hAnsi="Arial" w:cs="Arial"/>
          <w:bCs/>
          <w:sz w:val="22"/>
          <w:lang w:val="es-MX" w:eastAsia="es-ES_tradnl"/>
        </w:rPr>
      </w:pPr>
      <w:r w:rsidRPr="00460695">
        <w:rPr>
          <w:rFonts w:ascii="Arial" w:hAnsi="Arial" w:cs="Arial"/>
          <w:bCs/>
          <w:sz w:val="22"/>
          <w:lang w:val="es-MX" w:eastAsia="es-ES_tradnl"/>
        </w:rPr>
        <w:t>En la consulta identificada previamente usted solicita a la Agencia resolver los siguientes interrogantes, todos lo</w:t>
      </w:r>
      <w:r w:rsidR="00955D5B">
        <w:rPr>
          <w:rFonts w:ascii="Arial" w:hAnsi="Arial" w:cs="Arial"/>
          <w:bCs/>
          <w:sz w:val="22"/>
          <w:lang w:val="es-MX" w:eastAsia="es-ES_tradnl"/>
        </w:rPr>
        <w:t>s cuales guardan relación con la noción de Centros Provinciales de Gestión Agroempesarial</w:t>
      </w:r>
      <w:r w:rsidRPr="00460695">
        <w:rPr>
          <w:rFonts w:ascii="Arial" w:hAnsi="Arial" w:cs="Arial"/>
          <w:bCs/>
          <w:sz w:val="22"/>
          <w:lang w:val="es-MX" w:eastAsia="es-ES_tradnl"/>
        </w:rPr>
        <w:t>. En particular, se formulan los siguientes interrogantes,  junto con el siguiente contexto fáctico:</w:t>
      </w:r>
    </w:p>
    <w:p w:rsidRPr="00460695" w:rsidR="00460695" w:rsidP="00460695" w:rsidRDefault="00460695" w14:paraId="1612A120" w14:textId="77777777">
      <w:pPr>
        <w:spacing w:line="276" w:lineRule="auto"/>
        <w:ind w:right="49"/>
        <w:jc w:val="both"/>
        <w:rPr>
          <w:rFonts w:ascii="Arial" w:hAnsi="Arial" w:cs="Arial"/>
          <w:bCs/>
          <w:sz w:val="22"/>
          <w:lang w:val="es-MX" w:eastAsia="es-ES_tradnl"/>
        </w:rPr>
      </w:pPr>
    </w:p>
    <w:p w:rsidRPr="0052300F" w:rsidR="00955D5B" w:rsidP="00460695" w:rsidRDefault="0052300F" w14:paraId="4C6C1717" w14:textId="5E3EAD4E">
      <w:pPr>
        <w:shd w:val="clear" w:color="auto" w:fill="FFFFFF"/>
        <w:spacing w:line="276" w:lineRule="auto"/>
        <w:ind w:left="709" w:right="709"/>
        <w:jc w:val="both"/>
        <w:rPr>
          <w:rFonts w:ascii="Arial" w:hAnsi="Arial" w:eastAsia="Calibri" w:cs="Arial"/>
          <w:color w:val="0D0D0D"/>
          <w:sz w:val="20"/>
          <w:szCs w:val="20"/>
          <w:bdr w:val="none" w:color="auto" w:sz="0" w:space="0" w:frame="1"/>
          <w:lang w:eastAsia="es-CO"/>
        </w:rPr>
      </w:pPr>
      <w:r>
        <w:rPr>
          <w:rFonts w:ascii="Arial" w:hAnsi="Arial" w:eastAsia="Calibri" w:cs="Arial"/>
          <w:color w:val="0D0D0D"/>
          <w:sz w:val="20"/>
          <w:szCs w:val="20"/>
          <w:bdr w:val="none" w:color="auto" w:sz="0" w:space="0" w:frame="1"/>
          <w:lang w:eastAsia="es-CO"/>
        </w:rPr>
        <w:t>«</w:t>
      </w:r>
      <w:r w:rsidRPr="0052300F" w:rsidR="00955D5B">
        <w:rPr>
          <w:rFonts w:ascii="Arial" w:hAnsi="Arial" w:eastAsia="Calibri" w:cs="Arial"/>
          <w:color w:val="0D0D0D"/>
          <w:sz w:val="20"/>
          <w:szCs w:val="20"/>
          <w:bdr w:val="none" w:color="auto" w:sz="0" w:space="0" w:frame="1"/>
          <w:lang w:eastAsia="es-CO"/>
        </w:rPr>
        <w:t xml:space="preserve">1. </w:t>
      </w:r>
      <w:proofErr w:type="gramStart"/>
      <w:r w:rsidRPr="0052300F" w:rsidR="00955D5B">
        <w:rPr>
          <w:rFonts w:ascii="Arial" w:hAnsi="Arial" w:eastAsia="Calibri" w:cs="Arial"/>
          <w:color w:val="0D0D0D"/>
          <w:sz w:val="20"/>
          <w:szCs w:val="20"/>
          <w:bdr w:val="none" w:color="auto" w:sz="0" w:space="0" w:frame="1"/>
          <w:lang w:eastAsia="es-CO"/>
        </w:rPr>
        <w:t xml:space="preserve">¿Los Centros Provinciales de Gestión </w:t>
      </w:r>
      <w:r w:rsidRPr="0052300F" w:rsidR="004F6773">
        <w:rPr>
          <w:rFonts w:ascii="Arial" w:hAnsi="Arial" w:eastAsia="Calibri" w:cs="Arial"/>
          <w:color w:val="0D0D0D"/>
          <w:sz w:val="20"/>
          <w:szCs w:val="20"/>
          <w:bdr w:val="none" w:color="auto" w:sz="0" w:space="0" w:frame="1"/>
          <w:lang w:eastAsia="es-CO"/>
        </w:rPr>
        <w:t>Agroempresarial</w:t>
      </w:r>
      <w:r w:rsidRPr="0052300F" w:rsidR="00955D5B">
        <w:rPr>
          <w:rFonts w:ascii="Arial" w:hAnsi="Arial" w:eastAsia="Calibri" w:cs="Arial"/>
          <w:color w:val="0D0D0D"/>
          <w:sz w:val="20"/>
          <w:szCs w:val="20"/>
          <w:bdr w:val="none" w:color="auto" w:sz="0" w:space="0" w:frame="1"/>
          <w:lang w:eastAsia="es-CO"/>
        </w:rPr>
        <w:t>, entidades sin ánimo de lucro, creadas bajo el Decreto 1071 de 2015 y ARTÍCULO 2.</w:t>
      </w:r>
      <w:proofErr w:type="gramEnd"/>
      <w:r w:rsidRPr="0052300F" w:rsidR="00955D5B">
        <w:rPr>
          <w:rFonts w:ascii="Arial" w:hAnsi="Arial" w:eastAsia="Calibri" w:cs="Arial"/>
          <w:color w:val="0D0D0D"/>
          <w:sz w:val="20"/>
          <w:szCs w:val="20"/>
          <w:bdr w:val="none" w:color="auto" w:sz="0" w:space="0" w:frame="1"/>
          <w:lang w:eastAsia="es-CO"/>
        </w:rPr>
        <w:t>4.3.1.1 y siguientes, pueden s</w:t>
      </w:r>
      <w:r w:rsidRPr="0052300F" w:rsidR="00BE4B23">
        <w:rPr>
          <w:rFonts w:ascii="Arial" w:hAnsi="Arial" w:eastAsia="Calibri" w:cs="Arial"/>
          <w:color w:val="0D0D0D"/>
          <w:sz w:val="20"/>
          <w:szCs w:val="20"/>
          <w:bdr w:val="none" w:color="auto" w:sz="0" w:space="0" w:frame="1"/>
          <w:lang w:eastAsia="es-CO"/>
        </w:rPr>
        <w:t>er considerados entidad estatal</w:t>
      </w:r>
      <w:r w:rsidRPr="0052300F" w:rsidR="00955D5B">
        <w:rPr>
          <w:rFonts w:ascii="Arial" w:hAnsi="Arial" w:eastAsia="Calibri" w:cs="Arial"/>
          <w:color w:val="0D0D0D"/>
          <w:sz w:val="20"/>
          <w:szCs w:val="20"/>
          <w:bdr w:val="none" w:color="auto" w:sz="0" w:space="0" w:frame="1"/>
          <w:lang w:eastAsia="es-CO"/>
        </w:rPr>
        <w:t>? de conformidad con el artículo 2 de la Ley 80 de 1993, puesto que es una asociación de municipios?</w:t>
      </w:r>
    </w:p>
    <w:p w:rsidRPr="0052300F" w:rsidR="00D8603A" w:rsidP="00955D5B" w:rsidRDefault="00D8603A" w14:paraId="738A9573" w14:textId="77777777">
      <w:pPr>
        <w:shd w:val="clear" w:color="auto" w:fill="FFFFFF"/>
        <w:spacing w:line="276" w:lineRule="auto"/>
        <w:ind w:left="709" w:right="709"/>
        <w:jc w:val="both"/>
        <w:rPr>
          <w:rFonts w:ascii="Arial" w:hAnsi="Arial" w:eastAsia="Calibri" w:cs="Arial"/>
          <w:color w:val="0D0D0D"/>
          <w:sz w:val="20"/>
          <w:szCs w:val="20"/>
          <w:bdr w:val="none" w:color="auto" w:sz="0" w:space="0" w:frame="1"/>
          <w:lang w:eastAsia="es-CO"/>
        </w:rPr>
      </w:pPr>
    </w:p>
    <w:p w:rsidRPr="0052300F" w:rsidR="00460695" w:rsidP="00955D5B" w:rsidRDefault="00955D5B" w14:paraId="74C98C42" w14:textId="35901536">
      <w:pPr>
        <w:shd w:val="clear" w:color="auto" w:fill="FFFFFF"/>
        <w:spacing w:line="276" w:lineRule="auto"/>
        <w:ind w:left="709" w:right="709"/>
        <w:jc w:val="both"/>
        <w:rPr>
          <w:rFonts w:ascii="Arial" w:hAnsi="Arial" w:eastAsia="Calibri" w:cs="Arial"/>
          <w:color w:val="0D0D0D"/>
          <w:sz w:val="20"/>
          <w:szCs w:val="20"/>
          <w:bdr w:val="none" w:color="auto" w:sz="0" w:space="0" w:frame="1"/>
          <w:lang w:eastAsia="es-CO"/>
        </w:rPr>
      </w:pPr>
      <w:r w:rsidRPr="0052300F">
        <w:rPr>
          <w:rFonts w:ascii="Arial" w:hAnsi="Arial" w:eastAsia="Calibri" w:cs="Arial"/>
          <w:color w:val="0D0D0D"/>
          <w:sz w:val="20"/>
          <w:szCs w:val="20"/>
          <w:bdr w:val="none" w:color="auto" w:sz="0" w:space="0" w:frame="1"/>
          <w:lang w:eastAsia="es-CO"/>
        </w:rPr>
        <w:t>2. ¿Su régimen de contratación es aplicable lo concerniente a lo determinado en Ley 80 de 1993 y demás normas concordantes?</w:t>
      </w:r>
    </w:p>
    <w:p w:rsidRPr="0052300F" w:rsidR="00955D5B" w:rsidP="00955D5B" w:rsidRDefault="00955D5B" w14:paraId="6F207BA9" w14:textId="77777777">
      <w:pPr>
        <w:shd w:val="clear" w:color="auto" w:fill="FFFFFF"/>
        <w:spacing w:line="276" w:lineRule="auto"/>
        <w:ind w:left="709" w:right="709"/>
        <w:jc w:val="both"/>
        <w:rPr>
          <w:rFonts w:ascii="Arial" w:hAnsi="Arial" w:eastAsia="Calibri" w:cs="Arial"/>
          <w:color w:val="0D0D0D"/>
          <w:sz w:val="20"/>
          <w:szCs w:val="20"/>
          <w:bdr w:val="none" w:color="auto" w:sz="0" w:space="0" w:frame="1"/>
          <w:lang w:eastAsia="es-CO"/>
        </w:rPr>
      </w:pPr>
    </w:p>
    <w:p w:rsidRPr="0052300F" w:rsidR="00955D5B" w:rsidP="00955D5B" w:rsidRDefault="00955D5B" w14:paraId="4C34EB98" w14:textId="7A0F3AE1">
      <w:pPr>
        <w:shd w:val="clear" w:color="auto" w:fill="FFFFFF"/>
        <w:spacing w:line="276" w:lineRule="auto"/>
        <w:ind w:left="709" w:right="709"/>
        <w:jc w:val="both"/>
        <w:rPr>
          <w:rFonts w:ascii="Arial" w:hAnsi="Arial" w:eastAsia="Calibri" w:cs="Arial"/>
          <w:color w:val="0D0D0D"/>
          <w:sz w:val="20"/>
          <w:szCs w:val="20"/>
          <w:bdr w:val="none" w:color="auto" w:sz="0" w:space="0" w:frame="1"/>
          <w:lang w:eastAsia="es-CO"/>
        </w:rPr>
      </w:pPr>
      <w:r w:rsidRPr="0052300F">
        <w:rPr>
          <w:rFonts w:ascii="Arial" w:hAnsi="Arial" w:eastAsia="Calibri" w:cs="Arial"/>
          <w:color w:val="0D0D0D"/>
          <w:sz w:val="20"/>
          <w:szCs w:val="20"/>
          <w:bdr w:val="none" w:color="auto" w:sz="0" w:space="0" w:frame="1"/>
          <w:lang w:eastAsia="es-CO"/>
        </w:rPr>
        <w:t>3. Si fuera aplica</w:t>
      </w:r>
      <w:r w:rsidRPr="0052300F" w:rsidR="00A36F76">
        <w:rPr>
          <w:rFonts w:ascii="Arial" w:hAnsi="Arial" w:eastAsia="Calibri" w:cs="Arial"/>
          <w:color w:val="0D0D0D"/>
          <w:sz w:val="20"/>
          <w:szCs w:val="20"/>
          <w:bdr w:val="none" w:color="auto" w:sz="0" w:space="0" w:frame="1"/>
          <w:lang w:eastAsia="es-CO"/>
        </w:rPr>
        <w:t xml:space="preserve">ble el principio de publicidad, </w:t>
      </w:r>
      <w:r w:rsidRPr="0052300F" w:rsidR="00AE053E">
        <w:rPr>
          <w:rFonts w:ascii="Arial" w:hAnsi="Arial" w:eastAsia="Calibri" w:cs="Arial"/>
          <w:color w:val="0D0D0D"/>
          <w:sz w:val="20"/>
          <w:szCs w:val="20"/>
          <w:bdr w:val="none" w:color="auto" w:sz="0" w:space="0" w:frame="1"/>
          <w:lang w:eastAsia="es-CO"/>
        </w:rPr>
        <w:t>¿</w:t>
      </w:r>
      <w:r w:rsidRPr="0052300F">
        <w:rPr>
          <w:rFonts w:ascii="Arial" w:hAnsi="Arial" w:eastAsia="Calibri" w:cs="Arial"/>
          <w:color w:val="0D0D0D"/>
          <w:sz w:val="20"/>
          <w:szCs w:val="20"/>
          <w:bdr w:val="none" w:color="auto" w:sz="0" w:space="0" w:frame="1"/>
          <w:lang w:eastAsia="es-CO"/>
        </w:rPr>
        <w:t>serán necesario publicar su actividad contractual en el SECOP 1 o SECOP 2</w:t>
      </w:r>
      <w:r w:rsidRPr="0052300F" w:rsidR="00AE053E">
        <w:rPr>
          <w:rFonts w:ascii="Arial" w:hAnsi="Arial" w:eastAsia="Calibri" w:cs="Arial"/>
          <w:color w:val="0D0D0D"/>
          <w:sz w:val="20"/>
          <w:szCs w:val="20"/>
          <w:bdr w:val="none" w:color="auto" w:sz="0" w:space="0" w:frame="1"/>
          <w:lang w:eastAsia="es-CO"/>
        </w:rPr>
        <w:t>’</w:t>
      </w:r>
      <w:r w:rsidRPr="0052300F">
        <w:rPr>
          <w:rFonts w:ascii="Arial" w:hAnsi="Arial" w:eastAsia="Calibri" w:cs="Arial"/>
          <w:color w:val="0D0D0D"/>
          <w:sz w:val="20"/>
          <w:szCs w:val="20"/>
          <w:bdr w:val="none" w:color="auto" w:sz="0" w:space="0" w:frame="1"/>
          <w:lang w:eastAsia="es-CO"/>
        </w:rPr>
        <w:t xml:space="preserve">, si es este </w:t>
      </w:r>
      <w:r w:rsidRPr="0052300F" w:rsidR="00AE053E">
        <w:rPr>
          <w:rFonts w:ascii="Arial" w:hAnsi="Arial" w:eastAsia="Calibri" w:cs="Arial"/>
          <w:color w:val="0D0D0D"/>
          <w:sz w:val="20"/>
          <w:szCs w:val="20"/>
          <w:bdr w:val="none" w:color="auto" w:sz="0" w:space="0" w:frame="1"/>
          <w:lang w:eastAsia="es-CO"/>
        </w:rPr>
        <w:t>último</w:t>
      </w:r>
      <w:r w:rsidRPr="0052300F">
        <w:rPr>
          <w:rFonts w:ascii="Arial" w:hAnsi="Arial" w:eastAsia="Calibri" w:cs="Arial"/>
          <w:color w:val="0D0D0D"/>
          <w:sz w:val="20"/>
          <w:szCs w:val="20"/>
          <w:bdr w:val="none" w:color="auto" w:sz="0" w:space="0" w:frame="1"/>
          <w:lang w:eastAsia="es-CO"/>
        </w:rPr>
        <w:t xml:space="preserve"> por favor determinar la fecha máxima de obligatorio cumplimiento para este tipo de entidades.</w:t>
      </w:r>
    </w:p>
    <w:p w:rsidRPr="0052300F" w:rsidR="00AE053E" w:rsidP="00955D5B" w:rsidRDefault="00AE053E" w14:paraId="3C225C37" w14:textId="77777777">
      <w:pPr>
        <w:shd w:val="clear" w:color="auto" w:fill="FFFFFF"/>
        <w:spacing w:line="276" w:lineRule="auto"/>
        <w:ind w:left="709" w:right="709"/>
        <w:jc w:val="both"/>
        <w:rPr>
          <w:rFonts w:ascii="Arial" w:hAnsi="Arial" w:cs="Arial"/>
          <w:bCs/>
          <w:sz w:val="20"/>
          <w:szCs w:val="20"/>
          <w:lang w:eastAsia="es-ES_tradnl"/>
        </w:rPr>
      </w:pPr>
    </w:p>
    <w:p w:rsidRPr="0052300F" w:rsidR="00AE053E" w:rsidP="00955D5B" w:rsidRDefault="00AE053E" w14:paraId="1D90566D" w14:textId="1DDA6418">
      <w:pPr>
        <w:shd w:val="clear" w:color="auto" w:fill="FFFFFF"/>
        <w:spacing w:line="276" w:lineRule="auto"/>
        <w:ind w:left="709" w:right="709"/>
        <w:jc w:val="both"/>
        <w:rPr>
          <w:rFonts w:ascii="Arial" w:hAnsi="Arial" w:cs="Arial"/>
          <w:bCs/>
          <w:sz w:val="20"/>
          <w:szCs w:val="20"/>
          <w:lang w:val="es-CO" w:eastAsia="es-ES_tradnl"/>
        </w:rPr>
      </w:pPr>
      <w:r w:rsidRPr="0052300F">
        <w:rPr>
          <w:rFonts w:ascii="Arial" w:hAnsi="Arial" w:cs="Arial"/>
          <w:bCs/>
          <w:sz w:val="20"/>
          <w:szCs w:val="20"/>
          <w:lang w:eastAsia="es-ES_tradnl"/>
        </w:rPr>
        <w:t xml:space="preserve">4. </w:t>
      </w:r>
      <w:proofErr w:type="gramStart"/>
      <w:r w:rsidRPr="0052300F">
        <w:rPr>
          <w:rFonts w:ascii="Arial" w:hAnsi="Arial" w:cs="Arial"/>
          <w:bCs/>
          <w:sz w:val="20"/>
          <w:szCs w:val="20"/>
          <w:lang w:eastAsia="es-ES_tradnl"/>
        </w:rPr>
        <w:t xml:space="preserve">Si los Centros Provinciales de Gestión </w:t>
      </w:r>
      <w:r w:rsidRPr="0052300F" w:rsidR="004F6773">
        <w:rPr>
          <w:rFonts w:ascii="Arial" w:hAnsi="Arial" w:cs="Arial"/>
          <w:bCs/>
          <w:sz w:val="20"/>
          <w:szCs w:val="20"/>
          <w:lang w:eastAsia="es-ES_tradnl"/>
        </w:rPr>
        <w:t>Agroempresarial</w:t>
      </w:r>
      <w:r w:rsidRPr="0052300F">
        <w:rPr>
          <w:rFonts w:ascii="Arial" w:hAnsi="Arial" w:cs="Arial"/>
          <w:bCs/>
          <w:sz w:val="20"/>
          <w:szCs w:val="20"/>
          <w:lang w:eastAsia="es-ES_tradnl"/>
        </w:rPr>
        <w:t xml:space="preserve"> son entidades ejecutoras de un convenio interadministrativo celebrado con una entidad territorial, los bienes y suministros a ejecutar para su adquisición tendrán que realizarse a través de alguna de las modalidades de selección?</w:t>
      </w:r>
      <w:proofErr w:type="gramEnd"/>
      <w:r w:rsidR="0052300F">
        <w:rPr>
          <w:rFonts w:ascii="Arial" w:hAnsi="Arial" w:cs="Arial"/>
          <w:bCs/>
          <w:sz w:val="20"/>
          <w:szCs w:val="20"/>
          <w:lang w:eastAsia="es-ES_tradnl"/>
        </w:rPr>
        <w:t>»</w:t>
      </w:r>
    </w:p>
    <w:p w:rsidR="00BF4B5C" w:rsidP="00460695" w:rsidRDefault="00BF4B5C" w14:paraId="4FF0011B" w14:textId="77777777">
      <w:pPr>
        <w:spacing w:line="276" w:lineRule="auto"/>
        <w:ind w:right="709"/>
        <w:jc w:val="both"/>
        <w:rPr>
          <w:rFonts w:ascii="Arial" w:hAnsi="Arial" w:eastAsia="Arial" w:cs="Arial"/>
          <w:b/>
          <w:color w:val="000000"/>
          <w:sz w:val="22"/>
          <w:szCs w:val="22"/>
          <w:lang w:val="es-MX" w:eastAsia="es-ES_tradnl"/>
        </w:rPr>
      </w:pPr>
    </w:p>
    <w:p w:rsidRPr="00460695" w:rsidR="00460695" w:rsidP="00460695" w:rsidRDefault="00460695" w14:paraId="7316A8E0" w14:textId="693C66B4">
      <w:pPr>
        <w:spacing w:line="276" w:lineRule="auto"/>
        <w:ind w:right="709"/>
        <w:jc w:val="both"/>
        <w:rPr>
          <w:rFonts w:ascii="Arial" w:hAnsi="Arial" w:eastAsia="Arial" w:cs="Arial"/>
          <w:b/>
          <w:color w:val="000000"/>
          <w:sz w:val="22"/>
          <w:szCs w:val="22"/>
          <w:lang w:val="es-MX" w:eastAsia="es-ES_tradnl"/>
        </w:rPr>
      </w:pPr>
      <w:r w:rsidRPr="00460695">
        <w:rPr>
          <w:rFonts w:ascii="Arial" w:hAnsi="Arial" w:eastAsia="Arial" w:cs="Arial"/>
          <w:b/>
          <w:color w:val="000000"/>
          <w:sz w:val="22"/>
          <w:szCs w:val="22"/>
          <w:lang w:val="es-MX" w:eastAsia="es-ES_tradnl"/>
        </w:rPr>
        <w:t xml:space="preserve">2. Consideraciones </w:t>
      </w:r>
    </w:p>
    <w:p w:rsidRPr="00460695" w:rsidR="00460695" w:rsidP="00460695" w:rsidRDefault="00460695" w14:paraId="47597E9A" w14:textId="77777777">
      <w:pPr>
        <w:spacing w:line="276" w:lineRule="auto"/>
        <w:ind w:right="709"/>
        <w:jc w:val="both"/>
        <w:rPr>
          <w:rFonts w:ascii="Arial" w:hAnsi="Arial" w:eastAsia="Arial" w:cs="Arial"/>
          <w:b/>
          <w:color w:val="000000"/>
          <w:sz w:val="22"/>
          <w:szCs w:val="22"/>
          <w:lang w:val="es-MX" w:eastAsia="es-ES_tradnl"/>
        </w:rPr>
      </w:pPr>
    </w:p>
    <w:p w:rsidRPr="00460695" w:rsidR="00460695" w:rsidP="00460695" w:rsidRDefault="00460695" w14:paraId="4F5AC312" w14:textId="77777777">
      <w:pPr>
        <w:spacing w:line="276" w:lineRule="auto"/>
        <w:jc w:val="both"/>
        <w:rPr>
          <w:rFonts w:ascii="Arial" w:hAnsi="Arial" w:cs="Arial"/>
          <w:bCs/>
          <w:sz w:val="22"/>
          <w:lang w:val="es-CO" w:eastAsia="es-ES_tradnl"/>
        </w:rPr>
      </w:pPr>
      <w:r w:rsidRPr="00460695">
        <w:rPr>
          <w:rFonts w:ascii="Arial" w:hAnsi="Arial" w:cs="Arial"/>
          <w:bCs/>
          <w:sz w:val="22"/>
          <w:lang w:val="es-CO"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1"/>
      <w:bookmarkStart w:name="_Hlk62136649" w:id="2"/>
      <w:r w:rsidRPr="00460695">
        <w:rPr>
          <w:rFonts w:ascii="Arial" w:hAnsi="Arial" w:cs="Arial"/>
          <w:bCs/>
          <w:sz w:val="22"/>
          <w:lang w:val="es-CO" w:eastAsia="es-ES_tradnl"/>
        </w:rPr>
        <w:t xml:space="preserve"> </w:t>
      </w:r>
      <w:r w:rsidRPr="00460695">
        <w:rPr>
          <w:rFonts w:ascii="Arial" w:hAnsi="Arial" w:cs="Arial"/>
          <w:sz w:val="22"/>
          <w:lang w:val="es-ES" w:eastAsia="es-ES_tradnl"/>
        </w:rPr>
        <w:t xml:space="preserve">Es necesario tener en cuenta que </w:t>
      </w:r>
      <w:bookmarkStart w:name="_Hlk61026958" w:id="3"/>
      <w:r w:rsidRPr="00460695">
        <w:rPr>
          <w:rFonts w:ascii="Arial" w:hAnsi="Arial" w:cs="Arial"/>
          <w:sz w:val="22"/>
          <w:lang w:val="es-ES" w:eastAsia="es-ES_tradnl"/>
        </w:rPr>
        <w:t>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60695">
        <w:rPr>
          <w:rFonts w:ascii="Arial" w:hAnsi="Arial" w:cs="Arial"/>
          <w:bCs/>
          <w:sz w:val="22"/>
          <w:lang w:val="es-CO" w:eastAsia="es-ES_tradnl"/>
        </w:rPr>
        <w:t xml:space="preserve"> de todos los partícipes de la contratación estatal.</w:t>
      </w:r>
    </w:p>
    <w:p w:rsidRPr="00460695" w:rsidR="00460695" w:rsidP="00460695" w:rsidRDefault="00460695" w14:paraId="67FA5D4F" w14:textId="77777777">
      <w:pPr>
        <w:spacing w:line="276" w:lineRule="auto"/>
        <w:jc w:val="both"/>
        <w:rPr>
          <w:rFonts w:ascii="Arial" w:hAnsi="Arial" w:cs="Arial"/>
          <w:bCs/>
          <w:sz w:val="22"/>
          <w:lang w:val="es-CO" w:eastAsia="es-ES_tradnl"/>
        </w:rPr>
      </w:pPr>
    </w:p>
    <w:p w:rsidRPr="00460695" w:rsidR="00460695" w:rsidP="00460695" w:rsidRDefault="00460695" w14:paraId="0ADA7C64" w14:textId="66D4DE39">
      <w:pPr>
        <w:spacing w:line="276" w:lineRule="auto"/>
        <w:ind w:firstLine="708"/>
        <w:jc w:val="both"/>
        <w:rPr>
          <w:rFonts w:ascii="Arial" w:hAnsi="Arial" w:eastAsia="Calibri" w:cs="Arial"/>
          <w:color w:val="000000"/>
          <w:sz w:val="22"/>
          <w:lang w:eastAsia="es-ES_tradnl"/>
        </w:rPr>
      </w:pPr>
      <w:r w:rsidRPr="00460695">
        <w:rPr>
          <w:rFonts w:ascii="Arial" w:hAnsi="Arial" w:cs="Arial"/>
          <w:sz w:val="22"/>
          <w:lang w:val="es-ES" w:eastAsia="es-ES_tradnl"/>
        </w:rPr>
        <w:t xml:space="preserve">La competencia de esta entidad se fija con límites claros, con el objeto de evitar que la Agencia actúe como una instancia de validación de las actuaciones de las entidades </w:t>
      </w:r>
      <w:r w:rsidRPr="00460695">
        <w:rPr>
          <w:rFonts w:ascii="Arial" w:hAnsi="Arial" w:cs="Arial"/>
          <w:sz w:val="22"/>
          <w:lang w:val="es-ES" w:eastAsia="es-ES_tradnl"/>
        </w:rPr>
        <w:lastRenderedPageBreak/>
        <w:t>sujetas a la Ley 80 de 1993 o de los demás participantes de la contratación pública</w:t>
      </w:r>
      <w:r w:rsidRPr="00460695">
        <w:rPr>
          <w:rFonts w:ascii="Arial" w:hAnsi="Arial" w:cs="Arial"/>
          <w:sz w:val="22"/>
          <w:vertAlign w:val="superscript"/>
          <w:lang w:val="es-ES" w:eastAsia="es-ES_tradnl"/>
        </w:rPr>
        <w:footnoteReference w:id="1"/>
      </w:r>
      <w:r w:rsidRPr="00460695">
        <w:rPr>
          <w:rFonts w:ascii="Arial" w:hAnsi="Arial" w:cs="Arial"/>
          <w:sz w:val="22"/>
          <w:lang w:val="es-ES" w:eastAsia="es-ES_tradnl"/>
        </w:rPr>
        <w:t>. Esta competencia de interpretación de normas generales, por definición, no puede extenderse a la resolución de controversias, ni a brindar asesorías sobre casos puntuales</w:t>
      </w:r>
      <w:bookmarkEnd w:id="3"/>
      <w:r w:rsidRPr="00460695">
        <w:rPr>
          <w:rFonts w:ascii="Arial" w:hAnsi="Arial" w:cs="Arial"/>
          <w:sz w:val="22"/>
          <w:lang w:val="es-ES" w:eastAsia="es-ES_tradnl"/>
        </w:rPr>
        <w:t>.</w:t>
      </w:r>
      <w:bookmarkEnd w:id="1"/>
      <w:bookmarkEnd w:id="2"/>
      <w:r w:rsidRPr="00460695">
        <w:rPr>
          <w:rFonts w:ascii="Arial" w:hAnsi="Arial" w:cs="Arial"/>
          <w:sz w:val="22"/>
          <w:lang w:val="es-ES" w:eastAsia="es-ES_tradnl"/>
        </w:rPr>
        <w:t xml:space="preserve"> </w:t>
      </w:r>
      <w:r w:rsidRPr="00460695">
        <w:rPr>
          <w:rFonts w:ascii="Arial" w:hAnsi="Arial" w:eastAsia="Calibri" w:cs="Arial"/>
          <w:color w:val="000000"/>
          <w:sz w:val="22"/>
          <w:lang w:val="es-CO" w:eastAsia="es-ES_tradnl"/>
        </w:rPr>
        <w:t xml:space="preserve">De esta manera, </w:t>
      </w:r>
      <w:r w:rsidRPr="00460695">
        <w:rPr>
          <w:rFonts w:ascii="Arial" w:hAnsi="Arial" w:eastAsia="Calibri" w:cs="Arial"/>
          <w:color w:val="000000"/>
          <w:sz w:val="22"/>
          <w:lang w:val="es-ES" w:eastAsia="es-ES_tradnl"/>
        </w:rPr>
        <w:t>la Subdirección resolverá la consulta conforme a las normas generales en materia de contratación estatal, para lo cual,</w:t>
      </w:r>
      <w:r w:rsidR="00B17BB7">
        <w:rPr>
          <w:rFonts w:ascii="Arial" w:hAnsi="Arial" w:eastAsia="Calibri" w:cs="Arial"/>
          <w:color w:val="000000"/>
          <w:sz w:val="22"/>
          <w:lang w:val="es-ES" w:eastAsia="es-ES_tradnl"/>
        </w:rPr>
        <w:t xml:space="preserve"> </w:t>
      </w:r>
      <w:r w:rsidRPr="00460695">
        <w:rPr>
          <w:rFonts w:ascii="Arial" w:hAnsi="Arial" w:eastAsia="Calibri" w:cs="Arial"/>
          <w:color w:val="000000"/>
          <w:sz w:val="22"/>
          <w:lang w:val="es-MX" w:eastAsia="es-ES_tradnl"/>
        </w:rPr>
        <w:t>–dentro de los límites de sus atribuciones</w:t>
      </w:r>
      <w:r w:rsidRPr="00460695">
        <w:rPr>
          <w:rFonts w:ascii="Arial" w:hAnsi="Arial" w:eastAsia="Calibri" w:cs="Arial"/>
          <w:color w:val="000000"/>
          <w:sz w:val="22"/>
          <w:vertAlign w:val="superscript"/>
          <w:lang w:val="es-MX" w:eastAsia="es-ES_tradnl"/>
        </w:rPr>
        <w:footnoteReference w:id="2"/>
      </w:r>
      <w:r w:rsidRPr="00460695">
        <w:rPr>
          <w:rFonts w:ascii="Arial" w:hAnsi="Arial" w:eastAsia="Calibri" w:cs="Arial"/>
          <w:color w:val="000000"/>
          <w:sz w:val="22"/>
          <w:lang w:val="es-MX" w:eastAsia="es-ES_tradnl"/>
        </w:rPr>
        <w:t>– se analizarán los siguientes temas i</w:t>
      </w:r>
      <w:r w:rsidRPr="00460695">
        <w:rPr>
          <w:rFonts w:ascii="Arial" w:hAnsi="Arial" w:eastAsia="Calibri" w:cs="Arial"/>
          <w:color w:val="000000"/>
          <w:sz w:val="22"/>
          <w:lang w:eastAsia="es-ES_tradnl"/>
        </w:rPr>
        <w:t xml:space="preserve">) </w:t>
      </w:r>
      <w:r w:rsidR="00B17BB7">
        <w:rPr>
          <w:rFonts w:ascii="Arial" w:hAnsi="Arial" w:eastAsia="Calibri" w:cs="Arial"/>
          <w:color w:val="000000"/>
          <w:sz w:val="22"/>
          <w:lang w:eastAsia="es-ES_tradnl"/>
        </w:rPr>
        <w:t xml:space="preserve">naturaleza jurídica y régimen de contratación de los Centros Provinciales de Gestión </w:t>
      </w:r>
      <w:r w:rsidR="004F6773">
        <w:rPr>
          <w:rFonts w:ascii="Arial" w:hAnsi="Arial" w:eastAsia="Calibri" w:cs="Arial"/>
          <w:color w:val="000000"/>
          <w:sz w:val="22"/>
          <w:lang w:eastAsia="es-ES_tradnl"/>
        </w:rPr>
        <w:t>Agroempresarial</w:t>
      </w:r>
      <w:r w:rsidR="00B17BB7">
        <w:rPr>
          <w:rFonts w:ascii="Arial" w:hAnsi="Arial" w:eastAsia="Calibri" w:cs="Arial"/>
          <w:color w:val="000000"/>
          <w:sz w:val="22"/>
          <w:lang w:eastAsia="es-ES_tradnl"/>
        </w:rPr>
        <w:t xml:space="preserve"> y ii</w:t>
      </w:r>
      <w:r w:rsidRPr="0062027E" w:rsidR="00B17BB7">
        <w:rPr>
          <w:rFonts w:ascii="Arial" w:hAnsi="Arial" w:eastAsia="Calibri" w:cs="Arial"/>
          <w:color w:val="000000"/>
          <w:sz w:val="22"/>
          <w:lang w:eastAsia="es-ES_tradnl"/>
        </w:rPr>
        <w:t>) alcance del principio de publicidad y obligatoriedad de publicar los documentos contractuales en la plataforma SECO</w:t>
      </w:r>
      <w:r w:rsidRPr="00BE4B23" w:rsidR="00B17BB7">
        <w:rPr>
          <w:rFonts w:ascii="Arial" w:hAnsi="Arial" w:eastAsia="Calibri" w:cs="Arial"/>
          <w:color w:val="000000"/>
          <w:sz w:val="22"/>
          <w:lang w:eastAsia="es-ES_tradnl"/>
        </w:rPr>
        <w:t>P.</w:t>
      </w:r>
      <w:r w:rsidRPr="00460695">
        <w:rPr>
          <w:rFonts w:ascii="Arial" w:hAnsi="Arial" w:eastAsia="Calibri" w:cs="Arial"/>
          <w:sz w:val="22"/>
          <w:lang w:eastAsia="es-ES_tradnl"/>
        </w:rPr>
        <w:t xml:space="preserve"> </w:t>
      </w:r>
    </w:p>
    <w:p w:rsidRPr="00B338CE" w:rsidR="00460695" w:rsidP="00460695" w:rsidRDefault="00460695" w14:paraId="7AE2AFE3" w14:textId="77777777">
      <w:pPr>
        <w:spacing w:line="276" w:lineRule="auto"/>
        <w:ind w:firstLine="708"/>
        <w:jc w:val="both"/>
        <w:rPr>
          <w:rFonts w:ascii="Arial" w:hAnsi="Arial" w:eastAsia="Calibri" w:cs="Arial"/>
          <w:color w:val="000000"/>
          <w:sz w:val="22"/>
          <w:szCs w:val="22"/>
          <w:lang w:val="es-ES" w:eastAsia="es-ES_tradnl"/>
        </w:rPr>
      </w:pPr>
    </w:p>
    <w:p w:rsidRPr="003E2FF8" w:rsidR="00460695" w:rsidP="00460695" w:rsidRDefault="00460695" w14:paraId="65829412" w14:textId="0D724CB7">
      <w:pPr>
        <w:spacing w:line="276" w:lineRule="auto"/>
        <w:ind w:firstLine="708"/>
        <w:jc w:val="both"/>
        <w:rPr>
          <w:rFonts w:ascii="Arial" w:hAnsi="Arial" w:eastAsia="Calibri" w:cs="Arial"/>
          <w:bCs/>
          <w:color w:val="000000"/>
          <w:sz w:val="22"/>
          <w:szCs w:val="22"/>
          <w:lang w:val="es-ES" w:eastAsia="en-US"/>
        </w:rPr>
      </w:pPr>
      <w:r w:rsidRPr="003E2FF8">
        <w:rPr>
          <w:rFonts w:ascii="Arial" w:hAnsi="Arial" w:eastAsia="Calibri" w:cs="Arial"/>
          <w:color w:val="000000"/>
          <w:sz w:val="22"/>
          <w:szCs w:val="22"/>
          <w:lang w:eastAsia="es-ES_tradnl"/>
        </w:rPr>
        <w:t>La Agencia Nacional de Contratación Pública – Colombia Compra Eficiente</w:t>
      </w:r>
      <w:r w:rsidRPr="003E2FF8" w:rsidR="00B338CE">
        <w:rPr>
          <w:rFonts w:ascii="Arial" w:hAnsi="Arial" w:eastAsia="Calibri" w:cs="Arial"/>
          <w:color w:val="000000"/>
          <w:sz w:val="22"/>
          <w:szCs w:val="22"/>
          <w:lang w:eastAsia="es-ES_tradnl"/>
        </w:rPr>
        <w:t xml:space="preserve"> en el concepto </w:t>
      </w:r>
      <w:r w:rsidRPr="003E2FF8" w:rsidR="00B338CE">
        <w:rPr>
          <w:rFonts w:ascii="Arial" w:hAnsi="Arial" w:eastAsia="Calibri" w:cs="Arial"/>
          <w:bCs/>
          <w:color w:val="000000"/>
          <w:sz w:val="22"/>
          <w:szCs w:val="22"/>
          <w:lang w:val="es-ES" w:eastAsia="es-ES_tradnl"/>
        </w:rPr>
        <w:t>2201913000008258</w:t>
      </w:r>
      <w:r w:rsidR="001D6056">
        <w:rPr>
          <w:rFonts w:ascii="Arial" w:hAnsi="Arial" w:eastAsia="Calibri" w:cs="Arial"/>
          <w:bCs/>
          <w:color w:val="000000"/>
          <w:sz w:val="22"/>
          <w:szCs w:val="22"/>
          <w:lang w:val="es-ES" w:eastAsia="es-ES_tradnl"/>
        </w:rPr>
        <w:t xml:space="preserve"> del 6 de noviembre del 2019</w:t>
      </w:r>
      <w:r w:rsidRPr="003E2FF8" w:rsidR="00B338CE">
        <w:rPr>
          <w:rFonts w:ascii="Arial" w:hAnsi="Arial" w:eastAsia="Calibri" w:cs="Arial"/>
          <w:bCs/>
          <w:color w:val="000000"/>
          <w:sz w:val="22"/>
          <w:szCs w:val="22"/>
          <w:lang w:val="es-ES" w:eastAsia="es-ES_tradnl"/>
        </w:rPr>
        <w:t xml:space="preserve"> analizó </w:t>
      </w:r>
      <w:r w:rsidRPr="003E2FF8" w:rsidR="00377FAF">
        <w:rPr>
          <w:rFonts w:ascii="Arial" w:hAnsi="Arial" w:eastAsia="Calibri" w:cs="Arial"/>
          <w:bCs/>
          <w:color w:val="000000"/>
          <w:sz w:val="22"/>
          <w:szCs w:val="22"/>
          <w:lang w:val="es-ES" w:eastAsia="es-ES_tradnl"/>
        </w:rPr>
        <w:t>el régimen que rige a los Centros</w:t>
      </w:r>
      <w:r w:rsidR="001D6056">
        <w:rPr>
          <w:rFonts w:ascii="Arial" w:hAnsi="Arial" w:eastAsia="Calibri" w:cs="Arial"/>
          <w:bCs/>
          <w:color w:val="000000"/>
          <w:sz w:val="22"/>
          <w:szCs w:val="22"/>
          <w:lang w:val="es-ES" w:eastAsia="es-ES_tradnl"/>
        </w:rPr>
        <w:t xml:space="preserve"> </w:t>
      </w:r>
      <w:r w:rsidR="001D6056">
        <w:rPr>
          <w:rFonts w:ascii="Arial" w:hAnsi="Arial" w:eastAsia="Calibri" w:cs="Arial"/>
          <w:bCs/>
          <w:color w:val="000000"/>
          <w:sz w:val="22"/>
          <w:szCs w:val="22"/>
          <w:lang w:eastAsia="es-ES_tradnl"/>
        </w:rPr>
        <w:t xml:space="preserve">Provinciales de Gestión </w:t>
      </w:r>
      <w:r w:rsidR="004F6773">
        <w:rPr>
          <w:rFonts w:ascii="Arial" w:hAnsi="Arial" w:eastAsia="Calibri" w:cs="Arial"/>
          <w:bCs/>
          <w:color w:val="000000"/>
          <w:sz w:val="22"/>
          <w:szCs w:val="22"/>
          <w:lang w:eastAsia="es-ES_tradnl"/>
        </w:rPr>
        <w:t>Agroempresarial</w:t>
      </w:r>
      <w:r w:rsidR="006A659D">
        <w:rPr>
          <w:rFonts w:ascii="Arial" w:hAnsi="Arial" w:eastAsia="Calibri" w:cs="Arial"/>
          <w:bCs/>
          <w:color w:val="000000"/>
          <w:sz w:val="22"/>
          <w:szCs w:val="22"/>
          <w:lang w:eastAsia="es-ES_tradnl"/>
        </w:rPr>
        <w:t xml:space="preserve"> y su naturaleza jurídica</w:t>
      </w:r>
      <w:r w:rsidR="00895FCF">
        <w:rPr>
          <w:rFonts w:ascii="Arial" w:hAnsi="Arial" w:eastAsia="Calibri" w:cs="Arial"/>
          <w:bCs/>
          <w:color w:val="000000"/>
          <w:sz w:val="22"/>
          <w:szCs w:val="22"/>
          <w:lang w:eastAsia="es-ES_tradnl"/>
        </w:rPr>
        <w:t>; así mismo, en los conceptos C-185 del 29 de abril del 2021, C-229</w:t>
      </w:r>
      <w:r w:rsidR="00F51C5B">
        <w:rPr>
          <w:rFonts w:ascii="Arial" w:hAnsi="Arial" w:eastAsia="Calibri" w:cs="Arial"/>
          <w:bCs/>
          <w:color w:val="000000"/>
          <w:sz w:val="22"/>
          <w:szCs w:val="22"/>
          <w:lang w:eastAsia="es-ES_tradnl"/>
        </w:rPr>
        <w:t xml:space="preserve"> del 25 de mayo del 2021, C-241 del 27 de mayo del 2021, CU003 del 2021 y C-609 del 23 de septiembre del 2022, se pronunció sobre el principio de publicidad, su alcance y obligatoriedad en materia de gestión contractual de las entidades estatales</w:t>
      </w:r>
      <w:r w:rsidR="00C02A78">
        <w:rPr>
          <w:rFonts w:ascii="Arial" w:hAnsi="Arial" w:eastAsia="Calibri" w:cs="Arial"/>
          <w:bCs/>
          <w:color w:val="000000"/>
          <w:sz w:val="22"/>
          <w:szCs w:val="22"/>
          <w:lang w:eastAsia="es-ES_tradnl"/>
        </w:rPr>
        <w:t xml:space="preserve">. Por su parte en el concepto C-295 del 2020 se pronunció sobre la plataforma SECOP y su relación con el principio de publicidad que rige dicha gestión contractual. </w:t>
      </w:r>
      <w:r w:rsidRPr="003E2FF8">
        <w:rPr>
          <w:rFonts w:ascii="Arial" w:hAnsi="Arial" w:eastAsia="Calibri" w:cs="Arial"/>
          <w:bCs/>
          <w:color w:val="000000"/>
          <w:sz w:val="22"/>
          <w:szCs w:val="22"/>
          <w:lang w:val="es-ES" w:eastAsia="en-US"/>
        </w:rPr>
        <w:t xml:space="preserve"> La</w:t>
      </w:r>
      <w:r w:rsidR="00154825">
        <w:rPr>
          <w:rFonts w:ascii="Arial" w:hAnsi="Arial" w:eastAsia="Calibri" w:cs="Arial"/>
          <w:bCs/>
          <w:color w:val="000000"/>
          <w:sz w:val="22"/>
          <w:szCs w:val="22"/>
          <w:lang w:val="es-ES" w:eastAsia="en-US"/>
        </w:rPr>
        <w:t>s</w:t>
      </w:r>
      <w:r w:rsidRPr="003E2FF8">
        <w:rPr>
          <w:rFonts w:ascii="Arial" w:hAnsi="Arial" w:eastAsia="Calibri" w:cs="Arial"/>
          <w:bCs/>
          <w:color w:val="000000"/>
          <w:sz w:val="22"/>
          <w:szCs w:val="22"/>
          <w:lang w:val="es-ES" w:eastAsia="en-US"/>
        </w:rPr>
        <w:t xml:space="preserve"> tesis y argumentos expuestos en dicho</w:t>
      </w:r>
      <w:r w:rsidR="00154825">
        <w:rPr>
          <w:rFonts w:ascii="Arial" w:hAnsi="Arial" w:eastAsia="Calibri" w:cs="Arial"/>
          <w:bCs/>
          <w:color w:val="000000"/>
          <w:sz w:val="22"/>
          <w:szCs w:val="22"/>
          <w:lang w:val="es-ES" w:eastAsia="en-US"/>
        </w:rPr>
        <w:t>s</w:t>
      </w:r>
      <w:r w:rsidRPr="003E2FF8">
        <w:rPr>
          <w:rFonts w:ascii="Arial" w:hAnsi="Arial" w:eastAsia="Calibri" w:cs="Arial"/>
          <w:bCs/>
          <w:color w:val="000000"/>
          <w:sz w:val="22"/>
          <w:szCs w:val="22"/>
          <w:lang w:val="es-ES" w:eastAsia="en-US"/>
        </w:rPr>
        <w:t xml:space="preserve"> concepto</w:t>
      </w:r>
      <w:r w:rsidR="00154825">
        <w:rPr>
          <w:rFonts w:ascii="Arial" w:hAnsi="Arial" w:eastAsia="Calibri" w:cs="Arial"/>
          <w:bCs/>
          <w:color w:val="000000"/>
          <w:sz w:val="22"/>
          <w:szCs w:val="22"/>
          <w:lang w:val="es-ES" w:eastAsia="en-US"/>
        </w:rPr>
        <w:t xml:space="preserve">s </w:t>
      </w:r>
      <w:r w:rsidRPr="003E2FF8">
        <w:rPr>
          <w:rFonts w:ascii="Arial" w:hAnsi="Arial" w:eastAsia="Calibri" w:cs="Arial"/>
          <w:bCs/>
          <w:color w:val="000000"/>
          <w:sz w:val="22"/>
          <w:szCs w:val="22"/>
          <w:lang w:val="es-ES" w:eastAsia="en-US"/>
        </w:rPr>
        <w:t>se reiteran a continuación y se complementan en lo pertinente.</w:t>
      </w:r>
    </w:p>
    <w:p w:rsidRPr="00460695" w:rsidR="00460695" w:rsidP="00460695" w:rsidRDefault="00460695" w14:paraId="5D775313" w14:textId="77777777">
      <w:pPr>
        <w:spacing w:line="276" w:lineRule="auto"/>
        <w:ind w:firstLine="708"/>
        <w:jc w:val="both"/>
        <w:rPr>
          <w:rFonts w:ascii="Arial" w:hAnsi="Arial" w:eastAsia="Calibri" w:cs="Arial"/>
          <w:bCs/>
          <w:color w:val="000000"/>
          <w:sz w:val="22"/>
          <w:szCs w:val="22"/>
          <w:lang w:val="es-ES" w:eastAsia="en-US"/>
        </w:rPr>
      </w:pPr>
    </w:p>
    <w:p w:rsidRPr="00460695" w:rsidR="00460695" w:rsidP="00460695" w:rsidRDefault="00460695" w14:paraId="45BAE641" w14:textId="5F615B80">
      <w:pPr>
        <w:spacing w:line="276" w:lineRule="auto"/>
        <w:jc w:val="both"/>
        <w:rPr>
          <w:rFonts w:ascii="Arial" w:hAnsi="Arial" w:eastAsia="Calibri" w:cs="Arial"/>
          <w:b/>
          <w:sz w:val="22"/>
          <w:lang w:val="es-MX" w:eastAsia="es-ES_tradnl"/>
        </w:rPr>
      </w:pPr>
      <w:r w:rsidRPr="00460695">
        <w:rPr>
          <w:rFonts w:ascii="Arial" w:hAnsi="Arial" w:eastAsia="Calibri" w:cs="Arial"/>
          <w:b/>
          <w:sz w:val="22"/>
          <w:lang w:val="es-MX" w:eastAsia="es-ES_tradnl"/>
        </w:rPr>
        <w:t xml:space="preserve">2.1. </w:t>
      </w:r>
      <w:r w:rsidR="002D6BDF">
        <w:rPr>
          <w:rFonts w:ascii="Arial" w:hAnsi="Arial" w:eastAsia="Calibri" w:cs="Arial"/>
          <w:b/>
          <w:sz w:val="22"/>
          <w:lang w:val="es-MX" w:eastAsia="es-ES_tradnl"/>
        </w:rPr>
        <w:t xml:space="preserve">Naturaleza jurídica y régimen de contratación de los Centros Provinciales de Gestión Agroempresarial </w:t>
      </w:r>
    </w:p>
    <w:p w:rsidRPr="00460695" w:rsidR="00460695" w:rsidP="00460695" w:rsidRDefault="00460695" w14:paraId="2E202A19" w14:textId="77777777">
      <w:pPr>
        <w:shd w:val="clear" w:color="auto" w:fill="FFFFFF"/>
        <w:spacing w:line="276" w:lineRule="auto"/>
        <w:jc w:val="both"/>
        <w:rPr>
          <w:rFonts w:ascii="Arial" w:hAnsi="Arial" w:eastAsia="Calibri" w:cs="Arial"/>
          <w:color w:val="0D0D0D"/>
          <w:sz w:val="22"/>
          <w:bdr w:val="none" w:color="auto" w:sz="0" w:space="0" w:frame="1"/>
          <w:lang w:val="es-MX" w:eastAsia="es-CO"/>
        </w:rPr>
      </w:pPr>
    </w:p>
    <w:p w:rsidRPr="007A011C" w:rsidR="007A011C" w:rsidP="007A011C" w:rsidRDefault="007A011C" w14:paraId="6B49DA48" w14:textId="77777777">
      <w:pPr>
        <w:spacing w:line="276" w:lineRule="auto"/>
        <w:ind w:firstLine="708"/>
        <w:jc w:val="both"/>
        <w:rPr>
          <w:rFonts w:ascii="Arial" w:hAnsi="Arial" w:eastAsia="Calibri" w:cs="Arial"/>
          <w:color w:val="000000"/>
          <w:sz w:val="22"/>
          <w:szCs w:val="22"/>
          <w:lang w:eastAsia="es-ES_tradnl"/>
        </w:rPr>
      </w:pPr>
      <w:r w:rsidRPr="007A011C">
        <w:rPr>
          <w:rFonts w:ascii="Arial" w:hAnsi="Arial" w:eastAsia="Calibri" w:cs="Arial"/>
          <w:color w:val="000000"/>
          <w:sz w:val="22"/>
          <w:szCs w:val="22"/>
          <w:lang w:eastAsia="es-ES_tradnl"/>
        </w:rPr>
        <w:t xml:space="preserve">Los Centros Provinciales de Gestión Agroempresarial son los organismos para la coordinación, organización y gestión de los proyectos, negocios y planes generales de asistencia técnica directa rural, por encadenamientos productivos, que por su adecuada </w:t>
      </w:r>
      <w:r w:rsidRPr="007A011C">
        <w:rPr>
          <w:rFonts w:ascii="Arial" w:hAnsi="Arial" w:eastAsia="Calibri" w:cs="Arial"/>
          <w:color w:val="000000"/>
          <w:sz w:val="22"/>
          <w:szCs w:val="22"/>
          <w:lang w:eastAsia="es-ES_tradnl"/>
        </w:rPr>
        <w:lastRenderedPageBreak/>
        <w:t>formulación garantizan el acceso a las entidades financieras, al capital de riesgo y a los instrumentos de política del Estado.</w:t>
      </w:r>
    </w:p>
    <w:p w:rsidRPr="007A011C" w:rsidR="007A011C" w:rsidP="007A011C" w:rsidRDefault="007A011C" w14:paraId="0B47E330" w14:textId="77777777">
      <w:pPr>
        <w:spacing w:line="276" w:lineRule="auto"/>
        <w:ind w:firstLine="708"/>
        <w:jc w:val="both"/>
        <w:rPr>
          <w:rFonts w:ascii="Arial" w:hAnsi="Arial" w:eastAsia="Calibri" w:cs="Arial"/>
          <w:color w:val="000000"/>
          <w:sz w:val="22"/>
          <w:szCs w:val="22"/>
          <w:lang w:eastAsia="es-ES_tradnl"/>
        </w:rPr>
      </w:pPr>
    </w:p>
    <w:p w:rsidRPr="007A011C" w:rsidR="007A011C" w:rsidP="007A011C" w:rsidRDefault="007A011C" w14:paraId="5FE3529F" w14:textId="01DE58EA">
      <w:pPr>
        <w:spacing w:line="276" w:lineRule="auto"/>
        <w:ind w:firstLine="708"/>
        <w:jc w:val="both"/>
        <w:rPr>
          <w:rFonts w:ascii="Arial" w:hAnsi="Arial" w:eastAsia="Calibri" w:cs="Arial"/>
          <w:color w:val="000000"/>
          <w:sz w:val="22"/>
          <w:szCs w:val="22"/>
          <w:lang w:eastAsia="es-ES_tradnl"/>
        </w:rPr>
      </w:pPr>
      <w:r w:rsidRPr="007A011C">
        <w:rPr>
          <w:rFonts w:ascii="Arial" w:hAnsi="Arial" w:eastAsia="Calibri" w:cs="Arial"/>
          <w:color w:val="000000"/>
          <w:sz w:val="22"/>
          <w:szCs w:val="22"/>
          <w:lang w:eastAsia="es-ES_tradnl"/>
        </w:rPr>
        <w:t>Ley 607 de 2000, que tenía por objeto garantizar la asistencia técnica directa rural agropecuaria, medio ambiental, asuntos de aguas y pesquera,</w:t>
      </w:r>
      <w:r w:rsidR="00225CB5">
        <w:rPr>
          <w:rFonts w:ascii="Arial" w:hAnsi="Arial" w:eastAsia="Calibri" w:cs="Arial"/>
          <w:color w:val="000000"/>
          <w:sz w:val="22"/>
          <w:szCs w:val="22"/>
          <w:lang w:eastAsia="es-ES_tradnl"/>
        </w:rPr>
        <w:t xml:space="preserve"> </w:t>
      </w:r>
      <w:r w:rsidRPr="007A011C">
        <w:rPr>
          <w:rFonts w:ascii="Arial" w:hAnsi="Arial" w:eastAsia="Calibri" w:cs="Arial"/>
          <w:color w:val="000000"/>
          <w:sz w:val="22"/>
          <w:szCs w:val="22"/>
          <w:lang w:eastAsia="es-ES_tradnl"/>
        </w:rPr>
        <w:t xml:space="preserve">reglamentada parcialmente por el Decreto 2980 de 2004, </w:t>
      </w:r>
      <w:r w:rsidR="00225CB5">
        <w:rPr>
          <w:rFonts w:ascii="Arial" w:hAnsi="Arial" w:eastAsia="Calibri" w:cs="Arial"/>
          <w:color w:val="000000"/>
          <w:sz w:val="22"/>
          <w:szCs w:val="22"/>
          <w:lang w:eastAsia="es-ES_tradnl"/>
        </w:rPr>
        <w:t xml:space="preserve">compilado </w:t>
      </w:r>
      <w:r w:rsidRPr="007A011C">
        <w:rPr>
          <w:rFonts w:ascii="Arial" w:hAnsi="Arial" w:eastAsia="Calibri" w:cs="Arial"/>
          <w:color w:val="000000"/>
          <w:sz w:val="22"/>
          <w:szCs w:val="22"/>
          <w:lang w:eastAsia="es-ES_tradnl"/>
        </w:rPr>
        <w:t>el Decreto 1071 de 2015, Decreto Único Reglamentario del Sector Administrativo Agropecuario, Pesquero y de Desarrollo Rural, estableci</w:t>
      </w:r>
      <w:r w:rsidR="00225CB5">
        <w:rPr>
          <w:rFonts w:ascii="Arial" w:hAnsi="Arial" w:eastAsia="Calibri" w:cs="Arial"/>
          <w:color w:val="000000"/>
          <w:sz w:val="22"/>
          <w:szCs w:val="22"/>
          <w:lang w:eastAsia="es-ES_tradnl"/>
        </w:rPr>
        <w:t>ó</w:t>
      </w:r>
      <w:r w:rsidRPr="007A011C">
        <w:rPr>
          <w:rFonts w:ascii="Arial" w:hAnsi="Arial" w:eastAsia="Calibri" w:cs="Arial"/>
          <w:color w:val="000000"/>
          <w:sz w:val="22"/>
          <w:szCs w:val="22"/>
          <w:lang w:eastAsia="es-ES_tradnl"/>
        </w:rPr>
        <w:t xml:space="preserve"> la posibilidad de crear Centros de Provinciales de Gestión </w:t>
      </w:r>
      <w:r w:rsidR="004F6773">
        <w:rPr>
          <w:rFonts w:ascii="Arial" w:hAnsi="Arial" w:eastAsia="Calibri" w:cs="Arial"/>
          <w:color w:val="000000"/>
          <w:sz w:val="22"/>
          <w:szCs w:val="22"/>
          <w:lang w:eastAsia="es-ES_tradnl"/>
        </w:rPr>
        <w:t>Agroempresarial</w:t>
      </w:r>
      <w:r w:rsidRPr="007A011C">
        <w:rPr>
          <w:rFonts w:ascii="Arial" w:hAnsi="Arial" w:eastAsia="Calibri" w:cs="Arial"/>
          <w:color w:val="000000"/>
          <w:sz w:val="22"/>
          <w:szCs w:val="22"/>
          <w:lang w:eastAsia="es-ES_tradnl"/>
        </w:rPr>
        <w:t>, mediante la asociación de municipios para el cumplimiento de la prestación del servicio obligatorio de asistencia técnica directa rural</w:t>
      </w:r>
      <w:r w:rsidRPr="003169AE">
        <w:rPr>
          <w:rStyle w:val="Refdenotaalpie"/>
          <w:rFonts w:ascii="Arial" w:hAnsi="Arial" w:cs="Arial"/>
          <w:sz w:val="22"/>
          <w:szCs w:val="22"/>
        </w:rPr>
        <w:footnoteReference w:id="3"/>
      </w:r>
      <w:r w:rsidR="003169AE">
        <w:rPr>
          <w:rFonts w:ascii="Arial" w:hAnsi="Arial" w:eastAsia="Calibri" w:cs="Arial"/>
          <w:color w:val="000000"/>
          <w:sz w:val="22"/>
          <w:szCs w:val="22"/>
          <w:lang w:eastAsia="es-ES_tradnl"/>
        </w:rPr>
        <w:t>.</w:t>
      </w:r>
    </w:p>
    <w:p w:rsidRPr="007A011C" w:rsidR="007A011C" w:rsidP="007A011C" w:rsidRDefault="007A011C" w14:paraId="2EE581B8" w14:textId="77777777">
      <w:pPr>
        <w:spacing w:line="276" w:lineRule="auto"/>
        <w:ind w:firstLine="708"/>
        <w:jc w:val="both"/>
        <w:rPr>
          <w:rFonts w:ascii="Arial" w:hAnsi="Arial" w:eastAsia="Calibri" w:cs="Arial"/>
          <w:color w:val="000000"/>
          <w:sz w:val="22"/>
          <w:szCs w:val="22"/>
          <w:lang w:eastAsia="es-ES_tradnl"/>
        </w:rPr>
      </w:pPr>
    </w:p>
    <w:p w:rsidRPr="007A011C" w:rsidR="007A011C" w:rsidP="007A011C" w:rsidRDefault="007A011C" w14:paraId="35AE2F29" w14:textId="24A31822">
      <w:pPr>
        <w:spacing w:line="276" w:lineRule="auto"/>
        <w:ind w:firstLine="708"/>
        <w:jc w:val="both"/>
        <w:rPr>
          <w:rFonts w:ascii="Arial" w:hAnsi="Arial" w:eastAsia="Calibri" w:cs="Arial"/>
          <w:color w:val="000000"/>
          <w:sz w:val="22"/>
          <w:szCs w:val="22"/>
          <w:lang w:eastAsia="es-ES_tradnl"/>
        </w:rPr>
      </w:pPr>
      <w:r w:rsidRPr="007A011C">
        <w:rPr>
          <w:rFonts w:ascii="Arial" w:hAnsi="Arial" w:eastAsia="Calibri" w:cs="Arial"/>
          <w:color w:val="000000"/>
          <w:sz w:val="22"/>
          <w:szCs w:val="22"/>
          <w:lang w:eastAsia="es-ES_tradnl"/>
        </w:rPr>
        <w:t xml:space="preserve">Posteriormente, </w:t>
      </w:r>
      <w:r w:rsidR="00225CB5">
        <w:rPr>
          <w:rFonts w:ascii="Arial" w:hAnsi="Arial" w:eastAsia="Calibri" w:cs="Arial"/>
          <w:color w:val="000000"/>
          <w:sz w:val="22"/>
          <w:szCs w:val="22"/>
          <w:lang w:eastAsia="es-ES_tradnl"/>
        </w:rPr>
        <w:t>el artículo 40 de la Ley 1876 de 2017</w:t>
      </w:r>
      <w:r w:rsidR="006D2CDB">
        <w:rPr>
          <w:rFonts w:ascii="Arial" w:hAnsi="Arial" w:eastAsia="Calibri" w:cs="Arial"/>
          <w:color w:val="000000"/>
          <w:sz w:val="22"/>
          <w:szCs w:val="22"/>
          <w:lang w:eastAsia="es-ES_tradnl"/>
        </w:rPr>
        <w:t xml:space="preserve"> </w:t>
      </w:r>
      <w:r w:rsidRPr="007A011C">
        <w:rPr>
          <w:rFonts w:ascii="Arial" w:hAnsi="Arial" w:eastAsia="Calibri" w:cs="Arial"/>
          <w:color w:val="000000"/>
          <w:sz w:val="22"/>
          <w:szCs w:val="22"/>
          <w:lang w:eastAsia="es-ES_tradnl"/>
        </w:rPr>
        <w:t xml:space="preserve">estableció la posibilidad </w:t>
      </w:r>
      <w:r w:rsidR="00225CB5">
        <w:rPr>
          <w:rFonts w:ascii="Arial" w:hAnsi="Arial" w:eastAsia="Calibri" w:cs="Arial"/>
          <w:color w:val="000000"/>
          <w:sz w:val="22"/>
          <w:szCs w:val="22"/>
          <w:lang w:eastAsia="es-ES_tradnl"/>
        </w:rPr>
        <w:t xml:space="preserve">de que los </w:t>
      </w:r>
      <w:r w:rsidRPr="007A011C">
        <w:rPr>
          <w:rFonts w:ascii="Arial" w:hAnsi="Arial" w:eastAsia="Calibri" w:cs="Arial"/>
          <w:color w:val="000000"/>
          <w:sz w:val="22"/>
          <w:szCs w:val="22"/>
          <w:lang w:eastAsia="es-ES_tradnl"/>
        </w:rPr>
        <w:t xml:space="preserve">municipios </w:t>
      </w:r>
      <w:r w:rsidR="00225CB5">
        <w:rPr>
          <w:rFonts w:ascii="Arial" w:hAnsi="Arial" w:eastAsia="Calibri" w:cs="Arial"/>
          <w:color w:val="000000"/>
          <w:sz w:val="22"/>
          <w:szCs w:val="22"/>
          <w:lang w:eastAsia="es-ES_tradnl"/>
        </w:rPr>
        <w:t>se asocien entre sí</w:t>
      </w:r>
      <w:r w:rsidR="0052300F">
        <w:rPr>
          <w:rFonts w:ascii="Arial" w:hAnsi="Arial" w:eastAsia="Calibri" w:cs="Arial"/>
          <w:color w:val="000000"/>
          <w:sz w:val="22"/>
          <w:szCs w:val="22"/>
          <w:lang w:eastAsia="es-ES_tradnl"/>
        </w:rPr>
        <w:t>, al igual q</w:t>
      </w:r>
      <w:r w:rsidR="00225CB5">
        <w:rPr>
          <w:rFonts w:ascii="Arial" w:hAnsi="Arial" w:eastAsia="Calibri" w:cs="Arial"/>
          <w:color w:val="000000"/>
          <w:sz w:val="22"/>
          <w:szCs w:val="22"/>
          <w:lang w:eastAsia="es-ES_tradnl"/>
        </w:rPr>
        <w:t>ue autoricen</w:t>
      </w:r>
      <w:r w:rsidRPr="007A011C">
        <w:rPr>
          <w:rFonts w:ascii="Arial" w:hAnsi="Arial" w:eastAsia="Calibri" w:cs="Arial"/>
          <w:color w:val="000000"/>
          <w:sz w:val="22"/>
          <w:szCs w:val="22"/>
          <w:lang w:eastAsia="es-ES_tradnl"/>
        </w:rPr>
        <w:t xml:space="preserve"> la asociación de las Unidades Municipales de Asistencia Técnica Agropecuaria – Umata para atender las demandas identificadas por provincia, cuenca, subregión o cualquier otro tipo de organización territorial dentro de un departamento, e incluso en relación con otros departamentos</w:t>
      </w:r>
      <w:r w:rsidRPr="00F71A51">
        <w:rPr>
          <w:rStyle w:val="Refdenotaalpie"/>
        </w:rPr>
        <w:footnoteReference w:id="4"/>
      </w:r>
      <w:r w:rsidRPr="007A011C">
        <w:rPr>
          <w:rFonts w:ascii="Arial" w:hAnsi="Arial" w:eastAsia="Calibri" w:cs="Arial"/>
          <w:color w:val="000000"/>
          <w:sz w:val="22"/>
          <w:szCs w:val="22"/>
          <w:lang w:eastAsia="es-ES_tradnl"/>
        </w:rPr>
        <w:t xml:space="preserve">. Así mismo, el </w:t>
      </w:r>
      <w:r w:rsidR="00225CB5">
        <w:rPr>
          <w:rFonts w:ascii="Arial" w:hAnsi="Arial" w:eastAsia="Calibri" w:cs="Arial"/>
          <w:color w:val="000000"/>
          <w:sz w:val="22"/>
          <w:szCs w:val="22"/>
          <w:lang w:eastAsia="es-ES_tradnl"/>
        </w:rPr>
        <w:t>mencionado ar</w:t>
      </w:r>
      <w:r w:rsidRPr="007A011C">
        <w:rPr>
          <w:rFonts w:ascii="Arial" w:hAnsi="Arial" w:eastAsia="Calibri" w:cs="Arial"/>
          <w:color w:val="000000"/>
          <w:sz w:val="22"/>
          <w:szCs w:val="22"/>
          <w:lang w:eastAsia="es-ES_tradnl"/>
        </w:rPr>
        <w:t>tículo estableció que los Centros Provinciales de Gestión Agroempresarial se sujetarán a las normas sobre contratación administrativa.</w:t>
      </w:r>
    </w:p>
    <w:p w:rsidRPr="007A011C" w:rsidR="007A011C" w:rsidP="007A011C" w:rsidRDefault="007A011C" w14:paraId="7653FE06" w14:textId="77777777">
      <w:pPr>
        <w:spacing w:line="276" w:lineRule="auto"/>
        <w:ind w:firstLine="708"/>
        <w:jc w:val="both"/>
        <w:rPr>
          <w:rFonts w:ascii="Arial" w:hAnsi="Arial" w:eastAsia="Calibri" w:cs="Arial"/>
          <w:color w:val="000000"/>
          <w:sz w:val="22"/>
          <w:szCs w:val="22"/>
          <w:lang w:eastAsia="es-ES_tradnl"/>
        </w:rPr>
      </w:pPr>
    </w:p>
    <w:p w:rsidR="00180D84" w:rsidP="007A011C" w:rsidRDefault="00180D84" w14:paraId="1151C491" w14:textId="641B5F01">
      <w:pPr>
        <w:spacing w:line="276" w:lineRule="auto"/>
        <w:ind w:firstLine="708"/>
        <w:jc w:val="both"/>
        <w:rPr>
          <w:rFonts w:ascii="Arial" w:hAnsi="Arial" w:eastAsia="Calibri" w:cs="Arial"/>
          <w:color w:val="000000"/>
          <w:sz w:val="22"/>
          <w:szCs w:val="22"/>
          <w:lang w:eastAsia="es-ES_tradnl"/>
        </w:rPr>
      </w:pPr>
      <w:r>
        <w:rPr>
          <w:rFonts w:ascii="Arial" w:hAnsi="Arial" w:eastAsia="Calibri" w:cs="Arial"/>
          <w:color w:val="000000"/>
          <w:sz w:val="22"/>
          <w:szCs w:val="22"/>
          <w:lang w:eastAsia="es-ES_tradnl"/>
        </w:rPr>
        <w:t xml:space="preserve">En efecto, en el parágrafo 1° del mencionado artículo se previó que </w:t>
      </w:r>
      <w:r w:rsidR="00336789">
        <w:rPr>
          <w:rFonts w:ascii="Arial" w:hAnsi="Arial" w:eastAsia="Calibri" w:cs="Arial"/>
          <w:color w:val="000000"/>
          <w:sz w:val="22"/>
          <w:szCs w:val="22"/>
          <w:lang w:eastAsia="es-ES_tradnl"/>
        </w:rPr>
        <w:t>«</w:t>
      </w:r>
      <w:r w:rsidRPr="00180D84">
        <w:rPr>
          <w:rFonts w:ascii="Arial" w:hAnsi="Arial" w:eastAsia="Calibri" w:cs="Arial"/>
          <w:i/>
          <w:color w:val="000000"/>
          <w:sz w:val="22"/>
          <w:szCs w:val="22"/>
          <w:lang w:eastAsia="es-ES_tradnl"/>
        </w:rPr>
        <w:t xml:space="preserve">los municipios asegurarán la asignación presupuestal para el funcionamiento y fortalecimiento progresivo del CPGA en términos de equipo técnico, capacitación del recurso humano, medios tecnológicos, infraestructura y otros medios como el transporte y la logística, con el fin de garantizar la calidad y oportunidad de los servicios y la ejecución pertinente y oportuna de sus funciones. En el manejo de los recursos, el CPGA observará los principios del sistema </w:t>
      </w:r>
      <w:r w:rsidRPr="00180D84">
        <w:rPr>
          <w:rFonts w:ascii="Arial" w:hAnsi="Arial" w:eastAsia="Calibri" w:cs="Arial"/>
          <w:i/>
          <w:color w:val="000000"/>
          <w:sz w:val="22"/>
          <w:szCs w:val="22"/>
          <w:lang w:eastAsia="es-ES_tradnl"/>
        </w:rPr>
        <w:lastRenderedPageBreak/>
        <w:t>presupuestal, contenidos en el Estatuto Orgánico del Presupuesto, y los contratos que celebren, se sujetarán a las normas sobre contratación administrativa</w:t>
      </w:r>
      <w:r w:rsidR="00336789">
        <w:rPr>
          <w:rFonts w:ascii="Arial" w:hAnsi="Arial" w:eastAsia="Calibri" w:cs="Arial"/>
          <w:i/>
          <w:color w:val="000000"/>
          <w:sz w:val="22"/>
          <w:szCs w:val="22"/>
          <w:lang w:eastAsia="es-ES_tradnl"/>
        </w:rPr>
        <w:t>»</w:t>
      </w:r>
      <w:r w:rsidRPr="00180D84">
        <w:rPr>
          <w:rFonts w:ascii="Arial" w:hAnsi="Arial" w:eastAsia="Calibri" w:cs="Arial"/>
          <w:color w:val="000000"/>
          <w:sz w:val="22"/>
          <w:szCs w:val="22"/>
          <w:lang w:eastAsia="es-ES_tradnl"/>
        </w:rPr>
        <w:t>.</w:t>
      </w:r>
    </w:p>
    <w:p w:rsidR="00180D84" w:rsidP="007A011C" w:rsidRDefault="00180D84" w14:paraId="46B5797E" w14:textId="77777777">
      <w:pPr>
        <w:spacing w:line="276" w:lineRule="auto"/>
        <w:ind w:firstLine="708"/>
        <w:jc w:val="both"/>
        <w:rPr>
          <w:rFonts w:ascii="Arial" w:hAnsi="Arial" w:eastAsia="Calibri" w:cs="Arial"/>
          <w:color w:val="000000"/>
          <w:sz w:val="22"/>
          <w:szCs w:val="22"/>
          <w:lang w:eastAsia="es-ES_tradnl"/>
        </w:rPr>
      </w:pPr>
    </w:p>
    <w:p w:rsidRPr="007A011C" w:rsidR="007A011C" w:rsidP="007A011C" w:rsidRDefault="00285E59" w14:paraId="0F452CFC" w14:textId="49037B67">
      <w:pPr>
        <w:spacing w:line="276" w:lineRule="auto"/>
        <w:ind w:firstLine="708"/>
        <w:jc w:val="both"/>
        <w:rPr>
          <w:rFonts w:ascii="Arial" w:hAnsi="Arial" w:eastAsia="Calibri" w:cs="Arial"/>
          <w:color w:val="000000"/>
          <w:sz w:val="22"/>
          <w:szCs w:val="22"/>
          <w:lang w:eastAsia="es-ES_tradnl"/>
        </w:rPr>
      </w:pPr>
      <w:r>
        <w:rPr>
          <w:rFonts w:ascii="Arial" w:hAnsi="Arial" w:eastAsia="Calibri" w:cs="Arial"/>
          <w:color w:val="000000"/>
          <w:sz w:val="22"/>
          <w:szCs w:val="22"/>
          <w:lang w:eastAsia="es-ES_tradnl"/>
        </w:rPr>
        <w:t xml:space="preserve">El inciso final del artículo 150 de la </w:t>
      </w:r>
      <w:r w:rsidRPr="007A011C" w:rsidR="007A011C">
        <w:rPr>
          <w:rFonts w:ascii="Arial" w:hAnsi="Arial" w:eastAsia="Calibri" w:cs="Arial"/>
          <w:color w:val="000000"/>
          <w:sz w:val="22"/>
          <w:szCs w:val="22"/>
          <w:lang w:eastAsia="es-ES_tradnl"/>
        </w:rPr>
        <w:t xml:space="preserve"> C</w:t>
      </w:r>
      <w:r>
        <w:rPr>
          <w:rFonts w:ascii="Arial" w:hAnsi="Arial" w:eastAsia="Calibri" w:cs="Arial"/>
          <w:color w:val="000000"/>
          <w:sz w:val="22"/>
          <w:szCs w:val="22"/>
          <w:lang w:eastAsia="es-ES_tradnl"/>
        </w:rPr>
        <w:t xml:space="preserve">onstitución Política establece </w:t>
      </w:r>
      <w:r w:rsidRPr="007A011C" w:rsidR="007A011C">
        <w:rPr>
          <w:rFonts w:ascii="Arial" w:hAnsi="Arial" w:eastAsia="Calibri" w:cs="Arial"/>
          <w:color w:val="000000"/>
          <w:sz w:val="22"/>
          <w:szCs w:val="22"/>
          <w:lang w:eastAsia="es-ES_tradnl"/>
        </w:rPr>
        <w:t>que le corresponde al Congreso de la República expedir el estatuto general de la contratación de la Administración pública y en especial de la Administración nacional</w:t>
      </w:r>
      <w:r w:rsidRPr="003169AE" w:rsidR="007A011C">
        <w:rPr>
          <w:rFonts w:ascii="Arial" w:hAnsi="Arial" w:eastAsia="Calibri" w:cs="Arial"/>
          <w:color w:val="000000"/>
          <w:sz w:val="22"/>
          <w:vertAlign w:val="superscript"/>
          <w:lang w:val="es-MX" w:eastAsia="es-ES_tradnl"/>
        </w:rPr>
        <w:footnoteReference w:id="5"/>
      </w:r>
      <w:r w:rsidRPr="007A011C" w:rsidR="007A011C">
        <w:rPr>
          <w:rFonts w:ascii="Arial" w:hAnsi="Arial" w:eastAsia="Calibri" w:cs="Arial"/>
          <w:color w:val="000000"/>
          <w:sz w:val="22"/>
          <w:szCs w:val="22"/>
          <w:lang w:eastAsia="es-ES_tradnl"/>
        </w:rPr>
        <w:t>. Así, la potestad constitucional de configuración del régimen de contratación está en cabeza del legislador, permitiéndole determinar si las entidades estatales deben, conforme a la Constitución y la ley, aplicar las normas del Estatuto General de la Contratación o si deben regirse por un régimen especial o exceptuado de contratación</w:t>
      </w:r>
      <w:r w:rsidRPr="005237DF" w:rsidR="007A011C">
        <w:rPr>
          <w:rFonts w:ascii="Arial" w:hAnsi="Arial" w:eastAsia="Calibri" w:cs="Arial"/>
          <w:color w:val="000000"/>
          <w:sz w:val="22"/>
          <w:vertAlign w:val="superscript"/>
          <w:lang w:val="es-MX" w:eastAsia="es-ES_tradnl"/>
        </w:rPr>
        <w:footnoteReference w:id="6"/>
      </w:r>
      <w:r w:rsidRPr="007A011C" w:rsidR="007A011C">
        <w:rPr>
          <w:rFonts w:ascii="Arial" w:hAnsi="Arial" w:eastAsia="Calibri" w:cs="Arial"/>
          <w:color w:val="000000"/>
          <w:sz w:val="20"/>
          <w:szCs w:val="20"/>
          <w:lang w:eastAsia="es-ES_tradnl"/>
        </w:rPr>
        <w:t>.</w:t>
      </w:r>
    </w:p>
    <w:p w:rsidRPr="007A011C" w:rsidR="007A011C" w:rsidP="007A011C" w:rsidRDefault="007A011C" w14:paraId="6BDB7C50" w14:textId="77777777">
      <w:pPr>
        <w:spacing w:line="276" w:lineRule="auto"/>
        <w:ind w:firstLine="708"/>
        <w:jc w:val="both"/>
        <w:rPr>
          <w:rFonts w:ascii="Arial" w:hAnsi="Arial" w:eastAsia="Calibri" w:cs="Arial"/>
          <w:color w:val="000000"/>
          <w:sz w:val="22"/>
          <w:szCs w:val="22"/>
          <w:lang w:eastAsia="es-ES_tradnl"/>
        </w:rPr>
      </w:pPr>
    </w:p>
    <w:p w:rsidRPr="007A011C" w:rsidR="007A011C" w:rsidP="007A011C" w:rsidRDefault="007A011C" w14:paraId="5E3CEED0" w14:textId="77777777">
      <w:pPr>
        <w:spacing w:line="276" w:lineRule="auto"/>
        <w:ind w:firstLine="708"/>
        <w:jc w:val="both"/>
        <w:rPr>
          <w:rFonts w:ascii="Arial" w:hAnsi="Arial" w:eastAsia="Calibri" w:cs="Arial"/>
          <w:color w:val="000000"/>
          <w:sz w:val="22"/>
          <w:szCs w:val="22"/>
          <w:lang w:eastAsia="es-ES_tradnl"/>
        </w:rPr>
      </w:pPr>
      <w:r w:rsidRPr="007A011C">
        <w:rPr>
          <w:rFonts w:ascii="Arial" w:hAnsi="Arial" w:eastAsia="Calibri" w:cs="Arial"/>
          <w:color w:val="000000"/>
          <w:sz w:val="22"/>
          <w:szCs w:val="22"/>
          <w:lang w:eastAsia="es-ES_tradnl"/>
        </w:rPr>
        <w:t>Ahora, la Ley 80 de 1993, Estatuto General de Contratación de la Administración Pública, establece las reglas y principios que rigen los contratos celebrados por las entidades estatales, así como cuáles son las entidades estatales</w:t>
      </w:r>
      <w:r w:rsidRPr="005237DF">
        <w:rPr>
          <w:rFonts w:ascii="Arial" w:hAnsi="Arial" w:eastAsia="Calibri" w:cs="Arial"/>
          <w:color w:val="000000"/>
          <w:sz w:val="22"/>
          <w:vertAlign w:val="superscript"/>
          <w:lang w:val="es-MX" w:eastAsia="es-ES_tradnl"/>
        </w:rPr>
        <w:footnoteReference w:id="7"/>
      </w:r>
      <w:r w:rsidRPr="007A011C">
        <w:rPr>
          <w:rFonts w:ascii="Arial" w:hAnsi="Arial" w:eastAsia="Calibri" w:cs="Arial"/>
          <w:color w:val="000000"/>
          <w:sz w:val="22"/>
          <w:szCs w:val="22"/>
          <w:lang w:eastAsia="es-ES_tradnl"/>
        </w:rPr>
        <w:t>, que en todo caso serán las que allí se describen, y de manera general, los organismos o dependencias del Estado a los que la ley otorgue capacidad para celebrar contratos, como es el caso de los Centros Provinciales de Gestión, pues el inciso 2 del artículo 2.4.3.1.2 del Decreto 1071 de 2015, y el artículo 40 de la Ley 1876 de 2017 establecen que los contratos que celebren los centros estarán sujetos a la aplicación de las normas sobre contratación administrativa</w:t>
      </w:r>
      <w:r w:rsidRPr="005237DF">
        <w:rPr>
          <w:rFonts w:ascii="Arial" w:hAnsi="Arial" w:eastAsia="Calibri" w:cs="Arial"/>
          <w:color w:val="000000"/>
          <w:sz w:val="22"/>
          <w:vertAlign w:val="superscript"/>
          <w:lang w:val="es-MX" w:eastAsia="es-ES_tradnl"/>
        </w:rPr>
        <w:footnoteReference w:id="8"/>
      </w:r>
      <w:r w:rsidRPr="007A011C">
        <w:rPr>
          <w:rFonts w:ascii="Arial" w:hAnsi="Arial" w:eastAsia="Calibri" w:cs="Arial"/>
          <w:color w:val="000000"/>
          <w:sz w:val="22"/>
          <w:szCs w:val="22"/>
          <w:lang w:eastAsia="es-ES_tradnl"/>
        </w:rPr>
        <w:t>.</w:t>
      </w:r>
    </w:p>
    <w:p w:rsidRPr="007A011C" w:rsidR="007A011C" w:rsidP="007A011C" w:rsidRDefault="007A011C" w14:paraId="62A2952D" w14:textId="77777777">
      <w:pPr>
        <w:spacing w:line="276" w:lineRule="auto"/>
        <w:ind w:firstLine="708"/>
        <w:jc w:val="both"/>
        <w:rPr>
          <w:rFonts w:ascii="Arial" w:hAnsi="Arial" w:eastAsia="Calibri" w:cs="Arial"/>
          <w:color w:val="000000"/>
          <w:sz w:val="22"/>
          <w:szCs w:val="22"/>
          <w:lang w:eastAsia="es-ES_tradnl"/>
        </w:rPr>
      </w:pPr>
    </w:p>
    <w:p w:rsidRPr="000A4CF9" w:rsidR="000A4CF9" w:rsidP="000A4CF9" w:rsidRDefault="007A011C" w14:paraId="0997AED4" w14:textId="2BB81B59">
      <w:pPr>
        <w:spacing w:line="276" w:lineRule="auto"/>
        <w:ind w:firstLine="708"/>
        <w:jc w:val="both"/>
        <w:rPr>
          <w:rFonts w:ascii="Arial" w:hAnsi="Arial" w:eastAsia="Calibri" w:cs="Arial"/>
          <w:color w:val="000000"/>
          <w:sz w:val="22"/>
          <w:szCs w:val="22"/>
          <w:lang w:eastAsia="es-ES_tradnl"/>
        </w:rPr>
      </w:pPr>
      <w:r w:rsidRPr="007A011C">
        <w:rPr>
          <w:rFonts w:ascii="Arial" w:hAnsi="Arial" w:eastAsia="Calibri" w:cs="Arial"/>
          <w:color w:val="000000"/>
          <w:sz w:val="22"/>
          <w:szCs w:val="22"/>
          <w:lang w:eastAsia="es-ES_tradnl"/>
        </w:rPr>
        <w:lastRenderedPageBreak/>
        <w:t xml:space="preserve">Conforme a lo anterior, </w:t>
      </w:r>
      <w:r w:rsidR="00285E59">
        <w:rPr>
          <w:rFonts w:ascii="Arial" w:hAnsi="Arial" w:eastAsia="Calibri" w:cs="Arial"/>
          <w:color w:val="000000"/>
          <w:sz w:val="22"/>
          <w:szCs w:val="22"/>
          <w:lang w:eastAsia="es-ES_tradnl"/>
        </w:rPr>
        <w:t xml:space="preserve">los Centros Provinciales </w:t>
      </w:r>
      <w:r w:rsidR="004F6773">
        <w:rPr>
          <w:rFonts w:ascii="Arial" w:hAnsi="Arial" w:eastAsia="Calibri" w:cs="Arial"/>
          <w:color w:val="000000"/>
          <w:sz w:val="22"/>
          <w:szCs w:val="22"/>
          <w:lang w:eastAsia="es-ES_tradnl"/>
        </w:rPr>
        <w:t>de Gestión Agroempresarial son asociaciones de municipios y como tal</w:t>
      </w:r>
      <w:r w:rsidR="000A4CF9">
        <w:rPr>
          <w:rFonts w:ascii="Arial" w:hAnsi="Arial" w:eastAsia="Calibri" w:cs="Arial"/>
          <w:color w:val="000000"/>
          <w:sz w:val="22"/>
          <w:szCs w:val="22"/>
          <w:lang w:eastAsia="es-ES_tradnl"/>
        </w:rPr>
        <w:t xml:space="preserve">, </w:t>
      </w:r>
      <w:r w:rsidR="00606F42">
        <w:rPr>
          <w:rFonts w:ascii="Arial" w:hAnsi="Arial" w:eastAsia="Calibri" w:cs="Arial"/>
          <w:color w:val="000000"/>
          <w:sz w:val="22"/>
          <w:szCs w:val="22"/>
          <w:lang w:eastAsia="es-ES_tradnl"/>
        </w:rPr>
        <w:t>según</w:t>
      </w:r>
      <w:r w:rsidR="000A4CF9">
        <w:rPr>
          <w:rFonts w:ascii="Arial" w:hAnsi="Arial" w:eastAsia="Calibri" w:cs="Arial"/>
          <w:color w:val="000000"/>
          <w:sz w:val="22"/>
          <w:szCs w:val="22"/>
          <w:lang w:eastAsia="es-ES_tradnl"/>
        </w:rPr>
        <w:t xml:space="preserve"> lo dispuesto en el artículo 149 de la </w:t>
      </w:r>
      <w:r w:rsidRPr="000A4CF9" w:rsidR="004F6773">
        <w:rPr>
          <w:rFonts w:ascii="Arial" w:hAnsi="Arial" w:eastAsia="Calibri" w:cs="Arial"/>
          <w:color w:val="000000"/>
          <w:sz w:val="22"/>
          <w:szCs w:val="22"/>
          <w:lang w:eastAsia="es-ES_tradnl"/>
        </w:rPr>
        <w:t xml:space="preserve"> Ley 136 de 1994</w:t>
      </w:r>
      <w:r w:rsidRPr="000A4CF9" w:rsidR="000A4CF9">
        <w:rPr>
          <w:rFonts w:ascii="Arial" w:hAnsi="Arial" w:eastAsia="Calibri" w:cs="Arial"/>
          <w:color w:val="000000"/>
          <w:sz w:val="22"/>
          <w:szCs w:val="22"/>
          <w:lang w:eastAsia="es-ES_tradnl"/>
        </w:rPr>
        <w:t xml:space="preserve">, </w:t>
      </w:r>
      <w:r w:rsidR="00872CCC">
        <w:rPr>
          <w:rFonts w:ascii="Arial" w:hAnsi="Arial" w:eastAsia="Calibri" w:cs="Arial"/>
          <w:color w:val="000000"/>
          <w:sz w:val="22"/>
          <w:szCs w:val="22"/>
          <w:lang w:eastAsia="es-ES_tradnl"/>
        </w:rPr>
        <w:t xml:space="preserve">tienen la naturaleza de </w:t>
      </w:r>
      <w:r w:rsidRPr="000A4CF9" w:rsidR="000A4CF9">
        <w:rPr>
          <w:rFonts w:ascii="Arial" w:hAnsi="Arial" w:eastAsia="Calibri" w:cs="Arial"/>
          <w:color w:val="000000"/>
          <w:sz w:val="22"/>
          <w:szCs w:val="22"/>
          <w:lang w:eastAsia="es-ES_tradnl"/>
        </w:rPr>
        <w:t>entidades administrativas de derecho público y se encuentra incluidos en el concepto de entidades estatales previsto en el artículo 2 de la Ley 80 de 1993, en cuanto este prevé que se denominan entidades estatales todas las que específicamente se incluyen en su literal a); así como las demás personas jurídicas en las que exista participación pública mayoritaria,</w:t>
      </w:r>
      <w:r w:rsidR="00872CCC">
        <w:rPr>
          <w:rFonts w:ascii="Arial" w:hAnsi="Arial" w:eastAsia="Calibri" w:cs="Arial"/>
          <w:color w:val="000000"/>
          <w:sz w:val="22"/>
          <w:szCs w:val="22"/>
          <w:lang w:eastAsia="es-ES_tradnl"/>
        </w:rPr>
        <w:t xml:space="preserve"> </w:t>
      </w:r>
      <w:r w:rsidRPr="000A4CF9" w:rsidR="000A4CF9">
        <w:rPr>
          <w:rFonts w:ascii="Arial" w:hAnsi="Arial" w:eastAsia="Calibri" w:cs="Arial"/>
          <w:color w:val="000000"/>
          <w:sz w:val="22"/>
          <w:szCs w:val="22"/>
          <w:lang w:eastAsia="es-ES_tradnl"/>
        </w:rPr>
        <w:t>cualquiera sea la denominación que ellas adopten, en todos los órdenes y niveles.</w:t>
      </w:r>
    </w:p>
    <w:p w:rsidRPr="000A4CF9" w:rsidR="004F6773" w:rsidP="000A4CF9" w:rsidRDefault="000A4CF9" w14:paraId="334544B1" w14:textId="66B88765">
      <w:pPr>
        <w:spacing w:line="276" w:lineRule="auto"/>
        <w:ind w:firstLine="708"/>
        <w:jc w:val="both"/>
        <w:rPr>
          <w:rFonts w:ascii="Arial" w:hAnsi="Arial" w:eastAsia="Calibri" w:cs="Arial"/>
          <w:color w:val="000000"/>
          <w:sz w:val="22"/>
          <w:szCs w:val="22"/>
          <w:lang w:eastAsia="es-ES_tradnl"/>
        </w:rPr>
      </w:pPr>
      <w:r w:rsidRPr="000A4CF9">
        <w:rPr>
          <w:rFonts w:ascii="Arial" w:hAnsi="Arial" w:eastAsia="Calibri" w:cs="Arial"/>
          <w:color w:val="000000"/>
          <w:sz w:val="22"/>
          <w:szCs w:val="22"/>
          <w:lang w:eastAsia="es-ES_tradnl"/>
        </w:rPr>
        <w:t xml:space="preserve"> </w:t>
      </w:r>
    </w:p>
    <w:p w:rsidRPr="007A011C" w:rsidR="007A011C" w:rsidP="000A4CF9" w:rsidRDefault="000A4CF9" w14:paraId="1241C39B" w14:textId="34E955FB">
      <w:pPr>
        <w:spacing w:line="276" w:lineRule="auto"/>
        <w:ind w:firstLine="708"/>
        <w:jc w:val="both"/>
        <w:rPr>
          <w:rFonts w:ascii="Arial" w:hAnsi="Arial" w:eastAsia="Calibri" w:cs="Arial"/>
          <w:color w:val="000000"/>
          <w:sz w:val="22"/>
          <w:szCs w:val="22"/>
          <w:lang w:eastAsia="es-ES_tradnl"/>
        </w:rPr>
      </w:pPr>
      <w:r>
        <w:rPr>
          <w:rFonts w:ascii="Arial" w:hAnsi="Arial" w:eastAsia="Calibri" w:cs="Arial"/>
          <w:color w:val="000000"/>
          <w:sz w:val="22"/>
          <w:szCs w:val="22"/>
          <w:lang w:eastAsia="es-ES_tradnl"/>
        </w:rPr>
        <w:t xml:space="preserve">Partiendo de esta naturaleza y por expresa voluntad del legislador están </w:t>
      </w:r>
      <w:r w:rsidR="00606F42">
        <w:rPr>
          <w:rFonts w:ascii="Arial" w:hAnsi="Arial" w:eastAsia="Calibri" w:cs="Arial"/>
          <w:color w:val="000000"/>
          <w:sz w:val="22"/>
          <w:szCs w:val="22"/>
          <w:lang w:eastAsia="es-ES_tradnl"/>
        </w:rPr>
        <w:t>s</w:t>
      </w:r>
      <w:r>
        <w:rPr>
          <w:rFonts w:ascii="Arial" w:hAnsi="Arial" w:eastAsia="Calibri" w:cs="Arial"/>
          <w:color w:val="000000"/>
          <w:sz w:val="22"/>
          <w:szCs w:val="22"/>
          <w:lang w:eastAsia="es-ES_tradnl"/>
        </w:rPr>
        <w:t xml:space="preserve">ometidos </w:t>
      </w:r>
      <w:r w:rsidR="002D6BDF">
        <w:rPr>
          <w:rFonts w:ascii="Arial" w:hAnsi="Arial" w:eastAsia="Calibri" w:cs="Arial"/>
          <w:color w:val="000000"/>
          <w:sz w:val="22"/>
          <w:szCs w:val="22"/>
          <w:lang w:eastAsia="es-ES_tradnl"/>
        </w:rPr>
        <w:t xml:space="preserve">al Estatuto General de Contratación, contenido en las Leyes 80 de 1993, 1150 de 2007, las demás que las modifiquen, adicionen o complementen; así como </w:t>
      </w:r>
      <w:r w:rsidR="00606F42">
        <w:rPr>
          <w:rFonts w:ascii="Arial" w:hAnsi="Arial" w:eastAsia="Calibri" w:cs="Arial"/>
          <w:color w:val="000000"/>
          <w:sz w:val="22"/>
          <w:szCs w:val="22"/>
          <w:lang w:eastAsia="es-ES_tradnl"/>
        </w:rPr>
        <w:t>a</w:t>
      </w:r>
      <w:r w:rsidR="002D6BDF">
        <w:rPr>
          <w:rFonts w:ascii="Arial" w:hAnsi="Arial" w:eastAsia="Calibri" w:cs="Arial"/>
          <w:color w:val="000000"/>
          <w:sz w:val="22"/>
          <w:szCs w:val="22"/>
          <w:lang w:eastAsia="es-ES_tradnl"/>
        </w:rPr>
        <w:t xml:space="preserve"> su respectiva reglamentación, es decir</w:t>
      </w:r>
      <w:r w:rsidR="00606F42">
        <w:rPr>
          <w:rFonts w:ascii="Arial" w:hAnsi="Arial" w:eastAsia="Calibri" w:cs="Arial"/>
          <w:color w:val="000000"/>
          <w:sz w:val="22"/>
          <w:szCs w:val="22"/>
          <w:lang w:eastAsia="es-ES_tradnl"/>
        </w:rPr>
        <w:t>,</w:t>
      </w:r>
      <w:r w:rsidR="002D6BDF">
        <w:rPr>
          <w:rFonts w:ascii="Arial" w:hAnsi="Arial" w:eastAsia="Calibri" w:cs="Arial"/>
          <w:color w:val="000000"/>
          <w:sz w:val="22"/>
          <w:szCs w:val="22"/>
          <w:lang w:eastAsia="es-ES_tradnl"/>
        </w:rPr>
        <w:t xml:space="preserve"> el Decreto 1082 del 2015. </w:t>
      </w:r>
    </w:p>
    <w:p w:rsidR="00460695" w:rsidP="00460695" w:rsidRDefault="00460695" w14:paraId="6A5CE98F" w14:textId="77777777">
      <w:pPr>
        <w:spacing w:line="276" w:lineRule="auto"/>
        <w:ind w:firstLine="708"/>
        <w:jc w:val="both"/>
        <w:rPr>
          <w:rFonts w:ascii="Arial" w:hAnsi="Arial" w:eastAsia="Calibri" w:cs="Arial"/>
          <w:color w:val="000000"/>
          <w:sz w:val="22"/>
          <w:szCs w:val="22"/>
          <w:lang w:eastAsia="es-ES_tradnl"/>
        </w:rPr>
      </w:pPr>
    </w:p>
    <w:p w:rsidRPr="00380EC4" w:rsidR="00380EC4" w:rsidP="00380EC4" w:rsidRDefault="00460695" w14:paraId="5CBA8386" w14:textId="4B9CC424">
      <w:pPr>
        <w:spacing w:line="276" w:lineRule="auto"/>
        <w:jc w:val="both"/>
        <w:rPr>
          <w:rFonts w:ascii="Arial" w:hAnsi="Arial" w:eastAsia="Calibri" w:cs="Arial"/>
          <w:b/>
          <w:bCs/>
          <w:color w:val="000000"/>
          <w:sz w:val="22"/>
          <w:lang w:eastAsia="en-GB"/>
        </w:rPr>
      </w:pPr>
      <w:r w:rsidRPr="00460695">
        <w:rPr>
          <w:rFonts w:ascii="Arial" w:hAnsi="Arial" w:eastAsia="Calibri" w:cs="Arial"/>
          <w:b/>
          <w:bCs/>
          <w:color w:val="000000"/>
          <w:sz w:val="22"/>
          <w:lang w:val="es-MX" w:eastAsia="en-GB"/>
        </w:rPr>
        <w:t xml:space="preserve">2.2. </w:t>
      </w:r>
      <w:r w:rsidRPr="00380EC4" w:rsidR="00380EC4">
        <w:rPr>
          <w:rFonts w:ascii="Arial" w:hAnsi="Arial" w:eastAsia="Calibri" w:cs="Arial"/>
          <w:b/>
          <w:bCs/>
          <w:color w:val="000000"/>
          <w:sz w:val="22"/>
          <w:lang w:eastAsia="en-GB"/>
        </w:rPr>
        <w:t>Fundamento axiológico de la publicidad de la información oficial de la contratación estatal en el Sistema Electrónico para la Contratación Pública –SECOP–</w:t>
      </w:r>
    </w:p>
    <w:p w:rsidRPr="00380EC4" w:rsidR="00380EC4" w:rsidP="00380EC4" w:rsidRDefault="00380EC4" w14:paraId="7A54866A" w14:textId="77777777">
      <w:pPr>
        <w:spacing w:line="276" w:lineRule="auto"/>
        <w:jc w:val="both"/>
        <w:rPr>
          <w:rFonts w:ascii="Arial" w:hAnsi="Arial" w:eastAsia="Calibri" w:cs="Arial"/>
          <w:b/>
          <w:bCs/>
          <w:color w:val="000000"/>
          <w:sz w:val="22"/>
          <w:lang w:eastAsia="en-GB"/>
        </w:rPr>
      </w:pPr>
    </w:p>
    <w:p w:rsidR="00380EC4" w:rsidP="00380EC4" w:rsidRDefault="00380EC4" w14:paraId="17B58F70" w14:textId="77777777">
      <w:pPr>
        <w:spacing w:line="276" w:lineRule="auto"/>
        <w:ind w:firstLine="708"/>
        <w:jc w:val="both"/>
        <w:rPr>
          <w:rFonts w:ascii="Arial" w:hAnsi="Arial" w:eastAsia="Calibri" w:cs="Arial"/>
          <w:bCs/>
          <w:sz w:val="22"/>
          <w:szCs w:val="22"/>
          <w:lang w:eastAsia="en-US"/>
        </w:rPr>
      </w:pPr>
      <w:r w:rsidRPr="00380EC4">
        <w:rPr>
          <w:rFonts w:ascii="Arial" w:hAnsi="Arial" w:eastAsia="Calibri" w:cs="Arial"/>
          <w:bCs/>
          <w:sz w:val="22"/>
          <w:szCs w:val="22"/>
          <w:lang w:eastAsia="en-US"/>
        </w:rPr>
        <w:t xml:space="preserve">Uno de los postulados más importantes de un Estado social y democrático de derecho es el principio de publicidad, pues este permite que las actuaciones de las autoridades gocen de visibilidad. En tal sentido, la filosofía política explica que la democracia </w:t>
      </w:r>
      <w:r w:rsidRPr="007671B6">
        <w:rPr>
          <w:rFonts w:ascii="Arial" w:hAnsi="Arial" w:eastAsia="Calibri" w:cs="Arial"/>
          <w:bCs/>
          <w:i/>
          <w:iCs/>
          <w:sz w:val="22"/>
          <w:szCs w:val="22"/>
          <w:lang w:eastAsia="en-US"/>
        </w:rPr>
        <w:t>«[…] es idealmente el gobierno de un poder visible, es decir, el gobierno cuyos actos se realizan ante el público y bajo la supervisión de la opinión pública»</w:t>
      </w:r>
      <w:r w:rsidRPr="007671B6">
        <w:rPr>
          <w:rFonts w:ascii="Arial" w:hAnsi="Arial" w:eastAsia="Calibri" w:cs="Arial"/>
          <w:i/>
          <w:iCs/>
          <w:color w:val="000000"/>
          <w:sz w:val="22"/>
          <w:vertAlign w:val="superscript"/>
          <w:lang w:val="es-MX" w:eastAsia="es-ES_tradnl"/>
        </w:rPr>
        <w:footnoteReference w:id="9"/>
      </w:r>
      <w:r w:rsidRPr="00380EC4">
        <w:rPr>
          <w:rFonts w:ascii="Arial" w:hAnsi="Arial" w:eastAsia="Calibri" w:cs="Arial"/>
          <w:bCs/>
          <w:sz w:val="22"/>
          <w:szCs w:val="22"/>
          <w:lang w:eastAsia="en-US"/>
        </w:rPr>
        <w:t xml:space="preserve">. El secreto generalizado en el ejercicio del poder político constituye, por el contrario, una negación de la democracia, porque dificulta la supervisión de las autoridades por parte de la sociedad civil y establece una barrera para la participación ciudadana. </w:t>
      </w:r>
    </w:p>
    <w:p w:rsidRPr="00380EC4" w:rsidR="00380EC4" w:rsidP="00380EC4" w:rsidRDefault="00380EC4" w14:paraId="7F637EF7" w14:textId="77777777">
      <w:pPr>
        <w:spacing w:line="276" w:lineRule="auto"/>
        <w:ind w:firstLine="708"/>
        <w:jc w:val="both"/>
        <w:rPr>
          <w:rFonts w:ascii="Arial" w:hAnsi="Arial" w:eastAsia="Calibri" w:cs="Arial"/>
          <w:bCs/>
          <w:sz w:val="22"/>
          <w:szCs w:val="22"/>
          <w:lang w:eastAsia="en-US"/>
        </w:rPr>
      </w:pPr>
    </w:p>
    <w:p w:rsidRPr="00380EC4" w:rsidR="00380EC4" w:rsidP="00380EC4" w:rsidRDefault="00380EC4" w14:paraId="2B4C8A24" w14:textId="6EE47431">
      <w:pPr>
        <w:spacing w:line="276" w:lineRule="auto"/>
        <w:ind w:firstLine="708"/>
        <w:jc w:val="both"/>
        <w:rPr>
          <w:rFonts w:ascii="Arial" w:hAnsi="Arial" w:eastAsia="Calibri" w:cs="Arial"/>
          <w:bCs/>
          <w:sz w:val="22"/>
          <w:szCs w:val="22"/>
          <w:lang w:eastAsia="en-US"/>
        </w:rPr>
      </w:pPr>
      <w:r w:rsidRPr="00380EC4">
        <w:rPr>
          <w:rFonts w:ascii="Arial" w:hAnsi="Arial" w:eastAsia="Calibri" w:cs="Arial"/>
          <w:bCs/>
          <w:sz w:val="22"/>
          <w:szCs w:val="22"/>
          <w:lang w:eastAsia="en-US"/>
        </w:rPr>
        <w:t>Inspirada en esta concepción axiológica, la Constitución Política de 1991 consagra</w:t>
      </w:r>
      <w:r w:rsidR="00132DDD">
        <w:rPr>
          <w:rFonts w:ascii="Arial" w:hAnsi="Arial" w:eastAsia="Calibri" w:cs="Arial"/>
          <w:bCs/>
          <w:sz w:val="22"/>
          <w:szCs w:val="22"/>
          <w:lang w:eastAsia="en-US"/>
        </w:rPr>
        <w:t xml:space="preserve"> </w:t>
      </w:r>
      <w:r w:rsidRPr="00380EC4">
        <w:rPr>
          <w:rFonts w:ascii="Arial" w:hAnsi="Arial" w:eastAsia="Calibri" w:cs="Arial"/>
          <w:bCs/>
          <w:sz w:val="22"/>
          <w:szCs w:val="22"/>
          <w:lang w:eastAsia="en-US"/>
        </w:rPr>
        <w:t>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rsidRPr="00380EC4" w:rsidR="00380EC4" w:rsidP="00380EC4" w:rsidRDefault="00380EC4" w14:paraId="325C4160" w14:textId="77777777">
      <w:pPr>
        <w:spacing w:line="276" w:lineRule="auto"/>
        <w:ind w:firstLine="708"/>
        <w:jc w:val="both"/>
        <w:rPr>
          <w:rFonts w:ascii="Arial" w:hAnsi="Arial" w:eastAsia="Calibri" w:cs="Arial"/>
          <w:bCs/>
          <w:sz w:val="22"/>
          <w:szCs w:val="22"/>
          <w:lang w:eastAsia="en-US"/>
        </w:rPr>
      </w:pPr>
    </w:p>
    <w:p w:rsidRPr="007671B6" w:rsidR="00380EC4" w:rsidP="00132DDD" w:rsidRDefault="00380EC4" w14:paraId="1844BF7E" w14:textId="77777777">
      <w:pPr>
        <w:ind w:left="709" w:right="709"/>
        <w:jc w:val="both"/>
        <w:rPr>
          <w:rFonts w:ascii="Arial" w:hAnsi="Arial" w:eastAsia="Calibri" w:cs="Arial"/>
          <w:bCs/>
          <w:sz w:val="20"/>
          <w:szCs w:val="20"/>
          <w:lang w:eastAsia="en-US"/>
        </w:rPr>
      </w:pPr>
      <w:r w:rsidRPr="007671B6">
        <w:rPr>
          <w:rFonts w:ascii="Arial" w:hAnsi="Arial" w:eastAsia="Calibri" w:cs="Arial"/>
          <w:bCs/>
          <w:sz w:val="20"/>
          <w:szCs w:val="20"/>
          <w:lang w:eastAsia="en-US"/>
        </w:rPr>
        <w:lastRenderedPageBreak/>
        <w:t xml:space="preserve">El principio de publicidad se encuentra consagrado en el artículo 209 de la Constitución Política, que señala que la función administrativa está al servicio de los intereses generales y se desarrolla con fundamento entre otros, en el «principio de publicidad», el cual se </w:t>
      </w:r>
      <w:r w:rsidRPr="007671B6">
        <w:rPr>
          <w:rFonts w:ascii="Arial" w:hAnsi="Arial" w:cs="Arial"/>
          <w:color w:val="000000" w:themeColor="text1"/>
          <w:sz w:val="20"/>
          <w:szCs w:val="20"/>
          <w:lang w:eastAsia="es-ES_tradnl"/>
        </w:rPr>
        <w:t>evidencia</w:t>
      </w:r>
      <w:r w:rsidRPr="007671B6">
        <w:rPr>
          <w:rFonts w:ascii="Arial" w:hAnsi="Arial" w:eastAsia="Calibri" w:cs="Arial"/>
          <w:bCs/>
          <w:sz w:val="20"/>
          <w:szCs w:val="20"/>
          <w:lang w:eastAsia="en-US"/>
        </w:rPr>
        <w:t xml:space="preserve"> en dos dimensiones.</w:t>
      </w:r>
    </w:p>
    <w:p w:rsidRPr="007671B6" w:rsidR="00BF5D20" w:rsidP="00132DDD" w:rsidRDefault="00BF5D20" w14:paraId="583DDC4A" w14:textId="77777777">
      <w:pPr>
        <w:ind w:left="709" w:right="709"/>
        <w:jc w:val="both"/>
        <w:rPr>
          <w:rFonts w:ascii="Arial" w:hAnsi="Arial" w:eastAsia="Calibri" w:cs="Arial"/>
          <w:bCs/>
          <w:sz w:val="20"/>
          <w:szCs w:val="20"/>
          <w:lang w:eastAsia="en-US"/>
        </w:rPr>
      </w:pPr>
    </w:p>
    <w:p w:rsidRPr="007671B6" w:rsidR="00380EC4" w:rsidP="00132DDD" w:rsidRDefault="00380EC4" w14:paraId="2073006B" w14:textId="77777777">
      <w:pPr>
        <w:ind w:left="709" w:right="709"/>
        <w:jc w:val="both"/>
        <w:rPr>
          <w:rFonts w:ascii="Arial" w:hAnsi="Arial" w:eastAsia="Calibri" w:cs="Arial"/>
          <w:bCs/>
          <w:sz w:val="20"/>
          <w:szCs w:val="20"/>
          <w:lang w:eastAsia="en-US"/>
        </w:rPr>
      </w:pPr>
      <w:r w:rsidRPr="007671B6">
        <w:rPr>
          <w:rFonts w:ascii="Arial" w:hAnsi="Arial" w:eastAsia="Calibri" w:cs="Arial"/>
          <w:bCs/>
          <w:sz w:val="20"/>
          <w:szCs w:val="20"/>
          <w:lang w:eastAsia="en-U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7671B6">
        <w:rPr>
          <w:rFonts w:ascii="Arial" w:hAnsi="Arial" w:eastAsia="Calibri" w:cs="Arial"/>
          <w:bCs/>
          <w:sz w:val="20"/>
          <w:szCs w:val="20"/>
          <w:lang w:eastAsia="en-US"/>
        </w:rPr>
        <w:t>autoridades públicas</w:t>
      </w:r>
      <w:proofErr w:type="gramEnd"/>
      <w:r w:rsidRPr="007671B6">
        <w:rPr>
          <w:rFonts w:ascii="Arial" w:hAnsi="Arial" w:eastAsia="Calibri" w:cs="Arial"/>
          <w:bCs/>
          <w:sz w:val="20"/>
          <w:szCs w:val="20"/>
          <w:lang w:eastAsia="en-US"/>
        </w:rPr>
        <w:t xml:space="preserve"> y, a través de ese conocimiento, a exigir que ellas se surtan conforme a la ley</w:t>
      </w:r>
      <w:r w:rsidRPr="007671B6">
        <w:rPr>
          <w:rFonts w:ascii="Arial" w:hAnsi="Arial" w:eastAsia="Calibri" w:cs="Arial"/>
          <w:color w:val="000000"/>
          <w:sz w:val="20"/>
          <w:szCs w:val="20"/>
          <w:vertAlign w:val="superscript"/>
          <w:lang w:val="es-MX" w:eastAsia="es-ES_tradnl"/>
        </w:rPr>
        <w:footnoteReference w:id="10"/>
      </w:r>
      <w:r w:rsidRPr="007671B6">
        <w:rPr>
          <w:rFonts w:ascii="Arial" w:hAnsi="Arial" w:eastAsia="Calibri" w:cs="Arial"/>
          <w:bCs/>
          <w:sz w:val="20"/>
          <w:szCs w:val="20"/>
          <w:lang w:eastAsia="en-US"/>
        </w:rPr>
        <w:t>.</w:t>
      </w:r>
    </w:p>
    <w:p w:rsidRPr="00380EC4" w:rsidR="00380EC4" w:rsidP="00132DDD" w:rsidRDefault="00380EC4" w14:paraId="76E3D2D3" w14:textId="77777777">
      <w:pPr>
        <w:ind w:left="709" w:right="709"/>
        <w:jc w:val="both"/>
        <w:rPr>
          <w:rFonts w:ascii="Arial" w:hAnsi="Arial" w:eastAsia="Calibri" w:cs="Arial"/>
          <w:bCs/>
          <w:sz w:val="22"/>
          <w:szCs w:val="22"/>
          <w:lang w:eastAsia="en-US"/>
        </w:rPr>
      </w:pPr>
    </w:p>
    <w:p w:rsidRPr="00380EC4" w:rsidR="00380EC4" w:rsidP="00380EC4" w:rsidRDefault="00380EC4" w14:paraId="1D1BCD35" w14:textId="3720E787">
      <w:pPr>
        <w:spacing w:line="276" w:lineRule="auto"/>
        <w:ind w:firstLine="708"/>
        <w:jc w:val="both"/>
        <w:rPr>
          <w:rFonts w:ascii="Arial" w:hAnsi="Arial" w:eastAsia="Calibri" w:cs="Arial"/>
          <w:bCs/>
          <w:sz w:val="22"/>
          <w:szCs w:val="22"/>
          <w:lang w:eastAsia="en-US"/>
        </w:rPr>
      </w:pPr>
      <w:r w:rsidRPr="00380EC4">
        <w:rPr>
          <w:rFonts w:ascii="Arial" w:hAnsi="Arial" w:eastAsia="Calibri" w:cs="Arial"/>
          <w:bCs/>
          <w:sz w:val="22"/>
          <w:szCs w:val="22"/>
          <w:lang w:eastAsia="en-US"/>
        </w:rPr>
        <w:t xml:space="preserve">El principio de publicidad impone a las autoridades administrativas el deber de dar a conocer sus actos, contratos y decisiones, para que se divulguen y eventualmente se controlen dichas actuaciones. Es por eso </w:t>
      </w:r>
      <w:proofErr w:type="gramStart"/>
      <w:r w:rsidRPr="00380EC4">
        <w:rPr>
          <w:rFonts w:ascii="Arial" w:hAnsi="Arial" w:eastAsia="Calibri" w:cs="Arial"/>
          <w:bCs/>
          <w:sz w:val="22"/>
          <w:szCs w:val="22"/>
          <w:lang w:eastAsia="en-US"/>
        </w:rPr>
        <w:t>que</w:t>
      </w:r>
      <w:proofErr w:type="gramEnd"/>
      <w:r w:rsidR="007671B6">
        <w:rPr>
          <w:rFonts w:ascii="Arial" w:hAnsi="Arial" w:eastAsia="Calibri" w:cs="Arial"/>
          <w:bCs/>
          <w:sz w:val="22"/>
          <w:szCs w:val="22"/>
          <w:lang w:eastAsia="en-US"/>
        </w:rPr>
        <w:t>,</w:t>
      </w:r>
      <w:r w:rsidRPr="00380EC4">
        <w:rPr>
          <w:rFonts w:ascii="Arial" w:hAnsi="Arial" w:eastAsia="Calibri" w:cs="Arial"/>
          <w:bCs/>
          <w:sz w:val="22"/>
          <w:szCs w:val="22"/>
          <w:lang w:eastAsia="en-US"/>
        </w:rPr>
        <w:t xml:space="preserve"> en la contratación estatal, el literal c) del artículo 3 de la Ley 1150 de 2007 establece el Sistema Electrónico para la Contratación Pública –SECOP– como un mecanismo que </w:t>
      </w:r>
      <w:r w:rsidRPr="007671B6">
        <w:rPr>
          <w:rFonts w:ascii="Arial" w:hAnsi="Arial" w:eastAsia="Calibri" w:cs="Arial"/>
          <w:bCs/>
          <w:i/>
          <w:iCs/>
          <w:sz w:val="22"/>
          <w:szCs w:val="22"/>
          <w:lang w:eastAsia="en-US"/>
        </w:rPr>
        <w:t>«contará con la información oficial de la contratación realizada con dineros públicos, para lo cual establecerá los patrones a que haya lugar y se encargará de su difusión a través de canales electrónicos»</w:t>
      </w:r>
      <w:r w:rsidRPr="007671B6">
        <w:rPr>
          <w:rFonts w:ascii="Arial" w:hAnsi="Arial" w:eastAsia="Calibri" w:cs="Arial"/>
          <w:i/>
          <w:iCs/>
          <w:color w:val="000000"/>
          <w:sz w:val="22"/>
          <w:vertAlign w:val="superscript"/>
          <w:lang w:val="es-MX" w:eastAsia="es-ES_tradnl"/>
        </w:rPr>
        <w:footnoteReference w:id="11"/>
      </w:r>
      <w:r w:rsidRPr="007671B6">
        <w:rPr>
          <w:rFonts w:ascii="Arial" w:hAnsi="Arial" w:eastAsia="Calibri" w:cs="Arial"/>
          <w:bCs/>
          <w:i/>
          <w:iCs/>
          <w:sz w:val="22"/>
          <w:szCs w:val="22"/>
          <w:lang w:eastAsia="en-US"/>
        </w:rPr>
        <w:t>.</w:t>
      </w:r>
      <w:r w:rsidRPr="00380EC4">
        <w:rPr>
          <w:rFonts w:ascii="Arial" w:hAnsi="Arial" w:eastAsia="Calibri" w:cs="Arial"/>
          <w:bCs/>
          <w:sz w:val="22"/>
          <w:szCs w:val="22"/>
          <w:lang w:eastAsia="en-US"/>
        </w:rPr>
        <w:t xml:space="preserve"> </w:t>
      </w:r>
    </w:p>
    <w:p w:rsidR="004B2791" w:rsidP="00380EC4" w:rsidRDefault="004B2791" w14:paraId="0FFD889C" w14:textId="77777777">
      <w:pPr>
        <w:spacing w:line="276" w:lineRule="auto"/>
        <w:ind w:firstLine="708"/>
        <w:jc w:val="both"/>
        <w:rPr>
          <w:rFonts w:ascii="Arial" w:hAnsi="Arial" w:eastAsia="Calibri" w:cs="Arial"/>
          <w:bCs/>
          <w:sz w:val="22"/>
          <w:szCs w:val="22"/>
          <w:lang w:eastAsia="en-US"/>
        </w:rPr>
      </w:pPr>
    </w:p>
    <w:p w:rsidRPr="00380EC4" w:rsidR="00380EC4" w:rsidP="00380EC4" w:rsidRDefault="00380EC4" w14:paraId="4E9C3B1A" w14:textId="77777777">
      <w:pPr>
        <w:spacing w:line="276" w:lineRule="auto"/>
        <w:ind w:firstLine="708"/>
        <w:jc w:val="both"/>
        <w:rPr>
          <w:rFonts w:ascii="Arial" w:hAnsi="Arial" w:eastAsia="Calibri" w:cs="Arial"/>
          <w:bCs/>
          <w:sz w:val="22"/>
          <w:szCs w:val="22"/>
          <w:lang w:eastAsia="en-US"/>
        </w:rPr>
      </w:pPr>
      <w:r w:rsidRPr="00380EC4">
        <w:rPr>
          <w:rFonts w:ascii="Arial" w:hAnsi="Arial" w:eastAsia="Calibri" w:cs="Arial"/>
          <w:bCs/>
          <w:sz w:val="22"/>
          <w:szCs w:val="22"/>
          <w:lang w:eastAsia="en-US"/>
        </w:rPr>
        <w:t xml:space="preserve">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w:t>
      </w:r>
      <w:r w:rsidRPr="007671B6">
        <w:rPr>
          <w:rFonts w:ascii="Arial" w:hAnsi="Arial" w:eastAsia="Calibri" w:cs="Arial"/>
          <w:bCs/>
          <w:i/>
          <w:iCs/>
          <w:sz w:val="22"/>
          <w:szCs w:val="22"/>
          <w:lang w:eastAsia="en-US"/>
        </w:rPr>
        <w:t xml:space="preserve">«toda información en posesión, bajo control o custodia de un sujeto obligado es pública y </w:t>
      </w:r>
      <w:r w:rsidRPr="007671B6">
        <w:rPr>
          <w:rFonts w:ascii="Arial" w:hAnsi="Arial" w:eastAsia="Calibri" w:cs="Arial"/>
          <w:bCs/>
          <w:i/>
          <w:iCs/>
          <w:sz w:val="22"/>
          <w:szCs w:val="22"/>
          <w:lang w:eastAsia="en-US"/>
        </w:rPr>
        <w:lastRenderedPageBreak/>
        <w:t>no podrá ser reservada o limitada sino por disposición constitucional o legal»</w:t>
      </w:r>
      <w:r w:rsidRPr="007671B6">
        <w:rPr>
          <w:rFonts w:ascii="Arial" w:hAnsi="Arial" w:eastAsia="Calibri" w:cs="Arial"/>
          <w:bCs/>
          <w:i/>
          <w:iCs/>
          <w:sz w:val="20"/>
          <w:szCs w:val="20"/>
          <w:vertAlign w:val="superscript"/>
          <w:lang w:eastAsia="en-US"/>
        </w:rPr>
        <w:footnoteReference w:id="12"/>
      </w:r>
      <w:r w:rsidRPr="007671B6">
        <w:rPr>
          <w:rFonts w:ascii="Arial" w:hAnsi="Arial" w:eastAsia="Calibri" w:cs="Arial"/>
          <w:bCs/>
          <w:i/>
          <w:iCs/>
          <w:sz w:val="22"/>
          <w:szCs w:val="22"/>
          <w:lang w:eastAsia="en-US"/>
        </w:rPr>
        <w:t>.</w:t>
      </w:r>
      <w:r w:rsidRPr="00380EC4">
        <w:rPr>
          <w:rFonts w:ascii="Arial" w:hAnsi="Arial" w:eastAsia="Calibri" w:cs="Arial"/>
          <w:bCs/>
          <w:sz w:val="22"/>
          <w:szCs w:val="22"/>
          <w:lang w:eastAsia="en-US"/>
        </w:rPr>
        <w:t xml:space="preserve"> El principio de transparencia en la información alude al deber de los sujetos de proporcionar y facilitar el acceso a la misma en los términos más amplios posibles, y a través de los medios y procedimientos legales. Y el principio de buena fe hace referencia al deber de todo sujeto obligado de cumplir con las obligaciones derivadas del derecho de acceso a la información pública con motivación honesta, leal y desprovista de cualquier intención dolosa o culposa</w:t>
      </w:r>
      <w:r w:rsidRPr="00B75962">
        <w:rPr>
          <w:rFonts w:ascii="Arial" w:hAnsi="Arial" w:eastAsia="Calibri" w:cs="Arial"/>
          <w:color w:val="000000"/>
          <w:sz w:val="22"/>
          <w:vertAlign w:val="superscript"/>
          <w:lang w:val="es-MX" w:eastAsia="es-ES_tradnl"/>
        </w:rPr>
        <w:footnoteReference w:id="13"/>
      </w:r>
      <w:r w:rsidRPr="00AE39EC">
        <w:rPr>
          <w:rFonts w:ascii="Arial" w:hAnsi="Arial" w:eastAsia="Calibri" w:cs="Arial"/>
          <w:bCs/>
          <w:sz w:val="20"/>
          <w:szCs w:val="20"/>
          <w:lang w:eastAsia="en-US"/>
        </w:rPr>
        <w:t>.</w:t>
      </w:r>
    </w:p>
    <w:p w:rsidR="00AE39EC" w:rsidP="00380EC4" w:rsidRDefault="00AE39EC" w14:paraId="50EBB67D" w14:textId="77777777">
      <w:pPr>
        <w:spacing w:line="276" w:lineRule="auto"/>
        <w:ind w:firstLine="708"/>
        <w:jc w:val="both"/>
        <w:rPr>
          <w:rFonts w:ascii="Arial" w:hAnsi="Arial" w:eastAsia="Calibri" w:cs="Arial"/>
          <w:bCs/>
          <w:sz w:val="22"/>
          <w:szCs w:val="22"/>
          <w:lang w:eastAsia="en-US"/>
        </w:rPr>
      </w:pPr>
    </w:p>
    <w:p w:rsidR="00380EC4" w:rsidP="00380EC4" w:rsidRDefault="00380EC4" w14:paraId="5A942DE9" w14:textId="0CB12A6B">
      <w:pPr>
        <w:spacing w:line="276" w:lineRule="auto"/>
        <w:ind w:firstLine="708"/>
        <w:jc w:val="both"/>
        <w:rPr>
          <w:rFonts w:ascii="Arial" w:hAnsi="Arial" w:eastAsia="Calibri" w:cs="Arial"/>
          <w:bCs/>
          <w:sz w:val="22"/>
          <w:szCs w:val="22"/>
          <w:lang w:eastAsia="en-US"/>
        </w:rPr>
      </w:pPr>
      <w:r w:rsidRPr="00380EC4">
        <w:rPr>
          <w:rFonts w:ascii="Arial" w:hAnsi="Arial" w:eastAsia="Calibri" w:cs="Arial"/>
          <w:bCs/>
          <w:sz w:val="22"/>
          <w:szCs w:val="22"/>
          <w:lang w:eastAsia="en-US"/>
        </w:rPr>
        <w:t>En el literal e) del artículo 9, la ley citada  establece que los sujetos obligados</w:t>
      </w:r>
      <w:r w:rsidRPr="00B75962">
        <w:rPr>
          <w:rFonts w:ascii="Arial" w:hAnsi="Arial" w:eastAsia="Calibri" w:cs="Arial"/>
          <w:color w:val="000000"/>
          <w:sz w:val="22"/>
          <w:vertAlign w:val="superscript"/>
          <w:lang w:val="es-MX" w:eastAsia="es-ES_tradnl"/>
        </w:rPr>
        <w:footnoteReference w:id="14"/>
      </w:r>
      <w:r w:rsidRPr="00B75962">
        <w:rPr>
          <w:rFonts w:ascii="Arial" w:hAnsi="Arial" w:eastAsia="Calibri" w:cs="Arial"/>
          <w:color w:val="000000"/>
          <w:sz w:val="22"/>
          <w:vertAlign w:val="superscript"/>
          <w:lang w:val="es-MX" w:eastAsia="es-ES_tradnl"/>
        </w:rPr>
        <w:t xml:space="preserve"> </w:t>
      </w:r>
      <w:r w:rsidRPr="00380EC4">
        <w:rPr>
          <w:rFonts w:ascii="Arial" w:hAnsi="Arial" w:eastAsia="Calibri" w:cs="Arial"/>
          <w:bCs/>
          <w:sz w:val="22"/>
          <w:szCs w:val="22"/>
          <w:lang w:eastAsia="en-US"/>
        </w:rPr>
        <w:t xml:space="preserve">deben publicar la información relativa a su contratación. El artículo 5 </w:t>
      </w:r>
      <w:r w:rsidRPr="00380EC4" w:rsidR="00AE39EC">
        <w:rPr>
          <w:rFonts w:ascii="Arial" w:hAnsi="Arial" w:eastAsia="Calibri" w:cs="Arial"/>
          <w:bCs/>
          <w:sz w:val="22"/>
          <w:szCs w:val="22"/>
          <w:lang w:eastAsia="en-US"/>
        </w:rPr>
        <w:t>ibídem</w:t>
      </w:r>
      <w:r w:rsidRPr="00380EC4">
        <w:rPr>
          <w:rFonts w:ascii="Arial" w:hAnsi="Arial" w:eastAsia="Calibri" w:cs="Arial"/>
          <w:bCs/>
          <w:sz w:val="22"/>
          <w:szCs w:val="22"/>
          <w:lang w:eastAsia="en-US"/>
        </w:rPr>
        <w:t xml:space="preserve">, al describir qué se entiende por sujetos obligados, consagra una lista cuyo propósito es incluir a cualquier entidad, órgano, organismo, o persona natural que desempeñe funciones públicas o administre recursos públicos. También son sujetos obligados las empresas públicas, las empresas del Estado y las sociedades en las que el Estado tenga participación, sin que importe su monto. </w:t>
      </w:r>
    </w:p>
    <w:p w:rsidRPr="00380EC4" w:rsidR="00AE39EC" w:rsidP="00380EC4" w:rsidRDefault="00AE39EC" w14:paraId="03B4FB21" w14:textId="77777777">
      <w:pPr>
        <w:spacing w:line="276" w:lineRule="auto"/>
        <w:ind w:firstLine="708"/>
        <w:jc w:val="both"/>
        <w:rPr>
          <w:rFonts w:ascii="Arial" w:hAnsi="Arial" w:eastAsia="Calibri" w:cs="Arial"/>
          <w:bCs/>
          <w:sz w:val="22"/>
          <w:szCs w:val="22"/>
          <w:lang w:eastAsia="en-US"/>
        </w:rPr>
      </w:pPr>
    </w:p>
    <w:p w:rsidR="00380EC4" w:rsidP="00380EC4" w:rsidRDefault="00380EC4" w14:paraId="01B218D8" w14:textId="77777777">
      <w:pPr>
        <w:spacing w:line="276" w:lineRule="auto"/>
        <w:ind w:firstLine="708"/>
        <w:jc w:val="both"/>
        <w:rPr>
          <w:rFonts w:ascii="Arial" w:hAnsi="Arial" w:eastAsia="Calibri" w:cs="Arial"/>
          <w:bCs/>
          <w:sz w:val="22"/>
          <w:szCs w:val="22"/>
          <w:lang w:eastAsia="en-US"/>
        </w:rPr>
      </w:pPr>
      <w:r w:rsidRPr="00380EC4">
        <w:rPr>
          <w:rFonts w:ascii="Arial" w:hAnsi="Arial" w:eastAsia="Calibri" w:cs="Arial"/>
          <w:bCs/>
          <w:sz w:val="22"/>
          <w:szCs w:val="22"/>
          <w:lang w:eastAsia="en-US"/>
        </w:rPr>
        <w:t>La anterior obligación fue desarrollada por el Decreto Único Reglamentario 1081 de 2015</w:t>
      </w:r>
      <w:r w:rsidRPr="00B75962">
        <w:rPr>
          <w:rFonts w:ascii="Arial" w:hAnsi="Arial" w:eastAsia="Calibri" w:cs="Arial"/>
          <w:color w:val="000000"/>
          <w:sz w:val="22"/>
          <w:vertAlign w:val="superscript"/>
          <w:lang w:val="es-MX" w:eastAsia="es-ES_tradnl"/>
        </w:rPr>
        <w:footnoteReference w:id="15"/>
      </w:r>
      <w:r w:rsidRPr="00AE39EC">
        <w:rPr>
          <w:rFonts w:ascii="Arial" w:hAnsi="Arial" w:eastAsia="Calibri" w:cs="Arial"/>
          <w:bCs/>
          <w:sz w:val="20"/>
          <w:szCs w:val="20"/>
          <w:lang w:eastAsia="en-US"/>
        </w:rPr>
        <w:t>,</w:t>
      </w:r>
      <w:r w:rsidRPr="00380EC4">
        <w:rPr>
          <w:rFonts w:ascii="Arial" w:hAnsi="Arial" w:eastAsia="Calibri" w:cs="Arial"/>
          <w:bCs/>
          <w:sz w:val="22"/>
          <w:szCs w:val="22"/>
          <w:lang w:eastAsia="en-US"/>
        </w:rPr>
        <w:t xml:space="preserve"> el cual dispuso que la publicación de la información contractual de los sujetos </w:t>
      </w:r>
      <w:r w:rsidRPr="00380EC4">
        <w:rPr>
          <w:rFonts w:ascii="Arial" w:hAnsi="Arial" w:eastAsia="Calibri" w:cs="Arial"/>
          <w:bCs/>
          <w:sz w:val="22"/>
          <w:szCs w:val="22"/>
          <w:lang w:eastAsia="en-US"/>
        </w:rPr>
        <w:lastRenderedPageBreak/>
        <w:t xml:space="preserve">obligados, que contratan con cargo a recursos públicos, debe hacerse en el Sistema Electrónico para la Contratación Pública −SECOP–. </w:t>
      </w:r>
    </w:p>
    <w:p w:rsidRPr="00380EC4" w:rsidR="00AE39EC" w:rsidP="00380EC4" w:rsidRDefault="00AE39EC" w14:paraId="07058C6D" w14:textId="77777777">
      <w:pPr>
        <w:spacing w:line="276" w:lineRule="auto"/>
        <w:ind w:firstLine="708"/>
        <w:jc w:val="both"/>
        <w:rPr>
          <w:rFonts w:ascii="Arial" w:hAnsi="Arial" w:eastAsia="Calibri" w:cs="Arial"/>
          <w:bCs/>
          <w:sz w:val="22"/>
          <w:szCs w:val="22"/>
          <w:lang w:eastAsia="en-US"/>
        </w:rPr>
      </w:pPr>
    </w:p>
    <w:p w:rsidRPr="00380EC4" w:rsidR="00380EC4" w:rsidP="00380EC4" w:rsidRDefault="00380EC4" w14:paraId="286FB7BD" w14:textId="77777777">
      <w:pPr>
        <w:spacing w:line="276" w:lineRule="auto"/>
        <w:ind w:firstLine="708"/>
        <w:jc w:val="both"/>
        <w:rPr>
          <w:rFonts w:ascii="Arial" w:hAnsi="Arial" w:eastAsia="Calibri" w:cs="Arial"/>
          <w:bCs/>
          <w:sz w:val="22"/>
          <w:szCs w:val="22"/>
          <w:lang w:eastAsia="en-US"/>
        </w:rPr>
      </w:pPr>
      <w:r w:rsidRPr="00380EC4">
        <w:rPr>
          <w:rFonts w:ascii="Arial" w:hAnsi="Arial" w:eastAsia="Calibri" w:cs="Arial"/>
          <w:bCs/>
          <w:sz w:val="22"/>
          <w:szCs w:val="22"/>
          <w:lang w:eastAsia="en-US"/>
        </w:rPr>
        <w:t xml:space="preserve">Asimismo, de acuerdo con el literal g) del artículo 11 de la misma Ley, todos los destinatarios de la ley de transparencia deben garantizar la publicidad </w:t>
      </w:r>
      <w:r w:rsidRPr="007516E1">
        <w:rPr>
          <w:rFonts w:ascii="Arial" w:hAnsi="Arial" w:eastAsia="Calibri" w:cs="Arial"/>
          <w:bCs/>
          <w:sz w:val="22"/>
          <w:szCs w:val="22"/>
          <w:lang w:eastAsia="en-US"/>
        </w:rPr>
        <w:t>de</w:t>
      </w:r>
      <w:r w:rsidRPr="007516E1">
        <w:rPr>
          <w:rFonts w:ascii="Arial" w:hAnsi="Arial" w:eastAsia="Calibri" w:cs="Arial"/>
          <w:bCs/>
          <w:i/>
          <w:iCs/>
          <w:sz w:val="22"/>
          <w:szCs w:val="22"/>
          <w:lang w:eastAsia="en-US"/>
        </w:rPr>
        <w:t xml:space="preserve"> «sus procedimientos, lineamientos, políticas en materia de adquisiciones y compras, así como todos los datos de adjudicación y ejecución de contratos, incluidos concursos y licitaciones»</w:t>
      </w:r>
      <w:r w:rsidRPr="00380EC4">
        <w:rPr>
          <w:rFonts w:ascii="Arial" w:hAnsi="Arial" w:eastAsia="Calibri" w:cs="Arial"/>
          <w:bCs/>
          <w:sz w:val="22"/>
          <w:szCs w:val="22"/>
          <w:lang w:eastAsia="en-US"/>
        </w:rPr>
        <w:t>, y esta información también debe estar en el SECOP. 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6F33F9">
        <w:rPr>
          <w:rFonts w:ascii="Arial" w:hAnsi="Arial" w:eastAsia="Calibri" w:cs="Arial"/>
          <w:color w:val="000000"/>
          <w:sz w:val="22"/>
          <w:vertAlign w:val="superscript"/>
          <w:lang w:val="es-MX" w:eastAsia="es-ES_tradnl"/>
        </w:rPr>
        <w:footnoteReference w:id="16"/>
      </w:r>
      <w:r w:rsidRPr="00BF5D20">
        <w:rPr>
          <w:rFonts w:ascii="Arial" w:hAnsi="Arial" w:eastAsia="Calibri" w:cs="Arial"/>
          <w:bCs/>
          <w:sz w:val="20"/>
          <w:szCs w:val="20"/>
          <w:lang w:eastAsia="en-US"/>
        </w:rPr>
        <w:t>.</w:t>
      </w:r>
    </w:p>
    <w:p w:rsidR="00BF5D20" w:rsidP="00380EC4" w:rsidRDefault="00BF5D20" w14:paraId="4793905D" w14:textId="77777777">
      <w:pPr>
        <w:spacing w:line="276" w:lineRule="auto"/>
        <w:ind w:firstLine="708"/>
        <w:jc w:val="both"/>
        <w:rPr>
          <w:rFonts w:ascii="Arial" w:hAnsi="Arial" w:eastAsia="Calibri" w:cs="Arial"/>
          <w:bCs/>
          <w:sz w:val="22"/>
          <w:szCs w:val="22"/>
          <w:lang w:eastAsia="en-US"/>
        </w:rPr>
      </w:pPr>
    </w:p>
    <w:p w:rsidR="00BF5D20" w:rsidP="00380EC4" w:rsidRDefault="00BF5D20" w14:paraId="4BABEA30" w14:textId="77777777">
      <w:pPr>
        <w:spacing w:line="276" w:lineRule="auto"/>
        <w:ind w:firstLine="708"/>
        <w:jc w:val="both"/>
        <w:rPr>
          <w:rFonts w:ascii="Arial" w:hAnsi="Arial" w:eastAsia="Calibri" w:cs="Arial"/>
          <w:bCs/>
          <w:sz w:val="20"/>
          <w:szCs w:val="20"/>
          <w:lang w:eastAsia="en-US"/>
        </w:rPr>
      </w:pPr>
      <w:r>
        <w:rPr>
          <w:rFonts w:ascii="Arial" w:hAnsi="Arial" w:eastAsia="Calibri" w:cs="Arial"/>
          <w:bCs/>
          <w:sz w:val="22"/>
          <w:szCs w:val="22"/>
          <w:lang w:eastAsia="en-US"/>
        </w:rPr>
        <w:t xml:space="preserve">En </w:t>
      </w:r>
      <w:r w:rsidRPr="00380EC4" w:rsidR="00380EC4">
        <w:rPr>
          <w:rFonts w:ascii="Arial" w:hAnsi="Arial" w:eastAsia="Calibri" w:cs="Arial"/>
          <w:bCs/>
          <w:sz w:val="22"/>
          <w:szCs w:val="22"/>
          <w:lang w:eastAsia="en-US"/>
        </w:rPr>
        <w:t>el año 2013, la Agencia Nacional de Contratación Pública – Colombia Compra Eficiente, mediante la Circular Externa No 1 del 21 de junio de 2013, recopilada en la Circular Externa Única, recordó a todas las entidades del Estado el deber de publicar oportunamente la información oficial de la contratación en el SECOP, sin distinción de su régimen jurídico, naturaleza jurídica o la pertenencia a una u otra rama del poder público</w:t>
      </w:r>
      <w:r w:rsidRPr="006F33F9" w:rsidR="00380EC4">
        <w:rPr>
          <w:rFonts w:ascii="Arial" w:hAnsi="Arial" w:eastAsia="Calibri" w:cs="Arial"/>
          <w:color w:val="000000"/>
          <w:sz w:val="22"/>
          <w:vertAlign w:val="superscript"/>
          <w:lang w:val="es-MX" w:eastAsia="es-ES_tradnl"/>
        </w:rPr>
        <w:footnoteReference w:id="17"/>
      </w:r>
      <w:r w:rsidRPr="00BF5D20" w:rsidR="00380EC4">
        <w:rPr>
          <w:rFonts w:ascii="Arial" w:hAnsi="Arial" w:eastAsia="Calibri" w:cs="Arial"/>
          <w:bCs/>
          <w:sz w:val="20"/>
          <w:szCs w:val="20"/>
          <w:lang w:eastAsia="en-US"/>
        </w:rPr>
        <w:t xml:space="preserve">. </w:t>
      </w:r>
    </w:p>
    <w:p w:rsidR="00BF5D20" w:rsidP="00380EC4" w:rsidRDefault="00BF5D20" w14:paraId="59C64B8C" w14:textId="77777777">
      <w:pPr>
        <w:spacing w:line="276" w:lineRule="auto"/>
        <w:ind w:firstLine="708"/>
        <w:jc w:val="both"/>
        <w:rPr>
          <w:rFonts w:ascii="Arial" w:hAnsi="Arial" w:eastAsia="Calibri" w:cs="Arial"/>
          <w:bCs/>
          <w:sz w:val="20"/>
          <w:szCs w:val="20"/>
          <w:lang w:eastAsia="en-US"/>
        </w:rPr>
      </w:pPr>
    </w:p>
    <w:p w:rsidR="00380EC4" w:rsidP="00380EC4" w:rsidRDefault="00380EC4" w14:paraId="60E89A03" w14:textId="2CEA15D4">
      <w:pPr>
        <w:spacing w:line="276" w:lineRule="auto"/>
        <w:ind w:firstLine="708"/>
        <w:jc w:val="both"/>
        <w:rPr>
          <w:rFonts w:ascii="Arial" w:hAnsi="Arial" w:eastAsia="Calibri" w:cs="Arial"/>
          <w:bCs/>
          <w:sz w:val="20"/>
          <w:szCs w:val="20"/>
          <w:lang w:eastAsia="en-US"/>
        </w:rPr>
      </w:pPr>
      <w:r w:rsidRPr="00380EC4">
        <w:rPr>
          <w:rFonts w:ascii="Arial" w:hAnsi="Arial" w:eastAsia="Calibri" w:cs="Arial"/>
          <w:bCs/>
          <w:sz w:val="22"/>
          <w:szCs w:val="22"/>
          <w:lang w:eastAsia="en-US"/>
        </w:rPr>
        <w:t xml:space="preserve">Este deber, permanece vigente, incluso la Circular Externa Única, en el numeral 1.1., estableció, de manera enunciativa, que deben publicar en el SECOP: </w:t>
      </w:r>
      <w:r w:rsidRPr="007516E1">
        <w:rPr>
          <w:rFonts w:ascii="Arial" w:hAnsi="Arial" w:eastAsia="Calibri" w:cs="Arial"/>
          <w:bCs/>
          <w:i/>
          <w:iCs/>
          <w:sz w:val="22"/>
          <w:szCs w:val="22"/>
          <w:lang w:eastAsia="en-US"/>
        </w:rPr>
        <w:t>«2.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r w:rsidRPr="00380EC4">
        <w:rPr>
          <w:rFonts w:ascii="Arial" w:hAnsi="Arial" w:eastAsia="Calibri" w:cs="Arial"/>
          <w:bCs/>
          <w:sz w:val="22"/>
          <w:szCs w:val="22"/>
          <w:lang w:eastAsia="en-US"/>
        </w:rPr>
        <w:t xml:space="preserve"> Además de lo anterior, es de precisar que el artículo 3 de la Ley 1150 de 2007 ya había establecido que el Sistema Electrónico para la Contratación Pública – SECOP </w:t>
      </w:r>
      <w:r w:rsidRPr="007516E1">
        <w:rPr>
          <w:rFonts w:ascii="Arial" w:hAnsi="Arial" w:eastAsia="Calibri" w:cs="Arial"/>
          <w:bCs/>
          <w:i/>
          <w:iCs/>
          <w:sz w:val="22"/>
          <w:szCs w:val="22"/>
          <w:lang w:eastAsia="en-US"/>
        </w:rPr>
        <w:t>«Contará con la información oficial de la contratación realizada con dineros públicos»</w:t>
      </w:r>
      <w:r w:rsidRPr="007516E1">
        <w:rPr>
          <w:rFonts w:ascii="Arial" w:hAnsi="Arial" w:eastAsia="Calibri" w:cs="Arial"/>
          <w:i/>
          <w:iCs/>
          <w:color w:val="000000"/>
          <w:sz w:val="22"/>
          <w:vertAlign w:val="superscript"/>
          <w:lang w:val="es-MX" w:eastAsia="es-ES_tradnl"/>
        </w:rPr>
        <w:footnoteReference w:id="18"/>
      </w:r>
      <w:r w:rsidRPr="007516E1">
        <w:rPr>
          <w:rFonts w:ascii="Arial" w:hAnsi="Arial" w:eastAsia="Calibri" w:cs="Arial"/>
          <w:bCs/>
          <w:i/>
          <w:iCs/>
          <w:sz w:val="20"/>
          <w:szCs w:val="20"/>
          <w:lang w:eastAsia="en-US"/>
        </w:rPr>
        <w:t>.</w:t>
      </w:r>
    </w:p>
    <w:p w:rsidRPr="00380EC4" w:rsidR="00BE4B23" w:rsidP="00380EC4" w:rsidRDefault="00BE4B23" w14:paraId="68945D0F" w14:textId="77777777">
      <w:pPr>
        <w:spacing w:line="276" w:lineRule="auto"/>
        <w:ind w:firstLine="708"/>
        <w:jc w:val="both"/>
        <w:rPr>
          <w:rFonts w:ascii="Arial" w:hAnsi="Arial" w:eastAsia="Calibri" w:cs="Arial"/>
          <w:bCs/>
          <w:sz w:val="22"/>
          <w:szCs w:val="22"/>
          <w:lang w:eastAsia="en-US"/>
        </w:rPr>
      </w:pPr>
    </w:p>
    <w:p w:rsidRPr="00380EC4" w:rsidR="00380EC4" w:rsidP="00380EC4" w:rsidRDefault="00380EC4" w14:paraId="52438830" w14:textId="77777777">
      <w:pPr>
        <w:spacing w:line="276" w:lineRule="auto"/>
        <w:ind w:firstLine="708"/>
        <w:jc w:val="both"/>
        <w:rPr>
          <w:rFonts w:ascii="Arial" w:hAnsi="Arial" w:eastAsia="Calibri" w:cs="Arial"/>
          <w:bCs/>
          <w:sz w:val="22"/>
          <w:szCs w:val="22"/>
          <w:lang w:eastAsia="en-US"/>
        </w:rPr>
      </w:pPr>
      <w:r w:rsidRPr="00380EC4">
        <w:rPr>
          <w:rFonts w:ascii="Arial" w:hAnsi="Arial" w:eastAsia="Calibri" w:cs="Arial"/>
          <w:bCs/>
          <w:sz w:val="22"/>
          <w:szCs w:val="22"/>
          <w:lang w:eastAsia="en-US"/>
        </w:rPr>
        <w:t xml:space="preserve">Adicionalmente, la publicación de la información contractual oficial no se determina por la naturaleza de la entidad ejecutora −pública o privada−, ni por el régimen sustantivo contractual que aplique, sea la Ley 80 de 1993 o un régimen exceptuado. En particular, </w:t>
      </w:r>
      <w:r w:rsidRPr="00380EC4">
        <w:rPr>
          <w:rFonts w:ascii="Arial" w:hAnsi="Arial" w:eastAsia="Calibri" w:cs="Arial"/>
          <w:bCs/>
          <w:sz w:val="22"/>
          <w:szCs w:val="22"/>
          <w:lang w:eastAsia="en-US"/>
        </w:rPr>
        <w:lastRenderedPageBreak/>
        <w:t xml:space="preserve">sobre el deber de publicidad de las entidades con régimen especial, el Consejo de Estado sostuvo: </w:t>
      </w:r>
    </w:p>
    <w:p w:rsidRPr="00380EC4" w:rsidR="00380EC4" w:rsidP="00380EC4" w:rsidRDefault="00380EC4" w14:paraId="03CC7B26" w14:textId="77777777">
      <w:pPr>
        <w:spacing w:line="276" w:lineRule="auto"/>
        <w:ind w:firstLine="708"/>
        <w:jc w:val="both"/>
        <w:rPr>
          <w:rFonts w:ascii="Arial" w:hAnsi="Arial" w:eastAsia="Calibri" w:cs="Arial"/>
          <w:bCs/>
          <w:sz w:val="22"/>
          <w:szCs w:val="22"/>
          <w:lang w:eastAsia="en-US"/>
        </w:rPr>
      </w:pPr>
    </w:p>
    <w:p w:rsidRPr="00BF5D20" w:rsidR="00380EC4" w:rsidP="00BF5D20" w:rsidRDefault="00380EC4" w14:paraId="569D0EE2" w14:textId="77777777">
      <w:pPr>
        <w:ind w:left="709" w:right="709"/>
        <w:jc w:val="both"/>
        <w:rPr>
          <w:rFonts w:ascii="Arial" w:hAnsi="Arial" w:eastAsia="Calibri" w:cs="Arial"/>
          <w:bCs/>
          <w:sz w:val="20"/>
          <w:szCs w:val="20"/>
          <w:lang w:eastAsia="en-US"/>
        </w:rPr>
      </w:pPr>
      <w:r w:rsidRPr="00BF5D20">
        <w:rPr>
          <w:rFonts w:ascii="Arial" w:hAnsi="Arial" w:eastAsia="Calibri" w:cs="Arial"/>
          <w:bCs/>
          <w:sz w:val="21"/>
          <w:szCs w:val="21"/>
          <w:lang w:eastAsia="en-U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sidRPr="00C11F9F">
        <w:rPr>
          <w:rFonts w:ascii="Arial" w:hAnsi="Arial" w:eastAsia="Calibri" w:cs="Arial"/>
          <w:color w:val="000000"/>
          <w:sz w:val="22"/>
          <w:vertAlign w:val="superscript"/>
          <w:lang w:val="es-MX" w:eastAsia="es-ES_tradnl"/>
        </w:rPr>
        <w:footnoteReference w:id="19"/>
      </w:r>
      <w:r w:rsidRPr="00BF5D20">
        <w:rPr>
          <w:rFonts w:ascii="Arial" w:hAnsi="Arial" w:eastAsia="Calibri" w:cs="Arial"/>
          <w:bCs/>
          <w:sz w:val="20"/>
          <w:szCs w:val="20"/>
          <w:lang w:eastAsia="en-US"/>
        </w:rPr>
        <w:t>.</w:t>
      </w:r>
    </w:p>
    <w:p w:rsidRPr="00BF5D20" w:rsidR="00380EC4" w:rsidP="00BF5D20" w:rsidRDefault="00380EC4" w14:paraId="6250E923" w14:textId="77777777">
      <w:pPr>
        <w:ind w:left="709" w:right="709"/>
        <w:jc w:val="both"/>
        <w:rPr>
          <w:rFonts w:ascii="Arial" w:hAnsi="Arial" w:eastAsia="Calibri" w:cs="Arial"/>
          <w:bCs/>
          <w:sz w:val="20"/>
          <w:szCs w:val="20"/>
          <w:lang w:eastAsia="en-US"/>
        </w:rPr>
      </w:pPr>
    </w:p>
    <w:p w:rsidR="00380EC4" w:rsidP="00BF5D20" w:rsidRDefault="00380EC4" w14:paraId="550CD947" w14:textId="3906F200">
      <w:pPr>
        <w:spacing w:line="276" w:lineRule="auto"/>
        <w:ind w:firstLine="708"/>
        <w:jc w:val="both"/>
        <w:rPr>
          <w:rFonts w:ascii="Arial" w:hAnsi="Arial" w:eastAsia="Calibri" w:cs="Arial"/>
          <w:bCs/>
          <w:sz w:val="22"/>
          <w:szCs w:val="22"/>
          <w:lang w:eastAsia="en-US"/>
        </w:rPr>
      </w:pPr>
      <w:r w:rsidRPr="00BF5D20">
        <w:rPr>
          <w:rFonts w:ascii="Arial" w:hAnsi="Arial" w:eastAsia="Calibri" w:cs="Arial"/>
          <w:bCs/>
          <w:sz w:val="22"/>
          <w:szCs w:val="22"/>
          <w:lang w:eastAsia="en-US"/>
        </w:rPr>
        <w:t xml:space="preserve">Nótese, entonces, que en ese momento el Consejo de Estado asumió como criterio para determinar la obligatoriedad de publicar en el SECOP que la contratación se realizara con recursos públicos, conclusión que se fundamenta en el literal c) del artículo 3 de la Ley 1150 de 2007. </w:t>
      </w:r>
    </w:p>
    <w:p w:rsidR="00753F38" w:rsidP="00BF5D20" w:rsidRDefault="00753F38" w14:paraId="2749112A" w14:textId="77777777">
      <w:pPr>
        <w:spacing w:line="276" w:lineRule="auto"/>
        <w:ind w:firstLine="708"/>
        <w:jc w:val="both"/>
        <w:rPr>
          <w:rFonts w:ascii="Arial" w:hAnsi="Arial" w:eastAsia="Calibri" w:cs="Arial"/>
          <w:bCs/>
          <w:sz w:val="22"/>
          <w:szCs w:val="22"/>
          <w:lang w:eastAsia="en-US"/>
        </w:rPr>
      </w:pPr>
    </w:p>
    <w:p w:rsidR="003353FF" w:rsidP="00753F38" w:rsidRDefault="00753F38" w14:paraId="0F15D877" w14:textId="77777777">
      <w:pPr>
        <w:spacing w:line="276" w:lineRule="auto"/>
        <w:ind w:firstLine="708"/>
        <w:jc w:val="both"/>
        <w:rPr>
          <w:rFonts w:ascii="Arial" w:hAnsi="Arial" w:eastAsia="Calibri" w:cs="Arial"/>
          <w:bCs/>
          <w:sz w:val="22"/>
          <w:szCs w:val="22"/>
          <w:lang w:eastAsia="en-US"/>
        </w:rPr>
      </w:pPr>
      <w:r>
        <w:rPr>
          <w:rFonts w:ascii="Arial" w:hAnsi="Arial" w:eastAsia="Calibri" w:cs="Arial"/>
          <w:bCs/>
          <w:sz w:val="22"/>
          <w:szCs w:val="22"/>
          <w:lang w:eastAsia="en-US"/>
        </w:rPr>
        <w:t xml:space="preserve">Así las cosas, </w:t>
      </w:r>
      <w:r w:rsidR="003353FF">
        <w:rPr>
          <w:rFonts w:ascii="Arial" w:hAnsi="Arial" w:eastAsia="Calibri" w:cs="Arial"/>
          <w:bCs/>
          <w:sz w:val="22"/>
          <w:szCs w:val="22"/>
          <w:lang w:eastAsia="en-US"/>
        </w:rPr>
        <w:t xml:space="preserve">tanto en virtud de lo previsto en la Ley 1150 de 2007 y en el Decreto 1082 del 2015, como de lo dispuesto en la Ley 1712 del 2014 y el Decreto 1081 de 2015, los Centros </w:t>
      </w:r>
      <w:r w:rsidRPr="003353FF" w:rsidR="003353FF">
        <w:rPr>
          <w:rFonts w:ascii="Arial" w:hAnsi="Arial" w:eastAsia="Calibri" w:cs="Arial"/>
          <w:bCs/>
          <w:sz w:val="22"/>
          <w:szCs w:val="22"/>
          <w:lang w:eastAsia="en-US"/>
        </w:rPr>
        <w:t xml:space="preserve">Provinciales de Gestión Agroempresarial </w:t>
      </w:r>
      <w:r w:rsidR="003353FF">
        <w:rPr>
          <w:rFonts w:ascii="Arial" w:hAnsi="Arial" w:eastAsia="Calibri" w:cs="Arial"/>
          <w:bCs/>
          <w:sz w:val="22"/>
          <w:szCs w:val="22"/>
          <w:lang w:eastAsia="en-US"/>
        </w:rPr>
        <w:t xml:space="preserve">en tanto entidad estatal, cometida al Estatuto General de la Contratación Pública están obligados a publicar los documentos que producen en su gestión contractual en la plataforma SECOP. </w:t>
      </w:r>
    </w:p>
    <w:p w:rsidR="003353FF" w:rsidP="00753F38" w:rsidRDefault="003353FF" w14:paraId="1E614DAD" w14:textId="77777777">
      <w:pPr>
        <w:spacing w:line="276" w:lineRule="auto"/>
        <w:ind w:firstLine="708"/>
        <w:jc w:val="both"/>
        <w:rPr>
          <w:rFonts w:ascii="Arial" w:hAnsi="Arial" w:eastAsia="Calibri" w:cs="Arial"/>
          <w:bCs/>
          <w:sz w:val="22"/>
          <w:szCs w:val="22"/>
          <w:lang w:eastAsia="en-US"/>
        </w:rPr>
      </w:pPr>
    </w:p>
    <w:p w:rsidR="00753F38" w:rsidP="00753F38" w:rsidRDefault="00753F38" w14:paraId="6189FF1C" w14:textId="799E0F55">
      <w:pPr>
        <w:spacing w:line="276" w:lineRule="auto"/>
        <w:ind w:firstLine="708"/>
        <w:jc w:val="both"/>
        <w:rPr>
          <w:rFonts w:ascii="Arial" w:hAnsi="Arial" w:eastAsia="Calibri" w:cs="Arial"/>
          <w:bCs/>
          <w:sz w:val="22"/>
          <w:szCs w:val="22"/>
          <w:lang w:val="es-ES" w:eastAsia="en-US"/>
        </w:rPr>
      </w:pPr>
      <w:r w:rsidRPr="0083687B">
        <w:rPr>
          <w:rFonts w:ascii="Arial" w:hAnsi="Arial" w:eastAsia="Calibri" w:cs="Arial"/>
          <w:bCs/>
          <w:sz w:val="22"/>
          <w:szCs w:val="22"/>
          <w:lang w:val="es-CO" w:eastAsia="en-US"/>
        </w:rPr>
        <w:t xml:space="preserve">Por otro lado, </w:t>
      </w:r>
      <w:r w:rsidRPr="0083687B">
        <w:rPr>
          <w:rFonts w:ascii="Arial" w:hAnsi="Arial" w:eastAsia="Calibri" w:cs="Arial"/>
          <w:bCs/>
          <w:sz w:val="22"/>
          <w:szCs w:val="22"/>
          <w:lang w:val="es-ES" w:eastAsia="en-US"/>
        </w:rPr>
        <w:t>debe precisarse que, actualmente, la plataforma introducida por el artículo 3 de la Ley 1150 de 2007 cuenta con dos versiones–SECOP I y SECOP II–. La primera de ellas funciona como repositorio y medio de publicidad de la documentación contractual que, luego de ser producida en medio físico, se digitaliza para ser publicada en la plataforma, para lo que las entidades cuentan con el plazo</w:t>
      </w:r>
      <w:r w:rsidR="007516E1">
        <w:rPr>
          <w:rFonts w:ascii="Arial" w:hAnsi="Arial" w:eastAsia="Calibri" w:cs="Arial"/>
          <w:bCs/>
          <w:sz w:val="22"/>
          <w:szCs w:val="22"/>
          <w:lang w:val="es-ES" w:eastAsia="en-US"/>
        </w:rPr>
        <w:t xml:space="preserve"> de 3 días hábiles</w:t>
      </w:r>
      <w:r w:rsidR="00E1193B">
        <w:rPr>
          <w:rFonts w:ascii="Arial" w:hAnsi="Arial" w:eastAsia="Calibri" w:cs="Arial"/>
          <w:bCs/>
          <w:sz w:val="22"/>
          <w:szCs w:val="22"/>
          <w:lang w:val="es-ES" w:eastAsia="en-US"/>
        </w:rPr>
        <w:t xml:space="preserve"> siguientes a su expedición de conformidad con </w:t>
      </w:r>
      <w:r w:rsidR="0083687B">
        <w:rPr>
          <w:rFonts w:ascii="Arial" w:hAnsi="Arial" w:eastAsia="Calibri" w:cs="Arial"/>
          <w:bCs/>
          <w:sz w:val="22"/>
          <w:szCs w:val="22"/>
          <w:lang w:val="es-ES" w:eastAsia="en-US"/>
        </w:rPr>
        <w:t xml:space="preserve">el </w:t>
      </w:r>
      <w:r w:rsidR="00E1193B">
        <w:rPr>
          <w:rFonts w:ascii="Arial" w:hAnsi="Arial" w:eastAsia="Calibri" w:cs="Arial"/>
          <w:bCs/>
          <w:sz w:val="22"/>
          <w:szCs w:val="22"/>
          <w:lang w:val="es-ES" w:eastAsia="en-US"/>
        </w:rPr>
        <w:t xml:space="preserve">artículo </w:t>
      </w:r>
      <w:r w:rsidRPr="00E1193B" w:rsidR="00E1193B">
        <w:rPr>
          <w:rFonts w:ascii="Arial" w:hAnsi="Arial" w:eastAsia="Calibri" w:cs="Arial"/>
          <w:bCs/>
          <w:sz w:val="22"/>
          <w:szCs w:val="22"/>
          <w:lang w:val="es-ES" w:eastAsia="en-US"/>
        </w:rPr>
        <w:t xml:space="preserve">2.2.1.1.1.7.1. </w:t>
      </w:r>
      <w:r w:rsidR="00E1193B">
        <w:rPr>
          <w:rFonts w:ascii="Arial" w:hAnsi="Arial" w:eastAsia="Calibri" w:cs="Arial"/>
          <w:bCs/>
          <w:sz w:val="22"/>
          <w:szCs w:val="22"/>
          <w:lang w:val="es-ES" w:eastAsia="en-US"/>
        </w:rPr>
        <w:t xml:space="preserve">del </w:t>
      </w:r>
      <w:r w:rsidR="0083687B">
        <w:rPr>
          <w:rFonts w:ascii="Arial" w:hAnsi="Arial" w:eastAsia="Calibri" w:cs="Arial"/>
          <w:bCs/>
          <w:sz w:val="22"/>
          <w:szCs w:val="22"/>
          <w:lang w:val="es-ES" w:eastAsia="en-US"/>
        </w:rPr>
        <w:t>Decreto 1082 de 2015</w:t>
      </w:r>
      <w:r w:rsidRPr="0083687B">
        <w:rPr>
          <w:rFonts w:ascii="Arial" w:hAnsi="Arial" w:eastAsia="Calibri" w:cs="Arial"/>
          <w:bCs/>
          <w:sz w:val="22"/>
          <w:szCs w:val="22"/>
          <w:lang w:val="es-ES" w:eastAsia="en-US"/>
        </w:rPr>
        <w:t>. De otra parte, la segunda versión no solo permite dar publicidad al desarrollo del proceso de contratación, sino que además funciona como plataforma transaccional que permite gestionar en línea todos los procedimientos de contratación con cuentas y usuarios asociados a estas, para las entidades y los proveedores, y vista pública para cualquier interesado en hacer seguimiento a la contratación pública. Esta diferencia fundamental entre las dos versiones</w:t>
      </w:r>
      <w:r w:rsidRPr="00753F38">
        <w:rPr>
          <w:rFonts w:ascii="Arial" w:hAnsi="Arial" w:eastAsia="Calibri" w:cs="Arial"/>
          <w:bCs/>
          <w:sz w:val="22"/>
          <w:szCs w:val="22"/>
          <w:lang w:val="es-ES" w:eastAsia="en-US"/>
        </w:rPr>
        <w:t xml:space="preserve"> del SECOP, tiene incidencia en el cumplimiento del deber de </w:t>
      </w:r>
      <w:r w:rsidRPr="00753F38">
        <w:rPr>
          <w:rFonts w:ascii="Arial" w:hAnsi="Arial" w:eastAsia="Calibri" w:cs="Arial"/>
          <w:bCs/>
          <w:sz w:val="22"/>
          <w:szCs w:val="22"/>
          <w:lang w:val="es-ES" w:eastAsia="en-US"/>
        </w:rPr>
        <w:lastRenderedPageBreak/>
        <w:t xml:space="preserve">publicidad de las actuaciones contractuales, de cara al término señalado por el artículo </w:t>
      </w:r>
      <w:r w:rsidR="00E1193B">
        <w:rPr>
          <w:rFonts w:ascii="Arial" w:hAnsi="Arial" w:eastAsia="Calibri" w:cs="Arial"/>
          <w:bCs/>
          <w:sz w:val="22"/>
          <w:szCs w:val="22"/>
          <w:lang w:val="es-ES" w:eastAsia="en-US"/>
        </w:rPr>
        <w:t xml:space="preserve">anteriormente citado </w:t>
      </w:r>
      <w:r w:rsidRPr="00753F38">
        <w:rPr>
          <w:rFonts w:ascii="Arial" w:hAnsi="Arial" w:eastAsia="Calibri" w:cs="Arial"/>
          <w:bCs/>
          <w:sz w:val="22"/>
          <w:szCs w:val="22"/>
          <w:lang w:val="es-ES" w:eastAsia="en-US"/>
        </w:rPr>
        <w:t>del Decreto 1082 de 2015.</w:t>
      </w:r>
    </w:p>
    <w:p w:rsidRPr="00753F38" w:rsidR="0083687B" w:rsidP="00753F38" w:rsidRDefault="0083687B" w14:paraId="237F3A3F" w14:textId="77777777">
      <w:pPr>
        <w:spacing w:line="276" w:lineRule="auto"/>
        <w:ind w:firstLine="708"/>
        <w:jc w:val="both"/>
        <w:rPr>
          <w:rFonts w:ascii="Arial" w:hAnsi="Arial" w:eastAsia="Calibri" w:cs="Arial"/>
          <w:bCs/>
          <w:sz w:val="22"/>
          <w:szCs w:val="22"/>
          <w:lang w:val="es-ES" w:eastAsia="en-US"/>
        </w:rPr>
      </w:pPr>
    </w:p>
    <w:p w:rsidR="00753F38" w:rsidP="00753F38" w:rsidRDefault="00753F38" w14:paraId="060CAE7E" w14:textId="77777777">
      <w:pPr>
        <w:spacing w:line="276" w:lineRule="auto"/>
        <w:ind w:firstLine="708"/>
        <w:jc w:val="both"/>
        <w:rPr>
          <w:rFonts w:ascii="Arial" w:hAnsi="Arial" w:eastAsia="Calibri" w:cs="Arial"/>
          <w:bCs/>
          <w:sz w:val="22"/>
          <w:szCs w:val="22"/>
          <w:lang w:val="es-ES" w:eastAsia="en-US"/>
        </w:rPr>
      </w:pPr>
      <w:r w:rsidRPr="00753F38">
        <w:rPr>
          <w:rFonts w:ascii="Arial" w:hAnsi="Arial" w:eastAsia="Calibri" w:cs="Arial"/>
          <w:bCs/>
          <w:sz w:val="22"/>
          <w:szCs w:val="22"/>
          <w:lang w:val="es-ES" w:eastAsia="en-US"/>
        </w:rPr>
        <w:t>Si bien los documentos</w:t>
      </w:r>
      <w:r w:rsidRPr="00753F38">
        <w:rPr>
          <w:rFonts w:ascii="Arial" w:hAnsi="Arial" w:eastAsia="Calibri" w:cs="Arial"/>
          <w:bCs/>
          <w:i/>
          <w:iCs/>
          <w:sz w:val="22"/>
          <w:szCs w:val="22"/>
          <w:lang w:val="es-ES" w:eastAsia="en-US"/>
        </w:rPr>
        <w:t xml:space="preserve"> </w:t>
      </w:r>
      <w:r w:rsidRPr="00753F38">
        <w:rPr>
          <w:rFonts w:ascii="Arial" w:hAnsi="Arial" w:eastAsia="Calibri" w:cs="Arial"/>
          <w:bCs/>
          <w:sz w:val="22"/>
          <w:szCs w:val="22"/>
          <w:lang w:val="es-ES" w:eastAsia="en-US"/>
        </w:rPr>
        <w:t xml:space="preserve">que deben publicarse en el SECOP II son los mismos que deben publicarse en el SECOP I, esto es, todos los expedidos con ocasión el </w:t>
      </w:r>
      <w:r w:rsidRPr="00753F38">
        <w:rPr>
          <w:rFonts w:ascii="Arial" w:hAnsi="Arial" w:eastAsia="Calibri" w:cs="Arial"/>
          <w:bCs/>
          <w:i/>
          <w:iCs/>
          <w:sz w:val="22"/>
          <w:szCs w:val="22"/>
          <w:lang w:val="es-ES" w:eastAsia="en-US"/>
        </w:rPr>
        <w:t>Proceso de Contratación –</w:t>
      </w:r>
      <w:r w:rsidRPr="00753F38">
        <w:rPr>
          <w:rFonts w:ascii="Arial" w:hAnsi="Arial" w:eastAsia="Calibri" w:cs="Arial"/>
          <w:bCs/>
          <w:sz w:val="22"/>
          <w:szCs w:val="22"/>
          <w:lang w:val="es-ES" w:eastAsia="en-US"/>
        </w:rPr>
        <w:t>con excepción de los expresamente excluidos–, conforme se viene explicando,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el proceso contractual avanza en la medida en la que se generen y aprueben estos documentos y actuaciones electrónicas en la plataforma. Esto supone que, en los procedimientos adelantados en SECOP II, la entidad materialmente cuenta con el término de 3 días para publicar, pero en la práctica el mismo no siempre opera, toda vez que la plataforma permite que los documentos que desarrollan las actuaciones contractuales sean generados de manera electrónica dentro de la misma, por lo que no se requiere digitalización de estos, ya que una vez estos se aprueban pueden ser inmediatamente publicados, sin que transcurra el referido término</w:t>
      </w:r>
      <w:r w:rsidRPr="00C11F9F">
        <w:rPr>
          <w:rFonts w:ascii="Arial" w:hAnsi="Arial" w:eastAsia="Calibri" w:cs="Arial"/>
          <w:color w:val="000000"/>
          <w:sz w:val="22"/>
          <w:vertAlign w:val="superscript"/>
          <w:lang w:val="es-MX" w:eastAsia="es-ES_tradnl"/>
        </w:rPr>
        <w:footnoteReference w:id="20"/>
      </w:r>
      <w:r w:rsidRPr="00753F38">
        <w:rPr>
          <w:rFonts w:ascii="Arial" w:hAnsi="Arial" w:eastAsia="Calibri" w:cs="Arial"/>
          <w:bCs/>
          <w:sz w:val="22"/>
          <w:szCs w:val="22"/>
          <w:lang w:val="es-ES" w:eastAsia="en-US"/>
        </w:rPr>
        <w:t>.</w:t>
      </w:r>
    </w:p>
    <w:p w:rsidRPr="00753F38" w:rsidR="006B3B94" w:rsidP="00753F38" w:rsidRDefault="006B3B94" w14:paraId="66C4FFBD" w14:textId="77777777">
      <w:pPr>
        <w:spacing w:line="276" w:lineRule="auto"/>
        <w:ind w:firstLine="708"/>
        <w:jc w:val="both"/>
        <w:rPr>
          <w:rFonts w:ascii="Arial" w:hAnsi="Arial" w:eastAsia="Calibri" w:cs="Arial"/>
          <w:bCs/>
          <w:sz w:val="22"/>
          <w:szCs w:val="22"/>
          <w:lang w:val="es-ES" w:eastAsia="en-US"/>
        </w:rPr>
      </w:pPr>
    </w:p>
    <w:p w:rsidRPr="00753F38" w:rsidR="00753F38" w:rsidP="006B3B94" w:rsidRDefault="00753F38" w14:paraId="2989CD3E" w14:textId="2E93E6A7">
      <w:pPr>
        <w:spacing w:line="276" w:lineRule="auto"/>
        <w:ind w:firstLine="708"/>
        <w:jc w:val="both"/>
        <w:rPr>
          <w:rFonts w:ascii="Arial" w:hAnsi="Arial" w:eastAsia="Calibri" w:cs="Arial"/>
          <w:bCs/>
          <w:sz w:val="22"/>
          <w:szCs w:val="22"/>
          <w:lang w:val="es-CO" w:eastAsia="en-US"/>
        </w:rPr>
      </w:pPr>
      <w:r w:rsidRPr="00753F38">
        <w:rPr>
          <w:rFonts w:ascii="Arial" w:hAnsi="Arial" w:eastAsia="Calibri" w:cs="Arial"/>
          <w:bCs/>
          <w:sz w:val="22"/>
          <w:szCs w:val="22"/>
          <w:lang w:val="es-ES" w:eastAsia="en-US"/>
        </w:rPr>
        <w:t>En sintonía con lo expuesto, en ejercicio de las diferentes funciones de compilación y difusión normativa atribuidas a esta entidad por el Decreto 4170 de 2011</w:t>
      </w:r>
      <w:r w:rsidRPr="00753F38">
        <w:rPr>
          <w:rFonts w:ascii="Arial" w:hAnsi="Arial" w:eastAsia="Calibri" w:cs="Arial"/>
          <w:bCs/>
          <w:sz w:val="22"/>
          <w:szCs w:val="22"/>
          <w:vertAlign w:val="superscript"/>
          <w:lang w:val="es-ES" w:eastAsia="en-US"/>
        </w:rPr>
        <w:footnoteReference w:id="21"/>
      </w:r>
      <w:r w:rsidRPr="00753F38">
        <w:rPr>
          <w:rFonts w:ascii="Arial" w:hAnsi="Arial" w:eastAsia="Calibri" w:cs="Arial"/>
          <w:bCs/>
          <w:sz w:val="22"/>
          <w:szCs w:val="22"/>
          <w:lang w:val="es-ES" w:eastAsia="en-US"/>
        </w:rPr>
        <w:t xml:space="preserve">, se han </w:t>
      </w:r>
      <w:r w:rsidRPr="00753F38">
        <w:rPr>
          <w:rFonts w:ascii="Arial" w:hAnsi="Arial" w:eastAsia="Calibri" w:cs="Arial"/>
          <w:bCs/>
          <w:sz w:val="22"/>
          <w:szCs w:val="22"/>
          <w:lang w:val="es-ES" w:eastAsia="en-US"/>
        </w:rPr>
        <w:lastRenderedPageBreak/>
        <w:t xml:space="preserve">expedido diferentes circulares en la que se imparten lineamientos sobre las principales normas aplicables en los procesos de contratación pública. Entre estas se destaca la Circular Externa Única–actualizada el 15 de julio de 2022–, en cuyo numeral 1.3 se abordó el tema de la oportunidad para la publicación de la información contractual en el SECOP. </w:t>
      </w:r>
    </w:p>
    <w:p w:rsidRPr="00753F38" w:rsidR="00753F38" w:rsidP="00753F38" w:rsidRDefault="00753F38" w14:paraId="26938191" w14:textId="77777777">
      <w:pPr>
        <w:spacing w:line="276" w:lineRule="auto"/>
        <w:ind w:firstLine="708"/>
        <w:jc w:val="both"/>
        <w:rPr>
          <w:rFonts w:ascii="Arial" w:hAnsi="Arial" w:eastAsia="Calibri" w:cs="Arial"/>
          <w:bCs/>
          <w:sz w:val="22"/>
          <w:szCs w:val="22"/>
          <w:lang w:val="es-CO" w:eastAsia="en-US"/>
        </w:rPr>
      </w:pPr>
    </w:p>
    <w:p w:rsidRPr="00753F38" w:rsidR="00753F38" w:rsidP="00753F38" w:rsidRDefault="00753F38" w14:paraId="03DE5A71" w14:textId="77777777">
      <w:pPr>
        <w:spacing w:line="276" w:lineRule="auto"/>
        <w:ind w:firstLine="708"/>
        <w:jc w:val="both"/>
        <w:rPr>
          <w:rFonts w:ascii="Arial" w:hAnsi="Arial" w:eastAsia="Calibri" w:cs="Arial"/>
          <w:bCs/>
          <w:sz w:val="22"/>
          <w:szCs w:val="22"/>
          <w:lang w:val="es-CO" w:eastAsia="en-US"/>
        </w:rPr>
      </w:pPr>
      <w:r w:rsidRPr="00753F38">
        <w:rPr>
          <w:rFonts w:ascii="Arial" w:hAnsi="Arial" w:eastAsia="Calibri" w:cs="Arial"/>
          <w:bCs/>
          <w:sz w:val="22"/>
          <w:szCs w:val="22"/>
          <w:lang w:val="es-CO" w:eastAsia="en-US"/>
        </w:rPr>
        <w:t xml:space="preserve">La información registrada por las Entidades en el SECOP II y en la Tienda Virtual del Estado Colombiano está disponible en tiempo real, debido a que las actuaciones del Proceso de Contratación tienen lugar electrónicamente, a través de dichas plataformas transaccionales. Sin embargo, a pesar del carácter transaccional, que permite que el trámite de gran parte de las actuaciones de la gestión contractual se realice en línea y de forma concomitante a su publicidad, las Entidades pueden crear documentos en medio físico o electrónico por fuera de la plataforma para, posteriormente, ser incorporados en el módulo dispuesto para el efecto. </w:t>
      </w:r>
    </w:p>
    <w:p w:rsidRPr="00753F38" w:rsidR="00753F38" w:rsidP="00753F38" w:rsidRDefault="00753F38" w14:paraId="04404E76" w14:textId="77777777">
      <w:pPr>
        <w:spacing w:line="276" w:lineRule="auto"/>
        <w:ind w:firstLine="708"/>
        <w:jc w:val="both"/>
        <w:rPr>
          <w:rFonts w:ascii="Arial" w:hAnsi="Arial" w:eastAsia="Calibri" w:cs="Arial"/>
          <w:bCs/>
          <w:sz w:val="22"/>
          <w:szCs w:val="22"/>
          <w:lang w:val="es-CO" w:eastAsia="en-US"/>
        </w:rPr>
      </w:pPr>
    </w:p>
    <w:p w:rsidRPr="00753F38" w:rsidR="00753F38" w:rsidP="00753F38" w:rsidRDefault="00753F38" w14:paraId="320EBB31" w14:textId="77777777">
      <w:pPr>
        <w:spacing w:line="276" w:lineRule="auto"/>
        <w:ind w:firstLine="708"/>
        <w:jc w:val="both"/>
        <w:rPr>
          <w:rFonts w:ascii="Arial" w:hAnsi="Arial" w:eastAsia="Calibri" w:cs="Arial"/>
          <w:bCs/>
          <w:sz w:val="22"/>
          <w:szCs w:val="22"/>
          <w:lang w:val="es-CO" w:eastAsia="en-US"/>
        </w:rPr>
      </w:pPr>
      <w:r w:rsidRPr="00753F38">
        <w:rPr>
          <w:rFonts w:ascii="Arial" w:hAnsi="Arial" w:eastAsia="Calibri" w:cs="Arial"/>
          <w:bCs/>
          <w:sz w:val="22"/>
          <w:szCs w:val="22"/>
          <w:lang w:val="es-CO" w:eastAsia="en-US"/>
        </w:rPr>
        <w:t xml:space="preserve">Por lo tanto, el SECOP II y la TVEC, están conformados por documentos electrónicos como formularios o plantillas generados a partir de la información diligenciada por la Entidad Estatal o el Proveedor y documentos producidos originalmente en físico o por medios electrónicos, que la Entidad Estatal o el Proveedor digitalizan y cargan o publican en las plataformas, mediante las secciones correspondientes de acuerdo con la etapa del Proceso de Contratación. </w:t>
      </w:r>
    </w:p>
    <w:p w:rsidRPr="00753F38" w:rsidR="00753F38" w:rsidP="00753F38" w:rsidRDefault="00753F38" w14:paraId="7A3014B9" w14:textId="77777777">
      <w:pPr>
        <w:spacing w:line="276" w:lineRule="auto"/>
        <w:ind w:firstLine="708"/>
        <w:jc w:val="both"/>
        <w:rPr>
          <w:rFonts w:ascii="Arial" w:hAnsi="Arial" w:eastAsia="Calibri" w:cs="Arial"/>
          <w:bCs/>
          <w:sz w:val="22"/>
          <w:szCs w:val="22"/>
          <w:lang w:val="es-CO" w:eastAsia="en-US"/>
        </w:rPr>
      </w:pPr>
    </w:p>
    <w:p w:rsidRPr="00753F38" w:rsidR="00753F38" w:rsidP="005E27DE" w:rsidRDefault="00753F38" w14:paraId="55A196CF" w14:textId="3AE86E0F">
      <w:pPr>
        <w:spacing w:line="276" w:lineRule="auto"/>
        <w:ind w:firstLine="708"/>
        <w:jc w:val="both"/>
        <w:rPr>
          <w:rFonts w:ascii="Arial" w:hAnsi="Arial" w:eastAsia="Calibri" w:cs="Arial"/>
          <w:bCs/>
          <w:sz w:val="22"/>
          <w:szCs w:val="22"/>
          <w:lang w:val="es-CO" w:eastAsia="en-US"/>
        </w:rPr>
      </w:pPr>
      <w:r w:rsidRPr="00753F38">
        <w:rPr>
          <w:rFonts w:ascii="Arial" w:hAnsi="Arial" w:eastAsia="Calibri" w:cs="Arial"/>
          <w:bCs/>
          <w:sz w:val="22"/>
          <w:szCs w:val="22"/>
          <w:lang w:val="es-CO" w:eastAsia="en-US"/>
        </w:rPr>
        <w:t xml:space="preserve">Respecto a los documentos que no son generados en línea, el SECOP II y la TVEC permiten su publicidad. </w:t>
      </w:r>
    </w:p>
    <w:p w:rsidR="005E27DE" w:rsidP="00753F38" w:rsidRDefault="005E27DE" w14:paraId="01D2FCDC" w14:textId="77777777">
      <w:pPr>
        <w:spacing w:line="276" w:lineRule="auto"/>
        <w:ind w:firstLine="708"/>
        <w:jc w:val="both"/>
        <w:rPr>
          <w:rFonts w:ascii="Arial" w:hAnsi="Arial" w:eastAsia="Calibri" w:cs="Arial"/>
          <w:bCs/>
          <w:sz w:val="22"/>
          <w:szCs w:val="22"/>
          <w:lang w:eastAsia="en-US"/>
        </w:rPr>
      </w:pPr>
    </w:p>
    <w:p w:rsidRPr="00753F38" w:rsidR="00753F38" w:rsidP="00753F38" w:rsidRDefault="00753F38" w14:paraId="33235EEA" w14:textId="77777777">
      <w:pPr>
        <w:spacing w:line="276" w:lineRule="auto"/>
        <w:ind w:firstLine="708"/>
        <w:jc w:val="both"/>
        <w:rPr>
          <w:rFonts w:ascii="Arial" w:hAnsi="Arial" w:eastAsia="Calibri" w:cs="Arial"/>
          <w:bCs/>
          <w:sz w:val="22"/>
          <w:szCs w:val="22"/>
          <w:lang w:eastAsia="en-US"/>
        </w:rPr>
      </w:pPr>
      <w:r w:rsidRPr="00753F38">
        <w:rPr>
          <w:rFonts w:ascii="Arial" w:hAnsi="Arial" w:eastAsia="Calibri" w:cs="Arial"/>
          <w:bCs/>
          <w:sz w:val="22"/>
          <w:szCs w:val="22"/>
          <w:lang w:eastAsia="en-US"/>
        </w:rPr>
        <w:t xml:space="preserve">Ahora bien, el 18 de enero del año en curso se promulgó la Ley 2195 de 2022. Según lo establece su artículo 1, esta Ley </w:t>
      </w:r>
      <w:r w:rsidRPr="00E1193B">
        <w:rPr>
          <w:rFonts w:ascii="Arial" w:hAnsi="Arial" w:eastAsia="Calibri" w:cs="Arial"/>
          <w:bCs/>
          <w:i/>
          <w:iCs/>
          <w:sz w:val="22"/>
          <w:szCs w:val="22"/>
          <w:lang w:eastAsia="en-US"/>
        </w:rPr>
        <w:t>«[…]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r w:rsidRPr="00753F38">
        <w:rPr>
          <w:rFonts w:ascii="Arial" w:hAnsi="Arial" w:eastAsia="Calibri" w:cs="Arial"/>
          <w:bCs/>
          <w:sz w:val="22"/>
          <w:szCs w:val="22"/>
          <w:lang w:eastAsia="en-US"/>
        </w:rPr>
        <w:t xml:space="preserve"> Dentro del capítulo VIII de esta Ley, que lleva por título </w:t>
      </w:r>
      <w:r w:rsidRPr="00E1193B">
        <w:rPr>
          <w:rFonts w:ascii="Arial" w:hAnsi="Arial" w:eastAsia="Calibri" w:cs="Arial"/>
          <w:bCs/>
          <w:i/>
          <w:iCs/>
          <w:sz w:val="22"/>
          <w:szCs w:val="22"/>
          <w:lang w:eastAsia="en-US"/>
        </w:rPr>
        <w:t>«Disposiciones en materia contractual para la moralización y la transparencia»,</w:t>
      </w:r>
      <w:r w:rsidRPr="00753F38">
        <w:rPr>
          <w:rFonts w:ascii="Arial" w:hAnsi="Arial" w:eastAsia="Calibri" w:cs="Arial"/>
          <w:bCs/>
          <w:sz w:val="22"/>
          <w:szCs w:val="22"/>
          <w:lang w:eastAsia="en-US"/>
        </w:rPr>
        <w:t xml:space="preserve"> se ubica el artículo 53 que dispone sobre el deber de las entidades que cuentan con un régimen </w:t>
      </w:r>
      <w:r w:rsidRPr="00753F38">
        <w:rPr>
          <w:rFonts w:ascii="Arial" w:hAnsi="Arial" w:eastAsia="Calibri" w:cs="Arial"/>
          <w:bCs/>
          <w:sz w:val="22"/>
          <w:szCs w:val="22"/>
          <w:lang w:eastAsia="en-US"/>
        </w:rPr>
        <w:lastRenderedPageBreak/>
        <w:t>contractual especial, de publicar los documentos relacionados con su actividad contractual en el SECOP II. En efecto, esta norma dispone:</w:t>
      </w:r>
    </w:p>
    <w:p w:rsidRPr="00753F38" w:rsidR="00753F38" w:rsidP="00753F38" w:rsidRDefault="00753F38" w14:paraId="6EFCF712" w14:textId="77777777">
      <w:pPr>
        <w:spacing w:line="276" w:lineRule="auto"/>
        <w:ind w:firstLine="708"/>
        <w:jc w:val="both"/>
        <w:rPr>
          <w:rFonts w:ascii="Arial" w:hAnsi="Arial" w:eastAsia="Calibri" w:cs="Arial"/>
          <w:bCs/>
          <w:sz w:val="22"/>
          <w:szCs w:val="22"/>
          <w:lang w:eastAsia="en-US"/>
        </w:rPr>
      </w:pPr>
    </w:p>
    <w:p w:rsidRPr="00E1193B" w:rsidR="00753F38" w:rsidP="00E1193B" w:rsidRDefault="00753F38" w14:paraId="799F52FD" w14:textId="77777777">
      <w:pPr>
        <w:spacing w:line="276" w:lineRule="auto"/>
        <w:ind w:left="709" w:right="709" w:firstLine="709"/>
        <w:jc w:val="both"/>
        <w:rPr>
          <w:rFonts w:ascii="Arial" w:hAnsi="Arial" w:eastAsia="Calibri" w:cs="Arial"/>
          <w:bCs/>
          <w:sz w:val="20"/>
          <w:szCs w:val="20"/>
          <w:lang w:val="es-CO" w:eastAsia="en-US"/>
        </w:rPr>
      </w:pPr>
      <w:r w:rsidRPr="00E1193B">
        <w:rPr>
          <w:rFonts w:ascii="Arial" w:hAnsi="Arial" w:eastAsia="Calibri" w:cs="Arial"/>
          <w:bCs/>
          <w:sz w:val="20"/>
          <w:szCs w:val="20"/>
          <w:lang w:val="es-CO" w:eastAsia="en-US"/>
        </w:rPr>
        <w:t>Adiciónese los siguientes incisos al artículo 13 de la Ley 1150 de 2007, el cual quedará así:</w:t>
      </w:r>
    </w:p>
    <w:p w:rsidRPr="00E1193B" w:rsidR="00992731" w:rsidP="00992731" w:rsidRDefault="00992731" w14:paraId="1AB6A2C7" w14:textId="77777777">
      <w:pPr>
        <w:ind w:left="709" w:right="709"/>
        <w:jc w:val="both"/>
        <w:rPr>
          <w:rFonts w:ascii="Arial" w:hAnsi="Arial" w:eastAsia="Calibri" w:cs="Arial"/>
          <w:bCs/>
          <w:sz w:val="20"/>
          <w:szCs w:val="20"/>
          <w:lang w:eastAsia="en-US"/>
        </w:rPr>
      </w:pPr>
    </w:p>
    <w:p w:rsidRPr="00E1193B" w:rsidR="00753F38" w:rsidP="00992731" w:rsidRDefault="00753F38" w14:paraId="703FB203" w14:textId="77777777">
      <w:pPr>
        <w:ind w:left="709" w:right="709"/>
        <w:jc w:val="both"/>
        <w:rPr>
          <w:rFonts w:ascii="Arial" w:hAnsi="Arial" w:eastAsia="Calibri" w:cs="Arial"/>
          <w:bCs/>
          <w:sz w:val="20"/>
          <w:szCs w:val="20"/>
          <w:lang w:eastAsia="en-US"/>
        </w:rPr>
      </w:pPr>
      <w:r w:rsidRPr="00E1193B">
        <w:rPr>
          <w:rFonts w:ascii="Arial" w:hAnsi="Arial" w:eastAsia="Calibri" w:cs="Arial"/>
          <w:bCs/>
          <w:sz w:val="20"/>
          <w:szCs w:val="20"/>
          <w:lang w:eastAsia="en-US"/>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rsidRPr="00E1193B" w:rsidR="00992731" w:rsidP="00992731" w:rsidRDefault="00992731" w14:paraId="6B8F762C" w14:textId="77777777">
      <w:pPr>
        <w:ind w:left="709" w:right="709"/>
        <w:jc w:val="both"/>
        <w:rPr>
          <w:rFonts w:ascii="Arial" w:hAnsi="Arial" w:eastAsia="Calibri" w:cs="Arial"/>
          <w:bCs/>
          <w:sz w:val="20"/>
          <w:szCs w:val="20"/>
          <w:lang w:eastAsia="en-US"/>
        </w:rPr>
      </w:pPr>
    </w:p>
    <w:p w:rsidRPr="00E1193B" w:rsidR="00753F38" w:rsidP="00992731" w:rsidRDefault="00753F38" w14:paraId="569D11E7" w14:textId="77777777">
      <w:pPr>
        <w:ind w:left="709" w:right="709"/>
        <w:jc w:val="both"/>
        <w:rPr>
          <w:rFonts w:ascii="Arial" w:hAnsi="Arial" w:eastAsia="Calibri" w:cs="Arial"/>
          <w:bCs/>
          <w:sz w:val="20"/>
          <w:szCs w:val="20"/>
          <w:lang w:eastAsia="en-US"/>
        </w:rPr>
      </w:pPr>
      <w:r w:rsidRPr="00E1193B">
        <w:rPr>
          <w:rFonts w:ascii="Arial" w:hAnsi="Arial" w:eastAsia="Calibri" w:cs="Arial"/>
          <w:bCs/>
          <w:sz w:val="20"/>
          <w:szCs w:val="20"/>
          <w:lang w:eastAsia="en-US"/>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rsidRPr="00E1193B" w:rsidR="00992731" w:rsidP="00992731" w:rsidRDefault="00992731" w14:paraId="79B55391" w14:textId="77777777">
      <w:pPr>
        <w:ind w:left="709" w:right="709"/>
        <w:jc w:val="both"/>
        <w:rPr>
          <w:rFonts w:ascii="Arial" w:hAnsi="Arial" w:eastAsia="Calibri" w:cs="Arial"/>
          <w:bCs/>
          <w:sz w:val="20"/>
          <w:szCs w:val="20"/>
          <w:lang w:eastAsia="en-US"/>
        </w:rPr>
      </w:pPr>
    </w:p>
    <w:p w:rsidRPr="00E1193B" w:rsidR="00753F38" w:rsidP="00992731" w:rsidRDefault="00753F38" w14:paraId="62C4ABA6" w14:textId="77777777">
      <w:pPr>
        <w:ind w:left="709" w:right="709"/>
        <w:jc w:val="both"/>
        <w:rPr>
          <w:rFonts w:ascii="Arial" w:hAnsi="Arial" w:eastAsia="Calibri" w:cs="Arial"/>
          <w:bCs/>
          <w:sz w:val="20"/>
          <w:szCs w:val="20"/>
          <w:lang w:eastAsia="en-US"/>
        </w:rPr>
      </w:pPr>
      <w:r w:rsidRPr="00E1193B">
        <w:rPr>
          <w:rFonts w:ascii="Arial" w:hAnsi="Arial" w:eastAsia="Calibri" w:cs="Arial"/>
          <w:bCs/>
          <w:sz w:val="20"/>
          <w:szCs w:val="20"/>
          <w:lang w:eastAsia="en-US"/>
        </w:rPr>
        <w:t xml:space="preserve">A partir de la </w:t>
      </w:r>
      <w:proofErr w:type="gramStart"/>
      <w:r w:rsidRPr="00E1193B">
        <w:rPr>
          <w:rFonts w:ascii="Arial" w:hAnsi="Arial" w:eastAsia="Calibri" w:cs="Arial"/>
          <w:bCs/>
          <w:sz w:val="20"/>
          <w:szCs w:val="20"/>
          <w:lang w:eastAsia="en-US"/>
        </w:rPr>
        <w:t>entrada en vigencia</w:t>
      </w:r>
      <w:proofErr w:type="gramEnd"/>
      <w:r w:rsidRPr="00E1193B">
        <w:rPr>
          <w:rFonts w:ascii="Arial" w:hAnsi="Arial" w:eastAsia="Calibri" w:cs="Arial"/>
          <w:bCs/>
          <w:sz w:val="20"/>
          <w:szCs w:val="20"/>
          <w:lang w:eastAsia="en-US"/>
        </w:rPr>
        <w:t xml:space="preserve"> de la presente Ley, se establecerá un periodo de transición de seis (6) meses, para que las entidades den cumplimiento efectivo a lo aquí establecido. (Cursiva fuera del original).</w:t>
      </w:r>
    </w:p>
    <w:p w:rsidRPr="00992731" w:rsidR="00753F38" w:rsidP="00992731" w:rsidRDefault="00753F38" w14:paraId="2DF9EC40" w14:textId="77777777">
      <w:pPr>
        <w:ind w:left="709" w:right="709"/>
        <w:jc w:val="both"/>
        <w:rPr>
          <w:rFonts w:ascii="Arial" w:hAnsi="Arial" w:eastAsia="Calibri" w:cs="Arial"/>
          <w:bCs/>
          <w:sz w:val="21"/>
          <w:szCs w:val="21"/>
          <w:lang w:eastAsia="en-US"/>
        </w:rPr>
      </w:pPr>
    </w:p>
    <w:p w:rsidRPr="00753F38" w:rsidR="00753F38" w:rsidP="00753F38" w:rsidRDefault="00753F38" w14:paraId="67E93122" w14:textId="77777777">
      <w:pPr>
        <w:spacing w:line="276" w:lineRule="auto"/>
        <w:ind w:firstLine="708"/>
        <w:jc w:val="both"/>
        <w:rPr>
          <w:rFonts w:ascii="Arial" w:hAnsi="Arial" w:eastAsia="Calibri" w:cs="Arial"/>
          <w:bCs/>
          <w:sz w:val="22"/>
          <w:szCs w:val="22"/>
          <w:lang w:eastAsia="en-US"/>
        </w:rPr>
      </w:pPr>
      <w:r w:rsidRPr="00753F38">
        <w:rPr>
          <w:rFonts w:ascii="Arial" w:hAnsi="Arial" w:eastAsia="Calibri" w:cs="Arial"/>
          <w:bCs/>
          <w:sz w:val="22"/>
          <w:szCs w:val="22"/>
          <w:lang w:eastAsia="en-US"/>
        </w:rPr>
        <w:t xml:space="preserve">Como puede observarse, aunque la publicación en el SECOP I de los documentos relacionados con la actividad contractual ya era obligatoria para las entidades que cuentan con un régimen especial, el artículo 53 de la Ley 2195 de 2022 –que modifica el artículo 13 de la Ley 1150 de 2007– complementa ese deber con la exigencia </w:t>
      </w:r>
      <w:bookmarkStart w:name="_Hlk98487480" w:id="4"/>
      <w:r w:rsidRPr="00753F38">
        <w:rPr>
          <w:rFonts w:ascii="Arial" w:hAnsi="Arial" w:eastAsia="Calibri" w:cs="Arial"/>
          <w:bCs/>
          <w:sz w:val="22"/>
          <w:szCs w:val="22"/>
          <w:lang w:eastAsia="en-US"/>
        </w:rPr>
        <w:t>de emplear el SECOP II.</w:t>
      </w:r>
      <w:bookmarkEnd w:id="4"/>
      <w:r w:rsidRPr="00753F38">
        <w:rPr>
          <w:rFonts w:ascii="Arial" w:hAnsi="Arial" w:eastAsia="Calibri" w:cs="Arial"/>
          <w:bCs/>
          <w:sz w:val="22"/>
          <w:szCs w:val="22"/>
          <w:lang w:eastAsia="en-US"/>
        </w:rPr>
        <w:t xml:space="preserve">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rsidR="00DA01F5" w:rsidP="00753F38" w:rsidRDefault="00DA01F5" w14:paraId="33F66654" w14:textId="77777777">
      <w:pPr>
        <w:spacing w:line="276" w:lineRule="auto"/>
        <w:ind w:firstLine="708"/>
        <w:jc w:val="both"/>
        <w:rPr>
          <w:rFonts w:ascii="Arial" w:hAnsi="Arial" w:eastAsia="Calibri" w:cs="Arial"/>
          <w:bCs/>
          <w:sz w:val="22"/>
          <w:szCs w:val="22"/>
          <w:lang w:eastAsia="en-US"/>
        </w:rPr>
      </w:pPr>
    </w:p>
    <w:p w:rsidR="00753F38" w:rsidP="00753F38" w:rsidRDefault="00753F38" w14:paraId="780ED60A" w14:textId="77777777">
      <w:pPr>
        <w:spacing w:line="276" w:lineRule="auto"/>
        <w:ind w:firstLine="708"/>
        <w:jc w:val="both"/>
        <w:rPr>
          <w:rFonts w:ascii="Arial" w:hAnsi="Arial" w:eastAsia="Calibri" w:cs="Arial"/>
          <w:bCs/>
          <w:sz w:val="22"/>
          <w:szCs w:val="22"/>
          <w:lang w:eastAsia="en-US"/>
        </w:rPr>
      </w:pPr>
      <w:r w:rsidRPr="00753F38">
        <w:rPr>
          <w:rFonts w:ascii="Arial" w:hAnsi="Arial" w:eastAsia="Calibri" w:cs="Arial"/>
          <w:bCs/>
          <w:sz w:val="22"/>
          <w:szCs w:val="22"/>
          <w:lang w:eastAsia="en-US"/>
        </w:rPr>
        <w:t xml:space="preserve">La Agencia Nacional de Contratación Pública – Colombia Compra Eficiente considera que al establecer el artículo 53 que este deber se debe cumplir en el SECOP II «o la plataforma transaccional que haga sus veces» esto debe interpretarse en el sentido en que a pesar de que en la actualidad el SECOP II es la plataforma transaccional vigente en el Estado colombiano, si en el futuro esta es reemplazada por otra que tenga otra </w:t>
      </w:r>
      <w:r w:rsidRPr="00753F38">
        <w:rPr>
          <w:rFonts w:ascii="Arial" w:hAnsi="Arial" w:eastAsia="Calibri" w:cs="Arial"/>
          <w:bCs/>
          <w:sz w:val="22"/>
          <w:szCs w:val="22"/>
          <w:lang w:eastAsia="en-US"/>
        </w:rPr>
        <w:lastRenderedPageBreak/>
        <w:t xml:space="preserve">denominación, las entidades que tienen un régimen especial de contratación pública deben continuar publicando la documentación de su actividad contractual en la nueva plataforma. Por ello, esta Agencia no considera que la disposición analizada al utilizar la expresión indicada, deba entenderse como que las entidades exceptuadas del Estatuto General de Contratación de la Administración Pública pueden emplear sus páginas web o sus propios portales electrónicos, para realizar, a través de ellos, el procedimiento contractual, pues, precisamente, el artículo 53 de la Ley </w:t>
      </w:r>
      <w:bookmarkStart w:name="_Hlk98487825" w:id="5"/>
      <w:r w:rsidRPr="00753F38">
        <w:rPr>
          <w:rFonts w:ascii="Arial" w:hAnsi="Arial" w:eastAsia="Calibri" w:cs="Arial"/>
          <w:bCs/>
          <w:sz w:val="22"/>
          <w:szCs w:val="22"/>
          <w:lang w:eastAsia="en-US"/>
        </w:rPr>
        <w:t xml:space="preserve">2195 de 2022 </w:t>
      </w:r>
      <w:bookmarkEnd w:id="5"/>
      <w:r w:rsidRPr="00753F38">
        <w:rPr>
          <w:rFonts w:ascii="Arial" w:hAnsi="Arial" w:eastAsia="Calibri" w:cs="Arial"/>
          <w:bCs/>
          <w:sz w:val="22"/>
          <w:szCs w:val="22"/>
          <w:lang w:eastAsia="en-US"/>
        </w:rPr>
        <w:t>unifica el régimen de publicidad de las entidades estatales en una sola plataforma, actualmente denominada SECOP II. Con esto se logra que la ciudadanía pueda encontrar en un mismo sistema la gestión de la actividad contractual del Estado, garantizándose en mayor grado la transparencia y el acceso a la documentación pública.</w:t>
      </w:r>
    </w:p>
    <w:p w:rsidR="00675F16" w:rsidP="00753F38" w:rsidRDefault="00675F16" w14:paraId="2511CBEB" w14:textId="77777777">
      <w:pPr>
        <w:spacing w:line="276" w:lineRule="auto"/>
        <w:ind w:firstLine="708"/>
        <w:jc w:val="both"/>
        <w:rPr>
          <w:rFonts w:ascii="Arial" w:hAnsi="Arial" w:eastAsia="Calibri" w:cs="Arial"/>
          <w:bCs/>
          <w:sz w:val="22"/>
          <w:szCs w:val="22"/>
          <w:lang w:eastAsia="en-US"/>
        </w:rPr>
      </w:pPr>
    </w:p>
    <w:p w:rsidR="00675F16" w:rsidP="00753F38" w:rsidRDefault="00675F16" w14:paraId="36C8B2EA" w14:textId="1389003E">
      <w:pPr>
        <w:spacing w:line="276" w:lineRule="auto"/>
        <w:ind w:firstLine="708"/>
        <w:jc w:val="both"/>
        <w:rPr>
          <w:rFonts w:ascii="Arial" w:hAnsi="Arial" w:eastAsia="Calibri" w:cs="Arial"/>
          <w:bCs/>
          <w:sz w:val="22"/>
          <w:szCs w:val="22"/>
          <w:lang w:eastAsia="en-US"/>
        </w:rPr>
      </w:pPr>
      <w:r>
        <w:rPr>
          <w:rFonts w:ascii="Arial" w:hAnsi="Arial" w:eastAsia="Calibri" w:cs="Arial"/>
          <w:bCs/>
          <w:sz w:val="22"/>
          <w:szCs w:val="22"/>
          <w:lang w:eastAsia="en-US"/>
        </w:rPr>
        <w:t>Finalmente, debe resaltarse que mediante Circular Externa 002 del 17 de marzo del 2022, esta Agencia señaló lo siguiente en relación con la obligatoriedad de usar la plataforma SECOP II para las entidades públicas sometidas al Estatuto General de Contratación Pública:</w:t>
      </w:r>
    </w:p>
    <w:p w:rsidR="00675F16" w:rsidP="00753F38" w:rsidRDefault="00675F16" w14:paraId="09DB0EF0" w14:textId="77777777">
      <w:pPr>
        <w:spacing w:line="276" w:lineRule="auto"/>
        <w:ind w:firstLine="708"/>
        <w:jc w:val="both"/>
        <w:rPr>
          <w:rFonts w:ascii="Arial" w:hAnsi="Arial" w:eastAsia="Calibri" w:cs="Arial"/>
          <w:bCs/>
          <w:sz w:val="22"/>
          <w:szCs w:val="22"/>
          <w:lang w:eastAsia="en-US"/>
        </w:rPr>
      </w:pPr>
    </w:p>
    <w:p w:rsidRPr="00E1193B" w:rsidR="00675F16" w:rsidP="00675F16" w:rsidRDefault="00675F16" w14:paraId="1424554E" w14:textId="0B992189">
      <w:pPr>
        <w:ind w:left="709" w:right="709"/>
        <w:jc w:val="both"/>
        <w:rPr>
          <w:rFonts w:ascii="Arial" w:hAnsi="Arial" w:eastAsia="Calibri" w:cs="Arial"/>
          <w:bCs/>
          <w:sz w:val="20"/>
          <w:szCs w:val="20"/>
          <w:lang w:eastAsia="en-US"/>
        </w:rPr>
      </w:pPr>
      <w:r w:rsidRPr="00E1193B">
        <w:rPr>
          <w:rFonts w:ascii="Arial" w:hAnsi="Arial" w:eastAsia="Calibri" w:cs="Arial"/>
          <w:bCs/>
          <w:sz w:val="20"/>
          <w:szCs w:val="20"/>
          <w:lang w:eastAsia="en-US"/>
        </w:rPr>
        <w:t xml:space="preserve">Obligatoriedad del SECOP II en la vigencia fiscal de 2022 para las entidades estatales sometidas al Estatuto General de Contratación de la Administración Pública. </w:t>
      </w:r>
    </w:p>
    <w:p w:rsidRPr="00E1193B" w:rsidR="00675F16" w:rsidP="00675F16" w:rsidRDefault="00675F16" w14:paraId="551C630C" w14:textId="77777777">
      <w:pPr>
        <w:ind w:left="709" w:right="709"/>
        <w:jc w:val="both"/>
        <w:rPr>
          <w:rFonts w:ascii="Arial" w:hAnsi="Arial" w:eastAsia="Calibri" w:cs="Arial"/>
          <w:bCs/>
          <w:sz w:val="20"/>
          <w:szCs w:val="20"/>
          <w:lang w:eastAsia="en-US"/>
        </w:rPr>
      </w:pPr>
      <w:r w:rsidRPr="00E1193B">
        <w:rPr>
          <w:rFonts w:ascii="Arial" w:hAnsi="Arial" w:eastAsia="Calibri" w:cs="Arial"/>
          <w:bCs/>
          <w:sz w:val="20"/>
          <w:szCs w:val="20"/>
          <w:lang w:eastAsia="en-US"/>
        </w:rPr>
        <w:t xml:space="preserve">La obligatoriedad del uso de SECOP II por parte de las entidades estatales a las que se refiere este numeral es un proceso gradual y coordinado, que tiene como objetivo fomentar una política pública que garantice la transparencia, publicidad, integridad de los datos e información, legalidad y, en general, los principios que rigen la gestión fiscal, la función administrativa y la contratación estatal, en los procesos de negociación que el Estado realice en el ámbito territorial. </w:t>
      </w:r>
    </w:p>
    <w:p w:rsidRPr="00E1193B" w:rsidR="00675F16" w:rsidP="00675F16" w:rsidRDefault="00675F16" w14:paraId="414EC07E" w14:textId="77777777">
      <w:pPr>
        <w:ind w:left="709" w:right="709"/>
        <w:jc w:val="both"/>
        <w:rPr>
          <w:rFonts w:ascii="Arial" w:hAnsi="Arial" w:eastAsia="Calibri" w:cs="Arial"/>
          <w:bCs/>
          <w:sz w:val="20"/>
          <w:szCs w:val="20"/>
          <w:lang w:eastAsia="en-US"/>
        </w:rPr>
      </w:pPr>
    </w:p>
    <w:p w:rsidRPr="00E1193B" w:rsidR="00675F16" w:rsidP="00675F16" w:rsidRDefault="00675F16" w14:paraId="6FBBC0A4" w14:textId="77777777">
      <w:pPr>
        <w:ind w:left="709" w:right="709"/>
        <w:jc w:val="both"/>
        <w:rPr>
          <w:rFonts w:ascii="Arial" w:hAnsi="Arial" w:eastAsia="Calibri" w:cs="Arial"/>
          <w:bCs/>
          <w:sz w:val="20"/>
          <w:szCs w:val="20"/>
          <w:lang w:eastAsia="en-US"/>
        </w:rPr>
      </w:pPr>
      <w:r w:rsidRPr="00E1193B">
        <w:rPr>
          <w:rFonts w:ascii="Arial" w:hAnsi="Arial" w:eastAsia="Calibri" w:cs="Arial"/>
          <w:bCs/>
          <w:sz w:val="20"/>
          <w:szCs w:val="20"/>
          <w:lang w:eastAsia="en-US"/>
        </w:rPr>
        <w:t xml:space="preserve">Lo anterior, implica la formación para el uso de la herramienta y el alistamiento de la infraestructura tecnológica correspondiente. </w:t>
      </w:r>
    </w:p>
    <w:p w:rsidRPr="00E1193B" w:rsidR="00675F16" w:rsidP="00675F16" w:rsidRDefault="00675F16" w14:paraId="22DB50AF" w14:textId="77777777">
      <w:pPr>
        <w:ind w:left="709" w:right="709"/>
        <w:jc w:val="both"/>
        <w:rPr>
          <w:rFonts w:ascii="Arial" w:hAnsi="Arial" w:eastAsia="Calibri" w:cs="Arial"/>
          <w:bCs/>
          <w:sz w:val="20"/>
          <w:szCs w:val="20"/>
          <w:lang w:eastAsia="en-US"/>
        </w:rPr>
      </w:pPr>
    </w:p>
    <w:p w:rsidRPr="00E1193B" w:rsidR="00675F16" w:rsidP="00675F16" w:rsidRDefault="00675F16" w14:paraId="33D8BA72" w14:textId="37F078B5">
      <w:pPr>
        <w:ind w:left="709" w:right="709"/>
        <w:jc w:val="both"/>
        <w:rPr>
          <w:rFonts w:ascii="Arial" w:hAnsi="Arial" w:eastAsia="Calibri" w:cs="Arial"/>
          <w:bCs/>
          <w:sz w:val="20"/>
          <w:szCs w:val="20"/>
          <w:lang w:eastAsia="en-US"/>
        </w:rPr>
      </w:pPr>
      <w:r w:rsidRPr="00E1193B">
        <w:rPr>
          <w:rFonts w:ascii="Arial" w:hAnsi="Arial" w:eastAsia="Calibri" w:cs="Arial"/>
          <w:bCs/>
          <w:sz w:val="20"/>
          <w:szCs w:val="20"/>
          <w:lang w:eastAsia="en-US"/>
        </w:rPr>
        <w:t>Con fundamento en los boletines trimestrales del sector TIC publicados por el Ministerio de Tecnologías de la información y las Comunicaciones correspondientes al estado de conectividad en todo el territorio nacional, y de acuerdo con un nuevo análisis efectuado por la Subdirección de Estudios de Mercado y Abastecimiento Estratégico de Colombia Compra Eficiente respecto del porcentaje de penetración de internet fijo en todos los municipios del país, el cual toma como base la relación entre el número de acceso a internet fijo y la población total de cada uno de ellos, la Agencia Nacional de Contratación Pública, con el fin de articular los sistemas de información de gestión contractual pública, instruye a las entidades listadas en el Anexo No.1 de la presente Circular para que acaten las siguientes directrices:</w:t>
      </w:r>
    </w:p>
    <w:p w:rsidRPr="00E1193B" w:rsidR="00675F16" w:rsidP="00675F16" w:rsidRDefault="00675F16" w14:paraId="1F53921F" w14:textId="43B3951E">
      <w:pPr>
        <w:ind w:left="709" w:right="709"/>
        <w:jc w:val="both"/>
        <w:rPr>
          <w:rFonts w:ascii="Arial" w:hAnsi="Arial" w:eastAsia="Calibri" w:cs="Arial"/>
          <w:bCs/>
          <w:sz w:val="20"/>
          <w:szCs w:val="20"/>
          <w:lang w:eastAsia="en-US"/>
        </w:rPr>
      </w:pPr>
      <w:r w:rsidRPr="00E1193B">
        <w:rPr>
          <w:rFonts w:ascii="Arial" w:hAnsi="Arial" w:eastAsia="Calibri" w:cs="Arial"/>
          <w:bCs/>
          <w:sz w:val="20"/>
          <w:szCs w:val="20"/>
          <w:lang w:eastAsia="en-US"/>
        </w:rPr>
        <w:t>(…)</w:t>
      </w:r>
    </w:p>
    <w:p w:rsidR="00675F16" w:rsidP="00675F16" w:rsidRDefault="00675F16" w14:paraId="5B6C7E02" w14:textId="77777777">
      <w:pPr>
        <w:ind w:left="709" w:right="709"/>
        <w:jc w:val="both"/>
        <w:rPr>
          <w:rFonts w:ascii="Arial" w:hAnsi="Arial" w:eastAsia="Calibri" w:cs="Arial"/>
          <w:bCs/>
          <w:sz w:val="21"/>
          <w:szCs w:val="21"/>
          <w:lang w:eastAsia="en-US"/>
        </w:rPr>
      </w:pPr>
    </w:p>
    <w:p w:rsidRPr="00675F16" w:rsidR="00675F16" w:rsidP="00B356B5" w:rsidRDefault="00675F16" w14:paraId="6C2AF1F5" w14:textId="4829993E">
      <w:pPr>
        <w:ind w:firstLine="709"/>
        <w:jc w:val="both"/>
        <w:rPr>
          <w:rFonts w:ascii="Arial" w:hAnsi="Arial" w:eastAsia="Calibri" w:cs="Arial"/>
          <w:bCs/>
          <w:sz w:val="22"/>
          <w:szCs w:val="22"/>
          <w:lang w:eastAsia="en-US"/>
        </w:rPr>
      </w:pPr>
      <w:r w:rsidRPr="00675F16">
        <w:rPr>
          <w:rFonts w:ascii="Arial" w:hAnsi="Arial" w:eastAsia="Calibri" w:cs="Arial"/>
          <w:bCs/>
          <w:sz w:val="22"/>
          <w:szCs w:val="22"/>
          <w:lang w:eastAsia="en-US"/>
        </w:rPr>
        <w:lastRenderedPageBreak/>
        <w:t>Así las cosas, para determinar si un</w:t>
      </w:r>
      <w:r w:rsidR="00B8134D">
        <w:rPr>
          <w:rFonts w:ascii="Arial" w:hAnsi="Arial" w:eastAsia="Calibri" w:cs="Arial"/>
          <w:bCs/>
          <w:sz w:val="22"/>
          <w:szCs w:val="22"/>
          <w:lang w:eastAsia="en-US"/>
        </w:rPr>
        <w:t xml:space="preserve"> Centro Provincial de Gestión Empresarial, como entidad sometida al Estatuto General de Contratación de la Publica, está obligada a publicar los documentos de su gestión contractual en el SECOP II, será necesario remitirse al contenido del Anexo 1 de la circular 002 del 2022. </w:t>
      </w:r>
      <w:r w:rsidRPr="00675F16">
        <w:rPr>
          <w:rFonts w:ascii="Arial" w:hAnsi="Arial" w:eastAsia="Calibri" w:cs="Arial"/>
          <w:bCs/>
          <w:sz w:val="22"/>
          <w:szCs w:val="22"/>
          <w:lang w:eastAsia="en-US"/>
        </w:rPr>
        <w:t xml:space="preserve"> </w:t>
      </w:r>
    </w:p>
    <w:p w:rsidR="00DA01F5" w:rsidP="00675F16" w:rsidRDefault="00DA01F5" w14:paraId="0EC072AC" w14:textId="77777777">
      <w:pPr>
        <w:ind w:left="709" w:right="709"/>
        <w:jc w:val="both"/>
        <w:rPr>
          <w:rFonts w:ascii="Arial" w:hAnsi="Arial" w:eastAsia="Calibri" w:cs="Arial"/>
          <w:bCs/>
          <w:sz w:val="22"/>
          <w:szCs w:val="22"/>
          <w:lang w:eastAsia="en-US"/>
        </w:rPr>
      </w:pPr>
      <w:bookmarkStart w:name="_Hlk98489914" w:id="6"/>
    </w:p>
    <w:p w:rsidRPr="00B8134D" w:rsidR="00B8134D" w:rsidP="00B8134D" w:rsidRDefault="00B8134D" w14:paraId="7649943D" w14:textId="77777777">
      <w:pPr>
        <w:ind w:left="709" w:right="709"/>
        <w:jc w:val="both"/>
        <w:rPr>
          <w:rFonts w:ascii="Arial" w:hAnsi="Arial" w:eastAsia="Calibri" w:cs="Arial"/>
          <w:bCs/>
          <w:sz w:val="22"/>
          <w:szCs w:val="22"/>
          <w:lang w:val="es-CO" w:eastAsia="en-US"/>
        </w:rPr>
      </w:pPr>
      <w:r w:rsidRPr="00B8134D">
        <w:rPr>
          <w:rFonts w:ascii="Arial" w:hAnsi="Arial" w:eastAsia="Calibri" w:cs="Arial"/>
          <w:b/>
          <w:bCs/>
          <w:sz w:val="22"/>
          <w:szCs w:val="22"/>
          <w:lang w:val="es-ES" w:eastAsia="en-US"/>
        </w:rPr>
        <w:t>3. Respuesta</w:t>
      </w:r>
    </w:p>
    <w:p w:rsidR="00D83194" w:rsidP="00D83194" w:rsidRDefault="00D83194" w14:paraId="16DDF36A" w14:textId="77777777">
      <w:pPr>
        <w:ind w:left="709" w:right="709"/>
        <w:jc w:val="both"/>
        <w:rPr>
          <w:rFonts w:ascii="Arial" w:hAnsi="Arial" w:eastAsia="Calibri" w:cs="Arial"/>
          <w:bCs/>
          <w:sz w:val="22"/>
          <w:szCs w:val="22"/>
          <w:lang w:val="es-MX" w:eastAsia="en-US"/>
        </w:rPr>
      </w:pPr>
    </w:p>
    <w:p w:rsidRPr="00FD781D" w:rsidR="00835D59" w:rsidP="00D83194" w:rsidRDefault="00B356B5" w14:paraId="59933395" w14:textId="37C63AFA">
      <w:pPr>
        <w:spacing w:line="276" w:lineRule="auto"/>
        <w:ind w:left="709" w:right="709"/>
        <w:jc w:val="both"/>
        <w:rPr>
          <w:rFonts w:ascii="Arial" w:hAnsi="Arial" w:cs="Arial"/>
          <w:bCs/>
          <w:sz w:val="21"/>
          <w:szCs w:val="21"/>
          <w:lang w:val="es-MX" w:eastAsia="es-ES_tradnl"/>
        </w:rPr>
      </w:pPr>
      <w:r>
        <w:rPr>
          <w:rFonts w:ascii="Arial" w:hAnsi="Arial" w:cs="Arial"/>
          <w:bCs/>
          <w:sz w:val="21"/>
          <w:szCs w:val="21"/>
          <w:lang w:val="es-MX" w:eastAsia="es-ES_tradnl"/>
        </w:rPr>
        <w:t>«</w:t>
      </w:r>
      <w:r w:rsidRPr="00FD781D" w:rsidR="00835D59">
        <w:rPr>
          <w:rFonts w:ascii="Arial" w:hAnsi="Arial" w:cs="Arial"/>
          <w:bCs/>
          <w:sz w:val="21"/>
          <w:szCs w:val="21"/>
          <w:lang w:val="es-MX" w:eastAsia="es-ES_tradnl"/>
        </w:rPr>
        <w:t>¿Los Centros Provinciales de Gestión Agroempresarial, entidades sin ánimo de lucro, creadas bajo el Decreto 1071 de 2015 y ARTÍCULO 2.4.3.1.1 y siguientes, pueden ser considerados entidad estatal? de conformidad con el artículo 2 de la Ley 80 de 1993, puesto que es una asociación de municipios?</w:t>
      </w:r>
    </w:p>
    <w:p w:rsidRPr="00FD781D" w:rsidR="00D83194" w:rsidP="00D83194" w:rsidRDefault="00D83194" w14:paraId="06F62BFC" w14:textId="77777777">
      <w:pPr>
        <w:spacing w:line="276" w:lineRule="auto"/>
        <w:ind w:left="709" w:right="709"/>
        <w:jc w:val="both"/>
        <w:rPr>
          <w:rFonts w:ascii="Arial" w:hAnsi="Arial" w:cs="Arial"/>
          <w:bCs/>
          <w:sz w:val="21"/>
          <w:szCs w:val="21"/>
          <w:lang w:val="es-MX" w:eastAsia="es-ES_tradnl"/>
        </w:rPr>
      </w:pPr>
    </w:p>
    <w:p w:rsidRPr="00FD781D" w:rsidR="00D83194" w:rsidP="00D83194" w:rsidRDefault="00D83194" w14:paraId="10080501" w14:textId="4AD16BBA">
      <w:pPr>
        <w:spacing w:line="276" w:lineRule="auto"/>
        <w:ind w:left="709" w:right="709"/>
        <w:jc w:val="both"/>
        <w:rPr>
          <w:rFonts w:ascii="Arial" w:hAnsi="Arial" w:cs="Arial"/>
          <w:bCs/>
          <w:sz w:val="21"/>
          <w:szCs w:val="21"/>
          <w:lang w:val="es-MX" w:eastAsia="es-ES_tradnl"/>
        </w:rPr>
      </w:pPr>
      <w:r w:rsidRPr="00FD781D">
        <w:rPr>
          <w:rFonts w:ascii="Arial" w:hAnsi="Arial" w:cs="Arial"/>
          <w:bCs/>
          <w:sz w:val="21"/>
          <w:szCs w:val="21"/>
          <w:lang w:val="es-MX" w:eastAsia="es-ES_tradnl"/>
        </w:rPr>
        <w:t>¿Su régimen de contratación es aplicable lo concerniente a lo determinado en Ley 80 de 1993 y demás normas concordantes?</w:t>
      </w:r>
      <w:r w:rsidR="00B356B5">
        <w:rPr>
          <w:rFonts w:ascii="Arial" w:hAnsi="Arial" w:cs="Arial"/>
          <w:bCs/>
          <w:sz w:val="21"/>
          <w:szCs w:val="21"/>
          <w:lang w:val="es-MX" w:eastAsia="es-ES_tradnl"/>
        </w:rPr>
        <w:t>»</w:t>
      </w:r>
    </w:p>
    <w:p w:rsidRPr="00D83194" w:rsidR="00D83194" w:rsidP="00B356B5" w:rsidRDefault="00D83194" w14:paraId="4CA2FC04" w14:textId="77777777">
      <w:pPr>
        <w:spacing w:line="276" w:lineRule="auto"/>
        <w:jc w:val="both"/>
        <w:rPr>
          <w:rFonts w:ascii="Arial" w:hAnsi="Arial" w:cs="Arial"/>
          <w:bCs/>
          <w:i/>
          <w:iCs/>
          <w:sz w:val="21"/>
          <w:szCs w:val="21"/>
          <w:lang w:val="es-MX" w:eastAsia="es-ES_tradnl"/>
        </w:rPr>
      </w:pPr>
    </w:p>
    <w:p w:rsidRPr="00D83194" w:rsidR="00D83194" w:rsidP="00B356B5" w:rsidRDefault="00D83194" w14:paraId="31E1C5C1" w14:textId="67094E46">
      <w:pPr>
        <w:jc w:val="both"/>
        <w:rPr>
          <w:rFonts w:ascii="Arial" w:hAnsi="Arial" w:eastAsia="Calibri" w:cs="Arial"/>
          <w:bCs/>
          <w:sz w:val="22"/>
          <w:szCs w:val="22"/>
          <w:lang w:eastAsia="en-US"/>
        </w:rPr>
      </w:pPr>
      <w:r w:rsidRPr="00D83194">
        <w:rPr>
          <w:rFonts w:ascii="Arial" w:hAnsi="Arial" w:eastAsia="Calibri" w:cs="Arial"/>
          <w:bCs/>
          <w:sz w:val="22"/>
          <w:szCs w:val="22"/>
          <w:lang w:eastAsia="en-US"/>
        </w:rPr>
        <w:t xml:space="preserve">En los términos de </w:t>
      </w:r>
      <w:r>
        <w:rPr>
          <w:rFonts w:ascii="Arial" w:hAnsi="Arial" w:eastAsia="Calibri" w:cs="Arial"/>
          <w:bCs/>
          <w:sz w:val="22"/>
          <w:szCs w:val="22"/>
          <w:lang w:eastAsia="en-US"/>
        </w:rPr>
        <w:t>lo previsto en los artículos 149 de la Ley 136 de 1994 y 2 de la Ley 80 de 1993, los Centros Provinciales de Gestión Agroempresarial son entidades estatales</w:t>
      </w:r>
      <w:r w:rsidR="006D2CDB">
        <w:rPr>
          <w:rFonts w:ascii="Arial" w:hAnsi="Arial" w:eastAsia="Calibri" w:cs="Arial"/>
          <w:bCs/>
          <w:sz w:val="22"/>
          <w:szCs w:val="22"/>
          <w:lang w:eastAsia="en-US"/>
        </w:rPr>
        <w:t xml:space="preserve"> </w:t>
      </w:r>
      <w:r>
        <w:rPr>
          <w:rFonts w:ascii="Arial" w:hAnsi="Arial" w:eastAsia="Calibri" w:cs="Arial"/>
          <w:bCs/>
          <w:sz w:val="22"/>
          <w:szCs w:val="22"/>
          <w:lang w:eastAsia="en-US"/>
        </w:rPr>
        <w:t>que</w:t>
      </w:r>
      <w:r w:rsidR="006D2CDB">
        <w:rPr>
          <w:rFonts w:ascii="Arial" w:hAnsi="Arial" w:eastAsia="Calibri" w:cs="Arial"/>
          <w:bCs/>
          <w:sz w:val="22"/>
          <w:szCs w:val="22"/>
          <w:lang w:eastAsia="en-US"/>
        </w:rPr>
        <w:t xml:space="preserve">, en virtud de </w:t>
      </w:r>
      <w:r>
        <w:rPr>
          <w:rFonts w:ascii="Arial" w:hAnsi="Arial" w:eastAsia="Calibri" w:cs="Arial"/>
          <w:bCs/>
          <w:sz w:val="22"/>
          <w:szCs w:val="22"/>
          <w:lang w:eastAsia="en-US"/>
        </w:rPr>
        <w:t xml:space="preserve">lo previsto expresamente en el </w:t>
      </w:r>
      <w:r w:rsidRPr="006D2CDB" w:rsidR="006D2CDB">
        <w:rPr>
          <w:rFonts w:ascii="Arial" w:hAnsi="Arial" w:eastAsia="Calibri" w:cs="Arial"/>
          <w:bCs/>
          <w:sz w:val="22"/>
          <w:szCs w:val="22"/>
          <w:lang w:eastAsia="en-US"/>
        </w:rPr>
        <w:t xml:space="preserve">artículo 40 de </w:t>
      </w:r>
      <w:r w:rsidRPr="006D2CDB" w:rsidR="00803593">
        <w:rPr>
          <w:rFonts w:ascii="Arial" w:hAnsi="Arial" w:eastAsia="Calibri" w:cs="Arial"/>
          <w:bCs/>
          <w:sz w:val="22"/>
          <w:szCs w:val="22"/>
          <w:lang w:eastAsia="en-US"/>
        </w:rPr>
        <w:t>la Ley</w:t>
      </w:r>
      <w:r w:rsidRPr="006D2CDB" w:rsidR="006D2CDB">
        <w:rPr>
          <w:rFonts w:ascii="Arial" w:hAnsi="Arial" w:eastAsia="Calibri" w:cs="Arial"/>
          <w:bCs/>
          <w:sz w:val="22"/>
          <w:szCs w:val="22"/>
          <w:lang w:eastAsia="en-US"/>
        </w:rPr>
        <w:t xml:space="preserve"> 1876 de 2017</w:t>
      </w:r>
      <w:r w:rsidR="006D2CDB">
        <w:rPr>
          <w:rFonts w:ascii="Arial" w:hAnsi="Arial" w:eastAsia="Calibri" w:cs="Arial"/>
          <w:bCs/>
          <w:sz w:val="22"/>
          <w:szCs w:val="22"/>
          <w:lang w:eastAsia="en-US"/>
        </w:rPr>
        <w:t>, se someten a lo previsto en el Estatuto General de Contratación de la Administración Pública, EGCAP.</w:t>
      </w:r>
    </w:p>
    <w:p w:rsidR="00D83194" w:rsidP="00D83194" w:rsidRDefault="00D83194" w14:paraId="3F6B4C8A" w14:textId="77777777">
      <w:pPr>
        <w:ind w:left="709" w:right="709"/>
        <w:jc w:val="both"/>
        <w:rPr>
          <w:rFonts w:ascii="Arial" w:hAnsi="Arial" w:eastAsia="Calibri" w:cs="Arial"/>
          <w:bCs/>
          <w:sz w:val="22"/>
          <w:szCs w:val="22"/>
          <w:highlight w:val="yellow"/>
          <w:lang w:val="es-MX" w:eastAsia="en-US"/>
        </w:rPr>
      </w:pPr>
    </w:p>
    <w:p w:rsidRPr="00803593" w:rsidR="00835D59" w:rsidP="006D2CDB" w:rsidRDefault="00B356B5" w14:paraId="070F61FA" w14:textId="3270D556">
      <w:pPr>
        <w:spacing w:line="276" w:lineRule="auto"/>
        <w:ind w:left="709" w:right="709"/>
        <w:jc w:val="both"/>
        <w:rPr>
          <w:rFonts w:ascii="Arial" w:hAnsi="Arial" w:cs="Arial"/>
          <w:bCs/>
          <w:sz w:val="21"/>
          <w:szCs w:val="21"/>
          <w:lang w:val="es-MX" w:eastAsia="es-ES_tradnl"/>
        </w:rPr>
      </w:pPr>
      <w:r>
        <w:rPr>
          <w:rFonts w:ascii="Arial" w:hAnsi="Arial" w:cs="Arial"/>
          <w:bCs/>
          <w:sz w:val="21"/>
          <w:szCs w:val="21"/>
          <w:lang w:val="es-MX" w:eastAsia="es-ES_tradnl"/>
        </w:rPr>
        <w:t>«</w:t>
      </w:r>
      <w:r w:rsidRPr="00803593" w:rsidR="00835D59">
        <w:rPr>
          <w:rFonts w:ascii="Arial" w:hAnsi="Arial" w:cs="Arial"/>
          <w:bCs/>
          <w:sz w:val="21"/>
          <w:szCs w:val="21"/>
          <w:lang w:val="es-MX" w:eastAsia="es-ES_tradnl"/>
        </w:rPr>
        <w:t>3. Si fuera aplicable el principio de publicidad, ¿serán necesario publicar su actividad contractual en el SECOP 1 o SECOP 2’, si es este último por favor determinar la fecha máxima de obligatorio cumplimiento para este tipo de entidades.</w:t>
      </w:r>
      <w:r>
        <w:rPr>
          <w:rFonts w:ascii="Arial" w:hAnsi="Arial" w:cs="Arial"/>
          <w:bCs/>
          <w:sz w:val="21"/>
          <w:szCs w:val="21"/>
          <w:lang w:val="es-MX" w:eastAsia="es-ES_tradnl"/>
        </w:rPr>
        <w:t>»</w:t>
      </w:r>
    </w:p>
    <w:p w:rsidRPr="006D2CDB" w:rsidR="006D2CDB" w:rsidP="006D2CDB" w:rsidRDefault="006D2CDB" w14:paraId="490857AF" w14:textId="77777777">
      <w:pPr>
        <w:ind w:right="709"/>
        <w:jc w:val="both"/>
        <w:rPr>
          <w:rFonts w:ascii="Arial" w:hAnsi="Arial" w:eastAsia="Calibri" w:cs="Arial"/>
          <w:bCs/>
          <w:sz w:val="22"/>
          <w:szCs w:val="22"/>
          <w:lang w:eastAsia="en-US"/>
        </w:rPr>
      </w:pPr>
    </w:p>
    <w:p w:rsidR="00D6161B" w:rsidP="00B356B5" w:rsidRDefault="006D2CDB" w14:paraId="6809564F" w14:textId="77777777">
      <w:pPr>
        <w:jc w:val="both"/>
        <w:rPr>
          <w:rFonts w:ascii="Arial" w:hAnsi="Arial" w:eastAsia="Calibri" w:cs="Arial"/>
          <w:bCs/>
          <w:sz w:val="22"/>
          <w:szCs w:val="22"/>
          <w:lang w:eastAsia="en-US"/>
        </w:rPr>
      </w:pPr>
      <w:r>
        <w:rPr>
          <w:rFonts w:ascii="Arial" w:hAnsi="Arial" w:eastAsia="Calibri" w:cs="Arial"/>
          <w:bCs/>
          <w:sz w:val="22"/>
          <w:szCs w:val="22"/>
          <w:lang w:eastAsia="en-US"/>
        </w:rPr>
        <w:t xml:space="preserve">Dada su condición de </w:t>
      </w:r>
      <w:r w:rsidRPr="006D2CDB">
        <w:rPr>
          <w:rFonts w:ascii="Arial" w:hAnsi="Arial" w:eastAsia="Calibri" w:cs="Arial"/>
          <w:bCs/>
          <w:sz w:val="22"/>
          <w:szCs w:val="22"/>
          <w:lang w:eastAsia="en-US"/>
        </w:rPr>
        <w:t>entidades estatales, los Centros Provinciales de Gestión Empresarial están vinculados por el principio de publicidad, el cual</w:t>
      </w:r>
      <w:r>
        <w:rPr>
          <w:rFonts w:ascii="Arial" w:hAnsi="Arial" w:eastAsia="Calibri" w:cs="Arial"/>
          <w:bCs/>
          <w:sz w:val="22"/>
          <w:szCs w:val="22"/>
          <w:lang w:eastAsia="en-US"/>
        </w:rPr>
        <w:t>, en materia de contratación estatal</w:t>
      </w:r>
      <w:r w:rsidR="00D6161B">
        <w:rPr>
          <w:rFonts w:ascii="Arial" w:hAnsi="Arial" w:eastAsia="Calibri" w:cs="Arial"/>
          <w:bCs/>
          <w:sz w:val="22"/>
          <w:szCs w:val="22"/>
          <w:lang w:eastAsia="en-US"/>
        </w:rPr>
        <w:t>,</w:t>
      </w:r>
      <w:r>
        <w:rPr>
          <w:rFonts w:ascii="Arial" w:hAnsi="Arial" w:eastAsia="Calibri" w:cs="Arial"/>
          <w:bCs/>
          <w:sz w:val="22"/>
          <w:szCs w:val="22"/>
          <w:lang w:eastAsia="en-US"/>
        </w:rPr>
        <w:t xml:space="preserve"> exige publicar los documentos del proceso en la plataforma SECOP. </w:t>
      </w:r>
    </w:p>
    <w:p w:rsidR="00D6161B" w:rsidP="00B356B5" w:rsidRDefault="00D6161B" w14:paraId="5DB81706" w14:textId="77777777">
      <w:pPr>
        <w:jc w:val="both"/>
        <w:rPr>
          <w:rFonts w:ascii="Arial" w:hAnsi="Arial" w:eastAsia="Calibri" w:cs="Arial"/>
          <w:bCs/>
          <w:sz w:val="22"/>
          <w:szCs w:val="22"/>
          <w:lang w:eastAsia="en-US"/>
        </w:rPr>
      </w:pPr>
    </w:p>
    <w:p w:rsidR="00D83194" w:rsidP="00B356B5" w:rsidRDefault="006D2CDB" w14:paraId="39F7E847" w14:textId="6B0CBDFA">
      <w:pPr>
        <w:jc w:val="both"/>
        <w:rPr>
          <w:rFonts w:ascii="Arial" w:hAnsi="Arial" w:eastAsia="Calibri" w:cs="Arial"/>
          <w:bCs/>
          <w:sz w:val="22"/>
          <w:szCs w:val="22"/>
          <w:lang w:eastAsia="en-US"/>
        </w:rPr>
      </w:pPr>
      <w:r>
        <w:rPr>
          <w:rFonts w:ascii="Arial" w:hAnsi="Arial" w:eastAsia="Calibri" w:cs="Arial"/>
          <w:bCs/>
          <w:sz w:val="22"/>
          <w:szCs w:val="22"/>
          <w:lang w:eastAsia="en-US"/>
        </w:rPr>
        <w:t>Esta Agencia ha expedido distintas circulares para determinar la obligatoriedad de publicar los documentos del proceso en la plataforma SECOP II</w:t>
      </w:r>
      <w:r w:rsidR="00D6161B">
        <w:rPr>
          <w:rFonts w:ascii="Arial" w:hAnsi="Arial" w:eastAsia="Calibri" w:cs="Arial"/>
          <w:bCs/>
          <w:sz w:val="22"/>
          <w:szCs w:val="22"/>
          <w:lang w:eastAsia="en-US"/>
        </w:rPr>
        <w:t>; mediante la circular 002 del 2022 -anexo 1-estableció el listado de entidades que deben publicar su gestión contractual en SECOP II con corte al mes de octubre de la presente vigencia; por cual, será necesario remitirse al contenido de la misma, con el fin de  establecer si un</w:t>
      </w:r>
      <w:r>
        <w:rPr>
          <w:rFonts w:ascii="Arial" w:hAnsi="Arial" w:eastAsia="Calibri" w:cs="Arial"/>
          <w:bCs/>
          <w:sz w:val="22"/>
          <w:szCs w:val="22"/>
          <w:lang w:eastAsia="en-US"/>
        </w:rPr>
        <w:t xml:space="preserve"> </w:t>
      </w:r>
      <w:r w:rsidRPr="00D6161B" w:rsidR="00D6161B">
        <w:rPr>
          <w:rFonts w:ascii="Arial" w:hAnsi="Arial" w:eastAsia="Calibri" w:cs="Arial"/>
          <w:bCs/>
          <w:sz w:val="22"/>
          <w:szCs w:val="22"/>
          <w:lang w:eastAsia="en-US"/>
        </w:rPr>
        <w:t>Centro</w:t>
      </w:r>
      <w:r w:rsidR="00D6161B">
        <w:rPr>
          <w:rFonts w:ascii="Arial" w:hAnsi="Arial" w:eastAsia="Calibri" w:cs="Arial"/>
          <w:bCs/>
          <w:sz w:val="22"/>
          <w:szCs w:val="22"/>
          <w:lang w:eastAsia="en-US"/>
        </w:rPr>
        <w:t xml:space="preserve"> Provincial </w:t>
      </w:r>
      <w:r w:rsidRPr="00D6161B" w:rsidR="00D6161B">
        <w:rPr>
          <w:rFonts w:ascii="Arial" w:hAnsi="Arial" w:eastAsia="Calibri" w:cs="Arial"/>
          <w:bCs/>
          <w:sz w:val="22"/>
          <w:szCs w:val="22"/>
          <w:lang w:eastAsia="en-US"/>
        </w:rPr>
        <w:t xml:space="preserve">de Gestión Empresarial </w:t>
      </w:r>
      <w:r w:rsidR="00D6161B">
        <w:rPr>
          <w:rFonts w:ascii="Arial" w:hAnsi="Arial" w:eastAsia="Calibri" w:cs="Arial"/>
          <w:bCs/>
          <w:sz w:val="22"/>
          <w:szCs w:val="22"/>
          <w:lang w:eastAsia="en-US"/>
        </w:rPr>
        <w:t xml:space="preserve">específico está incluido en el listado de entidades allí contenido. </w:t>
      </w:r>
    </w:p>
    <w:p w:rsidRPr="006D2CDB" w:rsidR="00803593" w:rsidP="006D2CDB" w:rsidRDefault="00803593" w14:paraId="62E104E6" w14:textId="77777777">
      <w:pPr>
        <w:ind w:right="709"/>
        <w:jc w:val="both"/>
        <w:rPr>
          <w:rFonts w:ascii="Arial" w:hAnsi="Arial" w:eastAsia="Calibri" w:cs="Arial"/>
          <w:bCs/>
          <w:sz w:val="22"/>
          <w:szCs w:val="22"/>
          <w:lang w:eastAsia="en-US"/>
        </w:rPr>
      </w:pPr>
    </w:p>
    <w:p w:rsidRPr="00B356B5" w:rsidR="00835D59" w:rsidP="00D83194" w:rsidRDefault="00B356B5" w14:paraId="742E7561" w14:textId="350ACD71">
      <w:pPr>
        <w:spacing w:line="276" w:lineRule="auto"/>
        <w:ind w:left="709" w:right="709"/>
        <w:jc w:val="both"/>
        <w:rPr>
          <w:rFonts w:ascii="Malgun Gothic" w:hAnsi="Malgun Gothic" w:eastAsia="Malgun Gothic" w:cs="Malgun Gothic"/>
          <w:bCs/>
          <w:sz w:val="21"/>
          <w:szCs w:val="21"/>
          <w:lang w:val="es-MX" w:eastAsia="es-ES_tradnl"/>
        </w:rPr>
      </w:pPr>
      <w:r>
        <w:rPr>
          <w:rFonts w:ascii="Arial" w:hAnsi="Arial" w:cs="Arial"/>
          <w:bCs/>
          <w:sz w:val="21"/>
          <w:szCs w:val="21"/>
          <w:lang w:val="es-MX" w:eastAsia="es-ES_tradnl"/>
        </w:rPr>
        <w:t>«</w:t>
      </w:r>
      <w:r w:rsidRPr="00803593" w:rsidR="00835D59">
        <w:rPr>
          <w:rFonts w:ascii="Arial" w:hAnsi="Arial" w:cs="Arial"/>
          <w:bCs/>
          <w:sz w:val="21"/>
          <w:szCs w:val="21"/>
          <w:lang w:val="es-MX" w:eastAsia="es-ES_tradnl"/>
        </w:rPr>
        <w:t>4. Si los Centros Provinciales de Gestión Agroempresarial son entidades ejecutoras de un convenio interadministrativo celebrado con una entidad territorial, los bienes y suministros a ejecutar para su adquisición tendrán que realizarse a través de alguna de las modalidades de selección?</w:t>
      </w:r>
      <w:r>
        <w:rPr>
          <w:rFonts w:hint="eastAsia" w:ascii="Malgun Gothic" w:hAnsi="Malgun Gothic" w:eastAsia="Malgun Gothic" w:cs="Malgun Gothic"/>
          <w:bCs/>
          <w:sz w:val="21"/>
          <w:szCs w:val="21"/>
          <w:lang w:val="es-MX" w:eastAsia="es-ES_tradnl"/>
        </w:rPr>
        <w:t>»</w:t>
      </w:r>
    </w:p>
    <w:p w:rsidRPr="00803593" w:rsidR="00B8134D" w:rsidP="00D83194" w:rsidRDefault="00B8134D" w14:paraId="6F971DCE" w14:textId="77777777">
      <w:pPr>
        <w:spacing w:line="276" w:lineRule="auto"/>
        <w:ind w:left="709" w:right="709"/>
        <w:jc w:val="both"/>
        <w:rPr>
          <w:rFonts w:ascii="Arial" w:hAnsi="Arial" w:cs="Arial"/>
          <w:bCs/>
          <w:sz w:val="21"/>
          <w:szCs w:val="21"/>
          <w:lang w:val="es-MX" w:eastAsia="es-ES_tradnl"/>
        </w:rPr>
      </w:pPr>
    </w:p>
    <w:bookmarkEnd w:id="6"/>
    <w:p w:rsidRPr="00803593" w:rsidR="00753F38" w:rsidP="00D6161B" w:rsidRDefault="00753F38" w14:paraId="5CFD1BAE" w14:textId="77777777">
      <w:pPr>
        <w:ind w:right="709"/>
        <w:jc w:val="both"/>
        <w:rPr>
          <w:rFonts w:ascii="Arial" w:hAnsi="Arial" w:eastAsia="Calibri" w:cs="Arial"/>
          <w:bCs/>
          <w:sz w:val="22"/>
          <w:szCs w:val="22"/>
          <w:lang w:eastAsia="en-US"/>
        </w:rPr>
      </w:pPr>
    </w:p>
    <w:p w:rsidR="001A20CD" w:rsidP="001A20CD" w:rsidRDefault="00803593" w14:paraId="507DF7B4" w14:textId="04179BFA">
      <w:pPr>
        <w:spacing w:line="276" w:lineRule="auto"/>
        <w:jc w:val="both"/>
        <w:rPr>
          <w:rFonts w:ascii="Arial" w:hAnsi="Arial" w:eastAsia="Arial" w:cs="Arial"/>
          <w:bCs/>
          <w:color w:val="000000"/>
          <w:sz w:val="22"/>
          <w:szCs w:val="22"/>
          <w:lang w:eastAsia="es-ES_tradnl"/>
        </w:rPr>
      </w:pPr>
      <w:bookmarkStart w:name="_2grqrue" w:colFirst="0" w:colLast="0" w:id="7"/>
      <w:bookmarkEnd w:id="7"/>
      <w:r>
        <w:rPr>
          <w:rFonts w:ascii="Arial" w:hAnsi="Arial" w:eastAsia="Arial" w:cs="Arial"/>
          <w:bCs/>
          <w:color w:val="000000"/>
          <w:sz w:val="22"/>
          <w:szCs w:val="22"/>
          <w:lang w:eastAsia="es-ES_tradnl"/>
        </w:rPr>
        <w:lastRenderedPageBreak/>
        <w:t>Por tratarse de</w:t>
      </w:r>
      <w:r w:rsidR="00D6161B">
        <w:rPr>
          <w:rFonts w:ascii="Arial" w:hAnsi="Arial" w:eastAsia="Arial" w:cs="Arial"/>
          <w:bCs/>
          <w:color w:val="000000"/>
          <w:sz w:val="22"/>
          <w:szCs w:val="22"/>
          <w:lang w:eastAsia="es-ES_tradnl"/>
        </w:rPr>
        <w:t xml:space="preserve"> entidades estatales</w:t>
      </w:r>
      <w:r w:rsidR="001A20CD">
        <w:rPr>
          <w:rFonts w:ascii="Arial" w:hAnsi="Arial" w:eastAsia="Arial" w:cs="Arial"/>
          <w:bCs/>
          <w:color w:val="000000"/>
          <w:sz w:val="22"/>
          <w:szCs w:val="22"/>
          <w:lang w:eastAsia="es-ES_tradnl"/>
        </w:rPr>
        <w:t xml:space="preserve">, sometidas </w:t>
      </w:r>
      <w:r w:rsidRPr="001A20CD" w:rsidR="001A20CD">
        <w:rPr>
          <w:rFonts w:ascii="Arial" w:hAnsi="Arial" w:eastAsia="Arial" w:cs="Arial"/>
          <w:bCs/>
          <w:color w:val="000000"/>
          <w:sz w:val="22"/>
          <w:szCs w:val="22"/>
          <w:lang w:eastAsia="es-ES_tradnl"/>
        </w:rPr>
        <w:t>a lo previsto en el Estatuto General de Contratación de la Administración Pública, EGCAP</w:t>
      </w:r>
      <w:r w:rsidR="001A20CD">
        <w:rPr>
          <w:rFonts w:ascii="Arial" w:hAnsi="Arial" w:eastAsia="Arial" w:cs="Arial"/>
          <w:bCs/>
          <w:color w:val="000000"/>
          <w:sz w:val="22"/>
          <w:szCs w:val="22"/>
          <w:lang w:eastAsia="es-ES_tradnl"/>
        </w:rPr>
        <w:t>, todos los contratos que celebre y ejecute se regulan por lo previsto en las Leyes 80 de 1993 y 1150 de 2007</w:t>
      </w:r>
      <w:r>
        <w:rPr>
          <w:rFonts w:ascii="Arial" w:hAnsi="Arial" w:eastAsia="Arial" w:cs="Arial"/>
          <w:bCs/>
          <w:color w:val="000000"/>
          <w:sz w:val="22"/>
          <w:szCs w:val="22"/>
          <w:lang w:eastAsia="es-ES_tradnl"/>
        </w:rPr>
        <w:t>,</w:t>
      </w:r>
      <w:r w:rsidR="001A20CD">
        <w:rPr>
          <w:rFonts w:ascii="Arial" w:hAnsi="Arial" w:eastAsia="Arial" w:cs="Arial"/>
          <w:bCs/>
          <w:color w:val="000000"/>
          <w:sz w:val="22"/>
          <w:szCs w:val="22"/>
          <w:lang w:eastAsia="es-ES_tradnl"/>
        </w:rPr>
        <w:t xml:space="preserve"> </w:t>
      </w:r>
      <w:r>
        <w:rPr>
          <w:rFonts w:ascii="Arial" w:hAnsi="Arial" w:eastAsia="Arial" w:cs="Arial"/>
          <w:bCs/>
          <w:color w:val="000000"/>
          <w:sz w:val="22"/>
          <w:szCs w:val="22"/>
          <w:lang w:eastAsia="es-ES_tradnl"/>
        </w:rPr>
        <w:t>y las demás normas</w:t>
      </w:r>
      <w:r w:rsidR="001A20CD">
        <w:rPr>
          <w:rFonts w:ascii="Arial" w:hAnsi="Arial" w:eastAsia="Arial" w:cs="Arial"/>
          <w:bCs/>
          <w:color w:val="000000"/>
          <w:sz w:val="22"/>
          <w:szCs w:val="22"/>
          <w:lang w:eastAsia="es-ES_tradnl"/>
        </w:rPr>
        <w:t xml:space="preserve"> </w:t>
      </w:r>
      <w:r>
        <w:rPr>
          <w:rFonts w:ascii="Arial" w:hAnsi="Arial" w:eastAsia="Arial" w:cs="Arial"/>
          <w:bCs/>
          <w:color w:val="000000"/>
          <w:sz w:val="22"/>
          <w:szCs w:val="22"/>
          <w:lang w:eastAsia="es-ES_tradnl"/>
        </w:rPr>
        <w:t xml:space="preserve">legales </w:t>
      </w:r>
      <w:r w:rsidR="001A20CD">
        <w:rPr>
          <w:rFonts w:ascii="Arial" w:hAnsi="Arial" w:eastAsia="Arial" w:cs="Arial"/>
          <w:bCs/>
          <w:color w:val="000000"/>
          <w:sz w:val="22"/>
          <w:szCs w:val="22"/>
          <w:lang w:eastAsia="es-ES_tradnl"/>
        </w:rPr>
        <w:t>que las modifiquen, adicionen o complementen,</w:t>
      </w:r>
      <w:r>
        <w:rPr>
          <w:rFonts w:ascii="Arial" w:hAnsi="Arial" w:eastAsia="Arial" w:cs="Arial"/>
          <w:bCs/>
          <w:color w:val="000000"/>
          <w:sz w:val="22"/>
          <w:szCs w:val="22"/>
          <w:lang w:eastAsia="es-ES_tradnl"/>
        </w:rPr>
        <w:t xml:space="preserve"> así como</w:t>
      </w:r>
      <w:r w:rsidR="001A20CD">
        <w:rPr>
          <w:rFonts w:ascii="Arial" w:hAnsi="Arial" w:eastAsia="Arial" w:cs="Arial"/>
          <w:bCs/>
          <w:color w:val="000000"/>
          <w:sz w:val="22"/>
          <w:szCs w:val="22"/>
          <w:lang w:eastAsia="es-ES_tradnl"/>
        </w:rPr>
        <w:t xml:space="preserve"> por su respectiva reglamentación. </w:t>
      </w:r>
    </w:p>
    <w:p w:rsidR="001A20CD" w:rsidP="001A20CD" w:rsidRDefault="001A20CD" w14:paraId="606FC8FB" w14:textId="77777777">
      <w:pPr>
        <w:spacing w:line="276" w:lineRule="auto"/>
        <w:jc w:val="both"/>
        <w:rPr>
          <w:rFonts w:ascii="Arial" w:hAnsi="Arial" w:eastAsia="Arial" w:cs="Arial"/>
          <w:bCs/>
          <w:color w:val="000000"/>
          <w:sz w:val="22"/>
          <w:szCs w:val="22"/>
          <w:lang w:eastAsia="es-ES_tradnl"/>
        </w:rPr>
      </w:pPr>
    </w:p>
    <w:p w:rsidR="001A20CD" w:rsidP="001A20CD" w:rsidRDefault="001A20CD" w14:paraId="5FAD090F" w14:textId="77777777">
      <w:pPr>
        <w:spacing w:line="276" w:lineRule="auto"/>
        <w:jc w:val="both"/>
        <w:rPr>
          <w:rFonts w:ascii="Arial" w:hAnsi="Arial" w:eastAsia="Arial" w:cs="Arial"/>
          <w:bCs/>
          <w:color w:val="000000"/>
          <w:sz w:val="22"/>
          <w:szCs w:val="22"/>
          <w:lang w:eastAsia="es-ES_tradnl"/>
        </w:rPr>
      </w:pPr>
      <w:r>
        <w:rPr>
          <w:rFonts w:ascii="Arial" w:hAnsi="Arial" w:eastAsia="Arial" w:cs="Arial"/>
          <w:bCs/>
          <w:color w:val="000000"/>
          <w:sz w:val="22"/>
          <w:szCs w:val="22"/>
          <w:lang w:eastAsia="es-ES_tradnl"/>
        </w:rPr>
        <w:t xml:space="preserve">Por lo tanto, si actúan como entidades ejecutaras de un convenio interadministrativo la adquisición bienes o servicios requeridos para la ejecución del convenio deberá llevarse a cabo de conformidad con lo previsto en dicho Estatuto. </w:t>
      </w:r>
    </w:p>
    <w:p w:rsidR="001A20CD" w:rsidP="00460695" w:rsidRDefault="001A20CD" w14:paraId="477F785E" w14:textId="77777777">
      <w:pPr>
        <w:spacing w:line="276" w:lineRule="auto"/>
        <w:jc w:val="both"/>
        <w:rPr>
          <w:rFonts w:ascii="Arial" w:hAnsi="Arial" w:eastAsia="Arial" w:cs="Arial"/>
          <w:color w:val="000000"/>
          <w:sz w:val="22"/>
          <w:szCs w:val="22"/>
          <w:lang w:val="es-MX" w:eastAsia="es-ES_tradnl"/>
        </w:rPr>
      </w:pPr>
    </w:p>
    <w:p w:rsidRPr="00460695" w:rsidR="00460695" w:rsidP="00460695" w:rsidRDefault="00460695" w14:paraId="528921F8" w14:textId="77777777">
      <w:pPr>
        <w:spacing w:line="276" w:lineRule="auto"/>
        <w:jc w:val="both"/>
        <w:rPr>
          <w:rFonts w:ascii="Arial" w:hAnsi="Arial" w:eastAsia="Arial" w:cs="Arial"/>
          <w:color w:val="000000"/>
          <w:sz w:val="22"/>
          <w:szCs w:val="22"/>
          <w:lang w:val="es-MX" w:eastAsia="es-ES_tradnl"/>
        </w:rPr>
      </w:pPr>
      <w:r w:rsidRPr="00460695">
        <w:rPr>
          <w:rFonts w:ascii="Arial" w:hAnsi="Arial" w:eastAsia="Arial" w:cs="Arial"/>
          <w:color w:val="000000"/>
          <w:sz w:val="22"/>
          <w:szCs w:val="22"/>
          <w:lang w:val="es-MX" w:eastAsia="es-ES_tradnl"/>
        </w:rPr>
        <w:t>Este concepto tiene el alcance previsto en el artículo 28 del Código de Procedimiento Administrativo y de lo Contencioso Administrativo.</w:t>
      </w:r>
    </w:p>
    <w:p w:rsidRPr="00460695" w:rsidR="00460695" w:rsidP="00460695" w:rsidRDefault="00460695" w14:paraId="71E9147D" w14:textId="77777777">
      <w:pPr>
        <w:spacing w:line="276" w:lineRule="auto"/>
        <w:jc w:val="both"/>
        <w:rPr>
          <w:rFonts w:ascii="Arial" w:hAnsi="Arial" w:eastAsia="Arial" w:cs="Arial"/>
          <w:color w:val="000000"/>
          <w:sz w:val="22"/>
          <w:szCs w:val="22"/>
          <w:lang w:val="es-MX" w:eastAsia="es-ES_tradnl"/>
        </w:rPr>
      </w:pPr>
    </w:p>
    <w:p w:rsidRPr="00460695" w:rsidR="00460695" w:rsidP="00460695" w:rsidRDefault="00460695" w14:paraId="15C3E0BF" w14:textId="77777777">
      <w:pPr>
        <w:spacing w:line="276" w:lineRule="auto"/>
        <w:jc w:val="both"/>
        <w:rPr>
          <w:rFonts w:ascii="Arial" w:hAnsi="Arial" w:eastAsia="Arial" w:cs="Arial"/>
          <w:color w:val="000000"/>
          <w:sz w:val="22"/>
          <w:szCs w:val="22"/>
          <w:lang w:val="es-MX" w:eastAsia="es-ES_tradnl"/>
        </w:rPr>
      </w:pPr>
      <w:r w:rsidRPr="00460695">
        <w:rPr>
          <w:rFonts w:ascii="Arial" w:hAnsi="Arial" w:eastAsia="Arial" w:cs="Arial"/>
          <w:color w:val="000000"/>
          <w:sz w:val="22"/>
          <w:szCs w:val="22"/>
          <w:lang w:val="es-MX" w:eastAsia="es-ES_tradnl"/>
        </w:rPr>
        <w:t>Atentamente,</w:t>
      </w:r>
    </w:p>
    <w:p w:rsidR="0015100A" w:rsidP="006C16B7" w:rsidRDefault="0015100A" w14:paraId="2AB97B06" w14:textId="4B841207">
      <w:pPr>
        <w:spacing w:line="276" w:lineRule="auto"/>
        <w:jc w:val="center"/>
        <w:rPr>
          <w:rFonts w:ascii="Arial" w:hAnsi="Arial" w:cs="Arial"/>
          <w:sz w:val="22"/>
          <w:szCs w:val="22"/>
          <w:lang w:eastAsia="es-ES_tradnl"/>
        </w:rPr>
      </w:pPr>
    </w:p>
    <w:p w:rsidR="00E306C6" w:rsidP="006C16B7" w:rsidRDefault="00E306C6" w14:paraId="24B475A1" w14:textId="2523EBB6">
      <w:pPr>
        <w:spacing w:line="276" w:lineRule="auto"/>
        <w:jc w:val="center"/>
        <w:rPr>
          <w:rFonts w:ascii="Arial" w:hAnsi="Arial" w:cs="Arial"/>
          <w:sz w:val="22"/>
          <w:szCs w:val="22"/>
          <w:lang w:eastAsia="es-ES_tradnl"/>
        </w:rPr>
      </w:pPr>
    </w:p>
    <w:p w:rsidRPr="00717176" w:rsidR="00E306C6" w:rsidP="006C16B7" w:rsidRDefault="00E306C6" w14:paraId="6E166088" w14:textId="6B82432E">
      <w:pPr>
        <w:spacing w:line="276" w:lineRule="auto"/>
        <w:jc w:val="center"/>
        <w:rPr>
          <w:rFonts w:ascii="Arial" w:hAnsi="Arial" w:cs="Arial"/>
          <w:sz w:val="22"/>
          <w:szCs w:val="22"/>
          <w:lang w:eastAsia="es-ES_tradnl"/>
        </w:rPr>
      </w:pPr>
      <w:r>
        <w:rPr>
          <w:noProof/>
          <w:lang w:val="es-ES"/>
        </w:rPr>
        <w:drawing>
          <wp:inline distT="0" distB="0" distL="0" distR="0" wp14:anchorId="7F582CA0" wp14:editId="1F7BBFF7">
            <wp:extent cx="2464261" cy="9626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1897" cy="969550"/>
                    </a:xfrm>
                    <a:prstGeom prst="rect">
                      <a:avLst/>
                    </a:prstGeom>
                    <a:noFill/>
                    <a:ln>
                      <a:noFill/>
                    </a:ln>
                  </pic:spPr>
                </pic:pic>
              </a:graphicData>
            </a:graphic>
          </wp:inline>
        </w:drawing>
      </w:r>
    </w:p>
    <w:p w:rsidRPr="00717176" w:rsidR="00457483" w:rsidP="00550397" w:rsidRDefault="00457483" w14:paraId="3E76BAB0" w14:textId="77777777">
      <w:pPr>
        <w:spacing w:line="276" w:lineRule="auto"/>
        <w:jc w:val="center"/>
        <w:rPr>
          <w:rFonts w:ascii="Arial" w:hAnsi="Arial" w:cs="Arial"/>
          <w:sz w:val="22"/>
          <w:szCs w:val="22"/>
          <w:lang w:eastAsia="es-ES_tradnl"/>
        </w:rPr>
      </w:pPr>
    </w:p>
    <w:tbl>
      <w:tblPr>
        <w:tblStyle w:val="Tablaconcuadrcula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717"/>
      </w:tblGrid>
      <w:tr w:rsidRPr="004F507C" w:rsidR="00C06297" w:rsidTr="00177317" w14:paraId="116D3F91" w14:textId="77777777">
        <w:trPr>
          <w:trHeight w:val="315"/>
        </w:trPr>
        <w:tc>
          <w:tcPr>
            <w:tcW w:w="812" w:type="dxa"/>
            <w:vAlign w:val="center"/>
            <w:hideMark/>
          </w:tcPr>
          <w:p w:rsidRPr="00177317" w:rsidR="00C06297" w:rsidP="00377FAF" w:rsidRDefault="00C06297" w14:paraId="76BB6601" w14:textId="77777777">
            <w:pPr>
              <w:jc w:val="both"/>
              <w:rPr>
                <w:rFonts w:ascii="Arial" w:hAnsi="Arial" w:cs="Arial"/>
                <w:sz w:val="16"/>
                <w:szCs w:val="16"/>
                <w:lang w:eastAsia="es-ES"/>
              </w:rPr>
            </w:pPr>
            <w:r w:rsidRPr="00177317">
              <w:rPr>
                <w:rFonts w:ascii="Arial" w:hAnsi="Arial" w:cs="Arial"/>
                <w:sz w:val="16"/>
                <w:szCs w:val="16"/>
                <w:lang w:eastAsia="es-ES"/>
              </w:rPr>
              <w:t>Elaboró:</w:t>
            </w:r>
          </w:p>
        </w:tc>
        <w:tc>
          <w:tcPr>
            <w:tcW w:w="4717" w:type="dxa"/>
            <w:tcBorders>
              <w:top w:val="nil"/>
              <w:left w:val="nil"/>
              <w:bottom w:val="dotted" w:color="7F7F7F" w:themeColor="text1" w:themeTint="80" w:sz="4" w:space="0"/>
              <w:right w:val="nil"/>
            </w:tcBorders>
            <w:vAlign w:val="center"/>
            <w:hideMark/>
          </w:tcPr>
          <w:p w:rsidRPr="00177317" w:rsidR="00C06297" w:rsidP="00377FAF" w:rsidRDefault="00C06297" w14:paraId="0E453CD0" w14:textId="77777777">
            <w:pPr>
              <w:rPr>
                <w:rFonts w:ascii="Arial" w:hAnsi="Arial" w:cs="Arial"/>
                <w:sz w:val="16"/>
                <w:szCs w:val="16"/>
                <w:lang w:eastAsia="es-ES"/>
              </w:rPr>
            </w:pPr>
            <w:r w:rsidRPr="00177317">
              <w:rPr>
                <w:rFonts w:ascii="Arial" w:hAnsi="Arial" w:cs="Arial"/>
                <w:sz w:val="16"/>
                <w:szCs w:val="16"/>
                <w:lang w:eastAsia="es-ES"/>
              </w:rPr>
              <w:t>Álvaro Namén Vargas</w:t>
            </w:r>
          </w:p>
          <w:p w:rsidRPr="00177317" w:rsidR="00C06297" w:rsidP="00377FAF" w:rsidRDefault="00C06297" w14:paraId="113AA233" w14:textId="77777777">
            <w:pPr>
              <w:jc w:val="both"/>
              <w:rPr>
                <w:rFonts w:ascii="Arial" w:hAnsi="Arial" w:cs="Arial"/>
                <w:sz w:val="16"/>
                <w:szCs w:val="16"/>
                <w:lang w:eastAsia="es-ES"/>
              </w:rPr>
            </w:pPr>
            <w:r w:rsidRPr="00177317">
              <w:rPr>
                <w:rFonts w:ascii="Arial" w:hAnsi="Arial" w:cs="Arial"/>
                <w:sz w:val="16"/>
                <w:szCs w:val="16"/>
                <w:lang w:eastAsia="es-ES"/>
              </w:rPr>
              <w:t xml:space="preserve">Contratista de la Subdirección de Gestión Contractual  </w:t>
            </w:r>
          </w:p>
        </w:tc>
      </w:tr>
      <w:tr w:rsidRPr="004F507C" w:rsidR="00C06297" w:rsidTr="00177317" w14:paraId="51F0CE60" w14:textId="77777777">
        <w:trPr>
          <w:trHeight w:val="330"/>
        </w:trPr>
        <w:tc>
          <w:tcPr>
            <w:tcW w:w="812" w:type="dxa"/>
            <w:vAlign w:val="center"/>
            <w:hideMark/>
          </w:tcPr>
          <w:p w:rsidRPr="00177317" w:rsidR="00C06297" w:rsidP="00377FAF" w:rsidRDefault="00C06297" w14:paraId="272C6AA1" w14:textId="77777777">
            <w:pPr>
              <w:jc w:val="both"/>
              <w:rPr>
                <w:rFonts w:ascii="Arial" w:hAnsi="Arial" w:cs="Arial"/>
                <w:sz w:val="16"/>
                <w:szCs w:val="16"/>
                <w:lang w:eastAsia="es-ES"/>
              </w:rPr>
            </w:pPr>
            <w:r w:rsidRPr="00177317">
              <w:rPr>
                <w:rFonts w:ascii="Arial" w:hAnsi="Arial" w:cs="Arial"/>
                <w:sz w:val="16"/>
                <w:szCs w:val="16"/>
                <w:lang w:eastAsia="es-ES"/>
              </w:rPr>
              <w:t>Revisó:</w:t>
            </w:r>
          </w:p>
        </w:tc>
        <w:tc>
          <w:tcPr>
            <w:tcW w:w="4717" w:type="dxa"/>
            <w:tcBorders>
              <w:top w:val="dotted" w:color="7F7F7F" w:themeColor="text1" w:themeTint="80" w:sz="4" w:space="0"/>
              <w:left w:val="nil"/>
              <w:bottom w:val="dotted" w:color="7F7F7F" w:themeColor="text1" w:themeTint="80" w:sz="4" w:space="0"/>
              <w:right w:val="nil"/>
            </w:tcBorders>
            <w:vAlign w:val="center"/>
            <w:hideMark/>
          </w:tcPr>
          <w:p w:rsidRPr="00177317" w:rsidR="00C06297" w:rsidP="00377FAF" w:rsidRDefault="00B356B5" w14:paraId="6E036ADE" w14:textId="597AA0AA">
            <w:pPr>
              <w:jc w:val="both"/>
              <w:rPr>
                <w:rFonts w:ascii="Arial" w:hAnsi="Arial" w:cs="Arial"/>
                <w:sz w:val="16"/>
                <w:szCs w:val="16"/>
                <w:lang w:eastAsia="es-ES"/>
              </w:rPr>
            </w:pPr>
            <w:r>
              <w:rPr>
                <w:rFonts w:ascii="Arial" w:hAnsi="Arial" w:cs="Arial"/>
                <w:sz w:val="16"/>
                <w:szCs w:val="16"/>
                <w:lang w:eastAsia="es-ES"/>
              </w:rPr>
              <w:t>Any Alejandra Tovar Castillo</w:t>
            </w:r>
          </w:p>
          <w:p w:rsidRPr="00177317" w:rsidR="00C06297" w:rsidP="00377FAF" w:rsidRDefault="00B356B5" w14:paraId="1427B253" w14:textId="6A6DF736">
            <w:pPr>
              <w:jc w:val="both"/>
              <w:rPr>
                <w:rFonts w:ascii="Arial" w:hAnsi="Arial" w:cs="Arial"/>
                <w:sz w:val="16"/>
                <w:szCs w:val="16"/>
                <w:lang w:eastAsia="es-ES"/>
              </w:rPr>
            </w:pPr>
            <w:r>
              <w:rPr>
                <w:rFonts w:ascii="Arial" w:hAnsi="Arial" w:cs="Arial"/>
                <w:sz w:val="16"/>
                <w:szCs w:val="16"/>
                <w:lang w:eastAsia="es-ES"/>
              </w:rPr>
              <w:t xml:space="preserve">Contratista </w:t>
            </w:r>
            <w:r w:rsidRPr="00177317" w:rsidR="00C06297">
              <w:rPr>
                <w:rFonts w:ascii="Arial" w:hAnsi="Arial" w:cs="Arial"/>
                <w:sz w:val="16"/>
                <w:szCs w:val="16"/>
                <w:lang w:eastAsia="es-ES"/>
              </w:rPr>
              <w:t>de la Subdirección de Gestión Contractual</w:t>
            </w:r>
          </w:p>
        </w:tc>
      </w:tr>
      <w:tr w:rsidRPr="004F507C" w:rsidR="00C06297" w:rsidTr="00177317" w14:paraId="47905FD4" w14:textId="77777777">
        <w:trPr>
          <w:trHeight w:val="300"/>
        </w:trPr>
        <w:tc>
          <w:tcPr>
            <w:tcW w:w="812" w:type="dxa"/>
            <w:vAlign w:val="center"/>
            <w:hideMark/>
          </w:tcPr>
          <w:p w:rsidRPr="00177317" w:rsidR="00C06297" w:rsidP="00377FAF" w:rsidRDefault="00C06297" w14:paraId="1E2A29DF" w14:textId="77777777">
            <w:pPr>
              <w:jc w:val="both"/>
              <w:rPr>
                <w:rFonts w:ascii="Arial" w:hAnsi="Arial" w:cs="Arial"/>
                <w:sz w:val="16"/>
                <w:szCs w:val="16"/>
                <w:lang w:eastAsia="es-ES"/>
              </w:rPr>
            </w:pPr>
            <w:r w:rsidRPr="00177317">
              <w:rPr>
                <w:rFonts w:ascii="Arial" w:hAnsi="Arial" w:cs="Arial"/>
                <w:sz w:val="16"/>
                <w:szCs w:val="16"/>
                <w:lang w:eastAsia="es-ES"/>
              </w:rPr>
              <w:t>Aprobó:</w:t>
            </w:r>
          </w:p>
        </w:tc>
        <w:tc>
          <w:tcPr>
            <w:tcW w:w="4717" w:type="dxa"/>
            <w:tcBorders>
              <w:top w:val="dotted" w:color="7F7F7F" w:themeColor="text1" w:themeTint="80" w:sz="4" w:space="0"/>
              <w:left w:val="nil"/>
              <w:bottom w:val="dotted" w:color="7F7F7F" w:themeColor="text1" w:themeTint="80" w:sz="4" w:space="0"/>
              <w:right w:val="nil"/>
            </w:tcBorders>
            <w:vAlign w:val="center"/>
            <w:hideMark/>
          </w:tcPr>
          <w:p w:rsidRPr="00177317" w:rsidR="00C06297" w:rsidP="00377FAF" w:rsidRDefault="00C06297" w14:paraId="52950031" w14:textId="77777777">
            <w:pPr>
              <w:jc w:val="both"/>
              <w:rPr>
                <w:rFonts w:ascii="Arial" w:hAnsi="Arial" w:cs="Arial"/>
                <w:sz w:val="16"/>
                <w:szCs w:val="16"/>
                <w:lang w:eastAsia="es-ES"/>
              </w:rPr>
            </w:pPr>
            <w:r w:rsidRPr="00177317">
              <w:rPr>
                <w:rFonts w:ascii="Arial" w:hAnsi="Arial" w:cs="Arial"/>
                <w:sz w:val="16"/>
                <w:szCs w:val="16"/>
                <w:lang w:eastAsia="es-ES"/>
              </w:rPr>
              <w:t>Juan David Marín López</w:t>
            </w:r>
          </w:p>
          <w:p w:rsidRPr="00177317" w:rsidR="00C06297" w:rsidP="00377FAF" w:rsidRDefault="00C06297" w14:paraId="393529C6" w14:textId="77777777">
            <w:pPr>
              <w:jc w:val="both"/>
              <w:rPr>
                <w:rFonts w:ascii="Arial" w:hAnsi="Arial" w:cs="Arial"/>
                <w:sz w:val="16"/>
                <w:szCs w:val="16"/>
                <w:lang w:eastAsia="es-ES"/>
              </w:rPr>
            </w:pPr>
            <w:r w:rsidRPr="00177317">
              <w:rPr>
                <w:rFonts w:ascii="Arial" w:hAnsi="Arial" w:cs="Arial"/>
                <w:sz w:val="16"/>
                <w:szCs w:val="16"/>
                <w:lang w:eastAsia="es-ES"/>
              </w:rPr>
              <w:t>Subdirector de Gestión Contractual (E)</w:t>
            </w:r>
          </w:p>
        </w:tc>
      </w:tr>
    </w:tbl>
    <w:p w:rsidR="00560087" w:rsidP="00550397" w:rsidRDefault="00560087" w14:paraId="49D4532E" w14:textId="7187FB04">
      <w:pPr>
        <w:spacing w:after="120" w:line="276" w:lineRule="auto"/>
        <w:jc w:val="both"/>
      </w:pPr>
    </w:p>
    <w:sectPr w:rsidR="00560087" w:rsidSect="00D81E5B">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663C" w:rsidP="003C7067" w:rsidRDefault="00DB663C" w14:paraId="508E8F5D" w14:textId="77777777">
      <w:r>
        <w:separator/>
      </w:r>
    </w:p>
  </w:endnote>
  <w:endnote w:type="continuationSeparator" w:id="0">
    <w:p w:rsidR="00DB663C" w:rsidP="003C7067" w:rsidRDefault="00DB663C" w14:paraId="1EF7AF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manist Bold">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Light">
    <w:altName w:val="Calibri"/>
    <w:panose1 w:val="020B06040202020202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D2CDB" w:rsidP="00D81E5B" w:rsidRDefault="006D2CDB" w14:paraId="262BF19D" w14:textId="77777777">
    <w:pPr>
      <w:pStyle w:val="Sinespaciado"/>
      <w:jc w:val="right"/>
      <w:rPr>
        <w:rFonts w:ascii="Arial" w:hAnsi="Arial" w:cs="Arial"/>
        <w:sz w:val="18"/>
        <w:szCs w:val="18"/>
      </w:rPr>
    </w:pPr>
  </w:p>
  <w:p w:rsidR="006D2CDB" w:rsidP="00FF547A" w:rsidRDefault="006D2CDB" w14:paraId="14B5D1D1" w14:textId="77777777">
    <w:pPr>
      <w:pStyle w:val="Piedepgina"/>
    </w:pPr>
    <w:r>
      <w:rPr>
        <w:noProof/>
        <w:lang w:val="es-CO" w:eastAsia="es-CO"/>
      </w:rPr>
      <w:drawing>
        <wp:inline distT="0" distB="0" distL="0" distR="0" wp14:anchorId="6A306E23" wp14:editId="5EFE2315">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8"/>
      <w:gridCol w:w="678"/>
      <w:gridCol w:w="844"/>
      <w:gridCol w:w="1784"/>
      <w:gridCol w:w="720"/>
      <w:gridCol w:w="2818"/>
      <w:gridCol w:w="1527"/>
    </w:tblGrid>
    <w:tr w:rsidRPr="00080DA3" w:rsidR="006D2CDB" w:rsidTr="00460695" w14:paraId="27B94BCF" w14:textId="77777777">
      <w:trPr>
        <w:trHeight w:val="198"/>
        <w:jc w:val="center"/>
      </w:trPr>
      <w:tc>
        <w:tcPr>
          <w:tcW w:w="838" w:type="dxa"/>
          <w:tcBorders>
            <w:top w:val="dotted" w:color="808080" w:sz="4" w:space="0"/>
            <w:left w:val="dotted" w:color="808080" w:sz="4" w:space="0"/>
            <w:bottom w:val="dotted" w:color="808080" w:sz="4" w:space="0"/>
          </w:tcBorders>
          <w:shd w:val="clear" w:color="auto" w:fill="auto"/>
        </w:tcPr>
        <w:p w:rsidRPr="00080DA3" w:rsidR="006D2CDB" w:rsidP="00FF547A" w:rsidRDefault="006D2CDB" w14:paraId="1E3EFA1F" w14:textId="7777777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color="808080" w:sz="4" w:space="0"/>
            <w:bottom w:val="dotted" w:color="808080" w:sz="4" w:space="0"/>
            <w:right w:val="dotted" w:color="808080" w:sz="4" w:space="0"/>
          </w:tcBorders>
          <w:shd w:val="clear" w:color="auto" w:fill="auto"/>
        </w:tcPr>
        <w:p w:rsidRPr="00080DA3" w:rsidR="006D2CDB" w:rsidP="00FF547A" w:rsidRDefault="006D2CDB" w14:paraId="710E3DC4" w14:textId="7777777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color="808080" w:sz="4" w:space="0"/>
            <w:left w:val="dotted" w:color="808080" w:sz="4" w:space="0"/>
            <w:bottom w:val="dotted" w:color="808080" w:sz="4" w:space="0"/>
          </w:tcBorders>
          <w:shd w:val="clear" w:color="auto" w:fill="auto"/>
        </w:tcPr>
        <w:p w:rsidRPr="00080DA3" w:rsidR="006D2CDB" w:rsidP="00FF547A" w:rsidRDefault="006D2CDB" w14:paraId="4A64857C" w14:textId="7777777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color="808080" w:sz="4" w:space="0"/>
            <w:bottom w:val="dotted" w:color="808080" w:sz="4" w:space="0"/>
            <w:right w:val="dotted" w:color="808080" w:sz="4" w:space="0"/>
          </w:tcBorders>
          <w:shd w:val="clear" w:color="auto" w:fill="auto"/>
          <w:vAlign w:val="center"/>
        </w:tcPr>
        <w:p w:rsidRPr="004B6B0E" w:rsidR="006D2CDB" w:rsidP="00FF547A" w:rsidRDefault="006D2CDB" w14:paraId="0D61B480" w14:textId="77777777">
          <w:pPr>
            <w:pBdr>
              <w:top w:val="nil"/>
              <w:left w:val="nil"/>
              <w:bottom w:val="nil"/>
              <w:right w:val="nil"/>
              <w:between w:val="nil"/>
            </w:pBdr>
            <w:tabs>
              <w:tab w:val="center" w:pos="4419"/>
              <w:tab w:val="right" w:pos="8838"/>
              <w:tab w:val="center" w:pos="5400"/>
            </w:tabs>
            <w:jc w:val="center"/>
            <w:rPr>
              <w:rFonts w:ascii="Geomanist Bold" w:hAnsi="Geomanist Bold" w:eastAsia="Geo" w:cs="Geo"/>
              <w:b/>
              <w:color w:val="002060"/>
              <w:lang w:eastAsia="es-CO"/>
            </w:rPr>
          </w:pP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08</w:t>
          </w:r>
        </w:p>
      </w:tc>
      <w:tc>
        <w:tcPr>
          <w:tcW w:w="720" w:type="dxa"/>
          <w:tcBorders>
            <w:top w:val="dotted" w:color="808080" w:sz="4" w:space="0"/>
            <w:left w:val="dotted" w:color="808080" w:sz="4" w:space="0"/>
            <w:bottom w:val="dotted" w:color="808080" w:sz="4" w:space="0"/>
          </w:tcBorders>
          <w:shd w:val="clear" w:color="auto" w:fill="auto"/>
        </w:tcPr>
        <w:p w:rsidRPr="00080DA3" w:rsidR="006D2CDB" w:rsidP="00FF547A" w:rsidRDefault="006D2CDB" w14:paraId="78564CCB" w14:textId="7777777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color="808080" w:sz="4" w:space="0"/>
            <w:bottom w:val="dotted" w:color="808080" w:sz="4" w:space="0"/>
            <w:right w:val="dotted" w:color="808080" w:sz="4" w:space="0"/>
          </w:tcBorders>
          <w:shd w:val="clear" w:color="auto" w:fill="auto"/>
        </w:tcPr>
        <w:p w:rsidRPr="00080DA3" w:rsidR="006D2CDB" w:rsidP="00FF547A" w:rsidRDefault="006D2CDB" w14:paraId="21CCEDBA" w14:textId="77777777">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color="808080" w:sz="4" w:space="0"/>
            <w:left w:val="dotted" w:color="808080" w:sz="4" w:space="0"/>
            <w:bottom w:val="dotted" w:color="808080" w:sz="4" w:space="0"/>
            <w:right w:val="dotted" w:color="808080" w:sz="4" w:space="0"/>
          </w:tcBorders>
          <w:shd w:val="clear" w:color="auto" w:fill="auto"/>
        </w:tcPr>
        <w:p w:rsidRPr="00080DA3" w:rsidR="006D2CDB" w:rsidP="00FF547A" w:rsidRDefault="006D2CDB" w14:paraId="4DC8B44A" w14:textId="7777777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51453D">
            <w:rPr>
              <w:rFonts w:ascii="Geomanist Light" w:hAnsi="Geomanist Light"/>
              <w:b/>
              <w:bCs/>
              <w:noProof/>
              <w:sz w:val="18"/>
              <w:szCs w:val="18"/>
            </w:rPr>
            <w:t>6</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51453D">
            <w:rPr>
              <w:rFonts w:ascii="Geomanist Light" w:hAnsi="Geomanist Light"/>
              <w:b/>
              <w:bCs/>
              <w:noProof/>
              <w:sz w:val="18"/>
              <w:szCs w:val="18"/>
            </w:rPr>
            <w:t>20</w:t>
          </w:r>
          <w:r w:rsidRPr="00080DA3">
            <w:rPr>
              <w:rFonts w:ascii="Geomanist Light" w:hAnsi="Geomanist Light"/>
              <w:b/>
              <w:bCs/>
              <w:sz w:val="18"/>
              <w:szCs w:val="18"/>
            </w:rPr>
            <w:fldChar w:fldCharType="end"/>
          </w:r>
        </w:p>
      </w:tc>
    </w:tr>
  </w:tbl>
  <w:p w:rsidR="006D2CDB" w:rsidP="00FF547A" w:rsidRDefault="006D2CDB" w14:paraId="0A9DFE46" w14:textId="77777777">
    <w:pPr>
      <w:pStyle w:val="Piedepgina"/>
      <w:jc w:val="center"/>
    </w:pPr>
  </w:p>
  <w:p w:rsidRPr="00E756AC" w:rsidR="006D2CDB" w:rsidP="00FF547A" w:rsidRDefault="006D2CDB" w14:paraId="1CBE747A" w14:textId="77777777">
    <w:pPr>
      <w:pStyle w:val="Sinespaciado"/>
      <w:jc w:val="right"/>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663C" w:rsidP="003C7067" w:rsidRDefault="00DB663C" w14:paraId="6419CC7F" w14:textId="77777777">
      <w:r>
        <w:separator/>
      </w:r>
    </w:p>
  </w:footnote>
  <w:footnote w:type="continuationSeparator" w:id="0">
    <w:p w:rsidR="00DB663C" w:rsidP="003C7067" w:rsidRDefault="00DB663C" w14:paraId="0E3D159E" w14:textId="77777777">
      <w:r>
        <w:continuationSeparator/>
      </w:r>
    </w:p>
  </w:footnote>
  <w:footnote w:id="1">
    <w:p w:rsidRPr="00872CCC" w:rsidR="006D2CDB" w:rsidP="00D31439" w:rsidRDefault="006D2CDB" w14:paraId="1691B111" w14:textId="77777777">
      <w:pPr>
        <w:pStyle w:val="Textonotapie"/>
        <w:ind w:firstLine="708"/>
        <w:jc w:val="both"/>
        <w:rPr>
          <w:rFonts w:ascii="Arial" w:hAnsi="Arial" w:cs="Arial"/>
          <w:sz w:val="19"/>
          <w:szCs w:val="19"/>
          <w:lang w:val="es-ES"/>
        </w:rPr>
      </w:pPr>
      <w:r w:rsidRPr="00872CCC">
        <w:rPr>
          <w:rStyle w:val="Refdenotaalpie"/>
          <w:rFonts w:ascii="Arial" w:hAnsi="Arial" w:cs="Arial"/>
          <w:sz w:val="19"/>
          <w:szCs w:val="19"/>
        </w:rPr>
        <w:footnoteRef/>
      </w:r>
      <w:r w:rsidRPr="00872CCC">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872CCC">
        <w:rPr>
          <w:rFonts w:ascii="Arial" w:hAnsi="Arial" w:cs="Arial"/>
          <w:i/>
          <w:iCs/>
          <w:sz w:val="19"/>
          <w:szCs w:val="19"/>
        </w:rPr>
        <w:t xml:space="preserve">ibídem </w:t>
      </w:r>
      <w:r w:rsidRPr="00872CCC">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ibídem señala que es función de la Subdirección de Gestión Contractual: «[a]bsolver consultas sobre la aplicación de normas de carácter general».</w:t>
      </w:r>
    </w:p>
  </w:footnote>
  <w:footnote w:id="2">
    <w:p w:rsidRPr="00872CCC" w:rsidR="006D2CDB" w:rsidP="00D31439" w:rsidRDefault="006D2CDB" w14:paraId="6E429D0F" w14:textId="23215E06">
      <w:pPr>
        <w:pBdr>
          <w:top w:val="nil"/>
          <w:left w:val="nil"/>
          <w:bottom w:val="nil"/>
          <w:right w:val="nil"/>
          <w:between w:val="nil"/>
        </w:pBdr>
        <w:ind w:firstLine="709"/>
        <w:jc w:val="both"/>
        <w:rPr>
          <w:rFonts w:ascii="Arial" w:hAnsi="Arial" w:eastAsia="Arial" w:cs="Arial"/>
          <w:color w:val="000000"/>
          <w:sz w:val="19"/>
          <w:szCs w:val="19"/>
        </w:rPr>
      </w:pPr>
      <w:r w:rsidRPr="00872CCC">
        <w:rPr>
          <w:rFonts w:ascii="Arial" w:hAnsi="Arial" w:cs="Arial"/>
          <w:sz w:val="19"/>
          <w:szCs w:val="19"/>
          <w:vertAlign w:val="superscript"/>
        </w:rPr>
        <w:footnoteRef/>
      </w:r>
      <w:r w:rsidRPr="00872CCC">
        <w:rPr>
          <w:rFonts w:ascii="Arial" w:hAnsi="Arial" w:eastAsia="Arial" w:cs="Arial"/>
          <w:color w:val="000000"/>
          <w:sz w:val="19"/>
          <w:szCs w:val="19"/>
        </w:rPr>
        <w:t xml:space="preserve"> Seguidamente, el numeral 8º del artículo 11 Decreto Ley 4170 de 2011 señala que es función de la Subdirección de Gestión Contractual: «[a]</w:t>
      </w:r>
      <w:proofErr w:type="spellStart"/>
      <w:r w:rsidRPr="00872CCC">
        <w:rPr>
          <w:rFonts w:ascii="Arial" w:hAnsi="Arial" w:eastAsia="Arial" w:cs="Arial"/>
          <w:color w:val="000000"/>
          <w:sz w:val="19"/>
          <w:szCs w:val="19"/>
        </w:rPr>
        <w:t>bsolver</w:t>
      </w:r>
      <w:proofErr w:type="spellEnd"/>
      <w:r w:rsidRPr="00872CCC">
        <w:rPr>
          <w:rFonts w:ascii="Arial" w:hAnsi="Arial" w:eastAsia="Arial" w:cs="Arial"/>
          <w:color w:val="000000"/>
          <w:sz w:val="19"/>
          <w:szCs w:val="19"/>
        </w:rPr>
        <w:t xml:space="preserve"> consultas sobre la aplicación de normas de carácter general». Es necesario tener en cuenta que esta entidad solo tiene competencia para responder solicitudes sobre la aplicación de normas de carácter general en materia de compras y contratación pública.</w:t>
      </w:r>
    </w:p>
  </w:footnote>
  <w:footnote w:id="3">
    <w:p w:rsidRPr="00872CCC" w:rsidR="006D2CDB" w:rsidP="007A011C" w:rsidRDefault="006D2CDB" w14:paraId="7FF9C621" w14:textId="1C4835C0">
      <w:pPr>
        <w:ind w:left="300" w:right="305" w:firstLine="707"/>
        <w:jc w:val="both"/>
        <w:rPr>
          <w:rFonts w:ascii="Arial" w:hAnsi="Arial" w:cs="Arial"/>
          <w:sz w:val="19"/>
          <w:szCs w:val="19"/>
        </w:rPr>
      </w:pPr>
      <w:r w:rsidRPr="00872CCC">
        <w:rPr>
          <w:rStyle w:val="Refdenotaalpie"/>
          <w:rFonts w:ascii="Arial" w:hAnsi="Arial" w:cs="Arial"/>
          <w:sz w:val="19"/>
          <w:szCs w:val="19"/>
        </w:rPr>
        <w:footnoteRef/>
      </w:r>
      <w:r w:rsidRPr="00872CCC">
        <w:rPr>
          <w:rFonts w:ascii="Arial" w:hAnsi="Arial" w:cs="Arial"/>
          <w:sz w:val="19"/>
          <w:szCs w:val="19"/>
        </w:rPr>
        <w:t xml:space="preserve"> Decreto 1071 de 2015: </w:t>
      </w:r>
      <w:r w:rsidRPr="00250107" w:rsidR="00250107">
        <w:rPr>
          <w:rFonts w:ascii="Arial" w:hAnsi="Arial" w:cs="Arial"/>
          <w:sz w:val="19"/>
          <w:szCs w:val="19"/>
        </w:rPr>
        <w:t>«</w:t>
      </w:r>
      <w:r w:rsidRPr="00872CCC">
        <w:rPr>
          <w:rFonts w:ascii="Arial" w:hAnsi="Arial" w:cs="Arial"/>
          <w:sz w:val="19"/>
          <w:szCs w:val="19"/>
        </w:rPr>
        <w:t>Artículo 2.4.3.1.1. Objeto. Los municipios podrán asociarse para el cumplimiento de la prestación del servicio obligatorio de asistencia técnica directa rural, fortaleciendo los encadenamientos productivos con enfoque agroempresarial mediante la creación de Centros Provinciales de Gestión Agroempresarial, en adelante CPGA</w:t>
      </w:r>
      <w:r w:rsidRPr="00250107" w:rsidR="00250107">
        <w:rPr>
          <w:rFonts w:ascii="Arial" w:hAnsi="Arial" w:cs="Arial"/>
          <w:sz w:val="19"/>
          <w:szCs w:val="19"/>
        </w:rPr>
        <w:t>»</w:t>
      </w:r>
      <w:r w:rsidRPr="00872CCC">
        <w:rPr>
          <w:rFonts w:ascii="Arial" w:hAnsi="Arial" w:cs="Arial"/>
          <w:sz w:val="19"/>
          <w:szCs w:val="19"/>
        </w:rPr>
        <w:t>.</w:t>
      </w:r>
    </w:p>
    <w:p w:rsidRPr="00872CCC" w:rsidR="006D2CDB" w:rsidP="007A011C" w:rsidRDefault="006D2CDB" w14:paraId="2C32E25D" w14:textId="77777777">
      <w:pPr>
        <w:pStyle w:val="Textonotapie"/>
        <w:rPr>
          <w:rFonts w:ascii="Arial" w:hAnsi="Arial" w:cs="Arial"/>
          <w:sz w:val="19"/>
          <w:szCs w:val="19"/>
        </w:rPr>
      </w:pPr>
    </w:p>
  </w:footnote>
  <w:footnote w:id="4">
    <w:p w:rsidRPr="00872CCC" w:rsidR="006D2CDB" w:rsidP="007A011C" w:rsidRDefault="006D2CDB" w14:paraId="3722E5B9" w14:textId="0B528282">
      <w:pPr>
        <w:ind w:left="300" w:right="308" w:firstLine="707"/>
        <w:jc w:val="both"/>
        <w:rPr>
          <w:rFonts w:ascii="Arial" w:hAnsi="Arial" w:cs="Arial"/>
          <w:sz w:val="19"/>
          <w:szCs w:val="19"/>
        </w:rPr>
      </w:pPr>
      <w:r w:rsidRPr="00872CCC">
        <w:rPr>
          <w:rStyle w:val="Refdenotaalpie"/>
          <w:rFonts w:ascii="Arial" w:hAnsi="Arial" w:cs="Arial"/>
          <w:sz w:val="19"/>
          <w:szCs w:val="19"/>
        </w:rPr>
        <w:footnoteRef/>
      </w:r>
      <w:r w:rsidRPr="00872CCC">
        <w:rPr>
          <w:rFonts w:ascii="Arial" w:hAnsi="Arial" w:cs="Arial"/>
          <w:sz w:val="19"/>
          <w:szCs w:val="19"/>
        </w:rPr>
        <w:t xml:space="preserve"> Ley 1876 de 2017: </w:t>
      </w:r>
      <w:r w:rsidRPr="00250107" w:rsidR="00250107">
        <w:rPr>
          <w:rFonts w:ascii="Arial" w:hAnsi="Arial" w:cs="Arial"/>
          <w:sz w:val="19"/>
          <w:szCs w:val="19"/>
        </w:rPr>
        <w:t>«</w:t>
      </w:r>
      <w:r w:rsidRPr="00872CCC">
        <w:rPr>
          <w:rFonts w:ascii="Arial" w:hAnsi="Arial" w:cs="Arial"/>
          <w:sz w:val="19"/>
          <w:szCs w:val="19"/>
        </w:rPr>
        <w:t>Artículo 40. Centros Provinciales de Gestión Agroempresarial (CPGA). Los municipios podrán asociarse o autorizar la asociación de las Umata, como respuesta a las demandas identificadas por provincia, cuenca, subregión o cualquier otro tipo de organización territorial dentro de un departamento, e incluso en relación con otros departamentos; dicha asociación se podrá dar para la participación en la planeación y/o prestación del servicio de extensión agropecuaria, acompañamiento a productores, ejecución de proyectos agropecuarios, articulación institucional, apoyo logístico del sector, levantamiento de información y demás actividades que promuevan el desarrollo agropecuario y rural</w:t>
      </w:r>
      <w:r w:rsidRPr="00250107" w:rsidR="00250107">
        <w:rPr>
          <w:rFonts w:ascii="Arial" w:hAnsi="Arial" w:cs="Arial"/>
          <w:sz w:val="19"/>
          <w:szCs w:val="19"/>
        </w:rPr>
        <w:t>»</w:t>
      </w:r>
      <w:r w:rsidRPr="00872CCC">
        <w:rPr>
          <w:rFonts w:ascii="Arial" w:hAnsi="Arial" w:cs="Arial"/>
          <w:sz w:val="19"/>
          <w:szCs w:val="19"/>
        </w:rPr>
        <w:t>.</w:t>
      </w:r>
    </w:p>
    <w:p w:rsidRPr="00872CCC" w:rsidR="006D2CDB" w:rsidP="007A011C" w:rsidRDefault="006D2CDB" w14:paraId="50D3BF2D" w14:textId="77777777">
      <w:pPr>
        <w:pStyle w:val="Textonotapie"/>
        <w:rPr>
          <w:rFonts w:ascii="Arial" w:hAnsi="Arial" w:cs="Arial"/>
          <w:sz w:val="19"/>
          <w:szCs w:val="19"/>
        </w:rPr>
      </w:pPr>
    </w:p>
  </w:footnote>
  <w:footnote w:id="5">
    <w:p w:rsidRPr="00872CCC" w:rsidR="006D2CDB" w:rsidP="007A011C" w:rsidRDefault="006D2CDB" w14:paraId="6659FA6F" w14:textId="64F980E1">
      <w:pPr>
        <w:ind w:left="300" w:right="307" w:firstLine="709"/>
        <w:jc w:val="both"/>
        <w:rPr>
          <w:rFonts w:ascii="Arial" w:hAnsi="Arial" w:cs="Arial"/>
          <w:sz w:val="19"/>
          <w:szCs w:val="19"/>
        </w:rPr>
      </w:pPr>
      <w:r w:rsidRPr="00872CCC">
        <w:rPr>
          <w:rStyle w:val="Refdenotaalpie"/>
          <w:rFonts w:ascii="Arial" w:hAnsi="Arial" w:cs="Arial"/>
          <w:sz w:val="19"/>
          <w:szCs w:val="19"/>
        </w:rPr>
        <w:footnoteRef/>
      </w:r>
      <w:r w:rsidRPr="00872CCC">
        <w:rPr>
          <w:rFonts w:ascii="Arial" w:hAnsi="Arial" w:cs="Arial"/>
          <w:sz w:val="19"/>
          <w:szCs w:val="19"/>
        </w:rPr>
        <w:t xml:space="preserve"> </w:t>
      </w:r>
      <w:r w:rsidRPr="00D26589" w:rsidR="00D26589">
        <w:rPr>
          <w:rFonts w:ascii="Arial" w:hAnsi="Arial" w:cs="Arial"/>
          <w:sz w:val="19"/>
          <w:szCs w:val="19"/>
        </w:rPr>
        <w:t>«</w:t>
      </w:r>
      <w:r w:rsidRPr="00872CCC">
        <w:rPr>
          <w:rFonts w:ascii="Arial" w:hAnsi="Arial" w:cs="Arial"/>
          <w:sz w:val="19"/>
          <w:szCs w:val="19"/>
        </w:rPr>
        <w:t xml:space="preserve">Artículo 150: </w:t>
      </w:r>
      <w:r w:rsidRPr="00872CCC" w:rsidR="005D6523">
        <w:rPr>
          <w:rFonts w:ascii="Arial" w:hAnsi="Arial" w:cs="Arial"/>
          <w:sz w:val="19"/>
          <w:szCs w:val="19"/>
        </w:rPr>
        <w:t xml:space="preserve">[…] </w:t>
      </w:r>
      <w:r w:rsidRPr="00872CCC">
        <w:rPr>
          <w:rFonts w:ascii="Arial" w:hAnsi="Arial" w:cs="Arial"/>
          <w:sz w:val="19"/>
          <w:szCs w:val="19"/>
        </w:rPr>
        <w:t>Compete al Congreso expedir el estatuto general de contratación de la administración pública y en especial de la administración nacional</w:t>
      </w:r>
      <w:r w:rsidRPr="00872CCC" w:rsidR="00872CCC">
        <w:rPr>
          <w:rFonts w:ascii="Arial" w:hAnsi="Arial" w:cs="Arial"/>
          <w:sz w:val="19"/>
          <w:szCs w:val="19"/>
        </w:rPr>
        <w:t>»</w:t>
      </w:r>
      <w:r w:rsidRPr="00872CCC">
        <w:rPr>
          <w:rFonts w:ascii="Arial" w:hAnsi="Arial" w:cs="Arial"/>
          <w:sz w:val="19"/>
          <w:szCs w:val="19"/>
        </w:rPr>
        <w:t>.</w:t>
      </w:r>
    </w:p>
  </w:footnote>
  <w:footnote w:id="6">
    <w:p w:rsidRPr="00872CCC" w:rsidR="006D2CDB" w:rsidP="00D823A8" w:rsidRDefault="004C1CC4" w14:paraId="49C18182" w14:textId="3916D0F4">
      <w:pPr>
        <w:ind w:left="300" w:right="307" w:firstLine="709"/>
        <w:jc w:val="both"/>
        <w:rPr>
          <w:rFonts w:ascii="Arial" w:hAnsi="Arial" w:cs="Arial"/>
          <w:sz w:val="19"/>
          <w:szCs w:val="19"/>
        </w:rPr>
      </w:pPr>
      <w:r w:rsidRPr="00872CCC">
        <w:rPr>
          <w:rStyle w:val="Refdenotaalpie"/>
          <w:rFonts w:ascii="Arial" w:hAnsi="Arial" w:cs="Arial"/>
          <w:sz w:val="19"/>
          <w:szCs w:val="19"/>
        </w:rPr>
        <w:t>6</w:t>
      </w:r>
      <w:r w:rsidRPr="00872CCC" w:rsidR="006D2CDB">
        <w:rPr>
          <w:rFonts w:ascii="Arial" w:hAnsi="Arial" w:cs="Arial"/>
          <w:position w:val="6"/>
          <w:sz w:val="19"/>
          <w:szCs w:val="19"/>
        </w:rPr>
        <w:t xml:space="preserve"> </w:t>
      </w:r>
      <w:r w:rsidRPr="00872CCC" w:rsidR="006D2CDB">
        <w:rPr>
          <w:rFonts w:ascii="Arial" w:hAnsi="Arial" w:cs="Arial"/>
          <w:sz w:val="19"/>
          <w:szCs w:val="19"/>
        </w:rPr>
        <w:t xml:space="preserve">Corte Constitucional. Sala Plena. Sentencia C-629 </w:t>
      </w:r>
      <w:r w:rsidRPr="00872CCC" w:rsidR="002F5212">
        <w:rPr>
          <w:rFonts w:ascii="Arial" w:hAnsi="Arial" w:cs="Arial"/>
          <w:sz w:val="19"/>
          <w:szCs w:val="19"/>
        </w:rPr>
        <w:t xml:space="preserve">de </w:t>
      </w:r>
      <w:r w:rsidRPr="00872CCC" w:rsidR="00D823A8">
        <w:rPr>
          <w:rFonts w:ascii="Arial" w:hAnsi="Arial" w:cs="Arial"/>
          <w:sz w:val="19"/>
          <w:szCs w:val="19"/>
        </w:rPr>
        <w:t>29 de julio de 2003. Expediente D-4448.</w:t>
      </w:r>
      <w:r w:rsidRPr="00872CCC" w:rsidR="006D2CDB">
        <w:rPr>
          <w:rFonts w:ascii="Arial" w:hAnsi="Arial" w:cs="Arial"/>
          <w:sz w:val="19"/>
          <w:szCs w:val="19"/>
        </w:rPr>
        <w:t xml:space="preserve"> Magistrado Ponente: Álvaro Tafur Galvis.</w:t>
      </w:r>
    </w:p>
  </w:footnote>
  <w:footnote w:id="7">
    <w:p w:rsidRPr="00872CCC" w:rsidR="006D2CDB" w:rsidP="00184A6A" w:rsidRDefault="004C1CC4" w14:paraId="49C22361" w14:textId="0EB6B04D">
      <w:pPr>
        <w:ind w:left="300" w:right="307" w:firstLine="709"/>
        <w:jc w:val="both"/>
        <w:rPr>
          <w:rFonts w:ascii="Arial" w:hAnsi="Arial" w:cs="Arial"/>
          <w:sz w:val="19"/>
          <w:szCs w:val="19"/>
        </w:rPr>
      </w:pPr>
      <w:r w:rsidRPr="00872CCC">
        <w:rPr>
          <w:rStyle w:val="Refdenotaalpie"/>
          <w:rFonts w:ascii="Arial" w:hAnsi="Arial" w:cs="Arial"/>
          <w:sz w:val="19"/>
          <w:szCs w:val="19"/>
        </w:rPr>
        <w:t>7</w:t>
      </w:r>
      <w:r w:rsidRPr="00872CCC" w:rsidR="006D2CDB">
        <w:rPr>
          <w:rFonts w:ascii="Arial" w:hAnsi="Arial" w:cs="Arial"/>
          <w:position w:val="6"/>
          <w:sz w:val="19"/>
          <w:szCs w:val="19"/>
        </w:rPr>
        <w:t xml:space="preserve"> </w:t>
      </w:r>
      <w:r w:rsidRPr="00872CCC" w:rsidR="006D2CDB">
        <w:rPr>
          <w:rFonts w:ascii="Arial" w:hAnsi="Arial" w:cs="Arial"/>
          <w:sz w:val="19"/>
          <w:szCs w:val="19"/>
        </w:rPr>
        <w:t xml:space="preserve">Artículo 2. numeral 1: </w:t>
      </w:r>
      <w:r w:rsidRPr="00872CCC" w:rsidR="00872CCC">
        <w:rPr>
          <w:rFonts w:ascii="Arial" w:hAnsi="Arial" w:cs="Arial"/>
          <w:sz w:val="19"/>
          <w:szCs w:val="19"/>
        </w:rPr>
        <w:t>«</w:t>
      </w:r>
      <w:r w:rsidRPr="00872CCC" w:rsidR="006D2CDB">
        <w:rPr>
          <w:rFonts w:ascii="Arial" w:hAnsi="Arial" w:cs="Arial"/>
          <w:sz w:val="19"/>
          <w:szCs w:val="19"/>
        </w:rPr>
        <w:t>a) Se denominan entidades estatales: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r w:rsidRPr="00872CCC" w:rsidR="00872CCC">
        <w:rPr>
          <w:rFonts w:ascii="Arial" w:hAnsi="Arial" w:cs="Arial"/>
          <w:sz w:val="19"/>
          <w:szCs w:val="19"/>
        </w:rPr>
        <w:t>»</w:t>
      </w:r>
      <w:r w:rsidRPr="00872CCC" w:rsidR="006D2CDB">
        <w:rPr>
          <w:rFonts w:ascii="Arial" w:hAnsi="Arial" w:cs="Arial"/>
          <w:sz w:val="19"/>
          <w:szCs w:val="19"/>
        </w:rPr>
        <w:t>.</w:t>
      </w:r>
    </w:p>
  </w:footnote>
  <w:footnote w:id="8">
    <w:p w:rsidRPr="00872CCC" w:rsidR="006D2CDB" w:rsidP="005D6523" w:rsidRDefault="006D2CDB" w14:paraId="5D38D71C" w14:textId="038DF98A">
      <w:pPr>
        <w:ind w:left="1008"/>
        <w:rPr>
          <w:rFonts w:ascii="Arial" w:hAnsi="Arial" w:cs="Arial"/>
          <w:sz w:val="19"/>
          <w:szCs w:val="19"/>
        </w:rPr>
      </w:pPr>
      <w:r w:rsidRPr="00872CCC">
        <w:rPr>
          <w:rStyle w:val="Refdenotaalpie"/>
          <w:rFonts w:ascii="Arial" w:hAnsi="Arial" w:cs="Arial"/>
          <w:sz w:val="19"/>
          <w:szCs w:val="19"/>
        </w:rPr>
        <w:footnoteRef/>
      </w:r>
      <w:r w:rsidRPr="00872CCC">
        <w:rPr>
          <w:rFonts w:ascii="Arial" w:hAnsi="Arial" w:cs="Arial"/>
          <w:sz w:val="19"/>
          <w:szCs w:val="19"/>
        </w:rPr>
        <w:t xml:space="preserve"> Decreto 1071 de 2015, articulo 2.4.3.1.2.</w:t>
      </w:r>
      <w:r w:rsidRPr="00872CCC" w:rsidR="005D6523">
        <w:rPr>
          <w:rFonts w:ascii="Arial" w:hAnsi="Arial" w:cs="Arial"/>
          <w:sz w:val="19"/>
          <w:szCs w:val="19"/>
        </w:rPr>
        <w:t xml:space="preserve"> </w:t>
      </w:r>
      <w:r w:rsidRPr="00872CCC" w:rsidR="005237DF">
        <w:rPr>
          <w:rFonts w:ascii="Arial" w:hAnsi="Arial" w:cs="Arial"/>
          <w:sz w:val="19"/>
          <w:szCs w:val="19"/>
        </w:rPr>
        <w:t>[</w:t>
      </w:r>
      <w:r w:rsidRPr="00872CCC">
        <w:rPr>
          <w:rFonts w:ascii="Arial" w:hAnsi="Arial" w:cs="Arial"/>
          <w:sz w:val="19"/>
          <w:szCs w:val="19"/>
        </w:rPr>
        <w:t>…</w:t>
      </w:r>
      <w:r w:rsidRPr="00872CCC" w:rsidR="005237DF">
        <w:rPr>
          <w:rFonts w:ascii="Arial" w:hAnsi="Arial" w:cs="Arial"/>
          <w:sz w:val="19"/>
          <w:szCs w:val="19"/>
        </w:rPr>
        <w:t>]</w:t>
      </w:r>
    </w:p>
    <w:p w:rsidRPr="00872CCC" w:rsidR="006D2CDB" w:rsidP="007A011C" w:rsidRDefault="00872CCC" w14:paraId="68A143A2" w14:textId="5C9F349A">
      <w:pPr>
        <w:ind w:left="300" w:right="306"/>
        <w:jc w:val="both"/>
        <w:rPr>
          <w:rFonts w:ascii="Arial" w:hAnsi="Arial" w:cs="Arial"/>
          <w:sz w:val="19"/>
          <w:szCs w:val="19"/>
        </w:rPr>
      </w:pPr>
      <w:r w:rsidRPr="00872CCC">
        <w:rPr>
          <w:rFonts w:ascii="Arial" w:hAnsi="Arial" w:cs="Arial"/>
          <w:color w:val="000000" w:themeColor="text1"/>
          <w:sz w:val="19"/>
          <w:szCs w:val="19"/>
        </w:rPr>
        <w:t>«</w:t>
      </w:r>
      <w:r w:rsidRPr="00872CCC" w:rsidR="006D2CDB">
        <w:rPr>
          <w:rFonts w:ascii="Arial" w:hAnsi="Arial" w:cs="Arial"/>
          <w:sz w:val="19"/>
          <w:szCs w:val="19"/>
        </w:rPr>
        <w:t>En el manejo de los recursos, el CPGA observará los principios del sistema presupuestal, contenidos en el Estatuto Orgánico del Presupuesto y los contratos que celebren se sujetarán a las normas sobre contratación administrativa</w:t>
      </w:r>
      <w:r w:rsidRPr="00872CCC">
        <w:rPr>
          <w:rFonts w:ascii="Arial" w:hAnsi="Arial" w:cs="Arial"/>
          <w:color w:val="000000" w:themeColor="text1"/>
          <w:sz w:val="19"/>
          <w:szCs w:val="19"/>
        </w:rPr>
        <w:t>»</w:t>
      </w:r>
      <w:r w:rsidRPr="00872CCC" w:rsidR="006D2CDB">
        <w:rPr>
          <w:rFonts w:ascii="Arial" w:hAnsi="Arial" w:cs="Arial"/>
          <w:sz w:val="19"/>
          <w:szCs w:val="19"/>
        </w:rPr>
        <w:t>.</w:t>
      </w:r>
    </w:p>
  </w:footnote>
  <w:footnote w:id="9">
    <w:p w:rsidRPr="00872CCC" w:rsidR="006D2CDB" w:rsidP="00380EC4" w:rsidRDefault="006D2CDB" w14:paraId="68F85268" w14:textId="77777777">
      <w:pPr>
        <w:pStyle w:val="Textonotapie"/>
        <w:ind w:firstLine="709"/>
        <w:jc w:val="both"/>
        <w:rPr>
          <w:rFonts w:ascii="Arial" w:hAnsi="Arial" w:cs="Arial"/>
          <w:sz w:val="19"/>
          <w:szCs w:val="19"/>
          <w:lang w:val="es-ES"/>
        </w:rPr>
      </w:pPr>
      <w:r w:rsidRPr="00872CCC">
        <w:rPr>
          <w:rStyle w:val="Refdenotaalpie"/>
          <w:rFonts w:ascii="Arial" w:hAnsi="Arial" w:cs="Arial"/>
          <w:sz w:val="19"/>
          <w:szCs w:val="19"/>
        </w:rPr>
        <w:footnoteRef/>
      </w:r>
      <w:r w:rsidRPr="00872CCC">
        <w:rPr>
          <w:rFonts w:ascii="Arial" w:hAnsi="Arial" w:cs="Arial"/>
          <w:sz w:val="19"/>
          <w:szCs w:val="19"/>
        </w:rPr>
        <w:t xml:space="preserve"> </w:t>
      </w:r>
      <w:r w:rsidRPr="00872CCC">
        <w:rPr>
          <w:rFonts w:ascii="Arial" w:hAnsi="Arial" w:cs="Arial"/>
          <w:sz w:val="19"/>
          <w:szCs w:val="19"/>
          <w:lang w:val="es-ES"/>
        </w:rPr>
        <w:t>BOBBIO, Norberto. Democracia y secreto. México: Fondo de Cultura Económica, 2013. p. 27.</w:t>
      </w:r>
    </w:p>
  </w:footnote>
  <w:footnote w:id="10">
    <w:p w:rsidRPr="00872CCC" w:rsidR="006D2CDB" w:rsidP="00872CCC" w:rsidRDefault="006D2CDB" w14:paraId="197E42EA" w14:textId="77777777">
      <w:pPr>
        <w:pStyle w:val="Textonotapie"/>
        <w:jc w:val="both"/>
        <w:rPr>
          <w:rFonts w:ascii="Arial" w:hAnsi="Arial" w:cs="Arial"/>
          <w:color w:val="000000" w:themeColor="text1"/>
          <w:sz w:val="19"/>
          <w:szCs w:val="19"/>
        </w:rPr>
      </w:pPr>
    </w:p>
    <w:p w:rsidRPr="00872CCC" w:rsidR="006D2CDB" w:rsidP="00380EC4" w:rsidRDefault="006D2CDB" w14:paraId="1BD9CA66" w14:textId="77777777">
      <w:pPr>
        <w:pStyle w:val="Textonotapie"/>
        <w:ind w:firstLine="709"/>
        <w:jc w:val="both"/>
        <w:rPr>
          <w:rFonts w:ascii="Arial" w:hAnsi="Arial" w:cs="Arial"/>
          <w:color w:val="000000" w:themeColor="text1"/>
          <w:sz w:val="19"/>
          <w:szCs w:val="19"/>
        </w:rPr>
      </w:pPr>
      <w:r w:rsidRPr="00872CCC">
        <w:rPr>
          <w:rStyle w:val="Refdenotaalpie"/>
          <w:rFonts w:ascii="Arial" w:hAnsi="Arial" w:cs="Arial"/>
          <w:color w:val="000000" w:themeColor="text1"/>
          <w:sz w:val="19"/>
          <w:szCs w:val="19"/>
        </w:rPr>
        <w:footnoteRef/>
      </w:r>
      <w:r w:rsidRPr="00872CCC">
        <w:rPr>
          <w:rFonts w:ascii="Arial" w:hAnsi="Arial" w:cs="Arial"/>
          <w:color w:val="000000" w:themeColor="text1"/>
          <w:sz w:val="19"/>
          <w:szCs w:val="19"/>
        </w:rPr>
        <w:t xml:space="preserve"> Corte Constitucional. Sentencia C- 341 del 4 de junio de 2014. M. P. Mauricio González Cuervo.</w:t>
      </w:r>
    </w:p>
    <w:p w:rsidRPr="00872CCC" w:rsidR="006D2CDB" w:rsidP="00380EC4" w:rsidRDefault="006D2CDB" w14:paraId="0D367829" w14:textId="77777777">
      <w:pPr>
        <w:pStyle w:val="Textonotapie"/>
        <w:ind w:firstLine="709"/>
        <w:jc w:val="both"/>
        <w:rPr>
          <w:rFonts w:ascii="Arial" w:hAnsi="Arial" w:cs="Arial"/>
          <w:color w:val="000000" w:themeColor="text1"/>
          <w:sz w:val="19"/>
          <w:szCs w:val="19"/>
        </w:rPr>
      </w:pPr>
    </w:p>
  </w:footnote>
  <w:footnote w:id="11">
    <w:p w:rsidRPr="00872CCC" w:rsidR="006D2CDB" w:rsidP="00380EC4" w:rsidRDefault="006D2CDB" w14:paraId="7DAC6CD8" w14:textId="77777777">
      <w:pPr>
        <w:pStyle w:val="Textonotapie"/>
        <w:ind w:firstLine="709"/>
        <w:jc w:val="both"/>
        <w:rPr>
          <w:rFonts w:ascii="Arial" w:hAnsi="Arial" w:cs="Arial"/>
          <w:color w:val="000000" w:themeColor="text1"/>
          <w:sz w:val="19"/>
          <w:szCs w:val="19"/>
        </w:rPr>
      </w:pPr>
      <w:r w:rsidRPr="00872CCC">
        <w:rPr>
          <w:rStyle w:val="Refdenotaalpie"/>
          <w:rFonts w:ascii="Arial" w:hAnsi="Arial" w:cs="Arial"/>
          <w:color w:val="000000" w:themeColor="text1"/>
          <w:sz w:val="19"/>
          <w:szCs w:val="19"/>
        </w:rPr>
        <w:footnoteRef/>
      </w:r>
      <w:r w:rsidRPr="00872CCC">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872CCC" w:rsidR="006D2CDB" w:rsidP="00380EC4" w:rsidRDefault="006D2CDB" w14:paraId="5AD8A443" w14:textId="77777777">
      <w:pPr>
        <w:pStyle w:val="Textonotapie"/>
        <w:ind w:firstLine="709"/>
        <w:jc w:val="both"/>
        <w:rPr>
          <w:rFonts w:ascii="Arial" w:hAnsi="Arial" w:cs="Arial"/>
          <w:color w:val="000000" w:themeColor="text1"/>
          <w:sz w:val="19"/>
          <w:szCs w:val="19"/>
        </w:rPr>
      </w:pPr>
      <w:r w:rsidRPr="00872CCC">
        <w:rPr>
          <w:rFonts w:ascii="Arial" w:hAnsi="Arial" w:cs="Arial"/>
          <w:color w:val="000000" w:themeColor="text1"/>
          <w:sz w:val="19"/>
          <w:szCs w:val="19"/>
        </w:rPr>
        <w:t>»Lo anterior, sin perjuicio de las publicaciones previstas en el numeral 3 del artículo 30 de la Ley 80 de 1993.</w:t>
      </w:r>
    </w:p>
    <w:p w:rsidRPr="00872CCC" w:rsidR="006D2CDB" w:rsidP="00380EC4" w:rsidRDefault="006D2CDB" w14:paraId="442279AD" w14:textId="77777777">
      <w:pPr>
        <w:pStyle w:val="Textonotapie"/>
        <w:ind w:firstLine="709"/>
        <w:jc w:val="both"/>
        <w:rPr>
          <w:rFonts w:ascii="Arial" w:hAnsi="Arial" w:cs="Arial"/>
          <w:color w:val="000000" w:themeColor="text1"/>
          <w:sz w:val="19"/>
          <w:szCs w:val="19"/>
        </w:rPr>
      </w:pPr>
      <w:r w:rsidRPr="00872CCC">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rsidRPr="00872CCC" w:rsidR="006D2CDB" w:rsidP="00380EC4" w:rsidRDefault="006D2CDB" w14:paraId="79A2CBCB" w14:textId="77777777">
      <w:pPr>
        <w:pStyle w:val="Textonotapie"/>
        <w:ind w:firstLine="709"/>
        <w:jc w:val="both"/>
        <w:rPr>
          <w:rFonts w:ascii="Arial" w:hAnsi="Arial" w:cs="Arial"/>
          <w:color w:val="000000" w:themeColor="text1"/>
          <w:sz w:val="19"/>
          <w:szCs w:val="19"/>
        </w:rPr>
      </w:pPr>
      <w:r w:rsidRPr="00872CCC">
        <w:rPr>
          <w:rFonts w:ascii="Arial" w:hAnsi="Arial" w:cs="Arial"/>
          <w:color w:val="000000" w:themeColor="text1"/>
          <w:sz w:val="19"/>
          <w:szCs w:val="19"/>
        </w:rPr>
        <w:t>[…]</w:t>
      </w:r>
    </w:p>
    <w:p w:rsidRPr="00872CCC" w:rsidR="006D2CDB" w:rsidP="00380EC4" w:rsidRDefault="006D2CDB" w14:paraId="757124CD" w14:textId="77777777">
      <w:pPr>
        <w:pStyle w:val="Textonotapie"/>
        <w:ind w:firstLine="709"/>
        <w:jc w:val="both"/>
        <w:rPr>
          <w:rFonts w:ascii="Arial" w:hAnsi="Arial" w:cs="Arial"/>
          <w:color w:val="000000" w:themeColor="text1"/>
          <w:sz w:val="19"/>
          <w:szCs w:val="19"/>
        </w:rPr>
      </w:pPr>
      <w:r w:rsidRPr="00872CCC">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rsidRPr="00872CCC" w:rsidR="006D2CDB" w:rsidP="00380EC4" w:rsidRDefault="006D2CDB" w14:paraId="109DC8A2" w14:textId="77777777">
      <w:pPr>
        <w:pStyle w:val="Textonotapie"/>
        <w:ind w:firstLine="709"/>
        <w:jc w:val="both"/>
        <w:rPr>
          <w:rFonts w:ascii="Arial" w:hAnsi="Arial" w:cs="Arial"/>
          <w:color w:val="000000" w:themeColor="text1"/>
          <w:sz w:val="19"/>
          <w:szCs w:val="19"/>
          <w:lang w:val="es-CO"/>
        </w:rPr>
      </w:pPr>
    </w:p>
  </w:footnote>
  <w:footnote w:id="12">
    <w:p w:rsidRPr="00872CCC" w:rsidR="006D2CDB" w:rsidP="00380EC4" w:rsidRDefault="006D2CDB" w14:paraId="1026A195" w14:textId="77777777">
      <w:pPr>
        <w:pStyle w:val="Textonotapie"/>
        <w:ind w:firstLine="709"/>
        <w:jc w:val="both"/>
        <w:rPr>
          <w:rFonts w:ascii="Arial" w:hAnsi="Arial" w:cs="Arial"/>
          <w:color w:val="000000" w:themeColor="text1"/>
          <w:sz w:val="19"/>
          <w:szCs w:val="19"/>
        </w:rPr>
      </w:pPr>
      <w:r w:rsidRPr="00872CCC">
        <w:rPr>
          <w:rStyle w:val="Refdenotaalpie"/>
          <w:rFonts w:ascii="Arial" w:hAnsi="Arial" w:cs="Arial"/>
          <w:color w:val="000000" w:themeColor="text1"/>
          <w:sz w:val="19"/>
          <w:szCs w:val="19"/>
        </w:rPr>
        <w:footnoteRef/>
      </w:r>
      <w:r w:rsidRPr="00872CCC">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rsidRPr="00872CCC" w:rsidR="006D2CDB" w:rsidP="00380EC4" w:rsidRDefault="006D2CDB" w14:paraId="3511837B" w14:textId="77777777">
      <w:pPr>
        <w:pStyle w:val="Textonotapie"/>
        <w:ind w:firstLine="709"/>
        <w:jc w:val="both"/>
        <w:rPr>
          <w:rFonts w:ascii="Arial" w:hAnsi="Arial" w:cs="Arial"/>
          <w:color w:val="000000" w:themeColor="text1"/>
          <w:sz w:val="19"/>
          <w:szCs w:val="19"/>
          <w:lang w:val="es-CO"/>
        </w:rPr>
      </w:pPr>
    </w:p>
  </w:footnote>
  <w:footnote w:id="13">
    <w:p w:rsidRPr="00872CCC" w:rsidR="006D2CDB" w:rsidP="00380EC4" w:rsidRDefault="006D2CDB" w14:paraId="7BEDE1EB" w14:textId="77777777">
      <w:pPr>
        <w:pStyle w:val="Textonotapie"/>
        <w:ind w:firstLine="707"/>
        <w:jc w:val="both"/>
        <w:rPr>
          <w:rFonts w:ascii="Arial" w:hAnsi="Arial" w:cs="Arial"/>
          <w:sz w:val="19"/>
          <w:szCs w:val="19"/>
          <w:lang w:val="es-CO"/>
        </w:rPr>
      </w:pPr>
      <w:r w:rsidRPr="00872CCC">
        <w:rPr>
          <w:rStyle w:val="Refdenotaalpie"/>
          <w:rFonts w:ascii="Arial" w:hAnsi="Arial" w:cs="Arial"/>
          <w:sz w:val="19"/>
          <w:szCs w:val="19"/>
        </w:rPr>
        <w:footnoteRef/>
      </w:r>
      <w:r w:rsidRPr="00872CCC">
        <w:rPr>
          <w:rFonts w:ascii="Arial" w:hAnsi="Arial" w:cs="Arial"/>
          <w:sz w:val="19"/>
          <w:szCs w:val="19"/>
          <w:vertAlign w:val="superscript"/>
        </w:rPr>
        <w:t xml:space="preserve"> </w:t>
      </w:r>
      <w:r w:rsidRPr="00872CCC">
        <w:rPr>
          <w:rFonts w:ascii="Arial" w:hAnsi="Arial" w:cs="Arial"/>
          <w:sz w:val="19"/>
          <w:szCs w:val="19"/>
        </w:rPr>
        <w:t xml:space="preserve">Ley 1712 de 2014: «Artículo 3. </w:t>
      </w:r>
      <w:r w:rsidRPr="00872CCC">
        <w:rPr>
          <w:rFonts w:ascii="Arial" w:hAnsi="Arial" w:cs="Arial"/>
          <w:sz w:val="19"/>
          <w:szCs w:val="19"/>
          <w:lang w:val="es-CO"/>
        </w:rPr>
        <w:t>Otros principios de la transparencia y acceso a la información pública. </w:t>
      </w:r>
    </w:p>
    <w:p w:rsidRPr="00872CCC" w:rsidR="006D2CDB" w:rsidP="00380EC4" w:rsidRDefault="006D2CDB" w14:paraId="7000E536" w14:textId="77777777">
      <w:pPr>
        <w:pStyle w:val="Textonotapie"/>
        <w:ind w:firstLine="707"/>
        <w:jc w:val="both"/>
        <w:rPr>
          <w:rFonts w:ascii="Arial" w:hAnsi="Arial" w:cs="Arial"/>
          <w:sz w:val="19"/>
          <w:szCs w:val="19"/>
          <w:lang w:val="es-ES"/>
        </w:rPr>
      </w:pPr>
      <w:r w:rsidRPr="00872CCC">
        <w:rPr>
          <w:rFonts w:ascii="Arial" w:hAnsi="Arial" w:cs="Arial"/>
          <w:sz w:val="19"/>
          <w:szCs w:val="19"/>
          <w:lang w:val="es-ES"/>
        </w:rPr>
        <w:t>[…]</w:t>
      </w:r>
    </w:p>
    <w:p w:rsidRPr="00872CCC" w:rsidR="006D2CDB" w:rsidP="00380EC4" w:rsidRDefault="006D2CDB" w14:paraId="6D6637BC" w14:textId="77777777">
      <w:pPr>
        <w:pStyle w:val="Textonotapie"/>
        <w:ind w:firstLine="707"/>
        <w:jc w:val="both"/>
        <w:rPr>
          <w:rFonts w:ascii="Arial" w:hAnsi="Arial" w:cs="Arial"/>
          <w:sz w:val="19"/>
          <w:szCs w:val="19"/>
          <w:lang w:val="es-ES"/>
        </w:rPr>
      </w:pPr>
      <w:r w:rsidRPr="00872CCC">
        <w:rPr>
          <w:rStyle w:val="eop"/>
          <w:rFonts w:ascii="Arial" w:hAnsi="Arial" w:cs="Arial"/>
          <w:b/>
          <w:bCs/>
          <w:sz w:val="19"/>
          <w:szCs w:val="19"/>
        </w:rPr>
        <w:t>Principio de buena fe</w:t>
      </w:r>
      <w:r w:rsidRPr="00872CCC">
        <w:rPr>
          <w:rFonts w:ascii="Arial" w:hAnsi="Arial" w:cs="Arial"/>
          <w:sz w:val="19"/>
          <w:szCs w:val="19"/>
        </w:rPr>
        <w:t>. En virtud del cual todo sujeto obligado, al cumplir con las obligaciones derivadas del derecho de acceso a la información pública, lo hará con motivación honesta, leal y desprovista de cualquier intención dolosa o culposa.</w:t>
      </w:r>
    </w:p>
  </w:footnote>
  <w:footnote w:id="14">
    <w:p w:rsidRPr="00872CCC" w:rsidR="006D2CDB" w:rsidP="00380EC4" w:rsidRDefault="006D2CDB" w14:paraId="05750F87" w14:textId="77777777">
      <w:pPr>
        <w:pStyle w:val="Textonotapie"/>
        <w:ind w:firstLine="709"/>
        <w:jc w:val="both"/>
        <w:rPr>
          <w:rFonts w:ascii="Arial" w:hAnsi="Arial" w:cs="Arial"/>
          <w:color w:val="000000" w:themeColor="text1"/>
          <w:sz w:val="19"/>
          <w:szCs w:val="19"/>
        </w:rPr>
      </w:pPr>
      <w:r w:rsidRPr="00872CCC">
        <w:rPr>
          <w:rStyle w:val="Refdenotaalpie"/>
          <w:rFonts w:ascii="Arial" w:hAnsi="Arial" w:cs="Arial"/>
          <w:color w:val="000000" w:themeColor="text1"/>
          <w:sz w:val="19"/>
          <w:szCs w:val="19"/>
        </w:rPr>
        <w:footnoteRef/>
      </w:r>
      <w:r w:rsidRPr="00872CCC">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rsidRPr="00872CCC" w:rsidR="006D2CDB" w:rsidP="00380EC4" w:rsidRDefault="006D2CDB" w14:paraId="76E154A1" w14:textId="77777777">
      <w:pPr>
        <w:pStyle w:val="Textonotapie"/>
        <w:ind w:firstLine="709"/>
        <w:jc w:val="both"/>
        <w:rPr>
          <w:rFonts w:ascii="Arial" w:hAnsi="Arial" w:cs="Arial"/>
          <w:color w:val="000000" w:themeColor="text1"/>
          <w:sz w:val="19"/>
          <w:szCs w:val="19"/>
        </w:rPr>
      </w:pPr>
      <w:r w:rsidRPr="00872CCC">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rsidRPr="00872CCC" w:rsidR="006D2CDB" w:rsidP="00380EC4" w:rsidRDefault="006D2CDB" w14:paraId="3D78933C" w14:textId="77777777">
      <w:pPr>
        <w:pStyle w:val="Textonotapie"/>
        <w:ind w:firstLine="709"/>
        <w:jc w:val="both"/>
        <w:rPr>
          <w:rFonts w:ascii="Arial" w:hAnsi="Arial" w:cs="Arial"/>
          <w:color w:val="000000" w:themeColor="text1"/>
          <w:sz w:val="19"/>
          <w:szCs w:val="19"/>
          <w:lang w:val="es-CO"/>
        </w:rPr>
      </w:pPr>
    </w:p>
  </w:footnote>
  <w:footnote w:id="15">
    <w:p w:rsidRPr="00872CCC" w:rsidR="006D2CDB" w:rsidP="00380EC4" w:rsidRDefault="006D2CDB" w14:paraId="55B52A41" w14:textId="77777777">
      <w:pPr>
        <w:pStyle w:val="Textonotapie"/>
        <w:ind w:firstLine="709"/>
        <w:jc w:val="both"/>
        <w:rPr>
          <w:rFonts w:ascii="Arial" w:hAnsi="Arial" w:cs="Arial"/>
          <w:color w:val="000000" w:themeColor="text1"/>
          <w:sz w:val="19"/>
          <w:szCs w:val="19"/>
        </w:rPr>
      </w:pPr>
      <w:r w:rsidRPr="00872CCC">
        <w:rPr>
          <w:rFonts w:ascii="Arial" w:hAnsi="Arial" w:eastAsia="Times New Roman" w:cs="Arial"/>
          <w:color w:val="000000" w:themeColor="text1"/>
          <w:sz w:val="19"/>
          <w:szCs w:val="19"/>
          <w:vertAlign w:val="superscript"/>
          <w:lang w:val="es-ES" w:eastAsia="es-ES"/>
        </w:rPr>
        <w:footnoteRef/>
      </w:r>
      <w:r w:rsidRPr="00872CCC">
        <w:rPr>
          <w:rFonts w:ascii="Arial" w:hAnsi="Arial" w:eastAsia="Times New Roman" w:cs="Arial"/>
          <w:color w:val="000000" w:themeColor="text1"/>
          <w:sz w:val="19"/>
          <w:szCs w:val="19"/>
          <w:vertAlign w:val="superscript"/>
          <w:lang w:val="es-ES" w:eastAsia="es-ES"/>
        </w:rPr>
        <w:t xml:space="preserve"> </w:t>
      </w:r>
      <w:r w:rsidRPr="00872CCC">
        <w:rPr>
          <w:rFonts w:ascii="Arial" w:hAnsi="Arial" w:eastAsia="Times New Roman" w:cs="Arial"/>
          <w:color w:val="000000" w:themeColor="text1"/>
          <w:sz w:val="19"/>
          <w:szCs w:val="19"/>
          <w:lang w:val="es-ES" w:eastAsia="es-ES"/>
        </w:rPr>
        <w:t>«</w:t>
      </w:r>
      <w:r w:rsidRPr="00872CCC">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872CCC" w:rsidR="006D2CDB" w:rsidP="00380EC4" w:rsidRDefault="006D2CDB" w14:paraId="2222E811" w14:textId="77777777">
      <w:pPr>
        <w:pStyle w:val="Textonotapie"/>
        <w:ind w:firstLine="709"/>
        <w:jc w:val="both"/>
        <w:rPr>
          <w:rFonts w:ascii="Arial" w:hAnsi="Arial" w:eastAsia="Times New Roman" w:cs="Arial"/>
          <w:color w:val="000000" w:themeColor="text1"/>
          <w:sz w:val="19"/>
          <w:szCs w:val="19"/>
          <w:lang w:val="es-ES" w:eastAsia="es-ES"/>
        </w:rPr>
      </w:pPr>
      <w:r w:rsidRPr="00872CCC">
        <w:rPr>
          <w:rFonts w:ascii="Arial" w:hAnsi="Arial" w:cs="Arial"/>
          <w:color w:val="000000" w:themeColor="text1"/>
          <w:sz w:val="19"/>
          <w:szCs w:val="19"/>
        </w:rPr>
        <w:t>[…].</w:t>
      </w:r>
    </w:p>
    <w:p w:rsidRPr="00872CCC" w:rsidR="006D2CDB" w:rsidP="00380EC4" w:rsidRDefault="006D2CDB" w14:paraId="302D8F98" w14:textId="77777777">
      <w:pPr>
        <w:pStyle w:val="Textonotapie"/>
        <w:ind w:firstLine="709"/>
        <w:jc w:val="both"/>
        <w:rPr>
          <w:rFonts w:ascii="Arial" w:hAnsi="Arial" w:eastAsia="Times New Roman" w:cs="Arial"/>
          <w:color w:val="000000" w:themeColor="text1"/>
          <w:sz w:val="19"/>
          <w:szCs w:val="19"/>
          <w:lang w:val="es-ES" w:eastAsia="es-ES"/>
        </w:rPr>
      </w:pPr>
      <w:r w:rsidRPr="00872CCC">
        <w:rPr>
          <w:rFonts w:ascii="Arial" w:hAnsi="Arial" w:eastAsia="Times New Roman"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rsidRPr="00872CCC" w:rsidR="006D2CDB" w:rsidP="00380EC4" w:rsidRDefault="006D2CDB" w14:paraId="5EEA95A1" w14:textId="77777777">
      <w:pPr>
        <w:pStyle w:val="Textonotapie"/>
        <w:ind w:firstLine="709"/>
        <w:jc w:val="both"/>
        <w:rPr>
          <w:rFonts w:ascii="Arial" w:hAnsi="Arial" w:eastAsia="Times New Roman" w:cs="Arial"/>
          <w:color w:val="000000" w:themeColor="text1"/>
          <w:sz w:val="19"/>
          <w:szCs w:val="19"/>
          <w:lang w:val="es-ES" w:eastAsia="es-ES"/>
        </w:rPr>
      </w:pPr>
    </w:p>
  </w:footnote>
  <w:footnote w:id="16">
    <w:p w:rsidRPr="00872CCC" w:rsidR="006D2CDB" w:rsidP="00380EC4" w:rsidRDefault="006D2CDB" w14:paraId="687B3267" w14:textId="77777777">
      <w:pPr>
        <w:pStyle w:val="Textonotapie"/>
        <w:ind w:firstLine="709"/>
        <w:jc w:val="both"/>
        <w:rPr>
          <w:rFonts w:ascii="Arial" w:hAnsi="Arial" w:cs="Arial"/>
          <w:color w:val="000000" w:themeColor="text1"/>
          <w:sz w:val="19"/>
          <w:szCs w:val="19"/>
        </w:rPr>
      </w:pPr>
      <w:r w:rsidRPr="00872CCC">
        <w:rPr>
          <w:rStyle w:val="Refdenotaalpie"/>
          <w:rFonts w:ascii="Arial" w:hAnsi="Arial" w:cs="Arial"/>
          <w:color w:val="000000" w:themeColor="text1"/>
          <w:sz w:val="19"/>
          <w:szCs w:val="19"/>
        </w:rPr>
        <w:footnoteRef/>
      </w:r>
      <w:r w:rsidRPr="00872CCC">
        <w:rPr>
          <w:rFonts w:ascii="Arial" w:hAnsi="Arial" w:cs="Arial"/>
          <w:color w:val="000000" w:themeColor="text1"/>
          <w:sz w:val="19"/>
          <w:szCs w:val="19"/>
        </w:rPr>
        <w:t xml:space="preserve"> C</w:t>
      </w:r>
      <w:r w:rsidRPr="00872CCC">
        <w:rPr>
          <w:rFonts w:ascii="Arial" w:hAnsi="Arial" w:eastAsia="Times New Roman" w:cs="Arial"/>
          <w:color w:val="000000" w:themeColor="text1"/>
          <w:sz w:val="19"/>
          <w:szCs w:val="19"/>
          <w:lang w:val="es-ES" w:eastAsia="es-ES"/>
        </w:rPr>
        <w:t xml:space="preserve">orte Constitucional. Sentencia C‒274 de 9 de mayo de 2013. M.P. María Victoria Calle Correa. </w:t>
      </w:r>
    </w:p>
    <w:p w:rsidRPr="00872CCC" w:rsidR="006D2CDB" w:rsidP="00380EC4" w:rsidRDefault="006D2CDB" w14:paraId="59498F5B" w14:textId="77777777">
      <w:pPr>
        <w:pStyle w:val="Textonotapie"/>
        <w:ind w:firstLine="709"/>
        <w:jc w:val="both"/>
        <w:rPr>
          <w:rFonts w:ascii="Arial" w:hAnsi="Arial" w:cs="Arial"/>
          <w:color w:val="000000" w:themeColor="text1"/>
          <w:sz w:val="19"/>
          <w:szCs w:val="19"/>
          <w:lang w:val="es-CO"/>
        </w:rPr>
      </w:pPr>
    </w:p>
  </w:footnote>
  <w:footnote w:id="17">
    <w:p w:rsidRPr="00872CCC" w:rsidR="006D2CDB" w:rsidP="00380EC4" w:rsidRDefault="006D2CDB" w14:paraId="760D6C26" w14:textId="77777777">
      <w:pPr>
        <w:pStyle w:val="Textonotapie"/>
        <w:ind w:firstLine="709"/>
        <w:jc w:val="both"/>
        <w:rPr>
          <w:rFonts w:ascii="Arial" w:hAnsi="Arial" w:cs="Arial"/>
          <w:color w:val="000000" w:themeColor="text1"/>
          <w:sz w:val="19"/>
          <w:szCs w:val="19"/>
        </w:rPr>
      </w:pPr>
      <w:r w:rsidRPr="00872CCC">
        <w:rPr>
          <w:rStyle w:val="Refdenotaalpie"/>
          <w:rFonts w:ascii="Arial" w:hAnsi="Arial" w:cs="Arial"/>
          <w:color w:val="000000" w:themeColor="text1"/>
          <w:sz w:val="19"/>
          <w:szCs w:val="19"/>
        </w:rPr>
        <w:footnoteRef/>
      </w:r>
      <w:r w:rsidRPr="00872CCC">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rsidRPr="00872CCC" w:rsidR="006D2CDB" w:rsidP="00380EC4" w:rsidRDefault="006D2CDB" w14:paraId="7BFAE2B1" w14:textId="77777777">
      <w:pPr>
        <w:pStyle w:val="Textonotapie"/>
        <w:ind w:firstLine="709"/>
        <w:jc w:val="both"/>
        <w:rPr>
          <w:rFonts w:ascii="Arial" w:hAnsi="Arial" w:cs="Arial"/>
          <w:color w:val="000000" w:themeColor="text1"/>
          <w:sz w:val="19"/>
          <w:szCs w:val="19"/>
          <w:lang w:val="es-CO"/>
        </w:rPr>
      </w:pPr>
    </w:p>
  </w:footnote>
  <w:footnote w:id="18">
    <w:p w:rsidRPr="00872CCC" w:rsidR="006D2CDB" w:rsidP="00380EC4" w:rsidRDefault="006D2CDB" w14:paraId="62D787ED" w14:textId="77777777">
      <w:pPr>
        <w:ind w:firstLine="709"/>
        <w:jc w:val="both"/>
        <w:rPr>
          <w:rFonts w:ascii="Arial" w:hAnsi="Arial" w:cs="Arial"/>
          <w:sz w:val="19"/>
          <w:szCs w:val="19"/>
        </w:rPr>
      </w:pPr>
      <w:r w:rsidRPr="00872CCC">
        <w:rPr>
          <w:rStyle w:val="Refdenotaalpie"/>
          <w:rFonts w:ascii="Arial" w:hAnsi="Arial" w:cs="Arial"/>
          <w:sz w:val="19"/>
          <w:szCs w:val="19"/>
        </w:rPr>
        <w:footnoteRef/>
      </w:r>
      <w:r w:rsidRPr="00872CCC">
        <w:rPr>
          <w:rFonts w:ascii="Arial" w:hAnsi="Arial" w:cs="Arial"/>
          <w:sz w:val="19"/>
          <w:szCs w:val="19"/>
        </w:rPr>
        <w:t xml:space="preserve"> «[…] El Gobierno Nacional desarrollará el Sistema Electrónico para la Contratación Pública, Secop, el cual:</w:t>
      </w:r>
    </w:p>
    <w:p w:rsidRPr="00872CCC" w:rsidR="006D2CDB" w:rsidP="00380EC4" w:rsidRDefault="006D2CDB" w14:paraId="01867108" w14:textId="77777777">
      <w:pPr>
        <w:ind w:firstLine="709"/>
        <w:jc w:val="both"/>
        <w:rPr>
          <w:rFonts w:ascii="Arial" w:hAnsi="Arial" w:cs="Arial"/>
          <w:sz w:val="19"/>
          <w:szCs w:val="19"/>
        </w:rPr>
      </w:pPr>
      <w:r w:rsidRPr="00872CCC">
        <w:rPr>
          <w:rFonts w:ascii="Arial" w:hAnsi="Arial" w:cs="Arial"/>
          <w:sz w:val="19"/>
          <w:szCs w:val="19"/>
        </w:rPr>
        <w:t>»[…]</w:t>
      </w:r>
    </w:p>
    <w:p w:rsidRPr="00872CCC" w:rsidR="006D2CDB" w:rsidP="00380EC4" w:rsidRDefault="006D2CDB" w14:paraId="1DAB02E5" w14:textId="77777777">
      <w:pPr>
        <w:ind w:firstLine="709"/>
        <w:jc w:val="both"/>
        <w:rPr>
          <w:rFonts w:ascii="Arial" w:hAnsi="Arial" w:cs="Arial"/>
          <w:sz w:val="19"/>
          <w:szCs w:val="19"/>
        </w:rPr>
      </w:pPr>
      <w:r w:rsidRPr="00872CCC">
        <w:rPr>
          <w:rFonts w:ascii="Arial" w:hAnsi="Arial" w:cs="Arial"/>
          <w:sz w:val="19"/>
          <w:szCs w:val="19"/>
        </w:rPr>
        <w:t>»c) Contará con la información oficial de la contratación realizada con dineros públicos, para lo cual establecerá los patrones a que haya lugar y se encargará de su difusión a través de canales electrónicos […]».</w:t>
      </w:r>
    </w:p>
  </w:footnote>
  <w:footnote w:id="19">
    <w:p w:rsidRPr="00872CCC" w:rsidR="006D2CDB" w:rsidP="00380EC4" w:rsidRDefault="006D2CDB" w14:paraId="3BC6518C" w14:textId="77777777">
      <w:pPr>
        <w:pStyle w:val="Textonotapie"/>
        <w:ind w:firstLine="709"/>
        <w:jc w:val="both"/>
        <w:rPr>
          <w:rFonts w:ascii="Arial" w:hAnsi="Arial" w:cs="Arial"/>
          <w:sz w:val="19"/>
          <w:szCs w:val="19"/>
        </w:rPr>
      </w:pPr>
      <w:r w:rsidRPr="00872CCC">
        <w:rPr>
          <w:rStyle w:val="Refdenotaalpie"/>
          <w:rFonts w:ascii="Arial" w:hAnsi="Arial" w:cs="Arial"/>
          <w:sz w:val="19"/>
          <w:szCs w:val="19"/>
        </w:rPr>
        <w:footnoteRef/>
      </w:r>
      <w:r w:rsidRPr="00872CCC">
        <w:rPr>
          <w:rFonts w:ascii="Arial" w:hAnsi="Arial" w:cs="Arial"/>
          <w:sz w:val="19"/>
          <w:szCs w:val="19"/>
        </w:rPr>
        <w:t xml:space="preserve"> Ibíd. </w:t>
      </w:r>
    </w:p>
    <w:p w:rsidRPr="00872CCC" w:rsidR="006D2CDB" w:rsidP="00380EC4" w:rsidRDefault="006D2CDB" w14:paraId="42334020" w14:textId="77777777">
      <w:pPr>
        <w:pStyle w:val="Textonotapie"/>
        <w:ind w:firstLine="709"/>
        <w:jc w:val="both"/>
        <w:rPr>
          <w:rFonts w:ascii="Arial" w:hAnsi="Arial" w:cs="Arial"/>
          <w:sz w:val="19"/>
          <w:szCs w:val="19"/>
        </w:rPr>
      </w:pPr>
    </w:p>
  </w:footnote>
  <w:footnote w:id="20">
    <w:p w:rsidRPr="00872CCC" w:rsidR="006D2CDB" w:rsidP="00753F38" w:rsidRDefault="006D2CDB" w14:paraId="2F030E98" w14:textId="77777777">
      <w:pPr>
        <w:pStyle w:val="Textonotapie"/>
        <w:ind w:firstLine="708"/>
        <w:jc w:val="both"/>
        <w:rPr>
          <w:rFonts w:ascii="Arial" w:hAnsi="Arial" w:cs="Arial"/>
          <w:sz w:val="19"/>
          <w:szCs w:val="19"/>
        </w:rPr>
      </w:pPr>
      <w:r w:rsidRPr="00872CCC">
        <w:rPr>
          <w:rStyle w:val="Refdenotaalpie"/>
          <w:rFonts w:ascii="Arial" w:hAnsi="Arial" w:cs="Arial"/>
          <w:sz w:val="19"/>
          <w:szCs w:val="19"/>
        </w:rPr>
        <w:footnoteRef/>
      </w:r>
      <w:r w:rsidRPr="00872CCC">
        <w:rPr>
          <w:rFonts w:ascii="Arial" w:hAnsi="Arial" w:cs="Arial"/>
          <w:sz w:val="19"/>
          <w:szCs w:val="19"/>
        </w:rPr>
        <w:t xml:space="preserve"> </w:t>
      </w:r>
      <w:r w:rsidRPr="00872CCC">
        <w:rPr>
          <w:rFonts w:ascii="Arial" w:hAnsi="Arial" w:eastAsia="Calibri" w:cs="Arial"/>
          <w:sz w:val="19"/>
          <w:szCs w:val="19"/>
          <w:lang w:val="es-ES"/>
        </w:rPr>
        <w:t>Es pertinente mencionar que, la implementación del SECOP II para el grueso de entidades estatales ha sido un proceso gradual y progresivo que se viene adelantando desde 2018, en el marco del cual, conforme se ha ido realizando el despliegue a nivel territorial de la plataforma y capacitando a los funcionarios para el uso de esta, se han ido vinculando diferentes entidades al uso obligatorio del SECOP II.  Estas entidades y las fechas a partir de las cuales les correspondió o corresponderá comenzar a utilizar la referida plataforma transaccional son definidos por las circulares externas nos. 001 de 2013, 020 de 2015, 001 de 2019, 002 de 2019, 003 de 2020, 001 de 2021 y 002 de 2022</w:t>
      </w:r>
      <w:r w:rsidRPr="00872CCC">
        <w:rPr>
          <w:rFonts w:ascii="Arial" w:hAnsi="Arial" w:cs="Arial"/>
          <w:sz w:val="19"/>
          <w:szCs w:val="19"/>
        </w:rPr>
        <w:t xml:space="preserve">Estas circulares pueden ser consultadas en: </w:t>
      </w:r>
      <w:hyperlink w:history="1" r:id="rId1">
        <w:r w:rsidRPr="00872CCC">
          <w:rPr>
            <w:rStyle w:val="Hipervnculo"/>
            <w:rFonts w:ascii="Arial" w:hAnsi="Arial" w:cs="Arial"/>
            <w:sz w:val="19"/>
            <w:szCs w:val="19"/>
          </w:rPr>
          <w:t>https://www.colombiacompra.gov.co/circulares</w:t>
        </w:r>
      </w:hyperlink>
    </w:p>
    <w:p w:rsidRPr="00872CCC" w:rsidR="006D2CDB" w:rsidP="00753F38" w:rsidRDefault="006D2CDB" w14:paraId="23539BA3" w14:textId="77777777">
      <w:pPr>
        <w:pStyle w:val="Textonotapie"/>
        <w:ind w:firstLine="708"/>
        <w:rPr>
          <w:rFonts w:ascii="Arial" w:hAnsi="Arial" w:cs="Arial"/>
          <w:sz w:val="19"/>
          <w:szCs w:val="19"/>
        </w:rPr>
      </w:pPr>
    </w:p>
  </w:footnote>
  <w:footnote w:id="21">
    <w:p w:rsidRPr="00872CCC" w:rsidR="006D2CDB" w:rsidP="00753F38" w:rsidRDefault="006D2CDB" w14:paraId="59867B74" w14:textId="77777777">
      <w:pPr>
        <w:pStyle w:val="Textonotapie"/>
        <w:ind w:firstLine="708"/>
        <w:jc w:val="both"/>
        <w:rPr>
          <w:rFonts w:ascii="Arial" w:hAnsi="Arial" w:cs="Arial"/>
          <w:sz w:val="19"/>
          <w:szCs w:val="19"/>
        </w:rPr>
      </w:pPr>
      <w:r w:rsidRPr="00872CCC">
        <w:rPr>
          <w:rStyle w:val="Refdenotaalpie"/>
          <w:rFonts w:ascii="Arial" w:hAnsi="Arial" w:cs="Arial"/>
          <w:sz w:val="19"/>
          <w:szCs w:val="19"/>
        </w:rPr>
        <w:footnoteRef/>
      </w:r>
      <w:r w:rsidRPr="00872CCC">
        <w:rPr>
          <w:rFonts w:ascii="Arial" w:hAnsi="Arial" w:cs="Arial"/>
          <w:sz w:val="19"/>
          <w:szCs w:val="19"/>
        </w:rPr>
        <w:t xml:space="preserve"> «Artículo 3°. Funciones. La Agencia Nacional de Contratación Pública -Colombia Compra Eficiente- ejercerá las siguientes funciones: </w:t>
      </w:r>
    </w:p>
    <w:p w:rsidRPr="00872CCC" w:rsidR="006D2CDB" w:rsidP="00753F38" w:rsidRDefault="006D2CDB" w14:paraId="173AF6AC" w14:textId="77777777">
      <w:pPr>
        <w:pStyle w:val="Textonotapie"/>
        <w:ind w:firstLine="708"/>
        <w:jc w:val="both"/>
        <w:rPr>
          <w:rFonts w:ascii="Arial" w:hAnsi="Arial" w:cs="Arial"/>
          <w:sz w:val="19"/>
          <w:szCs w:val="19"/>
        </w:rPr>
      </w:pPr>
      <w:r w:rsidRPr="00872CCC">
        <w:rPr>
          <w:rFonts w:ascii="Arial" w:hAnsi="Arial" w:cs="Arial"/>
          <w:sz w:val="19"/>
          <w:szCs w:val="19"/>
        </w:rPr>
        <w:t xml:space="preserve">»1. Proponer al Gobierno Nacional las políticas públicas, planes, programas y normas en materia de compras y contratación pública buscando la efectividad entre la oferta y la demanda en el mercado y criterios de racionalización normativa, con el fin de lograr una mayor eficiencia, transparencia y optimización de los recursos del Estado. </w:t>
      </w:r>
    </w:p>
    <w:p w:rsidRPr="00872CCC" w:rsidR="006D2CDB" w:rsidP="00753F38" w:rsidRDefault="006D2CDB" w14:paraId="4C15DCAE" w14:textId="77777777">
      <w:pPr>
        <w:pStyle w:val="Textonotapie"/>
        <w:ind w:firstLine="708"/>
        <w:jc w:val="both"/>
        <w:rPr>
          <w:rFonts w:ascii="Arial" w:hAnsi="Arial" w:cs="Arial"/>
          <w:sz w:val="19"/>
          <w:szCs w:val="19"/>
        </w:rPr>
      </w:pPr>
      <w:r w:rsidRPr="00872CCC">
        <w:rPr>
          <w:rFonts w:ascii="Arial" w:hAnsi="Arial" w:cs="Arial"/>
          <w:sz w:val="19"/>
          <w:szCs w:val="19"/>
        </w:rPr>
        <w:t xml:space="preserve">  »2.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w:t>
      </w:r>
    </w:p>
    <w:p w:rsidRPr="00872CCC" w:rsidR="006D2CDB" w:rsidP="00753F38" w:rsidRDefault="006D2CDB" w14:paraId="7DBFE1E3" w14:textId="77777777">
      <w:pPr>
        <w:pStyle w:val="Textonotapie"/>
        <w:ind w:firstLine="708"/>
        <w:jc w:val="both"/>
        <w:rPr>
          <w:rFonts w:ascii="Arial" w:hAnsi="Arial" w:cs="Arial"/>
          <w:sz w:val="19"/>
          <w:szCs w:val="19"/>
        </w:rPr>
      </w:pPr>
      <w:r w:rsidRPr="00872CCC">
        <w:rPr>
          <w:rFonts w:ascii="Arial" w:hAnsi="Arial" w:cs="Arial"/>
          <w:sz w:val="19"/>
          <w:szCs w:val="19"/>
        </w:rPr>
        <w:t xml:space="preserve">»3. Coordinar con las demás entidades públicas las gestiones necesarias para el cumplimiento del objetivo de la Agencia. </w:t>
      </w:r>
    </w:p>
    <w:p w:rsidRPr="00872CCC" w:rsidR="006D2CDB" w:rsidP="00753F38" w:rsidRDefault="006D2CDB" w14:paraId="4549CA22" w14:textId="77777777">
      <w:pPr>
        <w:pStyle w:val="Textonotapie"/>
        <w:ind w:firstLine="708"/>
        <w:jc w:val="both"/>
        <w:rPr>
          <w:rFonts w:ascii="Arial" w:hAnsi="Arial" w:cs="Arial"/>
          <w:sz w:val="19"/>
          <w:szCs w:val="19"/>
        </w:rPr>
      </w:pPr>
      <w:r w:rsidRPr="00872CCC">
        <w:rPr>
          <w:rFonts w:ascii="Arial" w:hAnsi="Arial" w:cs="Arial"/>
          <w:sz w:val="19"/>
          <w:szCs w:val="19"/>
        </w:rPr>
        <w:t xml:space="preserve">»4. Hacer estudios, diagnósticos, estadísticas en materia de compras y contratación con recursos del Estado, buscando la efectividad entre la oferta y la demanda en el mercado de compras y contratación pública. </w:t>
      </w:r>
    </w:p>
    <w:p w:rsidRPr="00872CCC" w:rsidR="006D2CDB" w:rsidP="00753F38" w:rsidRDefault="006D2CDB" w14:paraId="3ADC602E" w14:textId="77777777">
      <w:pPr>
        <w:pStyle w:val="Textonotapie"/>
        <w:ind w:firstLine="708"/>
        <w:jc w:val="both"/>
        <w:rPr>
          <w:rFonts w:ascii="Arial" w:hAnsi="Arial" w:cs="Arial"/>
          <w:sz w:val="19"/>
          <w:szCs w:val="19"/>
        </w:rPr>
      </w:pPr>
      <w:r w:rsidRPr="00872CCC">
        <w:rPr>
          <w:rFonts w:ascii="Arial" w:hAnsi="Arial" w:cs="Arial"/>
          <w:sz w:val="19"/>
          <w:szCs w:val="19"/>
        </w:rPr>
        <w:t xml:space="preserve">»5. Absolver consultas sobre la aplicación de normas de carácter general y expedir circulares externas en materia de compras y contratación pública […]». </w:t>
      </w:r>
    </w:p>
    <w:p w:rsidRPr="00872CCC" w:rsidR="006D2CDB" w:rsidP="00753F38" w:rsidRDefault="006D2CDB" w14:paraId="336298C8" w14:textId="77777777">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F58A1" w:rsidR="006D2CDB" w:rsidP="00FF547A" w:rsidRDefault="006D2CDB" w14:paraId="4E7F70B2" w14:textId="77777777">
    <w:pPr>
      <w:rPr>
        <w:rFonts w:ascii="Geomanist Bold" w:hAnsi="Geomanist Bold"/>
        <w:color w:val="002060"/>
      </w:rPr>
    </w:pPr>
    <w:r w:rsidRPr="008614E5">
      <w:rPr>
        <w:rFonts w:eastAsia="Arial Nova" w:cs="Arial Nova"/>
        <w:noProof/>
        <w:lang w:val="es-CO" w:eastAsia="es-CO"/>
      </w:rPr>
      <w:drawing>
        <wp:anchor distT="0" distB="0" distL="0" distR="0" simplePos="0" relativeHeight="251659264" behindDoc="1" locked="0" layoutInCell="1" hidden="0" allowOverlap="1" wp14:anchorId="5874DB57" wp14:editId="160F8ED8">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Pr="00367110" w:rsidR="006D2CDB" w:rsidTr="00377FAF" w14:paraId="5ED9DEE1" w14:textId="77777777">
      <w:tc>
        <w:tcPr>
          <w:tcW w:w="6756" w:type="dxa"/>
        </w:tcPr>
        <w:p w:rsidRPr="006478E3" w:rsidR="006D2CDB" w:rsidP="00FF547A" w:rsidRDefault="006D2CDB" w14:paraId="0A134E09" w14:textId="77777777">
          <w:pPr>
            <w:pBdr>
              <w:top w:val="nil"/>
              <w:left w:val="nil"/>
              <w:bottom w:val="nil"/>
              <w:right w:val="nil"/>
              <w:between w:val="nil"/>
            </w:pBdr>
            <w:tabs>
              <w:tab w:val="center" w:pos="4419"/>
              <w:tab w:val="right" w:pos="8838"/>
              <w:tab w:val="center" w:pos="5400"/>
            </w:tabs>
            <w:rPr>
              <w:rFonts w:ascii="Geomanist Bold" w:hAnsi="Geomanist Bold" w:eastAsia="Geo" w:cs="Geo"/>
              <w:b/>
              <w:color w:val="002060"/>
              <w:lang w:eastAsia="es-CO"/>
            </w:rPr>
          </w:pPr>
          <w:r w:rsidRPr="006478E3">
            <w:rPr>
              <w:rFonts w:ascii="Geomanist Bold" w:hAnsi="Geomanist Bold" w:eastAsia="Geo" w:cs="Geo"/>
              <w:b/>
              <w:color w:val="000000"/>
              <w:sz w:val="20"/>
              <w:szCs w:val="20"/>
              <w:lang w:eastAsia="es-CO"/>
            </w:rPr>
            <w:t>Código</w:t>
          </w:r>
          <w:r>
            <w:rPr>
              <w:rFonts w:ascii="Geomanist Bold" w:hAnsi="Geomanist Bold" w:eastAsia="Geo" w:cs="Geo"/>
              <w:b/>
              <w:color w:val="000000"/>
              <w:sz w:val="20"/>
              <w:szCs w:val="20"/>
              <w:lang w:eastAsia="es-CO"/>
            </w:rPr>
            <w:t xml:space="preserve">: </w:t>
          </w: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08</w:t>
          </w:r>
        </w:p>
        <w:p w:rsidRPr="0057618A" w:rsidR="006D2CDB" w:rsidP="00FF547A" w:rsidRDefault="006D2CDB" w14:paraId="21A55BEE" w14:textId="77777777">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hAnsi="Geomanist Bold" w:eastAsia="Geo" w:cs="Geo"/>
              <w:b/>
              <w:color w:val="000000"/>
              <w:sz w:val="20"/>
              <w:szCs w:val="20"/>
              <w:lang w:eastAsia="es-CO"/>
            </w:rPr>
            <w:t>Versión</w:t>
          </w:r>
          <w:r>
            <w:rPr>
              <w:rFonts w:ascii="Geomanist Bold" w:hAnsi="Geomanist Bold" w:eastAsia="Arial Nova" w:cs="Arial Nova"/>
              <w:b/>
              <w:color w:val="000000"/>
              <w:sz w:val="20"/>
              <w:szCs w:val="20"/>
              <w:lang w:eastAsia="es-CO"/>
            </w:rPr>
            <w:t xml:space="preserve">: </w:t>
          </w:r>
          <w:r w:rsidRPr="0000650B">
            <w:rPr>
              <w:rFonts w:ascii="Geomanist Light" w:hAnsi="Geomanist Light" w:eastAsia="Geo" w:cs="Geo"/>
              <w:sz w:val="18"/>
              <w:szCs w:val="18"/>
              <w:lang w:eastAsia="es-CO"/>
            </w:rPr>
            <w:t xml:space="preserve">01 DEL </w:t>
          </w:r>
          <w:r>
            <w:rPr>
              <w:rFonts w:ascii="Geomanist Light" w:hAnsi="Geomanist Light" w:eastAsia="Geo" w:cs="Geo"/>
              <w:sz w:val="18"/>
              <w:szCs w:val="18"/>
              <w:lang w:eastAsia="es-CO"/>
            </w:rPr>
            <w:t>30 DE AGOSTO DE 2022</w:t>
          </w:r>
        </w:p>
      </w:tc>
      <w:tc>
        <w:tcPr>
          <w:tcW w:w="1324" w:type="dxa"/>
        </w:tcPr>
        <w:p w:rsidRPr="00367110" w:rsidR="006D2CDB" w:rsidP="00FF547A" w:rsidRDefault="006D2CDB" w14:paraId="5FC476D3" w14:textId="77777777">
          <w:pPr>
            <w:jc w:val="right"/>
            <w:rPr>
              <w:rFonts w:eastAsia="Arial Nova" w:cs="Arial Nova"/>
              <w:lang w:eastAsia="es-CO"/>
            </w:rPr>
          </w:pPr>
        </w:p>
      </w:tc>
      <w:tc>
        <w:tcPr>
          <w:tcW w:w="1324" w:type="dxa"/>
        </w:tcPr>
        <w:p w:rsidRPr="00367110" w:rsidR="006D2CDB" w:rsidP="00FF547A" w:rsidRDefault="006D2CDB" w14:paraId="0F0F73CB" w14:textId="77777777">
          <w:pPr>
            <w:jc w:val="right"/>
            <w:rPr>
              <w:rFonts w:eastAsia="Arial Nova" w:cs="Arial Nova"/>
              <w:lang w:eastAsia="es-CO"/>
            </w:rPr>
          </w:pPr>
        </w:p>
      </w:tc>
    </w:tr>
  </w:tbl>
  <w:p w:rsidRPr="00460695" w:rsidR="006D2CDB" w:rsidP="00FF547A" w:rsidRDefault="006D2CDB" w14:paraId="6748370D" w14:textId="77777777">
    <w:pPr>
      <w:pStyle w:val="Encabezado"/>
      <w:ind w:left="3545" w:firstLine="709"/>
      <w:rPr>
        <w:b/>
        <w:bCs/>
        <w:color w:val="9BBB59"/>
        <w:sz w:val="18"/>
        <w:szCs w:val="18"/>
      </w:rPr>
    </w:pPr>
    <w:r w:rsidRPr="00367110">
      <w:rPr>
        <w:rFonts w:eastAsia="Arial Nova" w:cs="Arial Nova"/>
        <w:noProof/>
        <w:color w:val="000000"/>
        <w:lang w:val="es-CO" w:eastAsia="es-CO"/>
      </w:rPr>
      <w:drawing>
        <wp:anchor distT="0" distB="0" distL="114300" distR="114300" simplePos="0" relativeHeight="251660288" behindDoc="1" locked="0" layoutInCell="1" allowOverlap="1" wp14:anchorId="6DE7C012" wp14:editId="6EC056F1">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rsidR="006D2CDB" w:rsidRDefault="006D2CDB" w14:paraId="596DAC93" w14:textId="5AAD89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D57"/>
    <w:multiLevelType w:val="hybridMultilevel"/>
    <w:tmpl w:val="F4BEBEDE"/>
    <w:lvl w:ilvl="0" w:tplc="FFFFFFFF">
      <w:start w:val="1"/>
      <w:numFmt w:val="decimal"/>
      <w:lvlText w:val="%1."/>
      <w:lvlJc w:val="left"/>
      <w:pPr>
        <w:ind w:left="720" w:hanging="360"/>
      </w:pPr>
      <w:rPr>
        <w:rFonts w:hint="default" w:eastAsia="Calibri"/>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B360E5"/>
    <w:multiLevelType w:val="hybridMultilevel"/>
    <w:tmpl w:val="D39C906C"/>
    <w:lvl w:ilvl="0" w:tplc="D5F84DD2">
      <w:start w:val="3"/>
      <w:numFmt w:val="bullet"/>
      <w:lvlText w:val="-"/>
      <w:lvlJc w:val="left"/>
      <w:pPr>
        <w:ind w:left="720" w:hanging="360"/>
      </w:pPr>
      <w:rPr>
        <w:rFonts w:hint="default" w:ascii="Arial" w:hAnsi="Arial" w:cs="Arial" w:eastAsiaTheme="minorHAns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24592630"/>
    <w:multiLevelType w:val="hybridMultilevel"/>
    <w:tmpl w:val="7A7411D8"/>
    <w:lvl w:ilvl="0" w:tplc="0A1C59BA">
      <w:start w:val="1"/>
      <w:numFmt w:val="lowerLetter"/>
      <w:lvlText w:val="%1)"/>
      <w:lvlJc w:val="left"/>
      <w:pPr>
        <w:ind w:left="1008" w:hanging="330"/>
      </w:pPr>
      <w:rPr>
        <w:rFonts w:hint="default" w:ascii="Arial" w:hAnsi="Arial" w:eastAsia="Arial" w:cs="Arial"/>
        <w:color w:val="4E4D4D"/>
        <w:spacing w:val="-3"/>
        <w:w w:val="100"/>
        <w:sz w:val="21"/>
        <w:szCs w:val="21"/>
        <w:lang w:val="es-ES" w:eastAsia="en-US" w:bidi="ar-SA"/>
      </w:rPr>
    </w:lvl>
    <w:lvl w:ilvl="1" w:tplc="C76AB28E">
      <w:numFmt w:val="bullet"/>
      <w:lvlText w:val="•"/>
      <w:lvlJc w:val="left"/>
      <w:pPr>
        <w:ind w:left="1854" w:hanging="330"/>
      </w:pPr>
      <w:rPr>
        <w:rFonts w:hint="default"/>
        <w:lang w:val="es-ES" w:eastAsia="en-US" w:bidi="ar-SA"/>
      </w:rPr>
    </w:lvl>
    <w:lvl w:ilvl="2" w:tplc="9E525040">
      <w:numFmt w:val="bullet"/>
      <w:lvlText w:val="•"/>
      <w:lvlJc w:val="left"/>
      <w:pPr>
        <w:ind w:left="2708" w:hanging="330"/>
      </w:pPr>
      <w:rPr>
        <w:rFonts w:hint="default"/>
        <w:lang w:val="es-ES" w:eastAsia="en-US" w:bidi="ar-SA"/>
      </w:rPr>
    </w:lvl>
    <w:lvl w:ilvl="3" w:tplc="157487EA">
      <w:numFmt w:val="bullet"/>
      <w:lvlText w:val="•"/>
      <w:lvlJc w:val="left"/>
      <w:pPr>
        <w:ind w:left="3562" w:hanging="330"/>
      </w:pPr>
      <w:rPr>
        <w:rFonts w:hint="default"/>
        <w:lang w:val="es-ES" w:eastAsia="en-US" w:bidi="ar-SA"/>
      </w:rPr>
    </w:lvl>
    <w:lvl w:ilvl="4" w:tplc="9C92261A">
      <w:numFmt w:val="bullet"/>
      <w:lvlText w:val="•"/>
      <w:lvlJc w:val="left"/>
      <w:pPr>
        <w:ind w:left="4416" w:hanging="330"/>
      </w:pPr>
      <w:rPr>
        <w:rFonts w:hint="default"/>
        <w:lang w:val="es-ES" w:eastAsia="en-US" w:bidi="ar-SA"/>
      </w:rPr>
    </w:lvl>
    <w:lvl w:ilvl="5" w:tplc="F6FEF14A">
      <w:numFmt w:val="bullet"/>
      <w:lvlText w:val="•"/>
      <w:lvlJc w:val="left"/>
      <w:pPr>
        <w:ind w:left="5270" w:hanging="330"/>
      </w:pPr>
      <w:rPr>
        <w:rFonts w:hint="default"/>
        <w:lang w:val="es-ES" w:eastAsia="en-US" w:bidi="ar-SA"/>
      </w:rPr>
    </w:lvl>
    <w:lvl w:ilvl="6" w:tplc="48D0A250">
      <w:numFmt w:val="bullet"/>
      <w:lvlText w:val="•"/>
      <w:lvlJc w:val="left"/>
      <w:pPr>
        <w:ind w:left="6124" w:hanging="330"/>
      </w:pPr>
      <w:rPr>
        <w:rFonts w:hint="default"/>
        <w:lang w:val="es-ES" w:eastAsia="en-US" w:bidi="ar-SA"/>
      </w:rPr>
    </w:lvl>
    <w:lvl w:ilvl="7" w:tplc="87100EE6">
      <w:numFmt w:val="bullet"/>
      <w:lvlText w:val="•"/>
      <w:lvlJc w:val="left"/>
      <w:pPr>
        <w:ind w:left="6978" w:hanging="330"/>
      </w:pPr>
      <w:rPr>
        <w:rFonts w:hint="default"/>
        <w:lang w:val="es-ES" w:eastAsia="en-US" w:bidi="ar-SA"/>
      </w:rPr>
    </w:lvl>
    <w:lvl w:ilvl="8" w:tplc="D2849722">
      <w:numFmt w:val="bullet"/>
      <w:lvlText w:val="•"/>
      <w:lvlJc w:val="left"/>
      <w:pPr>
        <w:ind w:left="7832" w:hanging="330"/>
      </w:pPr>
      <w:rPr>
        <w:rFonts w:hint="default"/>
        <w:lang w:val="es-ES" w:eastAsia="en-US" w:bidi="ar-SA"/>
      </w:rPr>
    </w:lvl>
  </w:abstractNum>
  <w:abstractNum w:abstractNumId="3" w15:restartNumberingAfterBreak="0">
    <w:nsid w:val="2D1546DC"/>
    <w:multiLevelType w:val="multilevel"/>
    <w:tmpl w:val="AB72A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91D27D0"/>
    <w:multiLevelType w:val="multilevel"/>
    <w:tmpl w:val="D47AE904"/>
    <w:lvl w:ilvl="0">
      <w:start w:val="1"/>
      <w:numFmt w:val="decimal"/>
      <w:lvlText w:val="%1"/>
      <w:lvlJc w:val="left"/>
      <w:pPr>
        <w:ind w:left="725" w:hanging="425"/>
      </w:pPr>
      <w:rPr>
        <w:rFonts w:hint="default"/>
        <w:lang w:val="es-ES" w:eastAsia="en-US" w:bidi="ar-SA"/>
      </w:rPr>
    </w:lvl>
    <w:lvl w:ilvl="1">
      <w:start w:val="1"/>
      <w:numFmt w:val="decimal"/>
      <w:lvlText w:val="%1.%2."/>
      <w:lvlJc w:val="left"/>
      <w:pPr>
        <w:ind w:left="725" w:hanging="425"/>
      </w:pPr>
      <w:rPr>
        <w:rFonts w:hint="default" w:ascii="Arial" w:hAnsi="Arial" w:eastAsia="Arial" w:cs="Arial"/>
        <w:b/>
        <w:bCs/>
        <w:color w:val="000000" w:themeColor="text1"/>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abstractNum w:abstractNumId="5" w15:restartNumberingAfterBreak="0">
    <w:nsid w:val="4C5A58BD"/>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5F44E0"/>
    <w:multiLevelType w:val="hybridMultilevel"/>
    <w:tmpl w:val="F4BEBEDE"/>
    <w:lvl w:ilvl="0" w:tplc="EC40D58E">
      <w:start w:val="1"/>
      <w:numFmt w:val="decimal"/>
      <w:lvlText w:val="%1."/>
      <w:lvlJc w:val="left"/>
      <w:pPr>
        <w:ind w:left="720" w:hanging="360"/>
      </w:pPr>
      <w:rPr>
        <w:rFonts w:hint="default" w:eastAsia="Calibri"/>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857FE1"/>
    <w:multiLevelType w:val="hybridMultilevel"/>
    <w:tmpl w:val="22081502"/>
    <w:lvl w:ilvl="0" w:tplc="01C08F3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032B02"/>
    <w:multiLevelType w:val="hybridMultilevel"/>
    <w:tmpl w:val="593E1724"/>
    <w:lvl w:ilvl="0" w:tplc="080A0001">
      <w:start w:val="1"/>
      <w:numFmt w:val="bullet"/>
      <w:lvlText w:val=""/>
      <w:lvlJc w:val="left"/>
      <w:pPr>
        <w:ind w:left="1429" w:hanging="360"/>
      </w:pPr>
      <w:rPr>
        <w:rFonts w:hint="default" w:ascii="Symbol" w:hAnsi="Symbol"/>
      </w:rPr>
    </w:lvl>
    <w:lvl w:ilvl="1" w:tplc="080A0003" w:tentative="1">
      <w:start w:val="1"/>
      <w:numFmt w:val="bullet"/>
      <w:lvlText w:val="o"/>
      <w:lvlJc w:val="left"/>
      <w:pPr>
        <w:ind w:left="2149" w:hanging="360"/>
      </w:pPr>
      <w:rPr>
        <w:rFonts w:hint="default" w:ascii="Courier New" w:hAnsi="Courier New" w:cs="Courier New"/>
      </w:rPr>
    </w:lvl>
    <w:lvl w:ilvl="2" w:tplc="080A0005" w:tentative="1">
      <w:start w:val="1"/>
      <w:numFmt w:val="bullet"/>
      <w:lvlText w:val=""/>
      <w:lvlJc w:val="left"/>
      <w:pPr>
        <w:ind w:left="2869" w:hanging="360"/>
      </w:pPr>
      <w:rPr>
        <w:rFonts w:hint="default" w:ascii="Wingdings" w:hAnsi="Wingdings"/>
      </w:rPr>
    </w:lvl>
    <w:lvl w:ilvl="3" w:tplc="080A0001" w:tentative="1">
      <w:start w:val="1"/>
      <w:numFmt w:val="bullet"/>
      <w:lvlText w:val=""/>
      <w:lvlJc w:val="left"/>
      <w:pPr>
        <w:ind w:left="3589" w:hanging="360"/>
      </w:pPr>
      <w:rPr>
        <w:rFonts w:hint="default" w:ascii="Symbol" w:hAnsi="Symbol"/>
      </w:rPr>
    </w:lvl>
    <w:lvl w:ilvl="4" w:tplc="080A0003" w:tentative="1">
      <w:start w:val="1"/>
      <w:numFmt w:val="bullet"/>
      <w:lvlText w:val="o"/>
      <w:lvlJc w:val="left"/>
      <w:pPr>
        <w:ind w:left="4309" w:hanging="360"/>
      </w:pPr>
      <w:rPr>
        <w:rFonts w:hint="default" w:ascii="Courier New" w:hAnsi="Courier New" w:cs="Courier New"/>
      </w:rPr>
    </w:lvl>
    <w:lvl w:ilvl="5" w:tplc="080A0005" w:tentative="1">
      <w:start w:val="1"/>
      <w:numFmt w:val="bullet"/>
      <w:lvlText w:val=""/>
      <w:lvlJc w:val="left"/>
      <w:pPr>
        <w:ind w:left="5029" w:hanging="360"/>
      </w:pPr>
      <w:rPr>
        <w:rFonts w:hint="default" w:ascii="Wingdings" w:hAnsi="Wingdings"/>
      </w:rPr>
    </w:lvl>
    <w:lvl w:ilvl="6" w:tplc="080A0001" w:tentative="1">
      <w:start w:val="1"/>
      <w:numFmt w:val="bullet"/>
      <w:lvlText w:val=""/>
      <w:lvlJc w:val="left"/>
      <w:pPr>
        <w:ind w:left="5749" w:hanging="360"/>
      </w:pPr>
      <w:rPr>
        <w:rFonts w:hint="default" w:ascii="Symbol" w:hAnsi="Symbol"/>
      </w:rPr>
    </w:lvl>
    <w:lvl w:ilvl="7" w:tplc="080A0003" w:tentative="1">
      <w:start w:val="1"/>
      <w:numFmt w:val="bullet"/>
      <w:lvlText w:val="o"/>
      <w:lvlJc w:val="left"/>
      <w:pPr>
        <w:ind w:left="6469" w:hanging="360"/>
      </w:pPr>
      <w:rPr>
        <w:rFonts w:hint="default" w:ascii="Courier New" w:hAnsi="Courier New" w:cs="Courier New"/>
      </w:rPr>
    </w:lvl>
    <w:lvl w:ilvl="8" w:tplc="080A0005" w:tentative="1">
      <w:start w:val="1"/>
      <w:numFmt w:val="bullet"/>
      <w:lvlText w:val=""/>
      <w:lvlJc w:val="left"/>
      <w:pPr>
        <w:ind w:left="7189" w:hanging="360"/>
      </w:pPr>
      <w:rPr>
        <w:rFonts w:hint="default" w:ascii="Wingdings" w:hAnsi="Wingdings"/>
      </w:rPr>
    </w:lvl>
  </w:abstractNum>
  <w:abstractNum w:abstractNumId="9"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51669914">
    <w:abstractNumId w:val="3"/>
  </w:num>
  <w:num w:numId="2" w16cid:durableId="1909261866">
    <w:abstractNumId w:val="8"/>
  </w:num>
  <w:num w:numId="3" w16cid:durableId="1614747419">
    <w:abstractNumId w:val="2"/>
  </w:num>
  <w:num w:numId="4" w16cid:durableId="2013220359">
    <w:abstractNumId w:val="4"/>
  </w:num>
  <w:num w:numId="5" w16cid:durableId="141043268">
    <w:abstractNumId w:val="6"/>
  </w:num>
  <w:num w:numId="6" w16cid:durableId="1064252877">
    <w:abstractNumId w:val="0"/>
  </w:num>
  <w:num w:numId="7" w16cid:durableId="327514202">
    <w:abstractNumId w:val="1"/>
  </w:num>
  <w:num w:numId="8" w16cid:durableId="2113818610">
    <w:abstractNumId w:val="7"/>
  </w:num>
  <w:num w:numId="9" w16cid:durableId="705759619">
    <w:abstractNumId w:val="5"/>
  </w:num>
  <w:num w:numId="10" w16cid:durableId="2054096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67"/>
    <w:rsid w:val="0000246D"/>
    <w:rsid w:val="000027AC"/>
    <w:rsid w:val="0000290E"/>
    <w:rsid w:val="0001350A"/>
    <w:rsid w:val="00013A32"/>
    <w:rsid w:val="00015285"/>
    <w:rsid w:val="000160CE"/>
    <w:rsid w:val="00027E00"/>
    <w:rsid w:val="00034765"/>
    <w:rsid w:val="00041D4B"/>
    <w:rsid w:val="0004470C"/>
    <w:rsid w:val="00047939"/>
    <w:rsid w:val="00051DF9"/>
    <w:rsid w:val="00055900"/>
    <w:rsid w:val="00061670"/>
    <w:rsid w:val="00063E22"/>
    <w:rsid w:val="00064617"/>
    <w:rsid w:val="00066403"/>
    <w:rsid w:val="000714BA"/>
    <w:rsid w:val="000770A6"/>
    <w:rsid w:val="000801E4"/>
    <w:rsid w:val="00081366"/>
    <w:rsid w:val="000815BD"/>
    <w:rsid w:val="00081C0D"/>
    <w:rsid w:val="00093ECC"/>
    <w:rsid w:val="000965D3"/>
    <w:rsid w:val="000A1A65"/>
    <w:rsid w:val="000A22E0"/>
    <w:rsid w:val="000A2429"/>
    <w:rsid w:val="000A2922"/>
    <w:rsid w:val="000A4CF9"/>
    <w:rsid w:val="000A6950"/>
    <w:rsid w:val="000A71F8"/>
    <w:rsid w:val="000B322A"/>
    <w:rsid w:val="000B38F9"/>
    <w:rsid w:val="000B6B23"/>
    <w:rsid w:val="000B7A2F"/>
    <w:rsid w:val="000C0C5A"/>
    <w:rsid w:val="000C176A"/>
    <w:rsid w:val="000C232E"/>
    <w:rsid w:val="000C41FF"/>
    <w:rsid w:val="000C7DC5"/>
    <w:rsid w:val="000D17CE"/>
    <w:rsid w:val="000D31AF"/>
    <w:rsid w:val="000D3320"/>
    <w:rsid w:val="000E22E1"/>
    <w:rsid w:val="000E4BCC"/>
    <w:rsid w:val="000E6606"/>
    <w:rsid w:val="000F1274"/>
    <w:rsid w:val="000F16C3"/>
    <w:rsid w:val="000F20D6"/>
    <w:rsid w:val="000F2455"/>
    <w:rsid w:val="000F2EC6"/>
    <w:rsid w:val="000F416D"/>
    <w:rsid w:val="001005DA"/>
    <w:rsid w:val="00100AC8"/>
    <w:rsid w:val="0010115C"/>
    <w:rsid w:val="0010340C"/>
    <w:rsid w:val="00103ECD"/>
    <w:rsid w:val="001048AE"/>
    <w:rsid w:val="00110547"/>
    <w:rsid w:val="001221E5"/>
    <w:rsid w:val="00122D5C"/>
    <w:rsid w:val="00130B50"/>
    <w:rsid w:val="00132DAD"/>
    <w:rsid w:val="00132DDD"/>
    <w:rsid w:val="0014048E"/>
    <w:rsid w:val="00140BF5"/>
    <w:rsid w:val="0014294A"/>
    <w:rsid w:val="0014312B"/>
    <w:rsid w:val="00144885"/>
    <w:rsid w:val="00145CEA"/>
    <w:rsid w:val="0015100A"/>
    <w:rsid w:val="001542F1"/>
    <w:rsid w:val="00154825"/>
    <w:rsid w:val="00155176"/>
    <w:rsid w:val="00155A6A"/>
    <w:rsid w:val="00156332"/>
    <w:rsid w:val="00156426"/>
    <w:rsid w:val="00160025"/>
    <w:rsid w:val="00160EA4"/>
    <w:rsid w:val="0016321F"/>
    <w:rsid w:val="00166895"/>
    <w:rsid w:val="001701CA"/>
    <w:rsid w:val="00172E23"/>
    <w:rsid w:val="0017361B"/>
    <w:rsid w:val="00177317"/>
    <w:rsid w:val="00180D84"/>
    <w:rsid w:val="00181D50"/>
    <w:rsid w:val="00184A6A"/>
    <w:rsid w:val="00192273"/>
    <w:rsid w:val="0019286E"/>
    <w:rsid w:val="0019347C"/>
    <w:rsid w:val="0019577D"/>
    <w:rsid w:val="00196387"/>
    <w:rsid w:val="00197239"/>
    <w:rsid w:val="001973D3"/>
    <w:rsid w:val="001A1FE0"/>
    <w:rsid w:val="001A20CD"/>
    <w:rsid w:val="001A3646"/>
    <w:rsid w:val="001A7515"/>
    <w:rsid w:val="001B1ED3"/>
    <w:rsid w:val="001B5043"/>
    <w:rsid w:val="001C668B"/>
    <w:rsid w:val="001C7F1C"/>
    <w:rsid w:val="001D014E"/>
    <w:rsid w:val="001D169F"/>
    <w:rsid w:val="001D579D"/>
    <w:rsid w:val="001D6056"/>
    <w:rsid w:val="001E00A3"/>
    <w:rsid w:val="001E0D8E"/>
    <w:rsid w:val="001E3285"/>
    <w:rsid w:val="001E51C7"/>
    <w:rsid w:val="001E55F8"/>
    <w:rsid w:val="001F0BA1"/>
    <w:rsid w:val="001F1036"/>
    <w:rsid w:val="001F2112"/>
    <w:rsid w:val="001F21CD"/>
    <w:rsid w:val="001F2FE7"/>
    <w:rsid w:val="001F4A87"/>
    <w:rsid w:val="0020413F"/>
    <w:rsid w:val="0020666F"/>
    <w:rsid w:val="00206E4E"/>
    <w:rsid w:val="0022027A"/>
    <w:rsid w:val="002203D9"/>
    <w:rsid w:val="00222FE7"/>
    <w:rsid w:val="00225CB5"/>
    <w:rsid w:val="0023114E"/>
    <w:rsid w:val="00234C96"/>
    <w:rsid w:val="00236169"/>
    <w:rsid w:val="002370E0"/>
    <w:rsid w:val="002410B7"/>
    <w:rsid w:val="00244285"/>
    <w:rsid w:val="00244D23"/>
    <w:rsid w:val="002465BD"/>
    <w:rsid w:val="00247860"/>
    <w:rsid w:val="00250107"/>
    <w:rsid w:val="002546FB"/>
    <w:rsid w:val="0025667C"/>
    <w:rsid w:val="002621C0"/>
    <w:rsid w:val="00262A58"/>
    <w:rsid w:val="0026380C"/>
    <w:rsid w:val="002650A2"/>
    <w:rsid w:val="00266469"/>
    <w:rsid w:val="00266CCA"/>
    <w:rsid w:val="00267994"/>
    <w:rsid w:val="00273361"/>
    <w:rsid w:val="00273DB1"/>
    <w:rsid w:val="00274FF8"/>
    <w:rsid w:val="00276E87"/>
    <w:rsid w:val="00276F1D"/>
    <w:rsid w:val="0027789E"/>
    <w:rsid w:val="002835D0"/>
    <w:rsid w:val="0028433E"/>
    <w:rsid w:val="00285E59"/>
    <w:rsid w:val="002867FC"/>
    <w:rsid w:val="00290872"/>
    <w:rsid w:val="00292A75"/>
    <w:rsid w:val="00294A56"/>
    <w:rsid w:val="002A092A"/>
    <w:rsid w:val="002A75C7"/>
    <w:rsid w:val="002B2085"/>
    <w:rsid w:val="002B5D94"/>
    <w:rsid w:val="002B6EDD"/>
    <w:rsid w:val="002C18C8"/>
    <w:rsid w:val="002C3DC8"/>
    <w:rsid w:val="002D55E0"/>
    <w:rsid w:val="002D6662"/>
    <w:rsid w:val="002D6BDF"/>
    <w:rsid w:val="002D6DB8"/>
    <w:rsid w:val="002D7CBD"/>
    <w:rsid w:val="002E0539"/>
    <w:rsid w:val="002E4878"/>
    <w:rsid w:val="002E6A42"/>
    <w:rsid w:val="002F1D1C"/>
    <w:rsid w:val="002F339A"/>
    <w:rsid w:val="002F3B48"/>
    <w:rsid w:val="002F5212"/>
    <w:rsid w:val="002F5437"/>
    <w:rsid w:val="002F7C27"/>
    <w:rsid w:val="00303F37"/>
    <w:rsid w:val="00305DDD"/>
    <w:rsid w:val="00307D38"/>
    <w:rsid w:val="003104CB"/>
    <w:rsid w:val="00311E48"/>
    <w:rsid w:val="00313EFB"/>
    <w:rsid w:val="003142AF"/>
    <w:rsid w:val="00316157"/>
    <w:rsid w:val="003169AE"/>
    <w:rsid w:val="0031755A"/>
    <w:rsid w:val="00320859"/>
    <w:rsid w:val="003210B5"/>
    <w:rsid w:val="003258E3"/>
    <w:rsid w:val="00325CA9"/>
    <w:rsid w:val="00326110"/>
    <w:rsid w:val="00326F82"/>
    <w:rsid w:val="00332D6E"/>
    <w:rsid w:val="00333088"/>
    <w:rsid w:val="00333656"/>
    <w:rsid w:val="00334B19"/>
    <w:rsid w:val="003353FF"/>
    <w:rsid w:val="003362C8"/>
    <w:rsid w:val="00336789"/>
    <w:rsid w:val="00337918"/>
    <w:rsid w:val="00341302"/>
    <w:rsid w:val="003415D7"/>
    <w:rsid w:val="0034176C"/>
    <w:rsid w:val="0035088F"/>
    <w:rsid w:val="0035241D"/>
    <w:rsid w:val="0035529C"/>
    <w:rsid w:val="00355937"/>
    <w:rsid w:val="00356696"/>
    <w:rsid w:val="003610F4"/>
    <w:rsid w:val="00364D51"/>
    <w:rsid w:val="003702AD"/>
    <w:rsid w:val="0037154B"/>
    <w:rsid w:val="00372146"/>
    <w:rsid w:val="0037367E"/>
    <w:rsid w:val="00375947"/>
    <w:rsid w:val="00377837"/>
    <w:rsid w:val="00377FAF"/>
    <w:rsid w:val="00380EC4"/>
    <w:rsid w:val="00382463"/>
    <w:rsid w:val="00383FBA"/>
    <w:rsid w:val="0038422A"/>
    <w:rsid w:val="00385A96"/>
    <w:rsid w:val="00385B3E"/>
    <w:rsid w:val="003867C5"/>
    <w:rsid w:val="003870E4"/>
    <w:rsid w:val="00391B62"/>
    <w:rsid w:val="00393B89"/>
    <w:rsid w:val="00395260"/>
    <w:rsid w:val="003953A4"/>
    <w:rsid w:val="00396BF2"/>
    <w:rsid w:val="003A235D"/>
    <w:rsid w:val="003A279E"/>
    <w:rsid w:val="003A6173"/>
    <w:rsid w:val="003A7C69"/>
    <w:rsid w:val="003B42A6"/>
    <w:rsid w:val="003B76F3"/>
    <w:rsid w:val="003C0050"/>
    <w:rsid w:val="003C1B39"/>
    <w:rsid w:val="003C350F"/>
    <w:rsid w:val="003C4644"/>
    <w:rsid w:val="003C6B38"/>
    <w:rsid w:val="003C7067"/>
    <w:rsid w:val="003D01B8"/>
    <w:rsid w:val="003D24F8"/>
    <w:rsid w:val="003E023D"/>
    <w:rsid w:val="003E060B"/>
    <w:rsid w:val="003E0862"/>
    <w:rsid w:val="003E2FF8"/>
    <w:rsid w:val="003E4620"/>
    <w:rsid w:val="003F0A31"/>
    <w:rsid w:val="003F1077"/>
    <w:rsid w:val="003F1CF4"/>
    <w:rsid w:val="003F2CA6"/>
    <w:rsid w:val="004007FB"/>
    <w:rsid w:val="00400B3F"/>
    <w:rsid w:val="00400C77"/>
    <w:rsid w:val="0040411F"/>
    <w:rsid w:val="004073F3"/>
    <w:rsid w:val="00407B88"/>
    <w:rsid w:val="004116D9"/>
    <w:rsid w:val="00412728"/>
    <w:rsid w:val="004137EC"/>
    <w:rsid w:val="00413C3B"/>
    <w:rsid w:val="00425CA0"/>
    <w:rsid w:val="00427639"/>
    <w:rsid w:val="004317CE"/>
    <w:rsid w:val="0043199D"/>
    <w:rsid w:val="00433947"/>
    <w:rsid w:val="0043465F"/>
    <w:rsid w:val="004449CC"/>
    <w:rsid w:val="00450297"/>
    <w:rsid w:val="00450F52"/>
    <w:rsid w:val="004514C3"/>
    <w:rsid w:val="004515DC"/>
    <w:rsid w:val="00452B6D"/>
    <w:rsid w:val="00452C65"/>
    <w:rsid w:val="004530B5"/>
    <w:rsid w:val="004530DC"/>
    <w:rsid w:val="004541BB"/>
    <w:rsid w:val="00454C1E"/>
    <w:rsid w:val="00457483"/>
    <w:rsid w:val="00460695"/>
    <w:rsid w:val="00461578"/>
    <w:rsid w:val="004636E0"/>
    <w:rsid w:val="004662C1"/>
    <w:rsid w:val="004665D9"/>
    <w:rsid w:val="004708A3"/>
    <w:rsid w:val="00472517"/>
    <w:rsid w:val="00474FA1"/>
    <w:rsid w:val="00481474"/>
    <w:rsid w:val="004963B0"/>
    <w:rsid w:val="004A0C2B"/>
    <w:rsid w:val="004A2FA1"/>
    <w:rsid w:val="004A33E3"/>
    <w:rsid w:val="004A6DF7"/>
    <w:rsid w:val="004B2791"/>
    <w:rsid w:val="004B2DEB"/>
    <w:rsid w:val="004B3167"/>
    <w:rsid w:val="004B3476"/>
    <w:rsid w:val="004B569C"/>
    <w:rsid w:val="004B7BD5"/>
    <w:rsid w:val="004C1C33"/>
    <w:rsid w:val="004C1CC4"/>
    <w:rsid w:val="004C27EC"/>
    <w:rsid w:val="004C4C02"/>
    <w:rsid w:val="004C59A9"/>
    <w:rsid w:val="004D4519"/>
    <w:rsid w:val="004D76E8"/>
    <w:rsid w:val="004E3799"/>
    <w:rsid w:val="004E43C1"/>
    <w:rsid w:val="004E5663"/>
    <w:rsid w:val="004E587A"/>
    <w:rsid w:val="004E76CB"/>
    <w:rsid w:val="004F1086"/>
    <w:rsid w:val="004F507C"/>
    <w:rsid w:val="004F654F"/>
    <w:rsid w:val="004F6773"/>
    <w:rsid w:val="005058EF"/>
    <w:rsid w:val="005069B7"/>
    <w:rsid w:val="0051003B"/>
    <w:rsid w:val="005121D0"/>
    <w:rsid w:val="005134AE"/>
    <w:rsid w:val="00513F21"/>
    <w:rsid w:val="0051453D"/>
    <w:rsid w:val="00517622"/>
    <w:rsid w:val="00521AC0"/>
    <w:rsid w:val="0052300F"/>
    <w:rsid w:val="005237DF"/>
    <w:rsid w:val="00523949"/>
    <w:rsid w:val="00525649"/>
    <w:rsid w:val="005278E3"/>
    <w:rsid w:val="0053012B"/>
    <w:rsid w:val="005313ED"/>
    <w:rsid w:val="005334E6"/>
    <w:rsid w:val="00543797"/>
    <w:rsid w:val="00545362"/>
    <w:rsid w:val="005463B4"/>
    <w:rsid w:val="00546A01"/>
    <w:rsid w:val="00546BD3"/>
    <w:rsid w:val="00550397"/>
    <w:rsid w:val="005537BE"/>
    <w:rsid w:val="00554FCF"/>
    <w:rsid w:val="00556AB7"/>
    <w:rsid w:val="00560087"/>
    <w:rsid w:val="00562968"/>
    <w:rsid w:val="00564FB9"/>
    <w:rsid w:val="00566117"/>
    <w:rsid w:val="005728E1"/>
    <w:rsid w:val="00573E27"/>
    <w:rsid w:val="005745BF"/>
    <w:rsid w:val="005752B3"/>
    <w:rsid w:val="00584231"/>
    <w:rsid w:val="005867C9"/>
    <w:rsid w:val="00594698"/>
    <w:rsid w:val="00596212"/>
    <w:rsid w:val="005A1C22"/>
    <w:rsid w:val="005A43E5"/>
    <w:rsid w:val="005B14B2"/>
    <w:rsid w:val="005B384E"/>
    <w:rsid w:val="005B39BF"/>
    <w:rsid w:val="005B3CB1"/>
    <w:rsid w:val="005B441F"/>
    <w:rsid w:val="005C00F9"/>
    <w:rsid w:val="005C100F"/>
    <w:rsid w:val="005C6135"/>
    <w:rsid w:val="005D2019"/>
    <w:rsid w:val="005D20C7"/>
    <w:rsid w:val="005D539E"/>
    <w:rsid w:val="005D6523"/>
    <w:rsid w:val="005E26A5"/>
    <w:rsid w:val="005E27DE"/>
    <w:rsid w:val="005E57D6"/>
    <w:rsid w:val="005F3331"/>
    <w:rsid w:val="00604DB8"/>
    <w:rsid w:val="00606F42"/>
    <w:rsid w:val="00607049"/>
    <w:rsid w:val="00611C84"/>
    <w:rsid w:val="006132B7"/>
    <w:rsid w:val="00614569"/>
    <w:rsid w:val="0061555F"/>
    <w:rsid w:val="006169DA"/>
    <w:rsid w:val="006173A6"/>
    <w:rsid w:val="0062027E"/>
    <w:rsid w:val="00626DC2"/>
    <w:rsid w:val="00643074"/>
    <w:rsid w:val="00644AD1"/>
    <w:rsid w:val="00645A4B"/>
    <w:rsid w:val="00645FB0"/>
    <w:rsid w:val="006465AC"/>
    <w:rsid w:val="00646C99"/>
    <w:rsid w:val="0064789F"/>
    <w:rsid w:val="00652125"/>
    <w:rsid w:val="006534EE"/>
    <w:rsid w:val="00657CB5"/>
    <w:rsid w:val="00660C19"/>
    <w:rsid w:val="006610BD"/>
    <w:rsid w:val="00663EA4"/>
    <w:rsid w:val="00664E56"/>
    <w:rsid w:val="00675F16"/>
    <w:rsid w:val="00676C2D"/>
    <w:rsid w:val="00677721"/>
    <w:rsid w:val="006908AF"/>
    <w:rsid w:val="00696C59"/>
    <w:rsid w:val="0069743E"/>
    <w:rsid w:val="00697780"/>
    <w:rsid w:val="006A2383"/>
    <w:rsid w:val="006A659D"/>
    <w:rsid w:val="006B040D"/>
    <w:rsid w:val="006B0534"/>
    <w:rsid w:val="006B06C7"/>
    <w:rsid w:val="006B205F"/>
    <w:rsid w:val="006B2DE3"/>
    <w:rsid w:val="006B3B94"/>
    <w:rsid w:val="006B5BAD"/>
    <w:rsid w:val="006B698E"/>
    <w:rsid w:val="006C0631"/>
    <w:rsid w:val="006C16B7"/>
    <w:rsid w:val="006C25DE"/>
    <w:rsid w:val="006C67CE"/>
    <w:rsid w:val="006C730C"/>
    <w:rsid w:val="006D1233"/>
    <w:rsid w:val="006D16C0"/>
    <w:rsid w:val="006D1DF5"/>
    <w:rsid w:val="006D2CDB"/>
    <w:rsid w:val="006D42CA"/>
    <w:rsid w:val="006D43D6"/>
    <w:rsid w:val="006D4B52"/>
    <w:rsid w:val="006D4E4D"/>
    <w:rsid w:val="006D66D3"/>
    <w:rsid w:val="006D7111"/>
    <w:rsid w:val="006E01E2"/>
    <w:rsid w:val="006E280E"/>
    <w:rsid w:val="006E2E59"/>
    <w:rsid w:val="006E3684"/>
    <w:rsid w:val="006E599A"/>
    <w:rsid w:val="006E6B7C"/>
    <w:rsid w:val="006E716B"/>
    <w:rsid w:val="006F12B4"/>
    <w:rsid w:val="006F33F9"/>
    <w:rsid w:val="006F628A"/>
    <w:rsid w:val="006F6C29"/>
    <w:rsid w:val="007007D0"/>
    <w:rsid w:val="0070319B"/>
    <w:rsid w:val="00703305"/>
    <w:rsid w:val="00703E2A"/>
    <w:rsid w:val="007101DE"/>
    <w:rsid w:val="0071057D"/>
    <w:rsid w:val="007135B5"/>
    <w:rsid w:val="00714D49"/>
    <w:rsid w:val="00715151"/>
    <w:rsid w:val="0071587F"/>
    <w:rsid w:val="00716EA5"/>
    <w:rsid w:val="00717176"/>
    <w:rsid w:val="00717AA6"/>
    <w:rsid w:val="00726BB2"/>
    <w:rsid w:val="007301A5"/>
    <w:rsid w:val="00731374"/>
    <w:rsid w:val="00734358"/>
    <w:rsid w:val="00736654"/>
    <w:rsid w:val="007374F5"/>
    <w:rsid w:val="007402D6"/>
    <w:rsid w:val="0074401A"/>
    <w:rsid w:val="007444BB"/>
    <w:rsid w:val="007477FE"/>
    <w:rsid w:val="007516E1"/>
    <w:rsid w:val="007533F2"/>
    <w:rsid w:val="00753F38"/>
    <w:rsid w:val="007566AD"/>
    <w:rsid w:val="007568B5"/>
    <w:rsid w:val="007620D3"/>
    <w:rsid w:val="00763584"/>
    <w:rsid w:val="00766606"/>
    <w:rsid w:val="007671B6"/>
    <w:rsid w:val="007704C1"/>
    <w:rsid w:val="00771994"/>
    <w:rsid w:val="00774750"/>
    <w:rsid w:val="007748BD"/>
    <w:rsid w:val="00774EA0"/>
    <w:rsid w:val="00780EF8"/>
    <w:rsid w:val="00781A67"/>
    <w:rsid w:val="0079555C"/>
    <w:rsid w:val="007A011C"/>
    <w:rsid w:val="007A07E6"/>
    <w:rsid w:val="007A09E8"/>
    <w:rsid w:val="007A13A0"/>
    <w:rsid w:val="007A48A1"/>
    <w:rsid w:val="007A5225"/>
    <w:rsid w:val="007A52B4"/>
    <w:rsid w:val="007A5F2D"/>
    <w:rsid w:val="007A6F08"/>
    <w:rsid w:val="007A7DDB"/>
    <w:rsid w:val="007B017F"/>
    <w:rsid w:val="007B0517"/>
    <w:rsid w:val="007B48CB"/>
    <w:rsid w:val="007B4AAC"/>
    <w:rsid w:val="007B4CC3"/>
    <w:rsid w:val="007B6D7A"/>
    <w:rsid w:val="007C14A7"/>
    <w:rsid w:val="007C18F9"/>
    <w:rsid w:val="007C285C"/>
    <w:rsid w:val="007D476C"/>
    <w:rsid w:val="007D5580"/>
    <w:rsid w:val="007D648E"/>
    <w:rsid w:val="007E3FC4"/>
    <w:rsid w:val="007E48AE"/>
    <w:rsid w:val="007E5291"/>
    <w:rsid w:val="007E52AC"/>
    <w:rsid w:val="007E7488"/>
    <w:rsid w:val="007F1DEE"/>
    <w:rsid w:val="007F22B5"/>
    <w:rsid w:val="007F3872"/>
    <w:rsid w:val="007F4036"/>
    <w:rsid w:val="007F55F8"/>
    <w:rsid w:val="007F6F80"/>
    <w:rsid w:val="007F737A"/>
    <w:rsid w:val="00802CD1"/>
    <w:rsid w:val="00803593"/>
    <w:rsid w:val="00806F7D"/>
    <w:rsid w:val="00812BB2"/>
    <w:rsid w:val="00814E8F"/>
    <w:rsid w:val="00817CCE"/>
    <w:rsid w:val="00821B1D"/>
    <w:rsid w:val="00823B9F"/>
    <w:rsid w:val="00826A17"/>
    <w:rsid w:val="0082778E"/>
    <w:rsid w:val="0083524B"/>
    <w:rsid w:val="008353CA"/>
    <w:rsid w:val="00835D59"/>
    <w:rsid w:val="0083687B"/>
    <w:rsid w:val="008402CD"/>
    <w:rsid w:val="00841BDF"/>
    <w:rsid w:val="00843CDF"/>
    <w:rsid w:val="00844316"/>
    <w:rsid w:val="008443B3"/>
    <w:rsid w:val="00847A78"/>
    <w:rsid w:val="008541B6"/>
    <w:rsid w:val="008542DD"/>
    <w:rsid w:val="00854A55"/>
    <w:rsid w:val="008559E5"/>
    <w:rsid w:val="00860639"/>
    <w:rsid w:val="00862579"/>
    <w:rsid w:val="00863607"/>
    <w:rsid w:val="0087011C"/>
    <w:rsid w:val="008702BA"/>
    <w:rsid w:val="008708B7"/>
    <w:rsid w:val="00872CCC"/>
    <w:rsid w:val="00872D96"/>
    <w:rsid w:val="008735D0"/>
    <w:rsid w:val="0087674C"/>
    <w:rsid w:val="00876B78"/>
    <w:rsid w:val="00880E37"/>
    <w:rsid w:val="00887EAD"/>
    <w:rsid w:val="00890AB8"/>
    <w:rsid w:val="00890D5F"/>
    <w:rsid w:val="0089254A"/>
    <w:rsid w:val="00893807"/>
    <w:rsid w:val="00893FDF"/>
    <w:rsid w:val="008951CE"/>
    <w:rsid w:val="008958AC"/>
    <w:rsid w:val="00895FCF"/>
    <w:rsid w:val="00896007"/>
    <w:rsid w:val="00897990"/>
    <w:rsid w:val="00897B51"/>
    <w:rsid w:val="008A0C05"/>
    <w:rsid w:val="008A2551"/>
    <w:rsid w:val="008A2F7B"/>
    <w:rsid w:val="008A3050"/>
    <w:rsid w:val="008A5F02"/>
    <w:rsid w:val="008A6295"/>
    <w:rsid w:val="008B0F92"/>
    <w:rsid w:val="008C1D44"/>
    <w:rsid w:val="008C284A"/>
    <w:rsid w:val="008C34D4"/>
    <w:rsid w:val="008C368A"/>
    <w:rsid w:val="008D2933"/>
    <w:rsid w:val="008D35A4"/>
    <w:rsid w:val="008D481C"/>
    <w:rsid w:val="008D6FD8"/>
    <w:rsid w:val="008E33F5"/>
    <w:rsid w:val="008E4FC5"/>
    <w:rsid w:val="008E518E"/>
    <w:rsid w:val="008E6740"/>
    <w:rsid w:val="008F10C7"/>
    <w:rsid w:val="008F6E0C"/>
    <w:rsid w:val="00900252"/>
    <w:rsid w:val="0090280F"/>
    <w:rsid w:val="009040A2"/>
    <w:rsid w:val="0090501B"/>
    <w:rsid w:val="0090557C"/>
    <w:rsid w:val="00913406"/>
    <w:rsid w:val="0091442D"/>
    <w:rsid w:val="0091503C"/>
    <w:rsid w:val="00915041"/>
    <w:rsid w:val="00920086"/>
    <w:rsid w:val="0092073B"/>
    <w:rsid w:val="0092111A"/>
    <w:rsid w:val="009212E1"/>
    <w:rsid w:val="00924576"/>
    <w:rsid w:val="00926BCC"/>
    <w:rsid w:val="00931650"/>
    <w:rsid w:val="009346BA"/>
    <w:rsid w:val="009365AC"/>
    <w:rsid w:val="009418A5"/>
    <w:rsid w:val="0094506A"/>
    <w:rsid w:val="009470FC"/>
    <w:rsid w:val="0094717E"/>
    <w:rsid w:val="009527E4"/>
    <w:rsid w:val="009540D3"/>
    <w:rsid w:val="00955D5B"/>
    <w:rsid w:val="00957674"/>
    <w:rsid w:val="00961511"/>
    <w:rsid w:val="00962D13"/>
    <w:rsid w:val="009644B9"/>
    <w:rsid w:val="00965B3A"/>
    <w:rsid w:val="009705BB"/>
    <w:rsid w:val="00973B51"/>
    <w:rsid w:val="00975452"/>
    <w:rsid w:val="00977BC1"/>
    <w:rsid w:val="009805DC"/>
    <w:rsid w:val="00984BCE"/>
    <w:rsid w:val="00984D8B"/>
    <w:rsid w:val="00987493"/>
    <w:rsid w:val="00987861"/>
    <w:rsid w:val="0098798B"/>
    <w:rsid w:val="009916A6"/>
    <w:rsid w:val="00992731"/>
    <w:rsid w:val="0099278D"/>
    <w:rsid w:val="009930E3"/>
    <w:rsid w:val="0099407E"/>
    <w:rsid w:val="00994D39"/>
    <w:rsid w:val="00995CAD"/>
    <w:rsid w:val="00996366"/>
    <w:rsid w:val="0099787B"/>
    <w:rsid w:val="009A246D"/>
    <w:rsid w:val="009A4017"/>
    <w:rsid w:val="009A4188"/>
    <w:rsid w:val="009B1112"/>
    <w:rsid w:val="009B20DB"/>
    <w:rsid w:val="009B2C35"/>
    <w:rsid w:val="009B5641"/>
    <w:rsid w:val="009B5F97"/>
    <w:rsid w:val="009B6276"/>
    <w:rsid w:val="009C0BE5"/>
    <w:rsid w:val="009C0DBA"/>
    <w:rsid w:val="009C1414"/>
    <w:rsid w:val="009C16B3"/>
    <w:rsid w:val="009C38C7"/>
    <w:rsid w:val="009C3E55"/>
    <w:rsid w:val="009C5E1C"/>
    <w:rsid w:val="009C5E76"/>
    <w:rsid w:val="009C7BBC"/>
    <w:rsid w:val="009D408A"/>
    <w:rsid w:val="009D66B9"/>
    <w:rsid w:val="009D6BD7"/>
    <w:rsid w:val="009F0A44"/>
    <w:rsid w:val="009F4002"/>
    <w:rsid w:val="009F4296"/>
    <w:rsid w:val="009F532D"/>
    <w:rsid w:val="009F5860"/>
    <w:rsid w:val="009F5A81"/>
    <w:rsid w:val="009F5CFA"/>
    <w:rsid w:val="009F6AF3"/>
    <w:rsid w:val="009F7627"/>
    <w:rsid w:val="00A0046D"/>
    <w:rsid w:val="00A007E0"/>
    <w:rsid w:val="00A009D4"/>
    <w:rsid w:val="00A00FCB"/>
    <w:rsid w:val="00A0194F"/>
    <w:rsid w:val="00A02727"/>
    <w:rsid w:val="00A03998"/>
    <w:rsid w:val="00A04819"/>
    <w:rsid w:val="00A053C7"/>
    <w:rsid w:val="00A061EC"/>
    <w:rsid w:val="00A10CAC"/>
    <w:rsid w:val="00A1657C"/>
    <w:rsid w:val="00A16F59"/>
    <w:rsid w:val="00A201B3"/>
    <w:rsid w:val="00A21241"/>
    <w:rsid w:val="00A21B3D"/>
    <w:rsid w:val="00A2369A"/>
    <w:rsid w:val="00A23905"/>
    <w:rsid w:val="00A304AD"/>
    <w:rsid w:val="00A341E3"/>
    <w:rsid w:val="00A36F76"/>
    <w:rsid w:val="00A412E5"/>
    <w:rsid w:val="00A55358"/>
    <w:rsid w:val="00A55366"/>
    <w:rsid w:val="00A56676"/>
    <w:rsid w:val="00A57C30"/>
    <w:rsid w:val="00A57E21"/>
    <w:rsid w:val="00A62877"/>
    <w:rsid w:val="00A63DA3"/>
    <w:rsid w:val="00A72632"/>
    <w:rsid w:val="00A83C01"/>
    <w:rsid w:val="00A844C4"/>
    <w:rsid w:val="00A86314"/>
    <w:rsid w:val="00A9003D"/>
    <w:rsid w:val="00A9127E"/>
    <w:rsid w:val="00A94591"/>
    <w:rsid w:val="00A977C8"/>
    <w:rsid w:val="00AB36B6"/>
    <w:rsid w:val="00AB60D9"/>
    <w:rsid w:val="00AC4174"/>
    <w:rsid w:val="00AC4FE9"/>
    <w:rsid w:val="00AC5A39"/>
    <w:rsid w:val="00AD027E"/>
    <w:rsid w:val="00AD17DB"/>
    <w:rsid w:val="00AD1AB6"/>
    <w:rsid w:val="00AD41E4"/>
    <w:rsid w:val="00AE053E"/>
    <w:rsid w:val="00AE28AE"/>
    <w:rsid w:val="00AE3552"/>
    <w:rsid w:val="00AE39EC"/>
    <w:rsid w:val="00AE3B13"/>
    <w:rsid w:val="00AE485F"/>
    <w:rsid w:val="00AF2BAE"/>
    <w:rsid w:val="00AF4235"/>
    <w:rsid w:val="00AF632D"/>
    <w:rsid w:val="00AF664B"/>
    <w:rsid w:val="00B0166A"/>
    <w:rsid w:val="00B0338C"/>
    <w:rsid w:val="00B036EA"/>
    <w:rsid w:val="00B05ACC"/>
    <w:rsid w:val="00B12676"/>
    <w:rsid w:val="00B139B2"/>
    <w:rsid w:val="00B17BB7"/>
    <w:rsid w:val="00B203A3"/>
    <w:rsid w:val="00B204B3"/>
    <w:rsid w:val="00B20BE6"/>
    <w:rsid w:val="00B213A1"/>
    <w:rsid w:val="00B24B11"/>
    <w:rsid w:val="00B325AF"/>
    <w:rsid w:val="00B338CE"/>
    <w:rsid w:val="00B347CE"/>
    <w:rsid w:val="00B356B5"/>
    <w:rsid w:val="00B40B39"/>
    <w:rsid w:val="00B41C7A"/>
    <w:rsid w:val="00B44948"/>
    <w:rsid w:val="00B44A82"/>
    <w:rsid w:val="00B44C63"/>
    <w:rsid w:val="00B46CB5"/>
    <w:rsid w:val="00B470BB"/>
    <w:rsid w:val="00B67F77"/>
    <w:rsid w:val="00B70E91"/>
    <w:rsid w:val="00B71F0A"/>
    <w:rsid w:val="00B726EB"/>
    <w:rsid w:val="00B742C2"/>
    <w:rsid w:val="00B74E3B"/>
    <w:rsid w:val="00B75962"/>
    <w:rsid w:val="00B76F53"/>
    <w:rsid w:val="00B8134D"/>
    <w:rsid w:val="00B81E30"/>
    <w:rsid w:val="00B82D1D"/>
    <w:rsid w:val="00B864D6"/>
    <w:rsid w:val="00B93A8D"/>
    <w:rsid w:val="00B97CE2"/>
    <w:rsid w:val="00BA0AE4"/>
    <w:rsid w:val="00BA187E"/>
    <w:rsid w:val="00BA4004"/>
    <w:rsid w:val="00BA6801"/>
    <w:rsid w:val="00BA6AA2"/>
    <w:rsid w:val="00BB5FFC"/>
    <w:rsid w:val="00BC51F1"/>
    <w:rsid w:val="00BD5A6F"/>
    <w:rsid w:val="00BD5ED5"/>
    <w:rsid w:val="00BD6A2B"/>
    <w:rsid w:val="00BD777F"/>
    <w:rsid w:val="00BD7B31"/>
    <w:rsid w:val="00BE065B"/>
    <w:rsid w:val="00BE260D"/>
    <w:rsid w:val="00BE4B23"/>
    <w:rsid w:val="00BF021D"/>
    <w:rsid w:val="00BF25F4"/>
    <w:rsid w:val="00BF4336"/>
    <w:rsid w:val="00BF4B5C"/>
    <w:rsid w:val="00BF5D20"/>
    <w:rsid w:val="00C007D7"/>
    <w:rsid w:val="00C01A8D"/>
    <w:rsid w:val="00C02A78"/>
    <w:rsid w:val="00C032FA"/>
    <w:rsid w:val="00C04F58"/>
    <w:rsid w:val="00C06297"/>
    <w:rsid w:val="00C06CEC"/>
    <w:rsid w:val="00C1122A"/>
    <w:rsid w:val="00C11F9F"/>
    <w:rsid w:val="00C12608"/>
    <w:rsid w:val="00C15092"/>
    <w:rsid w:val="00C15870"/>
    <w:rsid w:val="00C165A2"/>
    <w:rsid w:val="00C167F8"/>
    <w:rsid w:val="00C20A90"/>
    <w:rsid w:val="00C21998"/>
    <w:rsid w:val="00C24E6D"/>
    <w:rsid w:val="00C30F2F"/>
    <w:rsid w:val="00C37069"/>
    <w:rsid w:val="00C43F7C"/>
    <w:rsid w:val="00C45EFF"/>
    <w:rsid w:val="00C46B18"/>
    <w:rsid w:val="00C5071C"/>
    <w:rsid w:val="00C52029"/>
    <w:rsid w:val="00C52A57"/>
    <w:rsid w:val="00C52F53"/>
    <w:rsid w:val="00C559FC"/>
    <w:rsid w:val="00C55E13"/>
    <w:rsid w:val="00C60930"/>
    <w:rsid w:val="00C63119"/>
    <w:rsid w:val="00C63632"/>
    <w:rsid w:val="00C667F5"/>
    <w:rsid w:val="00C67F8C"/>
    <w:rsid w:val="00C71F83"/>
    <w:rsid w:val="00C756E0"/>
    <w:rsid w:val="00C76716"/>
    <w:rsid w:val="00C807B0"/>
    <w:rsid w:val="00C81076"/>
    <w:rsid w:val="00C81CF0"/>
    <w:rsid w:val="00C85E83"/>
    <w:rsid w:val="00C9043C"/>
    <w:rsid w:val="00C93063"/>
    <w:rsid w:val="00C9506B"/>
    <w:rsid w:val="00C95355"/>
    <w:rsid w:val="00C967B4"/>
    <w:rsid w:val="00C97555"/>
    <w:rsid w:val="00CB0C0E"/>
    <w:rsid w:val="00CB0E51"/>
    <w:rsid w:val="00CB1595"/>
    <w:rsid w:val="00CC3129"/>
    <w:rsid w:val="00CC4815"/>
    <w:rsid w:val="00CC714B"/>
    <w:rsid w:val="00CC747F"/>
    <w:rsid w:val="00CD1FFB"/>
    <w:rsid w:val="00CD23C7"/>
    <w:rsid w:val="00CD5952"/>
    <w:rsid w:val="00CD683B"/>
    <w:rsid w:val="00CE0712"/>
    <w:rsid w:val="00CF21BD"/>
    <w:rsid w:val="00CF4D94"/>
    <w:rsid w:val="00D025EC"/>
    <w:rsid w:val="00D05326"/>
    <w:rsid w:val="00D05D53"/>
    <w:rsid w:val="00D06B51"/>
    <w:rsid w:val="00D13E49"/>
    <w:rsid w:val="00D14CB4"/>
    <w:rsid w:val="00D17F43"/>
    <w:rsid w:val="00D20437"/>
    <w:rsid w:val="00D21686"/>
    <w:rsid w:val="00D2190E"/>
    <w:rsid w:val="00D21B76"/>
    <w:rsid w:val="00D26589"/>
    <w:rsid w:val="00D26A0D"/>
    <w:rsid w:val="00D31439"/>
    <w:rsid w:val="00D34A5D"/>
    <w:rsid w:val="00D354FA"/>
    <w:rsid w:val="00D371F4"/>
    <w:rsid w:val="00D419AF"/>
    <w:rsid w:val="00D43237"/>
    <w:rsid w:val="00D4411E"/>
    <w:rsid w:val="00D45FFD"/>
    <w:rsid w:val="00D50AFB"/>
    <w:rsid w:val="00D5474B"/>
    <w:rsid w:val="00D5574A"/>
    <w:rsid w:val="00D56CA2"/>
    <w:rsid w:val="00D6088A"/>
    <w:rsid w:val="00D6161B"/>
    <w:rsid w:val="00D62647"/>
    <w:rsid w:val="00D62C94"/>
    <w:rsid w:val="00D73FBC"/>
    <w:rsid w:val="00D7400F"/>
    <w:rsid w:val="00D74DB3"/>
    <w:rsid w:val="00D81E5B"/>
    <w:rsid w:val="00D823A8"/>
    <w:rsid w:val="00D83194"/>
    <w:rsid w:val="00D8603A"/>
    <w:rsid w:val="00D8604C"/>
    <w:rsid w:val="00D95F6B"/>
    <w:rsid w:val="00D97105"/>
    <w:rsid w:val="00D97FF7"/>
    <w:rsid w:val="00DA01F5"/>
    <w:rsid w:val="00DA07F3"/>
    <w:rsid w:val="00DA13D9"/>
    <w:rsid w:val="00DA318B"/>
    <w:rsid w:val="00DA5241"/>
    <w:rsid w:val="00DB16A5"/>
    <w:rsid w:val="00DB45DC"/>
    <w:rsid w:val="00DB51CA"/>
    <w:rsid w:val="00DB5576"/>
    <w:rsid w:val="00DB587E"/>
    <w:rsid w:val="00DB663C"/>
    <w:rsid w:val="00DC1453"/>
    <w:rsid w:val="00DC7CC6"/>
    <w:rsid w:val="00DD50DE"/>
    <w:rsid w:val="00DD686B"/>
    <w:rsid w:val="00DE1D4C"/>
    <w:rsid w:val="00DE29EB"/>
    <w:rsid w:val="00DE6D2B"/>
    <w:rsid w:val="00DE7249"/>
    <w:rsid w:val="00DF02C5"/>
    <w:rsid w:val="00DF3130"/>
    <w:rsid w:val="00DF4665"/>
    <w:rsid w:val="00DF5BB0"/>
    <w:rsid w:val="00DF669B"/>
    <w:rsid w:val="00DF6DE0"/>
    <w:rsid w:val="00E006F1"/>
    <w:rsid w:val="00E02864"/>
    <w:rsid w:val="00E06A3D"/>
    <w:rsid w:val="00E073F4"/>
    <w:rsid w:val="00E07540"/>
    <w:rsid w:val="00E1193B"/>
    <w:rsid w:val="00E13856"/>
    <w:rsid w:val="00E14B0C"/>
    <w:rsid w:val="00E1744A"/>
    <w:rsid w:val="00E17DD1"/>
    <w:rsid w:val="00E213E1"/>
    <w:rsid w:val="00E22184"/>
    <w:rsid w:val="00E23067"/>
    <w:rsid w:val="00E23264"/>
    <w:rsid w:val="00E2364B"/>
    <w:rsid w:val="00E2370B"/>
    <w:rsid w:val="00E306C6"/>
    <w:rsid w:val="00E30F24"/>
    <w:rsid w:val="00E344F2"/>
    <w:rsid w:val="00E36420"/>
    <w:rsid w:val="00E432E8"/>
    <w:rsid w:val="00E457BB"/>
    <w:rsid w:val="00E5054B"/>
    <w:rsid w:val="00E5158E"/>
    <w:rsid w:val="00E5202C"/>
    <w:rsid w:val="00E522CD"/>
    <w:rsid w:val="00E534BB"/>
    <w:rsid w:val="00E55AA2"/>
    <w:rsid w:val="00E56A40"/>
    <w:rsid w:val="00E60868"/>
    <w:rsid w:val="00E62B07"/>
    <w:rsid w:val="00E63A0E"/>
    <w:rsid w:val="00E63B8B"/>
    <w:rsid w:val="00E6439F"/>
    <w:rsid w:val="00E667D8"/>
    <w:rsid w:val="00E6723D"/>
    <w:rsid w:val="00E74412"/>
    <w:rsid w:val="00E76F02"/>
    <w:rsid w:val="00E84094"/>
    <w:rsid w:val="00E93DD3"/>
    <w:rsid w:val="00E94838"/>
    <w:rsid w:val="00E94A99"/>
    <w:rsid w:val="00E9754D"/>
    <w:rsid w:val="00EA003C"/>
    <w:rsid w:val="00EA575F"/>
    <w:rsid w:val="00EB161C"/>
    <w:rsid w:val="00EB1DBF"/>
    <w:rsid w:val="00EB2411"/>
    <w:rsid w:val="00EB32BF"/>
    <w:rsid w:val="00EB66C4"/>
    <w:rsid w:val="00EC0083"/>
    <w:rsid w:val="00EC11DC"/>
    <w:rsid w:val="00EC429E"/>
    <w:rsid w:val="00EC5476"/>
    <w:rsid w:val="00ED2577"/>
    <w:rsid w:val="00ED55F2"/>
    <w:rsid w:val="00EE1EA1"/>
    <w:rsid w:val="00EE6D46"/>
    <w:rsid w:val="00EE7141"/>
    <w:rsid w:val="00EF19AD"/>
    <w:rsid w:val="00EF2C3C"/>
    <w:rsid w:val="00EF432A"/>
    <w:rsid w:val="00EF57A8"/>
    <w:rsid w:val="00F00588"/>
    <w:rsid w:val="00F019BB"/>
    <w:rsid w:val="00F05314"/>
    <w:rsid w:val="00F06CDD"/>
    <w:rsid w:val="00F128A6"/>
    <w:rsid w:val="00F13E1E"/>
    <w:rsid w:val="00F14E3E"/>
    <w:rsid w:val="00F16C48"/>
    <w:rsid w:val="00F17E55"/>
    <w:rsid w:val="00F21199"/>
    <w:rsid w:val="00F21F79"/>
    <w:rsid w:val="00F2234C"/>
    <w:rsid w:val="00F22795"/>
    <w:rsid w:val="00F2691F"/>
    <w:rsid w:val="00F2752E"/>
    <w:rsid w:val="00F27A54"/>
    <w:rsid w:val="00F30476"/>
    <w:rsid w:val="00F30C0A"/>
    <w:rsid w:val="00F33EBD"/>
    <w:rsid w:val="00F37E69"/>
    <w:rsid w:val="00F37FFA"/>
    <w:rsid w:val="00F40435"/>
    <w:rsid w:val="00F4282D"/>
    <w:rsid w:val="00F42A6F"/>
    <w:rsid w:val="00F44924"/>
    <w:rsid w:val="00F44EDE"/>
    <w:rsid w:val="00F4666D"/>
    <w:rsid w:val="00F46AE1"/>
    <w:rsid w:val="00F51C5B"/>
    <w:rsid w:val="00F52583"/>
    <w:rsid w:val="00F53387"/>
    <w:rsid w:val="00F537D7"/>
    <w:rsid w:val="00F646A8"/>
    <w:rsid w:val="00F66F1C"/>
    <w:rsid w:val="00F70580"/>
    <w:rsid w:val="00F71872"/>
    <w:rsid w:val="00F71A51"/>
    <w:rsid w:val="00F7482E"/>
    <w:rsid w:val="00F90F70"/>
    <w:rsid w:val="00F967CA"/>
    <w:rsid w:val="00FA06C3"/>
    <w:rsid w:val="00FA1A45"/>
    <w:rsid w:val="00FA1DEA"/>
    <w:rsid w:val="00FA3596"/>
    <w:rsid w:val="00FA4397"/>
    <w:rsid w:val="00FA6BCA"/>
    <w:rsid w:val="00FB1ED8"/>
    <w:rsid w:val="00FB2D69"/>
    <w:rsid w:val="00FB3415"/>
    <w:rsid w:val="00FB4302"/>
    <w:rsid w:val="00FB4A99"/>
    <w:rsid w:val="00FB59B1"/>
    <w:rsid w:val="00FB5F56"/>
    <w:rsid w:val="00FC0382"/>
    <w:rsid w:val="00FC0CA5"/>
    <w:rsid w:val="00FC460F"/>
    <w:rsid w:val="00FC52E5"/>
    <w:rsid w:val="00FC53A0"/>
    <w:rsid w:val="00FC76EE"/>
    <w:rsid w:val="00FD29DC"/>
    <w:rsid w:val="00FD2E94"/>
    <w:rsid w:val="00FD300E"/>
    <w:rsid w:val="00FD3F49"/>
    <w:rsid w:val="00FD781D"/>
    <w:rsid w:val="00FE1E54"/>
    <w:rsid w:val="00FE3D9D"/>
    <w:rsid w:val="00FF2096"/>
    <w:rsid w:val="00FF236A"/>
    <w:rsid w:val="00FF4B2A"/>
    <w:rsid w:val="00FF547A"/>
    <w:rsid w:val="00FF5495"/>
    <w:rsid w:val="449DBD2C"/>
    <w:rsid w:val="52A326CC"/>
    <w:rsid w:val="6D682A13"/>
    <w:rsid w:val="7F32D6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docId w15:val="{354CF7AC-156D-484E-9A1E-F0FA0D7F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3119"/>
    <w:rPr>
      <w:rFonts w:ascii="Times New Roman" w:hAnsi="Times New Roman" w:eastAsia="Times New Roman" w:cs="Times New Roman"/>
      <w:lang w:val="es-ES_tradnl" w:eastAsia="es-MX"/>
    </w:rPr>
  </w:style>
  <w:style w:type="paragraph" w:styleId="Ttulo1">
    <w:name w:val="heading 1"/>
    <w:basedOn w:val="Normal"/>
    <w:link w:val="Ttulo1Car"/>
    <w:uiPriority w:val="9"/>
    <w:qFormat/>
    <w:rsid w:val="00F128A6"/>
    <w:pPr>
      <w:widowControl w:val="0"/>
      <w:autoSpaceDE w:val="0"/>
      <w:autoSpaceDN w:val="0"/>
      <w:ind w:left="543"/>
      <w:outlineLvl w:val="0"/>
    </w:pPr>
    <w:rPr>
      <w:rFonts w:ascii="Arial" w:hAnsi="Arial" w:eastAsia="Arial" w:cs="Arial"/>
      <w:b/>
      <w:bCs/>
      <w:sz w:val="22"/>
      <w:szCs w:val="22"/>
      <w:lang w:val="es-ES" w:eastAsia="en-US"/>
    </w:rPr>
  </w:style>
  <w:style w:type="paragraph" w:styleId="Ttulo4">
    <w:name w:val="heading 4"/>
    <w:basedOn w:val="Normal"/>
    <w:next w:val="Normal"/>
    <w:link w:val="Ttulo4Car"/>
    <w:uiPriority w:val="9"/>
    <w:semiHidden/>
    <w:unhideWhenUsed/>
    <w:qFormat/>
    <w:rsid w:val="00A02727"/>
    <w:pPr>
      <w:keepNext/>
      <w:keepLines/>
      <w:spacing w:before="40"/>
      <w:outlineLvl w:val="3"/>
    </w:pPr>
    <w:rPr>
      <w:rFonts w:asciiTheme="majorHAnsi" w:hAnsiTheme="majorHAnsi" w:eastAsiaTheme="majorEastAsia" w:cstheme="majorBidi"/>
      <w:i/>
      <w:iCs/>
      <w:color w:val="2F5496" w:themeColor="accent1" w:themeShade="B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3C7067"/>
    <w:pPr>
      <w:ind w:left="720"/>
      <w:contextualSpacing/>
    </w:pPr>
    <w:rPr>
      <w:rFonts w:asciiTheme="minorHAnsi" w:hAnsiTheme="minorHAnsi" w:eastAsia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3C7067"/>
    <w:rPr>
      <w:rFonts w:asciiTheme="minorHAnsi" w:hAnsiTheme="minorHAnsi" w:eastAsiaTheme="minorHAnsi" w:cstheme="minorBidi"/>
      <w:sz w:val="20"/>
      <w:szCs w:val="20"/>
      <w:lang w:val="es-MX" w:eastAsia="en-US"/>
    </w:rPr>
  </w:style>
  <w:style w:type="character" w:styleId="TextonotapieCar1" w:customStyle="1">
    <w:name w:val="Texto nota pie Car1"/>
    <w:aliases w:val="Texto nota pie Car Car,Footnote Text Char Char Char Char Car,Footnote Text Cha Car,Footnote Text Char Char Char Car,FA Fußnotentext Car,FA Fuﬂnotentext Car"/>
    <w:basedOn w:val="Fuentedeprrafopredeter"/>
    <w:qFormat/>
    <w:rsid w:val="003C7067"/>
    <w:rPr>
      <w:rFonts w:ascii="Times New Roman" w:hAnsi="Times New Roman" w:eastAsia="Times New Roman" w:cs="Times New Roman"/>
      <w:sz w:val="20"/>
      <w:szCs w:val="20"/>
      <w:lang w:eastAsia="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hAnsi="Arial" w:eastAsia="Arial" w:cs="Arial"/>
      <w:sz w:val="20"/>
      <w:szCs w:val="20"/>
      <w:lang w:val="es-ES" w:eastAsia="en-US"/>
    </w:rPr>
  </w:style>
  <w:style w:type="character" w:styleId="TextoindependienteCar" w:customStyle="1">
    <w:name w:val="Texto independiente Car"/>
    <w:basedOn w:val="Fuentedeprrafopredeter"/>
    <w:link w:val="Textoindependiente"/>
    <w:uiPriority w:val="1"/>
    <w:rsid w:val="003C7067"/>
    <w:rPr>
      <w:rFonts w:ascii="Arial" w:hAnsi="Arial" w:eastAsia="Arial" w:cs="Arial"/>
      <w:sz w:val="20"/>
      <w:szCs w:val="20"/>
      <w:lang w:val="es-ES"/>
    </w:rPr>
  </w:style>
  <w:style w:type="paragraph" w:styleId="Appelnotedebasde" w:customStyle="1">
    <w:name w:val="Appel note de bas de..."/>
    <w:basedOn w:val="Normal"/>
    <w:link w:val="Refdenotaalpie"/>
    <w:rsid w:val="003C7067"/>
    <w:pPr>
      <w:spacing w:after="160" w:line="240" w:lineRule="exact"/>
    </w:pPr>
    <w:rPr>
      <w:rFonts w:asciiTheme="minorHAnsi" w:hAnsiTheme="minorHAnsi" w:eastAsia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styleId="TextocomentarioCar" w:customStyle="1">
    <w:name w:val="Texto comentario Car"/>
    <w:basedOn w:val="Fuentedeprrafopredeter"/>
    <w:link w:val="Textocomentario"/>
    <w:uiPriority w:val="99"/>
    <w:rsid w:val="003C7067"/>
    <w:rPr>
      <w:rFonts w:ascii="Times New Roman" w:hAnsi="Times New Roman" w:eastAsia="Times New Roman" w:cs="Times New Roman"/>
      <w:sz w:val="20"/>
      <w:szCs w:val="20"/>
      <w:lang w:eastAsia="es-MX"/>
    </w:rPr>
  </w:style>
  <w:style w:type="character" w:styleId="normaltextrun" w:customStyle="1">
    <w:name w:val="normaltextrun"/>
    <w:basedOn w:val="Fuentedeprrafopredeter"/>
    <w:rsid w:val="003C7067"/>
  </w:style>
  <w:style w:type="character" w:styleId="eop" w:customStyle="1">
    <w:name w:val="eop"/>
    <w:basedOn w:val="Fuentedeprrafopredeter"/>
    <w:rsid w:val="003C7067"/>
  </w:style>
  <w:style w:type="paragraph" w:styleId="ql-align-justify" w:customStyle="1">
    <w:name w:val="ql-align-justify"/>
    <w:basedOn w:val="Normal"/>
    <w:rsid w:val="003E060B"/>
    <w:pPr>
      <w:spacing w:before="100" w:beforeAutospacing="1" w:after="100" w:afterAutospacing="1"/>
    </w:pPr>
  </w:style>
  <w:style w:type="character" w:styleId="apple-converted-space" w:customStyle="1">
    <w:name w:val="apple-converted-space"/>
    <w:basedOn w:val="Fuentedeprrafopredeter"/>
    <w:rsid w:val="003E060B"/>
  </w:style>
  <w:style w:type="character" w:styleId="Refdecomentario">
    <w:name w:val="annotation reference"/>
    <w:basedOn w:val="Fuentedeprrafopredeter"/>
    <w:uiPriority w:val="99"/>
    <w:semiHidden/>
    <w:unhideWhenUsed/>
    <w:rsid w:val="0016321F"/>
    <w:rPr>
      <w:sz w:val="16"/>
      <w:szCs w:val="16"/>
    </w:rPr>
  </w:style>
  <w:style w:type="paragraph" w:styleId="Asuntodelcomentario">
    <w:name w:val="annotation subject"/>
    <w:basedOn w:val="Textocomentario"/>
    <w:next w:val="Textocomentario"/>
    <w:link w:val="AsuntodelcomentarioCar"/>
    <w:uiPriority w:val="99"/>
    <w:semiHidden/>
    <w:unhideWhenUsed/>
    <w:rsid w:val="0016321F"/>
    <w:rPr>
      <w:b/>
      <w:bCs/>
    </w:rPr>
  </w:style>
  <w:style w:type="character" w:styleId="AsuntodelcomentarioCar" w:customStyle="1">
    <w:name w:val="Asunto del comentario Car"/>
    <w:basedOn w:val="TextocomentarioCar"/>
    <w:link w:val="Asuntodelcomentario"/>
    <w:uiPriority w:val="99"/>
    <w:semiHidden/>
    <w:rsid w:val="0016321F"/>
    <w:rPr>
      <w:rFonts w:ascii="Times New Roman" w:hAnsi="Times New Roman" w:eastAsia="Times New Roman" w:cs="Times New Roman"/>
      <w:b/>
      <w:bCs/>
      <w:sz w:val="20"/>
      <w:szCs w:val="20"/>
      <w:lang w:eastAsia="es-MX"/>
    </w:rPr>
  </w:style>
  <w:style w:type="paragraph" w:styleId="Revisin">
    <w:name w:val="Revision"/>
    <w:hidden/>
    <w:uiPriority w:val="99"/>
    <w:semiHidden/>
    <w:rsid w:val="001B1ED3"/>
    <w:rPr>
      <w:rFonts w:ascii="Times New Roman" w:hAnsi="Times New Roman" w:eastAsia="Times New Roman" w:cs="Times New Roman"/>
      <w:lang w:eastAsia="es-MX"/>
    </w:rPr>
  </w:style>
  <w:style w:type="paragraph" w:styleId="Normal11pt" w:customStyle="1">
    <w:name w:val="Normal + 11 pt"/>
    <w:aliases w:val="Negro,Justificado,Izquierda:  -0,95 cm,Derecha:  0,04 cm"/>
    <w:basedOn w:val="Normal"/>
    <w:uiPriority w:val="99"/>
    <w:rsid w:val="00236169"/>
    <w:pPr>
      <w:ind w:left="-540"/>
      <w:jc w:val="both"/>
    </w:pPr>
    <w:rPr>
      <w:rFonts w:ascii="Arial" w:hAnsi="Arial" w:cs="Arial"/>
      <w:color w:val="000000"/>
      <w:sz w:val="22"/>
      <w:szCs w:val="22"/>
      <w:lang w:eastAsia="es-ES"/>
    </w:rPr>
  </w:style>
  <w:style w:type="character" w:styleId="Hipervnculo">
    <w:name w:val="Hyperlink"/>
    <w:basedOn w:val="Fuentedeprrafopredeter"/>
    <w:uiPriority w:val="99"/>
    <w:unhideWhenUsed/>
    <w:rsid w:val="009D6BD7"/>
    <w:rPr>
      <w:color w:val="0000FF"/>
      <w:u w:val="single"/>
    </w:rPr>
  </w:style>
  <w:style w:type="paragraph" w:styleId="NormalWeb">
    <w:name w:val="Normal (Web)"/>
    <w:basedOn w:val="Normal"/>
    <w:link w:val="NormalWebCar"/>
    <w:uiPriority w:val="99"/>
    <w:unhideWhenUsed/>
    <w:rsid w:val="004963B0"/>
    <w:pPr>
      <w:spacing w:before="100" w:beforeAutospacing="1" w:after="100" w:afterAutospacing="1"/>
    </w:pPr>
  </w:style>
  <w:style w:type="character" w:styleId="Textoennegrita">
    <w:name w:val="Strong"/>
    <w:basedOn w:val="Fuentedeprrafopredeter"/>
    <w:uiPriority w:val="22"/>
    <w:qFormat/>
    <w:rsid w:val="004963B0"/>
    <w:rPr>
      <w:b/>
      <w:bCs/>
    </w:rPr>
  </w:style>
  <w:style w:type="character" w:styleId="nfasis">
    <w:name w:val="Emphasis"/>
    <w:basedOn w:val="Fuentedeprrafopredeter"/>
    <w:uiPriority w:val="20"/>
    <w:qFormat/>
    <w:rsid w:val="004963B0"/>
    <w:rPr>
      <w:i/>
      <w:iCs/>
    </w:rPr>
  </w:style>
  <w:style w:type="character" w:styleId="Mencinsinresolver1" w:customStyle="1">
    <w:name w:val="Mención sin resolver1"/>
    <w:basedOn w:val="Fuentedeprrafopredeter"/>
    <w:uiPriority w:val="99"/>
    <w:semiHidden/>
    <w:unhideWhenUsed/>
    <w:rsid w:val="001F0BA1"/>
    <w:rPr>
      <w:color w:val="605E5C"/>
      <w:shd w:val="clear" w:color="auto" w:fill="E1DFDD"/>
    </w:rPr>
  </w:style>
  <w:style w:type="table" w:styleId="Tablaconcuadrcula2" w:customStyle="1">
    <w:name w:val="Tabla con cuadrícula2"/>
    <w:basedOn w:val="Tablanormal"/>
    <w:next w:val="Tablaconcuadrcula"/>
    <w:uiPriority w:val="39"/>
    <w:rsid w:val="00826A17"/>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WebCar" w:customStyle="1">
    <w:name w:val="Normal (Web) Car"/>
    <w:link w:val="NormalWeb"/>
    <w:uiPriority w:val="99"/>
    <w:rsid w:val="00826A17"/>
    <w:rPr>
      <w:rFonts w:ascii="Times New Roman" w:hAnsi="Times New Roman" w:eastAsia="Times New Roman" w:cs="Times New Roman"/>
      <w:lang w:eastAsia="es-MX"/>
    </w:rPr>
  </w:style>
  <w:style w:type="character" w:styleId="Ttulo1Car" w:customStyle="1">
    <w:name w:val="Título 1 Car"/>
    <w:basedOn w:val="Fuentedeprrafopredeter"/>
    <w:link w:val="Ttulo1"/>
    <w:uiPriority w:val="9"/>
    <w:rsid w:val="00F128A6"/>
    <w:rPr>
      <w:rFonts w:ascii="Arial" w:hAnsi="Arial" w:eastAsia="Arial" w:cs="Arial"/>
      <w:b/>
      <w:bCs/>
      <w:sz w:val="22"/>
      <w:szCs w:val="22"/>
      <w:lang w:val="es-ES"/>
    </w:rPr>
  </w:style>
  <w:style w:type="paragraph" w:styleId="gmail-msonospacing" w:customStyle="1">
    <w:name w:val="gmail-msonospacing"/>
    <w:basedOn w:val="Normal"/>
    <w:rsid w:val="00731374"/>
    <w:pPr>
      <w:spacing w:before="100" w:beforeAutospacing="1" w:after="100" w:afterAutospacing="1"/>
    </w:pPr>
    <w:rPr>
      <w:rFonts w:ascii="Calibri" w:hAnsi="Calibri" w:cs="Calibri" w:eastAsiaTheme="minorHAnsi"/>
      <w:sz w:val="22"/>
      <w:szCs w:val="22"/>
      <w:lang w:val="es-ES" w:eastAsia="es-ES"/>
    </w:rPr>
  </w:style>
  <w:style w:type="paragraph" w:styleId="Textocomentario1" w:customStyle="1">
    <w:name w:val="Texto comentario1"/>
    <w:basedOn w:val="Normal"/>
    <w:next w:val="Textocomentario"/>
    <w:uiPriority w:val="99"/>
    <w:unhideWhenUsed/>
    <w:rsid w:val="009F4296"/>
    <w:rPr>
      <w:rFonts w:asciiTheme="minorHAnsi" w:hAnsiTheme="minorHAnsi" w:eastAsiaTheme="minorHAnsi" w:cstheme="minorBidi"/>
      <w:sz w:val="20"/>
      <w:szCs w:val="20"/>
      <w:lang w:val="es-MX" w:eastAsia="en-US"/>
    </w:rPr>
  </w:style>
  <w:style w:type="paragraph" w:styleId="Car1" w:customStyle="1">
    <w:name w:val="Car1"/>
    <w:basedOn w:val="Normal"/>
    <w:next w:val="Textonotapie"/>
    <w:uiPriority w:val="99"/>
    <w:unhideWhenUsed/>
    <w:qFormat/>
    <w:rsid w:val="009F4296"/>
    <w:rPr>
      <w:rFonts w:asciiTheme="minorHAnsi" w:hAnsiTheme="minorHAnsi" w:eastAsiaTheme="minorHAnsi" w:cstheme="minorBidi"/>
      <w:sz w:val="20"/>
      <w:szCs w:val="20"/>
      <w:lang w:val="es-MX" w:eastAsia="en-US"/>
    </w:rPr>
  </w:style>
  <w:style w:type="paragraph" w:styleId="paragraph" w:customStyle="1">
    <w:name w:val="paragraph"/>
    <w:basedOn w:val="Normal"/>
    <w:rsid w:val="002835D0"/>
    <w:pPr>
      <w:spacing w:before="100" w:beforeAutospacing="1" w:after="100" w:afterAutospacing="1"/>
    </w:pPr>
    <w:rPr>
      <w:lang w:eastAsia="es-CO"/>
    </w:rPr>
  </w:style>
  <w:style w:type="table" w:styleId="Tablaconcuadrcula1" w:customStyle="1">
    <w:name w:val="Tabla con cuadrícula1"/>
    <w:basedOn w:val="Tablanormal"/>
    <w:next w:val="Tablaconcuadrcula"/>
    <w:uiPriority w:val="59"/>
    <w:rsid w:val="00DF313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303F37"/>
  </w:style>
  <w:style w:type="character" w:styleId="Ttulo4Car" w:customStyle="1">
    <w:name w:val="Título 4 Car"/>
    <w:basedOn w:val="Fuentedeprrafopredeter"/>
    <w:link w:val="Ttulo4"/>
    <w:uiPriority w:val="9"/>
    <w:semiHidden/>
    <w:rsid w:val="00A02727"/>
    <w:rPr>
      <w:rFonts w:asciiTheme="majorHAnsi" w:hAnsiTheme="majorHAnsi" w:eastAsiaTheme="majorEastAsia" w:cstheme="majorBidi"/>
      <w:i/>
      <w:iCs/>
      <w:color w:val="2F5496" w:themeColor="accent1" w:themeShade="BF"/>
      <w:lang w:val="es-ES_tradnl" w:eastAsia="es-MX"/>
    </w:rPr>
  </w:style>
  <w:style w:type="character" w:styleId="Hipervnculovisitado">
    <w:name w:val="FollowedHyperlink"/>
    <w:basedOn w:val="Fuentedeprrafopredeter"/>
    <w:uiPriority w:val="99"/>
    <w:semiHidden/>
    <w:unhideWhenUsed/>
    <w:rsid w:val="00C63632"/>
    <w:rPr>
      <w:color w:val="954F72" w:themeColor="followedHyperlink"/>
      <w:u w:val="single"/>
    </w:rPr>
  </w:style>
  <w:style w:type="paragraph" w:styleId="Default" w:customStyle="1">
    <w:name w:val="Default"/>
    <w:rsid w:val="00D26A0D"/>
    <w:pPr>
      <w:autoSpaceDE w:val="0"/>
      <w:autoSpaceDN w:val="0"/>
      <w:adjustRightInd w:val="0"/>
    </w:pPr>
    <w:rPr>
      <w:rFonts w:ascii="Arial" w:hAnsi="Arial" w:cs="Arial"/>
      <w:color w:val="000000"/>
      <w:lang w:val="es-MX"/>
    </w:rPr>
  </w:style>
  <w:style w:type="table" w:styleId="2" w:customStyle="1">
    <w:name w:val="2"/>
    <w:basedOn w:val="Tablanormal"/>
    <w:rsid w:val="00460695"/>
    <w:pPr>
      <w:spacing w:before="120"/>
    </w:pPr>
    <w:rPr>
      <w:rFonts w:ascii="Calibri" w:hAnsi="Calibri" w:eastAsia="Calibri" w:cs="Calibri"/>
      <w:lang w:val="es-MX" w:eastAsia="es-ES_tradnl"/>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98">
      <w:bodyDiv w:val="1"/>
      <w:marLeft w:val="0"/>
      <w:marRight w:val="0"/>
      <w:marTop w:val="0"/>
      <w:marBottom w:val="0"/>
      <w:divBdr>
        <w:top w:val="none" w:sz="0" w:space="0" w:color="auto"/>
        <w:left w:val="none" w:sz="0" w:space="0" w:color="auto"/>
        <w:bottom w:val="none" w:sz="0" w:space="0" w:color="auto"/>
        <w:right w:val="none" w:sz="0" w:space="0" w:color="auto"/>
      </w:divBdr>
    </w:div>
    <w:div w:id="95178968">
      <w:bodyDiv w:val="1"/>
      <w:marLeft w:val="0"/>
      <w:marRight w:val="0"/>
      <w:marTop w:val="0"/>
      <w:marBottom w:val="0"/>
      <w:divBdr>
        <w:top w:val="none" w:sz="0" w:space="0" w:color="auto"/>
        <w:left w:val="none" w:sz="0" w:space="0" w:color="auto"/>
        <w:bottom w:val="none" w:sz="0" w:space="0" w:color="auto"/>
        <w:right w:val="none" w:sz="0" w:space="0" w:color="auto"/>
      </w:divBdr>
      <w:divsChild>
        <w:div w:id="1018432453">
          <w:marLeft w:val="0"/>
          <w:marRight w:val="0"/>
          <w:marTop w:val="0"/>
          <w:marBottom w:val="0"/>
          <w:divBdr>
            <w:top w:val="none" w:sz="0" w:space="0" w:color="auto"/>
            <w:left w:val="none" w:sz="0" w:space="0" w:color="auto"/>
            <w:bottom w:val="none" w:sz="0" w:space="0" w:color="auto"/>
            <w:right w:val="none" w:sz="0" w:space="0" w:color="auto"/>
          </w:divBdr>
        </w:div>
      </w:divsChild>
    </w:div>
    <w:div w:id="108859970">
      <w:bodyDiv w:val="1"/>
      <w:marLeft w:val="0"/>
      <w:marRight w:val="0"/>
      <w:marTop w:val="0"/>
      <w:marBottom w:val="0"/>
      <w:divBdr>
        <w:top w:val="none" w:sz="0" w:space="0" w:color="auto"/>
        <w:left w:val="none" w:sz="0" w:space="0" w:color="auto"/>
        <w:bottom w:val="none" w:sz="0" w:space="0" w:color="auto"/>
        <w:right w:val="none" w:sz="0" w:space="0" w:color="auto"/>
      </w:divBdr>
    </w:div>
    <w:div w:id="146285508">
      <w:bodyDiv w:val="1"/>
      <w:marLeft w:val="0"/>
      <w:marRight w:val="0"/>
      <w:marTop w:val="0"/>
      <w:marBottom w:val="0"/>
      <w:divBdr>
        <w:top w:val="none" w:sz="0" w:space="0" w:color="auto"/>
        <w:left w:val="none" w:sz="0" w:space="0" w:color="auto"/>
        <w:bottom w:val="none" w:sz="0" w:space="0" w:color="auto"/>
        <w:right w:val="none" w:sz="0" w:space="0" w:color="auto"/>
      </w:divBdr>
    </w:div>
    <w:div w:id="194269839">
      <w:bodyDiv w:val="1"/>
      <w:marLeft w:val="0"/>
      <w:marRight w:val="0"/>
      <w:marTop w:val="0"/>
      <w:marBottom w:val="0"/>
      <w:divBdr>
        <w:top w:val="none" w:sz="0" w:space="0" w:color="auto"/>
        <w:left w:val="none" w:sz="0" w:space="0" w:color="auto"/>
        <w:bottom w:val="none" w:sz="0" w:space="0" w:color="auto"/>
        <w:right w:val="none" w:sz="0" w:space="0" w:color="auto"/>
      </w:divBdr>
    </w:div>
    <w:div w:id="232280027">
      <w:bodyDiv w:val="1"/>
      <w:marLeft w:val="0"/>
      <w:marRight w:val="0"/>
      <w:marTop w:val="0"/>
      <w:marBottom w:val="0"/>
      <w:divBdr>
        <w:top w:val="none" w:sz="0" w:space="0" w:color="auto"/>
        <w:left w:val="none" w:sz="0" w:space="0" w:color="auto"/>
        <w:bottom w:val="none" w:sz="0" w:space="0" w:color="auto"/>
        <w:right w:val="none" w:sz="0" w:space="0" w:color="auto"/>
      </w:divBdr>
      <w:divsChild>
        <w:div w:id="399133508">
          <w:marLeft w:val="0"/>
          <w:marRight w:val="0"/>
          <w:marTop w:val="0"/>
          <w:marBottom w:val="0"/>
          <w:divBdr>
            <w:top w:val="none" w:sz="0" w:space="0" w:color="auto"/>
            <w:left w:val="none" w:sz="0" w:space="0" w:color="auto"/>
            <w:bottom w:val="none" w:sz="0" w:space="0" w:color="auto"/>
            <w:right w:val="none" w:sz="0" w:space="0" w:color="auto"/>
          </w:divBdr>
          <w:divsChild>
            <w:div w:id="110511755">
              <w:marLeft w:val="0"/>
              <w:marRight w:val="0"/>
              <w:marTop w:val="0"/>
              <w:marBottom w:val="0"/>
              <w:divBdr>
                <w:top w:val="none" w:sz="0" w:space="0" w:color="auto"/>
                <w:left w:val="none" w:sz="0" w:space="0" w:color="auto"/>
                <w:bottom w:val="none" w:sz="0" w:space="0" w:color="auto"/>
                <w:right w:val="none" w:sz="0" w:space="0" w:color="auto"/>
              </w:divBdr>
            </w:div>
            <w:div w:id="173619910">
              <w:marLeft w:val="0"/>
              <w:marRight w:val="0"/>
              <w:marTop w:val="0"/>
              <w:marBottom w:val="0"/>
              <w:divBdr>
                <w:top w:val="none" w:sz="0" w:space="0" w:color="auto"/>
                <w:left w:val="none" w:sz="0" w:space="0" w:color="auto"/>
                <w:bottom w:val="none" w:sz="0" w:space="0" w:color="auto"/>
                <w:right w:val="none" w:sz="0" w:space="0" w:color="auto"/>
              </w:divBdr>
            </w:div>
            <w:div w:id="579483539">
              <w:marLeft w:val="0"/>
              <w:marRight w:val="0"/>
              <w:marTop w:val="0"/>
              <w:marBottom w:val="0"/>
              <w:divBdr>
                <w:top w:val="none" w:sz="0" w:space="0" w:color="auto"/>
                <w:left w:val="none" w:sz="0" w:space="0" w:color="auto"/>
                <w:bottom w:val="none" w:sz="0" w:space="0" w:color="auto"/>
                <w:right w:val="none" w:sz="0" w:space="0" w:color="auto"/>
              </w:divBdr>
            </w:div>
            <w:div w:id="792556381">
              <w:marLeft w:val="0"/>
              <w:marRight w:val="0"/>
              <w:marTop w:val="0"/>
              <w:marBottom w:val="0"/>
              <w:divBdr>
                <w:top w:val="none" w:sz="0" w:space="0" w:color="auto"/>
                <w:left w:val="none" w:sz="0" w:space="0" w:color="auto"/>
                <w:bottom w:val="none" w:sz="0" w:space="0" w:color="auto"/>
                <w:right w:val="none" w:sz="0" w:space="0" w:color="auto"/>
              </w:divBdr>
            </w:div>
            <w:div w:id="806319965">
              <w:marLeft w:val="0"/>
              <w:marRight w:val="0"/>
              <w:marTop w:val="0"/>
              <w:marBottom w:val="0"/>
              <w:divBdr>
                <w:top w:val="none" w:sz="0" w:space="0" w:color="auto"/>
                <w:left w:val="none" w:sz="0" w:space="0" w:color="auto"/>
                <w:bottom w:val="none" w:sz="0" w:space="0" w:color="auto"/>
                <w:right w:val="none" w:sz="0" w:space="0" w:color="auto"/>
              </w:divBdr>
            </w:div>
            <w:div w:id="1027372752">
              <w:marLeft w:val="0"/>
              <w:marRight w:val="0"/>
              <w:marTop w:val="0"/>
              <w:marBottom w:val="0"/>
              <w:divBdr>
                <w:top w:val="none" w:sz="0" w:space="0" w:color="auto"/>
                <w:left w:val="none" w:sz="0" w:space="0" w:color="auto"/>
                <w:bottom w:val="none" w:sz="0" w:space="0" w:color="auto"/>
                <w:right w:val="none" w:sz="0" w:space="0" w:color="auto"/>
              </w:divBdr>
            </w:div>
            <w:div w:id="1208839404">
              <w:marLeft w:val="0"/>
              <w:marRight w:val="0"/>
              <w:marTop w:val="0"/>
              <w:marBottom w:val="0"/>
              <w:divBdr>
                <w:top w:val="none" w:sz="0" w:space="0" w:color="auto"/>
                <w:left w:val="none" w:sz="0" w:space="0" w:color="auto"/>
                <w:bottom w:val="none" w:sz="0" w:space="0" w:color="auto"/>
                <w:right w:val="none" w:sz="0" w:space="0" w:color="auto"/>
              </w:divBdr>
            </w:div>
            <w:div w:id="1229070665">
              <w:marLeft w:val="0"/>
              <w:marRight w:val="0"/>
              <w:marTop w:val="0"/>
              <w:marBottom w:val="0"/>
              <w:divBdr>
                <w:top w:val="none" w:sz="0" w:space="0" w:color="auto"/>
                <w:left w:val="none" w:sz="0" w:space="0" w:color="auto"/>
                <w:bottom w:val="none" w:sz="0" w:space="0" w:color="auto"/>
                <w:right w:val="none" w:sz="0" w:space="0" w:color="auto"/>
              </w:divBdr>
            </w:div>
            <w:div w:id="1411733568">
              <w:marLeft w:val="0"/>
              <w:marRight w:val="0"/>
              <w:marTop w:val="0"/>
              <w:marBottom w:val="0"/>
              <w:divBdr>
                <w:top w:val="none" w:sz="0" w:space="0" w:color="auto"/>
                <w:left w:val="none" w:sz="0" w:space="0" w:color="auto"/>
                <w:bottom w:val="none" w:sz="0" w:space="0" w:color="auto"/>
                <w:right w:val="none" w:sz="0" w:space="0" w:color="auto"/>
              </w:divBdr>
            </w:div>
            <w:div w:id="1499230849">
              <w:marLeft w:val="0"/>
              <w:marRight w:val="0"/>
              <w:marTop w:val="0"/>
              <w:marBottom w:val="0"/>
              <w:divBdr>
                <w:top w:val="none" w:sz="0" w:space="0" w:color="auto"/>
                <w:left w:val="none" w:sz="0" w:space="0" w:color="auto"/>
                <w:bottom w:val="none" w:sz="0" w:space="0" w:color="auto"/>
                <w:right w:val="none" w:sz="0" w:space="0" w:color="auto"/>
              </w:divBdr>
            </w:div>
            <w:div w:id="1549955371">
              <w:marLeft w:val="0"/>
              <w:marRight w:val="0"/>
              <w:marTop w:val="0"/>
              <w:marBottom w:val="0"/>
              <w:divBdr>
                <w:top w:val="none" w:sz="0" w:space="0" w:color="auto"/>
                <w:left w:val="none" w:sz="0" w:space="0" w:color="auto"/>
                <w:bottom w:val="none" w:sz="0" w:space="0" w:color="auto"/>
                <w:right w:val="none" w:sz="0" w:space="0" w:color="auto"/>
              </w:divBdr>
            </w:div>
            <w:div w:id="1630018027">
              <w:marLeft w:val="0"/>
              <w:marRight w:val="0"/>
              <w:marTop w:val="0"/>
              <w:marBottom w:val="0"/>
              <w:divBdr>
                <w:top w:val="none" w:sz="0" w:space="0" w:color="auto"/>
                <w:left w:val="none" w:sz="0" w:space="0" w:color="auto"/>
                <w:bottom w:val="none" w:sz="0" w:space="0" w:color="auto"/>
                <w:right w:val="none" w:sz="0" w:space="0" w:color="auto"/>
              </w:divBdr>
            </w:div>
            <w:div w:id="1639648031">
              <w:marLeft w:val="0"/>
              <w:marRight w:val="0"/>
              <w:marTop w:val="0"/>
              <w:marBottom w:val="0"/>
              <w:divBdr>
                <w:top w:val="none" w:sz="0" w:space="0" w:color="auto"/>
                <w:left w:val="none" w:sz="0" w:space="0" w:color="auto"/>
                <w:bottom w:val="none" w:sz="0" w:space="0" w:color="auto"/>
                <w:right w:val="none" w:sz="0" w:space="0" w:color="auto"/>
              </w:divBdr>
            </w:div>
            <w:div w:id="1720202991">
              <w:marLeft w:val="0"/>
              <w:marRight w:val="0"/>
              <w:marTop w:val="0"/>
              <w:marBottom w:val="0"/>
              <w:divBdr>
                <w:top w:val="none" w:sz="0" w:space="0" w:color="auto"/>
                <w:left w:val="none" w:sz="0" w:space="0" w:color="auto"/>
                <w:bottom w:val="none" w:sz="0" w:space="0" w:color="auto"/>
                <w:right w:val="none" w:sz="0" w:space="0" w:color="auto"/>
              </w:divBdr>
            </w:div>
            <w:div w:id="2006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337074326">
      <w:bodyDiv w:val="1"/>
      <w:marLeft w:val="0"/>
      <w:marRight w:val="0"/>
      <w:marTop w:val="0"/>
      <w:marBottom w:val="0"/>
      <w:divBdr>
        <w:top w:val="none" w:sz="0" w:space="0" w:color="auto"/>
        <w:left w:val="none" w:sz="0" w:space="0" w:color="auto"/>
        <w:bottom w:val="none" w:sz="0" w:space="0" w:color="auto"/>
        <w:right w:val="none" w:sz="0" w:space="0" w:color="auto"/>
      </w:divBdr>
    </w:div>
    <w:div w:id="371344272">
      <w:bodyDiv w:val="1"/>
      <w:marLeft w:val="0"/>
      <w:marRight w:val="0"/>
      <w:marTop w:val="0"/>
      <w:marBottom w:val="0"/>
      <w:divBdr>
        <w:top w:val="none" w:sz="0" w:space="0" w:color="auto"/>
        <w:left w:val="none" w:sz="0" w:space="0" w:color="auto"/>
        <w:bottom w:val="none" w:sz="0" w:space="0" w:color="auto"/>
        <w:right w:val="none" w:sz="0" w:space="0" w:color="auto"/>
      </w:divBdr>
    </w:div>
    <w:div w:id="377316997">
      <w:bodyDiv w:val="1"/>
      <w:marLeft w:val="0"/>
      <w:marRight w:val="0"/>
      <w:marTop w:val="0"/>
      <w:marBottom w:val="0"/>
      <w:divBdr>
        <w:top w:val="none" w:sz="0" w:space="0" w:color="auto"/>
        <w:left w:val="none" w:sz="0" w:space="0" w:color="auto"/>
        <w:bottom w:val="none" w:sz="0" w:space="0" w:color="auto"/>
        <w:right w:val="none" w:sz="0" w:space="0" w:color="auto"/>
      </w:divBdr>
    </w:div>
    <w:div w:id="433718327">
      <w:bodyDiv w:val="1"/>
      <w:marLeft w:val="0"/>
      <w:marRight w:val="0"/>
      <w:marTop w:val="0"/>
      <w:marBottom w:val="0"/>
      <w:divBdr>
        <w:top w:val="none" w:sz="0" w:space="0" w:color="auto"/>
        <w:left w:val="none" w:sz="0" w:space="0" w:color="auto"/>
        <w:bottom w:val="none" w:sz="0" w:space="0" w:color="auto"/>
        <w:right w:val="none" w:sz="0" w:space="0" w:color="auto"/>
      </w:divBdr>
      <w:divsChild>
        <w:div w:id="1906069724">
          <w:marLeft w:val="0"/>
          <w:marRight w:val="0"/>
          <w:marTop w:val="0"/>
          <w:marBottom w:val="0"/>
          <w:divBdr>
            <w:top w:val="none" w:sz="0" w:space="0" w:color="auto"/>
            <w:left w:val="none" w:sz="0" w:space="0" w:color="auto"/>
            <w:bottom w:val="none" w:sz="0" w:space="0" w:color="auto"/>
            <w:right w:val="none" w:sz="0" w:space="0" w:color="auto"/>
          </w:divBdr>
          <w:divsChild>
            <w:div w:id="976883789">
              <w:marLeft w:val="0"/>
              <w:marRight w:val="0"/>
              <w:marTop w:val="0"/>
              <w:marBottom w:val="0"/>
              <w:divBdr>
                <w:top w:val="none" w:sz="0" w:space="0" w:color="auto"/>
                <w:left w:val="none" w:sz="0" w:space="0" w:color="auto"/>
                <w:bottom w:val="none" w:sz="0" w:space="0" w:color="auto"/>
                <w:right w:val="none" w:sz="0" w:space="0" w:color="auto"/>
              </w:divBdr>
              <w:divsChild>
                <w:div w:id="3849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1877">
      <w:bodyDiv w:val="1"/>
      <w:marLeft w:val="0"/>
      <w:marRight w:val="0"/>
      <w:marTop w:val="0"/>
      <w:marBottom w:val="0"/>
      <w:divBdr>
        <w:top w:val="none" w:sz="0" w:space="0" w:color="auto"/>
        <w:left w:val="none" w:sz="0" w:space="0" w:color="auto"/>
        <w:bottom w:val="none" w:sz="0" w:space="0" w:color="auto"/>
        <w:right w:val="none" w:sz="0" w:space="0" w:color="auto"/>
      </w:divBdr>
    </w:div>
    <w:div w:id="587084021">
      <w:bodyDiv w:val="1"/>
      <w:marLeft w:val="0"/>
      <w:marRight w:val="0"/>
      <w:marTop w:val="0"/>
      <w:marBottom w:val="0"/>
      <w:divBdr>
        <w:top w:val="none" w:sz="0" w:space="0" w:color="auto"/>
        <w:left w:val="none" w:sz="0" w:space="0" w:color="auto"/>
        <w:bottom w:val="none" w:sz="0" w:space="0" w:color="auto"/>
        <w:right w:val="none" w:sz="0" w:space="0" w:color="auto"/>
      </w:divBdr>
    </w:div>
    <w:div w:id="609052755">
      <w:bodyDiv w:val="1"/>
      <w:marLeft w:val="0"/>
      <w:marRight w:val="0"/>
      <w:marTop w:val="0"/>
      <w:marBottom w:val="0"/>
      <w:divBdr>
        <w:top w:val="none" w:sz="0" w:space="0" w:color="auto"/>
        <w:left w:val="none" w:sz="0" w:space="0" w:color="auto"/>
        <w:bottom w:val="none" w:sz="0" w:space="0" w:color="auto"/>
        <w:right w:val="none" w:sz="0" w:space="0" w:color="auto"/>
      </w:divBdr>
      <w:divsChild>
        <w:div w:id="632098825">
          <w:marLeft w:val="0"/>
          <w:marRight w:val="0"/>
          <w:marTop w:val="0"/>
          <w:marBottom w:val="0"/>
          <w:divBdr>
            <w:top w:val="none" w:sz="0" w:space="0" w:color="auto"/>
            <w:left w:val="none" w:sz="0" w:space="0" w:color="auto"/>
            <w:bottom w:val="none" w:sz="0" w:space="0" w:color="auto"/>
            <w:right w:val="none" w:sz="0" w:space="0" w:color="auto"/>
          </w:divBdr>
          <w:divsChild>
            <w:div w:id="1516073896">
              <w:marLeft w:val="0"/>
              <w:marRight w:val="0"/>
              <w:marTop w:val="0"/>
              <w:marBottom w:val="0"/>
              <w:divBdr>
                <w:top w:val="none" w:sz="0" w:space="0" w:color="auto"/>
                <w:left w:val="none" w:sz="0" w:space="0" w:color="auto"/>
                <w:bottom w:val="none" w:sz="0" w:space="0" w:color="auto"/>
                <w:right w:val="none" w:sz="0" w:space="0" w:color="auto"/>
              </w:divBdr>
              <w:divsChild>
                <w:div w:id="187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83442">
      <w:bodyDiv w:val="1"/>
      <w:marLeft w:val="0"/>
      <w:marRight w:val="0"/>
      <w:marTop w:val="0"/>
      <w:marBottom w:val="0"/>
      <w:divBdr>
        <w:top w:val="none" w:sz="0" w:space="0" w:color="auto"/>
        <w:left w:val="none" w:sz="0" w:space="0" w:color="auto"/>
        <w:bottom w:val="none" w:sz="0" w:space="0" w:color="auto"/>
        <w:right w:val="none" w:sz="0" w:space="0" w:color="auto"/>
      </w:divBdr>
      <w:divsChild>
        <w:div w:id="347830034">
          <w:marLeft w:val="0"/>
          <w:marRight w:val="0"/>
          <w:marTop w:val="0"/>
          <w:marBottom w:val="0"/>
          <w:divBdr>
            <w:top w:val="none" w:sz="0" w:space="0" w:color="auto"/>
            <w:left w:val="none" w:sz="0" w:space="0" w:color="auto"/>
            <w:bottom w:val="none" w:sz="0" w:space="0" w:color="auto"/>
            <w:right w:val="none" w:sz="0" w:space="0" w:color="auto"/>
          </w:divBdr>
          <w:divsChild>
            <w:div w:id="1119496435">
              <w:marLeft w:val="0"/>
              <w:marRight w:val="0"/>
              <w:marTop w:val="0"/>
              <w:marBottom w:val="0"/>
              <w:divBdr>
                <w:top w:val="none" w:sz="0" w:space="0" w:color="auto"/>
                <w:left w:val="none" w:sz="0" w:space="0" w:color="auto"/>
                <w:bottom w:val="none" w:sz="0" w:space="0" w:color="auto"/>
                <w:right w:val="none" w:sz="0" w:space="0" w:color="auto"/>
              </w:divBdr>
              <w:divsChild>
                <w:div w:id="12231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5812">
      <w:bodyDiv w:val="1"/>
      <w:marLeft w:val="0"/>
      <w:marRight w:val="0"/>
      <w:marTop w:val="0"/>
      <w:marBottom w:val="0"/>
      <w:divBdr>
        <w:top w:val="none" w:sz="0" w:space="0" w:color="auto"/>
        <w:left w:val="none" w:sz="0" w:space="0" w:color="auto"/>
        <w:bottom w:val="none" w:sz="0" w:space="0" w:color="auto"/>
        <w:right w:val="none" w:sz="0" w:space="0" w:color="auto"/>
      </w:divBdr>
      <w:divsChild>
        <w:div w:id="540170377">
          <w:marLeft w:val="0"/>
          <w:marRight w:val="0"/>
          <w:marTop w:val="0"/>
          <w:marBottom w:val="0"/>
          <w:divBdr>
            <w:top w:val="none" w:sz="0" w:space="0" w:color="auto"/>
            <w:left w:val="none" w:sz="0" w:space="0" w:color="auto"/>
            <w:bottom w:val="none" w:sz="0" w:space="0" w:color="auto"/>
            <w:right w:val="none" w:sz="0" w:space="0" w:color="auto"/>
          </w:divBdr>
        </w:div>
      </w:divsChild>
    </w:div>
    <w:div w:id="729768611">
      <w:bodyDiv w:val="1"/>
      <w:marLeft w:val="0"/>
      <w:marRight w:val="0"/>
      <w:marTop w:val="0"/>
      <w:marBottom w:val="0"/>
      <w:divBdr>
        <w:top w:val="none" w:sz="0" w:space="0" w:color="auto"/>
        <w:left w:val="none" w:sz="0" w:space="0" w:color="auto"/>
        <w:bottom w:val="none" w:sz="0" w:space="0" w:color="auto"/>
        <w:right w:val="none" w:sz="0" w:space="0" w:color="auto"/>
      </w:divBdr>
    </w:div>
    <w:div w:id="886841932">
      <w:bodyDiv w:val="1"/>
      <w:marLeft w:val="0"/>
      <w:marRight w:val="0"/>
      <w:marTop w:val="0"/>
      <w:marBottom w:val="0"/>
      <w:divBdr>
        <w:top w:val="none" w:sz="0" w:space="0" w:color="auto"/>
        <w:left w:val="none" w:sz="0" w:space="0" w:color="auto"/>
        <w:bottom w:val="none" w:sz="0" w:space="0" w:color="auto"/>
        <w:right w:val="none" w:sz="0" w:space="0" w:color="auto"/>
      </w:divBdr>
      <w:divsChild>
        <w:div w:id="659425936">
          <w:marLeft w:val="0"/>
          <w:marRight w:val="0"/>
          <w:marTop w:val="0"/>
          <w:marBottom w:val="0"/>
          <w:divBdr>
            <w:top w:val="none" w:sz="0" w:space="0" w:color="auto"/>
            <w:left w:val="none" w:sz="0" w:space="0" w:color="auto"/>
            <w:bottom w:val="none" w:sz="0" w:space="0" w:color="auto"/>
            <w:right w:val="none" w:sz="0" w:space="0" w:color="auto"/>
          </w:divBdr>
          <w:divsChild>
            <w:div w:id="1237932363">
              <w:marLeft w:val="0"/>
              <w:marRight w:val="0"/>
              <w:marTop w:val="0"/>
              <w:marBottom w:val="0"/>
              <w:divBdr>
                <w:top w:val="none" w:sz="0" w:space="0" w:color="auto"/>
                <w:left w:val="none" w:sz="0" w:space="0" w:color="auto"/>
                <w:bottom w:val="none" w:sz="0" w:space="0" w:color="auto"/>
                <w:right w:val="none" w:sz="0" w:space="0" w:color="auto"/>
              </w:divBdr>
              <w:divsChild>
                <w:div w:id="19794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4450">
      <w:bodyDiv w:val="1"/>
      <w:marLeft w:val="0"/>
      <w:marRight w:val="0"/>
      <w:marTop w:val="0"/>
      <w:marBottom w:val="0"/>
      <w:divBdr>
        <w:top w:val="none" w:sz="0" w:space="0" w:color="auto"/>
        <w:left w:val="none" w:sz="0" w:space="0" w:color="auto"/>
        <w:bottom w:val="none" w:sz="0" w:space="0" w:color="auto"/>
        <w:right w:val="none" w:sz="0" w:space="0" w:color="auto"/>
      </w:divBdr>
    </w:div>
    <w:div w:id="951012285">
      <w:bodyDiv w:val="1"/>
      <w:marLeft w:val="0"/>
      <w:marRight w:val="0"/>
      <w:marTop w:val="0"/>
      <w:marBottom w:val="0"/>
      <w:divBdr>
        <w:top w:val="none" w:sz="0" w:space="0" w:color="auto"/>
        <w:left w:val="none" w:sz="0" w:space="0" w:color="auto"/>
        <w:bottom w:val="none" w:sz="0" w:space="0" w:color="auto"/>
        <w:right w:val="none" w:sz="0" w:space="0" w:color="auto"/>
      </w:divBdr>
    </w:div>
    <w:div w:id="994911990">
      <w:bodyDiv w:val="1"/>
      <w:marLeft w:val="0"/>
      <w:marRight w:val="0"/>
      <w:marTop w:val="0"/>
      <w:marBottom w:val="0"/>
      <w:divBdr>
        <w:top w:val="none" w:sz="0" w:space="0" w:color="auto"/>
        <w:left w:val="none" w:sz="0" w:space="0" w:color="auto"/>
        <w:bottom w:val="none" w:sz="0" w:space="0" w:color="auto"/>
        <w:right w:val="none" w:sz="0" w:space="0" w:color="auto"/>
      </w:divBdr>
      <w:divsChild>
        <w:div w:id="724837066">
          <w:marLeft w:val="0"/>
          <w:marRight w:val="0"/>
          <w:marTop w:val="0"/>
          <w:marBottom w:val="0"/>
          <w:divBdr>
            <w:top w:val="none" w:sz="0" w:space="0" w:color="auto"/>
            <w:left w:val="none" w:sz="0" w:space="0" w:color="auto"/>
            <w:bottom w:val="none" w:sz="0" w:space="0" w:color="auto"/>
            <w:right w:val="none" w:sz="0" w:space="0" w:color="auto"/>
          </w:divBdr>
          <w:divsChild>
            <w:div w:id="519853884">
              <w:marLeft w:val="0"/>
              <w:marRight w:val="0"/>
              <w:marTop w:val="0"/>
              <w:marBottom w:val="0"/>
              <w:divBdr>
                <w:top w:val="none" w:sz="0" w:space="0" w:color="auto"/>
                <w:left w:val="none" w:sz="0" w:space="0" w:color="auto"/>
                <w:bottom w:val="none" w:sz="0" w:space="0" w:color="auto"/>
                <w:right w:val="none" w:sz="0" w:space="0" w:color="auto"/>
              </w:divBdr>
              <w:divsChild>
                <w:div w:id="9276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5984">
      <w:bodyDiv w:val="1"/>
      <w:marLeft w:val="0"/>
      <w:marRight w:val="0"/>
      <w:marTop w:val="0"/>
      <w:marBottom w:val="0"/>
      <w:divBdr>
        <w:top w:val="none" w:sz="0" w:space="0" w:color="auto"/>
        <w:left w:val="none" w:sz="0" w:space="0" w:color="auto"/>
        <w:bottom w:val="none" w:sz="0" w:space="0" w:color="auto"/>
        <w:right w:val="none" w:sz="0" w:space="0" w:color="auto"/>
      </w:divBdr>
    </w:div>
    <w:div w:id="1158957361">
      <w:bodyDiv w:val="1"/>
      <w:marLeft w:val="0"/>
      <w:marRight w:val="0"/>
      <w:marTop w:val="0"/>
      <w:marBottom w:val="0"/>
      <w:divBdr>
        <w:top w:val="none" w:sz="0" w:space="0" w:color="auto"/>
        <w:left w:val="none" w:sz="0" w:space="0" w:color="auto"/>
        <w:bottom w:val="none" w:sz="0" w:space="0" w:color="auto"/>
        <w:right w:val="none" w:sz="0" w:space="0" w:color="auto"/>
      </w:divBdr>
      <w:divsChild>
        <w:div w:id="370500300">
          <w:marLeft w:val="0"/>
          <w:marRight w:val="0"/>
          <w:marTop w:val="0"/>
          <w:marBottom w:val="0"/>
          <w:divBdr>
            <w:top w:val="none" w:sz="0" w:space="0" w:color="auto"/>
            <w:left w:val="none" w:sz="0" w:space="0" w:color="auto"/>
            <w:bottom w:val="none" w:sz="0" w:space="0" w:color="auto"/>
            <w:right w:val="none" w:sz="0" w:space="0" w:color="auto"/>
          </w:divBdr>
          <w:divsChild>
            <w:div w:id="381832082">
              <w:marLeft w:val="0"/>
              <w:marRight w:val="0"/>
              <w:marTop w:val="0"/>
              <w:marBottom w:val="0"/>
              <w:divBdr>
                <w:top w:val="none" w:sz="0" w:space="0" w:color="auto"/>
                <w:left w:val="none" w:sz="0" w:space="0" w:color="auto"/>
                <w:bottom w:val="none" w:sz="0" w:space="0" w:color="auto"/>
                <w:right w:val="none" w:sz="0" w:space="0" w:color="auto"/>
              </w:divBdr>
            </w:div>
            <w:div w:id="1333412044">
              <w:marLeft w:val="0"/>
              <w:marRight w:val="0"/>
              <w:marTop w:val="0"/>
              <w:marBottom w:val="0"/>
              <w:divBdr>
                <w:top w:val="none" w:sz="0" w:space="0" w:color="auto"/>
                <w:left w:val="none" w:sz="0" w:space="0" w:color="auto"/>
                <w:bottom w:val="none" w:sz="0" w:space="0" w:color="auto"/>
                <w:right w:val="none" w:sz="0" w:space="0" w:color="auto"/>
              </w:divBdr>
            </w:div>
            <w:div w:id="1901859729">
              <w:marLeft w:val="0"/>
              <w:marRight w:val="0"/>
              <w:marTop w:val="0"/>
              <w:marBottom w:val="0"/>
              <w:divBdr>
                <w:top w:val="none" w:sz="0" w:space="0" w:color="auto"/>
                <w:left w:val="none" w:sz="0" w:space="0" w:color="auto"/>
                <w:bottom w:val="none" w:sz="0" w:space="0" w:color="auto"/>
                <w:right w:val="none" w:sz="0" w:space="0" w:color="auto"/>
              </w:divBdr>
            </w:div>
            <w:div w:id="863711006">
              <w:marLeft w:val="0"/>
              <w:marRight w:val="0"/>
              <w:marTop w:val="0"/>
              <w:marBottom w:val="0"/>
              <w:divBdr>
                <w:top w:val="none" w:sz="0" w:space="0" w:color="auto"/>
                <w:left w:val="none" w:sz="0" w:space="0" w:color="auto"/>
                <w:bottom w:val="none" w:sz="0" w:space="0" w:color="auto"/>
                <w:right w:val="none" w:sz="0" w:space="0" w:color="auto"/>
              </w:divBdr>
            </w:div>
            <w:div w:id="385295333">
              <w:marLeft w:val="0"/>
              <w:marRight w:val="0"/>
              <w:marTop w:val="0"/>
              <w:marBottom w:val="0"/>
              <w:divBdr>
                <w:top w:val="none" w:sz="0" w:space="0" w:color="auto"/>
                <w:left w:val="none" w:sz="0" w:space="0" w:color="auto"/>
                <w:bottom w:val="none" w:sz="0" w:space="0" w:color="auto"/>
                <w:right w:val="none" w:sz="0" w:space="0" w:color="auto"/>
              </w:divBdr>
            </w:div>
            <w:div w:id="394662775">
              <w:marLeft w:val="0"/>
              <w:marRight w:val="0"/>
              <w:marTop w:val="0"/>
              <w:marBottom w:val="0"/>
              <w:divBdr>
                <w:top w:val="none" w:sz="0" w:space="0" w:color="auto"/>
                <w:left w:val="none" w:sz="0" w:space="0" w:color="auto"/>
                <w:bottom w:val="none" w:sz="0" w:space="0" w:color="auto"/>
                <w:right w:val="none" w:sz="0" w:space="0" w:color="auto"/>
              </w:divBdr>
            </w:div>
            <w:div w:id="1114133781">
              <w:marLeft w:val="0"/>
              <w:marRight w:val="0"/>
              <w:marTop w:val="0"/>
              <w:marBottom w:val="0"/>
              <w:divBdr>
                <w:top w:val="none" w:sz="0" w:space="0" w:color="auto"/>
                <w:left w:val="none" w:sz="0" w:space="0" w:color="auto"/>
                <w:bottom w:val="none" w:sz="0" w:space="0" w:color="auto"/>
                <w:right w:val="none" w:sz="0" w:space="0" w:color="auto"/>
              </w:divBdr>
            </w:div>
            <w:div w:id="842359195">
              <w:marLeft w:val="0"/>
              <w:marRight w:val="0"/>
              <w:marTop w:val="0"/>
              <w:marBottom w:val="0"/>
              <w:divBdr>
                <w:top w:val="none" w:sz="0" w:space="0" w:color="auto"/>
                <w:left w:val="none" w:sz="0" w:space="0" w:color="auto"/>
                <w:bottom w:val="none" w:sz="0" w:space="0" w:color="auto"/>
                <w:right w:val="none" w:sz="0" w:space="0" w:color="auto"/>
              </w:divBdr>
            </w:div>
            <w:div w:id="776799276">
              <w:marLeft w:val="0"/>
              <w:marRight w:val="0"/>
              <w:marTop w:val="0"/>
              <w:marBottom w:val="0"/>
              <w:divBdr>
                <w:top w:val="none" w:sz="0" w:space="0" w:color="auto"/>
                <w:left w:val="none" w:sz="0" w:space="0" w:color="auto"/>
                <w:bottom w:val="none" w:sz="0" w:space="0" w:color="auto"/>
                <w:right w:val="none" w:sz="0" w:space="0" w:color="auto"/>
              </w:divBdr>
            </w:div>
            <w:div w:id="151066584">
              <w:marLeft w:val="0"/>
              <w:marRight w:val="0"/>
              <w:marTop w:val="0"/>
              <w:marBottom w:val="0"/>
              <w:divBdr>
                <w:top w:val="none" w:sz="0" w:space="0" w:color="auto"/>
                <w:left w:val="none" w:sz="0" w:space="0" w:color="auto"/>
                <w:bottom w:val="none" w:sz="0" w:space="0" w:color="auto"/>
                <w:right w:val="none" w:sz="0" w:space="0" w:color="auto"/>
              </w:divBdr>
            </w:div>
            <w:div w:id="1115979721">
              <w:marLeft w:val="0"/>
              <w:marRight w:val="0"/>
              <w:marTop w:val="0"/>
              <w:marBottom w:val="0"/>
              <w:divBdr>
                <w:top w:val="none" w:sz="0" w:space="0" w:color="auto"/>
                <w:left w:val="none" w:sz="0" w:space="0" w:color="auto"/>
                <w:bottom w:val="none" w:sz="0" w:space="0" w:color="auto"/>
                <w:right w:val="none" w:sz="0" w:space="0" w:color="auto"/>
              </w:divBdr>
            </w:div>
            <w:div w:id="1664628624">
              <w:marLeft w:val="0"/>
              <w:marRight w:val="0"/>
              <w:marTop w:val="0"/>
              <w:marBottom w:val="0"/>
              <w:divBdr>
                <w:top w:val="none" w:sz="0" w:space="0" w:color="auto"/>
                <w:left w:val="none" w:sz="0" w:space="0" w:color="auto"/>
                <w:bottom w:val="none" w:sz="0" w:space="0" w:color="auto"/>
                <w:right w:val="none" w:sz="0" w:space="0" w:color="auto"/>
              </w:divBdr>
            </w:div>
            <w:div w:id="527062691">
              <w:marLeft w:val="0"/>
              <w:marRight w:val="0"/>
              <w:marTop w:val="0"/>
              <w:marBottom w:val="0"/>
              <w:divBdr>
                <w:top w:val="none" w:sz="0" w:space="0" w:color="auto"/>
                <w:left w:val="none" w:sz="0" w:space="0" w:color="auto"/>
                <w:bottom w:val="none" w:sz="0" w:space="0" w:color="auto"/>
                <w:right w:val="none" w:sz="0" w:space="0" w:color="auto"/>
              </w:divBdr>
            </w:div>
            <w:div w:id="1474448764">
              <w:marLeft w:val="0"/>
              <w:marRight w:val="0"/>
              <w:marTop w:val="0"/>
              <w:marBottom w:val="0"/>
              <w:divBdr>
                <w:top w:val="none" w:sz="0" w:space="0" w:color="auto"/>
                <w:left w:val="none" w:sz="0" w:space="0" w:color="auto"/>
                <w:bottom w:val="none" w:sz="0" w:space="0" w:color="auto"/>
                <w:right w:val="none" w:sz="0" w:space="0" w:color="auto"/>
              </w:divBdr>
            </w:div>
            <w:div w:id="959459261">
              <w:marLeft w:val="0"/>
              <w:marRight w:val="0"/>
              <w:marTop w:val="0"/>
              <w:marBottom w:val="0"/>
              <w:divBdr>
                <w:top w:val="none" w:sz="0" w:space="0" w:color="auto"/>
                <w:left w:val="none" w:sz="0" w:space="0" w:color="auto"/>
                <w:bottom w:val="none" w:sz="0" w:space="0" w:color="auto"/>
                <w:right w:val="none" w:sz="0" w:space="0" w:color="auto"/>
              </w:divBdr>
            </w:div>
            <w:div w:id="1858421292">
              <w:marLeft w:val="0"/>
              <w:marRight w:val="0"/>
              <w:marTop w:val="0"/>
              <w:marBottom w:val="0"/>
              <w:divBdr>
                <w:top w:val="none" w:sz="0" w:space="0" w:color="auto"/>
                <w:left w:val="none" w:sz="0" w:space="0" w:color="auto"/>
                <w:bottom w:val="none" w:sz="0" w:space="0" w:color="auto"/>
                <w:right w:val="none" w:sz="0" w:space="0" w:color="auto"/>
              </w:divBdr>
            </w:div>
            <w:div w:id="932393527">
              <w:marLeft w:val="0"/>
              <w:marRight w:val="0"/>
              <w:marTop w:val="0"/>
              <w:marBottom w:val="0"/>
              <w:divBdr>
                <w:top w:val="none" w:sz="0" w:space="0" w:color="auto"/>
                <w:left w:val="none" w:sz="0" w:space="0" w:color="auto"/>
                <w:bottom w:val="none" w:sz="0" w:space="0" w:color="auto"/>
                <w:right w:val="none" w:sz="0" w:space="0" w:color="auto"/>
              </w:divBdr>
            </w:div>
            <w:div w:id="2000965068">
              <w:marLeft w:val="0"/>
              <w:marRight w:val="0"/>
              <w:marTop w:val="0"/>
              <w:marBottom w:val="0"/>
              <w:divBdr>
                <w:top w:val="none" w:sz="0" w:space="0" w:color="auto"/>
                <w:left w:val="none" w:sz="0" w:space="0" w:color="auto"/>
                <w:bottom w:val="none" w:sz="0" w:space="0" w:color="auto"/>
                <w:right w:val="none" w:sz="0" w:space="0" w:color="auto"/>
              </w:divBdr>
            </w:div>
            <w:div w:id="392121971">
              <w:marLeft w:val="0"/>
              <w:marRight w:val="0"/>
              <w:marTop w:val="0"/>
              <w:marBottom w:val="0"/>
              <w:divBdr>
                <w:top w:val="none" w:sz="0" w:space="0" w:color="auto"/>
                <w:left w:val="none" w:sz="0" w:space="0" w:color="auto"/>
                <w:bottom w:val="none" w:sz="0" w:space="0" w:color="auto"/>
                <w:right w:val="none" w:sz="0" w:space="0" w:color="auto"/>
              </w:divBdr>
            </w:div>
            <w:div w:id="736972137">
              <w:marLeft w:val="0"/>
              <w:marRight w:val="0"/>
              <w:marTop w:val="0"/>
              <w:marBottom w:val="0"/>
              <w:divBdr>
                <w:top w:val="none" w:sz="0" w:space="0" w:color="auto"/>
                <w:left w:val="none" w:sz="0" w:space="0" w:color="auto"/>
                <w:bottom w:val="none" w:sz="0" w:space="0" w:color="auto"/>
                <w:right w:val="none" w:sz="0" w:space="0" w:color="auto"/>
              </w:divBdr>
            </w:div>
            <w:div w:id="1590693338">
              <w:marLeft w:val="0"/>
              <w:marRight w:val="0"/>
              <w:marTop w:val="0"/>
              <w:marBottom w:val="0"/>
              <w:divBdr>
                <w:top w:val="none" w:sz="0" w:space="0" w:color="auto"/>
                <w:left w:val="none" w:sz="0" w:space="0" w:color="auto"/>
                <w:bottom w:val="none" w:sz="0" w:space="0" w:color="auto"/>
                <w:right w:val="none" w:sz="0" w:space="0" w:color="auto"/>
              </w:divBdr>
            </w:div>
            <w:div w:id="2098090144">
              <w:marLeft w:val="0"/>
              <w:marRight w:val="0"/>
              <w:marTop w:val="0"/>
              <w:marBottom w:val="0"/>
              <w:divBdr>
                <w:top w:val="none" w:sz="0" w:space="0" w:color="auto"/>
                <w:left w:val="none" w:sz="0" w:space="0" w:color="auto"/>
                <w:bottom w:val="none" w:sz="0" w:space="0" w:color="auto"/>
                <w:right w:val="none" w:sz="0" w:space="0" w:color="auto"/>
              </w:divBdr>
            </w:div>
            <w:div w:id="514149318">
              <w:marLeft w:val="0"/>
              <w:marRight w:val="0"/>
              <w:marTop w:val="0"/>
              <w:marBottom w:val="0"/>
              <w:divBdr>
                <w:top w:val="none" w:sz="0" w:space="0" w:color="auto"/>
                <w:left w:val="none" w:sz="0" w:space="0" w:color="auto"/>
                <w:bottom w:val="none" w:sz="0" w:space="0" w:color="auto"/>
                <w:right w:val="none" w:sz="0" w:space="0" w:color="auto"/>
              </w:divBdr>
            </w:div>
            <w:div w:id="2068843972">
              <w:marLeft w:val="0"/>
              <w:marRight w:val="0"/>
              <w:marTop w:val="0"/>
              <w:marBottom w:val="0"/>
              <w:divBdr>
                <w:top w:val="none" w:sz="0" w:space="0" w:color="auto"/>
                <w:left w:val="none" w:sz="0" w:space="0" w:color="auto"/>
                <w:bottom w:val="none" w:sz="0" w:space="0" w:color="auto"/>
                <w:right w:val="none" w:sz="0" w:space="0" w:color="auto"/>
              </w:divBdr>
            </w:div>
            <w:div w:id="780957430">
              <w:marLeft w:val="0"/>
              <w:marRight w:val="0"/>
              <w:marTop w:val="0"/>
              <w:marBottom w:val="0"/>
              <w:divBdr>
                <w:top w:val="none" w:sz="0" w:space="0" w:color="auto"/>
                <w:left w:val="none" w:sz="0" w:space="0" w:color="auto"/>
                <w:bottom w:val="none" w:sz="0" w:space="0" w:color="auto"/>
                <w:right w:val="none" w:sz="0" w:space="0" w:color="auto"/>
              </w:divBdr>
            </w:div>
            <w:div w:id="1450011094">
              <w:marLeft w:val="0"/>
              <w:marRight w:val="0"/>
              <w:marTop w:val="0"/>
              <w:marBottom w:val="0"/>
              <w:divBdr>
                <w:top w:val="none" w:sz="0" w:space="0" w:color="auto"/>
                <w:left w:val="none" w:sz="0" w:space="0" w:color="auto"/>
                <w:bottom w:val="none" w:sz="0" w:space="0" w:color="auto"/>
                <w:right w:val="none" w:sz="0" w:space="0" w:color="auto"/>
              </w:divBdr>
            </w:div>
            <w:div w:id="18536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48">
      <w:bodyDiv w:val="1"/>
      <w:marLeft w:val="0"/>
      <w:marRight w:val="0"/>
      <w:marTop w:val="0"/>
      <w:marBottom w:val="0"/>
      <w:divBdr>
        <w:top w:val="none" w:sz="0" w:space="0" w:color="auto"/>
        <w:left w:val="none" w:sz="0" w:space="0" w:color="auto"/>
        <w:bottom w:val="none" w:sz="0" w:space="0" w:color="auto"/>
        <w:right w:val="none" w:sz="0" w:space="0" w:color="auto"/>
      </w:divBdr>
      <w:divsChild>
        <w:div w:id="1541093712">
          <w:marLeft w:val="0"/>
          <w:marRight w:val="0"/>
          <w:marTop w:val="0"/>
          <w:marBottom w:val="0"/>
          <w:divBdr>
            <w:top w:val="none" w:sz="0" w:space="0" w:color="auto"/>
            <w:left w:val="none" w:sz="0" w:space="0" w:color="auto"/>
            <w:bottom w:val="none" w:sz="0" w:space="0" w:color="auto"/>
            <w:right w:val="none" w:sz="0" w:space="0" w:color="auto"/>
          </w:divBdr>
          <w:divsChild>
            <w:div w:id="928268909">
              <w:marLeft w:val="0"/>
              <w:marRight w:val="0"/>
              <w:marTop w:val="0"/>
              <w:marBottom w:val="0"/>
              <w:divBdr>
                <w:top w:val="none" w:sz="0" w:space="0" w:color="auto"/>
                <w:left w:val="none" w:sz="0" w:space="0" w:color="auto"/>
                <w:bottom w:val="none" w:sz="0" w:space="0" w:color="auto"/>
                <w:right w:val="none" w:sz="0" w:space="0" w:color="auto"/>
              </w:divBdr>
              <w:divsChild>
                <w:div w:id="581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31244">
      <w:bodyDiv w:val="1"/>
      <w:marLeft w:val="0"/>
      <w:marRight w:val="0"/>
      <w:marTop w:val="0"/>
      <w:marBottom w:val="0"/>
      <w:divBdr>
        <w:top w:val="none" w:sz="0" w:space="0" w:color="auto"/>
        <w:left w:val="none" w:sz="0" w:space="0" w:color="auto"/>
        <w:bottom w:val="none" w:sz="0" w:space="0" w:color="auto"/>
        <w:right w:val="none" w:sz="0" w:space="0" w:color="auto"/>
      </w:divBdr>
    </w:div>
    <w:div w:id="1403792217">
      <w:bodyDiv w:val="1"/>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15"/>
          <w:marBottom w:val="0"/>
          <w:divBdr>
            <w:top w:val="single" w:sz="48" w:space="0" w:color="auto"/>
            <w:left w:val="single" w:sz="48" w:space="0" w:color="auto"/>
            <w:bottom w:val="single" w:sz="48" w:space="0" w:color="auto"/>
            <w:right w:val="single" w:sz="48" w:space="0" w:color="auto"/>
          </w:divBdr>
          <w:divsChild>
            <w:div w:id="1615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5866">
      <w:bodyDiv w:val="1"/>
      <w:marLeft w:val="0"/>
      <w:marRight w:val="0"/>
      <w:marTop w:val="0"/>
      <w:marBottom w:val="0"/>
      <w:divBdr>
        <w:top w:val="none" w:sz="0" w:space="0" w:color="auto"/>
        <w:left w:val="none" w:sz="0" w:space="0" w:color="auto"/>
        <w:bottom w:val="none" w:sz="0" w:space="0" w:color="auto"/>
        <w:right w:val="none" w:sz="0" w:space="0" w:color="auto"/>
      </w:divBdr>
      <w:divsChild>
        <w:div w:id="117649283">
          <w:marLeft w:val="0"/>
          <w:marRight w:val="0"/>
          <w:marTop w:val="0"/>
          <w:marBottom w:val="0"/>
          <w:divBdr>
            <w:top w:val="none" w:sz="0" w:space="0" w:color="auto"/>
            <w:left w:val="none" w:sz="0" w:space="0" w:color="auto"/>
            <w:bottom w:val="none" w:sz="0" w:space="0" w:color="auto"/>
            <w:right w:val="none" w:sz="0" w:space="0" w:color="auto"/>
          </w:divBdr>
        </w:div>
      </w:divsChild>
    </w:div>
    <w:div w:id="1560088786">
      <w:bodyDiv w:val="1"/>
      <w:marLeft w:val="0"/>
      <w:marRight w:val="0"/>
      <w:marTop w:val="0"/>
      <w:marBottom w:val="0"/>
      <w:divBdr>
        <w:top w:val="none" w:sz="0" w:space="0" w:color="auto"/>
        <w:left w:val="none" w:sz="0" w:space="0" w:color="auto"/>
        <w:bottom w:val="none" w:sz="0" w:space="0" w:color="auto"/>
        <w:right w:val="none" w:sz="0" w:space="0" w:color="auto"/>
      </w:divBdr>
      <w:divsChild>
        <w:div w:id="526336664">
          <w:marLeft w:val="0"/>
          <w:marRight w:val="0"/>
          <w:marTop w:val="0"/>
          <w:marBottom w:val="0"/>
          <w:divBdr>
            <w:top w:val="none" w:sz="0" w:space="0" w:color="auto"/>
            <w:left w:val="none" w:sz="0" w:space="0" w:color="auto"/>
            <w:bottom w:val="none" w:sz="0" w:space="0" w:color="auto"/>
            <w:right w:val="none" w:sz="0" w:space="0" w:color="auto"/>
          </w:divBdr>
          <w:divsChild>
            <w:div w:id="2057464757">
              <w:marLeft w:val="0"/>
              <w:marRight w:val="0"/>
              <w:marTop w:val="0"/>
              <w:marBottom w:val="0"/>
              <w:divBdr>
                <w:top w:val="none" w:sz="0" w:space="0" w:color="auto"/>
                <w:left w:val="none" w:sz="0" w:space="0" w:color="auto"/>
                <w:bottom w:val="none" w:sz="0" w:space="0" w:color="auto"/>
                <w:right w:val="none" w:sz="0" w:space="0" w:color="auto"/>
              </w:divBdr>
              <w:divsChild>
                <w:div w:id="9079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5548">
      <w:bodyDiv w:val="1"/>
      <w:marLeft w:val="0"/>
      <w:marRight w:val="0"/>
      <w:marTop w:val="0"/>
      <w:marBottom w:val="0"/>
      <w:divBdr>
        <w:top w:val="none" w:sz="0" w:space="0" w:color="auto"/>
        <w:left w:val="none" w:sz="0" w:space="0" w:color="auto"/>
        <w:bottom w:val="none" w:sz="0" w:space="0" w:color="auto"/>
        <w:right w:val="none" w:sz="0" w:space="0" w:color="auto"/>
      </w:divBdr>
    </w:div>
    <w:div w:id="1650090261">
      <w:bodyDiv w:val="1"/>
      <w:marLeft w:val="0"/>
      <w:marRight w:val="0"/>
      <w:marTop w:val="0"/>
      <w:marBottom w:val="0"/>
      <w:divBdr>
        <w:top w:val="none" w:sz="0" w:space="0" w:color="auto"/>
        <w:left w:val="none" w:sz="0" w:space="0" w:color="auto"/>
        <w:bottom w:val="none" w:sz="0" w:space="0" w:color="auto"/>
        <w:right w:val="none" w:sz="0" w:space="0" w:color="auto"/>
      </w:divBdr>
      <w:divsChild>
        <w:div w:id="228663037">
          <w:marLeft w:val="0"/>
          <w:marRight w:val="0"/>
          <w:marTop w:val="0"/>
          <w:marBottom w:val="0"/>
          <w:divBdr>
            <w:top w:val="none" w:sz="0" w:space="0" w:color="auto"/>
            <w:left w:val="none" w:sz="0" w:space="0" w:color="auto"/>
            <w:bottom w:val="none" w:sz="0" w:space="0" w:color="auto"/>
            <w:right w:val="none" w:sz="0" w:space="0" w:color="auto"/>
          </w:divBdr>
          <w:divsChild>
            <w:div w:id="997659273">
              <w:marLeft w:val="0"/>
              <w:marRight w:val="0"/>
              <w:marTop w:val="0"/>
              <w:marBottom w:val="0"/>
              <w:divBdr>
                <w:top w:val="none" w:sz="0" w:space="0" w:color="auto"/>
                <w:left w:val="none" w:sz="0" w:space="0" w:color="auto"/>
                <w:bottom w:val="none" w:sz="0" w:space="0" w:color="auto"/>
                <w:right w:val="none" w:sz="0" w:space="0" w:color="auto"/>
              </w:divBdr>
              <w:divsChild>
                <w:div w:id="7747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6345">
      <w:bodyDiv w:val="1"/>
      <w:marLeft w:val="0"/>
      <w:marRight w:val="0"/>
      <w:marTop w:val="0"/>
      <w:marBottom w:val="0"/>
      <w:divBdr>
        <w:top w:val="none" w:sz="0" w:space="0" w:color="auto"/>
        <w:left w:val="none" w:sz="0" w:space="0" w:color="auto"/>
        <w:bottom w:val="none" w:sz="0" w:space="0" w:color="auto"/>
        <w:right w:val="none" w:sz="0" w:space="0" w:color="auto"/>
      </w:divBdr>
    </w:div>
    <w:div w:id="1705908602">
      <w:bodyDiv w:val="1"/>
      <w:marLeft w:val="0"/>
      <w:marRight w:val="0"/>
      <w:marTop w:val="0"/>
      <w:marBottom w:val="0"/>
      <w:divBdr>
        <w:top w:val="none" w:sz="0" w:space="0" w:color="auto"/>
        <w:left w:val="none" w:sz="0" w:space="0" w:color="auto"/>
        <w:bottom w:val="none" w:sz="0" w:space="0" w:color="auto"/>
        <w:right w:val="none" w:sz="0" w:space="0" w:color="auto"/>
      </w:divBdr>
    </w:div>
    <w:div w:id="1730685673">
      <w:bodyDiv w:val="1"/>
      <w:marLeft w:val="0"/>
      <w:marRight w:val="0"/>
      <w:marTop w:val="0"/>
      <w:marBottom w:val="0"/>
      <w:divBdr>
        <w:top w:val="none" w:sz="0" w:space="0" w:color="auto"/>
        <w:left w:val="none" w:sz="0" w:space="0" w:color="auto"/>
        <w:bottom w:val="none" w:sz="0" w:space="0" w:color="auto"/>
        <w:right w:val="none" w:sz="0" w:space="0" w:color="auto"/>
      </w:divBdr>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1780875609">
      <w:bodyDiv w:val="1"/>
      <w:marLeft w:val="0"/>
      <w:marRight w:val="0"/>
      <w:marTop w:val="0"/>
      <w:marBottom w:val="0"/>
      <w:divBdr>
        <w:top w:val="none" w:sz="0" w:space="0" w:color="auto"/>
        <w:left w:val="none" w:sz="0" w:space="0" w:color="auto"/>
        <w:bottom w:val="none" w:sz="0" w:space="0" w:color="auto"/>
        <w:right w:val="none" w:sz="0" w:space="0" w:color="auto"/>
      </w:divBdr>
    </w:div>
    <w:div w:id="1787656124">
      <w:bodyDiv w:val="1"/>
      <w:marLeft w:val="0"/>
      <w:marRight w:val="0"/>
      <w:marTop w:val="0"/>
      <w:marBottom w:val="0"/>
      <w:divBdr>
        <w:top w:val="none" w:sz="0" w:space="0" w:color="auto"/>
        <w:left w:val="none" w:sz="0" w:space="0" w:color="auto"/>
        <w:bottom w:val="none" w:sz="0" w:space="0" w:color="auto"/>
        <w:right w:val="none" w:sz="0" w:space="0" w:color="auto"/>
      </w:divBdr>
    </w:div>
    <w:div w:id="2018271483">
      <w:bodyDiv w:val="1"/>
      <w:marLeft w:val="0"/>
      <w:marRight w:val="0"/>
      <w:marTop w:val="0"/>
      <w:marBottom w:val="0"/>
      <w:divBdr>
        <w:top w:val="none" w:sz="0" w:space="0" w:color="auto"/>
        <w:left w:val="none" w:sz="0" w:space="0" w:color="auto"/>
        <w:bottom w:val="none" w:sz="0" w:space="0" w:color="auto"/>
        <w:right w:val="none" w:sz="0" w:space="0" w:color="auto"/>
      </w:divBdr>
    </w:div>
    <w:div w:id="2050033785">
      <w:bodyDiv w:val="1"/>
      <w:marLeft w:val="0"/>
      <w:marRight w:val="0"/>
      <w:marTop w:val="0"/>
      <w:marBottom w:val="0"/>
      <w:divBdr>
        <w:top w:val="none" w:sz="0" w:space="0" w:color="auto"/>
        <w:left w:val="none" w:sz="0" w:space="0" w:color="auto"/>
        <w:bottom w:val="none" w:sz="0" w:space="0" w:color="auto"/>
        <w:right w:val="none" w:sz="0" w:space="0" w:color="auto"/>
      </w:divBdr>
    </w:div>
    <w:div w:id="2089690658">
      <w:bodyDiv w:val="1"/>
      <w:marLeft w:val="0"/>
      <w:marRight w:val="0"/>
      <w:marTop w:val="0"/>
      <w:marBottom w:val="0"/>
      <w:divBdr>
        <w:top w:val="none" w:sz="0" w:space="0" w:color="auto"/>
        <w:left w:val="none" w:sz="0" w:space="0" w:color="auto"/>
        <w:bottom w:val="none" w:sz="0" w:space="0" w:color="auto"/>
        <w:right w:val="none" w:sz="0" w:space="0" w:color="auto"/>
      </w:divBdr>
      <w:divsChild>
        <w:div w:id="135414708">
          <w:marLeft w:val="0"/>
          <w:marRight w:val="0"/>
          <w:marTop w:val="0"/>
          <w:marBottom w:val="0"/>
          <w:divBdr>
            <w:top w:val="none" w:sz="0" w:space="0" w:color="auto"/>
            <w:left w:val="none" w:sz="0" w:space="0" w:color="auto"/>
            <w:bottom w:val="none" w:sz="0" w:space="0" w:color="auto"/>
            <w:right w:val="none" w:sz="0" w:space="0" w:color="auto"/>
          </w:divBdr>
          <w:divsChild>
            <w:div w:id="196892328">
              <w:marLeft w:val="0"/>
              <w:marRight w:val="0"/>
              <w:marTop w:val="0"/>
              <w:marBottom w:val="0"/>
              <w:divBdr>
                <w:top w:val="none" w:sz="0" w:space="0" w:color="auto"/>
                <w:left w:val="none" w:sz="0" w:space="0" w:color="auto"/>
                <w:bottom w:val="none" w:sz="0" w:space="0" w:color="auto"/>
                <w:right w:val="none" w:sz="0" w:space="0" w:color="auto"/>
              </w:divBdr>
              <w:divsChild>
                <w:div w:id="13381731">
                  <w:marLeft w:val="0"/>
                  <w:marRight w:val="0"/>
                  <w:marTop w:val="0"/>
                  <w:marBottom w:val="0"/>
                  <w:divBdr>
                    <w:top w:val="none" w:sz="0" w:space="0" w:color="auto"/>
                    <w:left w:val="none" w:sz="0" w:space="0" w:color="auto"/>
                    <w:bottom w:val="none" w:sz="0" w:space="0" w:color="auto"/>
                    <w:right w:val="none" w:sz="0" w:space="0" w:color="auto"/>
                  </w:divBdr>
                </w:div>
                <w:div w:id="133526210">
                  <w:marLeft w:val="0"/>
                  <w:marRight w:val="0"/>
                  <w:marTop w:val="0"/>
                  <w:marBottom w:val="0"/>
                  <w:divBdr>
                    <w:top w:val="none" w:sz="0" w:space="0" w:color="auto"/>
                    <w:left w:val="none" w:sz="0" w:space="0" w:color="auto"/>
                    <w:bottom w:val="none" w:sz="0" w:space="0" w:color="auto"/>
                    <w:right w:val="none" w:sz="0" w:space="0" w:color="auto"/>
                  </w:divBdr>
                </w:div>
                <w:div w:id="164825959">
                  <w:marLeft w:val="0"/>
                  <w:marRight w:val="0"/>
                  <w:marTop w:val="0"/>
                  <w:marBottom w:val="0"/>
                  <w:divBdr>
                    <w:top w:val="none" w:sz="0" w:space="0" w:color="auto"/>
                    <w:left w:val="none" w:sz="0" w:space="0" w:color="auto"/>
                    <w:bottom w:val="none" w:sz="0" w:space="0" w:color="auto"/>
                    <w:right w:val="none" w:sz="0" w:space="0" w:color="auto"/>
                  </w:divBdr>
                </w:div>
                <w:div w:id="681275181">
                  <w:marLeft w:val="0"/>
                  <w:marRight w:val="0"/>
                  <w:marTop w:val="0"/>
                  <w:marBottom w:val="0"/>
                  <w:divBdr>
                    <w:top w:val="none" w:sz="0" w:space="0" w:color="auto"/>
                    <w:left w:val="none" w:sz="0" w:space="0" w:color="auto"/>
                    <w:bottom w:val="none" w:sz="0" w:space="0" w:color="auto"/>
                    <w:right w:val="none" w:sz="0" w:space="0" w:color="auto"/>
                  </w:divBdr>
                </w:div>
                <w:div w:id="723455002">
                  <w:marLeft w:val="0"/>
                  <w:marRight w:val="0"/>
                  <w:marTop w:val="0"/>
                  <w:marBottom w:val="0"/>
                  <w:divBdr>
                    <w:top w:val="none" w:sz="0" w:space="0" w:color="auto"/>
                    <w:left w:val="none" w:sz="0" w:space="0" w:color="auto"/>
                    <w:bottom w:val="none" w:sz="0" w:space="0" w:color="auto"/>
                    <w:right w:val="none" w:sz="0" w:space="0" w:color="auto"/>
                  </w:divBdr>
                </w:div>
                <w:div w:id="815923830">
                  <w:marLeft w:val="0"/>
                  <w:marRight w:val="0"/>
                  <w:marTop w:val="0"/>
                  <w:marBottom w:val="0"/>
                  <w:divBdr>
                    <w:top w:val="none" w:sz="0" w:space="0" w:color="auto"/>
                    <w:left w:val="none" w:sz="0" w:space="0" w:color="auto"/>
                    <w:bottom w:val="none" w:sz="0" w:space="0" w:color="auto"/>
                    <w:right w:val="none" w:sz="0" w:space="0" w:color="auto"/>
                  </w:divBdr>
                </w:div>
                <w:div w:id="819418525">
                  <w:marLeft w:val="0"/>
                  <w:marRight w:val="0"/>
                  <w:marTop w:val="0"/>
                  <w:marBottom w:val="0"/>
                  <w:divBdr>
                    <w:top w:val="none" w:sz="0" w:space="0" w:color="auto"/>
                    <w:left w:val="none" w:sz="0" w:space="0" w:color="auto"/>
                    <w:bottom w:val="none" w:sz="0" w:space="0" w:color="auto"/>
                    <w:right w:val="none" w:sz="0" w:space="0" w:color="auto"/>
                  </w:divBdr>
                </w:div>
                <w:div w:id="1060593502">
                  <w:marLeft w:val="0"/>
                  <w:marRight w:val="0"/>
                  <w:marTop w:val="0"/>
                  <w:marBottom w:val="0"/>
                  <w:divBdr>
                    <w:top w:val="none" w:sz="0" w:space="0" w:color="auto"/>
                    <w:left w:val="none" w:sz="0" w:space="0" w:color="auto"/>
                    <w:bottom w:val="none" w:sz="0" w:space="0" w:color="auto"/>
                    <w:right w:val="none" w:sz="0" w:space="0" w:color="auto"/>
                  </w:divBdr>
                </w:div>
                <w:div w:id="1087651719">
                  <w:marLeft w:val="0"/>
                  <w:marRight w:val="0"/>
                  <w:marTop w:val="0"/>
                  <w:marBottom w:val="0"/>
                  <w:divBdr>
                    <w:top w:val="none" w:sz="0" w:space="0" w:color="auto"/>
                    <w:left w:val="none" w:sz="0" w:space="0" w:color="auto"/>
                    <w:bottom w:val="none" w:sz="0" w:space="0" w:color="auto"/>
                    <w:right w:val="none" w:sz="0" w:space="0" w:color="auto"/>
                  </w:divBdr>
                </w:div>
                <w:div w:id="1153333282">
                  <w:marLeft w:val="0"/>
                  <w:marRight w:val="0"/>
                  <w:marTop w:val="0"/>
                  <w:marBottom w:val="0"/>
                  <w:divBdr>
                    <w:top w:val="none" w:sz="0" w:space="0" w:color="auto"/>
                    <w:left w:val="none" w:sz="0" w:space="0" w:color="auto"/>
                    <w:bottom w:val="none" w:sz="0" w:space="0" w:color="auto"/>
                    <w:right w:val="none" w:sz="0" w:space="0" w:color="auto"/>
                  </w:divBdr>
                </w:div>
                <w:div w:id="1357582108">
                  <w:marLeft w:val="0"/>
                  <w:marRight w:val="0"/>
                  <w:marTop w:val="0"/>
                  <w:marBottom w:val="0"/>
                  <w:divBdr>
                    <w:top w:val="none" w:sz="0" w:space="0" w:color="auto"/>
                    <w:left w:val="none" w:sz="0" w:space="0" w:color="auto"/>
                    <w:bottom w:val="none" w:sz="0" w:space="0" w:color="auto"/>
                    <w:right w:val="none" w:sz="0" w:space="0" w:color="auto"/>
                  </w:divBdr>
                </w:div>
                <w:div w:id="1510556059">
                  <w:marLeft w:val="0"/>
                  <w:marRight w:val="0"/>
                  <w:marTop w:val="0"/>
                  <w:marBottom w:val="0"/>
                  <w:divBdr>
                    <w:top w:val="none" w:sz="0" w:space="0" w:color="auto"/>
                    <w:left w:val="none" w:sz="0" w:space="0" w:color="auto"/>
                    <w:bottom w:val="none" w:sz="0" w:space="0" w:color="auto"/>
                    <w:right w:val="none" w:sz="0" w:space="0" w:color="auto"/>
                  </w:divBdr>
                </w:div>
                <w:div w:id="1685205253">
                  <w:marLeft w:val="0"/>
                  <w:marRight w:val="0"/>
                  <w:marTop w:val="0"/>
                  <w:marBottom w:val="0"/>
                  <w:divBdr>
                    <w:top w:val="none" w:sz="0" w:space="0" w:color="auto"/>
                    <w:left w:val="none" w:sz="0" w:space="0" w:color="auto"/>
                    <w:bottom w:val="none" w:sz="0" w:space="0" w:color="auto"/>
                    <w:right w:val="none" w:sz="0" w:space="0" w:color="auto"/>
                  </w:divBdr>
                </w:div>
                <w:div w:id="1698384643">
                  <w:marLeft w:val="0"/>
                  <w:marRight w:val="0"/>
                  <w:marTop w:val="0"/>
                  <w:marBottom w:val="0"/>
                  <w:divBdr>
                    <w:top w:val="none" w:sz="0" w:space="0" w:color="auto"/>
                    <w:left w:val="none" w:sz="0" w:space="0" w:color="auto"/>
                    <w:bottom w:val="none" w:sz="0" w:space="0" w:color="auto"/>
                    <w:right w:val="none" w:sz="0" w:space="0" w:color="auto"/>
                  </w:divBdr>
                </w:div>
                <w:div w:id="2000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920">
          <w:marLeft w:val="0"/>
          <w:marRight w:val="0"/>
          <w:marTop w:val="0"/>
          <w:marBottom w:val="0"/>
          <w:divBdr>
            <w:top w:val="none" w:sz="0" w:space="0" w:color="auto"/>
            <w:left w:val="none" w:sz="0" w:space="0" w:color="auto"/>
            <w:bottom w:val="none" w:sz="0" w:space="0" w:color="auto"/>
            <w:right w:val="none" w:sz="0" w:space="0" w:color="auto"/>
          </w:divBdr>
        </w:div>
      </w:divsChild>
    </w:div>
    <w:div w:id="2092847234">
      <w:bodyDiv w:val="1"/>
      <w:marLeft w:val="0"/>
      <w:marRight w:val="0"/>
      <w:marTop w:val="0"/>
      <w:marBottom w:val="0"/>
      <w:divBdr>
        <w:top w:val="none" w:sz="0" w:space="0" w:color="auto"/>
        <w:left w:val="none" w:sz="0" w:space="0" w:color="auto"/>
        <w:bottom w:val="none" w:sz="0" w:space="0" w:color="auto"/>
        <w:right w:val="none" w:sz="0" w:space="0" w:color="auto"/>
      </w:divBdr>
      <w:divsChild>
        <w:div w:id="1374696518">
          <w:marLeft w:val="0"/>
          <w:marRight w:val="0"/>
          <w:marTop w:val="0"/>
          <w:marBottom w:val="0"/>
          <w:divBdr>
            <w:top w:val="none" w:sz="0" w:space="0" w:color="auto"/>
            <w:left w:val="none" w:sz="0" w:space="0" w:color="auto"/>
            <w:bottom w:val="none" w:sz="0" w:space="0" w:color="auto"/>
            <w:right w:val="none" w:sz="0" w:space="0" w:color="auto"/>
          </w:divBdr>
          <w:divsChild>
            <w:div w:id="96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circula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7F1C0-1756-4140-9A45-94FD109DB406}">
  <ds:schemaRefs>
    <ds:schemaRef ds:uri="http://schemas.microsoft.com/sharepoint/v3/contenttype/forms"/>
  </ds:schemaRefs>
</ds:datastoreItem>
</file>

<file path=customXml/itemProps2.xml><?xml version="1.0" encoding="utf-8"?>
<ds:datastoreItem xmlns:ds="http://schemas.openxmlformats.org/officeDocument/2006/customXml" ds:itemID="{AE43CE24-267F-411F-9B43-E46D0C3E2683}">
  <ds:schemaRefs>
    <ds:schemaRef ds:uri="http://schemas.openxmlformats.org/officeDocument/2006/bibliography"/>
  </ds:schemaRefs>
</ds:datastoreItem>
</file>

<file path=customXml/itemProps3.xml><?xml version="1.0" encoding="utf-8"?>
<ds:datastoreItem xmlns:ds="http://schemas.openxmlformats.org/officeDocument/2006/customXml" ds:itemID="{D91C509D-0285-439D-BD13-859167D23B6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2C9C184F-03D0-4DA7-9E5D-99629241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Manuela Mantilla Pacheco</cp:lastModifiedBy>
  <cp:revision>5</cp:revision>
  <cp:lastPrinted>2022-09-23T06:38:00Z</cp:lastPrinted>
  <dcterms:created xsi:type="dcterms:W3CDTF">2022-10-26T19:44:00Z</dcterms:created>
  <dcterms:modified xsi:type="dcterms:W3CDTF">2022-11-11T19:48:45Z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