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AE0639" w:rsidRDefault="00137E23" w:rsidP="00F1545F">
      <w:pPr>
        <w:spacing w:before="120" w:line="276" w:lineRule="auto"/>
        <w:jc w:val="right"/>
        <w:rPr>
          <w:rFonts w:ascii="Geomanist Light" w:hAnsi="Geomanist Light" w:cs="Arial"/>
          <w:sz w:val="16"/>
          <w:szCs w:val="16"/>
          <w:lang w:eastAsia="es-ES"/>
        </w:rPr>
      </w:pPr>
      <w:r w:rsidRPr="00AE0639">
        <w:rPr>
          <w:rFonts w:ascii="Geomanist Light" w:hAnsi="Geomanist Light" w:cs="Arial"/>
          <w:sz w:val="16"/>
          <w:szCs w:val="16"/>
          <w:lang w:eastAsia="es-ES"/>
        </w:rPr>
        <w:t>CCE-DES-FM-17</w:t>
      </w:r>
    </w:p>
    <w:p w14:paraId="5AF6967D" w14:textId="77777777" w:rsidR="00924C32" w:rsidRPr="00AE0639" w:rsidRDefault="00924C32" w:rsidP="00216963">
      <w:pPr>
        <w:spacing w:after="240"/>
        <w:jc w:val="both"/>
        <w:rPr>
          <w:rFonts w:ascii="Geomanist Light" w:eastAsia="Arial" w:hAnsi="Geomanist Light" w:cs="Arial"/>
          <w:b/>
          <w:sz w:val="20"/>
          <w:szCs w:val="20"/>
        </w:rPr>
      </w:pPr>
      <w:bookmarkStart w:id="0" w:name="_Hlk72942111"/>
    </w:p>
    <w:p w14:paraId="3DCB9480" w14:textId="3B08C83D" w:rsidR="00235979" w:rsidRPr="00AE0639" w:rsidRDefault="00235979" w:rsidP="00216963">
      <w:pPr>
        <w:spacing w:after="240"/>
        <w:jc w:val="both"/>
        <w:rPr>
          <w:rFonts w:ascii="Geomanist Light" w:eastAsia="Arial" w:hAnsi="Geomanist Light" w:cs="Arial"/>
          <w:b/>
          <w:sz w:val="22"/>
          <w:szCs w:val="22"/>
        </w:rPr>
      </w:pPr>
      <w:r w:rsidRPr="00AE0639">
        <w:rPr>
          <w:rFonts w:ascii="Geomanist Light" w:eastAsia="Arial" w:hAnsi="Geomanist Light" w:cs="Arial"/>
          <w:b/>
          <w:sz w:val="22"/>
          <w:szCs w:val="22"/>
        </w:rPr>
        <w:t xml:space="preserve">PROCEDIMIENTO SANCIONATORIO CONTRACTUAL – Marco normativo – </w:t>
      </w:r>
      <w:r w:rsidRPr="00AE0639">
        <w:rPr>
          <w:rFonts w:ascii="Geomanist Light" w:eastAsia="Arial" w:hAnsi="Geomanist Light" w:cs="Arial"/>
          <w:b/>
          <w:color w:val="000000"/>
          <w:sz w:val="22"/>
          <w:szCs w:val="22"/>
        </w:rPr>
        <w:t xml:space="preserve">Artículo 86 de la </w:t>
      </w:r>
      <w:r w:rsidRPr="00AE0639">
        <w:rPr>
          <w:rFonts w:ascii="Geomanist Light" w:eastAsia="Arial" w:hAnsi="Geomanist Light" w:cs="Arial"/>
          <w:b/>
          <w:sz w:val="22"/>
          <w:szCs w:val="22"/>
        </w:rPr>
        <w:t>Ley 1474 de 2011</w:t>
      </w:r>
    </w:p>
    <w:p w14:paraId="726FC9A4" w14:textId="694C26BD" w:rsidR="00235979" w:rsidRPr="00AE0639" w:rsidRDefault="00235979" w:rsidP="00F117AE">
      <w:pPr>
        <w:spacing w:after="240"/>
        <w:jc w:val="both"/>
        <w:rPr>
          <w:rFonts w:ascii="Geomanist Light" w:eastAsia="Arial" w:hAnsi="Geomanist Light" w:cs="Arial"/>
          <w:color w:val="000000"/>
          <w:sz w:val="20"/>
          <w:szCs w:val="20"/>
        </w:rPr>
      </w:pPr>
      <w:r w:rsidRPr="00AE0639">
        <w:rPr>
          <w:rFonts w:ascii="Geomanist Light" w:eastAsia="Arial" w:hAnsi="Geomanist Light" w:cs="Arial"/>
          <w:color w:val="000000"/>
          <w:sz w:val="20"/>
          <w:szCs w:val="20"/>
        </w:rPr>
        <w:t xml:space="preserve">El artículo 86 de la Ley 1474 de 2011 establece en forma concreta las reglas de </w:t>
      </w:r>
      <w:r w:rsidR="00CD7944">
        <w:rPr>
          <w:rFonts w:ascii="Geomanist Light" w:eastAsia="Arial" w:hAnsi="Geomanist Light" w:cs="Arial"/>
          <w:color w:val="000000"/>
          <w:sz w:val="20"/>
          <w:szCs w:val="20"/>
        </w:rPr>
        <w:t xml:space="preserve">un </w:t>
      </w:r>
      <w:r w:rsidRPr="00AE0639">
        <w:rPr>
          <w:rFonts w:ascii="Geomanist Light" w:eastAsia="Arial" w:hAnsi="Geomanist Light" w:cs="Arial"/>
          <w:color w:val="000000"/>
          <w:sz w:val="20"/>
          <w:szCs w:val="20"/>
        </w:rPr>
        <w:t xml:space="preserve">procedimiento en materia sancionatoria contractual, mediante las cuales se materializan los derechos y garantías derivadas del debido proceso. De conformidad con esta disposición normativa, las «entidades sometidas al Estatuto General de Contratación de la Administración Pública podrán declarar el incumplimiento […]. Para tal efecto observarán […]» el procedimiento que en ese enunciado normativo se indica.  </w:t>
      </w:r>
    </w:p>
    <w:p w14:paraId="5F71B494" w14:textId="2FE9B691" w:rsidR="00235979" w:rsidRPr="00AE0639" w:rsidRDefault="00235979" w:rsidP="00F117AE">
      <w:pPr>
        <w:spacing w:after="240"/>
        <w:jc w:val="both"/>
        <w:rPr>
          <w:rFonts w:ascii="Geomanist Light" w:eastAsia="Arial" w:hAnsi="Geomanist Light" w:cs="Arial"/>
          <w:color w:val="000000"/>
          <w:sz w:val="20"/>
          <w:szCs w:val="20"/>
        </w:rPr>
      </w:pPr>
      <w:r w:rsidRPr="00AE0639">
        <w:rPr>
          <w:rFonts w:ascii="Geomanist Light" w:eastAsia="Arial" w:hAnsi="Geomanist Light" w:cs="Arial"/>
          <w:color w:val="000000"/>
          <w:sz w:val="20"/>
          <w:szCs w:val="20"/>
        </w:rPr>
        <w:t>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Lo anterior, como consecuencia del «principio general de interpretación jurídica según el cual donde la norma no distingue, no le corresponde distinguir al intérprete». A la misma conclusión se llega si se tiene en consideración la necesidad de respetar el debido proceso en «todas las actuaciones administrativas», como lo ordena el artículo 29 superior.</w:t>
      </w:r>
    </w:p>
    <w:p w14:paraId="79E6AC36" w14:textId="0B0DB492" w:rsidR="00963B2A" w:rsidRPr="00AE0639" w:rsidRDefault="00963B2A" w:rsidP="00216963">
      <w:pPr>
        <w:spacing w:after="240"/>
        <w:jc w:val="both"/>
        <w:rPr>
          <w:rFonts w:ascii="Geomanist Light" w:eastAsia="Calibri" w:hAnsi="Geomanist Light" w:cs="Arial"/>
          <w:b/>
          <w:bCs/>
          <w:sz w:val="22"/>
          <w:szCs w:val="22"/>
        </w:rPr>
      </w:pPr>
      <w:r w:rsidRPr="00AE0639">
        <w:rPr>
          <w:rFonts w:ascii="Geomanist Light" w:eastAsia="Calibri" w:hAnsi="Geomanist Light" w:cs="Arial"/>
          <w:b/>
          <w:bCs/>
          <w:sz w:val="22"/>
          <w:szCs w:val="22"/>
          <w:lang w:val="es-ES"/>
        </w:rPr>
        <w:t xml:space="preserve">CONTRATACIÓN CON ESAL </w:t>
      </w:r>
      <w:r w:rsidRPr="00AE0639">
        <w:rPr>
          <w:rFonts w:ascii="Geomanist Light" w:eastAsia="Calibri" w:hAnsi="Geomanist Light" w:cs="Arial"/>
          <w:b/>
          <w:bCs/>
          <w:sz w:val="22"/>
          <w:szCs w:val="22"/>
        </w:rPr>
        <w:t xml:space="preserve">– </w:t>
      </w:r>
      <w:r w:rsidRPr="00AE0639">
        <w:rPr>
          <w:rFonts w:ascii="Geomanist Light" w:eastAsia="Calibri" w:hAnsi="Geomanist Light" w:cs="Arial"/>
          <w:b/>
          <w:bCs/>
          <w:sz w:val="22"/>
          <w:szCs w:val="22"/>
          <w:lang w:val="es-ES"/>
        </w:rPr>
        <w:t xml:space="preserve">Contratos </w:t>
      </w:r>
      <w:r w:rsidRPr="00AE0639">
        <w:rPr>
          <w:rFonts w:ascii="Geomanist Light" w:eastAsia="Calibri" w:hAnsi="Geomanist Light" w:cs="Arial"/>
          <w:b/>
          <w:bCs/>
          <w:sz w:val="22"/>
          <w:szCs w:val="22"/>
        </w:rPr>
        <w:t>– Artículo</w:t>
      </w:r>
      <w:r w:rsidRPr="00AE0639">
        <w:rPr>
          <w:rFonts w:ascii="Geomanist Light" w:eastAsia="Calibri" w:hAnsi="Geomanist Light" w:cs="Arial"/>
          <w:b/>
          <w:bCs/>
          <w:sz w:val="22"/>
          <w:szCs w:val="22"/>
          <w:lang w:val="es-ES"/>
        </w:rPr>
        <w:t xml:space="preserve"> 355 </w:t>
      </w:r>
      <w:r w:rsidRPr="00AE0639">
        <w:rPr>
          <w:rFonts w:ascii="Geomanist Light" w:eastAsia="Calibri" w:hAnsi="Geomanist Light" w:cs="Arial"/>
          <w:b/>
          <w:bCs/>
          <w:sz w:val="22"/>
          <w:szCs w:val="22"/>
        </w:rPr>
        <w:t xml:space="preserve">– Constitución Política – Convenios de asociación </w:t>
      </w:r>
    </w:p>
    <w:p w14:paraId="090DFEB7" w14:textId="0370A124" w:rsidR="00CD7944" w:rsidRDefault="00CD7944" w:rsidP="00CD7944">
      <w:pPr>
        <w:tabs>
          <w:tab w:val="left" w:pos="3374"/>
        </w:tabs>
        <w:spacing w:after="240"/>
        <w:jc w:val="both"/>
        <w:rPr>
          <w:rFonts w:ascii="Geomanist Light" w:eastAsia="Calibri" w:hAnsi="Geomanist Light" w:cs="Arial"/>
          <w:sz w:val="20"/>
          <w:szCs w:val="20"/>
          <w:lang w:val="es-ES_tradnl"/>
        </w:rPr>
      </w:pPr>
      <w:r w:rsidRPr="00CD7944">
        <w:rPr>
          <w:rFonts w:ascii="Geomanist Light" w:eastAsia="Calibri" w:hAnsi="Geomanist Light" w:cs="Arial"/>
          <w:sz w:val="20"/>
          <w:szCs w:val="20"/>
          <w:lang w:val="es-ES_tradnl"/>
        </w:rPr>
        <w:t>El artículo 355 de la Constitución Política prohíbe a las ramas y órganos del poder público decretar auxilios o donaciones en favor de personas naturales o jurídicas de derecho privado.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p>
    <w:p w14:paraId="12E28BE4" w14:textId="56B986F5" w:rsidR="00470BA4" w:rsidRPr="00CD7944" w:rsidRDefault="00470BA4" w:rsidP="00CD7944">
      <w:pPr>
        <w:tabs>
          <w:tab w:val="left" w:pos="3374"/>
        </w:tabs>
        <w:spacing w:after="240"/>
        <w:jc w:val="both"/>
        <w:rPr>
          <w:rFonts w:ascii="Geomanist Light" w:eastAsia="Calibri" w:hAnsi="Geomanist Light" w:cs="Arial"/>
          <w:sz w:val="20"/>
          <w:szCs w:val="20"/>
          <w:lang w:val="es-ES_tradnl"/>
        </w:rPr>
      </w:pPr>
      <w:r w:rsidRPr="00470BA4">
        <w:rPr>
          <w:rFonts w:ascii="Geomanist Light" w:eastAsia="Calibri" w:hAnsi="Geomanist Light" w:cs="Arial"/>
          <w:sz w:val="20"/>
          <w:szCs w:val="20"/>
          <w:lang w:val="es-ES_tradnl"/>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Pr>
          <w:rFonts w:ascii="Geomanist Light" w:eastAsia="Calibri" w:hAnsi="Geomanist Light" w:cs="Arial"/>
          <w:sz w:val="20"/>
          <w:szCs w:val="20"/>
          <w:lang w:val="es-ES_tradnl"/>
        </w:rPr>
        <w:t>.</w:t>
      </w:r>
    </w:p>
    <w:p w14:paraId="4E2B6545" w14:textId="77777777" w:rsidR="00CD7944" w:rsidRPr="00CD7944" w:rsidRDefault="00CD7944" w:rsidP="00CD7944">
      <w:pPr>
        <w:spacing w:after="120"/>
        <w:jc w:val="both"/>
        <w:rPr>
          <w:rFonts w:ascii="Geomanist Light" w:eastAsia="Calibri" w:hAnsi="Geomanist Light" w:cs="Arial"/>
          <w:sz w:val="20"/>
          <w:szCs w:val="20"/>
          <w:lang w:val="es-ES_tradnl"/>
        </w:rPr>
      </w:pPr>
      <w:r w:rsidRPr="00CD7944">
        <w:rPr>
          <w:rFonts w:ascii="Geomanist Light" w:eastAsia="Calibri" w:hAnsi="Geomanist Light" w:cs="Arial"/>
          <w:sz w:val="20"/>
          <w:szCs w:val="20"/>
          <w:lang w:val="es-ES_tradnl"/>
        </w:rPr>
        <w:t xml:space="preserve">El Gobierno nacional, en desarrollo del artículo 355 de la Constitución, expidió el Decreto 092 de 2017, que dispone las reglas para las contrataciones que realicen las entidades estatales con las ESAL. El Decreto 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ibidem. </w:t>
      </w:r>
    </w:p>
    <w:p w14:paraId="7C5C1FC3" w14:textId="77777777" w:rsidR="00CD7944" w:rsidRPr="00CD7944" w:rsidRDefault="00CD7944" w:rsidP="00CD7944">
      <w:pPr>
        <w:spacing w:after="120"/>
        <w:jc w:val="both"/>
        <w:rPr>
          <w:rFonts w:ascii="Geomanist Light" w:eastAsia="Calibri" w:hAnsi="Geomanist Light" w:cs="Arial"/>
          <w:sz w:val="20"/>
          <w:szCs w:val="20"/>
          <w:lang w:val="es-ES_tradnl"/>
        </w:rPr>
      </w:pPr>
      <w:r w:rsidRPr="00CD7944">
        <w:rPr>
          <w:rFonts w:ascii="Geomanist Light" w:eastAsia="Calibri" w:hAnsi="Geomanist Light" w:cs="Arial"/>
          <w:sz w:val="20"/>
          <w:szCs w:val="20"/>
          <w:lang w:val="es-ES_tradnl"/>
        </w:rPr>
        <w:lastRenderedPageBreak/>
        <w:t xml:space="preserve">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Esto toda vez que el beneficio real y directo lo reciben, en últimas, los terceros beneficiarios de este tipo de acciones de fomento. Para celebrar estos contratos, según el artículo 4 del Decreto 092 de 2017, la entidad debe adelantar –por regla general– un proceso competitivo para seleccionar la entidad contratista sin ánimo de lucro. </w:t>
      </w:r>
    </w:p>
    <w:p w14:paraId="596970D1" w14:textId="62C4B5A0" w:rsidR="00235979" w:rsidRDefault="00CD7944" w:rsidP="004F46BF">
      <w:pPr>
        <w:tabs>
          <w:tab w:val="left" w:pos="3374"/>
        </w:tabs>
        <w:spacing w:after="240"/>
        <w:jc w:val="both"/>
        <w:rPr>
          <w:rFonts w:ascii="Cambria Math" w:eastAsia="Calibri" w:hAnsi="Cambria Math" w:cs="Cambria Math"/>
          <w:sz w:val="20"/>
          <w:szCs w:val="20"/>
          <w:lang w:val="es-ES_tradnl"/>
        </w:rPr>
      </w:pPr>
      <w:r w:rsidRPr="00CD7944">
        <w:rPr>
          <w:rFonts w:ascii="Geomanist Light" w:eastAsia="Calibri" w:hAnsi="Geomanist Light" w:cs="Arial"/>
          <w:sz w:val="20"/>
          <w:szCs w:val="20"/>
          <w:lang w:val="es-ES_tradnl"/>
        </w:rPr>
        <w:t>En particular, debe verificar el cumplimiento de los siguientes requisitos. Por un lado, que el objeto del contrato corresponda a programas y actividades de interés público acordes con el Plan Nacional o Seccional de Desarrollo. Por otra parte, que no exista una contraprestación directa a favor de la entidad estatal, es decir, que el programa o actividad a desarrollar esté dirigido al beneficio de la población en general. Lo anterior teniendo en cuenta que cuando se adquieren bienes o servicios o se ejecutan obras en una relación conmutativa, las normas aplicables son las del 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r w:rsidR="00235979" w:rsidRPr="00AE0639">
        <w:rPr>
          <w:rFonts w:ascii="Cambria Math" w:eastAsia="Calibri" w:hAnsi="Cambria Math" w:cs="Cambria Math"/>
          <w:sz w:val="20"/>
          <w:szCs w:val="20"/>
          <w:lang w:val="es-ES_tradnl"/>
        </w:rPr>
        <w:t> </w:t>
      </w:r>
    </w:p>
    <w:p w14:paraId="44C3022E" w14:textId="7FFE9AC1" w:rsidR="00470BA4" w:rsidRPr="00470BA4" w:rsidRDefault="00470BA4" w:rsidP="00470BA4">
      <w:pPr>
        <w:pStyle w:val="Sinespaciado"/>
        <w:spacing w:after="120"/>
        <w:jc w:val="both"/>
        <w:rPr>
          <w:rFonts w:ascii="Geomanist Light" w:eastAsia="Calibri" w:hAnsi="Geomanist Light" w:cs="Arial"/>
          <w:sz w:val="20"/>
          <w:szCs w:val="20"/>
          <w:lang w:val="es-ES_tradnl" w:eastAsia="es-ES_tradnl"/>
        </w:rPr>
      </w:pPr>
      <w:r w:rsidRPr="00470BA4">
        <w:rPr>
          <w:rFonts w:ascii="Geomanist Light" w:eastAsia="Calibri" w:hAnsi="Geomanist Light" w:cs="Arial"/>
          <w:sz w:val="20"/>
          <w:szCs w:val="20"/>
          <w:lang w:val="es-ES_tradnl" w:eastAsia="es-ES_tradnl"/>
        </w:rPr>
        <w:t xml:space="preserve">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08377D20" w14:textId="77777777" w:rsidR="00470BA4" w:rsidRPr="00470BA4" w:rsidRDefault="00470BA4" w:rsidP="00470BA4">
      <w:pPr>
        <w:pStyle w:val="Sinespaciado"/>
        <w:spacing w:after="120"/>
        <w:jc w:val="both"/>
        <w:rPr>
          <w:rFonts w:ascii="Geomanist Light" w:eastAsia="Calibri" w:hAnsi="Geomanist Light" w:cs="Arial"/>
          <w:sz w:val="20"/>
          <w:szCs w:val="20"/>
          <w:lang w:val="es-ES_tradnl" w:eastAsia="es-ES_tradnl"/>
        </w:rPr>
      </w:pPr>
      <w:r w:rsidRPr="00470BA4">
        <w:rPr>
          <w:rFonts w:ascii="Geomanist Light" w:eastAsia="Calibri" w:hAnsi="Geomanist Light" w:cs="Arial"/>
          <w:sz w:val="20"/>
          <w:szCs w:val="20"/>
          <w:lang w:val="es-ES_tradnl" w:eastAsia="es-ES_tradnl"/>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F78B4F6" w14:textId="53C7E301" w:rsidR="00470BA4" w:rsidRPr="00AE0639" w:rsidRDefault="00470BA4" w:rsidP="00470BA4">
      <w:pPr>
        <w:tabs>
          <w:tab w:val="left" w:pos="3374"/>
        </w:tabs>
        <w:spacing w:after="240"/>
        <w:jc w:val="both"/>
        <w:rPr>
          <w:rFonts w:ascii="Geomanist Light" w:eastAsia="Calibri" w:hAnsi="Geomanist Light" w:cs="Arial"/>
          <w:sz w:val="20"/>
          <w:szCs w:val="20"/>
          <w:lang w:val="es-ES_tradnl"/>
        </w:rPr>
      </w:pPr>
      <w:r w:rsidRPr="00470BA4">
        <w:rPr>
          <w:rFonts w:ascii="Geomanist Light" w:eastAsia="Calibri" w:hAnsi="Geomanist Light" w:cs="Arial"/>
          <w:sz w:val="20"/>
          <w:szCs w:val="20"/>
          <w:lang w:val="es-ES_tradnl"/>
        </w:rPr>
        <w:t>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en porcentajes inferiores o superiores al 30%, o en especie, los cuales deben servir al desarrollo de los objetivos comunes de la asociación.</w:t>
      </w:r>
    </w:p>
    <w:p w14:paraId="37D20F55" w14:textId="02471888" w:rsidR="00B22BD6" w:rsidRDefault="00B22BD6" w:rsidP="004F46BF">
      <w:pPr>
        <w:spacing w:after="240"/>
        <w:jc w:val="both"/>
        <w:rPr>
          <w:rFonts w:ascii="Geomanist Light" w:eastAsia="Calibri" w:hAnsi="Geomanist Light" w:cs="Arial"/>
          <w:sz w:val="20"/>
          <w:szCs w:val="20"/>
        </w:rPr>
      </w:pPr>
      <w:r w:rsidRPr="0085300F">
        <w:rPr>
          <w:rFonts w:ascii="Geomanist Light" w:eastAsia="Calibri" w:hAnsi="Geomanist Light" w:cs="Arial"/>
          <w:b/>
          <w:bCs/>
          <w:sz w:val="22"/>
          <w:szCs w:val="22"/>
        </w:rPr>
        <w:t>CONVENIOS DE ASOCIACIÓN</w:t>
      </w:r>
      <w:r>
        <w:rPr>
          <w:rFonts w:ascii="Geomanist Light" w:eastAsia="Calibri" w:hAnsi="Geomanist Light" w:cs="Arial"/>
          <w:b/>
          <w:bCs/>
          <w:sz w:val="22"/>
          <w:szCs w:val="22"/>
        </w:rPr>
        <w:t xml:space="preserve"> – Declaratoria de incumplimiento – Aplicación de</w:t>
      </w:r>
      <w:r w:rsidR="00EC2C56">
        <w:rPr>
          <w:rFonts w:ascii="Geomanist Light" w:eastAsia="Calibri" w:hAnsi="Geomanist Light" w:cs="Arial"/>
          <w:b/>
          <w:bCs/>
          <w:sz w:val="22"/>
          <w:szCs w:val="22"/>
        </w:rPr>
        <w:t xml:space="preserve"> EGCAP</w:t>
      </w:r>
    </w:p>
    <w:p w14:paraId="67BE89BB" w14:textId="48BC5CFF" w:rsidR="00B22BD6" w:rsidRPr="00AE0639" w:rsidRDefault="00EC2C56" w:rsidP="004F46BF">
      <w:pPr>
        <w:spacing w:after="240"/>
        <w:jc w:val="both"/>
        <w:rPr>
          <w:rFonts w:ascii="Geomanist Light" w:eastAsia="Calibri" w:hAnsi="Geomanist Light" w:cs="Arial"/>
          <w:sz w:val="20"/>
          <w:szCs w:val="20"/>
        </w:rPr>
      </w:pPr>
      <w:r>
        <w:rPr>
          <w:rFonts w:ascii="Geomanist Light" w:eastAsia="Calibri" w:hAnsi="Geomanist Light" w:cs="Arial"/>
          <w:sz w:val="20"/>
          <w:szCs w:val="20"/>
        </w:rPr>
        <w:t>[L]</w:t>
      </w:r>
      <w:r w:rsidR="00B22BD6" w:rsidRPr="00B22BD6">
        <w:rPr>
          <w:rFonts w:ascii="Geomanist Light" w:eastAsia="Calibri" w:hAnsi="Geomanist Light" w:cs="Arial"/>
          <w:sz w:val="20"/>
          <w:szCs w:val="20"/>
        </w:rPr>
        <w:t>a articulación normativa del Decreto 092 de 2017 con el Estatuto General de Contratación de la Administración Pública, dispuesta por los artículos 7 y 8 de aquel, hace que en la contratación de entidades estatales con ESALES sean aplicables figuras jurídicas y procedimientos regulados en el EGCAP, a pesar de no estar expresamente previstos en el reglamento, entre ellos, el procedimiento administrativo sancionatorio dispuesto en el artículo 86 de la Ley 1474 de 2011, el cual deben aplicar las entidades estatales a efectos de declarar incumplimientos en convenios de asociación celebrados conforme los artículo 96 de la Ley 489 de 1996 y 5 del Decreto 092 de 2017.</w:t>
      </w:r>
    </w:p>
    <w:p w14:paraId="48902481" w14:textId="77777777" w:rsidR="00963B2A" w:rsidRPr="00AE0639" w:rsidRDefault="00963B2A" w:rsidP="00F1545F">
      <w:pPr>
        <w:tabs>
          <w:tab w:val="left" w:pos="3374"/>
        </w:tabs>
        <w:rPr>
          <w:rFonts w:ascii="Geomanist Light" w:eastAsia="Calibri" w:hAnsi="Geomanist Light" w:cs="Arial"/>
        </w:rPr>
      </w:pPr>
    </w:p>
    <w:p w14:paraId="66EB1F54" w14:textId="150F5725" w:rsidR="00235979" w:rsidRDefault="00F42B2E" w:rsidP="00F1545F">
      <w:pPr>
        <w:tabs>
          <w:tab w:val="left" w:pos="3374"/>
        </w:tabs>
        <w:spacing w:before="120" w:line="276" w:lineRule="auto"/>
        <w:rPr>
          <w:rFonts w:ascii="Geomanist Light" w:eastAsia="Calibri" w:hAnsi="Geomanist Light" w:cs="Arial"/>
          <w:lang w:val="es-ES_tradnl"/>
        </w:rPr>
      </w:pPr>
      <w:r>
        <w:rPr>
          <w:rFonts w:ascii="Geomanist Light" w:eastAsia="Calibri" w:hAnsi="Geomanist Light" w:cs="Arial"/>
          <w:lang w:val="es-ES_tradnl"/>
        </w:rPr>
        <w:t>Bogotá D.C. 9 de noviembre de 2022</w:t>
      </w:r>
    </w:p>
    <w:p w14:paraId="5440CD28" w14:textId="550B5ABC" w:rsidR="00F42B2E" w:rsidRDefault="00F42B2E" w:rsidP="00F1545F">
      <w:pPr>
        <w:tabs>
          <w:tab w:val="left" w:pos="3374"/>
        </w:tabs>
        <w:spacing w:before="120" w:line="276" w:lineRule="auto"/>
        <w:rPr>
          <w:rFonts w:ascii="Geomanist Light" w:eastAsia="Calibri" w:hAnsi="Geomanist Light" w:cs="Arial"/>
          <w:lang w:val="es-ES_tradnl"/>
        </w:rPr>
      </w:pPr>
    </w:p>
    <w:p w14:paraId="2FA4CB05" w14:textId="1C9D4F7E" w:rsidR="00F42B2E" w:rsidRDefault="00F42B2E" w:rsidP="00F42B2E">
      <w:pPr>
        <w:tabs>
          <w:tab w:val="left" w:pos="3374"/>
        </w:tabs>
        <w:spacing w:before="120" w:line="276" w:lineRule="auto"/>
        <w:jc w:val="right"/>
        <w:rPr>
          <w:rFonts w:ascii="Geomanist Light" w:eastAsia="Calibri" w:hAnsi="Geomanist Light" w:cs="Arial"/>
          <w:lang w:val="es-ES_tradnl"/>
        </w:rPr>
      </w:pPr>
      <w:r>
        <w:rPr>
          <w:noProof/>
        </w:rPr>
        <w:drawing>
          <wp:inline distT="0" distB="0" distL="0" distR="0" wp14:anchorId="59FF4D91" wp14:editId="249CBB42">
            <wp:extent cx="3114300" cy="808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864" t="51849" r="17308" b="22384"/>
                    <a:stretch/>
                  </pic:blipFill>
                  <pic:spPr bwMode="auto">
                    <a:xfrm>
                      <a:off x="0" y="0"/>
                      <a:ext cx="3115791" cy="808462"/>
                    </a:xfrm>
                    <a:prstGeom prst="rect">
                      <a:avLst/>
                    </a:prstGeom>
                    <a:ln>
                      <a:noFill/>
                    </a:ln>
                    <a:extLst>
                      <a:ext uri="{53640926-AAD7-44D8-BBD7-CCE9431645EC}">
                        <a14:shadowObscured xmlns:a14="http://schemas.microsoft.com/office/drawing/2010/main"/>
                      </a:ext>
                    </a:extLst>
                  </pic:spPr>
                </pic:pic>
              </a:graphicData>
            </a:graphic>
          </wp:inline>
        </w:drawing>
      </w:r>
    </w:p>
    <w:p w14:paraId="39CC6DC2" w14:textId="77777777" w:rsidR="00F42B2E" w:rsidRPr="00AE0639" w:rsidRDefault="00F42B2E" w:rsidP="00F1545F">
      <w:pPr>
        <w:tabs>
          <w:tab w:val="left" w:pos="3374"/>
        </w:tabs>
        <w:spacing w:before="120" w:line="276" w:lineRule="auto"/>
        <w:rPr>
          <w:rFonts w:ascii="Geomanist Light" w:eastAsia="Calibri" w:hAnsi="Geomanist Light" w:cs="Arial"/>
          <w:lang w:val="es-ES_tradnl"/>
        </w:rPr>
      </w:pPr>
    </w:p>
    <w:p w14:paraId="399C47A4" w14:textId="6A5B3CB1" w:rsidR="00137E23" w:rsidRPr="00AE0639" w:rsidRDefault="00137E23" w:rsidP="00B75FA7">
      <w:pPr>
        <w:tabs>
          <w:tab w:val="left" w:pos="3374"/>
        </w:tabs>
        <w:rPr>
          <w:rFonts w:ascii="Geomanist Light" w:eastAsia="Calibri" w:hAnsi="Geomanist Light" w:cs="Arial"/>
          <w:sz w:val="22"/>
          <w:szCs w:val="22"/>
        </w:rPr>
      </w:pPr>
      <w:r w:rsidRPr="00AE0639">
        <w:rPr>
          <w:rFonts w:ascii="Geomanist Light" w:eastAsia="Calibri" w:hAnsi="Geomanist Light" w:cs="Arial"/>
          <w:sz w:val="22"/>
          <w:szCs w:val="22"/>
        </w:rPr>
        <w:t>Señor</w:t>
      </w:r>
    </w:p>
    <w:p w14:paraId="29D9AFD3" w14:textId="677D8E8F" w:rsidR="00306D9A" w:rsidRPr="00AE0639" w:rsidRDefault="00963B2A" w:rsidP="00B75FA7">
      <w:pPr>
        <w:rPr>
          <w:rFonts w:ascii="Geomanist Light" w:hAnsi="Geomanist Light" w:cs="Arial-BoldMT"/>
          <w:b/>
          <w:bCs/>
          <w:sz w:val="22"/>
          <w:szCs w:val="22"/>
          <w:lang w:val="es-ES"/>
        </w:rPr>
      </w:pPr>
      <w:r w:rsidRPr="00AE0639">
        <w:rPr>
          <w:rFonts w:ascii="Geomanist Light" w:hAnsi="Geomanist Light" w:cs="Arial-BoldMT"/>
          <w:b/>
          <w:bCs/>
          <w:sz w:val="22"/>
          <w:szCs w:val="22"/>
          <w:lang w:val="es-ES"/>
        </w:rPr>
        <w:t>Miguel Cruz Ramírez</w:t>
      </w:r>
    </w:p>
    <w:p w14:paraId="3780886A" w14:textId="005DDEF4" w:rsidR="006D3709" w:rsidRPr="00AE0639" w:rsidRDefault="00F117AE" w:rsidP="00B75FA7">
      <w:pPr>
        <w:rPr>
          <w:rFonts w:ascii="Geomanist Light" w:eastAsia="Calibri" w:hAnsi="Geomanist Light" w:cs="Arial"/>
          <w:sz w:val="22"/>
          <w:szCs w:val="22"/>
        </w:rPr>
      </w:pPr>
      <w:r w:rsidRPr="00AE0639">
        <w:rPr>
          <w:rFonts w:ascii="Geomanist Light" w:eastAsia="Calibri" w:hAnsi="Geomanist Light" w:cs="Arial"/>
          <w:sz w:val="22"/>
          <w:szCs w:val="22"/>
        </w:rPr>
        <w:t>Bogotá D.C.</w:t>
      </w:r>
    </w:p>
    <w:p w14:paraId="1F232330" w14:textId="22429AFF" w:rsidR="00137E23" w:rsidRPr="00AE0639" w:rsidRDefault="00137E23" w:rsidP="00B75FA7">
      <w:pPr>
        <w:spacing w:before="120" w:after="240" w:line="276" w:lineRule="auto"/>
        <w:ind w:left="2116" w:firstLine="708"/>
        <w:rPr>
          <w:rFonts w:ascii="Geomanist Light" w:eastAsia="Calibri" w:hAnsi="Geomanist Light" w:cs="Arial"/>
          <w:b/>
          <w:sz w:val="22"/>
          <w:szCs w:val="22"/>
        </w:rPr>
      </w:pPr>
      <w:r w:rsidRPr="00AE0639">
        <w:rPr>
          <w:rFonts w:ascii="Geomanist Light" w:eastAsia="Calibri" w:hAnsi="Geomanist Light" w:cs="Arial"/>
          <w:b/>
          <w:sz w:val="22"/>
          <w:szCs w:val="22"/>
        </w:rPr>
        <w:t>Concepto C –</w:t>
      </w:r>
      <w:r w:rsidR="00926EB3" w:rsidRPr="00AE0639">
        <w:rPr>
          <w:rFonts w:ascii="Geomanist Light" w:eastAsia="Calibri" w:hAnsi="Geomanist Light" w:cs="Arial"/>
          <w:b/>
          <w:sz w:val="22"/>
          <w:szCs w:val="22"/>
        </w:rPr>
        <w:t xml:space="preserve"> </w:t>
      </w:r>
      <w:r w:rsidR="0034658D" w:rsidRPr="00AE0639">
        <w:rPr>
          <w:rFonts w:ascii="Geomanist Light" w:eastAsia="Calibri" w:hAnsi="Geomanist Light" w:cs="Arial"/>
          <w:b/>
          <w:sz w:val="22"/>
          <w:szCs w:val="22"/>
        </w:rPr>
        <w:t xml:space="preserve">755 </w:t>
      </w:r>
      <w:r w:rsidRPr="00AE0639">
        <w:rPr>
          <w:rFonts w:ascii="Geomanist Light" w:eastAsia="Calibri" w:hAnsi="Geomanist Light" w:cs="Arial"/>
          <w:b/>
          <w:sz w:val="22"/>
          <w:szCs w:val="22"/>
        </w:rPr>
        <w:t>de 202</w:t>
      </w:r>
      <w:r w:rsidR="000E0118" w:rsidRPr="00AE0639">
        <w:rPr>
          <w:rFonts w:ascii="Geomanist Light" w:eastAsia="Calibri" w:hAnsi="Geomanist Light" w:cs="Arial"/>
          <w:b/>
          <w:sz w:val="22"/>
          <w:szCs w:val="22"/>
        </w:rPr>
        <w:t>2</w:t>
      </w:r>
    </w:p>
    <w:p w14:paraId="2C2CCF04" w14:textId="07A71FA1" w:rsidR="000E0118" w:rsidRPr="00AE0639" w:rsidRDefault="00A30642" w:rsidP="00AE0639">
      <w:pPr>
        <w:ind w:left="2824" w:hanging="2818"/>
        <w:jc w:val="both"/>
        <w:rPr>
          <w:rFonts w:ascii="Geomanist Light" w:eastAsia="Calibri" w:hAnsi="Geomanist Light" w:cs="Arial"/>
          <w:bCs/>
          <w:color w:val="1A1A1A" w:themeColor="background1" w:themeShade="1A"/>
          <w:sz w:val="22"/>
          <w:szCs w:val="22"/>
          <w:lang w:val="es-ES_tradnl"/>
        </w:rPr>
      </w:pPr>
      <w:r w:rsidRPr="00AE0639">
        <w:rPr>
          <w:rFonts w:ascii="Geomanist Light" w:eastAsia="Calibri" w:hAnsi="Geomanist Light" w:cs="Arial"/>
          <w:b/>
          <w:noProof/>
          <w:color w:val="1A1A1A" w:themeColor="background1" w:themeShade="1A"/>
          <w:sz w:val="22"/>
          <w:szCs w:val="22"/>
          <w:lang w:val="es-ES_tradnl"/>
        </w:rPr>
        <w:t>Temas</w:t>
      </w:r>
      <w:r w:rsidRPr="00AE0639">
        <w:rPr>
          <w:rFonts w:ascii="Geomanist Light" w:eastAsia="Calibri" w:hAnsi="Geomanist Light" w:cs="Arial"/>
          <w:bCs/>
          <w:noProof/>
          <w:color w:val="1A1A1A" w:themeColor="background1" w:themeShade="1A"/>
          <w:sz w:val="22"/>
          <w:szCs w:val="22"/>
          <w:lang w:val="es-ES_tradnl"/>
        </w:rPr>
        <w:t xml:space="preserve">: </w:t>
      </w:r>
      <w:r w:rsidRPr="00AE0639">
        <w:rPr>
          <w:rFonts w:ascii="Geomanist Light" w:eastAsia="Calibri" w:hAnsi="Geomanist Light" w:cs="Arial"/>
          <w:bCs/>
          <w:noProof/>
          <w:color w:val="1A1A1A" w:themeColor="background1" w:themeShade="1A"/>
          <w:sz w:val="22"/>
          <w:szCs w:val="22"/>
          <w:lang w:val="es-ES_tradnl"/>
        </w:rPr>
        <w:tab/>
      </w:r>
      <w:r w:rsidR="00527401" w:rsidRPr="00527401">
        <w:rPr>
          <w:rFonts w:ascii="Geomanist Light" w:eastAsia="Calibri" w:hAnsi="Geomanist Light" w:cs="Arial"/>
          <w:bCs/>
          <w:color w:val="1A1A1A" w:themeColor="background1" w:themeShade="1A"/>
          <w:sz w:val="22"/>
          <w:szCs w:val="22"/>
          <w:lang w:val="es-ES_tradnl"/>
        </w:rPr>
        <w:t>PROCEDIMIENTO SANCIONATORIO CONTRACTUAL – Marco normativo – Artículo 86 de la Ley 1474 de 2011 / CONTRATACIÓN CON ESAL – Contratos – Artículo 355 – Constitución Política – Convenios de asociación / CONVENIOS DE ASOCIACIÓN – Declaratoria de incumplimiento – Aplicación de EGCAP</w:t>
      </w:r>
      <w:r w:rsidR="00963B2A" w:rsidRPr="00AE0639">
        <w:rPr>
          <w:rFonts w:ascii="Geomanist Light" w:eastAsia="Calibri" w:hAnsi="Geomanist Light" w:cs="Arial"/>
          <w:bCs/>
          <w:color w:val="1A1A1A" w:themeColor="background1" w:themeShade="1A"/>
          <w:sz w:val="22"/>
          <w:szCs w:val="22"/>
          <w:lang w:val="es-ES_tradnl"/>
        </w:rPr>
        <w:t xml:space="preserve"> </w:t>
      </w:r>
    </w:p>
    <w:p w14:paraId="20A3B6D4" w14:textId="5EFADA2D" w:rsidR="00163D53" w:rsidRPr="00AE0639" w:rsidRDefault="00A30642" w:rsidP="00B75FA7">
      <w:pPr>
        <w:spacing w:before="120" w:after="240" w:line="276" w:lineRule="auto"/>
        <w:ind w:left="2824" w:hanging="2818"/>
        <w:jc w:val="both"/>
        <w:rPr>
          <w:rFonts w:ascii="Geomanist Light" w:eastAsia="Calibri" w:hAnsi="Geomanist Light" w:cs="Arial"/>
          <w:bCs/>
          <w:noProof/>
          <w:color w:val="1A1A1A" w:themeColor="background1" w:themeShade="1A"/>
          <w:sz w:val="22"/>
          <w:szCs w:val="22"/>
          <w:lang w:val="es-ES_tradnl"/>
        </w:rPr>
      </w:pPr>
      <w:r w:rsidRPr="00AE0639">
        <w:rPr>
          <w:rFonts w:ascii="Geomanist Light" w:eastAsia="Calibri" w:hAnsi="Geomanist Light" w:cs="Arial"/>
          <w:b/>
          <w:noProof/>
          <w:color w:val="1A1A1A" w:themeColor="background1" w:themeShade="1A"/>
          <w:sz w:val="22"/>
          <w:szCs w:val="22"/>
          <w:lang w:val="es-ES_tradnl"/>
        </w:rPr>
        <w:t>Radicación</w:t>
      </w:r>
      <w:r w:rsidRPr="00AE0639">
        <w:rPr>
          <w:rFonts w:ascii="Geomanist Light" w:eastAsia="Calibri" w:hAnsi="Geomanist Light" w:cs="Arial"/>
          <w:bCs/>
          <w:noProof/>
          <w:color w:val="1A1A1A" w:themeColor="background1" w:themeShade="1A"/>
          <w:sz w:val="22"/>
          <w:szCs w:val="22"/>
          <w:lang w:val="es-ES_tradnl"/>
        </w:rPr>
        <w:t>:</w:t>
      </w:r>
      <w:r w:rsidRPr="00AE0639">
        <w:rPr>
          <w:rFonts w:ascii="Geomanist Light" w:eastAsia="Calibri" w:hAnsi="Geomanist Light" w:cs="Arial"/>
          <w:bCs/>
          <w:noProof/>
          <w:color w:val="1A1A1A" w:themeColor="background1" w:themeShade="1A"/>
          <w:sz w:val="22"/>
          <w:szCs w:val="22"/>
          <w:lang w:val="es-ES_tradnl"/>
        </w:rPr>
        <w:tab/>
        <w:t xml:space="preserve">Respuesta a consulta </w:t>
      </w:r>
      <w:r w:rsidR="00963B2A" w:rsidRPr="00AE0639">
        <w:rPr>
          <w:rFonts w:ascii="Geomanist Light" w:eastAsia="Calibri" w:hAnsi="Geomanist Light" w:cs="Arial"/>
          <w:bCs/>
          <w:noProof/>
          <w:color w:val="1A1A1A" w:themeColor="background1" w:themeShade="1A"/>
          <w:sz w:val="22"/>
          <w:szCs w:val="22"/>
          <w:lang w:val="es-ES_tradnl"/>
        </w:rPr>
        <w:t xml:space="preserve">P20220927009712. </w:t>
      </w:r>
    </w:p>
    <w:p w14:paraId="25E733AB" w14:textId="3B71906E" w:rsidR="005875B0" w:rsidRDefault="005875B0" w:rsidP="00F1545F">
      <w:pPr>
        <w:tabs>
          <w:tab w:val="left" w:pos="3374"/>
        </w:tabs>
        <w:spacing w:before="120" w:line="276" w:lineRule="auto"/>
        <w:rPr>
          <w:rFonts w:ascii="Geomanist Light" w:eastAsia="Calibri" w:hAnsi="Geomanist Light" w:cs="Arial"/>
          <w:sz w:val="22"/>
          <w:szCs w:val="22"/>
        </w:rPr>
      </w:pPr>
    </w:p>
    <w:p w14:paraId="5874A272" w14:textId="3B11689D" w:rsidR="00137E23" w:rsidRDefault="00137E23" w:rsidP="00F1545F">
      <w:pPr>
        <w:tabs>
          <w:tab w:val="left" w:pos="3374"/>
        </w:tabs>
        <w:spacing w:before="120" w:line="276" w:lineRule="auto"/>
        <w:rPr>
          <w:rFonts w:ascii="Geomanist Light" w:hAnsi="Geomanist Light" w:cs="Arial"/>
          <w:b/>
          <w:bCs/>
          <w:sz w:val="22"/>
          <w:szCs w:val="22"/>
        </w:rPr>
      </w:pPr>
      <w:r w:rsidRPr="00AE0639">
        <w:rPr>
          <w:rFonts w:ascii="Geomanist Light" w:eastAsia="Calibri" w:hAnsi="Geomanist Light" w:cs="Arial"/>
          <w:sz w:val="22"/>
          <w:szCs w:val="22"/>
        </w:rPr>
        <w:t>Estimad</w:t>
      </w:r>
      <w:r w:rsidR="00306D9A" w:rsidRPr="00AE0639">
        <w:rPr>
          <w:rFonts w:ascii="Geomanist Light" w:eastAsia="Calibri" w:hAnsi="Geomanist Light" w:cs="Arial"/>
          <w:sz w:val="22"/>
          <w:szCs w:val="22"/>
        </w:rPr>
        <w:t>o</w:t>
      </w:r>
      <w:r w:rsidR="00E62C8E" w:rsidRPr="00AE0639">
        <w:rPr>
          <w:rFonts w:ascii="Geomanist Light" w:eastAsia="Calibri" w:hAnsi="Geomanist Light" w:cs="Arial"/>
          <w:sz w:val="22"/>
          <w:szCs w:val="22"/>
        </w:rPr>
        <w:t xml:space="preserve"> </w:t>
      </w:r>
      <w:r w:rsidRPr="00AE0639">
        <w:rPr>
          <w:rFonts w:ascii="Geomanist Light" w:eastAsia="Calibri" w:hAnsi="Geomanist Light" w:cs="Arial"/>
          <w:sz w:val="22"/>
          <w:szCs w:val="22"/>
        </w:rPr>
        <w:t>señor</w:t>
      </w:r>
      <w:r w:rsidR="00306D9A" w:rsidRPr="00AE0639">
        <w:rPr>
          <w:rFonts w:ascii="Geomanist Light" w:eastAsia="Calibri" w:hAnsi="Geomanist Light" w:cs="Arial"/>
          <w:sz w:val="22"/>
          <w:szCs w:val="22"/>
        </w:rPr>
        <w:t xml:space="preserve"> </w:t>
      </w:r>
      <w:r w:rsidR="00963B2A" w:rsidRPr="00AE0639">
        <w:rPr>
          <w:rFonts w:ascii="Geomanist Light" w:eastAsia="Calibri" w:hAnsi="Geomanist Light" w:cs="Arial"/>
          <w:sz w:val="22"/>
          <w:szCs w:val="22"/>
        </w:rPr>
        <w:t xml:space="preserve">Cruz, </w:t>
      </w:r>
      <w:r w:rsidR="00E62C8E" w:rsidRPr="00AE0639">
        <w:rPr>
          <w:rFonts w:ascii="Geomanist Light" w:hAnsi="Geomanist Light" w:cs="Arial"/>
          <w:sz w:val="22"/>
          <w:szCs w:val="22"/>
        </w:rPr>
        <w:t xml:space="preserve"> </w:t>
      </w:r>
      <w:r w:rsidR="005F6209" w:rsidRPr="00AE0639">
        <w:rPr>
          <w:rFonts w:ascii="Geomanist Light" w:hAnsi="Geomanist Light" w:cs="Arial"/>
          <w:b/>
          <w:bCs/>
          <w:sz w:val="22"/>
          <w:szCs w:val="22"/>
        </w:rPr>
        <w:t xml:space="preserve"> </w:t>
      </w:r>
    </w:p>
    <w:p w14:paraId="739A37ED" w14:textId="77777777" w:rsidR="00527401" w:rsidRDefault="00527401" w:rsidP="00AE0639">
      <w:pPr>
        <w:spacing w:line="276" w:lineRule="auto"/>
        <w:jc w:val="both"/>
        <w:rPr>
          <w:rFonts w:ascii="Geomanist Light" w:eastAsia="Calibri" w:hAnsi="Geomanist Light" w:cs="Arial"/>
          <w:sz w:val="22"/>
          <w:szCs w:val="22"/>
        </w:rPr>
      </w:pPr>
    </w:p>
    <w:p w14:paraId="743F6248" w14:textId="31751458" w:rsidR="00830AB8" w:rsidRPr="00AE0639" w:rsidRDefault="00423644" w:rsidP="00AE0639">
      <w:pPr>
        <w:spacing w:line="276" w:lineRule="auto"/>
        <w:jc w:val="both"/>
        <w:rPr>
          <w:rFonts w:ascii="Geomanist Light" w:eastAsia="Calibri" w:hAnsi="Geomanist Light" w:cs="Arial"/>
          <w:sz w:val="22"/>
          <w:szCs w:val="22"/>
        </w:rPr>
      </w:pPr>
      <w:r w:rsidRPr="00AE0639">
        <w:rPr>
          <w:rFonts w:ascii="Geomanist Light" w:eastAsia="Calibri" w:hAnsi="Geomanist Light" w:cs="Arial"/>
          <w:sz w:val="22"/>
          <w:szCs w:val="22"/>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AE0639">
        <w:rPr>
          <w:rFonts w:ascii="Geomanist Light" w:eastAsia="Calibri" w:hAnsi="Geomanist Light" w:cs="Arial"/>
          <w:sz w:val="22"/>
          <w:szCs w:val="22"/>
        </w:rPr>
        <w:t xml:space="preserve">de fecha </w:t>
      </w:r>
      <w:r w:rsidR="00963B2A" w:rsidRPr="00AE0639">
        <w:rPr>
          <w:rFonts w:ascii="Geomanist Light" w:eastAsia="Calibri" w:hAnsi="Geomanist Light" w:cs="Arial"/>
          <w:sz w:val="22"/>
          <w:szCs w:val="22"/>
        </w:rPr>
        <w:t xml:space="preserve">27 </w:t>
      </w:r>
      <w:r w:rsidR="00661EC4" w:rsidRPr="00AE0639">
        <w:rPr>
          <w:rFonts w:ascii="Geomanist Light" w:eastAsia="Calibri" w:hAnsi="Geomanist Light" w:cs="Arial"/>
          <w:sz w:val="22"/>
          <w:szCs w:val="22"/>
        </w:rPr>
        <w:t>d</w:t>
      </w:r>
      <w:r w:rsidR="00361ADC" w:rsidRPr="00AE0639">
        <w:rPr>
          <w:rFonts w:ascii="Geomanist Light" w:eastAsia="Calibri" w:hAnsi="Geomanist Light" w:cs="Arial"/>
          <w:sz w:val="22"/>
          <w:szCs w:val="22"/>
        </w:rPr>
        <w:t xml:space="preserve">e </w:t>
      </w:r>
      <w:r w:rsidR="00661EC4" w:rsidRPr="00AE0639">
        <w:rPr>
          <w:rFonts w:ascii="Geomanist Light" w:eastAsia="Calibri" w:hAnsi="Geomanist Light" w:cs="Arial"/>
          <w:sz w:val="22"/>
          <w:szCs w:val="22"/>
        </w:rPr>
        <w:t xml:space="preserve">septiembre </w:t>
      </w:r>
      <w:r w:rsidRPr="00AE0639">
        <w:rPr>
          <w:rFonts w:ascii="Geomanist Light" w:eastAsia="Calibri" w:hAnsi="Geomanist Light" w:cs="Arial"/>
          <w:sz w:val="22"/>
          <w:szCs w:val="22"/>
        </w:rPr>
        <w:t>de 2022.</w:t>
      </w:r>
    </w:p>
    <w:p w14:paraId="679F5E1A" w14:textId="77777777" w:rsidR="00F1545F" w:rsidRPr="00AE0639" w:rsidRDefault="00F1545F" w:rsidP="00AE0639">
      <w:pPr>
        <w:tabs>
          <w:tab w:val="left" w:pos="284"/>
        </w:tabs>
        <w:spacing w:line="276" w:lineRule="auto"/>
        <w:contextualSpacing/>
        <w:jc w:val="both"/>
        <w:rPr>
          <w:rFonts w:ascii="Geomanist Light" w:eastAsia="Calibri" w:hAnsi="Geomanist Light" w:cs="Arial"/>
          <w:b/>
          <w:sz w:val="22"/>
          <w:szCs w:val="22"/>
        </w:rPr>
      </w:pPr>
    </w:p>
    <w:p w14:paraId="6A56E98F" w14:textId="473A8A55" w:rsidR="00830AB8" w:rsidRPr="00AE0639" w:rsidRDefault="00830AB8" w:rsidP="00AE0639">
      <w:pPr>
        <w:pStyle w:val="Prrafodelista"/>
        <w:numPr>
          <w:ilvl w:val="0"/>
          <w:numId w:val="7"/>
        </w:numPr>
        <w:tabs>
          <w:tab w:val="left" w:pos="284"/>
          <w:tab w:val="left" w:pos="360"/>
          <w:tab w:val="left" w:pos="567"/>
        </w:tabs>
        <w:spacing w:line="276" w:lineRule="auto"/>
        <w:ind w:left="426"/>
        <w:jc w:val="both"/>
        <w:rPr>
          <w:rFonts w:ascii="Geomanist Light" w:eastAsia="Calibri" w:hAnsi="Geomanist Light" w:cs="Arial"/>
          <w:b/>
          <w:sz w:val="22"/>
        </w:rPr>
      </w:pPr>
      <w:r w:rsidRPr="00AE0639">
        <w:rPr>
          <w:rFonts w:ascii="Geomanist Light" w:eastAsia="Calibri" w:hAnsi="Geomanist Light" w:cs="Arial"/>
          <w:b/>
          <w:sz w:val="22"/>
        </w:rPr>
        <w:t xml:space="preserve">Problema planteado </w:t>
      </w:r>
    </w:p>
    <w:p w14:paraId="2F0DBED9" w14:textId="77777777" w:rsidR="00346A2B" w:rsidRPr="00AE0639" w:rsidRDefault="00346A2B" w:rsidP="00AE0639">
      <w:pPr>
        <w:pStyle w:val="Prrafodelista"/>
        <w:tabs>
          <w:tab w:val="left" w:pos="284"/>
        </w:tabs>
        <w:spacing w:before="120" w:line="276" w:lineRule="auto"/>
        <w:jc w:val="both"/>
        <w:rPr>
          <w:rFonts w:ascii="Geomanist Light" w:eastAsia="Calibri" w:hAnsi="Geomanist Light" w:cs="Arial"/>
          <w:b/>
          <w:sz w:val="22"/>
        </w:rPr>
      </w:pPr>
    </w:p>
    <w:p w14:paraId="199E3C24" w14:textId="2BD9B26D" w:rsidR="003A1C61" w:rsidRPr="00AE0639" w:rsidRDefault="00FF5BF5" w:rsidP="00AE0639">
      <w:pPr>
        <w:spacing w:line="276" w:lineRule="auto"/>
        <w:jc w:val="both"/>
        <w:rPr>
          <w:rFonts w:ascii="Geomanist Light" w:hAnsi="Geomanist Light" w:cs="Arial"/>
          <w:color w:val="1A1A1A" w:themeColor="background1" w:themeShade="1A"/>
          <w:sz w:val="22"/>
          <w:szCs w:val="22"/>
        </w:rPr>
      </w:pPr>
      <w:r w:rsidRPr="00AE0639">
        <w:rPr>
          <w:rFonts w:ascii="Geomanist Light" w:hAnsi="Geomanist Light" w:cs="Arial"/>
          <w:color w:val="1A1A1A" w:themeColor="background1" w:themeShade="1A"/>
          <w:sz w:val="22"/>
          <w:szCs w:val="22"/>
          <w:lang w:val="es-ES_tradnl"/>
        </w:rPr>
        <w:t xml:space="preserve">Usted formula la siguiente consulta: </w:t>
      </w:r>
      <w:bookmarkStart w:id="1" w:name="_Hlk106025682"/>
      <w:r w:rsidR="00346A2B" w:rsidRPr="00AE0639">
        <w:rPr>
          <w:rFonts w:ascii="Geomanist Light" w:hAnsi="Geomanist Light" w:cs="Arial"/>
          <w:color w:val="1A1A1A" w:themeColor="background1" w:themeShade="1A"/>
          <w:sz w:val="22"/>
          <w:szCs w:val="22"/>
        </w:rPr>
        <w:t xml:space="preserve"> </w:t>
      </w:r>
      <w:r w:rsidR="00E064A1" w:rsidRPr="00AE0639">
        <w:rPr>
          <w:rFonts w:ascii="Geomanist Light" w:hAnsi="Geomanist Light" w:cs="Arial"/>
          <w:color w:val="1A1A1A" w:themeColor="background1" w:themeShade="1A"/>
          <w:sz w:val="22"/>
          <w:szCs w:val="22"/>
        </w:rPr>
        <w:t>«</w:t>
      </w:r>
      <w:r w:rsidR="008A66DB">
        <w:rPr>
          <w:rFonts w:ascii="Geomanist Light" w:hAnsi="Geomanist Light" w:cs="Arial"/>
          <w:color w:val="1A1A1A" w:themeColor="background1" w:themeShade="1A"/>
          <w:sz w:val="22"/>
          <w:szCs w:val="22"/>
        </w:rPr>
        <w:t xml:space="preserve">[…] </w:t>
      </w:r>
      <w:r w:rsidR="00963B2A" w:rsidRPr="00AE0639">
        <w:rPr>
          <w:rFonts w:ascii="Geomanist Light" w:hAnsi="Geomanist Light"/>
          <w:sz w:val="22"/>
          <w:szCs w:val="22"/>
        </w:rPr>
        <w:t xml:space="preserve"> </w:t>
      </w:r>
      <w:r w:rsidR="00963B2A" w:rsidRPr="00AE0639">
        <w:rPr>
          <w:rFonts w:ascii="Geomanist Light" w:hAnsi="Geomanist Light" w:cs="Arial"/>
          <w:color w:val="1A1A1A" w:themeColor="background1" w:themeShade="1A"/>
          <w:sz w:val="22"/>
          <w:szCs w:val="22"/>
        </w:rPr>
        <w:t>i) ¿En los convenios del artículo 96 de la Ley 489 de 1998, para la declaratoria de incumplimiento aplica el artículo 86 de la Ley 1474 de 2011? ii) ¿En los contratos del artículo 2º del Decreto 92 de 2017, para la declaratoria de incumplimiento aplica el artículo 86 de la Ley 1474 de 2011?</w:t>
      </w:r>
      <w:r w:rsidR="00E064A1" w:rsidRPr="00AE0639">
        <w:rPr>
          <w:rFonts w:ascii="Geomanist Light" w:hAnsi="Geomanist Light" w:cs="Arial"/>
          <w:color w:val="1A1A1A" w:themeColor="background1" w:themeShade="1A"/>
          <w:sz w:val="22"/>
          <w:szCs w:val="22"/>
        </w:rPr>
        <w:t>»</w:t>
      </w:r>
      <w:r w:rsidR="00346A2B" w:rsidRPr="00AE0639">
        <w:rPr>
          <w:rFonts w:ascii="Geomanist Light" w:hAnsi="Geomanist Light" w:cs="Arial"/>
          <w:color w:val="1A1A1A" w:themeColor="background1" w:themeShade="1A"/>
          <w:sz w:val="22"/>
          <w:szCs w:val="22"/>
        </w:rPr>
        <w:t>.</w:t>
      </w:r>
    </w:p>
    <w:p w14:paraId="3A55E60D" w14:textId="77777777" w:rsidR="00346A2B" w:rsidRPr="00AE0639" w:rsidRDefault="00346A2B" w:rsidP="00AE0639">
      <w:pPr>
        <w:spacing w:line="276" w:lineRule="auto"/>
        <w:jc w:val="both"/>
        <w:rPr>
          <w:rFonts w:ascii="Geomanist Light" w:hAnsi="Geomanist Light" w:cs="Arial"/>
          <w:color w:val="1A1A1A" w:themeColor="background1" w:themeShade="1A"/>
          <w:sz w:val="21"/>
          <w:szCs w:val="21"/>
        </w:rPr>
      </w:pPr>
    </w:p>
    <w:bookmarkEnd w:id="1"/>
    <w:p w14:paraId="130B6AE8" w14:textId="4E16BD24" w:rsidR="00B75FA7" w:rsidRPr="00AE0639" w:rsidRDefault="00830AB8" w:rsidP="00B75FA7">
      <w:pPr>
        <w:tabs>
          <w:tab w:val="left" w:pos="426"/>
        </w:tabs>
        <w:spacing w:line="276" w:lineRule="auto"/>
        <w:jc w:val="both"/>
        <w:rPr>
          <w:rFonts w:ascii="Geomanist Light" w:eastAsia="Calibri" w:hAnsi="Geomanist Light" w:cs="Arial"/>
          <w:b/>
          <w:sz w:val="22"/>
          <w:szCs w:val="22"/>
        </w:rPr>
      </w:pPr>
      <w:r w:rsidRPr="00AE0639">
        <w:rPr>
          <w:rFonts w:ascii="Geomanist Light" w:eastAsia="Calibri" w:hAnsi="Geomanist Light" w:cs="Arial"/>
          <w:b/>
          <w:sz w:val="22"/>
          <w:szCs w:val="22"/>
        </w:rPr>
        <w:t>2. Consideraciones</w:t>
      </w:r>
    </w:p>
    <w:p w14:paraId="5962F853" w14:textId="77777777" w:rsidR="00B75FA7" w:rsidRPr="00AE0639" w:rsidRDefault="00B75FA7" w:rsidP="00B75FA7">
      <w:pPr>
        <w:tabs>
          <w:tab w:val="left" w:pos="426"/>
        </w:tabs>
        <w:spacing w:line="276" w:lineRule="auto"/>
        <w:jc w:val="both"/>
        <w:rPr>
          <w:rFonts w:ascii="Geomanist Light" w:eastAsia="Calibri" w:hAnsi="Geomanist Light" w:cs="Arial"/>
          <w:b/>
          <w:sz w:val="16"/>
          <w:szCs w:val="16"/>
        </w:rPr>
      </w:pPr>
    </w:p>
    <w:p w14:paraId="69982916" w14:textId="2288B4F7" w:rsidR="00EC2C56" w:rsidRPr="00AE0639" w:rsidRDefault="00EC2C56" w:rsidP="00AE0639">
      <w:pPr>
        <w:spacing w:after="120" w:line="276" w:lineRule="auto"/>
        <w:jc w:val="both"/>
        <w:rPr>
          <w:rFonts w:ascii="Geomanist Light" w:hAnsi="Geomanist Light" w:cs="Arial"/>
          <w:sz w:val="22"/>
          <w:szCs w:val="22"/>
          <w:shd w:val="clear" w:color="auto" w:fill="FFFFFF"/>
          <w:lang w:val="es-ES"/>
        </w:rPr>
      </w:pPr>
      <w:r w:rsidRPr="00AE0639">
        <w:rPr>
          <w:rFonts w:ascii="Geomanist Light" w:hAnsi="Geomanist Light" w:cs="Arial"/>
          <w:sz w:val="22"/>
          <w:szCs w:val="22"/>
          <w:shd w:val="clear" w:color="auto" w:fill="FFFFFF"/>
          <w:lang w:val="es-ES"/>
        </w:rPr>
        <w:t>Para resolver su consulta, la Subdirección desarrollará consideraciones sobre las siguientes temáticas: i) Procedimiento administrativo sancionatorio contractual para las entidades estatales sometidas al Estatuto General de Contratación de la Administración Pública; ii) La prevalencia de la norma especial no excluye la aplicación de principios y normas generales complementarias, como lo es el artículo 52 del procedimiento administrativo sancionatorio general del CPACA, atendiendo al principio de subsidiariedad; y iii) contratos del artículo 355 de la Constitución Política y los convenios de asociación del artículo 96 de la Ley 489 de 1998. Decreto 092 de 2017 y régimen aplicable a la declaratoria de incumplimiento.</w:t>
      </w:r>
    </w:p>
    <w:p w14:paraId="5E6A26EE" w14:textId="091B4383" w:rsidR="00FD0B3A" w:rsidRPr="00AE0639" w:rsidRDefault="00FD0B3A" w:rsidP="00AE0639">
      <w:pPr>
        <w:spacing w:line="276" w:lineRule="auto"/>
        <w:ind w:firstLine="708"/>
        <w:jc w:val="both"/>
        <w:rPr>
          <w:rFonts w:ascii="Geomanist Light" w:hAnsi="Geomanist Light" w:cs="Arial"/>
          <w:color w:val="000000" w:themeColor="text1"/>
          <w:sz w:val="22"/>
          <w:szCs w:val="22"/>
          <w:lang w:val="es-ES_tradnl"/>
        </w:rPr>
      </w:pPr>
      <w:r w:rsidRPr="00AE0639">
        <w:rPr>
          <w:rFonts w:ascii="Geomanist Light" w:hAnsi="Geomanist Light" w:cs="Arial"/>
          <w:sz w:val="22"/>
          <w:szCs w:val="22"/>
          <w:shd w:val="clear" w:color="auto" w:fill="FFFFFF"/>
          <w:lang w:val="es-ES"/>
        </w:rPr>
        <w:t xml:space="preserve">La Agencia Nacional de Contratación Pública – Colombia Compra Eficiente, estudió </w:t>
      </w:r>
      <w:r w:rsidRPr="00AE0639">
        <w:rPr>
          <w:rFonts w:ascii="Geomanist Light" w:hAnsi="Geomanist Light" w:cs="Arial"/>
          <w:sz w:val="22"/>
          <w:szCs w:val="22"/>
        </w:rPr>
        <w:t>la contratación con entidades privadas sin ánimo de lucro y de reconocida idoneidad –desde ahora ESAL–, con fundamento en el Decreto autónomo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C-579 del 9 de noviembre de 2021, C-021 del 22 de febrero de 2022 y C</w:t>
      </w:r>
      <w:r w:rsidRPr="00AE0639">
        <w:rPr>
          <w:rFonts w:ascii="Courier New" w:hAnsi="Courier New" w:cs="Courier New"/>
          <w:sz w:val="22"/>
          <w:szCs w:val="22"/>
        </w:rPr>
        <w:t>‒</w:t>
      </w:r>
      <w:r w:rsidRPr="00AE0639">
        <w:rPr>
          <w:rFonts w:ascii="Geomanist Light" w:hAnsi="Geomanist Light" w:cs="Arial"/>
          <w:sz w:val="22"/>
          <w:szCs w:val="22"/>
        </w:rPr>
        <w:t>624 del 28 de septiembre de 2022. As</w:t>
      </w:r>
      <w:r w:rsidRPr="00AE0639">
        <w:rPr>
          <w:rFonts w:ascii="Geomanist Light" w:hAnsi="Geomanist Light" w:cs="Geomanist Light"/>
          <w:sz w:val="22"/>
          <w:szCs w:val="22"/>
        </w:rPr>
        <w:t>í</w:t>
      </w:r>
      <w:r w:rsidRPr="00AE0639">
        <w:rPr>
          <w:rFonts w:ascii="Geomanist Light" w:hAnsi="Geomanist Light" w:cs="Arial"/>
          <w:sz w:val="22"/>
          <w:szCs w:val="22"/>
        </w:rPr>
        <w:t xml:space="preserve"> mismo, </w:t>
      </w:r>
      <w:r w:rsidRPr="00AE0639">
        <w:rPr>
          <w:rFonts w:ascii="Geomanist Light" w:hAnsi="Geomanist Light" w:cs="Arial"/>
          <w:sz w:val="22"/>
          <w:szCs w:val="22"/>
          <w:lang w:val="es-ES_tradnl"/>
        </w:rPr>
        <w:t>en los conceptos C-147 del 17 de marzo de 2020, C-219 del 29 de abril de 2020, C-434 del 29 de julio de 2020, C-569 del 31 de agosto de 2020, C-641 del 4 de noviembre de 2020, C-060 del 8 de marzo de 2021, C-528 del 5 de abril de 2021, C-035 y C-040 del 2 de marzo de 2022 y C-061 del 8 de marzo de 2022</w:t>
      </w:r>
      <w:r w:rsidR="009D0A1F" w:rsidRPr="00AE0639">
        <w:rPr>
          <w:rFonts w:ascii="Geomanist Light" w:hAnsi="Geomanist Light" w:cs="Arial"/>
          <w:sz w:val="22"/>
          <w:szCs w:val="22"/>
          <w:lang w:val="es-ES_tradnl"/>
        </w:rPr>
        <w:t xml:space="preserve">, esta Agencia </w:t>
      </w:r>
      <w:r w:rsidRPr="00AE0639">
        <w:rPr>
          <w:rFonts w:ascii="Geomanist Light" w:hAnsi="Geomanist Light" w:cs="Arial"/>
          <w:sz w:val="22"/>
          <w:szCs w:val="22"/>
          <w:lang w:val="es-ES_tradnl"/>
        </w:rPr>
        <w:t>estudió la potestad sancionatoria de las entidades estatales y el procedimiento administrativo que deben efectuar para declarar el incumplimiento y aplicar las sanciones correspondientes</w:t>
      </w:r>
      <w:r w:rsidR="00924C32" w:rsidRPr="00AE0639">
        <w:rPr>
          <w:rFonts w:ascii="Geomanist Light" w:hAnsi="Geomanist Light" w:cs="Arial"/>
          <w:sz w:val="22"/>
          <w:szCs w:val="22"/>
          <w:lang w:val="es-ES_tradnl"/>
        </w:rPr>
        <w:t>,</w:t>
      </w:r>
      <w:r w:rsidRPr="00AE0639">
        <w:rPr>
          <w:rFonts w:ascii="Geomanist Light" w:hAnsi="Geomanist Light" w:cs="Arial"/>
          <w:sz w:val="22"/>
          <w:szCs w:val="22"/>
          <w:lang w:val="es-ES_tradnl"/>
        </w:rPr>
        <w:t xml:space="preserve"> destacando la necesidad de garantizar el debido proceso. </w:t>
      </w:r>
      <w:r w:rsidRPr="00AE0639">
        <w:rPr>
          <w:rFonts w:ascii="Geomanist Light" w:hAnsi="Geomanist Light" w:cs="Arial"/>
          <w:color w:val="000000" w:themeColor="text1"/>
          <w:sz w:val="22"/>
          <w:szCs w:val="22"/>
          <w:lang w:val="es-ES_tradnl"/>
        </w:rPr>
        <w:t xml:space="preserve">Las tesis expuestas en estos conceptos se reiteran a continuación y se complementan en lo pertinente, teniendo en cuenta los interrogantes planteados. </w:t>
      </w:r>
    </w:p>
    <w:p w14:paraId="4F0028D6" w14:textId="77777777" w:rsidR="00B75FA7" w:rsidRPr="00AE0639" w:rsidRDefault="00B75FA7" w:rsidP="00B75FA7">
      <w:pPr>
        <w:spacing w:line="276" w:lineRule="auto"/>
        <w:ind w:firstLine="709"/>
        <w:contextualSpacing/>
        <w:jc w:val="both"/>
        <w:rPr>
          <w:rFonts w:ascii="Geomanist Light" w:hAnsi="Geomanist Light" w:cs="Arial"/>
          <w:iCs/>
          <w:sz w:val="22"/>
          <w:szCs w:val="22"/>
          <w:lang w:val="es-ES_tradnl"/>
        </w:rPr>
      </w:pPr>
    </w:p>
    <w:p w14:paraId="2D601776" w14:textId="19C1AE1A" w:rsidR="007A6207" w:rsidRPr="00AE0639" w:rsidRDefault="00C5468F" w:rsidP="00B75FA7">
      <w:pPr>
        <w:spacing w:line="276" w:lineRule="auto"/>
        <w:jc w:val="both"/>
        <w:rPr>
          <w:rFonts w:ascii="Geomanist Light" w:eastAsia="Arial" w:hAnsi="Geomanist Light" w:cs="Arial"/>
          <w:b/>
          <w:sz w:val="22"/>
          <w:szCs w:val="22"/>
        </w:rPr>
      </w:pPr>
      <w:r w:rsidRPr="00AE0639">
        <w:rPr>
          <w:rFonts w:ascii="Geomanist Light" w:eastAsia="Calibri" w:hAnsi="Geomanist Light" w:cs="Arial"/>
          <w:b/>
          <w:bCs/>
          <w:sz w:val="22"/>
          <w:szCs w:val="22"/>
          <w:lang w:val="es-ES_tradnl"/>
        </w:rPr>
        <w:t>2.</w:t>
      </w:r>
      <w:r w:rsidR="00273C54">
        <w:rPr>
          <w:rFonts w:ascii="Geomanist Light" w:eastAsia="Calibri" w:hAnsi="Geomanist Light" w:cs="Arial"/>
          <w:b/>
          <w:bCs/>
          <w:sz w:val="22"/>
          <w:szCs w:val="22"/>
          <w:lang w:val="es-ES_tradnl"/>
        </w:rPr>
        <w:t>1</w:t>
      </w:r>
      <w:r w:rsidRPr="00AE0639">
        <w:rPr>
          <w:rFonts w:ascii="Geomanist Light" w:eastAsia="Calibri" w:hAnsi="Geomanist Light" w:cs="Arial"/>
          <w:b/>
          <w:bCs/>
          <w:sz w:val="22"/>
          <w:szCs w:val="22"/>
          <w:lang w:val="es-ES_tradnl"/>
        </w:rPr>
        <w:t xml:space="preserve">. </w:t>
      </w:r>
      <w:r w:rsidR="00273C54">
        <w:rPr>
          <w:rFonts w:ascii="Geomanist Light" w:eastAsia="Arial" w:hAnsi="Geomanist Light" w:cs="Arial"/>
          <w:b/>
          <w:sz w:val="22"/>
          <w:szCs w:val="22"/>
        </w:rPr>
        <w:t>P</w:t>
      </w:r>
      <w:r w:rsidR="007A6207" w:rsidRPr="00AE0639">
        <w:rPr>
          <w:rFonts w:ascii="Geomanist Light" w:eastAsia="Arial" w:hAnsi="Geomanist Light" w:cs="Arial"/>
          <w:b/>
          <w:sz w:val="22"/>
          <w:szCs w:val="22"/>
        </w:rPr>
        <w:t xml:space="preserve">rocedimiento administrativo sancionatorio contractual para las entidades estatales sometidas al Estatuto General de Contratación de la Administración Pública </w:t>
      </w:r>
    </w:p>
    <w:p w14:paraId="1DB98BA7" w14:textId="77777777" w:rsidR="00B75FA7" w:rsidRPr="00AE0639" w:rsidRDefault="00B75FA7" w:rsidP="00B75FA7">
      <w:pPr>
        <w:spacing w:line="276" w:lineRule="auto"/>
        <w:jc w:val="both"/>
        <w:rPr>
          <w:rFonts w:ascii="Geomanist Light" w:eastAsia="Arial" w:hAnsi="Geomanist Light" w:cs="Arial"/>
          <w:b/>
          <w:sz w:val="22"/>
          <w:szCs w:val="22"/>
          <w:lang w:eastAsia="es-CO"/>
        </w:rPr>
      </w:pPr>
    </w:p>
    <w:p w14:paraId="3860A27A" w14:textId="25DB3931" w:rsidR="007A6207" w:rsidRPr="00AE0639" w:rsidRDefault="007A6207" w:rsidP="00AE0639">
      <w:pPr>
        <w:spacing w:after="120" w:line="276" w:lineRule="auto"/>
        <w:jc w:val="both"/>
        <w:rPr>
          <w:rFonts w:ascii="Geomanist Light" w:eastAsia="Arial" w:hAnsi="Geomanist Light" w:cs="Arial"/>
          <w:sz w:val="22"/>
          <w:szCs w:val="22"/>
        </w:rPr>
      </w:pPr>
      <w:r w:rsidRPr="00AE0639">
        <w:rPr>
          <w:rFonts w:ascii="Geomanist Light" w:eastAsia="Arial" w:hAnsi="Geomanist Light" w:cs="Arial"/>
          <w:sz w:val="22"/>
          <w:szCs w:val="22"/>
        </w:rPr>
        <w:t xml:space="preserve">El artículo 86 de la Ley 1474 de 2011 establece en forma concreta las reglas de </w:t>
      </w:r>
      <w:r w:rsidR="00026BBD">
        <w:rPr>
          <w:rFonts w:ascii="Geomanist Light" w:eastAsia="Arial" w:hAnsi="Geomanist Light" w:cs="Arial"/>
          <w:sz w:val="22"/>
          <w:szCs w:val="22"/>
        </w:rPr>
        <w:t xml:space="preserve">un </w:t>
      </w:r>
      <w:r w:rsidRPr="00AE0639">
        <w:rPr>
          <w:rFonts w:ascii="Geomanist Light" w:eastAsia="Arial" w:hAnsi="Geomanist Light" w:cs="Arial"/>
          <w:sz w:val="22"/>
          <w:szCs w:val="22"/>
        </w:rPr>
        <w:t xml:space="preserve">procedimiento en materia sancionatoria contractual, mediante las cuales se materializan los derechos y garantías derivadas del debido proceso. De conformidad con esta disposición normativa, las «entidades sometidas al Estatuto General de Contratación de la Administración Pública podrán declarar el incumplimiento […]. Para tal efecto observarán […]» el procedimiento que en ese enunciado normativo se indica.  </w:t>
      </w:r>
    </w:p>
    <w:p w14:paraId="6E45FDF5" w14:textId="5907CB1C" w:rsidR="007A6207" w:rsidRPr="00AE0639" w:rsidRDefault="007A6207" w:rsidP="00AE0639">
      <w:pPr>
        <w:spacing w:after="120"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 xml:space="preserve">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Lo anterior, como consecuencia del «principio general de interpretación jurídica según el cual donde la norma no distingue, no le corresponde distinguir al intérprete». A la misma conclusión se llega si se tiene en consideración la necesidad de respetar el debido proceso en «todas las actuaciones administrativas», como lo ordena el artículo 29 superior. </w:t>
      </w:r>
    </w:p>
    <w:p w14:paraId="0E2C7F77" w14:textId="2945D050" w:rsidR="007A6207" w:rsidRPr="00AE0639" w:rsidRDefault="007A6207" w:rsidP="00AE0639">
      <w:pPr>
        <w:spacing w:after="120"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 xml:space="preserve">El artículo 86 de la Ley 1474 de 2011 establece las etapas del procedimiento que se deben seguir, las cuales se sintetizan así: i) citación a audiencia. Es obligatorio el envío al contratista y al garante –cuando proceda–, su contenido se </w:t>
      </w:r>
      <w:r w:rsidR="00026BBD">
        <w:rPr>
          <w:rFonts w:ascii="Geomanist Light" w:eastAsia="Arial" w:hAnsi="Geomanist Light" w:cs="Arial"/>
          <w:sz w:val="22"/>
          <w:szCs w:val="22"/>
        </w:rPr>
        <w:t>a</w:t>
      </w:r>
      <w:r w:rsidRPr="00AE0639">
        <w:rPr>
          <w:rFonts w:ascii="Geomanist Light" w:eastAsia="Arial" w:hAnsi="Geomanist Light" w:cs="Arial"/>
          <w:sz w:val="22"/>
          <w:szCs w:val="22"/>
        </w:rPr>
        <w:t xml:space="preserve">precia en la norma y se expondrá más adelante. ii) Audiencia. En la diligencia intervendrá el jefe de la entidad o su delegado y, posteriormente, se le concederá el uso de la palabra al representante legal del contratista o a quien lo represente, así como al garante, en caso de ser necesario, para que estos presenten sus descargos, aporten y controviertan pruebas y rindan las explicaciones del caso. Finalmente, iii) Decisión. Debe estar contenida en una resolución motivada donde se consigne lo ocurrido en el desarrollo de la diligencia y lo relativo a la imposición o no de sanciones o la declaratoria de incumplimiento del contrato estatal. Contra la decisión únicamente procede el </w:t>
      </w:r>
      <w:r w:rsidRPr="00AE0639">
        <w:rPr>
          <w:rFonts w:ascii="Geomanist Light" w:eastAsia="Arial" w:hAnsi="Geomanist Light" w:cs="Arial"/>
          <w:i/>
          <w:sz w:val="22"/>
          <w:szCs w:val="22"/>
        </w:rPr>
        <w:t>recurso de reposición</w:t>
      </w:r>
      <w:r w:rsidRPr="00AE0639">
        <w:rPr>
          <w:rFonts w:ascii="Geomanist Light" w:eastAsia="Arial" w:hAnsi="Geomanist Light" w:cs="Arial"/>
          <w:sz w:val="22"/>
          <w:szCs w:val="22"/>
        </w:rPr>
        <w:t xml:space="preserve"> que se interpondrá, sustentará y decidirá en la misma diligencia. Ambas decisiones se entenderán notificadas en audiencia. </w:t>
      </w:r>
    </w:p>
    <w:p w14:paraId="5C22BB97" w14:textId="70269BB4" w:rsidR="007A6207" w:rsidRPr="00AE0639" w:rsidRDefault="007A6207" w:rsidP="00B75FA7">
      <w:pPr>
        <w:spacing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 xml:space="preserve">Como precisión previa, vale la pena aclarar que el artículo 86 de la Ley 1474 de 2011 regula un procedimiento administrativo sancionatorio dirigido a sujetos específicos: las entidades sometidas al Estatuto General de Contratación de la Administración Pública. De ahí que las entidades de régimen especial en materia contractual no pueden aplicar el procedimiento administrativo sancionatorio regulado en el artículo 86 de la Ley 1474 de 2011, al no ser entidades sometidas al Estatuto General de Contratación de la Administración Pública, sino, por el contrario, </w:t>
      </w:r>
      <w:r w:rsidRPr="00AE0639">
        <w:rPr>
          <w:rFonts w:ascii="Geomanist Light" w:eastAsia="Arial" w:hAnsi="Geomanist Light" w:cs="Arial"/>
          <w:sz w:val="22"/>
          <w:szCs w:val="22"/>
        </w:rPr>
        <w:lastRenderedPageBreak/>
        <w:t>entidades exceptuadas de este. La norma indicada desarrolla el procedimiento de la siguiente manera:</w:t>
      </w:r>
    </w:p>
    <w:p w14:paraId="200AD10E" w14:textId="77777777" w:rsidR="00B75FA7" w:rsidRPr="00AE0639" w:rsidRDefault="00B75FA7" w:rsidP="00B75FA7">
      <w:pPr>
        <w:spacing w:line="276" w:lineRule="auto"/>
        <w:ind w:firstLine="709"/>
        <w:jc w:val="both"/>
        <w:rPr>
          <w:rFonts w:ascii="Geomanist Light" w:eastAsia="Arial" w:hAnsi="Geomanist Light" w:cs="Arial"/>
          <w:sz w:val="22"/>
          <w:szCs w:val="22"/>
        </w:rPr>
      </w:pPr>
    </w:p>
    <w:p w14:paraId="3D2CAFCF" w14:textId="5A02D103" w:rsidR="007A6207" w:rsidRPr="00AE0639" w:rsidRDefault="007A6207" w:rsidP="00026BBD">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Artículo 86. Imposición de multas, sanciones y declaratorias de incumplimiento.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39195282" w14:textId="77777777" w:rsidR="00B75FA7" w:rsidRPr="00AE0639" w:rsidRDefault="00B75FA7" w:rsidP="00026BBD">
      <w:pPr>
        <w:ind w:left="709" w:right="851"/>
        <w:jc w:val="both"/>
        <w:rPr>
          <w:rFonts w:ascii="Geomanist Light" w:eastAsia="Arial" w:hAnsi="Geomanist Light" w:cs="Arial"/>
          <w:sz w:val="21"/>
          <w:szCs w:val="21"/>
        </w:rPr>
      </w:pPr>
    </w:p>
    <w:p w14:paraId="120AAAB3" w14:textId="77777777" w:rsidR="007A6207" w:rsidRPr="00AE0639" w:rsidRDefault="007A6207" w:rsidP="00026BBD">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7793EBEE" w14:textId="77777777" w:rsidR="0067765B" w:rsidRPr="00AE0639" w:rsidRDefault="0067765B" w:rsidP="00026BBD">
      <w:pPr>
        <w:ind w:left="709" w:right="851"/>
        <w:jc w:val="both"/>
        <w:rPr>
          <w:rFonts w:ascii="Geomanist Light" w:eastAsia="Arial" w:hAnsi="Geomanist Light" w:cs="Arial"/>
          <w:sz w:val="21"/>
          <w:szCs w:val="21"/>
        </w:rPr>
      </w:pPr>
    </w:p>
    <w:p w14:paraId="34F3DD8A" w14:textId="1B7F06B7" w:rsidR="007A6207" w:rsidRPr="00AE0639" w:rsidRDefault="007A6207" w:rsidP="00026BBD">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73316AE0" w14:textId="77777777" w:rsidR="00B75FA7" w:rsidRPr="00AE0639" w:rsidRDefault="00B75FA7" w:rsidP="00026BBD">
      <w:pPr>
        <w:ind w:left="709" w:right="851"/>
        <w:jc w:val="both"/>
        <w:rPr>
          <w:rFonts w:ascii="Geomanist Light" w:eastAsia="Arial" w:hAnsi="Geomanist Light" w:cs="Arial"/>
          <w:sz w:val="21"/>
          <w:szCs w:val="21"/>
        </w:rPr>
      </w:pPr>
    </w:p>
    <w:p w14:paraId="6DE11699" w14:textId="49DE0FC1" w:rsidR="007A6207" w:rsidRPr="00AE0639" w:rsidRDefault="007A6207" w:rsidP="00026BBD">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670F4D08" w14:textId="77777777" w:rsidR="00B75FA7" w:rsidRPr="00AE0639" w:rsidRDefault="00B75FA7" w:rsidP="00026BBD">
      <w:pPr>
        <w:ind w:left="709" w:right="851"/>
        <w:jc w:val="both"/>
        <w:rPr>
          <w:rFonts w:ascii="Geomanist Light" w:eastAsia="Arial" w:hAnsi="Geomanist Light" w:cs="Arial"/>
          <w:sz w:val="21"/>
          <w:szCs w:val="21"/>
        </w:rPr>
      </w:pPr>
    </w:p>
    <w:p w14:paraId="253C7F5C" w14:textId="510B17A7" w:rsidR="007A6207" w:rsidRPr="00AE0639" w:rsidRDefault="007A6207" w:rsidP="00026BBD">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 xml:space="preserve">d) En cualquier momento del desarrollo de la audiencia, el jefe de la entidad o su </w:t>
      </w:r>
      <w:r w:rsidR="00F1545F" w:rsidRPr="00AE0639">
        <w:rPr>
          <w:rFonts w:ascii="Geomanist Light" w:eastAsia="Arial" w:hAnsi="Geomanist Light" w:cs="Arial"/>
          <w:sz w:val="21"/>
          <w:szCs w:val="21"/>
        </w:rPr>
        <w:t>delegado</w:t>
      </w:r>
      <w:r w:rsidRPr="00AE0639">
        <w:rPr>
          <w:rFonts w:ascii="Geomanist Light" w:eastAsia="Arial" w:hAnsi="Geomanist Light" w:cs="Arial"/>
          <w:sz w:val="21"/>
          <w:szCs w:val="21"/>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w:t>
      </w:r>
      <w:r w:rsidRPr="00AE0639">
        <w:rPr>
          <w:rFonts w:ascii="Geomanist Light" w:eastAsia="Arial" w:hAnsi="Geomanist Light" w:cs="Arial"/>
          <w:sz w:val="21"/>
          <w:szCs w:val="21"/>
        </w:rPr>
        <w:lastRenderedPageBreak/>
        <w:t>reanudar la audiencia. La entidad podrá dar por terminado el procedimiento en cualquier momento, si por algún medio tiene conocimiento de la cesación de situación de incumplimiento.</w:t>
      </w:r>
    </w:p>
    <w:p w14:paraId="31974327" w14:textId="77777777" w:rsidR="00B75FA7" w:rsidRPr="00AE0639" w:rsidRDefault="00B75FA7" w:rsidP="00B75FA7">
      <w:pPr>
        <w:spacing w:line="276" w:lineRule="auto"/>
        <w:ind w:left="709" w:right="709"/>
        <w:jc w:val="both"/>
        <w:rPr>
          <w:rFonts w:ascii="Geomanist Light" w:eastAsia="Arial" w:hAnsi="Geomanist Light" w:cs="Arial"/>
          <w:sz w:val="21"/>
          <w:szCs w:val="21"/>
        </w:rPr>
      </w:pPr>
    </w:p>
    <w:p w14:paraId="1CEEBAE0" w14:textId="12F7EEB6" w:rsidR="007A6207" w:rsidRPr="00AE0639" w:rsidRDefault="007A6207" w:rsidP="00AE0639">
      <w:pPr>
        <w:spacing w:after="120"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Como se observa, la citación a la audiencia debe cumplir mínimamente los siguientes aspectos: i) señalar los hechos que soportan la actuación, en particular la descripción detallada de cuáles son las actuaciones u omisiones del contratista que materializan el supuesto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esta facultad, en palabras de la Corte Constitucional, «[…] está reglada y se ejerce conforme a un procedimiento administrativo, del que debe darse cuenta en un acto administrativo motivado, de tal suerte que la cuantificación de los perjuicios no obedece a la mera discrecionalidad de la entidad estatal, ni es fruto de su capricho […]», y, finalmente, vii) deben indicar el lugar, fecha y hora para la realización de la audiencia, sin perjuicio de que esta se pueda efectuar por medios electrónicos.</w:t>
      </w:r>
    </w:p>
    <w:p w14:paraId="0D83DDAC" w14:textId="692CE9D2" w:rsidR="007A6207" w:rsidRPr="00AE0639" w:rsidRDefault="007A6207" w:rsidP="00B75FA7">
      <w:pPr>
        <w:spacing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En suma, el procedimiento pormenorizado previsto en el artículo 86 de la Ley 1474 de 2011 es el que impera actualmente en materia sancionatoria contractual y bajo el cual las entidades sometidas al Estatuto General de la Contratación Pública deberán desarrollar las actuaciones con miras a la declaratoria de incumplimiento e imposición de multas y sanciones en ejercicio de su deber de vigilancia y control de los contratos estatales. En el mismo sentido, el Consejo de Estado conceptuó sobre el tema, señalando lo siguiente:</w:t>
      </w:r>
    </w:p>
    <w:p w14:paraId="7B130177" w14:textId="77777777" w:rsidR="00B75FA7" w:rsidRPr="00AE0639" w:rsidRDefault="00B75FA7" w:rsidP="00B75FA7">
      <w:pPr>
        <w:spacing w:line="276" w:lineRule="auto"/>
        <w:ind w:firstLine="709"/>
        <w:jc w:val="both"/>
        <w:rPr>
          <w:rFonts w:ascii="Geomanist Light" w:eastAsia="Arial" w:hAnsi="Geomanist Light" w:cs="Arial"/>
          <w:sz w:val="22"/>
          <w:szCs w:val="22"/>
        </w:rPr>
      </w:pPr>
    </w:p>
    <w:p w14:paraId="16DBCF1A" w14:textId="77777777" w:rsidR="007A6207" w:rsidRPr="00AE0639" w:rsidRDefault="007A6207" w:rsidP="00B75FA7">
      <w:pPr>
        <w:spacing w:line="276" w:lineRule="auto"/>
        <w:ind w:firstLine="709"/>
        <w:jc w:val="both"/>
        <w:rPr>
          <w:rFonts w:ascii="Geomanist Light" w:eastAsia="Arial" w:hAnsi="Geomanist Light" w:cs="Arial"/>
          <w:sz w:val="21"/>
          <w:szCs w:val="21"/>
        </w:rPr>
      </w:pPr>
      <w:r w:rsidRPr="00AE0639">
        <w:rPr>
          <w:rFonts w:ascii="Geomanist Light" w:eastAsia="Calibri" w:hAnsi="Geomanist Light" w:cs="Calibri"/>
          <w:sz w:val="21"/>
          <w:szCs w:val="21"/>
        </w:rPr>
        <w:t>[…]</w:t>
      </w:r>
    </w:p>
    <w:p w14:paraId="09A4D418" w14:textId="232C2CD1" w:rsidR="007A6207" w:rsidRPr="00AE0639" w:rsidRDefault="007A6207" w:rsidP="0067765B">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 xml:space="preserve">Como puede verse, la norma reitera la competencia de las entidades estatales de imponer unilateralmente, mediante acto administrativo, las multas pactadas en el contrato, previa la celebración de una audiencia en la cual se inicia y agota todo el procedimiento para la ejecutoria de la sanción o la terminación del mismo, si ha cesado el incumplimiento. En esta audiencia, el contratista podrá ejercer su derecho de defensa y contradicción, para lo cual puede aportar o solicitar pruebas. Una vez se ejerza ese derecho, la entidad adoptará la decisión sobre la imposición de la multa </w:t>
      </w:r>
      <w:r w:rsidRPr="00AE0639">
        <w:rPr>
          <w:rFonts w:ascii="Geomanist Light" w:eastAsia="Arial" w:hAnsi="Geomanist Light" w:cs="Arial"/>
          <w:sz w:val="21"/>
          <w:szCs w:val="21"/>
        </w:rPr>
        <w:lastRenderedPageBreak/>
        <w:t>mediante resolución motivada y se sustentará y decidirá el recurso de reposición que presenten los afectados. Lo dispuesto en el artículo 86 de la ley 1474 podría entenderse como el desarrollo más depurado y concreto del derecho al debido proceso en materia de la adopción de medidas sancionatorias de carácter contractual, recogiendo los avances jurisprudenciales y doctrinales que se dieron desde la expedición de la ley 1150 de 2007. En consecuencia, es el artículo 86 de la ley 1474 de 2011 la norma que actualmente regula la materia, en concordancia con lo dispuesto en el artículo 17 de la ley 1150 de 2007.</w:t>
      </w:r>
    </w:p>
    <w:p w14:paraId="70C007B1" w14:textId="77777777" w:rsidR="00B75FA7" w:rsidRPr="00AE0639" w:rsidRDefault="00B75FA7" w:rsidP="00B75FA7">
      <w:pPr>
        <w:spacing w:line="276" w:lineRule="auto"/>
        <w:ind w:left="709" w:right="709"/>
        <w:jc w:val="both"/>
        <w:rPr>
          <w:rFonts w:ascii="Geomanist Light" w:eastAsia="Arial" w:hAnsi="Geomanist Light" w:cs="Arial"/>
          <w:sz w:val="21"/>
          <w:szCs w:val="21"/>
        </w:rPr>
      </w:pPr>
    </w:p>
    <w:p w14:paraId="47D4FB41" w14:textId="11F4133B" w:rsidR="007A6207" w:rsidRPr="00AE0639" w:rsidRDefault="007A6207" w:rsidP="00AE0639">
      <w:pPr>
        <w:spacing w:after="120"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Además,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el garante se preparen para ella y logren ejercer materialmente su derecho de defensa. En todo caso, la razonabilidad de dicho término dependerá de cada procedimiento y de la complejidad del material probatorio, debiendo ser razonable y suficiente.</w:t>
      </w:r>
    </w:p>
    <w:p w14:paraId="50B7BD4F" w14:textId="1BFACB63" w:rsidR="007A6207" w:rsidRPr="00AE0639" w:rsidRDefault="007A6207" w:rsidP="00AE0639">
      <w:pPr>
        <w:spacing w:after="120"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 xml:space="preserve">Finalmente, luego de expedido el acto administrativo que decida el procedimiento administrativo sancionatorio contractual en audiencia pública, el contratista tiene aún la oportunidad de ejercer el derecho de defensa y contradicción contra la decisión administrativa de la entidad contratante que le sea desfavorable, haciendo uso del recurso de reposición, recurso que no es obligatorio, pero que si se interpone, luego de notificada la decisión por estrados -por ser una decisión proferida en audiencia- se debe resolver por la entidad contratante en la misma audiencia. </w:t>
      </w:r>
    </w:p>
    <w:p w14:paraId="33E67197" w14:textId="234D79E9" w:rsidR="007A6207" w:rsidRPr="00AE0639" w:rsidRDefault="007A6207" w:rsidP="00B75FA7">
      <w:pPr>
        <w:spacing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Notificada la decisión que resuelve el eventual recurso de reposición en la misma audiencia, adquiere firmeza el acto administrativo que se ha proferido, con lo cual culmina el procedimiento sancionatorio contractual.</w:t>
      </w:r>
    </w:p>
    <w:p w14:paraId="6E4A9704" w14:textId="77777777" w:rsidR="00B75FA7" w:rsidRPr="00AE0639" w:rsidRDefault="00B75FA7" w:rsidP="00B75FA7">
      <w:pPr>
        <w:spacing w:line="276" w:lineRule="auto"/>
        <w:ind w:firstLine="709"/>
        <w:jc w:val="both"/>
        <w:rPr>
          <w:rFonts w:ascii="Geomanist Light" w:eastAsia="Arial" w:hAnsi="Geomanist Light" w:cs="Arial"/>
          <w:sz w:val="22"/>
          <w:szCs w:val="22"/>
        </w:rPr>
      </w:pPr>
    </w:p>
    <w:p w14:paraId="6C0C8320" w14:textId="143045F9" w:rsidR="007A6207" w:rsidRPr="00AE0639" w:rsidRDefault="007A6207" w:rsidP="00B75FA7">
      <w:pPr>
        <w:tabs>
          <w:tab w:val="left" w:pos="426"/>
        </w:tabs>
        <w:spacing w:line="276" w:lineRule="auto"/>
        <w:jc w:val="both"/>
        <w:rPr>
          <w:rFonts w:ascii="Geomanist Light" w:eastAsia="Arial" w:hAnsi="Geomanist Light" w:cs="Arial"/>
          <w:b/>
          <w:sz w:val="22"/>
          <w:szCs w:val="22"/>
        </w:rPr>
      </w:pPr>
      <w:r w:rsidRPr="00AE0639">
        <w:rPr>
          <w:rFonts w:ascii="Geomanist Light" w:eastAsia="Arial" w:hAnsi="Geomanist Light" w:cs="Arial"/>
          <w:b/>
          <w:sz w:val="22"/>
          <w:szCs w:val="22"/>
        </w:rPr>
        <w:t>2.</w:t>
      </w:r>
      <w:r w:rsidR="00547F1F">
        <w:rPr>
          <w:rFonts w:ascii="Geomanist Light" w:eastAsia="Arial" w:hAnsi="Geomanist Light" w:cs="Arial"/>
          <w:b/>
          <w:sz w:val="22"/>
          <w:szCs w:val="22"/>
        </w:rPr>
        <w:t>2</w:t>
      </w:r>
      <w:r w:rsidR="00F1545F" w:rsidRPr="00AE0639">
        <w:rPr>
          <w:rFonts w:ascii="Geomanist Light" w:eastAsia="Arial" w:hAnsi="Geomanist Light" w:cs="Arial"/>
          <w:b/>
          <w:sz w:val="22"/>
          <w:szCs w:val="22"/>
        </w:rPr>
        <w:t xml:space="preserve">. </w:t>
      </w:r>
      <w:r w:rsidRPr="00AE0639">
        <w:rPr>
          <w:rFonts w:ascii="Geomanist Light" w:eastAsia="Arial" w:hAnsi="Geomanist Light" w:cs="Arial"/>
          <w:b/>
          <w:sz w:val="22"/>
          <w:szCs w:val="22"/>
        </w:rPr>
        <w:t>La prevalencia de la norma especial no excluye la aplicación de principios y normas generales complementarias, como lo es el artículo 52 del procedimiento administrativo sancionatorio general del CPACA, atendiendo al principio de subsidiariedad</w:t>
      </w:r>
    </w:p>
    <w:p w14:paraId="426E75AE" w14:textId="77777777" w:rsidR="00B75FA7" w:rsidRPr="00AE0639" w:rsidRDefault="00B75FA7" w:rsidP="00B75FA7">
      <w:pPr>
        <w:tabs>
          <w:tab w:val="left" w:pos="426"/>
        </w:tabs>
        <w:spacing w:line="276" w:lineRule="auto"/>
        <w:jc w:val="both"/>
        <w:rPr>
          <w:rFonts w:ascii="Geomanist Light" w:eastAsia="Arial" w:hAnsi="Geomanist Light" w:cs="Arial"/>
          <w:b/>
          <w:sz w:val="22"/>
          <w:szCs w:val="22"/>
        </w:rPr>
      </w:pPr>
    </w:p>
    <w:p w14:paraId="6357FBE2" w14:textId="22A55D7E" w:rsidR="007A6207" w:rsidRPr="00AE0639" w:rsidRDefault="007A6207" w:rsidP="00AE0639">
      <w:pPr>
        <w:tabs>
          <w:tab w:val="left" w:pos="426"/>
        </w:tabs>
        <w:spacing w:after="120" w:line="276" w:lineRule="auto"/>
        <w:jc w:val="both"/>
        <w:rPr>
          <w:rFonts w:ascii="Geomanist Light" w:eastAsia="Arial" w:hAnsi="Geomanist Light" w:cs="Arial"/>
          <w:sz w:val="22"/>
          <w:szCs w:val="22"/>
        </w:rPr>
      </w:pPr>
      <w:r w:rsidRPr="00AE0639">
        <w:rPr>
          <w:rFonts w:ascii="Geomanist Light" w:eastAsia="Arial" w:hAnsi="Geomanist Light" w:cs="Arial"/>
          <w:sz w:val="22"/>
          <w:szCs w:val="22"/>
        </w:rPr>
        <w:t xml:space="preserve">El desarrollo del procedimiento establecido en el artículo 86 de la Ley 1474 de 2011 supone la aplicación previa y concomitante de un marco normativo regido por el derecho fundamental al debido proceso previsto en el artículo 29 de la Constitución Política. Este derecho fundamental rige en todas las actuaciones judiciales y administrativas, inclusive en el procedimiento administrativo general, tal y como lo dispone el numeral 1 del artículo 3  de la Ley 1437 de 2011, que, con similar propósito, prescribe: «En virtud del principio del debido proceso, las actuaciones administrativas se adelantarán de conformidad con las normas de procedimiento y competencia establecidas en la </w:t>
      </w:r>
      <w:r w:rsidRPr="00AE0639">
        <w:rPr>
          <w:rFonts w:ascii="Geomanist Light" w:eastAsia="Arial" w:hAnsi="Geomanist Light" w:cs="Arial"/>
          <w:sz w:val="22"/>
          <w:szCs w:val="22"/>
        </w:rPr>
        <w:lastRenderedPageBreak/>
        <w:t xml:space="preserve">Constitución y la ley, con plena garantía de los derechos de representación, defensa y contradicción […]». </w:t>
      </w:r>
    </w:p>
    <w:p w14:paraId="4166F69A" w14:textId="77777777" w:rsidR="007A6207" w:rsidRPr="00AE0639" w:rsidRDefault="007A6207" w:rsidP="00AE0639">
      <w:pPr>
        <w:spacing w:after="120"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 xml:space="preserve">En este sentido, debe considerarse que las actuaciones contractuales de las entidades estatales sometidas al EGCAP se complementan con la regulación general de las actuaciones administrativas, pues ese es el sentido del artículo 77 de la Ley 80 de 1993 que establece que en cuanto sean compatibles con la finalidad y los principios de esa ley, las normas que rigen los procedimientos y actuaciones en la función administrativa serán aplicables en las actuaciones contractuales. A falta de estas, regirán las disposiciones del Código de Procedimiento Civil. Asimismo, establece que «los actos administrativos que se produzcan con motivo u ocasión de la actividad contractual sólo serán susceptibles de recurso de reposición y del ejercicio de la acción contractual, de acuerdo con las reglas del Código Contencioso Administrativo», siendo posible acudir a la aplicación normativa complementaria y concordante del CPACA, sin perjuicio de la primacía de la norma especial. </w:t>
      </w:r>
    </w:p>
    <w:p w14:paraId="260F4232" w14:textId="55E1243E" w:rsidR="007A6207" w:rsidRPr="00AE0639" w:rsidRDefault="007A6207" w:rsidP="00B75FA7">
      <w:pPr>
        <w:spacing w:line="276" w:lineRule="auto"/>
        <w:ind w:firstLine="709"/>
        <w:jc w:val="both"/>
        <w:rPr>
          <w:rFonts w:ascii="Geomanist Light" w:eastAsia="Arial" w:hAnsi="Geomanist Light" w:cs="Arial"/>
          <w:sz w:val="22"/>
          <w:szCs w:val="22"/>
        </w:rPr>
      </w:pPr>
      <w:r w:rsidRPr="00AE0639">
        <w:rPr>
          <w:rFonts w:ascii="Geomanist Light" w:eastAsia="Arial" w:hAnsi="Geomanist Light" w:cs="Arial"/>
          <w:sz w:val="22"/>
          <w:szCs w:val="22"/>
        </w:rPr>
        <w:t xml:space="preserve">A su turno, los artículos 47 a 52 de la Ley 1437 de 2011 - CPACA consagran unas normas y garantías mínimas del procedimiento administrativo sancionatorio general, cuya aplicación es de carácter supletorio, tal y como se dispone en el primer artículo mencionado, cuyo texto relevante es el siguiente:  </w:t>
      </w:r>
    </w:p>
    <w:p w14:paraId="39384D0B" w14:textId="77777777" w:rsidR="00B75FA7" w:rsidRPr="00AE0639" w:rsidRDefault="00B75FA7" w:rsidP="00B75FA7">
      <w:pPr>
        <w:spacing w:line="276" w:lineRule="auto"/>
        <w:ind w:firstLine="709"/>
        <w:jc w:val="both"/>
        <w:rPr>
          <w:rFonts w:ascii="Geomanist Light" w:eastAsia="Arial" w:hAnsi="Geomanist Light" w:cs="Arial"/>
          <w:sz w:val="22"/>
          <w:szCs w:val="22"/>
        </w:rPr>
      </w:pPr>
    </w:p>
    <w:p w14:paraId="578C80AF" w14:textId="3FF075C3" w:rsidR="007A6207" w:rsidRPr="00AE0639" w:rsidRDefault="007A6207" w:rsidP="0067765B">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 xml:space="preserve">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w:t>
      </w:r>
    </w:p>
    <w:p w14:paraId="06E2A0B8" w14:textId="77777777" w:rsidR="00B75FA7" w:rsidRPr="00AE0639" w:rsidRDefault="00B75FA7" w:rsidP="0067765B">
      <w:pPr>
        <w:ind w:left="709" w:right="851"/>
        <w:jc w:val="both"/>
        <w:rPr>
          <w:rFonts w:ascii="Geomanist Light" w:eastAsia="Arial" w:hAnsi="Geomanist Light" w:cs="Arial"/>
          <w:sz w:val="21"/>
          <w:szCs w:val="21"/>
        </w:rPr>
      </w:pPr>
    </w:p>
    <w:p w14:paraId="4431A492" w14:textId="3F3C7561" w:rsidR="007A6207" w:rsidRPr="00AE0639" w:rsidRDefault="007A6207" w:rsidP="0067765B">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w:t>
      </w:r>
    </w:p>
    <w:p w14:paraId="0D6FEF78" w14:textId="77777777" w:rsidR="00B75FA7" w:rsidRPr="00AE0639" w:rsidRDefault="00B75FA7" w:rsidP="0067765B">
      <w:pPr>
        <w:ind w:left="709" w:right="851"/>
        <w:jc w:val="both"/>
        <w:rPr>
          <w:rFonts w:ascii="Geomanist Light" w:eastAsia="Arial" w:hAnsi="Geomanist Light" w:cs="Arial"/>
          <w:sz w:val="21"/>
          <w:szCs w:val="21"/>
        </w:rPr>
      </w:pPr>
    </w:p>
    <w:p w14:paraId="3F835D90" w14:textId="1A429148" w:rsidR="007A6207" w:rsidRPr="00AE0639" w:rsidRDefault="007A6207" w:rsidP="0067765B">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PARÁGRAFO 1. Las actuaciones administrativas contractuales sancionatorias, incluyendo los recursos, se regirán por lo dispuesto en las normas especiales sobre la materia.</w:t>
      </w:r>
    </w:p>
    <w:p w14:paraId="06CC43F6" w14:textId="77777777" w:rsidR="00B75FA7" w:rsidRPr="00AE0639" w:rsidRDefault="00B75FA7" w:rsidP="0067765B">
      <w:pPr>
        <w:ind w:left="709" w:right="851"/>
        <w:jc w:val="both"/>
        <w:rPr>
          <w:rFonts w:ascii="Geomanist Light" w:eastAsia="Arial" w:hAnsi="Geomanist Light" w:cs="Arial"/>
          <w:sz w:val="21"/>
          <w:szCs w:val="21"/>
        </w:rPr>
      </w:pPr>
    </w:p>
    <w:p w14:paraId="51F1AB1A" w14:textId="6557EECF" w:rsidR="007A6207" w:rsidRPr="00AE0639" w:rsidRDefault="007A6207" w:rsidP="0067765B">
      <w:pPr>
        <w:ind w:left="709" w:right="851"/>
        <w:jc w:val="both"/>
        <w:rPr>
          <w:rFonts w:ascii="Geomanist Light" w:eastAsia="Arial" w:hAnsi="Geomanist Light" w:cs="Arial"/>
          <w:sz w:val="21"/>
          <w:szCs w:val="21"/>
        </w:rPr>
      </w:pPr>
      <w:r w:rsidRPr="00AE0639">
        <w:rPr>
          <w:rFonts w:ascii="Geomanist Light" w:eastAsia="Arial" w:hAnsi="Geomanist Light" w:cs="Arial"/>
          <w:sz w:val="21"/>
          <w:szCs w:val="21"/>
        </w:rPr>
        <w:t>PARÁGRAFO 2. En los procedimientos administrativos sancionatorios fiscales el término para presentar descargos y solicitar o aportar pruebas será de cinco (5) días.</w:t>
      </w:r>
    </w:p>
    <w:p w14:paraId="79716F1C" w14:textId="77777777" w:rsidR="00B75FA7" w:rsidRPr="00AE0639" w:rsidRDefault="00B75FA7" w:rsidP="00B75FA7">
      <w:pPr>
        <w:spacing w:line="276" w:lineRule="auto"/>
        <w:ind w:left="709" w:right="709"/>
        <w:jc w:val="both"/>
        <w:rPr>
          <w:rFonts w:ascii="Geomanist Light" w:eastAsia="Arial" w:hAnsi="Geomanist Light" w:cs="Arial"/>
          <w:sz w:val="21"/>
          <w:szCs w:val="21"/>
        </w:rPr>
      </w:pPr>
    </w:p>
    <w:p w14:paraId="47091FB6" w14:textId="0FC0854D" w:rsidR="007A6207" w:rsidRPr="00AE0639" w:rsidRDefault="007A6207" w:rsidP="00AE0639">
      <w:pPr>
        <w:spacing w:after="120" w:line="276" w:lineRule="auto"/>
        <w:ind w:firstLine="709"/>
        <w:jc w:val="both"/>
        <w:rPr>
          <w:rFonts w:ascii="Geomanist Light" w:eastAsia="Arial" w:hAnsi="Geomanist Light" w:cs="Arial"/>
          <w:color w:val="000000"/>
          <w:sz w:val="22"/>
          <w:szCs w:val="22"/>
        </w:rPr>
      </w:pPr>
      <w:r w:rsidRPr="00AE0639">
        <w:rPr>
          <w:rFonts w:ascii="Geomanist Light" w:eastAsia="Arial" w:hAnsi="Geomanist Light" w:cs="Arial"/>
          <w:color w:val="000000"/>
          <w:sz w:val="22"/>
          <w:szCs w:val="22"/>
        </w:rPr>
        <w:t xml:space="preserve">Como puede verse, la norma somete la aplicación del procedimiento administrativo sancionatorio general del CPACA para asuntos que no estén regulados por normas especiales que rijan la materia, en armonía con el artículo 34 del mismo cuerpo normativo que dispone que las actuaciones administrativas se sujetarán al procedimiento administrativo común y principal que </w:t>
      </w:r>
      <w:r w:rsidRPr="00AE0639">
        <w:rPr>
          <w:rFonts w:ascii="Geomanist Light" w:eastAsia="Arial" w:hAnsi="Geomanist Light" w:cs="Arial"/>
          <w:color w:val="000000"/>
          <w:sz w:val="22"/>
          <w:szCs w:val="22"/>
        </w:rPr>
        <w:lastRenderedPageBreak/>
        <w:t>establece el CPACA, sin perjuicio de los procedimientos administrativos regulados por leyes especiales, consagrando la primacía de la aplicabilidad de las normas especiales en materia administrativa sancionatoria.</w:t>
      </w:r>
    </w:p>
    <w:p w14:paraId="441270F8" w14:textId="4AD47B19" w:rsidR="007A6207" w:rsidRPr="00AE0639" w:rsidRDefault="007A6207" w:rsidP="00AE0639">
      <w:pPr>
        <w:spacing w:after="120" w:line="276" w:lineRule="auto"/>
        <w:ind w:firstLine="709"/>
        <w:jc w:val="both"/>
        <w:rPr>
          <w:rFonts w:ascii="Geomanist Light" w:eastAsia="Arial" w:hAnsi="Geomanist Light" w:cs="Arial"/>
          <w:color w:val="000000"/>
          <w:sz w:val="22"/>
          <w:szCs w:val="22"/>
        </w:rPr>
      </w:pPr>
      <w:r w:rsidRPr="00AE0639">
        <w:rPr>
          <w:rFonts w:ascii="Geomanist Light" w:eastAsia="Arial" w:hAnsi="Geomanist Light" w:cs="Arial"/>
          <w:color w:val="000000"/>
          <w:sz w:val="22"/>
          <w:szCs w:val="22"/>
        </w:rPr>
        <w:t xml:space="preserve">Respecto a los procedimientos administrativos sancionatorios contractuales, el parágrafo 1 del artículo 47 del CPACA expresamente dispone que estos se rigen por </w:t>
      </w:r>
      <w:r w:rsidR="009D0A1F" w:rsidRPr="00AE0639">
        <w:rPr>
          <w:rFonts w:ascii="Geomanist Light" w:eastAsia="Arial" w:hAnsi="Geomanist Light" w:cs="Arial"/>
          <w:color w:val="000000"/>
          <w:sz w:val="22"/>
          <w:szCs w:val="22"/>
        </w:rPr>
        <w:t>las normas especiales</w:t>
      </w:r>
      <w:r w:rsidRPr="00AE0639">
        <w:rPr>
          <w:rFonts w:ascii="Geomanist Light" w:eastAsia="Arial" w:hAnsi="Geomanist Light" w:cs="Arial"/>
          <w:color w:val="000000"/>
          <w:sz w:val="22"/>
          <w:szCs w:val="22"/>
        </w:rPr>
        <w:t xml:space="preserve"> en la materia, incluido los recursos. Por tal razón, en principio la norma aplicable para ejercer las potestades sancionatorias contractuales es el artículo 86 de la Ley 1474 de 2011 que comporta un procedimiento especial, célere, eficaz y sumario, llevado a cabo en audiencia pública y que brinda las garantías mínimas al contratista para ejercer su derecho de defensa y contradicción, justificadas en el debido proceso, en los términos del artículo 17 de la Ley 1150 de 2007. </w:t>
      </w:r>
    </w:p>
    <w:p w14:paraId="1284AA7F" w14:textId="4E229B1C" w:rsidR="007A6207" w:rsidRPr="00AE0639" w:rsidRDefault="007A6207" w:rsidP="00AE0639">
      <w:pPr>
        <w:spacing w:after="120" w:line="276" w:lineRule="auto"/>
        <w:ind w:firstLine="709"/>
        <w:jc w:val="both"/>
        <w:rPr>
          <w:rFonts w:ascii="Geomanist Light" w:eastAsia="Arial" w:hAnsi="Geomanist Light" w:cs="Arial"/>
          <w:color w:val="000000"/>
          <w:sz w:val="22"/>
          <w:szCs w:val="22"/>
        </w:rPr>
      </w:pPr>
      <w:r w:rsidRPr="00AE0639">
        <w:rPr>
          <w:rFonts w:ascii="Geomanist Light" w:eastAsia="Arial" w:hAnsi="Geomanist Light" w:cs="Arial"/>
          <w:color w:val="000000"/>
          <w:sz w:val="22"/>
          <w:szCs w:val="22"/>
        </w:rPr>
        <w:t>Sin perjuicio de lo anterior, puede considerarse que, dado el carácter supletivo del procedimiento administrativo sancionatorio del CPACA, las reglas de este procedimiento pueden complementar los aspectos no previstos en las normas especiales que rigen el procedimiento administrativo sancionatorio contractual. La anterior conclusión se sustenta en lo siguiente: i) el primer inciso del artículo 77 de la Ley 80 de 1993 establece una remisión a las normas del CPACA que rigen los procedimientos administrativos, en lo que sea compatible con el Estatuto General de Contratación de la Administración Pública y ii) los artículos 2 y 47 (inciso 1) del CPACA, consagran el principio de subsidiariedad, en virtud del cual las normas de la primera parte del código se deben aplicar en aquellos casos en los cuales haya vacío en las normas especiales.</w:t>
      </w:r>
    </w:p>
    <w:p w14:paraId="068D79CC" w14:textId="0295D448" w:rsidR="007A6207" w:rsidRPr="00AE0639" w:rsidRDefault="007A6207" w:rsidP="00AE0639">
      <w:pPr>
        <w:spacing w:after="120" w:line="276" w:lineRule="auto"/>
        <w:ind w:firstLine="709"/>
        <w:jc w:val="both"/>
        <w:rPr>
          <w:rFonts w:ascii="Geomanist Light" w:eastAsia="Arial" w:hAnsi="Geomanist Light" w:cs="Arial"/>
          <w:color w:val="000000"/>
          <w:sz w:val="22"/>
          <w:szCs w:val="22"/>
        </w:rPr>
      </w:pPr>
      <w:r w:rsidRPr="00AE0639">
        <w:rPr>
          <w:rFonts w:ascii="Geomanist Light" w:eastAsia="Arial" w:hAnsi="Geomanist Light" w:cs="Arial"/>
          <w:color w:val="000000"/>
          <w:sz w:val="22"/>
          <w:szCs w:val="22"/>
        </w:rPr>
        <w:t>Definido lo anterior se observa que el artículo 52 del CPACA es la norma que consagra la caducidad de la facultad que tienen las autoridades administrativas para imponer sanciones, que opera luego de transcurridos tres (3) años de ocurrido el hecho, la conducta u omisión que pudiere ocasionarlas, plazo dentro del cual el acto administrativo sancionatorio debe quedar expedido y notificado. Además, estableció de manera independiente y autónoma el término de un (1) año para resolver los recursos procedentes contra el acto sancionatorio, contado a partir de la interposición de los mismos, so pena de la pérdida de competencia. Finalmente, dispuso que si los recursos no se deciden en el término fijado, se entenderán resueltos a favor del recurrente.</w:t>
      </w:r>
    </w:p>
    <w:p w14:paraId="4634BB20" w14:textId="42CA19DA" w:rsidR="00F1545F" w:rsidRPr="00AE0639" w:rsidRDefault="007A6207" w:rsidP="00AE0639">
      <w:pPr>
        <w:spacing w:after="120" w:line="276" w:lineRule="auto"/>
        <w:ind w:firstLine="709"/>
        <w:jc w:val="both"/>
        <w:rPr>
          <w:rFonts w:ascii="Geomanist Light" w:eastAsia="Arial" w:hAnsi="Geomanist Light" w:cs="Arial"/>
          <w:color w:val="000000"/>
          <w:sz w:val="22"/>
          <w:szCs w:val="22"/>
        </w:rPr>
      </w:pPr>
      <w:r w:rsidRPr="00AE0639">
        <w:rPr>
          <w:rFonts w:ascii="Geomanist Light" w:eastAsia="Arial" w:hAnsi="Geomanist Light" w:cs="Arial"/>
          <w:color w:val="000000"/>
          <w:sz w:val="22"/>
          <w:szCs w:val="22"/>
        </w:rPr>
        <w:t xml:space="preserve">Ahora bien, en vista de que el artículo 86 de la Ley 1474 de 2011 no reguló este asunto de manera especial, resultaría posible aplicar el artículo 52 del CPACA, si las circunstancias de un caso concreto lo ameritan, porque no contradice la norma especial, sino que la complementa.  Lo anterior aun cuando el artículo 86 de la Ley 1474 establece que el recurso de reposición debe resolverse en la misma audiencia; pero no regula la consecuencia de lo que ocurriría si la entidad </w:t>
      </w:r>
      <w:r w:rsidRPr="00AE0639">
        <w:rPr>
          <w:rFonts w:ascii="Geomanist Light" w:eastAsia="Arial" w:hAnsi="Geomanist Light" w:cs="Arial"/>
          <w:color w:val="000000"/>
          <w:sz w:val="22"/>
          <w:szCs w:val="22"/>
        </w:rPr>
        <w:lastRenderedPageBreak/>
        <w:t xml:space="preserve">contratante no lo resuelve en esa oportunidad, situación irregular que entraría a suplirse con lo dispuesto en la norma del procedimiento sancionatorio general. </w:t>
      </w:r>
    </w:p>
    <w:p w14:paraId="3320D7C0" w14:textId="556152EF" w:rsidR="00877B96" w:rsidRPr="00AE0639" w:rsidRDefault="007A6207" w:rsidP="00B75FA7">
      <w:pPr>
        <w:pStyle w:val="NormalWeb"/>
        <w:spacing w:after="0" w:line="276" w:lineRule="auto"/>
        <w:ind w:firstLine="708"/>
        <w:jc w:val="both"/>
        <w:rPr>
          <w:rFonts w:ascii="Geomanist Light" w:eastAsia="Arial" w:hAnsi="Geomanist Light" w:cs="Arial"/>
          <w:color w:val="000000"/>
          <w:sz w:val="22"/>
          <w:szCs w:val="22"/>
        </w:rPr>
      </w:pPr>
      <w:r w:rsidRPr="00AE0639">
        <w:rPr>
          <w:rFonts w:ascii="Geomanist Light" w:eastAsia="Arial" w:hAnsi="Geomanist Light" w:cs="Arial"/>
          <w:color w:val="000000"/>
          <w:sz w:val="22"/>
          <w:szCs w:val="22"/>
        </w:rPr>
        <w:t xml:space="preserve">La anterior interpretación guarda armonía con lo establecido en el artículo 17 de la Ley 1150 de 2007, frente al respeto por el debido proceso en las actuaciones administrativas sancionatorias. En efecto, por virtud de este derecho fundamental y de los principios de eficacia, eficiencia y legalidad de las actuaciones administrativas, aplicables a la contratación estatal, conforme al artículo 23 de la Ley 80 de 1993, no podrían aceptarse dilaciones injustificadas e inobservancia de las formas propias del procedimiento sancionatorio contractual, reglas que no permiten dejar sin definición la situación jurídica del contratista que ha sido vinculado a un procedimiento para ser sujeto pasivo de la potestad sancionatoria del Estado. </w:t>
      </w:r>
    </w:p>
    <w:p w14:paraId="11B774D1" w14:textId="77777777" w:rsidR="00B234A8" w:rsidRPr="00AE0639" w:rsidRDefault="00B234A8" w:rsidP="00B75FA7">
      <w:pPr>
        <w:pStyle w:val="NormalWeb"/>
        <w:spacing w:after="0" w:line="276" w:lineRule="auto"/>
        <w:ind w:firstLine="708"/>
        <w:jc w:val="both"/>
        <w:rPr>
          <w:rFonts w:ascii="Geomanist Light" w:eastAsia="Calibri" w:hAnsi="Geomanist Light" w:cs="Arial"/>
          <w:bCs/>
          <w:color w:val="000000" w:themeColor="text1"/>
          <w:sz w:val="22"/>
          <w:szCs w:val="22"/>
        </w:rPr>
      </w:pPr>
    </w:p>
    <w:p w14:paraId="507B4DDE" w14:textId="1AF9256B" w:rsidR="0054230D" w:rsidRPr="00AE0639" w:rsidRDefault="0054230D" w:rsidP="00B75FA7">
      <w:pPr>
        <w:pStyle w:val="Sinespaciado"/>
        <w:tabs>
          <w:tab w:val="left" w:pos="426"/>
        </w:tabs>
        <w:spacing w:line="276" w:lineRule="auto"/>
        <w:jc w:val="both"/>
        <w:rPr>
          <w:rFonts w:ascii="Geomanist Light" w:hAnsi="Geomanist Light" w:cs="Arial"/>
          <w:b/>
          <w:bCs/>
          <w:sz w:val="22"/>
        </w:rPr>
      </w:pPr>
      <w:r w:rsidRPr="00AE0639">
        <w:rPr>
          <w:rFonts w:ascii="Geomanist Light" w:hAnsi="Geomanist Light" w:cs="Arial"/>
          <w:b/>
          <w:bCs/>
          <w:sz w:val="22"/>
        </w:rPr>
        <w:t>2.</w:t>
      </w:r>
      <w:r w:rsidR="00545032">
        <w:rPr>
          <w:rFonts w:ascii="Geomanist Light" w:hAnsi="Geomanist Light" w:cs="Arial"/>
          <w:b/>
          <w:bCs/>
          <w:sz w:val="22"/>
        </w:rPr>
        <w:t>3</w:t>
      </w:r>
      <w:r w:rsidR="00F1545F" w:rsidRPr="00AE0639">
        <w:rPr>
          <w:rFonts w:ascii="Geomanist Light" w:hAnsi="Geomanist Light" w:cs="Arial"/>
          <w:b/>
          <w:bCs/>
          <w:sz w:val="22"/>
        </w:rPr>
        <w:t xml:space="preserve">. </w:t>
      </w:r>
      <w:r w:rsidRPr="00AE0639">
        <w:rPr>
          <w:rFonts w:ascii="Geomanist Light" w:hAnsi="Geomanist Light" w:cs="Arial"/>
          <w:b/>
          <w:bCs/>
          <w:sz w:val="22"/>
        </w:rPr>
        <w:t>Contratos del artículo 355 de la Constitución Política y los convenios de asociación del artículo 96 de la Ley 489 de 1998</w:t>
      </w:r>
      <w:r w:rsidR="00545032">
        <w:rPr>
          <w:rFonts w:ascii="Geomanist Light" w:hAnsi="Geomanist Light" w:cs="Arial"/>
          <w:b/>
          <w:bCs/>
          <w:sz w:val="22"/>
        </w:rPr>
        <w:t>. Decreto 092 de 2017 y régimen aplicable</w:t>
      </w:r>
      <w:r w:rsidR="007D0A2A">
        <w:rPr>
          <w:rFonts w:ascii="Geomanist Light" w:hAnsi="Geomanist Light" w:cs="Arial"/>
          <w:b/>
          <w:bCs/>
          <w:sz w:val="22"/>
        </w:rPr>
        <w:t xml:space="preserve"> a la declaratoria de incumplimiento.</w:t>
      </w:r>
    </w:p>
    <w:p w14:paraId="69637C21" w14:textId="77777777" w:rsidR="00B234A8" w:rsidRPr="00AE0639" w:rsidRDefault="00B234A8" w:rsidP="00B75FA7">
      <w:pPr>
        <w:pStyle w:val="Sinespaciado"/>
        <w:tabs>
          <w:tab w:val="left" w:pos="426"/>
        </w:tabs>
        <w:spacing w:line="276" w:lineRule="auto"/>
        <w:jc w:val="both"/>
        <w:rPr>
          <w:rFonts w:ascii="Geomanist Light" w:hAnsi="Geomanist Light" w:cs="Arial"/>
          <w:b/>
          <w:bCs/>
          <w:i/>
          <w:iCs/>
          <w:sz w:val="22"/>
        </w:rPr>
      </w:pPr>
    </w:p>
    <w:p w14:paraId="01E84676" w14:textId="289DF354" w:rsidR="0054230D" w:rsidRPr="00AE0639" w:rsidRDefault="0054230D" w:rsidP="00AE0639">
      <w:pPr>
        <w:pStyle w:val="Sinespaciado"/>
        <w:spacing w:after="120" w:line="276" w:lineRule="auto"/>
        <w:jc w:val="both"/>
        <w:rPr>
          <w:rFonts w:ascii="Geomanist Light" w:hAnsi="Geomanist Light" w:cs="Arial"/>
          <w:sz w:val="22"/>
        </w:rPr>
      </w:pPr>
      <w:r w:rsidRPr="00AE0639">
        <w:rPr>
          <w:rFonts w:ascii="Geomanist Light" w:hAnsi="Geomanist Light" w:cs="Arial"/>
          <w:sz w:val="22"/>
        </w:rPr>
        <w:t>El artículo 355 de la Constitución Política prohíbe a las ramas y órganos del poder público decretar auxilios o donaciones en favor de personas naturales o jurídicas de derecho privado.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AE0639">
        <w:rPr>
          <w:rStyle w:val="Refdenotaalpie"/>
          <w:rFonts w:ascii="Geomanist Light" w:hAnsi="Geomanist Light" w:cs="Arial"/>
          <w:sz w:val="22"/>
        </w:rPr>
        <w:footnoteReference w:id="1"/>
      </w:r>
      <w:r w:rsidRPr="00AE0639">
        <w:rPr>
          <w:rFonts w:ascii="Geomanist Light" w:hAnsi="Geomanist Light" w:cs="Arial"/>
          <w:sz w:val="22"/>
        </w:rPr>
        <w:t>.</w:t>
      </w:r>
    </w:p>
    <w:p w14:paraId="46E3D297" w14:textId="04385434" w:rsidR="0054230D" w:rsidRPr="00AE0639" w:rsidRDefault="0054230D" w:rsidP="00AE0639">
      <w:pPr>
        <w:spacing w:after="120" w:line="276" w:lineRule="auto"/>
        <w:ind w:firstLine="708"/>
        <w:jc w:val="both"/>
        <w:rPr>
          <w:rFonts w:ascii="Geomanist Light" w:eastAsia="Calibri" w:hAnsi="Geomanist Light" w:cs="Arial"/>
          <w:sz w:val="22"/>
        </w:rPr>
      </w:pPr>
      <w:r w:rsidRPr="00AE0639">
        <w:rPr>
          <w:rFonts w:ascii="Geomanist Light" w:eastAsia="Calibri" w:hAnsi="Geomanist Light"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AE0639">
        <w:rPr>
          <w:rStyle w:val="Refdenotaalpie"/>
          <w:rFonts w:ascii="Geomanist Light" w:eastAsia="Calibri" w:hAnsi="Geomanist Light" w:cs="Arial"/>
          <w:sz w:val="22"/>
        </w:rPr>
        <w:footnoteReference w:id="2"/>
      </w:r>
      <w:r w:rsidRPr="00AE0639">
        <w:rPr>
          <w:rFonts w:ascii="Geomanist Light" w:eastAsia="Calibri" w:hAnsi="Geomanist Light" w:cs="Arial"/>
          <w:sz w:val="22"/>
        </w:rPr>
        <w:t>.</w:t>
      </w:r>
    </w:p>
    <w:p w14:paraId="2D12CDC4" w14:textId="101C8F33" w:rsidR="0054230D" w:rsidRPr="00AE0639" w:rsidRDefault="0054230D" w:rsidP="00AE0639">
      <w:pPr>
        <w:spacing w:after="120" w:line="276" w:lineRule="auto"/>
        <w:ind w:firstLine="708"/>
        <w:jc w:val="both"/>
        <w:rPr>
          <w:rFonts w:ascii="Geomanist Light" w:eastAsia="Calibri" w:hAnsi="Geomanist Light" w:cs="Arial"/>
          <w:sz w:val="22"/>
        </w:rPr>
      </w:pPr>
      <w:r w:rsidRPr="00AE0639">
        <w:rPr>
          <w:rFonts w:ascii="Geomanist Light" w:hAnsi="Geomanist Light" w:cs="Arial"/>
          <w:sz w:val="22"/>
        </w:rPr>
        <w:lastRenderedPageBreak/>
        <w:t>El Gobierno nacional, en desarrollo del artículo 355 de la Constitución, expidió el Decreto 092 de 2017, q</w:t>
      </w:r>
      <w:r w:rsidRPr="00AE0639">
        <w:rPr>
          <w:rFonts w:ascii="Geomanist Light" w:eastAsia="Calibri" w:hAnsi="Geomanist Light" w:cs="Arial"/>
          <w:sz w:val="22"/>
        </w:rPr>
        <w:t xml:space="preserve">ue dispone las reglas para las contrataciones que realicen las entidades estatales con las ESAL. El Decreto 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w:t>
      </w:r>
      <w:r w:rsidRPr="00AE0639">
        <w:rPr>
          <w:rFonts w:ascii="Geomanist Light" w:eastAsia="Calibri" w:hAnsi="Geomanist Light" w:cs="Arial"/>
          <w:i/>
          <w:iCs/>
          <w:sz w:val="22"/>
        </w:rPr>
        <w:t>ibidem</w:t>
      </w:r>
      <w:r w:rsidRPr="00AE0639">
        <w:rPr>
          <w:rFonts w:ascii="Geomanist Light" w:eastAsia="Calibri" w:hAnsi="Geomanist Light" w:cs="Arial"/>
          <w:sz w:val="22"/>
        </w:rPr>
        <w:t xml:space="preserve">. </w:t>
      </w:r>
    </w:p>
    <w:p w14:paraId="456C99B1" w14:textId="667CE275" w:rsidR="0054230D" w:rsidRPr="00AE0639" w:rsidRDefault="0054230D" w:rsidP="00AE0639">
      <w:pPr>
        <w:spacing w:after="120" w:line="276" w:lineRule="auto"/>
        <w:ind w:firstLine="708"/>
        <w:jc w:val="both"/>
        <w:rPr>
          <w:rFonts w:ascii="Geomanist Light" w:eastAsia="Calibri" w:hAnsi="Geomanist Light" w:cs="Arial"/>
          <w:sz w:val="22"/>
        </w:rPr>
      </w:pPr>
      <w:r w:rsidRPr="00AE0639">
        <w:rPr>
          <w:rFonts w:ascii="Geomanist Light" w:eastAsia="Calibri" w:hAnsi="Geomanist Light" w:cs="Arial"/>
          <w:sz w:val="22"/>
        </w:rPr>
        <w:t xml:space="preserve">Los </w:t>
      </w:r>
      <w:r w:rsidRPr="00AE0639">
        <w:rPr>
          <w:rFonts w:ascii="Geomanist Light" w:eastAsia="Calibri" w:hAnsi="Geomanist Light" w:cs="Arial"/>
          <w:i/>
          <w:iCs/>
          <w:sz w:val="22"/>
        </w:rPr>
        <w:t xml:space="preserve">contratos de colaboración </w:t>
      </w:r>
      <w:r w:rsidRPr="00AE0639">
        <w:rPr>
          <w:rFonts w:ascii="Geomanist Light" w:eastAsia="Calibri" w:hAnsi="Geomanist Light"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Esto toda vez que el beneficio real y directo lo reciben, en últimas, los terceros beneficiarios de este tipo de acciones de fomento. Para celebrar estos contratos, según el artículo 4 del Decreto 092 de 2017, la entidad debe adelantar –por regla general– un proceso competitivo para seleccionar la entidad contratista sin ánimo de lucro. </w:t>
      </w:r>
    </w:p>
    <w:p w14:paraId="7250EBB2" w14:textId="430B2158" w:rsidR="0054230D" w:rsidRPr="00AE0639" w:rsidRDefault="0054230D" w:rsidP="00AE0639">
      <w:pPr>
        <w:spacing w:after="120" w:line="276" w:lineRule="auto"/>
        <w:ind w:firstLine="708"/>
        <w:jc w:val="both"/>
        <w:rPr>
          <w:rFonts w:ascii="Geomanist Light" w:eastAsia="Calibri" w:hAnsi="Geomanist Light" w:cs="Arial"/>
          <w:sz w:val="22"/>
        </w:rPr>
      </w:pPr>
      <w:r w:rsidRPr="00AE0639">
        <w:rPr>
          <w:rFonts w:ascii="Geomanist Light" w:eastAsia="Calibri" w:hAnsi="Geomanist Light" w:cs="Arial"/>
          <w:sz w:val="22"/>
        </w:rPr>
        <w:t>En particular, debe verificar el cumplimiento de los siguientes requisitos. Por un lado,  que el objeto del contrato corresponda a programas y actividades de interés público acordes con el Plan Nacional o Seccional de Desarrollo. Por otra parte, que no exista una contraprestación directa a favor de la entidad estatal, es decir, que el programa o actividad a desarrollar esté dirigido al beneficio de la población en general. Lo anterior teniendo en cuenta que cuando se adquieren bienes o servicios o se ejecutan obras en una relación conmutativa, las normas aplicables son las del 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p>
    <w:p w14:paraId="256F080C" w14:textId="4D83A8AD" w:rsidR="0054230D" w:rsidRPr="00AE0639" w:rsidRDefault="0054230D" w:rsidP="00AE0639">
      <w:pPr>
        <w:pStyle w:val="Sinespaciado"/>
        <w:spacing w:after="120" w:line="276" w:lineRule="auto"/>
        <w:ind w:firstLine="708"/>
        <w:jc w:val="both"/>
        <w:rPr>
          <w:rFonts w:ascii="Geomanist Light" w:hAnsi="Geomanist Light" w:cs="Arial"/>
          <w:sz w:val="22"/>
        </w:rPr>
      </w:pPr>
      <w:r w:rsidRPr="00AE0639">
        <w:rPr>
          <w:rFonts w:ascii="Geomanist Light" w:hAnsi="Geomanist Light" w:cs="Arial"/>
          <w:sz w:val="22"/>
        </w:rPr>
        <w:t xml:space="preserve">De otro lado, los </w:t>
      </w:r>
      <w:r w:rsidRPr="00AE0639">
        <w:rPr>
          <w:rFonts w:ascii="Geomanist Light" w:hAnsi="Geomanist Light" w:cs="Arial"/>
          <w:i/>
          <w:iCs/>
          <w:sz w:val="22"/>
        </w:rPr>
        <w:t>convenios de asociación</w:t>
      </w:r>
      <w:r w:rsidRPr="00AE0639">
        <w:rPr>
          <w:rFonts w:ascii="Geomanist Light" w:hAnsi="Geomanist Light" w:cs="Arial"/>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AE0639">
        <w:rPr>
          <w:rStyle w:val="Refdenotaalpie"/>
          <w:rFonts w:ascii="Geomanist Light" w:hAnsi="Geomanist Light" w:cs="Arial"/>
          <w:sz w:val="22"/>
        </w:rPr>
        <w:footnoteReference w:id="3"/>
      </w:r>
      <w:r w:rsidRPr="00AE0639">
        <w:rPr>
          <w:rFonts w:ascii="Geomanist Light" w:hAnsi="Geomanist Light" w:cs="Arial"/>
          <w:sz w:val="22"/>
        </w:rPr>
        <w:t xml:space="preserve">. </w:t>
      </w:r>
    </w:p>
    <w:p w14:paraId="2F947BEB" w14:textId="244F61D9" w:rsidR="0054230D" w:rsidRPr="00AE0639" w:rsidRDefault="0054230D" w:rsidP="00AE0639">
      <w:pPr>
        <w:pStyle w:val="Sinespaciado"/>
        <w:spacing w:after="120" w:line="276" w:lineRule="auto"/>
        <w:ind w:firstLine="708"/>
        <w:jc w:val="both"/>
        <w:rPr>
          <w:rFonts w:ascii="Geomanist Light" w:hAnsi="Geomanist Light" w:cs="Arial"/>
          <w:sz w:val="22"/>
        </w:rPr>
      </w:pPr>
      <w:r w:rsidRPr="00AE0639">
        <w:rPr>
          <w:rFonts w:ascii="Geomanist Light" w:hAnsi="Geomanist Light" w:cs="Arial"/>
          <w:sz w:val="22"/>
        </w:rPr>
        <w:lastRenderedPageBreak/>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44A58422" w14:textId="77777777" w:rsidR="00B234A8" w:rsidRPr="00AE0639" w:rsidRDefault="0054230D" w:rsidP="00AE0639">
      <w:pPr>
        <w:pStyle w:val="Sinespaciado"/>
        <w:spacing w:after="120" w:line="276" w:lineRule="auto"/>
        <w:ind w:firstLine="708"/>
        <w:jc w:val="both"/>
        <w:rPr>
          <w:rFonts w:ascii="Geomanist Light" w:hAnsi="Geomanist Light" w:cs="Arial"/>
          <w:sz w:val="22"/>
        </w:rPr>
      </w:pPr>
      <w:r w:rsidRPr="00AE0639">
        <w:rPr>
          <w:rFonts w:ascii="Geomanist Light" w:hAnsi="Geomanist Light" w:cs="Arial"/>
          <w:sz w:val="22"/>
        </w:rPr>
        <w:t>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en porcentajes inferiores o superiores al 30%, o en especie, los cuales deben servir al desarrollo de los objetivos comunes de la asociación.</w:t>
      </w:r>
    </w:p>
    <w:p w14:paraId="5A63EC98" w14:textId="631D4A0B" w:rsidR="0054230D" w:rsidRPr="00AE0639" w:rsidRDefault="0054230D" w:rsidP="00AE0639">
      <w:pPr>
        <w:pStyle w:val="Sinespaciado"/>
        <w:spacing w:after="120" w:line="276" w:lineRule="auto"/>
        <w:ind w:firstLine="708"/>
        <w:jc w:val="both"/>
        <w:rPr>
          <w:rFonts w:ascii="Geomanist Light" w:eastAsia="Calibri" w:hAnsi="Geomanist Light" w:cs="Arial"/>
          <w:sz w:val="22"/>
        </w:rPr>
      </w:pPr>
      <w:r w:rsidRPr="00AE0639">
        <w:rPr>
          <w:rFonts w:ascii="Geomanist Light" w:hAnsi="Geomanist Light" w:cs="Arial"/>
          <w:sz w:val="22"/>
        </w:rPr>
        <w:t xml:space="preserve"> </w:t>
      </w:r>
      <w:r w:rsidRPr="00AE0639">
        <w:rPr>
          <w:rFonts w:ascii="Geomanist Light" w:eastAsia="Calibri" w:hAnsi="Geomanist Light" w:cs="Arial"/>
          <w:sz w:val="22"/>
        </w:rPr>
        <w:t>Atendiendo a que los convenios de asociación «no estarán sujetos a competencia cuando la entidad sin ánimo de lucro comprometa recursos en dinero para la ejecución de esas actividades en una proporción no inferior al 30% del valor total del convenio», la entidad debe asegurarse de que su contratista, es decir, una o varias ESAL, aporten al menos el treinta por ciento del valor del convenio para celebrarlo directamente. Además, conforme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AE0639">
        <w:rPr>
          <w:rStyle w:val="Refdenotaalpie"/>
          <w:rFonts w:ascii="Geomanist Light" w:eastAsia="Calibri" w:hAnsi="Geomanist Light" w:cs="Arial"/>
          <w:sz w:val="22"/>
        </w:rPr>
        <w:footnoteReference w:id="4"/>
      </w:r>
      <w:r w:rsidRPr="00AE0639">
        <w:rPr>
          <w:rFonts w:ascii="Geomanist Light" w:eastAsia="Calibri" w:hAnsi="Geomanist Light" w:cs="Arial"/>
          <w:sz w:val="22"/>
        </w:rPr>
        <w:t>.</w:t>
      </w:r>
    </w:p>
    <w:p w14:paraId="46786932" w14:textId="6EDCAF63" w:rsidR="0054230D" w:rsidRPr="00AE0639" w:rsidRDefault="0054230D" w:rsidP="00AE0639">
      <w:pPr>
        <w:spacing w:after="120" w:line="276" w:lineRule="auto"/>
        <w:ind w:firstLine="708"/>
        <w:jc w:val="both"/>
        <w:rPr>
          <w:rFonts w:ascii="Geomanist Light" w:hAnsi="Geomanist Light" w:cs="Arial"/>
          <w:sz w:val="22"/>
        </w:rPr>
      </w:pPr>
      <w:r w:rsidRPr="00AE0639">
        <w:rPr>
          <w:rFonts w:ascii="Geomanist Light" w:hAnsi="Geomanist Light" w:cs="Arial"/>
          <w:sz w:val="22"/>
        </w:rPr>
        <w:t xml:space="preserve">La noción «seleccionar de forma objetiva», contenida en la disposición </w:t>
      </w:r>
      <w:r w:rsidRPr="00AE0639">
        <w:rPr>
          <w:rFonts w:ascii="Geomanist Light" w:hAnsi="Geomanist Light" w:cs="Arial"/>
          <w:i/>
          <w:iCs/>
          <w:sz w:val="22"/>
        </w:rPr>
        <w:t xml:space="preserve">sub examine </w:t>
      </w:r>
      <w:r w:rsidRPr="00AE0639">
        <w:rPr>
          <w:rFonts w:ascii="Geomanist Light" w:hAnsi="Geomanist Light" w:cs="Arial"/>
          <w:sz w:val="22"/>
        </w:rPr>
        <w:t>no puede entenderse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Sin perjuicio de lo anterior, la entidad puede acudir a los procesos de selección de contratistas que establece el EGCAP o, incluso, al trámite que regula el inciso 2 del artículo 2 del Decreto 092 de 2017.</w:t>
      </w:r>
    </w:p>
    <w:p w14:paraId="1468852C" w14:textId="1DC2FB83" w:rsidR="0054230D" w:rsidRPr="00AE0639" w:rsidRDefault="0054230D" w:rsidP="00AE0639">
      <w:pPr>
        <w:spacing w:after="120" w:line="276" w:lineRule="auto"/>
        <w:ind w:firstLine="709"/>
        <w:jc w:val="both"/>
        <w:rPr>
          <w:rFonts w:ascii="Geomanist Light" w:hAnsi="Geomanist Light" w:cs="Arial"/>
          <w:sz w:val="22"/>
        </w:rPr>
      </w:pPr>
      <w:r w:rsidRPr="00AE0639">
        <w:rPr>
          <w:rFonts w:ascii="Geomanist Light" w:hAnsi="Geomanist Light" w:cs="Arial"/>
          <w:sz w:val="22"/>
        </w:rPr>
        <w:t xml:space="preserve">Por tanto, las entidades estatales son autónomas en la configuración del proceso competitivo en desarrollo del artículo 5 del Decreto 092 de 2017. En todo caso, el procedimiento </w:t>
      </w:r>
      <w:r w:rsidRPr="00AE0639">
        <w:rPr>
          <w:rFonts w:ascii="Geomanist Light" w:hAnsi="Geomanist Light" w:cs="Arial"/>
          <w:sz w:val="22"/>
        </w:rPr>
        <w:lastRenderedPageBreak/>
        <w:t>que definan las entidades estatales para sus convenios de asociación debe garantizar la libre concurrencia y la pluralidad de interesados y la comparación objetiva de las ofertas. Esto permite que la selección sea análoga a otros procedimientos donde existe competencia, como la licitación pública.</w:t>
      </w:r>
    </w:p>
    <w:p w14:paraId="30A33D6A" w14:textId="1EB2ECA8" w:rsidR="006D731B" w:rsidRDefault="0054230D" w:rsidP="00AE0639">
      <w:pPr>
        <w:spacing w:after="120" w:line="276" w:lineRule="auto"/>
        <w:ind w:firstLine="709"/>
        <w:jc w:val="both"/>
        <w:rPr>
          <w:rFonts w:ascii="Geomanist Light" w:eastAsia="Calibri" w:hAnsi="Geomanist Light" w:cs="Arial"/>
          <w:sz w:val="22"/>
        </w:rPr>
      </w:pPr>
      <w:r w:rsidRPr="00AE0639">
        <w:rPr>
          <w:rFonts w:ascii="Geomanist Light" w:eastAsia="Calibri" w:hAnsi="Geomanist Light" w:cs="Arial"/>
          <w:sz w:val="22"/>
        </w:rPr>
        <w:t>En cuanto al régimen jurídico aplicable a los convenios de asociación, a pesar de estar regulados de forma prevalente por el Decreto 092 de 2017, no se encuentran excluidos de la aplicación de las Leyes 80 de 1993, 1150 de 2007 y 1474 de 2011. Esto dado que el artículo 8 del Decreto 092 de 2017 dispone que también está sujeto a normas generales de la contratación pública, salvo lo expresamente regulado por el este reglamento</w:t>
      </w:r>
      <w:r w:rsidRPr="00AE0639">
        <w:rPr>
          <w:rStyle w:val="Refdenotaalpie"/>
          <w:rFonts w:ascii="Geomanist Light" w:eastAsia="Calibri" w:hAnsi="Geomanist Light" w:cs="Arial"/>
          <w:sz w:val="22"/>
        </w:rPr>
        <w:footnoteReference w:id="5"/>
      </w:r>
      <w:r w:rsidRPr="00AE0639">
        <w:rPr>
          <w:rFonts w:ascii="Geomanist Light" w:eastAsia="Calibri" w:hAnsi="Geomanist Light" w:cs="Arial"/>
          <w:sz w:val="22"/>
        </w:rPr>
        <w:t xml:space="preserve">. En concordancia con </w:t>
      </w:r>
      <w:r w:rsidR="006D731B">
        <w:rPr>
          <w:rFonts w:ascii="Geomanist Light" w:eastAsia="Calibri" w:hAnsi="Geomanist Light" w:cs="Arial"/>
          <w:sz w:val="22"/>
        </w:rPr>
        <w:t>esto</w:t>
      </w:r>
      <w:r w:rsidRPr="00AE0639">
        <w:rPr>
          <w:rFonts w:ascii="Geomanist Light" w:eastAsia="Calibri" w:hAnsi="Geomanist Light" w:cs="Arial"/>
          <w:sz w:val="22"/>
        </w:rPr>
        <w:t>, el artículo 7 consagra la aplicación de los principios de la contratación y normas presupuestales</w:t>
      </w:r>
      <w:r w:rsidRPr="00AE0639">
        <w:rPr>
          <w:rStyle w:val="Refdenotaalpie"/>
          <w:rFonts w:ascii="Geomanist Light" w:eastAsia="Calibri" w:hAnsi="Geomanist Light" w:cs="Arial"/>
          <w:sz w:val="22"/>
        </w:rPr>
        <w:footnoteReference w:id="6"/>
      </w:r>
      <w:r w:rsidRPr="00AE0639">
        <w:rPr>
          <w:rFonts w:ascii="Geomanist Light" w:eastAsia="Calibri" w:hAnsi="Geomanist Light" w:cs="Arial"/>
          <w:sz w:val="22"/>
        </w:rPr>
        <w:t>.</w:t>
      </w:r>
      <w:r w:rsidR="0034658D" w:rsidRPr="00AE0639">
        <w:rPr>
          <w:rFonts w:ascii="Geomanist Light" w:eastAsia="Calibri" w:hAnsi="Geomanist Light" w:cs="Arial"/>
          <w:sz w:val="22"/>
        </w:rPr>
        <w:t xml:space="preserve"> </w:t>
      </w:r>
    </w:p>
    <w:p w14:paraId="776D4233" w14:textId="255E7109" w:rsidR="0054230D" w:rsidRDefault="006D731B" w:rsidP="00AE0639">
      <w:pPr>
        <w:spacing w:after="120" w:line="276" w:lineRule="auto"/>
        <w:ind w:firstLine="709"/>
        <w:jc w:val="both"/>
        <w:rPr>
          <w:rFonts w:ascii="Geomanist Light" w:eastAsia="Calibri" w:hAnsi="Geomanist Light" w:cs="Arial"/>
          <w:sz w:val="22"/>
        </w:rPr>
      </w:pPr>
      <w:r>
        <w:rPr>
          <w:rFonts w:ascii="Geomanist Light" w:eastAsia="Calibri" w:hAnsi="Geomanist Light" w:cs="Arial"/>
          <w:sz w:val="22"/>
        </w:rPr>
        <w:t>De acuerdo con lo anterior</w:t>
      </w:r>
      <w:r w:rsidR="0054230D" w:rsidRPr="00AE0639">
        <w:rPr>
          <w:rFonts w:ascii="Geomanist Light" w:eastAsia="Calibri" w:hAnsi="Geomanist Light" w:cs="Arial"/>
          <w:sz w:val="22"/>
        </w:rPr>
        <w:t>, la articulación normativa del Decreto 092 de 2017 con el Estatuto General de Contratación de la Administración Pública, dispuesta por los artículos 7 y 8 de aquel, hace que en la contratación de entidades estatales con ESALES sean aplicables figuras jurídicas</w:t>
      </w:r>
      <w:r w:rsidR="00D34607">
        <w:rPr>
          <w:rFonts w:ascii="Geomanist Light" w:eastAsia="Calibri" w:hAnsi="Geomanist Light" w:cs="Arial"/>
          <w:sz w:val="22"/>
        </w:rPr>
        <w:t xml:space="preserve"> y procedimientos</w:t>
      </w:r>
      <w:r w:rsidR="0054230D" w:rsidRPr="00AE0639">
        <w:rPr>
          <w:rFonts w:ascii="Geomanist Light" w:eastAsia="Calibri" w:hAnsi="Geomanist Light" w:cs="Arial"/>
          <w:sz w:val="22"/>
        </w:rPr>
        <w:t xml:space="preserve"> regulad</w:t>
      </w:r>
      <w:r w:rsidR="00D34607">
        <w:rPr>
          <w:rFonts w:ascii="Geomanist Light" w:eastAsia="Calibri" w:hAnsi="Geomanist Light" w:cs="Arial"/>
          <w:sz w:val="22"/>
        </w:rPr>
        <w:t>os</w:t>
      </w:r>
      <w:r w:rsidR="0054230D" w:rsidRPr="00AE0639">
        <w:rPr>
          <w:rFonts w:ascii="Geomanist Light" w:eastAsia="Calibri" w:hAnsi="Geomanist Light" w:cs="Arial"/>
          <w:sz w:val="22"/>
        </w:rPr>
        <w:t xml:space="preserve"> en el EGCAP, a pesar de no estar expresamente previstas en el reglamento. </w:t>
      </w:r>
    </w:p>
    <w:p w14:paraId="7A8965CE" w14:textId="45B04F87" w:rsidR="00D34607" w:rsidRPr="00AE0639" w:rsidRDefault="00D34607" w:rsidP="00B75FA7">
      <w:pPr>
        <w:spacing w:line="276" w:lineRule="auto"/>
        <w:ind w:firstLine="709"/>
        <w:jc w:val="both"/>
        <w:rPr>
          <w:rFonts w:ascii="Geomanist Light" w:eastAsia="Calibri" w:hAnsi="Geomanist Light" w:cs="Arial"/>
          <w:sz w:val="22"/>
        </w:rPr>
      </w:pPr>
      <w:r>
        <w:rPr>
          <w:rFonts w:ascii="Geomanist Light" w:eastAsia="Calibri" w:hAnsi="Geomanist Light" w:cs="Arial"/>
          <w:sz w:val="22"/>
        </w:rPr>
        <w:t>Es por lo anterior por lo que, al no estar regulado un procedimiento especial en el Decreto 092 de 2017 para la declaratoria de incumplimiento de los convenios de asociación</w:t>
      </w:r>
      <w:r w:rsidR="00E73759">
        <w:rPr>
          <w:rFonts w:ascii="Geomanist Light" w:eastAsia="Calibri" w:hAnsi="Geomanist Light" w:cs="Arial"/>
          <w:sz w:val="22"/>
        </w:rPr>
        <w:t xml:space="preserve">, </w:t>
      </w:r>
      <w:r w:rsidR="004D591C">
        <w:rPr>
          <w:rFonts w:ascii="Geomanist Light" w:eastAsia="Calibri" w:hAnsi="Geomanist Light" w:cs="Arial"/>
          <w:sz w:val="22"/>
        </w:rPr>
        <w:t xml:space="preserve">dicha actuación debe entenderse </w:t>
      </w:r>
      <w:r w:rsidR="009D07C7">
        <w:rPr>
          <w:rFonts w:ascii="Geomanist Light" w:eastAsia="Calibri" w:hAnsi="Geomanist Light" w:cs="Arial"/>
          <w:sz w:val="22"/>
        </w:rPr>
        <w:t>regida por el artículo 86 de la Ley 1474 de 2011,</w:t>
      </w:r>
      <w:r w:rsidR="004D591C">
        <w:rPr>
          <w:rFonts w:ascii="Geomanist Light" w:eastAsia="Calibri" w:hAnsi="Geomanist Light" w:cs="Arial"/>
          <w:sz w:val="22"/>
        </w:rPr>
        <w:t xml:space="preserve"> comoquiera es </w:t>
      </w:r>
      <w:r w:rsidR="009D07C7">
        <w:rPr>
          <w:rFonts w:ascii="Geomanist Light" w:eastAsia="Calibri" w:hAnsi="Geomanist Light" w:cs="Arial"/>
          <w:sz w:val="22"/>
        </w:rPr>
        <w:t>está la norma general que rige este tipo de procedimientos</w:t>
      </w:r>
      <w:r w:rsidR="004D591C">
        <w:rPr>
          <w:rFonts w:ascii="Geomanist Light" w:eastAsia="Calibri" w:hAnsi="Geomanist Light" w:cs="Arial"/>
          <w:sz w:val="22"/>
        </w:rPr>
        <w:t xml:space="preserve"> en el ámbito de la contratación pública, </w:t>
      </w:r>
      <w:r w:rsidR="00813A09">
        <w:rPr>
          <w:rFonts w:ascii="Geomanist Light" w:eastAsia="Calibri" w:hAnsi="Geomanist Light" w:cs="Arial"/>
          <w:sz w:val="22"/>
        </w:rPr>
        <w:t xml:space="preserve">por lo que se encuentra comprendida por la remisión dispuesta por </w:t>
      </w:r>
      <w:r w:rsidR="008C66D4">
        <w:rPr>
          <w:rFonts w:ascii="Geomanist Light" w:eastAsia="Calibri" w:hAnsi="Geomanist Light" w:cs="Arial"/>
          <w:sz w:val="22"/>
        </w:rPr>
        <w:t xml:space="preserve">los </w:t>
      </w:r>
      <w:r w:rsidR="00813A09">
        <w:rPr>
          <w:rFonts w:ascii="Geomanist Light" w:eastAsia="Calibri" w:hAnsi="Geomanist Light" w:cs="Arial"/>
          <w:sz w:val="22"/>
        </w:rPr>
        <w:t>artículo</w:t>
      </w:r>
      <w:r w:rsidR="008C66D4">
        <w:rPr>
          <w:rFonts w:ascii="Geomanist Light" w:eastAsia="Calibri" w:hAnsi="Geomanist Light" w:cs="Arial"/>
          <w:sz w:val="22"/>
        </w:rPr>
        <w:t>s</w:t>
      </w:r>
      <w:r w:rsidR="00813A09">
        <w:rPr>
          <w:rFonts w:ascii="Geomanist Light" w:eastAsia="Calibri" w:hAnsi="Geomanist Light" w:cs="Arial"/>
          <w:sz w:val="22"/>
        </w:rPr>
        <w:t xml:space="preserve"> 7</w:t>
      </w:r>
      <w:r w:rsidR="008C66D4">
        <w:rPr>
          <w:rFonts w:ascii="Geomanist Light" w:eastAsia="Calibri" w:hAnsi="Geomanist Light" w:cs="Arial"/>
          <w:sz w:val="22"/>
        </w:rPr>
        <w:t xml:space="preserve"> y 8</w:t>
      </w:r>
      <w:r w:rsidR="00813A09">
        <w:rPr>
          <w:rFonts w:ascii="Geomanist Light" w:eastAsia="Calibri" w:hAnsi="Geomanist Light" w:cs="Arial"/>
          <w:sz w:val="22"/>
        </w:rPr>
        <w:t xml:space="preserve"> del Decreto 092 de 2017. Lo anterior máxime aun considerando que la aplicación del artículo 86 no distingue entre tipos de </w:t>
      </w:r>
      <w:r w:rsidR="00813A09">
        <w:rPr>
          <w:rFonts w:ascii="Geomanist Light" w:eastAsia="Calibri" w:hAnsi="Geomanist Light" w:cs="Arial"/>
          <w:sz w:val="22"/>
        </w:rPr>
        <w:lastRenderedPageBreak/>
        <w:t>incumplimientos</w:t>
      </w:r>
      <w:r w:rsidR="008C3FAB">
        <w:rPr>
          <w:rFonts w:ascii="Geomanist Light" w:eastAsia="Calibri" w:hAnsi="Geomanist Light" w:cs="Arial"/>
          <w:sz w:val="22"/>
        </w:rPr>
        <w:t xml:space="preserve"> y toda vez </w:t>
      </w:r>
      <w:r w:rsidR="009E7A10">
        <w:rPr>
          <w:rFonts w:ascii="Geomanist Light" w:eastAsia="Calibri" w:hAnsi="Geomanist Light" w:cs="Arial"/>
          <w:sz w:val="22"/>
        </w:rPr>
        <w:t xml:space="preserve">es lo que impone se impone a efectos de garantizar el derecho al debido proceso del contratista. </w:t>
      </w:r>
      <w:r w:rsidR="00813A09">
        <w:rPr>
          <w:rFonts w:ascii="Geomanist Light" w:eastAsia="Calibri" w:hAnsi="Geomanist Light" w:cs="Arial"/>
          <w:sz w:val="22"/>
        </w:rPr>
        <w:t xml:space="preserve"> </w:t>
      </w:r>
    </w:p>
    <w:p w14:paraId="2A816043" w14:textId="77777777" w:rsidR="00B234A8" w:rsidRPr="00AE0639" w:rsidRDefault="00B234A8" w:rsidP="00B75FA7">
      <w:pPr>
        <w:spacing w:line="276" w:lineRule="auto"/>
        <w:ind w:firstLine="709"/>
        <w:jc w:val="both"/>
        <w:rPr>
          <w:rFonts w:ascii="Geomanist Light" w:eastAsiaTheme="minorHAnsi" w:hAnsi="Geomanist Light"/>
          <w:lang w:eastAsia="es-CO"/>
        </w:rPr>
      </w:pPr>
    </w:p>
    <w:p w14:paraId="1DF065CA" w14:textId="78D1F22B" w:rsidR="00137E23" w:rsidRPr="00AE0639" w:rsidRDefault="00137E23" w:rsidP="00B75FA7">
      <w:pPr>
        <w:pStyle w:val="Prrafodelista"/>
        <w:tabs>
          <w:tab w:val="left" w:pos="284"/>
        </w:tabs>
        <w:spacing w:line="276" w:lineRule="auto"/>
        <w:ind w:left="0"/>
        <w:jc w:val="both"/>
        <w:rPr>
          <w:rFonts w:ascii="Geomanist Light" w:eastAsia="Calibri" w:hAnsi="Geomanist Light" w:cs="Arial"/>
          <w:b/>
          <w:sz w:val="22"/>
          <w:lang w:val="es-CO"/>
        </w:rPr>
      </w:pPr>
      <w:r w:rsidRPr="00AE0639">
        <w:rPr>
          <w:rFonts w:ascii="Geomanist Light" w:eastAsia="Calibri" w:hAnsi="Geomanist Light" w:cs="Arial"/>
          <w:b/>
          <w:sz w:val="22"/>
          <w:lang w:val="es-CO"/>
        </w:rPr>
        <w:t>3. Respuesta</w:t>
      </w:r>
    </w:p>
    <w:p w14:paraId="29444D84" w14:textId="77777777" w:rsidR="00B411E7" w:rsidRPr="00AE0639" w:rsidRDefault="00B411E7" w:rsidP="00B75FA7">
      <w:pPr>
        <w:pStyle w:val="Prrafodelista"/>
        <w:tabs>
          <w:tab w:val="left" w:pos="284"/>
        </w:tabs>
        <w:spacing w:line="276" w:lineRule="auto"/>
        <w:ind w:left="0"/>
        <w:jc w:val="both"/>
        <w:rPr>
          <w:rFonts w:ascii="Geomanist Light" w:eastAsia="Calibri" w:hAnsi="Geomanist Light" w:cs="Arial"/>
          <w:b/>
          <w:sz w:val="22"/>
          <w:lang w:val="es-CO"/>
        </w:rPr>
      </w:pPr>
    </w:p>
    <w:p w14:paraId="0F8D54FA" w14:textId="4056C72E" w:rsidR="00877B96" w:rsidRPr="00AE0639" w:rsidRDefault="00877B96" w:rsidP="0067765B">
      <w:pPr>
        <w:ind w:left="709" w:right="851"/>
        <w:jc w:val="both"/>
        <w:rPr>
          <w:rFonts w:ascii="Geomanist Light" w:hAnsi="Geomanist Light" w:cs="Arial"/>
          <w:color w:val="1A1A1A" w:themeColor="background1" w:themeShade="1A"/>
          <w:sz w:val="21"/>
          <w:szCs w:val="21"/>
        </w:rPr>
      </w:pPr>
      <w:r w:rsidRPr="00AE0639">
        <w:rPr>
          <w:rFonts w:ascii="Geomanist Light" w:hAnsi="Geomanist Light" w:cs="Arial"/>
          <w:color w:val="1A1A1A" w:themeColor="background1" w:themeShade="1A"/>
          <w:sz w:val="21"/>
          <w:szCs w:val="21"/>
        </w:rPr>
        <w:t>«</w:t>
      </w:r>
      <w:r w:rsidRPr="00AE0639">
        <w:rPr>
          <w:rFonts w:ascii="Geomanist Light" w:hAnsi="Geomanist Light"/>
          <w:sz w:val="21"/>
          <w:szCs w:val="21"/>
        </w:rPr>
        <w:t xml:space="preserve"> </w:t>
      </w:r>
      <w:r w:rsidRPr="00AE0639">
        <w:rPr>
          <w:rFonts w:ascii="Geomanist Light" w:hAnsi="Geomanist Light" w:cs="Arial"/>
          <w:color w:val="1A1A1A" w:themeColor="background1" w:themeShade="1A"/>
          <w:sz w:val="21"/>
          <w:szCs w:val="21"/>
        </w:rPr>
        <w:t>i) ¿En los convenios del artículo 96 de la Ley 489 de 1998, para la declaratoria de incumplimiento aplica el artículo 86 de la Ley 1474 de 2011? ii) ¿En los contratos del artículo 2º del Decreto 92 de 2017, para la declaratoria de incumplimiento aplica el artículo 86 de la Ley 1474 de 2011?»</w:t>
      </w:r>
    </w:p>
    <w:p w14:paraId="5C23FC36" w14:textId="77777777" w:rsidR="00B234A8" w:rsidRPr="00AE0639" w:rsidRDefault="00B234A8" w:rsidP="00B75FA7">
      <w:pPr>
        <w:spacing w:line="276" w:lineRule="auto"/>
        <w:ind w:left="567" w:right="851"/>
        <w:jc w:val="both"/>
        <w:rPr>
          <w:rFonts w:ascii="Geomanist Light" w:hAnsi="Geomanist Light" w:cs="Arial"/>
          <w:color w:val="1A1A1A" w:themeColor="background1" w:themeShade="1A"/>
          <w:sz w:val="21"/>
          <w:szCs w:val="21"/>
        </w:rPr>
      </w:pPr>
    </w:p>
    <w:p w14:paraId="2AA7ADFF" w14:textId="083076B2" w:rsidR="00B234A8" w:rsidRPr="00AE0639" w:rsidRDefault="007A6207" w:rsidP="00AE0639">
      <w:pPr>
        <w:pStyle w:val="NormalWeb"/>
        <w:spacing w:after="120" w:line="276" w:lineRule="auto"/>
        <w:jc w:val="both"/>
        <w:rPr>
          <w:rFonts w:ascii="Geomanist Light" w:eastAsia="Calibri" w:hAnsi="Geomanist Light" w:cs="Arial"/>
          <w:bCs/>
          <w:color w:val="000000" w:themeColor="text1"/>
          <w:sz w:val="22"/>
          <w:szCs w:val="22"/>
        </w:rPr>
      </w:pPr>
      <w:r w:rsidRPr="00AE0639">
        <w:rPr>
          <w:rFonts w:ascii="Geomanist Light" w:eastAsia="Calibri" w:hAnsi="Geomanist Light" w:cs="Arial"/>
          <w:bCs/>
          <w:color w:val="000000" w:themeColor="text1"/>
          <w:sz w:val="22"/>
          <w:szCs w:val="22"/>
        </w:rPr>
        <w:t>E</w:t>
      </w:r>
      <w:r w:rsidR="00877B96" w:rsidRPr="00AE0639">
        <w:rPr>
          <w:rFonts w:ascii="Geomanist Light" w:eastAsia="Calibri" w:hAnsi="Geomanist Light" w:cs="Arial"/>
          <w:bCs/>
          <w:color w:val="000000" w:themeColor="text1"/>
          <w:sz w:val="22"/>
          <w:szCs w:val="22"/>
        </w:rPr>
        <w:t xml:space="preserve">l Decreto 092 de 2017 tiene como objeto reglamentar la forma como el Gobierno nacional, departamental, distrital y municipal contrata con entidades privadas sin ánimo de lucro y de reconocida idoneidad. En tal sentido,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7CE7B45E" w14:textId="77777777" w:rsidR="00B234A8" w:rsidRPr="00AE0639" w:rsidRDefault="00877B96" w:rsidP="00AE0639">
      <w:pPr>
        <w:pStyle w:val="NormalWeb"/>
        <w:spacing w:after="120" w:line="276" w:lineRule="auto"/>
        <w:ind w:firstLine="709"/>
        <w:jc w:val="both"/>
        <w:rPr>
          <w:rFonts w:ascii="Geomanist Light" w:eastAsia="Calibri" w:hAnsi="Geomanist Light" w:cs="Arial"/>
          <w:bCs/>
          <w:color w:val="000000" w:themeColor="text1"/>
          <w:sz w:val="22"/>
          <w:szCs w:val="22"/>
        </w:rPr>
      </w:pPr>
      <w:r w:rsidRPr="00AE0639">
        <w:rPr>
          <w:rFonts w:ascii="Geomanist Light" w:eastAsia="Calibri" w:hAnsi="Geomanist Light" w:cs="Arial"/>
          <w:bCs/>
          <w:color w:val="000000" w:themeColor="text1"/>
          <w:sz w:val="22"/>
          <w:szCs w:val="22"/>
        </w:rPr>
        <w:t xml:space="preserve">Bajo este contexto, el Decreto 092 de 2017 es aplicable a los contratos entre las Entidades Estatales del gobierno nacional, departamental, distrital o municipal y ESAL independientemente de la denominación que las partes den al acto jurídico y de la parte que tuvo la iniciativa de celebrarlo. Estos contratos se celebran para impulsar programas y actividades previstas en los planes de desarrollo y proceden exclusivamente cuando busquen promover: los derechos de personas en situación de debilidad manifiesta o indefensión; los derechos de las minorías; el derecho a la educación; el derecho a la paz; o las manifestaciones artísticas, culturales, deportivas y de promoción de la diversidad étnica colombiana. </w:t>
      </w:r>
    </w:p>
    <w:p w14:paraId="5DF15F63" w14:textId="5FFF6286" w:rsidR="00877B96" w:rsidRPr="00AE0639" w:rsidRDefault="00877B96" w:rsidP="00AE0639">
      <w:pPr>
        <w:pStyle w:val="NormalWeb"/>
        <w:spacing w:after="120" w:line="276" w:lineRule="auto"/>
        <w:ind w:firstLine="709"/>
        <w:jc w:val="both"/>
        <w:rPr>
          <w:rFonts w:ascii="Geomanist Light" w:eastAsia="Calibri" w:hAnsi="Geomanist Light" w:cs="Arial"/>
          <w:bCs/>
          <w:color w:val="000000" w:themeColor="text1"/>
          <w:sz w:val="22"/>
          <w:szCs w:val="22"/>
        </w:rPr>
      </w:pPr>
      <w:r w:rsidRPr="00AE0639">
        <w:rPr>
          <w:rFonts w:ascii="Geomanist Light" w:eastAsia="Calibri" w:hAnsi="Geomanist Light" w:cs="Arial"/>
          <w:bCs/>
          <w:color w:val="000000" w:themeColor="text1"/>
          <w:sz w:val="22"/>
          <w:szCs w:val="22"/>
        </w:rPr>
        <w:t xml:space="preserve">El ámbito de aplicación del Decreto 092 de 2017 obedece a la excepcionalidad del tipo de contratación a la que hace referencia el artículo 355 de la Constitución Política y no a la naturaleza jurídica del contratista. Si la Entidad Estatal adquiere o se abastece de un bien, producto o servicio en un contrato conmutativo en el cual el proveedor es una entidad sin ánimo de lucro, debe aplicar el régimen contenido en las Leyes 80 de 1993 y 1150 de 2007, y no el del Decreto 092 de 2017. </w:t>
      </w:r>
    </w:p>
    <w:p w14:paraId="75800D71" w14:textId="77777777" w:rsidR="00B234A8" w:rsidRPr="00AE0639" w:rsidRDefault="00D81D6B" w:rsidP="00AE0639">
      <w:pPr>
        <w:spacing w:after="120" w:line="276" w:lineRule="auto"/>
        <w:ind w:firstLine="709"/>
        <w:jc w:val="both"/>
        <w:rPr>
          <w:rFonts w:ascii="Geomanist Light" w:eastAsia="Calibri" w:hAnsi="Geomanist Light" w:cs="Arial"/>
          <w:bCs/>
          <w:color w:val="000000" w:themeColor="text1"/>
          <w:sz w:val="22"/>
          <w:szCs w:val="22"/>
          <w:lang w:eastAsia="en-US"/>
        </w:rPr>
      </w:pPr>
      <w:r w:rsidRPr="00AE0639">
        <w:rPr>
          <w:rFonts w:ascii="Geomanist Light" w:eastAsia="Calibri" w:hAnsi="Geomanist Light" w:cs="Arial"/>
          <w:bCs/>
          <w:color w:val="000000" w:themeColor="text1"/>
          <w:sz w:val="22"/>
          <w:szCs w:val="22"/>
          <w:lang w:eastAsia="en-US"/>
        </w:rPr>
        <w:t xml:space="preserve">En cuanto al régimen jurídico aplicable a los convenios de asociación, a pesar de estar regulados de forma prevalente por el Decreto 092 de 2017, no se encuentran excluidos de la aplicación de las Leyes 80 de 1993, 1150 de 2007 y 1474 de 2011. Esto dado que el artículo 8 del Decreto 092 de 2017 dispone que también está sujeto a normas generales de la contratación </w:t>
      </w:r>
      <w:r w:rsidRPr="00AE0639">
        <w:rPr>
          <w:rFonts w:ascii="Geomanist Light" w:eastAsia="Calibri" w:hAnsi="Geomanist Light" w:cs="Arial"/>
          <w:bCs/>
          <w:color w:val="000000" w:themeColor="text1"/>
          <w:sz w:val="22"/>
          <w:szCs w:val="22"/>
          <w:lang w:eastAsia="en-US"/>
        </w:rPr>
        <w:lastRenderedPageBreak/>
        <w:t xml:space="preserve">pública, salvo lo expresamente regulado por el este reglamento. Por su parte, el artículo 7 consagra la aplicación de los principios de la contratación y normas presupuestales. </w:t>
      </w:r>
    </w:p>
    <w:p w14:paraId="7583D112" w14:textId="267D38FF" w:rsidR="007A6207" w:rsidRPr="00AE0639" w:rsidRDefault="00D81D6B" w:rsidP="00B234A8">
      <w:pPr>
        <w:spacing w:line="276" w:lineRule="auto"/>
        <w:ind w:firstLine="708"/>
        <w:jc w:val="both"/>
        <w:rPr>
          <w:rFonts w:ascii="Geomanist Light" w:eastAsia="Calibri" w:hAnsi="Geomanist Light" w:cs="Arial"/>
          <w:bCs/>
          <w:color w:val="000000" w:themeColor="text1"/>
          <w:sz w:val="22"/>
          <w:szCs w:val="22"/>
          <w:lang w:eastAsia="en-US"/>
        </w:rPr>
      </w:pPr>
      <w:r w:rsidRPr="00AE0639">
        <w:rPr>
          <w:rFonts w:ascii="Geomanist Light" w:eastAsia="Calibri" w:hAnsi="Geomanist Light" w:cs="Arial"/>
          <w:bCs/>
          <w:color w:val="000000" w:themeColor="text1"/>
          <w:sz w:val="22"/>
          <w:szCs w:val="22"/>
          <w:lang w:eastAsia="en-US"/>
        </w:rPr>
        <w:t xml:space="preserve">En ese sentido, la articulación normativa del Decreto 092 de 2017 con el Estatuto General de Contratación de la Administración Pública, dispuesta por los artículos 7 y 8 de aquel, hace que en la contratación de entidades estatales con ESALES sean aplicables figuras jurídicas </w:t>
      </w:r>
      <w:r w:rsidR="00B22BD6">
        <w:rPr>
          <w:rFonts w:ascii="Geomanist Light" w:eastAsia="Calibri" w:hAnsi="Geomanist Light" w:cs="Arial"/>
          <w:bCs/>
          <w:color w:val="000000" w:themeColor="text1"/>
          <w:sz w:val="22"/>
          <w:szCs w:val="22"/>
          <w:lang w:eastAsia="en-US"/>
        </w:rPr>
        <w:t xml:space="preserve">y procedimientos </w:t>
      </w:r>
      <w:r w:rsidRPr="00AE0639">
        <w:rPr>
          <w:rFonts w:ascii="Geomanist Light" w:eastAsia="Calibri" w:hAnsi="Geomanist Light" w:cs="Arial"/>
          <w:bCs/>
          <w:color w:val="000000" w:themeColor="text1"/>
          <w:sz w:val="22"/>
          <w:szCs w:val="22"/>
          <w:lang w:eastAsia="en-US"/>
        </w:rPr>
        <w:t>regulad</w:t>
      </w:r>
      <w:r w:rsidR="00B22BD6">
        <w:rPr>
          <w:rFonts w:ascii="Geomanist Light" w:eastAsia="Calibri" w:hAnsi="Geomanist Light" w:cs="Arial"/>
          <w:bCs/>
          <w:color w:val="000000" w:themeColor="text1"/>
          <w:sz w:val="22"/>
          <w:szCs w:val="22"/>
          <w:lang w:eastAsia="en-US"/>
        </w:rPr>
        <w:t>o</w:t>
      </w:r>
      <w:r w:rsidRPr="00AE0639">
        <w:rPr>
          <w:rFonts w:ascii="Geomanist Light" w:eastAsia="Calibri" w:hAnsi="Geomanist Light" w:cs="Arial"/>
          <w:bCs/>
          <w:color w:val="000000" w:themeColor="text1"/>
          <w:sz w:val="22"/>
          <w:szCs w:val="22"/>
          <w:lang w:eastAsia="en-US"/>
        </w:rPr>
        <w:t>s en el EGCAP, a pesar de no estar expresamente previst</w:t>
      </w:r>
      <w:r w:rsidR="00B22BD6">
        <w:rPr>
          <w:rFonts w:ascii="Geomanist Light" w:eastAsia="Calibri" w:hAnsi="Geomanist Light" w:cs="Arial"/>
          <w:bCs/>
          <w:color w:val="000000" w:themeColor="text1"/>
          <w:sz w:val="22"/>
          <w:szCs w:val="22"/>
          <w:lang w:eastAsia="en-US"/>
        </w:rPr>
        <w:t>o</w:t>
      </w:r>
      <w:r w:rsidRPr="00AE0639">
        <w:rPr>
          <w:rFonts w:ascii="Geomanist Light" w:eastAsia="Calibri" w:hAnsi="Geomanist Light" w:cs="Arial"/>
          <w:bCs/>
          <w:color w:val="000000" w:themeColor="text1"/>
          <w:sz w:val="22"/>
          <w:szCs w:val="22"/>
          <w:lang w:eastAsia="en-US"/>
        </w:rPr>
        <w:t xml:space="preserve">s en el reglamento, </w:t>
      </w:r>
      <w:r w:rsidR="00E063D9" w:rsidRPr="00AE0639">
        <w:rPr>
          <w:rFonts w:ascii="Geomanist Light" w:eastAsia="Calibri" w:hAnsi="Geomanist Light" w:cs="Arial"/>
          <w:bCs/>
          <w:color w:val="000000" w:themeColor="text1"/>
          <w:sz w:val="22"/>
          <w:szCs w:val="22"/>
          <w:lang w:eastAsia="en-US"/>
        </w:rPr>
        <w:t>entre ell</w:t>
      </w:r>
      <w:r w:rsidR="00B22BD6">
        <w:rPr>
          <w:rFonts w:ascii="Geomanist Light" w:eastAsia="Calibri" w:hAnsi="Geomanist Light" w:cs="Arial"/>
          <w:bCs/>
          <w:color w:val="000000" w:themeColor="text1"/>
          <w:sz w:val="22"/>
          <w:szCs w:val="22"/>
          <w:lang w:eastAsia="en-US"/>
        </w:rPr>
        <w:t>o</w:t>
      </w:r>
      <w:r w:rsidR="00E063D9" w:rsidRPr="00AE0639">
        <w:rPr>
          <w:rFonts w:ascii="Geomanist Light" w:eastAsia="Calibri" w:hAnsi="Geomanist Light" w:cs="Arial"/>
          <w:bCs/>
          <w:color w:val="000000" w:themeColor="text1"/>
          <w:sz w:val="22"/>
          <w:szCs w:val="22"/>
          <w:lang w:eastAsia="en-US"/>
        </w:rPr>
        <w:t>s, el procedimiento administrativo sancionatorio dispuesto en el artículo 86 de la Ley 1474 de 2011</w:t>
      </w:r>
      <w:r w:rsidR="009E7A10">
        <w:rPr>
          <w:rFonts w:ascii="Geomanist Light" w:eastAsia="Calibri" w:hAnsi="Geomanist Light" w:cs="Arial"/>
          <w:bCs/>
          <w:color w:val="000000" w:themeColor="text1"/>
          <w:sz w:val="22"/>
          <w:szCs w:val="22"/>
          <w:lang w:eastAsia="en-US"/>
        </w:rPr>
        <w:t xml:space="preserve">, el cual deben aplicar las entidades estatales a efectos de declarar incumplimientos en convenios de asociación </w:t>
      </w:r>
      <w:r w:rsidR="0090161C">
        <w:rPr>
          <w:rFonts w:ascii="Geomanist Light" w:eastAsia="Calibri" w:hAnsi="Geomanist Light" w:cs="Arial"/>
          <w:bCs/>
          <w:color w:val="000000" w:themeColor="text1"/>
          <w:sz w:val="22"/>
          <w:szCs w:val="22"/>
          <w:lang w:eastAsia="en-US"/>
        </w:rPr>
        <w:t>celebrados conforme los artículo 96 de la Ley 489 de 1996 y 5 del Decreto 092 de 2017.</w:t>
      </w:r>
    </w:p>
    <w:p w14:paraId="4CC82355" w14:textId="77777777" w:rsidR="00B234A8" w:rsidRPr="00AE0639" w:rsidRDefault="00B234A8" w:rsidP="00AE0639">
      <w:pPr>
        <w:ind w:firstLine="708"/>
        <w:jc w:val="both"/>
        <w:rPr>
          <w:rFonts w:ascii="Geomanist Light" w:eastAsia="Calibri" w:hAnsi="Geomanist Light" w:cs="Arial"/>
          <w:bCs/>
          <w:color w:val="000000" w:themeColor="text1"/>
          <w:sz w:val="22"/>
          <w:szCs w:val="22"/>
          <w:lang w:eastAsia="en-US"/>
        </w:rPr>
      </w:pPr>
    </w:p>
    <w:p w14:paraId="518A7659" w14:textId="3C5E7807" w:rsidR="00135FBD" w:rsidRPr="00AE0639" w:rsidRDefault="00741F1E" w:rsidP="00AE0639">
      <w:pPr>
        <w:spacing w:line="276" w:lineRule="auto"/>
        <w:jc w:val="both"/>
        <w:rPr>
          <w:rFonts w:ascii="Geomanist Light" w:eastAsia="Calibri" w:hAnsi="Geomanist Light" w:cs="Arial"/>
          <w:bCs/>
          <w:color w:val="000000" w:themeColor="text1"/>
          <w:sz w:val="22"/>
          <w:szCs w:val="22"/>
          <w:lang w:eastAsia="en-US"/>
        </w:rPr>
      </w:pPr>
      <w:r w:rsidRPr="00AE0639">
        <w:rPr>
          <w:rFonts w:ascii="Geomanist Light" w:eastAsia="Calibri" w:hAnsi="Geomanist Light" w:cs="Arial"/>
          <w:bCs/>
          <w:color w:val="000000" w:themeColor="text1"/>
          <w:sz w:val="22"/>
          <w:szCs w:val="22"/>
          <w:lang w:eastAsia="en-US"/>
        </w:rPr>
        <w:t>Este concepto tiene el alcance previsto en el artículo 28 del Código de Procedimiento Administrativo y de lo Contencioso Administrativo.</w:t>
      </w:r>
    </w:p>
    <w:p w14:paraId="0F2F6B6E" w14:textId="77777777" w:rsidR="00B411E7" w:rsidRPr="00AE0639" w:rsidRDefault="00B411E7" w:rsidP="00B234A8">
      <w:pPr>
        <w:spacing w:line="276" w:lineRule="auto"/>
        <w:ind w:firstLine="708"/>
        <w:jc w:val="both"/>
        <w:rPr>
          <w:rFonts w:ascii="Geomanist Light" w:eastAsia="Calibri" w:hAnsi="Geomanist Light" w:cs="Arial"/>
          <w:bCs/>
          <w:color w:val="000000" w:themeColor="text1"/>
          <w:sz w:val="22"/>
          <w:szCs w:val="22"/>
          <w:lang w:eastAsia="en-US"/>
        </w:rPr>
      </w:pPr>
    </w:p>
    <w:p w14:paraId="24CD389E" w14:textId="19379C74" w:rsidR="00137E23" w:rsidRPr="00AE0639" w:rsidRDefault="00137E23" w:rsidP="00B234A8">
      <w:pPr>
        <w:spacing w:line="276" w:lineRule="auto"/>
        <w:jc w:val="both"/>
        <w:rPr>
          <w:rFonts w:ascii="Geomanist Light" w:eastAsia="Calibri" w:hAnsi="Geomanist Light" w:cs="Arial"/>
          <w:bCs/>
          <w:color w:val="000000" w:themeColor="text1"/>
          <w:sz w:val="22"/>
          <w:szCs w:val="22"/>
          <w:lang w:eastAsia="en-US"/>
        </w:rPr>
      </w:pPr>
      <w:r w:rsidRPr="00AE0639">
        <w:rPr>
          <w:rFonts w:ascii="Geomanist Light" w:eastAsia="Calibri" w:hAnsi="Geomanist Light" w:cs="Arial"/>
          <w:bCs/>
          <w:color w:val="000000" w:themeColor="text1"/>
          <w:sz w:val="22"/>
          <w:szCs w:val="22"/>
          <w:lang w:eastAsia="en-US"/>
        </w:rPr>
        <w:t>Atentamente,</w:t>
      </w:r>
    </w:p>
    <w:bookmarkEnd w:id="0"/>
    <w:p w14:paraId="39AA6051" w14:textId="598FA76A" w:rsidR="00A43A0D" w:rsidRPr="00AE0639" w:rsidRDefault="00F42B2E" w:rsidP="00F1545F">
      <w:pPr>
        <w:spacing w:before="120" w:after="120" w:line="276" w:lineRule="auto"/>
        <w:jc w:val="center"/>
        <w:rPr>
          <w:rFonts w:ascii="Geomanist Light" w:eastAsia="Calibri" w:hAnsi="Geomanist Light"/>
        </w:rPr>
      </w:pPr>
      <w:r>
        <w:rPr>
          <w:noProof/>
        </w:rPr>
        <w:drawing>
          <wp:inline distT="0" distB="0" distL="0" distR="0" wp14:anchorId="771680F8" wp14:editId="355EA6C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725E09E1" w14:textId="77777777" w:rsidR="00866EF3" w:rsidRPr="00AE0639" w:rsidRDefault="00866EF3" w:rsidP="00F1545F">
      <w:pPr>
        <w:spacing w:before="120" w:after="120" w:line="276" w:lineRule="auto"/>
        <w:jc w:val="center"/>
        <w:rPr>
          <w:rFonts w:ascii="Geomanist Light" w:eastAsia="Calibri" w:hAnsi="Geomanist Light"/>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66EF3" w:rsidRPr="00346A2B" w14:paraId="35319303" w14:textId="77777777" w:rsidTr="00D32877">
        <w:trPr>
          <w:trHeight w:val="286"/>
        </w:trPr>
        <w:tc>
          <w:tcPr>
            <w:tcW w:w="817" w:type="dxa"/>
            <w:vAlign w:val="center"/>
          </w:tcPr>
          <w:p w14:paraId="0D341542" w14:textId="77777777" w:rsidR="00866EF3" w:rsidRPr="00AE0639" w:rsidRDefault="00866EF3" w:rsidP="00866EF3">
            <w:pPr>
              <w:spacing w:before="0"/>
              <w:rPr>
                <w:rFonts w:ascii="Geomanist Light" w:hAnsi="Geomanist Light" w:cs="Arial"/>
                <w:sz w:val="16"/>
                <w:szCs w:val="16"/>
              </w:rPr>
            </w:pPr>
            <w:r w:rsidRPr="00AE0639">
              <w:rPr>
                <w:rFonts w:ascii="Geomanist Light" w:hAnsi="Geomanist Light" w:cs="Arial"/>
                <w:sz w:val="16"/>
                <w:szCs w:val="16"/>
              </w:rPr>
              <w:t>Elaboró:</w:t>
            </w:r>
          </w:p>
        </w:tc>
        <w:tc>
          <w:tcPr>
            <w:tcW w:w="4445" w:type="dxa"/>
            <w:tcBorders>
              <w:bottom w:val="dotted" w:sz="4" w:space="0" w:color="7F7F7F"/>
            </w:tcBorders>
            <w:vAlign w:val="center"/>
          </w:tcPr>
          <w:p w14:paraId="22204DA9" w14:textId="77777777" w:rsidR="00866EF3" w:rsidRPr="00AE0639" w:rsidRDefault="00866EF3" w:rsidP="00866EF3">
            <w:pPr>
              <w:spacing w:before="0"/>
              <w:rPr>
                <w:rFonts w:ascii="Geomanist Light" w:hAnsi="Geomanist Light" w:cs="Arial"/>
                <w:sz w:val="16"/>
                <w:szCs w:val="16"/>
              </w:rPr>
            </w:pPr>
            <w:r w:rsidRPr="00AE0639">
              <w:rPr>
                <w:rFonts w:ascii="Geomanist Light" w:hAnsi="Geomanist Light" w:cs="Arial"/>
                <w:sz w:val="16"/>
                <w:szCs w:val="16"/>
              </w:rPr>
              <w:t xml:space="preserve">Diana Fabiola Herrera Hernández </w:t>
            </w:r>
          </w:p>
          <w:p w14:paraId="4C500736" w14:textId="77777777" w:rsidR="00866EF3" w:rsidRPr="00AE0639" w:rsidRDefault="00866EF3" w:rsidP="00866EF3">
            <w:pPr>
              <w:spacing w:before="0"/>
              <w:rPr>
                <w:rFonts w:ascii="Geomanist Light" w:hAnsi="Geomanist Light" w:cs="Arial"/>
                <w:sz w:val="16"/>
                <w:szCs w:val="16"/>
              </w:rPr>
            </w:pPr>
            <w:r w:rsidRPr="00AE0639">
              <w:rPr>
                <w:rFonts w:ascii="Geomanist Light" w:hAnsi="Geomanist Light" w:cs="Arial"/>
                <w:sz w:val="16"/>
                <w:szCs w:val="16"/>
              </w:rPr>
              <w:t>Contratista de la Subdirección de Gestión Contractual</w:t>
            </w:r>
          </w:p>
        </w:tc>
      </w:tr>
      <w:tr w:rsidR="00866EF3" w:rsidRPr="00346A2B" w14:paraId="030B375D" w14:textId="77777777" w:rsidTr="00D32877">
        <w:trPr>
          <w:trHeight w:val="286"/>
        </w:trPr>
        <w:tc>
          <w:tcPr>
            <w:tcW w:w="817" w:type="dxa"/>
            <w:vAlign w:val="center"/>
          </w:tcPr>
          <w:p w14:paraId="49E19F40" w14:textId="77777777" w:rsidR="00866EF3" w:rsidRPr="00AE0639" w:rsidRDefault="00866EF3" w:rsidP="00866EF3">
            <w:pPr>
              <w:spacing w:before="0"/>
              <w:rPr>
                <w:rFonts w:ascii="Geomanist Light" w:hAnsi="Geomanist Light" w:cs="Arial"/>
                <w:sz w:val="16"/>
                <w:szCs w:val="16"/>
              </w:rPr>
            </w:pPr>
            <w:r w:rsidRPr="00AE0639">
              <w:rPr>
                <w:rFonts w:ascii="Geomanist Light" w:hAnsi="Geomanist Light" w:cs="Arial"/>
                <w:sz w:val="16"/>
                <w:szCs w:val="16"/>
              </w:rPr>
              <w:t>Revisó:</w:t>
            </w:r>
          </w:p>
        </w:tc>
        <w:tc>
          <w:tcPr>
            <w:tcW w:w="4445" w:type="dxa"/>
            <w:tcBorders>
              <w:bottom w:val="dotted" w:sz="4" w:space="0" w:color="7F7F7F"/>
            </w:tcBorders>
            <w:vAlign w:val="center"/>
          </w:tcPr>
          <w:p w14:paraId="6FA726D3" w14:textId="77777777" w:rsidR="00866EF3" w:rsidRPr="00AE0639" w:rsidRDefault="00866EF3" w:rsidP="00866EF3">
            <w:pPr>
              <w:spacing w:before="0"/>
              <w:rPr>
                <w:rFonts w:ascii="Geomanist Light" w:hAnsi="Geomanist Light" w:cs="Arial"/>
                <w:sz w:val="16"/>
                <w:szCs w:val="16"/>
              </w:rPr>
            </w:pPr>
            <w:r w:rsidRPr="00AE0639">
              <w:rPr>
                <w:rFonts w:ascii="Geomanist Light" w:hAnsi="Geomanist Light" w:cs="Arial"/>
                <w:sz w:val="16"/>
                <w:szCs w:val="16"/>
              </w:rPr>
              <w:t>Alejandro Sarmiento</w:t>
            </w:r>
            <w:r w:rsidRPr="00AE0639">
              <w:rPr>
                <w:rFonts w:ascii="Calibri" w:hAnsi="Calibri" w:cs="Calibri"/>
                <w:sz w:val="16"/>
                <w:szCs w:val="16"/>
              </w:rPr>
              <w:t> </w:t>
            </w:r>
            <w:r w:rsidRPr="00AE0639">
              <w:rPr>
                <w:rFonts w:ascii="Geomanist Light" w:hAnsi="Geomanist Light" w:cs="Arial"/>
                <w:sz w:val="16"/>
                <w:szCs w:val="16"/>
              </w:rPr>
              <w:t>Cantillo</w:t>
            </w:r>
          </w:p>
          <w:p w14:paraId="7A895EEA" w14:textId="77777777" w:rsidR="00866EF3" w:rsidRPr="00AE0639" w:rsidRDefault="00866EF3" w:rsidP="00866EF3">
            <w:pPr>
              <w:spacing w:before="0"/>
              <w:rPr>
                <w:rFonts w:ascii="Geomanist Light" w:hAnsi="Geomanist Light" w:cs="Arial"/>
                <w:sz w:val="16"/>
                <w:szCs w:val="16"/>
              </w:rPr>
            </w:pPr>
            <w:r w:rsidRPr="00AE0639">
              <w:rPr>
                <w:rFonts w:ascii="Geomanist Light" w:hAnsi="Geomanist Light" w:cs="Arial"/>
                <w:sz w:val="16"/>
                <w:szCs w:val="16"/>
              </w:rPr>
              <w:t>Gestor T1-15 de la Subdirección de Gestión Contractual</w:t>
            </w:r>
          </w:p>
        </w:tc>
      </w:tr>
      <w:tr w:rsidR="00866EF3" w:rsidRPr="00346A2B" w14:paraId="45739305" w14:textId="77777777" w:rsidTr="00D32877">
        <w:trPr>
          <w:trHeight w:val="299"/>
        </w:trPr>
        <w:tc>
          <w:tcPr>
            <w:tcW w:w="817" w:type="dxa"/>
            <w:vAlign w:val="center"/>
          </w:tcPr>
          <w:p w14:paraId="6057A41B" w14:textId="77777777" w:rsidR="00866EF3" w:rsidRPr="00AE0639" w:rsidRDefault="00866EF3" w:rsidP="00866EF3">
            <w:pPr>
              <w:spacing w:before="0"/>
              <w:rPr>
                <w:rFonts w:ascii="Geomanist Light" w:hAnsi="Geomanist Light" w:cs="Arial"/>
                <w:sz w:val="16"/>
                <w:szCs w:val="16"/>
              </w:rPr>
            </w:pPr>
            <w:r w:rsidRPr="00AE0639">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1D3F77EE" w14:textId="0F3C3496" w:rsidR="00866EF3" w:rsidRPr="00AE0639" w:rsidRDefault="001910D9" w:rsidP="00866EF3">
            <w:pPr>
              <w:spacing w:before="0"/>
              <w:rPr>
                <w:rFonts w:ascii="Geomanist Light" w:hAnsi="Geomanist Light" w:cs="Arial"/>
                <w:sz w:val="16"/>
                <w:szCs w:val="16"/>
              </w:rPr>
            </w:pPr>
            <w:r w:rsidRPr="00AE0639">
              <w:rPr>
                <w:rFonts w:ascii="Geomanist Light" w:hAnsi="Geomanist Light" w:cs="Arial"/>
                <w:sz w:val="16"/>
                <w:szCs w:val="16"/>
              </w:rPr>
              <w:t xml:space="preserve">Nohelia del </w:t>
            </w:r>
            <w:r w:rsidR="006F154D" w:rsidRPr="006F154D">
              <w:rPr>
                <w:rFonts w:ascii="Geomanist Light" w:hAnsi="Geomanist Light" w:cs="Arial"/>
                <w:sz w:val="16"/>
                <w:szCs w:val="16"/>
              </w:rPr>
              <w:t>Carmen</w:t>
            </w:r>
            <w:r w:rsidRPr="00AE0639">
              <w:rPr>
                <w:rFonts w:ascii="Geomanist Light" w:hAnsi="Geomanist Light" w:cs="Arial"/>
                <w:sz w:val="16"/>
                <w:szCs w:val="16"/>
              </w:rPr>
              <w:t xml:space="preserve"> Zawady Palacio</w:t>
            </w:r>
          </w:p>
          <w:p w14:paraId="26E8A0F5" w14:textId="18AA8AC6" w:rsidR="00866EF3" w:rsidRPr="00AE0639" w:rsidRDefault="00866EF3" w:rsidP="001910D9">
            <w:pPr>
              <w:spacing w:before="0"/>
              <w:rPr>
                <w:rFonts w:ascii="Geomanist Light" w:hAnsi="Geomanist Light" w:cs="Arial"/>
                <w:sz w:val="16"/>
                <w:szCs w:val="16"/>
              </w:rPr>
            </w:pPr>
            <w:r w:rsidRPr="00AE0639">
              <w:rPr>
                <w:rFonts w:ascii="Geomanist Light" w:hAnsi="Geomanist Light" w:cs="Arial"/>
                <w:sz w:val="16"/>
                <w:szCs w:val="16"/>
              </w:rPr>
              <w:t>Subdirector</w:t>
            </w:r>
            <w:r w:rsidR="001910D9" w:rsidRPr="00AE0639">
              <w:rPr>
                <w:rFonts w:ascii="Geomanist Light" w:hAnsi="Geomanist Light" w:cs="Arial"/>
                <w:sz w:val="16"/>
                <w:szCs w:val="16"/>
              </w:rPr>
              <w:t>a</w:t>
            </w:r>
            <w:r w:rsidRPr="00AE0639">
              <w:rPr>
                <w:rFonts w:ascii="Geomanist Light" w:hAnsi="Geomanist Light" w:cs="Arial"/>
                <w:sz w:val="16"/>
                <w:szCs w:val="16"/>
              </w:rPr>
              <w:t xml:space="preserve"> de Gestión Contractual ANCP – CCE </w:t>
            </w:r>
          </w:p>
        </w:tc>
      </w:tr>
    </w:tbl>
    <w:p w14:paraId="469536C3" w14:textId="6562B59F" w:rsidR="00866EF3" w:rsidRPr="00AE0639" w:rsidRDefault="00866EF3" w:rsidP="00F1545F">
      <w:pPr>
        <w:spacing w:before="120" w:after="120" w:line="276" w:lineRule="auto"/>
        <w:jc w:val="center"/>
        <w:rPr>
          <w:rFonts w:ascii="Geomanist Light" w:eastAsia="Calibri" w:hAnsi="Geomanist Light"/>
        </w:rPr>
      </w:pPr>
    </w:p>
    <w:p w14:paraId="16DE8C5A" w14:textId="72BB0846" w:rsidR="00866EF3" w:rsidRPr="00AE0639" w:rsidRDefault="00866EF3" w:rsidP="00F1545F">
      <w:pPr>
        <w:spacing w:before="120" w:after="120" w:line="276" w:lineRule="auto"/>
        <w:jc w:val="center"/>
        <w:rPr>
          <w:rFonts w:ascii="Geomanist Light" w:eastAsia="Calibri" w:hAnsi="Geomanist Light"/>
        </w:rPr>
      </w:pPr>
    </w:p>
    <w:p w14:paraId="0C394C62" w14:textId="77777777" w:rsidR="00866EF3" w:rsidRPr="00AE0639" w:rsidRDefault="00866EF3" w:rsidP="00F1545F">
      <w:pPr>
        <w:spacing w:before="120" w:after="120" w:line="276" w:lineRule="auto"/>
        <w:jc w:val="center"/>
        <w:rPr>
          <w:rFonts w:ascii="Geomanist Light" w:eastAsia="Calibri" w:hAnsi="Geomanist Light"/>
        </w:rPr>
      </w:pPr>
    </w:p>
    <w:sectPr w:rsidR="00866EF3" w:rsidRPr="00AE0639" w:rsidSect="00AE0639">
      <w:headerReference w:type="default" r:id="rId13"/>
      <w:footerReference w:type="default" r:id="rId14"/>
      <w:pgSz w:w="12240" w:h="15840"/>
      <w:pgMar w:top="1779" w:right="1750"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37B3" w14:textId="77777777" w:rsidR="00F322BC" w:rsidRDefault="00F322BC" w:rsidP="00137E23">
      <w:r>
        <w:separator/>
      </w:r>
    </w:p>
  </w:endnote>
  <w:endnote w:type="continuationSeparator" w:id="0">
    <w:p w14:paraId="6C55D728" w14:textId="77777777" w:rsidR="00F322BC" w:rsidRDefault="00F322BC" w:rsidP="0013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D868" w14:textId="77777777" w:rsidR="00346A2B" w:rsidRDefault="00346A2B" w:rsidP="00346A2B">
    <w:pPr>
      <w:pStyle w:val="Sinespaciado"/>
      <w:jc w:val="right"/>
      <w:rPr>
        <w:rFonts w:ascii="Arial" w:hAnsi="Arial" w:cs="Arial"/>
        <w:sz w:val="18"/>
        <w:szCs w:val="18"/>
      </w:rPr>
    </w:pPr>
  </w:p>
  <w:p w14:paraId="2D13F0D7" w14:textId="77777777" w:rsidR="00346A2B" w:rsidRDefault="00346A2B" w:rsidP="00346A2B">
    <w:pPr>
      <w:pStyle w:val="Piedepgina"/>
    </w:pPr>
    <w:r>
      <w:rPr>
        <w:noProof/>
        <w:lang w:val="en-US"/>
      </w:rPr>
      <w:drawing>
        <wp:inline distT="0" distB="0" distL="0" distR="0" wp14:anchorId="47614C8F" wp14:editId="7AC2DD31">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346A2B" w:rsidRPr="00080DA3" w14:paraId="0EE700A2" w14:textId="77777777" w:rsidTr="0085300F">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10B2086" w14:textId="77777777" w:rsidR="00346A2B" w:rsidRPr="00080DA3" w:rsidRDefault="00346A2B" w:rsidP="00346A2B">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2EBAC44" w14:textId="77777777" w:rsidR="00346A2B" w:rsidRPr="00080DA3" w:rsidRDefault="00346A2B" w:rsidP="00346A2B">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3C82A6" w14:textId="77777777" w:rsidR="00346A2B" w:rsidRPr="00080DA3" w:rsidRDefault="00346A2B" w:rsidP="00346A2B">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A6CDAE4" w14:textId="77777777" w:rsidR="00346A2B" w:rsidRPr="004B6B0E" w:rsidRDefault="00346A2B" w:rsidP="00346A2B">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D164CB2" w14:textId="77777777" w:rsidR="00346A2B" w:rsidRPr="00080DA3" w:rsidRDefault="00346A2B" w:rsidP="00346A2B">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B8929C5" w14:textId="77777777" w:rsidR="00346A2B" w:rsidRPr="00080DA3" w:rsidRDefault="00346A2B" w:rsidP="00346A2B">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81453FF" w14:textId="77777777" w:rsidR="00346A2B" w:rsidRPr="00080DA3" w:rsidRDefault="00346A2B" w:rsidP="00346A2B">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4F0FF3A8" w14:textId="77777777" w:rsidR="00346A2B" w:rsidRPr="00214878" w:rsidRDefault="00346A2B" w:rsidP="00346A2B">
    <w:pPr>
      <w:pStyle w:val="Piedepgina"/>
    </w:pPr>
  </w:p>
  <w:p w14:paraId="320365B3" w14:textId="77777777" w:rsidR="00346A2B" w:rsidRPr="007B0854" w:rsidRDefault="00346A2B" w:rsidP="00346A2B">
    <w:pPr>
      <w:pStyle w:val="Piedepgina"/>
      <w:jc w:val="center"/>
    </w:pPr>
  </w:p>
  <w:p w14:paraId="7F8835C6"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DB12" w14:textId="77777777" w:rsidR="00F322BC" w:rsidRDefault="00F322BC" w:rsidP="00137E23">
      <w:r>
        <w:separator/>
      </w:r>
    </w:p>
  </w:footnote>
  <w:footnote w:type="continuationSeparator" w:id="0">
    <w:p w14:paraId="38B00CE3" w14:textId="77777777" w:rsidR="00F322BC" w:rsidRDefault="00F322BC" w:rsidP="00137E23">
      <w:r>
        <w:continuationSeparator/>
      </w:r>
    </w:p>
  </w:footnote>
  <w:footnote w:id="1">
    <w:p w14:paraId="08C9B2F1" w14:textId="77777777" w:rsidR="0054230D" w:rsidRPr="00AE0639" w:rsidRDefault="0054230D" w:rsidP="0054230D">
      <w:pPr>
        <w:pStyle w:val="Textonotapie"/>
        <w:ind w:firstLine="708"/>
        <w:jc w:val="both"/>
        <w:rPr>
          <w:rFonts w:ascii="Geomanist Light" w:hAnsi="Geomanist Light" w:cs="Arial"/>
          <w:color w:val="000000" w:themeColor="text1"/>
          <w:sz w:val="19"/>
          <w:szCs w:val="19"/>
        </w:rPr>
      </w:pPr>
      <w:r w:rsidRPr="00AE0639">
        <w:rPr>
          <w:rStyle w:val="Refdenotaalpie"/>
          <w:rFonts w:ascii="Geomanist Light" w:hAnsi="Geomanist Light" w:cs="Arial"/>
          <w:color w:val="000000" w:themeColor="text1"/>
          <w:sz w:val="19"/>
          <w:szCs w:val="19"/>
        </w:rPr>
        <w:footnoteRef/>
      </w:r>
      <w:r w:rsidRPr="00AE0639">
        <w:rPr>
          <w:rFonts w:ascii="Geomanist Light" w:hAnsi="Geomanist Light"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3CE285BE" w14:textId="77777777" w:rsidR="0054230D" w:rsidRPr="00AE0639" w:rsidRDefault="0054230D" w:rsidP="0054230D">
      <w:pPr>
        <w:pStyle w:val="Textonotapie"/>
        <w:ind w:firstLine="708"/>
        <w:jc w:val="both"/>
        <w:rPr>
          <w:rFonts w:ascii="Geomanist Light" w:hAnsi="Geomanist Light" w:cs="Arial"/>
          <w:color w:val="000000" w:themeColor="text1"/>
          <w:sz w:val="19"/>
          <w:szCs w:val="19"/>
          <w:lang w:val="es-ES"/>
        </w:rPr>
      </w:pPr>
    </w:p>
  </w:footnote>
  <w:footnote w:id="2">
    <w:p w14:paraId="59319AB8" w14:textId="77777777" w:rsidR="0054230D" w:rsidRPr="00AE0639" w:rsidRDefault="0054230D" w:rsidP="0054230D">
      <w:pPr>
        <w:pStyle w:val="Textonotapie"/>
        <w:ind w:firstLine="708"/>
        <w:jc w:val="both"/>
        <w:rPr>
          <w:rFonts w:ascii="Geomanist Light" w:hAnsi="Geomanist Light" w:cs="Arial"/>
          <w:color w:val="000000" w:themeColor="text1"/>
          <w:sz w:val="19"/>
          <w:szCs w:val="19"/>
        </w:rPr>
      </w:pPr>
      <w:r w:rsidRPr="00AE0639">
        <w:rPr>
          <w:rStyle w:val="Refdenotaalpie"/>
          <w:rFonts w:ascii="Geomanist Light" w:hAnsi="Geomanist Light" w:cs="Arial"/>
          <w:color w:val="000000" w:themeColor="text1"/>
          <w:sz w:val="19"/>
          <w:szCs w:val="19"/>
        </w:rPr>
        <w:footnoteRef/>
      </w:r>
      <w:r w:rsidRPr="00AE0639">
        <w:rPr>
          <w:rFonts w:ascii="Geomanist Light" w:hAnsi="Geomanist Light"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91CE7BC" w14:textId="67427E0D" w:rsidR="0054230D" w:rsidRPr="00AE0639" w:rsidRDefault="0054230D" w:rsidP="0054230D">
      <w:pPr>
        <w:pStyle w:val="Textonotapie"/>
        <w:ind w:firstLine="708"/>
        <w:jc w:val="both"/>
        <w:rPr>
          <w:rFonts w:ascii="Geomanist Light" w:hAnsi="Geomanist Light" w:cs="Arial"/>
          <w:color w:val="000000" w:themeColor="text1"/>
          <w:sz w:val="19"/>
          <w:szCs w:val="19"/>
          <w:lang w:val="es-CO"/>
        </w:rPr>
      </w:pPr>
      <w:r w:rsidRPr="00AE0639">
        <w:rPr>
          <w:rFonts w:ascii="Geomanist Light" w:hAnsi="Geomanist Light"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3">
    <w:p w14:paraId="34F2DE2E" w14:textId="77777777" w:rsidR="0054230D" w:rsidRPr="00AE0639" w:rsidRDefault="0054230D" w:rsidP="0054230D">
      <w:pPr>
        <w:pStyle w:val="Textonotapie"/>
        <w:ind w:firstLine="708"/>
        <w:jc w:val="both"/>
        <w:rPr>
          <w:rFonts w:ascii="Geomanist Light" w:hAnsi="Geomanist Light" w:cs="Arial"/>
          <w:color w:val="000000" w:themeColor="text1"/>
          <w:sz w:val="19"/>
          <w:szCs w:val="19"/>
        </w:rPr>
      </w:pPr>
      <w:r w:rsidRPr="00AE0639">
        <w:rPr>
          <w:rStyle w:val="Refdenotaalpie"/>
          <w:rFonts w:ascii="Geomanist Light" w:hAnsi="Geomanist Light" w:cs="Arial"/>
          <w:color w:val="000000" w:themeColor="text1"/>
          <w:sz w:val="19"/>
          <w:szCs w:val="19"/>
        </w:rPr>
        <w:footnoteRef/>
      </w:r>
      <w:r w:rsidRPr="00AE0639">
        <w:rPr>
          <w:rFonts w:ascii="Geomanist Light" w:hAnsi="Geomanist Light" w:cs="Arial"/>
          <w:color w:val="000000" w:themeColor="text1"/>
          <w:sz w:val="19"/>
          <w:szCs w:val="19"/>
        </w:rPr>
        <w:t xml:space="preserve"> Concepto del 3 de septiembre de 2019, emitido en el radicado No. 2201913000006512.</w:t>
      </w:r>
    </w:p>
    <w:p w14:paraId="64425E1B" w14:textId="77777777" w:rsidR="0054230D" w:rsidRPr="00AE0639" w:rsidRDefault="0054230D" w:rsidP="0054230D">
      <w:pPr>
        <w:pStyle w:val="Textonotapie"/>
        <w:ind w:firstLine="708"/>
        <w:jc w:val="both"/>
        <w:rPr>
          <w:rFonts w:ascii="Geomanist Light" w:hAnsi="Geomanist Light" w:cs="Arial"/>
          <w:color w:val="000000" w:themeColor="text1"/>
          <w:sz w:val="19"/>
          <w:szCs w:val="19"/>
          <w:lang w:val="es-ES"/>
        </w:rPr>
      </w:pPr>
    </w:p>
  </w:footnote>
  <w:footnote w:id="4">
    <w:p w14:paraId="61211204" w14:textId="77777777" w:rsidR="0054230D" w:rsidRPr="00AE0639" w:rsidRDefault="0054230D" w:rsidP="0054230D">
      <w:pPr>
        <w:pStyle w:val="Textonotapie"/>
        <w:ind w:firstLine="708"/>
        <w:jc w:val="both"/>
        <w:rPr>
          <w:rFonts w:ascii="Geomanist Light" w:hAnsi="Geomanist Light" w:cs="Arial"/>
          <w:color w:val="000000" w:themeColor="text1"/>
          <w:sz w:val="19"/>
          <w:szCs w:val="19"/>
        </w:rPr>
      </w:pPr>
      <w:r w:rsidRPr="00AE0639">
        <w:rPr>
          <w:rStyle w:val="Refdenotaalpie"/>
          <w:rFonts w:ascii="Geomanist Light" w:hAnsi="Geomanist Light" w:cs="Arial"/>
          <w:color w:val="000000" w:themeColor="text1"/>
          <w:sz w:val="19"/>
          <w:szCs w:val="19"/>
        </w:rPr>
        <w:footnoteRef/>
      </w:r>
      <w:r w:rsidRPr="00AE0639">
        <w:rPr>
          <w:rFonts w:ascii="Geomanist Light" w:hAnsi="Geomanist Light" w:cs="Arial"/>
          <w:color w:val="000000" w:themeColor="text1"/>
          <w:sz w:val="19"/>
          <w:szCs w:val="19"/>
        </w:rPr>
        <w:t xml:space="preserve"> Concepto del 19 de noviembre de 2019, emitido en el radicado No. 2201913000008611.</w:t>
      </w:r>
    </w:p>
    <w:p w14:paraId="4CBD05FC" w14:textId="77777777" w:rsidR="0054230D" w:rsidRPr="00AE0639" w:rsidRDefault="0054230D" w:rsidP="0054230D">
      <w:pPr>
        <w:pStyle w:val="Textonotapie"/>
        <w:ind w:firstLine="708"/>
        <w:jc w:val="both"/>
        <w:rPr>
          <w:rFonts w:ascii="Geomanist Light" w:hAnsi="Geomanist Light" w:cs="Arial"/>
          <w:color w:val="000000" w:themeColor="text1"/>
          <w:sz w:val="19"/>
          <w:szCs w:val="19"/>
          <w:lang w:val="es-ES"/>
        </w:rPr>
      </w:pPr>
    </w:p>
  </w:footnote>
  <w:footnote w:id="5">
    <w:p w14:paraId="30B63B4D" w14:textId="77777777" w:rsidR="0054230D" w:rsidRPr="00AE0639" w:rsidRDefault="0054230D" w:rsidP="0054230D">
      <w:pPr>
        <w:pStyle w:val="Textonotapie"/>
        <w:ind w:firstLine="708"/>
        <w:jc w:val="both"/>
        <w:rPr>
          <w:rFonts w:ascii="Geomanist Light" w:hAnsi="Geomanist Light" w:cs="Arial"/>
          <w:sz w:val="19"/>
          <w:szCs w:val="19"/>
        </w:rPr>
      </w:pPr>
      <w:r w:rsidRPr="00AE0639">
        <w:rPr>
          <w:rStyle w:val="Refdenotaalpie"/>
          <w:rFonts w:ascii="Geomanist Light" w:hAnsi="Geomanist Light" w:cs="Arial"/>
          <w:sz w:val="19"/>
          <w:szCs w:val="19"/>
        </w:rPr>
        <w:footnoteRef/>
      </w:r>
      <w:r w:rsidRPr="00AE0639">
        <w:rPr>
          <w:rFonts w:ascii="Geomanist Light" w:hAnsi="Geomanist Light" w:cs="Arial"/>
          <w:sz w:val="19"/>
          <w:szCs w:val="19"/>
        </w:rPr>
        <w:t xml:space="preserve"> Decreto 092 de 2017 «Artículo 8°. Aplicación de normas generales del sistema de contratación pública. La contratación a la que hace referencia el presente decreto está sujeta a las normas generales aplicables a la contratación pública excepto en lo reglamentado en el presente decreto».</w:t>
      </w:r>
    </w:p>
    <w:p w14:paraId="5A0DD1FC" w14:textId="77777777" w:rsidR="0054230D" w:rsidRPr="00AE0639" w:rsidRDefault="0054230D" w:rsidP="0054230D">
      <w:pPr>
        <w:pStyle w:val="Textonotapie"/>
        <w:ind w:firstLine="708"/>
        <w:jc w:val="both"/>
        <w:rPr>
          <w:rFonts w:ascii="Geomanist Light" w:hAnsi="Geomanist Light" w:cs="Arial"/>
          <w:sz w:val="19"/>
          <w:szCs w:val="19"/>
          <w:lang w:val="es-CO"/>
        </w:rPr>
      </w:pPr>
    </w:p>
  </w:footnote>
  <w:footnote w:id="6">
    <w:p w14:paraId="5B7C1563" w14:textId="77777777" w:rsidR="0054230D" w:rsidRPr="00AE0639" w:rsidRDefault="0054230D" w:rsidP="0054230D">
      <w:pPr>
        <w:pStyle w:val="Textonotapie"/>
        <w:rPr>
          <w:rFonts w:ascii="Geomanist Light" w:hAnsi="Geomanist Light"/>
        </w:rPr>
      </w:pPr>
    </w:p>
    <w:p w14:paraId="424D676F" w14:textId="77777777" w:rsidR="0054230D" w:rsidRPr="00AE0639" w:rsidRDefault="0054230D" w:rsidP="0054230D">
      <w:pPr>
        <w:pStyle w:val="NormalWeb"/>
        <w:spacing w:after="0"/>
        <w:ind w:firstLine="708"/>
        <w:jc w:val="both"/>
        <w:rPr>
          <w:rFonts w:ascii="Geomanist Light" w:hAnsi="Geomanist Light" w:cs="Arial"/>
          <w:color w:val="000000"/>
          <w:sz w:val="19"/>
          <w:szCs w:val="19"/>
        </w:rPr>
      </w:pPr>
      <w:r w:rsidRPr="00AE0639">
        <w:rPr>
          <w:rStyle w:val="Refdenotaalpie"/>
          <w:rFonts w:ascii="Geomanist Light" w:hAnsi="Geomanist Light" w:cs="Arial"/>
          <w:sz w:val="19"/>
          <w:szCs w:val="19"/>
        </w:rPr>
        <w:footnoteRef/>
      </w:r>
      <w:r w:rsidRPr="00AE0639">
        <w:rPr>
          <w:rFonts w:ascii="Geomanist Light" w:hAnsi="Geomanist Light" w:cs="Arial"/>
          <w:sz w:val="19"/>
          <w:szCs w:val="19"/>
        </w:rPr>
        <w:t xml:space="preserve"> Decreto 092 de 2017 </w:t>
      </w:r>
      <w:r w:rsidRPr="00AE0639">
        <w:rPr>
          <w:rFonts w:ascii="Geomanist Light" w:hAnsi="Geomanist Light" w:cs="Arial"/>
          <w:b/>
          <w:bCs/>
          <w:sz w:val="19"/>
          <w:szCs w:val="19"/>
        </w:rPr>
        <w:t>«</w:t>
      </w:r>
      <w:r w:rsidRPr="00AE0639">
        <w:rPr>
          <w:rStyle w:val="Textoennegrita"/>
          <w:rFonts w:ascii="Geomanist Light" w:hAnsi="Geomanist Light" w:cs="Arial"/>
          <w:color w:val="000000"/>
          <w:sz w:val="19"/>
          <w:szCs w:val="19"/>
        </w:rPr>
        <w:t>Artículo 7°</w:t>
      </w:r>
      <w:r w:rsidRPr="00AE0639">
        <w:rPr>
          <w:rFonts w:ascii="Geomanist Light" w:hAnsi="Geomanist Light" w:cs="Arial"/>
          <w:color w:val="000000"/>
          <w:sz w:val="19"/>
          <w:szCs w:val="19"/>
        </w:rPr>
        <w:t>.</w:t>
      </w:r>
      <w:r w:rsidRPr="00AE0639">
        <w:rPr>
          <w:rFonts w:ascii="Calibri" w:hAnsi="Calibri" w:cs="Calibri"/>
          <w:color w:val="000000"/>
          <w:sz w:val="19"/>
          <w:szCs w:val="19"/>
        </w:rPr>
        <w:t> </w:t>
      </w:r>
      <w:r w:rsidRPr="00AE0639">
        <w:rPr>
          <w:rStyle w:val="nfasis"/>
          <w:rFonts w:ascii="Geomanist Light" w:hAnsi="Geomanist Light" w:cs="Arial"/>
          <w:color w:val="000000"/>
          <w:sz w:val="19"/>
          <w:szCs w:val="19"/>
        </w:rPr>
        <w:t>Aplicación de los principios de la contratación estatal.</w:t>
      </w:r>
      <w:r w:rsidRPr="00AE0639">
        <w:rPr>
          <w:rStyle w:val="nfasis"/>
          <w:rFonts w:ascii="Calibri" w:hAnsi="Calibri" w:cs="Calibri"/>
          <w:color w:val="000000"/>
          <w:sz w:val="19"/>
          <w:szCs w:val="19"/>
        </w:rPr>
        <w:t> </w:t>
      </w:r>
      <w:r w:rsidRPr="00AE0639">
        <w:rPr>
          <w:rFonts w:ascii="Geomanist Light" w:hAnsi="Geomanist Light" w:cs="Arial"/>
          <w:color w:val="000000"/>
          <w:sz w:val="19"/>
          <w:szCs w:val="19"/>
        </w:rPr>
        <w:t>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w:t>
      </w:r>
      <w:r w:rsidRPr="00AE0639">
        <w:rPr>
          <w:rFonts w:ascii="Geomanist Light" w:hAnsi="Geomanist Light" w:cs="Arial"/>
          <w:color w:val="000000"/>
          <w:sz w:val="19"/>
          <w:szCs w:val="19"/>
        </w:rPr>
        <w:softHyphen/>
        <w:t>rrollo, incluyendo los datos referentes a la existencia y representación legal de la entidad con quien contrató y la información de pagos».</w:t>
      </w:r>
      <w:r w:rsidRPr="00AE0639">
        <w:rPr>
          <w:rFonts w:ascii="Calibri" w:hAnsi="Calibri" w:cs="Calibri"/>
          <w:color w:val="000000"/>
          <w:sz w:val="19"/>
          <w:szCs w:val="19"/>
        </w:rPr>
        <w:t> </w:t>
      </w:r>
    </w:p>
    <w:p w14:paraId="2E85D974" w14:textId="77777777" w:rsidR="0054230D" w:rsidRPr="00AE0639" w:rsidRDefault="0054230D" w:rsidP="0054230D">
      <w:pPr>
        <w:pStyle w:val="Textonotapie"/>
        <w:ind w:firstLine="708"/>
        <w:jc w:val="both"/>
        <w:rPr>
          <w:rFonts w:ascii="Geomanist Light" w:hAnsi="Geomanist Light"/>
          <w:lang w:val="es-CO"/>
        </w:rPr>
      </w:pPr>
      <w:r w:rsidRPr="00AE0639">
        <w:rPr>
          <w:rFonts w:ascii="Geomanist Light" w:hAnsi="Geomanist Light" w:cs="Arial"/>
          <w:sz w:val="19"/>
          <w:szCs w:val="19"/>
        </w:rPr>
        <w:ta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F2F0" w14:textId="77777777" w:rsidR="00351445" w:rsidRDefault="00351445" w:rsidP="00351445">
    <w:pPr>
      <w:rPr>
        <w:rFonts w:ascii="Geomanist Bold" w:hAnsi="Geomanist Bold"/>
        <w:color w:val="002060"/>
      </w:rPr>
    </w:pPr>
  </w:p>
  <w:p w14:paraId="0B76C8F7" w14:textId="77777777" w:rsidR="00351445" w:rsidRPr="003F58A1" w:rsidRDefault="00351445" w:rsidP="00351445">
    <w:pPr>
      <w:rPr>
        <w:rFonts w:ascii="Geomanist Bold" w:hAnsi="Geomanist Bold"/>
        <w:color w:val="002060"/>
      </w:rPr>
    </w:pPr>
    <w:r w:rsidRPr="008614E5">
      <w:rPr>
        <w:rFonts w:eastAsia="Arial Nova" w:cs="Arial Nova"/>
        <w:noProof/>
        <w:lang w:val="en-US"/>
      </w:rPr>
      <w:drawing>
        <wp:anchor distT="0" distB="0" distL="0" distR="0" simplePos="0" relativeHeight="251661312" behindDoc="1" locked="0" layoutInCell="1" hidden="0" allowOverlap="1" wp14:anchorId="155D11D6" wp14:editId="2E81EF26">
          <wp:simplePos x="0" y="0"/>
          <wp:positionH relativeFrom="margin">
            <wp:posOffset>3973830</wp:posOffset>
          </wp:positionH>
          <wp:positionV relativeFrom="paragraph">
            <wp:posOffset>16510</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351445" w:rsidRPr="00367110" w14:paraId="324FB274" w14:textId="77777777" w:rsidTr="0085300F">
      <w:tc>
        <w:tcPr>
          <w:tcW w:w="6756" w:type="dxa"/>
        </w:tcPr>
        <w:p w14:paraId="6708753C" w14:textId="77777777" w:rsidR="00351445" w:rsidRPr="006478E3" w:rsidRDefault="00351445" w:rsidP="00351445">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4A865FE7" w14:textId="77777777" w:rsidR="00351445" w:rsidRPr="0057618A" w:rsidRDefault="00351445" w:rsidP="00351445">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201A0A58" w14:textId="77777777" w:rsidR="00351445" w:rsidRPr="00367110" w:rsidRDefault="00351445" w:rsidP="00351445">
          <w:pPr>
            <w:jc w:val="right"/>
            <w:rPr>
              <w:rFonts w:eastAsia="Arial Nova" w:cs="Arial Nova"/>
              <w:lang w:eastAsia="es-CO"/>
            </w:rPr>
          </w:pPr>
        </w:p>
      </w:tc>
      <w:tc>
        <w:tcPr>
          <w:tcW w:w="1324" w:type="dxa"/>
        </w:tcPr>
        <w:p w14:paraId="220B9B40" w14:textId="77777777" w:rsidR="00351445" w:rsidRPr="00367110" w:rsidRDefault="00351445" w:rsidP="00351445">
          <w:pPr>
            <w:jc w:val="right"/>
            <w:rPr>
              <w:rFonts w:eastAsia="Arial Nova" w:cs="Arial Nova"/>
              <w:lang w:eastAsia="es-CO"/>
            </w:rPr>
          </w:pPr>
        </w:p>
      </w:tc>
    </w:tr>
  </w:tbl>
  <w:p w14:paraId="367DDB91" w14:textId="77777777" w:rsidR="00351445" w:rsidRDefault="00351445" w:rsidP="00351445">
    <w:pPr>
      <w:pStyle w:val="Encabezado"/>
      <w:ind w:left="3545" w:firstLine="709"/>
    </w:pPr>
    <w:r w:rsidRPr="00367110">
      <w:rPr>
        <w:rFonts w:eastAsia="Arial Nova" w:cs="Arial Nova"/>
        <w:noProof/>
        <w:color w:val="000000"/>
        <w:lang w:val="en-US"/>
      </w:rPr>
      <w:drawing>
        <wp:anchor distT="0" distB="0" distL="114300" distR="114300" simplePos="0" relativeHeight="251662336" behindDoc="1" locked="0" layoutInCell="1" allowOverlap="1" wp14:anchorId="49C04551" wp14:editId="70301D53">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1FDEE309" w14:textId="77777777" w:rsidR="000E0524"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637853"/>
    <w:multiLevelType w:val="hybridMultilevel"/>
    <w:tmpl w:val="7DEE9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809718">
    <w:abstractNumId w:val="3"/>
  </w:num>
  <w:num w:numId="2" w16cid:durableId="18311674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504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687732">
    <w:abstractNumId w:val="1"/>
  </w:num>
  <w:num w:numId="5" w16cid:durableId="2117016578">
    <w:abstractNumId w:val="2"/>
  </w:num>
  <w:num w:numId="6" w16cid:durableId="1831365175">
    <w:abstractNumId w:val="5"/>
  </w:num>
  <w:num w:numId="7" w16cid:durableId="1191265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26BBD"/>
    <w:rsid w:val="000360FA"/>
    <w:rsid w:val="0006071F"/>
    <w:rsid w:val="00062600"/>
    <w:rsid w:val="00064152"/>
    <w:rsid w:val="00080181"/>
    <w:rsid w:val="000A4E33"/>
    <w:rsid w:val="000B175F"/>
    <w:rsid w:val="000B17A0"/>
    <w:rsid w:val="000C7F7B"/>
    <w:rsid w:val="000D37CE"/>
    <w:rsid w:val="000E0118"/>
    <w:rsid w:val="000F3464"/>
    <w:rsid w:val="000F494E"/>
    <w:rsid w:val="000F4974"/>
    <w:rsid w:val="00105A22"/>
    <w:rsid w:val="00105C88"/>
    <w:rsid w:val="00106E68"/>
    <w:rsid w:val="00112AE8"/>
    <w:rsid w:val="00113845"/>
    <w:rsid w:val="001138C2"/>
    <w:rsid w:val="0011443E"/>
    <w:rsid w:val="001160D2"/>
    <w:rsid w:val="00125568"/>
    <w:rsid w:val="00135FBD"/>
    <w:rsid w:val="00137E23"/>
    <w:rsid w:val="00140435"/>
    <w:rsid w:val="00141896"/>
    <w:rsid w:val="00143096"/>
    <w:rsid w:val="00146ED0"/>
    <w:rsid w:val="00160946"/>
    <w:rsid w:val="00161488"/>
    <w:rsid w:val="00163D53"/>
    <w:rsid w:val="00167865"/>
    <w:rsid w:val="001738E7"/>
    <w:rsid w:val="00180F7C"/>
    <w:rsid w:val="001843A9"/>
    <w:rsid w:val="001910D9"/>
    <w:rsid w:val="001B3693"/>
    <w:rsid w:val="001D387D"/>
    <w:rsid w:val="001D3CAB"/>
    <w:rsid w:val="001E24B3"/>
    <w:rsid w:val="001F5088"/>
    <w:rsid w:val="00216963"/>
    <w:rsid w:val="00235979"/>
    <w:rsid w:val="00244370"/>
    <w:rsid w:val="00245150"/>
    <w:rsid w:val="002500ED"/>
    <w:rsid w:val="00265F9F"/>
    <w:rsid w:val="00270570"/>
    <w:rsid w:val="00273C54"/>
    <w:rsid w:val="002A4E3C"/>
    <w:rsid w:val="002B19FB"/>
    <w:rsid w:val="002D4402"/>
    <w:rsid w:val="002D45F2"/>
    <w:rsid w:val="002D72D7"/>
    <w:rsid w:val="002E143C"/>
    <w:rsid w:val="002E2585"/>
    <w:rsid w:val="00306D9A"/>
    <w:rsid w:val="003120AF"/>
    <w:rsid w:val="00313E5A"/>
    <w:rsid w:val="003255AD"/>
    <w:rsid w:val="003303C6"/>
    <w:rsid w:val="003312CF"/>
    <w:rsid w:val="00342268"/>
    <w:rsid w:val="00342A1C"/>
    <w:rsid w:val="0034658D"/>
    <w:rsid w:val="00346A2B"/>
    <w:rsid w:val="00350E8F"/>
    <w:rsid w:val="00351445"/>
    <w:rsid w:val="003602F7"/>
    <w:rsid w:val="00361ADC"/>
    <w:rsid w:val="0038155E"/>
    <w:rsid w:val="003816CD"/>
    <w:rsid w:val="0038763D"/>
    <w:rsid w:val="003916E5"/>
    <w:rsid w:val="0039522B"/>
    <w:rsid w:val="003A1172"/>
    <w:rsid w:val="003A1C61"/>
    <w:rsid w:val="003A7142"/>
    <w:rsid w:val="003B177A"/>
    <w:rsid w:val="003C4AA9"/>
    <w:rsid w:val="003C51B4"/>
    <w:rsid w:val="003F4498"/>
    <w:rsid w:val="00400976"/>
    <w:rsid w:val="00402AE8"/>
    <w:rsid w:val="004052CC"/>
    <w:rsid w:val="004141A3"/>
    <w:rsid w:val="00415314"/>
    <w:rsid w:val="00423644"/>
    <w:rsid w:val="00427C34"/>
    <w:rsid w:val="004460CB"/>
    <w:rsid w:val="00466A8F"/>
    <w:rsid w:val="00470BA4"/>
    <w:rsid w:val="0048163B"/>
    <w:rsid w:val="00485BD5"/>
    <w:rsid w:val="004875A5"/>
    <w:rsid w:val="00491536"/>
    <w:rsid w:val="004950DA"/>
    <w:rsid w:val="004B58FE"/>
    <w:rsid w:val="004C7B7A"/>
    <w:rsid w:val="004D591C"/>
    <w:rsid w:val="004F1523"/>
    <w:rsid w:val="004F46BF"/>
    <w:rsid w:val="004F5DD8"/>
    <w:rsid w:val="00513144"/>
    <w:rsid w:val="00513D68"/>
    <w:rsid w:val="00514F32"/>
    <w:rsid w:val="005209DB"/>
    <w:rsid w:val="00527401"/>
    <w:rsid w:val="0054230D"/>
    <w:rsid w:val="00545032"/>
    <w:rsid w:val="00547F1F"/>
    <w:rsid w:val="005553B1"/>
    <w:rsid w:val="00564B0A"/>
    <w:rsid w:val="00585CB4"/>
    <w:rsid w:val="005875B0"/>
    <w:rsid w:val="005A044C"/>
    <w:rsid w:val="005A3F16"/>
    <w:rsid w:val="005B3920"/>
    <w:rsid w:val="005D6A81"/>
    <w:rsid w:val="005F6209"/>
    <w:rsid w:val="006119F5"/>
    <w:rsid w:val="00623ADD"/>
    <w:rsid w:val="00633C24"/>
    <w:rsid w:val="0063713F"/>
    <w:rsid w:val="006408BD"/>
    <w:rsid w:val="00661CDD"/>
    <w:rsid w:val="00661EC4"/>
    <w:rsid w:val="00662DF1"/>
    <w:rsid w:val="0066416F"/>
    <w:rsid w:val="0067765B"/>
    <w:rsid w:val="00680F7A"/>
    <w:rsid w:val="006D1839"/>
    <w:rsid w:val="006D21AA"/>
    <w:rsid w:val="006D3709"/>
    <w:rsid w:val="006D377F"/>
    <w:rsid w:val="006D569D"/>
    <w:rsid w:val="006D731B"/>
    <w:rsid w:val="006F154D"/>
    <w:rsid w:val="00700298"/>
    <w:rsid w:val="00705FC8"/>
    <w:rsid w:val="007139A5"/>
    <w:rsid w:val="007252E2"/>
    <w:rsid w:val="00725D2D"/>
    <w:rsid w:val="00733A0B"/>
    <w:rsid w:val="00741F1E"/>
    <w:rsid w:val="00742C24"/>
    <w:rsid w:val="00772E6E"/>
    <w:rsid w:val="007768CE"/>
    <w:rsid w:val="00777F97"/>
    <w:rsid w:val="007979A2"/>
    <w:rsid w:val="007A01C3"/>
    <w:rsid w:val="007A6207"/>
    <w:rsid w:val="007B7C8D"/>
    <w:rsid w:val="007D0A2A"/>
    <w:rsid w:val="007D1469"/>
    <w:rsid w:val="007D1E2B"/>
    <w:rsid w:val="007E085E"/>
    <w:rsid w:val="007E14A3"/>
    <w:rsid w:val="007E56D6"/>
    <w:rsid w:val="007F742D"/>
    <w:rsid w:val="00805E08"/>
    <w:rsid w:val="0080741E"/>
    <w:rsid w:val="00813A09"/>
    <w:rsid w:val="00814DCC"/>
    <w:rsid w:val="00830AB8"/>
    <w:rsid w:val="00836DE6"/>
    <w:rsid w:val="00852371"/>
    <w:rsid w:val="00866EF3"/>
    <w:rsid w:val="008707D2"/>
    <w:rsid w:val="00876B50"/>
    <w:rsid w:val="00877B96"/>
    <w:rsid w:val="00892F74"/>
    <w:rsid w:val="008931E3"/>
    <w:rsid w:val="008A66DB"/>
    <w:rsid w:val="008A6B58"/>
    <w:rsid w:val="008B1801"/>
    <w:rsid w:val="008B1F27"/>
    <w:rsid w:val="008B69D4"/>
    <w:rsid w:val="008C23F3"/>
    <w:rsid w:val="008C3FAB"/>
    <w:rsid w:val="008C522E"/>
    <w:rsid w:val="008C66D4"/>
    <w:rsid w:val="008D648B"/>
    <w:rsid w:val="008E0D51"/>
    <w:rsid w:val="008E3D3C"/>
    <w:rsid w:val="008F7C0F"/>
    <w:rsid w:val="00900F79"/>
    <w:rsid w:val="0090161C"/>
    <w:rsid w:val="00924C32"/>
    <w:rsid w:val="00926EB3"/>
    <w:rsid w:val="009271C4"/>
    <w:rsid w:val="00936811"/>
    <w:rsid w:val="00936877"/>
    <w:rsid w:val="00947102"/>
    <w:rsid w:val="00953264"/>
    <w:rsid w:val="00954527"/>
    <w:rsid w:val="00963B2A"/>
    <w:rsid w:val="00963F50"/>
    <w:rsid w:val="0096558F"/>
    <w:rsid w:val="009800E4"/>
    <w:rsid w:val="009820AE"/>
    <w:rsid w:val="009831D2"/>
    <w:rsid w:val="00992F7F"/>
    <w:rsid w:val="0099583D"/>
    <w:rsid w:val="009978CE"/>
    <w:rsid w:val="009A2C90"/>
    <w:rsid w:val="009D07C7"/>
    <w:rsid w:val="009D0A1F"/>
    <w:rsid w:val="009D1F65"/>
    <w:rsid w:val="009E7A10"/>
    <w:rsid w:val="009F248A"/>
    <w:rsid w:val="00A03DF9"/>
    <w:rsid w:val="00A05370"/>
    <w:rsid w:val="00A11454"/>
    <w:rsid w:val="00A30642"/>
    <w:rsid w:val="00A312D2"/>
    <w:rsid w:val="00A330E4"/>
    <w:rsid w:val="00A43A0D"/>
    <w:rsid w:val="00A46EE2"/>
    <w:rsid w:val="00A5043E"/>
    <w:rsid w:val="00A74067"/>
    <w:rsid w:val="00A76848"/>
    <w:rsid w:val="00A81D15"/>
    <w:rsid w:val="00A85245"/>
    <w:rsid w:val="00A90992"/>
    <w:rsid w:val="00AA29DB"/>
    <w:rsid w:val="00AA5A4A"/>
    <w:rsid w:val="00AA7580"/>
    <w:rsid w:val="00AB1078"/>
    <w:rsid w:val="00AC141D"/>
    <w:rsid w:val="00AC2E54"/>
    <w:rsid w:val="00AE0639"/>
    <w:rsid w:val="00AE13D5"/>
    <w:rsid w:val="00AE5FD6"/>
    <w:rsid w:val="00AF0DE8"/>
    <w:rsid w:val="00B054A5"/>
    <w:rsid w:val="00B12226"/>
    <w:rsid w:val="00B22BD6"/>
    <w:rsid w:val="00B234A8"/>
    <w:rsid w:val="00B264E1"/>
    <w:rsid w:val="00B411E7"/>
    <w:rsid w:val="00B42724"/>
    <w:rsid w:val="00B46B01"/>
    <w:rsid w:val="00B51C4D"/>
    <w:rsid w:val="00B6353D"/>
    <w:rsid w:val="00B75207"/>
    <w:rsid w:val="00B75FA7"/>
    <w:rsid w:val="00B83B50"/>
    <w:rsid w:val="00B87D51"/>
    <w:rsid w:val="00B91DD0"/>
    <w:rsid w:val="00B93232"/>
    <w:rsid w:val="00BA3777"/>
    <w:rsid w:val="00BA44B8"/>
    <w:rsid w:val="00BB5EB1"/>
    <w:rsid w:val="00BD14E8"/>
    <w:rsid w:val="00BE0A45"/>
    <w:rsid w:val="00BE697C"/>
    <w:rsid w:val="00C04236"/>
    <w:rsid w:val="00C04C53"/>
    <w:rsid w:val="00C06717"/>
    <w:rsid w:val="00C06B8F"/>
    <w:rsid w:val="00C1261C"/>
    <w:rsid w:val="00C220AF"/>
    <w:rsid w:val="00C5468F"/>
    <w:rsid w:val="00C56D96"/>
    <w:rsid w:val="00C7406E"/>
    <w:rsid w:val="00C77B67"/>
    <w:rsid w:val="00C8019E"/>
    <w:rsid w:val="00CA30F2"/>
    <w:rsid w:val="00CB37C5"/>
    <w:rsid w:val="00CC4B5F"/>
    <w:rsid w:val="00CC679B"/>
    <w:rsid w:val="00CD7944"/>
    <w:rsid w:val="00CD7957"/>
    <w:rsid w:val="00CE184B"/>
    <w:rsid w:val="00CF0FEA"/>
    <w:rsid w:val="00CF4FBA"/>
    <w:rsid w:val="00CF5444"/>
    <w:rsid w:val="00CF77FF"/>
    <w:rsid w:val="00D0322E"/>
    <w:rsid w:val="00D06B09"/>
    <w:rsid w:val="00D11432"/>
    <w:rsid w:val="00D330CF"/>
    <w:rsid w:val="00D34607"/>
    <w:rsid w:val="00D351D8"/>
    <w:rsid w:val="00D41307"/>
    <w:rsid w:val="00D427A7"/>
    <w:rsid w:val="00D4382A"/>
    <w:rsid w:val="00D50385"/>
    <w:rsid w:val="00D52443"/>
    <w:rsid w:val="00D57D87"/>
    <w:rsid w:val="00D62CA4"/>
    <w:rsid w:val="00D6487A"/>
    <w:rsid w:val="00D66C12"/>
    <w:rsid w:val="00D702B8"/>
    <w:rsid w:val="00D74F81"/>
    <w:rsid w:val="00D812EF"/>
    <w:rsid w:val="00D81D6B"/>
    <w:rsid w:val="00DA5C08"/>
    <w:rsid w:val="00DB3320"/>
    <w:rsid w:val="00DC58FD"/>
    <w:rsid w:val="00DD21FF"/>
    <w:rsid w:val="00DE40F7"/>
    <w:rsid w:val="00DF1B3A"/>
    <w:rsid w:val="00DF392A"/>
    <w:rsid w:val="00E063D9"/>
    <w:rsid w:val="00E064A1"/>
    <w:rsid w:val="00E079B8"/>
    <w:rsid w:val="00E27E6F"/>
    <w:rsid w:val="00E356D8"/>
    <w:rsid w:val="00E3734C"/>
    <w:rsid w:val="00E4514D"/>
    <w:rsid w:val="00E550EF"/>
    <w:rsid w:val="00E562D9"/>
    <w:rsid w:val="00E60BAB"/>
    <w:rsid w:val="00E62C8E"/>
    <w:rsid w:val="00E6736E"/>
    <w:rsid w:val="00E73759"/>
    <w:rsid w:val="00E74F5B"/>
    <w:rsid w:val="00EA19FB"/>
    <w:rsid w:val="00EA1C6D"/>
    <w:rsid w:val="00EA2421"/>
    <w:rsid w:val="00EA3810"/>
    <w:rsid w:val="00EA5464"/>
    <w:rsid w:val="00EB4D78"/>
    <w:rsid w:val="00EB68A8"/>
    <w:rsid w:val="00EC2C56"/>
    <w:rsid w:val="00EC388B"/>
    <w:rsid w:val="00EC5890"/>
    <w:rsid w:val="00F117AE"/>
    <w:rsid w:val="00F1545F"/>
    <w:rsid w:val="00F26993"/>
    <w:rsid w:val="00F27A05"/>
    <w:rsid w:val="00F322BC"/>
    <w:rsid w:val="00F42B2E"/>
    <w:rsid w:val="00F509EB"/>
    <w:rsid w:val="00F628C3"/>
    <w:rsid w:val="00FB6BCC"/>
    <w:rsid w:val="00FC40FF"/>
    <w:rsid w:val="00FD0B3A"/>
    <w:rsid w:val="00FD1A31"/>
    <w:rsid w:val="00FF252D"/>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D6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270570"/>
    <w:pPr>
      <w:widowControl w:val="0"/>
      <w:autoSpaceDE w:val="0"/>
      <w:autoSpaceDN w:val="0"/>
      <w:ind w:left="300"/>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pPr>
      <w:spacing w:after="160" w:line="259" w:lineRule="auto"/>
    </w:pPr>
    <w:rPr>
      <w:rFonts w:eastAsiaTheme="minorHAnsi"/>
      <w:lang w:eastAsia="en-US"/>
    </w:rPr>
  </w:style>
  <w:style w:type="paragraph" w:styleId="Piedepgina">
    <w:name w:val="footer"/>
    <w:basedOn w:val="Normal"/>
    <w:link w:val="PiedepginaCar"/>
    <w:uiPriority w:val="99"/>
    <w:unhideWhenUsed/>
    <w:rsid w:val="00137E23"/>
    <w:pPr>
      <w:tabs>
        <w:tab w:val="center" w:pos="4419"/>
        <w:tab w:val="right" w:pos="8838"/>
      </w:tabs>
    </w:pPr>
    <w:rPr>
      <w:rFonts w:asciiTheme="minorHAnsi" w:eastAsiaTheme="minorHAnsi" w:hAnsiTheme="minorHAnsi" w:cstheme="minorBidi"/>
      <w:szCs w:val="22"/>
      <w:lang w:val="es-ES" w:eastAsia="en-U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ind w:left="720"/>
      <w:contextualSpacing/>
    </w:pPr>
    <w:rPr>
      <w:rFonts w:asciiTheme="minorHAnsi" w:eastAsiaTheme="minorHAnsi" w:hAnsiTheme="minorHAnsi" w:cstheme="minorBidi"/>
      <w:szCs w:val="22"/>
      <w:lang w:val="es-ES"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after="160" w:line="240" w:lineRule="exact"/>
    </w:pPr>
    <w:rPr>
      <w:rFonts w:asciiTheme="minorHAnsi" w:eastAsiaTheme="minorHAnsi" w:hAnsiTheme="minorHAnsi" w:cstheme="minorBidi"/>
      <w:sz w:val="22"/>
      <w:szCs w:val="22"/>
      <w:vertAlign w:val="superscript"/>
      <w:lang w:eastAsia="en-US"/>
    </w:rPr>
  </w:style>
  <w:style w:type="paragraph" w:styleId="Revisin">
    <w:name w:val="Revision"/>
    <w:hidden/>
    <w:uiPriority w:val="99"/>
    <w:semiHidden/>
    <w:rsid w:val="0080741E"/>
    <w:pPr>
      <w:spacing w:after="0" w:line="240" w:lineRule="auto"/>
    </w:pPr>
  </w:style>
  <w:style w:type="character" w:customStyle="1" w:styleId="NormalWebCar">
    <w:name w:val="Normal (Web) Car"/>
    <w:link w:val="NormalWeb"/>
    <w:uiPriority w:val="99"/>
    <w:locked/>
    <w:rsid w:val="00A05370"/>
    <w:rPr>
      <w:rFonts w:ascii="Times New Roman" w:hAnsi="Times New Roman" w:cs="Times New Roman"/>
      <w:sz w:val="24"/>
      <w:szCs w:val="24"/>
    </w:rPr>
  </w:style>
  <w:style w:type="character" w:styleId="Textoennegrita">
    <w:name w:val="Strong"/>
    <w:basedOn w:val="Fuentedeprrafopredeter"/>
    <w:uiPriority w:val="22"/>
    <w:qFormat/>
    <w:rsid w:val="00E550EF"/>
    <w:rPr>
      <w:b/>
      <w:bCs/>
    </w:rPr>
  </w:style>
  <w:style w:type="character" w:styleId="nfasis">
    <w:name w:val="Emphasis"/>
    <w:basedOn w:val="Fuentedeprrafopredeter"/>
    <w:uiPriority w:val="20"/>
    <w:qFormat/>
    <w:rsid w:val="00E55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756">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325523240">
      <w:bodyDiv w:val="1"/>
      <w:marLeft w:val="0"/>
      <w:marRight w:val="0"/>
      <w:marTop w:val="0"/>
      <w:marBottom w:val="0"/>
      <w:divBdr>
        <w:top w:val="none" w:sz="0" w:space="0" w:color="auto"/>
        <w:left w:val="none" w:sz="0" w:space="0" w:color="auto"/>
        <w:bottom w:val="none" w:sz="0" w:space="0" w:color="auto"/>
        <w:right w:val="none" w:sz="0" w:space="0" w:color="auto"/>
      </w:divBdr>
    </w:div>
    <w:div w:id="375545350">
      <w:bodyDiv w:val="1"/>
      <w:marLeft w:val="0"/>
      <w:marRight w:val="0"/>
      <w:marTop w:val="0"/>
      <w:marBottom w:val="0"/>
      <w:divBdr>
        <w:top w:val="none" w:sz="0" w:space="0" w:color="auto"/>
        <w:left w:val="none" w:sz="0" w:space="0" w:color="auto"/>
        <w:bottom w:val="none" w:sz="0" w:space="0" w:color="auto"/>
        <w:right w:val="none" w:sz="0" w:space="0" w:color="auto"/>
      </w:divBdr>
    </w:div>
    <w:div w:id="794326188">
      <w:bodyDiv w:val="1"/>
      <w:marLeft w:val="0"/>
      <w:marRight w:val="0"/>
      <w:marTop w:val="0"/>
      <w:marBottom w:val="0"/>
      <w:divBdr>
        <w:top w:val="none" w:sz="0" w:space="0" w:color="auto"/>
        <w:left w:val="none" w:sz="0" w:space="0" w:color="auto"/>
        <w:bottom w:val="none" w:sz="0" w:space="0" w:color="auto"/>
        <w:right w:val="none" w:sz="0" w:space="0" w:color="auto"/>
      </w:divBdr>
    </w:div>
    <w:div w:id="814680700">
      <w:bodyDiv w:val="1"/>
      <w:marLeft w:val="0"/>
      <w:marRight w:val="0"/>
      <w:marTop w:val="0"/>
      <w:marBottom w:val="0"/>
      <w:divBdr>
        <w:top w:val="none" w:sz="0" w:space="0" w:color="auto"/>
        <w:left w:val="none" w:sz="0" w:space="0" w:color="auto"/>
        <w:bottom w:val="none" w:sz="0" w:space="0" w:color="auto"/>
        <w:right w:val="none" w:sz="0" w:space="0" w:color="auto"/>
      </w:divBdr>
    </w:div>
    <w:div w:id="1022171920">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112701580">
      <w:bodyDiv w:val="1"/>
      <w:marLeft w:val="0"/>
      <w:marRight w:val="0"/>
      <w:marTop w:val="0"/>
      <w:marBottom w:val="0"/>
      <w:divBdr>
        <w:top w:val="none" w:sz="0" w:space="0" w:color="auto"/>
        <w:left w:val="none" w:sz="0" w:space="0" w:color="auto"/>
        <w:bottom w:val="none" w:sz="0" w:space="0" w:color="auto"/>
        <w:right w:val="none" w:sz="0" w:space="0" w:color="auto"/>
      </w:divBdr>
    </w:div>
    <w:div w:id="1190416893">
      <w:bodyDiv w:val="1"/>
      <w:marLeft w:val="0"/>
      <w:marRight w:val="0"/>
      <w:marTop w:val="0"/>
      <w:marBottom w:val="0"/>
      <w:divBdr>
        <w:top w:val="none" w:sz="0" w:space="0" w:color="auto"/>
        <w:left w:val="none" w:sz="0" w:space="0" w:color="auto"/>
        <w:bottom w:val="none" w:sz="0" w:space="0" w:color="auto"/>
        <w:right w:val="none" w:sz="0" w:space="0" w:color="auto"/>
      </w:divBdr>
    </w:div>
    <w:div w:id="1260874540">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593392646">
      <w:bodyDiv w:val="1"/>
      <w:marLeft w:val="0"/>
      <w:marRight w:val="0"/>
      <w:marTop w:val="0"/>
      <w:marBottom w:val="0"/>
      <w:divBdr>
        <w:top w:val="none" w:sz="0" w:space="0" w:color="auto"/>
        <w:left w:val="none" w:sz="0" w:space="0" w:color="auto"/>
        <w:bottom w:val="none" w:sz="0" w:space="0" w:color="auto"/>
        <w:right w:val="none" w:sz="0" w:space="0" w:color="auto"/>
      </w:divBdr>
    </w:div>
    <w:div w:id="1594783415">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733043054">
      <w:bodyDiv w:val="1"/>
      <w:marLeft w:val="0"/>
      <w:marRight w:val="0"/>
      <w:marTop w:val="0"/>
      <w:marBottom w:val="0"/>
      <w:divBdr>
        <w:top w:val="none" w:sz="0" w:space="0" w:color="auto"/>
        <w:left w:val="none" w:sz="0" w:space="0" w:color="auto"/>
        <w:bottom w:val="none" w:sz="0" w:space="0" w:color="auto"/>
        <w:right w:val="none" w:sz="0" w:space="0" w:color="auto"/>
      </w:divBdr>
    </w:div>
    <w:div w:id="1779835751">
      <w:bodyDiv w:val="1"/>
      <w:marLeft w:val="0"/>
      <w:marRight w:val="0"/>
      <w:marTop w:val="0"/>
      <w:marBottom w:val="0"/>
      <w:divBdr>
        <w:top w:val="none" w:sz="0" w:space="0" w:color="auto"/>
        <w:left w:val="none" w:sz="0" w:space="0" w:color="auto"/>
        <w:bottom w:val="none" w:sz="0" w:space="0" w:color="auto"/>
        <w:right w:val="none" w:sz="0" w:space="0" w:color="auto"/>
      </w:divBdr>
    </w:div>
    <w:div w:id="1803233155">
      <w:bodyDiv w:val="1"/>
      <w:marLeft w:val="0"/>
      <w:marRight w:val="0"/>
      <w:marTop w:val="0"/>
      <w:marBottom w:val="0"/>
      <w:divBdr>
        <w:top w:val="none" w:sz="0" w:space="0" w:color="auto"/>
        <w:left w:val="none" w:sz="0" w:space="0" w:color="auto"/>
        <w:bottom w:val="none" w:sz="0" w:space="0" w:color="auto"/>
        <w:right w:val="none" w:sz="0" w:space="0" w:color="auto"/>
      </w:divBdr>
    </w:div>
    <w:div w:id="1969318719">
      <w:bodyDiv w:val="1"/>
      <w:marLeft w:val="0"/>
      <w:marRight w:val="0"/>
      <w:marTop w:val="0"/>
      <w:marBottom w:val="0"/>
      <w:divBdr>
        <w:top w:val="none" w:sz="0" w:space="0" w:color="auto"/>
        <w:left w:val="none" w:sz="0" w:space="0" w:color="auto"/>
        <w:bottom w:val="none" w:sz="0" w:space="0" w:color="auto"/>
        <w:right w:val="none" w:sz="0" w:space="0" w:color="auto"/>
      </w:divBdr>
    </w:div>
    <w:div w:id="2020815107">
      <w:bodyDiv w:val="1"/>
      <w:marLeft w:val="0"/>
      <w:marRight w:val="0"/>
      <w:marTop w:val="0"/>
      <w:marBottom w:val="0"/>
      <w:divBdr>
        <w:top w:val="none" w:sz="0" w:space="0" w:color="auto"/>
        <w:left w:val="none" w:sz="0" w:space="0" w:color="auto"/>
        <w:bottom w:val="none" w:sz="0" w:space="0" w:color="auto"/>
        <w:right w:val="none" w:sz="0" w:space="0" w:color="auto"/>
      </w:divBdr>
    </w:div>
    <w:div w:id="2023316529">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2654343-8DB5-4EE8-8F0B-9272B7B03EB8}">
  <ds:schemaRefs>
    <ds:schemaRef ds:uri="http://schemas.openxmlformats.org/officeDocument/2006/bibliography"/>
  </ds:schemaRefs>
</ds:datastoreItem>
</file>

<file path=customXml/itemProps3.xml><?xml version="1.0" encoding="utf-8"?>
<ds:datastoreItem xmlns:ds="http://schemas.openxmlformats.org/officeDocument/2006/customXml" ds:itemID="{9238B554-0E83-4375-93FE-0E98097EED2E}"/>
</file>

<file path=customXml/itemProps4.xml><?xml version="1.0" encoding="utf-8"?>
<ds:datastoreItem xmlns:ds="http://schemas.openxmlformats.org/officeDocument/2006/customXml" ds:itemID="{B3C3DD4C-BCE8-43AA-A69E-3A18176F7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6293</Words>
  <Characters>34612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Diana Fabiola Herrera Hernandez</cp:lastModifiedBy>
  <cp:revision>3</cp:revision>
  <dcterms:created xsi:type="dcterms:W3CDTF">2022-11-15T00:11:00Z</dcterms:created>
  <dcterms:modified xsi:type="dcterms:W3CDTF">2022-11-15T00:18:00Z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