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01E75" w14:textId="051828F6" w:rsidR="00F40AF1" w:rsidRDefault="00F40AF1" w:rsidP="00F40AF1">
      <w:pPr>
        <w:spacing w:after="0" w:line="240" w:lineRule="auto"/>
        <w:jc w:val="both"/>
        <w:rPr>
          <w:rFonts w:ascii="Arial" w:eastAsia="Calibri" w:hAnsi="Arial" w:cs="Arial"/>
          <w:bCs/>
          <w:color w:val="C00000"/>
          <w:sz w:val="20"/>
          <w:szCs w:val="20"/>
          <w:lang w:eastAsia="es-ES_tradnl"/>
        </w:rPr>
      </w:pPr>
      <w:bookmarkStart w:id="0" w:name="_Hlk50481752"/>
    </w:p>
    <w:p w14:paraId="4F5A1B96" w14:textId="77777777" w:rsidR="000123C0" w:rsidRPr="00655AEF" w:rsidRDefault="000123C0" w:rsidP="00062F54">
      <w:pPr>
        <w:spacing w:after="0" w:line="240" w:lineRule="auto"/>
        <w:jc w:val="right"/>
        <w:rPr>
          <w:rFonts w:ascii="Arial" w:hAnsi="Arial" w:cs="Arial"/>
          <w:b/>
          <w:bCs/>
          <w:color w:val="000000" w:themeColor="text1"/>
          <w:sz w:val="20"/>
          <w:szCs w:val="20"/>
          <w:lang w:val="es-ES" w:eastAsia="es-ES"/>
        </w:rPr>
      </w:pPr>
      <w:r w:rsidRPr="00655AEF">
        <w:rPr>
          <w:rFonts w:ascii="Arial" w:hAnsi="Arial" w:cs="Arial"/>
          <w:b/>
          <w:bCs/>
          <w:color w:val="000000" w:themeColor="text1"/>
          <w:sz w:val="20"/>
          <w:szCs w:val="20"/>
          <w:lang w:val="es-ES" w:eastAsia="es-ES"/>
        </w:rPr>
        <w:tab/>
      </w:r>
      <w:r w:rsidRPr="00655AEF">
        <w:rPr>
          <w:rFonts w:ascii="Arial" w:hAnsi="Arial" w:cs="Arial"/>
          <w:b/>
          <w:bCs/>
          <w:color w:val="000000" w:themeColor="text1"/>
          <w:sz w:val="16"/>
          <w:szCs w:val="16"/>
          <w:lang w:val="es-ES" w:eastAsia="es-ES"/>
        </w:rPr>
        <w:t>CCE-DES-FM-17</w:t>
      </w:r>
    </w:p>
    <w:p w14:paraId="4EE12534" w14:textId="77777777" w:rsidR="000123C0" w:rsidRPr="00670216" w:rsidRDefault="000123C0" w:rsidP="00062F54">
      <w:pPr>
        <w:spacing w:after="0" w:line="240" w:lineRule="auto"/>
        <w:jc w:val="right"/>
        <w:rPr>
          <w:rFonts w:ascii="Arial" w:hAnsi="Arial" w:cs="Arial"/>
          <w:b/>
          <w:bCs/>
          <w:color w:val="000000" w:themeColor="text1"/>
          <w:sz w:val="20"/>
          <w:szCs w:val="20"/>
          <w:lang w:val="es-ES"/>
        </w:rPr>
      </w:pPr>
    </w:p>
    <w:p w14:paraId="705FFB06" w14:textId="77777777" w:rsidR="00DE38AB" w:rsidRPr="00DE38AB" w:rsidRDefault="00DE38AB" w:rsidP="00DE38AB">
      <w:pPr>
        <w:spacing w:after="0" w:line="240" w:lineRule="auto"/>
        <w:jc w:val="both"/>
        <w:rPr>
          <w:rFonts w:ascii="Arial" w:eastAsia="Calibri" w:hAnsi="Arial" w:cs="Arial"/>
          <w:b/>
          <w:szCs w:val="24"/>
          <w:lang w:val="es-ES_tradnl" w:eastAsia="es-ES_tradnl"/>
        </w:rPr>
      </w:pPr>
      <w:r w:rsidRPr="00DE38AB">
        <w:rPr>
          <w:rFonts w:ascii="Arial" w:eastAsia="Calibri" w:hAnsi="Arial" w:cs="Arial"/>
          <w:b/>
          <w:szCs w:val="24"/>
          <w:lang w:val="es-ES_tradnl" w:eastAsia="es-ES_tradnl"/>
        </w:rPr>
        <w:t>CONCURSO DE MÉRITOS – Concepto – Modalidades</w:t>
      </w:r>
    </w:p>
    <w:p w14:paraId="2D2E10BD" w14:textId="77777777" w:rsidR="00DE38AB" w:rsidRPr="00DE38AB" w:rsidRDefault="00DE38AB" w:rsidP="00DE38AB">
      <w:pPr>
        <w:spacing w:after="0" w:line="240" w:lineRule="auto"/>
        <w:jc w:val="both"/>
        <w:rPr>
          <w:rFonts w:ascii="Arial" w:eastAsia="Calibri" w:hAnsi="Arial" w:cs="Arial"/>
          <w:b/>
          <w:szCs w:val="24"/>
          <w:lang w:val="es-ES_tradnl" w:eastAsia="es-ES_tradnl"/>
        </w:rPr>
      </w:pPr>
    </w:p>
    <w:p w14:paraId="4BD6B420" w14:textId="77777777" w:rsidR="00A14C29" w:rsidRPr="00A14C29" w:rsidRDefault="00A14C29" w:rsidP="00A14C29">
      <w:pPr>
        <w:spacing w:after="0" w:line="240" w:lineRule="auto"/>
        <w:jc w:val="both"/>
        <w:rPr>
          <w:rFonts w:ascii="Arial" w:eastAsia="Times New Roman" w:hAnsi="Arial" w:cs="Arial"/>
          <w:color w:val="000000"/>
          <w:sz w:val="20"/>
          <w:szCs w:val="20"/>
          <w:lang w:val="es-ES_tradnl" w:eastAsia="es-ES_tradnl"/>
        </w:rPr>
      </w:pPr>
      <w:r w:rsidRPr="00A14C29">
        <w:rPr>
          <w:rFonts w:ascii="Arial" w:eastAsia="Times New Roman" w:hAnsi="Arial" w:cs="Arial"/>
          <w:color w:val="000000"/>
          <w:sz w:val="20"/>
          <w:szCs w:val="20"/>
          <w:lang w:val="es-ES_tradnl" w:eastAsia="es-ES_tradnl"/>
        </w:rPr>
        <w:t xml:space="preserve">El </w:t>
      </w:r>
      <w:r w:rsidRPr="00A14C29">
        <w:rPr>
          <w:rFonts w:ascii="Arial" w:eastAsia="Times New Roman" w:hAnsi="Arial" w:cs="Arial"/>
          <w:i/>
          <w:iCs/>
          <w:color w:val="000000"/>
          <w:sz w:val="20"/>
          <w:szCs w:val="20"/>
          <w:lang w:val="es-ES_tradnl" w:eastAsia="es-ES_tradnl"/>
        </w:rPr>
        <w:t xml:space="preserve">concurso de méritos </w:t>
      </w:r>
      <w:r w:rsidRPr="00A14C29">
        <w:rPr>
          <w:rFonts w:ascii="Arial" w:eastAsia="Times New Roman" w:hAnsi="Arial" w:cs="Arial"/>
          <w:color w:val="000000"/>
          <w:sz w:val="20"/>
          <w:szCs w:val="20"/>
          <w:lang w:val="es-ES_tradnl" w:eastAsia="es-ES_tradnl"/>
        </w:rPr>
        <w:t>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dispuesto en el artículo 32, numeral 2, de la Ley 80 de 1993.</w:t>
      </w:r>
    </w:p>
    <w:p w14:paraId="06C91CF3" w14:textId="77777777" w:rsidR="00A14C29" w:rsidRPr="00A14C29" w:rsidRDefault="00A14C29" w:rsidP="00A14C29">
      <w:pPr>
        <w:spacing w:before="120" w:after="0" w:line="240" w:lineRule="auto"/>
        <w:jc w:val="both"/>
        <w:rPr>
          <w:rFonts w:ascii="Arial" w:eastAsia="Times New Roman" w:hAnsi="Arial" w:cs="Arial"/>
          <w:color w:val="000000"/>
          <w:sz w:val="20"/>
          <w:szCs w:val="20"/>
          <w:lang w:val="es-ES_tradnl" w:eastAsia="es-ES_tradnl"/>
        </w:rPr>
      </w:pPr>
      <w:r w:rsidRPr="00A14C29">
        <w:rPr>
          <w:rFonts w:ascii="Arial" w:eastAsia="Times New Roman" w:hAnsi="Arial" w:cs="Arial"/>
          <w:color w:val="000000"/>
          <w:sz w:val="20"/>
          <w:szCs w:val="20"/>
          <w:lang w:val="es-ES_tradnl" w:eastAsia="es-ES_tradnl"/>
        </w:rPr>
        <w:t xml:space="preserve">El Libro 2, Parte 2, Título 1, Capítulo 2, Sección 1, Subsección 3 del Decreto 1082 de 2015, regula las distintas modalidades del concurso de méritos: i) concurso de méritos abierto o sin precalificación, </w:t>
      </w:r>
      <w:proofErr w:type="spellStart"/>
      <w:r w:rsidRPr="00A14C29">
        <w:rPr>
          <w:rFonts w:ascii="Arial" w:eastAsia="Times New Roman" w:hAnsi="Arial" w:cs="Arial"/>
          <w:color w:val="000000"/>
          <w:sz w:val="20"/>
          <w:szCs w:val="20"/>
          <w:lang w:val="es-ES_tradnl" w:eastAsia="es-ES_tradnl"/>
        </w:rPr>
        <w:t>ii</w:t>
      </w:r>
      <w:proofErr w:type="spellEnd"/>
      <w:r w:rsidRPr="00A14C29">
        <w:rPr>
          <w:rFonts w:ascii="Arial" w:eastAsia="Times New Roman" w:hAnsi="Arial" w:cs="Arial"/>
          <w:color w:val="000000"/>
          <w:sz w:val="20"/>
          <w:szCs w:val="20"/>
          <w:lang w:val="es-ES_tradnl" w:eastAsia="es-ES_tradnl"/>
        </w:rPr>
        <w:t xml:space="preserve">) concurso de méritos cerrado o con precalificación y </w:t>
      </w:r>
      <w:proofErr w:type="spellStart"/>
      <w:r w:rsidRPr="00A14C29">
        <w:rPr>
          <w:rFonts w:ascii="Arial" w:eastAsia="Times New Roman" w:hAnsi="Arial" w:cs="Arial"/>
          <w:color w:val="000000"/>
          <w:sz w:val="20"/>
          <w:szCs w:val="20"/>
          <w:lang w:val="es-ES_tradnl" w:eastAsia="es-ES_tradnl"/>
        </w:rPr>
        <w:t>iii</w:t>
      </w:r>
      <w:proofErr w:type="spellEnd"/>
      <w:r w:rsidRPr="00A14C29">
        <w:rPr>
          <w:rFonts w:ascii="Arial" w:eastAsia="Times New Roman" w:hAnsi="Arial" w:cs="Arial"/>
          <w:color w:val="000000"/>
          <w:sz w:val="20"/>
          <w:szCs w:val="20"/>
          <w:lang w:val="es-ES_tradnl" w:eastAsia="es-ES_tradnl"/>
        </w:rPr>
        <w:t xml:space="preserve">) concurso de méritos «para la selección de consultores de diseño, planos, anteproyectos y proyectos arquitectónicos». El primero está regulado en los artículos 2.2.1.2.1.3.1. y 2.2.1.2.1.3.2. </w:t>
      </w:r>
      <w:proofErr w:type="spellStart"/>
      <w:r w:rsidRPr="00A14C29">
        <w:rPr>
          <w:rFonts w:ascii="Arial" w:eastAsia="Times New Roman" w:hAnsi="Arial" w:cs="Arial"/>
          <w:i/>
          <w:iCs/>
          <w:color w:val="000000"/>
          <w:sz w:val="20"/>
          <w:szCs w:val="20"/>
          <w:lang w:val="es-ES_tradnl" w:eastAsia="es-ES_tradnl"/>
        </w:rPr>
        <w:t>ibídem</w:t>
      </w:r>
      <w:proofErr w:type="spellEnd"/>
      <w:r w:rsidRPr="00A14C29">
        <w:rPr>
          <w:rFonts w:ascii="Arial" w:eastAsia="Times New Roman" w:hAnsi="Arial" w:cs="Arial"/>
          <w:color w:val="000000"/>
          <w:sz w:val="20"/>
          <w:szCs w:val="20"/>
          <w:lang w:val="es-ES_tradnl" w:eastAsia="es-ES_tradnl"/>
        </w:rPr>
        <w:t xml:space="preserve">. El segundo, además de los dos artículos anteriores, lo regulan los artículos 2.2.1.2.1.3.3. a 2.2.1.2.1.3.7. </w:t>
      </w:r>
      <w:proofErr w:type="spellStart"/>
      <w:r w:rsidRPr="00A14C29">
        <w:rPr>
          <w:rFonts w:ascii="Arial" w:eastAsia="Times New Roman" w:hAnsi="Arial" w:cs="Arial"/>
          <w:i/>
          <w:iCs/>
          <w:color w:val="000000"/>
          <w:sz w:val="20"/>
          <w:szCs w:val="20"/>
          <w:lang w:val="es-ES_tradnl" w:eastAsia="es-ES_tradnl"/>
        </w:rPr>
        <w:t>ejusdem</w:t>
      </w:r>
      <w:proofErr w:type="spellEnd"/>
      <w:r w:rsidRPr="00A14C29">
        <w:rPr>
          <w:rFonts w:ascii="Arial" w:eastAsia="Times New Roman" w:hAnsi="Arial" w:cs="Arial"/>
          <w:color w:val="000000"/>
          <w:sz w:val="20"/>
          <w:szCs w:val="20"/>
          <w:lang w:val="es-ES_tradnl" w:eastAsia="es-ES_tradnl"/>
        </w:rPr>
        <w:t>. El tercero lo regulan los artículos 2.2.1.2.1.3.8. a 2.2.1.2.1.3.25. del mencionado Decreto.</w:t>
      </w:r>
    </w:p>
    <w:p w14:paraId="0326591C" w14:textId="77777777" w:rsidR="00DE38AB" w:rsidRPr="00DE38AB" w:rsidRDefault="00DE38AB" w:rsidP="00DE38AB">
      <w:pPr>
        <w:spacing w:after="0" w:line="240" w:lineRule="auto"/>
        <w:jc w:val="both"/>
        <w:rPr>
          <w:rFonts w:ascii="Arial" w:eastAsia="Calibri" w:hAnsi="Arial" w:cs="Arial"/>
          <w:b/>
          <w:szCs w:val="24"/>
          <w:lang w:val="es-ES_tradnl" w:eastAsia="es-ES_tradnl"/>
        </w:rPr>
      </w:pPr>
    </w:p>
    <w:p w14:paraId="71353BC5" w14:textId="77777777" w:rsidR="00DE38AB" w:rsidRPr="00DE38AB" w:rsidRDefault="00DE38AB" w:rsidP="00DE38AB">
      <w:pPr>
        <w:spacing w:after="0" w:line="240" w:lineRule="auto"/>
        <w:jc w:val="both"/>
        <w:rPr>
          <w:rFonts w:ascii="Arial" w:eastAsia="Calibri" w:hAnsi="Arial" w:cs="Arial"/>
          <w:b/>
          <w:szCs w:val="24"/>
          <w:lang w:val="es-ES_tradnl" w:eastAsia="es-ES_tradnl"/>
        </w:rPr>
      </w:pPr>
      <w:r w:rsidRPr="00DE38AB">
        <w:rPr>
          <w:rFonts w:ascii="Arial" w:eastAsia="Calibri" w:hAnsi="Arial" w:cs="Arial"/>
          <w:b/>
          <w:szCs w:val="24"/>
          <w:lang w:val="es-ES_tradnl" w:eastAsia="es-ES_tradnl"/>
        </w:rPr>
        <w:t>CONCURSO DE MÉRITOS – Decreto 1082 de 2015 – artículo 2.2.1.2.1.3.2</w:t>
      </w:r>
      <w:r w:rsidRPr="00DE38AB">
        <w:rPr>
          <w:rFonts w:ascii="Arial" w:eastAsia="Times New Roman" w:hAnsi="Arial" w:cs="Arial"/>
          <w:b/>
          <w:color w:val="000000"/>
          <w:sz w:val="20"/>
          <w:szCs w:val="20"/>
          <w:lang w:val="es-ES_tradnl" w:eastAsia="es-ES_tradnl"/>
        </w:rPr>
        <w:t xml:space="preserve"> </w:t>
      </w:r>
      <w:r w:rsidRPr="00DE38AB">
        <w:rPr>
          <w:rFonts w:ascii="Arial" w:eastAsia="Calibri" w:hAnsi="Arial" w:cs="Arial"/>
          <w:b/>
          <w:szCs w:val="24"/>
          <w:lang w:val="es-ES_tradnl" w:eastAsia="es-ES_tradnl"/>
        </w:rPr>
        <w:t>–</w:t>
      </w:r>
      <w:r w:rsidRPr="00DE38AB">
        <w:rPr>
          <w:rFonts w:ascii="Arial" w:eastAsia="Times New Roman" w:hAnsi="Arial" w:cs="Arial"/>
          <w:b/>
          <w:color w:val="000000"/>
          <w:sz w:val="20"/>
          <w:szCs w:val="20"/>
          <w:lang w:val="es-ES_tradnl" w:eastAsia="es-ES_tradnl"/>
        </w:rPr>
        <w:t xml:space="preserve"> </w:t>
      </w:r>
      <w:r w:rsidRPr="00DE38AB">
        <w:rPr>
          <w:rFonts w:ascii="Arial" w:eastAsia="Calibri" w:hAnsi="Arial" w:cs="Arial"/>
          <w:b/>
          <w:szCs w:val="24"/>
          <w:lang w:val="es-ES_tradnl" w:eastAsia="es-ES_tradnl"/>
        </w:rPr>
        <w:t>Suspensión provisional</w:t>
      </w:r>
    </w:p>
    <w:p w14:paraId="2242E20B" w14:textId="77777777" w:rsidR="00DE38AB" w:rsidRPr="00DE38AB" w:rsidRDefault="00DE38AB" w:rsidP="00DE38AB">
      <w:pPr>
        <w:spacing w:after="0" w:line="240" w:lineRule="auto"/>
        <w:jc w:val="both"/>
        <w:rPr>
          <w:rFonts w:ascii="Arial" w:eastAsia="Calibri" w:hAnsi="Arial" w:cs="Arial"/>
          <w:b/>
          <w:szCs w:val="24"/>
          <w:lang w:val="es-ES_tradnl" w:eastAsia="es-ES_tradnl"/>
        </w:rPr>
      </w:pPr>
    </w:p>
    <w:p w14:paraId="1D832AFB" w14:textId="79E8E535" w:rsidR="00A14C29" w:rsidRPr="00A14C29" w:rsidRDefault="00A14C29" w:rsidP="00A14C29">
      <w:pPr>
        <w:spacing w:after="120" w:line="240" w:lineRule="auto"/>
        <w:jc w:val="both"/>
        <w:rPr>
          <w:rFonts w:ascii="Arial" w:eastAsia="Times New Roman" w:hAnsi="Arial" w:cs="Arial"/>
          <w:color w:val="000000"/>
          <w:sz w:val="20"/>
          <w:szCs w:val="20"/>
          <w:lang w:val="es-ES_tradnl" w:eastAsia="es-ES_tradnl"/>
        </w:rPr>
      </w:pPr>
      <w:r w:rsidRPr="00A14C29">
        <w:rPr>
          <w:rFonts w:ascii="Arial" w:eastAsia="Times New Roman" w:hAnsi="Arial" w:cs="Arial"/>
          <w:color w:val="000000"/>
          <w:sz w:val="20"/>
          <w:szCs w:val="20"/>
          <w:lang w:val="es-ES_tradnl" w:eastAsia="es-ES_tradnl"/>
        </w:rPr>
        <w:t>El Consejo de Estado consideró que los numerales 3, 4 y 5 violarían el artículo 5, numeral 4, último inciso, de la Ley 1150 de 2007, pues señaló que: «en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el alto tribunal explicó que la verificación de la coherencia del precio con la disponibilidad presupuestal y la necesidad de que se logre un acuerdo en relación con el mismo desconocía el principio de selección objetiva, convirtiendo el precio en un factor de selección. En lo que respecta al artículo 6, este violaría especialmente el artículo 25.18 del Estatuto General y el artículo 5 de la Ley 1150 de 2007, pues la declaratoria de desierta solo procede cuando no es posible la selección objetiva del contratista.</w:t>
      </w:r>
    </w:p>
    <w:p w14:paraId="4C14AFA8" w14:textId="77777777" w:rsidR="00A14C29" w:rsidRPr="00A14C29" w:rsidRDefault="00A14C29" w:rsidP="00A14C29">
      <w:pPr>
        <w:spacing w:after="0" w:line="240" w:lineRule="auto"/>
        <w:jc w:val="both"/>
        <w:rPr>
          <w:rFonts w:ascii="Arial" w:eastAsia="Calibri" w:hAnsi="Arial" w:cs="Arial"/>
          <w:color w:val="000000"/>
          <w:sz w:val="20"/>
          <w:szCs w:val="20"/>
          <w:lang w:val="es-ES_tradnl" w:eastAsia="es-ES_tradnl"/>
        </w:rPr>
      </w:pPr>
      <w:r w:rsidRPr="00A14C29">
        <w:rPr>
          <w:rFonts w:ascii="Arial" w:eastAsia="Times New Roman" w:hAnsi="Arial" w:cs="Arial"/>
          <w:color w:val="000000"/>
          <w:sz w:val="20"/>
          <w:szCs w:val="20"/>
          <w:lang w:val="es-ES_tradnl" w:eastAsia="es-ES_tradnl"/>
        </w:rPr>
        <w:t xml:space="preserve">En consecuencia, </w:t>
      </w:r>
      <w:r w:rsidRPr="00A14C29">
        <w:rPr>
          <w:rFonts w:ascii="Arial" w:eastAsia="Calibri" w:hAnsi="Arial" w:cs="Arial"/>
          <w:color w:val="000000"/>
          <w:sz w:val="20"/>
          <w:szCs w:val="20"/>
          <w:lang w:val="es-ES_tradnl" w:eastAsia="es-ES_tradnl"/>
        </w:rPr>
        <w:t>con los autos de suspensión provisional, el concurso de méritos abierto debía desarrollarse aplicando únicamente los numerales 1 y 2 del</w:t>
      </w:r>
      <w:r w:rsidRPr="00A14C29">
        <w:rPr>
          <w:rFonts w:ascii="Arial" w:eastAsia="Times New Roman" w:hAnsi="Arial" w:cs="Arial"/>
          <w:color w:val="000000"/>
          <w:sz w:val="20"/>
          <w:szCs w:val="20"/>
          <w:lang w:val="es-ES_tradnl" w:eastAsia="es-ES_tradnl"/>
        </w:rPr>
        <w:t xml:space="preserve"> artículo 2.2.1.2.1.3.2 original del Decreto 1082 de 2015, esto es, antes de la modificación realizada por el Decreto 399 de 2021, al que se hará referencia en el numeral siguiente. Por lo tanto, </w:t>
      </w:r>
      <w:r w:rsidRPr="00A14C29">
        <w:rPr>
          <w:rFonts w:ascii="Arial" w:eastAsia="Times New Roman" w:hAnsi="Arial" w:cs="Arial"/>
          <w:i/>
          <w:iCs/>
          <w:color w:val="000000"/>
          <w:sz w:val="20"/>
          <w:szCs w:val="20"/>
          <w:lang w:val="es-ES_tradnl" w:eastAsia="es-ES_tradnl"/>
        </w:rPr>
        <w:t>siempre que estuviera dentro del presupuesto oficial</w:t>
      </w:r>
      <w:r w:rsidRPr="00A14C29">
        <w:rPr>
          <w:rFonts w:ascii="Arial" w:eastAsia="Times New Roman" w:hAnsi="Arial" w:cs="Arial"/>
          <w:color w:val="000000"/>
          <w:sz w:val="20"/>
          <w:szCs w:val="20"/>
          <w:lang w:val="es-ES_tradnl" w:eastAsia="es-ES_tradnl"/>
        </w:rPr>
        <w:t>, la entidad estatal debía adjudicar el contrato al proponente que ocupara el primer puesto en el orden de elegibilidad, independientemente del valor ofrecido</w:t>
      </w:r>
      <w:r w:rsidRPr="00A14C29">
        <w:rPr>
          <w:rFonts w:ascii="Arial" w:eastAsia="Calibri" w:hAnsi="Arial" w:cs="Arial"/>
          <w:color w:val="000000"/>
          <w:sz w:val="20"/>
          <w:szCs w:val="20"/>
          <w:lang w:val="es-ES_tradnl" w:eastAsia="es-ES_tradnl"/>
        </w:rPr>
        <w:t>.</w:t>
      </w:r>
    </w:p>
    <w:p w14:paraId="78110258" w14:textId="77777777" w:rsidR="00DE38AB" w:rsidRPr="00DE38AB" w:rsidRDefault="00DE38AB" w:rsidP="00DE38AB">
      <w:pPr>
        <w:spacing w:after="0" w:line="240" w:lineRule="auto"/>
        <w:jc w:val="both"/>
        <w:rPr>
          <w:rFonts w:ascii="Arial" w:eastAsia="Calibri" w:hAnsi="Arial" w:cs="Arial"/>
          <w:color w:val="000000"/>
          <w:sz w:val="20"/>
          <w:szCs w:val="20"/>
          <w:lang w:val="es-ES_tradnl" w:eastAsia="es-ES_tradnl"/>
        </w:rPr>
      </w:pPr>
    </w:p>
    <w:p w14:paraId="3F93DEB5" w14:textId="77777777" w:rsidR="00DE38AB" w:rsidRPr="00DE38AB" w:rsidRDefault="00DE38AB" w:rsidP="00DE38AB">
      <w:pPr>
        <w:spacing w:after="0" w:line="240" w:lineRule="auto"/>
        <w:jc w:val="both"/>
        <w:rPr>
          <w:rFonts w:ascii="Arial" w:eastAsia="Calibri" w:hAnsi="Arial" w:cs="Arial"/>
          <w:b/>
          <w:szCs w:val="24"/>
          <w:lang w:val="es-ES_tradnl" w:eastAsia="es-ES_tradnl"/>
        </w:rPr>
      </w:pPr>
      <w:r w:rsidRPr="00DE38AB">
        <w:rPr>
          <w:rFonts w:ascii="Arial" w:eastAsia="Calibri" w:hAnsi="Arial" w:cs="Arial"/>
          <w:b/>
          <w:szCs w:val="24"/>
          <w:lang w:val="es-ES_tradnl" w:eastAsia="es-ES_tradnl"/>
        </w:rPr>
        <w:t>CONCURSO DE MÉRITOS – Decreto 1082 de 2015 – Artículo 2.2.1.2.1.3.2 –</w:t>
      </w:r>
      <w:r w:rsidRPr="00DE38AB">
        <w:rPr>
          <w:rFonts w:ascii="Arial" w:eastAsia="Times New Roman" w:hAnsi="Arial" w:cs="Arial"/>
          <w:b/>
          <w:color w:val="000000"/>
          <w:sz w:val="20"/>
          <w:szCs w:val="20"/>
          <w:lang w:val="es-ES_tradnl" w:eastAsia="es-ES_tradnl"/>
        </w:rPr>
        <w:t xml:space="preserve"> </w:t>
      </w:r>
      <w:r w:rsidRPr="00DE38AB">
        <w:rPr>
          <w:rFonts w:ascii="Arial" w:eastAsia="Calibri" w:hAnsi="Arial" w:cs="Arial"/>
          <w:b/>
          <w:szCs w:val="24"/>
          <w:lang w:val="es-ES_tradnl" w:eastAsia="es-ES_tradnl"/>
        </w:rPr>
        <w:t>Decreto 399 de 2021 – Artículo 2</w:t>
      </w:r>
    </w:p>
    <w:p w14:paraId="26D39F98" w14:textId="77777777" w:rsidR="00DE38AB" w:rsidRPr="00DE38AB" w:rsidRDefault="00DE38AB" w:rsidP="00DE38AB">
      <w:pPr>
        <w:spacing w:after="0" w:line="240" w:lineRule="auto"/>
        <w:jc w:val="both"/>
        <w:rPr>
          <w:rFonts w:ascii="Arial" w:eastAsia="Times New Roman" w:hAnsi="Arial" w:cs="Arial"/>
          <w:color w:val="000000"/>
          <w:sz w:val="20"/>
          <w:szCs w:val="20"/>
          <w:lang w:val="es-ES_tradnl" w:eastAsia="es-ES_tradnl"/>
        </w:rPr>
      </w:pPr>
    </w:p>
    <w:p w14:paraId="7627A338" w14:textId="48373C38" w:rsidR="00A14C29" w:rsidRPr="00A14C29" w:rsidRDefault="00DE38AB" w:rsidP="00A14C29">
      <w:pPr>
        <w:spacing w:after="0" w:line="240" w:lineRule="auto"/>
        <w:jc w:val="both"/>
        <w:rPr>
          <w:rFonts w:ascii="Arial" w:eastAsia="Calibri" w:hAnsi="Arial" w:cs="Arial"/>
          <w:color w:val="000000"/>
          <w:sz w:val="20"/>
          <w:szCs w:val="20"/>
          <w:lang w:val="es-ES_tradnl" w:eastAsia="es-ES_tradnl"/>
        </w:rPr>
      </w:pPr>
      <w:r w:rsidRPr="00A14C29">
        <w:rPr>
          <w:rFonts w:ascii="Arial" w:eastAsia="Calibri" w:hAnsi="Arial" w:cs="Arial"/>
          <w:color w:val="000000"/>
          <w:sz w:val="20"/>
          <w:szCs w:val="20"/>
          <w:lang w:val="es-ES_tradnl" w:eastAsia="es-ES_tradnl"/>
        </w:rPr>
        <w:t>[…</w:t>
      </w:r>
      <w:proofErr w:type="gramStart"/>
      <w:r w:rsidRPr="00A14C29">
        <w:rPr>
          <w:rFonts w:ascii="Arial" w:eastAsia="Calibri" w:hAnsi="Arial" w:cs="Arial"/>
          <w:color w:val="000000"/>
          <w:sz w:val="20"/>
          <w:szCs w:val="20"/>
          <w:lang w:val="es-ES_tradnl" w:eastAsia="es-ES_tradnl"/>
        </w:rPr>
        <w:t>],</w:t>
      </w:r>
      <w:r w:rsidR="00A14C29" w:rsidRPr="00A14C29">
        <w:rPr>
          <w:rFonts w:ascii="Arial" w:eastAsia="Calibri" w:hAnsi="Arial" w:cs="Arial"/>
          <w:color w:val="000000"/>
          <w:sz w:val="20"/>
          <w:szCs w:val="20"/>
          <w:lang w:val="es-ES_tradnl" w:eastAsia="es-ES_tradnl"/>
        </w:rPr>
        <w:t>el</w:t>
      </w:r>
      <w:proofErr w:type="gramEnd"/>
      <w:r w:rsidR="00A14C29" w:rsidRPr="00A14C29">
        <w:rPr>
          <w:rFonts w:ascii="Arial" w:eastAsia="Calibri" w:hAnsi="Arial" w:cs="Arial"/>
          <w:color w:val="000000"/>
          <w:sz w:val="20"/>
          <w:szCs w:val="20"/>
          <w:lang w:val="es-ES_tradnl" w:eastAsia="es-ES_tradnl"/>
        </w:rPr>
        <w:t xml:space="preserve"> artículo 2 del Decreto 399 de 2021 reformó la reglamentación del concurso de méritos, para adecuarla a los pronunciamientos del Consejo de Estado que habían suspendido provisionalmente algunos numerales del artículo 2.2.1.2.1.3.2. del Decreto 1082 de 2015. A diferencia de lo que establecía este artículo en su redacción inicial, con la </w:t>
      </w:r>
      <w:proofErr w:type="gramStart"/>
      <w:r w:rsidR="00A14C29" w:rsidRPr="00A14C29">
        <w:rPr>
          <w:rFonts w:ascii="Arial" w:eastAsia="Calibri" w:hAnsi="Arial" w:cs="Arial"/>
          <w:color w:val="000000"/>
          <w:sz w:val="20"/>
          <w:szCs w:val="20"/>
          <w:lang w:val="es-ES_tradnl" w:eastAsia="es-ES_tradnl"/>
        </w:rPr>
        <w:t>entrada en vigencia</w:t>
      </w:r>
      <w:proofErr w:type="gramEnd"/>
      <w:r w:rsidR="00A14C29" w:rsidRPr="00A14C29">
        <w:rPr>
          <w:rFonts w:ascii="Arial" w:eastAsia="Calibri" w:hAnsi="Arial" w:cs="Arial"/>
          <w:color w:val="000000"/>
          <w:sz w:val="20"/>
          <w:szCs w:val="20"/>
          <w:lang w:val="es-ES_tradnl" w:eastAsia="es-ES_tradnl"/>
        </w:rPr>
        <w:t xml:space="preserve"> del artículo 2 del Decreto 399 de 2021 se observan los siguientes cambios:</w:t>
      </w:r>
    </w:p>
    <w:p w14:paraId="69AD8F55" w14:textId="77777777" w:rsidR="00A14C29" w:rsidRPr="00A14C29" w:rsidRDefault="00A14C29" w:rsidP="00A14C29">
      <w:pPr>
        <w:spacing w:before="120" w:after="0" w:line="240" w:lineRule="auto"/>
        <w:jc w:val="both"/>
        <w:rPr>
          <w:rFonts w:ascii="Arial" w:eastAsia="Calibri" w:hAnsi="Arial" w:cs="Arial"/>
          <w:color w:val="000000"/>
          <w:sz w:val="20"/>
          <w:szCs w:val="20"/>
          <w:lang w:val="es-ES_tradnl" w:eastAsia="es-ES_tradnl"/>
        </w:rPr>
      </w:pPr>
      <w:r w:rsidRPr="00A14C29">
        <w:rPr>
          <w:rFonts w:ascii="Arial" w:eastAsia="Calibri" w:hAnsi="Arial" w:cs="Arial"/>
          <w:color w:val="000000"/>
          <w:sz w:val="20"/>
          <w:szCs w:val="20"/>
          <w:lang w:val="es-ES_tradnl" w:eastAsia="es-ES_tradnl"/>
        </w:rPr>
        <w:lastRenderedPageBreak/>
        <w:t>i) El informe de evaluación, que la entidad debe publicar durante tres (3) días hábiles, debe contener ya no solamente la calificación técnica y el orden de elegibilidad, sino «[…] la evaluación de las ofertas frente a todos los requisitos exigidos en el pliego de condiciones, incluyendo los requisitos habilitantes y los de asignación de puntaje». En tal sentido, el informe de evaluación debe dar cuenta de la evaluación completa de las ofertas, lo que incluiría las ofertas económicas. De esta manera, esta disposición permite que los interesados ejerzan su derecho a conocer el informe de evaluación y a formular las observaciones que consideren pertinentes, frente a todos los aspectos de la evaluación de las propuestas.</w:t>
      </w:r>
    </w:p>
    <w:p w14:paraId="4260909D" w14:textId="77777777" w:rsidR="00A14C29" w:rsidRPr="00A14C29" w:rsidRDefault="00A14C29" w:rsidP="00A14C29">
      <w:pPr>
        <w:spacing w:before="120" w:after="0" w:line="240" w:lineRule="auto"/>
        <w:jc w:val="both"/>
        <w:rPr>
          <w:rFonts w:ascii="Arial" w:eastAsia="Calibri" w:hAnsi="Arial" w:cs="Arial"/>
          <w:color w:val="000000"/>
          <w:sz w:val="20"/>
          <w:szCs w:val="20"/>
          <w:lang w:val="es-ES_tradnl" w:eastAsia="es-ES_tradnl"/>
        </w:rPr>
      </w:pPr>
      <w:proofErr w:type="spellStart"/>
      <w:r w:rsidRPr="00A14C29">
        <w:rPr>
          <w:rFonts w:ascii="Arial" w:eastAsia="Calibri" w:hAnsi="Arial" w:cs="Arial"/>
          <w:color w:val="000000"/>
          <w:sz w:val="20"/>
          <w:szCs w:val="20"/>
          <w:lang w:val="es-ES_tradnl" w:eastAsia="es-ES_tradnl"/>
        </w:rPr>
        <w:t>ii</w:t>
      </w:r>
      <w:proofErr w:type="spellEnd"/>
      <w:r w:rsidRPr="00A14C29">
        <w:rPr>
          <w:rFonts w:ascii="Arial" w:eastAsia="Calibri" w:hAnsi="Arial" w:cs="Arial"/>
          <w:color w:val="000000"/>
          <w:sz w:val="20"/>
          <w:szCs w:val="20"/>
          <w:lang w:val="es-ES_tradnl" w:eastAsia="es-ES_tradnl"/>
        </w:rPr>
        <w:t>) En armonía con lo anterior, a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trascendental, pues elimina estas etapas y señala, en su lugar, que «Una vez resueltas las observaciones al informe de evaluación, la entidad adjudicará el contrato mediante acto administrativo al oferente que haya cumplido todos los requisitos exigidos en el pliego de condiciones y haya obtenido el mayor puntaje». Esto implica que después de la respuesta a las observaciones del informe de evaluación ya la entidad estatal no debe revisar que la oferta económica sea acorde al presupuesto oficial –pues esto lo debió hacer para elaborar el informe de evaluación– y tampoco debe proceder con una fase de «negociación» con el oferente calificado en primer lugar sobre el valor y alcance del contrato, sino que debe proceder a la adjudicación a quien haya presentado objetivamente la mejor oferta, teniendo en cuenta todos los requisitos exigidos en el pliego de condiciones.</w:t>
      </w:r>
    </w:p>
    <w:p w14:paraId="0D989D9F" w14:textId="77777777" w:rsidR="00A14C29" w:rsidRPr="00A14C29" w:rsidRDefault="00A14C29" w:rsidP="00A14C29">
      <w:pPr>
        <w:spacing w:before="120" w:after="0" w:line="240" w:lineRule="auto"/>
        <w:jc w:val="both"/>
        <w:rPr>
          <w:rFonts w:ascii="Arial" w:eastAsia="Calibri" w:hAnsi="Arial" w:cs="Arial"/>
          <w:color w:val="000000"/>
          <w:sz w:val="20"/>
          <w:szCs w:val="20"/>
          <w:lang w:val="es-ES_tradnl" w:eastAsia="es-ES_tradnl"/>
        </w:rPr>
      </w:pPr>
      <w:proofErr w:type="spellStart"/>
      <w:r w:rsidRPr="00A14C29">
        <w:rPr>
          <w:rFonts w:ascii="Arial" w:eastAsia="Calibri" w:hAnsi="Arial" w:cs="Arial"/>
          <w:color w:val="000000"/>
          <w:sz w:val="20"/>
          <w:szCs w:val="20"/>
          <w:lang w:val="es-ES_tradnl" w:eastAsia="es-ES_tradnl"/>
        </w:rPr>
        <w:t>iii</w:t>
      </w:r>
      <w:proofErr w:type="spellEnd"/>
      <w:r w:rsidRPr="00A14C29">
        <w:rPr>
          <w:rFonts w:ascii="Arial" w:eastAsia="Calibri" w:hAnsi="Arial" w:cs="Arial"/>
          <w:color w:val="000000"/>
          <w:sz w:val="20"/>
          <w:szCs w:val="20"/>
          <w:lang w:val="es-ES_tradnl" w:eastAsia="es-ES_tradnl"/>
        </w:rPr>
        <w:t>) Como el nuevo artículo 2.2.1.2.1.3.2. del Decreto 1082 de 2015, modificado por el artículo 2 del Decreto 399 de 2021, ya no establece una fase de negociación entre la entidad estatal y el oferente calificado en el primer lugar de elegibilidad, por sustracción de materia, la entidad estatal tampoco debe intentar un acuerdo con el oferente calificado en el segundo orden de elegibilidad, ni puede ampararse en el carácter fallido de dicho acuerdo para declarar desierto el proceso de selección, en armonía con lo decidido en los Autos del Consejo de Estado antes señalados.</w:t>
      </w:r>
    </w:p>
    <w:p w14:paraId="12A44C46" w14:textId="15F0C5D2" w:rsidR="00062F54" w:rsidRDefault="00062F54" w:rsidP="00062F54">
      <w:pPr>
        <w:spacing w:after="0" w:line="240" w:lineRule="auto"/>
        <w:jc w:val="both"/>
        <w:rPr>
          <w:rFonts w:ascii="Arial" w:eastAsia="Calibri" w:hAnsi="Arial" w:cs="Arial"/>
          <w:b/>
          <w:color w:val="000000" w:themeColor="text1"/>
          <w:sz w:val="20"/>
          <w:szCs w:val="20"/>
          <w:lang w:val="es-ES_tradnl"/>
        </w:rPr>
      </w:pPr>
    </w:p>
    <w:p w14:paraId="50E1D87D" w14:textId="3DF486BE" w:rsidR="008A113B" w:rsidRDefault="008A113B" w:rsidP="00062F54">
      <w:pPr>
        <w:spacing w:after="0" w:line="240" w:lineRule="auto"/>
        <w:jc w:val="both"/>
        <w:rPr>
          <w:rFonts w:ascii="Arial" w:eastAsia="Calibri" w:hAnsi="Arial" w:cs="Arial"/>
          <w:b/>
          <w:lang w:val="es-ES_tradnl" w:eastAsia="es-ES_tradnl"/>
        </w:rPr>
      </w:pPr>
      <w:r w:rsidRPr="008A113B">
        <w:rPr>
          <w:rFonts w:ascii="Arial" w:eastAsia="Calibri" w:hAnsi="Arial" w:cs="Arial"/>
          <w:b/>
          <w:lang w:val="es-ES_tradnl" w:eastAsia="es-ES_tradnl"/>
        </w:rPr>
        <w:t>CONCURSO DE MÉRITOS – Método de asignación de puntaje – Pliego de condiciones – Método aleatorio</w:t>
      </w:r>
    </w:p>
    <w:p w14:paraId="68E1EB95" w14:textId="15FC412D" w:rsidR="008A113B" w:rsidRDefault="008A113B" w:rsidP="00062F54">
      <w:pPr>
        <w:spacing w:after="0" w:line="240" w:lineRule="auto"/>
        <w:jc w:val="both"/>
        <w:rPr>
          <w:rFonts w:ascii="Arial" w:eastAsia="Calibri" w:hAnsi="Arial" w:cs="Arial"/>
          <w:b/>
          <w:lang w:val="es-ES_tradnl" w:eastAsia="es-ES_tradnl"/>
        </w:rPr>
      </w:pPr>
    </w:p>
    <w:p w14:paraId="1F400B20" w14:textId="77777777" w:rsidR="00A14C29" w:rsidRPr="00A14C29" w:rsidRDefault="008A113B" w:rsidP="00A14C29">
      <w:pPr>
        <w:spacing w:after="120" w:line="240" w:lineRule="auto"/>
        <w:jc w:val="both"/>
        <w:rPr>
          <w:rFonts w:ascii="Arial" w:hAnsi="Arial" w:cs="Arial"/>
          <w:color w:val="000000" w:themeColor="text1"/>
          <w:sz w:val="20"/>
          <w:szCs w:val="20"/>
          <w:lang w:val="es-ES_tradnl"/>
        </w:rPr>
      </w:pPr>
      <w:r w:rsidRPr="00A14C29">
        <w:rPr>
          <w:rFonts w:ascii="Arial" w:eastAsia="Times New Roman" w:hAnsi="Arial" w:cs="Arial"/>
          <w:color w:val="000000" w:themeColor="text1"/>
          <w:sz w:val="20"/>
          <w:szCs w:val="20"/>
          <w:lang w:val="es-ES_tradnl" w:eastAsia="es-ES_tradnl"/>
        </w:rPr>
        <w:t xml:space="preserve">[…] </w:t>
      </w:r>
      <w:r w:rsidR="00A14C29" w:rsidRPr="00A14C29">
        <w:rPr>
          <w:rFonts w:ascii="Arial" w:eastAsia="Times New Roman" w:hAnsi="Arial" w:cs="Arial"/>
          <w:color w:val="000000" w:themeColor="text1"/>
          <w:sz w:val="20"/>
          <w:szCs w:val="20"/>
          <w:lang w:val="es-ES_tradnl" w:eastAsia="es-ES_tradnl"/>
        </w:rPr>
        <w:t xml:space="preserve">el concurso de méritos no se tiene en cuenta el precio como factor de evaluación, a diferencia del proceso de licitación pública y de las demás modalidades de selección de contratistas estatales. </w:t>
      </w:r>
      <w:r w:rsidR="00A14C29" w:rsidRPr="00A14C29">
        <w:rPr>
          <w:rFonts w:ascii="Arial" w:hAnsi="Arial" w:cs="Arial"/>
          <w:color w:val="000000" w:themeColor="text1"/>
          <w:sz w:val="20"/>
          <w:szCs w:val="20"/>
          <w:lang w:val="es-ES_tradnl"/>
        </w:rPr>
        <w:t xml:space="preserve">Por tanto, de conformidad con el inciso final del artículo 5.4 de la Ley 1150 de 2007, la oferta económica no tiene injerencia en la escogencia del ofrecimiento más favorable. A partir de estas precisiones de orden normativo las entidades estatales podrán, en ejercicio de su discrecionalidad administrativa, establecer en los pliegos de condiciones métodos de asignación de puntaje, sin tener en cuenta el precio. </w:t>
      </w:r>
    </w:p>
    <w:p w14:paraId="76F78E35" w14:textId="49DA0808" w:rsidR="00A14C29" w:rsidRPr="00A14C29" w:rsidRDefault="00A14C29" w:rsidP="00A14C29">
      <w:pPr>
        <w:spacing w:before="120" w:after="120" w:line="240" w:lineRule="auto"/>
        <w:jc w:val="both"/>
        <w:rPr>
          <w:rFonts w:ascii="Arial" w:eastAsia="Times New Roman" w:hAnsi="Arial" w:cs="Arial"/>
          <w:sz w:val="20"/>
          <w:szCs w:val="20"/>
          <w:lang w:eastAsia="es-ES_tradnl"/>
        </w:rPr>
      </w:pPr>
      <w:r w:rsidRPr="00A14C29">
        <w:rPr>
          <w:rFonts w:ascii="Arial" w:hAnsi="Arial" w:cs="Arial"/>
          <w:color w:val="000000" w:themeColor="text1"/>
          <w:sz w:val="20"/>
          <w:szCs w:val="20"/>
          <w:lang w:val="es-ES_tradnl"/>
        </w:rPr>
        <w:t>En este sentido, es posible aplicar, entre otros métodos, el aleatorio, que si bien está regulado para los procesos de licitación pública en el inciso 3°, parágrafo 3° del artículo 30 de la Ley 80 de 1993 modificado por el artículo 1 de la Ley 1882 de 2018, eso no significa que no pueda aplicarse a otras modalidades, como el concurso de méritos.</w:t>
      </w:r>
      <w:r w:rsidRPr="00A14C29">
        <w:rPr>
          <w:rFonts w:ascii="Arial" w:eastAsia="Times New Roman" w:hAnsi="Arial" w:cs="Arial"/>
          <w:color w:val="000000" w:themeColor="text1"/>
          <w:sz w:val="20"/>
          <w:szCs w:val="20"/>
          <w:lang w:val="es-MX" w:eastAsia="es-ES_tradnl"/>
        </w:rPr>
        <w:t xml:space="preserve"> </w:t>
      </w:r>
      <w:r w:rsidRPr="00A14C29">
        <w:rPr>
          <w:rFonts w:ascii="Arial" w:eastAsia="Calibri" w:hAnsi="Arial" w:cs="Arial"/>
          <w:color w:val="000000"/>
          <w:sz w:val="20"/>
          <w:szCs w:val="20"/>
          <w:lang w:val="es-ES_tradnl" w:eastAsia="es-ES_tradnl"/>
        </w:rPr>
        <w:t>En efecto, entidades estatales en su discrecionalidad administrativa podrán regular dentro del pliego de condiciones métodos aritméticos, como el aleatorio, pero garantizando que el precio no se constituya en un factor de ponderación o de puntuación y asegurando la protección del principio de selección objetiva. En esta línea, la competencia del comité de contratación y, en último término, del ordenador del gasto o el delegado en contratación de cada entidad está condicionada a la proporcionalidad de las decisiones que se toman dentro de los pliegos de condiciones en aras de garantizar la pluralidad de oferentes y la selección objetiv</w:t>
      </w:r>
      <w:r>
        <w:rPr>
          <w:rFonts w:ascii="Arial" w:eastAsia="Calibri" w:hAnsi="Arial" w:cs="Arial"/>
          <w:color w:val="000000"/>
          <w:sz w:val="20"/>
          <w:szCs w:val="20"/>
          <w:lang w:val="es-ES_tradnl" w:eastAsia="es-ES_tradnl"/>
        </w:rPr>
        <w:t>o</w:t>
      </w:r>
      <w:r w:rsidRPr="00A14C29">
        <w:rPr>
          <w:rFonts w:ascii="Arial" w:eastAsia="Times New Roman" w:hAnsi="Arial" w:cs="Arial"/>
          <w:sz w:val="20"/>
          <w:szCs w:val="20"/>
          <w:lang w:eastAsia="es-ES_tradnl"/>
        </w:rPr>
        <w:t xml:space="preserve">, como puede ocurrir con la regulación del método aleatorio. </w:t>
      </w:r>
    </w:p>
    <w:p w14:paraId="095D29A7" w14:textId="0E0BE2D3" w:rsidR="008A113B" w:rsidRPr="008A113B" w:rsidRDefault="008A113B" w:rsidP="00A14C29">
      <w:pPr>
        <w:spacing w:after="0" w:line="240" w:lineRule="auto"/>
        <w:jc w:val="both"/>
        <w:rPr>
          <w:rFonts w:ascii="Arial" w:eastAsia="Calibri" w:hAnsi="Arial" w:cs="Arial"/>
          <w:b/>
          <w:color w:val="000000" w:themeColor="text1"/>
          <w:sz w:val="20"/>
          <w:szCs w:val="20"/>
          <w:lang w:val="es-ES_tradnl"/>
        </w:rPr>
      </w:pPr>
    </w:p>
    <w:p w14:paraId="650B434B" w14:textId="5168C168" w:rsidR="00062F54" w:rsidRPr="00655AEF" w:rsidRDefault="00062F54" w:rsidP="002B282F">
      <w:pPr>
        <w:tabs>
          <w:tab w:val="left" w:pos="709"/>
        </w:tabs>
        <w:spacing w:after="0" w:line="240" w:lineRule="auto"/>
        <w:rPr>
          <w:rFonts w:ascii="Arial" w:hAnsi="Arial" w:cs="Arial"/>
          <w:b/>
          <w:bCs/>
          <w:color w:val="000000" w:themeColor="text1"/>
          <w:lang w:val="es-ES"/>
        </w:rPr>
      </w:pPr>
    </w:p>
    <w:p w14:paraId="38EE9B44" w14:textId="77777777" w:rsidR="000123C0" w:rsidRPr="00062F54" w:rsidRDefault="000123C0" w:rsidP="000123C0">
      <w:pPr>
        <w:tabs>
          <w:tab w:val="left" w:pos="709"/>
        </w:tabs>
        <w:spacing w:after="0" w:line="240" w:lineRule="auto"/>
        <w:jc w:val="right"/>
        <w:rPr>
          <w:rFonts w:ascii="Arial" w:hAnsi="Arial" w:cs="Arial"/>
          <w:color w:val="000000" w:themeColor="text1"/>
          <w:sz w:val="16"/>
          <w:szCs w:val="16"/>
          <w:lang w:val="es-ES"/>
        </w:rPr>
      </w:pPr>
      <w:r w:rsidRPr="00062F54">
        <w:rPr>
          <w:rFonts w:ascii="Arial" w:hAnsi="Arial" w:cs="Arial"/>
          <w:b/>
          <w:bCs/>
          <w:color w:val="000000" w:themeColor="text1"/>
          <w:sz w:val="16"/>
          <w:szCs w:val="16"/>
          <w:lang w:val="es-ES"/>
        </w:rPr>
        <w:t>CCE-DES-FM-17</w:t>
      </w:r>
    </w:p>
    <w:p w14:paraId="5DAF0795" w14:textId="758FA571" w:rsidR="000123C0" w:rsidRPr="00062F54" w:rsidRDefault="000123C0" w:rsidP="000123C0">
      <w:pPr>
        <w:spacing w:after="0" w:line="240" w:lineRule="auto"/>
        <w:rPr>
          <w:rFonts w:ascii="Arial" w:eastAsia="Times New Roman" w:hAnsi="Arial" w:cs="Arial"/>
          <w:color w:val="000000" w:themeColor="text1"/>
          <w:lang w:val="es-ES" w:eastAsia="es-ES_tradnl"/>
        </w:rPr>
      </w:pPr>
    </w:p>
    <w:p w14:paraId="5075FE18" w14:textId="3B492638" w:rsidR="00A14C29" w:rsidRDefault="00A14C29" w:rsidP="00A14C29">
      <w:pPr>
        <w:widowControl w:val="0"/>
        <w:autoSpaceDE w:val="0"/>
        <w:autoSpaceDN w:val="0"/>
        <w:spacing w:after="0" w:line="240" w:lineRule="auto"/>
        <w:jc w:val="right"/>
        <w:rPr>
          <w:rFonts w:ascii="Arial" w:eastAsia="Times New Roman" w:hAnsi="Arial" w:cs="Arial"/>
          <w:b/>
          <w:bCs/>
          <w:color w:val="000000" w:themeColor="text1"/>
          <w:lang w:val="es-ES" w:eastAsia="es-ES_tradnl"/>
        </w:rPr>
      </w:pPr>
      <w:r>
        <w:rPr>
          <w:noProof/>
        </w:rPr>
        <w:drawing>
          <wp:inline distT="0" distB="0" distL="0" distR="0" wp14:anchorId="004BFEED" wp14:editId="3EA286B4">
            <wp:extent cx="3105510" cy="763361"/>
            <wp:effectExtent l="0" t="0" r="0" b="0"/>
            <wp:docPr id="2" name="Imagen 2"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10;&#10;Descripción generada automáticamente"/>
                    <pic:cNvPicPr/>
                  </pic:nvPicPr>
                  <pic:blipFill rotWithShape="1">
                    <a:blip r:embed="rId11"/>
                    <a:srcRect l="58217" t="44146" r="15345" b="45457"/>
                    <a:stretch/>
                  </pic:blipFill>
                  <pic:spPr bwMode="auto">
                    <a:xfrm>
                      <a:off x="0" y="0"/>
                      <a:ext cx="3127513" cy="768770"/>
                    </a:xfrm>
                    <a:prstGeom prst="rect">
                      <a:avLst/>
                    </a:prstGeom>
                    <a:ln>
                      <a:noFill/>
                    </a:ln>
                    <a:extLst>
                      <a:ext uri="{53640926-AAD7-44D8-BBD7-CCE9431645EC}">
                        <a14:shadowObscured xmlns:a14="http://schemas.microsoft.com/office/drawing/2010/main"/>
                      </a:ext>
                    </a:extLst>
                  </pic:spPr>
                </pic:pic>
              </a:graphicData>
            </a:graphic>
          </wp:inline>
        </w:drawing>
      </w:r>
    </w:p>
    <w:p w14:paraId="13BA21FE" w14:textId="77777777" w:rsidR="00A14C29" w:rsidRDefault="00A14C29" w:rsidP="000123C0">
      <w:pPr>
        <w:widowControl w:val="0"/>
        <w:autoSpaceDE w:val="0"/>
        <w:autoSpaceDN w:val="0"/>
        <w:spacing w:after="0" w:line="240" w:lineRule="auto"/>
        <w:rPr>
          <w:rFonts w:ascii="Arial" w:eastAsia="Times New Roman" w:hAnsi="Arial" w:cs="Arial"/>
          <w:b/>
          <w:bCs/>
          <w:color w:val="000000" w:themeColor="text1"/>
          <w:lang w:val="es-ES" w:eastAsia="es-ES_tradnl"/>
        </w:rPr>
      </w:pPr>
    </w:p>
    <w:p w14:paraId="1EC2C482" w14:textId="1A4193E2" w:rsidR="000123C0" w:rsidRPr="00DA5DDE" w:rsidRDefault="00DA5DDE" w:rsidP="000123C0">
      <w:pPr>
        <w:widowControl w:val="0"/>
        <w:autoSpaceDE w:val="0"/>
        <w:autoSpaceDN w:val="0"/>
        <w:spacing w:after="0" w:line="240" w:lineRule="auto"/>
        <w:rPr>
          <w:rFonts w:ascii="Arial" w:eastAsia="Times New Roman" w:hAnsi="Arial" w:cs="Arial"/>
          <w:color w:val="000000" w:themeColor="text1"/>
          <w:lang w:val="es-ES" w:eastAsia="es-ES_tradnl"/>
        </w:rPr>
      </w:pPr>
      <w:r>
        <w:rPr>
          <w:rFonts w:ascii="Arial" w:eastAsia="Times New Roman" w:hAnsi="Arial" w:cs="Arial"/>
          <w:b/>
          <w:bCs/>
          <w:color w:val="000000" w:themeColor="text1"/>
          <w:lang w:val="es-ES" w:eastAsia="es-ES_tradnl"/>
        </w:rPr>
        <w:t>Bogotá D.C., 2</w:t>
      </w:r>
      <w:r w:rsidR="00A14C29">
        <w:rPr>
          <w:rFonts w:ascii="Arial" w:eastAsia="Times New Roman" w:hAnsi="Arial" w:cs="Arial"/>
          <w:b/>
          <w:bCs/>
          <w:color w:val="000000" w:themeColor="text1"/>
          <w:lang w:val="es-ES" w:eastAsia="es-ES_tradnl"/>
        </w:rPr>
        <w:t>6</w:t>
      </w:r>
      <w:r w:rsidR="000123C0" w:rsidRPr="00DA5DDE">
        <w:rPr>
          <w:rFonts w:ascii="Arial" w:eastAsia="Times New Roman" w:hAnsi="Arial" w:cs="Arial"/>
          <w:b/>
          <w:bCs/>
          <w:color w:val="000000" w:themeColor="text1"/>
          <w:lang w:val="es-ES" w:eastAsia="es-ES_tradnl"/>
        </w:rPr>
        <w:t xml:space="preserve"> de septiembre de 2022</w:t>
      </w:r>
    </w:p>
    <w:p w14:paraId="30F97FDA" w14:textId="77777777" w:rsidR="000123C0" w:rsidRPr="00DA5DDE" w:rsidRDefault="000123C0" w:rsidP="000123C0">
      <w:pPr>
        <w:widowControl w:val="0"/>
        <w:autoSpaceDE w:val="0"/>
        <w:autoSpaceDN w:val="0"/>
        <w:spacing w:after="0" w:line="240" w:lineRule="auto"/>
        <w:rPr>
          <w:rFonts w:ascii="Arial" w:eastAsia="Times New Roman" w:hAnsi="Arial" w:cs="Arial"/>
          <w:color w:val="000000" w:themeColor="text1"/>
          <w:lang w:val="es-ES" w:eastAsia="es-ES_tradnl"/>
        </w:rPr>
      </w:pPr>
    </w:p>
    <w:p w14:paraId="6EAA92C1" w14:textId="77777777" w:rsidR="000123C0" w:rsidRPr="00DA5DDE" w:rsidRDefault="000123C0" w:rsidP="000123C0">
      <w:pPr>
        <w:spacing w:after="0" w:line="240" w:lineRule="auto"/>
        <w:jc w:val="both"/>
        <w:outlineLvl w:val="0"/>
        <w:rPr>
          <w:rFonts w:ascii="Arial" w:hAnsi="Arial" w:cs="Arial"/>
          <w:b/>
          <w:color w:val="000000" w:themeColor="text1"/>
          <w:lang w:val="es-ES"/>
        </w:rPr>
      </w:pPr>
    </w:p>
    <w:p w14:paraId="59F8ABF3" w14:textId="77777777" w:rsidR="00113434" w:rsidRDefault="00113434" w:rsidP="00113434">
      <w:pPr>
        <w:spacing w:after="0" w:line="240" w:lineRule="auto"/>
        <w:jc w:val="both"/>
        <w:outlineLvl w:val="0"/>
        <w:rPr>
          <w:rFonts w:ascii="Arial" w:eastAsia="Calibri" w:hAnsi="Arial" w:cs="Arial"/>
          <w:color w:val="000000" w:themeColor="text1"/>
          <w:lang w:val="es-ES"/>
        </w:rPr>
      </w:pPr>
      <w:r>
        <w:rPr>
          <w:rFonts w:ascii="Arial" w:eastAsia="Calibri" w:hAnsi="Arial" w:cs="Arial"/>
          <w:color w:val="000000" w:themeColor="text1"/>
          <w:lang w:val="es-ES"/>
        </w:rPr>
        <w:t>Señor</w:t>
      </w:r>
    </w:p>
    <w:p w14:paraId="26E54605" w14:textId="77777777" w:rsidR="00113434" w:rsidRDefault="00113434" w:rsidP="00113434">
      <w:pPr>
        <w:spacing w:after="0" w:line="240" w:lineRule="auto"/>
        <w:jc w:val="both"/>
        <w:outlineLvl w:val="0"/>
        <w:rPr>
          <w:rFonts w:ascii="Arial" w:eastAsia="Calibri" w:hAnsi="Arial" w:cs="Arial"/>
          <w:color w:val="000000" w:themeColor="text1"/>
          <w:lang w:val="es-ES"/>
        </w:rPr>
      </w:pPr>
      <w:r>
        <w:rPr>
          <w:rFonts w:ascii="Arial" w:eastAsia="Calibri" w:hAnsi="Arial" w:cs="Arial"/>
          <w:color w:val="000000" w:themeColor="text1"/>
          <w:lang w:val="es-ES"/>
        </w:rPr>
        <w:t>Juan Jacobo Pinilla Rodríguez</w:t>
      </w:r>
    </w:p>
    <w:p w14:paraId="159151EF" w14:textId="1CEE1575" w:rsidR="000123C0" w:rsidRPr="00DA5DDE" w:rsidRDefault="000123C0" w:rsidP="00113434">
      <w:pPr>
        <w:spacing w:after="0" w:line="240" w:lineRule="auto"/>
        <w:jc w:val="both"/>
        <w:outlineLvl w:val="0"/>
        <w:rPr>
          <w:rFonts w:ascii="Arial" w:eastAsia="Calibri" w:hAnsi="Arial" w:cs="Arial"/>
          <w:color w:val="000000" w:themeColor="text1"/>
          <w:lang w:val="es-ES"/>
        </w:rPr>
      </w:pPr>
      <w:r w:rsidRPr="00A14C29">
        <w:rPr>
          <w:rFonts w:ascii="Arial" w:eastAsia="Calibri" w:hAnsi="Arial" w:cs="Arial"/>
          <w:color w:val="000000" w:themeColor="text1"/>
          <w:lang w:val="es-ES"/>
        </w:rPr>
        <w:t>Caldas</w:t>
      </w:r>
      <w:r w:rsidR="00D1572C" w:rsidRPr="00A14C29">
        <w:rPr>
          <w:rFonts w:ascii="Arial" w:eastAsia="Calibri" w:hAnsi="Arial" w:cs="Arial"/>
          <w:color w:val="000000" w:themeColor="text1"/>
          <w:lang w:val="es-ES"/>
        </w:rPr>
        <w:t xml:space="preserve">, </w:t>
      </w:r>
      <w:r w:rsidRPr="00A14C29">
        <w:rPr>
          <w:rFonts w:ascii="Arial" w:eastAsia="Calibri" w:hAnsi="Arial" w:cs="Arial"/>
          <w:color w:val="000000" w:themeColor="text1"/>
          <w:lang w:val="es-ES"/>
        </w:rPr>
        <w:t>Antioquia</w:t>
      </w:r>
    </w:p>
    <w:p w14:paraId="03010430" w14:textId="77777777" w:rsidR="000123C0" w:rsidRPr="00DA5DDE" w:rsidRDefault="000123C0" w:rsidP="000123C0">
      <w:pPr>
        <w:spacing w:after="0" w:line="240" w:lineRule="auto"/>
        <w:jc w:val="both"/>
        <w:rPr>
          <w:rFonts w:ascii="Arial" w:eastAsia="Calibri" w:hAnsi="Arial" w:cs="Arial"/>
          <w:color w:val="000000" w:themeColor="text1"/>
          <w:lang w:val="es-ES"/>
        </w:rPr>
      </w:pPr>
    </w:p>
    <w:p w14:paraId="590A480E" w14:textId="77777777" w:rsidR="000123C0" w:rsidRPr="00DA5DDE" w:rsidRDefault="000123C0" w:rsidP="000123C0">
      <w:pPr>
        <w:spacing w:after="0" w:line="240" w:lineRule="auto"/>
        <w:jc w:val="both"/>
        <w:rPr>
          <w:rFonts w:ascii="Arial" w:eastAsia="Calibri" w:hAnsi="Arial" w:cs="Arial"/>
          <w:color w:val="000000" w:themeColor="text1"/>
          <w:lang w:val="es-ES"/>
        </w:rPr>
      </w:pPr>
    </w:p>
    <w:p w14:paraId="7A7B17C7" w14:textId="74B9DBDA" w:rsidR="000123C0" w:rsidRPr="00DA5DDE" w:rsidRDefault="000123C0" w:rsidP="000123C0">
      <w:pPr>
        <w:spacing w:after="0" w:line="240" w:lineRule="auto"/>
        <w:ind w:firstLine="2694"/>
        <w:jc w:val="both"/>
        <w:outlineLvl w:val="0"/>
        <w:rPr>
          <w:rFonts w:ascii="Arial" w:eastAsia="Calibri" w:hAnsi="Arial" w:cs="Arial"/>
          <w:b/>
          <w:color w:val="000000" w:themeColor="text1"/>
          <w:lang w:val="es-ES"/>
        </w:rPr>
      </w:pPr>
      <w:r w:rsidRPr="00DA5DDE">
        <w:rPr>
          <w:rFonts w:ascii="Arial" w:eastAsia="Calibri" w:hAnsi="Arial" w:cs="Arial"/>
          <w:b/>
          <w:color w:val="000000" w:themeColor="text1"/>
          <w:lang w:val="es-ES"/>
        </w:rPr>
        <w:t xml:space="preserve">Concepto C – </w:t>
      </w:r>
      <w:r w:rsidR="00113434">
        <w:rPr>
          <w:rFonts w:ascii="Arial" w:eastAsia="Calibri" w:hAnsi="Arial" w:cs="Arial"/>
          <w:b/>
          <w:color w:val="000000" w:themeColor="text1"/>
          <w:lang w:val="es-ES"/>
        </w:rPr>
        <w:t>6</w:t>
      </w:r>
      <w:r w:rsidR="002A77B5">
        <w:rPr>
          <w:rFonts w:ascii="Arial" w:eastAsia="Calibri" w:hAnsi="Arial" w:cs="Arial"/>
          <w:b/>
          <w:color w:val="000000" w:themeColor="text1"/>
          <w:lang w:val="es-ES"/>
        </w:rPr>
        <w:t>29</w:t>
      </w:r>
      <w:r w:rsidR="00113434">
        <w:rPr>
          <w:rFonts w:ascii="Arial" w:eastAsia="Calibri" w:hAnsi="Arial" w:cs="Arial"/>
          <w:b/>
          <w:color w:val="000000" w:themeColor="text1"/>
          <w:lang w:val="es-ES"/>
        </w:rPr>
        <w:t xml:space="preserve"> de 2022</w:t>
      </w:r>
    </w:p>
    <w:p w14:paraId="5F4C2434" w14:textId="77777777" w:rsidR="000123C0" w:rsidRPr="00DA5DDE" w:rsidRDefault="000123C0" w:rsidP="000123C0">
      <w:pPr>
        <w:spacing w:after="0" w:line="240" w:lineRule="auto"/>
        <w:rPr>
          <w:rFonts w:ascii="Arial" w:eastAsia="Calibri" w:hAnsi="Arial" w:cs="Arial"/>
          <w:color w:val="000000" w:themeColor="text1"/>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123C0" w:rsidRPr="00DA5DDE" w14:paraId="28B5C68D" w14:textId="77777777" w:rsidTr="00E475AA">
        <w:trPr>
          <w:trHeight w:val="1509"/>
        </w:trPr>
        <w:tc>
          <w:tcPr>
            <w:tcW w:w="2689" w:type="dxa"/>
            <w:hideMark/>
          </w:tcPr>
          <w:p w14:paraId="0715C2EC" w14:textId="77777777" w:rsidR="000123C0" w:rsidRPr="00DA5DDE" w:rsidRDefault="000123C0" w:rsidP="00E475AA">
            <w:pPr>
              <w:rPr>
                <w:rFonts w:ascii="Arial" w:eastAsia="Calibri" w:hAnsi="Arial" w:cs="Arial"/>
                <w:color w:val="000000" w:themeColor="text1"/>
                <w:lang w:val="es-ES"/>
              </w:rPr>
            </w:pPr>
            <w:r w:rsidRPr="00DA5DDE">
              <w:rPr>
                <w:rFonts w:ascii="Arial" w:eastAsia="Calibri" w:hAnsi="Arial" w:cs="Arial"/>
                <w:b/>
                <w:color w:val="000000" w:themeColor="text1"/>
                <w:lang w:val="es-ES"/>
              </w:rPr>
              <w:t>Temas:</w:t>
            </w:r>
            <w:r w:rsidRPr="00DA5DDE">
              <w:rPr>
                <w:rFonts w:ascii="Arial" w:eastAsia="Calibri" w:hAnsi="Arial" w:cs="Arial"/>
                <w:color w:val="000000" w:themeColor="text1"/>
                <w:lang w:val="es-ES"/>
              </w:rPr>
              <w:t xml:space="preserve">      </w:t>
            </w:r>
          </w:p>
          <w:p w14:paraId="68E39E04" w14:textId="77777777" w:rsidR="000123C0" w:rsidRPr="00DA5DDE" w:rsidRDefault="000123C0" w:rsidP="00E475AA">
            <w:pPr>
              <w:rPr>
                <w:rFonts w:ascii="Arial" w:eastAsia="Calibri" w:hAnsi="Arial" w:cs="Arial"/>
                <w:color w:val="000000" w:themeColor="text1"/>
                <w:lang w:val="es-ES"/>
              </w:rPr>
            </w:pPr>
            <w:r w:rsidRPr="00DA5DDE">
              <w:rPr>
                <w:rFonts w:ascii="Arial" w:eastAsia="Calibri" w:hAnsi="Arial" w:cs="Arial"/>
                <w:color w:val="000000" w:themeColor="text1"/>
                <w:lang w:val="es-ES"/>
              </w:rPr>
              <w:t xml:space="preserve">              </w:t>
            </w:r>
          </w:p>
        </w:tc>
        <w:tc>
          <w:tcPr>
            <w:tcW w:w="6237" w:type="dxa"/>
            <w:hideMark/>
          </w:tcPr>
          <w:p w14:paraId="7F31E7D3" w14:textId="6EE38E0E" w:rsidR="000123C0" w:rsidRPr="00DA5DDE" w:rsidRDefault="00DE38AB" w:rsidP="00E475AA">
            <w:pPr>
              <w:jc w:val="both"/>
              <w:rPr>
                <w:rFonts w:ascii="Arial" w:eastAsia="Calibri" w:hAnsi="Arial" w:cs="Arial"/>
                <w:bCs/>
                <w:color w:val="000000" w:themeColor="text1"/>
                <w:lang w:val="es-ES"/>
              </w:rPr>
            </w:pPr>
            <w:r w:rsidRPr="00DE38AB">
              <w:rPr>
                <w:rFonts w:ascii="Arial" w:eastAsia="Calibri" w:hAnsi="Arial" w:cs="Arial"/>
                <w:bCs/>
                <w:szCs w:val="24"/>
                <w:lang w:val="es-ES_tradnl" w:eastAsia="es-ES_tradnl"/>
              </w:rPr>
              <w:t xml:space="preserve">CONCURSO DE MÉRITOS – Concepto – Modalidades / CONCURSO DE MÉRITOS – Decreto 1082 de 2015 – artículo 2.2.1.2.1.3.2 – Suspensión provisional / CONCURSO DE MÉRITOS – Decreto 1082 de 2015 – artículo 2.2.1.2.1.3.2 – Decreto 399 de 2021 – Artículo 2 / </w:t>
            </w:r>
            <w:r w:rsidRPr="00DE38AB">
              <w:rPr>
                <w:rFonts w:ascii="Arial" w:eastAsia="Times New Roman" w:hAnsi="Arial" w:cs="Arial"/>
                <w:color w:val="000000"/>
                <w:lang w:eastAsia="es-ES_tradnl"/>
              </w:rPr>
              <w:t xml:space="preserve">CONCURSO DE MÉRITOS – Decreto 1082 - </w:t>
            </w:r>
            <w:r w:rsidRPr="00DE38AB">
              <w:rPr>
                <w:rFonts w:ascii="Arial" w:eastAsia="Times New Roman" w:hAnsi="Arial" w:cs="Arial"/>
                <w:color w:val="000000"/>
                <w:lang w:val="es-ES_tradnl" w:eastAsia="es-ES_tradnl"/>
              </w:rPr>
              <w:t xml:space="preserve">Artículo 2.2.1.2.1.3.2 – </w:t>
            </w:r>
            <w:r w:rsidRPr="00DE38AB">
              <w:rPr>
                <w:rFonts w:ascii="Arial" w:eastAsia="Calibri" w:hAnsi="Arial" w:cs="Arial"/>
                <w:lang w:val="es-ES_tradnl" w:eastAsia="es-ES_tradnl"/>
              </w:rPr>
              <w:t>Decreto 399 de 2021 – Artículo 2 /</w:t>
            </w:r>
            <w:r w:rsidR="00344914">
              <w:rPr>
                <w:rFonts w:ascii="Arial" w:eastAsia="Calibri" w:hAnsi="Arial" w:cs="Arial"/>
                <w:lang w:val="es-ES_tradnl" w:eastAsia="es-ES_tradnl"/>
              </w:rPr>
              <w:t xml:space="preserve"> CONCURSO DE MÉRITOS – Método de asignación de puntaje – Pliego de condiciones – Método aleatorio. </w:t>
            </w:r>
          </w:p>
          <w:p w14:paraId="38978AD4" w14:textId="77777777" w:rsidR="000123C0" w:rsidRPr="00DA5DDE" w:rsidRDefault="000123C0" w:rsidP="00E475AA">
            <w:pPr>
              <w:jc w:val="both"/>
              <w:rPr>
                <w:rFonts w:ascii="Arial" w:eastAsia="Calibri" w:hAnsi="Arial" w:cs="Arial"/>
                <w:color w:val="000000" w:themeColor="text1"/>
                <w:lang w:val="es-ES"/>
              </w:rPr>
            </w:pPr>
          </w:p>
        </w:tc>
      </w:tr>
      <w:tr w:rsidR="000123C0" w:rsidRPr="00DA5DDE" w14:paraId="538DE749" w14:textId="77777777" w:rsidTr="00E475AA">
        <w:tc>
          <w:tcPr>
            <w:tcW w:w="2689" w:type="dxa"/>
          </w:tcPr>
          <w:p w14:paraId="608ED966" w14:textId="77777777" w:rsidR="000123C0" w:rsidRPr="00DA5DDE" w:rsidRDefault="000123C0" w:rsidP="00E475AA">
            <w:pPr>
              <w:rPr>
                <w:rFonts w:ascii="Arial" w:eastAsia="Calibri" w:hAnsi="Arial" w:cs="Arial"/>
                <w:b/>
                <w:color w:val="000000" w:themeColor="text1"/>
                <w:lang w:val="es-ES"/>
              </w:rPr>
            </w:pPr>
            <w:r w:rsidRPr="00DA5DDE">
              <w:rPr>
                <w:rFonts w:ascii="Arial" w:eastAsia="Calibri" w:hAnsi="Arial" w:cs="Arial"/>
                <w:b/>
                <w:color w:val="000000" w:themeColor="text1"/>
                <w:lang w:val="es-ES"/>
              </w:rPr>
              <w:t xml:space="preserve"> Radicación:</w:t>
            </w:r>
            <w:r w:rsidRPr="00DA5DDE">
              <w:rPr>
                <w:rFonts w:ascii="Arial" w:eastAsia="Calibri" w:hAnsi="Arial" w:cs="Arial"/>
                <w:color w:val="000000" w:themeColor="text1"/>
                <w:lang w:val="es-ES"/>
              </w:rPr>
              <w:t xml:space="preserve">               </w:t>
            </w:r>
          </w:p>
        </w:tc>
        <w:tc>
          <w:tcPr>
            <w:tcW w:w="6237" w:type="dxa"/>
          </w:tcPr>
          <w:p w14:paraId="60166174" w14:textId="0417D529" w:rsidR="00DA5DDE" w:rsidRPr="00737215" w:rsidRDefault="000123C0" w:rsidP="00DA5DDE">
            <w:pPr>
              <w:jc w:val="both"/>
              <w:rPr>
                <w:rFonts w:ascii="Arial" w:eastAsia="Calibri" w:hAnsi="Arial" w:cs="Arial"/>
                <w:color w:val="000000" w:themeColor="text1"/>
                <w:lang w:val="es-ES"/>
              </w:rPr>
            </w:pPr>
            <w:r w:rsidRPr="00DA5DDE">
              <w:rPr>
                <w:rFonts w:ascii="Arial" w:eastAsia="Calibri" w:hAnsi="Arial" w:cs="Arial"/>
                <w:color w:val="000000" w:themeColor="text1"/>
                <w:lang w:val="es-ES"/>
              </w:rPr>
              <w:t xml:space="preserve">Respuesta a consulta </w:t>
            </w:r>
            <w:r w:rsidR="00DA5DDE" w:rsidRPr="00DA5DDE">
              <w:rPr>
                <w:rFonts w:ascii="Arial" w:hAnsi="Arial" w:cs="Arial"/>
                <w:color w:val="000000"/>
              </w:rPr>
              <w:t xml:space="preserve">P20220818008212 y </w:t>
            </w:r>
            <w:r w:rsidR="00DA5DDE" w:rsidRPr="00DA5DDE">
              <w:rPr>
                <w:rFonts w:ascii="Arial" w:hAnsi="Arial" w:cs="Arial"/>
              </w:rPr>
              <w:t>P20220819008239</w:t>
            </w:r>
          </w:p>
          <w:p w14:paraId="63371783" w14:textId="3EC2C118" w:rsidR="000123C0" w:rsidRPr="00DA5DDE" w:rsidRDefault="000123C0" w:rsidP="00DA5DDE">
            <w:pPr>
              <w:jc w:val="both"/>
              <w:rPr>
                <w:rFonts w:ascii="Arial" w:eastAsia="Calibri" w:hAnsi="Arial" w:cs="Arial"/>
                <w:color w:val="000000" w:themeColor="text1"/>
                <w:lang w:val="es-ES"/>
              </w:rPr>
            </w:pPr>
          </w:p>
        </w:tc>
      </w:tr>
      <w:tr w:rsidR="000123C0" w:rsidRPr="00670216" w14:paraId="1234D960" w14:textId="77777777" w:rsidTr="00E475AA">
        <w:tc>
          <w:tcPr>
            <w:tcW w:w="2689" w:type="dxa"/>
          </w:tcPr>
          <w:p w14:paraId="05EECE8A" w14:textId="77777777" w:rsidR="000123C0" w:rsidRPr="00655AEF" w:rsidRDefault="000123C0" w:rsidP="00E475AA">
            <w:pPr>
              <w:spacing w:before="120"/>
              <w:rPr>
                <w:rFonts w:ascii="Arial" w:eastAsia="Calibri" w:hAnsi="Arial" w:cs="Arial"/>
                <w:b/>
                <w:color w:val="000000" w:themeColor="text1"/>
                <w:lang w:val="es-ES"/>
              </w:rPr>
            </w:pPr>
          </w:p>
        </w:tc>
        <w:tc>
          <w:tcPr>
            <w:tcW w:w="6237" w:type="dxa"/>
          </w:tcPr>
          <w:p w14:paraId="357630A4" w14:textId="77777777" w:rsidR="000123C0" w:rsidRPr="00655AEF" w:rsidRDefault="000123C0" w:rsidP="00E475AA">
            <w:pPr>
              <w:spacing w:before="120"/>
              <w:jc w:val="both"/>
              <w:rPr>
                <w:rFonts w:ascii="Arial" w:eastAsia="Calibri" w:hAnsi="Arial" w:cs="Arial"/>
                <w:color w:val="000000" w:themeColor="text1"/>
                <w:lang w:val="es-ES"/>
              </w:rPr>
            </w:pPr>
          </w:p>
        </w:tc>
      </w:tr>
    </w:tbl>
    <w:p w14:paraId="1083EA88" w14:textId="19343CCC" w:rsidR="000123C0" w:rsidRPr="00655AEF" w:rsidRDefault="00113434" w:rsidP="000123C0">
      <w:pPr>
        <w:spacing w:after="0" w:line="240" w:lineRule="auto"/>
        <w:rPr>
          <w:rFonts w:ascii="Arial" w:eastAsia="Calibri" w:hAnsi="Arial" w:cs="Arial"/>
          <w:color w:val="000000" w:themeColor="text1"/>
          <w:lang w:val="es-ES"/>
        </w:rPr>
      </w:pPr>
      <w:r>
        <w:rPr>
          <w:rFonts w:ascii="Arial" w:eastAsia="Calibri" w:hAnsi="Arial" w:cs="Arial"/>
          <w:color w:val="000000" w:themeColor="text1"/>
          <w:lang w:val="es-ES"/>
        </w:rPr>
        <w:t xml:space="preserve">Estimada Señor </w:t>
      </w:r>
      <w:r w:rsidR="00D1572C">
        <w:rPr>
          <w:rFonts w:ascii="Arial" w:eastAsia="Calibri" w:hAnsi="Arial" w:cs="Arial"/>
          <w:color w:val="000000" w:themeColor="text1"/>
          <w:lang w:val="es-ES"/>
        </w:rPr>
        <w:t>Pinilla</w:t>
      </w:r>
      <w:r>
        <w:rPr>
          <w:rFonts w:ascii="Arial" w:eastAsia="Calibri" w:hAnsi="Arial" w:cs="Arial"/>
          <w:color w:val="000000" w:themeColor="text1"/>
          <w:lang w:val="es-ES"/>
        </w:rPr>
        <w:t>:</w:t>
      </w:r>
    </w:p>
    <w:p w14:paraId="2FC90ECB" w14:textId="77777777" w:rsidR="000123C0" w:rsidRPr="00655AEF" w:rsidRDefault="000123C0" w:rsidP="000123C0">
      <w:pPr>
        <w:spacing w:after="0" w:line="240" w:lineRule="auto"/>
        <w:rPr>
          <w:rFonts w:ascii="Arial" w:eastAsia="Calibri" w:hAnsi="Arial" w:cs="Arial"/>
          <w:color w:val="000000" w:themeColor="text1"/>
          <w:lang w:val="es-ES"/>
        </w:rPr>
      </w:pPr>
    </w:p>
    <w:p w14:paraId="4F493BBD" w14:textId="040D28AB" w:rsidR="000123C0" w:rsidRPr="00655AEF" w:rsidRDefault="000123C0" w:rsidP="000123C0">
      <w:pPr>
        <w:spacing w:after="0" w:line="276" w:lineRule="auto"/>
        <w:jc w:val="both"/>
        <w:rPr>
          <w:rFonts w:ascii="Arial" w:eastAsia="Calibri" w:hAnsi="Arial" w:cs="Arial"/>
          <w:color w:val="000000" w:themeColor="text1"/>
          <w:lang w:val="es-ES"/>
        </w:rPr>
      </w:pPr>
      <w:r w:rsidRPr="00655AEF">
        <w:rPr>
          <w:rFonts w:ascii="Arial" w:eastAsia="Calibri" w:hAnsi="Arial" w:cs="Arial"/>
          <w:color w:val="000000" w:themeColor="text1"/>
          <w:lang w:val="es-ES"/>
        </w:rPr>
        <w:t>En ejercicio de la competencia otorgada por los artículos 11, numeral 8º, y 3º, numeral 5º, del Decreto Ley 4170 de 2011, la Agencia Nacional de Contratación Pública −</w:t>
      </w:r>
      <w:r w:rsidR="00D1572C">
        <w:rPr>
          <w:rFonts w:ascii="Arial" w:eastAsia="Calibri" w:hAnsi="Arial" w:cs="Arial"/>
          <w:color w:val="000000" w:themeColor="text1"/>
          <w:lang w:val="es-ES"/>
        </w:rPr>
        <w:t xml:space="preserve"> </w:t>
      </w:r>
      <w:r w:rsidRPr="00655AEF">
        <w:rPr>
          <w:rFonts w:ascii="Arial" w:eastAsia="Calibri" w:hAnsi="Arial" w:cs="Arial"/>
          <w:color w:val="000000" w:themeColor="text1"/>
          <w:lang w:val="es-ES"/>
        </w:rPr>
        <w:t xml:space="preserve">Colombia Compra Eficiente responde </w:t>
      </w:r>
      <w:r w:rsidR="00DA5DDE">
        <w:rPr>
          <w:rFonts w:ascii="Arial" w:eastAsia="Calibri" w:hAnsi="Arial" w:cs="Arial"/>
          <w:color w:val="000000" w:themeColor="text1"/>
          <w:lang w:val="es-ES"/>
        </w:rPr>
        <w:t xml:space="preserve">sus consultas del 18 y 19 de agosto de 2022, que se responderán de forma conjunta por la unidad temática de las preguntas. </w:t>
      </w:r>
    </w:p>
    <w:p w14:paraId="4785B221" w14:textId="77777777" w:rsidR="000123C0" w:rsidRPr="00655AEF" w:rsidRDefault="000123C0" w:rsidP="000123C0">
      <w:pPr>
        <w:spacing w:after="0" w:line="276" w:lineRule="auto"/>
        <w:jc w:val="both"/>
        <w:rPr>
          <w:rFonts w:ascii="Arial" w:eastAsia="Calibri" w:hAnsi="Arial" w:cs="Arial"/>
          <w:color w:val="000000" w:themeColor="text1"/>
          <w:lang w:val="es-ES"/>
        </w:rPr>
      </w:pPr>
    </w:p>
    <w:p w14:paraId="6F0F681D" w14:textId="77777777" w:rsidR="000123C0" w:rsidRPr="00655AEF" w:rsidRDefault="000123C0" w:rsidP="000123C0">
      <w:pPr>
        <w:numPr>
          <w:ilvl w:val="0"/>
          <w:numId w:val="6"/>
        </w:numPr>
        <w:tabs>
          <w:tab w:val="left" w:pos="284"/>
        </w:tabs>
        <w:spacing w:after="0" w:line="276" w:lineRule="auto"/>
        <w:ind w:left="0" w:firstLine="0"/>
        <w:contextualSpacing/>
        <w:jc w:val="both"/>
        <w:rPr>
          <w:rFonts w:ascii="Arial" w:eastAsia="Calibri" w:hAnsi="Arial" w:cs="Arial"/>
          <w:b/>
          <w:color w:val="000000" w:themeColor="text1"/>
          <w:lang w:val="es-ES"/>
        </w:rPr>
      </w:pPr>
      <w:r w:rsidRPr="00655AEF">
        <w:rPr>
          <w:rFonts w:ascii="Arial" w:eastAsia="Calibri" w:hAnsi="Arial" w:cs="Arial"/>
          <w:b/>
          <w:color w:val="000000" w:themeColor="text1"/>
          <w:lang w:val="es-ES"/>
        </w:rPr>
        <w:t xml:space="preserve">Problema planteado </w:t>
      </w:r>
    </w:p>
    <w:p w14:paraId="3D1A0F5B" w14:textId="77777777" w:rsidR="000123C0" w:rsidRPr="00A103AB" w:rsidRDefault="000123C0" w:rsidP="000123C0">
      <w:pPr>
        <w:tabs>
          <w:tab w:val="left" w:pos="426"/>
        </w:tabs>
        <w:spacing w:after="0" w:line="276" w:lineRule="auto"/>
        <w:jc w:val="both"/>
        <w:rPr>
          <w:rFonts w:ascii="Arial" w:eastAsia="Calibri" w:hAnsi="Arial" w:cs="Arial"/>
          <w:b/>
          <w:color w:val="000000" w:themeColor="text1"/>
          <w:lang w:val="es-ES"/>
        </w:rPr>
      </w:pPr>
    </w:p>
    <w:p w14:paraId="2163134F" w14:textId="5B5BE40E" w:rsidR="00A103AB" w:rsidRPr="00A103AB" w:rsidRDefault="00FD7AC7" w:rsidP="00A103AB">
      <w:pPr>
        <w:autoSpaceDE w:val="0"/>
        <w:autoSpaceDN w:val="0"/>
        <w:adjustRightInd w:val="0"/>
        <w:spacing w:after="0" w:line="276" w:lineRule="auto"/>
        <w:jc w:val="both"/>
        <w:rPr>
          <w:rFonts w:ascii="Arial" w:eastAsia="Calibri" w:hAnsi="Arial" w:cs="Arial"/>
          <w:color w:val="000000" w:themeColor="text1"/>
          <w:lang w:val="es-ES"/>
        </w:rPr>
      </w:pPr>
      <w:r>
        <w:rPr>
          <w:rFonts w:ascii="Arial" w:hAnsi="Arial" w:cs="Arial"/>
        </w:rPr>
        <w:t>Usted realiza</w:t>
      </w:r>
      <w:r w:rsidR="00A103AB" w:rsidRPr="00A103AB">
        <w:rPr>
          <w:rFonts w:ascii="Arial" w:hAnsi="Arial" w:cs="Arial"/>
        </w:rPr>
        <w:t xml:space="preserve"> la siguiente consulta: </w:t>
      </w:r>
    </w:p>
    <w:p w14:paraId="549DBC00" w14:textId="78A8E82C" w:rsidR="00A103AB" w:rsidRDefault="00A103AB" w:rsidP="000123C0">
      <w:pPr>
        <w:autoSpaceDE w:val="0"/>
        <w:autoSpaceDN w:val="0"/>
        <w:adjustRightInd w:val="0"/>
        <w:spacing w:after="0" w:line="276" w:lineRule="auto"/>
        <w:jc w:val="both"/>
        <w:rPr>
          <w:rFonts w:ascii="Arial" w:eastAsia="Calibri" w:hAnsi="Arial" w:cs="Arial"/>
          <w:color w:val="000000" w:themeColor="text1"/>
          <w:lang w:val="es-ES"/>
        </w:rPr>
      </w:pPr>
      <w:bookmarkStart w:id="1" w:name="_Hlk64545847"/>
      <w:bookmarkStart w:id="2" w:name="_Hlk80613088"/>
    </w:p>
    <w:p w14:paraId="2BCBE269" w14:textId="03A1606E" w:rsidR="000123C0" w:rsidRPr="00A103AB" w:rsidRDefault="000123C0" w:rsidP="00A103AB">
      <w:pPr>
        <w:autoSpaceDE w:val="0"/>
        <w:autoSpaceDN w:val="0"/>
        <w:adjustRightInd w:val="0"/>
        <w:spacing w:after="0" w:line="240" w:lineRule="auto"/>
        <w:ind w:left="709" w:right="709"/>
        <w:jc w:val="both"/>
        <w:rPr>
          <w:rFonts w:ascii="Arial" w:eastAsia="Calibri" w:hAnsi="Arial" w:cs="Arial"/>
          <w:color w:val="000000" w:themeColor="text1"/>
          <w:sz w:val="21"/>
          <w:szCs w:val="21"/>
          <w:lang w:val="es-ES"/>
        </w:rPr>
      </w:pPr>
      <w:r w:rsidRPr="00A103AB">
        <w:rPr>
          <w:rFonts w:ascii="Arial" w:eastAsia="Calibri" w:hAnsi="Arial" w:cs="Arial"/>
          <w:color w:val="000000" w:themeColor="text1"/>
          <w:sz w:val="21"/>
          <w:szCs w:val="21"/>
          <w:lang w:val="es-ES"/>
        </w:rPr>
        <w:t>«</w:t>
      </w:r>
      <w:bookmarkEnd w:id="1"/>
      <w:r w:rsidR="00A103AB" w:rsidRPr="00A103AB">
        <w:rPr>
          <w:rFonts w:ascii="Arial" w:eastAsia="Calibri" w:hAnsi="Arial" w:cs="Arial"/>
          <w:color w:val="000000" w:themeColor="text1"/>
          <w:sz w:val="21"/>
          <w:szCs w:val="21"/>
          <w:lang w:val="es-ES"/>
        </w:rPr>
        <w:t xml:space="preserve">[…] </w:t>
      </w:r>
      <w:r w:rsidR="00113434" w:rsidRPr="00A103AB">
        <w:rPr>
          <w:rFonts w:ascii="Arial" w:hAnsi="Arial" w:cs="Arial"/>
          <w:sz w:val="21"/>
          <w:szCs w:val="21"/>
        </w:rPr>
        <w:t xml:space="preserve">aclarar si las entidades pueden implementar métodos de asignación de puntaje por medio de métodos aleatorios y del azar, para los proceso de licitación de CONCURSO DE MERITOS ABIERTOS o si las entidades deben evaluar a los </w:t>
      </w:r>
      <w:r w:rsidR="00113434" w:rsidRPr="00A103AB">
        <w:rPr>
          <w:rFonts w:ascii="Arial" w:hAnsi="Arial" w:cs="Arial"/>
          <w:sz w:val="21"/>
          <w:szCs w:val="21"/>
        </w:rPr>
        <w:lastRenderedPageBreak/>
        <w:t>proponentes y asignar puntaje bajo criterios puntuales como por ejemplo EL PROPONENTE QUE ACREDITE EL MAYOR NUMERO DE CONTRATOS RELACIONADOS CON OBJETO A CONTRATAR Y/O EL PROPONENTE QUE ACREDITE MAS SMMLV NUMERO DE CONTRATOS RELACIONADOS AL OBJETO A CONTRATAR Y/O EL PROPONENTE QUE ACREDITE LA MAYOR AREA (m2) EN CONTRATOS RELACIONADOS AL OBJETO A CONTRATAR o establecer un tome máximos de número de contratos y/o SMMLV y/o área (m2) y de esta manera se estaría garantizando a los proponentes que se les evalúa de acuerdo a sus méritos y experiencia, como es la finalidad de los procesos de CONCURSO DE MERITOS ABIERTOS</w:t>
      </w:r>
      <w:r w:rsidRPr="00A103AB">
        <w:rPr>
          <w:rFonts w:ascii="Arial" w:eastAsia="Calibri" w:hAnsi="Arial" w:cs="Arial"/>
          <w:color w:val="000000" w:themeColor="text1"/>
          <w:sz w:val="21"/>
          <w:szCs w:val="21"/>
          <w:lang w:val="es-ES"/>
        </w:rPr>
        <w:t>»</w:t>
      </w:r>
      <w:r w:rsidR="00321669">
        <w:rPr>
          <w:rFonts w:ascii="Arial" w:eastAsia="Calibri" w:hAnsi="Arial" w:cs="Arial"/>
          <w:color w:val="000000" w:themeColor="text1"/>
          <w:sz w:val="21"/>
          <w:szCs w:val="21"/>
          <w:lang w:val="es-ES"/>
        </w:rPr>
        <w:t xml:space="preserve"> (sic)</w:t>
      </w:r>
      <w:r w:rsidRPr="00A103AB">
        <w:rPr>
          <w:rFonts w:ascii="Arial" w:eastAsia="Calibri" w:hAnsi="Arial" w:cs="Arial"/>
          <w:color w:val="000000" w:themeColor="text1"/>
          <w:sz w:val="21"/>
          <w:szCs w:val="21"/>
          <w:lang w:val="es-ES"/>
        </w:rPr>
        <w:t>.</w:t>
      </w:r>
    </w:p>
    <w:bookmarkEnd w:id="2"/>
    <w:p w14:paraId="47B9B381" w14:textId="77777777" w:rsidR="000123C0" w:rsidRPr="00655AEF" w:rsidRDefault="000123C0" w:rsidP="000123C0">
      <w:pPr>
        <w:shd w:val="clear" w:color="auto" w:fill="FFFFFF"/>
        <w:spacing w:after="0" w:line="240" w:lineRule="auto"/>
        <w:ind w:left="709" w:right="709"/>
        <w:jc w:val="both"/>
        <w:rPr>
          <w:rFonts w:ascii="Arial" w:eastAsia="Calibri" w:hAnsi="Arial" w:cs="Arial"/>
          <w:color w:val="000000" w:themeColor="text1"/>
          <w:lang w:eastAsia="es-ES_tradnl"/>
        </w:rPr>
      </w:pPr>
    </w:p>
    <w:p w14:paraId="3A284224" w14:textId="77777777" w:rsidR="000123C0" w:rsidRPr="00655AEF" w:rsidRDefault="000123C0" w:rsidP="000123C0">
      <w:pPr>
        <w:numPr>
          <w:ilvl w:val="0"/>
          <w:numId w:val="6"/>
        </w:numPr>
        <w:tabs>
          <w:tab w:val="left" w:pos="426"/>
        </w:tabs>
        <w:spacing w:after="0" w:line="276" w:lineRule="auto"/>
        <w:ind w:left="284" w:hanging="284"/>
        <w:contextualSpacing/>
        <w:jc w:val="both"/>
        <w:rPr>
          <w:rFonts w:ascii="Arial" w:eastAsia="Calibri" w:hAnsi="Arial" w:cs="Arial"/>
          <w:b/>
          <w:color w:val="000000" w:themeColor="text1"/>
          <w:lang w:val="es-ES"/>
        </w:rPr>
      </w:pPr>
      <w:r w:rsidRPr="00655AEF">
        <w:rPr>
          <w:rFonts w:ascii="Arial" w:eastAsia="Calibri" w:hAnsi="Arial" w:cs="Arial"/>
          <w:b/>
          <w:color w:val="000000" w:themeColor="text1"/>
          <w:lang w:val="es-ES"/>
        </w:rPr>
        <w:t>Consideraciones</w:t>
      </w:r>
    </w:p>
    <w:p w14:paraId="357E3698" w14:textId="77777777" w:rsidR="000123C0" w:rsidRPr="00655AEF" w:rsidRDefault="000123C0" w:rsidP="000123C0">
      <w:pPr>
        <w:tabs>
          <w:tab w:val="left" w:pos="426"/>
        </w:tabs>
        <w:spacing w:after="0" w:line="240" w:lineRule="auto"/>
        <w:ind w:left="284"/>
        <w:contextualSpacing/>
        <w:jc w:val="both"/>
        <w:rPr>
          <w:rFonts w:ascii="Arial" w:eastAsia="Calibri" w:hAnsi="Arial" w:cs="Arial"/>
          <w:b/>
          <w:color w:val="000000" w:themeColor="text1"/>
          <w:lang w:val="es-ES"/>
        </w:rPr>
      </w:pPr>
    </w:p>
    <w:p w14:paraId="4601450D" w14:textId="146C8ECC" w:rsidR="000123C0" w:rsidRPr="00655AEF" w:rsidRDefault="000123C0" w:rsidP="00DE38AB">
      <w:pPr>
        <w:spacing w:after="120" w:line="276" w:lineRule="auto"/>
        <w:jc w:val="both"/>
        <w:rPr>
          <w:rFonts w:ascii="Arial" w:eastAsia="Calibri" w:hAnsi="Arial" w:cs="Arial"/>
          <w:color w:val="000000" w:themeColor="text1"/>
        </w:rPr>
      </w:pPr>
      <w:r w:rsidRPr="00655AEF">
        <w:rPr>
          <w:rFonts w:ascii="Arial" w:eastAsia="Arial" w:hAnsi="Arial" w:cs="Arial"/>
          <w:color w:val="000000" w:themeColor="text1"/>
          <w:lang w:val="es-MX" w:eastAsia="es-ES_tradnl"/>
        </w:rPr>
        <w:t>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655AEF">
        <w:rPr>
          <w:rFonts w:ascii="Arial" w:eastAsia="Arial" w:hAnsi="Arial" w:cs="Arial"/>
          <w:color w:val="000000" w:themeColor="text1"/>
          <w:vertAlign w:val="superscript"/>
          <w:lang w:val="es-MX" w:eastAsia="es-ES_tradnl"/>
        </w:rPr>
        <w:footnoteReference w:id="2"/>
      </w:r>
      <w:r w:rsidRPr="00655AEF">
        <w:rPr>
          <w:rFonts w:ascii="Arial" w:eastAsia="Arial" w:hAnsi="Arial" w:cs="Arial"/>
          <w:color w:val="000000" w:themeColor="text1"/>
          <w:lang w:val="es-MX" w:eastAsia="es-ES_tradnl"/>
        </w:rPr>
        <w:t>.</w:t>
      </w:r>
      <w:r w:rsidRPr="00655AEF">
        <w:rPr>
          <w:rFonts w:ascii="Arial" w:eastAsia="Calibri" w:hAnsi="Arial" w:cs="Arial"/>
          <w:color w:val="000000" w:themeColor="text1"/>
          <w:lang w:val="es-MX"/>
        </w:rPr>
        <w:t xml:space="preserve"> En tal sentido</w:t>
      </w:r>
      <w:r w:rsidRPr="00655AEF">
        <w:rPr>
          <w:rFonts w:ascii="Arial" w:eastAsia="Calibri" w:hAnsi="Arial" w:cs="Arial"/>
          <w:color w:val="000000" w:themeColor="text1"/>
        </w:rPr>
        <w:t xml:space="preserve">, </w:t>
      </w:r>
      <w:r w:rsidRPr="00655AEF">
        <w:rPr>
          <w:rFonts w:ascii="Arial" w:eastAsia="Calibri" w:hAnsi="Arial" w:cs="Arial"/>
          <w:color w:val="000000" w:themeColor="text1"/>
          <w:lang w:val="es-ES"/>
        </w:rPr>
        <w:t xml:space="preserve">la Agencia –dentro de los límites de sus atribuciones–, resolverá la consulta conforme a las normas generales en materia de contratación estatal. </w:t>
      </w:r>
      <w:r w:rsidRPr="00655AEF">
        <w:rPr>
          <w:rFonts w:ascii="Arial" w:eastAsia="Calibri" w:hAnsi="Arial" w:cs="Arial"/>
          <w:color w:val="000000" w:themeColor="text1"/>
          <w:lang w:eastAsia="es-ES_tradnl"/>
        </w:rPr>
        <w:t xml:space="preserve">Para responder su interrogante, </w:t>
      </w:r>
      <w:r w:rsidRPr="00655AEF">
        <w:rPr>
          <w:rFonts w:ascii="Arial" w:eastAsia="Calibri" w:hAnsi="Arial" w:cs="Arial"/>
          <w:color w:val="000000" w:themeColor="text1"/>
          <w:lang w:val="es-ES" w:eastAsia="es-ES_tradnl"/>
        </w:rPr>
        <w:t>se analizarán los siguientes temas</w:t>
      </w:r>
      <w:r w:rsidRPr="00655AEF">
        <w:rPr>
          <w:rFonts w:ascii="Arial" w:eastAsia="Calibri" w:hAnsi="Arial" w:cs="Arial"/>
          <w:bCs/>
          <w:color w:val="000000" w:themeColor="text1"/>
          <w:lang w:eastAsia="es-ES_tradnl"/>
        </w:rPr>
        <w:t>:</w:t>
      </w:r>
      <w:r w:rsidR="00A103AB">
        <w:rPr>
          <w:rFonts w:ascii="Arial" w:eastAsia="Calibri" w:hAnsi="Arial" w:cs="Arial"/>
          <w:color w:val="000000" w:themeColor="text1"/>
          <w:lang w:val="es-ES"/>
        </w:rPr>
        <w:t xml:space="preserve"> i)</w:t>
      </w:r>
      <w:r w:rsidR="00042F76">
        <w:rPr>
          <w:rFonts w:ascii="Arial" w:eastAsia="Calibri" w:hAnsi="Arial" w:cs="Arial"/>
          <w:color w:val="000000" w:themeColor="text1"/>
          <w:lang w:val="es-ES"/>
        </w:rPr>
        <w:t xml:space="preserve"> procedimiento del concurso de méritos; </w:t>
      </w:r>
      <w:proofErr w:type="spellStart"/>
      <w:r w:rsidR="00042F76">
        <w:rPr>
          <w:rFonts w:ascii="Arial" w:eastAsia="Calibri" w:hAnsi="Arial" w:cs="Arial"/>
          <w:color w:val="000000" w:themeColor="text1"/>
          <w:lang w:val="es-ES"/>
        </w:rPr>
        <w:t>ii</w:t>
      </w:r>
      <w:proofErr w:type="spellEnd"/>
      <w:r w:rsidR="00042F76">
        <w:rPr>
          <w:rFonts w:ascii="Arial" w:eastAsia="Calibri" w:hAnsi="Arial" w:cs="Arial"/>
          <w:color w:val="000000" w:themeColor="text1"/>
          <w:lang w:val="es-ES"/>
        </w:rPr>
        <w:t xml:space="preserve">) </w:t>
      </w:r>
      <w:r w:rsidR="00042F76">
        <w:rPr>
          <w:rFonts w:ascii="Arial" w:eastAsia="Calibri" w:hAnsi="Arial" w:cs="Arial"/>
          <w:bCs/>
          <w:color w:val="000000"/>
          <w:szCs w:val="24"/>
          <w:lang w:val="es-ES_tradnl" w:eastAsia="es-ES_tradnl"/>
        </w:rPr>
        <w:t>r</w:t>
      </w:r>
      <w:r w:rsidR="00042F76" w:rsidRPr="00042F76">
        <w:rPr>
          <w:rFonts w:ascii="Arial" w:eastAsia="Calibri" w:hAnsi="Arial" w:cs="Arial"/>
          <w:bCs/>
          <w:color w:val="000000"/>
          <w:szCs w:val="24"/>
          <w:lang w:val="es-ES_tradnl" w:eastAsia="es-ES_tradnl"/>
        </w:rPr>
        <w:t>eglamentación del concurso de méritos abierto o con precalificación en el Decreto 399 de 2021</w:t>
      </w:r>
      <w:r w:rsidRPr="00655AEF">
        <w:rPr>
          <w:rFonts w:ascii="Arial" w:eastAsia="Calibri" w:hAnsi="Arial" w:cs="Arial"/>
          <w:color w:val="000000" w:themeColor="text1"/>
          <w:lang w:val="es-ES"/>
        </w:rPr>
        <w:t xml:space="preserve">; y </w:t>
      </w:r>
      <w:proofErr w:type="spellStart"/>
      <w:r w:rsidRPr="00655AEF">
        <w:rPr>
          <w:rFonts w:ascii="Arial" w:eastAsia="Calibri" w:hAnsi="Arial" w:cs="Arial"/>
          <w:color w:val="000000" w:themeColor="text1"/>
          <w:lang w:val="es-ES"/>
        </w:rPr>
        <w:t>ii</w:t>
      </w:r>
      <w:r w:rsidR="00042F76">
        <w:rPr>
          <w:rFonts w:ascii="Arial" w:eastAsia="Calibri" w:hAnsi="Arial" w:cs="Arial"/>
          <w:color w:val="000000" w:themeColor="text1"/>
          <w:lang w:val="es-ES"/>
        </w:rPr>
        <w:t>i</w:t>
      </w:r>
      <w:proofErr w:type="spellEnd"/>
      <w:r w:rsidRPr="00655AEF">
        <w:rPr>
          <w:rFonts w:ascii="Arial" w:eastAsia="Calibri" w:hAnsi="Arial" w:cs="Arial"/>
          <w:color w:val="000000" w:themeColor="text1"/>
          <w:lang w:val="es-ES"/>
        </w:rPr>
        <w:t>)</w:t>
      </w:r>
      <w:r w:rsidR="00A103AB">
        <w:rPr>
          <w:rFonts w:ascii="Arial" w:eastAsia="Calibri" w:hAnsi="Arial" w:cs="Arial"/>
          <w:bCs/>
          <w:color w:val="000000" w:themeColor="text1"/>
          <w:szCs w:val="24"/>
          <w:lang w:val="es-ES" w:eastAsia="es-ES_tradnl"/>
        </w:rPr>
        <w:t xml:space="preserve"> el método de evaluaci</w:t>
      </w:r>
      <w:r w:rsidR="00F879A2">
        <w:rPr>
          <w:rFonts w:ascii="Arial" w:eastAsia="Calibri" w:hAnsi="Arial" w:cs="Arial"/>
          <w:bCs/>
          <w:color w:val="000000" w:themeColor="text1"/>
          <w:szCs w:val="24"/>
          <w:lang w:val="es-ES" w:eastAsia="es-ES_tradnl"/>
        </w:rPr>
        <w:t xml:space="preserve">ón en los concursos de méritos. </w:t>
      </w:r>
    </w:p>
    <w:p w14:paraId="645B5B6F" w14:textId="3682F745" w:rsidR="00DE38AB" w:rsidRPr="00DE38AB" w:rsidRDefault="00DE38AB" w:rsidP="00DE38AB">
      <w:pPr>
        <w:spacing w:before="120" w:line="276" w:lineRule="auto"/>
        <w:ind w:firstLine="709"/>
        <w:jc w:val="both"/>
        <w:rPr>
          <w:rFonts w:ascii="Arial" w:eastAsia="Calibri" w:hAnsi="Arial" w:cs="Arial"/>
          <w:color w:val="000000"/>
          <w:lang w:val="es-ES_tradnl" w:eastAsia="es-ES_tradnl"/>
        </w:rPr>
      </w:pPr>
      <w:r w:rsidRPr="00DE38AB">
        <w:rPr>
          <w:rFonts w:ascii="Arial" w:eastAsia="Calibri" w:hAnsi="Arial" w:cs="Arial"/>
          <w:color w:val="000000"/>
          <w:lang w:val="es-ES_tradnl" w:eastAsia="es-ES_tradnl"/>
        </w:rPr>
        <w:t xml:space="preserve">Es importante destacar que la Agencia Nacional de Contratación Pública – Colombia Compra Eficiente </w:t>
      </w:r>
      <w:r w:rsidRPr="00DE38AB">
        <w:rPr>
          <w:rFonts w:ascii="Arial" w:eastAsia="Calibri" w:hAnsi="Arial" w:cs="Arial"/>
          <w:color w:val="000000"/>
          <w:szCs w:val="24"/>
          <w:lang w:val="es-ES_tradnl" w:eastAsia="es-ES_tradnl"/>
        </w:rPr>
        <w:t xml:space="preserve">expidió los conceptos C-124 del 25 de marzo de 2020, C-406 y C-477 del 13 de julio de 2020, C-612 del 2 de octubre de 2020, C-761 del 5 de enero de 2021, C- 297 del 17 de junio de 2021, C-339 del 14 de junio de 2021, C-367 del 26 de julio de 2021 y C-408 del 13 de agosto de 2021, </w:t>
      </w:r>
      <w:r w:rsidR="00814E08">
        <w:rPr>
          <w:rFonts w:ascii="Arial" w:eastAsia="Calibri" w:hAnsi="Arial" w:cs="Arial"/>
          <w:color w:val="000000"/>
          <w:szCs w:val="24"/>
          <w:lang w:val="es-ES_tradnl" w:eastAsia="es-ES_tradnl"/>
        </w:rPr>
        <w:t>C-739 del 2 de febrero de 2022, C-043 del 1 de marzo de 2022,</w:t>
      </w:r>
      <w:r w:rsidR="00344914">
        <w:rPr>
          <w:rFonts w:ascii="Arial" w:eastAsia="Calibri" w:hAnsi="Arial" w:cs="Arial"/>
          <w:color w:val="000000"/>
          <w:szCs w:val="24"/>
          <w:lang w:val="es-ES_tradnl" w:eastAsia="es-ES_tradnl"/>
        </w:rPr>
        <w:t xml:space="preserve"> C-165 del 6 de abril de 2022, entre otros,</w:t>
      </w:r>
      <w:r w:rsidR="00814E08">
        <w:rPr>
          <w:rFonts w:ascii="Arial" w:eastAsia="Calibri" w:hAnsi="Arial" w:cs="Arial"/>
          <w:color w:val="000000"/>
          <w:szCs w:val="24"/>
          <w:lang w:val="es-ES_tradnl" w:eastAsia="es-ES_tradnl"/>
        </w:rPr>
        <w:t xml:space="preserve"> </w:t>
      </w:r>
      <w:r w:rsidRPr="00DE38AB">
        <w:rPr>
          <w:rFonts w:ascii="Arial" w:eastAsia="Calibri" w:hAnsi="Arial" w:cs="Arial"/>
          <w:color w:val="000000"/>
          <w:szCs w:val="24"/>
          <w:lang w:val="es-ES_tradnl" w:eastAsia="es-ES_tradnl"/>
        </w:rPr>
        <w:t xml:space="preserve">en los cuales analizó la forma como se debe desarrollar el concurso de méritos. </w:t>
      </w:r>
      <w:r w:rsidR="00344914">
        <w:rPr>
          <w:rFonts w:ascii="Arial" w:eastAsia="Calibri" w:hAnsi="Arial" w:cs="Arial"/>
          <w:color w:val="000000"/>
          <w:lang w:val="es-ES_tradnl" w:eastAsia="es-ES_tradnl"/>
        </w:rPr>
        <w:t xml:space="preserve">Ahora bien, con respecto al método aleatorio en el concurso de méritos se discutió en el Concepto C-332 del 7 de mayo de 2021, el cual está enfocado en los documentos tipo. En tal sentido, se complementará sobre el método aleatorio en la modalidad de selección de concurso de méritos. </w:t>
      </w:r>
    </w:p>
    <w:p w14:paraId="058F39E8" w14:textId="267858A1" w:rsidR="000123C0" w:rsidRPr="00DE38AB" w:rsidRDefault="000123C0" w:rsidP="000123C0">
      <w:pPr>
        <w:spacing w:after="0" w:line="276" w:lineRule="auto"/>
        <w:jc w:val="both"/>
        <w:rPr>
          <w:rFonts w:ascii="Arial" w:eastAsia="Arial" w:hAnsi="Arial" w:cs="Arial"/>
          <w:b/>
          <w:bCs/>
          <w:color w:val="000000" w:themeColor="text1"/>
          <w:lang w:val="es-ES_tradnl" w:eastAsia="es-ES_tradnl"/>
        </w:rPr>
      </w:pPr>
    </w:p>
    <w:p w14:paraId="6E75BE7D" w14:textId="23AED97D" w:rsidR="00042F76" w:rsidRPr="00042F76" w:rsidRDefault="00042F76" w:rsidP="00042F76">
      <w:pPr>
        <w:spacing w:after="0" w:line="276" w:lineRule="auto"/>
        <w:jc w:val="both"/>
        <w:rPr>
          <w:rFonts w:ascii="Arial" w:eastAsia="Calibri" w:hAnsi="Arial" w:cs="Arial"/>
          <w:b/>
          <w:bCs/>
          <w:color w:val="000000"/>
          <w:szCs w:val="24"/>
          <w:lang w:val="es-ES_tradnl" w:eastAsia="es-ES_tradnl"/>
        </w:rPr>
      </w:pPr>
      <w:r w:rsidRPr="00042F76">
        <w:rPr>
          <w:rFonts w:ascii="Arial" w:eastAsia="Calibri" w:hAnsi="Arial" w:cs="Arial"/>
          <w:b/>
          <w:bCs/>
          <w:color w:val="000000"/>
          <w:szCs w:val="24"/>
          <w:lang w:val="es-ES_tradnl" w:eastAsia="es-ES_tradnl"/>
        </w:rPr>
        <w:t>2.1. Procedimiento del concurso de méritos</w:t>
      </w:r>
      <w:r w:rsidR="00795542">
        <w:rPr>
          <w:rFonts w:ascii="Arial" w:eastAsia="Calibri" w:hAnsi="Arial" w:cs="Arial"/>
          <w:b/>
          <w:bCs/>
          <w:color w:val="000000"/>
          <w:szCs w:val="24"/>
          <w:lang w:val="es-ES_tradnl" w:eastAsia="es-ES_tradnl"/>
        </w:rPr>
        <w:t>: concepto</w:t>
      </w:r>
      <w:r w:rsidR="000E1AFA">
        <w:rPr>
          <w:rFonts w:ascii="Arial" w:eastAsia="Calibri" w:hAnsi="Arial" w:cs="Arial"/>
          <w:b/>
          <w:bCs/>
          <w:color w:val="000000"/>
          <w:szCs w:val="24"/>
          <w:lang w:val="es-ES_tradnl" w:eastAsia="es-ES_tradnl"/>
        </w:rPr>
        <w:t>, modalidades</w:t>
      </w:r>
      <w:r w:rsidR="00795542">
        <w:rPr>
          <w:rFonts w:ascii="Arial" w:eastAsia="Calibri" w:hAnsi="Arial" w:cs="Arial"/>
          <w:b/>
          <w:bCs/>
          <w:color w:val="000000"/>
          <w:szCs w:val="24"/>
          <w:lang w:val="es-ES_tradnl" w:eastAsia="es-ES_tradnl"/>
        </w:rPr>
        <w:t xml:space="preserve"> y regulación</w:t>
      </w:r>
    </w:p>
    <w:p w14:paraId="3619A777" w14:textId="77777777" w:rsidR="00042F76" w:rsidRPr="00042F76" w:rsidRDefault="00042F76" w:rsidP="00042F76">
      <w:pPr>
        <w:spacing w:after="0" w:line="276" w:lineRule="auto"/>
        <w:jc w:val="both"/>
        <w:rPr>
          <w:rFonts w:ascii="Arial" w:eastAsia="Calibri" w:hAnsi="Arial" w:cs="Arial"/>
          <w:b/>
          <w:bCs/>
          <w:color w:val="000000"/>
          <w:szCs w:val="24"/>
          <w:lang w:val="es-ES_tradnl" w:eastAsia="es-ES_tradnl"/>
        </w:rPr>
      </w:pPr>
    </w:p>
    <w:p w14:paraId="113A42FF" w14:textId="77777777" w:rsidR="00042F76" w:rsidRPr="00042F76" w:rsidRDefault="00042F76" w:rsidP="00042F76">
      <w:pPr>
        <w:spacing w:after="0" w:line="276" w:lineRule="auto"/>
        <w:jc w:val="both"/>
        <w:rPr>
          <w:rFonts w:ascii="Arial" w:eastAsia="Times New Roman" w:hAnsi="Arial" w:cs="Arial"/>
          <w:color w:val="000000"/>
          <w:szCs w:val="24"/>
          <w:lang w:val="es-ES_tradnl" w:eastAsia="es-ES_tradnl"/>
        </w:rPr>
      </w:pPr>
      <w:r w:rsidRPr="00042F76">
        <w:rPr>
          <w:rFonts w:ascii="Arial" w:eastAsia="Times New Roman" w:hAnsi="Arial" w:cs="Arial"/>
          <w:color w:val="000000"/>
          <w:szCs w:val="24"/>
          <w:lang w:val="es-ES_tradnl" w:eastAsia="es-ES_tradnl"/>
        </w:rPr>
        <w:t xml:space="preserve">El </w:t>
      </w:r>
      <w:r w:rsidRPr="00042F76">
        <w:rPr>
          <w:rFonts w:ascii="Arial" w:eastAsia="Times New Roman" w:hAnsi="Arial" w:cs="Arial"/>
          <w:i/>
          <w:iCs/>
          <w:color w:val="000000"/>
          <w:szCs w:val="24"/>
          <w:lang w:val="es-ES_tradnl" w:eastAsia="es-ES_tradnl"/>
        </w:rPr>
        <w:t xml:space="preserve">concurso de méritos </w:t>
      </w:r>
      <w:r w:rsidRPr="00042F76">
        <w:rPr>
          <w:rFonts w:ascii="Arial" w:eastAsia="Times New Roman" w:hAnsi="Arial" w:cs="Arial"/>
          <w:color w:val="000000"/>
          <w:szCs w:val="24"/>
          <w:lang w:val="es-ES_tradnl" w:eastAsia="es-ES_tradnl"/>
        </w:rPr>
        <w:t>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dispuesto en el artículo 32, numeral 2, de la Ley 80 de 1993.</w:t>
      </w:r>
    </w:p>
    <w:p w14:paraId="0328DE0C" w14:textId="77777777" w:rsidR="00042F76" w:rsidRPr="00042F76" w:rsidRDefault="00042F76" w:rsidP="00042F76">
      <w:pPr>
        <w:spacing w:before="120" w:after="0" w:line="276" w:lineRule="auto"/>
        <w:ind w:firstLine="708"/>
        <w:jc w:val="both"/>
        <w:rPr>
          <w:rFonts w:ascii="Arial" w:eastAsia="Times New Roman" w:hAnsi="Arial" w:cs="Arial"/>
          <w:color w:val="000000"/>
          <w:szCs w:val="24"/>
          <w:lang w:val="es-ES_tradnl" w:eastAsia="es-ES_tradnl"/>
        </w:rPr>
      </w:pPr>
      <w:r w:rsidRPr="00042F76">
        <w:rPr>
          <w:rFonts w:ascii="Arial" w:eastAsia="Times New Roman" w:hAnsi="Arial" w:cs="Arial"/>
          <w:color w:val="000000"/>
          <w:szCs w:val="24"/>
          <w:lang w:val="es-ES_tradnl" w:eastAsia="es-ES_tradnl"/>
        </w:rPr>
        <w:t xml:space="preserve">El Libro 2, Parte 2, Título 1, Capítulo 2, Sección 1, Subsección 3 del Decreto 1082 de 2015, regula las distintas modalidades del concurso de méritos: i) concurso de méritos abierto o sin precalificación, </w:t>
      </w:r>
      <w:proofErr w:type="spellStart"/>
      <w:r w:rsidRPr="00042F76">
        <w:rPr>
          <w:rFonts w:ascii="Arial" w:eastAsia="Times New Roman" w:hAnsi="Arial" w:cs="Arial"/>
          <w:color w:val="000000"/>
          <w:szCs w:val="24"/>
          <w:lang w:val="es-ES_tradnl" w:eastAsia="es-ES_tradnl"/>
        </w:rPr>
        <w:t>ii</w:t>
      </w:r>
      <w:proofErr w:type="spellEnd"/>
      <w:r w:rsidRPr="00042F76">
        <w:rPr>
          <w:rFonts w:ascii="Arial" w:eastAsia="Times New Roman" w:hAnsi="Arial" w:cs="Arial"/>
          <w:color w:val="000000"/>
          <w:szCs w:val="24"/>
          <w:lang w:val="es-ES_tradnl" w:eastAsia="es-ES_tradnl"/>
        </w:rPr>
        <w:t xml:space="preserve">) concurso de méritos cerrado o con precalificación y </w:t>
      </w:r>
      <w:proofErr w:type="spellStart"/>
      <w:r w:rsidRPr="00042F76">
        <w:rPr>
          <w:rFonts w:ascii="Arial" w:eastAsia="Times New Roman" w:hAnsi="Arial" w:cs="Arial"/>
          <w:color w:val="000000"/>
          <w:szCs w:val="24"/>
          <w:lang w:val="es-ES_tradnl" w:eastAsia="es-ES_tradnl"/>
        </w:rPr>
        <w:t>iii</w:t>
      </w:r>
      <w:proofErr w:type="spellEnd"/>
      <w:r w:rsidRPr="00042F76">
        <w:rPr>
          <w:rFonts w:ascii="Arial" w:eastAsia="Times New Roman" w:hAnsi="Arial" w:cs="Arial"/>
          <w:color w:val="000000"/>
          <w:szCs w:val="24"/>
          <w:lang w:val="es-ES_tradnl" w:eastAsia="es-ES_tradnl"/>
        </w:rPr>
        <w:t xml:space="preserve">) concurso de méritos «para la selección de consultores de diseño, planos, anteproyectos y proyectos arquitectónicos». El primero está regulado en los artículos 2.2.1.2.1.3.1. y 2.2.1.2.1.3.2. </w:t>
      </w:r>
      <w:proofErr w:type="spellStart"/>
      <w:r w:rsidRPr="00042F76">
        <w:rPr>
          <w:rFonts w:ascii="Arial" w:eastAsia="Times New Roman" w:hAnsi="Arial" w:cs="Arial"/>
          <w:i/>
          <w:iCs/>
          <w:color w:val="000000"/>
          <w:szCs w:val="24"/>
          <w:lang w:val="es-ES_tradnl" w:eastAsia="es-ES_tradnl"/>
        </w:rPr>
        <w:t>ibídem</w:t>
      </w:r>
      <w:proofErr w:type="spellEnd"/>
      <w:r w:rsidRPr="00042F76">
        <w:rPr>
          <w:rFonts w:ascii="Arial" w:eastAsia="Times New Roman" w:hAnsi="Arial" w:cs="Arial"/>
          <w:color w:val="000000"/>
          <w:szCs w:val="24"/>
          <w:lang w:val="es-ES_tradnl" w:eastAsia="es-ES_tradnl"/>
        </w:rPr>
        <w:t xml:space="preserve">. El segundo, además de los dos artículos anteriores, lo regulan los artículos 2.2.1.2.1.3.3. a 2.2.1.2.1.3.7. </w:t>
      </w:r>
      <w:proofErr w:type="spellStart"/>
      <w:r w:rsidRPr="00042F76">
        <w:rPr>
          <w:rFonts w:ascii="Arial" w:eastAsia="Times New Roman" w:hAnsi="Arial" w:cs="Arial"/>
          <w:i/>
          <w:iCs/>
          <w:color w:val="000000"/>
          <w:szCs w:val="24"/>
          <w:lang w:val="es-ES_tradnl" w:eastAsia="es-ES_tradnl"/>
        </w:rPr>
        <w:t>ejusdem</w:t>
      </w:r>
      <w:proofErr w:type="spellEnd"/>
      <w:r w:rsidRPr="00042F76">
        <w:rPr>
          <w:rFonts w:ascii="Arial" w:eastAsia="Times New Roman" w:hAnsi="Arial" w:cs="Arial"/>
          <w:color w:val="000000"/>
          <w:szCs w:val="24"/>
          <w:lang w:val="es-ES_tradnl" w:eastAsia="es-ES_tradnl"/>
        </w:rPr>
        <w:t>. El tercero lo regulan los artículos 2.2.1.2.1.3.8. a 2.2.1.2.1.3.25. del mencionado Decreto.</w:t>
      </w:r>
    </w:p>
    <w:p w14:paraId="51DB28AE" w14:textId="77777777" w:rsidR="00042F76" w:rsidRPr="00042F76" w:rsidRDefault="00042F76" w:rsidP="00042F76">
      <w:pPr>
        <w:spacing w:before="120" w:after="0" w:line="276" w:lineRule="auto"/>
        <w:ind w:firstLine="708"/>
        <w:jc w:val="both"/>
        <w:rPr>
          <w:rFonts w:ascii="Arial" w:eastAsia="Times New Roman" w:hAnsi="Arial" w:cs="Arial"/>
          <w:color w:val="000000"/>
          <w:szCs w:val="24"/>
          <w:lang w:val="es-ES_tradnl" w:eastAsia="es-ES_tradnl"/>
        </w:rPr>
      </w:pPr>
      <w:r w:rsidRPr="00042F76">
        <w:rPr>
          <w:rFonts w:ascii="Arial" w:eastAsia="Times New Roman" w:hAnsi="Arial" w:cs="Arial"/>
          <w:color w:val="000000"/>
          <w:szCs w:val="24"/>
          <w:lang w:val="es-ES_tradnl" w:eastAsia="es-ES_tradnl"/>
        </w:rPr>
        <w:t xml:space="preserve">Ahora bien, </w:t>
      </w:r>
      <w:bookmarkStart w:id="3" w:name="_Hlk43918348"/>
      <w:r w:rsidRPr="00042F76">
        <w:rPr>
          <w:rFonts w:ascii="Arial" w:eastAsia="Times New Roman" w:hAnsi="Arial" w:cs="Arial"/>
          <w:color w:val="000000"/>
          <w:szCs w:val="24"/>
          <w:lang w:val="es-ES_tradnl" w:eastAsia="es-ES_tradnl"/>
        </w:rPr>
        <w:t>la Sección Tercera del Consejo de Estado, en autos del 25 de julio de 2018</w:t>
      </w:r>
      <w:r w:rsidRPr="00042F76">
        <w:rPr>
          <w:rFonts w:ascii="Arial" w:eastAsia="Times New Roman" w:hAnsi="Arial" w:cs="Arial"/>
          <w:color w:val="000000"/>
          <w:szCs w:val="24"/>
          <w:vertAlign w:val="superscript"/>
          <w:lang w:val="es-ES_tradnl" w:eastAsia="es-ES_tradnl"/>
        </w:rPr>
        <w:footnoteReference w:id="3"/>
      </w:r>
      <w:r w:rsidRPr="00042F76">
        <w:rPr>
          <w:rFonts w:ascii="Arial" w:eastAsia="Times New Roman" w:hAnsi="Arial" w:cs="Arial"/>
          <w:color w:val="000000"/>
          <w:szCs w:val="24"/>
          <w:lang w:val="es-ES_tradnl" w:eastAsia="es-ES_tradnl"/>
        </w:rPr>
        <w:t xml:space="preserve"> y del 20 de febrero de 2019</w:t>
      </w:r>
      <w:r w:rsidRPr="00042F76">
        <w:rPr>
          <w:rFonts w:ascii="Arial" w:eastAsia="Times New Roman" w:hAnsi="Arial" w:cs="Arial"/>
          <w:color w:val="000000"/>
          <w:szCs w:val="24"/>
          <w:vertAlign w:val="superscript"/>
          <w:lang w:val="es-ES_tradnl" w:eastAsia="es-ES_tradnl"/>
        </w:rPr>
        <w:footnoteReference w:id="4"/>
      </w:r>
      <w:r w:rsidRPr="00042F76">
        <w:rPr>
          <w:rFonts w:ascii="Arial" w:eastAsia="Times New Roman" w:hAnsi="Arial" w:cs="Arial"/>
          <w:color w:val="000000"/>
          <w:szCs w:val="24"/>
          <w:lang w:val="es-ES_tradnl" w:eastAsia="es-ES_tradnl"/>
        </w:rPr>
        <w:t>, suspendió provisionalmente, por un lado, el numeral 6 del artículo 2.2.1.2.1.3.2. original del Decreto 1082 de 2015 –antes de la modificación realizada por el Decreto 399 del 13 de abril de 2021– y, por el otro, los numerales 3, 4 y 5 de la misma disposición, en su redacción original. Las normas suspendidas regulaban el concurso de méritos abierto o sin precalificación</w:t>
      </w:r>
      <w:bookmarkEnd w:id="3"/>
      <w:r w:rsidRPr="00042F76">
        <w:rPr>
          <w:rFonts w:ascii="Arial" w:eastAsia="Times New Roman" w:hAnsi="Arial" w:cs="Arial"/>
          <w:color w:val="000000"/>
          <w:szCs w:val="24"/>
          <w:lang w:val="es-ES_tradnl" w:eastAsia="es-ES_tradnl"/>
        </w:rPr>
        <w:t xml:space="preserve">. El texto de estos numerales disponía lo siguiente: </w:t>
      </w:r>
    </w:p>
    <w:p w14:paraId="5FB48F80" w14:textId="77777777" w:rsidR="00042F76" w:rsidRPr="00042F76" w:rsidRDefault="00042F76" w:rsidP="00042F76">
      <w:pPr>
        <w:spacing w:after="0" w:line="276" w:lineRule="auto"/>
        <w:jc w:val="both"/>
        <w:rPr>
          <w:rFonts w:ascii="Arial" w:eastAsia="Calibri" w:hAnsi="Arial" w:cs="Arial"/>
          <w:color w:val="000000"/>
          <w:sz w:val="24"/>
          <w:lang w:val="es-ES_tradnl"/>
        </w:rPr>
      </w:pPr>
    </w:p>
    <w:p w14:paraId="2CF20EBF" w14:textId="77777777" w:rsidR="00042F76" w:rsidRPr="00042F76" w:rsidRDefault="00042F76" w:rsidP="00042F76">
      <w:pPr>
        <w:spacing w:after="120" w:line="240" w:lineRule="auto"/>
        <w:ind w:left="709" w:right="709"/>
        <w:jc w:val="both"/>
        <w:rPr>
          <w:rFonts w:ascii="Arial" w:eastAsia="Calibri" w:hAnsi="Arial" w:cs="Arial"/>
          <w:color w:val="000000"/>
          <w:sz w:val="21"/>
          <w:szCs w:val="21"/>
          <w:lang w:val="es-ES_tradnl"/>
        </w:rPr>
      </w:pPr>
      <w:r w:rsidRPr="00042F76">
        <w:rPr>
          <w:rFonts w:ascii="Arial" w:eastAsia="Calibri" w:hAnsi="Arial" w:cs="Arial"/>
          <w:color w:val="000000"/>
          <w:sz w:val="21"/>
          <w:szCs w:val="21"/>
          <w:lang w:val="es-ES_tradnl"/>
        </w:rPr>
        <w:t>Artículo 2.2.1.2.1.3.2. Procedimiento del concurso de méritos. Además de las reglas generales previstas en la ley y en el presente título, las siguientes reglas son aplicables al concurso de méritos abierto o con precalificación:</w:t>
      </w:r>
    </w:p>
    <w:p w14:paraId="5D2C88C8" w14:textId="77777777" w:rsidR="00042F76" w:rsidRPr="00042F76" w:rsidRDefault="00042F76" w:rsidP="00042F76">
      <w:pPr>
        <w:spacing w:after="120" w:line="240" w:lineRule="auto"/>
        <w:ind w:left="709" w:right="709"/>
        <w:jc w:val="both"/>
        <w:rPr>
          <w:rFonts w:ascii="Arial" w:eastAsia="Calibri" w:hAnsi="Arial" w:cs="Arial"/>
          <w:color w:val="000000"/>
          <w:sz w:val="21"/>
          <w:szCs w:val="21"/>
          <w:lang w:val="es-ES_tradnl"/>
        </w:rPr>
      </w:pPr>
      <w:r w:rsidRPr="00042F76">
        <w:rPr>
          <w:rFonts w:ascii="Arial" w:eastAsia="Calibri" w:hAnsi="Arial" w:cs="Arial"/>
          <w:color w:val="000000"/>
          <w:sz w:val="21"/>
          <w:szCs w:val="21"/>
          <w:lang w:val="es-ES_tradnl"/>
        </w:rPr>
        <w:t>1. La Entidad Estatal en los pliegos de condiciones debe indicar la forma como calificará, entre otros, los siguientes criterios: a) la experiencia del interesado y del equipo de trabajo, y b) la formación académica y las publicaciones técnicas y científicas del equipo de trabajo.</w:t>
      </w:r>
    </w:p>
    <w:p w14:paraId="108840DE" w14:textId="77777777" w:rsidR="00042F76" w:rsidRPr="00042F76" w:rsidRDefault="00042F76" w:rsidP="00042F76">
      <w:pPr>
        <w:spacing w:after="120" w:line="240" w:lineRule="auto"/>
        <w:ind w:left="709" w:right="709"/>
        <w:jc w:val="both"/>
        <w:rPr>
          <w:rFonts w:ascii="Arial" w:eastAsia="Calibri" w:hAnsi="Arial" w:cs="Arial"/>
          <w:color w:val="000000"/>
          <w:sz w:val="21"/>
          <w:szCs w:val="21"/>
          <w:lang w:val="es-ES_tradnl"/>
        </w:rPr>
      </w:pPr>
      <w:r w:rsidRPr="00042F76">
        <w:rPr>
          <w:rFonts w:ascii="Arial" w:eastAsia="Calibri" w:hAnsi="Arial" w:cs="Arial"/>
          <w:color w:val="000000"/>
          <w:sz w:val="21"/>
          <w:szCs w:val="21"/>
          <w:lang w:val="es-ES_tradnl"/>
        </w:rPr>
        <w:lastRenderedPageBreak/>
        <w:t>2. La Entidad Estatal debe publicar durante tres (3) días hábiles el informe de evaluación, el cual debe contener la calificación técnica y el orden de elegibilidad.</w:t>
      </w:r>
    </w:p>
    <w:p w14:paraId="562D40D1" w14:textId="77777777" w:rsidR="00042F76" w:rsidRPr="00042F76" w:rsidRDefault="00042F76" w:rsidP="00042F76">
      <w:pPr>
        <w:spacing w:after="120" w:line="240" w:lineRule="auto"/>
        <w:ind w:left="709" w:right="709"/>
        <w:jc w:val="both"/>
        <w:rPr>
          <w:rFonts w:ascii="Arial" w:eastAsia="Calibri" w:hAnsi="Arial" w:cs="Arial"/>
          <w:i/>
          <w:color w:val="000000"/>
          <w:sz w:val="21"/>
          <w:szCs w:val="21"/>
          <w:lang w:val="es-ES_tradnl"/>
        </w:rPr>
      </w:pPr>
      <w:r w:rsidRPr="00042F76">
        <w:rPr>
          <w:rFonts w:ascii="Arial" w:eastAsia="Calibri" w:hAnsi="Arial" w:cs="Arial"/>
          <w:i/>
          <w:color w:val="000000"/>
          <w:sz w:val="21"/>
          <w:szCs w:val="21"/>
          <w:lang w:val="es-ES_tradnl"/>
        </w:rPr>
        <w:t>3. La Entidad Estatal debe revisar la oferta económica y verificar que está en el rango del valor estimado consignado en los documentos y estudios previos y del presupuesto asignado para el contrato.</w:t>
      </w:r>
    </w:p>
    <w:p w14:paraId="211C664C" w14:textId="77777777" w:rsidR="00042F76" w:rsidRPr="00042F76" w:rsidRDefault="00042F76" w:rsidP="00042F76">
      <w:pPr>
        <w:spacing w:after="120" w:line="240" w:lineRule="auto"/>
        <w:ind w:left="709" w:right="709"/>
        <w:jc w:val="both"/>
        <w:rPr>
          <w:rFonts w:ascii="Arial" w:eastAsia="Calibri" w:hAnsi="Arial" w:cs="Arial"/>
          <w:i/>
          <w:color w:val="000000"/>
          <w:sz w:val="21"/>
          <w:szCs w:val="21"/>
          <w:lang w:val="es-ES_tradnl"/>
        </w:rPr>
      </w:pPr>
      <w:r w:rsidRPr="00042F76">
        <w:rPr>
          <w:rFonts w:ascii="Arial" w:eastAsia="Calibri" w:hAnsi="Arial" w:cs="Arial"/>
          <w:i/>
          <w:color w:val="000000"/>
          <w:sz w:val="21"/>
          <w:szCs w:val="21"/>
          <w:lang w:val="es-ES_tradnl"/>
        </w:rPr>
        <w:t xml:space="preserve">4. La Entidad Estatal debe revisar con el oferente calificado en el primer lugar de elegibilidad la coherencia y consistencia entre: i) la necesidad identificada por la Entidad Estatal y el alcance de la oferta; </w:t>
      </w:r>
      <w:proofErr w:type="spellStart"/>
      <w:r w:rsidRPr="00042F76">
        <w:rPr>
          <w:rFonts w:ascii="Arial" w:eastAsia="Calibri" w:hAnsi="Arial" w:cs="Arial"/>
          <w:i/>
          <w:color w:val="000000"/>
          <w:sz w:val="21"/>
          <w:szCs w:val="21"/>
          <w:lang w:val="es-ES_tradnl"/>
        </w:rPr>
        <w:t>ii</w:t>
      </w:r>
      <w:proofErr w:type="spellEnd"/>
      <w:r w:rsidRPr="00042F76">
        <w:rPr>
          <w:rFonts w:ascii="Arial" w:eastAsia="Calibri" w:hAnsi="Arial" w:cs="Arial"/>
          <w:i/>
          <w:color w:val="000000"/>
          <w:sz w:val="21"/>
          <w:szCs w:val="21"/>
          <w:lang w:val="es-ES_tradnl"/>
        </w:rPr>
        <w:t xml:space="preserve">) la </w:t>
      </w:r>
      <w:proofErr w:type="gramStart"/>
      <w:r w:rsidRPr="00042F76">
        <w:rPr>
          <w:rFonts w:ascii="Arial" w:eastAsia="Calibri" w:hAnsi="Arial" w:cs="Arial"/>
          <w:i/>
          <w:color w:val="000000"/>
          <w:sz w:val="21"/>
          <w:szCs w:val="21"/>
          <w:lang w:val="es-ES_tradnl"/>
        </w:rPr>
        <w:t>consultoría ofrecida y el precio ofrecido</w:t>
      </w:r>
      <w:proofErr w:type="gramEnd"/>
      <w:r w:rsidRPr="00042F76">
        <w:rPr>
          <w:rFonts w:ascii="Arial" w:eastAsia="Calibri" w:hAnsi="Arial" w:cs="Arial"/>
          <w:i/>
          <w:color w:val="000000"/>
          <w:sz w:val="21"/>
          <w:szCs w:val="21"/>
          <w:lang w:val="es-ES_tradnl"/>
        </w:rPr>
        <w:t xml:space="preserve">, y </w:t>
      </w:r>
      <w:proofErr w:type="spellStart"/>
      <w:r w:rsidRPr="00042F76">
        <w:rPr>
          <w:rFonts w:ascii="Arial" w:eastAsia="Calibri" w:hAnsi="Arial" w:cs="Arial"/>
          <w:i/>
          <w:color w:val="000000"/>
          <w:sz w:val="21"/>
          <w:szCs w:val="21"/>
          <w:lang w:val="es-ES_tradnl"/>
        </w:rPr>
        <w:t>iii</w:t>
      </w:r>
      <w:proofErr w:type="spellEnd"/>
      <w:r w:rsidRPr="00042F76">
        <w:rPr>
          <w:rFonts w:ascii="Arial" w:eastAsia="Calibri" w:hAnsi="Arial" w:cs="Arial"/>
          <w:i/>
          <w:color w:val="000000"/>
          <w:sz w:val="21"/>
          <w:szCs w:val="21"/>
          <w:lang w:val="es-ES_tradnl"/>
        </w:rPr>
        <w:t xml:space="preserve">) el precio ofrecido y la disponibilidad presupuestal del respectivo Proceso de Contratación. Si la Entidad Estatal y el oferente llegan a un acuerdo sobre el alcance y el valor del contrato, dejarán constancia </w:t>
      </w:r>
      <w:proofErr w:type="gramStart"/>
      <w:r w:rsidRPr="00042F76">
        <w:rPr>
          <w:rFonts w:ascii="Arial" w:eastAsia="Calibri" w:hAnsi="Arial" w:cs="Arial"/>
          <w:i/>
          <w:color w:val="000000"/>
          <w:sz w:val="21"/>
          <w:szCs w:val="21"/>
          <w:lang w:val="es-ES_tradnl"/>
        </w:rPr>
        <w:t>del mismo</w:t>
      </w:r>
      <w:proofErr w:type="gramEnd"/>
      <w:r w:rsidRPr="00042F76">
        <w:rPr>
          <w:rFonts w:ascii="Arial" w:eastAsia="Calibri" w:hAnsi="Arial" w:cs="Arial"/>
          <w:i/>
          <w:color w:val="000000"/>
          <w:sz w:val="21"/>
          <w:szCs w:val="21"/>
          <w:lang w:val="es-ES_tradnl"/>
        </w:rPr>
        <w:t xml:space="preserve"> y firmarán el contrato.</w:t>
      </w:r>
    </w:p>
    <w:p w14:paraId="598D3951" w14:textId="77777777" w:rsidR="00042F76" w:rsidRPr="00042F76" w:rsidRDefault="00042F76" w:rsidP="00042F76">
      <w:pPr>
        <w:spacing w:after="120" w:line="240" w:lineRule="auto"/>
        <w:ind w:left="709" w:right="709"/>
        <w:jc w:val="both"/>
        <w:rPr>
          <w:rFonts w:ascii="Arial" w:eastAsia="Calibri" w:hAnsi="Arial" w:cs="Arial"/>
          <w:i/>
          <w:color w:val="000000"/>
          <w:sz w:val="21"/>
          <w:szCs w:val="21"/>
          <w:lang w:val="es-ES_tradnl"/>
        </w:rPr>
      </w:pPr>
      <w:r w:rsidRPr="00042F76">
        <w:rPr>
          <w:rFonts w:ascii="Arial" w:eastAsia="Calibri" w:hAnsi="Arial" w:cs="Arial"/>
          <w:i/>
          <w:color w:val="000000"/>
          <w:sz w:val="21"/>
          <w:szCs w:val="21"/>
          <w:lang w:val="es-ES_tradnl"/>
        </w:rPr>
        <w:t xml:space="preserve">5. Si la Entidad Estatal y el oferente calificado en el primer lugar de elegibilidad no llegan a un acuerdo dejarán constancia de ello y la Entidad Estatal revisará con el oferente calificado en el segundo lugar de elegibilidad los aspectos a los que se refiere el numeral anterior. Si la Entidad Estatal y el oferente llegan a un acuerdo dejarán constancia </w:t>
      </w:r>
      <w:proofErr w:type="gramStart"/>
      <w:r w:rsidRPr="00042F76">
        <w:rPr>
          <w:rFonts w:ascii="Arial" w:eastAsia="Calibri" w:hAnsi="Arial" w:cs="Arial"/>
          <w:i/>
          <w:color w:val="000000"/>
          <w:sz w:val="21"/>
          <w:szCs w:val="21"/>
          <w:lang w:val="es-ES_tradnl"/>
        </w:rPr>
        <w:t>del mismo</w:t>
      </w:r>
      <w:proofErr w:type="gramEnd"/>
      <w:r w:rsidRPr="00042F76">
        <w:rPr>
          <w:rFonts w:ascii="Arial" w:eastAsia="Calibri" w:hAnsi="Arial" w:cs="Arial"/>
          <w:i/>
          <w:color w:val="000000"/>
          <w:sz w:val="21"/>
          <w:szCs w:val="21"/>
          <w:lang w:val="es-ES_tradnl"/>
        </w:rPr>
        <w:t xml:space="preserve"> y firmarán el contrato.</w:t>
      </w:r>
    </w:p>
    <w:p w14:paraId="19DCABC0" w14:textId="77777777" w:rsidR="00042F76" w:rsidRPr="00042F76" w:rsidRDefault="00042F76" w:rsidP="00042F76">
      <w:pPr>
        <w:spacing w:after="0" w:line="240" w:lineRule="auto"/>
        <w:ind w:left="709" w:right="709"/>
        <w:jc w:val="both"/>
        <w:rPr>
          <w:rFonts w:ascii="Arial" w:eastAsia="Calibri" w:hAnsi="Arial" w:cs="Arial"/>
          <w:color w:val="000000"/>
          <w:sz w:val="21"/>
          <w:szCs w:val="21"/>
          <w:lang w:val="es-ES_tradnl"/>
        </w:rPr>
      </w:pPr>
      <w:r w:rsidRPr="00042F76">
        <w:rPr>
          <w:rFonts w:ascii="Arial" w:eastAsia="Calibri" w:hAnsi="Arial" w:cs="Arial"/>
          <w:i/>
          <w:color w:val="000000"/>
          <w:sz w:val="21"/>
          <w:szCs w:val="21"/>
          <w:lang w:val="es-ES_tradnl"/>
        </w:rPr>
        <w:t>6. Si la Entidad Estatal y el oferente calificado en el segundo lugar de elegibilidad no llegan a un acuerdo, la Entidad Estatal debe declarar desierto el Proceso de Contratación</w:t>
      </w:r>
      <w:r w:rsidRPr="00042F76">
        <w:rPr>
          <w:rFonts w:ascii="Arial" w:eastAsia="Calibri" w:hAnsi="Arial" w:cs="Arial"/>
          <w:color w:val="000000"/>
          <w:sz w:val="21"/>
          <w:szCs w:val="21"/>
          <w:lang w:val="es-ES_tradnl"/>
        </w:rPr>
        <w:t>. (Énfasis fuera de texto)</w:t>
      </w:r>
    </w:p>
    <w:p w14:paraId="41B597A0" w14:textId="77777777" w:rsidR="00042F76" w:rsidRPr="00042F76" w:rsidRDefault="00042F76" w:rsidP="00042F76">
      <w:pPr>
        <w:spacing w:after="0" w:line="240" w:lineRule="auto"/>
        <w:jc w:val="both"/>
        <w:rPr>
          <w:rFonts w:ascii="Arial" w:eastAsia="Times New Roman" w:hAnsi="Arial" w:cs="Arial"/>
          <w:color w:val="000000"/>
          <w:szCs w:val="24"/>
          <w:lang w:val="es-ES_tradnl" w:eastAsia="es-ES_tradnl"/>
        </w:rPr>
      </w:pPr>
    </w:p>
    <w:p w14:paraId="6E86BBC6" w14:textId="77777777" w:rsidR="00042F76" w:rsidRPr="00042F76" w:rsidRDefault="00042F76" w:rsidP="00042F76">
      <w:pPr>
        <w:spacing w:after="120" w:line="276" w:lineRule="auto"/>
        <w:ind w:firstLine="709"/>
        <w:jc w:val="both"/>
        <w:rPr>
          <w:rFonts w:ascii="Arial" w:eastAsia="Times New Roman" w:hAnsi="Arial" w:cs="Arial"/>
          <w:color w:val="000000"/>
          <w:szCs w:val="24"/>
          <w:lang w:val="es-ES_tradnl" w:eastAsia="es-ES_tradnl"/>
        </w:rPr>
      </w:pPr>
      <w:r w:rsidRPr="00042F76">
        <w:rPr>
          <w:rFonts w:ascii="Arial" w:eastAsia="Times New Roman" w:hAnsi="Arial" w:cs="Arial"/>
          <w:color w:val="000000"/>
          <w:szCs w:val="24"/>
          <w:lang w:val="es-ES_tradnl" w:eastAsia="es-ES_tradnl"/>
        </w:rPr>
        <w:t xml:space="preserve">Los citados numerales 3, 4 y 5 disponían la verificación del precio. Por un lado, los numerales 3 y 4 exigían que estuviera dentro del presupuesto disponible y que este aspecto fuera producto del acuerdo entre la entidad y el oferente calificado en primer lugar. Por otro lado, el numeral 5 disponía el procedimiento a seguir en el evento en que la entidad estatal y el calificado en primer orden de elegibilidad no llegaran a un acuerdo sobre el precio del contrato. Además, el numeral 6 solo permitía negociar el precio con el proponente que ocupara el segundo orden de elegibilidad, por lo </w:t>
      </w:r>
      <w:proofErr w:type="gramStart"/>
      <w:r w:rsidRPr="00042F76">
        <w:rPr>
          <w:rFonts w:ascii="Arial" w:eastAsia="Times New Roman" w:hAnsi="Arial" w:cs="Arial"/>
          <w:color w:val="000000"/>
          <w:szCs w:val="24"/>
          <w:lang w:val="es-ES_tradnl" w:eastAsia="es-ES_tradnl"/>
        </w:rPr>
        <w:t>que</w:t>
      </w:r>
      <w:proofErr w:type="gramEnd"/>
      <w:r w:rsidRPr="00042F76">
        <w:rPr>
          <w:rFonts w:ascii="Arial" w:eastAsia="Times New Roman" w:hAnsi="Arial" w:cs="Arial"/>
          <w:color w:val="000000"/>
          <w:szCs w:val="24"/>
          <w:lang w:val="es-ES_tradnl" w:eastAsia="es-ES_tradnl"/>
        </w:rPr>
        <w:t xml:space="preserve"> si no era posible llegar a un acuerdo con este, procedía la declaración de desierta. </w:t>
      </w:r>
    </w:p>
    <w:p w14:paraId="41DE954A" w14:textId="77777777" w:rsidR="00042F76" w:rsidRPr="00042F76" w:rsidRDefault="00042F76" w:rsidP="00042F76">
      <w:pPr>
        <w:spacing w:after="120" w:line="276" w:lineRule="auto"/>
        <w:ind w:firstLine="709"/>
        <w:jc w:val="both"/>
        <w:rPr>
          <w:rFonts w:ascii="Arial" w:eastAsia="Times New Roman" w:hAnsi="Arial" w:cs="Arial"/>
          <w:color w:val="000000"/>
          <w:szCs w:val="24"/>
          <w:lang w:val="es-ES_tradnl" w:eastAsia="es-ES_tradnl"/>
        </w:rPr>
      </w:pPr>
      <w:bookmarkStart w:id="5" w:name="_Hlk43918393"/>
      <w:r w:rsidRPr="00042F76">
        <w:rPr>
          <w:rFonts w:ascii="Arial" w:eastAsia="Times New Roman" w:hAnsi="Arial" w:cs="Arial"/>
          <w:color w:val="000000"/>
          <w:szCs w:val="24"/>
          <w:lang w:val="es-ES_tradnl" w:eastAsia="es-ES_tradnl"/>
        </w:rPr>
        <w:t>El Consejo de Estado consideró que los numerales 3, 4 y 5 violarían el artículo 5, numeral 4, último inciso, de la Ley 1150 de 2007, pues señaló que: «en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el alto tribunal explicó que la verificación de la coherencia del precio con la disponibilidad presupuestal y la necesidad de que se logre un acuerdo en relación con el mismo desconocía el principio de selección objetiva, convirtiendo el precio en un factor de selección</w:t>
      </w:r>
      <w:r w:rsidRPr="00042F76">
        <w:rPr>
          <w:rFonts w:ascii="Arial" w:eastAsia="Times New Roman" w:hAnsi="Arial" w:cs="Arial"/>
          <w:color w:val="000000"/>
          <w:szCs w:val="24"/>
          <w:vertAlign w:val="superscript"/>
          <w:lang w:val="es-ES_tradnl" w:eastAsia="es-ES_tradnl"/>
        </w:rPr>
        <w:footnoteReference w:id="5"/>
      </w:r>
      <w:r w:rsidRPr="00042F76">
        <w:rPr>
          <w:rFonts w:ascii="Arial" w:eastAsia="Times New Roman" w:hAnsi="Arial" w:cs="Arial"/>
          <w:color w:val="000000"/>
          <w:szCs w:val="24"/>
          <w:lang w:val="es-ES_tradnl" w:eastAsia="es-ES_tradnl"/>
        </w:rPr>
        <w:t xml:space="preserve">. En lo que respecta al artículo 6, este violaría </w:t>
      </w:r>
      <w:r w:rsidRPr="00042F76">
        <w:rPr>
          <w:rFonts w:ascii="Arial" w:eastAsia="Times New Roman" w:hAnsi="Arial" w:cs="Arial"/>
          <w:color w:val="000000"/>
          <w:szCs w:val="24"/>
          <w:lang w:val="es-ES_tradnl" w:eastAsia="es-ES_tradnl"/>
        </w:rPr>
        <w:lastRenderedPageBreak/>
        <w:t>especialmente el artículo 25.18 del Estatuto General y el artículo 5 de la Ley 1150 de 2007, pues la declaratoria de desierta solo procede cuando no es posible la selección objetiva del contratista</w:t>
      </w:r>
      <w:bookmarkEnd w:id="5"/>
      <w:r w:rsidRPr="00042F76">
        <w:rPr>
          <w:rFonts w:ascii="Arial" w:eastAsia="Times New Roman" w:hAnsi="Arial" w:cs="Arial"/>
          <w:color w:val="000000"/>
          <w:szCs w:val="24"/>
          <w:vertAlign w:val="superscript"/>
          <w:lang w:val="es-ES_tradnl" w:eastAsia="es-ES_tradnl"/>
        </w:rPr>
        <w:footnoteReference w:id="6"/>
      </w:r>
      <w:r w:rsidRPr="00042F76">
        <w:rPr>
          <w:rFonts w:ascii="Arial" w:eastAsia="Times New Roman" w:hAnsi="Arial" w:cs="Arial"/>
          <w:color w:val="000000"/>
          <w:szCs w:val="24"/>
          <w:lang w:val="es-ES_tradnl" w:eastAsia="es-ES_tradnl"/>
        </w:rPr>
        <w:t>.</w:t>
      </w:r>
    </w:p>
    <w:p w14:paraId="13120330" w14:textId="77777777" w:rsidR="00042F76" w:rsidRPr="00042F76" w:rsidRDefault="00042F76" w:rsidP="00042F76">
      <w:pPr>
        <w:spacing w:after="0" w:line="276" w:lineRule="auto"/>
        <w:ind w:firstLine="709"/>
        <w:jc w:val="both"/>
        <w:rPr>
          <w:rFonts w:ascii="Arial" w:eastAsia="Calibri" w:hAnsi="Arial" w:cs="Arial"/>
          <w:color w:val="000000"/>
          <w:szCs w:val="24"/>
          <w:lang w:val="es-ES_tradnl" w:eastAsia="es-ES_tradnl"/>
        </w:rPr>
      </w:pPr>
      <w:bookmarkStart w:id="6" w:name="_Hlk43916091"/>
      <w:r w:rsidRPr="00042F76">
        <w:rPr>
          <w:rFonts w:ascii="Arial" w:eastAsia="Times New Roman" w:hAnsi="Arial" w:cs="Arial"/>
          <w:color w:val="000000"/>
          <w:szCs w:val="24"/>
          <w:lang w:val="es-ES_tradnl" w:eastAsia="es-ES_tradnl"/>
        </w:rPr>
        <w:t xml:space="preserve">En consecuencia, </w:t>
      </w:r>
      <w:r w:rsidRPr="00042F76">
        <w:rPr>
          <w:rFonts w:ascii="Arial" w:eastAsia="Calibri" w:hAnsi="Arial" w:cs="Arial"/>
          <w:color w:val="000000"/>
          <w:szCs w:val="24"/>
          <w:lang w:val="es-ES_tradnl" w:eastAsia="es-ES_tradnl"/>
        </w:rPr>
        <w:t>con los autos de suspensión provisional, el concurso de méritos abierto debía desarrollarse aplicando únicamente los numerales 1 y 2 del</w:t>
      </w:r>
      <w:r w:rsidRPr="00042F76">
        <w:rPr>
          <w:rFonts w:ascii="Arial" w:eastAsia="Times New Roman" w:hAnsi="Arial" w:cs="Arial"/>
          <w:color w:val="000000"/>
          <w:szCs w:val="24"/>
          <w:lang w:val="es-ES_tradnl" w:eastAsia="es-ES_tradnl"/>
        </w:rPr>
        <w:t xml:space="preserve"> artículo 2.2.1.2.1.3.2 original del Decreto 1082 de 2015, esto es, antes de la modificación realizada por el Decreto 399 de 2021, al que se hará referencia en el numeral siguiente.</w:t>
      </w:r>
      <w:bookmarkStart w:id="7" w:name="_Hlk43916290"/>
      <w:bookmarkEnd w:id="6"/>
      <w:r w:rsidRPr="00042F76">
        <w:rPr>
          <w:rFonts w:ascii="Arial" w:eastAsia="Times New Roman" w:hAnsi="Arial" w:cs="Arial"/>
          <w:color w:val="000000"/>
          <w:szCs w:val="24"/>
          <w:lang w:val="es-ES_tradnl" w:eastAsia="es-ES_tradnl"/>
        </w:rPr>
        <w:t xml:space="preserve"> Por lo tanto, </w:t>
      </w:r>
      <w:r w:rsidRPr="00042F76">
        <w:rPr>
          <w:rFonts w:ascii="Arial" w:eastAsia="Times New Roman" w:hAnsi="Arial" w:cs="Arial"/>
          <w:i/>
          <w:iCs/>
          <w:color w:val="000000"/>
          <w:szCs w:val="24"/>
          <w:lang w:val="es-ES_tradnl" w:eastAsia="es-ES_tradnl"/>
        </w:rPr>
        <w:t>siempre que estuviera dentro del presupuesto oficial</w:t>
      </w:r>
      <w:r w:rsidRPr="00042F76">
        <w:rPr>
          <w:rFonts w:ascii="Arial" w:eastAsia="Times New Roman" w:hAnsi="Arial" w:cs="Arial"/>
          <w:color w:val="000000"/>
          <w:szCs w:val="24"/>
          <w:lang w:val="es-ES_tradnl" w:eastAsia="es-ES_tradnl"/>
        </w:rPr>
        <w:t>, la entidad estatal debía adjudicar el contrato al proponente que ocupara el primer puesto en el orden de elegibilidad, independientemente del valor ofrecido</w:t>
      </w:r>
      <w:r w:rsidRPr="00042F76">
        <w:rPr>
          <w:rFonts w:ascii="Arial" w:eastAsia="Calibri" w:hAnsi="Arial" w:cs="Arial"/>
          <w:color w:val="000000"/>
          <w:szCs w:val="24"/>
          <w:lang w:val="es-ES_tradnl" w:eastAsia="es-ES_tradnl"/>
        </w:rPr>
        <w:t>.</w:t>
      </w:r>
    </w:p>
    <w:p w14:paraId="351110F8" w14:textId="77777777" w:rsidR="00042F76" w:rsidRPr="00042F76" w:rsidRDefault="00042F76" w:rsidP="00042F76">
      <w:pPr>
        <w:spacing w:after="0" w:line="276" w:lineRule="auto"/>
        <w:jc w:val="both"/>
        <w:rPr>
          <w:rFonts w:ascii="Arial" w:eastAsia="Calibri" w:hAnsi="Arial" w:cs="Arial"/>
          <w:b/>
          <w:bCs/>
          <w:color w:val="000000"/>
          <w:szCs w:val="24"/>
          <w:lang w:val="es-ES_tradnl" w:eastAsia="es-ES_tradnl"/>
        </w:rPr>
      </w:pPr>
    </w:p>
    <w:p w14:paraId="6AC4CD56" w14:textId="77777777" w:rsidR="00042F76" w:rsidRPr="00042F76" w:rsidRDefault="00042F76" w:rsidP="00042F76">
      <w:pPr>
        <w:spacing w:after="0" w:line="276" w:lineRule="auto"/>
        <w:jc w:val="both"/>
        <w:rPr>
          <w:rFonts w:ascii="Arial" w:eastAsia="Calibri" w:hAnsi="Arial" w:cs="Arial"/>
          <w:color w:val="000000"/>
          <w:szCs w:val="24"/>
          <w:lang w:val="es-ES_tradnl" w:eastAsia="es-ES_tradnl"/>
        </w:rPr>
      </w:pPr>
      <w:r w:rsidRPr="00042F76">
        <w:rPr>
          <w:rFonts w:ascii="Arial" w:eastAsia="Calibri" w:hAnsi="Arial" w:cs="Arial"/>
          <w:b/>
          <w:bCs/>
          <w:color w:val="000000"/>
          <w:szCs w:val="24"/>
          <w:lang w:val="es-ES_tradnl" w:eastAsia="es-ES_tradnl"/>
        </w:rPr>
        <w:t>2.2. Reglamentación del concurso de méritos abierto o con precalificación en el Decreto 399 de 2021</w:t>
      </w:r>
    </w:p>
    <w:p w14:paraId="1B0654E1" w14:textId="77777777" w:rsidR="00042F76" w:rsidRPr="00042F76" w:rsidRDefault="00042F76" w:rsidP="00042F76">
      <w:pPr>
        <w:spacing w:after="0" w:line="276" w:lineRule="auto"/>
        <w:jc w:val="both"/>
        <w:rPr>
          <w:rFonts w:ascii="Arial" w:eastAsia="Calibri" w:hAnsi="Arial" w:cs="Arial"/>
          <w:color w:val="000000"/>
          <w:szCs w:val="24"/>
          <w:lang w:val="es-ES_tradnl" w:eastAsia="es-ES_tradnl"/>
        </w:rPr>
      </w:pPr>
    </w:p>
    <w:p w14:paraId="5CF30025" w14:textId="77777777" w:rsidR="00042F76" w:rsidRPr="00042F76" w:rsidRDefault="00042F76" w:rsidP="00042F76">
      <w:pPr>
        <w:spacing w:after="0" w:line="276" w:lineRule="auto"/>
        <w:jc w:val="both"/>
        <w:rPr>
          <w:rFonts w:ascii="Arial" w:eastAsia="Calibri" w:hAnsi="Arial" w:cs="Arial"/>
          <w:color w:val="000000"/>
          <w:szCs w:val="24"/>
          <w:lang w:val="es-ES_tradnl" w:eastAsia="es-ES_tradnl"/>
        </w:rPr>
      </w:pPr>
      <w:r w:rsidRPr="00042F76">
        <w:rPr>
          <w:rFonts w:ascii="Arial" w:eastAsia="Calibri" w:hAnsi="Arial" w:cs="Arial"/>
          <w:color w:val="000000"/>
          <w:szCs w:val="24"/>
          <w:lang w:val="es-ES_tradnl" w:eastAsia="es-ES_tradnl"/>
        </w:rPr>
        <w:t>El artículo 2 del Decreto 399 de 2021 modificó el artículo 2.2.1.2.1.3.2. del Decreto 1082 de 2015, en los siguientes términos:</w:t>
      </w:r>
    </w:p>
    <w:p w14:paraId="7159856C" w14:textId="77777777" w:rsidR="00042F76" w:rsidRPr="00042F76" w:rsidRDefault="00042F76" w:rsidP="00042F76">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p>
    <w:p w14:paraId="1260755A" w14:textId="77777777" w:rsidR="00042F76" w:rsidRPr="00042F76" w:rsidRDefault="00042F76" w:rsidP="00042F76">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42F76">
        <w:rPr>
          <w:rFonts w:ascii="Arial" w:eastAsia="Times New Roman" w:hAnsi="Arial" w:cs="Arial"/>
          <w:color w:val="000000"/>
          <w:sz w:val="21"/>
          <w:szCs w:val="21"/>
          <w:lang w:val="es-ES_tradnl" w:eastAsia="es-ES_tradnl"/>
        </w:rPr>
        <w:t>Artículo</w:t>
      </w:r>
      <w:bookmarkStart w:id="8" w:name="2"/>
      <w:r w:rsidRPr="00042F76">
        <w:rPr>
          <w:rFonts w:ascii="Arial" w:eastAsia="Times New Roman" w:hAnsi="Arial" w:cs="Arial"/>
          <w:color w:val="000000"/>
          <w:sz w:val="21"/>
          <w:szCs w:val="21"/>
          <w:lang w:val="es-ES_tradnl" w:eastAsia="es-ES_tradnl"/>
        </w:rPr>
        <w:t> </w:t>
      </w:r>
      <w:bookmarkEnd w:id="8"/>
      <w:r w:rsidRPr="00042F76">
        <w:rPr>
          <w:rFonts w:ascii="Arial" w:eastAsia="Times New Roman" w:hAnsi="Arial" w:cs="Arial"/>
          <w:color w:val="000000"/>
          <w:sz w:val="21"/>
          <w:szCs w:val="21"/>
          <w:lang w:val="es-ES_tradnl" w:eastAsia="es-ES_tradnl"/>
        </w:rPr>
        <w:t>2. Modificación del artículo </w:t>
      </w:r>
      <w:hyperlink r:id="rId12" w:anchor="2.2.1.2.1.3.2" w:history="1">
        <w:r w:rsidRPr="00042F76">
          <w:rPr>
            <w:rFonts w:ascii="Arial" w:eastAsia="Times New Roman" w:hAnsi="Arial" w:cs="Arial"/>
            <w:color w:val="000000"/>
            <w:sz w:val="21"/>
            <w:szCs w:val="21"/>
            <w:lang w:val="es-ES_tradnl" w:eastAsia="es-ES_tradnl"/>
          </w:rPr>
          <w:t>2.2.1.2.1.3.2</w:t>
        </w:r>
      </w:hyperlink>
      <w:r w:rsidRPr="00042F76">
        <w:rPr>
          <w:rFonts w:ascii="Arial" w:eastAsia="Times New Roman" w:hAnsi="Arial" w:cs="Arial"/>
          <w:color w:val="000000"/>
          <w:sz w:val="21"/>
          <w:szCs w:val="21"/>
          <w:lang w:val="es-ES_tradnl" w:eastAsia="es-ES_tradnl"/>
        </w:rPr>
        <w:t>. del Decreto 1082 de 2015, Único Reglamentario del Sector Administrativo de Planeación Nacional. Modifíquese el artículo 2.2.1.2.1.3.2. de la Subsección 3 de la Sección 1 del Capítulo 2 del Título 1 de la Parte 2 del Libro 2 del Decreto 1082 de 2015, Único Reglamentario del Sector Administrativo de Planeación Nacional, el cual quedará así:</w:t>
      </w:r>
    </w:p>
    <w:p w14:paraId="1982AD94" w14:textId="77777777" w:rsidR="00042F76" w:rsidRPr="00042F76" w:rsidRDefault="00042F76" w:rsidP="00042F76">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42F76">
        <w:rPr>
          <w:rFonts w:ascii="Arial" w:eastAsia="Times New Roman" w:hAnsi="Arial" w:cs="Arial"/>
          <w:color w:val="000000"/>
          <w:sz w:val="21"/>
          <w:szCs w:val="21"/>
          <w:lang w:val="es-ES_tradnl" w:eastAsia="es-ES_tradnl"/>
        </w:rPr>
        <w:t> </w:t>
      </w:r>
    </w:p>
    <w:p w14:paraId="4549BCDD" w14:textId="77777777" w:rsidR="00042F76" w:rsidRPr="00042F76" w:rsidRDefault="00042F76" w:rsidP="00042F76">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42F76">
        <w:rPr>
          <w:rFonts w:ascii="Arial" w:eastAsia="Times New Roman" w:hAnsi="Arial" w:cs="Arial"/>
          <w:color w:val="000000"/>
          <w:sz w:val="21"/>
          <w:szCs w:val="21"/>
          <w:lang w:val="es-ES_tradnl" w:eastAsia="es-ES_tradnl"/>
        </w:rPr>
        <w:lastRenderedPageBreak/>
        <w:t>"Artículo 2.2.1.2.1.3.2. Procedimiento del concurso de méritos. Además de las reglas generales previstas en la ley y en el presente título, las siguientes reglas son aplicables al concurso de méritos abierto o con precalificación:</w:t>
      </w:r>
    </w:p>
    <w:p w14:paraId="38DF49AB" w14:textId="77777777" w:rsidR="00042F76" w:rsidRPr="00042F76" w:rsidRDefault="00042F76" w:rsidP="00042F76">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42F76">
        <w:rPr>
          <w:rFonts w:ascii="Arial" w:eastAsia="Times New Roman" w:hAnsi="Arial" w:cs="Arial"/>
          <w:color w:val="000000"/>
          <w:sz w:val="21"/>
          <w:szCs w:val="21"/>
          <w:lang w:val="es-ES_tradnl" w:eastAsia="es-ES_tradnl"/>
        </w:rPr>
        <w:t> </w:t>
      </w:r>
    </w:p>
    <w:p w14:paraId="691A07B9" w14:textId="77777777" w:rsidR="00042F76" w:rsidRPr="00042F76" w:rsidRDefault="00042F76" w:rsidP="00042F76">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42F76">
        <w:rPr>
          <w:rFonts w:ascii="Arial" w:eastAsia="Times New Roman" w:hAnsi="Arial" w:cs="Arial"/>
          <w:color w:val="000000"/>
          <w:sz w:val="21"/>
          <w:szCs w:val="21"/>
          <w:lang w:val="es-ES_tradnl" w:eastAsia="es-ES_tradnl"/>
        </w:rPr>
        <w:t>1. La Entidad Estatal en los pliegos de condiciones debe indicar la forma como calificará, entre otros, los siguientes criterios: a) la experiencia del interesado y del equipo de trabajo y b) la formación académica del equipo de trabajo.</w:t>
      </w:r>
    </w:p>
    <w:p w14:paraId="26A745E9" w14:textId="77777777" w:rsidR="00042F76" w:rsidRPr="00042F76" w:rsidRDefault="00042F76" w:rsidP="00042F76">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42F76">
        <w:rPr>
          <w:rFonts w:ascii="Arial" w:eastAsia="Times New Roman" w:hAnsi="Arial" w:cs="Arial"/>
          <w:color w:val="000000"/>
          <w:sz w:val="21"/>
          <w:szCs w:val="21"/>
          <w:lang w:val="es-ES_tradnl" w:eastAsia="es-ES_tradnl"/>
        </w:rPr>
        <w:t> </w:t>
      </w:r>
    </w:p>
    <w:p w14:paraId="7A31BF3A" w14:textId="77777777" w:rsidR="00042F76" w:rsidRPr="00042F76" w:rsidRDefault="00042F76" w:rsidP="00042F76">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42F76">
        <w:rPr>
          <w:rFonts w:ascii="Arial" w:eastAsia="Times New Roman" w:hAnsi="Arial" w:cs="Arial"/>
          <w:color w:val="000000"/>
          <w:sz w:val="21"/>
          <w:szCs w:val="21"/>
          <w:lang w:val="es-ES_tradnl" w:eastAsia="es-ES_tradnl"/>
        </w:rPr>
        <w:t>2. La Entidad Estatal debe publicar durante tres (3) días hábiles el informe de evaluación, el cual debe contener la evaluación de las ofertas frente a todos los requisitos exigidos en el pliego de condiciones, incluyendo los requisitos habilitantes y los de asignación de puntaje.</w:t>
      </w:r>
    </w:p>
    <w:p w14:paraId="61820E20" w14:textId="77777777" w:rsidR="00042F76" w:rsidRPr="00042F76" w:rsidRDefault="00042F76" w:rsidP="00042F76">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42F76">
        <w:rPr>
          <w:rFonts w:ascii="Arial" w:eastAsia="Times New Roman" w:hAnsi="Arial" w:cs="Arial"/>
          <w:color w:val="000000"/>
          <w:sz w:val="21"/>
          <w:szCs w:val="21"/>
          <w:lang w:val="es-ES_tradnl" w:eastAsia="es-ES_tradnl"/>
        </w:rPr>
        <w:t> </w:t>
      </w:r>
    </w:p>
    <w:p w14:paraId="5564DDC8" w14:textId="77777777" w:rsidR="00042F76" w:rsidRPr="00042F76" w:rsidRDefault="00042F76" w:rsidP="00042F76">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42F76">
        <w:rPr>
          <w:rFonts w:ascii="Arial" w:eastAsia="Times New Roman" w:hAnsi="Arial" w:cs="Arial"/>
          <w:color w:val="000000"/>
          <w:sz w:val="21"/>
          <w:szCs w:val="21"/>
          <w:lang w:val="es-ES_tradnl" w:eastAsia="es-ES_tradnl"/>
        </w:rPr>
        <w:t>3. Una vez resueltas las observaciones al informe de evaluación, la entidad adjudicará el contrato mediante acto administrativo al oferente que haya cumplido todos los requisitos exigidos en el pliego de condiciones y haya obtenido el mayor puntaje".</w:t>
      </w:r>
    </w:p>
    <w:p w14:paraId="199D1AAC" w14:textId="77777777" w:rsidR="00042F76" w:rsidRPr="00042F76" w:rsidRDefault="00042F76" w:rsidP="00042F76">
      <w:pPr>
        <w:spacing w:after="0" w:line="240" w:lineRule="auto"/>
        <w:rPr>
          <w:rFonts w:ascii="Times New Roman" w:eastAsia="Times New Roman" w:hAnsi="Times New Roman" w:cs="Times New Roman"/>
          <w:color w:val="000000"/>
          <w:sz w:val="24"/>
          <w:szCs w:val="24"/>
          <w:lang w:val="es-ES_tradnl" w:eastAsia="es-ES_tradnl"/>
        </w:rPr>
      </w:pPr>
    </w:p>
    <w:p w14:paraId="3B150A3B" w14:textId="77777777" w:rsidR="00042F76" w:rsidRPr="00042F76" w:rsidRDefault="00042F76" w:rsidP="00042F76">
      <w:pPr>
        <w:spacing w:after="0" w:line="276" w:lineRule="auto"/>
        <w:ind w:firstLine="709"/>
        <w:jc w:val="both"/>
        <w:rPr>
          <w:rFonts w:ascii="Arial" w:eastAsia="Calibri" w:hAnsi="Arial" w:cs="Arial"/>
          <w:color w:val="000000"/>
          <w:szCs w:val="24"/>
          <w:lang w:val="es-ES_tradnl" w:eastAsia="es-ES_tradnl"/>
        </w:rPr>
      </w:pPr>
      <w:r w:rsidRPr="00042F76">
        <w:rPr>
          <w:rFonts w:ascii="Arial" w:eastAsia="Calibri" w:hAnsi="Arial" w:cs="Arial"/>
          <w:color w:val="000000"/>
          <w:szCs w:val="24"/>
          <w:lang w:val="es-ES_tradnl" w:eastAsia="es-ES_tradnl"/>
        </w:rPr>
        <w:t>Como se observa, el artículo 2 del Decreto 399 de 2021 reformó la reglamentación del concurso de méritos, para adecuarla a los pronunciamientos del Consejo de Estado que habían suspendido provisionalmente algunos numerales del artículo 2.2.1.2.1.3.2. del Decreto 1082 de 2015</w:t>
      </w:r>
      <w:r w:rsidRPr="00042F76">
        <w:rPr>
          <w:rFonts w:ascii="Arial" w:eastAsia="Calibri" w:hAnsi="Arial" w:cs="Arial"/>
          <w:color w:val="000000"/>
          <w:szCs w:val="24"/>
          <w:vertAlign w:val="superscript"/>
          <w:lang w:val="es-ES_tradnl" w:eastAsia="es-ES_tradnl"/>
        </w:rPr>
        <w:footnoteReference w:id="7"/>
      </w:r>
      <w:r w:rsidRPr="00042F76">
        <w:rPr>
          <w:rFonts w:ascii="Arial" w:eastAsia="Calibri" w:hAnsi="Arial" w:cs="Arial"/>
          <w:color w:val="000000"/>
          <w:szCs w:val="24"/>
          <w:lang w:val="es-ES_tradnl" w:eastAsia="es-ES_tradnl"/>
        </w:rPr>
        <w:t xml:space="preserve">. A diferencia de lo que establecía este artículo en su redacción inicial, con la </w:t>
      </w:r>
      <w:proofErr w:type="gramStart"/>
      <w:r w:rsidRPr="00042F76">
        <w:rPr>
          <w:rFonts w:ascii="Arial" w:eastAsia="Calibri" w:hAnsi="Arial" w:cs="Arial"/>
          <w:color w:val="000000"/>
          <w:szCs w:val="24"/>
          <w:lang w:val="es-ES_tradnl" w:eastAsia="es-ES_tradnl"/>
        </w:rPr>
        <w:t>entrada en vigencia</w:t>
      </w:r>
      <w:proofErr w:type="gramEnd"/>
      <w:r w:rsidRPr="00042F76">
        <w:rPr>
          <w:rFonts w:ascii="Arial" w:eastAsia="Calibri" w:hAnsi="Arial" w:cs="Arial"/>
          <w:color w:val="000000"/>
          <w:szCs w:val="24"/>
          <w:lang w:val="es-ES_tradnl" w:eastAsia="es-ES_tradnl"/>
        </w:rPr>
        <w:t xml:space="preserve"> del artículo 2 del Decreto 399 de 2021 se observan los siguientes cambios:</w:t>
      </w:r>
    </w:p>
    <w:p w14:paraId="313659CB" w14:textId="77777777" w:rsidR="00042F76" w:rsidRPr="00042F76" w:rsidRDefault="00042F76" w:rsidP="00042F76">
      <w:pPr>
        <w:spacing w:before="120" w:after="0" w:line="276" w:lineRule="auto"/>
        <w:ind w:firstLine="709"/>
        <w:jc w:val="both"/>
        <w:rPr>
          <w:rFonts w:ascii="Arial" w:eastAsia="Calibri" w:hAnsi="Arial" w:cs="Arial"/>
          <w:color w:val="000000"/>
          <w:szCs w:val="24"/>
          <w:lang w:val="es-ES_tradnl" w:eastAsia="es-ES_tradnl"/>
        </w:rPr>
      </w:pPr>
      <w:r w:rsidRPr="00042F76">
        <w:rPr>
          <w:rFonts w:ascii="Arial" w:eastAsia="Calibri" w:hAnsi="Arial" w:cs="Arial"/>
          <w:color w:val="000000"/>
          <w:szCs w:val="24"/>
          <w:lang w:val="es-ES_tradnl" w:eastAsia="es-ES_tradnl"/>
        </w:rPr>
        <w:t>i) El informe de evaluación, que la entidad debe publicar durante tres (3) días hábiles, debe contener ya no solamente la calificación técnica y el orden de elegibilidad, sino «[…] la evaluación de las ofertas frente a todos los requisitos exigidos en el pliego de condiciones, incluyendo los requisitos habilitantes y los de asignación de puntaje». En tal sentido, el informe de evaluación debe dar cuenta de la evaluación completa de las ofertas, lo que incluiría las ofertas económicas. De esta manera, esta disposición permite que los interesados ejerzan su derecho a conocer el informe de evaluación y a formular las observaciones que consideren pertinentes, frente a todos los aspectos de la evaluación de las propuestas.</w:t>
      </w:r>
    </w:p>
    <w:p w14:paraId="0D1F8ADB" w14:textId="77777777" w:rsidR="00042F76" w:rsidRPr="00042F76" w:rsidRDefault="00042F76" w:rsidP="00042F76">
      <w:pPr>
        <w:spacing w:before="120" w:after="0" w:line="276" w:lineRule="auto"/>
        <w:ind w:firstLine="709"/>
        <w:jc w:val="both"/>
        <w:rPr>
          <w:rFonts w:ascii="Arial" w:eastAsia="Calibri" w:hAnsi="Arial" w:cs="Arial"/>
          <w:color w:val="000000"/>
          <w:szCs w:val="24"/>
          <w:lang w:val="es-ES_tradnl" w:eastAsia="es-ES_tradnl"/>
        </w:rPr>
      </w:pPr>
      <w:proofErr w:type="spellStart"/>
      <w:r w:rsidRPr="00042F76">
        <w:rPr>
          <w:rFonts w:ascii="Arial" w:eastAsia="Calibri" w:hAnsi="Arial" w:cs="Arial"/>
          <w:color w:val="000000"/>
          <w:szCs w:val="24"/>
          <w:lang w:val="es-ES_tradnl" w:eastAsia="es-ES_tradnl"/>
        </w:rPr>
        <w:lastRenderedPageBreak/>
        <w:t>ii</w:t>
      </w:r>
      <w:proofErr w:type="spellEnd"/>
      <w:r w:rsidRPr="00042F76">
        <w:rPr>
          <w:rFonts w:ascii="Arial" w:eastAsia="Calibri" w:hAnsi="Arial" w:cs="Arial"/>
          <w:color w:val="000000"/>
          <w:szCs w:val="24"/>
          <w:lang w:val="es-ES_tradnl" w:eastAsia="es-ES_tradnl"/>
        </w:rPr>
        <w:t>) En armonía con lo anterior, a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trascendental, pues elimina estas etapas y señala, en su lugar, que «Una vez resueltas las observaciones al informe de evaluación, la entidad adjudicará el contrato mediante acto administrativo al oferente que haya cumplido todos los requisitos exigidos en el pliego de condiciones y haya obtenido el mayor puntaje». Esto implica que después de la respuesta a las observaciones del informe de evaluación ya la entidad estatal no debe revisar que la oferta económica sea acorde al presupuesto oficial –pues esto lo debió hacer para elaborar el informe de evaluación– y tampoco debe proceder con una fase de «negociación» con el oferente calificado en primer lugar sobre el valor y alcance del contrato, sino que debe proceder a la adjudicación a quien haya presentado objetivamente la mejor oferta, teniendo en cuenta todos los requisitos exigidos en el pliego de condiciones.</w:t>
      </w:r>
    </w:p>
    <w:p w14:paraId="0E1E9953" w14:textId="77777777" w:rsidR="00042F76" w:rsidRPr="00042F76" w:rsidRDefault="00042F76" w:rsidP="00042F76">
      <w:pPr>
        <w:spacing w:before="120" w:after="0" w:line="276" w:lineRule="auto"/>
        <w:ind w:firstLine="709"/>
        <w:jc w:val="both"/>
        <w:rPr>
          <w:rFonts w:ascii="Arial" w:eastAsia="Calibri" w:hAnsi="Arial" w:cs="Arial"/>
          <w:color w:val="000000"/>
          <w:szCs w:val="24"/>
          <w:lang w:val="es-ES_tradnl" w:eastAsia="es-ES_tradnl"/>
        </w:rPr>
      </w:pPr>
      <w:proofErr w:type="spellStart"/>
      <w:r w:rsidRPr="00042F76">
        <w:rPr>
          <w:rFonts w:ascii="Arial" w:eastAsia="Calibri" w:hAnsi="Arial" w:cs="Arial"/>
          <w:color w:val="000000"/>
          <w:szCs w:val="24"/>
          <w:lang w:val="es-ES_tradnl" w:eastAsia="es-ES_tradnl"/>
        </w:rPr>
        <w:t>iii</w:t>
      </w:r>
      <w:proofErr w:type="spellEnd"/>
      <w:r w:rsidRPr="00042F76">
        <w:rPr>
          <w:rFonts w:ascii="Arial" w:eastAsia="Calibri" w:hAnsi="Arial" w:cs="Arial"/>
          <w:color w:val="000000"/>
          <w:szCs w:val="24"/>
          <w:lang w:val="es-ES_tradnl" w:eastAsia="es-ES_tradnl"/>
        </w:rPr>
        <w:t>) Como el nuevo artículo 2.2.1.2.1.3.2. del Decreto 1082 de 2015, modificado por el artículo 2 del Decreto 399 de 2021, ya no establece una fase de negociación entre la entidad estatal y el oferente calificado en el primer lugar de elegibilidad, por sustracción de materia, la entidad estatal tampoco debe intentar un acuerdo con el oferente calificado en el segundo orden de elegibilidad, ni puede ampararse en el carácter fallido de dicho acuerdo para declarar desierto el proceso de selección, en armonía con lo decidido en los Autos del Consejo de Estado antes señalados.</w:t>
      </w:r>
    </w:p>
    <w:p w14:paraId="46ECCD9C" w14:textId="77777777" w:rsidR="00042F76" w:rsidRPr="00042F76" w:rsidRDefault="00042F76" w:rsidP="00042F76">
      <w:pPr>
        <w:spacing w:before="120" w:after="0" w:line="276" w:lineRule="auto"/>
        <w:ind w:firstLine="709"/>
        <w:jc w:val="both"/>
        <w:rPr>
          <w:rFonts w:ascii="Arial" w:eastAsia="Calibri" w:hAnsi="Arial" w:cs="Arial"/>
          <w:color w:val="000000"/>
          <w:szCs w:val="24"/>
          <w:lang w:val="es-ES_tradnl" w:eastAsia="es-ES_tradnl"/>
        </w:rPr>
      </w:pPr>
      <w:r w:rsidRPr="00042F76">
        <w:rPr>
          <w:rFonts w:ascii="Arial" w:eastAsia="Calibri" w:hAnsi="Arial" w:cs="Arial"/>
          <w:color w:val="000000"/>
          <w:szCs w:val="24"/>
          <w:lang w:val="es-ES_tradnl" w:eastAsia="es-ES_tradnl"/>
        </w:rPr>
        <w:t xml:space="preserve">Un aspecto igualmente importante que introduce el Decreto 399 de 2021 y que incide sobre el trámite del concurso de méritos, tiene que ver con el contenido de los estudios y documentos previos que soportan el proceso de contratación. Recuérdese que el numeral 4 del artículo 2.2.1.1.2.1.1. del Decreto 1082 de 2015 establecía que la entidad estatal no debía «[…] publicar las variables utilizadas para calcular el valor estimado del contrato cuando la modalidad de selección del contratista sea en concurso de méritos». Pues bien, el artículo 1 del Decreto 399 de 2021 elimina esta prohibición, para garantizar que los interesados conozcan la información relacionada con el valor estimado del contrato en los concursos de méritos y potenciar la garantía de los principios de publicidad y transparencia. En efecto, así lo justifica el gobierno nacional en las consideraciones de dicho Decreto: </w:t>
      </w:r>
    </w:p>
    <w:p w14:paraId="0598A5F4" w14:textId="77777777" w:rsidR="00042F76" w:rsidRPr="00042F76" w:rsidRDefault="00042F76" w:rsidP="00042F76">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p>
    <w:p w14:paraId="4C2331AB" w14:textId="77777777" w:rsidR="00042F76" w:rsidRPr="00042F76" w:rsidRDefault="00042F76" w:rsidP="00042F76">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42F76">
        <w:rPr>
          <w:rFonts w:ascii="Arial" w:eastAsia="Times New Roman" w:hAnsi="Arial" w:cs="Arial"/>
          <w:color w:val="000000"/>
          <w:sz w:val="21"/>
          <w:szCs w:val="21"/>
          <w:lang w:val="es-ES_tradnl" w:eastAsia="es-ES_tradnl"/>
        </w:rPr>
        <w:t>Que en consideración a la importancia de conocer los valores y criterios utilizados por las entidades estatales que sirvan de soporte para definir el valor estimado del contrato en la modalidad de selección de concurso de méritos, y ante la inexistencia de una reserva legal de esta información, es necesario eliminar la restricción respecto al deber de publicación de dichos análisis.</w:t>
      </w:r>
    </w:p>
    <w:p w14:paraId="7D355784" w14:textId="77777777" w:rsidR="00042F76" w:rsidRPr="00042F76" w:rsidRDefault="00042F76" w:rsidP="00042F76">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42F76">
        <w:rPr>
          <w:rFonts w:ascii="Arial" w:eastAsia="Times New Roman" w:hAnsi="Arial" w:cs="Arial"/>
          <w:color w:val="000000"/>
          <w:sz w:val="21"/>
          <w:szCs w:val="21"/>
          <w:lang w:val="es-ES_tradnl" w:eastAsia="es-ES_tradnl"/>
        </w:rPr>
        <w:t> </w:t>
      </w:r>
    </w:p>
    <w:p w14:paraId="026B6076" w14:textId="77777777" w:rsidR="00042F76" w:rsidRPr="00042F76" w:rsidRDefault="00042F76" w:rsidP="00042F76">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42F76">
        <w:rPr>
          <w:rFonts w:ascii="Arial" w:eastAsia="Times New Roman" w:hAnsi="Arial" w:cs="Arial"/>
          <w:color w:val="000000"/>
          <w:sz w:val="21"/>
          <w:szCs w:val="21"/>
          <w:lang w:val="es-ES_tradnl" w:eastAsia="es-ES_tradnl"/>
        </w:rPr>
        <w:lastRenderedPageBreak/>
        <w:t>Que se considera conveniente dar publicidad a la forma como se calcula el valor del contrato en los concursos de méritos, con la finalidad de garantizar al máximo los principios de publicidad y transparencia. Además, para que los interesados, de conformidad con el artículo 8 de la Ley 1150 de 2007, puedan realizar observaciones al proyecto de pliego de condiciones, que debe incluir el valor estimado del contrato.</w:t>
      </w:r>
      <w:r w:rsidRPr="00042F76">
        <w:rPr>
          <w:rFonts w:ascii="Arial" w:eastAsia="Calibri" w:hAnsi="Arial" w:cs="Arial"/>
          <w:color w:val="000000"/>
          <w:szCs w:val="24"/>
          <w:lang w:val="es-ES_tradnl" w:eastAsia="es-ES_tradnl"/>
        </w:rPr>
        <w:t xml:space="preserve">  </w:t>
      </w:r>
    </w:p>
    <w:p w14:paraId="6C604BEE" w14:textId="77777777" w:rsidR="00042F76" w:rsidRPr="00042F76" w:rsidRDefault="00042F76" w:rsidP="00042F76">
      <w:pPr>
        <w:spacing w:after="0" w:line="276" w:lineRule="auto"/>
        <w:ind w:firstLine="709"/>
        <w:jc w:val="both"/>
        <w:rPr>
          <w:rFonts w:ascii="Arial" w:eastAsia="Calibri" w:hAnsi="Arial" w:cs="Arial"/>
          <w:color w:val="000000"/>
          <w:szCs w:val="24"/>
          <w:lang w:val="es-ES_tradnl" w:eastAsia="es-ES_tradnl"/>
        </w:rPr>
      </w:pPr>
    </w:p>
    <w:p w14:paraId="454DEB17" w14:textId="77777777" w:rsidR="00042F76" w:rsidRPr="00042F76" w:rsidRDefault="00042F76" w:rsidP="00042F76">
      <w:pPr>
        <w:spacing w:after="0" w:line="276" w:lineRule="auto"/>
        <w:ind w:firstLine="709"/>
        <w:jc w:val="both"/>
        <w:rPr>
          <w:rFonts w:ascii="Arial" w:eastAsia="Calibri" w:hAnsi="Arial" w:cs="Arial"/>
          <w:color w:val="000000"/>
          <w:szCs w:val="24"/>
          <w:lang w:val="es-ES_tradnl" w:eastAsia="es-ES_tradnl"/>
        </w:rPr>
      </w:pPr>
      <w:r w:rsidRPr="00042F76">
        <w:rPr>
          <w:rFonts w:ascii="Arial" w:eastAsia="Calibri" w:hAnsi="Arial" w:cs="Arial"/>
          <w:color w:val="000000"/>
          <w:szCs w:val="24"/>
          <w:lang w:val="es-ES_tradnl" w:eastAsia="es-ES_tradnl"/>
        </w:rPr>
        <w:t xml:space="preserve">Por lo tanto, a partir de la </w:t>
      </w:r>
      <w:proofErr w:type="gramStart"/>
      <w:r w:rsidRPr="00042F76">
        <w:rPr>
          <w:rFonts w:ascii="Arial" w:eastAsia="Calibri" w:hAnsi="Arial" w:cs="Arial"/>
          <w:color w:val="000000"/>
          <w:szCs w:val="24"/>
          <w:lang w:val="es-ES_tradnl" w:eastAsia="es-ES_tradnl"/>
        </w:rPr>
        <w:t>entrada en vigencia</w:t>
      </w:r>
      <w:proofErr w:type="gramEnd"/>
      <w:r w:rsidRPr="00042F76">
        <w:rPr>
          <w:rFonts w:ascii="Arial" w:eastAsia="Calibri" w:hAnsi="Arial" w:cs="Arial"/>
          <w:color w:val="000000"/>
          <w:szCs w:val="24"/>
          <w:lang w:val="es-ES_tradnl" w:eastAsia="es-ES_tradnl"/>
        </w:rPr>
        <w:t xml:space="preserve"> del Decreto 399 de 2021, las entidades estatales deben incluir en los estudios previos del concurso de méritos la información correspondiente a las variables empleadas para calcular el valor estimado del contrato, determinando así el presupuesto oficial. Además, los interesados pueden formular observaciones al proyecto de pliego de condiciones sobre este tema. Adicionalmente, en el pliego de condiciones deben establecerse con claridad los requisitos habilitantes y criterios de calificación con fundamento en los cuales la entidad estatal elaborará el informe de evaluación respectivo. Al respecto, se aclara que el Decreto 399 de 2021 en ningún caso contradice lo establecido en el artículo 5, numeral 4, de la Ley 1150 de 2007; norma que dispone que «En los procesos para la selección de consultores se hará uso de factores de calificación destinados a valorar los aspectos técnicos de la oferta o proyecto […]» y que «En ningún caso se podrá incluir el precio, como factor de escogencia para la selección de consultores». El hecho de que desaparezca la etapa en la cual la entidad estatal debía intentar un acuerdo sobre el alcance y el valor del contrato con el oferente calificado en el primer orden de elegibilidad no significa que se esté introduciendo el precio como factor de escogencia. Lo que se deduce del artículo 2 del Decreto 399 de 2021 es que en el pliego de condiciones debe quedar claramente establecido el presupuesto oficial, así como la prohibición de superarlo como requisito habilitante dentro del concurso de méritos. </w:t>
      </w:r>
    </w:p>
    <w:p w14:paraId="5940A50D" w14:textId="77777777" w:rsidR="00042F76" w:rsidRPr="00042F76" w:rsidRDefault="00042F76" w:rsidP="00042F76">
      <w:pPr>
        <w:spacing w:before="120" w:after="0" w:line="276" w:lineRule="auto"/>
        <w:ind w:firstLine="709"/>
        <w:jc w:val="both"/>
        <w:rPr>
          <w:rFonts w:ascii="Arial" w:eastAsia="Calibri" w:hAnsi="Arial" w:cs="Arial"/>
          <w:color w:val="000000"/>
          <w:szCs w:val="24"/>
          <w:lang w:val="es-ES_tradnl" w:eastAsia="es-ES_tradnl"/>
        </w:rPr>
      </w:pPr>
      <w:r w:rsidRPr="00042F76">
        <w:rPr>
          <w:rFonts w:ascii="Arial" w:eastAsia="Calibri" w:hAnsi="Arial" w:cs="Arial"/>
          <w:color w:val="000000"/>
          <w:szCs w:val="24"/>
          <w:lang w:val="es-ES_tradnl" w:eastAsia="es-ES_tradnl"/>
        </w:rPr>
        <w:t>Dicho de otro modo, una vez verificado el cumplimiento de los requisitos habilitantes –entre los cuales está no superar el presupuesto oficial– y de ponderar los factores de calificación, se deberá elaborar el informe de evaluación respectivo –el cual es susceptible de observaciones– y solo se podrá adjudicar el contrato a quien ocupe el primer orden de elegibilidad según los criterios de calificación. Esto significa que luego de resolver las observaciones al informe de evaluación y de quedar en firme este, ya la entidad estatal no puede revisar la conformidad de la oferta económica con el presupuesto oficial –pues esto debió hacerlo antes de publicar el informe de evaluación–, ni intentar un acuerdo sobre el precio, como sí lo permitían los numerales 4 y 5 del artículo 2.2.1.2.1.3.2. del Decreto 1082 de 2015 en su redacción inicial. Lo que procede una vez resueltas las observaciones al informe de evaluación es la adjudicación del contrato o la declaratoria de desierta, si ninguno de los oferentes cumple los requisitos habilitantes.</w:t>
      </w:r>
    </w:p>
    <w:bookmarkEnd w:id="7"/>
    <w:p w14:paraId="2008B971" w14:textId="4C6DEFDA" w:rsidR="00042F76" w:rsidRPr="00042F76" w:rsidRDefault="00042F76" w:rsidP="00042F76">
      <w:pPr>
        <w:spacing w:before="120" w:after="0" w:line="276" w:lineRule="auto"/>
        <w:ind w:firstLine="709"/>
        <w:jc w:val="both"/>
        <w:rPr>
          <w:rFonts w:ascii="Arial" w:eastAsia="Times New Roman" w:hAnsi="Arial" w:cs="Arial"/>
          <w:shd w:val="clear" w:color="auto" w:fill="FFFFFF"/>
          <w:lang w:eastAsia="es-ES_tradnl"/>
        </w:rPr>
      </w:pPr>
      <w:r w:rsidRPr="00042F76">
        <w:rPr>
          <w:rFonts w:ascii="Arial" w:eastAsia="Calibri" w:hAnsi="Arial" w:cs="Arial"/>
          <w:szCs w:val="24"/>
          <w:lang w:val="es-ES_tradnl" w:eastAsia="es-ES_tradnl"/>
        </w:rPr>
        <w:t xml:space="preserve">De lo explicado previamente surge el siguiente interrogante: ¿el artículo 2 del Decreto 399 de 2021, normativa que modifica el artículo 2.2.1.2.1.3.2 del Decreto 1082, varía el momento en el cual las entidades estatales </w:t>
      </w:r>
      <w:r w:rsidR="004875A5">
        <w:rPr>
          <w:rFonts w:ascii="Arial" w:eastAsia="Calibri" w:hAnsi="Arial" w:cs="Arial"/>
          <w:szCs w:val="24"/>
          <w:lang w:val="es-ES_tradnl" w:eastAsia="es-ES_tradnl"/>
        </w:rPr>
        <w:t>verifican</w:t>
      </w:r>
      <w:r w:rsidR="004875A5" w:rsidRPr="00042F76">
        <w:rPr>
          <w:rFonts w:ascii="Arial" w:eastAsia="Calibri" w:hAnsi="Arial" w:cs="Arial"/>
          <w:szCs w:val="24"/>
          <w:lang w:val="es-ES_tradnl" w:eastAsia="es-ES_tradnl"/>
        </w:rPr>
        <w:t xml:space="preserve"> </w:t>
      </w:r>
      <w:r w:rsidRPr="00042F76">
        <w:rPr>
          <w:rFonts w:ascii="Arial" w:eastAsia="Calibri" w:hAnsi="Arial" w:cs="Arial"/>
          <w:szCs w:val="24"/>
          <w:lang w:val="es-ES_tradnl" w:eastAsia="es-ES_tradnl"/>
        </w:rPr>
        <w:t>las ofertas económicas? En la regulación inicialmente prevista por</w:t>
      </w:r>
      <w:r w:rsidRPr="00042F76">
        <w:rPr>
          <w:rFonts w:ascii="Arial" w:eastAsia="Times New Roman" w:hAnsi="Arial" w:cs="Arial"/>
          <w:shd w:val="clear" w:color="auto" w:fill="FFFFFF"/>
          <w:lang w:eastAsia="es-ES_tradnl"/>
        </w:rPr>
        <w:t xml:space="preserve"> el Decreto 1082 de 201</w:t>
      </w:r>
      <w:r w:rsidRPr="00042F76">
        <w:rPr>
          <w:rFonts w:ascii="Arial" w:eastAsia="Times New Roman" w:hAnsi="Arial" w:cs="Arial"/>
          <w:bCs/>
          <w:shd w:val="clear" w:color="auto" w:fill="FFFFFF"/>
          <w:lang w:eastAsia="es-ES_tradnl"/>
        </w:rPr>
        <w:t>5</w:t>
      </w:r>
      <w:r w:rsidRPr="00042F76">
        <w:rPr>
          <w:rFonts w:ascii="Arial" w:eastAsia="Times New Roman" w:hAnsi="Arial" w:cs="Arial"/>
          <w:shd w:val="clear" w:color="auto" w:fill="FFFFFF"/>
          <w:lang w:eastAsia="es-ES_tradnl"/>
        </w:rPr>
        <w:t xml:space="preserve"> la revisión de las ofertas económicas se realizaba luego de </w:t>
      </w:r>
      <w:r w:rsidRPr="00042F76">
        <w:rPr>
          <w:rFonts w:ascii="Arial" w:eastAsia="Times New Roman" w:hAnsi="Arial" w:cs="Arial"/>
          <w:shd w:val="clear" w:color="auto" w:fill="FFFFFF"/>
          <w:lang w:eastAsia="es-ES_tradnl"/>
        </w:rPr>
        <w:lastRenderedPageBreak/>
        <w:t>publicar el informe de evaluación que contenía la calificación técnica y el orden de elegibilidad</w:t>
      </w:r>
      <w:r w:rsidRPr="00042F76">
        <w:rPr>
          <w:rFonts w:ascii="Arial" w:eastAsia="Times New Roman" w:hAnsi="Arial" w:cs="Arial"/>
          <w:shd w:val="clear" w:color="auto" w:fill="FFFFFF"/>
          <w:vertAlign w:val="superscript"/>
          <w:lang w:eastAsia="es-ES_tradnl"/>
        </w:rPr>
        <w:footnoteReference w:id="8"/>
      </w:r>
      <w:r w:rsidRPr="00042F76">
        <w:rPr>
          <w:rFonts w:ascii="Arial" w:eastAsia="Times New Roman" w:hAnsi="Arial" w:cs="Arial"/>
          <w:shd w:val="clear" w:color="auto" w:fill="FFFFFF"/>
          <w:lang w:eastAsia="es-ES_tradnl"/>
        </w:rPr>
        <w:t xml:space="preserve">. En este sentido, vencido el plazo de la fecha del cierre del proceso se evaluaban los documentos referidos a la calificación técnica, cuyo análisis y revisión quedaba contenido en el informe de evaluación. Publicado este informe en la plataforma del Sistema Electrónico de Contratación Pública –SECOP–, se procedía a revisar la oferta económica para determinar que el valor de esta estuviera acorde con el valor del presupuesto estimado por la Entidad. </w:t>
      </w:r>
    </w:p>
    <w:p w14:paraId="32D82DF9" w14:textId="3EC867B7" w:rsidR="00042F76" w:rsidRPr="00042F76" w:rsidRDefault="00042F76" w:rsidP="00F879A2">
      <w:pPr>
        <w:spacing w:before="120" w:after="0" w:line="276" w:lineRule="auto"/>
        <w:ind w:firstLine="709"/>
        <w:jc w:val="both"/>
        <w:rPr>
          <w:rFonts w:ascii="Arial" w:eastAsia="Times New Roman" w:hAnsi="Arial" w:cs="Arial"/>
          <w:shd w:val="clear" w:color="auto" w:fill="FFFFFF"/>
          <w:lang w:eastAsia="es-ES_tradnl"/>
        </w:rPr>
      </w:pPr>
      <w:r w:rsidRPr="00042F76">
        <w:rPr>
          <w:rFonts w:ascii="Arial" w:eastAsia="Times New Roman" w:hAnsi="Arial" w:cs="Arial"/>
          <w:shd w:val="clear" w:color="auto" w:fill="FFFFFF"/>
          <w:lang w:eastAsia="es-ES_tradnl"/>
        </w:rPr>
        <w:t>Por su parte, con fundamento en el Decreto 399 de 2021, la apertura de las ofertas se realiza al momento del cierre del proceso, esto es, vencido el plazo para presentar las ofertas. Lo anterior, teniendo en cuenta que la entidad estatal debe evaluar en el informe respectivo los requisitos exigidos en el pliego de condiciones, incluidos los requisitos habilitantes y los de asignación de puntaje. Una vez resueltas las observaciones presentadas al informe, la entidad adjudicará el contrato mediante acto administrativo. Por tanto, se entiende que en este informe se evaluará el cumplimiento de todas las exigencias previstas en el pliego de condiciones, esto es, los requisitos habilitantes, los factores de evaluación y las ofertas económicas.</w:t>
      </w:r>
    </w:p>
    <w:p w14:paraId="6EEF5BD4" w14:textId="106742CF" w:rsidR="000123C0" w:rsidRPr="00F879A2" w:rsidRDefault="000123C0" w:rsidP="000123C0">
      <w:pPr>
        <w:spacing w:after="0" w:line="276" w:lineRule="auto"/>
        <w:jc w:val="both"/>
        <w:rPr>
          <w:rFonts w:ascii="Arial" w:eastAsia="Calibri" w:hAnsi="Arial" w:cs="Arial"/>
          <w:b/>
          <w:color w:val="000000" w:themeColor="text1"/>
          <w:lang w:val="es-ES"/>
        </w:rPr>
      </w:pPr>
    </w:p>
    <w:p w14:paraId="5731B8D4" w14:textId="77777777" w:rsidR="00382303" w:rsidRDefault="00F879A2" w:rsidP="00382303">
      <w:pPr>
        <w:spacing w:after="0" w:line="276" w:lineRule="auto"/>
        <w:jc w:val="both"/>
        <w:rPr>
          <w:rFonts w:ascii="Arial" w:eastAsia="Calibri" w:hAnsi="Arial" w:cs="Arial"/>
          <w:b/>
          <w:bCs/>
          <w:color w:val="000000" w:themeColor="text1"/>
          <w:szCs w:val="24"/>
          <w:lang w:val="es-ES" w:eastAsia="es-ES_tradnl"/>
        </w:rPr>
      </w:pPr>
      <w:r w:rsidRPr="00F879A2">
        <w:rPr>
          <w:rFonts w:ascii="Arial" w:eastAsia="Calibri" w:hAnsi="Arial" w:cs="Arial"/>
          <w:b/>
          <w:color w:val="000000" w:themeColor="text1"/>
          <w:lang w:val="es-ES"/>
        </w:rPr>
        <w:t>2.3.</w:t>
      </w:r>
      <w:r w:rsidRPr="00F879A2">
        <w:rPr>
          <w:rFonts w:ascii="Arial" w:eastAsia="Calibri" w:hAnsi="Arial" w:cs="Arial"/>
          <w:b/>
          <w:bCs/>
          <w:color w:val="000000" w:themeColor="text1"/>
          <w:szCs w:val="24"/>
          <w:lang w:val="es-ES" w:eastAsia="es-ES_tradnl"/>
        </w:rPr>
        <w:t xml:space="preserve"> Los métodos de evaluación en el concurso de méritos</w:t>
      </w:r>
    </w:p>
    <w:p w14:paraId="6B064E96" w14:textId="77777777" w:rsidR="00B32CF9" w:rsidRDefault="00B32CF9" w:rsidP="00F57589">
      <w:pPr>
        <w:spacing w:after="120" w:line="276" w:lineRule="auto"/>
        <w:jc w:val="both"/>
        <w:rPr>
          <w:rFonts w:ascii="Arial" w:hAnsi="Arial" w:cs="Arial"/>
          <w:lang w:val="es-ES"/>
        </w:rPr>
      </w:pPr>
    </w:p>
    <w:p w14:paraId="2800AC3F" w14:textId="4A549D72" w:rsidR="00F57589" w:rsidRPr="00382303" w:rsidRDefault="00B32CF9" w:rsidP="00F57589">
      <w:pPr>
        <w:spacing w:after="120" w:line="276" w:lineRule="auto"/>
        <w:jc w:val="both"/>
        <w:rPr>
          <w:rFonts w:ascii="Arial" w:hAnsi="Arial" w:cs="Arial"/>
        </w:rPr>
      </w:pPr>
      <w:r>
        <w:rPr>
          <w:rFonts w:ascii="Arial" w:hAnsi="Arial" w:cs="Arial"/>
          <w:lang w:val="es-ES"/>
        </w:rPr>
        <w:t xml:space="preserve">El </w:t>
      </w:r>
      <w:r w:rsidR="00382303" w:rsidRPr="00382303">
        <w:rPr>
          <w:rFonts w:ascii="Arial" w:hAnsi="Arial" w:cs="Arial"/>
        </w:rPr>
        <w:t xml:space="preserve">artículo 5.4 de la Ley 1150 de 2007 contiene una regulación especial del deber de selección objetiva aplicable a procesos de selección de consultores. Este numeral indica que en estos procesos la escogencia se hará con base en factores de calificación destinados a valorar los aspectos técnicos de </w:t>
      </w:r>
      <w:r>
        <w:rPr>
          <w:rFonts w:ascii="Arial" w:hAnsi="Arial" w:cs="Arial"/>
        </w:rPr>
        <w:t>la oferta, permitiéndose determinar</w:t>
      </w:r>
      <w:r w:rsidR="00382303" w:rsidRPr="00382303">
        <w:rPr>
          <w:rFonts w:ascii="Arial" w:hAnsi="Arial" w:cs="Arial"/>
        </w:rPr>
        <w:t xml:space="preserve"> la experiencia específica del oferente y su equipo de trabajo, proscribiéndose además el precio como factor de evaluación. </w:t>
      </w:r>
      <w:r w:rsidR="00476D37">
        <w:rPr>
          <w:rFonts w:ascii="Arial" w:hAnsi="Arial" w:cs="Arial"/>
        </w:rPr>
        <w:t xml:space="preserve">De este modo, la Ley 1150 de 2007 busco </w:t>
      </w:r>
      <w:r>
        <w:rPr>
          <w:rFonts w:ascii="Arial" w:hAnsi="Arial" w:cs="Arial"/>
        </w:rPr>
        <w:t xml:space="preserve">favorecer </w:t>
      </w:r>
      <w:r w:rsidR="00476D37">
        <w:rPr>
          <w:rFonts w:ascii="Arial" w:hAnsi="Arial" w:cs="Arial"/>
        </w:rPr>
        <w:t>la competencia fundada en la calidad, sin tener en cuenta el precio o el valor de la oferta como factor o criterio de evaluación</w:t>
      </w:r>
      <w:r w:rsidR="008C42A8">
        <w:rPr>
          <w:rFonts w:ascii="Arial" w:hAnsi="Arial" w:cs="Arial"/>
        </w:rPr>
        <w:t xml:space="preserve"> con puntaje</w:t>
      </w:r>
      <w:r w:rsidR="00476D37">
        <w:rPr>
          <w:rFonts w:ascii="Arial" w:hAnsi="Arial" w:cs="Arial"/>
        </w:rPr>
        <w:t xml:space="preserve">. </w:t>
      </w:r>
    </w:p>
    <w:p w14:paraId="23B45745" w14:textId="585490DD" w:rsidR="00382303" w:rsidRPr="00382303" w:rsidRDefault="00382303" w:rsidP="00FC79DE">
      <w:pPr>
        <w:keepNext/>
        <w:spacing w:after="120" w:line="276" w:lineRule="auto"/>
        <w:ind w:firstLine="708"/>
        <w:jc w:val="both"/>
        <w:outlineLvl w:val="0"/>
        <w:rPr>
          <w:rFonts w:ascii="Arial" w:hAnsi="Arial" w:cs="Arial"/>
        </w:rPr>
      </w:pPr>
      <w:r w:rsidRPr="00382303">
        <w:rPr>
          <w:rFonts w:ascii="Arial" w:hAnsi="Arial" w:cs="Arial"/>
        </w:rPr>
        <w:t xml:space="preserve">El procedimiento de selección de concurso de méritos, aplicable para la </w:t>
      </w:r>
      <w:r w:rsidR="00476D37" w:rsidRPr="00FC79DE">
        <w:rPr>
          <w:rFonts w:ascii="Arial" w:hAnsi="Arial" w:cs="Arial"/>
        </w:rPr>
        <w:t>escogencia de consultores</w:t>
      </w:r>
      <w:r w:rsidRPr="00382303">
        <w:rPr>
          <w:rFonts w:ascii="Arial" w:hAnsi="Arial" w:cs="Arial"/>
        </w:rPr>
        <w:t xml:space="preserve"> está reglamentado</w:t>
      </w:r>
      <w:r w:rsidR="008120F9">
        <w:rPr>
          <w:rFonts w:ascii="Arial" w:hAnsi="Arial" w:cs="Arial"/>
        </w:rPr>
        <w:t>, como se explicó,</w:t>
      </w:r>
      <w:r w:rsidRPr="00382303">
        <w:rPr>
          <w:rFonts w:ascii="Arial" w:hAnsi="Arial" w:cs="Arial"/>
        </w:rPr>
        <w:t xml:space="preserve"> por el artículo 2.2.1.2.1.3.2. del Decreto 1082 </w:t>
      </w:r>
      <w:r w:rsidRPr="00382303">
        <w:rPr>
          <w:rFonts w:ascii="Arial" w:hAnsi="Arial" w:cs="Arial"/>
        </w:rPr>
        <w:lastRenderedPageBreak/>
        <w:t xml:space="preserve">de 2015, modificado por el Decreto 399 de 2021. El numeral 1 </w:t>
      </w:r>
      <w:r w:rsidR="006C460F" w:rsidRPr="00FC79DE">
        <w:rPr>
          <w:rFonts w:ascii="Arial" w:hAnsi="Arial" w:cs="Arial"/>
        </w:rPr>
        <w:t>de dicha norma dispone</w:t>
      </w:r>
      <w:r w:rsidRPr="00382303">
        <w:rPr>
          <w:rFonts w:ascii="Arial" w:hAnsi="Arial" w:cs="Arial"/>
        </w:rPr>
        <w:t xml:space="preserve">: «1. La Entidad Estatal en los pliegos de condiciones debe indicar la forma como calificará, entre otros, los siguientes criterios: </w:t>
      </w:r>
      <w:r w:rsidRPr="00382303">
        <w:rPr>
          <w:rFonts w:ascii="Arial" w:hAnsi="Arial" w:cs="Arial"/>
          <w:i/>
          <w:iCs/>
        </w:rPr>
        <w:t>a) la experiencia del interesado y del equipo de trabajo y b) la formación académica del equipo de trabajo»</w:t>
      </w:r>
      <w:r w:rsidRPr="00382303">
        <w:rPr>
          <w:rFonts w:ascii="Arial" w:hAnsi="Arial" w:cs="Arial"/>
        </w:rPr>
        <w:t xml:space="preserve"> [énfasis fuera de texto]. Conforme a esto, los factores ponderables en un proceso de selección de concurso de méritos –esto es, los que determinan la escogencia entre los proponentes habilitados–, son la experiencia del interesado y su equipo de trabajo, así como la formación académica. De acuerdo con esta normativa, </w:t>
      </w:r>
      <w:r w:rsidR="00476D37" w:rsidRPr="00FC79DE">
        <w:rPr>
          <w:rFonts w:ascii="Arial" w:hAnsi="Arial" w:cs="Arial"/>
        </w:rPr>
        <w:t xml:space="preserve">en el momento de la elaboración de los pliegos de condiciones </w:t>
      </w:r>
      <w:r w:rsidR="008120F9">
        <w:rPr>
          <w:rFonts w:ascii="Arial" w:hAnsi="Arial" w:cs="Arial"/>
        </w:rPr>
        <w:t>se debe señalar cómo se calificarán estos factores</w:t>
      </w:r>
      <w:r w:rsidR="00FC79DE" w:rsidRPr="00FC79DE">
        <w:rPr>
          <w:rFonts w:ascii="Arial" w:hAnsi="Arial" w:cs="Arial"/>
        </w:rPr>
        <w:t xml:space="preserve">. </w:t>
      </w:r>
    </w:p>
    <w:p w14:paraId="5EE82F37" w14:textId="4B3D0130" w:rsidR="00E859DD" w:rsidRDefault="00382303" w:rsidP="002449A8">
      <w:pPr>
        <w:spacing w:after="120" w:line="276" w:lineRule="auto"/>
        <w:ind w:firstLine="709"/>
        <w:jc w:val="both"/>
        <w:rPr>
          <w:rFonts w:ascii="Arial" w:hAnsi="Arial" w:cs="Arial"/>
          <w:color w:val="000000" w:themeColor="text1"/>
          <w:lang w:val="es-ES_tradnl"/>
        </w:rPr>
      </w:pPr>
      <w:r w:rsidRPr="00382303">
        <w:rPr>
          <w:rFonts w:ascii="Arial" w:eastAsia="Times New Roman" w:hAnsi="Arial" w:cs="Arial"/>
          <w:color w:val="000000" w:themeColor="text1"/>
          <w:szCs w:val="24"/>
          <w:lang w:val="es-ES_tradnl" w:eastAsia="es-ES_tradnl"/>
        </w:rPr>
        <w:t>En atención</w:t>
      </w:r>
      <w:r w:rsidR="00753C66">
        <w:rPr>
          <w:rFonts w:ascii="Arial" w:eastAsia="Times New Roman" w:hAnsi="Arial" w:cs="Arial"/>
          <w:color w:val="000000" w:themeColor="text1"/>
          <w:szCs w:val="24"/>
          <w:lang w:val="es-ES_tradnl" w:eastAsia="es-ES_tradnl"/>
        </w:rPr>
        <w:t xml:space="preserve"> a la pregunta motivo de consulta se señala que en el concurso de méritos</w:t>
      </w:r>
      <w:r w:rsidRPr="00382303">
        <w:rPr>
          <w:rFonts w:ascii="Arial" w:eastAsia="Times New Roman" w:hAnsi="Arial" w:cs="Arial"/>
          <w:color w:val="000000" w:themeColor="text1"/>
          <w:szCs w:val="24"/>
          <w:lang w:val="es-ES_tradnl" w:eastAsia="es-ES_tradnl"/>
        </w:rPr>
        <w:t xml:space="preserve"> no se tiene en cuenta el precio como factor de evaluación, a diferencia del proce</w:t>
      </w:r>
      <w:r w:rsidR="00753C66">
        <w:rPr>
          <w:rFonts w:ascii="Arial" w:eastAsia="Times New Roman" w:hAnsi="Arial" w:cs="Arial"/>
          <w:color w:val="000000" w:themeColor="text1"/>
          <w:szCs w:val="24"/>
          <w:lang w:val="es-ES_tradnl" w:eastAsia="es-ES_tradnl"/>
        </w:rPr>
        <w:t>so de licitación pública y de la</w:t>
      </w:r>
      <w:r w:rsidRPr="00382303">
        <w:rPr>
          <w:rFonts w:ascii="Arial" w:eastAsia="Times New Roman" w:hAnsi="Arial" w:cs="Arial"/>
          <w:color w:val="000000" w:themeColor="text1"/>
          <w:szCs w:val="24"/>
          <w:lang w:val="es-ES_tradnl" w:eastAsia="es-ES_tradnl"/>
        </w:rPr>
        <w:t xml:space="preserve">s demás </w:t>
      </w:r>
      <w:r w:rsidR="00753C66">
        <w:rPr>
          <w:rFonts w:ascii="Arial" w:eastAsia="Times New Roman" w:hAnsi="Arial" w:cs="Arial"/>
          <w:color w:val="000000" w:themeColor="text1"/>
          <w:szCs w:val="24"/>
          <w:lang w:val="es-ES_tradnl" w:eastAsia="es-ES_tradnl"/>
        </w:rPr>
        <w:t xml:space="preserve">modalidades </w:t>
      </w:r>
      <w:r w:rsidRPr="00382303">
        <w:rPr>
          <w:rFonts w:ascii="Arial" w:eastAsia="Times New Roman" w:hAnsi="Arial" w:cs="Arial"/>
          <w:color w:val="000000" w:themeColor="text1"/>
          <w:szCs w:val="24"/>
          <w:lang w:val="es-ES_tradnl" w:eastAsia="es-ES_tradnl"/>
        </w:rPr>
        <w:t>de selección de</w:t>
      </w:r>
      <w:r w:rsidR="00807FCC">
        <w:rPr>
          <w:rFonts w:ascii="Arial" w:eastAsia="Times New Roman" w:hAnsi="Arial" w:cs="Arial"/>
          <w:color w:val="000000" w:themeColor="text1"/>
          <w:szCs w:val="24"/>
          <w:lang w:val="es-ES_tradnl" w:eastAsia="es-ES_tradnl"/>
        </w:rPr>
        <w:t xml:space="preserve"> contratistas estatales</w:t>
      </w:r>
      <w:r w:rsidRPr="00382303">
        <w:rPr>
          <w:rFonts w:ascii="Arial" w:eastAsia="Times New Roman" w:hAnsi="Arial" w:cs="Arial"/>
          <w:color w:val="000000" w:themeColor="text1"/>
          <w:szCs w:val="24"/>
          <w:lang w:val="es-ES_tradnl" w:eastAsia="es-ES_tradnl"/>
        </w:rPr>
        <w:t xml:space="preserve">. </w:t>
      </w:r>
      <w:r w:rsidRPr="00382303">
        <w:rPr>
          <w:rFonts w:ascii="Arial" w:hAnsi="Arial" w:cs="Arial"/>
          <w:color w:val="000000" w:themeColor="text1"/>
          <w:lang w:val="es-ES_tradnl"/>
        </w:rPr>
        <w:t>Por tanto, de conformidad con el inciso final del artículo 5.4 de la Ley 1150 de 2007, la oferta económica no tiene injerencia en la escogencia del ofrecimiento más favorable.</w:t>
      </w:r>
      <w:r w:rsidR="00E859DD">
        <w:rPr>
          <w:rFonts w:ascii="Arial" w:hAnsi="Arial" w:cs="Arial"/>
          <w:color w:val="000000" w:themeColor="text1"/>
          <w:lang w:val="es-ES_tradnl"/>
        </w:rPr>
        <w:t xml:space="preserve"> </w:t>
      </w:r>
      <w:r w:rsidR="008A113B">
        <w:rPr>
          <w:rFonts w:ascii="Arial" w:hAnsi="Arial" w:cs="Arial"/>
          <w:color w:val="000000" w:themeColor="text1"/>
          <w:lang w:val="es-ES_tradnl"/>
        </w:rPr>
        <w:t xml:space="preserve">A partir de </w:t>
      </w:r>
      <w:r w:rsidR="00E859DD">
        <w:rPr>
          <w:rFonts w:ascii="Arial" w:hAnsi="Arial" w:cs="Arial"/>
          <w:color w:val="000000" w:themeColor="text1"/>
          <w:lang w:val="es-ES_tradnl"/>
        </w:rPr>
        <w:t>estas precisiones de orden normativo la</w:t>
      </w:r>
      <w:r w:rsidR="00917C28">
        <w:rPr>
          <w:rFonts w:ascii="Arial" w:hAnsi="Arial" w:cs="Arial"/>
          <w:color w:val="000000" w:themeColor="text1"/>
          <w:lang w:val="es-ES_tradnl"/>
        </w:rPr>
        <w:t>s</w:t>
      </w:r>
      <w:r w:rsidR="00E859DD">
        <w:rPr>
          <w:rFonts w:ascii="Arial" w:hAnsi="Arial" w:cs="Arial"/>
          <w:color w:val="000000" w:themeColor="text1"/>
          <w:lang w:val="es-ES_tradnl"/>
        </w:rPr>
        <w:t xml:space="preserve"> </w:t>
      </w:r>
      <w:r w:rsidR="00917C28">
        <w:rPr>
          <w:rFonts w:ascii="Arial" w:hAnsi="Arial" w:cs="Arial"/>
          <w:color w:val="000000" w:themeColor="text1"/>
          <w:lang w:val="es-ES_tradnl"/>
        </w:rPr>
        <w:t xml:space="preserve">entidades estatales </w:t>
      </w:r>
      <w:r w:rsidR="00E859DD">
        <w:rPr>
          <w:rFonts w:ascii="Arial" w:hAnsi="Arial" w:cs="Arial"/>
          <w:color w:val="000000" w:themeColor="text1"/>
          <w:lang w:val="es-ES_tradnl"/>
        </w:rPr>
        <w:t>podrá</w:t>
      </w:r>
      <w:r w:rsidR="00917C28">
        <w:rPr>
          <w:rFonts w:ascii="Arial" w:hAnsi="Arial" w:cs="Arial"/>
          <w:color w:val="000000" w:themeColor="text1"/>
          <w:lang w:val="es-ES_tradnl"/>
        </w:rPr>
        <w:t>n,</w:t>
      </w:r>
      <w:r w:rsidR="00E859DD">
        <w:rPr>
          <w:rFonts w:ascii="Arial" w:hAnsi="Arial" w:cs="Arial"/>
          <w:color w:val="000000" w:themeColor="text1"/>
          <w:lang w:val="es-ES_tradnl"/>
        </w:rPr>
        <w:t xml:space="preserve"> </w:t>
      </w:r>
      <w:r w:rsidR="00D47394">
        <w:rPr>
          <w:rFonts w:ascii="Arial" w:hAnsi="Arial" w:cs="Arial"/>
          <w:color w:val="000000" w:themeColor="text1"/>
          <w:lang w:val="es-ES_tradnl"/>
        </w:rPr>
        <w:t xml:space="preserve">en </w:t>
      </w:r>
      <w:r w:rsidR="00917C28">
        <w:rPr>
          <w:rFonts w:ascii="Arial" w:hAnsi="Arial" w:cs="Arial"/>
          <w:color w:val="000000" w:themeColor="text1"/>
          <w:lang w:val="es-ES_tradnl"/>
        </w:rPr>
        <w:t xml:space="preserve">ejercicio de </w:t>
      </w:r>
      <w:r w:rsidR="00D47394">
        <w:rPr>
          <w:rFonts w:ascii="Arial" w:hAnsi="Arial" w:cs="Arial"/>
          <w:color w:val="000000" w:themeColor="text1"/>
          <w:lang w:val="es-ES_tradnl"/>
        </w:rPr>
        <w:t>su discrecionalidad</w:t>
      </w:r>
      <w:r w:rsidR="00917C28">
        <w:rPr>
          <w:rFonts w:ascii="Arial" w:hAnsi="Arial" w:cs="Arial"/>
          <w:color w:val="000000" w:themeColor="text1"/>
          <w:lang w:val="es-ES_tradnl"/>
        </w:rPr>
        <w:t xml:space="preserve"> administrativa,</w:t>
      </w:r>
      <w:r w:rsidR="00D47394">
        <w:rPr>
          <w:rFonts w:ascii="Arial" w:hAnsi="Arial" w:cs="Arial"/>
          <w:color w:val="000000" w:themeColor="text1"/>
          <w:lang w:val="es-ES_tradnl"/>
        </w:rPr>
        <w:t xml:space="preserve"> </w:t>
      </w:r>
      <w:r w:rsidR="00E859DD">
        <w:rPr>
          <w:rFonts w:ascii="Arial" w:hAnsi="Arial" w:cs="Arial"/>
          <w:color w:val="000000" w:themeColor="text1"/>
          <w:lang w:val="es-ES_tradnl"/>
        </w:rPr>
        <w:t xml:space="preserve">establecer </w:t>
      </w:r>
      <w:r w:rsidR="00417B40">
        <w:rPr>
          <w:rFonts w:ascii="Arial" w:hAnsi="Arial" w:cs="Arial"/>
          <w:color w:val="000000" w:themeColor="text1"/>
          <w:lang w:val="es-ES_tradnl"/>
        </w:rPr>
        <w:t xml:space="preserve">en los pliegos de condiciones </w:t>
      </w:r>
      <w:r w:rsidR="00E859DD">
        <w:rPr>
          <w:rFonts w:ascii="Arial" w:hAnsi="Arial" w:cs="Arial"/>
          <w:color w:val="000000" w:themeColor="text1"/>
          <w:lang w:val="es-ES_tradnl"/>
        </w:rPr>
        <w:t>m</w:t>
      </w:r>
      <w:r w:rsidR="00F449DF">
        <w:rPr>
          <w:rFonts w:ascii="Arial" w:hAnsi="Arial" w:cs="Arial"/>
          <w:color w:val="000000" w:themeColor="text1"/>
          <w:lang w:val="es-ES_tradnl"/>
        </w:rPr>
        <w:t>étodo</w:t>
      </w:r>
      <w:r w:rsidR="00B32CF9">
        <w:rPr>
          <w:rFonts w:ascii="Arial" w:hAnsi="Arial" w:cs="Arial"/>
          <w:color w:val="000000" w:themeColor="text1"/>
          <w:lang w:val="es-ES_tradnl"/>
        </w:rPr>
        <w:t>s</w:t>
      </w:r>
      <w:r w:rsidR="00F449DF">
        <w:rPr>
          <w:rFonts w:ascii="Arial" w:hAnsi="Arial" w:cs="Arial"/>
          <w:color w:val="000000" w:themeColor="text1"/>
          <w:lang w:val="es-ES_tradnl"/>
        </w:rPr>
        <w:t xml:space="preserve"> de</w:t>
      </w:r>
      <w:r w:rsidR="00E859DD">
        <w:rPr>
          <w:rFonts w:ascii="Arial" w:hAnsi="Arial" w:cs="Arial"/>
          <w:color w:val="000000" w:themeColor="text1"/>
          <w:lang w:val="es-ES_tradnl"/>
        </w:rPr>
        <w:t xml:space="preserve"> asignaci</w:t>
      </w:r>
      <w:r w:rsidR="007D2B84">
        <w:rPr>
          <w:rFonts w:ascii="Arial" w:hAnsi="Arial" w:cs="Arial"/>
          <w:color w:val="000000" w:themeColor="text1"/>
          <w:lang w:val="es-ES_tradnl"/>
        </w:rPr>
        <w:t xml:space="preserve">ón de puntaje, sin </w:t>
      </w:r>
      <w:r w:rsidR="008A113B">
        <w:rPr>
          <w:rFonts w:ascii="Arial" w:hAnsi="Arial" w:cs="Arial"/>
          <w:color w:val="000000" w:themeColor="text1"/>
          <w:lang w:val="es-ES_tradnl"/>
        </w:rPr>
        <w:t xml:space="preserve">tener en cuenta </w:t>
      </w:r>
      <w:r w:rsidR="007D2B84">
        <w:rPr>
          <w:rFonts w:ascii="Arial" w:hAnsi="Arial" w:cs="Arial"/>
          <w:color w:val="000000" w:themeColor="text1"/>
          <w:lang w:val="es-ES_tradnl"/>
        </w:rPr>
        <w:t xml:space="preserve">el precio. </w:t>
      </w:r>
    </w:p>
    <w:p w14:paraId="31CD9EBE" w14:textId="475F150F" w:rsidR="00E85C6F" w:rsidRPr="00A14C29" w:rsidRDefault="007D2B84" w:rsidP="002449A8">
      <w:pPr>
        <w:spacing w:before="120" w:after="120" w:line="276" w:lineRule="auto"/>
        <w:ind w:firstLine="708"/>
        <w:jc w:val="both"/>
        <w:rPr>
          <w:rFonts w:ascii="Arial" w:eastAsia="Times New Roman" w:hAnsi="Arial" w:cs="Arial"/>
          <w:lang w:eastAsia="es-ES_tradnl"/>
        </w:rPr>
      </w:pPr>
      <w:r w:rsidRPr="00644A46">
        <w:rPr>
          <w:rFonts w:ascii="Arial" w:hAnsi="Arial" w:cs="Arial"/>
          <w:color w:val="000000" w:themeColor="text1"/>
          <w:lang w:val="es-ES_tradnl"/>
        </w:rPr>
        <w:t>En este sentido, es posible aplicar</w:t>
      </w:r>
      <w:r w:rsidR="00E829A3" w:rsidRPr="00644A46">
        <w:rPr>
          <w:rFonts w:ascii="Arial" w:hAnsi="Arial" w:cs="Arial"/>
          <w:color w:val="000000" w:themeColor="text1"/>
          <w:lang w:val="es-ES_tradnl"/>
        </w:rPr>
        <w:t>,</w:t>
      </w:r>
      <w:r w:rsidRPr="00644A46">
        <w:rPr>
          <w:rFonts w:ascii="Arial" w:hAnsi="Arial" w:cs="Arial"/>
          <w:color w:val="000000" w:themeColor="text1"/>
          <w:lang w:val="es-ES_tradnl"/>
        </w:rPr>
        <w:t xml:space="preserve"> </w:t>
      </w:r>
      <w:r w:rsidR="00F449DF" w:rsidRPr="00644A46">
        <w:rPr>
          <w:rFonts w:ascii="Arial" w:hAnsi="Arial" w:cs="Arial"/>
          <w:color w:val="000000" w:themeColor="text1"/>
          <w:lang w:val="es-ES_tradnl"/>
        </w:rPr>
        <w:t xml:space="preserve">entre otros métodos, el aleatorio, que si bien está regulado para los procesos de licitación pública </w:t>
      </w:r>
      <w:r w:rsidR="00EC64CD" w:rsidRPr="00644A46">
        <w:rPr>
          <w:rFonts w:ascii="Arial" w:hAnsi="Arial" w:cs="Arial"/>
          <w:color w:val="000000" w:themeColor="text1"/>
          <w:lang w:val="es-ES_tradnl"/>
        </w:rPr>
        <w:t>en el inciso 3°, parágrafo 3° del artículo 30 de la Ley 80 de 1993</w:t>
      </w:r>
      <w:r w:rsidR="002449A8" w:rsidRPr="00644A46">
        <w:rPr>
          <w:rFonts w:ascii="Arial" w:hAnsi="Arial" w:cs="Arial"/>
          <w:color w:val="000000" w:themeColor="text1"/>
          <w:lang w:val="es-ES_tradnl"/>
        </w:rPr>
        <w:t xml:space="preserve"> modificado por el artículo 1 de la Ley 1882 de 2018</w:t>
      </w:r>
      <w:r w:rsidR="002449A8" w:rsidRPr="00644A46">
        <w:rPr>
          <w:rStyle w:val="Refdenotaalpie"/>
          <w:rFonts w:ascii="Arial" w:hAnsi="Arial" w:cs="Arial"/>
          <w:color w:val="000000" w:themeColor="text1"/>
          <w:lang w:val="es-ES_tradnl"/>
        </w:rPr>
        <w:footnoteReference w:id="9"/>
      </w:r>
      <w:r w:rsidR="00EC64CD" w:rsidRPr="00644A46">
        <w:rPr>
          <w:rFonts w:ascii="Arial" w:hAnsi="Arial" w:cs="Arial"/>
          <w:color w:val="000000" w:themeColor="text1"/>
          <w:lang w:val="es-ES_tradnl"/>
        </w:rPr>
        <w:t>, eso no sig</w:t>
      </w:r>
      <w:r w:rsidR="002449A8" w:rsidRPr="00644A46">
        <w:rPr>
          <w:rFonts w:ascii="Arial" w:hAnsi="Arial" w:cs="Arial"/>
          <w:color w:val="000000" w:themeColor="text1"/>
          <w:lang w:val="es-ES_tradnl"/>
        </w:rPr>
        <w:t>nifica que no pueda aplicarse a otras modalidades, como el concurso de méritos</w:t>
      </w:r>
      <w:r w:rsidR="00EC64CD" w:rsidRPr="00644A46">
        <w:rPr>
          <w:rFonts w:ascii="Arial" w:hAnsi="Arial" w:cs="Arial"/>
          <w:color w:val="000000" w:themeColor="text1"/>
          <w:lang w:val="es-ES_tradnl"/>
        </w:rPr>
        <w:t>.</w:t>
      </w:r>
      <w:r w:rsidR="00E85C6F" w:rsidRPr="00644A46">
        <w:rPr>
          <w:rFonts w:ascii="Arial" w:eastAsia="Times New Roman" w:hAnsi="Arial" w:cs="Arial"/>
          <w:color w:val="000000" w:themeColor="text1"/>
          <w:lang w:val="es-MX" w:eastAsia="es-ES_tradnl"/>
        </w:rPr>
        <w:t xml:space="preserve"> </w:t>
      </w:r>
      <w:r w:rsidR="002449A8" w:rsidRPr="00644A46">
        <w:rPr>
          <w:rFonts w:ascii="Arial" w:eastAsia="Calibri" w:hAnsi="Arial" w:cs="Arial"/>
          <w:color w:val="000000"/>
          <w:lang w:val="es-ES_tradnl" w:eastAsia="es-ES_tradnl"/>
        </w:rPr>
        <w:t xml:space="preserve">En efecto, </w:t>
      </w:r>
      <w:r w:rsidR="00E85C6F" w:rsidRPr="00644A46">
        <w:rPr>
          <w:rFonts w:ascii="Arial" w:eastAsia="Calibri" w:hAnsi="Arial" w:cs="Arial"/>
          <w:color w:val="000000"/>
          <w:lang w:val="es-ES_tradnl" w:eastAsia="es-ES_tradnl"/>
        </w:rPr>
        <w:t xml:space="preserve">entidades estatales en su discrecionalidad administrativa podrán regular dentro del pliego de condiciones métodos aritméticos, como el aleatorio, pero </w:t>
      </w:r>
      <w:r w:rsidR="00417B40" w:rsidRPr="00644A46">
        <w:rPr>
          <w:rFonts w:ascii="Arial" w:eastAsia="Calibri" w:hAnsi="Arial" w:cs="Arial"/>
          <w:color w:val="000000"/>
          <w:lang w:val="es-ES_tradnl" w:eastAsia="es-ES_tradnl"/>
        </w:rPr>
        <w:t>garantizando que el precio no se constituya en un</w:t>
      </w:r>
      <w:r w:rsidR="00E85C6F" w:rsidRPr="00644A46">
        <w:rPr>
          <w:rFonts w:ascii="Arial" w:eastAsia="Calibri" w:hAnsi="Arial" w:cs="Arial"/>
          <w:color w:val="000000"/>
          <w:lang w:val="es-ES_tradnl" w:eastAsia="es-ES_tradnl"/>
        </w:rPr>
        <w:t xml:space="preserve"> factor de ponderación</w:t>
      </w:r>
      <w:r w:rsidR="00F73942" w:rsidRPr="00644A46">
        <w:rPr>
          <w:rFonts w:ascii="Arial" w:eastAsia="Calibri" w:hAnsi="Arial" w:cs="Arial"/>
          <w:color w:val="000000"/>
          <w:lang w:val="es-ES_tradnl" w:eastAsia="es-ES_tradnl"/>
        </w:rPr>
        <w:t xml:space="preserve"> o de puntuación</w:t>
      </w:r>
      <w:r w:rsidR="008A2823" w:rsidRPr="00644A46">
        <w:rPr>
          <w:rFonts w:ascii="Arial" w:eastAsia="Calibri" w:hAnsi="Arial" w:cs="Arial"/>
          <w:color w:val="000000"/>
          <w:lang w:val="es-ES_tradnl" w:eastAsia="es-ES_tradnl"/>
        </w:rPr>
        <w:t xml:space="preserve"> y asegurando la protección del principio de selección objetiva</w:t>
      </w:r>
      <w:r w:rsidR="00E85C6F" w:rsidRPr="00644A46">
        <w:rPr>
          <w:rFonts w:ascii="Arial" w:eastAsia="Calibri" w:hAnsi="Arial" w:cs="Arial"/>
          <w:color w:val="000000"/>
          <w:lang w:val="es-ES_tradnl" w:eastAsia="es-ES_tradnl"/>
        </w:rPr>
        <w:t xml:space="preserve">. En esta línea, la </w:t>
      </w:r>
      <w:r w:rsidR="008A2823" w:rsidRPr="00644A46">
        <w:rPr>
          <w:rFonts w:ascii="Arial" w:eastAsia="Calibri" w:hAnsi="Arial" w:cs="Arial"/>
          <w:color w:val="000000"/>
          <w:lang w:val="es-ES_tradnl" w:eastAsia="es-ES_tradnl"/>
        </w:rPr>
        <w:t>competencia</w:t>
      </w:r>
      <w:r w:rsidR="00E85C6F" w:rsidRPr="00644A46">
        <w:rPr>
          <w:rFonts w:ascii="Arial" w:eastAsia="Calibri" w:hAnsi="Arial" w:cs="Arial"/>
          <w:color w:val="000000"/>
          <w:lang w:val="es-ES_tradnl" w:eastAsia="es-ES_tradnl"/>
        </w:rPr>
        <w:t xml:space="preserve"> del comité de contratación y</w:t>
      </w:r>
      <w:r w:rsidR="0042358C">
        <w:rPr>
          <w:rFonts w:ascii="Arial" w:eastAsia="Calibri" w:hAnsi="Arial" w:cs="Arial"/>
          <w:color w:val="000000"/>
          <w:lang w:val="es-ES_tradnl" w:eastAsia="es-ES_tradnl"/>
        </w:rPr>
        <w:t>,</w:t>
      </w:r>
      <w:r w:rsidR="00E85C6F" w:rsidRPr="00644A46">
        <w:rPr>
          <w:rFonts w:ascii="Arial" w:eastAsia="Calibri" w:hAnsi="Arial" w:cs="Arial"/>
          <w:color w:val="000000"/>
          <w:lang w:val="es-ES_tradnl" w:eastAsia="es-ES_tradnl"/>
        </w:rPr>
        <w:t xml:space="preserve"> en último término</w:t>
      </w:r>
      <w:r w:rsidR="0042358C">
        <w:rPr>
          <w:rFonts w:ascii="Arial" w:eastAsia="Calibri" w:hAnsi="Arial" w:cs="Arial"/>
          <w:color w:val="000000"/>
          <w:lang w:val="es-ES_tradnl" w:eastAsia="es-ES_tradnl"/>
        </w:rPr>
        <w:t>,</w:t>
      </w:r>
      <w:r w:rsidR="00E85C6F" w:rsidRPr="00644A46">
        <w:rPr>
          <w:rFonts w:ascii="Arial" w:eastAsia="Calibri" w:hAnsi="Arial" w:cs="Arial"/>
          <w:color w:val="000000"/>
          <w:lang w:val="es-ES_tradnl" w:eastAsia="es-ES_tradnl"/>
        </w:rPr>
        <w:t xml:space="preserve"> del ordenador del gasto o el delegado en contratación de cada entidad está condicionada a la proporcionalidad de las </w:t>
      </w:r>
      <w:r w:rsidR="00E85C6F" w:rsidRPr="00644A46">
        <w:rPr>
          <w:rFonts w:ascii="Arial" w:eastAsia="Calibri" w:hAnsi="Arial" w:cs="Arial"/>
          <w:color w:val="000000"/>
          <w:lang w:val="es-ES_tradnl" w:eastAsia="es-ES_tradnl"/>
        </w:rPr>
        <w:lastRenderedPageBreak/>
        <w:t xml:space="preserve">decisiones que </w:t>
      </w:r>
      <w:r w:rsidR="00644A46">
        <w:rPr>
          <w:rFonts w:ascii="Arial" w:eastAsia="Calibri" w:hAnsi="Arial" w:cs="Arial"/>
          <w:color w:val="000000"/>
          <w:lang w:val="es-ES_tradnl" w:eastAsia="es-ES_tradnl"/>
        </w:rPr>
        <w:t xml:space="preserve">se </w:t>
      </w:r>
      <w:r w:rsidR="00E85C6F" w:rsidRPr="00644A46">
        <w:rPr>
          <w:rFonts w:ascii="Arial" w:eastAsia="Calibri" w:hAnsi="Arial" w:cs="Arial"/>
          <w:color w:val="000000"/>
          <w:lang w:val="es-ES_tradnl" w:eastAsia="es-ES_tradnl"/>
        </w:rPr>
        <w:t>toma</w:t>
      </w:r>
      <w:r w:rsidR="00644A46">
        <w:rPr>
          <w:rFonts w:ascii="Arial" w:eastAsia="Calibri" w:hAnsi="Arial" w:cs="Arial"/>
          <w:color w:val="000000"/>
          <w:lang w:val="es-ES_tradnl" w:eastAsia="es-ES_tradnl"/>
        </w:rPr>
        <w:t>n</w:t>
      </w:r>
      <w:r w:rsidR="00F73942" w:rsidRPr="00644A46">
        <w:rPr>
          <w:rFonts w:ascii="Arial" w:eastAsia="Calibri" w:hAnsi="Arial" w:cs="Arial"/>
          <w:color w:val="000000"/>
          <w:lang w:val="es-ES_tradnl" w:eastAsia="es-ES_tradnl"/>
        </w:rPr>
        <w:t xml:space="preserve"> dentro de los pliegos de condiciones</w:t>
      </w:r>
      <w:r w:rsidR="00E85C6F" w:rsidRPr="00644A46">
        <w:rPr>
          <w:rFonts w:ascii="Arial" w:eastAsia="Calibri" w:hAnsi="Arial" w:cs="Arial"/>
          <w:color w:val="000000"/>
          <w:lang w:val="es-ES_tradnl" w:eastAsia="es-ES_tradnl"/>
        </w:rPr>
        <w:t xml:space="preserve"> en aras de garantizar la pluralidad de oferentes y la selección objetiva</w:t>
      </w:r>
      <w:r w:rsidR="00E85C6F" w:rsidRPr="00A14C29">
        <w:rPr>
          <w:rFonts w:ascii="Arial" w:eastAsia="Times New Roman" w:hAnsi="Arial" w:cs="Arial"/>
          <w:vertAlign w:val="superscript"/>
          <w:lang w:eastAsia="es-ES_tradnl"/>
        </w:rPr>
        <w:footnoteReference w:id="10"/>
      </w:r>
      <w:r w:rsidR="00417B40" w:rsidRPr="00A14C29">
        <w:rPr>
          <w:rFonts w:ascii="Arial" w:eastAsia="Times New Roman" w:hAnsi="Arial" w:cs="Arial"/>
          <w:lang w:eastAsia="es-ES_tradnl"/>
        </w:rPr>
        <w:t xml:space="preserve">, como puede ocurrir con la regulación del método aleatorio. </w:t>
      </w:r>
    </w:p>
    <w:p w14:paraId="49814CA8" w14:textId="3FEE1A8A" w:rsidR="007D2B84" w:rsidRPr="00E85C6F" w:rsidRDefault="00417B40" w:rsidP="00F73942">
      <w:pPr>
        <w:spacing w:after="120" w:line="276" w:lineRule="auto"/>
        <w:ind w:firstLine="708"/>
        <w:jc w:val="both"/>
        <w:rPr>
          <w:rFonts w:ascii="Arial" w:hAnsi="Arial" w:cs="Arial"/>
          <w:color w:val="000000" w:themeColor="text1"/>
          <w:lang w:val="es-ES"/>
        </w:rPr>
      </w:pPr>
      <w:r>
        <w:rPr>
          <w:rFonts w:ascii="Arial" w:hAnsi="Arial" w:cs="Arial"/>
          <w:color w:val="000000" w:themeColor="text1"/>
          <w:lang w:val="es-ES"/>
        </w:rPr>
        <w:t xml:space="preserve">Esté método se trata de un mecanismo que busca garantizar la transparencia y selección objetiva en los procesos de contratación pública, procurando evitar requisitos o factores </w:t>
      </w:r>
      <w:r w:rsidR="002449A8">
        <w:rPr>
          <w:rFonts w:ascii="Arial" w:hAnsi="Arial" w:cs="Arial"/>
          <w:color w:val="000000" w:themeColor="text1"/>
          <w:lang w:val="es-ES"/>
        </w:rPr>
        <w:t>de evaluación de carácter subjetivo.</w:t>
      </w:r>
      <w:r w:rsidR="00F73942">
        <w:rPr>
          <w:rFonts w:ascii="Arial" w:hAnsi="Arial" w:cs="Arial"/>
          <w:color w:val="000000" w:themeColor="text1"/>
          <w:lang w:val="es-ES"/>
        </w:rPr>
        <w:t xml:space="preserve"> Al respecto, la doctrina expresa: </w:t>
      </w:r>
      <w:r w:rsidR="00F73942" w:rsidRPr="00382303">
        <w:rPr>
          <w:rFonts w:ascii="Arial" w:hAnsi="Arial" w:cs="Arial"/>
        </w:rPr>
        <w:t>«</w:t>
      </w:r>
      <w:r w:rsidR="00F73942">
        <w:rPr>
          <w:rFonts w:ascii="Arial" w:hAnsi="Arial" w:cs="Arial"/>
          <w:color w:val="000000" w:themeColor="text1"/>
          <w:lang w:val="es-ES"/>
        </w:rPr>
        <w:t>Sin duda se trata de una mecánica que se fundamenta en la transparencia y que tiene un gran componente aleatorio, por lo que no faltaran las voces que la consideren muy conveniente</w:t>
      </w:r>
      <w:r w:rsidR="00D44302" w:rsidRPr="00382303">
        <w:rPr>
          <w:rFonts w:ascii="Arial" w:hAnsi="Arial" w:cs="Arial"/>
          <w:i/>
          <w:iCs/>
        </w:rPr>
        <w:t>»</w:t>
      </w:r>
      <w:r w:rsidR="00D44302" w:rsidRPr="00A14C29">
        <w:rPr>
          <w:rStyle w:val="Refdenotaalpie"/>
          <w:rFonts w:ascii="Arial" w:hAnsi="Arial" w:cs="Arial"/>
        </w:rPr>
        <w:footnoteReference w:id="11"/>
      </w:r>
      <w:r w:rsidR="00F73942">
        <w:rPr>
          <w:rFonts w:ascii="Arial" w:hAnsi="Arial" w:cs="Arial"/>
          <w:color w:val="000000" w:themeColor="text1"/>
          <w:lang w:val="es-ES"/>
        </w:rPr>
        <w:t xml:space="preserve">. </w:t>
      </w:r>
      <w:r w:rsidR="002449A8">
        <w:rPr>
          <w:rFonts w:ascii="Arial" w:hAnsi="Arial" w:cs="Arial"/>
          <w:color w:val="000000" w:themeColor="text1"/>
          <w:lang w:val="es-ES"/>
        </w:rPr>
        <w:t xml:space="preserve">En esta línea, </w:t>
      </w:r>
      <w:r w:rsidR="00D44302">
        <w:rPr>
          <w:rFonts w:ascii="Arial" w:hAnsi="Arial" w:cs="Arial"/>
          <w:color w:val="000000" w:themeColor="text1"/>
          <w:lang w:val="es-ES"/>
        </w:rPr>
        <w:t xml:space="preserve">la Agencia Nacional de Contratación Pública </w:t>
      </w:r>
      <w:r w:rsidR="00644A46">
        <w:rPr>
          <w:rFonts w:ascii="Arial" w:hAnsi="Arial" w:cs="Arial"/>
          <w:color w:val="000000" w:themeColor="text1"/>
          <w:lang w:val="es-ES"/>
        </w:rPr>
        <w:t xml:space="preserve">– </w:t>
      </w:r>
      <w:r w:rsidR="002449A8">
        <w:rPr>
          <w:rFonts w:ascii="Arial" w:hAnsi="Arial" w:cs="Arial"/>
          <w:color w:val="000000" w:themeColor="text1"/>
          <w:lang w:val="es-ES"/>
        </w:rPr>
        <w:t>Colombia Compra Eficiente</w:t>
      </w:r>
      <w:r w:rsidR="00644A46">
        <w:rPr>
          <w:rFonts w:ascii="Arial" w:hAnsi="Arial" w:cs="Arial"/>
          <w:color w:val="000000" w:themeColor="text1"/>
          <w:lang w:val="es-ES"/>
        </w:rPr>
        <w:t>,</w:t>
      </w:r>
      <w:r w:rsidR="002449A8">
        <w:rPr>
          <w:rFonts w:ascii="Arial" w:hAnsi="Arial" w:cs="Arial"/>
          <w:color w:val="000000" w:themeColor="text1"/>
          <w:lang w:val="es-ES"/>
        </w:rPr>
        <w:t xml:space="preserve"> en los diferentes documentos tipo de interventoría y consultoría, cuyo proceso de selección sea el concurso de m</w:t>
      </w:r>
      <w:r w:rsidR="00857734">
        <w:rPr>
          <w:rFonts w:ascii="Arial" w:hAnsi="Arial" w:cs="Arial"/>
          <w:color w:val="000000" w:themeColor="text1"/>
          <w:lang w:val="es-ES"/>
        </w:rPr>
        <w:t>éritos</w:t>
      </w:r>
      <w:r w:rsidR="00644A46">
        <w:rPr>
          <w:rFonts w:ascii="Arial" w:hAnsi="Arial" w:cs="Arial"/>
          <w:color w:val="000000" w:themeColor="text1"/>
          <w:lang w:val="es-ES"/>
        </w:rPr>
        <w:t>,</w:t>
      </w:r>
      <w:r w:rsidR="00857734">
        <w:rPr>
          <w:rFonts w:ascii="Arial" w:hAnsi="Arial" w:cs="Arial"/>
          <w:color w:val="000000" w:themeColor="text1"/>
          <w:lang w:val="es-ES"/>
        </w:rPr>
        <w:t xml:space="preserve"> aplica el método aleatorio. A modo de ejemplo, se presenta los documentos tipo de interventoría de agua potable y saneamiento básico que se adoptó mediante la Resolución 333 del 27 de julio de 2022, cuyo documento base</w:t>
      </w:r>
      <w:r w:rsidR="00644A46">
        <w:rPr>
          <w:rFonts w:ascii="Arial" w:hAnsi="Arial" w:cs="Arial"/>
          <w:color w:val="000000" w:themeColor="text1"/>
          <w:lang w:val="es-ES"/>
        </w:rPr>
        <w:t>,</w:t>
      </w:r>
      <w:r w:rsidR="00857734">
        <w:rPr>
          <w:rFonts w:ascii="Arial" w:hAnsi="Arial" w:cs="Arial"/>
          <w:color w:val="000000" w:themeColor="text1"/>
          <w:lang w:val="es-ES"/>
        </w:rPr>
        <w:t xml:space="preserve"> en su numeral 4.1.</w:t>
      </w:r>
      <w:r w:rsidR="00644A46">
        <w:rPr>
          <w:rFonts w:ascii="Arial" w:hAnsi="Arial" w:cs="Arial"/>
          <w:color w:val="000000" w:themeColor="text1"/>
          <w:lang w:val="es-ES"/>
        </w:rPr>
        <w:t>,</w:t>
      </w:r>
      <w:r w:rsidR="00857734">
        <w:rPr>
          <w:rFonts w:ascii="Arial" w:hAnsi="Arial" w:cs="Arial"/>
          <w:color w:val="000000" w:themeColor="text1"/>
          <w:lang w:val="es-ES"/>
        </w:rPr>
        <w:t xml:space="preserve"> dispone en los literales A y B: </w:t>
      </w:r>
    </w:p>
    <w:p w14:paraId="380661ED" w14:textId="77777777" w:rsidR="00734D2D" w:rsidRPr="00734D2D" w:rsidRDefault="00734D2D" w:rsidP="00734D2D">
      <w:pPr>
        <w:spacing w:after="0" w:line="240" w:lineRule="auto"/>
        <w:ind w:left="709" w:right="709"/>
        <w:rPr>
          <w:rFonts w:ascii="Arial" w:eastAsia="Arial" w:hAnsi="Arial" w:cs="Arial"/>
          <w:sz w:val="21"/>
          <w:szCs w:val="21"/>
          <w:lang w:eastAsia="es-ES"/>
        </w:rPr>
      </w:pPr>
    </w:p>
    <w:p w14:paraId="67E7A2F4" w14:textId="01DBBD65" w:rsidR="00734D2D" w:rsidRPr="00734D2D" w:rsidRDefault="00734D2D" w:rsidP="00734D2D">
      <w:pPr>
        <w:spacing w:after="0" w:line="240" w:lineRule="auto"/>
        <w:ind w:left="709" w:right="709"/>
        <w:contextualSpacing/>
        <w:jc w:val="both"/>
        <w:rPr>
          <w:rFonts w:eastAsiaTheme="minorEastAsia"/>
          <w:sz w:val="21"/>
          <w:szCs w:val="21"/>
          <w:lang w:eastAsia="es-ES"/>
        </w:rPr>
      </w:pPr>
      <w:r w:rsidRPr="00734D2D">
        <w:rPr>
          <w:rFonts w:ascii="Arial" w:eastAsia="Arial" w:hAnsi="Arial" w:cs="Arial"/>
          <w:sz w:val="21"/>
          <w:szCs w:val="21"/>
          <w:lang w:eastAsia="es-ES"/>
        </w:rPr>
        <w:t xml:space="preserve">A. El Proponente cumplirá con la exigencia mínima de experiencia prevista en el numeral 3.8.1. del Pliego de Condiciones. De acuerdo con lo anterior, si el Proponente debió subsanar el cumplimiento de la experiencia mínima, para la asignación de puntaje no se tendrán en cuenta los contratos que hayan sido objeto de subsanación, </w:t>
      </w:r>
      <w:r w:rsidRPr="00734D2D">
        <w:rPr>
          <w:rFonts w:ascii="Arial" w:eastAsia="Arial" w:hAnsi="Arial" w:cs="Arial"/>
          <w:sz w:val="21"/>
          <w:szCs w:val="21"/>
          <w:lang w:eastAsia="es-ES"/>
        </w:rPr>
        <w:lastRenderedPageBreak/>
        <w:t>ni para definir el promedio de los contratos válidos aportados que se refiere el literal B) de este numeral.</w:t>
      </w:r>
    </w:p>
    <w:p w14:paraId="3C634D06" w14:textId="77777777" w:rsidR="00734D2D" w:rsidRPr="00734D2D" w:rsidRDefault="00734D2D" w:rsidP="00734D2D">
      <w:pPr>
        <w:spacing w:after="0" w:line="240" w:lineRule="auto"/>
        <w:ind w:left="709" w:right="709"/>
        <w:contextualSpacing/>
        <w:jc w:val="both"/>
        <w:rPr>
          <w:rFonts w:ascii="Times New Roman" w:eastAsia="Times New Roman" w:hAnsi="Times New Roman" w:cs="Times New Roman"/>
          <w:sz w:val="21"/>
          <w:szCs w:val="21"/>
          <w:lang w:eastAsia="es-CO"/>
        </w:rPr>
      </w:pPr>
    </w:p>
    <w:p w14:paraId="488EA59D" w14:textId="77777777" w:rsidR="00734D2D" w:rsidRPr="00734D2D" w:rsidRDefault="00734D2D" w:rsidP="00734D2D">
      <w:pPr>
        <w:spacing w:after="0" w:line="240" w:lineRule="auto"/>
        <w:ind w:left="709" w:right="709"/>
        <w:contextualSpacing/>
        <w:jc w:val="both"/>
        <w:rPr>
          <w:rFonts w:ascii="Times New Roman" w:eastAsia="Times New Roman" w:hAnsi="Times New Roman" w:cs="Times New Roman"/>
          <w:sz w:val="21"/>
          <w:szCs w:val="21"/>
          <w:lang w:eastAsia="es-CO"/>
        </w:rPr>
      </w:pPr>
      <w:r w:rsidRPr="00734D2D">
        <w:rPr>
          <w:rFonts w:ascii="Arial" w:eastAsia="Arial" w:hAnsi="Arial" w:cs="Arial"/>
          <w:sz w:val="21"/>
          <w:szCs w:val="21"/>
          <w:lang w:eastAsia="es-CO"/>
        </w:rPr>
        <w:t>Cuando un Proponente haya subsanado la totalidad de los contratos aportados, su oferta no será tenida en cuenta para aplicar las fórmulas para la ponderación de la Experiencia del Proponente, por lo que, además, por este criterio de asignación de puntaje obtendrá cero (0) puntos.</w:t>
      </w:r>
    </w:p>
    <w:p w14:paraId="237447FC" w14:textId="77777777" w:rsidR="00734D2D" w:rsidRPr="00734D2D" w:rsidRDefault="00734D2D" w:rsidP="00734D2D">
      <w:pPr>
        <w:spacing w:after="0" w:line="240" w:lineRule="auto"/>
        <w:ind w:left="709" w:right="709"/>
        <w:contextualSpacing/>
        <w:jc w:val="both"/>
        <w:rPr>
          <w:rFonts w:ascii="Arial" w:eastAsia="Arial" w:hAnsi="Arial" w:cs="Arial"/>
          <w:sz w:val="21"/>
          <w:szCs w:val="21"/>
          <w:lang w:eastAsia="es-ES"/>
        </w:rPr>
      </w:pPr>
    </w:p>
    <w:p w14:paraId="3EFA611E" w14:textId="1168AA71" w:rsidR="00734D2D" w:rsidRPr="00734D2D" w:rsidRDefault="00734D2D" w:rsidP="00734D2D">
      <w:pPr>
        <w:spacing w:after="0" w:line="240" w:lineRule="auto"/>
        <w:ind w:left="709" w:right="709"/>
        <w:contextualSpacing/>
        <w:jc w:val="both"/>
        <w:rPr>
          <w:rFonts w:ascii="Times New Roman" w:eastAsiaTheme="minorEastAsia" w:hAnsi="Times New Roman" w:cs="Times New Roman"/>
          <w:sz w:val="21"/>
          <w:szCs w:val="21"/>
          <w:lang w:val="es-MX" w:eastAsia="es-CO"/>
        </w:rPr>
      </w:pPr>
      <w:r w:rsidRPr="00734D2D">
        <w:rPr>
          <w:rFonts w:ascii="Arial" w:eastAsia="Times New Roman" w:hAnsi="Arial" w:cs="Arial"/>
          <w:sz w:val="21"/>
          <w:szCs w:val="21"/>
          <w:lang w:val="es-MX" w:eastAsia="es-CO"/>
        </w:rPr>
        <w:t xml:space="preserve">B. Para la asignación de puntaje, se tomará el promedio de los contratos válidos aportados de cada propuesta hábil expresados en SMMLV registrados en el RUP o en alguno de los documentos válidos señalados en el numeral 10.1.5, que acredite su experiencia relacionada en el RUP, y que en total hayan cumplido con lo mencionado en el literal A de esta sección. Dicho promedio será el valor que lo hará participar para la asignación de puntaje, según se detalla en esta sección. </w:t>
      </w:r>
    </w:p>
    <w:p w14:paraId="7A0C3241" w14:textId="4E2DAECC" w:rsidR="00734D2D" w:rsidRDefault="00734D2D" w:rsidP="00734D2D">
      <w:pPr>
        <w:spacing w:after="120" w:line="276" w:lineRule="auto"/>
        <w:jc w:val="both"/>
        <w:rPr>
          <w:rFonts w:ascii="Arial" w:hAnsi="Arial" w:cs="Arial"/>
          <w:color w:val="000000" w:themeColor="text1"/>
          <w:lang w:val="es-ES_tradnl"/>
        </w:rPr>
      </w:pPr>
    </w:p>
    <w:p w14:paraId="3D4778A7" w14:textId="6F3C4FBB" w:rsidR="00857734" w:rsidRPr="00857734" w:rsidRDefault="00857734" w:rsidP="00AC4911">
      <w:pPr>
        <w:spacing w:after="0" w:line="276" w:lineRule="auto"/>
        <w:ind w:firstLine="708"/>
        <w:jc w:val="both"/>
        <w:rPr>
          <w:rFonts w:ascii="Arial" w:eastAsia="Times New Roman" w:hAnsi="Arial" w:cs="Arial"/>
          <w:color w:val="000000" w:themeColor="text1"/>
          <w:lang w:val="es-MX" w:eastAsia="es-ES_tradnl"/>
        </w:rPr>
      </w:pPr>
      <w:r w:rsidRPr="00857734">
        <w:rPr>
          <w:rFonts w:ascii="Arial" w:eastAsia="Times New Roman" w:hAnsi="Arial" w:cs="Arial"/>
          <w:color w:val="000000" w:themeColor="text1"/>
          <w:lang w:val="es-MX" w:eastAsia="es-ES_tradnl"/>
        </w:rPr>
        <w:t>Para determinar el puntaje que corresponde al proponente por este factor de evaluación, el referido valor promedio de los contratos aportados para acreditar la experiencia, conforme indican los literales C y D del numeral 4.1., debe ser objeto de ponderación de acuerdo con alguno de los métodos de ponderación señalados en el Documento Base, cuya escogencia debe hacerse de manera aleatoria, a partir de la Tasa Representativa del Mercado–TRM–. Al respecto los literales C y D</w:t>
      </w:r>
      <w:r w:rsidR="00734D2D">
        <w:rPr>
          <w:rFonts w:ascii="Arial" w:eastAsia="Times New Roman" w:hAnsi="Arial" w:cs="Arial"/>
          <w:color w:val="000000" w:themeColor="text1"/>
          <w:lang w:val="es-MX" w:eastAsia="es-ES_tradnl"/>
        </w:rPr>
        <w:t xml:space="preserve"> del numeral 4.1 disponen</w:t>
      </w:r>
      <w:r w:rsidRPr="00857734">
        <w:rPr>
          <w:rFonts w:ascii="Arial" w:eastAsia="Times New Roman" w:hAnsi="Arial" w:cs="Arial"/>
          <w:color w:val="000000" w:themeColor="text1"/>
          <w:lang w:val="es-MX" w:eastAsia="es-ES_tradnl"/>
        </w:rPr>
        <w:t>:</w:t>
      </w:r>
    </w:p>
    <w:p w14:paraId="0F77014C" w14:textId="77777777" w:rsidR="00734D2D" w:rsidRPr="00734D2D" w:rsidRDefault="00734D2D" w:rsidP="00734D2D">
      <w:pPr>
        <w:spacing w:after="0" w:line="240" w:lineRule="auto"/>
        <w:ind w:left="1080"/>
        <w:contextualSpacing/>
        <w:jc w:val="both"/>
        <w:rPr>
          <w:rFonts w:ascii="Arial" w:eastAsia="Arial" w:hAnsi="Arial" w:cs="Arial"/>
          <w:sz w:val="20"/>
          <w:szCs w:val="20"/>
          <w:lang w:eastAsia="es-ES"/>
        </w:rPr>
      </w:pPr>
    </w:p>
    <w:p w14:paraId="63797D99" w14:textId="1CBFE758" w:rsidR="00734D2D" w:rsidRPr="00AC4911" w:rsidRDefault="00AC4911" w:rsidP="00AC4911">
      <w:pPr>
        <w:spacing w:after="0" w:line="240" w:lineRule="auto"/>
        <w:ind w:left="709" w:right="709"/>
        <w:jc w:val="both"/>
        <w:rPr>
          <w:rFonts w:ascii="Arial" w:eastAsia="Arial" w:hAnsi="Arial" w:cs="Arial"/>
          <w:sz w:val="21"/>
          <w:szCs w:val="21"/>
          <w:lang w:eastAsia="es-ES"/>
        </w:rPr>
      </w:pPr>
      <w:r w:rsidRPr="00AC4911">
        <w:rPr>
          <w:rFonts w:ascii="Arial" w:eastAsia="Arial" w:hAnsi="Arial" w:cs="Arial"/>
          <w:sz w:val="21"/>
          <w:szCs w:val="21"/>
          <w:lang w:eastAsia="es-ES"/>
        </w:rPr>
        <w:t xml:space="preserve">C. </w:t>
      </w:r>
      <w:r w:rsidR="00734D2D" w:rsidRPr="00AC4911">
        <w:rPr>
          <w:rFonts w:ascii="Arial" w:eastAsia="Arial" w:hAnsi="Arial" w:cs="Arial"/>
          <w:sz w:val="21"/>
          <w:szCs w:val="21"/>
          <w:lang w:eastAsia="es-ES"/>
        </w:rPr>
        <w:t xml:space="preserve">Posteriormente, se seleccionará un método aleatorio en función de la Tasa Representativa del Mercado (TRM) certificada por la Superintendencia Financiera de Colombia </w:t>
      </w:r>
      <w:r w:rsidR="00734D2D" w:rsidRPr="00AC4911">
        <w:rPr>
          <w:rFonts w:ascii="Arial" w:eastAsia="Arial" w:hAnsi="Arial" w:cs="Arial"/>
          <w:sz w:val="21"/>
          <w:szCs w:val="21"/>
          <w:highlight w:val="lightGray"/>
          <w:lang w:eastAsia="es-ES"/>
        </w:rPr>
        <w:t xml:space="preserve">[en su sitio web: </w:t>
      </w:r>
      <w:hyperlink r:id="rId13">
        <w:r w:rsidR="00734D2D" w:rsidRPr="00AC4911">
          <w:rPr>
            <w:rFonts w:ascii="Arial" w:eastAsia="Arial" w:hAnsi="Arial" w:cs="Times New Roman"/>
            <w:sz w:val="21"/>
            <w:szCs w:val="21"/>
            <w:highlight w:val="lightGray"/>
            <w:lang w:eastAsia="es-ES"/>
          </w:rPr>
          <w:t>https://www.superfinanciera.gov.co/publicacion/60819</w:t>
        </w:r>
      </w:hyperlink>
      <w:r w:rsidR="00734D2D" w:rsidRPr="00AC4911">
        <w:rPr>
          <w:rFonts w:ascii="Arial" w:eastAsia="Arial" w:hAnsi="Arial" w:cs="Arial"/>
          <w:sz w:val="21"/>
          <w:szCs w:val="21"/>
          <w:highlight w:val="lightGray"/>
          <w:lang w:eastAsia="es-ES"/>
        </w:rPr>
        <w:t>]</w:t>
      </w:r>
      <w:r w:rsidR="00734D2D" w:rsidRPr="00AC4911">
        <w:rPr>
          <w:rFonts w:ascii="Arial" w:eastAsia="Arial" w:hAnsi="Arial" w:cs="Arial"/>
          <w:sz w:val="21"/>
          <w:szCs w:val="21"/>
          <w:lang w:eastAsia="es-ES"/>
        </w:rPr>
        <w:t>.</w:t>
      </w:r>
    </w:p>
    <w:p w14:paraId="46D4513D" w14:textId="77777777" w:rsidR="00734D2D" w:rsidRPr="00734D2D" w:rsidRDefault="00734D2D" w:rsidP="00AC4911">
      <w:pPr>
        <w:spacing w:after="0" w:line="240" w:lineRule="auto"/>
        <w:ind w:left="709" w:right="709"/>
        <w:contextualSpacing/>
        <w:jc w:val="both"/>
        <w:rPr>
          <w:rFonts w:ascii="Arial" w:eastAsia="Arial" w:hAnsi="Arial" w:cs="Arial"/>
          <w:sz w:val="21"/>
          <w:szCs w:val="21"/>
          <w:lang w:eastAsia="es-ES"/>
        </w:rPr>
      </w:pPr>
    </w:p>
    <w:p w14:paraId="5A3D7843" w14:textId="77777777" w:rsidR="00734D2D" w:rsidRPr="00734D2D" w:rsidRDefault="00734D2D" w:rsidP="00AC4911">
      <w:pPr>
        <w:spacing w:after="0" w:line="240" w:lineRule="auto"/>
        <w:ind w:left="709" w:right="709"/>
        <w:contextualSpacing/>
        <w:jc w:val="both"/>
        <w:rPr>
          <w:rFonts w:ascii="Arial" w:eastAsia="Arial" w:hAnsi="Arial" w:cs="Arial"/>
          <w:sz w:val="21"/>
          <w:szCs w:val="21"/>
          <w:lang w:eastAsia="es-ES"/>
        </w:rPr>
      </w:pPr>
      <w:r w:rsidRPr="00734D2D">
        <w:rPr>
          <w:rFonts w:ascii="Arial" w:eastAsia="Arial" w:hAnsi="Arial" w:cs="Arial"/>
          <w:sz w:val="21"/>
          <w:szCs w:val="21"/>
          <w:lang w:eastAsia="es-ES"/>
        </w:rPr>
        <w:t xml:space="preserve">La TRM que la Entidad utilizará para determinar el método de ponderación será la que rija el </w:t>
      </w:r>
      <w:r w:rsidRPr="00734D2D">
        <w:rPr>
          <w:rFonts w:ascii="Arial" w:eastAsia="Arial" w:hAnsi="Arial" w:cs="Arial"/>
          <w:i/>
          <w:iCs/>
          <w:sz w:val="21"/>
          <w:szCs w:val="21"/>
          <w:lang w:eastAsia="es-ES"/>
        </w:rPr>
        <w:t>segundo día hábil después del cierre del proceso</w:t>
      </w:r>
      <w:r w:rsidRPr="00734D2D">
        <w:rPr>
          <w:rFonts w:ascii="Arial" w:eastAsia="Arial" w:hAnsi="Arial" w:cs="Arial"/>
          <w:sz w:val="21"/>
          <w:szCs w:val="21"/>
          <w:lang w:eastAsia="es-CO"/>
        </w:rPr>
        <w:t>.</w:t>
      </w:r>
      <w:r w:rsidRPr="00734D2D">
        <w:rPr>
          <w:rFonts w:ascii="Arial" w:eastAsia="Arial" w:hAnsi="Arial" w:cs="Arial"/>
          <w:sz w:val="21"/>
          <w:szCs w:val="21"/>
          <w:lang w:eastAsia="es-ES"/>
        </w:rPr>
        <w:t xml:space="preserve"> Esto es, la que la Superintendencia publique en horas de la tarde del día hábil siguiente a la fecha efectiva del cierre del Proceso de Contratación. </w:t>
      </w:r>
      <w:r w:rsidRPr="00734D2D">
        <w:rPr>
          <w:rFonts w:ascii="Arial" w:eastAsia="Arial" w:hAnsi="Arial" w:cs="Arial"/>
          <w:sz w:val="21"/>
          <w:szCs w:val="21"/>
          <w:highlight w:val="lightGray"/>
          <w:lang w:eastAsia="es-ES"/>
        </w:rPr>
        <w:t>[Por ejemplo, si el cierre del Proceso de Contratación se realiza el 10 de febrero, la TRM que se usará para determinar el método de evaluación será la del 12 de febrero, que se publica en la tarde del 11 de febrero.]</w:t>
      </w:r>
      <w:r w:rsidRPr="00734D2D">
        <w:rPr>
          <w:rFonts w:ascii="Arial" w:eastAsia="Arial" w:hAnsi="Arial" w:cs="Arial"/>
          <w:sz w:val="21"/>
          <w:szCs w:val="21"/>
          <w:lang w:eastAsia="es-ES"/>
        </w:rPr>
        <w:t xml:space="preserve"> </w:t>
      </w:r>
    </w:p>
    <w:p w14:paraId="033B79C9" w14:textId="77777777" w:rsidR="00734D2D" w:rsidRPr="00734D2D" w:rsidRDefault="00734D2D" w:rsidP="00AC4911">
      <w:pPr>
        <w:spacing w:after="0" w:line="240" w:lineRule="auto"/>
        <w:ind w:left="709" w:right="709"/>
        <w:contextualSpacing/>
        <w:jc w:val="both"/>
        <w:rPr>
          <w:rFonts w:ascii="Arial" w:eastAsia="Arial" w:hAnsi="Arial" w:cs="Arial"/>
          <w:sz w:val="21"/>
          <w:szCs w:val="21"/>
          <w:lang w:eastAsia="es-ES"/>
        </w:rPr>
      </w:pPr>
    </w:p>
    <w:p w14:paraId="1BBBC686" w14:textId="77777777" w:rsidR="00734D2D" w:rsidRPr="00734D2D" w:rsidRDefault="00734D2D" w:rsidP="00AC4911">
      <w:pPr>
        <w:spacing w:after="0" w:line="240" w:lineRule="auto"/>
        <w:ind w:left="709" w:right="709"/>
        <w:contextualSpacing/>
        <w:jc w:val="both"/>
        <w:rPr>
          <w:rFonts w:ascii="Arial" w:eastAsia="Arial" w:hAnsi="Arial" w:cs="Arial"/>
          <w:sz w:val="21"/>
          <w:szCs w:val="21"/>
          <w:lang w:eastAsia="es-ES"/>
        </w:rPr>
      </w:pPr>
      <w:r w:rsidRPr="00734D2D">
        <w:rPr>
          <w:rFonts w:ascii="Arial" w:eastAsia="Arial" w:hAnsi="Arial" w:cs="Arial"/>
          <w:sz w:val="21"/>
          <w:szCs w:val="21"/>
          <w:lang w:eastAsia="es-ES"/>
        </w:rPr>
        <w:t>El método de ponderación se determinará de acuerdo con los rangos del siguiente cuadro, en función de la parte decimal -centavos- de la TRM:</w:t>
      </w:r>
    </w:p>
    <w:p w14:paraId="0DBBC67F" w14:textId="77777777" w:rsidR="00734D2D" w:rsidRPr="00734D2D" w:rsidRDefault="00734D2D" w:rsidP="00AC4911">
      <w:pPr>
        <w:spacing w:after="0" w:line="240" w:lineRule="auto"/>
        <w:ind w:left="709"/>
        <w:contextualSpacing/>
        <w:jc w:val="both"/>
        <w:rPr>
          <w:rFonts w:ascii="Arial" w:eastAsia="Arial" w:hAnsi="Arial" w:cs="Arial"/>
          <w:sz w:val="20"/>
          <w:szCs w:val="20"/>
          <w:lang w:eastAsia="es-ES"/>
        </w:rPr>
      </w:pPr>
      <w:r w:rsidRPr="00734D2D">
        <w:rPr>
          <w:rFonts w:ascii="Arial" w:eastAsia="Arial" w:hAnsi="Arial" w:cs="Arial"/>
          <w:sz w:val="20"/>
          <w:szCs w:val="20"/>
          <w:lang w:eastAsia="es-ES"/>
        </w:rPr>
        <w:t xml:space="preserve"> </w:t>
      </w:r>
    </w:p>
    <w:tbl>
      <w:tblPr>
        <w:tblW w:w="0" w:type="auto"/>
        <w:jc w:val="center"/>
        <w:tblLayout w:type="fixed"/>
        <w:tblLook w:val="00A0" w:firstRow="1" w:lastRow="0" w:firstColumn="1" w:lastColumn="0" w:noHBand="0" w:noVBand="0"/>
      </w:tblPr>
      <w:tblGrid>
        <w:gridCol w:w="1620"/>
        <w:gridCol w:w="1110"/>
        <w:gridCol w:w="3270"/>
      </w:tblGrid>
      <w:tr w:rsidR="00734D2D" w:rsidRPr="00734D2D" w14:paraId="0F5F71CA" w14:textId="77777777" w:rsidTr="00727A48">
        <w:trPr>
          <w:trHeight w:val="15"/>
          <w:jc w:val="center"/>
        </w:trPr>
        <w:tc>
          <w:tcPr>
            <w:tcW w:w="1620" w:type="dxa"/>
            <w:tcBorders>
              <w:top w:val="double" w:sz="4" w:space="0" w:color="auto"/>
              <w:left w:val="double" w:sz="4" w:space="0" w:color="auto"/>
              <w:bottom w:val="single" w:sz="8" w:space="0" w:color="auto"/>
              <w:right w:val="single" w:sz="8" w:space="0" w:color="auto"/>
            </w:tcBorders>
            <w:shd w:val="clear" w:color="auto" w:fill="262626" w:themeFill="text1" w:themeFillTint="D9"/>
            <w:vAlign w:val="center"/>
          </w:tcPr>
          <w:p w14:paraId="77BAA903" w14:textId="77777777" w:rsidR="00734D2D" w:rsidRPr="00734D2D" w:rsidRDefault="00734D2D" w:rsidP="00AC4911">
            <w:pPr>
              <w:spacing w:after="0" w:line="240" w:lineRule="auto"/>
              <w:ind w:left="709"/>
              <w:jc w:val="center"/>
              <w:rPr>
                <w:rFonts w:ascii="Arial" w:eastAsia="Arial" w:hAnsi="Arial" w:cs="Arial"/>
                <w:b/>
                <w:bCs/>
                <w:sz w:val="20"/>
                <w:szCs w:val="20"/>
                <w:lang w:val="es" w:eastAsia="es-CO"/>
              </w:rPr>
            </w:pPr>
            <w:r w:rsidRPr="00734D2D">
              <w:rPr>
                <w:rFonts w:ascii="Arial" w:eastAsia="Arial" w:hAnsi="Arial" w:cs="Arial"/>
                <w:b/>
                <w:bCs/>
                <w:sz w:val="20"/>
                <w:szCs w:val="20"/>
                <w:lang w:val="es" w:eastAsia="es-CO"/>
              </w:rPr>
              <w:t>Rango (inclusive)</w:t>
            </w:r>
          </w:p>
        </w:tc>
        <w:tc>
          <w:tcPr>
            <w:tcW w:w="1110" w:type="dxa"/>
            <w:tcBorders>
              <w:top w:val="double" w:sz="4" w:space="0" w:color="auto"/>
              <w:left w:val="single" w:sz="8" w:space="0" w:color="auto"/>
              <w:bottom w:val="single" w:sz="8" w:space="0" w:color="auto"/>
              <w:right w:val="single" w:sz="8" w:space="0" w:color="auto"/>
            </w:tcBorders>
            <w:shd w:val="clear" w:color="auto" w:fill="262626" w:themeFill="text1" w:themeFillTint="D9"/>
            <w:vAlign w:val="center"/>
          </w:tcPr>
          <w:p w14:paraId="4EF2BEBE" w14:textId="77777777" w:rsidR="00734D2D" w:rsidRPr="00734D2D" w:rsidRDefault="00734D2D" w:rsidP="00AC4911">
            <w:pPr>
              <w:spacing w:after="0" w:line="240" w:lineRule="auto"/>
              <w:ind w:left="709"/>
              <w:jc w:val="center"/>
              <w:rPr>
                <w:rFonts w:ascii="Arial" w:eastAsia="Arial" w:hAnsi="Arial" w:cs="Arial"/>
                <w:b/>
                <w:bCs/>
                <w:sz w:val="20"/>
                <w:szCs w:val="20"/>
                <w:lang w:val="es" w:eastAsia="es-CO"/>
              </w:rPr>
            </w:pPr>
            <w:r w:rsidRPr="00734D2D">
              <w:rPr>
                <w:rFonts w:ascii="Arial" w:eastAsia="Arial" w:hAnsi="Arial" w:cs="Arial"/>
                <w:b/>
                <w:bCs/>
                <w:sz w:val="20"/>
                <w:szCs w:val="20"/>
                <w:lang w:val="es" w:eastAsia="es-CO"/>
              </w:rPr>
              <w:t>Número</w:t>
            </w:r>
          </w:p>
        </w:tc>
        <w:tc>
          <w:tcPr>
            <w:tcW w:w="3270" w:type="dxa"/>
            <w:tcBorders>
              <w:top w:val="double" w:sz="4" w:space="0" w:color="auto"/>
              <w:left w:val="single" w:sz="8" w:space="0" w:color="auto"/>
              <w:bottom w:val="single" w:sz="8" w:space="0" w:color="auto"/>
              <w:right w:val="double" w:sz="4" w:space="0" w:color="auto"/>
            </w:tcBorders>
            <w:shd w:val="clear" w:color="auto" w:fill="262626" w:themeFill="text1" w:themeFillTint="D9"/>
            <w:vAlign w:val="center"/>
          </w:tcPr>
          <w:p w14:paraId="518C532B" w14:textId="77777777" w:rsidR="00734D2D" w:rsidRPr="00734D2D" w:rsidRDefault="00734D2D" w:rsidP="00AC4911">
            <w:pPr>
              <w:spacing w:after="0" w:line="240" w:lineRule="auto"/>
              <w:ind w:left="709"/>
              <w:jc w:val="center"/>
              <w:rPr>
                <w:rFonts w:ascii="Arial" w:eastAsia="Arial" w:hAnsi="Arial" w:cs="Arial"/>
                <w:b/>
                <w:bCs/>
                <w:sz w:val="20"/>
                <w:szCs w:val="20"/>
                <w:lang w:val="es" w:eastAsia="es-CO"/>
              </w:rPr>
            </w:pPr>
            <w:r w:rsidRPr="00734D2D">
              <w:rPr>
                <w:rFonts w:ascii="Arial" w:eastAsia="Arial" w:hAnsi="Arial" w:cs="Arial"/>
                <w:b/>
                <w:bCs/>
                <w:sz w:val="20"/>
                <w:szCs w:val="20"/>
                <w:lang w:val="es" w:eastAsia="es-CO"/>
              </w:rPr>
              <w:t>Método</w:t>
            </w:r>
          </w:p>
        </w:tc>
      </w:tr>
      <w:tr w:rsidR="00734D2D" w:rsidRPr="00734D2D" w14:paraId="7266A8B6" w14:textId="77777777" w:rsidTr="00727A48">
        <w:trPr>
          <w:trHeight w:val="15"/>
          <w:jc w:val="center"/>
        </w:trPr>
        <w:tc>
          <w:tcPr>
            <w:tcW w:w="1620" w:type="dxa"/>
            <w:tcBorders>
              <w:top w:val="single" w:sz="8" w:space="0" w:color="auto"/>
              <w:left w:val="double" w:sz="4" w:space="0" w:color="auto"/>
              <w:bottom w:val="single" w:sz="8" w:space="0" w:color="auto"/>
              <w:right w:val="single" w:sz="8" w:space="0" w:color="auto"/>
            </w:tcBorders>
            <w:vAlign w:val="center"/>
          </w:tcPr>
          <w:p w14:paraId="5B9D0BB4" w14:textId="77777777" w:rsidR="00734D2D" w:rsidRPr="00734D2D" w:rsidRDefault="00734D2D" w:rsidP="00AC4911">
            <w:pPr>
              <w:spacing w:after="0" w:line="240" w:lineRule="auto"/>
              <w:ind w:left="709"/>
              <w:jc w:val="center"/>
              <w:rPr>
                <w:rFonts w:ascii="Arial" w:eastAsia="Arial" w:hAnsi="Arial" w:cs="Arial"/>
                <w:sz w:val="20"/>
                <w:szCs w:val="20"/>
                <w:lang w:val="es" w:eastAsia="es-CO"/>
              </w:rPr>
            </w:pPr>
            <w:r w:rsidRPr="00734D2D">
              <w:rPr>
                <w:rFonts w:ascii="Arial" w:eastAsia="Arial" w:hAnsi="Arial" w:cs="Arial"/>
                <w:sz w:val="20"/>
                <w:szCs w:val="20"/>
                <w:lang w:val="es" w:eastAsia="es-CO"/>
              </w:rPr>
              <w:t>De 0.00 a 0.33</w:t>
            </w:r>
          </w:p>
        </w:tc>
        <w:tc>
          <w:tcPr>
            <w:tcW w:w="1110" w:type="dxa"/>
            <w:tcBorders>
              <w:top w:val="single" w:sz="8" w:space="0" w:color="auto"/>
              <w:left w:val="single" w:sz="8" w:space="0" w:color="auto"/>
              <w:bottom w:val="single" w:sz="8" w:space="0" w:color="auto"/>
              <w:right w:val="single" w:sz="8" w:space="0" w:color="auto"/>
            </w:tcBorders>
            <w:vAlign w:val="center"/>
          </w:tcPr>
          <w:p w14:paraId="32D6D082" w14:textId="77777777" w:rsidR="00734D2D" w:rsidRPr="00734D2D" w:rsidRDefault="00734D2D" w:rsidP="00AC4911">
            <w:pPr>
              <w:spacing w:after="0" w:line="240" w:lineRule="auto"/>
              <w:ind w:left="709"/>
              <w:jc w:val="center"/>
              <w:rPr>
                <w:rFonts w:ascii="Arial" w:eastAsia="Arial" w:hAnsi="Arial" w:cs="Arial"/>
                <w:sz w:val="20"/>
                <w:szCs w:val="20"/>
                <w:lang w:val="es" w:eastAsia="es-CO"/>
              </w:rPr>
            </w:pPr>
            <w:r w:rsidRPr="00734D2D">
              <w:rPr>
                <w:rFonts w:ascii="Arial" w:eastAsia="Arial" w:hAnsi="Arial" w:cs="Arial"/>
                <w:sz w:val="20"/>
                <w:szCs w:val="20"/>
                <w:lang w:val="es" w:eastAsia="es-CO"/>
              </w:rPr>
              <w:t>1</w:t>
            </w:r>
          </w:p>
        </w:tc>
        <w:tc>
          <w:tcPr>
            <w:tcW w:w="3270" w:type="dxa"/>
            <w:tcBorders>
              <w:top w:val="single" w:sz="8" w:space="0" w:color="auto"/>
              <w:left w:val="single" w:sz="8" w:space="0" w:color="auto"/>
              <w:bottom w:val="single" w:sz="8" w:space="0" w:color="auto"/>
              <w:right w:val="double" w:sz="4" w:space="0" w:color="auto"/>
            </w:tcBorders>
            <w:vAlign w:val="center"/>
          </w:tcPr>
          <w:p w14:paraId="7609D614" w14:textId="77777777" w:rsidR="00734D2D" w:rsidRPr="00734D2D" w:rsidRDefault="00734D2D" w:rsidP="00AC4911">
            <w:pPr>
              <w:spacing w:after="0" w:line="240" w:lineRule="auto"/>
              <w:ind w:left="709"/>
              <w:jc w:val="both"/>
              <w:rPr>
                <w:rFonts w:ascii="Arial" w:eastAsia="Arial" w:hAnsi="Arial" w:cs="Arial"/>
                <w:sz w:val="20"/>
                <w:szCs w:val="20"/>
                <w:lang w:val="es" w:eastAsia="es-CO"/>
              </w:rPr>
            </w:pPr>
            <w:r w:rsidRPr="00734D2D">
              <w:rPr>
                <w:rFonts w:ascii="Arial" w:eastAsia="Arial" w:hAnsi="Arial" w:cs="Arial"/>
                <w:sz w:val="20"/>
                <w:szCs w:val="20"/>
                <w:lang w:val="es" w:eastAsia="es-CO"/>
              </w:rPr>
              <w:t>Mediana con valor absoluto</w:t>
            </w:r>
          </w:p>
        </w:tc>
      </w:tr>
      <w:tr w:rsidR="00734D2D" w:rsidRPr="00734D2D" w14:paraId="504646C0" w14:textId="77777777" w:rsidTr="00727A48">
        <w:trPr>
          <w:trHeight w:val="30"/>
          <w:jc w:val="center"/>
        </w:trPr>
        <w:tc>
          <w:tcPr>
            <w:tcW w:w="1620" w:type="dxa"/>
            <w:tcBorders>
              <w:top w:val="single" w:sz="8" w:space="0" w:color="auto"/>
              <w:left w:val="double" w:sz="4" w:space="0" w:color="auto"/>
              <w:bottom w:val="single" w:sz="8" w:space="0" w:color="auto"/>
              <w:right w:val="single" w:sz="8" w:space="0" w:color="auto"/>
            </w:tcBorders>
            <w:vAlign w:val="center"/>
          </w:tcPr>
          <w:p w14:paraId="67633A3D" w14:textId="77777777" w:rsidR="00734D2D" w:rsidRPr="00734D2D" w:rsidRDefault="00734D2D" w:rsidP="00AC4911">
            <w:pPr>
              <w:spacing w:after="0" w:line="240" w:lineRule="auto"/>
              <w:ind w:left="709"/>
              <w:jc w:val="center"/>
              <w:rPr>
                <w:rFonts w:ascii="Arial" w:eastAsia="Arial" w:hAnsi="Arial" w:cs="Arial"/>
                <w:sz w:val="20"/>
                <w:szCs w:val="20"/>
                <w:lang w:val="es" w:eastAsia="es-CO"/>
              </w:rPr>
            </w:pPr>
            <w:r w:rsidRPr="00734D2D">
              <w:rPr>
                <w:rFonts w:ascii="Arial" w:eastAsia="Arial" w:hAnsi="Arial" w:cs="Arial"/>
                <w:sz w:val="20"/>
                <w:szCs w:val="20"/>
                <w:lang w:val="es" w:eastAsia="es-CO"/>
              </w:rPr>
              <w:lastRenderedPageBreak/>
              <w:t>De 0.34 a 0.66</w:t>
            </w:r>
          </w:p>
        </w:tc>
        <w:tc>
          <w:tcPr>
            <w:tcW w:w="1110" w:type="dxa"/>
            <w:tcBorders>
              <w:top w:val="single" w:sz="8" w:space="0" w:color="auto"/>
              <w:left w:val="single" w:sz="8" w:space="0" w:color="auto"/>
              <w:bottom w:val="single" w:sz="8" w:space="0" w:color="auto"/>
              <w:right w:val="single" w:sz="8" w:space="0" w:color="auto"/>
            </w:tcBorders>
            <w:vAlign w:val="center"/>
          </w:tcPr>
          <w:p w14:paraId="64BE1431" w14:textId="77777777" w:rsidR="00734D2D" w:rsidRPr="00734D2D" w:rsidRDefault="00734D2D" w:rsidP="00AC4911">
            <w:pPr>
              <w:spacing w:after="0" w:line="240" w:lineRule="auto"/>
              <w:ind w:left="709"/>
              <w:jc w:val="center"/>
              <w:rPr>
                <w:rFonts w:ascii="Arial" w:eastAsia="Arial" w:hAnsi="Arial" w:cs="Arial"/>
                <w:sz w:val="20"/>
                <w:szCs w:val="20"/>
                <w:lang w:val="es" w:eastAsia="es-CO"/>
              </w:rPr>
            </w:pPr>
            <w:r w:rsidRPr="00734D2D">
              <w:rPr>
                <w:rFonts w:ascii="Arial" w:eastAsia="Arial" w:hAnsi="Arial" w:cs="Arial"/>
                <w:sz w:val="20"/>
                <w:szCs w:val="20"/>
                <w:lang w:val="es" w:eastAsia="es-CO"/>
              </w:rPr>
              <w:t>2</w:t>
            </w:r>
          </w:p>
        </w:tc>
        <w:tc>
          <w:tcPr>
            <w:tcW w:w="3270" w:type="dxa"/>
            <w:tcBorders>
              <w:top w:val="single" w:sz="8" w:space="0" w:color="auto"/>
              <w:left w:val="single" w:sz="8" w:space="0" w:color="auto"/>
              <w:bottom w:val="single" w:sz="8" w:space="0" w:color="auto"/>
              <w:right w:val="double" w:sz="4" w:space="0" w:color="auto"/>
            </w:tcBorders>
            <w:vAlign w:val="center"/>
          </w:tcPr>
          <w:p w14:paraId="6B199A6D" w14:textId="77777777" w:rsidR="00734D2D" w:rsidRPr="00734D2D" w:rsidRDefault="00734D2D" w:rsidP="00AC4911">
            <w:pPr>
              <w:spacing w:after="0" w:line="240" w:lineRule="auto"/>
              <w:ind w:left="709"/>
              <w:jc w:val="both"/>
              <w:rPr>
                <w:rFonts w:ascii="Arial" w:eastAsia="Arial" w:hAnsi="Arial" w:cs="Arial"/>
                <w:sz w:val="20"/>
                <w:szCs w:val="20"/>
                <w:lang w:val="es" w:eastAsia="es-CO"/>
              </w:rPr>
            </w:pPr>
            <w:r w:rsidRPr="00734D2D">
              <w:rPr>
                <w:rFonts w:ascii="Arial" w:eastAsia="Arial" w:hAnsi="Arial" w:cs="Arial"/>
                <w:sz w:val="20"/>
                <w:szCs w:val="20"/>
                <w:lang w:val="es" w:eastAsia="es-CO"/>
              </w:rPr>
              <w:t>Media geométrica</w:t>
            </w:r>
          </w:p>
        </w:tc>
      </w:tr>
      <w:tr w:rsidR="00734D2D" w:rsidRPr="00734D2D" w14:paraId="2F38F119" w14:textId="77777777" w:rsidTr="00727A48">
        <w:trPr>
          <w:trHeight w:val="15"/>
          <w:jc w:val="center"/>
        </w:trPr>
        <w:tc>
          <w:tcPr>
            <w:tcW w:w="1620" w:type="dxa"/>
            <w:tcBorders>
              <w:top w:val="single" w:sz="8" w:space="0" w:color="auto"/>
              <w:left w:val="double" w:sz="4" w:space="0" w:color="auto"/>
              <w:bottom w:val="double" w:sz="4" w:space="0" w:color="auto"/>
              <w:right w:val="single" w:sz="8" w:space="0" w:color="auto"/>
            </w:tcBorders>
            <w:vAlign w:val="center"/>
          </w:tcPr>
          <w:p w14:paraId="33151708" w14:textId="77777777" w:rsidR="00734D2D" w:rsidRPr="00734D2D" w:rsidRDefault="00734D2D" w:rsidP="00AC4911">
            <w:pPr>
              <w:spacing w:after="0" w:line="240" w:lineRule="auto"/>
              <w:ind w:left="709"/>
              <w:jc w:val="center"/>
              <w:rPr>
                <w:rFonts w:ascii="Arial" w:eastAsia="Arial" w:hAnsi="Arial" w:cs="Arial"/>
                <w:sz w:val="20"/>
                <w:szCs w:val="20"/>
                <w:lang w:val="es" w:eastAsia="es-CO"/>
              </w:rPr>
            </w:pPr>
            <w:r w:rsidRPr="00734D2D">
              <w:rPr>
                <w:rFonts w:ascii="Arial" w:eastAsia="Arial" w:hAnsi="Arial" w:cs="Arial"/>
                <w:sz w:val="20"/>
                <w:szCs w:val="20"/>
                <w:lang w:val="es" w:eastAsia="es-CO"/>
              </w:rPr>
              <w:t>De 0.67 a 0.99</w:t>
            </w:r>
          </w:p>
        </w:tc>
        <w:tc>
          <w:tcPr>
            <w:tcW w:w="1110" w:type="dxa"/>
            <w:tcBorders>
              <w:top w:val="single" w:sz="8" w:space="0" w:color="auto"/>
              <w:left w:val="single" w:sz="8" w:space="0" w:color="auto"/>
              <w:bottom w:val="double" w:sz="4" w:space="0" w:color="auto"/>
              <w:right w:val="single" w:sz="8" w:space="0" w:color="auto"/>
            </w:tcBorders>
            <w:vAlign w:val="center"/>
          </w:tcPr>
          <w:p w14:paraId="4B215B3B" w14:textId="77777777" w:rsidR="00734D2D" w:rsidRPr="00734D2D" w:rsidRDefault="00734D2D" w:rsidP="00AC4911">
            <w:pPr>
              <w:spacing w:after="0" w:line="240" w:lineRule="auto"/>
              <w:ind w:left="709"/>
              <w:jc w:val="center"/>
              <w:rPr>
                <w:rFonts w:ascii="Arial" w:eastAsia="Arial" w:hAnsi="Arial" w:cs="Arial"/>
                <w:sz w:val="20"/>
                <w:szCs w:val="20"/>
                <w:lang w:val="es" w:eastAsia="es-CO"/>
              </w:rPr>
            </w:pPr>
            <w:r w:rsidRPr="00734D2D">
              <w:rPr>
                <w:rFonts w:ascii="Arial" w:eastAsia="Arial" w:hAnsi="Arial" w:cs="Arial"/>
                <w:sz w:val="20"/>
                <w:szCs w:val="20"/>
                <w:lang w:val="es" w:eastAsia="es-CO"/>
              </w:rPr>
              <w:t>3</w:t>
            </w:r>
          </w:p>
        </w:tc>
        <w:tc>
          <w:tcPr>
            <w:tcW w:w="3270" w:type="dxa"/>
            <w:tcBorders>
              <w:top w:val="single" w:sz="8" w:space="0" w:color="auto"/>
              <w:left w:val="single" w:sz="8" w:space="0" w:color="auto"/>
              <w:bottom w:val="double" w:sz="4" w:space="0" w:color="auto"/>
              <w:right w:val="double" w:sz="4" w:space="0" w:color="auto"/>
            </w:tcBorders>
            <w:vAlign w:val="center"/>
          </w:tcPr>
          <w:p w14:paraId="59B5D1A8" w14:textId="77777777" w:rsidR="00734D2D" w:rsidRPr="00734D2D" w:rsidRDefault="00734D2D" w:rsidP="00AC4911">
            <w:pPr>
              <w:spacing w:after="0" w:line="240" w:lineRule="auto"/>
              <w:ind w:left="709"/>
              <w:jc w:val="both"/>
              <w:rPr>
                <w:rFonts w:ascii="Arial" w:eastAsia="Arial" w:hAnsi="Arial" w:cs="Arial"/>
                <w:sz w:val="20"/>
                <w:szCs w:val="20"/>
                <w:lang w:val="es" w:eastAsia="es-CO"/>
              </w:rPr>
            </w:pPr>
            <w:r w:rsidRPr="00734D2D">
              <w:rPr>
                <w:rFonts w:ascii="Arial" w:eastAsia="Arial" w:hAnsi="Arial" w:cs="Arial"/>
                <w:sz w:val="20"/>
                <w:szCs w:val="20"/>
                <w:lang w:val="es" w:eastAsia="es-CO"/>
              </w:rPr>
              <w:t>Media aritmética alta</w:t>
            </w:r>
          </w:p>
        </w:tc>
      </w:tr>
    </w:tbl>
    <w:p w14:paraId="36862878" w14:textId="77777777" w:rsidR="00734D2D" w:rsidRPr="00734D2D" w:rsidRDefault="00734D2D" w:rsidP="00AC4911">
      <w:pPr>
        <w:spacing w:after="0" w:line="240" w:lineRule="auto"/>
        <w:ind w:left="709"/>
        <w:contextualSpacing/>
        <w:jc w:val="both"/>
        <w:rPr>
          <w:rFonts w:ascii="Times New Roman" w:eastAsia="Times New Roman" w:hAnsi="Times New Roman" w:cs="Times New Roman"/>
          <w:sz w:val="24"/>
          <w:szCs w:val="24"/>
          <w:lang w:eastAsia="es-ES"/>
        </w:rPr>
      </w:pPr>
    </w:p>
    <w:p w14:paraId="53CB5C02" w14:textId="77777777" w:rsidR="00734D2D" w:rsidRPr="00734D2D" w:rsidRDefault="00734D2D" w:rsidP="00AC4911">
      <w:pPr>
        <w:spacing w:line="240" w:lineRule="auto"/>
        <w:ind w:left="709" w:right="709"/>
        <w:jc w:val="both"/>
        <w:rPr>
          <w:rFonts w:ascii="Arial" w:eastAsiaTheme="minorEastAsia" w:hAnsi="Arial"/>
          <w:sz w:val="21"/>
          <w:szCs w:val="21"/>
          <w:lang w:val="es-MX"/>
        </w:rPr>
      </w:pPr>
      <w:r w:rsidRPr="00734D2D">
        <w:rPr>
          <w:rFonts w:ascii="Arial" w:eastAsiaTheme="minorEastAsia" w:hAnsi="Arial"/>
          <w:sz w:val="21"/>
          <w:szCs w:val="21"/>
          <w:lang w:val="es-MX"/>
        </w:rPr>
        <w:t>En todos los casos se tendrá en cuenta hasta el séptimo (7°) decimal del valor obtenido como puntaje y las fórmulas se aplicarán con las propuestas que no han sido rechazadas y se encuentren válidas.</w:t>
      </w:r>
    </w:p>
    <w:p w14:paraId="3B959F74" w14:textId="77777777" w:rsidR="00734D2D" w:rsidRPr="00734D2D" w:rsidRDefault="00734D2D" w:rsidP="00AC4911">
      <w:pPr>
        <w:spacing w:line="240" w:lineRule="auto"/>
        <w:ind w:left="709" w:right="709"/>
        <w:jc w:val="both"/>
        <w:rPr>
          <w:rFonts w:ascii="Times New Roman" w:eastAsia="Times New Roman" w:hAnsi="Times New Roman" w:cs="Times New Roman"/>
          <w:sz w:val="21"/>
          <w:szCs w:val="21"/>
          <w:lang w:eastAsia="es-ES"/>
        </w:rPr>
      </w:pPr>
      <w:r w:rsidRPr="00734D2D">
        <w:rPr>
          <w:rFonts w:ascii="Arial" w:eastAsiaTheme="minorEastAsia" w:hAnsi="Arial"/>
          <w:sz w:val="21"/>
          <w:szCs w:val="21"/>
          <w:highlight w:val="lightGray"/>
          <w:lang w:val="es-MX"/>
        </w:rPr>
        <w:t>[Incluir en los procesos estructurados por lotes o por grupos: En los Procesos de Contratación estructurados por lotes o por grupos, la TRM definirá el método con el cual se asignará el puntaje para el primer lote o grupo a adjudicar, según el orden definido por la Entidad. Para la adjudicación del segundo lote o grupo se tomará el siguiente método de acuerdo con la tabla anterior, en orden ascendente, y así sucesivamente; teniendo en cuenta que se reiniciará desde el primer método en caso de agotarse el último método.]</w:t>
      </w:r>
    </w:p>
    <w:p w14:paraId="7613001A" w14:textId="582C5B39" w:rsidR="00734D2D" w:rsidRPr="00734D2D" w:rsidRDefault="00AC4911" w:rsidP="00AC4911">
      <w:pPr>
        <w:spacing w:after="200" w:line="240" w:lineRule="auto"/>
        <w:ind w:left="709" w:right="709"/>
        <w:contextualSpacing/>
        <w:jc w:val="both"/>
        <w:rPr>
          <w:rFonts w:eastAsiaTheme="minorEastAsia"/>
          <w:sz w:val="20"/>
          <w:szCs w:val="20"/>
          <w:lang w:eastAsia="es-ES"/>
        </w:rPr>
      </w:pPr>
      <w:r w:rsidRPr="00AC4911">
        <w:rPr>
          <w:rFonts w:ascii="Arial" w:eastAsia="Arial" w:hAnsi="Arial" w:cs="Arial"/>
          <w:sz w:val="21"/>
          <w:szCs w:val="21"/>
          <w:lang w:eastAsia="es-ES"/>
        </w:rPr>
        <w:t xml:space="preserve">D. </w:t>
      </w:r>
      <w:r w:rsidR="00734D2D" w:rsidRPr="00734D2D">
        <w:rPr>
          <w:rFonts w:ascii="Arial" w:eastAsia="Arial" w:hAnsi="Arial" w:cs="Arial"/>
          <w:sz w:val="21"/>
          <w:szCs w:val="21"/>
          <w:lang w:eastAsia="es-ES"/>
        </w:rPr>
        <w:t>Dependiendo del método aleatorio establecido según la TRM, cada uno de los Proponentes habilitados participarán con el valor del promedio de los contratos válidos aportados que no fueron objeto de subsanación</w:t>
      </w:r>
      <w:r w:rsidR="00734D2D" w:rsidRPr="00734D2D">
        <w:rPr>
          <w:rFonts w:ascii="Arial" w:eastAsia="Arial" w:hAnsi="Arial" w:cs="Arial"/>
          <w:sz w:val="21"/>
          <w:szCs w:val="21"/>
          <w:lang w:eastAsia="es-CO"/>
        </w:rPr>
        <w:t>,</w:t>
      </w:r>
      <w:r w:rsidR="00734D2D" w:rsidRPr="00734D2D">
        <w:rPr>
          <w:rFonts w:ascii="Arial" w:eastAsia="Arial" w:hAnsi="Arial" w:cs="Arial"/>
          <w:sz w:val="21"/>
          <w:szCs w:val="21"/>
          <w:lang w:eastAsia="es-ES"/>
        </w:rPr>
        <w:t xml:space="preserve"> según la metodología descrita para cada alternativa. </w:t>
      </w:r>
    </w:p>
    <w:p w14:paraId="3ABCC762" w14:textId="7663DDED" w:rsidR="00857734" w:rsidRPr="00857734" w:rsidRDefault="00857734" w:rsidP="00857734">
      <w:pPr>
        <w:spacing w:after="200" w:line="240" w:lineRule="auto"/>
        <w:ind w:left="709" w:right="709"/>
        <w:contextualSpacing/>
        <w:jc w:val="both"/>
        <w:rPr>
          <w:rFonts w:ascii="Arial" w:eastAsia="Arial" w:hAnsi="Arial" w:cs="Arial"/>
          <w:sz w:val="21"/>
          <w:szCs w:val="21"/>
          <w:lang w:val="es-MX" w:eastAsia="es-ES"/>
        </w:rPr>
      </w:pPr>
      <w:r w:rsidRPr="00857734">
        <w:rPr>
          <w:rFonts w:ascii="Arial" w:eastAsia="Arial" w:hAnsi="Arial" w:cs="Arial"/>
          <w:sz w:val="21"/>
          <w:szCs w:val="21"/>
          <w:lang w:val="es-MX" w:eastAsia="es-ES"/>
        </w:rPr>
        <w:t xml:space="preserve"> </w:t>
      </w:r>
    </w:p>
    <w:p w14:paraId="1C1CB9E4" w14:textId="2C7CEFDC" w:rsidR="00F73942" w:rsidRDefault="00857734" w:rsidP="00F73942">
      <w:pPr>
        <w:spacing w:before="120" w:line="276" w:lineRule="auto"/>
        <w:ind w:firstLine="708"/>
        <w:jc w:val="both"/>
        <w:rPr>
          <w:rFonts w:ascii="Arial" w:eastAsia="Calibri" w:hAnsi="Arial" w:cs="Arial"/>
          <w:color w:val="000000" w:themeColor="text1"/>
          <w:lang w:val="es-ES_tradnl"/>
        </w:rPr>
      </w:pPr>
      <w:r w:rsidRPr="00857734">
        <w:rPr>
          <w:rFonts w:ascii="Arial" w:eastAsia="Calibri" w:hAnsi="Arial" w:cs="Arial"/>
          <w:color w:val="000000" w:themeColor="text1"/>
          <w:lang w:val="es-ES_tradnl"/>
        </w:rPr>
        <w:t xml:space="preserve">Como se aprecia, en los procedimientos de concurso de méritos para la escogencia de interventores de obra pública de infraestructura de </w:t>
      </w:r>
      <w:r w:rsidR="00AC4911">
        <w:rPr>
          <w:rFonts w:ascii="Arial" w:eastAsia="Calibri" w:hAnsi="Arial" w:cs="Arial"/>
          <w:color w:val="000000" w:themeColor="text1"/>
          <w:lang w:val="es-ES_tradnl"/>
        </w:rPr>
        <w:t xml:space="preserve">agua potable y saneamiento básico </w:t>
      </w:r>
      <w:r w:rsidRPr="00857734">
        <w:rPr>
          <w:rFonts w:ascii="Arial" w:eastAsia="Calibri" w:hAnsi="Arial" w:cs="Arial"/>
          <w:color w:val="000000" w:themeColor="text1"/>
          <w:lang w:val="es-ES_tradnl"/>
        </w:rPr>
        <w:t xml:space="preserve">adelantados con documentos tipo, la experiencia del proponente debe ser ponderada, de acuerdo con un </w:t>
      </w:r>
      <w:r w:rsidRPr="00A14C29">
        <w:rPr>
          <w:rFonts w:ascii="Arial" w:eastAsia="Calibri" w:hAnsi="Arial" w:cs="Arial"/>
          <w:i/>
          <w:iCs/>
          <w:color w:val="000000" w:themeColor="text1"/>
          <w:lang w:val="es-ES_tradnl"/>
        </w:rPr>
        <w:t>método aleatorio</w:t>
      </w:r>
      <w:r w:rsidRPr="00857734">
        <w:rPr>
          <w:rFonts w:ascii="Arial" w:eastAsia="Calibri" w:hAnsi="Arial" w:cs="Arial"/>
          <w:color w:val="000000" w:themeColor="text1"/>
          <w:lang w:val="es-ES_tradnl"/>
        </w:rPr>
        <w:t>, a efectos de determinar el puntaje que le corresponde.</w:t>
      </w:r>
      <w:r w:rsidRPr="00857734">
        <w:rPr>
          <w:rFonts w:ascii="Arial" w:hAnsi="Arial" w:cs="Arial"/>
          <w:lang w:val="es-MX"/>
        </w:rPr>
        <w:t xml:space="preserve"> Al respecto, el Documento Base, establece </w:t>
      </w:r>
      <w:r w:rsidR="00AC4911">
        <w:rPr>
          <w:rFonts w:ascii="Arial" w:hAnsi="Arial" w:cs="Arial"/>
          <w:lang w:val="es-MX"/>
        </w:rPr>
        <w:t xml:space="preserve">tres </w:t>
      </w:r>
      <w:r w:rsidRPr="00857734">
        <w:rPr>
          <w:rFonts w:ascii="Arial" w:hAnsi="Arial" w:cs="Arial"/>
          <w:lang w:val="es-MX"/>
        </w:rPr>
        <w:t>(</w:t>
      </w:r>
      <w:r w:rsidR="00AC4911">
        <w:rPr>
          <w:rFonts w:ascii="Arial" w:eastAsia="Calibri" w:hAnsi="Arial" w:cs="Arial"/>
          <w:color w:val="000000" w:themeColor="text1"/>
          <w:lang w:val="es-ES_tradnl"/>
        </w:rPr>
        <w:t>3</w:t>
      </w:r>
      <w:r w:rsidRPr="00857734">
        <w:rPr>
          <w:rFonts w:ascii="Arial" w:eastAsia="Calibri" w:hAnsi="Arial" w:cs="Arial"/>
          <w:color w:val="000000" w:themeColor="text1"/>
          <w:lang w:val="es-ES_tradnl"/>
        </w:rPr>
        <w:t xml:space="preserve">) alternativas para ponderar la experiencia de los proponentes, aplicables según la TRM que rija, a saber: i) media con valor absoluto; </w:t>
      </w:r>
      <w:proofErr w:type="spellStart"/>
      <w:r w:rsidRPr="00857734">
        <w:rPr>
          <w:rFonts w:ascii="Arial" w:eastAsia="Calibri" w:hAnsi="Arial" w:cs="Arial"/>
          <w:color w:val="000000" w:themeColor="text1"/>
          <w:lang w:val="es-ES_tradnl"/>
        </w:rPr>
        <w:t>ii</w:t>
      </w:r>
      <w:proofErr w:type="spellEnd"/>
      <w:r w:rsidRPr="00857734">
        <w:rPr>
          <w:rFonts w:ascii="Arial" w:eastAsia="Calibri" w:hAnsi="Arial" w:cs="Arial"/>
          <w:color w:val="000000" w:themeColor="text1"/>
          <w:lang w:val="es-ES_tradnl"/>
        </w:rPr>
        <w:t>) media geométr</w:t>
      </w:r>
      <w:r w:rsidR="00AC4911">
        <w:rPr>
          <w:rFonts w:ascii="Arial" w:eastAsia="Calibri" w:hAnsi="Arial" w:cs="Arial"/>
          <w:color w:val="000000" w:themeColor="text1"/>
          <w:lang w:val="es-ES_tradnl"/>
        </w:rPr>
        <w:t>ica</w:t>
      </w:r>
      <w:r w:rsidR="00291FB5">
        <w:rPr>
          <w:rFonts w:ascii="Arial" w:eastAsia="Calibri" w:hAnsi="Arial" w:cs="Arial"/>
          <w:color w:val="000000" w:themeColor="text1"/>
          <w:lang w:val="es-ES_tradnl"/>
        </w:rPr>
        <w:t xml:space="preserve"> y</w:t>
      </w:r>
      <w:r w:rsidR="00AC4911">
        <w:rPr>
          <w:rFonts w:ascii="Arial" w:eastAsia="Calibri" w:hAnsi="Arial" w:cs="Arial"/>
          <w:color w:val="000000" w:themeColor="text1"/>
          <w:lang w:val="es-ES_tradnl"/>
        </w:rPr>
        <w:t xml:space="preserve"> </w:t>
      </w:r>
      <w:proofErr w:type="spellStart"/>
      <w:r w:rsidR="00AC4911">
        <w:rPr>
          <w:rFonts w:ascii="Arial" w:eastAsia="Calibri" w:hAnsi="Arial" w:cs="Arial"/>
          <w:color w:val="000000" w:themeColor="text1"/>
          <w:lang w:val="es-ES_tradnl"/>
        </w:rPr>
        <w:t>iii</w:t>
      </w:r>
      <w:proofErr w:type="spellEnd"/>
      <w:r w:rsidR="00AC4911">
        <w:rPr>
          <w:rFonts w:ascii="Arial" w:eastAsia="Calibri" w:hAnsi="Arial" w:cs="Arial"/>
          <w:color w:val="000000" w:themeColor="text1"/>
          <w:lang w:val="es-ES_tradnl"/>
        </w:rPr>
        <w:t xml:space="preserve">) media aritmética alta, </w:t>
      </w:r>
      <w:r w:rsidR="00734D2D">
        <w:rPr>
          <w:rFonts w:ascii="Arial" w:eastAsia="Calibri" w:hAnsi="Arial" w:cs="Arial"/>
          <w:color w:val="000000" w:themeColor="text1"/>
          <w:lang w:val="es-ES_tradnl"/>
        </w:rPr>
        <w:t xml:space="preserve">cuya selección es aleatoria. </w:t>
      </w:r>
      <w:r w:rsidR="00B32CF9">
        <w:rPr>
          <w:rFonts w:ascii="Arial" w:eastAsia="Calibri" w:hAnsi="Arial" w:cs="Arial"/>
          <w:color w:val="000000" w:themeColor="text1"/>
          <w:lang w:val="es-ES_tradnl"/>
        </w:rPr>
        <w:t>En todo caso, debe precisarse</w:t>
      </w:r>
      <w:r w:rsidR="00D44302">
        <w:rPr>
          <w:rFonts w:ascii="Arial" w:eastAsia="Calibri" w:hAnsi="Arial" w:cs="Arial"/>
          <w:color w:val="000000" w:themeColor="text1"/>
          <w:lang w:val="es-ES_tradnl"/>
        </w:rPr>
        <w:t xml:space="preserve"> </w:t>
      </w:r>
      <w:proofErr w:type="gramStart"/>
      <w:r w:rsidR="00D44302">
        <w:rPr>
          <w:rFonts w:ascii="Arial" w:eastAsia="Calibri" w:hAnsi="Arial" w:cs="Arial"/>
          <w:color w:val="000000" w:themeColor="text1"/>
          <w:lang w:val="es-ES_tradnl"/>
        </w:rPr>
        <w:t>que</w:t>
      </w:r>
      <w:proofErr w:type="gramEnd"/>
      <w:r w:rsidR="00B32CF9">
        <w:rPr>
          <w:rFonts w:ascii="Arial" w:eastAsia="Calibri" w:hAnsi="Arial" w:cs="Arial"/>
          <w:color w:val="000000" w:themeColor="text1"/>
          <w:lang w:val="es-ES_tradnl"/>
        </w:rPr>
        <w:t xml:space="preserve"> </w:t>
      </w:r>
      <w:r w:rsidR="00291FB5">
        <w:rPr>
          <w:rFonts w:ascii="Arial" w:eastAsia="Calibri" w:hAnsi="Arial" w:cs="Arial"/>
          <w:color w:val="000000" w:themeColor="text1"/>
          <w:lang w:val="es-ES_tradnl"/>
        </w:rPr>
        <w:t xml:space="preserve">en </w:t>
      </w:r>
      <w:r w:rsidR="00F73942">
        <w:rPr>
          <w:rFonts w:ascii="Arial" w:eastAsia="Calibri" w:hAnsi="Arial" w:cs="Arial"/>
          <w:color w:val="000000" w:themeColor="text1"/>
          <w:lang w:val="es-ES_tradnl"/>
        </w:rPr>
        <w:t xml:space="preserve">los procesos de concurso de méritos, dentro de los que se encuentran los adelantados con documentos tipo de interventoría de obra pública de infraestructura de agua potable y saneamiento básico, el precio no es un factor de escogencia, en atención al mandato expreso dispuesto en el inciso final del artículo 5.4 de la Ley 1150 de 2007. </w:t>
      </w:r>
    </w:p>
    <w:p w14:paraId="557CB7E6" w14:textId="77777777" w:rsidR="00F879A2" w:rsidRPr="00382303" w:rsidRDefault="00F879A2" w:rsidP="00F879A2">
      <w:pPr>
        <w:spacing w:after="0" w:line="276" w:lineRule="auto"/>
        <w:jc w:val="both"/>
        <w:rPr>
          <w:rFonts w:ascii="Arial" w:eastAsia="Calibri" w:hAnsi="Arial" w:cs="Arial"/>
          <w:b/>
          <w:color w:val="000000" w:themeColor="text1"/>
          <w:lang w:val="es-ES_tradnl"/>
        </w:rPr>
      </w:pPr>
    </w:p>
    <w:p w14:paraId="6FA2B652" w14:textId="77777777" w:rsidR="000123C0" w:rsidRPr="00655AEF" w:rsidRDefault="000123C0" w:rsidP="000123C0">
      <w:pPr>
        <w:numPr>
          <w:ilvl w:val="0"/>
          <w:numId w:val="6"/>
        </w:numPr>
        <w:tabs>
          <w:tab w:val="left" w:pos="284"/>
        </w:tabs>
        <w:spacing w:after="120" w:line="276" w:lineRule="auto"/>
        <w:ind w:left="0" w:right="709" w:firstLine="0"/>
        <w:contextualSpacing/>
        <w:jc w:val="both"/>
        <w:rPr>
          <w:rFonts w:ascii="Arial" w:hAnsi="Arial" w:cs="Arial"/>
          <w:color w:val="000000" w:themeColor="text1"/>
          <w:lang w:val="es-ES"/>
        </w:rPr>
      </w:pPr>
      <w:r w:rsidRPr="00655AEF">
        <w:rPr>
          <w:rFonts w:ascii="Arial" w:hAnsi="Arial" w:cs="Arial"/>
          <w:b/>
          <w:bCs/>
          <w:color w:val="000000" w:themeColor="text1"/>
          <w:lang w:val="es-ES"/>
        </w:rPr>
        <w:t xml:space="preserve">Respuesta </w:t>
      </w:r>
    </w:p>
    <w:p w14:paraId="50394D9E" w14:textId="77777777" w:rsidR="000123C0" w:rsidRPr="00655AEF" w:rsidRDefault="000123C0" w:rsidP="000123C0">
      <w:pPr>
        <w:tabs>
          <w:tab w:val="left" w:pos="284"/>
        </w:tabs>
        <w:spacing w:after="120" w:line="276" w:lineRule="auto"/>
        <w:ind w:right="709"/>
        <w:contextualSpacing/>
        <w:jc w:val="both"/>
        <w:rPr>
          <w:rFonts w:ascii="Arial" w:hAnsi="Arial" w:cs="Arial"/>
          <w:color w:val="000000" w:themeColor="text1"/>
          <w:lang w:val="es-ES"/>
        </w:rPr>
      </w:pPr>
    </w:p>
    <w:p w14:paraId="124C2908" w14:textId="1545C236" w:rsidR="00740A42" w:rsidRDefault="00740A42" w:rsidP="00740A42">
      <w:pPr>
        <w:autoSpaceDE w:val="0"/>
        <w:autoSpaceDN w:val="0"/>
        <w:adjustRightInd w:val="0"/>
        <w:spacing w:after="0" w:line="240" w:lineRule="auto"/>
        <w:ind w:left="709" w:right="709"/>
        <w:jc w:val="both"/>
        <w:rPr>
          <w:rFonts w:ascii="Arial" w:eastAsia="Calibri" w:hAnsi="Arial" w:cs="Arial"/>
          <w:color w:val="000000" w:themeColor="text1"/>
          <w:sz w:val="21"/>
          <w:szCs w:val="21"/>
          <w:lang w:val="es-ES"/>
        </w:rPr>
      </w:pPr>
      <w:r w:rsidRPr="00A103AB">
        <w:rPr>
          <w:rFonts w:ascii="Arial" w:eastAsia="Calibri" w:hAnsi="Arial" w:cs="Arial"/>
          <w:color w:val="000000" w:themeColor="text1"/>
          <w:sz w:val="21"/>
          <w:szCs w:val="21"/>
          <w:lang w:val="es-ES"/>
        </w:rPr>
        <w:t xml:space="preserve">«[…] </w:t>
      </w:r>
      <w:r w:rsidRPr="00A103AB">
        <w:rPr>
          <w:rFonts w:ascii="Arial" w:hAnsi="Arial" w:cs="Arial"/>
          <w:sz w:val="21"/>
          <w:szCs w:val="21"/>
        </w:rPr>
        <w:t xml:space="preserve">aclarar si las entidades pueden implementar métodos de asignación de puntaje por medio de métodos aleatorios y del azar, para los proceso de licitación de CONCURSO DE MERITOS ABIERTOS o si las entidades deben evaluar a los proponentes y asignar puntaje bajo criterios puntuales como por ejemplo EL PROPONENTE QUE ACREDITE EL MAYOR NUMERO DE CONTRATOS RELACIONADOS CON OBJETO A CONTRATAR Y/O EL PROPONENTE QUE ACREDITE MAS SMMLV NUMERO DE CONTRATOS RELACIONADOS AL OBJETO </w:t>
      </w:r>
      <w:r w:rsidRPr="00A103AB">
        <w:rPr>
          <w:rFonts w:ascii="Arial" w:hAnsi="Arial" w:cs="Arial"/>
          <w:sz w:val="21"/>
          <w:szCs w:val="21"/>
        </w:rPr>
        <w:lastRenderedPageBreak/>
        <w:t>A CONTRATAR Y/O EL PROPONENTE QUE ACREDITE LA MAYOR AREA (m2) EN CONTRATOS RELACIONADOS AL OBJETO A CONTRATAR o establecer un tome máximos de número de contratos y/o SMMLV y/o área (m2) y de esta manera se estaría garantizando a los proponentes que se les evalúa de acuerdo a sus méritos y experiencia, como es la finalidad de los procesos de CONCURSO DE MERITOS ABIERTOS</w:t>
      </w:r>
      <w:r w:rsidRPr="00A103AB">
        <w:rPr>
          <w:rFonts w:ascii="Arial" w:eastAsia="Calibri" w:hAnsi="Arial" w:cs="Arial"/>
          <w:color w:val="000000" w:themeColor="text1"/>
          <w:sz w:val="21"/>
          <w:szCs w:val="21"/>
          <w:lang w:val="es-ES"/>
        </w:rPr>
        <w:t>»</w:t>
      </w:r>
      <w:r w:rsidR="0042358C">
        <w:rPr>
          <w:rFonts w:ascii="Arial" w:eastAsia="Calibri" w:hAnsi="Arial" w:cs="Arial"/>
          <w:color w:val="000000" w:themeColor="text1"/>
          <w:sz w:val="21"/>
          <w:szCs w:val="21"/>
          <w:lang w:val="es-ES"/>
        </w:rPr>
        <w:t xml:space="preserve"> (sic)</w:t>
      </w:r>
      <w:r w:rsidRPr="00A103AB">
        <w:rPr>
          <w:rFonts w:ascii="Arial" w:eastAsia="Calibri" w:hAnsi="Arial" w:cs="Arial"/>
          <w:color w:val="000000" w:themeColor="text1"/>
          <w:sz w:val="21"/>
          <w:szCs w:val="21"/>
          <w:lang w:val="es-ES"/>
        </w:rPr>
        <w:t>.</w:t>
      </w:r>
    </w:p>
    <w:p w14:paraId="23F1F7F3" w14:textId="77777777" w:rsidR="00D44302" w:rsidRPr="00A103AB" w:rsidRDefault="00D44302" w:rsidP="00740A42">
      <w:pPr>
        <w:autoSpaceDE w:val="0"/>
        <w:autoSpaceDN w:val="0"/>
        <w:adjustRightInd w:val="0"/>
        <w:spacing w:after="0" w:line="240" w:lineRule="auto"/>
        <w:ind w:left="709" w:right="709"/>
        <w:jc w:val="both"/>
        <w:rPr>
          <w:rFonts w:ascii="Arial" w:eastAsia="Calibri" w:hAnsi="Arial" w:cs="Arial"/>
          <w:color w:val="000000" w:themeColor="text1"/>
          <w:sz w:val="21"/>
          <w:szCs w:val="21"/>
          <w:lang w:val="es-ES"/>
        </w:rPr>
      </w:pPr>
    </w:p>
    <w:p w14:paraId="26592BAE" w14:textId="77777777" w:rsidR="0013375F" w:rsidRDefault="0013375F" w:rsidP="0013375F">
      <w:pPr>
        <w:spacing w:after="120" w:line="276" w:lineRule="auto"/>
        <w:ind w:firstLine="709"/>
        <w:jc w:val="both"/>
        <w:rPr>
          <w:rFonts w:ascii="Arial" w:hAnsi="Arial" w:cs="Arial"/>
          <w:color w:val="000000" w:themeColor="text1"/>
          <w:lang w:val="es-ES_tradnl"/>
        </w:rPr>
      </w:pPr>
      <w:r w:rsidRPr="00382303">
        <w:rPr>
          <w:rFonts w:ascii="Arial" w:eastAsia="Times New Roman" w:hAnsi="Arial" w:cs="Arial"/>
          <w:color w:val="000000" w:themeColor="text1"/>
          <w:szCs w:val="24"/>
          <w:lang w:val="es-ES_tradnl" w:eastAsia="es-ES_tradnl"/>
        </w:rPr>
        <w:t>En atención</w:t>
      </w:r>
      <w:r>
        <w:rPr>
          <w:rFonts w:ascii="Arial" w:eastAsia="Times New Roman" w:hAnsi="Arial" w:cs="Arial"/>
          <w:color w:val="000000" w:themeColor="text1"/>
          <w:szCs w:val="24"/>
          <w:lang w:val="es-ES_tradnl" w:eastAsia="es-ES_tradnl"/>
        </w:rPr>
        <w:t xml:space="preserve"> a la pregunta motivo de consulta se señala que en el concurso de méritos</w:t>
      </w:r>
      <w:r w:rsidRPr="00382303">
        <w:rPr>
          <w:rFonts w:ascii="Arial" w:eastAsia="Times New Roman" w:hAnsi="Arial" w:cs="Arial"/>
          <w:color w:val="000000" w:themeColor="text1"/>
          <w:szCs w:val="24"/>
          <w:lang w:val="es-ES_tradnl" w:eastAsia="es-ES_tradnl"/>
        </w:rPr>
        <w:t xml:space="preserve"> no se tiene en cuenta el precio como factor de evaluación, a diferencia del proce</w:t>
      </w:r>
      <w:r>
        <w:rPr>
          <w:rFonts w:ascii="Arial" w:eastAsia="Times New Roman" w:hAnsi="Arial" w:cs="Arial"/>
          <w:color w:val="000000" w:themeColor="text1"/>
          <w:szCs w:val="24"/>
          <w:lang w:val="es-ES_tradnl" w:eastAsia="es-ES_tradnl"/>
        </w:rPr>
        <w:t>so de licitación pública y de la</w:t>
      </w:r>
      <w:r w:rsidRPr="00382303">
        <w:rPr>
          <w:rFonts w:ascii="Arial" w:eastAsia="Times New Roman" w:hAnsi="Arial" w:cs="Arial"/>
          <w:color w:val="000000" w:themeColor="text1"/>
          <w:szCs w:val="24"/>
          <w:lang w:val="es-ES_tradnl" w:eastAsia="es-ES_tradnl"/>
        </w:rPr>
        <w:t xml:space="preserve">s demás </w:t>
      </w:r>
      <w:r>
        <w:rPr>
          <w:rFonts w:ascii="Arial" w:eastAsia="Times New Roman" w:hAnsi="Arial" w:cs="Arial"/>
          <w:color w:val="000000" w:themeColor="text1"/>
          <w:szCs w:val="24"/>
          <w:lang w:val="es-ES_tradnl" w:eastAsia="es-ES_tradnl"/>
        </w:rPr>
        <w:t xml:space="preserve">modalidades </w:t>
      </w:r>
      <w:r w:rsidRPr="00382303">
        <w:rPr>
          <w:rFonts w:ascii="Arial" w:eastAsia="Times New Roman" w:hAnsi="Arial" w:cs="Arial"/>
          <w:color w:val="000000" w:themeColor="text1"/>
          <w:szCs w:val="24"/>
          <w:lang w:val="es-ES_tradnl" w:eastAsia="es-ES_tradnl"/>
        </w:rPr>
        <w:t>de selección de</w:t>
      </w:r>
      <w:r>
        <w:rPr>
          <w:rFonts w:ascii="Arial" w:eastAsia="Times New Roman" w:hAnsi="Arial" w:cs="Arial"/>
          <w:color w:val="000000" w:themeColor="text1"/>
          <w:szCs w:val="24"/>
          <w:lang w:val="es-ES_tradnl" w:eastAsia="es-ES_tradnl"/>
        </w:rPr>
        <w:t xml:space="preserve"> contratistas estatales</w:t>
      </w:r>
      <w:r w:rsidRPr="00382303">
        <w:rPr>
          <w:rFonts w:ascii="Arial" w:eastAsia="Times New Roman" w:hAnsi="Arial" w:cs="Arial"/>
          <w:color w:val="000000" w:themeColor="text1"/>
          <w:szCs w:val="24"/>
          <w:lang w:val="es-ES_tradnl" w:eastAsia="es-ES_tradnl"/>
        </w:rPr>
        <w:t xml:space="preserve">. </w:t>
      </w:r>
      <w:r w:rsidRPr="00382303">
        <w:rPr>
          <w:rFonts w:ascii="Arial" w:hAnsi="Arial" w:cs="Arial"/>
          <w:color w:val="000000" w:themeColor="text1"/>
          <w:lang w:val="es-ES_tradnl"/>
        </w:rPr>
        <w:t>Por tanto, de conformidad con el inciso final del artículo 5.4 de la Ley 1150 de 2007, la oferta económica no tiene injerencia en la escogencia del ofrecimiento más favorable.</w:t>
      </w:r>
      <w:r>
        <w:rPr>
          <w:rFonts w:ascii="Arial" w:hAnsi="Arial" w:cs="Arial"/>
          <w:color w:val="000000" w:themeColor="text1"/>
          <w:lang w:val="es-ES_tradnl"/>
        </w:rPr>
        <w:t xml:space="preserve"> A partir de estas precisiones de orden normativo las entidades estatales podrán, en ejercicio de su discrecionalidad administrativa, establecer en los pliegos de condiciones métodos de asignación de puntaje, sin tener en cuenta el precio. </w:t>
      </w:r>
    </w:p>
    <w:p w14:paraId="45ED726D" w14:textId="25511DB5" w:rsidR="0013375F" w:rsidRPr="007C5D6C" w:rsidRDefault="0013375F" w:rsidP="0013375F">
      <w:pPr>
        <w:spacing w:before="120" w:after="120" w:line="276" w:lineRule="auto"/>
        <w:ind w:firstLine="708"/>
        <w:jc w:val="both"/>
        <w:rPr>
          <w:rFonts w:ascii="Arial" w:eastAsia="Times New Roman" w:hAnsi="Arial" w:cs="Arial"/>
          <w:lang w:eastAsia="es-ES_tradnl"/>
        </w:rPr>
      </w:pPr>
      <w:r w:rsidRPr="00644A46">
        <w:rPr>
          <w:rFonts w:ascii="Arial" w:hAnsi="Arial" w:cs="Arial"/>
          <w:color w:val="000000" w:themeColor="text1"/>
          <w:lang w:val="es-ES_tradnl"/>
        </w:rPr>
        <w:t>En este sentido, es posible aplicar, entre otros métodos, el aleatorio, que si bien está regulado para los procesos de licitación pública en el inciso 3°, parágrafo 3° del artículo 30 de la Ley 80 de 1993 modificado por el artículo 1 de la Ley 1882 de 2018, eso no significa que no pueda aplicarse a otras modalidades, como el concurso de méritos.</w:t>
      </w:r>
      <w:r w:rsidRPr="00644A46">
        <w:rPr>
          <w:rFonts w:ascii="Arial" w:eastAsia="Times New Roman" w:hAnsi="Arial" w:cs="Arial"/>
          <w:color w:val="000000" w:themeColor="text1"/>
          <w:lang w:val="es-MX" w:eastAsia="es-ES_tradnl"/>
        </w:rPr>
        <w:t xml:space="preserve"> </w:t>
      </w:r>
      <w:r w:rsidRPr="00644A46">
        <w:rPr>
          <w:rFonts w:ascii="Arial" w:eastAsia="Calibri" w:hAnsi="Arial" w:cs="Arial"/>
          <w:color w:val="000000"/>
          <w:lang w:val="es-ES_tradnl" w:eastAsia="es-ES_tradnl"/>
        </w:rPr>
        <w:t>En efecto, entidades estatales en su discrecionalidad administrativa podrán regular dentro del pliego de condiciones métodos aritméticos, como el aleatorio, pero garantizando que el precio no se constituya en un factor de ponderación o de puntuación y asegurando la protección del principio de selección objetiva. En esta línea, la competencia del comité de contratación y</w:t>
      </w:r>
      <w:r w:rsidR="0042358C">
        <w:rPr>
          <w:rFonts w:ascii="Arial" w:eastAsia="Calibri" w:hAnsi="Arial" w:cs="Arial"/>
          <w:color w:val="000000"/>
          <w:lang w:val="es-ES_tradnl" w:eastAsia="es-ES_tradnl"/>
        </w:rPr>
        <w:t>,</w:t>
      </w:r>
      <w:r w:rsidRPr="00644A46">
        <w:rPr>
          <w:rFonts w:ascii="Arial" w:eastAsia="Calibri" w:hAnsi="Arial" w:cs="Arial"/>
          <w:color w:val="000000"/>
          <w:lang w:val="es-ES_tradnl" w:eastAsia="es-ES_tradnl"/>
        </w:rPr>
        <w:t xml:space="preserve"> en último término</w:t>
      </w:r>
      <w:r w:rsidR="0042358C">
        <w:rPr>
          <w:rFonts w:ascii="Arial" w:eastAsia="Calibri" w:hAnsi="Arial" w:cs="Arial"/>
          <w:color w:val="000000"/>
          <w:lang w:val="es-ES_tradnl" w:eastAsia="es-ES_tradnl"/>
        </w:rPr>
        <w:t>,</w:t>
      </w:r>
      <w:r w:rsidRPr="00644A46">
        <w:rPr>
          <w:rFonts w:ascii="Arial" w:eastAsia="Calibri" w:hAnsi="Arial" w:cs="Arial"/>
          <w:color w:val="000000"/>
          <w:lang w:val="es-ES_tradnl" w:eastAsia="es-ES_tradnl"/>
        </w:rPr>
        <w:t xml:space="preserve"> del ordenador del gasto o el delegado en contratación de cada entidad está condicionada a la proporcionalidad de las decisiones que </w:t>
      </w:r>
      <w:r>
        <w:rPr>
          <w:rFonts w:ascii="Arial" w:eastAsia="Calibri" w:hAnsi="Arial" w:cs="Arial"/>
          <w:color w:val="000000"/>
          <w:lang w:val="es-ES_tradnl" w:eastAsia="es-ES_tradnl"/>
        </w:rPr>
        <w:t xml:space="preserve">se </w:t>
      </w:r>
      <w:r w:rsidRPr="00644A46">
        <w:rPr>
          <w:rFonts w:ascii="Arial" w:eastAsia="Calibri" w:hAnsi="Arial" w:cs="Arial"/>
          <w:color w:val="000000"/>
          <w:lang w:val="es-ES_tradnl" w:eastAsia="es-ES_tradnl"/>
        </w:rPr>
        <w:t>toma</w:t>
      </w:r>
      <w:r>
        <w:rPr>
          <w:rFonts w:ascii="Arial" w:eastAsia="Calibri" w:hAnsi="Arial" w:cs="Arial"/>
          <w:color w:val="000000"/>
          <w:lang w:val="es-ES_tradnl" w:eastAsia="es-ES_tradnl"/>
        </w:rPr>
        <w:t>n</w:t>
      </w:r>
      <w:r w:rsidRPr="00644A46">
        <w:rPr>
          <w:rFonts w:ascii="Arial" w:eastAsia="Calibri" w:hAnsi="Arial" w:cs="Arial"/>
          <w:color w:val="000000"/>
          <w:lang w:val="es-ES_tradnl" w:eastAsia="es-ES_tradnl"/>
        </w:rPr>
        <w:t xml:space="preserve"> dentro de los pliegos de condiciones en aras de garantizar la pluralidad de oferentes y la selección objetiva</w:t>
      </w:r>
      <w:r w:rsidRPr="007C5D6C">
        <w:rPr>
          <w:rFonts w:ascii="Arial" w:eastAsia="Times New Roman" w:hAnsi="Arial" w:cs="Arial"/>
          <w:lang w:eastAsia="es-ES_tradnl"/>
        </w:rPr>
        <w:t xml:space="preserve">, como puede ocurrir con la regulación del método aleatorio. </w:t>
      </w:r>
    </w:p>
    <w:p w14:paraId="1CC97D50" w14:textId="5949D268" w:rsidR="00DE38AB" w:rsidRPr="00655AEF" w:rsidRDefault="0013375F" w:rsidP="0042358C">
      <w:pPr>
        <w:spacing w:after="120" w:line="276" w:lineRule="auto"/>
        <w:ind w:firstLine="708"/>
        <w:jc w:val="both"/>
        <w:rPr>
          <w:rFonts w:ascii="Arial" w:hAnsi="Arial" w:cs="Arial"/>
          <w:color w:val="000000" w:themeColor="text1"/>
          <w:sz w:val="21"/>
          <w:szCs w:val="21"/>
          <w:lang w:val="es-ES"/>
        </w:rPr>
      </w:pPr>
      <w:r>
        <w:rPr>
          <w:rFonts w:ascii="Arial" w:hAnsi="Arial" w:cs="Arial"/>
          <w:color w:val="000000" w:themeColor="text1"/>
          <w:lang w:val="es-ES"/>
        </w:rPr>
        <w:t xml:space="preserve">Esté método se trata de un mecanismo que busca garantizar la transparencia y selección objetiva en los procesos de contratación pública, procurando evitar requisitos o factores de evaluación de carácter subjetivo. Al respecto, la doctrina expresa: </w:t>
      </w:r>
      <w:r w:rsidRPr="00382303">
        <w:rPr>
          <w:rFonts w:ascii="Arial" w:hAnsi="Arial" w:cs="Arial"/>
        </w:rPr>
        <w:t>«</w:t>
      </w:r>
      <w:r>
        <w:rPr>
          <w:rFonts w:ascii="Arial" w:hAnsi="Arial" w:cs="Arial"/>
          <w:color w:val="000000" w:themeColor="text1"/>
          <w:lang w:val="es-ES"/>
        </w:rPr>
        <w:t>Sin duda se trata de una mecánica que se fundamenta en la transparencia y que tiene un gran componente aleatorio, por lo que no faltaran las voces que la consideren muy conveniente</w:t>
      </w:r>
      <w:r w:rsidRPr="00382303">
        <w:rPr>
          <w:rFonts w:ascii="Arial" w:hAnsi="Arial" w:cs="Arial"/>
          <w:i/>
          <w:iCs/>
        </w:rPr>
        <w:t>»</w:t>
      </w:r>
      <w:r w:rsidRPr="007C5D6C">
        <w:rPr>
          <w:rStyle w:val="Refdenotaalpie"/>
          <w:rFonts w:ascii="Arial" w:hAnsi="Arial" w:cs="Arial"/>
        </w:rPr>
        <w:footnoteReference w:id="12"/>
      </w:r>
      <w:r>
        <w:rPr>
          <w:rFonts w:ascii="Arial" w:hAnsi="Arial" w:cs="Arial"/>
          <w:color w:val="000000" w:themeColor="text1"/>
          <w:lang w:val="es-ES"/>
        </w:rPr>
        <w:t xml:space="preserve">. En esta línea, la Agencia Nacional de Contratación Pública – Colombia Compra Eficiente, en los diferentes documentos tipo de interventoría y consultoría, cuyo proceso de selección sea el concurso de méritos, aplica el método aleatorio. A modo de ejemplo, se presenta los documentos tipo de interventoría de agua potable y saneamiento básico que se adoptó mediante la Resolución 333 del 27 de julio de 2022, cuyo documento base, en su numeral 4.1., </w:t>
      </w:r>
      <w:r w:rsidR="00D44302">
        <w:rPr>
          <w:rFonts w:ascii="Arial" w:hAnsi="Arial" w:cs="Arial"/>
          <w:color w:val="000000" w:themeColor="text1"/>
          <w:lang w:val="es-ES"/>
        </w:rPr>
        <w:t xml:space="preserve">establece el método aleatorio. </w:t>
      </w:r>
    </w:p>
    <w:p w14:paraId="1846F26A" w14:textId="22AB9074" w:rsidR="000123C0" w:rsidRPr="00655AEF" w:rsidRDefault="000123C0" w:rsidP="00DE38AB">
      <w:pPr>
        <w:spacing w:after="120" w:line="276" w:lineRule="auto"/>
        <w:jc w:val="both"/>
        <w:rPr>
          <w:rFonts w:ascii="Arial" w:eastAsia="Calibri" w:hAnsi="Arial" w:cs="Arial"/>
          <w:color w:val="000000" w:themeColor="text1"/>
          <w:lang w:val="es-ES"/>
        </w:rPr>
      </w:pPr>
      <w:r w:rsidRPr="00655AEF">
        <w:rPr>
          <w:rFonts w:ascii="Arial" w:eastAsia="Calibri" w:hAnsi="Arial" w:cs="Arial"/>
          <w:color w:val="000000" w:themeColor="text1"/>
        </w:rPr>
        <w:lastRenderedPageBreak/>
        <w:t>Este concepto tiene el alcance previsto en el artículo 28 del Código de Procedimiento Administrativo y de lo Contencioso Administrativo.</w:t>
      </w:r>
    </w:p>
    <w:p w14:paraId="74CE7903" w14:textId="77777777" w:rsidR="000123C0" w:rsidRPr="00655AEF" w:rsidRDefault="000123C0" w:rsidP="000123C0">
      <w:pPr>
        <w:spacing w:after="0" w:line="240" w:lineRule="auto"/>
        <w:jc w:val="both"/>
        <w:rPr>
          <w:rFonts w:ascii="Arial" w:eastAsia="Arial" w:hAnsi="Arial" w:cs="Arial"/>
          <w:color w:val="000000" w:themeColor="text1"/>
          <w:lang w:val="es-ES" w:eastAsia="es-ES"/>
        </w:rPr>
      </w:pPr>
    </w:p>
    <w:p w14:paraId="3005643F" w14:textId="77777777" w:rsidR="000123C0" w:rsidRPr="00655AEF" w:rsidRDefault="000123C0" w:rsidP="000123C0">
      <w:pPr>
        <w:spacing w:after="0" w:line="240" w:lineRule="auto"/>
        <w:jc w:val="both"/>
        <w:rPr>
          <w:rFonts w:ascii="Arial" w:hAnsi="Arial" w:cs="Arial"/>
          <w:color w:val="000000" w:themeColor="text1"/>
          <w:lang w:val="es-ES"/>
        </w:rPr>
      </w:pPr>
      <w:r w:rsidRPr="00655AEF">
        <w:rPr>
          <w:rFonts w:ascii="Arial" w:eastAsia="Times New Roman" w:hAnsi="Arial" w:cs="Arial"/>
          <w:color w:val="000000" w:themeColor="text1"/>
          <w:lang w:val="es-ES" w:eastAsia="es-CO"/>
        </w:rPr>
        <w:t>Atentamente,</w:t>
      </w:r>
      <w:r w:rsidRPr="00655AEF">
        <w:rPr>
          <w:rFonts w:ascii="Arial" w:hAnsi="Arial" w:cs="Arial"/>
          <w:color w:val="000000" w:themeColor="text1"/>
          <w:lang w:val="es-ES"/>
        </w:rPr>
        <w:t xml:space="preserve"> </w:t>
      </w:r>
    </w:p>
    <w:p w14:paraId="59E39DFA" w14:textId="7C6AA706" w:rsidR="000123C0" w:rsidRPr="00655AEF" w:rsidRDefault="00A14C29" w:rsidP="000123C0">
      <w:pPr>
        <w:spacing w:before="120" w:after="0" w:line="276" w:lineRule="auto"/>
        <w:jc w:val="center"/>
        <w:rPr>
          <w:rFonts w:ascii="Arial" w:eastAsia="Calibri" w:hAnsi="Arial" w:cs="Arial"/>
          <w:color w:val="000000" w:themeColor="text1"/>
          <w:sz w:val="18"/>
          <w:szCs w:val="20"/>
          <w:lang w:val="es-ES_tradnl" w:eastAsia="es-CO"/>
        </w:rPr>
      </w:pPr>
      <w:r>
        <w:rPr>
          <w:noProof/>
        </w:rPr>
        <w:drawing>
          <wp:inline distT="0" distB="0" distL="0" distR="0" wp14:anchorId="22968A57" wp14:editId="0445FA82">
            <wp:extent cx="2534004" cy="981212"/>
            <wp:effectExtent l="0" t="0" r="0" b="9525"/>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14"/>
                    <a:stretch>
                      <a:fillRect/>
                    </a:stretch>
                  </pic:blipFill>
                  <pic:spPr>
                    <a:xfrm>
                      <a:off x="0" y="0"/>
                      <a:ext cx="2534004" cy="981212"/>
                    </a:xfrm>
                    <a:prstGeom prst="rect">
                      <a:avLst/>
                    </a:prstGeom>
                  </pic:spPr>
                </pic:pic>
              </a:graphicData>
            </a:graphic>
          </wp:inline>
        </w:drawing>
      </w:r>
    </w:p>
    <w:tbl>
      <w:tblPr>
        <w:tblStyle w:val="Tablaconcuadrcula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123C0" w:rsidRPr="00655AEF" w14:paraId="79FD50DB" w14:textId="77777777" w:rsidTr="00E475AA">
        <w:trPr>
          <w:trHeight w:val="315"/>
        </w:trPr>
        <w:tc>
          <w:tcPr>
            <w:tcW w:w="812" w:type="dxa"/>
            <w:vAlign w:val="center"/>
            <w:hideMark/>
          </w:tcPr>
          <w:p w14:paraId="0C30588A" w14:textId="77777777" w:rsidR="000123C0" w:rsidRPr="00655AEF" w:rsidRDefault="000123C0" w:rsidP="00E475AA">
            <w:pPr>
              <w:jc w:val="both"/>
              <w:rPr>
                <w:rFonts w:ascii="Arial" w:eastAsia="Times New Roman" w:hAnsi="Arial" w:cs="Arial"/>
                <w:color w:val="000000" w:themeColor="text1"/>
                <w:sz w:val="16"/>
                <w:szCs w:val="16"/>
                <w:lang w:val="es-ES_tradnl" w:eastAsia="es-ES"/>
              </w:rPr>
            </w:pPr>
            <w:r w:rsidRPr="00655AEF">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right w:val="nil"/>
            </w:tcBorders>
            <w:vAlign w:val="center"/>
            <w:hideMark/>
          </w:tcPr>
          <w:p w14:paraId="35C15C02" w14:textId="77777777" w:rsidR="000123C0" w:rsidRPr="00655AEF" w:rsidRDefault="000123C0" w:rsidP="00E475AA">
            <w:pPr>
              <w:jc w:val="both"/>
              <w:rPr>
                <w:rFonts w:ascii="Arial" w:eastAsia="Times New Roman" w:hAnsi="Arial" w:cs="Arial"/>
                <w:color w:val="000000" w:themeColor="text1"/>
                <w:sz w:val="16"/>
                <w:szCs w:val="16"/>
                <w:lang w:val="es-ES_tradnl" w:eastAsia="es-ES"/>
              </w:rPr>
            </w:pPr>
            <w:r w:rsidRPr="00655AEF">
              <w:rPr>
                <w:rFonts w:ascii="Arial" w:eastAsia="Times New Roman" w:hAnsi="Arial" w:cs="Arial"/>
                <w:color w:val="000000" w:themeColor="text1"/>
                <w:sz w:val="16"/>
                <w:szCs w:val="16"/>
                <w:lang w:val="es-ES_tradnl" w:eastAsia="es-ES"/>
              </w:rPr>
              <w:t>José Luis Sánchez Cardona</w:t>
            </w:r>
          </w:p>
          <w:p w14:paraId="55F38334" w14:textId="77777777" w:rsidR="000123C0" w:rsidRPr="00655AEF" w:rsidRDefault="000123C0" w:rsidP="00E475AA">
            <w:pPr>
              <w:jc w:val="both"/>
              <w:rPr>
                <w:rFonts w:ascii="Arial" w:eastAsia="Times New Roman" w:hAnsi="Arial" w:cs="Arial"/>
                <w:color w:val="000000" w:themeColor="text1"/>
                <w:sz w:val="16"/>
                <w:szCs w:val="16"/>
                <w:lang w:val="es-ES_tradnl" w:eastAsia="es-ES"/>
              </w:rPr>
            </w:pPr>
            <w:r w:rsidRPr="00655AEF">
              <w:rPr>
                <w:rFonts w:ascii="Arial" w:eastAsia="Times New Roman" w:hAnsi="Arial" w:cs="Arial"/>
                <w:color w:val="000000" w:themeColor="text1"/>
                <w:sz w:val="16"/>
                <w:szCs w:val="16"/>
                <w:lang w:val="es-ES_tradnl" w:eastAsia="es-ES"/>
              </w:rPr>
              <w:t xml:space="preserve">Contratista de la Subdirección de Gestión Contractual  </w:t>
            </w:r>
          </w:p>
        </w:tc>
      </w:tr>
      <w:tr w:rsidR="000123C0" w:rsidRPr="00655AEF" w14:paraId="45278D6C" w14:textId="77777777" w:rsidTr="00E475AA">
        <w:trPr>
          <w:trHeight w:val="330"/>
        </w:trPr>
        <w:tc>
          <w:tcPr>
            <w:tcW w:w="812" w:type="dxa"/>
            <w:vAlign w:val="center"/>
            <w:hideMark/>
          </w:tcPr>
          <w:p w14:paraId="0613E224" w14:textId="77777777" w:rsidR="000123C0" w:rsidRPr="00655AEF" w:rsidRDefault="000123C0" w:rsidP="00E475AA">
            <w:pPr>
              <w:jc w:val="both"/>
              <w:rPr>
                <w:rFonts w:ascii="Arial" w:eastAsia="Times New Roman" w:hAnsi="Arial" w:cs="Arial"/>
                <w:color w:val="000000" w:themeColor="text1"/>
                <w:sz w:val="16"/>
                <w:szCs w:val="16"/>
                <w:lang w:val="es-ES_tradnl" w:eastAsia="es-ES"/>
              </w:rPr>
            </w:pPr>
            <w:r w:rsidRPr="00655AEF">
              <w:rPr>
                <w:rFonts w:ascii="Arial" w:eastAsia="Times New Roman" w:hAnsi="Arial" w:cs="Arial"/>
                <w:color w:val="000000" w:themeColor="text1"/>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43D726DD" w14:textId="77777777" w:rsidR="000123C0" w:rsidRPr="00655AEF" w:rsidRDefault="000123C0" w:rsidP="00E475AA">
            <w:pPr>
              <w:rPr>
                <w:rFonts w:ascii="Arial" w:eastAsia="Calibri" w:hAnsi="Arial" w:cs="Arial"/>
                <w:color w:val="000000" w:themeColor="text1"/>
                <w:sz w:val="16"/>
                <w:szCs w:val="16"/>
                <w:lang w:eastAsia="es-ES"/>
              </w:rPr>
            </w:pPr>
            <w:r w:rsidRPr="00655AEF">
              <w:rPr>
                <w:rFonts w:ascii="Arial" w:eastAsia="Calibri" w:hAnsi="Arial" w:cs="Arial"/>
                <w:color w:val="000000" w:themeColor="text1"/>
                <w:sz w:val="16"/>
                <w:szCs w:val="16"/>
                <w:lang w:eastAsia="es-ES"/>
              </w:rPr>
              <w:t>Cristian Andrés Díaz Díez</w:t>
            </w:r>
          </w:p>
          <w:p w14:paraId="2FFAD76F" w14:textId="77777777" w:rsidR="000123C0" w:rsidRPr="00655AEF" w:rsidRDefault="000123C0" w:rsidP="00E475AA">
            <w:pPr>
              <w:jc w:val="both"/>
              <w:rPr>
                <w:rFonts w:ascii="Arial" w:eastAsia="Times New Roman" w:hAnsi="Arial" w:cs="Arial"/>
                <w:color w:val="000000" w:themeColor="text1"/>
                <w:sz w:val="16"/>
                <w:szCs w:val="16"/>
                <w:lang w:val="es-ES_tradnl" w:eastAsia="es-ES"/>
              </w:rPr>
            </w:pPr>
            <w:r w:rsidRPr="00655AEF">
              <w:rPr>
                <w:rFonts w:ascii="Arial" w:eastAsia="Times New Roman" w:hAnsi="Arial" w:cs="Arial"/>
                <w:color w:val="000000" w:themeColor="text1"/>
                <w:sz w:val="16"/>
                <w:szCs w:val="16"/>
                <w:lang w:val="es-ES_tradnl" w:eastAsia="es-ES"/>
              </w:rPr>
              <w:t>Contratista de la Subdirección de Gestión Contractual</w:t>
            </w:r>
          </w:p>
        </w:tc>
      </w:tr>
      <w:tr w:rsidR="000123C0" w:rsidRPr="00670216" w14:paraId="100B402C" w14:textId="77777777" w:rsidTr="00E475AA">
        <w:trPr>
          <w:trHeight w:val="300"/>
        </w:trPr>
        <w:tc>
          <w:tcPr>
            <w:tcW w:w="812" w:type="dxa"/>
            <w:vAlign w:val="center"/>
            <w:hideMark/>
          </w:tcPr>
          <w:p w14:paraId="196948BF" w14:textId="77777777" w:rsidR="000123C0" w:rsidRPr="00655AEF" w:rsidRDefault="000123C0" w:rsidP="00E475AA">
            <w:pPr>
              <w:jc w:val="both"/>
              <w:rPr>
                <w:rFonts w:ascii="Arial" w:eastAsia="Times New Roman" w:hAnsi="Arial" w:cs="Arial"/>
                <w:color w:val="000000" w:themeColor="text1"/>
                <w:sz w:val="16"/>
                <w:szCs w:val="16"/>
                <w:lang w:val="es-ES_tradnl" w:eastAsia="es-ES"/>
              </w:rPr>
            </w:pPr>
            <w:r w:rsidRPr="00655AEF">
              <w:rPr>
                <w:rFonts w:ascii="Arial" w:eastAsia="Times New Roman" w:hAnsi="Arial" w:cs="Arial"/>
                <w:color w:val="000000" w:themeColor="text1"/>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77187910" w14:textId="77777777" w:rsidR="000123C0" w:rsidRPr="00655AEF" w:rsidRDefault="000123C0" w:rsidP="00E475AA">
            <w:pPr>
              <w:jc w:val="both"/>
              <w:rPr>
                <w:rFonts w:ascii="Arial" w:eastAsia="Times New Roman" w:hAnsi="Arial" w:cs="Arial"/>
                <w:color w:val="000000" w:themeColor="text1"/>
                <w:sz w:val="16"/>
                <w:szCs w:val="16"/>
                <w:lang w:val="es-ES_tradnl" w:eastAsia="es-ES"/>
              </w:rPr>
            </w:pPr>
            <w:r w:rsidRPr="00655AEF">
              <w:rPr>
                <w:rFonts w:ascii="Arial" w:eastAsia="Times New Roman" w:hAnsi="Arial" w:cs="Arial"/>
                <w:color w:val="000000" w:themeColor="text1"/>
                <w:sz w:val="16"/>
                <w:szCs w:val="16"/>
                <w:lang w:val="es-ES_tradnl" w:eastAsia="es-ES"/>
              </w:rPr>
              <w:t>Juan David Marín López</w:t>
            </w:r>
          </w:p>
          <w:p w14:paraId="00E94511" w14:textId="77777777" w:rsidR="000123C0" w:rsidRPr="00655AEF" w:rsidRDefault="000123C0" w:rsidP="00E475AA">
            <w:pPr>
              <w:jc w:val="both"/>
              <w:rPr>
                <w:rFonts w:ascii="Arial" w:eastAsia="Times New Roman" w:hAnsi="Arial" w:cs="Arial"/>
                <w:color w:val="000000" w:themeColor="text1"/>
                <w:sz w:val="16"/>
                <w:szCs w:val="16"/>
                <w:lang w:val="es-ES_tradnl" w:eastAsia="es-ES"/>
              </w:rPr>
            </w:pPr>
            <w:r w:rsidRPr="00655AEF">
              <w:rPr>
                <w:rFonts w:ascii="Arial" w:eastAsia="Times New Roman" w:hAnsi="Arial" w:cs="Arial"/>
                <w:color w:val="000000" w:themeColor="text1"/>
                <w:sz w:val="16"/>
                <w:szCs w:val="16"/>
                <w:lang w:val="es-ES_tradnl" w:eastAsia="es-ES"/>
              </w:rPr>
              <w:t>Subdirector de Gestión Contractual (E)</w:t>
            </w:r>
          </w:p>
        </w:tc>
      </w:tr>
      <w:bookmarkEnd w:id="0"/>
    </w:tbl>
    <w:p w14:paraId="0AE81B78" w14:textId="77777777" w:rsidR="000123C0" w:rsidRPr="00A81B68" w:rsidRDefault="000123C0" w:rsidP="00F40AF1">
      <w:pPr>
        <w:spacing w:after="0" w:line="240" w:lineRule="auto"/>
        <w:jc w:val="both"/>
        <w:rPr>
          <w:rFonts w:ascii="Arial" w:eastAsia="Calibri" w:hAnsi="Arial" w:cs="Arial"/>
          <w:bCs/>
          <w:color w:val="C00000"/>
          <w:sz w:val="20"/>
          <w:szCs w:val="20"/>
          <w:lang w:eastAsia="es-ES_tradnl"/>
        </w:rPr>
      </w:pPr>
    </w:p>
    <w:sectPr w:rsidR="000123C0" w:rsidRPr="00A81B68" w:rsidSect="0039439C">
      <w:headerReference w:type="default" r:id="rId15"/>
      <w:footerReference w:type="default" r:id="rId16"/>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35876" w14:textId="77777777" w:rsidR="00725849" w:rsidRDefault="00725849" w:rsidP="004A1847">
      <w:pPr>
        <w:spacing w:after="0" w:line="240" w:lineRule="auto"/>
      </w:pPr>
      <w:r>
        <w:separator/>
      </w:r>
    </w:p>
  </w:endnote>
  <w:endnote w:type="continuationSeparator" w:id="0">
    <w:p w14:paraId="28DCBAF1" w14:textId="77777777" w:rsidR="00725849" w:rsidRDefault="00725849" w:rsidP="004A1847">
      <w:pPr>
        <w:spacing w:after="0" w:line="240" w:lineRule="auto"/>
      </w:pPr>
      <w:r>
        <w:continuationSeparator/>
      </w:r>
    </w:p>
  </w:endnote>
  <w:endnote w:type="continuationNotice" w:id="1">
    <w:p w14:paraId="6645BD23" w14:textId="77777777" w:rsidR="000E1A87" w:rsidRDefault="000E1A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Arial Nova">
    <w:panose1 w:val="020B0504020202020204"/>
    <w:charset w:val="00"/>
    <w:family w:val="swiss"/>
    <w:pitch w:val="variable"/>
    <w:sig w:usb0="0000028F" w:usb1="00000002" w:usb2="00000000" w:usb3="00000000" w:csb0="0000019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lang w:val="en-US"/>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4C0A48C5"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906B3C">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7F61B498" w:rsidR="00A07532" w:rsidRPr="00080DA3" w:rsidRDefault="00957616" w:rsidP="00A07532">
          <w:pPr>
            <w:pStyle w:val="Piedepgina"/>
            <w:jc w:val="center"/>
            <w:rPr>
              <w:rFonts w:ascii="Geomanist Light" w:hAnsi="Geomanist Light"/>
              <w:sz w:val="18"/>
              <w:szCs w:val="18"/>
            </w:rPr>
          </w:pPr>
          <w:r>
            <w:rPr>
              <w:rFonts w:ascii="Geomanist Light" w:hAnsi="Geomanist Light"/>
              <w:sz w:val="18"/>
              <w:szCs w:val="18"/>
            </w:rPr>
            <w:t>30</w:t>
          </w:r>
          <w:r w:rsidR="006219F8" w:rsidRPr="00080DA3">
            <w:rPr>
              <w:rFonts w:ascii="Geomanist Light" w:hAnsi="Geomanist Light"/>
              <w:sz w:val="18"/>
              <w:szCs w:val="18"/>
            </w:rPr>
            <w:t xml:space="preserve"> de </w:t>
          </w:r>
          <w:r w:rsidR="000A683E">
            <w:rPr>
              <w:rFonts w:ascii="Geomanist Light" w:hAnsi="Geomanist Light"/>
              <w:sz w:val="18"/>
              <w:szCs w:val="18"/>
            </w:rPr>
            <w:t>agosto</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4DE857D8"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CE3EA1">
            <w:rPr>
              <w:rFonts w:ascii="Geomanist Light" w:hAnsi="Geomanist Light"/>
              <w:b/>
              <w:bCs/>
              <w:noProof/>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CE3EA1">
            <w:rPr>
              <w:rFonts w:ascii="Geomanist Light" w:hAnsi="Geomanist Light"/>
              <w:b/>
              <w:bCs/>
              <w:noProof/>
              <w:sz w:val="18"/>
              <w:szCs w:val="18"/>
            </w:rPr>
            <w:t>8</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BAFC2" w14:textId="77777777" w:rsidR="00725849" w:rsidRDefault="00725849" w:rsidP="004A1847">
      <w:pPr>
        <w:spacing w:after="0" w:line="240" w:lineRule="auto"/>
      </w:pPr>
      <w:r>
        <w:separator/>
      </w:r>
    </w:p>
  </w:footnote>
  <w:footnote w:type="continuationSeparator" w:id="0">
    <w:p w14:paraId="5BEAC73A" w14:textId="77777777" w:rsidR="00725849" w:rsidRDefault="00725849" w:rsidP="004A1847">
      <w:pPr>
        <w:spacing w:after="0" w:line="240" w:lineRule="auto"/>
      </w:pPr>
      <w:r>
        <w:continuationSeparator/>
      </w:r>
    </w:p>
  </w:footnote>
  <w:footnote w:type="continuationNotice" w:id="1">
    <w:p w14:paraId="7A76C920" w14:textId="77777777" w:rsidR="000E1A87" w:rsidRDefault="000E1A87">
      <w:pPr>
        <w:spacing w:after="0" w:line="240" w:lineRule="auto"/>
      </w:pPr>
    </w:p>
  </w:footnote>
  <w:footnote w:id="2">
    <w:p w14:paraId="41F44B54" w14:textId="77777777" w:rsidR="000123C0" w:rsidRPr="00062F54" w:rsidRDefault="000123C0" w:rsidP="000123C0">
      <w:pPr>
        <w:pBdr>
          <w:top w:val="nil"/>
          <w:left w:val="nil"/>
          <w:bottom w:val="nil"/>
          <w:right w:val="nil"/>
          <w:between w:val="nil"/>
        </w:pBdr>
        <w:spacing w:after="0"/>
        <w:ind w:firstLine="708"/>
        <w:jc w:val="both"/>
        <w:rPr>
          <w:rFonts w:ascii="Arial" w:eastAsia="Arial" w:hAnsi="Arial" w:cs="Arial"/>
          <w:sz w:val="18"/>
          <w:szCs w:val="18"/>
        </w:rPr>
      </w:pPr>
      <w:r w:rsidRPr="00062F54">
        <w:rPr>
          <w:rFonts w:ascii="Arial" w:hAnsi="Arial" w:cs="Arial"/>
          <w:sz w:val="18"/>
          <w:szCs w:val="18"/>
          <w:vertAlign w:val="superscript"/>
        </w:rPr>
        <w:footnoteRef/>
      </w:r>
      <w:r w:rsidRPr="00062F54">
        <w:rPr>
          <w:rFonts w:ascii="Arial" w:eastAsia="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062F54">
        <w:rPr>
          <w:rFonts w:ascii="Arial" w:eastAsia="Arial" w:hAnsi="Arial" w:cs="Arial"/>
          <w:i/>
          <w:sz w:val="18"/>
          <w:szCs w:val="18"/>
        </w:rPr>
        <w:t xml:space="preserve">ibídem </w:t>
      </w:r>
      <w:r w:rsidRPr="00062F54">
        <w:rPr>
          <w:rFonts w:ascii="Arial" w:eastAsia="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p w14:paraId="53FAAE88" w14:textId="77777777" w:rsidR="000123C0" w:rsidRPr="00062F54" w:rsidRDefault="000123C0" w:rsidP="000123C0">
      <w:pPr>
        <w:pBdr>
          <w:top w:val="nil"/>
          <w:left w:val="nil"/>
          <w:bottom w:val="nil"/>
          <w:right w:val="nil"/>
          <w:between w:val="nil"/>
        </w:pBdr>
        <w:spacing w:after="0"/>
        <w:ind w:firstLine="709"/>
        <w:jc w:val="both"/>
        <w:rPr>
          <w:rFonts w:ascii="Arial" w:eastAsia="Arial" w:hAnsi="Arial" w:cs="Arial"/>
          <w:sz w:val="18"/>
          <w:szCs w:val="18"/>
        </w:rPr>
      </w:pPr>
    </w:p>
  </w:footnote>
  <w:footnote w:id="3">
    <w:p w14:paraId="2A686F71" w14:textId="77777777" w:rsidR="00042F76" w:rsidRPr="00042F76" w:rsidRDefault="00042F76" w:rsidP="00042F76">
      <w:pPr>
        <w:pStyle w:val="Textonotapie"/>
        <w:ind w:firstLine="709"/>
        <w:jc w:val="both"/>
        <w:rPr>
          <w:rFonts w:ascii="Arial" w:hAnsi="Arial" w:cs="Arial"/>
          <w:color w:val="000000"/>
          <w:sz w:val="19"/>
          <w:szCs w:val="19"/>
        </w:rPr>
      </w:pPr>
    </w:p>
    <w:p w14:paraId="03880E8E" w14:textId="77777777" w:rsidR="00042F76" w:rsidRPr="00042F76" w:rsidRDefault="00042F76" w:rsidP="00042F76">
      <w:pPr>
        <w:pStyle w:val="Textonotapie"/>
        <w:ind w:firstLine="709"/>
        <w:jc w:val="both"/>
        <w:rPr>
          <w:rFonts w:ascii="Arial" w:hAnsi="Arial" w:cs="Arial"/>
          <w:color w:val="000000"/>
          <w:sz w:val="19"/>
          <w:szCs w:val="19"/>
        </w:rPr>
      </w:pPr>
      <w:r w:rsidRPr="00042F76">
        <w:rPr>
          <w:rStyle w:val="Refdenotaalpie"/>
          <w:rFonts w:ascii="Arial" w:hAnsi="Arial" w:cs="Arial"/>
          <w:color w:val="000000"/>
          <w:sz w:val="19"/>
          <w:szCs w:val="19"/>
        </w:rPr>
        <w:footnoteRef/>
      </w:r>
      <w:r w:rsidRPr="00042F76">
        <w:rPr>
          <w:rFonts w:ascii="Arial" w:hAnsi="Arial" w:cs="Arial"/>
          <w:color w:val="000000"/>
          <w:sz w:val="19"/>
          <w:szCs w:val="19"/>
        </w:rPr>
        <w:t xml:space="preserve"> CONSEJO DE ESTADO. Sección Tercera. Subsección A. Auto del 25 de julio de 2018. Rad. 56.165A. C.P. Marta Nubia Velásquez Rico. </w:t>
      </w:r>
    </w:p>
    <w:p w14:paraId="15A32286" w14:textId="77777777" w:rsidR="00042F76" w:rsidRPr="00042F76" w:rsidRDefault="00042F76" w:rsidP="00042F76">
      <w:pPr>
        <w:pStyle w:val="Textonotapie"/>
        <w:ind w:firstLine="709"/>
        <w:jc w:val="both"/>
        <w:rPr>
          <w:rFonts w:ascii="Arial" w:hAnsi="Arial" w:cs="Arial"/>
          <w:color w:val="000000"/>
          <w:sz w:val="19"/>
          <w:szCs w:val="19"/>
          <w:lang w:val="es-ES"/>
        </w:rPr>
      </w:pPr>
    </w:p>
  </w:footnote>
  <w:footnote w:id="4">
    <w:p w14:paraId="2E70265A" w14:textId="77777777" w:rsidR="00042F76" w:rsidRPr="00042F76" w:rsidRDefault="00042F76" w:rsidP="00042F76">
      <w:pPr>
        <w:pStyle w:val="Textonotapie"/>
        <w:ind w:firstLine="709"/>
        <w:jc w:val="both"/>
        <w:rPr>
          <w:rFonts w:ascii="Arial" w:hAnsi="Arial" w:cs="Arial"/>
          <w:color w:val="000000"/>
          <w:sz w:val="19"/>
          <w:szCs w:val="19"/>
          <w:lang w:val="es-ES"/>
        </w:rPr>
      </w:pPr>
      <w:r w:rsidRPr="00042F76">
        <w:rPr>
          <w:rStyle w:val="Refdenotaalpie"/>
          <w:rFonts w:ascii="Arial" w:hAnsi="Arial" w:cs="Arial"/>
          <w:color w:val="000000"/>
          <w:sz w:val="19"/>
          <w:szCs w:val="19"/>
        </w:rPr>
        <w:footnoteRef/>
      </w:r>
      <w:r w:rsidRPr="00042F76">
        <w:rPr>
          <w:rFonts w:ascii="Arial" w:hAnsi="Arial" w:cs="Arial"/>
          <w:color w:val="000000"/>
          <w:sz w:val="19"/>
          <w:szCs w:val="19"/>
        </w:rPr>
        <w:t xml:space="preserve"> </w:t>
      </w:r>
      <w:bookmarkStart w:id="4" w:name="_Hlk43903111"/>
      <w:r w:rsidRPr="00042F76">
        <w:rPr>
          <w:rFonts w:ascii="Arial" w:hAnsi="Arial" w:cs="Arial"/>
          <w:color w:val="000000"/>
          <w:sz w:val="19"/>
          <w:szCs w:val="19"/>
        </w:rPr>
        <w:t>CONSEJO DE ESTADO. Sección Tercera. Subsección A. Auto del 20 de febrero de 2019. Rad. 61.463. C.P. Carlos Alberto Zambrano Barrera.</w:t>
      </w:r>
      <w:bookmarkEnd w:id="4"/>
    </w:p>
  </w:footnote>
  <w:footnote w:id="5">
    <w:p w14:paraId="1F7C22F7" w14:textId="77777777" w:rsidR="00042F76" w:rsidRDefault="00042F76" w:rsidP="00042F76">
      <w:pPr>
        <w:pStyle w:val="Textonotapie"/>
        <w:ind w:firstLine="709"/>
        <w:jc w:val="both"/>
        <w:rPr>
          <w:rFonts w:ascii="Arial" w:hAnsi="Arial" w:cs="Arial"/>
          <w:sz w:val="19"/>
          <w:szCs w:val="19"/>
        </w:rPr>
      </w:pPr>
    </w:p>
    <w:p w14:paraId="78561027" w14:textId="77777777" w:rsidR="00042F76" w:rsidRPr="00B62F02" w:rsidRDefault="00042F76" w:rsidP="00042F76">
      <w:pPr>
        <w:pStyle w:val="Textonotapie"/>
        <w:ind w:firstLine="709"/>
        <w:jc w:val="both"/>
        <w:rPr>
          <w:rFonts w:ascii="Arial" w:hAnsi="Arial" w:cs="Arial"/>
          <w:sz w:val="19"/>
          <w:szCs w:val="19"/>
        </w:rPr>
      </w:pPr>
      <w:r w:rsidRPr="00B62F02">
        <w:rPr>
          <w:rStyle w:val="Refdenotaalpie"/>
          <w:rFonts w:ascii="Arial" w:hAnsi="Arial" w:cs="Arial"/>
          <w:sz w:val="19"/>
          <w:szCs w:val="19"/>
        </w:rPr>
        <w:footnoteRef/>
      </w:r>
      <w:r w:rsidRPr="00B62F02">
        <w:rPr>
          <w:rFonts w:ascii="Arial" w:hAnsi="Arial" w:cs="Arial"/>
          <w:sz w:val="19"/>
          <w:szCs w:val="19"/>
        </w:rPr>
        <w:t xml:space="preserve"> Sobre este aspecto, «[…] los numerales 3, 4 y 5 del artículo 2.2.1.2.1.3.2 del decreto acusado resultan violatorios del citado artículo 5, numeral 4, de la Ley 1150 de 2007, pues, en efecto, revisar la coherencia del «[…] precio ofrecido […]» con la disponibilidad presupuestal (núm. 4, art. 2.2.1.2.1.3.2), así como disponer que se debe llegar a un «acuerdo» sobre el mismo (numerales 4 y 5, art. 2.2.1.2.1.3.2), como lo hace el decreto acusado, desconoce el principio de selección objetiva, en la medida en que incluir factores económicos en los concursos de méritos implica, necesariamente, que el precio se torne determinante para la escogencia de los contratistas, circunstancia que, como se ve, viola la citada norma, pues en ningún caso el precio puede ser factor de escogencia bajo la modalidad del concurso de méritos.</w:t>
      </w:r>
    </w:p>
    <w:p w14:paraId="18B6B1BD" w14:textId="77777777" w:rsidR="00042F76" w:rsidRPr="00B62F02" w:rsidRDefault="00042F76" w:rsidP="00042F76">
      <w:pPr>
        <w:pStyle w:val="Textonotapie"/>
        <w:ind w:firstLine="709"/>
        <w:jc w:val="both"/>
        <w:rPr>
          <w:rFonts w:ascii="Arial" w:hAnsi="Arial" w:cs="Arial"/>
          <w:sz w:val="19"/>
          <w:szCs w:val="19"/>
        </w:rPr>
      </w:pPr>
      <w:r w:rsidRPr="00B62F02">
        <w:rPr>
          <w:rFonts w:ascii="Arial" w:hAnsi="Arial" w:cs="Arial"/>
          <w:sz w:val="19"/>
          <w:szCs w:val="19"/>
        </w:rPr>
        <w:t>»Sumado a lo anterior, el Despacho encuentra que los numerales 4 y 5 del artículo 2.2.1.2.1.3.2 del decreto acusado violan lo dispuesto en el numeral 2 del artículo 25 de la ley 80 de 1993, pues es claro que se siguen «[…] trámites distintos y adicionales a los expresamente previstos […]» en la ley; en efecto, celebrar un «acuerdo» sobre el precio ofrecido es una situación que, de una u otra forma, aboca a la entidad a una segunda evaluación de lo que para ella sería la oferta más favorable –según el precio–, cuando para este segundo momento se supone que ya se debió haber verificado el cumplimiento de los requisitos exigidos en los pliegos de condiciones para la escogencia del contratista; en consecuencia, no se entiende porqué, luego de agotado todo el procedimiento de selección objetiva, se tenga que realizar un acuerdo sobre el precio ofrecido» (CONSEJO DE ESTADO. Sección Tercera. Subsección A. Auto del 20 de febrero de 2019. Rad. 61.463. C.P. Carlos Alberto Zambrano Barrera).</w:t>
      </w:r>
    </w:p>
    <w:p w14:paraId="33CD6605" w14:textId="77777777" w:rsidR="00042F76" w:rsidRPr="00B62F02" w:rsidRDefault="00042F76" w:rsidP="00042F76">
      <w:pPr>
        <w:pStyle w:val="Textonotapie"/>
        <w:ind w:firstLine="709"/>
        <w:jc w:val="both"/>
        <w:rPr>
          <w:rFonts w:ascii="Arial" w:hAnsi="Arial" w:cs="Arial"/>
          <w:sz w:val="19"/>
          <w:szCs w:val="19"/>
          <w:lang w:val="es-ES"/>
        </w:rPr>
      </w:pPr>
    </w:p>
  </w:footnote>
  <w:footnote w:id="6">
    <w:p w14:paraId="69CF96CB" w14:textId="77777777" w:rsidR="00042F76" w:rsidRPr="00042F76" w:rsidRDefault="00042F76" w:rsidP="00042F76">
      <w:pPr>
        <w:pStyle w:val="Textonotapie"/>
        <w:ind w:firstLine="709"/>
        <w:jc w:val="both"/>
        <w:rPr>
          <w:rFonts w:ascii="Arial" w:hAnsi="Arial" w:cs="Arial"/>
          <w:color w:val="000000"/>
          <w:sz w:val="19"/>
          <w:szCs w:val="19"/>
        </w:rPr>
      </w:pPr>
      <w:r w:rsidRPr="00B62F02">
        <w:rPr>
          <w:rStyle w:val="Refdenotaalpie"/>
          <w:rFonts w:ascii="Arial" w:hAnsi="Arial" w:cs="Arial"/>
          <w:sz w:val="19"/>
          <w:szCs w:val="19"/>
        </w:rPr>
        <w:footnoteRef/>
      </w:r>
      <w:r w:rsidRPr="00B62F02">
        <w:rPr>
          <w:rFonts w:ascii="Arial" w:hAnsi="Arial" w:cs="Arial"/>
          <w:sz w:val="19"/>
          <w:szCs w:val="19"/>
        </w:rPr>
        <w:t xml:space="preserve"> En efecto, «[…] cuando el numeral 6 del artículo 2.2.1.2.1.3.2 del Decreto 1082 de 2015 dispuso que la entidad estatal debe declarar desierto el concurso de méritos cuando aquella no llegue a un acuerdo con el segundo lugar de elegibilidad, sí excedió el contenido de los artículos 25 (numeral 18) de la Ley 80 de 1993 y 5 de la Ley 1150 de 2007, puesto que, se reitera, dado que el legislador previó dicha decisión para cuando se presentaran motivos que impidieran la selección objetiva, sin restringirlos» (</w:t>
      </w:r>
      <w:r w:rsidRPr="00042F76">
        <w:rPr>
          <w:rFonts w:ascii="Arial" w:hAnsi="Arial" w:cs="Arial"/>
          <w:color w:val="000000"/>
          <w:sz w:val="19"/>
          <w:szCs w:val="19"/>
        </w:rPr>
        <w:t>CONSEJO DE ESTADO. Sección Tercera. Subsección A. Auto del 25 de julio de 2018. Rad. 56.165A. C.P. Marta Nubia Velásquez Rico)</w:t>
      </w:r>
      <w:r w:rsidRPr="00B62F02">
        <w:rPr>
          <w:rFonts w:ascii="Arial" w:hAnsi="Arial" w:cs="Arial"/>
          <w:sz w:val="19"/>
          <w:szCs w:val="19"/>
        </w:rPr>
        <w:t>.</w:t>
      </w:r>
    </w:p>
  </w:footnote>
  <w:footnote w:id="7">
    <w:p w14:paraId="5BD8E6CD" w14:textId="77777777" w:rsidR="00042F76" w:rsidRDefault="00042F76" w:rsidP="00042F76">
      <w:pPr>
        <w:ind w:firstLine="709"/>
        <w:jc w:val="both"/>
        <w:rPr>
          <w:rFonts w:ascii="Arial" w:hAnsi="Arial" w:cs="Arial"/>
          <w:sz w:val="19"/>
          <w:szCs w:val="19"/>
        </w:rPr>
      </w:pPr>
    </w:p>
    <w:p w14:paraId="2B1B2662" w14:textId="77777777" w:rsidR="00042F76" w:rsidRPr="00B62F02" w:rsidRDefault="00042F76" w:rsidP="00042F76">
      <w:pPr>
        <w:ind w:firstLine="709"/>
        <w:jc w:val="both"/>
        <w:rPr>
          <w:rFonts w:ascii="Arial" w:hAnsi="Arial" w:cs="Arial"/>
          <w:sz w:val="19"/>
          <w:szCs w:val="19"/>
          <w:lang w:val="es-ES"/>
        </w:rPr>
      </w:pPr>
      <w:r w:rsidRPr="00B62F02">
        <w:rPr>
          <w:rStyle w:val="Refdenotaalpie"/>
          <w:rFonts w:ascii="Arial" w:hAnsi="Arial" w:cs="Arial"/>
          <w:sz w:val="19"/>
          <w:szCs w:val="19"/>
        </w:rPr>
        <w:footnoteRef/>
      </w:r>
      <w:r w:rsidRPr="00B62F02">
        <w:rPr>
          <w:rFonts w:ascii="Arial" w:hAnsi="Arial" w:cs="Arial"/>
          <w:sz w:val="19"/>
          <w:szCs w:val="19"/>
        </w:rPr>
        <w:t xml:space="preserve"> </w:t>
      </w:r>
      <w:r w:rsidRPr="00B62F02">
        <w:rPr>
          <w:rFonts w:ascii="Arial" w:hAnsi="Arial" w:cs="Arial"/>
          <w:sz w:val="19"/>
          <w:szCs w:val="19"/>
          <w:lang w:val="es-ES"/>
        </w:rPr>
        <w:t>En efecto, dentro de las consideraciones que motivan el Decreto 399 de 2021 se lee la siguiente: «Que teniendo en cuenta que el Auto del 20 de febrero de 2019 Exp. 61.463 de la Subsección A de la Sección Tercera del Consejo de Estado suspendió provisionalmente los numerales 3, 4 y 5 del artículo 2.2.1.2.1.3.2. del Decreto 1082 de 2015, Único Reglamentario del Sector Administrativo de Planeación Nacional y que el Auto del 25 de julio de 2018 Exp. 56.165 de la Subsección A de la Sección Tercera del Consejo de Estado suspendió provisionalmente el numeral 6 de la misma disposición, los cuales están relacionados con las reglas aplicables al procedimiento de concurso de méritos, es necesario modificar dicho artículo para establecer las reglas aplicables a esta modalidad de selección».</w:t>
      </w:r>
    </w:p>
    <w:p w14:paraId="4B9C4442" w14:textId="77777777" w:rsidR="00042F76" w:rsidRPr="00B62F02" w:rsidRDefault="00042F76" w:rsidP="00042F76">
      <w:pPr>
        <w:pStyle w:val="Textonotapie"/>
        <w:ind w:firstLine="709"/>
        <w:jc w:val="both"/>
        <w:rPr>
          <w:rFonts w:ascii="Arial" w:hAnsi="Arial" w:cs="Arial"/>
          <w:sz w:val="19"/>
          <w:szCs w:val="19"/>
          <w:lang w:val="es-CO"/>
        </w:rPr>
      </w:pPr>
    </w:p>
  </w:footnote>
  <w:footnote w:id="8">
    <w:p w14:paraId="44F37CD4" w14:textId="77777777" w:rsidR="00042F76" w:rsidRDefault="00042F76" w:rsidP="00042F76">
      <w:pPr>
        <w:pStyle w:val="Textonotapie"/>
        <w:ind w:firstLine="708"/>
        <w:jc w:val="both"/>
        <w:rPr>
          <w:rFonts w:ascii="Arial" w:hAnsi="Arial" w:cs="Arial"/>
          <w:sz w:val="19"/>
          <w:szCs w:val="19"/>
        </w:rPr>
      </w:pPr>
    </w:p>
    <w:p w14:paraId="4C08BD96" w14:textId="77777777" w:rsidR="00042F76" w:rsidRPr="00B62F02" w:rsidRDefault="00042F76" w:rsidP="00042F76">
      <w:pPr>
        <w:pStyle w:val="Textonotapie"/>
        <w:ind w:firstLine="708"/>
        <w:jc w:val="both"/>
        <w:rPr>
          <w:rFonts w:ascii="Arial" w:hAnsi="Arial" w:cs="Arial"/>
          <w:sz w:val="19"/>
          <w:szCs w:val="19"/>
          <w:lang w:val="es-ES"/>
        </w:rPr>
      </w:pPr>
      <w:r w:rsidRPr="00B62F02">
        <w:rPr>
          <w:rStyle w:val="Refdenotaalpie"/>
          <w:rFonts w:ascii="Arial" w:hAnsi="Arial" w:cs="Arial"/>
          <w:sz w:val="19"/>
          <w:szCs w:val="19"/>
        </w:rPr>
        <w:footnoteRef/>
      </w:r>
      <w:r w:rsidRPr="00B62F02">
        <w:rPr>
          <w:rFonts w:ascii="Arial" w:hAnsi="Arial" w:cs="Arial"/>
          <w:sz w:val="19"/>
          <w:szCs w:val="19"/>
        </w:rPr>
        <w:t xml:space="preserve"> </w:t>
      </w:r>
      <w:r w:rsidRPr="00B62F02">
        <w:rPr>
          <w:rFonts w:ascii="Arial" w:hAnsi="Arial" w:cs="Arial"/>
          <w:sz w:val="19"/>
          <w:szCs w:val="19"/>
          <w:lang w:val="es-ES"/>
        </w:rPr>
        <w:t>Decreto 1082 de 2015. Artículo 2.2.1.2.1.3.2. Procedimiento de Concurso de méritos. […]</w:t>
      </w:r>
    </w:p>
    <w:p w14:paraId="065E04E7" w14:textId="77777777" w:rsidR="00042F76" w:rsidRPr="00B62F02" w:rsidRDefault="00042F76" w:rsidP="00042F76">
      <w:pPr>
        <w:pStyle w:val="Textonotapie"/>
        <w:ind w:firstLine="708"/>
        <w:jc w:val="both"/>
        <w:rPr>
          <w:rFonts w:ascii="Arial" w:hAnsi="Arial" w:cs="Arial"/>
          <w:sz w:val="19"/>
          <w:szCs w:val="19"/>
          <w:lang w:val="es-ES"/>
        </w:rPr>
      </w:pPr>
      <w:r w:rsidRPr="00B62F02">
        <w:rPr>
          <w:rFonts w:ascii="Arial" w:hAnsi="Arial" w:cs="Arial"/>
          <w:sz w:val="19"/>
          <w:szCs w:val="19"/>
          <w:lang w:val="es-ES"/>
        </w:rPr>
        <w:t xml:space="preserve">«1. </w:t>
      </w:r>
      <w:r w:rsidRPr="00B62F02">
        <w:rPr>
          <w:rFonts w:ascii="Arial" w:hAnsi="Arial" w:cs="Arial"/>
          <w:sz w:val="19"/>
          <w:szCs w:val="19"/>
          <w:lang w:val="es-CO"/>
        </w:rPr>
        <w:t xml:space="preserve">La </w:t>
      </w:r>
      <w:r w:rsidRPr="00B62F02">
        <w:rPr>
          <w:rFonts w:ascii="Arial" w:hAnsi="Arial" w:cs="Arial"/>
          <w:sz w:val="19"/>
          <w:szCs w:val="19"/>
          <w:lang w:val="es-ES"/>
        </w:rPr>
        <w:t xml:space="preserve">Entidad Estatal en los pliegos de condiciones debe indicar la forma como calificará, entre otros, los siguientes criterios: (a) la experiencia del interesado y del equipo de trabajo; y (b) la formación académica y las publicaciones técnicas y científicas del equipo de trabajo. </w:t>
      </w:r>
    </w:p>
    <w:p w14:paraId="5FEECA7D" w14:textId="77777777" w:rsidR="00042F76" w:rsidRPr="00B62F02" w:rsidRDefault="00042F76" w:rsidP="00042F76">
      <w:pPr>
        <w:pStyle w:val="Textonotapie"/>
        <w:ind w:firstLine="708"/>
        <w:jc w:val="both"/>
        <w:rPr>
          <w:rFonts w:ascii="Arial" w:hAnsi="Arial" w:cs="Arial"/>
          <w:sz w:val="19"/>
          <w:szCs w:val="19"/>
          <w:lang w:val="es-ES"/>
        </w:rPr>
      </w:pPr>
      <w:r w:rsidRPr="00B62F02">
        <w:rPr>
          <w:rFonts w:ascii="Arial" w:hAnsi="Arial" w:cs="Arial"/>
          <w:sz w:val="19"/>
          <w:szCs w:val="19"/>
          <w:lang w:val="es-ES"/>
        </w:rPr>
        <w:t xml:space="preserve">»2. La Entidad Estatal debe publicar durante tres (3) días hábiles el informe de evaluación, el cual debe contener la calificación técnica y el orden de elegibilidad. </w:t>
      </w:r>
    </w:p>
    <w:p w14:paraId="66DAFC91" w14:textId="77777777" w:rsidR="00042F76" w:rsidRPr="00B62F02" w:rsidRDefault="00042F76" w:rsidP="00042F76">
      <w:pPr>
        <w:pStyle w:val="Textonotapie"/>
        <w:ind w:firstLine="708"/>
        <w:jc w:val="both"/>
        <w:rPr>
          <w:rFonts w:ascii="Arial" w:hAnsi="Arial" w:cs="Arial"/>
          <w:sz w:val="19"/>
          <w:szCs w:val="19"/>
          <w:lang w:val="es-ES"/>
        </w:rPr>
      </w:pPr>
      <w:r w:rsidRPr="00B62F02">
        <w:rPr>
          <w:rFonts w:ascii="Arial" w:hAnsi="Arial" w:cs="Arial"/>
          <w:sz w:val="19"/>
          <w:szCs w:val="19"/>
          <w:lang w:val="es-ES"/>
        </w:rPr>
        <w:t>»3. La Entidad Estatal debe revisar la oferta económica y verificar que está en el rango del valor estimado consignado en los documentos y estudios previos y del presupuesto asignado para el contrato.</w:t>
      </w:r>
    </w:p>
    <w:p w14:paraId="7A183ABD" w14:textId="77777777" w:rsidR="00042F76" w:rsidRPr="00B62F02" w:rsidRDefault="00042F76" w:rsidP="00042F76">
      <w:pPr>
        <w:pStyle w:val="Textonotapie"/>
        <w:ind w:firstLine="708"/>
        <w:jc w:val="both"/>
        <w:rPr>
          <w:rFonts w:ascii="Arial" w:hAnsi="Arial" w:cs="Arial"/>
          <w:sz w:val="19"/>
          <w:szCs w:val="19"/>
          <w:lang w:val="es-ES"/>
        </w:rPr>
      </w:pPr>
      <w:r w:rsidRPr="00B62F02">
        <w:rPr>
          <w:rFonts w:ascii="Arial" w:hAnsi="Arial" w:cs="Arial"/>
          <w:sz w:val="19"/>
          <w:szCs w:val="19"/>
          <w:lang w:val="es-ES"/>
        </w:rPr>
        <w:t>»4. La Entidad Estatal debe revisar con el oferente calificado en el primer lugar de elegibilidad la coherencia y consistencia entre: (i) la necesidad identificada por la Entidad Estatal y el alcance de la oferta; (ii) la consultoría y el precio ofrecidos; y (iii) el precio ofrecido y la disponibilidad presupuestal del respectivo Proceso de Contratación. Si la Entidad Estatal y el oferente llegan a un acuerdo sobre el alcance y el valor del contrato, dejarán constancia de este y firmarán el contrato.</w:t>
      </w:r>
    </w:p>
    <w:p w14:paraId="0E924C5D" w14:textId="77777777" w:rsidR="00042F76" w:rsidRPr="00B62F02" w:rsidRDefault="00042F76" w:rsidP="00042F76">
      <w:pPr>
        <w:pStyle w:val="Textonotapie"/>
        <w:ind w:firstLine="708"/>
        <w:jc w:val="both"/>
        <w:rPr>
          <w:rFonts w:ascii="Arial" w:hAnsi="Arial" w:cs="Arial"/>
          <w:sz w:val="19"/>
          <w:szCs w:val="19"/>
          <w:lang w:val="es-ES"/>
        </w:rPr>
      </w:pPr>
      <w:r w:rsidRPr="00B62F02">
        <w:rPr>
          <w:rFonts w:ascii="Arial" w:hAnsi="Arial" w:cs="Arial"/>
          <w:sz w:val="19"/>
          <w:szCs w:val="19"/>
          <w:lang w:val="es-ES"/>
        </w:rPr>
        <w:t>[…]»</w:t>
      </w:r>
    </w:p>
  </w:footnote>
  <w:footnote w:id="9">
    <w:p w14:paraId="58F41F04" w14:textId="3C9DD8FA" w:rsidR="002449A8" w:rsidRPr="00734D2D" w:rsidRDefault="002449A8" w:rsidP="002449A8">
      <w:pPr>
        <w:pStyle w:val="NormalWeb"/>
        <w:spacing w:after="0" w:line="240" w:lineRule="auto"/>
        <w:ind w:firstLine="708"/>
        <w:jc w:val="both"/>
        <w:rPr>
          <w:rFonts w:ascii="Arial" w:eastAsia="Times New Roman" w:hAnsi="Arial" w:cs="Arial"/>
          <w:sz w:val="19"/>
          <w:szCs w:val="19"/>
        </w:rPr>
      </w:pPr>
      <w:r w:rsidRPr="00734D2D">
        <w:rPr>
          <w:rStyle w:val="Refdenotaalpie"/>
          <w:rFonts w:ascii="Arial" w:hAnsi="Arial" w:cs="Arial"/>
          <w:sz w:val="19"/>
          <w:szCs w:val="19"/>
        </w:rPr>
        <w:footnoteRef/>
      </w:r>
      <w:r w:rsidRPr="00734D2D">
        <w:rPr>
          <w:rFonts w:ascii="Arial" w:hAnsi="Arial" w:cs="Arial"/>
          <w:sz w:val="19"/>
          <w:szCs w:val="19"/>
        </w:rPr>
        <w:t xml:space="preserve"> </w:t>
      </w:r>
      <w:r w:rsidR="00734D2D" w:rsidRPr="00734D2D">
        <w:rPr>
          <w:rFonts w:ascii="Arial" w:hAnsi="Arial" w:cs="Arial"/>
          <w:sz w:val="19"/>
          <w:szCs w:val="19"/>
          <w:lang w:val="es-ES"/>
        </w:rPr>
        <w:t>«</w:t>
      </w:r>
      <w:r w:rsidRPr="00734D2D">
        <w:rPr>
          <w:rFonts w:ascii="Arial" w:eastAsia="Times New Roman" w:hAnsi="Arial" w:cs="Arial"/>
          <w:bCs/>
          <w:sz w:val="19"/>
          <w:szCs w:val="19"/>
        </w:rPr>
        <w:t>PARÁGRAFO 3o.</w:t>
      </w:r>
      <w:r w:rsidRPr="00734D2D">
        <w:rPr>
          <w:rFonts w:ascii="Arial" w:eastAsia="Times New Roman" w:hAnsi="Arial" w:cs="Arial"/>
          <w:sz w:val="19"/>
          <w:szCs w:val="19"/>
        </w:rPr>
        <w:t> &lt;Parágrafo adicionado por el artículo </w:t>
      </w:r>
      <w:hyperlink r:id="rId1" w:anchor="1" w:history="1">
        <w:r w:rsidRPr="00734D2D">
          <w:rPr>
            <w:rFonts w:ascii="Arial" w:eastAsia="Times New Roman" w:hAnsi="Arial" w:cs="Arial"/>
            <w:sz w:val="19"/>
            <w:szCs w:val="19"/>
            <w:u w:val="single"/>
          </w:rPr>
          <w:t>1</w:t>
        </w:r>
      </w:hyperlink>
      <w:r w:rsidRPr="00734D2D">
        <w:rPr>
          <w:rFonts w:ascii="Arial" w:eastAsia="Times New Roman" w:hAnsi="Arial" w:cs="Arial"/>
          <w:sz w:val="19"/>
          <w:szCs w:val="19"/>
        </w:rPr>
        <w:t> de la Ley 1882 de 2018. El nuevo texto es el siguiente:&gt;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w:t>
      </w:r>
    </w:p>
    <w:p w14:paraId="2856B83E" w14:textId="123453EE" w:rsidR="002449A8" w:rsidRPr="002449A8" w:rsidRDefault="00734D2D" w:rsidP="002449A8">
      <w:pPr>
        <w:spacing w:after="0" w:line="240" w:lineRule="auto"/>
        <w:ind w:firstLine="708"/>
        <w:jc w:val="both"/>
        <w:rPr>
          <w:rFonts w:ascii="Arial" w:eastAsia="Times New Roman" w:hAnsi="Arial" w:cs="Arial"/>
          <w:sz w:val="19"/>
          <w:szCs w:val="19"/>
        </w:rPr>
      </w:pPr>
      <w:r w:rsidRPr="00734D2D">
        <w:rPr>
          <w:rFonts w:ascii="Arial" w:hAnsi="Arial" w:cs="Arial"/>
          <w:sz w:val="19"/>
          <w:szCs w:val="19"/>
          <w:lang w:val="es-ES"/>
        </w:rPr>
        <w:t xml:space="preserve">» </w:t>
      </w:r>
      <w:r w:rsidR="002449A8" w:rsidRPr="002449A8">
        <w:rPr>
          <w:rFonts w:ascii="Arial" w:eastAsia="Times New Roman" w:hAnsi="Arial" w:cs="Arial"/>
          <w:sz w:val="19"/>
          <w:szCs w:val="19"/>
        </w:rPr>
        <w:t>En estos procesos el informe permanecerá publicado en el Secop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w:t>
      </w:r>
    </w:p>
    <w:p w14:paraId="21E6E98F" w14:textId="1D4C67EC" w:rsidR="002449A8" w:rsidRPr="002449A8" w:rsidRDefault="00734D2D" w:rsidP="002449A8">
      <w:pPr>
        <w:spacing w:after="0" w:line="240" w:lineRule="auto"/>
        <w:ind w:firstLine="708"/>
        <w:jc w:val="both"/>
        <w:rPr>
          <w:rFonts w:ascii="Arial" w:eastAsia="Times New Roman" w:hAnsi="Arial" w:cs="Arial"/>
          <w:sz w:val="19"/>
          <w:szCs w:val="19"/>
        </w:rPr>
      </w:pPr>
      <w:r w:rsidRPr="00734D2D">
        <w:rPr>
          <w:rFonts w:ascii="Arial" w:hAnsi="Arial" w:cs="Arial"/>
          <w:sz w:val="19"/>
          <w:szCs w:val="19"/>
          <w:lang w:val="es-ES"/>
        </w:rPr>
        <w:t xml:space="preserve">» </w:t>
      </w:r>
      <w:r w:rsidR="002449A8" w:rsidRPr="002449A8">
        <w:rPr>
          <w:rFonts w:ascii="Arial" w:eastAsia="Times New Roman" w:hAnsi="Arial" w:cs="Arial"/>
          <w:sz w:val="19"/>
          <w:szCs w:val="19"/>
        </w:rPr>
        <w:t>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w:t>
      </w:r>
      <w:r w:rsidRPr="00734D2D">
        <w:rPr>
          <w:rFonts w:ascii="Arial" w:hAnsi="Arial" w:cs="Arial"/>
          <w:sz w:val="19"/>
          <w:szCs w:val="19"/>
          <w:lang w:val="es-ES"/>
        </w:rPr>
        <w:t>»</w:t>
      </w:r>
      <w:r w:rsidR="002449A8" w:rsidRPr="002449A8">
        <w:rPr>
          <w:rFonts w:ascii="Arial" w:eastAsia="Times New Roman" w:hAnsi="Arial" w:cs="Arial"/>
          <w:sz w:val="19"/>
          <w:szCs w:val="19"/>
        </w:rPr>
        <w:t>.</w:t>
      </w:r>
    </w:p>
    <w:p w14:paraId="4D282EF5" w14:textId="68EB144F" w:rsidR="002449A8" w:rsidRPr="002449A8" w:rsidRDefault="002449A8">
      <w:pPr>
        <w:pStyle w:val="Textonotapie"/>
      </w:pPr>
    </w:p>
  </w:footnote>
  <w:footnote w:id="10">
    <w:p w14:paraId="620FAF03" w14:textId="77777777" w:rsidR="00E85C6F" w:rsidRPr="007A15CA" w:rsidRDefault="00E85C6F" w:rsidP="00E85C6F">
      <w:pPr>
        <w:pStyle w:val="Textonotapie"/>
        <w:spacing w:after="60"/>
        <w:ind w:firstLine="709"/>
        <w:jc w:val="both"/>
        <w:rPr>
          <w:rFonts w:ascii="Arial" w:hAnsi="Arial" w:cs="Arial"/>
          <w:sz w:val="19"/>
          <w:szCs w:val="19"/>
        </w:rPr>
      </w:pPr>
      <w:r w:rsidRPr="007A15CA">
        <w:rPr>
          <w:rStyle w:val="Refdenotaalpie"/>
          <w:rFonts w:ascii="Arial" w:hAnsi="Arial" w:cs="Arial"/>
          <w:sz w:val="19"/>
          <w:szCs w:val="19"/>
        </w:rPr>
        <w:footnoteRef/>
      </w:r>
      <w:r w:rsidRPr="007A15CA">
        <w:rPr>
          <w:rFonts w:ascii="Arial" w:hAnsi="Arial" w:cs="Arial"/>
          <w:sz w:val="19"/>
          <w:szCs w:val="19"/>
        </w:rPr>
        <w:t xml:space="preserve"> Sobre el principio de proporcionalidad en la discrecionalidad administrativa la doctrina nacional ha señalado: «[…] resulta viable sostener que la facultad normativamente atribuida a la administración para confeccionar los pliegos de condiciones o sus equivalentes, en un procedimiento administrativo de selección de contratistas, permite ilustrar, de inigualable manera, la forma como ha de operar la discrecionalidad administrativa, siguiendo los parámetros recién aludidos: en primer lugar, las antecitadas normas de rango legal o reglamentario que regulan el contenido mínimo y los criterios a los cuales deben sujetarse la elaboración y la expedición de los referidos actos administrativos, en la medida en que son deliberadamente  incompletas, inacabadas o indeterminadas, defieren a la administración la responsabilidad de fijar, de manera discrecional, las reglas y los criterios que orientarán, a partir del pliego, cada proceso de selección en particular; en segundo término, la administración ejercerá esa facultad discrecional estableciendo, en los pliegos o en sus equivalentes, los mencionados reglas y criterios –objetivos y razonables, de forma completa, precisa y detallada– los cuales –los pliegos– completarán el supuesto de hecho de los preceptos normativos inacabados o incompletos que atribuyen la respectiva facultad, para regir tanto el proceso de selección del contratista como la celebración y ejecución del contrato. Según resulta evidente, esa actividad de la administración es materialmente normativa y en ella se concreta el ejercicio de la discrecionalidad.</w:t>
      </w:r>
    </w:p>
    <w:p w14:paraId="0EB9F06B" w14:textId="22483F1C" w:rsidR="00E85C6F" w:rsidRDefault="00E85C6F" w:rsidP="00D44302">
      <w:pPr>
        <w:pStyle w:val="Textonotapie"/>
        <w:ind w:firstLine="708"/>
        <w:jc w:val="both"/>
        <w:rPr>
          <w:rFonts w:ascii="Arial" w:hAnsi="Arial" w:cs="Arial"/>
          <w:sz w:val="19"/>
          <w:szCs w:val="19"/>
        </w:rPr>
      </w:pPr>
      <w:r w:rsidRPr="00D44302">
        <w:rPr>
          <w:rFonts w:ascii="Arial" w:hAnsi="Arial" w:cs="Arial"/>
          <w:sz w:val="19"/>
          <w:szCs w:val="19"/>
        </w:rPr>
        <w:t xml:space="preserve">»Y,  en  tercer  término,  aquello  que  debe  hacer  la  administración  dentro  del procedimiento  administrativo  de  selección  de  contratistas  del  cual  se  trate,  es  subsumir –procedimiento de aplicación reglada  del derecho– en las normas legales completadas en su supuesto de hecho con los criterios objetivos y razonables  introducidos –en los pliegos de condiciones– por la entidad contratante en cada  caso concreto, los presupuestos fácticos de éste para adoptar, así, la decisión más  conveniente al interés general, lo cual, en materia de contratación estatal, supone, en especial, escoger la mejor propuesta de conformidad con los parámetros fijados  en los mencionados pliegos de condiciones o en sus documentos equivalentes». MARÍN HERNÁNDEZ, Hugo Alberto. Naturaleza jurídica de las facultades de la Administración para confeccionar pliego de condiciones. En: Revista digital de Derecho Administrativo. Vol I. Bogota: Universidad Externado de Colombia, 2008. pp. 13-14.  </w:t>
      </w:r>
    </w:p>
    <w:p w14:paraId="48A9CC65" w14:textId="77777777" w:rsidR="00D44302" w:rsidRPr="00D44302" w:rsidRDefault="00D44302" w:rsidP="00D44302">
      <w:pPr>
        <w:pStyle w:val="Textonotapie"/>
        <w:ind w:firstLine="708"/>
        <w:jc w:val="both"/>
        <w:rPr>
          <w:rFonts w:ascii="Arial" w:hAnsi="Arial" w:cs="Arial"/>
          <w:sz w:val="19"/>
          <w:szCs w:val="19"/>
        </w:rPr>
      </w:pPr>
    </w:p>
  </w:footnote>
  <w:footnote w:id="11">
    <w:p w14:paraId="3FB99519" w14:textId="3DFCB211" w:rsidR="00D44302" w:rsidRPr="00D44302" w:rsidRDefault="00D44302" w:rsidP="00D44302">
      <w:pPr>
        <w:pStyle w:val="Textonotapie"/>
        <w:ind w:firstLine="708"/>
        <w:jc w:val="both"/>
        <w:rPr>
          <w:lang w:val="es-CO"/>
        </w:rPr>
      </w:pPr>
      <w:r w:rsidRPr="00D44302">
        <w:rPr>
          <w:rStyle w:val="Refdenotaalpie"/>
          <w:rFonts w:ascii="Arial" w:hAnsi="Arial" w:cs="Arial"/>
          <w:sz w:val="19"/>
          <w:szCs w:val="19"/>
        </w:rPr>
        <w:footnoteRef/>
      </w:r>
      <w:r w:rsidRPr="00D44302">
        <w:rPr>
          <w:rFonts w:ascii="Arial" w:hAnsi="Arial" w:cs="Arial"/>
          <w:sz w:val="19"/>
          <w:szCs w:val="19"/>
        </w:rPr>
        <w:t xml:space="preserve"> DÁVILA VINUEZA, </w:t>
      </w:r>
      <w:r>
        <w:rPr>
          <w:rFonts w:ascii="Arial" w:hAnsi="Arial" w:cs="Arial"/>
          <w:sz w:val="19"/>
          <w:szCs w:val="19"/>
        </w:rPr>
        <w:t xml:space="preserve">Luis </w:t>
      </w:r>
      <w:r w:rsidRPr="00D44302">
        <w:rPr>
          <w:rFonts w:ascii="Arial" w:hAnsi="Arial" w:cs="Arial"/>
          <w:sz w:val="19"/>
          <w:szCs w:val="19"/>
        </w:rPr>
        <w:t>Guillemo. Régimen jurídico de la contratación estatal. Bogotá: Legis, 2016. p. 456</w:t>
      </w:r>
    </w:p>
  </w:footnote>
  <w:footnote w:id="12">
    <w:p w14:paraId="70901BCD" w14:textId="77777777" w:rsidR="0013375F" w:rsidRPr="00D44302" w:rsidRDefault="0013375F" w:rsidP="0013375F">
      <w:pPr>
        <w:pStyle w:val="Textonotapie"/>
        <w:ind w:firstLine="708"/>
        <w:jc w:val="both"/>
        <w:rPr>
          <w:lang w:val="es-CO"/>
        </w:rPr>
      </w:pPr>
      <w:r w:rsidRPr="00D44302">
        <w:rPr>
          <w:rStyle w:val="Refdenotaalpie"/>
          <w:rFonts w:ascii="Arial" w:hAnsi="Arial" w:cs="Arial"/>
          <w:sz w:val="19"/>
          <w:szCs w:val="19"/>
        </w:rPr>
        <w:footnoteRef/>
      </w:r>
      <w:r w:rsidRPr="00D44302">
        <w:rPr>
          <w:rFonts w:ascii="Arial" w:hAnsi="Arial" w:cs="Arial"/>
          <w:sz w:val="19"/>
          <w:szCs w:val="19"/>
        </w:rPr>
        <w:t xml:space="preserve"> DÁVILA VINUEZA, </w:t>
      </w:r>
      <w:r>
        <w:rPr>
          <w:rFonts w:ascii="Arial" w:hAnsi="Arial" w:cs="Arial"/>
          <w:sz w:val="19"/>
          <w:szCs w:val="19"/>
        </w:rPr>
        <w:t xml:space="preserve">Luis </w:t>
      </w:r>
      <w:r w:rsidRPr="00D44302">
        <w:rPr>
          <w:rFonts w:ascii="Arial" w:hAnsi="Arial" w:cs="Arial"/>
          <w:sz w:val="19"/>
          <w:szCs w:val="19"/>
        </w:rPr>
        <w:t>Guillemo. Régimen jurídico de la contratación estatal. Bogotá: Legis, 2016. p. 456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21550930" w:rsidR="00906B3C" w:rsidRPr="003F58A1" w:rsidRDefault="00906B3C" w:rsidP="008614E5">
    <w:pPr>
      <w:spacing w:after="0"/>
      <w:rPr>
        <w:rFonts w:ascii="Geomanist Bold" w:hAnsi="Geomanist Bold"/>
        <w:color w:val="002060"/>
        <w:sz w:val="24"/>
        <w:szCs w:val="24"/>
      </w:rPr>
    </w:pPr>
    <w:r w:rsidRPr="008614E5">
      <w:rPr>
        <w:rFonts w:eastAsia="Arial Nova" w:cs="Arial Nova"/>
        <w:noProof/>
        <w:sz w:val="24"/>
        <w:szCs w:val="24"/>
        <w:lang w:val="en-US"/>
      </w:rPr>
      <w:drawing>
        <wp:anchor distT="0" distB="0" distL="0" distR="0" simplePos="0" relativeHeight="251658240" behindDoc="1" locked="0" layoutInCell="1" hidden="0" allowOverlap="1" wp14:anchorId="30C7B261" wp14:editId="22B1ADD7">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 w:val="24"/>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06B3C" w:rsidRPr="00367110" w14:paraId="28C3C57E" w14:textId="77777777" w:rsidTr="00807CB5">
      <w:tc>
        <w:tcPr>
          <w:tcW w:w="6756" w:type="dxa"/>
        </w:tcPr>
        <w:p w14:paraId="1B33C88C" w14:textId="24816195" w:rsidR="00906B3C" w:rsidRPr="006478E3" w:rsidRDefault="00906B3C" w:rsidP="00906B3C">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sidR="00CD284F">
            <w:rPr>
              <w:rFonts w:ascii="Geomanist Light" w:eastAsia="Geo" w:hAnsi="Geomanist Light" w:cs="Geo"/>
              <w:b/>
              <w:color w:val="000000"/>
              <w:sz w:val="18"/>
              <w:szCs w:val="18"/>
              <w:lang w:eastAsia="es-CO"/>
            </w:rPr>
            <w:t>08</w:t>
          </w:r>
        </w:p>
        <w:p w14:paraId="2CA171C3" w14:textId="29EA00BF" w:rsidR="00906B3C" w:rsidRPr="0057618A" w:rsidRDefault="00906B3C" w:rsidP="00906B3C">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sidR="00820F5B">
            <w:rPr>
              <w:rFonts w:ascii="Geomanist Light" w:eastAsia="Geo" w:hAnsi="Geomanist Light" w:cs="Geo"/>
              <w:sz w:val="18"/>
              <w:szCs w:val="18"/>
              <w:lang w:eastAsia="es-CO"/>
            </w:rPr>
            <w:t>30</w:t>
          </w:r>
          <w:r w:rsidR="00CD284F">
            <w:rPr>
              <w:rFonts w:ascii="Geomanist Light" w:eastAsia="Geo" w:hAnsi="Geomanist Light" w:cs="Geo"/>
              <w:sz w:val="18"/>
              <w:szCs w:val="18"/>
              <w:lang w:eastAsia="es-CO"/>
            </w:rPr>
            <w:t xml:space="preserve"> DE AGOSTO DE 2022</w:t>
          </w:r>
        </w:p>
      </w:tc>
      <w:tc>
        <w:tcPr>
          <w:tcW w:w="1324" w:type="dxa"/>
        </w:tcPr>
        <w:p w14:paraId="48960395" w14:textId="67436FFD" w:rsidR="00906B3C" w:rsidRPr="00367110" w:rsidRDefault="00906B3C" w:rsidP="00906B3C">
          <w:pPr>
            <w:jc w:val="right"/>
            <w:rPr>
              <w:rFonts w:eastAsia="Arial Nova" w:cs="Arial Nova"/>
              <w:lang w:eastAsia="es-CO"/>
            </w:rPr>
          </w:pPr>
        </w:p>
      </w:tc>
      <w:tc>
        <w:tcPr>
          <w:tcW w:w="1324" w:type="dxa"/>
        </w:tcPr>
        <w:p w14:paraId="3E143861" w14:textId="77777777" w:rsidR="00906B3C" w:rsidRPr="00367110" w:rsidRDefault="00906B3C" w:rsidP="00906B3C">
          <w:pPr>
            <w:jc w:val="right"/>
            <w:rPr>
              <w:rFonts w:eastAsia="Arial Nova" w:cs="Arial Nova"/>
              <w:lang w:eastAsia="es-CO"/>
            </w:rPr>
          </w:pPr>
        </w:p>
      </w:tc>
    </w:tr>
  </w:tbl>
  <w:p w14:paraId="1D9AD711" w14:textId="29BD2D08" w:rsidR="004A1847" w:rsidRPr="00906B3C" w:rsidRDefault="00906B3C" w:rsidP="00906B3C">
    <w:pPr>
      <w:pStyle w:val="Encabezado"/>
      <w:tabs>
        <w:tab w:val="clear" w:pos="4419"/>
        <w:tab w:val="clear" w:pos="8838"/>
      </w:tabs>
      <w:ind w:left="3545" w:firstLine="709"/>
      <w:rPr>
        <w:b/>
        <w:bCs/>
        <w:color w:val="A5A5A5" w:themeColor="accent3"/>
        <w:sz w:val="18"/>
        <w:szCs w:val="18"/>
      </w:rPr>
    </w:pPr>
    <w:r w:rsidRPr="00367110">
      <w:rPr>
        <w:rFonts w:eastAsia="Arial Nova" w:cs="Arial Nova"/>
        <w:noProof/>
        <w:color w:val="000000"/>
        <w:lang w:val="en-US"/>
      </w:rPr>
      <w:drawing>
        <wp:anchor distT="0" distB="0" distL="114300" distR="114300" simplePos="0" relativeHeight="251658241" behindDoc="1" locked="0" layoutInCell="1" allowOverlap="1" wp14:anchorId="0E3A0652" wp14:editId="2766B874">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5" w15:restartNumberingAfterBreak="0">
    <w:nsid w:val="4BDC0906"/>
    <w:multiLevelType w:val="hybridMultilevel"/>
    <w:tmpl w:val="5900AA02"/>
    <w:lvl w:ilvl="0" w:tplc="87D431B4">
      <w:start w:val="1"/>
      <w:numFmt w:val="upperLetter"/>
      <w:lvlText w:val="%1."/>
      <w:lvlJc w:val="left"/>
      <w:pPr>
        <w:ind w:left="720" w:hanging="360"/>
      </w:pPr>
      <w:rPr>
        <w:rFonts w:ascii="Arial" w:hAnsi="Arial" w:cs="Arial" w:hint="default"/>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51915CBF"/>
    <w:multiLevelType w:val="multilevel"/>
    <w:tmpl w:val="CDD4E5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3A846BD"/>
    <w:multiLevelType w:val="hybridMultilevel"/>
    <w:tmpl w:val="3AE4AA2C"/>
    <w:lvl w:ilvl="0" w:tplc="5E44AF1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4382016">
    <w:abstractNumId w:val="3"/>
  </w:num>
  <w:num w:numId="2" w16cid:durableId="1158417795">
    <w:abstractNumId w:val="1"/>
  </w:num>
  <w:num w:numId="3" w16cid:durableId="282199876">
    <w:abstractNumId w:val="2"/>
  </w:num>
  <w:num w:numId="4" w16cid:durableId="1650330712">
    <w:abstractNumId w:val="0"/>
  </w:num>
  <w:num w:numId="5" w16cid:durableId="1198277446">
    <w:abstractNumId w:val="4"/>
  </w:num>
  <w:num w:numId="6" w16cid:durableId="144029621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2915218">
    <w:abstractNumId w:val="6"/>
  </w:num>
  <w:num w:numId="8" w16cid:durableId="782269077">
    <w:abstractNumId w:val="5"/>
  </w:num>
  <w:num w:numId="9" w16cid:durableId="15595880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6A96"/>
    <w:rsid w:val="000123C0"/>
    <w:rsid w:val="00042F76"/>
    <w:rsid w:val="00062F54"/>
    <w:rsid w:val="00083334"/>
    <w:rsid w:val="000926F9"/>
    <w:rsid w:val="000956CF"/>
    <w:rsid w:val="000A683E"/>
    <w:rsid w:val="000D1499"/>
    <w:rsid w:val="000E1A87"/>
    <w:rsid w:val="000E1AFA"/>
    <w:rsid w:val="00113434"/>
    <w:rsid w:val="0011595A"/>
    <w:rsid w:val="00117F0E"/>
    <w:rsid w:val="001220C5"/>
    <w:rsid w:val="001267F7"/>
    <w:rsid w:val="00127233"/>
    <w:rsid w:val="0013375F"/>
    <w:rsid w:val="00164D81"/>
    <w:rsid w:val="001A1011"/>
    <w:rsid w:val="002449A8"/>
    <w:rsid w:val="002653C1"/>
    <w:rsid w:val="002854EB"/>
    <w:rsid w:val="00291FB5"/>
    <w:rsid w:val="002951A0"/>
    <w:rsid w:val="002A64FD"/>
    <w:rsid w:val="002A77B5"/>
    <w:rsid w:val="002B282F"/>
    <w:rsid w:val="00310B9B"/>
    <w:rsid w:val="00321669"/>
    <w:rsid w:val="00344914"/>
    <w:rsid w:val="0036461C"/>
    <w:rsid w:val="00367884"/>
    <w:rsid w:val="00382303"/>
    <w:rsid w:val="0039439C"/>
    <w:rsid w:val="003B69E7"/>
    <w:rsid w:val="003C013B"/>
    <w:rsid w:val="003D0F4D"/>
    <w:rsid w:val="003F58A1"/>
    <w:rsid w:val="00410DD6"/>
    <w:rsid w:val="004134C9"/>
    <w:rsid w:val="00417B40"/>
    <w:rsid w:val="0042358C"/>
    <w:rsid w:val="00445823"/>
    <w:rsid w:val="00462A59"/>
    <w:rsid w:val="00476D37"/>
    <w:rsid w:val="004875A5"/>
    <w:rsid w:val="004A1847"/>
    <w:rsid w:val="004B6B0E"/>
    <w:rsid w:val="004D25B3"/>
    <w:rsid w:val="004F577F"/>
    <w:rsid w:val="00511405"/>
    <w:rsid w:val="00526E9D"/>
    <w:rsid w:val="00547A74"/>
    <w:rsid w:val="005566E8"/>
    <w:rsid w:val="005746AB"/>
    <w:rsid w:val="005D65C8"/>
    <w:rsid w:val="006219F8"/>
    <w:rsid w:val="00644A46"/>
    <w:rsid w:val="00681FDB"/>
    <w:rsid w:val="006A7DAD"/>
    <w:rsid w:val="006C460F"/>
    <w:rsid w:val="006D70BA"/>
    <w:rsid w:val="00725849"/>
    <w:rsid w:val="00734D2D"/>
    <w:rsid w:val="00737215"/>
    <w:rsid w:val="00740A42"/>
    <w:rsid w:val="00753C66"/>
    <w:rsid w:val="0077144B"/>
    <w:rsid w:val="00795542"/>
    <w:rsid w:val="007D2B84"/>
    <w:rsid w:val="007F2B7C"/>
    <w:rsid w:val="00807FCC"/>
    <w:rsid w:val="008120F9"/>
    <w:rsid w:val="00814E08"/>
    <w:rsid w:val="00820F5B"/>
    <w:rsid w:val="00833452"/>
    <w:rsid w:val="0084662A"/>
    <w:rsid w:val="00857734"/>
    <w:rsid w:val="008614E5"/>
    <w:rsid w:val="008678EB"/>
    <w:rsid w:val="00881C10"/>
    <w:rsid w:val="008A113B"/>
    <w:rsid w:val="008A2823"/>
    <w:rsid w:val="008C20BE"/>
    <w:rsid w:val="008C42A8"/>
    <w:rsid w:val="008C4846"/>
    <w:rsid w:val="008D5C70"/>
    <w:rsid w:val="009025AF"/>
    <w:rsid w:val="00904F23"/>
    <w:rsid w:val="00906B3C"/>
    <w:rsid w:val="00917C28"/>
    <w:rsid w:val="00957616"/>
    <w:rsid w:val="009F33F2"/>
    <w:rsid w:val="00A07532"/>
    <w:rsid w:val="00A103AB"/>
    <w:rsid w:val="00A1085C"/>
    <w:rsid w:val="00A14C29"/>
    <w:rsid w:val="00A309E2"/>
    <w:rsid w:val="00A8066E"/>
    <w:rsid w:val="00AA4B8A"/>
    <w:rsid w:val="00AA6BF7"/>
    <w:rsid w:val="00AC4911"/>
    <w:rsid w:val="00B06D09"/>
    <w:rsid w:val="00B32CF9"/>
    <w:rsid w:val="00B771A9"/>
    <w:rsid w:val="00B809BB"/>
    <w:rsid w:val="00B8248A"/>
    <w:rsid w:val="00C30461"/>
    <w:rsid w:val="00C50F6A"/>
    <w:rsid w:val="00C7534B"/>
    <w:rsid w:val="00C754BE"/>
    <w:rsid w:val="00CC1B26"/>
    <w:rsid w:val="00CD284F"/>
    <w:rsid w:val="00CE3EA1"/>
    <w:rsid w:val="00CF23AA"/>
    <w:rsid w:val="00D01921"/>
    <w:rsid w:val="00D1572C"/>
    <w:rsid w:val="00D44302"/>
    <w:rsid w:val="00D47394"/>
    <w:rsid w:val="00D752B7"/>
    <w:rsid w:val="00DA1854"/>
    <w:rsid w:val="00DA240B"/>
    <w:rsid w:val="00DA5DDE"/>
    <w:rsid w:val="00DE38AB"/>
    <w:rsid w:val="00E20894"/>
    <w:rsid w:val="00E26B7C"/>
    <w:rsid w:val="00E301E6"/>
    <w:rsid w:val="00E829A3"/>
    <w:rsid w:val="00E859DD"/>
    <w:rsid w:val="00E85C6F"/>
    <w:rsid w:val="00E87DDB"/>
    <w:rsid w:val="00EB66DA"/>
    <w:rsid w:val="00EC64CD"/>
    <w:rsid w:val="00F40AF1"/>
    <w:rsid w:val="00F449DF"/>
    <w:rsid w:val="00F5255A"/>
    <w:rsid w:val="00F57589"/>
    <w:rsid w:val="00F605F2"/>
    <w:rsid w:val="00F73942"/>
    <w:rsid w:val="00F76AFC"/>
    <w:rsid w:val="00F879A2"/>
    <w:rsid w:val="00FA5516"/>
    <w:rsid w:val="00FC79DE"/>
    <w:rsid w:val="00FD6F73"/>
    <w:rsid w:val="00FD7A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table" w:customStyle="1" w:styleId="Tablaconcuadrcula1">
    <w:name w:val="Tabla con cuadrícula1"/>
    <w:basedOn w:val="Tablanormal"/>
    <w:next w:val="Tablaconcuadrcula"/>
    <w:uiPriority w:val="59"/>
    <w:qFormat/>
    <w:rsid w:val="00F40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F40AF1"/>
    <w:pPr>
      <w:spacing w:line="240" w:lineRule="exact"/>
    </w:pPr>
    <w:rPr>
      <w:vertAlign w:val="superscript"/>
    </w:rPr>
  </w:style>
  <w:style w:type="character" w:styleId="Hipervnculo">
    <w:name w:val="Hyperlink"/>
    <w:basedOn w:val="Fuentedeprrafopredeter"/>
    <w:uiPriority w:val="99"/>
    <w:unhideWhenUsed/>
    <w:rsid w:val="00F40AF1"/>
    <w:rPr>
      <w:color w:val="0563C1" w:themeColor="hyperlink"/>
      <w:u w:val="single"/>
    </w:rPr>
  </w:style>
  <w:style w:type="paragraph" w:styleId="Textoindependiente">
    <w:name w:val="Body Text"/>
    <w:basedOn w:val="Normal"/>
    <w:link w:val="TextoindependienteCar"/>
    <w:uiPriority w:val="99"/>
    <w:unhideWhenUsed/>
    <w:rsid w:val="00F40AF1"/>
    <w:pPr>
      <w:spacing w:after="120"/>
    </w:pPr>
  </w:style>
  <w:style w:type="character" w:customStyle="1" w:styleId="TextoindependienteCar">
    <w:name w:val="Texto independiente Car"/>
    <w:basedOn w:val="Fuentedeprrafopredeter"/>
    <w:link w:val="Textoindependiente"/>
    <w:uiPriority w:val="99"/>
    <w:rsid w:val="00F40AF1"/>
  </w:style>
  <w:style w:type="table" w:customStyle="1" w:styleId="Tablaconcuadrcula12">
    <w:name w:val="Tabla con cuadrícula12"/>
    <w:basedOn w:val="Tablanormal"/>
    <w:next w:val="Tablaconcuadrcula"/>
    <w:uiPriority w:val="59"/>
    <w:rsid w:val="00012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49A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438475">
      <w:bodyDiv w:val="1"/>
      <w:marLeft w:val="0"/>
      <w:marRight w:val="0"/>
      <w:marTop w:val="0"/>
      <w:marBottom w:val="0"/>
      <w:divBdr>
        <w:top w:val="none" w:sz="0" w:space="0" w:color="auto"/>
        <w:left w:val="none" w:sz="0" w:space="0" w:color="auto"/>
        <w:bottom w:val="none" w:sz="0" w:space="0" w:color="auto"/>
        <w:right w:val="none" w:sz="0" w:space="0" w:color="auto"/>
      </w:divBdr>
    </w:div>
    <w:div w:id="963123039">
      <w:bodyDiv w:val="1"/>
      <w:marLeft w:val="0"/>
      <w:marRight w:val="0"/>
      <w:marTop w:val="0"/>
      <w:marBottom w:val="0"/>
      <w:divBdr>
        <w:top w:val="none" w:sz="0" w:space="0" w:color="auto"/>
        <w:left w:val="none" w:sz="0" w:space="0" w:color="auto"/>
        <w:bottom w:val="none" w:sz="0" w:space="0" w:color="auto"/>
        <w:right w:val="none" w:sz="0" w:space="0" w:color="auto"/>
      </w:divBdr>
    </w:div>
    <w:div w:id="1126119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perfinanciera.gov.co/publicacion/6081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7765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882_2018.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62593815-96BA-4D44-8851-B95860736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752C9310-D59E-4BF9-9283-1D2FA64E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6447</Words>
  <Characters>35462</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Carlos Mario Castrillon Endo</cp:lastModifiedBy>
  <cp:revision>2</cp:revision>
  <dcterms:created xsi:type="dcterms:W3CDTF">2022-11-17T11:18:00Z</dcterms:created>
  <dcterms:modified xsi:type="dcterms:W3CDTF">2022-11-17T11:18:00Z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