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1F91" w14:textId="77777777" w:rsidR="001D3D8B" w:rsidRPr="0074631F" w:rsidRDefault="001D3D8B" w:rsidP="007A4176">
      <w:pPr>
        <w:spacing w:after="0" w:line="240" w:lineRule="auto"/>
        <w:jc w:val="both"/>
        <w:rPr>
          <w:rFonts w:ascii="Arial" w:eastAsia="Times New Roman" w:hAnsi="Arial" w:cs="Arial"/>
          <w:b/>
          <w:bCs/>
          <w:color w:val="000000"/>
          <w:szCs w:val="24"/>
          <w:lang w:val="es-ES_tradnl" w:eastAsia="es-ES_tradnl"/>
        </w:rPr>
      </w:pPr>
      <w:bookmarkStart w:id="0" w:name="_Hlk103947551"/>
    </w:p>
    <w:p w14:paraId="65EBF968" w14:textId="5847A6E2" w:rsidR="007A4176" w:rsidRPr="0074631F" w:rsidRDefault="00564560" w:rsidP="007A4176">
      <w:pPr>
        <w:spacing w:after="0" w:line="240" w:lineRule="auto"/>
        <w:jc w:val="both"/>
        <w:rPr>
          <w:rFonts w:ascii="Arial" w:eastAsia="Times New Roman" w:hAnsi="Arial" w:cs="Arial"/>
          <w:b/>
          <w:bCs/>
          <w:color w:val="000000"/>
          <w:szCs w:val="24"/>
          <w:lang w:val="es-ES_tradnl" w:eastAsia="es-ES_tradnl"/>
        </w:rPr>
      </w:pPr>
      <w:r w:rsidRPr="0074631F">
        <w:rPr>
          <w:rFonts w:ascii="Arial" w:eastAsia="Times New Roman" w:hAnsi="Arial" w:cs="Arial"/>
          <w:b/>
          <w:bCs/>
          <w:color w:val="000000"/>
          <w:szCs w:val="24"/>
          <w:lang w:val="es-ES_tradnl" w:eastAsia="es-ES_tradnl"/>
        </w:rPr>
        <w:t>SECOP</w:t>
      </w:r>
      <w:r w:rsidR="00A3799A" w:rsidRPr="0074631F">
        <w:rPr>
          <w:rFonts w:ascii="Arial" w:eastAsia="Times New Roman" w:hAnsi="Arial" w:cs="Arial"/>
          <w:b/>
          <w:bCs/>
          <w:color w:val="000000"/>
          <w:szCs w:val="24"/>
          <w:lang w:val="es-ES_tradnl" w:eastAsia="es-ES_tradnl"/>
        </w:rPr>
        <w:t xml:space="preserve"> </w:t>
      </w:r>
      <w:r w:rsidR="007A4176" w:rsidRPr="0074631F">
        <w:rPr>
          <w:rFonts w:ascii="Arial" w:eastAsia="Calibri" w:hAnsi="Arial" w:cs="Arial"/>
          <w:b/>
          <w:color w:val="000000"/>
          <w:szCs w:val="24"/>
          <w:lang w:val="es-ES_tradnl" w:eastAsia="es-ES_tradnl"/>
        </w:rPr>
        <w:t>–</w:t>
      </w:r>
      <w:r w:rsidR="007A4176" w:rsidRPr="0074631F">
        <w:rPr>
          <w:rFonts w:ascii="Arial" w:eastAsia="Times New Roman" w:hAnsi="Arial" w:cs="Arial"/>
          <w:b/>
          <w:bCs/>
          <w:color w:val="000000"/>
          <w:szCs w:val="24"/>
          <w:lang w:val="es-ES_tradnl" w:eastAsia="es-ES_tradnl"/>
        </w:rPr>
        <w:t xml:space="preserve"> </w:t>
      </w:r>
      <w:r w:rsidRPr="0074631F">
        <w:rPr>
          <w:rFonts w:ascii="Arial" w:eastAsia="Times New Roman" w:hAnsi="Arial" w:cs="Arial"/>
          <w:b/>
          <w:bCs/>
          <w:color w:val="000000"/>
          <w:szCs w:val="24"/>
          <w:lang w:val="es-ES_tradnl" w:eastAsia="es-ES_tradnl"/>
        </w:rPr>
        <w:t>Documentos del Proceso</w:t>
      </w:r>
      <w:r w:rsidR="007A4176" w:rsidRPr="0074631F">
        <w:rPr>
          <w:rFonts w:ascii="Arial" w:eastAsia="Times New Roman" w:hAnsi="Arial" w:cs="Arial"/>
          <w:b/>
          <w:bCs/>
          <w:color w:val="000000"/>
          <w:szCs w:val="24"/>
          <w:lang w:val="es-ES_tradnl" w:eastAsia="es-ES_tradnl"/>
        </w:rPr>
        <w:t xml:space="preserve"> </w:t>
      </w:r>
      <w:r w:rsidR="007A4176" w:rsidRPr="0074631F">
        <w:rPr>
          <w:rFonts w:ascii="Arial" w:eastAsia="Calibri" w:hAnsi="Arial" w:cs="Arial"/>
          <w:b/>
          <w:color w:val="000000"/>
          <w:szCs w:val="24"/>
          <w:lang w:val="es-ES_tradnl" w:eastAsia="es-ES_tradnl"/>
        </w:rPr>
        <w:t>–</w:t>
      </w:r>
      <w:r w:rsidR="007A4176" w:rsidRPr="0074631F">
        <w:rPr>
          <w:rFonts w:ascii="Arial" w:eastAsia="Times New Roman" w:hAnsi="Arial" w:cs="Arial"/>
          <w:b/>
          <w:bCs/>
          <w:color w:val="000000"/>
          <w:szCs w:val="24"/>
          <w:lang w:val="es-ES_tradnl" w:eastAsia="es-ES_tradnl"/>
        </w:rPr>
        <w:t xml:space="preserve"> </w:t>
      </w:r>
      <w:r w:rsidRPr="0074631F">
        <w:rPr>
          <w:rFonts w:ascii="Arial" w:eastAsia="Times New Roman" w:hAnsi="Arial" w:cs="Arial"/>
          <w:b/>
          <w:bCs/>
          <w:color w:val="000000"/>
          <w:szCs w:val="24"/>
          <w:lang w:val="es-ES_tradnl" w:eastAsia="es-ES_tradnl"/>
        </w:rPr>
        <w:t xml:space="preserve">Alcance </w:t>
      </w:r>
      <w:r w:rsidRPr="0074631F">
        <w:rPr>
          <w:rFonts w:ascii="Arial" w:eastAsia="Calibri" w:hAnsi="Arial" w:cs="Arial"/>
          <w:b/>
          <w:color w:val="000000"/>
          <w:szCs w:val="24"/>
          <w:lang w:val="es-ES_tradnl" w:eastAsia="es-ES_tradnl"/>
        </w:rPr>
        <w:t xml:space="preserve">– Reiteración – Ejemplos – </w:t>
      </w:r>
      <w:r w:rsidR="001D3D8B" w:rsidRPr="0074631F">
        <w:rPr>
          <w:rFonts w:ascii="Arial" w:eastAsia="Calibri" w:hAnsi="Arial" w:cs="Arial"/>
          <w:b/>
          <w:color w:val="000000"/>
          <w:szCs w:val="24"/>
          <w:lang w:val="es-ES_tradnl" w:eastAsia="es-ES_tradnl"/>
        </w:rPr>
        <w:t xml:space="preserve">Acta de suspensión – Acta de reinicio – Concepto </w:t>
      </w:r>
      <w:r w:rsidRPr="0074631F">
        <w:rPr>
          <w:rFonts w:ascii="Arial" w:eastAsia="Calibri" w:hAnsi="Arial" w:cs="Arial"/>
          <w:b/>
          <w:color w:val="000000"/>
          <w:szCs w:val="24"/>
          <w:lang w:val="es-ES_tradnl" w:eastAsia="es-ES_tradnl"/>
        </w:rPr>
        <w:t>CU</w:t>
      </w:r>
      <w:r w:rsidR="001D3D8B" w:rsidRPr="0074631F">
        <w:rPr>
          <w:rFonts w:ascii="Arial" w:eastAsia="Calibri" w:hAnsi="Arial" w:cs="Arial"/>
          <w:b/>
          <w:color w:val="000000"/>
          <w:szCs w:val="24"/>
          <w:lang w:val="es-ES_tradnl" w:eastAsia="es-ES_tradnl"/>
        </w:rPr>
        <w:t>-367 de 2020</w:t>
      </w:r>
    </w:p>
    <w:p w14:paraId="28CBED8A" w14:textId="77777777" w:rsidR="007A4176" w:rsidRPr="0074631F" w:rsidRDefault="007A4176" w:rsidP="007A4176">
      <w:pPr>
        <w:spacing w:after="0" w:line="240" w:lineRule="auto"/>
        <w:jc w:val="both"/>
        <w:rPr>
          <w:rFonts w:ascii="Arial" w:eastAsia="Times New Roman" w:hAnsi="Arial" w:cs="Arial"/>
          <w:color w:val="000000"/>
          <w:sz w:val="20"/>
          <w:szCs w:val="20"/>
          <w:lang w:val="es-ES_tradnl" w:eastAsia="es-ES_tradnl"/>
        </w:rPr>
      </w:pPr>
    </w:p>
    <w:p w14:paraId="1AF5B27C" w14:textId="112BADA8" w:rsidR="001D3D8B" w:rsidRPr="0074631F" w:rsidRDefault="001D3D8B" w:rsidP="001D3D8B">
      <w:pPr>
        <w:spacing w:after="0" w:line="240" w:lineRule="auto"/>
        <w:jc w:val="both"/>
        <w:rPr>
          <w:rFonts w:ascii="Arial" w:eastAsia="Calibri" w:hAnsi="Arial" w:cs="Arial"/>
          <w:sz w:val="20"/>
          <w:szCs w:val="20"/>
          <w:lang w:val="es-ES"/>
        </w:rPr>
      </w:pPr>
      <w:r w:rsidRPr="0074631F">
        <w:rPr>
          <w:rFonts w:ascii="Arial" w:eastAsia="Calibri" w:hAnsi="Arial" w:cs="Arial"/>
          <w:sz w:val="20"/>
          <w:szCs w:val="20"/>
          <w:lang w:val="es-ES"/>
        </w:rPr>
        <w:t xml:space="preserve">[…], con base en los fundamentos normativos y argumentos expuestos, además del Plan Anual de Adquisiciones, las entidades estatales regidas por el EGCAP deberán publicar en SECOP, entre otros, los siguientes documentos expedidos con ocasión del </w:t>
      </w:r>
      <w:r w:rsidRPr="0074631F">
        <w:rPr>
          <w:rFonts w:ascii="Arial" w:eastAsia="Calibri" w:hAnsi="Arial" w:cs="Arial"/>
          <w:i/>
          <w:iCs/>
          <w:sz w:val="20"/>
          <w:szCs w:val="20"/>
          <w:lang w:val="es-ES"/>
        </w:rPr>
        <w:t>proceso de contratación</w:t>
      </w:r>
      <w:r w:rsidRPr="0074631F">
        <w:rPr>
          <w:rFonts w:ascii="Arial" w:eastAsia="Calibri" w:hAnsi="Arial" w:cs="Arial"/>
          <w:sz w:val="20"/>
          <w:szCs w:val="20"/>
          <w:lang w:val="es-ES"/>
        </w:rPr>
        <w:t xml:space="preserve">: i) el estudio de oportunidad y conveniencia; </w:t>
      </w:r>
      <w:proofErr w:type="spellStart"/>
      <w:r w:rsidRPr="0074631F">
        <w:rPr>
          <w:rFonts w:ascii="Arial" w:eastAsia="Calibri" w:hAnsi="Arial" w:cs="Arial"/>
          <w:sz w:val="20"/>
          <w:szCs w:val="20"/>
          <w:lang w:val="es-ES"/>
        </w:rPr>
        <w:t>ii</w:t>
      </w:r>
      <w:proofErr w:type="spellEnd"/>
      <w:r w:rsidRPr="0074631F">
        <w:rPr>
          <w:rFonts w:ascii="Arial" w:eastAsia="Calibri" w:hAnsi="Arial" w:cs="Arial"/>
          <w:sz w:val="20"/>
          <w:szCs w:val="20"/>
          <w:lang w:val="es-ES"/>
        </w:rPr>
        <w:t xml:space="preserve">) los estudios y documentos previos –técnicos o no–; </w:t>
      </w:r>
      <w:proofErr w:type="spellStart"/>
      <w:r w:rsidRPr="0074631F">
        <w:rPr>
          <w:rFonts w:ascii="Arial" w:eastAsia="Calibri" w:hAnsi="Arial" w:cs="Arial"/>
          <w:sz w:val="20"/>
          <w:szCs w:val="20"/>
          <w:lang w:val="es-ES"/>
        </w:rPr>
        <w:t>iii</w:t>
      </w:r>
      <w:proofErr w:type="spellEnd"/>
      <w:r w:rsidRPr="0074631F">
        <w:rPr>
          <w:rFonts w:ascii="Arial" w:eastAsia="Calibri" w:hAnsi="Arial" w:cs="Arial"/>
          <w:sz w:val="20"/>
          <w:szCs w:val="20"/>
          <w:lang w:val="es-ES"/>
        </w:rPr>
        <w:t xml:space="preserve">) el  aviso de convocatoria; </w:t>
      </w:r>
      <w:proofErr w:type="spellStart"/>
      <w:r w:rsidRPr="0074631F">
        <w:rPr>
          <w:rFonts w:ascii="Arial" w:eastAsia="Calibri" w:hAnsi="Arial" w:cs="Arial"/>
          <w:sz w:val="20"/>
          <w:szCs w:val="20"/>
          <w:lang w:val="es-ES"/>
        </w:rPr>
        <w:t>iv</w:t>
      </w:r>
      <w:proofErr w:type="spellEnd"/>
      <w:r w:rsidRPr="0074631F">
        <w:rPr>
          <w:rFonts w:ascii="Arial" w:eastAsia="Calibri" w:hAnsi="Arial" w:cs="Arial"/>
          <w:sz w:val="20"/>
          <w:szCs w:val="20"/>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74631F">
        <w:rPr>
          <w:rFonts w:ascii="Arial" w:eastAsia="Calibri" w:hAnsi="Arial" w:cs="Arial"/>
          <w:sz w:val="20"/>
          <w:szCs w:val="20"/>
          <w:lang w:val="es-ES"/>
        </w:rPr>
        <w:t>vii</w:t>
      </w:r>
      <w:proofErr w:type="spellEnd"/>
      <w:r w:rsidRPr="0074631F">
        <w:rPr>
          <w:rFonts w:ascii="Arial" w:eastAsia="Calibri" w:hAnsi="Arial" w:cs="Arial"/>
          <w:sz w:val="20"/>
          <w:szCs w:val="20"/>
          <w:lang w:val="es-ES"/>
        </w:rPr>
        <w:t xml:space="preserve">) el acta de cierre del plazo para presentar ofertas; </w:t>
      </w:r>
      <w:proofErr w:type="spellStart"/>
      <w:r w:rsidRPr="0074631F">
        <w:rPr>
          <w:rFonts w:ascii="Arial" w:eastAsia="Calibri" w:hAnsi="Arial" w:cs="Arial"/>
          <w:sz w:val="20"/>
          <w:szCs w:val="20"/>
          <w:lang w:val="es-ES"/>
        </w:rPr>
        <w:t>viii</w:t>
      </w:r>
      <w:proofErr w:type="spellEnd"/>
      <w:r w:rsidRPr="0074631F">
        <w:rPr>
          <w:rFonts w:ascii="Arial" w:eastAsia="Calibri" w:hAnsi="Arial" w:cs="Arial"/>
          <w:sz w:val="20"/>
          <w:szCs w:val="20"/>
          <w:lang w:val="es-ES"/>
        </w:rPr>
        <w:t xml:space="preserve">) las adendas; </w:t>
      </w:r>
      <w:proofErr w:type="spellStart"/>
      <w:r w:rsidRPr="0074631F">
        <w:rPr>
          <w:rFonts w:ascii="Arial" w:eastAsia="Calibri" w:hAnsi="Arial" w:cs="Arial"/>
          <w:sz w:val="20"/>
          <w:szCs w:val="20"/>
          <w:lang w:val="es-ES"/>
        </w:rPr>
        <w:t>ix</w:t>
      </w:r>
      <w:proofErr w:type="spellEnd"/>
      <w:r w:rsidRPr="0074631F">
        <w:rPr>
          <w:rFonts w:ascii="Arial" w:eastAsia="Calibri" w:hAnsi="Arial" w:cs="Arial"/>
          <w:sz w:val="20"/>
          <w:szCs w:val="20"/>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74631F">
        <w:rPr>
          <w:rFonts w:ascii="Arial" w:eastAsia="Calibri" w:hAnsi="Arial" w:cs="Arial"/>
          <w:sz w:val="20"/>
          <w:szCs w:val="20"/>
          <w:lang w:val="es-ES"/>
        </w:rPr>
        <w:t>xii</w:t>
      </w:r>
      <w:proofErr w:type="spellEnd"/>
      <w:r w:rsidRPr="0074631F">
        <w:rPr>
          <w:rFonts w:ascii="Arial" w:eastAsia="Calibri" w:hAnsi="Arial" w:cs="Arial"/>
          <w:sz w:val="20"/>
          <w:szCs w:val="20"/>
          <w:lang w:val="es-ES"/>
        </w:rPr>
        <w:t xml:space="preserve">) las respuestas a las observaciones; </w:t>
      </w:r>
      <w:proofErr w:type="spellStart"/>
      <w:r w:rsidRPr="0074631F">
        <w:rPr>
          <w:rFonts w:ascii="Arial" w:eastAsia="Calibri" w:hAnsi="Arial" w:cs="Arial"/>
          <w:sz w:val="20"/>
          <w:szCs w:val="20"/>
          <w:lang w:val="es-ES"/>
        </w:rPr>
        <w:t>xiii</w:t>
      </w:r>
      <w:proofErr w:type="spellEnd"/>
      <w:r w:rsidRPr="0074631F">
        <w:rPr>
          <w:rFonts w:ascii="Arial" w:eastAsia="Calibri" w:hAnsi="Arial" w:cs="Arial"/>
          <w:sz w:val="20"/>
          <w:szCs w:val="20"/>
          <w:lang w:val="es-ES"/>
        </w:rPr>
        <w:t xml:space="preserve">) el contrato y los otrosíes o modificaciones; </w:t>
      </w:r>
      <w:proofErr w:type="spellStart"/>
      <w:r w:rsidRPr="0074631F">
        <w:rPr>
          <w:rFonts w:ascii="Arial" w:eastAsia="Calibri" w:hAnsi="Arial" w:cs="Arial"/>
          <w:sz w:val="20"/>
          <w:szCs w:val="20"/>
          <w:lang w:val="es-ES"/>
        </w:rPr>
        <w:t>xiv</w:t>
      </w:r>
      <w:proofErr w:type="spellEnd"/>
      <w:r w:rsidRPr="0074631F">
        <w:rPr>
          <w:rFonts w:ascii="Arial" w:eastAsia="Calibri" w:hAnsi="Arial" w:cs="Arial"/>
          <w:sz w:val="20"/>
          <w:szCs w:val="20"/>
          <w:lang w:val="es-ES"/>
        </w:rPr>
        <w:t xml:space="preserve">) el acta de inicio; </w:t>
      </w:r>
      <w:proofErr w:type="spellStart"/>
      <w:r w:rsidRPr="0074631F">
        <w:rPr>
          <w:rFonts w:ascii="Arial" w:eastAsia="Calibri" w:hAnsi="Arial" w:cs="Arial"/>
          <w:sz w:val="20"/>
          <w:szCs w:val="20"/>
          <w:lang w:val="es-ES"/>
        </w:rPr>
        <w:t>xv</w:t>
      </w:r>
      <w:proofErr w:type="spellEnd"/>
      <w:r w:rsidRPr="0074631F">
        <w:rPr>
          <w:rFonts w:ascii="Arial" w:eastAsia="Calibri" w:hAnsi="Arial" w:cs="Arial"/>
          <w:sz w:val="20"/>
          <w:szCs w:val="20"/>
          <w:lang w:val="es-ES"/>
        </w:rPr>
        <w:t xml:space="preserve">) las garantías; </w:t>
      </w:r>
      <w:proofErr w:type="spellStart"/>
      <w:r w:rsidRPr="0074631F">
        <w:rPr>
          <w:rFonts w:ascii="Arial" w:eastAsia="Calibri" w:hAnsi="Arial" w:cs="Arial"/>
          <w:sz w:val="20"/>
          <w:szCs w:val="20"/>
          <w:lang w:val="es-ES"/>
        </w:rPr>
        <w:t>xvi</w:t>
      </w:r>
      <w:proofErr w:type="spellEnd"/>
      <w:r w:rsidRPr="0074631F">
        <w:rPr>
          <w:rFonts w:ascii="Arial" w:eastAsia="Calibri" w:hAnsi="Arial" w:cs="Arial"/>
          <w:sz w:val="20"/>
          <w:szCs w:val="20"/>
          <w:lang w:val="es-ES"/>
        </w:rPr>
        <w:t xml:space="preserve">) el acta de liquidación; </w:t>
      </w:r>
      <w:proofErr w:type="spellStart"/>
      <w:r w:rsidRPr="0074631F">
        <w:rPr>
          <w:rFonts w:ascii="Arial" w:eastAsia="Calibri" w:hAnsi="Arial" w:cs="Arial"/>
          <w:sz w:val="20"/>
          <w:szCs w:val="20"/>
          <w:lang w:val="es-ES"/>
        </w:rPr>
        <w:t>xvii</w:t>
      </w:r>
      <w:proofErr w:type="spellEnd"/>
      <w:r w:rsidRPr="0074631F">
        <w:rPr>
          <w:rFonts w:ascii="Arial" w:eastAsia="Calibri" w:hAnsi="Arial" w:cs="Arial"/>
          <w:sz w:val="20"/>
          <w:szCs w:val="20"/>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74631F">
        <w:rPr>
          <w:rFonts w:ascii="Arial" w:eastAsia="Calibri" w:hAnsi="Arial" w:cs="Arial"/>
          <w:sz w:val="20"/>
          <w:szCs w:val="20"/>
          <w:lang w:val="es-ES"/>
        </w:rPr>
        <w:t>xviii</w:t>
      </w:r>
      <w:proofErr w:type="spellEnd"/>
      <w:r w:rsidRPr="0074631F">
        <w:rPr>
          <w:rFonts w:ascii="Arial" w:eastAsia="Calibri" w:hAnsi="Arial" w:cs="Arial"/>
          <w:sz w:val="20"/>
          <w:szCs w:val="20"/>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74631F">
        <w:rPr>
          <w:rFonts w:ascii="Arial" w:eastAsia="Calibri" w:hAnsi="Arial" w:cs="Arial"/>
          <w:sz w:val="20"/>
          <w:szCs w:val="20"/>
          <w:lang w:val="es-ES"/>
        </w:rPr>
        <w:t>xix</w:t>
      </w:r>
      <w:proofErr w:type="spellEnd"/>
      <w:r w:rsidRPr="0074631F">
        <w:rPr>
          <w:rFonts w:ascii="Arial" w:eastAsia="Calibri" w:hAnsi="Arial" w:cs="Arial"/>
          <w:sz w:val="20"/>
          <w:szCs w:val="20"/>
          <w:lang w:val="es-ES"/>
        </w:rPr>
        <w:t xml:space="preserve">) las reclamaciones que presenten las partes y las respuestas que se expidan a las mismas; </w:t>
      </w:r>
      <w:proofErr w:type="spellStart"/>
      <w:r w:rsidRPr="0074631F">
        <w:rPr>
          <w:rFonts w:ascii="Arial" w:eastAsia="Calibri" w:hAnsi="Arial" w:cs="Arial"/>
          <w:sz w:val="20"/>
          <w:szCs w:val="20"/>
          <w:lang w:val="es-ES"/>
        </w:rPr>
        <w:t>xx</w:t>
      </w:r>
      <w:proofErr w:type="spellEnd"/>
      <w:r w:rsidRPr="0074631F">
        <w:rPr>
          <w:rFonts w:ascii="Arial" w:eastAsia="Calibri" w:hAnsi="Arial" w:cs="Arial"/>
          <w:sz w:val="20"/>
          <w:szCs w:val="20"/>
          <w:lang w:val="es-ES"/>
        </w:rPr>
        <w:t xml:space="preserve">) </w:t>
      </w:r>
      <w:r w:rsidRPr="0074631F">
        <w:rPr>
          <w:rFonts w:ascii="Arial" w:eastAsia="Calibri" w:hAnsi="Arial" w:cs="Arial"/>
          <w:i/>
          <w:iCs/>
          <w:sz w:val="20"/>
          <w:szCs w:val="20"/>
          <w:lang w:val="es-ES"/>
        </w:rPr>
        <w:t>las actas de suspensión y de reinicio</w:t>
      </w:r>
      <w:r w:rsidR="00D151D6" w:rsidRPr="0074631F">
        <w:rPr>
          <w:rFonts w:ascii="Arial" w:eastAsia="Calibri" w:hAnsi="Arial" w:cs="Arial"/>
          <w:i/>
          <w:iCs/>
          <w:sz w:val="20"/>
          <w:szCs w:val="20"/>
          <w:lang w:val="es-ES"/>
        </w:rPr>
        <w:t xml:space="preserve"> del contrato</w:t>
      </w:r>
      <w:r w:rsidRPr="0074631F">
        <w:rPr>
          <w:rFonts w:ascii="Arial" w:eastAsia="Calibri" w:hAnsi="Arial" w:cs="Arial"/>
          <w:sz w:val="20"/>
          <w:szCs w:val="20"/>
          <w:lang w:val="es-ES"/>
        </w:rPr>
        <w:t xml:space="preserve">, </w:t>
      </w:r>
      <w:proofErr w:type="spellStart"/>
      <w:r w:rsidRPr="0074631F">
        <w:rPr>
          <w:rFonts w:ascii="Arial" w:eastAsia="Calibri" w:hAnsi="Arial" w:cs="Arial"/>
          <w:sz w:val="20"/>
          <w:szCs w:val="20"/>
          <w:lang w:val="es-ES"/>
        </w:rPr>
        <w:t>xxi</w:t>
      </w:r>
      <w:proofErr w:type="spellEnd"/>
      <w:r w:rsidRPr="0074631F">
        <w:rPr>
          <w:rFonts w:ascii="Arial" w:eastAsia="Calibri" w:hAnsi="Arial" w:cs="Arial"/>
          <w:sz w:val="20"/>
          <w:szCs w:val="20"/>
          <w:lang w:val="es-ES"/>
        </w:rPr>
        <w:t xml:space="preserve">) las actas de entrega o recibo, </w:t>
      </w:r>
      <w:proofErr w:type="spellStart"/>
      <w:r w:rsidRPr="0074631F">
        <w:rPr>
          <w:rFonts w:ascii="Arial" w:eastAsia="Calibri" w:hAnsi="Arial" w:cs="Arial"/>
          <w:sz w:val="20"/>
          <w:szCs w:val="20"/>
          <w:lang w:val="es-ES"/>
        </w:rPr>
        <w:t>xxii</w:t>
      </w:r>
      <w:proofErr w:type="spellEnd"/>
      <w:r w:rsidRPr="0074631F">
        <w:rPr>
          <w:rFonts w:ascii="Arial" w:eastAsia="Calibri" w:hAnsi="Arial" w:cs="Arial"/>
          <w:sz w:val="20"/>
          <w:szCs w:val="20"/>
          <w:lang w:val="es-ES"/>
        </w:rPr>
        <w:t xml:space="preserve">) los informes de supervisión y/o interventoría; </w:t>
      </w:r>
      <w:proofErr w:type="spellStart"/>
      <w:r w:rsidRPr="0074631F">
        <w:rPr>
          <w:rFonts w:ascii="Arial" w:eastAsia="Calibri" w:hAnsi="Arial" w:cs="Arial"/>
          <w:sz w:val="20"/>
          <w:szCs w:val="20"/>
          <w:lang w:val="es-ES"/>
        </w:rPr>
        <w:t>xxiii</w:t>
      </w:r>
      <w:proofErr w:type="spellEnd"/>
      <w:r w:rsidRPr="0074631F">
        <w:rPr>
          <w:rFonts w:ascii="Arial" w:eastAsia="Calibri" w:hAnsi="Arial" w:cs="Arial"/>
          <w:sz w:val="20"/>
          <w:szCs w:val="20"/>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74631F">
        <w:rPr>
          <w:rFonts w:ascii="Arial" w:eastAsia="Calibri" w:hAnsi="Arial" w:cs="Arial"/>
          <w:sz w:val="20"/>
          <w:szCs w:val="20"/>
          <w:lang w:val="es-ES"/>
        </w:rPr>
        <w:t>xxvi</w:t>
      </w:r>
      <w:proofErr w:type="spellEnd"/>
      <w:r w:rsidRPr="0074631F">
        <w:rPr>
          <w:rFonts w:ascii="Arial" w:eastAsia="Calibri" w:hAnsi="Arial" w:cs="Arial"/>
          <w:sz w:val="20"/>
          <w:szCs w:val="20"/>
          <w:lang w:val="es-ES"/>
        </w:rPr>
        <w:t xml:space="preserve">) la liquidación unilateral; y </w:t>
      </w:r>
      <w:proofErr w:type="spellStart"/>
      <w:r w:rsidRPr="0074631F">
        <w:rPr>
          <w:rFonts w:ascii="Arial" w:eastAsia="Calibri" w:hAnsi="Arial" w:cs="Arial"/>
          <w:sz w:val="20"/>
          <w:szCs w:val="20"/>
          <w:lang w:val="es-ES"/>
        </w:rPr>
        <w:t>xxv</w:t>
      </w:r>
      <w:proofErr w:type="spellEnd"/>
      <w:r w:rsidRPr="0074631F">
        <w:rPr>
          <w:rFonts w:ascii="Arial" w:eastAsia="Calibri" w:hAnsi="Arial" w:cs="Arial"/>
          <w:sz w:val="20"/>
          <w:szCs w:val="20"/>
          <w:lang w:val="es-ES"/>
        </w:rPr>
        <w:t xml:space="preserve">) en general cualquier otro documento producido o expedido con ocasión del </w:t>
      </w:r>
      <w:r w:rsidRPr="0074631F">
        <w:rPr>
          <w:rFonts w:ascii="Arial" w:eastAsia="Calibri" w:hAnsi="Arial" w:cs="Arial"/>
          <w:i/>
          <w:iCs/>
          <w:sz w:val="20"/>
          <w:szCs w:val="20"/>
          <w:lang w:val="es-ES"/>
        </w:rPr>
        <w:t>Proceso de Contratación</w:t>
      </w:r>
      <w:r w:rsidRPr="0074631F">
        <w:rPr>
          <w:rFonts w:ascii="Arial" w:eastAsia="Calibri" w:hAnsi="Arial" w:cs="Arial"/>
          <w:sz w:val="20"/>
          <w:szCs w:val="20"/>
          <w:lang w:val="es-ES"/>
        </w:rPr>
        <w:t>, sin importar quién sea su autor –la Administración o el contratista–, con excepción de los que pertenecen a</w:t>
      </w:r>
      <w:r w:rsidRPr="0074631F">
        <w:rPr>
          <w:rFonts w:ascii="Arial" w:eastAsia="Arial" w:hAnsi="Arial" w:cs="Arial"/>
          <w:sz w:val="20"/>
          <w:szCs w:val="20"/>
          <w:lang w:val="es-ES"/>
        </w:rPr>
        <w:t xml:space="preserve">l marco de operaciones de bolsa de productos, expresamente excluidos de publicación por el artículo 2.2.1.1.1.7.1. del Decreto 1082 de 2015. </w:t>
      </w:r>
    </w:p>
    <w:p w14:paraId="5610A9B4" w14:textId="77777777" w:rsidR="007A4176" w:rsidRPr="0074631F" w:rsidRDefault="007A4176" w:rsidP="007A4176">
      <w:pPr>
        <w:spacing w:after="0" w:line="240" w:lineRule="auto"/>
        <w:jc w:val="both"/>
        <w:rPr>
          <w:rFonts w:ascii="Arial" w:eastAsia="Times New Roman" w:hAnsi="Arial" w:cs="Arial"/>
          <w:color w:val="000000"/>
          <w:sz w:val="20"/>
          <w:szCs w:val="20"/>
          <w:lang w:val="es-ES_tradnl" w:eastAsia="es-ES_tradnl"/>
        </w:rPr>
      </w:pPr>
    </w:p>
    <w:p w14:paraId="16D72F8B" w14:textId="0E699874" w:rsidR="001D3D8B" w:rsidRPr="0074631F" w:rsidRDefault="001D3D8B" w:rsidP="001D3D8B">
      <w:pPr>
        <w:spacing w:after="0" w:line="240" w:lineRule="auto"/>
        <w:jc w:val="both"/>
        <w:rPr>
          <w:rFonts w:ascii="Arial" w:eastAsia="Times New Roman" w:hAnsi="Arial" w:cs="Arial"/>
          <w:b/>
          <w:bCs/>
          <w:color w:val="000000"/>
          <w:szCs w:val="24"/>
          <w:lang w:val="es-ES_tradnl" w:eastAsia="es-ES_tradnl"/>
        </w:rPr>
      </w:pPr>
      <w:r w:rsidRPr="0074631F">
        <w:rPr>
          <w:rFonts w:ascii="Arial" w:eastAsia="Times New Roman" w:hAnsi="Arial" w:cs="Arial"/>
          <w:b/>
          <w:bCs/>
          <w:color w:val="000000"/>
          <w:szCs w:val="24"/>
          <w:lang w:val="es-ES_tradnl" w:eastAsia="es-ES_tradnl"/>
        </w:rPr>
        <w:t xml:space="preserve">SECOP II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Definición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Carácter transaccional </w:t>
      </w:r>
      <w:r w:rsidRPr="0074631F">
        <w:rPr>
          <w:rFonts w:ascii="Arial" w:eastAsia="Calibri" w:hAnsi="Arial" w:cs="Arial"/>
          <w:b/>
          <w:color w:val="000000"/>
          <w:szCs w:val="24"/>
          <w:lang w:val="es-ES_tradnl" w:eastAsia="es-ES_tradnl"/>
        </w:rPr>
        <w:t xml:space="preserve">– </w:t>
      </w:r>
      <w:r w:rsidR="00282E19" w:rsidRPr="0074631F">
        <w:rPr>
          <w:rFonts w:ascii="Arial" w:eastAsia="Calibri" w:hAnsi="Arial" w:cs="Arial"/>
          <w:b/>
          <w:color w:val="000000"/>
          <w:szCs w:val="24"/>
          <w:lang w:val="es-ES_tradnl" w:eastAsia="es-ES_tradnl"/>
        </w:rPr>
        <w:t xml:space="preserve">Gestión en línea – </w:t>
      </w:r>
      <w:r w:rsidRPr="0074631F">
        <w:rPr>
          <w:rFonts w:ascii="Arial" w:eastAsia="Calibri" w:hAnsi="Arial" w:cs="Arial"/>
          <w:b/>
          <w:color w:val="000000"/>
          <w:szCs w:val="24"/>
          <w:lang w:val="es-ES_tradnl" w:eastAsia="es-ES_tradnl"/>
        </w:rPr>
        <w:t>Deber</w:t>
      </w:r>
    </w:p>
    <w:p w14:paraId="180C1834" w14:textId="77777777" w:rsidR="007A4176" w:rsidRPr="0074631F" w:rsidRDefault="007A4176" w:rsidP="007A4176">
      <w:pPr>
        <w:spacing w:after="0" w:line="240" w:lineRule="auto"/>
        <w:jc w:val="both"/>
        <w:rPr>
          <w:rFonts w:ascii="Arial" w:eastAsia="Times New Roman" w:hAnsi="Arial" w:cs="Arial"/>
          <w:color w:val="000000"/>
          <w:sz w:val="20"/>
          <w:szCs w:val="20"/>
          <w:lang w:val="es-ES_tradnl" w:eastAsia="es-ES_tradnl"/>
        </w:rPr>
      </w:pPr>
    </w:p>
    <w:p w14:paraId="79BD6B8B" w14:textId="77777777" w:rsidR="00282E19" w:rsidRPr="0074631F" w:rsidRDefault="001D3D8B" w:rsidP="00282E19">
      <w:pPr>
        <w:spacing w:after="0" w:line="240" w:lineRule="auto"/>
        <w:jc w:val="both"/>
        <w:rPr>
          <w:rFonts w:ascii="Arial" w:eastAsia="Calibri" w:hAnsi="Arial" w:cs="Arial"/>
          <w:sz w:val="20"/>
          <w:szCs w:val="20"/>
          <w:lang w:val="es-ES" w:eastAsia="es-ES_tradnl"/>
        </w:rPr>
      </w:pPr>
      <w:r w:rsidRPr="0074631F">
        <w:rPr>
          <w:rFonts w:ascii="Arial" w:eastAsia="Calibri" w:hAnsi="Arial" w:cs="Arial"/>
          <w:sz w:val="20"/>
          <w:szCs w:val="20"/>
          <w:lang w:val="es-ES" w:eastAsia="es-ES_tradnl"/>
        </w:rPr>
        <w:t xml:space="preserve">El SECOP II, </w:t>
      </w:r>
      <w:r w:rsidR="00282E19" w:rsidRPr="0074631F">
        <w:rPr>
          <w:rFonts w:ascii="Arial" w:eastAsia="Calibri" w:hAnsi="Arial" w:cs="Arial"/>
          <w:sz w:val="20"/>
          <w:szCs w:val="20"/>
          <w:lang w:val="es-ES" w:eastAsia="es-ES_tradnl"/>
        </w:rPr>
        <w:t>[…]</w:t>
      </w:r>
      <w:r w:rsidRPr="0074631F">
        <w:rPr>
          <w:rFonts w:ascii="Arial" w:eastAsia="Calibri" w:hAnsi="Arial" w:cs="Arial"/>
          <w:sz w:val="20"/>
          <w:szCs w:val="20"/>
          <w:lang w:val="es-ES" w:eastAsia="es-ES_tradnl"/>
        </w:rPr>
        <w:t xml:space="preserve">, es una plataforma </w:t>
      </w:r>
      <w:r w:rsidRPr="0074631F">
        <w:rPr>
          <w:rFonts w:ascii="Arial" w:eastAsia="Calibri" w:hAnsi="Arial" w:cs="Arial"/>
          <w:i/>
          <w:iCs/>
          <w:sz w:val="20"/>
          <w:szCs w:val="20"/>
          <w:lang w:val="es-ES" w:eastAsia="es-ES_tradnl"/>
        </w:rPr>
        <w:t>transaccional</w:t>
      </w:r>
      <w:r w:rsidRPr="0074631F">
        <w:rPr>
          <w:rFonts w:ascii="Arial" w:eastAsia="Calibri" w:hAnsi="Arial" w:cs="Arial"/>
          <w:sz w:val="20"/>
          <w:szCs w:val="20"/>
          <w:lang w:val="es-ES" w:eastAsia="es-ES_tradnl"/>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5DE7493" w14:textId="77777777" w:rsidR="00282E19" w:rsidRPr="0074631F" w:rsidRDefault="00282E19" w:rsidP="00282E19">
      <w:pPr>
        <w:spacing w:after="0" w:line="240" w:lineRule="auto"/>
        <w:jc w:val="both"/>
        <w:rPr>
          <w:rFonts w:ascii="Arial" w:eastAsia="Calibri" w:hAnsi="Arial" w:cs="Arial"/>
          <w:color w:val="000000"/>
          <w:sz w:val="20"/>
          <w:szCs w:val="20"/>
          <w:lang w:val="es-ES" w:eastAsia="es-ES_tradnl"/>
        </w:rPr>
      </w:pPr>
    </w:p>
    <w:p w14:paraId="1B81EE43" w14:textId="2DCA52FD" w:rsidR="00282E19" w:rsidRPr="0074631F" w:rsidRDefault="00282E19" w:rsidP="00282E19">
      <w:pPr>
        <w:spacing w:after="0" w:line="240" w:lineRule="auto"/>
        <w:jc w:val="both"/>
        <w:rPr>
          <w:rFonts w:ascii="Arial" w:eastAsia="Calibri" w:hAnsi="Arial" w:cs="Arial"/>
          <w:color w:val="000000"/>
          <w:sz w:val="20"/>
          <w:szCs w:val="20"/>
          <w:lang w:val="es-ES" w:eastAsia="es-ES_tradnl"/>
        </w:rPr>
      </w:pPr>
      <w:r w:rsidRPr="0074631F">
        <w:rPr>
          <w:rFonts w:ascii="Arial" w:eastAsia="Calibri" w:hAnsi="Arial" w:cs="Arial"/>
          <w:color w:val="000000"/>
          <w:sz w:val="20"/>
          <w:szCs w:val="20"/>
          <w:lang w:val="es-ES" w:eastAsia="es-ES_tradnl"/>
        </w:rPr>
        <w:t>[…]</w:t>
      </w:r>
    </w:p>
    <w:p w14:paraId="21DEF9BE" w14:textId="629E5276" w:rsidR="001D3D8B" w:rsidRPr="0074631F" w:rsidRDefault="001D3D8B" w:rsidP="00282E19">
      <w:pPr>
        <w:spacing w:after="0" w:line="240" w:lineRule="auto"/>
        <w:jc w:val="both"/>
        <w:rPr>
          <w:rFonts w:ascii="Arial" w:eastAsia="Calibri" w:hAnsi="Arial" w:cs="Arial"/>
          <w:sz w:val="20"/>
          <w:szCs w:val="20"/>
          <w:lang w:val="es-ES" w:eastAsia="es-ES_tradnl"/>
        </w:rPr>
      </w:pPr>
      <w:r w:rsidRPr="0074631F">
        <w:rPr>
          <w:rFonts w:ascii="Arial" w:eastAsia="Calibri" w:hAnsi="Arial" w:cs="Arial"/>
          <w:sz w:val="20"/>
          <w:szCs w:val="20"/>
          <w:lang w:val="es-ES" w:eastAsia="es-ES_tradnl"/>
        </w:rPr>
        <w:t xml:space="preserve">Sobre la utilización de SECOP II, es necesario aclarar, por tanto, que en esta plataforma el procedimiento contractual se debe desarrollar en línea, conformándose un expediente electrónico. Esto denota una diferencia con el SECOP I, donde el procedimiento es físico, o sea que está integrado por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como se explica a continuación. </w:t>
      </w:r>
    </w:p>
    <w:p w14:paraId="230951B8" w14:textId="77777777" w:rsidR="007A4176" w:rsidRPr="0074631F" w:rsidRDefault="007A4176" w:rsidP="007A4176">
      <w:pPr>
        <w:spacing w:after="0" w:line="276" w:lineRule="auto"/>
        <w:jc w:val="both"/>
        <w:rPr>
          <w:rFonts w:ascii="Arial" w:eastAsia="Calibri" w:hAnsi="Arial" w:cs="Arial"/>
          <w:color w:val="000000"/>
          <w:sz w:val="20"/>
          <w:szCs w:val="20"/>
          <w:lang w:val="es-ES_tradnl" w:eastAsia="es-ES_tradnl"/>
        </w:rPr>
      </w:pPr>
    </w:p>
    <w:p w14:paraId="3790B69E" w14:textId="77777777" w:rsidR="007A4176" w:rsidRPr="0074631F" w:rsidRDefault="007A4176" w:rsidP="007A4176">
      <w:pPr>
        <w:spacing w:after="0" w:line="276" w:lineRule="auto"/>
        <w:jc w:val="both"/>
        <w:rPr>
          <w:rFonts w:ascii="Arial" w:eastAsia="Calibri" w:hAnsi="Arial" w:cs="Arial"/>
          <w:color w:val="000000"/>
          <w:sz w:val="20"/>
          <w:szCs w:val="20"/>
          <w:lang w:val="es-ES_tradnl" w:eastAsia="es-ES_tradnl"/>
        </w:rPr>
      </w:pPr>
    </w:p>
    <w:p w14:paraId="45BA9CC5" w14:textId="77777777" w:rsidR="007A4176" w:rsidRPr="0074631F" w:rsidRDefault="007A4176" w:rsidP="007A4176">
      <w:pPr>
        <w:spacing w:after="0" w:line="276" w:lineRule="auto"/>
        <w:jc w:val="both"/>
        <w:rPr>
          <w:rFonts w:ascii="Arial" w:eastAsia="Calibri" w:hAnsi="Arial" w:cs="Arial"/>
          <w:color w:val="000000"/>
          <w:sz w:val="20"/>
          <w:szCs w:val="20"/>
          <w:lang w:val="es-ES_tradnl" w:eastAsia="es-ES_tradnl"/>
        </w:rPr>
      </w:pPr>
    </w:p>
    <w:p w14:paraId="046EA76B" w14:textId="5AB1737D" w:rsidR="00282E19" w:rsidRPr="0074631F" w:rsidRDefault="00282E19" w:rsidP="00282E19">
      <w:pPr>
        <w:spacing w:after="0" w:line="240" w:lineRule="auto"/>
        <w:jc w:val="both"/>
        <w:rPr>
          <w:rFonts w:ascii="Arial" w:eastAsia="Times New Roman" w:hAnsi="Arial" w:cs="Arial"/>
          <w:b/>
          <w:bCs/>
          <w:color w:val="000000"/>
          <w:szCs w:val="24"/>
          <w:lang w:val="es-ES_tradnl" w:eastAsia="es-ES_tradnl"/>
        </w:rPr>
      </w:pPr>
      <w:r w:rsidRPr="0074631F">
        <w:rPr>
          <w:rFonts w:ascii="Arial" w:eastAsia="Times New Roman" w:hAnsi="Arial" w:cs="Arial"/>
          <w:b/>
          <w:bCs/>
          <w:color w:val="000000"/>
          <w:szCs w:val="24"/>
          <w:lang w:val="es-ES_tradnl" w:eastAsia="es-ES_tradnl"/>
        </w:rPr>
        <w:t xml:space="preserve">SUSPENSIÓN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Concepto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Circunstancias </w:t>
      </w:r>
      <w:r w:rsidRPr="0074631F">
        <w:rPr>
          <w:rFonts w:ascii="Arial" w:eastAsia="Calibri" w:hAnsi="Arial" w:cs="Arial"/>
          <w:b/>
          <w:color w:val="000000"/>
          <w:szCs w:val="24"/>
          <w:lang w:val="es-ES_tradnl" w:eastAsia="es-ES_tradnl"/>
        </w:rPr>
        <w:t xml:space="preserve">– Plazo contractual </w:t>
      </w:r>
    </w:p>
    <w:p w14:paraId="231D1573" w14:textId="69C127A1" w:rsidR="007A4176" w:rsidRPr="0074631F" w:rsidRDefault="007A4176" w:rsidP="007A4176">
      <w:pPr>
        <w:spacing w:after="0" w:line="276" w:lineRule="auto"/>
        <w:jc w:val="both"/>
        <w:rPr>
          <w:rFonts w:ascii="Arial" w:eastAsia="Times New Roman" w:hAnsi="Arial" w:cs="Arial"/>
          <w:noProof/>
          <w:color w:val="000000"/>
          <w:szCs w:val="24"/>
          <w:lang w:val="es-ES_tradnl" w:eastAsia="es-ES_tradnl"/>
        </w:rPr>
      </w:pPr>
    </w:p>
    <w:p w14:paraId="347506E1" w14:textId="56672FB4" w:rsidR="00282E19" w:rsidRPr="0074631F" w:rsidRDefault="00282E19" w:rsidP="00282E19">
      <w:pPr>
        <w:spacing w:after="0" w:line="240" w:lineRule="auto"/>
        <w:jc w:val="both"/>
        <w:rPr>
          <w:rFonts w:ascii="Arial" w:eastAsia="Times New Roman" w:hAnsi="Arial" w:cs="Arial"/>
          <w:color w:val="000000"/>
          <w:sz w:val="20"/>
          <w:szCs w:val="20"/>
          <w:lang w:val="es-ES_tradnl" w:eastAsia="es-ES_tradnl"/>
        </w:rPr>
      </w:pPr>
      <w:r w:rsidRPr="0074631F">
        <w:rPr>
          <w:rFonts w:ascii="Arial" w:eastAsia="Times New Roman" w:hAnsi="Arial" w:cs="Arial"/>
          <w:color w:val="000000"/>
          <w:sz w:val="20"/>
          <w:szCs w:val="20"/>
          <w:lang w:val="es-ES_tradnl" w:eastAsia="es-ES_tradnl"/>
        </w:rPr>
        <w:t xml:space="preserve">La </w:t>
      </w:r>
      <w:r w:rsidRPr="0074631F">
        <w:rPr>
          <w:rFonts w:ascii="Arial" w:eastAsia="Times New Roman" w:hAnsi="Arial" w:cs="Arial"/>
          <w:i/>
          <w:iCs/>
          <w:color w:val="000000"/>
          <w:sz w:val="20"/>
          <w:szCs w:val="20"/>
          <w:lang w:val="es-ES_tradnl" w:eastAsia="es-ES_tradnl"/>
        </w:rPr>
        <w:t>suspensión</w:t>
      </w:r>
      <w:r w:rsidRPr="0074631F">
        <w:rPr>
          <w:rFonts w:ascii="Arial" w:eastAsia="Times New Roman" w:hAnsi="Arial" w:cs="Arial"/>
          <w:color w:val="000000"/>
          <w:sz w:val="20"/>
          <w:szCs w:val="20"/>
          <w:lang w:val="es-ES_tradnl" w:eastAsia="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74631F">
        <w:rPr>
          <w:rFonts w:ascii="Arial" w:eastAsia="Times New Roman" w:hAnsi="Arial" w:cs="Arial"/>
          <w:i/>
          <w:iCs/>
          <w:color w:val="000000"/>
          <w:sz w:val="20"/>
          <w:szCs w:val="20"/>
          <w:lang w:val="es-ES_tradnl" w:eastAsia="es-ES_tradnl"/>
        </w:rPr>
        <w:t>de facto</w:t>
      </w:r>
      <w:r w:rsidRPr="0074631F">
        <w:rPr>
          <w:rFonts w:ascii="Arial" w:eastAsia="Times New Roman" w:hAnsi="Arial" w:cs="Arial"/>
          <w:color w:val="000000"/>
          <w:sz w:val="20"/>
          <w:szCs w:val="20"/>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es decir, por factores que constituyan razones de fuerza mayor o caso fortuito.</w:t>
      </w:r>
    </w:p>
    <w:p w14:paraId="321A427A" w14:textId="77777777" w:rsidR="00282E19" w:rsidRPr="0074631F" w:rsidRDefault="00282E19" w:rsidP="007A4176">
      <w:pPr>
        <w:spacing w:after="0" w:line="276" w:lineRule="auto"/>
        <w:jc w:val="both"/>
        <w:rPr>
          <w:rFonts w:ascii="Arial" w:eastAsia="Times New Roman" w:hAnsi="Arial" w:cs="Arial"/>
          <w:noProof/>
          <w:color w:val="000000"/>
          <w:szCs w:val="24"/>
          <w:lang w:val="es-ES_tradnl" w:eastAsia="es-ES_tradnl"/>
        </w:rPr>
      </w:pPr>
    </w:p>
    <w:p w14:paraId="2A57EFE1" w14:textId="3498E166" w:rsidR="00282E19" w:rsidRPr="0074631F" w:rsidRDefault="00282E19" w:rsidP="00282E19">
      <w:pPr>
        <w:spacing w:after="0" w:line="240" w:lineRule="auto"/>
        <w:jc w:val="both"/>
        <w:rPr>
          <w:rFonts w:ascii="Arial" w:eastAsia="Times New Roman" w:hAnsi="Arial" w:cs="Arial"/>
          <w:b/>
          <w:bCs/>
          <w:color w:val="000000"/>
          <w:szCs w:val="24"/>
          <w:lang w:val="es-ES_tradnl" w:eastAsia="es-ES_tradnl"/>
        </w:rPr>
      </w:pPr>
      <w:r w:rsidRPr="0074631F">
        <w:rPr>
          <w:rFonts w:ascii="Arial" w:eastAsia="Times New Roman" w:hAnsi="Arial" w:cs="Arial"/>
          <w:b/>
          <w:bCs/>
          <w:color w:val="000000"/>
          <w:szCs w:val="24"/>
          <w:lang w:val="es-ES_tradnl" w:eastAsia="es-ES_tradnl"/>
        </w:rPr>
        <w:t xml:space="preserve">SUSPENSIÓN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Metodología </w:t>
      </w:r>
      <w:r w:rsidRPr="0074631F">
        <w:rPr>
          <w:rFonts w:ascii="Arial" w:eastAsia="Calibri" w:hAnsi="Arial" w:cs="Arial"/>
          <w:b/>
          <w:color w:val="000000"/>
          <w:szCs w:val="24"/>
          <w:lang w:val="es-ES_tradnl" w:eastAsia="es-ES_tradnl"/>
        </w:rPr>
        <w:t>–</w:t>
      </w:r>
      <w:r w:rsidRPr="0074631F">
        <w:rPr>
          <w:rFonts w:ascii="Arial" w:eastAsia="Times New Roman" w:hAnsi="Arial" w:cs="Arial"/>
          <w:b/>
          <w:bCs/>
          <w:color w:val="000000"/>
          <w:szCs w:val="24"/>
          <w:lang w:val="es-ES_tradnl" w:eastAsia="es-ES_tradnl"/>
        </w:rPr>
        <w:t xml:space="preserve"> Condición </w:t>
      </w:r>
      <w:r w:rsidRPr="0074631F">
        <w:rPr>
          <w:rFonts w:ascii="Arial" w:eastAsia="Calibri" w:hAnsi="Arial" w:cs="Arial"/>
          <w:b/>
          <w:color w:val="000000"/>
          <w:szCs w:val="24"/>
          <w:lang w:val="es-ES_tradnl" w:eastAsia="es-ES_tradnl"/>
        </w:rPr>
        <w:t>– Término – Reinicio automático – SECOP II</w:t>
      </w:r>
    </w:p>
    <w:p w14:paraId="2DCC9520" w14:textId="73D23CCB" w:rsidR="007A4176" w:rsidRPr="0074631F" w:rsidRDefault="007A4176" w:rsidP="007A4176">
      <w:pPr>
        <w:spacing w:after="0" w:line="276" w:lineRule="auto"/>
        <w:jc w:val="both"/>
        <w:rPr>
          <w:rFonts w:ascii="Arial" w:eastAsia="Times New Roman" w:hAnsi="Arial" w:cs="Arial"/>
          <w:noProof/>
          <w:color w:val="000000"/>
          <w:szCs w:val="24"/>
          <w:lang w:val="es-ES_tradnl" w:eastAsia="es-ES_tradnl"/>
        </w:rPr>
      </w:pPr>
    </w:p>
    <w:p w14:paraId="0CA958D2" w14:textId="646B46A3" w:rsidR="00282E19" w:rsidRPr="0074631F" w:rsidRDefault="00282E19" w:rsidP="00282E19">
      <w:pPr>
        <w:spacing w:after="0" w:line="240" w:lineRule="auto"/>
        <w:jc w:val="both"/>
        <w:rPr>
          <w:rFonts w:ascii="Arial" w:eastAsia="Arial" w:hAnsi="Arial" w:cs="Arial"/>
          <w:sz w:val="20"/>
          <w:szCs w:val="20"/>
          <w:lang w:val="es-ES"/>
        </w:rPr>
      </w:pPr>
      <w:r w:rsidRPr="0074631F">
        <w:rPr>
          <w:rFonts w:ascii="Arial" w:eastAsia="Calibri" w:hAnsi="Arial" w:cs="Arial"/>
          <w:sz w:val="20"/>
          <w:szCs w:val="20"/>
          <w:lang w:val="es-ES" w:eastAsia="es-ES_tradnl"/>
        </w:rPr>
        <w:t xml:space="preserve">Si una entidad estatal se encuentra obligada a tramitar su contratación en el SECOP II, en principio, todos los </w:t>
      </w:r>
      <w:r w:rsidRPr="0074631F">
        <w:rPr>
          <w:rFonts w:ascii="Arial" w:eastAsia="Calibri" w:hAnsi="Arial" w:cs="Arial"/>
          <w:i/>
          <w:iCs/>
          <w:sz w:val="20"/>
          <w:szCs w:val="20"/>
          <w:lang w:val="es-ES" w:eastAsia="es-ES_tradnl"/>
        </w:rPr>
        <w:t>Documentos del Proceso</w:t>
      </w:r>
      <w:r w:rsidRPr="0074631F">
        <w:rPr>
          <w:rFonts w:ascii="Arial" w:eastAsia="Calibri" w:hAnsi="Arial" w:cs="Arial"/>
          <w:sz w:val="20"/>
          <w:szCs w:val="20"/>
          <w:lang w:val="es-ES" w:eastAsia="es-ES_tradnl"/>
        </w:rPr>
        <w:t xml:space="preserve"> deben gestionarse y crearse en esta plataforma. Esto con fundamento en lo explicado en el numeral 2.1 de este concepto; es decir, de conformidad con </w:t>
      </w:r>
      <w:r w:rsidRPr="0074631F">
        <w:rPr>
          <w:rFonts w:ascii="Arial" w:eastAsia="Calibri" w:hAnsi="Arial" w:cs="Arial"/>
          <w:sz w:val="20"/>
          <w:szCs w:val="20"/>
          <w:lang w:val="es-ES"/>
        </w:rPr>
        <w:t xml:space="preserve">el artículo 3 de la Ley 1150 de 2007, el </w:t>
      </w:r>
      <w:r w:rsidRPr="0074631F">
        <w:rPr>
          <w:rFonts w:ascii="Arial" w:eastAsia="Arial" w:hAnsi="Arial" w:cs="Arial"/>
          <w:sz w:val="20"/>
          <w:szCs w:val="20"/>
          <w:lang w:val="es-ES"/>
        </w:rPr>
        <w:t xml:space="preserve">artículo 2.2.1.1.1.7.1. del Decreto 1082 de 2015, la Ley 1712 de 2014 y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74631F">
        <w:rPr>
          <w:rFonts w:ascii="Arial" w:eastAsia="Arial" w:hAnsi="Arial" w:cs="Arial"/>
          <w:i/>
          <w:iCs/>
          <w:sz w:val="20"/>
          <w:szCs w:val="20"/>
          <w:lang w:val="es-ES"/>
        </w:rPr>
        <w:t xml:space="preserve">Documentos del Proceso </w:t>
      </w:r>
      <w:r w:rsidRPr="0074631F">
        <w:rPr>
          <w:rFonts w:ascii="Arial" w:eastAsia="Arial" w:hAnsi="Arial" w:cs="Arial"/>
          <w:sz w:val="20"/>
          <w:szCs w:val="20"/>
          <w:lang w:val="es-ES"/>
        </w:rPr>
        <w:t xml:space="preserve">expedidos por la «entidad estatal». </w:t>
      </w:r>
      <w:r w:rsidRPr="0074631F">
        <w:rPr>
          <w:rFonts w:ascii="Arial" w:eastAsia="Calibri" w:hAnsi="Arial" w:cs="Arial"/>
          <w:sz w:val="20"/>
          <w:szCs w:val="20"/>
          <w:lang w:val="es-ES" w:eastAsia="es-ES_tradnl"/>
        </w:rPr>
        <w:t xml:space="preserve">Dentro de la expresión </w:t>
      </w:r>
      <w:r w:rsidRPr="0074631F">
        <w:rPr>
          <w:rFonts w:ascii="Arial" w:eastAsia="Calibri" w:hAnsi="Arial" w:cs="Arial"/>
          <w:i/>
          <w:iCs/>
          <w:sz w:val="20"/>
          <w:szCs w:val="20"/>
          <w:lang w:val="es-ES" w:eastAsia="es-ES_tradnl"/>
        </w:rPr>
        <w:t xml:space="preserve">Documentos del Proceso </w:t>
      </w:r>
      <w:r w:rsidRPr="0074631F">
        <w:rPr>
          <w:rFonts w:ascii="Arial" w:eastAsia="Calibri" w:hAnsi="Arial" w:cs="Arial"/>
          <w:sz w:val="20"/>
          <w:szCs w:val="20"/>
          <w:lang w:val="es-ES" w:eastAsia="es-ES_tradnl"/>
        </w:rPr>
        <w:t xml:space="preserve">se encuentra el </w:t>
      </w:r>
      <w:r w:rsidRPr="0074631F">
        <w:rPr>
          <w:rFonts w:ascii="Arial" w:eastAsia="Calibri" w:hAnsi="Arial" w:cs="Arial"/>
          <w:i/>
          <w:iCs/>
          <w:sz w:val="20"/>
          <w:szCs w:val="20"/>
          <w:lang w:val="es-ES" w:eastAsia="es-ES_tradnl"/>
        </w:rPr>
        <w:t>acta de suspensión</w:t>
      </w:r>
      <w:r w:rsidRPr="0074631F">
        <w:rPr>
          <w:rFonts w:ascii="Arial" w:eastAsia="Calibri" w:hAnsi="Arial" w:cs="Arial"/>
          <w:sz w:val="20"/>
          <w:szCs w:val="20"/>
          <w:lang w:val="es-ES" w:eastAsia="es-ES_tradnl"/>
        </w:rPr>
        <w:t xml:space="preserve"> que suscriban las partes, pues también se trata de un documento proferido en la etapa de ejecución del contrato estatal, es decir, con ocasión de este. De igual manera, el </w:t>
      </w:r>
      <w:r w:rsidRPr="0074631F">
        <w:rPr>
          <w:rFonts w:ascii="Arial" w:eastAsia="Calibri" w:hAnsi="Arial" w:cs="Arial"/>
          <w:i/>
          <w:iCs/>
          <w:sz w:val="20"/>
          <w:szCs w:val="20"/>
          <w:lang w:val="es-ES" w:eastAsia="es-ES_tradnl"/>
        </w:rPr>
        <w:t>acta de reinicio</w:t>
      </w:r>
      <w:r w:rsidRPr="0074631F">
        <w:rPr>
          <w:rFonts w:ascii="Arial" w:eastAsia="Calibri" w:hAnsi="Arial" w:cs="Arial"/>
          <w:sz w:val="20"/>
          <w:szCs w:val="20"/>
          <w:lang w:val="es-ES" w:eastAsia="es-ES_tradnl"/>
        </w:rPr>
        <w:t xml:space="preserve"> –o de finalización de la suspensión– es un </w:t>
      </w:r>
      <w:r w:rsidRPr="0074631F">
        <w:rPr>
          <w:rFonts w:ascii="Arial" w:eastAsia="Calibri" w:hAnsi="Arial" w:cs="Arial"/>
          <w:i/>
          <w:iCs/>
          <w:sz w:val="20"/>
          <w:szCs w:val="20"/>
          <w:lang w:val="es-ES" w:eastAsia="es-ES_tradnl"/>
        </w:rPr>
        <w:t>Documento del Proceso</w:t>
      </w:r>
      <w:r w:rsidRPr="0074631F">
        <w:rPr>
          <w:rFonts w:ascii="Arial" w:eastAsia="Calibri" w:hAnsi="Arial" w:cs="Arial"/>
          <w:sz w:val="20"/>
          <w:szCs w:val="20"/>
          <w:lang w:val="es-ES" w:eastAsia="es-ES_tradnl"/>
        </w:rPr>
        <w:t xml:space="preserve"> que debe gestionarse transaccionalmente en el SECOP II, cuando exista el deber de emplear esta plataforma.</w:t>
      </w:r>
    </w:p>
    <w:p w14:paraId="3B3A4F40" w14:textId="77777777" w:rsidR="00282E19" w:rsidRPr="0074631F" w:rsidRDefault="00282E19" w:rsidP="00282E19">
      <w:pPr>
        <w:spacing w:after="0" w:line="240" w:lineRule="auto"/>
        <w:jc w:val="both"/>
        <w:rPr>
          <w:rFonts w:ascii="Arial" w:eastAsia="Calibri" w:hAnsi="Arial" w:cs="Arial"/>
          <w:sz w:val="20"/>
          <w:szCs w:val="20"/>
          <w:lang w:val="es-ES" w:eastAsia="es-ES_tradnl"/>
        </w:rPr>
      </w:pPr>
    </w:p>
    <w:p w14:paraId="57C12F27" w14:textId="2126728F" w:rsidR="00282E19" w:rsidRPr="0074631F" w:rsidRDefault="00282E19" w:rsidP="00282E19">
      <w:pPr>
        <w:spacing w:after="0" w:line="240" w:lineRule="auto"/>
        <w:jc w:val="both"/>
        <w:rPr>
          <w:rFonts w:ascii="Arial" w:eastAsia="Calibri" w:hAnsi="Arial" w:cs="Arial"/>
          <w:sz w:val="20"/>
          <w:szCs w:val="20"/>
          <w:lang w:val="es-ES" w:eastAsia="es-ES_tradnl"/>
        </w:rPr>
      </w:pPr>
      <w:r w:rsidRPr="0074631F">
        <w:rPr>
          <w:rFonts w:ascii="Arial" w:eastAsia="Times New Roman" w:hAnsi="Arial" w:cs="Arial"/>
          <w:color w:val="000000"/>
          <w:sz w:val="20"/>
          <w:szCs w:val="20"/>
          <w:lang w:val="es-ES_tradnl" w:eastAsia="es-ES_tradnl"/>
        </w:rPr>
        <w:t xml:space="preserve">Ahora, según el artículo 40 de la Ley 80 de 1993, en los negocios jurídicos –y el acta de suspensión lo es, porque se trata de un acuerdo de voluntades para crear obligaciones– las entidades pueden incorporar las </w:t>
      </w:r>
      <w:r w:rsidRPr="0074631F">
        <w:rPr>
          <w:rFonts w:ascii="Arial" w:eastAsia="Times New Roman" w:hAnsi="Arial" w:cs="Arial"/>
          <w:i/>
          <w:iCs/>
          <w:color w:val="000000"/>
          <w:sz w:val="20"/>
          <w:szCs w:val="20"/>
          <w:lang w:val="es-ES_tradnl" w:eastAsia="es-ES_tradnl"/>
        </w:rPr>
        <w:t>condiciones</w:t>
      </w:r>
      <w:r w:rsidRPr="0074631F">
        <w:rPr>
          <w:rFonts w:ascii="Arial" w:eastAsia="Times New Roman" w:hAnsi="Arial" w:cs="Arial"/>
          <w:color w:val="000000"/>
          <w:sz w:val="20"/>
          <w:szCs w:val="20"/>
          <w:lang w:val="es-ES_tradnl" w:eastAsia="es-ES_tradnl"/>
        </w:rPr>
        <w:t xml:space="preserve"> y </w:t>
      </w:r>
      <w:r w:rsidRPr="0074631F">
        <w:rPr>
          <w:rFonts w:ascii="Arial" w:eastAsia="Times New Roman" w:hAnsi="Arial" w:cs="Arial"/>
          <w:i/>
          <w:iCs/>
          <w:color w:val="000000"/>
          <w:sz w:val="20"/>
          <w:szCs w:val="20"/>
          <w:lang w:val="es-ES_tradnl" w:eastAsia="es-ES_tradnl"/>
        </w:rPr>
        <w:t xml:space="preserve">cláusulas </w:t>
      </w:r>
      <w:r w:rsidRPr="0074631F">
        <w:rPr>
          <w:rFonts w:ascii="Arial" w:eastAsia="Times New Roman" w:hAnsi="Arial" w:cs="Arial"/>
          <w:color w:val="000000"/>
          <w:sz w:val="20"/>
          <w:szCs w:val="20"/>
          <w:lang w:val="es-ES_tradnl" w:eastAsia="es-ES_tradnl"/>
        </w:rPr>
        <w:t>que sean necesarias y convenientes. Pues bien, de conformidad con los artículos 1530 y siguientes del Código Civil –que establecen las condiciones o términos a los que pueden sujetarse las obligaciones, y que se aplican por la remisión que hacen los artículos 13, 32 y 40 de la Ley 80 de 1993 a las normas civiles y comerciales–, en el acta de suspensión puede estipularse que el plazo de ejecución del contrato se reactivará cuando se cumpla una condición o sobrevenga una fecha específica. Así lo ha reconocido el Consejo de Estado, tal y como se indicó.</w:t>
      </w:r>
    </w:p>
    <w:p w14:paraId="0DF96BD7" w14:textId="77777777" w:rsidR="00282E19" w:rsidRPr="0074631F" w:rsidRDefault="00282E19" w:rsidP="00282E19">
      <w:pPr>
        <w:spacing w:after="0" w:line="240" w:lineRule="auto"/>
        <w:jc w:val="both"/>
        <w:rPr>
          <w:rFonts w:ascii="Arial" w:eastAsia="Times New Roman" w:hAnsi="Arial" w:cs="Arial"/>
          <w:color w:val="000000"/>
          <w:sz w:val="20"/>
          <w:szCs w:val="20"/>
          <w:lang w:val="es-ES_tradnl" w:eastAsia="es-ES_tradnl"/>
        </w:rPr>
      </w:pPr>
    </w:p>
    <w:p w14:paraId="637335B3" w14:textId="3C50F4BC" w:rsidR="00282E19" w:rsidRPr="0074631F" w:rsidRDefault="00282E19" w:rsidP="00282E19">
      <w:pPr>
        <w:spacing w:after="0" w:line="240" w:lineRule="auto"/>
        <w:jc w:val="both"/>
        <w:rPr>
          <w:rFonts w:ascii="Arial" w:eastAsia="Times New Roman" w:hAnsi="Arial" w:cs="Arial"/>
          <w:color w:val="000000"/>
          <w:sz w:val="20"/>
          <w:szCs w:val="20"/>
          <w:lang w:val="es-ES_tradnl" w:eastAsia="es-ES_tradnl"/>
        </w:rPr>
      </w:pPr>
      <w:r w:rsidRPr="0074631F">
        <w:rPr>
          <w:rFonts w:ascii="Arial" w:eastAsia="Times New Roman" w:hAnsi="Arial" w:cs="Arial"/>
          <w:color w:val="000000"/>
          <w:sz w:val="20"/>
          <w:szCs w:val="20"/>
          <w:lang w:val="es-ES_tradnl" w:eastAsia="es-ES_tradnl"/>
        </w:rPr>
        <w:t xml:space="preserve">De este modo, atendiendo a los términos en los que se haya pactado la suspensión es posible que no sea necesario suscribir luego un acta de reinicio para que se reactive la ejecución del contrato, sino que tal reactivación opere </w:t>
      </w:r>
      <w:r w:rsidRPr="0074631F">
        <w:rPr>
          <w:rFonts w:ascii="Arial" w:eastAsia="Times New Roman" w:hAnsi="Arial" w:cs="Arial"/>
          <w:i/>
          <w:iCs/>
          <w:color w:val="000000"/>
          <w:sz w:val="20"/>
          <w:szCs w:val="20"/>
          <w:lang w:val="es-ES_tradnl" w:eastAsia="es-ES_tradnl"/>
        </w:rPr>
        <w:t>automáticamente</w:t>
      </w:r>
      <w:r w:rsidRPr="0074631F">
        <w:rPr>
          <w:rFonts w:ascii="Arial" w:eastAsia="Times New Roman" w:hAnsi="Arial" w:cs="Arial"/>
          <w:color w:val="000000"/>
          <w:sz w:val="20"/>
          <w:szCs w:val="20"/>
          <w:lang w:val="es-ES_tradnl" w:eastAsia="es-ES_tradnl"/>
        </w:rPr>
        <w:t>, cuando se cumpla la condición o fecha cierta. En este caso no podría aducirse válidamente que como no se ha suscrito el acta de reinicio en el SECOP II el contrato aún se encuentra suspendido. Si una vez configurada la condición o cumplido el término el contratista no retoma la ejecución del contrato, sin que concurra una causal que lo exonere de responsabilidad, la entidad estatal estaría llamada a exigir el cumplimiento, a través de los mecanismos conminatorios y sancionatorios a los que haya lugar, según el régimen jurídico aplicable.</w:t>
      </w:r>
    </w:p>
    <w:p w14:paraId="1C81B6E2" w14:textId="77777777" w:rsidR="007A4176" w:rsidRPr="0074631F" w:rsidRDefault="007A4176" w:rsidP="007A4176">
      <w:pPr>
        <w:spacing w:after="0" w:line="276" w:lineRule="auto"/>
        <w:jc w:val="both"/>
        <w:rPr>
          <w:rFonts w:ascii="Arial" w:eastAsia="Times New Roman" w:hAnsi="Arial" w:cs="Arial"/>
          <w:noProof/>
          <w:color w:val="000000"/>
          <w:szCs w:val="24"/>
          <w:lang w:val="es-ES_tradnl" w:eastAsia="es-ES_tradnl"/>
        </w:rPr>
      </w:pPr>
    </w:p>
    <w:p w14:paraId="21C1F883" w14:textId="5BB300F8" w:rsidR="007A4176" w:rsidRPr="0074631F" w:rsidRDefault="007A4176" w:rsidP="007A4176">
      <w:pPr>
        <w:spacing w:after="0" w:line="276" w:lineRule="auto"/>
        <w:jc w:val="both"/>
        <w:rPr>
          <w:rFonts w:ascii="Arial" w:eastAsia="Times New Roman" w:hAnsi="Arial" w:cs="Arial"/>
          <w:b/>
          <w:color w:val="000000"/>
          <w:szCs w:val="24"/>
          <w:lang w:val="es-ES_tradnl" w:eastAsia="es-ES_tradnl"/>
        </w:rPr>
      </w:pPr>
      <w:r w:rsidRPr="0074631F">
        <w:rPr>
          <w:rFonts w:ascii="Arial" w:eastAsia="Times New Roman" w:hAnsi="Arial" w:cs="Arial"/>
          <w:noProof/>
          <w:color w:val="000000"/>
          <w:szCs w:val="24"/>
          <w:lang w:val="es-ES_tradnl" w:eastAsia="es-ES_tradnl"/>
        </w:rPr>
        <w:lastRenderedPageBreak/>
        <w:t xml:space="preserve">Bogotá D.C., </w:t>
      </w:r>
      <w:r w:rsidR="00A35B77">
        <w:rPr>
          <w:rFonts w:ascii="Arial" w:eastAsia="Times New Roman" w:hAnsi="Arial" w:cs="Arial"/>
          <w:b/>
          <w:color w:val="000000"/>
          <w:szCs w:val="24"/>
          <w:lang w:val="es-ES_tradnl" w:eastAsia="es-ES_tradnl"/>
        </w:rPr>
        <w:t>20/10/2022 20:38:39</w:t>
      </w:r>
    </w:p>
    <w:p w14:paraId="29678771" w14:textId="77777777" w:rsidR="007A4176" w:rsidRPr="0074631F" w:rsidRDefault="007A4176" w:rsidP="007A4176">
      <w:pPr>
        <w:spacing w:after="0" w:line="240" w:lineRule="auto"/>
        <w:jc w:val="both"/>
        <w:rPr>
          <w:rFonts w:ascii="Arial" w:eastAsia="Times New Roman" w:hAnsi="Arial" w:cs="Arial"/>
          <w:b/>
          <w:color w:val="000000"/>
          <w:szCs w:val="24"/>
          <w:lang w:val="es-ES_tradnl" w:eastAsia="es-ES_tradnl"/>
        </w:rPr>
      </w:pPr>
    </w:p>
    <w:p w14:paraId="03C3C954" w14:textId="77777777" w:rsidR="007A4176" w:rsidRPr="0074631F" w:rsidRDefault="007A4176" w:rsidP="007A4176">
      <w:pPr>
        <w:spacing w:after="0" w:line="240" w:lineRule="auto"/>
        <w:jc w:val="both"/>
        <w:rPr>
          <w:rFonts w:ascii="Arial" w:eastAsia="Calibri" w:hAnsi="Arial" w:cs="Arial"/>
          <w:noProof/>
          <w:color w:val="000000"/>
          <w:sz w:val="20"/>
          <w:szCs w:val="24"/>
          <w:lang w:val="es-ES_tradnl" w:eastAsia="es-ES_tradnl"/>
        </w:rPr>
      </w:pPr>
    </w:p>
    <w:p w14:paraId="2C58EC4F" w14:textId="05B5C8C6" w:rsidR="007A4176" w:rsidRPr="0074631F" w:rsidRDefault="00A35B77" w:rsidP="00A35B77">
      <w:pPr>
        <w:spacing w:after="0" w:line="240" w:lineRule="auto"/>
        <w:jc w:val="right"/>
        <w:rPr>
          <w:rFonts w:ascii="Arial" w:eastAsia="Times New Roman" w:hAnsi="Arial" w:cs="Arial"/>
          <w:b/>
          <w:color w:val="000000"/>
          <w:szCs w:val="24"/>
          <w:lang w:val="es-ES_tradnl" w:eastAsia="es-ES_tradnl"/>
        </w:rPr>
      </w:pPr>
      <w:r w:rsidRPr="00A35B77">
        <w:rPr>
          <w:rFonts w:ascii="Arial" w:eastAsia="Times New Roman" w:hAnsi="Arial" w:cs="Arial"/>
          <w:b/>
          <w:noProof/>
          <w:color w:val="000000"/>
          <w:lang w:val="es-ES_tradnl" w:eastAsia="es-ES_tradnl"/>
        </w:rPr>
        <w:drawing>
          <wp:inline distT="0" distB="0" distL="0" distR="0" wp14:anchorId="29E411AC" wp14:editId="2D86C0BD">
            <wp:extent cx="2425700"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5700" cy="647700"/>
                    </a:xfrm>
                    <a:prstGeom prst="rect">
                      <a:avLst/>
                    </a:prstGeom>
                  </pic:spPr>
                </pic:pic>
              </a:graphicData>
            </a:graphic>
          </wp:inline>
        </w:drawing>
      </w:r>
    </w:p>
    <w:p w14:paraId="6A6E5276" w14:textId="77777777" w:rsidR="007A4176" w:rsidRPr="0074631F" w:rsidRDefault="007A4176" w:rsidP="007A4176">
      <w:pPr>
        <w:spacing w:after="0" w:line="240" w:lineRule="auto"/>
        <w:jc w:val="both"/>
        <w:rPr>
          <w:rFonts w:ascii="Arial" w:eastAsia="Times New Roman" w:hAnsi="Arial" w:cs="Arial"/>
          <w:b/>
          <w:color w:val="000000"/>
          <w:szCs w:val="24"/>
          <w:lang w:val="es-ES_tradnl" w:eastAsia="es-ES_tradnl"/>
        </w:rPr>
      </w:pPr>
    </w:p>
    <w:p w14:paraId="255E68D0" w14:textId="124BF4E7" w:rsidR="007A4176" w:rsidRPr="0074631F" w:rsidRDefault="007A4176" w:rsidP="007A4176">
      <w:pPr>
        <w:spacing w:after="0" w:line="240" w:lineRule="auto"/>
        <w:jc w:val="both"/>
        <w:rPr>
          <w:rFonts w:ascii="Arial" w:eastAsia="Calibri" w:hAnsi="Arial" w:cs="Arial"/>
          <w:color w:val="000000"/>
          <w:szCs w:val="24"/>
          <w:lang w:val="es-ES_tradnl" w:eastAsia="es-ES_tradnl"/>
        </w:rPr>
      </w:pPr>
      <w:bookmarkStart w:id="1" w:name="_Hlk100051121"/>
      <w:r w:rsidRPr="0074631F">
        <w:rPr>
          <w:rFonts w:ascii="Arial" w:eastAsia="Calibri" w:hAnsi="Arial" w:cs="Arial"/>
          <w:color w:val="000000"/>
          <w:szCs w:val="24"/>
          <w:lang w:val="es-ES_tradnl" w:eastAsia="es-ES_tradnl"/>
        </w:rPr>
        <w:t>Señor</w:t>
      </w:r>
      <w:r w:rsidR="00545DD9" w:rsidRPr="0074631F">
        <w:rPr>
          <w:rFonts w:ascii="Arial" w:eastAsia="Calibri" w:hAnsi="Arial" w:cs="Arial"/>
          <w:color w:val="000000"/>
          <w:szCs w:val="24"/>
          <w:lang w:val="es-ES_tradnl" w:eastAsia="es-ES_tradnl"/>
        </w:rPr>
        <w:t>a</w:t>
      </w:r>
    </w:p>
    <w:p w14:paraId="31E7B547" w14:textId="6E252541" w:rsidR="007A4176" w:rsidRPr="0074631F" w:rsidRDefault="00545DD9" w:rsidP="007A4176">
      <w:pPr>
        <w:tabs>
          <w:tab w:val="center" w:pos="4394"/>
        </w:tabs>
        <w:spacing w:after="0" w:line="240" w:lineRule="auto"/>
        <w:jc w:val="both"/>
        <w:rPr>
          <w:rFonts w:ascii="Arial" w:eastAsia="Calibri" w:hAnsi="Arial" w:cs="Arial"/>
          <w:b/>
          <w:color w:val="000000"/>
          <w:szCs w:val="24"/>
          <w:lang w:val="es-ES_tradnl" w:eastAsia="es-ES_tradnl"/>
        </w:rPr>
      </w:pPr>
      <w:proofErr w:type="spellStart"/>
      <w:r w:rsidRPr="0074631F">
        <w:rPr>
          <w:rFonts w:ascii="Arial" w:eastAsia="Calibri" w:hAnsi="Arial" w:cs="Arial"/>
          <w:b/>
          <w:color w:val="000000"/>
          <w:szCs w:val="24"/>
          <w:lang w:val="es-ES_tradnl" w:eastAsia="es-ES_tradnl"/>
        </w:rPr>
        <w:t>Lyda</w:t>
      </w:r>
      <w:proofErr w:type="spellEnd"/>
      <w:r w:rsidR="00131F2D" w:rsidRPr="0074631F">
        <w:rPr>
          <w:rFonts w:ascii="Arial" w:eastAsia="Calibri" w:hAnsi="Arial" w:cs="Arial"/>
          <w:b/>
          <w:color w:val="000000"/>
          <w:szCs w:val="24"/>
          <w:lang w:val="es-ES_tradnl" w:eastAsia="es-ES_tradnl"/>
        </w:rPr>
        <w:t xml:space="preserve"> Milena Esquivel Roa</w:t>
      </w:r>
    </w:p>
    <w:p w14:paraId="4D7D8FC8" w14:textId="6501B7EE" w:rsidR="00631615" w:rsidRPr="0074631F" w:rsidRDefault="00631615" w:rsidP="007A4176">
      <w:pPr>
        <w:spacing w:after="0" w:line="240" w:lineRule="auto"/>
        <w:rPr>
          <w:rFonts w:ascii="Arial" w:eastAsia="Calibri" w:hAnsi="Arial" w:cs="Arial"/>
          <w:bCs/>
          <w:color w:val="000000"/>
          <w:szCs w:val="24"/>
          <w:lang w:val="es-ES_tradnl" w:eastAsia="es-ES_tradnl"/>
        </w:rPr>
      </w:pPr>
      <w:r w:rsidRPr="0074631F">
        <w:rPr>
          <w:rFonts w:ascii="Arial" w:eastAsia="Calibri" w:hAnsi="Arial" w:cs="Arial"/>
          <w:bCs/>
          <w:color w:val="000000"/>
          <w:szCs w:val="24"/>
          <w:lang w:val="es-ES_tradnl" w:eastAsia="es-ES_tradnl"/>
        </w:rPr>
        <w:t>Directora de Ejecución y Operación (E)</w:t>
      </w:r>
    </w:p>
    <w:p w14:paraId="0DFA2238" w14:textId="551490AB" w:rsidR="00631615" w:rsidRPr="0074631F" w:rsidRDefault="00631615" w:rsidP="007A4176">
      <w:pPr>
        <w:spacing w:after="0" w:line="240" w:lineRule="auto"/>
        <w:rPr>
          <w:rFonts w:ascii="Arial" w:eastAsia="Calibri" w:hAnsi="Arial" w:cs="Arial"/>
          <w:bCs/>
          <w:color w:val="000000"/>
          <w:szCs w:val="24"/>
          <w:lang w:val="es-ES_tradnl" w:eastAsia="es-ES_tradnl"/>
        </w:rPr>
      </w:pPr>
      <w:r w:rsidRPr="0074631F">
        <w:rPr>
          <w:rFonts w:ascii="Arial" w:eastAsia="Calibri" w:hAnsi="Arial" w:cs="Arial"/>
          <w:bCs/>
          <w:color w:val="000000"/>
          <w:szCs w:val="24"/>
          <w:lang w:val="es-ES_tradnl" w:eastAsia="es-ES_tradnl"/>
        </w:rPr>
        <w:t>Instituto Nacional de Vías – INVÍAS</w:t>
      </w:r>
    </w:p>
    <w:p w14:paraId="212223BC" w14:textId="3AF4696F" w:rsidR="007A4176" w:rsidRPr="0074631F" w:rsidRDefault="00131F2D" w:rsidP="007A4176">
      <w:pPr>
        <w:spacing w:after="0" w:line="240" w:lineRule="auto"/>
        <w:rPr>
          <w:rFonts w:ascii="Arial" w:eastAsia="Calibri" w:hAnsi="Arial" w:cs="Arial"/>
          <w:b/>
          <w:bCs/>
          <w:color w:val="000000"/>
          <w:szCs w:val="24"/>
          <w:lang w:val="es-ES_tradnl" w:eastAsia="es-ES_tradnl"/>
        </w:rPr>
      </w:pPr>
      <w:r w:rsidRPr="0074631F">
        <w:rPr>
          <w:rFonts w:ascii="Arial" w:eastAsia="Calibri" w:hAnsi="Arial" w:cs="Arial"/>
          <w:bCs/>
          <w:color w:val="000000"/>
          <w:szCs w:val="24"/>
          <w:lang w:val="es-ES_tradnl" w:eastAsia="es-ES_tradnl"/>
        </w:rPr>
        <w:t>Bogotá, D.C.</w:t>
      </w:r>
    </w:p>
    <w:p w14:paraId="35C1ACF4" w14:textId="77777777" w:rsidR="007A4176" w:rsidRPr="0074631F" w:rsidRDefault="007A4176" w:rsidP="007A4176">
      <w:pPr>
        <w:spacing w:after="0" w:line="240" w:lineRule="auto"/>
        <w:rPr>
          <w:rFonts w:ascii="Arial" w:eastAsia="Calibri" w:hAnsi="Arial" w:cs="Arial"/>
          <w:b/>
          <w:bCs/>
          <w:color w:val="000000"/>
          <w:szCs w:val="24"/>
          <w:lang w:val="es-ES_tradnl" w:eastAsia="es-ES_tradnl"/>
        </w:rPr>
      </w:pPr>
    </w:p>
    <w:p w14:paraId="6214D552" w14:textId="5DD80D14" w:rsidR="007A4176" w:rsidRPr="0074631F" w:rsidRDefault="007A4176" w:rsidP="007A4176">
      <w:pPr>
        <w:spacing w:after="0" w:line="240" w:lineRule="auto"/>
        <w:rPr>
          <w:rFonts w:ascii="Arial" w:eastAsia="Calibri" w:hAnsi="Arial" w:cs="Arial"/>
          <w:b/>
          <w:bCs/>
          <w:color w:val="000000"/>
          <w:szCs w:val="24"/>
          <w:lang w:val="es-ES_tradnl" w:eastAsia="es-ES_tradnl"/>
        </w:rPr>
      </w:pPr>
      <w:r w:rsidRPr="0074631F">
        <w:rPr>
          <w:rFonts w:ascii="Arial" w:eastAsia="Calibri" w:hAnsi="Arial" w:cs="Arial"/>
          <w:b/>
          <w:bCs/>
          <w:color w:val="000000"/>
          <w:szCs w:val="24"/>
          <w:lang w:val="es-ES_tradnl" w:eastAsia="es-ES_tradnl"/>
        </w:rPr>
        <w:t xml:space="preserve">                                            Concepto C ‒ </w:t>
      </w:r>
      <w:r w:rsidR="00FE32E5" w:rsidRPr="0074631F">
        <w:rPr>
          <w:rFonts w:ascii="Arial" w:eastAsia="Calibri" w:hAnsi="Arial" w:cs="Arial"/>
          <w:b/>
          <w:bCs/>
          <w:color w:val="000000"/>
          <w:szCs w:val="24"/>
          <w:lang w:val="es-ES_tradnl" w:eastAsia="es-ES_tradnl"/>
        </w:rPr>
        <w:t>766</w:t>
      </w:r>
      <w:r w:rsidRPr="0074631F">
        <w:rPr>
          <w:rFonts w:ascii="Arial" w:eastAsia="Calibri" w:hAnsi="Arial" w:cs="Arial"/>
          <w:b/>
          <w:bCs/>
          <w:color w:val="000000"/>
          <w:szCs w:val="24"/>
          <w:lang w:val="es-ES_tradnl" w:eastAsia="es-ES_tradnl"/>
        </w:rPr>
        <w:t xml:space="preserve"> de 2022</w:t>
      </w:r>
    </w:p>
    <w:p w14:paraId="54488BF8" w14:textId="77777777" w:rsidR="007A4176" w:rsidRPr="0074631F" w:rsidRDefault="007A4176" w:rsidP="007A4176">
      <w:pPr>
        <w:spacing w:after="0" w:line="240" w:lineRule="auto"/>
        <w:rPr>
          <w:rFonts w:ascii="Arial" w:eastAsia="Calibri" w:hAnsi="Arial" w:cs="Arial"/>
          <w:b/>
          <w:bCs/>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A4176" w:rsidRPr="0074631F" w14:paraId="431F4EB1" w14:textId="77777777" w:rsidTr="00E22B0F">
        <w:trPr>
          <w:trHeight w:val="884"/>
        </w:trPr>
        <w:tc>
          <w:tcPr>
            <w:tcW w:w="2689" w:type="dxa"/>
          </w:tcPr>
          <w:p w14:paraId="7E2E997C" w14:textId="77777777" w:rsidR="007A4176" w:rsidRPr="0074631F" w:rsidRDefault="007A4176" w:rsidP="007A4176">
            <w:pPr>
              <w:jc w:val="both"/>
              <w:rPr>
                <w:rFonts w:ascii="Arial" w:eastAsia="Calibri" w:hAnsi="Arial" w:cs="Arial"/>
                <w:color w:val="000000"/>
                <w:szCs w:val="24"/>
                <w:lang w:val="es-ES_tradnl" w:eastAsia="es-ES_tradnl"/>
              </w:rPr>
            </w:pPr>
            <w:r w:rsidRPr="0074631F">
              <w:rPr>
                <w:rFonts w:ascii="Arial" w:eastAsia="Calibri" w:hAnsi="Arial" w:cs="Arial"/>
                <w:b/>
                <w:color w:val="000000"/>
                <w:szCs w:val="24"/>
                <w:lang w:val="es-ES_tradnl" w:eastAsia="es-ES_tradnl"/>
              </w:rPr>
              <w:t>Temas:</w:t>
            </w:r>
            <w:r w:rsidRPr="0074631F">
              <w:rPr>
                <w:rFonts w:ascii="Arial" w:eastAsia="Calibri" w:hAnsi="Arial" w:cs="Arial"/>
                <w:color w:val="000000"/>
                <w:szCs w:val="24"/>
                <w:lang w:val="es-ES_tradnl" w:eastAsia="es-ES_tradnl"/>
              </w:rPr>
              <w:t xml:space="preserve">                   </w:t>
            </w:r>
          </w:p>
        </w:tc>
        <w:tc>
          <w:tcPr>
            <w:tcW w:w="6237" w:type="dxa"/>
          </w:tcPr>
          <w:p w14:paraId="5CC31591" w14:textId="6D219D9E" w:rsidR="007A4176" w:rsidRPr="0074631F" w:rsidRDefault="00282E19" w:rsidP="007A4176">
            <w:pPr>
              <w:jc w:val="both"/>
              <w:rPr>
                <w:rFonts w:ascii="Arial" w:eastAsia="Calibri" w:hAnsi="Arial" w:cs="Arial"/>
                <w:bCs/>
                <w:szCs w:val="24"/>
                <w:lang w:val="es-ES_tradnl" w:eastAsia="es-ES_tradnl"/>
              </w:rPr>
            </w:pPr>
            <w:r w:rsidRPr="0074631F">
              <w:rPr>
                <w:rFonts w:ascii="Arial" w:eastAsia="Calibri" w:hAnsi="Arial" w:cs="Arial"/>
                <w:color w:val="000000"/>
                <w:szCs w:val="24"/>
                <w:lang w:val="es-ES_tradnl" w:eastAsia="es-ES_tradnl"/>
              </w:rPr>
              <w:t>SECOP – Documentos del Proceso – Alcance – Reiteración – Ejemplos – Acta de suspensión – Acta de reinicio – Concepto CU-367 de 2020</w:t>
            </w:r>
            <w:r w:rsidR="007A4176" w:rsidRPr="0074631F">
              <w:rPr>
                <w:rFonts w:ascii="Arial" w:eastAsia="Calibri" w:hAnsi="Arial" w:cs="Arial"/>
                <w:color w:val="000000"/>
                <w:szCs w:val="24"/>
                <w:lang w:val="es-ES_tradnl" w:eastAsia="es-ES_tradnl"/>
              </w:rPr>
              <w:t xml:space="preserve"> /</w:t>
            </w:r>
            <w:r w:rsidRPr="0074631F">
              <w:rPr>
                <w:rFonts w:ascii="Arial" w:eastAsia="Calibri" w:hAnsi="Arial" w:cs="Arial"/>
                <w:color w:val="000000"/>
                <w:szCs w:val="24"/>
                <w:lang w:val="es-ES_tradnl" w:eastAsia="es-ES_tradnl"/>
              </w:rPr>
              <w:t xml:space="preserve"> SECOP II – Definición – Carácter transaccional – Gestión en línea – Deber / SUSPENSIÓN – Concepto – Circunstancias – Plazo contractual / SUSPENSIÓN – Metodología – Condición – Término – Reinicio automático – SECOP II</w:t>
            </w:r>
            <w:r w:rsidR="007A4176" w:rsidRPr="0074631F">
              <w:rPr>
                <w:rFonts w:ascii="Arial" w:eastAsia="Calibri" w:hAnsi="Arial" w:cs="Arial"/>
                <w:color w:val="000000"/>
                <w:szCs w:val="24"/>
                <w:lang w:val="es-ES_tradnl" w:eastAsia="es-ES_tradnl"/>
              </w:rPr>
              <w:t>.</w:t>
            </w:r>
          </w:p>
        </w:tc>
      </w:tr>
      <w:tr w:rsidR="007A4176" w:rsidRPr="0074631F" w14:paraId="278DAB4F" w14:textId="77777777" w:rsidTr="00E22B0F">
        <w:tc>
          <w:tcPr>
            <w:tcW w:w="2689" w:type="dxa"/>
          </w:tcPr>
          <w:p w14:paraId="231AAF2C" w14:textId="77777777" w:rsidR="007A4176" w:rsidRPr="0074631F" w:rsidRDefault="007A4176" w:rsidP="007A4176">
            <w:pPr>
              <w:spacing w:before="120"/>
              <w:jc w:val="both"/>
              <w:rPr>
                <w:rFonts w:ascii="Arial" w:eastAsia="Calibri" w:hAnsi="Arial" w:cs="Arial"/>
                <w:b/>
                <w:color w:val="000000"/>
                <w:szCs w:val="24"/>
                <w:lang w:val="es-ES_tradnl" w:eastAsia="es-ES_tradnl"/>
              </w:rPr>
            </w:pPr>
            <w:r w:rsidRPr="0074631F">
              <w:rPr>
                <w:rFonts w:ascii="Arial" w:eastAsia="Calibri" w:hAnsi="Arial" w:cs="Arial"/>
                <w:b/>
                <w:color w:val="000000"/>
                <w:szCs w:val="24"/>
                <w:lang w:val="es-ES_tradnl" w:eastAsia="es-ES_tradnl"/>
              </w:rPr>
              <w:t>Radicación:</w:t>
            </w:r>
            <w:r w:rsidRPr="0074631F">
              <w:rPr>
                <w:rFonts w:ascii="Arial" w:eastAsia="Calibri" w:hAnsi="Arial" w:cs="Arial"/>
                <w:color w:val="000000"/>
                <w:szCs w:val="24"/>
                <w:lang w:val="es-ES_tradnl" w:eastAsia="es-ES_tradnl"/>
              </w:rPr>
              <w:t xml:space="preserve">               </w:t>
            </w:r>
          </w:p>
        </w:tc>
        <w:tc>
          <w:tcPr>
            <w:tcW w:w="6237" w:type="dxa"/>
          </w:tcPr>
          <w:p w14:paraId="51BF00C7" w14:textId="33D9AD63" w:rsidR="007A4176" w:rsidRPr="0074631F" w:rsidRDefault="007A4176" w:rsidP="007A4176">
            <w:pPr>
              <w:spacing w:before="120"/>
              <w:jc w:val="both"/>
              <w:rPr>
                <w:rFonts w:ascii="Arial" w:eastAsia="Calibri" w:hAnsi="Arial" w:cs="Arial"/>
                <w:color w:val="000000"/>
                <w:szCs w:val="24"/>
                <w:lang w:val="es-ES_tradnl" w:eastAsia="es-ES_tradnl"/>
              </w:rPr>
            </w:pPr>
            <w:r w:rsidRPr="0074631F">
              <w:rPr>
                <w:rFonts w:ascii="Arial" w:eastAsia="Calibri" w:hAnsi="Arial" w:cs="Arial"/>
                <w:color w:val="000000"/>
                <w:szCs w:val="24"/>
                <w:lang w:val="es-ES_tradnl" w:eastAsia="es-ES_tradnl"/>
              </w:rPr>
              <w:t xml:space="preserve">Respuesta a consulta </w:t>
            </w:r>
            <w:r w:rsidR="00A3799A" w:rsidRPr="0074631F">
              <w:rPr>
                <w:rFonts w:ascii="Arial" w:eastAsia="Calibri" w:hAnsi="Arial" w:cs="Arial"/>
                <w:color w:val="000000"/>
                <w:szCs w:val="24"/>
                <w:lang w:val="es-ES_tradnl" w:eastAsia="es-ES_tradnl"/>
              </w:rPr>
              <w:t>P20220907008971</w:t>
            </w:r>
          </w:p>
        </w:tc>
      </w:tr>
    </w:tbl>
    <w:p w14:paraId="00F1C773" w14:textId="77777777" w:rsidR="007A4176" w:rsidRPr="0074631F" w:rsidRDefault="007A4176" w:rsidP="007A4176">
      <w:pPr>
        <w:spacing w:after="0" w:line="240" w:lineRule="auto"/>
        <w:jc w:val="both"/>
        <w:rPr>
          <w:rFonts w:ascii="Arial" w:eastAsia="Calibri" w:hAnsi="Arial" w:cs="Arial"/>
          <w:color w:val="000000"/>
          <w:szCs w:val="24"/>
          <w:lang w:val="es-ES_tradnl" w:eastAsia="es-ES_tradnl"/>
        </w:rPr>
      </w:pPr>
    </w:p>
    <w:p w14:paraId="567D40C5" w14:textId="77777777" w:rsidR="007A4176" w:rsidRPr="0074631F" w:rsidRDefault="007A4176" w:rsidP="007A4176">
      <w:pPr>
        <w:spacing w:after="0" w:line="240" w:lineRule="auto"/>
        <w:jc w:val="both"/>
        <w:rPr>
          <w:rFonts w:ascii="Arial" w:eastAsia="Calibri" w:hAnsi="Arial" w:cs="Arial"/>
          <w:color w:val="000000"/>
          <w:szCs w:val="24"/>
          <w:lang w:val="es-ES_tradnl" w:eastAsia="es-ES_tradnl"/>
        </w:rPr>
      </w:pPr>
    </w:p>
    <w:p w14:paraId="1E2AB60A" w14:textId="5AE77AA9" w:rsidR="007A4176" w:rsidRPr="0074631F" w:rsidRDefault="007A4176" w:rsidP="007A4176">
      <w:pPr>
        <w:spacing w:after="0" w:line="240" w:lineRule="auto"/>
        <w:jc w:val="both"/>
        <w:rPr>
          <w:rFonts w:ascii="Arial" w:eastAsia="Calibri" w:hAnsi="Arial" w:cs="Arial"/>
          <w:color w:val="000000"/>
          <w:szCs w:val="24"/>
          <w:lang w:val="es-ES_tradnl" w:eastAsia="es-ES_tradnl"/>
        </w:rPr>
      </w:pPr>
      <w:r w:rsidRPr="0074631F">
        <w:rPr>
          <w:rFonts w:ascii="Arial" w:eastAsia="Calibri" w:hAnsi="Arial" w:cs="Arial"/>
          <w:color w:val="000000"/>
          <w:szCs w:val="24"/>
          <w:lang w:val="es-ES_tradnl" w:eastAsia="es-ES_tradnl"/>
        </w:rPr>
        <w:t>Estimad</w:t>
      </w:r>
      <w:r w:rsidR="006748E6" w:rsidRPr="0074631F">
        <w:rPr>
          <w:rFonts w:ascii="Arial" w:eastAsia="Calibri" w:hAnsi="Arial" w:cs="Arial"/>
          <w:color w:val="000000"/>
          <w:szCs w:val="24"/>
          <w:lang w:val="es-ES_tradnl" w:eastAsia="es-ES_tradnl"/>
        </w:rPr>
        <w:t>a</w:t>
      </w:r>
      <w:r w:rsidRPr="0074631F">
        <w:rPr>
          <w:rFonts w:ascii="Arial" w:eastAsia="Calibri" w:hAnsi="Arial" w:cs="Arial"/>
          <w:color w:val="000000"/>
          <w:szCs w:val="24"/>
          <w:lang w:val="es-ES_tradnl" w:eastAsia="es-ES_tradnl"/>
        </w:rPr>
        <w:t xml:space="preserve"> señor</w:t>
      </w:r>
      <w:r w:rsidR="006748E6" w:rsidRPr="0074631F">
        <w:rPr>
          <w:rFonts w:ascii="Arial" w:eastAsia="Calibri" w:hAnsi="Arial" w:cs="Arial"/>
          <w:color w:val="000000"/>
          <w:szCs w:val="24"/>
          <w:lang w:val="es-ES_tradnl" w:eastAsia="es-ES_tradnl"/>
        </w:rPr>
        <w:t>a</w:t>
      </w:r>
      <w:r w:rsidRPr="0074631F">
        <w:rPr>
          <w:rFonts w:ascii="Arial" w:eastAsia="Calibri" w:hAnsi="Arial" w:cs="Arial"/>
          <w:color w:val="000000"/>
          <w:szCs w:val="24"/>
          <w:lang w:val="es-ES_tradnl" w:eastAsia="es-ES_tradnl"/>
        </w:rPr>
        <w:t xml:space="preserve"> </w:t>
      </w:r>
      <w:r w:rsidR="006748E6" w:rsidRPr="0074631F">
        <w:rPr>
          <w:rFonts w:ascii="Arial" w:eastAsia="Calibri" w:hAnsi="Arial" w:cs="Arial"/>
          <w:color w:val="000000"/>
          <w:szCs w:val="24"/>
          <w:lang w:val="es-ES_tradnl" w:eastAsia="es-ES_tradnl"/>
        </w:rPr>
        <w:t>Esquivel</w:t>
      </w:r>
      <w:r w:rsidRPr="0074631F">
        <w:rPr>
          <w:rFonts w:ascii="Arial" w:eastAsia="Calibri" w:hAnsi="Arial" w:cs="Arial"/>
          <w:color w:val="000000"/>
          <w:szCs w:val="24"/>
          <w:lang w:val="es-ES_tradnl" w:eastAsia="es-ES_tradnl"/>
        </w:rPr>
        <w:t xml:space="preserve">: </w:t>
      </w:r>
    </w:p>
    <w:p w14:paraId="67964EDC" w14:textId="77777777" w:rsidR="007A4176" w:rsidRPr="0074631F" w:rsidRDefault="007A4176" w:rsidP="007A4176">
      <w:pPr>
        <w:spacing w:after="0" w:line="240" w:lineRule="auto"/>
        <w:jc w:val="both"/>
        <w:rPr>
          <w:rFonts w:ascii="Arial" w:eastAsia="Calibri" w:hAnsi="Arial" w:cs="Arial"/>
          <w:color w:val="000000"/>
          <w:szCs w:val="24"/>
          <w:lang w:val="es-ES_tradnl" w:eastAsia="es-ES_tradnl"/>
        </w:rPr>
      </w:pPr>
    </w:p>
    <w:p w14:paraId="0C5C34BA" w14:textId="241AA0BB" w:rsidR="007A4176" w:rsidRPr="0074631F" w:rsidRDefault="007A4176" w:rsidP="007A4176">
      <w:pPr>
        <w:spacing w:after="0" w:line="276" w:lineRule="auto"/>
        <w:jc w:val="both"/>
        <w:rPr>
          <w:rFonts w:ascii="Arial" w:eastAsia="Calibri" w:hAnsi="Arial" w:cs="Arial"/>
          <w:color w:val="000000"/>
          <w:szCs w:val="24"/>
          <w:lang w:val="es-ES_tradnl" w:eastAsia="es-ES_tradnl"/>
        </w:rPr>
      </w:pPr>
      <w:r w:rsidRPr="0074631F">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74631F">
        <w:rPr>
          <w:rFonts w:ascii="Arial" w:eastAsia="Arial MT" w:hAnsi="Arial" w:cs="Arial"/>
          <w:szCs w:val="24"/>
          <w:lang w:val="es-ES_tradnl" w:eastAsia="es-ES_tradnl"/>
        </w:rPr>
        <w:t xml:space="preserve"> </w:t>
      </w:r>
      <w:r w:rsidRPr="0074631F">
        <w:rPr>
          <w:rFonts w:ascii="Arial" w:eastAsia="Calibri" w:hAnsi="Arial" w:cs="Arial"/>
          <w:color w:val="000000"/>
          <w:szCs w:val="24"/>
          <w:lang w:val="es-ES_tradnl" w:eastAsia="es-ES_tradnl"/>
        </w:rPr>
        <w:t>la Agencia Nacional de Contratación Pública – Colombia Compra Eficiente, responde su consulta</w:t>
      </w:r>
      <w:r w:rsidR="006748E6" w:rsidRPr="0074631F">
        <w:rPr>
          <w:rFonts w:ascii="Arial" w:eastAsia="Calibri" w:hAnsi="Arial" w:cs="Arial"/>
          <w:color w:val="000000"/>
          <w:szCs w:val="24"/>
          <w:lang w:val="es-ES_tradnl" w:eastAsia="es-ES_tradnl"/>
        </w:rPr>
        <w:t xml:space="preserve"> d</w:t>
      </w:r>
      <w:r w:rsidRPr="0074631F">
        <w:rPr>
          <w:rFonts w:ascii="Arial" w:eastAsia="Calibri" w:hAnsi="Arial" w:cs="Arial"/>
          <w:color w:val="000000"/>
          <w:szCs w:val="24"/>
          <w:lang w:val="es-ES_tradnl" w:eastAsia="es-ES_tradnl"/>
        </w:rPr>
        <w:t xml:space="preserve">el </w:t>
      </w:r>
      <w:r w:rsidR="00555FC4" w:rsidRPr="0074631F">
        <w:rPr>
          <w:rFonts w:ascii="Arial" w:eastAsia="Calibri" w:hAnsi="Arial" w:cs="Arial"/>
          <w:color w:val="000000"/>
          <w:szCs w:val="24"/>
          <w:lang w:val="es-ES_tradnl" w:eastAsia="es-ES_tradnl"/>
        </w:rPr>
        <w:t>06</w:t>
      </w:r>
      <w:r w:rsidRPr="0074631F">
        <w:rPr>
          <w:rFonts w:ascii="Arial" w:eastAsia="Calibri" w:hAnsi="Arial" w:cs="Arial"/>
          <w:color w:val="000000"/>
          <w:szCs w:val="24"/>
          <w:lang w:val="es-ES_tradnl" w:eastAsia="es-ES_tradnl"/>
        </w:rPr>
        <w:t xml:space="preserve"> de septiembre de 2022.</w:t>
      </w:r>
      <w:r w:rsidR="006748E6" w:rsidRPr="0074631F">
        <w:rPr>
          <w:rFonts w:ascii="Arial" w:eastAsia="Calibri" w:hAnsi="Arial" w:cs="Arial"/>
          <w:color w:val="000000"/>
          <w:szCs w:val="24"/>
          <w:lang w:val="es-ES_tradnl" w:eastAsia="es-ES_tradnl"/>
        </w:rPr>
        <w:t xml:space="preserve"> En todo caso, le recordamos que mediante </w:t>
      </w:r>
      <w:r w:rsidR="00B4724F" w:rsidRPr="0074631F">
        <w:rPr>
          <w:rFonts w:ascii="Arial" w:eastAsia="Calibri" w:hAnsi="Arial" w:cs="Arial"/>
          <w:color w:val="000000"/>
          <w:szCs w:val="24"/>
          <w:lang w:val="es-ES_tradnl" w:eastAsia="es-ES_tradnl"/>
        </w:rPr>
        <w:t>oficio con radicado de salida No. RS20220914011157</w:t>
      </w:r>
      <w:r w:rsidR="005B1A87" w:rsidRPr="0074631F">
        <w:rPr>
          <w:rFonts w:ascii="Arial" w:eastAsia="Calibri" w:hAnsi="Arial" w:cs="Arial"/>
          <w:color w:val="000000"/>
          <w:szCs w:val="24"/>
          <w:lang w:val="es-ES_tradnl" w:eastAsia="es-ES_tradnl"/>
        </w:rPr>
        <w:t xml:space="preserve"> la Subdirección de Información y Desarrollo Tecnológico le remitió una respuesta parcial a su consulta con radicado No. P20220907008971, </w:t>
      </w:r>
      <w:r w:rsidR="00B44937" w:rsidRPr="0074631F">
        <w:rPr>
          <w:rFonts w:ascii="Arial" w:eastAsia="Calibri" w:hAnsi="Arial" w:cs="Arial"/>
          <w:color w:val="000000"/>
          <w:szCs w:val="24"/>
          <w:lang w:val="es-ES_tradnl" w:eastAsia="es-ES_tradnl"/>
        </w:rPr>
        <w:t>indicándole que esta Agencia carece de competencia para resolver las preguntas 2 y 3 de su petición</w:t>
      </w:r>
      <w:r w:rsidR="00D17589" w:rsidRPr="0074631F">
        <w:rPr>
          <w:rFonts w:ascii="Arial" w:eastAsia="Calibri" w:hAnsi="Arial" w:cs="Arial"/>
          <w:color w:val="000000"/>
          <w:szCs w:val="24"/>
          <w:lang w:val="es-ES_tradnl" w:eastAsia="es-ES_tradnl"/>
        </w:rPr>
        <w:t>. En tal sentido, mediante el concepto que a continuación se presenta se resuelve la pregunta 1.</w:t>
      </w:r>
    </w:p>
    <w:p w14:paraId="485F7F23" w14:textId="77777777" w:rsidR="007A4176" w:rsidRPr="0074631F" w:rsidRDefault="007A4176" w:rsidP="007A4176">
      <w:pPr>
        <w:tabs>
          <w:tab w:val="left" w:pos="426"/>
        </w:tabs>
        <w:spacing w:after="0" w:line="276" w:lineRule="auto"/>
        <w:jc w:val="both"/>
        <w:rPr>
          <w:rFonts w:ascii="Arial" w:eastAsia="Calibri" w:hAnsi="Arial" w:cs="Arial"/>
          <w:color w:val="000000"/>
          <w:lang w:val="es-ES_tradnl"/>
        </w:rPr>
      </w:pPr>
    </w:p>
    <w:p w14:paraId="129D4B11" w14:textId="07A6FBB2" w:rsidR="007A4176" w:rsidRPr="0074631F" w:rsidRDefault="007A4176" w:rsidP="007A4176">
      <w:pPr>
        <w:numPr>
          <w:ilvl w:val="0"/>
          <w:numId w:val="6"/>
        </w:numPr>
        <w:tabs>
          <w:tab w:val="left" w:pos="284"/>
        </w:tabs>
        <w:spacing w:after="0" w:line="276" w:lineRule="auto"/>
        <w:ind w:left="0" w:firstLine="0"/>
        <w:contextualSpacing/>
        <w:jc w:val="both"/>
        <w:rPr>
          <w:rFonts w:ascii="Arial" w:eastAsia="Calibri" w:hAnsi="Arial" w:cs="Arial"/>
          <w:b/>
          <w:color w:val="000000"/>
          <w:lang w:val="es-ES_tradnl"/>
        </w:rPr>
      </w:pPr>
      <w:r w:rsidRPr="0074631F">
        <w:rPr>
          <w:rFonts w:ascii="Arial" w:eastAsia="Calibri" w:hAnsi="Arial" w:cs="Arial"/>
          <w:b/>
          <w:color w:val="000000"/>
          <w:lang w:val="es-ES_tradnl"/>
        </w:rPr>
        <w:t>Problema planteado</w:t>
      </w:r>
    </w:p>
    <w:p w14:paraId="37558D7D" w14:textId="77777777" w:rsidR="007A4176" w:rsidRPr="0074631F" w:rsidRDefault="007A4176" w:rsidP="007A4176">
      <w:pPr>
        <w:tabs>
          <w:tab w:val="left" w:pos="426"/>
        </w:tabs>
        <w:spacing w:after="0" w:line="276" w:lineRule="auto"/>
        <w:jc w:val="both"/>
        <w:rPr>
          <w:rFonts w:ascii="Arial" w:eastAsia="Calibri" w:hAnsi="Arial" w:cs="Arial"/>
          <w:b/>
          <w:color w:val="000000"/>
          <w:lang w:val="es-ES_tradnl"/>
        </w:rPr>
      </w:pPr>
    </w:p>
    <w:p w14:paraId="6821C4BB" w14:textId="681743C7" w:rsidR="007A4176" w:rsidRPr="0074631F" w:rsidRDefault="007A4176" w:rsidP="007A4176">
      <w:pPr>
        <w:tabs>
          <w:tab w:val="left" w:pos="426"/>
        </w:tabs>
        <w:spacing w:after="0" w:line="276" w:lineRule="auto"/>
        <w:jc w:val="both"/>
        <w:rPr>
          <w:rFonts w:ascii="Arial" w:eastAsia="Calibri" w:hAnsi="Arial" w:cs="Arial"/>
          <w:color w:val="000000"/>
          <w:lang w:val="es-ES_tradnl"/>
        </w:rPr>
      </w:pPr>
      <w:r w:rsidRPr="0074631F">
        <w:rPr>
          <w:rFonts w:ascii="Arial" w:eastAsia="Calibri" w:hAnsi="Arial" w:cs="Arial"/>
          <w:color w:val="000000"/>
          <w:lang w:val="es-ES_tradnl"/>
        </w:rPr>
        <w:t xml:space="preserve">Usted realiza la siguiente consulta: </w:t>
      </w:r>
    </w:p>
    <w:p w14:paraId="72852F58" w14:textId="77777777" w:rsidR="007A4176" w:rsidRPr="0074631F" w:rsidRDefault="007A4176" w:rsidP="007A4176">
      <w:pPr>
        <w:tabs>
          <w:tab w:val="left" w:pos="426"/>
        </w:tabs>
        <w:spacing w:after="0" w:line="276" w:lineRule="auto"/>
        <w:jc w:val="both"/>
        <w:rPr>
          <w:rFonts w:ascii="Arial" w:eastAsia="Calibri" w:hAnsi="Arial" w:cs="Arial"/>
          <w:color w:val="000000"/>
          <w:lang w:val="es-ES_tradnl"/>
        </w:rPr>
      </w:pPr>
    </w:p>
    <w:p w14:paraId="2927A756" w14:textId="55FE4107" w:rsidR="00E64E3C" w:rsidRPr="003B7975" w:rsidRDefault="007A4176" w:rsidP="00E64E3C">
      <w:pPr>
        <w:tabs>
          <w:tab w:val="left" w:pos="426"/>
        </w:tabs>
        <w:spacing w:after="0" w:line="240" w:lineRule="auto"/>
        <w:ind w:left="709" w:right="709"/>
        <w:jc w:val="both"/>
        <w:rPr>
          <w:rFonts w:ascii="Arial" w:eastAsia="Calibri" w:hAnsi="Arial" w:cs="Arial"/>
          <w:i/>
          <w:iCs/>
          <w:color w:val="000000"/>
          <w:sz w:val="21"/>
          <w:szCs w:val="21"/>
          <w:lang w:val="es-ES_tradnl"/>
        </w:rPr>
      </w:pPr>
      <w:r w:rsidRPr="003B7975">
        <w:rPr>
          <w:rFonts w:ascii="Arial" w:eastAsia="Calibri" w:hAnsi="Arial" w:cs="Arial"/>
          <w:i/>
          <w:iCs/>
          <w:color w:val="000000"/>
          <w:sz w:val="21"/>
          <w:szCs w:val="21"/>
          <w:lang w:val="es-ES_tradnl"/>
        </w:rPr>
        <w:t>«</w:t>
      </w:r>
      <w:r w:rsidR="00E64E3C" w:rsidRPr="003B7975">
        <w:rPr>
          <w:rFonts w:ascii="Arial" w:eastAsia="Calibri" w:hAnsi="Arial" w:cs="Arial"/>
          <w:i/>
          <w:iCs/>
          <w:color w:val="000000"/>
          <w:sz w:val="21"/>
          <w:szCs w:val="21"/>
          <w:lang w:val="es-ES_tradnl"/>
        </w:rPr>
        <w:t xml:space="preserve">1. Cuando se haya condicionado la reanudación de un contrato suspendido a la ocurrencia de una fecha determinada en el acta de suspensión, una vez llegada la </w:t>
      </w:r>
      <w:r w:rsidR="00E64E3C" w:rsidRPr="003B7975">
        <w:rPr>
          <w:rFonts w:ascii="Arial" w:eastAsia="Calibri" w:hAnsi="Arial" w:cs="Arial"/>
          <w:i/>
          <w:iCs/>
          <w:color w:val="000000"/>
          <w:sz w:val="21"/>
          <w:szCs w:val="21"/>
          <w:lang w:val="es-ES_tradnl"/>
        </w:rPr>
        <w:lastRenderedPageBreak/>
        <w:t>fecha señalada ¿que debe prevalecer? ¿la reanudación en SECOP II o la fecha consagrada en el documento cargado de Acta de suspensión?</w:t>
      </w:r>
    </w:p>
    <w:p w14:paraId="2FB70DDB" w14:textId="2EB26372" w:rsidR="007A4176" w:rsidRPr="003B7975" w:rsidRDefault="00E64E3C" w:rsidP="00E64E3C">
      <w:pPr>
        <w:tabs>
          <w:tab w:val="left" w:pos="426"/>
        </w:tabs>
        <w:spacing w:after="0" w:line="240" w:lineRule="auto"/>
        <w:ind w:left="709" w:right="709"/>
        <w:jc w:val="both"/>
        <w:rPr>
          <w:rFonts w:ascii="Arial" w:eastAsia="Calibri" w:hAnsi="Arial" w:cs="Arial"/>
          <w:i/>
          <w:iCs/>
          <w:color w:val="000000"/>
          <w:sz w:val="21"/>
          <w:szCs w:val="21"/>
          <w:lang w:val="es-ES_tradnl"/>
        </w:rPr>
      </w:pPr>
      <w:r w:rsidRPr="003B7975">
        <w:rPr>
          <w:rFonts w:ascii="Arial" w:eastAsia="Calibri" w:hAnsi="Arial" w:cs="Arial"/>
          <w:i/>
          <w:iCs/>
          <w:color w:val="000000"/>
          <w:sz w:val="21"/>
          <w:szCs w:val="21"/>
          <w:lang w:val="es-ES_tradnl"/>
        </w:rPr>
        <w:t>[…]</w:t>
      </w:r>
      <w:r w:rsidR="007A4176" w:rsidRPr="003B7975">
        <w:rPr>
          <w:rFonts w:ascii="Arial" w:eastAsia="Calibri" w:hAnsi="Arial" w:cs="Arial"/>
          <w:i/>
          <w:iCs/>
          <w:color w:val="000000"/>
          <w:sz w:val="21"/>
          <w:szCs w:val="21"/>
          <w:lang w:val="es-ES_tradnl"/>
        </w:rPr>
        <w:t>»</w:t>
      </w:r>
      <w:r w:rsidR="00060D46" w:rsidRPr="003B7975">
        <w:rPr>
          <w:rFonts w:ascii="Arial" w:eastAsia="Calibri" w:hAnsi="Arial" w:cs="Arial"/>
          <w:i/>
          <w:iCs/>
          <w:color w:val="000000"/>
          <w:sz w:val="21"/>
          <w:szCs w:val="21"/>
          <w:lang w:val="es-ES_tradnl"/>
        </w:rPr>
        <w:t xml:space="preserve"> (sic)</w:t>
      </w:r>
      <w:r w:rsidR="007A4176" w:rsidRPr="003B7975">
        <w:rPr>
          <w:rFonts w:ascii="Arial" w:eastAsia="Calibri" w:hAnsi="Arial" w:cs="Arial"/>
          <w:i/>
          <w:iCs/>
          <w:color w:val="000000"/>
          <w:sz w:val="21"/>
          <w:szCs w:val="21"/>
          <w:lang w:val="es-ES_tradnl"/>
        </w:rPr>
        <w:t>.</w:t>
      </w:r>
    </w:p>
    <w:p w14:paraId="1C9B4754" w14:textId="77777777" w:rsidR="007A4176" w:rsidRPr="0074631F" w:rsidRDefault="007A4176" w:rsidP="007A4176">
      <w:pPr>
        <w:tabs>
          <w:tab w:val="left" w:pos="426"/>
        </w:tabs>
        <w:spacing w:after="0" w:line="276" w:lineRule="auto"/>
        <w:jc w:val="both"/>
        <w:rPr>
          <w:rFonts w:ascii="Arial" w:eastAsia="Calibri" w:hAnsi="Arial" w:cs="Arial"/>
          <w:color w:val="000000"/>
          <w:lang w:val="es-ES_tradnl"/>
        </w:rPr>
      </w:pPr>
    </w:p>
    <w:p w14:paraId="0C0C20E9" w14:textId="77777777" w:rsidR="007A4176" w:rsidRPr="0074631F" w:rsidRDefault="007A4176" w:rsidP="007A4176">
      <w:pPr>
        <w:tabs>
          <w:tab w:val="left" w:pos="426"/>
        </w:tabs>
        <w:spacing w:after="0" w:line="276" w:lineRule="auto"/>
        <w:jc w:val="both"/>
        <w:rPr>
          <w:rFonts w:ascii="Arial" w:eastAsia="Calibri" w:hAnsi="Arial" w:cs="Arial"/>
          <w:b/>
          <w:color w:val="000000"/>
          <w:lang w:val="es-ES_tradnl"/>
        </w:rPr>
      </w:pPr>
      <w:r w:rsidRPr="0074631F">
        <w:rPr>
          <w:rFonts w:ascii="Arial" w:eastAsia="Calibri" w:hAnsi="Arial" w:cs="Arial"/>
          <w:b/>
          <w:color w:val="000000"/>
          <w:lang w:val="es-ES_tradnl"/>
        </w:rPr>
        <w:t>2. Consideraciones</w:t>
      </w:r>
    </w:p>
    <w:p w14:paraId="48573162" w14:textId="77777777" w:rsidR="007A4176" w:rsidRPr="0074631F" w:rsidRDefault="007A4176" w:rsidP="007A4176">
      <w:pPr>
        <w:spacing w:after="0" w:line="276" w:lineRule="auto"/>
        <w:jc w:val="both"/>
        <w:rPr>
          <w:rFonts w:ascii="Arial" w:eastAsia="Calibri" w:hAnsi="Arial" w:cs="Arial"/>
          <w:color w:val="000000"/>
          <w:lang w:val="es-ES_tradnl"/>
        </w:rPr>
      </w:pPr>
    </w:p>
    <w:p w14:paraId="540E52EB" w14:textId="0E758AB4" w:rsidR="007A4176" w:rsidRPr="0074631F" w:rsidRDefault="007A4176" w:rsidP="007A4176">
      <w:pPr>
        <w:spacing w:after="0" w:line="276" w:lineRule="auto"/>
        <w:jc w:val="both"/>
        <w:rPr>
          <w:rFonts w:ascii="Arial" w:eastAsia="Calibri" w:hAnsi="Arial" w:cs="Arial"/>
          <w:color w:val="000000"/>
          <w:lang w:val="es-ES_tradnl"/>
        </w:rPr>
      </w:pPr>
      <w:r w:rsidRPr="0074631F">
        <w:rPr>
          <w:rFonts w:ascii="Arial" w:eastAsia="Calibri" w:hAnsi="Arial" w:cs="Arial"/>
          <w:color w:val="000000"/>
          <w:lang w:val="es-ES_tradnl"/>
        </w:rPr>
        <w:t xml:space="preserve">Para resolver esta consulta se hará un análisis de los siguientes temas: i) </w:t>
      </w:r>
      <w:r w:rsidR="00094B75" w:rsidRPr="0074631F">
        <w:rPr>
          <w:rFonts w:ascii="Arial" w:eastAsia="Calibri" w:hAnsi="Arial" w:cs="Arial"/>
          <w:color w:val="000000"/>
          <w:lang w:val="es-ES_tradnl"/>
        </w:rPr>
        <w:t xml:space="preserve">documentos que deben publicarse en el SECOP, </w:t>
      </w:r>
      <w:proofErr w:type="spellStart"/>
      <w:r w:rsidR="00094B75" w:rsidRPr="0074631F">
        <w:rPr>
          <w:rFonts w:ascii="Arial" w:eastAsia="Calibri" w:hAnsi="Arial" w:cs="Arial"/>
          <w:color w:val="000000"/>
          <w:lang w:val="es-ES_tradnl"/>
        </w:rPr>
        <w:t>ii</w:t>
      </w:r>
      <w:proofErr w:type="spellEnd"/>
      <w:r w:rsidR="00094B75" w:rsidRPr="0074631F">
        <w:rPr>
          <w:rFonts w:ascii="Arial" w:eastAsia="Calibri" w:hAnsi="Arial" w:cs="Arial"/>
          <w:color w:val="000000"/>
          <w:lang w:val="es-ES_tradnl"/>
        </w:rPr>
        <w:t xml:space="preserve">) </w:t>
      </w:r>
      <w:r w:rsidR="00060D46" w:rsidRPr="0074631F">
        <w:rPr>
          <w:rFonts w:ascii="Arial" w:eastAsia="Calibri" w:hAnsi="Arial" w:cs="Arial"/>
          <w:color w:val="000000"/>
          <w:lang w:val="es-ES_tradnl"/>
        </w:rPr>
        <w:t>carácter transaccional del SECOP II</w:t>
      </w:r>
      <w:r w:rsidRPr="0074631F">
        <w:rPr>
          <w:rFonts w:ascii="Arial" w:eastAsia="Calibri" w:hAnsi="Arial" w:cs="Arial"/>
          <w:color w:val="000000"/>
          <w:lang w:val="es-ES_tradnl"/>
        </w:rPr>
        <w:t xml:space="preserve"> </w:t>
      </w:r>
      <w:r w:rsidR="00094B75" w:rsidRPr="0074631F">
        <w:rPr>
          <w:rFonts w:ascii="Arial" w:eastAsia="Calibri" w:hAnsi="Arial" w:cs="Arial"/>
          <w:color w:val="000000"/>
          <w:lang w:val="es-ES_tradnl"/>
        </w:rPr>
        <w:t xml:space="preserve">y </w:t>
      </w:r>
      <w:proofErr w:type="spellStart"/>
      <w:r w:rsidRPr="0074631F">
        <w:rPr>
          <w:rFonts w:ascii="Arial" w:eastAsia="Calibri" w:hAnsi="Arial" w:cs="Arial"/>
          <w:color w:val="000000"/>
          <w:lang w:val="es-ES_tradnl"/>
        </w:rPr>
        <w:t>ii</w:t>
      </w:r>
      <w:r w:rsidR="00094B75" w:rsidRPr="0074631F">
        <w:rPr>
          <w:rFonts w:ascii="Arial" w:eastAsia="Calibri" w:hAnsi="Arial" w:cs="Arial"/>
          <w:color w:val="000000"/>
          <w:lang w:val="es-ES_tradnl"/>
        </w:rPr>
        <w:t>i</w:t>
      </w:r>
      <w:proofErr w:type="spellEnd"/>
      <w:r w:rsidRPr="0074631F">
        <w:rPr>
          <w:rFonts w:ascii="Arial" w:eastAsia="Calibri" w:hAnsi="Arial" w:cs="Arial"/>
          <w:color w:val="000000"/>
          <w:lang w:val="es-ES_tradnl"/>
        </w:rPr>
        <w:t xml:space="preserve">) </w:t>
      </w:r>
      <w:r w:rsidR="00060D46" w:rsidRPr="0074631F">
        <w:rPr>
          <w:rFonts w:ascii="Arial" w:eastAsia="Calibri" w:hAnsi="Arial" w:cs="Arial"/>
          <w:color w:val="000000"/>
          <w:lang w:val="es-ES_tradnl"/>
        </w:rPr>
        <w:t>metodología para la suspensión de los contratos estatales</w:t>
      </w:r>
      <w:r w:rsidRPr="0074631F">
        <w:rPr>
          <w:rFonts w:ascii="Arial" w:eastAsia="Calibri" w:hAnsi="Arial" w:cs="Arial"/>
          <w:color w:val="000000"/>
          <w:lang w:val="es-ES_tradnl"/>
        </w:rPr>
        <w:t>.</w:t>
      </w:r>
    </w:p>
    <w:p w14:paraId="448FE4CD" w14:textId="1868030F" w:rsidR="007A4176" w:rsidRPr="0074631F" w:rsidRDefault="007A4176" w:rsidP="007A4176">
      <w:pPr>
        <w:spacing w:before="120" w:after="0" w:line="276" w:lineRule="auto"/>
        <w:ind w:firstLine="709"/>
        <w:jc w:val="both"/>
        <w:rPr>
          <w:rFonts w:ascii="Arial" w:eastAsia="Calibri" w:hAnsi="Arial" w:cs="Arial"/>
          <w:color w:val="000000"/>
          <w:lang w:val="es-ES_tradnl"/>
        </w:rPr>
      </w:pPr>
      <w:r w:rsidRPr="0074631F">
        <w:rPr>
          <w:rFonts w:ascii="Arial" w:eastAsia="Calibri" w:hAnsi="Arial" w:cs="Arial"/>
          <w:color w:val="000000"/>
          <w:lang w:val="es-ES_tradnl"/>
        </w:rPr>
        <w:t xml:space="preserve">La Agencia Nacional de Contratación Pública – Colombia Compra Eficiente </w:t>
      </w:r>
      <w:r w:rsidR="00D920C8" w:rsidRPr="0074631F">
        <w:rPr>
          <w:rFonts w:ascii="Arial" w:eastAsia="Calibri" w:hAnsi="Arial" w:cs="Arial"/>
          <w:color w:val="000000"/>
          <w:lang w:val="es-ES_tradnl"/>
        </w:rPr>
        <w:t xml:space="preserve">analizó la suspensión del contrato estatal en </w:t>
      </w:r>
      <w:r w:rsidR="00890D28" w:rsidRPr="0074631F">
        <w:rPr>
          <w:rFonts w:ascii="Arial" w:eastAsia="Calibri" w:hAnsi="Arial" w:cs="Arial"/>
          <w:color w:val="000000"/>
          <w:lang w:val="es-ES_tradnl"/>
        </w:rPr>
        <w:t>los</w:t>
      </w:r>
      <w:r w:rsidR="00D920C8" w:rsidRPr="0074631F">
        <w:rPr>
          <w:rFonts w:ascii="Arial" w:eastAsia="Calibri" w:hAnsi="Arial" w:cs="Arial"/>
          <w:color w:val="000000"/>
          <w:lang w:val="es-ES_tradnl"/>
        </w:rPr>
        <w:t xml:space="preserve"> concepto</w:t>
      </w:r>
      <w:r w:rsidR="00890D28" w:rsidRPr="0074631F">
        <w:rPr>
          <w:rFonts w:ascii="Arial" w:eastAsia="Calibri" w:hAnsi="Arial" w:cs="Arial"/>
          <w:color w:val="000000"/>
          <w:lang w:val="es-ES_tradnl"/>
        </w:rPr>
        <w:t>s</w:t>
      </w:r>
      <w:r w:rsidR="00D920C8" w:rsidRPr="0074631F">
        <w:rPr>
          <w:rFonts w:ascii="Arial" w:eastAsia="Calibri" w:hAnsi="Arial" w:cs="Arial"/>
          <w:color w:val="000000"/>
          <w:lang w:val="es-ES_tradnl"/>
        </w:rPr>
        <w:t xml:space="preserve"> C</w:t>
      </w:r>
      <w:r w:rsidR="00380ABF" w:rsidRPr="0074631F">
        <w:rPr>
          <w:rFonts w:ascii="Arial" w:eastAsia="Calibri" w:hAnsi="Arial" w:cs="Arial"/>
          <w:color w:val="000000"/>
          <w:lang w:val="es-ES_tradnl"/>
        </w:rPr>
        <w:t>-527 del 12 de agosto de 2020</w:t>
      </w:r>
      <w:r w:rsidR="00890D28" w:rsidRPr="0074631F">
        <w:rPr>
          <w:rFonts w:ascii="Arial" w:eastAsia="Calibri" w:hAnsi="Arial" w:cs="Arial"/>
          <w:color w:val="000000"/>
          <w:lang w:val="es-ES_tradnl"/>
        </w:rPr>
        <w:t xml:space="preserve"> y C-632 del 30 de septiembre de 2022</w:t>
      </w:r>
      <w:r w:rsidRPr="0074631F">
        <w:rPr>
          <w:rFonts w:ascii="Arial" w:eastAsia="Calibri" w:hAnsi="Arial" w:cs="Arial"/>
          <w:color w:val="000000"/>
          <w:lang w:val="es-ES_tradnl"/>
        </w:rPr>
        <w:t xml:space="preserve">. </w:t>
      </w:r>
      <w:r w:rsidR="00E237AA" w:rsidRPr="0074631F">
        <w:rPr>
          <w:rFonts w:ascii="Arial" w:eastAsia="Calibri" w:hAnsi="Arial" w:cs="Arial"/>
          <w:color w:val="000000"/>
          <w:lang w:val="es-ES_tradnl"/>
        </w:rPr>
        <w:t xml:space="preserve">Adicionalmente, </w:t>
      </w:r>
      <w:r w:rsidR="002A2DC4" w:rsidRPr="0074631F">
        <w:rPr>
          <w:rFonts w:ascii="Arial" w:eastAsia="Calibri" w:hAnsi="Arial" w:cs="Arial"/>
          <w:color w:val="000000"/>
          <w:lang w:val="es-ES_tradnl"/>
        </w:rPr>
        <w:t>estudió el carácter transaccional del SECOP II</w:t>
      </w:r>
      <w:r w:rsidR="0082296B" w:rsidRPr="0074631F">
        <w:rPr>
          <w:rFonts w:ascii="Arial" w:eastAsia="Calibri" w:hAnsi="Arial" w:cs="Arial"/>
          <w:color w:val="000000"/>
          <w:lang w:val="es-ES_tradnl"/>
        </w:rPr>
        <w:t xml:space="preserve">, entro otros pronunciamientos, </w:t>
      </w:r>
      <w:r w:rsidR="002A2DC4" w:rsidRPr="0074631F">
        <w:rPr>
          <w:rFonts w:ascii="Arial" w:eastAsia="Calibri" w:hAnsi="Arial" w:cs="Arial"/>
          <w:color w:val="000000"/>
          <w:lang w:val="es-ES_tradnl"/>
        </w:rPr>
        <w:t>en los conceptos</w:t>
      </w:r>
      <w:r w:rsidR="007009F6" w:rsidRPr="0074631F">
        <w:rPr>
          <w:rFonts w:ascii="Arial" w:eastAsia="Calibri" w:hAnsi="Arial" w:cs="Arial"/>
          <w:color w:val="000000"/>
          <w:lang w:val="es-ES_tradnl"/>
        </w:rPr>
        <w:t xml:space="preserve"> </w:t>
      </w:r>
      <w:r w:rsidR="007009F6" w:rsidRPr="0074631F">
        <w:rPr>
          <w:rFonts w:ascii="Arial" w:hAnsi="Arial" w:cs="Arial"/>
        </w:rPr>
        <w:t xml:space="preserve">C−433 de 24 de julio de 2020, C−468 del 24 de julio de 2020, </w:t>
      </w:r>
      <w:r w:rsidR="00F75D77" w:rsidRPr="0074631F">
        <w:rPr>
          <w:rFonts w:ascii="Arial" w:eastAsia="Calibri" w:hAnsi="Arial" w:cs="Arial"/>
          <w:lang w:val="es-ES"/>
        </w:rPr>
        <w:t xml:space="preserve">CU-367 del 23 de julio de 2020, </w:t>
      </w:r>
      <w:r w:rsidR="007009F6" w:rsidRPr="0074631F">
        <w:rPr>
          <w:rFonts w:ascii="Arial" w:hAnsi="Arial" w:cs="Arial"/>
        </w:rPr>
        <w:t>C−474 de 24 de julio de 2020, C−488 del 28 de julio de 2020, C−544 del 21 de agosto de 2020, C−575 del 27 de agosto de 2020, C−643 del 26 de octubre de 2020, C−661 del 17 de noviembre de 2020, C-094 del 13 de abril de 2021, C−068 del 22 de abril de 2021, C-185 del 29 de abril de 2021</w:t>
      </w:r>
      <w:r w:rsidR="00AB2853" w:rsidRPr="0074631F">
        <w:rPr>
          <w:rFonts w:ascii="Arial" w:hAnsi="Arial" w:cs="Arial"/>
        </w:rPr>
        <w:t xml:space="preserve">, </w:t>
      </w:r>
      <w:r w:rsidR="007009F6" w:rsidRPr="0074631F">
        <w:rPr>
          <w:rFonts w:ascii="Arial" w:hAnsi="Arial" w:cs="Arial"/>
        </w:rPr>
        <w:t>C-472 del 6 de septiembre de 2021</w:t>
      </w:r>
      <w:r w:rsidR="00AB2853" w:rsidRPr="0074631F">
        <w:rPr>
          <w:rFonts w:ascii="Arial" w:hAnsi="Arial" w:cs="Arial"/>
        </w:rPr>
        <w:t>, C-049 del 07 de marzo de 2022, C-124 del 22 de marzo de 2022, C-132 del 28 de marzo de 2022, C-348 del 13 de junio de 2022, C-480 del 19 de julio de 2022, C-510 del 08 de agosto de 2022, C-497 del 24 de agosto de 2022, C-508 del 30 de agosto de 2022, C-552 del 01 de septiembre de 2022, C- 568 del 19 de septiembre de 2022 y C-596 del 21 de septiembre de 2022</w:t>
      </w:r>
      <w:r w:rsidR="007009F6" w:rsidRPr="0074631F">
        <w:rPr>
          <w:rFonts w:ascii="Arial" w:hAnsi="Arial" w:cs="Arial"/>
        </w:rPr>
        <w:t xml:space="preserve">. </w:t>
      </w:r>
      <w:r w:rsidR="002A2DC4" w:rsidRPr="0074631F">
        <w:rPr>
          <w:rFonts w:ascii="Arial" w:eastAsia="Calibri" w:hAnsi="Arial" w:cs="Arial"/>
          <w:color w:val="000000"/>
          <w:lang w:val="es-ES_tradnl"/>
        </w:rPr>
        <w:t xml:space="preserve"> </w:t>
      </w:r>
      <w:r w:rsidRPr="0074631F">
        <w:rPr>
          <w:rFonts w:ascii="Arial" w:eastAsia="Calibri" w:hAnsi="Arial" w:cs="Arial"/>
          <w:color w:val="000000"/>
          <w:lang w:val="es-ES_tradnl"/>
        </w:rPr>
        <w:t>La</w:t>
      </w:r>
      <w:r w:rsidR="00AB2853" w:rsidRPr="0074631F">
        <w:rPr>
          <w:rFonts w:ascii="Arial" w:eastAsia="Calibri" w:hAnsi="Arial" w:cs="Arial"/>
          <w:color w:val="000000"/>
          <w:lang w:val="es-ES_tradnl"/>
        </w:rPr>
        <w:t>s</w:t>
      </w:r>
      <w:r w:rsidRPr="0074631F">
        <w:rPr>
          <w:rFonts w:ascii="Arial" w:eastAsia="Calibri" w:hAnsi="Arial" w:cs="Arial"/>
          <w:color w:val="000000"/>
          <w:lang w:val="es-ES_tradnl"/>
        </w:rPr>
        <w:t xml:space="preserve"> tesis planteada</w:t>
      </w:r>
      <w:r w:rsidR="00AB2853" w:rsidRPr="0074631F">
        <w:rPr>
          <w:rFonts w:ascii="Arial" w:eastAsia="Calibri" w:hAnsi="Arial" w:cs="Arial"/>
          <w:color w:val="000000"/>
          <w:lang w:val="es-ES_tradnl"/>
        </w:rPr>
        <w:t>s</w:t>
      </w:r>
      <w:r w:rsidRPr="0074631F">
        <w:rPr>
          <w:rFonts w:ascii="Arial" w:eastAsia="Calibri" w:hAnsi="Arial" w:cs="Arial"/>
          <w:color w:val="000000"/>
          <w:lang w:val="es-ES_tradnl"/>
        </w:rPr>
        <w:t xml:space="preserve"> en tales conceptos se reitera</w:t>
      </w:r>
      <w:r w:rsidR="00AB2853" w:rsidRPr="0074631F">
        <w:rPr>
          <w:rFonts w:ascii="Arial" w:eastAsia="Calibri" w:hAnsi="Arial" w:cs="Arial"/>
          <w:color w:val="000000"/>
          <w:lang w:val="es-ES_tradnl"/>
        </w:rPr>
        <w:t>n</w:t>
      </w:r>
      <w:r w:rsidRPr="0074631F">
        <w:rPr>
          <w:rFonts w:ascii="Arial" w:eastAsia="Calibri" w:hAnsi="Arial" w:cs="Arial"/>
          <w:color w:val="000000"/>
          <w:lang w:val="es-ES_tradnl"/>
        </w:rPr>
        <w:t xml:space="preserve"> en esta ocasión y se complementa</w:t>
      </w:r>
      <w:r w:rsidR="00AB2853" w:rsidRPr="0074631F">
        <w:rPr>
          <w:rFonts w:ascii="Arial" w:eastAsia="Calibri" w:hAnsi="Arial" w:cs="Arial"/>
          <w:color w:val="000000"/>
          <w:lang w:val="es-ES_tradnl"/>
        </w:rPr>
        <w:t>n</w:t>
      </w:r>
      <w:r w:rsidRPr="0074631F">
        <w:rPr>
          <w:rFonts w:ascii="Arial" w:eastAsia="Calibri" w:hAnsi="Arial" w:cs="Arial"/>
          <w:color w:val="000000"/>
          <w:lang w:val="es-ES_tradnl"/>
        </w:rPr>
        <w:t xml:space="preserve"> con algunas consideraciones relativas a la consulta bajo análisis.</w:t>
      </w:r>
    </w:p>
    <w:p w14:paraId="5F4967BC" w14:textId="2C2479B6" w:rsidR="007A4176" w:rsidRPr="0074631F" w:rsidRDefault="007A4176" w:rsidP="007A4176">
      <w:pPr>
        <w:spacing w:after="0" w:line="276" w:lineRule="auto"/>
        <w:jc w:val="both"/>
        <w:rPr>
          <w:rFonts w:ascii="Arial" w:eastAsia="Calibri" w:hAnsi="Arial" w:cs="Arial"/>
          <w:color w:val="000000"/>
          <w:lang w:val="es-ES_tradnl"/>
        </w:rPr>
      </w:pPr>
    </w:p>
    <w:p w14:paraId="37B3F23B" w14:textId="029FB13F" w:rsidR="00660D08" w:rsidRPr="0074631F" w:rsidRDefault="00660D08" w:rsidP="00660D08">
      <w:pPr>
        <w:spacing w:after="0" w:line="276" w:lineRule="auto"/>
        <w:jc w:val="both"/>
        <w:rPr>
          <w:rFonts w:ascii="Arial" w:eastAsia="Calibri" w:hAnsi="Arial" w:cs="Arial"/>
          <w:b/>
          <w:lang w:val="es-ES"/>
        </w:rPr>
      </w:pPr>
      <w:r w:rsidRPr="0074631F">
        <w:rPr>
          <w:rFonts w:ascii="Arial" w:eastAsia="Calibri" w:hAnsi="Arial" w:cs="Arial"/>
          <w:b/>
          <w:bCs/>
          <w:lang w:val="es-ES"/>
        </w:rPr>
        <w:t>2.</w:t>
      </w:r>
      <w:r w:rsidR="006730DE" w:rsidRPr="0074631F">
        <w:rPr>
          <w:rFonts w:ascii="Arial" w:eastAsia="Calibri" w:hAnsi="Arial" w:cs="Arial"/>
          <w:b/>
          <w:bCs/>
          <w:lang w:val="es-ES"/>
        </w:rPr>
        <w:t>1</w:t>
      </w:r>
      <w:r w:rsidRPr="0074631F">
        <w:rPr>
          <w:rFonts w:ascii="Arial" w:eastAsia="Calibri" w:hAnsi="Arial" w:cs="Arial"/>
          <w:b/>
          <w:bCs/>
          <w:lang w:val="es-ES"/>
        </w:rPr>
        <w:t xml:space="preserve">. </w:t>
      </w:r>
      <w:r w:rsidR="006730DE" w:rsidRPr="0074631F">
        <w:rPr>
          <w:rFonts w:ascii="Arial" w:eastAsia="Calibri" w:hAnsi="Arial" w:cs="Arial"/>
          <w:b/>
          <w:lang w:val="es-ES"/>
        </w:rPr>
        <w:t xml:space="preserve">Documentos que deben publicarse en el SECOP. Reiteración del concepto </w:t>
      </w:r>
      <w:r w:rsidR="00E711D4" w:rsidRPr="0074631F">
        <w:rPr>
          <w:rFonts w:ascii="Arial" w:eastAsia="Calibri" w:hAnsi="Arial" w:cs="Arial"/>
          <w:b/>
          <w:lang w:val="es-ES"/>
        </w:rPr>
        <w:t>CU-367 de 2020 en cuanto al alcance de la expresión «</w:t>
      </w:r>
      <w:r w:rsidR="006C0939" w:rsidRPr="0074631F">
        <w:rPr>
          <w:rFonts w:ascii="Arial" w:eastAsia="Calibri" w:hAnsi="Arial" w:cs="Arial"/>
          <w:b/>
          <w:lang w:val="es-ES"/>
        </w:rPr>
        <w:t>D</w:t>
      </w:r>
      <w:r w:rsidR="00E711D4" w:rsidRPr="0074631F">
        <w:rPr>
          <w:rFonts w:ascii="Arial" w:eastAsia="Calibri" w:hAnsi="Arial" w:cs="Arial"/>
          <w:b/>
          <w:lang w:val="es-ES"/>
        </w:rPr>
        <w:t xml:space="preserve">ocumentos del </w:t>
      </w:r>
      <w:r w:rsidR="006C0939" w:rsidRPr="0074631F">
        <w:rPr>
          <w:rFonts w:ascii="Arial" w:eastAsia="Calibri" w:hAnsi="Arial" w:cs="Arial"/>
          <w:b/>
          <w:lang w:val="es-ES"/>
        </w:rPr>
        <w:t>P</w:t>
      </w:r>
      <w:r w:rsidR="00E711D4" w:rsidRPr="0074631F">
        <w:rPr>
          <w:rFonts w:ascii="Arial" w:eastAsia="Calibri" w:hAnsi="Arial" w:cs="Arial"/>
          <w:b/>
          <w:lang w:val="es-ES"/>
        </w:rPr>
        <w:t>roceso»</w:t>
      </w:r>
    </w:p>
    <w:p w14:paraId="0D609DC0" w14:textId="77777777" w:rsidR="00660D08" w:rsidRPr="0074631F" w:rsidRDefault="00660D08" w:rsidP="00660D08">
      <w:pPr>
        <w:spacing w:after="0" w:line="276" w:lineRule="auto"/>
        <w:ind w:left="360"/>
        <w:contextualSpacing/>
        <w:jc w:val="both"/>
        <w:rPr>
          <w:rFonts w:ascii="Arial" w:eastAsia="Calibri" w:hAnsi="Arial" w:cs="Arial"/>
          <w:b/>
          <w:lang w:val="es-ES"/>
        </w:rPr>
      </w:pPr>
    </w:p>
    <w:p w14:paraId="4E9079D5" w14:textId="76B6FC9D" w:rsidR="00660D08" w:rsidRPr="0074631F" w:rsidRDefault="00660D08" w:rsidP="00660D08">
      <w:pPr>
        <w:spacing w:after="0" w:line="276" w:lineRule="auto"/>
        <w:contextualSpacing/>
        <w:jc w:val="both"/>
        <w:rPr>
          <w:rFonts w:ascii="Arial" w:eastAsia="Calibri" w:hAnsi="Arial" w:cs="Arial"/>
          <w:lang w:val="es-ES"/>
        </w:rPr>
      </w:pPr>
      <w:r w:rsidRPr="0074631F">
        <w:rPr>
          <w:rFonts w:ascii="Arial" w:eastAsia="Calibri" w:hAnsi="Arial" w:cs="Arial"/>
          <w:lang w:val="es-ES"/>
        </w:rPr>
        <w:t xml:space="preserve">La Agencia Nacional de Contratación Pública ― Colombia Compra Eficiente, en el concepto con radicado </w:t>
      </w:r>
      <w:r w:rsidR="00E711D4" w:rsidRPr="0074631F">
        <w:rPr>
          <w:rFonts w:ascii="Arial" w:eastAsia="Calibri" w:hAnsi="Arial" w:cs="Arial"/>
          <w:lang w:val="es-ES"/>
        </w:rPr>
        <w:t>CU-367 de</w:t>
      </w:r>
      <w:r w:rsidR="00FC689C" w:rsidRPr="0074631F">
        <w:rPr>
          <w:rFonts w:ascii="Arial" w:eastAsia="Calibri" w:hAnsi="Arial" w:cs="Arial"/>
          <w:lang w:val="es-ES"/>
        </w:rPr>
        <w:t>l 23 de julio de</w:t>
      </w:r>
      <w:r w:rsidR="00E711D4" w:rsidRPr="0074631F">
        <w:rPr>
          <w:rFonts w:ascii="Arial" w:eastAsia="Calibri" w:hAnsi="Arial" w:cs="Arial"/>
          <w:lang w:val="es-ES"/>
        </w:rPr>
        <w:t xml:space="preserve"> 2020</w:t>
      </w:r>
      <w:r w:rsidRPr="0074631F">
        <w:rPr>
          <w:rFonts w:ascii="Arial" w:eastAsia="Calibri" w:hAnsi="Arial" w:cs="Arial"/>
          <w:lang w:val="es-ES"/>
        </w:rPr>
        <w:t>, estudió la publicidad de los procedimientos contractuales de las entidades en el SECOP</w:t>
      </w:r>
      <w:r w:rsidR="00FC689C" w:rsidRPr="0074631F">
        <w:rPr>
          <w:rFonts w:ascii="Arial" w:eastAsia="Calibri" w:hAnsi="Arial" w:cs="Arial"/>
          <w:lang w:val="es-ES"/>
        </w:rPr>
        <w:t xml:space="preserve">, definiendo el alcance de la expresión «documentos del proceso», </w:t>
      </w:r>
      <w:r w:rsidR="00F75D77" w:rsidRPr="0074631F">
        <w:rPr>
          <w:rFonts w:ascii="Arial" w:eastAsia="Calibri" w:hAnsi="Arial" w:cs="Arial"/>
          <w:lang w:val="es-ES"/>
        </w:rPr>
        <w:t>que hace referencia a los documentos que deben publicarse en dicha plataforma</w:t>
      </w:r>
      <w:r w:rsidRPr="0074631F">
        <w:rPr>
          <w:rFonts w:ascii="Arial" w:eastAsia="Calibri" w:hAnsi="Arial" w:cs="Arial"/>
          <w:lang w:val="es-ES"/>
        </w:rPr>
        <w:t>. La tesis desarrollada se expone y complementa a continuación:</w:t>
      </w:r>
    </w:p>
    <w:p w14:paraId="179ECB3B" w14:textId="77777777" w:rsidR="00660D08" w:rsidRPr="0074631F" w:rsidRDefault="00660D08" w:rsidP="00660D08">
      <w:pPr>
        <w:spacing w:before="120" w:after="120" w:line="276" w:lineRule="auto"/>
        <w:ind w:firstLine="708"/>
        <w:jc w:val="both"/>
        <w:rPr>
          <w:rFonts w:ascii="Arial" w:eastAsia="Calibri" w:hAnsi="Arial" w:cs="Arial"/>
          <w:lang w:val="es-ES"/>
        </w:rPr>
      </w:pPr>
      <w:r w:rsidRPr="0074631F">
        <w:rPr>
          <w:rFonts w:ascii="Arial" w:eastAsia="Calibri" w:hAnsi="Arial" w:cs="Arial"/>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74631F">
        <w:rPr>
          <w:rFonts w:ascii="Arial" w:eastAsia="Calibri" w:hAnsi="Arial" w:cs="Arial"/>
          <w:lang w:val="es-ES"/>
        </w:rPr>
        <w:t>2007  ̶</w:t>
      </w:r>
      <w:proofErr w:type="gramEnd"/>
      <w:r w:rsidRPr="0074631F">
        <w:rPr>
          <w:rFonts w:ascii="Arial" w:eastAsia="Calibri" w:hAnsi="Arial" w:cs="Arial"/>
          <w:lang w:val="es-ES"/>
        </w:rPr>
        <w:t xml:space="preserve"> Estatuto General de Contratación de la Administración Pública ̶  y el Decreto 1082 de 2015, que es reglamentario y concreta cada modalidad de selección, señalando las reglas o pasos a seguir </w:t>
      </w:r>
      <w:r w:rsidRPr="0074631F">
        <w:rPr>
          <w:rFonts w:ascii="Arial" w:eastAsia="Calibri" w:hAnsi="Arial" w:cs="Arial"/>
          <w:lang w:val="es-ES"/>
        </w:rPr>
        <w:lastRenderedPageBreak/>
        <w:t>para celebrar el contrato estatal</w:t>
      </w:r>
      <w:r w:rsidRPr="0074631F">
        <w:rPr>
          <w:rStyle w:val="Refdenotaalpie"/>
          <w:rFonts w:ascii="Arial" w:hAnsi="Arial" w:cs="Arial"/>
        </w:rPr>
        <w:footnoteReference w:id="1"/>
      </w:r>
      <w:r w:rsidRPr="0074631F">
        <w:rPr>
          <w:rFonts w:ascii="Arial" w:eastAsia="Calibri" w:hAnsi="Arial" w:cs="Arial"/>
          <w:lang w:val="es-ES"/>
        </w:rPr>
        <w:t>. Por consiguiente, para que los documentos de la actividad contractual se conozcan la entidad debe publicarlos, sin importar la modalidad de selección.</w:t>
      </w:r>
    </w:p>
    <w:p w14:paraId="41E74AA9" w14:textId="1B8BFE9D" w:rsidR="00660D08" w:rsidRPr="0074631F" w:rsidRDefault="00660D08" w:rsidP="00660D08">
      <w:pPr>
        <w:widowControl w:val="0"/>
        <w:autoSpaceDE w:val="0"/>
        <w:autoSpaceDN w:val="0"/>
        <w:spacing w:after="0" w:line="276" w:lineRule="auto"/>
        <w:ind w:right="49" w:firstLine="708"/>
        <w:jc w:val="both"/>
        <w:rPr>
          <w:rFonts w:ascii="Arial" w:eastAsia="Arial" w:hAnsi="Arial" w:cs="Arial"/>
          <w:lang w:val="es-ES"/>
        </w:rPr>
      </w:pPr>
      <w:r w:rsidRPr="0074631F">
        <w:rPr>
          <w:rFonts w:ascii="Arial" w:eastAsia="Arial" w:hAnsi="Arial" w:cs="Arial"/>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74631F">
        <w:rPr>
          <w:rStyle w:val="Refdenotaalpie"/>
          <w:rFonts w:ascii="Arial" w:hAnsi="Arial" w:cs="Arial"/>
        </w:rPr>
        <w:footnoteReference w:id="2"/>
      </w:r>
      <w:r w:rsidRPr="0074631F">
        <w:rPr>
          <w:rFonts w:ascii="Arial" w:eastAsia="Arial" w:hAnsi="Arial" w:cs="Arial"/>
          <w:lang w:val="es-ES"/>
        </w:rPr>
        <w:t>. Este sistema debe contar con la información oficial de los procedimientos contractuales de las entidades, que</w:t>
      </w:r>
      <w:r w:rsidR="00853316" w:rsidRPr="0074631F">
        <w:rPr>
          <w:rFonts w:ascii="Arial" w:eastAsia="Arial" w:hAnsi="Arial" w:cs="Arial"/>
          <w:lang w:val="es-ES"/>
        </w:rPr>
        <w:t>,</w:t>
      </w:r>
      <w:r w:rsidRPr="0074631F">
        <w:rPr>
          <w:rFonts w:ascii="Arial" w:eastAsia="Arial" w:hAnsi="Arial" w:cs="Arial"/>
          <w:lang w:val="es-ES"/>
        </w:rPr>
        <w:t xml:space="preserve"> al ser de interés público</w:t>
      </w:r>
      <w:r w:rsidR="00853316" w:rsidRPr="0074631F">
        <w:rPr>
          <w:rFonts w:ascii="Arial" w:eastAsia="Arial" w:hAnsi="Arial" w:cs="Arial"/>
          <w:lang w:val="es-ES"/>
        </w:rPr>
        <w:t>,</w:t>
      </w:r>
      <w:r w:rsidRPr="0074631F">
        <w:rPr>
          <w:rFonts w:ascii="Arial" w:eastAsia="Arial" w:hAnsi="Arial" w:cs="Arial"/>
          <w:lang w:val="es-ES"/>
        </w:rPr>
        <w:t xml:space="preserve"> ameritan su conocimiento por parte de la ciudadanía, más aún cuando involucran la inversión de recursos públicos y el correlativo derecho de la ciudadanía de conocer cómo se invierten y controlar que el objetivo sea la satisfacción de sus necesidades.</w:t>
      </w:r>
    </w:p>
    <w:p w14:paraId="55D4E5D3" w14:textId="32CCF29D" w:rsidR="00660D08" w:rsidRPr="0074631F" w:rsidRDefault="00660D08" w:rsidP="00814610">
      <w:pPr>
        <w:widowControl w:val="0"/>
        <w:autoSpaceDE w:val="0"/>
        <w:autoSpaceDN w:val="0"/>
        <w:spacing w:before="120" w:after="0" w:line="276" w:lineRule="auto"/>
        <w:ind w:right="306" w:firstLine="709"/>
        <w:jc w:val="both"/>
        <w:rPr>
          <w:rFonts w:ascii="Arial" w:eastAsia="Arial" w:hAnsi="Arial" w:cs="Arial"/>
          <w:lang w:val="es-ES"/>
        </w:rPr>
      </w:pPr>
      <w:r w:rsidRPr="0074631F">
        <w:rPr>
          <w:rFonts w:ascii="Arial" w:eastAsia="Arial" w:hAnsi="Arial" w:cs="Arial"/>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w:t>
      </w:r>
      <w:r w:rsidRPr="0074631F">
        <w:rPr>
          <w:rFonts w:ascii="Arial" w:eastAsia="Arial" w:hAnsi="Arial" w:cs="Arial"/>
          <w:lang w:val="es-ES"/>
        </w:rPr>
        <w:lastRenderedPageBreak/>
        <w:t>un deber de las autoridades en el ejercicio de las funciones administrativas que la ley les otorga.</w:t>
      </w:r>
    </w:p>
    <w:p w14:paraId="6381B1CE" w14:textId="77777777" w:rsidR="00660D08" w:rsidRPr="003B7975" w:rsidRDefault="00660D08" w:rsidP="00814610">
      <w:pPr>
        <w:widowControl w:val="0"/>
        <w:autoSpaceDE w:val="0"/>
        <w:autoSpaceDN w:val="0"/>
        <w:spacing w:before="120" w:after="120" w:line="276" w:lineRule="auto"/>
        <w:ind w:firstLine="709"/>
        <w:jc w:val="both"/>
        <w:rPr>
          <w:rFonts w:ascii="Arial" w:eastAsia="Arial" w:hAnsi="Arial" w:cs="Arial"/>
          <w:i/>
          <w:iCs/>
          <w:lang w:val="es-ES"/>
        </w:rPr>
      </w:pPr>
      <w:r w:rsidRPr="0074631F">
        <w:rPr>
          <w:rFonts w:ascii="Arial" w:eastAsia="Arial" w:hAnsi="Arial" w:cs="Arial"/>
          <w:lang w:val="es-ES"/>
        </w:rPr>
        <w:t xml:space="preserve">Ahora bien, las entidades estatales, conforme al artículo 2.2.1.1.1.7.1. del Decreto 1082 de 2015, tienen la obligación de publicar en el SECOP </w:t>
      </w:r>
      <w:r w:rsidRPr="003B7975">
        <w:rPr>
          <w:rFonts w:ascii="Arial" w:eastAsia="Arial" w:hAnsi="Arial" w:cs="Arial"/>
          <w:i/>
          <w:iCs/>
          <w:lang w:val="es-ES"/>
        </w:rPr>
        <w:t xml:space="preserve">«[…] los Documentos del Proceso y los actos administrativos del Proceso de Contratación, dentro de los tres (3) días siguientes a su expedición […]». </w:t>
      </w:r>
    </w:p>
    <w:p w14:paraId="018F2A18" w14:textId="1232D621" w:rsidR="00660D08" w:rsidRPr="0074631F" w:rsidRDefault="00660D08" w:rsidP="00660D08">
      <w:pPr>
        <w:widowControl w:val="0"/>
        <w:autoSpaceDE w:val="0"/>
        <w:autoSpaceDN w:val="0"/>
        <w:spacing w:after="120" w:line="276" w:lineRule="auto"/>
        <w:ind w:firstLine="709"/>
        <w:jc w:val="both"/>
        <w:rPr>
          <w:rFonts w:ascii="Arial" w:eastAsia="Arial" w:hAnsi="Arial" w:cs="Arial"/>
          <w:lang w:val="es-ES"/>
        </w:rPr>
      </w:pPr>
      <w:r w:rsidRPr="0074631F">
        <w:rPr>
          <w:rFonts w:ascii="Arial" w:eastAsia="Arial" w:hAnsi="Arial" w:cs="Arial"/>
          <w:lang w:val="es-ES"/>
        </w:rPr>
        <w:t xml:space="preserve">La expresión </w:t>
      </w:r>
      <w:r w:rsidRPr="0074631F">
        <w:rPr>
          <w:rFonts w:ascii="Arial" w:eastAsia="Arial" w:hAnsi="Arial" w:cs="Arial"/>
          <w:i/>
          <w:iCs/>
          <w:lang w:val="es-ES"/>
        </w:rPr>
        <w:t>Documentos del Proceso</w:t>
      </w:r>
      <w:r w:rsidRPr="0074631F">
        <w:rPr>
          <w:rFonts w:ascii="Arial" w:eastAsia="Arial" w:hAnsi="Arial" w:cs="Arial"/>
          <w:lang w:val="es-ES"/>
        </w:rPr>
        <w:t xml:space="preserve"> está definida en el artículo 2.2.1.1.1.3.1. del Decreto 1082 de 2015, </w:t>
      </w:r>
      <w:r w:rsidR="00F91ACE" w:rsidRPr="0074631F">
        <w:rPr>
          <w:rFonts w:ascii="Arial" w:eastAsia="Arial" w:hAnsi="Arial" w:cs="Arial"/>
          <w:lang w:val="es-ES"/>
        </w:rPr>
        <w:t>el cual</w:t>
      </w:r>
      <w:r w:rsidRPr="0074631F">
        <w:rPr>
          <w:rFonts w:ascii="Arial" w:eastAsia="Arial" w:hAnsi="Arial" w:cs="Arial"/>
          <w:lang w:val="es-ES"/>
        </w:rPr>
        <w:t xml:space="preserve"> establece que: </w:t>
      </w:r>
      <w:r w:rsidRPr="003B7975">
        <w:rPr>
          <w:rFonts w:ascii="Arial" w:eastAsia="Arial" w:hAnsi="Arial" w:cs="Arial"/>
          <w:i/>
          <w:iCs/>
          <w:lang w:val="es-ES"/>
        </w:rPr>
        <w:t xml:space="preserve">«son: (a) los estudios y documentos previos; (b) el aviso de convocatoria; (c) los pliegos de condiciones o la invitación; (d) las adendas; </w:t>
      </w:r>
      <w:r w:rsidR="006C0939" w:rsidRPr="003B7975">
        <w:rPr>
          <w:rFonts w:ascii="Arial" w:eastAsia="Arial" w:hAnsi="Arial" w:cs="Arial"/>
          <w:i/>
          <w:iCs/>
          <w:lang w:val="es-ES"/>
        </w:rPr>
        <w:t>€</w:t>
      </w:r>
      <w:r w:rsidRPr="003B7975">
        <w:rPr>
          <w:rFonts w:ascii="Arial" w:eastAsia="Arial" w:hAnsi="Arial" w:cs="Arial"/>
          <w:i/>
          <w:iCs/>
          <w:lang w:val="es-ES"/>
        </w:rPr>
        <w:t xml:space="preserve"> la oferta; (f) el informe de evaluación; (g) el contrato; y cualquier otro documento expedido por la Entidad Estatal durante el Proceso de Contratación».</w:t>
      </w:r>
      <w:r w:rsidRPr="0074631F">
        <w:rPr>
          <w:rFonts w:ascii="Arial" w:eastAsia="Arial" w:hAnsi="Arial" w:cs="Arial"/>
          <w:lang w:val="es-ES"/>
        </w:rPr>
        <w:t xml:space="preserve"> </w:t>
      </w:r>
    </w:p>
    <w:p w14:paraId="6C4E90AA" w14:textId="122C3D8C" w:rsidR="00660D08" w:rsidRPr="0074631F" w:rsidRDefault="00660D08" w:rsidP="00660D08">
      <w:pPr>
        <w:widowControl w:val="0"/>
        <w:autoSpaceDE w:val="0"/>
        <w:autoSpaceDN w:val="0"/>
        <w:spacing w:after="120" w:line="276" w:lineRule="auto"/>
        <w:ind w:firstLine="709"/>
        <w:jc w:val="both"/>
        <w:rPr>
          <w:rFonts w:ascii="Arial" w:eastAsia="Arial" w:hAnsi="Arial" w:cs="Arial"/>
          <w:lang w:val="es-ES"/>
        </w:rPr>
      </w:pPr>
      <w:r w:rsidRPr="0074631F">
        <w:rPr>
          <w:rFonts w:ascii="Arial" w:eastAsia="Arial" w:hAnsi="Arial" w:cs="Arial"/>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74631F">
        <w:rPr>
          <w:rFonts w:ascii="Arial" w:eastAsia="Arial" w:hAnsi="Arial" w:cs="Arial"/>
          <w:i/>
          <w:iCs/>
          <w:lang w:val="es-ES"/>
        </w:rPr>
        <w:t>Ibídem</w:t>
      </w:r>
      <w:proofErr w:type="spellEnd"/>
      <w:r w:rsidRPr="0074631F">
        <w:rPr>
          <w:rFonts w:ascii="Arial" w:eastAsia="Arial" w:hAnsi="Arial" w:cs="Arial"/>
          <w:lang w:val="es-ES"/>
        </w:rPr>
        <w:t xml:space="preserve"> recoge en la noción de </w:t>
      </w:r>
      <w:r w:rsidRPr="0074631F">
        <w:rPr>
          <w:rFonts w:ascii="Arial" w:eastAsia="Arial" w:hAnsi="Arial" w:cs="Arial"/>
          <w:i/>
          <w:iCs/>
          <w:lang w:val="es-ES"/>
        </w:rPr>
        <w:t>Documentos del Proceso</w:t>
      </w:r>
      <w:r w:rsidRPr="0074631F">
        <w:rPr>
          <w:rFonts w:ascii="Arial" w:eastAsia="Arial" w:hAnsi="Arial" w:cs="Arial"/>
          <w:lang w:val="es-ES"/>
        </w:rPr>
        <w:t xml:space="preserve"> «cualquier otro documento expedido por la Entidad Estatal durante </w:t>
      </w:r>
      <w:r w:rsidRPr="003B7975">
        <w:rPr>
          <w:rFonts w:ascii="Arial" w:eastAsia="Arial" w:hAnsi="Arial" w:cs="Arial"/>
          <w:lang w:val="es-ES"/>
        </w:rPr>
        <w:t>el Proceso de Contratación». Este mismo artículo define la expresión Proceso de Contratación como el</w:t>
      </w:r>
      <w:r w:rsidRPr="0074631F">
        <w:rPr>
          <w:rFonts w:ascii="Arial" w:eastAsia="Arial" w:hAnsi="Arial" w:cs="Arial"/>
          <w:lang w:val="es-ES"/>
        </w:rPr>
        <w:t xml:space="preserve"> </w:t>
      </w:r>
      <w:r w:rsidRPr="003B7975">
        <w:rPr>
          <w:rFonts w:ascii="Arial" w:eastAsia="Arial" w:hAnsi="Arial" w:cs="Arial"/>
          <w:i/>
          <w:iCs/>
          <w:lang w:val="es-ES"/>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Pr="0074631F">
        <w:rPr>
          <w:rFonts w:ascii="Arial" w:eastAsia="Arial" w:hAnsi="Arial" w:cs="Arial"/>
          <w:lang w:val="es-ES"/>
        </w:rPr>
        <w:t xml:space="preserve">  </w:t>
      </w:r>
    </w:p>
    <w:p w14:paraId="1D10C192" w14:textId="77777777" w:rsidR="00660D08" w:rsidRPr="0074631F" w:rsidRDefault="00660D08" w:rsidP="00660D08">
      <w:pPr>
        <w:widowControl w:val="0"/>
        <w:autoSpaceDE w:val="0"/>
        <w:autoSpaceDN w:val="0"/>
        <w:spacing w:after="120" w:line="276" w:lineRule="auto"/>
        <w:ind w:firstLine="709"/>
        <w:jc w:val="both"/>
        <w:rPr>
          <w:rFonts w:ascii="Arial" w:eastAsia="Arial" w:hAnsi="Arial" w:cs="Arial"/>
          <w:lang w:val="es-ES"/>
        </w:rPr>
      </w:pPr>
      <w:r w:rsidRPr="0074631F">
        <w:rPr>
          <w:rFonts w:ascii="Arial" w:eastAsia="Arial" w:hAnsi="Arial" w:cs="Arial"/>
          <w:lang w:val="es-ES"/>
        </w:rPr>
        <w:t xml:space="preserve">Nótese que la norma hace referencia a los documentos «expedidos por la entidad estatal» durante el proceso de contratación, excluyendo de la noción de </w:t>
      </w:r>
      <w:r w:rsidRPr="0074631F">
        <w:rPr>
          <w:rFonts w:ascii="Arial" w:eastAsia="Arial" w:hAnsi="Arial" w:cs="Arial"/>
          <w:i/>
          <w:iCs/>
          <w:lang w:val="es-ES"/>
        </w:rPr>
        <w:t>Documentos del Proceso</w:t>
      </w:r>
      <w:r w:rsidRPr="0074631F">
        <w:rPr>
          <w:rFonts w:ascii="Arial" w:eastAsia="Arial" w:hAnsi="Arial" w:cs="Arial"/>
          <w:lang w:val="es-ES"/>
        </w:rPr>
        <w:t xml:space="preserve"> los expedidos por un sujeto distinto a la entidad, salvo la oferta, la cual se incluye expresamente en el artículo 2.2.1.1.1.3.1. </w:t>
      </w:r>
    </w:p>
    <w:p w14:paraId="26DECE24" w14:textId="77777777" w:rsidR="00660D08" w:rsidRPr="0074631F" w:rsidRDefault="00660D08" w:rsidP="00660D08">
      <w:pPr>
        <w:widowControl w:val="0"/>
        <w:autoSpaceDE w:val="0"/>
        <w:autoSpaceDN w:val="0"/>
        <w:spacing w:after="120" w:line="276" w:lineRule="auto"/>
        <w:ind w:firstLine="708"/>
        <w:jc w:val="both"/>
        <w:rPr>
          <w:rFonts w:ascii="Arial" w:eastAsia="Arial" w:hAnsi="Arial" w:cs="Arial"/>
          <w:lang w:val="es-ES"/>
        </w:rPr>
      </w:pPr>
      <w:r w:rsidRPr="0074631F">
        <w:rPr>
          <w:rFonts w:ascii="Arial" w:eastAsia="Arial" w:hAnsi="Arial" w:cs="Arial"/>
          <w:lang w:val="es-ES"/>
        </w:rPr>
        <w:t xml:space="preserve">En ese sentido, la interpretación sistemática de los preceptos del Decreto 1082 de 2015, de acuerdo con el principio de publicidad, inicialmente, indica que las entidades estatales tienen la obligación de publicar </w:t>
      </w:r>
      <w:r w:rsidRPr="0074631F">
        <w:rPr>
          <w:rFonts w:ascii="Arial" w:eastAsia="Arial" w:hAnsi="Arial" w:cs="Arial"/>
          <w:i/>
          <w:iCs/>
          <w:lang w:val="es-ES"/>
        </w:rPr>
        <w:t>todos</w:t>
      </w:r>
      <w:r w:rsidRPr="0074631F">
        <w:rPr>
          <w:rFonts w:ascii="Arial" w:eastAsia="Arial" w:hAnsi="Arial" w:cs="Arial"/>
          <w:lang w:val="es-ES"/>
        </w:rPr>
        <w:t xml:space="preserve"> los documentos que expidan con ocasión del </w:t>
      </w:r>
      <w:r w:rsidRPr="0074631F">
        <w:rPr>
          <w:rFonts w:ascii="Arial" w:eastAsia="Arial" w:hAnsi="Arial" w:cs="Arial"/>
          <w:i/>
          <w:iCs/>
          <w:lang w:val="es-ES"/>
        </w:rPr>
        <w:t>Proceso de Contratación</w:t>
      </w:r>
      <w:r w:rsidRPr="0074631F">
        <w:rPr>
          <w:rFonts w:ascii="Arial" w:eastAsia="Arial" w:hAnsi="Arial" w:cs="Arial"/>
          <w:lang w:val="es-ES"/>
        </w:rPr>
        <w:t xml:space="preserve">, esto es, desde la fase de planeación hasta </w:t>
      </w:r>
      <w:r w:rsidRPr="003B7975">
        <w:rPr>
          <w:rFonts w:ascii="Arial" w:eastAsia="Arial" w:hAnsi="Arial" w:cs="Arial"/>
          <w:i/>
          <w:iCs/>
          <w:lang w:val="es-ES"/>
        </w:rPr>
        <w:t>«el vencimiento de las garantías de calidad, estabilidad y mantenimiento, o las condiciones de disposición final o recuperación ambiental de las obras o bienes o el vencimiento del plazo, lo que ocurra más tarde»,</w:t>
      </w:r>
      <w:r w:rsidRPr="0074631F">
        <w:rPr>
          <w:rFonts w:ascii="Arial" w:eastAsia="Arial" w:hAnsi="Arial" w:cs="Arial"/>
          <w:lang w:val="es-ES"/>
        </w:rPr>
        <w:t xml:space="preserve"> lo que significa que todos los documentos expedidos por la entidad durante las etapas precontractual, de ejecución y </w:t>
      </w:r>
      <w:proofErr w:type="spellStart"/>
      <w:r w:rsidRPr="0074631F">
        <w:rPr>
          <w:rFonts w:ascii="Arial" w:eastAsia="Arial" w:hAnsi="Arial" w:cs="Arial"/>
          <w:lang w:val="es-ES"/>
        </w:rPr>
        <w:t>postcontractual</w:t>
      </w:r>
      <w:proofErr w:type="spellEnd"/>
      <w:r w:rsidRPr="0074631F">
        <w:rPr>
          <w:rFonts w:ascii="Arial" w:eastAsia="Arial" w:hAnsi="Arial" w:cs="Arial"/>
          <w:lang w:val="es-ES"/>
        </w:rPr>
        <w:t xml:space="preserve"> deberán ser publicados en SECOP dentro de los tres (3) días siguientes a su expedición, para  cumplir el deber de publicidad regulado por el artículo 2.2.1.1.1.7.1. del Decreto 1082 de 2015.</w:t>
      </w:r>
    </w:p>
    <w:p w14:paraId="4C96F539" w14:textId="76ABBD7A" w:rsidR="00660D08" w:rsidRPr="0074631F" w:rsidRDefault="00660D08" w:rsidP="00660D08">
      <w:pPr>
        <w:widowControl w:val="0"/>
        <w:autoSpaceDE w:val="0"/>
        <w:autoSpaceDN w:val="0"/>
        <w:spacing w:after="120" w:line="276" w:lineRule="auto"/>
        <w:ind w:firstLine="708"/>
        <w:jc w:val="both"/>
        <w:rPr>
          <w:rFonts w:ascii="Arial" w:eastAsia="Arial" w:hAnsi="Arial" w:cs="Arial"/>
          <w:lang w:val="es-ES"/>
        </w:rPr>
      </w:pPr>
      <w:r w:rsidRPr="0074631F">
        <w:rPr>
          <w:rFonts w:ascii="Arial" w:eastAsia="Arial" w:hAnsi="Arial" w:cs="Arial"/>
          <w:lang w:val="es-ES"/>
        </w:rPr>
        <w:t xml:space="preserve">En todo caso, de conformidad con la segunda parte del inciso primero del artículo 2.2.1.1.1.7.1 </w:t>
      </w:r>
      <w:proofErr w:type="spellStart"/>
      <w:r w:rsidRPr="0074631F">
        <w:rPr>
          <w:rFonts w:ascii="Arial" w:eastAsia="Arial" w:hAnsi="Arial" w:cs="Arial"/>
          <w:i/>
          <w:iCs/>
          <w:lang w:val="es-ES"/>
        </w:rPr>
        <w:t>Ibídem</w:t>
      </w:r>
      <w:proofErr w:type="spellEnd"/>
      <w:r w:rsidRPr="0074631F">
        <w:rPr>
          <w:rFonts w:ascii="Arial" w:eastAsia="Arial" w:hAnsi="Arial" w:cs="Arial"/>
          <w:lang w:val="es-ES"/>
        </w:rPr>
        <w:t xml:space="preserve">, el deber de publicar las actuaciones realizadas en el marco del proceso de </w:t>
      </w:r>
      <w:r w:rsidRPr="0074631F">
        <w:rPr>
          <w:rFonts w:ascii="Arial" w:eastAsia="Arial" w:hAnsi="Arial" w:cs="Arial"/>
          <w:lang w:val="es-ES"/>
        </w:rPr>
        <w:lastRenderedPageBreak/>
        <w:t>contratación, en lo referente a las ofertas presentadas, solo se predica de la propuesta del adjudicatario, así que no es necesario publicar las demás.</w:t>
      </w:r>
      <w:r w:rsidR="004B2B35" w:rsidRPr="0074631F">
        <w:rPr>
          <w:rFonts w:ascii="Arial" w:eastAsia="Arial" w:hAnsi="Arial" w:cs="Arial"/>
          <w:lang w:val="es-ES"/>
        </w:rPr>
        <w:t xml:space="preserve"> </w:t>
      </w:r>
      <w:r w:rsidRPr="0074631F">
        <w:rPr>
          <w:rFonts w:ascii="Arial" w:eastAsia="Arial" w:hAnsi="Arial" w:cs="Arial"/>
          <w:lang w:val="es-ES"/>
        </w:rPr>
        <w:t>Del deber de publicidad, de conformidad con la tercera parte del inciso primero de la referida norma, también se encuentran exentos los documentos de las operaciones que se realicen en bolsa de productos.</w:t>
      </w:r>
    </w:p>
    <w:p w14:paraId="564A63BF" w14:textId="77777777" w:rsidR="00660D08" w:rsidRPr="0074631F" w:rsidRDefault="00660D08" w:rsidP="00660D08">
      <w:pPr>
        <w:widowControl w:val="0"/>
        <w:autoSpaceDE w:val="0"/>
        <w:autoSpaceDN w:val="0"/>
        <w:spacing w:after="120" w:line="276" w:lineRule="auto"/>
        <w:ind w:firstLine="708"/>
        <w:jc w:val="both"/>
        <w:rPr>
          <w:rFonts w:ascii="Arial" w:eastAsia="Arial" w:hAnsi="Arial" w:cs="Arial"/>
          <w:lang w:val="es-ES"/>
        </w:rPr>
      </w:pPr>
      <w:r w:rsidRPr="0074631F">
        <w:rPr>
          <w:rFonts w:ascii="Arial" w:eastAsia="Arial" w:hAnsi="Arial" w:cs="Arial"/>
          <w:lang w:val="es-ES"/>
        </w:rPr>
        <w:t xml:space="preserve"> El inciso segundo del artículo 2.2.1.1.1.7.1 </w:t>
      </w:r>
      <w:proofErr w:type="spellStart"/>
      <w:r w:rsidRPr="0074631F">
        <w:rPr>
          <w:rFonts w:ascii="Arial" w:eastAsia="Arial" w:hAnsi="Arial" w:cs="Arial"/>
          <w:i/>
          <w:iCs/>
          <w:lang w:val="es-ES"/>
        </w:rPr>
        <w:t>ejusdem</w:t>
      </w:r>
      <w:proofErr w:type="spellEnd"/>
      <w:r w:rsidRPr="0074631F">
        <w:rPr>
          <w:rFonts w:ascii="Arial" w:eastAsia="Arial" w:hAnsi="Arial" w:cs="Arial"/>
          <w:i/>
          <w:iCs/>
          <w:lang w:val="es-ES"/>
        </w:rPr>
        <w:t xml:space="preserve">, </w:t>
      </w:r>
      <w:r w:rsidRPr="0074631F">
        <w:rPr>
          <w:rFonts w:ascii="Arial" w:eastAsia="Arial" w:hAnsi="Arial" w:cs="Arial"/>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74631F">
        <w:rPr>
          <w:rFonts w:ascii="Arial" w:eastAsia="Calibri" w:hAnsi="Arial" w:cs="Arial"/>
          <w:lang w:val="es-ES"/>
        </w:rPr>
        <w:t xml:space="preserve">2.2.1.1.2.1.4, deber que hace extensivo a la invitación </w:t>
      </w:r>
      <w:r w:rsidRPr="0074631F">
        <w:rPr>
          <w:rFonts w:ascii="Arial" w:eastAsia="Arial" w:hAnsi="Arial" w:cs="Arial"/>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7EE180A2" w14:textId="462F0C52" w:rsidR="00660D08" w:rsidRPr="0074631F" w:rsidRDefault="00660D08" w:rsidP="00660D08">
      <w:pPr>
        <w:widowControl w:val="0"/>
        <w:autoSpaceDE w:val="0"/>
        <w:autoSpaceDN w:val="0"/>
        <w:spacing w:after="120" w:line="276" w:lineRule="auto"/>
        <w:ind w:firstLine="708"/>
        <w:jc w:val="both"/>
        <w:rPr>
          <w:rFonts w:ascii="Arial" w:eastAsia="Arial" w:hAnsi="Arial" w:cs="Arial"/>
          <w:lang w:val="es-ES"/>
        </w:rPr>
      </w:pPr>
      <w:r w:rsidRPr="0074631F">
        <w:rPr>
          <w:rFonts w:ascii="Arial" w:eastAsia="Arial" w:hAnsi="Arial" w:cs="Arial"/>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74631F">
        <w:rPr>
          <w:rFonts w:ascii="Arial" w:eastAsia="Arial" w:hAnsi="Arial" w:cs="Arial"/>
          <w:i/>
          <w:iCs/>
          <w:lang w:val="es-ES"/>
        </w:rPr>
        <w:t>Proceso de Contratación</w:t>
      </w:r>
      <w:r w:rsidRPr="0074631F">
        <w:rPr>
          <w:rFonts w:ascii="Arial" w:eastAsia="Arial" w:hAnsi="Arial" w:cs="Arial"/>
          <w:lang w:val="es-ES"/>
        </w:rPr>
        <w:t xml:space="preserve"> expedidos durante las etapas precontractual, de ejecución y </w:t>
      </w:r>
      <w:proofErr w:type="spellStart"/>
      <w:r w:rsidRPr="0074631F">
        <w:rPr>
          <w:rFonts w:ascii="Arial" w:eastAsia="Arial" w:hAnsi="Arial" w:cs="Arial"/>
          <w:lang w:val="es-ES"/>
        </w:rPr>
        <w:t>postcontractual</w:t>
      </w:r>
      <w:proofErr w:type="spellEnd"/>
      <w:r w:rsidRPr="0074631F">
        <w:rPr>
          <w:rFonts w:ascii="Arial" w:eastAsia="Arial" w:hAnsi="Arial" w:cs="Arial"/>
          <w:lang w:val="es-ES"/>
        </w:rPr>
        <w:t>, dentro de los tres (3) días hábiles siguientes a su producción</w:t>
      </w:r>
      <w:r w:rsidRPr="0074631F">
        <w:rPr>
          <w:rStyle w:val="Refdenotaalpie"/>
          <w:rFonts w:ascii="Arial" w:hAnsi="Arial" w:cs="Arial"/>
        </w:rPr>
        <w:footnoteReference w:id="3"/>
      </w:r>
      <w:r w:rsidRPr="0074631F">
        <w:rPr>
          <w:rFonts w:ascii="Arial" w:eastAsia="Arial" w:hAnsi="Arial" w:cs="Arial"/>
          <w:lang w:val="es-ES"/>
        </w:rPr>
        <w:t>, deber que aplica a todas las modalidades de selección y del que solo se encuentran excluidas las ofertas ganadoras y los documentos expedidos en el marco de operaciones de bolsa de productos.</w:t>
      </w:r>
    </w:p>
    <w:p w14:paraId="2C10B66C" w14:textId="77777777"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w:t>
      </w:r>
      <w:r w:rsidRPr="0074631F">
        <w:rPr>
          <w:rFonts w:ascii="Arial" w:eastAsia="Calibri" w:hAnsi="Arial" w:cs="Arial"/>
          <w:lang w:val="es-ES"/>
        </w:rPr>
        <w:lastRenderedPageBreak/>
        <w:t>2015. Este último señala, en el artículo 2.1.1.2.1.7, que las entidades deberán publicar en el SECOP la información de su gestión contractual</w:t>
      </w:r>
      <w:r w:rsidRPr="0074631F">
        <w:rPr>
          <w:rStyle w:val="Refdenotaalpie"/>
          <w:rFonts w:ascii="Arial" w:hAnsi="Arial" w:cs="Arial"/>
        </w:rPr>
        <w:footnoteReference w:id="4"/>
      </w:r>
      <w:r w:rsidRPr="0074631F">
        <w:rPr>
          <w:rFonts w:ascii="Arial" w:eastAsia="Calibri" w:hAnsi="Arial" w:cs="Arial"/>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74631F">
        <w:rPr>
          <w:rStyle w:val="Refdenotaalpie"/>
          <w:rFonts w:ascii="Arial" w:hAnsi="Arial" w:cs="Arial"/>
        </w:rPr>
        <w:footnoteReference w:id="5"/>
      </w:r>
      <w:r w:rsidRPr="0074631F">
        <w:rPr>
          <w:rFonts w:ascii="Arial" w:eastAsia="Calibri" w:hAnsi="Arial" w:cs="Arial"/>
          <w:lang w:val="es-ES"/>
        </w:rPr>
        <w:t>. El artículo 2.1.1.2.1.10 establece la obligación que tienen las entidades de publicar en el SECOP el Plan Anual de Adquisiciones</w:t>
      </w:r>
      <w:r w:rsidRPr="0074631F">
        <w:rPr>
          <w:rStyle w:val="Refdenotaalpie"/>
          <w:rFonts w:ascii="Arial" w:hAnsi="Arial" w:cs="Arial"/>
        </w:rPr>
        <w:footnoteReference w:id="6"/>
      </w:r>
      <w:r w:rsidRPr="0074631F">
        <w:rPr>
          <w:rFonts w:ascii="Arial" w:eastAsia="Calibri" w:hAnsi="Arial" w:cs="Arial"/>
          <w:lang w:val="es-ES"/>
        </w:rPr>
        <w:t xml:space="preserve">. </w:t>
      </w:r>
    </w:p>
    <w:p w14:paraId="1833128C" w14:textId="77777777"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sidRPr="0074631F">
        <w:rPr>
          <w:rStyle w:val="Refdenotaalpie"/>
          <w:rFonts w:ascii="Arial" w:hAnsi="Arial" w:cs="Arial"/>
        </w:rPr>
        <w:footnoteReference w:id="7"/>
      </w:r>
      <w:r w:rsidRPr="0074631F">
        <w:rPr>
          <w:rFonts w:ascii="Arial" w:eastAsia="Calibri" w:hAnsi="Arial" w:cs="Arial"/>
          <w:lang w:val="es-ES"/>
        </w:rPr>
        <w:t>.</w:t>
      </w:r>
    </w:p>
    <w:p w14:paraId="7A5B3902" w14:textId="77777777"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lastRenderedPageBreak/>
        <w:t xml:space="preserve">En ese orden, el deber de publicar la actividad contractual de las entidades estatales no solo está regulado en el artículo 3 de la Ley 1150 de 2007, y en el </w:t>
      </w:r>
      <w:r w:rsidRPr="0074631F">
        <w:rPr>
          <w:rFonts w:ascii="Arial" w:eastAsia="Arial" w:hAnsi="Arial" w:cs="Arial"/>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74631F">
        <w:rPr>
          <w:rFonts w:ascii="Arial" w:eastAsia="Arial" w:hAnsi="Arial" w:cs="Arial"/>
          <w:i/>
          <w:iCs/>
          <w:lang w:val="es-ES"/>
        </w:rPr>
        <w:t xml:space="preserve">Documentos del Proceso </w:t>
      </w:r>
      <w:r w:rsidRPr="0074631F">
        <w:rPr>
          <w:rFonts w:ascii="Arial" w:eastAsia="Arial" w:hAnsi="Arial" w:cs="Arial"/>
          <w:lang w:val="es-ES"/>
        </w:rPr>
        <w:t>expedidos por la «entidad estatal».</w:t>
      </w:r>
    </w:p>
    <w:p w14:paraId="18A6EBC1" w14:textId="77777777"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74631F">
        <w:rPr>
          <w:rFonts w:ascii="Arial" w:eastAsia="Calibri" w:hAnsi="Arial" w:cs="Arial"/>
          <w:i/>
          <w:iCs/>
          <w:lang w:val="es-ES"/>
        </w:rPr>
        <w:t>Documentos del Proceso.</w:t>
      </w:r>
      <w:r w:rsidRPr="0074631F">
        <w:rPr>
          <w:rFonts w:ascii="Arial" w:eastAsia="Calibri" w:hAnsi="Arial" w:cs="Arial"/>
          <w:lang w:val="es-ES"/>
        </w:rPr>
        <w:t xml:space="preserve"> Esto</w:t>
      </w:r>
      <w:r w:rsidRPr="0074631F">
        <w:rPr>
          <w:rFonts w:ascii="Arial" w:eastAsia="Calibri" w:hAnsi="Arial" w:cs="Arial"/>
          <w:i/>
          <w:iCs/>
          <w:lang w:val="es-ES"/>
        </w:rPr>
        <w:t xml:space="preserve"> </w:t>
      </w:r>
      <w:r w:rsidRPr="0074631F">
        <w:rPr>
          <w:rFonts w:ascii="Arial" w:eastAsia="Calibri" w:hAnsi="Arial" w:cs="Arial"/>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74631F">
        <w:rPr>
          <w:rFonts w:ascii="Arial" w:eastAsia="Calibri" w:hAnsi="Arial" w:cs="Arial"/>
          <w:i/>
          <w:iCs/>
          <w:lang w:val="es-ES"/>
        </w:rPr>
        <w:t>Proceso de Contratación,</w:t>
      </w:r>
      <w:r w:rsidRPr="0074631F">
        <w:rPr>
          <w:rFonts w:ascii="Arial" w:eastAsia="Calibri" w:hAnsi="Arial" w:cs="Arial"/>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56AEFF7D" w14:textId="77777777"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 xml:space="preserve">Esto quiere decir que las entidades estatales, además de los documentos y actos administrativos </w:t>
      </w:r>
      <w:r w:rsidRPr="0074631F">
        <w:rPr>
          <w:rFonts w:ascii="Arial" w:eastAsia="Calibri" w:hAnsi="Arial" w:cs="Arial"/>
          <w:lang w:val="es-ES"/>
        </w:rPr>
        <w:softHyphen/>
      </w:r>
      <w:r w:rsidRPr="0074631F">
        <w:rPr>
          <w:rFonts w:ascii="Arial" w:eastAsia="Calibri" w:hAnsi="Arial" w:cs="Arial"/>
          <w:lang w:val="es-ES"/>
        </w:rPr>
        <w:softHyphen/>
        <w:t>–de trámite o definitivos– que expiden durante los procedimientos de contratación</w:t>
      </w:r>
      <w:r w:rsidRPr="0074631F">
        <w:rPr>
          <w:rFonts w:ascii="Arial" w:eastAsia="Calibri" w:hAnsi="Arial" w:cs="Arial"/>
          <w:i/>
          <w:iCs/>
          <w:lang w:val="es-ES"/>
        </w:rPr>
        <w:t>,</w:t>
      </w:r>
      <w:r w:rsidRPr="0074631F">
        <w:rPr>
          <w:rFonts w:ascii="Arial" w:eastAsia="Calibri" w:hAnsi="Arial" w:cs="Arial"/>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74631F">
        <w:rPr>
          <w:rFonts w:ascii="Arial" w:eastAsia="Calibri" w:hAnsi="Arial" w:cs="Arial"/>
          <w:i/>
          <w:iCs/>
          <w:lang w:val="es-ES"/>
        </w:rPr>
        <w:t xml:space="preserve"> Documento del Proceso, </w:t>
      </w:r>
      <w:r w:rsidRPr="0074631F">
        <w:rPr>
          <w:rFonts w:ascii="Arial" w:eastAsia="Calibri" w:hAnsi="Arial" w:cs="Arial"/>
          <w:lang w:val="es-ES"/>
        </w:rPr>
        <w:t xml:space="preserve">hace parte de su desarrollo, y que por disposición de la Ley de transparencia y acceso a la información pública, debe publicar la entidad de manera proactiva.   </w:t>
      </w:r>
    </w:p>
    <w:p w14:paraId="128C36FA" w14:textId="5169BB4C"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Ahora, es importante resaltar que</w:t>
      </w:r>
      <w:r w:rsidR="009B631B" w:rsidRPr="0074631F">
        <w:rPr>
          <w:rFonts w:ascii="Arial" w:eastAsia="Calibri" w:hAnsi="Arial" w:cs="Arial"/>
          <w:lang w:val="es-ES"/>
        </w:rPr>
        <w:t>,</w:t>
      </w:r>
      <w:r w:rsidRPr="0074631F">
        <w:rPr>
          <w:rFonts w:ascii="Arial" w:eastAsia="Calibri" w:hAnsi="Arial" w:cs="Arial"/>
          <w:lang w:val="es-ES"/>
        </w:rPr>
        <w:t xml:space="preserv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w:t>
      </w:r>
      <w:r w:rsidRPr="0074631F">
        <w:rPr>
          <w:rFonts w:ascii="Arial" w:eastAsia="Calibri" w:hAnsi="Arial" w:cs="Arial"/>
          <w:lang w:val="es-ES"/>
        </w:rPr>
        <w:lastRenderedPageBreak/>
        <w:t xml:space="preserve">excepción de publicación de los documentos de las operaciones que se celebren en bolsa de productos, conforme al </w:t>
      </w:r>
      <w:r w:rsidRPr="0074631F">
        <w:rPr>
          <w:rFonts w:ascii="Arial" w:eastAsia="Arial" w:hAnsi="Arial" w:cs="Arial"/>
          <w:lang w:val="es-ES"/>
        </w:rPr>
        <w:t>artículo 2.2.1.1.1.7.1. del Decreto 1082 de 2015.</w:t>
      </w:r>
    </w:p>
    <w:p w14:paraId="2825E31F" w14:textId="4E622D6D" w:rsidR="00660D08" w:rsidRPr="0074631F" w:rsidRDefault="00660D08" w:rsidP="00660D08">
      <w:pPr>
        <w:spacing w:before="120" w:after="120" w:line="276" w:lineRule="auto"/>
        <w:ind w:firstLine="709"/>
        <w:jc w:val="both"/>
        <w:rPr>
          <w:rFonts w:ascii="Arial" w:eastAsia="Calibri" w:hAnsi="Arial" w:cs="Arial"/>
          <w:lang w:val="es-ES"/>
        </w:rPr>
      </w:pPr>
      <w:r w:rsidRPr="0074631F">
        <w:rPr>
          <w:rFonts w:ascii="Arial" w:eastAsia="Calibri" w:hAnsi="Arial" w:cs="Arial"/>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74631F">
        <w:rPr>
          <w:rFonts w:ascii="Arial" w:eastAsia="Calibri" w:hAnsi="Arial" w:cs="Arial"/>
          <w:i/>
          <w:iCs/>
          <w:lang w:val="es-ES"/>
        </w:rPr>
        <w:t>máxima publicidad para un titular universal</w:t>
      </w:r>
      <w:r w:rsidRPr="0074631F">
        <w:rPr>
          <w:rStyle w:val="Refdenotaalpie"/>
          <w:rFonts w:ascii="Arial" w:hAnsi="Arial" w:cs="Arial"/>
        </w:rPr>
        <w:footnoteReference w:id="8"/>
      </w:r>
      <w:r w:rsidRPr="0074631F">
        <w:rPr>
          <w:rFonts w:ascii="Arial" w:eastAsia="Calibri" w:hAnsi="Arial" w:cs="Arial"/>
          <w:i/>
          <w:iCs/>
          <w:lang w:val="es-ES"/>
        </w:rPr>
        <w:t>, transparencia, facilitación y divulgación proactiva de la información</w:t>
      </w:r>
      <w:r w:rsidRPr="0074631F">
        <w:rPr>
          <w:rStyle w:val="Refdenotaalpie"/>
          <w:rFonts w:ascii="Arial" w:hAnsi="Arial" w:cs="Arial"/>
        </w:rPr>
        <w:footnoteReference w:id="9"/>
      </w:r>
      <w:r w:rsidRPr="0074631F">
        <w:rPr>
          <w:rFonts w:ascii="Arial" w:eastAsia="Calibri" w:hAnsi="Arial" w:cs="Arial"/>
          <w:i/>
          <w:iCs/>
          <w:lang w:val="es-ES"/>
        </w:rPr>
        <w:t xml:space="preserve">, </w:t>
      </w:r>
      <w:r w:rsidRPr="0074631F">
        <w:rPr>
          <w:rFonts w:ascii="Arial" w:eastAsia="Calibri" w:hAnsi="Arial" w:cs="Arial"/>
          <w:lang w:val="es-ES"/>
        </w:rPr>
        <w:t xml:space="preserve"> porque</w:t>
      </w:r>
      <w:r w:rsidR="00E4493A" w:rsidRPr="0074631F">
        <w:rPr>
          <w:rFonts w:ascii="Arial" w:eastAsia="Calibri" w:hAnsi="Arial" w:cs="Arial"/>
          <w:lang w:val="es-ES"/>
        </w:rPr>
        <w:t>,</w:t>
      </w:r>
      <w:r w:rsidRPr="0074631F">
        <w:rPr>
          <w:rFonts w:ascii="Arial" w:eastAsia="Calibri" w:hAnsi="Arial" w:cs="Arial"/>
          <w:lang w:val="es-ES"/>
        </w:rPr>
        <w:t xml:space="preserv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66C1ADAC" w14:textId="1D14F964" w:rsidR="00660D08" w:rsidRPr="0074631F" w:rsidRDefault="00660D08" w:rsidP="00660D08">
      <w:pPr>
        <w:spacing w:after="120" w:line="276" w:lineRule="auto"/>
        <w:ind w:firstLine="709"/>
        <w:jc w:val="both"/>
        <w:rPr>
          <w:rFonts w:ascii="Arial" w:eastAsia="Calibri" w:hAnsi="Arial" w:cs="Arial"/>
          <w:lang w:val="es-ES"/>
        </w:rPr>
      </w:pPr>
      <w:r w:rsidRPr="0074631F">
        <w:rPr>
          <w:rFonts w:ascii="Arial" w:eastAsia="Calibri" w:hAnsi="Arial" w:cs="Arial"/>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74631F">
        <w:rPr>
          <w:rFonts w:ascii="Arial" w:eastAsia="Calibri" w:hAnsi="Arial" w:cs="Arial"/>
          <w:i/>
          <w:iCs/>
          <w:lang w:val="es-ES"/>
        </w:rPr>
        <w:t>proceso de contratación</w:t>
      </w:r>
      <w:r w:rsidRPr="0074631F">
        <w:rPr>
          <w:rFonts w:ascii="Arial" w:eastAsia="Calibri" w:hAnsi="Arial" w:cs="Arial"/>
          <w:lang w:val="es-ES"/>
        </w:rPr>
        <w:t xml:space="preserve">: i) el estudio de oportunidad y conveniencia; </w:t>
      </w:r>
      <w:proofErr w:type="spellStart"/>
      <w:r w:rsidRPr="0074631F">
        <w:rPr>
          <w:rFonts w:ascii="Arial" w:eastAsia="Calibri" w:hAnsi="Arial" w:cs="Arial"/>
          <w:lang w:val="es-ES"/>
        </w:rPr>
        <w:t>ii</w:t>
      </w:r>
      <w:proofErr w:type="spellEnd"/>
      <w:r w:rsidRPr="0074631F">
        <w:rPr>
          <w:rFonts w:ascii="Arial" w:eastAsia="Calibri" w:hAnsi="Arial" w:cs="Arial"/>
          <w:lang w:val="es-ES"/>
        </w:rPr>
        <w:t xml:space="preserve">) los estudios y documentos previos –técnicos o no–; </w:t>
      </w:r>
      <w:proofErr w:type="spellStart"/>
      <w:r w:rsidRPr="0074631F">
        <w:rPr>
          <w:rFonts w:ascii="Arial" w:eastAsia="Calibri" w:hAnsi="Arial" w:cs="Arial"/>
          <w:lang w:val="es-ES"/>
        </w:rPr>
        <w:t>iii</w:t>
      </w:r>
      <w:proofErr w:type="spellEnd"/>
      <w:r w:rsidRPr="0074631F">
        <w:rPr>
          <w:rFonts w:ascii="Arial" w:eastAsia="Calibri" w:hAnsi="Arial" w:cs="Arial"/>
          <w:lang w:val="es-ES"/>
        </w:rPr>
        <w:t xml:space="preserve">) el  aviso de convocatoria; </w:t>
      </w:r>
      <w:proofErr w:type="spellStart"/>
      <w:r w:rsidRPr="0074631F">
        <w:rPr>
          <w:rFonts w:ascii="Arial" w:eastAsia="Calibri" w:hAnsi="Arial" w:cs="Arial"/>
          <w:lang w:val="es-ES"/>
        </w:rPr>
        <w:t>iv</w:t>
      </w:r>
      <w:proofErr w:type="spellEnd"/>
      <w:r w:rsidRPr="0074631F">
        <w:rPr>
          <w:rFonts w:ascii="Arial" w:eastAsia="Calibri" w:hAnsi="Arial" w:cs="Arial"/>
          <w:lang w:val="es-ES"/>
        </w:rPr>
        <w:t xml:space="preserve">) el proyecto de pliego de condiciones y las observaciones que le formulen; v) el pliego de condiciones o la invitación, así como las </w:t>
      </w:r>
      <w:r w:rsidRPr="0074631F">
        <w:rPr>
          <w:rFonts w:ascii="Arial" w:eastAsia="Calibri" w:hAnsi="Arial" w:cs="Arial"/>
          <w:lang w:val="es-ES"/>
        </w:rPr>
        <w:lastRenderedPageBreak/>
        <w:t xml:space="preserve">observaciones que se les realicen; vi) las actas de la audiencia de asignación de riesgos; </w:t>
      </w:r>
      <w:proofErr w:type="spellStart"/>
      <w:r w:rsidRPr="0074631F">
        <w:rPr>
          <w:rFonts w:ascii="Arial" w:eastAsia="Calibri" w:hAnsi="Arial" w:cs="Arial"/>
          <w:lang w:val="es-ES"/>
        </w:rPr>
        <w:t>vii</w:t>
      </w:r>
      <w:proofErr w:type="spellEnd"/>
      <w:r w:rsidRPr="0074631F">
        <w:rPr>
          <w:rFonts w:ascii="Arial" w:eastAsia="Calibri" w:hAnsi="Arial" w:cs="Arial"/>
          <w:lang w:val="es-ES"/>
        </w:rPr>
        <w:t xml:space="preserve">) el acta de cierre del plazo para presentar ofertas; </w:t>
      </w:r>
      <w:proofErr w:type="spellStart"/>
      <w:r w:rsidRPr="0074631F">
        <w:rPr>
          <w:rFonts w:ascii="Arial" w:eastAsia="Calibri" w:hAnsi="Arial" w:cs="Arial"/>
          <w:lang w:val="es-ES"/>
        </w:rPr>
        <w:t>viii</w:t>
      </w:r>
      <w:proofErr w:type="spellEnd"/>
      <w:r w:rsidRPr="0074631F">
        <w:rPr>
          <w:rFonts w:ascii="Arial" w:eastAsia="Calibri" w:hAnsi="Arial" w:cs="Arial"/>
          <w:lang w:val="es-ES"/>
        </w:rPr>
        <w:t xml:space="preserve">) las adendas; </w:t>
      </w:r>
      <w:proofErr w:type="spellStart"/>
      <w:r w:rsidRPr="0074631F">
        <w:rPr>
          <w:rFonts w:ascii="Arial" w:eastAsia="Calibri" w:hAnsi="Arial" w:cs="Arial"/>
          <w:lang w:val="es-ES"/>
        </w:rPr>
        <w:t>ix</w:t>
      </w:r>
      <w:proofErr w:type="spellEnd"/>
      <w:r w:rsidRPr="0074631F">
        <w:rPr>
          <w:rFonts w:ascii="Arial" w:eastAsia="Calibri" w:hAnsi="Arial" w:cs="Arial"/>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74631F">
        <w:rPr>
          <w:rFonts w:ascii="Arial" w:eastAsia="Calibri" w:hAnsi="Arial" w:cs="Arial"/>
          <w:lang w:val="es-ES"/>
        </w:rPr>
        <w:t>xii</w:t>
      </w:r>
      <w:proofErr w:type="spellEnd"/>
      <w:r w:rsidRPr="0074631F">
        <w:rPr>
          <w:rFonts w:ascii="Arial" w:eastAsia="Calibri" w:hAnsi="Arial" w:cs="Arial"/>
          <w:lang w:val="es-ES"/>
        </w:rPr>
        <w:t xml:space="preserve">) las respuestas a las observaciones; </w:t>
      </w:r>
      <w:proofErr w:type="spellStart"/>
      <w:r w:rsidRPr="0074631F">
        <w:rPr>
          <w:rFonts w:ascii="Arial" w:eastAsia="Calibri" w:hAnsi="Arial" w:cs="Arial"/>
          <w:lang w:val="es-ES"/>
        </w:rPr>
        <w:t>xiii</w:t>
      </w:r>
      <w:proofErr w:type="spellEnd"/>
      <w:r w:rsidRPr="0074631F">
        <w:rPr>
          <w:rFonts w:ascii="Arial" w:eastAsia="Calibri" w:hAnsi="Arial" w:cs="Arial"/>
          <w:lang w:val="es-ES"/>
        </w:rPr>
        <w:t xml:space="preserve">) el contrato y los otrosíes o modificaciones; </w:t>
      </w:r>
      <w:proofErr w:type="spellStart"/>
      <w:r w:rsidRPr="0074631F">
        <w:rPr>
          <w:rFonts w:ascii="Arial" w:eastAsia="Calibri" w:hAnsi="Arial" w:cs="Arial"/>
          <w:lang w:val="es-ES"/>
        </w:rPr>
        <w:t>xiv</w:t>
      </w:r>
      <w:proofErr w:type="spellEnd"/>
      <w:r w:rsidRPr="0074631F">
        <w:rPr>
          <w:rFonts w:ascii="Arial" w:eastAsia="Calibri" w:hAnsi="Arial" w:cs="Arial"/>
          <w:lang w:val="es-ES"/>
        </w:rPr>
        <w:t xml:space="preserve">) el acta de inicio; </w:t>
      </w:r>
      <w:proofErr w:type="spellStart"/>
      <w:r w:rsidRPr="0074631F">
        <w:rPr>
          <w:rFonts w:ascii="Arial" w:eastAsia="Calibri" w:hAnsi="Arial" w:cs="Arial"/>
          <w:lang w:val="es-ES"/>
        </w:rPr>
        <w:t>xv</w:t>
      </w:r>
      <w:proofErr w:type="spellEnd"/>
      <w:r w:rsidRPr="0074631F">
        <w:rPr>
          <w:rFonts w:ascii="Arial" w:eastAsia="Calibri" w:hAnsi="Arial" w:cs="Arial"/>
          <w:lang w:val="es-ES"/>
        </w:rPr>
        <w:t xml:space="preserve">) las garantías; </w:t>
      </w:r>
      <w:proofErr w:type="spellStart"/>
      <w:r w:rsidRPr="0074631F">
        <w:rPr>
          <w:rFonts w:ascii="Arial" w:eastAsia="Calibri" w:hAnsi="Arial" w:cs="Arial"/>
          <w:lang w:val="es-ES"/>
        </w:rPr>
        <w:t>xvi</w:t>
      </w:r>
      <w:proofErr w:type="spellEnd"/>
      <w:r w:rsidRPr="0074631F">
        <w:rPr>
          <w:rFonts w:ascii="Arial" w:eastAsia="Calibri" w:hAnsi="Arial" w:cs="Arial"/>
          <w:lang w:val="es-ES"/>
        </w:rPr>
        <w:t xml:space="preserve">) el acta de liquidación; </w:t>
      </w:r>
      <w:proofErr w:type="spellStart"/>
      <w:r w:rsidRPr="0074631F">
        <w:rPr>
          <w:rFonts w:ascii="Arial" w:eastAsia="Calibri" w:hAnsi="Arial" w:cs="Arial"/>
          <w:lang w:val="es-ES"/>
        </w:rPr>
        <w:t>xvii</w:t>
      </w:r>
      <w:proofErr w:type="spellEnd"/>
      <w:r w:rsidRPr="0074631F">
        <w:rPr>
          <w:rFonts w:ascii="Arial" w:eastAsia="Calibri" w:hAnsi="Arial" w:cs="Arial"/>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74631F">
        <w:rPr>
          <w:rFonts w:ascii="Arial" w:eastAsia="Calibri" w:hAnsi="Arial" w:cs="Arial"/>
          <w:lang w:val="es-ES"/>
        </w:rPr>
        <w:t>xviii</w:t>
      </w:r>
      <w:proofErr w:type="spellEnd"/>
      <w:r w:rsidRPr="0074631F">
        <w:rPr>
          <w:rFonts w:ascii="Arial" w:eastAsia="Calibri" w:hAnsi="Arial" w:cs="Arial"/>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00DF58FB" w:rsidRPr="0074631F">
        <w:rPr>
          <w:rFonts w:ascii="Arial" w:eastAsia="Calibri" w:hAnsi="Arial" w:cs="Arial"/>
          <w:lang w:val="es-ES"/>
        </w:rPr>
        <w:t>x</w:t>
      </w:r>
      <w:r w:rsidRPr="0074631F">
        <w:rPr>
          <w:rFonts w:ascii="Arial" w:eastAsia="Calibri" w:hAnsi="Arial" w:cs="Arial"/>
          <w:lang w:val="es-ES"/>
        </w:rPr>
        <w:t>ix</w:t>
      </w:r>
      <w:proofErr w:type="spellEnd"/>
      <w:r w:rsidRPr="0074631F">
        <w:rPr>
          <w:rFonts w:ascii="Arial" w:eastAsia="Calibri" w:hAnsi="Arial" w:cs="Arial"/>
          <w:lang w:val="es-ES"/>
        </w:rPr>
        <w:t xml:space="preserve">) las reclamaciones que presenten las partes y las respuestas que se expidan a las mismas; </w:t>
      </w:r>
      <w:proofErr w:type="spellStart"/>
      <w:r w:rsidR="00DF58FB" w:rsidRPr="0074631F">
        <w:rPr>
          <w:rFonts w:ascii="Arial" w:eastAsia="Calibri" w:hAnsi="Arial" w:cs="Arial"/>
          <w:lang w:val="es-ES"/>
        </w:rPr>
        <w:t>xx</w:t>
      </w:r>
      <w:proofErr w:type="spellEnd"/>
      <w:r w:rsidR="00DF58FB" w:rsidRPr="0074631F">
        <w:rPr>
          <w:rFonts w:ascii="Arial" w:eastAsia="Calibri" w:hAnsi="Arial" w:cs="Arial"/>
          <w:lang w:val="es-ES"/>
        </w:rPr>
        <w:t xml:space="preserve">) </w:t>
      </w:r>
      <w:r w:rsidR="00DF58FB" w:rsidRPr="0074631F">
        <w:rPr>
          <w:rFonts w:ascii="Arial" w:eastAsia="Calibri" w:hAnsi="Arial" w:cs="Arial"/>
          <w:i/>
          <w:iCs/>
          <w:lang w:val="es-ES"/>
        </w:rPr>
        <w:t>las actas de suspensión del contrato y de reinicio</w:t>
      </w:r>
      <w:r w:rsidR="00DF58FB" w:rsidRPr="0074631F">
        <w:rPr>
          <w:rFonts w:ascii="Arial" w:eastAsia="Calibri" w:hAnsi="Arial" w:cs="Arial"/>
          <w:lang w:val="es-ES"/>
        </w:rPr>
        <w:t xml:space="preserve">, </w:t>
      </w:r>
      <w:proofErr w:type="spellStart"/>
      <w:r w:rsidRPr="0074631F">
        <w:rPr>
          <w:rFonts w:ascii="Arial" w:eastAsia="Calibri" w:hAnsi="Arial" w:cs="Arial"/>
          <w:lang w:val="es-ES"/>
        </w:rPr>
        <w:t>xx</w:t>
      </w:r>
      <w:r w:rsidR="00DF58FB" w:rsidRPr="0074631F">
        <w:rPr>
          <w:rFonts w:ascii="Arial" w:eastAsia="Calibri" w:hAnsi="Arial" w:cs="Arial"/>
          <w:lang w:val="es-ES"/>
        </w:rPr>
        <w:t>i</w:t>
      </w:r>
      <w:proofErr w:type="spellEnd"/>
      <w:r w:rsidRPr="0074631F">
        <w:rPr>
          <w:rFonts w:ascii="Arial" w:eastAsia="Calibri" w:hAnsi="Arial" w:cs="Arial"/>
          <w:lang w:val="es-ES"/>
        </w:rPr>
        <w:t xml:space="preserve">) las actas de entrega o recibo, </w:t>
      </w:r>
      <w:proofErr w:type="spellStart"/>
      <w:r w:rsidRPr="0074631F">
        <w:rPr>
          <w:rFonts w:ascii="Arial" w:eastAsia="Calibri" w:hAnsi="Arial" w:cs="Arial"/>
          <w:lang w:val="es-ES"/>
        </w:rPr>
        <w:t>xxi</w:t>
      </w:r>
      <w:r w:rsidR="00DF58FB" w:rsidRPr="0074631F">
        <w:rPr>
          <w:rFonts w:ascii="Arial" w:eastAsia="Calibri" w:hAnsi="Arial" w:cs="Arial"/>
          <w:lang w:val="es-ES"/>
        </w:rPr>
        <w:t>i</w:t>
      </w:r>
      <w:proofErr w:type="spellEnd"/>
      <w:r w:rsidRPr="0074631F">
        <w:rPr>
          <w:rFonts w:ascii="Arial" w:eastAsia="Calibri" w:hAnsi="Arial" w:cs="Arial"/>
          <w:lang w:val="es-ES"/>
        </w:rPr>
        <w:t xml:space="preserve">) los informes de supervisión y/o interventoría; </w:t>
      </w:r>
      <w:proofErr w:type="spellStart"/>
      <w:r w:rsidRPr="0074631F">
        <w:rPr>
          <w:rFonts w:ascii="Arial" w:eastAsia="Calibri" w:hAnsi="Arial" w:cs="Arial"/>
          <w:lang w:val="es-ES"/>
        </w:rPr>
        <w:t>xxii</w:t>
      </w:r>
      <w:r w:rsidR="00DF58FB" w:rsidRPr="0074631F">
        <w:rPr>
          <w:rFonts w:ascii="Arial" w:eastAsia="Calibri" w:hAnsi="Arial" w:cs="Arial"/>
          <w:lang w:val="es-ES"/>
        </w:rPr>
        <w:t>i</w:t>
      </w:r>
      <w:proofErr w:type="spellEnd"/>
      <w:r w:rsidRPr="0074631F">
        <w:rPr>
          <w:rFonts w:ascii="Arial" w:eastAsia="Calibri" w:hAnsi="Arial" w:cs="Arial"/>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74631F">
        <w:rPr>
          <w:rFonts w:ascii="Arial" w:eastAsia="Calibri" w:hAnsi="Arial" w:cs="Arial"/>
          <w:lang w:val="es-ES"/>
        </w:rPr>
        <w:t>xx</w:t>
      </w:r>
      <w:r w:rsidR="00DF58FB" w:rsidRPr="0074631F">
        <w:rPr>
          <w:rFonts w:ascii="Arial" w:eastAsia="Calibri" w:hAnsi="Arial" w:cs="Arial"/>
          <w:lang w:val="es-ES"/>
        </w:rPr>
        <w:t>v</w:t>
      </w:r>
      <w:r w:rsidRPr="0074631F">
        <w:rPr>
          <w:rFonts w:ascii="Arial" w:eastAsia="Calibri" w:hAnsi="Arial" w:cs="Arial"/>
          <w:lang w:val="es-ES"/>
        </w:rPr>
        <w:t>i</w:t>
      </w:r>
      <w:proofErr w:type="spellEnd"/>
      <w:r w:rsidRPr="0074631F">
        <w:rPr>
          <w:rFonts w:ascii="Arial" w:eastAsia="Calibri" w:hAnsi="Arial" w:cs="Arial"/>
          <w:lang w:val="es-ES"/>
        </w:rPr>
        <w:t xml:space="preserve">) la liquidación unilateral; y </w:t>
      </w:r>
      <w:proofErr w:type="spellStart"/>
      <w:r w:rsidRPr="0074631F">
        <w:rPr>
          <w:rFonts w:ascii="Arial" w:eastAsia="Calibri" w:hAnsi="Arial" w:cs="Arial"/>
          <w:lang w:val="es-ES"/>
        </w:rPr>
        <w:t>xxv</w:t>
      </w:r>
      <w:proofErr w:type="spellEnd"/>
      <w:r w:rsidRPr="0074631F">
        <w:rPr>
          <w:rFonts w:ascii="Arial" w:eastAsia="Calibri" w:hAnsi="Arial" w:cs="Arial"/>
          <w:lang w:val="es-ES"/>
        </w:rPr>
        <w:t xml:space="preserve">) en general cualquier otro documento producido o expedido con ocasión del </w:t>
      </w:r>
      <w:r w:rsidRPr="0074631F">
        <w:rPr>
          <w:rFonts w:ascii="Arial" w:eastAsia="Calibri" w:hAnsi="Arial" w:cs="Arial"/>
          <w:i/>
          <w:iCs/>
          <w:lang w:val="es-ES"/>
        </w:rPr>
        <w:t>Proceso de Contratación</w:t>
      </w:r>
      <w:r w:rsidRPr="0074631F">
        <w:rPr>
          <w:rFonts w:ascii="Arial" w:eastAsia="Calibri" w:hAnsi="Arial" w:cs="Arial"/>
          <w:lang w:val="es-ES"/>
        </w:rPr>
        <w:t>, sin importar quién sea su autor –la Administración o el contratista–, con excepción de los que pertenecen a</w:t>
      </w:r>
      <w:r w:rsidRPr="0074631F">
        <w:rPr>
          <w:rFonts w:ascii="Arial" w:eastAsia="Arial" w:hAnsi="Arial" w:cs="Arial"/>
          <w:lang w:val="es-ES"/>
        </w:rPr>
        <w:t xml:space="preserve">l marco de operaciones de bolsa de productos, expresamente excluidos de publicación por el artículo 2.2.1.1.1.7.1. del Decreto 1082 de 2015. </w:t>
      </w:r>
    </w:p>
    <w:p w14:paraId="2F3096D9" w14:textId="48B03B95" w:rsidR="00660D08" w:rsidRPr="0074631F" w:rsidRDefault="00660D08" w:rsidP="00660D08">
      <w:pPr>
        <w:spacing w:after="0" w:line="276" w:lineRule="auto"/>
        <w:ind w:firstLine="709"/>
        <w:jc w:val="both"/>
        <w:rPr>
          <w:rFonts w:ascii="Arial" w:eastAsia="Calibri" w:hAnsi="Arial" w:cs="Arial"/>
          <w:lang w:val="es-ES"/>
        </w:rPr>
      </w:pPr>
      <w:r w:rsidRPr="0074631F">
        <w:rPr>
          <w:rFonts w:ascii="Arial" w:eastAsia="Calibri" w:hAnsi="Arial" w:cs="Arial"/>
          <w:lang w:val="es-ES"/>
        </w:rPr>
        <w:t>Sin perjuicio de lo anterior, no debe perderse de vista que</w:t>
      </w:r>
      <w:r w:rsidR="00DF58FB" w:rsidRPr="0074631F">
        <w:rPr>
          <w:rFonts w:ascii="Arial" w:eastAsia="Calibri" w:hAnsi="Arial" w:cs="Arial"/>
          <w:lang w:val="es-ES"/>
        </w:rPr>
        <w:t>,</w:t>
      </w:r>
      <w:r w:rsidRPr="0074631F">
        <w:rPr>
          <w:rFonts w:ascii="Arial" w:eastAsia="Calibri" w:hAnsi="Arial" w:cs="Arial"/>
          <w:lang w:val="es-ES"/>
        </w:rPr>
        <w:t xml:space="preserve"> en virtud del principio de transparencia, específicamente por cuenta de lo dispuesto en el numeral 4 del artículo 24 de la Ley 80 de 1993</w:t>
      </w:r>
      <w:r w:rsidRPr="0074631F">
        <w:rPr>
          <w:rStyle w:val="Refdenotaalpie"/>
          <w:rFonts w:ascii="Arial" w:hAnsi="Arial" w:cs="Arial"/>
        </w:rPr>
        <w:footnoteReference w:id="10"/>
      </w:r>
      <w:r w:rsidRPr="0074631F">
        <w:rPr>
          <w:rFonts w:ascii="Arial" w:eastAsia="Calibri" w:hAnsi="Arial" w:cs="Arial"/>
          <w:lang w:val="es-ES"/>
        </w:rPr>
        <w:t>, así como por el principio de máxima publicidad establecido en el artículo 2 de la Ley 1712 de 2014</w:t>
      </w:r>
      <w:r w:rsidRPr="0074631F">
        <w:rPr>
          <w:rStyle w:val="Refdenotaalpie"/>
          <w:rFonts w:ascii="Arial" w:hAnsi="Arial" w:cs="Arial"/>
        </w:rPr>
        <w:footnoteReference w:id="11"/>
      </w:r>
      <w:r w:rsidRPr="0074631F">
        <w:rPr>
          <w:rFonts w:ascii="Arial" w:eastAsia="Calibri" w:hAnsi="Arial" w:cs="Arial"/>
          <w:lang w:val="es-ES"/>
        </w:rPr>
        <w:t xml:space="preserve">,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w:t>
      </w:r>
      <w:r w:rsidRPr="0074631F">
        <w:rPr>
          <w:rFonts w:ascii="Arial" w:eastAsia="Calibri" w:hAnsi="Arial" w:cs="Arial"/>
          <w:lang w:val="es-ES"/>
        </w:rPr>
        <w:lastRenderedPageBreak/>
        <w:t>ciudadano</w:t>
      </w:r>
      <w:r w:rsidRPr="0074631F">
        <w:rPr>
          <w:rStyle w:val="Refdenotaalpie"/>
          <w:rFonts w:ascii="Arial" w:hAnsi="Arial" w:cs="Arial"/>
        </w:rPr>
        <w:footnoteReference w:id="12"/>
      </w:r>
      <w:r w:rsidRPr="0074631F">
        <w:rPr>
          <w:rFonts w:ascii="Arial" w:eastAsia="Calibri" w:hAnsi="Arial" w:cs="Arial"/>
          <w:lang w:val="es-ES"/>
        </w:rPr>
        <w:t>. Esta posibilidad solo se encuentra limitada respecto de la documentación que tenga la calidad de reservada</w:t>
      </w:r>
      <w:r w:rsidRPr="0074631F">
        <w:rPr>
          <w:rStyle w:val="Refdenotaalpie"/>
          <w:rFonts w:ascii="Arial" w:hAnsi="Arial" w:cs="Arial"/>
        </w:rPr>
        <w:footnoteReference w:id="13"/>
      </w:r>
      <w:r w:rsidRPr="0074631F">
        <w:rPr>
          <w:rFonts w:ascii="Arial" w:eastAsia="Calibri" w:hAnsi="Arial" w:cs="Arial"/>
          <w:lang w:val="es-ES"/>
        </w:rPr>
        <w:t>, que deberá someterse al tratamiento establecido en el artículo 36 del CPACA, en lo relativo a la formación de cuadernos separados</w:t>
      </w:r>
      <w:r w:rsidRPr="0074631F">
        <w:rPr>
          <w:rStyle w:val="Refdenotaalpie"/>
          <w:rFonts w:ascii="Arial" w:hAnsi="Arial" w:cs="Arial"/>
        </w:rPr>
        <w:footnoteReference w:id="14"/>
      </w:r>
      <w:r w:rsidRPr="0074631F">
        <w:rPr>
          <w:rFonts w:ascii="Arial" w:eastAsia="Calibri" w:hAnsi="Arial" w:cs="Arial"/>
          <w:lang w:val="es-ES"/>
        </w:rPr>
        <w:t>.</w:t>
      </w:r>
    </w:p>
    <w:p w14:paraId="0E5DFCAF" w14:textId="77777777" w:rsidR="00660D08" w:rsidRPr="0074631F" w:rsidRDefault="00660D08" w:rsidP="007A4176">
      <w:pPr>
        <w:spacing w:after="0" w:line="276" w:lineRule="auto"/>
        <w:jc w:val="both"/>
        <w:rPr>
          <w:rFonts w:ascii="Arial" w:eastAsia="Calibri" w:hAnsi="Arial" w:cs="Arial"/>
          <w:color w:val="000000"/>
          <w:lang w:val="es-ES_tradnl"/>
        </w:rPr>
      </w:pPr>
    </w:p>
    <w:p w14:paraId="1E1D7A48" w14:textId="64E8B771" w:rsidR="007A4176" w:rsidRPr="0074631F" w:rsidRDefault="007A4176" w:rsidP="007A4176">
      <w:pPr>
        <w:spacing w:after="0" w:line="276" w:lineRule="auto"/>
        <w:jc w:val="both"/>
        <w:rPr>
          <w:rFonts w:ascii="Arial" w:eastAsia="Calibri" w:hAnsi="Arial" w:cs="Arial"/>
          <w:b/>
          <w:bCs/>
          <w:color w:val="000000"/>
          <w:lang w:val="es-ES_tradnl"/>
        </w:rPr>
      </w:pPr>
      <w:r w:rsidRPr="0074631F">
        <w:rPr>
          <w:rFonts w:ascii="Arial" w:eastAsia="Calibri" w:hAnsi="Arial" w:cs="Arial"/>
          <w:b/>
          <w:bCs/>
          <w:color w:val="000000"/>
          <w:lang w:val="es-ES_tradnl"/>
        </w:rPr>
        <w:t>2.</w:t>
      </w:r>
      <w:r w:rsidR="00700F28" w:rsidRPr="0074631F">
        <w:rPr>
          <w:rFonts w:ascii="Arial" w:eastAsia="Calibri" w:hAnsi="Arial" w:cs="Arial"/>
          <w:b/>
          <w:bCs/>
          <w:color w:val="000000"/>
          <w:lang w:val="es-ES_tradnl"/>
        </w:rPr>
        <w:t>2</w:t>
      </w:r>
      <w:r w:rsidRPr="0074631F">
        <w:rPr>
          <w:rFonts w:ascii="Arial" w:eastAsia="Calibri" w:hAnsi="Arial" w:cs="Arial"/>
          <w:b/>
          <w:bCs/>
          <w:color w:val="000000"/>
          <w:lang w:val="es-ES_tradnl"/>
        </w:rPr>
        <w:t xml:space="preserve">. </w:t>
      </w:r>
      <w:r w:rsidR="00060D46" w:rsidRPr="0074631F">
        <w:rPr>
          <w:rFonts w:ascii="Arial" w:eastAsia="Calibri" w:hAnsi="Arial" w:cs="Arial"/>
          <w:b/>
          <w:bCs/>
          <w:color w:val="000000"/>
          <w:lang w:val="es-ES_tradnl"/>
        </w:rPr>
        <w:t>Carácter transaccional del SECOP II</w:t>
      </w:r>
    </w:p>
    <w:p w14:paraId="6BE8CD9B" w14:textId="77777777" w:rsidR="007A4176" w:rsidRPr="0074631F" w:rsidRDefault="007A4176" w:rsidP="007A4176">
      <w:pPr>
        <w:spacing w:after="0" w:line="276" w:lineRule="auto"/>
        <w:jc w:val="both"/>
        <w:rPr>
          <w:rFonts w:ascii="Arial" w:eastAsia="Calibri" w:hAnsi="Arial" w:cs="Arial"/>
          <w:color w:val="000000"/>
          <w:lang w:val="es-ES_tradnl"/>
        </w:rPr>
      </w:pPr>
    </w:p>
    <w:p w14:paraId="10BB7486" w14:textId="4E4F6EBE" w:rsidR="00055A9F" w:rsidRPr="0074631F" w:rsidRDefault="00055A9F" w:rsidP="00055A9F">
      <w:pPr>
        <w:spacing w:after="120" w:line="276" w:lineRule="auto"/>
        <w:jc w:val="both"/>
        <w:rPr>
          <w:rFonts w:ascii="Arial" w:eastAsia="Calibri" w:hAnsi="Arial" w:cs="Arial"/>
          <w:szCs w:val="24"/>
          <w:lang w:val="es-ES" w:eastAsia="es-ES_tradnl"/>
        </w:rPr>
      </w:pPr>
      <w:r w:rsidRPr="0074631F">
        <w:rPr>
          <w:rFonts w:ascii="Arial" w:eastAsia="Calibri" w:hAnsi="Arial" w:cs="Arial"/>
          <w:szCs w:val="24"/>
          <w:lang w:val="es-ES" w:eastAsia="es-ES_tradnl"/>
        </w:rPr>
        <w:t>La Agencia Nacional de Contratación Pública – Colombia Compra Eficiente tiene</w:t>
      </w:r>
      <w:r w:rsidR="008C4B49" w:rsidRPr="0074631F">
        <w:rPr>
          <w:rFonts w:ascii="Arial" w:eastAsia="Calibri" w:hAnsi="Arial" w:cs="Arial"/>
          <w:szCs w:val="24"/>
          <w:lang w:val="es-ES" w:eastAsia="es-ES_tradnl"/>
        </w:rPr>
        <w:t>,</w:t>
      </w:r>
      <w:r w:rsidRPr="0074631F">
        <w:rPr>
          <w:rFonts w:ascii="Arial" w:eastAsia="Calibri" w:hAnsi="Arial" w:cs="Arial"/>
          <w:szCs w:val="24"/>
          <w:lang w:val="es-ES" w:eastAsia="es-ES_tradnl"/>
        </w:rPr>
        <w:t xml:space="preserve"> dentro de sus competencias</w:t>
      </w:r>
      <w:r w:rsidR="008C4B49" w:rsidRPr="0074631F">
        <w:rPr>
          <w:rFonts w:ascii="Arial" w:eastAsia="Calibri" w:hAnsi="Arial" w:cs="Arial"/>
          <w:szCs w:val="24"/>
          <w:lang w:val="es-ES" w:eastAsia="es-ES_tradnl"/>
        </w:rPr>
        <w:t>,</w:t>
      </w:r>
      <w:r w:rsidRPr="0074631F">
        <w:rPr>
          <w:rFonts w:ascii="Arial" w:eastAsia="Calibri" w:hAnsi="Arial" w:cs="Arial"/>
          <w:szCs w:val="24"/>
          <w:lang w:val="es-ES" w:eastAsia="es-ES_tradnl"/>
        </w:rPr>
        <w:t xml:space="preserve"> la función de administrar el SECOP</w:t>
      </w:r>
      <w:r w:rsidRPr="0074631F">
        <w:rPr>
          <w:rStyle w:val="Refdenotaalpie"/>
          <w:rFonts w:ascii="Arial" w:hAnsi="Arial" w:cs="Arial"/>
        </w:rPr>
        <w:footnoteReference w:id="15"/>
      </w:r>
      <w:r w:rsidRPr="0074631F">
        <w:rPr>
          <w:rFonts w:ascii="Arial" w:eastAsia="Calibri" w:hAnsi="Arial" w:cs="Arial"/>
          <w:szCs w:val="24"/>
          <w:lang w:val="es-ES" w:eastAsia="es-ES_tradnl"/>
        </w:rPr>
        <w:t xml:space="preserve">, por lo cual desarrolló la primera versión  de </w:t>
      </w:r>
      <w:r w:rsidRPr="0074631F">
        <w:rPr>
          <w:rFonts w:ascii="Arial" w:eastAsia="Calibri" w:hAnsi="Arial" w:cs="Arial"/>
          <w:szCs w:val="24"/>
          <w:lang w:val="es-ES" w:eastAsia="es-ES_tradnl"/>
        </w:rPr>
        <w:lastRenderedPageBreak/>
        <w:t>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271FDEB" w14:textId="7F5BEB21" w:rsidR="00055A9F" w:rsidRPr="0074631F" w:rsidRDefault="00055A9F" w:rsidP="00055A9F">
      <w:pPr>
        <w:spacing w:before="120" w:after="120" w:line="276" w:lineRule="auto"/>
        <w:ind w:firstLine="708"/>
        <w:jc w:val="both"/>
        <w:rPr>
          <w:rFonts w:ascii="Arial" w:eastAsia="Calibri" w:hAnsi="Arial" w:cs="Arial"/>
          <w:szCs w:val="24"/>
          <w:lang w:val="es-ES" w:eastAsia="es-ES_tradnl"/>
        </w:rPr>
      </w:pPr>
      <w:r w:rsidRPr="0074631F">
        <w:rPr>
          <w:rFonts w:ascii="Arial" w:eastAsia="Calibri" w:hAnsi="Arial" w:cs="Arial"/>
          <w:szCs w:val="24"/>
          <w:lang w:val="es-ES" w:eastAsia="es-ES_tradnl"/>
        </w:rPr>
        <w:t>El SECOP II</w:t>
      </w:r>
      <w:r w:rsidR="005959FC" w:rsidRPr="0074631F">
        <w:rPr>
          <w:rFonts w:ascii="Arial" w:eastAsia="Calibri" w:hAnsi="Arial" w:cs="Arial"/>
          <w:szCs w:val="24"/>
          <w:lang w:val="es-ES" w:eastAsia="es-ES_tradnl"/>
        </w:rPr>
        <w:t>, en cambio,</w:t>
      </w:r>
      <w:r w:rsidRPr="0074631F">
        <w:rPr>
          <w:rFonts w:ascii="Arial" w:eastAsia="Calibri" w:hAnsi="Arial" w:cs="Arial"/>
          <w:szCs w:val="24"/>
          <w:lang w:val="es-ES" w:eastAsia="es-ES_tradnl"/>
        </w:rPr>
        <w:t xml:space="preserve"> es una plataforma </w:t>
      </w:r>
      <w:r w:rsidRPr="0074631F">
        <w:rPr>
          <w:rFonts w:ascii="Arial" w:eastAsia="Calibri" w:hAnsi="Arial" w:cs="Arial"/>
          <w:i/>
          <w:iCs/>
          <w:szCs w:val="24"/>
          <w:lang w:val="es-ES" w:eastAsia="es-ES_tradnl"/>
        </w:rPr>
        <w:t>transaccional</w:t>
      </w:r>
      <w:r w:rsidRPr="0074631F">
        <w:rPr>
          <w:rFonts w:ascii="Arial" w:eastAsia="Calibri" w:hAnsi="Arial" w:cs="Arial"/>
          <w:szCs w:val="24"/>
          <w:lang w:val="es-ES" w:eastAsia="es-ES_tradnl"/>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A26CD8D" w14:textId="660A10CE" w:rsidR="00055A9F" w:rsidRPr="0074631F" w:rsidRDefault="00055A9F" w:rsidP="00055A9F">
      <w:pPr>
        <w:spacing w:before="120" w:after="120" w:line="276" w:lineRule="auto"/>
        <w:ind w:firstLine="708"/>
        <w:jc w:val="both"/>
        <w:rPr>
          <w:rFonts w:ascii="Arial" w:eastAsia="Calibri" w:hAnsi="Arial" w:cs="Arial"/>
          <w:color w:val="000000"/>
          <w:szCs w:val="24"/>
          <w:lang w:val="es-ES" w:eastAsia="es-ES_tradnl"/>
        </w:rPr>
      </w:pPr>
      <w:r w:rsidRPr="0074631F">
        <w:rPr>
          <w:rFonts w:ascii="Arial" w:eastAsia="Calibri" w:hAnsi="Arial" w:cs="Arial"/>
          <w:color w:val="000000"/>
          <w:szCs w:val="24"/>
          <w:lang w:val="es-ES" w:eastAsia="es-ES_tradnl"/>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dispuso: «A partir del 1 de enero de 2020, todos los procesos de contratación de las entidades relacionadas en el Anexo 1 de esta circular deberán gestionarse, exclusivamente, en el SECOP ll». Esta se modificó parcialmente, mediante la Circular Externa No. 3 de 2020. </w:t>
      </w:r>
      <w:r w:rsidR="00765FD5" w:rsidRPr="0074631F">
        <w:rPr>
          <w:rFonts w:ascii="Arial" w:eastAsia="Calibri" w:hAnsi="Arial" w:cs="Arial"/>
          <w:color w:val="000000"/>
          <w:szCs w:val="24"/>
          <w:lang w:val="es-ES" w:eastAsia="es-ES_tradnl"/>
        </w:rPr>
        <w:t>Posteriormente</w:t>
      </w:r>
      <w:r w:rsidRPr="0074631F">
        <w:rPr>
          <w:rFonts w:ascii="Arial" w:eastAsia="Calibri" w:hAnsi="Arial" w:cs="Arial"/>
          <w:color w:val="000000"/>
          <w:szCs w:val="24"/>
          <w:lang w:val="es-ES" w:eastAsia="es-ES_tradnl"/>
        </w:rPr>
        <w:t xml:space="preserve">, esta Agencia expidió la Circular Externa No. 1 de 2021, «[…] </w:t>
      </w:r>
      <w:r w:rsidRPr="0074631F">
        <w:rPr>
          <w:rFonts w:ascii="Arial" w:eastAsia="Times New Roman" w:hAnsi="Arial" w:cs="Arial"/>
          <w:color w:val="000000"/>
          <w:szCs w:val="20"/>
          <w:shd w:val="clear" w:color="auto" w:fill="FFFFFF"/>
          <w:lang w:eastAsia="es-ES_tradnl"/>
        </w:rPr>
        <w:t>con el fin de dar directrices sobre la obligatoriedad del uso del SECOP II en 2021</w:t>
      </w:r>
      <w:r w:rsidRPr="0074631F">
        <w:rPr>
          <w:rFonts w:ascii="Arial" w:eastAsia="Calibri" w:hAnsi="Arial" w:cs="Arial"/>
          <w:color w:val="000000"/>
          <w:szCs w:val="24"/>
          <w:lang w:val="es-ES" w:eastAsia="es-ES_tradnl"/>
        </w:rPr>
        <w:t>», modificada posteriormente por la Circular No. 2 de 2021, en relación con la publicación de los procesos de contratación bajo la modalidad de concurso de méritos.</w:t>
      </w:r>
      <w:r w:rsidR="00765FD5" w:rsidRPr="0074631F">
        <w:rPr>
          <w:rFonts w:ascii="Arial" w:eastAsia="Calibri" w:hAnsi="Arial" w:cs="Arial"/>
          <w:color w:val="000000"/>
          <w:szCs w:val="24"/>
          <w:lang w:val="es-ES" w:eastAsia="es-ES_tradnl"/>
        </w:rPr>
        <w:t xml:space="preserve"> Asimismo, profirió la Circular Externa No. </w:t>
      </w:r>
      <w:r w:rsidR="00D54B1C" w:rsidRPr="0074631F">
        <w:rPr>
          <w:rFonts w:ascii="Arial" w:eastAsia="Calibri" w:hAnsi="Arial" w:cs="Arial"/>
          <w:color w:val="000000"/>
          <w:szCs w:val="24"/>
          <w:lang w:val="es-ES" w:eastAsia="es-ES_tradnl"/>
        </w:rPr>
        <w:t>2 de 2022</w:t>
      </w:r>
      <w:r w:rsidR="00DC28A4" w:rsidRPr="0074631F">
        <w:rPr>
          <w:rFonts w:ascii="Arial" w:eastAsia="Calibri" w:hAnsi="Arial" w:cs="Arial"/>
          <w:color w:val="000000"/>
          <w:szCs w:val="24"/>
          <w:lang w:val="es-ES" w:eastAsia="es-ES_tradnl"/>
        </w:rPr>
        <w:t>,</w:t>
      </w:r>
      <w:r w:rsidR="00D54B1C" w:rsidRPr="0074631F">
        <w:rPr>
          <w:rFonts w:ascii="Arial" w:eastAsia="Calibri" w:hAnsi="Arial" w:cs="Arial"/>
          <w:color w:val="000000"/>
          <w:szCs w:val="24"/>
          <w:lang w:val="es-ES" w:eastAsia="es-ES_tradnl"/>
        </w:rPr>
        <w:t xml:space="preserve"> determinando la obligatoriedad del SECOP II durante este año.</w:t>
      </w:r>
    </w:p>
    <w:p w14:paraId="6DA8885E" w14:textId="030081AD" w:rsidR="00055A9F" w:rsidRPr="0074631F" w:rsidRDefault="00055A9F" w:rsidP="00055A9F">
      <w:pPr>
        <w:spacing w:after="0" w:line="276" w:lineRule="auto"/>
        <w:ind w:firstLine="708"/>
        <w:jc w:val="both"/>
        <w:rPr>
          <w:rFonts w:ascii="Arial" w:eastAsia="Calibri" w:hAnsi="Arial" w:cs="Arial"/>
          <w:szCs w:val="24"/>
          <w:lang w:val="es-ES" w:eastAsia="es-ES_tradnl"/>
        </w:rPr>
      </w:pPr>
      <w:r w:rsidRPr="0074631F">
        <w:rPr>
          <w:rFonts w:ascii="Arial" w:eastAsia="Calibri" w:hAnsi="Arial" w:cs="Arial"/>
          <w:szCs w:val="24"/>
          <w:lang w:val="es-ES" w:eastAsia="es-ES_tradnl"/>
        </w:rPr>
        <w:t>Sobre la utilización de SECOP II, es necesario aclarar</w:t>
      </w:r>
      <w:r w:rsidR="00DC28A4" w:rsidRPr="0074631F">
        <w:rPr>
          <w:rFonts w:ascii="Arial" w:eastAsia="Calibri" w:hAnsi="Arial" w:cs="Arial"/>
          <w:szCs w:val="24"/>
          <w:lang w:val="es-ES" w:eastAsia="es-ES_tradnl"/>
        </w:rPr>
        <w:t xml:space="preserve">, por tanto, </w:t>
      </w:r>
      <w:r w:rsidRPr="0074631F">
        <w:rPr>
          <w:rFonts w:ascii="Arial" w:eastAsia="Calibri" w:hAnsi="Arial" w:cs="Arial"/>
          <w:szCs w:val="24"/>
          <w:lang w:val="es-ES" w:eastAsia="es-ES_tradnl"/>
        </w:rPr>
        <w:t xml:space="preserve">que </w:t>
      </w:r>
      <w:r w:rsidR="001C0BE5" w:rsidRPr="0074631F">
        <w:rPr>
          <w:rFonts w:ascii="Arial" w:eastAsia="Calibri" w:hAnsi="Arial" w:cs="Arial"/>
          <w:szCs w:val="24"/>
          <w:lang w:val="es-ES" w:eastAsia="es-ES_tradnl"/>
        </w:rPr>
        <w:t xml:space="preserve">en esta plataforma </w:t>
      </w:r>
      <w:r w:rsidRPr="0074631F">
        <w:rPr>
          <w:rFonts w:ascii="Arial" w:eastAsia="Calibri" w:hAnsi="Arial" w:cs="Arial"/>
          <w:szCs w:val="24"/>
          <w:lang w:val="es-ES" w:eastAsia="es-ES_tradnl"/>
        </w:rPr>
        <w:t xml:space="preserve">el procedimiento contractual se </w:t>
      </w:r>
      <w:r w:rsidR="001C0BE5" w:rsidRPr="0074631F">
        <w:rPr>
          <w:rFonts w:ascii="Arial" w:eastAsia="Calibri" w:hAnsi="Arial" w:cs="Arial"/>
          <w:szCs w:val="24"/>
          <w:lang w:val="es-ES" w:eastAsia="es-ES_tradnl"/>
        </w:rPr>
        <w:t xml:space="preserve">debe </w:t>
      </w:r>
      <w:r w:rsidRPr="0074631F">
        <w:rPr>
          <w:rFonts w:ascii="Arial" w:eastAsia="Calibri" w:hAnsi="Arial" w:cs="Arial"/>
          <w:szCs w:val="24"/>
          <w:lang w:val="es-ES" w:eastAsia="es-ES_tradnl"/>
        </w:rPr>
        <w:t>desarrolla</w:t>
      </w:r>
      <w:r w:rsidR="001C0BE5" w:rsidRPr="0074631F">
        <w:rPr>
          <w:rFonts w:ascii="Arial" w:eastAsia="Calibri" w:hAnsi="Arial" w:cs="Arial"/>
          <w:szCs w:val="24"/>
          <w:lang w:val="es-ES" w:eastAsia="es-ES_tradnl"/>
        </w:rPr>
        <w:t>r</w:t>
      </w:r>
      <w:r w:rsidRPr="0074631F">
        <w:rPr>
          <w:rFonts w:ascii="Arial" w:eastAsia="Calibri" w:hAnsi="Arial" w:cs="Arial"/>
          <w:szCs w:val="24"/>
          <w:lang w:val="es-ES" w:eastAsia="es-ES_tradnl"/>
        </w:rPr>
        <w:t xml:space="preserve"> en línea, conformándose un expediente electrónico</w:t>
      </w:r>
      <w:r w:rsidR="001C0BE5" w:rsidRPr="0074631F">
        <w:rPr>
          <w:rFonts w:ascii="Arial" w:eastAsia="Calibri" w:hAnsi="Arial" w:cs="Arial"/>
          <w:szCs w:val="24"/>
          <w:lang w:val="es-ES" w:eastAsia="es-ES_tradnl"/>
        </w:rPr>
        <w:t>.</w:t>
      </w:r>
      <w:r w:rsidRPr="0074631F">
        <w:rPr>
          <w:rFonts w:ascii="Arial" w:eastAsia="Calibri" w:hAnsi="Arial" w:cs="Arial"/>
          <w:szCs w:val="24"/>
          <w:lang w:val="es-ES" w:eastAsia="es-ES_tradnl"/>
        </w:rPr>
        <w:t xml:space="preserve"> </w:t>
      </w:r>
      <w:r w:rsidR="001C0BE5" w:rsidRPr="0074631F">
        <w:rPr>
          <w:rFonts w:ascii="Arial" w:eastAsia="Calibri" w:hAnsi="Arial" w:cs="Arial"/>
          <w:szCs w:val="24"/>
          <w:lang w:val="es-ES" w:eastAsia="es-ES_tradnl"/>
        </w:rPr>
        <w:t>Esto</w:t>
      </w:r>
      <w:r w:rsidRPr="0074631F">
        <w:rPr>
          <w:rFonts w:ascii="Arial" w:eastAsia="Calibri" w:hAnsi="Arial" w:cs="Arial"/>
          <w:szCs w:val="24"/>
          <w:lang w:val="es-ES" w:eastAsia="es-ES_tradnl"/>
        </w:rPr>
        <w:t xml:space="preserve"> denota una diferencia con el SECOP I, donde el procedimiento es físico, </w:t>
      </w:r>
      <w:r w:rsidR="008025F9" w:rsidRPr="0074631F">
        <w:rPr>
          <w:rFonts w:ascii="Arial" w:eastAsia="Calibri" w:hAnsi="Arial" w:cs="Arial"/>
          <w:szCs w:val="24"/>
          <w:lang w:val="es-ES" w:eastAsia="es-ES_tradnl"/>
        </w:rPr>
        <w:t>o sea que está integrado por</w:t>
      </w:r>
      <w:r w:rsidRPr="0074631F">
        <w:rPr>
          <w:rFonts w:ascii="Arial" w:eastAsia="Calibri" w:hAnsi="Arial" w:cs="Arial"/>
          <w:szCs w:val="24"/>
          <w:lang w:val="es-ES" w:eastAsia="es-ES_tradnl"/>
        </w:rPr>
        <w:t xml:space="preserve">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w:t>
      </w:r>
      <w:r w:rsidR="00101878" w:rsidRPr="0074631F">
        <w:rPr>
          <w:rFonts w:ascii="Arial" w:eastAsia="Calibri" w:hAnsi="Arial" w:cs="Arial"/>
          <w:szCs w:val="24"/>
          <w:lang w:val="es-ES" w:eastAsia="es-ES_tradnl"/>
        </w:rPr>
        <w:t>,</w:t>
      </w:r>
      <w:r w:rsidRPr="0074631F">
        <w:rPr>
          <w:rFonts w:ascii="Arial" w:eastAsia="Calibri" w:hAnsi="Arial" w:cs="Arial"/>
          <w:szCs w:val="24"/>
          <w:lang w:val="es-ES" w:eastAsia="es-ES_tradnl"/>
        </w:rPr>
        <w:t xml:space="preserve"> </w:t>
      </w:r>
      <w:r w:rsidR="00101878" w:rsidRPr="0074631F">
        <w:rPr>
          <w:rFonts w:ascii="Arial" w:eastAsia="Calibri" w:hAnsi="Arial" w:cs="Arial"/>
          <w:szCs w:val="24"/>
          <w:lang w:val="es-ES" w:eastAsia="es-ES_tradnl"/>
        </w:rPr>
        <w:t>como se explica a continuación</w:t>
      </w:r>
      <w:r w:rsidRPr="0074631F">
        <w:rPr>
          <w:rFonts w:ascii="Arial" w:eastAsia="Calibri" w:hAnsi="Arial" w:cs="Arial"/>
          <w:szCs w:val="24"/>
          <w:lang w:val="es-ES" w:eastAsia="es-ES_tradnl"/>
        </w:rPr>
        <w:t xml:space="preserve">. </w:t>
      </w:r>
    </w:p>
    <w:p w14:paraId="75846F70" w14:textId="6E91211A" w:rsidR="00055A9F" w:rsidRPr="0074631F" w:rsidRDefault="00055A9F" w:rsidP="00055A9F">
      <w:pPr>
        <w:spacing w:before="120" w:after="120" w:line="276" w:lineRule="auto"/>
        <w:ind w:firstLine="709"/>
        <w:jc w:val="both"/>
        <w:rPr>
          <w:rFonts w:ascii="Arial" w:eastAsia="Calibri" w:hAnsi="Arial" w:cs="Arial"/>
          <w:szCs w:val="24"/>
          <w:lang w:val="es-ES" w:eastAsia="es-ES_tradnl"/>
        </w:rPr>
      </w:pPr>
      <w:r w:rsidRPr="0074631F">
        <w:rPr>
          <w:rFonts w:ascii="Arial" w:eastAsia="Calibri" w:hAnsi="Arial" w:cs="Arial"/>
          <w:szCs w:val="24"/>
          <w:lang w:val="es-ES" w:eastAsia="es-ES_tradnl"/>
        </w:rPr>
        <w:t>Si bien los documentos</w:t>
      </w:r>
      <w:r w:rsidRPr="0074631F">
        <w:rPr>
          <w:rFonts w:ascii="Arial" w:eastAsia="Calibri" w:hAnsi="Arial" w:cs="Arial"/>
          <w:i/>
          <w:iCs/>
          <w:szCs w:val="24"/>
          <w:lang w:val="es-ES" w:eastAsia="es-ES_tradnl"/>
        </w:rPr>
        <w:t xml:space="preserve"> </w:t>
      </w:r>
      <w:r w:rsidRPr="0074631F">
        <w:rPr>
          <w:rFonts w:ascii="Arial" w:eastAsia="Calibri" w:hAnsi="Arial" w:cs="Arial"/>
          <w:szCs w:val="24"/>
          <w:lang w:val="es-ES" w:eastAsia="es-ES_tradnl"/>
        </w:rPr>
        <w:t xml:space="preserve">que deben publicarse en el SECOP II corresponden a los mismos que deben publicarse en el SECOP I, esto es, todos los expedidos con ocasión el </w:t>
      </w:r>
      <w:r w:rsidRPr="0074631F">
        <w:rPr>
          <w:rFonts w:ascii="Arial" w:eastAsia="Calibri" w:hAnsi="Arial" w:cs="Arial"/>
          <w:i/>
          <w:iCs/>
          <w:szCs w:val="24"/>
          <w:lang w:val="es-ES" w:eastAsia="es-ES_tradnl"/>
        </w:rPr>
        <w:t xml:space="preserve">Proceso de Contratación </w:t>
      </w:r>
      <w:r w:rsidRPr="0074631F">
        <w:rPr>
          <w:rFonts w:ascii="Arial" w:eastAsia="Calibri" w:hAnsi="Arial" w:cs="Arial"/>
          <w:szCs w:val="24"/>
          <w:lang w:val="es-ES" w:eastAsia="es-ES_tradnl"/>
        </w:rPr>
        <w:t xml:space="preserve">con excepción de los expresamente excluidos, la naturaleza transaccional del SECOP II implica que los procesos contractuales no solo deban ser publicados mediante esta </w:t>
      </w:r>
      <w:r w:rsidRPr="0074631F">
        <w:rPr>
          <w:rFonts w:ascii="Arial" w:eastAsia="Calibri" w:hAnsi="Arial" w:cs="Arial"/>
          <w:szCs w:val="24"/>
          <w:lang w:val="es-ES" w:eastAsia="es-ES_tradnl"/>
        </w:rPr>
        <w:lastRenderedPageBreak/>
        <w:t>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w:t>
      </w:r>
      <w:r w:rsidR="00005CBB" w:rsidRPr="0074631F">
        <w:rPr>
          <w:rFonts w:ascii="Arial" w:eastAsia="Calibri" w:hAnsi="Arial" w:cs="Arial"/>
          <w:szCs w:val="24"/>
          <w:lang w:val="es-ES" w:eastAsia="es-ES_tradnl"/>
        </w:rPr>
        <w:t>a es una</w:t>
      </w:r>
      <w:r w:rsidRPr="0074631F">
        <w:rPr>
          <w:rFonts w:ascii="Arial" w:eastAsia="Calibri" w:hAnsi="Arial" w:cs="Arial"/>
          <w:szCs w:val="24"/>
          <w:lang w:val="es-ES" w:eastAsia="es-ES_tradnl"/>
        </w:rPr>
        <w:t xml:space="preserve"> diferencia </w:t>
      </w:r>
      <w:r w:rsidR="00005CBB" w:rsidRPr="0074631F">
        <w:rPr>
          <w:rFonts w:ascii="Arial" w:eastAsia="Calibri" w:hAnsi="Arial" w:cs="Arial"/>
          <w:szCs w:val="24"/>
          <w:lang w:val="es-ES" w:eastAsia="es-ES_tradnl"/>
        </w:rPr>
        <w:t>respecto de</w:t>
      </w:r>
      <w:r w:rsidRPr="0074631F">
        <w:rPr>
          <w:rFonts w:ascii="Arial" w:eastAsia="Calibri" w:hAnsi="Arial" w:cs="Arial"/>
          <w:szCs w:val="24"/>
          <w:lang w:val="es-ES" w:eastAsia="es-ES_tradnl"/>
        </w:rPr>
        <w:t xml:space="preserv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0921B2A2" w14:textId="77777777" w:rsidR="00A33C33" w:rsidRPr="0074631F" w:rsidRDefault="00055A9F" w:rsidP="00055A9F">
      <w:pPr>
        <w:spacing w:after="0" w:line="276" w:lineRule="auto"/>
        <w:ind w:firstLine="708"/>
        <w:jc w:val="both"/>
        <w:rPr>
          <w:rFonts w:ascii="Arial" w:eastAsia="Calibri" w:hAnsi="Arial" w:cs="Arial"/>
          <w:szCs w:val="24"/>
          <w:lang w:val="es-ES" w:eastAsia="es-ES_tradnl"/>
        </w:rPr>
      </w:pPr>
      <w:bookmarkStart w:id="2" w:name="_Hlk46402307"/>
      <w:r w:rsidRPr="0074631F">
        <w:rPr>
          <w:rFonts w:ascii="Arial" w:eastAsia="Calibri" w:hAnsi="Arial" w:cs="Arial"/>
          <w:szCs w:val="24"/>
          <w:lang w:val="es-ES" w:eastAsia="es-ES_tradnl"/>
        </w:rPr>
        <w:t>En ese orden</w:t>
      </w:r>
      <w:r w:rsidR="009C7590" w:rsidRPr="0074631F">
        <w:rPr>
          <w:rFonts w:ascii="Arial" w:eastAsia="Calibri" w:hAnsi="Arial" w:cs="Arial"/>
          <w:szCs w:val="24"/>
          <w:lang w:val="es-ES" w:eastAsia="es-ES_tradnl"/>
        </w:rPr>
        <w:t xml:space="preserve"> de ideas</w:t>
      </w:r>
      <w:r w:rsidRPr="0074631F">
        <w:rPr>
          <w:rFonts w:ascii="Arial" w:eastAsia="Calibri" w:hAnsi="Arial" w:cs="Arial"/>
          <w:szCs w:val="24"/>
          <w:lang w:val="es-ES" w:eastAsia="es-ES_tradnl"/>
        </w:rPr>
        <w:t xml:space="preserve">, el carácter transaccional de SECOP II, como herramienta que permite no solo publicar sino también gestionar y crear </w:t>
      </w:r>
      <w:r w:rsidRPr="0074631F">
        <w:rPr>
          <w:rFonts w:ascii="Arial" w:eastAsia="Calibri" w:hAnsi="Arial" w:cs="Arial"/>
          <w:i/>
          <w:iCs/>
          <w:szCs w:val="24"/>
          <w:lang w:val="es-ES" w:eastAsia="es-ES_tradnl"/>
        </w:rPr>
        <w:t xml:space="preserve">Documentos del Proceso, </w:t>
      </w:r>
      <w:r w:rsidRPr="0074631F">
        <w:rPr>
          <w:rFonts w:ascii="Arial" w:eastAsia="Calibri" w:hAnsi="Arial" w:cs="Arial"/>
          <w:szCs w:val="24"/>
          <w:lang w:val="es-ES" w:eastAsia="es-ES_tradnl"/>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p>
    <w:p w14:paraId="39EFEA73" w14:textId="77777777" w:rsidR="00C00DCF" w:rsidRPr="0074631F" w:rsidRDefault="00A33C33" w:rsidP="00C00DCF">
      <w:pPr>
        <w:spacing w:before="120" w:after="0" w:line="276" w:lineRule="auto"/>
        <w:ind w:firstLine="709"/>
        <w:jc w:val="both"/>
        <w:rPr>
          <w:rFonts w:ascii="Arial" w:eastAsia="Calibri" w:hAnsi="Arial" w:cs="Arial"/>
          <w:szCs w:val="24"/>
          <w:lang w:val="es-ES" w:eastAsia="es-ES_tradnl"/>
        </w:rPr>
      </w:pPr>
      <w:r w:rsidRPr="0074631F">
        <w:rPr>
          <w:rFonts w:ascii="Arial" w:eastAsia="Calibri" w:hAnsi="Arial" w:cs="Arial"/>
          <w:szCs w:val="24"/>
          <w:lang w:val="es-ES" w:eastAsia="es-ES_tradnl"/>
        </w:rPr>
        <w:t xml:space="preserve">Con fundamento </w:t>
      </w:r>
      <w:r w:rsidR="00CD5133" w:rsidRPr="0074631F">
        <w:rPr>
          <w:rFonts w:ascii="Arial" w:eastAsia="Calibri" w:hAnsi="Arial" w:cs="Arial"/>
          <w:szCs w:val="24"/>
          <w:lang w:val="es-ES" w:eastAsia="es-ES_tradnl"/>
        </w:rPr>
        <w:t xml:space="preserve">en estas consideraciones y atendiendo a la </w:t>
      </w:r>
      <w:r w:rsidR="00873614" w:rsidRPr="0074631F">
        <w:rPr>
          <w:rFonts w:ascii="Arial" w:eastAsia="Calibri" w:hAnsi="Arial" w:cs="Arial"/>
          <w:szCs w:val="24"/>
          <w:lang w:val="es-ES" w:eastAsia="es-ES_tradnl"/>
        </w:rPr>
        <w:t xml:space="preserve">consulta formulada, puede decirse que si una entidad estatal se encuentra obligada a tramitar su contratación en el SECOP II, </w:t>
      </w:r>
      <w:r w:rsidR="00E95C9B" w:rsidRPr="0074631F">
        <w:rPr>
          <w:rFonts w:ascii="Arial" w:eastAsia="Calibri" w:hAnsi="Arial" w:cs="Arial"/>
          <w:szCs w:val="24"/>
          <w:lang w:val="es-ES" w:eastAsia="es-ES_tradnl"/>
        </w:rPr>
        <w:t xml:space="preserve">en principio </w:t>
      </w:r>
      <w:r w:rsidR="00873614" w:rsidRPr="0074631F">
        <w:rPr>
          <w:rFonts w:ascii="Arial" w:eastAsia="Calibri" w:hAnsi="Arial" w:cs="Arial"/>
          <w:szCs w:val="24"/>
          <w:lang w:val="es-ES" w:eastAsia="es-ES_tradnl"/>
        </w:rPr>
        <w:t xml:space="preserve">todos los </w:t>
      </w:r>
      <w:r w:rsidR="00E95C9B" w:rsidRPr="0074631F">
        <w:rPr>
          <w:rFonts w:ascii="Arial" w:eastAsia="Calibri" w:hAnsi="Arial" w:cs="Arial"/>
          <w:i/>
          <w:iCs/>
          <w:szCs w:val="24"/>
          <w:lang w:val="es-ES" w:eastAsia="es-ES_tradnl"/>
        </w:rPr>
        <w:t>Documentos del Proceso</w:t>
      </w:r>
      <w:r w:rsidR="00E95C9B" w:rsidRPr="0074631F">
        <w:rPr>
          <w:rFonts w:ascii="Arial" w:eastAsia="Calibri" w:hAnsi="Arial" w:cs="Arial"/>
          <w:szCs w:val="24"/>
          <w:lang w:val="es-ES" w:eastAsia="es-ES_tradnl"/>
        </w:rPr>
        <w:t xml:space="preserve"> deben gestionarse y crearse en esta plataforma.</w:t>
      </w:r>
      <w:r w:rsidR="00DF58FB" w:rsidRPr="0074631F">
        <w:rPr>
          <w:rFonts w:ascii="Arial" w:eastAsia="Calibri" w:hAnsi="Arial" w:cs="Arial"/>
          <w:szCs w:val="24"/>
          <w:lang w:val="es-ES" w:eastAsia="es-ES_tradnl"/>
        </w:rPr>
        <w:t xml:space="preserve"> Esto con fundamento en lo explicado en el numeral 2.1 de este concepto; es decir, de conformidad con </w:t>
      </w:r>
      <w:r w:rsidR="00DF58FB" w:rsidRPr="0074631F">
        <w:rPr>
          <w:rFonts w:ascii="Arial" w:eastAsia="Calibri" w:hAnsi="Arial" w:cs="Arial"/>
          <w:lang w:val="es-ES"/>
        </w:rPr>
        <w:t xml:space="preserve">el artículo 3 de la Ley 1150 de 2007, el </w:t>
      </w:r>
      <w:r w:rsidR="00DF58FB" w:rsidRPr="0074631F">
        <w:rPr>
          <w:rFonts w:ascii="Arial" w:eastAsia="Arial" w:hAnsi="Arial" w:cs="Arial"/>
          <w:lang w:val="es-ES"/>
        </w:rPr>
        <w:t>artículo 2.2.1.1.1.7.1. del Decreto 1082 de 2015, la Ley 1712 de 2014 y el Decreto 1081 de 2015</w:t>
      </w:r>
      <w:r w:rsidR="00632CCD" w:rsidRPr="0074631F">
        <w:rPr>
          <w:rFonts w:ascii="Arial" w:eastAsia="Arial" w:hAnsi="Arial" w:cs="Arial"/>
          <w:lang w:val="es-ES"/>
        </w:rPr>
        <w:t>.</w:t>
      </w:r>
      <w:r w:rsidR="00DF58FB" w:rsidRPr="0074631F">
        <w:rPr>
          <w:rFonts w:ascii="Arial" w:eastAsia="Arial" w:hAnsi="Arial" w:cs="Arial"/>
          <w:lang w:val="es-ES"/>
        </w:rPr>
        <w:t xml:space="preserve"> </w:t>
      </w:r>
      <w:r w:rsidR="00632CCD" w:rsidRPr="0074631F">
        <w:rPr>
          <w:rFonts w:ascii="Arial" w:eastAsia="Arial" w:hAnsi="Arial" w:cs="Arial"/>
          <w:lang w:val="es-ES"/>
        </w:rPr>
        <w:t xml:space="preserve">Estas </w:t>
      </w:r>
      <w:r w:rsidR="00DF58FB" w:rsidRPr="0074631F">
        <w:rPr>
          <w:rFonts w:ascii="Arial" w:eastAsia="Arial" w:hAnsi="Arial" w:cs="Arial"/>
          <w:lang w:val="es-ES"/>
        </w:rPr>
        <w:t xml:space="preserve">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00DF58FB" w:rsidRPr="0074631F">
        <w:rPr>
          <w:rFonts w:ascii="Arial" w:eastAsia="Arial" w:hAnsi="Arial" w:cs="Arial"/>
          <w:i/>
          <w:iCs/>
          <w:lang w:val="es-ES"/>
        </w:rPr>
        <w:t xml:space="preserve">Documentos del Proceso </w:t>
      </w:r>
      <w:r w:rsidR="00DF58FB" w:rsidRPr="0074631F">
        <w:rPr>
          <w:rFonts w:ascii="Arial" w:eastAsia="Arial" w:hAnsi="Arial" w:cs="Arial"/>
          <w:lang w:val="es-ES"/>
        </w:rPr>
        <w:t>expedidos por la «entidad estatal».</w:t>
      </w:r>
    </w:p>
    <w:p w14:paraId="74B40E1A" w14:textId="25A5CDA2" w:rsidR="00055A9F" w:rsidRPr="0074631F" w:rsidRDefault="00C00DCF" w:rsidP="00C00DCF">
      <w:pPr>
        <w:spacing w:before="120" w:after="0" w:line="276" w:lineRule="auto"/>
        <w:ind w:firstLine="709"/>
        <w:jc w:val="both"/>
        <w:rPr>
          <w:rFonts w:ascii="Arial" w:eastAsia="Calibri" w:hAnsi="Arial" w:cs="Arial"/>
          <w:szCs w:val="24"/>
          <w:lang w:val="es-ES" w:eastAsia="es-ES_tradnl"/>
        </w:rPr>
      </w:pPr>
      <w:r w:rsidRPr="0074631F">
        <w:rPr>
          <w:rFonts w:ascii="Arial" w:eastAsia="Calibri" w:hAnsi="Arial" w:cs="Arial"/>
          <w:szCs w:val="24"/>
          <w:lang w:val="es-ES" w:eastAsia="es-ES_tradnl"/>
        </w:rPr>
        <w:t xml:space="preserve">No cabe duda, pues, de que dentro de la expresión </w:t>
      </w:r>
      <w:r w:rsidRPr="0074631F">
        <w:rPr>
          <w:rFonts w:ascii="Arial" w:eastAsia="Calibri" w:hAnsi="Arial" w:cs="Arial"/>
          <w:i/>
          <w:iCs/>
          <w:szCs w:val="24"/>
          <w:lang w:val="es-ES" w:eastAsia="es-ES_tradnl"/>
        </w:rPr>
        <w:t xml:space="preserve">Documentos del Proceso </w:t>
      </w:r>
      <w:r w:rsidR="00E95C9B" w:rsidRPr="0074631F">
        <w:rPr>
          <w:rFonts w:ascii="Arial" w:eastAsia="Calibri" w:hAnsi="Arial" w:cs="Arial"/>
          <w:szCs w:val="24"/>
          <w:lang w:val="es-ES" w:eastAsia="es-ES_tradnl"/>
        </w:rPr>
        <w:t>se encuentra el acta de suspensión que suscriban las partes, pues</w:t>
      </w:r>
      <w:r w:rsidR="00C6220B" w:rsidRPr="0074631F">
        <w:rPr>
          <w:rFonts w:ascii="Arial" w:eastAsia="Calibri" w:hAnsi="Arial" w:cs="Arial"/>
          <w:szCs w:val="24"/>
          <w:lang w:val="es-ES" w:eastAsia="es-ES_tradnl"/>
        </w:rPr>
        <w:t xml:space="preserve"> también</w:t>
      </w:r>
      <w:r w:rsidR="00E95C9B" w:rsidRPr="0074631F">
        <w:rPr>
          <w:rFonts w:ascii="Arial" w:eastAsia="Calibri" w:hAnsi="Arial" w:cs="Arial"/>
          <w:szCs w:val="24"/>
          <w:lang w:val="es-ES" w:eastAsia="es-ES_tradnl"/>
        </w:rPr>
        <w:t xml:space="preserve"> se trata de </w:t>
      </w:r>
      <w:r w:rsidR="00F11700" w:rsidRPr="0074631F">
        <w:rPr>
          <w:rFonts w:ascii="Arial" w:eastAsia="Calibri" w:hAnsi="Arial" w:cs="Arial"/>
          <w:szCs w:val="24"/>
          <w:lang w:val="es-ES" w:eastAsia="es-ES_tradnl"/>
        </w:rPr>
        <w:t xml:space="preserve">un </w:t>
      </w:r>
      <w:r w:rsidR="00C6220B" w:rsidRPr="0074631F">
        <w:rPr>
          <w:rFonts w:ascii="Arial" w:eastAsia="Calibri" w:hAnsi="Arial" w:cs="Arial"/>
          <w:szCs w:val="24"/>
          <w:lang w:val="es-ES" w:eastAsia="es-ES_tradnl"/>
        </w:rPr>
        <w:t>documento proferido en la etapa de ejecución del contrato estatal</w:t>
      </w:r>
      <w:r w:rsidR="00F11700" w:rsidRPr="0074631F">
        <w:rPr>
          <w:rFonts w:ascii="Arial" w:eastAsia="Calibri" w:hAnsi="Arial" w:cs="Arial"/>
          <w:szCs w:val="24"/>
          <w:lang w:val="es-ES" w:eastAsia="es-ES_tradnl"/>
        </w:rPr>
        <w:t>, es decir, con ocasión de este</w:t>
      </w:r>
      <w:r w:rsidR="00C6220B" w:rsidRPr="0074631F">
        <w:rPr>
          <w:rFonts w:ascii="Arial" w:eastAsia="Calibri" w:hAnsi="Arial" w:cs="Arial"/>
          <w:szCs w:val="24"/>
          <w:lang w:val="es-ES" w:eastAsia="es-ES_tradnl"/>
        </w:rPr>
        <w:t xml:space="preserve">. </w:t>
      </w:r>
      <w:r w:rsidR="004F0098" w:rsidRPr="0074631F">
        <w:rPr>
          <w:rFonts w:ascii="Arial" w:eastAsia="Calibri" w:hAnsi="Arial" w:cs="Arial"/>
          <w:szCs w:val="24"/>
          <w:lang w:val="es-ES" w:eastAsia="es-ES_tradnl"/>
        </w:rPr>
        <w:t>De igual manera, el acta de reinicio</w:t>
      </w:r>
      <w:r w:rsidR="004F1578" w:rsidRPr="0074631F">
        <w:rPr>
          <w:rFonts w:ascii="Arial" w:eastAsia="Calibri" w:hAnsi="Arial" w:cs="Arial"/>
          <w:szCs w:val="24"/>
          <w:lang w:val="es-ES" w:eastAsia="es-ES_tradnl"/>
        </w:rPr>
        <w:t xml:space="preserve"> –o de finalización de la suspensión–</w:t>
      </w:r>
      <w:r w:rsidR="004F0098" w:rsidRPr="0074631F">
        <w:rPr>
          <w:rFonts w:ascii="Arial" w:eastAsia="Calibri" w:hAnsi="Arial" w:cs="Arial"/>
          <w:szCs w:val="24"/>
          <w:lang w:val="es-ES" w:eastAsia="es-ES_tradnl"/>
        </w:rPr>
        <w:t xml:space="preserve"> es un </w:t>
      </w:r>
      <w:r w:rsidR="004F0098" w:rsidRPr="0074631F">
        <w:rPr>
          <w:rFonts w:ascii="Arial" w:eastAsia="Calibri" w:hAnsi="Arial" w:cs="Arial"/>
          <w:i/>
          <w:iCs/>
          <w:szCs w:val="24"/>
          <w:lang w:val="es-ES" w:eastAsia="es-ES_tradnl"/>
        </w:rPr>
        <w:t>Documento del Proceso</w:t>
      </w:r>
      <w:r w:rsidR="004F0098" w:rsidRPr="0074631F">
        <w:rPr>
          <w:rFonts w:ascii="Arial" w:eastAsia="Calibri" w:hAnsi="Arial" w:cs="Arial"/>
          <w:szCs w:val="24"/>
          <w:lang w:val="es-ES" w:eastAsia="es-ES_tradnl"/>
        </w:rPr>
        <w:t xml:space="preserve"> que debe gestionarse transaccionalmente en el SECOP II, cuando exista el deber de</w:t>
      </w:r>
      <w:r w:rsidR="00ED50AD" w:rsidRPr="0074631F">
        <w:rPr>
          <w:rFonts w:ascii="Arial" w:eastAsia="Calibri" w:hAnsi="Arial" w:cs="Arial"/>
          <w:szCs w:val="24"/>
          <w:lang w:val="es-ES" w:eastAsia="es-ES_tradnl"/>
        </w:rPr>
        <w:t xml:space="preserve"> emplear esta plataforma. </w:t>
      </w:r>
      <w:r w:rsidR="00C6220B" w:rsidRPr="0074631F">
        <w:rPr>
          <w:rFonts w:ascii="Arial" w:eastAsia="Calibri" w:hAnsi="Arial" w:cs="Arial"/>
          <w:szCs w:val="24"/>
          <w:lang w:val="es-ES" w:eastAsia="es-ES_tradnl"/>
        </w:rPr>
        <w:t>Para brindar una mayor precisión sobre la metodología</w:t>
      </w:r>
      <w:bookmarkEnd w:id="2"/>
      <w:r w:rsidR="00F11700" w:rsidRPr="0074631F">
        <w:rPr>
          <w:rFonts w:ascii="Arial" w:eastAsia="Calibri" w:hAnsi="Arial" w:cs="Arial"/>
          <w:szCs w:val="24"/>
          <w:lang w:val="es-ES" w:eastAsia="es-ES_tradnl"/>
        </w:rPr>
        <w:t xml:space="preserve"> de la suspensión de los contratos estatales es importante efectuar algunos comentarios al respecto, que permitan resolver la inquietud acerca de si en el acta de suspensión se puede dejar establecida una fecha o condición que permita que</w:t>
      </w:r>
      <w:r w:rsidR="008A493A" w:rsidRPr="0074631F">
        <w:rPr>
          <w:rFonts w:ascii="Arial" w:eastAsia="Calibri" w:hAnsi="Arial" w:cs="Arial"/>
          <w:szCs w:val="24"/>
          <w:lang w:val="es-ES" w:eastAsia="es-ES_tradnl"/>
        </w:rPr>
        <w:t>,</w:t>
      </w:r>
      <w:r w:rsidR="00F11700" w:rsidRPr="0074631F">
        <w:rPr>
          <w:rFonts w:ascii="Arial" w:eastAsia="Calibri" w:hAnsi="Arial" w:cs="Arial"/>
          <w:szCs w:val="24"/>
          <w:lang w:val="es-ES" w:eastAsia="es-ES_tradnl"/>
        </w:rPr>
        <w:t xml:space="preserve"> una vez cumplida</w:t>
      </w:r>
      <w:r w:rsidR="008A493A" w:rsidRPr="0074631F">
        <w:rPr>
          <w:rFonts w:ascii="Arial" w:eastAsia="Calibri" w:hAnsi="Arial" w:cs="Arial"/>
          <w:szCs w:val="24"/>
          <w:lang w:val="es-ES" w:eastAsia="es-ES_tradnl"/>
        </w:rPr>
        <w:t>,</w:t>
      </w:r>
      <w:r w:rsidR="00F11700" w:rsidRPr="0074631F">
        <w:rPr>
          <w:rFonts w:ascii="Arial" w:eastAsia="Calibri" w:hAnsi="Arial" w:cs="Arial"/>
          <w:szCs w:val="24"/>
          <w:lang w:val="es-ES" w:eastAsia="es-ES_tradnl"/>
        </w:rPr>
        <w:t xml:space="preserve"> se reactive</w:t>
      </w:r>
      <w:r w:rsidR="00CE3232" w:rsidRPr="0074631F">
        <w:rPr>
          <w:rFonts w:ascii="Arial" w:eastAsia="Calibri" w:hAnsi="Arial" w:cs="Arial"/>
          <w:szCs w:val="24"/>
          <w:lang w:val="es-ES" w:eastAsia="es-ES_tradnl"/>
        </w:rPr>
        <w:t xml:space="preserve"> automáticamente</w:t>
      </w:r>
      <w:r w:rsidR="00F11700" w:rsidRPr="0074631F">
        <w:rPr>
          <w:rFonts w:ascii="Arial" w:eastAsia="Calibri" w:hAnsi="Arial" w:cs="Arial"/>
          <w:szCs w:val="24"/>
          <w:lang w:val="es-ES" w:eastAsia="es-ES_tradnl"/>
        </w:rPr>
        <w:t xml:space="preserve"> el cómputo del plazo contractual.</w:t>
      </w:r>
    </w:p>
    <w:p w14:paraId="5B81B505" w14:textId="77777777" w:rsidR="007A4176" w:rsidRPr="0074631F" w:rsidRDefault="007A4176" w:rsidP="007A4176">
      <w:pPr>
        <w:spacing w:after="0" w:line="276" w:lineRule="auto"/>
        <w:jc w:val="both"/>
        <w:rPr>
          <w:rFonts w:ascii="Arial" w:eastAsia="Calibri" w:hAnsi="Arial" w:cs="Arial"/>
          <w:color w:val="000000"/>
          <w:lang w:val="es-ES"/>
        </w:rPr>
      </w:pPr>
    </w:p>
    <w:p w14:paraId="1A0A5783" w14:textId="269EB542" w:rsidR="007A4176" w:rsidRPr="0074631F" w:rsidRDefault="007A4176" w:rsidP="007A4176">
      <w:pPr>
        <w:spacing w:after="0" w:line="276" w:lineRule="auto"/>
        <w:jc w:val="both"/>
        <w:rPr>
          <w:rFonts w:ascii="Arial" w:eastAsia="Calibri" w:hAnsi="Arial" w:cs="Arial"/>
          <w:b/>
          <w:bCs/>
          <w:color w:val="000000"/>
          <w:lang w:val="es-ES"/>
        </w:rPr>
      </w:pPr>
      <w:r w:rsidRPr="0074631F">
        <w:rPr>
          <w:rFonts w:ascii="Arial" w:eastAsia="Calibri" w:hAnsi="Arial" w:cs="Arial"/>
          <w:b/>
          <w:bCs/>
          <w:color w:val="000000"/>
          <w:lang w:val="es-ES"/>
        </w:rPr>
        <w:lastRenderedPageBreak/>
        <w:t>2.</w:t>
      </w:r>
      <w:r w:rsidR="004C22F4" w:rsidRPr="0074631F">
        <w:rPr>
          <w:rFonts w:ascii="Arial" w:eastAsia="Calibri" w:hAnsi="Arial" w:cs="Arial"/>
          <w:b/>
          <w:bCs/>
          <w:color w:val="000000"/>
          <w:lang w:val="es-ES"/>
        </w:rPr>
        <w:t>3</w:t>
      </w:r>
      <w:r w:rsidRPr="0074631F">
        <w:rPr>
          <w:rFonts w:ascii="Arial" w:eastAsia="Calibri" w:hAnsi="Arial" w:cs="Arial"/>
          <w:b/>
          <w:bCs/>
          <w:color w:val="000000"/>
          <w:lang w:val="es-ES"/>
        </w:rPr>
        <w:t xml:space="preserve">. </w:t>
      </w:r>
      <w:r w:rsidR="00060D46" w:rsidRPr="0074631F">
        <w:rPr>
          <w:rFonts w:ascii="Arial" w:eastAsia="Calibri" w:hAnsi="Arial" w:cs="Arial"/>
          <w:b/>
          <w:bCs/>
          <w:color w:val="000000"/>
          <w:lang w:val="es-ES_tradnl"/>
        </w:rPr>
        <w:t>Metodología para la suspensión de los contratos estatales</w:t>
      </w:r>
    </w:p>
    <w:p w14:paraId="19CBF623" w14:textId="77777777" w:rsidR="007A4176" w:rsidRPr="0074631F" w:rsidRDefault="007A4176" w:rsidP="007A4176">
      <w:pPr>
        <w:spacing w:after="0" w:line="276" w:lineRule="auto"/>
        <w:jc w:val="both"/>
        <w:rPr>
          <w:rFonts w:ascii="Arial" w:eastAsia="Calibri" w:hAnsi="Arial" w:cs="Arial"/>
          <w:color w:val="000000"/>
          <w:lang w:val="es-ES"/>
        </w:rPr>
      </w:pPr>
    </w:p>
    <w:p w14:paraId="24F93770" w14:textId="153E7CA1" w:rsidR="00387FBD" w:rsidRPr="0074631F" w:rsidRDefault="00387FBD" w:rsidP="006C0939">
      <w:pPr>
        <w:spacing w:after="0" w:line="276" w:lineRule="auto"/>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 xml:space="preserve">Con fundamento en las consideraciones efectuadas hasta este momento, debe precisarse qué sucede en cuanto al cumplimiento de las obligaciones y a las consecuencias que pueden generarse por su inobservancia, cuando el contrato se halla </w:t>
      </w:r>
      <w:r w:rsidRPr="0074631F">
        <w:rPr>
          <w:rFonts w:ascii="Arial" w:eastAsia="Times New Roman" w:hAnsi="Arial" w:cs="Arial"/>
          <w:i/>
          <w:iCs/>
          <w:color w:val="000000"/>
          <w:lang w:val="es-ES_tradnl" w:eastAsia="es-ES_tradnl"/>
        </w:rPr>
        <w:t>suspendido</w:t>
      </w:r>
      <w:r w:rsidRPr="0074631F">
        <w:rPr>
          <w:rFonts w:ascii="Arial" w:eastAsia="Times New Roman" w:hAnsi="Arial" w:cs="Arial"/>
          <w:color w:val="000000"/>
          <w:lang w:val="es-ES_tradnl" w:eastAsia="es-ES_tradnl"/>
        </w:rPr>
        <w:t xml:space="preserve">. Al respecto, debe indicarse que la </w:t>
      </w:r>
      <w:r w:rsidRPr="0074631F">
        <w:rPr>
          <w:rFonts w:ascii="Arial" w:eastAsia="Times New Roman" w:hAnsi="Arial" w:cs="Arial"/>
          <w:i/>
          <w:iCs/>
          <w:color w:val="000000"/>
          <w:lang w:val="es-ES_tradnl" w:eastAsia="es-ES_tradnl"/>
        </w:rPr>
        <w:t>suspensión</w:t>
      </w:r>
      <w:r w:rsidRPr="0074631F">
        <w:rPr>
          <w:rFonts w:ascii="Arial" w:eastAsia="Times New Roman" w:hAnsi="Arial" w:cs="Arial"/>
          <w:color w:val="000000"/>
          <w:lang w:val="es-ES_tradnl" w:eastAsia="es-ES_tradnl"/>
        </w:rPr>
        <w:t xml:space="preserve"> no termina el contrato, pues dicho evento no se encuentra consagrado en las causales previstas en el artículo 1.625 del Código Civil</w:t>
      </w:r>
      <w:r w:rsidR="00946AAC" w:rsidRPr="0074631F">
        <w:rPr>
          <w:rStyle w:val="Refdenotaalpie"/>
          <w:rFonts w:ascii="Arial" w:hAnsi="Arial" w:cs="Arial"/>
        </w:rPr>
        <w:footnoteReference w:id="16"/>
      </w:r>
      <w:r w:rsidRPr="0074631F">
        <w:rPr>
          <w:rFonts w:ascii="Arial" w:eastAsia="Times New Roman" w:hAnsi="Arial" w:cs="Arial"/>
          <w:color w:val="000000"/>
          <w:lang w:val="es-ES_tradnl" w:eastAsia="es-ES_tradnl"/>
        </w:rPr>
        <w:t>.</w:t>
      </w:r>
    </w:p>
    <w:p w14:paraId="07D08015" w14:textId="77777777" w:rsidR="00387FBD" w:rsidRPr="0074631F" w:rsidRDefault="00387FBD" w:rsidP="006C0939">
      <w:pPr>
        <w:spacing w:before="120" w:after="120" w:line="276" w:lineRule="auto"/>
        <w:ind w:firstLine="709"/>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 xml:space="preserve">La </w:t>
      </w:r>
      <w:r w:rsidRPr="0074631F">
        <w:rPr>
          <w:rFonts w:ascii="Arial" w:eastAsia="Times New Roman" w:hAnsi="Arial" w:cs="Arial"/>
          <w:i/>
          <w:iCs/>
          <w:color w:val="000000"/>
          <w:lang w:val="es-ES_tradnl" w:eastAsia="es-ES_tradnl"/>
        </w:rPr>
        <w:t>suspensión</w:t>
      </w:r>
      <w:r w:rsidRPr="0074631F">
        <w:rPr>
          <w:rFonts w:ascii="Arial" w:eastAsia="Times New Roman" w:hAnsi="Arial" w:cs="Arial"/>
          <w:color w:val="000000"/>
          <w:lang w:val="es-ES_tradnl" w:eastAsia="es-ES_tradnl"/>
        </w:rPr>
        <w:t xml:space="preserve"> es la medida por la cual se acuerda el cese provisional de la ejecución del contrato, por la ocurrencia de circunstancias que lo impiden o lo dificultan</w:t>
      </w:r>
      <w:r w:rsidRPr="0074631F">
        <w:rPr>
          <w:rStyle w:val="Refdenotaalpie"/>
          <w:rFonts w:ascii="Arial" w:hAnsi="Arial" w:cs="Arial"/>
        </w:rPr>
        <w:footnoteReference w:id="17"/>
      </w:r>
      <w:r w:rsidRPr="0074631F">
        <w:rPr>
          <w:rFonts w:ascii="Arial" w:eastAsia="Times New Roman" w:hAnsi="Arial" w:cs="Arial"/>
          <w:color w:val="000000"/>
          <w:lang w:val="es-ES_tradnl" w:eastAsia="es-ES_tradnl"/>
        </w:rPr>
        <w:t xml:space="preserve">.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74631F">
        <w:rPr>
          <w:rFonts w:ascii="Arial" w:eastAsia="Times New Roman" w:hAnsi="Arial" w:cs="Arial"/>
          <w:i/>
          <w:iCs/>
          <w:color w:val="000000"/>
          <w:lang w:val="es-ES_tradnl" w:eastAsia="es-ES_tradnl"/>
        </w:rPr>
        <w:t>de facto</w:t>
      </w:r>
      <w:r w:rsidRPr="0074631F">
        <w:rPr>
          <w:rFonts w:ascii="Arial" w:eastAsia="Times New Roman" w:hAnsi="Arial" w:cs="Arial"/>
          <w:color w:val="000000"/>
          <w:lang w:val="es-ES_tradnl" w:eastAsia="es-ES_tradnl"/>
        </w:rPr>
        <w:t xml:space="preserve">,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w:t>
      </w:r>
      <w:r w:rsidRPr="0074631F">
        <w:rPr>
          <w:rFonts w:ascii="Arial" w:eastAsia="Times New Roman" w:hAnsi="Arial" w:cs="Arial"/>
          <w:color w:val="000000"/>
          <w:lang w:val="es-ES_tradnl" w:eastAsia="es-ES_tradnl"/>
        </w:rPr>
        <w:lastRenderedPageBreak/>
        <w:t>durante un tiempo</w:t>
      </w:r>
      <w:r w:rsidRPr="0074631F">
        <w:rPr>
          <w:rStyle w:val="Refdenotaalpie"/>
          <w:rFonts w:ascii="Arial" w:hAnsi="Arial" w:cs="Arial"/>
        </w:rPr>
        <w:footnoteReference w:id="18"/>
      </w:r>
      <w:r w:rsidRPr="0074631F">
        <w:rPr>
          <w:rFonts w:ascii="Arial" w:eastAsia="Times New Roman" w:hAnsi="Arial" w:cs="Arial"/>
          <w:color w:val="000000"/>
          <w:lang w:val="es-ES_tradnl" w:eastAsia="es-ES_tradnl"/>
        </w:rPr>
        <w:t>; es decir, por factores que constituyan razones de fuerza mayor o caso fortuito</w:t>
      </w:r>
      <w:r w:rsidRPr="0074631F">
        <w:rPr>
          <w:rStyle w:val="Refdenotaalpie"/>
          <w:rFonts w:ascii="Arial" w:hAnsi="Arial" w:cs="Arial"/>
        </w:rPr>
        <w:footnoteReference w:id="19"/>
      </w:r>
      <w:r w:rsidRPr="0074631F">
        <w:rPr>
          <w:rFonts w:ascii="Arial" w:eastAsia="Times New Roman" w:hAnsi="Arial" w:cs="Arial"/>
          <w:color w:val="000000"/>
          <w:lang w:val="es-ES_tradnl" w:eastAsia="es-ES_tradnl"/>
        </w:rPr>
        <w:t>.</w:t>
      </w:r>
    </w:p>
    <w:p w14:paraId="64CE688A" w14:textId="1F64CD70" w:rsidR="00387FBD" w:rsidRPr="0074631F" w:rsidRDefault="00387FBD" w:rsidP="006C0939">
      <w:pPr>
        <w:spacing w:before="120" w:after="120" w:line="276" w:lineRule="auto"/>
        <w:ind w:firstLine="709"/>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Por lo tanto, aun cuando un contrato se suspenda, conserva vigencia, pues su plazo no ha vencido</w:t>
      </w:r>
      <w:r w:rsidR="003B7975">
        <w:rPr>
          <w:rFonts w:ascii="Arial" w:eastAsia="Times New Roman" w:hAnsi="Arial" w:cs="Arial"/>
          <w:color w:val="000000"/>
          <w:lang w:val="es-ES_tradnl" w:eastAsia="es-ES_tradnl"/>
        </w:rPr>
        <w:t xml:space="preserve">, </w:t>
      </w:r>
      <w:r w:rsidRPr="0074631F">
        <w:rPr>
          <w:rFonts w:ascii="Arial" w:eastAsia="Times New Roman" w:hAnsi="Arial" w:cs="Arial"/>
          <w:color w:val="000000"/>
          <w:lang w:val="es-ES_tradnl" w:eastAsia="es-ES_tradnl"/>
        </w:rPr>
        <w:t>precisamente uno de los efectos de la suspensión es que se detiene provisionalmente el cómputo del plaz</w:t>
      </w:r>
      <w:r w:rsidR="003B7975">
        <w:rPr>
          <w:rFonts w:ascii="Arial" w:eastAsia="Times New Roman" w:hAnsi="Arial" w:cs="Arial"/>
          <w:color w:val="000000"/>
          <w:lang w:val="es-ES_tradnl" w:eastAsia="es-ES_tradnl"/>
        </w:rPr>
        <w:t>o</w:t>
      </w:r>
      <w:r w:rsidRPr="0074631F">
        <w:rPr>
          <w:rFonts w:ascii="Arial" w:eastAsia="Times New Roman" w:hAnsi="Arial" w:cs="Arial"/>
          <w:color w:val="000000"/>
          <w:lang w:val="es-ES_tradnl" w:eastAsia="es-ES_tradnl"/>
        </w:rPr>
        <w:t xml:space="preserve"> y</w:t>
      </w:r>
      <w:r w:rsidR="003B7975">
        <w:rPr>
          <w:rFonts w:ascii="Arial" w:eastAsia="Times New Roman" w:hAnsi="Arial" w:cs="Arial"/>
          <w:color w:val="000000"/>
          <w:lang w:val="es-ES_tradnl" w:eastAsia="es-ES_tradnl"/>
        </w:rPr>
        <w:t>,</w:t>
      </w:r>
      <w:r w:rsidRPr="0074631F">
        <w:rPr>
          <w:rFonts w:ascii="Arial" w:eastAsia="Times New Roman" w:hAnsi="Arial" w:cs="Arial"/>
          <w:color w:val="000000"/>
          <w:lang w:val="es-ES_tradnl" w:eastAsia="es-ES_tradnl"/>
        </w:rPr>
        <w:t xml:space="preserve">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74631F">
        <w:rPr>
          <w:rStyle w:val="Refdenotaalpie"/>
          <w:rFonts w:ascii="Arial" w:hAnsi="Arial" w:cs="Arial"/>
        </w:rPr>
        <w:footnoteReference w:id="20"/>
      </w:r>
      <w:r w:rsidRPr="0074631F">
        <w:rPr>
          <w:rFonts w:ascii="Arial" w:eastAsia="Times New Roman" w:hAnsi="Arial" w:cs="Arial"/>
          <w:color w:val="000000"/>
          <w:lang w:val="es-ES_tradnl" w:eastAsia="es-ES_tradnl"/>
        </w:rPr>
        <w:t>. 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suspensión sea permanente y que la entidad estatal se vea en la obligación de terminar el contrato para no afectar la prestación del servicio a su cargo, ni, en consecuencia, los fines del Estado</w:t>
      </w:r>
      <w:r w:rsidRPr="0074631F">
        <w:rPr>
          <w:rStyle w:val="Refdenotaalpie"/>
          <w:rFonts w:ascii="Arial" w:hAnsi="Arial" w:cs="Arial"/>
        </w:rPr>
        <w:footnoteReference w:id="21"/>
      </w:r>
      <w:r w:rsidRPr="0074631F">
        <w:rPr>
          <w:rFonts w:ascii="Arial" w:eastAsia="Times New Roman" w:hAnsi="Arial" w:cs="Arial"/>
          <w:color w:val="000000"/>
          <w:lang w:val="es-ES_tradnl" w:eastAsia="es-ES_tradnl"/>
        </w:rPr>
        <w:t>.</w:t>
      </w:r>
    </w:p>
    <w:p w14:paraId="18820162" w14:textId="412D29EE" w:rsidR="00342BF3" w:rsidRPr="0074631F" w:rsidRDefault="00405039" w:rsidP="006C0939">
      <w:pPr>
        <w:spacing w:before="120" w:after="0" w:line="276" w:lineRule="auto"/>
        <w:ind w:firstLine="709"/>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Ahora bien, cuando se suscribe un acta de suspensión se puede establecer, en ejercicio de la autonomía de la voluntad</w:t>
      </w:r>
      <w:r w:rsidR="00821F60" w:rsidRPr="0074631F">
        <w:rPr>
          <w:rFonts w:ascii="Arial" w:eastAsia="Times New Roman" w:hAnsi="Arial" w:cs="Arial"/>
          <w:color w:val="000000"/>
          <w:lang w:val="es-ES_tradnl" w:eastAsia="es-ES_tradnl"/>
        </w:rPr>
        <w:t xml:space="preserve">, que el plazo del contrato se reactivará una vez se firme el acta de reinicio correspondiente. En tal caso, como se explicó, si la entidad estatal debe gestionar su actividad contractual en el SECOP II, tanto el acta de suspensión, como la de reinicio, deben gestionarse </w:t>
      </w:r>
      <w:r w:rsidR="00821F60" w:rsidRPr="0074631F">
        <w:rPr>
          <w:rFonts w:ascii="Arial" w:eastAsia="Times New Roman" w:hAnsi="Arial" w:cs="Arial"/>
          <w:i/>
          <w:iCs/>
          <w:color w:val="000000"/>
          <w:lang w:val="es-ES_tradnl" w:eastAsia="es-ES_tradnl"/>
        </w:rPr>
        <w:t>transaccionalmente</w:t>
      </w:r>
      <w:r w:rsidR="00821F60" w:rsidRPr="0074631F">
        <w:rPr>
          <w:rFonts w:ascii="Arial" w:eastAsia="Times New Roman" w:hAnsi="Arial" w:cs="Arial"/>
          <w:color w:val="000000"/>
          <w:lang w:val="es-ES_tradnl" w:eastAsia="es-ES_tradnl"/>
        </w:rPr>
        <w:t xml:space="preserve"> en el SECOP II, precisamente porque en esta plataforma la contratación debe tramitarse en línea y en tiempo real.</w:t>
      </w:r>
      <w:r w:rsidR="00413333" w:rsidRPr="0074631F">
        <w:rPr>
          <w:rFonts w:ascii="Arial" w:eastAsia="Times New Roman" w:hAnsi="Arial" w:cs="Arial"/>
          <w:color w:val="000000"/>
          <w:lang w:val="es-ES_tradnl" w:eastAsia="es-ES_tradnl"/>
        </w:rPr>
        <w:t xml:space="preserve"> Sin embargo, en ejercicio de la misma </w:t>
      </w:r>
      <w:r w:rsidR="00413333" w:rsidRPr="0074631F">
        <w:rPr>
          <w:rFonts w:ascii="Arial" w:eastAsia="Times New Roman" w:hAnsi="Arial" w:cs="Arial"/>
          <w:color w:val="000000"/>
          <w:lang w:val="es-ES_tradnl" w:eastAsia="es-ES_tradnl"/>
        </w:rPr>
        <w:lastRenderedPageBreak/>
        <w:t>autonomía de la voluntad y en consideración a las razones que han motivado el cese provisional de la ejecución del contrato, otra metodología que pueden emplear las partes</w:t>
      </w:r>
      <w:r w:rsidR="00C441F3" w:rsidRPr="0074631F">
        <w:rPr>
          <w:rFonts w:ascii="Arial" w:eastAsia="Times New Roman" w:hAnsi="Arial" w:cs="Arial"/>
          <w:color w:val="000000"/>
          <w:lang w:val="es-ES_tradnl" w:eastAsia="es-ES_tradnl"/>
        </w:rPr>
        <w:t xml:space="preserve"> para elaborar el acta de suspensión es indicar en ella que la ejecución se reactivará cuando se cumpla un determinado plazo o condición</w:t>
      </w:r>
      <w:r w:rsidR="00637E71" w:rsidRPr="0074631F">
        <w:rPr>
          <w:rFonts w:ascii="Arial" w:eastAsia="Times New Roman" w:hAnsi="Arial" w:cs="Arial"/>
          <w:color w:val="000000"/>
          <w:lang w:val="es-ES_tradnl" w:eastAsia="es-ES_tradnl"/>
        </w:rPr>
        <w:t xml:space="preserve">, de manera automática, sin necesidad de suscribir un acta de reinicio. Esto es posible, porque </w:t>
      </w:r>
      <w:r w:rsidR="00342BF3" w:rsidRPr="0074631F">
        <w:rPr>
          <w:rFonts w:ascii="Arial" w:eastAsia="Times New Roman" w:hAnsi="Arial" w:cs="Arial"/>
          <w:color w:val="000000"/>
          <w:lang w:val="es-ES_tradnl" w:eastAsia="es-ES_tradnl"/>
        </w:rPr>
        <w:t xml:space="preserve">el segundo y tercer inciso del artículo 40 de la Ley 80 de 1993 establecen: </w:t>
      </w:r>
    </w:p>
    <w:p w14:paraId="647E7F9D" w14:textId="77777777" w:rsidR="00342BF3" w:rsidRPr="0074631F" w:rsidRDefault="00342BF3" w:rsidP="00342BF3">
      <w:pPr>
        <w:spacing w:after="0" w:line="240" w:lineRule="auto"/>
        <w:ind w:left="709" w:right="709"/>
        <w:jc w:val="both"/>
        <w:rPr>
          <w:rFonts w:ascii="Arial" w:eastAsia="Times New Roman" w:hAnsi="Arial" w:cs="Arial"/>
          <w:color w:val="000000"/>
          <w:sz w:val="21"/>
          <w:szCs w:val="21"/>
          <w:lang w:val="es-ES_tradnl" w:eastAsia="es-ES_tradnl"/>
        </w:rPr>
      </w:pPr>
    </w:p>
    <w:p w14:paraId="4561F1F5" w14:textId="5F6944BA" w:rsidR="00342BF3" w:rsidRPr="00F459EE" w:rsidRDefault="00342BF3" w:rsidP="00342BF3">
      <w:pPr>
        <w:spacing w:after="0" w:line="240" w:lineRule="auto"/>
        <w:ind w:left="709" w:right="709"/>
        <w:jc w:val="both"/>
        <w:rPr>
          <w:rFonts w:ascii="Arial" w:eastAsia="Times New Roman" w:hAnsi="Arial" w:cs="Arial"/>
          <w:color w:val="000000"/>
          <w:sz w:val="20"/>
          <w:szCs w:val="20"/>
          <w:lang w:val="es-ES_tradnl" w:eastAsia="es-ES_tradnl"/>
        </w:rPr>
      </w:pPr>
      <w:r w:rsidRPr="00F459EE">
        <w:rPr>
          <w:rFonts w:ascii="Arial" w:eastAsia="Times New Roman" w:hAnsi="Arial" w:cs="Arial"/>
          <w:color w:val="000000"/>
          <w:sz w:val="20"/>
          <w:szCs w:val="20"/>
          <w:lang w:val="es-ES_tradnl" w:eastAsia="es-ES_tradnl"/>
        </w:rPr>
        <w:t>Las entidades podrán celebrar los contratos y acuerdos que permitan la autonomía de la voluntad y requieran el cumplimiento de los fines estatales.</w:t>
      </w:r>
    </w:p>
    <w:p w14:paraId="598C2C87" w14:textId="77777777" w:rsidR="00342BF3" w:rsidRPr="00F459EE" w:rsidRDefault="00342BF3" w:rsidP="00342BF3">
      <w:pPr>
        <w:spacing w:after="0" w:line="240" w:lineRule="auto"/>
        <w:ind w:left="709" w:right="709"/>
        <w:jc w:val="both"/>
        <w:rPr>
          <w:rFonts w:ascii="Arial" w:eastAsia="Times New Roman" w:hAnsi="Arial" w:cs="Arial"/>
          <w:color w:val="000000"/>
          <w:sz w:val="20"/>
          <w:szCs w:val="20"/>
          <w:lang w:val="es-ES_tradnl" w:eastAsia="es-ES_tradnl"/>
        </w:rPr>
      </w:pPr>
    </w:p>
    <w:p w14:paraId="6F28F5D7" w14:textId="30DA9568" w:rsidR="007A4176" w:rsidRPr="00F459EE" w:rsidRDefault="00342BF3" w:rsidP="00342BF3">
      <w:pPr>
        <w:spacing w:after="0" w:line="240" w:lineRule="auto"/>
        <w:ind w:left="709" w:right="709"/>
        <w:jc w:val="both"/>
        <w:rPr>
          <w:rFonts w:ascii="Arial" w:eastAsia="Times New Roman" w:hAnsi="Arial" w:cs="Arial"/>
          <w:color w:val="000000"/>
          <w:sz w:val="20"/>
          <w:szCs w:val="20"/>
          <w:lang w:val="es-ES_tradnl" w:eastAsia="es-ES_tradnl"/>
        </w:rPr>
      </w:pPr>
      <w:r w:rsidRPr="00F459EE">
        <w:rPr>
          <w:rFonts w:ascii="Arial" w:eastAsia="Times New Roman" w:hAnsi="Arial" w:cs="Arial"/>
          <w:i/>
          <w:iCs/>
          <w:color w:val="000000"/>
          <w:sz w:val="20"/>
          <w:szCs w:val="20"/>
          <w:lang w:val="es-ES_tradnl" w:eastAsia="es-ES_tradnl"/>
        </w:rPr>
        <w:t>En los contratos que celebren las entidades estatales podrán incluirse las</w:t>
      </w:r>
      <w:r w:rsidRPr="00F459EE">
        <w:rPr>
          <w:rFonts w:ascii="Arial" w:eastAsia="Times New Roman" w:hAnsi="Arial" w:cs="Arial"/>
          <w:color w:val="000000"/>
          <w:sz w:val="20"/>
          <w:szCs w:val="20"/>
          <w:lang w:val="es-ES_tradnl" w:eastAsia="es-ES_tradnl"/>
        </w:rPr>
        <w:t xml:space="preserve"> modalidades, </w:t>
      </w:r>
      <w:r w:rsidRPr="00F459EE">
        <w:rPr>
          <w:rFonts w:ascii="Arial" w:eastAsia="Times New Roman" w:hAnsi="Arial" w:cs="Arial"/>
          <w:i/>
          <w:iCs/>
          <w:color w:val="000000"/>
          <w:sz w:val="20"/>
          <w:szCs w:val="20"/>
          <w:lang w:val="es-ES_tradnl" w:eastAsia="es-ES_tradnl"/>
        </w:rPr>
        <w:t>condiciones</w:t>
      </w:r>
      <w:r w:rsidRPr="00F459EE">
        <w:rPr>
          <w:rFonts w:ascii="Arial" w:eastAsia="Times New Roman" w:hAnsi="Arial" w:cs="Arial"/>
          <w:color w:val="000000"/>
          <w:sz w:val="20"/>
          <w:szCs w:val="20"/>
          <w:lang w:val="es-ES_tradnl" w:eastAsia="es-ES_tradnl"/>
        </w:rPr>
        <w:t xml:space="preserve"> y, en general, las </w:t>
      </w:r>
      <w:r w:rsidRPr="00F459EE">
        <w:rPr>
          <w:rFonts w:ascii="Arial" w:eastAsia="Times New Roman" w:hAnsi="Arial" w:cs="Arial"/>
          <w:i/>
          <w:iCs/>
          <w:color w:val="000000"/>
          <w:sz w:val="20"/>
          <w:szCs w:val="20"/>
          <w:lang w:val="es-ES_tradnl" w:eastAsia="es-ES_tradnl"/>
        </w:rPr>
        <w:t>cláusulas o estipulaciones</w:t>
      </w:r>
      <w:r w:rsidRPr="00F459EE">
        <w:rPr>
          <w:rFonts w:ascii="Arial" w:eastAsia="Times New Roman" w:hAnsi="Arial" w:cs="Arial"/>
          <w:color w:val="000000"/>
          <w:sz w:val="20"/>
          <w:szCs w:val="20"/>
          <w:lang w:val="es-ES_tradnl" w:eastAsia="es-ES_tradnl"/>
        </w:rPr>
        <w:t xml:space="preserve"> que las partes consideren necesarias y convenientes, siempre que no sean contrarias a la Constitución, la ley, el orden público y a los principios y finalidades de esta ley y a los de la buena administración [énfasis fuera de texto].</w:t>
      </w:r>
    </w:p>
    <w:p w14:paraId="62BFF7AB" w14:textId="77777777" w:rsidR="00342BF3" w:rsidRPr="0074631F" w:rsidRDefault="00342BF3" w:rsidP="00342BF3">
      <w:pPr>
        <w:spacing w:after="0" w:line="276" w:lineRule="auto"/>
        <w:ind w:firstLine="709"/>
        <w:jc w:val="both"/>
        <w:rPr>
          <w:rFonts w:ascii="Arial" w:eastAsia="Times New Roman" w:hAnsi="Arial" w:cs="Arial"/>
          <w:color w:val="000000"/>
          <w:lang w:val="es-ES_tradnl" w:eastAsia="es-ES_tradnl"/>
        </w:rPr>
      </w:pPr>
    </w:p>
    <w:p w14:paraId="77507552" w14:textId="00B1C59D" w:rsidR="006C0939" w:rsidRPr="0074631F" w:rsidRDefault="00342BF3" w:rsidP="00F459EE">
      <w:pPr>
        <w:spacing w:after="0" w:line="276" w:lineRule="auto"/>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Como se observa, en los negocios jurídicos –y el acta de suspensión lo es, porque se trata de un acuerdo de voluntades para crear</w:t>
      </w:r>
      <w:r w:rsidR="00B97B2E" w:rsidRPr="0074631F">
        <w:rPr>
          <w:rFonts w:ascii="Arial" w:eastAsia="Times New Roman" w:hAnsi="Arial" w:cs="Arial"/>
          <w:color w:val="000000"/>
          <w:lang w:val="es-ES_tradnl" w:eastAsia="es-ES_tradnl"/>
        </w:rPr>
        <w:t xml:space="preserve"> obligaciones– las entidades pueden incorporar las </w:t>
      </w:r>
      <w:r w:rsidR="00B97B2E" w:rsidRPr="0074631F">
        <w:rPr>
          <w:rFonts w:ascii="Arial" w:eastAsia="Times New Roman" w:hAnsi="Arial" w:cs="Arial"/>
          <w:i/>
          <w:iCs/>
          <w:color w:val="000000"/>
          <w:lang w:val="es-ES_tradnl" w:eastAsia="es-ES_tradnl"/>
        </w:rPr>
        <w:t>condiciones</w:t>
      </w:r>
      <w:r w:rsidR="00B97B2E" w:rsidRPr="0074631F">
        <w:rPr>
          <w:rFonts w:ascii="Arial" w:eastAsia="Times New Roman" w:hAnsi="Arial" w:cs="Arial"/>
          <w:color w:val="000000"/>
          <w:lang w:val="es-ES_tradnl" w:eastAsia="es-ES_tradnl"/>
        </w:rPr>
        <w:t xml:space="preserve"> y </w:t>
      </w:r>
      <w:r w:rsidR="00B97B2E" w:rsidRPr="0074631F">
        <w:rPr>
          <w:rFonts w:ascii="Arial" w:eastAsia="Times New Roman" w:hAnsi="Arial" w:cs="Arial"/>
          <w:i/>
          <w:iCs/>
          <w:color w:val="000000"/>
          <w:lang w:val="es-ES_tradnl" w:eastAsia="es-ES_tradnl"/>
        </w:rPr>
        <w:t xml:space="preserve">cláusulas </w:t>
      </w:r>
      <w:r w:rsidR="00B97B2E" w:rsidRPr="0074631F">
        <w:rPr>
          <w:rFonts w:ascii="Arial" w:eastAsia="Times New Roman" w:hAnsi="Arial" w:cs="Arial"/>
          <w:color w:val="000000"/>
          <w:lang w:val="es-ES_tradnl" w:eastAsia="es-ES_tradnl"/>
        </w:rPr>
        <w:t>que sean necesarias y convenientes. Pues bien,</w:t>
      </w:r>
      <w:r w:rsidR="004E2C8E" w:rsidRPr="0074631F">
        <w:rPr>
          <w:rFonts w:ascii="Arial" w:eastAsia="Times New Roman" w:hAnsi="Arial" w:cs="Arial"/>
          <w:color w:val="000000"/>
          <w:lang w:val="es-ES_tradnl" w:eastAsia="es-ES_tradnl"/>
        </w:rPr>
        <w:t xml:space="preserve"> </w:t>
      </w:r>
      <w:r w:rsidR="00F80752" w:rsidRPr="0074631F">
        <w:rPr>
          <w:rFonts w:ascii="Arial" w:eastAsia="Times New Roman" w:hAnsi="Arial" w:cs="Arial"/>
          <w:color w:val="000000"/>
          <w:lang w:val="es-ES_tradnl" w:eastAsia="es-ES_tradnl"/>
        </w:rPr>
        <w:t>de conformidad con los artículos 1530 y siguientes del Código Civil –que establecen las condiciones o términos a los que pueden sujetarse las obligaciones</w:t>
      </w:r>
      <w:r w:rsidR="00AB0A21" w:rsidRPr="0074631F">
        <w:rPr>
          <w:rFonts w:ascii="Arial" w:eastAsia="Times New Roman" w:hAnsi="Arial" w:cs="Arial"/>
          <w:color w:val="000000"/>
          <w:lang w:val="es-ES_tradnl" w:eastAsia="es-ES_tradnl"/>
        </w:rPr>
        <w:t>,</w:t>
      </w:r>
      <w:r w:rsidR="00F80752" w:rsidRPr="0074631F">
        <w:rPr>
          <w:rFonts w:ascii="Arial" w:eastAsia="Times New Roman" w:hAnsi="Arial" w:cs="Arial"/>
          <w:color w:val="000000"/>
          <w:lang w:val="es-ES_tradnl" w:eastAsia="es-ES_tradnl"/>
        </w:rPr>
        <w:t xml:space="preserve"> y que se aplican por la remisión que hacen los artículos 13, 32 y 40 de la Ley 80 de 1993 a las normas civiles y comerciales–</w:t>
      </w:r>
      <w:r w:rsidR="00CF68C9" w:rsidRPr="0074631F">
        <w:rPr>
          <w:rFonts w:ascii="Arial" w:eastAsia="Times New Roman" w:hAnsi="Arial" w:cs="Arial"/>
          <w:color w:val="000000"/>
          <w:lang w:val="es-ES_tradnl" w:eastAsia="es-ES_tradnl"/>
        </w:rPr>
        <w:t xml:space="preserve">, </w:t>
      </w:r>
      <w:r w:rsidR="00C72F2E" w:rsidRPr="0074631F">
        <w:rPr>
          <w:rFonts w:ascii="Arial" w:eastAsia="Times New Roman" w:hAnsi="Arial" w:cs="Arial"/>
          <w:color w:val="000000"/>
          <w:lang w:val="es-ES_tradnl" w:eastAsia="es-ES_tradnl"/>
        </w:rPr>
        <w:t>en el</w:t>
      </w:r>
      <w:r w:rsidR="00CF68C9" w:rsidRPr="0074631F">
        <w:rPr>
          <w:rFonts w:ascii="Arial" w:eastAsia="Times New Roman" w:hAnsi="Arial" w:cs="Arial"/>
          <w:color w:val="000000"/>
          <w:lang w:val="es-ES_tradnl" w:eastAsia="es-ES_tradnl"/>
        </w:rPr>
        <w:t xml:space="preserve"> acta de suspensión puede</w:t>
      </w:r>
      <w:r w:rsidR="00C72F2E" w:rsidRPr="0074631F">
        <w:rPr>
          <w:rFonts w:ascii="Arial" w:eastAsia="Times New Roman" w:hAnsi="Arial" w:cs="Arial"/>
          <w:color w:val="000000"/>
          <w:lang w:val="es-ES_tradnl" w:eastAsia="es-ES_tradnl"/>
        </w:rPr>
        <w:t xml:space="preserve"> estipularse que el plazo de ejecución del contrato se reactivará cuando se cumpla una condición o </w:t>
      </w:r>
      <w:r w:rsidR="00431F79" w:rsidRPr="0074631F">
        <w:rPr>
          <w:rFonts w:ascii="Arial" w:eastAsia="Times New Roman" w:hAnsi="Arial" w:cs="Arial"/>
          <w:color w:val="000000"/>
          <w:lang w:val="es-ES_tradnl" w:eastAsia="es-ES_tradnl"/>
        </w:rPr>
        <w:t>sobrevenga</w:t>
      </w:r>
      <w:r w:rsidR="00C72F2E" w:rsidRPr="0074631F">
        <w:rPr>
          <w:rFonts w:ascii="Arial" w:eastAsia="Times New Roman" w:hAnsi="Arial" w:cs="Arial"/>
          <w:color w:val="000000"/>
          <w:lang w:val="es-ES_tradnl" w:eastAsia="es-ES_tradnl"/>
        </w:rPr>
        <w:t xml:space="preserve"> una fecha específica.</w:t>
      </w:r>
      <w:r w:rsidR="00823822" w:rsidRPr="0074631F">
        <w:rPr>
          <w:rFonts w:ascii="Arial" w:eastAsia="Times New Roman" w:hAnsi="Arial" w:cs="Arial"/>
          <w:color w:val="000000"/>
          <w:lang w:val="es-ES_tradnl" w:eastAsia="es-ES_tradnl"/>
        </w:rPr>
        <w:t xml:space="preserve"> </w:t>
      </w:r>
      <w:r w:rsidR="00B403DF" w:rsidRPr="0074631F">
        <w:rPr>
          <w:rFonts w:ascii="Arial" w:eastAsia="Times New Roman" w:hAnsi="Arial" w:cs="Arial"/>
          <w:color w:val="000000"/>
          <w:lang w:val="es-ES_tradnl" w:eastAsia="es-ES_tradnl"/>
        </w:rPr>
        <w:t>Así lo ha reconocido el Consejo de Estado</w:t>
      </w:r>
      <w:r w:rsidR="00B403DF" w:rsidRPr="0074631F">
        <w:rPr>
          <w:rStyle w:val="Refdenotaalpie"/>
          <w:rFonts w:ascii="Arial" w:hAnsi="Arial" w:cs="Arial"/>
        </w:rPr>
        <w:footnoteReference w:id="22"/>
      </w:r>
      <w:r w:rsidR="00B403DF" w:rsidRPr="0074631F">
        <w:rPr>
          <w:rFonts w:ascii="Arial" w:eastAsia="Times New Roman" w:hAnsi="Arial" w:cs="Arial"/>
          <w:color w:val="000000"/>
          <w:lang w:val="es-ES_tradnl" w:eastAsia="es-ES_tradnl"/>
        </w:rPr>
        <w:t xml:space="preserve">. </w:t>
      </w:r>
      <w:r w:rsidR="00823822" w:rsidRPr="0074631F">
        <w:rPr>
          <w:rFonts w:ascii="Arial" w:eastAsia="Times New Roman" w:hAnsi="Arial" w:cs="Arial"/>
          <w:color w:val="000000"/>
          <w:lang w:val="es-ES_tradnl" w:eastAsia="es-ES_tradnl"/>
        </w:rPr>
        <w:t>De este modo, atendiendo a los términos en los que se haya pactado la suspensión es posible que no sea necesario suscribir luego un acta de reinicio para que se reactive la ejecución del contrato, sino que</w:t>
      </w:r>
      <w:r w:rsidR="00472E03" w:rsidRPr="0074631F">
        <w:rPr>
          <w:rFonts w:ascii="Arial" w:eastAsia="Times New Roman" w:hAnsi="Arial" w:cs="Arial"/>
          <w:color w:val="000000"/>
          <w:lang w:val="es-ES_tradnl" w:eastAsia="es-ES_tradnl"/>
        </w:rPr>
        <w:t xml:space="preserve"> tal reactivación opere </w:t>
      </w:r>
      <w:r w:rsidR="00472E03" w:rsidRPr="0074631F">
        <w:rPr>
          <w:rFonts w:ascii="Arial" w:eastAsia="Times New Roman" w:hAnsi="Arial" w:cs="Arial"/>
          <w:i/>
          <w:iCs/>
          <w:color w:val="000000"/>
          <w:lang w:val="es-ES_tradnl" w:eastAsia="es-ES_tradnl"/>
        </w:rPr>
        <w:t>automáticamente</w:t>
      </w:r>
      <w:r w:rsidR="00472E03" w:rsidRPr="0074631F">
        <w:rPr>
          <w:rFonts w:ascii="Arial" w:eastAsia="Times New Roman" w:hAnsi="Arial" w:cs="Arial"/>
          <w:color w:val="000000"/>
          <w:lang w:val="es-ES_tradnl" w:eastAsia="es-ES_tradnl"/>
        </w:rPr>
        <w:t>, cuando se cumpla la condición o fecha cierta.</w:t>
      </w:r>
      <w:r w:rsidR="000D6B52" w:rsidRPr="0074631F">
        <w:rPr>
          <w:rFonts w:ascii="Arial" w:eastAsia="Times New Roman" w:hAnsi="Arial" w:cs="Arial"/>
          <w:color w:val="000000"/>
          <w:lang w:val="es-ES_tradnl" w:eastAsia="es-ES_tradnl"/>
        </w:rPr>
        <w:t xml:space="preserve"> </w:t>
      </w:r>
    </w:p>
    <w:p w14:paraId="57CEAC2E" w14:textId="7D81CADD" w:rsidR="00342BF3" w:rsidRPr="0074631F" w:rsidRDefault="00B97B2E" w:rsidP="004B3275">
      <w:pPr>
        <w:spacing w:after="0" w:line="276" w:lineRule="auto"/>
        <w:ind w:firstLine="709"/>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 xml:space="preserve">  </w:t>
      </w:r>
    </w:p>
    <w:p w14:paraId="116C1DE3" w14:textId="77777777" w:rsidR="007A4176" w:rsidRPr="0074631F" w:rsidRDefault="007A4176" w:rsidP="007A4176">
      <w:pPr>
        <w:tabs>
          <w:tab w:val="left" w:pos="284"/>
        </w:tabs>
        <w:spacing w:after="0" w:line="276" w:lineRule="auto"/>
        <w:contextualSpacing/>
        <w:jc w:val="both"/>
        <w:rPr>
          <w:rFonts w:ascii="Arial" w:eastAsia="Calibri" w:hAnsi="Arial" w:cs="Arial"/>
          <w:color w:val="000000"/>
          <w:lang w:val="es-ES_tradnl"/>
        </w:rPr>
      </w:pPr>
      <w:r w:rsidRPr="0074631F">
        <w:rPr>
          <w:rFonts w:ascii="Arial" w:eastAsia="Calibri" w:hAnsi="Arial" w:cs="Arial"/>
          <w:b/>
          <w:color w:val="000000"/>
          <w:lang w:val="es-ES_tradnl"/>
        </w:rPr>
        <w:t>3. Respuesta</w:t>
      </w:r>
    </w:p>
    <w:p w14:paraId="7BC34CC7" w14:textId="77777777" w:rsidR="007A4176" w:rsidRPr="0074631F" w:rsidRDefault="007A4176" w:rsidP="007A4176">
      <w:pPr>
        <w:spacing w:after="0" w:line="276" w:lineRule="auto"/>
        <w:ind w:left="709" w:right="709"/>
        <w:jc w:val="both"/>
        <w:rPr>
          <w:rFonts w:ascii="Arial" w:eastAsia="Calibri" w:hAnsi="Arial" w:cs="Arial"/>
          <w:i/>
          <w:color w:val="000000"/>
          <w:lang w:val="es-ES_tradnl"/>
        </w:rPr>
      </w:pPr>
    </w:p>
    <w:p w14:paraId="36493066" w14:textId="77777777" w:rsidR="00060D46" w:rsidRPr="0074631F" w:rsidRDefault="00060D46" w:rsidP="00060D46">
      <w:pPr>
        <w:tabs>
          <w:tab w:val="left" w:pos="426"/>
        </w:tabs>
        <w:spacing w:after="0" w:line="240" w:lineRule="auto"/>
        <w:ind w:left="709" w:right="709"/>
        <w:jc w:val="both"/>
        <w:rPr>
          <w:rFonts w:ascii="Arial" w:eastAsia="Calibri" w:hAnsi="Arial" w:cs="Arial"/>
          <w:color w:val="000000"/>
          <w:sz w:val="21"/>
          <w:szCs w:val="21"/>
          <w:lang w:val="es-ES_tradnl"/>
        </w:rPr>
      </w:pPr>
      <w:r w:rsidRPr="0074631F">
        <w:rPr>
          <w:rFonts w:ascii="Arial" w:eastAsia="Calibri" w:hAnsi="Arial" w:cs="Arial"/>
          <w:color w:val="000000"/>
          <w:sz w:val="21"/>
          <w:szCs w:val="21"/>
          <w:lang w:val="es-ES_tradnl"/>
        </w:rPr>
        <w:t>«1. Cuando se haya condicionado la reanudación de un contrato suspendido a la ocurrencia de una fecha determinada en el acta de suspensión, una vez llegada la fecha señalada ¿que debe prevalecer? ¿la reanudación en SECOP II o la fecha consagrada en el documento cargado de Acta de suspensión?</w:t>
      </w:r>
    </w:p>
    <w:p w14:paraId="30D27DC4" w14:textId="77777777" w:rsidR="00060D46" w:rsidRPr="0074631F" w:rsidRDefault="00060D46" w:rsidP="00060D46">
      <w:pPr>
        <w:tabs>
          <w:tab w:val="left" w:pos="426"/>
        </w:tabs>
        <w:spacing w:after="0" w:line="240" w:lineRule="auto"/>
        <w:ind w:left="709" w:right="709"/>
        <w:jc w:val="both"/>
        <w:rPr>
          <w:rFonts w:ascii="Arial" w:eastAsia="Calibri" w:hAnsi="Arial" w:cs="Arial"/>
          <w:color w:val="000000"/>
          <w:sz w:val="21"/>
          <w:szCs w:val="21"/>
          <w:lang w:val="es-ES_tradnl"/>
        </w:rPr>
      </w:pPr>
      <w:r w:rsidRPr="0074631F">
        <w:rPr>
          <w:rFonts w:ascii="Arial" w:eastAsia="Calibri" w:hAnsi="Arial" w:cs="Arial"/>
          <w:color w:val="000000"/>
          <w:sz w:val="21"/>
          <w:szCs w:val="21"/>
          <w:lang w:val="es-ES_tradnl"/>
        </w:rPr>
        <w:t>[…]» (sic).</w:t>
      </w:r>
    </w:p>
    <w:p w14:paraId="7FC236C0" w14:textId="77777777" w:rsidR="007A4176" w:rsidRPr="0074631F"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14A5157E" w14:textId="0AF523AD" w:rsidR="003342A8" w:rsidRPr="0074631F" w:rsidRDefault="003342A8" w:rsidP="003342A8">
      <w:pPr>
        <w:spacing w:before="120" w:after="0" w:line="276" w:lineRule="auto"/>
        <w:ind w:firstLine="709"/>
        <w:jc w:val="both"/>
        <w:rPr>
          <w:rFonts w:ascii="Arial" w:eastAsia="Calibri" w:hAnsi="Arial" w:cs="Arial"/>
          <w:szCs w:val="24"/>
          <w:lang w:val="es-ES" w:eastAsia="es-ES_tradnl"/>
        </w:rPr>
      </w:pPr>
      <w:r w:rsidRPr="0074631F">
        <w:rPr>
          <w:rFonts w:ascii="Arial" w:eastAsia="Calibri" w:hAnsi="Arial" w:cs="Arial"/>
          <w:szCs w:val="24"/>
          <w:lang w:val="es-ES" w:eastAsia="es-ES_tradnl"/>
        </w:rPr>
        <w:lastRenderedPageBreak/>
        <w:t xml:space="preserve">Si una entidad estatal se encuentra obligada a tramitar su contratación en el SECOP II, en principio, todos los </w:t>
      </w:r>
      <w:r w:rsidRPr="0074631F">
        <w:rPr>
          <w:rFonts w:ascii="Arial" w:eastAsia="Calibri" w:hAnsi="Arial" w:cs="Arial"/>
          <w:i/>
          <w:iCs/>
          <w:szCs w:val="24"/>
          <w:lang w:val="es-ES" w:eastAsia="es-ES_tradnl"/>
        </w:rPr>
        <w:t>Documentos del Proceso</w:t>
      </w:r>
      <w:r w:rsidRPr="0074631F">
        <w:rPr>
          <w:rFonts w:ascii="Arial" w:eastAsia="Calibri" w:hAnsi="Arial" w:cs="Arial"/>
          <w:szCs w:val="24"/>
          <w:lang w:val="es-ES" w:eastAsia="es-ES_tradnl"/>
        </w:rPr>
        <w:t xml:space="preserve"> deben gestionarse y crearse en esta plataforma. Esto con fundamento en lo explicado en el numeral 2.1 de este concepto; es decir, de conformidad con </w:t>
      </w:r>
      <w:r w:rsidRPr="0074631F">
        <w:rPr>
          <w:rFonts w:ascii="Arial" w:eastAsia="Calibri" w:hAnsi="Arial" w:cs="Arial"/>
          <w:lang w:val="es-ES"/>
        </w:rPr>
        <w:t xml:space="preserve">el artículo 3 de la Ley 1150 de 2007, el </w:t>
      </w:r>
      <w:r w:rsidRPr="0074631F">
        <w:rPr>
          <w:rFonts w:ascii="Arial" w:eastAsia="Arial" w:hAnsi="Arial" w:cs="Arial"/>
          <w:lang w:val="es-ES"/>
        </w:rPr>
        <w:t>artículo 2.2.1.1.1.7.1. del Decreto 1082 de 2015, la Ley 1712 de 2014 y el Decreto 1081 de 2015. Estas normas no solo refuerzan y complementan al régimen de contratación estatal en cuanto a la publicidad, sino que lo amplía</w:t>
      </w:r>
      <w:r w:rsidR="003E46DF" w:rsidRPr="0074631F">
        <w:rPr>
          <w:rFonts w:ascii="Arial" w:eastAsia="Arial" w:hAnsi="Arial" w:cs="Arial"/>
          <w:lang w:val="es-ES"/>
        </w:rPr>
        <w:t>n</w:t>
      </w:r>
      <w:r w:rsidRPr="0074631F">
        <w:rPr>
          <w:rFonts w:ascii="Arial" w:eastAsia="Arial" w:hAnsi="Arial" w:cs="Arial"/>
          <w:lang w:val="es-ES"/>
        </w:rPr>
        <w:t xml:space="preserve">, para incluir la publicación de los «procedimientos» y la información relativa a la «gestión contractual», sin el condicionamiento de tratarse exclusivamente de los </w:t>
      </w:r>
      <w:r w:rsidRPr="0074631F">
        <w:rPr>
          <w:rFonts w:ascii="Arial" w:eastAsia="Arial" w:hAnsi="Arial" w:cs="Arial"/>
          <w:i/>
          <w:iCs/>
          <w:lang w:val="es-ES"/>
        </w:rPr>
        <w:t xml:space="preserve">Documentos del Proceso </w:t>
      </w:r>
      <w:r w:rsidRPr="0074631F">
        <w:rPr>
          <w:rFonts w:ascii="Arial" w:eastAsia="Arial" w:hAnsi="Arial" w:cs="Arial"/>
          <w:lang w:val="es-ES"/>
        </w:rPr>
        <w:t>expedidos por la «entidad estatal».</w:t>
      </w:r>
    </w:p>
    <w:p w14:paraId="2CBE058E" w14:textId="35F3BBC8" w:rsidR="003342A8" w:rsidRPr="0074631F" w:rsidRDefault="003342A8" w:rsidP="003342A8">
      <w:pPr>
        <w:spacing w:before="120" w:after="0" w:line="276" w:lineRule="auto"/>
        <w:ind w:firstLine="709"/>
        <w:jc w:val="both"/>
        <w:rPr>
          <w:rFonts w:ascii="Arial" w:eastAsia="Calibri" w:hAnsi="Arial" w:cs="Arial"/>
          <w:szCs w:val="24"/>
          <w:lang w:val="es-ES" w:eastAsia="es-ES_tradnl"/>
        </w:rPr>
      </w:pPr>
      <w:r w:rsidRPr="0074631F">
        <w:rPr>
          <w:rFonts w:ascii="Arial" w:eastAsia="Calibri" w:hAnsi="Arial" w:cs="Arial"/>
          <w:szCs w:val="24"/>
          <w:lang w:val="es-ES" w:eastAsia="es-ES_tradnl"/>
        </w:rPr>
        <w:t xml:space="preserve">Dentro de la expresión </w:t>
      </w:r>
      <w:r w:rsidRPr="0074631F">
        <w:rPr>
          <w:rFonts w:ascii="Arial" w:eastAsia="Calibri" w:hAnsi="Arial" w:cs="Arial"/>
          <w:i/>
          <w:iCs/>
          <w:szCs w:val="24"/>
          <w:lang w:val="es-ES" w:eastAsia="es-ES_tradnl"/>
        </w:rPr>
        <w:t xml:space="preserve">Documentos del Proceso </w:t>
      </w:r>
      <w:r w:rsidRPr="0074631F">
        <w:rPr>
          <w:rFonts w:ascii="Arial" w:eastAsia="Calibri" w:hAnsi="Arial" w:cs="Arial"/>
          <w:szCs w:val="24"/>
          <w:lang w:val="es-ES" w:eastAsia="es-ES_tradnl"/>
        </w:rPr>
        <w:t xml:space="preserve">se encuentra el </w:t>
      </w:r>
      <w:r w:rsidRPr="0074631F">
        <w:rPr>
          <w:rFonts w:ascii="Arial" w:eastAsia="Calibri" w:hAnsi="Arial" w:cs="Arial"/>
          <w:i/>
          <w:iCs/>
          <w:szCs w:val="24"/>
          <w:lang w:val="es-ES" w:eastAsia="es-ES_tradnl"/>
        </w:rPr>
        <w:t>acta de suspensión</w:t>
      </w:r>
      <w:r w:rsidRPr="0074631F">
        <w:rPr>
          <w:rFonts w:ascii="Arial" w:eastAsia="Calibri" w:hAnsi="Arial" w:cs="Arial"/>
          <w:szCs w:val="24"/>
          <w:lang w:val="es-ES" w:eastAsia="es-ES_tradnl"/>
        </w:rPr>
        <w:t xml:space="preserve"> que suscriban las partes, pues también se trata de un documento proferido en la etapa de ejecución del contrato estatal, es decir, con ocasión de este. De igual manera, el </w:t>
      </w:r>
      <w:r w:rsidRPr="0074631F">
        <w:rPr>
          <w:rFonts w:ascii="Arial" w:eastAsia="Calibri" w:hAnsi="Arial" w:cs="Arial"/>
          <w:i/>
          <w:iCs/>
          <w:szCs w:val="24"/>
          <w:lang w:val="es-ES" w:eastAsia="es-ES_tradnl"/>
        </w:rPr>
        <w:t>acta de reinicio</w:t>
      </w:r>
      <w:r w:rsidRPr="0074631F">
        <w:rPr>
          <w:rFonts w:ascii="Arial" w:eastAsia="Calibri" w:hAnsi="Arial" w:cs="Arial"/>
          <w:szCs w:val="24"/>
          <w:lang w:val="es-ES" w:eastAsia="es-ES_tradnl"/>
        </w:rPr>
        <w:t xml:space="preserve"> –o de finalización de la suspensión– es un </w:t>
      </w:r>
      <w:r w:rsidRPr="0074631F">
        <w:rPr>
          <w:rFonts w:ascii="Arial" w:eastAsia="Calibri" w:hAnsi="Arial" w:cs="Arial"/>
          <w:i/>
          <w:iCs/>
          <w:szCs w:val="24"/>
          <w:lang w:val="es-ES" w:eastAsia="es-ES_tradnl"/>
        </w:rPr>
        <w:t>Documento del Proceso</w:t>
      </w:r>
      <w:r w:rsidRPr="0074631F">
        <w:rPr>
          <w:rFonts w:ascii="Arial" w:eastAsia="Calibri" w:hAnsi="Arial" w:cs="Arial"/>
          <w:szCs w:val="24"/>
          <w:lang w:val="es-ES" w:eastAsia="es-ES_tradnl"/>
        </w:rPr>
        <w:t xml:space="preserve"> que debe gestionarse transaccionalmente en el SECOP II, cuando exista el deber de emplear esta plataforma.</w:t>
      </w:r>
    </w:p>
    <w:p w14:paraId="27C05FBB" w14:textId="60739BD5" w:rsidR="006D7190" w:rsidRPr="0074631F" w:rsidRDefault="00CC37E5" w:rsidP="003342A8">
      <w:pPr>
        <w:spacing w:before="120" w:after="0" w:line="276" w:lineRule="auto"/>
        <w:ind w:firstLine="709"/>
        <w:jc w:val="both"/>
        <w:rPr>
          <w:rFonts w:ascii="Arial" w:eastAsia="Calibri" w:hAnsi="Arial" w:cs="Arial"/>
          <w:szCs w:val="24"/>
          <w:lang w:val="es-ES" w:eastAsia="es-ES_tradnl"/>
        </w:rPr>
      </w:pPr>
      <w:r w:rsidRPr="0074631F">
        <w:rPr>
          <w:rFonts w:ascii="Arial" w:eastAsia="Times New Roman" w:hAnsi="Arial" w:cs="Arial"/>
          <w:color w:val="000000"/>
          <w:lang w:val="es-ES_tradnl" w:eastAsia="es-ES_tradnl"/>
        </w:rPr>
        <w:t>Ahora, según el artículo 40 de la Ley 80 de 1993, e</w:t>
      </w:r>
      <w:r w:rsidR="00715704" w:rsidRPr="0074631F">
        <w:rPr>
          <w:rFonts w:ascii="Arial" w:eastAsia="Times New Roman" w:hAnsi="Arial" w:cs="Arial"/>
          <w:color w:val="000000"/>
          <w:lang w:val="es-ES_tradnl" w:eastAsia="es-ES_tradnl"/>
        </w:rPr>
        <w:t xml:space="preserve">n los negocios jurídicos –y el acta de suspensión lo es, porque se trata de un acuerdo de voluntades para crear obligaciones– las entidades pueden incorporar las </w:t>
      </w:r>
      <w:r w:rsidR="00715704" w:rsidRPr="0074631F">
        <w:rPr>
          <w:rFonts w:ascii="Arial" w:eastAsia="Times New Roman" w:hAnsi="Arial" w:cs="Arial"/>
          <w:i/>
          <w:iCs/>
          <w:color w:val="000000"/>
          <w:lang w:val="es-ES_tradnl" w:eastAsia="es-ES_tradnl"/>
        </w:rPr>
        <w:t>condiciones</w:t>
      </w:r>
      <w:r w:rsidR="00715704" w:rsidRPr="0074631F">
        <w:rPr>
          <w:rFonts w:ascii="Arial" w:eastAsia="Times New Roman" w:hAnsi="Arial" w:cs="Arial"/>
          <w:color w:val="000000"/>
          <w:lang w:val="es-ES_tradnl" w:eastAsia="es-ES_tradnl"/>
        </w:rPr>
        <w:t xml:space="preserve"> y </w:t>
      </w:r>
      <w:r w:rsidR="00715704" w:rsidRPr="0074631F">
        <w:rPr>
          <w:rFonts w:ascii="Arial" w:eastAsia="Times New Roman" w:hAnsi="Arial" w:cs="Arial"/>
          <w:i/>
          <w:iCs/>
          <w:color w:val="000000"/>
          <w:lang w:val="es-ES_tradnl" w:eastAsia="es-ES_tradnl"/>
        </w:rPr>
        <w:t xml:space="preserve">cláusulas </w:t>
      </w:r>
      <w:r w:rsidR="00715704" w:rsidRPr="0074631F">
        <w:rPr>
          <w:rFonts w:ascii="Arial" w:eastAsia="Times New Roman" w:hAnsi="Arial" w:cs="Arial"/>
          <w:color w:val="000000"/>
          <w:lang w:val="es-ES_tradnl" w:eastAsia="es-ES_tradnl"/>
        </w:rPr>
        <w:t xml:space="preserve">que sean necesarias y convenientes. Pues bien, de conformidad con los artículos 1530 y siguientes del Código Civil –que establecen las condiciones o términos a los que pueden sujetarse las obligaciones, y que se aplican por la remisión que hacen los artículos 13, 32 y 40 de la Ley 80 de 1993 a las normas civiles y comerciales–, en el acta de suspensión puede estipularse que el plazo de ejecución del contrato se reactivará cuando se cumpla una </w:t>
      </w:r>
      <w:r w:rsidR="00715704" w:rsidRPr="0074631F">
        <w:rPr>
          <w:rFonts w:ascii="Arial" w:eastAsia="Times New Roman" w:hAnsi="Arial" w:cs="Arial"/>
          <w:i/>
          <w:iCs/>
          <w:color w:val="000000"/>
          <w:lang w:val="es-ES_tradnl" w:eastAsia="es-ES_tradnl"/>
        </w:rPr>
        <w:t>condición</w:t>
      </w:r>
      <w:r w:rsidR="00715704" w:rsidRPr="0074631F">
        <w:rPr>
          <w:rFonts w:ascii="Arial" w:eastAsia="Times New Roman" w:hAnsi="Arial" w:cs="Arial"/>
          <w:color w:val="000000"/>
          <w:lang w:val="es-ES_tradnl" w:eastAsia="es-ES_tradnl"/>
        </w:rPr>
        <w:t xml:space="preserve"> o sobrevenga una </w:t>
      </w:r>
      <w:r w:rsidR="00715704" w:rsidRPr="0074631F">
        <w:rPr>
          <w:rFonts w:ascii="Arial" w:eastAsia="Times New Roman" w:hAnsi="Arial" w:cs="Arial"/>
          <w:i/>
          <w:iCs/>
          <w:color w:val="000000"/>
          <w:lang w:val="es-ES_tradnl" w:eastAsia="es-ES_tradnl"/>
        </w:rPr>
        <w:t>fecha específica</w:t>
      </w:r>
      <w:r w:rsidR="00715704" w:rsidRPr="0074631F">
        <w:rPr>
          <w:rFonts w:ascii="Arial" w:eastAsia="Times New Roman" w:hAnsi="Arial" w:cs="Arial"/>
          <w:color w:val="000000"/>
          <w:lang w:val="es-ES_tradnl" w:eastAsia="es-ES_tradnl"/>
        </w:rPr>
        <w:t>. Así lo ha reconocido el Consejo de Estado, tal y como se indicó.</w:t>
      </w:r>
    </w:p>
    <w:p w14:paraId="53B0986C" w14:textId="0F733133" w:rsidR="00715704" w:rsidRPr="0074631F" w:rsidRDefault="00715704" w:rsidP="006D7190">
      <w:pPr>
        <w:spacing w:before="120" w:after="0" w:line="276" w:lineRule="auto"/>
        <w:ind w:firstLine="709"/>
        <w:jc w:val="both"/>
        <w:rPr>
          <w:rFonts w:ascii="Arial" w:eastAsia="Times New Roman" w:hAnsi="Arial" w:cs="Arial"/>
          <w:color w:val="000000"/>
          <w:lang w:val="es-ES_tradnl" w:eastAsia="es-ES_tradnl"/>
        </w:rPr>
      </w:pPr>
      <w:r w:rsidRPr="0074631F">
        <w:rPr>
          <w:rFonts w:ascii="Arial" w:eastAsia="Times New Roman" w:hAnsi="Arial" w:cs="Arial"/>
          <w:color w:val="000000"/>
          <w:lang w:val="es-ES_tradnl" w:eastAsia="es-ES_tradnl"/>
        </w:rPr>
        <w:t xml:space="preserve">De este modo, atendiendo a los términos en los que se haya pactado la suspensión es posible que no sea necesario suscribir luego un acta de reinicio para que se reactive la ejecución del contrato, sino que tal reactivación opere </w:t>
      </w:r>
      <w:r w:rsidRPr="0074631F">
        <w:rPr>
          <w:rFonts w:ascii="Arial" w:eastAsia="Times New Roman" w:hAnsi="Arial" w:cs="Arial"/>
          <w:i/>
          <w:iCs/>
          <w:color w:val="000000"/>
          <w:lang w:val="es-ES_tradnl" w:eastAsia="es-ES_tradnl"/>
        </w:rPr>
        <w:t>automáticamente</w:t>
      </w:r>
      <w:r w:rsidRPr="0074631F">
        <w:rPr>
          <w:rFonts w:ascii="Arial" w:eastAsia="Times New Roman" w:hAnsi="Arial" w:cs="Arial"/>
          <w:color w:val="000000"/>
          <w:lang w:val="es-ES_tradnl" w:eastAsia="es-ES_tradnl"/>
        </w:rPr>
        <w:t xml:space="preserve">, cuando se cumpla la condición o fecha cierta. En este caso no podría aducirse válidamente que como no se ha suscrito el acta </w:t>
      </w:r>
      <w:r w:rsidR="006D7190" w:rsidRPr="0074631F">
        <w:rPr>
          <w:rFonts w:ascii="Arial" w:eastAsia="Times New Roman" w:hAnsi="Arial" w:cs="Arial"/>
          <w:color w:val="000000"/>
          <w:lang w:val="es-ES_tradnl" w:eastAsia="es-ES_tradnl"/>
        </w:rPr>
        <w:t xml:space="preserve">de reinicio </w:t>
      </w:r>
      <w:r w:rsidRPr="0074631F">
        <w:rPr>
          <w:rFonts w:ascii="Arial" w:eastAsia="Times New Roman" w:hAnsi="Arial" w:cs="Arial"/>
          <w:color w:val="000000"/>
          <w:lang w:val="es-ES_tradnl" w:eastAsia="es-ES_tradnl"/>
        </w:rPr>
        <w:t>en el SECOP II el contrato aún se encuentra suspendido. Si una vez configurada la condición o cumplido el término el contratista no retoma la ejecución del contrato, sin que concurra una causal que lo exonere de responsabilidad, la entidad estatal estaría llamada a exigir el cumplimiento, a través de los mecanismos conminatorios y sancionatorios a los que haya lugar, según el régimen jurídico aplicable.</w:t>
      </w:r>
    </w:p>
    <w:p w14:paraId="2EED75E8" w14:textId="77777777" w:rsidR="007A4176" w:rsidRPr="0074631F" w:rsidRDefault="007A4176" w:rsidP="007A4176">
      <w:pPr>
        <w:spacing w:after="0" w:line="276" w:lineRule="auto"/>
        <w:jc w:val="both"/>
        <w:rPr>
          <w:rFonts w:ascii="Arial" w:eastAsia="Calibri" w:hAnsi="Arial" w:cs="Arial"/>
          <w:color w:val="000000"/>
          <w:lang w:val="es-ES_tradnl"/>
        </w:rPr>
      </w:pPr>
    </w:p>
    <w:p w14:paraId="66D102F2" w14:textId="77777777" w:rsidR="007A4176" w:rsidRPr="0074631F" w:rsidRDefault="007A4176" w:rsidP="007A4176">
      <w:pPr>
        <w:spacing w:after="0" w:line="276" w:lineRule="auto"/>
        <w:jc w:val="both"/>
        <w:rPr>
          <w:rFonts w:ascii="Arial" w:eastAsia="Calibri" w:hAnsi="Arial" w:cs="Arial"/>
          <w:color w:val="000000"/>
          <w:lang w:val="es-ES_tradnl"/>
        </w:rPr>
      </w:pPr>
      <w:r w:rsidRPr="0074631F">
        <w:rPr>
          <w:rFonts w:ascii="Arial" w:eastAsia="Calibri" w:hAnsi="Arial" w:cs="Arial"/>
          <w:color w:val="000000"/>
          <w:lang w:val="es-ES_tradnl"/>
        </w:rPr>
        <w:t>Este concepto tiene el alcance previsto en el artículo 28 del Código de Procedimiento Administrativo y de lo Contencioso Administrativo.</w:t>
      </w:r>
    </w:p>
    <w:p w14:paraId="7B6AEA8F" w14:textId="77777777" w:rsidR="007A4176" w:rsidRPr="0074631F" w:rsidRDefault="007A4176" w:rsidP="007A4176">
      <w:pPr>
        <w:spacing w:before="120" w:after="0" w:line="276" w:lineRule="auto"/>
        <w:jc w:val="both"/>
        <w:rPr>
          <w:rFonts w:ascii="Arial" w:eastAsia="Times New Roman" w:hAnsi="Arial" w:cs="Arial"/>
          <w:color w:val="000000"/>
          <w:szCs w:val="24"/>
          <w:lang w:val="es-ES_tradnl" w:eastAsia="es-ES_tradnl"/>
        </w:rPr>
      </w:pPr>
    </w:p>
    <w:p w14:paraId="4FB55853" w14:textId="77777777" w:rsidR="007A4176" w:rsidRPr="0074631F" w:rsidRDefault="007A4176" w:rsidP="007A4176">
      <w:pPr>
        <w:spacing w:after="0" w:line="276" w:lineRule="auto"/>
        <w:jc w:val="both"/>
        <w:rPr>
          <w:rFonts w:ascii="Arial" w:eastAsia="Times New Roman" w:hAnsi="Arial" w:cs="Arial"/>
          <w:color w:val="000000"/>
          <w:lang w:val="es-ES_tradnl" w:eastAsia="es-CO"/>
        </w:rPr>
      </w:pPr>
      <w:r w:rsidRPr="0074631F">
        <w:rPr>
          <w:rFonts w:ascii="Arial" w:eastAsia="Times New Roman" w:hAnsi="Arial" w:cs="Arial"/>
          <w:color w:val="000000"/>
          <w:lang w:val="es-ES_tradnl" w:eastAsia="es-CO"/>
        </w:rPr>
        <w:t>Atentamente,</w:t>
      </w:r>
    </w:p>
    <w:p w14:paraId="7B0A4309" w14:textId="7BB29291" w:rsidR="007A4176" w:rsidRPr="0074631F" w:rsidRDefault="0087387D" w:rsidP="007A4176">
      <w:pPr>
        <w:spacing w:after="0" w:line="276" w:lineRule="auto"/>
        <w:jc w:val="center"/>
        <w:rPr>
          <w:rFonts w:ascii="Arial" w:eastAsia="Times New Roman" w:hAnsi="Arial" w:cs="Arial"/>
          <w:color w:val="000000"/>
          <w:lang w:val="es-ES_tradnl" w:eastAsia="es-CO"/>
        </w:rPr>
      </w:pPr>
      <w:r w:rsidRPr="00F34319">
        <w:rPr>
          <w:rFonts w:ascii="Times New Roman" w:eastAsia="Times New Roman" w:hAnsi="Times New Roman" w:cs="Times New Roman"/>
          <w:noProof/>
          <w:sz w:val="24"/>
          <w:szCs w:val="24"/>
          <w:lang w:eastAsia="es-ES"/>
        </w:rPr>
        <w:lastRenderedPageBreak/>
        <w:drawing>
          <wp:inline distT="0" distB="0" distL="0" distR="0" wp14:anchorId="0CADCC13" wp14:editId="027AB113">
            <wp:extent cx="3304540" cy="12363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730" cy="1244265"/>
                    </a:xfrm>
                    <a:prstGeom prst="rect">
                      <a:avLst/>
                    </a:prstGeom>
                    <a:noFill/>
                    <a:ln>
                      <a:noFill/>
                    </a:ln>
                  </pic:spPr>
                </pic:pic>
              </a:graphicData>
            </a:graphic>
          </wp:inline>
        </w:drawing>
      </w:r>
    </w:p>
    <w:p w14:paraId="53BABD22" w14:textId="77777777" w:rsidR="007A4176" w:rsidRPr="0074631F" w:rsidRDefault="007A4176" w:rsidP="007A4176">
      <w:pPr>
        <w:spacing w:after="0" w:line="276" w:lineRule="auto"/>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4176" w:rsidRPr="0074631F" w14:paraId="1C8D3DD9" w14:textId="77777777" w:rsidTr="007A4176">
        <w:trPr>
          <w:trHeight w:val="160"/>
        </w:trPr>
        <w:tc>
          <w:tcPr>
            <w:tcW w:w="812" w:type="dxa"/>
            <w:vAlign w:val="center"/>
            <w:hideMark/>
          </w:tcPr>
          <w:p w14:paraId="3DF6ADC6"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3B755867"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 xml:space="preserve">Cristian Andrés Díaz Díez </w:t>
            </w:r>
          </w:p>
          <w:p w14:paraId="1FCD283C"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Contratista de la Subdirección de Gestión Contractual</w:t>
            </w:r>
          </w:p>
        </w:tc>
      </w:tr>
      <w:tr w:rsidR="007A4176" w:rsidRPr="0074631F" w14:paraId="31C44C19" w14:textId="77777777" w:rsidTr="007A4176">
        <w:trPr>
          <w:trHeight w:val="330"/>
        </w:trPr>
        <w:tc>
          <w:tcPr>
            <w:tcW w:w="812" w:type="dxa"/>
            <w:vAlign w:val="center"/>
            <w:hideMark/>
          </w:tcPr>
          <w:p w14:paraId="718A5C36"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64006E2A" w14:textId="1D1592FB" w:rsidR="007A4176" w:rsidRPr="0074631F" w:rsidRDefault="00FE32E5"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 xml:space="preserve">Any </w:t>
            </w:r>
            <w:r w:rsidR="003D2E7F" w:rsidRPr="0074631F">
              <w:rPr>
                <w:rFonts w:ascii="Arial" w:eastAsia="Times New Roman" w:hAnsi="Arial" w:cs="Arial"/>
                <w:color w:val="000000"/>
                <w:sz w:val="16"/>
                <w:szCs w:val="16"/>
                <w:lang w:val="es-ES_tradnl" w:eastAsia="es-ES"/>
              </w:rPr>
              <w:t xml:space="preserve">Alejandra </w:t>
            </w:r>
            <w:r w:rsidRPr="0074631F">
              <w:rPr>
                <w:rFonts w:ascii="Arial" w:eastAsia="Times New Roman" w:hAnsi="Arial" w:cs="Arial"/>
                <w:color w:val="000000"/>
                <w:sz w:val="16"/>
                <w:szCs w:val="16"/>
                <w:lang w:val="es-ES_tradnl" w:eastAsia="es-ES"/>
              </w:rPr>
              <w:t>Tovar</w:t>
            </w:r>
            <w:r w:rsidR="003D2E7F" w:rsidRPr="0074631F">
              <w:rPr>
                <w:rFonts w:ascii="Arial" w:eastAsia="Times New Roman" w:hAnsi="Arial" w:cs="Arial"/>
                <w:color w:val="000000"/>
                <w:sz w:val="16"/>
                <w:szCs w:val="16"/>
                <w:lang w:val="es-ES_tradnl" w:eastAsia="es-ES"/>
              </w:rPr>
              <w:t xml:space="preserve"> Castillo</w:t>
            </w:r>
          </w:p>
          <w:p w14:paraId="7F8F267B" w14:textId="2A523E38" w:rsidR="007A4176" w:rsidRPr="0074631F" w:rsidRDefault="003D2E7F"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Contratista</w:t>
            </w:r>
            <w:r w:rsidR="007A4176" w:rsidRPr="0074631F">
              <w:rPr>
                <w:rFonts w:ascii="Arial" w:eastAsia="Times New Roman" w:hAnsi="Arial" w:cs="Arial"/>
                <w:color w:val="000000"/>
                <w:sz w:val="16"/>
                <w:szCs w:val="16"/>
                <w:lang w:val="es-ES_tradnl" w:eastAsia="es-ES"/>
              </w:rPr>
              <w:t xml:space="preserve"> de la Subdirección de Gestión Contractual</w:t>
            </w:r>
          </w:p>
        </w:tc>
      </w:tr>
      <w:tr w:rsidR="007A4176" w:rsidRPr="0074631F" w14:paraId="540CC155" w14:textId="77777777" w:rsidTr="007A4176">
        <w:trPr>
          <w:trHeight w:val="300"/>
        </w:trPr>
        <w:tc>
          <w:tcPr>
            <w:tcW w:w="812" w:type="dxa"/>
            <w:vAlign w:val="center"/>
            <w:hideMark/>
          </w:tcPr>
          <w:p w14:paraId="52A82808"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814A9A7" w14:textId="77777777" w:rsidR="007A4176" w:rsidRPr="0074631F" w:rsidRDefault="007A4176" w:rsidP="007A4176">
            <w:pPr>
              <w:rPr>
                <w:rFonts w:ascii="Arial" w:eastAsia="Times New Roman" w:hAnsi="Arial" w:cs="Arial"/>
                <w:sz w:val="24"/>
                <w:szCs w:val="24"/>
                <w:lang w:val="es-ES_tradnl" w:eastAsia="es-ES_tradnl"/>
              </w:rPr>
            </w:pPr>
            <w:r w:rsidRPr="0074631F">
              <w:rPr>
                <w:rFonts w:ascii="Arial" w:eastAsia="Arial" w:hAnsi="Arial" w:cs="Arial"/>
                <w:color w:val="000000"/>
                <w:sz w:val="16"/>
                <w:szCs w:val="16"/>
                <w:lang w:val="es-ES_tradnl" w:eastAsia="es-ES_tradnl"/>
              </w:rPr>
              <w:t>Juan David Marín López</w:t>
            </w:r>
          </w:p>
          <w:p w14:paraId="6BBD30F9" w14:textId="77777777" w:rsidR="007A4176" w:rsidRPr="0074631F" w:rsidRDefault="007A4176" w:rsidP="007A4176">
            <w:pPr>
              <w:jc w:val="both"/>
              <w:rPr>
                <w:rFonts w:ascii="Arial" w:eastAsia="Times New Roman" w:hAnsi="Arial" w:cs="Arial"/>
                <w:color w:val="000000"/>
                <w:sz w:val="16"/>
                <w:szCs w:val="16"/>
                <w:lang w:val="es-ES_tradnl" w:eastAsia="es-ES"/>
              </w:rPr>
            </w:pPr>
            <w:r w:rsidRPr="0074631F">
              <w:rPr>
                <w:rFonts w:ascii="Arial" w:eastAsia="Arial" w:hAnsi="Arial" w:cs="Arial"/>
                <w:color w:val="000000"/>
                <w:sz w:val="16"/>
                <w:szCs w:val="16"/>
                <w:lang w:val="es-ES_tradnl" w:eastAsia="es-ES_tradnl"/>
              </w:rPr>
              <w:t>Subdirector de Gestión Contractual (E)</w:t>
            </w:r>
          </w:p>
        </w:tc>
      </w:tr>
      <w:bookmarkEnd w:id="0"/>
      <w:bookmarkEnd w:id="1"/>
    </w:tbl>
    <w:p w14:paraId="0861C3E8" w14:textId="77777777" w:rsidR="007A4176" w:rsidRPr="0074631F" w:rsidRDefault="007A4176" w:rsidP="007A4176">
      <w:pPr>
        <w:tabs>
          <w:tab w:val="left" w:pos="3570"/>
        </w:tabs>
        <w:spacing w:after="0" w:line="240" w:lineRule="auto"/>
        <w:rPr>
          <w:rFonts w:ascii="Arial" w:eastAsia="Times New Roman" w:hAnsi="Arial" w:cs="Arial"/>
          <w:sz w:val="24"/>
          <w:szCs w:val="24"/>
          <w:lang w:val="es-ES_tradnl" w:eastAsia="es-ES_tradnl"/>
        </w:rPr>
      </w:pPr>
    </w:p>
    <w:p w14:paraId="0AE81B78" w14:textId="77777777" w:rsidR="000123C0" w:rsidRPr="0074631F" w:rsidRDefault="000123C0" w:rsidP="007A4176">
      <w:pPr>
        <w:rPr>
          <w:rFonts w:ascii="Arial" w:hAnsi="Arial" w:cs="Arial"/>
        </w:rPr>
      </w:pPr>
    </w:p>
    <w:sectPr w:rsidR="000123C0" w:rsidRPr="0074631F"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0807" w14:textId="77777777" w:rsidR="00713CA3" w:rsidRDefault="00713CA3" w:rsidP="004A1847">
      <w:pPr>
        <w:spacing w:after="0" w:line="240" w:lineRule="auto"/>
      </w:pPr>
      <w:r>
        <w:separator/>
      </w:r>
    </w:p>
  </w:endnote>
  <w:endnote w:type="continuationSeparator" w:id="0">
    <w:p w14:paraId="2E88F2A3" w14:textId="77777777" w:rsidR="00713CA3" w:rsidRDefault="00713CA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A4176" w:rsidRPr="00080DA3" w14:paraId="0534DA7F" w14:textId="77777777" w:rsidTr="007A4176">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64C2" w14:textId="77777777" w:rsidR="00713CA3" w:rsidRDefault="00713CA3" w:rsidP="004A1847">
      <w:pPr>
        <w:spacing w:after="0" w:line="240" w:lineRule="auto"/>
      </w:pPr>
      <w:r>
        <w:separator/>
      </w:r>
    </w:p>
  </w:footnote>
  <w:footnote w:type="continuationSeparator" w:id="0">
    <w:p w14:paraId="23692D07" w14:textId="77777777" w:rsidR="00713CA3" w:rsidRDefault="00713CA3" w:rsidP="004A1847">
      <w:pPr>
        <w:spacing w:after="0" w:line="240" w:lineRule="auto"/>
      </w:pPr>
      <w:r>
        <w:continuationSeparator/>
      </w:r>
    </w:p>
  </w:footnote>
  <w:footnote w:id="1">
    <w:p w14:paraId="17C4E230" w14:textId="77777777" w:rsidR="00660D08" w:rsidRPr="001D717E" w:rsidRDefault="00660D08" w:rsidP="001D717E">
      <w:pPr>
        <w:pStyle w:val="Textonotapie"/>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72617B6" w14:textId="77777777" w:rsidR="00660D08" w:rsidRPr="001D717E" w:rsidRDefault="00660D08"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w:t>
      </w:r>
    </w:p>
    <w:p w14:paraId="0B689DE0" w14:textId="77777777" w:rsidR="00660D08" w:rsidRPr="001D717E" w:rsidRDefault="00660D08"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77D5E7C" w14:textId="77777777" w:rsidR="00660D08" w:rsidRPr="001D717E" w:rsidRDefault="00660D08" w:rsidP="001D717E">
      <w:pPr>
        <w:pStyle w:val="Textonotapie"/>
        <w:ind w:firstLine="709"/>
        <w:jc w:val="both"/>
        <w:rPr>
          <w:rFonts w:ascii="Arial" w:hAnsi="Arial" w:cs="Arial"/>
          <w:color w:val="000000"/>
          <w:sz w:val="19"/>
          <w:szCs w:val="19"/>
          <w:lang w:val="es-ES"/>
        </w:rPr>
      </w:pPr>
    </w:p>
  </w:footnote>
  <w:footnote w:id="2">
    <w:p w14:paraId="2F9E9928" w14:textId="77777777" w:rsidR="00660D08" w:rsidRPr="001D717E" w:rsidRDefault="00660D08" w:rsidP="001D717E">
      <w:pPr>
        <w:spacing w:after="0" w:line="240" w:lineRule="auto"/>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1D717E">
        <w:rPr>
          <w:rFonts w:ascii="Arial" w:hAnsi="Arial" w:cs="Arial"/>
          <w:color w:val="000000"/>
          <w:spacing w:val="-3"/>
          <w:sz w:val="19"/>
          <w:szCs w:val="19"/>
        </w:rPr>
        <w:t xml:space="preserve"> </w:t>
      </w:r>
      <w:r w:rsidRPr="001D717E">
        <w:rPr>
          <w:rFonts w:ascii="Arial" w:hAnsi="Arial" w:cs="Arial"/>
          <w:color w:val="000000"/>
          <w:sz w:val="19"/>
          <w:szCs w:val="19"/>
        </w:rPr>
        <w:t>Nacional.</w:t>
      </w:r>
    </w:p>
    <w:p w14:paraId="726672C3"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»Lo anterior, sin perjuicio de las publicaciones previstas en el numeral 3 del artículo 30 de la Ley 80 de 1993.</w:t>
      </w:r>
    </w:p>
    <w:p w14:paraId="5F4D9DDF"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 xml:space="preserve">»Con el fin de materializar los objetivos a que se refiere el inciso anterior, el Gobierno Nacional desarrollará el Sistema Electrónico para la Contratación Pública, </w:t>
      </w:r>
      <w:r w:rsidRPr="001D717E">
        <w:rPr>
          <w:rFonts w:ascii="Arial" w:hAnsi="Arial" w:cs="Arial"/>
          <w:color w:val="000000"/>
          <w:sz w:val="19"/>
          <w:szCs w:val="19"/>
        </w:rPr>
        <w:t>Secop, el cual:</w:t>
      </w:r>
    </w:p>
    <w:p w14:paraId="3FAE57BE"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»a) Dispondrá de las funcionalidades tecnológicas para realizar procesos de contratación electrónicos bajo los métodos de selección señalados en el artículo 2o de la presente ley según lo defina el reglamento;</w:t>
      </w:r>
    </w:p>
    <w:p w14:paraId="1E68E4CC"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»b) Servirá de punto único de ingreso de información y de generación de reportes para las entidades estatales y la ciudadanía;</w:t>
      </w:r>
    </w:p>
    <w:p w14:paraId="391E389B"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»c) Contará con la información oficial de la contratación realizada con dineros públicos, para lo cual establecerá los patrones a que haya lugar y se encargará de su difusión a través de canales electrónicos y;</w:t>
      </w:r>
    </w:p>
    <w:p w14:paraId="576E6B9F" w14:textId="77777777" w:rsidR="00660D08" w:rsidRPr="001D717E" w:rsidRDefault="00660D08" w:rsidP="001D717E">
      <w:pPr>
        <w:spacing w:after="0" w:line="240" w:lineRule="auto"/>
        <w:ind w:firstLine="709"/>
        <w:jc w:val="both"/>
        <w:rPr>
          <w:rFonts w:ascii="Arial" w:hAnsi="Arial" w:cs="Arial"/>
          <w:color w:val="000000"/>
          <w:sz w:val="19"/>
          <w:szCs w:val="19"/>
        </w:rPr>
      </w:pPr>
      <w:r w:rsidRPr="001D717E">
        <w:rPr>
          <w:rFonts w:ascii="Arial" w:hAnsi="Arial" w:cs="Arial"/>
          <w:color w:val="000000"/>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4223A062" w14:textId="77777777" w:rsidR="00660D08" w:rsidRPr="001D717E" w:rsidRDefault="00660D08" w:rsidP="001D717E">
      <w:pPr>
        <w:pStyle w:val="Textonotapie"/>
        <w:ind w:firstLine="709"/>
        <w:jc w:val="both"/>
        <w:rPr>
          <w:rFonts w:ascii="Arial" w:hAnsi="Arial" w:cs="Arial"/>
          <w:color w:val="000000"/>
          <w:sz w:val="19"/>
          <w:szCs w:val="19"/>
        </w:rPr>
      </w:pPr>
    </w:p>
  </w:footnote>
  <w:footnote w:id="3">
    <w:p w14:paraId="6BCC9F79" w14:textId="77777777" w:rsidR="00660D08" w:rsidRPr="001D717E" w:rsidRDefault="00660D08"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240ED6ED" w14:textId="77777777" w:rsidR="00660D08" w:rsidRPr="001D717E" w:rsidRDefault="00660D08" w:rsidP="001D717E">
      <w:pPr>
        <w:pStyle w:val="Textonotapie"/>
        <w:ind w:firstLine="709"/>
        <w:jc w:val="both"/>
        <w:rPr>
          <w:rFonts w:ascii="Arial" w:hAnsi="Arial" w:cs="Arial"/>
          <w:sz w:val="19"/>
          <w:szCs w:val="19"/>
        </w:rPr>
      </w:pPr>
    </w:p>
  </w:footnote>
  <w:footnote w:id="4">
    <w:p w14:paraId="68580036" w14:textId="77777777" w:rsidR="00660D08" w:rsidRPr="001D717E" w:rsidRDefault="00660D08" w:rsidP="001D717E">
      <w:pPr>
        <w:pStyle w:val="NormalWeb"/>
        <w:spacing w:after="0" w:line="240" w:lineRule="auto"/>
        <w:ind w:firstLine="709"/>
        <w:jc w:val="both"/>
        <w:rPr>
          <w:rFonts w:ascii="Arial" w:hAnsi="Arial" w:cs="Arial"/>
          <w:color w:val="000000"/>
          <w:sz w:val="19"/>
          <w:szCs w:val="19"/>
        </w:rPr>
      </w:pPr>
      <w:r w:rsidRPr="00FE32E5">
        <w:rPr>
          <w:rStyle w:val="Refdenotaalpie"/>
        </w:rPr>
        <w:footnoteRef/>
      </w:r>
      <w:r w:rsidRPr="001D717E">
        <w:rPr>
          <w:rFonts w:ascii="Arial" w:hAnsi="Arial" w:cs="Arial"/>
          <w:sz w:val="19"/>
          <w:szCs w:val="19"/>
        </w:rPr>
        <w:t xml:space="preserve"> Decreto 1081 de 2015 «</w:t>
      </w:r>
      <w:r w:rsidRPr="001D717E">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30D07B7"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75EDA0C3" w14:textId="77777777" w:rsidR="00660D08" w:rsidRPr="001D717E" w:rsidRDefault="00660D08" w:rsidP="001D717E">
      <w:pPr>
        <w:spacing w:after="0" w:line="240" w:lineRule="auto"/>
        <w:ind w:firstLine="709"/>
        <w:jc w:val="both"/>
        <w:rPr>
          <w:rFonts w:ascii="Arial" w:hAnsi="Arial" w:cs="Arial"/>
          <w:sz w:val="19"/>
          <w:szCs w:val="19"/>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1D717E">
        <w:rPr>
          <w:rFonts w:ascii="Arial" w:hAnsi="Arial" w:cs="Arial"/>
          <w:sz w:val="19"/>
          <w:szCs w:val="19"/>
        </w:rPr>
        <w:t>».</w:t>
      </w:r>
    </w:p>
    <w:p w14:paraId="383D5C44"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p>
  </w:footnote>
  <w:footnote w:id="5">
    <w:p w14:paraId="25096742" w14:textId="77777777" w:rsidR="00660D08" w:rsidRPr="001D717E" w:rsidRDefault="00660D08" w:rsidP="001D717E">
      <w:pPr>
        <w:pStyle w:val="Textonotapie"/>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74CB1E8C" w14:textId="77777777" w:rsidR="00660D08" w:rsidRPr="001D717E" w:rsidRDefault="00660D08" w:rsidP="001D717E">
      <w:pPr>
        <w:pStyle w:val="Textonotapie"/>
        <w:ind w:firstLine="709"/>
        <w:jc w:val="both"/>
        <w:rPr>
          <w:rFonts w:ascii="Arial" w:hAnsi="Arial" w:cs="Arial"/>
          <w:color w:val="000000"/>
          <w:sz w:val="19"/>
          <w:szCs w:val="19"/>
        </w:rPr>
      </w:pPr>
    </w:p>
  </w:footnote>
  <w:footnote w:id="6">
    <w:p w14:paraId="2F5FDD51" w14:textId="77777777" w:rsidR="00660D08" w:rsidRPr="001D717E" w:rsidRDefault="00660D08" w:rsidP="001D717E">
      <w:pPr>
        <w:pStyle w:val="Textonotapie"/>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0BBA3B07" w14:textId="77777777" w:rsidR="00660D08" w:rsidRPr="001D717E" w:rsidRDefault="00660D08"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 xml:space="preserve">»Los sujetos obligados que no contratan con cargo a recursos públicos no están obligados a publicar su Plan Anual de Adquisiciones. </w:t>
      </w:r>
    </w:p>
    <w:p w14:paraId="027743C7" w14:textId="77777777" w:rsidR="00660D08" w:rsidRPr="001D717E" w:rsidRDefault="00660D08"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346FE0AA" w14:textId="77777777" w:rsidR="00660D08" w:rsidRPr="001D717E" w:rsidRDefault="00660D08"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430ABC84" w14:textId="77777777" w:rsidR="00660D08" w:rsidRPr="001D717E" w:rsidRDefault="00660D08" w:rsidP="001D717E">
      <w:pPr>
        <w:pStyle w:val="Textonotapie"/>
        <w:ind w:firstLine="709"/>
        <w:jc w:val="both"/>
        <w:rPr>
          <w:rFonts w:ascii="Arial" w:hAnsi="Arial" w:cs="Arial"/>
          <w:color w:val="000000"/>
          <w:sz w:val="19"/>
          <w:szCs w:val="19"/>
        </w:rPr>
      </w:pPr>
    </w:p>
  </w:footnote>
  <w:footnote w:id="7">
    <w:p w14:paraId="0DEEEDDF" w14:textId="77777777" w:rsidR="00660D08" w:rsidRPr="001D717E" w:rsidRDefault="00660D08" w:rsidP="001D717E">
      <w:pPr>
        <w:pStyle w:val="Textonotapie"/>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2228364A" w14:textId="77777777" w:rsidR="00660D08" w:rsidRPr="001D717E" w:rsidRDefault="00660D08" w:rsidP="001D717E">
      <w:pPr>
        <w:pStyle w:val="Textonotapie"/>
        <w:ind w:firstLine="709"/>
        <w:jc w:val="both"/>
        <w:rPr>
          <w:rFonts w:ascii="Arial" w:hAnsi="Arial" w:cs="Arial"/>
          <w:color w:val="000000"/>
          <w:sz w:val="19"/>
          <w:szCs w:val="19"/>
        </w:rPr>
      </w:pPr>
    </w:p>
  </w:footnote>
  <w:footnote w:id="8">
    <w:p w14:paraId="7BB78A26" w14:textId="77777777" w:rsidR="00660D08" w:rsidRPr="001D717E" w:rsidRDefault="00660D08" w:rsidP="001D717E">
      <w:pPr>
        <w:pStyle w:val="Textonotapie"/>
        <w:ind w:firstLine="709"/>
        <w:jc w:val="both"/>
        <w:rPr>
          <w:rFonts w:ascii="Arial" w:hAnsi="Arial" w:cs="Arial"/>
          <w:sz w:val="19"/>
          <w:szCs w:val="19"/>
          <w:lang w:val="es-CO"/>
        </w:rPr>
      </w:pPr>
      <w:r w:rsidRPr="00FE32E5">
        <w:rPr>
          <w:rStyle w:val="Refdenotaalpie"/>
        </w:rPr>
        <w:footnoteRef/>
      </w:r>
      <w:r w:rsidRPr="001D717E">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9">
    <w:p w14:paraId="4B3BC8C4" w14:textId="77777777" w:rsidR="00660D08" w:rsidRPr="001D717E" w:rsidRDefault="00660D08" w:rsidP="001D717E">
      <w:pPr>
        <w:pStyle w:val="Textonotapie"/>
        <w:ind w:firstLine="709"/>
        <w:jc w:val="both"/>
        <w:rPr>
          <w:rFonts w:ascii="Arial" w:hAnsi="Arial" w:cs="Arial"/>
          <w:sz w:val="19"/>
          <w:szCs w:val="19"/>
        </w:rPr>
      </w:pPr>
    </w:p>
    <w:p w14:paraId="4F91F5DF" w14:textId="77777777" w:rsidR="00660D08" w:rsidRPr="001D717E" w:rsidRDefault="00660D08" w:rsidP="001D717E">
      <w:pPr>
        <w:pStyle w:val="NormalWeb"/>
        <w:spacing w:after="0" w:line="240" w:lineRule="auto"/>
        <w:ind w:firstLine="709"/>
        <w:jc w:val="both"/>
        <w:rPr>
          <w:rFonts w:ascii="Arial" w:hAnsi="Arial" w:cs="Arial"/>
          <w:color w:val="000000"/>
          <w:sz w:val="19"/>
          <w:szCs w:val="19"/>
        </w:rPr>
      </w:pPr>
      <w:r w:rsidRPr="00FE32E5">
        <w:rPr>
          <w:rStyle w:val="Refdenotaalpie"/>
        </w:rPr>
        <w:footnoteRef/>
      </w:r>
      <w:r w:rsidRPr="001D717E">
        <w:rPr>
          <w:rFonts w:ascii="Arial" w:hAnsi="Arial" w:cs="Arial"/>
          <w:sz w:val="19"/>
          <w:szCs w:val="19"/>
        </w:rPr>
        <w:t xml:space="preserve">  Ley 1712 de 2014 «</w:t>
      </w:r>
      <w:r w:rsidRPr="001D717E">
        <w:rPr>
          <w:rStyle w:val="PiedepginaCar"/>
          <w:rFonts w:ascii="Arial" w:hAnsi="Arial" w:cs="Arial"/>
          <w:color w:val="000000"/>
          <w:sz w:val="19"/>
          <w:szCs w:val="19"/>
        </w:rPr>
        <w:t xml:space="preserve"> </w:t>
      </w:r>
      <w:r w:rsidRPr="001D717E">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2D9250B7"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612F5B1D"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 </w:t>
      </w:r>
    </w:p>
    <w:p w14:paraId="70C7512E"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29825643"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w:t>
      </w:r>
    </w:p>
    <w:p w14:paraId="08340842" w14:textId="77777777" w:rsidR="00660D08" w:rsidRPr="001D717E" w:rsidRDefault="00660D08" w:rsidP="001D717E">
      <w:pPr>
        <w:spacing w:after="0" w:line="240" w:lineRule="auto"/>
        <w:ind w:firstLine="709"/>
        <w:jc w:val="both"/>
        <w:rPr>
          <w:rFonts w:ascii="Arial" w:eastAsia="Times New Roman" w:hAnsi="Arial" w:cs="Arial"/>
          <w:color w:val="000000"/>
          <w:sz w:val="19"/>
          <w:szCs w:val="19"/>
          <w:lang w:eastAsia="es-CO"/>
        </w:rPr>
      </w:pPr>
      <w:r w:rsidRPr="001D717E">
        <w:rPr>
          <w:rFonts w:ascii="Arial" w:eastAsia="Times New Roman" w:hAnsi="Arial" w:cs="Arial"/>
          <w:color w:val="000000"/>
          <w:sz w:val="19"/>
          <w:szCs w:val="19"/>
          <w:lang w:eastAsia="es-CO"/>
        </w:rPr>
        <w:t>  </w:t>
      </w:r>
      <w:r w:rsidRPr="001D717E">
        <w:rPr>
          <w:rFonts w:ascii="Arial" w:eastAsia="Times New Roman"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4F2D7D21" w14:textId="77777777" w:rsidR="00660D08" w:rsidRPr="001D717E" w:rsidRDefault="00660D08" w:rsidP="001D717E">
      <w:pPr>
        <w:pStyle w:val="Textonotapie"/>
        <w:ind w:firstLine="709"/>
        <w:jc w:val="both"/>
        <w:rPr>
          <w:rFonts w:ascii="Arial" w:hAnsi="Arial" w:cs="Arial"/>
          <w:sz w:val="19"/>
          <w:szCs w:val="19"/>
          <w:lang w:val="es-CO"/>
        </w:rPr>
      </w:pPr>
    </w:p>
  </w:footnote>
  <w:footnote w:id="10">
    <w:p w14:paraId="1A1A7D4F" w14:textId="77777777" w:rsidR="00660D08" w:rsidRPr="001D717E" w:rsidRDefault="00660D08" w:rsidP="001D717E">
      <w:pPr>
        <w:pStyle w:val="Textonotapie"/>
        <w:ind w:firstLine="709"/>
        <w:jc w:val="both"/>
        <w:rPr>
          <w:rFonts w:ascii="Arial" w:hAnsi="Arial" w:cs="Arial"/>
          <w:sz w:val="19"/>
          <w:szCs w:val="19"/>
        </w:rPr>
      </w:pPr>
    </w:p>
    <w:p w14:paraId="0545F8A6" w14:textId="77777777" w:rsidR="00660D08" w:rsidRPr="001D717E" w:rsidRDefault="00660D08"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Ley 80 de 1993 «Artículo 24. Del principio de transparencia. En virtud de este principio: </w:t>
      </w:r>
    </w:p>
    <w:p w14:paraId="6860AD94"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w:t>
      </w:r>
    </w:p>
    <w:p w14:paraId="5FEFE639" w14:textId="77777777" w:rsidR="00660D08" w:rsidRPr="001D717E" w:rsidRDefault="00660D08" w:rsidP="001D717E">
      <w:pPr>
        <w:pStyle w:val="Textonotapie"/>
        <w:ind w:firstLine="709"/>
        <w:jc w:val="both"/>
        <w:rPr>
          <w:rFonts w:ascii="Arial" w:hAnsi="Arial" w:cs="Arial"/>
          <w:sz w:val="19"/>
          <w:szCs w:val="19"/>
          <w:lang w:val="es-CO"/>
        </w:rPr>
      </w:pPr>
      <w:r w:rsidRPr="001D717E">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11600249" w14:textId="77777777" w:rsidR="00660D08" w:rsidRPr="001D717E" w:rsidRDefault="00660D08" w:rsidP="001D717E">
      <w:pPr>
        <w:pStyle w:val="Textonotapie"/>
        <w:ind w:firstLine="709"/>
        <w:jc w:val="both"/>
        <w:rPr>
          <w:rFonts w:ascii="Arial" w:hAnsi="Arial" w:cs="Arial"/>
          <w:sz w:val="19"/>
          <w:szCs w:val="19"/>
          <w:lang w:val="es-CO"/>
        </w:rPr>
      </w:pPr>
      <w:r w:rsidRPr="001D717E">
        <w:rPr>
          <w:rFonts w:ascii="Arial" w:hAnsi="Arial" w:cs="Arial"/>
          <w:sz w:val="19"/>
          <w:szCs w:val="19"/>
        </w:rPr>
        <w:t xml:space="preserve"> </w:t>
      </w:r>
    </w:p>
  </w:footnote>
  <w:footnote w:id="11">
    <w:p w14:paraId="2B445B60" w14:textId="77777777" w:rsidR="00660D08" w:rsidRPr="001D717E" w:rsidRDefault="00660D08"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787235D5" w14:textId="77777777" w:rsidR="00660D08" w:rsidRPr="001D717E" w:rsidRDefault="00660D08" w:rsidP="001D717E">
      <w:pPr>
        <w:pStyle w:val="Textonotapie"/>
        <w:ind w:firstLine="709"/>
        <w:jc w:val="both"/>
        <w:rPr>
          <w:rFonts w:ascii="Arial" w:hAnsi="Arial" w:cs="Arial"/>
          <w:sz w:val="19"/>
          <w:szCs w:val="19"/>
          <w:lang w:val="es-CO"/>
        </w:rPr>
      </w:pPr>
    </w:p>
  </w:footnote>
  <w:footnote w:id="12">
    <w:p w14:paraId="508822EA" w14:textId="77777777" w:rsidR="00660D08" w:rsidRPr="001D717E" w:rsidRDefault="00660D08"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11B052A3" w14:textId="77777777" w:rsidR="00660D08" w:rsidRPr="001D717E" w:rsidRDefault="00660D08" w:rsidP="001D717E">
      <w:pPr>
        <w:pStyle w:val="Textonotapie"/>
        <w:ind w:firstLine="709"/>
        <w:jc w:val="both"/>
        <w:rPr>
          <w:rFonts w:ascii="Arial" w:hAnsi="Arial" w:cs="Arial"/>
          <w:sz w:val="19"/>
          <w:szCs w:val="19"/>
          <w:lang w:val="es-CO"/>
        </w:rPr>
      </w:pPr>
      <w:r w:rsidRPr="001D717E">
        <w:rPr>
          <w:rFonts w:ascii="Arial" w:hAnsi="Arial" w:cs="Arial"/>
          <w:sz w:val="19"/>
          <w:szCs w:val="19"/>
        </w:rPr>
        <w:t xml:space="preserve">  </w:t>
      </w:r>
    </w:p>
  </w:footnote>
  <w:footnote w:id="13">
    <w:p w14:paraId="345EF2B5" w14:textId="77777777" w:rsidR="00660D08" w:rsidRPr="001D717E" w:rsidRDefault="00660D08"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3991EC23"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»1. Los relacionados con la defensa o seguridad nacionales.  </w:t>
      </w:r>
    </w:p>
    <w:p w14:paraId="2E1CC126"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»2. Las instrucciones en materia diplomática o sobre negociaciones reservadas.  </w:t>
      </w:r>
    </w:p>
    <w:p w14:paraId="202A9EC1"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E1924B0"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5A12DDB"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»5. Los datos referentes a la información financiera y comercial, en los términos de la Ley Estatutaria 1266 de 2008.  </w:t>
      </w:r>
    </w:p>
    <w:p w14:paraId="5369140F"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»6. Los protegidos por el secreto comercial o industrial, así como los planes estratégicos de las empresas públicas de servicios públicos.  </w:t>
      </w:r>
    </w:p>
    <w:p w14:paraId="013353B4"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»7. Los amparados por el secreto profesional.  </w:t>
      </w:r>
    </w:p>
    <w:p w14:paraId="291EC21C"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»8. Los datos genéticos humanos.  </w:t>
      </w:r>
    </w:p>
    <w:p w14:paraId="1C097BF9" w14:textId="77777777" w:rsidR="00660D08" w:rsidRPr="001D717E" w:rsidRDefault="00660D08" w:rsidP="001D717E">
      <w:pPr>
        <w:pStyle w:val="Textonotapie"/>
        <w:ind w:firstLine="709"/>
        <w:jc w:val="both"/>
        <w:rPr>
          <w:rFonts w:ascii="Arial" w:hAnsi="Arial" w:cs="Arial"/>
          <w:sz w:val="19"/>
          <w:szCs w:val="19"/>
        </w:rPr>
      </w:pPr>
      <w:r w:rsidRPr="001D717E">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32E5CF98" w14:textId="77777777" w:rsidR="00660D08" w:rsidRPr="001D717E" w:rsidRDefault="00660D08" w:rsidP="001D717E">
      <w:pPr>
        <w:pStyle w:val="Textonotapie"/>
        <w:ind w:firstLine="709"/>
        <w:jc w:val="both"/>
        <w:rPr>
          <w:rFonts w:ascii="Arial" w:hAnsi="Arial" w:cs="Arial"/>
          <w:sz w:val="19"/>
          <w:szCs w:val="19"/>
        </w:rPr>
      </w:pPr>
    </w:p>
  </w:footnote>
  <w:footnote w:id="14">
    <w:p w14:paraId="3559CB08" w14:textId="77777777" w:rsidR="00660D08" w:rsidRPr="001D717E" w:rsidRDefault="00660D08" w:rsidP="001D717E">
      <w:pPr>
        <w:pStyle w:val="Textonotapie"/>
        <w:ind w:firstLine="709"/>
        <w:jc w:val="both"/>
        <w:rPr>
          <w:rFonts w:ascii="Arial" w:eastAsia="Calibri" w:hAnsi="Arial" w:cs="Arial"/>
          <w:sz w:val="19"/>
          <w:szCs w:val="19"/>
        </w:rPr>
      </w:pPr>
      <w:r w:rsidRPr="00FE32E5">
        <w:rPr>
          <w:rStyle w:val="Refdenotaalpie"/>
        </w:rPr>
        <w:footnoteRef/>
      </w:r>
      <w:r w:rsidRPr="001D717E">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1D717E">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50CEB4B4" w14:textId="77777777" w:rsidR="00660D08" w:rsidRPr="001D717E" w:rsidRDefault="00660D08" w:rsidP="001D717E">
      <w:pPr>
        <w:pStyle w:val="Textonotapie"/>
        <w:ind w:firstLine="709"/>
        <w:jc w:val="both"/>
        <w:rPr>
          <w:rFonts w:ascii="Arial" w:hAnsi="Arial" w:cs="Arial"/>
          <w:sz w:val="19"/>
          <w:szCs w:val="19"/>
        </w:rPr>
      </w:pPr>
    </w:p>
  </w:footnote>
  <w:footnote w:id="15">
    <w:p w14:paraId="2558EC2B" w14:textId="77777777" w:rsidR="00055A9F" w:rsidRPr="001D717E" w:rsidRDefault="00055A9F" w:rsidP="001D717E">
      <w:pPr>
        <w:pStyle w:val="Textonotapie"/>
        <w:ind w:firstLine="709"/>
        <w:jc w:val="both"/>
        <w:rPr>
          <w:rFonts w:ascii="Arial" w:hAnsi="Arial" w:cs="Arial"/>
          <w:color w:val="000000"/>
          <w:sz w:val="19"/>
          <w:szCs w:val="19"/>
        </w:rPr>
      </w:pPr>
      <w:r w:rsidRPr="00FE32E5">
        <w:rPr>
          <w:rStyle w:val="Refdenotaalpie"/>
        </w:rPr>
        <w:footnoteRef/>
      </w:r>
      <w:r w:rsidRPr="001D717E">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5F68EDAF" w14:textId="77777777" w:rsidR="00055A9F" w:rsidRPr="001D717E" w:rsidRDefault="00055A9F" w:rsidP="001D717E">
      <w:pPr>
        <w:pStyle w:val="Textonotapie"/>
        <w:ind w:firstLine="709"/>
        <w:jc w:val="both"/>
        <w:rPr>
          <w:rFonts w:ascii="Arial" w:hAnsi="Arial" w:cs="Arial"/>
          <w:color w:val="000000"/>
          <w:sz w:val="19"/>
          <w:szCs w:val="19"/>
        </w:rPr>
      </w:pPr>
      <w:r w:rsidRPr="001D717E">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6">
    <w:p w14:paraId="6704524B" w14:textId="61337680" w:rsidR="00946AAC" w:rsidRPr="001D717E" w:rsidRDefault="00946AAC" w:rsidP="001D717E">
      <w:pPr>
        <w:pStyle w:val="Textonotapie"/>
        <w:ind w:firstLine="709"/>
        <w:jc w:val="both"/>
        <w:rPr>
          <w:rFonts w:ascii="Arial" w:hAnsi="Arial" w:cs="Arial"/>
          <w:sz w:val="19"/>
          <w:szCs w:val="19"/>
          <w:lang w:val="es-ES"/>
        </w:rPr>
      </w:pPr>
      <w:r w:rsidRPr="00FE32E5">
        <w:rPr>
          <w:rStyle w:val="Refdenotaalpie"/>
        </w:rPr>
        <w:footnoteRef/>
      </w:r>
      <w:r w:rsidRPr="001D717E">
        <w:rPr>
          <w:rFonts w:ascii="Arial" w:hAnsi="Arial" w:cs="Arial"/>
          <w:sz w:val="19"/>
          <w:szCs w:val="19"/>
        </w:rPr>
        <w:t xml:space="preserve"> </w:t>
      </w:r>
      <w:r w:rsidRPr="001D717E">
        <w:rPr>
          <w:rFonts w:ascii="Arial" w:hAnsi="Arial" w:cs="Arial"/>
          <w:sz w:val="19"/>
          <w:szCs w:val="19"/>
          <w:lang w:val="es-ES"/>
        </w:rPr>
        <w:t>Esta norma establece: «Toda obligación puede extinguirse por una convención en que las partes interesadas, siendo capaces de disponer libremente de lo suyo, consientan en darla por nula.</w:t>
      </w:r>
    </w:p>
    <w:p w14:paraId="4A36B77D" w14:textId="7FEE7BB5" w:rsidR="00946AAC" w:rsidRPr="001D717E" w:rsidRDefault="00946AAC"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Las obligaciones se extinguen además en todo o en parte:</w:t>
      </w:r>
    </w:p>
    <w:p w14:paraId="576B082E" w14:textId="10F510F6"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1o.) Por la solución o pago efectivo.</w:t>
      </w:r>
    </w:p>
    <w:p w14:paraId="034494ED" w14:textId="05C224E5"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2o.) Por la novación.</w:t>
      </w:r>
    </w:p>
    <w:p w14:paraId="4499294C" w14:textId="040E0AF6"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3o.) Por la transacción.</w:t>
      </w:r>
    </w:p>
    <w:p w14:paraId="12A2E5E6" w14:textId="29C72176"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4o.) Por la remisión.</w:t>
      </w:r>
    </w:p>
    <w:p w14:paraId="3F8E8248" w14:textId="575B7825"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5o.) Por la compensación.</w:t>
      </w:r>
    </w:p>
    <w:p w14:paraId="0D27705A" w14:textId="44A919D9"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6o.) Por la confusión.</w:t>
      </w:r>
    </w:p>
    <w:p w14:paraId="570A98EA" w14:textId="26518402"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7o.) Por la pérdida de la cosa que se debe.</w:t>
      </w:r>
    </w:p>
    <w:p w14:paraId="2DAC0489" w14:textId="204202F7"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8o.) Por la declaración de nulidad o por la rescisión.</w:t>
      </w:r>
    </w:p>
    <w:p w14:paraId="3E99F6C8" w14:textId="1F788716"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9o.) Por el evento de la condición resolutoria.</w:t>
      </w:r>
    </w:p>
    <w:p w14:paraId="2D077017" w14:textId="0FCD9597"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10.) Por la prescripción.</w:t>
      </w:r>
    </w:p>
    <w:p w14:paraId="193FFB77" w14:textId="0E11A3BB" w:rsidR="00946AAC" w:rsidRPr="001D717E" w:rsidRDefault="001D717E" w:rsidP="001D717E">
      <w:pPr>
        <w:pStyle w:val="Textonotapie"/>
        <w:ind w:firstLine="709"/>
        <w:jc w:val="both"/>
        <w:rPr>
          <w:rFonts w:ascii="Arial" w:hAnsi="Arial" w:cs="Arial"/>
          <w:sz w:val="19"/>
          <w:szCs w:val="19"/>
          <w:lang w:val="es-ES"/>
        </w:rPr>
      </w:pPr>
      <w:r w:rsidRPr="001D717E">
        <w:rPr>
          <w:rFonts w:ascii="Arial" w:hAnsi="Arial" w:cs="Arial"/>
          <w:sz w:val="19"/>
          <w:szCs w:val="19"/>
          <w:lang w:val="es-ES"/>
        </w:rPr>
        <w:t>»</w:t>
      </w:r>
      <w:r w:rsidR="00946AAC" w:rsidRPr="001D717E">
        <w:rPr>
          <w:rFonts w:ascii="Arial" w:hAnsi="Arial" w:cs="Arial"/>
          <w:sz w:val="19"/>
          <w:szCs w:val="19"/>
          <w:lang w:val="es-ES"/>
        </w:rPr>
        <w:t>De la transacción y la prescripción se tratará al fin de este libro; de la condición resolutoria se ha tratado en el título De las obligaciones condicionales</w:t>
      </w:r>
      <w:r w:rsidRPr="001D717E">
        <w:rPr>
          <w:rFonts w:ascii="Arial" w:hAnsi="Arial" w:cs="Arial"/>
          <w:sz w:val="19"/>
          <w:szCs w:val="19"/>
          <w:lang w:val="es-ES"/>
        </w:rPr>
        <w:t>»</w:t>
      </w:r>
      <w:r w:rsidR="00946AAC" w:rsidRPr="001D717E">
        <w:rPr>
          <w:rFonts w:ascii="Arial" w:hAnsi="Arial" w:cs="Arial"/>
          <w:sz w:val="19"/>
          <w:szCs w:val="19"/>
          <w:lang w:val="es-ES"/>
        </w:rPr>
        <w:t>.</w:t>
      </w:r>
    </w:p>
  </w:footnote>
  <w:footnote w:id="17">
    <w:p w14:paraId="76EB5C52" w14:textId="77777777" w:rsidR="001D717E" w:rsidRDefault="001D717E" w:rsidP="001D717E">
      <w:pPr>
        <w:pStyle w:val="Textonotapie"/>
        <w:ind w:firstLine="709"/>
        <w:jc w:val="both"/>
        <w:rPr>
          <w:rFonts w:ascii="Arial" w:hAnsi="Arial" w:cs="Arial"/>
          <w:sz w:val="19"/>
          <w:szCs w:val="19"/>
        </w:rPr>
      </w:pPr>
    </w:p>
    <w:p w14:paraId="67781DBA" w14:textId="791A0980" w:rsidR="00387FBD" w:rsidRPr="001D717E" w:rsidRDefault="00387FBD"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Consejo de Estado. Sección Tercera. Sentencia del 1 de octubre de 2018. Consejera Ponente: Marta Nubia Velásquez Rico. Expediente: 57.897.</w:t>
      </w:r>
    </w:p>
    <w:p w14:paraId="06194BB5" w14:textId="77777777" w:rsidR="00387FBD" w:rsidRPr="001D717E" w:rsidRDefault="00387FBD" w:rsidP="001D717E">
      <w:pPr>
        <w:pStyle w:val="Textonotapie"/>
        <w:ind w:firstLine="709"/>
        <w:jc w:val="both"/>
        <w:rPr>
          <w:rFonts w:ascii="Arial" w:hAnsi="Arial" w:cs="Arial"/>
          <w:sz w:val="19"/>
          <w:szCs w:val="19"/>
        </w:rPr>
      </w:pPr>
    </w:p>
  </w:footnote>
  <w:footnote w:id="18">
    <w:p w14:paraId="137A033F" w14:textId="77777777" w:rsidR="00387FBD" w:rsidRPr="001D717E" w:rsidRDefault="00387FBD"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Cfr. Consejo de Estado. Sección Tercera. Sentencia del 1 de junio de 2017. Consejero Ponente: Ramiro Pazos Guerrero. Expediente: 36.117, en la cual se analizó la suspensión de un contrato estatal debido a un paro armado promovido por grupos al margen de la ley en el sitio de ejecución de la obra.</w:t>
      </w:r>
    </w:p>
    <w:p w14:paraId="4ADB4CF8" w14:textId="77777777" w:rsidR="00387FBD" w:rsidRPr="001D717E" w:rsidRDefault="00387FBD" w:rsidP="001D717E">
      <w:pPr>
        <w:pStyle w:val="Textonotapie"/>
        <w:ind w:firstLine="709"/>
        <w:jc w:val="both"/>
        <w:rPr>
          <w:rFonts w:ascii="Arial" w:hAnsi="Arial" w:cs="Arial"/>
          <w:sz w:val="19"/>
          <w:szCs w:val="19"/>
        </w:rPr>
      </w:pPr>
    </w:p>
  </w:footnote>
  <w:footnote w:id="19">
    <w:p w14:paraId="5A24B210" w14:textId="77777777" w:rsidR="00387FBD" w:rsidRPr="001D717E" w:rsidRDefault="00387FBD" w:rsidP="001D717E">
      <w:pPr>
        <w:pStyle w:val="Textonotapie"/>
        <w:ind w:firstLine="709"/>
        <w:jc w:val="both"/>
        <w:rPr>
          <w:rFonts w:ascii="Arial" w:hAnsi="Arial" w:cs="Arial"/>
          <w:sz w:val="19"/>
          <w:szCs w:val="19"/>
          <w:lang w:val="es-ES"/>
        </w:rPr>
      </w:pPr>
      <w:r w:rsidRPr="00FE32E5">
        <w:rPr>
          <w:rStyle w:val="Refdenotaalpie"/>
        </w:rPr>
        <w:footnoteRef/>
      </w:r>
      <w:r w:rsidRPr="001D717E">
        <w:rPr>
          <w:rFonts w:ascii="Arial" w:hAnsi="Arial" w:cs="Arial"/>
          <w:sz w:val="19"/>
          <w:szCs w:val="19"/>
        </w:rPr>
        <w:t xml:space="preserve"> </w:t>
      </w:r>
      <w:r w:rsidRPr="001D717E">
        <w:rPr>
          <w:rFonts w:ascii="Arial" w:hAnsi="Arial" w:cs="Arial"/>
          <w:sz w:val="19"/>
          <w:szCs w:val="19"/>
          <w:lang w:val="es-ES"/>
        </w:rPr>
        <w:t>El artículo 64 del Código Civil define la fuerza mayor o caso fortuito como «el imprevisto o que no es posible resistir, como un naufragio, un terremoto, el apresamiento de enemigos, los actos de autoridad ejercidos por un funcionario público, etc.».</w:t>
      </w:r>
    </w:p>
    <w:p w14:paraId="4CD00633" w14:textId="77777777" w:rsidR="00387FBD" w:rsidRPr="001D717E" w:rsidRDefault="00387FBD" w:rsidP="001D717E">
      <w:pPr>
        <w:pStyle w:val="Textonotapie"/>
        <w:ind w:firstLine="709"/>
        <w:jc w:val="both"/>
        <w:rPr>
          <w:rFonts w:ascii="Arial" w:hAnsi="Arial" w:cs="Arial"/>
          <w:sz w:val="19"/>
          <w:szCs w:val="19"/>
          <w:lang w:val="es-CO"/>
        </w:rPr>
      </w:pPr>
    </w:p>
  </w:footnote>
  <w:footnote w:id="20">
    <w:p w14:paraId="15FFA11E" w14:textId="77777777" w:rsidR="00387FBD" w:rsidRPr="001D717E" w:rsidRDefault="00387FBD" w:rsidP="001D717E">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p w14:paraId="0AD4C8A1" w14:textId="77777777" w:rsidR="00387FBD" w:rsidRPr="001D717E" w:rsidRDefault="00387FBD" w:rsidP="001D717E">
      <w:pPr>
        <w:pStyle w:val="Textonotapie"/>
        <w:ind w:firstLine="709"/>
        <w:jc w:val="both"/>
        <w:rPr>
          <w:rFonts w:ascii="Arial" w:hAnsi="Arial" w:cs="Arial"/>
          <w:sz w:val="19"/>
          <w:szCs w:val="19"/>
          <w:lang w:val="es-CO"/>
        </w:rPr>
      </w:pPr>
    </w:p>
  </w:footnote>
  <w:footnote w:id="21">
    <w:p w14:paraId="20217BF7" w14:textId="77777777" w:rsidR="00387FBD" w:rsidRPr="001D717E" w:rsidRDefault="00387FBD" w:rsidP="001D717E">
      <w:pPr>
        <w:pStyle w:val="Textonotapie"/>
        <w:ind w:firstLine="709"/>
        <w:jc w:val="both"/>
        <w:rPr>
          <w:rFonts w:ascii="Arial" w:hAnsi="Arial" w:cs="Arial"/>
          <w:sz w:val="19"/>
          <w:szCs w:val="19"/>
          <w:lang w:val="es-ES"/>
        </w:rPr>
      </w:pPr>
      <w:r w:rsidRPr="00FE32E5">
        <w:rPr>
          <w:rStyle w:val="Refdenotaalpie"/>
        </w:rPr>
        <w:footnoteRef/>
      </w:r>
      <w:r w:rsidRPr="001D717E">
        <w:rPr>
          <w:rFonts w:ascii="Arial" w:hAnsi="Arial" w:cs="Arial"/>
          <w:sz w:val="19"/>
          <w:szCs w:val="19"/>
        </w:rPr>
        <w:t xml:space="preserve"> </w:t>
      </w:r>
      <w:r w:rsidRPr="001D717E">
        <w:rPr>
          <w:rFonts w:ascii="Arial" w:hAnsi="Arial" w:cs="Arial"/>
          <w:sz w:val="19"/>
          <w:szCs w:val="19"/>
          <w:lang w:val="es-ES"/>
        </w:rPr>
        <w:t>En circunstancias como la mencionada la entidad podría hacer uso de las cláusulas de caducidad o de terminación unilateral, reguladas en los artículos 17 y 18 de la Ley 80 de 1993, según el caso.</w:t>
      </w:r>
    </w:p>
  </w:footnote>
  <w:footnote w:id="22">
    <w:p w14:paraId="28BC6D16" w14:textId="77777777" w:rsidR="00B403DF" w:rsidRPr="001D717E" w:rsidRDefault="00B403DF" w:rsidP="00B403DF">
      <w:pPr>
        <w:pStyle w:val="Textonotapie"/>
        <w:ind w:firstLine="709"/>
        <w:jc w:val="both"/>
        <w:rPr>
          <w:rFonts w:ascii="Arial" w:hAnsi="Arial" w:cs="Arial"/>
          <w:sz w:val="19"/>
          <w:szCs w:val="19"/>
        </w:rPr>
      </w:pPr>
      <w:r w:rsidRPr="00FE32E5">
        <w:rPr>
          <w:rStyle w:val="Refdenotaalpie"/>
        </w:rPr>
        <w:footnoteRef/>
      </w:r>
      <w:r w:rsidRPr="001D717E">
        <w:rPr>
          <w:rFonts w:ascii="Arial" w:hAnsi="Arial" w:cs="Arial"/>
          <w:sz w:val="19"/>
          <w:szCs w:val="19"/>
        </w:rPr>
        <w:t xml:space="preserve"> «[…]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Auto del 10 de mayo de 2019. Consejero Ponente: Guillermo Sánchez Luque. Expediente: 59.532).</w:t>
      </w:r>
    </w:p>
    <w:p w14:paraId="5FB1B850" w14:textId="77777777" w:rsidR="00B403DF" w:rsidRPr="001D717E" w:rsidRDefault="00B403DF" w:rsidP="00B403DF">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7A4176" w:rsidRDefault="00906B3C" w:rsidP="00906B3C">
    <w:pPr>
      <w:pStyle w:val="Encabezado"/>
      <w:tabs>
        <w:tab w:val="clear" w:pos="4419"/>
        <w:tab w:val="clear" w:pos="8838"/>
      </w:tabs>
      <w:ind w:left="3545" w:firstLine="709"/>
      <w:rPr>
        <w:b/>
        <w:bCs/>
        <w:color w:val="DBDBDB"/>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5"/>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7"/>
  </w:num>
  <w:num w:numId="8" w16cid:durableId="782269077">
    <w:abstractNumId w:val="6"/>
  </w:num>
  <w:num w:numId="9" w16cid:durableId="1559588099">
    <w:abstractNumId w:val="8"/>
  </w:num>
  <w:num w:numId="10" w16cid:durableId="19859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CBB"/>
    <w:rsid w:val="00006A96"/>
    <w:rsid w:val="000123C0"/>
    <w:rsid w:val="00042F76"/>
    <w:rsid w:val="00055A9F"/>
    <w:rsid w:val="00060D46"/>
    <w:rsid w:val="00062F54"/>
    <w:rsid w:val="00083334"/>
    <w:rsid w:val="000926F9"/>
    <w:rsid w:val="00094B75"/>
    <w:rsid w:val="000956CF"/>
    <w:rsid w:val="000A683E"/>
    <w:rsid w:val="000D6B52"/>
    <w:rsid w:val="000E1AFA"/>
    <w:rsid w:val="00101878"/>
    <w:rsid w:val="00113434"/>
    <w:rsid w:val="0011595A"/>
    <w:rsid w:val="00117F0E"/>
    <w:rsid w:val="001220C5"/>
    <w:rsid w:val="001267F7"/>
    <w:rsid w:val="00127233"/>
    <w:rsid w:val="00131F2D"/>
    <w:rsid w:val="0013375F"/>
    <w:rsid w:val="00164D81"/>
    <w:rsid w:val="001A052D"/>
    <w:rsid w:val="001A1011"/>
    <w:rsid w:val="001C0BE5"/>
    <w:rsid w:val="001D3D8B"/>
    <w:rsid w:val="001D717E"/>
    <w:rsid w:val="002449A8"/>
    <w:rsid w:val="00244D69"/>
    <w:rsid w:val="002653C1"/>
    <w:rsid w:val="00282E19"/>
    <w:rsid w:val="002854EB"/>
    <w:rsid w:val="00291FB5"/>
    <w:rsid w:val="002951A0"/>
    <w:rsid w:val="002A2DC4"/>
    <w:rsid w:val="002A64FD"/>
    <w:rsid w:val="002A77B5"/>
    <w:rsid w:val="002B282F"/>
    <w:rsid w:val="00310B9B"/>
    <w:rsid w:val="00321669"/>
    <w:rsid w:val="003342A8"/>
    <w:rsid w:val="00342BF3"/>
    <w:rsid w:val="00344914"/>
    <w:rsid w:val="0036461C"/>
    <w:rsid w:val="00367884"/>
    <w:rsid w:val="00380ABF"/>
    <w:rsid w:val="00382303"/>
    <w:rsid w:val="00387FBD"/>
    <w:rsid w:val="0039439C"/>
    <w:rsid w:val="003B69E7"/>
    <w:rsid w:val="003B7975"/>
    <w:rsid w:val="003C013B"/>
    <w:rsid w:val="003D0F4D"/>
    <w:rsid w:val="003D2E7F"/>
    <w:rsid w:val="003E17CC"/>
    <w:rsid w:val="003E46DF"/>
    <w:rsid w:val="003F58A1"/>
    <w:rsid w:val="00405039"/>
    <w:rsid w:val="00410DD6"/>
    <w:rsid w:val="00413333"/>
    <w:rsid w:val="004134C9"/>
    <w:rsid w:val="00417B40"/>
    <w:rsid w:val="00422864"/>
    <w:rsid w:val="0042358C"/>
    <w:rsid w:val="00431F79"/>
    <w:rsid w:val="00445CF4"/>
    <w:rsid w:val="00462A59"/>
    <w:rsid w:val="00472E03"/>
    <w:rsid w:val="00476D37"/>
    <w:rsid w:val="004875A5"/>
    <w:rsid w:val="004A1847"/>
    <w:rsid w:val="004B2B35"/>
    <w:rsid w:val="004B3275"/>
    <w:rsid w:val="004B6B0E"/>
    <w:rsid w:val="004C22F4"/>
    <w:rsid w:val="004D25B3"/>
    <w:rsid w:val="004E2C8E"/>
    <w:rsid w:val="004F0098"/>
    <w:rsid w:val="004F1578"/>
    <w:rsid w:val="004F577F"/>
    <w:rsid w:val="00511405"/>
    <w:rsid w:val="00526E9D"/>
    <w:rsid w:val="00545DD9"/>
    <w:rsid w:val="00547533"/>
    <w:rsid w:val="00547A74"/>
    <w:rsid w:val="00555FC4"/>
    <w:rsid w:val="005566E8"/>
    <w:rsid w:val="00564560"/>
    <w:rsid w:val="005746AB"/>
    <w:rsid w:val="005959FC"/>
    <w:rsid w:val="005B1A87"/>
    <w:rsid w:val="005D65C8"/>
    <w:rsid w:val="0060388E"/>
    <w:rsid w:val="006219F8"/>
    <w:rsid w:val="00631615"/>
    <w:rsid w:val="00632CCD"/>
    <w:rsid w:val="00637E71"/>
    <w:rsid w:val="00644A46"/>
    <w:rsid w:val="00660D08"/>
    <w:rsid w:val="006730DE"/>
    <w:rsid w:val="006748E6"/>
    <w:rsid w:val="00681FDB"/>
    <w:rsid w:val="00682568"/>
    <w:rsid w:val="00686461"/>
    <w:rsid w:val="006A7DAD"/>
    <w:rsid w:val="006C0939"/>
    <w:rsid w:val="006C460F"/>
    <w:rsid w:val="006D70BA"/>
    <w:rsid w:val="006D7190"/>
    <w:rsid w:val="006E6D17"/>
    <w:rsid w:val="007009F6"/>
    <w:rsid w:val="00700F28"/>
    <w:rsid w:val="00710EE2"/>
    <w:rsid w:val="00713CA3"/>
    <w:rsid w:val="00715704"/>
    <w:rsid w:val="00734D2D"/>
    <w:rsid w:val="00737215"/>
    <w:rsid w:val="00740A42"/>
    <w:rsid w:val="00745613"/>
    <w:rsid w:val="0074631F"/>
    <w:rsid w:val="00753C66"/>
    <w:rsid w:val="00765FD5"/>
    <w:rsid w:val="0077144B"/>
    <w:rsid w:val="00795542"/>
    <w:rsid w:val="007A4176"/>
    <w:rsid w:val="007D2B84"/>
    <w:rsid w:val="007F2B7C"/>
    <w:rsid w:val="008025F9"/>
    <w:rsid w:val="00807FCC"/>
    <w:rsid w:val="008120F9"/>
    <w:rsid w:val="00814610"/>
    <w:rsid w:val="00814E08"/>
    <w:rsid w:val="00820F5B"/>
    <w:rsid w:val="00821F60"/>
    <w:rsid w:val="0082296B"/>
    <w:rsid w:val="00823822"/>
    <w:rsid w:val="00833452"/>
    <w:rsid w:val="00853316"/>
    <w:rsid w:val="00857734"/>
    <w:rsid w:val="008614E5"/>
    <w:rsid w:val="008678EB"/>
    <w:rsid w:val="00873614"/>
    <w:rsid w:val="0087387D"/>
    <w:rsid w:val="00881C10"/>
    <w:rsid w:val="00881EB1"/>
    <w:rsid w:val="00890D28"/>
    <w:rsid w:val="008A113B"/>
    <w:rsid w:val="008A2823"/>
    <w:rsid w:val="008A493A"/>
    <w:rsid w:val="008A5B1D"/>
    <w:rsid w:val="008C20BE"/>
    <w:rsid w:val="008C42A8"/>
    <w:rsid w:val="008C4846"/>
    <w:rsid w:val="008C4B49"/>
    <w:rsid w:val="008D5C70"/>
    <w:rsid w:val="009025AF"/>
    <w:rsid w:val="00904F23"/>
    <w:rsid w:val="00906B3C"/>
    <w:rsid w:val="00917C28"/>
    <w:rsid w:val="00935DFB"/>
    <w:rsid w:val="00944EED"/>
    <w:rsid w:val="00946AAC"/>
    <w:rsid w:val="00957616"/>
    <w:rsid w:val="009B048B"/>
    <w:rsid w:val="009B631B"/>
    <w:rsid w:val="009C5C6C"/>
    <w:rsid w:val="009C7590"/>
    <w:rsid w:val="009F33F2"/>
    <w:rsid w:val="00A07532"/>
    <w:rsid w:val="00A103AB"/>
    <w:rsid w:val="00A1085C"/>
    <w:rsid w:val="00A309E2"/>
    <w:rsid w:val="00A31AD4"/>
    <w:rsid w:val="00A33C33"/>
    <w:rsid w:val="00A35B77"/>
    <w:rsid w:val="00A3799A"/>
    <w:rsid w:val="00A65EB1"/>
    <w:rsid w:val="00A8066E"/>
    <w:rsid w:val="00AA4B8A"/>
    <w:rsid w:val="00AA6BF7"/>
    <w:rsid w:val="00AB0A21"/>
    <w:rsid w:val="00AB2853"/>
    <w:rsid w:val="00AC4911"/>
    <w:rsid w:val="00B06D09"/>
    <w:rsid w:val="00B32CF9"/>
    <w:rsid w:val="00B403DF"/>
    <w:rsid w:val="00B41DA6"/>
    <w:rsid w:val="00B44937"/>
    <w:rsid w:val="00B4724F"/>
    <w:rsid w:val="00B53124"/>
    <w:rsid w:val="00B67D73"/>
    <w:rsid w:val="00B730B3"/>
    <w:rsid w:val="00B771A9"/>
    <w:rsid w:val="00B809BB"/>
    <w:rsid w:val="00B8248A"/>
    <w:rsid w:val="00B872E3"/>
    <w:rsid w:val="00B97B2E"/>
    <w:rsid w:val="00BD7427"/>
    <w:rsid w:val="00C00DCF"/>
    <w:rsid w:val="00C30461"/>
    <w:rsid w:val="00C441F3"/>
    <w:rsid w:val="00C50F6A"/>
    <w:rsid w:val="00C6220B"/>
    <w:rsid w:val="00C72F2E"/>
    <w:rsid w:val="00C754BE"/>
    <w:rsid w:val="00CC1B26"/>
    <w:rsid w:val="00CC37E5"/>
    <w:rsid w:val="00CD284F"/>
    <w:rsid w:val="00CD5133"/>
    <w:rsid w:val="00CE0027"/>
    <w:rsid w:val="00CE3232"/>
    <w:rsid w:val="00CE3EA1"/>
    <w:rsid w:val="00CF23AA"/>
    <w:rsid w:val="00CF68C9"/>
    <w:rsid w:val="00D01921"/>
    <w:rsid w:val="00D151D6"/>
    <w:rsid w:val="00D1572C"/>
    <w:rsid w:val="00D17589"/>
    <w:rsid w:val="00D44302"/>
    <w:rsid w:val="00D47394"/>
    <w:rsid w:val="00D501A4"/>
    <w:rsid w:val="00D54B1C"/>
    <w:rsid w:val="00D752B7"/>
    <w:rsid w:val="00D920C8"/>
    <w:rsid w:val="00DA1854"/>
    <w:rsid w:val="00DA240B"/>
    <w:rsid w:val="00DA5DDE"/>
    <w:rsid w:val="00DB68AA"/>
    <w:rsid w:val="00DC28A4"/>
    <w:rsid w:val="00DE38AB"/>
    <w:rsid w:val="00DF58FB"/>
    <w:rsid w:val="00E20894"/>
    <w:rsid w:val="00E237AA"/>
    <w:rsid w:val="00E26B7C"/>
    <w:rsid w:val="00E301E6"/>
    <w:rsid w:val="00E40051"/>
    <w:rsid w:val="00E4493A"/>
    <w:rsid w:val="00E64E3C"/>
    <w:rsid w:val="00E711D4"/>
    <w:rsid w:val="00E829A3"/>
    <w:rsid w:val="00E859DD"/>
    <w:rsid w:val="00E85C6F"/>
    <w:rsid w:val="00E87DDB"/>
    <w:rsid w:val="00E95C9B"/>
    <w:rsid w:val="00EB66DA"/>
    <w:rsid w:val="00EC64CD"/>
    <w:rsid w:val="00ED50AD"/>
    <w:rsid w:val="00ED50C8"/>
    <w:rsid w:val="00EF504A"/>
    <w:rsid w:val="00F11700"/>
    <w:rsid w:val="00F40AF1"/>
    <w:rsid w:val="00F449DF"/>
    <w:rsid w:val="00F459EE"/>
    <w:rsid w:val="00F57589"/>
    <w:rsid w:val="00F605F2"/>
    <w:rsid w:val="00F73942"/>
    <w:rsid w:val="00F75D77"/>
    <w:rsid w:val="00F76AFC"/>
    <w:rsid w:val="00F80752"/>
    <w:rsid w:val="00F879A2"/>
    <w:rsid w:val="00F91ACE"/>
    <w:rsid w:val="00FA5516"/>
    <w:rsid w:val="00FB5E73"/>
    <w:rsid w:val="00FC689C"/>
    <w:rsid w:val="00FC79DE"/>
    <w:rsid w:val="00FD6F73"/>
    <w:rsid w:val="00FD7AC7"/>
    <w:rsid w:val="00FE3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1"/>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49A8"/>
    <w:rPr>
      <w:rFonts w:ascii="Times New Roman" w:hAnsi="Times New Roman" w:cs="Times New Roman"/>
      <w:sz w:val="24"/>
      <w:szCs w:val="24"/>
    </w:rPr>
  </w:style>
  <w:style w:type="character" w:customStyle="1" w:styleId="Hipervnculo1">
    <w:name w:val="Hipervínculo1"/>
    <w:basedOn w:val="Fuentedeprrafopredeter"/>
    <w:uiPriority w:val="99"/>
    <w:unhideWhenUsed/>
    <w:rsid w:val="00B41DA6"/>
    <w:rPr>
      <w:color w:val="F2F2F2"/>
      <w:u w:val="single"/>
    </w:rPr>
  </w:style>
  <w:style w:type="paragraph" w:styleId="Textoindependiente3">
    <w:name w:val="Body Text 3"/>
    <w:basedOn w:val="Normal"/>
    <w:link w:val="Textoindependiente3Car"/>
    <w:uiPriority w:val="99"/>
    <w:semiHidden/>
    <w:unhideWhenUsed/>
    <w:rsid w:val="00B41D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1DA6"/>
    <w:rPr>
      <w:sz w:val="16"/>
      <w:szCs w:val="16"/>
    </w:rPr>
  </w:style>
  <w:style w:type="character" w:styleId="Refdenotaalfinal">
    <w:name w:val="endnote reference"/>
    <w:basedOn w:val="Fuentedeprrafopredeter"/>
    <w:uiPriority w:val="99"/>
    <w:semiHidden/>
    <w:unhideWhenUsed/>
    <w:rsid w:val="00B41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354961164">
      <w:bodyDiv w:val="1"/>
      <w:marLeft w:val="0"/>
      <w:marRight w:val="0"/>
      <w:marTop w:val="0"/>
      <w:marBottom w:val="0"/>
      <w:divBdr>
        <w:top w:val="none" w:sz="0" w:space="0" w:color="auto"/>
        <w:left w:val="none" w:sz="0" w:space="0" w:color="auto"/>
        <w:bottom w:val="none" w:sz="0" w:space="0" w:color="auto"/>
        <w:right w:val="none" w:sz="0" w:space="0" w:color="auto"/>
      </w:divBdr>
    </w:div>
    <w:div w:id="533690907">
      <w:bodyDiv w:val="1"/>
      <w:marLeft w:val="0"/>
      <w:marRight w:val="0"/>
      <w:marTop w:val="0"/>
      <w:marBottom w:val="0"/>
      <w:divBdr>
        <w:top w:val="none" w:sz="0" w:space="0" w:color="auto"/>
        <w:left w:val="none" w:sz="0" w:space="0" w:color="auto"/>
        <w:bottom w:val="none" w:sz="0" w:space="0" w:color="auto"/>
        <w:right w:val="none" w:sz="0" w:space="0" w:color="auto"/>
      </w:divBdr>
      <w:divsChild>
        <w:div w:id="1493449312">
          <w:marLeft w:val="0"/>
          <w:marRight w:val="0"/>
          <w:marTop w:val="0"/>
          <w:marBottom w:val="0"/>
          <w:divBdr>
            <w:top w:val="none" w:sz="0" w:space="0" w:color="auto"/>
            <w:left w:val="none" w:sz="0" w:space="0" w:color="auto"/>
            <w:bottom w:val="none" w:sz="0" w:space="0" w:color="auto"/>
            <w:right w:val="none" w:sz="0" w:space="0" w:color="auto"/>
          </w:divBdr>
          <w:divsChild>
            <w:div w:id="1253784185">
              <w:marLeft w:val="0"/>
              <w:marRight w:val="0"/>
              <w:marTop w:val="0"/>
              <w:marBottom w:val="0"/>
              <w:divBdr>
                <w:top w:val="none" w:sz="0" w:space="0" w:color="auto"/>
                <w:left w:val="none" w:sz="0" w:space="0" w:color="auto"/>
                <w:bottom w:val="none" w:sz="0" w:space="0" w:color="auto"/>
                <w:right w:val="none" w:sz="0" w:space="0" w:color="auto"/>
              </w:divBdr>
              <w:divsChild>
                <w:div w:id="20286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 w:id="1304507547">
      <w:bodyDiv w:val="1"/>
      <w:marLeft w:val="0"/>
      <w:marRight w:val="0"/>
      <w:marTop w:val="0"/>
      <w:marBottom w:val="0"/>
      <w:divBdr>
        <w:top w:val="none" w:sz="0" w:space="0" w:color="auto"/>
        <w:left w:val="none" w:sz="0" w:space="0" w:color="auto"/>
        <w:bottom w:val="none" w:sz="0" w:space="0" w:color="auto"/>
        <w:right w:val="none" w:sz="0" w:space="0" w:color="auto"/>
      </w:divBdr>
    </w:div>
    <w:div w:id="15458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E77E9-0C2A-4893-887E-54CD90E2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6639</Words>
  <Characters>36517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2022-11-17T11:56:00Z</dcterms:created>
  <dcterms:modified xsi:type="dcterms:W3CDTF">2022-11-17T11:56:00Z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