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2DB0" w14:textId="77777777" w:rsidR="00137E23" w:rsidRPr="00696ABB" w:rsidRDefault="00137E23" w:rsidP="00862D6E">
      <w:pPr>
        <w:spacing w:after="0" w:line="240" w:lineRule="auto"/>
        <w:jc w:val="right"/>
        <w:rPr>
          <w:rFonts w:ascii="Arial" w:eastAsia="Times New Roman" w:hAnsi="Arial" w:cs="Arial"/>
          <w:sz w:val="18"/>
          <w:szCs w:val="18"/>
          <w:lang w:eastAsia="es-ES"/>
        </w:rPr>
      </w:pPr>
      <w:r w:rsidRPr="00696ABB">
        <w:rPr>
          <w:rFonts w:ascii="Arial" w:eastAsia="Times New Roman" w:hAnsi="Arial" w:cs="Arial"/>
          <w:sz w:val="18"/>
          <w:szCs w:val="18"/>
          <w:lang w:eastAsia="es-ES"/>
        </w:rPr>
        <w:t>CCE-DES-FM-17</w:t>
      </w:r>
    </w:p>
    <w:p w14:paraId="4113813E" w14:textId="77777777" w:rsidR="00137E23" w:rsidRPr="00696ABB" w:rsidRDefault="00137E23" w:rsidP="00862D6E">
      <w:pPr>
        <w:spacing w:after="0" w:line="240" w:lineRule="auto"/>
        <w:jc w:val="both"/>
        <w:rPr>
          <w:rFonts w:ascii="Arial" w:eastAsia="Calibri" w:hAnsi="Arial" w:cs="Arial"/>
          <w:b/>
          <w:sz w:val="20"/>
          <w:szCs w:val="20"/>
        </w:rPr>
      </w:pPr>
    </w:p>
    <w:p w14:paraId="203A5CA6" w14:textId="77777777" w:rsidR="00E27227" w:rsidRPr="00E27227" w:rsidRDefault="00E27227" w:rsidP="00862D6E">
      <w:pPr>
        <w:spacing w:after="0" w:line="240" w:lineRule="auto"/>
        <w:jc w:val="both"/>
        <w:rPr>
          <w:rFonts w:ascii="Arial" w:eastAsia="Calibri" w:hAnsi="Arial" w:cs="Arial"/>
          <w:b/>
          <w:noProof/>
          <w:color w:val="1A1A1A" w:themeColor="background1" w:themeShade="1A"/>
          <w:lang w:val="es-ES_tradnl"/>
        </w:rPr>
      </w:pPr>
      <w:bookmarkStart w:id="0" w:name="_Hlk72942111"/>
      <w:r w:rsidRPr="00E27227">
        <w:rPr>
          <w:rFonts w:ascii="Arial" w:eastAsia="Calibri" w:hAnsi="Arial" w:cs="Arial"/>
          <w:b/>
          <w:noProof/>
          <w:color w:val="1A1A1A" w:themeColor="background1" w:themeShade="1A"/>
          <w:lang w:val="es-ES_tradnl"/>
        </w:rPr>
        <w:t xml:space="preserve">PLANEACIÓN CONTRACTUAL – Noción </w:t>
      </w:r>
    </w:p>
    <w:p w14:paraId="142AA447" w14:textId="4981B3C4" w:rsidR="00E27227" w:rsidRDefault="00E27227" w:rsidP="00862D6E">
      <w:pPr>
        <w:spacing w:after="0" w:line="240" w:lineRule="auto"/>
        <w:jc w:val="both"/>
        <w:rPr>
          <w:rFonts w:ascii="Arial" w:eastAsia="Calibri" w:hAnsi="Arial" w:cs="Arial"/>
          <w:b/>
          <w:noProof/>
          <w:color w:val="1A1A1A" w:themeColor="background1" w:themeShade="1A"/>
          <w:lang w:val="es-ES_tradnl"/>
        </w:rPr>
      </w:pPr>
    </w:p>
    <w:p w14:paraId="0FDA4358" w14:textId="5CC827B3" w:rsidR="00097EEB" w:rsidRPr="00097EEB" w:rsidRDefault="00097EEB" w:rsidP="00862D6E">
      <w:pPr>
        <w:spacing w:after="0" w:line="240" w:lineRule="auto"/>
        <w:jc w:val="both"/>
        <w:rPr>
          <w:rFonts w:ascii="Arial" w:eastAsia="Calibri" w:hAnsi="Arial" w:cs="Arial"/>
          <w:sz w:val="20"/>
          <w:szCs w:val="20"/>
        </w:rPr>
      </w:pPr>
      <w:r w:rsidRPr="00097EEB">
        <w:rPr>
          <w:rFonts w:ascii="Arial" w:eastAsia="Calibri" w:hAnsi="Arial" w:cs="Arial"/>
          <w:sz w:val="20"/>
          <w:szCs w:val="20"/>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14:paraId="05A7DCBE" w14:textId="77777777" w:rsidR="00097EEB" w:rsidRPr="00097EEB" w:rsidRDefault="00097EEB" w:rsidP="00862D6E">
      <w:pPr>
        <w:spacing w:after="0" w:line="240" w:lineRule="auto"/>
        <w:jc w:val="both"/>
        <w:rPr>
          <w:rFonts w:ascii="Arial" w:eastAsia="Calibri" w:hAnsi="Arial" w:cs="Arial"/>
          <w:sz w:val="20"/>
          <w:szCs w:val="20"/>
        </w:rPr>
      </w:pPr>
    </w:p>
    <w:p w14:paraId="48B95D44" w14:textId="423A0EA2" w:rsidR="004D2662" w:rsidRPr="00696ABB" w:rsidRDefault="004D2662" w:rsidP="00862D6E">
      <w:pPr>
        <w:spacing w:after="0"/>
        <w:jc w:val="both"/>
        <w:rPr>
          <w:rFonts w:ascii="Arial" w:eastAsia="Calibri" w:hAnsi="Arial" w:cs="Arial"/>
          <w:sz w:val="20"/>
          <w:szCs w:val="20"/>
        </w:rPr>
      </w:pPr>
      <w:r w:rsidRPr="00696ABB">
        <w:rPr>
          <w:rFonts w:ascii="Arial" w:eastAsia="Calibri" w:hAnsi="Arial" w:cs="Arial"/>
          <w:sz w:val="20"/>
          <w:szCs w:val="20"/>
        </w:rPr>
        <w:t xml:space="preserve">[…] </w:t>
      </w:r>
      <w:r w:rsidR="00BD4E48" w:rsidRPr="00BD4E48">
        <w:rPr>
          <w:rFonts w:ascii="Arial" w:eastAsia="Calibri" w:hAnsi="Arial" w:cs="Arial"/>
          <w:sz w:val="20"/>
          <w:szCs w:val="20"/>
        </w:rPr>
        <w:t>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r w:rsidRPr="00696ABB">
        <w:rPr>
          <w:rFonts w:ascii="Arial" w:eastAsia="Calibri" w:hAnsi="Arial" w:cs="Arial"/>
          <w:sz w:val="20"/>
          <w:szCs w:val="20"/>
        </w:rPr>
        <w:t xml:space="preserve">. </w:t>
      </w:r>
    </w:p>
    <w:p w14:paraId="7A05EC9C" w14:textId="77777777" w:rsidR="00E27227" w:rsidRPr="00E27227" w:rsidRDefault="00E27227" w:rsidP="00862D6E">
      <w:pPr>
        <w:spacing w:after="0" w:line="240" w:lineRule="auto"/>
        <w:jc w:val="both"/>
        <w:rPr>
          <w:rFonts w:ascii="Arial" w:eastAsia="Calibri" w:hAnsi="Arial" w:cs="Arial"/>
          <w:b/>
          <w:noProof/>
          <w:color w:val="1A1A1A" w:themeColor="background1" w:themeShade="1A"/>
          <w:lang w:val="es-ES_tradnl"/>
        </w:rPr>
      </w:pPr>
    </w:p>
    <w:p w14:paraId="70724C80" w14:textId="347E7629" w:rsidR="00E27227" w:rsidRPr="00E27227" w:rsidRDefault="00E27227" w:rsidP="00862D6E">
      <w:pPr>
        <w:spacing w:after="0" w:line="240" w:lineRule="auto"/>
        <w:jc w:val="both"/>
        <w:rPr>
          <w:rFonts w:ascii="Arial" w:eastAsia="Calibri" w:hAnsi="Arial" w:cs="Arial"/>
          <w:b/>
          <w:noProof/>
          <w:color w:val="1A1A1A" w:themeColor="background1" w:themeShade="1A"/>
          <w:lang w:val="es-ES_tradnl"/>
        </w:rPr>
      </w:pPr>
      <w:r w:rsidRPr="00E27227">
        <w:rPr>
          <w:rFonts w:ascii="Arial" w:eastAsia="Calibri" w:hAnsi="Arial" w:cs="Arial"/>
          <w:b/>
          <w:noProof/>
          <w:color w:val="1A1A1A" w:themeColor="background1" w:themeShade="1A"/>
          <w:lang w:val="es-ES_tradnl"/>
        </w:rPr>
        <w:t xml:space="preserve">ESTUDIOS PREVIOS – Alcance </w:t>
      </w:r>
      <w:r w:rsidR="00BD4E48">
        <w:rPr>
          <w:rFonts w:ascii="Arial" w:eastAsia="Calibri" w:hAnsi="Arial" w:cs="Arial"/>
          <w:b/>
          <w:noProof/>
          <w:color w:val="1A1A1A" w:themeColor="background1" w:themeShade="1A"/>
          <w:lang w:val="es-ES_tradnl"/>
        </w:rPr>
        <w:t>- Contenido</w:t>
      </w:r>
    </w:p>
    <w:p w14:paraId="18E5B6D6" w14:textId="2E3EBC94" w:rsidR="00E27227" w:rsidRDefault="00E27227" w:rsidP="00862D6E">
      <w:pPr>
        <w:spacing w:after="0" w:line="240" w:lineRule="auto"/>
        <w:jc w:val="both"/>
        <w:rPr>
          <w:rFonts w:ascii="Arial" w:eastAsia="Calibri" w:hAnsi="Arial" w:cs="Arial"/>
          <w:b/>
          <w:noProof/>
          <w:color w:val="1A1A1A" w:themeColor="background1" w:themeShade="1A"/>
          <w:lang w:val="es-ES_tradnl"/>
        </w:rPr>
      </w:pPr>
    </w:p>
    <w:p w14:paraId="0B4911C3" w14:textId="77777777" w:rsidR="00097EEB" w:rsidRPr="00696ABB" w:rsidRDefault="00097EEB" w:rsidP="00862D6E">
      <w:pPr>
        <w:spacing w:after="0"/>
        <w:jc w:val="both"/>
        <w:rPr>
          <w:rFonts w:ascii="Arial" w:eastAsia="Calibri" w:hAnsi="Arial" w:cs="Arial"/>
          <w:sz w:val="20"/>
          <w:szCs w:val="20"/>
        </w:rPr>
      </w:pPr>
      <w:r w:rsidRPr="00696ABB">
        <w:rPr>
          <w:rFonts w:ascii="Arial" w:eastAsia="Calibri" w:hAnsi="Arial" w:cs="Arial"/>
          <w:sz w:val="20"/>
          <w:szCs w:val="20"/>
        </w:rPr>
        <w:t xml:space="preserve">[…] </w:t>
      </w:r>
      <w:r w:rsidRPr="00BD4E48">
        <w:rPr>
          <w:rFonts w:ascii="Arial" w:eastAsia="Calibri" w:hAnsi="Arial" w:cs="Arial"/>
          <w:sz w:val="20"/>
          <w:szCs w:val="20"/>
        </w:rPr>
        <w:t xml:space="preserve">antes de iniciar un procedimiento de selección, la entidad estatal podrá determinar con los estudios previos: i) la verdadera necesidad de la celebración del contrato; </w:t>
      </w:r>
      <w:proofErr w:type="spellStart"/>
      <w:r w:rsidRPr="00BD4E48">
        <w:rPr>
          <w:rFonts w:ascii="Arial" w:eastAsia="Calibri" w:hAnsi="Arial" w:cs="Arial"/>
          <w:sz w:val="20"/>
          <w:szCs w:val="20"/>
        </w:rPr>
        <w:t>ii</w:t>
      </w:r>
      <w:proofErr w:type="spellEnd"/>
      <w:r w:rsidRPr="00BD4E48">
        <w:rPr>
          <w:rFonts w:ascii="Arial" w:eastAsia="Calibri" w:hAnsi="Arial" w:cs="Arial"/>
          <w:sz w:val="20"/>
          <w:szCs w:val="20"/>
        </w:rPr>
        <w:t xml:space="preserve">) las modalidades existentes para satisfacer esa necesidad y las razones que justifiquen la modalidad o tipo contractual que se escoja; </w:t>
      </w:r>
      <w:proofErr w:type="spellStart"/>
      <w:r w:rsidRPr="00BD4E48">
        <w:rPr>
          <w:rFonts w:ascii="Arial" w:eastAsia="Calibri" w:hAnsi="Arial" w:cs="Arial"/>
          <w:sz w:val="20"/>
          <w:szCs w:val="20"/>
        </w:rPr>
        <w:t>iii</w:t>
      </w:r>
      <w:proofErr w:type="spellEnd"/>
      <w:r w:rsidRPr="00BD4E48">
        <w:rPr>
          <w:rFonts w:ascii="Arial" w:eastAsia="Calibri" w:hAnsi="Arial" w:cs="Arial"/>
          <w:sz w:val="20"/>
          <w:szCs w:val="20"/>
        </w:rPr>
        <w:t xml:space="preserve">) las calidades, especificaciones, cantidades y demás características que puedan o deban reunir los bienes, las obras o los servicios cuya contratación se haya determinado necesaria, </w:t>
      </w:r>
      <w:proofErr w:type="spellStart"/>
      <w:r w:rsidRPr="00BD4E48">
        <w:rPr>
          <w:rFonts w:ascii="Arial" w:eastAsia="Calibri" w:hAnsi="Arial" w:cs="Arial"/>
          <w:sz w:val="20"/>
          <w:szCs w:val="20"/>
        </w:rPr>
        <w:t>iv</w:t>
      </w:r>
      <w:proofErr w:type="spellEnd"/>
      <w:r w:rsidRPr="00BD4E48">
        <w:rPr>
          <w:rFonts w:ascii="Arial" w:eastAsia="Calibri" w:hAnsi="Arial" w:cs="Arial"/>
          <w:sz w:val="20"/>
          <w:szCs w:val="20"/>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BD4E48">
        <w:rPr>
          <w:rFonts w:ascii="Arial" w:eastAsia="Calibri" w:hAnsi="Arial" w:cs="Arial"/>
          <w:sz w:val="20"/>
          <w:szCs w:val="20"/>
        </w:rPr>
        <w:t>vii</w:t>
      </w:r>
      <w:proofErr w:type="spellEnd"/>
      <w:r w:rsidRPr="00BD4E48">
        <w:rPr>
          <w:rFonts w:ascii="Arial" w:eastAsia="Calibri" w:hAnsi="Arial" w:cs="Arial"/>
          <w:sz w:val="20"/>
          <w:szCs w:val="20"/>
        </w:rPr>
        <w:t>) los procedimientos, trámites y requisitos que deban satisfacerse, reunirse u obtenerse para llevar a cabo la selección del respectivo contratista y la celebración del contrato que se pretenda celebrar. La consideración de todos estos aspectos permite que los contratos resultantes de la planeación cuenten con el sustento técnico, económico y jurídico que incidirá en una adecuada ejecución</w:t>
      </w:r>
      <w:r w:rsidRPr="00696ABB">
        <w:rPr>
          <w:rFonts w:ascii="Arial" w:eastAsia="Calibri" w:hAnsi="Arial" w:cs="Arial"/>
          <w:sz w:val="20"/>
          <w:szCs w:val="20"/>
        </w:rPr>
        <w:t>.</w:t>
      </w:r>
    </w:p>
    <w:p w14:paraId="579E6EEA" w14:textId="77777777" w:rsidR="00E27227" w:rsidRPr="00E27227" w:rsidRDefault="00E27227" w:rsidP="00862D6E">
      <w:pPr>
        <w:spacing w:after="0" w:line="240" w:lineRule="auto"/>
        <w:jc w:val="both"/>
        <w:rPr>
          <w:rFonts w:ascii="Arial" w:eastAsia="Calibri" w:hAnsi="Arial" w:cs="Arial"/>
          <w:b/>
          <w:noProof/>
          <w:color w:val="1A1A1A" w:themeColor="background1" w:themeShade="1A"/>
          <w:lang w:val="es-ES_tradnl"/>
        </w:rPr>
      </w:pPr>
    </w:p>
    <w:p w14:paraId="03AEAE71" w14:textId="0D3B2E99" w:rsidR="00E27227" w:rsidRDefault="00E27227" w:rsidP="00862D6E">
      <w:pPr>
        <w:spacing w:after="0" w:line="240" w:lineRule="auto"/>
        <w:jc w:val="both"/>
        <w:rPr>
          <w:rFonts w:ascii="Arial" w:eastAsia="Calibri" w:hAnsi="Arial" w:cs="Arial"/>
          <w:b/>
          <w:noProof/>
          <w:color w:val="1A1A1A" w:themeColor="background1" w:themeShade="1A"/>
          <w:lang w:val="es-ES_tradnl"/>
        </w:rPr>
      </w:pPr>
      <w:r w:rsidRPr="00E27227">
        <w:rPr>
          <w:rFonts w:ascii="Arial" w:eastAsia="Calibri" w:hAnsi="Arial" w:cs="Arial"/>
          <w:b/>
          <w:noProof/>
          <w:color w:val="1A1A1A" w:themeColor="background1" w:themeShade="1A"/>
          <w:lang w:val="es-ES_tradnl"/>
        </w:rPr>
        <w:t xml:space="preserve">ESTUDIOS PREVIOS – Analisis del sector </w:t>
      </w:r>
    </w:p>
    <w:p w14:paraId="3277655F" w14:textId="3FB9BCD1" w:rsidR="00097EEB" w:rsidRDefault="00097EEB" w:rsidP="00862D6E">
      <w:pPr>
        <w:spacing w:after="0" w:line="240" w:lineRule="auto"/>
        <w:jc w:val="both"/>
        <w:rPr>
          <w:rFonts w:ascii="Arial" w:eastAsia="Calibri" w:hAnsi="Arial" w:cs="Arial"/>
          <w:b/>
          <w:noProof/>
          <w:color w:val="1A1A1A" w:themeColor="background1" w:themeShade="1A"/>
          <w:lang w:val="es-ES_tradnl"/>
        </w:rPr>
      </w:pPr>
    </w:p>
    <w:p w14:paraId="74A2F299" w14:textId="6D6B03AC" w:rsidR="00C6085D" w:rsidRDefault="00C6085D" w:rsidP="00862D6E">
      <w:pPr>
        <w:spacing w:after="0" w:line="276" w:lineRule="auto"/>
        <w:jc w:val="both"/>
        <w:rPr>
          <w:rFonts w:ascii="Arial" w:eastAsia="Calibri" w:hAnsi="Arial" w:cs="Arial"/>
          <w:sz w:val="20"/>
          <w:szCs w:val="20"/>
        </w:rPr>
      </w:pPr>
      <w:r w:rsidRPr="00696ABB">
        <w:rPr>
          <w:rFonts w:ascii="Arial" w:eastAsia="Calibri" w:hAnsi="Arial" w:cs="Arial"/>
          <w:sz w:val="20"/>
          <w:szCs w:val="20"/>
        </w:rPr>
        <w:t xml:space="preserve">[…] </w:t>
      </w:r>
      <w:r w:rsidRPr="00C6085D">
        <w:rPr>
          <w:rFonts w:ascii="Arial" w:eastAsia="Calibri" w:hAnsi="Arial" w:cs="Arial"/>
          <w:sz w:val="20"/>
          <w:szCs w:val="20"/>
        </w:rPr>
        <w:t xml:space="preserve">la entidad debe realizar el análisis necesario para conocer el sector relativo al objeto del proceso de contratación, sin que sea relevante la modalidad de selección. </w:t>
      </w:r>
    </w:p>
    <w:p w14:paraId="0383B1B5" w14:textId="77777777" w:rsidR="00C6085D" w:rsidRPr="00C6085D" w:rsidRDefault="00C6085D" w:rsidP="00862D6E">
      <w:pPr>
        <w:spacing w:after="0" w:line="276" w:lineRule="auto"/>
        <w:jc w:val="both"/>
        <w:rPr>
          <w:rFonts w:ascii="Arial" w:eastAsia="Calibri" w:hAnsi="Arial" w:cs="Arial"/>
          <w:sz w:val="20"/>
          <w:szCs w:val="20"/>
        </w:rPr>
      </w:pPr>
    </w:p>
    <w:p w14:paraId="2A41C774" w14:textId="692D8396" w:rsidR="00C6085D" w:rsidRPr="00C6085D" w:rsidRDefault="00C6085D" w:rsidP="00862D6E">
      <w:pPr>
        <w:spacing w:after="0" w:line="276" w:lineRule="auto"/>
        <w:jc w:val="both"/>
        <w:rPr>
          <w:rFonts w:ascii="Arial" w:eastAsia="Calibri" w:hAnsi="Arial" w:cs="Arial"/>
          <w:sz w:val="20"/>
          <w:szCs w:val="20"/>
        </w:rPr>
      </w:pPr>
      <w:r w:rsidRPr="00696ABB">
        <w:rPr>
          <w:rFonts w:ascii="Arial" w:eastAsia="Calibri" w:hAnsi="Arial" w:cs="Arial"/>
          <w:sz w:val="20"/>
          <w:szCs w:val="20"/>
        </w:rPr>
        <w:lastRenderedPageBreak/>
        <w:t>[…]</w:t>
      </w:r>
      <w:r>
        <w:rPr>
          <w:rFonts w:ascii="Arial" w:eastAsia="Calibri" w:hAnsi="Arial" w:cs="Arial"/>
          <w:sz w:val="20"/>
          <w:szCs w:val="20"/>
        </w:rPr>
        <w:t xml:space="preserve"> </w:t>
      </w:r>
      <w:r w:rsidRPr="00C6085D">
        <w:rPr>
          <w:rFonts w:ascii="Arial" w:eastAsia="Calibri" w:hAnsi="Arial" w:cs="Arial"/>
          <w:sz w:val="20"/>
          <w:szCs w:val="20"/>
        </w:rPr>
        <w:t>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4A3A4F04" w14:textId="77777777" w:rsidR="00C6085D" w:rsidRPr="00C6085D" w:rsidRDefault="00C6085D" w:rsidP="00862D6E">
      <w:pPr>
        <w:spacing w:after="0" w:line="276" w:lineRule="auto"/>
        <w:jc w:val="both"/>
        <w:rPr>
          <w:rFonts w:ascii="Arial" w:eastAsia="Calibri" w:hAnsi="Arial" w:cs="Arial"/>
          <w:sz w:val="20"/>
          <w:szCs w:val="20"/>
        </w:rPr>
      </w:pPr>
    </w:p>
    <w:p w14:paraId="1687FBC5" w14:textId="6E452360" w:rsidR="00097EEB" w:rsidRPr="00C6085D" w:rsidRDefault="00C6085D" w:rsidP="00862D6E">
      <w:pPr>
        <w:spacing w:after="0" w:line="240" w:lineRule="auto"/>
        <w:jc w:val="both"/>
        <w:rPr>
          <w:rFonts w:ascii="Arial" w:eastAsia="Calibri" w:hAnsi="Arial" w:cs="Arial"/>
          <w:sz w:val="20"/>
          <w:szCs w:val="20"/>
        </w:rPr>
      </w:pPr>
      <w:r w:rsidRPr="00C6085D">
        <w:rPr>
          <w:rFonts w:ascii="Arial" w:eastAsia="Calibri" w:hAnsi="Arial" w:cs="Arial"/>
          <w:sz w:val="20"/>
          <w:szCs w:val="20"/>
        </w:rPr>
        <w:t>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w:t>
      </w:r>
    </w:p>
    <w:p w14:paraId="09B2A303" w14:textId="77777777" w:rsidR="00E27227" w:rsidRPr="00E27227" w:rsidRDefault="00E27227" w:rsidP="00862D6E">
      <w:pPr>
        <w:spacing w:after="0" w:line="240" w:lineRule="auto"/>
        <w:jc w:val="both"/>
        <w:rPr>
          <w:rFonts w:ascii="Arial" w:eastAsia="Calibri" w:hAnsi="Arial" w:cs="Arial"/>
          <w:b/>
          <w:noProof/>
          <w:color w:val="1A1A1A" w:themeColor="background1" w:themeShade="1A"/>
          <w:lang w:val="es-ES_tradnl"/>
        </w:rPr>
      </w:pPr>
    </w:p>
    <w:p w14:paraId="4E750679" w14:textId="77777777" w:rsidR="00E27227" w:rsidRPr="00E27227" w:rsidRDefault="00E27227" w:rsidP="00862D6E">
      <w:pPr>
        <w:spacing w:after="0" w:line="240" w:lineRule="auto"/>
        <w:jc w:val="both"/>
        <w:rPr>
          <w:rFonts w:ascii="Arial" w:eastAsia="Calibri" w:hAnsi="Arial" w:cs="Arial"/>
          <w:b/>
          <w:noProof/>
          <w:color w:val="1A1A1A" w:themeColor="background1" w:themeShade="1A"/>
          <w:lang w:val="es-ES_tradnl"/>
        </w:rPr>
      </w:pPr>
      <w:r w:rsidRPr="00E27227">
        <w:rPr>
          <w:rFonts w:ascii="Arial" w:eastAsia="Calibri" w:hAnsi="Arial" w:cs="Arial"/>
          <w:b/>
          <w:noProof/>
          <w:color w:val="1A1A1A" w:themeColor="background1" w:themeShade="1A"/>
          <w:lang w:val="es-ES_tradnl"/>
        </w:rPr>
        <w:t xml:space="preserve">ESTUDIOS PREVIOS – Valor del contrato </w:t>
      </w:r>
    </w:p>
    <w:p w14:paraId="0B0385FF" w14:textId="125A715B" w:rsidR="00E27227" w:rsidRDefault="00E27227" w:rsidP="00862D6E">
      <w:pPr>
        <w:spacing w:after="0" w:line="240" w:lineRule="auto"/>
        <w:jc w:val="both"/>
        <w:rPr>
          <w:rFonts w:ascii="Arial" w:eastAsia="Calibri" w:hAnsi="Arial" w:cs="Arial"/>
          <w:b/>
          <w:noProof/>
          <w:color w:val="1A1A1A" w:themeColor="background1" w:themeShade="1A"/>
          <w:lang w:val="es-ES_tradnl"/>
        </w:rPr>
      </w:pPr>
    </w:p>
    <w:p w14:paraId="27DD8495" w14:textId="72EE7CCD" w:rsidR="00C6085D" w:rsidRPr="0020580D" w:rsidRDefault="00862D6E" w:rsidP="00862D6E">
      <w:pPr>
        <w:spacing w:after="0" w:line="240" w:lineRule="auto"/>
        <w:jc w:val="both"/>
        <w:rPr>
          <w:rFonts w:ascii="Arial" w:eastAsia="Calibri" w:hAnsi="Arial" w:cs="Arial"/>
          <w:sz w:val="20"/>
          <w:szCs w:val="20"/>
        </w:rPr>
      </w:pPr>
      <w:r w:rsidRPr="00696ABB">
        <w:rPr>
          <w:rFonts w:ascii="Arial" w:eastAsia="Calibri" w:hAnsi="Arial" w:cs="Arial"/>
          <w:sz w:val="20"/>
          <w:szCs w:val="20"/>
        </w:rPr>
        <w:t>[…]</w:t>
      </w:r>
      <w:r>
        <w:rPr>
          <w:rFonts w:ascii="Arial" w:eastAsia="Calibri" w:hAnsi="Arial" w:cs="Arial"/>
          <w:sz w:val="20"/>
          <w:szCs w:val="20"/>
        </w:rPr>
        <w:t xml:space="preserve"> </w:t>
      </w:r>
      <w:r w:rsidR="00C6085D" w:rsidRPr="0020580D">
        <w:rPr>
          <w:rFonts w:ascii="Arial" w:eastAsia="Calibri" w:hAnsi="Arial" w:cs="Arial"/>
          <w:sz w:val="20"/>
          <w:szCs w:val="20"/>
        </w:rPr>
        <w:t>conforme se desprende del numeral 4 del artículo 2.2.1.1.2.1.1 del Decreto 1082 de 2015, uno de los aspectos principales que deben abarcar los estudios previos es el valor estimado del contrato aparejado de su respectiva justificación. Para estos efectos resulta relevante la información recolectada en el marco del estudio del mercado y el análisis del sector económico y de los potenciales oferentes, actividades de planeación previa que sirven para identificar aspectos concretos del mercado que pueden afectar el proceso de selección o las condiciones del negocio a realizar mediante el proceso de contratación.</w:t>
      </w:r>
    </w:p>
    <w:p w14:paraId="4F7470A7" w14:textId="41128B7D" w:rsidR="00C6085D" w:rsidRPr="0020580D" w:rsidRDefault="00C6085D" w:rsidP="00862D6E">
      <w:pPr>
        <w:spacing w:after="0" w:line="240" w:lineRule="auto"/>
        <w:jc w:val="both"/>
        <w:rPr>
          <w:rFonts w:ascii="Arial" w:eastAsia="Calibri" w:hAnsi="Arial" w:cs="Arial"/>
          <w:sz w:val="20"/>
          <w:szCs w:val="20"/>
        </w:rPr>
      </w:pPr>
    </w:p>
    <w:p w14:paraId="7F7E058F" w14:textId="7AAC992B" w:rsidR="00C6085D" w:rsidRPr="0020580D" w:rsidRDefault="00C6085D" w:rsidP="00862D6E">
      <w:pPr>
        <w:spacing w:after="0" w:line="276" w:lineRule="auto"/>
        <w:jc w:val="both"/>
        <w:rPr>
          <w:rFonts w:ascii="Arial" w:eastAsia="Calibri" w:hAnsi="Arial" w:cs="Arial"/>
          <w:sz w:val="20"/>
          <w:szCs w:val="20"/>
        </w:rPr>
      </w:pPr>
      <w:r w:rsidRPr="0020580D">
        <w:rPr>
          <w:rFonts w:ascii="Arial" w:eastAsia="Calibri" w:hAnsi="Arial" w:cs="Arial"/>
          <w:sz w:val="20"/>
          <w:szCs w:val="20"/>
        </w:rP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w:t>
      </w:r>
    </w:p>
    <w:p w14:paraId="7F2285A3" w14:textId="77777777" w:rsidR="00C6085D" w:rsidRDefault="00C6085D" w:rsidP="00862D6E">
      <w:pPr>
        <w:spacing w:after="0" w:line="240" w:lineRule="auto"/>
        <w:jc w:val="both"/>
        <w:rPr>
          <w:rFonts w:ascii="Arial" w:hAnsi="Arial" w:cs="Arial"/>
          <w:bCs/>
          <w:sz w:val="20"/>
          <w:szCs w:val="20"/>
        </w:rPr>
      </w:pPr>
    </w:p>
    <w:p w14:paraId="1DAB14E7" w14:textId="397F7010" w:rsidR="00E27227" w:rsidRDefault="00E27227" w:rsidP="00862D6E">
      <w:pPr>
        <w:spacing w:after="0" w:line="240" w:lineRule="auto"/>
        <w:jc w:val="both"/>
        <w:rPr>
          <w:rFonts w:ascii="Arial" w:eastAsia="Calibri" w:hAnsi="Arial" w:cs="Arial"/>
          <w:b/>
          <w:noProof/>
          <w:color w:val="1A1A1A" w:themeColor="background1" w:themeShade="1A"/>
          <w:lang w:val="es-ES_tradnl"/>
        </w:rPr>
      </w:pPr>
      <w:r w:rsidRPr="00E27227">
        <w:rPr>
          <w:rFonts w:ascii="Arial" w:eastAsia="Calibri" w:hAnsi="Arial" w:cs="Arial"/>
          <w:b/>
          <w:noProof/>
          <w:color w:val="1A1A1A" w:themeColor="background1" w:themeShade="1A"/>
          <w:lang w:val="es-ES_tradnl"/>
        </w:rPr>
        <w:t xml:space="preserve">PRECIO – Noción </w:t>
      </w:r>
      <w:r w:rsidR="00C6085D" w:rsidRPr="00E27227">
        <w:rPr>
          <w:rFonts w:ascii="Arial" w:eastAsia="Calibri" w:hAnsi="Arial" w:cs="Arial"/>
          <w:b/>
          <w:noProof/>
          <w:color w:val="1A1A1A" w:themeColor="background1" w:themeShade="1A"/>
          <w:lang w:val="es-ES_tradnl"/>
        </w:rPr>
        <w:t>– Determinación – Contratos estatales –</w:t>
      </w:r>
      <w:r w:rsidR="00A8641C">
        <w:rPr>
          <w:rFonts w:ascii="Arial" w:eastAsia="Calibri" w:hAnsi="Arial" w:cs="Arial"/>
          <w:b/>
          <w:noProof/>
          <w:color w:val="1A1A1A" w:themeColor="background1" w:themeShade="1A"/>
          <w:lang w:val="es-ES_tradnl"/>
        </w:rPr>
        <w:t xml:space="preserve"> </w:t>
      </w:r>
      <w:r w:rsidR="00A8641C" w:rsidRPr="00696ABB">
        <w:rPr>
          <w:rFonts w:ascii="Arial" w:eastAsia="Arial" w:hAnsi="Arial" w:cs="Arial"/>
          <w:b/>
          <w:bCs/>
          <w:lang w:val="es-ES"/>
        </w:rPr>
        <w:t xml:space="preserve">Autonomía </w:t>
      </w:r>
    </w:p>
    <w:p w14:paraId="0A285368" w14:textId="77777777" w:rsidR="00CD4F9A" w:rsidRDefault="00CD4F9A" w:rsidP="00862D6E">
      <w:pPr>
        <w:spacing w:after="0" w:line="276" w:lineRule="auto"/>
        <w:jc w:val="both"/>
        <w:rPr>
          <w:rFonts w:ascii="Arial" w:eastAsia="Calibri" w:hAnsi="Arial" w:cs="Arial"/>
          <w:lang w:val="es-MX"/>
        </w:rPr>
      </w:pPr>
    </w:p>
    <w:p w14:paraId="130ABD38" w14:textId="26B1B2E2" w:rsidR="00EC0653" w:rsidRPr="00862D6E" w:rsidRDefault="00EC0653" w:rsidP="00862D6E">
      <w:pPr>
        <w:spacing w:after="0" w:line="240" w:lineRule="auto"/>
        <w:jc w:val="both"/>
        <w:rPr>
          <w:rFonts w:ascii="Arial" w:eastAsia="Calibri" w:hAnsi="Arial" w:cs="Arial"/>
          <w:sz w:val="20"/>
          <w:szCs w:val="20"/>
        </w:rPr>
      </w:pPr>
      <w:r w:rsidRPr="00862D6E">
        <w:rPr>
          <w:rFonts w:ascii="Arial" w:eastAsia="Calibri" w:hAnsi="Arial" w:cs="Arial"/>
          <w:sz w:val="20"/>
          <w:szCs w:val="20"/>
        </w:rPr>
        <w:t xml:space="preserve">El precio es definido de manera general como «valor pecuniario en que se estima algo». El precio es uno de los elementos de los contratos estatales, que por lo general se identifica con el valor del contrato. Aunque no todo contrato lo incluye –pues también existen negocios gratuitos– lo usual es que los contratos estatales se perfeccionen como onerosos y, la mayoría de las veces, como conmutativos, cuando hay un acuerdo entre el objeto y la contraprestación, pactado por escrito entre la entidad estatal y el contratista. El precio es un importante elemento para el contratista, porque equivale a la remuneración que la entidad contratante le pagará como contraprestación por la ejecución de las obligaciones de dar, hacer o no hacer previstas a su cargo en el contrato. El precio, entonces, es el valor que se da por el objeto, generalmente en dinero, que debe ser determinado o </w:t>
      </w:r>
      <w:r w:rsidRPr="00862D6E">
        <w:rPr>
          <w:rFonts w:ascii="Arial" w:eastAsia="Calibri" w:hAnsi="Arial" w:cs="Arial"/>
          <w:sz w:val="20"/>
          <w:szCs w:val="20"/>
        </w:rPr>
        <w:lastRenderedPageBreak/>
        <w:t>determinable, en los términos de los artículos 1864 y 1865 del Código Civil y, de manera general, está compuesto por dos elementos: los costos y la utilidad, cuya estructuración interna depende de las condiciones técnicas, financieras, regulatorias, etc. de cada contrato.</w:t>
      </w:r>
    </w:p>
    <w:p w14:paraId="7848FD32" w14:textId="77777777" w:rsidR="00EC0653" w:rsidRPr="00862D6E" w:rsidRDefault="00EC0653" w:rsidP="00862D6E">
      <w:pPr>
        <w:spacing w:after="0" w:line="240" w:lineRule="auto"/>
        <w:jc w:val="both"/>
        <w:rPr>
          <w:rFonts w:ascii="Arial" w:eastAsia="Calibri" w:hAnsi="Arial" w:cs="Arial"/>
          <w:sz w:val="20"/>
          <w:szCs w:val="20"/>
        </w:rPr>
      </w:pPr>
    </w:p>
    <w:p w14:paraId="25AFE6A6" w14:textId="1AA39AC9" w:rsidR="00EC0653" w:rsidRPr="00862D6E" w:rsidRDefault="00EC0653" w:rsidP="00862D6E">
      <w:pPr>
        <w:spacing w:after="0" w:line="240" w:lineRule="auto"/>
        <w:jc w:val="both"/>
        <w:rPr>
          <w:rFonts w:ascii="Arial" w:eastAsia="Calibri" w:hAnsi="Arial" w:cs="Arial"/>
          <w:sz w:val="20"/>
          <w:szCs w:val="20"/>
        </w:rPr>
      </w:pPr>
      <w:r w:rsidRPr="00862D6E">
        <w:rPr>
          <w:rFonts w:ascii="Arial" w:eastAsia="Calibri" w:hAnsi="Arial" w:cs="Arial"/>
          <w:sz w:val="20"/>
          <w:szCs w:val="20"/>
        </w:rPr>
        <w:t xml:space="preserve">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otras más indicadas para los de concesión y unas más comunes en los de consultoría; por mencionar algunos ejemplos. </w:t>
      </w:r>
    </w:p>
    <w:p w14:paraId="49F034EC" w14:textId="77777777" w:rsidR="00862D6E" w:rsidRDefault="00862D6E" w:rsidP="00862D6E">
      <w:pPr>
        <w:spacing w:after="0" w:line="240" w:lineRule="auto"/>
        <w:jc w:val="both"/>
        <w:rPr>
          <w:rFonts w:ascii="Arial" w:eastAsia="Calibri" w:hAnsi="Arial" w:cs="Arial"/>
          <w:sz w:val="20"/>
          <w:szCs w:val="20"/>
        </w:rPr>
      </w:pPr>
    </w:p>
    <w:p w14:paraId="1E09B6A2" w14:textId="4236C354" w:rsidR="00EC0653" w:rsidRPr="00862D6E" w:rsidRDefault="00CD4F9A" w:rsidP="00862D6E">
      <w:pPr>
        <w:spacing w:after="0" w:line="240" w:lineRule="auto"/>
        <w:jc w:val="both"/>
        <w:rPr>
          <w:rFonts w:ascii="Arial" w:eastAsia="Calibri" w:hAnsi="Arial" w:cs="Arial"/>
          <w:sz w:val="20"/>
          <w:szCs w:val="20"/>
        </w:rPr>
      </w:pPr>
      <w:r w:rsidRPr="00696ABB">
        <w:rPr>
          <w:rFonts w:ascii="Arial" w:eastAsia="Calibri" w:hAnsi="Arial" w:cs="Arial"/>
          <w:sz w:val="20"/>
          <w:szCs w:val="20"/>
        </w:rPr>
        <w:t>[…]</w:t>
      </w:r>
      <w:r>
        <w:rPr>
          <w:rFonts w:ascii="Arial" w:eastAsia="Calibri" w:hAnsi="Arial" w:cs="Arial"/>
          <w:sz w:val="20"/>
          <w:szCs w:val="20"/>
        </w:rPr>
        <w:t xml:space="preserve"> </w:t>
      </w:r>
      <w:r w:rsidR="00EC0653" w:rsidRPr="00862D6E">
        <w:rPr>
          <w:rFonts w:ascii="Arial" w:eastAsia="Calibri" w:hAnsi="Arial" w:cs="Arial"/>
          <w:sz w:val="20"/>
          <w:szCs w:val="20"/>
        </w:rPr>
        <w:t xml:space="preserve">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otras más indicadas para los de concesión y unas más comunes en los de consultoría; por mencionar algunos ejemplos. No hay, pues, una sola metodología para pactar el precio y, en gran medida, la manera de hacerlo ha obedecido a la costumbre mercantil y a la influencia de disciplinas técnicas, como la ingeniería o la administración de empresas, en la contratación estatal. </w:t>
      </w:r>
    </w:p>
    <w:p w14:paraId="54660138" w14:textId="77777777" w:rsidR="00862D6E" w:rsidRDefault="00862D6E" w:rsidP="00862D6E">
      <w:pPr>
        <w:spacing w:after="0" w:line="240" w:lineRule="auto"/>
        <w:jc w:val="both"/>
        <w:rPr>
          <w:rFonts w:ascii="Arial" w:eastAsia="Calibri" w:hAnsi="Arial" w:cs="Arial"/>
          <w:sz w:val="20"/>
          <w:szCs w:val="20"/>
        </w:rPr>
      </w:pPr>
    </w:p>
    <w:p w14:paraId="4ADBD0B9" w14:textId="1F2B1F8C" w:rsidR="0020580D" w:rsidRPr="00862D6E" w:rsidRDefault="00FA0C13" w:rsidP="00862D6E">
      <w:pPr>
        <w:spacing w:after="0" w:line="240" w:lineRule="auto"/>
        <w:jc w:val="both"/>
        <w:rPr>
          <w:rFonts w:ascii="Arial" w:eastAsia="Calibri" w:hAnsi="Arial" w:cs="Arial"/>
          <w:sz w:val="20"/>
          <w:szCs w:val="20"/>
        </w:rPr>
      </w:pPr>
      <w:r w:rsidRPr="00696ABB">
        <w:rPr>
          <w:rFonts w:ascii="Arial" w:eastAsia="Calibri" w:hAnsi="Arial" w:cs="Arial"/>
          <w:sz w:val="20"/>
          <w:szCs w:val="20"/>
        </w:rPr>
        <w:t>[…]</w:t>
      </w:r>
      <w:r>
        <w:rPr>
          <w:rFonts w:ascii="Arial" w:eastAsia="Calibri" w:hAnsi="Arial" w:cs="Arial"/>
          <w:sz w:val="20"/>
          <w:szCs w:val="20"/>
        </w:rPr>
        <w:t xml:space="preserve"> </w:t>
      </w:r>
      <w:r w:rsidR="0020580D" w:rsidRPr="00862D6E">
        <w:rPr>
          <w:rFonts w:ascii="Arial" w:eastAsia="Calibri" w:hAnsi="Arial" w:cs="Arial"/>
          <w:sz w:val="20"/>
          <w:szCs w:val="20"/>
        </w:rPr>
        <w:t xml:space="preserve">En síntesis, tanto las entidades sometidas al Estatuto General de Contratación de la Administración Pública, como las excluidas de este –es decir, las que tienen un régimen especial– gozan de autonomía para configurar el precio y para establecer la metodología más apropiada para satisfacer los fines de la contratación estatal, respetando los límites previstos en el ordenamiento jurídico. En tal perspectiva, cuentan con discrecionalidad para establecer en el pliego de condiciones o en su documento equivalente, así como en el contrato, el sistema de precios que la entidad considere pertinente para el proceso contractual. Esto sin perjuicio de la obligación de incluir en los estudios y documentos previos las razones y cálculos que sustentan la escogencia de determinado sistema para determinar el valor del contrato. </w:t>
      </w:r>
    </w:p>
    <w:p w14:paraId="6C853837" w14:textId="77777777" w:rsidR="00862D6E" w:rsidRDefault="00862D6E" w:rsidP="00862D6E">
      <w:pPr>
        <w:spacing w:after="0" w:line="240" w:lineRule="auto"/>
        <w:jc w:val="both"/>
        <w:rPr>
          <w:rFonts w:ascii="Arial" w:eastAsia="Calibri" w:hAnsi="Arial" w:cs="Arial"/>
          <w:sz w:val="20"/>
          <w:szCs w:val="20"/>
        </w:rPr>
      </w:pPr>
    </w:p>
    <w:p w14:paraId="51FAE945" w14:textId="6849A67F" w:rsidR="00CD4F9A" w:rsidRPr="00862D6E" w:rsidRDefault="0020580D" w:rsidP="00862D6E">
      <w:pPr>
        <w:spacing w:after="0" w:line="240" w:lineRule="auto"/>
        <w:jc w:val="both"/>
        <w:rPr>
          <w:rFonts w:ascii="Arial" w:eastAsia="Calibri" w:hAnsi="Arial" w:cs="Arial"/>
          <w:sz w:val="20"/>
          <w:szCs w:val="20"/>
        </w:rPr>
      </w:pPr>
      <w:r w:rsidRPr="00862D6E">
        <w:rPr>
          <w:rFonts w:ascii="Arial" w:eastAsia="Calibri" w:hAnsi="Arial" w:cs="Arial"/>
          <w:sz w:val="20"/>
          <w:szCs w:val="20"/>
        </w:rPr>
        <w:t>En todo caso, las entidades estatales al establecer las condiciones del proceso contractual deben respetar los preceptos constitucionales, legales o reglamentarios, y adicionalmente, no deben establecer cláusulas que contravengan los dispuesto en el numeral 5 del artículo 24 de la Ley 80 de 1993, al respecto, se resalta que será ineficaz de pleno derecho, aquellas estipulaciones que dispongan renuncias a reclamaciones por los hechos enunciados en dicho numeral.</w:t>
      </w:r>
    </w:p>
    <w:p w14:paraId="6E9A4A22" w14:textId="77777777" w:rsidR="00862D6E" w:rsidRDefault="00862D6E" w:rsidP="00862D6E">
      <w:pPr>
        <w:spacing w:after="0" w:line="240" w:lineRule="auto"/>
        <w:jc w:val="both"/>
        <w:rPr>
          <w:rFonts w:ascii="Arial" w:eastAsia="Calibri" w:hAnsi="Arial" w:cs="Arial"/>
          <w:b/>
          <w:noProof/>
          <w:color w:val="1A1A1A" w:themeColor="background1" w:themeShade="1A"/>
          <w:lang w:val="es-ES_tradnl"/>
        </w:rPr>
      </w:pPr>
    </w:p>
    <w:p w14:paraId="38A19068" w14:textId="4DCA8D44" w:rsidR="00E27227" w:rsidRPr="00E27227" w:rsidRDefault="00E27227" w:rsidP="00862D6E">
      <w:pPr>
        <w:spacing w:after="0" w:line="240" w:lineRule="auto"/>
        <w:jc w:val="both"/>
        <w:rPr>
          <w:rFonts w:ascii="Arial" w:eastAsia="Calibri" w:hAnsi="Arial" w:cs="Arial"/>
          <w:b/>
          <w:noProof/>
          <w:color w:val="1A1A1A" w:themeColor="background1" w:themeShade="1A"/>
          <w:lang w:val="es-ES_tradnl"/>
        </w:rPr>
      </w:pPr>
      <w:r w:rsidRPr="00E27227">
        <w:rPr>
          <w:rFonts w:ascii="Arial" w:eastAsia="Calibri" w:hAnsi="Arial" w:cs="Arial"/>
          <w:b/>
          <w:noProof/>
          <w:color w:val="1A1A1A" w:themeColor="background1" w:themeShade="1A"/>
          <w:lang w:val="es-ES_tradnl"/>
        </w:rPr>
        <w:t xml:space="preserve">PRECIO – Analisis de Precios Unitarios </w:t>
      </w:r>
      <w:r w:rsidR="00A8641C" w:rsidRPr="00E27227">
        <w:rPr>
          <w:rFonts w:ascii="Arial" w:eastAsia="Calibri" w:hAnsi="Arial" w:cs="Arial"/>
          <w:b/>
          <w:noProof/>
          <w:color w:val="1A1A1A" w:themeColor="background1" w:themeShade="1A"/>
          <w:lang w:val="es-ES_tradnl"/>
        </w:rPr>
        <w:t>– Sistema de Precios Unitarios</w:t>
      </w:r>
    </w:p>
    <w:p w14:paraId="5C8CF7E1" w14:textId="55A5160E" w:rsidR="00E27227" w:rsidRDefault="00E27227" w:rsidP="00862D6E">
      <w:pPr>
        <w:spacing w:after="0" w:line="240" w:lineRule="auto"/>
        <w:jc w:val="both"/>
        <w:rPr>
          <w:rFonts w:ascii="Arial" w:eastAsia="Calibri" w:hAnsi="Arial" w:cs="Arial"/>
          <w:b/>
          <w:noProof/>
          <w:color w:val="1A1A1A" w:themeColor="background1" w:themeShade="1A"/>
          <w:lang w:val="es-ES_tradnl"/>
        </w:rPr>
      </w:pPr>
    </w:p>
    <w:p w14:paraId="303E7317" w14:textId="77777777" w:rsidR="00A8641C" w:rsidRPr="00862D6E" w:rsidRDefault="00A8641C" w:rsidP="00862D6E">
      <w:pPr>
        <w:spacing w:after="0" w:line="240" w:lineRule="auto"/>
        <w:jc w:val="both"/>
        <w:rPr>
          <w:rFonts w:ascii="Arial" w:eastAsia="Calibri" w:hAnsi="Arial" w:cs="Arial"/>
          <w:sz w:val="20"/>
          <w:szCs w:val="20"/>
        </w:rPr>
      </w:pPr>
      <w:r w:rsidRPr="00862D6E">
        <w:rPr>
          <w:rFonts w:ascii="Arial" w:eastAsia="Calibri" w:hAnsi="Arial" w:cs="Arial"/>
          <w:sz w:val="20"/>
          <w:szCs w:val="20"/>
        </w:rPr>
        <w:t xml:space="preserve">Una de las metodologías que ha hecho carrera en la práctica contractual pública es el sistema de precios unitarios, método en el marco del cual la entidad contratante, al momento de estimar valor del contrato separa 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solicitando a los proponentes que discriminen los últimos al momento de presentar la propuesta. En tal sentido, mientras que los costos directos se </w:t>
      </w:r>
      <w:r w:rsidRPr="00862D6E">
        <w:rPr>
          <w:rFonts w:ascii="Arial" w:eastAsia="Calibri" w:hAnsi="Arial" w:cs="Arial"/>
          <w:sz w:val="20"/>
          <w:szCs w:val="20"/>
        </w:rPr>
        <w:lastRenderedPageBreak/>
        <w:t>evidencian en el análisis de precios unitarios –APU–, como la sumatoria de los valores de los ítems según su unidad de medida, los costos indirectos se suelen abreviar en las variables que integran el acrónimo AIU –Administración, Imprevistos y Utilidad–, que se calcula como un porcentaje aplicado a los costos indirectos. De esta forma, en los contratos en los que se aplica el sistema de precios unitarios el valor del contrato y de las ofertas se determina por la sumatoria de los costos directos–APU– y los costos indirectos–suma equivalente al porcentaje de AIU–.</w:t>
      </w:r>
    </w:p>
    <w:p w14:paraId="14BA9A8B" w14:textId="77777777" w:rsidR="00862D6E" w:rsidRDefault="00862D6E" w:rsidP="00862D6E">
      <w:pPr>
        <w:spacing w:after="0" w:line="240" w:lineRule="auto"/>
        <w:jc w:val="both"/>
        <w:rPr>
          <w:rFonts w:ascii="Arial" w:eastAsia="Calibri" w:hAnsi="Arial" w:cs="Arial"/>
          <w:sz w:val="20"/>
          <w:szCs w:val="20"/>
        </w:rPr>
      </w:pPr>
    </w:p>
    <w:p w14:paraId="16ACB42F" w14:textId="301AF1CA" w:rsidR="00A8641C" w:rsidRPr="00862D6E" w:rsidRDefault="00A8641C" w:rsidP="00862D6E">
      <w:pPr>
        <w:spacing w:after="0" w:line="240" w:lineRule="auto"/>
        <w:jc w:val="both"/>
        <w:rPr>
          <w:rFonts w:ascii="Arial" w:eastAsia="Calibri" w:hAnsi="Arial" w:cs="Arial"/>
          <w:sz w:val="20"/>
          <w:szCs w:val="20"/>
        </w:rPr>
      </w:pPr>
      <w:r w:rsidRPr="00862D6E">
        <w:rPr>
          <w:rFonts w:ascii="Arial" w:eastAsia="Calibri" w:hAnsi="Arial" w:cs="Arial"/>
          <w:sz w:val="20"/>
          <w:szCs w:val="20"/>
        </w:rPr>
        <w:t xml:space="preserve">Si bien el EGCAP no establece una regulación integral o detallada conforme a la cual se deba dar la estructuración del valor del contrato cuando se usa el sistema de precios unitarios, el Decreto 1082 de 2015 si impone de manera expresa una carga justificativa para las entidades que utilicen dicho sistema. Al respecto, el artículo 2.2.1.1.2.1.1 del Decreto 1082 de 2015, que regula el contenido del estudio del sector, indica en su numeral 4 que: «Cuando el valor del contrato esté determinado por precios unitarios, la Entidad Estatal debe incluir la forma como los calculó y soportar sus cálculos presupuestales en la estimación de aquello». </w:t>
      </w:r>
    </w:p>
    <w:p w14:paraId="7A89210C" w14:textId="77777777" w:rsidR="00A8641C" w:rsidRPr="00E27227" w:rsidRDefault="00A8641C" w:rsidP="00862D6E">
      <w:pPr>
        <w:spacing w:after="0" w:line="240" w:lineRule="auto"/>
        <w:jc w:val="both"/>
        <w:rPr>
          <w:rFonts w:ascii="Arial" w:eastAsia="Calibri" w:hAnsi="Arial" w:cs="Arial"/>
          <w:b/>
          <w:noProof/>
          <w:color w:val="1A1A1A" w:themeColor="background1" w:themeShade="1A"/>
          <w:lang w:val="es-ES_tradnl"/>
        </w:rPr>
      </w:pPr>
    </w:p>
    <w:p w14:paraId="10A64E1B" w14:textId="77777777" w:rsidR="00A8641C" w:rsidRPr="00A8641C" w:rsidRDefault="00A8641C" w:rsidP="00862D6E">
      <w:pPr>
        <w:spacing w:after="0" w:line="276" w:lineRule="auto"/>
        <w:jc w:val="both"/>
        <w:rPr>
          <w:rFonts w:ascii="Arial" w:eastAsia="Calibri" w:hAnsi="Arial" w:cs="Arial"/>
          <w:b/>
          <w:noProof/>
          <w:color w:val="1A1A1A" w:themeColor="background1" w:themeShade="1A"/>
          <w:lang w:val="es-ES_tradnl"/>
        </w:rPr>
      </w:pPr>
      <w:r w:rsidRPr="00A8641C">
        <w:rPr>
          <w:rFonts w:ascii="Arial" w:eastAsia="Calibri" w:hAnsi="Arial" w:cs="Arial"/>
          <w:b/>
          <w:noProof/>
          <w:color w:val="1A1A1A" w:themeColor="background1" w:themeShade="1A"/>
          <w:lang w:val="es-ES_tradnl"/>
        </w:rPr>
        <w:t xml:space="preserve">PRECIO – Factor multiplicador </w:t>
      </w:r>
    </w:p>
    <w:p w14:paraId="60293C6E" w14:textId="77777777" w:rsidR="00862D6E" w:rsidRDefault="00862D6E" w:rsidP="00862D6E">
      <w:pPr>
        <w:spacing w:after="0" w:line="240" w:lineRule="auto"/>
        <w:jc w:val="both"/>
        <w:rPr>
          <w:rFonts w:ascii="Arial" w:eastAsia="Calibri" w:hAnsi="Arial" w:cs="Arial"/>
          <w:sz w:val="20"/>
          <w:szCs w:val="20"/>
        </w:rPr>
      </w:pPr>
    </w:p>
    <w:p w14:paraId="771DF54B" w14:textId="55C776E6" w:rsidR="00A8641C" w:rsidRPr="00862D6E" w:rsidRDefault="00D309DD" w:rsidP="00862D6E">
      <w:pPr>
        <w:spacing w:after="0" w:line="240" w:lineRule="auto"/>
        <w:jc w:val="both"/>
        <w:rPr>
          <w:rFonts w:ascii="Arial" w:eastAsia="Calibri" w:hAnsi="Arial" w:cs="Arial"/>
          <w:sz w:val="20"/>
          <w:szCs w:val="20"/>
        </w:rPr>
      </w:pPr>
      <w:r w:rsidRPr="00862D6E">
        <w:rPr>
          <w:rFonts w:ascii="Arial" w:eastAsia="Calibri" w:hAnsi="Arial" w:cs="Arial"/>
          <w:sz w:val="20"/>
          <w:szCs w:val="20"/>
        </w:rPr>
        <w:t xml:space="preserve">De otra parte, en la estipulación del precio de los contratos de consultoría es común la utilización del sistema de factor multiplicador, el cual permite imputar al contrato los costos directos asociados a salarios del personal vinculado con carácter exclusivo al proyecto, así como conceptos asociados a prestaciones sociales, la utilidad del ingeniero y los costos de administración, afectando el valor parcial de la oferta por un factor multiplicador. De esta manera se obtiene un subtotal de costos directos a partir de la sumatoria de los valores correspondientes los salarios del personal, incrementado a partir de su multiplicación por un factor que suele consistir en una cifra de dos dígitos, con una parte entera y otra decimal. Esto sin perjuicio de la incorporación de otros costos directos como viáticos, alquiler de equipos, oficinas, </w:t>
      </w:r>
      <w:proofErr w:type="spellStart"/>
      <w:r w:rsidRPr="00862D6E">
        <w:rPr>
          <w:rFonts w:ascii="Arial" w:eastAsia="Calibri" w:hAnsi="Arial" w:cs="Arial"/>
          <w:sz w:val="20"/>
          <w:szCs w:val="20"/>
        </w:rPr>
        <w:t>etc</w:t>
      </w:r>
      <w:proofErr w:type="spellEnd"/>
      <w:r w:rsidRPr="00862D6E">
        <w:rPr>
          <w:rFonts w:ascii="Arial" w:eastAsia="Calibri" w:hAnsi="Arial" w:cs="Arial"/>
          <w:sz w:val="20"/>
          <w:szCs w:val="20"/>
        </w:rPr>
        <w:t>, cuya discriminación se exige de manera separada de los costos de personal, para ser sumados al valor resultante la aplicación del factor multiplicador.</w:t>
      </w:r>
    </w:p>
    <w:p w14:paraId="075F4D27" w14:textId="77777777" w:rsidR="00862D6E" w:rsidRDefault="00862D6E" w:rsidP="00862D6E">
      <w:pPr>
        <w:spacing w:after="0" w:line="240" w:lineRule="auto"/>
        <w:jc w:val="both"/>
        <w:rPr>
          <w:rFonts w:ascii="Arial" w:eastAsia="Calibri" w:hAnsi="Arial" w:cs="Arial"/>
          <w:sz w:val="20"/>
          <w:szCs w:val="20"/>
        </w:rPr>
      </w:pPr>
    </w:p>
    <w:p w14:paraId="55E12EEB" w14:textId="290030DD" w:rsidR="00FA0C13" w:rsidRPr="00862D6E" w:rsidRDefault="00FA0C13" w:rsidP="00862D6E">
      <w:pPr>
        <w:spacing w:after="0" w:line="240" w:lineRule="auto"/>
        <w:jc w:val="both"/>
        <w:rPr>
          <w:rFonts w:ascii="Arial" w:eastAsia="Calibri" w:hAnsi="Arial" w:cs="Arial"/>
          <w:sz w:val="20"/>
          <w:szCs w:val="20"/>
        </w:rPr>
      </w:pPr>
      <w:r w:rsidRPr="00696ABB">
        <w:rPr>
          <w:rFonts w:ascii="Arial" w:eastAsia="Calibri" w:hAnsi="Arial" w:cs="Arial"/>
          <w:sz w:val="20"/>
          <w:szCs w:val="20"/>
        </w:rPr>
        <w:t>[…]</w:t>
      </w:r>
      <w:r>
        <w:rPr>
          <w:rFonts w:ascii="Arial" w:eastAsia="Calibri" w:hAnsi="Arial" w:cs="Arial"/>
          <w:sz w:val="20"/>
          <w:szCs w:val="20"/>
        </w:rPr>
        <w:t xml:space="preserve"> </w:t>
      </w:r>
      <w:r w:rsidRPr="00862D6E">
        <w:rPr>
          <w:rFonts w:ascii="Arial" w:eastAsia="Calibri" w:hAnsi="Arial" w:cs="Arial"/>
          <w:sz w:val="20"/>
          <w:szCs w:val="20"/>
        </w:rPr>
        <w:t>En todo caso, esta Agencia estima que, si bien el factor multiplicador no aparece mencionado en el referido artículo, ello no implica que la entidad esté exenta del deber de incluir los estudios previos el análisis en virtud del cual determinó la viabilidad o conveniencia de usar tal metodología para estimar el valor del contrato, como quiera que tal justificación le compete a la entidad en relación con dicho valor, independientemente de la metodología que haya utilizado para calcularlo.</w:t>
      </w:r>
    </w:p>
    <w:p w14:paraId="735306D6" w14:textId="77777777" w:rsidR="00FA0C13" w:rsidRDefault="00FA0C13" w:rsidP="00862D6E">
      <w:pPr>
        <w:spacing w:after="0" w:line="240" w:lineRule="auto"/>
        <w:jc w:val="both"/>
        <w:rPr>
          <w:rFonts w:ascii="Arial" w:hAnsi="Arial" w:cs="Arial"/>
          <w:bCs/>
          <w:sz w:val="20"/>
          <w:szCs w:val="20"/>
        </w:rPr>
      </w:pPr>
    </w:p>
    <w:p w14:paraId="4EFF1657" w14:textId="60EC1893" w:rsidR="00A8641C" w:rsidRPr="00A8641C" w:rsidRDefault="00A8641C" w:rsidP="00862D6E">
      <w:pPr>
        <w:spacing w:after="0" w:line="276" w:lineRule="auto"/>
        <w:jc w:val="both"/>
        <w:rPr>
          <w:rFonts w:ascii="Arial" w:eastAsia="Times New Roman" w:hAnsi="Arial" w:cs="Arial"/>
          <w:b/>
          <w:szCs w:val="24"/>
          <w:lang w:val="es-ES_tradnl" w:eastAsia="es-MX"/>
        </w:rPr>
      </w:pPr>
      <w:r w:rsidRPr="00A8641C">
        <w:rPr>
          <w:rFonts w:ascii="Arial" w:eastAsia="Calibri" w:hAnsi="Arial" w:cs="Arial"/>
          <w:b/>
          <w:noProof/>
          <w:color w:val="1A1A1A" w:themeColor="background1" w:themeShade="1A"/>
          <w:lang w:val="es-ES_tradnl"/>
        </w:rPr>
        <w:t>EJECUCIÓN DEL CONTRATO – Independencia técnica</w:t>
      </w:r>
    </w:p>
    <w:p w14:paraId="4C78055C" w14:textId="77777777" w:rsidR="00862D6E" w:rsidRDefault="00862D6E" w:rsidP="00862D6E">
      <w:pPr>
        <w:spacing w:after="0" w:line="240" w:lineRule="auto"/>
        <w:jc w:val="both"/>
        <w:rPr>
          <w:rFonts w:ascii="Arial" w:eastAsia="Calibri" w:hAnsi="Arial" w:cs="Arial"/>
          <w:sz w:val="20"/>
          <w:szCs w:val="20"/>
        </w:rPr>
      </w:pPr>
    </w:p>
    <w:p w14:paraId="01D9E657" w14:textId="6E1F93DA" w:rsidR="0020580D" w:rsidRPr="00862D6E" w:rsidRDefault="0020580D" w:rsidP="00862D6E">
      <w:pPr>
        <w:spacing w:after="0" w:line="240" w:lineRule="auto"/>
        <w:jc w:val="both"/>
        <w:rPr>
          <w:rFonts w:ascii="Arial" w:eastAsia="Calibri" w:hAnsi="Arial" w:cs="Arial"/>
          <w:sz w:val="20"/>
          <w:szCs w:val="20"/>
        </w:rPr>
      </w:pPr>
      <w:r w:rsidRPr="00696ABB">
        <w:rPr>
          <w:rFonts w:ascii="Arial" w:eastAsia="Calibri" w:hAnsi="Arial" w:cs="Arial"/>
          <w:sz w:val="20"/>
          <w:szCs w:val="20"/>
        </w:rPr>
        <w:t>[…]</w:t>
      </w:r>
      <w:r>
        <w:rPr>
          <w:rFonts w:ascii="Arial" w:eastAsia="Calibri" w:hAnsi="Arial" w:cs="Arial"/>
          <w:sz w:val="20"/>
          <w:szCs w:val="20"/>
        </w:rPr>
        <w:t xml:space="preserve"> </w:t>
      </w:r>
      <w:r w:rsidRPr="00862D6E">
        <w:rPr>
          <w:rFonts w:ascii="Arial" w:eastAsia="Calibri" w:hAnsi="Arial" w:cs="Arial"/>
          <w:sz w:val="20"/>
          <w:szCs w:val="20"/>
        </w:rPr>
        <w:t xml:space="preserve">En consonancia con lo manifestado debe advertirse que, si bien dentro de los precios estructurados a través de los ambos sistemas es común que se incluyan los costos directos en los que debe incurrir el contratista por cuenta del personal requerido para la ejecución del objeto contractual, ello no implica un condicionamiento de la relación negocial, contractual o laboral entre el contratista y las personas que integran dicho personal. Esto en la medida en que dichas relaciones son un asunto de órbita del contratista, quien, al margen de la supervisión que ejerza la entidad, goza de independencia técnica en la ejecución del objeto contractual, por lo que las actuaciones </w:t>
      </w:r>
      <w:r w:rsidRPr="00862D6E">
        <w:rPr>
          <w:rFonts w:ascii="Arial" w:eastAsia="Calibri" w:hAnsi="Arial" w:cs="Arial"/>
          <w:sz w:val="20"/>
          <w:szCs w:val="20"/>
        </w:rPr>
        <w:lastRenderedPageBreak/>
        <w:t xml:space="preserve">que deba desarrollar para cumplir el contrato se encuentran en gran medida determinadas por la libertad de empresa y la autonomía de la voluntad. </w:t>
      </w:r>
    </w:p>
    <w:p w14:paraId="49F133DB" w14:textId="77777777" w:rsidR="00862D6E" w:rsidRDefault="00862D6E" w:rsidP="00862D6E">
      <w:pPr>
        <w:spacing w:after="0" w:line="240" w:lineRule="auto"/>
        <w:jc w:val="both"/>
        <w:rPr>
          <w:rFonts w:ascii="Arial" w:eastAsia="Calibri" w:hAnsi="Arial" w:cs="Arial"/>
          <w:sz w:val="20"/>
          <w:szCs w:val="20"/>
        </w:rPr>
      </w:pPr>
    </w:p>
    <w:p w14:paraId="34609F07" w14:textId="33727B4E" w:rsidR="0020580D" w:rsidRPr="00862D6E" w:rsidRDefault="0020580D" w:rsidP="00862D6E">
      <w:pPr>
        <w:spacing w:after="0" w:line="240" w:lineRule="auto"/>
        <w:jc w:val="both"/>
        <w:rPr>
          <w:rFonts w:ascii="Arial" w:eastAsia="Calibri" w:hAnsi="Arial" w:cs="Arial"/>
          <w:sz w:val="20"/>
          <w:szCs w:val="20"/>
        </w:rPr>
      </w:pPr>
      <w:r w:rsidRPr="00696ABB">
        <w:rPr>
          <w:rFonts w:ascii="Arial" w:eastAsia="Calibri" w:hAnsi="Arial" w:cs="Arial"/>
          <w:sz w:val="20"/>
          <w:szCs w:val="20"/>
        </w:rPr>
        <w:t>[…]</w:t>
      </w:r>
      <w:r>
        <w:rPr>
          <w:rFonts w:ascii="Arial" w:eastAsia="Calibri" w:hAnsi="Arial" w:cs="Arial"/>
          <w:sz w:val="20"/>
          <w:szCs w:val="20"/>
        </w:rPr>
        <w:t xml:space="preserve"> </w:t>
      </w:r>
      <w:r w:rsidRPr="00862D6E">
        <w:rPr>
          <w:rFonts w:ascii="Arial" w:eastAsia="Calibri" w:hAnsi="Arial" w:cs="Arial"/>
          <w:sz w:val="20"/>
          <w:szCs w:val="20"/>
        </w:rPr>
        <w:t xml:space="preserve">En virtud de lo anterior, bien podría una entidad estatal en el marco de un concurso de méritos exigir a los proponentes presentar hojas de vida de personas que cumplan con los perfiles exigidos o, en su defecto, requerir una declaración mediante la que el proponente se comprometa a ejecutar el contrato con un equipo de trabajo integrado por personas que cumplan los perfiles, requisitos de experiencia, preparación académica y demás condiciones que se establezcan. Sin embargo, el cumplimiento de los anteriores requerimientos no puede devenir en un compromiso de vincular mediante determinada modalidad contractual a las personas que integran ese equipo de trabajo, lo cual, como se mencionó antes, es un asunto imputable a la órbita de la autonomía del contratista.   </w:t>
      </w:r>
    </w:p>
    <w:p w14:paraId="113EF7CF" w14:textId="06D94815" w:rsidR="0020580D" w:rsidRPr="00E27227" w:rsidRDefault="0020580D" w:rsidP="0020580D">
      <w:pPr>
        <w:spacing w:before="120" w:after="0" w:line="276" w:lineRule="auto"/>
        <w:ind w:firstLine="708"/>
        <w:jc w:val="both"/>
        <w:rPr>
          <w:rFonts w:ascii="Arial" w:eastAsia="Times New Roman" w:hAnsi="Arial" w:cs="Arial"/>
          <w:szCs w:val="24"/>
          <w:lang w:val="es-ES_tradnl" w:eastAsia="es-MX"/>
        </w:rPr>
      </w:pPr>
      <w:r w:rsidRPr="00696ABB">
        <w:rPr>
          <w:rFonts w:ascii="Arial" w:eastAsia="Times New Roman" w:hAnsi="Arial" w:cs="Arial"/>
          <w:szCs w:val="24"/>
          <w:lang w:val="es-ES_tradnl" w:eastAsia="es-MX"/>
        </w:rPr>
        <w:t xml:space="preserve"> </w:t>
      </w:r>
    </w:p>
    <w:p w14:paraId="39998986" w14:textId="77777777" w:rsidR="00835A25" w:rsidRPr="00696ABB" w:rsidRDefault="00835A25">
      <w:pPr>
        <w:rPr>
          <w:rFonts w:ascii="Arial" w:eastAsia="Calibri" w:hAnsi="Arial" w:cs="Arial"/>
        </w:rPr>
      </w:pPr>
      <w:r w:rsidRPr="00696ABB">
        <w:rPr>
          <w:rFonts w:ascii="Arial" w:eastAsia="Calibri" w:hAnsi="Arial" w:cs="Arial"/>
        </w:rPr>
        <w:br w:type="page"/>
      </w:r>
    </w:p>
    <w:p w14:paraId="0B8B78C0" w14:textId="258A1578" w:rsidR="00881F9F" w:rsidRPr="00696ABB" w:rsidRDefault="00862D6E" w:rsidP="003816CD">
      <w:pPr>
        <w:tabs>
          <w:tab w:val="left" w:pos="3374"/>
        </w:tabs>
        <w:spacing w:after="0" w:line="240" w:lineRule="auto"/>
        <w:rPr>
          <w:rFonts w:ascii="Arial" w:eastAsia="Calibri" w:hAnsi="Arial" w:cs="Arial"/>
        </w:rPr>
      </w:pPr>
      <w:r>
        <w:rPr>
          <w:rFonts w:ascii="Arial" w:eastAsia="Calibri" w:hAnsi="Arial" w:cs="Arial"/>
        </w:rPr>
        <w:lastRenderedPageBreak/>
        <w:t xml:space="preserve">Bogotá D.C., 15 de </w:t>
      </w:r>
      <w:proofErr w:type="gramStart"/>
      <w:r>
        <w:rPr>
          <w:rFonts w:ascii="Arial" w:eastAsia="Calibri" w:hAnsi="Arial" w:cs="Arial"/>
        </w:rPr>
        <w:t>Noviembre</w:t>
      </w:r>
      <w:proofErr w:type="gramEnd"/>
      <w:r>
        <w:rPr>
          <w:rFonts w:ascii="Arial" w:eastAsia="Calibri" w:hAnsi="Arial" w:cs="Arial"/>
        </w:rPr>
        <w:t xml:space="preserve"> de 2022</w:t>
      </w:r>
    </w:p>
    <w:p w14:paraId="18A8270A" w14:textId="3D6658E9" w:rsidR="00904AEE" w:rsidRDefault="00904AEE" w:rsidP="003816CD">
      <w:pPr>
        <w:tabs>
          <w:tab w:val="left" w:pos="3374"/>
        </w:tabs>
        <w:spacing w:after="0" w:line="240" w:lineRule="auto"/>
        <w:rPr>
          <w:rFonts w:ascii="Arial" w:eastAsia="Calibri" w:hAnsi="Arial" w:cs="Arial"/>
          <w:bCs/>
          <w:color w:val="1A1A1A" w:themeColor="background1" w:themeShade="1A"/>
          <w:lang w:val="es-ES_tradnl"/>
        </w:rPr>
      </w:pPr>
    </w:p>
    <w:p w14:paraId="1A6DC4F4" w14:textId="347630F0" w:rsidR="00862D6E" w:rsidRDefault="00862D6E" w:rsidP="003816CD">
      <w:pPr>
        <w:tabs>
          <w:tab w:val="left" w:pos="3374"/>
        </w:tabs>
        <w:spacing w:after="0" w:line="240" w:lineRule="auto"/>
        <w:rPr>
          <w:rFonts w:ascii="Arial" w:eastAsia="Calibri" w:hAnsi="Arial" w:cs="Arial"/>
          <w:bCs/>
          <w:color w:val="1A1A1A" w:themeColor="background1" w:themeShade="1A"/>
          <w:lang w:val="es-ES_tradnl"/>
        </w:rPr>
      </w:pPr>
    </w:p>
    <w:p w14:paraId="35403304" w14:textId="470C19C8" w:rsidR="00862D6E" w:rsidRDefault="00F202F0" w:rsidP="00F202F0">
      <w:pPr>
        <w:tabs>
          <w:tab w:val="left" w:pos="3374"/>
        </w:tabs>
        <w:spacing w:after="0" w:line="240" w:lineRule="auto"/>
        <w:jc w:val="right"/>
        <w:rPr>
          <w:rFonts w:ascii="Arial" w:eastAsia="Calibri" w:hAnsi="Arial" w:cs="Arial"/>
          <w:bCs/>
          <w:color w:val="1A1A1A" w:themeColor="background1" w:themeShade="1A"/>
          <w:lang w:val="es-ES_tradnl"/>
        </w:rPr>
      </w:pPr>
      <w:r>
        <w:rPr>
          <w:noProof/>
        </w:rPr>
        <w:drawing>
          <wp:inline distT="0" distB="0" distL="0" distR="0" wp14:anchorId="3645F369" wp14:editId="2E34F79A">
            <wp:extent cx="31527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0720" t="62842" r="12789" b="11354"/>
                    <a:stretch/>
                  </pic:blipFill>
                  <pic:spPr bwMode="auto">
                    <a:xfrm>
                      <a:off x="0" y="0"/>
                      <a:ext cx="3152775" cy="809625"/>
                    </a:xfrm>
                    <a:prstGeom prst="rect">
                      <a:avLst/>
                    </a:prstGeom>
                    <a:ln>
                      <a:noFill/>
                    </a:ln>
                    <a:extLst>
                      <a:ext uri="{53640926-AAD7-44D8-BBD7-CCE9431645EC}">
                        <a14:shadowObscured xmlns:a14="http://schemas.microsoft.com/office/drawing/2010/main"/>
                      </a:ext>
                    </a:extLst>
                  </pic:spPr>
                </pic:pic>
              </a:graphicData>
            </a:graphic>
          </wp:inline>
        </w:drawing>
      </w:r>
    </w:p>
    <w:p w14:paraId="2F136CD1" w14:textId="77777777" w:rsidR="00862D6E" w:rsidRPr="00696ABB" w:rsidRDefault="00862D6E" w:rsidP="003816CD">
      <w:pPr>
        <w:tabs>
          <w:tab w:val="left" w:pos="3374"/>
        </w:tabs>
        <w:spacing w:after="0" w:line="240" w:lineRule="auto"/>
        <w:rPr>
          <w:rFonts w:ascii="Arial" w:eastAsia="Calibri" w:hAnsi="Arial" w:cs="Arial"/>
          <w:bCs/>
          <w:color w:val="1A1A1A" w:themeColor="background1" w:themeShade="1A"/>
          <w:lang w:val="es-ES_tradnl"/>
        </w:rPr>
      </w:pPr>
    </w:p>
    <w:p w14:paraId="399C47A4" w14:textId="77BFEB05" w:rsidR="00137E23" w:rsidRPr="00696ABB" w:rsidRDefault="00137E23" w:rsidP="003816CD">
      <w:pPr>
        <w:tabs>
          <w:tab w:val="left" w:pos="3374"/>
        </w:tabs>
        <w:spacing w:after="0" w:line="240" w:lineRule="auto"/>
        <w:rPr>
          <w:rFonts w:ascii="Arial" w:eastAsia="Calibri" w:hAnsi="Arial" w:cs="Arial"/>
          <w:bCs/>
          <w:color w:val="1A1A1A" w:themeColor="background1" w:themeShade="1A"/>
          <w:lang w:val="es-ES_tradnl"/>
        </w:rPr>
      </w:pPr>
      <w:r w:rsidRPr="00696ABB">
        <w:rPr>
          <w:rFonts w:ascii="Arial" w:eastAsia="Calibri" w:hAnsi="Arial" w:cs="Arial"/>
          <w:bCs/>
          <w:color w:val="1A1A1A" w:themeColor="background1" w:themeShade="1A"/>
          <w:lang w:val="es-ES_tradnl"/>
        </w:rPr>
        <w:t>Señor</w:t>
      </w:r>
      <w:r w:rsidR="00586358" w:rsidRPr="00696ABB">
        <w:rPr>
          <w:rFonts w:ascii="Arial" w:eastAsia="Calibri" w:hAnsi="Arial" w:cs="Arial"/>
          <w:bCs/>
          <w:color w:val="1A1A1A" w:themeColor="background1" w:themeShade="1A"/>
          <w:lang w:val="es-ES_tradnl"/>
        </w:rPr>
        <w:t>a</w:t>
      </w:r>
    </w:p>
    <w:p w14:paraId="4765AD4B" w14:textId="070D4727" w:rsidR="009213BD" w:rsidRPr="00696ABB" w:rsidRDefault="009213BD" w:rsidP="00881F9F">
      <w:pPr>
        <w:spacing w:after="0" w:line="240" w:lineRule="auto"/>
        <w:rPr>
          <w:rFonts w:ascii="Arial" w:eastAsia="Calibri" w:hAnsi="Arial" w:cs="Arial"/>
          <w:b/>
          <w:color w:val="1A1A1A" w:themeColor="background1" w:themeShade="1A"/>
          <w:lang w:val="es-ES_tradnl"/>
        </w:rPr>
      </w:pPr>
      <w:r w:rsidRPr="00696ABB">
        <w:rPr>
          <w:rFonts w:ascii="Arial" w:eastAsia="Calibri" w:hAnsi="Arial" w:cs="Arial"/>
          <w:b/>
          <w:color w:val="1A1A1A" w:themeColor="background1" w:themeShade="1A"/>
          <w:lang w:val="es-ES_tradnl"/>
        </w:rPr>
        <w:t>Laura Marcela Gómez Cala</w:t>
      </w:r>
    </w:p>
    <w:p w14:paraId="66CD8E24" w14:textId="780AD5B8" w:rsidR="006D3709" w:rsidRPr="00696ABB" w:rsidRDefault="004119B4" w:rsidP="009213BD">
      <w:pPr>
        <w:rPr>
          <w:rFonts w:ascii="Arial" w:eastAsia="Calibri" w:hAnsi="Arial" w:cs="Arial"/>
          <w:bCs/>
          <w:color w:val="1A1A1A" w:themeColor="background1" w:themeShade="1A"/>
          <w:lang w:val="es-ES_tradnl"/>
        </w:rPr>
      </w:pPr>
      <w:r w:rsidRPr="00696ABB">
        <w:rPr>
          <w:rFonts w:ascii="Arial" w:eastAsia="Calibri" w:hAnsi="Arial" w:cs="Arial"/>
          <w:bCs/>
          <w:color w:val="1A1A1A" w:themeColor="background1" w:themeShade="1A"/>
          <w:lang w:val="es-ES_tradnl"/>
        </w:rPr>
        <w:t>San Gil, Santander</w:t>
      </w:r>
    </w:p>
    <w:p w14:paraId="6F34B0AD" w14:textId="77777777" w:rsidR="00881F9F" w:rsidRPr="00696ABB" w:rsidRDefault="00881F9F" w:rsidP="00A30642">
      <w:pPr>
        <w:ind w:left="2116" w:firstLine="708"/>
        <w:rPr>
          <w:rFonts w:ascii="Arial" w:eastAsia="Calibri" w:hAnsi="Arial" w:cs="Arial"/>
          <w:b/>
        </w:rPr>
      </w:pPr>
    </w:p>
    <w:p w14:paraId="1F232330" w14:textId="1EB68A32" w:rsidR="00137E23" w:rsidRPr="00696ABB" w:rsidRDefault="00137E23" w:rsidP="00A30642">
      <w:pPr>
        <w:ind w:left="2116" w:firstLine="708"/>
        <w:rPr>
          <w:rFonts w:ascii="Arial" w:eastAsia="Calibri" w:hAnsi="Arial" w:cs="Arial"/>
          <w:b/>
        </w:rPr>
      </w:pPr>
      <w:r w:rsidRPr="00696ABB">
        <w:rPr>
          <w:rFonts w:ascii="Arial" w:eastAsia="Calibri" w:hAnsi="Arial" w:cs="Arial"/>
          <w:b/>
        </w:rPr>
        <w:t>Concepto C –</w:t>
      </w:r>
      <w:r w:rsidR="00926EB3" w:rsidRPr="00696ABB">
        <w:rPr>
          <w:rFonts w:ascii="Arial" w:eastAsia="Calibri" w:hAnsi="Arial" w:cs="Arial"/>
          <w:b/>
        </w:rPr>
        <w:t xml:space="preserve"> </w:t>
      </w:r>
      <w:r w:rsidR="009213BD" w:rsidRPr="00696ABB">
        <w:rPr>
          <w:rFonts w:ascii="Arial" w:eastAsia="Calibri" w:hAnsi="Arial" w:cs="Arial"/>
          <w:b/>
        </w:rPr>
        <w:t>71</w:t>
      </w:r>
      <w:r w:rsidR="003E2F16" w:rsidRPr="00696ABB">
        <w:rPr>
          <w:rFonts w:ascii="Arial" w:eastAsia="Calibri" w:hAnsi="Arial" w:cs="Arial"/>
          <w:b/>
        </w:rPr>
        <w:t>6</w:t>
      </w:r>
      <w:r w:rsidR="00586358" w:rsidRPr="00696ABB">
        <w:rPr>
          <w:rFonts w:ascii="Arial" w:eastAsia="Calibri" w:hAnsi="Arial" w:cs="Arial"/>
          <w:b/>
        </w:rPr>
        <w:t xml:space="preserve"> </w:t>
      </w:r>
      <w:r w:rsidRPr="00696ABB">
        <w:rPr>
          <w:rFonts w:ascii="Arial" w:eastAsia="Calibri" w:hAnsi="Arial" w:cs="Arial"/>
          <w:b/>
        </w:rPr>
        <w:t>de 202</w:t>
      </w:r>
      <w:r w:rsidR="000E0118" w:rsidRPr="00696ABB">
        <w:rPr>
          <w:rFonts w:ascii="Arial" w:eastAsia="Calibri" w:hAnsi="Arial" w:cs="Arial"/>
          <w:b/>
        </w:rPr>
        <w:t>2</w:t>
      </w:r>
    </w:p>
    <w:p w14:paraId="2C2CCF04" w14:textId="5179F3F1" w:rsidR="000E0118" w:rsidRPr="00696ABB" w:rsidRDefault="00A30642" w:rsidP="00392B77">
      <w:pPr>
        <w:ind w:left="2824" w:hanging="2824"/>
        <w:jc w:val="both"/>
        <w:rPr>
          <w:rFonts w:ascii="Arial" w:eastAsia="Calibri" w:hAnsi="Arial" w:cs="Arial"/>
          <w:bCs/>
          <w:color w:val="1A1A1A" w:themeColor="background1" w:themeShade="1A"/>
          <w:lang w:val="es-ES_tradnl"/>
        </w:rPr>
      </w:pPr>
      <w:r w:rsidRPr="00696ABB">
        <w:rPr>
          <w:rFonts w:ascii="Arial" w:eastAsia="Calibri" w:hAnsi="Arial" w:cs="Arial"/>
          <w:b/>
          <w:noProof/>
          <w:color w:val="1A1A1A" w:themeColor="background1" w:themeShade="1A"/>
          <w:lang w:val="es-ES_tradnl"/>
        </w:rPr>
        <w:t>Temas</w:t>
      </w:r>
      <w:r w:rsidRPr="00696ABB">
        <w:rPr>
          <w:rFonts w:ascii="Arial" w:eastAsia="Calibri" w:hAnsi="Arial" w:cs="Arial"/>
          <w:bCs/>
          <w:noProof/>
          <w:color w:val="1A1A1A" w:themeColor="background1" w:themeShade="1A"/>
          <w:lang w:val="es-ES_tradnl"/>
        </w:rPr>
        <w:t xml:space="preserve">: </w:t>
      </w:r>
      <w:r w:rsidRPr="00696ABB">
        <w:rPr>
          <w:rFonts w:ascii="Arial" w:eastAsia="Calibri" w:hAnsi="Arial" w:cs="Arial"/>
          <w:bCs/>
          <w:noProof/>
          <w:color w:val="1A1A1A" w:themeColor="background1" w:themeShade="1A"/>
          <w:lang w:val="es-ES_tradnl"/>
        </w:rPr>
        <w:tab/>
      </w:r>
      <w:r w:rsidR="006855B7" w:rsidRPr="00E27227">
        <w:rPr>
          <w:rFonts w:ascii="Arial" w:eastAsia="Calibri" w:hAnsi="Arial" w:cs="Arial"/>
          <w:bCs/>
          <w:noProof/>
          <w:color w:val="1A1A1A" w:themeColor="background1" w:themeShade="1A"/>
          <w:lang w:val="es-ES_tradnl"/>
        </w:rPr>
        <w:t>PLANEACIÓN CONTRACTUAL – Noción / ESTUDIOS PREVIOS – Alcance</w:t>
      </w:r>
      <w:r w:rsidR="00BD4E48">
        <w:rPr>
          <w:rFonts w:ascii="Arial" w:eastAsia="Calibri" w:hAnsi="Arial" w:cs="Arial"/>
          <w:bCs/>
          <w:noProof/>
          <w:color w:val="1A1A1A" w:themeColor="background1" w:themeShade="1A"/>
          <w:lang w:val="es-ES_tradnl"/>
        </w:rPr>
        <w:t xml:space="preserve"> </w:t>
      </w:r>
      <w:r w:rsidR="000B5990" w:rsidRPr="00E27227">
        <w:rPr>
          <w:rFonts w:ascii="Arial" w:eastAsia="Calibri" w:hAnsi="Arial" w:cs="Arial"/>
          <w:bCs/>
          <w:noProof/>
          <w:color w:val="1A1A1A" w:themeColor="background1" w:themeShade="1A"/>
          <w:lang w:val="es-ES_tradnl"/>
        </w:rPr>
        <w:t xml:space="preserve">– Contenido / ESTUDIOS PREVIOS – Analisis del sector / ESTUDIOS PREVIOS – Valor del contrato / PRECIO </w:t>
      </w:r>
      <w:r w:rsidR="00853233" w:rsidRPr="00E27227">
        <w:rPr>
          <w:rFonts w:ascii="Arial" w:eastAsia="Calibri" w:hAnsi="Arial" w:cs="Arial"/>
          <w:bCs/>
          <w:noProof/>
          <w:color w:val="1A1A1A" w:themeColor="background1" w:themeShade="1A"/>
          <w:lang w:val="es-ES_tradnl"/>
        </w:rPr>
        <w:t>–</w:t>
      </w:r>
      <w:r w:rsidR="000B5990" w:rsidRPr="00E27227">
        <w:rPr>
          <w:rFonts w:ascii="Arial" w:eastAsia="Calibri" w:hAnsi="Arial" w:cs="Arial"/>
          <w:bCs/>
          <w:noProof/>
          <w:color w:val="1A1A1A" w:themeColor="background1" w:themeShade="1A"/>
          <w:lang w:val="es-ES_tradnl"/>
        </w:rPr>
        <w:t xml:space="preserve"> </w:t>
      </w:r>
      <w:r w:rsidR="00853233" w:rsidRPr="00E27227">
        <w:rPr>
          <w:rFonts w:ascii="Arial" w:eastAsia="Calibri" w:hAnsi="Arial" w:cs="Arial"/>
          <w:bCs/>
          <w:noProof/>
          <w:color w:val="1A1A1A" w:themeColor="background1" w:themeShade="1A"/>
          <w:lang w:val="es-ES_tradnl"/>
        </w:rPr>
        <w:t>Noción</w:t>
      </w:r>
      <w:r w:rsidR="00C6085D">
        <w:rPr>
          <w:rFonts w:ascii="Arial" w:eastAsia="Calibri" w:hAnsi="Arial" w:cs="Arial"/>
          <w:bCs/>
          <w:noProof/>
          <w:color w:val="1A1A1A" w:themeColor="background1" w:themeShade="1A"/>
          <w:lang w:val="es-ES_tradnl"/>
        </w:rPr>
        <w:t xml:space="preserve"> </w:t>
      </w:r>
      <w:r w:rsidR="00853233" w:rsidRPr="00E27227">
        <w:rPr>
          <w:rFonts w:ascii="Arial" w:eastAsia="Calibri" w:hAnsi="Arial" w:cs="Arial"/>
          <w:bCs/>
          <w:noProof/>
          <w:color w:val="1A1A1A" w:themeColor="background1" w:themeShade="1A"/>
          <w:lang w:val="es-ES_tradnl"/>
        </w:rPr>
        <w:t xml:space="preserve">– Determinación – Contratos estatales </w:t>
      </w:r>
      <w:r w:rsidR="00EA4A46" w:rsidRPr="00E27227">
        <w:rPr>
          <w:rFonts w:ascii="Arial" w:eastAsia="Calibri" w:hAnsi="Arial" w:cs="Arial"/>
          <w:bCs/>
          <w:noProof/>
          <w:color w:val="1A1A1A" w:themeColor="background1" w:themeShade="1A"/>
          <w:lang w:val="es-ES_tradnl"/>
        </w:rPr>
        <w:t>– Autonomía / PRECIO – Analisis de Precios Unitarios</w:t>
      </w:r>
      <w:r w:rsidR="00A8641C">
        <w:rPr>
          <w:rFonts w:ascii="Arial" w:eastAsia="Calibri" w:hAnsi="Arial" w:cs="Arial"/>
          <w:bCs/>
          <w:noProof/>
          <w:color w:val="1A1A1A" w:themeColor="background1" w:themeShade="1A"/>
          <w:lang w:val="es-ES_tradnl"/>
        </w:rPr>
        <w:t xml:space="preserve"> </w:t>
      </w:r>
      <w:r w:rsidR="00EA4A46" w:rsidRPr="00E27227">
        <w:rPr>
          <w:rFonts w:ascii="Arial" w:eastAsia="Calibri" w:hAnsi="Arial" w:cs="Arial"/>
          <w:bCs/>
          <w:noProof/>
          <w:color w:val="1A1A1A" w:themeColor="background1" w:themeShade="1A"/>
          <w:lang w:val="es-ES_tradnl"/>
        </w:rPr>
        <w:t>– Sistema de Precios Unitarios / PRECIO – Factor multiplicador</w:t>
      </w:r>
      <w:r w:rsidR="00807067" w:rsidRPr="00E27227">
        <w:rPr>
          <w:rFonts w:ascii="Arial" w:eastAsia="Calibri" w:hAnsi="Arial" w:cs="Arial"/>
          <w:bCs/>
          <w:noProof/>
          <w:color w:val="1A1A1A" w:themeColor="background1" w:themeShade="1A"/>
          <w:lang w:val="es-ES_tradnl"/>
        </w:rPr>
        <w:t xml:space="preserve"> / EJECUCIÓN DEL CONTRATO – Independencia técnica</w:t>
      </w:r>
    </w:p>
    <w:p w14:paraId="1445D9F2" w14:textId="1E1EE661" w:rsidR="00783852" w:rsidRPr="00696ABB" w:rsidRDefault="00A30642" w:rsidP="00163D53">
      <w:pPr>
        <w:ind w:left="2824" w:hanging="2818"/>
        <w:jc w:val="both"/>
        <w:rPr>
          <w:rFonts w:ascii="Arial" w:eastAsia="Calibri" w:hAnsi="Arial" w:cs="Arial"/>
          <w:bCs/>
          <w:noProof/>
          <w:color w:val="1A1A1A" w:themeColor="background1" w:themeShade="1A"/>
          <w:lang w:val="es-ES_tradnl"/>
        </w:rPr>
      </w:pPr>
      <w:r w:rsidRPr="00696ABB">
        <w:rPr>
          <w:rFonts w:ascii="Arial" w:eastAsia="Calibri" w:hAnsi="Arial" w:cs="Arial"/>
          <w:b/>
          <w:noProof/>
          <w:color w:val="1A1A1A" w:themeColor="background1" w:themeShade="1A"/>
          <w:lang w:val="es-ES_tradnl"/>
        </w:rPr>
        <w:t>Radicación</w:t>
      </w:r>
      <w:r w:rsidRPr="00696ABB">
        <w:rPr>
          <w:rFonts w:ascii="Arial" w:eastAsia="Calibri" w:hAnsi="Arial" w:cs="Arial"/>
          <w:bCs/>
          <w:noProof/>
          <w:color w:val="1A1A1A" w:themeColor="background1" w:themeShade="1A"/>
          <w:lang w:val="es-ES_tradnl"/>
        </w:rPr>
        <w:t>:</w:t>
      </w:r>
      <w:r w:rsidRPr="00696ABB">
        <w:rPr>
          <w:rFonts w:ascii="Arial" w:eastAsia="Calibri" w:hAnsi="Arial" w:cs="Arial"/>
          <w:bCs/>
          <w:noProof/>
          <w:color w:val="1A1A1A" w:themeColor="background1" w:themeShade="1A"/>
          <w:lang w:val="es-ES_tradnl"/>
        </w:rPr>
        <w:tab/>
        <w:t xml:space="preserve">Respuesta a consulta </w:t>
      </w:r>
      <w:r w:rsidR="003E2F16" w:rsidRPr="00696ABB">
        <w:rPr>
          <w:rFonts w:ascii="Arial" w:eastAsia="Calibri" w:hAnsi="Arial" w:cs="Arial"/>
          <w:bCs/>
          <w:noProof/>
          <w:color w:val="1A1A1A" w:themeColor="background1" w:themeShade="1A"/>
          <w:lang w:val="es-ES_tradnl"/>
        </w:rPr>
        <w:t xml:space="preserve">P20220915009318. </w:t>
      </w:r>
    </w:p>
    <w:p w14:paraId="2278E218" w14:textId="77777777" w:rsidR="003E2F16" w:rsidRPr="00696ABB" w:rsidRDefault="003E2F16" w:rsidP="00163D53">
      <w:pPr>
        <w:ind w:left="2824" w:hanging="2818"/>
        <w:jc w:val="both"/>
        <w:rPr>
          <w:rFonts w:ascii="Arial" w:eastAsia="Calibri" w:hAnsi="Arial" w:cs="Arial"/>
          <w:lang w:val="es-ES_tradnl"/>
        </w:rPr>
      </w:pPr>
    </w:p>
    <w:p w14:paraId="5874A272" w14:textId="5FAFAF42" w:rsidR="00137E23" w:rsidRPr="00696ABB" w:rsidRDefault="00137E23" w:rsidP="00830AB8">
      <w:pPr>
        <w:tabs>
          <w:tab w:val="left" w:pos="3374"/>
        </w:tabs>
        <w:spacing w:after="0"/>
        <w:rPr>
          <w:rFonts w:ascii="Arial" w:eastAsia="Calibri" w:hAnsi="Arial" w:cs="Arial"/>
        </w:rPr>
      </w:pPr>
      <w:r w:rsidRPr="00696ABB">
        <w:rPr>
          <w:rFonts w:ascii="Arial" w:eastAsia="Calibri" w:hAnsi="Arial" w:cs="Arial"/>
        </w:rPr>
        <w:t>Estimad</w:t>
      </w:r>
      <w:r w:rsidR="00783852" w:rsidRPr="00696ABB">
        <w:rPr>
          <w:rFonts w:ascii="Arial" w:eastAsia="Calibri" w:hAnsi="Arial" w:cs="Arial"/>
        </w:rPr>
        <w:t>a</w:t>
      </w:r>
      <w:r w:rsidR="00E62C8E" w:rsidRPr="00696ABB">
        <w:rPr>
          <w:rFonts w:ascii="Arial" w:eastAsia="Calibri" w:hAnsi="Arial" w:cs="Arial"/>
        </w:rPr>
        <w:t xml:space="preserve"> </w:t>
      </w:r>
      <w:r w:rsidRPr="00696ABB">
        <w:rPr>
          <w:rFonts w:ascii="Arial" w:eastAsia="Calibri" w:hAnsi="Arial" w:cs="Arial"/>
        </w:rPr>
        <w:t>señor</w:t>
      </w:r>
      <w:r w:rsidR="00783852" w:rsidRPr="00696ABB">
        <w:rPr>
          <w:rFonts w:ascii="Arial" w:eastAsia="Calibri" w:hAnsi="Arial" w:cs="Arial"/>
        </w:rPr>
        <w:t>a</w:t>
      </w:r>
      <w:r w:rsidR="00830AB8" w:rsidRPr="00696ABB">
        <w:rPr>
          <w:rFonts w:ascii="Arial" w:hAnsi="Arial" w:cs="Arial"/>
          <w:b/>
          <w:bCs/>
        </w:rPr>
        <w:t xml:space="preserve"> </w:t>
      </w:r>
      <w:r w:rsidR="003E2F16" w:rsidRPr="00696ABB">
        <w:rPr>
          <w:rFonts w:ascii="Arial" w:hAnsi="Arial" w:cs="Arial"/>
        </w:rPr>
        <w:t>Gómez</w:t>
      </w:r>
      <w:r w:rsidR="003A7A79" w:rsidRPr="00696ABB">
        <w:rPr>
          <w:rFonts w:ascii="Arial" w:hAnsi="Arial" w:cs="Arial"/>
        </w:rPr>
        <w:t xml:space="preserve">, </w:t>
      </w:r>
      <w:r w:rsidR="00E62C8E" w:rsidRPr="00696ABB">
        <w:rPr>
          <w:rFonts w:ascii="Arial" w:hAnsi="Arial" w:cs="Arial"/>
        </w:rPr>
        <w:t xml:space="preserve"> </w:t>
      </w:r>
      <w:r w:rsidR="005F6209" w:rsidRPr="00696ABB">
        <w:rPr>
          <w:rFonts w:ascii="Arial" w:hAnsi="Arial" w:cs="Arial"/>
          <w:b/>
          <w:bCs/>
        </w:rPr>
        <w:t xml:space="preserve"> </w:t>
      </w:r>
    </w:p>
    <w:p w14:paraId="06382AAE" w14:textId="77777777" w:rsidR="00423644" w:rsidRPr="00696ABB" w:rsidRDefault="00423644" w:rsidP="00423644">
      <w:pPr>
        <w:spacing w:after="0" w:line="276" w:lineRule="auto"/>
        <w:jc w:val="both"/>
        <w:rPr>
          <w:rFonts w:ascii="Arial" w:eastAsia="Calibri" w:hAnsi="Arial" w:cs="Arial"/>
        </w:rPr>
      </w:pPr>
    </w:p>
    <w:p w14:paraId="743F6248" w14:textId="01EA5305" w:rsidR="00830AB8" w:rsidRPr="00696ABB" w:rsidRDefault="00423644" w:rsidP="00423644">
      <w:pPr>
        <w:spacing w:after="0" w:line="276" w:lineRule="auto"/>
        <w:jc w:val="both"/>
        <w:rPr>
          <w:rFonts w:ascii="Arial" w:eastAsia="Calibri" w:hAnsi="Arial" w:cs="Arial"/>
        </w:rPr>
      </w:pPr>
      <w:r w:rsidRPr="00696ABB">
        <w:rPr>
          <w:rFonts w:ascii="Arial" w:eastAsia="Calibri" w:hAnsi="Arial" w:cs="Arial"/>
        </w:rPr>
        <w:t xml:space="preserve">En ejercicio de la competencia otorgada por el numeral 8 del artículo 11 y el numeral 5 del artículo 3 del Decreto Ley 4170 de 2011, la Agencia Nacional de Contratación Pública− Colombia Compra Eficiente responde su consulta </w:t>
      </w:r>
      <w:r w:rsidR="004052CC" w:rsidRPr="00696ABB">
        <w:rPr>
          <w:rFonts w:ascii="Arial" w:eastAsia="Calibri" w:hAnsi="Arial" w:cs="Arial"/>
        </w:rPr>
        <w:t>de fecha</w:t>
      </w:r>
      <w:r w:rsidR="003E2F16" w:rsidRPr="00696ABB">
        <w:rPr>
          <w:rFonts w:ascii="Arial" w:eastAsia="Calibri" w:hAnsi="Arial" w:cs="Arial"/>
        </w:rPr>
        <w:t xml:space="preserve"> </w:t>
      </w:r>
      <w:r w:rsidR="003E2F16" w:rsidRPr="00696ABB">
        <w:rPr>
          <w:rFonts w:ascii="Arial" w:eastAsia="Calibri" w:hAnsi="Arial" w:cs="Arial"/>
          <w:bCs/>
          <w:noProof/>
          <w:color w:val="1A1A1A" w:themeColor="background1" w:themeShade="1A"/>
          <w:lang w:val="es-ES_tradnl"/>
        </w:rPr>
        <w:t>15</w:t>
      </w:r>
      <w:r w:rsidR="003E2F16" w:rsidRPr="00696ABB">
        <w:rPr>
          <w:rFonts w:ascii="Arial" w:eastAsia="Calibri" w:hAnsi="Arial" w:cs="Arial"/>
        </w:rPr>
        <w:t xml:space="preserve"> de septiembre de </w:t>
      </w:r>
      <w:r w:rsidRPr="00696ABB">
        <w:rPr>
          <w:rFonts w:ascii="Arial" w:eastAsia="Calibri" w:hAnsi="Arial" w:cs="Arial"/>
        </w:rPr>
        <w:t>2022.</w:t>
      </w:r>
    </w:p>
    <w:p w14:paraId="4617D601" w14:textId="77777777" w:rsidR="00423644" w:rsidRPr="00696ABB" w:rsidRDefault="00423644" w:rsidP="00423644">
      <w:pPr>
        <w:spacing w:after="0" w:line="276" w:lineRule="auto"/>
        <w:jc w:val="both"/>
        <w:rPr>
          <w:rFonts w:ascii="Arial" w:hAnsi="Arial" w:cs="Arial"/>
        </w:rPr>
      </w:pPr>
    </w:p>
    <w:p w14:paraId="6A56E98F" w14:textId="77777777" w:rsidR="00830AB8" w:rsidRPr="00696ABB" w:rsidRDefault="00830AB8" w:rsidP="00830AB8">
      <w:pPr>
        <w:tabs>
          <w:tab w:val="left" w:pos="284"/>
        </w:tabs>
        <w:spacing w:after="0" w:line="276" w:lineRule="auto"/>
        <w:contextualSpacing/>
        <w:jc w:val="both"/>
        <w:rPr>
          <w:rFonts w:ascii="Arial" w:eastAsia="Calibri" w:hAnsi="Arial" w:cs="Arial"/>
          <w:b/>
        </w:rPr>
      </w:pPr>
      <w:r w:rsidRPr="00696ABB">
        <w:rPr>
          <w:rFonts w:ascii="Arial" w:eastAsia="Calibri" w:hAnsi="Arial" w:cs="Arial"/>
          <w:b/>
        </w:rPr>
        <w:t xml:space="preserve">1. Problema planteado </w:t>
      </w:r>
    </w:p>
    <w:p w14:paraId="234B12EE" w14:textId="77777777" w:rsidR="00830AB8" w:rsidRPr="00696ABB" w:rsidRDefault="00830AB8" w:rsidP="00830AB8">
      <w:pPr>
        <w:tabs>
          <w:tab w:val="left" w:pos="426"/>
        </w:tabs>
        <w:spacing w:after="0" w:line="276" w:lineRule="auto"/>
        <w:jc w:val="both"/>
        <w:rPr>
          <w:rFonts w:ascii="Arial" w:eastAsia="Calibri" w:hAnsi="Arial" w:cs="Arial"/>
        </w:rPr>
      </w:pPr>
    </w:p>
    <w:p w14:paraId="5A1430E4" w14:textId="4269B927" w:rsidR="00FF5BF5" w:rsidRPr="00696ABB" w:rsidRDefault="00FF5BF5" w:rsidP="00FF5BF5">
      <w:pPr>
        <w:jc w:val="both"/>
        <w:rPr>
          <w:rFonts w:ascii="Arial" w:hAnsi="Arial" w:cs="Arial"/>
          <w:color w:val="1A1A1A" w:themeColor="background1" w:themeShade="1A"/>
          <w:lang w:val="es-ES_tradnl"/>
        </w:rPr>
      </w:pPr>
      <w:r w:rsidRPr="00696ABB">
        <w:rPr>
          <w:rFonts w:ascii="Arial" w:hAnsi="Arial" w:cs="Arial"/>
          <w:color w:val="1A1A1A" w:themeColor="background1" w:themeShade="1A"/>
          <w:lang w:val="es-ES_tradnl"/>
        </w:rPr>
        <w:t xml:space="preserve">Usted formula la siguiente consulta: </w:t>
      </w:r>
    </w:p>
    <w:p w14:paraId="4BD940D7" w14:textId="42C59CCD" w:rsidR="00F81909" w:rsidRPr="00696ABB" w:rsidRDefault="00F81909" w:rsidP="004119B4">
      <w:pPr>
        <w:spacing w:after="0" w:line="240" w:lineRule="auto"/>
        <w:ind w:left="567" w:right="851"/>
        <w:jc w:val="both"/>
        <w:rPr>
          <w:rFonts w:ascii="Arial" w:hAnsi="Arial" w:cs="Arial"/>
          <w:color w:val="1A1A1A" w:themeColor="background1" w:themeShade="1A"/>
          <w:sz w:val="21"/>
          <w:szCs w:val="21"/>
        </w:rPr>
      </w:pPr>
      <w:r w:rsidRPr="00696ABB">
        <w:rPr>
          <w:rFonts w:ascii="Arial" w:hAnsi="Arial" w:cs="Arial"/>
          <w:color w:val="1A1A1A" w:themeColor="background1" w:themeShade="1A"/>
          <w:sz w:val="21"/>
          <w:szCs w:val="21"/>
        </w:rPr>
        <w:t xml:space="preserve">1. Puede una entidad contratante ya sea un municipio, corporación autónoma, departamento u otro exigir a los oferentes dentro de un concurso de méritos que </w:t>
      </w:r>
      <w:r w:rsidRPr="00696ABB">
        <w:rPr>
          <w:rFonts w:ascii="Arial" w:hAnsi="Arial" w:cs="Arial"/>
          <w:color w:val="1A1A1A" w:themeColor="background1" w:themeShade="1A"/>
          <w:sz w:val="21"/>
          <w:szCs w:val="21"/>
        </w:rPr>
        <w:lastRenderedPageBreak/>
        <w:t xml:space="preserve">sea de tipo: consultoría, que el personal sea contratado en su totalidad bajo la modalidad de contratación a término fijo o por contrato de prestación de servicio. Bajo que norma, concepto, guía u otro está regulado este aspecto. </w:t>
      </w:r>
    </w:p>
    <w:p w14:paraId="6899511E" w14:textId="77777777" w:rsidR="00F81909" w:rsidRPr="00696ABB" w:rsidRDefault="00F81909" w:rsidP="004119B4">
      <w:pPr>
        <w:spacing w:after="0" w:line="240" w:lineRule="auto"/>
        <w:ind w:left="567" w:right="851"/>
        <w:jc w:val="both"/>
        <w:rPr>
          <w:rFonts w:ascii="Arial" w:hAnsi="Arial" w:cs="Arial"/>
          <w:color w:val="1A1A1A" w:themeColor="background1" w:themeShade="1A"/>
          <w:sz w:val="21"/>
          <w:szCs w:val="21"/>
        </w:rPr>
      </w:pPr>
    </w:p>
    <w:p w14:paraId="5CC9E402" w14:textId="77777777" w:rsidR="00F81909" w:rsidRPr="00696ABB" w:rsidRDefault="00F81909" w:rsidP="004119B4">
      <w:pPr>
        <w:spacing w:after="0" w:line="240" w:lineRule="auto"/>
        <w:ind w:left="567" w:right="851"/>
        <w:jc w:val="both"/>
        <w:rPr>
          <w:rFonts w:ascii="Arial" w:hAnsi="Arial" w:cs="Arial"/>
          <w:color w:val="1A1A1A" w:themeColor="background1" w:themeShade="1A"/>
          <w:sz w:val="21"/>
          <w:szCs w:val="21"/>
        </w:rPr>
      </w:pPr>
      <w:r w:rsidRPr="00696ABB">
        <w:rPr>
          <w:rFonts w:ascii="Arial" w:hAnsi="Arial" w:cs="Arial"/>
          <w:color w:val="1A1A1A" w:themeColor="background1" w:themeShade="1A"/>
          <w:sz w:val="21"/>
          <w:szCs w:val="21"/>
        </w:rPr>
        <w:t xml:space="preserve">2. Puede una entidad contratante ya sea un municipio, corporación autónoma, departamento u otro exigir a los oferentes dentro de un concurso de méritos que sea de tipo: consultoría, que el personal sea contratado así: unos bajo la modalidad de contratación a término fijo y otros por contrato de prestación de servicio. Bajo que norma, concepto, guía u otro está regulado este aspecto. </w:t>
      </w:r>
    </w:p>
    <w:p w14:paraId="483D0116" w14:textId="77777777" w:rsidR="00F81909" w:rsidRPr="00696ABB" w:rsidRDefault="00F81909" w:rsidP="004119B4">
      <w:pPr>
        <w:spacing w:after="0" w:line="240" w:lineRule="auto"/>
        <w:ind w:left="567" w:right="851"/>
        <w:jc w:val="both"/>
        <w:rPr>
          <w:rFonts w:ascii="Arial" w:hAnsi="Arial" w:cs="Arial"/>
          <w:color w:val="1A1A1A" w:themeColor="background1" w:themeShade="1A"/>
          <w:sz w:val="21"/>
          <w:szCs w:val="21"/>
        </w:rPr>
      </w:pPr>
    </w:p>
    <w:p w14:paraId="675F7318" w14:textId="77777777" w:rsidR="00F81909" w:rsidRPr="00696ABB" w:rsidRDefault="00F81909" w:rsidP="004119B4">
      <w:pPr>
        <w:spacing w:after="0" w:line="240" w:lineRule="auto"/>
        <w:ind w:left="567" w:right="851"/>
        <w:jc w:val="both"/>
        <w:rPr>
          <w:rFonts w:ascii="Arial" w:hAnsi="Arial" w:cs="Arial"/>
          <w:color w:val="1A1A1A" w:themeColor="background1" w:themeShade="1A"/>
          <w:sz w:val="21"/>
          <w:szCs w:val="21"/>
        </w:rPr>
      </w:pPr>
      <w:r w:rsidRPr="00696ABB">
        <w:rPr>
          <w:rFonts w:ascii="Arial" w:hAnsi="Arial" w:cs="Arial"/>
          <w:color w:val="1A1A1A" w:themeColor="background1" w:themeShade="1A"/>
          <w:sz w:val="21"/>
          <w:szCs w:val="21"/>
        </w:rPr>
        <w:t xml:space="preserve">3. Puede una entidad contratante ya sea un municipio, corporación autónoma, departamento u otro, en contrato de consultoría (diferentes a los de obra) exigir la aplicación del Factor multiplicador en la oferta económica. Bajo que norma, concepto, guía u otro está regulado este aspecto. </w:t>
      </w:r>
    </w:p>
    <w:p w14:paraId="53CF5235" w14:textId="77777777" w:rsidR="00F81909" w:rsidRPr="00696ABB" w:rsidRDefault="00F81909" w:rsidP="004119B4">
      <w:pPr>
        <w:spacing w:after="0" w:line="240" w:lineRule="auto"/>
        <w:ind w:left="567" w:right="851"/>
        <w:jc w:val="both"/>
        <w:rPr>
          <w:rFonts w:ascii="Arial" w:hAnsi="Arial" w:cs="Arial"/>
          <w:color w:val="1A1A1A" w:themeColor="background1" w:themeShade="1A"/>
          <w:sz w:val="21"/>
          <w:szCs w:val="21"/>
        </w:rPr>
      </w:pPr>
    </w:p>
    <w:p w14:paraId="5391AA12" w14:textId="77777777" w:rsidR="00F81909" w:rsidRPr="00696ABB" w:rsidRDefault="00F81909" w:rsidP="004119B4">
      <w:pPr>
        <w:spacing w:after="0" w:line="240" w:lineRule="auto"/>
        <w:ind w:left="567" w:right="851"/>
        <w:jc w:val="both"/>
        <w:rPr>
          <w:rFonts w:ascii="Arial" w:hAnsi="Arial" w:cs="Arial"/>
          <w:color w:val="1A1A1A" w:themeColor="background1" w:themeShade="1A"/>
          <w:sz w:val="21"/>
          <w:szCs w:val="21"/>
        </w:rPr>
      </w:pPr>
      <w:r w:rsidRPr="00696ABB">
        <w:rPr>
          <w:rFonts w:ascii="Arial" w:hAnsi="Arial" w:cs="Arial"/>
          <w:color w:val="1A1A1A" w:themeColor="background1" w:themeShade="1A"/>
          <w:sz w:val="21"/>
          <w:szCs w:val="21"/>
        </w:rPr>
        <w:t xml:space="preserve">4. Si la respuesta a la pregunta anterior es SI, por favor aclarar cómo debe desglosarse el </w:t>
      </w:r>
      <w:r w:rsidRPr="00E27227">
        <w:rPr>
          <w:rFonts w:ascii="Arial" w:hAnsi="Arial" w:cs="Arial"/>
          <w:color w:val="1A1A1A" w:themeColor="background1" w:themeShade="1A"/>
          <w:sz w:val="21"/>
          <w:szCs w:val="21"/>
        </w:rPr>
        <w:t>factor multiplicador</w:t>
      </w:r>
      <w:r w:rsidRPr="00696ABB">
        <w:rPr>
          <w:rFonts w:ascii="Arial" w:hAnsi="Arial" w:cs="Arial"/>
          <w:color w:val="1A1A1A" w:themeColor="background1" w:themeShade="1A"/>
          <w:sz w:val="21"/>
          <w:szCs w:val="21"/>
        </w:rPr>
        <w:t xml:space="preserve"> y que elementos deben tenerse en cuenta a la hora de calcularlo. Bajo que norma, concepto, guía u otro está regulado este aspecto. </w:t>
      </w:r>
    </w:p>
    <w:p w14:paraId="1636672F" w14:textId="77777777" w:rsidR="00F81909" w:rsidRPr="00696ABB" w:rsidRDefault="00F81909" w:rsidP="004119B4">
      <w:pPr>
        <w:spacing w:after="0" w:line="240" w:lineRule="auto"/>
        <w:ind w:left="567" w:right="851"/>
        <w:jc w:val="both"/>
        <w:rPr>
          <w:rFonts w:ascii="Arial" w:hAnsi="Arial" w:cs="Arial"/>
          <w:color w:val="1A1A1A" w:themeColor="background1" w:themeShade="1A"/>
          <w:sz w:val="21"/>
          <w:szCs w:val="21"/>
        </w:rPr>
      </w:pPr>
    </w:p>
    <w:p w14:paraId="4021261B" w14:textId="77777777" w:rsidR="00F81909" w:rsidRPr="00696ABB" w:rsidRDefault="00F81909" w:rsidP="004119B4">
      <w:pPr>
        <w:spacing w:after="0" w:line="240" w:lineRule="auto"/>
        <w:ind w:left="567" w:right="851"/>
        <w:jc w:val="both"/>
        <w:rPr>
          <w:rFonts w:ascii="Arial" w:hAnsi="Arial" w:cs="Arial"/>
          <w:color w:val="1A1A1A" w:themeColor="background1" w:themeShade="1A"/>
          <w:sz w:val="21"/>
          <w:szCs w:val="21"/>
        </w:rPr>
      </w:pPr>
      <w:r w:rsidRPr="00696ABB">
        <w:rPr>
          <w:rFonts w:ascii="Arial" w:hAnsi="Arial" w:cs="Arial"/>
          <w:color w:val="1A1A1A" w:themeColor="background1" w:themeShade="1A"/>
          <w:sz w:val="21"/>
          <w:szCs w:val="21"/>
        </w:rPr>
        <w:t xml:space="preserve">5. Puede una entidad contratante ya sea un municipio, corporación autónoma, departamento u otro, en contrato de consultoría (diferentes a los de obra) exigir la aplicación de APU (Análisis de Precios Unitarios) en la oferta económica. Bajo que norma, concepto, guía u otro está regulado este aspecto. </w:t>
      </w:r>
    </w:p>
    <w:p w14:paraId="52BF9DD8" w14:textId="77777777" w:rsidR="00F81909" w:rsidRPr="00696ABB" w:rsidRDefault="00F81909" w:rsidP="004119B4">
      <w:pPr>
        <w:spacing w:after="0" w:line="240" w:lineRule="auto"/>
        <w:ind w:left="567" w:right="851"/>
        <w:jc w:val="both"/>
        <w:rPr>
          <w:rFonts w:ascii="Arial" w:hAnsi="Arial" w:cs="Arial"/>
          <w:color w:val="1A1A1A" w:themeColor="background1" w:themeShade="1A"/>
          <w:sz w:val="21"/>
          <w:szCs w:val="21"/>
        </w:rPr>
      </w:pPr>
      <w:r w:rsidRPr="00696ABB">
        <w:rPr>
          <w:rFonts w:ascii="Arial" w:hAnsi="Arial" w:cs="Arial"/>
          <w:color w:val="1A1A1A" w:themeColor="background1" w:themeShade="1A"/>
          <w:sz w:val="21"/>
          <w:szCs w:val="21"/>
        </w:rPr>
        <w:t xml:space="preserve"> </w:t>
      </w:r>
    </w:p>
    <w:p w14:paraId="1C173E9D" w14:textId="77777777" w:rsidR="00F81909" w:rsidRPr="00696ABB" w:rsidRDefault="00F81909" w:rsidP="004119B4">
      <w:pPr>
        <w:spacing w:after="0" w:line="240" w:lineRule="auto"/>
        <w:ind w:left="567" w:right="851"/>
        <w:jc w:val="both"/>
        <w:rPr>
          <w:rFonts w:ascii="Arial" w:hAnsi="Arial" w:cs="Arial"/>
          <w:color w:val="1A1A1A" w:themeColor="background1" w:themeShade="1A"/>
          <w:sz w:val="21"/>
          <w:szCs w:val="21"/>
        </w:rPr>
      </w:pPr>
      <w:r w:rsidRPr="00696ABB">
        <w:rPr>
          <w:rFonts w:ascii="Arial" w:hAnsi="Arial" w:cs="Arial"/>
          <w:color w:val="1A1A1A" w:themeColor="background1" w:themeShade="1A"/>
          <w:sz w:val="21"/>
          <w:szCs w:val="21"/>
        </w:rPr>
        <w:t xml:space="preserve">6. Si la respuesta a la pregunta anterior es SI, por favor aclarar cómo debe desglosarse los APU (Análisis de Precios Unitarios) y que elementos deben tenerse en cuenta al desglosar estos APU teniendo en cuenta que los alcances de los objetos contractuales son diferentes en cada contrato. Bajo que norma, concepto, guía u otro está regulado este aspecto. </w:t>
      </w:r>
    </w:p>
    <w:p w14:paraId="42C9CA07" w14:textId="77777777" w:rsidR="00F81909" w:rsidRPr="00696ABB" w:rsidRDefault="00F81909" w:rsidP="004119B4">
      <w:pPr>
        <w:spacing w:after="0" w:line="240" w:lineRule="auto"/>
        <w:ind w:left="567" w:right="851"/>
        <w:jc w:val="both"/>
        <w:rPr>
          <w:rFonts w:ascii="Arial" w:hAnsi="Arial" w:cs="Arial"/>
          <w:color w:val="1A1A1A" w:themeColor="background1" w:themeShade="1A"/>
          <w:sz w:val="21"/>
          <w:szCs w:val="21"/>
        </w:rPr>
      </w:pPr>
    </w:p>
    <w:p w14:paraId="525842D6" w14:textId="25D58148" w:rsidR="00F81909" w:rsidRPr="00696ABB" w:rsidRDefault="00F81909" w:rsidP="004119B4">
      <w:pPr>
        <w:spacing w:line="240" w:lineRule="auto"/>
        <w:ind w:left="567" w:right="851"/>
        <w:jc w:val="both"/>
        <w:rPr>
          <w:rFonts w:ascii="Arial" w:hAnsi="Arial" w:cs="Arial"/>
          <w:color w:val="1A1A1A" w:themeColor="background1" w:themeShade="1A"/>
          <w:sz w:val="21"/>
          <w:szCs w:val="21"/>
        </w:rPr>
      </w:pPr>
      <w:r w:rsidRPr="00696ABB">
        <w:rPr>
          <w:rFonts w:ascii="Arial" w:hAnsi="Arial" w:cs="Arial"/>
          <w:color w:val="1A1A1A" w:themeColor="background1" w:themeShade="1A"/>
          <w:sz w:val="21"/>
          <w:szCs w:val="21"/>
        </w:rPr>
        <w:t>7. Si la respuesta a la pregunta 5 es NO, por favor aclarar en qué casos es obligatorio realizar el desglose de los APU (Análisis de Precios Unitarios) y que elementos deben tenerse en cuenta al desglosar estos APU teniendo en cuenta que los alcances de los objetos contractuales son diferentes en cada contrato. Bajo que norma, concepto, guía u otro está regulado este aspecto</w:t>
      </w:r>
      <w:r w:rsidR="000C7871" w:rsidRPr="00E27227">
        <w:rPr>
          <w:rFonts w:ascii="Arial" w:hAnsi="Arial" w:cs="Arial"/>
          <w:color w:val="1A1A1A" w:themeColor="background1" w:themeShade="1A"/>
          <w:sz w:val="21"/>
          <w:szCs w:val="21"/>
        </w:rPr>
        <w:t>.</w:t>
      </w:r>
    </w:p>
    <w:p w14:paraId="40DB22C1" w14:textId="2EF9B101" w:rsidR="00830AB8" w:rsidRPr="00696ABB" w:rsidRDefault="00830AB8" w:rsidP="003E2F16">
      <w:pPr>
        <w:spacing w:line="240" w:lineRule="auto"/>
        <w:ind w:right="709"/>
        <w:jc w:val="both"/>
        <w:rPr>
          <w:rFonts w:ascii="Arial" w:hAnsi="Arial" w:cs="Arial"/>
          <w:color w:val="1A1A1A" w:themeColor="background1" w:themeShade="1A"/>
          <w:sz w:val="21"/>
          <w:szCs w:val="21"/>
        </w:rPr>
      </w:pPr>
      <w:r w:rsidRPr="00696ABB">
        <w:rPr>
          <w:rFonts w:ascii="Arial" w:eastAsia="Calibri" w:hAnsi="Arial" w:cs="Arial"/>
          <w:b/>
        </w:rPr>
        <w:t>2. Consideraciones</w:t>
      </w:r>
    </w:p>
    <w:p w14:paraId="64197335" w14:textId="35591FE9" w:rsidR="00B42724" w:rsidRPr="00696ABB" w:rsidRDefault="00B42724" w:rsidP="006B129B">
      <w:pPr>
        <w:spacing w:before="240" w:line="276" w:lineRule="auto"/>
        <w:jc w:val="both"/>
        <w:rPr>
          <w:rFonts w:ascii="Arial" w:eastAsia="Calibri" w:hAnsi="Arial" w:cs="Arial"/>
          <w:color w:val="000000" w:themeColor="text1"/>
          <w:lang w:val="es-ES_tradnl"/>
        </w:rPr>
      </w:pPr>
      <w:r w:rsidRPr="00696ABB">
        <w:rPr>
          <w:rFonts w:ascii="Arial" w:hAnsi="Arial" w:cs="Arial"/>
          <w:color w:val="000000" w:themeColor="text1"/>
          <w:lang w:val="es-ES"/>
        </w:rPr>
        <w:t xml:space="preserve">Es necesario tener en cuenta que esta entidad solo tiene competencia para responder solicitudes sobre la aplicación de normas de carácter general en materia de compras y contratación pública. La competencia de esta entidad se fija con límites claros, con el objeto </w:t>
      </w:r>
      <w:r w:rsidRPr="00696ABB">
        <w:rPr>
          <w:rFonts w:ascii="Arial" w:hAnsi="Arial" w:cs="Arial"/>
          <w:color w:val="000000" w:themeColor="text1"/>
          <w:lang w:val="es-ES"/>
        </w:rPr>
        <w:lastRenderedPageBreak/>
        <w:t>de evitar que la Agencia actúe como una instancia de validación de las actuaciones de las entidades sujetas a la Ley 80 de 1993 o de los demás participantes de la contratación pública</w:t>
      </w:r>
      <w:r w:rsidRPr="00696ABB">
        <w:rPr>
          <w:rStyle w:val="Refdenotaalpie"/>
          <w:rFonts w:ascii="Arial" w:hAnsi="Arial" w:cs="Arial"/>
          <w:color w:val="000000" w:themeColor="text1"/>
          <w:lang w:val="es-ES"/>
        </w:rPr>
        <w:footnoteReference w:id="1"/>
      </w:r>
      <w:r w:rsidRPr="00696ABB">
        <w:rPr>
          <w:rFonts w:ascii="Arial" w:hAnsi="Arial" w:cs="Arial"/>
          <w:color w:val="000000" w:themeColor="text1"/>
          <w:lang w:val="es-ES"/>
        </w:rPr>
        <w:t xml:space="preserve">. </w:t>
      </w:r>
    </w:p>
    <w:p w14:paraId="3F659A69" w14:textId="2614510B" w:rsidR="00B42724" w:rsidRPr="00E27227" w:rsidRDefault="00B42724" w:rsidP="00E27227">
      <w:pPr>
        <w:tabs>
          <w:tab w:val="left" w:pos="426"/>
        </w:tabs>
        <w:spacing w:after="120" w:line="276" w:lineRule="auto"/>
        <w:ind w:firstLine="709"/>
        <w:jc w:val="both"/>
        <w:rPr>
          <w:rFonts w:ascii="Arial" w:eastAsia="Arial" w:hAnsi="Arial" w:cs="Arial"/>
          <w:color w:val="000000" w:themeColor="text1"/>
          <w:lang w:val="es-ES_tradnl"/>
        </w:rPr>
      </w:pPr>
      <w:r w:rsidRPr="00696ABB">
        <w:rPr>
          <w:rFonts w:ascii="Arial" w:eastAsia="Calibri" w:hAnsi="Arial" w:cs="Arial"/>
          <w:color w:val="000000" w:themeColor="text1"/>
          <w:lang w:val="es-ES_tradnl"/>
        </w:rPr>
        <w:t>Es preciso advertir que los conceptos contienen la posición hermenéutica de la Subdirección de Gestión Contractual, en relación con determinado aspecto del ordenamiento jurídico. Esta competencia de interpretación de normas generales</w:t>
      </w:r>
      <w:r w:rsidR="003A1C61" w:rsidRPr="00696ABB">
        <w:rPr>
          <w:rFonts w:ascii="Arial" w:eastAsia="Calibri" w:hAnsi="Arial" w:cs="Arial"/>
          <w:color w:val="000000" w:themeColor="text1"/>
          <w:lang w:val="es-ES_tradnl"/>
        </w:rPr>
        <w:t xml:space="preserve"> en materia de contratación pública</w:t>
      </w:r>
      <w:r w:rsidRPr="00696ABB">
        <w:rPr>
          <w:rFonts w:ascii="Arial" w:eastAsia="Calibri" w:hAnsi="Arial" w:cs="Arial"/>
          <w:color w:val="000000" w:themeColor="text1"/>
          <w:lang w:val="es-ES_tradnl"/>
        </w:rPr>
        <w:t xml:space="preserve">,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696ABB">
        <w:rPr>
          <w:rFonts w:ascii="Arial" w:eastAsia="Arial" w:hAnsi="Arial" w:cs="Arial"/>
          <w:color w:val="000000" w:themeColor="text1"/>
          <w:lang w:val="es-ES_tradnl"/>
        </w:rPr>
        <w:t>de obligatorio cumplimiento para el destinatario, sino que expresan la posición interpretativa del ente que elabora el concepto.</w:t>
      </w:r>
    </w:p>
    <w:p w14:paraId="4E227B48" w14:textId="38921AF0" w:rsidR="00F84C27" w:rsidRPr="00696ABB" w:rsidRDefault="00F84C27" w:rsidP="00E27227">
      <w:pPr>
        <w:tabs>
          <w:tab w:val="left" w:pos="426"/>
        </w:tabs>
        <w:spacing w:line="276" w:lineRule="auto"/>
        <w:ind w:firstLine="709"/>
        <w:jc w:val="both"/>
        <w:rPr>
          <w:rFonts w:ascii="Arial" w:eastAsia="Arial" w:hAnsi="Arial" w:cs="Arial"/>
          <w:color w:val="000000" w:themeColor="text1"/>
          <w:lang w:val="es-ES_tradnl"/>
        </w:rPr>
      </w:pPr>
      <w:r w:rsidRPr="00E27227">
        <w:rPr>
          <w:rFonts w:ascii="Arial" w:eastAsia="Arial" w:hAnsi="Arial" w:cs="Arial"/>
          <w:color w:val="000000" w:themeColor="text1"/>
          <w:lang w:val="es-ES_tradnl"/>
        </w:rPr>
        <w:t xml:space="preserve">Sin perjuicio de lo anterior, dentro de los límites de la competencia consultiva atribuida por las normas señaladas, a continuación, se responderán los interrogantes planteados haciendo unas consideraciones sobre los siguientes temas: i) Principio de planeación y los estudios y documentos previos del contrato; y </w:t>
      </w:r>
      <w:proofErr w:type="spellStart"/>
      <w:r w:rsidRPr="00E27227">
        <w:rPr>
          <w:rFonts w:ascii="Arial" w:eastAsia="Arial" w:hAnsi="Arial" w:cs="Arial"/>
          <w:color w:val="000000" w:themeColor="text1"/>
          <w:lang w:val="es-ES_tradnl"/>
        </w:rPr>
        <w:t>ii</w:t>
      </w:r>
      <w:proofErr w:type="spellEnd"/>
      <w:r w:rsidRPr="00E27227">
        <w:rPr>
          <w:rFonts w:ascii="Arial" w:eastAsia="Arial" w:hAnsi="Arial" w:cs="Arial"/>
          <w:color w:val="000000" w:themeColor="text1"/>
          <w:lang w:val="es-ES_tradnl"/>
        </w:rPr>
        <w:t>)</w:t>
      </w:r>
      <w:r w:rsidRPr="00E27227">
        <w:rPr>
          <w:rFonts w:ascii="Arial" w:eastAsia="Arial" w:hAnsi="Arial" w:cs="Arial"/>
          <w:color w:val="000000" w:themeColor="text1"/>
          <w:lang w:val="es-ES_tradnl"/>
        </w:rPr>
        <w:tab/>
        <w:t>determinación del valor o precio en los contratos estatales. Uso del Sistema de Precios Unitarios y el Factor Multiplicador.</w:t>
      </w:r>
    </w:p>
    <w:p w14:paraId="74AE706D" w14:textId="01D3100F" w:rsidR="003E2F16" w:rsidRPr="00696ABB" w:rsidRDefault="00F84C27" w:rsidP="00E27227">
      <w:pPr>
        <w:spacing w:before="120" w:line="276" w:lineRule="auto"/>
        <w:ind w:firstLine="709"/>
        <w:jc w:val="both"/>
        <w:rPr>
          <w:rFonts w:ascii="Arial" w:eastAsia="Calibri" w:hAnsi="Arial" w:cs="Arial"/>
          <w:highlight w:val="yellow"/>
          <w:lang w:val="es-ES_tradnl"/>
        </w:rPr>
      </w:pPr>
      <w:r w:rsidRPr="00E27227">
        <w:rPr>
          <w:rFonts w:ascii="Arial" w:eastAsia="Calibri" w:hAnsi="Arial" w:cs="Arial"/>
          <w:lang w:val="es-MX"/>
        </w:rPr>
        <w:t>L</w:t>
      </w:r>
      <w:r w:rsidR="00D50D06" w:rsidRPr="00696ABB">
        <w:rPr>
          <w:rFonts w:ascii="Arial" w:eastAsia="Calibri" w:hAnsi="Arial" w:cs="Arial"/>
          <w:lang w:val="es-MX"/>
        </w:rPr>
        <w:t xml:space="preserve">a Agencia Nacional de Contratación Pública – Colombia Compra Eficiente también se ha pronunciado en varias ocasiones sobre el precio de los contratos estatales y formas para su cálculo, concretamente, en los conceptos 4201912000007092 del 29 de noviembre de 2019, </w:t>
      </w:r>
      <w:hyperlink r:id="rId12" w:tgtFrame="_blank" w:history="1">
        <w:r w:rsidR="00D50D06" w:rsidRPr="00696ABB">
          <w:rPr>
            <w:rFonts w:ascii="Arial" w:eastAsia="Calibri" w:hAnsi="Arial" w:cs="Arial"/>
            <w:lang w:val="es-MX"/>
          </w:rPr>
          <w:t>2201913000008566</w:t>
        </w:r>
      </w:hyperlink>
      <w:r w:rsidR="00D50D06" w:rsidRPr="00696ABB">
        <w:rPr>
          <w:rFonts w:ascii="Arial" w:eastAsia="Calibri" w:hAnsi="Arial" w:cs="Arial"/>
          <w:lang w:val="es-MX"/>
        </w:rPr>
        <w:t xml:space="preserve"> del 18 de noviembre de 2019,  4201913000007822 de 27 de diciembre de 2019, C–037 del 28 de enero de 2020, C-191 del 16 de marzo de 2020, C-211 del 8 de abril de 2020, C−469 del 27 de septiembre de 2020, C−480 del 16 de </w:t>
      </w:r>
      <w:r w:rsidR="00D50D06" w:rsidRPr="00696ABB">
        <w:rPr>
          <w:rFonts w:ascii="Arial" w:eastAsia="Calibri" w:hAnsi="Arial" w:cs="Arial"/>
          <w:lang w:val="es-MX"/>
        </w:rPr>
        <w:lastRenderedPageBreak/>
        <w:t>septiembre de 2020, C-059 del 10 de marzo de 2021 y C-613 del 6 de octubre de 2022.</w:t>
      </w:r>
      <w:r w:rsidR="00FC5E79" w:rsidRPr="00696ABB">
        <w:rPr>
          <w:rFonts w:ascii="Arial" w:eastAsia="Calibri" w:hAnsi="Arial" w:cs="Arial"/>
          <w:lang w:val="es-ES_tradnl"/>
        </w:rPr>
        <w:t xml:space="preserve"> </w:t>
      </w:r>
      <w:r w:rsidR="003E2F16" w:rsidRPr="00696ABB">
        <w:rPr>
          <w:rFonts w:ascii="Arial" w:eastAsia="Calibri" w:hAnsi="Arial" w:cs="Arial"/>
          <w:lang w:val="es-ES_tradnl"/>
        </w:rPr>
        <w:t xml:space="preserve">Algunas de las consideraciones de estos conceptos se </w:t>
      </w:r>
      <w:r w:rsidRPr="00E27227">
        <w:rPr>
          <w:rFonts w:ascii="Arial" w:eastAsia="Calibri" w:hAnsi="Arial" w:cs="Arial"/>
          <w:lang w:val="es-ES_tradnl"/>
        </w:rPr>
        <w:t>reiteran</w:t>
      </w:r>
      <w:r w:rsidRPr="00696ABB">
        <w:rPr>
          <w:rFonts w:ascii="Arial" w:eastAsia="Calibri" w:hAnsi="Arial" w:cs="Arial"/>
          <w:lang w:val="es-ES_tradnl"/>
        </w:rPr>
        <w:t xml:space="preserve"> </w:t>
      </w:r>
      <w:r w:rsidR="003E2F16" w:rsidRPr="00696ABB">
        <w:rPr>
          <w:rFonts w:ascii="Arial" w:eastAsia="Calibri" w:hAnsi="Arial" w:cs="Arial"/>
          <w:lang w:val="es-ES_tradnl"/>
        </w:rPr>
        <w:t>y complementa</w:t>
      </w:r>
      <w:r w:rsidRPr="00E27227">
        <w:rPr>
          <w:rFonts w:ascii="Arial" w:eastAsia="Calibri" w:hAnsi="Arial" w:cs="Arial"/>
          <w:lang w:val="es-ES_tradnl"/>
        </w:rPr>
        <w:t>n</w:t>
      </w:r>
      <w:r w:rsidR="003E2F16" w:rsidRPr="00696ABB">
        <w:rPr>
          <w:rFonts w:ascii="Arial" w:eastAsia="Calibri" w:hAnsi="Arial" w:cs="Arial"/>
          <w:lang w:val="es-ES_tradnl"/>
        </w:rPr>
        <w:t xml:space="preserve"> en lo pertinente. </w:t>
      </w:r>
    </w:p>
    <w:p w14:paraId="451CF731" w14:textId="586A18C3" w:rsidR="00D50D06" w:rsidRPr="00E27227" w:rsidRDefault="0059423A" w:rsidP="0059423A">
      <w:pPr>
        <w:spacing w:after="0"/>
        <w:rPr>
          <w:rFonts w:ascii="Arial" w:hAnsi="Arial" w:cs="Arial"/>
        </w:rPr>
      </w:pPr>
      <w:r w:rsidRPr="00E27227">
        <w:rPr>
          <w:rFonts w:ascii="Arial" w:hAnsi="Arial" w:cs="Arial"/>
        </w:rPr>
        <w:t xml:space="preserve">2.1. </w:t>
      </w:r>
      <w:r w:rsidR="00D50D06" w:rsidRPr="00E27227">
        <w:rPr>
          <w:rFonts w:ascii="Arial" w:hAnsi="Arial" w:cs="Arial"/>
        </w:rPr>
        <w:t xml:space="preserve">Principio de planeación y los estudios y documentos previos del contrato </w:t>
      </w:r>
    </w:p>
    <w:p w14:paraId="4F6C6E9A" w14:textId="77777777" w:rsidR="00F84C27" w:rsidRPr="00E27227" w:rsidRDefault="00F84C27" w:rsidP="00E27227">
      <w:pPr>
        <w:spacing w:after="0"/>
        <w:rPr>
          <w:rFonts w:ascii="Arial" w:hAnsi="Arial" w:cs="Arial"/>
        </w:rPr>
      </w:pPr>
    </w:p>
    <w:p w14:paraId="617AEE7F" w14:textId="77777777" w:rsidR="00D50D06" w:rsidRPr="00E27227" w:rsidRDefault="00D50D06" w:rsidP="00D50D06">
      <w:pPr>
        <w:spacing w:after="120" w:line="276" w:lineRule="auto"/>
        <w:jc w:val="both"/>
        <w:rPr>
          <w:rFonts w:ascii="Arial" w:eastAsia="Times New Roman" w:hAnsi="Arial" w:cs="Arial"/>
          <w:sz w:val="24"/>
          <w:szCs w:val="24"/>
          <w:lang w:val="es-ES_tradnl" w:eastAsia="es-MX"/>
        </w:rPr>
      </w:pPr>
      <w:bookmarkStart w:id="1" w:name="_Hlk54011258"/>
      <w:r w:rsidRPr="00696ABB">
        <w:rPr>
          <w:rFonts w:ascii="Arial" w:eastAsia="Calibri" w:hAnsi="Arial" w:cs="Arial"/>
          <w:bCs/>
          <w:szCs w:val="24"/>
          <w:lang w:val="es-ES_tradnl" w:eastAsia="es-MX"/>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bookmarkEnd w:id="1"/>
      <w:r w:rsidRPr="00696ABB">
        <w:rPr>
          <w:rFonts w:ascii="Arial" w:eastAsia="Calibri" w:hAnsi="Arial" w:cs="Arial"/>
          <w:bCs/>
          <w:sz w:val="21"/>
          <w:szCs w:val="21"/>
          <w:lang w:val="es-ES_tradnl" w:eastAsia="es-MX"/>
        </w:rPr>
        <w:t>.</w:t>
      </w:r>
    </w:p>
    <w:p w14:paraId="441C67CA" w14:textId="77777777" w:rsidR="00D50D06" w:rsidRPr="00696ABB" w:rsidRDefault="00D50D06" w:rsidP="00D50D06">
      <w:pPr>
        <w:spacing w:before="120" w:after="0" w:line="276" w:lineRule="auto"/>
        <w:ind w:firstLine="708"/>
        <w:jc w:val="both"/>
        <w:rPr>
          <w:rFonts w:ascii="Arial" w:eastAsia="Calibri" w:hAnsi="Arial" w:cs="Arial"/>
          <w:bCs/>
          <w:lang w:val="es-ES"/>
        </w:rPr>
      </w:pPr>
      <w:r w:rsidRPr="00696ABB">
        <w:rPr>
          <w:rFonts w:ascii="Arial" w:eastAsia="Calibri" w:hAnsi="Arial" w:cs="Arial"/>
          <w:bCs/>
          <w:lang w:val="es-MX"/>
        </w:rPr>
        <w:t xml:space="preserve">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10C67F36" w14:textId="77777777" w:rsidR="00D50D06" w:rsidRPr="00696ABB" w:rsidRDefault="00D50D06" w:rsidP="00D50D06">
      <w:pPr>
        <w:spacing w:after="0" w:line="276" w:lineRule="auto"/>
        <w:ind w:firstLine="708"/>
        <w:jc w:val="both"/>
        <w:rPr>
          <w:rFonts w:ascii="Arial" w:eastAsia="Calibri" w:hAnsi="Arial" w:cs="Arial"/>
          <w:bCs/>
          <w:lang w:val="es-ES"/>
        </w:rPr>
      </w:pPr>
    </w:p>
    <w:p w14:paraId="2A0AF164" w14:textId="77777777" w:rsidR="00D50D06" w:rsidRPr="00696ABB" w:rsidRDefault="00D50D06" w:rsidP="00D50D06">
      <w:pPr>
        <w:spacing w:after="0" w:line="240" w:lineRule="auto"/>
        <w:ind w:left="709" w:right="709"/>
        <w:jc w:val="both"/>
        <w:rPr>
          <w:rFonts w:ascii="Arial" w:eastAsia="Calibri" w:hAnsi="Arial" w:cs="Arial"/>
          <w:sz w:val="21"/>
          <w:szCs w:val="21"/>
          <w:lang w:val="es-MX"/>
        </w:rPr>
      </w:pPr>
      <w:r w:rsidRPr="00696ABB">
        <w:rPr>
          <w:rFonts w:ascii="Arial" w:eastAsia="Calibri" w:hAnsi="Arial" w:cs="Arial"/>
          <w:sz w:val="21"/>
          <w:szCs w:val="21"/>
          <w:lang w:val="es-MX"/>
        </w:rPr>
        <w:t>7o. La conveniencia o inconveniencia del objeto a contratar y las autorizaciones y aprobaciones para ello, se analizarán o impartirán con antelación al inicio del proceso de selección del contratista o al de la firma del contrato, según el caso.</w:t>
      </w:r>
    </w:p>
    <w:p w14:paraId="00DB5AB4" w14:textId="77777777" w:rsidR="00D50D06" w:rsidRPr="00696ABB" w:rsidRDefault="00D50D06" w:rsidP="00D50D06">
      <w:pPr>
        <w:spacing w:after="120" w:line="240" w:lineRule="auto"/>
        <w:ind w:left="709" w:right="709"/>
        <w:jc w:val="both"/>
        <w:rPr>
          <w:rFonts w:ascii="Arial" w:eastAsia="Calibri" w:hAnsi="Arial" w:cs="Arial"/>
          <w:sz w:val="21"/>
          <w:szCs w:val="21"/>
          <w:lang w:val="es-MX"/>
        </w:rPr>
      </w:pPr>
      <w:r w:rsidRPr="00696ABB">
        <w:rPr>
          <w:rFonts w:ascii="Arial" w:eastAsia="Calibri" w:hAnsi="Arial" w:cs="Arial"/>
          <w:sz w:val="21"/>
          <w:szCs w:val="21"/>
          <w:lang w:val="es-MX"/>
        </w:rPr>
        <w:t>[…]</w:t>
      </w:r>
    </w:p>
    <w:p w14:paraId="7A3368E7" w14:textId="77777777" w:rsidR="00D50D06" w:rsidRPr="00696ABB" w:rsidRDefault="00D50D06" w:rsidP="00D50D06">
      <w:pPr>
        <w:spacing w:after="120" w:line="240" w:lineRule="auto"/>
        <w:ind w:left="709" w:right="709"/>
        <w:jc w:val="both"/>
        <w:rPr>
          <w:rFonts w:ascii="Arial" w:eastAsia="Calibri" w:hAnsi="Arial" w:cs="Arial"/>
          <w:sz w:val="21"/>
          <w:szCs w:val="21"/>
          <w:lang w:val="es-MX"/>
        </w:rPr>
      </w:pPr>
      <w:r w:rsidRPr="00696ABB">
        <w:rPr>
          <w:rFonts w:ascii="Arial" w:eastAsia="Calibri" w:hAnsi="Arial" w:cs="Arial"/>
          <w:sz w:val="21"/>
          <w:szCs w:val="21"/>
          <w:lang w:val="es-MX"/>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214C6AFE" w14:textId="77777777" w:rsidR="00D50D06" w:rsidRPr="00696ABB" w:rsidRDefault="00D50D06" w:rsidP="00D50D06">
      <w:pPr>
        <w:spacing w:after="120" w:line="240" w:lineRule="auto"/>
        <w:ind w:left="709" w:right="709"/>
        <w:jc w:val="both"/>
        <w:rPr>
          <w:rFonts w:ascii="Arial" w:eastAsia="Calibri" w:hAnsi="Arial" w:cs="Arial"/>
          <w:sz w:val="21"/>
          <w:szCs w:val="21"/>
          <w:lang w:val="es-MX"/>
        </w:rPr>
      </w:pPr>
      <w:r w:rsidRPr="00696ABB">
        <w:rPr>
          <w:rFonts w:ascii="Arial" w:eastAsia="Calibri" w:hAnsi="Arial" w:cs="Arial"/>
          <w:sz w:val="21"/>
          <w:szCs w:val="21"/>
          <w:lang w:val="es-MX"/>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0BB16812" w14:textId="77777777" w:rsidR="00D50D06" w:rsidRPr="00696ABB" w:rsidRDefault="00D50D06" w:rsidP="00D50D06">
      <w:pPr>
        <w:spacing w:after="120" w:line="240" w:lineRule="auto"/>
        <w:ind w:left="709" w:right="709"/>
        <w:jc w:val="both"/>
        <w:rPr>
          <w:rFonts w:ascii="Arial" w:eastAsia="Times New Roman" w:hAnsi="Arial" w:cs="Arial"/>
          <w:sz w:val="21"/>
          <w:szCs w:val="21"/>
          <w:lang w:val="es-ES_tradnl" w:eastAsia="es-MX"/>
        </w:rPr>
      </w:pPr>
      <w:r w:rsidRPr="00696ABB">
        <w:rPr>
          <w:rFonts w:ascii="Arial" w:eastAsia="Times New Roman" w:hAnsi="Arial" w:cs="Arial"/>
          <w:sz w:val="21"/>
          <w:szCs w:val="21"/>
          <w:lang w:val="es-ES_tradnl" w:eastAsia="es-MX"/>
        </w:rPr>
        <w:lastRenderedPageBreak/>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2FF22D31" w14:textId="77777777" w:rsidR="00D50D06" w:rsidRPr="00696ABB" w:rsidRDefault="00D50D06" w:rsidP="00D50D06">
      <w:pPr>
        <w:spacing w:after="0" w:line="240" w:lineRule="auto"/>
        <w:ind w:left="709" w:right="709"/>
        <w:jc w:val="both"/>
        <w:rPr>
          <w:rFonts w:ascii="Arial" w:eastAsia="Times New Roman" w:hAnsi="Arial" w:cs="Arial"/>
          <w:sz w:val="21"/>
          <w:szCs w:val="21"/>
          <w:lang w:val="es-ES_tradnl" w:eastAsia="es-MX"/>
        </w:rPr>
      </w:pPr>
      <w:r w:rsidRPr="00696ABB">
        <w:rPr>
          <w:rFonts w:ascii="Arial" w:eastAsia="Times New Roman" w:hAnsi="Arial" w:cs="Arial"/>
          <w:sz w:val="21"/>
          <w:szCs w:val="21"/>
          <w:lang w:val="es-ES_tradnl" w:eastAsia="es-MX"/>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14:paraId="78BC828B" w14:textId="77777777" w:rsidR="00D50D06" w:rsidRPr="00696ABB" w:rsidRDefault="00D50D06" w:rsidP="00D50D06">
      <w:pPr>
        <w:spacing w:after="0" w:line="276" w:lineRule="auto"/>
        <w:ind w:left="709" w:right="709"/>
        <w:jc w:val="both"/>
        <w:rPr>
          <w:rFonts w:ascii="Arial" w:eastAsia="Times New Roman" w:hAnsi="Arial" w:cs="Arial"/>
          <w:szCs w:val="24"/>
          <w:lang w:val="es-ES_tradnl" w:eastAsia="es-MX"/>
        </w:rPr>
      </w:pPr>
    </w:p>
    <w:p w14:paraId="72E91537" w14:textId="77777777" w:rsidR="00D50D06" w:rsidRPr="00696ABB" w:rsidRDefault="00D50D06" w:rsidP="00D50D06">
      <w:pPr>
        <w:spacing w:after="0" w:line="276" w:lineRule="auto"/>
        <w:ind w:firstLine="709"/>
        <w:jc w:val="both"/>
        <w:rPr>
          <w:rFonts w:ascii="Arial" w:eastAsia="Times New Roman" w:hAnsi="Arial" w:cs="Arial"/>
          <w:szCs w:val="24"/>
          <w:lang w:val="es-ES_tradnl" w:eastAsia="es-MX"/>
        </w:rPr>
      </w:pPr>
      <w:r w:rsidRPr="00696ABB">
        <w:rPr>
          <w:rFonts w:ascii="Arial" w:eastAsia="Times New Roman" w:hAnsi="Arial" w:cs="Arial"/>
          <w:szCs w:val="24"/>
          <w:lang w:val="es-ES_tradnl" w:eastAsia="es-MX"/>
        </w:rPr>
        <w:t>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696ABB">
        <w:rPr>
          <w:rFonts w:ascii="Arial" w:eastAsia="Times New Roman" w:hAnsi="Arial" w:cs="Arial"/>
          <w:szCs w:val="24"/>
          <w:vertAlign w:val="superscript"/>
          <w:lang w:val="es-ES_tradnl" w:eastAsia="es-MX"/>
        </w:rPr>
        <w:footnoteReference w:id="2"/>
      </w:r>
      <w:r w:rsidRPr="00696ABB">
        <w:rPr>
          <w:rFonts w:ascii="Arial" w:eastAsia="Times New Roman" w:hAnsi="Arial" w:cs="Arial"/>
          <w:szCs w:val="24"/>
          <w:lang w:val="es-ES_tradnl" w:eastAsia="es-MX"/>
        </w:rPr>
        <w:t>. En congruencia con el artículo 25 de la Ley 80 de 1993, el Decreto Único Reglamentario del Sector Administrativo de Planeación Nacional –Decreto 1082 de 2015–, dispone en el artículo 2.2.1.1.2.1.1 el contenido mínimo de los estudios y documentos previos:</w:t>
      </w:r>
    </w:p>
    <w:p w14:paraId="72DFCF98" w14:textId="77777777" w:rsidR="00D50D06" w:rsidRPr="00E27227" w:rsidRDefault="00D50D06" w:rsidP="00D50D06">
      <w:pPr>
        <w:spacing w:after="0" w:line="276" w:lineRule="auto"/>
        <w:ind w:left="709" w:right="709"/>
        <w:rPr>
          <w:rFonts w:ascii="Arial" w:eastAsia="Times New Roman" w:hAnsi="Arial" w:cs="Arial"/>
          <w:highlight w:val="yellow"/>
          <w:lang w:val="es-ES_tradnl" w:eastAsia="es-CO"/>
        </w:rPr>
      </w:pPr>
    </w:p>
    <w:p w14:paraId="0F2BFAB9" w14:textId="77777777" w:rsidR="00D50D06" w:rsidRPr="00696ABB" w:rsidRDefault="00D50D06" w:rsidP="00D50D06">
      <w:pPr>
        <w:spacing w:after="120" w:line="240" w:lineRule="auto"/>
        <w:ind w:left="709" w:right="709"/>
        <w:jc w:val="both"/>
        <w:rPr>
          <w:rFonts w:ascii="Arial" w:eastAsia="Times New Roman" w:hAnsi="Arial" w:cs="Arial"/>
          <w:sz w:val="21"/>
          <w:szCs w:val="21"/>
          <w:lang w:val="es-ES_tradnl" w:eastAsia="es-MX"/>
        </w:rPr>
      </w:pPr>
      <w:r w:rsidRPr="00696ABB">
        <w:rPr>
          <w:rFonts w:ascii="Arial" w:eastAsia="Times New Roman" w:hAnsi="Arial" w:cs="Arial"/>
          <w:sz w:val="21"/>
          <w:szCs w:val="21"/>
          <w:lang w:val="es-ES_tradnl" w:eastAsia="es-MX"/>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253E5277" w14:textId="77777777" w:rsidR="00D50D06" w:rsidRPr="00696ABB" w:rsidRDefault="00D50D06" w:rsidP="00D50D06">
      <w:pPr>
        <w:spacing w:after="120" w:line="240" w:lineRule="auto"/>
        <w:ind w:left="709" w:right="709"/>
        <w:jc w:val="both"/>
        <w:rPr>
          <w:rFonts w:ascii="Arial" w:eastAsia="Times New Roman" w:hAnsi="Arial" w:cs="Arial"/>
          <w:sz w:val="21"/>
          <w:szCs w:val="21"/>
          <w:lang w:val="es-ES_tradnl" w:eastAsia="es-MX"/>
        </w:rPr>
      </w:pPr>
      <w:r w:rsidRPr="00696ABB">
        <w:rPr>
          <w:rFonts w:ascii="Arial" w:eastAsia="Times New Roman" w:hAnsi="Arial" w:cs="Arial"/>
          <w:sz w:val="21"/>
          <w:szCs w:val="21"/>
          <w:lang w:val="es-ES_tradnl" w:eastAsia="es-MX"/>
        </w:rPr>
        <w:t>1. La descripción de la necesidad que la Entidad Estatal pretende satisfacer con el Proceso de Contratación. ​</w:t>
      </w:r>
    </w:p>
    <w:p w14:paraId="62EE6F1A" w14:textId="77777777" w:rsidR="00D50D06" w:rsidRPr="00696ABB" w:rsidRDefault="00D50D06" w:rsidP="00D50D06">
      <w:pPr>
        <w:spacing w:after="120" w:line="240" w:lineRule="auto"/>
        <w:ind w:left="709" w:right="709"/>
        <w:jc w:val="both"/>
        <w:rPr>
          <w:rFonts w:ascii="Arial" w:eastAsia="Times New Roman" w:hAnsi="Arial" w:cs="Arial"/>
          <w:sz w:val="21"/>
          <w:szCs w:val="21"/>
          <w:lang w:val="es-ES_tradnl" w:eastAsia="es-MX"/>
        </w:rPr>
      </w:pPr>
      <w:r w:rsidRPr="00696ABB">
        <w:rPr>
          <w:rFonts w:ascii="Arial" w:eastAsia="Times New Roman" w:hAnsi="Arial" w:cs="Arial"/>
          <w:sz w:val="21"/>
          <w:szCs w:val="21"/>
          <w:lang w:val="es-ES_tradnl" w:eastAsia="es-MX"/>
        </w:rPr>
        <w:t xml:space="preserve">2. El objeto a contratar, con sus especificaciones, las autorizaciones, permisos y licencias requeridos para su ejecución, y cuando el contrato incluye diseño y construcción, los documentos técnicos para el desarrollo del proyecto. </w:t>
      </w:r>
    </w:p>
    <w:p w14:paraId="70292A69" w14:textId="77777777" w:rsidR="00D50D06" w:rsidRPr="00696ABB" w:rsidRDefault="00D50D06" w:rsidP="00D50D06">
      <w:pPr>
        <w:spacing w:after="120" w:line="240" w:lineRule="auto"/>
        <w:ind w:left="709" w:right="709"/>
        <w:jc w:val="both"/>
        <w:rPr>
          <w:rFonts w:ascii="Arial" w:eastAsia="Times New Roman" w:hAnsi="Arial" w:cs="Arial"/>
          <w:sz w:val="21"/>
          <w:szCs w:val="21"/>
          <w:lang w:val="es-ES_tradnl" w:eastAsia="es-MX"/>
        </w:rPr>
      </w:pPr>
      <w:r w:rsidRPr="00696ABB">
        <w:rPr>
          <w:rFonts w:ascii="Arial" w:eastAsia="Times New Roman" w:hAnsi="Arial" w:cs="Arial"/>
          <w:sz w:val="21"/>
          <w:szCs w:val="21"/>
          <w:lang w:val="es-ES_tradnl" w:eastAsia="es-MX"/>
        </w:rPr>
        <w:lastRenderedPageBreak/>
        <w:t xml:space="preserve">3. La modalidad de selección del contratista y su justificación, incluyendo los fundamentos jurídicos. </w:t>
      </w:r>
    </w:p>
    <w:p w14:paraId="764CE28C" w14:textId="77777777" w:rsidR="00D50D06" w:rsidRPr="00696ABB" w:rsidRDefault="00D50D06" w:rsidP="00D50D06">
      <w:pPr>
        <w:spacing w:after="120" w:line="240" w:lineRule="auto"/>
        <w:ind w:left="709" w:right="709"/>
        <w:jc w:val="both"/>
        <w:rPr>
          <w:rFonts w:ascii="Arial" w:eastAsia="Times New Roman" w:hAnsi="Arial" w:cs="Arial"/>
          <w:sz w:val="21"/>
          <w:szCs w:val="21"/>
          <w:lang w:val="es-ES_tradnl" w:eastAsia="es-MX"/>
        </w:rPr>
      </w:pPr>
      <w:r w:rsidRPr="00696ABB">
        <w:rPr>
          <w:rFonts w:ascii="Arial" w:eastAsia="Times New Roman" w:hAnsi="Arial" w:cs="Arial"/>
          <w:sz w:val="21"/>
          <w:szCs w:val="21"/>
          <w:lang w:val="es-ES_tradnl" w:eastAsia="es-MX"/>
        </w:rPr>
        <w:t xml:space="preserve">4. El valor estimado del contrato y la justificación </w:t>
      </w:r>
      <w:proofErr w:type="gramStart"/>
      <w:r w:rsidRPr="00696ABB">
        <w:rPr>
          <w:rFonts w:ascii="Arial" w:eastAsia="Times New Roman" w:hAnsi="Arial" w:cs="Arial"/>
          <w:sz w:val="21"/>
          <w:szCs w:val="21"/>
          <w:lang w:val="es-ES_tradnl" w:eastAsia="es-MX"/>
        </w:rPr>
        <w:t>del mismo</w:t>
      </w:r>
      <w:proofErr w:type="gramEnd"/>
      <w:r w:rsidRPr="00696ABB">
        <w:rPr>
          <w:rFonts w:ascii="Arial" w:eastAsia="Times New Roman" w:hAnsi="Arial" w:cs="Arial"/>
          <w:sz w:val="21"/>
          <w:szCs w:val="21"/>
          <w:lang w:val="es-ES_tradnl" w:eastAsia="es-MX"/>
        </w:rPr>
        <w:t xml:space="preserve">.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7E9BFDFB" w14:textId="77777777" w:rsidR="00D50D06" w:rsidRPr="00696ABB" w:rsidRDefault="00D50D06" w:rsidP="00D50D06">
      <w:pPr>
        <w:spacing w:after="120" w:line="240" w:lineRule="auto"/>
        <w:ind w:left="709" w:right="709"/>
        <w:jc w:val="both"/>
        <w:rPr>
          <w:rFonts w:ascii="Arial" w:eastAsia="Times New Roman" w:hAnsi="Arial" w:cs="Arial"/>
          <w:sz w:val="21"/>
          <w:szCs w:val="21"/>
          <w:lang w:val="es-ES_tradnl" w:eastAsia="es-MX"/>
        </w:rPr>
      </w:pPr>
      <w:r w:rsidRPr="00696ABB">
        <w:rPr>
          <w:rFonts w:ascii="Arial" w:eastAsia="Times New Roman" w:hAnsi="Arial" w:cs="Arial"/>
          <w:sz w:val="21"/>
          <w:szCs w:val="21"/>
          <w:lang w:val="es-ES_tradnl" w:eastAsia="es-MX"/>
        </w:rPr>
        <w:t xml:space="preserve">5. Los criterios para seleccionar la oferta más favorable. </w:t>
      </w:r>
    </w:p>
    <w:p w14:paraId="416B8064" w14:textId="77777777" w:rsidR="00D50D06" w:rsidRPr="00696ABB" w:rsidRDefault="00D50D06" w:rsidP="00D50D06">
      <w:pPr>
        <w:spacing w:after="120" w:line="240" w:lineRule="auto"/>
        <w:ind w:left="709" w:right="709"/>
        <w:jc w:val="both"/>
        <w:rPr>
          <w:rFonts w:ascii="Arial" w:eastAsia="Times New Roman" w:hAnsi="Arial" w:cs="Arial"/>
          <w:sz w:val="21"/>
          <w:szCs w:val="21"/>
          <w:lang w:val="es-ES_tradnl" w:eastAsia="es-MX"/>
        </w:rPr>
      </w:pPr>
      <w:r w:rsidRPr="00696ABB">
        <w:rPr>
          <w:rFonts w:ascii="Arial" w:eastAsia="Times New Roman" w:hAnsi="Arial" w:cs="Arial"/>
          <w:sz w:val="21"/>
          <w:szCs w:val="21"/>
          <w:lang w:val="es-ES_tradnl" w:eastAsia="es-MX"/>
        </w:rPr>
        <w:t xml:space="preserve">6. El análisis de Riesgo y la forma de mitigarlo. </w:t>
      </w:r>
    </w:p>
    <w:p w14:paraId="5429600F" w14:textId="77777777" w:rsidR="00D50D06" w:rsidRPr="00696ABB" w:rsidRDefault="00D50D06" w:rsidP="00D50D06">
      <w:pPr>
        <w:spacing w:after="120" w:line="240" w:lineRule="auto"/>
        <w:ind w:left="709" w:right="709"/>
        <w:jc w:val="both"/>
        <w:rPr>
          <w:rFonts w:ascii="Arial" w:eastAsia="Times New Roman" w:hAnsi="Arial" w:cs="Arial"/>
          <w:sz w:val="21"/>
          <w:szCs w:val="21"/>
          <w:lang w:val="es-ES_tradnl" w:eastAsia="es-MX"/>
        </w:rPr>
      </w:pPr>
      <w:r w:rsidRPr="00696ABB">
        <w:rPr>
          <w:rFonts w:ascii="Arial" w:eastAsia="Times New Roman" w:hAnsi="Arial" w:cs="Arial"/>
          <w:sz w:val="21"/>
          <w:szCs w:val="21"/>
          <w:lang w:val="es-ES_tradnl" w:eastAsia="es-MX"/>
        </w:rPr>
        <w:t xml:space="preserve">7. Las garantías que la Entidad Estatal contempla exigir en el proceso de contratación. </w:t>
      </w:r>
    </w:p>
    <w:p w14:paraId="5256F039" w14:textId="77777777" w:rsidR="00D50D06" w:rsidRPr="00696ABB" w:rsidRDefault="00D50D06" w:rsidP="00D50D06">
      <w:pPr>
        <w:spacing w:after="120" w:line="240" w:lineRule="auto"/>
        <w:ind w:left="709" w:right="709"/>
        <w:jc w:val="both"/>
        <w:rPr>
          <w:rFonts w:ascii="Arial" w:eastAsia="Times New Roman" w:hAnsi="Arial" w:cs="Arial"/>
          <w:sz w:val="21"/>
          <w:szCs w:val="21"/>
          <w:lang w:val="es-ES_tradnl" w:eastAsia="es-MX"/>
        </w:rPr>
      </w:pPr>
      <w:r w:rsidRPr="00696ABB">
        <w:rPr>
          <w:rFonts w:ascii="Arial" w:eastAsia="Times New Roman" w:hAnsi="Arial" w:cs="Arial"/>
          <w:sz w:val="21"/>
          <w:szCs w:val="21"/>
          <w:lang w:val="es-ES_tradnl" w:eastAsia="es-MX"/>
        </w:rPr>
        <w:t xml:space="preserve">8. La indicación de si el proceso de contratación está cobijado por un acuerdo comercial. </w:t>
      </w:r>
    </w:p>
    <w:p w14:paraId="6C4A8D33" w14:textId="77777777" w:rsidR="00D50D06" w:rsidRPr="00696ABB" w:rsidRDefault="00D50D06" w:rsidP="00D50D06">
      <w:pPr>
        <w:spacing w:after="0" w:line="240" w:lineRule="auto"/>
        <w:ind w:left="709" w:right="709"/>
        <w:jc w:val="both"/>
        <w:rPr>
          <w:rFonts w:ascii="Arial" w:eastAsia="Times New Roman" w:hAnsi="Arial" w:cs="Arial"/>
          <w:sz w:val="21"/>
          <w:szCs w:val="21"/>
          <w:lang w:val="es-ES_tradnl" w:eastAsia="es-MX"/>
        </w:rPr>
      </w:pPr>
      <w:r w:rsidRPr="00696ABB">
        <w:rPr>
          <w:rFonts w:ascii="Arial" w:eastAsia="Times New Roman" w:hAnsi="Arial" w:cs="Arial"/>
          <w:sz w:val="21"/>
          <w:szCs w:val="21"/>
          <w:lang w:val="es-ES_tradnl" w:eastAsia="es-MX"/>
        </w:rPr>
        <w:t>El presente artículo no es aplicable a la contratación por mínima cuantía.</w:t>
      </w:r>
    </w:p>
    <w:p w14:paraId="0317DD36" w14:textId="77777777" w:rsidR="00D50D06" w:rsidRPr="00E27227" w:rsidRDefault="00D50D06" w:rsidP="00D50D06">
      <w:pPr>
        <w:widowControl w:val="0"/>
        <w:tabs>
          <w:tab w:val="left" w:pos="1305"/>
        </w:tabs>
        <w:autoSpaceDE w:val="0"/>
        <w:autoSpaceDN w:val="0"/>
        <w:spacing w:after="0" w:line="276" w:lineRule="auto"/>
        <w:ind w:left="828" w:right="822"/>
        <w:rPr>
          <w:rFonts w:ascii="Arial" w:eastAsia="Calibri" w:hAnsi="Arial" w:cs="Arial"/>
          <w:highlight w:val="yellow"/>
          <w:lang w:val="es-MX"/>
        </w:rPr>
      </w:pPr>
    </w:p>
    <w:p w14:paraId="73DCCE77" w14:textId="2FF4F88F" w:rsidR="00D50D06" w:rsidRPr="00696ABB" w:rsidRDefault="00D50D06" w:rsidP="00D50D06">
      <w:pPr>
        <w:spacing w:after="120" w:line="276" w:lineRule="auto"/>
        <w:ind w:firstLine="709"/>
        <w:jc w:val="both"/>
        <w:rPr>
          <w:rFonts w:ascii="Arial" w:eastAsia="Times New Roman" w:hAnsi="Arial" w:cs="Arial"/>
          <w:szCs w:val="24"/>
          <w:lang w:val="es-ES_tradnl" w:eastAsia="es-MX"/>
        </w:rPr>
      </w:pPr>
      <w:bookmarkStart w:id="2" w:name="_Hlk54011351"/>
      <w:r w:rsidRPr="00696ABB">
        <w:rPr>
          <w:rFonts w:ascii="Arial" w:eastAsia="Times New Roman" w:hAnsi="Arial" w:cs="Arial"/>
          <w:szCs w:val="24"/>
          <w:lang w:val="es-ES_tradnl" w:eastAsia="es-MX"/>
        </w:rPr>
        <w:t xml:space="preserve">De esta manera, antes de iniciar un procedimiento de selección, la entidad estatal podrá determinar con los estudios previos: i) la verdadera necesidad de la celebración del contrato; </w:t>
      </w:r>
      <w:proofErr w:type="spellStart"/>
      <w:r w:rsidRPr="00696ABB">
        <w:rPr>
          <w:rFonts w:ascii="Arial" w:eastAsia="Times New Roman" w:hAnsi="Arial" w:cs="Arial"/>
          <w:szCs w:val="24"/>
          <w:lang w:val="es-ES_tradnl" w:eastAsia="es-MX"/>
        </w:rPr>
        <w:t>ii</w:t>
      </w:r>
      <w:proofErr w:type="spellEnd"/>
      <w:r w:rsidRPr="00696ABB">
        <w:rPr>
          <w:rFonts w:ascii="Arial" w:eastAsia="Times New Roman" w:hAnsi="Arial" w:cs="Arial"/>
          <w:szCs w:val="24"/>
          <w:lang w:val="es-ES_tradnl" w:eastAsia="es-MX"/>
        </w:rPr>
        <w:t xml:space="preserve">) las modalidades existentes para satisfacer esa necesidad y las razones que justifiquen la modalidad o tipo contractual que se escoja; </w:t>
      </w:r>
      <w:proofErr w:type="spellStart"/>
      <w:r w:rsidRPr="00696ABB">
        <w:rPr>
          <w:rFonts w:ascii="Arial" w:eastAsia="Times New Roman" w:hAnsi="Arial" w:cs="Arial"/>
          <w:szCs w:val="24"/>
          <w:lang w:val="es-ES_tradnl" w:eastAsia="es-MX"/>
        </w:rPr>
        <w:t>iii</w:t>
      </w:r>
      <w:proofErr w:type="spellEnd"/>
      <w:r w:rsidRPr="00696ABB">
        <w:rPr>
          <w:rFonts w:ascii="Arial" w:eastAsia="Times New Roman" w:hAnsi="Arial" w:cs="Arial"/>
          <w:szCs w:val="24"/>
          <w:lang w:val="es-ES_tradnl" w:eastAsia="es-MX"/>
        </w:rPr>
        <w:t xml:space="preserve">) las calidades, especificaciones, cantidades y demás características que puedan o deban reunir los bienes, las obras o los servicios cuya contratación se haya determinado necesaria, </w:t>
      </w:r>
      <w:proofErr w:type="spellStart"/>
      <w:r w:rsidRPr="00696ABB">
        <w:rPr>
          <w:rFonts w:ascii="Arial" w:eastAsia="Times New Roman" w:hAnsi="Arial" w:cs="Arial"/>
          <w:szCs w:val="24"/>
          <w:lang w:val="es-ES_tradnl" w:eastAsia="es-MX"/>
        </w:rPr>
        <w:t>iv</w:t>
      </w:r>
      <w:proofErr w:type="spellEnd"/>
      <w:r w:rsidRPr="00696ABB">
        <w:rPr>
          <w:rFonts w:ascii="Arial" w:eastAsia="Times New Roman" w:hAnsi="Arial" w:cs="Arial"/>
          <w:szCs w:val="24"/>
          <w:lang w:val="es-ES_tradnl" w:eastAsia="es-MX"/>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696ABB">
        <w:rPr>
          <w:rFonts w:ascii="Arial" w:eastAsia="Times New Roman" w:hAnsi="Arial" w:cs="Arial"/>
          <w:szCs w:val="24"/>
          <w:lang w:val="es-ES_tradnl" w:eastAsia="es-MX"/>
        </w:rPr>
        <w:t>vii</w:t>
      </w:r>
      <w:proofErr w:type="spellEnd"/>
      <w:r w:rsidRPr="00696ABB">
        <w:rPr>
          <w:rFonts w:ascii="Arial" w:eastAsia="Times New Roman" w:hAnsi="Arial" w:cs="Arial"/>
          <w:szCs w:val="24"/>
          <w:lang w:val="es-ES_tradnl" w:eastAsia="es-MX"/>
        </w:rPr>
        <w:t>) los procedimientos, trámites y requisitos que deban satisfacerse, reunirse u obtenerse para llevar a cabo la selección del respectivo contratista y la celebración del contrato que se pretenda celebrar.</w:t>
      </w:r>
      <w:r w:rsidR="00FB4617" w:rsidRPr="00E27227">
        <w:rPr>
          <w:rFonts w:ascii="Arial" w:eastAsia="Times New Roman" w:hAnsi="Arial" w:cs="Arial"/>
          <w:szCs w:val="24"/>
          <w:lang w:val="es-ES_tradnl" w:eastAsia="es-MX"/>
        </w:rPr>
        <w:t xml:space="preserve"> </w:t>
      </w:r>
      <w:r w:rsidR="00AF30C4" w:rsidRPr="00E27227">
        <w:rPr>
          <w:rFonts w:ascii="Arial" w:eastAsia="Times New Roman" w:hAnsi="Arial" w:cs="Arial"/>
          <w:szCs w:val="24"/>
          <w:lang w:val="es-ES_tradnl" w:eastAsia="es-MX"/>
        </w:rPr>
        <w:t xml:space="preserve">La consideración de todos estos aspectos </w:t>
      </w:r>
      <w:bookmarkEnd w:id="2"/>
      <w:r w:rsidRPr="00696ABB">
        <w:rPr>
          <w:rFonts w:ascii="Arial" w:eastAsia="Calibri" w:hAnsi="Arial" w:cs="Arial"/>
          <w:bCs/>
          <w:szCs w:val="24"/>
          <w:lang w:val="es-ES_tradnl" w:eastAsia="es-MX"/>
        </w:rPr>
        <w:t xml:space="preserve">permite que los contratos resultantes </w:t>
      </w:r>
      <w:r w:rsidR="00AF30C4" w:rsidRPr="00E27227">
        <w:rPr>
          <w:rFonts w:ascii="Arial" w:eastAsia="Calibri" w:hAnsi="Arial" w:cs="Arial"/>
          <w:bCs/>
          <w:szCs w:val="24"/>
          <w:lang w:val="es-ES_tradnl" w:eastAsia="es-MX"/>
        </w:rPr>
        <w:t xml:space="preserve">de la planeación </w:t>
      </w:r>
      <w:r w:rsidRPr="00696ABB">
        <w:rPr>
          <w:rFonts w:ascii="Arial" w:eastAsia="Calibri" w:hAnsi="Arial" w:cs="Arial"/>
          <w:bCs/>
          <w:szCs w:val="24"/>
          <w:lang w:val="es-ES_tradnl" w:eastAsia="es-MX"/>
        </w:rPr>
        <w:t xml:space="preserve">cuenten con el sustento técnico, económico y jurídico que incidirá </w:t>
      </w:r>
      <w:r w:rsidRPr="00696ABB">
        <w:rPr>
          <w:rFonts w:ascii="Arial" w:eastAsia="Times New Roman" w:hAnsi="Arial" w:cs="Arial"/>
          <w:szCs w:val="24"/>
          <w:lang w:val="es-ES_tradnl" w:eastAsia="es-MX"/>
        </w:rPr>
        <w:t>en una adecuada ejecución.</w:t>
      </w:r>
    </w:p>
    <w:p w14:paraId="32F32615" w14:textId="14A0BC33" w:rsidR="00D50D06" w:rsidRPr="00696ABB" w:rsidRDefault="00D50D06" w:rsidP="00E27227">
      <w:pPr>
        <w:spacing w:after="120" w:line="276" w:lineRule="auto"/>
        <w:ind w:right="102" w:firstLine="709"/>
        <w:jc w:val="both"/>
        <w:rPr>
          <w:rFonts w:ascii="Arial" w:eastAsia="Times New Roman" w:hAnsi="Arial" w:cs="Arial"/>
          <w:szCs w:val="24"/>
          <w:lang w:val="es-ES_tradnl" w:eastAsia="es-MX"/>
        </w:rPr>
      </w:pPr>
      <w:r w:rsidRPr="00696ABB">
        <w:rPr>
          <w:rFonts w:ascii="Arial" w:eastAsia="Times New Roman" w:hAnsi="Arial" w:cs="Arial"/>
          <w:szCs w:val="24"/>
          <w:lang w:val="es-ES_tradnl" w:eastAsia="es-MX"/>
        </w:rPr>
        <w:lastRenderedPageBreak/>
        <w:t>Más allá del cumplimiento de la normativa, «los estudios y documentos previos son el soporte para elaborar el proyecto de pliegos, los pliegos de condiciones, y el contrato»</w:t>
      </w:r>
      <w:r w:rsidRPr="00696ABB">
        <w:rPr>
          <w:rFonts w:ascii="Arial" w:eastAsia="Times New Roman" w:hAnsi="Arial" w:cs="Arial"/>
          <w:szCs w:val="24"/>
          <w:vertAlign w:val="superscript"/>
          <w:lang w:val="es-ES_tradnl" w:eastAsia="es-MX"/>
        </w:rPr>
        <w:footnoteReference w:id="3"/>
      </w:r>
      <w:r w:rsidRPr="00696ABB">
        <w:rPr>
          <w:rFonts w:ascii="Arial" w:eastAsia="Times New Roman" w:hAnsi="Arial" w:cs="Arial"/>
          <w:szCs w:val="24"/>
          <w:lang w:val="es-ES_tradnl" w:eastAsia="es-MX"/>
        </w:rPr>
        <w:t>, por lo que deben publicarse en la etapa precontractual y sirven de motivación para los documentos expedidos unilateralmente por la entidad estatal tales como el acto administrativo de apertura, los pliegos de condiciones y el acto de adjudicación, entre otros.</w:t>
      </w:r>
      <w:r w:rsidR="00AF30C4" w:rsidRPr="00E27227">
        <w:rPr>
          <w:rFonts w:ascii="Arial" w:eastAsia="Times New Roman" w:hAnsi="Arial" w:cs="Arial"/>
          <w:szCs w:val="24"/>
          <w:lang w:val="es-ES_tradnl" w:eastAsia="es-MX"/>
        </w:rPr>
        <w:t xml:space="preserve"> En ese sentido, </w:t>
      </w:r>
      <w:bookmarkStart w:id="4" w:name="_Hlk54011438"/>
      <w:r w:rsidRPr="00696ABB">
        <w:rPr>
          <w:rFonts w:ascii="Arial" w:eastAsia="Times New Roman" w:hAnsi="Arial" w:cs="Arial"/>
          <w:szCs w:val="24"/>
          <w:lang w:val="es-ES_tradnl" w:eastAsia="es-MX"/>
        </w:rPr>
        <w:t>los estudios y documentos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bookmarkEnd w:id="4"/>
      <w:r w:rsidRPr="00696ABB">
        <w:rPr>
          <w:rFonts w:ascii="Arial" w:eastAsia="Times New Roman" w:hAnsi="Arial" w:cs="Arial"/>
          <w:szCs w:val="24"/>
          <w:vertAlign w:val="superscript"/>
          <w:lang w:val="es-ES_tradnl" w:eastAsia="es-MX"/>
        </w:rPr>
        <w:footnoteReference w:id="4"/>
      </w:r>
      <w:r w:rsidRPr="00696ABB">
        <w:rPr>
          <w:rFonts w:ascii="Arial" w:eastAsia="Times New Roman" w:hAnsi="Arial" w:cs="Arial"/>
          <w:szCs w:val="24"/>
          <w:lang w:val="es-ES_tradnl" w:eastAsia="es-MX"/>
        </w:rPr>
        <w:t>.</w:t>
      </w:r>
    </w:p>
    <w:p w14:paraId="2A6C6C8C" w14:textId="77777777" w:rsidR="00D50D06" w:rsidRPr="00696ABB" w:rsidRDefault="00D50D06" w:rsidP="00D50D06">
      <w:pPr>
        <w:spacing w:after="120" w:line="276" w:lineRule="auto"/>
        <w:ind w:firstLine="709"/>
        <w:jc w:val="both"/>
        <w:rPr>
          <w:rFonts w:ascii="Arial" w:eastAsia="Times New Roman" w:hAnsi="Arial" w:cs="Arial"/>
          <w:szCs w:val="24"/>
          <w:lang w:val="es-ES_tradnl" w:eastAsia="es-MX"/>
        </w:rPr>
      </w:pPr>
      <w:r w:rsidRPr="00696ABB">
        <w:rPr>
          <w:rFonts w:ascii="Arial" w:eastAsia="Times New Roman" w:hAnsi="Arial" w:cs="Arial"/>
          <w:szCs w:val="24"/>
          <w:lang w:val="es-ES_tradnl" w:eastAsia="es-MX"/>
        </w:rPr>
        <w:t>En cuanto a la responsabilidad de la elaboración de los estudios y documentos previos, corresponde a «la oficina, dependencia o departamento que tenga la necesidad de que se celebre el contrato», de acuerdo con «las instrucciones y procedimientos establecidos en el Manual de Contratación de la Entidad, en el marco de la Ley y los reglamentos vigentes»</w:t>
      </w:r>
      <w:r w:rsidRPr="00696ABB">
        <w:rPr>
          <w:rFonts w:ascii="Arial" w:eastAsia="Times New Roman" w:hAnsi="Arial" w:cs="Arial"/>
          <w:szCs w:val="24"/>
          <w:vertAlign w:val="superscript"/>
          <w:lang w:val="es-ES_tradnl" w:eastAsia="es-MX"/>
        </w:rPr>
        <w:footnoteReference w:id="5"/>
      </w:r>
      <w:r w:rsidRPr="00696ABB">
        <w:rPr>
          <w:rFonts w:ascii="Arial" w:eastAsia="Times New Roman" w:hAnsi="Arial" w:cs="Arial"/>
          <w:szCs w:val="24"/>
          <w:lang w:val="es-ES_tradnl" w:eastAsia="es-MX"/>
        </w:rPr>
        <w:t xml:space="preserve">. De esta manera, de conformidad con la estructura interna de cada entidad, la elaboración de los estudios previos corresponderá al funcionario responsable de la dependencia </w:t>
      </w:r>
      <w:r w:rsidRPr="00696ABB">
        <w:rPr>
          <w:rFonts w:ascii="Arial" w:eastAsia="Times New Roman" w:hAnsi="Arial" w:cs="Arial"/>
          <w:spacing w:val="2"/>
          <w:szCs w:val="24"/>
          <w:lang w:val="es-ES_tradnl" w:eastAsia="es-MX"/>
        </w:rPr>
        <w:t xml:space="preserve">con </w:t>
      </w:r>
      <w:r w:rsidRPr="00696ABB">
        <w:rPr>
          <w:rFonts w:ascii="Arial" w:eastAsia="Times New Roman" w:hAnsi="Arial" w:cs="Arial"/>
          <w:szCs w:val="24"/>
          <w:lang w:val="es-ES_tradnl" w:eastAsia="es-MX"/>
        </w:rPr>
        <w:t>la necesidad a</w:t>
      </w:r>
      <w:r w:rsidRPr="00696ABB">
        <w:rPr>
          <w:rFonts w:ascii="Arial" w:eastAsia="Times New Roman" w:hAnsi="Arial" w:cs="Arial"/>
          <w:spacing w:val="-4"/>
          <w:szCs w:val="24"/>
          <w:lang w:val="es-ES_tradnl" w:eastAsia="es-MX"/>
        </w:rPr>
        <w:t xml:space="preserve"> </w:t>
      </w:r>
      <w:r w:rsidRPr="00696ABB">
        <w:rPr>
          <w:rFonts w:ascii="Arial" w:eastAsia="Times New Roman" w:hAnsi="Arial" w:cs="Arial"/>
          <w:szCs w:val="24"/>
          <w:lang w:val="es-ES_tradnl" w:eastAsia="es-MX"/>
        </w:rPr>
        <w:t>satisfacer.</w:t>
      </w:r>
    </w:p>
    <w:p w14:paraId="1C8D0875" w14:textId="35A3C592" w:rsidR="00D50D06" w:rsidRPr="00696ABB" w:rsidRDefault="004B2C85" w:rsidP="00D50D06">
      <w:pPr>
        <w:spacing w:after="0" w:line="276" w:lineRule="auto"/>
        <w:ind w:firstLine="708"/>
        <w:jc w:val="both"/>
        <w:rPr>
          <w:rFonts w:ascii="Arial" w:eastAsia="Calibri" w:hAnsi="Arial" w:cs="Arial"/>
          <w:bCs/>
          <w:szCs w:val="24"/>
          <w:lang w:val="es-ES_tradnl" w:eastAsia="es-MX"/>
        </w:rPr>
      </w:pPr>
      <w:r w:rsidRPr="00E27227">
        <w:rPr>
          <w:rFonts w:ascii="Arial" w:eastAsia="Times New Roman" w:hAnsi="Arial" w:cs="Arial"/>
          <w:szCs w:val="24"/>
          <w:lang w:val="es-ES_tradnl" w:eastAsia="es-MX"/>
        </w:rPr>
        <w:t>Ahora bien, conforme se desprende de</w:t>
      </w:r>
      <w:r w:rsidR="006F05B4" w:rsidRPr="00E27227">
        <w:rPr>
          <w:rFonts w:ascii="Arial" w:eastAsia="Times New Roman" w:hAnsi="Arial" w:cs="Arial"/>
          <w:szCs w:val="24"/>
          <w:lang w:val="es-ES_tradnl" w:eastAsia="es-MX"/>
        </w:rPr>
        <w:t>l</w:t>
      </w:r>
      <w:r w:rsidRPr="00E27227">
        <w:rPr>
          <w:rFonts w:ascii="Arial" w:eastAsia="Times New Roman" w:hAnsi="Arial" w:cs="Arial"/>
          <w:szCs w:val="24"/>
          <w:lang w:val="es-ES_tradnl" w:eastAsia="es-MX"/>
        </w:rPr>
        <w:t xml:space="preserve"> </w:t>
      </w:r>
      <w:r w:rsidR="00D50D06" w:rsidRPr="00696ABB">
        <w:rPr>
          <w:rFonts w:ascii="Arial" w:eastAsia="Times New Roman" w:hAnsi="Arial" w:cs="Arial"/>
          <w:szCs w:val="24"/>
          <w:lang w:val="es-ES_tradnl" w:eastAsia="es-MX"/>
        </w:rPr>
        <w:t>numeral</w:t>
      </w:r>
      <w:r w:rsidR="005B620E" w:rsidRPr="00E27227">
        <w:rPr>
          <w:rFonts w:ascii="Arial" w:eastAsia="Times New Roman" w:hAnsi="Arial" w:cs="Arial"/>
          <w:szCs w:val="24"/>
          <w:lang w:val="es-ES_tradnl" w:eastAsia="es-MX"/>
        </w:rPr>
        <w:t xml:space="preserve"> </w:t>
      </w:r>
      <w:r w:rsidR="00D50D06" w:rsidRPr="00696ABB">
        <w:rPr>
          <w:rFonts w:ascii="Arial" w:eastAsia="Times New Roman" w:hAnsi="Arial" w:cs="Arial"/>
          <w:szCs w:val="24"/>
          <w:lang w:val="es-ES_tradnl" w:eastAsia="es-MX"/>
        </w:rPr>
        <w:t>4 del artículo 2.2.1.1.2.1.1 del Decreto 1082 de 2015</w:t>
      </w:r>
      <w:r w:rsidRPr="00E27227">
        <w:rPr>
          <w:rFonts w:ascii="Arial" w:eastAsia="Times New Roman" w:hAnsi="Arial" w:cs="Arial"/>
          <w:szCs w:val="24"/>
          <w:lang w:val="es-ES_tradnl" w:eastAsia="es-MX"/>
        </w:rPr>
        <w:t>,</w:t>
      </w:r>
      <w:r w:rsidR="00D50D06" w:rsidRPr="00696ABB">
        <w:rPr>
          <w:rFonts w:ascii="Arial" w:eastAsia="Times New Roman" w:hAnsi="Arial" w:cs="Arial"/>
          <w:szCs w:val="24"/>
          <w:lang w:val="es-ES_tradnl" w:eastAsia="es-MX"/>
        </w:rPr>
        <w:t xml:space="preserve"> </w:t>
      </w:r>
      <w:r w:rsidR="005E6FCA" w:rsidRPr="00E27227">
        <w:rPr>
          <w:rFonts w:ascii="Arial" w:eastAsia="Times New Roman" w:hAnsi="Arial" w:cs="Arial"/>
          <w:szCs w:val="24"/>
          <w:lang w:val="es-ES_tradnl" w:eastAsia="es-MX"/>
        </w:rPr>
        <w:t xml:space="preserve">uno de los aspectos principales que deben abarcar </w:t>
      </w:r>
      <w:r w:rsidR="00D50D06" w:rsidRPr="00696ABB">
        <w:rPr>
          <w:rFonts w:ascii="Arial" w:eastAsia="Times New Roman" w:hAnsi="Arial" w:cs="Arial"/>
          <w:szCs w:val="24"/>
          <w:lang w:val="es-ES_tradnl" w:eastAsia="es-MX"/>
        </w:rPr>
        <w:t xml:space="preserve">los estudios previos </w:t>
      </w:r>
      <w:r w:rsidR="005E6FCA" w:rsidRPr="00E27227">
        <w:rPr>
          <w:rFonts w:ascii="Arial" w:eastAsia="Times New Roman" w:hAnsi="Arial" w:cs="Arial"/>
          <w:szCs w:val="24"/>
          <w:lang w:val="es-ES_tradnl" w:eastAsia="es-MX"/>
        </w:rPr>
        <w:t xml:space="preserve">es el </w:t>
      </w:r>
      <w:r w:rsidR="00D50D06" w:rsidRPr="00696ABB">
        <w:rPr>
          <w:rFonts w:ascii="Arial" w:eastAsia="Times New Roman" w:hAnsi="Arial" w:cs="Arial"/>
          <w:szCs w:val="24"/>
          <w:lang w:val="es-ES_tradnl" w:eastAsia="es-MX"/>
        </w:rPr>
        <w:t xml:space="preserve">valor estimado del contrato </w:t>
      </w:r>
      <w:r w:rsidR="00B24EAF" w:rsidRPr="00E27227">
        <w:rPr>
          <w:rFonts w:ascii="Arial" w:eastAsia="Times New Roman" w:hAnsi="Arial" w:cs="Arial"/>
          <w:szCs w:val="24"/>
          <w:lang w:val="es-ES_tradnl" w:eastAsia="es-MX"/>
        </w:rPr>
        <w:t xml:space="preserve">aparejado de </w:t>
      </w:r>
      <w:r w:rsidR="0061755F" w:rsidRPr="00E27227">
        <w:rPr>
          <w:rFonts w:ascii="Arial" w:eastAsia="Times New Roman" w:hAnsi="Arial" w:cs="Arial"/>
          <w:szCs w:val="24"/>
          <w:lang w:val="es-ES_tradnl" w:eastAsia="es-MX"/>
        </w:rPr>
        <w:t>su respectiva</w:t>
      </w:r>
      <w:r w:rsidR="00B24EAF" w:rsidRPr="00E27227">
        <w:rPr>
          <w:rFonts w:ascii="Arial" w:eastAsia="Times New Roman" w:hAnsi="Arial" w:cs="Arial"/>
          <w:szCs w:val="24"/>
          <w:lang w:val="es-ES_tradnl" w:eastAsia="es-MX"/>
        </w:rPr>
        <w:t xml:space="preserve"> </w:t>
      </w:r>
      <w:r w:rsidR="00D50D06" w:rsidRPr="00696ABB">
        <w:rPr>
          <w:rFonts w:ascii="Arial" w:eastAsia="Times New Roman" w:hAnsi="Arial" w:cs="Arial"/>
          <w:szCs w:val="24"/>
          <w:lang w:val="es-ES_tradnl" w:eastAsia="es-MX"/>
        </w:rPr>
        <w:t>justificación</w:t>
      </w:r>
      <w:r w:rsidR="00B24EAF" w:rsidRPr="00E27227">
        <w:rPr>
          <w:rFonts w:ascii="Arial" w:eastAsia="Times New Roman" w:hAnsi="Arial" w:cs="Arial"/>
          <w:szCs w:val="24"/>
          <w:lang w:val="es-ES_tradnl" w:eastAsia="es-MX"/>
        </w:rPr>
        <w:t>.</w:t>
      </w:r>
      <w:r w:rsidR="00D50D06" w:rsidRPr="00696ABB">
        <w:rPr>
          <w:rFonts w:ascii="Arial" w:eastAsia="Times New Roman" w:hAnsi="Arial" w:cs="Arial"/>
          <w:szCs w:val="24"/>
          <w:lang w:val="es-ES_tradnl" w:eastAsia="es-MX"/>
        </w:rPr>
        <w:t xml:space="preserve"> </w:t>
      </w:r>
      <w:r w:rsidR="00D50D06" w:rsidRPr="00696ABB">
        <w:rPr>
          <w:rFonts w:ascii="Arial" w:eastAsia="Calibri" w:hAnsi="Arial" w:cs="Arial"/>
          <w:bCs/>
          <w:szCs w:val="24"/>
          <w:lang w:val="es-ES_tradnl" w:eastAsia="es-MX"/>
        </w:rPr>
        <w:t xml:space="preserve">Para </w:t>
      </w:r>
      <w:r w:rsidR="0092094C" w:rsidRPr="00E27227">
        <w:rPr>
          <w:rFonts w:ascii="Arial" w:eastAsia="Calibri" w:hAnsi="Arial" w:cs="Arial"/>
          <w:bCs/>
          <w:szCs w:val="24"/>
          <w:lang w:val="es-ES_tradnl" w:eastAsia="es-MX"/>
        </w:rPr>
        <w:t>estos efectos resulta relevante</w:t>
      </w:r>
      <w:r w:rsidR="00D50D06" w:rsidRPr="00696ABB">
        <w:rPr>
          <w:rFonts w:ascii="Arial" w:eastAsia="Calibri" w:hAnsi="Arial" w:cs="Arial"/>
          <w:bCs/>
          <w:szCs w:val="24"/>
          <w:lang w:val="es-ES_tradnl" w:eastAsia="es-MX"/>
        </w:rPr>
        <w:t xml:space="preserve"> </w:t>
      </w:r>
      <w:r w:rsidR="006F05B4" w:rsidRPr="00E27227">
        <w:rPr>
          <w:rFonts w:ascii="Arial" w:eastAsia="Calibri" w:hAnsi="Arial" w:cs="Arial"/>
          <w:bCs/>
          <w:szCs w:val="24"/>
          <w:lang w:val="es-ES_tradnl" w:eastAsia="es-MX"/>
        </w:rPr>
        <w:t xml:space="preserve">la información recolectada en el marco del </w:t>
      </w:r>
      <w:r w:rsidR="00D50D06" w:rsidRPr="00696ABB">
        <w:rPr>
          <w:rFonts w:ascii="Arial" w:eastAsia="Calibri" w:hAnsi="Arial" w:cs="Arial"/>
          <w:bCs/>
          <w:szCs w:val="24"/>
          <w:lang w:val="es-ES_tradnl" w:eastAsia="es-MX"/>
        </w:rPr>
        <w:t>estudio del mercado y el análisis del sector económico y de los</w:t>
      </w:r>
      <w:r w:rsidR="006F05B4" w:rsidRPr="00E27227">
        <w:rPr>
          <w:rFonts w:ascii="Arial" w:eastAsia="Calibri" w:hAnsi="Arial" w:cs="Arial"/>
          <w:bCs/>
          <w:szCs w:val="24"/>
          <w:lang w:val="es-ES_tradnl" w:eastAsia="es-MX"/>
        </w:rPr>
        <w:t xml:space="preserve"> potenciales </w:t>
      </w:r>
      <w:r w:rsidR="00D50D06" w:rsidRPr="00696ABB">
        <w:rPr>
          <w:rFonts w:ascii="Arial" w:eastAsia="Calibri" w:hAnsi="Arial" w:cs="Arial"/>
          <w:bCs/>
          <w:szCs w:val="24"/>
          <w:lang w:val="es-ES_tradnl" w:eastAsia="es-MX"/>
        </w:rPr>
        <w:t>oferentes, actividad</w:t>
      </w:r>
      <w:r w:rsidR="006F05B4" w:rsidRPr="00E27227">
        <w:rPr>
          <w:rFonts w:ascii="Arial" w:eastAsia="Calibri" w:hAnsi="Arial" w:cs="Arial"/>
          <w:bCs/>
          <w:szCs w:val="24"/>
          <w:lang w:val="es-ES_tradnl" w:eastAsia="es-MX"/>
        </w:rPr>
        <w:t>es</w:t>
      </w:r>
      <w:r w:rsidR="00D50D06" w:rsidRPr="00696ABB">
        <w:rPr>
          <w:rFonts w:ascii="Arial" w:eastAsia="Calibri" w:hAnsi="Arial" w:cs="Arial"/>
          <w:bCs/>
          <w:szCs w:val="24"/>
          <w:lang w:val="es-ES_tradnl" w:eastAsia="es-MX"/>
        </w:rPr>
        <w:t xml:space="preserve"> de planeación previa que sirve</w:t>
      </w:r>
      <w:r w:rsidR="006F05B4" w:rsidRPr="00E27227">
        <w:rPr>
          <w:rFonts w:ascii="Arial" w:eastAsia="Calibri" w:hAnsi="Arial" w:cs="Arial"/>
          <w:bCs/>
          <w:szCs w:val="24"/>
          <w:lang w:val="es-ES_tradnl" w:eastAsia="es-MX"/>
        </w:rPr>
        <w:t>n</w:t>
      </w:r>
      <w:r w:rsidR="00D50D06" w:rsidRPr="00696ABB">
        <w:rPr>
          <w:rFonts w:ascii="Arial" w:eastAsia="Calibri" w:hAnsi="Arial" w:cs="Arial"/>
          <w:bCs/>
          <w:szCs w:val="24"/>
          <w:lang w:val="es-ES_tradnl" w:eastAsia="es-MX"/>
        </w:rPr>
        <w:t xml:space="preserve"> para identificar aspectos concretos del mercado que pueden afectar el proceso de selección o las condiciones del negocio a realizar mediante el proceso </w:t>
      </w:r>
      <w:r w:rsidR="00D50D06" w:rsidRPr="00696ABB">
        <w:rPr>
          <w:rFonts w:ascii="Arial" w:eastAsia="Calibri" w:hAnsi="Arial" w:cs="Arial"/>
          <w:bCs/>
          <w:szCs w:val="24"/>
          <w:lang w:val="es-ES_tradnl" w:eastAsia="es-MX"/>
        </w:rPr>
        <w:lastRenderedPageBreak/>
        <w:t xml:space="preserve">de contratación. En este sentido, el </w:t>
      </w:r>
      <w:r w:rsidR="00F805BC" w:rsidRPr="00E27227">
        <w:rPr>
          <w:rFonts w:ascii="Arial" w:eastAsia="Calibri" w:hAnsi="Arial" w:cs="Arial"/>
          <w:bCs/>
          <w:szCs w:val="24"/>
          <w:lang w:val="es-ES_tradnl" w:eastAsia="es-MX"/>
        </w:rPr>
        <w:t>análisis de</w:t>
      </w:r>
      <w:r w:rsidR="000A21F3" w:rsidRPr="00E27227">
        <w:rPr>
          <w:rFonts w:ascii="Arial" w:eastAsia="Calibri" w:hAnsi="Arial" w:cs="Arial"/>
          <w:bCs/>
          <w:szCs w:val="24"/>
          <w:lang w:val="es-ES_tradnl" w:eastAsia="es-MX"/>
        </w:rPr>
        <w:t xml:space="preserve">l sector de las perspectivas </w:t>
      </w:r>
      <w:r w:rsidR="004F73ED" w:rsidRPr="00E27227">
        <w:rPr>
          <w:rFonts w:ascii="Arial" w:eastAsia="Calibri" w:hAnsi="Arial" w:cs="Arial"/>
          <w:bCs/>
          <w:szCs w:val="24"/>
          <w:lang w:val="es-ES_tradnl" w:eastAsia="es-MX"/>
        </w:rPr>
        <w:t xml:space="preserve">legal, comercial, financiera, organizacional, técnica, y de análisis de Riesgo, al que se refiere el </w:t>
      </w:r>
      <w:r w:rsidR="00D50D06" w:rsidRPr="00696ABB">
        <w:rPr>
          <w:rFonts w:ascii="Arial" w:eastAsia="Calibri" w:hAnsi="Arial" w:cs="Arial"/>
          <w:bCs/>
          <w:szCs w:val="24"/>
          <w:lang w:val="es-ES_tradnl" w:eastAsia="es-MX"/>
        </w:rPr>
        <w:t xml:space="preserve">artículo </w:t>
      </w:r>
      <w:bookmarkStart w:id="5" w:name="_Hlk36117416"/>
      <w:r w:rsidR="00D50D06" w:rsidRPr="00696ABB">
        <w:rPr>
          <w:rFonts w:ascii="Arial" w:eastAsia="Calibri" w:hAnsi="Arial" w:cs="Arial"/>
          <w:bCs/>
          <w:szCs w:val="24"/>
          <w:lang w:val="es-ES_tradnl" w:eastAsia="es-MX"/>
        </w:rPr>
        <w:t>2.2.1.1.1.6.1 del Decreto 1082 de 2015</w:t>
      </w:r>
      <w:bookmarkEnd w:id="5"/>
      <w:r w:rsidR="004F73ED" w:rsidRPr="00E27227">
        <w:rPr>
          <w:rFonts w:ascii="Arial" w:eastAsia="Calibri" w:hAnsi="Arial" w:cs="Arial"/>
          <w:bCs/>
          <w:szCs w:val="24"/>
          <w:lang w:val="es-ES_tradnl" w:eastAsia="es-MX"/>
        </w:rPr>
        <w:t>, constituye un i</w:t>
      </w:r>
      <w:r w:rsidR="005F2879" w:rsidRPr="00E27227">
        <w:rPr>
          <w:rFonts w:ascii="Arial" w:eastAsia="Calibri" w:hAnsi="Arial" w:cs="Arial"/>
          <w:bCs/>
          <w:szCs w:val="24"/>
          <w:lang w:val="es-ES_tradnl" w:eastAsia="es-MX"/>
        </w:rPr>
        <w:t>nsumo importante para determinar factores que pudieran determinar el valor del contrato</w:t>
      </w:r>
      <w:r w:rsidR="006E179F" w:rsidRPr="00E27227">
        <w:rPr>
          <w:rFonts w:ascii="Arial" w:eastAsia="Calibri" w:hAnsi="Arial" w:cs="Arial"/>
          <w:bCs/>
          <w:szCs w:val="24"/>
          <w:lang w:val="es-ES_tradnl" w:eastAsia="es-MX"/>
        </w:rPr>
        <w:t xml:space="preserve"> y orientar a la entidad en torno al monto de la disponibilidad presupuestal que requiere a realizar </w:t>
      </w:r>
      <w:r w:rsidR="00AF6568" w:rsidRPr="00E27227">
        <w:rPr>
          <w:rFonts w:ascii="Arial" w:eastAsia="Calibri" w:hAnsi="Arial" w:cs="Arial"/>
          <w:bCs/>
          <w:szCs w:val="24"/>
          <w:lang w:val="es-ES_tradnl" w:eastAsia="es-MX"/>
        </w:rPr>
        <w:t>la contratación</w:t>
      </w:r>
      <w:r w:rsidR="005F2879" w:rsidRPr="00E27227">
        <w:rPr>
          <w:rStyle w:val="Refdenotaalpie"/>
          <w:rFonts w:ascii="Arial" w:eastAsia="Calibri" w:hAnsi="Arial" w:cs="Arial"/>
          <w:bCs/>
          <w:szCs w:val="24"/>
          <w:lang w:val="es-ES_tradnl" w:eastAsia="es-MX"/>
        </w:rPr>
        <w:footnoteReference w:id="6"/>
      </w:r>
      <w:r w:rsidR="00AF6568" w:rsidRPr="00E27227">
        <w:rPr>
          <w:rFonts w:ascii="Arial" w:eastAsia="Calibri" w:hAnsi="Arial" w:cs="Arial"/>
          <w:bCs/>
          <w:szCs w:val="24"/>
          <w:lang w:val="es-ES_tradnl" w:eastAsia="es-MX"/>
        </w:rPr>
        <w:t>.</w:t>
      </w:r>
      <w:r w:rsidR="004F73ED" w:rsidRPr="00E27227">
        <w:rPr>
          <w:rFonts w:ascii="Arial" w:eastAsia="Calibri" w:hAnsi="Arial" w:cs="Arial"/>
          <w:bCs/>
          <w:szCs w:val="24"/>
          <w:lang w:val="es-ES_tradnl" w:eastAsia="es-MX"/>
        </w:rPr>
        <w:t xml:space="preserve"> </w:t>
      </w:r>
      <w:r w:rsidR="00D50D06" w:rsidRPr="00696ABB">
        <w:rPr>
          <w:rFonts w:ascii="Arial" w:eastAsia="Calibri" w:hAnsi="Arial" w:cs="Arial"/>
          <w:bCs/>
          <w:szCs w:val="24"/>
          <w:lang w:val="es-ES_tradnl" w:eastAsia="es-MX"/>
        </w:rPr>
        <w:t xml:space="preserve"> </w:t>
      </w:r>
    </w:p>
    <w:p w14:paraId="698A42EC" w14:textId="77777777" w:rsidR="00D50D06" w:rsidRPr="00696ABB" w:rsidRDefault="00D50D06" w:rsidP="00D50D06">
      <w:pPr>
        <w:spacing w:before="120" w:after="0" w:line="276" w:lineRule="auto"/>
        <w:ind w:firstLine="709"/>
        <w:jc w:val="both"/>
        <w:rPr>
          <w:rFonts w:ascii="Arial" w:eastAsia="Calibri" w:hAnsi="Arial" w:cs="Arial"/>
          <w:bCs/>
          <w:szCs w:val="24"/>
          <w:lang w:val="es-ES_tradnl" w:eastAsia="es-MX"/>
        </w:rPr>
      </w:pPr>
      <w:r w:rsidRPr="00696ABB">
        <w:rPr>
          <w:rFonts w:ascii="Arial" w:eastAsia="Calibri" w:hAnsi="Arial" w:cs="Arial"/>
          <w:bCs/>
          <w:szCs w:val="24"/>
          <w:lang w:val="es-ES_tradnl" w:eastAsia="es-MX"/>
        </w:rPr>
        <w:t xml:space="preserve">De acuerdo con la norma citada, </w:t>
      </w:r>
      <w:bookmarkStart w:id="6" w:name="_Hlk36140682"/>
      <w:r w:rsidRPr="00696ABB">
        <w:rPr>
          <w:rFonts w:ascii="Arial" w:eastAsia="Calibri" w:hAnsi="Arial" w:cs="Arial"/>
          <w:bCs/>
          <w:szCs w:val="24"/>
          <w:lang w:val="es-ES_tradnl" w:eastAsia="es-MX"/>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78365071" w14:textId="77777777" w:rsidR="00D50D06" w:rsidRPr="00696ABB" w:rsidRDefault="00D50D06" w:rsidP="00D50D06">
      <w:pPr>
        <w:spacing w:before="120" w:after="0" w:line="276" w:lineRule="auto"/>
        <w:ind w:firstLine="709"/>
        <w:jc w:val="both"/>
        <w:rPr>
          <w:rFonts w:ascii="Arial" w:eastAsia="Calibri" w:hAnsi="Arial" w:cs="Arial"/>
          <w:bCs/>
          <w:szCs w:val="24"/>
          <w:lang w:val="es-ES_tradnl" w:eastAsia="es-MX"/>
        </w:rPr>
      </w:pPr>
      <w:r w:rsidRPr="00696ABB">
        <w:rPr>
          <w:rFonts w:ascii="Arial" w:eastAsia="Calibri" w:hAnsi="Arial" w:cs="Arial"/>
          <w:bCs/>
          <w:szCs w:val="24"/>
          <w:lang w:val="es-ES_tradnl" w:eastAsia="es-MX"/>
        </w:rPr>
        <w:t>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56B8F0CA" w14:textId="77777777" w:rsidR="00D50D06" w:rsidRPr="00696ABB" w:rsidRDefault="00D50D06" w:rsidP="00D50D06">
      <w:pPr>
        <w:spacing w:before="120" w:after="0" w:line="276" w:lineRule="auto"/>
        <w:ind w:firstLine="709"/>
        <w:jc w:val="both"/>
        <w:rPr>
          <w:rFonts w:ascii="Arial" w:eastAsia="Calibri" w:hAnsi="Arial" w:cs="Arial"/>
          <w:bCs/>
          <w:szCs w:val="24"/>
          <w:lang w:val="es-ES_tradnl" w:eastAsia="es-MX"/>
        </w:rPr>
      </w:pPr>
      <w:r w:rsidRPr="00696ABB">
        <w:rPr>
          <w:rFonts w:ascii="Arial" w:eastAsia="Calibri" w:hAnsi="Arial" w:cs="Arial"/>
          <w:bCs/>
          <w:szCs w:val="24"/>
          <w:lang w:val="es-ES_tradnl" w:eastAsia="es-MX"/>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w:t>
      </w:r>
      <w:r w:rsidRPr="00696ABB">
        <w:rPr>
          <w:rFonts w:ascii="Arial" w:eastAsia="Calibri" w:hAnsi="Arial" w:cs="Arial"/>
          <w:bCs/>
          <w:szCs w:val="24"/>
          <w:lang w:val="es-ES_tradnl" w:eastAsia="es-MX"/>
        </w:rPr>
        <w:lastRenderedPageBreak/>
        <w:t xml:space="preserve">o servicios. Así mismo,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14:paraId="0FFA6B66" w14:textId="77777777" w:rsidR="00D50D06" w:rsidRPr="00696ABB" w:rsidRDefault="00D50D06" w:rsidP="00D50D06">
      <w:pPr>
        <w:spacing w:before="120" w:after="0" w:line="276" w:lineRule="auto"/>
        <w:ind w:firstLine="709"/>
        <w:jc w:val="both"/>
        <w:rPr>
          <w:rFonts w:ascii="Arial" w:eastAsia="Calibri" w:hAnsi="Arial" w:cs="Arial"/>
          <w:bCs/>
          <w:szCs w:val="24"/>
          <w:lang w:val="es-ES_tradnl" w:eastAsia="es-MX"/>
        </w:rPr>
      </w:pPr>
      <w:r w:rsidRPr="00696ABB">
        <w:rPr>
          <w:rFonts w:ascii="Arial" w:eastAsia="Calibri" w:hAnsi="Arial" w:cs="Arial"/>
          <w:bCs/>
          <w:szCs w:val="24"/>
          <w:lang w:val="es-ES_tradnl" w:eastAsia="es-MX"/>
        </w:rPr>
        <w:t xml:space="preserve">Si bien la normativa en materia de contratación estatal establece la obligatoriedad de realizar el análisis necesario para conocer el sector relativo al objeto del proceso de contratación, no determinan un procedimiento específico para efectuar dicho análisis por lo que las entidades </w:t>
      </w:r>
      <w:r w:rsidRPr="00696ABB">
        <w:rPr>
          <w:rFonts w:ascii="Arial" w:eastAsia="Times New Roman" w:hAnsi="Arial" w:cs="Arial"/>
          <w:lang w:val="es-ES_tradnl" w:eastAsia="es-CO"/>
        </w:rPr>
        <w:t xml:space="preserve">son autónomas para estructurarlo, para lo cual deberán cumplir lo dispuesto en el artículo </w:t>
      </w:r>
      <w:r w:rsidRPr="00696ABB">
        <w:rPr>
          <w:rFonts w:ascii="Arial" w:eastAsia="Calibri" w:hAnsi="Arial" w:cs="Arial"/>
          <w:bCs/>
          <w:szCs w:val="24"/>
          <w:lang w:val="es-ES_tradnl" w:eastAsia="es-MX"/>
        </w:rPr>
        <w:t xml:space="preserve">2.2.1.1.1.6.1 del Decreto 1082 de 2015 y realizar un análisis integral de planeación que </w:t>
      </w:r>
      <w:r w:rsidRPr="00696ABB">
        <w:rPr>
          <w:rFonts w:ascii="Arial" w:eastAsia="Times New Roman" w:hAnsi="Arial" w:cs="Arial"/>
          <w:szCs w:val="24"/>
          <w:lang w:val="es-ES_tradnl" w:eastAsia="es-MX"/>
        </w:rPr>
        <w:t xml:space="preserve">sirva de sustento a la decisión de </w:t>
      </w:r>
      <w:r w:rsidRPr="00696ABB">
        <w:rPr>
          <w:rFonts w:ascii="Arial" w:eastAsia="Times New Roman" w:hAnsi="Arial" w:cs="Arial"/>
          <w:bCs/>
          <w:szCs w:val="24"/>
          <w:lang w:val="es-ES_tradnl" w:eastAsia="es-MX"/>
        </w:rPr>
        <w:t>realizar un proceso de contratación.</w:t>
      </w:r>
    </w:p>
    <w:bookmarkEnd w:id="6"/>
    <w:p w14:paraId="14F6DEC1" w14:textId="25275807" w:rsidR="00D50D06" w:rsidRPr="00696ABB" w:rsidRDefault="00D50D06" w:rsidP="00D50D06">
      <w:pPr>
        <w:spacing w:before="120" w:after="120" w:line="276" w:lineRule="auto"/>
        <w:ind w:firstLine="709"/>
        <w:jc w:val="both"/>
        <w:rPr>
          <w:rFonts w:ascii="Arial" w:eastAsia="Calibri" w:hAnsi="Arial" w:cs="Arial"/>
          <w:bCs/>
          <w:szCs w:val="24"/>
          <w:lang w:val="es-ES_tradnl" w:eastAsia="es-MX"/>
        </w:rPr>
      </w:pPr>
      <w:r w:rsidRPr="00696ABB">
        <w:rPr>
          <w:rFonts w:ascii="Arial" w:eastAsia="Calibri" w:hAnsi="Arial" w:cs="Arial"/>
          <w:bCs/>
          <w:szCs w:val="24"/>
          <w:lang w:val="es-ES_tradnl" w:eastAsia="es-MX"/>
        </w:rPr>
        <w:t xml:space="preserve">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este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w:t>
      </w:r>
      <w:proofErr w:type="spellStart"/>
      <w:r w:rsidRPr="00696ABB">
        <w:rPr>
          <w:rFonts w:ascii="Arial" w:eastAsia="Calibri" w:hAnsi="Arial" w:cs="Arial"/>
          <w:bCs/>
          <w:szCs w:val="24"/>
          <w:lang w:val="es-ES_tradnl" w:eastAsia="es-MX"/>
        </w:rPr>
        <w:t>etc</w:t>
      </w:r>
      <w:proofErr w:type="spellEnd"/>
      <w:r w:rsidRPr="00E27227">
        <w:rPr>
          <w:rFonts w:ascii="Arial" w:eastAsia="Times New Roman" w:hAnsi="Arial" w:cs="Arial"/>
          <w:vertAlign w:val="superscript"/>
          <w:lang w:val="es-ES_tradnl" w:eastAsia="es-CO"/>
        </w:rPr>
        <w:footnoteReference w:id="7"/>
      </w:r>
      <w:r w:rsidRPr="00E27227">
        <w:rPr>
          <w:rFonts w:ascii="Arial" w:eastAsia="Times New Roman" w:hAnsi="Arial" w:cs="Arial"/>
          <w:vertAlign w:val="superscript"/>
          <w:lang w:val="es-ES_tradnl" w:eastAsia="es-CO"/>
        </w:rPr>
        <w:t>.</w:t>
      </w:r>
    </w:p>
    <w:p w14:paraId="5DCC5C84" w14:textId="77777777" w:rsidR="00D50D06" w:rsidRPr="00696ABB" w:rsidRDefault="00D50D06" w:rsidP="00D50D06">
      <w:pPr>
        <w:spacing w:before="120" w:after="120" w:line="276" w:lineRule="auto"/>
        <w:ind w:right="113" w:firstLine="709"/>
        <w:jc w:val="both"/>
        <w:rPr>
          <w:rFonts w:ascii="Arial" w:eastAsia="Times New Roman" w:hAnsi="Arial" w:cs="Arial"/>
          <w:lang w:val="es-ES_tradnl" w:eastAsia="es-CO"/>
        </w:rPr>
      </w:pPr>
      <w:r w:rsidRPr="00696ABB">
        <w:rPr>
          <w:rFonts w:ascii="Arial" w:eastAsia="Calibri" w:hAnsi="Arial" w:cs="Arial"/>
          <w:bCs/>
          <w:szCs w:val="24"/>
          <w:lang w:val="es-ES_tradnl" w:eastAsia="es-MX"/>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estudio del sector debe tener en cuenta el objeto del Proceso de Contratación, particularmente las condiciones del contrato, como los plazos y formas de entrega y de pago. El estudio del sector debe permitir a la Entidad Estatal sustentar su decisión de hacer una contratación directa, la elección del proveedor </w:t>
      </w:r>
      <w:r w:rsidRPr="00696ABB">
        <w:rPr>
          <w:rFonts w:ascii="Arial" w:eastAsia="Calibri" w:hAnsi="Arial" w:cs="Arial"/>
          <w:bCs/>
          <w:szCs w:val="24"/>
          <w:lang w:val="es-ES_tradnl" w:eastAsia="es-MX"/>
        </w:rPr>
        <w:lastRenderedPageBreak/>
        <w:t xml:space="preserve">y la forma en que se pacta el contrato desde el punto de vista de la eficiencia, eficacia y economía». Además, allí se señala que en los </w:t>
      </w:r>
      <w:r w:rsidRPr="00696ABB">
        <w:rPr>
          <w:rFonts w:ascii="Arial" w:eastAsia="Times New Roman" w:hAnsi="Arial" w:cs="Arial"/>
          <w:lang w:val="es-ES_tradnl" w:eastAsia="es-CO"/>
        </w:rPr>
        <w:t>procesos de contratación directa: «La Entidad debe consignar en los Documentos del Proceso, bien sea en los estudios previos o en la información de soporte de estos, los aspectos de que trata el artículo 2.2.1.1.1.6.1 del Decreto 1082 de 2015, esto es, el análisis desde la perspectiva legal, comercial, financiera, organizacional, técnica, y de análisis de riesgo»</w:t>
      </w:r>
      <w:r w:rsidRPr="00E27227">
        <w:rPr>
          <w:rFonts w:ascii="Arial" w:eastAsia="Times New Roman" w:hAnsi="Arial" w:cs="Arial"/>
          <w:vertAlign w:val="superscript"/>
          <w:lang w:val="es-ES_tradnl" w:eastAsia="es-CO"/>
        </w:rPr>
        <w:footnoteReference w:id="8"/>
      </w:r>
      <w:r w:rsidRPr="00696ABB">
        <w:rPr>
          <w:rFonts w:ascii="Arial" w:eastAsia="Times New Roman" w:hAnsi="Arial" w:cs="Arial"/>
          <w:vertAlign w:val="superscript"/>
          <w:lang w:val="es-ES_tradnl" w:eastAsia="es-CO"/>
        </w:rPr>
        <w:t>.</w:t>
      </w:r>
      <w:bookmarkStart w:id="7" w:name="_Hlk91231640"/>
    </w:p>
    <w:p w14:paraId="04061BF5" w14:textId="77777777" w:rsidR="00D50D06" w:rsidRPr="00696ABB" w:rsidRDefault="00D50D06" w:rsidP="00D50D06">
      <w:pPr>
        <w:spacing w:before="120" w:after="0" w:line="276" w:lineRule="auto"/>
        <w:ind w:right="113" w:firstLine="709"/>
        <w:jc w:val="both"/>
        <w:rPr>
          <w:rFonts w:ascii="Arial" w:eastAsia="Times New Roman" w:hAnsi="Arial" w:cs="Arial"/>
          <w:lang w:val="es-ES_tradnl" w:eastAsia="es-CO"/>
        </w:rPr>
      </w:pPr>
      <w:r w:rsidRPr="00696ABB">
        <w:rPr>
          <w:rFonts w:ascii="Arial" w:eastAsia="Times New Roman" w:hAnsi="Arial" w:cs="Arial"/>
          <w:lang w:val="es-ES_tradnl" w:eastAsia="es-CO"/>
        </w:rPr>
        <w:t xml:space="preserve">Sin perjuicio de lo anterior, las entidades estatales son autónomas para estructurar los estudios previos, siempre y cuando se observen los aspectos que deben contener esos estudios, de conformidad con los artículos 2.2.1.1.1.6.1, 2.2.1.1.2.1.1 y 2.2.1.2.1.4.9 del Decreto 1082 de 2015. </w:t>
      </w:r>
      <w:bookmarkEnd w:id="7"/>
    </w:p>
    <w:p w14:paraId="796B3DF9" w14:textId="77777777" w:rsidR="00D50D06" w:rsidRPr="00C6085D" w:rsidRDefault="00D50D06" w:rsidP="00E27227">
      <w:pPr>
        <w:spacing w:after="0" w:line="276" w:lineRule="auto"/>
        <w:jc w:val="both"/>
        <w:rPr>
          <w:rFonts w:ascii="Arial" w:eastAsia="Times New Roman" w:hAnsi="Arial" w:cs="Arial"/>
          <w:lang w:val="es-ES_tradnl" w:eastAsia="es-MX"/>
        </w:rPr>
      </w:pPr>
    </w:p>
    <w:p w14:paraId="22356D99" w14:textId="46B31532" w:rsidR="00D50D06" w:rsidRPr="00C6085D" w:rsidRDefault="00F438DA" w:rsidP="00E27227">
      <w:pPr>
        <w:pStyle w:val="Prrafodelista"/>
        <w:numPr>
          <w:ilvl w:val="1"/>
          <w:numId w:val="11"/>
        </w:numPr>
        <w:spacing w:line="276" w:lineRule="auto"/>
        <w:ind w:left="0" w:firstLine="0"/>
        <w:jc w:val="both"/>
        <w:rPr>
          <w:rFonts w:ascii="Arial" w:hAnsi="Arial" w:cs="Arial"/>
          <w:b/>
          <w:sz w:val="22"/>
          <w:lang w:val="es-MX"/>
        </w:rPr>
      </w:pPr>
      <w:r w:rsidRPr="00C6085D">
        <w:rPr>
          <w:rFonts w:ascii="Arial" w:hAnsi="Arial" w:cs="Arial"/>
          <w:b/>
          <w:sz w:val="22"/>
          <w:lang w:val="es-MX"/>
        </w:rPr>
        <w:t>Determinaci</w:t>
      </w:r>
      <w:r w:rsidR="00D71BF3" w:rsidRPr="00C6085D">
        <w:rPr>
          <w:rFonts w:ascii="Arial" w:hAnsi="Arial" w:cs="Arial"/>
          <w:b/>
          <w:sz w:val="22"/>
          <w:lang w:val="es-MX"/>
        </w:rPr>
        <w:t>ón d</w:t>
      </w:r>
      <w:r w:rsidR="00D50D06" w:rsidRPr="00C6085D">
        <w:rPr>
          <w:rFonts w:ascii="Arial" w:hAnsi="Arial" w:cs="Arial"/>
          <w:b/>
          <w:sz w:val="22"/>
          <w:lang w:val="es-MX"/>
        </w:rPr>
        <w:t>el</w:t>
      </w:r>
      <w:r w:rsidR="00D71BF3" w:rsidRPr="00C6085D">
        <w:rPr>
          <w:rFonts w:ascii="Arial" w:hAnsi="Arial" w:cs="Arial"/>
          <w:b/>
          <w:sz w:val="22"/>
          <w:lang w:val="es-MX"/>
        </w:rPr>
        <w:t xml:space="preserve"> valor o</w:t>
      </w:r>
      <w:r w:rsidR="00D50D06" w:rsidRPr="00C6085D">
        <w:rPr>
          <w:rFonts w:ascii="Arial" w:hAnsi="Arial" w:cs="Arial"/>
          <w:b/>
          <w:sz w:val="22"/>
          <w:lang w:val="es-MX"/>
        </w:rPr>
        <w:t xml:space="preserve"> precio en los contratos estatales</w:t>
      </w:r>
      <w:r w:rsidR="00C86A73" w:rsidRPr="00C6085D">
        <w:rPr>
          <w:rFonts w:ascii="Arial" w:hAnsi="Arial" w:cs="Arial"/>
          <w:b/>
          <w:sz w:val="22"/>
          <w:lang w:val="es-MX"/>
        </w:rPr>
        <w:t>. Uso del Sistema de Precios Unitarios y el Factor Multiplicador.</w:t>
      </w:r>
    </w:p>
    <w:p w14:paraId="76BA4F09" w14:textId="77777777" w:rsidR="00D50D06" w:rsidRPr="00696ABB" w:rsidRDefault="00D50D06" w:rsidP="00D50D06">
      <w:pPr>
        <w:spacing w:after="0" w:line="276" w:lineRule="auto"/>
        <w:jc w:val="both"/>
        <w:rPr>
          <w:rFonts w:ascii="Arial" w:eastAsia="Times New Roman" w:hAnsi="Arial" w:cs="Arial"/>
          <w:b/>
          <w:szCs w:val="24"/>
          <w:lang w:val="es-ES_tradnl" w:eastAsia="es-MX"/>
        </w:rPr>
      </w:pPr>
    </w:p>
    <w:p w14:paraId="6476FEE8" w14:textId="58056AE9" w:rsidR="00D50D06" w:rsidRPr="00696ABB" w:rsidRDefault="00D50D06" w:rsidP="00D50D06">
      <w:pPr>
        <w:spacing w:after="0" w:line="276" w:lineRule="auto"/>
        <w:jc w:val="both"/>
        <w:rPr>
          <w:rFonts w:ascii="Arial" w:eastAsia="Calibri" w:hAnsi="Arial" w:cs="Arial"/>
          <w:lang w:val="es-MX"/>
        </w:rPr>
      </w:pPr>
      <w:r w:rsidRPr="00696ABB">
        <w:rPr>
          <w:rFonts w:ascii="Arial" w:eastAsia="Calibri" w:hAnsi="Arial" w:cs="Arial"/>
          <w:lang w:val="es-MX"/>
        </w:rPr>
        <w:t xml:space="preserve">El precio es </w:t>
      </w:r>
      <w:r w:rsidR="00816DF4" w:rsidRPr="00E27227">
        <w:rPr>
          <w:rFonts w:ascii="Arial" w:eastAsia="Calibri" w:hAnsi="Arial" w:cs="Arial"/>
          <w:lang w:val="es-MX"/>
        </w:rPr>
        <w:t>definido de manera general como</w:t>
      </w:r>
      <w:r w:rsidRPr="00696ABB">
        <w:rPr>
          <w:rFonts w:ascii="Arial" w:eastAsia="Calibri" w:hAnsi="Arial" w:cs="Arial"/>
          <w:lang w:val="es-MX"/>
        </w:rPr>
        <w:t xml:space="preserve"> «valor pecuniario en que se estima algo»</w:t>
      </w:r>
      <w:r w:rsidRPr="00696ABB">
        <w:rPr>
          <w:rFonts w:ascii="Arial" w:eastAsia="Calibri" w:hAnsi="Arial" w:cs="Arial"/>
          <w:vertAlign w:val="superscript"/>
          <w:lang w:val="es-MX"/>
        </w:rPr>
        <w:footnoteReference w:id="9"/>
      </w:r>
      <w:r w:rsidRPr="00696ABB">
        <w:rPr>
          <w:rFonts w:ascii="Arial" w:eastAsia="Calibri" w:hAnsi="Arial" w:cs="Arial"/>
          <w:lang w:val="es-MX"/>
        </w:rPr>
        <w:t>. En nuestro ordenamiento jurídico, tenemos una definición de precio en el Código Civil y en el Código de Comercio. Ambas codificaciones, al regular el contrato de compraventa, definen el precio como el dinero que el comprador entrega a cambio de la cosa vendida:</w:t>
      </w:r>
    </w:p>
    <w:p w14:paraId="441E0730" w14:textId="77777777" w:rsidR="00D50D06" w:rsidRPr="00696ABB" w:rsidRDefault="00D50D06" w:rsidP="00D50D06">
      <w:pPr>
        <w:spacing w:after="0" w:line="240" w:lineRule="auto"/>
        <w:jc w:val="both"/>
        <w:rPr>
          <w:rFonts w:ascii="Arial" w:eastAsia="Calibri" w:hAnsi="Arial" w:cs="Arial"/>
          <w:lang w:val="es-MX"/>
        </w:rPr>
      </w:pPr>
      <w:r w:rsidRPr="00696ABB">
        <w:rPr>
          <w:rFonts w:ascii="Arial" w:eastAsia="Calibri" w:hAnsi="Arial" w:cs="Arial"/>
          <w:lang w:val="es-MX"/>
        </w:rPr>
        <w:t xml:space="preserve"> </w:t>
      </w:r>
    </w:p>
    <w:p w14:paraId="4F068E69" w14:textId="77777777" w:rsidR="00D50D06" w:rsidRPr="00696ABB" w:rsidRDefault="00D50D06" w:rsidP="00D50D06">
      <w:pPr>
        <w:spacing w:after="0" w:line="240" w:lineRule="auto"/>
        <w:ind w:left="709" w:right="709"/>
        <w:jc w:val="both"/>
        <w:rPr>
          <w:rFonts w:ascii="Arial" w:eastAsia="Calibri" w:hAnsi="Arial" w:cs="Arial"/>
          <w:sz w:val="21"/>
          <w:szCs w:val="21"/>
          <w:lang w:val="es-MX"/>
        </w:rPr>
      </w:pPr>
      <w:r w:rsidRPr="00696ABB">
        <w:rPr>
          <w:rFonts w:ascii="Arial" w:eastAsia="Calibri" w:hAnsi="Arial" w:cs="Arial"/>
          <w:sz w:val="21"/>
          <w:szCs w:val="21"/>
          <w:lang w:val="es-MX"/>
        </w:rPr>
        <w:t>[Artículo 1849 del Código Civil]: La compraventa es un contrato en que una de las partes se obliga a dar una cosa y la otra a pagarla en dinero. Aquella se dice vender y esta comprar. El dinero que el comprador da por la cosa vendida se llama precio.</w:t>
      </w:r>
    </w:p>
    <w:p w14:paraId="4992210B" w14:textId="77777777" w:rsidR="00D50D06" w:rsidRPr="00696ABB" w:rsidRDefault="00D50D06" w:rsidP="00D50D06">
      <w:pPr>
        <w:spacing w:after="0" w:line="240" w:lineRule="auto"/>
        <w:ind w:left="709" w:right="709"/>
        <w:jc w:val="both"/>
        <w:rPr>
          <w:rFonts w:ascii="Arial" w:eastAsia="Calibri" w:hAnsi="Arial" w:cs="Arial"/>
          <w:sz w:val="21"/>
          <w:szCs w:val="21"/>
          <w:lang w:val="es-MX"/>
        </w:rPr>
      </w:pPr>
    </w:p>
    <w:p w14:paraId="060A871B" w14:textId="77777777" w:rsidR="00D50D06" w:rsidRPr="00696ABB" w:rsidRDefault="00D50D06" w:rsidP="00D50D06">
      <w:pPr>
        <w:spacing w:after="0" w:line="240" w:lineRule="auto"/>
        <w:ind w:left="709" w:right="709"/>
        <w:jc w:val="both"/>
        <w:rPr>
          <w:rFonts w:ascii="Arial" w:eastAsia="Calibri" w:hAnsi="Arial" w:cs="Arial"/>
          <w:sz w:val="21"/>
          <w:szCs w:val="21"/>
          <w:lang w:val="es-MX"/>
        </w:rPr>
      </w:pPr>
      <w:r w:rsidRPr="00696ABB">
        <w:rPr>
          <w:rFonts w:ascii="Arial" w:eastAsia="Calibri" w:hAnsi="Arial" w:cs="Arial"/>
          <w:sz w:val="21"/>
          <w:szCs w:val="21"/>
          <w:lang w:val="es-MX"/>
        </w:rPr>
        <w:t>[Artículo 905 del Código de Comercio]: La compraventa es un contrato en que una de las partes se obliga a trasmitir la propiedad de una cosa y la otra a pagarla en dinero. El dinero que el comprador da por la cosa vendida se llama precio.</w:t>
      </w:r>
    </w:p>
    <w:p w14:paraId="5CEDBDB2" w14:textId="77777777" w:rsidR="00D50D06" w:rsidRPr="00696ABB" w:rsidRDefault="00D50D06" w:rsidP="00D50D06">
      <w:pPr>
        <w:spacing w:after="0" w:line="276" w:lineRule="auto"/>
        <w:jc w:val="both"/>
        <w:rPr>
          <w:rFonts w:ascii="Arial" w:eastAsia="Times New Roman" w:hAnsi="Arial" w:cs="Arial"/>
          <w:bCs/>
          <w:szCs w:val="24"/>
          <w:lang w:val="es-ES_tradnl" w:eastAsia="es-MX"/>
        </w:rPr>
      </w:pPr>
    </w:p>
    <w:p w14:paraId="279339EC" w14:textId="460CA947" w:rsidR="00D50D06" w:rsidRPr="00696ABB" w:rsidRDefault="00C86A73" w:rsidP="00D50D06">
      <w:pPr>
        <w:spacing w:after="120" w:line="276" w:lineRule="auto"/>
        <w:ind w:firstLine="708"/>
        <w:jc w:val="both"/>
        <w:rPr>
          <w:rFonts w:ascii="Arial" w:eastAsia="Times New Roman" w:hAnsi="Arial" w:cs="Arial"/>
          <w:bCs/>
          <w:szCs w:val="24"/>
          <w:lang w:val="es-ES" w:eastAsia="es-MX"/>
        </w:rPr>
      </w:pPr>
      <w:r w:rsidRPr="00E27227">
        <w:rPr>
          <w:rFonts w:ascii="Arial" w:eastAsia="Times New Roman" w:hAnsi="Arial" w:cs="Arial"/>
          <w:bCs/>
          <w:szCs w:val="24"/>
          <w:lang w:val="es-ES_tradnl" w:eastAsia="es-MX"/>
        </w:rPr>
        <w:t>El precio es</w:t>
      </w:r>
      <w:r w:rsidR="00D50D06" w:rsidRPr="00696ABB">
        <w:rPr>
          <w:rFonts w:ascii="Arial" w:eastAsia="Times New Roman" w:hAnsi="Arial" w:cs="Arial"/>
          <w:bCs/>
          <w:szCs w:val="24"/>
          <w:lang w:val="es-ES_tradnl" w:eastAsia="es-MX"/>
        </w:rPr>
        <w:t xml:space="preserve"> uno de los elementos de los contratos estatales, que por lo general se identifica con el valor del contrato. Aunque no todo contrato lo incluye –pues también existen negocios gratuitos– lo usual es que los contratos estatales se perfeccionen como onerosos y, la mayoría de las veces, como conmutativos, cuando hay un acuerdo entre el </w:t>
      </w:r>
      <w:r w:rsidR="00D50D06" w:rsidRPr="00696ABB">
        <w:rPr>
          <w:rFonts w:ascii="Arial" w:eastAsia="Times New Roman" w:hAnsi="Arial" w:cs="Arial"/>
          <w:bCs/>
          <w:szCs w:val="24"/>
          <w:lang w:val="es-ES_tradnl" w:eastAsia="es-MX"/>
        </w:rPr>
        <w:lastRenderedPageBreak/>
        <w:t>objeto y la contraprestación, pactado por escrito entre la entidad estatal y el contratista. El precio es un importante elemento para el contratista, porque equivale a la remuneración que la entidad contratante le pagará como contraprestación por la ejecución de las obligaciones de dar, hacer o no hacer previstas a su cargo en el contrato. El precio, entonces, es el valor que se da por el objeto, generalmente en dinero, que debe ser determinado o determinable</w:t>
      </w:r>
      <w:r w:rsidR="00D50D06" w:rsidRPr="00696ABB">
        <w:rPr>
          <w:rFonts w:ascii="Arial" w:eastAsia="Times New Roman" w:hAnsi="Arial" w:cs="Arial"/>
          <w:bCs/>
          <w:szCs w:val="24"/>
          <w:vertAlign w:val="superscript"/>
          <w:lang w:val="es-ES_tradnl" w:eastAsia="es-MX"/>
        </w:rPr>
        <w:footnoteReference w:id="10"/>
      </w:r>
      <w:r w:rsidR="00D50D06" w:rsidRPr="00696ABB">
        <w:rPr>
          <w:rFonts w:ascii="Arial" w:eastAsia="Times New Roman" w:hAnsi="Arial" w:cs="Arial"/>
          <w:bCs/>
          <w:szCs w:val="24"/>
          <w:lang w:val="es-ES_tradnl" w:eastAsia="es-MX"/>
        </w:rPr>
        <w:t>, en los términos de los artículos 1864 y 1865 del Código Civil y, de manera general, está compuesto por dos elementos: los costos y la utilidad, cuya estructuración interna depende de las condiciones técnicas, financieras, regulatorias, etc. de cada contrato</w:t>
      </w:r>
      <w:r w:rsidR="00D50D06" w:rsidRPr="00696ABB">
        <w:rPr>
          <w:rFonts w:ascii="Arial" w:eastAsia="Times New Roman" w:hAnsi="Arial" w:cs="Arial"/>
          <w:bCs/>
          <w:szCs w:val="24"/>
          <w:vertAlign w:val="superscript"/>
          <w:lang w:val="es-ES_tradnl" w:eastAsia="es-MX"/>
        </w:rPr>
        <w:footnoteReference w:id="11"/>
      </w:r>
      <w:r w:rsidR="00D50D06" w:rsidRPr="00696ABB">
        <w:rPr>
          <w:rFonts w:ascii="Arial" w:eastAsia="Times New Roman" w:hAnsi="Arial" w:cs="Arial"/>
          <w:bCs/>
          <w:szCs w:val="24"/>
          <w:lang w:val="es-ES_tradnl" w:eastAsia="es-MX"/>
        </w:rPr>
        <w:t>.</w:t>
      </w:r>
    </w:p>
    <w:p w14:paraId="5621C78F" w14:textId="6EC6D78A" w:rsidR="00D50D06" w:rsidRPr="00696ABB" w:rsidRDefault="00D50D06" w:rsidP="00D50D06">
      <w:pPr>
        <w:spacing w:before="120" w:after="120" w:line="276" w:lineRule="auto"/>
        <w:ind w:firstLine="709"/>
        <w:jc w:val="both"/>
        <w:rPr>
          <w:rFonts w:ascii="Arial" w:eastAsia="Times New Roman" w:hAnsi="Arial" w:cs="Arial"/>
          <w:bCs/>
          <w:szCs w:val="24"/>
          <w:lang w:val="es-ES_tradnl" w:eastAsia="es-MX"/>
        </w:rPr>
      </w:pPr>
      <w:r w:rsidRPr="00696ABB">
        <w:rPr>
          <w:rFonts w:ascii="Arial" w:eastAsia="Times New Roman" w:hAnsi="Arial" w:cs="Arial"/>
          <w:bCs/>
          <w:szCs w:val="24"/>
          <w:lang w:val="es-ES_tradnl" w:eastAsia="es-MX"/>
        </w:rPr>
        <w:t>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w:t>
      </w:r>
      <w:r w:rsidR="003910AE" w:rsidRPr="00696ABB">
        <w:rPr>
          <w:rFonts w:ascii="Arial" w:eastAsia="Times New Roman" w:hAnsi="Arial" w:cs="Arial"/>
          <w:bCs/>
          <w:szCs w:val="24"/>
          <w:lang w:val="es-ES_tradnl" w:eastAsia="es-MX"/>
        </w:rPr>
        <w:t>,</w:t>
      </w:r>
      <w:r w:rsidRPr="00696ABB">
        <w:rPr>
          <w:rFonts w:ascii="Arial" w:eastAsia="Times New Roman" w:hAnsi="Arial" w:cs="Arial"/>
          <w:bCs/>
          <w:szCs w:val="24"/>
          <w:lang w:val="es-ES_tradnl" w:eastAsia="es-MX"/>
        </w:rPr>
        <w:t xml:space="preserve">  otras más indicadas para los de concesión</w:t>
      </w:r>
      <w:r w:rsidR="003910AE" w:rsidRPr="00696ABB">
        <w:rPr>
          <w:rFonts w:ascii="Arial" w:eastAsia="Times New Roman" w:hAnsi="Arial" w:cs="Arial"/>
          <w:bCs/>
          <w:szCs w:val="24"/>
          <w:lang w:val="es-ES_tradnl" w:eastAsia="es-MX"/>
        </w:rPr>
        <w:t xml:space="preserve"> y </w:t>
      </w:r>
      <w:r w:rsidR="00A93522" w:rsidRPr="00696ABB">
        <w:rPr>
          <w:rFonts w:ascii="Arial" w:eastAsia="Times New Roman" w:hAnsi="Arial" w:cs="Arial"/>
          <w:bCs/>
          <w:szCs w:val="24"/>
          <w:lang w:val="es-ES_tradnl" w:eastAsia="es-MX"/>
        </w:rPr>
        <w:t>unas más comunes en los de consultoría</w:t>
      </w:r>
      <w:r w:rsidRPr="00696ABB">
        <w:rPr>
          <w:rFonts w:ascii="Arial" w:eastAsia="Times New Roman" w:hAnsi="Arial" w:cs="Arial"/>
          <w:bCs/>
          <w:szCs w:val="24"/>
          <w:lang w:val="es-ES_tradnl" w:eastAsia="es-MX"/>
        </w:rPr>
        <w:t>; por mencionar algunos ejemplos</w:t>
      </w:r>
      <w:r w:rsidRPr="00696ABB">
        <w:rPr>
          <w:rFonts w:ascii="Arial" w:eastAsia="Times New Roman" w:hAnsi="Arial" w:cs="Arial"/>
          <w:bCs/>
          <w:szCs w:val="24"/>
          <w:vertAlign w:val="superscript"/>
          <w:lang w:val="es-ES_tradnl" w:eastAsia="es-MX"/>
        </w:rPr>
        <w:footnoteReference w:id="12"/>
      </w:r>
      <w:r w:rsidRPr="00696ABB">
        <w:rPr>
          <w:rFonts w:ascii="Arial" w:eastAsia="Times New Roman" w:hAnsi="Arial" w:cs="Arial"/>
          <w:bCs/>
          <w:szCs w:val="24"/>
          <w:lang w:val="es-ES_tradnl" w:eastAsia="es-MX"/>
        </w:rPr>
        <w:t xml:space="preserve">. No hay, pues, una sola metodología para pactar el precio </w:t>
      </w:r>
      <w:r w:rsidRPr="00696ABB">
        <w:rPr>
          <w:rFonts w:ascii="Arial" w:eastAsia="Times New Roman" w:hAnsi="Arial" w:cs="Arial"/>
          <w:bCs/>
          <w:szCs w:val="24"/>
          <w:lang w:val="es-ES_tradnl" w:eastAsia="es-MX"/>
        </w:rPr>
        <w:lastRenderedPageBreak/>
        <w:t xml:space="preserve">y, en gran medida, la manera de hacerlo ha obedecido a la costumbre mercantil y a la influencia de disciplinas técnicas, como la ingeniería o la administración de empresas, en la contratación estatal. </w:t>
      </w:r>
    </w:p>
    <w:p w14:paraId="6FC84FA6" w14:textId="4B62998D" w:rsidR="00A21506" w:rsidRPr="00E27227" w:rsidRDefault="00312BDB" w:rsidP="00864161">
      <w:pPr>
        <w:spacing w:after="120" w:line="276" w:lineRule="auto"/>
        <w:ind w:firstLine="709"/>
        <w:jc w:val="both"/>
        <w:rPr>
          <w:rFonts w:ascii="Arial" w:hAnsi="Arial" w:cs="Arial"/>
          <w:lang w:val="es-ES_tradnl"/>
        </w:rPr>
      </w:pPr>
      <w:r w:rsidRPr="00E27227">
        <w:rPr>
          <w:rFonts w:ascii="Arial" w:hAnsi="Arial" w:cs="Arial"/>
          <w:lang w:val="es-ES_tradnl" w:eastAsia="es-MX"/>
        </w:rPr>
        <w:t xml:space="preserve">Una de las metodologías que ha hecho carrera en la </w:t>
      </w:r>
      <w:r w:rsidR="00C6085D" w:rsidRPr="00E27227">
        <w:rPr>
          <w:rFonts w:ascii="Arial" w:hAnsi="Arial" w:cs="Arial"/>
          <w:lang w:val="es-ES_tradnl" w:eastAsia="es-MX"/>
        </w:rPr>
        <w:t>práctica</w:t>
      </w:r>
      <w:r w:rsidR="001A1CAC" w:rsidRPr="00E27227">
        <w:rPr>
          <w:rFonts w:ascii="Arial" w:hAnsi="Arial" w:cs="Arial"/>
          <w:lang w:val="es-ES_tradnl" w:eastAsia="es-MX"/>
        </w:rPr>
        <w:t xml:space="preserve"> contractual pública es</w:t>
      </w:r>
      <w:r w:rsidR="003665C7" w:rsidRPr="00E27227">
        <w:rPr>
          <w:rFonts w:ascii="Arial" w:hAnsi="Arial" w:cs="Arial"/>
          <w:lang w:val="es-ES_tradnl" w:eastAsia="es-MX"/>
        </w:rPr>
        <w:t xml:space="preserve"> el sistema de precios unitarios,</w:t>
      </w:r>
      <w:r w:rsidR="000C3C89" w:rsidRPr="00E27227">
        <w:rPr>
          <w:rFonts w:ascii="Arial" w:hAnsi="Arial" w:cs="Arial"/>
          <w:lang w:val="es-ES_tradnl" w:eastAsia="es-MX"/>
        </w:rPr>
        <w:t xml:space="preserve"> </w:t>
      </w:r>
      <w:r w:rsidR="001A1CAC" w:rsidRPr="00E27227">
        <w:rPr>
          <w:rFonts w:ascii="Arial" w:hAnsi="Arial" w:cs="Arial"/>
          <w:lang w:val="es-ES_tradnl" w:eastAsia="es-MX"/>
        </w:rPr>
        <w:t xml:space="preserve">método </w:t>
      </w:r>
      <w:r w:rsidR="000C3C89" w:rsidRPr="00E27227">
        <w:rPr>
          <w:rFonts w:ascii="Arial" w:hAnsi="Arial" w:cs="Arial"/>
          <w:lang w:val="es-ES_tradnl" w:eastAsia="es-MX"/>
        </w:rPr>
        <w:t xml:space="preserve">en </w:t>
      </w:r>
      <w:r w:rsidR="00A21506" w:rsidRPr="00E27227">
        <w:rPr>
          <w:rFonts w:ascii="Arial" w:hAnsi="Arial" w:cs="Arial"/>
          <w:lang w:val="es-ES_tradnl" w:eastAsia="es-MX"/>
        </w:rPr>
        <w:t>el marco</w:t>
      </w:r>
      <w:r w:rsidR="000C3C89" w:rsidRPr="00E27227">
        <w:rPr>
          <w:rFonts w:ascii="Arial" w:hAnsi="Arial" w:cs="Arial"/>
          <w:lang w:val="es-ES_tradnl" w:eastAsia="es-MX"/>
        </w:rPr>
        <w:t xml:space="preserve"> del cual</w:t>
      </w:r>
      <w:r w:rsidR="003665C7" w:rsidRPr="00E27227">
        <w:rPr>
          <w:rFonts w:ascii="Arial" w:hAnsi="Arial" w:cs="Arial"/>
          <w:lang w:val="es-ES_tradnl" w:eastAsia="es-MX"/>
        </w:rPr>
        <w:t xml:space="preserve"> </w:t>
      </w:r>
      <w:r w:rsidR="00E34AE8" w:rsidRPr="00E27227">
        <w:rPr>
          <w:rFonts w:ascii="Arial" w:hAnsi="Arial" w:cs="Arial"/>
          <w:lang w:val="es-ES_tradnl" w:eastAsia="es-MX"/>
        </w:rPr>
        <w:t>la entidad</w:t>
      </w:r>
      <w:r w:rsidR="00D50D06" w:rsidRPr="00E27227">
        <w:rPr>
          <w:rFonts w:ascii="Arial" w:hAnsi="Arial" w:cs="Arial"/>
          <w:lang w:val="es-ES_tradnl" w:eastAsia="es-MX"/>
        </w:rPr>
        <w:t xml:space="preserve"> contratante</w:t>
      </w:r>
      <w:r w:rsidR="00E34AE8" w:rsidRPr="00E27227">
        <w:rPr>
          <w:rFonts w:ascii="Arial" w:hAnsi="Arial" w:cs="Arial"/>
          <w:lang w:val="es-ES_tradnl" w:eastAsia="es-MX"/>
        </w:rPr>
        <w:t>,</w:t>
      </w:r>
      <w:r w:rsidR="00D50D06" w:rsidRPr="00E27227">
        <w:rPr>
          <w:rFonts w:ascii="Arial" w:hAnsi="Arial" w:cs="Arial"/>
          <w:lang w:val="es-ES_tradnl" w:eastAsia="es-MX"/>
        </w:rPr>
        <w:t xml:space="preserve"> </w:t>
      </w:r>
      <w:r w:rsidR="00E34AE8" w:rsidRPr="00E27227">
        <w:rPr>
          <w:rFonts w:ascii="Arial" w:hAnsi="Arial" w:cs="Arial"/>
          <w:lang w:val="es-ES_tradnl" w:eastAsia="es-MX"/>
        </w:rPr>
        <w:t xml:space="preserve">al momento de estimar valor del contrato </w:t>
      </w:r>
      <w:r w:rsidR="00D50D06" w:rsidRPr="00E27227">
        <w:rPr>
          <w:rFonts w:ascii="Arial" w:hAnsi="Arial" w:cs="Arial"/>
          <w:lang w:val="es-ES_tradnl" w:eastAsia="es-MX"/>
        </w:rPr>
        <w:t>separ</w:t>
      </w:r>
      <w:r w:rsidR="00E34AE8" w:rsidRPr="00E27227">
        <w:rPr>
          <w:rFonts w:ascii="Arial" w:hAnsi="Arial" w:cs="Arial"/>
          <w:lang w:val="es-ES_tradnl" w:eastAsia="es-MX"/>
        </w:rPr>
        <w:t>a</w:t>
      </w:r>
      <w:r w:rsidR="00D50D06" w:rsidRPr="00E27227">
        <w:rPr>
          <w:rFonts w:ascii="Arial" w:hAnsi="Arial" w:cs="Arial"/>
          <w:lang w:val="es-ES_tradnl" w:eastAsia="es-MX"/>
        </w:rPr>
        <w:t xml:space="preserve"> 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w:t>
      </w:r>
      <w:r w:rsidR="006044D6" w:rsidRPr="00E27227">
        <w:rPr>
          <w:rFonts w:ascii="Arial" w:hAnsi="Arial" w:cs="Arial"/>
          <w:lang w:val="es-ES_tradnl" w:eastAsia="es-MX"/>
        </w:rPr>
        <w:t>, solicitando a los</w:t>
      </w:r>
      <w:r w:rsidR="00DB4ED3" w:rsidRPr="00E27227">
        <w:rPr>
          <w:rFonts w:ascii="Arial" w:hAnsi="Arial" w:cs="Arial"/>
          <w:lang w:val="es-ES_tradnl" w:eastAsia="es-MX"/>
        </w:rPr>
        <w:t xml:space="preserve"> proponentes que discriminen los últimos al momento de presentar la propuesta.</w:t>
      </w:r>
      <w:r w:rsidR="00D50D06" w:rsidRPr="00E27227">
        <w:rPr>
          <w:rFonts w:ascii="Arial" w:hAnsi="Arial" w:cs="Arial"/>
          <w:lang w:val="es-ES_tradnl" w:eastAsia="es-MX"/>
        </w:rPr>
        <w:t xml:space="preserve"> </w:t>
      </w:r>
      <w:r w:rsidR="00A01EC5" w:rsidRPr="00E27227">
        <w:rPr>
          <w:rFonts w:ascii="Arial" w:hAnsi="Arial" w:cs="Arial"/>
          <w:lang w:val="es-ES_tradnl"/>
        </w:rPr>
        <w:t xml:space="preserve">En tal sentido, mientras que los costos directos se evidencian en el análisis de precios unitarios –APU–, como la sumatoria de los valores de los </w:t>
      </w:r>
      <w:r w:rsidR="00A01EC5" w:rsidRPr="00E27227">
        <w:rPr>
          <w:rFonts w:ascii="Arial" w:hAnsi="Arial" w:cs="Arial"/>
          <w:i/>
          <w:iCs/>
          <w:lang w:val="es-ES_tradnl"/>
        </w:rPr>
        <w:t>ítems</w:t>
      </w:r>
      <w:r w:rsidR="00A01EC5" w:rsidRPr="00E27227">
        <w:rPr>
          <w:rFonts w:ascii="Arial" w:hAnsi="Arial" w:cs="Arial"/>
          <w:lang w:val="es-ES_tradnl"/>
        </w:rPr>
        <w:t xml:space="preserve"> según su unidad de medida, los costos indirectos se suelen abreviar en las variables que integran el acrónimo AIU –Administración, Imprevistos y Utilidad–, que se calcula como un porcentaje aplicado a los costos indirectos.</w:t>
      </w:r>
      <w:r w:rsidR="00265251" w:rsidRPr="00E27227">
        <w:rPr>
          <w:rFonts w:ascii="Arial" w:hAnsi="Arial" w:cs="Arial"/>
          <w:lang w:val="es-ES_tradnl"/>
        </w:rPr>
        <w:t xml:space="preserve"> De esta </w:t>
      </w:r>
      <w:r w:rsidR="00AA3557" w:rsidRPr="00E27227">
        <w:rPr>
          <w:rFonts w:ascii="Arial" w:hAnsi="Arial" w:cs="Arial"/>
          <w:lang w:val="es-ES_tradnl"/>
        </w:rPr>
        <w:t>forma</w:t>
      </w:r>
      <w:r w:rsidR="00265251" w:rsidRPr="00E27227">
        <w:rPr>
          <w:rFonts w:ascii="Arial" w:hAnsi="Arial" w:cs="Arial"/>
          <w:lang w:val="es-ES_tradnl"/>
        </w:rPr>
        <w:t xml:space="preserve">, en los contratos </w:t>
      </w:r>
      <w:r w:rsidR="00F57197" w:rsidRPr="00E27227">
        <w:rPr>
          <w:rFonts w:ascii="Arial" w:hAnsi="Arial" w:cs="Arial"/>
          <w:lang w:val="es-ES_tradnl"/>
        </w:rPr>
        <w:t>en los que se aplica el sistema de precios unitarios el valor del contrato y de las ofertas se determina por la sumatoria de</w:t>
      </w:r>
      <w:r w:rsidR="008F060E" w:rsidRPr="00E27227">
        <w:rPr>
          <w:rFonts w:ascii="Arial" w:hAnsi="Arial" w:cs="Arial"/>
          <w:lang w:val="es-ES_tradnl"/>
        </w:rPr>
        <w:t xml:space="preserve"> los co</w:t>
      </w:r>
      <w:r w:rsidR="00112195" w:rsidRPr="00E27227">
        <w:rPr>
          <w:rFonts w:ascii="Arial" w:hAnsi="Arial" w:cs="Arial"/>
          <w:lang w:val="es-ES_tradnl"/>
        </w:rPr>
        <w:t>s</w:t>
      </w:r>
      <w:r w:rsidR="008F060E" w:rsidRPr="00E27227">
        <w:rPr>
          <w:rFonts w:ascii="Arial" w:hAnsi="Arial" w:cs="Arial"/>
          <w:lang w:val="es-ES_tradnl"/>
        </w:rPr>
        <w:t>tos directos–APU– y</w:t>
      </w:r>
      <w:r w:rsidR="00112195" w:rsidRPr="00E27227">
        <w:rPr>
          <w:rFonts w:ascii="Arial" w:hAnsi="Arial" w:cs="Arial"/>
          <w:lang w:val="es-ES_tradnl"/>
        </w:rPr>
        <w:t xml:space="preserve"> los costos indirectos–suma equivalente al porcentaje de AIU–</w:t>
      </w:r>
      <w:r w:rsidR="006A1BBB" w:rsidRPr="00E27227">
        <w:rPr>
          <w:rFonts w:ascii="Arial" w:hAnsi="Arial" w:cs="Arial"/>
          <w:lang w:val="es-ES_tradnl"/>
        </w:rPr>
        <w:t>.</w:t>
      </w:r>
    </w:p>
    <w:p w14:paraId="386964C0" w14:textId="0091B6E7" w:rsidR="003336F3" w:rsidRPr="00E27227" w:rsidRDefault="00F87CB6" w:rsidP="00864161">
      <w:pPr>
        <w:spacing w:after="120" w:line="276" w:lineRule="auto"/>
        <w:ind w:firstLine="709"/>
        <w:jc w:val="both"/>
        <w:rPr>
          <w:rFonts w:ascii="Arial" w:hAnsi="Arial" w:cs="Arial"/>
        </w:rPr>
      </w:pPr>
      <w:r w:rsidRPr="00E27227">
        <w:rPr>
          <w:rFonts w:ascii="Arial" w:hAnsi="Arial" w:cs="Arial"/>
          <w:bCs/>
          <w:lang w:val="es-ES_tradnl"/>
        </w:rPr>
        <w:t>De otra parte</w:t>
      </w:r>
      <w:r w:rsidR="00093495" w:rsidRPr="00E27227">
        <w:rPr>
          <w:rFonts w:ascii="Arial" w:hAnsi="Arial" w:cs="Arial"/>
          <w:bCs/>
          <w:lang w:val="es-ES_tradnl"/>
        </w:rPr>
        <w:t>,</w:t>
      </w:r>
      <w:r w:rsidR="007E29B5" w:rsidRPr="00E27227">
        <w:rPr>
          <w:rFonts w:ascii="Arial" w:hAnsi="Arial" w:cs="Arial"/>
          <w:bCs/>
          <w:lang w:val="es-ES_tradnl"/>
        </w:rPr>
        <w:t xml:space="preserve"> </w:t>
      </w:r>
      <w:r w:rsidR="00864161" w:rsidRPr="00E27227">
        <w:rPr>
          <w:rFonts w:ascii="Arial" w:hAnsi="Arial" w:cs="Arial"/>
          <w:bCs/>
          <w:lang w:val="es-ES_tradnl"/>
        </w:rPr>
        <w:t xml:space="preserve">en </w:t>
      </w:r>
      <w:r w:rsidR="0098155A" w:rsidRPr="00E27227">
        <w:rPr>
          <w:rFonts w:ascii="Arial" w:hAnsi="Arial" w:cs="Arial"/>
          <w:bCs/>
          <w:lang w:val="es-ES_tradnl"/>
        </w:rPr>
        <w:t xml:space="preserve">la </w:t>
      </w:r>
      <w:r w:rsidR="00864161" w:rsidRPr="00E27227">
        <w:rPr>
          <w:rFonts w:ascii="Arial" w:hAnsi="Arial" w:cs="Arial"/>
          <w:bCs/>
          <w:lang w:val="es-ES_tradnl"/>
        </w:rPr>
        <w:t xml:space="preserve">estipulación del precio </w:t>
      </w:r>
      <w:r w:rsidR="0098155A" w:rsidRPr="00E27227">
        <w:rPr>
          <w:rFonts w:ascii="Arial" w:hAnsi="Arial" w:cs="Arial"/>
          <w:bCs/>
          <w:lang w:val="es-ES_tradnl"/>
        </w:rPr>
        <w:t>de</w:t>
      </w:r>
      <w:r w:rsidR="00864161" w:rsidRPr="00E27227">
        <w:rPr>
          <w:rFonts w:ascii="Arial" w:hAnsi="Arial" w:cs="Arial"/>
          <w:bCs/>
          <w:lang w:val="es-ES_tradnl"/>
        </w:rPr>
        <w:t xml:space="preserve"> </w:t>
      </w:r>
      <w:r w:rsidR="00656F82" w:rsidRPr="00E27227">
        <w:rPr>
          <w:rFonts w:ascii="Arial" w:hAnsi="Arial" w:cs="Arial"/>
          <w:bCs/>
          <w:lang w:val="es-ES_tradnl"/>
        </w:rPr>
        <w:t xml:space="preserve">los contratos de consultoría es común la </w:t>
      </w:r>
      <w:r w:rsidR="00864161" w:rsidRPr="00E27227">
        <w:rPr>
          <w:rFonts w:ascii="Arial" w:hAnsi="Arial" w:cs="Arial"/>
          <w:bCs/>
          <w:lang w:val="es-ES_tradnl"/>
        </w:rPr>
        <w:t>utilización</w:t>
      </w:r>
      <w:r w:rsidR="00864161" w:rsidRPr="00E27227">
        <w:rPr>
          <w:rFonts w:ascii="Arial" w:hAnsi="Arial" w:cs="Arial"/>
        </w:rPr>
        <w:t xml:space="preserve"> d</w:t>
      </w:r>
      <w:r w:rsidR="00AC5D7B" w:rsidRPr="00696ABB">
        <w:rPr>
          <w:rFonts w:ascii="Arial" w:hAnsi="Arial" w:cs="Arial"/>
        </w:rPr>
        <w:t xml:space="preserve">el </w:t>
      </w:r>
      <w:r w:rsidR="00864161" w:rsidRPr="00E27227">
        <w:rPr>
          <w:rFonts w:ascii="Arial" w:hAnsi="Arial" w:cs="Arial"/>
        </w:rPr>
        <w:t>s</w:t>
      </w:r>
      <w:r w:rsidR="00AC5D7B" w:rsidRPr="00696ABB">
        <w:rPr>
          <w:rFonts w:ascii="Arial" w:hAnsi="Arial" w:cs="Arial"/>
        </w:rPr>
        <w:t xml:space="preserve">istema de </w:t>
      </w:r>
      <w:r w:rsidR="00864161" w:rsidRPr="00E27227">
        <w:rPr>
          <w:rFonts w:ascii="Arial" w:hAnsi="Arial" w:cs="Arial"/>
        </w:rPr>
        <w:t>f</w:t>
      </w:r>
      <w:r w:rsidR="00AC5D7B" w:rsidRPr="00696ABB">
        <w:rPr>
          <w:rFonts w:ascii="Arial" w:hAnsi="Arial" w:cs="Arial"/>
        </w:rPr>
        <w:t xml:space="preserve">actor </w:t>
      </w:r>
      <w:r w:rsidR="00864161" w:rsidRPr="00E27227">
        <w:rPr>
          <w:rFonts w:ascii="Arial" w:hAnsi="Arial" w:cs="Arial"/>
        </w:rPr>
        <w:t>m</w:t>
      </w:r>
      <w:r w:rsidR="00AC5D7B" w:rsidRPr="00696ABB">
        <w:rPr>
          <w:rFonts w:ascii="Arial" w:hAnsi="Arial" w:cs="Arial"/>
        </w:rPr>
        <w:t xml:space="preserve">ultiplicador, </w:t>
      </w:r>
      <w:r w:rsidR="00864161" w:rsidRPr="00E27227">
        <w:rPr>
          <w:rFonts w:ascii="Arial" w:hAnsi="Arial" w:cs="Arial"/>
        </w:rPr>
        <w:t>el cual</w:t>
      </w:r>
      <w:r w:rsidR="00AC5D7B" w:rsidRPr="00696ABB">
        <w:rPr>
          <w:rFonts w:ascii="Arial" w:hAnsi="Arial" w:cs="Arial"/>
        </w:rPr>
        <w:t xml:space="preserve"> </w:t>
      </w:r>
      <w:r w:rsidR="00FF59DE" w:rsidRPr="00E27227">
        <w:rPr>
          <w:rFonts w:ascii="Arial" w:hAnsi="Arial" w:cs="Arial"/>
        </w:rPr>
        <w:t xml:space="preserve">permite </w:t>
      </w:r>
      <w:r w:rsidR="00AC5D7B" w:rsidRPr="00696ABB">
        <w:rPr>
          <w:rFonts w:ascii="Arial" w:hAnsi="Arial" w:cs="Arial"/>
        </w:rPr>
        <w:t xml:space="preserve">imputar al contrato los costos directos </w:t>
      </w:r>
      <w:r w:rsidR="006F0B1C" w:rsidRPr="00E27227">
        <w:rPr>
          <w:rFonts w:ascii="Arial" w:hAnsi="Arial" w:cs="Arial"/>
        </w:rPr>
        <w:t>asociados</w:t>
      </w:r>
      <w:r w:rsidR="006F0B1C" w:rsidRPr="00696ABB">
        <w:rPr>
          <w:rFonts w:ascii="Arial" w:hAnsi="Arial" w:cs="Arial"/>
        </w:rPr>
        <w:t xml:space="preserve"> </w:t>
      </w:r>
      <w:r w:rsidR="006F0B1C" w:rsidRPr="00E27227">
        <w:rPr>
          <w:rFonts w:ascii="Arial" w:hAnsi="Arial" w:cs="Arial"/>
        </w:rPr>
        <w:t>a salarios</w:t>
      </w:r>
      <w:r w:rsidR="006F0B1C" w:rsidRPr="00696ABB">
        <w:rPr>
          <w:rFonts w:ascii="Arial" w:hAnsi="Arial" w:cs="Arial"/>
        </w:rPr>
        <w:t xml:space="preserve"> </w:t>
      </w:r>
      <w:r w:rsidR="00AC5D7B" w:rsidRPr="00696ABB">
        <w:rPr>
          <w:rFonts w:ascii="Arial" w:hAnsi="Arial" w:cs="Arial"/>
        </w:rPr>
        <w:t xml:space="preserve">del personal vinculado con carácter exclusivo al </w:t>
      </w:r>
      <w:proofErr w:type="gramStart"/>
      <w:r w:rsidR="00AC5D7B" w:rsidRPr="00696ABB">
        <w:rPr>
          <w:rFonts w:ascii="Arial" w:hAnsi="Arial" w:cs="Arial"/>
        </w:rPr>
        <w:t>proyecto</w:t>
      </w:r>
      <w:proofErr w:type="gramEnd"/>
      <w:r w:rsidR="00AC5D7B" w:rsidRPr="00696ABB">
        <w:rPr>
          <w:rFonts w:ascii="Arial" w:hAnsi="Arial" w:cs="Arial"/>
        </w:rPr>
        <w:t xml:space="preserve"> </w:t>
      </w:r>
      <w:r w:rsidR="00DB4ED3" w:rsidRPr="00E27227">
        <w:rPr>
          <w:rFonts w:ascii="Arial" w:hAnsi="Arial" w:cs="Arial"/>
        </w:rPr>
        <w:t xml:space="preserve">así como </w:t>
      </w:r>
      <w:r w:rsidR="0098155A" w:rsidRPr="00E27227">
        <w:rPr>
          <w:rFonts w:ascii="Arial" w:hAnsi="Arial" w:cs="Arial"/>
        </w:rPr>
        <w:t xml:space="preserve">conceptos </w:t>
      </w:r>
      <w:r w:rsidR="00DB4ED3" w:rsidRPr="00E27227">
        <w:rPr>
          <w:rFonts w:ascii="Arial" w:hAnsi="Arial" w:cs="Arial"/>
        </w:rPr>
        <w:t xml:space="preserve">asociados a </w:t>
      </w:r>
      <w:r w:rsidR="00AC5D7B" w:rsidRPr="00696ABB">
        <w:rPr>
          <w:rFonts w:ascii="Arial" w:hAnsi="Arial" w:cs="Arial"/>
        </w:rPr>
        <w:t>prestaciones sociales, la utilidad del ingeniero y</w:t>
      </w:r>
      <w:r w:rsidR="00CA5340" w:rsidRPr="00E27227">
        <w:rPr>
          <w:rFonts w:ascii="Arial" w:hAnsi="Arial" w:cs="Arial"/>
        </w:rPr>
        <w:t xml:space="preserve"> los costos </w:t>
      </w:r>
      <w:r w:rsidR="00372727" w:rsidRPr="00E27227">
        <w:rPr>
          <w:rFonts w:ascii="Arial" w:hAnsi="Arial" w:cs="Arial"/>
        </w:rPr>
        <w:t>de</w:t>
      </w:r>
      <w:r w:rsidR="00AC5D7B" w:rsidRPr="00696ABB">
        <w:rPr>
          <w:rFonts w:ascii="Arial" w:hAnsi="Arial" w:cs="Arial"/>
        </w:rPr>
        <w:t xml:space="preserve"> administración</w:t>
      </w:r>
      <w:r w:rsidR="00DB4ED3" w:rsidRPr="00E27227">
        <w:rPr>
          <w:rFonts w:ascii="Arial" w:hAnsi="Arial" w:cs="Arial"/>
        </w:rPr>
        <w:t>,</w:t>
      </w:r>
      <w:r w:rsidR="00C302D5" w:rsidRPr="00E27227">
        <w:rPr>
          <w:rFonts w:ascii="Arial" w:hAnsi="Arial" w:cs="Arial"/>
        </w:rPr>
        <w:t xml:space="preserve"> afectando el valor parcial de la oferta por </w:t>
      </w:r>
      <w:r w:rsidR="004F519A" w:rsidRPr="00E27227">
        <w:rPr>
          <w:rFonts w:ascii="Arial" w:hAnsi="Arial" w:cs="Arial"/>
        </w:rPr>
        <w:t>un factor multiplicador</w:t>
      </w:r>
      <w:r w:rsidR="00F7172E" w:rsidRPr="00E27227">
        <w:rPr>
          <w:rStyle w:val="Refdenotaalpie"/>
          <w:rFonts w:ascii="Arial" w:hAnsi="Arial" w:cs="Arial"/>
        </w:rPr>
        <w:footnoteReference w:id="13"/>
      </w:r>
      <w:r w:rsidR="00AC5D7B" w:rsidRPr="00696ABB">
        <w:rPr>
          <w:rFonts w:ascii="Arial" w:hAnsi="Arial" w:cs="Arial"/>
        </w:rPr>
        <w:t>.</w:t>
      </w:r>
      <w:r w:rsidR="00E00821" w:rsidRPr="00E27227">
        <w:rPr>
          <w:rFonts w:ascii="Arial" w:hAnsi="Arial" w:cs="Arial"/>
        </w:rPr>
        <w:t xml:space="preserve"> </w:t>
      </w:r>
      <w:r w:rsidR="00CF7F26" w:rsidRPr="00E27227">
        <w:rPr>
          <w:rFonts w:ascii="Arial" w:hAnsi="Arial" w:cs="Arial"/>
        </w:rPr>
        <w:t>De esta manera</w:t>
      </w:r>
      <w:r w:rsidR="00AC2760" w:rsidRPr="00E27227">
        <w:rPr>
          <w:rFonts w:ascii="Arial" w:hAnsi="Arial" w:cs="Arial"/>
        </w:rPr>
        <w:t xml:space="preserve"> se obtiene un subtotal de costos directos a partir de la sumatoria de los valores correspondientes los salarios </w:t>
      </w:r>
      <w:r w:rsidR="00BB6A37" w:rsidRPr="00E27227">
        <w:rPr>
          <w:rFonts w:ascii="Arial" w:hAnsi="Arial" w:cs="Arial"/>
        </w:rPr>
        <w:t>del personal</w:t>
      </w:r>
      <w:r w:rsidR="00A14873" w:rsidRPr="00E27227">
        <w:rPr>
          <w:rFonts w:ascii="Arial" w:hAnsi="Arial" w:cs="Arial"/>
        </w:rPr>
        <w:t>, incrementado</w:t>
      </w:r>
      <w:r w:rsidR="00110A73" w:rsidRPr="00E27227">
        <w:rPr>
          <w:rFonts w:ascii="Arial" w:hAnsi="Arial" w:cs="Arial"/>
        </w:rPr>
        <w:t xml:space="preserve"> a partir </w:t>
      </w:r>
      <w:r w:rsidR="00110A73" w:rsidRPr="00E27227">
        <w:rPr>
          <w:rFonts w:ascii="Arial" w:hAnsi="Arial" w:cs="Arial"/>
        </w:rPr>
        <w:lastRenderedPageBreak/>
        <w:t xml:space="preserve">de </w:t>
      </w:r>
      <w:r w:rsidR="00FF59DE" w:rsidRPr="00E27227">
        <w:rPr>
          <w:rFonts w:ascii="Arial" w:hAnsi="Arial" w:cs="Arial"/>
        </w:rPr>
        <w:t>su</w:t>
      </w:r>
      <w:r w:rsidR="00110A73" w:rsidRPr="00E27227">
        <w:rPr>
          <w:rFonts w:ascii="Arial" w:hAnsi="Arial" w:cs="Arial"/>
        </w:rPr>
        <w:t xml:space="preserve"> multiplicación por un factor </w:t>
      </w:r>
      <w:r w:rsidR="00FF59DE" w:rsidRPr="00E27227">
        <w:rPr>
          <w:rFonts w:ascii="Arial" w:hAnsi="Arial" w:cs="Arial"/>
        </w:rPr>
        <w:t xml:space="preserve">que </w:t>
      </w:r>
      <w:r w:rsidR="00110A73" w:rsidRPr="00E27227">
        <w:rPr>
          <w:rFonts w:ascii="Arial" w:hAnsi="Arial" w:cs="Arial"/>
        </w:rPr>
        <w:t xml:space="preserve">suele </w:t>
      </w:r>
      <w:r w:rsidR="0008737C" w:rsidRPr="00E27227">
        <w:rPr>
          <w:rFonts w:ascii="Arial" w:hAnsi="Arial" w:cs="Arial"/>
        </w:rPr>
        <w:t xml:space="preserve">consistir en una cifra de dos dígitos, con una parte entera y otra decimal. </w:t>
      </w:r>
      <w:r w:rsidR="00743AEB" w:rsidRPr="00E27227">
        <w:rPr>
          <w:rFonts w:ascii="Arial" w:hAnsi="Arial" w:cs="Arial"/>
        </w:rPr>
        <w:t>Esto sin perjuicio de la incorporación de otros costos directos como viáticos</w:t>
      </w:r>
      <w:r w:rsidR="00EB27BE" w:rsidRPr="00E27227">
        <w:rPr>
          <w:rFonts w:ascii="Arial" w:hAnsi="Arial" w:cs="Arial"/>
        </w:rPr>
        <w:t xml:space="preserve">, alquiler de equipos, oficinas, </w:t>
      </w:r>
      <w:proofErr w:type="spellStart"/>
      <w:r w:rsidR="00EB27BE" w:rsidRPr="00E27227">
        <w:rPr>
          <w:rFonts w:ascii="Arial" w:hAnsi="Arial" w:cs="Arial"/>
        </w:rPr>
        <w:t>etc</w:t>
      </w:r>
      <w:proofErr w:type="spellEnd"/>
      <w:r w:rsidR="00EB27BE" w:rsidRPr="00E27227">
        <w:rPr>
          <w:rFonts w:ascii="Arial" w:hAnsi="Arial" w:cs="Arial"/>
        </w:rPr>
        <w:t>,</w:t>
      </w:r>
      <w:r w:rsidR="00AB5A2A" w:rsidRPr="00E27227">
        <w:rPr>
          <w:rFonts w:ascii="Arial" w:hAnsi="Arial" w:cs="Arial"/>
        </w:rPr>
        <w:t xml:space="preserve"> cuya discriminación se exige </w:t>
      </w:r>
      <w:r w:rsidR="004425EE" w:rsidRPr="00E27227">
        <w:rPr>
          <w:rFonts w:ascii="Arial" w:hAnsi="Arial" w:cs="Arial"/>
        </w:rPr>
        <w:t>de manera separada de los costos de personal, para ser sumados al valor resultante la aplicación del facto</w:t>
      </w:r>
      <w:r w:rsidR="00FF59DE" w:rsidRPr="00E27227">
        <w:rPr>
          <w:rFonts w:ascii="Arial" w:hAnsi="Arial" w:cs="Arial"/>
        </w:rPr>
        <w:t>r</w:t>
      </w:r>
      <w:r w:rsidR="004425EE" w:rsidRPr="00E27227">
        <w:rPr>
          <w:rFonts w:ascii="Arial" w:hAnsi="Arial" w:cs="Arial"/>
        </w:rPr>
        <w:t xml:space="preserve"> </w:t>
      </w:r>
      <w:r w:rsidR="003336F3" w:rsidRPr="00E27227">
        <w:rPr>
          <w:rFonts w:ascii="Arial" w:hAnsi="Arial" w:cs="Arial"/>
        </w:rPr>
        <w:t xml:space="preserve">multiplicador. </w:t>
      </w:r>
    </w:p>
    <w:p w14:paraId="7BC62FDB" w14:textId="0DCA7EE5" w:rsidR="003B57A1" w:rsidRPr="00E27227" w:rsidRDefault="00DB4ED3" w:rsidP="00E27227">
      <w:pPr>
        <w:spacing w:after="120" w:line="276" w:lineRule="auto"/>
        <w:ind w:firstLine="709"/>
        <w:jc w:val="both"/>
        <w:rPr>
          <w:rFonts w:ascii="Arial" w:hAnsi="Arial" w:cs="Arial"/>
          <w:bCs/>
          <w:lang w:val="es-ES_tradnl"/>
        </w:rPr>
      </w:pPr>
      <w:r w:rsidRPr="00E27227">
        <w:rPr>
          <w:rFonts w:ascii="Arial" w:hAnsi="Arial" w:cs="Arial"/>
        </w:rPr>
        <w:t xml:space="preserve">De acuerdo con esto, </w:t>
      </w:r>
      <w:r w:rsidR="009D7E95" w:rsidRPr="00E27227">
        <w:rPr>
          <w:rFonts w:ascii="Arial" w:hAnsi="Arial" w:cs="Arial"/>
        </w:rPr>
        <w:t>las metodologías señaladas están asociadas</w:t>
      </w:r>
      <w:r w:rsidR="006D68D7" w:rsidRPr="00E27227">
        <w:rPr>
          <w:rFonts w:ascii="Arial" w:hAnsi="Arial" w:cs="Arial"/>
        </w:rPr>
        <w:t>, por un lado,</w:t>
      </w:r>
      <w:r w:rsidR="009D7E95" w:rsidRPr="00E27227">
        <w:rPr>
          <w:rFonts w:ascii="Arial" w:hAnsi="Arial" w:cs="Arial"/>
        </w:rPr>
        <w:t xml:space="preserve"> </w:t>
      </w:r>
      <w:r w:rsidR="006D68D7" w:rsidRPr="00E27227">
        <w:rPr>
          <w:rFonts w:ascii="Arial" w:hAnsi="Arial" w:cs="Arial"/>
        </w:rPr>
        <w:t>a la estimación del valor del contrato por parte de la entidad estatal en el marco de l</w:t>
      </w:r>
      <w:r w:rsidR="00245C23" w:rsidRPr="00E27227">
        <w:rPr>
          <w:rFonts w:ascii="Arial" w:hAnsi="Arial" w:cs="Arial"/>
        </w:rPr>
        <w:t>o requerido por</w:t>
      </w:r>
      <w:r w:rsidR="006D68D7" w:rsidRPr="00E27227">
        <w:rPr>
          <w:rFonts w:ascii="Arial" w:hAnsi="Arial" w:cs="Arial"/>
        </w:rPr>
        <w:t xml:space="preserve"> </w:t>
      </w:r>
      <w:r w:rsidR="007A0DE0" w:rsidRPr="00E27227">
        <w:rPr>
          <w:rFonts w:ascii="Arial" w:hAnsi="Arial" w:cs="Arial"/>
        </w:rPr>
        <w:t xml:space="preserve">la </w:t>
      </w:r>
      <w:r w:rsidR="006D68D7" w:rsidRPr="00E27227">
        <w:rPr>
          <w:rFonts w:ascii="Arial" w:hAnsi="Arial" w:cs="Arial"/>
        </w:rPr>
        <w:t xml:space="preserve">planeación correspondiente, </w:t>
      </w:r>
      <w:proofErr w:type="gramStart"/>
      <w:r w:rsidR="00245C23" w:rsidRPr="00E27227">
        <w:rPr>
          <w:rFonts w:ascii="Arial" w:hAnsi="Arial" w:cs="Arial"/>
        </w:rPr>
        <w:t>y</w:t>
      </w:r>
      <w:proofErr w:type="gramEnd"/>
      <w:r w:rsidR="00245C23" w:rsidRPr="00E27227">
        <w:rPr>
          <w:rFonts w:ascii="Arial" w:hAnsi="Arial" w:cs="Arial"/>
        </w:rPr>
        <w:t xml:space="preserve"> por otro lado, a la determinación del precio del </w:t>
      </w:r>
      <w:r w:rsidR="00262FDB" w:rsidRPr="00E27227">
        <w:rPr>
          <w:rFonts w:ascii="Arial" w:hAnsi="Arial" w:cs="Arial"/>
        </w:rPr>
        <w:t xml:space="preserve">contrato en el marco del proceso de selección, en la medida en que se tornan relevantes para la </w:t>
      </w:r>
      <w:r w:rsidR="009A4D2F" w:rsidRPr="00E27227">
        <w:rPr>
          <w:rFonts w:ascii="Arial" w:hAnsi="Arial" w:cs="Arial"/>
        </w:rPr>
        <w:t xml:space="preserve">presentación de la oferta económica. Sin embargo, </w:t>
      </w:r>
      <w:r w:rsidR="003B57A1" w:rsidRPr="00E27227">
        <w:rPr>
          <w:rFonts w:ascii="Arial" w:hAnsi="Arial" w:cs="Arial"/>
          <w:bCs/>
          <w:lang w:val="es-ES_tradnl"/>
        </w:rPr>
        <w:t xml:space="preserve">debe advertirse que ni el sistema de precios unitarios </w:t>
      </w:r>
      <w:r w:rsidR="00E0487A" w:rsidRPr="00E27227">
        <w:rPr>
          <w:rFonts w:ascii="Arial" w:hAnsi="Arial" w:cs="Arial"/>
          <w:bCs/>
          <w:lang w:val="es-ES_tradnl"/>
        </w:rPr>
        <w:t xml:space="preserve">ni el factor multiplicador </w:t>
      </w:r>
      <w:r w:rsidR="003B57A1" w:rsidRPr="00E27227">
        <w:rPr>
          <w:rFonts w:ascii="Arial" w:hAnsi="Arial" w:cs="Arial"/>
          <w:bCs/>
          <w:lang w:val="es-ES_tradnl"/>
        </w:rPr>
        <w:t xml:space="preserve">son </w:t>
      </w:r>
      <w:r w:rsidR="009A4D2F" w:rsidRPr="00E27227">
        <w:rPr>
          <w:rFonts w:ascii="Arial" w:hAnsi="Arial" w:cs="Arial"/>
          <w:bCs/>
          <w:lang w:val="es-ES_tradnl"/>
        </w:rPr>
        <w:t>asuntos</w:t>
      </w:r>
      <w:r w:rsidR="0049770D" w:rsidRPr="00E27227">
        <w:rPr>
          <w:rFonts w:ascii="Arial" w:hAnsi="Arial" w:cs="Arial"/>
          <w:bCs/>
          <w:lang w:val="es-ES_tradnl"/>
        </w:rPr>
        <w:t xml:space="preserve"> expresamente</w:t>
      </w:r>
      <w:r w:rsidR="003B57A1" w:rsidRPr="00E27227">
        <w:rPr>
          <w:rFonts w:ascii="Arial" w:hAnsi="Arial" w:cs="Arial"/>
          <w:bCs/>
          <w:lang w:val="es-ES_tradnl"/>
        </w:rPr>
        <w:t xml:space="preserve"> regulados en el conjunto de las disposiciones legales y reglamentarias que integran la normativa contractual del Estado. La justificación de esta</w:t>
      </w:r>
      <w:r w:rsidR="00E0487A" w:rsidRPr="00E27227">
        <w:rPr>
          <w:rFonts w:ascii="Arial" w:hAnsi="Arial" w:cs="Arial"/>
          <w:bCs/>
          <w:lang w:val="es-ES_tradnl"/>
        </w:rPr>
        <w:t>s</w:t>
      </w:r>
      <w:r w:rsidR="003B57A1" w:rsidRPr="00E27227">
        <w:rPr>
          <w:rFonts w:ascii="Arial" w:hAnsi="Arial" w:cs="Arial"/>
          <w:bCs/>
          <w:lang w:val="es-ES_tradnl"/>
        </w:rPr>
        <w:t xml:space="preserve"> </w:t>
      </w:r>
      <w:r w:rsidR="00E0487A" w:rsidRPr="00E27227">
        <w:rPr>
          <w:rFonts w:ascii="Arial" w:hAnsi="Arial" w:cs="Arial"/>
          <w:bCs/>
          <w:lang w:val="es-ES_tradnl"/>
        </w:rPr>
        <w:t xml:space="preserve">formas </w:t>
      </w:r>
      <w:r w:rsidR="003B57A1" w:rsidRPr="00E27227">
        <w:rPr>
          <w:rFonts w:ascii="Arial" w:hAnsi="Arial" w:cs="Arial"/>
          <w:bCs/>
          <w:lang w:val="es-ES_tradnl"/>
        </w:rPr>
        <w:t xml:space="preserve">de </w:t>
      </w:r>
      <w:r w:rsidR="00426D19" w:rsidRPr="00E27227">
        <w:rPr>
          <w:rFonts w:ascii="Arial" w:hAnsi="Arial" w:cs="Arial"/>
          <w:bCs/>
          <w:lang w:val="es-ES_tradnl"/>
        </w:rPr>
        <w:t>establecer o cotizar</w:t>
      </w:r>
      <w:r w:rsidR="003B57A1" w:rsidRPr="00E27227">
        <w:rPr>
          <w:rFonts w:ascii="Arial" w:hAnsi="Arial" w:cs="Arial"/>
          <w:bCs/>
          <w:lang w:val="es-ES_tradnl"/>
        </w:rPr>
        <w:t xml:space="preserve"> el precio procede, incluso, de la formación universitaria que reciben los ingenieros, a quienes les enseñan esta metodología para elaborar las ofertas. </w:t>
      </w:r>
      <w:r w:rsidR="00267E16" w:rsidRPr="00E27227">
        <w:rPr>
          <w:rFonts w:ascii="Arial" w:hAnsi="Arial" w:cs="Arial"/>
          <w:bCs/>
          <w:lang w:val="es-ES_tradnl"/>
        </w:rPr>
        <w:t>En ese sentido, estas formas para la configuración del precio del con</w:t>
      </w:r>
      <w:r w:rsidR="001560D0" w:rsidRPr="00E27227">
        <w:rPr>
          <w:rFonts w:ascii="Arial" w:hAnsi="Arial" w:cs="Arial"/>
          <w:bCs/>
          <w:lang w:val="es-ES_tradnl"/>
        </w:rPr>
        <w:t>trato, determinante</w:t>
      </w:r>
      <w:r w:rsidR="00224380" w:rsidRPr="00E27227">
        <w:rPr>
          <w:rFonts w:ascii="Arial" w:hAnsi="Arial" w:cs="Arial"/>
          <w:bCs/>
          <w:lang w:val="es-ES_tradnl"/>
        </w:rPr>
        <w:t>s</w:t>
      </w:r>
      <w:r w:rsidR="001560D0" w:rsidRPr="00E27227">
        <w:rPr>
          <w:rFonts w:ascii="Arial" w:hAnsi="Arial" w:cs="Arial"/>
          <w:bCs/>
          <w:lang w:val="es-ES_tradnl"/>
        </w:rPr>
        <w:t xml:space="preserve"> para la</w:t>
      </w:r>
      <w:r w:rsidR="00224380" w:rsidRPr="00E27227">
        <w:rPr>
          <w:rFonts w:ascii="Arial" w:hAnsi="Arial" w:cs="Arial"/>
          <w:bCs/>
          <w:lang w:val="es-ES_tradnl"/>
        </w:rPr>
        <w:t xml:space="preserve"> elaboración de la</w:t>
      </w:r>
      <w:r w:rsidR="001560D0" w:rsidRPr="00E27227">
        <w:rPr>
          <w:rFonts w:ascii="Arial" w:hAnsi="Arial" w:cs="Arial"/>
          <w:bCs/>
          <w:lang w:val="es-ES_tradnl"/>
        </w:rPr>
        <w:t xml:space="preserve"> propuesta </w:t>
      </w:r>
      <w:r w:rsidR="00224380" w:rsidRPr="00E27227">
        <w:rPr>
          <w:rFonts w:ascii="Arial" w:hAnsi="Arial" w:cs="Arial"/>
          <w:bCs/>
          <w:lang w:val="es-ES_tradnl"/>
        </w:rPr>
        <w:t xml:space="preserve">económica, </w:t>
      </w:r>
      <w:r w:rsidR="003B57A1" w:rsidRPr="00E27227">
        <w:rPr>
          <w:rFonts w:ascii="Arial" w:hAnsi="Arial" w:cs="Arial"/>
          <w:bCs/>
          <w:lang w:val="es-ES_tradnl"/>
        </w:rPr>
        <w:t>no procede</w:t>
      </w:r>
      <w:r w:rsidR="00801FB3" w:rsidRPr="00E27227">
        <w:rPr>
          <w:rFonts w:ascii="Arial" w:hAnsi="Arial" w:cs="Arial"/>
          <w:bCs/>
          <w:lang w:val="es-ES_tradnl"/>
        </w:rPr>
        <w:t>n</w:t>
      </w:r>
      <w:r w:rsidR="003B57A1" w:rsidRPr="00E27227">
        <w:rPr>
          <w:rFonts w:ascii="Arial" w:hAnsi="Arial" w:cs="Arial"/>
          <w:bCs/>
          <w:lang w:val="es-ES_tradnl"/>
        </w:rPr>
        <w:t xml:space="preserve"> de la ley, ni del reglamento,</w:t>
      </w:r>
      <w:r w:rsidR="00801FB3" w:rsidRPr="00E27227">
        <w:rPr>
          <w:rFonts w:ascii="Arial" w:hAnsi="Arial" w:cs="Arial"/>
          <w:bCs/>
          <w:lang w:val="es-ES_tradnl"/>
        </w:rPr>
        <w:t xml:space="preserve"> s</w:t>
      </w:r>
      <w:r w:rsidR="003B57A1" w:rsidRPr="00E27227">
        <w:rPr>
          <w:rFonts w:ascii="Arial" w:hAnsi="Arial" w:cs="Arial"/>
          <w:bCs/>
          <w:lang w:val="es-ES_tradnl"/>
        </w:rPr>
        <w:t>ino de la costumbre</w:t>
      </w:r>
      <w:r w:rsidR="003B57A1" w:rsidRPr="00E27227">
        <w:rPr>
          <w:rStyle w:val="Refdenotaalpie"/>
          <w:rFonts w:ascii="Arial" w:hAnsi="Arial" w:cs="Arial"/>
          <w:lang w:val="es-ES_tradnl"/>
        </w:rPr>
        <w:footnoteReference w:id="14"/>
      </w:r>
      <w:r w:rsidR="003B57A1" w:rsidRPr="00E27227">
        <w:rPr>
          <w:rFonts w:ascii="Arial" w:hAnsi="Arial" w:cs="Arial"/>
          <w:bCs/>
          <w:lang w:val="es-ES_tradnl"/>
        </w:rPr>
        <w:t xml:space="preserve">. </w:t>
      </w:r>
    </w:p>
    <w:p w14:paraId="6CB79270" w14:textId="6A3F578C" w:rsidR="00680BC5" w:rsidRPr="00E27227" w:rsidRDefault="00680BC5" w:rsidP="00AA3557">
      <w:pPr>
        <w:spacing w:after="120" w:line="276" w:lineRule="auto"/>
        <w:ind w:firstLine="709"/>
        <w:jc w:val="both"/>
        <w:rPr>
          <w:rFonts w:ascii="Arial" w:hAnsi="Arial" w:cs="Arial"/>
          <w:color w:val="000000"/>
        </w:rPr>
      </w:pPr>
      <w:r w:rsidRPr="00E27227">
        <w:rPr>
          <w:rFonts w:ascii="Arial" w:hAnsi="Arial" w:cs="Arial"/>
          <w:lang w:val="es-ES_tradnl"/>
        </w:rPr>
        <w:t>S</w:t>
      </w:r>
      <w:r w:rsidR="00AA3557" w:rsidRPr="00E27227">
        <w:rPr>
          <w:rFonts w:ascii="Arial" w:hAnsi="Arial" w:cs="Arial"/>
          <w:lang w:val="es-ES_tradnl"/>
        </w:rPr>
        <w:t>i bien el EGCAP no establece una regulación integral o detallada conforme a la cual se deba dar la estructuración del valor del contrato cuando se usa el sistema de precios unitarios, el Decreto 1082 de 2015 si impone de manera expresa una carga justificativa para las entidades que utilicen dicho sistema. Al respecto, el artículo 2.2.1.1.2.1.1 del Decreto 1082 de 2015, que regula el contenido del estudio del sector, indica en su numeral 4 que: «</w:t>
      </w:r>
      <w:r w:rsidR="00AA3557" w:rsidRPr="00E27227">
        <w:rPr>
          <w:rFonts w:ascii="Arial" w:hAnsi="Arial" w:cs="Arial"/>
          <w:color w:val="000000"/>
        </w:rPr>
        <w:t>Cuando el valor del contrato esté determinado por precios unitarios, la Entidad Estatal debe incluir la forma como los calculó y soportar sus cálculos presupuestales en la estimación de aquello».</w:t>
      </w:r>
      <w:r w:rsidRPr="00E27227">
        <w:rPr>
          <w:rFonts w:ascii="Arial" w:hAnsi="Arial" w:cs="Arial"/>
          <w:color w:val="000000"/>
        </w:rPr>
        <w:t xml:space="preserve"> En todo caso, esta Agencia estima</w:t>
      </w:r>
      <w:r w:rsidR="00D76A31" w:rsidRPr="00E27227">
        <w:rPr>
          <w:rFonts w:ascii="Arial" w:hAnsi="Arial" w:cs="Arial"/>
          <w:color w:val="000000"/>
        </w:rPr>
        <w:t xml:space="preserve"> </w:t>
      </w:r>
      <w:r w:rsidRPr="00E27227">
        <w:rPr>
          <w:rFonts w:ascii="Arial" w:hAnsi="Arial" w:cs="Arial"/>
          <w:color w:val="000000"/>
        </w:rPr>
        <w:t>que</w:t>
      </w:r>
      <w:r w:rsidR="00D76A31" w:rsidRPr="00E27227">
        <w:rPr>
          <w:rFonts w:ascii="Arial" w:hAnsi="Arial" w:cs="Arial"/>
          <w:color w:val="000000"/>
        </w:rPr>
        <w:t xml:space="preserve">, </w:t>
      </w:r>
      <w:r w:rsidRPr="00E27227">
        <w:rPr>
          <w:rFonts w:ascii="Arial" w:hAnsi="Arial" w:cs="Arial"/>
          <w:color w:val="000000"/>
        </w:rPr>
        <w:t xml:space="preserve">si bien el factor multiplicador no aparece mencionado </w:t>
      </w:r>
      <w:r w:rsidR="00D76A31" w:rsidRPr="00E27227">
        <w:rPr>
          <w:rFonts w:ascii="Arial" w:hAnsi="Arial" w:cs="Arial"/>
          <w:color w:val="000000"/>
        </w:rPr>
        <w:t xml:space="preserve">en el referido artículo, ello no implica </w:t>
      </w:r>
      <w:r w:rsidR="00D96062" w:rsidRPr="00E27227">
        <w:rPr>
          <w:rFonts w:ascii="Arial" w:hAnsi="Arial" w:cs="Arial"/>
          <w:color w:val="000000"/>
        </w:rPr>
        <w:t xml:space="preserve">que la entidad esté exenta del deber de incluir </w:t>
      </w:r>
      <w:r w:rsidR="00AF792C" w:rsidRPr="00E27227">
        <w:rPr>
          <w:rFonts w:ascii="Arial" w:hAnsi="Arial" w:cs="Arial"/>
          <w:color w:val="000000"/>
        </w:rPr>
        <w:t>los estudios previos el</w:t>
      </w:r>
      <w:r w:rsidR="00B04E55" w:rsidRPr="00E27227">
        <w:rPr>
          <w:rFonts w:ascii="Arial" w:hAnsi="Arial" w:cs="Arial"/>
          <w:color w:val="000000"/>
        </w:rPr>
        <w:t xml:space="preserve"> análisis en virtud del cual determinó la viabilidad o conveniencia de usar</w:t>
      </w:r>
      <w:r w:rsidR="00AF792C" w:rsidRPr="00E27227">
        <w:rPr>
          <w:rFonts w:ascii="Arial" w:hAnsi="Arial" w:cs="Arial"/>
          <w:color w:val="000000"/>
        </w:rPr>
        <w:t xml:space="preserve"> tal metodología para estimar el valor del contrato, </w:t>
      </w:r>
      <w:r w:rsidR="003B38C4" w:rsidRPr="00E27227">
        <w:rPr>
          <w:rFonts w:ascii="Arial" w:hAnsi="Arial" w:cs="Arial"/>
          <w:color w:val="000000"/>
        </w:rPr>
        <w:t>comoquiera que tal justificación le compete a la entidad en relación con dicho valor, independientemente de la metodología que haya utilizado para calcularlo</w:t>
      </w:r>
      <w:r w:rsidR="00D71038" w:rsidRPr="00E27227">
        <w:rPr>
          <w:rFonts w:ascii="Arial" w:hAnsi="Arial" w:cs="Arial"/>
          <w:color w:val="000000"/>
        </w:rPr>
        <w:t xml:space="preserve">. </w:t>
      </w:r>
    </w:p>
    <w:p w14:paraId="256A911E" w14:textId="2C72C01B" w:rsidR="00847DE6" w:rsidRPr="00E27227" w:rsidRDefault="00542220" w:rsidP="00E27227">
      <w:pPr>
        <w:spacing w:before="120" w:line="276" w:lineRule="auto"/>
        <w:ind w:firstLine="708"/>
        <w:jc w:val="both"/>
        <w:rPr>
          <w:rFonts w:ascii="Arial" w:hAnsi="Arial" w:cs="Arial"/>
          <w:bCs/>
          <w:lang w:val="es-ES_tradnl"/>
        </w:rPr>
      </w:pPr>
      <w:r w:rsidRPr="00E27227">
        <w:rPr>
          <w:rFonts w:ascii="Arial" w:hAnsi="Arial" w:cs="Arial"/>
          <w:bCs/>
          <w:lang w:val="es-ES_tradnl"/>
        </w:rPr>
        <w:t xml:space="preserve">De acuerdo con </w:t>
      </w:r>
      <w:r w:rsidR="00AA3557" w:rsidRPr="00E27227">
        <w:rPr>
          <w:rFonts w:ascii="Arial" w:hAnsi="Arial" w:cs="Arial"/>
          <w:bCs/>
          <w:lang w:val="es-ES_tradnl"/>
        </w:rPr>
        <w:t>lo anterior</w:t>
      </w:r>
      <w:r w:rsidR="002574B2" w:rsidRPr="00E27227">
        <w:rPr>
          <w:rFonts w:ascii="Arial" w:hAnsi="Arial" w:cs="Arial"/>
          <w:bCs/>
          <w:lang w:val="es-ES_tradnl"/>
        </w:rPr>
        <w:t xml:space="preserve">, el </w:t>
      </w:r>
      <w:r w:rsidR="00B1190A" w:rsidRPr="00E27227">
        <w:rPr>
          <w:rFonts w:ascii="Arial" w:hAnsi="Arial" w:cs="Arial"/>
          <w:bCs/>
          <w:lang w:val="es-ES_tradnl"/>
        </w:rPr>
        <w:t xml:space="preserve">principal </w:t>
      </w:r>
      <w:r w:rsidR="002574B2" w:rsidRPr="00E27227">
        <w:rPr>
          <w:rFonts w:ascii="Arial" w:hAnsi="Arial" w:cs="Arial"/>
          <w:bCs/>
          <w:lang w:val="es-ES_tradnl"/>
        </w:rPr>
        <w:t xml:space="preserve">sustento </w:t>
      </w:r>
      <w:r w:rsidR="00B1190A" w:rsidRPr="00E27227">
        <w:rPr>
          <w:rFonts w:ascii="Arial" w:hAnsi="Arial" w:cs="Arial"/>
          <w:bCs/>
          <w:lang w:val="es-ES_tradnl"/>
        </w:rPr>
        <w:t>para</w:t>
      </w:r>
      <w:r w:rsidR="000332A8" w:rsidRPr="00E27227">
        <w:rPr>
          <w:rFonts w:ascii="Arial" w:hAnsi="Arial" w:cs="Arial"/>
          <w:bCs/>
          <w:lang w:val="es-ES_tradnl"/>
        </w:rPr>
        <w:t xml:space="preserve"> que</w:t>
      </w:r>
      <w:r w:rsidRPr="00E27227">
        <w:rPr>
          <w:rFonts w:ascii="Arial" w:hAnsi="Arial" w:cs="Arial"/>
          <w:bCs/>
          <w:lang w:val="es-ES_tradnl"/>
        </w:rPr>
        <w:t xml:space="preserve"> entidades</w:t>
      </w:r>
      <w:r w:rsidR="000332A8" w:rsidRPr="00E27227">
        <w:rPr>
          <w:rFonts w:ascii="Arial" w:hAnsi="Arial" w:cs="Arial"/>
          <w:bCs/>
          <w:lang w:val="es-ES_tradnl"/>
        </w:rPr>
        <w:t xml:space="preserve"> estatales</w:t>
      </w:r>
      <w:r w:rsidRPr="00E27227">
        <w:rPr>
          <w:rFonts w:ascii="Arial" w:hAnsi="Arial" w:cs="Arial"/>
          <w:bCs/>
          <w:lang w:val="es-ES_tradnl"/>
        </w:rPr>
        <w:t xml:space="preserve"> sometidas al Estatuto General de Contratación de la Administración Pública, como las </w:t>
      </w:r>
      <w:r w:rsidRPr="00E27227">
        <w:rPr>
          <w:rFonts w:ascii="Arial" w:hAnsi="Arial" w:cs="Arial"/>
          <w:bCs/>
          <w:lang w:val="es-ES_tradnl"/>
        </w:rPr>
        <w:lastRenderedPageBreak/>
        <w:t>excluidas de este</w:t>
      </w:r>
      <w:r w:rsidR="000332A8" w:rsidRPr="00E27227">
        <w:rPr>
          <w:rFonts w:ascii="Arial" w:hAnsi="Arial" w:cs="Arial"/>
          <w:bCs/>
          <w:lang w:val="es-ES_tradnl"/>
        </w:rPr>
        <w:t>,</w:t>
      </w:r>
      <w:r w:rsidR="00B552C1" w:rsidRPr="00E27227">
        <w:rPr>
          <w:rFonts w:ascii="Arial" w:hAnsi="Arial" w:cs="Arial"/>
          <w:bCs/>
          <w:lang w:val="es-ES_tradnl"/>
        </w:rPr>
        <w:t xml:space="preserve"> aplique</w:t>
      </w:r>
      <w:r w:rsidR="00B1190A" w:rsidRPr="00E27227">
        <w:rPr>
          <w:rFonts w:ascii="Arial" w:hAnsi="Arial" w:cs="Arial"/>
          <w:bCs/>
          <w:lang w:val="es-ES_tradnl"/>
        </w:rPr>
        <w:t>n</w:t>
      </w:r>
      <w:r w:rsidR="00B552C1" w:rsidRPr="00E27227">
        <w:rPr>
          <w:rFonts w:ascii="Arial" w:hAnsi="Arial" w:cs="Arial"/>
          <w:bCs/>
          <w:lang w:val="es-ES_tradnl"/>
        </w:rPr>
        <w:t xml:space="preserve"> las referidas metodologías </w:t>
      </w:r>
      <w:r w:rsidR="00B1190A" w:rsidRPr="00E27227">
        <w:rPr>
          <w:rFonts w:ascii="Arial" w:hAnsi="Arial" w:cs="Arial"/>
          <w:bCs/>
          <w:lang w:val="es-ES_tradnl"/>
        </w:rPr>
        <w:t>es la autonomía de la gozan para estructuración de</w:t>
      </w:r>
      <w:r w:rsidR="00683328" w:rsidRPr="00E27227">
        <w:rPr>
          <w:rFonts w:ascii="Arial" w:hAnsi="Arial" w:cs="Arial"/>
          <w:bCs/>
          <w:lang w:val="es-ES_tradnl"/>
        </w:rPr>
        <w:t xml:space="preserve"> las condiciones del negocio jurídico, </w:t>
      </w:r>
      <w:r w:rsidR="009E1BF1" w:rsidRPr="00E27227">
        <w:rPr>
          <w:rFonts w:ascii="Arial" w:hAnsi="Arial" w:cs="Arial"/>
          <w:bCs/>
          <w:lang w:val="es-ES_tradnl"/>
        </w:rPr>
        <w:t xml:space="preserve">determinado </w:t>
      </w:r>
      <w:r w:rsidRPr="00E27227">
        <w:rPr>
          <w:rFonts w:ascii="Arial" w:hAnsi="Arial" w:cs="Arial"/>
          <w:bCs/>
          <w:lang w:val="es-ES_tradnl"/>
        </w:rPr>
        <w:t xml:space="preserve">el sistema más apropiado para satisfacer los fines de la contratación, respetando los límites previstos en el ordenamiento. </w:t>
      </w:r>
      <w:r w:rsidR="009E1BF1" w:rsidRPr="00E27227">
        <w:rPr>
          <w:rFonts w:ascii="Arial" w:hAnsi="Arial" w:cs="Arial"/>
          <w:bCs/>
          <w:lang w:val="es-ES_tradnl"/>
        </w:rPr>
        <w:t xml:space="preserve">En ese sentido, las entidades </w:t>
      </w:r>
      <w:r w:rsidRPr="00E27227">
        <w:rPr>
          <w:rFonts w:ascii="Arial" w:hAnsi="Arial" w:cs="Arial"/>
          <w:bCs/>
          <w:lang w:val="es-ES_tradnl"/>
        </w:rPr>
        <w:t xml:space="preserve">cuentan con discrecionalidad para </w:t>
      </w:r>
      <w:r w:rsidR="009A3CB4" w:rsidRPr="00E27227">
        <w:rPr>
          <w:rFonts w:ascii="Arial" w:hAnsi="Arial" w:cs="Arial"/>
          <w:bCs/>
          <w:lang w:val="es-ES_tradnl"/>
        </w:rPr>
        <w:t>disponer</w:t>
      </w:r>
      <w:r w:rsidRPr="00E27227">
        <w:rPr>
          <w:rFonts w:ascii="Arial" w:hAnsi="Arial" w:cs="Arial"/>
          <w:bCs/>
          <w:lang w:val="es-ES_tradnl"/>
        </w:rPr>
        <w:t xml:space="preserve"> en el pliego de condiciones o en su documento equivalente, </w:t>
      </w:r>
      <w:r w:rsidR="009E1BF1" w:rsidRPr="00E27227">
        <w:rPr>
          <w:rFonts w:ascii="Arial" w:hAnsi="Arial" w:cs="Arial"/>
          <w:bCs/>
          <w:lang w:val="es-ES_tradnl"/>
        </w:rPr>
        <w:t>la aplicación de metodologías como las explicadas</w:t>
      </w:r>
      <w:r w:rsidR="00EA7143" w:rsidRPr="00E27227">
        <w:rPr>
          <w:rFonts w:ascii="Arial" w:hAnsi="Arial" w:cs="Arial"/>
          <w:bCs/>
          <w:lang w:val="es-ES_tradnl"/>
        </w:rPr>
        <w:t>, siempre que resulten adecuadas y pr</w:t>
      </w:r>
      <w:r w:rsidR="001001B1" w:rsidRPr="00E27227">
        <w:rPr>
          <w:rFonts w:ascii="Arial" w:hAnsi="Arial" w:cs="Arial"/>
          <w:bCs/>
          <w:lang w:val="es-ES_tradnl"/>
        </w:rPr>
        <w:t>oporcionales al objeto del contrato.</w:t>
      </w:r>
    </w:p>
    <w:p w14:paraId="4B1163AF" w14:textId="3EE50EF4" w:rsidR="00847DE6" w:rsidRPr="00E27227" w:rsidRDefault="00C56E89" w:rsidP="00E27227">
      <w:pPr>
        <w:spacing w:before="120" w:line="276" w:lineRule="auto"/>
        <w:ind w:firstLine="708"/>
        <w:jc w:val="both"/>
        <w:rPr>
          <w:rFonts w:ascii="Arial" w:hAnsi="Arial" w:cs="Arial"/>
          <w:bCs/>
          <w:lang w:val="es-ES_tradnl"/>
        </w:rPr>
      </w:pPr>
      <w:r w:rsidRPr="00E27227">
        <w:rPr>
          <w:rFonts w:ascii="Arial" w:hAnsi="Arial" w:cs="Arial"/>
          <w:bCs/>
          <w:lang w:val="es-ES_tradnl"/>
        </w:rPr>
        <w:t>En el marco de dicha discrecionalidad</w:t>
      </w:r>
      <w:r w:rsidR="00C32C68" w:rsidRPr="00E27227">
        <w:rPr>
          <w:rFonts w:ascii="Arial" w:hAnsi="Arial" w:cs="Arial"/>
          <w:bCs/>
          <w:lang w:val="es-ES_tradnl"/>
        </w:rPr>
        <w:t xml:space="preserve"> y ante la</w:t>
      </w:r>
      <w:r w:rsidRPr="00E27227">
        <w:rPr>
          <w:rFonts w:ascii="Arial" w:hAnsi="Arial" w:cs="Arial"/>
          <w:bCs/>
          <w:lang w:val="es-ES_tradnl"/>
        </w:rPr>
        <w:t xml:space="preserve"> a</w:t>
      </w:r>
      <w:r w:rsidR="00191014" w:rsidRPr="00E27227">
        <w:rPr>
          <w:rFonts w:ascii="Arial" w:hAnsi="Arial" w:cs="Arial"/>
          <w:bCs/>
          <w:lang w:val="es-ES_tradnl"/>
        </w:rPr>
        <w:t>usencia de un marco normativo particularmente aplicable a las referidas metodologías, corresponde a las entidades estatales establecer las reglas</w:t>
      </w:r>
      <w:r w:rsidR="00D13997" w:rsidRPr="00E27227">
        <w:rPr>
          <w:rFonts w:ascii="Arial" w:hAnsi="Arial" w:cs="Arial"/>
          <w:bCs/>
          <w:lang w:val="es-ES_tradnl"/>
        </w:rPr>
        <w:t xml:space="preserve"> </w:t>
      </w:r>
      <w:r w:rsidR="00191014" w:rsidRPr="00E27227">
        <w:rPr>
          <w:rFonts w:ascii="Arial" w:hAnsi="Arial" w:cs="Arial"/>
          <w:bCs/>
          <w:lang w:val="es-ES_tradnl"/>
        </w:rPr>
        <w:t xml:space="preserve">para </w:t>
      </w:r>
      <w:r w:rsidR="00D13997" w:rsidRPr="00E27227">
        <w:rPr>
          <w:rFonts w:ascii="Arial" w:hAnsi="Arial" w:cs="Arial"/>
          <w:bCs/>
          <w:lang w:val="es-ES_tradnl"/>
        </w:rPr>
        <w:t>su</w:t>
      </w:r>
      <w:r w:rsidR="00191014" w:rsidRPr="00E27227">
        <w:rPr>
          <w:rFonts w:ascii="Arial" w:hAnsi="Arial" w:cs="Arial"/>
          <w:bCs/>
          <w:lang w:val="es-ES_tradnl"/>
        </w:rPr>
        <w:t xml:space="preserve"> aplicación </w:t>
      </w:r>
      <w:r w:rsidR="001001B1" w:rsidRPr="00E27227">
        <w:rPr>
          <w:rFonts w:ascii="Arial" w:hAnsi="Arial" w:cs="Arial"/>
          <w:bCs/>
          <w:lang w:val="es-ES_tradnl"/>
        </w:rPr>
        <w:t xml:space="preserve">por parte de los proponentes </w:t>
      </w:r>
      <w:r w:rsidR="00D13997" w:rsidRPr="00E27227">
        <w:rPr>
          <w:rFonts w:ascii="Arial" w:hAnsi="Arial" w:cs="Arial"/>
          <w:bCs/>
          <w:lang w:val="es-ES_tradnl"/>
        </w:rPr>
        <w:t xml:space="preserve">en el pliego de condiciones, con el propósito de dar a conocer </w:t>
      </w:r>
      <w:r w:rsidR="001001B1" w:rsidRPr="00E27227">
        <w:rPr>
          <w:rFonts w:ascii="Arial" w:hAnsi="Arial" w:cs="Arial"/>
          <w:bCs/>
          <w:lang w:val="es-ES_tradnl"/>
        </w:rPr>
        <w:t xml:space="preserve">los </w:t>
      </w:r>
      <w:r w:rsidR="00D13997" w:rsidRPr="00E27227">
        <w:rPr>
          <w:rFonts w:ascii="Arial" w:hAnsi="Arial" w:cs="Arial"/>
          <w:bCs/>
          <w:lang w:val="es-ES_tradnl"/>
        </w:rPr>
        <w:t>aspectos deben tener</w:t>
      </w:r>
      <w:r w:rsidR="001001B1" w:rsidRPr="00E27227">
        <w:rPr>
          <w:rFonts w:ascii="Arial" w:hAnsi="Arial" w:cs="Arial"/>
          <w:bCs/>
          <w:lang w:val="es-ES_tradnl"/>
        </w:rPr>
        <w:t>se</w:t>
      </w:r>
      <w:r w:rsidR="00D13997" w:rsidRPr="00E27227">
        <w:rPr>
          <w:rFonts w:ascii="Arial" w:hAnsi="Arial" w:cs="Arial"/>
          <w:bCs/>
          <w:lang w:val="es-ES_tradnl"/>
        </w:rPr>
        <w:t xml:space="preserve"> en cuenta a la hora de configurar sus ofertas. </w:t>
      </w:r>
      <w:r w:rsidR="00DF1BDF" w:rsidRPr="00E27227">
        <w:rPr>
          <w:rFonts w:ascii="Arial" w:hAnsi="Arial" w:cs="Arial"/>
          <w:bCs/>
          <w:lang w:val="es-ES_tradnl"/>
        </w:rPr>
        <w:t>A partir de tales reglas, la entidad podrá exigir el desglose de determinados factores imputables a costos directos</w:t>
      </w:r>
      <w:r w:rsidR="00AA2F79" w:rsidRPr="00E27227">
        <w:rPr>
          <w:rFonts w:ascii="Arial" w:hAnsi="Arial" w:cs="Arial"/>
          <w:bCs/>
          <w:lang w:val="es-ES_tradnl"/>
        </w:rPr>
        <w:t xml:space="preserve"> en determinada manera, realizar una tasación del AIU o el factor multiplicador</w:t>
      </w:r>
      <w:r w:rsidR="00857CB2" w:rsidRPr="00E27227">
        <w:rPr>
          <w:rFonts w:ascii="Arial" w:hAnsi="Arial" w:cs="Arial"/>
          <w:bCs/>
          <w:lang w:val="es-ES_tradnl"/>
        </w:rPr>
        <w:t xml:space="preserve">, y en general, indicar </w:t>
      </w:r>
      <w:r w:rsidR="001D68C7" w:rsidRPr="00E27227">
        <w:rPr>
          <w:rFonts w:ascii="Arial" w:hAnsi="Arial" w:cs="Arial"/>
          <w:bCs/>
          <w:lang w:val="es-ES_tradnl"/>
        </w:rPr>
        <w:t>establecer</w:t>
      </w:r>
      <w:r w:rsidR="00857CB2" w:rsidRPr="00E27227">
        <w:rPr>
          <w:rFonts w:ascii="Arial" w:hAnsi="Arial" w:cs="Arial"/>
          <w:bCs/>
          <w:lang w:val="es-ES_tradnl"/>
        </w:rPr>
        <w:t xml:space="preserve"> </w:t>
      </w:r>
      <w:r w:rsidR="001D68C7" w:rsidRPr="00E27227">
        <w:rPr>
          <w:rFonts w:ascii="Arial" w:hAnsi="Arial" w:cs="Arial"/>
          <w:bCs/>
          <w:lang w:val="es-ES_tradnl"/>
        </w:rPr>
        <w:t>parámetros</w:t>
      </w:r>
      <w:r w:rsidR="00857CB2" w:rsidRPr="00E27227">
        <w:rPr>
          <w:rFonts w:ascii="Arial" w:hAnsi="Arial" w:cs="Arial"/>
          <w:bCs/>
          <w:lang w:val="es-ES_tradnl"/>
        </w:rPr>
        <w:t xml:space="preserve"> </w:t>
      </w:r>
      <w:r w:rsidR="001D68C7" w:rsidRPr="00E27227">
        <w:rPr>
          <w:rFonts w:ascii="Arial" w:hAnsi="Arial" w:cs="Arial"/>
          <w:bCs/>
          <w:lang w:val="es-ES_tradnl"/>
        </w:rPr>
        <w:t>que garanticen</w:t>
      </w:r>
      <w:r w:rsidR="0002213F" w:rsidRPr="00E27227">
        <w:rPr>
          <w:rFonts w:ascii="Arial" w:hAnsi="Arial" w:cs="Arial"/>
          <w:bCs/>
          <w:lang w:val="es-ES_tradnl"/>
        </w:rPr>
        <w:t xml:space="preserve"> </w:t>
      </w:r>
      <w:r w:rsidR="001D68C7" w:rsidRPr="00E27227">
        <w:rPr>
          <w:rFonts w:ascii="Arial" w:hAnsi="Arial" w:cs="Arial"/>
          <w:bCs/>
          <w:lang w:val="es-ES_tradnl"/>
        </w:rPr>
        <w:t xml:space="preserve">el desarrollo de </w:t>
      </w:r>
      <w:r w:rsidR="0002213F" w:rsidRPr="00E27227">
        <w:rPr>
          <w:rFonts w:ascii="Arial" w:hAnsi="Arial" w:cs="Arial"/>
          <w:bCs/>
          <w:lang w:val="es-ES_tradnl"/>
        </w:rPr>
        <w:t>principios de la función administrativa y de la gestión fiscal, dentro de los cuales se halla el principio de economía; postulado que exige la optimización de los recursos públicos.</w:t>
      </w:r>
      <w:r w:rsidR="006238E7" w:rsidRPr="00E27227">
        <w:rPr>
          <w:rFonts w:ascii="Arial" w:hAnsi="Arial" w:cs="Arial"/>
          <w:bCs/>
          <w:lang w:val="es-ES_tradnl"/>
        </w:rPr>
        <w:t xml:space="preserve"> </w:t>
      </w:r>
    </w:p>
    <w:p w14:paraId="722677DD" w14:textId="3CAA4AB7" w:rsidR="00555734" w:rsidRPr="00E27227" w:rsidRDefault="00DE2754" w:rsidP="00AA3557">
      <w:pPr>
        <w:spacing w:before="120" w:line="276" w:lineRule="auto"/>
        <w:ind w:firstLine="708"/>
        <w:jc w:val="both"/>
        <w:rPr>
          <w:rFonts w:ascii="Arial" w:hAnsi="Arial" w:cs="Arial"/>
          <w:bCs/>
          <w:lang w:val="es-ES_tradnl"/>
        </w:rPr>
      </w:pPr>
      <w:r w:rsidRPr="00E27227">
        <w:rPr>
          <w:rFonts w:ascii="Arial" w:hAnsi="Arial" w:cs="Arial"/>
          <w:bCs/>
          <w:lang w:val="es-ES_tradnl"/>
        </w:rPr>
        <w:t xml:space="preserve">En consonancia con lo manifestado </w:t>
      </w:r>
      <w:r w:rsidR="006A1BBB" w:rsidRPr="00E27227">
        <w:rPr>
          <w:rFonts w:ascii="Arial" w:hAnsi="Arial" w:cs="Arial"/>
          <w:bCs/>
          <w:lang w:val="es-ES_tradnl"/>
        </w:rPr>
        <w:t>debe advertirse que</w:t>
      </w:r>
      <w:r w:rsidR="006F5FF6" w:rsidRPr="00E27227">
        <w:rPr>
          <w:rFonts w:ascii="Arial" w:hAnsi="Arial" w:cs="Arial"/>
          <w:bCs/>
          <w:lang w:val="es-ES_tradnl"/>
        </w:rPr>
        <w:t>,</w:t>
      </w:r>
      <w:r w:rsidR="006A1BBB" w:rsidRPr="00E27227">
        <w:rPr>
          <w:rFonts w:ascii="Arial" w:hAnsi="Arial" w:cs="Arial"/>
          <w:bCs/>
          <w:lang w:val="es-ES_tradnl"/>
        </w:rPr>
        <w:t xml:space="preserve"> si bien dentro de los precios estructurados a través de los </w:t>
      </w:r>
      <w:r w:rsidR="00F45EDA" w:rsidRPr="00E27227">
        <w:rPr>
          <w:rFonts w:ascii="Arial" w:hAnsi="Arial" w:cs="Arial"/>
          <w:bCs/>
          <w:lang w:val="es-ES_tradnl"/>
        </w:rPr>
        <w:t>ambos</w:t>
      </w:r>
      <w:r w:rsidR="006A1BBB" w:rsidRPr="00E27227">
        <w:rPr>
          <w:rFonts w:ascii="Arial" w:hAnsi="Arial" w:cs="Arial"/>
          <w:bCs/>
          <w:lang w:val="es-ES_tradnl"/>
        </w:rPr>
        <w:t xml:space="preserve"> </w:t>
      </w:r>
      <w:r w:rsidR="00372398" w:rsidRPr="00E27227">
        <w:rPr>
          <w:rFonts w:ascii="Arial" w:hAnsi="Arial" w:cs="Arial"/>
          <w:bCs/>
          <w:lang w:val="es-ES_tradnl"/>
        </w:rPr>
        <w:t>sistemas es común que se incluyan los costos directos</w:t>
      </w:r>
      <w:r w:rsidR="00F45EDA" w:rsidRPr="00E27227">
        <w:rPr>
          <w:rFonts w:ascii="Arial" w:hAnsi="Arial" w:cs="Arial"/>
          <w:bCs/>
          <w:lang w:val="es-ES_tradnl"/>
        </w:rPr>
        <w:t xml:space="preserve"> </w:t>
      </w:r>
      <w:r w:rsidRPr="00E27227">
        <w:rPr>
          <w:rFonts w:ascii="Arial" w:hAnsi="Arial" w:cs="Arial"/>
          <w:bCs/>
          <w:lang w:val="es-ES_tradnl"/>
        </w:rPr>
        <w:t>en los que debe incurrir el contratista por cuenta del</w:t>
      </w:r>
      <w:r w:rsidR="00372398" w:rsidRPr="00E27227">
        <w:rPr>
          <w:rFonts w:ascii="Arial" w:hAnsi="Arial" w:cs="Arial"/>
          <w:bCs/>
          <w:lang w:val="es-ES_tradnl"/>
        </w:rPr>
        <w:t xml:space="preserve"> personal requerido para </w:t>
      </w:r>
      <w:r w:rsidRPr="00E27227">
        <w:rPr>
          <w:rFonts w:ascii="Arial" w:hAnsi="Arial" w:cs="Arial"/>
          <w:bCs/>
          <w:lang w:val="es-ES_tradnl"/>
        </w:rPr>
        <w:t>la ejecución</w:t>
      </w:r>
      <w:r w:rsidR="00372398" w:rsidRPr="00E27227">
        <w:rPr>
          <w:rFonts w:ascii="Arial" w:hAnsi="Arial" w:cs="Arial"/>
          <w:bCs/>
          <w:lang w:val="es-ES_tradnl"/>
        </w:rPr>
        <w:t xml:space="preserve"> del objeto contractual</w:t>
      </w:r>
      <w:r w:rsidR="00F45EDA" w:rsidRPr="00E27227">
        <w:rPr>
          <w:rFonts w:ascii="Arial" w:hAnsi="Arial" w:cs="Arial"/>
          <w:bCs/>
          <w:lang w:val="es-ES_tradnl"/>
        </w:rPr>
        <w:t xml:space="preserve">, </w:t>
      </w:r>
      <w:r w:rsidR="00D51FED" w:rsidRPr="00E27227">
        <w:rPr>
          <w:rFonts w:ascii="Arial" w:hAnsi="Arial" w:cs="Arial"/>
          <w:bCs/>
          <w:lang w:val="es-ES_tradnl"/>
        </w:rPr>
        <w:t xml:space="preserve">ello no implica un condicionamiento </w:t>
      </w:r>
      <w:r w:rsidR="00A658B3" w:rsidRPr="00E27227">
        <w:rPr>
          <w:rFonts w:ascii="Arial" w:hAnsi="Arial" w:cs="Arial"/>
          <w:bCs/>
          <w:lang w:val="es-ES_tradnl"/>
        </w:rPr>
        <w:t xml:space="preserve">de la relación negocial, contractual o laboral entre el contratista y las personas que integran dicho personal. Esto en la medida en que </w:t>
      </w:r>
      <w:r w:rsidR="005B3F0B" w:rsidRPr="00E27227">
        <w:rPr>
          <w:rFonts w:ascii="Arial" w:hAnsi="Arial" w:cs="Arial"/>
          <w:bCs/>
          <w:lang w:val="es-ES_tradnl"/>
        </w:rPr>
        <w:t xml:space="preserve">dichas relaciones son un asunto de </w:t>
      </w:r>
      <w:r w:rsidR="0020580D" w:rsidRPr="00E27227">
        <w:rPr>
          <w:rFonts w:ascii="Arial" w:hAnsi="Arial" w:cs="Arial"/>
          <w:bCs/>
          <w:lang w:val="es-ES_tradnl"/>
        </w:rPr>
        <w:t>órbita</w:t>
      </w:r>
      <w:r w:rsidR="005B3F0B" w:rsidRPr="00E27227">
        <w:rPr>
          <w:rFonts w:ascii="Arial" w:hAnsi="Arial" w:cs="Arial"/>
          <w:bCs/>
          <w:lang w:val="es-ES_tradnl"/>
        </w:rPr>
        <w:t xml:space="preserve"> del contratista</w:t>
      </w:r>
      <w:r w:rsidR="00184814" w:rsidRPr="00E27227">
        <w:rPr>
          <w:rFonts w:ascii="Arial" w:hAnsi="Arial" w:cs="Arial"/>
          <w:bCs/>
          <w:lang w:val="es-ES_tradnl"/>
        </w:rPr>
        <w:t>, quien</w:t>
      </w:r>
      <w:r w:rsidR="009C089D" w:rsidRPr="00E27227">
        <w:rPr>
          <w:rFonts w:ascii="Arial" w:hAnsi="Arial" w:cs="Arial"/>
          <w:bCs/>
          <w:lang w:val="es-ES_tradnl"/>
        </w:rPr>
        <w:t>,</w:t>
      </w:r>
      <w:r w:rsidR="00184814" w:rsidRPr="00E27227">
        <w:rPr>
          <w:rFonts w:ascii="Arial" w:hAnsi="Arial" w:cs="Arial"/>
          <w:bCs/>
          <w:lang w:val="es-ES_tradnl"/>
        </w:rPr>
        <w:t xml:space="preserve"> </w:t>
      </w:r>
      <w:r w:rsidR="00F43499" w:rsidRPr="00E27227">
        <w:rPr>
          <w:rFonts w:ascii="Arial" w:hAnsi="Arial" w:cs="Arial"/>
          <w:bCs/>
          <w:lang w:val="es-ES_tradnl"/>
        </w:rPr>
        <w:t xml:space="preserve">al margen </w:t>
      </w:r>
      <w:r w:rsidR="00184814" w:rsidRPr="00E27227">
        <w:rPr>
          <w:rFonts w:ascii="Arial" w:hAnsi="Arial" w:cs="Arial"/>
          <w:bCs/>
          <w:lang w:val="es-ES_tradnl"/>
        </w:rPr>
        <w:t xml:space="preserve">de la supervisión que ejerza la entidad, </w:t>
      </w:r>
      <w:r w:rsidR="009C089D" w:rsidRPr="00E27227">
        <w:rPr>
          <w:rFonts w:ascii="Arial" w:hAnsi="Arial" w:cs="Arial"/>
          <w:bCs/>
          <w:lang w:val="es-ES_tradnl"/>
        </w:rPr>
        <w:t>goza de independencia técnica en la ejecución del objeto contractual</w:t>
      </w:r>
      <w:r w:rsidR="002A3FEA" w:rsidRPr="00E27227">
        <w:rPr>
          <w:rFonts w:ascii="Arial" w:hAnsi="Arial" w:cs="Arial"/>
          <w:bCs/>
          <w:lang w:val="es-ES_tradnl"/>
        </w:rPr>
        <w:t xml:space="preserve">, por lo que las actuaciones que deba desarrollar </w:t>
      </w:r>
      <w:r w:rsidR="00F43499" w:rsidRPr="00E27227">
        <w:rPr>
          <w:rFonts w:ascii="Arial" w:hAnsi="Arial" w:cs="Arial"/>
          <w:bCs/>
          <w:lang w:val="es-ES_tradnl"/>
        </w:rPr>
        <w:t xml:space="preserve">para </w:t>
      </w:r>
      <w:r w:rsidR="002A3FEA" w:rsidRPr="00E27227">
        <w:rPr>
          <w:rFonts w:ascii="Arial" w:hAnsi="Arial" w:cs="Arial"/>
          <w:bCs/>
          <w:lang w:val="es-ES_tradnl"/>
        </w:rPr>
        <w:t>cumplir e</w:t>
      </w:r>
      <w:r w:rsidR="00F43499" w:rsidRPr="00E27227">
        <w:rPr>
          <w:rFonts w:ascii="Arial" w:hAnsi="Arial" w:cs="Arial"/>
          <w:bCs/>
          <w:lang w:val="es-ES_tradnl"/>
        </w:rPr>
        <w:t xml:space="preserve">l contrato </w:t>
      </w:r>
      <w:r w:rsidR="002A3FEA" w:rsidRPr="00E27227">
        <w:rPr>
          <w:rFonts w:ascii="Arial" w:hAnsi="Arial" w:cs="Arial"/>
          <w:bCs/>
          <w:lang w:val="es-ES_tradnl"/>
        </w:rPr>
        <w:t xml:space="preserve">se encuentran en gran medida determinadas por la libertad de empresa y </w:t>
      </w:r>
      <w:r w:rsidR="00F43499" w:rsidRPr="00E27227">
        <w:rPr>
          <w:rFonts w:ascii="Arial" w:hAnsi="Arial" w:cs="Arial"/>
          <w:bCs/>
          <w:lang w:val="es-ES_tradnl"/>
        </w:rPr>
        <w:t xml:space="preserve">la autonomía de la voluntad. </w:t>
      </w:r>
    </w:p>
    <w:p w14:paraId="20939752" w14:textId="58E54D70" w:rsidR="00E35C47" w:rsidRPr="00E27227" w:rsidRDefault="009C398F" w:rsidP="00E27227">
      <w:pPr>
        <w:spacing w:before="120" w:line="276" w:lineRule="auto"/>
        <w:ind w:firstLine="708"/>
        <w:jc w:val="both"/>
        <w:rPr>
          <w:rFonts w:ascii="Arial" w:hAnsi="Arial" w:cs="Arial"/>
          <w:bCs/>
          <w:lang w:val="es-ES_tradnl"/>
        </w:rPr>
      </w:pPr>
      <w:r w:rsidRPr="00E27227">
        <w:rPr>
          <w:rFonts w:ascii="Arial" w:hAnsi="Arial" w:cs="Arial"/>
          <w:bCs/>
          <w:lang w:val="es-ES_tradnl"/>
        </w:rPr>
        <w:t xml:space="preserve">Sin perjuicio de lo anterior, es menester advertir que, dado el especial carácter técnico del contrato de consultoría, </w:t>
      </w:r>
      <w:r w:rsidR="00D85685" w:rsidRPr="00E27227">
        <w:rPr>
          <w:rFonts w:ascii="Arial" w:hAnsi="Arial" w:cs="Arial"/>
          <w:bCs/>
          <w:lang w:val="es-ES_tradnl"/>
        </w:rPr>
        <w:t>el personal que participa de su ejecución es sumamente importante para</w:t>
      </w:r>
      <w:r w:rsidR="00004386" w:rsidRPr="00E27227">
        <w:rPr>
          <w:rFonts w:ascii="Arial" w:hAnsi="Arial" w:cs="Arial"/>
          <w:bCs/>
          <w:lang w:val="es-ES_tradnl"/>
        </w:rPr>
        <w:t xml:space="preserve"> la calidad </w:t>
      </w:r>
      <w:r w:rsidR="00475B3F" w:rsidRPr="00E27227">
        <w:rPr>
          <w:rFonts w:ascii="Arial" w:hAnsi="Arial" w:cs="Arial"/>
          <w:bCs/>
          <w:lang w:val="es-ES_tradnl"/>
        </w:rPr>
        <w:t>y debido cumplimiento del objeto</w:t>
      </w:r>
      <w:r w:rsidR="00532612" w:rsidRPr="00E27227">
        <w:rPr>
          <w:rFonts w:ascii="Arial" w:hAnsi="Arial" w:cs="Arial"/>
          <w:bCs/>
          <w:lang w:val="es-ES_tradnl"/>
        </w:rPr>
        <w:t>.</w:t>
      </w:r>
      <w:r w:rsidR="00004386" w:rsidRPr="00E27227">
        <w:rPr>
          <w:rFonts w:ascii="Arial" w:hAnsi="Arial" w:cs="Arial"/>
          <w:bCs/>
          <w:lang w:val="es-ES_tradnl"/>
        </w:rPr>
        <w:t xml:space="preserve"> </w:t>
      </w:r>
      <w:r w:rsidR="00475B3F" w:rsidRPr="00E27227">
        <w:rPr>
          <w:rFonts w:ascii="Arial" w:hAnsi="Arial" w:cs="Arial"/>
          <w:bCs/>
          <w:lang w:val="es-ES_tradnl"/>
        </w:rPr>
        <w:t xml:space="preserve">Es </w:t>
      </w:r>
      <w:r w:rsidR="00C142C2" w:rsidRPr="00E27227">
        <w:rPr>
          <w:rFonts w:ascii="Arial" w:hAnsi="Arial" w:cs="Arial"/>
          <w:bCs/>
          <w:lang w:val="es-ES_tradnl"/>
        </w:rPr>
        <w:t>por esto</w:t>
      </w:r>
      <w:r w:rsidR="00010577" w:rsidRPr="00E27227">
        <w:rPr>
          <w:rFonts w:ascii="Arial" w:hAnsi="Arial" w:cs="Arial"/>
          <w:bCs/>
          <w:lang w:val="es-ES_tradnl"/>
        </w:rPr>
        <w:t xml:space="preserve"> </w:t>
      </w:r>
      <w:r w:rsidR="00AA735F" w:rsidRPr="00E27227">
        <w:rPr>
          <w:rFonts w:ascii="Arial" w:hAnsi="Arial" w:cs="Arial"/>
          <w:bCs/>
          <w:lang w:val="es-ES_tradnl"/>
        </w:rPr>
        <w:t xml:space="preserve">por lo </w:t>
      </w:r>
      <w:r w:rsidR="00C142C2" w:rsidRPr="00E27227">
        <w:rPr>
          <w:rFonts w:ascii="Arial" w:hAnsi="Arial" w:cs="Arial"/>
          <w:bCs/>
          <w:lang w:val="es-ES_tradnl"/>
        </w:rPr>
        <w:t>que</w:t>
      </w:r>
      <w:r w:rsidR="00AA735F" w:rsidRPr="00E27227">
        <w:rPr>
          <w:rFonts w:ascii="Arial" w:hAnsi="Arial" w:cs="Arial"/>
          <w:bCs/>
          <w:lang w:val="es-ES_tradnl"/>
        </w:rPr>
        <w:t>,</w:t>
      </w:r>
      <w:r w:rsidR="00532612" w:rsidRPr="00E27227">
        <w:rPr>
          <w:rFonts w:ascii="Arial" w:hAnsi="Arial" w:cs="Arial"/>
          <w:bCs/>
          <w:lang w:val="es-ES_tradnl"/>
        </w:rPr>
        <w:t xml:space="preserve"> en</w:t>
      </w:r>
      <w:r w:rsidR="00C142C2" w:rsidRPr="00E27227">
        <w:rPr>
          <w:rFonts w:ascii="Arial" w:hAnsi="Arial" w:cs="Arial"/>
          <w:bCs/>
          <w:lang w:val="es-ES_tradnl"/>
        </w:rPr>
        <w:t xml:space="preserve"> los procesos de concurso de méritos</w:t>
      </w:r>
      <w:r w:rsidR="00532612" w:rsidRPr="00E27227">
        <w:rPr>
          <w:rFonts w:ascii="Arial" w:hAnsi="Arial" w:cs="Arial"/>
          <w:bCs/>
          <w:lang w:val="es-ES_tradnl"/>
        </w:rPr>
        <w:t xml:space="preserve"> para la contratación de consultores</w:t>
      </w:r>
      <w:r w:rsidR="00275491" w:rsidRPr="00E27227">
        <w:rPr>
          <w:rFonts w:ascii="Arial" w:hAnsi="Arial" w:cs="Arial"/>
          <w:bCs/>
          <w:lang w:val="es-ES_tradnl"/>
        </w:rPr>
        <w:t xml:space="preserve"> la entidad debe </w:t>
      </w:r>
      <w:r w:rsidR="00532612" w:rsidRPr="00E27227">
        <w:rPr>
          <w:rFonts w:ascii="Arial" w:hAnsi="Arial" w:cs="Arial"/>
          <w:bCs/>
          <w:lang w:val="es-ES_tradnl"/>
        </w:rPr>
        <w:t xml:space="preserve">establecer unos </w:t>
      </w:r>
      <w:r w:rsidR="00611E84" w:rsidRPr="00E27227">
        <w:rPr>
          <w:rFonts w:ascii="Arial" w:hAnsi="Arial" w:cs="Arial"/>
          <w:bCs/>
          <w:lang w:val="es-ES_tradnl"/>
        </w:rPr>
        <w:t>requisitos mínimos de experiencia</w:t>
      </w:r>
      <w:r w:rsidR="00275491" w:rsidRPr="00E27227">
        <w:rPr>
          <w:rFonts w:ascii="Arial" w:hAnsi="Arial" w:cs="Arial"/>
          <w:bCs/>
          <w:lang w:val="es-ES_tradnl"/>
        </w:rPr>
        <w:t xml:space="preserve"> </w:t>
      </w:r>
      <w:r w:rsidR="00611E84" w:rsidRPr="00E27227">
        <w:rPr>
          <w:rFonts w:ascii="Arial" w:hAnsi="Arial" w:cs="Arial"/>
          <w:bCs/>
          <w:lang w:val="es-ES_tradnl"/>
        </w:rPr>
        <w:t>y preparación académica tanto para el proponente como para el equipo de trabajo requerido para la ejecución del contrato</w:t>
      </w:r>
      <w:r w:rsidR="00AE77B1" w:rsidRPr="00E27227">
        <w:rPr>
          <w:rFonts w:ascii="Arial" w:hAnsi="Arial" w:cs="Arial"/>
          <w:bCs/>
          <w:lang w:val="es-ES_tradnl"/>
        </w:rPr>
        <w:t>. En el mismo sentido, y en atención a lo dispuesto en el artículo 5-3 de la Ley 1150 de 2007,</w:t>
      </w:r>
      <w:r w:rsidR="00AA735F" w:rsidRPr="00E27227">
        <w:rPr>
          <w:rFonts w:ascii="Arial" w:hAnsi="Arial" w:cs="Arial"/>
          <w:bCs/>
          <w:lang w:val="es-ES_tradnl"/>
        </w:rPr>
        <w:t xml:space="preserve"> la </w:t>
      </w:r>
      <w:r w:rsidR="00AA735F" w:rsidRPr="00E27227">
        <w:rPr>
          <w:rFonts w:ascii="Arial" w:hAnsi="Arial" w:cs="Arial"/>
          <w:bCs/>
          <w:lang w:val="es-ES_tradnl"/>
        </w:rPr>
        <w:lastRenderedPageBreak/>
        <w:t>preparación académica y la experiencia del proponente pueden ser objeto de</w:t>
      </w:r>
      <w:r w:rsidR="00E35C47" w:rsidRPr="00E27227">
        <w:rPr>
          <w:rFonts w:ascii="Arial" w:hAnsi="Arial" w:cs="Arial"/>
          <w:bCs/>
          <w:lang w:val="es-ES_tradnl"/>
        </w:rPr>
        <w:t xml:space="preserve"> valoración para la comparación de ofertas</w:t>
      </w:r>
      <w:r w:rsidR="00304B47" w:rsidRPr="00E27227">
        <w:rPr>
          <w:rFonts w:ascii="Arial" w:hAnsi="Arial" w:cs="Arial"/>
          <w:bCs/>
          <w:lang w:val="es-ES_tradnl"/>
        </w:rPr>
        <w:t xml:space="preserve"> y otorgamiento de puntajes</w:t>
      </w:r>
      <w:r w:rsidR="007C297C" w:rsidRPr="00E27227">
        <w:rPr>
          <w:rFonts w:ascii="Arial" w:hAnsi="Arial" w:cs="Arial"/>
          <w:bCs/>
          <w:lang w:val="es-ES_tradnl"/>
        </w:rPr>
        <w:t xml:space="preserve">, estando </w:t>
      </w:r>
      <w:r w:rsidR="00A56D11" w:rsidRPr="00E27227">
        <w:rPr>
          <w:rFonts w:ascii="Arial" w:hAnsi="Arial" w:cs="Arial"/>
          <w:bCs/>
          <w:lang w:val="es-ES_tradnl"/>
        </w:rPr>
        <w:t>prohibida la ponderación del precio de cara a la selección</w:t>
      </w:r>
      <w:r w:rsidR="00134637" w:rsidRPr="00E27227">
        <w:rPr>
          <w:rFonts w:ascii="Arial" w:hAnsi="Arial" w:cs="Arial"/>
          <w:bCs/>
          <w:lang w:val="es-ES_tradnl"/>
        </w:rPr>
        <w:t xml:space="preserve">, </w:t>
      </w:r>
      <w:r w:rsidR="00715FBE" w:rsidRPr="00E27227">
        <w:rPr>
          <w:rFonts w:ascii="Arial" w:hAnsi="Arial" w:cs="Arial"/>
          <w:bCs/>
          <w:lang w:val="es-ES_tradnl"/>
        </w:rPr>
        <w:t>a diferencia de l</w:t>
      </w:r>
      <w:r w:rsidR="00134637" w:rsidRPr="00E27227">
        <w:rPr>
          <w:rFonts w:ascii="Arial" w:hAnsi="Arial" w:cs="Arial"/>
          <w:bCs/>
          <w:lang w:val="es-ES_tradnl"/>
        </w:rPr>
        <w:t xml:space="preserve">o que sucede con los procedimientos en los que la selección objetiva está regida por el artículo </w:t>
      </w:r>
      <w:r w:rsidR="005E6F1C" w:rsidRPr="00E27227">
        <w:rPr>
          <w:rFonts w:ascii="Arial" w:hAnsi="Arial" w:cs="Arial"/>
          <w:bCs/>
          <w:lang w:val="es-ES_tradnl"/>
        </w:rPr>
        <w:t>5-2 de mencionada ley</w:t>
      </w:r>
      <w:r w:rsidR="00A56D11" w:rsidRPr="00E27227">
        <w:rPr>
          <w:rFonts w:ascii="Arial" w:hAnsi="Arial" w:cs="Arial"/>
          <w:bCs/>
          <w:lang w:val="es-ES_tradnl"/>
        </w:rPr>
        <w:t xml:space="preserve">. </w:t>
      </w:r>
      <w:r w:rsidR="008843B0" w:rsidRPr="00E27227">
        <w:rPr>
          <w:rFonts w:ascii="Arial" w:hAnsi="Arial" w:cs="Arial"/>
          <w:bCs/>
          <w:lang w:val="es-ES_tradnl"/>
        </w:rPr>
        <w:t xml:space="preserve"> </w:t>
      </w:r>
    </w:p>
    <w:p w14:paraId="6A6066D6" w14:textId="7AAAB475" w:rsidR="00B841BB" w:rsidRPr="00E27227" w:rsidRDefault="008843B0" w:rsidP="00E27227">
      <w:pPr>
        <w:spacing w:before="120" w:after="120" w:line="276" w:lineRule="auto"/>
        <w:ind w:firstLine="709"/>
        <w:jc w:val="both"/>
        <w:rPr>
          <w:rFonts w:ascii="Arial" w:hAnsi="Arial" w:cs="Arial"/>
          <w:bCs/>
          <w:lang w:val="es-ES_tradnl"/>
        </w:rPr>
      </w:pPr>
      <w:r w:rsidRPr="00E27227">
        <w:rPr>
          <w:rFonts w:ascii="Arial" w:hAnsi="Arial" w:cs="Arial"/>
          <w:bCs/>
          <w:lang w:val="es-ES_tradnl"/>
        </w:rPr>
        <w:t>En virtud de lo anterior, bien podría una entidad estatal</w:t>
      </w:r>
      <w:r w:rsidR="00284582" w:rsidRPr="00E27227">
        <w:rPr>
          <w:rFonts w:ascii="Arial" w:hAnsi="Arial" w:cs="Arial"/>
          <w:bCs/>
          <w:lang w:val="es-ES_tradnl"/>
        </w:rPr>
        <w:t xml:space="preserve"> en el marco de un concurso de méritos</w:t>
      </w:r>
      <w:r w:rsidRPr="00E27227">
        <w:rPr>
          <w:rFonts w:ascii="Arial" w:hAnsi="Arial" w:cs="Arial"/>
          <w:bCs/>
          <w:lang w:val="es-ES_tradnl"/>
        </w:rPr>
        <w:t xml:space="preserve"> </w:t>
      </w:r>
      <w:r w:rsidR="007F1F9A" w:rsidRPr="00E27227">
        <w:rPr>
          <w:rFonts w:ascii="Arial" w:hAnsi="Arial" w:cs="Arial"/>
          <w:bCs/>
          <w:lang w:val="es-ES_tradnl"/>
        </w:rPr>
        <w:t xml:space="preserve">exigir a los proponentes </w:t>
      </w:r>
      <w:r w:rsidR="00284582" w:rsidRPr="00E27227">
        <w:rPr>
          <w:rFonts w:ascii="Arial" w:hAnsi="Arial" w:cs="Arial"/>
          <w:bCs/>
          <w:lang w:val="es-ES_tradnl"/>
        </w:rPr>
        <w:t>presenta</w:t>
      </w:r>
      <w:r w:rsidR="00EB246A" w:rsidRPr="00E27227">
        <w:rPr>
          <w:rFonts w:ascii="Arial" w:hAnsi="Arial" w:cs="Arial"/>
          <w:bCs/>
          <w:lang w:val="es-ES_tradnl"/>
        </w:rPr>
        <w:t xml:space="preserve">r hojas de vida de personas que cumplan con los perfiles exigidos </w:t>
      </w:r>
      <w:r w:rsidR="00023FB9" w:rsidRPr="00E27227">
        <w:rPr>
          <w:rFonts w:ascii="Arial" w:hAnsi="Arial" w:cs="Arial"/>
          <w:bCs/>
          <w:lang w:val="es-ES_tradnl"/>
        </w:rPr>
        <w:t xml:space="preserve">o, en su defecto, requerir una declaración mediante la que el proponente se comprometa a </w:t>
      </w:r>
      <w:r w:rsidR="00077692" w:rsidRPr="00E27227">
        <w:rPr>
          <w:rFonts w:ascii="Arial" w:hAnsi="Arial" w:cs="Arial"/>
          <w:bCs/>
          <w:lang w:val="es-ES_tradnl"/>
        </w:rPr>
        <w:t>ejecutar el contrato con</w:t>
      </w:r>
      <w:r w:rsidR="00F546AD" w:rsidRPr="00E27227">
        <w:rPr>
          <w:rFonts w:ascii="Arial" w:hAnsi="Arial" w:cs="Arial"/>
          <w:bCs/>
          <w:lang w:val="es-ES_tradnl"/>
        </w:rPr>
        <w:t xml:space="preserve"> un equipo de trabajo integrado por</w:t>
      </w:r>
      <w:r w:rsidR="00077692" w:rsidRPr="00E27227">
        <w:rPr>
          <w:rFonts w:ascii="Arial" w:hAnsi="Arial" w:cs="Arial"/>
          <w:bCs/>
          <w:lang w:val="es-ES_tradnl"/>
        </w:rPr>
        <w:t xml:space="preserve"> personas que cumpl</w:t>
      </w:r>
      <w:r w:rsidR="008B7AE5" w:rsidRPr="00E27227">
        <w:rPr>
          <w:rFonts w:ascii="Arial" w:hAnsi="Arial" w:cs="Arial"/>
          <w:bCs/>
          <w:lang w:val="es-ES_tradnl"/>
        </w:rPr>
        <w:t>a</w:t>
      </w:r>
      <w:r w:rsidR="003160C9" w:rsidRPr="00E27227">
        <w:rPr>
          <w:rFonts w:ascii="Arial" w:hAnsi="Arial" w:cs="Arial"/>
          <w:bCs/>
          <w:lang w:val="es-ES_tradnl"/>
        </w:rPr>
        <w:t>n</w:t>
      </w:r>
      <w:r w:rsidR="008B7AE5" w:rsidRPr="00E27227">
        <w:rPr>
          <w:rFonts w:ascii="Arial" w:hAnsi="Arial" w:cs="Arial"/>
          <w:bCs/>
          <w:lang w:val="es-ES_tradnl"/>
        </w:rPr>
        <w:t xml:space="preserve"> los </w:t>
      </w:r>
      <w:r w:rsidR="006F5FF6" w:rsidRPr="00E27227">
        <w:rPr>
          <w:rFonts w:ascii="Arial" w:hAnsi="Arial" w:cs="Arial"/>
          <w:bCs/>
          <w:lang w:val="es-ES_tradnl"/>
        </w:rPr>
        <w:t>perfiles</w:t>
      </w:r>
      <w:r w:rsidR="00466657" w:rsidRPr="00E27227">
        <w:rPr>
          <w:rFonts w:ascii="Arial" w:hAnsi="Arial" w:cs="Arial"/>
          <w:bCs/>
          <w:lang w:val="es-ES_tradnl"/>
        </w:rPr>
        <w:t>,</w:t>
      </w:r>
      <w:r w:rsidR="006F5FF6" w:rsidRPr="00E27227">
        <w:rPr>
          <w:rFonts w:ascii="Arial" w:hAnsi="Arial" w:cs="Arial"/>
          <w:bCs/>
          <w:lang w:val="es-ES_tradnl"/>
        </w:rPr>
        <w:t xml:space="preserve"> </w:t>
      </w:r>
      <w:r w:rsidR="008B7AE5" w:rsidRPr="00E27227">
        <w:rPr>
          <w:rFonts w:ascii="Arial" w:hAnsi="Arial" w:cs="Arial"/>
          <w:bCs/>
          <w:lang w:val="es-ES_tradnl"/>
        </w:rPr>
        <w:t xml:space="preserve">requisitos de experiencia, preparación académica </w:t>
      </w:r>
      <w:r w:rsidR="003160C9" w:rsidRPr="00E27227">
        <w:rPr>
          <w:rFonts w:ascii="Arial" w:hAnsi="Arial" w:cs="Arial"/>
          <w:bCs/>
          <w:lang w:val="es-ES_tradnl"/>
        </w:rPr>
        <w:t xml:space="preserve">y demás </w:t>
      </w:r>
      <w:r w:rsidR="00466657" w:rsidRPr="00E27227">
        <w:rPr>
          <w:rFonts w:ascii="Arial" w:hAnsi="Arial" w:cs="Arial"/>
          <w:bCs/>
          <w:lang w:val="es-ES_tradnl"/>
        </w:rPr>
        <w:t xml:space="preserve">condiciones </w:t>
      </w:r>
      <w:r w:rsidR="003160C9" w:rsidRPr="00E27227">
        <w:rPr>
          <w:rFonts w:ascii="Arial" w:hAnsi="Arial" w:cs="Arial"/>
          <w:bCs/>
          <w:lang w:val="es-ES_tradnl"/>
        </w:rPr>
        <w:t xml:space="preserve">que se establezcan. </w:t>
      </w:r>
      <w:r w:rsidR="00B841BB" w:rsidRPr="00E27227">
        <w:rPr>
          <w:rFonts w:ascii="Arial" w:hAnsi="Arial" w:cs="Arial"/>
          <w:bCs/>
          <w:lang w:val="es-ES_tradnl"/>
        </w:rPr>
        <w:t xml:space="preserve">Sin embargo, el cumplimiento de los anteriores requerimientos no </w:t>
      </w:r>
      <w:r w:rsidR="00AA3557" w:rsidRPr="00E27227">
        <w:rPr>
          <w:rFonts w:ascii="Arial" w:hAnsi="Arial" w:cs="Arial"/>
          <w:bCs/>
          <w:lang w:val="es-ES_tradnl"/>
        </w:rPr>
        <w:t xml:space="preserve">puede </w:t>
      </w:r>
      <w:r w:rsidR="00B841BB" w:rsidRPr="00E27227">
        <w:rPr>
          <w:rFonts w:ascii="Arial" w:hAnsi="Arial" w:cs="Arial"/>
          <w:bCs/>
          <w:lang w:val="es-ES_tradnl"/>
        </w:rPr>
        <w:t>dev</w:t>
      </w:r>
      <w:r w:rsidR="00AA3557" w:rsidRPr="00E27227">
        <w:rPr>
          <w:rFonts w:ascii="Arial" w:hAnsi="Arial" w:cs="Arial"/>
          <w:bCs/>
          <w:lang w:val="es-ES_tradnl"/>
        </w:rPr>
        <w:t>enir</w:t>
      </w:r>
      <w:r w:rsidR="00B841BB" w:rsidRPr="00E27227">
        <w:rPr>
          <w:rFonts w:ascii="Arial" w:hAnsi="Arial" w:cs="Arial"/>
          <w:bCs/>
          <w:lang w:val="es-ES_tradnl"/>
        </w:rPr>
        <w:t xml:space="preserve"> en un compromiso </w:t>
      </w:r>
      <w:r w:rsidR="00314649" w:rsidRPr="00E27227">
        <w:rPr>
          <w:rFonts w:ascii="Arial" w:hAnsi="Arial" w:cs="Arial"/>
          <w:bCs/>
          <w:lang w:val="es-ES_tradnl"/>
        </w:rPr>
        <w:t>de vincular mediante determinad</w:t>
      </w:r>
      <w:r w:rsidR="0020580D">
        <w:rPr>
          <w:rFonts w:ascii="Arial" w:hAnsi="Arial" w:cs="Arial"/>
          <w:bCs/>
          <w:lang w:val="es-ES_tradnl"/>
        </w:rPr>
        <w:t>a</w:t>
      </w:r>
      <w:r w:rsidR="00314649" w:rsidRPr="00E27227">
        <w:rPr>
          <w:rFonts w:ascii="Arial" w:hAnsi="Arial" w:cs="Arial"/>
          <w:bCs/>
          <w:lang w:val="es-ES_tradnl"/>
        </w:rPr>
        <w:t xml:space="preserve"> modalidad contractual a las personas que integran ese equipo de trabajo, </w:t>
      </w:r>
      <w:r w:rsidR="00C839F5" w:rsidRPr="00E27227">
        <w:rPr>
          <w:rFonts w:ascii="Arial" w:hAnsi="Arial" w:cs="Arial"/>
          <w:bCs/>
          <w:lang w:val="es-ES_tradnl"/>
        </w:rPr>
        <w:t>lo cual, como se mencionó antes, es un asunto</w:t>
      </w:r>
      <w:r w:rsidR="00F72359" w:rsidRPr="00E27227">
        <w:rPr>
          <w:rFonts w:ascii="Arial" w:hAnsi="Arial" w:cs="Arial"/>
          <w:bCs/>
          <w:lang w:val="es-ES_tradnl"/>
        </w:rPr>
        <w:t xml:space="preserve"> imputable a</w:t>
      </w:r>
      <w:r w:rsidR="00C839F5" w:rsidRPr="00E27227">
        <w:rPr>
          <w:rFonts w:ascii="Arial" w:hAnsi="Arial" w:cs="Arial"/>
          <w:bCs/>
          <w:lang w:val="es-ES_tradnl"/>
        </w:rPr>
        <w:t xml:space="preserve"> la órbita</w:t>
      </w:r>
      <w:r w:rsidR="00F72359" w:rsidRPr="00E27227">
        <w:rPr>
          <w:rFonts w:ascii="Arial" w:hAnsi="Arial" w:cs="Arial"/>
          <w:bCs/>
          <w:lang w:val="es-ES_tradnl"/>
        </w:rPr>
        <w:t xml:space="preserve"> de la autonomía</w:t>
      </w:r>
      <w:r w:rsidR="00C839F5" w:rsidRPr="00E27227">
        <w:rPr>
          <w:rFonts w:ascii="Arial" w:hAnsi="Arial" w:cs="Arial"/>
          <w:bCs/>
          <w:lang w:val="es-ES_tradnl"/>
        </w:rPr>
        <w:t xml:space="preserve"> del contratista</w:t>
      </w:r>
      <w:r w:rsidR="00794B1C" w:rsidRPr="00E27227">
        <w:rPr>
          <w:rFonts w:ascii="Arial" w:hAnsi="Arial" w:cs="Arial"/>
          <w:bCs/>
          <w:lang w:val="es-ES_tradnl"/>
        </w:rPr>
        <w:t xml:space="preserve">. </w:t>
      </w:r>
      <w:r w:rsidR="00F72359" w:rsidRPr="00E27227">
        <w:rPr>
          <w:rFonts w:ascii="Arial" w:hAnsi="Arial" w:cs="Arial"/>
          <w:bCs/>
          <w:lang w:val="es-ES_tradnl"/>
        </w:rPr>
        <w:t xml:space="preserve"> </w:t>
      </w:r>
      <w:r w:rsidR="00C839F5" w:rsidRPr="00E27227">
        <w:rPr>
          <w:rFonts w:ascii="Arial" w:hAnsi="Arial" w:cs="Arial"/>
          <w:bCs/>
          <w:lang w:val="es-ES_tradnl"/>
        </w:rPr>
        <w:t xml:space="preserve"> </w:t>
      </w:r>
    </w:p>
    <w:p w14:paraId="098FEE4F" w14:textId="2BE877B7" w:rsidR="00D50D06" w:rsidRPr="00696ABB" w:rsidRDefault="00D50D06" w:rsidP="00D50D06">
      <w:pPr>
        <w:spacing w:before="120" w:after="120" w:line="276" w:lineRule="auto"/>
        <w:ind w:firstLine="709"/>
        <w:jc w:val="both"/>
        <w:rPr>
          <w:rFonts w:ascii="Arial" w:eastAsia="Times New Roman" w:hAnsi="Arial" w:cs="Arial"/>
          <w:bCs/>
          <w:szCs w:val="24"/>
          <w:lang w:val="es-ES_tradnl" w:eastAsia="es-MX"/>
        </w:rPr>
      </w:pPr>
      <w:r w:rsidRPr="00696ABB">
        <w:rPr>
          <w:rFonts w:ascii="Arial" w:eastAsia="Times New Roman" w:hAnsi="Arial" w:cs="Arial"/>
          <w:bCs/>
          <w:szCs w:val="24"/>
          <w:lang w:val="es-ES_tradnl" w:eastAsia="es-MX"/>
        </w:rPr>
        <w:t xml:space="preserve">En </w:t>
      </w:r>
      <w:r w:rsidR="006D07D6" w:rsidRPr="00E27227">
        <w:rPr>
          <w:rFonts w:ascii="Arial" w:eastAsia="Times New Roman" w:hAnsi="Arial" w:cs="Arial"/>
          <w:bCs/>
          <w:szCs w:val="24"/>
          <w:lang w:val="es-ES_tradnl" w:eastAsia="es-MX"/>
        </w:rPr>
        <w:t>síntesis</w:t>
      </w:r>
      <w:r w:rsidRPr="00696ABB">
        <w:rPr>
          <w:rFonts w:ascii="Arial" w:eastAsia="Times New Roman" w:hAnsi="Arial" w:cs="Arial"/>
          <w:bCs/>
          <w:szCs w:val="24"/>
          <w:lang w:val="es-ES_tradnl" w:eastAsia="es-MX"/>
        </w:rPr>
        <w:t xml:space="preserve">, tanto las entidades sometidas al Estatuto General de Contratación de la Administración Pública, como las excluidas de este –es decir, las que tienen un régimen especial– gozan de autonomía para configurar el precio y para establecer </w:t>
      </w:r>
      <w:r w:rsidR="006E69DB" w:rsidRPr="00696ABB">
        <w:rPr>
          <w:rFonts w:ascii="Arial" w:eastAsia="Times New Roman" w:hAnsi="Arial" w:cs="Arial"/>
          <w:bCs/>
          <w:szCs w:val="24"/>
          <w:lang w:val="es-ES_tradnl" w:eastAsia="es-MX"/>
        </w:rPr>
        <w:t>la metodología más</w:t>
      </w:r>
      <w:r w:rsidRPr="00696ABB">
        <w:rPr>
          <w:rFonts w:ascii="Arial" w:eastAsia="Times New Roman" w:hAnsi="Arial" w:cs="Arial"/>
          <w:bCs/>
          <w:szCs w:val="24"/>
          <w:lang w:val="es-ES_tradnl" w:eastAsia="es-MX"/>
        </w:rPr>
        <w:t xml:space="preserve"> apropiad</w:t>
      </w:r>
      <w:r w:rsidR="006E69DB" w:rsidRPr="00696ABB">
        <w:rPr>
          <w:rFonts w:ascii="Arial" w:eastAsia="Times New Roman" w:hAnsi="Arial" w:cs="Arial"/>
          <w:bCs/>
          <w:szCs w:val="24"/>
          <w:lang w:val="es-ES_tradnl" w:eastAsia="es-MX"/>
        </w:rPr>
        <w:t>a</w:t>
      </w:r>
      <w:r w:rsidRPr="00696ABB">
        <w:rPr>
          <w:rFonts w:ascii="Arial" w:eastAsia="Times New Roman" w:hAnsi="Arial" w:cs="Arial"/>
          <w:bCs/>
          <w:szCs w:val="24"/>
          <w:lang w:val="es-ES_tradnl" w:eastAsia="es-MX"/>
        </w:rPr>
        <w:t xml:space="preserve"> para satisfacer los fines de la contratación estatal, respetando los límites previstos en el ordenamiento jurídico. En tal perspectiva, cuentan con discrecionalidad para establecer en el pliego de condiciones o en su documento equivalente, así como en el contrato, el sistema de precios que la entidad considere pertinente para el proceso contractual</w:t>
      </w:r>
      <w:r w:rsidR="00F92576" w:rsidRPr="00E27227">
        <w:rPr>
          <w:rFonts w:ascii="Arial" w:eastAsia="Times New Roman" w:hAnsi="Arial" w:cs="Arial"/>
          <w:bCs/>
          <w:szCs w:val="24"/>
          <w:lang w:val="es-ES_tradnl" w:eastAsia="es-MX"/>
        </w:rPr>
        <w:t xml:space="preserve">. Esto sin perjuicio de la obligación de </w:t>
      </w:r>
      <w:r w:rsidR="005573E0" w:rsidRPr="00E27227">
        <w:rPr>
          <w:rFonts w:ascii="Arial" w:eastAsia="Times New Roman" w:hAnsi="Arial" w:cs="Arial"/>
          <w:bCs/>
          <w:szCs w:val="24"/>
          <w:lang w:val="es-ES_tradnl" w:eastAsia="es-MX"/>
        </w:rPr>
        <w:t xml:space="preserve">incluir en los estudios y documentos previos las razones y cálculos que sustentan la escogencia de determinado sistema </w:t>
      </w:r>
      <w:r w:rsidR="00074814" w:rsidRPr="00E27227">
        <w:rPr>
          <w:rFonts w:ascii="Arial" w:eastAsia="Times New Roman" w:hAnsi="Arial" w:cs="Arial"/>
          <w:bCs/>
          <w:szCs w:val="24"/>
          <w:lang w:val="es-ES_tradnl" w:eastAsia="es-MX"/>
        </w:rPr>
        <w:t>para determinar el valor del contrato.</w:t>
      </w:r>
      <w:r w:rsidRPr="00696ABB">
        <w:rPr>
          <w:rFonts w:ascii="Arial" w:eastAsia="Times New Roman" w:hAnsi="Arial" w:cs="Arial"/>
          <w:bCs/>
          <w:szCs w:val="24"/>
          <w:lang w:val="es-ES_tradnl" w:eastAsia="es-MX"/>
        </w:rPr>
        <w:t xml:space="preserve"> </w:t>
      </w:r>
    </w:p>
    <w:p w14:paraId="3B702A3C" w14:textId="1045691F" w:rsidR="00D50D06" w:rsidRPr="00E27227" w:rsidRDefault="00074814" w:rsidP="00271165">
      <w:pPr>
        <w:spacing w:before="120" w:after="0" w:line="276" w:lineRule="auto"/>
        <w:ind w:firstLine="708"/>
        <w:jc w:val="both"/>
        <w:rPr>
          <w:rFonts w:ascii="Arial" w:eastAsia="Times New Roman" w:hAnsi="Arial" w:cs="Arial"/>
          <w:szCs w:val="24"/>
          <w:lang w:val="es-ES_tradnl" w:eastAsia="es-MX"/>
        </w:rPr>
      </w:pPr>
      <w:r w:rsidRPr="00E27227">
        <w:rPr>
          <w:rFonts w:ascii="Arial" w:eastAsia="Times New Roman" w:hAnsi="Arial" w:cs="Arial"/>
          <w:szCs w:val="24"/>
          <w:lang w:val="es-ES_tradnl" w:eastAsia="es-MX"/>
        </w:rPr>
        <w:t>En todo caso</w:t>
      </w:r>
      <w:r w:rsidR="00D50D06" w:rsidRPr="00696ABB">
        <w:rPr>
          <w:rFonts w:ascii="Arial" w:eastAsia="Times New Roman" w:hAnsi="Arial" w:cs="Arial"/>
          <w:szCs w:val="24"/>
          <w:lang w:val="es-ES_tradnl" w:eastAsia="es-MX"/>
        </w:rPr>
        <w:t xml:space="preserve">, las entidades estatales al establecer las condiciones del proceso contractual deben respetar los preceptos constitucionales, legales o reglamentarios, y adicionalmente, no deben establecer cláusulas que contravengan los dispuesto en el numeral 5 del artículo 24 de la Ley 80 de 1993, al respecto, se resalta que será ineficaz de pleno derecho, aquellas estipulaciones que dispongan renuncias a reclamaciones por los hechos enunciados en dicho numeral. </w:t>
      </w:r>
    </w:p>
    <w:p w14:paraId="753EF615" w14:textId="77777777" w:rsidR="00271165" w:rsidRPr="00E27227" w:rsidRDefault="00271165" w:rsidP="00E27227">
      <w:pPr>
        <w:spacing w:after="0" w:line="276" w:lineRule="auto"/>
        <w:ind w:firstLine="708"/>
        <w:jc w:val="both"/>
        <w:rPr>
          <w:rFonts w:ascii="Arial" w:eastAsia="Times New Roman" w:hAnsi="Arial" w:cs="Arial"/>
          <w:szCs w:val="24"/>
          <w:highlight w:val="yellow"/>
          <w:lang w:val="es-ES_tradnl" w:eastAsia="es-MX"/>
        </w:rPr>
      </w:pPr>
    </w:p>
    <w:p w14:paraId="1DF065CA" w14:textId="73E9DEA2" w:rsidR="00137E23" w:rsidRPr="00696ABB" w:rsidRDefault="00137E23" w:rsidP="00733A0B">
      <w:pPr>
        <w:pStyle w:val="Prrafodelista"/>
        <w:tabs>
          <w:tab w:val="left" w:pos="284"/>
        </w:tabs>
        <w:spacing w:line="276" w:lineRule="auto"/>
        <w:ind w:left="0"/>
        <w:jc w:val="both"/>
        <w:rPr>
          <w:rFonts w:ascii="Arial" w:eastAsia="Calibri" w:hAnsi="Arial" w:cs="Arial"/>
          <w:b/>
          <w:sz w:val="22"/>
          <w:lang w:val="es-CO"/>
        </w:rPr>
      </w:pPr>
      <w:r w:rsidRPr="00696ABB">
        <w:rPr>
          <w:rFonts w:ascii="Arial" w:eastAsia="Calibri" w:hAnsi="Arial" w:cs="Arial"/>
          <w:b/>
          <w:sz w:val="22"/>
          <w:lang w:val="es-CO"/>
        </w:rPr>
        <w:t>3. Respuesta</w:t>
      </w:r>
    </w:p>
    <w:p w14:paraId="6E0ED1A1" w14:textId="77777777" w:rsidR="00733A0B" w:rsidRPr="00696ABB" w:rsidRDefault="00733A0B" w:rsidP="0099583D">
      <w:pPr>
        <w:pStyle w:val="Prrafodelista"/>
        <w:tabs>
          <w:tab w:val="left" w:pos="284"/>
        </w:tabs>
        <w:ind w:left="0"/>
        <w:jc w:val="both"/>
        <w:rPr>
          <w:rFonts w:ascii="Arial" w:eastAsia="Calibri" w:hAnsi="Arial" w:cs="Arial"/>
          <w:sz w:val="22"/>
          <w:lang w:val="es-CO"/>
        </w:rPr>
      </w:pPr>
    </w:p>
    <w:p w14:paraId="32D830E5" w14:textId="73F47347" w:rsidR="003E2F16" w:rsidRPr="00696ABB" w:rsidRDefault="006E69DB" w:rsidP="00A26A52">
      <w:pPr>
        <w:spacing w:after="0" w:line="240" w:lineRule="auto"/>
        <w:ind w:left="567" w:right="851"/>
        <w:jc w:val="both"/>
        <w:rPr>
          <w:rFonts w:ascii="Arial" w:hAnsi="Arial" w:cs="Arial"/>
          <w:color w:val="1A1A1A" w:themeColor="background1" w:themeShade="1A"/>
          <w:sz w:val="21"/>
          <w:szCs w:val="21"/>
        </w:rPr>
      </w:pPr>
      <w:r w:rsidRPr="00696ABB">
        <w:rPr>
          <w:rFonts w:ascii="Arial" w:hAnsi="Arial" w:cs="Arial"/>
          <w:color w:val="1A1A1A" w:themeColor="background1" w:themeShade="1A"/>
          <w:sz w:val="21"/>
          <w:szCs w:val="21"/>
        </w:rPr>
        <w:lastRenderedPageBreak/>
        <w:t>«</w:t>
      </w:r>
      <w:r w:rsidR="003E2F16" w:rsidRPr="00696ABB">
        <w:rPr>
          <w:rFonts w:ascii="Arial" w:hAnsi="Arial" w:cs="Arial"/>
          <w:color w:val="1A1A1A" w:themeColor="background1" w:themeShade="1A"/>
          <w:sz w:val="21"/>
          <w:szCs w:val="21"/>
        </w:rPr>
        <w:t xml:space="preserve">1. Puede una entidad contratante ya sea un municipio, corporación autónoma, departamento u otro exigir a los oferentes dentro de un concurso de méritos que sea de tipo: consultoría, que el personal sea contratado en su totalidad bajo la modalidad de contratación a término fijo o por contrato de prestación de servicio. Bajo que norma, concepto, guía u otro está regulado este aspecto. </w:t>
      </w:r>
    </w:p>
    <w:p w14:paraId="2AD8859A" w14:textId="77777777" w:rsidR="003E2F16" w:rsidRPr="00696ABB" w:rsidRDefault="003E2F16" w:rsidP="00A26A52">
      <w:pPr>
        <w:spacing w:after="0" w:line="240" w:lineRule="auto"/>
        <w:ind w:left="567" w:right="851"/>
        <w:jc w:val="both"/>
        <w:rPr>
          <w:rFonts w:ascii="Arial" w:hAnsi="Arial" w:cs="Arial"/>
          <w:color w:val="1A1A1A" w:themeColor="background1" w:themeShade="1A"/>
          <w:sz w:val="21"/>
          <w:szCs w:val="21"/>
        </w:rPr>
      </w:pPr>
    </w:p>
    <w:p w14:paraId="4F8A3891" w14:textId="5EAF4761" w:rsidR="003E2F16" w:rsidRPr="00696ABB" w:rsidRDefault="003E2F16" w:rsidP="00A26A52">
      <w:pPr>
        <w:spacing w:after="0" w:line="240" w:lineRule="auto"/>
        <w:ind w:left="567" w:right="851"/>
        <w:jc w:val="both"/>
        <w:rPr>
          <w:rFonts w:ascii="Arial" w:hAnsi="Arial" w:cs="Arial"/>
          <w:color w:val="1A1A1A" w:themeColor="background1" w:themeShade="1A"/>
          <w:sz w:val="21"/>
          <w:szCs w:val="21"/>
        </w:rPr>
      </w:pPr>
      <w:r w:rsidRPr="00696ABB">
        <w:rPr>
          <w:rFonts w:ascii="Arial" w:hAnsi="Arial" w:cs="Arial"/>
          <w:color w:val="1A1A1A" w:themeColor="background1" w:themeShade="1A"/>
          <w:sz w:val="21"/>
          <w:szCs w:val="21"/>
        </w:rPr>
        <w:t>2. Puede una entidad contratante ya sea un municipio, corporación autónoma, departamento u otro exigir a los oferentes dentro de un concurso de méritos que sea de tipo: consultoría, que el personal sea contratado así: unos bajo la modalidad de contratación a término fijo y otros por contrato de prestación de servicio. Bajo que norma, concepto, guía u otro está regulado este aspecto</w:t>
      </w:r>
      <w:r w:rsidR="00271165" w:rsidRPr="00E27227">
        <w:rPr>
          <w:rFonts w:ascii="Arial" w:hAnsi="Arial" w:cs="Arial"/>
          <w:color w:val="1A1A1A" w:themeColor="background1" w:themeShade="1A"/>
          <w:sz w:val="21"/>
          <w:szCs w:val="21"/>
        </w:rPr>
        <w:t>»</w:t>
      </w:r>
      <w:r w:rsidRPr="00696ABB">
        <w:rPr>
          <w:rFonts w:ascii="Arial" w:hAnsi="Arial" w:cs="Arial"/>
          <w:color w:val="1A1A1A" w:themeColor="background1" w:themeShade="1A"/>
          <w:sz w:val="21"/>
          <w:szCs w:val="21"/>
        </w:rPr>
        <w:t xml:space="preserve">. </w:t>
      </w:r>
    </w:p>
    <w:p w14:paraId="4363A651" w14:textId="77777777" w:rsidR="006E69DB" w:rsidRPr="00696ABB" w:rsidRDefault="006E69DB" w:rsidP="006E69DB">
      <w:pPr>
        <w:spacing w:after="0" w:line="240" w:lineRule="auto"/>
        <w:ind w:right="851"/>
        <w:jc w:val="both"/>
        <w:rPr>
          <w:rFonts w:ascii="Arial" w:hAnsi="Arial" w:cs="Arial"/>
          <w:color w:val="1A1A1A" w:themeColor="background1" w:themeShade="1A"/>
          <w:sz w:val="21"/>
          <w:szCs w:val="21"/>
        </w:rPr>
      </w:pPr>
    </w:p>
    <w:p w14:paraId="7A7C1462" w14:textId="3E9D35FC" w:rsidR="00D07E99" w:rsidRPr="00E27227" w:rsidRDefault="00D07E99" w:rsidP="00E27227">
      <w:pPr>
        <w:spacing w:after="120" w:line="276" w:lineRule="auto"/>
        <w:jc w:val="both"/>
        <w:rPr>
          <w:rFonts w:ascii="Arial" w:hAnsi="Arial" w:cs="Arial"/>
          <w:bCs/>
        </w:rPr>
      </w:pPr>
      <w:r w:rsidRPr="00E27227">
        <w:rPr>
          <w:rFonts w:ascii="Arial" w:hAnsi="Arial" w:cs="Arial"/>
        </w:rPr>
        <w:t xml:space="preserve">De las preguntas en concreto, se precisa que la Agencia Nacional de Contratación Pública tiene competencia para atender consultas relativas a temas contractuales, pero solo para absolver consultas sobre la aplicación de normas de carácter general. Por ello, </w:t>
      </w:r>
      <w:r w:rsidRPr="00E27227">
        <w:rPr>
          <w:rFonts w:ascii="Arial" w:hAnsi="Arial" w:cs="Arial"/>
          <w:lang w:val="es-ES"/>
        </w:rPr>
        <w:t>resolver casos particulares, conceptuar sobre el alcance de normas ajenas a la contratación estatal</w:t>
      </w:r>
      <w:r w:rsidR="00B43AA8" w:rsidRPr="00E27227">
        <w:rPr>
          <w:rFonts w:ascii="Arial" w:hAnsi="Arial" w:cs="Arial"/>
          <w:lang w:val="es-ES"/>
        </w:rPr>
        <w:t xml:space="preserve"> o validar actuaciones de entidades estatales</w:t>
      </w:r>
      <w:r w:rsidRPr="00E27227">
        <w:rPr>
          <w:rFonts w:ascii="Arial" w:hAnsi="Arial" w:cs="Arial"/>
          <w:lang w:val="es-ES"/>
        </w:rPr>
        <w:t xml:space="preserve"> desborda las atribuciones asignadas por el legislador extraordinario, que no concibió a Colombia Compra Eficiente como una autoridad para solucionar problemas jurídicos particulares</w:t>
      </w:r>
      <w:r w:rsidRPr="00E27227">
        <w:rPr>
          <w:rFonts w:ascii="Arial" w:hAnsi="Arial" w:cs="Arial"/>
          <w:bCs/>
        </w:rPr>
        <w:t xml:space="preserve"> de todos los partícipes de la contratación estatal ni para interpretar el alcance de cualquier norma vigente en el ordenamiento jurídico.</w:t>
      </w:r>
    </w:p>
    <w:p w14:paraId="7B925A4B" w14:textId="7617FCF1" w:rsidR="006E69DB" w:rsidRPr="00696ABB" w:rsidRDefault="00746A71" w:rsidP="00E27227">
      <w:pPr>
        <w:spacing w:after="0" w:line="276" w:lineRule="auto"/>
        <w:ind w:firstLine="567"/>
        <w:jc w:val="both"/>
        <w:rPr>
          <w:rFonts w:ascii="Arial" w:eastAsia="Times New Roman" w:hAnsi="Arial" w:cs="Arial"/>
          <w:bCs/>
          <w:szCs w:val="24"/>
          <w:lang w:val="es-ES_tradnl" w:eastAsia="es-MX"/>
        </w:rPr>
      </w:pPr>
      <w:r w:rsidRPr="00E27227">
        <w:rPr>
          <w:rFonts w:ascii="Arial" w:eastAsia="Times New Roman" w:hAnsi="Arial" w:cs="Arial"/>
          <w:bCs/>
          <w:szCs w:val="24"/>
          <w:lang w:val="es-ES_tradnl" w:eastAsia="es-MX"/>
        </w:rPr>
        <w:t>Hecha la anterior precisión, de manera general, y con sustento en las consideraciones expuestas, es posible afirmar que l</w:t>
      </w:r>
      <w:r w:rsidR="006E69DB" w:rsidRPr="00696ABB">
        <w:rPr>
          <w:rFonts w:ascii="Arial" w:eastAsia="Times New Roman" w:hAnsi="Arial" w:cs="Arial"/>
          <w:bCs/>
          <w:szCs w:val="24"/>
          <w:lang w:val="es-ES_tradnl" w:eastAsia="es-MX"/>
        </w:rPr>
        <w:t xml:space="preserve">a normativa del Sistema de Compra Pública no prevé disposiciones relacionadas con la modalidad de selección, ni el tipo de vinculación laboral del recurso humano con el que trabajará el contratista. </w:t>
      </w:r>
      <w:r w:rsidR="00271165" w:rsidRPr="00E27227">
        <w:rPr>
          <w:rFonts w:ascii="Arial" w:eastAsia="Times New Roman" w:hAnsi="Arial" w:cs="Arial"/>
          <w:bCs/>
          <w:szCs w:val="24"/>
          <w:lang w:val="es-ES_tradnl" w:eastAsia="es-MX"/>
        </w:rPr>
        <w:t xml:space="preserve"> </w:t>
      </w:r>
      <w:r w:rsidR="006E69DB" w:rsidRPr="00696ABB">
        <w:rPr>
          <w:rFonts w:ascii="Arial" w:eastAsia="Times New Roman" w:hAnsi="Arial" w:cs="Arial"/>
          <w:bCs/>
          <w:szCs w:val="24"/>
          <w:lang w:val="es-ES_tradnl" w:eastAsia="es-MX"/>
        </w:rPr>
        <w:t>En este sentido, aunque las Entidades Estatales son autónomas y responsables de estructurar sus Procesos de Contratación y de exigir las condiciones adecuadas y objetivas para la satisfacción de la necesidad a la cual se refiere el contrato, dichas exigencias no pueden interferir en la autonomía que tienen los contratistas para determinar el tipo de vinculación del equipo de trabajo requerido para la ejecución de los contratos; en consecuencia, le corresponde al contratista que va a contratar su equipo de trabajo definir tal situación, cumpliendo en todo caso con la normativa laboral o contractual que regula las diferentes formas de vinculación.</w:t>
      </w:r>
    </w:p>
    <w:p w14:paraId="199FAB67" w14:textId="77777777" w:rsidR="002D746D" w:rsidRPr="00696ABB" w:rsidRDefault="002D746D" w:rsidP="006E69DB">
      <w:pPr>
        <w:spacing w:after="0" w:line="276" w:lineRule="auto"/>
        <w:ind w:firstLine="426"/>
        <w:jc w:val="both"/>
        <w:rPr>
          <w:rFonts w:ascii="Arial" w:eastAsia="Times New Roman" w:hAnsi="Arial" w:cs="Arial"/>
          <w:bCs/>
          <w:szCs w:val="24"/>
          <w:lang w:val="es-ES_tradnl" w:eastAsia="es-MX"/>
        </w:rPr>
      </w:pPr>
    </w:p>
    <w:p w14:paraId="5DDCE8C4" w14:textId="19B84683" w:rsidR="003E2F16" w:rsidRPr="00696ABB" w:rsidRDefault="007E0DDD" w:rsidP="007E0DDD">
      <w:pPr>
        <w:spacing w:after="0" w:line="240" w:lineRule="auto"/>
        <w:ind w:left="567" w:right="851"/>
        <w:jc w:val="both"/>
        <w:rPr>
          <w:rFonts w:ascii="Arial" w:hAnsi="Arial" w:cs="Arial"/>
          <w:color w:val="1A1A1A" w:themeColor="background1" w:themeShade="1A"/>
          <w:sz w:val="21"/>
          <w:szCs w:val="21"/>
        </w:rPr>
      </w:pPr>
      <w:r w:rsidRPr="00E27227">
        <w:rPr>
          <w:rFonts w:ascii="Arial" w:hAnsi="Arial" w:cs="Arial"/>
          <w:color w:val="1A1A1A" w:themeColor="background1" w:themeShade="1A"/>
          <w:sz w:val="21"/>
          <w:szCs w:val="21"/>
        </w:rPr>
        <w:t>«</w:t>
      </w:r>
      <w:r w:rsidR="003E2F16" w:rsidRPr="00696ABB">
        <w:rPr>
          <w:rFonts w:ascii="Arial" w:hAnsi="Arial" w:cs="Arial"/>
          <w:color w:val="1A1A1A" w:themeColor="background1" w:themeShade="1A"/>
          <w:sz w:val="21"/>
          <w:szCs w:val="21"/>
        </w:rPr>
        <w:t xml:space="preserve">3. Puede una entidad contratante ya sea un municipio, corporación autónoma, departamento u otro, en contrato de consultoría (diferentes a los de obra) exigir la aplicación del Factor multiplicador en la oferta económica. Bajo que norma, concepto, guía u otro está regulado este aspecto. </w:t>
      </w:r>
    </w:p>
    <w:p w14:paraId="1EEE9C2C" w14:textId="77777777" w:rsidR="003E2F16" w:rsidRPr="00696ABB" w:rsidRDefault="003E2F16" w:rsidP="007E0DDD">
      <w:pPr>
        <w:spacing w:after="0" w:line="240" w:lineRule="auto"/>
        <w:ind w:left="567" w:right="851"/>
        <w:jc w:val="both"/>
        <w:rPr>
          <w:rFonts w:ascii="Arial" w:hAnsi="Arial" w:cs="Arial"/>
          <w:color w:val="1A1A1A" w:themeColor="background1" w:themeShade="1A"/>
          <w:sz w:val="21"/>
          <w:szCs w:val="21"/>
        </w:rPr>
      </w:pPr>
      <w:r w:rsidRPr="00696ABB">
        <w:rPr>
          <w:rFonts w:ascii="Arial" w:hAnsi="Arial" w:cs="Arial"/>
          <w:color w:val="1A1A1A" w:themeColor="background1" w:themeShade="1A"/>
          <w:sz w:val="21"/>
          <w:szCs w:val="21"/>
        </w:rPr>
        <w:lastRenderedPageBreak/>
        <w:t xml:space="preserve">4. Si la respuesta a la pregunta anterior es SI, por favor aclarar cómo debe desglosarse el factor multiplicador y que elementos deben tenerse en cuenta a la hora de calcularlo. Bajo que norma, concepto, guía u otro está regulado este aspecto. </w:t>
      </w:r>
    </w:p>
    <w:p w14:paraId="42E9FFDA" w14:textId="77777777" w:rsidR="003E2F16" w:rsidRPr="00696ABB" w:rsidRDefault="003E2F16" w:rsidP="007E0DDD">
      <w:pPr>
        <w:spacing w:after="0" w:line="240" w:lineRule="auto"/>
        <w:ind w:left="567" w:right="851"/>
        <w:jc w:val="both"/>
        <w:rPr>
          <w:rFonts w:ascii="Arial" w:hAnsi="Arial" w:cs="Arial"/>
          <w:color w:val="1A1A1A" w:themeColor="background1" w:themeShade="1A"/>
          <w:sz w:val="21"/>
          <w:szCs w:val="21"/>
        </w:rPr>
      </w:pPr>
    </w:p>
    <w:p w14:paraId="26092D0E" w14:textId="77777777" w:rsidR="003E2F16" w:rsidRPr="00696ABB" w:rsidRDefault="003E2F16" w:rsidP="007E0DDD">
      <w:pPr>
        <w:spacing w:after="0" w:line="240" w:lineRule="auto"/>
        <w:ind w:left="567" w:right="851"/>
        <w:jc w:val="both"/>
        <w:rPr>
          <w:rFonts w:ascii="Arial" w:hAnsi="Arial" w:cs="Arial"/>
          <w:color w:val="1A1A1A" w:themeColor="background1" w:themeShade="1A"/>
          <w:sz w:val="21"/>
          <w:szCs w:val="21"/>
        </w:rPr>
      </w:pPr>
      <w:r w:rsidRPr="00696ABB">
        <w:rPr>
          <w:rFonts w:ascii="Arial" w:hAnsi="Arial" w:cs="Arial"/>
          <w:color w:val="1A1A1A" w:themeColor="background1" w:themeShade="1A"/>
          <w:sz w:val="21"/>
          <w:szCs w:val="21"/>
        </w:rPr>
        <w:t xml:space="preserve">5. Puede una entidad contratante ya sea un municipio, corporación autónoma, departamento u otro, en contrato de consultoría (diferentes a los de obra) exigir la aplicación de APU (Análisis de Precios Unitarios) en la oferta económica. Bajo que norma, concepto, guía u otro está regulado este aspecto. </w:t>
      </w:r>
    </w:p>
    <w:p w14:paraId="49124A47" w14:textId="77777777" w:rsidR="003E2F16" w:rsidRPr="00696ABB" w:rsidRDefault="003E2F16" w:rsidP="007E0DDD">
      <w:pPr>
        <w:spacing w:after="0" w:line="240" w:lineRule="auto"/>
        <w:ind w:left="567" w:right="851"/>
        <w:jc w:val="both"/>
        <w:rPr>
          <w:rFonts w:ascii="Arial" w:hAnsi="Arial" w:cs="Arial"/>
          <w:color w:val="1A1A1A" w:themeColor="background1" w:themeShade="1A"/>
          <w:sz w:val="21"/>
          <w:szCs w:val="21"/>
        </w:rPr>
      </w:pPr>
      <w:r w:rsidRPr="00696ABB">
        <w:rPr>
          <w:rFonts w:ascii="Arial" w:hAnsi="Arial" w:cs="Arial"/>
          <w:color w:val="1A1A1A" w:themeColor="background1" w:themeShade="1A"/>
          <w:sz w:val="21"/>
          <w:szCs w:val="21"/>
        </w:rPr>
        <w:t xml:space="preserve"> </w:t>
      </w:r>
    </w:p>
    <w:p w14:paraId="5DB8579D" w14:textId="77777777" w:rsidR="003E2F16" w:rsidRPr="00696ABB" w:rsidRDefault="003E2F16" w:rsidP="007E0DDD">
      <w:pPr>
        <w:spacing w:after="0" w:line="240" w:lineRule="auto"/>
        <w:ind w:left="567" w:right="851"/>
        <w:jc w:val="both"/>
        <w:rPr>
          <w:rFonts w:ascii="Arial" w:hAnsi="Arial" w:cs="Arial"/>
          <w:color w:val="1A1A1A" w:themeColor="background1" w:themeShade="1A"/>
          <w:sz w:val="21"/>
          <w:szCs w:val="21"/>
        </w:rPr>
      </w:pPr>
      <w:r w:rsidRPr="00696ABB">
        <w:rPr>
          <w:rFonts w:ascii="Arial" w:hAnsi="Arial" w:cs="Arial"/>
          <w:color w:val="1A1A1A" w:themeColor="background1" w:themeShade="1A"/>
          <w:sz w:val="21"/>
          <w:szCs w:val="21"/>
        </w:rPr>
        <w:t xml:space="preserve">6. Si la respuesta a la pregunta anterior es SI, por favor aclarar cómo debe desglosarse los APU (Análisis de Precios Unitarios) y que elementos deben tenerse en cuenta al desglosar estos APU teniendo en cuenta que los alcances de los objetos contractuales son diferentes en cada contrato. Bajo que norma, concepto, guía u otro está regulado este aspecto. </w:t>
      </w:r>
    </w:p>
    <w:p w14:paraId="0406095E" w14:textId="77777777" w:rsidR="003E2F16" w:rsidRPr="00696ABB" w:rsidRDefault="003E2F16" w:rsidP="007E0DDD">
      <w:pPr>
        <w:spacing w:after="0" w:line="240" w:lineRule="auto"/>
        <w:ind w:left="567" w:right="851"/>
        <w:jc w:val="both"/>
        <w:rPr>
          <w:rFonts w:ascii="Arial" w:hAnsi="Arial" w:cs="Arial"/>
          <w:color w:val="1A1A1A" w:themeColor="background1" w:themeShade="1A"/>
          <w:sz w:val="21"/>
          <w:szCs w:val="21"/>
        </w:rPr>
      </w:pPr>
    </w:p>
    <w:p w14:paraId="76A1FAC4" w14:textId="77777777" w:rsidR="003E2F16" w:rsidRPr="00E27227" w:rsidRDefault="003E2F16" w:rsidP="007E0DDD">
      <w:pPr>
        <w:spacing w:after="0" w:line="240" w:lineRule="auto"/>
        <w:ind w:left="567" w:right="851"/>
        <w:jc w:val="both"/>
        <w:rPr>
          <w:rFonts w:ascii="Arial" w:hAnsi="Arial" w:cs="Arial"/>
          <w:color w:val="1A1A1A" w:themeColor="background1" w:themeShade="1A"/>
          <w:sz w:val="21"/>
          <w:szCs w:val="21"/>
        </w:rPr>
      </w:pPr>
      <w:r w:rsidRPr="00696ABB">
        <w:rPr>
          <w:rFonts w:ascii="Arial" w:hAnsi="Arial" w:cs="Arial"/>
          <w:color w:val="1A1A1A" w:themeColor="background1" w:themeShade="1A"/>
          <w:sz w:val="21"/>
          <w:szCs w:val="21"/>
        </w:rPr>
        <w:t>7. Si la respuesta a la pregunta 5 es NO, por favor aclarar en qué casos es obligatorio realizar el desglose de los APU (Análisis de Precios Unitarios) y que elementos deben tenerse en cuenta al desglosar estos APU teniendo en cuenta que los alcances de los objetos contractuales son diferentes en cada contrato. Bajo que norma, concepto, guía u otro está regulado este aspecto»</w:t>
      </w:r>
    </w:p>
    <w:p w14:paraId="75BF424F" w14:textId="77777777" w:rsidR="007E0DDD" w:rsidRPr="00696ABB" w:rsidRDefault="007E0DDD" w:rsidP="00E27227">
      <w:pPr>
        <w:spacing w:after="0" w:line="240" w:lineRule="auto"/>
        <w:ind w:left="567" w:right="851"/>
        <w:jc w:val="both"/>
        <w:rPr>
          <w:rFonts w:ascii="Arial" w:hAnsi="Arial" w:cs="Arial"/>
          <w:color w:val="1A1A1A" w:themeColor="background1" w:themeShade="1A"/>
          <w:sz w:val="21"/>
          <w:szCs w:val="21"/>
        </w:rPr>
      </w:pPr>
    </w:p>
    <w:p w14:paraId="5C52AC80" w14:textId="0BD4A56C" w:rsidR="002D746D" w:rsidRPr="00696ABB" w:rsidRDefault="002D746D" w:rsidP="00E27227">
      <w:pPr>
        <w:spacing w:after="120" w:line="276" w:lineRule="auto"/>
        <w:ind w:firstLine="567"/>
        <w:jc w:val="both"/>
        <w:rPr>
          <w:rFonts w:ascii="Arial" w:hAnsi="Arial" w:cs="Arial"/>
        </w:rPr>
      </w:pPr>
      <w:r w:rsidRPr="00696ABB">
        <w:rPr>
          <w:rFonts w:ascii="Arial" w:hAnsi="Arial" w:cs="Arial"/>
        </w:rPr>
        <w:t xml:space="preserve">Según las consideraciones expuestas, </w:t>
      </w:r>
      <w:r w:rsidRPr="00696ABB">
        <w:rPr>
          <w:rFonts w:ascii="Arial" w:eastAsia="Calibri" w:hAnsi="Arial" w:cs="Arial"/>
          <w:bCs/>
        </w:rPr>
        <w:t>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p>
    <w:p w14:paraId="244E92F4" w14:textId="6AB0811D" w:rsidR="002D746D" w:rsidRPr="00E27227" w:rsidRDefault="002D746D" w:rsidP="00A26A52">
      <w:pPr>
        <w:spacing w:after="120" w:line="276" w:lineRule="auto"/>
        <w:ind w:firstLine="709"/>
        <w:jc w:val="both"/>
        <w:rPr>
          <w:rFonts w:ascii="Arial" w:hAnsi="Arial" w:cs="Arial"/>
          <w:bCs/>
        </w:rPr>
      </w:pPr>
      <w:r w:rsidRPr="00696ABB">
        <w:rPr>
          <w:rFonts w:ascii="Arial" w:hAnsi="Arial" w:cs="Arial"/>
          <w:bCs/>
        </w:rPr>
        <w:t>Como se señaló, 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Tal metodología generalmente depende del tipo de contrato, pues hay algunas modalidades más comunes en los de obra pública; otras más utilizadas en los de prestación de servicios y otras más indicadas para los de concesión. No hay, pues, una sola metodología para pactar el precio y, en gran medida, la manera de hacerlo ha obedecido a la costumbre mercantil y a la influencia de disciplinas técnicas, como la ingeniería o la administración de empresas, en la contratación estatal.</w:t>
      </w:r>
    </w:p>
    <w:p w14:paraId="26D67602" w14:textId="32533DB3" w:rsidR="00E33DD5" w:rsidRPr="00E27227" w:rsidRDefault="00E33DD5" w:rsidP="00A26A52">
      <w:pPr>
        <w:spacing w:after="120" w:line="276" w:lineRule="auto"/>
        <w:ind w:firstLine="709"/>
        <w:jc w:val="both"/>
        <w:rPr>
          <w:rFonts w:ascii="Arial" w:hAnsi="Arial" w:cs="Arial"/>
          <w:bCs/>
          <w:lang w:val="es-ES_tradnl"/>
        </w:rPr>
      </w:pPr>
      <w:r w:rsidRPr="00E27227">
        <w:rPr>
          <w:rFonts w:ascii="Arial" w:hAnsi="Arial" w:cs="Arial"/>
        </w:rPr>
        <w:lastRenderedPageBreak/>
        <w:t xml:space="preserve">De acuerdo con lo explicado el sistema de precios y el </w:t>
      </w:r>
      <w:r w:rsidR="009F45AB" w:rsidRPr="00E27227">
        <w:rPr>
          <w:rFonts w:ascii="Arial" w:hAnsi="Arial" w:cs="Arial"/>
        </w:rPr>
        <w:t>factor multiplicador son</w:t>
      </w:r>
      <w:r w:rsidRPr="00E27227">
        <w:rPr>
          <w:rFonts w:ascii="Arial" w:hAnsi="Arial" w:cs="Arial"/>
        </w:rPr>
        <w:t xml:space="preserve"> metodologías </w:t>
      </w:r>
      <w:r w:rsidR="009F45AB" w:rsidRPr="00E27227">
        <w:rPr>
          <w:rFonts w:ascii="Arial" w:hAnsi="Arial" w:cs="Arial"/>
        </w:rPr>
        <w:t>aplicadas en el marco de</w:t>
      </w:r>
      <w:r w:rsidRPr="00E27227">
        <w:rPr>
          <w:rFonts w:ascii="Arial" w:hAnsi="Arial" w:cs="Arial"/>
        </w:rPr>
        <w:t xml:space="preserve"> la estimación del valor del contrato por parte de la entidad estatal, y </w:t>
      </w:r>
      <w:r w:rsidR="009F45AB" w:rsidRPr="00E27227">
        <w:rPr>
          <w:rFonts w:ascii="Arial" w:hAnsi="Arial" w:cs="Arial"/>
        </w:rPr>
        <w:t>par</w:t>
      </w:r>
      <w:r w:rsidRPr="00E27227">
        <w:rPr>
          <w:rFonts w:ascii="Arial" w:hAnsi="Arial" w:cs="Arial"/>
        </w:rPr>
        <w:t xml:space="preserve">a la determinación del precio del contrato </w:t>
      </w:r>
      <w:r w:rsidR="00A0712A" w:rsidRPr="00E27227">
        <w:rPr>
          <w:rFonts w:ascii="Arial" w:hAnsi="Arial" w:cs="Arial"/>
        </w:rPr>
        <w:t xml:space="preserve">en </w:t>
      </w:r>
      <w:r w:rsidRPr="00E27227">
        <w:rPr>
          <w:rFonts w:ascii="Arial" w:hAnsi="Arial" w:cs="Arial"/>
        </w:rPr>
        <w:t xml:space="preserve">el </w:t>
      </w:r>
      <w:r w:rsidR="00A0712A" w:rsidRPr="00E27227">
        <w:rPr>
          <w:rFonts w:ascii="Arial" w:hAnsi="Arial" w:cs="Arial"/>
        </w:rPr>
        <w:t xml:space="preserve">desarrollo del </w:t>
      </w:r>
      <w:r w:rsidRPr="00E27227">
        <w:rPr>
          <w:rFonts w:ascii="Arial" w:hAnsi="Arial" w:cs="Arial"/>
        </w:rPr>
        <w:t xml:space="preserve">proceso de selección, </w:t>
      </w:r>
      <w:r w:rsidR="00A0712A" w:rsidRPr="00E27227">
        <w:rPr>
          <w:rFonts w:ascii="Arial" w:hAnsi="Arial" w:cs="Arial"/>
        </w:rPr>
        <w:t xml:space="preserve">comoquiera que puede ser aplicadas a </w:t>
      </w:r>
      <w:r w:rsidRPr="00E27227">
        <w:rPr>
          <w:rFonts w:ascii="Arial" w:hAnsi="Arial" w:cs="Arial"/>
        </w:rPr>
        <w:t>la presentación de oferta</w:t>
      </w:r>
      <w:r w:rsidR="00A0712A" w:rsidRPr="00E27227">
        <w:rPr>
          <w:rFonts w:ascii="Arial" w:hAnsi="Arial" w:cs="Arial"/>
        </w:rPr>
        <w:t>s</w:t>
      </w:r>
      <w:r w:rsidRPr="00E27227">
        <w:rPr>
          <w:rFonts w:ascii="Arial" w:hAnsi="Arial" w:cs="Arial"/>
        </w:rPr>
        <w:t xml:space="preserve">. </w:t>
      </w:r>
      <w:r w:rsidR="00A0712A" w:rsidRPr="00E27227">
        <w:rPr>
          <w:rFonts w:ascii="Arial" w:hAnsi="Arial" w:cs="Arial"/>
        </w:rPr>
        <w:t>No obstante,</w:t>
      </w:r>
      <w:r w:rsidRPr="00E27227">
        <w:rPr>
          <w:rFonts w:ascii="Arial" w:hAnsi="Arial" w:cs="Arial"/>
          <w:bCs/>
          <w:lang w:val="es-ES_tradnl"/>
        </w:rPr>
        <w:t xml:space="preserve"> ni el sistema de precios unitarios ni el factor multiplicador </w:t>
      </w:r>
      <w:r w:rsidR="00A0712A" w:rsidRPr="00E27227">
        <w:rPr>
          <w:rFonts w:ascii="Arial" w:hAnsi="Arial" w:cs="Arial"/>
          <w:bCs/>
          <w:lang w:val="es-ES_tradnl"/>
        </w:rPr>
        <w:t>están</w:t>
      </w:r>
      <w:r w:rsidRPr="00E27227">
        <w:rPr>
          <w:rFonts w:ascii="Arial" w:hAnsi="Arial" w:cs="Arial"/>
          <w:bCs/>
          <w:lang w:val="es-ES_tradnl"/>
        </w:rPr>
        <w:t xml:space="preserve"> expresamente regulados en el</w:t>
      </w:r>
      <w:r w:rsidR="00A0712A" w:rsidRPr="00E27227">
        <w:rPr>
          <w:rFonts w:ascii="Arial" w:hAnsi="Arial" w:cs="Arial"/>
          <w:bCs/>
          <w:lang w:val="es-ES_tradnl"/>
        </w:rPr>
        <w:t xml:space="preserve"> EGCAP</w:t>
      </w:r>
      <w:r w:rsidR="00D55330" w:rsidRPr="00E27227">
        <w:rPr>
          <w:rFonts w:ascii="Arial" w:hAnsi="Arial" w:cs="Arial"/>
          <w:bCs/>
          <w:lang w:val="es-ES_tradnl"/>
        </w:rPr>
        <w:t>. De hecho,</w:t>
      </w:r>
      <w:r w:rsidR="00A0712A" w:rsidRPr="00E27227">
        <w:rPr>
          <w:rFonts w:ascii="Arial" w:hAnsi="Arial" w:cs="Arial"/>
          <w:bCs/>
          <w:lang w:val="es-ES_tradnl"/>
        </w:rPr>
        <w:t xml:space="preserve"> </w:t>
      </w:r>
      <w:r w:rsidR="00D55330" w:rsidRPr="00E27227">
        <w:rPr>
          <w:rFonts w:ascii="Arial" w:hAnsi="Arial" w:cs="Arial"/>
          <w:bCs/>
          <w:lang w:val="es-ES_tradnl"/>
        </w:rPr>
        <w:t>l</w:t>
      </w:r>
      <w:r w:rsidRPr="00E27227">
        <w:rPr>
          <w:rFonts w:ascii="Arial" w:hAnsi="Arial" w:cs="Arial"/>
          <w:bCs/>
          <w:lang w:val="es-ES_tradnl"/>
        </w:rPr>
        <w:t xml:space="preserve">a </w:t>
      </w:r>
      <w:r w:rsidR="00D55330" w:rsidRPr="00E27227">
        <w:rPr>
          <w:rFonts w:ascii="Arial" w:hAnsi="Arial" w:cs="Arial"/>
          <w:bCs/>
          <w:lang w:val="es-ES_tradnl"/>
        </w:rPr>
        <w:t xml:space="preserve">utilización de estas </w:t>
      </w:r>
      <w:r w:rsidRPr="00E27227">
        <w:rPr>
          <w:rFonts w:ascii="Arial" w:hAnsi="Arial" w:cs="Arial"/>
          <w:bCs/>
          <w:lang w:val="es-ES_tradnl"/>
        </w:rPr>
        <w:t xml:space="preserve">de estas formas de establecer o cotizar el precio </w:t>
      </w:r>
      <w:r w:rsidR="00D55330" w:rsidRPr="00E27227">
        <w:rPr>
          <w:rFonts w:ascii="Arial" w:hAnsi="Arial" w:cs="Arial"/>
          <w:bCs/>
          <w:lang w:val="es-ES_tradnl"/>
        </w:rPr>
        <w:t>está determinada</w:t>
      </w:r>
      <w:r w:rsidR="00AA5701" w:rsidRPr="00E27227">
        <w:rPr>
          <w:rFonts w:ascii="Arial" w:hAnsi="Arial" w:cs="Arial"/>
          <w:bCs/>
          <w:lang w:val="es-ES_tradnl"/>
        </w:rPr>
        <w:t xml:space="preserve"> en gran medida</w:t>
      </w:r>
      <w:r w:rsidR="00D55330" w:rsidRPr="00E27227">
        <w:rPr>
          <w:rFonts w:ascii="Arial" w:hAnsi="Arial" w:cs="Arial"/>
          <w:bCs/>
          <w:lang w:val="es-ES_tradnl"/>
        </w:rPr>
        <w:t xml:space="preserve"> por</w:t>
      </w:r>
      <w:r w:rsidR="00AA5701" w:rsidRPr="00E27227">
        <w:rPr>
          <w:rFonts w:ascii="Arial" w:hAnsi="Arial" w:cs="Arial"/>
          <w:bCs/>
          <w:lang w:val="es-ES_tradnl"/>
        </w:rPr>
        <w:t xml:space="preserve"> la</w:t>
      </w:r>
      <w:r w:rsidR="00D55330" w:rsidRPr="00E27227">
        <w:rPr>
          <w:rFonts w:ascii="Arial" w:hAnsi="Arial" w:cs="Arial"/>
          <w:bCs/>
          <w:lang w:val="es-ES_tradnl"/>
        </w:rPr>
        <w:t xml:space="preserve"> costumbre e</w:t>
      </w:r>
      <w:r w:rsidRPr="00E27227">
        <w:rPr>
          <w:rFonts w:ascii="Arial" w:hAnsi="Arial" w:cs="Arial"/>
          <w:bCs/>
          <w:lang w:val="es-ES_tradnl"/>
        </w:rPr>
        <w:t xml:space="preserve"> incluso, </w:t>
      </w:r>
      <w:r w:rsidR="00D55330" w:rsidRPr="00E27227">
        <w:rPr>
          <w:rFonts w:ascii="Arial" w:hAnsi="Arial" w:cs="Arial"/>
          <w:bCs/>
          <w:lang w:val="es-ES_tradnl"/>
        </w:rPr>
        <w:t>por</w:t>
      </w:r>
      <w:r w:rsidRPr="00E27227">
        <w:rPr>
          <w:rFonts w:ascii="Arial" w:hAnsi="Arial" w:cs="Arial"/>
          <w:bCs/>
          <w:lang w:val="es-ES_tradnl"/>
        </w:rPr>
        <w:t xml:space="preserve"> la formación universitaria que reciben los ingenieros</w:t>
      </w:r>
      <w:r w:rsidR="00AA5701" w:rsidRPr="00E27227">
        <w:rPr>
          <w:rFonts w:ascii="Arial" w:hAnsi="Arial" w:cs="Arial"/>
          <w:bCs/>
          <w:lang w:val="es-ES_tradnl"/>
        </w:rPr>
        <w:t>, y por supuesto, por la justificación que se haga de las mismas en el marco de los estudios y documentos previos de los respectivos procesos de contratación.</w:t>
      </w:r>
      <w:r w:rsidRPr="00E27227">
        <w:rPr>
          <w:rFonts w:ascii="Arial" w:hAnsi="Arial" w:cs="Arial"/>
          <w:bCs/>
          <w:lang w:val="es-ES_tradnl"/>
        </w:rPr>
        <w:t xml:space="preserve"> </w:t>
      </w:r>
    </w:p>
    <w:p w14:paraId="1EEC1999" w14:textId="4A25C789" w:rsidR="00AF0F97" w:rsidRPr="00696ABB" w:rsidRDefault="00AF3831" w:rsidP="00E27227">
      <w:pPr>
        <w:spacing w:before="120" w:after="120" w:line="276" w:lineRule="auto"/>
        <w:ind w:firstLine="709"/>
        <w:jc w:val="both"/>
        <w:rPr>
          <w:rFonts w:ascii="Arial" w:hAnsi="Arial" w:cs="Arial"/>
          <w:lang w:val="es-ES_tradnl"/>
        </w:rPr>
      </w:pPr>
      <w:r w:rsidRPr="00E27227">
        <w:rPr>
          <w:rFonts w:ascii="Arial" w:eastAsia="Times New Roman" w:hAnsi="Arial" w:cs="Arial"/>
          <w:bCs/>
          <w:szCs w:val="24"/>
          <w:lang w:val="es-ES_tradnl" w:eastAsia="es-MX"/>
        </w:rPr>
        <w:t>Conforme a lo explicado, tanto</w:t>
      </w:r>
      <w:r w:rsidR="00AF0F97" w:rsidRPr="00696ABB">
        <w:rPr>
          <w:rFonts w:ascii="Arial" w:eastAsia="Times New Roman" w:hAnsi="Arial" w:cs="Arial"/>
          <w:bCs/>
          <w:szCs w:val="24"/>
          <w:lang w:val="es-ES_tradnl" w:eastAsia="es-MX"/>
        </w:rPr>
        <w:t xml:space="preserve"> las entidades sometidas al Estatuto General de Contratación de la Administración Pública, como las excluidas de este –es decir, las que tienen un régimen especial– gozan de autonomía para configurar el precio y para establecer la metodología más apropiada para satisfacer los fines de la contratación estatal, respetando los límites previstos en el ordenamiento jurídico. En tal perspectiva, cuentan con discrecionalidad para establecer en el pliego de condiciones o en su documento equivalente, así como en el contrato, el sistema de precios que la entidad considere pertinente para el proceso contractual</w:t>
      </w:r>
      <w:r w:rsidR="00810492" w:rsidRPr="00E27227">
        <w:rPr>
          <w:rFonts w:ascii="Arial" w:eastAsia="Times New Roman" w:hAnsi="Arial" w:cs="Arial"/>
          <w:bCs/>
          <w:szCs w:val="24"/>
          <w:lang w:val="es-ES_tradnl" w:eastAsia="es-MX"/>
        </w:rPr>
        <w:t xml:space="preserve">, de acuerdo </w:t>
      </w:r>
      <w:r w:rsidR="003B152E" w:rsidRPr="00E27227">
        <w:rPr>
          <w:rFonts w:ascii="Arial" w:hAnsi="Arial" w:cs="Arial"/>
          <w:lang w:val="es-ES_tradnl"/>
        </w:rPr>
        <w:t xml:space="preserve">con el </w:t>
      </w:r>
      <w:r w:rsidR="00AF0F97" w:rsidRPr="00696ABB">
        <w:rPr>
          <w:rFonts w:ascii="Arial" w:hAnsi="Arial" w:cs="Arial"/>
          <w:lang w:val="es-ES_tradnl"/>
        </w:rPr>
        <w:t>análisis que efectué y del cual concluya que se ajustan de mejor forma a los intereses agenciados en el marco de sus competencias.</w:t>
      </w:r>
    </w:p>
    <w:p w14:paraId="4553954C" w14:textId="3F1E2412" w:rsidR="000446AF" w:rsidRPr="00E27227" w:rsidRDefault="00872709" w:rsidP="00A26A52">
      <w:pPr>
        <w:spacing w:after="0" w:line="276" w:lineRule="auto"/>
        <w:jc w:val="both"/>
        <w:rPr>
          <w:rFonts w:ascii="Arial" w:eastAsia="Calibri" w:hAnsi="Arial" w:cs="Arial"/>
        </w:rPr>
      </w:pPr>
      <w:r w:rsidRPr="00696ABB">
        <w:rPr>
          <w:rFonts w:ascii="Arial" w:eastAsia="Calibri" w:hAnsi="Arial" w:cs="Arial"/>
        </w:rPr>
        <w:t>Este concepto tiene el alcance previsto en el artículo 28 del Código de Procedimiento Administrativo y de lo Contencioso Administrativo.</w:t>
      </w:r>
      <w:r w:rsidR="000446AF" w:rsidRPr="00696ABB">
        <w:rPr>
          <w:rFonts w:ascii="Arial" w:eastAsia="Calibri" w:hAnsi="Arial" w:cs="Arial"/>
        </w:rPr>
        <w:t xml:space="preserve"> </w:t>
      </w:r>
    </w:p>
    <w:p w14:paraId="4D378D9F" w14:textId="77777777" w:rsidR="00A26A52" w:rsidRPr="00696ABB" w:rsidRDefault="00A26A52" w:rsidP="00E27227">
      <w:pPr>
        <w:spacing w:after="0" w:line="276" w:lineRule="auto"/>
        <w:jc w:val="both"/>
        <w:rPr>
          <w:rFonts w:ascii="Arial" w:eastAsia="Calibri" w:hAnsi="Arial" w:cs="Arial"/>
        </w:rPr>
      </w:pPr>
    </w:p>
    <w:p w14:paraId="745C3C24" w14:textId="1E49CCCB" w:rsidR="00A26A52" w:rsidRPr="00E27227" w:rsidRDefault="000446AF" w:rsidP="00E27227">
      <w:pPr>
        <w:spacing w:after="120" w:line="276" w:lineRule="auto"/>
        <w:jc w:val="both"/>
        <w:rPr>
          <w:rFonts w:ascii="Arial" w:eastAsia="Calibri" w:hAnsi="Arial" w:cs="Arial"/>
          <w:sz w:val="24"/>
        </w:rPr>
      </w:pPr>
      <w:r w:rsidRPr="00696ABB">
        <w:rPr>
          <w:rFonts w:ascii="Arial" w:eastAsia="Calibri" w:hAnsi="Arial" w:cs="Arial"/>
        </w:rPr>
        <w:t xml:space="preserve">Atentamente, </w:t>
      </w:r>
    </w:p>
    <w:bookmarkEnd w:id="0"/>
    <w:p w14:paraId="458CD184" w14:textId="374D30B5" w:rsidR="00A26A52" w:rsidRPr="00E27227" w:rsidRDefault="00AA4354" w:rsidP="00AA4354">
      <w:pPr>
        <w:spacing w:after="120" w:line="276" w:lineRule="auto"/>
        <w:jc w:val="center"/>
        <w:rPr>
          <w:rFonts w:ascii="Arial" w:eastAsia="Calibri" w:hAnsi="Arial" w:cs="Arial"/>
          <w:sz w:val="24"/>
        </w:rPr>
      </w:pPr>
      <w:r>
        <w:rPr>
          <w:noProof/>
        </w:rPr>
        <w:drawing>
          <wp:inline distT="0" distB="0" distL="0" distR="0" wp14:anchorId="4FA81977" wp14:editId="7EE5CB7C">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135FBD" w:rsidRPr="00696ABB" w14:paraId="2C00F86C" w14:textId="77777777" w:rsidTr="00135FBD">
        <w:trPr>
          <w:trHeight w:val="286"/>
        </w:trPr>
        <w:tc>
          <w:tcPr>
            <w:tcW w:w="817" w:type="dxa"/>
            <w:vAlign w:val="center"/>
          </w:tcPr>
          <w:p w14:paraId="18755AA2" w14:textId="77777777" w:rsidR="00135FBD" w:rsidRPr="00696ABB" w:rsidRDefault="00135FBD" w:rsidP="00135FBD">
            <w:pPr>
              <w:spacing w:before="0"/>
              <w:rPr>
                <w:rFonts w:ascii="Arial" w:hAnsi="Arial" w:cs="Arial"/>
                <w:sz w:val="16"/>
                <w:szCs w:val="16"/>
              </w:rPr>
            </w:pPr>
            <w:r w:rsidRPr="00696ABB">
              <w:rPr>
                <w:rFonts w:ascii="Arial" w:hAnsi="Arial" w:cs="Arial"/>
                <w:sz w:val="16"/>
                <w:szCs w:val="16"/>
              </w:rPr>
              <w:t>Elaboró:</w:t>
            </w:r>
          </w:p>
        </w:tc>
        <w:tc>
          <w:tcPr>
            <w:tcW w:w="4445" w:type="dxa"/>
            <w:tcBorders>
              <w:bottom w:val="dotted" w:sz="4" w:space="0" w:color="7F7F7F"/>
            </w:tcBorders>
            <w:vAlign w:val="center"/>
          </w:tcPr>
          <w:p w14:paraId="6922ADF9" w14:textId="77777777" w:rsidR="00135FBD" w:rsidRPr="00696ABB" w:rsidRDefault="00135FBD" w:rsidP="00135FBD">
            <w:pPr>
              <w:spacing w:before="0"/>
              <w:rPr>
                <w:rFonts w:ascii="Arial" w:hAnsi="Arial" w:cs="Arial"/>
                <w:sz w:val="16"/>
                <w:szCs w:val="16"/>
              </w:rPr>
            </w:pPr>
            <w:r w:rsidRPr="00696ABB">
              <w:rPr>
                <w:rFonts w:ascii="Arial" w:hAnsi="Arial" w:cs="Arial"/>
                <w:sz w:val="16"/>
                <w:szCs w:val="16"/>
              </w:rPr>
              <w:t xml:space="preserve">Diana Fabiola Herrera Hernández </w:t>
            </w:r>
          </w:p>
          <w:p w14:paraId="72792157" w14:textId="77777777" w:rsidR="00135FBD" w:rsidRPr="00696ABB" w:rsidRDefault="00135FBD" w:rsidP="00135FBD">
            <w:pPr>
              <w:spacing w:before="0"/>
              <w:rPr>
                <w:rFonts w:ascii="Arial" w:hAnsi="Arial" w:cs="Arial"/>
                <w:sz w:val="16"/>
                <w:szCs w:val="16"/>
              </w:rPr>
            </w:pPr>
            <w:r w:rsidRPr="00696ABB">
              <w:rPr>
                <w:rFonts w:ascii="Arial" w:hAnsi="Arial" w:cs="Arial"/>
                <w:sz w:val="16"/>
                <w:szCs w:val="16"/>
              </w:rPr>
              <w:t>Contratista de la Subdirección de Gestión Contractual</w:t>
            </w:r>
          </w:p>
        </w:tc>
      </w:tr>
      <w:tr w:rsidR="00035B29" w:rsidRPr="00696ABB" w14:paraId="5E0B62B1" w14:textId="77777777" w:rsidTr="00135FBD">
        <w:trPr>
          <w:trHeight w:val="286"/>
        </w:trPr>
        <w:tc>
          <w:tcPr>
            <w:tcW w:w="817" w:type="dxa"/>
            <w:vAlign w:val="center"/>
          </w:tcPr>
          <w:p w14:paraId="67EBD476" w14:textId="2D5463F7" w:rsidR="00035B29" w:rsidRPr="00696ABB" w:rsidRDefault="00035B29" w:rsidP="00135FBD">
            <w:pPr>
              <w:rPr>
                <w:rFonts w:ascii="Arial" w:hAnsi="Arial" w:cs="Arial"/>
                <w:sz w:val="16"/>
                <w:szCs w:val="16"/>
              </w:rPr>
            </w:pPr>
            <w:r w:rsidRPr="00696ABB">
              <w:rPr>
                <w:rFonts w:ascii="Arial" w:hAnsi="Arial" w:cs="Arial"/>
                <w:sz w:val="16"/>
                <w:szCs w:val="16"/>
              </w:rPr>
              <w:t>Revisó:</w:t>
            </w:r>
          </w:p>
        </w:tc>
        <w:tc>
          <w:tcPr>
            <w:tcW w:w="4445" w:type="dxa"/>
            <w:tcBorders>
              <w:bottom w:val="dotted" w:sz="4" w:space="0" w:color="7F7F7F"/>
            </w:tcBorders>
            <w:vAlign w:val="center"/>
          </w:tcPr>
          <w:p w14:paraId="67E255D9" w14:textId="6B19EB3E" w:rsidR="00035B29" w:rsidRPr="00696ABB" w:rsidRDefault="009C2884" w:rsidP="00270E5E">
            <w:pPr>
              <w:spacing w:before="0"/>
              <w:rPr>
                <w:rFonts w:ascii="Arial" w:hAnsi="Arial" w:cs="Arial"/>
                <w:sz w:val="16"/>
                <w:szCs w:val="16"/>
              </w:rPr>
            </w:pPr>
            <w:r w:rsidRPr="00696ABB">
              <w:rPr>
                <w:rFonts w:ascii="Arial" w:hAnsi="Arial" w:cs="Arial"/>
                <w:sz w:val="16"/>
                <w:szCs w:val="16"/>
              </w:rPr>
              <w:t xml:space="preserve">Alejandro Sarmiento Cantillo </w:t>
            </w:r>
          </w:p>
          <w:p w14:paraId="5D4292EC" w14:textId="1D30EF5D" w:rsidR="0046733C" w:rsidRPr="00696ABB" w:rsidRDefault="009C2884" w:rsidP="00270E5E">
            <w:pPr>
              <w:spacing w:before="0"/>
              <w:rPr>
                <w:rFonts w:ascii="Arial" w:hAnsi="Arial" w:cs="Arial"/>
                <w:sz w:val="16"/>
                <w:szCs w:val="16"/>
                <w:highlight w:val="yellow"/>
              </w:rPr>
            </w:pPr>
            <w:r w:rsidRPr="00696ABB">
              <w:rPr>
                <w:rFonts w:ascii="Arial" w:hAnsi="Arial" w:cs="Arial"/>
                <w:sz w:val="16"/>
                <w:szCs w:val="16"/>
              </w:rPr>
              <w:t>Gestor T1-15 de la Subdirección de Gestión Contractual</w:t>
            </w:r>
          </w:p>
        </w:tc>
      </w:tr>
      <w:tr w:rsidR="00135FBD" w:rsidRPr="00696ABB" w14:paraId="2AF2F00D" w14:textId="77777777" w:rsidTr="00135FBD">
        <w:trPr>
          <w:trHeight w:val="299"/>
        </w:trPr>
        <w:tc>
          <w:tcPr>
            <w:tcW w:w="817" w:type="dxa"/>
            <w:vAlign w:val="center"/>
          </w:tcPr>
          <w:p w14:paraId="3C471DC7" w14:textId="37D00DBD" w:rsidR="00135FBD" w:rsidRPr="00696ABB" w:rsidRDefault="00035B29" w:rsidP="00135FBD">
            <w:pPr>
              <w:spacing w:before="0"/>
              <w:rPr>
                <w:rFonts w:ascii="Arial" w:hAnsi="Arial" w:cs="Arial"/>
                <w:sz w:val="16"/>
                <w:szCs w:val="16"/>
              </w:rPr>
            </w:pPr>
            <w:r w:rsidRPr="00696ABB">
              <w:rPr>
                <w:rFonts w:ascii="Arial" w:hAnsi="Arial" w:cs="Arial"/>
                <w:sz w:val="16"/>
                <w:szCs w:val="16"/>
              </w:rPr>
              <w:t>Aprobó</w:t>
            </w:r>
            <w:r w:rsidR="00135FBD" w:rsidRPr="00696ABB">
              <w:rPr>
                <w:rFonts w:ascii="Arial" w:hAnsi="Arial" w:cs="Arial"/>
                <w:sz w:val="16"/>
                <w:szCs w:val="16"/>
              </w:rPr>
              <w:t>:</w:t>
            </w:r>
          </w:p>
        </w:tc>
        <w:tc>
          <w:tcPr>
            <w:tcW w:w="4445" w:type="dxa"/>
            <w:tcBorders>
              <w:top w:val="dotted" w:sz="4" w:space="0" w:color="7F7F7F"/>
              <w:bottom w:val="dotted" w:sz="4" w:space="0" w:color="7F7F7F"/>
            </w:tcBorders>
            <w:vAlign w:val="center"/>
          </w:tcPr>
          <w:p w14:paraId="0D057D0A" w14:textId="77777777" w:rsidR="00A26A52" w:rsidRPr="00E27227" w:rsidRDefault="00A26A52" w:rsidP="00E27227">
            <w:pPr>
              <w:spacing w:before="0"/>
              <w:rPr>
                <w:rFonts w:ascii="Arial" w:hAnsi="Arial" w:cs="Arial"/>
                <w:sz w:val="16"/>
                <w:szCs w:val="16"/>
              </w:rPr>
            </w:pPr>
            <w:r w:rsidRPr="00E27227">
              <w:rPr>
                <w:rFonts w:ascii="Arial" w:hAnsi="Arial" w:cs="Arial"/>
                <w:sz w:val="16"/>
                <w:szCs w:val="16"/>
              </w:rPr>
              <w:t xml:space="preserve">Nohelia del Carmen </w:t>
            </w:r>
            <w:proofErr w:type="spellStart"/>
            <w:r w:rsidRPr="00E27227">
              <w:rPr>
                <w:rFonts w:ascii="Arial" w:hAnsi="Arial" w:cs="Arial"/>
                <w:sz w:val="16"/>
                <w:szCs w:val="16"/>
              </w:rPr>
              <w:t>Zawady</w:t>
            </w:r>
            <w:proofErr w:type="spellEnd"/>
            <w:r w:rsidRPr="00E27227">
              <w:rPr>
                <w:rFonts w:ascii="Arial" w:hAnsi="Arial" w:cs="Arial"/>
                <w:sz w:val="16"/>
                <w:szCs w:val="16"/>
              </w:rPr>
              <w:t xml:space="preserve"> Palacio</w:t>
            </w:r>
          </w:p>
          <w:p w14:paraId="452B589A" w14:textId="27566603" w:rsidR="00135FBD" w:rsidRPr="00696ABB" w:rsidRDefault="00A26A52" w:rsidP="00A26A52">
            <w:pPr>
              <w:spacing w:before="0"/>
              <w:rPr>
                <w:rFonts w:ascii="Arial" w:hAnsi="Arial" w:cs="Arial"/>
                <w:sz w:val="16"/>
                <w:szCs w:val="16"/>
              </w:rPr>
            </w:pPr>
            <w:r w:rsidRPr="00E27227">
              <w:rPr>
                <w:rFonts w:ascii="Arial" w:hAnsi="Arial" w:cs="Arial"/>
                <w:sz w:val="16"/>
                <w:szCs w:val="16"/>
              </w:rPr>
              <w:t>Subdirectora de Gestión Contractual ANCP-CCE</w:t>
            </w:r>
          </w:p>
        </w:tc>
      </w:tr>
    </w:tbl>
    <w:p w14:paraId="3E6BB58D" w14:textId="4520BAF0" w:rsidR="00135FBD" w:rsidRPr="00E27227" w:rsidRDefault="00135FBD">
      <w:pPr>
        <w:rPr>
          <w:rFonts w:ascii="Arial" w:hAnsi="Arial" w:cs="Arial"/>
        </w:rPr>
      </w:pPr>
    </w:p>
    <w:p w14:paraId="13B0656D" w14:textId="77777777" w:rsidR="00135FBD" w:rsidRPr="00E27227" w:rsidRDefault="00135FBD">
      <w:pPr>
        <w:rPr>
          <w:rFonts w:ascii="Arial" w:hAnsi="Arial" w:cs="Arial"/>
        </w:rPr>
      </w:pPr>
    </w:p>
    <w:sectPr w:rsidR="00135FBD" w:rsidRPr="00E27227" w:rsidSect="00E27227">
      <w:headerReference w:type="default" r:id="rId14"/>
      <w:footerReference w:type="default" r:id="rId15"/>
      <w:pgSz w:w="12240" w:h="15840"/>
      <w:pgMar w:top="1779" w:right="1750" w:bottom="1276"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F39A" w14:textId="77777777" w:rsidR="00103A5D" w:rsidRDefault="00103A5D" w:rsidP="00137E23">
      <w:pPr>
        <w:spacing w:after="0" w:line="240" w:lineRule="auto"/>
      </w:pPr>
      <w:r>
        <w:separator/>
      </w:r>
    </w:p>
  </w:endnote>
  <w:endnote w:type="continuationSeparator" w:id="0">
    <w:p w14:paraId="4B4A4DE9" w14:textId="77777777" w:rsidR="00103A5D" w:rsidRDefault="00103A5D" w:rsidP="0013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6288" w14:textId="77777777" w:rsidR="000E0524" w:rsidRPr="00137E23" w:rsidRDefault="00161488" w:rsidP="005A79FE">
    <w:pPr>
      <w:pStyle w:val="Piedepgina"/>
      <w:jc w:val="right"/>
      <w:rPr>
        <w:rFonts w:ascii="Arial" w:hAnsi="Arial" w:cs="Arial"/>
        <w:color w:val="7F7F7F"/>
        <w:sz w:val="16"/>
        <w:szCs w:val="16"/>
      </w:rPr>
    </w:pPr>
    <w:r w:rsidRPr="00137E23">
      <w:rPr>
        <w:rFonts w:ascii="Arial" w:hAnsi="Arial" w:cs="Arial"/>
        <w:bCs/>
        <w:color w:val="7F7F7F"/>
        <w:sz w:val="16"/>
        <w:szCs w:val="16"/>
      </w:rPr>
      <w:t xml:space="preserve">Página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PAGE  \* Arabic  \* MERGEFORMAT</w:instrText>
    </w:r>
    <w:r w:rsidRPr="00137E23">
      <w:rPr>
        <w:rFonts w:ascii="Arial" w:hAnsi="Arial" w:cs="Arial"/>
        <w:b/>
        <w:bCs/>
        <w:color w:val="7F7F7F"/>
        <w:sz w:val="16"/>
        <w:szCs w:val="16"/>
      </w:rPr>
      <w:fldChar w:fldCharType="separate"/>
    </w:r>
    <w:r w:rsidR="00AF0F97">
      <w:rPr>
        <w:rFonts w:ascii="Arial" w:hAnsi="Arial" w:cs="Arial"/>
        <w:b/>
        <w:bCs/>
        <w:noProof/>
        <w:color w:val="7F7F7F"/>
        <w:sz w:val="16"/>
        <w:szCs w:val="16"/>
      </w:rPr>
      <w:t>26</w:t>
    </w:r>
    <w:r w:rsidRPr="00137E23">
      <w:rPr>
        <w:rFonts w:ascii="Arial" w:hAnsi="Arial" w:cs="Arial"/>
        <w:b/>
        <w:bCs/>
        <w:color w:val="7F7F7F"/>
        <w:sz w:val="16"/>
        <w:szCs w:val="16"/>
      </w:rPr>
      <w:fldChar w:fldCharType="end"/>
    </w:r>
    <w:r w:rsidRPr="00137E23">
      <w:rPr>
        <w:rFonts w:ascii="Arial" w:hAnsi="Arial" w:cs="Arial"/>
        <w:color w:val="7F7F7F"/>
        <w:sz w:val="16"/>
        <w:szCs w:val="16"/>
      </w:rPr>
      <w:t xml:space="preserve"> de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NUMPAGES  \* Arabic  \* MERGEFORMAT</w:instrText>
    </w:r>
    <w:r w:rsidRPr="00137E23">
      <w:rPr>
        <w:rFonts w:ascii="Arial" w:hAnsi="Arial" w:cs="Arial"/>
        <w:b/>
        <w:bCs/>
        <w:color w:val="7F7F7F"/>
        <w:sz w:val="16"/>
        <w:szCs w:val="16"/>
      </w:rPr>
      <w:fldChar w:fldCharType="separate"/>
    </w:r>
    <w:r w:rsidR="00AF0F97">
      <w:rPr>
        <w:rFonts w:ascii="Arial" w:hAnsi="Arial" w:cs="Arial"/>
        <w:b/>
        <w:bCs/>
        <w:noProof/>
        <w:color w:val="7F7F7F"/>
        <w:sz w:val="16"/>
        <w:szCs w:val="16"/>
      </w:rPr>
      <w:t>28</w:t>
    </w:r>
    <w:r w:rsidRPr="00137E23">
      <w:rPr>
        <w:rFonts w:ascii="Arial" w:hAnsi="Arial" w:cs="Arial"/>
        <w:b/>
        <w:bCs/>
        <w:color w:val="7F7F7F"/>
        <w:sz w:val="16"/>
        <w:szCs w:val="16"/>
      </w:rPr>
      <w:fldChar w:fldCharType="end"/>
    </w:r>
  </w:p>
  <w:p w14:paraId="2D5BEE4C" w14:textId="77777777" w:rsidR="00904AEE" w:rsidRDefault="00904AEE" w:rsidP="007B0854">
    <w:pPr>
      <w:pStyle w:val="Piedepgina"/>
      <w:jc w:val="center"/>
    </w:pPr>
    <w:r>
      <w:rPr>
        <w:noProof/>
        <w:lang w:val="es-CO" w:eastAsia="es-CO"/>
      </w:rPr>
      <w:drawing>
        <wp:inline distT="0" distB="0" distL="0" distR="0" wp14:anchorId="719F7F69" wp14:editId="578D8011">
          <wp:extent cx="5581015" cy="867211"/>
          <wp:effectExtent l="0" t="0" r="635" b="952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81015" cy="867211"/>
                  </a:xfrm>
                  <a:prstGeom prst="rect">
                    <a:avLst/>
                  </a:prstGeom>
                </pic:spPr>
              </pic:pic>
            </a:graphicData>
          </a:graphic>
        </wp:inline>
      </w:drawing>
    </w:r>
  </w:p>
  <w:tbl>
    <w:tblPr>
      <w:tblStyle w:val="Tablaconcuadrcula"/>
      <w:tblW w:w="86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43"/>
      <w:gridCol w:w="827"/>
      <w:gridCol w:w="1670"/>
      <w:gridCol w:w="710"/>
      <w:gridCol w:w="2587"/>
      <w:gridCol w:w="1432"/>
    </w:tblGrid>
    <w:tr w:rsidR="00904AEE" w:rsidRPr="00080DA3" w14:paraId="571E2687" w14:textId="77777777" w:rsidTr="00904AEE">
      <w:trPr>
        <w:trHeight w:val="291"/>
        <w:jc w:val="center"/>
      </w:trPr>
      <w:tc>
        <w:tcPr>
          <w:tcW w:w="811"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AD1A61D" w14:textId="77777777" w:rsidR="00904AEE" w:rsidRPr="00080DA3" w:rsidRDefault="00904AEE" w:rsidP="00904AE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4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7DE6B79" w14:textId="77777777" w:rsidR="00904AEE" w:rsidRPr="00080DA3" w:rsidRDefault="00904AEE" w:rsidP="00904AE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27"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ACDB8A1" w14:textId="77777777" w:rsidR="00904AEE" w:rsidRPr="00080DA3" w:rsidRDefault="00904AEE" w:rsidP="00904AE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672"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130D0C1" w14:textId="77777777" w:rsidR="00904AEE" w:rsidRPr="004B6B0E" w:rsidRDefault="00904AEE" w:rsidP="00904AEE">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1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8C554E7" w14:textId="77777777" w:rsidR="00904AEE" w:rsidRPr="00080DA3" w:rsidRDefault="00904AEE" w:rsidP="00904AE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59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5570520" w14:textId="77777777" w:rsidR="00904AEE" w:rsidRPr="00080DA3" w:rsidRDefault="00904AEE" w:rsidP="00904AEE">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43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66C62FC" w14:textId="77777777" w:rsidR="00904AEE" w:rsidRPr="00080DA3" w:rsidRDefault="00904AEE" w:rsidP="00904AEE">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AF0F97">
            <w:rPr>
              <w:rFonts w:ascii="Geomanist Light" w:hAnsi="Geomanist Light"/>
              <w:b/>
              <w:bCs/>
              <w:noProof/>
              <w:sz w:val="18"/>
              <w:szCs w:val="18"/>
            </w:rPr>
            <w:t>26</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AF0F97">
            <w:rPr>
              <w:rFonts w:ascii="Geomanist Light" w:hAnsi="Geomanist Light"/>
              <w:b/>
              <w:bCs/>
              <w:noProof/>
              <w:sz w:val="18"/>
              <w:szCs w:val="18"/>
            </w:rPr>
            <w:t>28</w:t>
          </w:r>
          <w:r w:rsidRPr="00080DA3">
            <w:rPr>
              <w:rFonts w:ascii="Geomanist Light" w:hAnsi="Geomanist Light"/>
              <w:b/>
              <w:bCs/>
              <w:sz w:val="18"/>
              <w:szCs w:val="18"/>
            </w:rPr>
            <w:fldChar w:fldCharType="end"/>
          </w:r>
        </w:p>
      </w:tc>
    </w:tr>
  </w:tbl>
  <w:p w14:paraId="7FF1EFC4" w14:textId="39DEA490" w:rsidR="000E0524" w:rsidRDefault="00000000" w:rsidP="007B0854">
    <w:pPr>
      <w:pStyle w:val="Piedepgina"/>
      <w:jc w:val="center"/>
    </w:pPr>
  </w:p>
  <w:p w14:paraId="7F8835C6" w14:textId="77777777" w:rsidR="000E0524" w:rsidRPr="007B0854" w:rsidRDefault="00000000"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96A1" w14:textId="77777777" w:rsidR="00103A5D" w:rsidRDefault="00103A5D" w:rsidP="00137E23">
      <w:pPr>
        <w:spacing w:after="0" w:line="240" w:lineRule="auto"/>
      </w:pPr>
      <w:r>
        <w:separator/>
      </w:r>
    </w:p>
  </w:footnote>
  <w:footnote w:type="continuationSeparator" w:id="0">
    <w:p w14:paraId="2EC4EB71" w14:textId="77777777" w:rsidR="00103A5D" w:rsidRDefault="00103A5D" w:rsidP="00137E23">
      <w:pPr>
        <w:spacing w:after="0" w:line="240" w:lineRule="auto"/>
      </w:pPr>
      <w:r>
        <w:continuationSeparator/>
      </w:r>
    </w:p>
  </w:footnote>
  <w:footnote w:id="1">
    <w:p w14:paraId="37E18609" w14:textId="77777777" w:rsidR="00B42724" w:rsidRPr="00E27227" w:rsidRDefault="00B42724" w:rsidP="00B42724">
      <w:pPr>
        <w:pStyle w:val="Textonotapie"/>
        <w:ind w:firstLine="709"/>
        <w:jc w:val="both"/>
        <w:rPr>
          <w:rFonts w:ascii="Arial" w:hAnsi="Arial" w:cs="Arial"/>
          <w:color w:val="000000" w:themeColor="text1"/>
          <w:sz w:val="18"/>
          <w:szCs w:val="18"/>
        </w:rPr>
      </w:pPr>
      <w:r w:rsidRPr="00E27227">
        <w:rPr>
          <w:rStyle w:val="Refdenotaalpie"/>
          <w:rFonts w:ascii="Arial" w:hAnsi="Arial" w:cs="Arial"/>
          <w:color w:val="000000" w:themeColor="text1"/>
          <w:sz w:val="18"/>
          <w:szCs w:val="18"/>
        </w:rPr>
        <w:footnoteRef/>
      </w:r>
      <w:r w:rsidRPr="00E27227">
        <w:rPr>
          <w:rFonts w:ascii="Arial" w:hAnsi="Arial" w:cs="Arial"/>
          <w:color w:val="000000" w:themeColor="text1"/>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27227">
        <w:rPr>
          <w:rFonts w:ascii="Arial" w:hAnsi="Arial" w:cs="Arial"/>
          <w:i/>
          <w:iCs/>
          <w:color w:val="000000" w:themeColor="text1"/>
          <w:sz w:val="18"/>
          <w:szCs w:val="18"/>
        </w:rPr>
        <w:t xml:space="preserve">ibidem </w:t>
      </w:r>
      <w:r w:rsidRPr="00E27227">
        <w:rPr>
          <w:rFonts w:ascii="Arial" w:hAnsi="Arial" w:cs="Arial"/>
          <w:color w:val="000000" w:themeColor="text1"/>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BB4E1B8" w14:textId="77777777" w:rsidR="00D50D06" w:rsidRPr="00E27227" w:rsidRDefault="00D50D06" w:rsidP="00D50D06">
      <w:pPr>
        <w:ind w:firstLine="707"/>
        <w:jc w:val="both"/>
        <w:rPr>
          <w:rFonts w:ascii="Arial" w:hAnsi="Arial" w:cs="Arial"/>
          <w:sz w:val="18"/>
          <w:szCs w:val="18"/>
        </w:rPr>
      </w:pPr>
      <w:r w:rsidRPr="00E27227">
        <w:rPr>
          <w:rStyle w:val="Refdenotaalpie"/>
          <w:rFonts w:ascii="Arial" w:hAnsi="Arial" w:cs="Arial"/>
          <w:sz w:val="18"/>
          <w:szCs w:val="18"/>
        </w:rPr>
        <w:footnoteRef/>
      </w:r>
      <w:r w:rsidRPr="00E27227">
        <w:rPr>
          <w:rFonts w:ascii="Arial" w:hAnsi="Arial" w:cs="Arial"/>
          <w:position w:val="6"/>
          <w:sz w:val="18"/>
          <w:szCs w:val="18"/>
        </w:rPr>
        <w:t xml:space="preserve"> </w:t>
      </w:r>
      <w:r w:rsidRPr="00E27227">
        <w:rPr>
          <w:rFonts w:ascii="Arial" w:hAnsi="Arial" w:cs="Arial"/>
          <w:sz w:val="18"/>
          <w:szCs w:val="18"/>
        </w:rPr>
        <w:t>DEIK ACOSTAMADIEDO, Carolina, Guía de Contratación Estatal: Deber de planeación y modalidades de selección, Buenos Aires, 2015, p. 59.</w:t>
      </w:r>
    </w:p>
    <w:p w14:paraId="7544281B" w14:textId="77777777" w:rsidR="00D50D06" w:rsidRPr="00E27227" w:rsidRDefault="00D50D06" w:rsidP="00D50D06">
      <w:pPr>
        <w:pStyle w:val="Textonotapie"/>
        <w:jc w:val="both"/>
        <w:rPr>
          <w:rFonts w:ascii="Arial" w:hAnsi="Arial" w:cs="Arial"/>
          <w:sz w:val="18"/>
          <w:szCs w:val="18"/>
        </w:rPr>
      </w:pPr>
    </w:p>
  </w:footnote>
  <w:footnote w:id="3">
    <w:p w14:paraId="52C392F6" w14:textId="77777777" w:rsidR="00D50D06" w:rsidRPr="00E27227" w:rsidRDefault="00D50D06" w:rsidP="00D50D06">
      <w:pPr>
        <w:pStyle w:val="Textoindependiente"/>
        <w:ind w:firstLine="709"/>
        <w:jc w:val="both"/>
        <w:rPr>
          <w:sz w:val="18"/>
          <w:szCs w:val="18"/>
        </w:rPr>
      </w:pPr>
      <w:r w:rsidRPr="00E27227">
        <w:rPr>
          <w:rStyle w:val="Refdenotaalpie"/>
          <w:sz w:val="18"/>
          <w:szCs w:val="18"/>
        </w:rPr>
        <w:footnoteRef/>
      </w:r>
      <w:r w:rsidRPr="00E27227">
        <w:rPr>
          <w:sz w:val="18"/>
          <w:szCs w:val="18"/>
        </w:rPr>
        <w:t xml:space="preserve"> </w:t>
      </w:r>
      <w:r w:rsidRPr="00E27227">
        <w:rPr>
          <w:position w:val="6"/>
          <w:sz w:val="18"/>
          <w:szCs w:val="18"/>
        </w:rPr>
        <w:t xml:space="preserve"> </w:t>
      </w:r>
      <w:r w:rsidRPr="00E27227">
        <w:rPr>
          <w:sz w:val="18"/>
          <w:szCs w:val="18"/>
        </w:rPr>
        <w:t xml:space="preserve">«Artículo </w:t>
      </w:r>
      <w:bookmarkStart w:id="3" w:name="_Hlk54173885"/>
      <w:r w:rsidRPr="00E27227">
        <w:rPr>
          <w:sz w:val="18"/>
          <w:szCs w:val="18"/>
        </w:rPr>
        <w:t>2.2.1.1.2.1.1</w:t>
      </w:r>
      <w:bookmarkEnd w:id="3"/>
      <w:r w:rsidRPr="00E27227">
        <w:rPr>
          <w:sz w:val="18"/>
          <w:szCs w:val="18"/>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33E9CAA6" w14:textId="77777777" w:rsidR="00D50D06" w:rsidRPr="00E27227" w:rsidRDefault="00D50D06" w:rsidP="00D50D06">
      <w:pPr>
        <w:pStyle w:val="Textonotapie"/>
        <w:ind w:firstLine="709"/>
        <w:jc w:val="both"/>
        <w:rPr>
          <w:rFonts w:ascii="Arial" w:hAnsi="Arial" w:cs="Arial"/>
          <w:sz w:val="18"/>
          <w:szCs w:val="18"/>
        </w:rPr>
      </w:pPr>
    </w:p>
  </w:footnote>
  <w:footnote w:id="4">
    <w:p w14:paraId="2B100FA2" w14:textId="77777777" w:rsidR="00D50D06" w:rsidRPr="00E27227" w:rsidRDefault="00D50D06" w:rsidP="00D50D06">
      <w:pPr>
        <w:pStyle w:val="Textoindependiente"/>
        <w:ind w:firstLine="709"/>
        <w:jc w:val="both"/>
        <w:rPr>
          <w:sz w:val="18"/>
          <w:szCs w:val="18"/>
        </w:rPr>
      </w:pPr>
      <w:r w:rsidRPr="00E27227">
        <w:rPr>
          <w:rStyle w:val="Refdenotaalpie"/>
          <w:sz w:val="18"/>
          <w:szCs w:val="18"/>
        </w:rPr>
        <w:footnoteRef/>
      </w:r>
      <w:r w:rsidRPr="00E27227">
        <w:rPr>
          <w:sz w:val="18"/>
          <w:szCs w:val="18"/>
        </w:rPr>
        <w:t xml:space="preserve"> Consejo de Estado. Sección Tercera. Subsección B. Sentencia del 31 de agosto de 2011. </w:t>
      </w:r>
      <w:r w:rsidRPr="00E27227">
        <w:rPr>
          <w:sz w:val="18"/>
          <w:szCs w:val="18"/>
        </w:rPr>
        <w:t>Exp.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22347EB6" w14:textId="77777777" w:rsidR="00D50D06" w:rsidRPr="00E27227" w:rsidRDefault="00D50D06" w:rsidP="00D50D06">
      <w:pPr>
        <w:pStyle w:val="Textonotapie"/>
        <w:jc w:val="both"/>
        <w:rPr>
          <w:rFonts w:ascii="Arial" w:hAnsi="Arial" w:cs="Arial"/>
          <w:sz w:val="18"/>
          <w:szCs w:val="18"/>
        </w:rPr>
      </w:pPr>
    </w:p>
  </w:footnote>
  <w:footnote w:id="5">
    <w:p w14:paraId="0B315E77" w14:textId="1275073D" w:rsidR="00D50D06" w:rsidRPr="00E27227" w:rsidRDefault="00D50D06" w:rsidP="00E27227">
      <w:pPr>
        <w:ind w:firstLine="708"/>
        <w:jc w:val="both"/>
        <w:rPr>
          <w:rFonts w:ascii="Arial" w:hAnsi="Arial" w:cs="Arial"/>
          <w:sz w:val="18"/>
          <w:szCs w:val="18"/>
        </w:rPr>
      </w:pPr>
      <w:r w:rsidRPr="00E27227">
        <w:rPr>
          <w:rStyle w:val="Refdenotaalpie"/>
          <w:rFonts w:ascii="Arial" w:hAnsi="Arial" w:cs="Arial"/>
          <w:sz w:val="18"/>
          <w:szCs w:val="18"/>
        </w:rPr>
        <w:footnoteRef/>
      </w:r>
      <w:r w:rsidRPr="00E27227">
        <w:rPr>
          <w:rFonts w:ascii="Arial" w:hAnsi="Arial" w:cs="Arial"/>
          <w:sz w:val="18"/>
          <w:szCs w:val="18"/>
        </w:rPr>
        <w:t xml:space="preserve"> </w:t>
      </w:r>
      <w:r w:rsidRPr="00E27227">
        <w:rPr>
          <w:rFonts w:ascii="Arial" w:hAnsi="Arial" w:cs="Arial"/>
          <w:i/>
          <w:sz w:val="18"/>
          <w:szCs w:val="18"/>
        </w:rPr>
        <w:t>Ibidem</w:t>
      </w:r>
      <w:r w:rsidRPr="00E27227">
        <w:rPr>
          <w:rFonts w:ascii="Arial" w:hAnsi="Arial" w:cs="Arial"/>
          <w:sz w:val="18"/>
          <w:szCs w:val="18"/>
        </w:rPr>
        <w:t>.</w:t>
      </w:r>
    </w:p>
  </w:footnote>
  <w:footnote w:id="6">
    <w:p w14:paraId="39ABA81F" w14:textId="40A14841" w:rsidR="005F2879" w:rsidRPr="00E27227" w:rsidRDefault="005F2879" w:rsidP="00E27227">
      <w:pPr>
        <w:pStyle w:val="Textonotapie"/>
        <w:ind w:firstLine="708"/>
        <w:jc w:val="both"/>
        <w:rPr>
          <w:rFonts w:ascii="Arial" w:hAnsi="Arial" w:cs="Arial"/>
          <w:sz w:val="18"/>
          <w:szCs w:val="18"/>
        </w:rPr>
      </w:pPr>
      <w:r w:rsidRPr="00E27227">
        <w:rPr>
          <w:rStyle w:val="Refdenotaalpie"/>
          <w:rFonts w:ascii="Arial" w:hAnsi="Arial" w:cs="Arial"/>
          <w:sz w:val="18"/>
          <w:szCs w:val="18"/>
        </w:rPr>
        <w:footnoteRef/>
      </w:r>
      <w:r w:rsidRPr="00E27227">
        <w:rPr>
          <w:rFonts w:ascii="Arial" w:hAnsi="Arial" w:cs="Arial"/>
          <w:sz w:val="18"/>
          <w:szCs w:val="18"/>
        </w:rPr>
        <w:t xml:space="preserve"> Decreto 1082 de 2015: «Artículo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footnote>
  <w:footnote w:id="7">
    <w:p w14:paraId="0001AD49" w14:textId="77777777" w:rsidR="00D50D06" w:rsidRPr="00E27227" w:rsidRDefault="00D50D06" w:rsidP="00D50D06">
      <w:pPr>
        <w:pStyle w:val="Textonotapie"/>
        <w:ind w:firstLine="708"/>
        <w:jc w:val="both"/>
        <w:rPr>
          <w:rFonts w:ascii="Arial" w:hAnsi="Arial" w:cs="Arial"/>
          <w:sz w:val="18"/>
          <w:szCs w:val="18"/>
        </w:rPr>
      </w:pPr>
      <w:r w:rsidRPr="00E27227">
        <w:rPr>
          <w:rStyle w:val="Refdenotaalpie"/>
          <w:rFonts w:ascii="Arial" w:hAnsi="Arial" w:cs="Arial"/>
          <w:sz w:val="18"/>
          <w:szCs w:val="18"/>
        </w:rPr>
        <w:footnoteRef/>
      </w:r>
      <w:r w:rsidRPr="00E27227">
        <w:rPr>
          <w:rFonts w:ascii="Arial" w:hAnsi="Arial" w:cs="Arial"/>
          <w:sz w:val="18"/>
          <w:szCs w:val="18"/>
        </w:rPr>
        <w:t xml:space="preserve"> AGENCIA NACIONAL DE CONTRATACIÓN PÚBLICA – COLOMBIA COMPRA EFICIENTE. </w:t>
      </w:r>
      <w:r w:rsidRPr="00E27227">
        <w:rPr>
          <w:rFonts w:ascii="Arial" w:eastAsia="Calibri" w:hAnsi="Arial" w:cs="Arial"/>
          <w:bCs/>
          <w:sz w:val="18"/>
          <w:szCs w:val="18"/>
          <w:lang w:val="es-ES_tradnl" w:eastAsia="es-ES_tradnl"/>
        </w:rPr>
        <w:t>Guía de elaboración de estudios del sector</w:t>
      </w:r>
      <w:r w:rsidRPr="00E27227">
        <w:rPr>
          <w:rFonts w:ascii="Arial" w:hAnsi="Arial" w:cs="Arial"/>
          <w:sz w:val="18"/>
          <w:szCs w:val="18"/>
        </w:rPr>
        <w:t xml:space="preserve">. Disponible en: </w:t>
      </w:r>
      <w:hyperlink r:id="rId1" w:history="1">
        <w:r w:rsidRPr="00E27227">
          <w:rPr>
            <w:rStyle w:val="Hipervnculo"/>
            <w:rFonts w:ascii="Arial" w:hAnsi="Arial" w:cs="Arial"/>
            <w:sz w:val="18"/>
            <w:szCs w:val="18"/>
          </w:rPr>
          <w:t>https://www.colombiacompra.gov.co/manuales-guias-y-pliegos-tipo/manuales-y-guias</w:t>
        </w:r>
      </w:hyperlink>
      <w:r w:rsidRPr="00E27227">
        <w:rPr>
          <w:rFonts w:ascii="Arial" w:hAnsi="Arial" w:cs="Arial"/>
          <w:sz w:val="18"/>
          <w:szCs w:val="18"/>
        </w:rPr>
        <w:t xml:space="preserve">. </w:t>
      </w:r>
    </w:p>
    <w:p w14:paraId="5B6189E2" w14:textId="77777777" w:rsidR="00D50D06" w:rsidRPr="00E27227" w:rsidRDefault="00D50D06" w:rsidP="00D50D06">
      <w:pPr>
        <w:pStyle w:val="Textonotapie"/>
        <w:ind w:firstLine="708"/>
        <w:jc w:val="both"/>
        <w:rPr>
          <w:rFonts w:ascii="Arial" w:hAnsi="Arial" w:cs="Arial"/>
          <w:sz w:val="18"/>
          <w:szCs w:val="18"/>
          <w:lang w:val="es-CO"/>
        </w:rPr>
      </w:pPr>
    </w:p>
  </w:footnote>
  <w:footnote w:id="8">
    <w:p w14:paraId="47F37E11" w14:textId="77777777" w:rsidR="00D50D06" w:rsidRPr="00E27227" w:rsidRDefault="00D50D06" w:rsidP="00D50D06">
      <w:pPr>
        <w:pStyle w:val="Textonotapie"/>
        <w:ind w:firstLine="708"/>
        <w:jc w:val="both"/>
        <w:rPr>
          <w:rFonts w:ascii="Arial" w:hAnsi="Arial" w:cs="Arial"/>
          <w:sz w:val="18"/>
          <w:szCs w:val="18"/>
          <w:lang w:val="es-CO"/>
        </w:rPr>
      </w:pPr>
      <w:r w:rsidRPr="00E27227">
        <w:rPr>
          <w:rStyle w:val="Refdenotaalpie"/>
          <w:rFonts w:ascii="Arial" w:hAnsi="Arial" w:cs="Arial"/>
          <w:sz w:val="18"/>
          <w:szCs w:val="18"/>
        </w:rPr>
        <w:footnoteRef/>
      </w:r>
      <w:r w:rsidRPr="00E27227">
        <w:rPr>
          <w:rFonts w:ascii="Arial" w:hAnsi="Arial" w:cs="Arial"/>
          <w:sz w:val="18"/>
          <w:szCs w:val="18"/>
        </w:rPr>
        <w:t xml:space="preserve"> Ibid.</w:t>
      </w:r>
    </w:p>
  </w:footnote>
  <w:footnote w:id="9">
    <w:p w14:paraId="63382725" w14:textId="77777777" w:rsidR="00D50D06" w:rsidRPr="00E27227" w:rsidRDefault="00D50D06" w:rsidP="00D50D06">
      <w:pPr>
        <w:pStyle w:val="Textonotapie"/>
        <w:ind w:firstLine="708"/>
        <w:jc w:val="both"/>
        <w:rPr>
          <w:rFonts w:ascii="Arial" w:hAnsi="Arial" w:cs="Arial"/>
          <w:sz w:val="18"/>
          <w:szCs w:val="18"/>
          <w:lang w:val="es-ES"/>
        </w:rPr>
      </w:pPr>
      <w:r w:rsidRPr="00E27227">
        <w:rPr>
          <w:rStyle w:val="Refdenotaalpie"/>
          <w:rFonts w:ascii="Arial" w:hAnsi="Arial" w:cs="Arial"/>
          <w:sz w:val="18"/>
          <w:szCs w:val="18"/>
        </w:rPr>
        <w:footnoteRef/>
      </w:r>
      <w:r w:rsidRPr="00E27227">
        <w:rPr>
          <w:rFonts w:ascii="Arial" w:hAnsi="Arial" w:cs="Arial"/>
          <w:sz w:val="18"/>
          <w:szCs w:val="18"/>
        </w:rPr>
        <w:t xml:space="preserve"> </w:t>
      </w:r>
      <w:r w:rsidRPr="00E27227">
        <w:rPr>
          <w:rFonts w:ascii="Arial" w:hAnsi="Arial" w:cs="Arial"/>
          <w:sz w:val="18"/>
          <w:szCs w:val="18"/>
          <w:lang w:val="es-ES"/>
        </w:rPr>
        <w:t>Diccionario de la Lengua Española.</w:t>
      </w:r>
    </w:p>
    <w:p w14:paraId="7C428F87" w14:textId="77777777" w:rsidR="00D50D06" w:rsidRPr="00E27227" w:rsidRDefault="00D50D06" w:rsidP="00D50D06">
      <w:pPr>
        <w:pStyle w:val="Textonotapie"/>
        <w:jc w:val="both"/>
        <w:rPr>
          <w:rFonts w:ascii="Arial" w:hAnsi="Arial" w:cs="Arial"/>
          <w:sz w:val="18"/>
          <w:szCs w:val="18"/>
        </w:rPr>
      </w:pPr>
      <w:r w:rsidRPr="00E27227">
        <w:rPr>
          <w:rFonts w:ascii="Arial" w:hAnsi="Arial" w:cs="Arial"/>
          <w:sz w:val="18"/>
          <w:szCs w:val="18"/>
        </w:rPr>
        <w:t xml:space="preserve"> </w:t>
      </w:r>
    </w:p>
  </w:footnote>
  <w:footnote w:id="10">
    <w:p w14:paraId="20892D20" w14:textId="77777777" w:rsidR="00D50D06" w:rsidRPr="00E27227" w:rsidRDefault="00D50D06" w:rsidP="00D50D06">
      <w:pPr>
        <w:pStyle w:val="Textonotapie"/>
        <w:ind w:firstLine="708"/>
        <w:jc w:val="both"/>
        <w:rPr>
          <w:rFonts w:ascii="Arial" w:hAnsi="Arial" w:cs="Arial"/>
          <w:sz w:val="18"/>
          <w:szCs w:val="18"/>
          <w:lang w:val="es-ES"/>
        </w:rPr>
      </w:pPr>
      <w:r w:rsidRPr="00E27227">
        <w:rPr>
          <w:rStyle w:val="Refdenotaalpie"/>
          <w:rFonts w:ascii="Arial" w:hAnsi="Arial" w:cs="Arial"/>
          <w:sz w:val="18"/>
          <w:szCs w:val="18"/>
        </w:rPr>
        <w:footnoteRef/>
      </w:r>
      <w:r w:rsidRPr="00E27227">
        <w:rPr>
          <w:rFonts w:ascii="Arial" w:hAnsi="Arial" w:cs="Arial"/>
          <w:sz w:val="18"/>
          <w:szCs w:val="18"/>
        </w:rPr>
        <w:t xml:space="preserve"> </w:t>
      </w:r>
      <w:r w:rsidRPr="00E27227">
        <w:rPr>
          <w:rFonts w:ascii="Arial" w:hAnsi="Arial" w:cs="Arial"/>
          <w:sz w:val="18"/>
          <w:szCs w:val="18"/>
          <w:lang w:val="es-ES"/>
        </w:rPr>
        <w:t xml:space="preserve">MARÍN CORTÉS, Fabián. El precio. Serie: Las cláusulas del contrato estatal. Medellín: Librería Jurídica Sánchez y Centro de Estudios de Derecho Administrativo –CEDA–, 2012. p. 60. </w:t>
      </w:r>
    </w:p>
  </w:footnote>
  <w:footnote w:id="11">
    <w:p w14:paraId="6E8F2AFA" w14:textId="75CB5641" w:rsidR="00D50D06" w:rsidRPr="00E27227" w:rsidRDefault="00D50D06" w:rsidP="00D50D06">
      <w:pPr>
        <w:pStyle w:val="Textonotapie"/>
        <w:ind w:firstLine="708"/>
        <w:jc w:val="both"/>
        <w:rPr>
          <w:rFonts w:ascii="Arial" w:hAnsi="Arial" w:cs="Arial"/>
          <w:sz w:val="18"/>
          <w:szCs w:val="18"/>
        </w:rPr>
      </w:pPr>
      <w:r w:rsidRPr="00E27227">
        <w:rPr>
          <w:rStyle w:val="Refdenotaalpie"/>
          <w:rFonts w:ascii="Arial" w:hAnsi="Arial" w:cs="Arial"/>
          <w:sz w:val="18"/>
          <w:szCs w:val="18"/>
        </w:rPr>
        <w:footnoteRef/>
      </w:r>
      <w:r w:rsidRPr="00E27227">
        <w:rPr>
          <w:rFonts w:ascii="Arial" w:hAnsi="Arial" w:cs="Arial"/>
          <w:sz w:val="18"/>
          <w:szCs w:val="18"/>
        </w:rPr>
        <w:t xml:space="preserve"> </w:t>
      </w:r>
      <w:r w:rsidR="009F20F8" w:rsidRPr="00E27227">
        <w:rPr>
          <w:rFonts w:ascii="Arial" w:hAnsi="Arial" w:cs="Arial"/>
          <w:sz w:val="18"/>
          <w:szCs w:val="18"/>
          <w:lang w:val="es-ES"/>
        </w:rPr>
        <w:t xml:space="preserve">CONSEJO DE ESTADO, </w:t>
      </w:r>
      <w:r w:rsidRPr="00E27227">
        <w:rPr>
          <w:rFonts w:ascii="Arial" w:hAnsi="Arial" w:cs="Arial"/>
          <w:sz w:val="18"/>
          <w:szCs w:val="18"/>
          <w:lang w:val="es-ES"/>
        </w:rPr>
        <w:t>Sección Tercera, Subsección A. Sentencia de 19 de julio de 2018, M.P. Marta Nubia Velázquez Rico, Rad. 2013-01826 (57.576)</w:t>
      </w:r>
      <w:r w:rsidRPr="00E27227">
        <w:rPr>
          <w:rFonts w:ascii="Arial" w:hAnsi="Arial" w:cs="Arial"/>
          <w:sz w:val="18"/>
          <w:szCs w:val="18"/>
        </w:rPr>
        <w:t xml:space="preserve"> </w:t>
      </w:r>
    </w:p>
    <w:p w14:paraId="0570A7CB" w14:textId="77777777" w:rsidR="00D50D06" w:rsidRPr="00E27227" w:rsidRDefault="00D50D06" w:rsidP="00D50D06">
      <w:pPr>
        <w:pStyle w:val="Textonotapie"/>
        <w:ind w:firstLine="708"/>
        <w:jc w:val="both"/>
        <w:rPr>
          <w:rFonts w:ascii="Arial" w:hAnsi="Arial" w:cs="Arial"/>
          <w:sz w:val="18"/>
          <w:szCs w:val="18"/>
        </w:rPr>
      </w:pPr>
    </w:p>
  </w:footnote>
  <w:footnote w:id="12">
    <w:p w14:paraId="4DE1CAAC" w14:textId="77777777" w:rsidR="00D50D06" w:rsidRPr="00E27227" w:rsidRDefault="00D50D06" w:rsidP="00D50D06">
      <w:pPr>
        <w:pStyle w:val="Textonotapie"/>
        <w:ind w:firstLine="709"/>
        <w:jc w:val="both"/>
        <w:rPr>
          <w:rFonts w:ascii="Arial" w:hAnsi="Arial" w:cs="Arial"/>
          <w:sz w:val="18"/>
          <w:szCs w:val="18"/>
          <w:lang w:val="es-ES"/>
        </w:rPr>
      </w:pPr>
      <w:r w:rsidRPr="00E27227">
        <w:rPr>
          <w:rStyle w:val="Refdenotaalpie"/>
          <w:rFonts w:ascii="Arial" w:hAnsi="Arial" w:cs="Arial"/>
          <w:sz w:val="18"/>
          <w:szCs w:val="18"/>
        </w:rPr>
        <w:footnoteRef/>
      </w:r>
      <w:r w:rsidRPr="00E27227">
        <w:rPr>
          <w:rFonts w:ascii="Arial" w:hAnsi="Arial" w:cs="Arial"/>
          <w:sz w:val="18"/>
          <w:szCs w:val="18"/>
        </w:rPr>
        <w:t xml:space="preserve"> </w:t>
      </w:r>
      <w:r w:rsidRPr="00E27227">
        <w:rPr>
          <w:rFonts w:ascii="Arial" w:hAnsi="Arial" w:cs="Arial"/>
          <w:sz w:val="18"/>
          <w:szCs w:val="18"/>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6A28FD9A" w14:textId="77777777" w:rsidR="00D50D06" w:rsidRPr="00E27227" w:rsidRDefault="00D50D06" w:rsidP="00D50D06">
      <w:pPr>
        <w:pStyle w:val="Textonotapie"/>
        <w:ind w:firstLine="709"/>
        <w:jc w:val="both"/>
        <w:rPr>
          <w:rFonts w:ascii="Arial" w:hAnsi="Arial" w:cs="Arial"/>
          <w:sz w:val="18"/>
          <w:szCs w:val="18"/>
          <w:lang w:val="es-ES"/>
        </w:rPr>
      </w:pPr>
      <w:r w:rsidRPr="00E27227">
        <w:rPr>
          <w:rFonts w:ascii="Arial" w:hAnsi="Arial" w:cs="Arial"/>
          <w:sz w:val="18"/>
          <w:szCs w:val="18"/>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E27227">
        <w:rPr>
          <w:rFonts w:ascii="Arial" w:hAnsi="Arial" w:cs="Arial"/>
          <w:i/>
          <w:iCs/>
          <w:sz w:val="18"/>
          <w:szCs w:val="18"/>
          <w:lang w:val="es-ES"/>
        </w:rPr>
        <w:t>costos directos</w:t>
      </w:r>
      <w:r w:rsidRPr="00E27227">
        <w:rPr>
          <w:rFonts w:ascii="Arial" w:hAnsi="Arial" w:cs="Arial"/>
          <w:sz w:val="18"/>
          <w:szCs w:val="18"/>
          <w:lang w:val="es-ES"/>
        </w:rPr>
        <w:t xml:space="preserve"> y los</w:t>
      </w:r>
      <w:r w:rsidRPr="00E27227">
        <w:rPr>
          <w:rFonts w:ascii="Arial" w:hAnsi="Arial" w:cs="Arial"/>
          <w:i/>
          <w:iCs/>
          <w:sz w:val="18"/>
          <w:szCs w:val="18"/>
          <w:lang w:val="es-ES"/>
        </w:rPr>
        <w:t xml:space="preserve"> costos indirectos</w:t>
      </w:r>
      <w:r w:rsidRPr="00E27227">
        <w:rPr>
          <w:rFonts w:ascii="Arial" w:hAnsi="Arial" w:cs="Arial"/>
          <w:sz w:val="18"/>
          <w:szCs w:val="18"/>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E27227">
        <w:rPr>
          <w:rFonts w:ascii="Arial" w:hAnsi="Arial" w:cs="Arial"/>
          <w:i/>
          <w:iCs/>
          <w:sz w:val="18"/>
          <w:szCs w:val="18"/>
          <w:lang w:val="es-ES"/>
        </w:rPr>
        <w:t>ítems</w:t>
      </w:r>
      <w:r w:rsidRPr="00E27227">
        <w:rPr>
          <w:rFonts w:ascii="Arial" w:hAnsi="Arial" w:cs="Arial"/>
          <w:sz w:val="18"/>
          <w:szCs w:val="18"/>
          <w:lang w:val="es-ES"/>
        </w:rPr>
        <w:t xml:space="preserve"> que componen el contrato–. Los costos </w:t>
      </w:r>
      <w:r w:rsidRPr="00E27227">
        <w:rPr>
          <w:rFonts w:ascii="Arial" w:hAnsi="Arial" w:cs="Arial"/>
          <w:i/>
          <w:iCs/>
          <w:sz w:val="18"/>
          <w:szCs w:val="18"/>
          <w:lang w:val="es-ES"/>
        </w:rPr>
        <w:t>indirectos</w:t>
      </w:r>
      <w:r w:rsidRPr="00E27227">
        <w:rPr>
          <w:rFonts w:ascii="Arial" w:hAnsi="Arial" w:cs="Arial"/>
          <w:sz w:val="18"/>
          <w:szCs w:val="18"/>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w:t>
      </w:r>
      <w:r w:rsidRPr="00E27227">
        <w:rPr>
          <w:rFonts w:ascii="Arial" w:hAnsi="Arial" w:cs="Arial"/>
          <w:sz w:val="18"/>
          <w:szCs w:val="18"/>
          <w:lang w:val="es-ES"/>
        </w:rPr>
        <w:t>Op. Cit., pp. 63-64).</w:t>
      </w:r>
    </w:p>
  </w:footnote>
  <w:footnote w:id="13">
    <w:p w14:paraId="021C0C9F" w14:textId="77777777" w:rsidR="00F7172E" w:rsidRPr="00E27227" w:rsidRDefault="00F7172E" w:rsidP="00F7172E">
      <w:pPr>
        <w:pStyle w:val="Textonotapie"/>
        <w:ind w:firstLine="708"/>
        <w:jc w:val="both"/>
        <w:rPr>
          <w:rFonts w:ascii="Arial" w:hAnsi="Arial" w:cs="Arial"/>
          <w:sz w:val="18"/>
          <w:szCs w:val="18"/>
          <w:lang w:val="es-ES"/>
        </w:rPr>
      </w:pPr>
      <w:r w:rsidRPr="00E27227">
        <w:rPr>
          <w:rStyle w:val="Refdenotaalpie"/>
          <w:rFonts w:ascii="Arial" w:hAnsi="Arial" w:cs="Arial"/>
          <w:sz w:val="18"/>
          <w:szCs w:val="18"/>
        </w:rPr>
        <w:footnoteRef/>
      </w:r>
      <w:r w:rsidRPr="00E27227">
        <w:rPr>
          <w:rFonts w:ascii="Arial" w:hAnsi="Arial" w:cs="Arial"/>
          <w:sz w:val="18"/>
          <w:szCs w:val="18"/>
        </w:rPr>
        <w:t xml:space="preserve">Frente a ello, esta Agencia en respuesta a consulta del 27 de septiembre de 2017, indicó, </w:t>
      </w:r>
      <w:r w:rsidRPr="00E27227">
        <w:rPr>
          <w:rFonts w:ascii="Arial" w:eastAsia="Calibri" w:hAnsi="Arial" w:cs="Arial"/>
          <w:sz w:val="18"/>
          <w:szCs w:val="18"/>
        </w:rPr>
        <w:t>«</w:t>
      </w:r>
      <w:r w:rsidRPr="00E27227">
        <w:rPr>
          <w:rFonts w:ascii="Arial" w:hAnsi="Arial" w:cs="Arial"/>
          <w:sz w:val="18"/>
          <w:szCs w:val="18"/>
        </w:rPr>
        <w:t>en los concursos de méritos no es obligatorio aplicar el factor multiplicador debido a que no existe norma vigente que lo haya previsto de manera expresa en la forma de pago de los contratos de consultoría y/o interventoría. Pero es viable jurídicamente utilizar el factor multiplicador como fórmula para la determinación de los costos del contrato, caso en el cual, el contratista debe demostrar el gasto de todos los componentes de costo que se tuvieron en cuenta para determinarlo</w:t>
      </w:r>
      <w:r w:rsidRPr="00E27227">
        <w:rPr>
          <w:rFonts w:ascii="Arial" w:eastAsia="Calibri" w:hAnsi="Arial" w:cs="Arial"/>
          <w:sz w:val="18"/>
          <w:szCs w:val="18"/>
        </w:rPr>
        <w:t>»</w:t>
      </w:r>
      <w:r w:rsidRPr="00E27227">
        <w:rPr>
          <w:rFonts w:ascii="Arial" w:hAnsi="Arial" w:cs="Arial"/>
          <w:sz w:val="18"/>
          <w:szCs w:val="18"/>
        </w:rPr>
        <w:t xml:space="preserve"> </w:t>
      </w:r>
      <w:r w:rsidRPr="00E27227">
        <w:rPr>
          <w:rFonts w:ascii="Arial" w:hAnsi="Arial" w:cs="Arial"/>
          <w:sz w:val="18"/>
          <w:szCs w:val="18"/>
          <w:lang w:val="es-ES"/>
        </w:rPr>
        <w:t>Radicación: Respuesta a consulta #4201714000006240 Temas: Contrato de consultoría Tipo de asunto consultado: Cómo se aplica y evalúa el factor multiplicador.</w:t>
      </w:r>
    </w:p>
    <w:p w14:paraId="0365B04C" w14:textId="77777777" w:rsidR="00F7172E" w:rsidRPr="00E27227" w:rsidRDefault="00F7172E" w:rsidP="00F7172E">
      <w:pPr>
        <w:pStyle w:val="Textonotapie"/>
        <w:ind w:firstLine="708"/>
        <w:jc w:val="both"/>
        <w:rPr>
          <w:rFonts w:ascii="Arial" w:hAnsi="Arial" w:cs="Arial"/>
          <w:sz w:val="18"/>
          <w:szCs w:val="18"/>
          <w:lang w:val="es-ES"/>
        </w:rPr>
      </w:pPr>
    </w:p>
  </w:footnote>
  <w:footnote w:id="14">
    <w:p w14:paraId="3962A0D6" w14:textId="5A9E769F" w:rsidR="003B57A1" w:rsidRPr="00E27227" w:rsidRDefault="003B57A1" w:rsidP="00E27227">
      <w:pPr>
        <w:pStyle w:val="Textonotapie"/>
        <w:ind w:firstLine="708"/>
        <w:rPr>
          <w:rFonts w:ascii="Arial" w:hAnsi="Arial" w:cs="Arial"/>
          <w:sz w:val="18"/>
          <w:szCs w:val="18"/>
          <w:lang w:val="es-ES"/>
        </w:rPr>
      </w:pPr>
      <w:r w:rsidRPr="00E27227">
        <w:rPr>
          <w:rStyle w:val="Refdenotaalpie"/>
          <w:rFonts w:ascii="Arial" w:hAnsi="Arial" w:cs="Arial"/>
          <w:sz w:val="18"/>
          <w:szCs w:val="18"/>
        </w:rPr>
        <w:footnoteRef/>
      </w:r>
      <w:r w:rsidRPr="00E27227">
        <w:rPr>
          <w:rFonts w:ascii="Arial" w:hAnsi="Arial" w:cs="Arial"/>
          <w:sz w:val="18"/>
          <w:szCs w:val="18"/>
        </w:rPr>
        <w:t xml:space="preserve"> </w:t>
      </w:r>
      <w:r w:rsidRPr="00E27227">
        <w:rPr>
          <w:rFonts w:ascii="Arial" w:hAnsi="Arial" w:cs="Arial"/>
          <w:sz w:val="18"/>
          <w:szCs w:val="18"/>
          <w:lang w:val="es-ES"/>
        </w:rPr>
        <w:t xml:space="preserve">MARÍN, </w:t>
      </w:r>
      <w:r w:rsidRPr="00E27227">
        <w:rPr>
          <w:rFonts w:ascii="Arial" w:hAnsi="Arial" w:cs="Arial"/>
          <w:sz w:val="18"/>
          <w:szCs w:val="18"/>
          <w:lang w:val="es-ES"/>
        </w:rPr>
        <w:t>Op. Cit., pp. 64-65.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276E" w14:textId="77777777" w:rsidR="00E27227" w:rsidRDefault="00E27227" w:rsidP="000C7871">
    <w:pPr>
      <w:spacing w:after="0"/>
      <w:rPr>
        <w:rFonts w:ascii="Geomanist Bold" w:hAnsi="Geomanist Bold"/>
        <w:color w:val="002060"/>
        <w:sz w:val="24"/>
        <w:szCs w:val="24"/>
      </w:rPr>
    </w:pPr>
  </w:p>
  <w:p w14:paraId="564AEB2F" w14:textId="77777777" w:rsidR="00E27227" w:rsidRDefault="00E27227" w:rsidP="000C7871">
    <w:pPr>
      <w:spacing w:after="0"/>
      <w:rPr>
        <w:rFonts w:ascii="Geomanist Bold" w:hAnsi="Geomanist Bold"/>
        <w:color w:val="002060"/>
        <w:sz w:val="24"/>
        <w:szCs w:val="24"/>
      </w:rPr>
    </w:pPr>
  </w:p>
  <w:p w14:paraId="3881F136" w14:textId="3ECCEA72" w:rsidR="000C7871" w:rsidRPr="003F58A1" w:rsidRDefault="000C7871" w:rsidP="000C7871">
    <w:pPr>
      <w:spacing w:after="0"/>
      <w:rPr>
        <w:rFonts w:ascii="Geomanist Bold" w:hAnsi="Geomanist Bold"/>
        <w:color w:val="002060"/>
        <w:sz w:val="24"/>
        <w:szCs w:val="24"/>
      </w:rPr>
    </w:pPr>
    <w:r w:rsidRPr="008614E5">
      <w:rPr>
        <w:rFonts w:eastAsia="Arial Nova" w:cs="Arial Nova"/>
        <w:noProof/>
        <w:sz w:val="24"/>
        <w:szCs w:val="24"/>
        <w:lang w:eastAsia="es-CO"/>
      </w:rPr>
      <w:drawing>
        <wp:anchor distT="0" distB="0" distL="0" distR="0" simplePos="0" relativeHeight="251661312" behindDoc="1" locked="0" layoutInCell="1" hidden="0" allowOverlap="1" wp14:anchorId="4D13BB58" wp14:editId="0906FFDB">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 w:val="24"/>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0C7871" w:rsidRPr="00367110" w14:paraId="71E5CF94" w14:textId="77777777" w:rsidTr="0085300F">
      <w:tc>
        <w:tcPr>
          <w:tcW w:w="6756" w:type="dxa"/>
        </w:tcPr>
        <w:p w14:paraId="6C0F76D0" w14:textId="77777777" w:rsidR="000C7871" w:rsidRPr="006478E3" w:rsidRDefault="000C7871" w:rsidP="000C7871">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84DED5E" w14:textId="77777777" w:rsidR="000C7871" w:rsidRPr="0057618A" w:rsidRDefault="000C7871" w:rsidP="000C7871">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09806E4" w14:textId="77777777" w:rsidR="000C7871" w:rsidRPr="00367110" w:rsidRDefault="000C7871" w:rsidP="000C7871">
          <w:pPr>
            <w:jc w:val="right"/>
            <w:rPr>
              <w:rFonts w:eastAsia="Arial Nova" w:cs="Arial Nova"/>
              <w:lang w:eastAsia="es-CO"/>
            </w:rPr>
          </w:pPr>
        </w:p>
      </w:tc>
      <w:tc>
        <w:tcPr>
          <w:tcW w:w="1324" w:type="dxa"/>
        </w:tcPr>
        <w:p w14:paraId="734D2733" w14:textId="77777777" w:rsidR="000C7871" w:rsidRPr="00367110" w:rsidRDefault="000C7871" w:rsidP="000C7871">
          <w:pPr>
            <w:jc w:val="right"/>
            <w:rPr>
              <w:rFonts w:eastAsia="Arial Nova" w:cs="Arial Nova"/>
              <w:lang w:eastAsia="es-CO"/>
            </w:rPr>
          </w:pPr>
        </w:p>
      </w:tc>
    </w:tr>
    <w:tr w:rsidR="000C7871" w:rsidRPr="00367110" w14:paraId="54B82EB8" w14:textId="77777777" w:rsidTr="0085300F">
      <w:tc>
        <w:tcPr>
          <w:tcW w:w="6756" w:type="dxa"/>
        </w:tcPr>
        <w:p w14:paraId="18594AF1" w14:textId="77777777" w:rsidR="000C7871" w:rsidRPr="006478E3" w:rsidRDefault="000C7871" w:rsidP="000C7871">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0000"/>
              <w:sz w:val="20"/>
              <w:szCs w:val="20"/>
              <w:lang w:eastAsia="es-CO"/>
            </w:rPr>
          </w:pPr>
          <w:r w:rsidRPr="00367110">
            <w:rPr>
              <w:rFonts w:eastAsia="Arial Nova" w:cs="Arial Nova"/>
              <w:noProof/>
              <w:color w:val="000000"/>
              <w:lang w:eastAsia="es-CO"/>
            </w:rPr>
            <w:drawing>
              <wp:anchor distT="0" distB="0" distL="114300" distR="114300" simplePos="0" relativeHeight="251662336" behindDoc="1" locked="0" layoutInCell="1" allowOverlap="1" wp14:anchorId="6C9222B6" wp14:editId="3D4A9C20">
                <wp:simplePos x="0" y="0"/>
                <wp:positionH relativeFrom="column">
                  <wp:posOffset>0</wp:posOffset>
                </wp:positionH>
                <wp:positionV relativeFrom="paragraph">
                  <wp:posOffset>0</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tc>
      <w:tc>
        <w:tcPr>
          <w:tcW w:w="1324" w:type="dxa"/>
        </w:tcPr>
        <w:p w14:paraId="349CC1DD" w14:textId="77777777" w:rsidR="000C7871" w:rsidRPr="00367110" w:rsidRDefault="000C7871" w:rsidP="000C7871">
          <w:pPr>
            <w:jc w:val="right"/>
            <w:rPr>
              <w:rFonts w:eastAsia="Arial Nova" w:cs="Arial Nova"/>
              <w:lang w:eastAsia="es-CO"/>
            </w:rPr>
          </w:pPr>
        </w:p>
      </w:tc>
      <w:tc>
        <w:tcPr>
          <w:tcW w:w="1324" w:type="dxa"/>
        </w:tcPr>
        <w:p w14:paraId="7CC60B9B" w14:textId="77777777" w:rsidR="000C7871" w:rsidRPr="00367110" w:rsidRDefault="000C7871" w:rsidP="000C7871">
          <w:pPr>
            <w:jc w:val="right"/>
            <w:rPr>
              <w:rFonts w:eastAsia="Arial Nova" w:cs="Arial Nova"/>
              <w:lang w:eastAsia="es-CO"/>
            </w:rPr>
          </w:pPr>
        </w:p>
      </w:tc>
    </w:tr>
  </w:tbl>
  <w:p w14:paraId="38E53AF6" w14:textId="77777777" w:rsidR="000C7871" w:rsidRPr="00906B3C" w:rsidRDefault="000C7871" w:rsidP="000C7871">
    <w:pPr>
      <w:pStyle w:val="Encabezado"/>
      <w:tabs>
        <w:tab w:val="clear" w:pos="4419"/>
        <w:tab w:val="clear" w:pos="8838"/>
      </w:tabs>
      <w:rPr>
        <w:b/>
        <w:bCs/>
        <w:color w:val="A5A5A5" w:themeColor="accent3"/>
        <w:sz w:val="18"/>
        <w:szCs w:val="18"/>
      </w:rPr>
    </w:pPr>
  </w:p>
  <w:p w14:paraId="1FDEE309" w14:textId="77777777" w:rsidR="000E0524"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3154832"/>
    <w:multiLevelType w:val="multilevel"/>
    <w:tmpl w:val="BE5EA50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BB0012"/>
    <w:multiLevelType w:val="multilevel"/>
    <w:tmpl w:val="C70EF7B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121692"/>
    <w:multiLevelType w:val="hybridMultilevel"/>
    <w:tmpl w:val="16342C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9E775D"/>
    <w:multiLevelType w:val="hybridMultilevel"/>
    <w:tmpl w:val="D2F0EC34"/>
    <w:lvl w:ilvl="0" w:tplc="C9F07D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7" w15:restartNumberingAfterBreak="0">
    <w:nsid w:val="456F63B6"/>
    <w:multiLevelType w:val="hybridMultilevel"/>
    <w:tmpl w:val="08C250DA"/>
    <w:lvl w:ilvl="0" w:tplc="0C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5A58BD"/>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F690CE7"/>
    <w:multiLevelType w:val="multilevel"/>
    <w:tmpl w:val="A5A669A6"/>
    <w:lvl w:ilvl="0">
      <w:start w:val="1"/>
      <w:numFmt w:val="decimal"/>
      <w:lvlText w:val="%1."/>
      <w:lvlJc w:val="left"/>
      <w:pPr>
        <w:ind w:left="48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88" w:hanging="578"/>
      </w:pPr>
      <w:rPr>
        <w:rFonts w:hint="default"/>
        <w:b/>
        <w:bCs/>
        <w:spacing w:val="-30"/>
        <w:w w:val="100"/>
        <w:lang w:val="es-ES" w:eastAsia="en-US" w:bidi="ar-SA"/>
      </w:rPr>
    </w:lvl>
    <w:lvl w:ilvl="2">
      <w:start w:val="1"/>
      <w:numFmt w:val="lowerLetter"/>
      <w:lvlText w:val="%3)"/>
      <w:lvlJc w:val="left"/>
      <w:pPr>
        <w:ind w:left="828" w:hanging="308"/>
      </w:pPr>
      <w:rPr>
        <w:rFonts w:ascii="Arial" w:eastAsia="Arial" w:hAnsi="Arial" w:cs="Arial" w:hint="default"/>
        <w:color w:val="4E4D4D"/>
        <w:spacing w:val="-21"/>
        <w:w w:val="100"/>
        <w:sz w:val="22"/>
        <w:szCs w:val="22"/>
        <w:lang w:val="es-ES" w:eastAsia="en-US" w:bidi="ar-SA"/>
      </w:rPr>
    </w:lvl>
    <w:lvl w:ilvl="3">
      <w:numFmt w:val="bullet"/>
      <w:lvlText w:val="•"/>
      <w:lvlJc w:val="left"/>
      <w:pPr>
        <w:ind w:left="840" w:hanging="308"/>
      </w:pPr>
      <w:rPr>
        <w:rFonts w:hint="default"/>
        <w:lang w:val="es-ES" w:eastAsia="en-US" w:bidi="ar-SA"/>
      </w:rPr>
    </w:lvl>
    <w:lvl w:ilvl="4">
      <w:numFmt w:val="bullet"/>
      <w:lvlText w:val="•"/>
      <w:lvlJc w:val="left"/>
      <w:pPr>
        <w:ind w:left="2017" w:hanging="308"/>
      </w:pPr>
      <w:rPr>
        <w:rFonts w:hint="default"/>
        <w:lang w:val="es-ES" w:eastAsia="en-US" w:bidi="ar-SA"/>
      </w:rPr>
    </w:lvl>
    <w:lvl w:ilvl="5">
      <w:numFmt w:val="bullet"/>
      <w:lvlText w:val="•"/>
      <w:lvlJc w:val="left"/>
      <w:pPr>
        <w:ind w:left="3194" w:hanging="308"/>
      </w:pPr>
      <w:rPr>
        <w:rFonts w:hint="default"/>
        <w:lang w:val="es-ES" w:eastAsia="en-US" w:bidi="ar-SA"/>
      </w:rPr>
    </w:lvl>
    <w:lvl w:ilvl="6">
      <w:numFmt w:val="bullet"/>
      <w:lvlText w:val="•"/>
      <w:lvlJc w:val="left"/>
      <w:pPr>
        <w:ind w:left="4371" w:hanging="308"/>
      </w:pPr>
      <w:rPr>
        <w:rFonts w:hint="default"/>
        <w:lang w:val="es-ES" w:eastAsia="en-US" w:bidi="ar-SA"/>
      </w:rPr>
    </w:lvl>
    <w:lvl w:ilvl="7">
      <w:numFmt w:val="bullet"/>
      <w:lvlText w:val="•"/>
      <w:lvlJc w:val="left"/>
      <w:pPr>
        <w:ind w:left="5548" w:hanging="308"/>
      </w:pPr>
      <w:rPr>
        <w:rFonts w:hint="default"/>
        <w:lang w:val="es-ES" w:eastAsia="en-US" w:bidi="ar-SA"/>
      </w:rPr>
    </w:lvl>
    <w:lvl w:ilvl="8">
      <w:numFmt w:val="bullet"/>
      <w:lvlText w:val="•"/>
      <w:lvlJc w:val="left"/>
      <w:pPr>
        <w:ind w:left="6725" w:hanging="308"/>
      </w:pPr>
      <w:rPr>
        <w:rFonts w:hint="default"/>
        <w:lang w:val="es-ES" w:eastAsia="en-US" w:bidi="ar-SA"/>
      </w:rPr>
    </w:lvl>
  </w:abstractNum>
  <w:num w:numId="1" w16cid:durableId="1192836356">
    <w:abstractNumId w:val="5"/>
  </w:num>
  <w:num w:numId="2" w16cid:durableId="104136798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01937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8240196">
    <w:abstractNumId w:val="3"/>
  </w:num>
  <w:num w:numId="5" w16cid:durableId="302464912">
    <w:abstractNumId w:val="4"/>
  </w:num>
  <w:num w:numId="6" w16cid:durableId="1977636319">
    <w:abstractNumId w:val="7"/>
  </w:num>
  <w:num w:numId="7" w16cid:durableId="697312032">
    <w:abstractNumId w:val="6"/>
  </w:num>
  <w:num w:numId="8" w16cid:durableId="206183428">
    <w:abstractNumId w:val="9"/>
  </w:num>
  <w:num w:numId="9" w16cid:durableId="209266567">
    <w:abstractNumId w:val="8"/>
  </w:num>
  <w:num w:numId="10" w16cid:durableId="896091326">
    <w:abstractNumId w:val="1"/>
  </w:num>
  <w:num w:numId="11" w16cid:durableId="1175655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23"/>
    <w:rsid w:val="000025DE"/>
    <w:rsid w:val="00004386"/>
    <w:rsid w:val="000101BB"/>
    <w:rsid w:val="00010577"/>
    <w:rsid w:val="00011017"/>
    <w:rsid w:val="00017940"/>
    <w:rsid w:val="0002213F"/>
    <w:rsid w:val="00023FB9"/>
    <w:rsid w:val="000332A8"/>
    <w:rsid w:val="00035B29"/>
    <w:rsid w:val="000360FA"/>
    <w:rsid w:val="00036807"/>
    <w:rsid w:val="000446AF"/>
    <w:rsid w:val="0006071F"/>
    <w:rsid w:val="00062600"/>
    <w:rsid w:val="00064152"/>
    <w:rsid w:val="00074814"/>
    <w:rsid w:val="000768FC"/>
    <w:rsid w:val="00077692"/>
    <w:rsid w:val="00080181"/>
    <w:rsid w:val="0008737C"/>
    <w:rsid w:val="00091A58"/>
    <w:rsid w:val="00093495"/>
    <w:rsid w:val="000948A6"/>
    <w:rsid w:val="00097EEB"/>
    <w:rsid w:val="000A0668"/>
    <w:rsid w:val="000A1E6B"/>
    <w:rsid w:val="000A21F3"/>
    <w:rsid w:val="000B175F"/>
    <w:rsid w:val="000B17A0"/>
    <w:rsid w:val="000B5990"/>
    <w:rsid w:val="000C3C89"/>
    <w:rsid w:val="000C7871"/>
    <w:rsid w:val="000C7F7B"/>
    <w:rsid w:val="000D37CE"/>
    <w:rsid w:val="000E0118"/>
    <w:rsid w:val="000E694B"/>
    <w:rsid w:val="000F3464"/>
    <w:rsid w:val="000F494E"/>
    <w:rsid w:val="000F4974"/>
    <w:rsid w:val="000F6276"/>
    <w:rsid w:val="001001B1"/>
    <w:rsid w:val="00103A5D"/>
    <w:rsid w:val="00105A22"/>
    <w:rsid w:val="00105C88"/>
    <w:rsid w:val="00106E68"/>
    <w:rsid w:val="00110A73"/>
    <w:rsid w:val="00110BEB"/>
    <w:rsid w:val="00112195"/>
    <w:rsid w:val="00112AE8"/>
    <w:rsid w:val="00113845"/>
    <w:rsid w:val="001138C2"/>
    <w:rsid w:val="001160D2"/>
    <w:rsid w:val="00125568"/>
    <w:rsid w:val="0012669F"/>
    <w:rsid w:val="001274E9"/>
    <w:rsid w:val="00134637"/>
    <w:rsid w:val="00135FBD"/>
    <w:rsid w:val="00137E23"/>
    <w:rsid w:val="00140435"/>
    <w:rsid w:val="00141896"/>
    <w:rsid w:val="00143096"/>
    <w:rsid w:val="00143E3B"/>
    <w:rsid w:val="00146ED0"/>
    <w:rsid w:val="001560D0"/>
    <w:rsid w:val="00160946"/>
    <w:rsid w:val="00161488"/>
    <w:rsid w:val="00163D53"/>
    <w:rsid w:val="001654DD"/>
    <w:rsid w:val="001676FE"/>
    <w:rsid w:val="001738E7"/>
    <w:rsid w:val="00180F7C"/>
    <w:rsid w:val="001836AA"/>
    <w:rsid w:val="001843A9"/>
    <w:rsid w:val="00184814"/>
    <w:rsid w:val="00191014"/>
    <w:rsid w:val="001A1CAC"/>
    <w:rsid w:val="001A695E"/>
    <w:rsid w:val="001B3684"/>
    <w:rsid w:val="001B3693"/>
    <w:rsid w:val="001D0BB9"/>
    <w:rsid w:val="001D387D"/>
    <w:rsid w:val="001D3CAB"/>
    <w:rsid w:val="001D68C7"/>
    <w:rsid w:val="001D7303"/>
    <w:rsid w:val="001E24B3"/>
    <w:rsid w:val="001E543B"/>
    <w:rsid w:val="001F057D"/>
    <w:rsid w:val="001F6DD8"/>
    <w:rsid w:val="0020580D"/>
    <w:rsid w:val="00214BFF"/>
    <w:rsid w:val="002213DA"/>
    <w:rsid w:val="002223F1"/>
    <w:rsid w:val="00224380"/>
    <w:rsid w:val="002249F9"/>
    <w:rsid w:val="00244370"/>
    <w:rsid w:val="00244B2C"/>
    <w:rsid w:val="00245150"/>
    <w:rsid w:val="00245C23"/>
    <w:rsid w:val="002500ED"/>
    <w:rsid w:val="00254CB6"/>
    <w:rsid w:val="002574B2"/>
    <w:rsid w:val="00262FDB"/>
    <w:rsid w:val="00265251"/>
    <w:rsid w:val="00265F9F"/>
    <w:rsid w:val="00267E16"/>
    <w:rsid w:val="00270570"/>
    <w:rsid w:val="00270E5E"/>
    <w:rsid w:val="00271165"/>
    <w:rsid w:val="00275491"/>
    <w:rsid w:val="00284582"/>
    <w:rsid w:val="00296BF5"/>
    <w:rsid w:val="0029739D"/>
    <w:rsid w:val="002A3FEA"/>
    <w:rsid w:val="002A4E3C"/>
    <w:rsid w:val="002A5E9A"/>
    <w:rsid w:val="002B19FB"/>
    <w:rsid w:val="002D4402"/>
    <w:rsid w:val="002D45F2"/>
    <w:rsid w:val="002D72D7"/>
    <w:rsid w:val="002D746D"/>
    <w:rsid w:val="002E143C"/>
    <w:rsid w:val="002E2585"/>
    <w:rsid w:val="002E4537"/>
    <w:rsid w:val="002E7A7F"/>
    <w:rsid w:val="00304B47"/>
    <w:rsid w:val="00305F12"/>
    <w:rsid w:val="0031012C"/>
    <w:rsid w:val="003120AF"/>
    <w:rsid w:val="00312BDB"/>
    <w:rsid w:val="00313E5A"/>
    <w:rsid w:val="00314649"/>
    <w:rsid w:val="003160C9"/>
    <w:rsid w:val="00324187"/>
    <w:rsid w:val="003255AD"/>
    <w:rsid w:val="00327A12"/>
    <w:rsid w:val="003303C6"/>
    <w:rsid w:val="003312CF"/>
    <w:rsid w:val="00332A1E"/>
    <w:rsid w:val="003336F3"/>
    <w:rsid w:val="003344C6"/>
    <w:rsid w:val="00335B05"/>
    <w:rsid w:val="00335DED"/>
    <w:rsid w:val="00337D48"/>
    <w:rsid w:val="00342268"/>
    <w:rsid w:val="00342A1C"/>
    <w:rsid w:val="003602F7"/>
    <w:rsid w:val="00361ADC"/>
    <w:rsid w:val="00363469"/>
    <w:rsid w:val="003665C7"/>
    <w:rsid w:val="00372398"/>
    <w:rsid w:val="00372727"/>
    <w:rsid w:val="003753EA"/>
    <w:rsid w:val="00375573"/>
    <w:rsid w:val="0038155E"/>
    <w:rsid w:val="003816CD"/>
    <w:rsid w:val="00383906"/>
    <w:rsid w:val="0038763D"/>
    <w:rsid w:val="003910AE"/>
    <w:rsid w:val="003916E5"/>
    <w:rsid w:val="00392B77"/>
    <w:rsid w:val="0039522B"/>
    <w:rsid w:val="0039589F"/>
    <w:rsid w:val="003A1172"/>
    <w:rsid w:val="003A1C61"/>
    <w:rsid w:val="003A7142"/>
    <w:rsid w:val="003A7A79"/>
    <w:rsid w:val="003B152E"/>
    <w:rsid w:val="003B177A"/>
    <w:rsid w:val="003B38C4"/>
    <w:rsid w:val="003B51E4"/>
    <w:rsid w:val="003B57A1"/>
    <w:rsid w:val="003C1D98"/>
    <w:rsid w:val="003C4AA9"/>
    <w:rsid w:val="003C51B4"/>
    <w:rsid w:val="003D16EE"/>
    <w:rsid w:val="003D3408"/>
    <w:rsid w:val="003D6F24"/>
    <w:rsid w:val="003E2F16"/>
    <w:rsid w:val="003E65D8"/>
    <w:rsid w:val="00400976"/>
    <w:rsid w:val="00402AE8"/>
    <w:rsid w:val="004052CC"/>
    <w:rsid w:val="004119B4"/>
    <w:rsid w:val="004141A3"/>
    <w:rsid w:val="00415314"/>
    <w:rsid w:val="00423644"/>
    <w:rsid w:val="00426D19"/>
    <w:rsid w:val="00431DE3"/>
    <w:rsid w:val="004425EE"/>
    <w:rsid w:val="004460CB"/>
    <w:rsid w:val="004634E5"/>
    <w:rsid w:val="00466657"/>
    <w:rsid w:val="00466A8F"/>
    <w:rsid w:val="0046733C"/>
    <w:rsid w:val="00475B3F"/>
    <w:rsid w:val="0048163B"/>
    <w:rsid w:val="00482203"/>
    <w:rsid w:val="00485A49"/>
    <w:rsid w:val="00485BD5"/>
    <w:rsid w:val="004875A5"/>
    <w:rsid w:val="00491536"/>
    <w:rsid w:val="0049770D"/>
    <w:rsid w:val="004A7AC8"/>
    <w:rsid w:val="004B2C85"/>
    <w:rsid w:val="004C7B7A"/>
    <w:rsid w:val="004D2662"/>
    <w:rsid w:val="004D4097"/>
    <w:rsid w:val="004D7A13"/>
    <w:rsid w:val="004E1CCE"/>
    <w:rsid w:val="004F1523"/>
    <w:rsid w:val="004F310A"/>
    <w:rsid w:val="004F519A"/>
    <w:rsid w:val="004F5DD8"/>
    <w:rsid w:val="004F73ED"/>
    <w:rsid w:val="00512C7E"/>
    <w:rsid w:val="00512DC0"/>
    <w:rsid w:val="00513144"/>
    <w:rsid w:val="00513D68"/>
    <w:rsid w:val="00514F32"/>
    <w:rsid w:val="005209DB"/>
    <w:rsid w:val="00521A09"/>
    <w:rsid w:val="00525B40"/>
    <w:rsid w:val="00531FBC"/>
    <w:rsid w:val="00532612"/>
    <w:rsid w:val="00534BFD"/>
    <w:rsid w:val="00542220"/>
    <w:rsid w:val="005553B1"/>
    <w:rsid w:val="00555734"/>
    <w:rsid w:val="005573E0"/>
    <w:rsid w:val="0056416D"/>
    <w:rsid w:val="00564B0A"/>
    <w:rsid w:val="00573064"/>
    <w:rsid w:val="005778A8"/>
    <w:rsid w:val="00585CB4"/>
    <w:rsid w:val="00586358"/>
    <w:rsid w:val="0059423A"/>
    <w:rsid w:val="00595FDE"/>
    <w:rsid w:val="005A2E2B"/>
    <w:rsid w:val="005A3F16"/>
    <w:rsid w:val="005B1376"/>
    <w:rsid w:val="005B3920"/>
    <w:rsid w:val="005B3F0B"/>
    <w:rsid w:val="005B55E5"/>
    <w:rsid w:val="005B620E"/>
    <w:rsid w:val="005C597A"/>
    <w:rsid w:val="005C5E92"/>
    <w:rsid w:val="005D4C4F"/>
    <w:rsid w:val="005D6A81"/>
    <w:rsid w:val="005E5EC6"/>
    <w:rsid w:val="005E6F1C"/>
    <w:rsid w:val="005E6FCA"/>
    <w:rsid w:val="005F2879"/>
    <w:rsid w:val="005F6209"/>
    <w:rsid w:val="005F79D5"/>
    <w:rsid w:val="006010F0"/>
    <w:rsid w:val="00601BD1"/>
    <w:rsid w:val="006044D6"/>
    <w:rsid w:val="00611E84"/>
    <w:rsid w:val="0061755F"/>
    <w:rsid w:val="00620A5D"/>
    <w:rsid w:val="006238E7"/>
    <w:rsid w:val="00623ADD"/>
    <w:rsid w:val="006243B0"/>
    <w:rsid w:val="006300FE"/>
    <w:rsid w:val="006408BD"/>
    <w:rsid w:val="00656F82"/>
    <w:rsid w:val="00661CDD"/>
    <w:rsid w:val="00662DF1"/>
    <w:rsid w:val="0066416F"/>
    <w:rsid w:val="00676652"/>
    <w:rsid w:val="00680BC5"/>
    <w:rsid w:val="00680F7A"/>
    <w:rsid w:val="00681ECF"/>
    <w:rsid w:val="00683328"/>
    <w:rsid w:val="006855B7"/>
    <w:rsid w:val="00692A85"/>
    <w:rsid w:val="00696ABB"/>
    <w:rsid w:val="006A1BBB"/>
    <w:rsid w:val="006A25E1"/>
    <w:rsid w:val="006B129B"/>
    <w:rsid w:val="006B3402"/>
    <w:rsid w:val="006D07D6"/>
    <w:rsid w:val="006D21AA"/>
    <w:rsid w:val="006D3523"/>
    <w:rsid w:val="006D3709"/>
    <w:rsid w:val="006D569D"/>
    <w:rsid w:val="006D68D7"/>
    <w:rsid w:val="006D7717"/>
    <w:rsid w:val="006E179F"/>
    <w:rsid w:val="006E5B15"/>
    <w:rsid w:val="006E69DB"/>
    <w:rsid w:val="006F05B4"/>
    <w:rsid w:val="006F0B1C"/>
    <w:rsid w:val="006F417B"/>
    <w:rsid w:val="006F5FF6"/>
    <w:rsid w:val="006F66A1"/>
    <w:rsid w:val="00700298"/>
    <w:rsid w:val="00705FC8"/>
    <w:rsid w:val="007139A5"/>
    <w:rsid w:val="00715A2E"/>
    <w:rsid w:val="00715FBE"/>
    <w:rsid w:val="00722225"/>
    <w:rsid w:val="007252E2"/>
    <w:rsid w:val="00733A0B"/>
    <w:rsid w:val="0073635D"/>
    <w:rsid w:val="00741F1E"/>
    <w:rsid w:val="00742C24"/>
    <w:rsid w:val="00743AEB"/>
    <w:rsid w:val="00746A71"/>
    <w:rsid w:val="00752F21"/>
    <w:rsid w:val="00753BE7"/>
    <w:rsid w:val="00772E6E"/>
    <w:rsid w:val="0077564F"/>
    <w:rsid w:val="007768CE"/>
    <w:rsid w:val="00776BBD"/>
    <w:rsid w:val="007774C6"/>
    <w:rsid w:val="00777F97"/>
    <w:rsid w:val="00783852"/>
    <w:rsid w:val="00792318"/>
    <w:rsid w:val="00792CE5"/>
    <w:rsid w:val="00794B1C"/>
    <w:rsid w:val="00795527"/>
    <w:rsid w:val="007979A2"/>
    <w:rsid w:val="007A01C3"/>
    <w:rsid w:val="007A0DE0"/>
    <w:rsid w:val="007B08AC"/>
    <w:rsid w:val="007B7C8D"/>
    <w:rsid w:val="007C00FA"/>
    <w:rsid w:val="007C297C"/>
    <w:rsid w:val="007C3193"/>
    <w:rsid w:val="007D1469"/>
    <w:rsid w:val="007D1E2B"/>
    <w:rsid w:val="007E085E"/>
    <w:rsid w:val="007E0DDD"/>
    <w:rsid w:val="007E14A3"/>
    <w:rsid w:val="007E29B5"/>
    <w:rsid w:val="007E56D6"/>
    <w:rsid w:val="007F1F9A"/>
    <w:rsid w:val="007F742D"/>
    <w:rsid w:val="00801FB3"/>
    <w:rsid w:val="00805E08"/>
    <w:rsid w:val="00807067"/>
    <w:rsid w:val="0080741E"/>
    <w:rsid w:val="00810492"/>
    <w:rsid w:val="00814DCC"/>
    <w:rsid w:val="00816DF4"/>
    <w:rsid w:val="0082522E"/>
    <w:rsid w:val="00830AB8"/>
    <w:rsid w:val="00835A25"/>
    <w:rsid w:val="00836DE6"/>
    <w:rsid w:val="00847DE6"/>
    <w:rsid w:val="00852371"/>
    <w:rsid w:val="00853233"/>
    <w:rsid w:val="00857CB2"/>
    <w:rsid w:val="00862D6E"/>
    <w:rsid w:val="00864161"/>
    <w:rsid w:val="00870491"/>
    <w:rsid w:val="00872709"/>
    <w:rsid w:val="008766CF"/>
    <w:rsid w:val="00876B50"/>
    <w:rsid w:val="00881F9F"/>
    <w:rsid w:val="008843B0"/>
    <w:rsid w:val="00892F74"/>
    <w:rsid w:val="008A05B7"/>
    <w:rsid w:val="008A3E73"/>
    <w:rsid w:val="008A40A9"/>
    <w:rsid w:val="008A6B58"/>
    <w:rsid w:val="008B1801"/>
    <w:rsid w:val="008B1F27"/>
    <w:rsid w:val="008B3122"/>
    <w:rsid w:val="008B3F0D"/>
    <w:rsid w:val="008B629B"/>
    <w:rsid w:val="008B69D4"/>
    <w:rsid w:val="008B7AE5"/>
    <w:rsid w:val="008C0F06"/>
    <w:rsid w:val="008C23F3"/>
    <w:rsid w:val="008C522E"/>
    <w:rsid w:val="008D6459"/>
    <w:rsid w:val="008D648B"/>
    <w:rsid w:val="008E0D51"/>
    <w:rsid w:val="008E3D3C"/>
    <w:rsid w:val="008E4793"/>
    <w:rsid w:val="008F060E"/>
    <w:rsid w:val="008F22D0"/>
    <w:rsid w:val="008F2381"/>
    <w:rsid w:val="008F7C0F"/>
    <w:rsid w:val="00900F79"/>
    <w:rsid w:val="00904AEE"/>
    <w:rsid w:val="00913206"/>
    <w:rsid w:val="0092094C"/>
    <w:rsid w:val="00921033"/>
    <w:rsid w:val="009213BD"/>
    <w:rsid w:val="00922868"/>
    <w:rsid w:val="00926EB3"/>
    <w:rsid w:val="009271C4"/>
    <w:rsid w:val="00936811"/>
    <w:rsid w:val="00936877"/>
    <w:rsid w:val="00947102"/>
    <w:rsid w:val="009523D4"/>
    <w:rsid w:val="00953264"/>
    <w:rsid w:val="00954527"/>
    <w:rsid w:val="00963F50"/>
    <w:rsid w:val="0096530C"/>
    <w:rsid w:val="0096558F"/>
    <w:rsid w:val="00974DA1"/>
    <w:rsid w:val="009800E4"/>
    <w:rsid w:val="0098155A"/>
    <w:rsid w:val="009820AE"/>
    <w:rsid w:val="009831D2"/>
    <w:rsid w:val="009842B7"/>
    <w:rsid w:val="00984A20"/>
    <w:rsid w:val="00992F7F"/>
    <w:rsid w:val="0099583D"/>
    <w:rsid w:val="009978CE"/>
    <w:rsid w:val="009A2C90"/>
    <w:rsid w:val="009A3CB4"/>
    <w:rsid w:val="009A4D2F"/>
    <w:rsid w:val="009A7A85"/>
    <w:rsid w:val="009C089D"/>
    <w:rsid w:val="009C2884"/>
    <w:rsid w:val="009C3002"/>
    <w:rsid w:val="009C398F"/>
    <w:rsid w:val="009D1A67"/>
    <w:rsid w:val="009D1F65"/>
    <w:rsid w:val="009D3A46"/>
    <w:rsid w:val="009D7E95"/>
    <w:rsid w:val="009E1BF1"/>
    <w:rsid w:val="009F20F8"/>
    <w:rsid w:val="009F248A"/>
    <w:rsid w:val="009F3317"/>
    <w:rsid w:val="009F45AB"/>
    <w:rsid w:val="00A01EC5"/>
    <w:rsid w:val="00A03DF9"/>
    <w:rsid w:val="00A0712A"/>
    <w:rsid w:val="00A11454"/>
    <w:rsid w:val="00A14873"/>
    <w:rsid w:val="00A16EFF"/>
    <w:rsid w:val="00A21506"/>
    <w:rsid w:val="00A2414D"/>
    <w:rsid w:val="00A26A52"/>
    <w:rsid w:val="00A30642"/>
    <w:rsid w:val="00A312D2"/>
    <w:rsid w:val="00A330E4"/>
    <w:rsid w:val="00A46EE2"/>
    <w:rsid w:val="00A5043E"/>
    <w:rsid w:val="00A56D11"/>
    <w:rsid w:val="00A658B3"/>
    <w:rsid w:val="00A73065"/>
    <w:rsid w:val="00A74067"/>
    <w:rsid w:val="00A76848"/>
    <w:rsid w:val="00A77398"/>
    <w:rsid w:val="00A805AD"/>
    <w:rsid w:val="00A81D15"/>
    <w:rsid w:val="00A85245"/>
    <w:rsid w:val="00A8641C"/>
    <w:rsid w:val="00A90992"/>
    <w:rsid w:val="00A934FA"/>
    <w:rsid w:val="00A93522"/>
    <w:rsid w:val="00AA29DB"/>
    <w:rsid w:val="00AA2F79"/>
    <w:rsid w:val="00AA3557"/>
    <w:rsid w:val="00AA4354"/>
    <w:rsid w:val="00AA5701"/>
    <w:rsid w:val="00AA5A4A"/>
    <w:rsid w:val="00AA735F"/>
    <w:rsid w:val="00AA7580"/>
    <w:rsid w:val="00AA7BDB"/>
    <w:rsid w:val="00AB1B4B"/>
    <w:rsid w:val="00AB5A2A"/>
    <w:rsid w:val="00AC141D"/>
    <w:rsid w:val="00AC2760"/>
    <w:rsid w:val="00AC487A"/>
    <w:rsid w:val="00AC4C63"/>
    <w:rsid w:val="00AC5D7B"/>
    <w:rsid w:val="00AE5FD6"/>
    <w:rsid w:val="00AE77B1"/>
    <w:rsid w:val="00AE7E21"/>
    <w:rsid w:val="00AF0F97"/>
    <w:rsid w:val="00AF30C4"/>
    <w:rsid w:val="00AF3831"/>
    <w:rsid w:val="00AF6568"/>
    <w:rsid w:val="00AF792C"/>
    <w:rsid w:val="00B04E55"/>
    <w:rsid w:val="00B054A5"/>
    <w:rsid w:val="00B070B5"/>
    <w:rsid w:val="00B1190A"/>
    <w:rsid w:val="00B12226"/>
    <w:rsid w:val="00B24EAF"/>
    <w:rsid w:val="00B264E1"/>
    <w:rsid w:val="00B418AF"/>
    <w:rsid w:val="00B42724"/>
    <w:rsid w:val="00B43AA8"/>
    <w:rsid w:val="00B46B01"/>
    <w:rsid w:val="00B51C4D"/>
    <w:rsid w:val="00B552C1"/>
    <w:rsid w:val="00B57B5E"/>
    <w:rsid w:val="00B6004F"/>
    <w:rsid w:val="00B83B50"/>
    <w:rsid w:val="00B841BB"/>
    <w:rsid w:val="00B87D51"/>
    <w:rsid w:val="00B91DD0"/>
    <w:rsid w:val="00B93232"/>
    <w:rsid w:val="00B9329B"/>
    <w:rsid w:val="00BA3777"/>
    <w:rsid w:val="00BA44B8"/>
    <w:rsid w:val="00BB5EB1"/>
    <w:rsid w:val="00BB6A37"/>
    <w:rsid w:val="00BD4E48"/>
    <w:rsid w:val="00BE0307"/>
    <w:rsid w:val="00BE0A45"/>
    <w:rsid w:val="00BE697C"/>
    <w:rsid w:val="00BE78E2"/>
    <w:rsid w:val="00BE7A49"/>
    <w:rsid w:val="00C0361C"/>
    <w:rsid w:val="00C04236"/>
    <w:rsid w:val="00C04C53"/>
    <w:rsid w:val="00C06717"/>
    <w:rsid w:val="00C06B8F"/>
    <w:rsid w:val="00C1261C"/>
    <w:rsid w:val="00C142C2"/>
    <w:rsid w:val="00C220AF"/>
    <w:rsid w:val="00C27833"/>
    <w:rsid w:val="00C302D5"/>
    <w:rsid w:val="00C32C68"/>
    <w:rsid w:val="00C35490"/>
    <w:rsid w:val="00C36A65"/>
    <w:rsid w:val="00C55971"/>
    <w:rsid w:val="00C55E10"/>
    <w:rsid w:val="00C56D96"/>
    <w:rsid w:val="00C56E89"/>
    <w:rsid w:val="00C6085D"/>
    <w:rsid w:val="00C61354"/>
    <w:rsid w:val="00C77B67"/>
    <w:rsid w:val="00C8019E"/>
    <w:rsid w:val="00C80950"/>
    <w:rsid w:val="00C839F5"/>
    <w:rsid w:val="00C86A73"/>
    <w:rsid w:val="00C96E77"/>
    <w:rsid w:val="00CA30F2"/>
    <w:rsid w:val="00CA5340"/>
    <w:rsid w:val="00CB37C5"/>
    <w:rsid w:val="00CC2938"/>
    <w:rsid w:val="00CC4B5F"/>
    <w:rsid w:val="00CC59A5"/>
    <w:rsid w:val="00CC679B"/>
    <w:rsid w:val="00CD4F9A"/>
    <w:rsid w:val="00CD7957"/>
    <w:rsid w:val="00CE184B"/>
    <w:rsid w:val="00CE75CB"/>
    <w:rsid w:val="00CF0DF0"/>
    <w:rsid w:val="00CF4FBA"/>
    <w:rsid w:val="00CF5444"/>
    <w:rsid w:val="00CF77FF"/>
    <w:rsid w:val="00CF7F26"/>
    <w:rsid w:val="00D0322E"/>
    <w:rsid w:val="00D04709"/>
    <w:rsid w:val="00D06B09"/>
    <w:rsid w:val="00D07E99"/>
    <w:rsid w:val="00D11207"/>
    <w:rsid w:val="00D11432"/>
    <w:rsid w:val="00D13997"/>
    <w:rsid w:val="00D22494"/>
    <w:rsid w:val="00D2300D"/>
    <w:rsid w:val="00D309DD"/>
    <w:rsid w:val="00D330CF"/>
    <w:rsid w:val="00D351D8"/>
    <w:rsid w:val="00D41307"/>
    <w:rsid w:val="00D420E1"/>
    <w:rsid w:val="00D427A7"/>
    <w:rsid w:val="00D50D06"/>
    <w:rsid w:val="00D51FED"/>
    <w:rsid w:val="00D52443"/>
    <w:rsid w:val="00D55330"/>
    <w:rsid w:val="00D57D87"/>
    <w:rsid w:val="00D62CA4"/>
    <w:rsid w:val="00D6487A"/>
    <w:rsid w:val="00D65A59"/>
    <w:rsid w:val="00D702B8"/>
    <w:rsid w:val="00D71038"/>
    <w:rsid w:val="00D71BF3"/>
    <w:rsid w:val="00D74F81"/>
    <w:rsid w:val="00D76A31"/>
    <w:rsid w:val="00D812EF"/>
    <w:rsid w:val="00D85685"/>
    <w:rsid w:val="00D96062"/>
    <w:rsid w:val="00DA246C"/>
    <w:rsid w:val="00DA5C08"/>
    <w:rsid w:val="00DA6F89"/>
    <w:rsid w:val="00DA79B0"/>
    <w:rsid w:val="00DB4ED3"/>
    <w:rsid w:val="00DC58FD"/>
    <w:rsid w:val="00DE2754"/>
    <w:rsid w:val="00DE40F7"/>
    <w:rsid w:val="00DE6321"/>
    <w:rsid w:val="00DF0396"/>
    <w:rsid w:val="00DF1B3A"/>
    <w:rsid w:val="00DF1BDF"/>
    <w:rsid w:val="00DF3683"/>
    <w:rsid w:val="00DF392A"/>
    <w:rsid w:val="00DF6AD7"/>
    <w:rsid w:val="00E00821"/>
    <w:rsid w:val="00E03DA8"/>
    <w:rsid w:val="00E0487A"/>
    <w:rsid w:val="00E064A1"/>
    <w:rsid w:val="00E069A1"/>
    <w:rsid w:val="00E079B8"/>
    <w:rsid w:val="00E257E7"/>
    <w:rsid w:val="00E27227"/>
    <w:rsid w:val="00E27E6F"/>
    <w:rsid w:val="00E33DD5"/>
    <w:rsid w:val="00E34AE8"/>
    <w:rsid w:val="00E35C47"/>
    <w:rsid w:val="00E3734C"/>
    <w:rsid w:val="00E40767"/>
    <w:rsid w:val="00E4514D"/>
    <w:rsid w:val="00E520EC"/>
    <w:rsid w:val="00E562D9"/>
    <w:rsid w:val="00E62C8E"/>
    <w:rsid w:val="00E65F3C"/>
    <w:rsid w:val="00E6736E"/>
    <w:rsid w:val="00E7047D"/>
    <w:rsid w:val="00E74F5B"/>
    <w:rsid w:val="00E86828"/>
    <w:rsid w:val="00E90BCF"/>
    <w:rsid w:val="00EA19FB"/>
    <w:rsid w:val="00EA2421"/>
    <w:rsid w:val="00EA3810"/>
    <w:rsid w:val="00EA4A46"/>
    <w:rsid w:val="00EA5464"/>
    <w:rsid w:val="00EA7143"/>
    <w:rsid w:val="00EB246A"/>
    <w:rsid w:val="00EB27BE"/>
    <w:rsid w:val="00EB3817"/>
    <w:rsid w:val="00EB4D78"/>
    <w:rsid w:val="00EB68A8"/>
    <w:rsid w:val="00EC0653"/>
    <w:rsid w:val="00EC388B"/>
    <w:rsid w:val="00EC5890"/>
    <w:rsid w:val="00EC763B"/>
    <w:rsid w:val="00ED027A"/>
    <w:rsid w:val="00EE6ED7"/>
    <w:rsid w:val="00EF2364"/>
    <w:rsid w:val="00F007C7"/>
    <w:rsid w:val="00F13B14"/>
    <w:rsid w:val="00F202F0"/>
    <w:rsid w:val="00F24C03"/>
    <w:rsid w:val="00F26993"/>
    <w:rsid w:val="00F27767"/>
    <w:rsid w:val="00F27A05"/>
    <w:rsid w:val="00F342A3"/>
    <w:rsid w:val="00F43499"/>
    <w:rsid w:val="00F438DA"/>
    <w:rsid w:val="00F45EDA"/>
    <w:rsid w:val="00F47F0C"/>
    <w:rsid w:val="00F509EB"/>
    <w:rsid w:val="00F53248"/>
    <w:rsid w:val="00F5367A"/>
    <w:rsid w:val="00F546AD"/>
    <w:rsid w:val="00F56980"/>
    <w:rsid w:val="00F57197"/>
    <w:rsid w:val="00F628C3"/>
    <w:rsid w:val="00F632EF"/>
    <w:rsid w:val="00F64829"/>
    <w:rsid w:val="00F7172E"/>
    <w:rsid w:val="00F717E0"/>
    <w:rsid w:val="00F72359"/>
    <w:rsid w:val="00F805BC"/>
    <w:rsid w:val="00F81909"/>
    <w:rsid w:val="00F84C27"/>
    <w:rsid w:val="00F87CB6"/>
    <w:rsid w:val="00F92576"/>
    <w:rsid w:val="00F93DF9"/>
    <w:rsid w:val="00FA0C13"/>
    <w:rsid w:val="00FA6BB4"/>
    <w:rsid w:val="00FB3E2C"/>
    <w:rsid w:val="00FB4617"/>
    <w:rsid w:val="00FB6BCC"/>
    <w:rsid w:val="00FC40FF"/>
    <w:rsid w:val="00FC5E79"/>
    <w:rsid w:val="00FC6A22"/>
    <w:rsid w:val="00FD1A31"/>
    <w:rsid w:val="00FD4380"/>
    <w:rsid w:val="00FF2D31"/>
    <w:rsid w:val="00FF59DE"/>
    <w:rsid w:val="00FF5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4066B"/>
  <w15:chartTrackingRefBased/>
  <w15:docId w15:val="{BA426F5E-B4E5-41DF-B004-355F64D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70570"/>
    <w:pPr>
      <w:widowControl w:val="0"/>
      <w:autoSpaceDE w:val="0"/>
      <w:autoSpaceDN w:val="0"/>
      <w:spacing w:after="0" w:line="240" w:lineRule="auto"/>
      <w:ind w:left="30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E23"/>
  </w:style>
  <w:style w:type="paragraph" w:styleId="NormalWeb">
    <w:name w:val="Normal (Web)"/>
    <w:basedOn w:val="Normal"/>
    <w:link w:val="NormalWebCar"/>
    <w:uiPriority w:val="99"/>
    <w:unhideWhenUsed/>
    <w:rsid w:val="00137E23"/>
    <w:rPr>
      <w:rFonts w:ascii="Times New Roman" w:hAnsi="Times New Roman" w:cs="Times New Roman"/>
      <w:sz w:val="24"/>
      <w:szCs w:val="24"/>
    </w:rPr>
  </w:style>
  <w:style w:type="paragraph" w:styleId="Piedepgina">
    <w:name w:val="footer"/>
    <w:basedOn w:val="Normal"/>
    <w:link w:val="PiedepginaCar"/>
    <w:uiPriority w:val="99"/>
    <w:unhideWhenUsed/>
    <w:rsid w:val="00137E23"/>
    <w:pPr>
      <w:tabs>
        <w:tab w:val="center" w:pos="4419"/>
        <w:tab w:val="right" w:pos="8838"/>
      </w:tabs>
      <w:spacing w:after="0" w:line="240" w:lineRule="auto"/>
    </w:pPr>
    <w:rPr>
      <w:sz w:val="24"/>
      <w:lang w:val="es-ES"/>
    </w:rPr>
  </w:style>
  <w:style w:type="character" w:customStyle="1" w:styleId="PiedepginaCar">
    <w:name w:val="Pie de página Car"/>
    <w:basedOn w:val="Fuentedeprrafopredeter"/>
    <w:link w:val="Piedepgina"/>
    <w:uiPriority w:val="99"/>
    <w:rsid w:val="00137E23"/>
    <w:rPr>
      <w:sz w:val="24"/>
      <w:lang w:val="es-ES"/>
    </w:rPr>
  </w:style>
  <w:style w:type="table" w:styleId="Tablaconcuadrcula">
    <w:name w:val="Table Grid"/>
    <w:basedOn w:val="Tablanormal"/>
    <w:uiPriority w:val="3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137E2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7E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37E23"/>
    <w:pPr>
      <w:spacing w:after="0" w:line="240" w:lineRule="auto"/>
    </w:pPr>
    <w:rPr>
      <w:sz w:val="20"/>
      <w:szCs w:val="20"/>
      <w:lang w:val="es-MX"/>
    </w:rPr>
  </w:style>
  <w:style w:type="character" w:customStyle="1" w:styleId="TextonotapieCar1">
    <w:name w:val="Texto nota pie Car1"/>
    <w:basedOn w:val="Fuentedeprrafopredeter"/>
    <w:uiPriority w:val="99"/>
    <w:semiHidden/>
    <w:rsid w:val="00137E2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137E2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137E23"/>
    <w:pPr>
      <w:spacing w:after="0" w:line="240" w:lineRule="auto"/>
      <w:ind w:left="720"/>
      <w:contextualSpacing/>
    </w:pPr>
    <w:rPr>
      <w:sz w:val="24"/>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7E23"/>
    <w:rPr>
      <w:sz w:val="24"/>
      <w:lang w:val="es-ES"/>
    </w:rPr>
  </w:style>
  <w:style w:type="character" w:customStyle="1" w:styleId="Ttulo1Car">
    <w:name w:val="Título 1 Car"/>
    <w:basedOn w:val="Fuentedeprrafopredeter"/>
    <w:link w:val="Ttulo1"/>
    <w:uiPriority w:val="9"/>
    <w:rsid w:val="00270570"/>
    <w:rPr>
      <w:rFonts w:ascii="Arial" w:eastAsia="Arial" w:hAnsi="Arial" w:cs="Arial"/>
      <w:b/>
      <w:bCs/>
      <w:lang w:val="es-ES"/>
    </w:rPr>
  </w:style>
  <w:style w:type="paragraph" w:styleId="Textoindependiente">
    <w:name w:val="Body Text"/>
    <w:basedOn w:val="Normal"/>
    <w:link w:val="TextoindependienteCar"/>
    <w:uiPriority w:val="1"/>
    <w:qFormat/>
    <w:rsid w:val="00A7684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76848"/>
    <w:rPr>
      <w:rFonts w:ascii="Arial" w:eastAsia="Arial" w:hAnsi="Arial" w:cs="Arial"/>
      <w:lang w:val="es-ES"/>
    </w:rPr>
  </w:style>
  <w:style w:type="character" w:styleId="Refdecomentario">
    <w:name w:val="annotation reference"/>
    <w:basedOn w:val="Fuentedeprrafopredeter"/>
    <w:uiPriority w:val="99"/>
    <w:semiHidden/>
    <w:unhideWhenUsed/>
    <w:rsid w:val="00EA2421"/>
    <w:rPr>
      <w:sz w:val="16"/>
      <w:szCs w:val="16"/>
    </w:rPr>
  </w:style>
  <w:style w:type="paragraph" w:styleId="Textocomentario">
    <w:name w:val="annotation text"/>
    <w:basedOn w:val="Normal"/>
    <w:link w:val="TextocomentarioCar"/>
    <w:uiPriority w:val="99"/>
    <w:unhideWhenUsed/>
    <w:rsid w:val="00EA2421"/>
    <w:pPr>
      <w:spacing w:line="240" w:lineRule="auto"/>
    </w:pPr>
    <w:rPr>
      <w:sz w:val="20"/>
      <w:szCs w:val="20"/>
    </w:rPr>
  </w:style>
  <w:style w:type="character" w:customStyle="1" w:styleId="TextocomentarioCar">
    <w:name w:val="Texto comentario Car"/>
    <w:basedOn w:val="Fuentedeprrafopredeter"/>
    <w:link w:val="Textocomentario"/>
    <w:uiPriority w:val="99"/>
    <w:rsid w:val="00EA2421"/>
    <w:rPr>
      <w:sz w:val="20"/>
      <w:szCs w:val="20"/>
    </w:rPr>
  </w:style>
  <w:style w:type="paragraph" w:styleId="Asuntodelcomentario">
    <w:name w:val="annotation subject"/>
    <w:basedOn w:val="Textocomentario"/>
    <w:next w:val="Textocomentario"/>
    <w:link w:val="AsuntodelcomentarioCar"/>
    <w:uiPriority w:val="99"/>
    <w:semiHidden/>
    <w:unhideWhenUsed/>
    <w:rsid w:val="00EA2421"/>
    <w:rPr>
      <w:b/>
      <w:bCs/>
    </w:rPr>
  </w:style>
  <w:style w:type="character" w:customStyle="1" w:styleId="AsuntodelcomentarioCar">
    <w:name w:val="Asunto del comentario Car"/>
    <w:basedOn w:val="TextocomentarioCar"/>
    <w:link w:val="Asuntodelcomentario"/>
    <w:uiPriority w:val="99"/>
    <w:semiHidden/>
    <w:rsid w:val="00EA2421"/>
    <w:rPr>
      <w:b/>
      <w:bCs/>
      <w:sz w:val="20"/>
      <w:szCs w:val="20"/>
    </w:rPr>
  </w:style>
  <w:style w:type="table" w:customStyle="1" w:styleId="Tablaconcuadrcula1">
    <w:name w:val="Tabla con cuadrícula1"/>
    <w:basedOn w:val="Tablanormal"/>
    <w:next w:val="Tablaconcuadrcula"/>
    <w:uiPriority w:val="59"/>
    <w:rsid w:val="00135FBD"/>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0642"/>
    <w:rPr>
      <w:color w:val="0563C1" w:themeColor="hyperlink"/>
      <w:u w:val="single"/>
    </w:rPr>
  </w:style>
  <w:style w:type="character" w:customStyle="1" w:styleId="Mencinsinresolver1">
    <w:name w:val="Mención sin resolver1"/>
    <w:basedOn w:val="Fuentedeprrafopredeter"/>
    <w:uiPriority w:val="99"/>
    <w:semiHidden/>
    <w:unhideWhenUsed/>
    <w:rsid w:val="00A30642"/>
    <w:rPr>
      <w:color w:val="605E5C"/>
      <w:shd w:val="clear" w:color="auto" w:fill="E1DFDD"/>
    </w:rPr>
  </w:style>
  <w:style w:type="character" w:customStyle="1" w:styleId="normaltextrun">
    <w:name w:val="normaltextrun"/>
    <w:basedOn w:val="Fuentedeprrafopredeter"/>
    <w:rsid w:val="00876B50"/>
  </w:style>
  <w:style w:type="paragraph" w:customStyle="1" w:styleId="Appelnotedebasde">
    <w:name w:val="Appel note de bas de..."/>
    <w:basedOn w:val="Normal"/>
    <w:link w:val="Refdenotaalpie"/>
    <w:rsid w:val="00876B50"/>
    <w:pPr>
      <w:spacing w:line="240" w:lineRule="exact"/>
    </w:pPr>
    <w:rPr>
      <w:vertAlign w:val="superscript"/>
    </w:rPr>
  </w:style>
  <w:style w:type="paragraph" w:styleId="Revisin">
    <w:name w:val="Revision"/>
    <w:hidden/>
    <w:uiPriority w:val="99"/>
    <w:semiHidden/>
    <w:rsid w:val="0080741E"/>
    <w:pPr>
      <w:spacing w:after="0" w:line="240" w:lineRule="auto"/>
    </w:pPr>
  </w:style>
  <w:style w:type="paragraph" w:styleId="Textodeglobo">
    <w:name w:val="Balloon Text"/>
    <w:basedOn w:val="Normal"/>
    <w:link w:val="TextodegloboCar"/>
    <w:uiPriority w:val="99"/>
    <w:semiHidden/>
    <w:unhideWhenUsed/>
    <w:rsid w:val="007C31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193"/>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881F9F"/>
    <w:rPr>
      <w:color w:val="605E5C"/>
      <w:shd w:val="clear" w:color="auto" w:fill="E1DFDD"/>
    </w:rPr>
  </w:style>
  <w:style w:type="character" w:customStyle="1" w:styleId="NormalWebCar">
    <w:name w:val="Normal (Web) Car"/>
    <w:link w:val="NormalWeb"/>
    <w:uiPriority w:val="99"/>
    <w:locked/>
    <w:rsid w:val="00586358"/>
    <w:rPr>
      <w:rFonts w:ascii="Times New Roman" w:hAnsi="Times New Roman" w:cs="Times New Roman"/>
      <w:sz w:val="24"/>
      <w:szCs w:val="24"/>
    </w:rPr>
  </w:style>
  <w:style w:type="paragraph" w:customStyle="1" w:styleId="paragraph">
    <w:name w:val="paragraph"/>
    <w:basedOn w:val="Normal"/>
    <w:rsid w:val="005C5E9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C5E92"/>
  </w:style>
  <w:style w:type="character" w:customStyle="1" w:styleId="eop">
    <w:name w:val="eop"/>
    <w:basedOn w:val="Fuentedeprrafopredeter"/>
    <w:rsid w:val="005C5E92"/>
  </w:style>
  <w:style w:type="character" w:styleId="Textoennegrita">
    <w:name w:val="Strong"/>
    <w:basedOn w:val="Fuentedeprrafopredeter"/>
    <w:uiPriority w:val="22"/>
    <w:qFormat/>
    <w:rsid w:val="005C5E92"/>
    <w:rPr>
      <w:b/>
      <w:bCs/>
    </w:rPr>
  </w:style>
  <w:style w:type="character" w:styleId="nfasis">
    <w:name w:val="Emphasis"/>
    <w:basedOn w:val="Fuentedeprrafopredeter"/>
    <w:uiPriority w:val="20"/>
    <w:qFormat/>
    <w:rsid w:val="005C5E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2457">
      <w:bodyDiv w:val="1"/>
      <w:marLeft w:val="0"/>
      <w:marRight w:val="0"/>
      <w:marTop w:val="0"/>
      <w:marBottom w:val="0"/>
      <w:divBdr>
        <w:top w:val="none" w:sz="0" w:space="0" w:color="auto"/>
        <w:left w:val="none" w:sz="0" w:space="0" w:color="auto"/>
        <w:bottom w:val="none" w:sz="0" w:space="0" w:color="auto"/>
        <w:right w:val="none" w:sz="0" w:space="0" w:color="auto"/>
      </w:divBdr>
    </w:div>
    <w:div w:id="122307263">
      <w:bodyDiv w:val="1"/>
      <w:marLeft w:val="0"/>
      <w:marRight w:val="0"/>
      <w:marTop w:val="0"/>
      <w:marBottom w:val="0"/>
      <w:divBdr>
        <w:top w:val="none" w:sz="0" w:space="0" w:color="auto"/>
        <w:left w:val="none" w:sz="0" w:space="0" w:color="auto"/>
        <w:bottom w:val="none" w:sz="0" w:space="0" w:color="auto"/>
        <w:right w:val="none" w:sz="0" w:space="0" w:color="auto"/>
      </w:divBdr>
    </w:div>
    <w:div w:id="163663830">
      <w:bodyDiv w:val="1"/>
      <w:marLeft w:val="0"/>
      <w:marRight w:val="0"/>
      <w:marTop w:val="0"/>
      <w:marBottom w:val="0"/>
      <w:divBdr>
        <w:top w:val="none" w:sz="0" w:space="0" w:color="auto"/>
        <w:left w:val="none" w:sz="0" w:space="0" w:color="auto"/>
        <w:bottom w:val="none" w:sz="0" w:space="0" w:color="auto"/>
        <w:right w:val="none" w:sz="0" w:space="0" w:color="auto"/>
      </w:divBdr>
    </w:div>
    <w:div w:id="180436205">
      <w:bodyDiv w:val="1"/>
      <w:marLeft w:val="0"/>
      <w:marRight w:val="0"/>
      <w:marTop w:val="0"/>
      <w:marBottom w:val="0"/>
      <w:divBdr>
        <w:top w:val="none" w:sz="0" w:space="0" w:color="auto"/>
        <w:left w:val="none" w:sz="0" w:space="0" w:color="auto"/>
        <w:bottom w:val="none" w:sz="0" w:space="0" w:color="auto"/>
        <w:right w:val="none" w:sz="0" w:space="0" w:color="auto"/>
      </w:divBdr>
    </w:div>
    <w:div w:id="183859262">
      <w:bodyDiv w:val="1"/>
      <w:marLeft w:val="0"/>
      <w:marRight w:val="0"/>
      <w:marTop w:val="0"/>
      <w:marBottom w:val="0"/>
      <w:divBdr>
        <w:top w:val="none" w:sz="0" w:space="0" w:color="auto"/>
        <w:left w:val="none" w:sz="0" w:space="0" w:color="auto"/>
        <w:bottom w:val="none" w:sz="0" w:space="0" w:color="auto"/>
        <w:right w:val="none" w:sz="0" w:space="0" w:color="auto"/>
      </w:divBdr>
    </w:div>
    <w:div w:id="216554815">
      <w:bodyDiv w:val="1"/>
      <w:marLeft w:val="0"/>
      <w:marRight w:val="0"/>
      <w:marTop w:val="0"/>
      <w:marBottom w:val="0"/>
      <w:divBdr>
        <w:top w:val="none" w:sz="0" w:space="0" w:color="auto"/>
        <w:left w:val="none" w:sz="0" w:space="0" w:color="auto"/>
        <w:bottom w:val="none" w:sz="0" w:space="0" w:color="auto"/>
        <w:right w:val="none" w:sz="0" w:space="0" w:color="auto"/>
      </w:divBdr>
    </w:div>
    <w:div w:id="561255331">
      <w:bodyDiv w:val="1"/>
      <w:marLeft w:val="0"/>
      <w:marRight w:val="0"/>
      <w:marTop w:val="0"/>
      <w:marBottom w:val="0"/>
      <w:divBdr>
        <w:top w:val="none" w:sz="0" w:space="0" w:color="auto"/>
        <w:left w:val="none" w:sz="0" w:space="0" w:color="auto"/>
        <w:bottom w:val="none" w:sz="0" w:space="0" w:color="auto"/>
        <w:right w:val="none" w:sz="0" w:space="0" w:color="auto"/>
      </w:divBdr>
    </w:div>
    <w:div w:id="617026869">
      <w:bodyDiv w:val="1"/>
      <w:marLeft w:val="0"/>
      <w:marRight w:val="0"/>
      <w:marTop w:val="0"/>
      <w:marBottom w:val="0"/>
      <w:divBdr>
        <w:top w:val="none" w:sz="0" w:space="0" w:color="auto"/>
        <w:left w:val="none" w:sz="0" w:space="0" w:color="auto"/>
        <w:bottom w:val="none" w:sz="0" w:space="0" w:color="auto"/>
        <w:right w:val="none" w:sz="0" w:space="0" w:color="auto"/>
      </w:divBdr>
    </w:div>
    <w:div w:id="741949141">
      <w:bodyDiv w:val="1"/>
      <w:marLeft w:val="0"/>
      <w:marRight w:val="0"/>
      <w:marTop w:val="0"/>
      <w:marBottom w:val="0"/>
      <w:divBdr>
        <w:top w:val="none" w:sz="0" w:space="0" w:color="auto"/>
        <w:left w:val="none" w:sz="0" w:space="0" w:color="auto"/>
        <w:bottom w:val="none" w:sz="0" w:space="0" w:color="auto"/>
        <w:right w:val="none" w:sz="0" w:space="0" w:color="auto"/>
      </w:divBdr>
    </w:div>
    <w:div w:id="984579576">
      <w:bodyDiv w:val="1"/>
      <w:marLeft w:val="0"/>
      <w:marRight w:val="0"/>
      <w:marTop w:val="0"/>
      <w:marBottom w:val="0"/>
      <w:divBdr>
        <w:top w:val="none" w:sz="0" w:space="0" w:color="auto"/>
        <w:left w:val="none" w:sz="0" w:space="0" w:color="auto"/>
        <w:bottom w:val="none" w:sz="0" w:space="0" w:color="auto"/>
        <w:right w:val="none" w:sz="0" w:space="0" w:color="auto"/>
      </w:divBdr>
    </w:div>
    <w:div w:id="1077245044">
      <w:bodyDiv w:val="1"/>
      <w:marLeft w:val="0"/>
      <w:marRight w:val="0"/>
      <w:marTop w:val="0"/>
      <w:marBottom w:val="0"/>
      <w:divBdr>
        <w:top w:val="none" w:sz="0" w:space="0" w:color="auto"/>
        <w:left w:val="none" w:sz="0" w:space="0" w:color="auto"/>
        <w:bottom w:val="none" w:sz="0" w:space="0" w:color="auto"/>
        <w:right w:val="none" w:sz="0" w:space="0" w:color="auto"/>
      </w:divBdr>
    </w:div>
    <w:div w:id="1099763178">
      <w:bodyDiv w:val="1"/>
      <w:marLeft w:val="0"/>
      <w:marRight w:val="0"/>
      <w:marTop w:val="0"/>
      <w:marBottom w:val="0"/>
      <w:divBdr>
        <w:top w:val="none" w:sz="0" w:space="0" w:color="auto"/>
        <w:left w:val="none" w:sz="0" w:space="0" w:color="auto"/>
        <w:bottom w:val="none" w:sz="0" w:space="0" w:color="auto"/>
        <w:right w:val="none" w:sz="0" w:space="0" w:color="auto"/>
      </w:divBdr>
    </w:div>
    <w:div w:id="1151217549">
      <w:bodyDiv w:val="1"/>
      <w:marLeft w:val="0"/>
      <w:marRight w:val="0"/>
      <w:marTop w:val="0"/>
      <w:marBottom w:val="0"/>
      <w:divBdr>
        <w:top w:val="none" w:sz="0" w:space="0" w:color="auto"/>
        <w:left w:val="none" w:sz="0" w:space="0" w:color="auto"/>
        <w:bottom w:val="none" w:sz="0" w:space="0" w:color="auto"/>
        <w:right w:val="none" w:sz="0" w:space="0" w:color="auto"/>
      </w:divBdr>
    </w:div>
    <w:div w:id="1330868798">
      <w:bodyDiv w:val="1"/>
      <w:marLeft w:val="0"/>
      <w:marRight w:val="0"/>
      <w:marTop w:val="0"/>
      <w:marBottom w:val="0"/>
      <w:divBdr>
        <w:top w:val="none" w:sz="0" w:space="0" w:color="auto"/>
        <w:left w:val="none" w:sz="0" w:space="0" w:color="auto"/>
        <w:bottom w:val="none" w:sz="0" w:space="0" w:color="auto"/>
        <w:right w:val="none" w:sz="0" w:space="0" w:color="auto"/>
      </w:divBdr>
    </w:div>
    <w:div w:id="1333408857">
      <w:bodyDiv w:val="1"/>
      <w:marLeft w:val="0"/>
      <w:marRight w:val="0"/>
      <w:marTop w:val="0"/>
      <w:marBottom w:val="0"/>
      <w:divBdr>
        <w:top w:val="none" w:sz="0" w:space="0" w:color="auto"/>
        <w:left w:val="none" w:sz="0" w:space="0" w:color="auto"/>
        <w:bottom w:val="none" w:sz="0" w:space="0" w:color="auto"/>
        <w:right w:val="none" w:sz="0" w:space="0" w:color="auto"/>
      </w:divBdr>
    </w:div>
    <w:div w:id="1339193609">
      <w:bodyDiv w:val="1"/>
      <w:marLeft w:val="0"/>
      <w:marRight w:val="0"/>
      <w:marTop w:val="0"/>
      <w:marBottom w:val="0"/>
      <w:divBdr>
        <w:top w:val="none" w:sz="0" w:space="0" w:color="auto"/>
        <w:left w:val="none" w:sz="0" w:space="0" w:color="auto"/>
        <w:bottom w:val="none" w:sz="0" w:space="0" w:color="auto"/>
        <w:right w:val="none" w:sz="0" w:space="0" w:color="auto"/>
      </w:divBdr>
    </w:div>
    <w:div w:id="1387946491">
      <w:bodyDiv w:val="1"/>
      <w:marLeft w:val="0"/>
      <w:marRight w:val="0"/>
      <w:marTop w:val="0"/>
      <w:marBottom w:val="0"/>
      <w:divBdr>
        <w:top w:val="none" w:sz="0" w:space="0" w:color="auto"/>
        <w:left w:val="none" w:sz="0" w:space="0" w:color="auto"/>
        <w:bottom w:val="none" w:sz="0" w:space="0" w:color="auto"/>
        <w:right w:val="none" w:sz="0" w:space="0" w:color="auto"/>
      </w:divBdr>
    </w:div>
    <w:div w:id="1423453828">
      <w:bodyDiv w:val="1"/>
      <w:marLeft w:val="0"/>
      <w:marRight w:val="0"/>
      <w:marTop w:val="0"/>
      <w:marBottom w:val="0"/>
      <w:divBdr>
        <w:top w:val="none" w:sz="0" w:space="0" w:color="auto"/>
        <w:left w:val="none" w:sz="0" w:space="0" w:color="auto"/>
        <w:bottom w:val="none" w:sz="0" w:space="0" w:color="auto"/>
        <w:right w:val="none" w:sz="0" w:space="0" w:color="auto"/>
      </w:divBdr>
    </w:div>
    <w:div w:id="1504934833">
      <w:bodyDiv w:val="1"/>
      <w:marLeft w:val="0"/>
      <w:marRight w:val="0"/>
      <w:marTop w:val="0"/>
      <w:marBottom w:val="0"/>
      <w:divBdr>
        <w:top w:val="none" w:sz="0" w:space="0" w:color="auto"/>
        <w:left w:val="none" w:sz="0" w:space="0" w:color="auto"/>
        <w:bottom w:val="none" w:sz="0" w:space="0" w:color="auto"/>
        <w:right w:val="none" w:sz="0" w:space="0" w:color="auto"/>
      </w:divBdr>
    </w:div>
    <w:div w:id="1512455602">
      <w:bodyDiv w:val="1"/>
      <w:marLeft w:val="0"/>
      <w:marRight w:val="0"/>
      <w:marTop w:val="0"/>
      <w:marBottom w:val="0"/>
      <w:divBdr>
        <w:top w:val="none" w:sz="0" w:space="0" w:color="auto"/>
        <w:left w:val="none" w:sz="0" w:space="0" w:color="auto"/>
        <w:bottom w:val="none" w:sz="0" w:space="0" w:color="auto"/>
        <w:right w:val="none" w:sz="0" w:space="0" w:color="auto"/>
      </w:divBdr>
    </w:div>
    <w:div w:id="1581062599">
      <w:bodyDiv w:val="1"/>
      <w:marLeft w:val="0"/>
      <w:marRight w:val="0"/>
      <w:marTop w:val="0"/>
      <w:marBottom w:val="0"/>
      <w:divBdr>
        <w:top w:val="none" w:sz="0" w:space="0" w:color="auto"/>
        <w:left w:val="none" w:sz="0" w:space="0" w:color="auto"/>
        <w:bottom w:val="none" w:sz="0" w:space="0" w:color="auto"/>
        <w:right w:val="none" w:sz="0" w:space="0" w:color="auto"/>
      </w:divBdr>
    </w:div>
    <w:div w:id="1633093812">
      <w:bodyDiv w:val="1"/>
      <w:marLeft w:val="0"/>
      <w:marRight w:val="0"/>
      <w:marTop w:val="0"/>
      <w:marBottom w:val="0"/>
      <w:divBdr>
        <w:top w:val="none" w:sz="0" w:space="0" w:color="auto"/>
        <w:left w:val="none" w:sz="0" w:space="0" w:color="auto"/>
        <w:bottom w:val="none" w:sz="0" w:space="0" w:color="auto"/>
        <w:right w:val="none" w:sz="0" w:space="0" w:color="auto"/>
      </w:divBdr>
    </w:div>
    <w:div w:id="1893080616">
      <w:bodyDiv w:val="1"/>
      <w:marLeft w:val="0"/>
      <w:marRight w:val="0"/>
      <w:marTop w:val="0"/>
      <w:marBottom w:val="0"/>
      <w:divBdr>
        <w:top w:val="none" w:sz="0" w:space="0" w:color="auto"/>
        <w:left w:val="none" w:sz="0" w:space="0" w:color="auto"/>
        <w:bottom w:val="none" w:sz="0" w:space="0" w:color="auto"/>
        <w:right w:val="none" w:sz="0" w:space="0" w:color="auto"/>
      </w:divBdr>
    </w:div>
    <w:div w:id="1916041994">
      <w:bodyDiv w:val="1"/>
      <w:marLeft w:val="0"/>
      <w:marRight w:val="0"/>
      <w:marTop w:val="0"/>
      <w:marBottom w:val="0"/>
      <w:divBdr>
        <w:top w:val="none" w:sz="0" w:space="0" w:color="auto"/>
        <w:left w:val="none" w:sz="0" w:space="0" w:color="auto"/>
        <w:bottom w:val="none" w:sz="0" w:space="0" w:color="auto"/>
        <w:right w:val="none" w:sz="0" w:space="0" w:color="auto"/>
      </w:divBdr>
    </w:div>
    <w:div w:id="1989825869">
      <w:bodyDiv w:val="1"/>
      <w:marLeft w:val="0"/>
      <w:marRight w:val="0"/>
      <w:marTop w:val="0"/>
      <w:marBottom w:val="0"/>
      <w:divBdr>
        <w:top w:val="none" w:sz="0" w:space="0" w:color="auto"/>
        <w:left w:val="none" w:sz="0" w:space="0" w:color="auto"/>
        <w:bottom w:val="none" w:sz="0" w:space="0" w:color="auto"/>
        <w:right w:val="none" w:sz="0" w:space="0" w:color="auto"/>
      </w:divBdr>
    </w:div>
    <w:div w:id="2004427188">
      <w:bodyDiv w:val="1"/>
      <w:marLeft w:val="0"/>
      <w:marRight w:val="0"/>
      <w:marTop w:val="0"/>
      <w:marBottom w:val="0"/>
      <w:divBdr>
        <w:top w:val="none" w:sz="0" w:space="0" w:color="auto"/>
        <w:left w:val="none" w:sz="0" w:space="0" w:color="auto"/>
        <w:bottom w:val="none" w:sz="0" w:space="0" w:color="auto"/>
        <w:right w:val="none" w:sz="0" w:space="0" w:color="auto"/>
      </w:divBdr>
    </w:div>
    <w:div w:id="2048605028">
      <w:bodyDiv w:val="1"/>
      <w:marLeft w:val="0"/>
      <w:marRight w:val="0"/>
      <w:marTop w:val="0"/>
      <w:marBottom w:val="0"/>
      <w:divBdr>
        <w:top w:val="none" w:sz="0" w:space="0" w:color="auto"/>
        <w:left w:val="none" w:sz="0" w:space="0" w:color="auto"/>
        <w:bottom w:val="none" w:sz="0" w:space="0" w:color="auto"/>
        <w:right w:val="none" w:sz="0" w:space="0" w:color="auto"/>
      </w:divBdr>
    </w:div>
    <w:div w:id="2048871443">
      <w:bodyDiv w:val="1"/>
      <w:marLeft w:val="0"/>
      <w:marRight w:val="0"/>
      <w:marTop w:val="0"/>
      <w:marBottom w:val="0"/>
      <w:divBdr>
        <w:top w:val="none" w:sz="0" w:space="0" w:color="auto"/>
        <w:left w:val="none" w:sz="0" w:space="0" w:color="auto"/>
        <w:bottom w:val="none" w:sz="0" w:space="0" w:color="auto"/>
        <w:right w:val="none" w:sz="0" w:space="0" w:color="auto"/>
      </w:divBdr>
    </w:div>
    <w:div w:id="21108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910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01031-AD38-4F16-90E4-0DFB1D6C7C8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8575762-4BC4-4296-B4F9-29D7DAF0445D}"/>
</file>

<file path=customXml/itemProps3.xml><?xml version="1.0" encoding="utf-8"?>
<ds:datastoreItem xmlns:ds="http://schemas.openxmlformats.org/officeDocument/2006/customXml" ds:itemID="{E3EB1DCF-B94B-4223-AC46-CFEB1D13A6D0}">
  <ds:schemaRefs>
    <ds:schemaRef ds:uri="http://schemas.openxmlformats.org/officeDocument/2006/bibliography"/>
  </ds:schemaRefs>
</ds:datastoreItem>
</file>

<file path=customXml/itemProps4.xml><?xml version="1.0" encoding="utf-8"?>
<ds:datastoreItem xmlns:ds="http://schemas.openxmlformats.org/officeDocument/2006/customXml" ds:itemID="{B3C3DD4C-BCE8-43AA-A69E-3A18176F7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8555</Words>
  <Characters>47056</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Diana Fabiola Herrera Hernandez</cp:lastModifiedBy>
  <cp:revision>4</cp:revision>
  <dcterms:created xsi:type="dcterms:W3CDTF">2022-11-20T23:55:00Z</dcterms:created>
  <dcterms:modified xsi:type="dcterms:W3CDTF">2022-11-20T23:58:00Z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