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9CA5" w14:textId="77777777" w:rsidR="00EB5D63" w:rsidRPr="00F26C31" w:rsidRDefault="00EB5D63" w:rsidP="00EB5D63">
      <w:pPr>
        <w:spacing w:after="0" w:line="240" w:lineRule="auto"/>
        <w:jc w:val="right"/>
        <w:rPr>
          <w:rFonts w:ascii="Arial" w:eastAsia="Times New Roman" w:hAnsi="Arial" w:cs="Arial"/>
          <w:sz w:val="20"/>
          <w:szCs w:val="20"/>
          <w:lang w:eastAsia="es-ES"/>
        </w:rPr>
      </w:pPr>
      <w:r w:rsidRPr="00F26C31">
        <w:rPr>
          <w:rFonts w:ascii="Arial" w:eastAsia="Times New Roman" w:hAnsi="Arial" w:cs="Arial"/>
          <w:sz w:val="20"/>
          <w:szCs w:val="20"/>
          <w:lang w:eastAsia="es-ES"/>
        </w:rPr>
        <w:t>maiCCE-DES-FM-17</w:t>
      </w:r>
    </w:p>
    <w:p w14:paraId="32DB25B5" w14:textId="77777777" w:rsidR="00EB5D63" w:rsidRPr="00F26C31" w:rsidRDefault="00EB5D63" w:rsidP="00EB5D63">
      <w:pPr>
        <w:spacing w:after="0" w:line="240" w:lineRule="auto"/>
        <w:jc w:val="both"/>
        <w:rPr>
          <w:rFonts w:ascii="Arial" w:eastAsia="Calibri" w:hAnsi="Arial" w:cs="Arial"/>
          <w:b/>
          <w:sz w:val="20"/>
          <w:szCs w:val="20"/>
        </w:rPr>
      </w:pPr>
    </w:p>
    <w:p w14:paraId="1C425A56" w14:textId="77777777" w:rsidR="00EB5D63" w:rsidRPr="00F26C31" w:rsidRDefault="00EB5D63" w:rsidP="00EB5D63">
      <w:pPr>
        <w:spacing w:line="240" w:lineRule="auto"/>
        <w:jc w:val="both"/>
        <w:rPr>
          <w:rFonts w:ascii="Arial" w:eastAsia="Calibri" w:hAnsi="Arial" w:cs="Arial"/>
          <w:b/>
          <w:color w:val="000000" w:themeColor="text1"/>
        </w:rPr>
      </w:pPr>
      <w:bookmarkStart w:id="0" w:name="_Hlk72942111"/>
      <w:r w:rsidRPr="00F26C31">
        <w:rPr>
          <w:rFonts w:ascii="Arial" w:eastAsia="Calibri" w:hAnsi="Arial" w:cs="Arial"/>
          <w:b/>
          <w:color w:val="000000" w:themeColor="text1"/>
        </w:rPr>
        <w:t xml:space="preserve">LEY DE EMPRENDIMIENTO – Ley 2069 de 2020 – Finalidad </w:t>
      </w:r>
    </w:p>
    <w:p w14:paraId="389056F5" w14:textId="31608012" w:rsidR="00EB5D63" w:rsidRPr="00F26C31" w:rsidRDefault="00EB5D63" w:rsidP="00EB5D63">
      <w:pPr>
        <w:spacing w:line="240" w:lineRule="auto"/>
        <w:jc w:val="both"/>
        <w:rPr>
          <w:rFonts w:ascii="Arial" w:eastAsia="Calibri" w:hAnsi="Arial" w:cs="Arial"/>
          <w:color w:val="000000" w:themeColor="text1"/>
          <w:sz w:val="20"/>
          <w:szCs w:val="20"/>
          <w:lang w:val="es-ES_tradnl"/>
        </w:rPr>
      </w:pPr>
      <w:r w:rsidRPr="00F26C31">
        <w:rPr>
          <w:rFonts w:ascii="Arial" w:eastAsia="Calibri" w:hAnsi="Arial" w:cs="Arial"/>
          <w:color w:val="000000" w:themeColor="text1"/>
          <w:sz w:val="20"/>
          <w:szCs w:val="20"/>
          <w:lang w:val="es-ES_tradnl"/>
        </w:rPr>
        <w:t xml:space="preserve">El 31 de diciembre de 2020 se promulgó la Ley 2069, </w:t>
      </w:r>
      <w:r w:rsidRPr="007D411D">
        <w:rPr>
          <w:rFonts w:ascii="Arial" w:eastAsia="Calibri" w:hAnsi="Arial" w:cs="Arial"/>
          <w:i/>
          <w:iCs/>
          <w:color w:val="000000" w:themeColor="text1"/>
          <w:sz w:val="20"/>
          <w:szCs w:val="20"/>
          <w:lang w:val="es-ES_tradnl"/>
        </w:rPr>
        <w:t>«Por medio de la cual se impulsa el emprendimiento en Colombia».</w:t>
      </w:r>
      <w:r w:rsidRPr="00F26C31">
        <w:rPr>
          <w:rFonts w:ascii="Arial" w:eastAsia="Calibri" w:hAnsi="Arial" w:cs="Arial"/>
          <w:color w:val="000000" w:themeColor="text1"/>
          <w:sz w:val="20"/>
          <w:szCs w:val="20"/>
          <w:lang w:val="es-ES_tradnl"/>
        </w:rPr>
        <w:t xml:space="preserve"> De acuerdo con el artículo 84, </w:t>
      </w:r>
      <w:r w:rsidRPr="007D411D">
        <w:rPr>
          <w:rFonts w:ascii="Arial" w:eastAsia="Calibri" w:hAnsi="Arial" w:cs="Arial"/>
          <w:i/>
          <w:iCs/>
          <w:color w:val="000000" w:themeColor="text1"/>
          <w:sz w:val="20"/>
          <w:szCs w:val="20"/>
          <w:lang w:val="es-ES_tradnl"/>
        </w:rPr>
        <w:t>«La presente Ley rige a partir del momento de su promulgación […]»</w:t>
      </w:r>
      <w:r w:rsidRPr="00F26C31">
        <w:rPr>
          <w:rFonts w:ascii="Arial" w:eastAsia="Calibri" w:hAnsi="Arial" w:cs="Arial"/>
          <w:color w:val="000000" w:themeColor="text1"/>
          <w:sz w:val="20"/>
          <w:szCs w:val="20"/>
          <w:lang w:val="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w:t>
      </w:r>
      <w:r w:rsidRPr="007D411D">
        <w:rPr>
          <w:rFonts w:ascii="Arial" w:eastAsia="Calibri" w:hAnsi="Arial" w:cs="Arial"/>
          <w:i/>
          <w:iCs/>
          <w:color w:val="000000" w:themeColor="text1"/>
          <w:sz w:val="20"/>
          <w:szCs w:val="20"/>
          <w:lang w:val="es-ES_tradnl"/>
        </w:rPr>
        <w:t>tiene por objeto establecer un marco regulatorio que propicie el emprendimiento y el crecimiento, consolidación y sostenibilidad de las empresas, con el fin de aumentar el bienestar social y generar equidad».</w:t>
      </w:r>
      <w:r w:rsidRPr="00F26C31">
        <w:rPr>
          <w:rFonts w:ascii="Arial" w:eastAsia="Calibri" w:hAnsi="Arial" w:cs="Arial"/>
          <w:color w:val="000000" w:themeColor="text1"/>
          <w:sz w:val="20"/>
          <w:szCs w:val="20"/>
          <w:lang w:val="es-ES_tradnl"/>
        </w:rPr>
        <w:t xml:space="preserve"> Esto, a partir de </w:t>
      </w:r>
      <w:r w:rsidRPr="007D411D">
        <w:rPr>
          <w:rFonts w:ascii="Arial" w:eastAsia="Calibri" w:hAnsi="Arial" w:cs="Arial"/>
          <w:i/>
          <w:iCs/>
          <w:color w:val="000000" w:themeColor="text1"/>
          <w:sz w:val="20"/>
          <w:szCs w:val="20"/>
          <w:lang w:val="es-ES_tradnl"/>
        </w:rPr>
        <w:t xml:space="preserve">«[…] un enfoque regionalizado </w:t>
      </w:r>
      <w:proofErr w:type="gramStart"/>
      <w:r w:rsidRPr="007D411D">
        <w:rPr>
          <w:rFonts w:ascii="Arial" w:eastAsia="Calibri" w:hAnsi="Arial" w:cs="Arial"/>
          <w:i/>
          <w:iCs/>
          <w:color w:val="000000" w:themeColor="text1"/>
          <w:sz w:val="20"/>
          <w:szCs w:val="20"/>
          <w:lang w:val="es-ES_tradnl"/>
        </w:rPr>
        <w:t>de acuerdo a</w:t>
      </w:r>
      <w:proofErr w:type="gramEnd"/>
      <w:r w:rsidRPr="007D411D">
        <w:rPr>
          <w:rFonts w:ascii="Arial" w:eastAsia="Calibri" w:hAnsi="Arial" w:cs="Arial"/>
          <w:i/>
          <w:iCs/>
          <w:color w:val="000000" w:themeColor="text1"/>
          <w:sz w:val="20"/>
          <w:szCs w:val="20"/>
          <w:lang w:val="es-ES_tradnl"/>
        </w:rPr>
        <w:t xml:space="preserve"> las realidades socioeconómicas de cada región».</w:t>
      </w:r>
      <w:r w:rsidRPr="00F26C31">
        <w:rPr>
          <w:rFonts w:ascii="Arial" w:eastAsia="Calibri" w:hAnsi="Arial" w:cs="Arial"/>
          <w:color w:val="000000" w:themeColor="text1"/>
          <w:sz w:val="20"/>
          <w:szCs w:val="20"/>
          <w:lang w:val="es-ES_tradnl"/>
        </w:rPr>
        <w:t xml:space="preserve"> En desarrollo de esta finalidad, se establecen medidas de apoyo para las micro, pequeñas y medianas empresas –</w:t>
      </w:r>
      <w:r w:rsidR="00BB4F37" w:rsidRPr="00F26C31">
        <w:rPr>
          <w:rFonts w:ascii="Arial" w:eastAsia="Calibri" w:hAnsi="Arial" w:cs="Arial"/>
          <w:color w:val="000000" w:themeColor="text1"/>
          <w:sz w:val="20"/>
          <w:szCs w:val="20"/>
          <w:lang w:val="es-ES_tradnl"/>
        </w:rPr>
        <w:t>MiPymes</w:t>
      </w:r>
      <w:r w:rsidRPr="00F26C31">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464B3F2" w14:textId="77777777" w:rsidR="00EB5D63" w:rsidRPr="00F26C31" w:rsidRDefault="00EB5D63" w:rsidP="00EB5D63">
      <w:pPr>
        <w:spacing w:line="240" w:lineRule="auto"/>
        <w:jc w:val="both"/>
        <w:rPr>
          <w:rFonts w:ascii="Arial" w:eastAsia="Calibri" w:hAnsi="Arial" w:cs="Arial"/>
          <w:b/>
          <w:color w:val="000000" w:themeColor="text1"/>
        </w:rPr>
      </w:pPr>
      <w:r w:rsidRPr="00F26C31">
        <w:rPr>
          <w:rFonts w:ascii="Arial" w:eastAsia="Calibri" w:hAnsi="Arial" w:cs="Arial"/>
          <w:b/>
          <w:color w:val="000000" w:themeColor="text1"/>
        </w:rPr>
        <w:t>LEY DE EMPRENDIMIENTO – Ley 2069 de 2020 – Artículo 32 – Criterios diferenciales – Emprendimientos de mujeres – Empresas de mujeres – Necesidad de reglamentación – Decreto 1860 de 2021</w:t>
      </w:r>
    </w:p>
    <w:p w14:paraId="76581491" w14:textId="77777777" w:rsidR="00EB5D63" w:rsidRPr="00F26C31" w:rsidRDefault="00EB5D63" w:rsidP="00EB5D63">
      <w:pPr>
        <w:spacing w:line="240" w:lineRule="auto"/>
        <w:jc w:val="both"/>
        <w:rPr>
          <w:rFonts w:ascii="Arial" w:eastAsia="Calibri" w:hAnsi="Arial" w:cs="Arial"/>
          <w:color w:val="000000" w:themeColor="text1"/>
          <w:sz w:val="20"/>
          <w:szCs w:val="20"/>
          <w:lang w:val="es-ES_tradnl"/>
        </w:rPr>
      </w:pPr>
      <w:r w:rsidRPr="00F26C31">
        <w:rPr>
          <w:rFonts w:ascii="Arial" w:eastAsia="Calibri" w:hAnsi="Arial" w:cs="Arial"/>
          <w:bCs/>
          <w:color w:val="000000" w:themeColor="text1"/>
          <w:sz w:val="20"/>
          <w:szCs w:val="20"/>
        </w:rPr>
        <w:t xml:space="preserve">[…] </w:t>
      </w:r>
      <w:r w:rsidRPr="00F26C31">
        <w:rPr>
          <w:rFonts w:ascii="Arial" w:eastAsia="Calibri" w:hAnsi="Arial" w:cs="Arial"/>
          <w:color w:val="000000" w:themeColor="text1"/>
          <w:sz w:val="20"/>
          <w:szCs w:val="20"/>
          <w:lang w:val="es-ES_tradnl"/>
        </w:rPr>
        <w:t xml:space="preserve">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En este contexto, el pasado 24 de diciembre, el gobierno nacional expidió el Decreto 1860 de 2021 </w:t>
      </w:r>
      <w:r w:rsidRPr="007D411D">
        <w:rPr>
          <w:rFonts w:ascii="Arial" w:eastAsia="Calibri" w:hAnsi="Arial" w:cs="Arial"/>
          <w:i/>
          <w:iCs/>
          <w:color w:val="000000" w:themeColor="text1"/>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F26C31">
        <w:rPr>
          <w:rFonts w:ascii="Arial" w:eastAsia="Calibri" w:hAnsi="Arial" w:cs="Arial"/>
          <w:color w:val="000000" w:themeColor="text1"/>
          <w:sz w:val="20"/>
          <w:szCs w:val="20"/>
          <w:lang w:val="es-ES_tradnl"/>
        </w:rPr>
        <w:t xml:space="preserve">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2C19EDB9" w14:textId="77777777" w:rsidR="00EB5D63" w:rsidRPr="00F26C31" w:rsidRDefault="00EB5D63" w:rsidP="00EB5D63">
      <w:pPr>
        <w:spacing w:line="240" w:lineRule="auto"/>
        <w:jc w:val="both"/>
        <w:rPr>
          <w:rFonts w:ascii="Arial" w:eastAsia="Calibri" w:hAnsi="Arial" w:cs="Arial"/>
          <w:b/>
          <w:color w:val="000000" w:themeColor="text1"/>
          <w:lang w:val="es-ES"/>
        </w:rPr>
      </w:pPr>
      <w:r w:rsidRPr="00F26C31">
        <w:rPr>
          <w:rFonts w:ascii="Arial" w:eastAsia="Calibri" w:hAnsi="Arial" w:cs="Arial"/>
          <w:b/>
          <w:color w:val="000000" w:themeColor="text1"/>
          <w:lang w:val="es-ES"/>
        </w:rPr>
        <w:t xml:space="preserve">DECRETO 1860 DE 2021 – Emprendimientos y empresas de mujeres – Definición – Artículo 2.2.1.2.4.2.14 – Elemento temporal – Antigüedad mínima </w:t>
      </w:r>
    </w:p>
    <w:p w14:paraId="79C18D2C" w14:textId="5E1E088E" w:rsidR="00EB5D63" w:rsidRPr="00F26C31" w:rsidRDefault="00EB5D63" w:rsidP="00EB5D63">
      <w:pPr>
        <w:spacing w:after="120" w:line="240" w:lineRule="auto"/>
        <w:jc w:val="both"/>
        <w:rPr>
          <w:rFonts w:ascii="Arial" w:eastAsia="Calibri" w:hAnsi="Arial" w:cs="Arial"/>
          <w:color w:val="000000" w:themeColor="text1"/>
          <w:sz w:val="20"/>
          <w:szCs w:val="20"/>
          <w:lang w:val="es-ES_tradnl"/>
        </w:rPr>
      </w:pPr>
      <w:r w:rsidRPr="00F26C31">
        <w:rPr>
          <w:rFonts w:ascii="Arial" w:eastAsia="Calibri" w:hAnsi="Arial" w:cs="Arial"/>
          <w:color w:val="000000" w:themeColor="text1"/>
          <w:sz w:val="20"/>
          <w:szCs w:val="20"/>
          <w:lang w:val="es-ES_tradnl"/>
        </w:rPr>
        <w:t xml:space="preserve">Los criterios diferenciales en favor de emprendimientos y empresas de mujeres incluidos en el Decreto 1860 de 2021 únicamente se aplicarán a los proponentes que acrediten alguna de las condiciones señaladas en el artículo 2.2.1.2.4.2.14 del Decreto 1082 de 2015 que define el concepto aludido en la </w:t>
      </w:r>
      <w:r w:rsidR="00BB4F37">
        <w:rPr>
          <w:rFonts w:ascii="Arial" w:eastAsia="Calibri" w:hAnsi="Arial" w:cs="Arial"/>
          <w:color w:val="000000" w:themeColor="text1"/>
          <w:sz w:val="20"/>
          <w:szCs w:val="20"/>
          <w:lang w:val="es-ES_tradnl"/>
        </w:rPr>
        <w:t>L</w:t>
      </w:r>
      <w:r w:rsidRPr="00F26C31">
        <w:rPr>
          <w:rFonts w:ascii="Arial" w:eastAsia="Calibri" w:hAnsi="Arial" w:cs="Arial"/>
          <w:color w:val="000000" w:themeColor="text1"/>
          <w:sz w:val="20"/>
          <w:szCs w:val="20"/>
          <w:lang w:val="es-ES_tradnl"/>
        </w:rPr>
        <w:t xml:space="preserve">ey. Sin embargo, cada uno de los supuestos de hecho de los cuatro numerales de la </w:t>
      </w:r>
      <w:r w:rsidRPr="00F26C31">
        <w:rPr>
          <w:rFonts w:ascii="Arial" w:eastAsia="Calibri" w:hAnsi="Arial" w:cs="Arial"/>
          <w:color w:val="000000" w:themeColor="text1"/>
          <w:sz w:val="20"/>
          <w:szCs w:val="20"/>
          <w:lang w:val="es-ES_tradnl"/>
        </w:rPr>
        <w:lastRenderedPageBreak/>
        <w:t>norma transcrita, que constituyen casos definidos como emprendimientos y empresas de mujeres para efectos de la aplicación de los incentivos contractuales reglamentados para el Sistema de Compras Públicas; exige que se haya cumplido, por lo menos, durante el año anterior a la fecha de cierre del proceso de selección. Esto quiere decir que, no basta con que, por ejemplo, en el primer caso,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elemento temporal previsto en la norma que requiere que la condición haya durado el tiempo mínimo de un año.</w:t>
      </w:r>
    </w:p>
    <w:p w14:paraId="1151CF51" w14:textId="77777777" w:rsidR="00EB5D63" w:rsidRPr="00F26C31" w:rsidRDefault="00EB5D63" w:rsidP="00EB5D63">
      <w:pPr>
        <w:spacing w:after="120" w:line="240" w:lineRule="auto"/>
        <w:jc w:val="both"/>
        <w:rPr>
          <w:rFonts w:ascii="Arial" w:eastAsia="Calibri" w:hAnsi="Arial" w:cs="Arial"/>
          <w:color w:val="000000" w:themeColor="text1"/>
          <w:sz w:val="20"/>
          <w:szCs w:val="20"/>
          <w:lang w:val="es-ES_tradnl"/>
        </w:rPr>
      </w:pPr>
      <w:r w:rsidRPr="00F26C31">
        <w:rPr>
          <w:rFonts w:ascii="Arial" w:eastAsia="Calibri" w:hAnsi="Arial" w:cs="Arial"/>
          <w:color w:val="000000" w:themeColor="text1"/>
          <w:sz w:val="20"/>
          <w:szCs w:val="20"/>
          <w:lang w:val="es-ES_tradnl"/>
        </w:rPr>
        <w:t>De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w:t>
      </w:r>
      <w:r w:rsidRPr="007D411D">
        <w:rPr>
          <w:rFonts w:ascii="Arial" w:eastAsia="Calibri" w:hAnsi="Arial" w:cs="Arial"/>
          <w:i/>
          <w:iCs/>
          <w:color w:val="000000" w:themeColor="text1"/>
          <w:sz w:val="20"/>
          <w:szCs w:val="20"/>
          <w:lang w:val="es-ES_tradnl"/>
        </w:rPr>
        <w:t>por lo menos el cincuenta por ciento (50%) de los empleos del nivel directivo de la persona jurídica sean ejercidos por mujeres y éstas hayan estado vinculadas laboralmente a la empresa durante al menos el último año»;</w:t>
      </w:r>
      <w:r w:rsidRPr="00F26C31">
        <w:rPr>
          <w:rFonts w:ascii="Arial" w:eastAsia="Calibri" w:hAnsi="Arial" w:cs="Arial"/>
          <w:color w:val="000000" w:themeColor="text1"/>
          <w:sz w:val="20"/>
          <w:szCs w:val="20"/>
          <w:lang w:val="es-ES_tradnl"/>
        </w:rPr>
        <w:t xml:space="preserve">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 </w:t>
      </w:r>
    </w:p>
    <w:p w14:paraId="0A8B137F" w14:textId="77777777" w:rsidR="00EB5D63" w:rsidRPr="00F26C31" w:rsidRDefault="00EB5D63" w:rsidP="00EB5D63">
      <w:pPr>
        <w:jc w:val="both"/>
        <w:rPr>
          <w:rFonts w:ascii="Arial" w:eastAsia="Calibri" w:hAnsi="Arial" w:cs="Arial"/>
        </w:rPr>
      </w:pPr>
    </w:p>
    <w:p w14:paraId="1477A40A" w14:textId="77777777" w:rsidR="00EB5D63" w:rsidRPr="00F26C31" w:rsidRDefault="00EB5D63" w:rsidP="00EB5D63">
      <w:pPr>
        <w:jc w:val="both"/>
        <w:rPr>
          <w:rFonts w:ascii="Arial" w:eastAsia="Calibri" w:hAnsi="Arial" w:cs="Arial"/>
        </w:rPr>
      </w:pPr>
    </w:p>
    <w:p w14:paraId="4CDCD040" w14:textId="77777777" w:rsidR="00EB5D63" w:rsidRPr="00F26C31" w:rsidRDefault="00EB5D63" w:rsidP="00EB5D63">
      <w:pPr>
        <w:jc w:val="both"/>
        <w:rPr>
          <w:rFonts w:ascii="Arial" w:eastAsia="Calibri" w:hAnsi="Arial" w:cs="Arial"/>
        </w:rPr>
      </w:pPr>
    </w:p>
    <w:p w14:paraId="4E2DFF11" w14:textId="77777777" w:rsidR="00EB5D63" w:rsidRPr="00F26C31" w:rsidRDefault="00EB5D63" w:rsidP="00EB5D63">
      <w:pPr>
        <w:jc w:val="both"/>
        <w:rPr>
          <w:rFonts w:ascii="Arial" w:eastAsia="Calibri" w:hAnsi="Arial" w:cs="Arial"/>
        </w:rPr>
      </w:pPr>
    </w:p>
    <w:p w14:paraId="559F0485" w14:textId="77777777" w:rsidR="00EB5D63" w:rsidRPr="00F26C31" w:rsidRDefault="00EB5D63" w:rsidP="00EB5D63">
      <w:pPr>
        <w:jc w:val="both"/>
        <w:rPr>
          <w:rFonts w:ascii="Arial" w:eastAsia="Calibri" w:hAnsi="Arial" w:cs="Arial"/>
        </w:rPr>
      </w:pPr>
    </w:p>
    <w:p w14:paraId="507D37E2" w14:textId="77777777" w:rsidR="00EB5D63" w:rsidRPr="00F26C31" w:rsidRDefault="00EB5D63" w:rsidP="00EB5D63">
      <w:pPr>
        <w:jc w:val="both"/>
        <w:rPr>
          <w:rFonts w:ascii="Arial" w:eastAsia="Calibri" w:hAnsi="Arial" w:cs="Arial"/>
        </w:rPr>
      </w:pPr>
    </w:p>
    <w:p w14:paraId="6ED5C392" w14:textId="77777777" w:rsidR="00EB5D63" w:rsidRPr="00F26C31" w:rsidRDefault="00EB5D63" w:rsidP="00EB5D63">
      <w:pPr>
        <w:jc w:val="both"/>
        <w:rPr>
          <w:rFonts w:ascii="Arial" w:eastAsia="Calibri" w:hAnsi="Arial" w:cs="Arial"/>
        </w:rPr>
      </w:pPr>
    </w:p>
    <w:p w14:paraId="19BCBC84" w14:textId="77777777" w:rsidR="00EB5D63" w:rsidRPr="00F26C31" w:rsidRDefault="00EB5D63" w:rsidP="00EB5D63">
      <w:pPr>
        <w:jc w:val="both"/>
        <w:rPr>
          <w:rFonts w:ascii="Arial" w:eastAsia="Calibri" w:hAnsi="Arial" w:cs="Arial"/>
        </w:rPr>
      </w:pPr>
    </w:p>
    <w:p w14:paraId="7898CCD2" w14:textId="77777777" w:rsidR="00EB5D63" w:rsidRPr="00F26C31" w:rsidRDefault="00EB5D63" w:rsidP="00EB5D63">
      <w:pPr>
        <w:jc w:val="both"/>
        <w:rPr>
          <w:rFonts w:ascii="Arial" w:eastAsia="Calibri" w:hAnsi="Arial" w:cs="Arial"/>
        </w:rPr>
      </w:pPr>
    </w:p>
    <w:p w14:paraId="18F68F53" w14:textId="77777777" w:rsidR="00EB5D63" w:rsidRPr="00F26C31" w:rsidRDefault="00EB5D63" w:rsidP="00EB5D63">
      <w:pPr>
        <w:jc w:val="both"/>
        <w:rPr>
          <w:rFonts w:ascii="Arial" w:eastAsia="Calibri" w:hAnsi="Arial" w:cs="Arial"/>
        </w:rPr>
      </w:pPr>
    </w:p>
    <w:p w14:paraId="45E52085" w14:textId="77777777" w:rsidR="00EB5D63" w:rsidRPr="00F26C31" w:rsidRDefault="00EB5D63" w:rsidP="00EB5D63">
      <w:pPr>
        <w:jc w:val="both"/>
        <w:rPr>
          <w:rFonts w:ascii="Arial" w:eastAsia="Calibri" w:hAnsi="Arial" w:cs="Arial"/>
        </w:rPr>
      </w:pPr>
    </w:p>
    <w:p w14:paraId="021D5F18" w14:textId="77777777" w:rsidR="00EB5D63" w:rsidRPr="00F26C31" w:rsidRDefault="00EB5D63" w:rsidP="00EB5D63">
      <w:pPr>
        <w:jc w:val="both"/>
        <w:rPr>
          <w:rFonts w:ascii="Arial" w:eastAsia="Calibri" w:hAnsi="Arial" w:cs="Arial"/>
        </w:rPr>
      </w:pPr>
    </w:p>
    <w:p w14:paraId="3BD5C7DA" w14:textId="77777777" w:rsidR="00EB5D63" w:rsidRPr="00F26C31" w:rsidRDefault="00EB5D63" w:rsidP="00EB5D63">
      <w:pPr>
        <w:jc w:val="both"/>
        <w:rPr>
          <w:rFonts w:ascii="Arial" w:eastAsia="Calibri" w:hAnsi="Arial" w:cs="Arial"/>
        </w:rPr>
      </w:pPr>
    </w:p>
    <w:p w14:paraId="1360CF84" w14:textId="77777777" w:rsidR="00EB5D63" w:rsidRPr="00F26C31" w:rsidRDefault="00EB5D63" w:rsidP="00EB5D63">
      <w:pPr>
        <w:jc w:val="both"/>
        <w:rPr>
          <w:rFonts w:ascii="Arial" w:eastAsia="Calibri" w:hAnsi="Arial" w:cs="Arial"/>
        </w:rPr>
      </w:pPr>
    </w:p>
    <w:p w14:paraId="0405B2DB" w14:textId="77777777" w:rsidR="00EB5D63" w:rsidRPr="00F26C31" w:rsidRDefault="00EB5D63" w:rsidP="00EB5D63">
      <w:pPr>
        <w:jc w:val="both"/>
        <w:rPr>
          <w:rFonts w:ascii="Arial" w:eastAsia="Calibri" w:hAnsi="Arial" w:cs="Arial"/>
        </w:rPr>
      </w:pPr>
    </w:p>
    <w:p w14:paraId="649862BB" w14:textId="7057C9D1" w:rsidR="00266FA6" w:rsidRDefault="00266FA6" w:rsidP="00EB5D63">
      <w:pPr>
        <w:jc w:val="both"/>
        <w:rPr>
          <w:rFonts w:ascii="Arial" w:eastAsia="Calibri" w:hAnsi="Arial" w:cs="Arial"/>
        </w:rPr>
      </w:pPr>
      <w:r>
        <w:rPr>
          <w:rFonts w:ascii="Arial" w:eastAsia="Calibri" w:hAnsi="Arial" w:cs="Arial"/>
          <w:noProof/>
        </w:rPr>
        <w:lastRenderedPageBreak/>
        <w:drawing>
          <wp:anchor distT="0" distB="0" distL="114300" distR="114300" simplePos="0" relativeHeight="251658240" behindDoc="0" locked="0" layoutInCell="1" allowOverlap="1" wp14:anchorId="40DF873D" wp14:editId="19C22AA6">
            <wp:simplePos x="0" y="0"/>
            <wp:positionH relativeFrom="column">
              <wp:posOffset>2966085</wp:posOffset>
            </wp:positionH>
            <wp:positionV relativeFrom="paragraph">
              <wp:posOffset>-143510</wp:posOffset>
            </wp:positionV>
            <wp:extent cx="3205434" cy="863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5434" cy="863600"/>
                    </a:xfrm>
                    <a:prstGeom prst="rect">
                      <a:avLst/>
                    </a:prstGeom>
                  </pic:spPr>
                </pic:pic>
              </a:graphicData>
            </a:graphic>
            <wp14:sizeRelH relativeFrom="page">
              <wp14:pctWidth>0</wp14:pctWidth>
            </wp14:sizeRelH>
            <wp14:sizeRelV relativeFrom="page">
              <wp14:pctHeight>0</wp14:pctHeight>
            </wp14:sizeRelV>
          </wp:anchor>
        </w:drawing>
      </w:r>
      <w:r w:rsidRPr="00266FA6">
        <w:rPr>
          <w:rFonts w:ascii="Arial" w:eastAsia="Calibri" w:hAnsi="Arial" w:cs="Arial"/>
        </w:rPr>
        <w:t>Bogotá D.C., 17 de Noviembre de 2022</w:t>
      </w:r>
    </w:p>
    <w:p w14:paraId="69AB1C00" w14:textId="29E27964" w:rsidR="00EB5D63" w:rsidRPr="00F26C31" w:rsidRDefault="00EB5D63" w:rsidP="00EB5D63">
      <w:pPr>
        <w:jc w:val="both"/>
        <w:rPr>
          <w:rFonts w:ascii="Arial" w:eastAsia="Calibri" w:hAnsi="Arial" w:cs="Arial"/>
        </w:rPr>
      </w:pPr>
      <w:r w:rsidRPr="00F26C31">
        <w:rPr>
          <w:rFonts w:ascii="Arial" w:eastAsia="Calibri" w:hAnsi="Arial" w:cs="Arial"/>
        </w:rPr>
        <w:t>Bogotá</w:t>
      </w:r>
      <w:r w:rsidR="00F10C32">
        <w:rPr>
          <w:rFonts w:ascii="Arial" w:eastAsia="Calibri" w:hAnsi="Arial" w:cs="Arial"/>
        </w:rPr>
        <w:t xml:space="preserve"> D.C.</w:t>
      </w:r>
      <w:r w:rsidRPr="00F26C31">
        <w:rPr>
          <w:rFonts w:ascii="Arial" w:eastAsia="Calibri" w:hAnsi="Arial" w:cs="Arial"/>
        </w:rPr>
        <w:t>,</w:t>
      </w:r>
    </w:p>
    <w:p w14:paraId="645E1ECA" w14:textId="77777777" w:rsidR="00EB5D63" w:rsidRPr="00F26C31" w:rsidRDefault="00EB5D63" w:rsidP="00EB5D63">
      <w:pPr>
        <w:jc w:val="right"/>
        <w:rPr>
          <w:rFonts w:ascii="Arial" w:eastAsia="Calibri" w:hAnsi="Arial" w:cs="Arial"/>
        </w:rPr>
      </w:pPr>
    </w:p>
    <w:p w14:paraId="09D00FB7" w14:textId="55B62D92" w:rsidR="00EB5D63" w:rsidRPr="00F26C31" w:rsidRDefault="00EB5D63" w:rsidP="00266FA6">
      <w:pPr>
        <w:tabs>
          <w:tab w:val="left" w:pos="5880"/>
        </w:tabs>
        <w:spacing w:after="0"/>
        <w:rPr>
          <w:rFonts w:ascii="Arial" w:eastAsia="Calibri" w:hAnsi="Arial" w:cs="Arial"/>
        </w:rPr>
      </w:pPr>
      <w:r w:rsidRPr="00F26C31">
        <w:rPr>
          <w:rFonts w:ascii="Arial" w:eastAsia="Calibri" w:hAnsi="Arial" w:cs="Arial"/>
        </w:rPr>
        <w:t>Señor</w:t>
      </w:r>
      <w:r w:rsidR="00266FA6">
        <w:rPr>
          <w:rFonts w:ascii="Arial" w:eastAsia="Calibri" w:hAnsi="Arial" w:cs="Arial"/>
        </w:rPr>
        <w:tab/>
      </w:r>
    </w:p>
    <w:p w14:paraId="0DF79B47" w14:textId="13E7C99D" w:rsidR="00EB5D63" w:rsidRPr="00F26C31" w:rsidRDefault="00EB5D63" w:rsidP="00EB5D63">
      <w:pPr>
        <w:spacing w:after="0" w:line="240" w:lineRule="auto"/>
        <w:rPr>
          <w:rFonts w:ascii="Arial" w:eastAsia="Calibri" w:hAnsi="Arial" w:cs="Arial"/>
          <w:b/>
          <w:bCs/>
        </w:rPr>
      </w:pPr>
      <w:r w:rsidRPr="00F26C31">
        <w:rPr>
          <w:rFonts w:ascii="Arial" w:eastAsia="Calibri" w:hAnsi="Arial" w:cs="Arial"/>
          <w:b/>
          <w:bCs/>
        </w:rPr>
        <w:t>Daniel Esteban Ben</w:t>
      </w:r>
      <w:r w:rsidR="00BB4F37">
        <w:rPr>
          <w:rFonts w:ascii="Arial" w:eastAsia="Calibri" w:hAnsi="Arial" w:cs="Arial"/>
          <w:b/>
          <w:bCs/>
        </w:rPr>
        <w:t>í</w:t>
      </w:r>
      <w:r w:rsidRPr="00F26C31">
        <w:rPr>
          <w:rFonts w:ascii="Arial" w:eastAsia="Calibri" w:hAnsi="Arial" w:cs="Arial"/>
          <w:b/>
          <w:bCs/>
        </w:rPr>
        <w:t>tez Guerrero</w:t>
      </w:r>
    </w:p>
    <w:p w14:paraId="6F0CA451" w14:textId="68A8A4A8" w:rsidR="00EB5D63" w:rsidRPr="00F26C31" w:rsidRDefault="00EB5D63" w:rsidP="00EB5D63">
      <w:pPr>
        <w:spacing w:after="0"/>
        <w:rPr>
          <w:rFonts w:ascii="Arial" w:eastAsia="Calibri" w:hAnsi="Arial" w:cs="Arial"/>
        </w:rPr>
      </w:pPr>
      <w:r w:rsidRPr="00F26C31">
        <w:rPr>
          <w:rFonts w:ascii="Arial" w:hAnsi="Arial" w:cs="Arial"/>
        </w:rPr>
        <w:t>Tunja, Boyacá</w:t>
      </w:r>
    </w:p>
    <w:p w14:paraId="5308BA1A" w14:textId="77777777" w:rsidR="00EB5D63" w:rsidRPr="00F26C31" w:rsidRDefault="00EB5D63" w:rsidP="00EB5D63">
      <w:pPr>
        <w:ind w:left="2116" w:firstLine="708"/>
        <w:rPr>
          <w:rFonts w:ascii="Arial" w:eastAsia="Calibri" w:hAnsi="Arial" w:cs="Arial"/>
          <w:b/>
        </w:rPr>
      </w:pPr>
    </w:p>
    <w:p w14:paraId="10D848E5" w14:textId="7AC4FB64" w:rsidR="00EB5D63" w:rsidRPr="00F26C31" w:rsidRDefault="00EB5D63" w:rsidP="00EB5D63">
      <w:pPr>
        <w:ind w:left="2116" w:firstLine="708"/>
        <w:rPr>
          <w:rFonts w:ascii="Arial" w:eastAsia="Calibri" w:hAnsi="Arial" w:cs="Arial"/>
          <w:b/>
        </w:rPr>
      </w:pPr>
      <w:r w:rsidRPr="00F26C31">
        <w:rPr>
          <w:rFonts w:ascii="Arial" w:eastAsia="Calibri" w:hAnsi="Arial" w:cs="Arial"/>
          <w:b/>
        </w:rPr>
        <w:t>Concepto C – 660 de 2022</w:t>
      </w:r>
    </w:p>
    <w:p w14:paraId="54713DAD" w14:textId="77777777" w:rsidR="00EB5D63" w:rsidRPr="00F26C31" w:rsidRDefault="00EB5D63" w:rsidP="00EB5D63">
      <w:pPr>
        <w:ind w:left="2824" w:hanging="2818"/>
        <w:jc w:val="both"/>
        <w:rPr>
          <w:rFonts w:ascii="Arial" w:eastAsia="Calibri" w:hAnsi="Arial" w:cs="Arial"/>
          <w:bCs/>
          <w:color w:val="1A1A1A" w:themeColor="background1" w:themeShade="1A"/>
        </w:rPr>
      </w:pPr>
      <w:r w:rsidRPr="00F26C31">
        <w:rPr>
          <w:rFonts w:ascii="Arial" w:eastAsia="Calibri" w:hAnsi="Arial" w:cs="Arial"/>
          <w:b/>
          <w:noProof/>
          <w:color w:val="1A1A1A" w:themeColor="background1" w:themeShade="1A"/>
          <w:lang w:val="es-ES_tradnl"/>
        </w:rPr>
        <w:t>Temas</w:t>
      </w:r>
      <w:r w:rsidRPr="00F26C31">
        <w:rPr>
          <w:rFonts w:ascii="Arial" w:eastAsia="Calibri" w:hAnsi="Arial" w:cs="Arial"/>
          <w:bCs/>
          <w:noProof/>
          <w:color w:val="1A1A1A" w:themeColor="background1" w:themeShade="1A"/>
          <w:lang w:val="es-ES_tradnl"/>
        </w:rPr>
        <w:t xml:space="preserve">: </w:t>
      </w:r>
      <w:r w:rsidRPr="00F26C31">
        <w:rPr>
          <w:rFonts w:ascii="Arial" w:eastAsia="Calibri" w:hAnsi="Arial" w:cs="Arial"/>
          <w:bCs/>
          <w:noProof/>
          <w:color w:val="1A1A1A" w:themeColor="background1" w:themeShade="1A"/>
          <w:lang w:val="es-ES_tradnl"/>
        </w:rPr>
        <w:tab/>
      </w:r>
      <w:r w:rsidRPr="00F26C31">
        <w:rPr>
          <w:rFonts w:ascii="Arial" w:eastAsia="Calibri" w:hAnsi="Arial" w:cs="Arial"/>
          <w:bCs/>
          <w:color w:val="000000" w:themeColor="text1"/>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 – Elemento temporal – Antigüedad mínima</w:t>
      </w:r>
    </w:p>
    <w:p w14:paraId="1757F070" w14:textId="22472301" w:rsidR="00EB5D63" w:rsidRPr="007D411D" w:rsidRDefault="00EB5D63" w:rsidP="00EB5D63">
      <w:pPr>
        <w:ind w:left="2824" w:hanging="2818"/>
        <w:jc w:val="both"/>
        <w:rPr>
          <w:rFonts w:ascii="Arial" w:eastAsia="Calibri" w:hAnsi="Arial" w:cs="Arial"/>
          <w:b/>
          <w:bCs/>
          <w:noProof/>
          <w:color w:val="1A1A1A" w:themeColor="background1" w:themeShade="1A"/>
        </w:rPr>
      </w:pPr>
      <w:r w:rsidRPr="00F26C31">
        <w:rPr>
          <w:rFonts w:ascii="Arial" w:eastAsia="Calibri" w:hAnsi="Arial" w:cs="Arial"/>
          <w:b/>
          <w:noProof/>
          <w:color w:val="1A1A1A" w:themeColor="background1" w:themeShade="1A"/>
          <w:lang w:val="es-ES_tradnl"/>
        </w:rPr>
        <w:t>Radicación</w:t>
      </w:r>
      <w:r w:rsidRPr="00F26C31">
        <w:rPr>
          <w:rFonts w:ascii="Arial" w:eastAsia="Calibri" w:hAnsi="Arial" w:cs="Arial"/>
          <w:bCs/>
          <w:noProof/>
          <w:color w:val="1A1A1A" w:themeColor="background1" w:themeShade="1A"/>
          <w:lang w:val="es-ES_tradnl"/>
        </w:rPr>
        <w:t>:</w:t>
      </w:r>
      <w:r w:rsidRPr="00F26C31">
        <w:rPr>
          <w:rFonts w:ascii="Arial" w:eastAsia="Calibri" w:hAnsi="Arial" w:cs="Arial"/>
          <w:bCs/>
          <w:noProof/>
          <w:color w:val="1A1A1A" w:themeColor="background1" w:themeShade="1A"/>
          <w:lang w:val="es-ES_tradnl"/>
        </w:rPr>
        <w:tab/>
        <w:t xml:space="preserve">Respuesta a consulta </w:t>
      </w:r>
      <w:r w:rsidRPr="007D411D">
        <w:rPr>
          <w:rFonts w:ascii="Arial" w:eastAsia="Calibri" w:hAnsi="Arial" w:cs="Arial"/>
          <w:noProof/>
          <w:color w:val="1A1A1A" w:themeColor="background1" w:themeShade="1A"/>
        </w:rPr>
        <w:t>P20221003009916</w:t>
      </w:r>
    </w:p>
    <w:p w14:paraId="23AFC351" w14:textId="77777777" w:rsidR="00EB5D63" w:rsidRPr="00F26C31" w:rsidRDefault="00EB5D63" w:rsidP="00EB5D63">
      <w:pPr>
        <w:ind w:left="2824" w:hanging="2818"/>
        <w:jc w:val="both"/>
        <w:rPr>
          <w:rFonts w:ascii="Arial" w:eastAsia="Calibri" w:hAnsi="Arial" w:cs="Arial"/>
          <w:lang w:val="es-ES_tradnl"/>
        </w:rPr>
      </w:pPr>
    </w:p>
    <w:p w14:paraId="28E4D0F8" w14:textId="3E2E4727" w:rsidR="00EB5D63" w:rsidRPr="00F26C31" w:rsidRDefault="00EB5D63" w:rsidP="00EB5D63">
      <w:pPr>
        <w:tabs>
          <w:tab w:val="left" w:pos="3374"/>
        </w:tabs>
        <w:spacing w:after="0"/>
        <w:rPr>
          <w:rFonts w:ascii="Arial" w:eastAsia="Calibri" w:hAnsi="Arial" w:cs="Arial"/>
        </w:rPr>
      </w:pPr>
      <w:r w:rsidRPr="00F26C31">
        <w:rPr>
          <w:rFonts w:ascii="Arial" w:eastAsia="Calibri" w:hAnsi="Arial" w:cs="Arial"/>
        </w:rPr>
        <w:t>Estimado señor</w:t>
      </w:r>
      <w:r w:rsidRPr="00F26C31">
        <w:rPr>
          <w:rFonts w:ascii="Arial" w:hAnsi="Arial" w:cs="Arial"/>
          <w:b/>
          <w:bCs/>
        </w:rPr>
        <w:t xml:space="preserve"> </w:t>
      </w:r>
      <w:r w:rsidRPr="00F26C31">
        <w:rPr>
          <w:rFonts w:ascii="Arial" w:hAnsi="Arial" w:cs="Arial"/>
        </w:rPr>
        <w:t>Ben</w:t>
      </w:r>
      <w:r w:rsidR="00BB4F37">
        <w:rPr>
          <w:rFonts w:ascii="Arial" w:hAnsi="Arial" w:cs="Arial"/>
        </w:rPr>
        <w:t>í</w:t>
      </w:r>
      <w:r w:rsidRPr="00F26C31">
        <w:rPr>
          <w:rFonts w:ascii="Arial" w:hAnsi="Arial" w:cs="Arial"/>
        </w:rPr>
        <w:t xml:space="preserve">tez,   </w:t>
      </w:r>
      <w:r w:rsidRPr="00F26C31">
        <w:rPr>
          <w:rFonts w:ascii="Arial" w:hAnsi="Arial" w:cs="Arial"/>
          <w:b/>
          <w:bCs/>
        </w:rPr>
        <w:t xml:space="preserve"> </w:t>
      </w:r>
    </w:p>
    <w:p w14:paraId="6D318C10" w14:textId="77777777" w:rsidR="00EB5D63" w:rsidRPr="00F26C31" w:rsidRDefault="00EB5D63" w:rsidP="00EB5D63">
      <w:pPr>
        <w:spacing w:after="0" w:line="276" w:lineRule="auto"/>
        <w:jc w:val="both"/>
        <w:rPr>
          <w:rFonts w:ascii="Arial" w:eastAsia="Calibri" w:hAnsi="Arial" w:cs="Arial"/>
        </w:rPr>
      </w:pPr>
    </w:p>
    <w:p w14:paraId="20D73714" w14:textId="0BA4605D" w:rsidR="00EB5D63" w:rsidRPr="00F26C31" w:rsidRDefault="00EB5D63" w:rsidP="00EB5D63">
      <w:pPr>
        <w:spacing w:after="0" w:line="276" w:lineRule="auto"/>
        <w:jc w:val="both"/>
        <w:rPr>
          <w:rFonts w:ascii="Arial" w:eastAsia="Calibri" w:hAnsi="Arial" w:cs="Arial"/>
        </w:rPr>
      </w:pPr>
      <w:r w:rsidRPr="00F26C31">
        <w:rPr>
          <w:rFonts w:ascii="Arial" w:eastAsia="Calibri" w:hAnsi="Arial" w:cs="Arial"/>
        </w:rPr>
        <w:t>En ejercicio de la competencia otorgada por el numeral 8 del artículo 11 y el numeral 5 del artículo 3 del Decreto Ley 4170 de 2011, la Agencia Nacional de Contratación Pública− Colombia Compra Eficiente responde su consulta de fecha 3 de octubre de 2022.</w:t>
      </w:r>
    </w:p>
    <w:p w14:paraId="7B68B814" w14:textId="77777777" w:rsidR="00EB5D63" w:rsidRPr="00F26C31" w:rsidRDefault="00EB5D63" w:rsidP="00EB5D63">
      <w:pPr>
        <w:spacing w:after="0" w:line="276" w:lineRule="auto"/>
        <w:jc w:val="both"/>
        <w:rPr>
          <w:rFonts w:ascii="Arial" w:hAnsi="Arial" w:cs="Arial"/>
        </w:rPr>
      </w:pPr>
    </w:p>
    <w:p w14:paraId="7B6AD1D8" w14:textId="77777777" w:rsidR="00EB5D63" w:rsidRPr="00F26C31" w:rsidRDefault="00EB5D63" w:rsidP="00EB5D63">
      <w:pPr>
        <w:tabs>
          <w:tab w:val="left" w:pos="284"/>
        </w:tabs>
        <w:spacing w:after="0" w:line="276" w:lineRule="auto"/>
        <w:contextualSpacing/>
        <w:jc w:val="both"/>
        <w:rPr>
          <w:rFonts w:ascii="Arial" w:eastAsia="Calibri" w:hAnsi="Arial" w:cs="Arial"/>
          <w:b/>
        </w:rPr>
      </w:pPr>
      <w:r w:rsidRPr="00F26C31">
        <w:rPr>
          <w:rFonts w:ascii="Arial" w:eastAsia="Calibri" w:hAnsi="Arial" w:cs="Arial"/>
          <w:b/>
        </w:rPr>
        <w:t xml:space="preserve">1. Problema planteado </w:t>
      </w:r>
    </w:p>
    <w:p w14:paraId="4C0151F7" w14:textId="77777777" w:rsidR="00EB5D63" w:rsidRPr="00F26C31" w:rsidRDefault="00EB5D63" w:rsidP="00EB5D63">
      <w:pPr>
        <w:tabs>
          <w:tab w:val="left" w:pos="426"/>
        </w:tabs>
        <w:spacing w:after="0" w:line="276" w:lineRule="auto"/>
        <w:jc w:val="both"/>
        <w:rPr>
          <w:rFonts w:ascii="Arial" w:eastAsia="Calibri" w:hAnsi="Arial" w:cs="Arial"/>
        </w:rPr>
      </w:pPr>
    </w:p>
    <w:p w14:paraId="69B24C5E" w14:textId="77777777" w:rsidR="00EB5D63" w:rsidRPr="00F26C31" w:rsidRDefault="00EB5D63" w:rsidP="00EB5D63">
      <w:pPr>
        <w:jc w:val="both"/>
        <w:rPr>
          <w:rFonts w:ascii="Arial" w:hAnsi="Arial" w:cs="Arial"/>
          <w:color w:val="1A1A1A" w:themeColor="background1" w:themeShade="1A"/>
          <w:lang w:val="es-ES_tradnl"/>
        </w:rPr>
      </w:pPr>
      <w:r w:rsidRPr="00F26C31">
        <w:rPr>
          <w:rFonts w:ascii="Arial" w:hAnsi="Arial" w:cs="Arial"/>
          <w:color w:val="1A1A1A" w:themeColor="background1" w:themeShade="1A"/>
          <w:lang w:val="es-ES_tradnl"/>
        </w:rPr>
        <w:t xml:space="preserve">Usted formula la siguiente consulta en relación con la aplicación de la definición de emprendimientos y empresas de mujeres del artículo 2.2.1.2.4.2.14 del Decreto 1082 de 2015, adicionado por el artículo 3 del Decreto 1860 de 2021: </w:t>
      </w:r>
    </w:p>
    <w:p w14:paraId="4766D0E2" w14:textId="04A3E232" w:rsidR="00EB5D63" w:rsidRPr="007D411D" w:rsidRDefault="00EB5D63" w:rsidP="00EB5D63">
      <w:pPr>
        <w:shd w:val="clear" w:color="auto" w:fill="FFFFFF"/>
        <w:ind w:left="708" w:right="709"/>
        <w:jc w:val="both"/>
        <w:rPr>
          <w:rFonts w:ascii="Arial" w:eastAsia="Times New Roman" w:hAnsi="Arial" w:cs="Arial"/>
          <w:i/>
          <w:iCs/>
          <w:sz w:val="20"/>
          <w:szCs w:val="20"/>
          <w:lang w:val="es-ES" w:eastAsia="es-MX"/>
        </w:rPr>
      </w:pPr>
      <w:r w:rsidRPr="007D411D">
        <w:rPr>
          <w:rFonts w:ascii="Arial" w:hAnsi="Arial" w:cs="Arial"/>
          <w:i/>
          <w:iCs/>
          <w:sz w:val="20"/>
          <w:szCs w:val="20"/>
        </w:rPr>
        <w:t>«</w:t>
      </w:r>
      <w:r w:rsidRPr="007D411D">
        <w:rPr>
          <w:rFonts w:ascii="Arial" w:eastAsia="Times New Roman" w:hAnsi="Arial" w:cs="Arial"/>
          <w:i/>
          <w:iCs/>
          <w:sz w:val="20"/>
          <w:szCs w:val="20"/>
          <w:lang w:val="es-ES" w:eastAsia="es-MX"/>
        </w:rPr>
        <w:t xml:space="preserve">Una empresa con MENOS DE UN AÑO DESDE SU CREACION, como puede ser acreedora del puntaje por emprendimiento de mujeres? Teniendo en cuenta que en el DECRETO 1082 DE 2015 en su art 2.2.1.2.4.2.14, en el que se definen emprendimientos de mujeres, en todos sus condicionales, deben ser mayores a un año de </w:t>
      </w:r>
      <w:proofErr w:type="spellStart"/>
      <w:r w:rsidRPr="007D411D">
        <w:rPr>
          <w:rFonts w:ascii="Arial" w:eastAsia="Times New Roman" w:hAnsi="Arial" w:cs="Arial"/>
          <w:i/>
          <w:iCs/>
          <w:sz w:val="20"/>
          <w:szCs w:val="20"/>
          <w:lang w:val="es-ES" w:eastAsia="es-MX"/>
        </w:rPr>
        <w:t>vinculacion</w:t>
      </w:r>
      <w:proofErr w:type="spellEnd"/>
      <w:r w:rsidRPr="007D411D">
        <w:rPr>
          <w:rFonts w:ascii="Arial" w:eastAsia="Times New Roman" w:hAnsi="Arial" w:cs="Arial"/>
          <w:i/>
          <w:iCs/>
          <w:sz w:val="20"/>
          <w:szCs w:val="20"/>
          <w:lang w:val="es-ES" w:eastAsia="es-MX"/>
        </w:rPr>
        <w:t xml:space="preserve">, </w:t>
      </w:r>
      <w:proofErr w:type="spellStart"/>
      <w:r w:rsidRPr="007D411D">
        <w:rPr>
          <w:rFonts w:ascii="Arial" w:eastAsia="Times New Roman" w:hAnsi="Arial" w:cs="Arial"/>
          <w:i/>
          <w:iCs/>
          <w:sz w:val="20"/>
          <w:szCs w:val="20"/>
          <w:lang w:val="es-ES" w:eastAsia="es-MX"/>
        </w:rPr>
        <w:t>asociacion</w:t>
      </w:r>
      <w:proofErr w:type="spellEnd"/>
      <w:r w:rsidRPr="007D411D">
        <w:rPr>
          <w:rFonts w:ascii="Arial" w:eastAsia="Times New Roman" w:hAnsi="Arial" w:cs="Arial"/>
          <w:i/>
          <w:iCs/>
          <w:sz w:val="20"/>
          <w:szCs w:val="20"/>
          <w:lang w:val="es-ES" w:eastAsia="es-MX"/>
        </w:rPr>
        <w:t xml:space="preserve">, </w:t>
      </w:r>
      <w:proofErr w:type="spellStart"/>
      <w:r w:rsidRPr="007D411D">
        <w:rPr>
          <w:rFonts w:ascii="Arial" w:eastAsia="Times New Roman" w:hAnsi="Arial" w:cs="Arial"/>
          <w:i/>
          <w:iCs/>
          <w:sz w:val="20"/>
          <w:szCs w:val="20"/>
          <w:lang w:val="es-ES" w:eastAsia="es-MX"/>
        </w:rPr>
        <w:t>participacion</w:t>
      </w:r>
      <w:proofErr w:type="spellEnd"/>
      <w:r w:rsidRPr="007D411D">
        <w:rPr>
          <w:rFonts w:ascii="Arial" w:eastAsia="Times New Roman" w:hAnsi="Arial" w:cs="Arial"/>
          <w:i/>
          <w:iCs/>
          <w:sz w:val="20"/>
          <w:szCs w:val="20"/>
          <w:lang w:val="es-ES" w:eastAsia="es-MX"/>
        </w:rPr>
        <w:t xml:space="preserve"> </w:t>
      </w:r>
      <w:proofErr w:type="gramStart"/>
      <w:r w:rsidRPr="007D411D">
        <w:rPr>
          <w:rFonts w:ascii="Arial" w:eastAsia="Times New Roman" w:hAnsi="Arial" w:cs="Arial"/>
          <w:i/>
          <w:iCs/>
          <w:sz w:val="20"/>
          <w:szCs w:val="20"/>
          <w:lang w:val="es-ES" w:eastAsia="es-MX"/>
        </w:rPr>
        <w:t>etc...</w:t>
      </w:r>
      <w:proofErr w:type="gramEnd"/>
      <w:r w:rsidRPr="007D411D">
        <w:rPr>
          <w:rFonts w:ascii="Arial" w:hAnsi="Arial" w:cs="Arial"/>
          <w:i/>
          <w:iCs/>
          <w:sz w:val="20"/>
          <w:szCs w:val="20"/>
        </w:rPr>
        <w:t>»</w:t>
      </w:r>
    </w:p>
    <w:p w14:paraId="4E684564" w14:textId="77777777" w:rsidR="00EB5D63" w:rsidRPr="00F26C31" w:rsidRDefault="00EB5D63" w:rsidP="00EB5D63">
      <w:pPr>
        <w:spacing w:after="0" w:line="240" w:lineRule="auto"/>
        <w:ind w:right="709"/>
        <w:jc w:val="both"/>
        <w:rPr>
          <w:rFonts w:ascii="Arial" w:eastAsia="Calibri" w:hAnsi="Arial" w:cs="Arial"/>
          <w:b/>
        </w:rPr>
      </w:pPr>
    </w:p>
    <w:p w14:paraId="113AFE9F" w14:textId="77777777" w:rsidR="00EB5D63" w:rsidRPr="00F26C31" w:rsidRDefault="00EB5D63" w:rsidP="00EB5D63">
      <w:pPr>
        <w:spacing w:after="0" w:line="240" w:lineRule="auto"/>
        <w:ind w:right="709"/>
        <w:jc w:val="both"/>
        <w:rPr>
          <w:rFonts w:ascii="Arial" w:eastAsia="Calibri" w:hAnsi="Arial" w:cs="Arial"/>
          <w:b/>
        </w:rPr>
      </w:pPr>
      <w:r w:rsidRPr="00F26C31">
        <w:rPr>
          <w:rFonts w:ascii="Arial" w:eastAsia="Calibri" w:hAnsi="Arial" w:cs="Arial"/>
          <w:b/>
        </w:rPr>
        <w:t>2. Consideraciones</w:t>
      </w:r>
    </w:p>
    <w:p w14:paraId="1F46E5D1" w14:textId="77777777" w:rsidR="00EB5D63" w:rsidRPr="00F26C31" w:rsidRDefault="00EB5D63" w:rsidP="00EB5D63">
      <w:pPr>
        <w:spacing w:after="0" w:line="240" w:lineRule="auto"/>
        <w:ind w:right="709"/>
        <w:jc w:val="both"/>
        <w:rPr>
          <w:rFonts w:ascii="Arial" w:hAnsi="Arial" w:cs="Arial"/>
          <w:color w:val="1A1A1A" w:themeColor="background1" w:themeShade="1A"/>
          <w:sz w:val="21"/>
          <w:szCs w:val="21"/>
        </w:rPr>
      </w:pPr>
    </w:p>
    <w:p w14:paraId="7DEB4469" w14:textId="2ED35294" w:rsidR="00EB5D63" w:rsidRPr="00F26C31" w:rsidRDefault="00EB5D63" w:rsidP="00EB5D63">
      <w:pPr>
        <w:spacing w:after="120" w:line="276" w:lineRule="auto"/>
        <w:ind w:firstLine="708"/>
        <w:jc w:val="both"/>
        <w:rPr>
          <w:rFonts w:ascii="Arial" w:hAnsi="Arial" w:cs="Arial"/>
          <w:color w:val="000000" w:themeColor="text1"/>
          <w:lang w:val="es-ES"/>
        </w:rPr>
      </w:pPr>
      <w:r w:rsidRPr="00F26C31">
        <w:rPr>
          <w:rFonts w:ascii="Arial" w:hAnsi="Arial" w:cs="Arial"/>
          <w:color w:val="000000" w:themeColor="text1"/>
          <w:lang w:val="es-ES"/>
        </w:rPr>
        <w:lastRenderedPageBreak/>
        <w:t xml:space="preserve">Es necesario tener en cuenta que esta entidad solo tiene competencia para responder solicitudes sobre la aplicación de normas de carácter general en materia de compras y contratación pública. La competencia de </w:t>
      </w:r>
      <w:r w:rsidR="00D10CC6">
        <w:rPr>
          <w:rFonts w:ascii="Arial" w:hAnsi="Arial" w:cs="Arial"/>
          <w:color w:val="000000" w:themeColor="text1"/>
          <w:lang w:val="es-ES"/>
        </w:rPr>
        <w:t xml:space="preserve">la </w:t>
      </w:r>
      <w:r w:rsidR="00D10CC6" w:rsidRPr="00F26C31">
        <w:rPr>
          <w:rFonts w:ascii="Arial" w:eastAsia="Calibri" w:hAnsi="Arial" w:cs="Arial"/>
        </w:rPr>
        <w:t xml:space="preserve">Agencia Nacional de Contratación Pública− Colombia Compra Eficiente </w:t>
      </w:r>
      <w:r w:rsidRPr="00F26C31">
        <w:rPr>
          <w:rFonts w:ascii="Arial" w:hAnsi="Arial" w:cs="Arial"/>
          <w:color w:val="000000" w:themeColor="text1"/>
          <w:lang w:val="es-ES"/>
        </w:rPr>
        <w:t>se fija con límites claros, con el objeto de evitar que actúe como una instancia de validación de las actuaciones de las entidades sujetas a la Ley 80 de 1993 o de los demás participantes de la contratación pública</w:t>
      </w:r>
      <w:r w:rsidRPr="00F26C31">
        <w:rPr>
          <w:rStyle w:val="Refdenotaalpie"/>
          <w:rFonts w:ascii="Arial" w:hAnsi="Arial" w:cs="Arial"/>
          <w:color w:val="000000" w:themeColor="text1"/>
          <w:lang w:val="es-ES"/>
        </w:rPr>
        <w:footnoteReference w:id="1"/>
      </w:r>
      <w:r w:rsidRPr="00F26C31">
        <w:rPr>
          <w:rFonts w:ascii="Arial" w:hAnsi="Arial" w:cs="Arial"/>
          <w:color w:val="000000" w:themeColor="text1"/>
          <w:lang w:val="es-ES"/>
        </w:rPr>
        <w:t>. Esta competencia de interpretación de normas generales, por definición, tampoco puede extenderse a la resolución de controversias, ni a brindar asesorías sobre casos puntuales.</w:t>
      </w:r>
    </w:p>
    <w:p w14:paraId="45AC66E8" w14:textId="04846BF0" w:rsidR="00EB5D63" w:rsidRPr="00F26C31" w:rsidRDefault="00EB5D63" w:rsidP="00EB5D63">
      <w:pPr>
        <w:pStyle w:val="Textoindependiente"/>
        <w:spacing w:after="120" w:line="276" w:lineRule="auto"/>
        <w:ind w:firstLine="708"/>
        <w:jc w:val="both"/>
        <w:rPr>
          <w:rFonts w:eastAsia="Calibri"/>
          <w:color w:val="000000" w:themeColor="text1"/>
          <w:lang w:val="es-ES_tradnl"/>
        </w:rPr>
      </w:pPr>
      <w:r w:rsidRPr="00F26C31">
        <w:rPr>
          <w:rFonts w:eastAsia="Calibri"/>
          <w:color w:val="000000" w:themeColor="text1"/>
          <w:lang w:val="es-ES_tradnl"/>
        </w:rPr>
        <w:t>Aclarado lo anterior, para responder su consulta, en desarrollo del presente concepto, se analizarán los siguientes temas: i) vigencia y reglamentación de los criterios diferenciales de la Ley 2069 de 2020; y</w:t>
      </w:r>
      <w:r w:rsidR="00D10CC6">
        <w:rPr>
          <w:rFonts w:eastAsia="Calibri"/>
          <w:color w:val="000000" w:themeColor="text1"/>
          <w:lang w:val="es-ES_tradnl"/>
        </w:rPr>
        <w:t>,</w:t>
      </w:r>
      <w:r w:rsidRPr="00F26C31">
        <w:rPr>
          <w:rFonts w:eastAsia="Calibri"/>
          <w:color w:val="000000" w:themeColor="text1"/>
          <w:lang w:val="es-ES_tradnl"/>
        </w:rPr>
        <w:t xml:space="preserve"> </w:t>
      </w:r>
      <w:proofErr w:type="spellStart"/>
      <w:r w:rsidRPr="00F26C31">
        <w:rPr>
          <w:rFonts w:eastAsia="Calibri"/>
          <w:color w:val="000000" w:themeColor="text1"/>
          <w:lang w:val="es-ES_tradnl"/>
        </w:rPr>
        <w:t>ii</w:t>
      </w:r>
      <w:proofErr w:type="spellEnd"/>
      <w:r w:rsidRPr="00F26C31">
        <w:rPr>
          <w:rFonts w:eastAsia="Calibri"/>
          <w:color w:val="000000" w:themeColor="text1"/>
          <w:lang w:val="es-ES_tradnl"/>
        </w:rPr>
        <w:t>) definición de emprendimientos y empresas de mujeres en el Decreto 1860 de 2021.</w:t>
      </w:r>
    </w:p>
    <w:p w14:paraId="01F4A861" w14:textId="64F1706F" w:rsidR="00EB5D63" w:rsidRPr="00F26C31" w:rsidRDefault="00EB5D63" w:rsidP="00EB5D63">
      <w:pPr>
        <w:pStyle w:val="Textoindependiente"/>
        <w:spacing w:before="240" w:line="276" w:lineRule="auto"/>
        <w:ind w:firstLine="708"/>
        <w:jc w:val="both"/>
        <w:rPr>
          <w:rFonts w:eastAsia="Calibri"/>
          <w:color w:val="000000" w:themeColor="text1"/>
          <w:lang w:val="es-ES_tradnl"/>
        </w:rPr>
      </w:pPr>
      <w:r w:rsidRPr="00F26C31">
        <w:rPr>
          <w:rFonts w:eastAsia="Calibri"/>
          <w:color w:val="000000" w:themeColor="text1"/>
          <w:lang w:val="es-ES_tradnl"/>
        </w:rPr>
        <w:t>La Agencia Nacional de Contratación Pública – Colombia Compra Eficiente se ha pronunciado, en términos generales, sobre el contenido de la Ley de Emprendimiento en diferentes conceptos</w:t>
      </w:r>
      <w:r w:rsidRPr="00F26C31">
        <w:rPr>
          <w:rStyle w:val="Refdenotaalpie"/>
          <w:rFonts w:eastAsia="Calibri"/>
          <w:color w:val="000000" w:themeColor="text1"/>
          <w:lang w:val="es-ES_tradnl"/>
        </w:rPr>
        <w:footnoteReference w:id="2"/>
      </w:r>
      <w:r w:rsidRPr="00F26C31">
        <w:rPr>
          <w:rFonts w:eastAsia="Calibri"/>
          <w:color w:val="000000" w:themeColor="text1"/>
          <w:lang w:val="es-ES_tradnl"/>
        </w:rPr>
        <w:t xml:space="preserve">, refiriéndose, especialmente, a lo dispuesto en el artículo 32 de la precitada ley, alusivo a los criterios diferenciales para emprendimientos y empresas de mujeres, en los conceptos </w:t>
      </w:r>
      <w:r w:rsidRPr="00F26C31">
        <w:rPr>
          <w:rStyle w:val="normaltextrun"/>
          <w:color w:val="000000" w:themeColor="text1"/>
          <w:shd w:val="clear" w:color="auto" w:fill="FFFFFF"/>
        </w:rPr>
        <w:t xml:space="preserve">C-029 de 21 de febrero de 2021, C-037 del 26 de febrero de </w:t>
      </w:r>
      <w:r w:rsidRPr="00F26C31">
        <w:rPr>
          <w:rStyle w:val="normaltextrun"/>
          <w:color w:val="000000" w:themeColor="text1"/>
          <w:shd w:val="clear" w:color="auto" w:fill="FFFFFF"/>
        </w:rPr>
        <w:lastRenderedPageBreak/>
        <w:t>2021, C-141 del 8 de abril de 2021, C-114 del 13 de abril de 2021, C-031 del 1 de marzo de 2022 y C-217 del 21 de abril de 2022, C-476 de 21 de junio de 2022, C-509 de 8 de agosto de 2022, C-522 de 17 de agosto de 2022</w:t>
      </w:r>
      <w:r w:rsidR="00D10CC6">
        <w:rPr>
          <w:rStyle w:val="normaltextrun"/>
          <w:color w:val="000000" w:themeColor="text1"/>
          <w:shd w:val="clear" w:color="auto" w:fill="FFFFFF"/>
        </w:rPr>
        <w:t>,</w:t>
      </w:r>
      <w:r w:rsidRPr="00F26C31">
        <w:rPr>
          <w:rStyle w:val="normaltextrun"/>
          <w:color w:val="000000" w:themeColor="text1"/>
          <w:shd w:val="clear" w:color="auto" w:fill="FFFFFF"/>
        </w:rPr>
        <w:t>C-587 de 21 de septiembre de 2022</w:t>
      </w:r>
      <w:r w:rsidR="00D10CC6">
        <w:rPr>
          <w:rStyle w:val="normaltextrun"/>
          <w:color w:val="000000" w:themeColor="text1"/>
          <w:shd w:val="clear" w:color="auto" w:fill="FFFFFF"/>
        </w:rPr>
        <w:t xml:space="preserve"> y C-715 del 28 de octubre de 2022,</w:t>
      </w:r>
      <w:r w:rsidRPr="00F26C31">
        <w:rPr>
          <w:rStyle w:val="normaltextrun"/>
          <w:color w:val="000000" w:themeColor="text1"/>
          <w:shd w:val="clear" w:color="auto" w:fill="FFFFFF"/>
        </w:rPr>
        <w:t xml:space="preserve"> entre otros.</w:t>
      </w:r>
      <w:r w:rsidRPr="00F26C31">
        <w:rPr>
          <w:rFonts w:eastAsia="Calibri"/>
          <w:color w:val="000000" w:themeColor="text1"/>
          <w:lang w:val="es-ES_tradnl"/>
        </w:rPr>
        <w:t xml:space="preserve"> Algunas de las consideraciones de estos conceptos se reiteran y complementan en lo pertinente a continuación.</w:t>
      </w:r>
    </w:p>
    <w:p w14:paraId="21EC3967" w14:textId="77777777" w:rsidR="00EB5D63" w:rsidRPr="00F26C31" w:rsidRDefault="00EB5D63" w:rsidP="00EB5D63">
      <w:pPr>
        <w:spacing w:after="0" w:line="240" w:lineRule="auto"/>
        <w:jc w:val="both"/>
        <w:rPr>
          <w:rFonts w:ascii="Arial" w:eastAsia="Calibri" w:hAnsi="Arial" w:cs="Arial"/>
          <w:b/>
          <w:bCs/>
          <w:color w:val="000000" w:themeColor="text1"/>
          <w:lang w:val="es-ES_tradnl"/>
        </w:rPr>
      </w:pPr>
      <w:bookmarkStart w:id="1" w:name="_Hlk94018153"/>
    </w:p>
    <w:p w14:paraId="7E62E5AE" w14:textId="77777777" w:rsidR="00EB5D63" w:rsidRPr="00F26C31" w:rsidRDefault="00EB5D63" w:rsidP="00EB5D63">
      <w:pPr>
        <w:spacing w:after="0" w:line="240" w:lineRule="auto"/>
        <w:jc w:val="both"/>
        <w:rPr>
          <w:rFonts w:ascii="Arial" w:eastAsia="Calibri" w:hAnsi="Arial" w:cs="Arial"/>
          <w:b/>
          <w:bCs/>
          <w:color w:val="000000" w:themeColor="text1"/>
          <w:lang w:val="es-ES_tradnl"/>
        </w:rPr>
      </w:pPr>
      <w:r w:rsidRPr="00F26C31">
        <w:rPr>
          <w:rFonts w:ascii="Arial" w:eastAsia="Calibri" w:hAnsi="Arial" w:cs="Arial"/>
          <w:b/>
          <w:bCs/>
          <w:color w:val="000000" w:themeColor="text1"/>
          <w:lang w:val="es-ES_tradnl"/>
        </w:rPr>
        <w:t xml:space="preserve">2.1. Vigencia y reglamentación de los criterios diferenciales introducidos por la Ley 2069 de 2020 </w:t>
      </w:r>
      <w:bookmarkEnd w:id="1"/>
    </w:p>
    <w:p w14:paraId="33123D12" w14:textId="77777777" w:rsidR="00EB5D63" w:rsidRPr="00F26C31" w:rsidRDefault="00EB5D63" w:rsidP="00EB5D63">
      <w:pPr>
        <w:spacing w:after="0" w:line="276" w:lineRule="auto"/>
        <w:jc w:val="both"/>
        <w:rPr>
          <w:rFonts w:ascii="Arial" w:eastAsia="Calibri" w:hAnsi="Arial" w:cs="Arial"/>
          <w:color w:val="000000" w:themeColor="text1"/>
          <w:lang w:val="es-ES_tradnl"/>
        </w:rPr>
      </w:pPr>
    </w:p>
    <w:p w14:paraId="5DBDB4ED" w14:textId="77777777" w:rsidR="00EB5D63" w:rsidRPr="00F26C31" w:rsidRDefault="00EB5D63" w:rsidP="00EB5D63">
      <w:pPr>
        <w:spacing w:after="0" w:line="276" w:lineRule="auto"/>
        <w:jc w:val="both"/>
        <w:rPr>
          <w:rFonts w:ascii="Arial" w:eastAsia="Calibri" w:hAnsi="Arial" w:cs="Arial"/>
          <w:color w:val="000000" w:themeColor="text1"/>
          <w:lang w:val="es-ES_tradnl"/>
        </w:rPr>
      </w:pPr>
      <w:r w:rsidRPr="00F26C31">
        <w:rPr>
          <w:rFonts w:ascii="Arial" w:eastAsia="Calibri" w:hAnsi="Arial" w:cs="Arial"/>
          <w:color w:val="000000" w:themeColor="text1"/>
          <w:lang w:val="es-ES_tradnl"/>
        </w:rPr>
        <w:t>El 31 de diciembre de 2020 se promulgó la Ley 2069, «Por medio de la cual se impulsa el emprendimiento en Colombia». De acuerdo con el artículo 84, «</w:t>
      </w:r>
      <w:r w:rsidRPr="00F26C31">
        <w:rPr>
          <w:rFonts w:ascii="Arial" w:eastAsia="Calibri" w:hAnsi="Arial" w:cs="Arial"/>
          <w:i/>
          <w:iCs/>
          <w:color w:val="000000" w:themeColor="text1"/>
          <w:lang w:val="es-ES_tradnl"/>
        </w:rPr>
        <w:t>La presente Ley rige a partir del momento de su promulgación</w:t>
      </w:r>
      <w:r w:rsidRPr="00F26C31">
        <w:rPr>
          <w:rFonts w:ascii="Arial" w:eastAsia="Calibri" w:hAnsi="Arial" w:cs="Arial"/>
          <w:color w:val="000000" w:themeColor="text1"/>
          <w:lang w:val="es-ES_tradnl"/>
        </w:rPr>
        <w:t xml:space="preserve">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51D2DCAF" w14:textId="1D7330BC" w:rsidR="00EB5D63" w:rsidRPr="00F26C31" w:rsidRDefault="00EB5D63" w:rsidP="00EB5D63">
      <w:pPr>
        <w:spacing w:before="120" w:line="276" w:lineRule="auto"/>
        <w:ind w:firstLine="709"/>
        <w:jc w:val="both"/>
        <w:rPr>
          <w:rFonts w:ascii="Arial" w:eastAsia="Calibri" w:hAnsi="Arial" w:cs="Arial"/>
          <w:color w:val="000000" w:themeColor="text1"/>
          <w:lang w:val="es-ES_tradnl"/>
        </w:rPr>
      </w:pPr>
      <w:r w:rsidRPr="00F26C31">
        <w:rPr>
          <w:rFonts w:ascii="Arial" w:eastAsia="Calibri" w:hAnsi="Arial" w:cs="Arial"/>
          <w:color w:val="000000" w:themeColor="text1"/>
          <w:lang w:val="es-ES_tradnl"/>
        </w:rPr>
        <w:t>En cuanto a su contenido, es importante señalar que, como dispone el artículo 1, aquella «</w:t>
      </w:r>
      <w:r w:rsidRPr="007D411D">
        <w:rPr>
          <w:rFonts w:ascii="Arial" w:hAnsi="Arial" w:cs="Arial"/>
          <w:i/>
          <w:iCs/>
          <w:color w:val="000000" w:themeColor="text1"/>
        </w:rPr>
        <w:t>tiene por objeto establecer un marco regulatorio que propicie el emprendimiento y el crecimiento, consolidación y sostenibilidad de las empresas, con el fin de aumentar el bienestar social y generar equidad</w:t>
      </w:r>
      <w:r w:rsidRPr="007D411D">
        <w:rPr>
          <w:rFonts w:ascii="Arial" w:eastAsia="Calibri" w:hAnsi="Arial" w:cs="Arial"/>
          <w:i/>
          <w:iCs/>
          <w:color w:val="000000" w:themeColor="text1"/>
          <w:lang w:val="es-ES_tradnl"/>
        </w:rPr>
        <w:t>»</w:t>
      </w:r>
      <w:r w:rsidRPr="007D411D">
        <w:rPr>
          <w:rFonts w:ascii="Arial" w:eastAsia="Calibri" w:hAnsi="Arial" w:cs="Arial"/>
          <w:i/>
          <w:iCs/>
          <w:color w:val="000000" w:themeColor="text1"/>
          <w:vertAlign w:val="superscript"/>
          <w:lang w:val="es-ES_tradnl"/>
        </w:rPr>
        <w:footnoteReference w:id="3"/>
      </w:r>
      <w:r w:rsidRPr="007D411D">
        <w:rPr>
          <w:rFonts w:ascii="Arial" w:eastAsia="Calibri" w:hAnsi="Arial" w:cs="Arial"/>
          <w:i/>
          <w:iCs/>
          <w:color w:val="000000" w:themeColor="text1"/>
          <w:lang w:val="es-ES_tradnl"/>
        </w:rPr>
        <w:t>.</w:t>
      </w:r>
      <w:r w:rsidRPr="00F26C31">
        <w:rPr>
          <w:rFonts w:ascii="Arial" w:eastAsia="Calibri" w:hAnsi="Arial" w:cs="Arial"/>
          <w:color w:val="000000" w:themeColor="text1"/>
          <w:lang w:val="es-ES_tradnl"/>
        </w:rPr>
        <w:t xml:space="preserve"> Esto, a partir de </w:t>
      </w:r>
      <w:r w:rsidRPr="00F26C31">
        <w:rPr>
          <w:rFonts w:ascii="Arial" w:hAnsi="Arial" w:cs="Arial"/>
          <w:color w:val="000000" w:themeColor="text1"/>
        </w:rPr>
        <w:t xml:space="preserve">«[…] </w:t>
      </w:r>
      <w:r w:rsidRPr="00F26C31">
        <w:rPr>
          <w:rFonts w:ascii="Arial" w:hAnsi="Arial" w:cs="Arial"/>
          <w:i/>
          <w:iCs/>
          <w:color w:val="000000" w:themeColor="text1"/>
        </w:rPr>
        <w:t xml:space="preserve">un enfoque regionalizado </w:t>
      </w:r>
      <w:proofErr w:type="gramStart"/>
      <w:r w:rsidRPr="00F26C31">
        <w:rPr>
          <w:rFonts w:ascii="Arial" w:hAnsi="Arial" w:cs="Arial"/>
          <w:i/>
          <w:iCs/>
          <w:color w:val="000000" w:themeColor="text1"/>
        </w:rPr>
        <w:t>de acuerdo a</w:t>
      </w:r>
      <w:proofErr w:type="gramEnd"/>
      <w:r w:rsidRPr="00F26C31">
        <w:rPr>
          <w:rFonts w:ascii="Arial" w:hAnsi="Arial" w:cs="Arial"/>
          <w:i/>
          <w:iCs/>
          <w:color w:val="000000" w:themeColor="text1"/>
        </w:rPr>
        <w:t xml:space="preserve"> las realidades socioeconómicas de cada región</w:t>
      </w:r>
      <w:r w:rsidRPr="00F26C31">
        <w:rPr>
          <w:rFonts w:ascii="Arial" w:hAnsi="Arial" w:cs="Arial"/>
          <w:color w:val="000000" w:themeColor="text1"/>
        </w:rPr>
        <w:t>».</w:t>
      </w:r>
      <w:r w:rsidRPr="00F26C31">
        <w:rPr>
          <w:rFonts w:ascii="Arial" w:eastAsia="Calibri" w:hAnsi="Arial" w:cs="Arial"/>
          <w:color w:val="000000" w:themeColor="text1"/>
          <w:lang w:val="es-ES_tradnl"/>
        </w:rPr>
        <w:t xml:space="preserve"> En desarrollo de esta finalidad, se establecen medidas de apoyo para las micro, pequeñas y medianas empresas –</w:t>
      </w:r>
      <w:r w:rsidR="00D10CC6" w:rsidRPr="00F26C31">
        <w:rPr>
          <w:rFonts w:ascii="Arial" w:eastAsia="Calibri" w:hAnsi="Arial" w:cs="Arial"/>
          <w:color w:val="000000" w:themeColor="text1"/>
          <w:lang w:val="es-ES_tradnl"/>
        </w:rPr>
        <w:t>MiPymes</w:t>
      </w:r>
      <w:r w:rsidRPr="00F26C31">
        <w:rPr>
          <w:rFonts w:ascii="Arial" w:eastAsia="Calibri" w:hAnsi="Arial" w:cs="Arial"/>
          <w:color w:val="000000" w:themeColor="text1"/>
          <w:lang w:val="es-ES_tradnl"/>
        </w:rPr>
        <w:t>–, mediante la racionalización y simplificación de los trámites y tarifas</w:t>
      </w:r>
      <w:r w:rsidRPr="00F26C31">
        <w:rPr>
          <w:rStyle w:val="Refdenotaalpie"/>
          <w:rFonts w:ascii="Arial" w:eastAsia="Calibri" w:hAnsi="Arial" w:cs="Arial"/>
          <w:color w:val="000000" w:themeColor="text1"/>
          <w:lang w:val="es-ES_tradnl"/>
        </w:rPr>
        <w:footnoteReference w:id="4"/>
      </w:r>
      <w:r w:rsidRPr="00F26C31">
        <w:rPr>
          <w:rFonts w:ascii="Arial" w:eastAsia="Calibri" w:hAnsi="Arial" w:cs="Arial"/>
          <w:color w:val="000000" w:themeColor="text1"/>
          <w:lang w:val="es-ES_tradnl"/>
        </w:rPr>
        <w:t>, así como incentivos a favor de aquellas dentro del sistema de compras y contratación pública</w:t>
      </w:r>
      <w:r w:rsidRPr="00F26C31">
        <w:rPr>
          <w:rStyle w:val="Refdenotaalpie"/>
          <w:rFonts w:ascii="Arial" w:eastAsia="Calibri" w:hAnsi="Arial" w:cs="Arial"/>
          <w:color w:val="000000" w:themeColor="text1"/>
          <w:lang w:val="es-ES_tradnl"/>
        </w:rPr>
        <w:footnoteReference w:id="5"/>
      </w:r>
      <w:r w:rsidRPr="00F26C31">
        <w:rPr>
          <w:rFonts w:ascii="Arial" w:eastAsia="Calibri" w:hAnsi="Arial" w:cs="Arial"/>
          <w:color w:val="000000" w:themeColor="text1"/>
          <w:lang w:val="es-ES_tradnl"/>
        </w:rPr>
        <w:t>. También se consagran mecanismos de acceso al financiamiento</w:t>
      </w:r>
      <w:r w:rsidRPr="00F26C31">
        <w:rPr>
          <w:rStyle w:val="Refdenotaalpie"/>
          <w:rFonts w:ascii="Arial" w:eastAsia="Calibri" w:hAnsi="Arial" w:cs="Arial"/>
          <w:color w:val="000000" w:themeColor="text1"/>
          <w:lang w:val="es-ES_tradnl"/>
        </w:rPr>
        <w:footnoteReference w:id="6"/>
      </w:r>
      <w:r w:rsidRPr="00F26C31">
        <w:rPr>
          <w:rFonts w:ascii="Arial" w:eastAsia="Calibri" w:hAnsi="Arial" w:cs="Arial"/>
          <w:color w:val="000000" w:themeColor="text1"/>
          <w:lang w:val="es-ES_tradnl"/>
        </w:rPr>
        <w:t>, se unifican las fuentes de emprendimiento y de desarrollo empresarial, para fortalecer y promover los distintos sectores de la economía</w:t>
      </w:r>
      <w:r w:rsidRPr="00F26C31">
        <w:rPr>
          <w:rStyle w:val="Refdenotaalpie"/>
          <w:rFonts w:ascii="Arial" w:eastAsia="Calibri" w:hAnsi="Arial" w:cs="Arial"/>
          <w:color w:val="000000" w:themeColor="text1"/>
          <w:lang w:val="es-ES_tradnl"/>
        </w:rPr>
        <w:footnoteReference w:id="7"/>
      </w:r>
      <w:r w:rsidRPr="00F26C31">
        <w:rPr>
          <w:rFonts w:ascii="Arial" w:eastAsia="Calibri" w:hAnsi="Arial" w:cs="Arial"/>
          <w:color w:val="000000" w:themeColor="text1"/>
          <w:lang w:val="es-ES_tradnl"/>
        </w:rPr>
        <w:t xml:space="preserve"> y se prevén medidas de educación para el emprendimiento y la innovación</w:t>
      </w:r>
      <w:r w:rsidRPr="00F26C31">
        <w:rPr>
          <w:rStyle w:val="Refdenotaalpie"/>
          <w:rFonts w:ascii="Arial" w:eastAsia="Calibri" w:hAnsi="Arial" w:cs="Arial"/>
          <w:color w:val="000000" w:themeColor="text1"/>
          <w:lang w:val="es-ES_tradnl"/>
        </w:rPr>
        <w:footnoteReference w:id="8"/>
      </w:r>
      <w:r w:rsidRPr="00F26C31">
        <w:rPr>
          <w:rFonts w:ascii="Arial" w:eastAsia="Calibri" w:hAnsi="Arial" w:cs="Arial"/>
          <w:color w:val="000000" w:themeColor="text1"/>
          <w:lang w:val="es-ES_tradnl"/>
        </w:rPr>
        <w:t>.</w:t>
      </w:r>
    </w:p>
    <w:p w14:paraId="216917B1" w14:textId="5F79BC81" w:rsidR="00EB5D63" w:rsidRPr="00F26C31" w:rsidRDefault="00EB5D63" w:rsidP="00D10CC6">
      <w:pPr>
        <w:spacing w:before="120" w:after="120" w:line="276" w:lineRule="auto"/>
        <w:ind w:firstLine="709"/>
        <w:jc w:val="both"/>
        <w:rPr>
          <w:rFonts w:ascii="Arial" w:eastAsia="Calibri" w:hAnsi="Arial" w:cs="Arial"/>
          <w:color w:val="000000" w:themeColor="text1"/>
          <w:lang w:val="es-ES_tradnl"/>
        </w:rPr>
      </w:pPr>
      <w:r w:rsidRPr="00F26C31">
        <w:rPr>
          <w:rFonts w:ascii="Arial" w:eastAsia="Calibri" w:hAnsi="Arial" w:cs="Arial"/>
          <w:color w:val="000000" w:themeColor="text1"/>
          <w:lang w:val="es-ES_tradnl"/>
        </w:rPr>
        <w:lastRenderedPageBreak/>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r w:rsidR="00D10CC6" w:rsidRPr="00F26C31">
        <w:rPr>
          <w:rFonts w:ascii="Arial" w:eastAsia="Calibri" w:hAnsi="Arial" w:cs="Arial"/>
          <w:color w:val="000000" w:themeColor="text1"/>
          <w:lang w:val="es-ES_tradnl"/>
        </w:rPr>
        <w:t>MiPymes</w:t>
      </w:r>
      <w:r w:rsidRPr="00F26C31">
        <w:rPr>
          <w:rFonts w:ascii="Arial" w:eastAsia="Calibri" w:hAnsi="Arial" w:cs="Arial"/>
          <w:color w:val="000000" w:themeColor="text1"/>
          <w:lang w:val="es-ES_tradnl"/>
        </w:rPr>
        <w:t xml:space="preserve"> en el procedimiento de mínima cuantía</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w:t>
      </w:r>
      <w:proofErr w:type="spellStart"/>
      <w:r w:rsidRPr="00F26C31">
        <w:rPr>
          <w:rFonts w:ascii="Arial" w:eastAsia="Calibri" w:hAnsi="Arial" w:cs="Arial"/>
          <w:color w:val="000000" w:themeColor="text1"/>
          <w:lang w:val="es-ES_tradnl"/>
        </w:rPr>
        <w:t>ii</w:t>
      </w:r>
      <w:proofErr w:type="spellEnd"/>
      <w:r w:rsidRPr="00F26C31">
        <w:rPr>
          <w:rFonts w:ascii="Arial" w:eastAsia="Calibri" w:hAnsi="Arial" w:cs="Arial"/>
          <w:color w:val="000000" w:themeColor="text1"/>
          <w:lang w:val="es-ES_tradnl"/>
        </w:rPr>
        <w:t xml:space="preserve">) criterios diferenciales para </w:t>
      </w:r>
      <w:r w:rsidR="00D10CC6" w:rsidRPr="00F26C31">
        <w:rPr>
          <w:rFonts w:ascii="Arial" w:eastAsia="Calibri" w:hAnsi="Arial" w:cs="Arial"/>
          <w:color w:val="000000" w:themeColor="text1"/>
          <w:lang w:val="es-ES_tradnl"/>
        </w:rPr>
        <w:t>MiPymes</w:t>
      </w:r>
      <w:r w:rsidRPr="00F26C31">
        <w:rPr>
          <w:rFonts w:ascii="Arial" w:eastAsia="Calibri" w:hAnsi="Arial" w:cs="Arial"/>
          <w:color w:val="000000" w:themeColor="text1"/>
          <w:lang w:val="es-ES_tradnl"/>
        </w:rPr>
        <w:t xml:space="preserve"> en el sistema de compras públicas</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w:t>
      </w:r>
      <w:proofErr w:type="spellStart"/>
      <w:r w:rsidRPr="00F26C31">
        <w:rPr>
          <w:rFonts w:ascii="Arial" w:eastAsia="Calibri" w:hAnsi="Arial" w:cs="Arial"/>
          <w:color w:val="000000" w:themeColor="text1"/>
          <w:lang w:val="es-ES_tradnl"/>
        </w:rPr>
        <w:t>iii</w:t>
      </w:r>
      <w:proofErr w:type="spellEnd"/>
      <w:r w:rsidRPr="00F26C31">
        <w:rPr>
          <w:rFonts w:ascii="Arial" w:eastAsia="Calibri" w:hAnsi="Arial" w:cs="Arial"/>
          <w:color w:val="000000" w:themeColor="text1"/>
          <w:lang w:val="es-ES_tradnl"/>
        </w:rPr>
        <w:t>) criterios diferenciales para emprendimientos y empresas de mujeres en el sistema de compras públicas</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w:t>
      </w:r>
      <w:proofErr w:type="spellStart"/>
      <w:r w:rsidRPr="00F26C31">
        <w:rPr>
          <w:rFonts w:ascii="Arial" w:eastAsia="Calibri" w:hAnsi="Arial" w:cs="Arial"/>
          <w:color w:val="000000" w:themeColor="text1"/>
          <w:lang w:val="es-ES_tradnl"/>
        </w:rPr>
        <w:t>iv</w:t>
      </w:r>
      <w:proofErr w:type="spellEnd"/>
      <w:r w:rsidRPr="00F26C31">
        <w:rPr>
          <w:rFonts w:ascii="Arial" w:eastAsia="Calibri" w:hAnsi="Arial" w:cs="Arial"/>
          <w:color w:val="000000" w:themeColor="text1"/>
          <w:lang w:val="es-ES_tradnl"/>
        </w:rPr>
        <w:t xml:space="preserve">) promoción del acceso de las </w:t>
      </w:r>
      <w:r w:rsidR="00D10CC6" w:rsidRPr="00F26C31">
        <w:rPr>
          <w:rFonts w:ascii="Arial" w:eastAsia="Calibri" w:hAnsi="Arial" w:cs="Arial"/>
          <w:color w:val="000000" w:themeColor="text1"/>
          <w:lang w:val="es-ES_tradnl"/>
        </w:rPr>
        <w:t>MiPymes</w:t>
      </w:r>
      <w:r w:rsidRPr="00F26C31">
        <w:rPr>
          <w:rFonts w:ascii="Arial" w:eastAsia="Calibri" w:hAnsi="Arial" w:cs="Arial"/>
          <w:color w:val="000000" w:themeColor="text1"/>
          <w:lang w:val="es-ES_tradnl"/>
        </w:rPr>
        <w:t xml:space="preserve"> al mercado de compras públicas</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v) promoción del desarrollo en la contratación pública</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vi) un nuevo régimen de factores de desempate</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y</w:t>
      </w:r>
      <w:r w:rsidR="00D10CC6">
        <w:rPr>
          <w:rFonts w:ascii="Arial" w:eastAsia="Calibri" w:hAnsi="Arial" w:cs="Arial"/>
          <w:color w:val="000000" w:themeColor="text1"/>
          <w:lang w:val="es-ES_tradnl"/>
        </w:rPr>
        <w:t>,</w:t>
      </w:r>
      <w:r w:rsidRPr="00F26C31">
        <w:rPr>
          <w:rFonts w:ascii="Arial" w:eastAsia="Calibri" w:hAnsi="Arial" w:cs="Arial"/>
          <w:color w:val="000000" w:themeColor="text1"/>
          <w:lang w:val="es-ES_tradnl"/>
        </w:rPr>
        <w:t xml:space="preserve"> vi) un llamado a las entidades estatales para que promuevan compras públicas en el marco de la tecnología y la innovación</w:t>
      </w:r>
      <w:r w:rsidRPr="00F26C31">
        <w:rPr>
          <w:rStyle w:val="Refdenotaalpie"/>
          <w:rFonts w:ascii="Arial" w:eastAsia="Calibri" w:hAnsi="Arial" w:cs="Arial"/>
          <w:color w:val="000000" w:themeColor="text1"/>
          <w:lang w:val="es-ES_tradnl"/>
        </w:rPr>
        <w:footnoteReference w:id="9"/>
      </w:r>
      <w:r w:rsidRPr="00F26C31">
        <w:rPr>
          <w:rFonts w:ascii="Arial" w:eastAsia="Calibri" w:hAnsi="Arial" w:cs="Arial"/>
          <w:color w:val="000000" w:themeColor="text1"/>
          <w:lang w:val="es-ES_tradnl"/>
        </w:rPr>
        <w:t xml:space="preserve">. </w:t>
      </w:r>
    </w:p>
    <w:p w14:paraId="57BEAD47" w14:textId="5C418E2F" w:rsidR="00EB5D63" w:rsidRPr="00F26C31" w:rsidRDefault="00EB5D63" w:rsidP="00EB5D63">
      <w:pPr>
        <w:tabs>
          <w:tab w:val="left" w:pos="709"/>
        </w:tabs>
        <w:spacing w:after="120" w:line="276" w:lineRule="auto"/>
        <w:jc w:val="both"/>
        <w:rPr>
          <w:rFonts w:ascii="Arial" w:eastAsia="Calibri" w:hAnsi="Arial" w:cs="Arial"/>
          <w:bCs/>
          <w:color w:val="000000" w:themeColor="text1"/>
        </w:rPr>
      </w:pPr>
      <w:r w:rsidRPr="00F26C31">
        <w:rPr>
          <w:rFonts w:ascii="Arial" w:eastAsia="Calibri" w:hAnsi="Arial" w:cs="Arial"/>
          <w:bCs/>
          <w:color w:val="000000" w:themeColor="text1"/>
        </w:rPr>
        <w:tab/>
        <w:t xml:space="preserve">Dentro del referido capítulo se encuentran </w:t>
      </w:r>
      <w:bookmarkStart w:id="3" w:name="_Hlk63848566"/>
      <w:r w:rsidRPr="00F26C31">
        <w:rPr>
          <w:rFonts w:ascii="Arial" w:eastAsia="Calibri" w:hAnsi="Arial" w:cs="Arial"/>
          <w:bCs/>
          <w:color w:val="000000" w:themeColor="text1"/>
        </w:rPr>
        <w:t>los artículos 31 y 32 de la Ley 2069 de 2020</w:t>
      </w:r>
      <w:bookmarkEnd w:id="3"/>
      <w:r w:rsidRPr="00F26C31">
        <w:rPr>
          <w:rFonts w:ascii="Arial" w:eastAsia="Calibri" w:hAnsi="Arial" w:cs="Arial"/>
          <w:bCs/>
          <w:color w:val="000000" w:themeColor="text1"/>
        </w:rPr>
        <w:t xml:space="preserve">, los cuales crean una serie de incentivos para las personas interesadas en celebrar contratos con el Estado. </w:t>
      </w:r>
      <w:r w:rsidRPr="00F26C31">
        <w:rPr>
          <w:rFonts w:ascii="Arial" w:eastAsia="Calibri" w:hAnsi="Arial" w:cs="Arial"/>
          <w:bCs/>
          <w:color w:val="000000" w:themeColor="text1"/>
          <w:lang w:val="es-ES_tradnl"/>
        </w:rPr>
        <w:t xml:space="preserve">Por un lado, el artículo 31 </w:t>
      </w:r>
      <w:r w:rsidRPr="00F26C31">
        <w:rPr>
          <w:rFonts w:ascii="Arial" w:eastAsia="Calibri" w:hAnsi="Arial" w:cs="Arial"/>
          <w:bCs/>
          <w:color w:val="000000" w:themeColor="text1"/>
        </w:rPr>
        <w:t xml:space="preserve">introduce criterios diferenciales para el acceso de las </w:t>
      </w:r>
      <w:r w:rsidR="00D10CC6" w:rsidRPr="00F26C31">
        <w:rPr>
          <w:rFonts w:ascii="Arial" w:eastAsia="Calibri" w:hAnsi="Arial" w:cs="Arial"/>
          <w:bCs/>
          <w:color w:val="000000" w:themeColor="text1"/>
        </w:rPr>
        <w:t>MiPymes</w:t>
      </w:r>
      <w:r w:rsidRPr="00F26C31">
        <w:rPr>
          <w:rFonts w:ascii="Arial" w:eastAsia="Calibri" w:hAnsi="Arial" w:cs="Arial"/>
          <w:bCs/>
          <w:color w:val="000000" w:themeColor="text1"/>
        </w:rPr>
        <w:t xml:space="preserve"> al sistema de compras y contratación pública, estableciendo que «</w:t>
      </w:r>
      <w:r w:rsidRPr="007D411D">
        <w:rPr>
          <w:rFonts w:ascii="Arial" w:eastAsia="Calibri" w:hAnsi="Arial" w:cs="Arial"/>
          <w:bCs/>
          <w:i/>
          <w:iCs/>
          <w:color w:val="000000" w:themeColor="text1"/>
        </w:rPr>
        <w:t xml:space="preserve">Las Entidades Estatales de acuerdo con el análisis de Sector </w:t>
      </w:r>
      <w:bookmarkStart w:id="4" w:name="_Hlk63767562"/>
      <w:r w:rsidRPr="007D411D">
        <w:rPr>
          <w:rFonts w:ascii="Arial" w:eastAsia="Calibri" w:hAnsi="Arial" w:cs="Arial"/>
          <w:bCs/>
          <w:i/>
          <w:iCs/>
          <w:color w:val="000000" w:themeColor="text1"/>
        </w:rPr>
        <w:t>podrán incluir, en los Documentos del Proceso, requisitos diferenciales y puntajes adicionales</w:t>
      </w:r>
      <w:bookmarkEnd w:id="4"/>
      <w:r w:rsidRPr="007D411D">
        <w:rPr>
          <w:rFonts w:ascii="Arial" w:eastAsia="Calibri" w:hAnsi="Arial" w:cs="Arial"/>
          <w:bCs/>
          <w:i/>
          <w:iCs/>
          <w:color w:val="000000" w:themeColor="text1"/>
        </w:rPr>
        <w:t>, en función del tamaño empresarial para la promoción del acceso de las MIPYMES al mercado de Compras Públicas»</w:t>
      </w:r>
      <w:r w:rsidRPr="00F26C31">
        <w:rPr>
          <w:rFonts w:ascii="Arial" w:eastAsia="Calibri" w:hAnsi="Arial" w:cs="Arial"/>
          <w:bCs/>
          <w:color w:val="000000" w:themeColor="text1"/>
        </w:rPr>
        <w:t xml:space="preserve">.  </w:t>
      </w:r>
    </w:p>
    <w:p w14:paraId="490A5DAD" w14:textId="77777777" w:rsidR="00EB5D63" w:rsidRPr="00F26C31" w:rsidRDefault="00EB5D63" w:rsidP="00EB5D63">
      <w:pPr>
        <w:tabs>
          <w:tab w:val="left" w:pos="709"/>
        </w:tabs>
        <w:spacing w:after="120" w:line="276" w:lineRule="auto"/>
        <w:jc w:val="both"/>
        <w:rPr>
          <w:rFonts w:ascii="Arial" w:eastAsia="Calibri" w:hAnsi="Arial" w:cs="Arial"/>
          <w:bCs/>
          <w:color w:val="000000" w:themeColor="text1"/>
        </w:rPr>
      </w:pPr>
      <w:r w:rsidRPr="00F26C31">
        <w:rPr>
          <w:rFonts w:ascii="Arial" w:eastAsia="Calibri" w:hAnsi="Arial" w:cs="Arial"/>
          <w:bCs/>
          <w:color w:val="000000" w:themeColor="text1"/>
        </w:rPr>
        <w:tab/>
        <w:t>Además, el inciso segundo y el parágrafo del artículo 31 de la Ley 2069 de 2020 disponen, respectivamente, que: «</w:t>
      </w:r>
      <w:r w:rsidRPr="00F26C31">
        <w:rPr>
          <w:rFonts w:ascii="Arial" w:eastAsia="Calibri" w:hAnsi="Arial" w:cs="Arial"/>
          <w:bCs/>
          <w:i/>
          <w:iCs/>
          <w:color w:val="000000" w:themeColor="text1"/>
        </w:rPr>
        <w:t>El Gobierno Nacional reglamentará la definición de los criterios diferenciales, sobre reglas objetivas [relacionadas con «requisitos diferenciales</w:t>
      </w:r>
      <w:r w:rsidRPr="00F26C31">
        <w:rPr>
          <w:rFonts w:ascii="Arial" w:eastAsia="Calibri" w:hAnsi="Arial" w:cs="Arial"/>
          <w:bCs/>
          <w:color w:val="000000" w:themeColor="text1"/>
        </w:rPr>
        <w:t>» y «puntajes adicionales»] que podrán implementar las Entidades Estatales» (Corchetes fuera de texto) y que «</w:t>
      </w:r>
      <w:r w:rsidRPr="00F26C31">
        <w:rPr>
          <w:rFonts w:ascii="Arial" w:eastAsia="Calibri" w:hAnsi="Arial" w:cs="Arial"/>
          <w:bCs/>
          <w:i/>
          <w:iCs/>
          <w:color w:val="000000" w:themeColor="text1"/>
        </w:rPr>
        <w:t>Dentro de los criterios diferenciales que reglamente el Gobierno Nacional se dará prioridad a la contratación de producción nacional sin perjuicio de los compromisos comerciales adquiridos con otros Estados</w:t>
      </w:r>
      <w:r w:rsidRPr="00F26C31">
        <w:rPr>
          <w:rFonts w:ascii="Arial" w:eastAsia="Calibri" w:hAnsi="Arial" w:cs="Arial"/>
          <w:bCs/>
          <w:color w:val="000000" w:themeColor="text1"/>
        </w:rPr>
        <w:t>». Es decir, esta norma requiere el desarrollo reglamentario como una condición previa para su aplicación.</w:t>
      </w:r>
    </w:p>
    <w:p w14:paraId="2DB88A5E" w14:textId="77777777" w:rsidR="00EB5D63" w:rsidRPr="00F26C31" w:rsidRDefault="00EB5D63" w:rsidP="00EB5D63">
      <w:pPr>
        <w:tabs>
          <w:tab w:val="left" w:pos="709"/>
        </w:tabs>
        <w:spacing w:line="276" w:lineRule="auto"/>
        <w:jc w:val="both"/>
        <w:rPr>
          <w:rFonts w:ascii="Arial" w:eastAsia="Calibri" w:hAnsi="Arial" w:cs="Arial"/>
          <w:bCs/>
          <w:color w:val="000000" w:themeColor="text1"/>
        </w:rPr>
      </w:pPr>
      <w:r w:rsidRPr="00F26C31">
        <w:rPr>
          <w:rFonts w:ascii="Arial" w:eastAsia="Calibri" w:hAnsi="Arial" w:cs="Arial"/>
          <w:bCs/>
          <w:color w:val="000000" w:themeColor="text1"/>
        </w:rPr>
        <w:tab/>
        <w:t>Por otra parte, el artículo 32 de la Ley 2069 de 2020</w:t>
      </w:r>
      <w:r w:rsidRPr="00F26C31">
        <w:rPr>
          <w:rStyle w:val="Refdenotaalpie"/>
          <w:rFonts w:ascii="Arial" w:eastAsia="Calibri" w:hAnsi="Arial" w:cs="Arial"/>
          <w:bCs/>
          <w:color w:val="000000" w:themeColor="text1"/>
        </w:rPr>
        <w:footnoteReference w:id="10"/>
      </w:r>
      <w:r w:rsidRPr="00F26C31">
        <w:rPr>
          <w:rFonts w:ascii="Arial" w:eastAsia="Calibri" w:hAnsi="Arial" w:cs="Arial"/>
          <w:bCs/>
          <w:color w:val="000000" w:themeColor="text1"/>
        </w:rPr>
        <w:t xml:space="preserve"> regula criterios diferenciales para los </w:t>
      </w:r>
      <w:r w:rsidRPr="007D411D">
        <w:rPr>
          <w:rFonts w:ascii="Arial" w:eastAsia="Calibri" w:hAnsi="Arial" w:cs="Arial"/>
          <w:bCs/>
          <w:i/>
          <w:iCs/>
          <w:color w:val="000000" w:themeColor="text1"/>
        </w:rPr>
        <w:t>«emprendimientos y empresas de mujeres»</w:t>
      </w:r>
      <w:r w:rsidRPr="00F26C31">
        <w:rPr>
          <w:rFonts w:ascii="Arial" w:eastAsia="Calibri" w:hAnsi="Arial" w:cs="Arial"/>
          <w:bCs/>
          <w:color w:val="000000" w:themeColor="text1"/>
        </w:rPr>
        <w:t xml:space="preserve"> en el sistema de compras y </w:t>
      </w:r>
      <w:r w:rsidRPr="00F26C31">
        <w:rPr>
          <w:rFonts w:ascii="Arial" w:eastAsia="Calibri" w:hAnsi="Arial" w:cs="Arial"/>
          <w:bCs/>
          <w:color w:val="000000" w:themeColor="text1"/>
        </w:rPr>
        <w:lastRenderedPageBreak/>
        <w:t xml:space="preserve">contratación pública. En relación con este aspecto, el inciso primero de la norma citada prescribe: </w:t>
      </w:r>
    </w:p>
    <w:p w14:paraId="1BA10DCB" w14:textId="77777777" w:rsidR="00EB5D63" w:rsidRPr="007D411D" w:rsidRDefault="00EB5D63" w:rsidP="00EB5D63">
      <w:pPr>
        <w:tabs>
          <w:tab w:val="left" w:pos="709"/>
        </w:tabs>
        <w:ind w:left="709" w:right="709"/>
        <w:jc w:val="both"/>
        <w:rPr>
          <w:rFonts w:ascii="Arial" w:hAnsi="Arial" w:cs="Arial"/>
          <w:color w:val="000000" w:themeColor="text1"/>
          <w:sz w:val="20"/>
          <w:szCs w:val="20"/>
        </w:rPr>
      </w:pPr>
      <w:r w:rsidRPr="007D411D">
        <w:rPr>
          <w:rFonts w:ascii="Arial" w:hAnsi="Arial" w:cs="Arial"/>
          <w:color w:val="000000" w:themeColor="text1"/>
          <w:sz w:val="20"/>
          <w:szCs w:val="20"/>
        </w:rPr>
        <w:t xml:space="preserve">«De acuerdo con el resultado del análisis del sector, las entidades estatales incluirán requisitos diferenciales y puntajes adicionales en los procesos de </w:t>
      </w:r>
      <w:bookmarkStart w:id="5" w:name="_Hlk63770487"/>
      <w:r w:rsidRPr="007D411D">
        <w:rPr>
          <w:rFonts w:ascii="Arial" w:hAnsi="Arial" w:cs="Arial"/>
          <w:color w:val="000000" w:themeColor="text1"/>
          <w:sz w:val="20"/>
          <w:szCs w:val="20"/>
        </w:rPr>
        <w:t>licitación pública, selección abreviada de menor cuantía y concurso de méritos</w:t>
      </w:r>
      <w:bookmarkEnd w:id="5"/>
      <w:r w:rsidRPr="007D411D">
        <w:rPr>
          <w:rFonts w:ascii="Arial" w:hAnsi="Arial" w:cs="Arial"/>
          <w:color w:val="000000" w:themeColor="text1"/>
          <w:sz w:val="20"/>
          <w:szCs w:val="20"/>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C9AEFD4" w14:textId="77777777" w:rsidR="00EB5D63" w:rsidRPr="00F26C31" w:rsidRDefault="00EB5D63" w:rsidP="00EB5D63">
      <w:pPr>
        <w:tabs>
          <w:tab w:val="left" w:pos="709"/>
        </w:tabs>
        <w:spacing w:after="120" w:line="276" w:lineRule="auto"/>
        <w:jc w:val="both"/>
        <w:rPr>
          <w:rFonts w:ascii="Arial" w:eastAsia="Calibri" w:hAnsi="Arial" w:cs="Arial"/>
          <w:bCs/>
          <w:color w:val="000000" w:themeColor="text1"/>
        </w:rPr>
      </w:pPr>
      <w:r w:rsidRPr="00F26C31">
        <w:rPr>
          <w:rFonts w:ascii="Arial" w:eastAsia="Calibri" w:hAnsi="Arial" w:cs="Arial"/>
          <w:bCs/>
          <w:color w:val="000000" w:themeColor="text1"/>
        </w:rPr>
        <w:tab/>
        <w:t>De esta manera, los denominados «</w:t>
      </w:r>
      <w:r w:rsidRPr="00F26C31">
        <w:rPr>
          <w:rFonts w:ascii="Arial" w:eastAsia="Calibri" w:hAnsi="Arial" w:cs="Arial"/>
          <w:bCs/>
          <w:i/>
          <w:iCs/>
          <w:color w:val="000000" w:themeColor="text1"/>
        </w:rPr>
        <w:t>criterios diferenciales</w:t>
      </w:r>
      <w:r w:rsidRPr="00F26C31">
        <w:rPr>
          <w:rFonts w:ascii="Arial" w:eastAsia="Calibri" w:hAnsi="Arial" w:cs="Arial"/>
          <w:bCs/>
          <w:color w:val="000000" w:themeColor="text1"/>
        </w:rPr>
        <w:t>» del artículo 32 ibidem –que incluyen tanto los «</w:t>
      </w:r>
      <w:r w:rsidRPr="00F26C31">
        <w:rPr>
          <w:rFonts w:ascii="Arial" w:eastAsia="Calibri" w:hAnsi="Arial" w:cs="Arial"/>
          <w:bCs/>
          <w:i/>
          <w:iCs/>
          <w:color w:val="000000" w:themeColor="text1"/>
        </w:rPr>
        <w:t>requisitos diferenciales</w:t>
      </w:r>
      <w:r w:rsidRPr="00F26C31">
        <w:rPr>
          <w:rFonts w:ascii="Arial" w:eastAsia="Calibri" w:hAnsi="Arial" w:cs="Arial"/>
          <w:bCs/>
          <w:color w:val="000000" w:themeColor="text1"/>
        </w:rPr>
        <w:t>» como los «</w:t>
      </w:r>
      <w:r w:rsidRPr="00F26C31">
        <w:rPr>
          <w:rFonts w:ascii="Arial" w:eastAsia="Calibri" w:hAnsi="Arial" w:cs="Arial"/>
          <w:bCs/>
          <w:i/>
          <w:iCs/>
          <w:color w:val="000000" w:themeColor="text1"/>
        </w:rPr>
        <w:t>puntajes adicionales</w:t>
      </w:r>
      <w:r w:rsidRPr="00F26C31">
        <w:rPr>
          <w:rFonts w:ascii="Arial" w:eastAsia="Calibri" w:hAnsi="Arial" w:cs="Arial"/>
          <w:bCs/>
          <w:color w:val="000000" w:themeColor="text1"/>
        </w:rPr>
        <w:t xml:space="preserve">»– aplican a «[…] </w:t>
      </w:r>
      <w:r w:rsidRPr="00F26C31">
        <w:rPr>
          <w:rFonts w:ascii="Arial" w:eastAsia="Calibri" w:hAnsi="Arial" w:cs="Arial"/>
          <w:bCs/>
          <w:i/>
          <w:iCs/>
          <w:color w:val="000000" w:themeColor="text1"/>
        </w:rPr>
        <w:t>los procesos de licitación pública, selección abreviada de menor cuantía y concurso de méritos</w:t>
      </w:r>
      <w:r w:rsidRPr="00F26C31">
        <w:rPr>
          <w:rFonts w:ascii="Arial" w:eastAsia="Calibri" w:hAnsi="Arial" w:cs="Arial"/>
          <w:bCs/>
          <w:color w:val="000000" w:themeColor="text1"/>
        </w:rPr>
        <w:t xml:space="preserve">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EEF4BA5" w14:textId="77777777" w:rsidR="00EB5D63" w:rsidRPr="00F26C31" w:rsidRDefault="00EB5D63" w:rsidP="00EB5D63">
      <w:pPr>
        <w:spacing w:before="120" w:after="120" w:line="276" w:lineRule="auto"/>
        <w:ind w:firstLine="709"/>
        <w:jc w:val="both"/>
        <w:rPr>
          <w:rFonts w:ascii="Arial" w:eastAsia="Calibri" w:hAnsi="Arial" w:cs="Arial"/>
          <w:color w:val="000000" w:themeColor="text1"/>
          <w:lang w:val="es-ES_tradnl"/>
        </w:rPr>
      </w:pPr>
      <w:r w:rsidRPr="00F26C31">
        <w:rPr>
          <w:rFonts w:ascii="Arial" w:eastAsia="Calibri" w:hAnsi="Arial" w:cs="Arial"/>
          <w:bCs/>
          <w:color w:val="000000" w:themeColor="text1"/>
        </w:rPr>
        <w:t>No obstante, el artículo 32 de la Ley 2069 de 2020 –al igual que el artículo 31– alude a la necesidad del desarrollo normativo posterior. Al respecto, el parágrafo dispone que «</w:t>
      </w:r>
      <w:r w:rsidRPr="00F26C31">
        <w:rPr>
          <w:rFonts w:ascii="Arial" w:eastAsia="Calibri" w:hAnsi="Arial" w:cs="Arial"/>
          <w:bCs/>
          <w:i/>
          <w:iCs/>
          <w:color w:val="000000" w:themeColor="text1"/>
        </w:rPr>
        <w:t>La definición de emprendimientos y empresas de mujeres se reglamentará por el gobierno nacional</w:t>
      </w:r>
      <w:r w:rsidRPr="00F26C31">
        <w:rPr>
          <w:rFonts w:ascii="Arial" w:eastAsia="Calibri" w:hAnsi="Arial" w:cs="Arial"/>
          <w:bCs/>
          <w:color w:val="000000" w:themeColor="text1"/>
        </w:rPr>
        <w:t xml:space="preserve">».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establecidos en el artículo 32 de la Ley 2069 de 2020. </w:t>
      </w:r>
    </w:p>
    <w:p w14:paraId="2D35B230" w14:textId="77777777" w:rsidR="00EB5D63" w:rsidRPr="00F26C31" w:rsidRDefault="00EB5D63" w:rsidP="00EB5D63">
      <w:pPr>
        <w:spacing w:after="120" w:line="276" w:lineRule="auto"/>
        <w:jc w:val="both"/>
        <w:rPr>
          <w:rFonts w:ascii="Arial" w:eastAsia="Calibri" w:hAnsi="Arial" w:cs="Arial"/>
          <w:color w:val="000000" w:themeColor="text1"/>
          <w:lang w:val="es-ES_tradnl"/>
        </w:rPr>
      </w:pPr>
      <w:r w:rsidRPr="00F26C31">
        <w:rPr>
          <w:rFonts w:ascii="Arial" w:eastAsia="Calibri" w:hAnsi="Arial" w:cs="Arial"/>
          <w:b/>
          <w:bCs/>
          <w:color w:val="000000" w:themeColor="text1"/>
          <w:lang w:val="es-ES_tradnl"/>
        </w:rPr>
        <w:tab/>
      </w:r>
      <w:r w:rsidRPr="00F26C31">
        <w:rPr>
          <w:rFonts w:ascii="Arial" w:eastAsia="Arial" w:hAnsi="Arial" w:cs="Arial"/>
          <w:szCs w:val="24"/>
          <w:lang w:val="es-ES" w:eastAsia="es-CO"/>
        </w:rPr>
        <w:t xml:space="preserve">Con fundamento en lo anterior, el Gobierno Nacional expidió </w:t>
      </w:r>
      <w:r w:rsidRPr="00F26C31">
        <w:rPr>
          <w:rFonts w:ascii="Arial" w:eastAsia="Calibri" w:hAnsi="Arial" w:cs="Arial"/>
          <w:color w:val="000000" w:themeColor="text1"/>
          <w:lang w:val="es-ES_tradnl"/>
        </w:rPr>
        <w:t>el Decreto 1860 de 2021</w:t>
      </w:r>
      <w:r w:rsidRPr="00F26C31">
        <w:rPr>
          <w:rFonts w:ascii="Arial" w:hAnsi="Arial" w:cs="Arial"/>
          <w:color w:val="000000" w:themeColor="text1"/>
        </w:rPr>
        <w:t xml:space="preserve"> </w:t>
      </w:r>
      <w:r w:rsidRPr="00F26C31">
        <w:rPr>
          <w:rFonts w:ascii="Arial" w:eastAsia="Calibri" w:hAnsi="Arial" w:cs="Arial"/>
          <w:color w:val="000000" w:themeColor="text1"/>
          <w:lang w:val="es-ES_tradnl"/>
        </w:rPr>
        <w:t>«</w:t>
      </w:r>
      <w:r w:rsidRPr="00F26C31">
        <w:rPr>
          <w:rFonts w:ascii="Arial" w:hAnsi="Arial" w:cs="Arial"/>
          <w:i/>
          <w:iCs/>
          <w:color w:val="000000" w:themeColor="text1"/>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F26C31">
        <w:rPr>
          <w:rFonts w:ascii="Arial" w:eastAsia="Calibri" w:hAnsi="Arial" w:cs="Arial"/>
          <w:color w:val="000000" w:themeColor="text1"/>
          <w:lang w:val="es-ES_tradnl"/>
        </w:rPr>
        <w:t>».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F26C31">
        <w:rPr>
          <w:rStyle w:val="Refdenotaalpie"/>
          <w:rFonts w:ascii="Arial" w:eastAsia="Calibri" w:hAnsi="Arial" w:cs="Arial"/>
          <w:color w:val="000000" w:themeColor="text1"/>
          <w:lang w:val="es-ES_tradnl"/>
        </w:rPr>
        <w:footnoteReference w:id="11"/>
      </w:r>
      <w:r w:rsidRPr="00F26C31">
        <w:rPr>
          <w:rFonts w:ascii="Arial" w:eastAsia="Calibri" w:hAnsi="Arial" w:cs="Arial"/>
          <w:color w:val="000000" w:themeColor="text1"/>
          <w:lang w:val="es-ES_tradnl"/>
        </w:rPr>
        <w:t xml:space="preserve">.  </w:t>
      </w:r>
    </w:p>
    <w:p w14:paraId="0001AC97" w14:textId="4983EC6A" w:rsidR="00EB5D63" w:rsidRPr="00F26C31" w:rsidRDefault="00EB5D63" w:rsidP="00EB5D63">
      <w:pPr>
        <w:spacing w:after="120" w:line="276" w:lineRule="auto"/>
        <w:jc w:val="both"/>
        <w:rPr>
          <w:rFonts w:ascii="Arial" w:hAnsi="Arial" w:cs="Arial"/>
          <w:color w:val="000000" w:themeColor="text1"/>
          <w:lang w:eastAsia="es-CO"/>
        </w:rPr>
      </w:pPr>
      <w:r w:rsidRPr="00F26C31">
        <w:rPr>
          <w:rFonts w:ascii="Arial" w:eastAsia="Calibri" w:hAnsi="Arial" w:cs="Arial"/>
          <w:color w:val="000000" w:themeColor="text1"/>
          <w:lang w:val="es-ES_tradnl"/>
        </w:rPr>
        <w:lastRenderedPageBreak/>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w:t>
      </w:r>
      <w:r w:rsidR="001925B7" w:rsidRPr="0053743D">
        <w:rPr>
          <w:rFonts w:ascii="Arial" w:eastAsia="Calibri" w:hAnsi="Arial" w:cs="Arial"/>
          <w:bCs/>
          <w:i/>
          <w:iCs/>
        </w:rPr>
        <w:t>«</w:t>
      </w:r>
      <w:r w:rsidRPr="00F26C31">
        <w:rPr>
          <w:rFonts w:ascii="Arial" w:eastAsia="Calibri" w:hAnsi="Arial" w:cs="Arial"/>
          <w:color w:val="000000" w:themeColor="text1"/>
          <w:lang w:val="es-ES_tradnl"/>
        </w:rPr>
        <w:t xml:space="preserve">emprendimientos y empresas de mujeres, mientras que la segunda establece los criterios diferenciales y regula su aplicación. </w:t>
      </w:r>
    </w:p>
    <w:p w14:paraId="5B46C577" w14:textId="77777777" w:rsidR="00EB5D63" w:rsidRPr="00F26C31" w:rsidRDefault="00EB5D63" w:rsidP="00EB5D63">
      <w:pPr>
        <w:spacing w:after="0" w:line="276" w:lineRule="auto"/>
        <w:ind w:firstLine="709"/>
        <w:jc w:val="both"/>
        <w:rPr>
          <w:rFonts w:ascii="Arial" w:eastAsia="Arial" w:hAnsi="Arial" w:cs="Arial"/>
          <w:lang w:val="es-ES" w:eastAsia="es-CO"/>
        </w:rPr>
      </w:pPr>
      <w:r w:rsidRPr="00F26C31">
        <w:rPr>
          <w:rFonts w:ascii="Arial" w:eastAsia="Times New Roman" w:hAnsi="Arial" w:cs="Arial"/>
          <w:szCs w:val="24"/>
          <w:lang w:eastAsia="es-MX"/>
        </w:rPr>
        <w:t>Ahora bien, para aplicar las disposiciones contenidas en el Decreto 1860 de 2021, el artículo 8</w:t>
      </w:r>
      <w:r w:rsidRPr="00F26C31">
        <w:rPr>
          <w:rStyle w:val="Refdenotaalpie"/>
          <w:rFonts w:ascii="Arial" w:eastAsia="Times New Roman" w:hAnsi="Arial" w:cs="Arial"/>
          <w:szCs w:val="24"/>
          <w:lang w:eastAsia="es-MX"/>
        </w:rPr>
        <w:footnoteReference w:id="12"/>
      </w:r>
      <w:r w:rsidRPr="00F26C31">
        <w:rPr>
          <w:rFonts w:ascii="Arial" w:eastAsia="Times New Roman" w:hAnsi="Arial" w:cs="Arial"/>
          <w:szCs w:val="24"/>
          <w:lang w:eastAsia="es-MX"/>
        </w:rPr>
        <w:t xml:space="preserve"> indicó el momento a partir del cual sus disposiciones surtirían efectos.</w:t>
      </w:r>
      <w:r w:rsidRPr="00F26C31">
        <w:rPr>
          <w:rFonts w:ascii="Arial" w:eastAsia="Calibri" w:hAnsi="Arial" w:cs="Arial"/>
        </w:rPr>
        <w:t xml:space="preserve"> De esta forma, se estableció que estas </w:t>
      </w:r>
      <w:r w:rsidRPr="00F26C31">
        <w:rPr>
          <w:rFonts w:ascii="Arial" w:eastAsia="Arial" w:hAnsi="Arial" w:cs="Arial"/>
          <w:lang w:val="es-ES" w:eastAsia="es-CO"/>
        </w:rPr>
        <w:t>aplicarán a los procesos de selección cuya invitación, aviso de convocatoria o documento equivalente –según corresponda–, se publique después de los tres (3) meses de su expedición</w:t>
      </w:r>
      <w:r w:rsidRPr="00F26C31">
        <w:rPr>
          <w:rFonts w:ascii="Arial" w:hAnsi="Arial" w:cs="Arial"/>
          <w:color w:val="000000" w:themeColor="text1"/>
          <w:lang w:eastAsia="es-CO"/>
        </w:rPr>
        <w:t>, es decir, a partir del 24 de marzo de 2022, por lo que actualmente esta es la regulación vigente</w:t>
      </w:r>
      <w:r w:rsidRPr="00F26C31">
        <w:rPr>
          <w:rFonts w:ascii="Arial" w:eastAsia="Arial" w:hAnsi="Arial" w:cs="Arial"/>
          <w:lang w:val="es-ES" w:eastAsia="es-CO"/>
        </w:rPr>
        <w:t xml:space="preserve">. </w:t>
      </w:r>
    </w:p>
    <w:p w14:paraId="4512514E" w14:textId="77777777" w:rsidR="00EB5D63" w:rsidRPr="00F26C31" w:rsidRDefault="00EB5D63" w:rsidP="00EB5D63">
      <w:pPr>
        <w:spacing w:after="0" w:line="276" w:lineRule="auto"/>
        <w:ind w:firstLine="709"/>
        <w:contextualSpacing/>
        <w:jc w:val="both"/>
        <w:rPr>
          <w:rFonts w:ascii="Arial" w:hAnsi="Arial" w:cs="Arial"/>
          <w:color w:val="000000" w:themeColor="text1"/>
          <w:lang w:eastAsia="es-CO"/>
        </w:rPr>
      </w:pPr>
    </w:p>
    <w:p w14:paraId="5534B4D5" w14:textId="77777777" w:rsidR="00EB5D63" w:rsidRPr="00F26C31" w:rsidRDefault="00EB5D63" w:rsidP="00EB5D63">
      <w:pPr>
        <w:spacing w:after="120"/>
        <w:jc w:val="both"/>
        <w:rPr>
          <w:rFonts w:ascii="Arial" w:eastAsia="Calibri" w:hAnsi="Arial" w:cs="Arial"/>
          <w:b/>
          <w:bCs/>
        </w:rPr>
      </w:pPr>
      <w:r w:rsidRPr="00F26C31">
        <w:rPr>
          <w:rFonts w:ascii="Arial" w:eastAsia="Calibri" w:hAnsi="Arial" w:cs="Arial"/>
          <w:b/>
          <w:bCs/>
        </w:rPr>
        <w:t>2.2. Régimen jurídico de los criterios</w:t>
      </w:r>
      <w:r w:rsidRPr="00F26C31">
        <w:rPr>
          <w:rFonts w:ascii="Arial" w:eastAsia="Calibri" w:hAnsi="Arial" w:cs="Arial"/>
          <w:b/>
          <w:bCs/>
          <w:lang w:val="es-ES"/>
        </w:rPr>
        <w:t xml:space="preserve"> diferenciales para </w:t>
      </w:r>
      <w:r w:rsidRPr="00F26C31">
        <w:rPr>
          <w:rFonts w:ascii="Arial" w:eastAsia="Calibri" w:hAnsi="Arial" w:cs="Arial"/>
          <w:b/>
          <w:bCs/>
        </w:rPr>
        <w:t>emprendimientos y empresas de mujeres</w:t>
      </w:r>
    </w:p>
    <w:p w14:paraId="620A41CB" w14:textId="77777777" w:rsidR="00EB5D63" w:rsidRPr="00F26C31" w:rsidRDefault="00EB5D63" w:rsidP="00EB5D63">
      <w:pPr>
        <w:spacing w:after="120"/>
        <w:jc w:val="both"/>
        <w:rPr>
          <w:rFonts w:ascii="Arial" w:eastAsia="Calibri" w:hAnsi="Arial" w:cs="Arial"/>
          <w:bCs/>
        </w:rPr>
      </w:pPr>
      <w:r w:rsidRPr="00F26C31">
        <w:rPr>
          <w:rFonts w:ascii="Arial" w:eastAsia="Calibri" w:hAnsi="Arial" w:cs="Arial"/>
          <w:bCs/>
        </w:rPr>
        <w:t xml:space="preserve">Los criterios diferenciales para los </w:t>
      </w:r>
      <w:r w:rsidRPr="007D411D">
        <w:rPr>
          <w:rFonts w:ascii="Arial" w:eastAsia="Calibri" w:hAnsi="Arial" w:cs="Arial"/>
          <w:bCs/>
          <w:i/>
          <w:iCs/>
        </w:rPr>
        <w:t>«emprendimientos y empresas de mujeres</w:t>
      </w:r>
      <w:bookmarkStart w:id="6" w:name="_Hlk119572831"/>
      <w:r w:rsidRPr="007D411D">
        <w:rPr>
          <w:rFonts w:ascii="Arial" w:eastAsia="Calibri" w:hAnsi="Arial" w:cs="Arial"/>
          <w:bCs/>
          <w:i/>
          <w:iCs/>
        </w:rPr>
        <w:t>»</w:t>
      </w:r>
      <w:bookmarkEnd w:id="6"/>
      <w:r w:rsidRPr="00F26C31">
        <w:rPr>
          <w:rFonts w:ascii="Arial" w:eastAsia="Calibri" w:hAnsi="Arial" w:cs="Arial"/>
          <w:bCs/>
        </w:rPr>
        <w:t xml:space="preserve"> en el sistema de compras y contratación pública incluyen tanto los «</w:t>
      </w:r>
      <w:r w:rsidRPr="00F26C31">
        <w:rPr>
          <w:rFonts w:ascii="Arial" w:eastAsia="Calibri" w:hAnsi="Arial" w:cs="Arial"/>
          <w:bCs/>
          <w:i/>
          <w:iCs/>
        </w:rPr>
        <w:t>requisitos diferenciales</w:t>
      </w:r>
      <w:r w:rsidRPr="00F26C31">
        <w:rPr>
          <w:rFonts w:ascii="Arial" w:eastAsia="Calibri" w:hAnsi="Arial" w:cs="Arial"/>
          <w:bCs/>
        </w:rPr>
        <w:t>» como los «</w:t>
      </w:r>
      <w:r w:rsidRPr="00F26C31">
        <w:rPr>
          <w:rFonts w:ascii="Arial" w:eastAsia="Calibri" w:hAnsi="Arial" w:cs="Arial"/>
          <w:bCs/>
          <w:i/>
          <w:iCs/>
        </w:rPr>
        <w:t>puntajes adicionales</w:t>
      </w:r>
      <w:r w:rsidRPr="00F26C31">
        <w:rPr>
          <w:rFonts w:ascii="Arial" w:eastAsia="Calibri" w:hAnsi="Arial" w:cs="Arial"/>
          <w:bCs/>
        </w:rPr>
        <w:t xml:space="preserve">» y aplican, sin distinciones ulteriores, a todos los procedimientos que realicen las entidades estatales incluidas y excluidas de la Ley 80 de 1993.      </w:t>
      </w:r>
    </w:p>
    <w:p w14:paraId="3E8AF099" w14:textId="77777777" w:rsidR="00EB5D63" w:rsidRPr="00F26C31" w:rsidRDefault="00EB5D63" w:rsidP="00EB5D63">
      <w:pPr>
        <w:spacing w:after="120"/>
        <w:ind w:firstLine="708"/>
        <w:jc w:val="both"/>
        <w:rPr>
          <w:rFonts w:ascii="Arial" w:eastAsia="Calibri" w:hAnsi="Arial" w:cs="Arial"/>
          <w:lang w:val="es-ES"/>
        </w:rPr>
      </w:pPr>
      <w:r w:rsidRPr="00F26C31">
        <w:rPr>
          <w:rFonts w:ascii="Arial" w:eastAsia="Calibri" w:hAnsi="Arial" w:cs="Arial"/>
          <w:lang w:val="es-ES"/>
        </w:rPr>
        <w:t xml:space="preserve">Frente a los </w:t>
      </w:r>
      <w:r w:rsidRPr="00F26C31">
        <w:rPr>
          <w:rFonts w:ascii="Arial" w:eastAsia="Calibri" w:hAnsi="Arial" w:cs="Arial"/>
          <w:i/>
          <w:iCs/>
          <w:lang w:val="es-ES"/>
        </w:rPr>
        <w:t>requisitos habilitantes,</w:t>
      </w:r>
      <w:r w:rsidRPr="00F26C31">
        <w:rPr>
          <w:rFonts w:ascii="Arial" w:eastAsia="Calibri" w:hAnsi="Arial" w:cs="Arial"/>
          <w:lang w:val="es-ES"/>
        </w:rPr>
        <w:t xml:space="preserve"> se definen como aquellas exigencias de participación en los procedimientos de selección, establecidas ya sea (i) en disposiciones normativas, bien sean de carácter legal o reglamentario-; o (</w:t>
      </w:r>
      <w:proofErr w:type="spellStart"/>
      <w:r w:rsidRPr="00F26C31">
        <w:rPr>
          <w:rFonts w:ascii="Arial" w:eastAsia="Calibri" w:hAnsi="Arial" w:cs="Arial"/>
          <w:lang w:val="es-ES"/>
        </w:rPr>
        <w:t>ii</w:t>
      </w:r>
      <w:proofErr w:type="spellEnd"/>
      <w:r w:rsidRPr="00F26C31">
        <w:rPr>
          <w:rFonts w:ascii="Arial" w:eastAsia="Calibri" w:hAnsi="Arial" w:cs="Arial"/>
          <w:lang w:val="es-ES"/>
        </w:rPr>
        <w:t xml:space="preserve">) en el acto administrativo que regula las reglas de la convocatoria, es decir, en el pliego de condiciones o el documento </w:t>
      </w:r>
      <w:r w:rsidRPr="00F26C31">
        <w:rPr>
          <w:rFonts w:ascii="Arial" w:eastAsia="Calibri" w:hAnsi="Arial" w:cs="Arial"/>
          <w:lang w:val="es-ES"/>
        </w:rPr>
        <w:lastRenderedPageBreak/>
        <w:t>equivalente a este. Constituyen los requerimientos mínimos con los que deben cumplir los proponentes para poder participar en el procedimiento de selección, razón por la cual los mismos no se valoran con un puntaje tendiente a determinar el orden de escogencia, sino que se analizan como criterios previos a la evaluación en sentido estricto. Quienes no los reúnan no pueden continuar en el procedimiento de selección y, por ende, incurren en causal de rechazo. Esto sin perjuicio del derecho que tienen los oferentes de subsanar los defectos que se presenten en la prueba de tales requisitos, de conformidad con el artículo 5, parágrafos 1º al 4º, de la Ley 1150 de 2007.</w:t>
      </w:r>
      <w:r w:rsidRPr="00F26C31">
        <w:rPr>
          <w:rFonts w:ascii="Arial" w:eastAsia="Calibri" w:hAnsi="Arial" w:cs="Arial"/>
        </w:rPr>
        <w:t> </w:t>
      </w:r>
    </w:p>
    <w:p w14:paraId="733CEDFA" w14:textId="77777777" w:rsidR="00EB5D63" w:rsidRPr="00F26C31" w:rsidRDefault="00EB5D63" w:rsidP="00EB5D63">
      <w:pPr>
        <w:tabs>
          <w:tab w:val="left" w:pos="426"/>
        </w:tabs>
        <w:spacing w:after="120"/>
        <w:jc w:val="both"/>
        <w:rPr>
          <w:rFonts w:ascii="Arial" w:hAnsi="Arial" w:cs="Arial"/>
          <w:shd w:val="clear" w:color="auto" w:fill="FFFFFF"/>
        </w:rPr>
      </w:pPr>
      <w:r w:rsidRPr="00F26C31">
        <w:rPr>
          <w:rFonts w:ascii="Arial" w:hAnsi="Arial" w:cs="Arial"/>
          <w:shd w:val="clear" w:color="auto" w:fill="FFFFFF"/>
        </w:rPr>
        <w:tab/>
      </w:r>
      <w:r w:rsidRPr="00F26C31">
        <w:rPr>
          <w:rFonts w:ascii="Arial" w:hAnsi="Arial" w:cs="Arial"/>
          <w:shd w:val="clear" w:color="auto" w:fill="FFFFFF"/>
        </w:rPr>
        <w:tab/>
      </w:r>
      <w:r w:rsidRPr="00F26C31">
        <w:rPr>
          <w:rFonts w:ascii="Arial" w:hAnsi="Arial" w:cs="Arial"/>
          <w:shd w:val="clear" w:color="auto" w:fill="FFFFFF"/>
          <w:lang w:val="es-ES"/>
        </w:rPr>
        <w:t>En ese sentido, si bien la Ley 1150 de 2007 estableció unos requisitos habilitantes para los proponentes –la capacidad jurídica, las condiciones de experiencia, la capacidad financiera y la capacidad de organización–, estos no son taxativos. Corresponde a las entidades estatales, durante la etapa de planeación del contrato estatal, estudiar y determinar los requisitos habilitantes que establecerán en los pliegos de condiciones, los cuales deben fijarse de forma adecuada y proporcional</w:t>
      </w:r>
      <w:r w:rsidRPr="00F26C31">
        <w:rPr>
          <w:rFonts w:ascii="Arial" w:hAnsi="Arial" w:cs="Arial"/>
          <w:shd w:val="clear" w:color="auto" w:fill="FFFFFF"/>
          <w:vertAlign w:val="superscript"/>
          <w:lang w:val="es-ES"/>
        </w:rPr>
        <w:footnoteReference w:id="13"/>
      </w:r>
      <w:r w:rsidRPr="00F26C31">
        <w:rPr>
          <w:rFonts w:ascii="Arial" w:hAnsi="Arial" w:cs="Arial"/>
          <w:shd w:val="clear" w:color="auto" w:fill="FFFFFF"/>
          <w:lang w:val="es-ES"/>
        </w:rPr>
        <w:t>.</w:t>
      </w:r>
      <w:r w:rsidRPr="00F26C31">
        <w:rPr>
          <w:rFonts w:ascii="Arial" w:hAnsi="Arial" w:cs="Arial"/>
          <w:shd w:val="clear" w:color="auto" w:fill="FFFFFF"/>
        </w:rPr>
        <w:t> </w:t>
      </w:r>
    </w:p>
    <w:p w14:paraId="03828C35" w14:textId="754760C2" w:rsidR="00EB5D63" w:rsidRPr="00F26C31" w:rsidRDefault="00EB5D63" w:rsidP="00EB5D63">
      <w:pPr>
        <w:tabs>
          <w:tab w:val="left" w:pos="426"/>
        </w:tabs>
        <w:spacing w:after="120"/>
        <w:jc w:val="both"/>
        <w:rPr>
          <w:rFonts w:ascii="Arial" w:hAnsi="Arial" w:cs="Arial"/>
          <w:shd w:val="clear" w:color="auto" w:fill="FFFFFF"/>
        </w:rPr>
      </w:pPr>
      <w:r w:rsidRPr="00F26C31">
        <w:rPr>
          <w:rFonts w:ascii="Arial" w:hAnsi="Arial" w:cs="Arial"/>
          <w:shd w:val="clear" w:color="auto" w:fill="FFFFFF"/>
        </w:rPr>
        <w:tab/>
      </w:r>
      <w:r w:rsidRPr="00F26C31">
        <w:rPr>
          <w:rFonts w:ascii="Arial" w:hAnsi="Arial" w:cs="Arial"/>
          <w:shd w:val="clear" w:color="auto" w:fill="FFFFFF"/>
        </w:rPr>
        <w:tab/>
      </w:r>
      <w:r w:rsidRPr="00F26C31">
        <w:rPr>
          <w:rFonts w:ascii="Arial" w:hAnsi="Arial" w:cs="Arial"/>
          <w:shd w:val="clear" w:color="auto" w:fill="FFFFFF"/>
          <w:lang w:val="es-ES"/>
        </w:rPr>
        <w:t>El Decreto 1082 de 2015 en su artículo 2.2.1.1.1.6.2 reglamenta los requisitos habilitantes, estableciendo que estos deben ser señalados en los pliegos de condiciones o en la invitación</w:t>
      </w:r>
      <w:r w:rsidRPr="00F26C31">
        <w:rPr>
          <w:rFonts w:ascii="Arial" w:hAnsi="Arial" w:cs="Arial"/>
          <w:shd w:val="clear" w:color="auto" w:fill="FFFFFF"/>
          <w:vertAlign w:val="superscript"/>
          <w:lang w:val="es-ES"/>
        </w:rPr>
        <w:footnoteReference w:id="14"/>
      </w:r>
      <w:r w:rsidRPr="00F26C31">
        <w:rPr>
          <w:rFonts w:ascii="Arial" w:hAnsi="Arial" w:cs="Arial"/>
          <w:shd w:val="clear" w:color="auto" w:fill="FFFFFF"/>
          <w:lang w:val="es-ES"/>
        </w:rPr>
        <w:t xml:space="preserve">, y que la determinación de estos debe ser realizada en función de criterios como el riesgo del </w:t>
      </w:r>
      <w:r w:rsidR="00BB4F37">
        <w:rPr>
          <w:rFonts w:ascii="Arial" w:hAnsi="Arial" w:cs="Arial"/>
          <w:shd w:val="clear" w:color="auto" w:fill="FFFFFF"/>
          <w:lang w:val="es-ES"/>
        </w:rPr>
        <w:t>Proceso de Contratación</w:t>
      </w:r>
      <w:r w:rsidRPr="00F26C31">
        <w:rPr>
          <w:rFonts w:ascii="Arial" w:hAnsi="Arial" w:cs="Arial"/>
          <w:shd w:val="clear" w:color="auto" w:fill="FFFFFF"/>
          <w:lang w:val="es-ES"/>
        </w:rPr>
        <w:t xml:space="preserve">, el valor del contrato, el análisis del sector económico respectivo y el conocimiento de fondo de los posibles oferentes desde la perspectiva comercial. En ese sentido, las entidades estatales son autónomas para definir los requisitos habilitantes, pero tal facultad debe ser ejercida procurando diseñar condiciones habilitantes de manera objetiva, de suerte que estas sirvan para determinar si los participantes del </w:t>
      </w:r>
      <w:r w:rsidR="00BB4F37">
        <w:rPr>
          <w:rFonts w:ascii="Arial" w:hAnsi="Arial" w:cs="Arial"/>
          <w:shd w:val="clear" w:color="auto" w:fill="FFFFFF"/>
          <w:lang w:val="es-ES"/>
        </w:rPr>
        <w:t>Proceso de Contratación</w:t>
      </w:r>
      <w:r w:rsidRPr="00F26C31">
        <w:rPr>
          <w:rFonts w:ascii="Arial" w:hAnsi="Arial" w:cs="Arial"/>
          <w:shd w:val="clear" w:color="auto" w:fill="FFFFFF"/>
          <w:lang w:val="es-ES"/>
        </w:rPr>
        <w:t xml:space="preserve"> cuentan con las capacidades que los hacen aptos para ejecutar el objeto contractual.</w:t>
      </w:r>
      <w:r w:rsidRPr="00F26C31">
        <w:rPr>
          <w:rFonts w:ascii="Arial" w:hAnsi="Arial" w:cs="Arial"/>
          <w:shd w:val="clear" w:color="auto" w:fill="FFFFFF"/>
        </w:rPr>
        <w:t> </w:t>
      </w:r>
    </w:p>
    <w:p w14:paraId="42496E73" w14:textId="4E57F9F2" w:rsidR="00EB5D63" w:rsidRPr="00F26C31" w:rsidRDefault="00EB5D63" w:rsidP="00EB5D63">
      <w:pPr>
        <w:tabs>
          <w:tab w:val="left" w:pos="426"/>
        </w:tabs>
        <w:spacing w:after="120"/>
        <w:jc w:val="both"/>
        <w:rPr>
          <w:rFonts w:ascii="Arial" w:hAnsi="Arial" w:cs="Arial"/>
          <w:shd w:val="clear" w:color="auto" w:fill="FFFFFF"/>
        </w:rPr>
      </w:pPr>
      <w:r w:rsidRPr="00F26C31">
        <w:rPr>
          <w:rFonts w:ascii="Arial" w:hAnsi="Arial" w:cs="Arial"/>
          <w:shd w:val="clear" w:color="auto" w:fill="FFFFFF"/>
        </w:rPr>
        <w:tab/>
      </w:r>
      <w:r w:rsidRPr="00F26C31">
        <w:rPr>
          <w:rFonts w:ascii="Arial" w:hAnsi="Arial" w:cs="Arial"/>
          <w:shd w:val="clear" w:color="auto" w:fill="FFFFFF"/>
        </w:rPr>
        <w:tab/>
      </w:r>
      <w:r w:rsidRPr="00F26C31">
        <w:rPr>
          <w:rFonts w:ascii="Arial" w:hAnsi="Arial" w:cs="Arial"/>
          <w:shd w:val="clear" w:color="auto" w:fill="FFFFFF"/>
          <w:lang w:val="es-ES"/>
        </w:rPr>
        <w:t xml:space="preserve">Ahora bien, conforme se viene explicando, los artículos 31 y 32 de la Ley 2069 de 2021 introducen la posibilidad en cabeza de las entidades estatales de incluir requisitos diferenciales y puntajes adicionales para </w:t>
      </w:r>
      <w:r w:rsidR="00DB66F9" w:rsidRPr="00F26C31">
        <w:rPr>
          <w:rFonts w:ascii="Arial" w:hAnsi="Arial" w:cs="Arial"/>
          <w:shd w:val="clear" w:color="auto" w:fill="FFFFFF"/>
          <w:lang w:val="es-ES"/>
        </w:rPr>
        <w:t>MiPymes</w:t>
      </w:r>
      <w:r w:rsidRPr="00F26C31">
        <w:rPr>
          <w:rFonts w:ascii="Arial" w:hAnsi="Arial" w:cs="Arial"/>
          <w:shd w:val="clear" w:color="auto" w:fill="FFFFFF"/>
          <w:lang w:val="es-ES"/>
        </w:rPr>
        <w:t xml:space="preserve"> y para </w:t>
      </w:r>
      <w:r w:rsidR="001925B7" w:rsidRPr="001925B7">
        <w:rPr>
          <w:rFonts w:ascii="Arial" w:eastAsia="Calibri" w:hAnsi="Arial" w:cs="Arial"/>
          <w:bCs/>
          <w:i/>
          <w:iCs/>
        </w:rPr>
        <w:t>«</w:t>
      </w:r>
      <w:r w:rsidRPr="007D411D">
        <w:rPr>
          <w:rFonts w:ascii="Arial" w:hAnsi="Arial" w:cs="Arial"/>
          <w:i/>
          <w:iCs/>
          <w:shd w:val="clear" w:color="auto" w:fill="FFFFFF"/>
          <w:lang w:val="es-ES"/>
        </w:rPr>
        <w:t>emprendimientos y empresas de mujeres</w:t>
      </w:r>
      <w:r w:rsidR="001925B7" w:rsidRPr="001925B7">
        <w:rPr>
          <w:rFonts w:ascii="Arial" w:eastAsia="Calibri" w:hAnsi="Arial" w:cs="Arial"/>
          <w:bCs/>
          <w:i/>
          <w:iCs/>
        </w:rPr>
        <w:t>»</w:t>
      </w:r>
      <w:r w:rsidRPr="007D411D">
        <w:rPr>
          <w:rFonts w:ascii="Arial" w:hAnsi="Arial" w:cs="Arial"/>
          <w:i/>
          <w:iCs/>
          <w:shd w:val="clear" w:color="auto" w:fill="FFFFFF"/>
          <w:lang w:val="es-ES"/>
        </w:rPr>
        <w:t>.</w:t>
      </w:r>
      <w:r w:rsidRPr="00F26C31">
        <w:rPr>
          <w:rFonts w:ascii="Arial" w:hAnsi="Arial" w:cs="Arial"/>
          <w:shd w:val="clear" w:color="auto" w:fill="FFFFFF"/>
          <w:lang w:val="es-ES"/>
        </w:rPr>
        <w:t xml:space="preserve"> Lo anterior, tanto en procesos de licitación pública, como de selección abreviada de menor cuantía, concurso de méritos y procesos competitivos que adelanten las entidades estatales exceptuadas de aplicar el Estatuto General de Contratación de la Administración Pública. Ello constituye una medida afirmativa que pretende incentivar la participación de estos sujetos en el sistema de compras públicas, sin perjuicio de los compromisos adquiridos por Colombia en los acuerdos comerciales en vigor.</w:t>
      </w:r>
      <w:r w:rsidRPr="00F26C31">
        <w:rPr>
          <w:rFonts w:ascii="Arial" w:hAnsi="Arial" w:cs="Arial"/>
          <w:shd w:val="clear" w:color="auto" w:fill="FFFFFF"/>
        </w:rPr>
        <w:t>  </w:t>
      </w:r>
    </w:p>
    <w:p w14:paraId="161EF72A" w14:textId="5C621A96" w:rsidR="00EB5D63" w:rsidRPr="00F26C31" w:rsidRDefault="00EB5D63" w:rsidP="00EB5D63">
      <w:pPr>
        <w:tabs>
          <w:tab w:val="left" w:pos="426"/>
        </w:tabs>
        <w:spacing w:after="120"/>
        <w:jc w:val="both"/>
        <w:rPr>
          <w:rFonts w:ascii="Arial" w:hAnsi="Arial" w:cs="Arial"/>
          <w:shd w:val="clear" w:color="auto" w:fill="FFFFFF"/>
        </w:rPr>
      </w:pPr>
      <w:r w:rsidRPr="00F26C31">
        <w:rPr>
          <w:rFonts w:ascii="Arial" w:hAnsi="Arial" w:cs="Arial"/>
          <w:shd w:val="clear" w:color="auto" w:fill="FFFFFF"/>
        </w:rPr>
        <w:lastRenderedPageBreak/>
        <w:tab/>
      </w:r>
      <w:r w:rsidRPr="00F26C31">
        <w:rPr>
          <w:rFonts w:ascii="Arial" w:hAnsi="Arial" w:cs="Arial"/>
          <w:shd w:val="clear" w:color="auto" w:fill="FFFFFF"/>
        </w:rPr>
        <w:tab/>
        <w:t xml:space="preserve">En razón de lo anterior, pese a que la selección objetiva -que es uno de los deberes medulares de la contratación estatal- implica que la selección del contratista no atienda a razones subjetivas, nuestro ordenamiento jurídico permite que la selección del contratista se realice acudiendo a factores habilitantes y de calificación diferenciales de los participantes fijados en los pliegos de condiciones. Esto permite fomentar o facilitar el acceso a las compras públicas de sujetos de menor capacidad en el mercado, como es el caso de los </w:t>
      </w:r>
      <w:r w:rsidR="001925B7" w:rsidRPr="001925B7">
        <w:rPr>
          <w:rFonts w:ascii="Arial" w:eastAsia="Calibri" w:hAnsi="Arial" w:cs="Arial"/>
          <w:bCs/>
          <w:i/>
          <w:iCs/>
        </w:rPr>
        <w:t>«</w:t>
      </w:r>
      <w:r w:rsidRPr="007D411D">
        <w:rPr>
          <w:rFonts w:ascii="Arial" w:hAnsi="Arial" w:cs="Arial"/>
          <w:i/>
          <w:iCs/>
          <w:shd w:val="clear" w:color="auto" w:fill="FFFFFF"/>
        </w:rPr>
        <w:t>emprendimientos y empresas de mujeres</w:t>
      </w:r>
      <w:r w:rsidR="001925B7" w:rsidRPr="001925B7">
        <w:rPr>
          <w:rFonts w:ascii="Arial" w:eastAsia="Calibri" w:hAnsi="Arial" w:cs="Arial"/>
          <w:bCs/>
          <w:i/>
          <w:iCs/>
        </w:rPr>
        <w:t>»</w:t>
      </w:r>
      <w:r w:rsidRPr="007D411D">
        <w:rPr>
          <w:rFonts w:ascii="Arial" w:hAnsi="Arial" w:cs="Arial"/>
          <w:i/>
          <w:iCs/>
          <w:shd w:val="clear" w:color="auto" w:fill="FFFFFF"/>
        </w:rPr>
        <w:t>,</w:t>
      </w:r>
      <w:r w:rsidRPr="00F26C31">
        <w:rPr>
          <w:rFonts w:ascii="Arial" w:hAnsi="Arial" w:cs="Arial"/>
          <w:shd w:val="clear" w:color="auto" w:fill="FFFFFF"/>
        </w:rPr>
        <w:t xml:space="preserve"> y de las MiPymes. Lo anterior, siempre y cuando el uso de estas medidas afirmativas resulte justificado y no ponga en riesgo el adecuado cumplimiento del contrato, según el análisis del sector y los estudios previos que soporten el proceso contractual. </w:t>
      </w:r>
    </w:p>
    <w:p w14:paraId="3CFCC160" w14:textId="77777777" w:rsidR="00EB5D63" w:rsidRPr="00F26C31" w:rsidRDefault="00EB5D63" w:rsidP="00EB5D63">
      <w:pPr>
        <w:tabs>
          <w:tab w:val="left" w:pos="426"/>
        </w:tabs>
        <w:spacing w:after="120"/>
        <w:jc w:val="both"/>
        <w:rPr>
          <w:rFonts w:ascii="Arial" w:hAnsi="Arial" w:cs="Arial"/>
          <w:shd w:val="clear" w:color="auto" w:fill="FFFFFF"/>
        </w:rPr>
      </w:pPr>
      <w:r w:rsidRPr="00F26C31">
        <w:rPr>
          <w:rFonts w:ascii="Arial" w:hAnsi="Arial" w:cs="Arial"/>
          <w:shd w:val="clear" w:color="auto" w:fill="FFFFFF"/>
        </w:rPr>
        <w:tab/>
      </w:r>
      <w:r w:rsidRPr="00F26C31">
        <w:rPr>
          <w:rFonts w:ascii="Arial" w:hAnsi="Arial" w:cs="Arial"/>
          <w:shd w:val="clear" w:color="auto" w:fill="FFFFFF"/>
        </w:rPr>
        <w:tab/>
      </w:r>
      <w:r w:rsidRPr="00F26C31">
        <w:rPr>
          <w:rFonts w:ascii="Arial" w:hAnsi="Arial" w:cs="Arial"/>
          <w:shd w:val="clear" w:color="auto" w:fill="FFFFFF"/>
          <w:lang w:val="es-ES"/>
        </w:rPr>
        <w:t xml:space="preserve">De acuerdo con lo establecido en el artículo </w:t>
      </w:r>
      <w:r w:rsidRPr="00F26C31">
        <w:rPr>
          <w:rFonts w:ascii="Arial" w:hAnsi="Arial" w:cs="Arial"/>
          <w:shd w:val="clear" w:color="auto" w:fill="FFFFFF"/>
        </w:rPr>
        <w:t xml:space="preserve">2.2.1.2.4.2.14 del </w:t>
      </w:r>
      <w:r w:rsidRPr="00F26C31">
        <w:rPr>
          <w:rFonts w:ascii="Arial" w:hAnsi="Arial" w:cs="Arial"/>
          <w:shd w:val="clear" w:color="auto" w:fill="FFFFFF"/>
          <w:lang w:val="es-ES"/>
        </w:rPr>
        <w:t>Decreto 1860 de 2021 -que adicionó el artículo 2.2.1.2.4.2.14</w:t>
      </w:r>
      <w:r w:rsidRPr="00F26C31">
        <w:rPr>
          <w:rFonts w:ascii="Arial" w:hAnsi="Arial" w:cs="Arial"/>
          <w:shd w:val="clear" w:color="auto" w:fill="FFFFFF"/>
          <w:vertAlign w:val="superscript"/>
          <w:lang w:val="es-ES"/>
        </w:rPr>
        <w:t>16</w:t>
      </w:r>
      <w:r w:rsidRPr="00F26C31">
        <w:rPr>
          <w:rFonts w:ascii="Arial" w:hAnsi="Arial" w:cs="Arial"/>
          <w:shd w:val="clear" w:color="auto" w:fill="FFFFFF"/>
          <w:lang w:val="es-ES"/>
        </w:rPr>
        <w:t xml:space="preserve"> al Decreto 1082 de 2015- existen unas condiciones y requisitos en atención a los cuales se definen los empresas y emprendimientos de mujeres a las que les aplican los criterios diferenciales. Se considerarán emprendimientos o empresas de mujeres las personas jurídicas o naturales que cumplan alguno de los cuatro supuestos:</w:t>
      </w:r>
    </w:p>
    <w:p w14:paraId="479365C7" w14:textId="77777777" w:rsidR="00EB5D63" w:rsidRPr="007D411D" w:rsidRDefault="00EB5D63" w:rsidP="00EB5D63">
      <w:pPr>
        <w:tabs>
          <w:tab w:val="left" w:pos="426"/>
        </w:tabs>
        <w:spacing w:after="120"/>
        <w:ind w:left="709" w:right="709"/>
        <w:jc w:val="both"/>
        <w:rPr>
          <w:rFonts w:ascii="Arial" w:hAnsi="Arial" w:cs="Arial"/>
          <w:sz w:val="20"/>
          <w:szCs w:val="20"/>
          <w:shd w:val="clear" w:color="auto" w:fill="FFFFFF"/>
          <w:lang w:val="es-ES"/>
        </w:rPr>
      </w:pPr>
      <w:r w:rsidRPr="007D411D">
        <w:rPr>
          <w:rFonts w:ascii="Arial" w:hAnsi="Arial" w:cs="Arial"/>
          <w:sz w:val="20"/>
          <w:szCs w:val="20"/>
          <w:shd w:val="clear" w:color="auto" w:fill="FFFFFF"/>
          <w:lang w:val="es-ES"/>
        </w:rPr>
        <w:t xml:space="preserve">«Artículo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7CB45E54" w14:textId="77777777" w:rsidR="00EB5D63" w:rsidRPr="007D411D" w:rsidRDefault="00EB5D63" w:rsidP="00EB5D63">
      <w:pPr>
        <w:tabs>
          <w:tab w:val="left" w:pos="426"/>
        </w:tabs>
        <w:spacing w:after="120"/>
        <w:ind w:left="709" w:right="709"/>
        <w:jc w:val="both"/>
        <w:rPr>
          <w:rFonts w:ascii="Arial" w:hAnsi="Arial" w:cs="Arial"/>
          <w:sz w:val="20"/>
          <w:szCs w:val="20"/>
          <w:shd w:val="clear" w:color="auto" w:fill="FFFFFF"/>
          <w:lang w:val="es-ES"/>
        </w:rPr>
      </w:pPr>
      <w:r w:rsidRPr="007D411D">
        <w:rPr>
          <w:rFonts w:ascii="Arial" w:hAnsi="Arial" w:cs="Arial"/>
          <w:sz w:val="20"/>
          <w:szCs w:val="20"/>
          <w:shd w:val="clear" w:color="auto" w:fill="FFFFFF"/>
          <w:lang w:val="es-ES"/>
        </w:rPr>
        <w:t xml:space="preserve">1. Cuando más del cincuenta por ciento (50%) de las acciones, partes de interés o cuotas de participación de la persona jurídica pertenezcan a mujeres y los derechos de propiedad hayan pertenecido a estas </w:t>
      </w:r>
      <w:r w:rsidRPr="007D411D">
        <w:rPr>
          <w:rFonts w:ascii="Arial" w:hAnsi="Arial" w:cs="Arial"/>
          <w:sz w:val="20"/>
          <w:szCs w:val="20"/>
          <w:u w:val="single"/>
          <w:shd w:val="clear" w:color="auto" w:fill="FFFFFF"/>
          <w:lang w:val="es-ES"/>
        </w:rPr>
        <w:t>durante al menos el último año anterior a la fecha de cierre del Proceso de Selección</w:t>
      </w:r>
      <w:r w:rsidRPr="007D411D">
        <w:rPr>
          <w:rFonts w:ascii="Arial" w:hAnsi="Arial" w:cs="Arial"/>
          <w:sz w:val="20"/>
          <w:szCs w:val="20"/>
          <w:shd w:val="clear" w:color="auto" w:fill="FFFFFF"/>
          <w:lang w:val="es-ES"/>
        </w:rPr>
        <w:t>. (…)</w:t>
      </w:r>
    </w:p>
    <w:p w14:paraId="2E93B0F5" w14:textId="77777777" w:rsidR="00EB5D63" w:rsidRPr="007D411D" w:rsidRDefault="00EB5D63" w:rsidP="00EB5D63">
      <w:pPr>
        <w:tabs>
          <w:tab w:val="left" w:pos="426"/>
        </w:tabs>
        <w:spacing w:after="120"/>
        <w:ind w:left="709" w:right="709"/>
        <w:jc w:val="both"/>
        <w:rPr>
          <w:rFonts w:ascii="Arial" w:hAnsi="Arial" w:cs="Arial"/>
          <w:sz w:val="20"/>
          <w:szCs w:val="20"/>
          <w:shd w:val="clear" w:color="auto" w:fill="FFFFFF"/>
          <w:lang w:val="es-ES"/>
        </w:rPr>
      </w:pPr>
      <w:r w:rsidRPr="007D411D">
        <w:rPr>
          <w:rFonts w:ascii="Arial" w:hAnsi="Arial" w:cs="Arial"/>
          <w:sz w:val="20"/>
          <w:szCs w:val="20"/>
          <w:shd w:val="clear" w:color="auto" w:fill="FFFFFF"/>
          <w:lang w:val="es-ES"/>
        </w:rPr>
        <w:t xml:space="preserve">2. Cuando por lo menos el cincuenta por ciento (50%) de los empleos del nivel directivo de la persona jurídica sean ejercidos por mujeres y éstas hayan estado vinculadas laboralmente a la empresa </w:t>
      </w:r>
      <w:r w:rsidRPr="007D411D">
        <w:rPr>
          <w:rFonts w:ascii="Arial" w:hAnsi="Arial" w:cs="Arial"/>
          <w:sz w:val="20"/>
          <w:szCs w:val="20"/>
          <w:u w:val="single"/>
          <w:shd w:val="clear" w:color="auto" w:fill="FFFFFF"/>
          <w:lang w:val="es-ES"/>
        </w:rPr>
        <w:t>durante al menos el último año anterior a la fecha de cierre del Proceso de Selección en el mismo cargo u otro del mismo nivel</w:t>
      </w:r>
      <w:r w:rsidRPr="007D411D">
        <w:rPr>
          <w:rFonts w:ascii="Arial" w:hAnsi="Arial" w:cs="Arial"/>
          <w:sz w:val="20"/>
          <w:szCs w:val="20"/>
          <w:shd w:val="clear" w:color="auto" w:fill="FFFFFF"/>
          <w:lang w:val="es-ES"/>
        </w:rPr>
        <w:t>. (…)</w:t>
      </w:r>
    </w:p>
    <w:p w14:paraId="72F864F8" w14:textId="77777777" w:rsidR="00EB5D63" w:rsidRPr="007D411D" w:rsidRDefault="00EB5D63" w:rsidP="00EB5D63">
      <w:pPr>
        <w:tabs>
          <w:tab w:val="left" w:pos="426"/>
        </w:tabs>
        <w:spacing w:after="120"/>
        <w:ind w:left="709" w:right="709"/>
        <w:jc w:val="both"/>
        <w:rPr>
          <w:rFonts w:ascii="Arial" w:hAnsi="Arial" w:cs="Arial"/>
          <w:sz w:val="20"/>
          <w:szCs w:val="20"/>
          <w:shd w:val="clear" w:color="auto" w:fill="FFFFFF"/>
          <w:lang w:val="es-ES"/>
        </w:rPr>
      </w:pPr>
      <w:r w:rsidRPr="007D411D">
        <w:rPr>
          <w:rFonts w:ascii="Arial" w:hAnsi="Arial" w:cs="Arial"/>
          <w:sz w:val="20"/>
          <w:szCs w:val="20"/>
          <w:shd w:val="clear" w:color="auto" w:fill="FFFFFF"/>
          <w:lang w:val="es-ES"/>
        </w:rPr>
        <w:t xml:space="preserve">3. Cuando la persona natural sea una mujer y haya ejercido actividades comerciales a través de un establecimiento de comercio </w:t>
      </w:r>
      <w:r w:rsidRPr="007D411D">
        <w:rPr>
          <w:rFonts w:ascii="Arial" w:hAnsi="Arial" w:cs="Arial"/>
          <w:sz w:val="20"/>
          <w:szCs w:val="20"/>
          <w:u w:val="single"/>
          <w:shd w:val="clear" w:color="auto" w:fill="FFFFFF"/>
          <w:lang w:val="es-ES"/>
        </w:rPr>
        <w:t>durante al menos el último año anterior a la fecha de cierre del proceso de selección</w:t>
      </w:r>
      <w:r w:rsidRPr="007D411D">
        <w:rPr>
          <w:rFonts w:ascii="Arial" w:hAnsi="Arial" w:cs="Arial"/>
          <w:sz w:val="20"/>
          <w:szCs w:val="20"/>
          <w:shd w:val="clear" w:color="auto" w:fill="FFFFFF"/>
          <w:lang w:val="es-ES"/>
        </w:rPr>
        <w:t>. Esta circunstancia se acreditará mediante la copia de cédula de ciudadanía, la cédula de extranjería o el pasaporte, así como la copia del registro mercantil.</w:t>
      </w:r>
    </w:p>
    <w:p w14:paraId="3E466040" w14:textId="77777777" w:rsidR="00EB5D63" w:rsidRPr="007D411D" w:rsidRDefault="00EB5D63" w:rsidP="00EB5D63">
      <w:pPr>
        <w:tabs>
          <w:tab w:val="left" w:pos="426"/>
        </w:tabs>
        <w:spacing w:after="120"/>
        <w:ind w:left="709" w:right="709"/>
        <w:jc w:val="both"/>
        <w:rPr>
          <w:rFonts w:ascii="Arial" w:hAnsi="Arial" w:cs="Arial"/>
          <w:sz w:val="20"/>
          <w:szCs w:val="20"/>
          <w:shd w:val="clear" w:color="auto" w:fill="FFFFFF"/>
          <w:lang w:val="es-ES"/>
        </w:rPr>
      </w:pPr>
      <w:r w:rsidRPr="007D411D">
        <w:rPr>
          <w:rFonts w:ascii="Arial" w:hAnsi="Arial" w:cs="Arial"/>
          <w:sz w:val="20"/>
          <w:szCs w:val="20"/>
          <w:shd w:val="clear" w:color="auto" w:fill="FFFFFF"/>
          <w:lang w:val="es-ES"/>
        </w:rPr>
        <w:t xml:space="preserve">4. Para las asociaciones y cooperativas, cuando más del cincuenta por ciento (50%) de los asociados sean mujeres y la participación haya correspondido a estas </w:t>
      </w:r>
      <w:r w:rsidRPr="007D411D">
        <w:rPr>
          <w:rFonts w:ascii="Arial" w:hAnsi="Arial" w:cs="Arial"/>
          <w:sz w:val="20"/>
          <w:szCs w:val="20"/>
          <w:u w:val="single"/>
          <w:shd w:val="clear" w:color="auto" w:fill="FFFFFF"/>
          <w:lang w:val="es-ES"/>
        </w:rPr>
        <w:t>durante al menos el último año anterior a la fecha de cierre del Proceso de Selección</w:t>
      </w:r>
      <w:r w:rsidRPr="007D411D">
        <w:rPr>
          <w:rFonts w:ascii="Arial" w:hAnsi="Arial" w:cs="Arial"/>
          <w:sz w:val="20"/>
          <w:szCs w:val="20"/>
          <w:shd w:val="clear" w:color="auto" w:fill="FFFFFF"/>
          <w:lang w:val="es-ES"/>
        </w:rPr>
        <w:t>. Esta circunstancia se acreditará mediante certificación expedida por el representante legal. (…)</w:t>
      </w:r>
      <w:r w:rsidRPr="007D411D">
        <w:rPr>
          <w:rFonts w:ascii="Arial" w:hAnsi="Arial" w:cs="Arial"/>
          <w:sz w:val="20"/>
          <w:szCs w:val="20"/>
          <w:shd w:val="clear" w:color="auto" w:fill="FFFFFF"/>
        </w:rPr>
        <w:t>»</w:t>
      </w:r>
      <w:r w:rsidRPr="007D411D">
        <w:rPr>
          <w:rFonts w:ascii="Arial" w:hAnsi="Arial" w:cs="Arial"/>
          <w:sz w:val="20"/>
          <w:szCs w:val="20"/>
          <w:shd w:val="clear" w:color="auto" w:fill="FFFFFF"/>
          <w:lang w:val="es-ES"/>
        </w:rPr>
        <w:t xml:space="preserve"> (subrayado fuera del texto original)</w:t>
      </w:r>
    </w:p>
    <w:p w14:paraId="58BA5B60" w14:textId="63172365" w:rsidR="00EB5D63" w:rsidRPr="00F26C31" w:rsidRDefault="00EB5D63" w:rsidP="00EB5D63">
      <w:pPr>
        <w:tabs>
          <w:tab w:val="left" w:pos="426"/>
        </w:tabs>
        <w:spacing w:after="120"/>
        <w:jc w:val="both"/>
        <w:rPr>
          <w:rFonts w:ascii="Arial" w:hAnsi="Arial" w:cs="Arial"/>
          <w:color w:val="000000" w:themeColor="text1"/>
          <w:shd w:val="clear" w:color="auto" w:fill="FFFFFF"/>
        </w:rPr>
      </w:pPr>
      <w:r w:rsidRPr="00F26C31">
        <w:rPr>
          <w:rFonts w:ascii="Arial" w:hAnsi="Arial" w:cs="Arial"/>
          <w:color w:val="000000" w:themeColor="text1"/>
          <w:shd w:val="clear" w:color="auto" w:fill="FFFFFF"/>
        </w:rPr>
        <w:lastRenderedPageBreak/>
        <w:tab/>
      </w:r>
      <w:r w:rsidRPr="00F26C31">
        <w:rPr>
          <w:rFonts w:ascii="Arial" w:hAnsi="Arial" w:cs="Arial"/>
          <w:color w:val="000000" w:themeColor="text1"/>
          <w:shd w:val="clear" w:color="auto" w:fill="FFFFFF"/>
        </w:rPr>
        <w:tab/>
        <w:t xml:space="preserve">En consecuencia, cualquiera de las anteriores condiciones que se pretenda invocar de cara a ser beneficiario del puntaje adicional de que trata el artículo </w:t>
      </w:r>
      <w:r w:rsidRPr="00F26C31">
        <w:rPr>
          <w:rFonts w:ascii="Arial" w:hAnsi="Arial" w:cs="Arial"/>
          <w:color w:val="000000" w:themeColor="text1"/>
          <w:shd w:val="clear" w:color="auto" w:fill="FFFFFF"/>
          <w:lang w:val="es-ES"/>
        </w:rPr>
        <w:t xml:space="preserve">2.2.1.2.4.2.15. </w:t>
      </w:r>
      <w:r w:rsidRPr="00F26C31">
        <w:rPr>
          <w:rFonts w:ascii="Arial" w:hAnsi="Arial" w:cs="Arial"/>
          <w:i/>
          <w:iCs/>
          <w:color w:val="000000" w:themeColor="text1"/>
          <w:shd w:val="clear" w:color="auto" w:fill="FFFFFF"/>
          <w:lang w:val="es-ES"/>
        </w:rPr>
        <w:t>ibidem</w:t>
      </w:r>
      <w:r w:rsidRPr="00F26C31">
        <w:rPr>
          <w:rFonts w:ascii="Arial" w:hAnsi="Arial" w:cs="Arial"/>
          <w:color w:val="000000" w:themeColor="text1"/>
          <w:shd w:val="clear" w:color="auto" w:fill="FFFFFF"/>
          <w:lang w:val="es-ES"/>
        </w:rPr>
        <w:t xml:space="preserve">, requiere de acreditar las circunstancias que allí se mencionan durante un término no menor a un (1) año. En ese orden, de no acatar con el término mínimo de un (1) año, no se entenderán cumplidos ninguno de estos supuestos mencionados y, por ende, el proponente no se calificará como un </w:t>
      </w:r>
      <w:r w:rsidRPr="00F26C31">
        <w:rPr>
          <w:rFonts w:ascii="Arial" w:hAnsi="Arial" w:cs="Arial"/>
          <w:color w:val="000000" w:themeColor="text1"/>
          <w:sz w:val="21"/>
          <w:szCs w:val="21"/>
        </w:rPr>
        <w:t>«</w:t>
      </w:r>
      <w:r w:rsidRPr="007D411D">
        <w:rPr>
          <w:rFonts w:ascii="Arial" w:hAnsi="Arial" w:cs="Arial"/>
          <w:i/>
          <w:iCs/>
          <w:color w:val="000000" w:themeColor="text1"/>
          <w:shd w:val="clear" w:color="auto" w:fill="FFFFFF"/>
          <w:lang w:val="es-ES"/>
        </w:rPr>
        <w:t>emprendimiento y/o empresa de mujeres</w:t>
      </w:r>
      <w:r w:rsidRPr="007D411D">
        <w:rPr>
          <w:rFonts w:ascii="Arial" w:hAnsi="Arial" w:cs="Arial"/>
          <w:i/>
          <w:iCs/>
          <w:color w:val="000000" w:themeColor="text1"/>
          <w:sz w:val="21"/>
          <w:szCs w:val="21"/>
        </w:rPr>
        <w:t>»</w:t>
      </w:r>
      <w:r w:rsidRPr="00F26C31">
        <w:rPr>
          <w:rFonts w:ascii="Arial" w:hAnsi="Arial" w:cs="Arial"/>
          <w:color w:val="000000" w:themeColor="text1"/>
          <w:sz w:val="21"/>
          <w:szCs w:val="21"/>
        </w:rPr>
        <w:t xml:space="preserve"> </w:t>
      </w:r>
      <w:r w:rsidRPr="00F26C31">
        <w:rPr>
          <w:rFonts w:ascii="Arial" w:hAnsi="Arial" w:cs="Arial"/>
          <w:color w:val="000000" w:themeColor="text1"/>
          <w:shd w:val="clear" w:color="auto" w:fill="FFFFFF"/>
          <w:lang w:val="es-ES"/>
        </w:rPr>
        <w:t xml:space="preserve">en los términos del artículo 2.2.1.2.4.2.14. </w:t>
      </w:r>
      <w:r w:rsidRPr="00F26C31">
        <w:rPr>
          <w:rFonts w:ascii="Arial" w:eastAsia="Calibri" w:hAnsi="Arial" w:cs="Arial"/>
          <w:color w:val="000000" w:themeColor="text1"/>
          <w:lang w:val="es-ES_tradnl"/>
        </w:rPr>
        <w:t xml:space="preserve"> </w:t>
      </w:r>
    </w:p>
    <w:p w14:paraId="26E51595" w14:textId="6246609C" w:rsidR="00EB5D63" w:rsidRPr="00F26C31" w:rsidRDefault="00EB5D63" w:rsidP="00EB5D63">
      <w:pPr>
        <w:spacing w:after="120" w:line="276" w:lineRule="auto"/>
        <w:jc w:val="both"/>
        <w:rPr>
          <w:rFonts w:ascii="Arial" w:eastAsia="Calibri" w:hAnsi="Arial" w:cs="Arial"/>
          <w:color w:val="000000" w:themeColor="text1"/>
          <w:lang w:val="es-ES_tradnl"/>
        </w:rPr>
      </w:pPr>
      <w:r w:rsidRPr="00F26C31">
        <w:rPr>
          <w:rFonts w:ascii="Arial" w:eastAsia="Calibri" w:hAnsi="Arial" w:cs="Arial"/>
          <w:color w:val="000000" w:themeColor="text1"/>
          <w:lang w:val="es-ES_tradnl"/>
        </w:rPr>
        <w:tab/>
      </w:r>
      <w:r w:rsidRPr="00F26C31">
        <w:rPr>
          <w:rFonts w:ascii="Arial" w:eastAsia="Calibri" w:hAnsi="Arial" w:cs="Arial"/>
          <w:lang w:val="es-ES_tradnl"/>
        </w:rPr>
        <w:t xml:space="preserve">En relación con la consulta, lo anterior significa que sociedades con un término de constitución inferior a un año (1) no se enmarcan dentro de ninguno de los supuestos de hechos consagrados en el </w:t>
      </w:r>
      <w:r w:rsidRPr="00F26C31">
        <w:rPr>
          <w:rFonts w:ascii="Arial" w:eastAsia="Calibri" w:hAnsi="Arial" w:cs="Arial"/>
          <w:color w:val="000000" w:themeColor="text1"/>
          <w:lang w:val="es-ES_tradnl"/>
        </w:rPr>
        <w:t xml:space="preserve">artículo 2.2.1.2.4.2.14 del Decreto 1082 de 2015, adicionado por el Decreto 1860 de 2022. Máxime cuando la norma bajo examen no establece alguna consideración subsidiaria o permisiva en virtud de la cual fuera posible ubicar dentro de la definición de </w:t>
      </w:r>
      <w:r w:rsidR="001925B7" w:rsidRPr="001925B7">
        <w:rPr>
          <w:rFonts w:ascii="Arial" w:eastAsia="Calibri" w:hAnsi="Arial" w:cs="Arial"/>
          <w:bCs/>
          <w:i/>
          <w:iCs/>
        </w:rPr>
        <w:t>«</w:t>
      </w:r>
      <w:r w:rsidRPr="007D411D">
        <w:rPr>
          <w:rFonts w:ascii="Arial" w:eastAsia="Calibri" w:hAnsi="Arial" w:cs="Arial"/>
          <w:i/>
          <w:iCs/>
          <w:color w:val="000000" w:themeColor="text1"/>
          <w:lang w:val="es-ES_tradnl"/>
        </w:rPr>
        <w:t>emprendimientos y empresas de mujeres</w:t>
      </w:r>
      <w:r w:rsidR="001925B7" w:rsidRPr="001925B7">
        <w:rPr>
          <w:rFonts w:ascii="Arial" w:eastAsia="Calibri" w:hAnsi="Arial" w:cs="Arial"/>
          <w:bCs/>
          <w:i/>
          <w:iCs/>
        </w:rPr>
        <w:t>»</w:t>
      </w:r>
      <w:r w:rsidRPr="00F26C31">
        <w:rPr>
          <w:rFonts w:ascii="Arial" w:eastAsia="Calibri" w:hAnsi="Arial" w:cs="Arial"/>
          <w:color w:val="000000" w:themeColor="text1"/>
          <w:lang w:val="es-ES_tradnl"/>
        </w:rPr>
        <w:t xml:space="preserve"> a personas jurídicas con un término inferior a un año –como, por ejemplo, lo hace explícitamente el parágrafo 2 del artículo 35 de la Ley 2069 de 2020, pero para otros efectos</w:t>
      </w:r>
      <w:r w:rsidRPr="00F26C31">
        <w:rPr>
          <w:rStyle w:val="Refdenotaalpie"/>
          <w:rFonts w:ascii="Arial" w:eastAsia="Calibri" w:hAnsi="Arial" w:cs="Arial"/>
          <w:color w:val="000000" w:themeColor="text1"/>
          <w:lang w:val="es-ES_tradnl"/>
        </w:rPr>
        <w:footnoteReference w:id="15"/>
      </w:r>
      <w:r w:rsidRPr="00F26C31">
        <w:rPr>
          <w:rFonts w:ascii="Arial" w:eastAsia="Calibri" w:hAnsi="Arial" w:cs="Arial"/>
          <w:color w:val="000000" w:themeColor="text1"/>
          <w:lang w:val="es-ES_tradnl"/>
        </w:rPr>
        <w:t xml:space="preserve">–. En ese sentido, es preciso descartar la posibilidad que a una sociedad con un tiempo de constitución inferior a un año le aplique la definición de </w:t>
      </w:r>
      <w:r w:rsidR="001925B7" w:rsidRPr="001925B7">
        <w:rPr>
          <w:rFonts w:ascii="Arial" w:eastAsia="Calibri" w:hAnsi="Arial" w:cs="Arial"/>
          <w:bCs/>
          <w:i/>
          <w:iCs/>
        </w:rPr>
        <w:t>«</w:t>
      </w:r>
      <w:r w:rsidRPr="007D411D">
        <w:rPr>
          <w:rFonts w:ascii="Arial" w:eastAsia="Calibri" w:hAnsi="Arial" w:cs="Arial"/>
          <w:i/>
          <w:iCs/>
          <w:color w:val="000000" w:themeColor="text1"/>
          <w:lang w:val="es-ES_tradnl"/>
        </w:rPr>
        <w:t>emprendimientos y empresas de mujeres</w:t>
      </w:r>
      <w:r w:rsidR="001925B7" w:rsidRPr="0053743D">
        <w:rPr>
          <w:rFonts w:ascii="Arial" w:eastAsia="Calibri" w:hAnsi="Arial" w:cs="Arial"/>
          <w:bCs/>
          <w:i/>
          <w:iCs/>
        </w:rPr>
        <w:t>»</w:t>
      </w:r>
      <w:r w:rsidRPr="00F26C31">
        <w:rPr>
          <w:rFonts w:ascii="Arial" w:eastAsia="Calibri" w:hAnsi="Arial" w:cs="Arial"/>
          <w:color w:val="000000" w:themeColor="text1"/>
          <w:lang w:val="es-ES_tradnl"/>
        </w:rPr>
        <w:t xml:space="preserve"> del artículo 2.2.1.2.4.2.14. </w:t>
      </w:r>
    </w:p>
    <w:p w14:paraId="3D79AD1A" w14:textId="2C901CE1" w:rsidR="00EB5D63" w:rsidRPr="00F26C31" w:rsidRDefault="00EB5D63" w:rsidP="00EB5D63">
      <w:pPr>
        <w:spacing w:after="120" w:line="276" w:lineRule="auto"/>
        <w:ind w:firstLine="708"/>
        <w:jc w:val="both"/>
        <w:rPr>
          <w:rFonts w:ascii="Arial" w:hAnsi="Arial" w:cs="Arial"/>
          <w:color w:val="000000" w:themeColor="text1"/>
          <w:lang w:eastAsia="es-CO"/>
        </w:rPr>
      </w:pPr>
      <w:r w:rsidRPr="00F26C31">
        <w:rPr>
          <w:rFonts w:ascii="Arial" w:eastAsia="Calibri" w:hAnsi="Arial" w:cs="Arial"/>
          <w:color w:val="000000" w:themeColor="text1"/>
          <w:lang w:val="es-ES_tradnl"/>
        </w:rPr>
        <w:t xml:space="preserve">Se puede inferir que ni siquiera acreditando que la participación mayoritaria de mujeres en la persona jurídica data del momento mismo de su constitución sería posible cumplir con el tiempo mínimo de un (1) año. Esta conclusión surge en atención a lo expresamente indicado en el texto de la norma, el cual es claro al exigir que el </w:t>
      </w:r>
      <w:r w:rsidRPr="00F26C31">
        <w:rPr>
          <w:rFonts w:ascii="Arial" w:hAnsi="Arial" w:cs="Arial"/>
          <w:color w:val="000000" w:themeColor="text1"/>
          <w:lang w:eastAsia="es-CO"/>
        </w:rPr>
        <w:t xml:space="preserve">50% de las acciones, partes de interés o cuotas de participación de la persona jurídica que correspondan a mujeres «[…] </w:t>
      </w:r>
      <w:r w:rsidRPr="00F26C31">
        <w:rPr>
          <w:rFonts w:ascii="Arial" w:hAnsi="Arial" w:cs="Arial"/>
          <w:i/>
          <w:iCs/>
          <w:color w:val="000000" w:themeColor="text1"/>
          <w:lang w:eastAsia="es-CO"/>
        </w:rPr>
        <w:t>hayan pertenecido a estas durante al menos el último año anterior a la fecha de cierre del Proceso de Selección</w:t>
      </w:r>
      <w:r w:rsidRPr="00F26C31">
        <w:rPr>
          <w:rFonts w:ascii="Arial" w:hAnsi="Arial" w:cs="Arial"/>
          <w:color w:val="000000" w:themeColor="text1"/>
          <w:lang w:eastAsia="es-CO"/>
        </w:rPr>
        <w:t>». Por lo tanto, la presente interpretación además se impone en virtud de aquella regla según la cual «</w:t>
      </w:r>
      <w:r w:rsidRPr="00F26C31">
        <w:rPr>
          <w:rFonts w:ascii="Arial" w:hAnsi="Arial" w:cs="Arial"/>
          <w:i/>
          <w:iCs/>
          <w:color w:val="000000" w:themeColor="text1"/>
          <w:lang w:eastAsia="es-CO"/>
        </w:rPr>
        <w:t>cuando el sentido de la ley sea claro, no se desatenderá su tenor literal a pretexto de consultar su espíritu</w:t>
      </w:r>
      <w:r w:rsidRPr="00F26C31">
        <w:rPr>
          <w:rFonts w:ascii="Arial" w:hAnsi="Arial" w:cs="Arial"/>
          <w:color w:val="000000" w:themeColor="text1"/>
          <w:lang w:eastAsia="es-CO"/>
        </w:rPr>
        <w:t>»</w:t>
      </w:r>
      <w:r w:rsidRPr="00F26C31">
        <w:rPr>
          <w:rStyle w:val="Refdenotaalpie"/>
          <w:rFonts w:ascii="Arial" w:hAnsi="Arial" w:cs="Arial"/>
          <w:color w:val="000000" w:themeColor="text1"/>
          <w:lang w:eastAsia="es-CO"/>
        </w:rPr>
        <w:footnoteReference w:id="16"/>
      </w:r>
      <w:r w:rsidRPr="00F26C31">
        <w:rPr>
          <w:rFonts w:ascii="Arial" w:hAnsi="Arial" w:cs="Arial"/>
          <w:color w:val="000000" w:themeColor="text1"/>
          <w:lang w:eastAsia="es-CO"/>
        </w:rPr>
        <w:t xml:space="preserve">. </w:t>
      </w:r>
    </w:p>
    <w:p w14:paraId="7FF29A9B" w14:textId="12C03FBC" w:rsidR="00EB5D63" w:rsidRPr="00F26C31" w:rsidRDefault="00EB5D63" w:rsidP="00EB5D63">
      <w:pPr>
        <w:spacing w:after="120" w:line="276" w:lineRule="auto"/>
        <w:jc w:val="both"/>
        <w:rPr>
          <w:rFonts w:ascii="Arial" w:hAnsi="Arial" w:cs="Arial"/>
          <w:color w:val="000000" w:themeColor="text1"/>
          <w:lang w:eastAsia="es-CO"/>
        </w:rPr>
      </w:pPr>
      <w:r w:rsidRPr="00F26C31">
        <w:rPr>
          <w:rFonts w:ascii="Arial" w:hAnsi="Arial" w:cs="Arial"/>
          <w:color w:val="000000" w:themeColor="text1"/>
          <w:lang w:eastAsia="es-CO"/>
        </w:rPr>
        <w:lastRenderedPageBreak/>
        <w:tab/>
        <w:t>Debe agregarse que el artículo 2.2.1.2.4.2.15 del Decreto 1082 de 2015</w:t>
      </w:r>
      <w:r w:rsidRPr="00F26C31">
        <w:rPr>
          <w:rStyle w:val="Refdenotaalpie"/>
          <w:rFonts w:ascii="Arial" w:hAnsi="Arial" w:cs="Arial"/>
          <w:color w:val="000000" w:themeColor="text1"/>
          <w:lang w:eastAsia="es-CO"/>
        </w:rPr>
        <w:footnoteReference w:id="17"/>
      </w:r>
      <w:r w:rsidRPr="00F26C31">
        <w:rPr>
          <w:rFonts w:ascii="Arial" w:hAnsi="Arial" w:cs="Arial"/>
          <w:color w:val="000000" w:themeColor="text1"/>
          <w:lang w:eastAsia="es-CO"/>
        </w:rPr>
        <w:t xml:space="preserve">, adicionado por el Decreto 1860 de 2021, complementa la regulación de criterios diferenciales estableciendo unos requisitos habilitantes diferenciales para incentivar </w:t>
      </w:r>
      <w:r w:rsidR="001925B7" w:rsidRPr="0053743D">
        <w:rPr>
          <w:rFonts w:ascii="Arial" w:eastAsia="Calibri" w:hAnsi="Arial" w:cs="Arial"/>
          <w:bCs/>
          <w:i/>
          <w:iCs/>
        </w:rPr>
        <w:t>«</w:t>
      </w:r>
      <w:r w:rsidRPr="00F26C31">
        <w:rPr>
          <w:rFonts w:ascii="Arial" w:hAnsi="Arial" w:cs="Arial"/>
          <w:color w:val="000000" w:themeColor="text1"/>
          <w:lang w:eastAsia="es-CO"/>
        </w:rPr>
        <w:t>emprendimientos y empresas de mujeres, que deben ser menos rigurosos respecto a los contemplados para los proponentes que no cumplan con alguna de los criterios del artículo 2.2.1.2.4.2.14. Del mismo modo, el artículo 2.2.1.2.4.2.15 también regula un puntaje adicional</w:t>
      </w:r>
      <w:r w:rsidRPr="00F26C31">
        <w:rPr>
          <w:rFonts w:ascii="Arial" w:hAnsi="Arial" w:cs="Arial"/>
          <w:color w:val="000000" w:themeColor="text1"/>
        </w:rPr>
        <w:t xml:space="preserve"> </w:t>
      </w:r>
      <w:r w:rsidRPr="00F26C31">
        <w:rPr>
          <w:rFonts w:ascii="Arial" w:hAnsi="Arial" w:cs="Arial"/>
          <w:color w:val="000000" w:themeColor="text1"/>
          <w:lang w:eastAsia="es-CO"/>
        </w:rPr>
        <w:t xml:space="preserve">de hasta el 0,25% del valor total de los puntos establecidos en los pliegos de condiciones o documentos equivalentes, para los proponentes que acrediten alguno de los supuestos del artículo 2.2.1.2.4.2.14. </w:t>
      </w:r>
    </w:p>
    <w:p w14:paraId="1922162F" w14:textId="4B9C0528" w:rsidR="00EB5D63" w:rsidRPr="00F26C31" w:rsidRDefault="00EB5D63" w:rsidP="00EB5D63">
      <w:pPr>
        <w:spacing w:after="0" w:line="276" w:lineRule="auto"/>
        <w:contextualSpacing/>
        <w:jc w:val="both"/>
        <w:rPr>
          <w:rFonts w:ascii="Arial" w:hAnsi="Arial" w:cs="Arial"/>
        </w:rPr>
      </w:pPr>
      <w:r w:rsidRPr="00F26C31">
        <w:rPr>
          <w:rFonts w:ascii="Arial" w:hAnsi="Arial" w:cs="Arial"/>
          <w:color w:val="000000" w:themeColor="text1"/>
          <w:lang w:eastAsia="es-CO"/>
        </w:rPr>
        <w:tab/>
        <w:t xml:space="preserve">De acuerdo con lo anterior, proponentes que no cumplan con alguno de los criterios definitorios de </w:t>
      </w:r>
      <w:r w:rsidR="001925B7" w:rsidRPr="00F82F5D">
        <w:rPr>
          <w:rFonts w:ascii="Arial" w:eastAsia="Calibri" w:hAnsi="Arial" w:cs="Arial"/>
          <w:bCs/>
          <w:i/>
          <w:iCs/>
        </w:rPr>
        <w:t>«</w:t>
      </w:r>
      <w:r w:rsidRPr="007D411D">
        <w:rPr>
          <w:rFonts w:ascii="Arial" w:hAnsi="Arial" w:cs="Arial"/>
          <w:i/>
          <w:iCs/>
          <w:color w:val="000000" w:themeColor="text1"/>
          <w:lang w:eastAsia="es-CO"/>
        </w:rPr>
        <w:t>emprendimientos y empresas de mujeres</w:t>
      </w:r>
      <w:r w:rsidR="00F82F5D" w:rsidRPr="00F82F5D">
        <w:rPr>
          <w:rFonts w:ascii="Arial" w:eastAsia="Calibri" w:hAnsi="Arial" w:cs="Arial"/>
          <w:bCs/>
          <w:i/>
          <w:iCs/>
        </w:rPr>
        <w:t>»</w:t>
      </w:r>
      <w:r w:rsidRPr="00F26C31">
        <w:rPr>
          <w:rFonts w:ascii="Arial" w:hAnsi="Arial" w:cs="Arial"/>
          <w:color w:val="000000" w:themeColor="text1"/>
          <w:lang w:eastAsia="es-CO"/>
        </w:rPr>
        <w:t xml:space="preserve"> establecidos en el artículo 2.2.1.2.4.2.14 están excluidos del ámbito de aplicación de los criterios diferenciales, reglamentados por el artículo 2.2.1.2.4.2.15 del Decreto 1082 de 2015, en desarrollo de lo dispuesto en el artículo 32 de la Ley 2069 de 2020. Esto significa, por ejemplo, que personas jurídicas con menos de un (1) año de constitución están excluidas de la aplicación </w:t>
      </w:r>
      <w:r w:rsidRPr="00F26C31">
        <w:rPr>
          <w:rFonts w:ascii="Arial" w:hAnsi="Arial" w:cs="Arial"/>
          <w:color w:val="000000" w:themeColor="text1"/>
          <w:lang w:eastAsia="es-CO"/>
        </w:rPr>
        <w:lastRenderedPageBreak/>
        <w:t xml:space="preserve">de los referidos criterios, incluso si cuentan con participación mayoritaria de mujeres desde el momento de su constitución y la misma consecuencia operará para la aplicación de los tres criterios adicionales previstos en la norma, si no se cumple con el elemento temporal previsto en el reglamento expedido por el Gobierno Nacional para el efecto, en la medida que fue la propia ley que creo los incentivos la que facultó al ejecutivo para crear la definición de </w:t>
      </w:r>
      <w:r w:rsidR="001925B7" w:rsidRPr="0053743D">
        <w:rPr>
          <w:rFonts w:ascii="Arial" w:eastAsia="Calibri" w:hAnsi="Arial" w:cs="Arial"/>
          <w:bCs/>
          <w:i/>
          <w:iCs/>
        </w:rPr>
        <w:t>«</w:t>
      </w:r>
      <w:r w:rsidRPr="00F26C31">
        <w:rPr>
          <w:rFonts w:ascii="Arial" w:hAnsi="Arial" w:cs="Arial"/>
          <w:color w:val="000000" w:themeColor="text1"/>
          <w:lang w:eastAsia="es-CO"/>
        </w:rPr>
        <w:t xml:space="preserve">emprendimientos y empresas de mujeres para su aplicación en el Sistema de Compra Públicas.     </w:t>
      </w:r>
      <w:r w:rsidRPr="00F26C31">
        <w:rPr>
          <w:rFonts w:ascii="Arial" w:hAnsi="Arial" w:cs="Arial"/>
          <w:color w:val="000000" w:themeColor="text1"/>
          <w:lang w:eastAsia="es-CO"/>
        </w:rPr>
        <w:tab/>
      </w:r>
    </w:p>
    <w:p w14:paraId="4BB9D5E0" w14:textId="77777777" w:rsidR="00EB5D63" w:rsidRPr="00F26C31" w:rsidRDefault="00EB5D63" w:rsidP="00EB5D63">
      <w:pPr>
        <w:pStyle w:val="Prrafodelista"/>
        <w:tabs>
          <w:tab w:val="left" w:pos="284"/>
        </w:tabs>
        <w:spacing w:line="276" w:lineRule="auto"/>
        <w:ind w:left="0"/>
        <w:jc w:val="both"/>
        <w:rPr>
          <w:rFonts w:ascii="Arial" w:eastAsia="Calibri" w:hAnsi="Arial" w:cs="Arial"/>
          <w:b/>
          <w:sz w:val="22"/>
          <w:lang w:val="es-CO"/>
        </w:rPr>
      </w:pPr>
    </w:p>
    <w:p w14:paraId="334ED32F" w14:textId="77777777" w:rsidR="00EB5D63" w:rsidRPr="00F26C31" w:rsidRDefault="00EB5D63" w:rsidP="00EB5D63">
      <w:pPr>
        <w:pStyle w:val="Prrafodelista"/>
        <w:tabs>
          <w:tab w:val="left" w:pos="284"/>
        </w:tabs>
        <w:spacing w:line="276" w:lineRule="auto"/>
        <w:ind w:left="0"/>
        <w:jc w:val="both"/>
        <w:rPr>
          <w:rFonts w:ascii="Arial" w:eastAsia="Calibri" w:hAnsi="Arial" w:cs="Arial"/>
          <w:b/>
          <w:sz w:val="22"/>
          <w:lang w:val="es-CO"/>
        </w:rPr>
      </w:pPr>
      <w:r w:rsidRPr="00F26C31">
        <w:rPr>
          <w:rFonts w:ascii="Arial" w:eastAsia="Calibri" w:hAnsi="Arial" w:cs="Arial"/>
          <w:b/>
          <w:sz w:val="22"/>
          <w:lang w:val="es-CO"/>
        </w:rPr>
        <w:t>3. Respuesta</w:t>
      </w:r>
    </w:p>
    <w:p w14:paraId="72087F9F" w14:textId="77777777" w:rsidR="00EB5D63" w:rsidRPr="00F26C31" w:rsidRDefault="00EB5D63" w:rsidP="00EB5D63">
      <w:pPr>
        <w:pStyle w:val="Prrafodelista"/>
        <w:tabs>
          <w:tab w:val="left" w:pos="284"/>
        </w:tabs>
        <w:ind w:left="0"/>
        <w:jc w:val="both"/>
        <w:rPr>
          <w:rFonts w:ascii="Arial" w:eastAsia="Calibri" w:hAnsi="Arial" w:cs="Arial"/>
          <w:sz w:val="22"/>
          <w:lang w:val="es-CO"/>
        </w:rPr>
      </w:pPr>
    </w:p>
    <w:p w14:paraId="7E5053AE" w14:textId="07891306" w:rsidR="00EB5D63" w:rsidRPr="007D411D" w:rsidRDefault="00EB5D63" w:rsidP="00EB5D63">
      <w:pPr>
        <w:shd w:val="clear" w:color="auto" w:fill="FFFFFF"/>
        <w:spacing w:line="240" w:lineRule="auto"/>
        <w:ind w:left="708" w:right="709"/>
        <w:jc w:val="both"/>
        <w:rPr>
          <w:rFonts w:ascii="Arial" w:eastAsia="Times New Roman" w:hAnsi="Arial" w:cs="Arial"/>
          <w:i/>
          <w:iCs/>
          <w:sz w:val="20"/>
          <w:szCs w:val="20"/>
          <w:lang w:val="es-ES" w:eastAsia="es-MX"/>
        </w:rPr>
      </w:pPr>
      <w:r w:rsidRPr="007D411D">
        <w:rPr>
          <w:rFonts w:ascii="Arial" w:hAnsi="Arial" w:cs="Arial"/>
          <w:i/>
          <w:iCs/>
          <w:sz w:val="20"/>
          <w:szCs w:val="20"/>
        </w:rPr>
        <w:t>«</w:t>
      </w:r>
      <w:r w:rsidRPr="007D411D">
        <w:rPr>
          <w:rFonts w:ascii="Arial" w:eastAsia="Times New Roman" w:hAnsi="Arial" w:cs="Arial"/>
          <w:i/>
          <w:iCs/>
          <w:sz w:val="20"/>
          <w:szCs w:val="20"/>
          <w:lang w:val="es-ES" w:eastAsia="es-MX"/>
        </w:rPr>
        <w:t xml:space="preserve">Una empresa con MENOS DE UN AÑO DESDE SU CREACION, como puede ser acreedora del puntaje por emprendimiento de mujeres? Teniendo en cuenta que en el DECRETO 1082 DE 2015 en su art 2.2.1.2.4.2.14, en el que se definen emprendimientos de mujeres, en todos sus condicionales, deben ser mayores a un año de </w:t>
      </w:r>
      <w:proofErr w:type="spellStart"/>
      <w:r w:rsidRPr="007D411D">
        <w:rPr>
          <w:rFonts w:ascii="Arial" w:eastAsia="Times New Roman" w:hAnsi="Arial" w:cs="Arial"/>
          <w:i/>
          <w:iCs/>
          <w:sz w:val="20"/>
          <w:szCs w:val="20"/>
          <w:lang w:val="es-ES" w:eastAsia="es-MX"/>
        </w:rPr>
        <w:t>vinculacion</w:t>
      </w:r>
      <w:proofErr w:type="spellEnd"/>
      <w:r w:rsidRPr="007D411D">
        <w:rPr>
          <w:rFonts w:ascii="Arial" w:eastAsia="Times New Roman" w:hAnsi="Arial" w:cs="Arial"/>
          <w:i/>
          <w:iCs/>
          <w:sz w:val="20"/>
          <w:szCs w:val="20"/>
          <w:lang w:val="es-ES" w:eastAsia="es-MX"/>
        </w:rPr>
        <w:t xml:space="preserve">, </w:t>
      </w:r>
      <w:proofErr w:type="spellStart"/>
      <w:r w:rsidRPr="007D411D">
        <w:rPr>
          <w:rFonts w:ascii="Arial" w:eastAsia="Times New Roman" w:hAnsi="Arial" w:cs="Arial"/>
          <w:i/>
          <w:iCs/>
          <w:sz w:val="20"/>
          <w:szCs w:val="20"/>
          <w:lang w:val="es-ES" w:eastAsia="es-MX"/>
        </w:rPr>
        <w:t>asociacion</w:t>
      </w:r>
      <w:proofErr w:type="spellEnd"/>
      <w:r w:rsidRPr="007D411D">
        <w:rPr>
          <w:rFonts w:ascii="Arial" w:eastAsia="Times New Roman" w:hAnsi="Arial" w:cs="Arial"/>
          <w:i/>
          <w:iCs/>
          <w:sz w:val="20"/>
          <w:szCs w:val="20"/>
          <w:lang w:val="es-ES" w:eastAsia="es-MX"/>
        </w:rPr>
        <w:t xml:space="preserve">, </w:t>
      </w:r>
      <w:proofErr w:type="spellStart"/>
      <w:r w:rsidRPr="007D411D">
        <w:rPr>
          <w:rFonts w:ascii="Arial" w:eastAsia="Times New Roman" w:hAnsi="Arial" w:cs="Arial"/>
          <w:i/>
          <w:iCs/>
          <w:sz w:val="20"/>
          <w:szCs w:val="20"/>
          <w:lang w:val="es-ES" w:eastAsia="es-MX"/>
        </w:rPr>
        <w:t>participacion</w:t>
      </w:r>
      <w:proofErr w:type="spellEnd"/>
      <w:r w:rsidRPr="007D411D">
        <w:rPr>
          <w:rFonts w:ascii="Arial" w:eastAsia="Times New Roman" w:hAnsi="Arial" w:cs="Arial"/>
          <w:i/>
          <w:iCs/>
          <w:sz w:val="20"/>
          <w:szCs w:val="20"/>
          <w:lang w:val="es-ES" w:eastAsia="es-MX"/>
        </w:rPr>
        <w:t xml:space="preserve"> </w:t>
      </w:r>
      <w:proofErr w:type="gramStart"/>
      <w:r w:rsidRPr="007D411D">
        <w:rPr>
          <w:rFonts w:ascii="Arial" w:eastAsia="Times New Roman" w:hAnsi="Arial" w:cs="Arial"/>
          <w:i/>
          <w:iCs/>
          <w:sz w:val="20"/>
          <w:szCs w:val="20"/>
          <w:lang w:val="es-ES" w:eastAsia="es-MX"/>
        </w:rPr>
        <w:t>etc...</w:t>
      </w:r>
      <w:proofErr w:type="gramEnd"/>
      <w:r w:rsidRPr="007D411D">
        <w:rPr>
          <w:rFonts w:ascii="Arial" w:hAnsi="Arial" w:cs="Arial"/>
          <w:i/>
          <w:iCs/>
          <w:sz w:val="20"/>
          <w:szCs w:val="20"/>
        </w:rPr>
        <w:t>»</w:t>
      </w:r>
    </w:p>
    <w:p w14:paraId="6AA725A8" w14:textId="75F46C36" w:rsidR="00EB5D63" w:rsidRPr="00F26C31" w:rsidRDefault="00EB5D63" w:rsidP="00EB5D63">
      <w:pPr>
        <w:spacing w:after="120" w:line="276" w:lineRule="auto"/>
        <w:jc w:val="both"/>
        <w:rPr>
          <w:rFonts w:ascii="Arial" w:eastAsia="Arial" w:hAnsi="Arial" w:cs="Arial"/>
          <w:szCs w:val="24"/>
          <w:lang w:eastAsia="es-MX"/>
        </w:rPr>
      </w:pPr>
      <w:bookmarkStart w:id="7" w:name="_Hlk94281581"/>
      <w:r w:rsidRPr="00F26C31">
        <w:rPr>
          <w:rFonts w:ascii="Arial" w:eastAsia="Arial" w:hAnsi="Arial" w:cs="Arial"/>
          <w:szCs w:val="24"/>
          <w:lang w:eastAsia="es-MX"/>
        </w:rPr>
        <w:t xml:space="preserve">De conformidad con lo expuesto, los criterios diferenciales en favor de </w:t>
      </w:r>
      <w:r w:rsidR="001925B7" w:rsidRPr="0053743D">
        <w:rPr>
          <w:rFonts w:ascii="Arial" w:eastAsia="Calibri" w:hAnsi="Arial" w:cs="Arial"/>
          <w:bCs/>
          <w:i/>
          <w:iCs/>
        </w:rPr>
        <w:t>«</w:t>
      </w:r>
      <w:r w:rsidRPr="00F26C31">
        <w:rPr>
          <w:rFonts w:ascii="Arial" w:eastAsia="Arial" w:hAnsi="Arial" w:cs="Arial"/>
          <w:szCs w:val="24"/>
          <w:lang w:eastAsia="es-MX"/>
        </w:rPr>
        <w:t xml:space="preserve">emprendimientos y empresas de mujeres incorporados por el artículo 32 de la Ley 2069 de 2020 y reglamentados mediante el Decreto 1860 de 2021, </w:t>
      </w:r>
      <w:r w:rsidR="00F26C31" w:rsidRPr="00F26C31">
        <w:rPr>
          <w:rFonts w:ascii="Arial" w:eastAsia="Arial" w:hAnsi="Arial" w:cs="Arial"/>
          <w:szCs w:val="24"/>
          <w:lang w:eastAsia="es-MX"/>
        </w:rPr>
        <w:t xml:space="preserve">cualquiera de las condiciones que se pretenda invocar de cara a ser beneficiario del puntaje adicional de que trata el artículo </w:t>
      </w:r>
      <w:r w:rsidR="00F26C31" w:rsidRPr="00F26C31">
        <w:rPr>
          <w:rFonts w:ascii="Arial" w:eastAsia="Arial" w:hAnsi="Arial" w:cs="Arial"/>
          <w:szCs w:val="24"/>
          <w:lang w:val="es-ES" w:eastAsia="es-MX"/>
        </w:rPr>
        <w:t xml:space="preserve">2.2.1.2.4.2.15. </w:t>
      </w:r>
      <w:r w:rsidR="00F26C31" w:rsidRPr="00F26C31">
        <w:rPr>
          <w:rFonts w:ascii="Arial" w:eastAsia="Arial" w:hAnsi="Arial" w:cs="Arial"/>
          <w:i/>
          <w:iCs/>
          <w:szCs w:val="24"/>
          <w:lang w:val="es-ES" w:eastAsia="es-MX"/>
        </w:rPr>
        <w:t>ibidem</w:t>
      </w:r>
      <w:r w:rsidR="00F26C31" w:rsidRPr="00F26C31">
        <w:rPr>
          <w:rFonts w:ascii="Arial" w:eastAsia="Arial" w:hAnsi="Arial" w:cs="Arial"/>
          <w:szCs w:val="24"/>
          <w:lang w:val="es-ES" w:eastAsia="es-MX"/>
        </w:rPr>
        <w:t xml:space="preserve">, requiere de acreditar las circunstancias que allí se mencionan durante un término no menor a un (1) año. En ese orden, de no cumplir con el término mínimo de un (1) año, no se entenderán cumplidos ninguno de los supuestos del artículo 2.2.1.2.4.2.14 y, por ende, el proponente no será calificado como un </w:t>
      </w:r>
      <w:r w:rsidR="00F26C31" w:rsidRPr="00F26C31">
        <w:rPr>
          <w:rFonts w:ascii="Arial" w:eastAsia="Arial" w:hAnsi="Arial" w:cs="Arial"/>
          <w:szCs w:val="24"/>
          <w:lang w:eastAsia="es-MX"/>
        </w:rPr>
        <w:t>«</w:t>
      </w:r>
      <w:r w:rsidR="00F26C31" w:rsidRPr="00F26C31">
        <w:rPr>
          <w:rFonts w:ascii="Arial" w:eastAsia="Arial" w:hAnsi="Arial" w:cs="Arial"/>
          <w:szCs w:val="24"/>
          <w:lang w:val="es-ES" w:eastAsia="es-MX"/>
        </w:rPr>
        <w:t>emprendimiento y/o empresa de mujeres</w:t>
      </w:r>
      <w:r w:rsidR="00F26C31" w:rsidRPr="00F26C31">
        <w:rPr>
          <w:rFonts w:ascii="Arial" w:eastAsia="Arial" w:hAnsi="Arial" w:cs="Arial"/>
          <w:szCs w:val="24"/>
          <w:lang w:eastAsia="es-MX"/>
        </w:rPr>
        <w:t>».</w:t>
      </w:r>
    </w:p>
    <w:p w14:paraId="295C8A28" w14:textId="73379019" w:rsidR="00EB5D63" w:rsidRPr="00F26C31" w:rsidRDefault="00EB5D63" w:rsidP="00EB5D63">
      <w:pPr>
        <w:spacing w:after="120" w:line="276" w:lineRule="auto"/>
        <w:jc w:val="both"/>
        <w:rPr>
          <w:rFonts w:ascii="Arial" w:eastAsia="Calibri" w:hAnsi="Arial" w:cs="Arial"/>
          <w:color w:val="000000" w:themeColor="text1"/>
          <w:lang w:val="es-ES_tradnl"/>
        </w:rPr>
      </w:pPr>
      <w:r w:rsidRPr="00F26C31">
        <w:rPr>
          <w:rFonts w:ascii="Arial" w:eastAsia="Calibri" w:hAnsi="Arial" w:cs="Arial"/>
          <w:color w:val="000000" w:themeColor="text1"/>
          <w:lang w:val="es-ES_tradnl"/>
        </w:rPr>
        <w:t xml:space="preserve">De esta manera, el primer criterio establecido en la norma para definir los </w:t>
      </w:r>
      <w:r w:rsidR="001925B7" w:rsidRPr="0053743D">
        <w:rPr>
          <w:rFonts w:ascii="Arial" w:eastAsia="Calibri" w:hAnsi="Arial" w:cs="Arial"/>
          <w:bCs/>
          <w:i/>
          <w:iCs/>
        </w:rPr>
        <w:t>«</w:t>
      </w:r>
      <w:r w:rsidRPr="00F26C31">
        <w:rPr>
          <w:rFonts w:ascii="Arial" w:eastAsia="Calibri" w:hAnsi="Arial" w:cs="Arial"/>
          <w:color w:val="000000" w:themeColor="text1"/>
          <w:lang w:val="es-ES_tradnl"/>
        </w:rPr>
        <w:t>emprendimientos y empresas de mujeres</w:t>
      </w:r>
      <w:r w:rsidR="00FF43EA" w:rsidRPr="00F26C31">
        <w:rPr>
          <w:rFonts w:ascii="Arial" w:eastAsia="Arial" w:hAnsi="Arial" w:cs="Arial"/>
          <w:szCs w:val="24"/>
          <w:lang w:eastAsia="es-MX"/>
        </w:rPr>
        <w:t>»</w:t>
      </w:r>
      <w:r w:rsidRPr="00F26C31">
        <w:rPr>
          <w:rFonts w:ascii="Arial" w:eastAsia="Calibri" w:hAnsi="Arial" w:cs="Arial"/>
          <w:color w:val="000000" w:themeColor="text1"/>
          <w:lang w:val="es-ES_tradnl"/>
        </w:rPr>
        <w:t xml:space="preserve"> deja por fuera de dicha categoría a aquellas sociedades que, a pesar de contar con la participación mayoritaria de mujeres, no cuenten con el elemento temporal previsto en la norma que requiere que la condición haya durado el tiempo mínimo de un (1) año. El numeral 2 establece como criterio que «</w:t>
      </w:r>
      <w:r w:rsidRPr="007D411D">
        <w:rPr>
          <w:rFonts w:ascii="Arial" w:eastAsia="Calibri" w:hAnsi="Arial" w:cs="Arial"/>
          <w:i/>
          <w:iCs/>
          <w:color w:val="000000" w:themeColor="text1"/>
          <w:lang w:val="es-ES_tradnl"/>
        </w:rPr>
        <w:t>por lo menos el cincuenta por ciento (50%) de los empleos del nivel directivo de la persona jurídica sean ejercidos por mujeres y éstas hayan estado vinculadas laboralmente a la empresa durante al menos el último año».</w:t>
      </w:r>
      <w:r w:rsidRPr="00F26C31">
        <w:rPr>
          <w:rFonts w:ascii="Arial" w:eastAsia="Calibri" w:hAnsi="Arial" w:cs="Arial"/>
          <w:color w:val="000000" w:themeColor="text1"/>
          <w:lang w:val="es-ES_tradnl"/>
        </w:rPr>
        <w:t xml:space="preserve"> Por otro lado, el numeral 3 requiere que la persona natural sea una mujer y haya ejercido actividades comerciales mediante un establecimiento de comercio durante al menos el último año. Finalmente, el numeral 4 que el cincuenta por ciento (50%) de la participación en la asociación o cooperativa haya correspondido a mujeres durante al menos el último año</w:t>
      </w:r>
      <w:r w:rsidR="00FF43EA">
        <w:rPr>
          <w:rFonts w:ascii="Arial" w:eastAsia="Calibri" w:hAnsi="Arial" w:cs="Arial"/>
          <w:color w:val="000000" w:themeColor="text1"/>
          <w:lang w:val="es-ES_tradnl"/>
        </w:rPr>
        <w:t>.</w:t>
      </w:r>
    </w:p>
    <w:p w14:paraId="56EB92C3" w14:textId="367137B3" w:rsidR="00FF43EA" w:rsidRPr="00F26C31" w:rsidRDefault="00EB5D63" w:rsidP="00FF43EA">
      <w:pPr>
        <w:spacing w:after="120" w:line="276" w:lineRule="auto"/>
        <w:jc w:val="both"/>
        <w:rPr>
          <w:rFonts w:ascii="Arial" w:eastAsia="Calibri" w:hAnsi="Arial" w:cs="Arial"/>
          <w:color w:val="000000" w:themeColor="text1"/>
          <w:lang w:val="es-ES_tradnl"/>
        </w:rPr>
      </w:pPr>
      <w:r w:rsidRPr="00F26C31">
        <w:rPr>
          <w:rFonts w:ascii="Arial" w:hAnsi="Arial" w:cs="Arial"/>
          <w:color w:val="000000" w:themeColor="text1"/>
          <w:lang w:eastAsia="es-CO"/>
        </w:rPr>
        <w:t xml:space="preserve">De acuerdo con lo anterior, proponentes que no cumplan con alguno de los criterios definitorios de </w:t>
      </w:r>
      <w:r w:rsidR="001925B7" w:rsidRPr="0053743D">
        <w:rPr>
          <w:rFonts w:ascii="Arial" w:eastAsia="Calibri" w:hAnsi="Arial" w:cs="Arial"/>
          <w:bCs/>
          <w:i/>
          <w:iCs/>
        </w:rPr>
        <w:t>«</w:t>
      </w:r>
      <w:r w:rsidRPr="00F26C31">
        <w:rPr>
          <w:rFonts w:ascii="Arial" w:hAnsi="Arial" w:cs="Arial"/>
          <w:color w:val="000000" w:themeColor="text1"/>
          <w:lang w:eastAsia="es-CO"/>
        </w:rPr>
        <w:t>emprendimientos y empresas de mujeres</w:t>
      </w:r>
      <w:r w:rsidR="00FF43EA" w:rsidRPr="00F26C31">
        <w:rPr>
          <w:rFonts w:ascii="Arial" w:eastAsia="Arial" w:hAnsi="Arial" w:cs="Arial"/>
          <w:szCs w:val="24"/>
          <w:lang w:eastAsia="es-MX"/>
        </w:rPr>
        <w:t>»</w:t>
      </w:r>
      <w:r w:rsidRPr="00F26C31">
        <w:rPr>
          <w:rFonts w:ascii="Arial" w:hAnsi="Arial" w:cs="Arial"/>
          <w:color w:val="000000" w:themeColor="text1"/>
          <w:lang w:eastAsia="es-CO"/>
        </w:rPr>
        <w:t xml:space="preserve"> establecidos en el artículo 2.2.1.2.4.2.14 están excluidos del ámbito de aplicación de los criterios diferenciales, </w:t>
      </w:r>
      <w:r w:rsidRPr="00F26C31">
        <w:rPr>
          <w:rFonts w:ascii="Arial" w:hAnsi="Arial" w:cs="Arial"/>
          <w:color w:val="000000" w:themeColor="text1"/>
          <w:lang w:eastAsia="es-CO"/>
        </w:rPr>
        <w:lastRenderedPageBreak/>
        <w:t>reglamentados por el artículo 2.2.1.2.4.2.15 del Decreto 1082 de 2015, adicionado por el Decreto 1860 de 2021, en desarrollo de lo dispuesto en el artículo 32 de la Ley 2069 de 2020</w:t>
      </w:r>
      <w:r w:rsidR="00FF43EA">
        <w:rPr>
          <w:rFonts w:ascii="Arial" w:hAnsi="Arial" w:cs="Arial"/>
          <w:color w:val="000000" w:themeColor="text1"/>
          <w:lang w:eastAsia="es-CO"/>
        </w:rPr>
        <w:t xml:space="preserve">, </w:t>
      </w:r>
      <w:r w:rsidR="00FF43EA">
        <w:rPr>
          <w:rFonts w:ascii="Arial" w:eastAsia="Calibri" w:hAnsi="Arial" w:cs="Arial"/>
          <w:color w:val="000000" w:themeColor="text1"/>
          <w:lang w:val="es-ES_tradnl"/>
        </w:rPr>
        <w:t xml:space="preserve">por lo tanto, no podrá otorgarse </w:t>
      </w:r>
      <w:r w:rsidR="00FF43EA" w:rsidRPr="00F26C31">
        <w:rPr>
          <w:rFonts w:ascii="Arial" w:eastAsia="Arial" w:hAnsi="Arial" w:cs="Arial"/>
          <w:szCs w:val="24"/>
          <w:lang w:eastAsia="es-MX"/>
        </w:rPr>
        <w:t xml:space="preserve">puntaje adicional de que trata el artículo </w:t>
      </w:r>
      <w:r w:rsidR="00FF43EA" w:rsidRPr="00F26C31">
        <w:rPr>
          <w:rFonts w:ascii="Arial" w:eastAsia="Arial" w:hAnsi="Arial" w:cs="Arial"/>
          <w:szCs w:val="24"/>
          <w:lang w:val="es-ES" w:eastAsia="es-MX"/>
        </w:rPr>
        <w:t>2.2.1.2.4.2.1</w:t>
      </w:r>
      <w:r w:rsidR="00FF43EA">
        <w:rPr>
          <w:rFonts w:ascii="Arial" w:eastAsia="Arial" w:hAnsi="Arial" w:cs="Arial"/>
          <w:szCs w:val="24"/>
          <w:lang w:val="es-ES" w:eastAsia="es-MX"/>
        </w:rPr>
        <w:t>4 del Decreto 1860 de 2021 a empresas con menos de un año de creación.</w:t>
      </w:r>
      <w:r w:rsidR="00FF43EA" w:rsidRPr="00F26C31">
        <w:rPr>
          <w:rFonts w:ascii="Arial" w:eastAsia="Calibri" w:hAnsi="Arial" w:cs="Arial"/>
          <w:color w:val="000000" w:themeColor="text1"/>
          <w:lang w:val="es-ES_tradnl"/>
        </w:rPr>
        <w:t xml:space="preserve"> </w:t>
      </w:r>
    </w:p>
    <w:p w14:paraId="4A1A8302" w14:textId="60577DE2" w:rsidR="00F82F5D" w:rsidRPr="00EC7006" w:rsidRDefault="00EB5D63" w:rsidP="007D411D">
      <w:pPr>
        <w:spacing w:line="276" w:lineRule="auto"/>
        <w:ind w:firstLine="708"/>
        <w:jc w:val="both"/>
        <w:rPr>
          <w:rFonts w:ascii="Arial" w:hAnsi="Arial" w:cs="Arial"/>
          <w:lang w:val="es-ES_tradnl"/>
        </w:rPr>
      </w:pPr>
      <w:r w:rsidRPr="00F26C31">
        <w:rPr>
          <w:rFonts w:ascii="Arial" w:hAnsi="Arial" w:cs="Arial"/>
          <w:color w:val="000000" w:themeColor="text1"/>
          <w:lang w:val="es-ES_tradnl"/>
        </w:rPr>
        <w:t>Este concepto tiene el alcance previsto en el artículo 28 del Código de Procedimiento Administrativo y de lo Contencioso Administrativo</w:t>
      </w:r>
      <w:r w:rsidR="00F82F5D" w:rsidRPr="00F82F5D">
        <w:rPr>
          <w:rFonts w:ascii="Arial" w:eastAsia="Calibri" w:hAnsi="Arial" w:cs="Arial"/>
          <w:lang w:val="es-ES" w:eastAsia="es-MX"/>
        </w:rPr>
        <w:t xml:space="preserve"> </w:t>
      </w:r>
      <w:r w:rsidR="00F82F5D" w:rsidRPr="00EC7006">
        <w:rPr>
          <w:rFonts w:ascii="Arial" w:eastAsia="Calibri" w:hAnsi="Arial" w:cs="Arial"/>
          <w:lang w:val="es-ES" w:eastAsia="es-MX"/>
        </w:rPr>
        <w:t xml:space="preserve">y </w:t>
      </w:r>
      <w:r w:rsidR="00F82F5D" w:rsidRPr="00EC7006">
        <w:rPr>
          <w:rFonts w:ascii="Arial" w:eastAsia="Calibri" w:hAnsi="Arial" w:cs="Arial"/>
          <w:lang w:val="es-MX"/>
        </w:rPr>
        <w:t>las expresiones aquí utilizadas con mayúscula inicial deben ser entendidas con el significado que les otorga el artículo 2.2.1.1.1.3.1. del Decreto 1082 de 2015</w:t>
      </w:r>
      <w:r w:rsidR="00F82F5D" w:rsidRPr="00EC7006">
        <w:rPr>
          <w:rFonts w:ascii="Arial" w:hAnsi="Arial" w:cs="Arial"/>
          <w:lang w:val="es-ES_tradnl"/>
        </w:rPr>
        <w:t>.</w:t>
      </w:r>
    </w:p>
    <w:p w14:paraId="482B3C6E" w14:textId="7E4E3D25" w:rsidR="00EB5D63" w:rsidRPr="00F26C31" w:rsidRDefault="00EB5D63" w:rsidP="00EB5D63">
      <w:pPr>
        <w:spacing w:line="276" w:lineRule="auto"/>
        <w:jc w:val="both"/>
        <w:rPr>
          <w:rFonts w:ascii="Arial" w:hAnsi="Arial" w:cs="Arial"/>
          <w:color w:val="000000" w:themeColor="text1"/>
          <w:lang w:val="es-ES_tradnl"/>
        </w:rPr>
      </w:pPr>
    </w:p>
    <w:bookmarkEnd w:id="0"/>
    <w:bookmarkEnd w:id="7"/>
    <w:p w14:paraId="0DD405ED" w14:textId="19F400A2" w:rsidR="00F26C31" w:rsidRPr="00F26C31" w:rsidRDefault="00F26C31" w:rsidP="00F26C31">
      <w:pPr>
        <w:rPr>
          <w:rFonts w:ascii="Arial" w:eastAsia="Times New Roman" w:hAnsi="Arial" w:cs="Arial"/>
          <w:lang w:eastAsia="es-CO"/>
        </w:rPr>
      </w:pPr>
      <w:r w:rsidRPr="00F26C31">
        <w:rPr>
          <w:rFonts w:ascii="Arial" w:eastAsia="Times New Roman" w:hAnsi="Arial" w:cs="Arial"/>
          <w:lang w:eastAsia="es-CO"/>
        </w:rPr>
        <w:t>Atentamente,</w:t>
      </w:r>
    </w:p>
    <w:p w14:paraId="0D3EEF35" w14:textId="04628871" w:rsidR="00F26C31" w:rsidRPr="00F26C31" w:rsidRDefault="00266FA6" w:rsidP="00F26C31">
      <w:pPr>
        <w:jc w:val="center"/>
        <w:rPr>
          <w:rFonts w:ascii="Arial" w:eastAsia="Times New Roman" w:hAnsi="Arial" w:cs="Arial"/>
          <w:lang w:eastAsia="es-CO"/>
        </w:rPr>
      </w:pPr>
      <w:r w:rsidRPr="00266FA6">
        <w:rPr>
          <w:rFonts w:ascii="Arial" w:hAnsi="Arial" w:cs="Arial"/>
          <w:lang w:eastAsia="es-CO"/>
        </w:rPr>
        <w:t xml:space="preserve"> </w:t>
      </w:r>
      <w:r>
        <w:rPr>
          <w:rFonts w:ascii="Arial" w:hAnsi="Arial" w:cs="Arial"/>
          <w:noProof/>
          <w:lang w:eastAsia="es-CO"/>
        </w:rPr>
        <w:drawing>
          <wp:inline distT="0" distB="0" distL="0" distR="0" wp14:anchorId="478DDC3C" wp14:editId="11DE5A83">
            <wp:extent cx="2108200" cy="812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812800"/>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6C31" w:rsidRPr="00F26C31" w14:paraId="3A33443F" w14:textId="77777777" w:rsidTr="00921DDD">
        <w:trPr>
          <w:trHeight w:val="315"/>
        </w:trPr>
        <w:tc>
          <w:tcPr>
            <w:tcW w:w="812" w:type="dxa"/>
            <w:vAlign w:val="center"/>
          </w:tcPr>
          <w:p w14:paraId="426B8D29"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33132D9F"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Times New Roman" w:hAnsi="Arial" w:cs="Arial"/>
                <w:sz w:val="16"/>
                <w:szCs w:val="16"/>
                <w:lang w:eastAsia="es-ES"/>
              </w:rPr>
              <w:t xml:space="preserve">Juan Carlos </w:t>
            </w:r>
            <w:proofErr w:type="spellStart"/>
            <w:r w:rsidRPr="00F26C31">
              <w:rPr>
                <w:rFonts w:ascii="Arial" w:eastAsia="Times New Roman" w:hAnsi="Arial" w:cs="Arial"/>
                <w:sz w:val="16"/>
                <w:szCs w:val="16"/>
                <w:lang w:eastAsia="es-ES"/>
              </w:rPr>
              <w:t>Covilla</w:t>
            </w:r>
            <w:proofErr w:type="spellEnd"/>
            <w:r w:rsidRPr="00F26C31">
              <w:rPr>
                <w:rFonts w:ascii="Arial" w:eastAsia="Times New Roman" w:hAnsi="Arial" w:cs="Arial"/>
                <w:sz w:val="16"/>
                <w:szCs w:val="16"/>
                <w:lang w:eastAsia="es-ES"/>
              </w:rPr>
              <w:t xml:space="preserve"> Martínez</w:t>
            </w:r>
          </w:p>
          <w:p w14:paraId="01C9EA6F"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Times New Roman" w:hAnsi="Arial" w:cs="Arial"/>
                <w:sz w:val="16"/>
                <w:szCs w:val="16"/>
                <w:lang w:eastAsia="es-ES"/>
              </w:rPr>
              <w:t xml:space="preserve">Contratista de la Subdirección de Gestión Contractual </w:t>
            </w:r>
          </w:p>
        </w:tc>
      </w:tr>
      <w:tr w:rsidR="00F26C31" w:rsidRPr="00F26C31" w14:paraId="6127E12F" w14:textId="77777777" w:rsidTr="00921DDD">
        <w:trPr>
          <w:trHeight w:val="330"/>
        </w:trPr>
        <w:tc>
          <w:tcPr>
            <w:tcW w:w="812" w:type="dxa"/>
            <w:vAlign w:val="center"/>
          </w:tcPr>
          <w:p w14:paraId="5BCDE6E6"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51FF760" w14:textId="2B2D5810" w:rsidR="00F26C31" w:rsidRPr="00F26C31" w:rsidRDefault="00F26C31" w:rsidP="00921DDD">
            <w:pPr>
              <w:spacing w:after="0"/>
              <w:rPr>
                <w:rFonts w:ascii="Arial" w:hAnsi="Arial" w:cs="Arial"/>
                <w:sz w:val="16"/>
                <w:szCs w:val="16"/>
                <w:lang w:eastAsia="es-ES"/>
              </w:rPr>
            </w:pPr>
            <w:r w:rsidRPr="00F26C31">
              <w:rPr>
                <w:rFonts w:ascii="Arial" w:hAnsi="Arial" w:cs="Arial"/>
                <w:sz w:val="16"/>
                <w:szCs w:val="16"/>
                <w:lang w:eastAsia="es-ES"/>
              </w:rPr>
              <w:t>Any Alejandra Tovar Castillo</w:t>
            </w:r>
          </w:p>
          <w:p w14:paraId="3661CDFB" w14:textId="459D5A4D" w:rsidR="00F26C31" w:rsidRPr="00F26C31" w:rsidRDefault="00F26C31" w:rsidP="00921DDD">
            <w:pPr>
              <w:spacing w:after="0"/>
              <w:rPr>
                <w:rFonts w:ascii="Arial" w:eastAsia="Times New Roman" w:hAnsi="Arial" w:cs="Arial"/>
                <w:sz w:val="16"/>
                <w:szCs w:val="16"/>
                <w:lang w:eastAsia="es-ES"/>
              </w:rPr>
            </w:pPr>
            <w:r w:rsidRPr="00F26C31">
              <w:rPr>
                <w:rFonts w:ascii="Arial" w:hAnsi="Arial" w:cs="Arial"/>
                <w:sz w:val="16"/>
                <w:szCs w:val="16"/>
                <w:lang w:eastAsia="es-ES"/>
              </w:rPr>
              <w:t>Contratista de la Subdirección de Gestión Contractual</w:t>
            </w:r>
          </w:p>
        </w:tc>
      </w:tr>
      <w:tr w:rsidR="00F26C31" w:rsidRPr="00F26C31" w14:paraId="76DB1A89" w14:textId="77777777" w:rsidTr="00921DDD">
        <w:trPr>
          <w:trHeight w:val="300"/>
        </w:trPr>
        <w:tc>
          <w:tcPr>
            <w:tcW w:w="812" w:type="dxa"/>
            <w:vAlign w:val="center"/>
          </w:tcPr>
          <w:p w14:paraId="51F6C175"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268893D" w14:textId="77777777" w:rsidR="00F26C31" w:rsidRPr="00F26C31" w:rsidRDefault="00F26C31" w:rsidP="00921DDD">
            <w:pPr>
              <w:spacing w:after="0"/>
              <w:rPr>
                <w:rFonts w:ascii="Arial" w:eastAsia="Calibri" w:hAnsi="Arial" w:cs="Arial"/>
                <w:sz w:val="16"/>
                <w:szCs w:val="16"/>
                <w:lang w:val="pt-BR" w:eastAsia="es-ES"/>
              </w:rPr>
            </w:pPr>
            <w:r w:rsidRPr="00F26C31">
              <w:rPr>
                <w:rFonts w:ascii="Arial" w:eastAsia="Calibri" w:hAnsi="Arial" w:cs="Arial"/>
                <w:sz w:val="16"/>
                <w:szCs w:val="16"/>
                <w:lang w:val="pt-BR" w:eastAsia="es-ES"/>
              </w:rPr>
              <w:t>Nohelia del Carmen Zawady Palacio</w:t>
            </w:r>
          </w:p>
          <w:p w14:paraId="7F659391" w14:textId="77777777" w:rsidR="00F26C31" w:rsidRPr="00F26C31" w:rsidRDefault="00F26C31" w:rsidP="00921DDD">
            <w:pPr>
              <w:spacing w:after="0"/>
              <w:rPr>
                <w:rFonts w:ascii="Arial" w:eastAsia="Times New Roman" w:hAnsi="Arial" w:cs="Arial"/>
                <w:sz w:val="16"/>
                <w:szCs w:val="16"/>
                <w:lang w:eastAsia="es-ES"/>
              </w:rPr>
            </w:pPr>
            <w:r w:rsidRPr="00F26C31">
              <w:rPr>
                <w:rFonts w:ascii="Arial" w:eastAsia="Calibri" w:hAnsi="Arial" w:cs="Arial"/>
                <w:sz w:val="16"/>
                <w:szCs w:val="16"/>
                <w:lang w:eastAsia="es-ES"/>
              </w:rPr>
              <w:t xml:space="preserve">Subdirectora de Gestión Contractual </w:t>
            </w:r>
          </w:p>
        </w:tc>
      </w:tr>
    </w:tbl>
    <w:p w14:paraId="2BA266DD" w14:textId="77777777" w:rsidR="00F26C31" w:rsidRPr="00F26C31" w:rsidRDefault="00F26C31" w:rsidP="00F26C31">
      <w:pPr>
        <w:spacing w:after="120" w:line="276" w:lineRule="auto"/>
        <w:jc w:val="both"/>
        <w:rPr>
          <w:rFonts w:ascii="Arial" w:hAnsi="Arial" w:cs="Arial"/>
        </w:rPr>
      </w:pPr>
    </w:p>
    <w:sectPr w:rsidR="00F26C31" w:rsidRPr="00F26C31" w:rsidSect="005A79FE">
      <w:headerReference w:type="default" r:id="rId9"/>
      <w:footerReference w:type="default" r:id="rId10"/>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1F90" w14:textId="77777777" w:rsidR="001F179A" w:rsidRDefault="001F179A" w:rsidP="00EB5D63">
      <w:pPr>
        <w:spacing w:after="0" w:line="240" w:lineRule="auto"/>
      </w:pPr>
      <w:r>
        <w:separator/>
      </w:r>
    </w:p>
  </w:endnote>
  <w:endnote w:type="continuationSeparator" w:id="0">
    <w:p w14:paraId="184887DB" w14:textId="77777777" w:rsidR="001F179A" w:rsidRDefault="001F179A" w:rsidP="00EB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1A08" w14:textId="77777777" w:rsidR="006A22E4" w:rsidRDefault="00000000" w:rsidP="006A22E4">
    <w:pPr>
      <w:pStyle w:val="Piedepgina"/>
    </w:pPr>
    <w:r>
      <w:rPr>
        <w:noProof/>
        <w:lang w:eastAsia="es-CO"/>
      </w:rPr>
      <w:drawing>
        <wp:inline distT="0" distB="0" distL="0" distR="0" wp14:anchorId="79EF7BE7" wp14:editId="7371433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419"/>
      <w:gridCol w:w="840"/>
      <w:gridCol w:w="1954"/>
      <w:gridCol w:w="719"/>
      <w:gridCol w:w="2489"/>
      <w:gridCol w:w="1361"/>
    </w:tblGrid>
    <w:tr w:rsidR="006A22E4" w:rsidRPr="00080DA3" w14:paraId="0B9CD23E" w14:textId="77777777" w:rsidTr="005F650B">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B939AD9" w14:textId="77777777" w:rsidR="006A22E4" w:rsidRPr="00080DA3" w:rsidRDefault="00000000" w:rsidP="006A22E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A82691" w14:textId="77777777" w:rsidR="006A22E4" w:rsidRPr="00080DA3" w:rsidRDefault="00000000" w:rsidP="006A22E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5DC30D7" w14:textId="77777777" w:rsidR="006A22E4" w:rsidRPr="00080DA3" w:rsidRDefault="00000000" w:rsidP="006A22E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B4A695E" w14:textId="77777777" w:rsidR="006A22E4" w:rsidRPr="00080DA3" w:rsidRDefault="00000000" w:rsidP="006A22E4">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0B91D01" w14:textId="77777777" w:rsidR="006A22E4" w:rsidRPr="00080DA3" w:rsidRDefault="00000000" w:rsidP="006A22E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9A91BE" w14:textId="77777777" w:rsidR="006A22E4" w:rsidRPr="00080DA3" w:rsidRDefault="00000000" w:rsidP="006A22E4">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D612D3" w14:textId="77777777" w:rsidR="006A22E4" w:rsidRPr="00080DA3" w:rsidRDefault="00000000" w:rsidP="006A22E4">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p>
      </w:tc>
    </w:tr>
  </w:tbl>
  <w:p w14:paraId="1A3A40BC"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A58A" w14:textId="77777777" w:rsidR="001F179A" w:rsidRDefault="001F179A" w:rsidP="00EB5D63">
      <w:pPr>
        <w:spacing w:after="0" w:line="240" w:lineRule="auto"/>
      </w:pPr>
      <w:r>
        <w:separator/>
      </w:r>
    </w:p>
  </w:footnote>
  <w:footnote w:type="continuationSeparator" w:id="0">
    <w:p w14:paraId="1F5CCDBB" w14:textId="77777777" w:rsidR="001F179A" w:rsidRDefault="001F179A" w:rsidP="00EB5D63">
      <w:pPr>
        <w:spacing w:after="0" w:line="240" w:lineRule="auto"/>
      </w:pPr>
      <w:r>
        <w:continuationSeparator/>
      </w:r>
    </w:p>
  </w:footnote>
  <w:footnote w:id="1">
    <w:p w14:paraId="4B220E92"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D411D">
        <w:rPr>
          <w:rFonts w:ascii="Arial" w:hAnsi="Arial" w:cs="Arial"/>
          <w:i/>
          <w:iCs/>
          <w:color w:val="000000" w:themeColor="text1"/>
          <w:sz w:val="18"/>
          <w:szCs w:val="18"/>
        </w:rPr>
        <w:t xml:space="preserve">ibidem </w:t>
      </w:r>
      <w:r w:rsidRPr="007D411D">
        <w:rPr>
          <w:rFonts w:ascii="Arial" w:hAnsi="Arial" w:cs="Arial"/>
          <w:color w:val="000000" w:themeColor="text1"/>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495D67F" w14:textId="77777777" w:rsidR="00EB5D63" w:rsidRPr="007D411D" w:rsidRDefault="00EB5D63" w:rsidP="00EB5D63">
      <w:pPr>
        <w:pStyle w:val="Textonotapie"/>
        <w:ind w:firstLine="708"/>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3352AFB6" w14:textId="77777777" w:rsidR="00EB5D63" w:rsidRPr="007D411D" w:rsidRDefault="00EB5D63" w:rsidP="00EB5D63">
      <w:pPr>
        <w:pStyle w:val="Textonotapie"/>
        <w:ind w:firstLine="708"/>
        <w:jc w:val="both"/>
        <w:rPr>
          <w:rStyle w:val="Hipervnculo1"/>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Texto del Proyecto de Ley 122 de 2020 Cámara. Exposición de motivos. Consultado el 29 de diciembre de 2021 en la página web: </w:t>
      </w:r>
      <w:hyperlink r:id="rId1" w:history="1">
        <w:r w:rsidRPr="007D411D">
          <w:rPr>
            <w:rStyle w:val="Hipervnculo1"/>
            <w:rFonts w:ascii="Arial" w:hAnsi="Arial" w:cs="Arial"/>
            <w:color w:val="000000" w:themeColor="text1"/>
            <w:sz w:val="18"/>
            <w:szCs w:val="18"/>
          </w:rPr>
          <w:t>http://leyes.senado.gov.co/proyectos/index.php/textos-radicados-senado/p-ley-2020-2021/1957-proyecto-de-ley-161-de-2020</w:t>
        </w:r>
      </w:hyperlink>
    </w:p>
    <w:p w14:paraId="062BB06A" w14:textId="77777777" w:rsidR="00EB5D63" w:rsidRPr="007D411D" w:rsidRDefault="00EB5D63" w:rsidP="00EB5D63">
      <w:pPr>
        <w:pStyle w:val="Textonotapie"/>
        <w:ind w:firstLine="708"/>
        <w:jc w:val="both"/>
        <w:rPr>
          <w:rFonts w:ascii="Arial" w:hAnsi="Arial" w:cs="Arial"/>
          <w:color w:val="000000" w:themeColor="text1"/>
          <w:sz w:val="18"/>
          <w:szCs w:val="18"/>
        </w:rPr>
      </w:pPr>
    </w:p>
  </w:footnote>
  <w:footnote w:id="4">
    <w:p w14:paraId="551B7712"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ES"/>
        </w:rPr>
        <w:t>Artículos 2 al 29.</w:t>
      </w:r>
    </w:p>
    <w:p w14:paraId="19B3DFF5"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p>
  </w:footnote>
  <w:footnote w:id="5">
    <w:p w14:paraId="24A37B7E"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ES"/>
        </w:rPr>
        <w:t>Artículos 30 al 36.</w:t>
      </w:r>
    </w:p>
    <w:p w14:paraId="2EC5612C"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p>
  </w:footnote>
  <w:footnote w:id="6">
    <w:p w14:paraId="652DAB00"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ES"/>
        </w:rPr>
        <w:t>Artículos 37 al 45.</w:t>
      </w:r>
    </w:p>
    <w:p w14:paraId="24060CEC"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p>
  </w:footnote>
  <w:footnote w:id="7">
    <w:p w14:paraId="172A7F1F"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ES"/>
        </w:rPr>
        <w:t>Artículos 46 al 73.</w:t>
      </w:r>
    </w:p>
    <w:p w14:paraId="545B8361"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p>
  </w:footnote>
  <w:footnote w:id="8">
    <w:p w14:paraId="55CC0624"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w:t>
      </w:r>
      <w:r w:rsidRPr="007D411D">
        <w:rPr>
          <w:rFonts w:ascii="Arial" w:hAnsi="Arial" w:cs="Arial"/>
          <w:color w:val="000000" w:themeColor="text1"/>
          <w:sz w:val="18"/>
          <w:szCs w:val="18"/>
          <w:lang w:val="es-ES"/>
        </w:rPr>
        <w:t>Artículos 74 al 83.</w:t>
      </w:r>
    </w:p>
    <w:p w14:paraId="0F146E1F" w14:textId="77777777" w:rsidR="00EB5D63" w:rsidRPr="007D411D" w:rsidRDefault="00EB5D63" w:rsidP="00EB5D63">
      <w:pPr>
        <w:pStyle w:val="Textonotapie"/>
        <w:ind w:firstLine="709"/>
        <w:jc w:val="both"/>
        <w:rPr>
          <w:rFonts w:ascii="Arial" w:hAnsi="Arial" w:cs="Arial"/>
          <w:color w:val="000000" w:themeColor="text1"/>
          <w:sz w:val="18"/>
          <w:szCs w:val="18"/>
          <w:lang w:val="es-ES"/>
        </w:rPr>
      </w:pPr>
    </w:p>
  </w:footnote>
  <w:footnote w:id="9">
    <w:p w14:paraId="1DD142FA" w14:textId="77777777" w:rsidR="00EB5D63" w:rsidRPr="007D411D" w:rsidRDefault="00EB5D63" w:rsidP="00EB5D63">
      <w:pPr>
        <w:pStyle w:val="Textonotapie"/>
        <w:ind w:firstLine="708"/>
        <w:rPr>
          <w:rFonts w:ascii="Arial" w:hAnsi="Arial" w:cs="Arial"/>
          <w:sz w:val="18"/>
          <w:szCs w:val="18"/>
        </w:rPr>
      </w:pPr>
      <w:r w:rsidRPr="007D411D">
        <w:rPr>
          <w:rStyle w:val="Refdenotaalpie"/>
          <w:sz w:val="18"/>
          <w:szCs w:val="18"/>
        </w:rPr>
        <w:footnoteRef/>
      </w:r>
      <w:r w:rsidRPr="007D411D">
        <w:rPr>
          <w:sz w:val="18"/>
          <w:szCs w:val="18"/>
        </w:rPr>
        <w:t xml:space="preserve"> </w:t>
      </w:r>
      <w:bookmarkStart w:id="2" w:name="_Hlk63862868"/>
      <w:r w:rsidRPr="007D411D">
        <w:rPr>
          <w:rFonts w:ascii="Arial" w:hAnsi="Arial" w:cs="Arial"/>
          <w:sz w:val="18"/>
          <w:szCs w:val="18"/>
        </w:rPr>
        <w:t>CONGRESO DE LA REPÚBLICA. Gaceta No. 670 del 11 de agosto de 2020. Exposición de motivos del Proyecto de Ley No. 122 de 2020 Cámara. p. 13.</w:t>
      </w:r>
      <w:bookmarkEnd w:id="2"/>
    </w:p>
    <w:p w14:paraId="00032EA4" w14:textId="77777777" w:rsidR="00EB5D63" w:rsidRPr="007D411D" w:rsidRDefault="00EB5D63" w:rsidP="00EB5D63">
      <w:pPr>
        <w:pStyle w:val="Textonotapie"/>
        <w:ind w:firstLine="708"/>
        <w:rPr>
          <w:sz w:val="18"/>
          <w:szCs w:val="18"/>
          <w:lang w:val="es-ES"/>
        </w:rPr>
      </w:pPr>
    </w:p>
  </w:footnote>
  <w:footnote w:id="10">
    <w:p w14:paraId="1520F770"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CC13D76" w14:textId="77777777" w:rsidR="00EB5D63" w:rsidRPr="007D411D" w:rsidRDefault="00EB5D63" w:rsidP="00EB5D63">
      <w:pPr>
        <w:pStyle w:val="Textonotapie"/>
        <w:ind w:firstLine="708"/>
        <w:jc w:val="both"/>
        <w:rPr>
          <w:rFonts w:ascii="Arial" w:hAnsi="Arial" w:cs="Arial"/>
          <w:color w:val="000000" w:themeColor="text1"/>
          <w:sz w:val="18"/>
          <w:szCs w:val="18"/>
        </w:rPr>
      </w:pPr>
      <w:r w:rsidRPr="007D411D">
        <w:rPr>
          <w:rFonts w:ascii="Arial" w:hAnsi="Arial" w:cs="Arial"/>
          <w:color w:val="000000" w:themeColor="text1"/>
          <w:sz w:val="18"/>
          <w:szCs w:val="18"/>
        </w:rPr>
        <w:t xml:space="preserve">»Parágrafo primero. La definición de emprendimientos y empresas de mujeres se reglamentará por el gobierno nacional».  </w:t>
      </w:r>
    </w:p>
  </w:footnote>
  <w:footnote w:id="11">
    <w:p w14:paraId="0C5F9AE5"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4AC5F5CE" w14:textId="77777777" w:rsidR="00EB5D63" w:rsidRPr="007D411D" w:rsidRDefault="00EB5D63" w:rsidP="00EB5D63">
      <w:pPr>
        <w:pStyle w:val="NormalWeb"/>
        <w:shd w:val="clear" w:color="auto" w:fill="FFFFFF"/>
        <w:spacing w:after="0"/>
        <w:ind w:firstLine="708"/>
        <w:jc w:val="both"/>
        <w:rPr>
          <w:rFonts w:ascii="Arial" w:hAnsi="Arial" w:cs="Arial"/>
          <w:sz w:val="18"/>
          <w:szCs w:val="18"/>
        </w:rPr>
      </w:pPr>
      <w:r w:rsidRPr="007D411D">
        <w:rPr>
          <w:rStyle w:val="Refdenotaalpie"/>
          <w:rFonts w:ascii="Arial" w:hAnsi="Arial" w:cs="Arial"/>
          <w:sz w:val="18"/>
          <w:szCs w:val="18"/>
        </w:rPr>
        <w:footnoteRef/>
      </w:r>
      <w:r w:rsidRPr="007D411D">
        <w:rPr>
          <w:rFonts w:ascii="Arial" w:hAnsi="Arial" w:cs="Arial"/>
          <w:sz w:val="18"/>
          <w:szCs w:val="18"/>
        </w:rPr>
        <w:t xml:space="preserve"> «ARTÍCULO  8. Vigencia y derogatorias</w:t>
      </w:r>
      <w:r w:rsidRPr="007D411D">
        <w:rPr>
          <w:rFonts w:ascii="Arial" w:hAnsi="Arial" w:cs="Arial"/>
          <w:b/>
          <w:bCs/>
          <w:sz w:val="18"/>
          <w:szCs w:val="18"/>
        </w:rPr>
        <w:t>.</w:t>
      </w:r>
      <w:r w:rsidRPr="007D411D">
        <w:rPr>
          <w:rFonts w:ascii="Arial" w:hAnsi="Arial" w:cs="Arial"/>
          <w:sz w:val="18"/>
          <w:szCs w:val="18"/>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7D411D">
          <w:rPr>
            <w:rFonts w:ascii="Arial" w:hAnsi="Arial" w:cs="Arial"/>
            <w:sz w:val="18"/>
            <w:szCs w:val="18"/>
          </w:rPr>
          <w:t>5 </w:t>
        </w:r>
      </w:hyperlink>
      <w:r w:rsidRPr="007D411D">
        <w:rPr>
          <w:rFonts w:ascii="Arial" w:hAnsi="Arial" w:cs="Arial"/>
          <w:sz w:val="18"/>
          <w:szCs w:val="18"/>
        </w:rPr>
        <w:t>de la Sección 1 del Capítulo 2 del Título 1 de la Parte 2 del Libro 2, así como los artículos </w:t>
      </w:r>
      <w:hyperlink r:id="rId3" w:anchor="2.2.1.2.4.2.2" w:history="1">
        <w:r w:rsidRPr="007D411D">
          <w:rPr>
            <w:rFonts w:ascii="Arial" w:hAnsi="Arial" w:cs="Arial"/>
            <w:sz w:val="18"/>
            <w:szCs w:val="18"/>
          </w:rPr>
          <w:t>2.2.1.2.4.2.2</w:t>
        </w:r>
      </w:hyperlink>
      <w:r w:rsidRPr="007D411D">
        <w:rPr>
          <w:rFonts w:ascii="Arial" w:hAnsi="Arial" w:cs="Arial"/>
          <w:sz w:val="18"/>
          <w:szCs w:val="18"/>
        </w:rPr>
        <w:t>., </w:t>
      </w:r>
      <w:hyperlink r:id="rId4" w:anchor="2.2.1.2.4.2.3" w:history="1">
        <w:r w:rsidRPr="007D411D">
          <w:rPr>
            <w:rFonts w:ascii="Arial" w:hAnsi="Arial" w:cs="Arial"/>
            <w:sz w:val="18"/>
            <w:szCs w:val="18"/>
          </w:rPr>
          <w:t>2.2.1.2.4.2.3</w:t>
        </w:r>
      </w:hyperlink>
      <w:r w:rsidRPr="007D411D">
        <w:rPr>
          <w:rFonts w:ascii="Arial" w:hAnsi="Arial" w:cs="Arial"/>
          <w:sz w:val="18"/>
          <w:szCs w:val="18"/>
        </w:rPr>
        <w:t>., </w:t>
      </w:r>
      <w:hyperlink r:id="rId5" w:anchor="2.2.1.2.4.2.4" w:history="1">
        <w:r w:rsidRPr="007D411D">
          <w:rPr>
            <w:rFonts w:ascii="Arial" w:hAnsi="Arial" w:cs="Arial"/>
            <w:sz w:val="18"/>
            <w:szCs w:val="18"/>
          </w:rPr>
          <w:t>2.2.1.2.4.2.4</w:t>
        </w:r>
      </w:hyperlink>
      <w:r w:rsidRPr="007D411D">
        <w:rPr>
          <w:rFonts w:ascii="Arial" w:hAnsi="Arial" w:cs="Arial"/>
          <w:sz w:val="18"/>
          <w:szCs w:val="18"/>
        </w:rPr>
        <w:t>., </w:t>
      </w:r>
      <w:hyperlink r:id="rId6" w:anchor="2.2.1.2.1.2.2" w:history="1">
        <w:r w:rsidRPr="007D411D">
          <w:rPr>
            <w:rFonts w:ascii="Arial" w:hAnsi="Arial" w:cs="Arial"/>
            <w:sz w:val="18"/>
            <w:szCs w:val="18"/>
          </w:rPr>
          <w:t>2.2.1.2.1.2.2</w:t>
        </w:r>
      </w:hyperlink>
      <w:r w:rsidRPr="007D411D">
        <w:rPr>
          <w:rFonts w:ascii="Arial" w:hAnsi="Arial" w:cs="Arial"/>
          <w:sz w:val="18"/>
          <w:szCs w:val="18"/>
        </w:rPr>
        <w:t>. y </w:t>
      </w:r>
      <w:hyperlink r:id="rId7" w:anchor="2.2.1.2.4.2.8" w:history="1">
        <w:r w:rsidRPr="007D411D">
          <w:rPr>
            <w:rFonts w:ascii="Arial" w:hAnsi="Arial" w:cs="Arial"/>
            <w:sz w:val="18"/>
            <w:szCs w:val="18"/>
          </w:rPr>
          <w:t>2.2.1.2.4.2.8</w:t>
        </w:r>
      </w:hyperlink>
      <w:r w:rsidRPr="007D411D">
        <w:rPr>
          <w:rFonts w:ascii="Arial" w:hAnsi="Arial" w:cs="Arial"/>
          <w:sz w:val="18"/>
          <w:szCs w:val="18"/>
        </w:rPr>
        <w:t>.; adiciona los artículos </w:t>
      </w:r>
      <w:hyperlink r:id="rId8" w:anchor="2.2.1.2.4.2.14" w:history="1">
        <w:r w:rsidRPr="007D411D">
          <w:rPr>
            <w:rFonts w:ascii="Arial" w:hAnsi="Arial" w:cs="Arial"/>
            <w:sz w:val="18"/>
            <w:szCs w:val="18"/>
          </w:rPr>
          <w:t>2.2.1.2.4.2.14</w:t>
        </w:r>
      </w:hyperlink>
      <w:r w:rsidRPr="007D411D">
        <w:rPr>
          <w:rFonts w:ascii="Arial" w:hAnsi="Arial" w:cs="Arial"/>
          <w:sz w:val="18"/>
          <w:szCs w:val="18"/>
        </w:rPr>
        <w:t>., </w:t>
      </w:r>
      <w:hyperlink r:id="rId9" w:anchor="2.2.1.2.4.2.15" w:history="1">
        <w:r w:rsidRPr="007D411D">
          <w:rPr>
            <w:rFonts w:ascii="Arial" w:hAnsi="Arial" w:cs="Arial"/>
            <w:sz w:val="18"/>
            <w:szCs w:val="18"/>
          </w:rPr>
          <w:t>2.2.1.2.4.2.15</w:t>
        </w:r>
      </w:hyperlink>
      <w:r w:rsidRPr="007D411D">
        <w:rPr>
          <w:rFonts w:ascii="Arial" w:hAnsi="Arial" w:cs="Arial"/>
          <w:sz w:val="18"/>
          <w:szCs w:val="18"/>
        </w:rPr>
        <w:t>., </w:t>
      </w:r>
      <w:hyperlink r:id="rId10" w:anchor="2.2.1.2.4.2.16" w:history="1">
        <w:r w:rsidRPr="007D411D">
          <w:rPr>
            <w:rFonts w:ascii="Arial" w:hAnsi="Arial" w:cs="Arial"/>
            <w:sz w:val="18"/>
            <w:szCs w:val="18"/>
          </w:rPr>
          <w:t>2.2.1.2.4.2.16</w:t>
        </w:r>
      </w:hyperlink>
      <w:r w:rsidRPr="007D411D">
        <w:rPr>
          <w:rFonts w:ascii="Arial" w:hAnsi="Arial" w:cs="Arial"/>
          <w:sz w:val="18"/>
          <w:szCs w:val="18"/>
        </w:rPr>
        <w:t>., </w:t>
      </w:r>
      <w:hyperlink r:id="rId11" w:anchor="2.2.1.2.4.2.17" w:history="1">
        <w:r w:rsidRPr="007D411D">
          <w:rPr>
            <w:rFonts w:ascii="Arial" w:hAnsi="Arial" w:cs="Arial"/>
            <w:sz w:val="18"/>
            <w:szCs w:val="18"/>
          </w:rPr>
          <w:t>2.2.1.2.4.2.17</w:t>
        </w:r>
      </w:hyperlink>
      <w:r w:rsidRPr="007D411D">
        <w:rPr>
          <w:rFonts w:ascii="Arial" w:hAnsi="Arial" w:cs="Arial"/>
          <w:sz w:val="18"/>
          <w:szCs w:val="18"/>
        </w:rPr>
        <w:t>.y </w:t>
      </w:r>
      <w:hyperlink r:id="rId12" w:anchor="2.2.1.2.4.2.18" w:history="1">
        <w:r w:rsidRPr="007D411D">
          <w:rPr>
            <w:rFonts w:ascii="Arial" w:hAnsi="Arial" w:cs="Arial"/>
            <w:sz w:val="18"/>
            <w:szCs w:val="18"/>
          </w:rPr>
          <w:t>2.2.1.2.4.2.18</w:t>
        </w:r>
      </w:hyperlink>
      <w:r w:rsidRPr="007D411D">
        <w:rPr>
          <w:rFonts w:ascii="Arial" w:hAnsi="Arial" w:cs="Arial"/>
          <w:sz w:val="18"/>
          <w:szCs w:val="18"/>
        </w:rPr>
        <w:t>.;adiciona un </w:t>
      </w:r>
      <w:hyperlink r:id="rId13" w:anchor="2.2.1.2.3.1.9.p" w:history="1">
        <w:r w:rsidRPr="007D411D">
          <w:rPr>
            <w:rFonts w:ascii="Arial" w:hAnsi="Arial" w:cs="Arial"/>
            <w:sz w:val="18"/>
            <w:szCs w:val="18"/>
          </w:rPr>
          <w:t>parágrafo </w:t>
        </w:r>
      </w:hyperlink>
      <w:r w:rsidRPr="007D411D">
        <w:rPr>
          <w:rFonts w:ascii="Arial" w:hAnsi="Arial" w:cs="Arial"/>
          <w:sz w:val="18"/>
          <w:szCs w:val="18"/>
        </w:rPr>
        <w:t>al artículo </w:t>
      </w:r>
      <w:hyperlink r:id="rId14" w:anchor="2.2.1.2.3.1.9" w:history="1">
        <w:r w:rsidRPr="007D411D">
          <w:rPr>
            <w:rFonts w:ascii="Arial" w:hAnsi="Arial" w:cs="Arial"/>
            <w:sz w:val="18"/>
            <w:szCs w:val="18"/>
          </w:rPr>
          <w:t>2.2.1.2.3.1.9</w:t>
        </w:r>
      </w:hyperlink>
      <w:r w:rsidRPr="007D411D">
        <w:rPr>
          <w:rFonts w:ascii="Arial" w:hAnsi="Arial" w:cs="Arial"/>
          <w:sz w:val="18"/>
          <w:szCs w:val="18"/>
        </w:rPr>
        <w:t>; y deroga el artículo </w:t>
      </w:r>
      <w:hyperlink r:id="rId15" w:anchor="2.2.1.1.2.2.9" w:history="1">
        <w:r w:rsidRPr="007D411D">
          <w:rPr>
            <w:rFonts w:ascii="Arial" w:hAnsi="Arial" w:cs="Arial"/>
            <w:sz w:val="18"/>
            <w:szCs w:val="18"/>
          </w:rPr>
          <w:t>2.2.1.1.2.2.9</w:t>
        </w:r>
      </w:hyperlink>
      <w:r w:rsidRPr="007D411D">
        <w:rPr>
          <w:rFonts w:ascii="Arial" w:hAnsi="Arial" w:cs="Arial"/>
          <w:sz w:val="18"/>
          <w:szCs w:val="18"/>
        </w:rPr>
        <w:t>. del Decreto 1082 de 2015, Único Reglamentario del Sector Administrativo de Planeación Nacional.</w:t>
      </w:r>
    </w:p>
    <w:p w14:paraId="2773C148" w14:textId="77777777" w:rsidR="00EB5D63" w:rsidRPr="007D411D" w:rsidRDefault="00EB5D63" w:rsidP="00EB5D63">
      <w:pPr>
        <w:pStyle w:val="NormalWeb"/>
        <w:shd w:val="clear" w:color="auto" w:fill="FFFFFF"/>
        <w:spacing w:after="0"/>
        <w:ind w:firstLine="708"/>
        <w:jc w:val="both"/>
        <w:rPr>
          <w:rFonts w:ascii="Arial" w:hAnsi="Arial" w:cs="Arial"/>
          <w:sz w:val="18"/>
          <w:szCs w:val="18"/>
        </w:rPr>
      </w:pPr>
      <w:r w:rsidRPr="007D411D">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ECAB66F" w14:textId="77777777" w:rsidR="00EB5D63" w:rsidRPr="007D411D" w:rsidRDefault="00EB5D63" w:rsidP="00EB5D63">
      <w:pPr>
        <w:pStyle w:val="NormalWeb"/>
        <w:shd w:val="clear" w:color="auto" w:fill="FFFFFF"/>
        <w:spacing w:after="0"/>
        <w:ind w:firstLine="708"/>
        <w:jc w:val="both"/>
        <w:rPr>
          <w:rFonts w:ascii="Arial" w:hAnsi="Arial" w:cs="Arial"/>
          <w:sz w:val="18"/>
          <w:szCs w:val="18"/>
        </w:rPr>
      </w:pPr>
      <w:r w:rsidRPr="007D411D">
        <w:rPr>
          <w:rFonts w:ascii="Arial" w:hAnsi="Arial" w:cs="Arial"/>
          <w:sz w:val="18"/>
          <w:szCs w:val="18"/>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61C57A8B" w14:textId="77777777" w:rsidR="00EB5D63" w:rsidRPr="007D411D" w:rsidRDefault="00EB5D63" w:rsidP="00EB5D63">
      <w:pPr>
        <w:pStyle w:val="Textonotapie"/>
        <w:jc w:val="both"/>
        <w:rPr>
          <w:rFonts w:ascii="Arial" w:hAnsi="Arial" w:cs="Arial"/>
          <w:sz w:val="18"/>
          <w:szCs w:val="18"/>
          <w:lang w:val="es-CO"/>
        </w:rPr>
      </w:pPr>
    </w:p>
  </w:footnote>
  <w:footnote w:id="13">
    <w:p w14:paraId="40D9B422" w14:textId="77777777" w:rsidR="00EB5D63" w:rsidRPr="001925B7" w:rsidRDefault="00EB5D63" w:rsidP="00EB5D63">
      <w:pPr>
        <w:pStyle w:val="Textonotapie"/>
        <w:ind w:firstLine="709"/>
        <w:jc w:val="both"/>
        <w:rPr>
          <w:rFonts w:ascii="Arial" w:hAnsi="Arial" w:cs="Arial"/>
          <w:color w:val="000000" w:themeColor="text1"/>
          <w:sz w:val="18"/>
          <w:szCs w:val="18"/>
          <w:lang w:val="es-ES"/>
        </w:rPr>
      </w:pPr>
      <w:r w:rsidRPr="001925B7">
        <w:rPr>
          <w:rStyle w:val="Refdenotaalpie"/>
          <w:rFonts w:ascii="Arial" w:hAnsi="Arial" w:cs="Arial"/>
          <w:color w:val="000000" w:themeColor="text1"/>
          <w:sz w:val="18"/>
          <w:szCs w:val="18"/>
        </w:rPr>
        <w:footnoteRef/>
      </w:r>
      <w:r w:rsidRPr="001925B7">
        <w:rPr>
          <w:rFonts w:ascii="Arial" w:hAnsi="Arial" w:cs="Arial"/>
          <w:color w:val="000000" w:themeColor="text1"/>
          <w:sz w:val="18"/>
          <w:szCs w:val="18"/>
        </w:rPr>
        <w:t xml:space="preserve"> Según lo dispuesto en el artículo 5 de la Ley 1150 de 2007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footnote>
  <w:footnote w:id="14">
    <w:p w14:paraId="7AE0458E" w14:textId="77777777" w:rsidR="00EB5D63" w:rsidRPr="001925B7" w:rsidRDefault="00EB5D63" w:rsidP="00EB5D63">
      <w:pPr>
        <w:pStyle w:val="Textonotapie"/>
        <w:ind w:firstLine="709"/>
        <w:jc w:val="both"/>
        <w:rPr>
          <w:rFonts w:ascii="Arial" w:hAnsi="Arial" w:cs="Arial"/>
          <w:color w:val="000000" w:themeColor="text1"/>
          <w:sz w:val="18"/>
          <w:szCs w:val="18"/>
          <w:lang w:val="es-ES"/>
        </w:rPr>
      </w:pPr>
      <w:r w:rsidRPr="001925B7">
        <w:rPr>
          <w:rStyle w:val="Refdenotaalpie"/>
          <w:rFonts w:ascii="Arial" w:hAnsi="Arial" w:cs="Arial"/>
          <w:color w:val="000000" w:themeColor="text1"/>
          <w:sz w:val="18"/>
          <w:szCs w:val="18"/>
        </w:rPr>
        <w:footnoteRef/>
      </w:r>
      <w:r w:rsidRPr="001925B7">
        <w:rPr>
          <w:rFonts w:ascii="Arial" w:hAnsi="Arial" w:cs="Arial"/>
          <w:color w:val="000000" w:themeColor="text1"/>
          <w:sz w:val="18"/>
          <w:szCs w:val="18"/>
        </w:rPr>
        <w:t xml:space="preserve"> Lo cual es concordante con el numeral 5 del artículo 2.2.1.1.2.1.3, en el que se establece la definición de las condiciones habilitantes como uno de los componentes mínimos de los pliegos de condiciones.</w:t>
      </w:r>
    </w:p>
  </w:footnote>
  <w:footnote w:id="15">
    <w:p w14:paraId="6FFB0581" w14:textId="77777777" w:rsidR="00EB5D63" w:rsidRPr="007D411D" w:rsidRDefault="00EB5D63" w:rsidP="00EB5D63">
      <w:pPr>
        <w:pStyle w:val="Textonotapie"/>
        <w:ind w:firstLine="708"/>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la misma».</w:t>
      </w:r>
    </w:p>
    <w:p w14:paraId="0C0F0BFE" w14:textId="77777777" w:rsidR="00EB5D63" w:rsidRPr="007D411D" w:rsidRDefault="00EB5D63" w:rsidP="00EB5D63">
      <w:pPr>
        <w:pStyle w:val="Textonotapie"/>
        <w:ind w:firstLine="708"/>
        <w:jc w:val="both"/>
        <w:rPr>
          <w:rFonts w:ascii="Arial" w:hAnsi="Arial" w:cs="Arial"/>
          <w:color w:val="000000" w:themeColor="text1"/>
          <w:sz w:val="18"/>
          <w:szCs w:val="18"/>
        </w:rPr>
      </w:pPr>
    </w:p>
  </w:footnote>
  <w:footnote w:id="16">
    <w:p w14:paraId="384BD8EE" w14:textId="77777777" w:rsidR="00EB5D63" w:rsidRPr="007D411D" w:rsidRDefault="00EB5D63" w:rsidP="00EB5D63">
      <w:pPr>
        <w:pStyle w:val="NormalWeb"/>
        <w:spacing w:after="0"/>
        <w:ind w:firstLine="709"/>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Código Civil Colombiano «Artículo 27. Cuando el sentido de la ley sea claro, no se desatenderá su tenor literal a pretexto de consultar su espíritu. </w:t>
      </w:r>
    </w:p>
    <w:p w14:paraId="50CDEB24" w14:textId="77777777" w:rsidR="00EB5D63" w:rsidRPr="007D411D" w:rsidRDefault="00EB5D63" w:rsidP="00EB5D63">
      <w:pPr>
        <w:jc w:val="both"/>
        <w:rPr>
          <w:rFonts w:ascii="Arial" w:hAnsi="Arial" w:cs="Arial"/>
          <w:color w:val="000000" w:themeColor="text1"/>
          <w:sz w:val="18"/>
          <w:szCs w:val="18"/>
          <w:lang w:eastAsia="es-CO"/>
        </w:rPr>
      </w:pPr>
      <w:r w:rsidRPr="007D411D">
        <w:rPr>
          <w:rFonts w:ascii="Arial" w:hAnsi="Arial" w:cs="Arial"/>
          <w:color w:val="000000" w:themeColor="text1"/>
          <w:sz w:val="18"/>
          <w:szCs w:val="18"/>
          <w:lang w:eastAsia="es-CO"/>
        </w:rPr>
        <w:t>  </w:t>
      </w:r>
      <w:r w:rsidRPr="007D411D">
        <w:rPr>
          <w:rFonts w:ascii="Arial" w:hAnsi="Arial" w:cs="Arial"/>
          <w:color w:val="000000" w:themeColor="text1"/>
          <w:sz w:val="18"/>
          <w:szCs w:val="18"/>
          <w:lang w:eastAsia="es-CO"/>
        </w:rPr>
        <w:tab/>
        <w:t>»Pero bien se puede, para interpretar una expresión </w:t>
      </w:r>
      <w:r w:rsidRPr="007D411D">
        <w:rPr>
          <w:rFonts w:ascii="Arial" w:hAnsi="Arial" w:cs="Arial"/>
          <w:i/>
          <w:iCs/>
          <w:color w:val="000000" w:themeColor="text1"/>
          <w:sz w:val="18"/>
          <w:szCs w:val="18"/>
          <w:lang w:eastAsia="es-CO"/>
        </w:rPr>
        <w:t>oscura</w:t>
      </w:r>
      <w:r w:rsidRPr="007D411D">
        <w:rPr>
          <w:rFonts w:ascii="Arial" w:hAnsi="Arial" w:cs="Arial"/>
          <w:color w:val="000000" w:themeColor="text1"/>
          <w:sz w:val="18"/>
          <w:szCs w:val="18"/>
          <w:lang w:eastAsia="es-CO"/>
        </w:rPr>
        <w:t> de la ley, recurrir a su intención o espíritu, claramente manifestados en ella misma o en la historia fidedigna de su establecimiento». </w:t>
      </w:r>
    </w:p>
  </w:footnote>
  <w:footnote w:id="17">
    <w:p w14:paraId="06C2A544"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Style w:val="Refdenotaalpie"/>
          <w:rFonts w:ascii="Arial" w:hAnsi="Arial" w:cs="Arial"/>
          <w:color w:val="000000" w:themeColor="text1"/>
          <w:sz w:val="18"/>
          <w:szCs w:val="18"/>
        </w:rPr>
        <w:footnoteRef/>
      </w:r>
      <w:r w:rsidRPr="007D411D">
        <w:rPr>
          <w:rFonts w:ascii="Arial" w:hAnsi="Arial" w:cs="Arial"/>
          <w:color w:val="000000" w:themeColor="text1"/>
          <w:sz w:val="18"/>
          <w:szCs w:val="18"/>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744AC55E"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»1. Tiempo de experiencia. </w:t>
      </w:r>
    </w:p>
    <w:p w14:paraId="738292AB"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»2. Número de contratos para la acreditación de la experiencia. </w:t>
      </w:r>
    </w:p>
    <w:p w14:paraId="73419D22"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»3. Índices de capacidad financiera. </w:t>
      </w:r>
    </w:p>
    <w:p w14:paraId="37361AA9"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»4. Índices de capacidad organizacional. </w:t>
      </w:r>
    </w:p>
    <w:p w14:paraId="31A9A23B" w14:textId="77777777"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»5. Valor de la garantía de seriedad de la oferta. </w:t>
      </w:r>
    </w:p>
    <w:p w14:paraId="53C18D4B" w14:textId="3C7FBA60"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3566A9C" w14:textId="286F1785"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w:t>
      </w:r>
      <w:r w:rsidR="00F82F5D">
        <w:rPr>
          <w:rFonts w:ascii="Arial" w:hAnsi="Arial" w:cs="Arial"/>
          <w:color w:val="000000" w:themeColor="text1"/>
          <w:sz w:val="18"/>
          <w:szCs w:val="18"/>
        </w:rPr>
        <w:t xml:space="preserve"> </w:t>
      </w:r>
      <w:r w:rsidRPr="007D411D">
        <w:rPr>
          <w:rFonts w:ascii="Arial" w:hAnsi="Arial" w:cs="Arial"/>
          <w:color w:val="000000" w:themeColor="text1"/>
          <w:sz w:val="18"/>
          <w:szCs w:val="18"/>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6544BFE1" w14:textId="02A0A695"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w:t>
      </w:r>
      <w:r w:rsidR="00F82F5D">
        <w:rPr>
          <w:rFonts w:ascii="Arial" w:hAnsi="Arial" w:cs="Arial"/>
          <w:color w:val="000000" w:themeColor="text1"/>
          <w:sz w:val="18"/>
          <w:szCs w:val="18"/>
        </w:rPr>
        <w:t xml:space="preserve"> </w:t>
      </w:r>
      <w:r w:rsidRPr="007D411D">
        <w:rPr>
          <w:rFonts w:ascii="Arial" w:hAnsi="Arial" w:cs="Arial"/>
          <w:color w:val="000000" w:themeColor="text1"/>
          <w:sz w:val="18"/>
          <w:szCs w:val="18"/>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19821972" w14:textId="3FE58839"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w:t>
      </w:r>
      <w:r w:rsidR="00F82F5D">
        <w:rPr>
          <w:rFonts w:ascii="Arial" w:hAnsi="Arial" w:cs="Arial"/>
          <w:color w:val="000000" w:themeColor="text1"/>
          <w:sz w:val="18"/>
          <w:szCs w:val="18"/>
        </w:rPr>
        <w:t xml:space="preserve"> </w:t>
      </w:r>
      <w:r w:rsidRPr="007D411D">
        <w:rPr>
          <w:rFonts w:ascii="Arial" w:hAnsi="Arial" w:cs="Arial"/>
          <w:color w:val="000000" w:themeColor="text1"/>
          <w:sz w:val="18"/>
          <w:szCs w:val="18"/>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2F16E3CF" w14:textId="3856AB11" w:rsidR="00EB5D63" w:rsidRPr="007D411D" w:rsidRDefault="00EB5D63" w:rsidP="00EB5D63">
      <w:pPr>
        <w:pStyle w:val="Textonotapie"/>
        <w:ind w:firstLine="709"/>
        <w:jc w:val="both"/>
        <w:rPr>
          <w:rFonts w:ascii="Arial" w:hAnsi="Arial" w:cs="Arial"/>
          <w:color w:val="000000" w:themeColor="text1"/>
          <w:sz w:val="18"/>
          <w:szCs w:val="18"/>
        </w:rPr>
      </w:pPr>
      <w:r w:rsidRPr="007D411D">
        <w:rPr>
          <w:rFonts w:ascii="Arial" w:hAnsi="Arial" w:cs="Arial"/>
          <w:color w:val="000000" w:themeColor="text1"/>
          <w:sz w:val="18"/>
          <w:szCs w:val="18"/>
        </w:rPr>
        <w:t>»</w:t>
      </w:r>
      <w:r w:rsidR="00F82F5D">
        <w:rPr>
          <w:rFonts w:ascii="Arial" w:hAnsi="Arial" w:cs="Arial"/>
          <w:color w:val="000000" w:themeColor="text1"/>
          <w:sz w:val="18"/>
          <w:szCs w:val="18"/>
        </w:rPr>
        <w:t xml:space="preserve"> </w:t>
      </w:r>
      <w:r w:rsidRPr="007D411D">
        <w:rPr>
          <w:rFonts w:ascii="Arial" w:hAnsi="Arial" w:cs="Arial"/>
          <w:color w:val="000000" w:themeColor="text1"/>
          <w:sz w:val="18"/>
          <w:szCs w:val="18"/>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5B49" w14:textId="77777777" w:rsidR="000E0524" w:rsidRDefault="00000000">
    <w:pPr>
      <w:pStyle w:val="Encabezado"/>
    </w:pPr>
    <w:r>
      <w:rPr>
        <w:noProof/>
        <w:lang w:eastAsia="es-CO"/>
      </w:rPr>
      <w:drawing>
        <wp:anchor distT="0" distB="0" distL="114300" distR="114300" simplePos="0" relativeHeight="251659264" behindDoc="0" locked="0" layoutInCell="1" allowOverlap="1" wp14:anchorId="6410F57A" wp14:editId="79A63FEE">
          <wp:simplePos x="0" y="0"/>
          <wp:positionH relativeFrom="margin">
            <wp:posOffset>4749165</wp:posOffset>
          </wp:positionH>
          <wp:positionV relativeFrom="paragraph">
            <wp:posOffset>108585</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3294" cy="599201"/>
                  </a:xfrm>
                  <a:prstGeom prst="rect">
                    <a:avLst/>
                  </a:prstGeom>
                </pic:spPr>
              </pic:pic>
            </a:graphicData>
          </a:graphic>
          <wp14:sizeRelH relativeFrom="page">
            <wp14:pctWidth>0</wp14:pctWidth>
          </wp14:sizeRelH>
          <wp14:sizeRelV relativeFrom="page">
            <wp14:pctHeight>0</wp14:pctHeight>
          </wp14:sizeRelV>
        </wp:anchor>
      </w:drawing>
    </w:r>
  </w:p>
  <w:p w14:paraId="3970C641" w14:textId="77777777" w:rsidR="000E0524" w:rsidRDefault="00000000">
    <w:pPr>
      <w:pStyle w:val="Encabezado"/>
    </w:pPr>
  </w:p>
  <w:p w14:paraId="36727113" w14:textId="77777777" w:rsidR="000E0524" w:rsidRDefault="00000000">
    <w:pPr>
      <w:pStyle w:val="Encabezado"/>
    </w:pPr>
  </w:p>
  <w:p w14:paraId="5F68A7FD" w14:textId="77777777" w:rsidR="000E0524" w:rsidRDefault="00000000">
    <w:pPr>
      <w:pStyle w:val="Encabezado"/>
    </w:pPr>
  </w:p>
  <w:p w14:paraId="4D0176B1" w14:textId="77777777" w:rsidR="000E0524"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63"/>
    <w:rsid w:val="0005741F"/>
    <w:rsid w:val="00081FC7"/>
    <w:rsid w:val="00092334"/>
    <w:rsid w:val="001925B7"/>
    <w:rsid w:val="001F179A"/>
    <w:rsid w:val="00266FA6"/>
    <w:rsid w:val="003B0E5D"/>
    <w:rsid w:val="005E2949"/>
    <w:rsid w:val="00651A7A"/>
    <w:rsid w:val="006623EA"/>
    <w:rsid w:val="007D411D"/>
    <w:rsid w:val="009633F9"/>
    <w:rsid w:val="00A725F1"/>
    <w:rsid w:val="00BB4F37"/>
    <w:rsid w:val="00CE04D9"/>
    <w:rsid w:val="00D10CC6"/>
    <w:rsid w:val="00DB66F9"/>
    <w:rsid w:val="00DC2237"/>
    <w:rsid w:val="00EB5D63"/>
    <w:rsid w:val="00ED2C50"/>
    <w:rsid w:val="00F10C32"/>
    <w:rsid w:val="00F26C31"/>
    <w:rsid w:val="00F77C54"/>
    <w:rsid w:val="00F82F5D"/>
    <w:rsid w:val="00FF4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29E1"/>
  <w15:chartTrackingRefBased/>
  <w15:docId w15:val="{0674C251-3BF9-7541-892B-2140CAD0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3"/>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D63"/>
    <w:rPr>
      <w:sz w:val="22"/>
      <w:szCs w:val="22"/>
    </w:rPr>
  </w:style>
  <w:style w:type="paragraph" w:styleId="NormalWeb">
    <w:name w:val="Normal (Web)"/>
    <w:basedOn w:val="Normal"/>
    <w:link w:val="NormalWebCar"/>
    <w:uiPriority w:val="99"/>
    <w:unhideWhenUsed/>
    <w:rsid w:val="00EB5D63"/>
    <w:rPr>
      <w:rFonts w:ascii="Times New Roman" w:hAnsi="Times New Roman" w:cs="Times New Roman"/>
      <w:sz w:val="24"/>
      <w:szCs w:val="24"/>
    </w:rPr>
  </w:style>
  <w:style w:type="paragraph" w:styleId="Piedepgina">
    <w:name w:val="footer"/>
    <w:basedOn w:val="Normal"/>
    <w:link w:val="PiedepginaCar"/>
    <w:uiPriority w:val="99"/>
    <w:unhideWhenUsed/>
    <w:rsid w:val="00EB5D6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EB5D63"/>
    <w:rPr>
      <w:szCs w:val="22"/>
      <w:lang w:val="es-ES"/>
    </w:rPr>
  </w:style>
  <w:style w:type="table" w:styleId="Tablaconcuadrcula">
    <w:name w:val="Table Grid"/>
    <w:basedOn w:val="Tablanormal"/>
    <w:uiPriority w:val="59"/>
    <w:qFormat/>
    <w:rsid w:val="00EB5D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B5D6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EB5D63"/>
    <w:pPr>
      <w:spacing w:after="0" w:line="240" w:lineRule="auto"/>
    </w:pPr>
    <w:rPr>
      <w:sz w:val="20"/>
      <w:szCs w:val="20"/>
      <w:lang w:val="es-MX"/>
    </w:rPr>
  </w:style>
  <w:style w:type="character" w:customStyle="1" w:styleId="TextonotapieCar1">
    <w:name w:val="Texto nota pie Car1"/>
    <w:basedOn w:val="Fuentedeprrafopredeter"/>
    <w:uiPriority w:val="99"/>
    <w:semiHidden/>
    <w:rsid w:val="00EB5D6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EB5D6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B5D6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5D63"/>
    <w:rPr>
      <w:szCs w:val="22"/>
      <w:lang w:val="es-ES"/>
    </w:rPr>
  </w:style>
  <w:style w:type="paragraph" w:styleId="Textoindependiente">
    <w:name w:val="Body Text"/>
    <w:basedOn w:val="Normal"/>
    <w:link w:val="TextoindependienteCar"/>
    <w:uiPriority w:val="1"/>
    <w:qFormat/>
    <w:rsid w:val="00EB5D63"/>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B5D63"/>
    <w:rPr>
      <w:rFonts w:ascii="Arial" w:eastAsia="Arial" w:hAnsi="Arial" w:cs="Arial"/>
      <w:sz w:val="22"/>
      <w:szCs w:val="22"/>
      <w:lang w:val="es-ES"/>
    </w:rPr>
  </w:style>
  <w:style w:type="table" w:customStyle="1" w:styleId="Tablaconcuadrcula1">
    <w:name w:val="Tabla con cuadrícula1"/>
    <w:basedOn w:val="Tablanormal"/>
    <w:next w:val="Tablaconcuadrcula"/>
    <w:uiPriority w:val="59"/>
    <w:rsid w:val="00EB5D63"/>
    <w:pPr>
      <w:spacing w:before="1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EB5D63"/>
  </w:style>
  <w:style w:type="paragraph" w:customStyle="1" w:styleId="Appelnotedebasde">
    <w:name w:val="Appel note de bas de..."/>
    <w:basedOn w:val="Normal"/>
    <w:link w:val="Refdenotaalpie"/>
    <w:uiPriority w:val="99"/>
    <w:rsid w:val="00EB5D63"/>
    <w:pPr>
      <w:spacing w:line="240" w:lineRule="exact"/>
    </w:pPr>
    <w:rPr>
      <w:sz w:val="24"/>
      <w:szCs w:val="24"/>
      <w:vertAlign w:val="superscript"/>
    </w:rPr>
  </w:style>
  <w:style w:type="character" w:customStyle="1" w:styleId="NormalWebCar">
    <w:name w:val="Normal (Web) Car"/>
    <w:link w:val="NormalWeb"/>
    <w:uiPriority w:val="99"/>
    <w:rsid w:val="00EB5D63"/>
    <w:rPr>
      <w:rFonts w:ascii="Times New Roman" w:hAnsi="Times New Roman" w:cs="Times New Roman"/>
    </w:rPr>
  </w:style>
  <w:style w:type="character" w:customStyle="1" w:styleId="Hipervnculo1">
    <w:name w:val="Hipervínculo1"/>
    <w:basedOn w:val="Fuentedeprrafopredeter"/>
    <w:uiPriority w:val="99"/>
    <w:unhideWhenUsed/>
    <w:rsid w:val="00EB5D63"/>
    <w:rPr>
      <w:color w:val="F2F2F2"/>
      <w:u w:val="single"/>
    </w:rPr>
  </w:style>
  <w:style w:type="paragraph" w:styleId="Revisin">
    <w:name w:val="Revision"/>
    <w:hidden/>
    <w:uiPriority w:val="99"/>
    <w:semiHidden/>
    <w:rsid w:val="003B0E5D"/>
    <w:rPr>
      <w:sz w:val="22"/>
      <w:szCs w:val="22"/>
    </w:rPr>
  </w:style>
  <w:style w:type="character" w:styleId="Refdecomentario">
    <w:name w:val="annotation reference"/>
    <w:basedOn w:val="Fuentedeprrafopredeter"/>
    <w:uiPriority w:val="99"/>
    <w:semiHidden/>
    <w:unhideWhenUsed/>
    <w:rsid w:val="00F10C32"/>
    <w:rPr>
      <w:sz w:val="16"/>
      <w:szCs w:val="16"/>
    </w:rPr>
  </w:style>
  <w:style w:type="paragraph" w:styleId="Textocomentario">
    <w:name w:val="annotation text"/>
    <w:basedOn w:val="Normal"/>
    <w:link w:val="TextocomentarioCar"/>
    <w:uiPriority w:val="99"/>
    <w:unhideWhenUsed/>
    <w:rsid w:val="00F10C32"/>
    <w:pPr>
      <w:spacing w:line="240" w:lineRule="auto"/>
    </w:pPr>
    <w:rPr>
      <w:sz w:val="20"/>
      <w:szCs w:val="20"/>
    </w:rPr>
  </w:style>
  <w:style w:type="character" w:customStyle="1" w:styleId="TextocomentarioCar">
    <w:name w:val="Texto comentario Car"/>
    <w:basedOn w:val="Fuentedeprrafopredeter"/>
    <w:link w:val="Textocomentario"/>
    <w:uiPriority w:val="99"/>
    <w:rsid w:val="00F10C32"/>
    <w:rPr>
      <w:sz w:val="20"/>
      <w:szCs w:val="20"/>
    </w:rPr>
  </w:style>
  <w:style w:type="paragraph" w:styleId="Asuntodelcomentario">
    <w:name w:val="annotation subject"/>
    <w:basedOn w:val="Textocomentario"/>
    <w:next w:val="Textocomentario"/>
    <w:link w:val="AsuntodelcomentarioCar"/>
    <w:uiPriority w:val="99"/>
    <w:semiHidden/>
    <w:unhideWhenUsed/>
    <w:rsid w:val="00F10C32"/>
    <w:rPr>
      <w:b/>
      <w:bCs/>
    </w:rPr>
  </w:style>
  <w:style w:type="character" w:customStyle="1" w:styleId="AsuntodelcomentarioCar">
    <w:name w:val="Asunto del comentario Car"/>
    <w:basedOn w:val="TextocomentarioCar"/>
    <w:link w:val="Asuntodelcomentario"/>
    <w:uiPriority w:val="99"/>
    <w:semiHidden/>
    <w:rsid w:val="00F10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82C2C-8DEA-4631-8263-41AA387AF4BB}">
  <ds:schemaRefs>
    <ds:schemaRef ds:uri="http://schemas.openxmlformats.org/officeDocument/2006/bibliography"/>
  </ds:schemaRefs>
</ds:datastoreItem>
</file>

<file path=customXml/itemProps2.xml><?xml version="1.0" encoding="utf-8"?>
<ds:datastoreItem xmlns:ds="http://schemas.openxmlformats.org/officeDocument/2006/customXml" ds:itemID="{8096CCF0-D3F5-4371-9DD9-F5B67C654CBD}"/>
</file>

<file path=customXml/itemProps3.xml><?xml version="1.0" encoding="utf-8"?>
<ds:datastoreItem xmlns:ds="http://schemas.openxmlformats.org/officeDocument/2006/customXml" ds:itemID="{A64E0849-99BD-4127-96E8-68C4AF64D14D}"/>
</file>

<file path=customXml/itemProps4.xml><?xml version="1.0" encoding="utf-8"?>
<ds:datastoreItem xmlns:ds="http://schemas.openxmlformats.org/officeDocument/2006/customXml" ds:itemID="{A9132BB3-935C-4CCC-970D-03EBA5033A60}"/>
</file>

<file path=docProps/app.xml><?xml version="1.0" encoding="utf-8"?>
<Properties xmlns="http://schemas.openxmlformats.org/officeDocument/2006/extended-properties" xmlns:vt="http://schemas.openxmlformats.org/officeDocument/2006/docPropsVTypes">
  <Template>Normal.dotm</Template>
  <TotalTime>1</TotalTime>
  <Pages>14</Pages>
  <Words>4756</Words>
  <Characters>26158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Daniela Amaya Castro</cp:lastModifiedBy>
  <cp:revision>3</cp:revision>
  <dcterms:created xsi:type="dcterms:W3CDTF">2022-11-18T09:58:00Z</dcterms:created>
  <dcterms:modified xsi:type="dcterms:W3CDTF">2022-11-21T15:54:00Z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