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6BB0" w14:textId="77777777" w:rsidR="009F0A44" w:rsidRPr="00C00312" w:rsidRDefault="003C7067" w:rsidP="009F0A44">
      <w:pPr>
        <w:jc w:val="right"/>
        <w:rPr>
          <w:rFonts w:ascii="Arial" w:hAnsi="Arial" w:cs="Arial"/>
          <w:b/>
          <w:sz w:val="16"/>
          <w:szCs w:val="16"/>
          <w:lang w:val="es-ES" w:eastAsia="es-ES"/>
        </w:rPr>
      </w:pPr>
      <w:r w:rsidRPr="00C00312">
        <w:rPr>
          <w:rFonts w:ascii="Arial" w:hAnsi="Arial" w:cs="Arial"/>
          <w:b/>
          <w:sz w:val="16"/>
          <w:szCs w:val="16"/>
          <w:lang w:val="es-ES" w:eastAsia="es-ES"/>
        </w:rPr>
        <w:t>CCE-DES-FM-17</w:t>
      </w:r>
    </w:p>
    <w:p w14:paraId="513EB405" w14:textId="77777777" w:rsidR="009F0A44" w:rsidRPr="00C00312" w:rsidRDefault="009F0A44" w:rsidP="009F0A44">
      <w:pPr>
        <w:rPr>
          <w:rFonts w:ascii="Arial" w:hAnsi="Arial" w:cs="Arial"/>
          <w:b/>
          <w:sz w:val="16"/>
          <w:szCs w:val="16"/>
          <w:lang w:val="es-ES" w:eastAsia="es-ES"/>
        </w:rPr>
      </w:pPr>
    </w:p>
    <w:p w14:paraId="4A9736E5" w14:textId="77777777" w:rsidR="00F35D47" w:rsidRPr="00F35D47" w:rsidRDefault="00F35D47" w:rsidP="00F35D47">
      <w:pPr>
        <w:jc w:val="both"/>
        <w:rPr>
          <w:rFonts w:ascii="Arial" w:eastAsia="Calibri" w:hAnsi="Arial" w:cs="Arial"/>
          <w:b/>
          <w:bCs/>
          <w:sz w:val="20"/>
          <w:szCs w:val="20"/>
          <w:lang w:val="es-ES"/>
        </w:rPr>
      </w:pPr>
      <w:r w:rsidRPr="00F35D47">
        <w:rPr>
          <w:rFonts w:ascii="Arial" w:eastAsia="Calibri" w:hAnsi="Arial" w:cs="Arial"/>
          <w:b/>
          <w:bCs/>
          <w:sz w:val="20"/>
          <w:szCs w:val="20"/>
          <w:lang w:val="es-ES"/>
        </w:rPr>
        <w:t>CAPACIDAD FINANCIERA, CAPACIDAD ORGANIZACIONAL – Conceptos – Requisitos habilitantes</w:t>
      </w:r>
    </w:p>
    <w:p w14:paraId="2621DF23" w14:textId="77777777" w:rsidR="00F35D47" w:rsidRPr="00F35D47" w:rsidRDefault="00F35D47" w:rsidP="00F35D47">
      <w:pPr>
        <w:jc w:val="both"/>
        <w:rPr>
          <w:rFonts w:ascii="Arial" w:eastAsia="Calibri" w:hAnsi="Arial" w:cs="Arial"/>
          <w:sz w:val="20"/>
          <w:szCs w:val="20"/>
          <w:lang w:val="es-ES_tradnl"/>
        </w:rPr>
      </w:pPr>
    </w:p>
    <w:p w14:paraId="7C7A036C" w14:textId="77777777" w:rsidR="00F35D47" w:rsidRPr="00F35D47" w:rsidRDefault="00F35D47" w:rsidP="00F35D47">
      <w:pPr>
        <w:jc w:val="both"/>
        <w:rPr>
          <w:rFonts w:ascii="Arial" w:eastAsia="Calibri" w:hAnsi="Arial" w:cs="Arial"/>
          <w:color w:val="000000"/>
          <w:sz w:val="20"/>
          <w:szCs w:val="20"/>
          <w:lang w:val="es-ES_tradnl"/>
        </w:rPr>
      </w:pPr>
      <w:r w:rsidRPr="00F35D47">
        <w:rPr>
          <w:rFonts w:ascii="Arial" w:eastAsia="Calibri" w:hAnsi="Arial" w:cs="Arial"/>
          <w:color w:val="000000"/>
          <w:sz w:val="20"/>
          <w:szCs w:val="20"/>
        </w:rPr>
        <w:t xml:space="preserve">La capacidad financiera se deriva del comportamiento contable de la empresa, su liquidez y endeudamiento, para determinar que sus recursos y solidez financiera le permita cumplir los compromisos que adquiera. </w:t>
      </w:r>
      <w:r w:rsidRPr="00F35D47">
        <w:rPr>
          <w:rFonts w:ascii="Arial" w:eastAsia="Calibri" w:hAnsi="Arial" w:cs="Arial"/>
          <w:color w:val="000000"/>
          <w:sz w:val="20"/>
          <w:szCs w:val="20"/>
          <w:lang w:val="es-ES_tradnl"/>
        </w:rPr>
        <w:t>Como explica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3796B236" w14:textId="77777777" w:rsidR="00F35D47" w:rsidRPr="00F35D47" w:rsidRDefault="00F35D47" w:rsidP="009F0A44">
      <w:pPr>
        <w:rPr>
          <w:rFonts w:ascii="Arial" w:eastAsia="Calibri" w:hAnsi="Arial" w:cs="Arial"/>
          <w:b/>
          <w:sz w:val="20"/>
          <w:szCs w:val="20"/>
          <w:lang w:val="es-ES_tradnl"/>
        </w:rPr>
      </w:pPr>
    </w:p>
    <w:p w14:paraId="433E5D89" w14:textId="77777777" w:rsidR="00F35D47" w:rsidRPr="00F35D47" w:rsidRDefault="00F35D47" w:rsidP="009F0A44">
      <w:pPr>
        <w:rPr>
          <w:rFonts w:ascii="Arial" w:eastAsia="Calibri" w:hAnsi="Arial" w:cs="Arial"/>
          <w:b/>
          <w:sz w:val="20"/>
          <w:szCs w:val="20"/>
          <w:lang w:val="es-ES"/>
        </w:rPr>
      </w:pPr>
    </w:p>
    <w:p w14:paraId="4ADEC86F" w14:textId="1E246485" w:rsidR="003C7067" w:rsidRPr="00F35D47" w:rsidRDefault="009F0A44" w:rsidP="009F0A44">
      <w:pPr>
        <w:rPr>
          <w:rFonts w:ascii="Arial" w:hAnsi="Arial" w:cs="Arial"/>
          <w:b/>
          <w:sz w:val="20"/>
          <w:szCs w:val="20"/>
          <w:lang w:val="es-ES" w:eastAsia="es-ES"/>
        </w:rPr>
      </w:pPr>
      <w:r w:rsidRPr="00F35D47">
        <w:rPr>
          <w:rFonts w:ascii="Arial" w:eastAsia="Calibri" w:hAnsi="Arial" w:cs="Arial"/>
          <w:b/>
          <w:sz w:val="20"/>
          <w:szCs w:val="20"/>
          <w:lang w:val="es-ES"/>
        </w:rPr>
        <w:t xml:space="preserve">REQUISITOS HABILITANTES – </w:t>
      </w:r>
      <w:r w:rsidR="004F20FB" w:rsidRPr="00F35D47">
        <w:rPr>
          <w:rFonts w:ascii="Arial" w:eastAsia="Calibri" w:hAnsi="Arial" w:cs="Arial"/>
          <w:b/>
          <w:sz w:val="20"/>
          <w:szCs w:val="20"/>
          <w:lang w:val="es-ES"/>
        </w:rPr>
        <w:t xml:space="preserve">Capital </w:t>
      </w:r>
      <w:r w:rsidR="004F20FB">
        <w:rPr>
          <w:rFonts w:ascii="Arial" w:eastAsia="Calibri" w:hAnsi="Arial" w:cs="Arial"/>
          <w:b/>
          <w:sz w:val="20"/>
          <w:szCs w:val="20"/>
          <w:lang w:val="es-ES"/>
        </w:rPr>
        <w:t>d</w:t>
      </w:r>
      <w:r w:rsidR="004F20FB" w:rsidRPr="00F35D47">
        <w:rPr>
          <w:rFonts w:ascii="Arial" w:eastAsia="Calibri" w:hAnsi="Arial" w:cs="Arial"/>
          <w:b/>
          <w:sz w:val="20"/>
          <w:szCs w:val="20"/>
          <w:lang w:val="es-ES"/>
        </w:rPr>
        <w:t xml:space="preserve">e </w:t>
      </w:r>
      <w:r w:rsidR="004F20FB">
        <w:rPr>
          <w:rFonts w:ascii="Arial" w:eastAsia="Calibri" w:hAnsi="Arial" w:cs="Arial"/>
          <w:b/>
          <w:sz w:val="20"/>
          <w:szCs w:val="20"/>
          <w:lang w:val="es-ES"/>
        </w:rPr>
        <w:t>t</w:t>
      </w:r>
      <w:r w:rsidR="004F20FB" w:rsidRPr="00F35D47">
        <w:rPr>
          <w:rFonts w:ascii="Arial" w:eastAsia="Calibri" w:hAnsi="Arial" w:cs="Arial"/>
          <w:b/>
          <w:sz w:val="20"/>
          <w:szCs w:val="20"/>
          <w:lang w:val="es-ES"/>
        </w:rPr>
        <w:t xml:space="preserve">rabajo </w:t>
      </w:r>
    </w:p>
    <w:p w14:paraId="75E4C02B" w14:textId="63AD1E57" w:rsidR="009F0A44" w:rsidRPr="00F35D47" w:rsidRDefault="009F0A44" w:rsidP="003C7067">
      <w:pPr>
        <w:tabs>
          <w:tab w:val="left" w:pos="0"/>
        </w:tabs>
        <w:spacing w:line="276" w:lineRule="auto"/>
        <w:jc w:val="both"/>
        <w:rPr>
          <w:rFonts w:ascii="Arial" w:eastAsia="Calibri" w:hAnsi="Arial" w:cs="Arial"/>
          <w:b/>
          <w:sz w:val="20"/>
          <w:szCs w:val="20"/>
          <w:lang w:val="es-ES"/>
        </w:rPr>
      </w:pPr>
    </w:p>
    <w:p w14:paraId="300E7F26" w14:textId="7A196F5C" w:rsidR="009F0A44" w:rsidRPr="00F35D47" w:rsidRDefault="00F35D47" w:rsidP="00F35D47">
      <w:pPr>
        <w:jc w:val="both"/>
        <w:rPr>
          <w:rFonts w:ascii="Arial" w:eastAsia="Calibri" w:hAnsi="Arial" w:cs="Arial"/>
          <w:color w:val="000000"/>
          <w:sz w:val="20"/>
          <w:szCs w:val="20"/>
        </w:rPr>
      </w:pPr>
      <w:r w:rsidRPr="00F35D47">
        <w:rPr>
          <w:rFonts w:ascii="Arial" w:eastAsia="Calibri" w:hAnsi="Arial" w:cs="Arial"/>
          <w:color w:val="000000"/>
          <w:sz w:val="20"/>
          <w:szCs w:val="20"/>
        </w:rPr>
        <w:t>Según lo previsto en el artículo 6 de la Ley 1150 de 2007, solo en aquellos casos en que por las características del objeto a contratar se requiera la verificación de requisitos del proponente adicionales a los contenidos en el Registro Único de Proponente, las Entidades Estatales pueden establecer, en los pliegos de condiciones, indicadores adicionales a los establecidos en el numeral 1 del artículo 5 de la Ley 1150 de 2007.  Ahora bien, el capital de trabajo no fue incluido dentro de los indicadores de capacidad financiera previstos en el Decreto 1082 de 2015, no obstante la entidad puede acudir a indicadores adicionales, en cumplimiento de su deber de análisis y acorde con las características del contrato a suscribir, por lo que en este sentido, la Agencia Nacional de Contratación Pública – Colombia Compra Eficiente , ha recomendado valorar otro tipo de indicadores como el capital de trabajo, si la complejidad del contrato a celebrar lo amerita. Este es el caso, por ejemplo, de los contratos de obra pública de infraestructura de transporte regidos por Documentos Tipo, pues en el documento base se incluye el capital de trabajo como un requisito habilitante, ya que sirve de indicador para examinar la liquidez operativa que posee el proponente. Es decir, el capital de trabajo es considerado como los recursos operativos y económicos de los cuales dispone el proponente, futuro contratista, para su operación. Al tener un capital de trabajo positivo éste puede contribuir de manera satisfactoria en la actividad económica del proponente, permitiendo a la Entidad Estatal analizar el nivel de liquidez en términos absolutos.</w:t>
      </w:r>
    </w:p>
    <w:p w14:paraId="3CD21355" w14:textId="77777777" w:rsidR="00F35D47" w:rsidRPr="00F35D47" w:rsidRDefault="00F35D47" w:rsidP="00F35D47">
      <w:pPr>
        <w:jc w:val="both"/>
        <w:rPr>
          <w:rFonts w:ascii="Arial" w:eastAsia="Calibri" w:hAnsi="Arial" w:cs="Arial"/>
          <w:color w:val="000000"/>
          <w:sz w:val="20"/>
          <w:szCs w:val="20"/>
        </w:rPr>
      </w:pPr>
    </w:p>
    <w:p w14:paraId="2344F10E" w14:textId="77777777" w:rsidR="009F0A44" w:rsidRPr="00C00312" w:rsidRDefault="009F0A44" w:rsidP="003C7067">
      <w:pPr>
        <w:tabs>
          <w:tab w:val="left" w:pos="0"/>
        </w:tabs>
        <w:spacing w:line="276" w:lineRule="auto"/>
        <w:jc w:val="both"/>
        <w:rPr>
          <w:rFonts w:ascii="Arial" w:eastAsia="Calibri" w:hAnsi="Arial" w:cs="Arial"/>
          <w:b/>
          <w:sz w:val="22"/>
          <w:lang w:val="es-ES"/>
        </w:rPr>
      </w:pPr>
    </w:p>
    <w:p w14:paraId="48C015A6" w14:textId="77777777" w:rsidR="003C7067" w:rsidRPr="00C00312" w:rsidRDefault="003C7067" w:rsidP="003C7067">
      <w:pPr>
        <w:tabs>
          <w:tab w:val="left" w:pos="0"/>
        </w:tabs>
        <w:spacing w:line="276" w:lineRule="auto"/>
        <w:jc w:val="both"/>
        <w:rPr>
          <w:rFonts w:ascii="Arial" w:eastAsia="Calibri" w:hAnsi="Arial" w:cs="Arial"/>
          <w:b/>
          <w:sz w:val="22"/>
          <w:lang w:val="es-ES"/>
        </w:rPr>
      </w:pPr>
    </w:p>
    <w:p w14:paraId="475152CC" w14:textId="77777777" w:rsidR="009F0A44" w:rsidRPr="00C00312" w:rsidRDefault="009F0A44" w:rsidP="009F0A44">
      <w:pPr>
        <w:spacing w:line="276" w:lineRule="auto"/>
        <w:rPr>
          <w:rFonts w:ascii="Arial" w:hAnsi="Arial" w:cs="Arial"/>
          <w:b/>
          <w:bCs/>
          <w:sz w:val="22"/>
          <w:szCs w:val="22"/>
          <w:lang w:val="es-ES"/>
        </w:rPr>
      </w:pPr>
    </w:p>
    <w:p w14:paraId="7E7D8434" w14:textId="19D45B7A" w:rsidR="00582064" w:rsidRDefault="00582064" w:rsidP="00582064">
      <w:pPr>
        <w:jc w:val="right"/>
        <w:rPr>
          <w:rFonts w:ascii="Arial" w:eastAsia="Calibri" w:hAnsi="Arial" w:cs="Arial"/>
          <w:sz w:val="22"/>
          <w:szCs w:val="22"/>
          <w:lang w:val="es-ES"/>
        </w:rPr>
      </w:pPr>
    </w:p>
    <w:p w14:paraId="7BF50DBD" w14:textId="77777777" w:rsidR="00582064" w:rsidRDefault="00582064" w:rsidP="003C7067">
      <w:pPr>
        <w:rPr>
          <w:rFonts w:ascii="Arial" w:eastAsia="Calibri" w:hAnsi="Arial" w:cs="Arial"/>
          <w:sz w:val="22"/>
          <w:szCs w:val="22"/>
          <w:lang w:val="es-ES"/>
        </w:rPr>
      </w:pPr>
    </w:p>
    <w:p w14:paraId="0CEF8884" w14:textId="77777777" w:rsidR="00582064" w:rsidRDefault="00582064" w:rsidP="003C7067">
      <w:pPr>
        <w:rPr>
          <w:rFonts w:ascii="Arial" w:eastAsia="Calibri" w:hAnsi="Arial" w:cs="Arial"/>
          <w:sz w:val="22"/>
          <w:szCs w:val="22"/>
          <w:lang w:val="es-ES"/>
        </w:rPr>
      </w:pPr>
    </w:p>
    <w:p w14:paraId="3EEB0408" w14:textId="02C60BC6" w:rsidR="00582064" w:rsidRDefault="00582064" w:rsidP="003C7067">
      <w:pPr>
        <w:rPr>
          <w:rFonts w:ascii="Arial" w:eastAsia="Calibri" w:hAnsi="Arial" w:cs="Arial"/>
          <w:sz w:val="22"/>
          <w:szCs w:val="22"/>
          <w:lang w:val="es-ES"/>
        </w:rPr>
      </w:pPr>
    </w:p>
    <w:p w14:paraId="02BE641B" w14:textId="4B786D55" w:rsidR="00F35D47" w:rsidRDefault="00F35D47" w:rsidP="003C7067">
      <w:pPr>
        <w:rPr>
          <w:rFonts w:ascii="Arial" w:eastAsia="Calibri" w:hAnsi="Arial" w:cs="Arial"/>
          <w:sz w:val="22"/>
          <w:szCs w:val="22"/>
          <w:lang w:val="es-ES"/>
        </w:rPr>
      </w:pPr>
    </w:p>
    <w:p w14:paraId="6607357C" w14:textId="3D9BCD8F" w:rsidR="00F35D47" w:rsidRDefault="00F35D47" w:rsidP="003C7067">
      <w:pPr>
        <w:rPr>
          <w:rFonts w:ascii="Arial" w:eastAsia="Calibri" w:hAnsi="Arial" w:cs="Arial"/>
          <w:sz w:val="22"/>
          <w:szCs w:val="22"/>
          <w:lang w:val="es-ES"/>
        </w:rPr>
      </w:pPr>
    </w:p>
    <w:p w14:paraId="1D29B5ED" w14:textId="643509CE" w:rsidR="00F35D47" w:rsidRDefault="00F35D47" w:rsidP="003C7067">
      <w:pPr>
        <w:rPr>
          <w:rFonts w:ascii="Arial" w:eastAsia="Calibri" w:hAnsi="Arial" w:cs="Arial"/>
          <w:sz w:val="22"/>
          <w:szCs w:val="22"/>
          <w:lang w:val="es-ES"/>
        </w:rPr>
      </w:pPr>
    </w:p>
    <w:p w14:paraId="61C61354" w14:textId="77777777" w:rsidR="00F35D47" w:rsidRDefault="00F35D47" w:rsidP="003C7067">
      <w:pPr>
        <w:rPr>
          <w:rFonts w:ascii="Arial" w:eastAsia="Calibri" w:hAnsi="Arial" w:cs="Arial"/>
          <w:sz w:val="22"/>
          <w:szCs w:val="22"/>
          <w:lang w:val="es-ES"/>
        </w:rPr>
      </w:pPr>
    </w:p>
    <w:p w14:paraId="2E51E8BF" w14:textId="49ED215B" w:rsidR="007E0EDE" w:rsidRDefault="007E0EDE" w:rsidP="003C7067">
      <w:pPr>
        <w:rPr>
          <w:rFonts w:ascii="Arial" w:eastAsia="Calibri" w:hAnsi="Arial" w:cs="Arial"/>
          <w:sz w:val="22"/>
          <w:szCs w:val="22"/>
          <w:lang w:val="es-ES"/>
        </w:rPr>
      </w:pPr>
      <w:r>
        <w:rPr>
          <w:rFonts w:ascii="Arial" w:eastAsia="Calibri" w:hAnsi="Arial" w:cs="Arial"/>
          <w:sz w:val="22"/>
          <w:szCs w:val="22"/>
          <w:lang w:val="es-ES"/>
        </w:rPr>
        <w:t xml:space="preserve">Bogotá D.C. 15 de </w:t>
      </w:r>
      <w:proofErr w:type="gramStart"/>
      <w:r>
        <w:rPr>
          <w:rFonts w:ascii="Arial" w:eastAsia="Calibri" w:hAnsi="Arial" w:cs="Arial"/>
          <w:sz w:val="22"/>
          <w:szCs w:val="22"/>
          <w:lang w:val="es-ES"/>
        </w:rPr>
        <w:t>Noviembre</w:t>
      </w:r>
      <w:proofErr w:type="gramEnd"/>
      <w:r>
        <w:rPr>
          <w:rFonts w:ascii="Arial" w:eastAsia="Calibri" w:hAnsi="Arial" w:cs="Arial"/>
          <w:sz w:val="22"/>
          <w:szCs w:val="22"/>
          <w:lang w:val="es-ES"/>
        </w:rPr>
        <w:t xml:space="preserve"> de 2022                             </w:t>
      </w:r>
      <w:r w:rsidRPr="007E0EDE">
        <w:rPr>
          <w:rFonts w:ascii="Arial" w:eastAsia="Calibri" w:hAnsi="Arial" w:cs="Arial"/>
          <w:noProof/>
          <w:sz w:val="22"/>
          <w:szCs w:val="22"/>
          <w:lang w:val="es-ES"/>
        </w:rPr>
        <w:drawing>
          <wp:inline distT="0" distB="0" distL="0" distR="0" wp14:anchorId="29258E21" wp14:editId="60E632A8">
            <wp:extent cx="1950517" cy="67373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9365" cy="683700"/>
                    </a:xfrm>
                    <a:prstGeom prst="rect">
                      <a:avLst/>
                    </a:prstGeom>
                  </pic:spPr>
                </pic:pic>
              </a:graphicData>
            </a:graphic>
          </wp:inline>
        </w:drawing>
      </w:r>
    </w:p>
    <w:p w14:paraId="102C5A50" w14:textId="77777777" w:rsidR="007E0EDE" w:rsidRDefault="007E0EDE" w:rsidP="003C7067">
      <w:pPr>
        <w:rPr>
          <w:rFonts w:ascii="Arial" w:eastAsia="Calibri" w:hAnsi="Arial" w:cs="Arial"/>
          <w:sz w:val="22"/>
          <w:szCs w:val="22"/>
          <w:lang w:val="es-ES"/>
        </w:rPr>
      </w:pPr>
    </w:p>
    <w:p w14:paraId="2EB81414" w14:textId="7B70B80E" w:rsidR="003C7067" w:rsidRPr="00C00312" w:rsidRDefault="003C7067" w:rsidP="003C7067">
      <w:pPr>
        <w:rPr>
          <w:rFonts w:ascii="Arial" w:eastAsia="Calibri" w:hAnsi="Arial" w:cs="Arial"/>
          <w:sz w:val="22"/>
          <w:szCs w:val="22"/>
          <w:lang w:val="es-ES"/>
        </w:rPr>
      </w:pPr>
      <w:r w:rsidRPr="00C00312">
        <w:rPr>
          <w:rFonts w:ascii="Arial" w:eastAsia="Calibri" w:hAnsi="Arial" w:cs="Arial"/>
          <w:sz w:val="22"/>
          <w:szCs w:val="22"/>
          <w:lang w:val="es-ES"/>
        </w:rPr>
        <w:t>Señor</w:t>
      </w:r>
    </w:p>
    <w:p w14:paraId="77993C0F" w14:textId="52E0E7BC" w:rsidR="00172E23" w:rsidRPr="00C00312" w:rsidRDefault="00960D86" w:rsidP="00172E23">
      <w:pPr>
        <w:rPr>
          <w:rFonts w:ascii="Arial" w:eastAsia="Calibri" w:hAnsi="Arial" w:cs="Arial"/>
          <w:b/>
          <w:bCs/>
          <w:sz w:val="22"/>
          <w:lang w:val="es-ES"/>
        </w:rPr>
      </w:pPr>
      <w:r>
        <w:rPr>
          <w:rFonts w:ascii="Arial" w:eastAsia="Calibri" w:hAnsi="Arial" w:cs="Arial"/>
          <w:b/>
          <w:bCs/>
          <w:sz w:val="22"/>
          <w:lang w:val="es-ES"/>
        </w:rPr>
        <w:t>Michael Orlando Carrascal Peñaranda</w:t>
      </w:r>
    </w:p>
    <w:p w14:paraId="4CA1FB51" w14:textId="31044952" w:rsidR="00172E23" w:rsidRPr="00C00312" w:rsidRDefault="00960D86" w:rsidP="00172E23">
      <w:pPr>
        <w:rPr>
          <w:rFonts w:ascii="Arial" w:eastAsia="Calibri" w:hAnsi="Arial" w:cs="Arial"/>
          <w:bCs/>
          <w:sz w:val="22"/>
          <w:lang w:val="es-ES"/>
        </w:rPr>
      </w:pPr>
      <w:r>
        <w:rPr>
          <w:rFonts w:ascii="Arial" w:eastAsia="Calibri" w:hAnsi="Arial" w:cs="Arial"/>
          <w:bCs/>
          <w:sz w:val="22"/>
          <w:lang w:val="es-ES"/>
        </w:rPr>
        <w:t>Bucaramanga, Santander</w:t>
      </w:r>
      <w:r w:rsidR="00172E23" w:rsidRPr="00C00312">
        <w:rPr>
          <w:rFonts w:ascii="Arial" w:eastAsia="Calibri" w:hAnsi="Arial" w:cs="Arial"/>
          <w:bCs/>
          <w:sz w:val="22"/>
          <w:lang w:val="es-ES"/>
        </w:rPr>
        <w:t xml:space="preserve"> </w:t>
      </w:r>
    </w:p>
    <w:p w14:paraId="10837C8F" w14:textId="77777777" w:rsidR="003C7067" w:rsidRPr="00C00312" w:rsidRDefault="003C7067" w:rsidP="003C7067">
      <w:pPr>
        <w:rPr>
          <w:rFonts w:ascii="Arial" w:eastAsia="Calibri" w:hAnsi="Arial" w:cs="Arial"/>
          <w:b/>
          <w:sz w:val="22"/>
          <w:szCs w:val="22"/>
          <w:lang w:val="es-ES"/>
        </w:rPr>
      </w:pPr>
    </w:p>
    <w:p w14:paraId="1F4E36CB" w14:textId="2A7C2C68" w:rsidR="003C7067" w:rsidRPr="00C00312" w:rsidRDefault="003C7067" w:rsidP="003C7067">
      <w:pPr>
        <w:rPr>
          <w:rFonts w:ascii="Arial" w:eastAsia="Calibri" w:hAnsi="Arial" w:cs="Arial"/>
          <w:b/>
          <w:sz w:val="22"/>
          <w:szCs w:val="22"/>
          <w:lang w:val="es-ES"/>
        </w:rPr>
      </w:pPr>
      <w:r w:rsidRPr="00C00312">
        <w:rPr>
          <w:rFonts w:ascii="Arial" w:eastAsia="Calibri" w:hAnsi="Arial" w:cs="Arial"/>
          <w:b/>
          <w:sz w:val="22"/>
          <w:szCs w:val="22"/>
          <w:lang w:val="es-ES"/>
        </w:rPr>
        <w:t xml:space="preserve">                                            Concepto C – </w:t>
      </w:r>
      <w:r w:rsidR="00176B51">
        <w:rPr>
          <w:rFonts w:ascii="Arial" w:eastAsia="Calibri" w:hAnsi="Arial" w:cs="Arial"/>
          <w:b/>
          <w:sz w:val="22"/>
          <w:szCs w:val="22"/>
          <w:lang w:val="es-ES"/>
        </w:rPr>
        <w:t>767</w:t>
      </w:r>
      <w:r w:rsidRPr="00C00312">
        <w:rPr>
          <w:rFonts w:ascii="Arial" w:eastAsia="Calibri" w:hAnsi="Arial" w:cs="Arial"/>
          <w:b/>
          <w:sz w:val="22"/>
          <w:szCs w:val="22"/>
          <w:lang w:val="es-ES"/>
        </w:rPr>
        <w:t xml:space="preserve"> de 202</w:t>
      </w:r>
      <w:r w:rsidR="00B30CFF">
        <w:rPr>
          <w:rFonts w:ascii="Arial" w:eastAsia="Calibri" w:hAnsi="Arial" w:cs="Arial"/>
          <w:b/>
          <w:sz w:val="22"/>
          <w:szCs w:val="22"/>
          <w:lang w:val="es-ES"/>
        </w:rPr>
        <w:t>2</w:t>
      </w:r>
      <w:r w:rsidRPr="00C00312">
        <w:rPr>
          <w:rFonts w:ascii="Arial" w:eastAsia="Calibri" w:hAnsi="Arial" w:cs="Arial"/>
          <w:b/>
          <w:sz w:val="22"/>
          <w:szCs w:val="22"/>
          <w:lang w:val="es-ES"/>
        </w:rPr>
        <w:t xml:space="preserve"> </w:t>
      </w:r>
    </w:p>
    <w:p w14:paraId="1698D01B" w14:textId="77777777" w:rsidR="003C7067" w:rsidRPr="00C00312" w:rsidRDefault="003C7067" w:rsidP="003C7067">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C7067" w:rsidRPr="00C00312" w14:paraId="7C1768E2" w14:textId="77777777" w:rsidTr="00C96E18">
        <w:trPr>
          <w:trHeight w:val="735"/>
        </w:trPr>
        <w:tc>
          <w:tcPr>
            <w:tcW w:w="2689" w:type="dxa"/>
          </w:tcPr>
          <w:p w14:paraId="7F7464C9" w14:textId="77777777" w:rsidR="003C7067" w:rsidRPr="00C00312" w:rsidRDefault="003C7067" w:rsidP="00406F4B">
            <w:pPr>
              <w:rPr>
                <w:rFonts w:ascii="Arial" w:eastAsia="Calibri" w:hAnsi="Arial" w:cs="Arial"/>
                <w:lang w:val="es-ES"/>
              </w:rPr>
            </w:pPr>
            <w:r w:rsidRPr="00C00312">
              <w:rPr>
                <w:rFonts w:ascii="Arial" w:eastAsia="Calibri" w:hAnsi="Arial" w:cs="Arial"/>
                <w:b/>
                <w:lang w:val="es-ES"/>
              </w:rPr>
              <w:t>Temas:</w:t>
            </w:r>
            <w:r w:rsidRPr="00C00312">
              <w:rPr>
                <w:rFonts w:ascii="Arial" w:eastAsia="Calibri" w:hAnsi="Arial" w:cs="Arial"/>
                <w:lang w:val="es-ES"/>
              </w:rPr>
              <w:t xml:space="preserve">                                      </w:t>
            </w:r>
          </w:p>
        </w:tc>
        <w:tc>
          <w:tcPr>
            <w:tcW w:w="6237" w:type="dxa"/>
          </w:tcPr>
          <w:p w14:paraId="20DCB413" w14:textId="0AD89EF2" w:rsidR="00763584" w:rsidRDefault="00F35D47" w:rsidP="00C96E18">
            <w:pPr>
              <w:tabs>
                <w:tab w:val="left" w:pos="0"/>
              </w:tabs>
              <w:spacing w:line="276" w:lineRule="auto"/>
              <w:jc w:val="both"/>
              <w:rPr>
                <w:rFonts w:ascii="Arial" w:eastAsia="Calibri" w:hAnsi="Arial" w:cs="Arial"/>
                <w:bCs/>
                <w:lang w:val="es-ES"/>
              </w:rPr>
            </w:pPr>
            <w:r w:rsidRPr="00F35D47">
              <w:rPr>
                <w:rFonts w:ascii="Arial" w:eastAsia="Calibri" w:hAnsi="Arial" w:cs="Arial"/>
                <w:bCs/>
                <w:lang w:val="es-ES"/>
              </w:rPr>
              <w:t>CAPACIDAD FINANCIERA, CAPACIDAD ORGANIZACIONAL – Conceptos – Requisitos habilitantes</w:t>
            </w:r>
            <w:r>
              <w:rPr>
                <w:rFonts w:ascii="Arial" w:eastAsia="Calibri" w:hAnsi="Arial" w:cs="Arial"/>
                <w:bCs/>
                <w:lang w:val="es-ES"/>
              </w:rPr>
              <w:t xml:space="preserve"> / </w:t>
            </w:r>
            <w:r w:rsidR="009F0A44" w:rsidRPr="00C00312">
              <w:rPr>
                <w:rFonts w:ascii="Arial" w:eastAsia="Calibri" w:hAnsi="Arial" w:cs="Arial"/>
                <w:bCs/>
                <w:lang w:val="es-ES"/>
              </w:rPr>
              <w:t>REQUISITOS HABILITANTES – CAPITAL DE TRABAJO</w:t>
            </w:r>
          </w:p>
          <w:p w14:paraId="2F4B7014" w14:textId="3CA1A8FD" w:rsidR="007915CC" w:rsidRPr="00C00312" w:rsidRDefault="007915CC" w:rsidP="00C96E18">
            <w:pPr>
              <w:tabs>
                <w:tab w:val="left" w:pos="0"/>
              </w:tabs>
              <w:spacing w:line="276" w:lineRule="auto"/>
              <w:jc w:val="both"/>
              <w:rPr>
                <w:rFonts w:ascii="Arial" w:eastAsia="Calibri" w:hAnsi="Arial" w:cs="Arial"/>
                <w:bCs/>
                <w:lang w:val="es-ES"/>
              </w:rPr>
            </w:pPr>
          </w:p>
        </w:tc>
      </w:tr>
      <w:tr w:rsidR="003C7067" w:rsidRPr="00C00312" w14:paraId="60D249F0" w14:textId="77777777" w:rsidTr="00406F4B">
        <w:tc>
          <w:tcPr>
            <w:tcW w:w="2689" w:type="dxa"/>
          </w:tcPr>
          <w:p w14:paraId="291F9A18" w14:textId="77777777" w:rsidR="003C7067" w:rsidRPr="00C00312" w:rsidRDefault="003C7067" w:rsidP="00406F4B">
            <w:pPr>
              <w:rPr>
                <w:rFonts w:ascii="Arial" w:eastAsia="Calibri" w:hAnsi="Arial" w:cs="Arial"/>
                <w:lang w:val="es-ES"/>
              </w:rPr>
            </w:pPr>
            <w:r w:rsidRPr="00C00312">
              <w:rPr>
                <w:rFonts w:ascii="Arial" w:eastAsia="Calibri" w:hAnsi="Arial" w:cs="Arial"/>
                <w:b/>
                <w:lang w:val="es-ES"/>
              </w:rPr>
              <w:t>Radicación:</w:t>
            </w:r>
            <w:r w:rsidRPr="00C00312">
              <w:rPr>
                <w:rFonts w:ascii="Arial" w:eastAsia="Calibri" w:hAnsi="Arial" w:cs="Arial"/>
                <w:lang w:val="es-ES"/>
              </w:rPr>
              <w:t xml:space="preserve">                              </w:t>
            </w:r>
          </w:p>
        </w:tc>
        <w:tc>
          <w:tcPr>
            <w:tcW w:w="6237" w:type="dxa"/>
          </w:tcPr>
          <w:p w14:paraId="3C674517" w14:textId="1FED39D7" w:rsidR="003C7067" w:rsidRPr="00C00312" w:rsidRDefault="003C7067" w:rsidP="00406F4B">
            <w:pPr>
              <w:rPr>
                <w:rFonts w:ascii="Arial" w:eastAsia="Calibri" w:hAnsi="Arial" w:cs="Arial"/>
                <w:lang w:val="es-ES"/>
              </w:rPr>
            </w:pPr>
            <w:r w:rsidRPr="00C00312">
              <w:rPr>
                <w:rFonts w:ascii="Arial" w:eastAsia="Calibri" w:hAnsi="Arial" w:cs="Arial"/>
                <w:lang w:val="es-ES"/>
              </w:rPr>
              <w:t xml:space="preserve">Respuesta a consulta </w:t>
            </w:r>
            <w:r w:rsidR="00AA11C2" w:rsidRPr="00AA11C2">
              <w:rPr>
                <w:rFonts w:ascii="Arial" w:hAnsi="Arial" w:cs="Arial"/>
                <w:color w:val="000000" w:themeColor="text1"/>
                <w:shd w:val="clear" w:color="auto" w:fill="FFFFFF"/>
              </w:rPr>
              <w:t>P20220930009846</w:t>
            </w:r>
          </w:p>
        </w:tc>
      </w:tr>
    </w:tbl>
    <w:p w14:paraId="7E6B5A12" w14:textId="77777777" w:rsidR="003C7067" w:rsidRPr="00C00312" w:rsidRDefault="003C7067" w:rsidP="003C7067">
      <w:pPr>
        <w:spacing w:line="276" w:lineRule="auto"/>
        <w:rPr>
          <w:rFonts w:ascii="Arial" w:eastAsia="Calibri" w:hAnsi="Arial" w:cs="Arial"/>
          <w:sz w:val="22"/>
          <w:szCs w:val="22"/>
          <w:lang w:val="es-ES"/>
        </w:rPr>
      </w:pPr>
    </w:p>
    <w:p w14:paraId="776B553A" w14:textId="77777777" w:rsidR="003C7067" w:rsidRPr="00C00312" w:rsidRDefault="003C7067" w:rsidP="003C7067">
      <w:pPr>
        <w:spacing w:line="276" w:lineRule="auto"/>
        <w:rPr>
          <w:rFonts w:ascii="Arial" w:eastAsia="Calibri" w:hAnsi="Arial" w:cs="Arial"/>
          <w:sz w:val="22"/>
          <w:szCs w:val="22"/>
          <w:lang w:val="es-ES"/>
        </w:rPr>
      </w:pPr>
    </w:p>
    <w:p w14:paraId="6BB19977" w14:textId="051390CC" w:rsidR="003C7067" w:rsidRPr="00C00312" w:rsidRDefault="003C7067" w:rsidP="003C7067">
      <w:pPr>
        <w:tabs>
          <w:tab w:val="left" w:pos="3736"/>
        </w:tabs>
        <w:spacing w:line="276" w:lineRule="auto"/>
        <w:rPr>
          <w:rFonts w:ascii="Arial" w:eastAsia="Calibri" w:hAnsi="Arial" w:cs="Arial"/>
          <w:sz w:val="22"/>
          <w:szCs w:val="22"/>
          <w:lang w:val="es-ES"/>
        </w:rPr>
      </w:pPr>
      <w:r w:rsidRPr="00C00312">
        <w:rPr>
          <w:rFonts w:ascii="Arial" w:eastAsia="Calibri" w:hAnsi="Arial" w:cs="Arial"/>
          <w:sz w:val="22"/>
          <w:szCs w:val="22"/>
          <w:lang w:val="es-ES"/>
        </w:rPr>
        <w:t>Estimad</w:t>
      </w:r>
      <w:r w:rsidR="00B30CFF">
        <w:rPr>
          <w:rFonts w:ascii="Arial" w:eastAsia="Calibri" w:hAnsi="Arial" w:cs="Arial"/>
          <w:sz w:val="22"/>
          <w:szCs w:val="22"/>
          <w:lang w:val="es-ES"/>
        </w:rPr>
        <w:t>o</w:t>
      </w:r>
      <w:r w:rsidRPr="00C00312">
        <w:rPr>
          <w:rFonts w:ascii="Arial" w:eastAsia="Calibri" w:hAnsi="Arial" w:cs="Arial"/>
          <w:sz w:val="22"/>
          <w:szCs w:val="22"/>
          <w:lang w:val="es-ES"/>
        </w:rPr>
        <w:t xml:space="preserve"> señor</w:t>
      </w:r>
      <w:r w:rsidR="00172E23" w:rsidRPr="00C00312">
        <w:rPr>
          <w:rFonts w:ascii="Arial" w:eastAsia="Calibri" w:hAnsi="Arial" w:cs="Arial"/>
          <w:sz w:val="22"/>
          <w:szCs w:val="22"/>
          <w:lang w:val="es-ES"/>
        </w:rPr>
        <w:t xml:space="preserve"> </w:t>
      </w:r>
      <w:r w:rsidR="00176B51">
        <w:rPr>
          <w:rFonts w:ascii="Arial" w:eastAsia="Calibri" w:hAnsi="Arial" w:cs="Arial"/>
          <w:sz w:val="22"/>
          <w:szCs w:val="22"/>
          <w:lang w:val="es-ES"/>
        </w:rPr>
        <w:t>Carrascal</w:t>
      </w:r>
      <w:r w:rsidRPr="00C00312">
        <w:rPr>
          <w:rFonts w:ascii="Arial" w:eastAsia="Calibri" w:hAnsi="Arial" w:cs="Arial"/>
          <w:sz w:val="22"/>
          <w:szCs w:val="22"/>
          <w:lang w:val="es-ES"/>
        </w:rPr>
        <w:t>:</w:t>
      </w:r>
      <w:r w:rsidRPr="00C00312">
        <w:rPr>
          <w:rFonts w:ascii="Arial" w:eastAsia="Calibri" w:hAnsi="Arial" w:cs="Arial"/>
          <w:sz w:val="22"/>
          <w:szCs w:val="22"/>
          <w:lang w:val="es-ES"/>
        </w:rPr>
        <w:tab/>
      </w:r>
    </w:p>
    <w:p w14:paraId="17594CC4" w14:textId="77777777" w:rsidR="003C7067" w:rsidRPr="00C00312" w:rsidRDefault="003C7067" w:rsidP="003C7067">
      <w:pPr>
        <w:spacing w:line="276" w:lineRule="auto"/>
        <w:rPr>
          <w:rFonts w:ascii="Arial" w:eastAsia="Calibri" w:hAnsi="Arial" w:cs="Arial"/>
          <w:sz w:val="22"/>
          <w:szCs w:val="22"/>
          <w:lang w:val="es-ES"/>
        </w:rPr>
      </w:pPr>
    </w:p>
    <w:p w14:paraId="6880030B" w14:textId="3C9622E9" w:rsidR="00176B51" w:rsidRPr="005C6F23" w:rsidRDefault="00176B51" w:rsidP="00176B51">
      <w:pPr>
        <w:spacing w:line="276" w:lineRule="auto"/>
        <w:contextualSpacing/>
        <w:jc w:val="both"/>
        <w:rPr>
          <w:rFonts w:ascii="Arial" w:eastAsia="Calibri" w:hAnsi="Arial" w:cs="Arial"/>
          <w:sz w:val="22"/>
          <w:szCs w:val="22"/>
          <w:lang w:val="es-ES"/>
        </w:rPr>
      </w:pPr>
      <w:r w:rsidRPr="005C6F23">
        <w:rPr>
          <w:rFonts w:ascii="Arial" w:eastAsia="Calibri" w:hAnsi="Arial" w:cs="Arial"/>
          <w:sz w:val="22"/>
          <w:szCs w:val="22"/>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1B3331">
        <w:rPr>
          <w:rFonts w:ascii="Arial" w:eastAsia="Calibri" w:hAnsi="Arial" w:cs="Arial"/>
          <w:sz w:val="22"/>
          <w:szCs w:val="22"/>
          <w:lang w:val="es-ES"/>
        </w:rPr>
        <w:t>29</w:t>
      </w:r>
      <w:r>
        <w:rPr>
          <w:rFonts w:ascii="Arial" w:eastAsia="Calibri" w:hAnsi="Arial" w:cs="Arial"/>
          <w:sz w:val="22"/>
          <w:szCs w:val="22"/>
          <w:lang w:val="es-ES"/>
        </w:rPr>
        <w:t xml:space="preserve"> de </w:t>
      </w:r>
      <w:r w:rsidR="001B3331">
        <w:rPr>
          <w:rFonts w:ascii="Arial" w:eastAsia="Calibri" w:hAnsi="Arial" w:cs="Arial"/>
          <w:sz w:val="22"/>
          <w:szCs w:val="22"/>
          <w:lang w:val="es-ES"/>
        </w:rPr>
        <w:t>septiembre</w:t>
      </w:r>
      <w:r>
        <w:rPr>
          <w:rFonts w:ascii="Arial" w:eastAsia="Calibri" w:hAnsi="Arial" w:cs="Arial"/>
          <w:sz w:val="22"/>
          <w:szCs w:val="22"/>
          <w:lang w:val="es-ES"/>
        </w:rPr>
        <w:t xml:space="preserve"> de 2022</w:t>
      </w:r>
      <w:r w:rsidRPr="005C6F23">
        <w:rPr>
          <w:rFonts w:ascii="Arial" w:eastAsia="Calibri" w:hAnsi="Arial" w:cs="Arial"/>
          <w:sz w:val="22"/>
          <w:szCs w:val="22"/>
          <w:lang w:val="es-ES"/>
        </w:rPr>
        <w:t>.</w:t>
      </w:r>
    </w:p>
    <w:p w14:paraId="2D852432" w14:textId="77777777" w:rsidR="003C7067" w:rsidRPr="00C00312" w:rsidRDefault="003C7067" w:rsidP="003C7067">
      <w:pPr>
        <w:pStyle w:val="Prrafodelista"/>
        <w:spacing w:line="276" w:lineRule="auto"/>
        <w:ind w:left="0"/>
        <w:rPr>
          <w:rFonts w:ascii="Arial" w:eastAsia="Calibri" w:hAnsi="Arial" w:cs="Arial"/>
          <w:sz w:val="22"/>
          <w:lang w:val="es-ES"/>
        </w:rPr>
      </w:pPr>
    </w:p>
    <w:p w14:paraId="67CA615C" w14:textId="77777777" w:rsidR="003C7067" w:rsidRPr="00C00312" w:rsidRDefault="003C7067" w:rsidP="003C7067">
      <w:pPr>
        <w:tabs>
          <w:tab w:val="left" w:pos="0"/>
        </w:tabs>
        <w:spacing w:line="276" w:lineRule="auto"/>
        <w:jc w:val="both"/>
        <w:rPr>
          <w:rFonts w:ascii="Arial" w:eastAsia="Calibri" w:hAnsi="Arial" w:cs="Arial"/>
          <w:b/>
          <w:sz w:val="22"/>
          <w:szCs w:val="22"/>
          <w:lang w:val="es-ES"/>
        </w:rPr>
      </w:pPr>
      <w:r w:rsidRPr="00C00312">
        <w:rPr>
          <w:rFonts w:ascii="Arial" w:eastAsia="Calibri" w:hAnsi="Arial" w:cs="Arial"/>
          <w:b/>
          <w:sz w:val="22"/>
          <w:szCs w:val="22"/>
          <w:lang w:val="es-ES"/>
        </w:rPr>
        <w:t>1. Problema planteado</w:t>
      </w:r>
    </w:p>
    <w:p w14:paraId="5A060666" w14:textId="77777777" w:rsidR="003C7067" w:rsidRPr="00C00312" w:rsidRDefault="003C7067" w:rsidP="003C7067">
      <w:pPr>
        <w:rPr>
          <w:rFonts w:ascii="Arial" w:eastAsia="Calibri" w:hAnsi="Arial" w:cs="Arial"/>
          <w:sz w:val="22"/>
          <w:szCs w:val="22"/>
          <w:lang w:val="es-ES"/>
        </w:rPr>
      </w:pPr>
    </w:p>
    <w:p w14:paraId="3E00A2D4" w14:textId="75311423" w:rsidR="003C7067" w:rsidRDefault="003C7067" w:rsidP="003C7067">
      <w:pPr>
        <w:spacing w:line="276" w:lineRule="auto"/>
        <w:jc w:val="both"/>
        <w:rPr>
          <w:rFonts w:ascii="Arial" w:eastAsia="Calibri" w:hAnsi="Arial" w:cs="Arial"/>
          <w:sz w:val="22"/>
          <w:szCs w:val="22"/>
          <w:lang w:val="es-ES"/>
        </w:rPr>
      </w:pPr>
      <w:r w:rsidRPr="00C00312">
        <w:rPr>
          <w:rFonts w:ascii="Arial" w:eastAsia="Calibri" w:hAnsi="Arial" w:cs="Arial"/>
          <w:sz w:val="22"/>
          <w:szCs w:val="22"/>
          <w:lang w:val="es-ES"/>
        </w:rPr>
        <w:t xml:space="preserve">Usted realiza la siguiente pregunta: </w:t>
      </w:r>
    </w:p>
    <w:p w14:paraId="11175A89" w14:textId="77777777" w:rsidR="00DE116F" w:rsidRPr="00C00312" w:rsidRDefault="00DE116F" w:rsidP="003C7067">
      <w:pPr>
        <w:spacing w:line="276" w:lineRule="auto"/>
        <w:jc w:val="both"/>
        <w:rPr>
          <w:rFonts w:ascii="Arial" w:eastAsia="Calibri" w:hAnsi="Arial" w:cs="Arial"/>
          <w:sz w:val="22"/>
          <w:szCs w:val="22"/>
          <w:lang w:val="es-ES"/>
        </w:rPr>
      </w:pPr>
    </w:p>
    <w:p w14:paraId="695ACE68" w14:textId="7439126A" w:rsidR="003C7067" w:rsidRPr="00176B51" w:rsidRDefault="003C7067" w:rsidP="00176B51">
      <w:pPr>
        <w:ind w:left="709" w:right="709"/>
        <w:jc w:val="both"/>
        <w:rPr>
          <w:rFonts w:ascii="Arial" w:hAnsi="Arial" w:cs="Arial"/>
          <w:sz w:val="21"/>
          <w:szCs w:val="21"/>
        </w:rPr>
      </w:pPr>
      <w:r w:rsidRPr="00756C59">
        <w:rPr>
          <w:rFonts w:ascii="Arial" w:eastAsia="Calibri" w:hAnsi="Arial" w:cs="Arial"/>
          <w:sz w:val="21"/>
          <w:szCs w:val="21"/>
          <w:lang w:val="es-ES"/>
        </w:rPr>
        <w:t>«</w:t>
      </w:r>
      <w:r w:rsidR="00176B51" w:rsidRPr="00176B51">
        <w:rPr>
          <w:rFonts w:ascii="Arial" w:hAnsi="Arial" w:cs="Arial"/>
          <w:sz w:val="21"/>
          <w:szCs w:val="21"/>
        </w:rPr>
        <w:t xml:space="preserve">Es cierto que los contratos de obra </w:t>
      </w:r>
      <w:proofErr w:type="spellStart"/>
      <w:r w:rsidR="00176B51" w:rsidRPr="00176B51">
        <w:rPr>
          <w:rFonts w:ascii="Arial" w:hAnsi="Arial" w:cs="Arial"/>
          <w:sz w:val="21"/>
          <w:szCs w:val="21"/>
        </w:rPr>
        <w:t>publica</w:t>
      </w:r>
      <w:proofErr w:type="spellEnd"/>
      <w:r w:rsidR="00176B51" w:rsidRPr="00176B51">
        <w:rPr>
          <w:rFonts w:ascii="Arial" w:hAnsi="Arial" w:cs="Arial"/>
          <w:sz w:val="21"/>
          <w:szCs w:val="21"/>
        </w:rPr>
        <w:t xml:space="preserve"> contienen dentro de sus aspectos</w:t>
      </w:r>
      <w:r w:rsidR="00176B51">
        <w:rPr>
          <w:rFonts w:ascii="Arial" w:hAnsi="Arial" w:cs="Arial"/>
          <w:sz w:val="21"/>
          <w:szCs w:val="21"/>
        </w:rPr>
        <w:t xml:space="preserve"> </w:t>
      </w:r>
      <w:r w:rsidR="00176B51" w:rsidRPr="00176B51">
        <w:rPr>
          <w:rFonts w:ascii="Arial" w:hAnsi="Arial" w:cs="Arial"/>
          <w:sz w:val="21"/>
          <w:szCs w:val="21"/>
        </w:rPr>
        <w:t xml:space="preserve">financieros una capacidad de trabajo que garantice la </w:t>
      </w:r>
      <w:proofErr w:type="spellStart"/>
      <w:r w:rsidR="00176B51" w:rsidRPr="00176B51">
        <w:rPr>
          <w:rFonts w:ascii="Arial" w:hAnsi="Arial" w:cs="Arial"/>
          <w:sz w:val="21"/>
          <w:szCs w:val="21"/>
        </w:rPr>
        <w:t>ejecucion</w:t>
      </w:r>
      <w:proofErr w:type="spellEnd"/>
      <w:r w:rsidR="00176B51" w:rsidRPr="00176B51">
        <w:rPr>
          <w:rFonts w:ascii="Arial" w:hAnsi="Arial" w:cs="Arial"/>
          <w:sz w:val="21"/>
          <w:szCs w:val="21"/>
        </w:rPr>
        <w:t xml:space="preserve"> de los contratos de</w:t>
      </w:r>
      <w:r w:rsidR="00176B51">
        <w:rPr>
          <w:rFonts w:ascii="Arial" w:hAnsi="Arial" w:cs="Arial"/>
          <w:sz w:val="21"/>
          <w:szCs w:val="21"/>
        </w:rPr>
        <w:t xml:space="preserve"> </w:t>
      </w:r>
      <w:r w:rsidR="00176B51" w:rsidRPr="00176B51">
        <w:rPr>
          <w:rFonts w:ascii="Arial" w:hAnsi="Arial" w:cs="Arial"/>
          <w:sz w:val="21"/>
          <w:szCs w:val="21"/>
        </w:rPr>
        <w:t xml:space="preserve">obras </w:t>
      </w:r>
      <w:proofErr w:type="spellStart"/>
      <w:r w:rsidR="00176B51" w:rsidRPr="00176B51">
        <w:rPr>
          <w:rFonts w:ascii="Arial" w:hAnsi="Arial" w:cs="Arial"/>
          <w:sz w:val="21"/>
          <w:szCs w:val="21"/>
        </w:rPr>
        <w:t>publicas</w:t>
      </w:r>
      <w:proofErr w:type="spellEnd"/>
      <w:r w:rsidR="00176B51" w:rsidRPr="00176B51">
        <w:rPr>
          <w:rFonts w:ascii="Arial" w:hAnsi="Arial" w:cs="Arial"/>
          <w:sz w:val="21"/>
          <w:szCs w:val="21"/>
        </w:rPr>
        <w:t>, mi pregunta es que si el contrato que se está realizando exige en</w:t>
      </w:r>
      <w:r w:rsidR="00176B51">
        <w:rPr>
          <w:rFonts w:ascii="Arial" w:hAnsi="Arial" w:cs="Arial"/>
          <w:sz w:val="21"/>
          <w:szCs w:val="21"/>
        </w:rPr>
        <w:t xml:space="preserve"> </w:t>
      </w:r>
      <w:r w:rsidR="00176B51" w:rsidRPr="00176B51">
        <w:rPr>
          <w:rFonts w:ascii="Arial" w:hAnsi="Arial" w:cs="Arial"/>
          <w:sz w:val="21"/>
          <w:szCs w:val="21"/>
        </w:rPr>
        <w:t>pliegos de condiciones un capital de trabajo del 10% del presupuesto oficial, la entidad</w:t>
      </w:r>
      <w:r w:rsidR="00176B51">
        <w:rPr>
          <w:rFonts w:ascii="Arial" w:hAnsi="Arial" w:cs="Arial"/>
          <w:sz w:val="21"/>
          <w:szCs w:val="21"/>
        </w:rPr>
        <w:t xml:space="preserve"> </w:t>
      </w:r>
      <w:r w:rsidR="00176B51" w:rsidRPr="00176B51">
        <w:rPr>
          <w:rFonts w:ascii="Arial" w:hAnsi="Arial" w:cs="Arial"/>
          <w:sz w:val="21"/>
          <w:szCs w:val="21"/>
        </w:rPr>
        <w:t xml:space="preserve">puede exigirme </w:t>
      </w:r>
      <w:proofErr w:type="spellStart"/>
      <w:r w:rsidR="00176B51" w:rsidRPr="00176B51">
        <w:rPr>
          <w:rFonts w:ascii="Arial" w:hAnsi="Arial" w:cs="Arial"/>
          <w:sz w:val="21"/>
          <w:szCs w:val="21"/>
        </w:rPr>
        <w:t>mas</w:t>
      </w:r>
      <w:proofErr w:type="spellEnd"/>
      <w:r w:rsidR="00176B51" w:rsidRPr="00176B51">
        <w:rPr>
          <w:rFonts w:ascii="Arial" w:hAnsi="Arial" w:cs="Arial"/>
          <w:sz w:val="21"/>
          <w:szCs w:val="21"/>
        </w:rPr>
        <w:t xml:space="preserve"> capacidad al momento de la </w:t>
      </w:r>
      <w:proofErr w:type="spellStart"/>
      <w:r w:rsidR="00176B51" w:rsidRPr="00176B51">
        <w:rPr>
          <w:rFonts w:ascii="Arial" w:hAnsi="Arial" w:cs="Arial"/>
          <w:sz w:val="21"/>
          <w:szCs w:val="21"/>
        </w:rPr>
        <w:t>ejecucion</w:t>
      </w:r>
      <w:proofErr w:type="spellEnd"/>
      <w:r w:rsidR="00176B51" w:rsidRPr="00176B51">
        <w:rPr>
          <w:rFonts w:ascii="Arial" w:hAnsi="Arial" w:cs="Arial"/>
          <w:sz w:val="21"/>
          <w:szCs w:val="21"/>
        </w:rPr>
        <w:t xml:space="preserve"> de la </w:t>
      </w:r>
      <w:proofErr w:type="gramStart"/>
      <w:r w:rsidR="00176B51" w:rsidRPr="00176B51">
        <w:rPr>
          <w:rFonts w:ascii="Arial" w:hAnsi="Arial" w:cs="Arial"/>
          <w:sz w:val="21"/>
          <w:szCs w:val="21"/>
        </w:rPr>
        <w:t>obra ?</w:t>
      </w:r>
      <w:proofErr w:type="gramEnd"/>
      <w:r w:rsidR="00176B51" w:rsidRPr="00176B51">
        <w:rPr>
          <w:rFonts w:ascii="Arial" w:hAnsi="Arial" w:cs="Arial"/>
          <w:sz w:val="21"/>
          <w:szCs w:val="21"/>
        </w:rPr>
        <w:t xml:space="preserve"> Es decir, en</w:t>
      </w:r>
      <w:r w:rsidR="00176B51">
        <w:rPr>
          <w:rFonts w:ascii="Arial" w:hAnsi="Arial" w:cs="Arial"/>
          <w:sz w:val="21"/>
          <w:szCs w:val="21"/>
        </w:rPr>
        <w:t xml:space="preserve"> </w:t>
      </w:r>
      <w:proofErr w:type="spellStart"/>
      <w:r w:rsidR="00176B51" w:rsidRPr="00176B51">
        <w:rPr>
          <w:rFonts w:ascii="Arial" w:hAnsi="Arial" w:cs="Arial"/>
          <w:sz w:val="21"/>
          <w:szCs w:val="21"/>
        </w:rPr>
        <w:t>algun</w:t>
      </w:r>
      <w:proofErr w:type="spellEnd"/>
      <w:r w:rsidR="00176B51" w:rsidRPr="00176B51">
        <w:rPr>
          <w:rFonts w:ascii="Arial" w:hAnsi="Arial" w:cs="Arial"/>
          <w:sz w:val="21"/>
          <w:szCs w:val="21"/>
        </w:rPr>
        <w:t xml:space="preserve"> momento de acuerdo a la capacidad financiera del consorcio, los recursos</w:t>
      </w:r>
      <w:r w:rsidR="00176B51">
        <w:rPr>
          <w:rFonts w:ascii="Arial" w:hAnsi="Arial" w:cs="Arial"/>
          <w:sz w:val="21"/>
          <w:szCs w:val="21"/>
        </w:rPr>
        <w:t xml:space="preserve"> </w:t>
      </w:r>
      <w:r w:rsidR="00176B51" w:rsidRPr="00176B51">
        <w:rPr>
          <w:rFonts w:ascii="Arial" w:hAnsi="Arial" w:cs="Arial"/>
          <w:sz w:val="21"/>
          <w:szCs w:val="21"/>
        </w:rPr>
        <w:t xml:space="preserve">pueden terminarse si la entidad contratante no realiza los pagos a tiempo. </w:t>
      </w:r>
      <w:r w:rsidR="00176B51">
        <w:rPr>
          <w:rFonts w:ascii="Arial" w:hAnsi="Arial" w:cs="Arial"/>
          <w:sz w:val="21"/>
          <w:szCs w:val="21"/>
        </w:rPr>
        <w:t xml:space="preserve">podría </w:t>
      </w:r>
      <w:r w:rsidR="00176B51" w:rsidRPr="00176B51">
        <w:rPr>
          <w:rFonts w:ascii="Arial" w:hAnsi="Arial" w:cs="Arial"/>
          <w:sz w:val="21"/>
          <w:szCs w:val="21"/>
        </w:rPr>
        <w:t xml:space="preserve">considerarse una indebida </w:t>
      </w:r>
      <w:proofErr w:type="spellStart"/>
      <w:r w:rsidR="00176B51" w:rsidRPr="00176B51">
        <w:rPr>
          <w:rFonts w:ascii="Arial" w:hAnsi="Arial" w:cs="Arial"/>
          <w:sz w:val="21"/>
          <w:szCs w:val="21"/>
        </w:rPr>
        <w:t>planeacion</w:t>
      </w:r>
      <w:proofErr w:type="spellEnd"/>
      <w:r w:rsidR="00176B51" w:rsidRPr="00176B51">
        <w:rPr>
          <w:rFonts w:ascii="Arial" w:hAnsi="Arial" w:cs="Arial"/>
          <w:sz w:val="21"/>
          <w:szCs w:val="21"/>
        </w:rPr>
        <w:t xml:space="preserve"> financiera si los pagos no son congruentes con</w:t>
      </w:r>
      <w:r w:rsidR="00176B51">
        <w:rPr>
          <w:rFonts w:ascii="Arial" w:hAnsi="Arial" w:cs="Arial"/>
          <w:sz w:val="21"/>
          <w:szCs w:val="21"/>
        </w:rPr>
        <w:t xml:space="preserve"> </w:t>
      </w:r>
      <w:r w:rsidR="00176B51" w:rsidRPr="00176B51">
        <w:rPr>
          <w:rFonts w:ascii="Arial" w:hAnsi="Arial" w:cs="Arial"/>
          <w:sz w:val="21"/>
          <w:szCs w:val="21"/>
        </w:rPr>
        <w:t>los plazos contractuales ?</w:t>
      </w:r>
      <w:r w:rsidRPr="00756C59">
        <w:rPr>
          <w:rFonts w:ascii="Arial" w:hAnsi="Arial" w:cs="Arial"/>
          <w:sz w:val="21"/>
          <w:szCs w:val="21"/>
          <w:lang w:val="es-ES"/>
        </w:rPr>
        <w:t>»</w:t>
      </w:r>
      <w:r w:rsidR="00176B51">
        <w:rPr>
          <w:rFonts w:ascii="Arial" w:hAnsi="Arial" w:cs="Arial"/>
          <w:sz w:val="21"/>
          <w:szCs w:val="21"/>
          <w:lang w:val="es-ES"/>
        </w:rPr>
        <w:t xml:space="preserve"> [sic]</w:t>
      </w:r>
      <w:r w:rsidRPr="00756C59">
        <w:rPr>
          <w:rFonts w:ascii="Arial" w:hAnsi="Arial" w:cs="Arial"/>
          <w:sz w:val="21"/>
          <w:szCs w:val="21"/>
          <w:lang w:val="es-ES"/>
        </w:rPr>
        <w:t>.</w:t>
      </w:r>
    </w:p>
    <w:p w14:paraId="2C4B2B60" w14:textId="77777777" w:rsidR="003C7067" w:rsidRPr="00C00312" w:rsidRDefault="003C7067" w:rsidP="00172E23">
      <w:pPr>
        <w:spacing w:line="276" w:lineRule="auto"/>
        <w:ind w:right="709"/>
        <w:jc w:val="both"/>
        <w:rPr>
          <w:rFonts w:ascii="Arial" w:eastAsia="Calibri" w:hAnsi="Arial" w:cs="Arial"/>
          <w:b/>
          <w:sz w:val="22"/>
          <w:szCs w:val="22"/>
          <w:lang w:val="es-ES"/>
        </w:rPr>
      </w:pPr>
    </w:p>
    <w:p w14:paraId="5ACBD771" w14:textId="77777777" w:rsidR="003C7067" w:rsidRPr="00F35D47" w:rsidRDefault="003C7067" w:rsidP="003C7067">
      <w:pPr>
        <w:spacing w:line="276" w:lineRule="auto"/>
        <w:jc w:val="both"/>
        <w:rPr>
          <w:rFonts w:ascii="Arial" w:eastAsia="Calibri" w:hAnsi="Arial" w:cs="Arial"/>
          <w:b/>
          <w:sz w:val="22"/>
          <w:szCs w:val="22"/>
          <w:lang w:val="es-ES"/>
        </w:rPr>
      </w:pPr>
      <w:r w:rsidRPr="00F35D47">
        <w:rPr>
          <w:rFonts w:ascii="Arial" w:eastAsia="Calibri" w:hAnsi="Arial" w:cs="Arial"/>
          <w:b/>
          <w:sz w:val="22"/>
          <w:szCs w:val="22"/>
          <w:lang w:val="es-ES"/>
        </w:rPr>
        <w:t>2. Consideraciones</w:t>
      </w:r>
    </w:p>
    <w:p w14:paraId="5914F486" w14:textId="2A873998" w:rsidR="003C7067" w:rsidRPr="00F35D47" w:rsidRDefault="003C7067" w:rsidP="003C7067">
      <w:pPr>
        <w:spacing w:line="276" w:lineRule="auto"/>
        <w:jc w:val="both"/>
        <w:rPr>
          <w:rFonts w:ascii="Arial" w:eastAsia="Calibri" w:hAnsi="Arial" w:cs="Arial"/>
          <w:b/>
          <w:sz w:val="22"/>
          <w:szCs w:val="22"/>
          <w:lang w:val="es-ES"/>
        </w:rPr>
      </w:pPr>
    </w:p>
    <w:p w14:paraId="7E335121" w14:textId="77777777" w:rsidR="0083675E" w:rsidRPr="00F35D47" w:rsidRDefault="0083675E" w:rsidP="0083675E">
      <w:pPr>
        <w:spacing w:after="120" w:line="276" w:lineRule="auto"/>
        <w:jc w:val="both"/>
        <w:rPr>
          <w:rFonts w:ascii="Arial" w:hAnsi="Arial" w:cs="Arial"/>
          <w:sz w:val="22"/>
          <w:szCs w:val="22"/>
          <w:lang w:val="es-ES"/>
        </w:rPr>
      </w:pPr>
      <w:r w:rsidRPr="00F35D47">
        <w:rPr>
          <w:rFonts w:ascii="Arial" w:hAnsi="Arial" w:cs="Arial"/>
          <w:bCs/>
          <w:sz w:val="22"/>
          <w:szCs w:val="22"/>
        </w:rPr>
        <w:lastRenderedPageBreak/>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F35D47">
        <w:rPr>
          <w:rFonts w:ascii="Arial" w:hAnsi="Arial" w:cs="Arial"/>
          <w:sz w:val="22"/>
          <w:szCs w:val="22"/>
          <w:lang w:val="es-ES"/>
        </w:rPr>
        <w:t xml:space="preserve">Es necesario tener en cuenta que </w:t>
      </w:r>
      <w:bookmarkStart w:id="2" w:name="_Hlk61026958"/>
      <w:r w:rsidRPr="00F35D47">
        <w:rPr>
          <w:rFonts w:ascii="Arial" w:hAnsi="Arial" w:cs="Arial"/>
          <w:sz w:val="22"/>
          <w:szCs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F35D47">
        <w:rPr>
          <w:rFonts w:ascii="Arial" w:hAnsi="Arial" w:cs="Arial"/>
          <w:bCs/>
          <w:sz w:val="22"/>
          <w:szCs w:val="22"/>
        </w:rPr>
        <w:t xml:space="preserve"> de todos los partícipes de la contratación estatal ni para asesorar procesos de contratación.</w:t>
      </w:r>
    </w:p>
    <w:p w14:paraId="11BC6869" w14:textId="77777777" w:rsidR="0083675E" w:rsidRPr="00F35D47" w:rsidRDefault="0083675E" w:rsidP="0083675E">
      <w:pPr>
        <w:spacing w:after="120" w:line="276" w:lineRule="auto"/>
        <w:ind w:firstLine="708"/>
        <w:jc w:val="both"/>
        <w:rPr>
          <w:rFonts w:ascii="Arial" w:hAnsi="Arial" w:cs="Arial"/>
          <w:sz w:val="22"/>
          <w:szCs w:val="22"/>
          <w:lang w:val="es-ES"/>
        </w:rPr>
      </w:pPr>
      <w:r w:rsidRPr="00F35D47">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35D47">
        <w:rPr>
          <w:sz w:val="22"/>
          <w:szCs w:val="22"/>
          <w:vertAlign w:val="superscript"/>
        </w:rPr>
        <w:footnoteReference w:id="1"/>
      </w:r>
      <w:r w:rsidRPr="00F35D47">
        <w:rPr>
          <w:rFonts w:ascii="Arial" w:hAnsi="Arial" w:cs="Arial"/>
          <w:sz w:val="22"/>
          <w:szCs w:val="22"/>
          <w:lang w:val="es-ES"/>
        </w:rPr>
        <w:t>. Esta competencia de interpretación de normas generales, por definición, no puede extenderse a la resolución de controversias, ni a brindar asesorías sobre casos puntuales</w:t>
      </w:r>
      <w:bookmarkEnd w:id="2"/>
      <w:r w:rsidRPr="00F35D47">
        <w:rPr>
          <w:rFonts w:ascii="Arial" w:hAnsi="Arial" w:cs="Arial"/>
          <w:sz w:val="22"/>
          <w:szCs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bookmarkEnd w:id="1"/>
    <w:p w14:paraId="20B9425B" w14:textId="40805435" w:rsidR="0083675E" w:rsidRPr="00F35D47" w:rsidRDefault="0083675E" w:rsidP="00E8399C">
      <w:pPr>
        <w:spacing w:after="120" w:line="276" w:lineRule="auto"/>
        <w:ind w:firstLine="708"/>
        <w:jc w:val="both"/>
        <w:rPr>
          <w:rFonts w:ascii="Arial" w:eastAsia="Calibri" w:hAnsi="Arial" w:cs="Arial"/>
          <w:sz w:val="22"/>
          <w:szCs w:val="22"/>
          <w:lang w:val="es-ES"/>
        </w:rPr>
      </w:pPr>
      <w:r w:rsidRPr="00F35D47">
        <w:rPr>
          <w:rFonts w:ascii="Arial" w:eastAsia="Calibri" w:hAnsi="Arial" w:cs="Arial"/>
          <w:color w:val="000000" w:themeColor="text1"/>
          <w:sz w:val="22"/>
          <w:szCs w:val="22"/>
        </w:rPr>
        <w:t xml:space="preserve">Sin perjuicio de lo anterior, </w:t>
      </w:r>
      <w:r w:rsidRPr="00F35D47">
        <w:rPr>
          <w:rFonts w:ascii="Arial" w:eastAsia="Calibri" w:hAnsi="Arial" w:cs="Arial"/>
          <w:color w:val="000000" w:themeColor="text1"/>
          <w:sz w:val="22"/>
          <w:szCs w:val="22"/>
          <w:lang w:val="es-ES"/>
        </w:rPr>
        <w:t xml:space="preserve">la Subdirección –dentro de los límites de sus atribuciones, esto es, </w:t>
      </w:r>
      <w:bookmarkStart w:id="3" w:name="_Hlk61025408"/>
      <w:r w:rsidRPr="00F35D47">
        <w:rPr>
          <w:rFonts w:ascii="Arial" w:eastAsia="Calibri" w:hAnsi="Arial" w:cs="Arial"/>
          <w:color w:val="000000" w:themeColor="text1"/>
          <w:sz w:val="22"/>
          <w:szCs w:val="22"/>
          <w:lang w:val="es-ES"/>
        </w:rPr>
        <w:t>haciendo abstracción del caso particular expuesto por el peticionario</w:t>
      </w:r>
      <w:bookmarkEnd w:id="3"/>
      <w:r w:rsidRPr="00F35D47">
        <w:rPr>
          <w:rFonts w:ascii="Arial" w:eastAsia="Calibri" w:hAnsi="Arial" w:cs="Arial"/>
          <w:color w:val="000000" w:themeColor="text1"/>
          <w:sz w:val="22"/>
          <w:szCs w:val="22"/>
          <w:lang w:val="es-ES"/>
        </w:rPr>
        <w:t>– resolverá la consulta conforme a las normas generales en materia de contratación estatal. Con este objetivo se analizarán los siguientes temas:</w:t>
      </w:r>
      <w:r w:rsidR="00E8399C" w:rsidRPr="00F35D47">
        <w:rPr>
          <w:rFonts w:ascii="Arial" w:eastAsia="Calibri" w:hAnsi="Arial" w:cs="Arial"/>
          <w:color w:val="000000" w:themeColor="text1"/>
          <w:sz w:val="22"/>
          <w:szCs w:val="22"/>
          <w:lang w:val="es-ES_tradnl"/>
        </w:rPr>
        <w:t xml:space="preserve"> i) requisitos habilitantes de capacidad financiera y organizacional,</w:t>
      </w:r>
      <w:r w:rsidRPr="00F35D47">
        <w:rPr>
          <w:rFonts w:ascii="Arial" w:eastAsia="Calibri" w:hAnsi="Arial" w:cs="Arial"/>
          <w:color w:val="000000" w:themeColor="text1"/>
          <w:sz w:val="22"/>
          <w:szCs w:val="22"/>
          <w:lang w:val="es-ES"/>
        </w:rPr>
        <w:t xml:space="preserve"> </w:t>
      </w:r>
      <w:proofErr w:type="spellStart"/>
      <w:r w:rsidRPr="00F35D47">
        <w:rPr>
          <w:rFonts w:ascii="Arial" w:eastAsia="Calibri" w:hAnsi="Arial" w:cs="Arial"/>
          <w:color w:val="000000" w:themeColor="text1"/>
          <w:sz w:val="22"/>
          <w:szCs w:val="22"/>
          <w:lang w:val="es-ES"/>
        </w:rPr>
        <w:t>i</w:t>
      </w:r>
      <w:r w:rsidR="00E8399C" w:rsidRPr="00F35D47">
        <w:rPr>
          <w:rFonts w:ascii="Arial" w:eastAsia="Calibri" w:hAnsi="Arial" w:cs="Arial"/>
          <w:sz w:val="22"/>
          <w:szCs w:val="22"/>
          <w:lang w:val="es-ES"/>
        </w:rPr>
        <w:t>i</w:t>
      </w:r>
      <w:proofErr w:type="spellEnd"/>
      <w:r w:rsidR="00E8399C" w:rsidRPr="00F35D47">
        <w:rPr>
          <w:rFonts w:ascii="Arial" w:eastAsia="Calibri" w:hAnsi="Arial" w:cs="Arial"/>
          <w:sz w:val="22"/>
          <w:szCs w:val="22"/>
          <w:lang w:val="es-ES"/>
        </w:rPr>
        <w:t xml:space="preserve">) capital de trabajo como requisito habilitante y </w:t>
      </w:r>
      <w:proofErr w:type="spellStart"/>
      <w:r w:rsidR="00E8399C" w:rsidRPr="00F35D47">
        <w:rPr>
          <w:rFonts w:ascii="Arial" w:eastAsia="Calibri" w:hAnsi="Arial" w:cs="Arial"/>
          <w:sz w:val="22"/>
          <w:szCs w:val="22"/>
          <w:lang w:val="es-ES"/>
        </w:rPr>
        <w:t>ii</w:t>
      </w:r>
      <w:proofErr w:type="spellEnd"/>
      <w:r w:rsidR="00E8399C" w:rsidRPr="00F35D47">
        <w:rPr>
          <w:rFonts w:ascii="Arial" w:eastAsia="Calibri" w:hAnsi="Arial" w:cs="Arial"/>
          <w:sz w:val="22"/>
          <w:szCs w:val="22"/>
          <w:lang w:val="es-ES"/>
        </w:rPr>
        <w:t xml:space="preserve">) fórmula de capital de trabajo en los documentos tipo. </w:t>
      </w:r>
    </w:p>
    <w:p w14:paraId="23763B65" w14:textId="3FC35ABA" w:rsidR="004B3476" w:rsidRPr="00F35D47" w:rsidRDefault="0083675E" w:rsidP="001E52B9">
      <w:pPr>
        <w:tabs>
          <w:tab w:val="left" w:pos="426"/>
        </w:tabs>
        <w:spacing w:before="120" w:after="120" w:line="276" w:lineRule="auto"/>
        <w:ind w:firstLine="709"/>
        <w:jc w:val="both"/>
        <w:rPr>
          <w:rFonts w:ascii="Arial" w:eastAsia="Calibri" w:hAnsi="Arial" w:cs="Arial"/>
          <w:sz w:val="22"/>
          <w:szCs w:val="22"/>
          <w:lang w:val="es-ES"/>
        </w:rPr>
      </w:pPr>
      <w:r w:rsidRPr="00F35D47">
        <w:rPr>
          <w:rFonts w:ascii="Arial" w:eastAsia="Calibri" w:hAnsi="Arial" w:cs="Arial"/>
          <w:color w:val="000000" w:themeColor="text1"/>
          <w:sz w:val="22"/>
          <w:szCs w:val="22"/>
          <w:lang w:val="es-ES_tradnl"/>
        </w:rPr>
        <w:t>L</w:t>
      </w:r>
      <w:r w:rsidR="004B3476" w:rsidRPr="00F35D47">
        <w:rPr>
          <w:rFonts w:ascii="Arial" w:eastAsia="Calibri" w:hAnsi="Arial" w:cs="Arial"/>
          <w:color w:val="000000" w:themeColor="text1"/>
          <w:sz w:val="22"/>
          <w:szCs w:val="22"/>
          <w:lang w:val="es-ES_tradnl"/>
        </w:rPr>
        <w:t xml:space="preserve">a Agencia Nacional de Contratación Pública – Colombia Compra Eficiente, en los conceptos del 15 de noviembre, del 28 de noviembre, 16 de diciembre de 2019 –radicados No. 2201913000008520, 4201912000007329 y 2201913000009295–, así como en los conceptos C-120 del 3 de marzo de 2020, C-204 del 31 de marzo de 2020, C-099 del 6 de abril  de 2020, C-195 del 13 de abril de 2020, C-013 del 17 de abril de 2020, C-330 del 27 </w:t>
      </w:r>
      <w:r w:rsidR="004B3476" w:rsidRPr="00F35D47">
        <w:rPr>
          <w:rFonts w:ascii="Arial" w:eastAsia="Calibri" w:hAnsi="Arial" w:cs="Arial"/>
          <w:color w:val="000000" w:themeColor="text1"/>
          <w:sz w:val="22"/>
          <w:szCs w:val="22"/>
          <w:lang w:val="es-ES_tradnl"/>
        </w:rPr>
        <w:lastRenderedPageBreak/>
        <w:t xml:space="preserve">de mayo de 2020 y C-396 de 16 de julio de 2020, </w:t>
      </w:r>
      <w:r w:rsidRPr="00F35D47">
        <w:rPr>
          <w:rFonts w:ascii="Arial" w:eastAsia="Calibri" w:hAnsi="Arial" w:cs="Arial"/>
          <w:color w:val="000000" w:themeColor="text1"/>
          <w:sz w:val="22"/>
          <w:szCs w:val="22"/>
          <w:lang w:val="es-ES_tradnl"/>
        </w:rPr>
        <w:t xml:space="preserve"> y C-698 de 30 de diciembre de 2021 </w:t>
      </w:r>
      <w:r w:rsidR="004B3476" w:rsidRPr="00F35D47">
        <w:rPr>
          <w:rFonts w:ascii="Arial" w:eastAsia="Calibri" w:hAnsi="Arial" w:cs="Arial"/>
          <w:color w:val="000000" w:themeColor="text1"/>
          <w:sz w:val="22"/>
          <w:szCs w:val="22"/>
          <w:lang w:val="es-ES_tradnl"/>
        </w:rPr>
        <w:t xml:space="preserve">analizó la naturaleza de los requisitos habilitantes y </w:t>
      </w:r>
      <w:r w:rsidRPr="00F35D47">
        <w:rPr>
          <w:rFonts w:ascii="Arial" w:eastAsia="Calibri" w:hAnsi="Arial" w:cs="Arial"/>
          <w:color w:val="000000" w:themeColor="text1"/>
          <w:sz w:val="22"/>
          <w:szCs w:val="22"/>
          <w:lang w:val="es-ES_tradnl"/>
        </w:rPr>
        <w:t>el</w:t>
      </w:r>
      <w:r w:rsidR="004B3476" w:rsidRPr="00F35D47">
        <w:rPr>
          <w:rFonts w:ascii="Arial" w:eastAsia="Calibri" w:hAnsi="Arial" w:cs="Arial"/>
          <w:color w:val="000000" w:themeColor="text1"/>
          <w:sz w:val="22"/>
          <w:szCs w:val="22"/>
          <w:lang w:val="es-ES_tradnl"/>
        </w:rPr>
        <w:t xml:space="preserve"> carácter </w:t>
      </w:r>
      <w:r w:rsidR="004B3476" w:rsidRPr="00F35D47">
        <w:rPr>
          <w:rFonts w:ascii="Arial" w:eastAsia="Calibri" w:hAnsi="Arial" w:cs="Arial"/>
          <w:i/>
          <w:iCs/>
          <w:color w:val="000000" w:themeColor="text1"/>
          <w:sz w:val="22"/>
          <w:szCs w:val="22"/>
          <w:lang w:val="es-ES_tradnl"/>
        </w:rPr>
        <w:t>enunciativo</w:t>
      </w:r>
      <w:r w:rsidR="004B3476" w:rsidRPr="00F35D47">
        <w:rPr>
          <w:rFonts w:ascii="Arial" w:eastAsia="Calibri" w:hAnsi="Arial" w:cs="Arial"/>
          <w:color w:val="000000" w:themeColor="text1"/>
          <w:sz w:val="22"/>
          <w:szCs w:val="22"/>
          <w:lang w:val="es-ES_tradnl"/>
        </w:rPr>
        <w:t xml:space="preserve"> </w:t>
      </w:r>
      <w:r w:rsidRPr="00F35D47">
        <w:rPr>
          <w:rFonts w:ascii="Arial" w:eastAsia="Calibri" w:hAnsi="Arial" w:cs="Arial"/>
          <w:color w:val="000000" w:themeColor="text1"/>
          <w:sz w:val="22"/>
          <w:szCs w:val="22"/>
          <w:lang w:val="es-ES_tradnl"/>
        </w:rPr>
        <w:t xml:space="preserve">de los mismos en el numeral 1 del </w:t>
      </w:r>
      <w:r w:rsidR="004B3476" w:rsidRPr="00F35D47">
        <w:rPr>
          <w:rFonts w:ascii="Arial" w:eastAsia="Calibri" w:hAnsi="Arial" w:cs="Arial"/>
          <w:color w:val="000000" w:themeColor="text1"/>
          <w:sz w:val="22"/>
          <w:szCs w:val="22"/>
          <w:lang w:val="es-ES_tradnl"/>
        </w:rPr>
        <w:t>artículo 5 de la Ley 1150 de 2007</w:t>
      </w:r>
      <w:r w:rsidRPr="00F35D47">
        <w:rPr>
          <w:rFonts w:ascii="Arial" w:eastAsia="Calibri" w:hAnsi="Arial" w:cs="Arial"/>
          <w:color w:val="000000" w:themeColor="text1"/>
          <w:sz w:val="22"/>
          <w:szCs w:val="22"/>
          <w:lang w:val="es-ES_tradnl"/>
        </w:rPr>
        <w:t xml:space="preserve"> Igualmente; se pronunció </w:t>
      </w:r>
      <w:r w:rsidRPr="00F35D47">
        <w:rPr>
          <w:rFonts w:ascii="Arial" w:hAnsi="Arial" w:cs="Arial"/>
          <w:color w:val="000000"/>
          <w:sz w:val="22"/>
          <w:szCs w:val="22"/>
          <w:shd w:val="clear" w:color="auto" w:fill="FFFFFF"/>
          <w:lang w:val="es-ES"/>
        </w:rPr>
        <w:t xml:space="preserve">sobre </w:t>
      </w:r>
      <w:r w:rsidRPr="00F35D47">
        <w:rPr>
          <w:rFonts w:ascii="Arial" w:hAnsi="Arial" w:cs="Arial"/>
          <w:color w:val="000000" w:themeColor="text1"/>
          <w:sz w:val="22"/>
          <w:szCs w:val="22"/>
          <w:lang w:val="es-ES_tradnl"/>
        </w:rPr>
        <w:t xml:space="preserve">la acreditación de los indicadores de capacidad financiera y organizacional, entre otros, </w:t>
      </w:r>
      <w:r w:rsidRPr="00F35D47">
        <w:rPr>
          <w:rFonts w:ascii="Arial" w:eastAsia="Calibri" w:hAnsi="Arial" w:cs="Arial"/>
          <w:color w:val="000000" w:themeColor="text1"/>
          <w:sz w:val="22"/>
          <w:szCs w:val="22"/>
          <w:lang w:val="es-ES_tradnl"/>
        </w:rPr>
        <w:t xml:space="preserve">en los conceptos No. 4201912000006798 del 24 de octubre de 2019, C-002 del 12 de febrero de 2020, C-089 del 4 de marzo de 2020, C-099 del 06 de abril de 2020, C-166 del 14 de abril de 2020, C-233 del 16 de abril de 2020, C-326 del 9 de junio de 2020 y C-140 del 9 de abril de 2021, C-393 de 14 de junio de 2022, C-411 de 30 de junio de 2022 y C-439 de 5 de julio de 2022 </w:t>
      </w:r>
      <w:r w:rsidR="004B3476" w:rsidRPr="00F35D47">
        <w:rPr>
          <w:rFonts w:ascii="Arial" w:eastAsia="Calibri" w:hAnsi="Arial" w:cs="Arial"/>
          <w:color w:val="000000" w:themeColor="text1"/>
          <w:sz w:val="22"/>
          <w:szCs w:val="22"/>
          <w:lang w:val="es-ES_tradnl"/>
        </w:rPr>
        <w:t xml:space="preserve">. </w:t>
      </w:r>
      <w:r w:rsidR="004B3476" w:rsidRPr="00F35D47">
        <w:rPr>
          <w:rFonts w:ascii="Arial" w:hAnsi="Arial" w:cs="Arial"/>
          <w:color w:val="000000" w:themeColor="text1"/>
          <w:sz w:val="22"/>
          <w:szCs w:val="22"/>
          <w:lang w:val="es-ES_tradnl"/>
        </w:rPr>
        <w:t>Las tesis propuestas se reiteran a continuación</w:t>
      </w:r>
      <w:r w:rsidR="004B3476" w:rsidRPr="00F35D47">
        <w:rPr>
          <w:rFonts w:ascii="Arial" w:eastAsia="Calibri" w:hAnsi="Arial" w:cs="Arial"/>
          <w:sz w:val="22"/>
          <w:szCs w:val="22"/>
          <w:lang w:val="es-ES"/>
        </w:rPr>
        <w:t>:</w:t>
      </w:r>
    </w:p>
    <w:p w14:paraId="78E1D3FA" w14:textId="233F0594" w:rsidR="004B3476" w:rsidRPr="00F35D47" w:rsidRDefault="004B3476" w:rsidP="007C14A7">
      <w:pPr>
        <w:spacing w:line="276" w:lineRule="auto"/>
        <w:jc w:val="both"/>
        <w:rPr>
          <w:rFonts w:ascii="Arial" w:hAnsi="Arial" w:cs="Arial"/>
          <w:sz w:val="22"/>
          <w:szCs w:val="22"/>
          <w:lang w:val="es-MX"/>
        </w:rPr>
      </w:pPr>
    </w:p>
    <w:p w14:paraId="16673741" w14:textId="77777777" w:rsidR="00E8399C" w:rsidRPr="00F35D47" w:rsidRDefault="00E8399C" w:rsidP="00E8399C">
      <w:pPr>
        <w:tabs>
          <w:tab w:val="left" w:pos="426"/>
          <w:tab w:val="left" w:pos="851"/>
        </w:tabs>
        <w:jc w:val="both"/>
        <w:rPr>
          <w:rFonts w:ascii="Arial" w:hAnsi="Arial" w:cs="Arial"/>
          <w:b/>
          <w:bCs/>
          <w:color w:val="000000" w:themeColor="text1"/>
          <w:sz w:val="22"/>
          <w:szCs w:val="22"/>
          <w:lang w:val="es-ES"/>
        </w:rPr>
      </w:pPr>
      <w:r w:rsidRPr="00F35D47">
        <w:rPr>
          <w:rFonts w:ascii="Arial" w:eastAsia="Calibri" w:hAnsi="Arial" w:cs="Arial"/>
          <w:b/>
          <w:color w:val="000000" w:themeColor="text1"/>
          <w:sz w:val="22"/>
          <w:szCs w:val="22"/>
          <w:lang w:val="es-ES_tradnl"/>
        </w:rPr>
        <w:t xml:space="preserve">2.1. </w:t>
      </w:r>
      <w:r w:rsidRPr="00F35D47">
        <w:rPr>
          <w:rFonts w:ascii="Arial" w:hAnsi="Arial" w:cs="Arial"/>
          <w:b/>
          <w:bCs/>
          <w:color w:val="000000" w:themeColor="text1"/>
          <w:sz w:val="22"/>
          <w:szCs w:val="22"/>
          <w:lang w:val="es-ES"/>
        </w:rPr>
        <w:t>Requisitos habilitantes como criterios obligatorios para participar en los procedimientos de selección: especial referencia a la capacidad financiera y organizacional</w:t>
      </w:r>
    </w:p>
    <w:p w14:paraId="10BF6BDE" w14:textId="77777777" w:rsidR="00E8399C" w:rsidRPr="00F35D47" w:rsidRDefault="00E8399C" w:rsidP="00E8399C">
      <w:pPr>
        <w:tabs>
          <w:tab w:val="left" w:pos="426"/>
        </w:tabs>
        <w:spacing w:line="276" w:lineRule="auto"/>
        <w:jc w:val="both"/>
        <w:rPr>
          <w:rFonts w:ascii="Arial" w:eastAsia="Calibri" w:hAnsi="Arial" w:cs="Arial"/>
          <w:b/>
          <w:color w:val="000000" w:themeColor="text1"/>
          <w:sz w:val="22"/>
          <w:szCs w:val="22"/>
          <w:lang w:val="es-ES_tradnl"/>
        </w:rPr>
      </w:pPr>
    </w:p>
    <w:p w14:paraId="1A99E06B" w14:textId="77777777" w:rsidR="00E8399C" w:rsidRPr="00F35D47" w:rsidRDefault="00E8399C" w:rsidP="00E8399C">
      <w:pPr>
        <w:spacing w:after="120" w:line="276" w:lineRule="auto"/>
        <w:jc w:val="both"/>
        <w:rPr>
          <w:rFonts w:ascii="Arial" w:eastAsia="Calibri" w:hAnsi="Arial" w:cs="Arial"/>
          <w:color w:val="000000" w:themeColor="text1"/>
          <w:sz w:val="22"/>
          <w:szCs w:val="22"/>
          <w:lang w:val="es-ES_tradnl"/>
        </w:rPr>
      </w:pPr>
      <w:r w:rsidRPr="00F35D47">
        <w:rPr>
          <w:rFonts w:ascii="Arial" w:eastAsia="Calibri" w:hAnsi="Arial" w:cs="Arial"/>
          <w:color w:val="000000" w:themeColor="text1"/>
          <w:sz w:val="22"/>
          <w:szCs w:val="22"/>
          <w:lang w:val="es-ES_tradnl"/>
        </w:rPr>
        <w:t xml:space="preserve">Los </w:t>
      </w:r>
      <w:r w:rsidRPr="00F35D47">
        <w:rPr>
          <w:rFonts w:ascii="Arial" w:eastAsia="Calibri" w:hAnsi="Arial" w:cs="Arial"/>
          <w:i/>
          <w:iCs/>
          <w:color w:val="000000" w:themeColor="text1"/>
          <w:sz w:val="22"/>
          <w:szCs w:val="22"/>
          <w:lang w:val="es-ES_tradnl"/>
        </w:rPr>
        <w:t>requisitos habilitantes</w:t>
      </w:r>
      <w:r w:rsidRPr="00F35D47">
        <w:rPr>
          <w:rFonts w:ascii="Arial" w:eastAsia="Calibri" w:hAnsi="Arial" w:cs="Arial"/>
          <w:color w:val="000000" w:themeColor="text1"/>
          <w:sz w:val="22"/>
          <w:szCs w:val="22"/>
          <w:lang w:val="es-ES_tradnl"/>
        </w:rPr>
        <w:t xml:space="preserve"> se definen como exigencias de participación en los procedimientos de selección, establecidos en disposiciones normativas, de carácter legal o reglamentario, o contenidas en el acto administrativo que regula las reglas de la convocatoria, es decir, en el pliego de condiciones o el documento equivalente a este. Se diferencian de los </w:t>
      </w:r>
      <w:r w:rsidRPr="00F35D47">
        <w:rPr>
          <w:rFonts w:ascii="Arial" w:eastAsia="Calibri" w:hAnsi="Arial" w:cs="Arial"/>
          <w:i/>
          <w:iCs/>
          <w:color w:val="000000" w:themeColor="text1"/>
          <w:sz w:val="22"/>
          <w:szCs w:val="22"/>
          <w:lang w:val="es-ES_tradnl"/>
        </w:rPr>
        <w:t>criterios de evaluación</w:t>
      </w:r>
      <w:r w:rsidRPr="00F35D47">
        <w:rPr>
          <w:rFonts w:ascii="Arial" w:eastAsia="Calibri" w:hAnsi="Arial" w:cs="Arial"/>
          <w:color w:val="000000" w:themeColor="text1"/>
          <w:sz w:val="22"/>
          <w:szCs w:val="22"/>
          <w:lang w:val="es-ES_tradnl"/>
        </w:rPr>
        <w:t xml:space="preserve"> –también conocidos como </w:t>
      </w:r>
      <w:r w:rsidRPr="00F35D47">
        <w:rPr>
          <w:rFonts w:ascii="Arial" w:eastAsia="Calibri" w:hAnsi="Arial" w:cs="Arial"/>
          <w:i/>
          <w:iCs/>
          <w:color w:val="000000" w:themeColor="text1"/>
          <w:sz w:val="22"/>
          <w:szCs w:val="22"/>
          <w:lang w:val="es-ES_tradnl"/>
        </w:rPr>
        <w:t>criterios de calificación</w:t>
      </w:r>
      <w:r w:rsidRPr="00F35D47">
        <w:rPr>
          <w:rFonts w:ascii="Arial" w:eastAsia="Calibri" w:hAnsi="Arial" w:cs="Arial"/>
          <w:color w:val="000000" w:themeColor="text1"/>
          <w:sz w:val="22"/>
          <w:szCs w:val="22"/>
          <w:lang w:val="es-ES_tradnl"/>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w:t>
      </w:r>
    </w:p>
    <w:p w14:paraId="1C432843" w14:textId="77777777" w:rsidR="00E8399C" w:rsidRPr="00F35D47" w:rsidRDefault="00E8399C" w:rsidP="00E8399C">
      <w:pPr>
        <w:spacing w:after="120" w:line="276" w:lineRule="auto"/>
        <w:ind w:firstLine="708"/>
        <w:jc w:val="both"/>
        <w:rPr>
          <w:rFonts w:ascii="Arial" w:eastAsia="Calibri" w:hAnsi="Arial" w:cs="Arial"/>
          <w:color w:val="000000" w:themeColor="text1"/>
          <w:sz w:val="22"/>
          <w:szCs w:val="22"/>
          <w:lang w:val="es-ES_tradnl"/>
        </w:rPr>
      </w:pPr>
      <w:r w:rsidRPr="00F35D47">
        <w:rPr>
          <w:rFonts w:ascii="Arial" w:eastAsia="Calibri" w:hAnsi="Arial" w:cs="Arial"/>
          <w:color w:val="000000" w:themeColor="text1"/>
          <w:sz w:val="22"/>
          <w:szCs w:val="22"/>
          <w:lang w:val="es-ES_tradnl"/>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576C5F71" w14:textId="77777777" w:rsidR="00E8399C" w:rsidRPr="00F35D47" w:rsidRDefault="00E8399C" w:rsidP="00E8399C">
      <w:pPr>
        <w:spacing w:line="276" w:lineRule="auto"/>
        <w:ind w:firstLine="708"/>
        <w:jc w:val="both"/>
        <w:rPr>
          <w:rFonts w:ascii="Arial" w:eastAsia="Calibri" w:hAnsi="Arial" w:cs="Arial"/>
          <w:color w:val="000000" w:themeColor="text1"/>
          <w:sz w:val="22"/>
          <w:szCs w:val="22"/>
          <w:lang w:val="es-ES_tradnl"/>
        </w:rPr>
      </w:pPr>
      <w:r w:rsidRPr="00F35D47">
        <w:rPr>
          <w:rFonts w:ascii="Arial" w:eastAsia="Calibri" w:hAnsi="Arial" w:cs="Arial"/>
          <w:color w:val="000000" w:themeColor="text1"/>
          <w:sz w:val="22"/>
          <w:szCs w:val="22"/>
          <w:lang w:val="es-ES_tradnl"/>
        </w:rPr>
        <w:t xml:space="preserve">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w:t>
      </w:r>
      <w:r w:rsidRPr="00F35D47">
        <w:rPr>
          <w:rFonts w:ascii="Arial" w:eastAsia="Calibri" w:hAnsi="Arial" w:cs="Arial"/>
          <w:color w:val="000000" w:themeColor="text1"/>
          <w:sz w:val="22"/>
          <w:szCs w:val="22"/>
          <w:lang w:val="es-ES_tradnl"/>
        </w:rPr>
        <w:lastRenderedPageBreak/>
        <w:t xml:space="preserve">habilitantes, </w:t>
      </w:r>
      <w:r w:rsidRPr="00F35D47">
        <w:rPr>
          <w:rFonts w:ascii="Arial" w:eastAsia="Calibri" w:hAnsi="Arial" w:cs="Arial"/>
          <w:i/>
          <w:iCs/>
          <w:color w:val="000000" w:themeColor="text1"/>
          <w:sz w:val="22"/>
          <w:szCs w:val="22"/>
          <w:lang w:val="es-ES_tradnl"/>
        </w:rPr>
        <w:t>entre otros</w:t>
      </w:r>
      <w:r w:rsidRPr="00F35D47">
        <w:rPr>
          <w:rFonts w:ascii="Arial" w:eastAsia="Calibri" w:hAnsi="Arial" w:cs="Arial"/>
          <w:color w:val="000000" w:themeColor="text1"/>
          <w:sz w:val="22"/>
          <w:szCs w:val="22"/>
          <w:lang w:val="es-ES_tradnl"/>
        </w:rPr>
        <w:t xml:space="preserve">, los siguientes: i) la capacidad jurídica; </w:t>
      </w:r>
      <w:proofErr w:type="spellStart"/>
      <w:r w:rsidRPr="00F35D47">
        <w:rPr>
          <w:rFonts w:ascii="Arial" w:eastAsia="Calibri" w:hAnsi="Arial" w:cs="Arial"/>
          <w:color w:val="000000" w:themeColor="text1"/>
          <w:sz w:val="22"/>
          <w:szCs w:val="22"/>
          <w:lang w:val="es-ES_tradnl"/>
        </w:rPr>
        <w:t>ii</w:t>
      </w:r>
      <w:proofErr w:type="spellEnd"/>
      <w:r w:rsidRPr="00F35D47">
        <w:rPr>
          <w:rFonts w:ascii="Arial" w:eastAsia="Calibri" w:hAnsi="Arial" w:cs="Arial"/>
          <w:color w:val="000000" w:themeColor="text1"/>
          <w:sz w:val="22"/>
          <w:szCs w:val="22"/>
          <w:lang w:val="es-ES_tradnl"/>
        </w:rPr>
        <w:t xml:space="preserve">) la experiencia; </w:t>
      </w:r>
      <w:proofErr w:type="spellStart"/>
      <w:r w:rsidRPr="00F35D47">
        <w:rPr>
          <w:rFonts w:ascii="Arial" w:eastAsia="Calibri" w:hAnsi="Arial" w:cs="Arial"/>
          <w:color w:val="000000" w:themeColor="text1"/>
          <w:sz w:val="22"/>
          <w:szCs w:val="22"/>
          <w:lang w:val="es-ES_tradnl"/>
        </w:rPr>
        <w:t>iii</w:t>
      </w:r>
      <w:proofErr w:type="spellEnd"/>
      <w:r w:rsidRPr="00F35D47">
        <w:rPr>
          <w:rFonts w:ascii="Arial" w:eastAsia="Calibri" w:hAnsi="Arial" w:cs="Arial"/>
          <w:color w:val="000000" w:themeColor="text1"/>
          <w:sz w:val="22"/>
          <w:szCs w:val="22"/>
          <w:lang w:val="es-ES_tradnl"/>
        </w:rPr>
        <w:t xml:space="preserve">) la capacidad financiera y </w:t>
      </w:r>
      <w:proofErr w:type="spellStart"/>
      <w:r w:rsidRPr="00F35D47">
        <w:rPr>
          <w:rFonts w:ascii="Arial" w:eastAsia="Calibri" w:hAnsi="Arial" w:cs="Arial"/>
          <w:color w:val="000000" w:themeColor="text1"/>
          <w:sz w:val="22"/>
          <w:szCs w:val="22"/>
          <w:lang w:val="es-ES_tradnl"/>
        </w:rPr>
        <w:t>iv</w:t>
      </w:r>
      <w:proofErr w:type="spellEnd"/>
      <w:r w:rsidRPr="00F35D47">
        <w:rPr>
          <w:rFonts w:ascii="Arial" w:eastAsia="Calibri" w:hAnsi="Arial" w:cs="Arial"/>
          <w:color w:val="000000" w:themeColor="text1"/>
          <w:sz w:val="22"/>
          <w:szCs w:val="22"/>
          <w:lang w:val="es-ES_tradnl"/>
        </w:rPr>
        <w:t xml:space="preserve">) la capacidad de organización. En efecto, la normativa citada prescribe lo siguiente: </w:t>
      </w:r>
    </w:p>
    <w:p w14:paraId="7396485E" w14:textId="77777777" w:rsidR="00E8399C" w:rsidRDefault="00E8399C" w:rsidP="00E8399C">
      <w:pPr>
        <w:jc w:val="both"/>
        <w:rPr>
          <w:rFonts w:ascii="Arial" w:eastAsia="Calibri" w:hAnsi="Arial" w:cs="Arial"/>
          <w:color w:val="000000" w:themeColor="text1"/>
          <w:sz w:val="22"/>
          <w:lang w:val="es-ES_tradnl"/>
        </w:rPr>
      </w:pPr>
    </w:p>
    <w:p w14:paraId="67632194" w14:textId="77777777" w:rsidR="00E8399C" w:rsidRDefault="00E8399C" w:rsidP="00E8399C">
      <w:pPr>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 xml:space="preserve">Artículo 5. De la Selección Objetiva. </w:t>
      </w:r>
    </w:p>
    <w:p w14:paraId="610C061A" w14:textId="77777777" w:rsidR="00E8399C" w:rsidRDefault="00E8399C" w:rsidP="00E8399C">
      <w:pPr>
        <w:spacing w:after="120"/>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p>
    <w:p w14:paraId="2552FD65" w14:textId="77777777" w:rsidR="00E8399C" w:rsidRDefault="00E8399C" w:rsidP="00E8399C">
      <w:pPr>
        <w:pStyle w:val="Prrafodelista"/>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7BCFDF62" w14:textId="77777777" w:rsidR="00E8399C" w:rsidRDefault="00E8399C" w:rsidP="00E8399C">
      <w:pPr>
        <w:spacing w:line="276" w:lineRule="auto"/>
        <w:ind w:right="709"/>
        <w:jc w:val="both"/>
        <w:rPr>
          <w:rFonts w:ascii="Arial" w:eastAsia="Calibri" w:hAnsi="Arial" w:cs="Arial"/>
          <w:color w:val="000000" w:themeColor="text1"/>
          <w:sz w:val="22"/>
          <w:lang w:val="es-ES_tradnl"/>
        </w:rPr>
      </w:pPr>
    </w:p>
    <w:p w14:paraId="70B9AEAE" w14:textId="77777777" w:rsidR="00E8399C" w:rsidRPr="00F35D47" w:rsidRDefault="00E8399C" w:rsidP="00E8399C">
      <w:pPr>
        <w:spacing w:after="120" w:line="276" w:lineRule="auto"/>
        <w:ind w:firstLine="708"/>
        <w:jc w:val="both"/>
        <w:rPr>
          <w:rFonts w:ascii="Arial" w:hAnsi="Arial" w:cs="Arial"/>
          <w:b/>
          <w:bCs/>
          <w:color w:val="000000"/>
          <w:sz w:val="22"/>
          <w:szCs w:val="22"/>
          <w:bdr w:val="none" w:sz="0" w:space="0" w:color="auto" w:frame="1"/>
        </w:rPr>
      </w:pPr>
      <w:r w:rsidRPr="00F35D47">
        <w:rPr>
          <w:rFonts w:ascii="Arial" w:hAnsi="Arial" w:cs="Arial"/>
          <w:color w:val="000000" w:themeColor="text1"/>
          <w:sz w:val="22"/>
          <w:szCs w:val="22"/>
          <w:lang w:val="es-ES_tradnl"/>
        </w:rPr>
        <w:t xml:space="preserve">Una vez fijados los requisitos habilitantes por la entidad estatal, quienes presenten ofertas deben </w:t>
      </w:r>
      <w:r w:rsidRPr="00F35D47">
        <w:rPr>
          <w:rFonts w:ascii="Arial" w:hAnsi="Arial" w:cs="Arial"/>
          <w:bCs/>
          <w:i/>
          <w:iCs/>
          <w:color w:val="000000" w:themeColor="text1"/>
          <w:sz w:val="22"/>
          <w:szCs w:val="22"/>
          <w:lang w:val="es-ES_tradnl"/>
        </w:rPr>
        <w:t>acreditar</w:t>
      </w:r>
      <w:r w:rsidRPr="00F35D47">
        <w:rPr>
          <w:rFonts w:ascii="Arial" w:hAnsi="Arial" w:cs="Arial"/>
          <w:color w:val="000000" w:themeColor="text1"/>
          <w:sz w:val="22"/>
          <w:szCs w:val="22"/>
          <w:lang w:val="es-ES_tradnl"/>
        </w:rPr>
        <w:t xml:space="preserve"> que cumplen con los mismos, so pena de rechazo. </w:t>
      </w:r>
      <w:r w:rsidRPr="00F35D47">
        <w:rPr>
          <w:rFonts w:ascii="Arial" w:eastAsia="Calibri" w:hAnsi="Arial" w:cs="Arial"/>
          <w:color w:val="000000" w:themeColor="text1"/>
          <w:sz w:val="22"/>
          <w:szCs w:val="22"/>
          <w:lang w:val="es-ES_tradnl"/>
        </w:rPr>
        <w:t>El ente encargado de verificar el cumplimiento por parte de los proponentes sobre los requisitos que haya considerado la entidad como habilitantes será la Cámara de Comercio, esto en la medida en que, mediante el Registro Único de Proponentes –RUP–, se pondrá de presente toda la información relacionada con la experiencia, capacidad jurídica, capacidad financiera y organizacional, así como la clasificación del proponente</w:t>
      </w:r>
      <w:r w:rsidRPr="00F35D47">
        <w:rPr>
          <w:rStyle w:val="Refdenotaalpie"/>
          <w:rFonts w:ascii="Arial" w:eastAsia="Calibri" w:hAnsi="Arial" w:cs="Arial"/>
          <w:color w:val="000000" w:themeColor="text1"/>
          <w:sz w:val="22"/>
          <w:szCs w:val="22"/>
          <w:lang w:val="es-ES_tradnl"/>
        </w:rPr>
        <w:footnoteReference w:id="2"/>
      </w:r>
      <w:r w:rsidRPr="00F35D47">
        <w:rPr>
          <w:rFonts w:ascii="Arial" w:eastAsia="Calibri" w:hAnsi="Arial" w:cs="Arial"/>
          <w:color w:val="000000" w:themeColor="text1"/>
          <w:sz w:val="22"/>
          <w:szCs w:val="22"/>
          <w:lang w:val="es-ES_tradnl"/>
        </w:rPr>
        <w:t xml:space="preserve">. De la misma manera es pertinente mencionar que existen determinados procesos donde se excepciona el mencionado registro y la clasificación del proponente, siendo estos los siguientes: </w:t>
      </w:r>
      <w:r w:rsidRPr="00F35D47">
        <w:rPr>
          <w:rFonts w:ascii="Arial" w:eastAsia="Calibri" w:hAnsi="Arial" w:cs="Arial"/>
          <w:color w:val="000000" w:themeColor="text1"/>
          <w:sz w:val="22"/>
          <w:szCs w:val="22"/>
          <w:lang w:val="es-ES_tradnl"/>
        </w:rPr>
        <w:lastRenderedPageBreak/>
        <w:t>contratación directa, contratos para la prestación de servicios de salud, contratos de mínima cuantía, entre otros, conforme al artículo 6 de la Ley 1150 de 2007</w:t>
      </w:r>
      <w:r w:rsidRPr="00F35D47">
        <w:rPr>
          <w:rStyle w:val="Refdenotaalpie"/>
          <w:rFonts w:ascii="Arial" w:eastAsia="Calibri" w:hAnsi="Arial" w:cs="Arial"/>
          <w:color w:val="000000" w:themeColor="text1"/>
          <w:sz w:val="22"/>
          <w:szCs w:val="22"/>
          <w:lang w:val="es-ES_tradnl"/>
        </w:rPr>
        <w:footnoteReference w:id="3"/>
      </w:r>
      <w:r w:rsidRPr="00F35D47">
        <w:rPr>
          <w:rFonts w:ascii="Arial" w:eastAsia="Calibri" w:hAnsi="Arial" w:cs="Arial"/>
          <w:color w:val="000000" w:themeColor="text1"/>
          <w:sz w:val="22"/>
          <w:szCs w:val="22"/>
          <w:lang w:val="es-ES_tradnl"/>
        </w:rPr>
        <w:t xml:space="preserve">. </w:t>
      </w:r>
    </w:p>
    <w:p w14:paraId="1E6F41A0" w14:textId="77777777" w:rsidR="00E8399C" w:rsidRPr="00F35D47" w:rsidRDefault="00E8399C" w:rsidP="00E8399C">
      <w:pPr>
        <w:spacing w:before="120" w:after="120" w:line="276" w:lineRule="auto"/>
        <w:ind w:firstLine="567"/>
        <w:jc w:val="both"/>
        <w:rPr>
          <w:rFonts w:ascii="Arial" w:eastAsia="Calibri" w:hAnsi="Arial" w:cs="Arial"/>
          <w:color w:val="000000"/>
          <w:sz w:val="22"/>
          <w:szCs w:val="22"/>
          <w:highlight w:val="yellow"/>
          <w:lang w:eastAsia="es-ES_tradnl"/>
        </w:rPr>
      </w:pPr>
      <w:r w:rsidRPr="00F35D47">
        <w:rPr>
          <w:rFonts w:ascii="Arial" w:eastAsia="Calibri" w:hAnsi="Arial" w:cs="Arial"/>
          <w:color w:val="000000"/>
          <w:sz w:val="22"/>
          <w:szCs w:val="22"/>
        </w:rPr>
        <w:t>Dentro de los requisitos habilitantes se destaca la capacidad financiera y organizacional del proponente. Al respecto, la entidad, como responsable de la estructuración de su procedimiento de selección, es autónoma para requerir la capacidad financiera y la capacidad organizacional necesaria de acuerdo con el objeto contractual que se pretende satisfacer. Según el artículo 2.2.1.1.1.6.2 del Decreto 1082 de 2015, la entidad debe tener en cuenta, para la determinación de la capacidad financiera y organizacional, el estudio del sector y sus componentes como la identificación de riesgos y el mercado y precio del bien, obra o servicio a contratar</w:t>
      </w:r>
      <w:r w:rsidRPr="00F35D47">
        <w:rPr>
          <w:rFonts w:ascii="Arial" w:eastAsia="Calibri" w:hAnsi="Arial" w:cs="Arial"/>
          <w:color w:val="000000"/>
          <w:sz w:val="22"/>
          <w:szCs w:val="22"/>
          <w:vertAlign w:val="superscript"/>
        </w:rPr>
        <w:footnoteReference w:id="4"/>
      </w:r>
      <w:r w:rsidRPr="00F35D47">
        <w:rPr>
          <w:rFonts w:ascii="Arial" w:eastAsia="Calibri" w:hAnsi="Arial" w:cs="Arial"/>
          <w:color w:val="000000"/>
          <w:sz w:val="22"/>
          <w:szCs w:val="22"/>
        </w:rPr>
        <w:t>.</w:t>
      </w:r>
    </w:p>
    <w:p w14:paraId="2D3546B5" w14:textId="77777777" w:rsidR="00E8399C" w:rsidRPr="00F35D47" w:rsidRDefault="00E8399C" w:rsidP="00E8399C">
      <w:pPr>
        <w:spacing w:before="120" w:after="120" w:line="276" w:lineRule="auto"/>
        <w:ind w:firstLine="708"/>
        <w:jc w:val="both"/>
        <w:rPr>
          <w:rFonts w:ascii="Arial" w:eastAsia="Calibri" w:hAnsi="Arial" w:cs="Arial"/>
          <w:color w:val="000000"/>
          <w:sz w:val="22"/>
          <w:szCs w:val="22"/>
          <w:lang w:val="es-ES_tradnl"/>
        </w:rPr>
      </w:pPr>
      <w:r w:rsidRPr="00F35D47">
        <w:rPr>
          <w:rFonts w:ascii="Arial" w:eastAsia="Calibri" w:hAnsi="Arial" w:cs="Arial"/>
          <w:color w:val="000000"/>
          <w:sz w:val="22"/>
          <w:szCs w:val="22"/>
        </w:rPr>
        <w:t xml:space="preserve">La capacidad financiera se deriva del comportamiento contable de la empresa, su liquidez y endeudamiento, para determinar que sus recursos y solidez financiera le permita cumplir los compromisos que adquiera. </w:t>
      </w:r>
      <w:r w:rsidRPr="00F35D47">
        <w:rPr>
          <w:rFonts w:ascii="Arial" w:eastAsia="Calibri" w:hAnsi="Arial" w:cs="Arial"/>
          <w:color w:val="000000"/>
          <w:sz w:val="22"/>
          <w:szCs w:val="22"/>
          <w:lang w:val="es-ES_tradnl"/>
        </w:rPr>
        <w:t>Como explica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F35D47">
        <w:rPr>
          <w:rFonts w:ascii="Arial" w:eastAsia="Calibri" w:hAnsi="Arial" w:cs="Arial"/>
          <w:color w:val="000000"/>
          <w:sz w:val="22"/>
          <w:szCs w:val="22"/>
          <w:vertAlign w:val="superscript"/>
          <w:lang w:val="es-ES_tradnl"/>
        </w:rPr>
        <w:footnoteReference w:id="5"/>
      </w:r>
      <w:r w:rsidRPr="00F35D47">
        <w:rPr>
          <w:rFonts w:ascii="Arial" w:eastAsia="Calibri" w:hAnsi="Arial" w:cs="Arial"/>
          <w:color w:val="000000"/>
          <w:sz w:val="22"/>
          <w:szCs w:val="22"/>
          <w:lang w:val="es-ES_tradnl"/>
        </w:rPr>
        <w:t xml:space="preserve">. La capacidad organizacional, por su parte, «[…] es la aptitud de un proponente para cumplir oportuna y cabalmente el objeto del contrato en función de su organización interna. El Decreto 1082 de 2015 definió los indicadores de rentabilidad para medir la capacidad </w:t>
      </w:r>
      <w:r w:rsidRPr="00F35D47">
        <w:rPr>
          <w:rFonts w:ascii="Arial" w:eastAsia="Calibri" w:hAnsi="Arial" w:cs="Arial"/>
          <w:color w:val="000000"/>
          <w:sz w:val="22"/>
          <w:szCs w:val="22"/>
          <w:lang w:val="es-ES_tradnl"/>
        </w:rPr>
        <w:lastRenderedPageBreak/>
        <w:t>organizacional de un proponente teniendo en cuenta que está bien organizado cuando es rentable»</w:t>
      </w:r>
      <w:r w:rsidRPr="00F35D47">
        <w:rPr>
          <w:rFonts w:ascii="Arial" w:eastAsia="Calibri" w:hAnsi="Arial" w:cs="Arial"/>
          <w:color w:val="000000"/>
          <w:sz w:val="22"/>
          <w:szCs w:val="22"/>
          <w:vertAlign w:val="superscript"/>
          <w:lang w:val="es-ES_tradnl"/>
        </w:rPr>
        <w:footnoteReference w:id="6"/>
      </w:r>
      <w:r w:rsidRPr="00F35D47">
        <w:rPr>
          <w:rFonts w:ascii="Arial" w:eastAsia="Calibri" w:hAnsi="Arial" w:cs="Arial"/>
          <w:color w:val="000000"/>
          <w:sz w:val="22"/>
          <w:szCs w:val="22"/>
          <w:lang w:val="es-ES_tradnl"/>
        </w:rPr>
        <w:t xml:space="preserve">. </w:t>
      </w:r>
    </w:p>
    <w:p w14:paraId="6FE64E57" w14:textId="77777777" w:rsidR="00E8399C" w:rsidRPr="00F35D47" w:rsidRDefault="00E8399C" w:rsidP="00E8399C">
      <w:pPr>
        <w:spacing w:before="120" w:after="120" w:line="276" w:lineRule="auto"/>
        <w:ind w:firstLine="709"/>
        <w:jc w:val="both"/>
        <w:rPr>
          <w:rFonts w:ascii="Arial" w:eastAsia="Calibri" w:hAnsi="Arial" w:cs="Arial"/>
          <w:color w:val="000000"/>
          <w:sz w:val="22"/>
          <w:szCs w:val="22"/>
          <w:lang w:val="es-ES_tradnl"/>
        </w:rPr>
      </w:pPr>
      <w:r w:rsidRPr="00F35D47">
        <w:rPr>
          <w:rFonts w:ascii="Arial" w:eastAsia="Calibri" w:hAnsi="Arial" w:cs="Arial"/>
          <w:color w:val="000000"/>
          <w:sz w:val="22"/>
          <w:szCs w:val="22"/>
          <w:lang w:val="es-ES_tradnl"/>
        </w:rPr>
        <w:t>Respecto a la capacidad financiera, esta debe acreditarse en el RUP con los estados financieros del proponente, suscritos por el representante legal y el revisor fiscal, si cuenta con tales documentos. De este modo, lo que se verifica con el registro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del artículo 2.2.1.1.1.5.3 del Decreto 1082 de 2015.</w:t>
      </w:r>
    </w:p>
    <w:p w14:paraId="71584F79" w14:textId="77777777" w:rsidR="00E8399C" w:rsidRPr="00F35D47" w:rsidRDefault="00E8399C" w:rsidP="00E8399C">
      <w:pPr>
        <w:spacing w:before="120" w:after="120" w:line="276" w:lineRule="auto"/>
        <w:ind w:firstLine="708"/>
        <w:jc w:val="both"/>
        <w:rPr>
          <w:rFonts w:ascii="Arial" w:eastAsia="Calibri" w:hAnsi="Arial" w:cs="Arial"/>
          <w:color w:val="000000"/>
          <w:sz w:val="22"/>
          <w:szCs w:val="22"/>
          <w:lang w:val="es-ES_tradnl"/>
        </w:rPr>
      </w:pPr>
      <w:r w:rsidRPr="00F35D47">
        <w:rPr>
          <w:rFonts w:ascii="Arial" w:eastAsia="Calibri" w:hAnsi="Arial" w:cs="Arial"/>
          <w:color w:val="000000"/>
          <w:sz w:val="22"/>
          <w:szCs w:val="22"/>
          <w:lang w:val="es-ES_tradnl"/>
        </w:rPr>
        <w:t>La Agencia Nacional de Contratación Pública – Colombia Compra Eficiente puso a disposición de los interesados el «Manual para determinar y verificar los requisitos habilitantes en los procesos de contratación». En dicho Manual se plantean definiciones para cada requisito habilitante y se indican lineamientos orientadores que las entidades pueden considerar para establecerlos, en este caso, para exigir la capacidad financiera y la capacidad organizacional. En ese sentido, la capacidad financiera que la entidad requiera para un proceso de contratación debe ser adecuada y proporcional a la naturaleza y al valor del contrato. Además, los requisitos de capacidad financiera deben ser establecidos con fundamento en los Estudios del Sector.</w:t>
      </w:r>
    </w:p>
    <w:p w14:paraId="63EDB623" w14:textId="77777777" w:rsidR="00E8399C" w:rsidRPr="00F35D47" w:rsidRDefault="00E8399C" w:rsidP="00E8399C">
      <w:pPr>
        <w:spacing w:before="120" w:after="120" w:line="276" w:lineRule="auto"/>
        <w:ind w:firstLine="709"/>
        <w:jc w:val="both"/>
        <w:rPr>
          <w:rFonts w:ascii="Arial" w:eastAsia="Calibri" w:hAnsi="Arial" w:cs="Arial"/>
          <w:color w:val="000000"/>
          <w:sz w:val="22"/>
          <w:szCs w:val="22"/>
          <w:lang w:val="es-ES_tradnl"/>
        </w:rPr>
      </w:pPr>
      <w:r w:rsidRPr="00F35D47">
        <w:rPr>
          <w:rFonts w:ascii="Arial" w:eastAsia="Calibri" w:hAnsi="Arial" w:cs="Arial"/>
          <w:color w:val="000000"/>
          <w:sz w:val="22"/>
          <w:szCs w:val="22"/>
          <w:lang w:val="es-ES_tradnl"/>
        </w:rPr>
        <w:t xml:space="preserve">En atención a la naturaleza del contrato a suscribir y su valor, plazo y forma de pago, la entidad debe usar los indicadores que considere adecuados respecto del objeto del proceso de contratación, para lo cual no es suficiente la aplicación mecánica de fórmulas financieras, pues deben conocer cada indicador, sus fórmulas de cálculo y su interpretación. Según el artículo 2.2.1.1.1.5.3. del Decreto 1082 de 2015, son indicadores de la capacidad financiera los siguientes: i) el </w:t>
      </w:r>
      <w:r w:rsidRPr="00F35D47">
        <w:rPr>
          <w:rFonts w:ascii="Arial" w:eastAsia="Calibri" w:hAnsi="Arial" w:cs="Arial"/>
          <w:i/>
          <w:iCs/>
          <w:color w:val="000000"/>
          <w:sz w:val="22"/>
          <w:szCs w:val="22"/>
          <w:lang w:val="es-ES_tradnl"/>
        </w:rPr>
        <w:t>índice de liquidez</w:t>
      </w:r>
      <w:r w:rsidRPr="00F35D47">
        <w:rPr>
          <w:rFonts w:ascii="Arial" w:eastAsia="Calibri" w:hAnsi="Arial" w:cs="Arial"/>
          <w:color w:val="000000"/>
          <w:sz w:val="22"/>
          <w:szCs w:val="22"/>
          <w:lang w:val="es-ES_tradnl"/>
        </w:rPr>
        <w:t xml:space="preserve">, que corresponde a la división entre el activo corriente y el pasivo corriente, y que determina la capacidad que tiene el proponente para cumplir con sus obligaciones de corto plazo; </w:t>
      </w:r>
      <w:proofErr w:type="spellStart"/>
      <w:r w:rsidRPr="00F35D47">
        <w:rPr>
          <w:rFonts w:ascii="Arial" w:eastAsia="Calibri" w:hAnsi="Arial" w:cs="Arial"/>
          <w:color w:val="000000"/>
          <w:sz w:val="22"/>
          <w:szCs w:val="22"/>
          <w:lang w:val="es-ES_tradnl"/>
        </w:rPr>
        <w:t>ii</w:t>
      </w:r>
      <w:proofErr w:type="spellEnd"/>
      <w:r w:rsidRPr="00F35D47">
        <w:rPr>
          <w:rFonts w:ascii="Arial" w:eastAsia="Calibri" w:hAnsi="Arial" w:cs="Arial"/>
          <w:color w:val="000000"/>
          <w:sz w:val="22"/>
          <w:szCs w:val="22"/>
          <w:lang w:val="es-ES_tradnl"/>
        </w:rPr>
        <w:t xml:space="preserve">) el </w:t>
      </w:r>
      <w:r w:rsidRPr="00F35D47">
        <w:rPr>
          <w:rFonts w:ascii="Arial" w:eastAsia="Calibri" w:hAnsi="Arial" w:cs="Arial"/>
          <w:i/>
          <w:iCs/>
          <w:color w:val="000000"/>
          <w:sz w:val="22"/>
          <w:szCs w:val="22"/>
          <w:lang w:val="es-ES_tradnl"/>
        </w:rPr>
        <w:t>índice de endeudamiento</w:t>
      </w:r>
      <w:r w:rsidRPr="00F35D47">
        <w:rPr>
          <w:rFonts w:ascii="Arial" w:eastAsia="Calibri" w:hAnsi="Arial" w:cs="Arial"/>
          <w:color w:val="000000"/>
          <w:sz w:val="22"/>
          <w:szCs w:val="22"/>
          <w:lang w:val="es-ES_tradnl"/>
        </w:rPr>
        <w:t xml:space="preserve">, que se calcula dividiendo el pasivo total por el activo total, el cual determina el grado de endeudamiento en la estructura de financiación del proponente; y </w:t>
      </w:r>
      <w:proofErr w:type="spellStart"/>
      <w:r w:rsidRPr="00F35D47">
        <w:rPr>
          <w:rFonts w:ascii="Arial" w:eastAsia="Calibri" w:hAnsi="Arial" w:cs="Arial"/>
          <w:color w:val="000000"/>
          <w:sz w:val="22"/>
          <w:szCs w:val="22"/>
          <w:lang w:val="es-ES_tradnl"/>
        </w:rPr>
        <w:t>iii</w:t>
      </w:r>
      <w:proofErr w:type="spellEnd"/>
      <w:r w:rsidRPr="00F35D47">
        <w:rPr>
          <w:rFonts w:ascii="Arial" w:eastAsia="Calibri" w:hAnsi="Arial" w:cs="Arial"/>
          <w:color w:val="000000"/>
          <w:sz w:val="22"/>
          <w:szCs w:val="22"/>
          <w:lang w:val="es-ES_tradnl"/>
        </w:rPr>
        <w:t xml:space="preserve">) la </w:t>
      </w:r>
      <w:r w:rsidRPr="00F35D47">
        <w:rPr>
          <w:rFonts w:ascii="Arial" w:eastAsia="Calibri" w:hAnsi="Arial" w:cs="Arial"/>
          <w:i/>
          <w:iCs/>
          <w:color w:val="000000"/>
          <w:sz w:val="22"/>
          <w:szCs w:val="22"/>
          <w:lang w:val="es-ES_tradnl"/>
        </w:rPr>
        <w:t>razón de cobertura de intereses</w:t>
      </w:r>
      <w:r w:rsidRPr="00F35D47">
        <w:rPr>
          <w:rFonts w:ascii="Arial" w:eastAsia="Calibri" w:hAnsi="Arial" w:cs="Arial"/>
          <w:color w:val="000000"/>
          <w:sz w:val="22"/>
          <w:szCs w:val="22"/>
          <w:lang w:val="es-ES_tradnl"/>
        </w:rPr>
        <w:t xml:space="preserve">, que es igual a la utilidad operacional, sobre los gastos de intereses, y que refleja la capacidad del proponente para cumplir con sus obligaciones financieras. Adicionalmente, la Agencia Nacional de Contratación Pública – Colombia Compra Eficiente recomienda valorar otro tipo </w:t>
      </w:r>
      <w:r w:rsidRPr="00F35D47">
        <w:rPr>
          <w:rFonts w:ascii="Arial" w:eastAsia="Calibri" w:hAnsi="Arial" w:cs="Arial"/>
          <w:color w:val="000000"/>
          <w:sz w:val="22"/>
          <w:szCs w:val="22"/>
          <w:lang w:val="es-ES_tradnl"/>
        </w:rPr>
        <w:lastRenderedPageBreak/>
        <w:t xml:space="preserve">de indicadores como el </w:t>
      </w:r>
      <w:r w:rsidRPr="00F35D47">
        <w:rPr>
          <w:rFonts w:ascii="Arial" w:eastAsia="Calibri" w:hAnsi="Arial" w:cs="Arial"/>
          <w:i/>
          <w:iCs/>
          <w:color w:val="000000"/>
          <w:sz w:val="22"/>
          <w:szCs w:val="22"/>
          <w:lang w:val="es-ES_tradnl"/>
        </w:rPr>
        <w:t>capital de trabajo</w:t>
      </w:r>
      <w:r w:rsidRPr="00F35D47">
        <w:rPr>
          <w:rFonts w:ascii="Arial" w:eastAsia="Calibri" w:hAnsi="Arial" w:cs="Arial"/>
          <w:color w:val="000000"/>
          <w:sz w:val="22"/>
          <w:szCs w:val="22"/>
          <w:lang w:val="es-ES_tradnl"/>
        </w:rPr>
        <w:t xml:space="preserve">, la </w:t>
      </w:r>
      <w:r w:rsidRPr="00F35D47">
        <w:rPr>
          <w:rFonts w:ascii="Arial" w:eastAsia="Calibri" w:hAnsi="Arial" w:cs="Arial"/>
          <w:i/>
          <w:iCs/>
          <w:color w:val="000000"/>
          <w:sz w:val="22"/>
          <w:szCs w:val="22"/>
          <w:lang w:val="es-ES_tradnl"/>
        </w:rPr>
        <w:t>razón de efectivo</w:t>
      </w:r>
      <w:r w:rsidRPr="00F35D47">
        <w:rPr>
          <w:rFonts w:ascii="Arial" w:eastAsia="Calibri" w:hAnsi="Arial" w:cs="Arial"/>
          <w:color w:val="000000"/>
          <w:sz w:val="22"/>
          <w:szCs w:val="22"/>
          <w:lang w:val="es-ES_tradnl"/>
        </w:rPr>
        <w:t xml:space="preserve">, la denominada </w:t>
      </w:r>
      <w:r w:rsidRPr="00F35D47">
        <w:rPr>
          <w:rFonts w:ascii="Arial" w:eastAsia="Calibri" w:hAnsi="Arial" w:cs="Arial"/>
          <w:i/>
          <w:iCs/>
          <w:color w:val="000000"/>
          <w:sz w:val="22"/>
          <w:szCs w:val="22"/>
          <w:lang w:val="es-ES_tradnl"/>
        </w:rPr>
        <w:t>prueba ácida</w:t>
      </w:r>
      <w:r w:rsidRPr="00F35D47">
        <w:rPr>
          <w:rFonts w:ascii="Arial" w:eastAsia="Calibri" w:hAnsi="Arial" w:cs="Arial"/>
          <w:color w:val="000000"/>
          <w:sz w:val="22"/>
          <w:szCs w:val="22"/>
          <w:vertAlign w:val="superscript"/>
          <w:lang w:val="es-ES_tradnl"/>
        </w:rPr>
        <w:footnoteReference w:id="7"/>
      </w:r>
      <w:r w:rsidRPr="00F35D47">
        <w:rPr>
          <w:rFonts w:ascii="Arial" w:eastAsia="Calibri" w:hAnsi="Arial" w:cs="Arial"/>
          <w:color w:val="000000"/>
          <w:sz w:val="22"/>
          <w:szCs w:val="22"/>
          <w:lang w:val="es-ES_tradnl"/>
        </w:rPr>
        <w:t xml:space="preserve">, la </w:t>
      </w:r>
      <w:r w:rsidRPr="00F35D47">
        <w:rPr>
          <w:rFonts w:ascii="Arial" w:eastAsia="Calibri" w:hAnsi="Arial" w:cs="Arial"/>
          <w:i/>
          <w:iCs/>
          <w:color w:val="000000"/>
          <w:sz w:val="22"/>
          <w:szCs w:val="22"/>
          <w:lang w:val="es-ES_tradnl"/>
        </w:rPr>
        <w:t xml:space="preserve">concentración de endeudamiento a corto </w:t>
      </w:r>
      <w:r w:rsidRPr="00F35D47">
        <w:rPr>
          <w:rFonts w:ascii="Arial" w:eastAsia="Calibri" w:hAnsi="Arial" w:cs="Arial"/>
          <w:color w:val="000000"/>
          <w:sz w:val="22"/>
          <w:szCs w:val="22"/>
          <w:lang w:val="es-ES_tradnl"/>
        </w:rPr>
        <w:t>y</w:t>
      </w:r>
      <w:r w:rsidRPr="00F35D47">
        <w:rPr>
          <w:rFonts w:ascii="Arial" w:eastAsia="Calibri" w:hAnsi="Arial" w:cs="Arial"/>
          <w:i/>
          <w:iCs/>
          <w:color w:val="000000"/>
          <w:sz w:val="22"/>
          <w:szCs w:val="22"/>
          <w:lang w:val="es-ES_tradnl"/>
        </w:rPr>
        <w:t xml:space="preserve"> a largo plazo</w:t>
      </w:r>
      <w:r w:rsidRPr="00F35D47">
        <w:rPr>
          <w:rFonts w:ascii="Arial" w:eastAsia="Calibri" w:hAnsi="Arial" w:cs="Arial"/>
          <w:color w:val="000000"/>
          <w:sz w:val="22"/>
          <w:szCs w:val="22"/>
          <w:lang w:val="es-ES_tradnl"/>
        </w:rPr>
        <w:t xml:space="preserve"> y el </w:t>
      </w:r>
      <w:r w:rsidRPr="00F35D47">
        <w:rPr>
          <w:rFonts w:ascii="Arial" w:eastAsia="Calibri" w:hAnsi="Arial" w:cs="Arial"/>
          <w:i/>
          <w:iCs/>
          <w:color w:val="000000"/>
          <w:sz w:val="22"/>
          <w:szCs w:val="22"/>
          <w:lang w:val="es-ES_tradnl"/>
        </w:rPr>
        <w:t>patrimonio</w:t>
      </w:r>
      <w:r w:rsidRPr="00F35D47">
        <w:rPr>
          <w:rStyle w:val="Refdenotaalpie"/>
          <w:rFonts w:ascii="Arial" w:eastAsia="Calibri" w:hAnsi="Arial" w:cs="Arial"/>
          <w:i/>
          <w:iCs/>
          <w:color w:val="000000"/>
          <w:sz w:val="22"/>
          <w:szCs w:val="22"/>
          <w:lang w:val="es-ES_tradnl"/>
        </w:rPr>
        <w:footnoteReference w:id="8"/>
      </w:r>
      <w:r w:rsidRPr="00F35D47">
        <w:rPr>
          <w:rFonts w:ascii="Arial" w:eastAsia="Calibri" w:hAnsi="Arial" w:cs="Arial"/>
          <w:color w:val="000000"/>
          <w:sz w:val="22"/>
          <w:szCs w:val="22"/>
          <w:lang w:val="es-ES_tradnl"/>
        </w:rPr>
        <w:t>.</w:t>
      </w:r>
    </w:p>
    <w:p w14:paraId="31714D2F" w14:textId="77777777" w:rsidR="00E8399C" w:rsidRPr="00F35D47" w:rsidRDefault="00E8399C" w:rsidP="00E8399C">
      <w:pPr>
        <w:spacing w:before="120" w:after="120" w:line="276" w:lineRule="auto"/>
        <w:ind w:firstLine="709"/>
        <w:jc w:val="both"/>
        <w:rPr>
          <w:rFonts w:ascii="Arial" w:eastAsia="Calibri" w:hAnsi="Arial" w:cs="Arial"/>
          <w:color w:val="000000"/>
          <w:sz w:val="22"/>
          <w:szCs w:val="22"/>
          <w:lang w:val="es-ES_tradnl"/>
        </w:rPr>
      </w:pPr>
      <w:r w:rsidRPr="00F35D47">
        <w:rPr>
          <w:rFonts w:ascii="Arial" w:eastAsia="Calibri" w:hAnsi="Arial" w:cs="Arial"/>
          <w:color w:val="000000"/>
          <w:sz w:val="22"/>
          <w:szCs w:val="22"/>
          <w:lang w:val="es-ES_tradnl"/>
        </w:rPr>
        <w:t xml:space="preserve">La </w:t>
      </w:r>
      <w:r w:rsidRPr="00F35D47">
        <w:rPr>
          <w:rFonts w:ascii="Arial" w:eastAsia="Calibri" w:hAnsi="Arial" w:cs="Arial"/>
          <w:bCs/>
          <w:i/>
          <w:iCs/>
          <w:color w:val="000000"/>
          <w:sz w:val="22"/>
          <w:szCs w:val="22"/>
          <w:lang w:val="es-ES_tradnl"/>
        </w:rPr>
        <w:t>capacidad de organización</w:t>
      </w:r>
      <w:r w:rsidRPr="00F35D47">
        <w:rPr>
          <w:rFonts w:ascii="Arial" w:eastAsia="Calibri" w:hAnsi="Arial" w:cs="Arial"/>
          <w:color w:val="000000"/>
          <w:sz w:val="22"/>
          <w:szCs w:val="22"/>
          <w:lang w:val="es-ES_tradnl"/>
        </w:rPr>
        <w:t xml:space="preserve">, según el «Manual para determinar y verificar los requisitos habilitantes en los Procesos de Contratación», elaborado por esta Agencia, es «la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w:t>
      </w:r>
      <w:r w:rsidRPr="00F35D47">
        <w:rPr>
          <w:rFonts w:ascii="Arial" w:eastAsia="Calibri" w:hAnsi="Arial" w:cs="Arial"/>
          <w:i/>
          <w:iCs/>
          <w:color w:val="000000"/>
          <w:sz w:val="22"/>
          <w:szCs w:val="22"/>
          <w:lang w:val="es-ES_tradnl"/>
        </w:rPr>
        <w:t>rentabilidad del patrimonio</w:t>
      </w:r>
      <w:r w:rsidRPr="00F35D47">
        <w:rPr>
          <w:rFonts w:ascii="Arial" w:eastAsia="Calibri" w:hAnsi="Arial" w:cs="Arial"/>
          <w:color w:val="000000"/>
          <w:sz w:val="22"/>
          <w:szCs w:val="22"/>
          <w:lang w:val="es-ES_tradnl"/>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w:t>
      </w:r>
      <w:r w:rsidRPr="00F35D47">
        <w:rPr>
          <w:rFonts w:ascii="Arial" w:eastAsia="Calibri" w:hAnsi="Arial" w:cs="Arial"/>
          <w:i/>
          <w:iCs/>
          <w:color w:val="000000"/>
          <w:sz w:val="22"/>
          <w:szCs w:val="22"/>
          <w:lang w:val="es-ES_tradnl"/>
        </w:rPr>
        <w:t>rentabilidad del activo</w:t>
      </w:r>
      <w:r w:rsidRPr="00F35D47">
        <w:rPr>
          <w:rFonts w:ascii="Arial" w:eastAsia="Calibri" w:hAnsi="Arial" w:cs="Arial"/>
          <w:color w:val="000000"/>
          <w:sz w:val="22"/>
          <w:szCs w:val="22"/>
          <w:lang w:val="es-ES_tradnl"/>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62AAD033" w14:textId="77777777" w:rsidR="00E8399C" w:rsidRPr="00F35D47" w:rsidRDefault="00E8399C" w:rsidP="00E8399C">
      <w:pPr>
        <w:spacing w:before="120" w:after="120" w:line="276" w:lineRule="auto"/>
        <w:ind w:firstLine="709"/>
        <w:jc w:val="both"/>
        <w:rPr>
          <w:rFonts w:ascii="Arial" w:eastAsia="Calibri" w:hAnsi="Arial" w:cs="Arial"/>
          <w:color w:val="000000"/>
          <w:sz w:val="22"/>
          <w:szCs w:val="22"/>
          <w:lang w:val="es-ES_tradnl"/>
        </w:rPr>
      </w:pPr>
      <w:r w:rsidRPr="00F35D47">
        <w:rPr>
          <w:rFonts w:ascii="Arial" w:eastAsia="Calibri" w:hAnsi="Arial" w:cs="Arial"/>
          <w:color w:val="000000"/>
          <w:sz w:val="22"/>
          <w:szCs w:val="22"/>
          <w:lang w:val="es-ES_tradnl"/>
        </w:rPr>
        <w:t xml:space="preserve">A juicio de esta Agencia, también son relevantes los siguientes indicadores, pero únicamente en aquellos casos en los que, por las características del objeto a contratar, la naturaleza o la complejidad del proceso de contratación, se requieran: i) margen bruto; </w:t>
      </w:r>
      <w:proofErr w:type="spellStart"/>
      <w:r w:rsidRPr="00F35D47">
        <w:rPr>
          <w:rFonts w:ascii="Arial" w:eastAsia="Calibri" w:hAnsi="Arial" w:cs="Arial"/>
          <w:color w:val="000000"/>
          <w:sz w:val="22"/>
          <w:szCs w:val="22"/>
          <w:lang w:val="es-ES_tradnl"/>
        </w:rPr>
        <w:t>ii</w:t>
      </w:r>
      <w:proofErr w:type="spellEnd"/>
      <w:r w:rsidRPr="00F35D47">
        <w:rPr>
          <w:rFonts w:ascii="Arial" w:eastAsia="Calibri" w:hAnsi="Arial" w:cs="Arial"/>
          <w:color w:val="000000"/>
          <w:sz w:val="22"/>
          <w:szCs w:val="22"/>
          <w:lang w:val="es-ES_tradnl"/>
        </w:rPr>
        <w:t xml:space="preserve">) margen operacional; </w:t>
      </w:r>
      <w:proofErr w:type="spellStart"/>
      <w:r w:rsidRPr="00F35D47">
        <w:rPr>
          <w:rFonts w:ascii="Arial" w:eastAsia="Calibri" w:hAnsi="Arial" w:cs="Arial"/>
          <w:color w:val="000000"/>
          <w:sz w:val="22"/>
          <w:szCs w:val="22"/>
          <w:lang w:val="es-ES_tradnl"/>
        </w:rPr>
        <w:t>iii</w:t>
      </w:r>
      <w:proofErr w:type="spellEnd"/>
      <w:r w:rsidRPr="00F35D47">
        <w:rPr>
          <w:rFonts w:ascii="Arial" w:eastAsia="Calibri" w:hAnsi="Arial" w:cs="Arial"/>
          <w:color w:val="000000"/>
          <w:sz w:val="22"/>
          <w:szCs w:val="22"/>
          <w:lang w:val="es-ES_tradnl"/>
        </w:rPr>
        <w:t xml:space="preserve">) margen neto; </w:t>
      </w:r>
      <w:proofErr w:type="spellStart"/>
      <w:r w:rsidRPr="00F35D47">
        <w:rPr>
          <w:rFonts w:ascii="Arial" w:eastAsia="Calibri" w:hAnsi="Arial" w:cs="Arial"/>
          <w:color w:val="000000"/>
          <w:sz w:val="22"/>
          <w:szCs w:val="22"/>
          <w:lang w:val="es-ES_tradnl"/>
        </w:rPr>
        <w:t>iv</w:t>
      </w:r>
      <w:proofErr w:type="spellEnd"/>
      <w:r w:rsidRPr="00F35D47">
        <w:rPr>
          <w:rFonts w:ascii="Arial" w:eastAsia="Calibri" w:hAnsi="Arial" w:cs="Arial"/>
          <w:color w:val="000000"/>
          <w:sz w:val="22"/>
          <w:szCs w:val="22"/>
          <w:lang w:val="es-ES_tradnl"/>
        </w:rPr>
        <w:t xml:space="preserve">) retorno sobre capital invertido; v) rotación de activos totales; vi) rotación de activos fijos; y </w:t>
      </w:r>
      <w:proofErr w:type="spellStart"/>
      <w:r w:rsidRPr="00F35D47">
        <w:rPr>
          <w:rFonts w:ascii="Arial" w:eastAsia="Calibri" w:hAnsi="Arial" w:cs="Arial"/>
          <w:color w:val="000000"/>
          <w:sz w:val="22"/>
          <w:szCs w:val="22"/>
          <w:lang w:val="es-ES_tradnl"/>
        </w:rPr>
        <w:t>vii</w:t>
      </w:r>
      <w:proofErr w:type="spellEnd"/>
      <w:r w:rsidRPr="00F35D47">
        <w:rPr>
          <w:rFonts w:ascii="Arial" w:eastAsia="Calibri" w:hAnsi="Arial" w:cs="Arial"/>
          <w:color w:val="000000"/>
          <w:sz w:val="22"/>
          <w:szCs w:val="22"/>
          <w:lang w:val="es-ES_tradnl"/>
        </w:rPr>
        <w:t>) rotación de inventarios</w:t>
      </w:r>
      <w:r w:rsidRPr="00F35D47">
        <w:rPr>
          <w:rStyle w:val="Refdenotaalpie"/>
          <w:rFonts w:ascii="Arial" w:eastAsia="Calibri" w:hAnsi="Arial" w:cs="Arial"/>
          <w:color w:val="000000"/>
          <w:sz w:val="22"/>
          <w:szCs w:val="22"/>
          <w:lang w:val="es-ES_tradnl"/>
        </w:rPr>
        <w:footnoteReference w:id="9"/>
      </w:r>
      <w:r w:rsidRPr="00F35D47">
        <w:rPr>
          <w:rFonts w:ascii="Arial" w:eastAsia="Calibri" w:hAnsi="Arial" w:cs="Arial"/>
          <w:color w:val="000000"/>
          <w:sz w:val="22"/>
          <w:szCs w:val="22"/>
          <w:lang w:val="es-ES_tradnl"/>
        </w:rPr>
        <w:t>.</w:t>
      </w:r>
    </w:p>
    <w:p w14:paraId="43C5CD71" w14:textId="2B46C8E0" w:rsidR="00E8399C" w:rsidRPr="00F35D47" w:rsidRDefault="00E8399C" w:rsidP="00DC6407">
      <w:pPr>
        <w:spacing w:before="120" w:line="276" w:lineRule="auto"/>
        <w:ind w:firstLine="708"/>
        <w:jc w:val="both"/>
        <w:rPr>
          <w:rFonts w:ascii="Arial" w:eastAsia="Calibri" w:hAnsi="Arial" w:cs="Arial"/>
          <w:color w:val="000000"/>
          <w:sz w:val="22"/>
          <w:szCs w:val="22"/>
          <w:lang w:val="es-ES_tradnl"/>
        </w:rPr>
      </w:pPr>
      <w:r w:rsidRPr="00F35D47">
        <w:rPr>
          <w:rFonts w:ascii="Arial" w:eastAsia="Calibri" w:hAnsi="Arial" w:cs="Arial"/>
          <w:color w:val="000000"/>
          <w:sz w:val="22"/>
          <w:szCs w:val="22"/>
          <w:lang w:val="es-ES_tradnl"/>
        </w:rPr>
        <w:t xml:space="preserve">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w:t>
      </w:r>
      <w:r w:rsidRPr="00F35D47">
        <w:rPr>
          <w:rFonts w:ascii="Arial" w:eastAsia="Calibri" w:hAnsi="Arial" w:cs="Arial"/>
          <w:color w:val="000000"/>
          <w:sz w:val="22"/>
          <w:szCs w:val="22"/>
          <w:lang w:val="es-ES_tradnl"/>
        </w:rPr>
        <w:lastRenderedPageBreak/>
        <w:t>el entendimiento del resultado y sus implicaciones para el procedimiento contractual</w:t>
      </w:r>
      <w:r w:rsidRPr="00F35D47">
        <w:rPr>
          <w:rFonts w:ascii="Arial" w:eastAsia="Calibri" w:hAnsi="Arial" w:cs="Arial"/>
          <w:color w:val="000000"/>
          <w:sz w:val="22"/>
          <w:szCs w:val="22"/>
          <w:vertAlign w:val="superscript"/>
          <w:lang w:val="es-ES_tradnl"/>
        </w:rPr>
        <w:footnoteReference w:id="10"/>
      </w:r>
      <w:r w:rsidRPr="00F35D47">
        <w:rPr>
          <w:rFonts w:ascii="Arial" w:eastAsia="Calibri" w:hAnsi="Arial" w:cs="Arial"/>
          <w:color w:val="000000"/>
          <w:sz w:val="22"/>
          <w:szCs w:val="22"/>
          <w:lang w:val="es-ES_tradnl"/>
        </w:rPr>
        <w:t xml:space="preserve">. Igualmente, la capacidad organizacional se mide mediante los siguientes indicadores: i) rentabilidad del patrimonio y </w:t>
      </w:r>
      <w:proofErr w:type="spellStart"/>
      <w:r w:rsidRPr="00F35D47">
        <w:rPr>
          <w:rFonts w:ascii="Arial" w:eastAsia="Calibri" w:hAnsi="Arial" w:cs="Arial"/>
          <w:color w:val="000000"/>
          <w:sz w:val="22"/>
          <w:szCs w:val="22"/>
          <w:lang w:val="es-ES_tradnl"/>
        </w:rPr>
        <w:t>ii</w:t>
      </w:r>
      <w:proofErr w:type="spellEnd"/>
      <w:r w:rsidRPr="00F35D47">
        <w:rPr>
          <w:rFonts w:ascii="Arial" w:eastAsia="Calibri" w:hAnsi="Arial" w:cs="Arial"/>
          <w:color w:val="000000"/>
          <w:sz w:val="22"/>
          <w:szCs w:val="22"/>
          <w:lang w:val="es-ES_tradnl"/>
        </w:rPr>
        <w:t>)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w:t>
      </w:r>
      <w:r w:rsidRPr="00F35D47">
        <w:rPr>
          <w:rFonts w:ascii="Arial" w:eastAsia="Calibri" w:hAnsi="Arial" w:cs="Arial"/>
          <w:color w:val="000000"/>
          <w:sz w:val="22"/>
          <w:szCs w:val="22"/>
          <w:vertAlign w:val="superscript"/>
          <w:lang w:val="es-ES_tradnl"/>
        </w:rPr>
        <w:footnoteReference w:id="11"/>
      </w:r>
      <w:r w:rsidRPr="00F35D47">
        <w:rPr>
          <w:rFonts w:ascii="Arial" w:eastAsia="Calibri" w:hAnsi="Arial" w:cs="Arial"/>
          <w:color w:val="000000"/>
          <w:sz w:val="22"/>
          <w:szCs w:val="22"/>
          <w:lang w:val="es-ES_tradnl"/>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61555F89" w14:textId="77777777" w:rsidR="00E8399C" w:rsidRPr="00F35D47" w:rsidRDefault="00E8399C" w:rsidP="007C14A7">
      <w:pPr>
        <w:spacing w:line="276" w:lineRule="auto"/>
        <w:jc w:val="both"/>
        <w:rPr>
          <w:rFonts w:ascii="Arial" w:hAnsi="Arial" w:cs="Arial"/>
          <w:sz w:val="22"/>
          <w:szCs w:val="22"/>
          <w:lang w:val="es-MX"/>
        </w:rPr>
      </w:pPr>
    </w:p>
    <w:p w14:paraId="500DDBC1" w14:textId="44360DDA" w:rsidR="003C7067" w:rsidRPr="00F35D47" w:rsidRDefault="003C7067" w:rsidP="007C14A7">
      <w:pPr>
        <w:spacing w:line="276" w:lineRule="auto"/>
        <w:jc w:val="both"/>
        <w:rPr>
          <w:rFonts w:ascii="Arial" w:eastAsia="Calibri" w:hAnsi="Arial" w:cs="Arial"/>
          <w:b/>
          <w:bCs/>
          <w:sz w:val="22"/>
          <w:szCs w:val="22"/>
          <w:lang w:val="es-ES"/>
        </w:rPr>
      </w:pPr>
      <w:r w:rsidRPr="00F35D47">
        <w:rPr>
          <w:rFonts w:ascii="Arial" w:eastAsia="Calibri" w:hAnsi="Arial" w:cs="Arial"/>
          <w:b/>
          <w:bCs/>
          <w:sz w:val="22"/>
          <w:szCs w:val="22"/>
          <w:lang w:val="es-ES"/>
        </w:rPr>
        <w:t xml:space="preserve">2.1. </w:t>
      </w:r>
      <w:r w:rsidR="00AD73B1" w:rsidRPr="00F35D47">
        <w:rPr>
          <w:rFonts w:ascii="Arial" w:eastAsia="Arial" w:hAnsi="Arial" w:cs="Arial"/>
          <w:b/>
          <w:bCs/>
          <w:color w:val="000000"/>
          <w:sz w:val="22"/>
          <w:szCs w:val="22"/>
          <w:lang w:val="es-ES_tradnl"/>
        </w:rPr>
        <w:t>Capital</w:t>
      </w:r>
      <w:r w:rsidR="004662C1" w:rsidRPr="00F35D47">
        <w:rPr>
          <w:rFonts w:ascii="Arial" w:eastAsia="Arial" w:hAnsi="Arial" w:cs="Arial"/>
          <w:b/>
          <w:bCs/>
          <w:color w:val="000000"/>
          <w:sz w:val="22"/>
          <w:szCs w:val="22"/>
          <w:lang w:val="es-ES_tradnl"/>
        </w:rPr>
        <w:t xml:space="preserve"> de trabajo </w:t>
      </w:r>
      <w:r w:rsidR="00AD73B1" w:rsidRPr="00F35D47">
        <w:rPr>
          <w:rFonts w:ascii="Arial" w:eastAsia="Arial" w:hAnsi="Arial" w:cs="Arial"/>
          <w:b/>
          <w:bCs/>
          <w:color w:val="000000"/>
          <w:sz w:val="22"/>
          <w:szCs w:val="22"/>
          <w:lang w:val="es-ES_tradnl"/>
        </w:rPr>
        <w:t>como requisito habilitante</w:t>
      </w:r>
    </w:p>
    <w:p w14:paraId="3EB46450" w14:textId="77777777" w:rsidR="003C7067" w:rsidRPr="00F35D47" w:rsidRDefault="003C7067" w:rsidP="007C14A7">
      <w:pPr>
        <w:spacing w:line="276" w:lineRule="auto"/>
        <w:jc w:val="both"/>
        <w:rPr>
          <w:rFonts w:ascii="Arial" w:eastAsia="Calibri" w:hAnsi="Arial" w:cs="Arial"/>
          <w:b/>
          <w:bCs/>
          <w:sz w:val="22"/>
          <w:szCs w:val="22"/>
          <w:lang w:val="es-ES"/>
        </w:rPr>
      </w:pPr>
    </w:p>
    <w:p w14:paraId="02E0E1E2" w14:textId="2C5CB75C" w:rsidR="003E060B" w:rsidRPr="00F35D47" w:rsidRDefault="00DC6407" w:rsidP="00DC6407">
      <w:pPr>
        <w:tabs>
          <w:tab w:val="left" w:pos="0"/>
        </w:tabs>
        <w:spacing w:after="120" w:line="276" w:lineRule="auto"/>
        <w:jc w:val="both"/>
        <w:rPr>
          <w:rFonts w:ascii="Arial" w:eastAsia="Calibri" w:hAnsi="Arial" w:cs="Arial"/>
          <w:bCs/>
          <w:sz w:val="22"/>
          <w:szCs w:val="22"/>
        </w:rPr>
      </w:pPr>
      <w:bookmarkStart w:id="4" w:name="_Hlk75296202"/>
      <w:r w:rsidRPr="00F35D47">
        <w:rPr>
          <w:rFonts w:ascii="Arial" w:eastAsia="Calibri" w:hAnsi="Arial" w:cs="Arial"/>
          <w:bCs/>
          <w:sz w:val="22"/>
          <w:szCs w:val="22"/>
        </w:rPr>
        <w:t xml:space="preserve">Los requisitos habilitantes sirven para que las entidades contratantes fijen reglas objetivas para comprobar la </w:t>
      </w:r>
      <w:r w:rsidR="00B24B11" w:rsidRPr="00F35D47">
        <w:rPr>
          <w:rFonts w:ascii="Arial" w:eastAsia="Calibri" w:hAnsi="Arial" w:cs="Arial"/>
          <w:bCs/>
          <w:sz w:val="22"/>
          <w:szCs w:val="22"/>
        </w:rPr>
        <w:t>idoneidad del oferente para asumir adecuadamente la ejecución del contrato</w:t>
      </w:r>
      <w:r w:rsidR="00B24B11" w:rsidRPr="00F35D47">
        <w:rPr>
          <w:rStyle w:val="Refdenotaalpie"/>
          <w:rFonts w:ascii="Arial" w:eastAsia="Calibri" w:hAnsi="Arial" w:cs="Arial"/>
          <w:bCs/>
          <w:sz w:val="22"/>
          <w:szCs w:val="22"/>
        </w:rPr>
        <w:footnoteReference w:id="12"/>
      </w:r>
      <w:r w:rsidR="00B24B11" w:rsidRPr="00F35D47">
        <w:rPr>
          <w:rFonts w:ascii="Arial" w:eastAsia="Calibri" w:hAnsi="Arial" w:cs="Arial"/>
          <w:bCs/>
          <w:sz w:val="22"/>
          <w:szCs w:val="22"/>
        </w:rPr>
        <w:t>. Los oferentes que cumplan estos requisitos habilitantes</w:t>
      </w:r>
      <w:r w:rsidR="00B91897" w:rsidRPr="00F35D47">
        <w:rPr>
          <w:rFonts w:ascii="Arial" w:eastAsia="Calibri" w:hAnsi="Arial" w:cs="Arial"/>
          <w:bCs/>
          <w:sz w:val="22"/>
          <w:szCs w:val="22"/>
        </w:rPr>
        <w:t xml:space="preserve"> mínimos</w:t>
      </w:r>
      <w:r w:rsidR="00B24B11" w:rsidRPr="00F35D47">
        <w:rPr>
          <w:rFonts w:ascii="Arial" w:eastAsia="Calibri" w:hAnsi="Arial" w:cs="Arial"/>
          <w:bCs/>
          <w:sz w:val="22"/>
          <w:szCs w:val="22"/>
        </w:rPr>
        <w:t xml:space="preserve"> son considerados idóneos para ejecutar el objeto contractual, de manera que sus ofertas pueden ser consideradas en la evaluación dirigida a determinar cuál es la más favorable para la entidad y los fines de la contratación. En este sentido, los requisitos </w:t>
      </w:r>
      <w:r w:rsidR="00B24B11" w:rsidRPr="00F35D47">
        <w:rPr>
          <w:rFonts w:ascii="Arial" w:eastAsia="Calibri" w:hAnsi="Arial" w:cs="Arial"/>
          <w:bCs/>
          <w:i/>
          <w:iCs/>
          <w:sz w:val="22"/>
          <w:szCs w:val="22"/>
        </w:rPr>
        <w:t xml:space="preserve">habilitantes </w:t>
      </w:r>
      <w:r w:rsidR="00B24B11" w:rsidRPr="00F35D47">
        <w:rPr>
          <w:rFonts w:ascii="Arial" w:eastAsia="Calibri" w:hAnsi="Arial" w:cs="Arial"/>
          <w:bCs/>
          <w:sz w:val="22"/>
          <w:szCs w:val="22"/>
        </w:rPr>
        <w:t>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r w:rsidR="00B91897" w:rsidRPr="00F35D47">
        <w:rPr>
          <w:rFonts w:ascii="Arial" w:eastAsia="Calibri" w:hAnsi="Arial" w:cs="Arial"/>
          <w:bCs/>
          <w:sz w:val="22"/>
          <w:szCs w:val="22"/>
        </w:rPr>
        <w:t>, disminuyendo el riesgo de incumplimiento contractual, pues dan cu</w:t>
      </w:r>
      <w:r w:rsidR="00A022D8" w:rsidRPr="00F35D47">
        <w:rPr>
          <w:rFonts w:ascii="Arial" w:eastAsia="Calibri" w:hAnsi="Arial" w:cs="Arial"/>
          <w:bCs/>
          <w:sz w:val="22"/>
          <w:szCs w:val="22"/>
        </w:rPr>
        <w:t>e</w:t>
      </w:r>
      <w:r w:rsidR="00B91897" w:rsidRPr="00F35D47">
        <w:rPr>
          <w:rFonts w:ascii="Arial" w:eastAsia="Calibri" w:hAnsi="Arial" w:cs="Arial"/>
          <w:bCs/>
          <w:sz w:val="22"/>
          <w:szCs w:val="22"/>
        </w:rPr>
        <w:t>nt</w:t>
      </w:r>
      <w:r w:rsidR="00A022D8" w:rsidRPr="00F35D47">
        <w:rPr>
          <w:rFonts w:ascii="Arial" w:eastAsia="Calibri" w:hAnsi="Arial" w:cs="Arial"/>
          <w:bCs/>
          <w:sz w:val="22"/>
          <w:szCs w:val="22"/>
        </w:rPr>
        <w:t>a</w:t>
      </w:r>
      <w:r w:rsidR="00B91897" w:rsidRPr="00F35D47">
        <w:rPr>
          <w:rFonts w:ascii="Arial" w:eastAsia="Calibri" w:hAnsi="Arial" w:cs="Arial"/>
          <w:bCs/>
          <w:sz w:val="22"/>
          <w:szCs w:val="22"/>
        </w:rPr>
        <w:t xml:space="preserve"> de que el proponente tiene capacidad legal, técnica y financiera para cumplir, por sí sólo, con las obligaciones del contrato</w:t>
      </w:r>
      <w:r w:rsidR="00B24B11" w:rsidRPr="00F35D47">
        <w:rPr>
          <w:rFonts w:ascii="Arial" w:eastAsia="Calibri" w:hAnsi="Arial" w:cs="Arial"/>
          <w:bCs/>
          <w:sz w:val="22"/>
          <w:szCs w:val="22"/>
        </w:rPr>
        <w:t>.</w:t>
      </w:r>
      <w:bookmarkEnd w:id="4"/>
    </w:p>
    <w:p w14:paraId="56776BC1" w14:textId="5A9F8506" w:rsidR="003E060B" w:rsidRPr="00F35D47" w:rsidRDefault="00B91897" w:rsidP="00B91897">
      <w:pPr>
        <w:pStyle w:val="ql-align-justify"/>
        <w:spacing w:before="120" w:beforeAutospacing="0" w:after="120" w:afterAutospacing="0" w:line="276" w:lineRule="auto"/>
        <w:ind w:firstLine="709"/>
        <w:jc w:val="both"/>
        <w:rPr>
          <w:rFonts w:ascii="Arial" w:eastAsia="Calibri" w:hAnsi="Arial" w:cs="Arial"/>
          <w:bCs/>
          <w:sz w:val="22"/>
          <w:szCs w:val="22"/>
        </w:rPr>
      </w:pPr>
      <w:r w:rsidRPr="00F35D47">
        <w:rPr>
          <w:rFonts w:ascii="Arial" w:eastAsia="Calibri" w:hAnsi="Arial" w:cs="Arial"/>
          <w:bCs/>
          <w:sz w:val="22"/>
          <w:szCs w:val="22"/>
        </w:rPr>
        <w:lastRenderedPageBreak/>
        <w:t>Los</w:t>
      </w:r>
      <w:r w:rsidR="003E060B" w:rsidRPr="00F35D47">
        <w:rPr>
          <w:rFonts w:ascii="Arial" w:eastAsia="Calibri" w:hAnsi="Arial" w:cs="Arial"/>
          <w:bCs/>
          <w:sz w:val="22"/>
          <w:szCs w:val="22"/>
        </w:rPr>
        <w:t xml:space="preserve"> requisitos habilitantes </w:t>
      </w:r>
      <w:r w:rsidRPr="00F35D47">
        <w:rPr>
          <w:rFonts w:ascii="Arial" w:eastAsia="Calibri" w:hAnsi="Arial" w:cs="Arial"/>
          <w:bCs/>
          <w:sz w:val="22"/>
          <w:szCs w:val="22"/>
        </w:rPr>
        <w:t xml:space="preserve">se fijan por </w:t>
      </w:r>
      <w:r w:rsidR="003E060B" w:rsidRPr="00F35D47">
        <w:rPr>
          <w:rFonts w:ascii="Arial" w:eastAsia="Calibri" w:hAnsi="Arial" w:cs="Arial"/>
          <w:bCs/>
          <w:sz w:val="22"/>
          <w:szCs w:val="22"/>
        </w:rPr>
        <w:t>la entidad</w:t>
      </w:r>
      <w:r w:rsidRPr="00F35D47">
        <w:rPr>
          <w:rFonts w:ascii="Arial" w:eastAsia="Calibri" w:hAnsi="Arial" w:cs="Arial"/>
          <w:bCs/>
          <w:sz w:val="22"/>
          <w:szCs w:val="22"/>
        </w:rPr>
        <w:t xml:space="preserve"> contratante</w:t>
      </w:r>
      <w:r w:rsidR="003E060B" w:rsidRPr="00F35D47">
        <w:rPr>
          <w:rFonts w:ascii="Arial" w:eastAsia="Calibri" w:hAnsi="Arial" w:cs="Arial"/>
          <w:bCs/>
          <w:sz w:val="22"/>
          <w:szCs w:val="22"/>
        </w:rPr>
        <w:t xml:space="preserve"> de</w:t>
      </w:r>
      <w:r w:rsidRPr="00F35D47">
        <w:rPr>
          <w:rFonts w:ascii="Arial" w:eastAsia="Calibri" w:hAnsi="Arial" w:cs="Arial"/>
          <w:bCs/>
          <w:sz w:val="22"/>
          <w:szCs w:val="22"/>
        </w:rPr>
        <w:t xml:space="preserve"> </w:t>
      </w:r>
      <w:r w:rsidR="003E060B" w:rsidRPr="00F35D47">
        <w:rPr>
          <w:rFonts w:ascii="Arial" w:eastAsia="Calibri" w:hAnsi="Arial" w:cs="Arial"/>
          <w:bCs/>
          <w:sz w:val="22"/>
          <w:szCs w:val="22"/>
        </w:rPr>
        <w:t xml:space="preserve">forma </w:t>
      </w:r>
      <w:r w:rsidRPr="00F35D47">
        <w:rPr>
          <w:rFonts w:ascii="Arial" w:eastAsia="Calibri" w:hAnsi="Arial" w:cs="Arial"/>
          <w:bCs/>
          <w:sz w:val="22"/>
          <w:szCs w:val="22"/>
        </w:rPr>
        <w:t xml:space="preserve">razonable </w:t>
      </w:r>
      <w:r w:rsidR="003E060B" w:rsidRPr="00F35D47">
        <w:rPr>
          <w:rFonts w:ascii="Arial" w:eastAsia="Calibri" w:hAnsi="Arial" w:cs="Arial"/>
          <w:bCs/>
          <w:sz w:val="22"/>
          <w:szCs w:val="22"/>
        </w:rPr>
        <w:t xml:space="preserve">y proporcional a la naturaleza y valor del contrato, </w:t>
      </w:r>
      <w:r w:rsidRPr="00F35D47">
        <w:rPr>
          <w:rFonts w:ascii="Arial" w:eastAsia="Calibri" w:hAnsi="Arial" w:cs="Arial"/>
          <w:bCs/>
          <w:sz w:val="22"/>
          <w:szCs w:val="22"/>
        </w:rPr>
        <w:t xml:space="preserve">para que </w:t>
      </w:r>
      <w:r w:rsidR="003E060B" w:rsidRPr="00F35D47">
        <w:rPr>
          <w:rFonts w:ascii="Arial" w:eastAsia="Calibri" w:hAnsi="Arial" w:cs="Arial"/>
          <w:bCs/>
          <w:sz w:val="22"/>
          <w:szCs w:val="22"/>
        </w:rPr>
        <w:t xml:space="preserve">exista una relación </w:t>
      </w:r>
      <w:r w:rsidRPr="00F35D47">
        <w:rPr>
          <w:rFonts w:ascii="Arial" w:eastAsia="Calibri" w:hAnsi="Arial" w:cs="Arial"/>
          <w:bCs/>
          <w:sz w:val="22"/>
          <w:szCs w:val="22"/>
        </w:rPr>
        <w:t>equitativa</w:t>
      </w:r>
      <w:r w:rsidR="003E060B" w:rsidRPr="00F35D47">
        <w:rPr>
          <w:rFonts w:ascii="Arial" w:eastAsia="Calibri" w:hAnsi="Arial" w:cs="Arial"/>
          <w:bCs/>
          <w:sz w:val="22"/>
          <w:szCs w:val="22"/>
        </w:rPr>
        <w:t xml:space="preserve"> entre el alcance que tiene el contrato a celebrar con la experiencia que cuenta el proponente para su respectiva ejecución, abarcando todos los requisitos jurídicos, organizacionales y financieros</w:t>
      </w:r>
      <w:r w:rsidRPr="00F35D47">
        <w:rPr>
          <w:rFonts w:ascii="Arial" w:eastAsia="Calibri" w:hAnsi="Arial" w:cs="Arial"/>
          <w:bCs/>
          <w:sz w:val="22"/>
          <w:szCs w:val="22"/>
        </w:rPr>
        <w:t>.</w:t>
      </w:r>
      <w:r w:rsidR="003E060B" w:rsidRPr="00F35D47">
        <w:rPr>
          <w:rFonts w:ascii="Arial" w:eastAsia="Calibri" w:hAnsi="Arial" w:cs="Arial"/>
          <w:bCs/>
          <w:sz w:val="22"/>
          <w:szCs w:val="22"/>
        </w:rPr>
        <w:t xml:space="preserve"> </w:t>
      </w:r>
      <w:r w:rsidRPr="00F35D47">
        <w:rPr>
          <w:rFonts w:ascii="Arial" w:eastAsia="Calibri" w:hAnsi="Arial" w:cs="Arial"/>
          <w:bCs/>
          <w:sz w:val="22"/>
          <w:szCs w:val="22"/>
        </w:rPr>
        <w:t xml:space="preserve">Así los requisitos </w:t>
      </w:r>
      <w:r w:rsidR="003E060B" w:rsidRPr="00F35D47">
        <w:rPr>
          <w:rFonts w:ascii="Arial" w:eastAsia="Calibri" w:hAnsi="Arial" w:cs="Arial"/>
          <w:bCs/>
          <w:sz w:val="22"/>
          <w:szCs w:val="22"/>
        </w:rPr>
        <w:t>deben guardar proporción con el objeto del contrato, con el plazo que se tiene para la ejecución, con la forma de pago que se realizará y con el valor del mismo.</w:t>
      </w:r>
      <w:r w:rsidRPr="00F35D47">
        <w:rPr>
          <w:rFonts w:ascii="Arial" w:eastAsia="Calibri" w:hAnsi="Arial" w:cs="Arial"/>
          <w:bCs/>
          <w:sz w:val="22"/>
          <w:szCs w:val="22"/>
        </w:rPr>
        <w:t xml:space="preserve"> Para ello, la entidad contratante debe previamente consultar el y analizar el</w:t>
      </w:r>
      <w:r w:rsidR="003E060B" w:rsidRPr="00F35D47">
        <w:rPr>
          <w:rFonts w:ascii="Arial" w:eastAsia="Calibri" w:hAnsi="Arial" w:cs="Arial"/>
          <w:bCs/>
          <w:sz w:val="22"/>
          <w:szCs w:val="22"/>
        </w:rPr>
        <w:t xml:space="preserve"> sector </w:t>
      </w:r>
      <w:r w:rsidRPr="00F35D47">
        <w:rPr>
          <w:rFonts w:ascii="Arial" w:eastAsia="Calibri" w:hAnsi="Arial" w:cs="Arial"/>
          <w:bCs/>
          <w:sz w:val="22"/>
          <w:szCs w:val="22"/>
        </w:rPr>
        <w:t>del</w:t>
      </w:r>
      <w:r w:rsidR="003E060B" w:rsidRPr="00F35D47">
        <w:rPr>
          <w:rFonts w:ascii="Arial" w:eastAsia="Calibri" w:hAnsi="Arial" w:cs="Arial"/>
          <w:bCs/>
          <w:sz w:val="22"/>
          <w:szCs w:val="22"/>
        </w:rPr>
        <w:t xml:space="preserve"> objeto</w:t>
      </w:r>
      <w:r w:rsidRPr="00F35D47">
        <w:rPr>
          <w:rFonts w:ascii="Arial" w:eastAsia="Calibri" w:hAnsi="Arial" w:cs="Arial"/>
          <w:bCs/>
          <w:sz w:val="22"/>
          <w:szCs w:val="22"/>
        </w:rPr>
        <w:t xml:space="preserve"> que tendrá e</w:t>
      </w:r>
      <w:r w:rsidR="003E060B" w:rsidRPr="00F35D47">
        <w:rPr>
          <w:rFonts w:ascii="Arial" w:eastAsia="Calibri" w:hAnsi="Arial" w:cs="Arial"/>
          <w:bCs/>
          <w:sz w:val="22"/>
          <w:szCs w:val="22"/>
        </w:rPr>
        <w:t>l futuro contrato</w:t>
      </w:r>
      <w:r w:rsidR="00F00588" w:rsidRPr="00F35D47">
        <w:rPr>
          <w:rFonts w:ascii="Arial" w:eastAsia="Calibri" w:hAnsi="Arial" w:cs="Arial"/>
          <w:bCs/>
          <w:sz w:val="22"/>
          <w:szCs w:val="22"/>
        </w:rPr>
        <w:t>.</w:t>
      </w:r>
    </w:p>
    <w:p w14:paraId="0A65A0DE" w14:textId="4C04251C" w:rsidR="00395B41" w:rsidRPr="00F35D47" w:rsidRDefault="00AE4F53" w:rsidP="00395B41">
      <w:pPr>
        <w:pStyle w:val="ql-align-justify"/>
        <w:spacing w:before="120" w:beforeAutospacing="0" w:after="120" w:afterAutospacing="0" w:line="276" w:lineRule="auto"/>
        <w:ind w:firstLine="709"/>
        <w:jc w:val="both"/>
        <w:rPr>
          <w:rFonts w:ascii="Arial" w:eastAsia="Calibri" w:hAnsi="Arial" w:cs="Arial"/>
          <w:bCs/>
          <w:sz w:val="22"/>
          <w:szCs w:val="22"/>
        </w:rPr>
      </w:pPr>
      <w:r w:rsidRPr="00F35D47">
        <w:rPr>
          <w:rFonts w:ascii="Arial" w:eastAsia="Calibri" w:hAnsi="Arial" w:cs="Arial"/>
          <w:bCs/>
          <w:sz w:val="22"/>
          <w:szCs w:val="22"/>
        </w:rPr>
        <w:t>Según lo previsto en el artículo 6 de la Ley 1150 de 2007, solo en aquellos casos en que por las características del objeto a contratar se requiera la verificación de requisitos del proponente adicionales a los contenidos en el Registro Único de Proponente, l</w:t>
      </w:r>
      <w:r w:rsidR="003E060B" w:rsidRPr="00F35D47">
        <w:rPr>
          <w:rFonts w:ascii="Arial" w:eastAsia="Calibri" w:hAnsi="Arial" w:cs="Arial"/>
          <w:bCs/>
          <w:sz w:val="22"/>
          <w:szCs w:val="22"/>
        </w:rPr>
        <w:t>as Entidades Estatales pueden establecer</w:t>
      </w:r>
      <w:r w:rsidRPr="00F35D47">
        <w:rPr>
          <w:rFonts w:ascii="Arial" w:eastAsia="Calibri" w:hAnsi="Arial" w:cs="Arial"/>
          <w:bCs/>
          <w:sz w:val="22"/>
          <w:szCs w:val="22"/>
        </w:rPr>
        <w:t>, en los pliegos de condiciones,</w:t>
      </w:r>
      <w:r w:rsidR="003E060B" w:rsidRPr="00F35D47">
        <w:rPr>
          <w:rFonts w:ascii="Arial" w:eastAsia="Calibri" w:hAnsi="Arial" w:cs="Arial"/>
          <w:bCs/>
          <w:sz w:val="22"/>
          <w:szCs w:val="22"/>
        </w:rPr>
        <w:t xml:space="preserve"> indicadores adicionales a los establecidos en el </w:t>
      </w:r>
      <w:r w:rsidR="00F00588" w:rsidRPr="00F35D47">
        <w:rPr>
          <w:rFonts w:ascii="Arial" w:eastAsia="Calibri" w:hAnsi="Arial" w:cs="Arial"/>
          <w:bCs/>
          <w:sz w:val="22"/>
          <w:szCs w:val="22"/>
        </w:rPr>
        <w:t>numeral 1 del artículo 5 de la Ley 1150 de 2007</w:t>
      </w:r>
      <w:r w:rsidRPr="00F35D47">
        <w:rPr>
          <w:rFonts w:ascii="Arial" w:eastAsia="Calibri" w:hAnsi="Arial" w:cs="Arial"/>
          <w:bCs/>
          <w:sz w:val="22"/>
          <w:szCs w:val="22"/>
        </w:rPr>
        <w:t>.</w:t>
      </w:r>
      <w:r w:rsidR="00F00588" w:rsidRPr="00F35D47">
        <w:rPr>
          <w:rFonts w:ascii="Arial" w:eastAsia="Calibri" w:hAnsi="Arial" w:cs="Arial"/>
          <w:bCs/>
          <w:sz w:val="22"/>
          <w:szCs w:val="22"/>
        </w:rPr>
        <w:t xml:space="preserve"> </w:t>
      </w:r>
      <w:r w:rsidR="00340378">
        <w:rPr>
          <w:rFonts w:ascii="Arial" w:eastAsia="Calibri" w:hAnsi="Arial" w:cs="Arial"/>
          <w:color w:val="000000"/>
          <w:sz w:val="22"/>
          <w:szCs w:val="22"/>
          <w:lang w:val="es-ES_tradnl"/>
        </w:rPr>
        <w:t>E</w:t>
      </w:r>
      <w:r w:rsidR="00A022D8" w:rsidRPr="00F35D47">
        <w:rPr>
          <w:rFonts w:ascii="Arial" w:eastAsia="Calibri" w:hAnsi="Arial" w:cs="Arial"/>
          <w:color w:val="000000"/>
          <w:sz w:val="22"/>
          <w:szCs w:val="22"/>
          <w:lang w:val="es-ES_tradnl"/>
        </w:rPr>
        <w:t>l capital de trabajo no fue incluido dentro de los indicadores de capacidad financiera previstos en el Decreto 1082 de 2015, no obstante la entidad puede acudir a indicadores adicionales, en cumplimiento de su deber de análisis y acorde con las características del contrato a suscribir, por lo que en este sentido, la Agencia Nacional de Contratación Pública – Colombia Compra Eficiente</w:t>
      </w:r>
      <w:r w:rsidR="00A022D8" w:rsidRPr="00F35D47">
        <w:rPr>
          <w:rStyle w:val="Refdenotaalpie"/>
          <w:rFonts w:ascii="Arial" w:eastAsia="Calibri" w:hAnsi="Arial" w:cs="Arial"/>
          <w:color w:val="000000"/>
          <w:sz w:val="22"/>
          <w:szCs w:val="22"/>
          <w:lang w:val="es-ES_tradnl"/>
        </w:rPr>
        <w:footnoteReference w:id="13"/>
      </w:r>
      <w:r w:rsidR="00A022D8" w:rsidRPr="00F35D47">
        <w:rPr>
          <w:rFonts w:ascii="Arial" w:eastAsia="Calibri" w:hAnsi="Arial" w:cs="Arial"/>
          <w:color w:val="000000"/>
          <w:sz w:val="22"/>
          <w:szCs w:val="22"/>
          <w:lang w:val="es-ES_tradnl"/>
        </w:rPr>
        <w:t xml:space="preserve">, ha recomendado valorar otro tipo de indicadores como el capital de trabajo, si la complejidad del contrato a celebrar lo amerita. </w:t>
      </w:r>
      <w:r w:rsidR="003E060B" w:rsidRPr="00F35D47">
        <w:rPr>
          <w:rFonts w:ascii="Arial" w:eastAsia="Calibri" w:hAnsi="Arial" w:cs="Arial"/>
          <w:bCs/>
          <w:sz w:val="22"/>
          <w:szCs w:val="22"/>
        </w:rPr>
        <w:t>Es</w:t>
      </w:r>
      <w:r w:rsidR="00E416E6" w:rsidRPr="00F35D47">
        <w:rPr>
          <w:rFonts w:ascii="Arial" w:eastAsia="Calibri" w:hAnsi="Arial" w:cs="Arial"/>
          <w:bCs/>
          <w:sz w:val="22"/>
          <w:szCs w:val="22"/>
        </w:rPr>
        <w:t>te es el caso</w:t>
      </w:r>
      <w:r w:rsidR="00B91897" w:rsidRPr="00F35D47">
        <w:rPr>
          <w:rFonts w:ascii="Arial" w:eastAsia="Calibri" w:hAnsi="Arial" w:cs="Arial"/>
          <w:bCs/>
          <w:sz w:val="22"/>
          <w:szCs w:val="22"/>
        </w:rPr>
        <w:t>, por ejemplo,</w:t>
      </w:r>
      <w:r w:rsidR="00E416E6" w:rsidRPr="00F35D47">
        <w:rPr>
          <w:rFonts w:ascii="Arial" w:eastAsia="Calibri" w:hAnsi="Arial" w:cs="Arial"/>
          <w:bCs/>
          <w:sz w:val="22"/>
          <w:szCs w:val="22"/>
        </w:rPr>
        <w:t xml:space="preserve"> de los contratos de</w:t>
      </w:r>
      <w:r w:rsidR="00B91897" w:rsidRPr="00F35D47">
        <w:rPr>
          <w:rFonts w:ascii="Arial" w:eastAsia="Calibri" w:hAnsi="Arial" w:cs="Arial"/>
          <w:bCs/>
          <w:sz w:val="22"/>
          <w:szCs w:val="22"/>
        </w:rPr>
        <w:t xml:space="preserve"> obra pública</w:t>
      </w:r>
      <w:r w:rsidR="00E416E6" w:rsidRPr="00F35D47">
        <w:rPr>
          <w:rFonts w:ascii="Arial" w:eastAsia="Calibri" w:hAnsi="Arial" w:cs="Arial"/>
          <w:bCs/>
          <w:sz w:val="22"/>
          <w:szCs w:val="22"/>
        </w:rPr>
        <w:t xml:space="preserve"> </w:t>
      </w:r>
      <w:r w:rsidR="00B91897" w:rsidRPr="00F35D47">
        <w:rPr>
          <w:rFonts w:ascii="Arial" w:eastAsia="Calibri" w:hAnsi="Arial" w:cs="Arial"/>
          <w:bCs/>
          <w:sz w:val="22"/>
          <w:szCs w:val="22"/>
        </w:rPr>
        <w:t xml:space="preserve">de </w:t>
      </w:r>
      <w:r w:rsidR="00E416E6" w:rsidRPr="00F35D47">
        <w:rPr>
          <w:rFonts w:ascii="Arial" w:eastAsia="Calibri" w:hAnsi="Arial" w:cs="Arial"/>
          <w:bCs/>
          <w:sz w:val="22"/>
          <w:szCs w:val="22"/>
        </w:rPr>
        <w:t>infraestructura de transporte</w:t>
      </w:r>
      <w:r w:rsidR="00B91897" w:rsidRPr="00F35D47">
        <w:rPr>
          <w:rFonts w:ascii="Arial" w:eastAsia="Calibri" w:hAnsi="Arial" w:cs="Arial"/>
          <w:bCs/>
          <w:sz w:val="22"/>
          <w:szCs w:val="22"/>
        </w:rPr>
        <w:t xml:space="preserve"> regidos por Documentos Tipo, pues en el </w:t>
      </w:r>
      <w:r w:rsidR="00470EFA" w:rsidRPr="00F35D47">
        <w:rPr>
          <w:rFonts w:ascii="Arial" w:eastAsia="Calibri" w:hAnsi="Arial" w:cs="Arial"/>
          <w:bCs/>
          <w:sz w:val="22"/>
          <w:szCs w:val="22"/>
        </w:rPr>
        <w:t>documento base s</w:t>
      </w:r>
      <w:r w:rsidR="00B91897" w:rsidRPr="00F35D47">
        <w:rPr>
          <w:rFonts w:ascii="Arial" w:eastAsia="Calibri" w:hAnsi="Arial" w:cs="Arial"/>
          <w:bCs/>
          <w:sz w:val="22"/>
          <w:szCs w:val="22"/>
        </w:rPr>
        <w:t xml:space="preserve">e incluye </w:t>
      </w:r>
      <w:r w:rsidR="00470EFA" w:rsidRPr="00F35D47">
        <w:rPr>
          <w:rFonts w:ascii="Arial" w:eastAsia="Calibri" w:hAnsi="Arial" w:cs="Arial"/>
          <w:bCs/>
          <w:sz w:val="22"/>
          <w:szCs w:val="22"/>
        </w:rPr>
        <w:t>el capital de trabajo como</w:t>
      </w:r>
      <w:r w:rsidR="00F83CCD" w:rsidRPr="00F35D47">
        <w:rPr>
          <w:rFonts w:ascii="Arial" w:eastAsia="Calibri" w:hAnsi="Arial" w:cs="Arial"/>
          <w:bCs/>
          <w:sz w:val="22"/>
          <w:szCs w:val="22"/>
        </w:rPr>
        <w:t xml:space="preserve"> un</w:t>
      </w:r>
      <w:r w:rsidR="00470EFA" w:rsidRPr="00F35D47">
        <w:rPr>
          <w:rFonts w:ascii="Arial" w:eastAsia="Calibri" w:hAnsi="Arial" w:cs="Arial"/>
          <w:bCs/>
          <w:sz w:val="22"/>
          <w:szCs w:val="22"/>
        </w:rPr>
        <w:t xml:space="preserve"> requisito habilitante</w:t>
      </w:r>
      <w:r w:rsidR="00A24C7E" w:rsidRPr="00F35D47">
        <w:rPr>
          <w:rFonts w:ascii="Arial" w:eastAsia="Calibri" w:hAnsi="Arial" w:cs="Arial"/>
          <w:bCs/>
          <w:sz w:val="22"/>
          <w:szCs w:val="22"/>
        </w:rPr>
        <w:t>,</w:t>
      </w:r>
      <w:r w:rsidR="00F83CCD" w:rsidRPr="00F35D47">
        <w:rPr>
          <w:rFonts w:ascii="Arial" w:eastAsia="Calibri" w:hAnsi="Arial" w:cs="Arial"/>
          <w:bCs/>
          <w:sz w:val="22"/>
          <w:szCs w:val="22"/>
        </w:rPr>
        <w:t xml:space="preserve"> ya que sirve de </w:t>
      </w:r>
      <w:r w:rsidR="003E060B" w:rsidRPr="00F35D47">
        <w:rPr>
          <w:rFonts w:ascii="Arial" w:eastAsia="Calibri" w:hAnsi="Arial" w:cs="Arial"/>
          <w:bCs/>
          <w:sz w:val="22"/>
          <w:szCs w:val="22"/>
        </w:rPr>
        <w:t>indicador</w:t>
      </w:r>
      <w:r w:rsidR="00A24C7E" w:rsidRPr="00F35D47">
        <w:rPr>
          <w:rFonts w:ascii="Arial" w:eastAsia="Calibri" w:hAnsi="Arial" w:cs="Arial"/>
          <w:bCs/>
          <w:sz w:val="22"/>
          <w:szCs w:val="22"/>
        </w:rPr>
        <w:t xml:space="preserve"> </w:t>
      </w:r>
      <w:r w:rsidR="00F83CCD" w:rsidRPr="00F35D47">
        <w:rPr>
          <w:rFonts w:ascii="Arial" w:eastAsia="Calibri" w:hAnsi="Arial" w:cs="Arial"/>
          <w:bCs/>
          <w:sz w:val="22"/>
          <w:szCs w:val="22"/>
        </w:rPr>
        <w:t xml:space="preserve">para examinar </w:t>
      </w:r>
      <w:r w:rsidR="003E060B" w:rsidRPr="00F35D47">
        <w:rPr>
          <w:rFonts w:ascii="Arial" w:eastAsia="Calibri" w:hAnsi="Arial" w:cs="Arial"/>
          <w:bCs/>
          <w:sz w:val="22"/>
          <w:szCs w:val="22"/>
        </w:rPr>
        <w:t>la liquidez operativa que posee el proponente</w:t>
      </w:r>
      <w:r w:rsidR="00A24C7E" w:rsidRPr="00F35D47">
        <w:rPr>
          <w:rFonts w:ascii="Arial" w:eastAsia="Calibri" w:hAnsi="Arial" w:cs="Arial"/>
          <w:bCs/>
          <w:sz w:val="22"/>
          <w:szCs w:val="22"/>
        </w:rPr>
        <w:t>.</w:t>
      </w:r>
      <w:r w:rsidR="00513EEE" w:rsidRPr="00F35D47">
        <w:rPr>
          <w:rFonts w:ascii="Arial" w:eastAsia="Calibri" w:hAnsi="Arial" w:cs="Arial"/>
          <w:bCs/>
          <w:sz w:val="22"/>
          <w:szCs w:val="22"/>
        </w:rPr>
        <w:t xml:space="preserve"> Es decir, </w:t>
      </w:r>
      <w:r w:rsidR="003E060B" w:rsidRPr="00F35D47">
        <w:rPr>
          <w:rFonts w:ascii="Arial" w:eastAsia="Calibri" w:hAnsi="Arial" w:cs="Arial"/>
          <w:bCs/>
          <w:sz w:val="22"/>
          <w:szCs w:val="22"/>
        </w:rPr>
        <w:t xml:space="preserve">el capital de trabajo es considerado como los recursos operativos y económicos de los cuales dispone </w:t>
      </w:r>
      <w:r w:rsidR="00513EEE" w:rsidRPr="00F35D47">
        <w:rPr>
          <w:rFonts w:ascii="Arial" w:eastAsia="Calibri" w:hAnsi="Arial" w:cs="Arial"/>
          <w:bCs/>
          <w:sz w:val="22"/>
          <w:szCs w:val="22"/>
        </w:rPr>
        <w:t xml:space="preserve">el proponente, </w:t>
      </w:r>
      <w:r w:rsidR="003E060B" w:rsidRPr="00F35D47">
        <w:rPr>
          <w:rFonts w:ascii="Arial" w:eastAsia="Calibri" w:hAnsi="Arial" w:cs="Arial"/>
          <w:bCs/>
          <w:sz w:val="22"/>
          <w:szCs w:val="22"/>
        </w:rPr>
        <w:t xml:space="preserve">futuro </w:t>
      </w:r>
      <w:r w:rsidR="00513EEE" w:rsidRPr="00F35D47">
        <w:rPr>
          <w:rFonts w:ascii="Arial" w:eastAsia="Calibri" w:hAnsi="Arial" w:cs="Arial"/>
          <w:bCs/>
          <w:sz w:val="22"/>
          <w:szCs w:val="22"/>
        </w:rPr>
        <w:t xml:space="preserve">contratista, </w:t>
      </w:r>
      <w:r w:rsidR="003E060B" w:rsidRPr="00F35D47">
        <w:rPr>
          <w:rFonts w:ascii="Arial" w:eastAsia="Calibri" w:hAnsi="Arial" w:cs="Arial"/>
          <w:bCs/>
          <w:sz w:val="22"/>
          <w:szCs w:val="22"/>
        </w:rPr>
        <w:t>para su operación</w:t>
      </w:r>
      <w:r w:rsidR="00395B41" w:rsidRPr="00F35D47">
        <w:rPr>
          <w:rFonts w:ascii="Arial" w:eastAsia="Calibri" w:hAnsi="Arial" w:cs="Arial"/>
          <w:bCs/>
          <w:sz w:val="22"/>
          <w:szCs w:val="22"/>
        </w:rPr>
        <w:t>. A</w:t>
      </w:r>
      <w:r w:rsidR="003E060B" w:rsidRPr="00F35D47">
        <w:rPr>
          <w:rFonts w:ascii="Arial" w:eastAsia="Calibri" w:hAnsi="Arial" w:cs="Arial"/>
          <w:bCs/>
          <w:sz w:val="22"/>
          <w:szCs w:val="22"/>
        </w:rPr>
        <w:t xml:space="preserve">l tener un capital de trabajo positivo </w:t>
      </w:r>
      <w:r w:rsidR="00395B41" w:rsidRPr="00F35D47">
        <w:rPr>
          <w:rFonts w:ascii="Arial" w:eastAsia="Calibri" w:hAnsi="Arial" w:cs="Arial"/>
          <w:bCs/>
          <w:sz w:val="22"/>
          <w:szCs w:val="22"/>
        </w:rPr>
        <w:t>é</w:t>
      </w:r>
      <w:r w:rsidR="003E060B" w:rsidRPr="00F35D47">
        <w:rPr>
          <w:rFonts w:ascii="Arial" w:eastAsia="Calibri" w:hAnsi="Arial" w:cs="Arial"/>
          <w:bCs/>
          <w:sz w:val="22"/>
          <w:szCs w:val="22"/>
        </w:rPr>
        <w:t>ste puede contribuir de manera satisfactoria en la actividad económica del proponente, permitiendo a la Entidad Estatal analizar el nivel de liquidez en términos absolutos.</w:t>
      </w:r>
    </w:p>
    <w:p w14:paraId="4216AF4F" w14:textId="56107EBC" w:rsidR="00EF6EE6" w:rsidRPr="00F35D47" w:rsidRDefault="00EF6EE6" w:rsidP="00A022D8">
      <w:pPr>
        <w:spacing w:after="120" w:line="276" w:lineRule="auto"/>
        <w:ind w:firstLine="709"/>
        <w:jc w:val="both"/>
        <w:rPr>
          <w:rFonts w:ascii="Arial" w:eastAsia="Calibri" w:hAnsi="Arial" w:cs="Arial"/>
          <w:color w:val="000000"/>
          <w:sz w:val="22"/>
          <w:szCs w:val="22"/>
          <w:lang w:val="es-ES_tradnl"/>
        </w:rPr>
      </w:pPr>
      <w:r w:rsidRPr="00F35D47">
        <w:rPr>
          <w:rFonts w:ascii="Arial" w:eastAsia="Calibri" w:hAnsi="Arial" w:cs="Arial"/>
          <w:color w:val="000000"/>
          <w:sz w:val="22"/>
          <w:szCs w:val="22"/>
          <w:lang w:val="es-ES_tradnl"/>
        </w:rPr>
        <w:t>En este sentido, la decisión sobre la inclusión de indicadores adicionales corresponderá a cada entidad estatal y deberá ser producto del análisis correspondiente</w:t>
      </w:r>
      <w:r w:rsidR="00A022D8" w:rsidRPr="00F35D47">
        <w:rPr>
          <w:rFonts w:ascii="Arial" w:eastAsia="Calibri" w:hAnsi="Arial" w:cs="Arial"/>
          <w:color w:val="000000"/>
          <w:sz w:val="22"/>
          <w:szCs w:val="22"/>
          <w:lang w:val="es-ES_tradnl"/>
        </w:rPr>
        <w:t xml:space="preserve">. Como resultado del análisis las entidades gozan de autonomía </w:t>
      </w:r>
      <w:r w:rsidRPr="00F35D47">
        <w:rPr>
          <w:rFonts w:ascii="Arial" w:eastAsia="Calibri" w:hAnsi="Arial" w:cs="Arial"/>
          <w:color w:val="000000"/>
          <w:sz w:val="22"/>
          <w:szCs w:val="22"/>
          <w:lang w:val="es-ES_tradnl"/>
        </w:rPr>
        <w:t>para incluir el capital de trabajo como indicador adicional</w:t>
      </w:r>
      <w:r w:rsidR="00A022D8" w:rsidRPr="00F35D47">
        <w:rPr>
          <w:rFonts w:ascii="Arial" w:eastAsia="Calibri" w:hAnsi="Arial" w:cs="Arial"/>
          <w:color w:val="000000"/>
          <w:sz w:val="22"/>
          <w:szCs w:val="22"/>
          <w:lang w:val="es-ES_tradnl"/>
        </w:rPr>
        <w:t xml:space="preserve">. Si la entidad así lo </w:t>
      </w:r>
      <w:r w:rsidR="00B37A14" w:rsidRPr="00F35D47">
        <w:rPr>
          <w:rFonts w:ascii="Arial" w:eastAsia="Calibri" w:hAnsi="Arial" w:cs="Arial"/>
          <w:color w:val="000000"/>
          <w:sz w:val="22"/>
          <w:szCs w:val="22"/>
          <w:lang w:val="es-ES_tradnl"/>
        </w:rPr>
        <w:t>considera</w:t>
      </w:r>
      <w:r w:rsidR="00A022D8" w:rsidRPr="00F35D47">
        <w:rPr>
          <w:rFonts w:ascii="Arial" w:eastAsia="Calibri" w:hAnsi="Arial" w:cs="Arial"/>
          <w:color w:val="000000"/>
          <w:sz w:val="22"/>
          <w:szCs w:val="22"/>
          <w:lang w:val="es-ES_tradnl"/>
        </w:rPr>
        <w:t xml:space="preserve"> el capital de </w:t>
      </w:r>
      <w:proofErr w:type="gramStart"/>
      <w:r w:rsidR="00A022D8" w:rsidRPr="00F35D47">
        <w:rPr>
          <w:rFonts w:ascii="Arial" w:eastAsia="Calibri" w:hAnsi="Arial" w:cs="Arial"/>
          <w:color w:val="000000"/>
          <w:sz w:val="22"/>
          <w:szCs w:val="22"/>
          <w:lang w:val="es-ES_tradnl"/>
        </w:rPr>
        <w:t>trabajo</w:t>
      </w:r>
      <w:r w:rsidRPr="00F35D47">
        <w:rPr>
          <w:rFonts w:ascii="Arial" w:eastAsia="Calibri" w:hAnsi="Arial" w:cs="Arial"/>
          <w:color w:val="000000"/>
          <w:sz w:val="22"/>
          <w:szCs w:val="22"/>
          <w:lang w:val="es-ES_tradnl"/>
        </w:rPr>
        <w:t xml:space="preserve">  constituirá</w:t>
      </w:r>
      <w:proofErr w:type="gramEnd"/>
      <w:r w:rsidRPr="00F35D47">
        <w:rPr>
          <w:rFonts w:ascii="Arial" w:eastAsia="Calibri" w:hAnsi="Arial" w:cs="Arial"/>
          <w:color w:val="000000"/>
          <w:sz w:val="22"/>
          <w:szCs w:val="22"/>
          <w:lang w:val="es-ES_tradnl"/>
        </w:rPr>
        <w:t xml:space="preserve"> uno de los factores que medirá la fortaleza financiera del proponente, y para este se emplearía la fórmula: «Activo corriente - Pasivo corriente», como se precisa en el </w:t>
      </w:r>
      <w:r w:rsidRPr="00F35D47">
        <w:rPr>
          <w:rFonts w:ascii="Arial" w:eastAsia="Calibri" w:hAnsi="Arial" w:cs="Arial"/>
          <w:color w:val="000000"/>
          <w:sz w:val="22"/>
          <w:szCs w:val="22"/>
          <w:lang w:val="es-ES_tradnl"/>
        </w:rPr>
        <w:lastRenderedPageBreak/>
        <w:t>«Manual para determinar y verificar los requisitos habilitantes en los Procesos de Contratación», expedido por esta Agencia, en el que se describe el capital de trabajo, en los siguientes términos:</w:t>
      </w:r>
    </w:p>
    <w:p w14:paraId="7B505392" w14:textId="77777777" w:rsidR="00EF6EE6" w:rsidRDefault="00EF6EE6" w:rsidP="00EF6EE6">
      <w:pPr>
        <w:ind w:left="709" w:right="709"/>
        <w:jc w:val="both"/>
        <w:rPr>
          <w:rFonts w:ascii="Arial" w:eastAsia="Calibri" w:hAnsi="Arial" w:cs="Arial"/>
          <w:color w:val="000000"/>
          <w:sz w:val="21"/>
          <w:szCs w:val="21"/>
          <w:lang w:val="es-ES_tradnl"/>
        </w:rPr>
      </w:pPr>
      <w:r w:rsidRPr="00B865D7">
        <w:rPr>
          <w:rFonts w:ascii="Arial" w:eastAsia="Calibri" w:hAnsi="Arial" w:cs="Arial"/>
          <w:color w:val="000000"/>
          <w:sz w:val="21"/>
          <w:szCs w:val="21"/>
          <w:lang w:val="es-ES_tradnl"/>
        </w:rPr>
        <w:t>Este indicador representa la liquidez operativa del proponente, es decir el remanente del proponente luego de liquidar sus activos corrientes (convertirlos en efectivo) y pagar el pasivo de corto plazo. Un capital de trabajo positivo contribuye con el desarrollo eficiente de la actividad económica del proponente. Es recomendable su uso cuando la Entidad Estatal requiere analizar el nivel de liquidez en términos absolutos.</w:t>
      </w:r>
    </w:p>
    <w:p w14:paraId="53A2FB21" w14:textId="77777777" w:rsidR="00EF6EE6" w:rsidRPr="00B865D7" w:rsidRDefault="00EF6EE6" w:rsidP="00EF6EE6">
      <w:pPr>
        <w:ind w:left="709" w:right="709"/>
        <w:jc w:val="both"/>
        <w:rPr>
          <w:rFonts w:ascii="Arial" w:eastAsia="Calibri" w:hAnsi="Arial" w:cs="Arial"/>
          <w:color w:val="000000"/>
          <w:sz w:val="21"/>
          <w:szCs w:val="21"/>
          <w:lang w:val="es-ES_tradnl"/>
        </w:rPr>
      </w:pPr>
    </w:p>
    <w:p w14:paraId="2E88FAD4" w14:textId="2401CB09" w:rsidR="00EF6EE6" w:rsidRDefault="00EF6EE6" w:rsidP="00A87197">
      <w:pPr>
        <w:spacing w:after="120" w:line="276" w:lineRule="auto"/>
        <w:ind w:firstLine="709"/>
        <w:jc w:val="both"/>
        <w:rPr>
          <w:rFonts w:ascii="Arial" w:eastAsia="Calibri" w:hAnsi="Arial" w:cs="Arial"/>
          <w:color w:val="000000"/>
          <w:sz w:val="22"/>
          <w:szCs w:val="22"/>
          <w:lang w:val="es-ES_tradnl"/>
        </w:rPr>
      </w:pPr>
      <w:r w:rsidRPr="00F35D47">
        <w:rPr>
          <w:rFonts w:ascii="Arial" w:eastAsia="Calibri" w:hAnsi="Arial" w:cs="Arial"/>
          <w:color w:val="000000"/>
          <w:sz w:val="22"/>
          <w:szCs w:val="22"/>
          <w:lang w:val="es-ES_tradnl"/>
        </w:rPr>
        <w:t>En suma, las entidades estatales son autónomas en la estructuración de sus procedimientos contractuales, por lo cual, en sus pliegos de condiciones o documentos equivalentes pueden establecer los indicadores financieros y organizacionales necesarios, pudiendo incluir dentro de los primeros el capital de trabajo, recomendado en aquellos casos en los que de acuerdo con el análisis efectuado por la entidad, conviene valorar el nivel de liquidez en términos absolutos, velando siempre por la correspondencia entre los indicadores establecidos y el futuro contrato, de manera que la acreditación de aquellos permita dar cumplimiento a este último.</w:t>
      </w:r>
    </w:p>
    <w:p w14:paraId="50E3EFA1" w14:textId="238BEDC8" w:rsidR="00EF6EE6" w:rsidRPr="0020408A" w:rsidRDefault="00B03950" w:rsidP="0020408A">
      <w:pPr>
        <w:spacing w:line="276" w:lineRule="auto"/>
        <w:ind w:firstLine="709"/>
        <w:jc w:val="both"/>
        <w:rPr>
          <w:rFonts w:ascii="Arial" w:eastAsia="Calibri" w:hAnsi="Arial" w:cs="Arial"/>
          <w:color w:val="000000"/>
          <w:sz w:val="22"/>
          <w:szCs w:val="22"/>
          <w:lang w:val="es-ES_tradnl"/>
        </w:rPr>
      </w:pPr>
      <w:r>
        <w:rPr>
          <w:rFonts w:ascii="Arial" w:eastAsia="Calibri" w:hAnsi="Arial" w:cs="Arial"/>
          <w:color w:val="000000"/>
          <w:sz w:val="22"/>
          <w:szCs w:val="22"/>
          <w:lang w:val="es-ES_tradnl"/>
        </w:rPr>
        <w:t>E</w:t>
      </w:r>
      <w:r w:rsidR="0020408A">
        <w:rPr>
          <w:rFonts w:ascii="Arial" w:eastAsia="Calibri" w:hAnsi="Arial" w:cs="Arial"/>
          <w:color w:val="000000"/>
          <w:sz w:val="22"/>
          <w:szCs w:val="22"/>
          <w:lang w:val="es-ES_tradnl"/>
        </w:rPr>
        <w:t>n relación con las preguntas finales de la consulta, se observa que las mismas no versan en estricto sentido con el capital de trabajo como índice evaluable de la capacidad financiera de un proponente en la etapa precontractual</w:t>
      </w:r>
      <w:r w:rsidR="007F60F8">
        <w:rPr>
          <w:rFonts w:ascii="Arial" w:eastAsia="Calibri" w:hAnsi="Arial" w:cs="Arial"/>
          <w:color w:val="000000"/>
          <w:sz w:val="22"/>
          <w:szCs w:val="22"/>
          <w:lang w:val="es-ES_tradnl"/>
        </w:rPr>
        <w:t>,</w:t>
      </w:r>
      <w:r w:rsidR="0020408A">
        <w:rPr>
          <w:rFonts w:ascii="Arial" w:eastAsia="Calibri" w:hAnsi="Arial" w:cs="Arial"/>
          <w:color w:val="000000"/>
          <w:sz w:val="22"/>
          <w:szCs w:val="22"/>
          <w:lang w:val="es-ES_tradnl"/>
        </w:rPr>
        <w:t xml:space="preserve"> sino con la eventual incidencia o impacto que tendría una mora o retardo en el pago de la contraprestación a cargo de la entidad contratante en las finanzas del contratista durante el plazo de ejecución de un contrato de obra pública. Este último evento se circunscribe </w:t>
      </w:r>
      <w:r w:rsidR="007F60F8">
        <w:rPr>
          <w:rFonts w:ascii="Arial" w:eastAsia="Calibri" w:hAnsi="Arial" w:cs="Arial"/>
          <w:color w:val="000000"/>
          <w:sz w:val="22"/>
          <w:szCs w:val="22"/>
          <w:lang w:val="es-ES_tradnl"/>
        </w:rPr>
        <w:t>a</w:t>
      </w:r>
      <w:r w:rsidR="0020408A">
        <w:rPr>
          <w:rFonts w:ascii="Arial" w:eastAsia="Calibri" w:hAnsi="Arial" w:cs="Arial"/>
          <w:color w:val="000000"/>
          <w:sz w:val="22"/>
          <w:szCs w:val="22"/>
          <w:lang w:val="es-ES_tradnl"/>
        </w:rPr>
        <w:t xml:space="preserve">l campo de una eventual responsabilidad contractual o de un posible desequilibrio económico del contrato, controversias concretas que son del resorte del juez del contrato y que escapan del objeto y alcance de la función consultiva de esta Agencia, delimitada en la parte inicial de las consideraciones de este concepto, por lo que </w:t>
      </w:r>
      <w:r w:rsidR="00047C51">
        <w:rPr>
          <w:rFonts w:ascii="Arial" w:eastAsia="Calibri" w:hAnsi="Arial" w:cs="Arial"/>
          <w:color w:val="000000"/>
          <w:sz w:val="22"/>
          <w:szCs w:val="22"/>
          <w:lang w:val="es-ES_tradnl"/>
        </w:rPr>
        <w:t>un</w:t>
      </w:r>
      <w:r w:rsidR="0020408A">
        <w:rPr>
          <w:rFonts w:ascii="Arial" w:eastAsia="Calibri" w:hAnsi="Arial" w:cs="Arial"/>
          <w:color w:val="000000"/>
          <w:sz w:val="22"/>
          <w:szCs w:val="22"/>
          <w:lang w:val="es-ES_tradnl"/>
        </w:rPr>
        <w:t xml:space="preserve"> </w:t>
      </w:r>
      <w:r w:rsidR="007F60F8">
        <w:rPr>
          <w:rFonts w:ascii="Arial" w:eastAsia="Calibri" w:hAnsi="Arial" w:cs="Arial"/>
          <w:color w:val="000000"/>
          <w:sz w:val="22"/>
          <w:szCs w:val="22"/>
          <w:lang w:val="es-ES_tradnl"/>
        </w:rPr>
        <w:t xml:space="preserve">pronunciamiento sobre </w:t>
      </w:r>
      <w:r w:rsidR="00047C51">
        <w:rPr>
          <w:rFonts w:ascii="Arial" w:eastAsia="Calibri" w:hAnsi="Arial" w:cs="Arial"/>
          <w:color w:val="000000"/>
          <w:sz w:val="22"/>
          <w:szCs w:val="22"/>
          <w:lang w:val="es-ES_tradnl"/>
        </w:rPr>
        <w:t xml:space="preserve">las mismas excede la función </w:t>
      </w:r>
      <w:proofErr w:type="gramStart"/>
      <w:r w:rsidR="00047C51">
        <w:rPr>
          <w:rFonts w:ascii="Arial" w:eastAsia="Calibri" w:hAnsi="Arial" w:cs="Arial"/>
          <w:color w:val="000000"/>
          <w:sz w:val="22"/>
          <w:szCs w:val="22"/>
          <w:lang w:val="es-ES_tradnl"/>
        </w:rPr>
        <w:t>consultiva.</w:t>
      </w:r>
      <w:r w:rsidR="007F60F8">
        <w:rPr>
          <w:rFonts w:ascii="Arial" w:eastAsia="Calibri" w:hAnsi="Arial" w:cs="Arial"/>
          <w:color w:val="000000"/>
          <w:sz w:val="22"/>
          <w:szCs w:val="22"/>
          <w:lang w:val="es-ES_tradnl"/>
        </w:rPr>
        <w:t>.</w:t>
      </w:r>
      <w:proofErr w:type="gramEnd"/>
      <w:r w:rsidR="0020408A">
        <w:rPr>
          <w:rFonts w:ascii="Arial" w:eastAsia="Calibri" w:hAnsi="Arial" w:cs="Arial"/>
          <w:color w:val="000000"/>
          <w:sz w:val="22"/>
          <w:szCs w:val="22"/>
          <w:lang w:val="es-ES_tradnl"/>
        </w:rPr>
        <w:t xml:space="preserve">  </w:t>
      </w:r>
    </w:p>
    <w:p w14:paraId="53A5D652" w14:textId="46E9D2B5" w:rsidR="003C7067" w:rsidRPr="00F35D47" w:rsidRDefault="003C7067" w:rsidP="007915CC">
      <w:pPr>
        <w:jc w:val="center"/>
        <w:rPr>
          <w:rFonts w:ascii="Arial" w:eastAsia="Calibri" w:hAnsi="Arial" w:cs="Arial"/>
          <w:bCs/>
          <w:sz w:val="22"/>
          <w:szCs w:val="22"/>
          <w:lang w:val="es-MX"/>
        </w:rPr>
      </w:pPr>
    </w:p>
    <w:p w14:paraId="1C1BEAFF" w14:textId="77777777" w:rsidR="003C7067" w:rsidRPr="00F35D47" w:rsidRDefault="003C7067" w:rsidP="003C7067">
      <w:pPr>
        <w:tabs>
          <w:tab w:val="left" w:pos="709"/>
        </w:tabs>
        <w:spacing w:line="276" w:lineRule="auto"/>
        <w:jc w:val="both"/>
        <w:rPr>
          <w:rFonts w:ascii="Arial" w:eastAsia="Calibri" w:hAnsi="Arial" w:cs="Arial"/>
          <w:b/>
          <w:sz w:val="22"/>
          <w:szCs w:val="22"/>
          <w:lang w:val="es-ES"/>
        </w:rPr>
      </w:pPr>
      <w:r w:rsidRPr="00F35D47">
        <w:rPr>
          <w:rFonts w:ascii="Arial" w:eastAsia="Calibri" w:hAnsi="Arial" w:cs="Arial"/>
          <w:b/>
          <w:sz w:val="22"/>
          <w:szCs w:val="22"/>
          <w:lang w:val="es-ES"/>
        </w:rPr>
        <w:t>3. Respuesta</w:t>
      </w:r>
    </w:p>
    <w:p w14:paraId="7612FEFE" w14:textId="77777777" w:rsidR="003C7067" w:rsidRPr="00F35D47" w:rsidRDefault="003C7067" w:rsidP="003C7067">
      <w:pPr>
        <w:tabs>
          <w:tab w:val="left" w:pos="709"/>
        </w:tabs>
        <w:spacing w:line="276" w:lineRule="auto"/>
        <w:ind w:left="709" w:right="709"/>
        <w:jc w:val="both"/>
        <w:rPr>
          <w:rFonts w:ascii="Arial" w:eastAsia="Calibri" w:hAnsi="Arial" w:cs="Arial"/>
          <w:b/>
          <w:sz w:val="22"/>
          <w:szCs w:val="22"/>
          <w:lang w:val="es-ES"/>
        </w:rPr>
      </w:pPr>
    </w:p>
    <w:p w14:paraId="4FC79224" w14:textId="7E601B43" w:rsidR="003C7067" w:rsidRDefault="007A48A1" w:rsidP="007A48A1">
      <w:pPr>
        <w:ind w:left="709" w:right="709"/>
        <w:jc w:val="both"/>
        <w:rPr>
          <w:rFonts w:ascii="Arial" w:hAnsi="Arial" w:cs="Arial"/>
          <w:sz w:val="21"/>
          <w:szCs w:val="21"/>
          <w:lang w:val="es-ES"/>
        </w:rPr>
      </w:pPr>
      <w:r w:rsidRPr="000549D1">
        <w:rPr>
          <w:rFonts w:ascii="Arial" w:eastAsia="Calibri" w:hAnsi="Arial" w:cs="Arial"/>
          <w:sz w:val="21"/>
          <w:szCs w:val="21"/>
          <w:lang w:val="es-ES"/>
        </w:rPr>
        <w:t>«</w:t>
      </w:r>
      <w:r w:rsidR="00F35D47" w:rsidRPr="00176B51">
        <w:rPr>
          <w:rFonts w:ascii="Arial" w:hAnsi="Arial" w:cs="Arial"/>
          <w:sz w:val="21"/>
          <w:szCs w:val="21"/>
        </w:rPr>
        <w:t xml:space="preserve">Es cierto que los contratos de obra </w:t>
      </w:r>
      <w:proofErr w:type="spellStart"/>
      <w:r w:rsidR="00F35D47" w:rsidRPr="00176B51">
        <w:rPr>
          <w:rFonts w:ascii="Arial" w:hAnsi="Arial" w:cs="Arial"/>
          <w:sz w:val="21"/>
          <w:szCs w:val="21"/>
        </w:rPr>
        <w:t>publica</w:t>
      </w:r>
      <w:proofErr w:type="spellEnd"/>
      <w:r w:rsidR="00F35D47" w:rsidRPr="00176B51">
        <w:rPr>
          <w:rFonts w:ascii="Arial" w:hAnsi="Arial" w:cs="Arial"/>
          <w:sz w:val="21"/>
          <w:szCs w:val="21"/>
        </w:rPr>
        <w:t xml:space="preserve"> contienen dentro de sus aspectos</w:t>
      </w:r>
      <w:r w:rsidR="00F35D47">
        <w:rPr>
          <w:rFonts w:ascii="Arial" w:hAnsi="Arial" w:cs="Arial"/>
          <w:sz w:val="21"/>
          <w:szCs w:val="21"/>
        </w:rPr>
        <w:t xml:space="preserve"> </w:t>
      </w:r>
      <w:r w:rsidR="00F35D47" w:rsidRPr="00176B51">
        <w:rPr>
          <w:rFonts w:ascii="Arial" w:hAnsi="Arial" w:cs="Arial"/>
          <w:sz w:val="21"/>
          <w:szCs w:val="21"/>
        </w:rPr>
        <w:t xml:space="preserve">financieros una capacidad de trabajo que garantice la </w:t>
      </w:r>
      <w:proofErr w:type="spellStart"/>
      <w:r w:rsidR="00F35D47" w:rsidRPr="00176B51">
        <w:rPr>
          <w:rFonts w:ascii="Arial" w:hAnsi="Arial" w:cs="Arial"/>
          <w:sz w:val="21"/>
          <w:szCs w:val="21"/>
        </w:rPr>
        <w:t>ejecucion</w:t>
      </w:r>
      <w:proofErr w:type="spellEnd"/>
      <w:r w:rsidR="00F35D47" w:rsidRPr="00176B51">
        <w:rPr>
          <w:rFonts w:ascii="Arial" w:hAnsi="Arial" w:cs="Arial"/>
          <w:sz w:val="21"/>
          <w:szCs w:val="21"/>
        </w:rPr>
        <w:t xml:space="preserve"> de los contratos de</w:t>
      </w:r>
      <w:r w:rsidR="00F35D47">
        <w:rPr>
          <w:rFonts w:ascii="Arial" w:hAnsi="Arial" w:cs="Arial"/>
          <w:sz w:val="21"/>
          <w:szCs w:val="21"/>
        </w:rPr>
        <w:t xml:space="preserve"> </w:t>
      </w:r>
      <w:r w:rsidR="00F35D47" w:rsidRPr="00176B51">
        <w:rPr>
          <w:rFonts w:ascii="Arial" w:hAnsi="Arial" w:cs="Arial"/>
          <w:sz w:val="21"/>
          <w:szCs w:val="21"/>
        </w:rPr>
        <w:t xml:space="preserve">obras </w:t>
      </w:r>
      <w:proofErr w:type="spellStart"/>
      <w:r w:rsidR="00F35D47" w:rsidRPr="00176B51">
        <w:rPr>
          <w:rFonts w:ascii="Arial" w:hAnsi="Arial" w:cs="Arial"/>
          <w:sz w:val="21"/>
          <w:szCs w:val="21"/>
        </w:rPr>
        <w:t>publicas</w:t>
      </w:r>
      <w:proofErr w:type="spellEnd"/>
      <w:r w:rsidR="00F35D47" w:rsidRPr="00176B51">
        <w:rPr>
          <w:rFonts w:ascii="Arial" w:hAnsi="Arial" w:cs="Arial"/>
          <w:sz w:val="21"/>
          <w:szCs w:val="21"/>
        </w:rPr>
        <w:t>, mi pregunta es que si el contrato que se está realizando exige en</w:t>
      </w:r>
      <w:r w:rsidR="00F35D47">
        <w:rPr>
          <w:rFonts w:ascii="Arial" w:hAnsi="Arial" w:cs="Arial"/>
          <w:sz w:val="21"/>
          <w:szCs w:val="21"/>
        </w:rPr>
        <w:t xml:space="preserve"> </w:t>
      </w:r>
      <w:r w:rsidR="00F35D47" w:rsidRPr="00176B51">
        <w:rPr>
          <w:rFonts w:ascii="Arial" w:hAnsi="Arial" w:cs="Arial"/>
          <w:sz w:val="21"/>
          <w:szCs w:val="21"/>
        </w:rPr>
        <w:t>pliegos de condiciones un capital de trabajo del 10% del presupuesto oficial, la entidad</w:t>
      </w:r>
      <w:r w:rsidR="00F35D47">
        <w:rPr>
          <w:rFonts w:ascii="Arial" w:hAnsi="Arial" w:cs="Arial"/>
          <w:sz w:val="21"/>
          <w:szCs w:val="21"/>
        </w:rPr>
        <w:t xml:space="preserve"> </w:t>
      </w:r>
      <w:r w:rsidR="00F35D47" w:rsidRPr="00176B51">
        <w:rPr>
          <w:rFonts w:ascii="Arial" w:hAnsi="Arial" w:cs="Arial"/>
          <w:sz w:val="21"/>
          <w:szCs w:val="21"/>
        </w:rPr>
        <w:t xml:space="preserve">puede exigirme </w:t>
      </w:r>
      <w:proofErr w:type="spellStart"/>
      <w:r w:rsidR="00F35D47" w:rsidRPr="00176B51">
        <w:rPr>
          <w:rFonts w:ascii="Arial" w:hAnsi="Arial" w:cs="Arial"/>
          <w:sz w:val="21"/>
          <w:szCs w:val="21"/>
        </w:rPr>
        <w:t>mas</w:t>
      </w:r>
      <w:proofErr w:type="spellEnd"/>
      <w:r w:rsidR="00F35D47" w:rsidRPr="00176B51">
        <w:rPr>
          <w:rFonts w:ascii="Arial" w:hAnsi="Arial" w:cs="Arial"/>
          <w:sz w:val="21"/>
          <w:szCs w:val="21"/>
        </w:rPr>
        <w:t xml:space="preserve"> capacidad al momento de la </w:t>
      </w:r>
      <w:proofErr w:type="spellStart"/>
      <w:r w:rsidR="00F35D47" w:rsidRPr="00176B51">
        <w:rPr>
          <w:rFonts w:ascii="Arial" w:hAnsi="Arial" w:cs="Arial"/>
          <w:sz w:val="21"/>
          <w:szCs w:val="21"/>
        </w:rPr>
        <w:t>ejecucion</w:t>
      </w:r>
      <w:proofErr w:type="spellEnd"/>
      <w:r w:rsidR="00F35D47" w:rsidRPr="00176B51">
        <w:rPr>
          <w:rFonts w:ascii="Arial" w:hAnsi="Arial" w:cs="Arial"/>
          <w:sz w:val="21"/>
          <w:szCs w:val="21"/>
        </w:rPr>
        <w:t xml:space="preserve"> de la </w:t>
      </w:r>
      <w:proofErr w:type="gramStart"/>
      <w:r w:rsidR="00F35D47" w:rsidRPr="00176B51">
        <w:rPr>
          <w:rFonts w:ascii="Arial" w:hAnsi="Arial" w:cs="Arial"/>
          <w:sz w:val="21"/>
          <w:szCs w:val="21"/>
        </w:rPr>
        <w:t>obra ?</w:t>
      </w:r>
      <w:proofErr w:type="gramEnd"/>
      <w:r w:rsidR="00F35D47" w:rsidRPr="00176B51">
        <w:rPr>
          <w:rFonts w:ascii="Arial" w:hAnsi="Arial" w:cs="Arial"/>
          <w:sz w:val="21"/>
          <w:szCs w:val="21"/>
        </w:rPr>
        <w:t xml:space="preserve"> Es decir, en</w:t>
      </w:r>
      <w:r w:rsidR="00F35D47">
        <w:rPr>
          <w:rFonts w:ascii="Arial" w:hAnsi="Arial" w:cs="Arial"/>
          <w:sz w:val="21"/>
          <w:szCs w:val="21"/>
        </w:rPr>
        <w:t xml:space="preserve"> </w:t>
      </w:r>
      <w:proofErr w:type="spellStart"/>
      <w:r w:rsidR="00F35D47" w:rsidRPr="00176B51">
        <w:rPr>
          <w:rFonts w:ascii="Arial" w:hAnsi="Arial" w:cs="Arial"/>
          <w:sz w:val="21"/>
          <w:szCs w:val="21"/>
        </w:rPr>
        <w:t>algun</w:t>
      </w:r>
      <w:proofErr w:type="spellEnd"/>
      <w:r w:rsidR="00F35D47" w:rsidRPr="00176B51">
        <w:rPr>
          <w:rFonts w:ascii="Arial" w:hAnsi="Arial" w:cs="Arial"/>
          <w:sz w:val="21"/>
          <w:szCs w:val="21"/>
        </w:rPr>
        <w:t xml:space="preserve"> momento de acuerdo a la capacidad financiera del consorcio, los recursos</w:t>
      </w:r>
      <w:r w:rsidR="00F35D47">
        <w:rPr>
          <w:rFonts w:ascii="Arial" w:hAnsi="Arial" w:cs="Arial"/>
          <w:sz w:val="21"/>
          <w:szCs w:val="21"/>
        </w:rPr>
        <w:t xml:space="preserve"> </w:t>
      </w:r>
      <w:r w:rsidR="00F35D47" w:rsidRPr="00176B51">
        <w:rPr>
          <w:rFonts w:ascii="Arial" w:hAnsi="Arial" w:cs="Arial"/>
          <w:sz w:val="21"/>
          <w:szCs w:val="21"/>
        </w:rPr>
        <w:t xml:space="preserve">pueden terminarse si la entidad contratante no realiza los pagos a tiempo. </w:t>
      </w:r>
      <w:r w:rsidR="00F35D47">
        <w:rPr>
          <w:rFonts w:ascii="Arial" w:hAnsi="Arial" w:cs="Arial"/>
          <w:sz w:val="21"/>
          <w:szCs w:val="21"/>
        </w:rPr>
        <w:t xml:space="preserve">podría </w:t>
      </w:r>
      <w:r w:rsidR="00F35D47" w:rsidRPr="00176B51">
        <w:rPr>
          <w:rFonts w:ascii="Arial" w:hAnsi="Arial" w:cs="Arial"/>
          <w:sz w:val="21"/>
          <w:szCs w:val="21"/>
        </w:rPr>
        <w:t xml:space="preserve">considerarse una indebida </w:t>
      </w:r>
      <w:proofErr w:type="spellStart"/>
      <w:r w:rsidR="00F35D47" w:rsidRPr="00176B51">
        <w:rPr>
          <w:rFonts w:ascii="Arial" w:hAnsi="Arial" w:cs="Arial"/>
          <w:sz w:val="21"/>
          <w:szCs w:val="21"/>
        </w:rPr>
        <w:t>planeacion</w:t>
      </w:r>
      <w:proofErr w:type="spellEnd"/>
      <w:r w:rsidR="00F35D47" w:rsidRPr="00176B51">
        <w:rPr>
          <w:rFonts w:ascii="Arial" w:hAnsi="Arial" w:cs="Arial"/>
          <w:sz w:val="21"/>
          <w:szCs w:val="21"/>
        </w:rPr>
        <w:t xml:space="preserve"> financiera si los pagos no son congruentes con</w:t>
      </w:r>
      <w:r w:rsidR="00F35D47">
        <w:rPr>
          <w:rFonts w:ascii="Arial" w:hAnsi="Arial" w:cs="Arial"/>
          <w:sz w:val="21"/>
          <w:szCs w:val="21"/>
        </w:rPr>
        <w:t xml:space="preserve"> </w:t>
      </w:r>
      <w:r w:rsidR="00F35D47" w:rsidRPr="00176B51">
        <w:rPr>
          <w:rFonts w:ascii="Arial" w:hAnsi="Arial" w:cs="Arial"/>
          <w:sz w:val="21"/>
          <w:szCs w:val="21"/>
        </w:rPr>
        <w:t>los plazos contractuales</w:t>
      </w:r>
      <w:r w:rsidRPr="000549D1">
        <w:rPr>
          <w:rFonts w:ascii="Arial" w:hAnsi="Arial" w:cs="Arial"/>
          <w:sz w:val="21"/>
          <w:szCs w:val="21"/>
          <w:lang w:val="es-ES"/>
        </w:rPr>
        <w:t>»</w:t>
      </w:r>
      <w:r w:rsidR="00F35D47">
        <w:rPr>
          <w:rFonts w:ascii="Arial" w:hAnsi="Arial" w:cs="Arial"/>
          <w:sz w:val="21"/>
          <w:szCs w:val="21"/>
          <w:lang w:val="es-ES"/>
        </w:rPr>
        <w:t xml:space="preserve"> [sic]</w:t>
      </w:r>
      <w:r w:rsidRPr="000549D1">
        <w:rPr>
          <w:rFonts w:ascii="Arial" w:hAnsi="Arial" w:cs="Arial"/>
          <w:sz w:val="21"/>
          <w:szCs w:val="21"/>
          <w:lang w:val="es-ES"/>
        </w:rPr>
        <w:t>.</w:t>
      </w:r>
    </w:p>
    <w:p w14:paraId="4D14D2E3" w14:textId="77777777" w:rsidR="004F20FB" w:rsidRPr="000549D1" w:rsidRDefault="004F20FB" w:rsidP="007A48A1">
      <w:pPr>
        <w:ind w:left="709" w:right="709"/>
        <w:jc w:val="both"/>
        <w:rPr>
          <w:rFonts w:ascii="Arial" w:hAnsi="Arial" w:cs="Arial"/>
          <w:sz w:val="21"/>
          <w:szCs w:val="21"/>
          <w:lang w:val="es-ES"/>
        </w:rPr>
      </w:pPr>
    </w:p>
    <w:p w14:paraId="3E19EF75" w14:textId="17C6DC97" w:rsidR="00E8399C" w:rsidRPr="00E8399C" w:rsidRDefault="007F60F8" w:rsidP="00A87197">
      <w:pPr>
        <w:spacing w:after="120" w:line="276" w:lineRule="auto"/>
        <w:jc w:val="both"/>
        <w:rPr>
          <w:rFonts w:ascii="Arial" w:hAnsi="Arial" w:cs="Arial"/>
          <w:color w:val="000000"/>
          <w:sz w:val="22"/>
          <w:szCs w:val="22"/>
          <w:shd w:val="clear" w:color="auto" w:fill="FFFFFF"/>
          <w:lang w:val="es-ES_tradnl"/>
        </w:rPr>
      </w:pPr>
      <w:r>
        <w:rPr>
          <w:rFonts w:ascii="Arial" w:hAnsi="Arial" w:cs="Arial"/>
          <w:color w:val="000000"/>
          <w:sz w:val="22"/>
          <w:szCs w:val="22"/>
          <w:shd w:val="clear" w:color="auto" w:fill="FFFFFF"/>
        </w:rPr>
        <w:t xml:space="preserve">Con base en las consideraciones anteriores, en primer lugar se aclara que </w:t>
      </w:r>
      <w:r w:rsidR="00E8399C" w:rsidRPr="00E8399C">
        <w:rPr>
          <w:rFonts w:ascii="Arial" w:hAnsi="Arial" w:cs="Arial"/>
          <w:color w:val="000000"/>
          <w:sz w:val="22"/>
          <w:szCs w:val="22"/>
          <w:shd w:val="clear" w:color="auto" w:fill="FFFFFF"/>
          <w:lang w:val="es-ES_tradnl"/>
        </w:rPr>
        <w:t>la entidad</w:t>
      </w:r>
      <w:r>
        <w:rPr>
          <w:rFonts w:ascii="Arial" w:hAnsi="Arial" w:cs="Arial"/>
          <w:color w:val="000000"/>
          <w:sz w:val="22"/>
          <w:szCs w:val="22"/>
          <w:shd w:val="clear" w:color="auto" w:fill="FFFFFF"/>
          <w:lang w:val="es-ES_tradnl"/>
        </w:rPr>
        <w:t xml:space="preserve"> contratante</w:t>
      </w:r>
      <w:r w:rsidR="00E8399C" w:rsidRPr="00E8399C">
        <w:rPr>
          <w:rFonts w:ascii="Arial" w:hAnsi="Arial" w:cs="Arial"/>
          <w:color w:val="000000"/>
          <w:sz w:val="22"/>
          <w:szCs w:val="22"/>
          <w:shd w:val="clear" w:color="auto" w:fill="FFFFFF"/>
          <w:lang w:val="es-ES_tradnl"/>
        </w:rPr>
        <w:t>, como responsable de la estructuración de</w:t>
      </w:r>
      <w:r>
        <w:rPr>
          <w:rFonts w:ascii="Arial" w:hAnsi="Arial" w:cs="Arial"/>
          <w:color w:val="000000"/>
          <w:sz w:val="22"/>
          <w:szCs w:val="22"/>
          <w:shd w:val="clear" w:color="auto" w:fill="FFFFFF"/>
          <w:lang w:val="es-ES_tradnl"/>
        </w:rPr>
        <w:t>l</w:t>
      </w:r>
      <w:r w:rsidR="00E8399C" w:rsidRPr="00E8399C">
        <w:rPr>
          <w:rFonts w:ascii="Arial" w:hAnsi="Arial" w:cs="Arial"/>
          <w:color w:val="000000"/>
          <w:sz w:val="22"/>
          <w:szCs w:val="22"/>
          <w:shd w:val="clear" w:color="auto" w:fill="FFFFFF"/>
          <w:lang w:val="es-ES_tradnl"/>
        </w:rPr>
        <w:t xml:space="preserve"> procedimiento de selección, es autónoma para requerir la capacidad financiera y la capacidad organizacional necesaria de acuerdo con el objeto contractual que se pretende satisfacer. Según el artículo 2.2.1.1.1.6.2 del Decreto 1082 de 2015, la entidad debe tener en cuenta, para la determinación de la capacidad financiera y organizacional, el estudio del sector y sus componentes como la identificación de riesgos y el mercado y precio del bien, obra o servicio a contratar.</w:t>
      </w:r>
    </w:p>
    <w:p w14:paraId="03F4B676" w14:textId="65B989E5" w:rsidR="00DC6407" w:rsidRPr="007F60F8" w:rsidRDefault="00E8399C" w:rsidP="007F60F8">
      <w:pPr>
        <w:spacing w:before="120" w:after="120" w:line="276" w:lineRule="auto"/>
        <w:ind w:firstLine="708"/>
        <w:jc w:val="both"/>
        <w:rPr>
          <w:rFonts w:ascii="Arial" w:hAnsi="Arial" w:cs="Arial"/>
          <w:color w:val="000000"/>
          <w:sz w:val="22"/>
          <w:szCs w:val="22"/>
          <w:shd w:val="clear" w:color="auto" w:fill="FFFFFF"/>
          <w:lang w:val="es-ES_tradnl"/>
        </w:rPr>
      </w:pPr>
      <w:r w:rsidRPr="00E8399C">
        <w:rPr>
          <w:rFonts w:ascii="Arial" w:hAnsi="Arial" w:cs="Arial"/>
          <w:color w:val="000000"/>
          <w:sz w:val="22"/>
          <w:szCs w:val="22"/>
          <w:shd w:val="clear" w:color="auto" w:fill="FFFFFF"/>
          <w:lang w:val="es-ES_tradnl"/>
        </w:rPr>
        <w:t>La capacidad financiera se deriva del comportamiento contable de la empresa, su liquidez y endeudamiento, para determinar que sus recursos y solidez financiera le permita cumplir los compromisos que adquiera. Como explica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proofErr w:type="gramStart"/>
      <w:r w:rsidRPr="00E8399C">
        <w:rPr>
          <w:rFonts w:ascii="Arial" w:hAnsi="Arial" w:cs="Arial"/>
          <w:color w:val="000000"/>
          <w:sz w:val="22"/>
          <w:szCs w:val="22"/>
          <w:shd w:val="clear" w:color="auto" w:fill="FFFFFF"/>
          <w:lang w:val="es-ES_tradnl"/>
        </w:rPr>
        <w:t>» .</w:t>
      </w:r>
      <w:proofErr w:type="gramEnd"/>
      <w:r w:rsidRPr="00E8399C">
        <w:rPr>
          <w:rFonts w:ascii="Arial" w:hAnsi="Arial" w:cs="Arial"/>
          <w:color w:val="000000"/>
          <w:sz w:val="22"/>
          <w:szCs w:val="22"/>
          <w:shd w:val="clear" w:color="auto" w:fill="FFFFFF"/>
          <w:lang w:val="es-ES_tradnl"/>
        </w:rPr>
        <w:t xml:space="preserve">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007F60F8">
        <w:rPr>
          <w:rFonts w:ascii="Arial" w:hAnsi="Arial" w:cs="Arial"/>
          <w:color w:val="000000"/>
          <w:sz w:val="22"/>
          <w:szCs w:val="22"/>
          <w:shd w:val="clear" w:color="auto" w:fill="FFFFFF"/>
          <w:lang w:val="es-ES_tradnl"/>
        </w:rPr>
        <w:t xml:space="preserve"> </w:t>
      </w:r>
      <w:r w:rsidRPr="00E8399C">
        <w:rPr>
          <w:rFonts w:ascii="Arial" w:hAnsi="Arial" w:cs="Arial"/>
          <w:color w:val="000000"/>
          <w:sz w:val="22"/>
          <w:szCs w:val="22"/>
          <w:shd w:val="clear" w:color="auto" w:fill="FFFFFF"/>
          <w:lang w:val="es-ES_tradnl"/>
        </w:rPr>
        <w:t>.</w:t>
      </w:r>
      <w:r w:rsidR="00DC6407" w:rsidRPr="00E8399C">
        <w:rPr>
          <w:rFonts w:ascii="Arial" w:eastAsia="Calibri" w:hAnsi="Arial" w:cs="Arial"/>
          <w:color w:val="000000"/>
          <w:sz w:val="22"/>
          <w:szCs w:val="22"/>
          <w:lang w:val="es-ES_tradnl"/>
        </w:rPr>
        <w:t>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7064E688" w14:textId="77777777" w:rsidR="007F60F8" w:rsidRPr="00F35D47" w:rsidRDefault="007F60F8" w:rsidP="007F60F8">
      <w:pPr>
        <w:pStyle w:val="ql-align-justify"/>
        <w:spacing w:before="120" w:beforeAutospacing="0" w:after="120" w:afterAutospacing="0" w:line="276" w:lineRule="auto"/>
        <w:ind w:firstLine="709"/>
        <w:jc w:val="both"/>
        <w:rPr>
          <w:rFonts w:ascii="Arial" w:eastAsia="Calibri" w:hAnsi="Arial" w:cs="Arial"/>
          <w:bCs/>
          <w:sz w:val="22"/>
          <w:szCs w:val="22"/>
        </w:rPr>
      </w:pPr>
      <w:r w:rsidRPr="00F35D47">
        <w:rPr>
          <w:rFonts w:ascii="Arial" w:eastAsia="Calibri" w:hAnsi="Arial" w:cs="Arial"/>
          <w:bCs/>
          <w:sz w:val="22"/>
          <w:szCs w:val="22"/>
        </w:rPr>
        <w:t xml:space="preserve">Según lo previsto en el artículo 6 de la Ley 1150 de 2007, solo en aquellos casos en que por las características del objeto a contratar se requiera la verificación de requisitos del proponente adicionales a los contenidos en el Registro Único de Proponente, las Entidades Estatales pueden establecer, en los pliegos de condiciones, indicadores adicionales a los establecidos en el numeral 1 del artículo 5 de la Ley 1150 de 2007.  Ahora bien, </w:t>
      </w:r>
      <w:r w:rsidRPr="00F35D47">
        <w:rPr>
          <w:rFonts w:ascii="Arial" w:eastAsia="Calibri" w:hAnsi="Arial" w:cs="Arial"/>
          <w:color w:val="000000"/>
          <w:sz w:val="22"/>
          <w:szCs w:val="22"/>
          <w:lang w:val="es-ES_tradnl"/>
        </w:rPr>
        <w:t>el capital de trabajo no fue incluido dentro de los indicadores de capacidad financiera previstos en el Decreto 1082 de 2015, no obstante la entidad puede acudir a indicadores adicionales, en cumplimiento de su deber de análisis y acorde con las características del contrato a suscribir, por lo que en este sentido, la Agencia Nacional de Contratación Pública – Colombia Compra Eficiente</w:t>
      </w:r>
      <w:r w:rsidRPr="00F35D47">
        <w:rPr>
          <w:rStyle w:val="Refdenotaalpie"/>
          <w:rFonts w:ascii="Arial" w:eastAsia="Calibri" w:hAnsi="Arial" w:cs="Arial"/>
          <w:color w:val="000000"/>
          <w:sz w:val="22"/>
          <w:szCs w:val="22"/>
          <w:lang w:val="es-ES_tradnl"/>
        </w:rPr>
        <w:footnoteReference w:id="14"/>
      </w:r>
      <w:r w:rsidRPr="00F35D47">
        <w:rPr>
          <w:rFonts w:ascii="Arial" w:eastAsia="Calibri" w:hAnsi="Arial" w:cs="Arial"/>
          <w:color w:val="000000"/>
          <w:sz w:val="22"/>
          <w:szCs w:val="22"/>
          <w:lang w:val="es-ES_tradnl"/>
        </w:rPr>
        <w:t xml:space="preserve">, ha recomendado valorar otro tipo de indicadores como el </w:t>
      </w:r>
      <w:r w:rsidRPr="00F35D47">
        <w:rPr>
          <w:rFonts w:ascii="Arial" w:eastAsia="Calibri" w:hAnsi="Arial" w:cs="Arial"/>
          <w:color w:val="000000"/>
          <w:sz w:val="22"/>
          <w:szCs w:val="22"/>
          <w:lang w:val="es-ES_tradnl"/>
        </w:rPr>
        <w:lastRenderedPageBreak/>
        <w:t xml:space="preserve">capital de trabajo, si la complejidad del contrato a celebrar lo amerita. </w:t>
      </w:r>
      <w:r w:rsidRPr="00F35D47">
        <w:rPr>
          <w:rFonts w:ascii="Arial" w:eastAsia="Calibri" w:hAnsi="Arial" w:cs="Arial"/>
          <w:bCs/>
          <w:sz w:val="22"/>
          <w:szCs w:val="22"/>
        </w:rPr>
        <w:t>Este es el caso, por ejemplo, de los contratos de obra pública de infraestructura de transporte regidos por Documentos Tipo, pues en el documento base se incluye el capital de trabajo como un requisito habilitante, ya que sirve de indicador para examinar la liquidez operativa que posee el proponente. Es decir, el capital de trabajo es considerado como los recursos operativos y económicos de los cuales dispone el proponente, futuro contratista, para su operación. Al tener un capital de trabajo positivo éste puede contribuir de manera satisfactoria en la actividad económica del proponente, permitiendo a la Entidad Estatal analizar el nivel de liquidez en términos absolutos.</w:t>
      </w:r>
    </w:p>
    <w:p w14:paraId="3B8174A6" w14:textId="4A2DC7FB" w:rsidR="007F60F8" w:rsidRDefault="007F60F8" w:rsidP="00A87197">
      <w:pPr>
        <w:spacing w:before="120" w:line="276" w:lineRule="auto"/>
        <w:ind w:firstLine="709"/>
        <w:jc w:val="both"/>
        <w:rPr>
          <w:rFonts w:ascii="Arial" w:eastAsia="Calibri" w:hAnsi="Arial" w:cs="Arial"/>
          <w:color w:val="000000"/>
          <w:sz w:val="22"/>
          <w:szCs w:val="22"/>
          <w:lang w:val="es-ES_tradnl"/>
        </w:rPr>
      </w:pPr>
      <w:r w:rsidRPr="00F35D47">
        <w:rPr>
          <w:rFonts w:ascii="Arial" w:eastAsia="Calibri" w:hAnsi="Arial" w:cs="Arial"/>
          <w:color w:val="000000"/>
          <w:sz w:val="22"/>
          <w:szCs w:val="22"/>
          <w:lang w:val="es-ES_tradnl"/>
        </w:rPr>
        <w:t xml:space="preserve">En este sentido, la decisión sobre la inclusión de indicadores adicionales corresponderá a cada entidad estatal y deberá ser producto del análisis correspondiente. Como resultado del análisis las entidades gozan de autonomía para incluir el capital de trabajo como indicador adicional. Si la entidad así lo </w:t>
      </w:r>
      <w:r w:rsidR="004F20FB" w:rsidRPr="00F35D47">
        <w:rPr>
          <w:rFonts w:ascii="Arial" w:eastAsia="Calibri" w:hAnsi="Arial" w:cs="Arial"/>
          <w:color w:val="000000"/>
          <w:sz w:val="22"/>
          <w:szCs w:val="22"/>
          <w:lang w:val="es-ES_tradnl"/>
        </w:rPr>
        <w:t>considera</w:t>
      </w:r>
      <w:r w:rsidRPr="00F35D47">
        <w:rPr>
          <w:rFonts w:ascii="Arial" w:eastAsia="Calibri" w:hAnsi="Arial" w:cs="Arial"/>
          <w:color w:val="000000"/>
          <w:sz w:val="22"/>
          <w:szCs w:val="22"/>
          <w:lang w:val="es-ES_tradnl"/>
        </w:rPr>
        <w:t xml:space="preserve"> el capital de </w:t>
      </w:r>
      <w:proofErr w:type="gramStart"/>
      <w:r w:rsidRPr="00F35D47">
        <w:rPr>
          <w:rFonts w:ascii="Arial" w:eastAsia="Calibri" w:hAnsi="Arial" w:cs="Arial"/>
          <w:color w:val="000000"/>
          <w:sz w:val="22"/>
          <w:szCs w:val="22"/>
          <w:lang w:val="es-ES_tradnl"/>
        </w:rPr>
        <w:t>trabajo  constituirá</w:t>
      </w:r>
      <w:proofErr w:type="gramEnd"/>
      <w:r w:rsidRPr="00F35D47">
        <w:rPr>
          <w:rFonts w:ascii="Arial" w:eastAsia="Calibri" w:hAnsi="Arial" w:cs="Arial"/>
          <w:color w:val="000000"/>
          <w:sz w:val="22"/>
          <w:szCs w:val="22"/>
          <w:lang w:val="es-ES_tradnl"/>
        </w:rPr>
        <w:t xml:space="preserve"> uno de los factores que medirá la fortaleza financiera del proponente, y para este se emplearía la fórmula: «Activo corriente - Pasivo corriente», como se precisa en el «Manual para determinar y verificar los requisitos habilitantes en los Procesos de Contratación», expedido por esta Agencia</w:t>
      </w:r>
      <w:r>
        <w:rPr>
          <w:rFonts w:ascii="Arial" w:eastAsia="Calibri" w:hAnsi="Arial" w:cs="Arial"/>
          <w:color w:val="000000"/>
          <w:sz w:val="22"/>
          <w:szCs w:val="22"/>
          <w:lang w:val="es-ES_tradnl"/>
        </w:rPr>
        <w:t>.</w:t>
      </w:r>
    </w:p>
    <w:p w14:paraId="6A5D7EC6" w14:textId="77777777" w:rsidR="00E8399C" w:rsidRDefault="00E8399C" w:rsidP="00A87197">
      <w:pPr>
        <w:spacing w:line="276" w:lineRule="auto"/>
        <w:jc w:val="both"/>
        <w:rPr>
          <w:rFonts w:ascii="Arial" w:hAnsi="Arial" w:cs="Arial"/>
          <w:color w:val="000000"/>
          <w:sz w:val="22"/>
          <w:szCs w:val="22"/>
          <w:shd w:val="clear" w:color="auto" w:fill="FFFFFF"/>
        </w:rPr>
      </w:pPr>
    </w:p>
    <w:p w14:paraId="31DA7007" w14:textId="77777777" w:rsidR="003C7067" w:rsidRPr="00C00312" w:rsidRDefault="003C7067" w:rsidP="003C7067">
      <w:pPr>
        <w:spacing w:line="276" w:lineRule="auto"/>
        <w:jc w:val="both"/>
        <w:rPr>
          <w:rFonts w:ascii="Arial" w:eastAsia="Calibri" w:hAnsi="Arial" w:cs="Arial"/>
          <w:sz w:val="22"/>
          <w:szCs w:val="22"/>
          <w:lang w:val="es-ES"/>
        </w:rPr>
      </w:pPr>
      <w:r w:rsidRPr="00C00312">
        <w:rPr>
          <w:rFonts w:ascii="Arial" w:eastAsia="Calibri" w:hAnsi="Arial" w:cs="Arial"/>
          <w:sz w:val="22"/>
          <w:szCs w:val="22"/>
          <w:lang w:val="es-ES"/>
        </w:rPr>
        <w:t>Este concepto tiene el alcance previsto en el artículo 28 del Código de Procedimiento Administrativo y de lo Contencioso Administrativo.</w:t>
      </w:r>
    </w:p>
    <w:p w14:paraId="2408787D" w14:textId="77777777" w:rsidR="003C7067" w:rsidRPr="00C00312" w:rsidRDefault="003C7067" w:rsidP="003C7067">
      <w:pPr>
        <w:jc w:val="both"/>
        <w:rPr>
          <w:rFonts w:ascii="Arial" w:eastAsia="Calibri" w:hAnsi="Arial" w:cs="Arial"/>
          <w:sz w:val="22"/>
          <w:szCs w:val="22"/>
          <w:lang w:val="es-ES"/>
        </w:rPr>
      </w:pPr>
    </w:p>
    <w:p w14:paraId="740312DF" w14:textId="77777777" w:rsidR="003C7067" w:rsidRPr="00C00312" w:rsidRDefault="003C7067" w:rsidP="003C7067">
      <w:pPr>
        <w:jc w:val="both"/>
        <w:rPr>
          <w:rFonts w:ascii="Arial" w:hAnsi="Arial" w:cs="Arial"/>
          <w:sz w:val="22"/>
          <w:szCs w:val="22"/>
          <w:lang w:val="es-ES" w:eastAsia="es-CO"/>
        </w:rPr>
      </w:pPr>
      <w:r w:rsidRPr="00C00312">
        <w:rPr>
          <w:rFonts w:ascii="Arial" w:hAnsi="Arial" w:cs="Arial"/>
          <w:sz w:val="22"/>
          <w:szCs w:val="22"/>
          <w:lang w:val="es-ES" w:eastAsia="es-CO"/>
        </w:rPr>
        <w:t>Atentamente,</w:t>
      </w:r>
    </w:p>
    <w:p w14:paraId="23CF4F7E" w14:textId="5D77A901" w:rsidR="007F60F8" w:rsidRDefault="007E0EDE" w:rsidP="007F60F8">
      <w:pPr>
        <w:spacing w:line="276" w:lineRule="auto"/>
        <w:jc w:val="center"/>
        <w:rPr>
          <w:rFonts w:ascii="Arial" w:hAnsi="Arial" w:cs="Arial"/>
          <w:color w:val="000000" w:themeColor="text1"/>
          <w:sz w:val="22"/>
          <w:lang w:val="es-ES_tradnl" w:eastAsia="es-CO"/>
        </w:rPr>
      </w:pPr>
      <w:r>
        <w:rPr>
          <w:noProof/>
        </w:rPr>
        <w:drawing>
          <wp:inline distT="0" distB="0" distL="0" distR="0" wp14:anchorId="529B7A08" wp14:editId="31A5699C">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p w14:paraId="63294D44" w14:textId="77777777" w:rsidR="007F60F8" w:rsidRPr="008F73D4" w:rsidRDefault="007F60F8" w:rsidP="007F60F8">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F60F8" w:rsidRPr="008F73D4" w14:paraId="153268AC" w14:textId="77777777" w:rsidTr="0027708F">
        <w:trPr>
          <w:trHeight w:val="315"/>
        </w:trPr>
        <w:tc>
          <w:tcPr>
            <w:tcW w:w="812" w:type="dxa"/>
            <w:vAlign w:val="center"/>
            <w:hideMark/>
          </w:tcPr>
          <w:p w14:paraId="42862842" w14:textId="77777777" w:rsidR="007F60F8" w:rsidRPr="008F73D4" w:rsidRDefault="007F60F8" w:rsidP="0027708F">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FC33DCD" w14:textId="77777777" w:rsidR="007F60F8" w:rsidRPr="008F73D4" w:rsidRDefault="007F60F8" w:rsidP="0027708F">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Felipe Bastidas Paredes</w:t>
            </w:r>
          </w:p>
          <w:p w14:paraId="7026A26F" w14:textId="77777777" w:rsidR="007F60F8" w:rsidRPr="008F73D4" w:rsidRDefault="007F60F8" w:rsidP="0027708F">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Contratista de la Subdirección de Gestión Contractual</w:t>
            </w:r>
          </w:p>
        </w:tc>
      </w:tr>
      <w:tr w:rsidR="007F60F8" w:rsidRPr="008F73D4" w14:paraId="651FF988" w14:textId="77777777" w:rsidTr="0027708F">
        <w:trPr>
          <w:trHeight w:val="330"/>
        </w:trPr>
        <w:tc>
          <w:tcPr>
            <w:tcW w:w="812" w:type="dxa"/>
            <w:vAlign w:val="center"/>
            <w:hideMark/>
          </w:tcPr>
          <w:p w14:paraId="49E65B23" w14:textId="77777777" w:rsidR="007F60F8" w:rsidRPr="008F73D4" w:rsidRDefault="007F60F8" w:rsidP="0027708F">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5432096" w14:textId="77777777" w:rsidR="007F60F8" w:rsidRDefault="007F60F8" w:rsidP="0027708F">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1B45F04A" w14:textId="77777777" w:rsidR="007F60F8" w:rsidRPr="008F73D4" w:rsidRDefault="007F60F8" w:rsidP="0027708F">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Gestor T1-15 de la Subdirección de Gestión Contractual</w:t>
            </w:r>
          </w:p>
        </w:tc>
      </w:tr>
      <w:tr w:rsidR="007F60F8" w:rsidRPr="000C7C28" w14:paraId="5DC176BF" w14:textId="77777777" w:rsidTr="0027708F">
        <w:trPr>
          <w:trHeight w:val="300"/>
        </w:trPr>
        <w:tc>
          <w:tcPr>
            <w:tcW w:w="812" w:type="dxa"/>
            <w:vAlign w:val="center"/>
            <w:hideMark/>
          </w:tcPr>
          <w:p w14:paraId="16B4CE85" w14:textId="77777777" w:rsidR="007F60F8" w:rsidRPr="008F73D4" w:rsidRDefault="007F60F8" w:rsidP="0027708F">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16AA37" w14:textId="77777777" w:rsidR="004F20FB" w:rsidRPr="00F32385" w:rsidRDefault="004F20FB" w:rsidP="004F20FB">
            <w:pPr>
              <w:rPr>
                <w:rFonts w:ascii="Arial" w:eastAsia="Arial" w:hAnsi="Arial" w:cs="Arial"/>
                <w:color w:val="000000"/>
                <w:sz w:val="16"/>
                <w:szCs w:val="16"/>
              </w:rPr>
            </w:pPr>
            <w:r w:rsidRPr="00F32385">
              <w:rPr>
                <w:rFonts w:ascii="Arial" w:eastAsia="Arial" w:hAnsi="Arial" w:cs="Arial"/>
                <w:color w:val="000000"/>
                <w:sz w:val="16"/>
                <w:szCs w:val="16"/>
              </w:rPr>
              <w:t>Nohelia del Carmen Zawady Palacio</w:t>
            </w:r>
          </w:p>
          <w:p w14:paraId="50F18D2A" w14:textId="3175CF08" w:rsidR="007F60F8" w:rsidRPr="000C7C28" w:rsidRDefault="004F20FB" w:rsidP="0027708F">
            <w:pPr>
              <w:spacing w:line="276" w:lineRule="auto"/>
              <w:rPr>
                <w:rFonts w:ascii="Arial" w:hAnsi="Arial" w:cs="Arial"/>
                <w:color w:val="000000" w:themeColor="text1"/>
                <w:sz w:val="16"/>
                <w:szCs w:val="16"/>
                <w:lang w:val="es-ES_tradnl" w:eastAsia="es-ES"/>
              </w:rPr>
            </w:pPr>
            <w:r w:rsidRPr="00F32385">
              <w:rPr>
                <w:rFonts w:ascii="Arial" w:eastAsia="Arial" w:hAnsi="Arial" w:cs="Arial"/>
                <w:color w:val="000000"/>
                <w:sz w:val="16"/>
                <w:szCs w:val="16"/>
              </w:rPr>
              <w:t>Subdirectora de Gestión Contractual ANCP-CCE</w:t>
            </w:r>
          </w:p>
        </w:tc>
      </w:tr>
    </w:tbl>
    <w:p w14:paraId="019B7BEC" w14:textId="77777777" w:rsidR="003C7067" w:rsidRPr="00C00312" w:rsidRDefault="003C7067" w:rsidP="005F6429">
      <w:pPr>
        <w:rPr>
          <w:rFonts w:ascii="Arial" w:hAnsi="Arial" w:cs="Arial"/>
        </w:rPr>
      </w:pPr>
    </w:p>
    <w:sectPr w:rsidR="003C7067" w:rsidRPr="00C00312" w:rsidSect="00012F84">
      <w:headerReference w:type="default" r:id="rId12"/>
      <w:footerReference w:type="default" r:id="rId13"/>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3CCD" w14:textId="77777777" w:rsidR="001D0D01" w:rsidRDefault="001D0D01" w:rsidP="003C7067">
      <w:r>
        <w:separator/>
      </w:r>
    </w:p>
  </w:endnote>
  <w:endnote w:type="continuationSeparator" w:id="0">
    <w:p w14:paraId="3FE92030" w14:textId="77777777" w:rsidR="001D0D01" w:rsidRDefault="001D0D01"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Geomanist Light">
    <w:altName w:val="Calibri"/>
    <w:panose1 w:val="020B0604020202020204"/>
    <w:charset w:val="00"/>
    <w:family w:val="modern"/>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D6FE" w14:textId="77777777" w:rsidR="00012F84" w:rsidRPr="0020796E" w:rsidRDefault="00012F84" w:rsidP="00012F84">
    <w:pPr>
      <w:pStyle w:val="Piedepgina"/>
      <w:rPr>
        <w:rFonts w:ascii="Arial" w:hAnsi="Arial" w:cs="Arial"/>
        <w:color w:val="7F7F7F"/>
        <w:sz w:val="16"/>
        <w:szCs w:val="16"/>
      </w:rPr>
    </w:pPr>
    <w:r>
      <w:rPr>
        <w:noProof/>
      </w:rPr>
      <w:drawing>
        <wp:inline distT="0" distB="0" distL="0" distR="0" wp14:anchorId="4D875493" wp14:editId="5BC46564">
          <wp:extent cx="5553075" cy="866719"/>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42"/>
      <w:gridCol w:w="835"/>
      <w:gridCol w:w="1659"/>
      <w:gridCol w:w="717"/>
      <w:gridCol w:w="2551"/>
      <w:gridCol w:w="1423"/>
    </w:tblGrid>
    <w:tr w:rsidR="00012F84" w:rsidRPr="00080DA3" w14:paraId="2D719BA8" w14:textId="77777777" w:rsidTr="0085300F">
      <w:trPr>
        <w:trHeight w:val="198"/>
        <w:jc w:val="center"/>
      </w:trPr>
      <w:tc>
        <w:tcPr>
          <w:tcW w:w="276"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B249CB9" w14:textId="77777777" w:rsidR="00012F84" w:rsidRPr="00080DA3" w:rsidRDefault="00012F84" w:rsidP="00012F84">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69D45DD" w14:textId="77777777" w:rsidR="00012F84" w:rsidRPr="00080DA3" w:rsidRDefault="00012F84" w:rsidP="00012F84">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A8E156A" w14:textId="77777777" w:rsidR="00012F84" w:rsidRPr="00080DA3" w:rsidRDefault="00012F84" w:rsidP="00012F84">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07D84D2B" w14:textId="77777777" w:rsidR="00012F84" w:rsidRPr="004B6B0E" w:rsidRDefault="00012F84" w:rsidP="00012F84">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0150CF1" w14:textId="77777777" w:rsidR="00012F84" w:rsidRPr="00080DA3" w:rsidRDefault="00012F84" w:rsidP="00012F84">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29E345F" w14:textId="77777777" w:rsidR="00012F84" w:rsidRPr="00080DA3" w:rsidRDefault="00012F84" w:rsidP="00012F84">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A4BEA8A" w14:textId="77777777" w:rsidR="00012F84" w:rsidRPr="00080DA3" w:rsidRDefault="00012F84" w:rsidP="00012F84">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20</w:t>
          </w:r>
          <w:r w:rsidRPr="00080DA3">
            <w:rPr>
              <w:rFonts w:ascii="Geomanist Light" w:hAnsi="Geomanist Light"/>
              <w:b/>
              <w:bCs/>
              <w:sz w:val="18"/>
              <w:szCs w:val="18"/>
            </w:rPr>
            <w:fldChar w:fldCharType="end"/>
          </w:r>
        </w:p>
      </w:tc>
    </w:tr>
  </w:tbl>
  <w:p w14:paraId="7A6D489B" w14:textId="77777777" w:rsidR="00012F84" w:rsidRDefault="00012F84" w:rsidP="00012F84"/>
  <w:p w14:paraId="1CBE747A" w14:textId="77777777" w:rsidR="00387886" w:rsidRPr="00012F84" w:rsidRDefault="0037325D" w:rsidP="00012F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D0E0" w14:textId="77777777" w:rsidR="001D0D01" w:rsidRDefault="001D0D01" w:rsidP="003C7067">
      <w:r>
        <w:separator/>
      </w:r>
    </w:p>
  </w:footnote>
  <w:footnote w:type="continuationSeparator" w:id="0">
    <w:p w14:paraId="30CB10F6" w14:textId="77777777" w:rsidR="001D0D01" w:rsidRDefault="001D0D01" w:rsidP="003C7067">
      <w:r>
        <w:continuationSeparator/>
      </w:r>
    </w:p>
  </w:footnote>
  <w:footnote w:id="1">
    <w:p w14:paraId="4B6C17A4" w14:textId="77777777" w:rsidR="0083675E" w:rsidRDefault="0083675E" w:rsidP="0083675E">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312D99C" w14:textId="77777777" w:rsidR="00E8399C" w:rsidRDefault="00E8399C" w:rsidP="00E8399C">
      <w:pPr>
        <w:pStyle w:val="NormalWeb"/>
        <w:spacing w:before="0" w:beforeAutospacing="0" w:after="0" w:afterAutospacing="0"/>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Art 6 Ley 1150 de 2007 “</w:t>
      </w:r>
      <w:r>
        <w:rPr>
          <w:rFonts w:ascii="Arial" w:hAnsi="Arial" w:cs="Arial"/>
          <w:color w:val="000000" w:themeColor="text1"/>
          <w:sz w:val="19"/>
          <w:szCs w:val="19"/>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5330C10" w14:textId="77777777" w:rsidR="00E8399C" w:rsidRDefault="00E8399C" w:rsidP="00E8399C">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5262AC36" w14:textId="77777777" w:rsidR="00E8399C" w:rsidRDefault="00E8399C" w:rsidP="00E8399C">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En dicho registro constará la información relacionada con la experiencia, capacidad jurídica, financiera y de organización del proponente y su clasificación”.</w:t>
      </w:r>
    </w:p>
    <w:p w14:paraId="2E756AC3" w14:textId="77777777" w:rsidR="00E8399C" w:rsidRDefault="00E8399C" w:rsidP="00E8399C">
      <w:pPr>
        <w:pStyle w:val="NormalWeb"/>
        <w:spacing w:before="0" w:beforeAutospacing="0" w:after="0" w:afterAutospacing="0"/>
        <w:ind w:firstLine="708"/>
        <w:jc w:val="both"/>
        <w:rPr>
          <w:rFonts w:ascii="Arial" w:hAnsi="Arial" w:cs="Arial"/>
          <w:color w:val="000000" w:themeColor="text1"/>
          <w:sz w:val="19"/>
          <w:szCs w:val="19"/>
        </w:rPr>
      </w:pPr>
    </w:p>
  </w:footnote>
  <w:footnote w:id="3">
    <w:p w14:paraId="698D77D4" w14:textId="77777777" w:rsidR="00E8399C" w:rsidRDefault="00E8399C" w:rsidP="00E8399C">
      <w:pPr>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733AFAAC" w14:textId="77777777" w:rsidR="00E8399C" w:rsidRDefault="00E8399C" w:rsidP="00E8399C">
      <w:pPr>
        <w:pStyle w:val="Textonotapie"/>
        <w:rPr>
          <w:lang w:val="es-ES"/>
        </w:rPr>
      </w:pPr>
    </w:p>
  </w:footnote>
  <w:footnote w:id="4">
    <w:p w14:paraId="38AF7F96" w14:textId="77777777" w:rsidR="00E8399C" w:rsidRDefault="00E8399C" w:rsidP="00E8399C">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3FBE74EF" w14:textId="77777777" w:rsidR="00E8399C" w:rsidRDefault="00E8399C" w:rsidP="00E8399C">
      <w:pPr>
        <w:pStyle w:val="Textonotapie"/>
        <w:ind w:firstLine="708"/>
        <w:jc w:val="both"/>
        <w:rPr>
          <w:rFonts w:ascii="Arial" w:hAnsi="Arial" w:cs="Arial"/>
          <w:sz w:val="19"/>
          <w:szCs w:val="19"/>
          <w:lang w:val="es-ES"/>
        </w:rPr>
      </w:pPr>
    </w:p>
  </w:footnote>
  <w:footnote w:id="5">
    <w:p w14:paraId="0898CDB1" w14:textId="77777777" w:rsidR="00E8399C" w:rsidRDefault="00E8399C" w:rsidP="00E8399C">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Disponible en:</w:t>
      </w:r>
    </w:p>
    <w:p w14:paraId="6917C31C" w14:textId="77777777" w:rsidR="00E8399C" w:rsidRDefault="0037325D" w:rsidP="00E8399C">
      <w:pPr>
        <w:pStyle w:val="Textonotapie"/>
        <w:ind w:firstLine="709"/>
        <w:jc w:val="both"/>
        <w:rPr>
          <w:rFonts w:ascii="Arial" w:hAnsi="Arial" w:cs="Arial"/>
          <w:sz w:val="19"/>
          <w:szCs w:val="19"/>
          <w:lang w:val="es-ES"/>
        </w:rPr>
      </w:pPr>
      <w:hyperlink r:id="rId1" w:history="1">
        <w:r w:rsidR="00E8399C">
          <w:rPr>
            <w:rStyle w:val="Hipervnculo"/>
            <w:color w:val="0070C0"/>
            <w:sz w:val="19"/>
            <w:szCs w:val="19"/>
          </w:rPr>
          <w:t>https://www.colombiacompra.gov.co/sites/cce_public/files/cce_documents/cce_manual_requisitos_habilitantes.pdf</w:t>
        </w:r>
      </w:hyperlink>
      <w:r w:rsidR="00E8399C">
        <w:rPr>
          <w:rFonts w:ascii="Arial" w:hAnsi="Arial" w:cs="Arial"/>
          <w:sz w:val="19"/>
          <w:szCs w:val="19"/>
          <w:lang w:val="es-ES"/>
        </w:rPr>
        <w:t xml:space="preserve">. </w:t>
      </w:r>
    </w:p>
  </w:footnote>
  <w:footnote w:id="6">
    <w:p w14:paraId="05DC024A" w14:textId="77777777" w:rsidR="00E8399C" w:rsidRDefault="00E8399C" w:rsidP="00E8399C">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Ibíd.</w:t>
      </w:r>
    </w:p>
  </w:footnote>
  <w:footnote w:id="7">
    <w:p w14:paraId="64507DB0" w14:textId="77777777" w:rsidR="00E8399C" w:rsidRDefault="00E8399C" w:rsidP="00E8399C">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p w14:paraId="7EF2BA9A" w14:textId="77777777" w:rsidR="00E8399C" w:rsidRDefault="00E8399C" w:rsidP="00E8399C">
      <w:pPr>
        <w:pStyle w:val="Textonotapie"/>
        <w:ind w:firstLine="708"/>
        <w:jc w:val="both"/>
        <w:rPr>
          <w:rFonts w:ascii="Arial" w:hAnsi="Arial" w:cs="Arial"/>
          <w:sz w:val="19"/>
          <w:szCs w:val="19"/>
          <w:lang w:val="es-ES"/>
        </w:rPr>
      </w:pPr>
    </w:p>
  </w:footnote>
  <w:footnote w:id="8">
    <w:p w14:paraId="40ED94D7" w14:textId="77777777" w:rsidR="00E8399C" w:rsidRDefault="00E8399C" w:rsidP="00E8399C">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Agencia Nacional de Contratación Pública – Colombia Compra Eficiente, Manual para determinar y verificar los requisitos habilitantes en los Procesos de Contratación. El citado Manual puede ser consultado en el siguiente en lace: </w:t>
      </w:r>
      <w:hyperlink r:id="rId2" w:history="1">
        <w:r>
          <w:rPr>
            <w:rStyle w:val="Hipervnculo"/>
            <w:color w:val="0070C0"/>
            <w:sz w:val="19"/>
            <w:szCs w:val="19"/>
          </w:rPr>
          <w:t>https://colombiacompra.gov.co/sites/default/files/manuales/20140901_manual_requisitos_habilitantes_4_web.pdf</w:t>
        </w:r>
      </w:hyperlink>
      <w:r>
        <w:rPr>
          <w:rFonts w:ascii="Arial" w:hAnsi="Arial" w:cs="Arial"/>
          <w:sz w:val="19"/>
          <w:szCs w:val="19"/>
          <w:lang w:val="es-ES"/>
        </w:rPr>
        <w:t xml:space="preserve">. </w:t>
      </w:r>
    </w:p>
    <w:p w14:paraId="7573CF59" w14:textId="77777777" w:rsidR="00E8399C" w:rsidRDefault="00E8399C" w:rsidP="00E8399C">
      <w:pPr>
        <w:pStyle w:val="Textonotapie"/>
        <w:ind w:firstLine="567"/>
        <w:jc w:val="both"/>
        <w:rPr>
          <w:rFonts w:ascii="Arial" w:hAnsi="Arial" w:cs="Arial"/>
          <w:sz w:val="19"/>
          <w:szCs w:val="19"/>
          <w:lang w:val="es-ES"/>
        </w:rPr>
      </w:pPr>
    </w:p>
  </w:footnote>
  <w:footnote w:id="9">
    <w:p w14:paraId="76E681F7" w14:textId="77777777" w:rsidR="00E8399C" w:rsidRDefault="00E8399C" w:rsidP="00E8399C">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Ibídem.</w:t>
      </w:r>
    </w:p>
  </w:footnote>
  <w:footnote w:id="10">
    <w:p w14:paraId="0414CBA8" w14:textId="77777777" w:rsidR="00E8399C" w:rsidRDefault="00E8399C" w:rsidP="00E8399C">
      <w:pPr>
        <w:pStyle w:val="Textonotapie"/>
        <w:ind w:firstLine="709"/>
        <w:jc w:val="both"/>
        <w:rPr>
          <w:rFonts w:ascii="Arial" w:hAnsi="Arial" w:cs="Arial"/>
          <w:sz w:val="19"/>
          <w:szCs w:val="19"/>
        </w:rPr>
      </w:pPr>
    </w:p>
    <w:p w14:paraId="2CD5A74D" w14:textId="77777777" w:rsidR="00E8399C" w:rsidRDefault="00E8399C" w:rsidP="00E8399C">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1B800273" w14:textId="77777777" w:rsidR="00E8399C" w:rsidRDefault="00E8399C" w:rsidP="00E8399C">
      <w:pPr>
        <w:pStyle w:val="Textonotapie"/>
        <w:ind w:firstLine="709"/>
        <w:jc w:val="both"/>
        <w:rPr>
          <w:rFonts w:ascii="Arial" w:hAnsi="Arial" w:cs="Arial"/>
          <w:sz w:val="19"/>
          <w:szCs w:val="19"/>
        </w:rPr>
      </w:pPr>
      <w:r>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11">
    <w:p w14:paraId="18EAC893" w14:textId="77777777" w:rsidR="00E8399C" w:rsidRDefault="00E8399C" w:rsidP="00E8399C">
      <w:pPr>
        <w:pStyle w:val="Textonotapie"/>
        <w:ind w:firstLine="709"/>
        <w:jc w:val="both"/>
        <w:rPr>
          <w:rFonts w:ascii="Arial" w:hAnsi="Arial" w:cs="Arial"/>
          <w:sz w:val="19"/>
          <w:szCs w:val="19"/>
        </w:rPr>
      </w:pPr>
    </w:p>
    <w:p w14:paraId="021D7E3B" w14:textId="77777777" w:rsidR="00E8399C" w:rsidRDefault="00E8399C" w:rsidP="00E8399C">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12">
    <w:p w14:paraId="2F8E6B0C" w14:textId="77777777" w:rsidR="00B24B11" w:rsidRPr="000549D1" w:rsidRDefault="00B24B11" w:rsidP="00C84F70">
      <w:pPr>
        <w:pStyle w:val="Textonotapie"/>
        <w:ind w:firstLine="708"/>
        <w:jc w:val="both"/>
        <w:rPr>
          <w:rFonts w:ascii="Arial" w:hAnsi="Arial" w:cs="Arial"/>
          <w:sz w:val="19"/>
          <w:szCs w:val="19"/>
          <w:lang w:val="es-CO"/>
        </w:rPr>
      </w:pPr>
      <w:r w:rsidRPr="000549D1">
        <w:rPr>
          <w:rStyle w:val="Refdenotaalpie"/>
          <w:rFonts w:ascii="Arial" w:hAnsi="Arial" w:cs="Arial"/>
          <w:sz w:val="19"/>
          <w:szCs w:val="19"/>
        </w:rPr>
        <w:footnoteRef/>
      </w:r>
      <w:r w:rsidRPr="000549D1">
        <w:rPr>
          <w:rFonts w:ascii="Arial" w:hAnsi="Arial" w:cs="Arial"/>
          <w:sz w:val="19"/>
          <w:szCs w:val="19"/>
        </w:rPr>
        <w:t xml:space="preserve"> </w:t>
      </w:r>
      <w:r w:rsidRPr="000549D1">
        <w:rPr>
          <w:rFonts w:ascii="Arial" w:hAnsi="Arial" w:cs="Arial"/>
          <w:sz w:val="19"/>
          <w:szCs w:val="19"/>
          <w:lang w:val="es-CO"/>
        </w:rPr>
        <w:t>DÁVILA VINUEZA, Luis Guillermo. Régimen jurídico de la contratación estatal. Tercera edición, Bogotá: Legis, 2016. p. 355.</w:t>
      </w:r>
    </w:p>
    <w:p w14:paraId="05AD6B21" w14:textId="77777777" w:rsidR="00B24B11" w:rsidRPr="000549D1" w:rsidRDefault="00B24B11" w:rsidP="00C84F70">
      <w:pPr>
        <w:pStyle w:val="Textonotapie"/>
        <w:ind w:firstLine="708"/>
        <w:jc w:val="both"/>
        <w:rPr>
          <w:rFonts w:ascii="Arial" w:hAnsi="Arial" w:cs="Arial"/>
          <w:sz w:val="19"/>
          <w:szCs w:val="19"/>
          <w:lang w:val="es-CO"/>
        </w:rPr>
      </w:pPr>
    </w:p>
  </w:footnote>
  <w:footnote w:id="13">
    <w:p w14:paraId="235F5A8F" w14:textId="77777777" w:rsidR="00A022D8" w:rsidRPr="002B2913" w:rsidRDefault="00A022D8" w:rsidP="00A022D8">
      <w:pPr>
        <w:pStyle w:val="Textonotapie"/>
        <w:ind w:firstLine="708"/>
        <w:jc w:val="both"/>
        <w:rPr>
          <w:rFonts w:ascii="Arial" w:hAnsi="Arial" w:cs="Arial"/>
          <w:sz w:val="18"/>
          <w:szCs w:val="18"/>
          <w:lang w:val="es-ES"/>
        </w:rPr>
      </w:pPr>
      <w:r w:rsidRPr="002B2913">
        <w:rPr>
          <w:rStyle w:val="Refdenotaalpie"/>
          <w:rFonts w:ascii="Arial" w:hAnsi="Arial" w:cs="Arial"/>
          <w:sz w:val="18"/>
          <w:szCs w:val="18"/>
        </w:rPr>
        <w:footnoteRef/>
      </w:r>
      <w:r w:rsidRPr="002B2913">
        <w:rPr>
          <w:rFonts w:ascii="Arial" w:hAnsi="Arial" w:cs="Arial"/>
          <w:sz w:val="18"/>
          <w:szCs w:val="18"/>
        </w:rPr>
        <w:t xml:space="preserve"> </w:t>
      </w:r>
      <w:r w:rsidRPr="002B2913">
        <w:rPr>
          <w:rFonts w:ascii="Arial" w:hAnsi="Arial" w:cs="Arial"/>
          <w:sz w:val="18"/>
          <w:szCs w:val="18"/>
          <w:lang w:val="es-ES"/>
        </w:rPr>
        <w:t xml:space="preserve">Agencia Nacional de Contratación Pública – Colombia Compra Eficiente, Manual para determinar y verificar los requisitos habilitantes en los Procesos de Contratación. El citado Manual puede ser consultado en el siguiente en lace: </w:t>
      </w:r>
      <w:hyperlink r:id="rId3" w:history="1">
        <w:r w:rsidRPr="002B2913">
          <w:rPr>
            <w:rStyle w:val="Hipervnculo"/>
            <w:rFonts w:ascii="Arial" w:hAnsi="Arial" w:cs="Arial"/>
            <w:color w:val="0070C0"/>
            <w:sz w:val="18"/>
            <w:szCs w:val="18"/>
            <w:lang w:val="es-ES"/>
          </w:rPr>
          <w:t>https://colombiacompra.gov.co/sites/default/files/manuales/20140901_manual_requisitos_habilitantes_4_web.pdf</w:t>
        </w:r>
      </w:hyperlink>
      <w:r w:rsidRPr="002B2913">
        <w:rPr>
          <w:rFonts w:ascii="Arial" w:hAnsi="Arial" w:cs="Arial"/>
          <w:sz w:val="18"/>
          <w:szCs w:val="18"/>
          <w:lang w:val="es-ES"/>
        </w:rPr>
        <w:t xml:space="preserve">. </w:t>
      </w:r>
    </w:p>
    <w:p w14:paraId="1C21D7C6" w14:textId="77777777" w:rsidR="00A022D8" w:rsidRPr="002B2913" w:rsidRDefault="00A022D8" w:rsidP="00A022D8">
      <w:pPr>
        <w:pStyle w:val="Textonotapie"/>
        <w:ind w:firstLine="567"/>
        <w:jc w:val="both"/>
        <w:rPr>
          <w:rFonts w:ascii="Arial" w:hAnsi="Arial" w:cs="Arial"/>
          <w:sz w:val="18"/>
          <w:szCs w:val="18"/>
          <w:lang w:val="es-ES"/>
        </w:rPr>
      </w:pPr>
    </w:p>
  </w:footnote>
  <w:footnote w:id="14">
    <w:p w14:paraId="1B9A50C7" w14:textId="0F943170" w:rsidR="007F60F8" w:rsidRPr="002B2913" w:rsidRDefault="007F60F8" w:rsidP="00A87197">
      <w:pPr>
        <w:pStyle w:val="Textonotapie"/>
        <w:ind w:firstLine="708"/>
        <w:jc w:val="both"/>
        <w:rPr>
          <w:rFonts w:ascii="Arial" w:hAnsi="Arial" w:cs="Arial"/>
          <w:sz w:val="18"/>
          <w:szCs w:val="18"/>
          <w:lang w:val="es-ES"/>
        </w:rPr>
      </w:pPr>
      <w:r w:rsidRPr="002B2913">
        <w:rPr>
          <w:rStyle w:val="Refdenotaalpie"/>
          <w:rFonts w:ascii="Arial" w:hAnsi="Arial" w:cs="Arial"/>
          <w:sz w:val="18"/>
          <w:szCs w:val="18"/>
        </w:rPr>
        <w:footnoteRef/>
      </w:r>
      <w:r w:rsidRPr="002B2913">
        <w:rPr>
          <w:rFonts w:ascii="Arial" w:hAnsi="Arial" w:cs="Arial"/>
          <w:sz w:val="18"/>
          <w:szCs w:val="18"/>
        </w:rPr>
        <w:t xml:space="preserve"> </w:t>
      </w:r>
      <w:r w:rsidRPr="002B2913">
        <w:rPr>
          <w:rFonts w:ascii="Arial" w:hAnsi="Arial" w:cs="Arial"/>
          <w:sz w:val="18"/>
          <w:szCs w:val="18"/>
          <w:lang w:val="es-ES"/>
        </w:rPr>
        <w:t xml:space="preserve">Agencia Nacional de Contratación Pública – Colombia Compra Eficiente, Manual para determinar y verificar los requisitos habilitantes en los Procesos de Contratación. El citado Manual puede ser consultado en el siguiente en lace: </w:t>
      </w:r>
      <w:hyperlink r:id="rId4" w:history="1">
        <w:r w:rsidRPr="002B2913">
          <w:rPr>
            <w:rStyle w:val="Hipervnculo"/>
            <w:rFonts w:ascii="Arial" w:hAnsi="Arial" w:cs="Arial"/>
            <w:color w:val="0070C0"/>
            <w:sz w:val="18"/>
            <w:szCs w:val="18"/>
            <w:lang w:val="es-ES"/>
          </w:rPr>
          <w:t>https://colombiacompra.gov.co/sites/default/files/manuales/20140901_manual_requisitos_habilitantes_4_web.pdf</w:t>
        </w:r>
      </w:hyperlink>
      <w:r w:rsidRPr="002B2913">
        <w:rPr>
          <w:rFonts w:ascii="Arial" w:hAnsi="Arial" w:cs="Arial"/>
          <w:sz w:val="18"/>
          <w:szCs w:val="18"/>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5F93" w14:textId="77777777" w:rsidR="00691FEE" w:rsidRDefault="00691FEE" w:rsidP="00691FEE"/>
  <w:p w14:paraId="4F473CFA" w14:textId="77777777" w:rsidR="00691FEE" w:rsidRDefault="00691FEE" w:rsidP="00691FEE">
    <w:pPr>
      <w:rPr>
        <w:rFonts w:ascii="Geomanist Bold" w:hAnsi="Geomanist Bold"/>
        <w:color w:val="002060"/>
      </w:rPr>
    </w:pPr>
    <w:r>
      <w:rPr>
        <w:noProof/>
      </w:rPr>
      <w:drawing>
        <wp:anchor distT="0" distB="0" distL="0" distR="0" simplePos="0" relativeHeight="251659264" behindDoc="1" locked="0" layoutInCell="1" allowOverlap="1" wp14:anchorId="52484C06" wp14:editId="3A996E4D">
          <wp:simplePos x="0" y="0"/>
          <wp:positionH relativeFrom="margin">
            <wp:align>right</wp:align>
          </wp:positionH>
          <wp:positionV relativeFrom="paragraph">
            <wp:posOffset>6985</wp:posOffset>
          </wp:positionV>
          <wp:extent cx="1657350" cy="676275"/>
          <wp:effectExtent l="0" t="0" r="0" b="9525"/>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691FEE" w14:paraId="4D2AC151" w14:textId="77777777" w:rsidTr="0085300F">
      <w:tc>
        <w:tcPr>
          <w:tcW w:w="6757" w:type="dxa"/>
          <w:tcBorders>
            <w:top w:val="nil"/>
            <w:left w:val="nil"/>
            <w:bottom w:val="nil"/>
            <w:right w:val="nil"/>
          </w:tcBorders>
          <w:hideMark/>
        </w:tcPr>
        <w:p w14:paraId="7AFB33F5" w14:textId="77777777" w:rsidR="00691FEE" w:rsidRDefault="00691FEE" w:rsidP="00691FEE">
          <w:pPr>
            <w:tabs>
              <w:tab w:val="center" w:pos="4419"/>
              <w:tab w:val="center" w:pos="5400"/>
              <w:tab w:val="right" w:pos="8838"/>
            </w:tabs>
            <w:rPr>
              <w:rFonts w:ascii="Geomanist Bold" w:eastAsia="Geo" w:hAnsi="Geomanist Bold" w:cs="Geo"/>
              <w:b/>
              <w:color w:val="002060"/>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120548D9" w14:textId="77777777" w:rsidR="00691FEE" w:rsidRDefault="00691FEE" w:rsidP="00691FEE">
          <w:pPr>
            <w:tabs>
              <w:tab w:val="center" w:pos="4419"/>
              <w:tab w:val="center" w:pos="5400"/>
              <w:tab w:val="right" w:pos="8838"/>
            </w:tabs>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6FC876A2" w14:textId="77777777" w:rsidR="00691FEE" w:rsidRDefault="00691FEE" w:rsidP="00691FEE">
          <w:pPr>
            <w:jc w:val="right"/>
            <w:rPr>
              <w:rFonts w:eastAsia="Arial Nova" w:cs="Arial Nova"/>
              <w:lang w:eastAsia="es-CO"/>
            </w:rPr>
          </w:pPr>
        </w:p>
      </w:tc>
      <w:tc>
        <w:tcPr>
          <w:tcW w:w="1324" w:type="dxa"/>
          <w:tcBorders>
            <w:top w:val="nil"/>
            <w:left w:val="nil"/>
            <w:bottom w:val="nil"/>
            <w:right w:val="nil"/>
          </w:tcBorders>
        </w:tcPr>
        <w:p w14:paraId="787C21D4" w14:textId="77777777" w:rsidR="00691FEE" w:rsidRDefault="00691FEE" w:rsidP="00691FEE">
          <w:pPr>
            <w:jc w:val="right"/>
            <w:rPr>
              <w:rFonts w:eastAsia="Arial Nova" w:cs="Arial Nova"/>
              <w:lang w:eastAsia="es-CO"/>
            </w:rPr>
          </w:pPr>
        </w:p>
      </w:tc>
    </w:tr>
  </w:tbl>
  <w:p w14:paraId="7C4731A4" w14:textId="77777777" w:rsidR="00691FEE" w:rsidRDefault="00691FEE" w:rsidP="00691FEE">
    <w:r>
      <w:rPr>
        <w:noProof/>
      </w:rPr>
      <w:drawing>
        <wp:inline distT="0" distB="0" distL="0" distR="0" wp14:anchorId="2B295DEF" wp14:editId="6D056B1E">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p w14:paraId="596DAC93" w14:textId="7C3EC494" w:rsidR="00387886" w:rsidRPr="00691FEE" w:rsidRDefault="0037325D" w:rsidP="00691F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12F84"/>
    <w:rsid w:val="00047C51"/>
    <w:rsid w:val="000549D1"/>
    <w:rsid w:val="000965D3"/>
    <w:rsid w:val="000A6CC7"/>
    <w:rsid w:val="000B322A"/>
    <w:rsid w:val="00101763"/>
    <w:rsid w:val="00172E23"/>
    <w:rsid w:val="00176B51"/>
    <w:rsid w:val="001B3331"/>
    <w:rsid w:val="001D0D01"/>
    <w:rsid w:val="001E52B9"/>
    <w:rsid w:val="0020408A"/>
    <w:rsid w:val="00204D62"/>
    <w:rsid w:val="00207B71"/>
    <w:rsid w:val="002D55E0"/>
    <w:rsid w:val="002E1C4A"/>
    <w:rsid w:val="002E7608"/>
    <w:rsid w:val="00340378"/>
    <w:rsid w:val="00365F74"/>
    <w:rsid w:val="0037325D"/>
    <w:rsid w:val="00395B41"/>
    <w:rsid w:val="003A0131"/>
    <w:rsid w:val="003C0050"/>
    <w:rsid w:val="003C7067"/>
    <w:rsid w:val="003D2D2A"/>
    <w:rsid w:val="003D36CE"/>
    <w:rsid w:val="003E060B"/>
    <w:rsid w:val="004079E3"/>
    <w:rsid w:val="004416C7"/>
    <w:rsid w:val="004662C1"/>
    <w:rsid w:val="00470EFA"/>
    <w:rsid w:val="0048244C"/>
    <w:rsid w:val="00492B11"/>
    <w:rsid w:val="00492BE0"/>
    <w:rsid w:val="004A1498"/>
    <w:rsid w:val="004B3476"/>
    <w:rsid w:val="004F20FB"/>
    <w:rsid w:val="0051003B"/>
    <w:rsid w:val="00513EEE"/>
    <w:rsid w:val="005556E0"/>
    <w:rsid w:val="00582064"/>
    <w:rsid w:val="005F6429"/>
    <w:rsid w:val="005F713D"/>
    <w:rsid w:val="00645FB0"/>
    <w:rsid w:val="00691FEE"/>
    <w:rsid w:val="00756C59"/>
    <w:rsid w:val="00763584"/>
    <w:rsid w:val="007915CC"/>
    <w:rsid w:val="00793E8F"/>
    <w:rsid w:val="007A1E56"/>
    <w:rsid w:val="007A48A1"/>
    <w:rsid w:val="007A6FB1"/>
    <w:rsid w:val="007C14A7"/>
    <w:rsid w:val="007C3E50"/>
    <w:rsid w:val="007C57D2"/>
    <w:rsid w:val="007D1FD4"/>
    <w:rsid w:val="007D2560"/>
    <w:rsid w:val="007E0EDE"/>
    <w:rsid w:val="007F60F8"/>
    <w:rsid w:val="00831710"/>
    <w:rsid w:val="00833A9F"/>
    <w:rsid w:val="0083675E"/>
    <w:rsid w:val="008A5998"/>
    <w:rsid w:val="008F66B0"/>
    <w:rsid w:val="00947514"/>
    <w:rsid w:val="00960D86"/>
    <w:rsid w:val="009640C3"/>
    <w:rsid w:val="00986A77"/>
    <w:rsid w:val="009B5E61"/>
    <w:rsid w:val="009F0A44"/>
    <w:rsid w:val="00A022D8"/>
    <w:rsid w:val="00A24C7E"/>
    <w:rsid w:val="00A2576A"/>
    <w:rsid w:val="00A563B7"/>
    <w:rsid w:val="00A87197"/>
    <w:rsid w:val="00AA11C2"/>
    <w:rsid w:val="00AD73B1"/>
    <w:rsid w:val="00AE4F53"/>
    <w:rsid w:val="00AE6A00"/>
    <w:rsid w:val="00B03950"/>
    <w:rsid w:val="00B24B11"/>
    <w:rsid w:val="00B30CFF"/>
    <w:rsid w:val="00B37A14"/>
    <w:rsid w:val="00B91897"/>
    <w:rsid w:val="00C00312"/>
    <w:rsid w:val="00C45CDD"/>
    <w:rsid w:val="00C7267B"/>
    <w:rsid w:val="00C84F70"/>
    <w:rsid w:val="00C96E18"/>
    <w:rsid w:val="00D4390B"/>
    <w:rsid w:val="00D56B13"/>
    <w:rsid w:val="00D93EFE"/>
    <w:rsid w:val="00DC6407"/>
    <w:rsid w:val="00DE116F"/>
    <w:rsid w:val="00E03801"/>
    <w:rsid w:val="00E416E6"/>
    <w:rsid w:val="00E700EA"/>
    <w:rsid w:val="00E76813"/>
    <w:rsid w:val="00E8399C"/>
    <w:rsid w:val="00EA4609"/>
    <w:rsid w:val="00EF6EE6"/>
    <w:rsid w:val="00F00588"/>
    <w:rsid w:val="00F35D47"/>
    <w:rsid w:val="00F83CCD"/>
    <w:rsid w:val="00FB43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F49E1"/>
  <w15:chartTrackingRefBased/>
  <w15:docId w15:val="{714D969C-E74C-7348-842B-D1DEAF5C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67"/>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Hipervnculo">
    <w:name w:val="Hyperlink"/>
    <w:basedOn w:val="Fuentedeprrafopredeter"/>
    <w:uiPriority w:val="99"/>
    <w:unhideWhenUsed/>
    <w:rsid w:val="00C84F70"/>
    <w:rPr>
      <w:color w:val="0563C1" w:themeColor="hyperlink"/>
      <w:u w:val="single"/>
    </w:rPr>
  </w:style>
  <w:style w:type="character" w:styleId="Mencinsinresolver">
    <w:name w:val="Unresolved Mention"/>
    <w:basedOn w:val="Fuentedeprrafopredeter"/>
    <w:uiPriority w:val="99"/>
    <w:semiHidden/>
    <w:unhideWhenUsed/>
    <w:rsid w:val="00C84F70"/>
    <w:rPr>
      <w:color w:val="605E5C"/>
      <w:shd w:val="clear" w:color="auto" w:fill="E1DFDD"/>
    </w:rPr>
  </w:style>
  <w:style w:type="character" w:styleId="Hipervnculovisitado">
    <w:name w:val="FollowedHyperlink"/>
    <w:basedOn w:val="Fuentedeprrafopredeter"/>
    <w:uiPriority w:val="99"/>
    <w:semiHidden/>
    <w:unhideWhenUsed/>
    <w:rsid w:val="00EA4609"/>
    <w:rPr>
      <w:color w:val="954F72" w:themeColor="followedHyperlink"/>
      <w:u w:val="single"/>
    </w:rPr>
  </w:style>
  <w:style w:type="paragraph" w:styleId="Revisin">
    <w:name w:val="Revision"/>
    <w:hidden/>
    <w:uiPriority w:val="99"/>
    <w:semiHidden/>
    <w:rsid w:val="00E700EA"/>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C7267B"/>
    <w:rPr>
      <w:sz w:val="16"/>
      <w:szCs w:val="16"/>
    </w:rPr>
  </w:style>
  <w:style w:type="paragraph" w:styleId="Asuntodelcomentario">
    <w:name w:val="annotation subject"/>
    <w:basedOn w:val="Textocomentario"/>
    <w:next w:val="Textocomentario"/>
    <w:link w:val="AsuntodelcomentarioCar"/>
    <w:uiPriority w:val="99"/>
    <w:semiHidden/>
    <w:unhideWhenUsed/>
    <w:rsid w:val="00C7267B"/>
    <w:rPr>
      <w:b/>
      <w:bCs/>
    </w:rPr>
  </w:style>
  <w:style w:type="character" w:customStyle="1" w:styleId="AsuntodelcomentarioCar">
    <w:name w:val="Asunto del comentario Car"/>
    <w:basedOn w:val="TextocomentarioCar"/>
    <w:link w:val="Asuntodelcomentario"/>
    <w:uiPriority w:val="99"/>
    <w:semiHidden/>
    <w:rsid w:val="00C7267B"/>
    <w:rPr>
      <w:rFonts w:ascii="Times New Roman" w:eastAsia="Times New Roman" w:hAnsi="Times New Roman" w:cs="Times New Roman"/>
      <w:b/>
      <w:bCs/>
      <w:sz w:val="20"/>
      <w:szCs w:val="20"/>
      <w:lang w:eastAsia="es-MX"/>
    </w:rPr>
  </w:style>
  <w:style w:type="paragraph" w:styleId="NormalWeb">
    <w:name w:val="Normal (Web)"/>
    <w:basedOn w:val="Normal"/>
    <w:link w:val="NormalWebCar"/>
    <w:uiPriority w:val="99"/>
    <w:unhideWhenUsed/>
    <w:rsid w:val="00E8399C"/>
    <w:pPr>
      <w:spacing w:before="100" w:beforeAutospacing="1" w:after="100" w:afterAutospacing="1"/>
    </w:pPr>
    <w:rPr>
      <w:lang w:eastAsia="es-CO"/>
    </w:rPr>
  </w:style>
  <w:style w:type="character" w:customStyle="1" w:styleId="NormalWebCar">
    <w:name w:val="Normal (Web) Car"/>
    <w:link w:val="NormalWeb"/>
    <w:uiPriority w:val="99"/>
    <w:rsid w:val="00E8399C"/>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colombiacompra.gov.co/sites/default/files/manuales/20140901_manual_requisitos_habilitantes_4_web.pdf" TargetMode="External"/><Relationship Id="rId2" Type="http://schemas.openxmlformats.org/officeDocument/2006/relationships/hyperlink" Target="https://colombiacompra.gov.co/sites/default/files/manuales/20140901_manual_requisitos_habilitantes_4_web.pdf" TargetMode="External"/><Relationship Id="rId1" Type="http://schemas.openxmlformats.org/officeDocument/2006/relationships/hyperlink" Target="https://www.colombiacompra.gov.co/sites/cce_public/files/cce_documents/cce_manual_requisitos_habilitantes.pdf" TargetMode="External"/><Relationship Id="rId4" Type="http://schemas.openxmlformats.org/officeDocument/2006/relationships/hyperlink" Target="https://colombiacompra.gov.co/sites/default/files/manuales/20140901_manual_requisitos_habilitantes_4_web.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E5F2F-E601-453B-8C08-B9BAE9F84B0D}">
  <ds:schemaRefs>
    <ds:schemaRef ds:uri="http://schemas.openxmlformats.org/officeDocument/2006/bibliography"/>
  </ds:schemaRefs>
</ds:datastoreItem>
</file>

<file path=customXml/itemProps2.xml><?xml version="1.0" encoding="utf-8"?>
<ds:datastoreItem xmlns:ds="http://schemas.openxmlformats.org/officeDocument/2006/customXml" ds:itemID="{75E2976F-CA11-430E-89D9-20E8FD1AEDC0}">
  <ds:schemaRefs>
    <ds:schemaRef ds:uri="http://schemas.microsoft.com/sharepoint/v3/contenttype/forms"/>
  </ds:schemaRefs>
</ds:datastoreItem>
</file>

<file path=customXml/itemProps3.xml><?xml version="1.0" encoding="utf-8"?>
<ds:datastoreItem xmlns:ds="http://schemas.openxmlformats.org/officeDocument/2006/customXml" ds:itemID="{10B84944-C382-4905-804D-7C7E471DD1D5}">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8A91C010-8659-4830-85A9-704BCBDD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4736</Words>
  <Characters>26048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MARIA CLAUDIA DE LA OSSA BOBADILLA</cp:lastModifiedBy>
  <cp:revision>2</cp:revision>
  <dcterms:created xsi:type="dcterms:W3CDTF">2022-11-22T20:45:00Z</dcterms:created>
  <dcterms:modified xsi:type="dcterms:W3CDTF">2022-11-22T20:45:00Z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