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5EB" w14:textId="0C8C8D52" w:rsidR="00155283" w:rsidRPr="00155283" w:rsidRDefault="00C579A6" w:rsidP="006A48BB">
      <w:pPr>
        <w:spacing w:after="0" w:line="240" w:lineRule="auto"/>
        <w:jc w:val="both"/>
        <w:rPr>
          <w:rFonts w:ascii="Geomanist Light" w:hAnsi="Geomanist Light" w:cs="Arial"/>
          <w:b/>
          <w:szCs w:val="24"/>
          <w:lang w:val="es-MX" w:eastAsia="es-ES_tradnl"/>
        </w:rPr>
      </w:pPr>
      <w:bookmarkStart w:id="0" w:name="_Hlk103947551"/>
      <w:r>
        <w:rPr>
          <w:rFonts w:ascii="Geomanist Light" w:hAnsi="Geomanist Light" w:cs="Arial"/>
          <w:b/>
          <w:szCs w:val="24"/>
          <w:lang w:val="es-MX" w:eastAsia="es-ES_tradnl"/>
        </w:rPr>
        <w:t>PRINCIPIO DE TRANSPARENCIA</w:t>
      </w:r>
      <w:r w:rsidR="00155283" w:rsidRPr="00155283">
        <w:rPr>
          <w:rFonts w:ascii="Geomanist Light" w:hAnsi="Geomanist Light" w:cs="Arial"/>
          <w:b/>
          <w:szCs w:val="24"/>
          <w:lang w:val="es-MX" w:eastAsia="es-ES_tradnl"/>
        </w:rPr>
        <w:t xml:space="preserve"> – </w:t>
      </w:r>
      <w:r w:rsidR="005B4BA6">
        <w:rPr>
          <w:rFonts w:ascii="Geomanist Light" w:hAnsi="Geomanist Light" w:cs="Arial"/>
          <w:b/>
          <w:szCs w:val="24"/>
          <w:lang w:val="es-MX" w:eastAsia="es-ES_tradnl"/>
        </w:rPr>
        <w:t xml:space="preserve">Finalidad </w:t>
      </w:r>
      <w:r w:rsidR="00155283" w:rsidRPr="00155283">
        <w:rPr>
          <w:rFonts w:ascii="Geomanist Light" w:hAnsi="Geomanist Light" w:cs="Arial"/>
          <w:b/>
          <w:szCs w:val="24"/>
          <w:lang w:val="es-MX" w:eastAsia="es-ES_tradnl"/>
        </w:rPr>
        <w:t xml:space="preserve"> </w:t>
      </w:r>
    </w:p>
    <w:p w14:paraId="2401DB52" w14:textId="77777777" w:rsidR="00155283" w:rsidRPr="00155283" w:rsidRDefault="00155283" w:rsidP="005B4BA6">
      <w:pPr>
        <w:spacing w:after="0" w:line="240" w:lineRule="auto"/>
        <w:jc w:val="both"/>
        <w:rPr>
          <w:rFonts w:ascii="Geomanist Light" w:hAnsi="Geomanist Light" w:cs="Arial"/>
          <w:b/>
          <w:szCs w:val="24"/>
          <w:lang w:val="es-MX" w:eastAsia="es-ES_tradnl"/>
        </w:rPr>
      </w:pPr>
    </w:p>
    <w:p w14:paraId="213082FE" w14:textId="7A37AB76" w:rsidR="005B4BA6" w:rsidRPr="005B4BA6" w:rsidRDefault="005B4BA6" w:rsidP="005B4BA6">
      <w:pPr>
        <w:spacing w:after="0" w:line="240" w:lineRule="auto"/>
        <w:jc w:val="both"/>
        <w:rPr>
          <w:rFonts w:ascii="Geomanist Light" w:hAnsi="Geomanist Light" w:cs="Arial"/>
          <w:bCs/>
          <w:sz w:val="20"/>
          <w:szCs w:val="20"/>
          <w:lang w:val="es-ES_tradnl" w:eastAsia="es-ES_tradnl"/>
        </w:rPr>
      </w:pPr>
      <w:r w:rsidRPr="005B4BA6">
        <w:rPr>
          <w:rFonts w:ascii="Geomanist Light" w:hAnsi="Geomanist Light" w:cs="Arial"/>
          <w:bCs/>
          <w:sz w:val="20"/>
          <w:szCs w:val="20"/>
          <w:lang w:val="es-ES_tradnl" w:eastAsia="es-ES_tradnl"/>
        </w:rPr>
        <w:t xml:space="preserve">En cuanto a la importancia del principio de transparencia, que rige las actuaciones contractuales de las entidades estatales, la Sección Tercera del Consejo de Estado afirmó: 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7942789E" w14:textId="77777777" w:rsidR="005B4BA6" w:rsidRPr="00FB186E" w:rsidRDefault="005B4BA6" w:rsidP="006A48BB">
      <w:pPr>
        <w:spacing w:after="0" w:line="240" w:lineRule="auto"/>
        <w:jc w:val="both"/>
        <w:rPr>
          <w:rFonts w:ascii="Geomanist Light" w:hAnsi="Geomanist Light" w:cs="Arial"/>
          <w:b/>
          <w:szCs w:val="24"/>
          <w:lang w:val="es-ES_tradnl" w:eastAsia="es-ES_tradnl"/>
        </w:rPr>
      </w:pPr>
    </w:p>
    <w:p w14:paraId="73F4A52B" w14:textId="54271752" w:rsidR="00DB0A15" w:rsidRDefault="005B4BA6" w:rsidP="006A48BB">
      <w:pPr>
        <w:spacing w:after="0" w:line="240" w:lineRule="auto"/>
        <w:jc w:val="both"/>
        <w:rPr>
          <w:rFonts w:ascii="Geomanist Light" w:hAnsi="Geomanist Light" w:cs="Arial"/>
          <w:b/>
          <w:szCs w:val="24"/>
          <w:lang w:val="es-MX" w:eastAsia="es-ES_tradnl"/>
        </w:rPr>
      </w:pPr>
      <w:r>
        <w:rPr>
          <w:rFonts w:ascii="Geomanist Light" w:hAnsi="Geomanist Light" w:cs="Arial"/>
          <w:b/>
          <w:szCs w:val="24"/>
          <w:lang w:val="es-MX" w:eastAsia="es-ES_tradnl"/>
        </w:rPr>
        <w:t xml:space="preserve">INFORME DE EVALUACIÓN </w:t>
      </w:r>
      <w:r w:rsidR="00155283" w:rsidRPr="00155283">
        <w:rPr>
          <w:rFonts w:ascii="Geomanist Light" w:hAnsi="Geomanist Light" w:cs="Arial"/>
          <w:b/>
          <w:szCs w:val="24"/>
          <w:lang w:val="es-MX" w:eastAsia="es-ES_tradnl"/>
        </w:rPr>
        <w:t xml:space="preserve">– </w:t>
      </w:r>
      <w:r>
        <w:rPr>
          <w:rFonts w:ascii="Geomanist Light" w:hAnsi="Geomanist Light" w:cs="Arial"/>
          <w:b/>
          <w:szCs w:val="24"/>
          <w:lang w:val="es-MX" w:eastAsia="es-ES_tradnl"/>
        </w:rPr>
        <w:t>Naturaleza</w:t>
      </w:r>
    </w:p>
    <w:p w14:paraId="0FB2FA18" w14:textId="60311CEB" w:rsidR="00DB0A15" w:rsidRDefault="00DB0A15" w:rsidP="006A48BB">
      <w:pPr>
        <w:spacing w:after="0" w:line="240" w:lineRule="auto"/>
        <w:jc w:val="both"/>
        <w:rPr>
          <w:rFonts w:ascii="Geomanist Light" w:hAnsi="Geomanist Light" w:cs="Arial"/>
          <w:b/>
          <w:szCs w:val="24"/>
          <w:lang w:val="es-MX" w:eastAsia="es-ES_tradnl"/>
        </w:rPr>
      </w:pPr>
    </w:p>
    <w:p w14:paraId="572F5809" w14:textId="56FE30A3" w:rsidR="00DB0A15" w:rsidRPr="005B4BA6" w:rsidRDefault="005B4BA6" w:rsidP="005B4BA6">
      <w:pPr>
        <w:spacing w:after="0" w:line="240" w:lineRule="auto"/>
        <w:jc w:val="both"/>
        <w:rPr>
          <w:rFonts w:ascii="Geomanist Light" w:hAnsi="Geomanist Light" w:cs="Arial"/>
          <w:bCs/>
          <w:sz w:val="20"/>
          <w:szCs w:val="20"/>
          <w:lang w:val="es-ES" w:eastAsia="es-ES_tradnl"/>
        </w:rPr>
      </w:pPr>
      <w:r w:rsidRPr="005B4BA6">
        <w:rPr>
          <w:rFonts w:ascii="Geomanist Light" w:hAnsi="Geomanist Light" w:cs="Arial"/>
          <w:bCs/>
          <w:sz w:val="20"/>
          <w:szCs w:val="20"/>
          <w:lang w:val="es-MX" w:eastAsia="es-ES_tradnl"/>
        </w:rPr>
        <w:t xml:space="preserve">Este </w:t>
      </w:r>
      <w:r w:rsidRPr="005B4BA6">
        <w:rPr>
          <w:rFonts w:ascii="Geomanist Light" w:hAnsi="Geomanist Light" w:cs="Arial"/>
          <w:bCs/>
          <w:sz w:val="20"/>
          <w:szCs w:val="20"/>
          <w:lang w:val="es-ES" w:eastAsia="es-ES_tradnl"/>
        </w:rPr>
        <w:t xml:space="preserve">informe de evaluación de las propuestas es un acto de trámite –preparatorio–. Dicho informe no decide de manera definitiva la adjudicación, ni le confiere al proponente calificado con el mayor puntaje el derecho a exigir la adjudicación a su favor, toda vez que la competencia para proferir el acto administrativo de adjudicación corresponde al jefe o representante de la entidad estatal, o en quien éste haya delegado dicha competencia. Al respecto, </w:t>
      </w:r>
      <w:r w:rsidRPr="005B4BA6">
        <w:rPr>
          <w:rFonts w:ascii="Geomanist Light" w:hAnsi="Geomanist Light" w:cs="Arial"/>
          <w:bCs/>
          <w:sz w:val="20"/>
          <w:szCs w:val="20"/>
          <w:lang w:val="es-ES_tradnl" w:eastAsia="es-ES_tradnl"/>
        </w:rPr>
        <w:t xml:space="preserve">el Consejo de Estado ha señalado que </w:t>
      </w:r>
      <w:bookmarkStart w:id="1" w:name="_Hlk118304201"/>
      <w:r w:rsidRPr="005B4BA6">
        <w:rPr>
          <w:rFonts w:ascii="Geomanist Light" w:hAnsi="Geomanist Light" w:cs="Arial"/>
          <w:bCs/>
          <w:sz w:val="20"/>
          <w:szCs w:val="20"/>
          <w:lang w:val="es-MX" w:eastAsia="es-ES_tradnl"/>
        </w:rPr>
        <w:t>«</w:t>
      </w:r>
      <w:bookmarkEnd w:id="1"/>
      <w:r w:rsidRPr="005B4BA6">
        <w:rPr>
          <w:rFonts w:ascii="Geomanist Light" w:hAnsi="Geomanist Light" w:cs="Arial"/>
          <w:bCs/>
          <w:sz w:val="20"/>
          <w:szCs w:val="20"/>
          <w:lang w:eastAsia="es-ES_tradnl"/>
        </w:rPr>
        <w:t>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5B4BA6">
        <w:rPr>
          <w:rFonts w:ascii="Geomanist Light" w:hAnsi="Geomanist Light" w:cs="Arial"/>
          <w:bCs/>
          <w:sz w:val="20"/>
          <w:szCs w:val="20"/>
          <w:lang w:val="es-MX" w:eastAsia="es-ES_tradnl"/>
        </w:rPr>
        <w:t>»</w:t>
      </w:r>
      <w:r>
        <w:rPr>
          <w:rFonts w:ascii="Geomanist Light" w:hAnsi="Geomanist Light" w:cs="Arial"/>
          <w:bCs/>
          <w:sz w:val="20"/>
          <w:szCs w:val="20"/>
          <w:lang w:val="es-ES_tradnl" w:eastAsia="es-ES_tradnl"/>
        </w:rPr>
        <w:t xml:space="preserve">. </w:t>
      </w:r>
    </w:p>
    <w:p w14:paraId="5B4CA6F0" w14:textId="77777777" w:rsidR="005B4BA6" w:rsidRPr="006A48BB" w:rsidRDefault="005B4BA6" w:rsidP="005B4BA6">
      <w:pPr>
        <w:spacing w:after="0" w:line="240" w:lineRule="auto"/>
        <w:jc w:val="both"/>
        <w:rPr>
          <w:rFonts w:ascii="Geomanist Light" w:hAnsi="Geomanist Light" w:cs="Arial"/>
          <w:bCs/>
          <w:sz w:val="20"/>
          <w:szCs w:val="20"/>
          <w:lang w:val="es-ES_tradnl" w:eastAsia="es-ES_tradnl"/>
        </w:rPr>
      </w:pPr>
    </w:p>
    <w:p w14:paraId="26AD3BA7" w14:textId="412B49DB" w:rsidR="005B4BA6" w:rsidRDefault="005B4BA6" w:rsidP="005B4BA6">
      <w:pPr>
        <w:spacing w:after="0" w:line="240" w:lineRule="auto"/>
        <w:jc w:val="both"/>
        <w:rPr>
          <w:rFonts w:ascii="Geomanist Light" w:hAnsi="Geomanist Light" w:cs="Arial"/>
          <w:b/>
          <w:bCs/>
          <w:szCs w:val="24"/>
          <w:lang w:val="es-MX" w:eastAsia="es-ES_tradnl"/>
        </w:rPr>
      </w:pPr>
      <w:r>
        <w:rPr>
          <w:rFonts w:ascii="Geomanist Light" w:hAnsi="Geomanist Light" w:cs="Arial"/>
          <w:b/>
          <w:szCs w:val="24"/>
          <w:lang w:val="es-MX" w:eastAsia="es-ES_tradnl"/>
        </w:rPr>
        <w:t xml:space="preserve">COMITÉ EVALUADOR </w:t>
      </w:r>
      <w:r w:rsidRPr="00155283">
        <w:rPr>
          <w:rFonts w:ascii="Geomanist Light" w:hAnsi="Geomanist Light" w:cs="Arial"/>
          <w:b/>
          <w:szCs w:val="24"/>
          <w:lang w:val="es-MX" w:eastAsia="es-ES_tradnl"/>
        </w:rPr>
        <w:t xml:space="preserve">– </w:t>
      </w:r>
      <w:r>
        <w:rPr>
          <w:rFonts w:ascii="Geomanist Light" w:hAnsi="Geomanist Light" w:cs="Arial"/>
          <w:b/>
          <w:szCs w:val="24"/>
          <w:lang w:val="es-MX" w:eastAsia="es-ES_tradnl"/>
        </w:rPr>
        <w:t xml:space="preserve">Órgano asesor </w:t>
      </w:r>
      <w:r w:rsidRPr="00155283">
        <w:rPr>
          <w:rFonts w:ascii="Geomanist Light" w:hAnsi="Geomanist Light" w:cs="Arial"/>
          <w:b/>
          <w:szCs w:val="24"/>
          <w:lang w:val="es-MX" w:eastAsia="es-ES_tradnl"/>
        </w:rPr>
        <w:t xml:space="preserve">– </w:t>
      </w:r>
      <w:r>
        <w:rPr>
          <w:rFonts w:ascii="Geomanist Light" w:hAnsi="Geomanist Light" w:cs="Arial"/>
          <w:b/>
          <w:bCs/>
          <w:szCs w:val="24"/>
          <w:lang w:val="es-MX" w:eastAsia="es-ES_tradnl"/>
        </w:rPr>
        <w:t xml:space="preserve">Actividad reglada </w:t>
      </w:r>
    </w:p>
    <w:p w14:paraId="17EBEA33" w14:textId="77777777" w:rsidR="00DB0A15" w:rsidRDefault="00DB0A15" w:rsidP="006A48BB">
      <w:pPr>
        <w:spacing w:after="0" w:line="240" w:lineRule="auto"/>
        <w:jc w:val="both"/>
        <w:rPr>
          <w:rFonts w:ascii="Geomanist Light" w:hAnsi="Geomanist Light" w:cs="Arial"/>
          <w:b/>
          <w:szCs w:val="24"/>
          <w:lang w:val="es-MX" w:eastAsia="es-ES_tradnl"/>
        </w:rPr>
      </w:pPr>
    </w:p>
    <w:p w14:paraId="205D62AB" w14:textId="56AFDB24" w:rsidR="009621FA" w:rsidRPr="009621FA" w:rsidRDefault="009621FA" w:rsidP="009621FA">
      <w:pPr>
        <w:spacing w:after="0" w:line="240" w:lineRule="auto"/>
        <w:jc w:val="both"/>
        <w:rPr>
          <w:rFonts w:ascii="Geomanist Light" w:hAnsi="Geomanist Light" w:cs="Arial"/>
          <w:bCs/>
          <w:sz w:val="20"/>
          <w:szCs w:val="20"/>
          <w:lang w:val="es-ES" w:eastAsia="es-ES_tradnl"/>
        </w:rPr>
      </w:pPr>
      <w:r>
        <w:rPr>
          <w:rFonts w:ascii="Geomanist Light" w:hAnsi="Geomanist Light" w:cs="Arial"/>
          <w:bCs/>
          <w:sz w:val="20"/>
          <w:szCs w:val="20"/>
          <w:lang w:val="es-ES" w:eastAsia="es-ES_tradnl"/>
        </w:rPr>
        <w:t>E</w:t>
      </w:r>
      <w:r w:rsidRPr="009621FA">
        <w:rPr>
          <w:rFonts w:ascii="Geomanist Light" w:hAnsi="Geomanist Light" w:cs="Arial"/>
          <w:bCs/>
          <w:sz w:val="20"/>
          <w:szCs w:val="20"/>
          <w:lang w:val="es-ES" w:eastAsia="es-ES_tradnl"/>
        </w:rPr>
        <w:t xml:space="preserve">l comité evaluador designado tiene el deber de evaluar las ofertas con sujeción estricta a los parámetros señalados en el pliego de condiciones y no puede basarse en criterios caprichosos o subjetivos. De ahí que se afirme que «la actividad de evaluación es actuación reglada en la cual las recomendaciones del comité deben basarse en los criterios o parámetros previamente definidos por la administración como las bases de la licitación. Por consiguiente, el informe de evaluación de las ofertas debe ser motivado con el fin de garantizar el principio de transparencia y de publicidad de la actividad precontractual, como así lo establece el artículo 24 numeral 7 de la ley 80 de 1993». Por tanto, esta actividad reglada de la evaluación se encuentra íntimamente ligada con el deber de motivación del informe de evaluación, toda vez que el comité evaluador deberá sustentar la calificación de las ofertas con base en las reglas fijadas en el pliego de condiciones, lo que supone, como mínimo, el análisis de estos en relación con la propuesta presentada. </w:t>
      </w:r>
    </w:p>
    <w:p w14:paraId="4303422A" w14:textId="77777777" w:rsidR="005B4BA6" w:rsidRDefault="005B4BA6" w:rsidP="005B4BA6">
      <w:pPr>
        <w:spacing w:after="0" w:line="240" w:lineRule="auto"/>
        <w:jc w:val="both"/>
        <w:rPr>
          <w:rFonts w:ascii="Geomanist Light" w:hAnsi="Geomanist Light" w:cs="Arial"/>
          <w:b/>
          <w:szCs w:val="24"/>
          <w:lang w:val="es-MX" w:eastAsia="es-ES_tradnl"/>
        </w:rPr>
      </w:pPr>
    </w:p>
    <w:p w14:paraId="0A32C072" w14:textId="460F7694" w:rsidR="005B4BA6" w:rsidRDefault="005B4BA6" w:rsidP="005B4BA6">
      <w:pPr>
        <w:spacing w:after="0" w:line="240" w:lineRule="auto"/>
        <w:jc w:val="both"/>
        <w:rPr>
          <w:rFonts w:ascii="Geomanist Light" w:hAnsi="Geomanist Light" w:cs="Arial"/>
          <w:b/>
          <w:szCs w:val="24"/>
          <w:lang w:val="es-MX" w:eastAsia="es-ES_tradnl"/>
        </w:rPr>
      </w:pPr>
      <w:r>
        <w:rPr>
          <w:rFonts w:ascii="Geomanist Light" w:hAnsi="Geomanist Light" w:cs="Arial"/>
          <w:b/>
          <w:szCs w:val="24"/>
          <w:lang w:val="es-MX" w:eastAsia="es-ES_tradnl"/>
        </w:rPr>
        <w:t xml:space="preserve">INFORME DE EVALUACIÓN </w:t>
      </w:r>
      <w:r w:rsidRPr="00155283">
        <w:rPr>
          <w:rFonts w:ascii="Geomanist Light" w:hAnsi="Geomanist Light" w:cs="Arial"/>
          <w:b/>
          <w:szCs w:val="24"/>
          <w:lang w:val="es-MX" w:eastAsia="es-ES_tradnl"/>
        </w:rPr>
        <w:t>–</w:t>
      </w:r>
      <w:r w:rsidR="009621FA">
        <w:rPr>
          <w:rFonts w:ascii="Geomanist Light" w:hAnsi="Geomanist Light" w:cs="Arial"/>
          <w:b/>
          <w:szCs w:val="24"/>
          <w:lang w:val="es-MX" w:eastAsia="es-ES_tradnl"/>
        </w:rPr>
        <w:t xml:space="preserve"> Forma </w:t>
      </w:r>
      <w:r w:rsidR="009621FA" w:rsidRPr="00155283">
        <w:rPr>
          <w:rFonts w:ascii="Geomanist Light" w:hAnsi="Geomanist Light" w:cs="Arial"/>
          <w:b/>
          <w:szCs w:val="24"/>
          <w:lang w:val="es-MX" w:eastAsia="es-ES_tradnl"/>
        </w:rPr>
        <w:t>–</w:t>
      </w:r>
      <w:r w:rsidR="009621FA">
        <w:rPr>
          <w:rFonts w:ascii="Geomanist Light" w:hAnsi="Geomanist Light" w:cs="Arial"/>
          <w:b/>
          <w:szCs w:val="24"/>
          <w:lang w:val="es-MX" w:eastAsia="es-ES_tradnl"/>
        </w:rPr>
        <w:t>Deber de</w:t>
      </w:r>
      <w:r w:rsidRPr="00155283">
        <w:rPr>
          <w:rFonts w:ascii="Geomanist Light" w:hAnsi="Geomanist Light" w:cs="Arial"/>
          <w:b/>
          <w:szCs w:val="24"/>
          <w:lang w:val="es-MX" w:eastAsia="es-ES_tradnl"/>
        </w:rPr>
        <w:t xml:space="preserve"> </w:t>
      </w:r>
      <w:r w:rsidR="009621FA">
        <w:rPr>
          <w:rFonts w:ascii="Geomanist Light" w:hAnsi="Geomanist Light" w:cs="Arial"/>
          <w:b/>
          <w:szCs w:val="24"/>
          <w:lang w:val="es-MX" w:eastAsia="es-ES_tradnl"/>
        </w:rPr>
        <w:t>m</w:t>
      </w:r>
      <w:r>
        <w:rPr>
          <w:rFonts w:ascii="Geomanist Light" w:hAnsi="Geomanist Light" w:cs="Arial"/>
          <w:b/>
          <w:szCs w:val="24"/>
          <w:lang w:val="es-MX" w:eastAsia="es-ES_tradnl"/>
        </w:rPr>
        <w:t xml:space="preserve">otivación </w:t>
      </w:r>
    </w:p>
    <w:p w14:paraId="0443F4DA" w14:textId="77777777" w:rsidR="00155283" w:rsidRPr="00155283" w:rsidRDefault="00155283" w:rsidP="006A48BB">
      <w:pPr>
        <w:spacing w:after="0" w:line="240" w:lineRule="auto"/>
        <w:jc w:val="both"/>
        <w:rPr>
          <w:rFonts w:ascii="Geomanist Light" w:hAnsi="Geomanist Light" w:cs="Arial"/>
          <w:b/>
          <w:szCs w:val="24"/>
          <w:lang w:val="es-ES" w:eastAsia="es-ES_tradnl"/>
        </w:rPr>
      </w:pPr>
    </w:p>
    <w:p w14:paraId="66C1612F" w14:textId="69BD9853" w:rsidR="009621FA" w:rsidRPr="002A57AB" w:rsidRDefault="009621FA" w:rsidP="002A57AB">
      <w:pPr>
        <w:jc w:val="both"/>
        <w:rPr>
          <w:rFonts w:ascii="Geomanist Light" w:hAnsi="Geomanist Light" w:cs="Arial"/>
          <w:bCs/>
          <w:lang w:val="es-MX" w:eastAsia="es-ES_tradnl"/>
        </w:rPr>
      </w:pPr>
      <w:r>
        <w:rPr>
          <w:rFonts w:ascii="Geomanist Light" w:hAnsi="Geomanist Light" w:cs="Arial"/>
          <w:bCs/>
          <w:sz w:val="20"/>
          <w:szCs w:val="20"/>
          <w:lang w:val="es-ES" w:eastAsia="es-ES_tradnl"/>
        </w:rPr>
        <w:t>D</w:t>
      </w:r>
      <w:r w:rsidRPr="009621FA">
        <w:rPr>
          <w:rFonts w:ascii="Geomanist Light" w:hAnsi="Geomanist Light" w:cs="Arial"/>
          <w:bCs/>
          <w:sz w:val="20"/>
          <w:szCs w:val="20"/>
          <w:lang w:val="es-ES" w:eastAsia="es-ES_tradnl"/>
        </w:rPr>
        <w:t>ebe decirse que el ordenamiento jurídico no prevé alguna forma o contenido específico en el que deba elaborarse el informe de evaluación. En tal sentido, las entidades estatales pueden configurar el contenido de dicho documento de manera discrecional. Así, el informe de evaluación puede constar en un acta, o en un documento especial denominado informe de evaluación, o cualquier otra forma escrita que permita su publicación por los medios establecidos en el ordenamiento</w:t>
      </w:r>
      <w:r w:rsidR="002A57AB">
        <w:rPr>
          <w:rFonts w:ascii="Geomanist Light" w:hAnsi="Geomanist Light" w:cs="Arial"/>
          <w:bCs/>
          <w:sz w:val="20"/>
          <w:szCs w:val="20"/>
          <w:lang w:val="es-ES" w:eastAsia="es-ES_tradnl"/>
        </w:rPr>
        <w:t>.</w:t>
      </w:r>
      <w:r w:rsidR="002A57AB" w:rsidRPr="002A57AB">
        <w:rPr>
          <w:rFonts w:ascii="Geomanist Light" w:hAnsi="Geomanist Light" w:cs="Arial"/>
          <w:sz w:val="18"/>
          <w:szCs w:val="18"/>
        </w:rPr>
        <w:t xml:space="preserve"> </w:t>
      </w:r>
      <w:r w:rsidR="002A57AB" w:rsidRPr="002A57AB">
        <w:rPr>
          <w:rFonts w:ascii="Geomanist Light" w:hAnsi="Geomanist Light" w:cs="Arial"/>
          <w:bCs/>
          <w:sz w:val="20"/>
          <w:szCs w:val="20"/>
          <w:lang w:val="es-MX" w:eastAsia="es-ES_tradnl"/>
        </w:rPr>
        <w:t>[...]</w:t>
      </w:r>
      <w:r w:rsidR="002A57AB" w:rsidRPr="002A57AB">
        <w:rPr>
          <w:rFonts w:ascii="Geomanist Light" w:hAnsi="Geomanist Light" w:cs="Arial"/>
          <w:bCs/>
          <w:sz w:val="20"/>
          <w:szCs w:val="20"/>
          <w:lang w:val="es-ES" w:eastAsia="es-ES_tradnl"/>
        </w:rPr>
        <w:t xml:space="preserve"> </w:t>
      </w:r>
      <w:r w:rsidRPr="009621FA">
        <w:rPr>
          <w:rFonts w:ascii="Geomanist Light" w:hAnsi="Geomanist Light" w:cs="Arial"/>
          <w:bCs/>
          <w:sz w:val="20"/>
          <w:szCs w:val="20"/>
          <w:lang w:val="es-ES_tradnl" w:eastAsia="es-ES_tradnl"/>
        </w:rPr>
        <w:t xml:space="preserve">Independientemente de la forma que se elabore el informe de evaluación, este deberá encontrarse debidamente motivado, es decir, que deberá contener el análisis de la evaluación de las ofertas y contemplar la información suficiente que permita a los oferentes sustentar sus observaciones a dicho informe, lo que supone que se explique en forma detallada el </w:t>
      </w:r>
      <w:r w:rsidRPr="009621FA">
        <w:rPr>
          <w:rFonts w:ascii="Geomanist Light" w:hAnsi="Geomanist Light" w:cs="Arial"/>
          <w:bCs/>
          <w:sz w:val="20"/>
          <w:szCs w:val="20"/>
          <w:lang w:val="es-ES_tradnl" w:eastAsia="es-ES_tradnl"/>
        </w:rPr>
        <w:lastRenderedPageBreak/>
        <w:t xml:space="preserve">análisis de comparación de las ofertas realizado y las razones de rechazo o de incumplimiento de esta. Sobre el particular, la Sala de Consulta y Servicio Civil del Consejo de Estado ha destacado la necesidad de motivación de los informes de evaluación en garantía del principio de transparencia y de igualdad:  </w:t>
      </w:r>
      <w:r w:rsidRPr="005B4BA6">
        <w:rPr>
          <w:rFonts w:ascii="Geomanist Light" w:hAnsi="Geomanist Light" w:cs="Arial"/>
          <w:bCs/>
          <w:sz w:val="20"/>
          <w:szCs w:val="20"/>
          <w:lang w:val="es-MX" w:eastAsia="es-ES_tradnl"/>
        </w:rPr>
        <w:t>«</w:t>
      </w:r>
      <w:r w:rsidRPr="009621FA">
        <w:rPr>
          <w:rFonts w:ascii="Geomanist Light" w:hAnsi="Geomanist Light" w:cs="Arial"/>
          <w:bCs/>
          <w:sz w:val="20"/>
          <w:szCs w:val="20"/>
          <w:lang w:eastAsia="es-ES_tradnl"/>
        </w:rPr>
        <w:t>En defensa de los preceptos constitucionales sobre el debido proceso administrativo y en cumplimiento del principio de transparencia que debe orientar no solo la actividad contractual sino toda actuación administrativa, no cabe duda que los informes de evaluación deben ser debidamente motivados, refiriéndose a cada uno de los factores de evaluación, explicando sus consideraciones positivas y negativas y las razones de rechazo u observación.</w:t>
      </w:r>
      <w:r w:rsidRPr="009621FA">
        <w:rPr>
          <w:rFonts w:ascii="Geomanist Light" w:hAnsi="Geomanist Light" w:cs="Arial"/>
          <w:bCs/>
          <w:i/>
          <w:iCs/>
          <w:sz w:val="20"/>
          <w:szCs w:val="20"/>
          <w:lang w:val="es-ES_tradnl" w:eastAsia="es-ES_tradnl"/>
        </w:rPr>
        <w:t xml:space="preserve"> </w:t>
      </w:r>
      <w:r>
        <w:rPr>
          <w:rFonts w:ascii="Geomanist Light" w:hAnsi="Geomanist Light" w:cs="Arial"/>
          <w:bCs/>
          <w:sz w:val="20"/>
          <w:szCs w:val="20"/>
          <w:lang w:val="es-ES_tradnl" w:eastAsia="es-ES_tradnl"/>
        </w:rPr>
        <w:t xml:space="preserve"> </w:t>
      </w:r>
      <w:r w:rsidRPr="009621FA">
        <w:rPr>
          <w:rFonts w:ascii="Geomanist Light" w:hAnsi="Geomanist Light" w:cs="Arial"/>
          <w:bCs/>
          <w:sz w:val="20"/>
          <w:szCs w:val="20"/>
          <w:lang w:val="es-ES_tradnl" w:eastAsia="es-ES_tradnl"/>
        </w:rPr>
        <w:t>La debida motivación constituye uno de los elementos esenciales del procedimiento, no solo por cuanto garantiza el ejercicio del derecho de contradicción, sino porque constituye la forma más clara de respetar el derecho de participación y el compromiso de igualdad de los participantes, criterios orientadores de la contratación estatal</w:t>
      </w:r>
      <w:r w:rsidRPr="009621FA">
        <w:rPr>
          <w:rFonts w:ascii="Geomanist Light" w:hAnsi="Geomanist Light" w:cs="Arial"/>
          <w:bCs/>
          <w:sz w:val="20"/>
          <w:szCs w:val="20"/>
          <w:lang w:val="es-ES" w:eastAsia="es-ES_tradnl"/>
        </w:rPr>
        <w:t>»</w:t>
      </w:r>
      <w:r>
        <w:rPr>
          <w:rFonts w:ascii="Geomanist Light" w:hAnsi="Geomanist Light" w:cs="Arial"/>
          <w:bCs/>
          <w:sz w:val="20"/>
          <w:szCs w:val="20"/>
          <w:lang w:val="es-ES_tradnl" w:eastAsia="es-ES_tradnl"/>
        </w:rPr>
        <w:t>.</w:t>
      </w:r>
    </w:p>
    <w:p w14:paraId="37EA51B7" w14:textId="77777777" w:rsidR="009621FA" w:rsidRDefault="009621FA" w:rsidP="002A57AB">
      <w:pPr>
        <w:spacing w:after="0" w:line="240" w:lineRule="auto"/>
        <w:jc w:val="both"/>
        <w:rPr>
          <w:rFonts w:ascii="Geomanist Light" w:hAnsi="Geomanist Light" w:cs="Arial"/>
          <w:bCs/>
          <w:sz w:val="20"/>
          <w:szCs w:val="20"/>
          <w:lang w:val="es-ES_tradnl" w:eastAsia="es-ES_tradnl"/>
        </w:rPr>
      </w:pPr>
    </w:p>
    <w:p w14:paraId="7D129A5D" w14:textId="4DB8D314" w:rsidR="006A48BB" w:rsidRDefault="006A48BB" w:rsidP="00B7240D">
      <w:pPr>
        <w:spacing w:after="0" w:line="276" w:lineRule="auto"/>
        <w:jc w:val="both"/>
        <w:rPr>
          <w:rFonts w:ascii="Geomanist Light" w:hAnsi="Geomanist Light" w:cs="Arial"/>
          <w:noProof/>
          <w:color w:val="000000" w:themeColor="text1"/>
        </w:rPr>
      </w:pPr>
    </w:p>
    <w:p w14:paraId="46867251" w14:textId="2EDC7547" w:rsidR="006A48BB" w:rsidRDefault="006A48BB" w:rsidP="00B7240D">
      <w:pPr>
        <w:spacing w:after="0" w:line="276" w:lineRule="auto"/>
        <w:jc w:val="both"/>
        <w:rPr>
          <w:rFonts w:ascii="Geomanist Light" w:hAnsi="Geomanist Light" w:cs="Arial"/>
          <w:noProof/>
          <w:color w:val="000000" w:themeColor="text1"/>
        </w:rPr>
      </w:pPr>
    </w:p>
    <w:p w14:paraId="5A8BF531" w14:textId="464A2ED2" w:rsidR="006A48BB" w:rsidRDefault="006A48BB" w:rsidP="00B7240D">
      <w:pPr>
        <w:spacing w:after="0" w:line="276" w:lineRule="auto"/>
        <w:jc w:val="both"/>
        <w:rPr>
          <w:rFonts w:ascii="Geomanist Light" w:hAnsi="Geomanist Light" w:cs="Arial"/>
          <w:noProof/>
          <w:color w:val="000000" w:themeColor="text1"/>
        </w:rPr>
      </w:pPr>
    </w:p>
    <w:p w14:paraId="26F2F5D9" w14:textId="51CE4B37" w:rsidR="006A48BB" w:rsidRDefault="006A48BB" w:rsidP="00B7240D">
      <w:pPr>
        <w:spacing w:after="0" w:line="276" w:lineRule="auto"/>
        <w:jc w:val="both"/>
        <w:rPr>
          <w:rFonts w:ascii="Geomanist Light" w:hAnsi="Geomanist Light" w:cs="Arial"/>
          <w:noProof/>
          <w:color w:val="000000" w:themeColor="text1"/>
        </w:rPr>
      </w:pPr>
    </w:p>
    <w:p w14:paraId="72285E76" w14:textId="11BCBAC6" w:rsidR="006A48BB" w:rsidRDefault="006A48BB" w:rsidP="00B7240D">
      <w:pPr>
        <w:spacing w:after="0" w:line="276" w:lineRule="auto"/>
        <w:jc w:val="both"/>
        <w:rPr>
          <w:rFonts w:ascii="Geomanist Light" w:hAnsi="Geomanist Light" w:cs="Arial"/>
          <w:noProof/>
          <w:color w:val="000000" w:themeColor="text1"/>
        </w:rPr>
      </w:pPr>
    </w:p>
    <w:p w14:paraId="1055F29C" w14:textId="4C48F262" w:rsidR="006A48BB" w:rsidRDefault="006A48BB" w:rsidP="00B7240D">
      <w:pPr>
        <w:spacing w:after="0" w:line="276" w:lineRule="auto"/>
        <w:jc w:val="both"/>
        <w:rPr>
          <w:rFonts w:ascii="Geomanist Light" w:hAnsi="Geomanist Light" w:cs="Arial"/>
          <w:noProof/>
          <w:color w:val="000000" w:themeColor="text1"/>
        </w:rPr>
      </w:pPr>
    </w:p>
    <w:p w14:paraId="25877DC8" w14:textId="59F135E0" w:rsidR="006A48BB" w:rsidRDefault="006A48BB" w:rsidP="00B7240D">
      <w:pPr>
        <w:spacing w:after="0" w:line="276" w:lineRule="auto"/>
        <w:jc w:val="both"/>
        <w:rPr>
          <w:rFonts w:ascii="Geomanist Light" w:hAnsi="Geomanist Light" w:cs="Arial"/>
          <w:noProof/>
          <w:color w:val="000000" w:themeColor="text1"/>
        </w:rPr>
      </w:pPr>
    </w:p>
    <w:p w14:paraId="15ACB283" w14:textId="1D4900CB" w:rsidR="006A48BB" w:rsidRDefault="006A48BB" w:rsidP="00B7240D">
      <w:pPr>
        <w:spacing w:after="0" w:line="276" w:lineRule="auto"/>
        <w:jc w:val="both"/>
        <w:rPr>
          <w:rFonts w:ascii="Geomanist Light" w:hAnsi="Geomanist Light" w:cs="Arial"/>
          <w:noProof/>
          <w:color w:val="000000" w:themeColor="text1"/>
        </w:rPr>
      </w:pPr>
    </w:p>
    <w:p w14:paraId="14B01DE0" w14:textId="4376E1B5" w:rsidR="006A48BB" w:rsidRDefault="006A48BB" w:rsidP="00B7240D">
      <w:pPr>
        <w:spacing w:after="0" w:line="276" w:lineRule="auto"/>
        <w:jc w:val="both"/>
        <w:rPr>
          <w:rFonts w:ascii="Geomanist Light" w:hAnsi="Geomanist Light" w:cs="Arial"/>
          <w:noProof/>
          <w:color w:val="000000" w:themeColor="text1"/>
        </w:rPr>
      </w:pPr>
    </w:p>
    <w:p w14:paraId="42BDB399" w14:textId="029FBC11" w:rsidR="006A48BB" w:rsidRDefault="006A48BB" w:rsidP="00B7240D">
      <w:pPr>
        <w:spacing w:after="0" w:line="276" w:lineRule="auto"/>
        <w:jc w:val="both"/>
        <w:rPr>
          <w:rFonts w:ascii="Geomanist Light" w:hAnsi="Geomanist Light" w:cs="Arial"/>
          <w:noProof/>
          <w:color w:val="000000" w:themeColor="text1"/>
        </w:rPr>
      </w:pPr>
    </w:p>
    <w:p w14:paraId="44FE9697" w14:textId="75E40475" w:rsidR="006A48BB" w:rsidRDefault="006A48BB" w:rsidP="00B7240D">
      <w:pPr>
        <w:spacing w:after="0" w:line="276" w:lineRule="auto"/>
        <w:jc w:val="both"/>
        <w:rPr>
          <w:rFonts w:ascii="Geomanist Light" w:hAnsi="Geomanist Light" w:cs="Arial"/>
          <w:noProof/>
          <w:color w:val="000000" w:themeColor="text1"/>
        </w:rPr>
      </w:pPr>
    </w:p>
    <w:p w14:paraId="478BF909" w14:textId="5FDDA3E9" w:rsidR="006A48BB" w:rsidRDefault="006A48BB" w:rsidP="00B7240D">
      <w:pPr>
        <w:spacing w:after="0" w:line="276" w:lineRule="auto"/>
        <w:jc w:val="both"/>
        <w:rPr>
          <w:rFonts w:ascii="Geomanist Light" w:hAnsi="Geomanist Light" w:cs="Arial"/>
          <w:noProof/>
          <w:color w:val="000000" w:themeColor="text1"/>
        </w:rPr>
      </w:pPr>
    </w:p>
    <w:p w14:paraId="54E61316" w14:textId="19770CFC" w:rsidR="006A48BB" w:rsidRDefault="006A48BB" w:rsidP="00B7240D">
      <w:pPr>
        <w:spacing w:after="0" w:line="276" w:lineRule="auto"/>
        <w:jc w:val="both"/>
        <w:rPr>
          <w:rFonts w:ascii="Geomanist Light" w:hAnsi="Geomanist Light" w:cs="Arial"/>
          <w:noProof/>
          <w:color w:val="000000" w:themeColor="text1"/>
        </w:rPr>
      </w:pPr>
    </w:p>
    <w:p w14:paraId="0739D8CC" w14:textId="58252392" w:rsidR="006A48BB" w:rsidRDefault="006A48BB" w:rsidP="00B7240D">
      <w:pPr>
        <w:spacing w:after="0" w:line="276" w:lineRule="auto"/>
        <w:jc w:val="both"/>
        <w:rPr>
          <w:rFonts w:ascii="Geomanist Light" w:hAnsi="Geomanist Light" w:cs="Arial"/>
          <w:noProof/>
          <w:color w:val="000000" w:themeColor="text1"/>
        </w:rPr>
      </w:pPr>
    </w:p>
    <w:p w14:paraId="23D28BA8" w14:textId="5F4469EC" w:rsidR="009621FA" w:rsidRDefault="009621FA" w:rsidP="00B7240D">
      <w:pPr>
        <w:spacing w:after="0" w:line="276" w:lineRule="auto"/>
        <w:jc w:val="both"/>
        <w:rPr>
          <w:rFonts w:ascii="Geomanist Light" w:hAnsi="Geomanist Light" w:cs="Arial"/>
          <w:noProof/>
          <w:color w:val="000000" w:themeColor="text1"/>
        </w:rPr>
      </w:pPr>
    </w:p>
    <w:p w14:paraId="5EA05DEC" w14:textId="494002BF" w:rsidR="009621FA" w:rsidRDefault="009621FA" w:rsidP="00B7240D">
      <w:pPr>
        <w:spacing w:after="0" w:line="276" w:lineRule="auto"/>
        <w:jc w:val="both"/>
        <w:rPr>
          <w:rFonts w:ascii="Geomanist Light" w:hAnsi="Geomanist Light" w:cs="Arial"/>
          <w:noProof/>
          <w:color w:val="000000" w:themeColor="text1"/>
        </w:rPr>
      </w:pPr>
    </w:p>
    <w:p w14:paraId="37B63553" w14:textId="6428861F" w:rsidR="009621FA" w:rsidRDefault="009621FA" w:rsidP="00B7240D">
      <w:pPr>
        <w:spacing w:after="0" w:line="276" w:lineRule="auto"/>
        <w:jc w:val="both"/>
        <w:rPr>
          <w:rFonts w:ascii="Geomanist Light" w:hAnsi="Geomanist Light" w:cs="Arial"/>
          <w:noProof/>
          <w:color w:val="000000" w:themeColor="text1"/>
        </w:rPr>
      </w:pPr>
    </w:p>
    <w:p w14:paraId="01AE2C5B" w14:textId="11E8516A" w:rsidR="009621FA" w:rsidRDefault="009621FA" w:rsidP="00B7240D">
      <w:pPr>
        <w:spacing w:after="0" w:line="276" w:lineRule="auto"/>
        <w:jc w:val="both"/>
        <w:rPr>
          <w:rFonts w:ascii="Geomanist Light" w:hAnsi="Geomanist Light" w:cs="Arial"/>
          <w:noProof/>
          <w:color w:val="000000" w:themeColor="text1"/>
        </w:rPr>
      </w:pPr>
    </w:p>
    <w:p w14:paraId="18880563" w14:textId="35436216" w:rsidR="009621FA" w:rsidRDefault="009621FA" w:rsidP="00B7240D">
      <w:pPr>
        <w:spacing w:after="0" w:line="276" w:lineRule="auto"/>
        <w:jc w:val="both"/>
        <w:rPr>
          <w:rFonts w:ascii="Geomanist Light" w:hAnsi="Geomanist Light" w:cs="Arial"/>
          <w:noProof/>
          <w:color w:val="000000" w:themeColor="text1"/>
        </w:rPr>
      </w:pPr>
    </w:p>
    <w:p w14:paraId="7516A587" w14:textId="00D92D73" w:rsidR="009621FA" w:rsidRDefault="009621FA" w:rsidP="00B7240D">
      <w:pPr>
        <w:spacing w:after="0" w:line="276" w:lineRule="auto"/>
        <w:jc w:val="both"/>
        <w:rPr>
          <w:rFonts w:ascii="Geomanist Light" w:hAnsi="Geomanist Light" w:cs="Arial"/>
          <w:noProof/>
          <w:color w:val="000000" w:themeColor="text1"/>
        </w:rPr>
      </w:pPr>
    </w:p>
    <w:p w14:paraId="26B13C91" w14:textId="786D4B75" w:rsidR="009621FA" w:rsidRDefault="009621FA" w:rsidP="00B7240D">
      <w:pPr>
        <w:spacing w:after="0" w:line="276" w:lineRule="auto"/>
        <w:jc w:val="both"/>
        <w:rPr>
          <w:rFonts w:ascii="Geomanist Light" w:hAnsi="Geomanist Light" w:cs="Arial"/>
          <w:noProof/>
          <w:color w:val="000000" w:themeColor="text1"/>
        </w:rPr>
      </w:pPr>
    </w:p>
    <w:p w14:paraId="13F4C978" w14:textId="30E1C980" w:rsidR="009621FA" w:rsidRDefault="009621FA" w:rsidP="00B7240D">
      <w:pPr>
        <w:spacing w:after="0" w:line="276" w:lineRule="auto"/>
        <w:jc w:val="both"/>
        <w:rPr>
          <w:rFonts w:ascii="Geomanist Light" w:hAnsi="Geomanist Light" w:cs="Arial"/>
          <w:noProof/>
          <w:color w:val="000000" w:themeColor="text1"/>
        </w:rPr>
      </w:pPr>
    </w:p>
    <w:p w14:paraId="60FC0339" w14:textId="3F1485BD" w:rsidR="009621FA" w:rsidRDefault="009621FA" w:rsidP="00B7240D">
      <w:pPr>
        <w:spacing w:after="0" w:line="276" w:lineRule="auto"/>
        <w:jc w:val="both"/>
        <w:rPr>
          <w:rFonts w:ascii="Geomanist Light" w:hAnsi="Geomanist Light" w:cs="Arial"/>
          <w:noProof/>
          <w:color w:val="000000" w:themeColor="text1"/>
        </w:rPr>
      </w:pPr>
    </w:p>
    <w:p w14:paraId="115B69F2" w14:textId="7AFC2AEC" w:rsidR="009621FA" w:rsidRDefault="009621FA" w:rsidP="00B7240D">
      <w:pPr>
        <w:spacing w:after="0" w:line="276" w:lineRule="auto"/>
        <w:jc w:val="both"/>
        <w:rPr>
          <w:rFonts w:ascii="Geomanist Light" w:hAnsi="Geomanist Light" w:cs="Arial"/>
          <w:noProof/>
          <w:color w:val="000000" w:themeColor="text1"/>
        </w:rPr>
      </w:pPr>
    </w:p>
    <w:p w14:paraId="3707A0E9" w14:textId="3AB4EA2E" w:rsidR="009621FA" w:rsidRDefault="009621FA" w:rsidP="00B7240D">
      <w:pPr>
        <w:spacing w:after="0" w:line="276" w:lineRule="auto"/>
        <w:jc w:val="both"/>
        <w:rPr>
          <w:rFonts w:ascii="Geomanist Light" w:hAnsi="Geomanist Light" w:cs="Arial"/>
          <w:noProof/>
          <w:color w:val="000000" w:themeColor="text1"/>
        </w:rPr>
      </w:pPr>
    </w:p>
    <w:p w14:paraId="6B12616E" w14:textId="3B30ABFA" w:rsidR="009621FA" w:rsidRDefault="009621FA" w:rsidP="00B7240D">
      <w:pPr>
        <w:spacing w:after="0" w:line="276" w:lineRule="auto"/>
        <w:jc w:val="both"/>
        <w:rPr>
          <w:rFonts w:ascii="Geomanist Light" w:hAnsi="Geomanist Light" w:cs="Arial"/>
          <w:noProof/>
          <w:color w:val="000000" w:themeColor="text1"/>
        </w:rPr>
      </w:pPr>
    </w:p>
    <w:p w14:paraId="554268C4" w14:textId="09DA669A" w:rsidR="009621FA" w:rsidRDefault="00805DCA" w:rsidP="00805DCA">
      <w:pPr>
        <w:spacing w:after="0" w:line="276" w:lineRule="auto"/>
        <w:jc w:val="right"/>
        <w:rPr>
          <w:rFonts w:ascii="Geomanist Light" w:hAnsi="Geomanist Light" w:cs="Arial"/>
          <w:noProof/>
          <w:color w:val="000000" w:themeColor="text1"/>
        </w:rPr>
      </w:pPr>
      <w:r w:rsidRPr="00805DCA">
        <w:rPr>
          <w:rFonts w:ascii="Geomanist Light" w:hAnsi="Geomanist Light" w:cs="Arial"/>
          <w:noProof/>
          <w:color w:val="000000" w:themeColor="text1"/>
        </w:rPr>
        <w:lastRenderedPageBreak/>
        <w:drawing>
          <wp:inline distT="0" distB="0" distL="0" distR="0" wp14:anchorId="27D4FA78" wp14:editId="5CE07F35">
            <wp:extent cx="27051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inline>
        </w:drawing>
      </w:r>
    </w:p>
    <w:p w14:paraId="15083641" w14:textId="3A28A129" w:rsidR="006A3704" w:rsidRPr="00805DCA" w:rsidRDefault="00805DCA" w:rsidP="00B7240D">
      <w:pPr>
        <w:spacing w:after="0" w:line="276" w:lineRule="auto"/>
        <w:jc w:val="both"/>
        <w:rPr>
          <w:rFonts w:ascii="Geomanist Light" w:hAnsi="Geomanist Light" w:cs="Arial"/>
          <w:noProof/>
          <w:color w:val="000000" w:themeColor="text1"/>
        </w:rPr>
      </w:pPr>
      <w:bookmarkStart w:id="2" w:name="_Hlk118876999"/>
      <w:r w:rsidRPr="00805DCA">
        <w:rPr>
          <w:rFonts w:ascii="Geomanist Light" w:hAnsi="Geomanist Light" w:cs="Arial"/>
          <w:noProof/>
          <w:color w:val="000000" w:themeColor="text1"/>
        </w:rPr>
        <w:t>Bogotá D.C. 9 de noviembre de 2022</w:t>
      </w:r>
    </w:p>
    <w:p w14:paraId="43BB6A93" w14:textId="77777777" w:rsidR="00805DCA" w:rsidRPr="00FB186E" w:rsidRDefault="00805DCA" w:rsidP="00B7240D">
      <w:pPr>
        <w:spacing w:after="0" w:line="276" w:lineRule="auto"/>
        <w:jc w:val="both"/>
        <w:rPr>
          <w:rFonts w:ascii="Geomanist Light" w:hAnsi="Geomanist Light" w:cs="Arial"/>
          <w:b/>
          <w:color w:val="000000" w:themeColor="text1"/>
          <w:lang w:val="pt-BR"/>
        </w:rPr>
      </w:pPr>
    </w:p>
    <w:p w14:paraId="5F5AE9EF" w14:textId="6B52965A" w:rsidR="00B95C30" w:rsidRPr="00FB186E" w:rsidRDefault="00B95C30" w:rsidP="009621FA">
      <w:pPr>
        <w:spacing w:after="0" w:line="276" w:lineRule="auto"/>
        <w:jc w:val="both"/>
        <w:rPr>
          <w:rFonts w:ascii="Geomanist Light" w:hAnsi="Geomanist Light" w:cs="Arial"/>
          <w:color w:val="000000" w:themeColor="text1"/>
        </w:rPr>
      </w:pPr>
      <w:bookmarkStart w:id="3" w:name="_Hlk100051121"/>
      <w:r w:rsidRPr="00FB186E">
        <w:rPr>
          <w:rFonts w:ascii="Geomanist Light" w:hAnsi="Geomanist Light" w:cs="Arial"/>
          <w:color w:val="000000" w:themeColor="text1"/>
        </w:rPr>
        <w:t>Seño</w:t>
      </w:r>
      <w:r w:rsidR="00397A9C">
        <w:rPr>
          <w:rFonts w:ascii="Geomanist Light" w:hAnsi="Geomanist Light" w:cs="Arial"/>
          <w:color w:val="000000" w:themeColor="text1"/>
        </w:rPr>
        <w:t>r</w:t>
      </w:r>
      <w:r w:rsidR="00AD47B7">
        <w:rPr>
          <w:rFonts w:ascii="Geomanist Light" w:hAnsi="Geomanist Light" w:cs="Arial"/>
          <w:color w:val="000000" w:themeColor="text1"/>
        </w:rPr>
        <w:t xml:space="preserve"> (a)</w:t>
      </w:r>
    </w:p>
    <w:p w14:paraId="798A20AC" w14:textId="241A24CC" w:rsidR="005F5F37" w:rsidRPr="00FB186E" w:rsidRDefault="00AD47B7" w:rsidP="009621FA">
      <w:pPr>
        <w:tabs>
          <w:tab w:val="center" w:pos="4394"/>
        </w:tabs>
        <w:spacing w:after="0" w:line="276" w:lineRule="auto"/>
        <w:jc w:val="both"/>
        <w:rPr>
          <w:rFonts w:ascii="Geomanist Light" w:hAnsi="Geomanist Light" w:cs="Arial"/>
          <w:b/>
          <w:color w:val="000000" w:themeColor="text1"/>
        </w:rPr>
      </w:pPr>
      <w:r>
        <w:rPr>
          <w:rFonts w:ascii="Geomanist Light" w:hAnsi="Geomanist Light" w:cs="Arial"/>
          <w:b/>
          <w:color w:val="000000" w:themeColor="text1"/>
        </w:rPr>
        <w:t xml:space="preserve">Anónimo </w:t>
      </w:r>
      <w:r w:rsidR="00F650A2" w:rsidRPr="00FB186E">
        <w:rPr>
          <w:rFonts w:ascii="Geomanist Light" w:hAnsi="Geomanist Light" w:cs="Arial"/>
          <w:b/>
          <w:color w:val="000000" w:themeColor="text1"/>
        </w:rPr>
        <w:tab/>
      </w:r>
    </w:p>
    <w:p w14:paraId="4A1C8FFE" w14:textId="0A413161" w:rsidR="008120C4" w:rsidRPr="00FB186E" w:rsidRDefault="00F14618" w:rsidP="009621FA">
      <w:pPr>
        <w:spacing w:after="0" w:line="276" w:lineRule="auto"/>
        <w:rPr>
          <w:rFonts w:ascii="Geomanist Light" w:hAnsi="Geomanist Light" w:cs="Arial"/>
          <w:b/>
          <w:bCs/>
          <w:color w:val="000000" w:themeColor="text1"/>
        </w:rPr>
      </w:pPr>
      <w:r w:rsidRPr="00FB186E">
        <w:rPr>
          <w:rFonts w:ascii="Geomanist Light" w:hAnsi="Geomanist Light" w:cs="Arial"/>
          <w:bCs/>
          <w:color w:val="000000" w:themeColor="text1"/>
        </w:rPr>
        <w:t>Bogotá D.C.</w:t>
      </w:r>
    </w:p>
    <w:p w14:paraId="122205C3" w14:textId="77777777" w:rsidR="000277A2" w:rsidRPr="00FB186E" w:rsidRDefault="000277A2" w:rsidP="00B7240D">
      <w:pPr>
        <w:spacing w:after="0" w:line="276" w:lineRule="auto"/>
        <w:rPr>
          <w:rFonts w:ascii="Geomanist Light" w:hAnsi="Geomanist Light" w:cs="Arial"/>
          <w:b/>
          <w:bCs/>
          <w:color w:val="000000" w:themeColor="text1"/>
        </w:rPr>
      </w:pPr>
    </w:p>
    <w:p w14:paraId="1BD594F9" w14:textId="4B0CF25C" w:rsidR="00B95C30" w:rsidRPr="00FB186E" w:rsidRDefault="005B1504" w:rsidP="00B7240D">
      <w:pPr>
        <w:spacing w:after="0" w:line="276" w:lineRule="auto"/>
        <w:rPr>
          <w:rFonts w:ascii="Geomanist Light" w:hAnsi="Geomanist Light" w:cs="Arial"/>
          <w:b/>
          <w:bCs/>
          <w:color w:val="000000" w:themeColor="text1"/>
          <w:lang w:val="pt-BR"/>
        </w:rPr>
      </w:pPr>
      <w:r w:rsidRPr="00FB186E">
        <w:rPr>
          <w:rFonts w:ascii="Geomanist Light" w:hAnsi="Geomanist Light" w:cs="Arial"/>
          <w:b/>
          <w:bCs/>
          <w:color w:val="000000" w:themeColor="text1"/>
        </w:rPr>
        <w:t xml:space="preserve">                     </w:t>
      </w:r>
      <w:r w:rsidR="00923FA6" w:rsidRPr="00FB186E">
        <w:rPr>
          <w:rFonts w:ascii="Geomanist Light" w:hAnsi="Geomanist Light" w:cs="Arial"/>
          <w:b/>
          <w:bCs/>
          <w:color w:val="000000" w:themeColor="text1"/>
        </w:rPr>
        <w:t xml:space="preserve">                      </w:t>
      </w:r>
      <w:r w:rsidRPr="00FB186E">
        <w:rPr>
          <w:rFonts w:ascii="Geomanist Light" w:hAnsi="Geomanist Light" w:cs="Arial"/>
          <w:b/>
          <w:bCs/>
          <w:color w:val="000000" w:themeColor="text1"/>
        </w:rPr>
        <w:t xml:space="preserve"> </w:t>
      </w:r>
      <w:r w:rsidR="00023FA5" w:rsidRPr="00FB186E">
        <w:rPr>
          <w:rFonts w:ascii="Geomanist Light" w:hAnsi="Geomanist Light" w:cs="Arial"/>
          <w:b/>
          <w:bCs/>
          <w:color w:val="000000" w:themeColor="text1"/>
          <w:lang w:val="pt-BR"/>
        </w:rPr>
        <w:t xml:space="preserve">Concepto C </w:t>
      </w:r>
      <w:r w:rsidR="00023FA5" w:rsidRPr="00FB186E">
        <w:rPr>
          <w:rFonts w:ascii="Courier New" w:hAnsi="Courier New" w:cs="Courier New"/>
          <w:b/>
          <w:bCs/>
          <w:color w:val="000000" w:themeColor="text1"/>
          <w:lang w:val="pt-BR"/>
        </w:rPr>
        <w:t>‒</w:t>
      </w:r>
      <w:r w:rsidR="00023FA5" w:rsidRPr="00FB186E">
        <w:rPr>
          <w:rFonts w:ascii="Geomanist Light" w:hAnsi="Geomanist Light" w:cs="Arial"/>
          <w:b/>
          <w:bCs/>
          <w:color w:val="000000" w:themeColor="text1"/>
          <w:lang w:val="pt-BR"/>
        </w:rPr>
        <w:t xml:space="preserve"> </w:t>
      </w:r>
      <w:r w:rsidR="00397A9C">
        <w:rPr>
          <w:rFonts w:ascii="Geomanist Light" w:hAnsi="Geomanist Light" w:cs="Arial"/>
          <w:b/>
          <w:bCs/>
          <w:color w:val="000000" w:themeColor="text1"/>
          <w:lang w:val="pt-BR"/>
        </w:rPr>
        <w:t>7</w:t>
      </w:r>
      <w:r w:rsidR="00AD47B7">
        <w:rPr>
          <w:rFonts w:ascii="Geomanist Light" w:hAnsi="Geomanist Light" w:cs="Arial"/>
          <w:b/>
          <w:bCs/>
          <w:color w:val="000000" w:themeColor="text1"/>
          <w:lang w:val="pt-BR"/>
        </w:rPr>
        <w:t>4</w:t>
      </w:r>
      <w:r w:rsidR="00AD47B7" w:rsidRPr="00AD47B7">
        <w:rPr>
          <w:rFonts w:ascii="Geomanist Light" w:hAnsi="Geomanist Light" w:cs="Arial"/>
          <w:b/>
          <w:color w:val="000000" w:themeColor="text1"/>
          <w:szCs w:val="24"/>
          <w:lang w:val="es-ES_tradnl" w:eastAsia="es-ES_tradnl"/>
        </w:rPr>
        <w:t xml:space="preserve">6 </w:t>
      </w:r>
      <w:r w:rsidR="00275FBF" w:rsidRPr="00AD47B7">
        <w:rPr>
          <w:rFonts w:ascii="Geomanist Light" w:hAnsi="Geomanist Light" w:cs="Arial"/>
          <w:b/>
          <w:color w:val="000000" w:themeColor="text1"/>
          <w:lang w:val="pt-BR"/>
        </w:rPr>
        <w:t>de</w:t>
      </w:r>
      <w:r w:rsidR="00275FBF" w:rsidRPr="00FB186E">
        <w:rPr>
          <w:rFonts w:ascii="Geomanist Light" w:hAnsi="Geomanist Light" w:cs="Arial"/>
          <w:b/>
          <w:bCs/>
          <w:color w:val="000000" w:themeColor="text1"/>
          <w:lang w:val="pt-BR"/>
        </w:rPr>
        <w:t xml:space="preserve"> 202</w:t>
      </w:r>
      <w:r w:rsidR="00BF4EC5" w:rsidRPr="00FB186E">
        <w:rPr>
          <w:rFonts w:ascii="Geomanist Light" w:hAnsi="Geomanist Light" w:cs="Arial"/>
          <w:b/>
          <w:bCs/>
          <w:color w:val="000000" w:themeColor="text1"/>
          <w:lang w:val="pt-BR"/>
        </w:rPr>
        <w:t>2</w:t>
      </w:r>
    </w:p>
    <w:p w14:paraId="7063750E" w14:textId="77777777" w:rsidR="005F5F37" w:rsidRPr="00FB186E" w:rsidRDefault="005F5F37" w:rsidP="006A3704">
      <w:pPr>
        <w:spacing w:after="0" w:line="240" w:lineRule="auto"/>
        <w:rPr>
          <w:rFonts w:ascii="Geomanist Light" w:hAnsi="Geomanist Light"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56828" w14:paraId="19DFC051" w14:textId="77777777" w:rsidTr="00C06955">
        <w:trPr>
          <w:trHeight w:val="884"/>
        </w:trPr>
        <w:tc>
          <w:tcPr>
            <w:tcW w:w="2689" w:type="dxa"/>
          </w:tcPr>
          <w:p w14:paraId="6BC0D1AC" w14:textId="569BAEB9" w:rsidR="00B95C30" w:rsidRPr="00FB186E"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B186E">
              <w:rPr>
                <w:rFonts w:ascii="Geomanist Light" w:hAnsi="Geomanist Light" w:cs="Arial"/>
                <w:b/>
                <w:color w:val="000000" w:themeColor="text1"/>
                <w:szCs w:val="24"/>
                <w:lang w:val="es-ES_tradnl" w:eastAsia="es-ES_tradnl"/>
              </w:rPr>
              <w:t>Temas:</w:t>
            </w:r>
            <w:r w:rsidR="005B1504" w:rsidRPr="00FB186E">
              <w:rPr>
                <w:rFonts w:ascii="Geomanist Light" w:hAnsi="Geomanist Light" w:cs="Arial"/>
                <w:b/>
                <w:color w:val="000000" w:themeColor="text1"/>
                <w:szCs w:val="24"/>
                <w:lang w:val="es-ES_tradnl" w:eastAsia="es-ES_tradnl"/>
              </w:rPr>
              <w:t xml:space="preserve">                   </w:t>
            </w:r>
          </w:p>
        </w:tc>
        <w:tc>
          <w:tcPr>
            <w:tcW w:w="6237" w:type="dxa"/>
          </w:tcPr>
          <w:p w14:paraId="3EBBA545" w14:textId="77777777" w:rsidR="004F0538" w:rsidRDefault="009621FA" w:rsidP="009621FA">
            <w:pPr>
              <w:spacing w:after="0" w:line="240" w:lineRule="auto"/>
              <w:jc w:val="both"/>
              <w:rPr>
                <w:rFonts w:ascii="Geomanist Light" w:hAnsi="Geomanist Light" w:cs="Arial"/>
                <w:szCs w:val="24"/>
                <w:lang w:val="es-MX" w:eastAsia="es-ES_tradnl"/>
              </w:rPr>
            </w:pPr>
            <w:r w:rsidRPr="009621FA">
              <w:rPr>
                <w:rFonts w:ascii="Geomanist Light" w:hAnsi="Geomanist Light" w:cs="Arial"/>
                <w:color w:val="000000" w:themeColor="text1"/>
                <w:szCs w:val="24"/>
                <w:lang w:val="es-MX" w:eastAsia="es-ES_tradnl"/>
              </w:rPr>
              <w:t xml:space="preserve">PRINCIPIO DE TRANSPARENCIA – Finalidad </w:t>
            </w:r>
            <w:r w:rsidR="00F01DE3" w:rsidRPr="009621FA">
              <w:rPr>
                <w:rFonts w:ascii="Geomanist Light" w:hAnsi="Geomanist Light" w:cs="Arial"/>
                <w:color w:val="000000" w:themeColor="text1"/>
                <w:szCs w:val="24"/>
                <w:lang w:eastAsia="es-ES_tradnl"/>
              </w:rPr>
              <w:t xml:space="preserve">/ </w:t>
            </w:r>
            <w:r w:rsidRPr="009621FA">
              <w:rPr>
                <w:rFonts w:ascii="Geomanist Light" w:hAnsi="Geomanist Light" w:cs="Arial"/>
                <w:szCs w:val="24"/>
                <w:lang w:val="es-MX" w:eastAsia="es-ES_tradnl"/>
              </w:rPr>
              <w:t xml:space="preserve">INFORME DE EVALUACIÓN – Naturaleza </w:t>
            </w:r>
            <w:r w:rsidR="006A48BB" w:rsidRPr="009621FA">
              <w:rPr>
                <w:rFonts w:ascii="Geomanist Light" w:hAnsi="Geomanist Light" w:cs="Arial"/>
                <w:color w:val="000000" w:themeColor="text1"/>
                <w:szCs w:val="24"/>
                <w:lang w:eastAsia="es-ES_tradnl"/>
              </w:rPr>
              <w:t xml:space="preserve">/ </w:t>
            </w:r>
            <w:r w:rsidRPr="009621FA">
              <w:rPr>
                <w:rFonts w:ascii="Geomanist Light" w:hAnsi="Geomanist Light" w:cs="Arial"/>
                <w:szCs w:val="24"/>
                <w:lang w:val="es-MX" w:eastAsia="es-ES_tradnl"/>
              </w:rPr>
              <w:t xml:space="preserve">COMITÉ EVALUADOR – Órgano asesor – Actividad reglada </w:t>
            </w:r>
            <w:r w:rsidR="006A48BB" w:rsidRPr="009621FA">
              <w:rPr>
                <w:rFonts w:ascii="Geomanist Light" w:hAnsi="Geomanist Light" w:cs="Arial"/>
                <w:color w:val="000000" w:themeColor="text1"/>
                <w:szCs w:val="24"/>
                <w:lang w:val="es-MX" w:eastAsia="es-ES_tradnl"/>
              </w:rPr>
              <w:t xml:space="preserve">/ </w:t>
            </w:r>
            <w:r w:rsidRPr="009621FA">
              <w:rPr>
                <w:rFonts w:ascii="Geomanist Light" w:hAnsi="Geomanist Light" w:cs="Arial"/>
                <w:szCs w:val="24"/>
                <w:lang w:val="es-MX" w:eastAsia="es-ES_tradnl"/>
              </w:rPr>
              <w:t xml:space="preserve">INFORME DE EVALUACIÓN – Forma –Deber de motivación </w:t>
            </w:r>
          </w:p>
          <w:p w14:paraId="5F389CAF" w14:textId="5F96FED9" w:rsidR="009621FA" w:rsidRPr="009621FA" w:rsidRDefault="009621FA" w:rsidP="009621FA">
            <w:pPr>
              <w:spacing w:after="0" w:line="240" w:lineRule="auto"/>
              <w:jc w:val="both"/>
              <w:rPr>
                <w:rFonts w:ascii="Geomanist Light" w:hAnsi="Geomanist Light" w:cs="Arial"/>
                <w:szCs w:val="24"/>
                <w:lang w:val="es-MX" w:eastAsia="es-ES_tradnl"/>
              </w:rPr>
            </w:pPr>
          </w:p>
        </w:tc>
      </w:tr>
      <w:tr w:rsidR="00B95C30" w:rsidRPr="00D56828" w14:paraId="27CD52AB" w14:textId="77777777" w:rsidTr="00D15356">
        <w:tc>
          <w:tcPr>
            <w:tcW w:w="2689" w:type="dxa"/>
          </w:tcPr>
          <w:p w14:paraId="37E195A1" w14:textId="017D9507" w:rsidR="00B95C30" w:rsidRPr="00FB186E" w:rsidRDefault="00B95C30" w:rsidP="006A3704">
            <w:pPr>
              <w:spacing w:after="0" w:line="240" w:lineRule="auto"/>
              <w:jc w:val="both"/>
              <w:rPr>
                <w:rFonts w:ascii="Geomanist Light" w:hAnsi="Geomanist Light" w:cs="Arial"/>
                <w:b/>
                <w:color w:val="000000" w:themeColor="text1"/>
                <w:szCs w:val="24"/>
                <w:lang w:val="es-ES_tradnl" w:eastAsia="es-ES_tradnl"/>
              </w:rPr>
            </w:pPr>
            <w:r w:rsidRPr="00FB186E">
              <w:rPr>
                <w:rFonts w:ascii="Geomanist Light" w:hAnsi="Geomanist Light" w:cs="Arial"/>
                <w:b/>
                <w:color w:val="000000" w:themeColor="text1"/>
                <w:szCs w:val="24"/>
                <w:lang w:val="es-ES_tradnl" w:eastAsia="es-ES_tradnl"/>
              </w:rPr>
              <w:t>Radicación:</w:t>
            </w:r>
            <w:r w:rsidR="005B1504" w:rsidRPr="00FB186E">
              <w:rPr>
                <w:rFonts w:ascii="Geomanist Light" w:hAnsi="Geomanist Light" w:cs="Arial"/>
                <w:b/>
                <w:color w:val="000000" w:themeColor="text1"/>
                <w:szCs w:val="24"/>
                <w:lang w:val="es-ES_tradnl" w:eastAsia="es-ES_tradnl"/>
              </w:rPr>
              <w:t xml:space="preserve">               </w:t>
            </w:r>
          </w:p>
        </w:tc>
        <w:tc>
          <w:tcPr>
            <w:tcW w:w="6237" w:type="dxa"/>
          </w:tcPr>
          <w:p w14:paraId="09088B1B" w14:textId="35AD2D29" w:rsidR="00B95C30" w:rsidRPr="00FB186E" w:rsidRDefault="00B95C30" w:rsidP="006A3704">
            <w:pPr>
              <w:spacing w:after="0" w:line="240" w:lineRule="auto"/>
              <w:jc w:val="both"/>
              <w:rPr>
                <w:rFonts w:ascii="Geomanist Light" w:hAnsi="Geomanist Light" w:cs="Arial"/>
                <w:bCs/>
                <w:color w:val="000000" w:themeColor="text1"/>
                <w:szCs w:val="24"/>
                <w:lang w:val="es-ES_tradnl" w:eastAsia="es-ES_tradnl"/>
              </w:rPr>
            </w:pPr>
            <w:r w:rsidRPr="00FB186E">
              <w:rPr>
                <w:rFonts w:ascii="Geomanist Light" w:hAnsi="Geomanist Light" w:cs="Arial"/>
                <w:bCs/>
                <w:color w:val="000000" w:themeColor="text1"/>
                <w:szCs w:val="24"/>
                <w:lang w:val="es-ES_tradnl" w:eastAsia="es-ES_tradnl"/>
              </w:rPr>
              <w:t>Respuesta a consulta</w:t>
            </w:r>
            <w:r w:rsidR="000D0CC7" w:rsidRPr="00FB186E">
              <w:rPr>
                <w:rFonts w:ascii="Geomanist Light" w:hAnsi="Geomanist Light" w:cs="Arial"/>
                <w:bCs/>
                <w:color w:val="000000" w:themeColor="text1"/>
                <w:szCs w:val="24"/>
                <w:lang w:val="es-ES_tradnl" w:eastAsia="es-ES_tradnl"/>
              </w:rPr>
              <w:t xml:space="preserve"> </w:t>
            </w:r>
            <w:r w:rsidR="00AD47B7" w:rsidRPr="00AD47B7">
              <w:rPr>
                <w:rFonts w:ascii="Geomanist Light" w:hAnsi="Geomanist Light" w:cs="Arial"/>
                <w:bCs/>
                <w:color w:val="000000" w:themeColor="text1"/>
                <w:szCs w:val="24"/>
                <w:lang w:val="es-ES_tradnl" w:eastAsia="es-ES_tradnl"/>
              </w:rPr>
              <w:t>P20220926009630</w:t>
            </w:r>
          </w:p>
        </w:tc>
      </w:tr>
    </w:tbl>
    <w:p w14:paraId="1DAF8FE2" w14:textId="38B7F05A" w:rsidR="006A3704" w:rsidRDefault="006A3704" w:rsidP="00B7240D">
      <w:pPr>
        <w:spacing w:after="0" w:line="274" w:lineRule="auto"/>
        <w:jc w:val="both"/>
        <w:rPr>
          <w:rFonts w:ascii="Geomanist Light" w:hAnsi="Geomanist Light" w:cs="Arial"/>
          <w:color w:val="000000" w:themeColor="text1"/>
          <w:lang w:val="es-ES_tradnl"/>
        </w:rPr>
      </w:pPr>
    </w:p>
    <w:p w14:paraId="038C7BAC" w14:textId="77777777" w:rsidR="00EB1F23" w:rsidRPr="00FB186E" w:rsidRDefault="00EB1F23" w:rsidP="00B7240D">
      <w:pPr>
        <w:spacing w:after="0" w:line="274" w:lineRule="auto"/>
        <w:jc w:val="both"/>
        <w:rPr>
          <w:rFonts w:ascii="Geomanist Light" w:hAnsi="Geomanist Light" w:cs="Arial"/>
          <w:color w:val="000000" w:themeColor="text1"/>
          <w:lang w:val="es-ES_tradnl"/>
        </w:rPr>
      </w:pPr>
    </w:p>
    <w:p w14:paraId="1CF4AEA0" w14:textId="2E02EBA9" w:rsidR="003C3339" w:rsidRPr="00FB186E" w:rsidRDefault="003C3339" w:rsidP="00B7240D">
      <w:pPr>
        <w:spacing w:after="0" w:line="274" w:lineRule="auto"/>
        <w:jc w:val="both"/>
        <w:rPr>
          <w:rFonts w:ascii="Geomanist Light" w:hAnsi="Geomanist Light" w:cs="Arial"/>
          <w:color w:val="000000" w:themeColor="text1"/>
          <w:lang w:val="es-ES_tradnl"/>
        </w:rPr>
      </w:pPr>
      <w:r w:rsidRPr="00FB186E">
        <w:rPr>
          <w:rFonts w:ascii="Geomanist Light" w:hAnsi="Geomanist Light" w:cs="Arial"/>
          <w:color w:val="000000" w:themeColor="text1"/>
          <w:lang w:val="es-ES_tradnl"/>
        </w:rPr>
        <w:t>Estimad</w:t>
      </w:r>
      <w:r w:rsidR="00AD47B7">
        <w:rPr>
          <w:rFonts w:ascii="Geomanist Light" w:hAnsi="Geomanist Light" w:cs="Arial"/>
          <w:color w:val="000000" w:themeColor="text1"/>
          <w:lang w:val="es-ES_tradnl"/>
        </w:rPr>
        <w:t>o (a)</w:t>
      </w:r>
      <w:r w:rsidRPr="00FB186E">
        <w:rPr>
          <w:rFonts w:ascii="Geomanist Light" w:hAnsi="Geomanist Light" w:cs="Arial"/>
          <w:color w:val="000000" w:themeColor="text1"/>
          <w:lang w:val="es-ES_tradnl"/>
        </w:rPr>
        <w:t xml:space="preserve"> señor</w:t>
      </w:r>
      <w:r w:rsidR="00AD47B7">
        <w:rPr>
          <w:rFonts w:ascii="Geomanist Light" w:hAnsi="Geomanist Light" w:cs="Arial"/>
          <w:color w:val="000000" w:themeColor="text1"/>
          <w:lang w:val="es-ES_tradnl"/>
        </w:rPr>
        <w:t xml:space="preserve"> (a)</w:t>
      </w:r>
      <w:r w:rsidR="008C3FFC" w:rsidRPr="00FB186E">
        <w:rPr>
          <w:rFonts w:ascii="Geomanist Light" w:hAnsi="Geomanist Light" w:cs="Arial"/>
          <w:color w:val="000000" w:themeColor="text1"/>
          <w:lang w:val="es-ES_tradnl"/>
        </w:rPr>
        <w:t xml:space="preserve">: </w:t>
      </w:r>
    </w:p>
    <w:p w14:paraId="1EAE5543" w14:textId="37990AD8" w:rsidR="00DD5B04" w:rsidRPr="00FB186E" w:rsidRDefault="00DD5B04" w:rsidP="00B7240D">
      <w:pPr>
        <w:spacing w:after="0" w:line="274" w:lineRule="auto"/>
        <w:jc w:val="both"/>
        <w:rPr>
          <w:rFonts w:ascii="Geomanist Light" w:hAnsi="Geomanist Light" w:cs="Arial"/>
          <w:color w:val="000000" w:themeColor="text1"/>
          <w:lang w:val="es-ES_tradnl"/>
        </w:rPr>
      </w:pPr>
    </w:p>
    <w:p w14:paraId="2109B2D3" w14:textId="1924B3BA" w:rsidR="00DD5B04" w:rsidRPr="00FB186E" w:rsidRDefault="00DD5B04" w:rsidP="009621FA">
      <w:pPr>
        <w:spacing w:after="0" w:line="274" w:lineRule="auto"/>
        <w:jc w:val="both"/>
        <w:rPr>
          <w:rFonts w:ascii="Geomanist Light" w:hAnsi="Geomanist Light" w:cs="Arial"/>
          <w:color w:val="000000" w:themeColor="text1"/>
          <w:lang w:val="es-ES_tradnl"/>
        </w:rPr>
      </w:pPr>
      <w:r w:rsidRPr="00FB186E">
        <w:rPr>
          <w:rFonts w:ascii="Geomanist Light" w:hAnsi="Geomanist Light" w:cs="Arial"/>
          <w:color w:val="000000" w:themeColor="text1"/>
          <w:lang w:val="es-ES_tradnl"/>
        </w:rPr>
        <w:t>En ejercicio de la competencia otorgada por el numeral 8 del artículo 11 y el numeral 5 del artículo 3 del Decreto Ley 4170 de 2011,</w:t>
      </w:r>
      <w:r w:rsidR="00B24D49" w:rsidRPr="00FB186E">
        <w:rPr>
          <w:rFonts w:ascii="Geomanist Light" w:eastAsia="Arial MT" w:hAnsi="Geomanist Light" w:cs="Arial MT"/>
          <w:lang w:val="es-ES"/>
        </w:rPr>
        <w:t xml:space="preserve"> </w:t>
      </w:r>
      <w:r w:rsidRPr="00FB186E">
        <w:rPr>
          <w:rFonts w:ascii="Geomanist Light" w:hAnsi="Geomanist Light" w:cs="Arial"/>
          <w:color w:val="000000" w:themeColor="text1"/>
          <w:lang w:val="es-ES_tradnl"/>
        </w:rPr>
        <w:t xml:space="preserve">la Agencia Nacional de Contratación Pública </w:t>
      </w:r>
      <w:r w:rsidR="00C31846" w:rsidRPr="00FB186E">
        <w:rPr>
          <w:rFonts w:ascii="Geomanist Light" w:hAnsi="Geomanist Light" w:cs="Arial"/>
          <w:color w:val="000000" w:themeColor="text1"/>
          <w:lang w:val="es-ES_tradnl"/>
        </w:rPr>
        <w:t>–</w:t>
      </w:r>
      <w:r w:rsidRPr="00FB186E">
        <w:rPr>
          <w:rFonts w:ascii="Geomanist Light" w:hAnsi="Geomanist Light" w:cs="Arial"/>
          <w:color w:val="000000" w:themeColor="text1"/>
          <w:lang w:val="es-ES_tradnl"/>
        </w:rPr>
        <w:t xml:space="preserve"> Colombia Compra Eficiente</w:t>
      </w:r>
      <w:r w:rsidR="00CE69CC" w:rsidRPr="00FB186E">
        <w:rPr>
          <w:rFonts w:ascii="Geomanist Light" w:hAnsi="Geomanist Light" w:cs="Arial"/>
          <w:color w:val="000000" w:themeColor="text1"/>
          <w:lang w:val="es-ES_tradnl"/>
        </w:rPr>
        <w:t xml:space="preserve">, </w:t>
      </w:r>
      <w:r w:rsidRPr="00FB186E">
        <w:rPr>
          <w:rFonts w:ascii="Geomanist Light" w:hAnsi="Geomanist Light" w:cs="Arial"/>
          <w:color w:val="000000" w:themeColor="text1"/>
          <w:lang w:val="es-ES_tradnl"/>
        </w:rPr>
        <w:t xml:space="preserve">responde </w:t>
      </w:r>
      <w:r w:rsidR="00F14618" w:rsidRPr="00FB186E">
        <w:rPr>
          <w:rFonts w:ascii="Geomanist Light" w:hAnsi="Geomanist Light" w:cs="Arial"/>
          <w:color w:val="000000" w:themeColor="text1"/>
          <w:lang w:val="es-ES_tradnl"/>
        </w:rPr>
        <w:t>su</w:t>
      </w:r>
      <w:r w:rsidR="00F01DE3">
        <w:rPr>
          <w:rFonts w:ascii="Geomanist Light" w:hAnsi="Geomanist Light" w:cs="Arial"/>
          <w:color w:val="000000" w:themeColor="text1"/>
          <w:lang w:val="es-ES_tradnl"/>
        </w:rPr>
        <w:t>s</w:t>
      </w:r>
      <w:r w:rsidR="003902B1" w:rsidRPr="00FB186E">
        <w:rPr>
          <w:rFonts w:ascii="Geomanist Light" w:hAnsi="Geomanist Light" w:cs="Arial"/>
          <w:color w:val="000000" w:themeColor="text1"/>
          <w:lang w:val="es-ES_tradnl"/>
        </w:rPr>
        <w:t xml:space="preserve"> </w:t>
      </w:r>
      <w:r w:rsidR="00F14618" w:rsidRPr="00FB186E">
        <w:rPr>
          <w:rFonts w:ascii="Geomanist Light" w:hAnsi="Geomanist Light" w:cs="Arial"/>
          <w:color w:val="000000" w:themeColor="text1"/>
          <w:lang w:val="es-ES_tradnl"/>
        </w:rPr>
        <w:t>consulta</w:t>
      </w:r>
      <w:r w:rsidR="00150A17" w:rsidRPr="00FB186E">
        <w:rPr>
          <w:rFonts w:ascii="Geomanist Light" w:hAnsi="Geomanist Light" w:cs="Arial"/>
          <w:color w:val="000000" w:themeColor="text1"/>
          <w:lang w:val="es-ES_tradnl"/>
        </w:rPr>
        <w:t xml:space="preserve"> </w:t>
      </w:r>
      <w:r w:rsidR="000D0CC7" w:rsidRPr="00FB186E">
        <w:rPr>
          <w:rFonts w:ascii="Geomanist Light" w:hAnsi="Geomanist Light" w:cs="Arial"/>
          <w:color w:val="000000" w:themeColor="text1"/>
          <w:lang w:val="es-ES_tradnl"/>
        </w:rPr>
        <w:t>d</w:t>
      </w:r>
      <w:r w:rsidR="00F14618" w:rsidRPr="00FB186E">
        <w:rPr>
          <w:rFonts w:ascii="Geomanist Light" w:hAnsi="Geomanist Light" w:cs="Arial"/>
          <w:color w:val="000000" w:themeColor="text1"/>
          <w:lang w:val="es-ES_tradnl"/>
        </w:rPr>
        <w:t>el</w:t>
      </w:r>
      <w:r w:rsidR="00F01DE3">
        <w:rPr>
          <w:rFonts w:ascii="Geomanist Light" w:hAnsi="Geomanist Light" w:cs="Arial"/>
          <w:color w:val="000000" w:themeColor="text1"/>
          <w:lang w:val="es-ES_tradnl"/>
        </w:rPr>
        <w:t xml:space="preserve"> </w:t>
      </w:r>
      <w:r w:rsidR="00397A9C">
        <w:rPr>
          <w:rFonts w:ascii="Geomanist Light" w:hAnsi="Geomanist Light" w:cs="Arial"/>
          <w:color w:val="000000" w:themeColor="text1"/>
          <w:lang w:val="es-ES_tradnl"/>
        </w:rPr>
        <w:t>2</w:t>
      </w:r>
      <w:r w:rsidR="0083383D">
        <w:rPr>
          <w:rFonts w:ascii="Geomanist Light" w:hAnsi="Geomanist Light" w:cs="Arial"/>
          <w:color w:val="000000" w:themeColor="text1"/>
          <w:lang w:val="es-ES_tradnl"/>
        </w:rPr>
        <w:t>6</w:t>
      </w:r>
      <w:r w:rsidR="00150A17" w:rsidRPr="00FB186E">
        <w:rPr>
          <w:rFonts w:ascii="Geomanist Light" w:hAnsi="Geomanist Light" w:cs="Arial"/>
          <w:color w:val="000000" w:themeColor="text1"/>
          <w:lang w:val="es-ES_tradnl"/>
        </w:rPr>
        <w:t xml:space="preserve"> </w:t>
      </w:r>
      <w:r w:rsidR="00F14618" w:rsidRPr="00FB186E">
        <w:rPr>
          <w:rFonts w:ascii="Geomanist Light" w:hAnsi="Geomanist Light" w:cs="Arial"/>
          <w:color w:val="000000" w:themeColor="text1"/>
          <w:lang w:val="es-ES_tradnl"/>
        </w:rPr>
        <w:t xml:space="preserve">de </w:t>
      </w:r>
      <w:r w:rsidR="00DA371B" w:rsidRPr="00FB186E">
        <w:rPr>
          <w:rFonts w:ascii="Geomanist Light" w:hAnsi="Geomanist Light" w:cs="Arial"/>
          <w:color w:val="000000" w:themeColor="text1"/>
          <w:lang w:val="es-ES_tradnl"/>
        </w:rPr>
        <w:t>septiembre</w:t>
      </w:r>
      <w:r w:rsidR="00F14618" w:rsidRPr="00FB186E">
        <w:rPr>
          <w:rFonts w:ascii="Geomanist Light" w:hAnsi="Geomanist Light" w:cs="Arial"/>
          <w:color w:val="000000" w:themeColor="text1"/>
          <w:lang w:val="es-ES_tradnl"/>
        </w:rPr>
        <w:t xml:space="preserve"> de 202</w:t>
      </w:r>
      <w:r w:rsidR="00782354" w:rsidRPr="00FB186E">
        <w:rPr>
          <w:rFonts w:ascii="Geomanist Light" w:hAnsi="Geomanist Light" w:cs="Arial"/>
          <w:color w:val="000000" w:themeColor="text1"/>
          <w:lang w:val="es-ES_tradnl"/>
        </w:rPr>
        <w:t>2</w:t>
      </w:r>
      <w:r w:rsidR="00F14618" w:rsidRPr="00FB186E">
        <w:rPr>
          <w:rFonts w:ascii="Geomanist Light" w:hAnsi="Geomanist Light" w:cs="Arial"/>
          <w:color w:val="000000" w:themeColor="text1"/>
          <w:lang w:val="es-ES_tradnl"/>
        </w:rPr>
        <w:t>.</w:t>
      </w:r>
    </w:p>
    <w:p w14:paraId="0C1E0712" w14:textId="77777777" w:rsidR="00DD5B04" w:rsidRPr="00FB186E" w:rsidRDefault="00DD5B04" w:rsidP="00443945">
      <w:pPr>
        <w:spacing w:after="0" w:line="276" w:lineRule="auto"/>
        <w:jc w:val="both"/>
        <w:rPr>
          <w:rFonts w:ascii="Geomanist Light" w:hAnsi="Geomanist Light" w:cs="Arial"/>
          <w:b/>
          <w:color w:val="000000" w:themeColor="text1"/>
          <w:lang w:val="es-ES_tradnl"/>
        </w:rPr>
      </w:pPr>
    </w:p>
    <w:p w14:paraId="7701FCC7" w14:textId="77777777" w:rsidR="00DD5B04" w:rsidRPr="00FB186E" w:rsidRDefault="00DD5B04" w:rsidP="00DF76A2">
      <w:pPr>
        <w:pStyle w:val="Prrafodelista"/>
        <w:numPr>
          <w:ilvl w:val="0"/>
          <w:numId w:val="8"/>
        </w:numPr>
        <w:tabs>
          <w:tab w:val="left" w:pos="0"/>
          <w:tab w:val="left" w:pos="142"/>
          <w:tab w:val="left" w:pos="284"/>
        </w:tabs>
        <w:spacing w:line="276" w:lineRule="auto"/>
        <w:ind w:left="0" w:firstLine="0"/>
        <w:jc w:val="both"/>
        <w:rPr>
          <w:rFonts w:ascii="Geomanist Light" w:eastAsia="Calibri" w:hAnsi="Geomanist Light" w:cs="Arial"/>
          <w:b/>
          <w:color w:val="000000" w:themeColor="text1"/>
          <w:sz w:val="22"/>
          <w:lang w:val="es-ES_tradnl"/>
        </w:rPr>
      </w:pPr>
      <w:r w:rsidRPr="00FB186E">
        <w:rPr>
          <w:rFonts w:ascii="Geomanist Light" w:eastAsia="Calibri" w:hAnsi="Geomanist Light" w:cs="Arial"/>
          <w:b/>
          <w:color w:val="000000" w:themeColor="text1"/>
          <w:sz w:val="22"/>
          <w:lang w:val="es-ES_tradnl"/>
        </w:rPr>
        <w:t xml:space="preserve">Problema planteado </w:t>
      </w:r>
    </w:p>
    <w:p w14:paraId="224B43D3" w14:textId="23DC0BDF" w:rsidR="00DD5B04" w:rsidRPr="00FB186E" w:rsidRDefault="00DD5B04" w:rsidP="00B7240D">
      <w:pPr>
        <w:tabs>
          <w:tab w:val="left" w:pos="426"/>
        </w:tabs>
        <w:spacing w:after="0" w:line="276" w:lineRule="auto"/>
        <w:jc w:val="both"/>
        <w:rPr>
          <w:rFonts w:ascii="Geomanist Light" w:hAnsi="Geomanist Light" w:cs="Arial"/>
          <w:b/>
          <w:color w:val="000000" w:themeColor="text1"/>
          <w:lang w:val="es-ES_tradnl"/>
        </w:rPr>
      </w:pPr>
    </w:p>
    <w:p w14:paraId="5753A731" w14:textId="1585B2EC" w:rsidR="0083383D" w:rsidRDefault="000D0CC7" w:rsidP="00B7240D">
      <w:pPr>
        <w:spacing w:after="0" w:line="276" w:lineRule="auto"/>
        <w:jc w:val="both"/>
        <w:rPr>
          <w:rFonts w:ascii="Geomanist Light" w:hAnsi="Geomanist Light" w:cs="Arial"/>
          <w:bCs/>
        </w:rPr>
      </w:pPr>
      <w:r w:rsidRPr="00FB186E">
        <w:rPr>
          <w:rFonts w:ascii="Geomanist Light" w:hAnsi="Geomanist Light" w:cs="Arial"/>
          <w:bCs/>
        </w:rPr>
        <w:t>Usted realiza la</w:t>
      </w:r>
      <w:r w:rsidR="00CC53EC">
        <w:rPr>
          <w:rFonts w:ascii="Geomanist Light" w:hAnsi="Geomanist Light" w:cs="Arial"/>
          <w:bCs/>
        </w:rPr>
        <w:t>s</w:t>
      </w:r>
      <w:r w:rsidRPr="00FB186E">
        <w:rPr>
          <w:rFonts w:ascii="Geomanist Light" w:hAnsi="Geomanist Light" w:cs="Arial"/>
          <w:bCs/>
        </w:rPr>
        <w:t xml:space="preserve"> siguiente</w:t>
      </w:r>
      <w:r w:rsidR="00CC53EC">
        <w:rPr>
          <w:rFonts w:ascii="Geomanist Light" w:hAnsi="Geomanist Light" w:cs="Arial"/>
          <w:bCs/>
        </w:rPr>
        <w:t>s</w:t>
      </w:r>
      <w:r w:rsidRPr="00FB186E">
        <w:rPr>
          <w:rFonts w:ascii="Geomanist Light" w:hAnsi="Geomanist Light" w:cs="Arial"/>
          <w:bCs/>
        </w:rPr>
        <w:t xml:space="preserve"> pregunta</w:t>
      </w:r>
      <w:r w:rsidR="00CC53EC">
        <w:rPr>
          <w:rFonts w:ascii="Geomanist Light" w:hAnsi="Geomanist Light" w:cs="Arial"/>
          <w:bCs/>
        </w:rPr>
        <w:t>s</w:t>
      </w:r>
      <w:r w:rsidRPr="00FB186E">
        <w:rPr>
          <w:rFonts w:ascii="Geomanist Light" w:hAnsi="Geomanist Light" w:cs="Arial"/>
          <w:bCs/>
        </w:rPr>
        <w:t xml:space="preserve">: </w:t>
      </w:r>
    </w:p>
    <w:p w14:paraId="5CFF4E25" w14:textId="77777777" w:rsidR="0083383D" w:rsidRDefault="0083383D" w:rsidP="0083383D">
      <w:pPr>
        <w:tabs>
          <w:tab w:val="left" w:pos="8364"/>
        </w:tabs>
        <w:spacing w:after="0" w:line="240" w:lineRule="auto"/>
        <w:ind w:left="709"/>
        <w:jc w:val="both"/>
        <w:rPr>
          <w:rFonts w:ascii="Geomanist Light" w:hAnsi="Geomanist Light" w:cs="Arial"/>
          <w:bCs/>
        </w:rPr>
      </w:pPr>
    </w:p>
    <w:p w14:paraId="11264663" w14:textId="583234E9" w:rsidR="00C47CA3" w:rsidRPr="00CC53EC" w:rsidRDefault="00DA371B"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bookmarkStart w:id="4" w:name="_Hlk118220378"/>
      <w:r w:rsidRPr="00CC53EC">
        <w:rPr>
          <w:rFonts w:ascii="Geomanist Light" w:hAnsi="Geomanist Light" w:cs="Arial"/>
          <w:bCs/>
          <w:color w:val="000000" w:themeColor="text1"/>
          <w:sz w:val="21"/>
          <w:szCs w:val="21"/>
          <w:lang w:val="es-ES_tradnl"/>
        </w:rPr>
        <w:t>«</w:t>
      </w:r>
      <w:r w:rsidR="00C47CA3" w:rsidRPr="00CC53EC">
        <w:rPr>
          <w:rFonts w:ascii="Geomanist Light" w:hAnsi="Geomanist Light" w:cs="Arial"/>
          <w:bCs/>
          <w:color w:val="000000" w:themeColor="text1"/>
          <w:sz w:val="21"/>
          <w:szCs w:val="21"/>
          <w:lang w:val="es-ES_tradnl"/>
        </w:rPr>
        <w:t xml:space="preserve">1.¿Puede la Entidad publicar un informe de evaluación preliminar que basa sus conclusiones en indicar si el Oferente: CUMPLE/NO CUMPLE, es decir, limitándose a indicar el cumplimiento o no de los requisitos sin especificar los motivos, razones, las circunstancias, leyes o partes del pliego en las que presuntamente el oferente está faltando? </w:t>
      </w:r>
    </w:p>
    <w:p w14:paraId="0467024F"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7ED048F8"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2. ¿Puede la Entidad ignorar la Ley 80, que estipula en su artículo 24, numeral 7, que: “ARTÍCULO 24.- Del principio de Transparencia. En virtud de este principio: … …7o. Los </w:t>
      </w:r>
      <w:r w:rsidRPr="00CC53EC">
        <w:rPr>
          <w:rFonts w:ascii="Geomanist Light" w:hAnsi="Geomanist Light" w:cs="Arial"/>
          <w:bCs/>
          <w:color w:val="000000" w:themeColor="text1"/>
          <w:sz w:val="21"/>
          <w:szCs w:val="21"/>
          <w:lang w:val="es-ES_tradnl"/>
        </w:rPr>
        <w:lastRenderedPageBreak/>
        <w:t xml:space="preserve">actos administrativos que se expidan en la actividad contractual o con ocasión de ella, salvo los de mero trámite, se motivarán en forma detallada y precisa </w:t>
      </w:r>
      <w:r w:rsidRPr="00CC53EC">
        <w:rPr>
          <w:rFonts w:ascii="Geomanist Light" w:hAnsi="Geomanist Light" w:cs="Arial"/>
          <w:b/>
          <w:bCs/>
          <w:color w:val="000000" w:themeColor="text1"/>
          <w:sz w:val="21"/>
          <w:szCs w:val="21"/>
          <w:lang w:val="es-ES_tradnl"/>
        </w:rPr>
        <w:t>e igualmente lo serán los informes de evaluación</w:t>
      </w:r>
      <w:r w:rsidRPr="00CC53EC">
        <w:rPr>
          <w:rFonts w:ascii="Geomanist Light" w:hAnsi="Geomanist Light" w:cs="Arial"/>
          <w:bCs/>
          <w:color w:val="000000" w:themeColor="text1"/>
          <w:sz w:val="21"/>
          <w:szCs w:val="21"/>
          <w:lang w:val="es-ES_tradnl"/>
        </w:rPr>
        <w:t xml:space="preserve">, el acto de adjudicación y la declaratoria de desierto del proceso de escogencia.” Negrilla y subrayado fuera de texto. </w:t>
      </w:r>
    </w:p>
    <w:p w14:paraId="178C3BBF"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79DCC65B"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Es decir, pese a que la Ley 80, por la cual se expide el Estatuto General de Contratación de la Administración pública obliga a la Entidad a hacer los informes en forma DETALLADA Y PRECISA, únicamente puede la Entidad informar el “No cumplimiento” y aun solicitando claridad en los aspectos de incumplimiento el proceso ¿la Entidad puede hacer caso omiso a la solicitud de claridad en qué aspectos no se cumplen? </w:t>
      </w:r>
    </w:p>
    <w:p w14:paraId="25B28533"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4CACBDFC"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3. ¿Puede la Entidad omitir el Derecho al Debido Proceso sin indicar al Proponente de acuerdo al Pliego de Condiciones cuál es el incumplimiento del que se le acusa? </w:t>
      </w:r>
    </w:p>
    <w:p w14:paraId="1A0138D4"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3BEDCD0C" w14:textId="77777777" w:rsidR="00C47CA3" w:rsidRPr="00CC53EC" w:rsidRDefault="00C47CA3" w:rsidP="00C47CA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rPr>
      </w:pPr>
      <w:r w:rsidRPr="00CC53EC">
        <w:rPr>
          <w:rFonts w:ascii="Geomanist Light" w:hAnsi="Geomanist Light" w:cs="Arial"/>
          <w:bCs/>
          <w:color w:val="000000" w:themeColor="text1"/>
          <w:sz w:val="21"/>
          <w:szCs w:val="21"/>
          <w:lang w:val="es-ES_tradnl"/>
        </w:rPr>
        <w:t>4. ¿Son los informes de evaluación una matriz que indica CUMPLE/NO CUMPLE los diferentes aspectos del Pliego de Condiciones o por el contrario deben cumplir la Ley 80 de 1993 y se motivarán de forma detallada y precisa?»</w:t>
      </w:r>
    </w:p>
    <w:bookmarkEnd w:id="4"/>
    <w:p w14:paraId="3875CC47" w14:textId="77777777" w:rsidR="00DA371B" w:rsidRPr="0083383D" w:rsidRDefault="00DA371B" w:rsidP="0083383D">
      <w:pPr>
        <w:tabs>
          <w:tab w:val="left" w:pos="426"/>
        </w:tabs>
        <w:spacing w:after="0" w:line="276" w:lineRule="auto"/>
        <w:jc w:val="both"/>
        <w:rPr>
          <w:rFonts w:ascii="Geomanist Light" w:hAnsi="Geomanist Light" w:cs="Arial"/>
          <w:bCs/>
          <w:color w:val="000000" w:themeColor="text1"/>
          <w:lang w:val="es-ES_tradnl"/>
        </w:rPr>
      </w:pPr>
    </w:p>
    <w:p w14:paraId="124D2DCA" w14:textId="77777777" w:rsidR="00DD5B04" w:rsidRPr="00FB186E" w:rsidRDefault="00DD5B04" w:rsidP="00DF76A2">
      <w:pPr>
        <w:pStyle w:val="Prrafodelista"/>
        <w:numPr>
          <w:ilvl w:val="0"/>
          <w:numId w:val="8"/>
        </w:numPr>
        <w:tabs>
          <w:tab w:val="left" w:pos="0"/>
          <w:tab w:val="left" w:pos="284"/>
        </w:tabs>
        <w:ind w:left="0" w:firstLine="0"/>
        <w:jc w:val="both"/>
        <w:rPr>
          <w:rFonts w:ascii="Geomanist Light" w:eastAsia="Calibri" w:hAnsi="Geomanist Light" w:cs="Arial"/>
          <w:b/>
          <w:color w:val="000000" w:themeColor="text1"/>
          <w:sz w:val="22"/>
          <w:lang w:val="es-ES_tradnl"/>
        </w:rPr>
      </w:pPr>
      <w:r w:rsidRPr="00FB186E">
        <w:rPr>
          <w:rFonts w:ascii="Geomanist Light" w:eastAsia="Calibri" w:hAnsi="Geomanist Light" w:cs="Arial"/>
          <w:b/>
          <w:color w:val="000000" w:themeColor="text1"/>
          <w:sz w:val="22"/>
          <w:lang w:val="es-ES_tradnl"/>
        </w:rPr>
        <w:t>Consideraciones</w:t>
      </w:r>
    </w:p>
    <w:p w14:paraId="395997FF" w14:textId="77777777" w:rsidR="00621981" w:rsidRPr="00FB186E" w:rsidRDefault="00621981" w:rsidP="00B7240D">
      <w:pPr>
        <w:spacing w:after="0" w:line="276" w:lineRule="auto"/>
        <w:jc w:val="both"/>
        <w:rPr>
          <w:rFonts w:ascii="Geomanist Light" w:hAnsi="Geomanist Light" w:cs="Arial"/>
          <w:color w:val="000000" w:themeColor="text1"/>
        </w:rPr>
      </w:pPr>
    </w:p>
    <w:p w14:paraId="4F8E7AAB" w14:textId="77777777" w:rsidR="006E7824" w:rsidRPr="00FB186E" w:rsidRDefault="006E7824" w:rsidP="00B7240D">
      <w:pPr>
        <w:spacing w:after="0" w:line="276" w:lineRule="auto"/>
        <w:jc w:val="both"/>
        <w:rPr>
          <w:rFonts w:ascii="Geomanist Light" w:hAnsi="Geomanist Light" w:cs="Arial"/>
          <w:lang w:val="es-ES"/>
        </w:rPr>
      </w:pPr>
      <w:r w:rsidRPr="00FB186E">
        <w:rPr>
          <w:rFonts w:ascii="Geomanist Light" w:hAnsi="Geomanist Light" w:cs="Arial"/>
          <w:bCs/>
        </w:rPr>
        <w:t xml:space="preserve">En ejercicio de las competencias establecidas en los artículos 3.5 y 11.8 del Decreto 4170 de 2011, la Agencia Nacional de Contratación Pública – Colombia Compra Eficiente resuelve consultas sobre </w:t>
      </w:r>
      <w:r w:rsidRPr="00FB186E">
        <w:rPr>
          <w:rFonts w:ascii="Geomanist Light" w:hAnsi="Geomanist Light"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FB186E">
        <w:rPr>
          <w:rFonts w:ascii="Geomanist Light" w:hAnsi="Geomanist Light" w:cs="Arial"/>
          <w:bCs/>
        </w:rPr>
        <w:t xml:space="preserve"> de todos los partícipes de la contratación estatal ni para interpretar el alcance de cualquier norma vigente en el ordenamiento jurídico.</w:t>
      </w:r>
    </w:p>
    <w:p w14:paraId="2E035848" w14:textId="068E5A7F" w:rsidR="00D56828" w:rsidRPr="00FB186E" w:rsidRDefault="006E7824" w:rsidP="00717D81">
      <w:pPr>
        <w:spacing w:before="120" w:after="0" w:line="276" w:lineRule="auto"/>
        <w:ind w:firstLine="708"/>
        <w:jc w:val="both"/>
        <w:rPr>
          <w:rFonts w:ascii="Geomanist Light" w:hAnsi="Geomanist Light" w:cs="Arial"/>
          <w:lang w:val="es-ES"/>
        </w:rPr>
      </w:pPr>
      <w:r w:rsidRPr="00FB186E">
        <w:rPr>
          <w:rFonts w:ascii="Geomanist Light" w:hAnsi="Geomanist Light"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B186E">
        <w:rPr>
          <w:rFonts w:ascii="Geomanist Light" w:hAnsi="Geomanist Light" w:cs="Arial"/>
          <w:vertAlign w:val="superscript"/>
          <w:lang w:val="es-ES"/>
        </w:rPr>
        <w:footnoteReference w:id="2"/>
      </w:r>
      <w:r w:rsidRPr="00FB186E">
        <w:rPr>
          <w:rFonts w:ascii="Geomanist Light" w:hAnsi="Geomanist Light" w:cs="Arial"/>
          <w:lang w:val="es-ES"/>
        </w:rPr>
        <w:t xml:space="preserve">. Esta competencia de </w:t>
      </w:r>
      <w:r w:rsidRPr="00FB186E">
        <w:rPr>
          <w:rFonts w:ascii="Geomanist Light" w:hAnsi="Geomanist Light" w:cs="Arial"/>
          <w:lang w:val="es-ES"/>
        </w:rPr>
        <w:lastRenderedPageBreak/>
        <w:t xml:space="preserve">interpretación de normas generales, por definición, no puede extenderse a la resolución de controversias, brindar asesorías sobre casos puntuales ni interpretar normas ajenas al sistema de compras públicas. </w:t>
      </w:r>
    </w:p>
    <w:p w14:paraId="10268382" w14:textId="39C937C2" w:rsidR="00123C9C" w:rsidRPr="008B2ED1" w:rsidRDefault="006E7824" w:rsidP="00123C9C">
      <w:pPr>
        <w:spacing w:before="120" w:after="0" w:line="276" w:lineRule="auto"/>
        <w:ind w:firstLine="708"/>
        <w:jc w:val="both"/>
        <w:rPr>
          <w:rFonts w:ascii="Geomanist Light" w:hAnsi="Geomanist Light" w:cs="Arial"/>
          <w:bCs/>
          <w:color w:val="000000" w:themeColor="text1"/>
          <w:lang w:val="es-ES_tradnl"/>
        </w:rPr>
      </w:pPr>
      <w:r w:rsidRPr="00FB186E">
        <w:rPr>
          <w:rFonts w:ascii="Geomanist Light" w:hAnsi="Geomanist Light" w:cs="Arial"/>
          <w:lang w:val="es-ES"/>
        </w:rPr>
        <w:t xml:space="preserve">En este contexto, </w:t>
      </w:r>
      <w:r w:rsidR="00A71E4C" w:rsidRPr="00FB186E">
        <w:rPr>
          <w:rFonts w:ascii="Geomanist Light" w:hAnsi="Geomanist Light" w:cs="Arial"/>
          <w:lang w:val="es-ES"/>
        </w:rPr>
        <w:t>l</w:t>
      </w:r>
      <w:r w:rsidR="00832FDC" w:rsidRPr="00FB186E">
        <w:rPr>
          <w:rFonts w:ascii="Geomanist Light" w:hAnsi="Geomanist Light" w:cs="Arial"/>
          <w:color w:val="000000" w:themeColor="text1"/>
          <w:lang w:val="es-ES"/>
        </w:rPr>
        <w:t>a Subdirección –dentro de los límites de sus atribuciones– resolverá la consulta conforme a las normas generales en materia de contratación estatal</w:t>
      </w:r>
      <w:r w:rsidR="00BF3356" w:rsidRPr="00FB186E">
        <w:rPr>
          <w:rFonts w:ascii="Geomanist Light" w:hAnsi="Geomanist Light" w:cs="Arial"/>
          <w:bCs/>
          <w:color w:val="000000" w:themeColor="text1"/>
          <w:lang w:val="es-ES"/>
        </w:rPr>
        <w:t xml:space="preserve">. </w:t>
      </w:r>
      <w:r w:rsidRPr="00FB186E">
        <w:rPr>
          <w:rFonts w:ascii="Geomanist Light" w:hAnsi="Geomanist Light" w:cs="Arial"/>
          <w:bCs/>
          <w:color w:val="000000" w:themeColor="text1"/>
        </w:rPr>
        <w:t xml:space="preserve">Para estos efectos, </w:t>
      </w:r>
      <w:r w:rsidRPr="00FB186E">
        <w:rPr>
          <w:rFonts w:ascii="Geomanist Light" w:hAnsi="Geomanist Light" w:cs="Arial"/>
          <w:bCs/>
          <w:color w:val="000000" w:themeColor="text1"/>
          <w:lang w:val="es-ES"/>
        </w:rPr>
        <w:t>se analizarán l</w:t>
      </w:r>
      <w:r w:rsidR="00D4017C" w:rsidRPr="00FB186E">
        <w:rPr>
          <w:rFonts w:ascii="Geomanist Light" w:hAnsi="Geomanist Light" w:cs="Arial"/>
          <w:bCs/>
          <w:color w:val="000000" w:themeColor="text1"/>
          <w:lang w:val="es-ES"/>
        </w:rPr>
        <w:t xml:space="preserve">os </w:t>
      </w:r>
      <w:r w:rsidR="0083383D">
        <w:rPr>
          <w:rFonts w:ascii="Geomanist Light" w:hAnsi="Geomanist Light" w:cs="Arial"/>
          <w:bCs/>
          <w:color w:val="000000" w:themeColor="text1"/>
          <w:lang w:val="es-ES"/>
        </w:rPr>
        <w:t>siguientes temas:</w:t>
      </w:r>
      <w:r w:rsidR="0083383D" w:rsidRPr="0083383D">
        <w:rPr>
          <w:rFonts w:ascii="Geomanist Light" w:hAnsi="Geomanist Light" w:cs="Arial"/>
          <w:bCs/>
          <w:color w:val="000000" w:themeColor="text1"/>
        </w:rPr>
        <w:t xml:space="preserve"> i)</w:t>
      </w:r>
      <w:r w:rsidR="008B2ED1" w:rsidRPr="008B2ED1">
        <w:rPr>
          <w:rFonts w:ascii="Arial" w:hAnsi="Arial" w:cs="Arial"/>
          <w:bCs/>
          <w:sz w:val="20"/>
          <w:szCs w:val="20"/>
          <w:lang w:val="es-ES_tradnl"/>
        </w:rPr>
        <w:t xml:space="preserve"> </w:t>
      </w:r>
      <w:r w:rsidR="008B2ED1">
        <w:rPr>
          <w:rFonts w:ascii="Geomanist Light" w:hAnsi="Geomanist Light" w:cs="Arial"/>
          <w:bCs/>
          <w:color w:val="000000" w:themeColor="text1"/>
          <w:lang w:val="es-ES_tradnl"/>
        </w:rPr>
        <w:t>e</w:t>
      </w:r>
      <w:r w:rsidR="008B2ED1" w:rsidRPr="008B2ED1">
        <w:rPr>
          <w:rFonts w:ascii="Geomanist Light" w:hAnsi="Geomanist Light" w:cs="Arial"/>
          <w:bCs/>
          <w:color w:val="000000" w:themeColor="text1"/>
          <w:lang w:val="es-ES_tradnl"/>
        </w:rPr>
        <w:t>l principio de transparencia</w:t>
      </w:r>
      <w:r w:rsidR="0083383D" w:rsidRPr="0083383D">
        <w:rPr>
          <w:rFonts w:ascii="Geomanist Light" w:hAnsi="Geomanist Light" w:cs="Arial"/>
          <w:bCs/>
          <w:color w:val="000000" w:themeColor="text1"/>
        </w:rPr>
        <w:t xml:space="preserve"> </w:t>
      </w:r>
      <w:r w:rsidR="0083383D">
        <w:rPr>
          <w:rFonts w:ascii="Geomanist Light" w:hAnsi="Geomanist Light" w:cs="Arial"/>
          <w:bCs/>
          <w:color w:val="000000" w:themeColor="text1"/>
        </w:rPr>
        <w:t>y</w:t>
      </w:r>
      <w:r w:rsidR="0083383D" w:rsidRPr="0083383D">
        <w:rPr>
          <w:rFonts w:ascii="Geomanist Light" w:hAnsi="Geomanist Light" w:cs="Arial"/>
          <w:bCs/>
          <w:color w:val="000000" w:themeColor="text1"/>
        </w:rPr>
        <w:t xml:space="preserve"> </w:t>
      </w:r>
      <w:r w:rsidR="0083383D">
        <w:rPr>
          <w:rFonts w:ascii="Geomanist Light" w:hAnsi="Geomanist Light" w:cs="Arial"/>
          <w:bCs/>
          <w:color w:val="000000" w:themeColor="text1"/>
        </w:rPr>
        <w:t>ii</w:t>
      </w:r>
      <w:r w:rsidR="0083383D" w:rsidRPr="0083383D">
        <w:rPr>
          <w:rFonts w:ascii="Geomanist Light" w:hAnsi="Geomanist Light" w:cs="Arial"/>
          <w:bCs/>
          <w:color w:val="000000" w:themeColor="text1"/>
        </w:rPr>
        <w:t>)</w:t>
      </w:r>
      <w:r w:rsidR="008B2ED1">
        <w:rPr>
          <w:rFonts w:ascii="Geomanist Light" w:hAnsi="Geomanist Light" w:cs="Arial"/>
          <w:bCs/>
          <w:color w:val="000000" w:themeColor="text1"/>
        </w:rPr>
        <w:t xml:space="preserve"> la </w:t>
      </w:r>
      <w:r w:rsidR="008B2ED1">
        <w:rPr>
          <w:rFonts w:ascii="Geomanist Light" w:hAnsi="Geomanist Light" w:cs="Arial"/>
          <w:bCs/>
          <w:color w:val="000000" w:themeColor="text1"/>
          <w:lang w:val="es-ES_tradnl"/>
        </w:rPr>
        <w:t>n</w:t>
      </w:r>
      <w:r w:rsidR="008B2ED1" w:rsidRPr="008B2ED1">
        <w:rPr>
          <w:rFonts w:ascii="Geomanist Light" w:hAnsi="Geomanist Light" w:cs="Arial"/>
          <w:bCs/>
          <w:color w:val="000000" w:themeColor="text1"/>
          <w:lang w:val="es-ES_tradnl"/>
        </w:rPr>
        <w:t>aturaleza y forma del informe de evaluación</w:t>
      </w:r>
      <w:r w:rsidR="008B2ED1">
        <w:rPr>
          <w:rFonts w:ascii="Geomanist Light" w:hAnsi="Geomanist Light" w:cs="Arial"/>
          <w:bCs/>
          <w:color w:val="000000" w:themeColor="text1"/>
          <w:lang w:val="es-ES_tradnl"/>
        </w:rPr>
        <w:t xml:space="preserve">. </w:t>
      </w:r>
      <w:r w:rsidR="009D0483">
        <w:rPr>
          <w:rFonts w:ascii="Geomanist Light" w:hAnsi="Geomanist Light" w:cs="Arial"/>
          <w:bCs/>
          <w:color w:val="000000" w:themeColor="text1"/>
          <w:lang w:val="es-ES_tradnl"/>
        </w:rPr>
        <w:t xml:space="preserve"> </w:t>
      </w:r>
      <w:r w:rsidR="00123C9C" w:rsidRPr="00123C9C">
        <w:rPr>
          <w:rFonts w:ascii="Geomanist Light" w:hAnsi="Geomanist Light" w:cs="Arial"/>
          <w:bCs/>
          <w:color w:val="000000" w:themeColor="text1"/>
          <w:lang w:val="es-ES_tradnl"/>
        </w:rPr>
        <w:t>La Agencia Nacional de Contratación Pública – Colombia Compra Eficiente se pronunció, en términos generales, en el concepto C-45</w:t>
      </w:r>
      <w:r w:rsidR="00123C9C">
        <w:rPr>
          <w:rFonts w:ascii="Geomanist Light" w:hAnsi="Geomanist Light" w:cs="Arial"/>
          <w:bCs/>
          <w:color w:val="000000" w:themeColor="text1"/>
          <w:lang w:val="es-ES_tradnl"/>
        </w:rPr>
        <w:t>3</w:t>
      </w:r>
      <w:r w:rsidR="00123C9C" w:rsidRPr="00123C9C">
        <w:rPr>
          <w:rFonts w:ascii="Geomanist Light" w:hAnsi="Geomanist Light" w:cs="Arial"/>
          <w:bCs/>
          <w:color w:val="000000" w:themeColor="text1"/>
          <w:lang w:val="es-ES_tradnl"/>
        </w:rPr>
        <w:t xml:space="preserve"> del </w:t>
      </w:r>
      <w:r w:rsidR="00123C9C">
        <w:rPr>
          <w:rFonts w:ascii="Geomanist Light" w:hAnsi="Geomanist Light" w:cs="Arial"/>
          <w:bCs/>
          <w:color w:val="000000" w:themeColor="text1"/>
          <w:lang w:val="es-ES_tradnl"/>
        </w:rPr>
        <w:t>27</w:t>
      </w:r>
      <w:r w:rsidR="00123C9C" w:rsidRPr="00123C9C">
        <w:rPr>
          <w:rFonts w:ascii="Geomanist Light" w:hAnsi="Geomanist Light" w:cs="Arial"/>
          <w:bCs/>
          <w:color w:val="000000" w:themeColor="text1"/>
          <w:lang w:val="es-ES_tradnl"/>
        </w:rPr>
        <w:t xml:space="preserve"> de </w:t>
      </w:r>
      <w:r w:rsidR="00123C9C">
        <w:rPr>
          <w:rFonts w:ascii="Geomanist Light" w:hAnsi="Geomanist Light" w:cs="Arial"/>
          <w:bCs/>
          <w:color w:val="000000" w:themeColor="text1"/>
          <w:lang w:val="es-ES_tradnl"/>
        </w:rPr>
        <w:t>julio</w:t>
      </w:r>
      <w:r w:rsidR="00123C9C" w:rsidRPr="00123C9C">
        <w:rPr>
          <w:rFonts w:ascii="Geomanist Light" w:hAnsi="Geomanist Light" w:cs="Arial"/>
          <w:bCs/>
          <w:color w:val="000000" w:themeColor="text1"/>
          <w:lang w:val="es-ES_tradnl"/>
        </w:rPr>
        <w:t xml:space="preserve"> del 202</w:t>
      </w:r>
      <w:r w:rsidR="00123C9C">
        <w:rPr>
          <w:rFonts w:ascii="Geomanist Light" w:hAnsi="Geomanist Light" w:cs="Arial"/>
          <w:bCs/>
          <w:color w:val="000000" w:themeColor="text1"/>
          <w:lang w:val="es-ES_tradnl"/>
        </w:rPr>
        <w:t>0</w:t>
      </w:r>
      <w:r w:rsidR="00123C9C" w:rsidRPr="00123C9C">
        <w:rPr>
          <w:rFonts w:ascii="Geomanist Light" w:hAnsi="Geomanist Light" w:cs="Arial"/>
          <w:bCs/>
          <w:color w:val="000000" w:themeColor="text1"/>
          <w:lang w:val="es-ES_tradnl"/>
        </w:rPr>
        <w:t xml:space="preserve"> sobre </w:t>
      </w:r>
      <w:r w:rsidR="00123C9C">
        <w:rPr>
          <w:rFonts w:ascii="Geomanist Light" w:hAnsi="Geomanist Light" w:cs="Arial"/>
          <w:bCs/>
          <w:color w:val="000000" w:themeColor="text1"/>
          <w:lang w:val="es-ES_tradnl"/>
        </w:rPr>
        <w:t xml:space="preserve">el principio de transparencia y </w:t>
      </w:r>
      <w:r w:rsidR="00CC53EC">
        <w:rPr>
          <w:rFonts w:ascii="Geomanist Light" w:hAnsi="Geomanist Light" w:cs="Arial"/>
          <w:bCs/>
          <w:color w:val="000000" w:themeColor="text1"/>
          <w:lang w:val="es-ES_tradnl"/>
        </w:rPr>
        <w:t xml:space="preserve">la naturaleza del </w:t>
      </w:r>
      <w:r w:rsidR="00123C9C">
        <w:rPr>
          <w:rFonts w:ascii="Geomanist Light" w:hAnsi="Geomanist Light" w:cs="Arial"/>
          <w:bCs/>
          <w:color w:val="000000" w:themeColor="text1"/>
          <w:lang w:val="es-ES_tradnl"/>
        </w:rPr>
        <w:t>informe de evaluación</w:t>
      </w:r>
      <w:r w:rsidR="00123C9C" w:rsidRPr="00123C9C">
        <w:rPr>
          <w:rFonts w:ascii="Geomanist Light" w:hAnsi="Geomanist Light" w:cs="Arial"/>
          <w:bCs/>
          <w:color w:val="000000" w:themeColor="text1"/>
          <w:vertAlign w:val="superscript"/>
          <w:lang w:val="es-ES_tradnl"/>
        </w:rPr>
        <w:footnoteReference w:id="3"/>
      </w:r>
      <w:r w:rsidR="00123C9C" w:rsidRPr="00123C9C">
        <w:rPr>
          <w:rFonts w:ascii="Geomanist Light" w:hAnsi="Geomanist Light" w:cs="Arial"/>
          <w:bCs/>
          <w:color w:val="000000" w:themeColor="text1"/>
          <w:lang w:val="es-ES_tradnl"/>
        </w:rPr>
        <w:t>. Las tesis expuesta en este concepto se reitera</w:t>
      </w:r>
      <w:r w:rsidR="00123C9C">
        <w:rPr>
          <w:rFonts w:ascii="Geomanist Light" w:hAnsi="Geomanist Light" w:cs="Arial"/>
          <w:bCs/>
          <w:color w:val="000000" w:themeColor="text1"/>
          <w:lang w:val="es-ES_tradnl"/>
        </w:rPr>
        <w:t xml:space="preserve"> y se complementa</w:t>
      </w:r>
      <w:r w:rsidR="00123C9C" w:rsidRPr="00123C9C">
        <w:rPr>
          <w:rFonts w:ascii="Geomanist Light" w:hAnsi="Geomanist Light" w:cs="Arial"/>
          <w:bCs/>
          <w:color w:val="000000" w:themeColor="text1"/>
          <w:lang w:val="es-ES_tradnl"/>
        </w:rPr>
        <w:t xml:space="preserve"> en lo pertinente. </w:t>
      </w:r>
    </w:p>
    <w:p w14:paraId="35A5D36A" w14:textId="77777777" w:rsidR="005156E7" w:rsidRDefault="005156E7" w:rsidP="005156E7">
      <w:pPr>
        <w:spacing w:after="0" w:line="276" w:lineRule="auto"/>
        <w:jc w:val="both"/>
        <w:rPr>
          <w:rFonts w:ascii="Geomanist Light" w:hAnsi="Geomanist Light" w:cs="Arial"/>
          <w:b/>
          <w:bCs/>
        </w:rPr>
      </w:pPr>
    </w:p>
    <w:p w14:paraId="1D11DDFC" w14:textId="1D1B8A0A" w:rsidR="008B2ED1" w:rsidRPr="008B2ED1" w:rsidRDefault="0083383D" w:rsidP="008B2ED1">
      <w:pPr>
        <w:spacing w:after="0" w:line="276" w:lineRule="auto"/>
        <w:jc w:val="both"/>
        <w:rPr>
          <w:rFonts w:ascii="Geomanist Light" w:hAnsi="Geomanist Light" w:cs="Arial"/>
          <w:b/>
          <w:bCs/>
          <w:lang w:val="es-MX"/>
        </w:rPr>
      </w:pPr>
      <w:r w:rsidRPr="0083383D">
        <w:rPr>
          <w:rFonts w:ascii="Geomanist Light" w:hAnsi="Geomanist Light" w:cs="Arial"/>
          <w:b/>
          <w:bCs/>
        </w:rPr>
        <w:t xml:space="preserve">2.1.  </w:t>
      </w:r>
      <w:r w:rsidR="008B2ED1">
        <w:rPr>
          <w:rFonts w:ascii="Geomanist Light" w:hAnsi="Geomanist Light" w:cs="Arial"/>
          <w:b/>
          <w:bCs/>
        </w:rPr>
        <w:t xml:space="preserve">El </w:t>
      </w:r>
      <w:r w:rsidR="000614C0">
        <w:rPr>
          <w:rFonts w:ascii="Geomanist Light" w:hAnsi="Geomanist Light" w:cs="Arial"/>
          <w:b/>
          <w:bCs/>
        </w:rPr>
        <w:t>principio</w:t>
      </w:r>
      <w:r w:rsidR="008B2ED1" w:rsidRPr="008B2ED1">
        <w:rPr>
          <w:rFonts w:ascii="Geomanist Light" w:hAnsi="Geomanist Light" w:cs="Arial"/>
          <w:b/>
          <w:bCs/>
          <w:lang w:val="es-MX"/>
        </w:rPr>
        <w:t xml:space="preserve"> de Transparencia</w:t>
      </w:r>
    </w:p>
    <w:p w14:paraId="5B8971D3" w14:textId="517DDF31" w:rsidR="0083383D" w:rsidRDefault="0083383D" w:rsidP="005156E7">
      <w:pPr>
        <w:spacing w:after="0" w:line="276" w:lineRule="auto"/>
        <w:jc w:val="both"/>
        <w:rPr>
          <w:rFonts w:ascii="Geomanist Light" w:hAnsi="Geomanist Light" w:cs="Arial"/>
          <w:b/>
          <w:lang w:val="es-ES_tradnl"/>
        </w:rPr>
      </w:pPr>
    </w:p>
    <w:p w14:paraId="4C048493" w14:textId="77777777" w:rsidR="008B2ED1" w:rsidRPr="008B2ED1" w:rsidRDefault="008B2ED1" w:rsidP="008B2ED1">
      <w:pPr>
        <w:spacing w:after="0" w:line="276" w:lineRule="auto"/>
        <w:jc w:val="both"/>
        <w:rPr>
          <w:rFonts w:ascii="Geomanist Light" w:hAnsi="Geomanist Light" w:cs="Arial"/>
          <w:lang w:val="es-MX"/>
        </w:rPr>
      </w:pPr>
      <w:r w:rsidRPr="008B2ED1">
        <w:rPr>
          <w:rFonts w:ascii="Geomanist Light" w:hAnsi="Geomanist Light" w:cs="Arial"/>
          <w:lang w:val="es-MX"/>
        </w:rPr>
        <w:t>La contratación estatal tiene como propósito el cumplimiento de los fines estatales, la continua y eficiente prestación de los servicios públicos y la efectividad de los derechos e intereses de los administrados que colaboran con ellas en la consecución de dichos fines</w:t>
      </w:r>
      <w:r w:rsidRPr="008B2ED1">
        <w:rPr>
          <w:rFonts w:ascii="Geomanist Light" w:hAnsi="Geomanist Light" w:cs="Arial"/>
          <w:vertAlign w:val="superscript"/>
          <w:lang w:val="es-MX"/>
        </w:rPr>
        <w:footnoteReference w:id="4"/>
      </w:r>
      <w:r w:rsidRPr="008B2ED1">
        <w:rPr>
          <w:rFonts w:ascii="Geomanist Light" w:hAnsi="Geomanist Light" w:cs="Arial"/>
          <w:lang w:val="es-MX"/>
        </w:rPr>
        <w:t xml:space="preserve">. En cumplimiento de ese propósito, el legislador determinó que las actuaciones adelantadas por las entidades estatales, en materia contractual, se llevan a cabo, entre otros, en cumplimiento de los principios que gobiernan los procesos de contratación pública. </w:t>
      </w:r>
    </w:p>
    <w:p w14:paraId="645EDE9B" w14:textId="77777777" w:rsidR="008B2ED1" w:rsidRPr="008B2ED1" w:rsidRDefault="008B2ED1" w:rsidP="005B4BA6">
      <w:pPr>
        <w:spacing w:before="120" w:after="0" w:line="276" w:lineRule="auto"/>
        <w:ind w:firstLine="709"/>
        <w:jc w:val="both"/>
        <w:rPr>
          <w:rFonts w:ascii="Geomanist Light" w:hAnsi="Geomanist Light" w:cs="Arial"/>
          <w:lang w:val="es-MX"/>
        </w:rPr>
      </w:pPr>
      <w:r w:rsidRPr="008B2ED1">
        <w:rPr>
          <w:rFonts w:ascii="Geomanist Light" w:hAnsi="Geomanist Light" w:cs="Arial"/>
          <w:lang w:val="es-MX"/>
        </w:rPr>
        <w:t>El artículo 23 de la Ley 80 de 1993 regula los principios aplicables a las actuaciones contractuales adelantadas por las entidades estatales</w:t>
      </w:r>
      <w:r w:rsidRPr="008B2ED1">
        <w:rPr>
          <w:rFonts w:ascii="Geomanist Light" w:hAnsi="Geomanist Light" w:cs="Arial"/>
          <w:vertAlign w:val="superscript"/>
          <w:lang w:val="es-MX"/>
        </w:rPr>
        <w:footnoteReference w:id="5"/>
      </w:r>
      <w:r w:rsidRPr="008B2ED1">
        <w:rPr>
          <w:rFonts w:ascii="Geomanist Light" w:hAnsi="Geomanist Light" w:cs="Arial"/>
          <w:lang w:val="es-MX"/>
        </w:rPr>
        <w:t xml:space="preserve">.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Por eso en los numerales 2º y 3º se estableció la facultad de los </w:t>
      </w:r>
      <w:r w:rsidRPr="008B2ED1">
        <w:rPr>
          <w:rFonts w:ascii="Geomanist Light" w:hAnsi="Geomanist Light" w:cs="Arial"/>
          <w:lang w:val="es-MX"/>
        </w:rPr>
        <w:lastRenderedPageBreak/>
        <w:t>interesados para realizar y/o presentar observaciones, como un mecanismo para controvertir algunas de las decisiones adoptadas por las entidades estatales en el marco de sus actuaciones, por demás públicas, en los procesos contractuales, así:</w:t>
      </w:r>
    </w:p>
    <w:p w14:paraId="268ECD08" w14:textId="77777777" w:rsidR="008B2ED1" w:rsidRPr="008B2ED1" w:rsidRDefault="008B2ED1" w:rsidP="008B2ED1">
      <w:pPr>
        <w:spacing w:after="0" w:line="276" w:lineRule="auto"/>
        <w:jc w:val="both"/>
        <w:rPr>
          <w:rFonts w:ascii="Geomanist Light" w:hAnsi="Geomanist Light" w:cs="Arial"/>
          <w:lang w:val="es-MX"/>
        </w:rPr>
      </w:pPr>
    </w:p>
    <w:p w14:paraId="1A35F10B"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ARTÍCULO 24. DEL PRINCIPIO DE TRANSPARENCIA. En virtud de este principio:</w:t>
      </w:r>
    </w:p>
    <w:p w14:paraId="226CF370"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w:t>
      </w:r>
    </w:p>
    <w:p w14:paraId="48C3CB41"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p>
    <w:p w14:paraId="1A5965F7"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72A9770A"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p>
    <w:p w14:paraId="6A48B151"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3o. Las actuaciones de las autoridades serán públicas y los expedientes que las contengan estarán abiertos al público, permitiendo en el caso de licitación el ejercicio del derecho de que trata el artículo 273 de la Constitución Política.</w:t>
      </w:r>
    </w:p>
    <w:p w14:paraId="1626EC2D" w14:textId="77777777" w:rsidR="005156E7" w:rsidRDefault="005156E7" w:rsidP="005156E7">
      <w:pPr>
        <w:spacing w:after="0" w:line="276" w:lineRule="auto"/>
        <w:ind w:firstLine="709"/>
        <w:jc w:val="both"/>
        <w:rPr>
          <w:rFonts w:ascii="Geomanist Light" w:hAnsi="Geomanist Light" w:cs="Arial"/>
          <w:lang w:val="es-ES_tradnl"/>
        </w:rPr>
      </w:pPr>
    </w:p>
    <w:p w14:paraId="0B1AD69E" w14:textId="77777777" w:rsidR="008B2ED1" w:rsidRPr="008B2ED1" w:rsidRDefault="008B2ED1" w:rsidP="008B2ED1">
      <w:pPr>
        <w:spacing w:after="0" w:line="276" w:lineRule="auto"/>
        <w:ind w:firstLine="709"/>
        <w:jc w:val="both"/>
        <w:rPr>
          <w:rFonts w:ascii="Geomanist Light" w:hAnsi="Geomanist Light" w:cs="Arial"/>
          <w:lang w:val="es-MX"/>
        </w:rPr>
      </w:pPr>
      <w:r w:rsidRPr="008B2ED1">
        <w:rPr>
          <w:rFonts w:ascii="Geomanist Light" w:hAnsi="Geomanist Light" w:cs="Arial"/>
          <w:lang w:val="es-MX"/>
        </w:rPr>
        <w:t>En desarrollo del principio de transparencia, el artículo 30 de la Ley 80 de 1993, que contiene las reglas sobre la estructura de los procedimientos de selección del contratista, dispuso en el numeral 4º, en relación con la audiencia (de asignación de riesgos) para precisar el contenido y alcance de los pliegos de condiciones, que si bien como resultado de la misma se realizarán las modificaciones a que haya lugar sobre estos documentos, esa circunstancia «[…] no impide que dentro del plazo de la licitación, cualquier interesado pueda solicitar aclaraciones adicionales que la entidad contratante responderá mediante comunicación escrita, la cual remitirá al interesado y publicará en el SECOP para conocimiento público», y en el numeral 8º, respecto de los informes de evaluación de las propuestas, que los mismos «[…] permanecerán en la secretaría de la entidad por un término de cinco (5) días hábiles para que los oferentes presenten las observaciones que estimen pertinentes. […]».</w:t>
      </w:r>
    </w:p>
    <w:p w14:paraId="1FA82D30" w14:textId="77777777" w:rsidR="008B2ED1" w:rsidRPr="008B2ED1" w:rsidRDefault="008B2ED1" w:rsidP="008B2ED1">
      <w:pPr>
        <w:spacing w:before="120" w:after="0" w:line="276" w:lineRule="auto"/>
        <w:ind w:firstLine="709"/>
        <w:jc w:val="both"/>
        <w:rPr>
          <w:rFonts w:ascii="Geomanist Light" w:hAnsi="Geomanist Light" w:cs="Arial"/>
          <w:lang w:val="es-MX"/>
        </w:rPr>
      </w:pPr>
      <w:r w:rsidRPr="008B2ED1">
        <w:rPr>
          <w:rFonts w:ascii="Geomanist Light" w:hAnsi="Geomanist Light" w:cs="Arial"/>
          <w:lang w:val="es-MX"/>
        </w:rPr>
        <w:t>Por su parte, la Ley 1150 de 2007 «Por medio de la cual se introducen medidas para la eficiencia y la transparencia en la Ley 80 de 1993 […]», tratándose de la publicidad del pliego de condiciones, dispuso que «Con el propósito de suministrar al público en general la información que le permita formular observaciones a su contenido, las entidades publicarán los proyectos de pliegos de condiciones o sus equivalentes, en las condiciones que señale el reglamento.»</w:t>
      </w:r>
    </w:p>
    <w:p w14:paraId="11DA5059" w14:textId="77777777" w:rsidR="008B2ED1" w:rsidRPr="008B2ED1" w:rsidRDefault="008B2ED1" w:rsidP="008B2ED1">
      <w:pPr>
        <w:spacing w:before="120" w:after="0" w:line="276" w:lineRule="auto"/>
        <w:ind w:firstLine="709"/>
        <w:jc w:val="both"/>
        <w:rPr>
          <w:rFonts w:ascii="Geomanist Light" w:hAnsi="Geomanist Light" w:cs="Arial"/>
          <w:lang w:val="es-MX"/>
        </w:rPr>
      </w:pPr>
      <w:r w:rsidRPr="008B2ED1">
        <w:rPr>
          <w:rFonts w:ascii="Geomanist Light" w:hAnsi="Geomanist Light" w:cs="Arial"/>
          <w:lang w:val="es-MX"/>
        </w:rPr>
        <w:t xml:space="preserve">Las disposiciones del ordenamiento jurídico mencionadas fueron objeto de desarrollo en el Decreto 1082 de 2015; cuerpo normativo de carácter reglamentario en el cual se establecieron, en principio, los plazos dentro de los cuales los interesados podrán realizar observaciones en la actuaciones adelantadas a instancia de las entidades estatales en sus procesos de contratación, </w:t>
      </w:r>
      <w:r w:rsidRPr="008B2ED1">
        <w:rPr>
          <w:rFonts w:ascii="Geomanist Light" w:hAnsi="Geomanist Light" w:cs="Arial"/>
          <w:lang w:val="es-MX"/>
        </w:rPr>
        <w:lastRenderedPageBreak/>
        <w:t>plazos que podrán ser ampliados, mas no restringidos por aquellas, dependiendo de la modalidad o mecanismo de selección del contratista usado en el respectivo procedimiento contractual.</w:t>
      </w:r>
    </w:p>
    <w:p w14:paraId="7F492BDD" w14:textId="77777777" w:rsidR="008B2ED1" w:rsidRPr="008B2ED1" w:rsidRDefault="008B2ED1" w:rsidP="008B2ED1">
      <w:pPr>
        <w:spacing w:before="120" w:after="0" w:line="276" w:lineRule="auto"/>
        <w:ind w:firstLine="709"/>
        <w:jc w:val="both"/>
        <w:rPr>
          <w:rFonts w:ascii="Geomanist Light" w:hAnsi="Geomanist Light" w:cs="Arial"/>
          <w:lang w:val="es-MX"/>
        </w:rPr>
      </w:pPr>
      <w:r w:rsidRPr="008B2ED1">
        <w:rPr>
          <w:rFonts w:ascii="Geomanist Light" w:hAnsi="Geomanist Light" w:cs="Arial"/>
          <w:lang w:val="es-MX"/>
        </w:rPr>
        <w:t>En cuanto a la importancia del principio de transparencia, que rige las actuaciones contractuales de las entidades estatales, la Sección Tercera del Consejo de Estado afirmó</w:t>
      </w:r>
      <w:r w:rsidRPr="008B2ED1">
        <w:rPr>
          <w:rFonts w:ascii="Geomanist Light" w:hAnsi="Geomanist Light" w:cs="Arial"/>
          <w:vertAlign w:val="superscript"/>
          <w:lang w:val="es-MX"/>
        </w:rPr>
        <w:footnoteReference w:id="6"/>
      </w:r>
      <w:r w:rsidRPr="008B2ED1">
        <w:rPr>
          <w:rFonts w:ascii="Geomanist Light" w:hAnsi="Geomanist Light" w:cs="Arial"/>
          <w:lang w:val="es-MX"/>
        </w:rPr>
        <w:t>:</w:t>
      </w:r>
    </w:p>
    <w:p w14:paraId="44505C84" w14:textId="77777777" w:rsidR="008B2ED1" w:rsidRPr="008B2ED1" w:rsidRDefault="008B2ED1" w:rsidP="008B2ED1">
      <w:pPr>
        <w:spacing w:after="0" w:line="240" w:lineRule="auto"/>
        <w:ind w:right="709"/>
        <w:jc w:val="both"/>
        <w:rPr>
          <w:rFonts w:ascii="Geomanist Light" w:hAnsi="Geomanist Light" w:cs="Arial"/>
          <w:sz w:val="21"/>
          <w:szCs w:val="21"/>
          <w:lang w:val="es-MX"/>
        </w:rPr>
      </w:pPr>
    </w:p>
    <w:p w14:paraId="59FA1655"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 xml:space="preserve">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6A37A7AC"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p>
    <w:p w14:paraId="742867CB"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En palabras de la Corte Suprema de Justicia:</w:t>
      </w:r>
    </w:p>
    <w:p w14:paraId="4D22CFAE"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p>
    <w:p w14:paraId="4B8626A5"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ES"/>
        </w:rPr>
        <w:t>«</w:t>
      </w:r>
      <w:r w:rsidRPr="008B2ED1">
        <w:rPr>
          <w:rFonts w:ascii="Geomanist Light" w:hAnsi="Geomanist Light" w:cs="Arial"/>
          <w:sz w:val="21"/>
          <w:szCs w:val="21"/>
          <w:lang w:val="es-MX"/>
        </w:rPr>
        <w:t xml:space="preserve">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  </w:t>
      </w:r>
    </w:p>
    <w:p w14:paraId="74855903" w14:textId="77777777" w:rsidR="008B2ED1" w:rsidRPr="008B2ED1" w:rsidRDefault="008B2ED1" w:rsidP="008B2ED1">
      <w:pPr>
        <w:spacing w:after="0" w:line="240" w:lineRule="auto"/>
        <w:ind w:left="709" w:right="709"/>
        <w:jc w:val="both"/>
        <w:rPr>
          <w:rFonts w:ascii="Geomanist Light" w:hAnsi="Geomanist Light" w:cs="Arial"/>
          <w:sz w:val="21"/>
          <w:szCs w:val="21"/>
          <w:lang w:val="es-MX"/>
        </w:rPr>
      </w:pPr>
    </w:p>
    <w:p w14:paraId="4C7FEEAD" w14:textId="19617BD9" w:rsidR="008B2ED1" w:rsidRPr="008B2ED1" w:rsidRDefault="008B2ED1" w:rsidP="008B2ED1">
      <w:pPr>
        <w:spacing w:after="0" w:line="240" w:lineRule="auto"/>
        <w:ind w:left="709" w:right="709"/>
        <w:jc w:val="both"/>
        <w:rPr>
          <w:rFonts w:ascii="Geomanist Light" w:hAnsi="Geomanist Light" w:cs="Arial"/>
          <w:sz w:val="21"/>
          <w:szCs w:val="21"/>
          <w:lang w:val="es-MX"/>
        </w:rPr>
      </w:pPr>
      <w:r w:rsidRPr="008B2ED1">
        <w:rPr>
          <w:rFonts w:ascii="Geomanist Light" w:hAnsi="Geomanist Light" w:cs="Arial"/>
          <w:sz w:val="21"/>
          <w:szCs w:val="21"/>
          <w:lang w:val="es-MX"/>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14:paraId="78395FE7" w14:textId="77777777" w:rsidR="005156E7" w:rsidRDefault="005156E7" w:rsidP="008B2ED1">
      <w:pPr>
        <w:spacing w:after="0" w:line="276" w:lineRule="auto"/>
        <w:jc w:val="both"/>
        <w:rPr>
          <w:rFonts w:ascii="Geomanist Light" w:hAnsi="Geomanist Light" w:cs="Arial"/>
          <w:lang w:val="es-ES_tradnl"/>
        </w:rPr>
      </w:pPr>
    </w:p>
    <w:p w14:paraId="41A2369C" w14:textId="5B7D89B7" w:rsidR="008B2ED1" w:rsidRPr="008B2ED1" w:rsidRDefault="008B2ED1" w:rsidP="008B2ED1">
      <w:pPr>
        <w:spacing w:after="0" w:line="276" w:lineRule="auto"/>
        <w:ind w:firstLine="709"/>
        <w:jc w:val="both"/>
        <w:rPr>
          <w:rFonts w:ascii="Geomanist Light" w:hAnsi="Geomanist Light" w:cs="Arial"/>
          <w:lang w:val="es-MX"/>
        </w:rPr>
      </w:pPr>
      <w:r w:rsidRPr="008B2ED1">
        <w:rPr>
          <w:rFonts w:ascii="Geomanist Light" w:hAnsi="Geomanist Light" w:cs="Arial"/>
          <w:lang w:val="es-MX"/>
        </w:rPr>
        <w:t>En conclusión, en virtud del principio de transparencia se garantiza la participación tanto de los interesados como de la ciudadanía en general,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0149C6B0" w14:textId="77777777" w:rsidR="005156E7" w:rsidRPr="0083383D" w:rsidRDefault="005156E7" w:rsidP="008B2ED1">
      <w:pPr>
        <w:spacing w:after="0" w:line="276" w:lineRule="auto"/>
        <w:jc w:val="both"/>
        <w:rPr>
          <w:rFonts w:ascii="Geomanist Light" w:hAnsi="Geomanist Light" w:cs="Arial"/>
          <w:b/>
          <w:bCs/>
        </w:rPr>
      </w:pPr>
    </w:p>
    <w:p w14:paraId="0EB8C2B3" w14:textId="732B41BE" w:rsidR="005156E7" w:rsidRPr="005156E7" w:rsidRDefault="005156E7" w:rsidP="005156E7">
      <w:pPr>
        <w:spacing w:after="0" w:line="276" w:lineRule="auto"/>
        <w:jc w:val="both"/>
        <w:rPr>
          <w:rFonts w:ascii="Geomanist Light" w:hAnsi="Geomanist Light" w:cs="Arial"/>
          <w:b/>
          <w:bCs/>
        </w:rPr>
      </w:pPr>
      <w:r w:rsidRPr="005156E7">
        <w:rPr>
          <w:rFonts w:ascii="Geomanist Light" w:hAnsi="Geomanist Light" w:cs="Arial"/>
          <w:b/>
          <w:bCs/>
        </w:rPr>
        <w:t>2.</w:t>
      </w:r>
      <w:r>
        <w:rPr>
          <w:rFonts w:ascii="Geomanist Light" w:hAnsi="Geomanist Light" w:cs="Arial"/>
          <w:b/>
          <w:bCs/>
        </w:rPr>
        <w:t>2</w:t>
      </w:r>
      <w:r w:rsidRPr="005156E7">
        <w:rPr>
          <w:rFonts w:ascii="Geomanist Light" w:hAnsi="Geomanist Light" w:cs="Arial"/>
          <w:b/>
          <w:bCs/>
        </w:rPr>
        <w:t xml:space="preserve">. </w:t>
      </w:r>
      <w:r w:rsidR="008B2ED1" w:rsidRPr="008B2ED1">
        <w:rPr>
          <w:rFonts w:ascii="Geomanist Light" w:hAnsi="Geomanist Light" w:cs="Arial"/>
          <w:b/>
          <w:bCs/>
          <w:lang w:val="es-ES"/>
        </w:rPr>
        <w:t>Naturaleza y forma del informe de evaluación</w:t>
      </w:r>
      <w:r w:rsidR="00D73F3A">
        <w:rPr>
          <w:rFonts w:ascii="Geomanist Light" w:hAnsi="Geomanist Light" w:cs="Arial"/>
          <w:b/>
          <w:bCs/>
          <w:lang w:val="es-ES"/>
        </w:rPr>
        <w:t xml:space="preserve"> </w:t>
      </w:r>
    </w:p>
    <w:p w14:paraId="6B1DEFAC" w14:textId="77777777" w:rsidR="00547ECB" w:rsidRDefault="00547ECB" w:rsidP="00C00DF8">
      <w:pPr>
        <w:spacing w:after="0" w:line="276" w:lineRule="auto"/>
        <w:jc w:val="both"/>
        <w:rPr>
          <w:rFonts w:ascii="Geomanist Light" w:hAnsi="Geomanist Light" w:cs="Arial"/>
          <w:bCs/>
          <w:lang w:val="es-MX"/>
        </w:rPr>
      </w:pPr>
    </w:p>
    <w:p w14:paraId="1C182E76" w14:textId="4F3FE53B" w:rsidR="004865E9" w:rsidRPr="00DD52C5" w:rsidRDefault="00547ECB" w:rsidP="00C00DF8">
      <w:pPr>
        <w:spacing w:after="0" w:line="276" w:lineRule="auto"/>
        <w:jc w:val="both"/>
        <w:rPr>
          <w:rFonts w:ascii="Geomanist Light" w:hAnsi="Geomanist Light" w:cs="Arial"/>
          <w:bCs/>
          <w:lang w:val="es-MX"/>
        </w:rPr>
      </w:pPr>
      <w:r>
        <w:rPr>
          <w:rFonts w:ascii="Geomanist Light" w:hAnsi="Geomanist Light" w:cs="Arial"/>
          <w:bCs/>
          <w:lang w:val="es-MX"/>
        </w:rPr>
        <w:t>E</w:t>
      </w:r>
      <w:r w:rsidR="000F6E6D">
        <w:rPr>
          <w:rFonts w:ascii="Geomanist Light" w:hAnsi="Geomanist Light" w:cs="Arial"/>
          <w:bCs/>
          <w:lang w:val="es-MX"/>
        </w:rPr>
        <w:t xml:space="preserve">l </w:t>
      </w:r>
      <w:r w:rsidR="000F6E6D" w:rsidRPr="000F6E6D">
        <w:rPr>
          <w:rFonts w:ascii="Geomanist Light" w:hAnsi="Geomanist Light" w:cs="Arial"/>
          <w:bCs/>
          <w:lang w:val="es-MX"/>
        </w:rPr>
        <w:t xml:space="preserve">numeral </w:t>
      </w:r>
      <w:r w:rsidR="00DD52C5">
        <w:rPr>
          <w:rFonts w:ascii="Geomanist Light" w:hAnsi="Geomanist Light" w:cs="Arial"/>
          <w:bCs/>
          <w:lang w:val="es-MX"/>
        </w:rPr>
        <w:t>2</w:t>
      </w:r>
      <w:r w:rsidR="00DD52C5" w:rsidRPr="000F6E6D">
        <w:rPr>
          <w:rFonts w:ascii="Geomanist Light" w:hAnsi="Geomanist Light" w:cs="Arial"/>
          <w:bCs/>
          <w:lang w:val="es-MX"/>
        </w:rPr>
        <w:t xml:space="preserve"> del artículo 24 de la Ley 80 de 1993</w:t>
      </w:r>
      <w:r w:rsidR="00DD52C5">
        <w:rPr>
          <w:rFonts w:ascii="Geomanist Light" w:hAnsi="Geomanist Light" w:cs="Arial"/>
          <w:bCs/>
          <w:lang w:val="es-MX"/>
        </w:rPr>
        <w:t xml:space="preserve"> señala que </w:t>
      </w:r>
      <w:r w:rsidR="00DD52C5" w:rsidRPr="0047613D">
        <w:rPr>
          <w:rFonts w:ascii="Geomanist Light" w:hAnsi="Geomanist Light" w:cs="Arial"/>
          <w:bCs/>
          <w:lang w:val="es-ES_tradnl"/>
        </w:rPr>
        <w:t>«</w:t>
      </w:r>
      <w:r w:rsidR="00DD52C5" w:rsidRPr="00DD52C5">
        <w:rPr>
          <w:rFonts w:ascii="Geomanist Light" w:hAnsi="Geomanist Light" w:cs="Arial"/>
          <w:bCs/>
        </w:rPr>
        <w:t>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sidR="00DD52C5" w:rsidRPr="0047613D">
        <w:rPr>
          <w:rFonts w:ascii="Geomanist Light" w:hAnsi="Geomanist Light" w:cs="Arial"/>
          <w:bCs/>
          <w:lang w:val="es-ES_tradnl"/>
        </w:rPr>
        <w:t>»</w:t>
      </w:r>
      <w:r w:rsidR="00DD52C5" w:rsidRPr="00DD52C5">
        <w:rPr>
          <w:rFonts w:ascii="Geomanist Light" w:hAnsi="Geomanist Light" w:cs="Arial"/>
          <w:bCs/>
        </w:rPr>
        <w:t>.</w:t>
      </w:r>
      <w:r w:rsidR="00DD52C5">
        <w:rPr>
          <w:rFonts w:ascii="Geomanist Light" w:hAnsi="Geomanist Light" w:cs="Arial"/>
          <w:bCs/>
          <w:lang w:val="es-MX"/>
        </w:rPr>
        <w:t xml:space="preserve"> Asimismo, el </w:t>
      </w:r>
      <w:r w:rsidR="00A03FD7">
        <w:rPr>
          <w:rFonts w:ascii="Geomanist Light" w:hAnsi="Geomanist Light" w:cs="Arial"/>
          <w:bCs/>
          <w:lang w:val="es-MX"/>
        </w:rPr>
        <w:t xml:space="preserve">numeral </w:t>
      </w:r>
      <w:r w:rsidR="000F6E6D" w:rsidRPr="000F6E6D">
        <w:rPr>
          <w:rFonts w:ascii="Geomanist Light" w:hAnsi="Geomanist Light" w:cs="Arial"/>
          <w:bCs/>
          <w:lang w:val="es-MX"/>
        </w:rPr>
        <w:t xml:space="preserve">7 </w:t>
      </w:r>
      <w:r w:rsidR="00A03FD7" w:rsidRPr="00A03FD7">
        <w:rPr>
          <w:rFonts w:ascii="Geomanist Light" w:hAnsi="Geomanist Light" w:cs="Arial"/>
          <w:bCs/>
          <w:i/>
          <w:iCs/>
          <w:lang w:val="es-MX"/>
        </w:rPr>
        <w:t>ibidem</w:t>
      </w:r>
      <w:r w:rsidR="00A03FD7">
        <w:rPr>
          <w:rFonts w:ascii="Geomanist Light" w:hAnsi="Geomanist Light" w:cs="Arial"/>
          <w:bCs/>
          <w:lang w:val="es-MX"/>
        </w:rPr>
        <w:t xml:space="preserve"> </w:t>
      </w:r>
      <w:r w:rsidR="000F6E6D">
        <w:rPr>
          <w:rFonts w:ascii="Geomanist Light" w:hAnsi="Geomanist Light" w:cs="Arial"/>
          <w:bCs/>
          <w:lang w:val="es-MX"/>
        </w:rPr>
        <w:t xml:space="preserve">dispone que todos los actos administrativos que se expidan en la actividad contractual o con ocasión de ella, salvo los de mero trámite, así como los informes de evaluación, el acto de adjudicación y la </w:t>
      </w:r>
      <w:r w:rsidR="000F6E6D" w:rsidRPr="000F6E6D">
        <w:rPr>
          <w:rFonts w:ascii="Geomanist Light" w:hAnsi="Geomanist Light" w:cs="Arial"/>
          <w:bCs/>
          <w:lang w:val="es-ES_tradnl"/>
        </w:rPr>
        <w:t>declaratoria de desiert</w:t>
      </w:r>
      <w:r w:rsidR="00DA44E7">
        <w:rPr>
          <w:rFonts w:ascii="Geomanist Light" w:hAnsi="Geomanist Light" w:cs="Arial"/>
          <w:bCs/>
          <w:lang w:val="es-ES_tradnl"/>
        </w:rPr>
        <w:t>a</w:t>
      </w:r>
      <w:r w:rsidR="000F6E6D" w:rsidRPr="000F6E6D">
        <w:rPr>
          <w:rFonts w:ascii="Geomanist Light" w:hAnsi="Geomanist Light" w:cs="Arial"/>
          <w:bCs/>
          <w:lang w:val="es-ES_tradnl"/>
        </w:rPr>
        <w:t xml:space="preserve"> del proceso de escogencia</w:t>
      </w:r>
      <w:r w:rsidR="000F6E6D">
        <w:rPr>
          <w:rFonts w:ascii="Geomanist Light" w:hAnsi="Geomanist Light" w:cs="Arial"/>
          <w:bCs/>
          <w:lang w:val="es-ES_tradnl"/>
        </w:rPr>
        <w:t xml:space="preserve">, se motivarán en forma detallada y precisa. </w:t>
      </w:r>
      <w:r w:rsidR="004865E9">
        <w:rPr>
          <w:rFonts w:ascii="Geomanist Light" w:hAnsi="Geomanist Light" w:cs="Arial"/>
          <w:bCs/>
          <w:lang w:val="es-ES_tradnl"/>
        </w:rPr>
        <w:t xml:space="preserve">De esta manera, </w:t>
      </w:r>
      <w:r w:rsidR="00DA44E7">
        <w:rPr>
          <w:rFonts w:ascii="Geomanist Light" w:hAnsi="Geomanist Light" w:cs="Arial"/>
          <w:bCs/>
          <w:lang w:val="es-ES_tradnl"/>
        </w:rPr>
        <w:t>en desarrollo d</w:t>
      </w:r>
      <w:r>
        <w:rPr>
          <w:rFonts w:ascii="Geomanist Light" w:hAnsi="Geomanist Light" w:cs="Arial"/>
          <w:bCs/>
          <w:lang w:val="es-ES_tradnl"/>
        </w:rPr>
        <w:t xml:space="preserve">el principio de transparencia resulta obligatorio que </w:t>
      </w:r>
      <w:r w:rsidR="004865E9" w:rsidRPr="000F6E6D">
        <w:rPr>
          <w:rFonts w:ascii="Geomanist Light" w:hAnsi="Geomanist Light" w:cs="Arial"/>
          <w:bCs/>
          <w:lang w:val="es-ES_tradnl"/>
        </w:rPr>
        <w:t xml:space="preserve">el informe de evaluación </w:t>
      </w:r>
      <w:r w:rsidR="004865E9">
        <w:rPr>
          <w:rFonts w:ascii="Geomanist Light" w:hAnsi="Geomanist Light" w:cs="Arial"/>
          <w:bCs/>
          <w:lang w:val="es-ES_tradnl"/>
        </w:rPr>
        <w:t xml:space="preserve">de las ofertas que se realice en el proceso de contratación </w:t>
      </w:r>
      <w:r w:rsidR="00DD52C5">
        <w:rPr>
          <w:rFonts w:ascii="Geomanist Light" w:hAnsi="Geomanist Light" w:cs="Arial"/>
          <w:bCs/>
          <w:lang w:val="es-ES_tradnl"/>
        </w:rPr>
        <w:t>sea</w:t>
      </w:r>
      <w:r w:rsidR="004865E9" w:rsidRPr="000F6E6D">
        <w:rPr>
          <w:rFonts w:ascii="Geomanist Light" w:hAnsi="Geomanist Light" w:cs="Arial"/>
          <w:bCs/>
          <w:lang w:val="es-ES_tradnl"/>
        </w:rPr>
        <w:t xml:space="preserve"> motivad</w:t>
      </w:r>
      <w:r w:rsidR="004865E9">
        <w:rPr>
          <w:rFonts w:ascii="Geomanist Light" w:hAnsi="Geomanist Light" w:cs="Arial"/>
          <w:bCs/>
          <w:lang w:val="es-ES_tradnl"/>
        </w:rPr>
        <w:t>o,</w:t>
      </w:r>
      <w:r w:rsidR="000614C0">
        <w:rPr>
          <w:rFonts w:ascii="Geomanist Light" w:hAnsi="Geomanist Light" w:cs="Arial"/>
          <w:bCs/>
          <w:lang w:val="es-ES_tradnl"/>
        </w:rPr>
        <w:t xml:space="preserve"> lo que garantiza que los oferentes puedan con</w:t>
      </w:r>
      <w:r w:rsidR="005A7C0B">
        <w:rPr>
          <w:rFonts w:ascii="Geomanist Light" w:hAnsi="Geomanist Light" w:cs="Arial"/>
          <w:bCs/>
          <w:lang w:val="es-ES_tradnl"/>
        </w:rPr>
        <w:t xml:space="preserve">ocer el </w:t>
      </w:r>
      <w:r w:rsidR="005A7C0B" w:rsidRPr="000F6E6D">
        <w:rPr>
          <w:rFonts w:ascii="Geomanist Light" w:hAnsi="Geomanist Light" w:cs="Arial"/>
          <w:bCs/>
          <w:lang w:val="es-ES_tradnl"/>
        </w:rPr>
        <w:t>análisis de comparación de las ofertas</w:t>
      </w:r>
      <w:r w:rsidR="005A7C0B">
        <w:rPr>
          <w:rFonts w:ascii="Geomanist Light" w:hAnsi="Geomanist Light" w:cs="Arial"/>
          <w:bCs/>
          <w:lang w:val="es-ES_tradnl"/>
        </w:rPr>
        <w:t xml:space="preserve"> y</w:t>
      </w:r>
      <w:r w:rsidR="00DD52C5">
        <w:rPr>
          <w:rFonts w:ascii="Geomanist Light" w:hAnsi="Geomanist Light" w:cs="Arial"/>
          <w:bCs/>
          <w:lang w:val="es-ES_tradnl"/>
        </w:rPr>
        <w:t xml:space="preserve"> así</w:t>
      </w:r>
      <w:r w:rsidR="008A59BE">
        <w:rPr>
          <w:rFonts w:ascii="Geomanist Light" w:hAnsi="Geomanist Light" w:cs="Arial"/>
          <w:bCs/>
          <w:lang w:val="es-ES_tradnl"/>
        </w:rPr>
        <w:t xml:space="preserve"> poder </w:t>
      </w:r>
      <w:r w:rsidR="005A7C0B">
        <w:rPr>
          <w:rFonts w:ascii="Geomanist Light" w:hAnsi="Geomanist Light" w:cs="Arial"/>
          <w:bCs/>
          <w:lang w:val="es-ES_tradnl"/>
        </w:rPr>
        <w:t>controvertirlo</w:t>
      </w:r>
      <w:r w:rsidR="00DD52C5">
        <w:rPr>
          <w:rFonts w:ascii="Geomanist Light" w:hAnsi="Geomanist Light" w:cs="Arial"/>
          <w:bCs/>
          <w:lang w:val="es-ES_tradnl"/>
        </w:rPr>
        <w:t xml:space="preserve"> en la oportunidad correspondiente</w:t>
      </w:r>
      <w:r w:rsidR="005A7C0B">
        <w:rPr>
          <w:rFonts w:ascii="Geomanist Light" w:hAnsi="Geomanist Light" w:cs="Arial"/>
          <w:bCs/>
          <w:lang w:val="es-ES_tradnl"/>
        </w:rPr>
        <w:t xml:space="preserve">. </w:t>
      </w:r>
    </w:p>
    <w:p w14:paraId="690A175C" w14:textId="11C5F135" w:rsidR="008B2ED1" w:rsidRDefault="004865E9" w:rsidP="004865E9">
      <w:pPr>
        <w:spacing w:before="120" w:after="0" w:line="276" w:lineRule="auto"/>
        <w:ind w:firstLine="709"/>
        <w:jc w:val="both"/>
        <w:rPr>
          <w:rFonts w:ascii="Geomanist Light" w:hAnsi="Geomanist Light" w:cs="Arial"/>
          <w:lang w:val="es-ES"/>
        </w:rPr>
      </w:pPr>
      <w:r>
        <w:rPr>
          <w:rFonts w:ascii="Geomanist Light" w:hAnsi="Geomanist Light" w:cs="Arial"/>
          <w:bCs/>
          <w:lang w:val="es-MX"/>
        </w:rPr>
        <w:t xml:space="preserve">Este </w:t>
      </w:r>
      <w:r w:rsidR="008B2ED1" w:rsidRPr="008B2ED1">
        <w:rPr>
          <w:rFonts w:ascii="Geomanist Light" w:hAnsi="Geomanist Light" w:cs="Arial"/>
          <w:lang w:val="es-ES"/>
        </w:rPr>
        <w:t>informe de evaluación de las propuestas es un acto de trámite –preparatorio–. Dicho informe no decide de manera definitiva la adjudicación, ni le confiere al proponente calificado con el mayor puntaje el derecho a exigir la adjudicación a su favor, toda vez que la competencia para proferir el acto administrativo de adjudicación corresponde al jefe o representante de la entidad estatal, o en quien éste haya delegado dicha competencia.</w:t>
      </w:r>
      <w:r w:rsidR="00547ECB">
        <w:rPr>
          <w:rFonts w:ascii="Geomanist Light" w:hAnsi="Geomanist Light" w:cs="Arial"/>
          <w:lang w:val="es-ES"/>
        </w:rPr>
        <w:t xml:space="preserve"> </w:t>
      </w:r>
    </w:p>
    <w:p w14:paraId="570A105D" w14:textId="3752FE3C" w:rsidR="00095A35" w:rsidRPr="00095A35" w:rsidRDefault="009D2E7F" w:rsidP="00095A35">
      <w:pPr>
        <w:spacing w:before="120" w:after="0" w:line="276" w:lineRule="auto"/>
        <w:ind w:firstLine="709"/>
        <w:jc w:val="both"/>
        <w:rPr>
          <w:rFonts w:ascii="Geomanist Light" w:hAnsi="Geomanist Light" w:cs="Arial"/>
          <w:bCs/>
        </w:rPr>
      </w:pPr>
      <w:r>
        <w:rPr>
          <w:rFonts w:ascii="Geomanist Light" w:hAnsi="Geomanist Light" w:cs="Arial"/>
          <w:lang w:val="es-ES"/>
        </w:rPr>
        <w:t>Al respecto</w:t>
      </w:r>
      <w:r w:rsidR="00547ECB">
        <w:rPr>
          <w:rFonts w:ascii="Geomanist Light" w:hAnsi="Geomanist Light" w:cs="Arial"/>
          <w:lang w:val="es-ES"/>
        </w:rPr>
        <w:t xml:space="preserve">, </w:t>
      </w:r>
      <w:r w:rsidR="00547ECB">
        <w:rPr>
          <w:rFonts w:ascii="Geomanist Light" w:hAnsi="Geomanist Light" w:cs="Arial"/>
          <w:bCs/>
          <w:lang w:val="es-ES_tradnl"/>
        </w:rPr>
        <w:t>el Consejo de Estado</w:t>
      </w:r>
      <w:r w:rsidR="00547ECB" w:rsidRPr="00C00DF8">
        <w:rPr>
          <w:rFonts w:ascii="Geomanist Light" w:hAnsi="Geomanist Light" w:cs="Arial"/>
          <w:bCs/>
          <w:lang w:val="es-ES_tradnl"/>
        </w:rPr>
        <w:t xml:space="preserve"> ha señalado que </w:t>
      </w:r>
      <w:r w:rsidRPr="008B2ED1">
        <w:rPr>
          <w:rFonts w:ascii="Geomanist Light" w:hAnsi="Geomanist Light" w:cs="Arial"/>
          <w:lang w:val="es-MX"/>
        </w:rPr>
        <w:t>«</w:t>
      </w:r>
      <w:r w:rsidRPr="009D2E7F">
        <w:rPr>
          <w:rFonts w:ascii="Geomanist Light" w:hAnsi="Geomanist Light" w:cs="Arial"/>
          <w:bCs/>
        </w:rPr>
        <w:t>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8B2ED1">
        <w:rPr>
          <w:rFonts w:ascii="Geomanist Light" w:hAnsi="Geomanist Light" w:cs="Arial"/>
          <w:lang w:val="es-MX"/>
        </w:rPr>
        <w:t>»</w:t>
      </w:r>
      <w:r w:rsidR="00576BCB">
        <w:rPr>
          <w:rStyle w:val="Refdenotaalpie"/>
          <w:rFonts w:ascii="Geomanist Light" w:hAnsi="Geomanist Light" w:cs="Arial"/>
          <w:lang w:val="es-MX"/>
        </w:rPr>
        <w:footnoteReference w:id="7"/>
      </w:r>
      <w:r w:rsidR="00547ECB" w:rsidRPr="00C00DF8">
        <w:rPr>
          <w:rFonts w:ascii="Geomanist Light" w:hAnsi="Geomanist Light" w:cs="Arial"/>
          <w:bCs/>
          <w:lang w:val="es-ES_tradnl"/>
        </w:rPr>
        <w:t xml:space="preserve">. </w:t>
      </w:r>
      <w:r w:rsidR="008B2ED1" w:rsidRPr="008B2ED1">
        <w:rPr>
          <w:rFonts w:ascii="Geomanist Light" w:hAnsi="Geomanist Light" w:cs="Arial"/>
          <w:lang w:val="es-ES"/>
        </w:rPr>
        <w:t>En este sentido, el informe de evaluación de las propuestas no es vinculante para el jefe o representante legal de la entidad, a quien le compete realizar la adjudicación, por lo que éste puede apartarse del mismo</w:t>
      </w:r>
      <w:r w:rsidR="008B2ED1" w:rsidRPr="008B2ED1">
        <w:rPr>
          <w:rFonts w:ascii="Geomanist Light" w:hAnsi="Geomanist Light" w:cs="Arial"/>
          <w:vertAlign w:val="superscript"/>
          <w:lang w:val="es-ES"/>
        </w:rPr>
        <w:footnoteReference w:id="8"/>
      </w:r>
      <w:r w:rsidR="008B2ED1" w:rsidRPr="008B2ED1">
        <w:rPr>
          <w:rFonts w:ascii="Geomanist Light" w:hAnsi="Geomanist Light" w:cs="Arial"/>
          <w:lang w:val="es-ES"/>
        </w:rPr>
        <w:t xml:space="preserve">. Sin perjuicio de lo anterior, es necesario que la entidad realice esta actuación dentro de sus </w:t>
      </w:r>
      <w:r w:rsidR="008B2ED1" w:rsidRPr="008B2ED1">
        <w:rPr>
          <w:rFonts w:ascii="Geomanist Light" w:hAnsi="Geomanist Light" w:cs="Arial"/>
          <w:lang w:val="es-ES"/>
        </w:rPr>
        <w:lastRenderedPageBreak/>
        <w:t>procedimientos de selección, toda vez que esta sí es una exigencia establecida en la ley y el reglamento, sin perjuicio de la libertad de medios que existe para cumplirla.</w:t>
      </w:r>
    </w:p>
    <w:p w14:paraId="54919CEA" w14:textId="1741C4CD" w:rsidR="0047613D" w:rsidRPr="0047613D" w:rsidRDefault="00C160CB" w:rsidP="0047613D">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Para</w:t>
      </w:r>
      <w:r w:rsidR="00894317">
        <w:rPr>
          <w:rFonts w:ascii="Geomanist Light" w:hAnsi="Geomanist Light" w:cs="Arial"/>
          <w:bCs/>
          <w:lang w:val="es-ES_tradnl"/>
        </w:rPr>
        <w:t xml:space="preserve"> la evaluación de la ofertas que se plasmará en el informe de evaluación </w:t>
      </w:r>
      <w:r w:rsidR="00A36B00">
        <w:rPr>
          <w:rFonts w:ascii="Geomanist Light" w:hAnsi="Geomanist Light" w:cs="Arial"/>
          <w:bCs/>
          <w:lang w:val="es-ES_tradnl"/>
        </w:rPr>
        <w:t xml:space="preserve">las </w:t>
      </w:r>
      <w:r w:rsidR="0047613D" w:rsidRPr="0047613D">
        <w:rPr>
          <w:rFonts w:ascii="Geomanist Light" w:hAnsi="Geomanist Light" w:cs="Arial"/>
          <w:bCs/>
          <w:lang w:val="es-ES_tradnl"/>
        </w:rPr>
        <w:t>entidades estatales pueden crear comités evaluadores</w:t>
      </w:r>
      <w:r>
        <w:rPr>
          <w:rFonts w:ascii="Geomanist Light" w:hAnsi="Geomanist Light" w:cs="Arial"/>
          <w:bCs/>
          <w:lang w:val="es-ES_tradnl"/>
        </w:rPr>
        <w:t xml:space="preserve">. </w:t>
      </w:r>
      <w:r w:rsidR="0047613D" w:rsidRPr="0047613D">
        <w:rPr>
          <w:rFonts w:ascii="Geomanist Light" w:hAnsi="Geomanist Light" w:cs="Arial"/>
          <w:bCs/>
          <w:lang w:val="es-ES_tradnl"/>
        </w:rPr>
        <w:t>Así lo prevé el artículo 2.2.1.1.2.2.3. del Decreto 1082 de 2015, según el cual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w:t>
      </w:r>
    </w:p>
    <w:p w14:paraId="6571763D" w14:textId="2E48BBA2" w:rsidR="0047613D" w:rsidRPr="0047613D" w:rsidRDefault="00D5525B" w:rsidP="00D5525B">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De esta manera, </w:t>
      </w:r>
      <w:r w:rsidR="0047613D" w:rsidRPr="0047613D">
        <w:rPr>
          <w:rFonts w:ascii="Geomanist Light" w:hAnsi="Geomanist Light" w:cs="Arial"/>
          <w:bCs/>
          <w:lang w:val="es-ES_tradnl"/>
        </w:rPr>
        <w:t>los comités evaluadores son organismos asesores que se pueden constituir, para orientar a los representantes legales dentro de la actividad contractual, conformados por profesionales interdisciplinarios, para examinar las ofertas de manera objetiva y recomendar al ordenador del gasto el sentido de la decisión; sugerencia que se materializa en el informe de evaluación.</w:t>
      </w:r>
      <w:r w:rsidR="00A36B00">
        <w:rPr>
          <w:rFonts w:ascii="Geomanist Light" w:hAnsi="Geomanist Light" w:cs="Arial"/>
          <w:bCs/>
          <w:lang w:val="es-ES_tradnl"/>
        </w:rPr>
        <w:t xml:space="preserve"> </w:t>
      </w:r>
      <w:r w:rsidRPr="00D5525B">
        <w:rPr>
          <w:rFonts w:ascii="Geomanist Light" w:hAnsi="Geomanist Light" w:cs="Arial"/>
          <w:bCs/>
          <w:lang w:val="es-ES_tradnl"/>
        </w:rPr>
        <w:t>Dicho informe</w:t>
      </w:r>
      <w:r>
        <w:rPr>
          <w:rFonts w:ascii="Geomanist Light" w:hAnsi="Geomanist Light" w:cs="Arial"/>
          <w:bCs/>
          <w:lang w:val="es-ES_tradnl"/>
        </w:rPr>
        <w:t>, como se indicó,</w:t>
      </w:r>
      <w:r w:rsidRPr="00D5525B">
        <w:rPr>
          <w:rFonts w:ascii="Geomanist Light" w:hAnsi="Geomanist Light" w:cs="Arial"/>
          <w:bCs/>
          <w:lang w:val="es-ES_tradnl"/>
        </w:rPr>
        <w:t xml:space="preserve"> no tiene un carácter vinculante</w:t>
      </w:r>
      <w:r>
        <w:rPr>
          <w:rFonts w:ascii="Geomanist Light" w:hAnsi="Geomanist Light" w:cs="Arial"/>
          <w:bCs/>
          <w:vertAlign w:val="superscript"/>
          <w:lang w:val="es-ES_tradnl"/>
        </w:rPr>
        <w:t xml:space="preserve"> </w:t>
      </w:r>
      <w:r w:rsidRPr="00D5525B">
        <w:rPr>
          <w:rFonts w:ascii="Geomanist Light" w:hAnsi="Geomanist Light" w:cs="Arial"/>
          <w:bCs/>
          <w:lang w:val="es-ES_tradnl"/>
        </w:rPr>
        <w:t>para el servidor público que goza de la competencia para expedir el acto administrativo que contiene la decisión correspondiente</w:t>
      </w:r>
      <w:r w:rsidR="00576BCB">
        <w:rPr>
          <w:rFonts w:ascii="Geomanist Light" w:hAnsi="Geomanist Light" w:cs="Arial"/>
          <w:bCs/>
          <w:lang w:val="es-ES_tradnl"/>
        </w:rPr>
        <w:t xml:space="preserve">. </w:t>
      </w:r>
    </w:p>
    <w:p w14:paraId="0E3085C1" w14:textId="25D861C8" w:rsidR="00894317" w:rsidRDefault="00894317" w:rsidP="00894317">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De </w:t>
      </w:r>
      <w:r w:rsidR="00D5525B">
        <w:rPr>
          <w:rFonts w:ascii="Geomanist Light" w:hAnsi="Geomanist Light" w:cs="Arial"/>
          <w:bCs/>
          <w:lang w:val="es-ES_tradnl"/>
        </w:rPr>
        <w:t>acuerdo con lo anterior</w:t>
      </w:r>
      <w:r>
        <w:rPr>
          <w:rFonts w:ascii="Geomanist Light" w:hAnsi="Geomanist Light" w:cs="Arial"/>
          <w:bCs/>
          <w:lang w:val="es-ES_tradnl"/>
        </w:rPr>
        <w:t>, el</w:t>
      </w:r>
      <w:r w:rsidR="00095A35" w:rsidRPr="00C00DF8">
        <w:rPr>
          <w:rFonts w:ascii="Geomanist Light" w:hAnsi="Geomanist Light" w:cs="Arial"/>
          <w:bCs/>
          <w:lang w:val="es-ES_tradnl"/>
        </w:rPr>
        <w:t xml:space="preserve"> comité evaluador </w:t>
      </w:r>
      <w:r>
        <w:rPr>
          <w:rFonts w:ascii="Geomanist Light" w:hAnsi="Geomanist Light" w:cs="Arial"/>
          <w:bCs/>
          <w:lang w:val="es-ES_tradnl"/>
        </w:rPr>
        <w:t xml:space="preserve">designado </w:t>
      </w:r>
      <w:r w:rsidR="00095A35" w:rsidRPr="00C00DF8">
        <w:rPr>
          <w:rFonts w:ascii="Geomanist Light" w:hAnsi="Geomanist Light" w:cs="Arial"/>
          <w:bCs/>
          <w:lang w:val="es-ES_tradnl"/>
        </w:rPr>
        <w:t>tiene el deber de evaluar las ofertas con sujeción estricta a los parámetros señalados en el pliego de condiciones</w:t>
      </w:r>
      <w:r w:rsidRPr="00894317">
        <w:rPr>
          <w:rFonts w:ascii="Geomanist Light" w:hAnsi="Geomanist Light" w:cs="Arial"/>
          <w:bCs/>
          <w:lang w:val="es-ES_tradnl"/>
        </w:rPr>
        <w:t xml:space="preserve"> </w:t>
      </w:r>
      <w:r>
        <w:rPr>
          <w:rFonts w:ascii="Geomanist Light" w:hAnsi="Geomanist Light" w:cs="Arial"/>
          <w:bCs/>
          <w:lang w:val="es-ES_tradnl"/>
        </w:rPr>
        <w:t xml:space="preserve">y </w:t>
      </w:r>
      <w:r w:rsidRPr="00C00DF8">
        <w:rPr>
          <w:rFonts w:ascii="Geomanist Light" w:hAnsi="Geomanist Light" w:cs="Arial"/>
          <w:bCs/>
          <w:lang w:val="es-ES_tradnl"/>
        </w:rPr>
        <w:t>no puede basarse en criterios caprichosos o subjetivos</w:t>
      </w:r>
      <w:r w:rsidR="00095A35" w:rsidRPr="00C00DF8">
        <w:rPr>
          <w:rFonts w:ascii="Geomanist Light" w:hAnsi="Geomanist Light" w:cs="Arial"/>
          <w:bCs/>
          <w:lang w:val="es-ES_tradnl"/>
        </w:rPr>
        <w:t>.</w:t>
      </w:r>
      <w:r w:rsidR="00D5525B">
        <w:rPr>
          <w:rFonts w:ascii="Geomanist Light" w:hAnsi="Geomanist Light" w:cs="Arial"/>
          <w:bCs/>
          <w:lang w:val="es-ES_tradnl"/>
        </w:rPr>
        <w:t xml:space="preserve"> De ahí que se afirme </w:t>
      </w:r>
      <w:r>
        <w:rPr>
          <w:rFonts w:ascii="Geomanist Light" w:hAnsi="Geomanist Light" w:cs="Arial"/>
          <w:bCs/>
          <w:lang w:val="es-ES_tradnl"/>
        </w:rPr>
        <w:t xml:space="preserve">que </w:t>
      </w:r>
      <w:r w:rsidRPr="0047613D">
        <w:rPr>
          <w:rFonts w:ascii="Geomanist Light" w:hAnsi="Geomanist Light" w:cs="Arial"/>
          <w:bCs/>
          <w:lang w:val="es-ES_tradnl"/>
        </w:rPr>
        <w:t>«</w:t>
      </w:r>
      <w:r w:rsidRPr="00894317">
        <w:rPr>
          <w:rFonts w:ascii="Geomanist Light" w:hAnsi="Geomanist Light" w:cs="Arial"/>
          <w:bCs/>
        </w:rPr>
        <w:t>la actividad de evaluación es actuación reglada en la cual las recomendaciones del comité deben basarse en los criterios o parámetros previamente definidos por la administración como las bases de la licitación. Por consiguiente, el informe de evaluación de las ofertas debe ser motivado con el fin de garantizar el principio de transparencia y de publicidad de la actividad precontractual, como así lo establece el artículo 24 numeral 7 de la ley 80 de 1993</w:t>
      </w:r>
      <w:bookmarkStart w:id="5" w:name="_Hlk118301483"/>
      <w:r w:rsidRPr="0047613D">
        <w:rPr>
          <w:rFonts w:ascii="Geomanist Light" w:hAnsi="Geomanist Light" w:cs="Arial"/>
          <w:bCs/>
          <w:lang w:val="es-ES_tradnl"/>
        </w:rPr>
        <w:t>»</w:t>
      </w:r>
      <w:bookmarkEnd w:id="5"/>
      <w:r>
        <w:rPr>
          <w:rStyle w:val="Refdenotaalpie"/>
          <w:rFonts w:ascii="Geomanist Light" w:hAnsi="Geomanist Light" w:cs="Arial"/>
          <w:bCs/>
          <w:lang w:val="es-ES_tradnl"/>
        </w:rPr>
        <w:footnoteReference w:id="9"/>
      </w:r>
      <w:r w:rsidR="00DD52C5">
        <w:rPr>
          <w:rFonts w:ascii="Geomanist Light" w:hAnsi="Geomanist Light" w:cs="Arial"/>
          <w:bCs/>
          <w:lang w:val="es-ES_tradnl"/>
        </w:rPr>
        <w:t xml:space="preserve">. </w:t>
      </w:r>
      <w:r w:rsidR="00673B1C">
        <w:rPr>
          <w:rFonts w:ascii="Geomanist Light" w:hAnsi="Geomanist Light" w:cs="Arial"/>
          <w:bCs/>
          <w:lang w:val="es-ES_tradnl"/>
        </w:rPr>
        <w:t>Por tanto, esta actividad reglada de la evaluación se encuentra íntimamente ligada con el deber de motivación del informe de evaluaci</w:t>
      </w:r>
      <w:r w:rsidR="00D00F96">
        <w:rPr>
          <w:rFonts w:ascii="Geomanist Light" w:hAnsi="Geomanist Light" w:cs="Arial"/>
          <w:bCs/>
          <w:lang w:val="es-ES_tradnl"/>
        </w:rPr>
        <w:t>ón</w:t>
      </w:r>
      <w:r w:rsidR="00673B1C">
        <w:rPr>
          <w:rFonts w:ascii="Geomanist Light" w:hAnsi="Geomanist Light" w:cs="Arial"/>
          <w:bCs/>
          <w:lang w:val="es-ES_tradnl"/>
        </w:rPr>
        <w:t>, toda vez que el comité evaluador deberá sustentar la calificación de las ofertas</w:t>
      </w:r>
      <w:r w:rsidR="00D00F96">
        <w:rPr>
          <w:rFonts w:ascii="Geomanist Light" w:hAnsi="Geomanist Light" w:cs="Arial"/>
          <w:bCs/>
          <w:lang w:val="es-ES_tradnl"/>
        </w:rPr>
        <w:t xml:space="preserve"> con base</w:t>
      </w:r>
      <w:r w:rsidR="00673B1C">
        <w:rPr>
          <w:rFonts w:ascii="Geomanist Light" w:hAnsi="Geomanist Light" w:cs="Arial"/>
          <w:bCs/>
          <w:lang w:val="es-ES_tradnl"/>
        </w:rPr>
        <w:t xml:space="preserve"> en las reglas fijadas en el pliego de condiciones, lo que supone</w:t>
      </w:r>
      <w:r w:rsidR="00D00F96">
        <w:rPr>
          <w:rFonts w:ascii="Geomanist Light" w:hAnsi="Geomanist Light" w:cs="Arial"/>
          <w:bCs/>
          <w:lang w:val="es-ES_tradnl"/>
        </w:rPr>
        <w:t>,</w:t>
      </w:r>
      <w:r w:rsidR="00673B1C">
        <w:rPr>
          <w:rFonts w:ascii="Geomanist Light" w:hAnsi="Geomanist Light" w:cs="Arial"/>
          <w:bCs/>
          <w:lang w:val="es-ES_tradnl"/>
        </w:rPr>
        <w:t xml:space="preserve"> como mínimo</w:t>
      </w:r>
      <w:r w:rsidR="00D00F96">
        <w:rPr>
          <w:rFonts w:ascii="Geomanist Light" w:hAnsi="Geomanist Light" w:cs="Arial"/>
          <w:bCs/>
          <w:lang w:val="es-ES_tradnl"/>
        </w:rPr>
        <w:t>,</w:t>
      </w:r>
      <w:r w:rsidR="00673B1C">
        <w:rPr>
          <w:rFonts w:ascii="Geomanist Light" w:hAnsi="Geomanist Light" w:cs="Arial"/>
          <w:bCs/>
          <w:lang w:val="es-ES_tradnl"/>
        </w:rPr>
        <w:t xml:space="preserve"> el análisis de estos en relación con la propuesta presentada. </w:t>
      </w:r>
    </w:p>
    <w:p w14:paraId="16235E17" w14:textId="2B4A2A7F" w:rsidR="00547ECB" w:rsidRDefault="00547ECB" w:rsidP="00547ECB">
      <w:pPr>
        <w:spacing w:before="120" w:after="0" w:line="276" w:lineRule="auto"/>
        <w:ind w:firstLine="709"/>
        <w:jc w:val="both"/>
        <w:rPr>
          <w:rFonts w:ascii="Geomanist Light" w:hAnsi="Geomanist Light" w:cs="Arial"/>
          <w:bCs/>
          <w:lang w:val="es-ES"/>
        </w:rPr>
      </w:pPr>
      <w:r w:rsidRPr="00C00DF8">
        <w:rPr>
          <w:rFonts w:ascii="Geomanist Light" w:hAnsi="Geomanist Light" w:cs="Arial"/>
          <w:bCs/>
          <w:lang w:val="es-ES"/>
        </w:rPr>
        <w:t xml:space="preserve">En </w:t>
      </w:r>
      <w:r w:rsidR="005E1D8B">
        <w:rPr>
          <w:rFonts w:ascii="Geomanist Light" w:hAnsi="Geomanist Light" w:cs="Arial"/>
          <w:bCs/>
          <w:lang w:val="es-ES"/>
        </w:rPr>
        <w:t>concordancia con lo anterior</w:t>
      </w:r>
      <w:r w:rsidRPr="00C00DF8">
        <w:rPr>
          <w:rFonts w:ascii="Geomanist Light" w:hAnsi="Geomanist Light" w:cs="Arial"/>
          <w:bCs/>
          <w:lang w:val="es-ES"/>
        </w:rPr>
        <w:t xml:space="preserve">, debe decirse que el ordenamiento jurídico no prevé alguna forma o contenido específico </w:t>
      </w:r>
      <w:r w:rsidR="005E1D8B">
        <w:rPr>
          <w:rFonts w:ascii="Geomanist Light" w:hAnsi="Geomanist Light" w:cs="Arial"/>
          <w:bCs/>
          <w:lang w:val="es-ES"/>
        </w:rPr>
        <w:t xml:space="preserve">en el que deba elaborarse </w:t>
      </w:r>
      <w:r w:rsidRPr="00C00DF8">
        <w:rPr>
          <w:rFonts w:ascii="Geomanist Light" w:hAnsi="Geomanist Light" w:cs="Arial"/>
          <w:bCs/>
          <w:lang w:val="es-ES"/>
        </w:rPr>
        <w:t xml:space="preserve">el informe de evaluación. En tal sentido, las entidades estatales pueden configurar el contenido de dicho documento de manera discrecional. Así, el informe de evaluación puede constar en un acta, o en un documento especial </w:t>
      </w:r>
      <w:r w:rsidRPr="00C00DF8">
        <w:rPr>
          <w:rFonts w:ascii="Geomanist Light" w:hAnsi="Geomanist Light" w:cs="Arial"/>
          <w:bCs/>
          <w:lang w:val="es-ES"/>
        </w:rPr>
        <w:lastRenderedPageBreak/>
        <w:t xml:space="preserve">denominado informe de evaluación, o cualquier otra forma escrita que permita su publicación por los medios establecidos en el ordenamiento. </w:t>
      </w:r>
    </w:p>
    <w:p w14:paraId="6334AD23" w14:textId="16CEE781" w:rsidR="00095A35" w:rsidRPr="00095A35" w:rsidRDefault="00095A35" w:rsidP="00095A35">
      <w:pPr>
        <w:spacing w:before="120" w:after="0" w:line="276" w:lineRule="auto"/>
        <w:ind w:firstLine="709"/>
        <w:jc w:val="both"/>
        <w:rPr>
          <w:rFonts w:ascii="Geomanist Light" w:hAnsi="Geomanist Light" w:cs="Arial"/>
          <w:lang w:val="es-ES"/>
        </w:rPr>
      </w:pPr>
      <w:r w:rsidRPr="008B2ED1">
        <w:rPr>
          <w:rFonts w:ascii="Geomanist Light" w:hAnsi="Geomanist Light" w:cs="Arial"/>
          <w:lang w:val="es-ES"/>
        </w:rPr>
        <w:t xml:space="preserve">Bajo esa comprensión, </w:t>
      </w:r>
      <w:r w:rsidR="009D6FFA">
        <w:rPr>
          <w:rFonts w:ascii="Geomanist Light" w:hAnsi="Geomanist Light" w:cs="Arial"/>
          <w:lang w:val="es-ES"/>
        </w:rPr>
        <w:t xml:space="preserve">no </w:t>
      </w:r>
      <w:r w:rsidR="008A59BE">
        <w:rPr>
          <w:rFonts w:ascii="Geomanist Light" w:hAnsi="Geomanist Light" w:cs="Arial"/>
          <w:lang w:val="es-ES"/>
        </w:rPr>
        <w:t>resulta</w:t>
      </w:r>
      <w:r w:rsidR="009D6FFA">
        <w:rPr>
          <w:rFonts w:ascii="Geomanist Light" w:hAnsi="Geomanist Light" w:cs="Arial"/>
          <w:lang w:val="es-ES"/>
        </w:rPr>
        <w:t xml:space="preserve"> </w:t>
      </w:r>
      <w:r w:rsidR="00146B77">
        <w:rPr>
          <w:rFonts w:ascii="Geomanist Light" w:hAnsi="Geomanist Light" w:cs="Arial"/>
          <w:lang w:val="es-ES"/>
        </w:rPr>
        <w:t xml:space="preserve">determinante </w:t>
      </w:r>
      <w:r w:rsidRPr="008B2ED1">
        <w:rPr>
          <w:rFonts w:ascii="Geomanist Light" w:hAnsi="Geomanist Light" w:cs="Arial"/>
          <w:lang w:val="es-ES"/>
        </w:rPr>
        <w:t>si el informe de evaluación debe constar en uno o múltiples documentos</w:t>
      </w:r>
      <w:r w:rsidR="00146B77">
        <w:rPr>
          <w:rFonts w:ascii="Geomanist Light" w:hAnsi="Geomanist Light" w:cs="Arial"/>
          <w:lang w:val="es-ES"/>
        </w:rPr>
        <w:t xml:space="preserve"> de distintos formatos</w:t>
      </w:r>
      <w:r w:rsidRPr="008B2ED1">
        <w:rPr>
          <w:rFonts w:ascii="Geomanist Light" w:hAnsi="Geomanist Light" w:cs="Arial"/>
          <w:lang w:val="es-ES"/>
        </w:rPr>
        <w:t xml:space="preserve">, si debe constar en </w:t>
      </w:r>
      <w:r w:rsidR="00146B77">
        <w:rPr>
          <w:rFonts w:ascii="Geomanist Light" w:hAnsi="Geomanist Light" w:cs="Arial"/>
          <w:lang w:val="es-ES"/>
        </w:rPr>
        <w:t>un</w:t>
      </w:r>
      <w:r w:rsidRPr="008B2ED1">
        <w:rPr>
          <w:rFonts w:ascii="Geomanist Light" w:hAnsi="Geomanist Light" w:cs="Arial"/>
          <w:lang w:val="es-ES"/>
        </w:rPr>
        <w:t xml:space="preserve"> escrito integrado o en escritos separados, pues cualquiera de estas será una opción válida, en la medida en que no existe una forma predeterminada por el ordenamiento que defina estos aspectos. Por tanto, la discreción puede ser ejercida en la manera en que </w:t>
      </w:r>
      <w:r w:rsidR="00146B77">
        <w:rPr>
          <w:rFonts w:ascii="Geomanist Light" w:hAnsi="Geomanist Light" w:cs="Arial"/>
          <w:lang w:val="es-ES"/>
        </w:rPr>
        <w:t xml:space="preserve">sea establecida por la entidad </w:t>
      </w:r>
      <w:r w:rsidRPr="008B2ED1">
        <w:rPr>
          <w:rFonts w:ascii="Geomanist Light" w:hAnsi="Geomanist Light" w:cs="Arial"/>
          <w:lang w:val="es-ES"/>
        </w:rPr>
        <w:t xml:space="preserve">en el caso concreto, dependiendo de las circunstancias particulares y de la razonabilidad de la entidad o del comité evaluador. </w:t>
      </w:r>
    </w:p>
    <w:p w14:paraId="64687259" w14:textId="0D8C6E79" w:rsidR="00475076" w:rsidRDefault="00475076" w:rsidP="00146B77">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 </w:t>
      </w:r>
      <w:r w:rsidR="00146B77">
        <w:rPr>
          <w:rFonts w:ascii="Geomanist Light" w:hAnsi="Geomanist Light" w:cs="Arial"/>
          <w:bCs/>
          <w:lang w:val="es-ES_tradnl"/>
        </w:rPr>
        <w:t>I</w:t>
      </w:r>
      <w:r w:rsidRPr="00547ECB">
        <w:rPr>
          <w:rFonts w:ascii="Geomanist Light" w:hAnsi="Geomanist Light" w:cs="Arial"/>
          <w:bCs/>
          <w:lang w:val="es-ES_tradnl"/>
        </w:rPr>
        <w:t>ndependientemente</w:t>
      </w:r>
      <w:r w:rsidR="00547ECB" w:rsidRPr="00547ECB">
        <w:rPr>
          <w:rFonts w:ascii="Geomanist Light" w:hAnsi="Geomanist Light" w:cs="Arial"/>
          <w:bCs/>
          <w:lang w:val="es-ES_tradnl"/>
        </w:rPr>
        <w:t xml:space="preserve"> de la forma que se elabore el informe de evaluación, este deberá encontrarse debidamente motivado, es decir, que deberá contener el análisis de la evaluación de las ofertas y contemplar la información suficiente que permita a los oferentes sustentar sus observaciones</w:t>
      </w:r>
      <w:r w:rsidR="004158AB">
        <w:rPr>
          <w:rFonts w:ascii="Geomanist Light" w:hAnsi="Geomanist Light" w:cs="Arial"/>
          <w:bCs/>
          <w:lang w:val="es-ES_tradnl"/>
        </w:rPr>
        <w:t xml:space="preserve"> a dicho informe</w:t>
      </w:r>
      <w:r w:rsidR="00547ECB" w:rsidRPr="00547ECB">
        <w:rPr>
          <w:rFonts w:ascii="Geomanist Light" w:hAnsi="Geomanist Light" w:cs="Arial"/>
          <w:bCs/>
          <w:lang w:val="es-ES_tradnl"/>
        </w:rPr>
        <w:t>, lo que</w:t>
      </w:r>
      <w:r w:rsidR="005E1D8B" w:rsidRPr="005E1D8B">
        <w:rPr>
          <w:rFonts w:ascii="Geomanist Light" w:hAnsi="Geomanist Light" w:cs="Arial"/>
          <w:bCs/>
          <w:lang w:val="es-ES_tradnl"/>
        </w:rPr>
        <w:t xml:space="preserve"> </w:t>
      </w:r>
      <w:r w:rsidR="00B8452A">
        <w:rPr>
          <w:rFonts w:ascii="Geomanist Light" w:hAnsi="Geomanist Light" w:cs="Arial"/>
          <w:bCs/>
          <w:lang w:val="es-ES_tradnl"/>
        </w:rPr>
        <w:t xml:space="preserve">supone </w:t>
      </w:r>
      <w:r w:rsidR="005E1D8B">
        <w:rPr>
          <w:rFonts w:ascii="Geomanist Light" w:hAnsi="Geomanist Light" w:cs="Arial"/>
          <w:bCs/>
          <w:lang w:val="es-ES_tradnl"/>
        </w:rPr>
        <w:t xml:space="preserve">que </w:t>
      </w:r>
      <w:r w:rsidR="005E1D8B" w:rsidRPr="000F6E6D">
        <w:rPr>
          <w:rFonts w:ascii="Geomanist Light" w:hAnsi="Geomanist Light" w:cs="Arial"/>
          <w:bCs/>
          <w:lang w:val="es-ES_tradnl"/>
        </w:rPr>
        <w:t>se explique en forma detallada el análisis de comparación de las ofertas</w:t>
      </w:r>
      <w:r w:rsidR="005E1D8B">
        <w:rPr>
          <w:rFonts w:ascii="Geomanist Light" w:hAnsi="Geomanist Light" w:cs="Arial"/>
          <w:bCs/>
          <w:lang w:val="es-ES_tradnl"/>
        </w:rPr>
        <w:t xml:space="preserve"> realizado</w:t>
      </w:r>
      <w:r w:rsidR="00547ECB" w:rsidRPr="00547ECB">
        <w:rPr>
          <w:rFonts w:ascii="Geomanist Light" w:hAnsi="Geomanist Light" w:cs="Arial"/>
          <w:bCs/>
          <w:lang w:val="es-ES_tradnl"/>
        </w:rPr>
        <w:t xml:space="preserve"> </w:t>
      </w:r>
      <w:r w:rsidR="005E1D8B">
        <w:rPr>
          <w:rFonts w:ascii="Geomanist Light" w:hAnsi="Geomanist Light" w:cs="Arial"/>
          <w:bCs/>
          <w:lang w:val="es-ES_tradnl"/>
        </w:rPr>
        <w:t xml:space="preserve">y </w:t>
      </w:r>
      <w:r w:rsidR="00547ECB" w:rsidRPr="00547ECB">
        <w:rPr>
          <w:rFonts w:ascii="Geomanist Light" w:hAnsi="Geomanist Light" w:cs="Arial"/>
          <w:bCs/>
          <w:lang w:val="es-ES_tradnl"/>
        </w:rPr>
        <w:t xml:space="preserve">las razones de rechazo o de incumplimiento de </w:t>
      </w:r>
      <w:r w:rsidR="000A2FA4">
        <w:rPr>
          <w:rFonts w:ascii="Geomanist Light" w:hAnsi="Geomanist Light" w:cs="Arial"/>
          <w:bCs/>
          <w:lang w:val="es-ES_tradnl"/>
        </w:rPr>
        <w:t>esta</w:t>
      </w:r>
      <w:r w:rsidR="00547ECB" w:rsidRPr="00547ECB">
        <w:rPr>
          <w:rFonts w:ascii="Geomanist Light" w:hAnsi="Geomanist Light" w:cs="Arial"/>
          <w:bCs/>
          <w:lang w:val="es-ES_tradnl"/>
        </w:rPr>
        <w:t>.</w:t>
      </w:r>
      <w:r w:rsidR="000A2FA4">
        <w:rPr>
          <w:rFonts w:ascii="Geomanist Light" w:hAnsi="Geomanist Light" w:cs="Arial"/>
          <w:bCs/>
          <w:lang w:val="es-ES_tradnl"/>
        </w:rPr>
        <w:t xml:space="preserve"> </w:t>
      </w:r>
    </w:p>
    <w:p w14:paraId="66849035" w14:textId="0EEB97AD" w:rsidR="00146B77" w:rsidRDefault="00475076" w:rsidP="00146B77">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Sobre el particular, </w:t>
      </w:r>
      <w:r w:rsidR="00146B77">
        <w:rPr>
          <w:rFonts w:ascii="Geomanist Light" w:hAnsi="Geomanist Light" w:cs="Arial"/>
          <w:bCs/>
          <w:lang w:val="es-ES_tradnl"/>
        </w:rPr>
        <w:t>la Sala de Consulta y Servicio Civil del</w:t>
      </w:r>
      <w:r>
        <w:rPr>
          <w:rFonts w:ascii="Geomanist Light" w:hAnsi="Geomanist Light" w:cs="Arial"/>
          <w:bCs/>
          <w:lang w:val="es-ES_tradnl"/>
        </w:rPr>
        <w:t xml:space="preserve"> </w:t>
      </w:r>
      <w:r w:rsidR="00B8452A">
        <w:rPr>
          <w:rFonts w:ascii="Geomanist Light" w:hAnsi="Geomanist Light" w:cs="Arial"/>
          <w:bCs/>
          <w:lang w:val="es-ES_tradnl"/>
        </w:rPr>
        <w:t>Consejo de Estado</w:t>
      </w:r>
      <w:r>
        <w:rPr>
          <w:rFonts w:ascii="Geomanist Light" w:hAnsi="Geomanist Light" w:cs="Arial"/>
          <w:bCs/>
          <w:lang w:val="es-ES_tradnl"/>
        </w:rPr>
        <w:t xml:space="preserve"> h</w:t>
      </w:r>
      <w:r w:rsidR="00D73F3A">
        <w:rPr>
          <w:rFonts w:ascii="Geomanist Light" w:hAnsi="Geomanist Light" w:cs="Arial"/>
          <w:bCs/>
          <w:lang w:val="es-ES_tradnl"/>
        </w:rPr>
        <w:t>a</w:t>
      </w:r>
      <w:r>
        <w:rPr>
          <w:rFonts w:ascii="Geomanist Light" w:hAnsi="Geomanist Light" w:cs="Arial"/>
          <w:bCs/>
          <w:lang w:val="es-ES_tradnl"/>
        </w:rPr>
        <w:t xml:space="preserve"> </w:t>
      </w:r>
      <w:r w:rsidR="000A2FA4">
        <w:rPr>
          <w:rFonts w:ascii="Geomanist Light" w:hAnsi="Geomanist Light" w:cs="Arial"/>
          <w:bCs/>
          <w:lang w:val="es-ES_tradnl"/>
        </w:rPr>
        <w:t>destacado</w:t>
      </w:r>
      <w:r>
        <w:rPr>
          <w:rFonts w:ascii="Geomanist Light" w:hAnsi="Geomanist Light" w:cs="Arial"/>
          <w:bCs/>
          <w:lang w:val="es-ES_tradnl"/>
        </w:rPr>
        <w:t xml:space="preserve"> </w:t>
      </w:r>
      <w:r w:rsidR="00D73F3A">
        <w:rPr>
          <w:rFonts w:ascii="Geomanist Light" w:hAnsi="Geomanist Light" w:cs="Arial"/>
          <w:bCs/>
          <w:lang w:val="es-ES_tradnl"/>
        </w:rPr>
        <w:t>la necesidad de motivación de los informes de evaluación</w:t>
      </w:r>
      <w:r w:rsidR="00146B77">
        <w:rPr>
          <w:rFonts w:ascii="Geomanist Light" w:hAnsi="Geomanist Light" w:cs="Arial"/>
          <w:bCs/>
          <w:lang w:val="es-ES_tradnl"/>
        </w:rPr>
        <w:t xml:space="preserve"> en garantía del principio de transparencia</w:t>
      </w:r>
      <w:r w:rsidR="000A2FA4">
        <w:rPr>
          <w:rFonts w:ascii="Geomanist Light" w:hAnsi="Geomanist Light" w:cs="Arial"/>
          <w:bCs/>
          <w:lang w:val="es-ES_tradnl"/>
        </w:rPr>
        <w:t xml:space="preserve"> y de igualdad</w:t>
      </w:r>
      <w:r w:rsidR="00146B77">
        <w:rPr>
          <w:rFonts w:ascii="Geomanist Light" w:hAnsi="Geomanist Light" w:cs="Arial"/>
          <w:bCs/>
          <w:lang w:val="es-ES_tradnl"/>
        </w:rPr>
        <w:t xml:space="preserve">: </w:t>
      </w:r>
    </w:p>
    <w:p w14:paraId="559E0507" w14:textId="77777777" w:rsidR="00146B77" w:rsidRPr="00CC53EC" w:rsidRDefault="00146B77" w:rsidP="00146B77">
      <w:pPr>
        <w:spacing w:after="0" w:line="276" w:lineRule="auto"/>
        <w:ind w:firstLine="709"/>
        <w:jc w:val="both"/>
        <w:rPr>
          <w:rFonts w:ascii="Geomanist Light" w:hAnsi="Geomanist Light" w:cs="Arial"/>
          <w:bCs/>
          <w:sz w:val="21"/>
          <w:szCs w:val="21"/>
          <w:lang w:val="es-ES_tradnl"/>
        </w:rPr>
      </w:pPr>
    </w:p>
    <w:p w14:paraId="71FCE808" w14:textId="01AD1933" w:rsidR="00146B77" w:rsidRPr="00CC53EC" w:rsidRDefault="00B8452A" w:rsidP="00146B77">
      <w:pPr>
        <w:spacing w:after="0" w:line="240" w:lineRule="auto"/>
        <w:ind w:left="709" w:right="709"/>
        <w:jc w:val="both"/>
        <w:rPr>
          <w:rFonts w:ascii="Geomanist Light" w:hAnsi="Geomanist Light" w:cs="Arial"/>
          <w:bCs/>
          <w:i/>
          <w:iCs/>
          <w:sz w:val="21"/>
          <w:szCs w:val="21"/>
          <w:lang w:val="es-ES_tradnl"/>
        </w:rPr>
      </w:pPr>
      <w:r w:rsidRPr="00CC53EC">
        <w:rPr>
          <w:rFonts w:ascii="Geomanist Light" w:hAnsi="Geomanist Light" w:cs="Arial"/>
          <w:bCs/>
          <w:sz w:val="21"/>
          <w:szCs w:val="21"/>
          <w:lang w:val="es-ES_tradnl"/>
        </w:rPr>
        <w:t xml:space="preserve"> </w:t>
      </w:r>
      <w:r w:rsidR="00146B77" w:rsidRPr="00CC53EC">
        <w:rPr>
          <w:rFonts w:ascii="Geomanist Light" w:hAnsi="Geomanist Light" w:cs="Arial"/>
          <w:bCs/>
          <w:sz w:val="21"/>
          <w:szCs w:val="21"/>
        </w:rPr>
        <w:t>En defensa de los preceptos constitucionales sobre el debido proceso administrativo y en cumplimiento del principio de transparencia que debe orientar no solo la actividad contractual sino toda actuación administrativa, no cabe duda</w:t>
      </w:r>
      <w:r w:rsidR="003767BA" w:rsidRPr="00CC53EC">
        <w:rPr>
          <w:rFonts w:ascii="Geomanist Light" w:hAnsi="Geomanist Light" w:cs="Arial"/>
          <w:bCs/>
          <w:sz w:val="21"/>
          <w:szCs w:val="21"/>
        </w:rPr>
        <w:t xml:space="preserve"> </w:t>
      </w:r>
      <w:r w:rsidR="00146B77" w:rsidRPr="00CC53EC">
        <w:rPr>
          <w:rFonts w:ascii="Geomanist Light" w:hAnsi="Geomanist Light" w:cs="Arial"/>
          <w:bCs/>
          <w:sz w:val="21"/>
          <w:szCs w:val="21"/>
        </w:rPr>
        <w:t>que los informes de evaluación deben ser debidamente motivados, refiriéndose a cada uno de los factores de evaluación, explicando sus consideraciones positivas y negativas y las razones de rechazo u observación.</w:t>
      </w:r>
      <w:r w:rsidR="00146B77" w:rsidRPr="00CC53EC">
        <w:rPr>
          <w:rFonts w:ascii="Geomanist Light" w:hAnsi="Geomanist Light" w:cs="Arial"/>
          <w:bCs/>
          <w:i/>
          <w:iCs/>
          <w:sz w:val="21"/>
          <w:szCs w:val="21"/>
          <w:lang w:val="es-ES_tradnl"/>
        </w:rPr>
        <w:t xml:space="preserve"> </w:t>
      </w:r>
    </w:p>
    <w:p w14:paraId="14FA0E4B" w14:textId="77777777" w:rsidR="00146B77" w:rsidRPr="00CC53EC" w:rsidRDefault="00146B77" w:rsidP="00146B77">
      <w:pPr>
        <w:spacing w:after="0" w:line="240" w:lineRule="auto"/>
        <w:ind w:left="709" w:right="709"/>
        <w:jc w:val="both"/>
        <w:rPr>
          <w:rFonts w:ascii="Geomanist Light" w:hAnsi="Geomanist Light" w:cs="Arial"/>
          <w:bCs/>
          <w:sz w:val="21"/>
          <w:szCs w:val="21"/>
          <w:lang w:val="es-ES_tradnl"/>
        </w:rPr>
      </w:pPr>
    </w:p>
    <w:p w14:paraId="7FD60325" w14:textId="7E6A7F04" w:rsidR="00547ECB" w:rsidRDefault="00547ECB" w:rsidP="00146B77">
      <w:pPr>
        <w:spacing w:after="0" w:line="240" w:lineRule="auto"/>
        <w:ind w:left="709" w:right="709"/>
        <w:jc w:val="both"/>
        <w:rPr>
          <w:rFonts w:ascii="Geomanist Light" w:hAnsi="Geomanist Light" w:cs="Arial"/>
          <w:bCs/>
          <w:lang w:val="es-ES_tradnl"/>
        </w:rPr>
      </w:pPr>
      <w:r w:rsidRPr="00CC53EC">
        <w:rPr>
          <w:rFonts w:ascii="Geomanist Light" w:hAnsi="Geomanist Light" w:cs="Arial"/>
          <w:bCs/>
          <w:sz w:val="21"/>
          <w:szCs w:val="21"/>
          <w:lang w:val="es-ES_tradnl"/>
        </w:rPr>
        <w:t>La debida motivación constituye uno de los elementos esenciales del procedimiento, no solo por cuanto garantiza el ejercicio del derecho de contradicción, sino porque constituye la forma más clara de respetar el derecho de participación y el compromiso de igualdad de los participantes, criterios orientadores de la contratación estatal</w:t>
      </w:r>
      <w:r w:rsidR="000A2FA4">
        <w:rPr>
          <w:rStyle w:val="Refdenotaalpie"/>
          <w:rFonts w:ascii="Geomanist Light" w:hAnsi="Geomanist Light" w:cs="Arial"/>
          <w:bCs/>
          <w:lang w:val="es-ES_tradnl"/>
        </w:rPr>
        <w:footnoteReference w:id="10"/>
      </w:r>
      <w:r w:rsidRPr="00547ECB">
        <w:rPr>
          <w:rFonts w:ascii="Geomanist Light" w:hAnsi="Geomanist Light" w:cs="Arial"/>
          <w:bCs/>
          <w:lang w:val="es-ES_tradnl"/>
        </w:rPr>
        <w:t xml:space="preserve"> </w:t>
      </w:r>
    </w:p>
    <w:p w14:paraId="6B5AC016" w14:textId="77777777" w:rsidR="00146B77" w:rsidRDefault="00146B77" w:rsidP="006F09FD">
      <w:pPr>
        <w:spacing w:after="0" w:line="264" w:lineRule="auto"/>
        <w:ind w:left="709" w:right="709"/>
        <w:jc w:val="both"/>
        <w:rPr>
          <w:rFonts w:ascii="Geomanist Light" w:hAnsi="Geomanist Light" w:cs="Arial"/>
          <w:bCs/>
          <w:lang w:val="es-ES_tradnl"/>
        </w:rPr>
      </w:pPr>
    </w:p>
    <w:p w14:paraId="787A451C" w14:textId="249EB4F3" w:rsidR="00D73F3A" w:rsidRPr="008B2ED1" w:rsidRDefault="000A2FA4" w:rsidP="006F09FD">
      <w:pPr>
        <w:spacing w:after="0" w:line="276" w:lineRule="auto"/>
        <w:ind w:firstLine="709"/>
        <w:jc w:val="both"/>
        <w:rPr>
          <w:rFonts w:ascii="Geomanist Light" w:hAnsi="Geomanist Light" w:cs="Arial"/>
          <w:bCs/>
          <w:lang w:val="es-ES_tradnl"/>
        </w:rPr>
      </w:pPr>
      <w:r>
        <w:rPr>
          <w:rFonts w:ascii="Geomanist Light" w:hAnsi="Geomanist Light" w:cs="Arial"/>
          <w:bCs/>
          <w:lang w:val="es-ES_tradnl"/>
        </w:rPr>
        <w:t>En tal sentido</w:t>
      </w:r>
      <w:r w:rsidR="00D73F3A" w:rsidRPr="00C00DF8">
        <w:rPr>
          <w:rFonts w:ascii="Geomanist Light" w:hAnsi="Geomanist Light" w:cs="Arial"/>
          <w:bCs/>
          <w:lang w:val="es-ES_tradnl"/>
        </w:rPr>
        <w:t xml:space="preserve">, el informe de evaluación no puede limitarse a señalar el incumplimiento de determinado requisito habilitante establecido en el pliego de condiciones o </w:t>
      </w:r>
      <w:r w:rsidR="004158AB">
        <w:rPr>
          <w:rFonts w:ascii="Geomanist Light" w:hAnsi="Geomanist Light" w:cs="Arial"/>
          <w:bCs/>
          <w:lang w:val="es-ES_tradnl"/>
        </w:rPr>
        <w:t xml:space="preserve">simplemente anunciar </w:t>
      </w:r>
      <w:r w:rsidR="00D73F3A" w:rsidRPr="00C00DF8">
        <w:rPr>
          <w:rFonts w:ascii="Geomanist Light" w:hAnsi="Geomanist Light" w:cs="Arial"/>
          <w:bCs/>
          <w:lang w:val="es-ES_tradnl"/>
        </w:rPr>
        <w:t>el rechazo de la oferta, sino que deberá contener en forma precisa</w:t>
      </w:r>
      <w:r w:rsidR="003767BA">
        <w:rPr>
          <w:rFonts w:ascii="Geomanist Light" w:hAnsi="Geomanist Light" w:cs="Arial"/>
          <w:bCs/>
          <w:lang w:val="es-ES_tradnl"/>
        </w:rPr>
        <w:t xml:space="preserve"> y detallada</w:t>
      </w:r>
      <w:r w:rsidR="00D73F3A" w:rsidRPr="00C00DF8">
        <w:rPr>
          <w:rFonts w:ascii="Geomanist Light" w:hAnsi="Geomanist Light" w:cs="Arial"/>
          <w:bCs/>
          <w:lang w:val="es-ES_tradnl"/>
        </w:rPr>
        <w:t xml:space="preserve"> las razones por las cuales no se cumplen los parámetros </w:t>
      </w:r>
      <w:r w:rsidR="00D73F3A">
        <w:rPr>
          <w:rFonts w:ascii="Geomanist Light" w:hAnsi="Geomanist Light" w:cs="Arial"/>
          <w:bCs/>
          <w:lang w:val="es-ES_tradnl"/>
        </w:rPr>
        <w:t>establecidos</w:t>
      </w:r>
      <w:r w:rsidR="00D73F3A" w:rsidRPr="00C00DF8">
        <w:rPr>
          <w:rFonts w:ascii="Geomanist Light" w:hAnsi="Geomanist Light" w:cs="Arial"/>
          <w:bCs/>
          <w:lang w:val="es-ES_tradnl"/>
        </w:rPr>
        <w:t xml:space="preserve"> en el pliego de condiciones. De lo contrario, el </w:t>
      </w:r>
      <w:r w:rsidR="00D73F3A" w:rsidRPr="00C00DF8">
        <w:rPr>
          <w:rFonts w:ascii="Geomanist Light" w:hAnsi="Geomanist Light" w:cs="Arial"/>
          <w:bCs/>
          <w:lang w:val="es-ES_tradnl"/>
        </w:rPr>
        <w:lastRenderedPageBreak/>
        <w:t xml:space="preserve">oferente no podrá controvertir la calificación </w:t>
      </w:r>
      <w:r w:rsidR="00D73F3A">
        <w:rPr>
          <w:rFonts w:ascii="Geomanist Light" w:hAnsi="Geomanist Light" w:cs="Arial"/>
          <w:bCs/>
          <w:lang w:val="es-ES_tradnl"/>
        </w:rPr>
        <w:t xml:space="preserve">efectuada por el comité evaluador, </w:t>
      </w:r>
      <w:r w:rsidR="00D73F3A" w:rsidRPr="00C00DF8">
        <w:rPr>
          <w:rFonts w:ascii="Geomanist Light" w:hAnsi="Geomanist Light" w:cs="Arial"/>
          <w:bCs/>
          <w:lang w:val="es-ES_tradnl"/>
        </w:rPr>
        <w:t>pues no cuenta con la información suficiente que le permita identificar las conclusiones de la postura de</w:t>
      </w:r>
      <w:r w:rsidR="003767BA">
        <w:rPr>
          <w:rFonts w:ascii="Geomanist Light" w:hAnsi="Geomanist Light" w:cs="Arial"/>
          <w:bCs/>
          <w:lang w:val="es-ES_tradnl"/>
        </w:rPr>
        <w:t xml:space="preserve"> este comité</w:t>
      </w:r>
      <w:r w:rsidR="00DD52C5">
        <w:rPr>
          <w:rFonts w:ascii="Geomanist Light" w:hAnsi="Geomanist Light" w:cs="Arial"/>
          <w:bCs/>
          <w:lang w:val="es-ES_tradnl"/>
        </w:rPr>
        <w:t>.</w:t>
      </w:r>
      <w:r w:rsidR="00D73F3A" w:rsidRPr="00C00DF8">
        <w:rPr>
          <w:rFonts w:ascii="Geomanist Light" w:hAnsi="Geomanist Light" w:cs="Arial"/>
          <w:bCs/>
          <w:lang w:val="es-ES_tradnl"/>
        </w:rPr>
        <w:t xml:space="preserve">  </w:t>
      </w:r>
    </w:p>
    <w:p w14:paraId="684AA0E4" w14:textId="2DA123CC" w:rsidR="00335F55" w:rsidRDefault="00B8452A" w:rsidP="006F6054">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Aunado a lo anterior</w:t>
      </w:r>
      <w:r w:rsidR="00C00DF8" w:rsidRPr="00C00DF8">
        <w:rPr>
          <w:rFonts w:ascii="Geomanist Light" w:hAnsi="Geomanist Light" w:cs="Arial"/>
          <w:bCs/>
          <w:lang w:val="es-ES_tradnl"/>
        </w:rPr>
        <w:t xml:space="preserve">, </w:t>
      </w:r>
      <w:r>
        <w:rPr>
          <w:rFonts w:ascii="Geomanist Light" w:hAnsi="Geomanist Light" w:cs="Arial"/>
          <w:bCs/>
          <w:lang w:val="es-ES_tradnl"/>
        </w:rPr>
        <w:t xml:space="preserve">es pertinente indicar que la motivación del informe de evaluación se torna fundamental en la </w:t>
      </w:r>
      <w:r w:rsidR="00C539B3">
        <w:rPr>
          <w:rFonts w:ascii="Geomanist Light" w:hAnsi="Geomanist Light" w:cs="Arial"/>
          <w:bCs/>
          <w:lang w:val="es-ES_tradnl"/>
        </w:rPr>
        <w:t>fase</w:t>
      </w:r>
      <w:r>
        <w:rPr>
          <w:rFonts w:ascii="Geomanist Light" w:hAnsi="Geomanist Light" w:cs="Arial"/>
          <w:bCs/>
          <w:lang w:val="es-ES_tradnl"/>
        </w:rPr>
        <w:t xml:space="preserve"> de subsanación del proceso de contratación</w:t>
      </w:r>
      <w:r w:rsidR="00C539B3">
        <w:rPr>
          <w:rFonts w:ascii="Geomanist Light" w:hAnsi="Geomanist Light" w:cs="Arial"/>
          <w:bCs/>
          <w:lang w:val="es-ES_tradnl"/>
        </w:rPr>
        <w:t>, lo que repercute directamente en el principio de selección objetiva</w:t>
      </w:r>
      <w:r>
        <w:rPr>
          <w:rFonts w:ascii="Geomanist Light" w:hAnsi="Geomanist Light" w:cs="Arial"/>
          <w:bCs/>
          <w:lang w:val="es-ES_tradnl"/>
        </w:rPr>
        <w:t xml:space="preserve">. </w:t>
      </w:r>
      <w:r w:rsidR="003767BA">
        <w:rPr>
          <w:rFonts w:ascii="Geomanist Light" w:hAnsi="Geomanist Light" w:cs="Arial"/>
          <w:bCs/>
          <w:lang w:val="es-ES_tradnl"/>
        </w:rPr>
        <w:t>E</w:t>
      </w:r>
      <w:r>
        <w:rPr>
          <w:rFonts w:ascii="Geomanist Light" w:hAnsi="Geomanist Light" w:cs="Arial"/>
          <w:bCs/>
          <w:lang w:val="es-ES_tradnl"/>
        </w:rPr>
        <w:t>n efecto</w:t>
      </w:r>
      <w:r w:rsidR="003767BA">
        <w:rPr>
          <w:rFonts w:ascii="Geomanist Light" w:hAnsi="Geomanist Light" w:cs="Arial"/>
          <w:bCs/>
          <w:lang w:val="es-ES_tradnl"/>
        </w:rPr>
        <w:t>,</w:t>
      </w:r>
      <w:r>
        <w:rPr>
          <w:rFonts w:ascii="Geomanist Light" w:hAnsi="Geomanist Light" w:cs="Arial"/>
          <w:bCs/>
          <w:lang w:val="es-ES_tradnl"/>
        </w:rPr>
        <w:t xml:space="preserve"> </w:t>
      </w:r>
      <w:r w:rsidR="00C00DF8" w:rsidRPr="00C00DF8">
        <w:rPr>
          <w:rFonts w:ascii="Geomanist Light" w:hAnsi="Geomanist Light" w:cs="Arial"/>
          <w:bCs/>
          <w:lang w:val="es-ES_tradnl"/>
        </w:rPr>
        <w:t>conforme el parágrafo 1 del artículo 5 de la Ley 1150 de 2007</w:t>
      </w:r>
      <w:r w:rsidR="00573770">
        <w:rPr>
          <w:rFonts w:ascii="Geomanist Light" w:hAnsi="Geomanist Light" w:cs="Arial"/>
          <w:bCs/>
          <w:lang w:val="es-ES_tradnl"/>
        </w:rPr>
        <w:t>, modificado por el artículo de la Ley 1882 de 2018</w:t>
      </w:r>
      <w:r w:rsidR="00573770">
        <w:rPr>
          <w:rStyle w:val="Refdenotaalpie"/>
          <w:rFonts w:ascii="Geomanist Light" w:hAnsi="Geomanist Light" w:cs="Arial"/>
          <w:bCs/>
          <w:lang w:val="es-ES_tradnl"/>
        </w:rPr>
        <w:footnoteReference w:id="11"/>
      </w:r>
      <w:r w:rsidR="00573770">
        <w:rPr>
          <w:rFonts w:ascii="Geomanist Light" w:hAnsi="Geomanist Light" w:cs="Arial"/>
          <w:bCs/>
          <w:lang w:val="es-ES_tradnl"/>
        </w:rPr>
        <w:t>,</w:t>
      </w:r>
      <w:r w:rsidR="00C00DF8" w:rsidRPr="00C00DF8">
        <w:rPr>
          <w:rFonts w:ascii="Geomanist Light" w:hAnsi="Geomanist Light" w:cs="Arial"/>
          <w:bCs/>
          <w:lang w:val="es-ES_tradnl"/>
        </w:rPr>
        <w:t xml:space="preserve"> el oferente tendrá hasta el término de traslado del informe de evaluación que corresponda a cada modalidad de selección para subsanar los requisitos habilitantes</w:t>
      </w:r>
      <w:r w:rsidR="00C539B3">
        <w:rPr>
          <w:rStyle w:val="Refdenotaalpie"/>
          <w:rFonts w:ascii="Geomanist Light" w:hAnsi="Geomanist Light" w:cs="Arial"/>
          <w:bCs/>
          <w:lang w:val="es-ES_tradnl"/>
        </w:rPr>
        <w:footnoteReference w:id="12"/>
      </w:r>
      <w:r w:rsidR="00573770">
        <w:rPr>
          <w:rFonts w:ascii="Geomanist Light" w:hAnsi="Geomanist Light" w:cs="Arial"/>
          <w:bCs/>
          <w:lang w:val="es-ES_tradnl"/>
        </w:rPr>
        <w:t xml:space="preserve">, </w:t>
      </w:r>
      <w:r w:rsidR="00573770" w:rsidRPr="00C00DF8">
        <w:rPr>
          <w:rFonts w:ascii="Geomanist Light" w:hAnsi="Geomanist Light" w:cs="Arial"/>
          <w:bCs/>
          <w:lang w:val="es-ES_tradnl"/>
        </w:rPr>
        <w:t>sin perjuicio de que la entidad pued</w:t>
      </w:r>
      <w:r w:rsidR="004158AB">
        <w:rPr>
          <w:rFonts w:ascii="Geomanist Light" w:hAnsi="Geomanist Light" w:cs="Arial"/>
          <w:bCs/>
          <w:lang w:val="es-ES_tradnl"/>
        </w:rPr>
        <w:t>a</w:t>
      </w:r>
      <w:r w:rsidR="00573770" w:rsidRPr="00C00DF8">
        <w:rPr>
          <w:rFonts w:ascii="Geomanist Light" w:hAnsi="Geomanist Light" w:cs="Arial"/>
          <w:bCs/>
          <w:lang w:val="es-ES_tradnl"/>
        </w:rPr>
        <w:t xml:space="preserve"> requerir la subsanación antes de la publicación del informe de evaluación</w:t>
      </w:r>
      <w:r w:rsidR="00E06B9B">
        <w:rPr>
          <w:rFonts w:ascii="Geomanist Light" w:hAnsi="Geomanist Light" w:cs="Arial"/>
          <w:bCs/>
          <w:lang w:val="es-ES_tradnl"/>
        </w:rPr>
        <w:t>.</w:t>
      </w:r>
      <w:r w:rsidR="00C00DF8" w:rsidRPr="00C00DF8">
        <w:rPr>
          <w:rFonts w:ascii="Geomanist Light" w:hAnsi="Geomanist Light" w:cs="Arial"/>
          <w:bCs/>
          <w:lang w:val="es-ES_tradnl"/>
        </w:rPr>
        <w:t xml:space="preserve"> </w:t>
      </w:r>
      <w:r w:rsidR="003767BA">
        <w:rPr>
          <w:rFonts w:ascii="Geomanist Light" w:hAnsi="Geomanist Light" w:cs="Arial"/>
          <w:bCs/>
          <w:lang w:val="es-ES_tradnl"/>
        </w:rPr>
        <w:t>De este modo</w:t>
      </w:r>
      <w:r w:rsidR="00C00DF8" w:rsidRPr="00C00DF8">
        <w:rPr>
          <w:rFonts w:ascii="Geomanist Light" w:hAnsi="Geomanist Light" w:cs="Arial"/>
          <w:bCs/>
          <w:lang w:val="es-ES_tradnl"/>
        </w:rPr>
        <w:t xml:space="preserve">, en dicho informe </w:t>
      </w:r>
      <w:r w:rsidR="00573770">
        <w:rPr>
          <w:rFonts w:ascii="Geomanist Light" w:hAnsi="Geomanist Light" w:cs="Arial"/>
          <w:bCs/>
          <w:lang w:val="es-ES_tradnl"/>
        </w:rPr>
        <w:t>se</w:t>
      </w:r>
      <w:r w:rsidR="00C00DF8" w:rsidRPr="00C00DF8">
        <w:rPr>
          <w:rFonts w:ascii="Geomanist Light" w:hAnsi="Geomanist Light" w:cs="Arial"/>
          <w:bCs/>
          <w:lang w:val="es-ES_tradnl"/>
        </w:rPr>
        <w:t xml:space="preserve"> solicitará la subsanación de los requisitos habilitantes,</w:t>
      </w:r>
      <w:r w:rsidR="00E06B9B">
        <w:rPr>
          <w:rFonts w:ascii="Geomanist Light" w:hAnsi="Geomanist Light" w:cs="Arial"/>
          <w:bCs/>
          <w:lang w:val="es-ES_tradnl"/>
        </w:rPr>
        <w:t xml:space="preserve"> por lo que </w:t>
      </w:r>
      <w:r w:rsidR="00C00DF8" w:rsidRPr="00C00DF8">
        <w:rPr>
          <w:rFonts w:ascii="Geomanist Light" w:hAnsi="Geomanist Light" w:cs="Arial"/>
          <w:bCs/>
          <w:lang w:val="es-ES_tradnl"/>
        </w:rPr>
        <w:t xml:space="preserve">la entidad tiene el deber de sustentar claramente </w:t>
      </w:r>
      <w:r w:rsidR="00D5525B" w:rsidRPr="00C00DF8">
        <w:rPr>
          <w:rFonts w:ascii="Geomanist Light" w:hAnsi="Geomanist Light" w:cs="Arial"/>
          <w:bCs/>
          <w:lang w:val="es-ES_tradnl"/>
        </w:rPr>
        <w:t>cuáles</w:t>
      </w:r>
      <w:r w:rsidR="00C00DF8" w:rsidRPr="00C00DF8">
        <w:rPr>
          <w:rFonts w:ascii="Geomanist Light" w:hAnsi="Geomanist Light" w:cs="Arial"/>
          <w:bCs/>
          <w:lang w:val="es-ES_tradnl"/>
        </w:rPr>
        <w:t xml:space="preserve"> son los requisitos que no cumple el proponente</w:t>
      </w:r>
      <w:r w:rsidR="004158AB">
        <w:rPr>
          <w:rFonts w:ascii="Geomanist Light" w:hAnsi="Geomanist Light" w:cs="Arial"/>
          <w:bCs/>
          <w:lang w:val="es-ES_tradnl"/>
        </w:rPr>
        <w:t xml:space="preserve"> con el fin de que este los subsane</w:t>
      </w:r>
      <w:r w:rsidR="006F770B">
        <w:rPr>
          <w:rFonts w:ascii="Geomanist Light" w:hAnsi="Geomanist Light" w:cs="Arial"/>
          <w:bCs/>
          <w:lang w:val="es-ES_tradnl"/>
        </w:rPr>
        <w:t xml:space="preserve">, así como responder las solicitudes de aclaración que eleve el proponente sobre el particular. </w:t>
      </w:r>
    </w:p>
    <w:p w14:paraId="13C28941" w14:textId="7AB7D9D7" w:rsidR="00E06B9B" w:rsidRDefault="00335F55" w:rsidP="006F6054">
      <w:pPr>
        <w:spacing w:before="120" w:after="0" w:line="276" w:lineRule="auto"/>
        <w:ind w:firstLine="709"/>
        <w:jc w:val="both"/>
        <w:rPr>
          <w:rFonts w:ascii="Geomanist Light" w:hAnsi="Geomanist Light" w:cs="Arial"/>
          <w:bCs/>
          <w:lang w:val="es-ES_tradnl"/>
        </w:rPr>
      </w:pPr>
      <w:r>
        <w:rPr>
          <w:rFonts w:ascii="Geomanist Light" w:hAnsi="Geomanist Light" w:cs="Arial"/>
          <w:bCs/>
          <w:lang w:val="es-ES_tradnl"/>
        </w:rPr>
        <w:t xml:space="preserve">Así, </w:t>
      </w:r>
      <w:r w:rsidR="00C539B3">
        <w:rPr>
          <w:rFonts w:ascii="Geomanist Light" w:hAnsi="Geomanist Light" w:cs="Arial"/>
          <w:bCs/>
          <w:lang w:val="es-ES_tradnl"/>
        </w:rPr>
        <w:t>con base en la subsanación que realice el proponente y las observaciones que se efectúe</w:t>
      </w:r>
      <w:r>
        <w:rPr>
          <w:rFonts w:ascii="Geomanist Light" w:hAnsi="Geomanist Light" w:cs="Arial"/>
          <w:bCs/>
          <w:lang w:val="es-ES_tradnl"/>
        </w:rPr>
        <w:t>n en esta etapa</w:t>
      </w:r>
      <w:r w:rsidR="00C539B3">
        <w:rPr>
          <w:rFonts w:ascii="Geomanist Light" w:hAnsi="Geomanist Light" w:cs="Arial"/>
          <w:bCs/>
          <w:lang w:val="es-ES_tradnl"/>
        </w:rPr>
        <w:t xml:space="preserve">, el comité evaluador podrá modificar o corregir el informe de evaluación cuando encuentre ajustada la propuesta a las reglas del pliego de condiciones, lo que permitirá que un proponente no habilitado </w:t>
      </w:r>
      <w:r w:rsidR="006F770B">
        <w:rPr>
          <w:rFonts w:ascii="Geomanist Light" w:hAnsi="Geomanist Light" w:cs="Arial"/>
          <w:bCs/>
          <w:lang w:val="es-ES_tradnl"/>
        </w:rPr>
        <w:t>pueda resultar</w:t>
      </w:r>
      <w:r w:rsidR="00C539B3">
        <w:rPr>
          <w:rFonts w:ascii="Geomanist Light" w:hAnsi="Geomanist Light" w:cs="Arial"/>
          <w:bCs/>
          <w:lang w:val="es-ES_tradnl"/>
        </w:rPr>
        <w:t xml:space="preserve"> </w:t>
      </w:r>
      <w:r w:rsidR="006F6054">
        <w:rPr>
          <w:rFonts w:ascii="Geomanist Light" w:hAnsi="Geomanist Light" w:cs="Arial"/>
          <w:bCs/>
          <w:lang w:val="es-ES_tradnl"/>
        </w:rPr>
        <w:t xml:space="preserve">posteriormente </w:t>
      </w:r>
      <w:r w:rsidR="00C539B3">
        <w:rPr>
          <w:rFonts w:ascii="Geomanist Light" w:hAnsi="Geomanist Light" w:cs="Arial"/>
          <w:bCs/>
          <w:lang w:val="es-ES_tradnl"/>
        </w:rPr>
        <w:t>habilitado</w:t>
      </w:r>
      <w:r w:rsidR="00EF56DE">
        <w:rPr>
          <w:rFonts w:ascii="Geomanist Light" w:hAnsi="Geomanist Light" w:cs="Arial"/>
          <w:bCs/>
          <w:lang w:val="es-ES_tradnl"/>
        </w:rPr>
        <w:t>, y viceversa</w:t>
      </w:r>
      <w:r w:rsidR="00C539B3">
        <w:rPr>
          <w:rFonts w:ascii="Geomanist Light" w:hAnsi="Geomanist Light" w:cs="Arial"/>
          <w:bCs/>
          <w:lang w:val="es-ES_tradnl"/>
        </w:rPr>
        <w:t xml:space="preserve">. </w:t>
      </w:r>
      <w:r>
        <w:rPr>
          <w:rFonts w:ascii="Geomanist Light" w:hAnsi="Geomanist Light" w:cs="Arial"/>
          <w:bCs/>
          <w:lang w:val="es-ES_tradnl"/>
        </w:rPr>
        <w:t xml:space="preserve">Al respecto, la doctrina ha señalado que </w:t>
      </w:r>
      <w:r w:rsidR="00673B1C" w:rsidRPr="0047613D">
        <w:rPr>
          <w:rFonts w:ascii="Geomanist Light" w:hAnsi="Geomanist Light" w:cs="Arial"/>
          <w:bCs/>
          <w:lang w:val="es-ES_tradnl"/>
        </w:rPr>
        <w:t>«</w:t>
      </w:r>
      <w:r>
        <w:rPr>
          <w:rFonts w:ascii="Geomanist Light" w:hAnsi="Geomanist Light" w:cs="Arial"/>
          <w:bCs/>
          <w:lang w:val="es-ES_tradnl"/>
        </w:rPr>
        <w:t xml:space="preserve">esta etapa no solo se constituye en una garantía para los proponente, sino que la entidad estatal puede aprovechar para revisar su decisión sobre el orden de elegibilidad inicialmente propuesto y hacer las correcciones que sean necesarias para selección al contratista </w:t>
      </w:r>
      <w:r>
        <w:rPr>
          <w:rFonts w:ascii="Geomanist Light" w:hAnsi="Geomanist Light" w:cs="Arial"/>
          <w:bCs/>
          <w:lang w:val="es-ES_tradnl"/>
        </w:rPr>
        <w:lastRenderedPageBreak/>
        <w:t>con las condiciones exigidas por la Ley, es decir, obteniendo la mejor oferta técnica y económica que sea mas favorable para los intereses de la entidad</w:t>
      </w:r>
      <w:r w:rsidRPr="0047613D">
        <w:rPr>
          <w:rFonts w:ascii="Geomanist Light" w:hAnsi="Geomanist Light" w:cs="Arial"/>
          <w:bCs/>
          <w:lang w:val="es-ES_tradnl"/>
        </w:rPr>
        <w:t>»</w:t>
      </w:r>
      <w:r w:rsidR="006F770B">
        <w:rPr>
          <w:rStyle w:val="Refdenotaalpie"/>
          <w:rFonts w:ascii="Geomanist Light" w:hAnsi="Geomanist Light" w:cs="Arial"/>
          <w:bCs/>
          <w:lang w:val="es-ES_tradnl"/>
        </w:rPr>
        <w:footnoteReference w:id="13"/>
      </w:r>
      <w:r w:rsidR="006F770B">
        <w:rPr>
          <w:rFonts w:ascii="Geomanist Light" w:hAnsi="Geomanist Light" w:cs="Arial"/>
          <w:bCs/>
          <w:lang w:val="es-ES_tradnl"/>
        </w:rPr>
        <w:t xml:space="preserve">. </w:t>
      </w:r>
    </w:p>
    <w:p w14:paraId="39E90C27" w14:textId="052E52E6" w:rsidR="00F843FC" w:rsidRDefault="00C00DF8" w:rsidP="003767BA">
      <w:pPr>
        <w:spacing w:before="120" w:after="0" w:line="276" w:lineRule="auto"/>
        <w:ind w:firstLine="709"/>
        <w:jc w:val="both"/>
        <w:rPr>
          <w:rFonts w:ascii="Geomanist Light" w:hAnsi="Geomanist Light" w:cs="Arial"/>
          <w:bCs/>
          <w:lang w:val="es-ES_tradnl"/>
        </w:rPr>
      </w:pPr>
      <w:r w:rsidRPr="00C00DF8">
        <w:rPr>
          <w:rFonts w:ascii="Geomanist Light" w:hAnsi="Geomanist Light" w:cs="Arial"/>
          <w:bCs/>
          <w:lang w:val="es-ES_tradnl"/>
        </w:rPr>
        <w:t xml:space="preserve">En </w:t>
      </w:r>
      <w:r w:rsidR="00F843FC">
        <w:rPr>
          <w:rFonts w:ascii="Geomanist Light" w:hAnsi="Geomanist Light" w:cs="Arial"/>
          <w:bCs/>
          <w:lang w:val="es-ES_tradnl"/>
        </w:rPr>
        <w:t>suma</w:t>
      </w:r>
      <w:r w:rsidRPr="00C00DF8">
        <w:rPr>
          <w:rFonts w:ascii="Geomanist Light" w:hAnsi="Geomanist Light" w:cs="Arial"/>
          <w:bCs/>
          <w:lang w:val="es-ES_tradnl"/>
        </w:rPr>
        <w:t xml:space="preserve">, </w:t>
      </w:r>
      <w:r w:rsidR="003767BA">
        <w:rPr>
          <w:rFonts w:ascii="Geomanist Light" w:hAnsi="Geomanist Light" w:cs="Arial"/>
          <w:bCs/>
          <w:lang w:val="es-ES_tradnl"/>
        </w:rPr>
        <w:t>l</w:t>
      </w:r>
      <w:r w:rsidR="003767BA" w:rsidRPr="00C00DF8">
        <w:rPr>
          <w:rFonts w:ascii="Geomanist Light" w:hAnsi="Geomanist Light" w:cs="Arial"/>
          <w:bCs/>
          <w:lang w:val="es-ES_tradnl"/>
        </w:rPr>
        <w:t>a</w:t>
      </w:r>
      <w:r w:rsidR="003767BA">
        <w:rPr>
          <w:rFonts w:ascii="Geomanist Light" w:hAnsi="Geomanist Light" w:cs="Arial"/>
          <w:bCs/>
          <w:lang w:val="es-ES_tradnl"/>
        </w:rPr>
        <w:t xml:space="preserve"> debida</w:t>
      </w:r>
      <w:r w:rsidR="003767BA" w:rsidRPr="00C00DF8">
        <w:rPr>
          <w:rFonts w:ascii="Geomanist Light" w:hAnsi="Geomanist Light" w:cs="Arial"/>
          <w:bCs/>
          <w:lang w:val="es-ES_tradnl"/>
        </w:rPr>
        <w:t xml:space="preserve"> motivación del informe de evaluación </w:t>
      </w:r>
      <w:r w:rsidR="003767BA">
        <w:rPr>
          <w:rFonts w:ascii="Geomanist Light" w:hAnsi="Geomanist Light" w:cs="Arial"/>
          <w:bCs/>
          <w:lang w:val="es-ES_tradnl"/>
        </w:rPr>
        <w:t>además de ser una obligación legal, conforme lo dispone el numeral 7 del artículo 24 de la Ley 80 de 1993,</w:t>
      </w:r>
      <w:r w:rsidR="003767BA" w:rsidRPr="00C00DF8">
        <w:rPr>
          <w:rFonts w:ascii="Geomanist Light" w:hAnsi="Geomanist Light" w:cs="Arial"/>
          <w:bCs/>
          <w:lang w:val="es-ES_tradnl"/>
        </w:rPr>
        <w:t xml:space="preserve"> tiene como propósito garantizar</w:t>
      </w:r>
      <w:r w:rsidR="003767BA" w:rsidRPr="003767BA">
        <w:rPr>
          <w:rFonts w:ascii="Geomanist Light" w:hAnsi="Geomanist Light" w:cs="Arial"/>
          <w:bCs/>
          <w:lang w:val="es-ES_tradnl"/>
        </w:rPr>
        <w:t xml:space="preserve"> </w:t>
      </w:r>
      <w:r w:rsidR="003767BA" w:rsidRPr="00C00DF8">
        <w:rPr>
          <w:rFonts w:ascii="Geomanist Light" w:hAnsi="Geomanist Light" w:cs="Arial"/>
          <w:bCs/>
          <w:lang w:val="es-ES_tradnl"/>
        </w:rPr>
        <w:t>el</w:t>
      </w:r>
      <w:r w:rsidR="003767BA">
        <w:rPr>
          <w:rFonts w:ascii="Geomanist Light" w:hAnsi="Geomanist Light" w:cs="Arial"/>
          <w:bCs/>
          <w:lang w:val="es-ES_tradnl"/>
        </w:rPr>
        <w:t xml:space="preserve"> principio de transparencia de la contratación pública y el </w:t>
      </w:r>
      <w:r w:rsidR="003767BA" w:rsidRPr="00C00DF8">
        <w:rPr>
          <w:rFonts w:ascii="Geomanist Light" w:hAnsi="Geomanist Light" w:cs="Arial"/>
          <w:bCs/>
          <w:lang w:val="es-ES_tradnl"/>
        </w:rPr>
        <w:t>ejercicio del derecho de contradicción de los proponent</w:t>
      </w:r>
      <w:r w:rsidR="003767BA">
        <w:rPr>
          <w:rFonts w:ascii="Geomanist Light" w:hAnsi="Geomanist Light" w:cs="Arial"/>
          <w:bCs/>
          <w:lang w:val="es-ES_tradnl"/>
        </w:rPr>
        <w:t>e</w:t>
      </w:r>
      <w:r w:rsidRPr="00C00DF8">
        <w:rPr>
          <w:rFonts w:ascii="Geomanist Light" w:hAnsi="Geomanist Light" w:cs="Arial"/>
          <w:bCs/>
          <w:lang w:val="es-ES_tradnl"/>
        </w:rPr>
        <w:t xml:space="preserve">, </w:t>
      </w:r>
      <w:r w:rsidR="004158AB">
        <w:rPr>
          <w:rFonts w:ascii="Geomanist Light" w:hAnsi="Geomanist Light" w:cs="Arial"/>
          <w:bCs/>
          <w:lang w:val="es-ES_tradnl"/>
        </w:rPr>
        <w:t>de manera que</w:t>
      </w:r>
      <w:r w:rsidRPr="00C00DF8">
        <w:rPr>
          <w:rFonts w:ascii="Geomanist Light" w:hAnsi="Geomanist Light" w:cs="Arial"/>
          <w:bCs/>
          <w:lang w:val="es-ES_tradnl"/>
        </w:rPr>
        <w:t xml:space="preserve"> solo mediante un informe detallado</w:t>
      </w:r>
      <w:r w:rsidR="00F843FC">
        <w:rPr>
          <w:rFonts w:ascii="Geomanist Light" w:hAnsi="Geomanist Light" w:cs="Arial"/>
          <w:bCs/>
          <w:lang w:val="es-ES_tradnl"/>
        </w:rPr>
        <w:t xml:space="preserve"> y preciso</w:t>
      </w:r>
      <w:r w:rsidRPr="00C00DF8">
        <w:rPr>
          <w:rFonts w:ascii="Geomanist Light" w:hAnsi="Geomanist Light" w:cs="Arial"/>
          <w:bCs/>
          <w:lang w:val="es-ES_tradnl"/>
        </w:rPr>
        <w:t xml:space="preserve"> </w:t>
      </w:r>
      <w:r w:rsidR="004158AB">
        <w:rPr>
          <w:rFonts w:ascii="Geomanist Light" w:hAnsi="Geomanist Light" w:cs="Arial"/>
          <w:bCs/>
          <w:lang w:val="es-ES_tradnl"/>
        </w:rPr>
        <w:t xml:space="preserve">en el que </w:t>
      </w:r>
      <w:r w:rsidR="003767BA">
        <w:rPr>
          <w:rFonts w:ascii="Geomanist Light" w:hAnsi="Geomanist Light" w:cs="Arial"/>
          <w:bCs/>
          <w:lang w:val="es-ES_tradnl"/>
        </w:rPr>
        <w:t xml:space="preserve">se </w:t>
      </w:r>
      <w:r w:rsidR="003767BA" w:rsidRPr="003767BA">
        <w:rPr>
          <w:rFonts w:ascii="Geomanist Light" w:hAnsi="Geomanist Light" w:cs="Arial"/>
          <w:bCs/>
        </w:rPr>
        <w:t>refi</w:t>
      </w:r>
      <w:r w:rsidR="003767BA">
        <w:rPr>
          <w:rFonts w:ascii="Geomanist Light" w:hAnsi="Geomanist Light" w:cs="Arial"/>
          <w:bCs/>
        </w:rPr>
        <w:t>era</w:t>
      </w:r>
      <w:r w:rsidR="003767BA" w:rsidRPr="003767BA">
        <w:rPr>
          <w:rFonts w:ascii="Geomanist Light" w:hAnsi="Geomanist Light" w:cs="Arial"/>
          <w:bCs/>
        </w:rPr>
        <w:t xml:space="preserve"> a cada uno de los factores de evaluación</w:t>
      </w:r>
      <w:r w:rsidR="003767BA">
        <w:rPr>
          <w:rFonts w:ascii="Geomanist Light" w:hAnsi="Geomanist Light" w:cs="Arial"/>
          <w:bCs/>
        </w:rPr>
        <w:t xml:space="preserve"> y las</w:t>
      </w:r>
      <w:r w:rsidR="003767BA" w:rsidRPr="003767BA">
        <w:rPr>
          <w:rFonts w:ascii="Geomanist Light" w:hAnsi="Geomanist Light" w:cs="Arial"/>
          <w:bCs/>
        </w:rPr>
        <w:t xml:space="preserve"> consideraciones de rechazo u observación</w:t>
      </w:r>
      <w:r w:rsidR="003767BA">
        <w:rPr>
          <w:rFonts w:ascii="Geomanist Light" w:hAnsi="Geomanist Light" w:cs="Arial"/>
          <w:bCs/>
        </w:rPr>
        <w:t xml:space="preserve">, </w:t>
      </w:r>
      <w:r w:rsidR="00DD52C5">
        <w:rPr>
          <w:rFonts w:ascii="Geomanist Light" w:hAnsi="Geomanist Light" w:cs="Arial"/>
          <w:bCs/>
        </w:rPr>
        <w:t>se</w:t>
      </w:r>
      <w:r w:rsidR="00F843FC">
        <w:rPr>
          <w:rFonts w:ascii="Geomanist Light" w:hAnsi="Geomanist Light" w:cs="Arial"/>
          <w:bCs/>
        </w:rPr>
        <w:t xml:space="preserve"> podrá garantizar el cumplimiento de es</w:t>
      </w:r>
      <w:r w:rsidR="006F6054">
        <w:rPr>
          <w:rFonts w:ascii="Geomanist Light" w:hAnsi="Geomanist Light" w:cs="Arial"/>
          <w:bCs/>
        </w:rPr>
        <w:t>te deber</w:t>
      </w:r>
      <w:r w:rsidRPr="00C00DF8">
        <w:rPr>
          <w:rFonts w:ascii="Geomanist Light" w:hAnsi="Geomanist Light" w:cs="Arial"/>
          <w:bCs/>
          <w:lang w:val="es-ES_tradnl"/>
        </w:rPr>
        <w:t xml:space="preserve">. En virtud de lo anterior, </w:t>
      </w:r>
      <w:r w:rsidR="00F843FC">
        <w:rPr>
          <w:rFonts w:ascii="Geomanist Light" w:hAnsi="Geomanist Light" w:cs="Arial"/>
          <w:bCs/>
          <w:lang w:val="es-ES_tradnl"/>
        </w:rPr>
        <w:t xml:space="preserve">el informe de evaluación deberá contener la información suficiente que permita al proponente sustentar las observaciones que considere pertinente en relación con la evaluación de la oferta. </w:t>
      </w:r>
    </w:p>
    <w:p w14:paraId="4C055FC7" w14:textId="4B7769C3" w:rsidR="00DE3B48" w:rsidRPr="00FB186E" w:rsidRDefault="00571301" w:rsidP="00F1584C">
      <w:pPr>
        <w:tabs>
          <w:tab w:val="left" w:pos="0"/>
          <w:tab w:val="left" w:pos="6645"/>
        </w:tabs>
        <w:spacing w:after="0" w:line="276" w:lineRule="auto"/>
        <w:jc w:val="both"/>
        <w:rPr>
          <w:rFonts w:ascii="Geomanist Light" w:hAnsi="Geomanist Light" w:cs="Arial"/>
          <w:bCs/>
          <w:lang w:val="es-ES_tradnl"/>
        </w:rPr>
      </w:pPr>
      <w:r w:rsidRPr="00FB186E">
        <w:rPr>
          <w:rFonts w:ascii="Geomanist Light" w:hAnsi="Geomanist Light" w:cs="Arial"/>
          <w:bCs/>
          <w:lang w:val="es-ES_tradnl"/>
        </w:rPr>
        <w:tab/>
      </w:r>
    </w:p>
    <w:p w14:paraId="01C0F502" w14:textId="5CEEEEEC" w:rsidR="00F9574A" w:rsidRPr="00FB186E" w:rsidRDefault="004177A6" w:rsidP="00E41229">
      <w:pPr>
        <w:tabs>
          <w:tab w:val="left" w:pos="0"/>
        </w:tabs>
        <w:spacing w:after="0" w:line="276" w:lineRule="auto"/>
        <w:jc w:val="both"/>
        <w:rPr>
          <w:rFonts w:ascii="Geomanist Light" w:hAnsi="Geomanist Light" w:cs="Arial"/>
          <w:b/>
          <w:color w:val="000000" w:themeColor="text1"/>
          <w:lang w:val="es-ES_tradnl"/>
        </w:rPr>
      </w:pPr>
      <w:r w:rsidRPr="00FB186E">
        <w:rPr>
          <w:rFonts w:ascii="Geomanist Light" w:hAnsi="Geomanist Light" w:cs="Arial"/>
          <w:b/>
          <w:color w:val="000000" w:themeColor="text1"/>
          <w:lang w:val="es-ES_tradnl"/>
        </w:rPr>
        <w:t>3</w:t>
      </w:r>
      <w:r w:rsidR="00B011A9" w:rsidRPr="00FB186E">
        <w:rPr>
          <w:rFonts w:ascii="Geomanist Light" w:hAnsi="Geomanist Light" w:cs="Arial"/>
          <w:b/>
          <w:color w:val="000000" w:themeColor="text1"/>
          <w:lang w:val="es-ES_tradnl"/>
        </w:rPr>
        <w:t xml:space="preserve">. </w:t>
      </w:r>
      <w:r w:rsidR="00DD5B04" w:rsidRPr="00FB186E">
        <w:rPr>
          <w:rFonts w:ascii="Geomanist Light" w:hAnsi="Geomanist Light" w:cs="Arial"/>
          <w:b/>
          <w:color w:val="000000" w:themeColor="text1"/>
          <w:lang w:val="es-ES_tradnl"/>
        </w:rPr>
        <w:t>Respuesta</w:t>
      </w:r>
    </w:p>
    <w:p w14:paraId="5550B511" w14:textId="77777777" w:rsidR="00E41229" w:rsidRPr="00FB186E" w:rsidRDefault="00E41229" w:rsidP="000F7239">
      <w:pPr>
        <w:tabs>
          <w:tab w:val="left" w:pos="0"/>
        </w:tabs>
        <w:spacing w:after="0" w:line="276" w:lineRule="auto"/>
        <w:jc w:val="both"/>
        <w:rPr>
          <w:rFonts w:ascii="Geomanist Light" w:hAnsi="Geomanist Light" w:cs="Arial"/>
          <w:b/>
          <w:color w:val="000000" w:themeColor="text1"/>
          <w:lang w:val="es-ES_tradnl"/>
        </w:rPr>
      </w:pPr>
    </w:p>
    <w:p w14:paraId="4D585B4A" w14:textId="44704E1C" w:rsidR="00101C13" w:rsidRPr="00CC53EC" w:rsidRDefault="002D1F59"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w:t>
      </w:r>
      <w:r w:rsidR="00101C13" w:rsidRPr="00CC53EC">
        <w:rPr>
          <w:rFonts w:ascii="Geomanist Light" w:hAnsi="Geomanist Light" w:cs="Arial"/>
          <w:bCs/>
          <w:color w:val="000000" w:themeColor="text1"/>
          <w:sz w:val="21"/>
          <w:szCs w:val="21"/>
          <w:lang w:val="es-ES_tradnl"/>
        </w:rPr>
        <w:t xml:space="preserve">1.¿Puede la Entidad publicar un informe de evaluación preliminar que basa sus conclusiones en indicar si el Oferente: CUMPLE/NO CUMPLE, es decir, limitándose a indicar el cumplimiento o no de los requisitos sin especificar los motivos, razones, las circunstancias, leyes o partes del pliego en las que presuntamente el oferente está faltando? </w:t>
      </w:r>
    </w:p>
    <w:p w14:paraId="51B2F4B5"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5962A0E3"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2. ¿Puede la Entidad ignorar la Ley 80, que estipula en su artículo 24, numeral 7, que: “ARTÍCULO 24.- Del principio de Transparencia. En virtud de este principio: … …7o. Los actos administrativos que se expidan en la actividad contractual o con ocasión de ella, salvo los de mero trámite, se motivarán en forma detallada y precisa </w:t>
      </w:r>
      <w:r w:rsidRPr="00CC53EC">
        <w:rPr>
          <w:rFonts w:ascii="Geomanist Light" w:hAnsi="Geomanist Light" w:cs="Arial"/>
          <w:b/>
          <w:bCs/>
          <w:color w:val="000000" w:themeColor="text1"/>
          <w:sz w:val="21"/>
          <w:szCs w:val="21"/>
          <w:lang w:val="es-ES_tradnl"/>
        </w:rPr>
        <w:t>e igualmente lo serán los informes de evaluación</w:t>
      </w:r>
      <w:r w:rsidRPr="00CC53EC">
        <w:rPr>
          <w:rFonts w:ascii="Geomanist Light" w:hAnsi="Geomanist Light" w:cs="Arial"/>
          <w:bCs/>
          <w:color w:val="000000" w:themeColor="text1"/>
          <w:sz w:val="21"/>
          <w:szCs w:val="21"/>
          <w:lang w:val="es-ES_tradnl"/>
        </w:rPr>
        <w:t xml:space="preserve">, el acto de adjudicación y la declaratoria de desierto del proceso de escogencia.” Negrilla y subrayado fuera de texto. </w:t>
      </w:r>
    </w:p>
    <w:p w14:paraId="37C31C33"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531DB468"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Es decir, pese a que la Ley 80, por la cual se expide el Estatuto General de Contratación de la Administración pública obliga a la Entidad a hacer los informes en forma DETALLADA Y PRECISA, únicamente puede la Entidad informar el “No cumplimiento” y aun solicitando claridad en los aspectos de incumplimiento el proceso ¿la Entidad puede hacer caso omiso a la solicitud de claridad en qué aspectos no se cumplen? </w:t>
      </w:r>
    </w:p>
    <w:p w14:paraId="359ED87E"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29E42407"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r w:rsidRPr="00CC53EC">
        <w:rPr>
          <w:rFonts w:ascii="Geomanist Light" w:hAnsi="Geomanist Light" w:cs="Arial"/>
          <w:bCs/>
          <w:color w:val="000000" w:themeColor="text1"/>
          <w:sz w:val="21"/>
          <w:szCs w:val="21"/>
          <w:lang w:val="es-ES_tradnl"/>
        </w:rPr>
        <w:t xml:space="preserve">3. ¿Puede la Entidad omitir el Derecho al Debido Proceso sin indicar al Proponente de acuerdo al Pliego de Condiciones cuál es el incumplimiento del que se le acusa? </w:t>
      </w:r>
    </w:p>
    <w:p w14:paraId="3046FA9C" w14:textId="77777777" w:rsidR="00101C13"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lang w:val="es-ES_tradnl"/>
        </w:rPr>
      </w:pPr>
    </w:p>
    <w:p w14:paraId="33764B33" w14:textId="1D9DA930" w:rsidR="00F4630A" w:rsidRPr="00CC53EC" w:rsidRDefault="00101C13" w:rsidP="00101C13">
      <w:pPr>
        <w:tabs>
          <w:tab w:val="left" w:pos="426"/>
          <w:tab w:val="left" w:pos="8080"/>
          <w:tab w:val="left" w:pos="8364"/>
        </w:tabs>
        <w:spacing w:after="0" w:line="240" w:lineRule="auto"/>
        <w:ind w:left="709" w:right="709"/>
        <w:jc w:val="both"/>
        <w:rPr>
          <w:rFonts w:ascii="Geomanist Light" w:hAnsi="Geomanist Light" w:cs="Arial"/>
          <w:bCs/>
          <w:color w:val="000000" w:themeColor="text1"/>
          <w:sz w:val="21"/>
          <w:szCs w:val="21"/>
        </w:rPr>
      </w:pPr>
      <w:r w:rsidRPr="00CC53EC">
        <w:rPr>
          <w:rFonts w:ascii="Geomanist Light" w:hAnsi="Geomanist Light" w:cs="Arial"/>
          <w:bCs/>
          <w:color w:val="000000" w:themeColor="text1"/>
          <w:sz w:val="21"/>
          <w:szCs w:val="21"/>
          <w:lang w:val="es-ES_tradnl"/>
        </w:rPr>
        <w:lastRenderedPageBreak/>
        <w:t>4. ¿Son los informes de evaluación una matriz que indica CUMPLE/NO CUMPLE los diferentes aspectos del Pliego de Condiciones o por el contrario deben cumplir la Ley 80 de 1993 y se motivarán de forma detallada y precisa?»</w:t>
      </w:r>
    </w:p>
    <w:p w14:paraId="18C5B84A" w14:textId="0557B9BD" w:rsidR="008B45B9" w:rsidRDefault="008B45B9" w:rsidP="00101C13">
      <w:pPr>
        <w:spacing w:after="0" w:line="276" w:lineRule="auto"/>
        <w:jc w:val="both"/>
        <w:rPr>
          <w:rFonts w:ascii="Geomanist Light" w:hAnsi="Geomanist Light" w:cs="Arial"/>
          <w:bCs/>
          <w:lang w:val="es-ES_tradnl"/>
        </w:rPr>
      </w:pPr>
    </w:p>
    <w:p w14:paraId="11864F36" w14:textId="666B5126" w:rsidR="006F09FD" w:rsidRPr="001A1F73" w:rsidRDefault="006F09FD" w:rsidP="00D00F96">
      <w:pPr>
        <w:spacing w:after="0" w:line="276" w:lineRule="auto"/>
        <w:jc w:val="both"/>
        <w:rPr>
          <w:rFonts w:ascii="Geomanist Light" w:hAnsi="Geomanist Light" w:cs="Arial"/>
          <w:bCs/>
          <w:lang w:val="es-MX"/>
        </w:rPr>
      </w:pPr>
      <w:r w:rsidRPr="001A1F73">
        <w:rPr>
          <w:rFonts w:ascii="Geomanist Light" w:hAnsi="Geomanist Light" w:cs="Arial"/>
          <w:lang w:val="es-MX"/>
        </w:rPr>
        <w:t xml:space="preserve">De conformidad con las consideraciones expuestas, </w:t>
      </w:r>
      <w:r w:rsidR="00D00F96" w:rsidRPr="001A1F73">
        <w:rPr>
          <w:rFonts w:ascii="Geomanist Light" w:hAnsi="Geomanist Light" w:cs="Arial"/>
          <w:lang w:val="es-MX"/>
        </w:rPr>
        <w:t xml:space="preserve">es preciso indicar que </w:t>
      </w:r>
      <w:r w:rsidR="00D00F96" w:rsidRPr="001A1F73">
        <w:rPr>
          <w:rFonts w:ascii="Geomanist Light" w:hAnsi="Geomanist Light" w:cs="Arial"/>
          <w:bCs/>
          <w:lang w:val="es-MX"/>
        </w:rPr>
        <w:t xml:space="preserve">el 7 del artículo 24 de la Ley 80 de 1993 dispone que todos los actos administrativos que se expidan en la actividad contractual o con ocasión de ella, salvo los de mero trámite, así como los informes de evaluación, el acto de adjudicación y la </w:t>
      </w:r>
      <w:r w:rsidR="00D00F96" w:rsidRPr="001A1F73">
        <w:rPr>
          <w:rFonts w:ascii="Geomanist Light" w:hAnsi="Geomanist Light" w:cs="Arial"/>
          <w:bCs/>
          <w:lang w:val="es-ES_tradnl"/>
        </w:rPr>
        <w:t xml:space="preserve">declaratoria de desierta del proceso de escogencia, se motivarán en forma detallada y precisa. De esta manera, en desarrollo del principio de transparencia resulta obligatorio que el informe de evaluación de las ofertas que se realice en el proceso de contratación sea motivado, lo que garantiza que los oferentes puedan conocer el análisis de comparación de las ofertas y así poder controvertirlo en la oportunidad correspondiente. </w:t>
      </w:r>
    </w:p>
    <w:p w14:paraId="753B342A" w14:textId="77777777" w:rsidR="00D00F96" w:rsidRPr="001A1F73" w:rsidRDefault="00D00F96" w:rsidP="00D00F96">
      <w:pPr>
        <w:spacing w:before="120" w:after="0" w:line="276" w:lineRule="auto"/>
        <w:ind w:firstLine="709"/>
        <w:jc w:val="both"/>
        <w:rPr>
          <w:rFonts w:ascii="Geomanist Light" w:hAnsi="Geomanist Light" w:cs="Arial"/>
          <w:bCs/>
          <w:lang w:val="es-ES_tradnl"/>
        </w:rPr>
      </w:pPr>
      <w:r w:rsidRPr="001A1F73">
        <w:rPr>
          <w:rFonts w:ascii="Geomanist Light" w:hAnsi="Geomanist Light" w:cs="Arial"/>
          <w:bCs/>
          <w:lang w:val="es-ES_tradnl"/>
        </w:rPr>
        <w:t xml:space="preserve">En tal sentido, el informe de evaluación no puede limitarse a señalar el incumplimiento de determinado requisito habilitante establecido en el pliego de condiciones o simplemente anunciar el rechazo de la oferta, sino que deberá contener en forma precisa y detallada las razones por las cuales no se cumplen los parámetros establecidos en el pliego de condiciones. De lo contrario, el oferente no podrá controvertir la calificación efectuada por el comité evaluador, pues no cuenta con la información suficiente que le permita identificar las conclusiones de la postura de este comité.  </w:t>
      </w:r>
    </w:p>
    <w:p w14:paraId="7B4D2498" w14:textId="49427932" w:rsidR="00D00F96" w:rsidRPr="001A1F73" w:rsidRDefault="00D00F96" w:rsidP="00D00F96">
      <w:pPr>
        <w:spacing w:before="120" w:after="0" w:line="276" w:lineRule="auto"/>
        <w:ind w:firstLine="709"/>
        <w:jc w:val="both"/>
        <w:rPr>
          <w:rFonts w:ascii="Geomanist Light" w:hAnsi="Geomanist Light" w:cs="Arial"/>
          <w:bCs/>
          <w:lang w:val="es-ES_tradnl"/>
        </w:rPr>
      </w:pPr>
      <w:r w:rsidRPr="001A1F73">
        <w:rPr>
          <w:rFonts w:ascii="Geomanist Light" w:hAnsi="Geomanist Light" w:cs="Arial"/>
          <w:bCs/>
          <w:lang w:val="es-ES_tradnl"/>
        </w:rPr>
        <w:t xml:space="preserve">Aunado a lo anterior, es pertinente indicar que la motivación del informe de evaluación se torna fundamental en la fase de subsanación del proceso de contratación, lo que repercute directamente en el principio de selección objetiva. En efecto, conforme el parágrafo 1 del artículo 5 de la Ley 1150 de 2007, modificado por el artículo de la Ley 1882 de 2018, el oferente tendrá hasta el término de traslado del informe de evaluación que corresponda a cada modalidad de selección para subsanar los requisitos habilitantes, sin perjuicio de que la entidad pueda requerir la subsanación antes de la publicación del informe de evaluación. De este modo, en dicho informe se solicitará la subsanación de los requisitos habilitantes, por lo que la entidad tiene el deber de sustentar claramente cuáles son los requisitos que no cumple el proponente con el fin de que este los subsane, así como responder las solicitudes de aclaración que eleve el proponente sobre el particular. </w:t>
      </w:r>
    </w:p>
    <w:p w14:paraId="5864480F" w14:textId="4AE98C79" w:rsidR="006F09FD" w:rsidRPr="001A1F73" w:rsidRDefault="00D00F96" w:rsidP="00D00F96">
      <w:pPr>
        <w:spacing w:before="120" w:after="0" w:line="276" w:lineRule="auto"/>
        <w:ind w:firstLine="709"/>
        <w:jc w:val="both"/>
        <w:rPr>
          <w:rFonts w:ascii="Geomanist Light" w:hAnsi="Geomanist Light" w:cs="Arial"/>
          <w:bCs/>
          <w:lang w:val="es-ES_tradnl"/>
        </w:rPr>
      </w:pPr>
      <w:r w:rsidRPr="001A1F73">
        <w:rPr>
          <w:rFonts w:ascii="Geomanist Light" w:hAnsi="Geomanist Light" w:cs="Arial"/>
          <w:bCs/>
          <w:lang w:val="es-ES_tradnl"/>
        </w:rPr>
        <w:t xml:space="preserve">Así, con base en la subsanación que realice el proponente y las observaciones que se efectúen en esta etapa, el comité evaluador podrá modificar o corregir el informe de evaluación cuando encuentre ajustada la propuesta a las reglas del pliego de condiciones, lo que permitirá que un proponente no habilitado pueda resultar posteriormente habilitado. Al respecto, la doctrina ha señalado que «esta etapa no solo se constituye en una garantía para los proponente, sino que la entidad estatal puede aprovechar para revisar su decisión sobre el orden de elegibilidad </w:t>
      </w:r>
      <w:r w:rsidRPr="001A1F73">
        <w:rPr>
          <w:rFonts w:ascii="Geomanist Light" w:hAnsi="Geomanist Light" w:cs="Arial"/>
          <w:bCs/>
          <w:lang w:val="es-ES_tradnl"/>
        </w:rPr>
        <w:lastRenderedPageBreak/>
        <w:t xml:space="preserve">inicialmente propuesto y hacer las correcciones que sean necesarias para selección al contratista con las condiciones exigidas por la Ley, es decir, obteniendo la mejor oferta técnica y económica que sea más favorable para los intereses de la entidad». </w:t>
      </w:r>
    </w:p>
    <w:p w14:paraId="5DDF7657" w14:textId="3ECACDFF" w:rsidR="00D00F96" w:rsidRPr="001A1F73" w:rsidRDefault="00D00F96" w:rsidP="00D00F96">
      <w:pPr>
        <w:spacing w:before="120" w:after="0" w:line="276" w:lineRule="auto"/>
        <w:ind w:firstLine="709"/>
        <w:jc w:val="both"/>
        <w:rPr>
          <w:rFonts w:ascii="Geomanist Light" w:hAnsi="Geomanist Light" w:cs="Arial"/>
          <w:bCs/>
          <w:lang w:val="es-ES_tradnl"/>
        </w:rPr>
      </w:pPr>
      <w:r w:rsidRPr="001A1F73">
        <w:rPr>
          <w:rFonts w:ascii="Geomanist Light" w:hAnsi="Geomanist Light" w:cs="Arial"/>
          <w:bCs/>
          <w:lang w:val="es-ES_tradnl"/>
        </w:rPr>
        <w:t xml:space="preserve">En suma, la debida motivación del informe de evaluación además de ser una obligación legal, conforme lo dispone el numeral 7 del artículo 24 de la Ley 80 de 1993, tiene como propósito garantizar el principio de transparencia de la contratación pública y el ejercicio del derecho de contradicción de los proponente, de manera que solo mediante un informe detallado y preciso en el que se </w:t>
      </w:r>
      <w:r w:rsidRPr="001A1F73">
        <w:rPr>
          <w:rFonts w:ascii="Geomanist Light" w:hAnsi="Geomanist Light" w:cs="Arial"/>
          <w:bCs/>
        </w:rPr>
        <w:t>refiera a cada uno de los factores de evaluación y las consideraciones de rechazo u observación, se podrá garantizar el cumplimiento de este deber</w:t>
      </w:r>
      <w:r w:rsidRPr="001A1F73">
        <w:rPr>
          <w:rFonts w:ascii="Geomanist Light" w:hAnsi="Geomanist Light" w:cs="Arial"/>
          <w:bCs/>
          <w:lang w:val="es-ES_tradnl"/>
        </w:rPr>
        <w:t>. En virtud de lo anterior, el informe de evaluación deberá contener la información suficiente que permita al proponente sustentar las observaciones que considere pertinente en relación con la evaluación de la oferta.</w:t>
      </w:r>
    </w:p>
    <w:p w14:paraId="054D72DA" w14:textId="77777777" w:rsidR="00D00F96" w:rsidRPr="001A1F73" w:rsidRDefault="00D00F96" w:rsidP="003265D7">
      <w:pPr>
        <w:spacing w:after="0" w:line="276" w:lineRule="auto"/>
        <w:ind w:firstLine="709"/>
        <w:jc w:val="both"/>
        <w:rPr>
          <w:rFonts w:ascii="Geomanist Light" w:hAnsi="Geomanist Light" w:cs="Arial"/>
          <w:lang w:val="es-MX"/>
        </w:rPr>
      </w:pPr>
    </w:p>
    <w:p w14:paraId="6F54E9C9" w14:textId="5475890E" w:rsidR="00003233" w:rsidRPr="001A1F73" w:rsidRDefault="00DD5B04" w:rsidP="00EB1F23">
      <w:pPr>
        <w:widowControl w:val="0"/>
        <w:autoSpaceDE w:val="0"/>
        <w:autoSpaceDN w:val="0"/>
        <w:spacing w:line="276" w:lineRule="auto"/>
        <w:jc w:val="both"/>
        <w:rPr>
          <w:rFonts w:ascii="Geomanist Light" w:hAnsi="Geomanist Light" w:cs="Arial"/>
          <w:lang w:val="es-ES_tradnl" w:bidi="es-ES"/>
        </w:rPr>
      </w:pPr>
      <w:r w:rsidRPr="001A1F73">
        <w:rPr>
          <w:rFonts w:ascii="Geomanist Light" w:hAnsi="Geomanist Light" w:cs="Arial"/>
          <w:color w:val="000000" w:themeColor="text1"/>
          <w:lang w:val="es-ES_tradnl"/>
        </w:rPr>
        <w:t>Este concepto tiene el alcance previsto en el artículo 28 del Código de Procedimiento Administrativo y de</w:t>
      </w:r>
      <w:r w:rsidR="00D40F8B" w:rsidRPr="001A1F73">
        <w:rPr>
          <w:rFonts w:ascii="Geomanist Light" w:hAnsi="Geomanist Light" w:cs="Arial"/>
          <w:color w:val="000000" w:themeColor="text1"/>
          <w:lang w:val="es-ES_tradnl"/>
        </w:rPr>
        <w:t xml:space="preserve"> lo Contencioso Administrativo.</w:t>
      </w:r>
    </w:p>
    <w:p w14:paraId="3C17C1D1" w14:textId="77777777" w:rsidR="00EB1F23" w:rsidRPr="00EB1F23" w:rsidRDefault="00EB1F23" w:rsidP="00EB1F23">
      <w:pPr>
        <w:widowControl w:val="0"/>
        <w:autoSpaceDE w:val="0"/>
        <w:autoSpaceDN w:val="0"/>
        <w:spacing w:line="276" w:lineRule="auto"/>
        <w:jc w:val="both"/>
        <w:rPr>
          <w:rFonts w:ascii="Geomanist Light" w:hAnsi="Geomanist Light" w:cs="Arial"/>
          <w:lang w:val="es-ES_tradnl" w:bidi="es-ES"/>
        </w:rPr>
      </w:pPr>
    </w:p>
    <w:p w14:paraId="349855C9" w14:textId="4E2C915B" w:rsidR="00D40F8B" w:rsidRPr="00FB186E" w:rsidRDefault="00861F0F" w:rsidP="00DF76A2">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FB186E">
        <w:rPr>
          <w:rFonts w:ascii="Geomanist Light" w:hAnsi="Geomanist Light" w:cs="Arial"/>
          <w:color w:val="000000" w:themeColor="text1"/>
          <w:sz w:val="22"/>
          <w:szCs w:val="22"/>
          <w:lang w:val="es-ES_tradnl"/>
        </w:rPr>
        <w:t>Atentamente,</w:t>
      </w:r>
    </w:p>
    <w:p w14:paraId="10A1E411" w14:textId="2BBF2F67" w:rsidR="00D40F8B" w:rsidRPr="00FB186E" w:rsidRDefault="00284287" w:rsidP="00003233">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Pr>
          <w:noProof/>
        </w:rPr>
        <w:drawing>
          <wp:inline distT="0" distB="0" distL="0" distR="0" wp14:anchorId="608A3D29" wp14:editId="32593752">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1ED13883" w14:textId="77777777" w:rsidR="00003233" w:rsidRPr="00FB186E" w:rsidRDefault="00003233" w:rsidP="00AD4A51">
      <w:pPr>
        <w:pStyle w:val="NormalWeb"/>
        <w:spacing w:before="0" w:beforeAutospacing="0" w:after="0" w:afterAutospacing="0"/>
        <w:rPr>
          <w:rFonts w:ascii="Geomanist Light" w:hAnsi="Geomanist Light"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56828" w14:paraId="0C7DC5F7" w14:textId="77777777" w:rsidTr="00D40F8B">
        <w:trPr>
          <w:trHeight w:val="160"/>
        </w:trPr>
        <w:tc>
          <w:tcPr>
            <w:tcW w:w="812" w:type="dxa"/>
            <w:vAlign w:val="center"/>
            <w:hideMark/>
          </w:tcPr>
          <w:p w14:paraId="5BDB1AC9"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FB186E" w:rsidRDefault="00F412DF"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Tatiana Baquero Iguarán</w:t>
            </w:r>
          </w:p>
          <w:p w14:paraId="240C71FD" w14:textId="31312C95"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Contratista</w:t>
            </w:r>
            <w:r w:rsidR="00FF0050" w:rsidRPr="00FB186E">
              <w:rPr>
                <w:rFonts w:ascii="Geomanist Light" w:hAnsi="Geomanist Light" w:cs="Arial"/>
                <w:color w:val="000000" w:themeColor="text1"/>
                <w:sz w:val="16"/>
                <w:szCs w:val="16"/>
                <w:lang w:val="es-ES_tradnl" w:eastAsia="es-ES"/>
              </w:rPr>
              <w:t xml:space="preserve"> de la </w:t>
            </w:r>
            <w:r w:rsidRPr="00FB186E">
              <w:rPr>
                <w:rFonts w:ascii="Geomanist Light" w:hAnsi="Geomanist Light" w:cs="Arial"/>
                <w:color w:val="000000" w:themeColor="text1"/>
                <w:sz w:val="16"/>
                <w:szCs w:val="16"/>
                <w:lang w:val="es-ES_tradnl" w:eastAsia="es-ES"/>
              </w:rPr>
              <w:t>Subdirección de Gestión Contractual</w:t>
            </w:r>
          </w:p>
        </w:tc>
      </w:tr>
      <w:tr w:rsidR="00DD5B04" w:rsidRPr="00D56828" w14:paraId="2F8FD650" w14:textId="77777777" w:rsidTr="00D15356">
        <w:trPr>
          <w:trHeight w:val="330"/>
        </w:trPr>
        <w:tc>
          <w:tcPr>
            <w:tcW w:w="812" w:type="dxa"/>
            <w:vAlign w:val="center"/>
            <w:hideMark/>
          </w:tcPr>
          <w:p w14:paraId="50203A0B"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A62242E" w:rsidR="003A07D9" w:rsidRPr="00FB186E" w:rsidRDefault="0037195B" w:rsidP="00AD4A51">
            <w:pPr>
              <w:spacing w:after="0" w:line="240" w:lineRule="auto"/>
              <w:jc w:val="both"/>
              <w:rPr>
                <w:rFonts w:ascii="Geomanist Light" w:hAnsi="Geomanist Light" w:cs="Arial"/>
                <w:color w:val="000000" w:themeColor="text1"/>
                <w:sz w:val="16"/>
                <w:szCs w:val="16"/>
                <w:lang w:eastAsia="es-ES"/>
              </w:rPr>
            </w:pPr>
            <w:r w:rsidRPr="00FB186E">
              <w:rPr>
                <w:rFonts w:ascii="Geomanist Light" w:hAnsi="Geomanist Light" w:cs="Arial"/>
                <w:color w:val="000000" w:themeColor="text1"/>
                <w:sz w:val="16"/>
                <w:szCs w:val="16"/>
                <w:lang w:eastAsia="es-ES"/>
              </w:rPr>
              <w:t xml:space="preserve">Alejandro Sarmiento Cantillo </w:t>
            </w:r>
          </w:p>
          <w:p w14:paraId="130B3228" w14:textId="7B765391" w:rsidR="00DD5B04" w:rsidRPr="00FB186E" w:rsidRDefault="003A07D9" w:rsidP="00AD4A51">
            <w:pPr>
              <w:spacing w:after="0" w:line="240" w:lineRule="auto"/>
              <w:jc w:val="both"/>
              <w:rPr>
                <w:rFonts w:ascii="Geomanist Light" w:hAnsi="Geomanist Light" w:cs="Arial"/>
                <w:color w:val="000000" w:themeColor="text1"/>
                <w:sz w:val="16"/>
                <w:szCs w:val="16"/>
                <w:lang w:eastAsia="es-ES"/>
              </w:rPr>
            </w:pPr>
            <w:r w:rsidRPr="00FB186E">
              <w:rPr>
                <w:rFonts w:ascii="Geomanist Light" w:hAnsi="Geomanist Light" w:cs="Arial"/>
                <w:color w:val="000000" w:themeColor="text1"/>
                <w:sz w:val="16"/>
                <w:szCs w:val="16"/>
                <w:lang w:eastAsia="es-ES"/>
              </w:rPr>
              <w:t>Gestor T1-15 de la Subdirección de Gestión Contractual</w:t>
            </w:r>
          </w:p>
        </w:tc>
      </w:tr>
      <w:tr w:rsidR="00DD5B04" w:rsidRPr="00D56828" w14:paraId="0FCBCA4A" w14:textId="77777777" w:rsidTr="00D15356">
        <w:trPr>
          <w:trHeight w:val="300"/>
        </w:trPr>
        <w:tc>
          <w:tcPr>
            <w:tcW w:w="812" w:type="dxa"/>
            <w:vAlign w:val="center"/>
            <w:hideMark/>
          </w:tcPr>
          <w:p w14:paraId="3C1D943A" w14:textId="77777777" w:rsidR="00DD5B04" w:rsidRPr="00FB186E" w:rsidRDefault="00DD5B04" w:rsidP="00AD4A51">
            <w:pPr>
              <w:spacing w:after="0" w:line="240" w:lineRule="auto"/>
              <w:jc w:val="both"/>
              <w:rPr>
                <w:rFonts w:ascii="Geomanist Light" w:hAnsi="Geomanist Light" w:cs="Arial"/>
                <w:color w:val="000000" w:themeColor="text1"/>
                <w:sz w:val="16"/>
                <w:szCs w:val="16"/>
                <w:lang w:val="es-ES_tradnl" w:eastAsia="es-ES"/>
              </w:rPr>
            </w:pPr>
            <w:r w:rsidRPr="00FB186E">
              <w:rPr>
                <w:rFonts w:ascii="Geomanist Light" w:hAnsi="Geomanist Light"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6EF066F0" w:rsidR="008657C6" w:rsidRPr="000413C6" w:rsidRDefault="000413C6" w:rsidP="00AD4A51">
            <w:pPr>
              <w:spacing w:after="0" w:line="240" w:lineRule="auto"/>
              <w:rPr>
                <w:rFonts w:ascii="Geomanist Light" w:hAnsi="Geomanist Light" w:cs="Arial"/>
                <w:color w:val="000000" w:themeColor="text1"/>
                <w:sz w:val="16"/>
                <w:szCs w:val="16"/>
                <w:lang w:eastAsia="es-ES"/>
              </w:rPr>
            </w:pPr>
            <w:r w:rsidRPr="000413C6">
              <w:rPr>
                <w:rFonts w:ascii="Geomanist Light" w:hAnsi="Geomanist Light" w:cs="Arial"/>
                <w:color w:val="000000" w:themeColor="text1"/>
                <w:sz w:val="16"/>
                <w:szCs w:val="16"/>
                <w:lang w:eastAsia="es-ES"/>
              </w:rPr>
              <w:t>Nohelia del Carmen Zawady Palacio</w:t>
            </w:r>
          </w:p>
          <w:p w14:paraId="1ADC483B" w14:textId="14BE95D8" w:rsidR="00DD5B04" w:rsidRPr="000413C6" w:rsidRDefault="008657C6" w:rsidP="00AD4A51">
            <w:pPr>
              <w:spacing w:after="0" w:line="240" w:lineRule="auto"/>
              <w:jc w:val="both"/>
              <w:rPr>
                <w:rFonts w:ascii="Geomanist Light" w:hAnsi="Geomanist Light" w:cs="Arial"/>
                <w:color w:val="000000" w:themeColor="text1"/>
                <w:sz w:val="16"/>
                <w:szCs w:val="16"/>
                <w:lang w:eastAsia="es-ES"/>
              </w:rPr>
            </w:pPr>
            <w:r w:rsidRPr="000413C6">
              <w:rPr>
                <w:rFonts w:ascii="Geomanist Light" w:hAnsi="Geomanist Light" w:cs="Arial"/>
                <w:color w:val="000000" w:themeColor="text1"/>
                <w:sz w:val="16"/>
                <w:szCs w:val="16"/>
                <w:lang w:eastAsia="es-ES"/>
              </w:rPr>
              <w:t>Subdirector</w:t>
            </w:r>
            <w:r w:rsidR="00552BB0">
              <w:rPr>
                <w:rFonts w:ascii="Geomanist Light" w:hAnsi="Geomanist Light" w:cs="Arial"/>
                <w:color w:val="000000" w:themeColor="text1"/>
                <w:sz w:val="16"/>
                <w:szCs w:val="16"/>
                <w:lang w:eastAsia="es-ES"/>
              </w:rPr>
              <w:t>a</w:t>
            </w:r>
            <w:r w:rsidRPr="000413C6">
              <w:rPr>
                <w:rFonts w:ascii="Geomanist Light" w:hAnsi="Geomanist Light" w:cs="Arial"/>
                <w:color w:val="000000" w:themeColor="text1"/>
                <w:sz w:val="16"/>
                <w:szCs w:val="16"/>
                <w:lang w:eastAsia="es-ES"/>
              </w:rPr>
              <w:t xml:space="preserve"> de Gestión Contractual</w:t>
            </w:r>
            <w:r w:rsidR="00552BB0">
              <w:rPr>
                <w:rFonts w:ascii="Geomanist Light" w:hAnsi="Geomanist Light" w:cs="Arial"/>
                <w:color w:val="000000" w:themeColor="text1"/>
                <w:sz w:val="16"/>
                <w:szCs w:val="16"/>
                <w:lang w:eastAsia="es-ES"/>
              </w:rPr>
              <w:t xml:space="preserve"> ANCP-CCE</w:t>
            </w:r>
            <w:r w:rsidRPr="000413C6">
              <w:rPr>
                <w:rFonts w:ascii="Geomanist Light" w:hAnsi="Geomanist Light" w:cs="Arial"/>
                <w:color w:val="000000" w:themeColor="text1"/>
                <w:sz w:val="16"/>
                <w:szCs w:val="16"/>
                <w:lang w:eastAsia="es-ES"/>
              </w:rPr>
              <w:t xml:space="preserve"> </w:t>
            </w:r>
          </w:p>
        </w:tc>
      </w:tr>
      <w:bookmarkEnd w:id="0"/>
      <w:bookmarkEnd w:id="2"/>
      <w:bookmarkEnd w:id="3"/>
    </w:tbl>
    <w:p w14:paraId="575AF8D6" w14:textId="503E82EC" w:rsidR="003A07D9" w:rsidRPr="00FB186E" w:rsidRDefault="003A07D9" w:rsidP="003A07D9">
      <w:pPr>
        <w:tabs>
          <w:tab w:val="left" w:pos="3570"/>
        </w:tabs>
        <w:rPr>
          <w:rFonts w:ascii="Geomanist Light" w:hAnsi="Geomanist Light" w:cs="Arial"/>
          <w:lang w:val="es-ES_tradnl"/>
        </w:rPr>
      </w:pPr>
    </w:p>
    <w:sectPr w:rsidR="003A07D9" w:rsidRPr="00FB186E" w:rsidSect="003265D7">
      <w:headerReference w:type="default" r:id="rId13"/>
      <w:footerReference w:type="default" r:id="rId14"/>
      <w:pgSz w:w="12240" w:h="15840"/>
      <w:pgMar w:top="2041" w:right="1750"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CFEA" w14:textId="77777777" w:rsidR="00547DE1" w:rsidRDefault="00547DE1">
      <w:r>
        <w:separator/>
      </w:r>
    </w:p>
  </w:endnote>
  <w:endnote w:type="continuationSeparator" w:id="0">
    <w:p w14:paraId="715FD606" w14:textId="77777777" w:rsidR="00547DE1" w:rsidRDefault="00547DE1">
      <w:r>
        <w:continuationSeparator/>
      </w:r>
    </w:p>
  </w:endnote>
  <w:endnote w:type="continuationNotice" w:id="1">
    <w:p w14:paraId="6B64398F" w14:textId="77777777" w:rsidR="00547DE1" w:rsidRDefault="0054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EDCC" w14:textId="77777777" w:rsidR="00547DE1" w:rsidRDefault="00547DE1">
      <w:r>
        <w:separator/>
      </w:r>
    </w:p>
  </w:footnote>
  <w:footnote w:type="continuationSeparator" w:id="0">
    <w:p w14:paraId="73E90ED7" w14:textId="77777777" w:rsidR="00547DE1" w:rsidRDefault="00547DE1">
      <w:r>
        <w:continuationSeparator/>
      </w:r>
    </w:p>
  </w:footnote>
  <w:footnote w:type="continuationNotice" w:id="1">
    <w:p w14:paraId="3136E055" w14:textId="77777777" w:rsidR="00547DE1" w:rsidRDefault="00547DE1"/>
  </w:footnote>
  <w:footnote w:id="2">
    <w:p w14:paraId="76AF0639" w14:textId="77777777" w:rsidR="006E7824" w:rsidRPr="009D0483" w:rsidRDefault="006E7824" w:rsidP="005156E7">
      <w:pPr>
        <w:pStyle w:val="Textonotapie"/>
        <w:ind w:firstLine="708"/>
        <w:jc w:val="both"/>
        <w:rPr>
          <w:rFonts w:ascii="Geomanist Light" w:hAnsi="Geomanist Light" w:cs="Arial"/>
          <w:sz w:val="18"/>
          <w:szCs w:val="18"/>
        </w:rPr>
      </w:pPr>
      <w:r w:rsidRPr="003265D7">
        <w:rPr>
          <w:rFonts w:ascii="Geomanist Light" w:hAnsi="Geomanist Light"/>
          <w:sz w:val="18"/>
          <w:szCs w:val="18"/>
          <w:vertAlign w:val="superscript"/>
        </w:rPr>
        <w:footnoteRef/>
      </w:r>
      <w:r w:rsidRPr="009D0483">
        <w:rPr>
          <w:rFonts w:ascii="Geomanist Light" w:hAnsi="Geomanist Light" w:cs="Arial"/>
          <w:sz w:val="18"/>
          <w:szCs w:val="18"/>
        </w:rPr>
        <w:t xml:space="preserve"> La Agencia Nacional de Contratación Pública </w:t>
      </w:r>
      <w:r w:rsidRPr="003265D7">
        <w:rPr>
          <w:rFonts w:ascii="Courier New" w:hAnsi="Courier New" w:cs="Courier New"/>
          <w:sz w:val="18"/>
          <w:szCs w:val="18"/>
        </w:rPr>
        <w:t>‒</w:t>
      </w:r>
      <w:r w:rsidRPr="009D0483">
        <w:rPr>
          <w:rFonts w:ascii="Geomanist Light" w:hAnsi="Geomanist Light" w:cs="Arial"/>
          <w:sz w:val="18"/>
          <w:szCs w:val="18"/>
        </w:rPr>
        <w:t xml:space="preserve"> Colombia Compra Eficiente fue creada por el Decreto Ley 4170 de 2011. Su objetivo es servir como ente rector de la pol</w:t>
      </w:r>
      <w:r w:rsidRPr="009D0483">
        <w:rPr>
          <w:rFonts w:ascii="Geomanist Light" w:hAnsi="Geomanist Light" w:cs="Geomanist Light"/>
          <w:sz w:val="18"/>
          <w:szCs w:val="18"/>
        </w:rPr>
        <w:t>í</w:t>
      </w:r>
      <w:r w:rsidRPr="009D0483">
        <w:rPr>
          <w:rFonts w:ascii="Geomanist Light" w:hAnsi="Geomanist Light" w:cs="Arial"/>
          <w:sz w:val="18"/>
          <w:szCs w:val="18"/>
        </w:rPr>
        <w:t>tica de compras y contrataci</w:t>
      </w:r>
      <w:r w:rsidRPr="009D0483">
        <w:rPr>
          <w:rFonts w:ascii="Geomanist Light" w:hAnsi="Geomanist Light" w:cs="Geomanist Light"/>
          <w:sz w:val="18"/>
          <w:szCs w:val="18"/>
        </w:rPr>
        <w:t>ó</w:t>
      </w:r>
      <w:r w:rsidRPr="009D0483">
        <w:rPr>
          <w:rFonts w:ascii="Geomanist Light" w:hAnsi="Geomanist Light" w:cs="Arial"/>
          <w:sz w:val="18"/>
          <w:szCs w:val="18"/>
        </w:rPr>
        <w:t xml:space="preserve">n del Estado. Para tales fines, como </w:t>
      </w:r>
      <w:r w:rsidRPr="009D0483">
        <w:rPr>
          <w:rFonts w:ascii="Geomanist Light" w:hAnsi="Geomanist Light" w:cs="Geomanist Light"/>
          <w:sz w:val="18"/>
          <w:szCs w:val="18"/>
        </w:rPr>
        <w:t>ó</w:t>
      </w:r>
      <w:r w:rsidRPr="009D0483">
        <w:rPr>
          <w:rFonts w:ascii="Geomanist Light" w:hAnsi="Geomanist Light" w:cs="Arial"/>
          <w:sz w:val="18"/>
          <w:szCs w:val="18"/>
        </w:rPr>
        <w:t>rgano t</w:t>
      </w:r>
      <w:r w:rsidRPr="009D0483">
        <w:rPr>
          <w:rFonts w:ascii="Geomanist Light" w:hAnsi="Geomanist Light" w:cs="Geomanist Light"/>
          <w:sz w:val="18"/>
          <w:szCs w:val="18"/>
        </w:rPr>
        <w:t>é</w:t>
      </w:r>
      <w:r w:rsidRPr="009D0483">
        <w:rPr>
          <w:rFonts w:ascii="Geomanist Light" w:hAnsi="Geomanist Light" w:cs="Arial"/>
          <w:sz w:val="18"/>
          <w:szCs w:val="18"/>
        </w:rPr>
        <w:t>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9D0483">
        <w:rPr>
          <w:rFonts w:ascii="Geomanist Light" w:hAnsi="Geomanist Light" w:cs="Arial"/>
          <w:sz w:val="18"/>
          <w:szCs w:val="18"/>
        </w:rPr>
        <w:t>bsolver</w:t>
      </w:r>
      <w:proofErr w:type="spellEnd"/>
      <w:r w:rsidRPr="009D0483">
        <w:rPr>
          <w:rFonts w:ascii="Geomanist Light" w:hAnsi="Geomanist Light"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D0483">
        <w:rPr>
          <w:rFonts w:ascii="Geomanist Light" w:hAnsi="Geomanist Light" w:cs="Arial"/>
          <w:sz w:val="18"/>
          <w:szCs w:val="18"/>
        </w:rPr>
        <w:t>bsolver</w:t>
      </w:r>
      <w:proofErr w:type="spellEnd"/>
      <w:r w:rsidRPr="009D0483">
        <w:rPr>
          <w:rFonts w:ascii="Geomanist Light" w:hAnsi="Geomanist Light" w:cs="Arial"/>
          <w:sz w:val="18"/>
          <w:szCs w:val="18"/>
        </w:rPr>
        <w:t xml:space="preserve"> consultas sobre la aplicación de normas de carácter general».</w:t>
      </w:r>
    </w:p>
  </w:footnote>
  <w:footnote w:id="3">
    <w:p w14:paraId="16FCD8C3" w14:textId="77777777" w:rsidR="00123C9C" w:rsidRPr="003265D7" w:rsidRDefault="00123C9C" w:rsidP="00123C9C">
      <w:pPr>
        <w:pStyle w:val="Textonotapie"/>
        <w:ind w:firstLine="709"/>
        <w:jc w:val="both"/>
        <w:rPr>
          <w:rFonts w:ascii="Geomanist Light" w:hAnsi="Geomanist Light"/>
          <w:sz w:val="18"/>
          <w:szCs w:val="18"/>
          <w:lang w:val="es-CO"/>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 xml:space="preserve">Este concepto puede ser consultado en la relatoría de la Agencia en el siguiente enlace: </w:t>
      </w:r>
      <w:hyperlink r:id="rId1" w:history="1">
        <w:r w:rsidRPr="009D0483">
          <w:rPr>
            <w:rFonts w:ascii="Geomanist Light" w:hAnsi="Geomanist Light"/>
            <w:sz w:val="18"/>
            <w:szCs w:val="18"/>
          </w:rPr>
          <w:t>https://relatoria.colombiacompra.gov.co/busqueda/conceptos#</w:t>
        </w:r>
      </w:hyperlink>
      <w:r w:rsidRPr="003265D7">
        <w:rPr>
          <w:rFonts w:ascii="Geomanist Light" w:hAnsi="Geomanist Light" w:cs="Arial"/>
          <w:color w:val="000000" w:themeColor="text1"/>
          <w:sz w:val="18"/>
          <w:szCs w:val="18"/>
          <w:lang w:val="es-CO"/>
        </w:rPr>
        <w:t xml:space="preserve"> </w:t>
      </w:r>
    </w:p>
  </w:footnote>
  <w:footnote w:id="4">
    <w:p w14:paraId="4F5C74E3" w14:textId="77777777" w:rsidR="008B2ED1" w:rsidRPr="009D0483" w:rsidRDefault="008B2ED1" w:rsidP="008B2ED1">
      <w:pPr>
        <w:pStyle w:val="Textonotapie"/>
        <w:ind w:firstLine="709"/>
        <w:jc w:val="both"/>
        <w:rPr>
          <w:rFonts w:ascii="Geomanist Light" w:hAnsi="Geomanist Light" w:cs="Arial"/>
          <w:sz w:val="18"/>
          <w:szCs w:val="18"/>
        </w:rPr>
      </w:pPr>
      <w:r w:rsidRPr="003265D7">
        <w:rPr>
          <w:rStyle w:val="Refdenotaalpie"/>
          <w:rFonts w:ascii="Geomanist Light" w:hAnsi="Geomanist Light" w:cs="Arial"/>
          <w:color w:val="000000" w:themeColor="text1"/>
          <w:sz w:val="18"/>
          <w:szCs w:val="18"/>
        </w:rPr>
        <w:footnoteRef/>
      </w:r>
      <w:r w:rsidRPr="003265D7">
        <w:rPr>
          <w:rFonts w:ascii="Geomanist Light" w:hAnsi="Geomanist Light" w:cs="Arial"/>
          <w:color w:val="000000" w:themeColor="text1"/>
          <w:sz w:val="18"/>
          <w:szCs w:val="18"/>
        </w:rPr>
        <w:t xml:space="preserve"> </w:t>
      </w:r>
      <w:r w:rsidRPr="009D0483">
        <w:rPr>
          <w:rFonts w:ascii="Geomanist Light" w:hAnsi="Geomanist Light" w:cs="Arial"/>
          <w:sz w:val="18"/>
          <w:szCs w:val="18"/>
        </w:rPr>
        <w:t xml:space="preserve">Ley 80 de 1993: «Artículo 3º. De los fines de la contratación estatal. Los servidores públicos tendrán en consideración que al celebrar contratos y con la ejecución de </w:t>
      </w:r>
      <w:proofErr w:type="gramStart"/>
      <w:r w:rsidRPr="009D0483">
        <w:rPr>
          <w:rFonts w:ascii="Geomanist Light" w:hAnsi="Geomanist Light" w:cs="Arial"/>
          <w:sz w:val="18"/>
          <w:szCs w:val="18"/>
        </w:rPr>
        <w:t>los mismos</w:t>
      </w:r>
      <w:proofErr w:type="gramEnd"/>
      <w:r w:rsidRPr="009D0483">
        <w:rPr>
          <w:rFonts w:ascii="Geomanist Light" w:hAnsi="Geomanist Light" w:cs="Arial"/>
          <w:sz w:val="18"/>
          <w:szCs w:val="18"/>
        </w:rPr>
        <w:t>, las entidades buscan el cumplimiento de los fines estatales, la continua y eficiente prestación de los servicios públicos y la efectividad de los derechos e intereses de los administrados que colaboran con ellas en la consecución de dichos fines.</w:t>
      </w:r>
    </w:p>
    <w:p w14:paraId="28FCFF29" w14:textId="77777777" w:rsidR="008B2ED1" w:rsidRPr="009D0483" w:rsidRDefault="008B2ED1" w:rsidP="008B2ED1">
      <w:pPr>
        <w:pStyle w:val="Textonotapie"/>
        <w:ind w:firstLine="709"/>
        <w:jc w:val="both"/>
        <w:rPr>
          <w:rFonts w:ascii="Geomanist Light" w:hAnsi="Geomanist Light" w:cs="Arial"/>
          <w:sz w:val="18"/>
          <w:szCs w:val="18"/>
        </w:rPr>
      </w:pPr>
      <w:proofErr w:type="gramStart"/>
      <w:r w:rsidRPr="009D0483">
        <w:rPr>
          <w:rFonts w:ascii="Geomanist Light" w:hAnsi="Geomanist Light" w:cs="Arial"/>
          <w:sz w:val="18"/>
          <w:szCs w:val="18"/>
        </w:rPr>
        <w:t>»Los</w:t>
      </w:r>
      <w:proofErr w:type="gramEnd"/>
      <w:r w:rsidRPr="009D0483">
        <w:rPr>
          <w:rFonts w:ascii="Geomanist Light" w:hAnsi="Geomanist Light" w:cs="Arial"/>
          <w:sz w:val="18"/>
          <w:szCs w:val="18"/>
        </w:rPr>
        <w:t xml:space="preserve"> particulares, por su parte, tendrán en cuenta al celebrar y ejecutar contratos con las entidades estatales que, colaboran con ellas en el logro de sus fines y cumplen una función social que, como tal, implica obligaciones».</w:t>
      </w:r>
    </w:p>
    <w:p w14:paraId="0CD58171" w14:textId="77777777" w:rsidR="008B2ED1" w:rsidRPr="003265D7" w:rsidRDefault="008B2ED1" w:rsidP="008B2ED1">
      <w:pPr>
        <w:pStyle w:val="Textonotapie"/>
        <w:ind w:firstLine="709"/>
        <w:jc w:val="both"/>
        <w:rPr>
          <w:rFonts w:ascii="Geomanist Light" w:hAnsi="Geomanist Light" w:cs="Arial"/>
          <w:color w:val="000000" w:themeColor="text1"/>
          <w:sz w:val="18"/>
          <w:szCs w:val="18"/>
        </w:rPr>
      </w:pPr>
    </w:p>
  </w:footnote>
  <w:footnote w:id="5">
    <w:p w14:paraId="75D392B5" w14:textId="77777777" w:rsidR="008B2ED1" w:rsidRPr="003265D7" w:rsidRDefault="008B2ED1" w:rsidP="008B2ED1">
      <w:pPr>
        <w:pStyle w:val="Textonotapie"/>
        <w:ind w:firstLine="709"/>
        <w:jc w:val="both"/>
        <w:rPr>
          <w:rFonts w:ascii="Geomanist Light" w:hAnsi="Geomanist Light" w:cs="Arial"/>
          <w:color w:val="000000" w:themeColor="text1"/>
          <w:sz w:val="18"/>
          <w:szCs w:val="18"/>
          <w:lang w:val="es-CO"/>
        </w:rPr>
      </w:pPr>
      <w:r w:rsidRPr="003265D7">
        <w:rPr>
          <w:rStyle w:val="Refdenotaalpie"/>
          <w:rFonts w:ascii="Geomanist Light" w:hAnsi="Geomanist Light" w:cs="Arial"/>
          <w:color w:val="000000" w:themeColor="text1"/>
          <w:sz w:val="18"/>
          <w:szCs w:val="18"/>
        </w:rPr>
        <w:footnoteRef/>
      </w:r>
      <w:r w:rsidRPr="003265D7">
        <w:rPr>
          <w:rFonts w:ascii="Geomanist Light" w:hAnsi="Geomanist Light" w:cs="Arial"/>
          <w:color w:val="000000" w:themeColor="text1"/>
          <w:sz w:val="18"/>
          <w:szCs w:val="18"/>
        </w:rPr>
        <w:t xml:space="preserve"> </w:t>
      </w:r>
      <w:r w:rsidRPr="009D0483">
        <w:rPr>
          <w:rFonts w:ascii="Geomanist Light" w:hAnsi="Geomanist Light" w:cs="Arial"/>
          <w:sz w:val="18"/>
          <w:szCs w:val="18"/>
        </w:rPr>
        <w:t>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6">
    <w:p w14:paraId="5B025320" w14:textId="686F3FA1" w:rsidR="008B2ED1" w:rsidRPr="003265D7" w:rsidRDefault="008B2ED1" w:rsidP="006F770B">
      <w:pPr>
        <w:pStyle w:val="Textonotapie"/>
        <w:ind w:firstLine="709"/>
        <w:jc w:val="both"/>
        <w:rPr>
          <w:rFonts w:ascii="Geomanist Light" w:hAnsi="Geomanist Light" w:cs="Arial"/>
          <w:color w:val="000000" w:themeColor="text1"/>
          <w:sz w:val="18"/>
          <w:szCs w:val="18"/>
        </w:rPr>
      </w:pPr>
      <w:r w:rsidRPr="003265D7">
        <w:rPr>
          <w:rStyle w:val="Refdenotaalpie"/>
          <w:rFonts w:ascii="Geomanist Light" w:hAnsi="Geomanist Light" w:cs="Arial"/>
          <w:color w:val="000000" w:themeColor="text1"/>
          <w:sz w:val="18"/>
          <w:szCs w:val="18"/>
        </w:rPr>
        <w:footnoteRef/>
      </w:r>
      <w:r w:rsidRPr="003265D7">
        <w:rPr>
          <w:rFonts w:ascii="Geomanist Light" w:hAnsi="Geomanist Light" w:cs="Arial"/>
          <w:color w:val="000000" w:themeColor="text1"/>
          <w:sz w:val="18"/>
          <w:szCs w:val="18"/>
        </w:rPr>
        <w:t xml:space="preserve"> </w:t>
      </w:r>
      <w:r w:rsidRPr="009D0483">
        <w:rPr>
          <w:rFonts w:ascii="Geomanist Light" w:hAnsi="Geomanist Light" w:cs="Arial"/>
          <w:sz w:val="18"/>
          <w:szCs w:val="18"/>
        </w:rPr>
        <w:t xml:space="preserve">Consejo de Estado. Sección Tercera. Sentencia del 3 de diciembre de 2007. </w:t>
      </w:r>
      <w:proofErr w:type="spellStart"/>
      <w:r w:rsidRPr="009D0483">
        <w:rPr>
          <w:rFonts w:ascii="Geomanist Light" w:hAnsi="Geomanist Light" w:cs="Arial"/>
          <w:sz w:val="18"/>
          <w:szCs w:val="18"/>
        </w:rPr>
        <w:t>Exp</w:t>
      </w:r>
      <w:proofErr w:type="spellEnd"/>
      <w:r w:rsidRPr="009D0483">
        <w:rPr>
          <w:rFonts w:ascii="Geomanist Light" w:hAnsi="Geomanist Light" w:cs="Arial"/>
          <w:sz w:val="18"/>
          <w:szCs w:val="18"/>
        </w:rPr>
        <w:t>. 24.715. Consejera Ponente: Ruth Stella Correa Palacio.</w:t>
      </w:r>
    </w:p>
  </w:footnote>
  <w:footnote w:id="7">
    <w:p w14:paraId="05F0091C" w14:textId="572500B6" w:rsidR="00576BCB" w:rsidRDefault="00576BCB" w:rsidP="00576BCB">
      <w:pPr>
        <w:pStyle w:val="Textonotapie"/>
        <w:ind w:firstLine="709"/>
        <w:jc w:val="both"/>
        <w:rPr>
          <w:rFonts w:ascii="Geomanist Light" w:hAnsi="Geomanist Light" w:cs="Arial"/>
          <w:sz w:val="18"/>
          <w:szCs w:val="18"/>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 xml:space="preserve">Consejo de Estado. Sección Tercera. Sentencia del 20 de febrero de 2017. </w:t>
      </w:r>
      <w:proofErr w:type="spellStart"/>
      <w:r w:rsidRPr="009D0483">
        <w:rPr>
          <w:rFonts w:ascii="Geomanist Light" w:hAnsi="Geomanist Light" w:cs="Arial"/>
          <w:sz w:val="18"/>
          <w:szCs w:val="18"/>
        </w:rPr>
        <w:t>Exp</w:t>
      </w:r>
      <w:proofErr w:type="spellEnd"/>
      <w:r w:rsidRPr="009D0483">
        <w:rPr>
          <w:rFonts w:ascii="Geomanist Light" w:hAnsi="Geomanist Light" w:cs="Arial"/>
          <w:sz w:val="18"/>
          <w:szCs w:val="18"/>
        </w:rPr>
        <w:t>. 57.783. Consejero Ponente: Jaime Orlando Santofimio Gamboa.</w:t>
      </w:r>
    </w:p>
    <w:p w14:paraId="34B6CE71" w14:textId="77777777" w:rsidR="002D32D9" w:rsidRPr="003265D7" w:rsidRDefault="002D32D9" w:rsidP="00576BCB">
      <w:pPr>
        <w:pStyle w:val="Textonotapie"/>
        <w:ind w:firstLine="709"/>
        <w:jc w:val="both"/>
        <w:rPr>
          <w:rFonts w:ascii="Geomanist Light" w:hAnsi="Geomanist Light"/>
          <w:sz w:val="18"/>
          <w:szCs w:val="18"/>
          <w:lang w:val="es-CO"/>
        </w:rPr>
      </w:pPr>
    </w:p>
  </w:footnote>
  <w:footnote w:id="8">
    <w:p w14:paraId="3A998373" w14:textId="77777777" w:rsidR="008B2ED1" w:rsidRPr="003265D7" w:rsidRDefault="008B2ED1" w:rsidP="008B2ED1">
      <w:pPr>
        <w:pStyle w:val="Textonotapie"/>
        <w:ind w:firstLine="709"/>
        <w:jc w:val="both"/>
        <w:rPr>
          <w:rFonts w:ascii="Geomanist Light" w:hAnsi="Geomanist Light" w:cs="Arial"/>
          <w:color w:val="000000" w:themeColor="text1"/>
          <w:sz w:val="18"/>
          <w:szCs w:val="18"/>
          <w:lang w:val="es-ES"/>
        </w:rPr>
      </w:pPr>
      <w:r w:rsidRPr="003265D7">
        <w:rPr>
          <w:rStyle w:val="Refdenotaalpie"/>
          <w:rFonts w:ascii="Geomanist Light" w:hAnsi="Geomanist Light" w:cs="Arial"/>
          <w:color w:val="000000" w:themeColor="text1"/>
          <w:sz w:val="18"/>
          <w:szCs w:val="18"/>
        </w:rPr>
        <w:footnoteRef/>
      </w:r>
      <w:r w:rsidRPr="003265D7">
        <w:rPr>
          <w:rFonts w:ascii="Geomanist Light" w:hAnsi="Geomanist Light" w:cs="Arial"/>
          <w:color w:val="000000" w:themeColor="text1"/>
          <w:sz w:val="18"/>
          <w:szCs w:val="18"/>
        </w:rPr>
        <w:t xml:space="preserve"> </w:t>
      </w:r>
      <w:r w:rsidRPr="009D0483">
        <w:rPr>
          <w:rFonts w:ascii="Geomanist Light" w:hAnsi="Geomanist Light" w:cs="Arial"/>
          <w:sz w:val="18"/>
          <w:szCs w:val="18"/>
        </w:rPr>
        <w:t>«El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w:t>
      </w:r>
    </w:p>
    <w:p w14:paraId="2E54A13B" w14:textId="77777777" w:rsidR="008B2ED1" w:rsidRPr="003265D7" w:rsidRDefault="008B2ED1" w:rsidP="008B2ED1">
      <w:pPr>
        <w:pStyle w:val="Textonotapie"/>
        <w:ind w:firstLine="709"/>
        <w:jc w:val="both"/>
        <w:rPr>
          <w:rFonts w:ascii="Geomanist Light" w:hAnsi="Geomanist Light" w:cs="Arial"/>
          <w:color w:val="000000" w:themeColor="text1"/>
          <w:sz w:val="18"/>
          <w:szCs w:val="18"/>
          <w:lang w:val="es-ES"/>
        </w:rPr>
      </w:pPr>
    </w:p>
  </w:footnote>
  <w:footnote w:id="9">
    <w:p w14:paraId="4D200880" w14:textId="57156EBB" w:rsidR="00894317" w:rsidRPr="003265D7" w:rsidRDefault="00894317" w:rsidP="00576BCB">
      <w:pPr>
        <w:pStyle w:val="Textonotapie"/>
        <w:ind w:firstLine="709"/>
        <w:jc w:val="both"/>
        <w:rPr>
          <w:rFonts w:ascii="Geomanist Light" w:hAnsi="Geomanist Light"/>
          <w:sz w:val="18"/>
          <w:szCs w:val="18"/>
          <w:lang w:val="es-CO"/>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00B8452A" w:rsidRPr="009D0483">
        <w:rPr>
          <w:rFonts w:ascii="Geomanist Light" w:hAnsi="Geomanist Light" w:cs="Arial"/>
          <w:sz w:val="18"/>
          <w:szCs w:val="18"/>
        </w:rPr>
        <w:t xml:space="preserve">Consejo de Estado. Sección Tercera. Sentencia del </w:t>
      </w:r>
      <w:r w:rsidR="00576BCB" w:rsidRPr="009D0483">
        <w:rPr>
          <w:rFonts w:ascii="Geomanist Light" w:hAnsi="Geomanist Light" w:cs="Arial"/>
          <w:sz w:val="18"/>
          <w:szCs w:val="18"/>
        </w:rPr>
        <w:t xml:space="preserve">16 </w:t>
      </w:r>
      <w:r w:rsidR="00B8452A" w:rsidRPr="009D0483">
        <w:rPr>
          <w:rFonts w:ascii="Geomanist Light" w:hAnsi="Geomanist Light" w:cs="Arial"/>
          <w:sz w:val="18"/>
          <w:szCs w:val="18"/>
        </w:rPr>
        <w:t xml:space="preserve">de </w:t>
      </w:r>
      <w:r w:rsidR="00576BCB" w:rsidRPr="009D0483">
        <w:rPr>
          <w:rFonts w:ascii="Geomanist Light" w:hAnsi="Geomanist Light" w:cs="Arial"/>
          <w:sz w:val="18"/>
          <w:szCs w:val="18"/>
        </w:rPr>
        <w:t xml:space="preserve">marzo </w:t>
      </w:r>
      <w:r w:rsidR="00B8452A" w:rsidRPr="009D0483">
        <w:rPr>
          <w:rFonts w:ascii="Geomanist Light" w:hAnsi="Geomanist Light" w:cs="Arial"/>
          <w:sz w:val="18"/>
          <w:szCs w:val="18"/>
        </w:rPr>
        <w:t xml:space="preserve">de </w:t>
      </w:r>
      <w:r w:rsidR="00576BCB" w:rsidRPr="009D0483">
        <w:rPr>
          <w:rFonts w:ascii="Geomanist Light" w:hAnsi="Geomanist Light" w:cs="Arial"/>
          <w:sz w:val="18"/>
          <w:szCs w:val="18"/>
        </w:rPr>
        <w:t>2015</w:t>
      </w:r>
      <w:r w:rsidR="00B8452A" w:rsidRPr="009D0483">
        <w:rPr>
          <w:rFonts w:ascii="Geomanist Light" w:hAnsi="Geomanist Light" w:cs="Arial"/>
          <w:sz w:val="18"/>
          <w:szCs w:val="18"/>
        </w:rPr>
        <w:t xml:space="preserve">. </w:t>
      </w:r>
      <w:proofErr w:type="spellStart"/>
      <w:r w:rsidR="00B8452A" w:rsidRPr="009D0483">
        <w:rPr>
          <w:rFonts w:ascii="Geomanist Light" w:hAnsi="Geomanist Light" w:cs="Arial"/>
          <w:sz w:val="18"/>
          <w:szCs w:val="18"/>
        </w:rPr>
        <w:t>Exp</w:t>
      </w:r>
      <w:proofErr w:type="spellEnd"/>
      <w:r w:rsidR="00B8452A" w:rsidRPr="009D0483">
        <w:rPr>
          <w:rFonts w:ascii="Geomanist Light" w:hAnsi="Geomanist Light" w:cs="Arial"/>
          <w:sz w:val="18"/>
          <w:szCs w:val="18"/>
        </w:rPr>
        <w:t>. 2</w:t>
      </w:r>
      <w:r w:rsidR="00576BCB" w:rsidRPr="009D0483">
        <w:rPr>
          <w:rFonts w:ascii="Geomanist Light" w:hAnsi="Geomanist Light" w:cs="Arial"/>
          <w:sz w:val="18"/>
          <w:szCs w:val="18"/>
        </w:rPr>
        <w:t>8.040</w:t>
      </w:r>
      <w:r w:rsidR="00B8452A" w:rsidRPr="009D0483">
        <w:rPr>
          <w:rFonts w:ascii="Geomanist Light" w:hAnsi="Geomanist Light" w:cs="Arial"/>
          <w:sz w:val="18"/>
          <w:szCs w:val="18"/>
        </w:rPr>
        <w:t xml:space="preserve">. Consejera Ponente: </w:t>
      </w:r>
      <w:r w:rsidR="00576BCB" w:rsidRPr="009D0483">
        <w:rPr>
          <w:rFonts w:ascii="Geomanist Light" w:hAnsi="Geomanist Light" w:cs="Arial"/>
          <w:sz w:val="18"/>
          <w:szCs w:val="18"/>
        </w:rPr>
        <w:t xml:space="preserve">Olga </w:t>
      </w:r>
      <w:proofErr w:type="spellStart"/>
      <w:r w:rsidR="00576BCB" w:rsidRPr="009D0483">
        <w:rPr>
          <w:rFonts w:ascii="Geomanist Light" w:hAnsi="Geomanist Light" w:cs="Arial"/>
          <w:sz w:val="18"/>
          <w:szCs w:val="18"/>
        </w:rPr>
        <w:t>Melida</w:t>
      </w:r>
      <w:proofErr w:type="spellEnd"/>
      <w:r w:rsidR="00576BCB" w:rsidRPr="009D0483">
        <w:rPr>
          <w:rFonts w:ascii="Geomanist Light" w:hAnsi="Geomanist Light" w:cs="Arial"/>
          <w:sz w:val="18"/>
          <w:szCs w:val="18"/>
        </w:rPr>
        <w:t xml:space="preserve"> Valle de la Hoz.</w:t>
      </w:r>
    </w:p>
  </w:footnote>
  <w:footnote w:id="10">
    <w:p w14:paraId="64DB5ED1" w14:textId="69EF4A85" w:rsidR="00552BB0" w:rsidRPr="003265D7" w:rsidRDefault="000A2FA4" w:rsidP="003265D7">
      <w:pPr>
        <w:pStyle w:val="Textonotapie"/>
        <w:ind w:firstLine="709"/>
        <w:rPr>
          <w:rFonts w:ascii="Geomanist Light" w:hAnsi="Geomanist Light" w:cs="Arial"/>
          <w:color w:val="000000" w:themeColor="text1"/>
          <w:sz w:val="18"/>
          <w:szCs w:val="18"/>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 xml:space="preserve">Consejo de Estado. Sala de Consulta y Servicio Civil. Concepto del 6 de diciembre de 2007. Rad. 1871. </w:t>
      </w:r>
      <w:proofErr w:type="gramStart"/>
      <w:r w:rsidRPr="009D0483">
        <w:rPr>
          <w:rFonts w:ascii="Geomanist Light" w:hAnsi="Geomanist Light" w:cs="Arial"/>
          <w:sz w:val="18"/>
          <w:szCs w:val="18"/>
        </w:rPr>
        <w:t>Consejero</w:t>
      </w:r>
      <w:proofErr w:type="gramEnd"/>
      <w:r w:rsidRPr="009D0483">
        <w:rPr>
          <w:rFonts w:ascii="Geomanist Light" w:hAnsi="Geomanist Light" w:cs="Arial"/>
          <w:sz w:val="18"/>
          <w:szCs w:val="18"/>
        </w:rPr>
        <w:t xml:space="preserve"> Ponente: Luis Fernando Álvarez Jaramillo.</w:t>
      </w:r>
      <w:r w:rsidRPr="003265D7">
        <w:rPr>
          <w:rFonts w:ascii="Geomanist Light" w:hAnsi="Geomanist Light" w:cs="Arial"/>
          <w:color w:val="000000" w:themeColor="text1"/>
          <w:sz w:val="18"/>
          <w:szCs w:val="18"/>
        </w:rPr>
        <w:t xml:space="preserve"> </w:t>
      </w:r>
    </w:p>
  </w:footnote>
  <w:footnote w:id="11">
    <w:p w14:paraId="22EF27AC" w14:textId="28EAAF61" w:rsidR="00573770" w:rsidRPr="009D0483" w:rsidRDefault="00573770" w:rsidP="00573770">
      <w:pPr>
        <w:pStyle w:val="Textonotapie"/>
        <w:ind w:firstLine="709"/>
        <w:jc w:val="both"/>
        <w:rPr>
          <w:rFonts w:ascii="Geomanist Light" w:hAnsi="Geomanist Light" w:cs="Arial"/>
          <w:sz w:val="18"/>
          <w:szCs w:val="18"/>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 xml:space="preserve">«Artículo 5°. De la selección objetiva. </w:t>
      </w:r>
    </w:p>
    <w:p w14:paraId="4BD1AE67" w14:textId="77777777" w:rsidR="00573770" w:rsidRPr="009D0483" w:rsidRDefault="00573770" w:rsidP="00573770">
      <w:pPr>
        <w:pStyle w:val="Textonotapie"/>
        <w:ind w:firstLine="851"/>
        <w:jc w:val="both"/>
        <w:rPr>
          <w:rFonts w:ascii="Geomanist Light" w:hAnsi="Geomanist Light" w:cs="Arial"/>
          <w:sz w:val="18"/>
          <w:szCs w:val="18"/>
        </w:rPr>
      </w:pPr>
      <w:r w:rsidRPr="009D0483">
        <w:rPr>
          <w:rFonts w:ascii="Geomanist Light" w:hAnsi="Geomanist Light" w:cs="Arial"/>
          <w:sz w:val="18"/>
          <w:szCs w:val="18"/>
        </w:rPr>
        <w:t xml:space="preserve">[...] </w:t>
      </w:r>
    </w:p>
    <w:p w14:paraId="461C72BE" w14:textId="24AB3FA6" w:rsidR="00573770" w:rsidRPr="009D0483" w:rsidRDefault="00573770" w:rsidP="00573770">
      <w:pPr>
        <w:pStyle w:val="Textonotapie"/>
        <w:ind w:firstLine="709"/>
        <w:jc w:val="both"/>
        <w:rPr>
          <w:rFonts w:ascii="Geomanist Light" w:hAnsi="Geomanist Light" w:cs="Arial"/>
          <w:sz w:val="18"/>
          <w:szCs w:val="18"/>
        </w:rPr>
      </w:pPr>
      <w:r w:rsidRPr="009D0483">
        <w:rPr>
          <w:rFonts w:ascii="Geomanist Light" w:hAnsi="Geomanist Light" w:cs="Arial"/>
          <w:sz w:val="18"/>
          <w:szCs w:val="18"/>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9D0483">
        <w:rPr>
          <w:rFonts w:ascii="Geomanist Light" w:hAnsi="Geomanist Light" w:cs="Arial"/>
          <w:sz w:val="18"/>
          <w:szCs w:val="18"/>
        </w:rPr>
        <w:t>puntaje,</w:t>
      </w:r>
      <w:proofErr w:type="gramEnd"/>
      <w:r w:rsidRPr="009D0483">
        <w:rPr>
          <w:rFonts w:ascii="Geomanist Light" w:hAnsi="Geomanist Light" w:cs="Arial"/>
          <w:sz w:val="18"/>
          <w:szCs w:val="18"/>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E9BB400" w14:textId="4C6ACE3F" w:rsidR="00573770" w:rsidRPr="003265D7" w:rsidRDefault="00573770">
      <w:pPr>
        <w:pStyle w:val="Textonotapie"/>
        <w:rPr>
          <w:rFonts w:ascii="Geomanist Light" w:hAnsi="Geomanist Light"/>
          <w:sz w:val="18"/>
          <w:szCs w:val="18"/>
          <w:lang w:val="es-CO"/>
        </w:rPr>
      </w:pPr>
    </w:p>
  </w:footnote>
  <w:footnote w:id="12">
    <w:p w14:paraId="4B0C0FEF" w14:textId="497B2945" w:rsidR="00C539B3" w:rsidRDefault="00C539B3" w:rsidP="00C539B3">
      <w:pPr>
        <w:pStyle w:val="Textonotapie"/>
        <w:ind w:firstLine="709"/>
        <w:jc w:val="both"/>
        <w:rPr>
          <w:rFonts w:ascii="Geomanist Light" w:hAnsi="Geomanist Light" w:cs="Arial"/>
          <w:sz w:val="18"/>
          <w:szCs w:val="18"/>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 xml:space="preserve">Este límite no aplica para los procesos de mínima cuantía y para el proceso de selección a través del sistema de subasta, pues en este último los documentos o requisitos subsanables pueden y deben solicitarse hasta el momento previo a su realización. </w:t>
      </w:r>
    </w:p>
    <w:p w14:paraId="662DC683" w14:textId="77777777" w:rsidR="00552BB0" w:rsidRPr="003265D7" w:rsidRDefault="00552BB0" w:rsidP="00C539B3">
      <w:pPr>
        <w:pStyle w:val="Textonotapie"/>
        <w:ind w:firstLine="709"/>
        <w:jc w:val="both"/>
        <w:rPr>
          <w:rFonts w:ascii="Geomanist Light" w:hAnsi="Geomanist Light"/>
          <w:sz w:val="18"/>
          <w:szCs w:val="18"/>
          <w:lang w:val="es-CO"/>
        </w:rPr>
      </w:pPr>
    </w:p>
  </w:footnote>
  <w:footnote w:id="13">
    <w:p w14:paraId="4AEBDD26" w14:textId="47C39E5B" w:rsidR="006F770B" w:rsidRPr="003265D7" w:rsidRDefault="006F770B" w:rsidP="006F770B">
      <w:pPr>
        <w:pStyle w:val="Textonotapie"/>
        <w:ind w:firstLine="709"/>
        <w:rPr>
          <w:rFonts w:ascii="Geomanist Light" w:hAnsi="Geomanist Light"/>
          <w:sz w:val="18"/>
          <w:szCs w:val="18"/>
          <w:lang w:val="es-CO"/>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MATALLANA CAMACHO, Ernesto. Manual de contratación de la administración pública. Reforma de la Ley 80 de 1993. 4ª ed. Bogotá: Universidad Externado de Colombia 201</w:t>
      </w:r>
      <w:r w:rsidRPr="009D0483">
        <w:rPr>
          <w:rFonts w:ascii="Geomanist Light" w:hAnsi="Geomanist Light" w:cs="Arial"/>
          <w:bCs/>
          <w:sz w:val="18"/>
          <w:szCs w:val="18"/>
          <w:lang w:val="es-ES_tradnl"/>
        </w:rPr>
        <w:t>5</w:t>
      </w:r>
      <w:r w:rsidRPr="009D0483">
        <w:rPr>
          <w:rFonts w:ascii="Geomanist Light" w:hAnsi="Geomanist Light" w:cs="Arial"/>
          <w:sz w:val="18"/>
          <w:szCs w:val="18"/>
        </w:rPr>
        <w:t>. p.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rsidP="006A3704">
    <w:pPr>
      <w:spacing w:after="0" w:line="240" w:lineRule="auto"/>
    </w:pPr>
  </w:p>
  <w:p w14:paraId="603D9E86" w14:textId="61607A32" w:rsidR="0020796E" w:rsidRDefault="0020796E" w:rsidP="006A3704">
    <w:pPr>
      <w:spacing w:after="0" w:line="240" w:lineRule="auto"/>
      <w:rPr>
        <w:rFonts w:ascii="Geomanist Bold" w:hAnsi="Geomanist Bold"/>
        <w:color w:val="002060"/>
      </w:rPr>
    </w:pPr>
    <w:r>
      <w:rPr>
        <w:noProof/>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6A3704">
          <w:pPr>
            <w:tabs>
              <w:tab w:val="center" w:pos="4419"/>
              <w:tab w:val="center" w:pos="5400"/>
              <w:tab w:val="right" w:pos="8838"/>
            </w:tabs>
            <w:spacing w:after="0" w:line="240" w:lineRule="auto"/>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6A3704">
          <w:pPr>
            <w:tabs>
              <w:tab w:val="center" w:pos="4419"/>
              <w:tab w:val="center" w:pos="5400"/>
              <w:tab w:val="right" w:pos="8838"/>
            </w:tabs>
            <w:spacing w:after="0" w:line="240" w:lineRule="auto"/>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6A3704">
          <w:pPr>
            <w:spacing w:after="0" w:line="240" w:lineRule="auto"/>
            <w:jc w:val="right"/>
            <w:rPr>
              <w:rFonts w:eastAsia="Arial Nova" w:cs="Arial Nova"/>
              <w:lang w:eastAsia="es-CO"/>
            </w:rPr>
          </w:pPr>
        </w:p>
      </w:tc>
      <w:tc>
        <w:tcPr>
          <w:tcW w:w="1324" w:type="dxa"/>
          <w:tcBorders>
            <w:top w:val="nil"/>
            <w:left w:val="nil"/>
            <w:bottom w:val="nil"/>
            <w:right w:val="nil"/>
          </w:tcBorders>
        </w:tcPr>
        <w:p w14:paraId="7F0DA02B" w14:textId="77777777" w:rsidR="0020796E" w:rsidRDefault="0020796E" w:rsidP="006A3704">
          <w:pPr>
            <w:spacing w:after="0" w:line="240" w:lineRule="auto"/>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D96BB5"/>
    <w:multiLevelType w:val="hybridMultilevel"/>
    <w:tmpl w:val="A8E62E50"/>
    <w:lvl w:ilvl="0" w:tplc="B60A3924">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40"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8"/>
  </w:num>
  <w:num w:numId="4" w16cid:durableId="1315186126">
    <w:abstractNumId w:val="33"/>
  </w:num>
  <w:num w:numId="5" w16cid:durableId="1309093109">
    <w:abstractNumId w:val="39"/>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4"/>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1"/>
  </w:num>
  <w:num w:numId="18" w16cid:durableId="718556045">
    <w:abstractNumId w:val="29"/>
  </w:num>
  <w:num w:numId="19" w16cid:durableId="2109496769">
    <w:abstractNumId w:val="10"/>
  </w:num>
  <w:num w:numId="20" w16cid:durableId="1574777690">
    <w:abstractNumId w:val="42"/>
  </w:num>
  <w:num w:numId="21" w16cid:durableId="343829570">
    <w:abstractNumId w:val="31"/>
  </w:num>
  <w:num w:numId="22" w16cid:durableId="1521091477">
    <w:abstractNumId w:val="13"/>
  </w:num>
  <w:num w:numId="23" w16cid:durableId="1406491540">
    <w:abstractNumId w:val="12"/>
  </w:num>
  <w:num w:numId="24" w16cid:durableId="216599317">
    <w:abstractNumId w:val="35"/>
  </w:num>
  <w:num w:numId="25" w16cid:durableId="706416597">
    <w:abstractNumId w:val="21"/>
  </w:num>
  <w:num w:numId="26" w16cid:durableId="270862301">
    <w:abstractNumId w:val="40"/>
  </w:num>
  <w:num w:numId="27" w16cid:durableId="1795712713">
    <w:abstractNumId w:val="44"/>
  </w:num>
  <w:num w:numId="28" w16cid:durableId="969941319">
    <w:abstractNumId w:val="26"/>
  </w:num>
  <w:num w:numId="29" w16cid:durableId="1808891589">
    <w:abstractNumId w:val="2"/>
  </w:num>
  <w:num w:numId="30" w16cid:durableId="1508400274">
    <w:abstractNumId w:val="30"/>
  </w:num>
  <w:num w:numId="31" w16cid:durableId="1848517314">
    <w:abstractNumId w:val="22"/>
  </w:num>
  <w:num w:numId="32" w16cid:durableId="1225678077">
    <w:abstractNumId w:val="32"/>
  </w:num>
  <w:num w:numId="33" w16cid:durableId="283007414">
    <w:abstractNumId w:val="43"/>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7"/>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8"/>
  </w:num>
  <w:num w:numId="45" w16cid:durableId="1544950817">
    <w:abstractNumId w:val="9"/>
  </w:num>
  <w:num w:numId="46" w16cid:durableId="1353874905">
    <w:abstractNumId w:val="24"/>
  </w:num>
  <w:num w:numId="47" w16cid:durableId="1807813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41B"/>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065"/>
    <w:rsid w:val="000258A6"/>
    <w:rsid w:val="000258FA"/>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3C6"/>
    <w:rsid w:val="0004149B"/>
    <w:rsid w:val="00041717"/>
    <w:rsid w:val="00041CA0"/>
    <w:rsid w:val="000427F7"/>
    <w:rsid w:val="00042961"/>
    <w:rsid w:val="00042C25"/>
    <w:rsid w:val="00042D03"/>
    <w:rsid w:val="00042E6B"/>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3F84"/>
    <w:rsid w:val="0005419F"/>
    <w:rsid w:val="00054252"/>
    <w:rsid w:val="0005474D"/>
    <w:rsid w:val="00055CB9"/>
    <w:rsid w:val="00056F66"/>
    <w:rsid w:val="0005702F"/>
    <w:rsid w:val="00057661"/>
    <w:rsid w:val="0005779C"/>
    <w:rsid w:val="00057848"/>
    <w:rsid w:val="00057B4F"/>
    <w:rsid w:val="000614C0"/>
    <w:rsid w:val="00061D06"/>
    <w:rsid w:val="00062289"/>
    <w:rsid w:val="0006294B"/>
    <w:rsid w:val="00062CDD"/>
    <w:rsid w:val="00063FA5"/>
    <w:rsid w:val="000640AF"/>
    <w:rsid w:val="00064940"/>
    <w:rsid w:val="00064CAE"/>
    <w:rsid w:val="00064DB7"/>
    <w:rsid w:val="00064FA7"/>
    <w:rsid w:val="00065195"/>
    <w:rsid w:val="00065A18"/>
    <w:rsid w:val="000703DE"/>
    <w:rsid w:val="00070AF1"/>
    <w:rsid w:val="00070B59"/>
    <w:rsid w:val="000714DE"/>
    <w:rsid w:val="0007254F"/>
    <w:rsid w:val="000726D1"/>
    <w:rsid w:val="00073C30"/>
    <w:rsid w:val="00074305"/>
    <w:rsid w:val="00074B2A"/>
    <w:rsid w:val="00075057"/>
    <w:rsid w:val="00075108"/>
    <w:rsid w:val="00075B3E"/>
    <w:rsid w:val="00075F7D"/>
    <w:rsid w:val="00076456"/>
    <w:rsid w:val="00076604"/>
    <w:rsid w:val="00076E15"/>
    <w:rsid w:val="0007779B"/>
    <w:rsid w:val="000777E7"/>
    <w:rsid w:val="0007790A"/>
    <w:rsid w:val="0008017B"/>
    <w:rsid w:val="00080287"/>
    <w:rsid w:val="00080ACD"/>
    <w:rsid w:val="000811ED"/>
    <w:rsid w:val="00081284"/>
    <w:rsid w:val="0008191B"/>
    <w:rsid w:val="00081D62"/>
    <w:rsid w:val="00081E36"/>
    <w:rsid w:val="000820A1"/>
    <w:rsid w:val="000820CE"/>
    <w:rsid w:val="00082154"/>
    <w:rsid w:val="00082B74"/>
    <w:rsid w:val="00083099"/>
    <w:rsid w:val="00083EDC"/>
    <w:rsid w:val="00083EE6"/>
    <w:rsid w:val="000847C0"/>
    <w:rsid w:val="00084873"/>
    <w:rsid w:val="00084B97"/>
    <w:rsid w:val="0008508B"/>
    <w:rsid w:val="0008510E"/>
    <w:rsid w:val="000856DE"/>
    <w:rsid w:val="00085F17"/>
    <w:rsid w:val="00085FB3"/>
    <w:rsid w:val="0008686B"/>
    <w:rsid w:val="00086B2A"/>
    <w:rsid w:val="00086ED2"/>
    <w:rsid w:val="00090CAE"/>
    <w:rsid w:val="000914D6"/>
    <w:rsid w:val="00091569"/>
    <w:rsid w:val="00091E55"/>
    <w:rsid w:val="00091FBB"/>
    <w:rsid w:val="00092DCA"/>
    <w:rsid w:val="000935F8"/>
    <w:rsid w:val="00093C51"/>
    <w:rsid w:val="000942EB"/>
    <w:rsid w:val="00095A35"/>
    <w:rsid w:val="00095B70"/>
    <w:rsid w:val="00095C0D"/>
    <w:rsid w:val="00095EB2"/>
    <w:rsid w:val="0009617E"/>
    <w:rsid w:val="00096489"/>
    <w:rsid w:val="000979CF"/>
    <w:rsid w:val="00097A00"/>
    <w:rsid w:val="000A03C8"/>
    <w:rsid w:val="000A05F2"/>
    <w:rsid w:val="000A06C4"/>
    <w:rsid w:val="000A0861"/>
    <w:rsid w:val="000A0ED1"/>
    <w:rsid w:val="000A1139"/>
    <w:rsid w:val="000A126D"/>
    <w:rsid w:val="000A12DB"/>
    <w:rsid w:val="000A17C8"/>
    <w:rsid w:val="000A1AEE"/>
    <w:rsid w:val="000A20D7"/>
    <w:rsid w:val="000A2128"/>
    <w:rsid w:val="000A2FA4"/>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B78F1"/>
    <w:rsid w:val="000C0185"/>
    <w:rsid w:val="000C0444"/>
    <w:rsid w:val="000C0960"/>
    <w:rsid w:val="000C0F81"/>
    <w:rsid w:val="000C128D"/>
    <w:rsid w:val="000C17A3"/>
    <w:rsid w:val="000C1D4B"/>
    <w:rsid w:val="000C3260"/>
    <w:rsid w:val="000C3616"/>
    <w:rsid w:val="000C3803"/>
    <w:rsid w:val="000C3B77"/>
    <w:rsid w:val="000C4F49"/>
    <w:rsid w:val="000C5861"/>
    <w:rsid w:val="000C5F6D"/>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421"/>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5A94"/>
    <w:rsid w:val="000F636A"/>
    <w:rsid w:val="000F6578"/>
    <w:rsid w:val="000F6E6D"/>
    <w:rsid w:val="000F70CD"/>
    <w:rsid w:val="000F7239"/>
    <w:rsid w:val="000F79F9"/>
    <w:rsid w:val="000F7ABD"/>
    <w:rsid w:val="000F7E8F"/>
    <w:rsid w:val="000F7FBB"/>
    <w:rsid w:val="001000FB"/>
    <w:rsid w:val="00101134"/>
    <w:rsid w:val="00101C13"/>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2EFA"/>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C9C"/>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6B77"/>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283"/>
    <w:rsid w:val="00155D08"/>
    <w:rsid w:val="00156BE5"/>
    <w:rsid w:val="00156FDB"/>
    <w:rsid w:val="00157232"/>
    <w:rsid w:val="00160401"/>
    <w:rsid w:val="00160D4E"/>
    <w:rsid w:val="00161E62"/>
    <w:rsid w:val="00161F1C"/>
    <w:rsid w:val="0016200B"/>
    <w:rsid w:val="00162AEC"/>
    <w:rsid w:val="00163D7A"/>
    <w:rsid w:val="00164281"/>
    <w:rsid w:val="00164AF1"/>
    <w:rsid w:val="00164DEB"/>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31"/>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67"/>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1F73"/>
    <w:rsid w:val="001A28A9"/>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B7BAE"/>
    <w:rsid w:val="001C027C"/>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0C08"/>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479"/>
    <w:rsid w:val="001F56AA"/>
    <w:rsid w:val="001F58AA"/>
    <w:rsid w:val="001F5EF6"/>
    <w:rsid w:val="001F657F"/>
    <w:rsid w:val="001F6BD5"/>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6EB6"/>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3EFE"/>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0695"/>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336"/>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99A"/>
    <w:rsid w:val="00274DB5"/>
    <w:rsid w:val="00275BB1"/>
    <w:rsid w:val="00275FBF"/>
    <w:rsid w:val="00276373"/>
    <w:rsid w:val="00277933"/>
    <w:rsid w:val="00277F13"/>
    <w:rsid w:val="00277F8D"/>
    <w:rsid w:val="00277FA7"/>
    <w:rsid w:val="00280F3D"/>
    <w:rsid w:val="0028106A"/>
    <w:rsid w:val="00281EB4"/>
    <w:rsid w:val="00282903"/>
    <w:rsid w:val="00282C21"/>
    <w:rsid w:val="0028308E"/>
    <w:rsid w:val="002830FE"/>
    <w:rsid w:val="002831B9"/>
    <w:rsid w:val="002834E9"/>
    <w:rsid w:val="0028396F"/>
    <w:rsid w:val="00283A52"/>
    <w:rsid w:val="00283C5E"/>
    <w:rsid w:val="00283E26"/>
    <w:rsid w:val="00284287"/>
    <w:rsid w:val="0028428F"/>
    <w:rsid w:val="00284CFC"/>
    <w:rsid w:val="00285624"/>
    <w:rsid w:val="0028565E"/>
    <w:rsid w:val="00285832"/>
    <w:rsid w:val="00285969"/>
    <w:rsid w:val="0028663B"/>
    <w:rsid w:val="00286CEC"/>
    <w:rsid w:val="002871A9"/>
    <w:rsid w:val="00287B7E"/>
    <w:rsid w:val="00290781"/>
    <w:rsid w:val="00290929"/>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6F71"/>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7A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0E2"/>
    <w:rsid w:val="002B438C"/>
    <w:rsid w:val="002B45A0"/>
    <w:rsid w:val="002B48DB"/>
    <w:rsid w:val="002B4B34"/>
    <w:rsid w:val="002B508E"/>
    <w:rsid w:val="002B541A"/>
    <w:rsid w:val="002B6407"/>
    <w:rsid w:val="002B6416"/>
    <w:rsid w:val="002B6459"/>
    <w:rsid w:val="002B64D2"/>
    <w:rsid w:val="002B6529"/>
    <w:rsid w:val="002B6A75"/>
    <w:rsid w:val="002B73B0"/>
    <w:rsid w:val="002B7F7A"/>
    <w:rsid w:val="002C078F"/>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6F94"/>
    <w:rsid w:val="002C704D"/>
    <w:rsid w:val="002C77DD"/>
    <w:rsid w:val="002D0845"/>
    <w:rsid w:val="002D0933"/>
    <w:rsid w:val="002D0F58"/>
    <w:rsid w:val="002D1866"/>
    <w:rsid w:val="002D19BB"/>
    <w:rsid w:val="002D1A9B"/>
    <w:rsid w:val="002D1F59"/>
    <w:rsid w:val="002D22C5"/>
    <w:rsid w:val="002D301F"/>
    <w:rsid w:val="002D302A"/>
    <w:rsid w:val="002D32D9"/>
    <w:rsid w:val="002D36C6"/>
    <w:rsid w:val="002D37C1"/>
    <w:rsid w:val="002D444B"/>
    <w:rsid w:val="002D4801"/>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718"/>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5D7"/>
    <w:rsid w:val="0032682A"/>
    <w:rsid w:val="00327A5C"/>
    <w:rsid w:val="0033092C"/>
    <w:rsid w:val="0033122A"/>
    <w:rsid w:val="003315AC"/>
    <w:rsid w:val="00331932"/>
    <w:rsid w:val="00331A60"/>
    <w:rsid w:val="0033245D"/>
    <w:rsid w:val="00332F46"/>
    <w:rsid w:val="00333873"/>
    <w:rsid w:val="00333A88"/>
    <w:rsid w:val="00333FFB"/>
    <w:rsid w:val="00335B15"/>
    <w:rsid w:val="00335B21"/>
    <w:rsid w:val="00335D3F"/>
    <w:rsid w:val="00335F55"/>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40F"/>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5F2A"/>
    <w:rsid w:val="003661DD"/>
    <w:rsid w:val="003664FF"/>
    <w:rsid w:val="00366B70"/>
    <w:rsid w:val="00366BD2"/>
    <w:rsid w:val="003670B8"/>
    <w:rsid w:val="0036776E"/>
    <w:rsid w:val="003704A3"/>
    <w:rsid w:val="003706F2"/>
    <w:rsid w:val="0037124F"/>
    <w:rsid w:val="0037195B"/>
    <w:rsid w:val="00373827"/>
    <w:rsid w:val="00373971"/>
    <w:rsid w:val="00373F04"/>
    <w:rsid w:val="0037401C"/>
    <w:rsid w:val="00374A1E"/>
    <w:rsid w:val="0037507B"/>
    <w:rsid w:val="003759D1"/>
    <w:rsid w:val="00375C7C"/>
    <w:rsid w:val="003762F6"/>
    <w:rsid w:val="003767BA"/>
    <w:rsid w:val="00376A1F"/>
    <w:rsid w:val="00377027"/>
    <w:rsid w:val="00377135"/>
    <w:rsid w:val="00380272"/>
    <w:rsid w:val="00380355"/>
    <w:rsid w:val="00380576"/>
    <w:rsid w:val="003805DB"/>
    <w:rsid w:val="003813F4"/>
    <w:rsid w:val="0038152A"/>
    <w:rsid w:val="00382419"/>
    <w:rsid w:val="00382BAD"/>
    <w:rsid w:val="00383A8D"/>
    <w:rsid w:val="00383B2B"/>
    <w:rsid w:val="00384CD6"/>
    <w:rsid w:val="00384DF1"/>
    <w:rsid w:val="00384FF3"/>
    <w:rsid w:val="003852D5"/>
    <w:rsid w:val="003859DA"/>
    <w:rsid w:val="00386456"/>
    <w:rsid w:val="003865A9"/>
    <w:rsid w:val="00387642"/>
    <w:rsid w:val="00387DB5"/>
    <w:rsid w:val="00390088"/>
    <w:rsid w:val="003902B1"/>
    <w:rsid w:val="003903B6"/>
    <w:rsid w:val="00390F32"/>
    <w:rsid w:val="0039135E"/>
    <w:rsid w:val="0039200F"/>
    <w:rsid w:val="00392FFF"/>
    <w:rsid w:val="0039319C"/>
    <w:rsid w:val="003938CD"/>
    <w:rsid w:val="00393CAE"/>
    <w:rsid w:val="003945DC"/>
    <w:rsid w:val="003945F4"/>
    <w:rsid w:val="00394EB5"/>
    <w:rsid w:val="0039539A"/>
    <w:rsid w:val="003953B4"/>
    <w:rsid w:val="0039615F"/>
    <w:rsid w:val="003965C8"/>
    <w:rsid w:val="00396675"/>
    <w:rsid w:val="00396A29"/>
    <w:rsid w:val="003973F1"/>
    <w:rsid w:val="00397A9C"/>
    <w:rsid w:val="00397FF0"/>
    <w:rsid w:val="003A07D9"/>
    <w:rsid w:val="003A0878"/>
    <w:rsid w:val="003A10DE"/>
    <w:rsid w:val="003A1561"/>
    <w:rsid w:val="003A1A2D"/>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4CEB"/>
    <w:rsid w:val="003B534F"/>
    <w:rsid w:val="003B5391"/>
    <w:rsid w:val="003B5952"/>
    <w:rsid w:val="003B65D7"/>
    <w:rsid w:val="003B65E0"/>
    <w:rsid w:val="003B6BD4"/>
    <w:rsid w:val="003B6E93"/>
    <w:rsid w:val="003B6F4D"/>
    <w:rsid w:val="003B6FE7"/>
    <w:rsid w:val="003B7413"/>
    <w:rsid w:val="003B7B6B"/>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6DE8"/>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7B3"/>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50C"/>
    <w:rsid w:val="00405792"/>
    <w:rsid w:val="0040602B"/>
    <w:rsid w:val="00407A7A"/>
    <w:rsid w:val="00407ABC"/>
    <w:rsid w:val="00407BFD"/>
    <w:rsid w:val="00407F1E"/>
    <w:rsid w:val="004106C5"/>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8AB"/>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277B4"/>
    <w:rsid w:val="00430186"/>
    <w:rsid w:val="00430730"/>
    <w:rsid w:val="00430C06"/>
    <w:rsid w:val="0043269A"/>
    <w:rsid w:val="00432E14"/>
    <w:rsid w:val="004333C2"/>
    <w:rsid w:val="00433ACB"/>
    <w:rsid w:val="00434787"/>
    <w:rsid w:val="004347DA"/>
    <w:rsid w:val="00434C13"/>
    <w:rsid w:val="00435F8A"/>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945"/>
    <w:rsid w:val="00443B55"/>
    <w:rsid w:val="00443D27"/>
    <w:rsid w:val="00445AC2"/>
    <w:rsid w:val="00446037"/>
    <w:rsid w:val="0044642F"/>
    <w:rsid w:val="004468C3"/>
    <w:rsid w:val="00447021"/>
    <w:rsid w:val="0044772C"/>
    <w:rsid w:val="004502AA"/>
    <w:rsid w:val="004507BD"/>
    <w:rsid w:val="00450846"/>
    <w:rsid w:val="00450B1A"/>
    <w:rsid w:val="00450C41"/>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056"/>
    <w:rsid w:val="0047295C"/>
    <w:rsid w:val="00472AAE"/>
    <w:rsid w:val="00472D8E"/>
    <w:rsid w:val="004734CF"/>
    <w:rsid w:val="00474889"/>
    <w:rsid w:val="00475076"/>
    <w:rsid w:val="00475C5A"/>
    <w:rsid w:val="00475C9C"/>
    <w:rsid w:val="0047613D"/>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5E9"/>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4BB5"/>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BAC"/>
    <w:rsid w:val="004C5EF0"/>
    <w:rsid w:val="004C7226"/>
    <w:rsid w:val="004C74C9"/>
    <w:rsid w:val="004C7D70"/>
    <w:rsid w:val="004D02F9"/>
    <w:rsid w:val="004D03FE"/>
    <w:rsid w:val="004D0446"/>
    <w:rsid w:val="004D0449"/>
    <w:rsid w:val="004D0A4F"/>
    <w:rsid w:val="004D0E03"/>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758"/>
    <w:rsid w:val="004E6F43"/>
    <w:rsid w:val="004E7200"/>
    <w:rsid w:val="004F034D"/>
    <w:rsid w:val="004F0538"/>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4F7B81"/>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2F2"/>
    <w:rsid w:val="00512779"/>
    <w:rsid w:val="00512986"/>
    <w:rsid w:val="00512C4F"/>
    <w:rsid w:val="00513042"/>
    <w:rsid w:val="0051334F"/>
    <w:rsid w:val="00513399"/>
    <w:rsid w:val="00513AA0"/>
    <w:rsid w:val="00513AF2"/>
    <w:rsid w:val="00514575"/>
    <w:rsid w:val="00514C03"/>
    <w:rsid w:val="00514D67"/>
    <w:rsid w:val="00515515"/>
    <w:rsid w:val="005156E7"/>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47DE1"/>
    <w:rsid w:val="00547ECB"/>
    <w:rsid w:val="005502F9"/>
    <w:rsid w:val="00551098"/>
    <w:rsid w:val="00551581"/>
    <w:rsid w:val="00551598"/>
    <w:rsid w:val="00551610"/>
    <w:rsid w:val="0055162B"/>
    <w:rsid w:val="00551BFF"/>
    <w:rsid w:val="00551D68"/>
    <w:rsid w:val="00552B3E"/>
    <w:rsid w:val="00552BB0"/>
    <w:rsid w:val="00554254"/>
    <w:rsid w:val="00554F3F"/>
    <w:rsid w:val="005551AA"/>
    <w:rsid w:val="0055629A"/>
    <w:rsid w:val="005564CA"/>
    <w:rsid w:val="005568EA"/>
    <w:rsid w:val="00556E29"/>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2F9E"/>
    <w:rsid w:val="0057337D"/>
    <w:rsid w:val="00573504"/>
    <w:rsid w:val="00573770"/>
    <w:rsid w:val="00574708"/>
    <w:rsid w:val="00574D81"/>
    <w:rsid w:val="005756AA"/>
    <w:rsid w:val="00575FB1"/>
    <w:rsid w:val="00576043"/>
    <w:rsid w:val="0057614A"/>
    <w:rsid w:val="00576233"/>
    <w:rsid w:val="0057696F"/>
    <w:rsid w:val="00576BCB"/>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3AC8"/>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A7C0B"/>
    <w:rsid w:val="005B0891"/>
    <w:rsid w:val="005B09BE"/>
    <w:rsid w:val="005B12B2"/>
    <w:rsid w:val="005B143B"/>
    <w:rsid w:val="005B1504"/>
    <w:rsid w:val="005B1E45"/>
    <w:rsid w:val="005B21C4"/>
    <w:rsid w:val="005B2A28"/>
    <w:rsid w:val="005B3621"/>
    <w:rsid w:val="005B48BA"/>
    <w:rsid w:val="005B4948"/>
    <w:rsid w:val="005B4BA6"/>
    <w:rsid w:val="005B501D"/>
    <w:rsid w:val="005B54CC"/>
    <w:rsid w:val="005B6AE8"/>
    <w:rsid w:val="005B74AD"/>
    <w:rsid w:val="005B7E96"/>
    <w:rsid w:val="005C0429"/>
    <w:rsid w:val="005C084F"/>
    <w:rsid w:val="005C0EE9"/>
    <w:rsid w:val="005C1575"/>
    <w:rsid w:val="005C1716"/>
    <w:rsid w:val="005C1954"/>
    <w:rsid w:val="005C1C0B"/>
    <w:rsid w:val="005C1D53"/>
    <w:rsid w:val="005C2011"/>
    <w:rsid w:val="005C2614"/>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D8B"/>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07F15"/>
    <w:rsid w:val="0061085E"/>
    <w:rsid w:val="00610DAF"/>
    <w:rsid w:val="00611398"/>
    <w:rsid w:val="00612322"/>
    <w:rsid w:val="006123C0"/>
    <w:rsid w:val="00613191"/>
    <w:rsid w:val="006133F9"/>
    <w:rsid w:val="006134B3"/>
    <w:rsid w:val="00613DE1"/>
    <w:rsid w:val="0061401F"/>
    <w:rsid w:val="00614166"/>
    <w:rsid w:val="006146AF"/>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6F62"/>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477"/>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1C4E"/>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4B63"/>
    <w:rsid w:val="00655301"/>
    <w:rsid w:val="00655371"/>
    <w:rsid w:val="00655876"/>
    <w:rsid w:val="00656ABF"/>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555"/>
    <w:rsid w:val="00666C72"/>
    <w:rsid w:val="00666E6C"/>
    <w:rsid w:val="0066707F"/>
    <w:rsid w:val="00667781"/>
    <w:rsid w:val="00667ED8"/>
    <w:rsid w:val="0067060F"/>
    <w:rsid w:val="0067064C"/>
    <w:rsid w:val="00670B20"/>
    <w:rsid w:val="00670E12"/>
    <w:rsid w:val="0067160D"/>
    <w:rsid w:val="00672971"/>
    <w:rsid w:val="00672DE7"/>
    <w:rsid w:val="00672E80"/>
    <w:rsid w:val="006739E4"/>
    <w:rsid w:val="00673B1C"/>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413"/>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704"/>
    <w:rsid w:val="006A3A5A"/>
    <w:rsid w:val="006A44CF"/>
    <w:rsid w:val="006A457D"/>
    <w:rsid w:val="006A4749"/>
    <w:rsid w:val="006A48BB"/>
    <w:rsid w:val="006A55EE"/>
    <w:rsid w:val="006A575B"/>
    <w:rsid w:val="006A59DE"/>
    <w:rsid w:val="006A63EB"/>
    <w:rsid w:val="006A6655"/>
    <w:rsid w:val="006A6803"/>
    <w:rsid w:val="006A687C"/>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1EE7"/>
    <w:rsid w:val="006C2454"/>
    <w:rsid w:val="006C2551"/>
    <w:rsid w:val="006C3746"/>
    <w:rsid w:val="006C37CA"/>
    <w:rsid w:val="006C3889"/>
    <w:rsid w:val="006C40B7"/>
    <w:rsid w:val="006C40D2"/>
    <w:rsid w:val="006C5B15"/>
    <w:rsid w:val="006C5D32"/>
    <w:rsid w:val="006C5DCB"/>
    <w:rsid w:val="006C70C4"/>
    <w:rsid w:val="006C775C"/>
    <w:rsid w:val="006C7F5E"/>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5195"/>
    <w:rsid w:val="006E602F"/>
    <w:rsid w:val="006E6720"/>
    <w:rsid w:val="006E68FA"/>
    <w:rsid w:val="006E7275"/>
    <w:rsid w:val="006E77B8"/>
    <w:rsid w:val="006E7824"/>
    <w:rsid w:val="006F09FD"/>
    <w:rsid w:val="006F15CC"/>
    <w:rsid w:val="006F1EED"/>
    <w:rsid w:val="006F3BDD"/>
    <w:rsid w:val="006F4147"/>
    <w:rsid w:val="006F4315"/>
    <w:rsid w:val="006F4478"/>
    <w:rsid w:val="006F458D"/>
    <w:rsid w:val="006F4A6D"/>
    <w:rsid w:val="006F4CB0"/>
    <w:rsid w:val="006F4F5B"/>
    <w:rsid w:val="006F4F78"/>
    <w:rsid w:val="006F547E"/>
    <w:rsid w:val="006F5656"/>
    <w:rsid w:val="006F5CA8"/>
    <w:rsid w:val="006F5CCF"/>
    <w:rsid w:val="006F6054"/>
    <w:rsid w:val="006F6A47"/>
    <w:rsid w:val="006F770B"/>
    <w:rsid w:val="006F772B"/>
    <w:rsid w:val="006F78DC"/>
    <w:rsid w:val="006F7E39"/>
    <w:rsid w:val="00700D5F"/>
    <w:rsid w:val="0070138A"/>
    <w:rsid w:val="0070157E"/>
    <w:rsid w:val="007030D4"/>
    <w:rsid w:val="0070317C"/>
    <w:rsid w:val="00703279"/>
    <w:rsid w:val="007032BF"/>
    <w:rsid w:val="00703B61"/>
    <w:rsid w:val="00703B97"/>
    <w:rsid w:val="00703E11"/>
    <w:rsid w:val="00704102"/>
    <w:rsid w:val="0070461C"/>
    <w:rsid w:val="00705631"/>
    <w:rsid w:val="00705818"/>
    <w:rsid w:val="00705F62"/>
    <w:rsid w:val="0070773F"/>
    <w:rsid w:val="00707903"/>
    <w:rsid w:val="00707ED3"/>
    <w:rsid w:val="00710091"/>
    <w:rsid w:val="007101B7"/>
    <w:rsid w:val="00710668"/>
    <w:rsid w:val="007110F4"/>
    <w:rsid w:val="007112B1"/>
    <w:rsid w:val="0071130F"/>
    <w:rsid w:val="007119BD"/>
    <w:rsid w:val="00711EE1"/>
    <w:rsid w:val="00712714"/>
    <w:rsid w:val="007128E3"/>
    <w:rsid w:val="007129AB"/>
    <w:rsid w:val="00712ABF"/>
    <w:rsid w:val="00712B63"/>
    <w:rsid w:val="007130E7"/>
    <w:rsid w:val="00713526"/>
    <w:rsid w:val="00713D6A"/>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17D81"/>
    <w:rsid w:val="007210A9"/>
    <w:rsid w:val="00721BFF"/>
    <w:rsid w:val="00722376"/>
    <w:rsid w:val="00722FD8"/>
    <w:rsid w:val="007236C4"/>
    <w:rsid w:val="00723B59"/>
    <w:rsid w:val="00724635"/>
    <w:rsid w:val="0072554B"/>
    <w:rsid w:val="00725AFD"/>
    <w:rsid w:val="00725F81"/>
    <w:rsid w:val="00726603"/>
    <w:rsid w:val="0072737B"/>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7B"/>
    <w:rsid w:val="007616DB"/>
    <w:rsid w:val="0076200D"/>
    <w:rsid w:val="0076228A"/>
    <w:rsid w:val="00762440"/>
    <w:rsid w:val="0076260A"/>
    <w:rsid w:val="007629B7"/>
    <w:rsid w:val="00762E60"/>
    <w:rsid w:val="007634AD"/>
    <w:rsid w:val="00763527"/>
    <w:rsid w:val="0076387E"/>
    <w:rsid w:val="00764996"/>
    <w:rsid w:val="0076522C"/>
    <w:rsid w:val="00766ECC"/>
    <w:rsid w:val="007672F3"/>
    <w:rsid w:val="007676A9"/>
    <w:rsid w:val="007677B5"/>
    <w:rsid w:val="007678B1"/>
    <w:rsid w:val="00770317"/>
    <w:rsid w:val="007708A8"/>
    <w:rsid w:val="007720F7"/>
    <w:rsid w:val="00772275"/>
    <w:rsid w:val="00772DC9"/>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6D9B"/>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2E91"/>
    <w:rsid w:val="007C312A"/>
    <w:rsid w:val="007C3570"/>
    <w:rsid w:val="007C3F3B"/>
    <w:rsid w:val="007C4241"/>
    <w:rsid w:val="007C4630"/>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5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E79BA"/>
    <w:rsid w:val="007F14D3"/>
    <w:rsid w:val="007F1C15"/>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7F7E6A"/>
    <w:rsid w:val="008002BF"/>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CA"/>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251"/>
    <w:rsid w:val="00815A07"/>
    <w:rsid w:val="00815C82"/>
    <w:rsid w:val="00815DA5"/>
    <w:rsid w:val="00816221"/>
    <w:rsid w:val="0081725D"/>
    <w:rsid w:val="0081766B"/>
    <w:rsid w:val="00820406"/>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383D"/>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2FA8"/>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3C4A"/>
    <w:rsid w:val="00854853"/>
    <w:rsid w:val="008548CA"/>
    <w:rsid w:val="00856C06"/>
    <w:rsid w:val="0085790B"/>
    <w:rsid w:val="00857AAC"/>
    <w:rsid w:val="00857C95"/>
    <w:rsid w:val="00857E78"/>
    <w:rsid w:val="00860AEF"/>
    <w:rsid w:val="0086122C"/>
    <w:rsid w:val="00861310"/>
    <w:rsid w:val="00861B7B"/>
    <w:rsid w:val="00861F0F"/>
    <w:rsid w:val="00861F53"/>
    <w:rsid w:val="0086289E"/>
    <w:rsid w:val="008633D3"/>
    <w:rsid w:val="008633D8"/>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37F"/>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497E"/>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317"/>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9BE"/>
    <w:rsid w:val="008A5C9A"/>
    <w:rsid w:val="008A6A55"/>
    <w:rsid w:val="008A6C5C"/>
    <w:rsid w:val="008A6DF0"/>
    <w:rsid w:val="008A6F6E"/>
    <w:rsid w:val="008A7888"/>
    <w:rsid w:val="008A796E"/>
    <w:rsid w:val="008B03D8"/>
    <w:rsid w:val="008B0862"/>
    <w:rsid w:val="008B088C"/>
    <w:rsid w:val="008B1BF5"/>
    <w:rsid w:val="008B2268"/>
    <w:rsid w:val="008B263F"/>
    <w:rsid w:val="008B2ED1"/>
    <w:rsid w:val="008B3A08"/>
    <w:rsid w:val="008B45B9"/>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64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1EEF"/>
    <w:rsid w:val="009026AF"/>
    <w:rsid w:val="009028E8"/>
    <w:rsid w:val="00902E5C"/>
    <w:rsid w:val="0090350D"/>
    <w:rsid w:val="009039EB"/>
    <w:rsid w:val="009046E5"/>
    <w:rsid w:val="009047C5"/>
    <w:rsid w:val="009058D1"/>
    <w:rsid w:val="00905C04"/>
    <w:rsid w:val="00906BE2"/>
    <w:rsid w:val="009070AA"/>
    <w:rsid w:val="00907203"/>
    <w:rsid w:val="00910683"/>
    <w:rsid w:val="00910AB1"/>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0C81"/>
    <w:rsid w:val="00931059"/>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D7F"/>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1FA"/>
    <w:rsid w:val="009625C6"/>
    <w:rsid w:val="009629B5"/>
    <w:rsid w:val="00962A50"/>
    <w:rsid w:val="00962E25"/>
    <w:rsid w:val="00962F47"/>
    <w:rsid w:val="009631BD"/>
    <w:rsid w:val="00964138"/>
    <w:rsid w:val="00964B3F"/>
    <w:rsid w:val="00964C98"/>
    <w:rsid w:val="00964D5B"/>
    <w:rsid w:val="00964E0A"/>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087E"/>
    <w:rsid w:val="009B199E"/>
    <w:rsid w:val="009B257D"/>
    <w:rsid w:val="009B27AC"/>
    <w:rsid w:val="009B2E29"/>
    <w:rsid w:val="009B3163"/>
    <w:rsid w:val="009B422F"/>
    <w:rsid w:val="009B46BC"/>
    <w:rsid w:val="009B4D1A"/>
    <w:rsid w:val="009B527F"/>
    <w:rsid w:val="009B558B"/>
    <w:rsid w:val="009B6801"/>
    <w:rsid w:val="009B68DD"/>
    <w:rsid w:val="009B6D21"/>
    <w:rsid w:val="009B7266"/>
    <w:rsid w:val="009B78BD"/>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483"/>
    <w:rsid w:val="009D05DA"/>
    <w:rsid w:val="009D0872"/>
    <w:rsid w:val="009D11F6"/>
    <w:rsid w:val="009D13B9"/>
    <w:rsid w:val="009D1A14"/>
    <w:rsid w:val="009D1E2A"/>
    <w:rsid w:val="009D1FA0"/>
    <w:rsid w:val="009D2BDF"/>
    <w:rsid w:val="009D2E7F"/>
    <w:rsid w:val="009D3736"/>
    <w:rsid w:val="009D3964"/>
    <w:rsid w:val="009D40B8"/>
    <w:rsid w:val="009D4529"/>
    <w:rsid w:val="009D4B03"/>
    <w:rsid w:val="009D604F"/>
    <w:rsid w:val="009D61BB"/>
    <w:rsid w:val="009D6410"/>
    <w:rsid w:val="009D65FF"/>
    <w:rsid w:val="009D66B2"/>
    <w:rsid w:val="009D68BB"/>
    <w:rsid w:val="009D6E3A"/>
    <w:rsid w:val="009D6FF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6798"/>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3FD7"/>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6B00"/>
    <w:rsid w:val="00A36DDC"/>
    <w:rsid w:val="00A37407"/>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A2B"/>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1F5"/>
    <w:rsid w:val="00A84443"/>
    <w:rsid w:val="00A8487F"/>
    <w:rsid w:val="00A848FC"/>
    <w:rsid w:val="00A849A3"/>
    <w:rsid w:val="00A84A0E"/>
    <w:rsid w:val="00A84D7C"/>
    <w:rsid w:val="00A851FD"/>
    <w:rsid w:val="00A86B64"/>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1A09"/>
    <w:rsid w:val="00AC264D"/>
    <w:rsid w:val="00AC2A0B"/>
    <w:rsid w:val="00AC2BEC"/>
    <w:rsid w:val="00AC2BEE"/>
    <w:rsid w:val="00AC2E53"/>
    <w:rsid w:val="00AC2F8F"/>
    <w:rsid w:val="00AC484F"/>
    <w:rsid w:val="00AC4A42"/>
    <w:rsid w:val="00AC4B20"/>
    <w:rsid w:val="00AC4D8F"/>
    <w:rsid w:val="00AC56F2"/>
    <w:rsid w:val="00AC5B83"/>
    <w:rsid w:val="00AC6886"/>
    <w:rsid w:val="00AC717C"/>
    <w:rsid w:val="00AC71C3"/>
    <w:rsid w:val="00AD0DA5"/>
    <w:rsid w:val="00AD1499"/>
    <w:rsid w:val="00AD1EFA"/>
    <w:rsid w:val="00AD2072"/>
    <w:rsid w:val="00AD2808"/>
    <w:rsid w:val="00AD2DBD"/>
    <w:rsid w:val="00AD2FBF"/>
    <w:rsid w:val="00AD416B"/>
    <w:rsid w:val="00AD455D"/>
    <w:rsid w:val="00AD463C"/>
    <w:rsid w:val="00AD46A2"/>
    <w:rsid w:val="00AD47B7"/>
    <w:rsid w:val="00AD47E8"/>
    <w:rsid w:val="00AD4A51"/>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17"/>
    <w:rsid w:val="00AE73D7"/>
    <w:rsid w:val="00AE7686"/>
    <w:rsid w:val="00AE799A"/>
    <w:rsid w:val="00AE7F9E"/>
    <w:rsid w:val="00AF042B"/>
    <w:rsid w:val="00AF0514"/>
    <w:rsid w:val="00AF078E"/>
    <w:rsid w:val="00AF0E81"/>
    <w:rsid w:val="00AF117A"/>
    <w:rsid w:val="00AF186E"/>
    <w:rsid w:val="00AF19C6"/>
    <w:rsid w:val="00AF19DF"/>
    <w:rsid w:val="00AF1F4F"/>
    <w:rsid w:val="00AF26CF"/>
    <w:rsid w:val="00AF2762"/>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5DB1"/>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1C18"/>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2B61"/>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C44"/>
    <w:rsid w:val="00B67FBF"/>
    <w:rsid w:val="00B7024E"/>
    <w:rsid w:val="00B71FA7"/>
    <w:rsid w:val="00B72110"/>
    <w:rsid w:val="00B7240D"/>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0A"/>
    <w:rsid w:val="00B81E6F"/>
    <w:rsid w:val="00B82123"/>
    <w:rsid w:val="00B8225B"/>
    <w:rsid w:val="00B82BB5"/>
    <w:rsid w:val="00B83182"/>
    <w:rsid w:val="00B83811"/>
    <w:rsid w:val="00B83B09"/>
    <w:rsid w:val="00B8452A"/>
    <w:rsid w:val="00B84684"/>
    <w:rsid w:val="00B84866"/>
    <w:rsid w:val="00B848DF"/>
    <w:rsid w:val="00B84F1B"/>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0BD"/>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2F3D"/>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B7D1F"/>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04"/>
    <w:rsid w:val="00C00713"/>
    <w:rsid w:val="00C009A0"/>
    <w:rsid w:val="00C00DF8"/>
    <w:rsid w:val="00C01F74"/>
    <w:rsid w:val="00C02558"/>
    <w:rsid w:val="00C0285F"/>
    <w:rsid w:val="00C02F35"/>
    <w:rsid w:val="00C03305"/>
    <w:rsid w:val="00C03515"/>
    <w:rsid w:val="00C03738"/>
    <w:rsid w:val="00C037A6"/>
    <w:rsid w:val="00C040D6"/>
    <w:rsid w:val="00C043F5"/>
    <w:rsid w:val="00C044E3"/>
    <w:rsid w:val="00C047A8"/>
    <w:rsid w:val="00C04BDB"/>
    <w:rsid w:val="00C052C6"/>
    <w:rsid w:val="00C059D4"/>
    <w:rsid w:val="00C05A61"/>
    <w:rsid w:val="00C06955"/>
    <w:rsid w:val="00C06CCF"/>
    <w:rsid w:val="00C108B8"/>
    <w:rsid w:val="00C10C0B"/>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0CB"/>
    <w:rsid w:val="00C1641B"/>
    <w:rsid w:val="00C165FC"/>
    <w:rsid w:val="00C1680E"/>
    <w:rsid w:val="00C16E9D"/>
    <w:rsid w:val="00C176D5"/>
    <w:rsid w:val="00C2082C"/>
    <w:rsid w:val="00C20832"/>
    <w:rsid w:val="00C209F7"/>
    <w:rsid w:val="00C20EB0"/>
    <w:rsid w:val="00C21005"/>
    <w:rsid w:val="00C2183B"/>
    <w:rsid w:val="00C21B56"/>
    <w:rsid w:val="00C220B6"/>
    <w:rsid w:val="00C22492"/>
    <w:rsid w:val="00C22811"/>
    <w:rsid w:val="00C229E0"/>
    <w:rsid w:val="00C22D7C"/>
    <w:rsid w:val="00C22DDE"/>
    <w:rsid w:val="00C22EA9"/>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CA3"/>
    <w:rsid w:val="00C47EA5"/>
    <w:rsid w:val="00C500F0"/>
    <w:rsid w:val="00C502BB"/>
    <w:rsid w:val="00C504A7"/>
    <w:rsid w:val="00C506C9"/>
    <w:rsid w:val="00C50A16"/>
    <w:rsid w:val="00C5122B"/>
    <w:rsid w:val="00C51C9A"/>
    <w:rsid w:val="00C51E32"/>
    <w:rsid w:val="00C52428"/>
    <w:rsid w:val="00C52C68"/>
    <w:rsid w:val="00C52D98"/>
    <w:rsid w:val="00C5325C"/>
    <w:rsid w:val="00C539B3"/>
    <w:rsid w:val="00C53D24"/>
    <w:rsid w:val="00C54640"/>
    <w:rsid w:val="00C547A6"/>
    <w:rsid w:val="00C54A3A"/>
    <w:rsid w:val="00C5503F"/>
    <w:rsid w:val="00C55C32"/>
    <w:rsid w:val="00C56A67"/>
    <w:rsid w:val="00C56CC2"/>
    <w:rsid w:val="00C56EB3"/>
    <w:rsid w:val="00C5717C"/>
    <w:rsid w:val="00C57498"/>
    <w:rsid w:val="00C5763C"/>
    <w:rsid w:val="00C577CA"/>
    <w:rsid w:val="00C5780C"/>
    <w:rsid w:val="00C5796B"/>
    <w:rsid w:val="00C579A6"/>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6EA4"/>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76E2D"/>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10"/>
    <w:rsid w:val="00C93D8C"/>
    <w:rsid w:val="00C946CC"/>
    <w:rsid w:val="00C94763"/>
    <w:rsid w:val="00C959BD"/>
    <w:rsid w:val="00C95E49"/>
    <w:rsid w:val="00C95F44"/>
    <w:rsid w:val="00C96D1B"/>
    <w:rsid w:val="00C97106"/>
    <w:rsid w:val="00C97684"/>
    <w:rsid w:val="00CA0031"/>
    <w:rsid w:val="00CA0413"/>
    <w:rsid w:val="00CA043A"/>
    <w:rsid w:val="00CA04F8"/>
    <w:rsid w:val="00CA050A"/>
    <w:rsid w:val="00CA0D61"/>
    <w:rsid w:val="00CA0DBA"/>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3EC"/>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665F"/>
    <w:rsid w:val="00CF73F8"/>
    <w:rsid w:val="00CF7928"/>
    <w:rsid w:val="00CF7CA2"/>
    <w:rsid w:val="00D00A8E"/>
    <w:rsid w:val="00D00DE0"/>
    <w:rsid w:val="00D00F79"/>
    <w:rsid w:val="00D00F96"/>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0D14"/>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7C"/>
    <w:rsid w:val="00D401BE"/>
    <w:rsid w:val="00D4043A"/>
    <w:rsid w:val="00D40A8E"/>
    <w:rsid w:val="00D40AB0"/>
    <w:rsid w:val="00D40DB0"/>
    <w:rsid w:val="00D40F8B"/>
    <w:rsid w:val="00D41858"/>
    <w:rsid w:val="00D422DB"/>
    <w:rsid w:val="00D42A83"/>
    <w:rsid w:val="00D42AC2"/>
    <w:rsid w:val="00D43988"/>
    <w:rsid w:val="00D4498E"/>
    <w:rsid w:val="00D449EC"/>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5B"/>
    <w:rsid w:val="00D55279"/>
    <w:rsid w:val="00D55904"/>
    <w:rsid w:val="00D55C94"/>
    <w:rsid w:val="00D5616F"/>
    <w:rsid w:val="00D5663B"/>
    <w:rsid w:val="00D56828"/>
    <w:rsid w:val="00D568BA"/>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60DF"/>
    <w:rsid w:val="00D67BC7"/>
    <w:rsid w:val="00D701F1"/>
    <w:rsid w:val="00D705D3"/>
    <w:rsid w:val="00D7088A"/>
    <w:rsid w:val="00D70E00"/>
    <w:rsid w:val="00D71014"/>
    <w:rsid w:val="00D715AC"/>
    <w:rsid w:val="00D71851"/>
    <w:rsid w:val="00D718CF"/>
    <w:rsid w:val="00D722D2"/>
    <w:rsid w:val="00D728F5"/>
    <w:rsid w:val="00D72E9D"/>
    <w:rsid w:val="00D73249"/>
    <w:rsid w:val="00D73419"/>
    <w:rsid w:val="00D73CA9"/>
    <w:rsid w:val="00D73F3A"/>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0E21"/>
    <w:rsid w:val="00D8166D"/>
    <w:rsid w:val="00D81718"/>
    <w:rsid w:val="00D8184D"/>
    <w:rsid w:val="00D81A7B"/>
    <w:rsid w:val="00D81B74"/>
    <w:rsid w:val="00D8223C"/>
    <w:rsid w:val="00D82B57"/>
    <w:rsid w:val="00D82CE5"/>
    <w:rsid w:val="00D8342C"/>
    <w:rsid w:val="00D85494"/>
    <w:rsid w:val="00D8582C"/>
    <w:rsid w:val="00D85D61"/>
    <w:rsid w:val="00D8616D"/>
    <w:rsid w:val="00D8711B"/>
    <w:rsid w:val="00D87384"/>
    <w:rsid w:val="00D90683"/>
    <w:rsid w:val="00D90E97"/>
    <w:rsid w:val="00D915C8"/>
    <w:rsid w:val="00D92251"/>
    <w:rsid w:val="00D9261C"/>
    <w:rsid w:val="00D92856"/>
    <w:rsid w:val="00D9310B"/>
    <w:rsid w:val="00D93299"/>
    <w:rsid w:val="00D93726"/>
    <w:rsid w:val="00D93DD3"/>
    <w:rsid w:val="00D93F3E"/>
    <w:rsid w:val="00D9405B"/>
    <w:rsid w:val="00D94942"/>
    <w:rsid w:val="00D95145"/>
    <w:rsid w:val="00D96418"/>
    <w:rsid w:val="00D964B5"/>
    <w:rsid w:val="00D967CB"/>
    <w:rsid w:val="00D96EE0"/>
    <w:rsid w:val="00D97BD1"/>
    <w:rsid w:val="00DA06B8"/>
    <w:rsid w:val="00DA286D"/>
    <w:rsid w:val="00DA2969"/>
    <w:rsid w:val="00DA29B7"/>
    <w:rsid w:val="00DA371B"/>
    <w:rsid w:val="00DA3BC0"/>
    <w:rsid w:val="00DA44E7"/>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0A15"/>
    <w:rsid w:val="00DB12D4"/>
    <w:rsid w:val="00DB13DD"/>
    <w:rsid w:val="00DB14F0"/>
    <w:rsid w:val="00DB1745"/>
    <w:rsid w:val="00DB1AFF"/>
    <w:rsid w:val="00DB219A"/>
    <w:rsid w:val="00DB3165"/>
    <w:rsid w:val="00DB350B"/>
    <w:rsid w:val="00DB40A0"/>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2848"/>
    <w:rsid w:val="00DC30B8"/>
    <w:rsid w:val="00DC31A5"/>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2C5"/>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C90"/>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48"/>
    <w:rsid w:val="00E031EB"/>
    <w:rsid w:val="00E03951"/>
    <w:rsid w:val="00E03DB8"/>
    <w:rsid w:val="00E0466B"/>
    <w:rsid w:val="00E0573A"/>
    <w:rsid w:val="00E057BA"/>
    <w:rsid w:val="00E057C0"/>
    <w:rsid w:val="00E05E70"/>
    <w:rsid w:val="00E0631A"/>
    <w:rsid w:val="00E064BC"/>
    <w:rsid w:val="00E06B9B"/>
    <w:rsid w:val="00E07225"/>
    <w:rsid w:val="00E079FF"/>
    <w:rsid w:val="00E07AAA"/>
    <w:rsid w:val="00E07B7A"/>
    <w:rsid w:val="00E1002B"/>
    <w:rsid w:val="00E1079C"/>
    <w:rsid w:val="00E109DD"/>
    <w:rsid w:val="00E11229"/>
    <w:rsid w:val="00E114CA"/>
    <w:rsid w:val="00E11CF0"/>
    <w:rsid w:val="00E125D6"/>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229"/>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D0"/>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022"/>
    <w:rsid w:val="00E623E6"/>
    <w:rsid w:val="00E624EC"/>
    <w:rsid w:val="00E630C0"/>
    <w:rsid w:val="00E63107"/>
    <w:rsid w:val="00E634E6"/>
    <w:rsid w:val="00E63DCE"/>
    <w:rsid w:val="00E64700"/>
    <w:rsid w:val="00E64E0B"/>
    <w:rsid w:val="00E65074"/>
    <w:rsid w:val="00E655E2"/>
    <w:rsid w:val="00E65E70"/>
    <w:rsid w:val="00E65EE9"/>
    <w:rsid w:val="00E66087"/>
    <w:rsid w:val="00E6679F"/>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562"/>
    <w:rsid w:val="00E83671"/>
    <w:rsid w:val="00E8414B"/>
    <w:rsid w:val="00E84793"/>
    <w:rsid w:val="00E84A71"/>
    <w:rsid w:val="00E8544B"/>
    <w:rsid w:val="00E8554E"/>
    <w:rsid w:val="00E86556"/>
    <w:rsid w:val="00E86798"/>
    <w:rsid w:val="00E86D35"/>
    <w:rsid w:val="00E86DC2"/>
    <w:rsid w:val="00E86E32"/>
    <w:rsid w:val="00E8732E"/>
    <w:rsid w:val="00E87514"/>
    <w:rsid w:val="00E9011F"/>
    <w:rsid w:val="00E906EB"/>
    <w:rsid w:val="00E913F9"/>
    <w:rsid w:val="00E9241E"/>
    <w:rsid w:val="00E92460"/>
    <w:rsid w:val="00E92E62"/>
    <w:rsid w:val="00E92E8B"/>
    <w:rsid w:val="00E93804"/>
    <w:rsid w:val="00E93A86"/>
    <w:rsid w:val="00E941AA"/>
    <w:rsid w:val="00E94420"/>
    <w:rsid w:val="00E950D0"/>
    <w:rsid w:val="00E95434"/>
    <w:rsid w:val="00E96467"/>
    <w:rsid w:val="00E966DA"/>
    <w:rsid w:val="00E96948"/>
    <w:rsid w:val="00E9737B"/>
    <w:rsid w:val="00E97A3F"/>
    <w:rsid w:val="00E97F0A"/>
    <w:rsid w:val="00EA0100"/>
    <w:rsid w:val="00EA010D"/>
    <w:rsid w:val="00EA04DC"/>
    <w:rsid w:val="00EA0886"/>
    <w:rsid w:val="00EA0BCE"/>
    <w:rsid w:val="00EA1778"/>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1F23"/>
    <w:rsid w:val="00EB209B"/>
    <w:rsid w:val="00EB26F2"/>
    <w:rsid w:val="00EB2964"/>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4B9"/>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6DE"/>
    <w:rsid w:val="00EF57BC"/>
    <w:rsid w:val="00EF5FD2"/>
    <w:rsid w:val="00EF61F5"/>
    <w:rsid w:val="00EF6784"/>
    <w:rsid w:val="00EF688A"/>
    <w:rsid w:val="00EF6A03"/>
    <w:rsid w:val="00EF6DC2"/>
    <w:rsid w:val="00EF7BF4"/>
    <w:rsid w:val="00F0030F"/>
    <w:rsid w:val="00F00674"/>
    <w:rsid w:val="00F01657"/>
    <w:rsid w:val="00F01DE3"/>
    <w:rsid w:val="00F01E67"/>
    <w:rsid w:val="00F021B7"/>
    <w:rsid w:val="00F02744"/>
    <w:rsid w:val="00F02BFD"/>
    <w:rsid w:val="00F02D25"/>
    <w:rsid w:val="00F0306D"/>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4BA"/>
    <w:rsid w:val="00F14618"/>
    <w:rsid w:val="00F148B7"/>
    <w:rsid w:val="00F14BE9"/>
    <w:rsid w:val="00F14EA9"/>
    <w:rsid w:val="00F15505"/>
    <w:rsid w:val="00F1584C"/>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3FF"/>
    <w:rsid w:val="00F3570C"/>
    <w:rsid w:val="00F363D0"/>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222"/>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3FC"/>
    <w:rsid w:val="00F84899"/>
    <w:rsid w:val="00F848AB"/>
    <w:rsid w:val="00F84A0A"/>
    <w:rsid w:val="00F84D13"/>
    <w:rsid w:val="00F853A5"/>
    <w:rsid w:val="00F85585"/>
    <w:rsid w:val="00F856EE"/>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86E"/>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2712"/>
    <w:rsid w:val="00FE35D0"/>
    <w:rsid w:val="00FE3EBB"/>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5BB27B22-00CF-401C-9C51-F42F2C70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FA"/>
    <w:pPr>
      <w:spacing w:after="160" w:line="256" w:lineRule="auto"/>
    </w:pPr>
    <w:rPr>
      <w:rFonts w:ascii="Calibri" w:eastAsia="Calibri" w:hAnsi="Calibri" w:cs="Times New Roman"/>
    </w:rPr>
  </w:style>
  <w:style w:type="paragraph" w:styleId="Ttulo1">
    <w:name w:val="heading 1"/>
    <w:basedOn w:val="Normal"/>
    <w:link w:val="Ttulo1Car"/>
    <w:uiPriority w:val="1"/>
    <w:qFormat/>
    <w:rsid w:val="006D712D"/>
    <w:pPr>
      <w:widowControl w:val="0"/>
      <w:autoSpaceDE w:val="0"/>
      <w:autoSpaceDN w:val="0"/>
      <w:spacing w:after="0" w:line="240" w:lineRule="auto"/>
      <w:ind w:left="660" w:hanging="366"/>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965FF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0" w:line="240" w:lineRule="auto"/>
    </w:pPr>
    <w:rPr>
      <w:rFonts w:asciiTheme="minorHAnsi" w:eastAsiaTheme="minorHAnsi" w:hAnsiTheme="minorHAnsi" w:cstheme="minorBidi"/>
      <w:sz w:val="24"/>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0" w:line="240" w:lineRule="auto"/>
    </w:pPr>
    <w:rPr>
      <w:rFonts w:asciiTheme="minorHAnsi" w:eastAsiaTheme="minorHAnsi" w:hAnsiTheme="minorHAnsi" w:cstheme="minorBidi"/>
      <w:sz w:val="24"/>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spacing w:after="0" w:line="240" w:lineRule="auto"/>
      <w:ind w:left="720"/>
      <w:contextualSpacing/>
    </w:pPr>
    <w:rPr>
      <w:rFonts w:asciiTheme="minorHAnsi" w:eastAsiaTheme="minorHAnsi" w:hAnsiTheme="minorHAnsi" w:cstheme="minorBidi"/>
      <w:sz w:val="24"/>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after="0" w:line="240" w:lineRule="auto"/>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line="240" w:lineRule="exact"/>
    </w:pPr>
    <w:rPr>
      <w:rFonts w:asciiTheme="minorHAnsi" w:eastAsiaTheme="minorHAnsi" w:hAnsiTheme="minorHAnsi" w:cstheme="minorBidi"/>
      <w:vertAlign w:val="superscript"/>
    </w:rPr>
  </w:style>
  <w:style w:type="paragraph" w:styleId="Sangradetextonormal">
    <w:name w:val="Body Text Indent"/>
    <w:basedOn w:val="Normal"/>
    <w:link w:val="SangradetextonormalCar"/>
    <w:uiPriority w:val="99"/>
    <w:semiHidden/>
    <w:unhideWhenUsed/>
    <w:rsid w:val="006B7E4E"/>
    <w:pPr>
      <w:spacing w:after="120" w:line="240" w:lineRule="auto"/>
      <w:ind w:left="283"/>
    </w:pPr>
    <w:rPr>
      <w:rFonts w:asciiTheme="minorHAnsi" w:eastAsiaTheme="minorHAnsi" w:hAnsiTheme="minorHAnsi" w:cstheme="minorBidi"/>
      <w:sz w:val="24"/>
      <w:lang w:val="es-MX"/>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line="240" w:lineRule="auto"/>
      <w:jc w:val="both"/>
    </w:pPr>
    <w:rPr>
      <w:rFonts w:ascii="Arial Narrow" w:eastAsia="Times New Roman" w:hAnsi="Arial Narrow"/>
      <w:color w:val="3C3C3C" w:themeColor="background2" w:themeShade="40"/>
      <w:sz w:val="24"/>
      <w:szCs w:val="24"/>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hAnsi="Arial" w:cs="Arial"/>
      <w:b/>
      <w:bCs/>
      <w:color w:val="1C1C1C"/>
      <w:sz w:val="20"/>
      <w:szCs w:val="20"/>
    </w:rPr>
  </w:style>
  <w:style w:type="paragraph" w:customStyle="1" w:styleId="Normal11pt">
    <w:name w:val="Normal + 11 pt"/>
    <w:aliases w:val="Negro,Justificado,Izquierda:  -0,95 cm,Derecha:  0,04 cm"/>
    <w:basedOn w:val="Normal"/>
    <w:uiPriority w:val="99"/>
    <w:rsid w:val="008A2527"/>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37151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185019911">
          <w:marLeft w:val="0"/>
          <w:marRight w:val="0"/>
          <w:marTop w:val="0"/>
          <w:marBottom w:val="0"/>
          <w:divBdr>
            <w:top w:val="none" w:sz="0" w:space="0" w:color="auto"/>
            <w:left w:val="none" w:sz="0" w:space="0" w:color="auto"/>
            <w:bottom w:val="none" w:sz="0" w:space="0" w:color="auto"/>
            <w:right w:val="none" w:sz="0" w:space="0" w:color="auto"/>
          </w:divBdr>
        </w:div>
        <w:div w:id="250747312">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549578">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2909867">
          <w:marLeft w:val="0"/>
          <w:marRight w:val="0"/>
          <w:marTop w:val="0"/>
          <w:marBottom w:val="0"/>
          <w:divBdr>
            <w:top w:val="none" w:sz="0" w:space="0" w:color="auto"/>
            <w:left w:val="none" w:sz="0" w:space="0" w:color="auto"/>
            <w:bottom w:val="none" w:sz="0" w:space="0" w:color="auto"/>
            <w:right w:val="none" w:sz="0" w:space="0" w:color="auto"/>
          </w:divBdr>
        </w:div>
        <w:div w:id="137571566">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151160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70203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6510106">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3150">
      <w:bodyDiv w:val="1"/>
      <w:marLeft w:val="0"/>
      <w:marRight w:val="0"/>
      <w:marTop w:val="0"/>
      <w:marBottom w:val="0"/>
      <w:divBdr>
        <w:top w:val="none" w:sz="0" w:space="0" w:color="auto"/>
        <w:left w:val="none" w:sz="0" w:space="0" w:color="auto"/>
        <w:bottom w:val="none" w:sz="0" w:space="0" w:color="auto"/>
        <w:right w:val="none" w:sz="0" w:space="0" w:color="auto"/>
      </w:divBdr>
    </w:div>
    <w:div w:id="142980895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1654730">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F254DA6-FBDF-4846-A3F9-1448D6C50A3F}"/>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14</Pages>
  <Words>4911</Words>
  <Characters>27015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Tatiana Baquero Iguaran</cp:lastModifiedBy>
  <cp:revision>4</cp:revision>
  <cp:lastPrinted>2020-01-30T15:05:00Z</cp:lastPrinted>
  <dcterms:created xsi:type="dcterms:W3CDTF">2022-11-09T19:41:00Z</dcterms:created>
  <dcterms:modified xsi:type="dcterms:W3CDTF">2022-11-09T19:55:00Z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