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50F9" w14:textId="77777777" w:rsidR="000A5F87" w:rsidRPr="00DA5FA7" w:rsidRDefault="000A5F87" w:rsidP="000A5F87">
      <w:pPr>
        <w:spacing w:before="240" w:after="240" w:line="276" w:lineRule="auto"/>
        <w:jc w:val="both"/>
        <w:rPr>
          <w:rFonts w:ascii="Arial" w:hAnsi="Arial" w:cs="Arial"/>
          <w:b/>
          <w:bCs/>
          <w:color w:val="000000" w:themeColor="text1"/>
          <w:lang w:val="es-ES_tradnl"/>
        </w:rPr>
      </w:pPr>
      <w:r w:rsidRPr="00DA5FA7">
        <w:rPr>
          <w:rFonts w:ascii="Arial" w:hAnsi="Arial" w:cs="Arial"/>
          <w:b/>
          <w:bCs/>
        </w:rPr>
        <w:t xml:space="preserve">DOCUMENTOS TIPO DE INTERVENTORÍA − </w:t>
      </w:r>
      <w:r w:rsidRPr="00DA5FA7">
        <w:rPr>
          <w:rFonts w:ascii="Arial" w:hAnsi="Arial" w:cs="Arial"/>
          <w:b/>
          <w:bCs/>
          <w:color w:val="000000" w:themeColor="text1"/>
          <w:lang w:val="es-ES_tradnl"/>
        </w:rPr>
        <w:t>Experiencia mínima habilitante</w:t>
      </w:r>
    </w:p>
    <w:p w14:paraId="114D648F" w14:textId="46851546" w:rsidR="000A5F87" w:rsidRPr="00DA5FA7" w:rsidRDefault="00DA5FA7" w:rsidP="000A5F87">
      <w:pPr>
        <w:widowControl w:val="0"/>
        <w:autoSpaceDE w:val="0"/>
        <w:autoSpaceDN w:val="0"/>
        <w:spacing w:before="240" w:after="240"/>
        <w:jc w:val="both"/>
        <w:rPr>
          <w:rFonts w:ascii="Arial" w:eastAsia="Arial" w:hAnsi="Arial" w:cs="Arial"/>
          <w:lang w:eastAsia="es-ES"/>
        </w:rPr>
      </w:pPr>
      <w:r w:rsidRPr="00380823">
        <w:rPr>
          <w:rFonts w:ascii="Arial" w:eastAsia="Arial" w:hAnsi="Arial" w:cs="Arial"/>
          <w:lang w:val="es-MX" w:eastAsia="es-ES"/>
        </w:rPr>
        <w:t>En el</w:t>
      </w:r>
      <w:r w:rsidRPr="00380823">
        <w:rPr>
          <w:rFonts w:ascii="Arial" w:eastAsia="Calibri" w:hAnsi="Arial" w:cs="Arial"/>
          <w:color w:val="000000" w:themeColor="text1"/>
          <w:lang w:val="es-ES_tradnl"/>
        </w:rPr>
        <w:t xml:space="preserve"> documento tipo de interventoría se estableció un requisito mínimo de experiencia habilitante, consistente en que el proponente debe acreditar que la sumatoria de los contratos aportados como experiencia es mayor o igual al cien por ciento (100%) respecto del valor total del presupuesto oficial expresado en SMMLV</w:t>
      </w:r>
      <w:r w:rsidRPr="00DA5FA7">
        <w:rPr>
          <w:rFonts w:ascii="Arial" w:eastAsia="Arial" w:hAnsi="Arial" w:cs="Arial"/>
          <w:lang w:eastAsia="es-ES"/>
        </w:rPr>
        <w:t xml:space="preserve"> </w:t>
      </w:r>
      <w:r w:rsidR="000A5F87" w:rsidRPr="00DA5FA7">
        <w:rPr>
          <w:rFonts w:ascii="Arial" w:eastAsia="Arial" w:hAnsi="Arial" w:cs="Arial"/>
          <w:lang w:eastAsia="es-ES"/>
        </w:rPr>
        <w:t xml:space="preserve">[…] </w:t>
      </w:r>
      <w:r w:rsidRPr="00DA5FA7">
        <w:rPr>
          <w:rFonts w:ascii="Arial" w:eastAsia="Arial" w:hAnsi="Arial" w:cs="Arial"/>
          <w:lang w:eastAsia="es-ES"/>
        </w:rPr>
        <w:t>De acuerdo con lo anterior, con los contratos aportados por el proponente para acreditar la experiencia se debe certificar un valor mínimo correspondiente a un porcentaje del presupuesto oficial del proceso de interventoría expresado en SMMLV, cuya verificación se hará con base en la sumatoria de los valores totales ejecutados de los contratos que cumplan con los requisitos establecidos en el pliego de condiciones. El fundamento para exigir esta experiencia mínima radica en la inconveniencia de adjudicarle el contrato a un proponente que, por ejemplo, no cuenta con ninguna experiencia o no logra acreditar esta idoneidad mínima. En tal sentido, el cumplimiento de la exigencia indicada consistente en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w:t>
      </w:r>
      <w:r w:rsidRPr="00DA5FA7">
        <w:rPr>
          <w:rFonts w:ascii="Arial" w:eastAsia="Arial" w:hAnsi="Arial" w:cs="Arial"/>
          <w:lang w:eastAsia="es-ES"/>
        </w:rPr>
        <w:t xml:space="preserve"> </w:t>
      </w:r>
      <w:r w:rsidRPr="00DA5FA7">
        <w:rPr>
          <w:rFonts w:ascii="Arial" w:eastAsia="Arial" w:hAnsi="Arial" w:cs="Arial"/>
          <w:lang w:eastAsia="es-ES"/>
        </w:rPr>
        <w:t>Ahora bien, resulta necesario mencionar que, en estos documentos tipo de interventoría, a diferencia de lo indicado en los de licitación versión 3, el porcentaje mínimo a acreditar por los proponentes no varía dependiendo de la cantidad de  contratos aportados; sino que el porcentaje se mantiene invariable, exigiéndose en los de interventoría que el porcentaje del presupuesto oficial del proceso expresado en SMMLV a certificar por parte de los proponentes sea del cien por ciento (100%) del presupuesto del procedimiento de selección.</w:t>
      </w:r>
    </w:p>
    <w:p w14:paraId="61177E6A" w14:textId="77777777" w:rsidR="000A5F87" w:rsidRPr="00DA5FA7" w:rsidRDefault="000A5F87" w:rsidP="000A5F87">
      <w:pPr>
        <w:spacing w:before="240" w:after="240"/>
        <w:jc w:val="both"/>
        <w:rPr>
          <w:rFonts w:ascii="Arial" w:hAnsi="Arial" w:cs="Arial"/>
          <w:b/>
          <w:lang w:val="es-ES_tradnl"/>
        </w:rPr>
      </w:pPr>
      <w:r w:rsidRPr="00DA5FA7">
        <w:rPr>
          <w:rFonts w:ascii="Arial" w:hAnsi="Arial" w:cs="Arial"/>
          <w:b/>
          <w:lang w:val="es-ES_tradnl"/>
        </w:rPr>
        <w:t xml:space="preserve">EXPERIENCIA DEL PROPONENTE </w:t>
      </w:r>
      <w:r w:rsidRPr="00DA5FA7">
        <w:rPr>
          <w:rFonts w:ascii="Arial" w:hAnsi="Arial" w:cs="Arial"/>
          <w:b/>
          <w:color w:val="000000" w:themeColor="text1"/>
          <w:lang w:val="es-ES_tradnl"/>
        </w:rPr>
        <w:t>–</w:t>
      </w:r>
      <w:r w:rsidRPr="00DA5FA7">
        <w:rPr>
          <w:rFonts w:ascii="Arial" w:hAnsi="Arial" w:cs="Arial"/>
          <w:b/>
          <w:lang w:val="es-ES_tradnl"/>
        </w:rPr>
        <w:t xml:space="preserve"> Ponderación en documentos tipo</w:t>
      </w:r>
    </w:p>
    <w:p w14:paraId="5D5998C0" w14:textId="64E697AB" w:rsidR="000A5F87" w:rsidRPr="00DA5FA7" w:rsidRDefault="000A5F87" w:rsidP="00DA5FA7">
      <w:pPr>
        <w:tabs>
          <w:tab w:val="left" w:pos="3374"/>
        </w:tabs>
        <w:spacing w:after="0"/>
        <w:jc w:val="both"/>
        <w:rPr>
          <w:rFonts w:ascii="Arial" w:hAnsi="Arial" w:cs="Arial"/>
          <w:noProof/>
          <w:lang w:val="es-ES_tradnl"/>
        </w:rPr>
      </w:pPr>
      <w:r w:rsidRPr="00DA5FA7">
        <w:rPr>
          <w:rFonts w:ascii="Arial" w:hAnsi="Arial" w:cs="Arial"/>
          <w:noProof/>
          <w:lang w:val="es-ES_tradnl"/>
        </w:rPr>
        <w:t>[...]</w:t>
      </w:r>
      <w:r w:rsidR="00DA5FA7" w:rsidRPr="00DA5FA7">
        <w:rPr>
          <w:rFonts w:ascii="Arial" w:hAnsi="Arial" w:cs="Arial"/>
          <w:noProof/>
          <w:lang w:val="es-ES_tradnl"/>
        </w:rPr>
        <w:t>la valoración de la experiencia del proponente, de cara a la asignación del puntaje correspondiente por este factor de evaluación, debe hacerse de acuerdo con el promedio de los valores de los contratos válidos aportados para acreditar experiencia, expresados en SMMLV. 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señalados en el Documento Base, cuya escogencia debe hacerse de manera aleatoria, a partir de la Tasa Representativa del Mercado–TRM–</w:t>
      </w:r>
    </w:p>
    <w:p w14:paraId="5145DB56" w14:textId="77777777" w:rsidR="000A5F87" w:rsidRPr="00DA5FA7" w:rsidRDefault="000A5F87" w:rsidP="00DA5FA7">
      <w:pPr>
        <w:tabs>
          <w:tab w:val="left" w:pos="3374"/>
        </w:tabs>
        <w:spacing w:after="0"/>
        <w:jc w:val="both"/>
        <w:rPr>
          <w:rFonts w:ascii="Arial" w:hAnsi="Arial" w:cs="Arial"/>
          <w:noProof/>
          <w:lang w:val="es-ES_tradnl"/>
        </w:rPr>
      </w:pPr>
    </w:p>
    <w:p w14:paraId="7FFC470F" w14:textId="77777777" w:rsidR="000A5F87" w:rsidRPr="00DA5FA7" w:rsidRDefault="000A5F87" w:rsidP="00DA5FA7">
      <w:pPr>
        <w:tabs>
          <w:tab w:val="left" w:pos="3374"/>
        </w:tabs>
        <w:spacing w:after="0"/>
        <w:jc w:val="both"/>
        <w:rPr>
          <w:rFonts w:ascii="Arial" w:hAnsi="Arial" w:cs="Arial"/>
          <w:noProof/>
          <w:lang w:val="es-ES_tradnl"/>
        </w:rPr>
      </w:pPr>
      <w:r w:rsidRPr="00DA5FA7">
        <w:rPr>
          <w:rFonts w:ascii="Arial" w:hAnsi="Arial" w:cs="Arial"/>
          <w:b/>
          <w:lang w:val="es-ES_tradnl"/>
        </w:rPr>
        <w:t xml:space="preserve">EXPERIENCIA DEL PROPONENTE </w:t>
      </w:r>
      <w:r w:rsidRPr="00DA5FA7">
        <w:rPr>
          <w:rFonts w:ascii="Arial" w:hAnsi="Arial" w:cs="Arial"/>
          <w:b/>
          <w:color w:val="000000" w:themeColor="text1"/>
          <w:lang w:val="es-ES_tradnl"/>
        </w:rPr>
        <w:t xml:space="preserve">– Acreditación – Asignación de puntaje – RUP  </w:t>
      </w:r>
    </w:p>
    <w:p w14:paraId="675513C3" w14:textId="7D94F9E5" w:rsidR="000A5F87" w:rsidRPr="00DA5FA7" w:rsidRDefault="00DA5FA7" w:rsidP="00DA5FA7">
      <w:pPr>
        <w:widowControl w:val="0"/>
        <w:autoSpaceDE w:val="0"/>
        <w:autoSpaceDN w:val="0"/>
        <w:spacing w:before="240" w:after="0"/>
        <w:jc w:val="both"/>
        <w:rPr>
          <w:rFonts w:ascii="Arial" w:eastAsia="Calibri" w:hAnsi="Arial" w:cs="Arial"/>
          <w:color w:val="000000" w:themeColor="text1"/>
          <w:lang w:val="es-ES_tradnl"/>
        </w:rPr>
      </w:pPr>
      <w:r w:rsidRPr="00DA5FA7">
        <w:rPr>
          <w:rFonts w:ascii="Arial" w:eastAsia="Calibri" w:hAnsi="Arial" w:cs="Arial"/>
          <w:color w:val="000000" w:themeColor="text1"/>
          <w:lang w:val="es-ES_tradnl"/>
        </w:rPr>
        <w:t xml:space="preserve">Por tanto, para el caso de los documentos tipo de concurso de méritos para contratar la interventoría de obras de infraestructura de transporte, el RUP cumple una doble función: i) acreditar que el proponente cumple con la exigencia mínima de la experiencia del proponente, como requisito habilitante de estos procesos de contratación y ii) certificar los contratos válidos aportados de cada propuesta hábil expresados en SMMLV registrados allí, con el fin de que se </w:t>
      </w:r>
      <w:r w:rsidRPr="00DA5FA7">
        <w:rPr>
          <w:rFonts w:ascii="Arial" w:eastAsia="Calibri" w:hAnsi="Arial" w:cs="Arial"/>
          <w:color w:val="000000" w:themeColor="text1"/>
          <w:lang w:val="es-ES_tradnl"/>
        </w:rPr>
        <w:lastRenderedPageBreak/>
        <w:t>pueda realizar la asignación de puntaje de la experiencia del proponente, obteniendo el promedio del valor de dichos contratos.</w:t>
      </w:r>
    </w:p>
    <w:p w14:paraId="45E4024C" w14:textId="77777777" w:rsidR="000A5F87" w:rsidRPr="00DA5FA7" w:rsidRDefault="000A5F87" w:rsidP="000A5F87">
      <w:pPr>
        <w:tabs>
          <w:tab w:val="left" w:pos="3374"/>
        </w:tabs>
        <w:spacing w:line="276" w:lineRule="auto"/>
        <w:jc w:val="right"/>
        <w:rPr>
          <w:rFonts w:ascii="Arial" w:hAnsi="Arial" w:cs="Arial"/>
          <w:noProof/>
          <w:lang w:val="es-ES_tradnl"/>
        </w:rPr>
      </w:pPr>
    </w:p>
    <w:p w14:paraId="5738EB02" w14:textId="77777777" w:rsidR="000A5F87" w:rsidRPr="00DA5FA7" w:rsidRDefault="000A5F87" w:rsidP="000A5F87">
      <w:pPr>
        <w:tabs>
          <w:tab w:val="left" w:pos="3374"/>
        </w:tabs>
        <w:spacing w:line="276" w:lineRule="auto"/>
        <w:rPr>
          <w:rFonts w:ascii="Arial" w:hAnsi="Arial" w:cs="Arial"/>
          <w:b/>
          <w:bCs/>
          <w:noProof/>
          <w:lang w:val="es-ES_tradnl"/>
        </w:rPr>
      </w:pPr>
      <w:r w:rsidRPr="00DA5FA7">
        <w:rPr>
          <w:rFonts w:ascii="Arial" w:hAnsi="Arial" w:cs="Arial"/>
          <w:b/>
          <w:bCs/>
          <w:noProof/>
          <w:lang w:val="es-ES_tradnl"/>
        </w:rPr>
        <w:t xml:space="preserve">SUBSANABILIDAD – ACLARACIÓN – Diferencia </w:t>
      </w:r>
    </w:p>
    <w:p w14:paraId="3C631351" w14:textId="4947A86F" w:rsidR="000A5F87" w:rsidRPr="00DA5FA7" w:rsidRDefault="00DA5FA7" w:rsidP="00DA5FA7">
      <w:pPr>
        <w:tabs>
          <w:tab w:val="left" w:pos="3374"/>
        </w:tabs>
        <w:spacing w:after="0"/>
        <w:jc w:val="both"/>
        <w:rPr>
          <w:rFonts w:ascii="Arial" w:hAnsi="Arial" w:cs="Arial"/>
          <w:noProof/>
          <w:lang w:val="es-ES_tradnl"/>
        </w:rPr>
      </w:pPr>
      <w:r w:rsidRPr="00DA5FA7">
        <w:rPr>
          <w:rFonts w:ascii="Arial" w:hAnsi="Arial" w:cs="Arial"/>
          <w:noProof/>
          <w:lang w:val="es-ES_tradnl"/>
        </w:rPr>
        <w:t>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w:t>
      </w:r>
      <w:r w:rsidR="000A5F87" w:rsidRPr="00DA5FA7">
        <w:rPr>
          <w:rFonts w:ascii="Arial" w:hAnsi="Arial" w:cs="Arial"/>
          <w:noProof/>
          <w:lang w:val="es-ES_tradnl"/>
        </w:rPr>
        <w:t xml:space="preserve">  </w:t>
      </w:r>
    </w:p>
    <w:p w14:paraId="40F2DFDB" w14:textId="77777777" w:rsidR="00DA5FA7" w:rsidRDefault="00DA5FA7" w:rsidP="00DA5FA7">
      <w:pPr>
        <w:tabs>
          <w:tab w:val="left" w:pos="3374"/>
        </w:tabs>
        <w:spacing w:after="0" w:line="276" w:lineRule="auto"/>
        <w:jc w:val="both"/>
        <w:rPr>
          <w:rFonts w:ascii="Arial" w:hAnsi="Arial" w:cs="Arial"/>
          <w:b/>
          <w:bCs/>
          <w:noProof/>
          <w:lang w:val="es-ES_tradnl"/>
        </w:rPr>
      </w:pPr>
    </w:p>
    <w:p w14:paraId="64F9F154" w14:textId="273F42D0" w:rsidR="000A5F87" w:rsidRPr="00DA5FA7" w:rsidRDefault="000A5F87" w:rsidP="00DA5FA7">
      <w:pPr>
        <w:tabs>
          <w:tab w:val="left" w:pos="3374"/>
        </w:tabs>
        <w:spacing w:after="0" w:line="276" w:lineRule="auto"/>
        <w:jc w:val="both"/>
        <w:rPr>
          <w:rFonts w:ascii="Arial" w:hAnsi="Arial" w:cs="Arial"/>
          <w:b/>
          <w:bCs/>
          <w:noProof/>
          <w:lang w:val="es-ES_tradnl"/>
        </w:rPr>
      </w:pPr>
      <w:r w:rsidRPr="00DA5FA7">
        <w:rPr>
          <w:rFonts w:ascii="Arial" w:hAnsi="Arial" w:cs="Arial"/>
          <w:b/>
          <w:bCs/>
          <w:noProof/>
          <w:lang w:val="es-ES_tradnl"/>
        </w:rPr>
        <w:t>SUBSANABILIDAD – Requisitos habilitantes – Factores de ponderación – Acreditación</w:t>
      </w:r>
    </w:p>
    <w:p w14:paraId="63AC1C00" w14:textId="77777777" w:rsidR="000A5F87" w:rsidRPr="000A5F87" w:rsidRDefault="000A5F87" w:rsidP="00DA5FA7">
      <w:pPr>
        <w:tabs>
          <w:tab w:val="left" w:pos="3374"/>
        </w:tabs>
        <w:spacing w:after="0" w:line="276" w:lineRule="auto"/>
        <w:jc w:val="both"/>
        <w:rPr>
          <w:rFonts w:ascii="Arial" w:hAnsi="Arial" w:cs="Arial"/>
          <w:b/>
          <w:bCs/>
          <w:noProof/>
          <w:highlight w:val="yellow"/>
          <w:lang w:val="es-ES_tradnl"/>
        </w:rPr>
      </w:pPr>
    </w:p>
    <w:p w14:paraId="5CBB08D6" w14:textId="0849A470" w:rsidR="000A5F87" w:rsidRDefault="00DA5FA7" w:rsidP="00DA5FA7">
      <w:pPr>
        <w:tabs>
          <w:tab w:val="left" w:pos="3374"/>
        </w:tabs>
        <w:spacing w:after="0"/>
        <w:jc w:val="both"/>
        <w:rPr>
          <w:rFonts w:ascii="Arial" w:hAnsi="Arial" w:cs="Arial"/>
          <w:noProof/>
          <w:lang w:val="es-ES_tradnl"/>
        </w:rPr>
      </w:pPr>
      <w:r w:rsidRPr="00DA5FA7">
        <w:rPr>
          <w:rFonts w:ascii="Arial" w:hAnsi="Arial" w:cs="Arial"/>
          <w:noProof/>
          <w:lang w:val="es-ES_tradnl"/>
        </w:rPr>
        <w:t>Ahora bien, si el proponente subsana la entrega del Registro Único de Proponentes con una fecha de expedición no mayor a treinta (30) días calendario se habilitará en el respectivo proceso de contratación, sin embargo, el puntaje asignado para para el factor de evaluación de experiencia del proponente será de cero (0) puntos. Esta sanción aplicaría a ambos documentos tipo de interventoría de obra pública de infraestructura de transporte – versión 1 y versión 2 – hasta la fecha adoptados.</w:t>
      </w:r>
    </w:p>
    <w:p w14:paraId="22190BD9" w14:textId="77777777" w:rsidR="00DA5FA7" w:rsidRPr="002402B2" w:rsidRDefault="00DA5FA7" w:rsidP="00DA5FA7">
      <w:pPr>
        <w:tabs>
          <w:tab w:val="left" w:pos="3374"/>
        </w:tabs>
        <w:spacing w:after="0"/>
        <w:jc w:val="both"/>
        <w:rPr>
          <w:rFonts w:ascii="Arial" w:hAnsi="Arial" w:cs="Arial"/>
          <w:noProof/>
          <w:lang w:val="es-ES_tradnl"/>
        </w:rPr>
      </w:pPr>
    </w:p>
    <w:p w14:paraId="7D54A0D3" w14:textId="77777777" w:rsidR="00833452" w:rsidRPr="000A5F87" w:rsidRDefault="00833452" w:rsidP="00DA5FA7">
      <w:pPr>
        <w:spacing w:after="0"/>
        <w:rPr>
          <w:rFonts w:ascii="Geomanist Light" w:eastAsia="Times New Roman" w:hAnsi="Geomanist Light" w:cs="Arial"/>
          <w:b/>
          <w:bCs/>
          <w:lang w:val="es-ES_tradnl" w:eastAsia="es-CO"/>
        </w:rPr>
      </w:pPr>
    </w:p>
    <w:p w14:paraId="062F1ECA" w14:textId="48E730DB" w:rsidR="006219F8" w:rsidRPr="007566FE" w:rsidRDefault="1CC63BF5" w:rsidP="00DA5FA7">
      <w:pPr>
        <w:spacing w:after="0"/>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t>Bogotá D.C.,</w:t>
      </w:r>
    </w:p>
    <w:p w14:paraId="622CA00A" w14:textId="2C33DA10" w:rsidR="00380823" w:rsidRPr="00380823" w:rsidRDefault="00984536" w:rsidP="00984536">
      <w:pPr>
        <w:tabs>
          <w:tab w:val="left" w:pos="3374"/>
        </w:tabs>
        <w:spacing w:after="0" w:line="276" w:lineRule="auto"/>
        <w:jc w:val="right"/>
        <w:rPr>
          <w:rFonts w:ascii="Arial" w:eastAsia="Calibri" w:hAnsi="Arial" w:cs="Arial"/>
          <w:noProof/>
          <w:lang w:val="es-ES_tradnl"/>
        </w:rPr>
      </w:pPr>
      <w:r w:rsidRPr="00984536">
        <w:rPr>
          <w:rFonts w:ascii="Arial" w:eastAsia="Calibri" w:hAnsi="Arial" w:cs="Arial"/>
          <w:noProof/>
          <w:lang w:val="es-ES_tradnl"/>
        </w:rPr>
        <w:drawing>
          <wp:inline distT="0" distB="0" distL="0" distR="0" wp14:anchorId="5C417579" wp14:editId="56447EBE">
            <wp:extent cx="2476846" cy="676369"/>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76846" cy="676369"/>
                    </a:xfrm>
                    <a:prstGeom prst="rect">
                      <a:avLst/>
                    </a:prstGeom>
                  </pic:spPr>
                </pic:pic>
              </a:graphicData>
            </a:graphic>
          </wp:inline>
        </w:drawing>
      </w:r>
    </w:p>
    <w:p w14:paraId="65048A54" w14:textId="77777777" w:rsidR="00380823" w:rsidRPr="00380823" w:rsidRDefault="00380823" w:rsidP="00380823">
      <w:pPr>
        <w:spacing w:after="0" w:line="240" w:lineRule="auto"/>
        <w:rPr>
          <w:rFonts w:ascii="Arial" w:eastAsia="Calibri" w:hAnsi="Arial" w:cs="Arial"/>
          <w:bCs/>
          <w:noProof/>
          <w:lang w:val="es-ES_tradnl"/>
        </w:rPr>
      </w:pPr>
      <w:r w:rsidRPr="00380823">
        <w:rPr>
          <w:rFonts w:ascii="Arial" w:eastAsia="Calibri" w:hAnsi="Arial" w:cs="Arial"/>
          <w:bCs/>
          <w:noProof/>
          <w:lang w:val="es-ES_tradnl"/>
        </w:rPr>
        <w:t>Señora</w:t>
      </w:r>
    </w:p>
    <w:p w14:paraId="7A3BAB87" w14:textId="77777777" w:rsidR="00380823" w:rsidRPr="00380823" w:rsidRDefault="00380823" w:rsidP="00380823">
      <w:pPr>
        <w:spacing w:after="0" w:line="240" w:lineRule="auto"/>
        <w:rPr>
          <w:rFonts w:ascii="Arial" w:eastAsia="Calibri" w:hAnsi="Arial" w:cs="Arial"/>
          <w:b/>
          <w:noProof/>
          <w:lang w:val="es-ES_tradnl"/>
        </w:rPr>
      </w:pPr>
      <w:r w:rsidRPr="00380823">
        <w:rPr>
          <w:rFonts w:ascii="Arial" w:eastAsia="Calibri" w:hAnsi="Arial" w:cs="Arial"/>
          <w:b/>
          <w:noProof/>
          <w:lang w:val="es-ES_tradnl"/>
        </w:rPr>
        <w:t>María Clara Potes Mazuera</w:t>
      </w:r>
    </w:p>
    <w:p w14:paraId="5E305347" w14:textId="77777777" w:rsidR="00380823" w:rsidRPr="00380823" w:rsidRDefault="00380823" w:rsidP="00380823">
      <w:pPr>
        <w:spacing w:after="0" w:line="240" w:lineRule="auto"/>
        <w:rPr>
          <w:rFonts w:ascii="Arial" w:eastAsia="Calibri" w:hAnsi="Arial" w:cs="Arial"/>
          <w:noProof/>
          <w:lang w:val="es-ES_tradnl"/>
        </w:rPr>
      </w:pPr>
      <w:r w:rsidRPr="00380823">
        <w:rPr>
          <w:rFonts w:ascii="Arial" w:eastAsia="Calibri" w:hAnsi="Arial" w:cs="Arial"/>
          <w:noProof/>
          <w:lang w:val="es-ES_tradnl"/>
        </w:rPr>
        <w:t>Villamaría, Caldas</w:t>
      </w:r>
    </w:p>
    <w:p w14:paraId="7EF7A0BB" w14:textId="77777777" w:rsidR="00380823" w:rsidRPr="00380823" w:rsidRDefault="00380823" w:rsidP="00380823">
      <w:pPr>
        <w:spacing w:after="0" w:line="240" w:lineRule="auto"/>
        <w:rPr>
          <w:rFonts w:ascii="Arial" w:eastAsia="Calibri" w:hAnsi="Arial" w:cs="Arial"/>
          <w:noProof/>
          <w:lang w:val="es-ES_tradnl"/>
        </w:rPr>
      </w:pPr>
    </w:p>
    <w:p w14:paraId="7CDE333F" w14:textId="77777777" w:rsidR="00380823" w:rsidRPr="00380823" w:rsidRDefault="00380823" w:rsidP="00380823">
      <w:pPr>
        <w:spacing w:after="0" w:line="240" w:lineRule="auto"/>
        <w:rPr>
          <w:rFonts w:ascii="Arial" w:eastAsia="Calibri" w:hAnsi="Arial" w:cs="Arial"/>
          <w:noProof/>
          <w:lang w:val="es-ES_tradnl"/>
        </w:rPr>
      </w:pPr>
    </w:p>
    <w:p w14:paraId="7360E7E7" w14:textId="77777777" w:rsidR="00380823" w:rsidRPr="00380823" w:rsidRDefault="00380823" w:rsidP="00380823">
      <w:pPr>
        <w:spacing w:after="0" w:line="240" w:lineRule="auto"/>
        <w:rPr>
          <w:rFonts w:ascii="Arial" w:eastAsia="Calibri" w:hAnsi="Arial" w:cs="Arial"/>
          <w:b/>
          <w:noProof/>
          <w:lang w:val="es-ES_tradnl"/>
        </w:rPr>
      </w:pPr>
      <w:r w:rsidRPr="00380823">
        <w:rPr>
          <w:rFonts w:ascii="Arial" w:eastAsia="Calibri" w:hAnsi="Arial" w:cs="Arial"/>
          <w:b/>
          <w:noProof/>
          <w:lang w:val="es-ES_tradnl"/>
        </w:rPr>
        <w:t xml:space="preserve">                                            Concepto C – 726 de 2022</w:t>
      </w:r>
    </w:p>
    <w:p w14:paraId="67AD7809" w14:textId="77777777" w:rsidR="00380823" w:rsidRPr="00380823" w:rsidRDefault="00380823" w:rsidP="00380823">
      <w:pPr>
        <w:spacing w:after="0" w:line="240" w:lineRule="auto"/>
        <w:rPr>
          <w:rFonts w:ascii="Arial" w:eastAsia="Calibri" w:hAnsi="Arial" w:cs="Arial"/>
          <w:noProof/>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80823" w:rsidRPr="00380823" w14:paraId="668D1CDD" w14:textId="77777777" w:rsidTr="00C8662B">
        <w:trPr>
          <w:trHeight w:val="591"/>
        </w:trPr>
        <w:tc>
          <w:tcPr>
            <w:tcW w:w="2689" w:type="dxa"/>
            <w:hideMark/>
          </w:tcPr>
          <w:p w14:paraId="04E2D980" w14:textId="77777777" w:rsidR="00380823" w:rsidRPr="00380823" w:rsidRDefault="00380823" w:rsidP="00380823">
            <w:pPr>
              <w:rPr>
                <w:rFonts w:ascii="Arial" w:eastAsia="Calibri" w:hAnsi="Arial" w:cs="Arial"/>
                <w:noProof/>
                <w:lang w:val="es-ES_tradnl"/>
              </w:rPr>
            </w:pPr>
            <w:r w:rsidRPr="00380823">
              <w:rPr>
                <w:rFonts w:ascii="Arial" w:eastAsia="Calibri" w:hAnsi="Arial" w:cs="Arial"/>
                <w:b/>
                <w:noProof/>
                <w:lang w:val="es-ES_tradnl"/>
              </w:rPr>
              <w:t>Temas:</w:t>
            </w:r>
            <w:r w:rsidRPr="00380823">
              <w:rPr>
                <w:rFonts w:ascii="Arial" w:eastAsia="Calibri" w:hAnsi="Arial" w:cs="Arial"/>
                <w:noProof/>
                <w:lang w:val="es-ES_tradnl"/>
              </w:rPr>
              <w:t xml:space="preserve">        </w:t>
            </w:r>
          </w:p>
        </w:tc>
        <w:tc>
          <w:tcPr>
            <w:tcW w:w="6237" w:type="dxa"/>
            <w:hideMark/>
          </w:tcPr>
          <w:p w14:paraId="0DBEAA04" w14:textId="77777777" w:rsidR="00380823" w:rsidRPr="00380823" w:rsidRDefault="00380823" w:rsidP="00380823">
            <w:pPr>
              <w:spacing w:after="120"/>
              <w:contextualSpacing/>
              <w:jc w:val="both"/>
              <w:rPr>
                <w:rFonts w:ascii="Arial" w:hAnsi="Arial" w:cs="Arial"/>
                <w:b/>
                <w:bCs/>
                <w:noProof/>
                <w:highlight w:val="yellow"/>
                <w:lang w:val="es-ES_tradnl"/>
              </w:rPr>
            </w:pPr>
            <w:r w:rsidRPr="00380823">
              <w:rPr>
                <w:rFonts w:ascii="Arial" w:eastAsia="Arial" w:hAnsi="Arial" w:cs="Arial"/>
                <w:noProof/>
                <w:lang w:val="es-ES_tradnl"/>
              </w:rPr>
              <w:t xml:space="preserve">DOCUMENTOS TIPO DE INTERVENTORÍA − Experiencia mínima habilitante / EXPERIENCIA DEL PROPONENTE – Ponderación en documentos tipo / EXPERIENCIA DEL PROPONENTE – Acreditación – Asignación de puntaje – RUP / SUBSANABILIDAD – ACLARACIÓN – Diferencia / </w:t>
            </w:r>
            <w:r w:rsidRPr="00380823">
              <w:rPr>
                <w:rFonts w:ascii="Arial" w:eastAsia="Arial" w:hAnsi="Arial" w:cs="Arial"/>
                <w:noProof/>
                <w:lang w:val="es-ES_tradnl"/>
              </w:rPr>
              <w:lastRenderedPageBreak/>
              <w:t xml:space="preserve">SUBSANABILIDAD – Requisitos habilitantes – Factores de ponderación – Acreditación    </w:t>
            </w:r>
          </w:p>
        </w:tc>
      </w:tr>
      <w:tr w:rsidR="00380823" w:rsidRPr="00380823" w14:paraId="6634BBF6" w14:textId="77777777" w:rsidTr="00C8662B">
        <w:tc>
          <w:tcPr>
            <w:tcW w:w="2689" w:type="dxa"/>
          </w:tcPr>
          <w:p w14:paraId="4E993A14" w14:textId="77777777" w:rsidR="00380823" w:rsidRPr="00380823" w:rsidRDefault="00380823" w:rsidP="00380823">
            <w:pPr>
              <w:rPr>
                <w:rFonts w:ascii="Arial" w:eastAsia="Calibri" w:hAnsi="Arial" w:cs="Arial"/>
                <w:b/>
                <w:noProof/>
                <w:lang w:val="es-ES_tradnl"/>
              </w:rPr>
            </w:pPr>
            <w:r w:rsidRPr="00380823">
              <w:rPr>
                <w:rFonts w:ascii="Arial" w:eastAsia="Calibri" w:hAnsi="Arial" w:cs="Arial"/>
                <w:b/>
                <w:noProof/>
                <w:lang w:val="es-ES_tradnl"/>
              </w:rPr>
              <w:lastRenderedPageBreak/>
              <w:t>Radicación:</w:t>
            </w:r>
            <w:r w:rsidRPr="00380823">
              <w:rPr>
                <w:rFonts w:ascii="Arial" w:eastAsia="Calibri" w:hAnsi="Arial" w:cs="Arial"/>
                <w:noProof/>
                <w:lang w:val="es-ES_tradnl"/>
              </w:rPr>
              <w:t xml:space="preserve">                              </w:t>
            </w:r>
          </w:p>
        </w:tc>
        <w:tc>
          <w:tcPr>
            <w:tcW w:w="6237" w:type="dxa"/>
          </w:tcPr>
          <w:p w14:paraId="6755EB67" w14:textId="77777777" w:rsidR="00380823" w:rsidRPr="00380823" w:rsidRDefault="00380823" w:rsidP="00380823">
            <w:pPr>
              <w:jc w:val="both"/>
              <w:rPr>
                <w:rFonts w:ascii="Arial" w:eastAsia="Calibri" w:hAnsi="Arial" w:cs="Arial"/>
                <w:noProof/>
                <w:lang w:val="es-ES_tradnl"/>
              </w:rPr>
            </w:pPr>
            <w:r w:rsidRPr="00380823">
              <w:rPr>
                <w:rFonts w:ascii="Arial" w:eastAsia="Calibri" w:hAnsi="Arial" w:cs="Arial"/>
                <w:noProof/>
                <w:lang w:val="es-ES_tradnl"/>
              </w:rPr>
              <w:t>Respuesta a consulta # P20220919009424</w:t>
            </w:r>
          </w:p>
        </w:tc>
      </w:tr>
    </w:tbl>
    <w:p w14:paraId="101BBBA4" w14:textId="77777777" w:rsidR="00380823" w:rsidRPr="00380823" w:rsidRDefault="00380823" w:rsidP="00380823">
      <w:pPr>
        <w:spacing w:after="0" w:line="240" w:lineRule="auto"/>
        <w:rPr>
          <w:rFonts w:ascii="Arial" w:eastAsia="Calibri" w:hAnsi="Arial" w:cs="Arial"/>
          <w:noProof/>
          <w:lang w:val="es-ES_tradnl"/>
        </w:rPr>
      </w:pPr>
    </w:p>
    <w:p w14:paraId="12FA2BF1" w14:textId="77777777" w:rsidR="00380823" w:rsidRPr="00380823" w:rsidRDefault="00380823" w:rsidP="00380823">
      <w:pPr>
        <w:spacing w:after="0" w:line="240" w:lineRule="auto"/>
        <w:rPr>
          <w:rFonts w:ascii="Arial" w:eastAsia="Calibri" w:hAnsi="Arial" w:cs="Arial"/>
          <w:noProof/>
          <w:lang w:val="es-ES_tradnl"/>
        </w:rPr>
      </w:pPr>
      <w:r w:rsidRPr="00380823">
        <w:rPr>
          <w:rFonts w:ascii="Arial" w:eastAsia="Calibri" w:hAnsi="Arial" w:cs="Arial"/>
          <w:noProof/>
          <w:lang w:val="es-ES_tradnl"/>
        </w:rPr>
        <w:t>Estimada señora Potes:</w:t>
      </w:r>
    </w:p>
    <w:p w14:paraId="22747A38" w14:textId="77777777" w:rsidR="00380823" w:rsidRPr="00380823" w:rsidRDefault="00380823" w:rsidP="00380823">
      <w:pPr>
        <w:spacing w:after="0" w:line="276" w:lineRule="auto"/>
        <w:rPr>
          <w:rFonts w:ascii="Arial" w:eastAsia="Calibri" w:hAnsi="Arial" w:cs="Arial"/>
          <w:noProof/>
          <w:lang w:val="es-ES_tradnl"/>
        </w:rPr>
      </w:pPr>
    </w:p>
    <w:p w14:paraId="69817CA0" w14:textId="77777777" w:rsidR="00380823" w:rsidRPr="00380823" w:rsidRDefault="00380823" w:rsidP="00380823">
      <w:pPr>
        <w:spacing w:after="0" w:line="276" w:lineRule="auto"/>
        <w:jc w:val="both"/>
        <w:rPr>
          <w:rFonts w:ascii="Arial" w:eastAsia="Calibri" w:hAnsi="Arial" w:cs="Arial"/>
          <w:lang w:val="es-MX"/>
        </w:rPr>
      </w:pPr>
      <w:r w:rsidRPr="00380823">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19 de septiembre de 2022. </w:t>
      </w:r>
    </w:p>
    <w:p w14:paraId="2796EE80" w14:textId="77777777" w:rsidR="00380823" w:rsidRPr="00380823" w:rsidRDefault="00380823" w:rsidP="00380823">
      <w:pPr>
        <w:tabs>
          <w:tab w:val="left" w:pos="426"/>
        </w:tabs>
        <w:spacing w:after="0" w:line="276" w:lineRule="auto"/>
        <w:jc w:val="both"/>
        <w:rPr>
          <w:rFonts w:ascii="Arial" w:eastAsia="Calibri" w:hAnsi="Arial" w:cs="Arial"/>
          <w:noProof/>
          <w:lang w:val="es-ES_tradnl"/>
        </w:rPr>
      </w:pPr>
    </w:p>
    <w:p w14:paraId="64487F50" w14:textId="77777777" w:rsidR="00380823" w:rsidRPr="00380823" w:rsidRDefault="00380823" w:rsidP="00380823">
      <w:pPr>
        <w:tabs>
          <w:tab w:val="left" w:pos="284"/>
        </w:tabs>
        <w:spacing w:after="0" w:line="276" w:lineRule="auto"/>
        <w:contextualSpacing/>
        <w:jc w:val="both"/>
        <w:rPr>
          <w:rFonts w:ascii="Arial" w:eastAsia="Calibri" w:hAnsi="Arial" w:cs="Arial"/>
          <w:b/>
          <w:noProof/>
          <w:lang w:val="es-ES_tradnl"/>
        </w:rPr>
      </w:pPr>
      <w:bookmarkStart w:id="0" w:name="_Hlk50978304"/>
      <w:r w:rsidRPr="00380823">
        <w:rPr>
          <w:rFonts w:ascii="Arial" w:eastAsia="Calibri" w:hAnsi="Arial" w:cs="Arial"/>
          <w:b/>
          <w:noProof/>
          <w:lang w:val="es-ES_tradnl"/>
        </w:rPr>
        <w:t>1. Problema planteado</w:t>
      </w:r>
    </w:p>
    <w:p w14:paraId="4C48FF98" w14:textId="77777777" w:rsidR="00380823" w:rsidRPr="00380823" w:rsidRDefault="00380823" w:rsidP="00380823">
      <w:pPr>
        <w:tabs>
          <w:tab w:val="left" w:pos="426"/>
        </w:tabs>
        <w:spacing w:after="0" w:line="276" w:lineRule="auto"/>
        <w:jc w:val="both"/>
        <w:rPr>
          <w:rFonts w:ascii="Arial" w:eastAsia="Calibri" w:hAnsi="Arial" w:cs="Arial"/>
          <w:b/>
          <w:noProof/>
          <w:lang w:val="es-ES_tradnl"/>
        </w:rPr>
      </w:pPr>
    </w:p>
    <w:p w14:paraId="27825AC3" w14:textId="77777777" w:rsidR="00380823" w:rsidRPr="00380823" w:rsidRDefault="00380823" w:rsidP="00380823">
      <w:pPr>
        <w:tabs>
          <w:tab w:val="left" w:pos="426"/>
        </w:tabs>
        <w:spacing w:after="0" w:line="276" w:lineRule="auto"/>
        <w:jc w:val="both"/>
        <w:rPr>
          <w:rFonts w:ascii="Arial" w:eastAsia="Calibri" w:hAnsi="Arial" w:cs="Arial"/>
          <w:lang w:val="es-MX"/>
        </w:rPr>
      </w:pPr>
      <w:r w:rsidRPr="00380823">
        <w:rPr>
          <w:rFonts w:ascii="Arial" w:eastAsia="Calibri" w:hAnsi="Arial" w:cs="Arial"/>
          <w:noProof/>
          <w:lang w:val="es-ES_tradnl"/>
        </w:rPr>
        <w:t>Usted formuló la siguiente pregunta:</w:t>
      </w:r>
      <w:r w:rsidRPr="00380823">
        <w:rPr>
          <w:rFonts w:ascii="Arial" w:eastAsia="Calibri" w:hAnsi="Arial" w:cs="Arial"/>
          <w:lang w:val="es-MX"/>
        </w:rPr>
        <w:t xml:space="preserve"> «En los pliegos tipo para interventorías del sector transporte, la calificación de la experiencia, se aplica sobre el promedio del valor de la Experiencia aportada (sic), en ese sentido aportar el RUP con una fecha mayor a 30 días y luego aportarlo con la fecha actualizada, se considera que se subsanó la experiencia, y por lo tanto no se deben otorgar los puntos o se considera una aclaración del documento y se debe puntuar la propuesta?» [SIC].</w:t>
      </w:r>
      <w:bookmarkEnd w:id="0"/>
    </w:p>
    <w:p w14:paraId="4EE0BDEF" w14:textId="77777777" w:rsidR="00380823" w:rsidRPr="00380823" w:rsidRDefault="00380823" w:rsidP="00380823">
      <w:pPr>
        <w:tabs>
          <w:tab w:val="left" w:pos="426"/>
        </w:tabs>
        <w:spacing w:after="0" w:line="276" w:lineRule="auto"/>
        <w:jc w:val="both"/>
        <w:rPr>
          <w:rFonts w:ascii="Arial" w:eastAsia="Calibri" w:hAnsi="Arial" w:cs="Arial"/>
          <w:lang w:val="es-MX"/>
        </w:rPr>
      </w:pPr>
    </w:p>
    <w:p w14:paraId="1EE36486" w14:textId="77777777" w:rsidR="00380823" w:rsidRPr="00380823" w:rsidRDefault="00380823" w:rsidP="00380823">
      <w:pPr>
        <w:tabs>
          <w:tab w:val="left" w:pos="1545"/>
        </w:tabs>
        <w:spacing w:after="0" w:line="240" w:lineRule="auto"/>
        <w:ind w:right="709"/>
        <w:jc w:val="both"/>
        <w:rPr>
          <w:rFonts w:ascii="Arial" w:eastAsia="Calibri" w:hAnsi="Arial" w:cs="Arial"/>
          <w:b/>
          <w:noProof/>
          <w:lang w:val="es-ES_tradnl"/>
        </w:rPr>
      </w:pPr>
      <w:r w:rsidRPr="00380823">
        <w:rPr>
          <w:rFonts w:ascii="Arial" w:eastAsia="Calibri" w:hAnsi="Arial" w:cs="Arial"/>
          <w:b/>
          <w:noProof/>
          <w:lang w:val="es-ES_tradnl"/>
        </w:rPr>
        <w:t>2. Consideraciones</w:t>
      </w:r>
    </w:p>
    <w:p w14:paraId="14943556" w14:textId="77777777" w:rsidR="00380823" w:rsidRPr="00380823" w:rsidRDefault="00380823" w:rsidP="00380823">
      <w:pPr>
        <w:tabs>
          <w:tab w:val="left" w:pos="1545"/>
        </w:tabs>
        <w:spacing w:after="0" w:line="240" w:lineRule="auto"/>
        <w:ind w:right="709"/>
        <w:jc w:val="both"/>
        <w:rPr>
          <w:rFonts w:ascii="Arial" w:eastAsia="Calibri" w:hAnsi="Arial" w:cs="Arial"/>
          <w:b/>
          <w:noProof/>
          <w:lang w:val="es-ES_tradnl"/>
        </w:rPr>
      </w:pPr>
    </w:p>
    <w:p w14:paraId="14CED0C1" w14:textId="77777777" w:rsidR="00380823" w:rsidRPr="00380823" w:rsidRDefault="00380823" w:rsidP="00380823">
      <w:pPr>
        <w:tabs>
          <w:tab w:val="left" w:pos="-142"/>
        </w:tabs>
        <w:autoSpaceDE w:val="0"/>
        <w:autoSpaceDN w:val="0"/>
        <w:adjustRightInd w:val="0"/>
        <w:spacing w:after="0" w:line="276" w:lineRule="auto"/>
        <w:jc w:val="both"/>
        <w:rPr>
          <w:rFonts w:ascii="Arial" w:eastAsia="Calibri" w:hAnsi="Arial" w:cs="Arial"/>
          <w:color w:val="000000" w:themeColor="text1"/>
          <w:lang w:val="es-ES_tradnl"/>
        </w:rPr>
      </w:pPr>
      <w:r w:rsidRPr="00380823">
        <w:rPr>
          <w:rFonts w:ascii="Arial" w:eastAsia="Calibri" w:hAnsi="Arial" w:cs="Arial"/>
          <w:noProof/>
          <w:color w:val="000000" w:themeColor="text1"/>
          <w:lang w:val="es-ES_tradnl"/>
        </w:rPr>
        <w:t xml:space="preserve">La Agencia Nacional de Contratación Pública – Colombia Compra Eficiente se pronunció, </w:t>
      </w:r>
      <w:r w:rsidRPr="00380823">
        <w:rPr>
          <w:rFonts w:ascii="Arial" w:eastAsia="Calibri" w:hAnsi="Arial" w:cs="Arial"/>
          <w:color w:val="000000" w:themeColor="text1"/>
          <w:lang w:val="es-ES_tradnl"/>
        </w:rPr>
        <w:t xml:space="preserve">en relación con la experiencia mínima –habilitante– del proponente en los documentos tipo para procesos de selección de concurso de méritos para contratar la interventoría de obras públicas de infraestructura de transporte, entre otros, en los conceptos C-332 del 7 de mayo de 2021 yC-565 del 11 de octubre de 2021. Así mismo, en relación con la acreditación y ponderación de la experiencia en los documentos tipo de interventoría de obra pública de infraestructura de transporte se expidieron los conceptos </w:t>
      </w:r>
      <w:r w:rsidRPr="00380823">
        <w:rPr>
          <w:rFonts w:ascii="Arial" w:eastAsia="Calibri" w:hAnsi="Arial" w:cs="Arial"/>
          <w:lang w:val="es-MX"/>
        </w:rPr>
        <w:t xml:space="preserve">C-323 del 6 de julio de 2021, C-029 del 2 de marzo de 2022 y </w:t>
      </w:r>
      <w:r w:rsidRPr="00380823">
        <w:rPr>
          <w:rFonts w:ascii="Arial" w:eastAsia="Calibri" w:hAnsi="Arial" w:cs="Arial"/>
          <w:color w:val="000000" w:themeColor="text1"/>
          <w:lang w:val="es-ES_tradnl"/>
        </w:rPr>
        <w:t>C-325 del 23 de mayo de 2022. Adicionalmente, en los conceptos C-787 del 19 de enero del 2021, C-716 del 23 de enero del 2022 y C-470 del 25 de julio de 2022, se analizó la figura de la subsanación de las ofertas y sus diferencias con la aclaración de las mismas. Algunas de las consideraciones de estos conceptos se reiteran a continuación y se complementan en lo pertinente.</w:t>
      </w:r>
    </w:p>
    <w:p w14:paraId="5D2B2B8B" w14:textId="77777777" w:rsidR="00380823" w:rsidRPr="00380823" w:rsidRDefault="00380823" w:rsidP="00380823">
      <w:pPr>
        <w:spacing w:after="0" w:line="276" w:lineRule="auto"/>
        <w:jc w:val="both"/>
        <w:rPr>
          <w:rFonts w:ascii="Arial" w:eastAsia="Arial" w:hAnsi="Arial" w:cs="Arial"/>
          <w:b/>
          <w:bCs/>
          <w:color w:val="000000"/>
          <w:lang w:val="es-ES_tradnl"/>
        </w:rPr>
      </w:pPr>
    </w:p>
    <w:p w14:paraId="5C324C82" w14:textId="77777777" w:rsidR="00380823" w:rsidRPr="00380823" w:rsidRDefault="00380823" w:rsidP="00380823">
      <w:pPr>
        <w:spacing w:after="0" w:line="276" w:lineRule="auto"/>
        <w:jc w:val="both"/>
        <w:rPr>
          <w:rFonts w:ascii="Arial" w:eastAsia="Arial" w:hAnsi="Arial" w:cs="Arial"/>
          <w:b/>
          <w:bCs/>
          <w:color w:val="000000"/>
          <w:lang w:val="es-ES_tradnl"/>
        </w:rPr>
      </w:pPr>
      <w:r w:rsidRPr="00380823">
        <w:rPr>
          <w:rFonts w:ascii="Arial" w:eastAsia="Arial" w:hAnsi="Arial" w:cs="Arial"/>
          <w:b/>
          <w:bCs/>
          <w:color w:val="000000"/>
          <w:lang w:val="es-ES_tradnl"/>
        </w:rPr>
        <w:t>2.1. Fundamento normativo de los documentos tipo, en particular del documento tipo para interventoría de obras de infraestructura de transporte</w:t>
      </w:r>
      <w:r w:rsidRPr="00380823" w:rsidDel="006762DB">
        <w:rPr>
          <w:rFonts w:ascii="Arial" w:eastAsia="Arial" w:hAnsi="Arial" w:cs="Arial"/>
          <w:b/>
          <w:bCs/>
          <w:color w:val="000000"/>
          <w:lang w:val="es-ES_tradnl"/>
        </w:rPr>
        <w:t xml:space="preserve"> </w:t>
      </w:r>
      <w:r w:rsidRPr="00380823">
        <w:rPr>
          <w:rFonts w:ascii="Arial" w:eastAsia="Arial" w:hAnsi="Arial" w:cs="Arial"/>
          <w:b/>
          <w:bCs/>
          <w:color w:val="000000"/>
          <w:lang w:val="es-ES_tradnl"/>
        </w:rPr>
        <w:t xml:space="preserve"> </w:t>
      </w:r>
    </w:p>
    <w:p w14:paraId="10AE0F57" w14:textId="77777777" w:rsidR="00380823" w:rsidRPr="00380823" w:rsidRDefault="00380823" w:rsidP="00380823">
      <w:pPr>
        <w:spacing w:after="0" w:line="276" w:lineRule="auto"/>
        <w:jc w:val="both"/>
        <w:rPr>
          <w:rFonts w:ascii="Arial" w:eastAsia="Arial" w:hAnsi="Arial" w:cs="Arial"/>
          <w:b/>
          <w:bCs/>
          <w:color w:val="000000"/>
          <w:lang w:val="es-ES_tradnl"/>
        </w:rPr>
      </w:pPr>
    </w:p>
    <w:p w14:paraId="008F369B" w14:textId="77777777" w:rsidR="00380823" w:rsidRPr="00380823" w:rsidRDefault="00380823" w:rsidP="00380823">
      <w:pPr>
        <w:spacing w:before="120" w:after="0" w:line="276" w:lineRule="auto"/>
        <w:jc w:val="both"/>
        <w:rPr>
          <w:rFonts w:ascii="Arial" w:eastAsia="Calibri" w:hAnsi="Arial" w:cs="Arial"/>
          <w:color w:val="000000" w:themeColor="text1"/>
          <w:lang w:val="es-ES_tradnl" w:eastAsia="es-ES"/>
        </w:rPr>
      </w:pPr>
      <w:r w:rsidRPr="00380823">
        <w:rPr>
          <w:rFonts w:ascii="Arial" w:eastAsia="Arial" w:hAnsi="Arial" w:cs="Arial"/>
          <w:color w:val="000000"/>
          <w:lang w:val="es-ES_tradnl"/>
        </w:rPr>
        <w:t xml:space="preserve">La Agencia Nacional de Contratación Pública – Colombia Compra Eficiente, con fundamento en el artículo 1 de la Ley 2022 de 2020, expidió </w:t>
      </w:r>
      <w:r w:rsidRPr="00380823">
        <w:rPr>
          <w:rFonts w:ascii="Arial" w:eastAsia="Calibri" w:hAnsi="Arial" w:cs="Arial"/>
          <w:color w:val="000000" w:themeColor="text1"/>
          <w:lang w:val="es-ES_tradnl" w:eastAsia="es-ES"/>
        </w:rPr>
        <w:t xml:space="preserve">la Resolución 256 del 11 de diciembre de 2020, «por la cual se adoptan los documentos tipo para los procesos de selección de concursos de méritos, para contratar la interventoría de obras públicas de infraestructura de transporte». En tal sentido, </w:t>
      </w:r>
      <w:r w:rsidRPr="00380823">
        <w:rPr>
          <w:rFonts w:ascii="Arial" w:eastAsia="Calibri" w:hAnsi="Arial" w:cs="Arial"/>
          <w:color w:val="000000" w:themeColor="text1"/>
          <w:lang w:val="es-ES_tradnl" w:eastAsia="es-ES"/>
        </w:rPr>
        <w:lastRenderedPageBreak/>
        <w:t>este documento tipo es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14:paraId="112E7C0D" w14:textId="77777777" w:rsidR="00380823" w:rsidRPr="00380823" w:rsidRDefault="00380823" w:rsidP="00380823">
      <w:pPr>
        <w:spacing w:after="0" w:line="276" w:lineRule="auto"/>
        <w:ind w:firstLine="709"/>
        <w:jc w:val="both"/>
        <w:rPr>
          <w:rFonts w:ascii="Arial" w:eastAsia="Calibri" w:hAnsi="Arial" w:cs="Arial"/>
          <w:color w:val="000000" w:themeColor="text1"/>
          <w:lang w:val="es-ES_tradnl" w:eastAsia="es-ES"/>
        </w:rPr>
      </w:pPr>
    </w:p>
    <w:p w14:paraId="3F59CADA" w14:textId="77777777" w:rsidR="00380823" w:rsidRPr="00380823" w:rsidRDefault="00380823" w:rsidP="00380823">
      <w:pPr>
        <w:spacing w:after="0" w:line="240" w:lineRule="auto"/>
        <w:ind w:left="709" w:right="709"/>
        <w:jc w:val="both"/>
        <w:rPr>
          <w:rFonts w:ascii="Arial" w:eastAsia="Calibri" w:hAnsi="Arial" w:cs="Arial"/>
          <w:color w:val="000000" w:themeColor="text1"/>
          <w:sz w:val="21"/>
          <w:szCs w:val="21"/>
          <w:lang w:val="es-ES_tradnl" w:eastAsia="es-ES"/>
        </w:rPr>
      </w:pPr>
      <w:r w:rsidRPr="00380823">
        <w:rPr>
          <w:rFonts w:ascii="Arial" w:eastAsia="Calibri" w:hAnsi="Arial" w:cs="Arial"/>
          <w:color w:val="000000" w:themeColor="text1"/>
          <w:sz w:val="21"/>
          <w:szCs w:val="21"/>
          <w:lang w:val="es-ES_tradnl" w:eastAsia="es-ES"/>
        </w:rPr>
        <w:t>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72C7E126" w14:textId="77777777" w:rsidR="00380823" w:rsidRPr="00380823" w:rsidRDefault="00380823" w:rsidP="00380823">
      <w:pPr>
        <w:spacing w:after="0" w:line="276" w:lineRule="auto"/>
        <w:jc w:val="both"/>
        <w:rPr>
          <w:rFonts w:ascii="Arial" w:eastAsia="Calibri" w:hAnsi="Arial" w:cs="Arial"/>
          <w:color w:val="000000" w:themeColor="text1"/>
          <w:lang w:val="es-ES_tradnl" w:eastAsia="es-ES"/>
        </w:rPr>
      </w:pPr>
    </w:p>
    <w:p w14:paraId="79157021" w14:textId="77777777" w:rsidR="00380823" w:rsidRPr="00380823" w:rsidRDefault="00380823" w:rsidP="00380823">
      <w:pPr>
        <w:spacing w:before="120" w:after="120" w:line="276" w:lineRule="auto"/>
        <w:ind w:firstLine="709"/>
        <w:jc w:val="both"/>
        <w:rPr>
          <w:rFonts w:ascii="Arial" w:eastAsia="Calibri" w:hAnsi="Arial" w:cs="Arial"/>
          <w:color w:val="000000" w:themeColor="text1"/>
          <w:lang w:val="es-ES_tradnl" w:eastAsia="es-ES"/>
        </w:rPr>
      </w:pPr>
      <w:r w:rsidRPr="00380823">
        <w:rPr>
          <w:rFonts w:ascii="Arial" w:eastAsia="Calibri" w:hAnsi="Arial" w:cs="Arial"/>
          <w:color w:val="000000" w:themeColor="text1"/>
          <w:lang w:val="es-ES_tradnl" w:eastAsia="es-ES"/>
        </w:rPr>
        <w:t>En tal sentido, siempre que se vaya a contratar la interventoría de alguno de los proyectos señalados en la «Matriz 1 – Experiencia» y la modalidad de selección aplicable sea el concurso de méritos, las entidades estatales deben aplicar este documento tipo –conforme al artículo 2 de la Resolución 256 de 2020–, pues «D</w:t>
      </w:r>
      <w:r w:rsidRPr="00380823">
        <w:rPr>
          <w:rFonts w:ascii="Arial" w:eastAsia="Calibri" w:hAnsi="Arial" w:cs="Arial"/>
          <w:color w:val="000000" w:themeColor="text1"/>
          <w:lang w:val="es-MX" w:eastAsia="es-ES"/>
        </w:rPr>
        <w:t>e conformidad con el artículo 1 de la Ley 2022 de 2020, los documentos tipo son obligatorios en la actividad contractual de las entidades estatales sometidas al Estatuto General de Contratación de la Administración Pública, en consecuencia, las entidades estatales al adelantar sus procedimientos de selección solo podrán modificarlos en los aspectos en que los documentos tipo lo permitan»</w:t>
      </w:r>
      <w:r w:rsidRPr="00380823">
        <w:rPr>
          <w:rFonts w:ascii="Arial" w:eastAsia="Calibri" w:hAnsi="Arial" w:cs="Arial"/>
          <w:color w:val="000000" w:themeColor="text1"/>
          <w:lang w:val="es-ES_tradnl" w:eastAsia="es-ES"/>
        </w:rPr>
        <w:t xml:space="preserve">. A su vez, es importante precisar que estos documentos tipo son obligatorios a partir del 1 de enero de 2021 o en una fecha posterior. </w:t>
      </w:r>
    </w:p>
    <w:p w14:paraId="467B8F9C" w14:textId="77777777" w:rsidR="00380823" w:rsidRPr="00380823" w:rsidRDefault="00380823" w:rsidP="00380823">
      <w:pPr>
        <w:spacing w:before="120" w:after="120" w:line="276" w:lineRule="auto"/>
        <w:ind w:firstLine="709"/>
        <w:jc w:val="both"/>
        <w:rPr>
          <w:rFonts w:ascii="Arial" w:eastAsia="Calibri" w:hAnsi="Arial" w:cs="Arial"/>
          <w:color w:val="000000" w:themeColor="text1"/>
          <w:lang w:val="es-ES_tradnl" w:eastAsia="es-ES"/>
        </w:rPr>
      </w:pPr>
      <w:r w:rsidRPr="00380823">
        <w:rPr>
          <w:rFonts w:ascii="Arial" w:eastAsia="Calibri" w:hAnsi="Arial" w:cs="Arial"/>
          <w:color w:val="000000" w:themeColor="text1"/>
          <w:lang w:val="es-ES_tradnl" w:eastAsia="es-ES"/>
        </w:rPr>
        <w:t xml:space="preserve">En todo caso, es importante precisar que recientemente la Agencia Nacional de Contratación Pública – Colombia Compra Eficiente expidió la Resolución 326 del 2022 «Por la cual se actualizan los documentos tipo para los procesos de contratación de concurso de méritos para contratar la interventoría de obras públicas de infraestructura de transporte y se deroga la Resolución 256 de 2020» con el fin de ajustar su contenido a lo dispuesto en el Decreto 1860 de 2021 y, además, ajustar otros numerales con el fin de dar mayor claridad en su aplicación. </w:t>
      </w:r>
    </w:p>
    <w:p w14:paraId="0D4123A0" w14:textId="77777777" w:rsidR="00380823" w:rsidRPr="00380823" w:rsidRDefault="00380823" w:rsidP="00380823">
      <w:pPr>
        <w:spacing w:before="120" w:after="120" w:line="276" w:lineRule="auto"/>
        <w:ind w:firstLine="709"/>
        <w:jc w:val="both"/>
        <w:rPr>
          <w:rFonts w:ascii="Arial" w:eastAsia="Calibri" w:hAnsi="Arial" w:cs="Arial"/>
          <w:color w:val="000000" w:themeColor="text1"/>
          <w:lang w:val="es-ES_tradnl" w:eastAsia="es-ES"/>
        </w:rPr>
      </w:pPr>
      <w:r w:rsidRPr="00380823">
        <w:rPr>
          <w:rFonts w:ascii="Arial" w:eastAsia="Calibri" w:hAnsi="Arial" w:cs="Arial"/>
          <w:color w:val="000000" w:themeColor="text1"/>
          <w:lang w:val="es-ES_tradnl" w:eastAsia="es-ES"/>
        </w:rPr>
        <w:t>Al respecto, es importante precisar que el artículo 5 de la Resolución 326 del 2022 establece que esta resolución aplicará a los procesos de selección de concurso de méritos en los que se pretenda contratar la interventoría de obras públicas de infraestructura de transporte, cuyo aviso de convocatoria se publique desde el 1 de noviembre del 2022</w:t>
      </w:r>
      <w:r w:rsidRPr="00380823">
        <w:rPr>
          <w:rFonts w:ascii="Arial" w:eastAsia="Calibri" w:hAnsi="Arial" w:cs="Arial"/>
          <w:color w:val="000000" w:themeColor="text1"/>
          <w:vertAlign w:val="superscript"/>
          <w:lang w:val="es-ES_tradnl" w:eastAsia="es-ES"/>
        </w:rPr>
        <w:footnoteReference w:id="2"/>
      </w:r>
      <w:r w:rsidRPr="00380823">
        <w:rPr>
          <w:rFonts w:ascii="Arial" w:eastAsia="Calibri" w:hAnsi="Arial" w:cs="Arial"/>
          <w:color w:val="000000" w:themeColor="text1"/>
          <w:lang w:val="es-ES_tradnl" w:eastAsia="es-ES"/>
        </w:rPr>
        <w:t>.</w:t>
      </w:r>
    </w:p>
    <w:p w14:paraId="17005D56" w14:textId="77777777" w:rsidR="00380823" w:rsidRPr="00380823" w:rsidRDefault="00380823" w:rsidP="00380823">
      <w:pPr>
        <w:spacing w:after="0" w:line="276" w:lineRule="auto"/>
        <w:ind w:firstLine="709"/>
        <w:jc w:val="both"/>
        <w:rPr>
          <w:rFonts w:ascii="Arial" w:eastAsia="Calibri" w:hAnsi="Arial" w:cs="Arial"/>
          <w:color w:val="000000" w:themeColor="text1"/>
          <w:lang w:val="es-ES_tradnl" w:eastAsia="es-ES"/>
        </w:rPr>
      </w:pPr>
      <w:r w:rsidRPr="00380823">
        <w:rPr>
          <w:rFonts w:ascii="Arial" w:eastAsia="Calibri" w:hAnsi="Arial" w:cs="Arial"/>
          <w:color w:val="000000" w:themeColor="text1"/>
          <w:lang w:val="es-ES_tradnl" w:eastAsia="es-ES"/>
        </w:rPr>
        <w:t>Explicado el fundamento normativo de los documentos tipo de interventoría de obra pública de infraestructura de transporte. A continuación, se explicará la experiencia mínima -</w:t>
      </w:r>
      <w:r w:rsidRPr="00380823">
        <w:rPr>
          <w:rFonts w:ascii="Arial" w:eastAsia="Calibri" w:hAnsi="Arial" w:cs="Arial"/>
          <w:color w:val="000000" w:themeColor="text1"/>
          <w:lang w:val="es-ES_tradnl" w:eastAsia="es-ES"/>
        </w:rPr>
        <w:lastRenderedPageBreak/>
        <w:t>habilitante- del proponente en los documentos tipo para procesos de selección de concurso de méritos y como factor de evaluación, para de esta forma determinar si es posible su subsanación.</w:t>
      </w:r>
    </w:p>
    <w:p w14:paraId="0409662A" w14:textId="77777777" w:rsidR="00380823" w:rsidRPr="00380823" w:rsidRDefault="00380823" w:rsidP="00380823">
      <w:pPr>
        <w:spacing w:after="0" w:line="276" w:lineRule="auto"/>
        <w:jc w:val="both"/>
        <w:rPr>
          <w:rFonts w:ascii="Arial" w:eastAsia="Calibri" w:hAnsi="Arial" w:cs="Arial"/>
          <w:color w:val="000000" w:themeColor="text1"/>
          <w:lang w:val="es-ES_tradnl" w:eastAsia="es-ES"/>
        </w:rPr>
      </w:pPr>
    </w:p>
    <w:p w14:paraId="77A11C64" w14:textId="77777777" w:rsidR="00380823" w:rsidRPr="00380823" w:rsidRDefault="00380823" w:rsidP="00380823">
      <w:pPr>
        <w:spacing w:after="0" w:line="276" w:lineRule="auto"/>
        <w:jc w:val="both"/>
        <w:rPr>
          <w:rFonts w:ascii="Arial" w:eastAsia="Calibri" w:hAnsi="Arial" w:cs="Arial"/>
          <w:shd w:val="clear" w:color="auto" w:fill="FFFFFF"/>
          <w:lang w:val="es-ES_tradnl"/>
        </w:rPr>
      </w:pPr>
      <w:r w:rsidRPr="00380823">
        <w:rPr>
          <w:rFonts w:ascii="Arial" w:eastAsia="Arial" w:hAnsi="Arial" w:cs="Arial"/>
          <w:b/>
          <w:bCs/>
          <w:color w:val="000000"/>
          <w:lang w:val="es-ES_tradnl"/>
        </w:rPr>
        <w:t xml:space="preserve">2.2. </w:t>
      </w:r>
      <w:r w:rsidRPr="00380823">
        <w:rPr>
          <w:rFonts w:ascii="Arial" w:eastAsia="Calibri" w:hAnsi="Arial" w:cs="Arial"/>
          <w:b/>
          <w:bCs/>
          <w:color w:val="000000" w:themeColor="text1"/>
          <w:lang w:val="es-ES_tradnl"/>
        </w:rPr>
        <w:t>Experiencia mínima habilitante del proponente en los documentos tipo para procesos de selección de concurso de méritos para contratar la interventoría de obras públicas de infraestructura de transporte</w:t>
      </w:r>
    </w:p>
    <w:p w14:paraId="7ACB1EF0" w14:textId="77777777" w:rsidR="00380823" w:rsidRPr="00380823" w:rsidRDefault="00380823" w:rsidP="00380823">
      <w:pPr>
        <w:spacing w:after="0" w:line="276" w:lineRule="auto"/>
        <w:jc w:val="both"/>
        <w:rPr>
          <w:rFonts w:ascii="Arial" w:eastAsia="Arial" w:hAnsi="Arial" w:cs="Arial"/>
          <w:lang w:val="es-MX" w:eastAsia="es-ES"/>
        </w:rPr>
      </w:pPr>
    </w:p>
    <w:p w14:paraId="5D6ECBB5" w14:textId="77777777" w:rsidR="00380823" w:rsidRPr="00380823" w:rsidRDefault="00380823" w:rsidP="00380823">
      <w:pPr>
        <w:spacing w:after="0" w:line="276" w:lineRule="auto"/>
        <w:jc w:val="both"/>
        <w:rPr>
          <w:rFonts w:ascii="Arial" w:eastAsia="Calibri" w:hAnsi="Arial" w:cs="Arial"/>
          <w:lang w:val="es-MX"/>
        </w:rPr>
      </w:pPr>
      <w:r w:rsidRPr="00380823">
        <w:rPr>
          <w:rFonts w:ascii="Arial" w:eastAsia="Arial" w:hAnsi="Arial" w:cs="Arial"/>
          <w:lang w:val="es-MX" w:eastAsia="es-ES"/>
        </w:rPr>
        <w:t>En el</w:t>
      </w:r>
      <w:r w:rsidRPr="00380823">
        <w:rPr>
          <w:rFonts w:ascii="Arial" w:eastAsia="Calibri" w:hAnsi="Arial" w:cs="Arial"/>
          <w:color w:val="000000" w:themeColor="text1"/>
          <w:lang w:val="es-ES_tradnl"/>
        </w:rPr>
        <w:t xml:space="preserve"> documento tipo de interventoría se estableció un requisito mínimo de experiencia habilitante, consistente en que el proponente debe acreditar que la sumatoria de los contratos aportados como experiencia es mayor o igual al cien por ciento (100%) respecto del valor total del presupuesto oficial expresado en SMMLV. </w:t>
      </w:r>
      <w:r w:rsidRPr="00380823">
        <w:rPr>
          <w:rFonts w:ascii="Arial" w:eastAsia="Calibri" w:hAnsi="Arial" w:cs="Arial"/>
          <w:lang w:val="es-MX"/>
        </w:rPr>
        <w:t>En este sentido, dicho numeral</w:t>
      </w:r>
      <w:r w:rsidRPr="00380823">
        <w:rPr>
          <w:rFonts w:ascii="Arial" w:eastAsia="Calibri" w:hAnsi="Arial" w:cs="Arial"/>
          <w:spacing w:val="1"/>
          <w:lang w:val="es-MX"/>
        </w:rPr>
        <w:t xml:space="preserve"> </w:t>
      </w:r>
      <w:r w:rsidRPr="00380823">
        <w:rPr>
          <w:rFonts w:ascii="Arial" w:eastAsia="Calibri" w:hAnsi="Arial" w:cs="Arial"/>
          <w:lang w:val="es-MX"/>
        </w:rPr>
        <w:t>señala</w:t>
      </w:r>
      <w:r w:rsidRPr="00380823">
        <w:rPr>
          <w:rFonts w:ascii="Arial" w:eastAsia="Calibri" w:hAnsi="Arial" w:cs="Arial"/>
          <w:spacing w:val="-1"/>
          <w:lang w:val="es-MX"/>
        </w:rPr>
        <w:t xml:space="preserve"> </w:t>
      </w:r>
      <w:r w:rsidRPr="00380823">
        <w:rPr>
          <w:rFonts w:ascii="Arial" w:eastAsia="Calibri" w:hAnsi="Arial" w:cs="Arial"/>
          <w:lang w:val="es-MX"/>
        </w:rPr>
        <w:t>lo</w:t>
      </w:r>
      <w:r w:rsidRPr="00380823">
        <w:rPr>
          <w:rFonts w:ascii="Arial" w:eastAsia="Calibri" w:hAnsi="Arial" w:cs="Arial"/>
          <w:spacing w:val="-2"/>
          <w:lang w:val="es-MX"/>
        </w:rPr>
        <w:t xml:space="preserve"> </w:t>
      </w:r>
      <w:r w:rsidRPr="00380823">
        <w:rPr>
          <w:rFonts w:ascii="Arial" w:eastAsia="Calibri" w:hAnsi="Arial" w:cs="Arial"/>
          <w:lang w:val="es-MX"/>
        </w:rPr>
        <w:t>siguiente:</w:t>
      </w:r>
    </w:p>
    <w:p w14:paraId="7E89B598" w14:textId="77777777" w:rsidR="00380823" w:rsidRPr="00380823" w:rsidRDefault="00380823" w:rsidP="00380823">
      <w:pPr>
        <w:widowControl w:val="0"/>
        <w:autoSpaceDE w:val="0"/>
        <w:autoSpaceDN w:val="0"/>
        <w:spacing w:after="0" w:line="240" w:lineRule="auto"/>
        <w:jc w:val="both"/>
        <w:rPr>
          <w:rFonts w:ascii="Arial" w:eastAsia="Arial MT" w:hAnsi="Arial" w:cs="Arial"/>
          <w:sz w:val="20"/>
          <w:lang w:val="es-ES"/>
        </w:rPr>
      </w:pPr>
    </w:p>
    <w:p w14:paraId="04087611" w14:textId="77777777" w:rsidR="00380823" w:rsidRPr="00380823" w:rsidRDefault="00380823" w:rsidP="00380823">
      <w:pPr>
        <w:tabs>
          <w:tab w:val="left" w:pos="1527"/>
        </w:tabs>
        <w:spacing w:after="120" w:line="240" w:lineRule="auto"/>
        <w:ind w:left="709" w:right="709"/>
        <w:jc w:val="both"/>
        <w:rPr>
          <w:rFonts w:ascii="Arial" w:eastAsia="Arial MT" w:hAnsi="Arial" w:cs="Arial"/>
          <w:b/>
          <w:bCs/>
          <w:sz w:val="20"/>
          <w:lang w:val="es-ES"/>
        </w:rPr>
      </w:pPr>
      <w:r w:rsidRPr="00380823">
        <w:rPr>
          <w:rFonts w:ascii="Arial" w:eastAsia="Calibri" w:hAnsi="Arial" w:cs="Arial"/>
          <w:b/>
          <w:bCs/>
          <w:sz w:val="21"/>
          <w:lang w:val="es-MX"/>
        </w:rPr>
        <w:t>3.8.1</w:t>
      </w:r>
      <w:r w:rsidRPr="00380823">
        <w:rPr>
          <w:rFonts w:ascii="Arial" w:eastAsia="Calibri" w:hAnsi="Arial" w:cs="Arial"/>
          <w:b/>
          <w:bCs/>
          <w:sz w:val="21"/>
          <w:lang w:val="es-MX"/>
        </w:rPr>
        <w:tab/>
        <w:t>EXIGENCIA</w:t>
      </w:r>
      <w:r w:rsidRPr="00380823">
        <w:rPr>
          <w:rFonts w:ascii="Arial" w:eastAsia="Calibri" w:hAnsi="Arial" w:cs="Arial"/>
          <w:b/>
          <w:bCs/>
          <w:spacing w:val="-6"/>
          <w:sz w:val="21"/>
          <w:lang w:val="es-MX"/>
        </w:rPr>
        <w:t xml:space="preserve"> </w:t>
      </w:r>
      <w:r w:rsidRPr="00380823">
        <w:rPr>
          <w:rFonts w:ascii="Arial" w:eastAsia="Calibri" w:hAnsi="Arial" w:cs="Arial"/>
          <w:b/>
          <w:bCs/>
          <w:sz w:val="21"/>
          <w:lang w:val="es-MX"/>
        </w:rPr>
        <w:t>MÍNIMA</w:t>
      </w:r>
      <w:r w:rsidRPr="00380823">
        <w:rPr>
          <w:rFonts w:ascii="Arial" w:eastAsia="Calibri" w:hAnsi="Arial" w:cs="Arial"/>
          <w:b/>
          <w:bCs/>
          <w:spacing w:val="-5"/>
          <w:sz w:val="21"/>
          <w:lang w:val="es-MX"/>
        </w:rPr>
        <w:t xml:space="preserve"> </w:t>
      </w:r>
      <w:r w:rsidRPr="00380823">
        <w:rPr>
          <w:rFonts w:ascii="Arial" w:eastAsia="Calibri" w:hAnsi="Arial" w:cs="Arial"/>
          <w:b/>
          <w:bCs/>
          <w:sz w:val="21"/>
          <w:lang w:val="es-MX"/>
        </w:rPr>
        <w:t>DE</w:t>
      </w:r>
      <w:r w:rsidRPr="00380823">
        <w:rPr>
          <w:rFonts w:ascii="Arial" w:eastAsia="Calibri" w:hAnsi="Arial" w:cs="Arial"/>
          <w:b/>
          <w:bCs/>
          <w:spacing w:val="-6"/>
          <w:sz w:val="21"/>
          <w:lang w:val="es-MX"/>
        </w:rPr>
        <w:t xml:space="preserve"> </w:t>
      </w:r>
      <w:r w:rsidRPr="00380823">
        <w:rPr>
          <w:rFonts w:ascii="Arial" w:eastAsia="Calibri" w:hAnsi="Arial" w:cs="Arial"/>
          <w:b/>
          <w:bCs/>
          <w:sz w:val="21"/>
          <w:lang w:val="es-MX"/>
        </w:rPr>
        <w:t>LA</w:t>
      </w:r>
      <w:r w:rsidRPr="00380823">
        <w:rPr>
          <w:rFonts w:ascii="Arial" w:eastAsia="Calibri" w:hAnsi="Arial" w:cs="Arial"/>
          <w:b/>
          <w:bCs/>
          <w:spacing w:val="-5"/>
          <w:sz w:val="21"/>
          <w:lang w:val="es-MX"/>
        </w:rPr>
        <w:t xml:space="preserve"> </w:t>
      </w:r>
      <w:r w:rsidRPr="00380823">
        <w:rPr>
          <w:rFonts w:ascii="Arial" w:eastAsia="Calibri" w:hAnsi="Arial" w:cs="Arial"/>
          <w:b/>
          <w:bCs/>
          <w:sz w:val="21"/>
          <w:lang w:val="es-MX"/>
        </w:rPr>
        <w:t>EXPERIENCIA</w:t>
      </w:r>
      <w:r w:rsidRPr="00380823">
        <w:rPr>
          <w:rFonts w:ascii="Arial" w:eastAsia="Calibri" w:hAnsi="Arial" w:cs="Arial"/>
          <w:b/>
          <w:bCs/>
          <w:spacing w:val="-6"/>
          <w:sz w:val="21"/>
          <w:lang w:val="es-MX"/>
        </w:rPr>
        <w:t xml:space="preserve"> </w:t>
      </w:r>
      <w:r w:rsidRPr="00380823">
        <w:rPr>
          <w:rFonts w:ascii="Arial" w:eastAsia="Calibri" w:hAnsi="Arial" w:cs="Arial"/>
          <w:b/>
          <w:bCs/>
          <w:sz w:val="21"/>
          <w:lang w:val="es-MX"/>
        </w:rPr>
        <w:t>DEL</w:t>
      </w:r>
      <w:r w:rsidRPr="00380823">
        <w:rPr>
          <w:rFonts w:ascii="Arial" w:eastAsia="Calibri" w:hAnsi="Arial" w:cs="Arial"/>
          <w:b/>
          <w:bCs/>
          <w:spacing w:val="-5"/>
          <w:sz w:val="21"/>
          <w:lang w:val="es-MX"/>
        </w:rPr>
        <w:t xml:space="preserve"> </w:t>
      </w:r>
      <w:r w:rsidRPr="00380823">
        <w:rPr>
          <w:rFonts w:ascii="Arial" w:eastAsia="Calibri" w:hAnsi="Arial" w:cs="Arial"/>
          <w:b/>
          <w:bCs/>
          <w:sz w:val="21"/>
          <w:lang w:val="es-MX"/>
        </w:rPr>
        <w:t>PROPONENTE</w:t>
      </w:r>
    </w:p>
    <w:p w14:paraId="53A628BD" w14:textId="77777777" w:rsidR="00380823" w:rsidRPr="00380823" w:rsidRDefault="00380823" w:rsidP="00380823">
      <w:pPr>
        <w:spacing w:after="120" w:line="240" w:lineRule="auto"/>
        <w:ind w:left="709" w:right="709"/>
        <w:jc w:val="both"/>
        <w:rPr>
          <w:rFonts w:ascii="Arial" w:eastAsia="Calibri" w:hAnsi="Arial" w:cs="Arial"/>
          <w:sz w:val="21"/>
          <w:lang w:val="es-MX"/>
        </w:rPr>
      </w:pPr>
      <w:r w:rsidRPr="00380823">
        <w:rPr>
          <w:rFonts w:ascii="Arial" w:eastAsia="Calibri" w:hAnsi="Arial" w:cs="Arial"/>
          <w:sz w:val="21"/>
          <w:lang w:val="es-MX"/>
        </w:rPr>
        <w:t>Para habilitarse en el procedimiento de selección, el proponente acreditará</w:t>
      </w:r>
      <w:r w:rsidRPr="00380823">
        <w:rPr>
          <w:rFonts w:ascii="Arial" w:eastAsia="Calibri" w:hAnsi="Arial" w:cs="Arial"/>
          <w:spacing w:val="1"/>
          <w:sz w:val="21"/>
          <w:lang w:val="es-MX"/>
        </w:rPr>
        <w:t xml:space="preserve"> </w:t>
      </w:r>
      <w:r w:rsidRPr="00380823">
        <w:rPr>
          <w:rFonts w:ascii="Arial" w:eastAsia="Calibri" w:hAnsi="Arial" w:cs="Arial"/>
          <w:sz w:val="21"/>
          <w:lang w:val="es-MX"/>
        </w:rPr>
        <w:t>que la sumatoria de los contratos aportados como experiencia es mayor o</w:t>
      </w:r>
      <w:r w:rsidRPr="00380823">
        <w:rPr>
          <w:rFonts w:ascii="Arial" w:eastAsia="Calibri" w:hAnsi="Arial" w:cs="Arial"/>
          <w:spacing w:val="1"/>
          <w:sz w:val="21"/>
          <w:lang w:val="es-MX"/>
        </w:rPr>
        <w:t xml:space="preserve"> </w:t>
      </w:r>
      <w:r w:rsidRPr="00380823">
        <w:rPr>
          <w:rFonts w:ascii="Arial" w:eastAsia="Calibri" w:hAnsi="Arial" w:cs="Arial"/>
          <w:sz w:val="21"/>
          <w:lang w:val="es-MX"/>
        </w:rPr>
        <w:t>igual</w:t>
      </w:r>
      <w:r w:rsidRPr="00380823">
        <w:rPr>
          <w:rFonts w:ascii="Arial" w:eastAsia="Calibri" w:hAnsi="Arial" w:cs="Arial"/>
          <w:spacing w:val="-12"/>
          <w:sz w:val="21"/>
          <w:lang w:val="es-MX"/>
        </w:rPr>
        <w:t xml:space="preserve"> </w:t>
      </w:r>
      <w:r w:rsidRPr="00380823">
        <w:rPr>
          <w:rFonts w:ascii="Arial" w:eastAsia="Calibri" w:hAnsi="Arial" w:cs="Arial"/>
          <w:sz w:val="21"/>
          <w:lang w:val="es-MX"/>
        </w:rPr>
        <w:t>al</w:t>
      </w:r>
      <w:r w:rsidRPr="00380823">
        <w:rPr>
          <w:rFonts w:ascii="Arial" w:eastAsia="Calibri" w:hAnsi="Arial" w:cs="Arial"/>
          <w:spacing w:val="-12"/>
          <w:sz w:val="21"/>
          <w:lang w:val="es-MX"/>
        </w:rPr>
        <w:t xml:space="preserve"> </w:t>
      </w:r>
      <w:r w:rsidRPr="00380823">
        <w:rPr>
          <w:rFonts w:ascii="Arial" w:eastAsia="Calibri" w:hAnsi="Arial" w:cs="Arial"/>
          <w:sz w:val="21"/>
          <w:lang w:val="es-MX"/>
        </w:rPr>
        <w:t>100%</w:t>
      </w:r>
      <w:r w:rsidRPr="00380823">
        <w:rPr>
          <w:rFonts w:ascii="Arial" w:eastAsia="Calibri" w:hAnsi="Arial" w:cs="Arial"/>
          <w:spacing w:val="-12"/>
          <w:sz w:val="21"/>
          <w:lang w:val="es-MX"/>
        </w:rPr>
        <w:t xml:space="preserve"> </w:t>
      </w:r>
      <w:r w:rsidRPr="00380823">
        <w:rPr>
          <w:rFonts w:ascii="Arial" w:eastAsia="Calibri" w:hAnsi="Arial" w:cs="Arial"/>
          <w:sz w:val="21"/>
          <w:lang w:val="es-MX"/>
        </w:rPr>
        <w:t>respecto</w:t>
      </w:r>
      <w:r w:rsidRPr="00380823">
        <w:rPr>
          <w:rFonts w:ascii="Arial" w:eastAsia="Calibri" w:hAnsi="Arial" w:cs="Arial"/>
          <w:spacing w:val="-12"/>
          <w:sz w:val="21"/>
          <w:lang w:val="es-MX"/>
        </w:rPr>
        <w:t xml:space="preserve"> </w:t>
      </w:r>
      <w:r w:rsidRPr="00380823">
        <w:rPr>
          <w:rFonts w:ascii="Arial" w:eastAsia="Calibri" w:hAnsi="Arial" w:cs="Arial"/>
          <w:sz w:val="21"/>
          <w:lang w:val="es-MX"/>
        </w:rPr>
        <w:t>del</w:t>
      </w:r>
      <w:r w:rsidRPr="00380823">
        <w:rPr>
          <w:rFonts w:ascii="Arial" w:eastAsia="Calibri" w:hAnsi="Arial" w:cs="Arial"/>
          <w:spacing w:val="-12"/>
          <w:sz w:val="21"/>
          <w:lang w:val="es-MX"/>
        </w:rPr>
        <w:t xml:space="preserve"> </w:t>
      </w:r>
      <w:r w:rsidRPr="00380823">
        <w:rPr>
          <w:rFonts w:ascii="Arial" w:eastAsia="Calibri" w:hAnsi="Arial" w:cs="Arial"/>
          <w:sz w:val="21"/>
          <w:lang w:val="es-MX"/>
        </w:rPr>
        <w:t>valor</w:t>
      </w:r>
      <w:r w:rsidRPr="00380823">
        <w:rPr>
          <w:rFonts w:ascii="Arial" w:eastAsia="Calibri" w:hAnsi="Arial" w:cs="Arial"/>
          <w:spacing w:val="-12"/>
          <w:sz w:val="21"/>
          <w:lang w:val="es-MX"/>
        </w:rPr>
        <w:t xml:space="preserve"> </w:t>
      </w:r>
      <w:r w:rsidRPr="00380823">
        <w:rPr>
          <w:rFonts w:ascii="Arial" w:eastAsia="Calibri" w:hAnsi="Arial" w:cs="Arial"/>
          <w:sz w:val="21"/>
          <w:lang w:val="es-MX"/>
        </w:rPr>
        <w:t>total</w:t>
      </w:r>
      <w:r w:rsidRPr="00380823">
        <w:rPr>
          <w:rFonts w:ascii="Arial" w:eastAsia="Calibri" w:hAnsi="Arial" w:cs="Arial"/>
          <w:spacing w:val="-11"/>
          <w:sz w:val="21"/>
          <w:lang w:val="es-MX"/>
        </w:rPr>
        <w:t xml:space="preserve"> </w:t>
      </w:r>
      <w:r w:rsidRPr="00380823">
        <w:rPr>
          <w:rFonts w:ascii="Arial" w:eastAsia="Calibri" w:hAnsi="Arial" w:cs="Arial"/>
          <w:sz w:val="21"/>
          <w:lang w:val="es-MX"/>
        </w:rPr>
        <w:t>del</w:t>
      </w:r>
      <w:r w:rsidRPr="00380823">
        <w:rPr>
          <w:rFonts w:ascii="Arial" w:eastAsia="Calibri" w:hAnsi="Arial" w:cs="Arial"/>
          <w:spacing w:val="-12"/>
          <w:sz w:val="21"/>
          <w:lang w:val="es-MX"/>
        </w:rPr>
        <w:t xml:space="preserve"> </w:t>
      </w:r>
      <w:r w:rsidRPr="00380823">
        <w:rPr>
          <w:rFonts w:ascii="Arial" w:eastAsia="Calibri" w:hAnsi="Arial" w:cs="Arial"/>
          <w:sz w:val="21"/>
          <w:lang w:val="es-MX"/>
        </w:rPr>
        <w:t>presupuesto</w:t>
      </w:r>
      <w:r w:rsidRPr="00380823">
        <w:rPr>
          <w:rFonts w:ascii="Arial" w:eastAsia="Calibri" w:hAnsi="Arial" w:cs="Arial"/>
          <w:spacing w:val="-12"/>
          <w:sz w:val="21"/>
          <w:lang w:val="es-MX"/>
        </w:rPr>
        <w:t xml:space="preserve"> </w:t>
      </w:r>
      <w:r w:rsidRPr="00380823">
        <w:rPr>
          <w:rFonts w:ascii="Arial" w:eastAsia="Calibri" w:hAnsi="Arial" w:cs="Arial"/>
          <w:sz w:val="21"/>
          <w:lang w:val="es-MX"/>
        </w:rPr>
        <w:t>oficial</w:t>
      </w:r>
      <w:r w:rsidRPr="00380823">
        <w:rPr>
          <w:rFonts w:ascii="Arial" w:eastAsia="Calibri" w:hAnsi="Arial" w:cs="Arial"/>
          <w:spacing w:val="-12"/>
          <w:sz w:val="21"/>
          <w:lang w:val="es-MX"/>
        </w:rPr>
        <w:t xml:space="preserve"> </w:t>
      </w:r>
      <w:r w:rsidRPr="00380823">
        <w:rPr>
          <w:rFonts w:ascii="Arial" w:eastAsia="Calibri" w:hAnsi="Arial" w:cs="Arial"/>
          <w:sz w:val="21"/>
          <w:lang w:val="es-MX"/>
        </w:rPr>
        <w:t>establecido</w:t>
      </w:r>
      <w:r w:rsidRPr="00380823">
        <w:rPr>
          <w:rFonts w:ascii="Arial" w:eastAsia="Calibri" w:hAnsi="Arial" w:cs="Arial"/>
          <w:spacing w:val="-12"/>
          <w:sz w:val="21"/>
          <w:lang w:val="es-MX"/>
        </w:rPr>
        <w:t xml:space="preserve"> </w:t>
      </w:r>
      <w:r w:rsidRPr="00380823">
        <w:rPr>
          <w:rFonts w:ascii="Arial" w:eastAsia="Calibri" w:hAnsi="Arial" w:cs="Arial"/>
          <w:sz w:val="21"/>
          <w:lang w:val="es-MX"/>
        </w:rPr>
        <w:t xml:space="preserve">para </w:t>
      </w:r>
      <w:r w:rsidRPr="00380823">
        <w:rPr>
          <w:rFonts w:ascii="Arial" w:eastAsia="Calibri" w:hAnsi="Arial" w:cs="Arial"/>
          <w:spacing w:val="-56"/>
          <w:sz w:val="21"/>
          <w:lang w:val="es-MX"/>
        </w:rPr>
        <w:t xml:space="preserve"> </w:t>
      </w:r>
      <w:r w:rsidRPr="00380823">
        <w:rPr>
          <w:rFonts w:ascii="Arial" w:eastAsia="Calibri" w:hAnsi="Arial" w:cs="Arial"/>
          <w:sz w:val="21"/>
          <w:lang w:val="es-MX"/>
        </w:rPr>
        <w:t>el presente proceso de selección expresado en SMMLV. Estos contratos</w:t>
      </w:r>
      <w:r w:rsidRPr="00380823">
        <w:rPr>
          <w:rFonts w:ascii="Arial" w:eastAsia="Calibri" w:hAnsi="Arial" w:cs="Arial"/>
          <w:spacing w:val="1"/>
          <w:sz w:val="21"/>
          <w:lang w:val="es-MX"/>
        </w:rPr>
        <w:t xml:space="preserve"> </w:t>
      </w:r>
      <w:r w:rsidRPr="00380823">
        <w:rPr>
          <w:rFonts w:ascii="Arial" w:eastAsia="Calibri" w:hAnsi="Arial" w:cs="Arial"/>
          <w:sz w:val="21"/>
          <w:lang w:val="es-MX"/>
        </w:rPr>
        <w:t>serán verificados en el RUP y en el Formato 3 – Experiencia, para los</w:t>
      </w:r>
      <w:r w:rsidRPr="00380823">
        <w:rPr>
          <w:rFonts w:ascii="Arial" w:eastAsia="Calibri" w:hAnsi="Arial" w:cs="Arial"/>
          <w:spacing w:val="1"/>
          <w:sz w:val="21"/>
          <w:lang w:val="es-MX"/>
        </w:rPr>
        <w:t xml:space="preserve"> </w:t>
      </w:r>
      <w:r w:rsidRPr="00380823">
        <w:rPr>
          <w:rFonts w:ascii="Arial" w:eastAsia="Calibri" w:hAnsi="Arial" w:cs="Arial"/>
          <w:sz w:val="21"/>
          <w:lang w:val="es-MX"/>
        </w:rPr>
        <w:t>proponentes</w:t>
      </w:r>
      <w:r w:rsidRPr="00380823">
        <w:rPr>
          <w:rFonts w:ascii="Arial" w:eastAsia="Calibri" w:hAnsi="Arial" w:cs="Arial"/>
          <w:spacing w:val="-8"/>
          <w:sz w:val="21"/>
          <w:lang w:val="es-MX"/>
        </w:rPr>
        <w:t xml:space="preserve"> </w:t>
      </w:r>
      <w:r w:rsidRPr="00380823">
        <w:rPr>
          <w:rFonts w:ascii="Arial" w:eastAsia="Calibri" w:hAnsi="Arial" w:cs="Arial"/>
          <w:sz w:val="21"/>
          <w:lang w:val="es-MX"/>
        </w:rPr>
        <w:t>que</w:t>
      </w:r>
      <w:r w:rsidRPr="00380823">
        <w:rPr>
          <w:rFonts w:ascii="Arial" w:eastAsia="Calibri" w:hAnsi="Arial" w:cs="Arial"/>
          <w:spacing w:val="-8"/>
          <w:sz w:val="21"/>
          <w:lang w:val="es-MX"/>
        </w:rPr>
        <w:t xml:space="preserve"> </w:t>
      </w:r>
      <w:r w:rsidRPr="00380823">
        <w:rPr>
          <w:rFonts w:ascii="Arial" w:eastAsia="Calibri" w:hAnsi="Arial" w:cs="Arial"/>
          <w:sz w:val="21"/>
          <w:lang w:val="es-MX"/>
        </w:rPr>
        <w:t>no</w:t>
      </w:r>
      <w:r w:rsidRPr="00380823">
        <w:rPr>
          <w:rFonts w:ascii="Arial" w:eastAsia="Calibri" w:hAnsi="Arial" w:cs="Arial"/>
          <w:spacing w:val="-7"/>
          <w:sz w:val="21"/>
          <w:lang w:val="es-MX"/>
        </w:rPr>
        <w:t xml:space="preserve"> </w:t>
      </w:r>
      <w:r w:rsidRPr="00380823">
        <w:rPr>
          <w:rFonts w:ascii="Arial" w:eastAsia="Calibri" w:hAnsi="Arial" w:cs="Arial"/>
          <w:sz w:val="21"/>
          <w:lang w:val="es-MX"/>
        </w:rPr>
        <w:t>están</w:t>
      </w:r>
      <w:r w:rsidRPr="00380823">
        <w:rPr>
          <w:rFonts w:ascii="Arial" w:eastAsia="Calibri" w:hAnsi="Arial" w:cs="Arial"/>
          <w:spacing w:val="-8"/>
          <w:sz w:val="21"/>
          <w:lang w:val="es-MX"/>
        </w:rPr>
        <w:t xml:space="preserve"> </w:t>
      </w:r>
      <w:r w:rsidRPr="00380823">
        <w:rPr>
          <w:rFonts w:ascii="Arial" w:eastAsia="Calibri" w:hAnsi="Arial" w:cs="Arial"/>
          <w:sz w:val="21"/>
          <w:lang w:val="es-MX"/>
        </w:rPr>
        <w:t>obligados</w:t>
      </w:r>
      <w:r w:rsidRPr="00380823">
        <w:rPr>
          <w:rFonts w:ascii="Arial" w:eastAsia="Calibri" w:hAnsi="Arial" w:cs="Arial"/>
          <w:spacing w:val="-7"/>
          <w:sz w:val="21"/>
          <w:lang w:val="es-MX"/>
        </w:rPr>
        <w:t xml:space="preserve"> </w:t>
      </w:r>
      <w:r w:rsidRPr="00380823">
        <w:rPr>
          <w:rFonts w:ascii="Arial" w:eastAsia="Calibri" w:hAnsi="Arial" w:cs="Arial"/>
          <w:sz w:val="21"/>
          <w:lang w:val="es-MX"/>
        </w:rPr>
        <w:t>a</w:t>
      </w:r>
      <w:r w:rsidRPr="00380823">
        <w:rPr>
          <w:rFonts w:ascii="Arial" w:eastAsia="Calibri" w:hAnsi="Arial" w:cs="Arial"/>
          <w:spacing w:val="-8"/>
          <w:sz w:val="21"/>
          <w:lang w:val="es-MX"/>
        </w:rPr>
        <w:t xml:space="preserve"> </w:t>
      </w:r>
      <w:r w:rsidRPr="00380823">
        <w:rPr>
          <w:rFonts w:ascii="Arial" w:eastAsia="Calibri" w:hAnsi="Arial" w:cs="Arial"/>
          <w:sz w:val="21"/>
          <w:lang w:val="es-MX"/>
        </w:rPr>
        <w:t>estar</w:t>
      </w:r>
      <w:r w:rsidRPr="00380823">
        <w:rPr>
          <w:rFonts w:ascii="Arial" w:eastAsia="Calibri" w:hAnsi="Arial" w:cs="Arial"/>
          <w:spacing w:val="-7"/>
          <w:sz w:val="21"/>
          <w:lang w:val="es-MX"/>
        </w:rPr>
        <w:t xml:space="preserve"> </w:t>
      </w:r>
      <w:r w:rsidRPr="00380823">
        <w:rPr>
          <w:rFonts w:ascii="Arial" w:eastAsia="Calibri" w:hAnsi="Arial" w:cs="Arial"/>
          <w:sz w:val="21"/>
          <w:lang w:val="es-MX"/>
        </w:rPr>
        <w:t>inscritos</w:t>
      </w:r>
      <w:r w:rsidRPr="00380823">
        <w:rPr>
          <w:rFonts w:ascii="Arial" w:eastAsia="Calibri" w:hAnsi="Arial" w:cs="Arial"/>
          <w:spacing w:val="-8"/>
          <w:sz w:val="21"/>
          <w:lang w:val="es-MX"/>
        </w:rPr>
        <w:t xml:space="preserve"> </w:t>
      </w:r>
      <w:r w:rsidRPr="00380823">
        <w:rPr>
          <w:rFonts w:ascii="Arial" w:eastAsia="Calibri" w:hAnsi="Arial" w:cs="Arial"/>
          <w:sz w:val="21"/>
          <w:lang w:val="es-MX"/>
        </w:rPr>
        <w:t>en</w:t>
      </w:r>
      <w:r w:rsidRPr="00380823">
        <w:rPr>
          <w:rFonts w:ascii="Arial" w:eastAsia="Calibri" w:hAnsi="Arial" w:cs="Arial"/>
          <w:spacing w:val="-7"/>
          <w:sz w:val="21"/>
          <w:lang w:val="es-MX"/>
        </w:rPr>
        <w:t xml:space="preserve"> </w:t>
      </w:r>
      <w:r w:rsidRPr="00380823">
        <w:rPr>
          <w:rFonts w:ascii="Arial" w:eastAsia="Calibri" w:hAnsi="Arial" w:cs="Arial"/>
          <w:sz w:val="21"/>
          <w:lang w:val="es-MX"/>
        </w:rPr>
        <w:t>el</w:t>
      </w:r>
      <w:r w:rsidRPr="00380823">
        <w:rPr>
          <w:rFonts w:ascii="Arial" w:eastAsia="Calibri" w:hAnsi="Arial" w:cs="Arial"/>
          <w:spacing w:val="-8"/>
          <w:sz w:val="21"/>
          <w:lang w:val="es-MX"/>
        </w:rPr>
        <w:t xml:space="preserve"> </w:t>
      </w:r>
      <w:r w:rsidRPr="00380823">
        <w:rPr>
          <w:rFonts w:ascii="Arial" w:eastAsia="Calibri" w:hAnsi="Arial" w:cs="Arial"/>
          <w:sz w:val="21"/>
          <w:lang w:val="es-MX"/>
        </w:rPr>
        <w:t>RUP,</w:t>
      </w:r>
      <w:r w:rsidRPr="00380823">
        <w:rPr>
          <w:rFonts w:ascii="Arial" w:eastAsia="Calibri" w:hAnsi="Arial" w:cs="Arial"/>
          <w:spacing w:val="-7"/>
          <w:sz w:val="21"/>
          <w:lang w:val="es-MX"/>
        </w:rPr>
        <w:t xml:space="preserve"> </w:t>
      </w:r>
      <w:r w:rsidRPr="00380823">
        <w:rPr>
          <w:rFonts w:ascii="Arial" w:eastAsia="Calibri" w:hAnsi="Arial" w:cs="Arial"/>
          <w:sz w:val="21"/>
          <w:lang w:val="es-MX"/>
        </w:rPr>
        <w:t>cumpliendo</w:t>
      </w:r>
      <w:r w:rsidRPr="00380823">
        <w:rPr>
          <w:rFonts w:ascii="Arial" w:eastAsia="Calibri" w:hAnsi="Arial" w:cs="Arial"/>
          <w:spacing w:val="-56"/>
          <w:sz w:val="21"/>
          <w:lang w:val="es-MX"/>
        </w:rPr>
        <w:t xml:space="preserve"> </w:t>
      </w:r>
      <w:r w:rsidRPr="00380823">
        <w:rPr>
          <w:rFonts w:ascii="Arial" w:eastAsia="Calibri" w:hAnsi="Arial" w:cs="Arial"/>
          <w:sz w:val="21"/>
          <w:lang w:val="es-MX"/>
        </w:rPr>
        <w:t>con los requisitos de experiencia previstos en el numeral “10.1 Experiencia</w:t>
      </w:r>
      <w:r w:rsidRPr="00380823">
        <w:rPr>
          <w:rFonts w:ascii="Arial" w:eastAsia="Calibri" w:hAnsi="Arial" w:cs="Arial"/>
          <w:spacing w:val="1"/>
          <w:sz w:val="21"/>
          <w:lang w:val="es-MX"/>
        </w:rPr>
        <w:t xml:space="preserve"> </w:t>
      </w:r>
      <w:r w:rsidRPr="00380823">
        <w:rPr>
          <w:rFonts w:ascii="Arial" w:eastAsia="Calibri" w:hAnsi="Arial" w:cs="Arial"/>
          <w:sz w:val="21"/>
          <w:lang w:val="es-MX"/>
        </w:rPr>
        <w:t>del</w:t>
      </w:r>
      <w:r w:rsidRPr="00380823">
        <w:rPr>
          <w:rFonts w:ascii="Arial" w:eastAsia="Calibri" w:hAnsi="Arial" w:cs="Arial"/>
          <w:spacing w:val="-2"/>
          <w:sz w:val="21"/>
          <w:lang w:val="es-MX"/>
        </w:rPr>
        <w:t xml:space="preserve"> </w:t>
      </w:r>
      <w:r w:rsidRPr="00380823">
        <w:rPr>
          <w:rFonts w:ascii="Arial" w:eastAsia="Calibri" w:hAnsi="Arial" w:cs="Arial"/>
          <w:sz w:val="21"/>
          <w:lang w:val="es-MX"/>
        </w:rPr>
        <w:t>proponente”.</w:t>
      </w:r>
    </w:p>
    <w:p w14:paraId="2875CE34" w14:textId="77777777" w:rsidR="00380823" w:rsidRPr="00380823" w:rsidRDefault="00380823" w:rsidP="00380823">
      <w:pPr>
        <w:spacing w:after="0" w:line="240" w:lineRule="auto"/>
        <w:ind w:left="709" w:right="709"/>
        <w:jc w:val="both"/>
        <w:rPr>
          <w:rFonts w:ascii="Arial" w:eastAsia="Calibri" w:hAnsi="Arial" w:cs="Arial"/>
          <w:sz w:val="21"/>
          <w:lang w:val="es-MX"/>
        </w:rPr>
      </w:pPr>
      <w:r w:rsidRPr="00380823">
        <w:rPr>
          <w:rFonts w:ascii="Arial" w:eastAsia="Calibri" w:hAnsi="Arial" w:cs="Arial"/>
          <w:sz w:val="21"/>
          <w:lang w:val="es-MX"/>
        </w:rPr>
        <w:t>En caso que con los contratos aportados no se acredite este porcentaje</w:t>
      </w:r>
      <w:r w:rsidRPr="00380823">
        <w:rPr>
          <w:rFonts w:ascii="Arial" w:eastAsia="Calibri" w:hAnsi="Arial" w:cs="Arial"/>
          <w:spacing w:val="1"/>
          <w:sz w:val="21"/>
          <w:lang w:val="es-MX"/>
        </w:rPr>
        <w:t xml:space="preserve"> </w:t>
      </w:r>
      <w:r w:rsidRPr="00380823">
        <w:rPr>
          <w:rFonts w:ascii="Arial" w:eastAsia="Calibri" w:hAnsi="Arial" w:cs="Arial"/>
          <w:sz w:val="21"/>
          <w:lang w:val="es-MX"/>
        </w:rPr>
        <w:t>mínimo, la entidad solicitará al proponente que subsane su oferta en los</w:t>
      </w:r>
      <w:r w:rsidRPr="00380823">
        <w:rPr>
          <w:rFonts w:ascii="Arial" w:eastAsia="Calibri" w:hAnsi="Arial" w:cs="Arial"/>
          <w:spacing w:val="1"/>
          <w:sz w:val="21"/>
          <w:lang w:val="es-MX"/>
        </w:rPr>
        <w:t xml:space="preserve"> </w:t>
      </w:r>
      <w:r w:rsidRPr="00380823">
        <w:rPr>
          <w:rFonts w:ascii="Arial" w:eastAsia="Calibri" w:hAnsi="Arial" w:cs="Arial"/>
          <w:sz w:val="21"/>
          <w:lang w:val="es-MX"/>
        </w:rPr>
        <w:t>términos del numeral 1.6. Si el proponente subsana el requisito mínimo de</w:t>
      </w:r>
      <w:r w:rsidRPr="00380823">
        <w:rPr>
          <w:rFonts w:ascii="Arial" w:eastAsia="Calibri" w:hAnsi="Arial" w:cs="Arial"/>
          <w:spacing w:val="1"/>
          <w:sz w:val="21"/>
          <w:lang w:val="es-MX"/>
        </w:rPr>
        <w:t xml:space="preserve"> </w:t>
      </w:r>
      <w:r w:rsidRPr="00380823">
        <w:rPr>
          <w:rFonts w:ascii="Arial" w:eastAsia="Calibri" w:hAnsi="Arial" w:cs="Arial"/>
          <w:sz w:val="21"/>
          <w:lang w:val="es-MX"/>
        </w:rPr>
        <w:t>experiencia, se habilitará en el proceso de contratación, pero no será objeto de puntuación</w:t>
      </w:r>
      <w:r w:rsidRPr="00380823">
        <w:rPr>
          <w:rFonts w:ascii="Arial" w:eastAsia="Calibri" w:hAnsi="Arial" w:cs="Arial"/>
          <w:spacing w:val="-7"/>
          <w:sz w:val="21"/>
          <w:lang w:val="es-MX"/>
        </w:rPr>
        <w:t xml:space="preserve"> </w:t>
      </w:r>
      <w:r w:rsidRPr="00380823">
        <w:rPr>
          <w:rFonts w:ascii="Arial" w:eastAsia="Calibri" w:hAnsi="Arial" w:cs="Arial"/>
          <w:sz w:val="21"/>
          <w:lang w:val="es-MX"/>
        </w:rPr>
        <w:t>en</w:t>
      </w:r>
      <w:r w:rsidRPr="00380823">
        <w:rPr>
          <w:rFonts w:ascii="Arial" w:eastAsia="Calibri" w:hAnsi="Arial" w:cs="Arial"/>
          <w:spacing w:val="-7"/>
          <w:sz w:val="21"/>
          <w:lang w:val="es-MX"/>
        </w:rPr>
        <w:t xml:space="preserve"> </w:t>
      </w:r>
      <w:r w:rsidRPr="00380823">
        <w:rPr>
          <w:rFonts w:ascii="Arial" w:eastAsia="Calibri" w:hAnsi="Arial" w:cs="Arial"/>
          <w:sz w:val="21"/>
          <w:lang w:val="es-MX"/>
        </w:rPr>
        <w:t>relación</w:t>
      </w:r>
      <w:r w:rsidRPr="00380823">
        <w:rPr>
          <w:rFonts w:ascii="Arial" w:eastAsia="Calibri" w:hAnsi="Arial" w:cs="Arial"/>
          <w:spacing w:val="-8"/>
          <w:sz w:val="21"/>
          <w:lang w:val="es-MX"/>
        </w:rPr>
        <w:t xml:space="preserve"> </w:t>
      </w:r>
      <w:r w:rsidRPr="00380823">
        <w:rPr>
          <w:rFonts w:ascii="Arial" w:eastAsia="Calibri" w:hAnsi="Arial" w:cs="Arial"/>
          <w:sz w:val="21"/>
          <w:lang w:val="es-MX"/>
        </w:rPr>
        <w:t>con</w:t>
      </w:r>
      <w:r w:rsidRPr="00380823">
        <w:rPr>
          <w:rFonts w:ascii="Arial" w:eastAsia="Calibri" w:hAnsi="Arial" w:cs="Arial"/>
          <w:spacing w:val="-7"/>
          <w:sz w:val="21"/>
          <w:lang w:val="es-MX"/>
        </w:rPr>
        <w:t xml:space="preserve"> </w:t>
      </w:r>
      <w:r w:rsidRPr="00380823">
        <w:rPr>
          <w:rFonts w:ascii="Arial" w:eastAsia="Calibri" w:hAnsi="Arial" w:cs="Arial"/>
          <w:sz w:val="21"/>
          <w:lang w:val="es-MX"/>
        </w:rPr>
        <w:t>este</w:t>
      </w:r>
      <w:r w:rsidRPr="00380823">
        <w:rPr>
          <w:rFonts w:ascii="Arial" w:eastAsia="Calibri" w:hAnsi="Arial" w:cs="Arial"/>
          <w:spacing w:val="-7"/>
          <w:sz w:val="21"/>
          <w:lang w:val="es-MX"/>
        </w:rPr>
        <w:t xml:space="preserve"> </w:t>
      </w:r>
      <w:r w:rsidRPr="00380823">
        <w:rPr>
          <w:rFonts w:ascii="Arial" w:eastAsia="Calibri" w:hAnsi="Arial" w:cs="Arial"/>
          <w:sz w:val="21"/>
          <w:lang w:val="es-MX"/>
        </w:rPr>
        <w:t>factor</w:t>
      </w:r>
      <w:r w:rsidRPr="00380823">
        <w:rPr>
          <w:rFonts w:ascii="Arial" w:eastAsia="Calibri" w:hAnsi="Arial" w:cs="Arial"/>
          <w:spacing w:val="-7"/>
          <w:sz w:val="21"/>
          <w:lang w:val="es-MX"/>
        </w:rPr>
        <w:t xml:space="preserve"> </w:t>
      </w:r>
      <w:r w:rsidRPr="00380823">
        <w:rPr>
          <w:rFonts w:ascii="Arial" w:eastAsia="Calibri" w:hAnsi="Arial" w:cs="Arial"/>
          <w:sz w:val="21"/>
          <w:lang w:val="es-MX"/>
        </w:rPr>
        <w:t>de</w:t>
      </w:r>
      <w:r w:rsidRPr="00380823">
        <w:rPr>
          <w:rFonts w:ascii="Arial" w:eastAsia="Calibri" w:hAnsi="Arial" w:cs="Arial"/>
          <w:spacing w:val="-7"/>
          <w:sz w:val="21"/>
          <w:lang w:val="es-MX"/>
        </w:rPr>
        <w:t xml:space="preserve"> </w:t>
      </w:r>
      <w:r w:rsidRPr="00380823">
        <w:rPr>
          <w:rFonts w:ascii="Arial" w:eastAsia="Calibri" w:hAnsi="Arial" w:cs="Arial"/>
          <w:sz w:val="21"/>
          <w:lang w:val="es-MX"/>
        </w:rPr>
        <w:t>evaluación,</w:t>
      </w:r>
      <w:r w:rsidRPr="00380823">
        <w:rPr>
          <w:rFonts w:ascii="Arial" w:eastAsia="Calibri" w:hAnsi="Arial" w:cs="Arial"/>
          <w:spacing w:val="-7"/>
          <w:sz w:val="21"/>
          <w:lang w:val="es-MX"/>
        </w:rPr>
        <w:t xml:space="preserve"> </w:t>
      </w:r>
      <w:r w:rsidRPr="00380823">
        <w:rPr>
          <w:rFonts w:ascii="Arial" w:eastAsia="Calibri" w:hAnsi="Arial" w:cs="Arial"/>
          <w:sz w:val="21"/>
          <w:lang w:val="es-MX"/>
        </w:rPr>
        <w:t>por</w:t>
      </w:r>
      <w:r w:rsidRPr="00380823">
        <w:rPr>
          <w:rFonts w:ascii="Arial" w:eastAsia="Calibri" w:hAnsi="Arial" w:cs="Arial"/>
          <w:spacing w:val="-8"/>
          <w:sz w:val="21"/>
          <w:lang w:val="es-MX"/>
        </w:rPr>
        <w:t xml:space="preserve"> </w:t>
      </w:r>
      <w:r w:rsidRPr="00380823">
        <w:rPr>
          <w:rFonts w:ascii="Arial" w:eastAsia="Calibri" w:hAnsi="Arial" w:cs="Arial"/>
          <w:sz w:val="21"/>
          <w:lang w:val="es-MX"/>
        </w:rPr>
        <w:t>lo</w:t>
      </w:r>
      <w:r w:rsidRPr="00380823">
        <w:rPr>
          <w:rFonts w:ascii="Arial" w:eastAsia="Calibri" w:hAnsi="Arial" w:cs="Arial"/>
          <w:spacing w:val="-7"/>
          <w:sz w:val="21"/>
          <w:lang w:val="es-MX"/>
        </w:rPr>
        <w:t xml:space="preserve"> </w:t>
      </w:r>
      <w:r w:rsidRPr="00380823">
        <w:rPr>
          <w:rFonts w:ascii="Arial" w:eastAsia="Calibri" w:hAnsi="Arial" w:cs="Arial"/>
          <w:sz w:val="21"/>
          <w:lang w:val="es-MX"/>
        </w:rPr>
        <w:t>que</w:t>
      </w:r>
      <w:r w:rsidRPr="00380823">
        <w:rPr>
          <w:rFonts w:ascii="Arial" w:eastAsia="Calibri" w:hAnsi="Arial" w:cs="Arial"/>
          <w:spacing w:val="-7"/>
          <w:sz w:val="21"/>
          <w:lang w:val="es-MX"/>
        </w:rPr>
        <w:t xml:space="preserve"> </w:t>
      </w:r>
      <w:r w:rsidRPr="00380823">
        <w:rPr>
          <w:rFonts w:ascii="Arial" w:eastAsia="Calibri" w:hAnsi="Arial" w:cs="Arial"/>
          <w:sz w:val="21"/>
          <w:lang w:val="es-MX"/>
        </w:rPr>
        <w:t>obtendrá</w:t>
      </w:r>
      <w:r w:rsidRPr="00380823">
        <w:rPr>
          <w:rFonts w:ascii="Arial" w:eastAsia="Calibri" w:hAnsi="Arial" w:cs="Arial"/>
          <w:spacing w:val="-56"/>
          <w:sz w:val="21"/>
          <w:lang w:val="es-MX"/>
        </w:rPr>
        <w:t xml:space="preserve"> </w:t>
      </w:r>
      <w:r w:rsidRPr="00380823">
        <w:rPr>
          <w:rFonts w:ascii="Arial" w:eastAsia="Calibri" w:hAnsi="Arial" w:cs="Arial"/>
          <w:sz w:val="21"/>
          <w:lang w:val="es-MX"/>
        </w:rPr>
        <w:t>cero</w:t>
      </w:r>
      <w:r w:rsidRPr="00380823">
        <w:rPr>
          <w:rFonts w:ascii="Arial" w:eastAsia="Calibri" w:hAnsi="Arial" w:cs="Arial"/>
          <w:spacing w:val="-2"/>
          <w:sz w:val="21"/>
          <w:lang w:val="es-MX"/>
        </w:rPr>
        <w:t xml:space="preserve"> </w:t>
      </w:r>
      <w:r w:rsidRPr="00380823">
        <w:rPr>
          <w:rFonts w:ascii="Arial" w:eastAsia="Calibri" w:hAnsi="Arial" w:cs="Arial"/>
          <w:sz w:val="21"/>
          <w:lang w:val="es-MX"/>
        </w:rPr>
        <w:t>(0)</w:t>
      </w:r>
      <w:r w:rsidRPr="00380823">
        <w:rPr>
          <w:rFonts w:ascii="Arial" w:eastAsia="Calibri" w:hAnsi="Arial" w:cs="Arial"/>
          <w:spacing w:val="-2"/>
          <w:sz w:val="21"/>
          <w:lang w:val="es-MX"/>
        </w:rPr>
        <w:t xml:space="preserve"> </w:t>
      </w:r>
      <w:r w:rsidRPr="00380823">
        <w:rPr>
          <w:rFonts w:ascii="Arial" w:eastAsia="Calibri" w:hAnsi="Arial" w:cs="Arial"/>
          <w:sz w:val="21"/>
          <w:lang w:val="es-MX"/>
        </w:rPr>
        <w:t>puntos</w:t>
      </w:r>
      <w:r w:rsidRPr="00380823">
        <w:rPr>
          <w:rFonts w:ascii="Arial" w:eastAsia="Calibri" w:hAnsi="Arial" w:cs="Arial"/>
          <w:spacing w:val="-2"/>
          <w:sz w:val="21"/>
          <w:lang w:val="es-MX"/>
        </w:rPr>
        <w:t xml:space="preserve"> </w:t>
      </w:r>
      <w:r w:rsidRPr="00380823">
        <w:rPr>
          <w:rFonts w:ascii="Arial" w:eastAsia="Calibri" w:hAnsi="Arial" w:cs="Arial"/>
          <w:sz w:val="21"/>
          <w:lang w:val="es-MX"/>
        </w:rPr>
        <w:t>por</w:t>
      </w:r>
      <w:r w:rsidRPr="00380823">
        <w:rPr>
          <w:rFonts w:ascii="Arial" w:eastAsia="Calibri" w:hAnsi="Arial" w:cs="Arial"/>
          <w:spacing w:val="-2"/>
          <w:sz w:val="21"/>
          <w:lang w:val="es-MX"/>
        </w:rPr>
        <w:t xml:space="preserve"> </w:t>
      </w:r>
      <w:r w:rsidRPr="00380823">
        <w:rPr>
          <w:rFonts w:ascii="Arial" w:eastAsia="Calibri" w:hAnsi="Arial" w:cs="Arial"/>
          <w:sz w:val="21"/>
          <w:lang w:val="es-MX"/>
        </w:rPr>
        <w:t>el</w:t>
      </w:r>
      <w:r w:rsidRPr="00380823">
        <w:rPr>
          <w:rFonts w:ascii="Arial" w:eastAsia="Calibri" w:hAnsi="Arial" w:cs="Arial"/>
          <w:spacing w:val="-2"/>
          <w:sz w:val="21"/>
          <w:lang w:val="es-MX"/>
        </w:rPr>
        <w:t xml:space="preserve"> </w:t>
      </w:r>
      <w:r w:rsidRPr="00380823">
        <w:rPr>
          <w:rFonts w:ascii="Arial" w:eastAsia="Calibri" w:hAnsi="Arial" w:cs="Arial"/>
          <w:sz w:val="21"/>
          <w:lang w:val="es-MX"/>
        </w:rPr>
        <w:t>factor</w:t>
      </w:r>
      <w:r w:rsidRPr="00380823">
        <w:rPr>
          <w:rFonts w:ascii="Arial" w:eastAsia="Calibri" w:hAnsi="Arial" w:cs="Arial"/>
          <w:spacing w:val="2"/>
          <w:sz w:val="21"/>
          <w:lang w:val="es-MX"/>
        </w:rPr>
        <w:t xml:space="preserve"> </w:t>
      </w:r>
      <w:r w:rsidRPr="00380823">
        <w:rPr>
          <w:rFonts w:ascii="Arial" w:eastAsia="Calibri" w:hAnsi="Arial" w:cs="Arial"/>
          <w:sz w:val="21"/>
          <w:lang w:val="es-MX"/>
        </w:rPr>
        <w:t>“experiencia</w:t>
      </w:r>
      <w:r w:rsidRPr="00380823">
        <w:rPr>
          <w:rFonts w:ascii="Arial" w:eastAsia="Calibri" w:hAnsi="Arial" w:cs="Arial"/>
          <w:spacing w:val="-2"/>
          <w:sz w:val="21"/>
          <w:lang w:val="es-MX"/>
        </w:rPr>
        <w:t xml:space="preserve"> </w:t>
      </w:r>
      <w:r w:rsidRPr="00380823">
        <w:rPr>
          <w:rFonts w:ascii="Arial" w:eastAsia="Calibri" w:hAnsi="Arial" w:cs="Arial"/>
          <w:sz w:val="21"/>
          <w:lang w:val="es-MX"/>
        </w:rPr>
        <w:t>del</w:t>
      </w:r>
      <w:r w:rsidRPr="00380823">
        <w:rPr>
          <w:rFonts w:ascii="Arial" w:eastAsia="Calibri" w:hAnsi="Arial" w:cs="Arial"/>
          <w:spacing w:val="-1"/>
          <w:sz w:val="21"/>
          <w:lang w:val="es-MX"/>
        </w:rPr>
        <w:t xml:space="preserve"> </w:t>
      </w:r>
      <w:r w:rsidRPr="00380823">
        <w:rPr>
          <w:rFonts w:ascii="Arial" w:eastAsia="Calibri" w:hAnsi="Arial" w:cs="Arial"/>
          <w:sz w:val="21"/>
          <w:lang w:val="es-MX"/>
        </w:rPr>
        <w:t>proponente”.</w:t>
      </w:r>
    </w:p>
    <w:p w14:paraId="4A7457D0" w14:textId="77777777" w:rsidR="00380823" w:rsidRPr="00380823" w:rsidRDefault="00380823" w:rsidP="00380823">
      <w:pPr>
        <w:widowControl w:val="0"/>
        <w:autoSpaceDE w:val="0"/>
        <w:autoSpaceDN w:val="0"/>
        <w:spacing w:after="0" w:line="240" w:lineRule="auto"/>
        <w:ind w:left="709" w:right="709"/>
        <w:jc w:val="both"/>
        <w:rPr>
          <w:rFonts w:ascii="Arial" w:eastAsia="Arial MT" w:hAnsi="Arial" w:cs="Arial"/>
          <w:sz w:val="20"/>
          <w:lang w:val="es-ES"/>
        </w:rPr>
      </w:pPr>
    </w:p>
    <w:p w14:paraId="6C59A5DE" w14:textId="77777777" w:rsidR="00380823" w:rsidRPr="00380823" w:rsidRDefault="00380823" w:rsidP="00380823">
      <w:pPr>
        <w:widowControl w:val="0"/>
        <w:autoSpaceDE w:val="0"/>
        <w:autoSpaceDN w:val="0"/>
        <w:spacing w:after="120" w:line="276" w:lineRule="auto"/>
        <w:ind w:firstLine="709"/>
        <w:jc w:val="both"/>
        <w:rPr>
          <w:rFonts w:ascii="Arial" w:eastAsia="Arial MT" w:hAnsi="Arial" w:cs="Arial"/>
          <w:color w:val="000000" w:themeColor="text1"/>
          <w:lang w:val="es-ES_tradnl"/>
        </w:rPr>
      </w:pPr>
      <w:r w:rsidRPr="00380823">
        <w:rPr>
          <w:rFonts w:ascii="Arial" w:eastAsia="Arial MT" w:hAnsi="Arial" w:cs="Arial"/>
          <w:lang w:val="es-ES"/>
        </w:rPr>
        <w:t>De acuerdo con lo anterior, con los contratos aportados por el proponente para acreditar la experiencia se debe certificar un valor mínimo correspondiente a un porcentaje del</w:t>
      </w:r>
      <w:r w:rsidRPr="00380823">
        <w:rPr>
          <w:rFonts w:ascii="Arial" w:eastAsia="Arial MT" w:hAnsi="Arial" w:cs="Arial"/>
          <w:spacing w:val="1"/>
          <w:lang w:val="es-ES"/>
        </w:rPr>
        <w:t xml:space="preserve"> </w:t>
      </w:r>
      <w:r w:rsidRPr="00380823">
        <w:rPr>
          <w:rFonts w:ascii="Arial" w:eastAsia="Arial MT" w:hAnsi="Arial" w:cs="Arial"/>
          <w:lang w:val="es-ES"/>
        </w:rPr>
        <w:t>presupuesto</w:t>
      </w:r>
      <w:r w:rsidRPr="00380823">
        <w:rPr>
          <w:rFonts w:ascii="Arial" w:eastAsia="Arial MT" w:hAnsi="Arial" w:cs="Arial"/>
          <w:spacing w:val="-14"/>
          <w:lang w:val="es-ES"/>
        </w:rPr>
        <w:t xml:space="preserve"> </w:t>
      </w:r>
      <w:r w:rsidRPr="00380823">
        <w:rPr>
          <w:rFonts w:ascii="Arial" w:eastAsia="Arial MT" w:hAnsi="Arial" w:cs="Arial"/>
          <w:lang w:val="es-ES"/>
        </w:rPr>
        <w:t>oficial</w:t>
      </w:r>
      <w:r w:rsidRPr="00380823">
        <w:rPr>
          <w:rFonts w:ascii="Arial" w:eastAsia="Arial MT" w:hAnsi="Arial" w:cs="Arial"/>
          <w:spacing w:val="-14"/>
          <w:lang w:val="es-ES"/>
        </w:rPr>
        <w:t xml:space="preserve"> </w:t>
      </w:r>
      <w:r w:rsidRPr="00380823">
        <w:rPr>
          <w:rFonts w:ascii="Arial" w:eastAsia="Arial MT" w:hAnsi="Arial" w:cs="Arial"/>
          <w:lang w:val="es-ES"/>
        </w:rPr>
        <w:t>del</w:t>
      </w:r>
      <w:r w:rsidRPr="00380823">
        <w:rPr>
          <w:rFonts w:ascii="Arial" w:eastAsia="Arial MT" w:hAnsi="Arial" w:cs="Arial"/>
          <w:spacing w:val="-13"/>
          <w:lang w:val="es-ES"/>
        </w:rPr>
        <w:t xml:space="preserve"> </w:t>
      </w:r>
      <w:r w:rsidRPr="00380823">
        <w:rPr>
          <w:rFonts w:ascii="Arial" w:eastAsia="Arial MT" w:hAnsi="Arial" w:cs="Arial"/>
          <w:lang w:val="es-ES"/>
        </w:rPr>
        <w:t>proceso</w:t>
      </w:r>
      <w:r w:rsidRPr="00380823">
        <w:rPr>
          <w:rFonts w:ascii="Arial" w:eastAsia="Arial MT" w:hAnsi="Arial" w:cs="Arial"/>
          <w:spacing w:val="-14"/>
          <w:lang w:val="es-ES"/>
        </w:rPr>
        <w:t xml:space="preserve"> </w:t>
      </w:r>
      <w:r w:rsidRPr="00380823">
        <w:rPr>
          <w:rFonts w:ascii="Arial" w:eastAsia="Arial MT" w:hAnsi="Arial" w:cs="Arial"/>
          <w:lang w:val="es-ES"/>
        </w:rPr>
        <w:t>de</w:t>
      </w:r>
      <w:r w:rsidRPr="00380823">
        <w:rPr>
          <w:rFonts w:ascii="Arial" w:eastAsia="Arial MT" w:hAnsi="Arial" w:cs="Arial"/>
          <w:spacing w:val="-13"/>
          <w:lang w:val="es-ES"/>
        </w:rPr>
        <w:t xml:space="preserve"> </w:t>
      </w:r>
      <w:r w:rsidRPr="00380823">
        <w:rPr>
          <w:rFonts w:ascii="Arial" w:eastAsia="Arial MT" w:hAnsi="Arial" w:cs="Arial"/>
          <w:lang w:val="es-ES"/>
        </w:rPr>
        <w:t>interventoría</w:t>
      </w:r>
      <w:r w:rsidRPr="00380823">
        <w:rPr>
          <w:rFonts w:ascii="Arial" w:eastAsia="Arial MT" w:hAnsi="Arial" w:cs="Arial"/>
          <w:spacing w:val="-14"/>
          <w:lang w:val="es-ES"/>
        </w:rPr>
        <w:t xml:space="preserve"> </w:t>
      </w:r>
      <w:r w:rsidRPr="00380823">
        <w:rPr>
          <w:rFonts w:ascii="Arial" w:eastAsia="Arial MT" w:hAnsi="Arial" w:cs="Arial"/>
          <w:lang w:val="es-ES"/>
        </w:rPr>
        <w:t>expresado</w:t>
      </w:r>
      <w:r w:rsidRPr="00380823">
        <w:rPr>
          <w:rFonts w:ascii="Arial" w:eastAsia="Arial MT" w:hAnsi="Arial" w:cs="Arial"/>
          <w:spacing w:val="-13"/>
          <w:lang w:val="es-ES"/>
        </w:rPr>
        <w:t xml:space="preserve"> </w:t>
      </w:r>
      <w:r w:rsidRPr="00380823">
        <w:rPr>
          <w:rFonts w:ascii="Arial" w:eastAsia="Arial MT" w:hAnsi="Arial" w:cs="Arial"/>
          <w:lang w:val="es-ES"/>
        </w:rPr>
        <w:t>en</w:t>
      </w:r>
      <w:r w:rsidRPr="00380823">
        <w:rPr>
          <w:rFonts w:ascii="Arial" w:eastAsia="Arial MT" w:hAnsi="Arial" w:cs="Arial"/>
          <w:spacing w:val="-14"/>
          <w:lang w:val="es-ES"/>
        </w:rPr>
        <w:t xml:space="preserve"> </w:t>
      </w:r>
      <w:r w:rsidRPr="00380823">
        <w:rPr>
          <w:rFonts w:ascii="Arial" w:eastAsia="Arial MT" w:hAnsi="Arial" w:cs="Arial"/>
          <w:lang w:val="es-ES"/>
        </w:rPr>
        <w:t>SMMLV,</w:t>
      </w:r>
      <w:r w:rsidRPr="00380823">
        <w:rPr>
          <w:rFonts w:ascii="Arial" w:eastAsia="Arial MT" w:hAnsi="Arial" w:cs="Arial"/>
          <w:spacing w:val="-12"/>
          <w:lang w:val="es-ES"/>
        </w:rPr>
        <w:t xml:space="preserve"> </w:t>
      </w:r>
      <w:r w:rsidRPr="00380823">
        <w:rPr>
          <w:rFonts w:ascii="Arial" w:eastAsia="Arial MT" w:hAnsi="Arial" w:cs="Arial"/>
          <w:lang w:val="es-ES"/>
        </w:rPr>
        <w:t>cuya</w:t>
      </w:r>
      <w:r w:rsidRPr="00380823">
        <w:rPr>
          <w:rFonts w:ascii="Arial" w:eastAsia="Arial MT" w:hAnsi="Arial" w:cs="Arial"/>
          <w:spacing w:val="-14"/>
          <w:lang w:val="es-ES"/>
        </w:rPr>
        <w:t xml:space="preserve"> </w:t>
      </w:r>
      <w:r w:rsidRPr="00380823">
        <w:rPr>
          <w:rFonts w:ascii="Arial" w:eastAsia="Arial MT" w:hAnsi="Arial" w:cs="Arial"/>
          <w:lang w:val="es-ES"/>
        </w:rPr>
        <w:t>verificación</w:t>
      </w:r>
      <w:r w:rsidRPr="00380823">
        <w:rPr>
          <w:rFonts w:ascii="Arial" w:eastAsia="Arial MT" w:hAnsi="Arial" w:cs="Arial"/>
          <w:spacing w:val="-13"/>
          <w:lang w:val="es-ES"/>
        </w:rPr>
        <w:t xml:space="preserve"> </w:t>
      </w:r>
      <w:r w:rsidRPr="00380823">
        <w:rPr>
          <w:rFonts w:ascii="Arial" w:eastAsia="Arial MT" w:hAnsi="Arial" w:cs="Arial"/>
          <w:lang w:val="es-ES"/>
        </w:rPr>
        <w:t xml:space="preserve">se hará con base en la sumatoria de los valores totales ejecutados de los contratos que cumplan con los requisitos establecidos en el pliego de condiciones. </w:t>
      </w:r>
      <w:r w:rsidRPr="00380823">
        <w:rPr>
          <w:rFonts w:ascii="Arial" w:eastAsia="Arial MT" w:hAnsi="Arial" w:cs="Arial"/>
          <w:color w:val="000000" w:themeColor="text1"/>
          <w:lang w:val="es-ES_tradnl"/>
        </w:rPr>
        <w:t xml:space="preserve">El fundamento para exigir esta experiencia mínima radica en la inconveniencia de adjudicarle el contrato a un proponente que, por ejemplo, no cuenta con ninguna experiencia o no logra acreditar esta idoneidad mínima. En tal sentido, el cumplimiento de la exigencia indicada consistente en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 </w:t>
      </w:r>
    </w:p>
    <w:p w14:paraId="463D37A6" w14:textId="77777777" w:rsidR="00380823" w:rsidRPr="00380823" w:rsidRDefault="00380823" w:rsidP="00380823">
      <w:pPr>
        <w:widowControl w:val="0"/>
        <w:autoSpaceDE w:val="0"/>
        <w:autoSpaceDN w:val="0"/>
        <w:spacing w:after="120" w:line="276" w:lineRule="auto"/>
        <w:ind w:firstLine="709"/>
        <w:jc w:val="both"/>
        <w:rPr>
          <w:rFonts w:ascii="Arial" w:eastAsia="Arial MT" w:hAnsi="Arial" w:cs="Arial"/>
          <w:lang w:val="es-ES"/>
        </w:rPr>
      </w:pPr>
      <w:r w:rsidRPr="00380823">
        <w:rPr>
          <w:rFonts w:ascii="Arial" w:eastAsia="Arial MT" w:hAnsi="Arial" w:cs="Arial"/>
          <w:lang w:val="es-ES"/>
        </w:rPr>
        <w:t>Ahora bien, resulta necesario mencionar que, en estos documentos tipo</w:t>
      </w:r>
      <w:r w:rsidRPr="00380823">
        <w:rPr>
          <w:rFonts w:ascii="Arial" w:eastAsia="Arial MT" w:hAnsi="Arial" w:cs="Arial"/>
          <w:spacing w:val="1"/>
          <w:lang w:val="es-ES"/>
        </w:rPr>
        <w:t xml:space="preserve"> </w:t>
      </w:r>
      <w:r w:rsidRPr="00380823">
        <w:rPr>
          <w:rFonts w:ascii="Arial" w:eastAsia="Arial MT" w:hAnsi="Arial" w:cs="Arial"/>
          <w:lang w:val="es-ES"/>
        </w:rPr>
        <w:t>de interventoría, a diferencia de lo indicado en los de licitación versión 3, el porcentaje</w:t>
      </w:r>
      <w:r w:rsidRPr="00380823">
        <w:rPr>
          <w:rFonts w:ascii="Arial" w:eastAsia="Arial MT" w:hAnsi="Arial" w:cs="Arial"/>
          <w:spacing w:val="1"/>
          <w:lang w:val="es-ES"/>
        </w:rPr>
        <w:t xml:space="preserve"> </w:t>
      </w:r>
      <w:r w:rsidRPr="00380823">
        <w:rPr>
          <w:rFonts w:ascii="Arial" w:eastAsia="Arial MT" w:hAnsi="Arial" w:cs="Arial"/>
          <w:lang w:val="es-ES"/>
        </w:rPr>
        <w:t>mínimo</w:t>
      </w:r>
      <w:r w:rsidRPr="00380823">
        <w:rPr>
          <w:rFonts w:ascii="Arial" w:eastAsia="Arial MT" w:hAnsi="Arial" w:cs="Arial"/>
          <w:spacing w:val="1"/>
          <w:lang w:val="es-ES"/>
        </w:rPr>
        <w:t xml:space="preserve"> </w:t>
      </w:r>
      <w:r w:rsidRPr="00380823">
        <w:rPr>
          <w:rFonts w:ascii="Arial" w:eastAsia="Arial MT" w:hAnsi="Arial" w:cs="Arial"/>
          <w:lang w:val="es-ES"/>
        </w:rPr>
        <w:t>a</w:t>
      </w:r>
      <w:r w:rsidRPr="00380823">
        <w:rPr>
          <w:rFonts w:ascii="Arial" w:eastAsia="Arial MT" w:hAnsi="Arial" w:cs="Arial"/>
          <w:spacing w:val="1"/>
          <w:lang w:val="es-ES"/>
        </w:rPr>
        <w:t xml:space="preserve"> </w:t>
      </w:r>
      <w:r w:rsidRPr="00380823">
        <w:rPr>
          <w:rFonts w:ascii="Arial" w:eastAsia="Arial MT" w:hAnsi="Arial" w:cs="Arial"/>
          <w:lang w:val="es-ES"/>
        </w:rPr>
        <w:t>acreditar</w:t>
      </w:r>
      <w:r w:rsidRPr="00380823">
        <w:rPr>
          <w:rFonts w:ascii="Arial" w:eastAsia="Arial MT" w:hAnsi="Arial" w:cs="Arial"/>
          <w:spacing w:val="1"/>
          <w:lang w:val="es-ES"/>
        </w:rPr>
        <w:t xml:space="preserve"> </w:t>
      </w:r>
      <w:r w:rsidRPr="00380823">
        <w:rPr>
          <w:rFonts w:ascii="Arial" w:eastAsia="Arial MT" w:hAnsi="Arial" w:cs="Arial"/>
          <w:lang w:val="es-ES"/>
        </w:rPr>
        <w:t>por</w:t>
      </w:r>
      <w:r w:rsidRPr="00380823">
        <w:rPr>
          <w:rFonts w:ascii="Arial" w:eastAsia="Arial MT" w:hAnsi="Arial" w:cs="Arial"/>
          <w:spacing w:val="1"/>
          <w:lang w:val="es-ES"/>
        </w:rPr>
        <w:t xml:space="preserve"> </w:t>
      </w:r>
      <w:r w:rsidRPr="00380823">
        <w:rPr>
          <w:rFonts w:ascii="Arial" w:eastAsia="Arial MT" w:hAnsi="Arial" w:cs="Arial"/>
          <w:lang w:val="es-ES"/>
        </w:rPr>
        <w:t>los</w:t>
      </w:r>
      <w:r w:rsidRPr="00380823">
        <w:rPr>
          <w:rFonts w:ascii="Arial" w:eastAsia="Arial MT" w:hAnsi="Arial" w:cs="Arial"/>
          <w:spacing w:val="1"/>
          <w:lang w:val="es-ES"/>
        </w:rPr>
        <w:t xml:space="preserve"> </w:t>
      </w:r>
      <w:r w:rsidRPr="00380823">
        <w:rPr>
          <w:rFonts w:ascii="Arial" w:eastAsia="Arial MT" w:hAnsi="Arial" w:cs="Arial"/>
          <w:lang w:val="es-ES"/>
        </w:rPr>
        <w:lastRenderedPageBreak/>
        <w:t>proponentes</w:t>
      </w:r>
      <w:r w:rsidRPr="00380823">
        <w:rPr>
          <w:rFonts w:ascii="Arial" w:eastAsia="Arial MT" w:hAnsi="Arial" w:cs="Arial"/>
          <w:spacing w:val="1"/>
          <w:lang w:val="es-ES"/>
        </w:rPr>
        <w:t xml:space="preserve"> </w:t>
      </w:r>
      <w:r w:rsidRPr="00380823">
        <w:rPr>
          <w:rFonts w:ascii="Arial" w:eastAsia="Arial MT" w:hAnsi="Arial" w:cs="Arial"/>
          <w:lang w:val="es-ES"/>
        </w:rPr>
        <w:t>no</w:t>
      </w:r>
      <w:r w:rsidRPr="00380823">
        <w:rPr>
          <w:rFonts w:ascii="Arial" w:eastAsia="Arial MT" w:hAnsi="Arial" w:cs="Arial"/>
          <w:spacing w:val="1"/>
          <w:lang w:val="es-ES"/>
        </w:rPr>
        <w:t xml:space="preserve"> </w:t>
      </w:r>
      <w:r w:rsidRPr="00380823">
        <w:rPr>
          <w:rFonts w:ascii="Arial" w:eastAsia="Arial MT" w:hAnsi="Arial" w:cs="Arial"/>
          <w:lang w:val="es-ES"/>
        </w:rPr>
        <w:t>varía</w:t>
      </w:r>
      <w:r w:rsidRPr="00380823">
        <w:rPr>
          <w:rFonts w:ascii="Arial" w:eastAsia="Arial MT" w:hAnsi="Arial" w:cs="Arial"/>
          <w:spacing w:val="1"/>
          <w:lang w:val="es-ES"/>
        </w:rPr>
        <w:t xml:space="preserve"> </w:t>
      </w:r>
      <w:r w:rsidRPr="00380823">
        <w:rPr>
          <w:rFonts w:ascii="Arial" w:eastAsia="Arial MT" w:hAnsi="Arial" w:cs="Arial"/>
          <w:lang w:val="es-ES"/>
        </w:rPr>
        <w:t>dependiendo</w:t>
      </w:r>
      <w:r w:rsidRPr="00380823">
        <w:rPr>
          <w:rFonts w:ascii="Arial" w:eastAsia="Arial MT" w:hAnsi="Arial" w:cs="Arial"/>
          <w:spacing w:val="1"/>
          <w:lang w:val="es-ES"/>
        </w:rPr>
        <w:t xml:space="preserve"> </w:t>
      </w:r>
      <w:r w:rsidRPr="00380823">
        <w:rPr>
          <w:rFonts w:ascii="Arial" w:eastAsia="Arial MT" w:hAnsi="Arial" w:cs="Arial"/>
          <w:lang w:val="es-ES"/>
        </w:rPr>
        <w:t>de</w:t>
      </w:r>
      <w:r w:rsidRPr="00380823">
        <w:rPr>
          <w:rFonts w:ascii="Arial" w:eastAsia="Arial MT" w:hAnsi="Arial" w:cs="Arial"/>
          <w:spacing w:val="1"/>
          <w:lang w:val="es-ES"/>
        </w:rPr>
        <w:t xml:space="preserve"> </w:t>
      </w:r>
      <w:r w:rsidRPr="00380823">
        <w:rPr>
          <w:rFonts w:ascii="Arial" w:eastAsia="Arial MT" w:hAnsi="Arial" w:cs="Arial"/>
          <w:lang w:val="es-ES"/>
        </w:rPr>
        <w:t>la</w:t>
      </w:r>
      <w:r w:rsidRPr="00380823">
        <w:rPr>
          <w:rFonts w:ascii="Arial" w:eastAsia="Arial MT" w:hAnsi="Arial" w:cs="Arial"/>
          <w:spacing w:val="1"/>
          <w:lang w:val="es-ES"/>
        </w:rPr>
        <w:t xml:space="preserve"> </w:t>
      </w:r>
      <w:r w:rsidRPr="00380823">
        <w:rPr>
          <w:rFonts w:ascii="Arial" w:eastAsia="Arial MT" w:hAnsi="Arial" w:cs="Arial"/>
          <w:lang w:val="es-ES"/>
        </w:rPr>
        <w:t>cantidad</w:t>
      </w:r>
      <w:r w:rsidRPr="00380823">
        <w:rPr>
          <w:rFonts w:ascii="Arial" w:eastAsia="Arial MT" w:hAnsi="Arial" w:cs="Arial"/>
          <w:spacing w:val="1"/>
          <w:lang w:val="es-ES"/>
        </w:rPr>
        <w:t xml:space="preserve"> </w:t>
      </w:r>
      <w:r w:rsidRPr="00380823">
        <w:rPr>
          <w:rFonts w:ascii="Arial" w:eastAsia="Arial MT" w:hAnsi="Arial" w:cs="Arial"/>
          <w:lang w:val="es-ES"/>
        </w:rPr>
        <w:t xml:space="preserve">de </w:t>
      </w:r>
      <w:r w:rsidRPr="00380823">
        <w:rPr>
          <w:rFonts w:ascii="Arial" w:eastAsia="Arial MT" w:hAnsi="Arial" w:cs="Arial"/>
          <w:spacing w:val="-59"/>
          <w:lang w:val="es-ES"/>
        </w:rPr>
        <w:t xml:space="preserve"> </w:t>
      </w:r>
      <w:r w:rsidRPr="00380823">
        <w:rPr>
          <w:rFonts w:ascii="Arial" w:eastAsia="Arial MT" w:hAnsi="Arial" w:cs="Arial"/>
          <w:lang w:val="es-ES"/>
        </w:rPr>
        <w:t>contratos aportados; sino que el porcentaje se mantiene invariable, exigiéndose en los</w:t>
      </w:r>
      <w:r w:rsidRPr="00380823">
        <w:rPr>
          <w:rFonts w:ascii="Arial" w:eastAsia="Arial MT" w:hAnsi="Arial" w:cs="Arial"/>
          <w:spacing w:val="1"/>
          <w:lang w:val="es-ES"/>
        </w:rPr>
        <w:t xml:space="preserve"> </w:t>
      </w:r>
      <w:r w:rsidRPr="00380823">
        <w:rPr>
          <w:rFonts w:ascii="Arial" w:eastAsia="Arial MT" w:hAnsi="Arial" w:cs="Arial"/>
          <w:lang w:val="es-ES"/>
        </w:rPr>
        <w:t>de interventoría que el porcentaje del presupuesto oficial del proceso expresado en</w:t>
      </w:r>
      <w:r w:rsidRPr="00380823">
        <w:rPr>
          <w:rFonts w:ascii="Arial" w:eastAsia="Arial MT" w:hAnsi="Arial" w:cs="Arial"/>
          <w:spacing w:val="1"/>
          <w:lang w:val="es-ES"/>
        </w:rPr>
        <w:t xml:space="preserve"> </w:t>
      </w:r>
      <w:r w:rsidRPr="00380823">
        <w:rPr>
          <w:rFonts w:ascii="Arial" w:eastAsia="Arial MT" w:hAnsi="Arial" w:cs="Arial"/>
          <w:lang w:val="es-ES"/>
        </w:rPr>
        <w:t>SMMLV a certificar por parte de los proponentes sea del cien por ciento (100%) del presupuesto del</w:t>
      </w:r>
      <w:r w:rsidRPr="00380823">
        <w:rPr>
          <w:rFonts w:ascii="Arial" w:eastAsia="Arial MT" w:hAnsi="Arial" w:cs="Arial"/>
          <w:spacing w:val="1"/>
          <w:lang w:val="es-ES"/>
        </w:rPr>
        <w:t xml:space="preserve"> </w:t>
      </w:r>
      <w:r w:rsidRPr="00380823">
        <w:rPr>
          <w:rFonts w:ascii="Arial" w:eastAsia="Arial MT" w:hAnsi="Arial" w:cs="Arial"/>
          <w:lang w:val="es-ES"/>
        </w:rPr>
        <w:t>procedimiento</w:t>
      </w:r>
      <w:r w:rsidRPr="00380823">
        <w:rPr>
          <w:rFonts w:ascii="Arial" w:eastAsia="Arial MT" w:hAnsi="Arial" w:cs="Arial"/>
          <w:spacing w:val="-2"/>
          <w:lang w:val="es-ES"/>
        </w:rPr>
        <w:t xml:space="preserve"> </w:t>
      </w:r>
      <w:r w:rsidRPr="00380823">
        <w:rPr>
          <w:rFonts w:ascii="Arial" w:eastAsia="Arial MT" w:hAnsi="Arial" w:cs="Arial"/>
          <w:lang w:val="es-ES"/>
        </w:rPr>
        <w:t>de</w:t>
      </w:r>
      <w:r w:rsidRPr="00380823">
        <w:rPr>
          <w:rFonts w:ascii="Arial" w:eastAsia="Arial MT" w:hAnsi="Arial" w:cs="Arial"/>
          <w:spacing w:val="-1"/>
          <w:lang w:val="es-ES"/>
        </w:rPr>
        <w:t xml:space="preserve"> </w:t>
      </w:r>
      <w:r w:rsidRPr="00380823">
        <w:rPr>
          <w:rFonts w:ascii="Arial" w:eastAsia="Arial MT" w:hAnsi="Arial" w:cs="Arial"/>
          <w:lang w:val="es-ES"/>
        </w:rPr>
        <w:t>selección.</w:t>
      </w:r>
    </w:p>
    <w:p w14:paraId="358CBAD7" w14:textId="77777777" w:rsidR="00380823" w:rsidRPr="00380823" w:rsidRDefault="00380823" w:rsidP="00380823">
      <w:pPr>
        <w:widowControl w:val="0"/>
        <w:autoSpaceDE w:val="0"/>
        <w:autoSpaceDN w:val="0"/>
        <w:spacing w:after="120" w:line="276" w:lineRule="auto"/>
        <w:jc w:val="both"/>
        <w:rPr>
          <w:rFonts w:ascii="Arial" w:eastAsia="Arial" w:hAnsi="Arial" w:cs="Arial"/>
          <w:lang w:val="es-ES"/>
        </w:rPr>
      </w:pPr>
      <w:r w:rsidRPr="00380823">
        <w:rPr>
          <w:rFonts w:ascii="Arial" w:eastAsia="Arial" w:hAnsi="Arial" w:cs="Arial"/>
          <w:lang w:val="es-ES"/>
        </w:rPr>
        <w:tab/>
        <w:t xml:space="preserve">Al respecto, es importante precisar que, mediante la Resolución 326 del 2022, la Agencia Nacional de Contratación Pública – Colombia Compra Eficiente ajustó los requisitos exigidos en la experiencia mínima habilitante de los documentos tipo de interventoría de obra pública de infraestructura de transporte. En tal sentido, no solo basta que el proponente aporte contratos con experiencia igual o mayor al cien por ciento (100%) del valor del presupuesto oficial, sino, además, el oferente deberá acreditar la experiencia solicitada frente a la actividad principal, al igual que la experiencia en las actividades secundarias en el evento de que se solicite combinación de experiencia de la “Matriz 1 – Experiencia”. De igual manera, deberá demostrarse la experiencia adicional cuando el proyecto a ejecutar incluya servicios adicionales a la interventoría de obra pública de infraestructura de transporte. </w:t>
      </w:r>
    </w:p>
    <w:p w14:paraId="72E89448" w14:textId="77777777" w:rsidR="00380823" w:rsidRPr="00380823" w:rsidRDefault="00380823" w:rsidP="00380823">
      <w:pPr>
        <w:widowControl w:val="0"/>
        <w:autoSpaceDE w:val="0"/>
        <w:autoSpaceDN w:val="0"/>
        <w:spacing w:after="0" w:line="276" w:lineRule="auto"/>
        <w:jc w:val="both"/>
        <w:rPr>
          <w:rFonts w:ascii="Arial" w:eastAsia="Arial" w:hAnsi="Arial" w:cs="Arial"/>
          <w:lang w:val="es-ES"/>
        </w:rPr>
      </w:pPr>
      <w:r w:rsidRPr="00380823">
        <w:rPr>
          <w:rFonts w:ascii="Arial" w:eastAsia="Arial" w:hAnsi="Arial" w:cs="Arial"/>
          <w:lang w:val="es-ES"/>
        </w:rPr>
        <w:tab/>
        <w:t>En todo caso, con el ajuste realizado a los documentos tipo de interventoría de obra pública de infraestructura de transporte – versión 2 se mantiene la posibilidad de que la Entidad solicite la subsanación de la oferta cuando no se acrediten los requisitos de experiencia mínima habilitante. En todo caso, se aclara que si el proponente subsana el requisito mínimo de experiencia se habilitará en el proceso de contratación, pero no se tendrán en cuenta estos contratos para la asignación del puntaje. En otras palabras, el otorgamiento de puntaje se realizará con los contratos válidos allegados en su oferta y que no fueron objeto de subsanación por parte del Proponente.</w:t>
      </w:r>
    </w:p>
    <w:p w14:paraId="5F8D879D" w14:textId="77777777" w:rsidR="00380823" w:rsidRPr="00380823" w:rsidRDefault="00380823" w:rsidP="00380823">
      <w:pPr>
        <w:widowControl w:val="0"/>
        <w:autoSpaceDE w:val="0"/>
        <w:autoSpaceDN w:val="0"/>
        <w:spacing w:after="0" w:line="276" w:lineRule="auto"/>
        <w:jc w:val="both"/>
        <w:rPr>
          <w:rFonts w:ascii="Arial" w:eastAsia="Arial" w:hAnsi="Arial" w:cs="Arial"/>
          <w:lang w:val="es-ES"/>
        </w:rPr>
      </w:pPr>
    </w:p>
    <w:p w14:paraId="53987CCF" w14:textId="77777777" w:rsidR="00380823" w:rsidRPr="00380823" w:rsidRDefault="00380823" w:rsidP="00380823">
      <w:pPr>
        <w:widowControl w:val="0"/>
        <w:autoSpaceDE w:val="0"/>
        <w:autoSpaceDN w:val="0"/>
        <w:spacing w:after="0" w:line="276" w:lineRule="auto"/>
        <w:jc w:val="both"/>
        <w:rPr>
          <w:rFonts w:ascii="Arial" w:eastAsia="Calibri" w:hAnsi="Arial" w:cs="Arial"/>
          <w:b/>
          <w:bCs/>
          <w:color w:val="000000"/>
          <w:lang w:val="es-ES_tradnl"/>
        </w:rPr>
      </w:pPr>
      <w:r w:rsidRPr="00380823">
        <w:rPr>
          <w:rFonts w:ascii="Arial" w:eastAsia="Arial" w:hAnsi="Arial" w:cs="Arial"/>
          <w:b/>
          <w:bCs/>
          <w:lang w:val="es-ES"/>
        </w:rPr>
        <w:t xml:space="preserve">2.3. </w:t>
      </w:r>
      <w:r w:rsidRPr="00380823">
        <w:rPr>
          <w:rFonts w:ascii="Arial" w:eastAsia="Calibri" w:hAnsi="Arial" w:cs="Arial"/>
          <w:b/>
          <w:bCs/>
          <w:color w:val="000000"/>
          <w:lang w:val="es-ES_tradnl"/>
        </w:rPr>
        <w:t>Asignación de puntaje por la experiencia del proponente en el documento tipo de interventoría de obra de infraestructura de transporte</w:t>
      </w:r>
    </w:p>
    <w:p w14:paraId="1BF8E4D2" w14:textId="77777777" w:rsidR="00380823" w:rsidRPr="00380823" w:rsidRDefault="00380823" w:rsidP="00380823">
      <w:pPr>
        <w:spacing w:after="0" w:line="276" w:lineRule="auto"/>
        <w:jc w:val="both"/>
        <w:rPr>
          <w:rFonts w:ascii="Arial" w:eastAsia="Calibri" w:hAnsi="Arial" w:cs="Arial"/>
          <w:color w:val="000000"/>
          <w:lang w:val="es-ES_tradnl"/>
        </w:rPr>
      </w:pPr>
    </w:p>
    <w:p w14:paraId="366F1B0A" w14:textId="77777777" w:rsidR="00380823" w:rsidRPr="00380823" w:rsidRDefault="00380823" w:rsidP="00380823">
      <w:pPr>
        <w:keepNext/>
        <w:spacing w:after="120" w:line="276" w:lineRule="auto"/>
        <w:jc w:val="both"/>
        <w:outlineLvl w:val="0"/>
        <w:rPr>
          <w:rFonts w:ascii="Arial" w:eastAsia="Calibri" w:hAnsi="Arial" w:cs="Arial"/>
          <w:lang w:val="es-MX"/>
        </w:rPr>
      </w:pPr>
      <w:r w:rsidRPr="00380823">
        <w:rPr>
          <w:rFonts w:ascii="Arial" w:eastAsia="Calibri" w:hAnsi="Arial" w:cs="Arial"/>
          <w:lang w:val="es-ES_tradnl"/>
        </w:rPr>
        <w:t>E</w:t>
      </w:r>
      <w:r w:rsidRPr="00380823">
        <w:rPr>
          <w:rFonts w:ascii="Arial" w:eastAsia="Calibri" w:hAnsi="Arial" w:cs="Arial"/>
          <w:lang w:val="es-MX"/>
        </w:rPr>
        <w:t xml:space="preserve">l numeral 4° del artículo 5° de la Ley 1150 de 2007 contiene una regulación especial del deber de selección objetiva aplicable a procesos de selección de consultores. Esta disposición indica que en estos procesos la escogencia se hará con base en factores de calificación destinados a valorar los aspectos técnicos de la oferta, permitiéndose valorar la experiencia específica del oferente y su equipo de trabajo, proscribiéndose además el precio como factor de evaluación. </w:t>
      </w:r>
    </w:p>
    <w:p w14:paraId="5F6D24CC" w14:textId="77777777" w:rsidR="00380823" w:rsidRPr="00380823" w:rsidRDefault="00380823" w:rsidP="00380823">
      <w:pPr>
        <w:keepNext/>
        <w:spacing w:before="120" w:after="120" w:line="276" w:lineRule="auto"/>
        <w:ind w:firstLine="709"/>
        <w:jc w:val="both"/>
        <w:outlineLvl w:val="0"/>
        <w:rPr>
          <w:rFonts w:ascii="Arial" w:eastAsia="Calibri" w:hAnsi="Arial" w:cs="Arial"/>
          <w:lang w:val="es-MX"/>
        </w:rPr>
      </w:pPr>
      <w:r w:rsidRPr="00380823">
        <w:rPr>
          <w:rFonts w:ascii="Arial" w:eastAsia="Calibri" w:hAnsi="Arial" w:cs="Arial"/>
          <w:lang w:val="es-MX"/>
        </w:rPr>
        <w:t xml:space="preserve">El procedimiento de selección de concurso de méritos, aplicable para la escogencia de consultores, está reglamentado por el artículo 2.2.1.2.1.3.2. del Decreto 1082 de 2015, modificado por el Decreto 399 de 2021.  El numeral 1 dispone que «La Entidad Estatal en los pliegos de condiciones debe indicar la forma como calificará, entre otros, los siguientes criterios: </w:t>
      </w:r>
      <w:r w:rsidRPr="00380823">
        <w:rPr>
          <w:rFonts w:ascii="Arial" w:eastAsia="Calibri" w:hAnsi="Arial" w:cs="Arial"/>
          <w:i/>
          <w:iCs/>
          <w:lang w:val="es-MX"/>
        </w:rPr>
        <w:t>a) la experiencia del interesado y del equipo de trabajo y b) la formación académica del equipo de trabajo»</w:t>
      </w:r>
      <w:r w:rsidRPr="00380823">
        <w:rPr>
          <w:rFonts w:ascii="Arial" w:eastAsia="Calibri" w:hAnsi="Arial" w:cs="Arial"/>
          <w:lang w:val="es-MX"/>
        </w:rPr>
        <w:t xml:space="preserve"> (Énfasis fuera de texto). Conforme a esto, los factores ponderables en un proceso de selección de concurso de méritos –esto es, los que determinan la escogencia entre los </w:t>
      </w:r>
      <w:r w:rsidRPr="00380823">
        <w:rPr>
          <w:rFonts w:ascii="Arial" w:eastAsia="Calibri" w:hAnsi="Arial" w:cs="Arial"/>
          <w:lang w:val="es-MX"/>
        </w:rPr>
        <w:lastRenderedPageBreak/>
        <w:t xml:space="preserve">proponentes habilitados–, son los indicados en la norma citada, sin perjuicio de que existan otros establecidos por la ley, de manera que de acuerdo con este marco jurídico en los pliegos de condiciones se definirán los criterios de asignación de puntaje.  </w:t>
      </w:r>
    </w:p>
    <w:p w14:paraId="7929A1F6" w14:textId="77777777" w:rsidR="00380823" w:rsidRPr="00380823" w:rsidRDefault="00380823" w:rsidP="00380823">
      <w:pPr>
        <w:spacing w:before="120" w:after="0" w:line="276" w:lineRule="auto"/>
        <w:ind w:firstLine="709"/>
        <w:jc w:val="both"/>
        <w:rPr>
          <w:rFonts w:ascii="Arial" w:eastAsia="Calibri" w:hAnsi="Arial" w:cs="Arial"/>
          <w:b/>
          <w:smallCaps/>
          <w:lang w:val="es-MX"/>
        </w:rPr>
      </w:pPr>
      <w:r w:rsidRPr="00380823">
        <w:rPr>
          <w:rFonts w:ascii="Arial" w:eastAsia="Calibri" w:hAnsi="Arial" w:cs="Arial"/>
          <w:lang w:val="es-MX"/>
        </w:rPr>
        <w:t>De acuerdo con esta normativa, en los documentos tipo de concurso de méritos para la interventoría de obras públicas de infraestructura de transporte adoptados por esta Agencia, se consideran la experiencia del proponente y del equipo de trabajo como factores de evaluación. Esto se aprecia en el Capítulo IV del Documento Base, en el que se señala que la entidad calificará las ofertas que hayan cumplido los requisitos habilitantes con los siguientes criterios de evaluación y puntajes: i) Experiencia del proponente ii) Equipo de trabajo (personal clave evaluable) iii) Apoyo a la industria nacional y iv) Vinculación de personas con discapacidad, así:</w:t>
      </w:r>
    </w:p>
    <w:p w14:paraId="4D37643C" w14:textId="77777777" w:rsidR="00380823" w:rsidRPr="00380823" w:rsidRDefault="00380823" w:rsidP="00380823">
      <w:pPr>
        <w:spacing w:after="0" w:line="240" w:lineRule="auto"/>
        <w:jc w:val="both"/>
        <w:rPr>
          <w:rFonts w:ascii="Arial" w:eastAsia="Calibri" w:hAnsi="Arial" w:cs="Arial"/>
          <w:sz w:val="24"/>
          <w:lang w:val="es-MX"/>
        </w:rPr>
      </w:pPr>
    </w:p>
    <w:tbl>
      <w:tblPr>
        <w:tblW w:w="5647" w:type="dxa"/>
        <w:tblInd w:w="1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1702"/>
      </w:tblGrid>
      <w:tr w:rsidR="00380823" w:rsidRPr="00380823" w14:paraId="3ECE7A9C" w14:textId="77777777" w:rsidTr="00C8662B">
        <w:trPr>
          <w:trHeight w:val="300"/>
        </w:trPr>
        <w:tc>
          <w:tcPr>
            <w:tcW w:w="3945" w:type="dxa"/>
            <w:tcBorders>
              <w:top w:val="double" w:sz="6" w:space="0" w:color="auto"/>
              <w:left w:val="double" w:sz="6" w:space="0" w:color="auto"/>
              <w:bottom w:val="single" w:sz="6" w:space="0" w:color="auto"/>
              <w:right w:val="single" w:sz="6" w:space="0" w:color="auto"/>
            </w:tcBorders>
            <w:shd w:val="clear" w:color="auto" w:fill="404040"/>
            <w:vAlign w:val="center"/>
            <w:hideMark/>
          </w:tcPr>
          <w:p w14:paraId="610D3407"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b/>
                <w:bCs/>
                <w:color w:val="FFFFFF"/>
                <w:sz w:val="20"/>
                <w:szCs w:val="20"/>
                <w:lang w:val="es-MX" w:eastAsia="es-CO"/>
              </w:rPr>
              <w:t>Concepto</w:t>
            </w:r>
            <w:r w:rsidRPr="00380823">
              <w:rPr>
                <w:rFonts w:ascii="Arial" w:eastAsia="Calibri" w:hAnsi="Arial" w:cs="Arial"/>
                <w:color w:val="FFFFFF"/>
                <w:sz w:val="20"/>
                <w:szCs w:val="20"/>
                <w:lang w:val="es-MX" w:eastAsia="es-CO"/>
              </w:rPr>
              <w:t> </w:t>
            </w:r>
          </w:p>
        </w:tc>
        <w:tc>
          <w:tcPr>
            <w:tcW w:w="1702" w:type="dxa"/>
            <w:tcBorders>
              <w:top w:val="double" w:sz="6" w:space="0" w:color="auto"/>
              <w:left w:val="single" w:sz="6" w:space="0" w:color="auto"/>
              <w:bottom w:val="single" w:sz="6" w:space="0" w:color="auto"/>
              <w:right w:val="double" w:sz="6" w:space="0" w:color="auto"/>
            </w:tcBorders>
            <w:shd w:val="clear" w:color="auto" w:fill="404040"/>
            <w:vAlign w:val="center"/>
            <w:hideMark/>
          </w:tcPr>
          <w:p w14:paraId="5291CF67"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b/>
                <w:bCs/>
                <w:color w:val="FFFFFF"/>
                <w:sz w:val="20"/>
                <w:szCs w:val="20"/>
                <w:lang w:val="es-MX" w:eastAsia="es-CO"/>
              </w:rPr>
              <w:t>Puntaje máximo</w:t>
            </w:r>
            <w:r w:rsidRPr="00380823">
              <w:rPr>
                <w:rFonts w:ascii="Arial" w:eastAsia="Calibri" w:hAnsi="Arial" w:cs="Arial"/>
                <w:color w:val="FFFFFF"/>
                <w:sz w:val="20"/>
                <w:szCs w:val="20"/>
                <w:lang w:val="es-MX" w:eastAsia="es-CO"/>
              </w:rPr>
              <w:t> </w:t>
            </w:r>
          </w:p>
        </w:tc>
      </w:tr>
      <w:tr w:rsidR="00380823" w:rsidRPr="00380823" w14:paraId="1B20546E" w14:textId="77777777" w:rsidTr="00C8662B">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242847F"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sz w:val="20"/>
                <w:szCs w:val="20"/>
                <w:lang w:val="es-ES" w:eastAsia="es-CO"/>
              </w:rPr>
              <w:t>Experiencia del proponente</w:t>
            </w:r>
            <w:r w:rsidRPr="00380823">
              <w:rPr>
                <w:rFonts w:ascii="Arial" w:eastAsia="Calibri" w:hAnsi="Arial" w:cs="Arial"/>
                <w:sz w:val="20"/>
                <w:szCs w:val="20"/>
                <w:lang w:val="es-MX"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1CE1BD1A"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sz w:val="20"/>
                <w:szCs w:val="20"/>
                <w:lang w:val="es-MX" w:eastAsia="es-CO"/>
              </w:rPr>
              <w:t>69 </w:t>
            </w:r>
          </w:p>
        </w:tc>
      </w:tr>
      <w:tr w:rsidR="00380823" w:rsidRPr="00380823" w14:paraId="2574474B" w14:textId="77777777" w:rsidTr="00C8662B">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4253CC77"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sz w:val="20"/>
                <w:szCs w:val="20"/>
                <w:lang w:val="es-ES" w:eastAsia="es-CO"/>
              </w:rPr>
              <w:t>Equipo de trabajo (personal clave evaluable)</w:t>
            </w:r>
            <w:r w:rsidRPr="00380823">
              <w:rPr>
                <w:rFonts w:ascii="Arial" w:eastAsia="Calibri" w:hAnsi="Arial" w:cs="Arial"/>
                <w:sz w:val="20"/>
                <w:szCs w:val="20"/>
                <w:lang w:val="es-MX"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23D7B62B"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sz w:val="20"/>
                <w:szCs w:val="20"/>
                <w:lang w:val="es-ES" w:eastAsia="es-CO"/>
              </w:rPr>
              <w:t>10</w:t>
            </w:r>
            <w:r w:rsidRPr="00380823">
              <w:rPr>
                <w:rFonts w:ascii="Arial" w:eastAsia="Calibri" w:hAnsi="Arial" w:cs="Arial"/>
                <w:sz w:val="20"/>
                <w:szCs w:val="20"/>
                <w:lang w:val="es-MX" w:eastAsia="es-CO"/>
              </w:rPr>
              <w:t> </w:t>
            </w:r>
          </w:p>
        </w:tc>
      </w:tr>
      <w:tr w:rsidR="00380823" w:rsidRPr="00380823" w14:paraId="182A9E85" w14:textId="77777777" w:rsidTr="00C8662B">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78DFE082"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sz w:val="20"/>
                <w:szCs w:val="20"/>
                <w:lang w:val="es-ES" w:eastAsia="es-CO"/>
              </w:rPr>
              <w:t>Apoyo a la industria nacional</w:t>
            </w:r>
            <w:r w:rsidRPr="00380823">
              <w:rPr>
                <w:rFonts w:ascii="Arial" w:eastAsia="Calibri" w:hAnsi="Arial" w:cs="Arial"/>
                <w:sz w:val="20"/>
                <w:szCs w:val="20"/>
                <w:lang w:val="es-MX"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3FB4DA61"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sz w:val="20"/>
                <w:szCs w:val="20"/>
                <w:lang w:val="es-ES" w:eastAsia="es-CO"/>
              </w:rPr>
              <w:t>20</w:t>
            </w:r>
            <w:r w:rsidRPr="00380823">
              <w:rPr>
                <w:rFonts w:ascii="Arial" w:eastAsia="Calibri" w:hAnsi="Arial" w:cs="Arial"/>
                <w:sz w:val="20"/>
                <w:szCs w:val="20"/>
                <w:lang w:val="es-MX" w:eastAsia="es-CO"/>
              </w:rPr>
              <w:t> </w:t>
            </w:r>
          </w:p>
        </w:tc>
      </w:tr>
      <w:tr w:rsidR="00380823" w:rsidRPr="00380823" w14:paraId="02853E8B" w14:textId="77777777" w:rsidTr="00C8662B">
        <w:trPr>
          <w:trHeight w:val="16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361021A5"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sz w:val="20"/>
                <w:szCs w:val="20"/>
                <w:lang w:val="es-ES" w:eastAsia="es-CO"/>
              </w:rPr>
              <w:t>Vinculación de personas con discapacidad</w:t>
            </w:r>
            <w:r w:rsidRPr="00380823">
              <w:rPr>
                <w:rFonts w:ascii="Arial" w:eastAsia="Calibri" w:hAnsi="Arial" w:cs="Arial"/>
                <w:sz w:val="20"/>
                <w:szCs w:val="20"/>
                <w:lang w:val="es-MX"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23E77BCD" w14:textId="77777777" w:rsidR="00380823" w:rsidRPr="00380823" w:rsidRDefault="00380823" w:rsidP="00380823">
            <w:pPr>
              <w:spacing w:after="0" w:line="240" w:lineRule="auto"/>
              <w:jc w:val="both"/>
              <w:textAlignment w:val="baseline"/>
              <w:rPr>
                <w:rFonts w:ascii="Arial" w:eastAsia="Calibri" w:hAnsi="Arial" w:cs="Arial"/>
                <w:sz w:val="20"/>
                <w:szCs w:val="20"/>
                <w:lang w:val="es-MX" w:eastAsia="es-CO"/>
              </w:rPr>
            </w:pPr>
            <w:r w:rsidRPr="00380823">
              <w:rPr>
                <w:rFonts w:ascii="Arial" w:eastAsia="Calibri" w:hAnsi="Arial" w:cs="Arial"/>
                <w:sz w:val="20"/>
                <w:szCs w:val="20"/>
                <w:lang w:val="es-ES" w:eastAsia="es-CO"/>
              </w:rPr>
              <w:t>1</w:t>
            </w:r>
            <w:r w:rsidRPr="00380823">
              <w:rPr>
                <w:rFonts w:ascii="Arial" w:eastAsia="Calibri" w:hAnsi="Arial" w:cs="Arial"/>
                <w:sz w:val="20"/>
                <w:szCs w:val="20"/>
                <w:lang w:val="es-MX" w:eastAsia="es-CO"/>
              </w:rPr>
              <w:t> </w:t>
            </w:r>
          </w:p>
        </w:tc>
      </w:tr>
    </w:tbl>
    <w:p w14:paraId="4CBD1085" w14:textId="77777777" w:rsidR="00380823" w:rsidRPr="00380823" w:rsidRDefault="00380823" w:rsidP="00380823">
      <w:pPr>
        <w:spacing w:after="0" w:line="254" w:lineRule="atLeast"/>
        <w:jc w:val="both"/>
        <w:rPr>
          <w:rFonts w:ascii="Arial" w:eastAsia="Calibri" w:hAnsi="Arial" w:cs="Arial"/>
          <w:sz w:val="24"/>
          <w:lang w:val="es-MX"/>
        </w:rPr>
      </w:pPr>
    </w:p>
    <w:p w14:paraId="0C2F96BD" w14:textId="77777777" w:rsidR="00380823" w:rsidRPr="00380823" w:rsidRDefault="00380823" w:rsidP="00380823">
      <w:pPr>
        <w:spacing w:after="0" w:line="276" w:lineRule="auto"/>
        <w:ind w:firstLine="708"/>
        <w:jc w:val="both"/>
        <w:rPr>
          <w:rFonts w:ascii="Arial" w:eastAsia="Calibri" w:hAnsi="Arial" w:cs="Arial"/>
          <w:szCs w:val="20"/>
          <w:lang w:val="es-MX"/>
        </w:rPr>
      </w:pPr>
      <w:r w:rsidRPr="00380823">
        <w:rPr>
          <w:rFonts w:ascii="Arial" w:eastAsia="Calibri" w:hAnsi="Arial" w:cs="Arial"/>
          <w:szCs w:val="20"/>
          <w:lang w:val="es-MX"/>
        </w:rPr>
        <w:t>En todo caso, con la reciente modificación adoptada mediante la Resolución 326 del 2022, en los documentos tipo de interventoría de obra pública de infraestructura de transporte – versión 2, se incluyó un nuevo factor de evaluación en favor de los emprendimientos y empresas de mujeres, en los siguientes términos:</w:t>
      </w:r>
    </w:p>
    <w:p w14:paraId="18B681AA" w14:textId="77777777" w:rsidR="00380823" w:rsidRPr="00380823" w:rsidRDefault="00380823" w:rsidP="00380823">
      <w:pPr>
        <w:spacing w:after="0" w:line="276" w:lineRule="auto"/>
        <w:ind w:firstLine="708"/>
        <w:jc w:val="both"/>
        <w:rPr>
          <w:rFonts w:ascii="Arial" w:eastAsia="Calibri" w:hAnsi="Arial" w:cs="Arial"/>
          <w:szCs w:val="20"/>
          <w:lang w:val="es-MX"/>
        </w:rPr>
      </w:pPr>
    </w:p>
    <w:tbl>
      <w:tblPr>
        <w:tblStyle w:val="Tablaconcuadrcula"/>
        <w:tblW w:w="6489" w:type="dxa"/>
        <w:jc w:val="center"/>
        <w:tblLook w:val="04A0" w:firstRow="1" w:lastRow="0" w:firstColumn="1" w:lastColumn="0" w:noHBand="0" w:noVBand="1"/>
      </w:tblPr>
      <w:tblGrid>
        <w:gridCol w:w="4326"/>
        <w:gridCol w:w="2163"/>
      </w:tblGrid>
      <w:tr w:rsidR="00380823" w:rsidRPr="00380823" w14:paraId="08FBD199" w14:textId="77777777" w:rsidTr="00C8662B">
        <w:trPr>
          <w:trHeight w:val="305"/>
          <w:tblHeader/>
          <w:jc w:val="center"/>
        </w:trPr>
        <w:tc>
          <w:tcPr>
            <w:tcW w:w="5085"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C9928A8" w14:textId="77777777" w:rsidR="00380823" w:rsidRPr="00380823" w:rsidRDefault="00380823" w:rsidP="00380823">
            <w:pPr>
              <w:ind w:left="567" w:right="624"/>
              <w:jc w:val="center"/>
              <w:rPr>
                <w:rFonts w:ascii="Arial" w:eastAsia="Calibri" w:hAnsi="Arial" w:cs="Arial"/>
                <w:b/>
                <w:color w:val="FFFFFF" w:themeColor="background1"/>
                <w:sz w:val="20"/>
                <w:szCs w:val="20"/>
                <w:lang w:val="es-MX"/>
              </w:rPr>
            </w:pPr>
            <w:r w:rsidRPr="00380823">
              <w:rPr>
                <w:rFonts w:ascii="Arial" w:eastAsia="Calibri" w:hAnsi="Arial" w:cs="Arial"/>
                <w:b/>
                <w:color w:val="FFFFFF" w:themeColor="background1"/>
                <w:sz w:val="20"/>
                <w:szCs w:val="20"/>
                <w:lang w:val="es-MX"/>
              </w:rPr>
              <w:t>Concepto</w:t>
            </w:r>
          </w:p>
        </w:tc>
        <w:tc>
          <w:tcPr>
            <w:tcW w:w="140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AB97CF7" w14:textId="77777777" w:rsidR="00380823" w:rsidRPr="00380823" w:rsidRDefault="00380823" w:rsidP="00380823">
            <w:pPr>
              <w:ind w:left="567" w:right="624"/>
              <w:jc w:val="center"/>
              <w:rPr>
                <w:rFonts w:ascii="Arial" w:eastAsia="Calibri" w:hAnsi="Arial" w:cs="Arial"/>
                <w:b/>
                <w:color w:val="FFFFFF" w:themeColor="background1"/>
                <w:sz w:val="20"/>
                <w:szCs w:val="20"/>
                <w:lang w:val="es-MX"/>
              </w:rPr>
            </w:pPr>
            <w:r w:rsidRPr="00380823">
              <w:rPr>
                <w:rFonts w:ascii="Arial" w:eastAsia="Calibri" w:hAnsi="Arial" w:cs="Arial"/>
                <w:b/>
                <w:color w:val="FFFFFF" w:themeColor="background1"/>
                <w:sz w:val="20"/>
                <w:szCs w:val="20"/>
                <w:lang w:val="es-MX"/>
              </w:rPr>
              <w:t>Puntaje máximo</w:t>
            </w:r>
          </w:p>
        </w:tc>
      </w:tr>
      <w:tr w:rsidR="00380823" w:rsidRPr="00380823" w14:paraId="0D849A92" w14:textId="77777777" w:rsidTr="00C8662B">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hideMark/>
          </w:tcPr>
          <w:p w14:paraId="3FA48118" w14:textId="77777777" w:rsidR="00380823" w:rsidRPr="00380823" w:rsidRDefault="00380823" w:rsidP="00380823">
            <w:pPr>
              <w:ind w:left="164" w:right="624"/>
              <w:jc w:val="center"/>
              <w:rPr>
                <w:rFonts w:ascii="Arial" w:eastAsia="Calibri" w:hAnsi="Arial" w:cs="Arial"/>
                <w:sz w:val="20"/>
                <w:szCs w:val="20"/>
                <w:lang w:val="es-MX"/>
              </w:rPr>
            </w:pPr>
            <w:r w:rsidRPr="00380823">
              <w:rPr>
                <w:rFonts w:ascii="Arial" w:eastAsia="Calibri" w:hAnsi="Arial" w:cs="Arial"/>
                <w:sz w:val="20"/>
                <w:szCs w:val="20"/>
                <w:lang w:val="es-MX"/>
              </w:rPr>
              <w:t>Experiencia del Proponente</w:t>
            </w:r>
          </w:p>
        </w:tc>
        <w:tc>
          <w:tcPr>
            <w:tcW w:w="1404" w:type="dxa"/>
            <w:tcBorders>
              <w:top w:val="single" w:sz="4" w:space="0" w:color="auto"/>
              <w:left w:val="single" w:sz="4" w:space="0" w:color="auto"/>
              <w:bottom w:val="single" w:sz="4" w:space="0" w:color="auto"/>
              <w:right w:val="double" w:sz="4" w:space="0" w:color="auto"/>
            </w:tcBorders>
            <w:vAlign w:val="center"/>
            <w:hideMark/>
          </w:tcPr>
          <w:p w14:paraId="24F95D7F" w14:textId="77777777" w:rsidR="00380823" w:rsidRPr="00380823" w:rsidRDefault="00380823" w:rsidP="00380823">
            <w:pPr>
              <w:ind w:left="567" w:right="624"/>
              <w:jc w:val="center"/>
              <w:rPr>
                <w:rFonts w:ascii="Arial" w:eastAsia="Calibri" w:hAnsi="Arial" w:cs="Arial"/>
                <w:sz w:val="20"/>
                <w:szCs w:val="20"/>
                <w:lang w:val="es-MX"/>
              </w:rPr>
            </w:pPr>
            <w:r w:rsidRPr="00380823">
              <w:rPr>
                <w:rFonts w:ascii="Arial" w:eastAsia="Calibri" w:hAnsi="Arial" w:cs="Arial"/>
                <w:sz w:val="20"/>
                <w:szCs w:val="20"/>
                <w:lang w:val="es-MX"/>
              </w:rPr>
              <w:t>67,75</w:t>
            </w:r>
          </w:p>
        </w:tc>
      </w:tr>
      <w:tr w:rsidR="00380823" w:rsidRPr="00380823" w14:paraId="111D4615" w14:textId="77777777" w:rsidTr="00C8662B">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332A86D1" w14:textId="77777777" w:rsidR="00380823" w:rsidRPr="00380823" w:rsidDel="00B463AB" w:rsidRDefault="00380823" w:rsidP="00380823">
            <w:pPr>
              <w:ind w:left="164" w:right="624"/>
              <w:jc w:val="center"/>
              <w:rPr>
                <w:rFonts w:ascii="Arial" w:eastAsia="Calibri" w:hAnsi="Arial" w:cs="Arial"/>
                <w:sz w:val="20"/>
                <w:szCs w:val="20"/>
                <w:lang w:val="es-MX"/>
              </w:rPr>
            </w:pPr>
            <w:r w:rsidRPr="00380823">
              <w:rPr>
                <w:rFonts w:ascii="Arial" w:eastAsia="Calibri" w:hAnsi="Arial" w:cs="Arial"/>
                <w:sz w:val="20"/>
                <w:szCs w:val="20"/>
                <w:lang w:val="es-MX"/>
              </w:rPr>
              <w:t>Equipo de trabajo (Personal Clave Evaluable)</w:t>
            </w:r>
          </w:p>
        </w:tc>
        <w:tc>
          <w:tcPr>
            <w:tcW w:w="1404" w:type="dxa"/>
            <w:tcBorders>
              <w:top w:val="single" w:sz="4" w:space="0" w:color="auto"/>
              <w:left w:val="single" w:sz="4" w:space="0" w:color="auto"/>
              <w:bottom w:val="single" w:sz="4" w:space="0" w:color="auto"/>
              <w:right w:val="double" w:sz="4" w:space="0" w:color="auto"/>
            </w:tcBorders>
            <w:vAlign w:val="center"/>
          </w:tcPr>
          <w:p w14:paraId="0182C71D" w14:textId="77777777" w:rsidR="00380823" w:rsidRPr="00380823" w:rsidRDefault="00380823" w:rsidP="00380823">
            <w:pPr>
              <w:ind w:left="567" w:right="624"/>
              <w:jc w:val="center"/>
              <w:rPr>
                <w:rFonts w:ascii="Arial" w:eastAsia="Calibri" w:hAnsi="Arial" w:cs="Arial"/>
                <w:sz w:val="20"/>
                <w:szCs w:val="20"/>
                <w:lang w:val="es-MX"/>
              </w:rPr>
            </w:pPr>
            <w:r w:rsidRPr="00380823">
              <w:rPr>
                <w:rFonts w:ascii="Arial" w:eastAsia="Calibri" w:hAnsi="Arial" w:cs="Arial"/>
                <w:sz w:val="20"/>
                <w:szCs w:val="20"/>
                <w:lang w:val="es-MX"/>
              </w:rPr>
              <w:t>10</w:t>
            </w:r>
          </w:p>
        </w:tc>
      </w:tr>
      <w:tr w:rsidR="00380823" w:rsidRPr="00380823" w14:paraId="0B8DB4FC" w14:textId="77777777" w:rsidTr="00C8662B">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2B163CFE" w14:textId="77777777" w:rsidR="00380823" w:rsidRPr="00380823" w:rsidRDefault="00380823" w:rsidP="00380823">
            <w:pPr>
              <w:ind w:left="164" w:right="624"/>
              <w:jc w:val="center"/>
              <w:rPr>
                <w:rFonts w:ascii="Arial" w:eastAsia="Calibri" w:hAnsi="Arial" w:cs="Arial"/>
                <w:sz w:val="20"/>
                <w:szCs w:val="20"/>
                <w:lang w:val="es-MX"/>
              </w:rPr>
            </w:pPr>
            <w:r w:rsidRPr="00380823">
              <w:rPr>
                <w:rFonts w:ascii="Arial" w:eastAsia="Calibri" w:hAnsi="Arial" w:cs="Arial"/>
                <w:sz w:val="20"/>
                <w:szCs w:val="20"/>
                <w:lang w:val="es-MX"/>
              </w:rPr>
              <w:t>Factor de sostenibilidad</w:t>
            </w:r>
          </w:p>
        </w:tc>
        <w:tc>
          <w:tcPr>
            <w:tcW w:w="1404" w:type="dxa"/>
            <w:tcBorders>
              <w:top w:val="single" w:sz="4" w:space="0" w:color="auto"/>
              <w:left w:val="single" w:sz="4" w:space="0" w:color="auto"/>
              <w:bottom w:val="single" w:sz="4" w:space="0" w:color="auto"/>
              <w:right w:val="double" w:sz="4" w:space="0" w:color="auto"/>
            </w:tcBorders>
            <w:vAlign w:val="center"/>
          </w:tcPr>
          <w:p w14:paraId="0F2EA572" w14:textId="77777777" w:rsidR="00380823" w:rsidRPr="00380823" w:rsidRDefault="00380823" w:rsidP="00380823">
            <w:pPr>
              <w:ind w:left="567" w:right="624"/>
              <w:jc w:val="center"/>
              <w:rPr>
                <w:rFonts w:ascii="Arial" w:eastAsia="Calibri" w:hAnsi="Arial" w:cs="Arial"/>
                <w:sz w:val="20"/>
                <w:szCs w:val="20"/>
                <w:lang w:val="es-MX"/>
              </w:rPr>
            </w:pPr>
            <w:r w:rsidRPr="00380823">
              <w:rPr>
                <w:rFonts w:ascii="Arial" w:eastAsia="Calibri" w:hAnsi="Arial" w:cs="Arial"/>
                <w:sz w:val="20"/>
                <w:szCs w:val="20"/>
                <w:lang w:val="es-MX"/>
              </w:rPr>
              <w:t>1</w:t>
            </w:r>
          </w:p>
        </w:tc>
      </w:tr>
      <w:tr w:rsidR="00380823" w:rsidRPr="00380823" w14:paraId="181177BD" w14:textId="77777777" w:rsidTr="00C8662B">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5664E9F8" w14:textId="77777777" w:rsidR="00380823" w:rsidRPr="00380823" w:rsidRDefault="00380823" w:rsidP="00380823">
            <w:pPr>
              <w:ind w:left="164" w:right="624"/>
              <w:jc w:val="center"/>
              <w:rPr>
                <w:rFonts w:ascii="Arial" w:eastAsia="Calibri" w:hAnsi="Arial" w:cs="Arial"/>
                <w:sz w:val="20"/>
                <w:szCs w:val="20"/>
                <w:lang w:val="es-MX"/>
              </w:rPr>
            </w:pPr>
            <w:r w:rsidRPr="00380823">
              <w:rPr>
                <w:rFonts w:ascii="Arial" w:eastAsia="Calibri" w:hAnsi="Arial" w:cs="Arial"/>
                <w:sz w:val="20"/>
                <w:szCs w:val="20"/>
                <w:lang w:val="es-MX"/>
              </w:rPr>
              <w:t>Apoyo a la industria nacional</w:t>
            </w:r>
          </w:p>
        </w:tc>
        <w:tc>
          <w:tcPr>
            <w:tcW w:w="1404" w:type="dxa"/>
            <w:tcBorders>
              <w:top w:val="single" w:sz="4" w:space="0" w:color="auto"/>
              <w:left w:val="single" w:sz="4" w:space="0" w:color="auto"/>
              <w:bottom w:val="single" w:sz="4" w:space="0" w:color="auto"/>
              <w:right w:val="double" w:sz="4" w:space="0" w:color="auto"/>
            </w:tcBorders>
            <w:vAlign w:val="center"/>
          </w:tcPr>
          <w:p w14:paraId="7870BD0C" w14:textId="77777777" w:rsidR="00380823" w:rsidRPr="00380823" w:rsidRDefault="00380823" w:rsidP="00380823">
            <w:pPr>
              <w:ind w:left="567" w:right="624"/>
              <w:jc w:val="center"/>
              <w:rPr>
                <w:rFonts w:ascii="Arial" w:eastAsia="Calibri" w:hAnsi="Arial" w:cs="Arial"/>
                <w:sz w:val="20"/>
                <w:szCs w:val="20"/>
                <w:lang w:val="es-MX"/>
              </w:rPr>
            </w:pPr>
            <w:r w:rsidRPr="00380823">
              <w:rPr>
                <w:rFonts w:ascii="Arial" w:eastAsia="Calibri" w:hAnsi="Arial" w:cs="Arial"/>
                <w:sz w:val="20"/>
                <w:szCs w:val="20"/>
                <w:lang w:val="es-MX"/>
              </w:rPr>
              <w:t>20</w:t>
            </w:r>
          </w:p>
        </w:tc>
      </w:tr>
      <w:tr w:rsidR="00380823" w:rsidRPr="00380823" w14:paraId="77B21D71" w14:textId="77777777" w:rsidTr="00C8662B">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712B433B" w14:textId="77777777" w:rsidR="00380823" w:rsidRPr="00380823" w:rsidRDefault="00380823" w:rsidP="00380823">
            <w:pPr>
              <w:ind w:left="164" w:right="624"/>
              <w:jc w:val="center"/>
              <w:rPr>
                <w:rFonts w:ascii="Arial" w:eastAsia="Calibri" w:hAnsi="Arial" w:cs="Arial"/>
                <w:sz w:val="20"/>
                <w:szCs w:val="20"/>
                <w:lang w:val="es-MX"/>
              </w:rPr>
            </w:pPr>
            <w:r w:rsidRPr="00380823">
              <w:rPr>
                <w:rFonts w:ascii="Arial" w:eastAsia="Calibri" w:hAnsi="Arial" w:cs="Arial"/>
                <w:sz w:val="20"/>
                <w:szCs w:val="20"/>
                <w:lang w:val="es-MX"/>
              </w:rPr>
              <w:t>Vinculación de personas con discapacidad</w:t>
            </w:r>
          </w:p>
        </w:tc>
        <w:tc>
          <w:tcPr>
            <w:tcW w:w="1404" w:type="dxa"/>
            <w:tcBorders>
              <w:top w:val="single" w:sz="4" w:space="0" w:color="auto"/>
              <w:left w:val="single" w:sz="4" w:space="0" w:color="auto"/>
              <w:bottom w:val="single" w:sz="4" w:space="0" w:color="auto"/>
              <w:right w:val="double" w:sz="4" w:space="0" w:color="auto"/>
            </w:tcBorders>
            <w:vAlign w:val="center"/>
          </w:tcPr>
          <w:p w14:paraId="23BF29C5" w14:textId="77777777" w:rsidR="00380823" w:rsidRPr="00380823" w:rsidRDefault="00380823" w:rsidP="00380823">
            <w:pPr>
              <w:ind w:left="567" w:right="624"/>
              <w:jc w:val="center"/>
              <w:rPr>
                <w:rFonts w:ascii="Arial" w:eastAsia="Calibri" w:hAnsi="Arial" w:cs="Arial"/>
                <w:sz w:val="20"/>
                <w:szCs w:val="20"/>
                <w:lang w:val="es-MX"/>
              </w:rPr>
            </w:pPr>
            <w:r w:rsidRPr="00380823">
              <w:rPr>
                <w:rFonts w:ascii="Arial" w:eastAsia="Calibri" w:hAnsi="Arial" w:cs="Arial"/>
                <w:sz w:val="20"/>
                <w:szCs w:val="20"/>
                <w:lang w:val="es-MX"/>
              </w:rPr>
              <w:t>1</w:t>
            </w:r>
          </w:p>
        </w:tc>
      </w:tr>
      <w:tr w:rsidR="00380823" w:rsidRPr="00380823" w14:paraId="00D4A7F0" w14:textId="77777777" w:rsidTr="00C8662B">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07205EB5" w14:textId="77777777" w:rsidR="00380823" w:rsidRPr="00380823" w:rsidRDefault="00380823" w:rsidP="00380823">
            <w:pPr>
              <w:ind w:left="164" w:right="624"/>
              <w:jc w:val="center"/>
              <w:rPr>
                <w:rFonts w:ascii="Arial" w:eastAsia="Calibri" w:hAnsi="Arial" w:cs="Arial"/>
                <w:sz w:val="20"/>
                <w:szCs w:val="20"/>
                <w:lang w:val="es-MX"/>
              </w:rPr>
            </w:pPr>
            <w:r w:rsidRPr="00380823">
              <w:rPr>
                <w:rFonts w:ascii="Arial" w:eastAsia="Calibri" w:hAnsi="Arial" w:cs="Arial"/>
                <w:sz w:val="20"/>
                <w:szCs w:val="20"/>
                <w:lang w:val="es-MX"/>
              </w:rPr>
              <w:t>Emprendimientos y empresas de mujeres</w:t>
            </w:r>
          </w:p>
        </w:tc>
        <w:tc>
          <w:tcPr>
            <w:tcW w:w="1404" w:type="dxa"/>
            <w:tcBorders>
              <w:top w:val="single" w:sz="4" w:space="0" w:color="auto"/>
              <w:left w:val="single" w:sz="4" w:space="0" w:color="auto"/>
              <w:bottom w:val="single" w:sz="4" w:space="0" w:color="auto"/>
              <w:right w:val="double" w:sz="4" w:space="0" w:color="auto"/>
            </w:tcBorders>
            <w:vAlign w:val="center"/>
          </w:tcPr>
          <w:p w14:paraId="7FDDF388" w14:textId="77777777" w:rsidR="00380823" w:rsidRPr="00380823" w:rsidRDefault="00380823" w:rsidP="00380823">
            <w:pPr>
              <w:ind w:left="567" w:right="624"/>
              <w:jc w:val="center"/>
              <w:rPr>
                <w:rFonts w:ascii="Arial" w:eastAsia="Calibri" w:hAnsi="Arial" w:cs="Arial"/>
                <w:sz w:val="20"/>
                <w:szCs w:val="20"/>
                <w:lang w:val="es-MX"/>
              </w:rPr>
            </w:pPr>
            <w:r w:rsidRPr="00380823">
              <w:rPr>
                <w:rFonts w:ascii="Arial" w:eastAsia="Calibri" w:hAnsi="Arial" w:cs="Arial"/>
                <w:sz w:val="20"/>
                <w:szCs w:val="20"/>
                <w:lang w:val="es-MX"/>
              </w:rPr>
              <w:t>0,25</w:t>
            </w:r>
          </w:p>
        </w:tc>
      </w:tr>
      <w:tr w:rsidR="00380823" w:rsidRPr="00380823" w14:paraId="05807425" w14:textId="77777777" w:rsidTr="00C8662B">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793B5BA8" w14:textId="77777777" w:rsidR="00380823" w:rsidRPr="00380823" w:rsidRDefault="00380823" w:rsidP="00380823">
            <w:pPr>
              <w:ind w:left="164" w:right="624"/>
              <w:jc w:val="center"/>
              <w:rPr>
                <w:rFonts w:ascii="Arial" w:eastAsia="Calibri" w:hAnsi="Arial" w:cs="Arial"/>
                <w:sz w:val="20"/>
                <w:szCs w:val="20"/>
                <w:lang w:val="es-MX"/>
              </w:rPr>
            </w:pPr>
            <w:r w:rsidRPr="00380823">
              <w:rPr>
                <w:rFonts w:ascii="Arial" w:eastAsia="Calibri" w:hAnsi="Arial" w:cs="Arial"/>
                <w:sz w:val="20"/>
                <w:szCs w:val="20"/>
                <w:lang w:val="es-MX"/>
              </w:rPr>
              <w:t>Total</w:t>
            </w:r>
          </w:p>
        </w:tc>
        <w:tc>
          <w:tcPr>
            <w:tcW w:w="1404" w:type="dxa"/>
            <w:tcBorders>
              <w:top w:val="single" w:sz="4" w:space="0" w:color="auto"/>
              <w:left w:val="single" w:sz="4" w:space="0" w:color="auto"/>
              <w:bottom w:val="single" w:sz="4" w:space="0" w:color="auto"/>
              <w:right w:val="double" w:sz="4" w:space="0" w:color="auto"/>
            </w:tcBorders>
            <w:vAlign w:val="center"/>
          </w:tcPr>
          <w:p w14:paraId="75382215" w14:textId="77777777" w:rsidR="00380823" w:rsidRPr="00380823" w:rsidRDefault="00380823" w:rsidP="00380823">
            <w:pPr>
              <w:ind w:left="567" w:right="624"/>
              <w:jc w:val="center"/>
              <w:rPr>
                <w:rFonts w:ascii="Arial" w:eastAsia="Calibri" w:hAnsi="Arial" w:cs="Arial"/>
                <w:iCs/>
                <w:sz w:val="20"/>
                <w:szCs w:val="20"/>
                <w:lang w:val="es-MX"/>
              </w:rPr>
            </w:pPr>
            <w:r w:rsidRPr="00380823">
              <w:rPr>
                <w:rFonts w:ascii="Arial" w:eastAsia="Calibri" w:hAnsi="Arial" w:cs="Arial"/>
                <w:sz w:val="20"/>
                <w:szCs w:val="20"/>
                <w:lang w:val="es-MX"/>
              </w:rPr>
              <w:t>100</w:t>
            </w:r>
          </w:p>
        </w:tc>
      </w:tr>
    </w:tbl>
    <w:p w14:paraId="2BF4744D" w14:textId="77777777" w:rsidR="00380823" w:rsidRPr="00380823" w:rsidRDefault="00380823" w:rsidP="00380823">
      <w:pPr>
        <w:spacing w:after="0" w:line="276" w:lineRule="auto"/>
        <w:ind w:firstLine="708"/>
        <w:jc w:val="both"/>
        <w:rPr>
          <w:rFonts w:ascii="Arial" w:eastAsia="Calibri" w:hAnsi="Arial" w:cs="Arial"/>
          <w:szCs w:val="20"/>
          <w:lang w:val="es-MX"/>
        </w:rPr>
      </w:pPr>
    </w:p>
    <w:p w14:paraId="5C1E850A" w14:textId="77777777" w:rsidR="00380823" w:rsidRPr="00380823" w:rsidRDefault="00380823" w:rsidP="00380823">
      <w:pPr>
        <w:spacing w:after="0" w:line="254" w:lineRule="atLeast"/>
        <w:jc w:val="both"/>
        <w:rPr>
          <w:rFonts w:ascii="Arial" w:eastAsia="Calibri" w:hAnsi="Arial" w:cs="Arial"/>
          <w:sz w:val="24"/>
          <w:lang w:val="es-MX"/>
        </w:rPr>
      </w:pPr>
    </w:p>
    <w:p w14:paraId="19E2AD06" w14:textId="77777777" w:rsidR="00380823" w:rsidRPr="00380823" w:rsidRDefault="00380823" w:rsidP="00380823">
      <w:pPr>
        <w:spacing w:after="120" w:line="276" w:lineRule="auto"/>
        <w:ind w:firstLine="709"/>
        <w:jc w:val="both"/>
        <w:rPr>
          <w:rFonts w:ascii="Arial" w:eastAsia="Calibri" w:hAnsi="Arial" w:cs="Arial"/>
          <w:color w:val="000000"/>
          <w:lang w:val="es-ES_tradnl"/>
        </w:rPr>
      </w:pPr>
      <w:r w:rsidRPr="00380823">
        <w:rPr>
          <w:rFonts w:ascii="Arial" w:eastAsia="Calibri" w:hAnsi="Arial" w:cs="Arial"/>
          <w:color w:val="000000"/>
          <w:lang w:val="es-ES_tradnl"/>
        </w:rPr>
        <w:t xml:space="preserve">En atención a la modalidad de selección y, particularmente, de acuerdo con la naturaleza del contrato a celebrar, esto es, por tratarse de una consultoría, género del que hace parte la </w:t>
      </w:r>
      <w:r w:rsidRPr="00380823">
        <w:rPr>
          <w:rFonts w:ascii="Arial" w:eastAsia="Calibri" w:hAnsi="Arial" w:cs="Arial"/>
          <w:color w:val="000000"/>
          <w:lang w:val="es-ES_tradnl"/>
        </w:rPr>
        <w:lastRenderedPageBreak/>
        <w:t>interventoría</w:t>
      </w:r>
      <w:r w:rsidRPr="00380823">
        <w:rPr>
          <w:rFonts w:ascii="Arial" w:eastAsia="Calibri" w:hAnsi="Arial" w:cs="Arial"/>
          <w:color w:val="000000"/>
          <w:vertAlign w:val="superscript"/>
          <w:lang w:val="es-ES_tradnl"/>
        </w:rPr>
        <w:footnoteReference w:id="3"/>
      </w:r>
      <w:r w:rsidRPr="00380823">
        <w:rPr>
          <w:rFonts w:ascii="Arial" w:eastAsia="Calibri" w:hAnsi="Arial" w:cs="Arial"/>
          <w:color w:val="000000"/>
          <w:lang w:val="es-ES_tradnl"/>
        </w:rPr>
        <w:t xml:space="preserve">, no se tiene en cuenta el precio como factor de evaluación, a diferencia de lo que ocurre, por ejemplo, en una licitación pública, una selección abreviada o un proceso de mínima cuantía. Por tanto, de conformidad con el inciso final del </w:t>
      </w:r>
      <w:r w:rsidRPr="00380823">
        <w:rPr>
          <w:rFonts w:ascii="Arial" w:eastAsia="Calibri" w:hAnsi="Arial" w:cs="Arial"/>
          <w:lang w:val="es-MX"/>
        </w:rPr>
        <w:t>numeral 4° del artículo 5° de la Ley 1150 de 2007</w:t>
      </w:r>
      <w:r w:rsidRPr="00380823">
        <w:rPr>
          <w:rFonts w:ascii="Arial" w:eastAsia="Calibri" w:hAnsi="Arial" w:cs="Arial"/>
          <w:color w:val="000000"/>
          <w:lang w:val="es-ES_tradnl"/>
        </w:rPr>
        <w:t>, la oferta económica no será factor de escogencia para la selección de consultores, por lo que no será un criterio de asignación de puntaje</w:t>
      </w:r>
      <w:r w:rsidRPr="00380823">
        <w:rPr>
          <w:rFonts w:ascii="Arial" w:eastAsia="Calibri" w:hAnsi="Arial" w:cs="Arial"/>
          <w:color w:val="000000"/>
          <w:vertAlign w:val="superscript"/>
          <w:lang w:val="es-ES_tradnl"/>
        </w:rPr>
        <w:footnoteReference w:id="4"/>
      </w:r>
      <w:r w:rsidRPr="00380823">
        <w:rPr>
          <w:rFonts w:ascii="Arial" w:eastAsia="Calibri" w:hAnsi="Arial" w:cs="Arial"/>
          <w:color w:val="000000"/>
          <w:lang w:val="es-ES_tradnl"/>
        </w:rPr>
        <w:t>.</w:t>
      </w:r>
    </w:p>
    <w:p w14:paraId="2814713C" w14:textId="77777777" w:rsidR="00380823" w:rsidRPr="00380823" w:rsidRDefault="00380823" w:rsidP="00380823">
      <w:pPr>
        <w:spacing w:before="120" w:after="0" w:line="276" w:lineRule="auto"/>
        <w:ind w:firstLine="709"/>
        <w:jc w:val="both"/>
        <w:rPr>
          <w:rFonts w:ascii="Arial" w:eastAsia="Calibri" w:hAnsi="Arial" w:cs="Arial"/>
          <w:bCs/>
          <w:color w:val="000000"/>
          <w:lang w:val="es-ES_tradnl"/>
        </w:rPr>
      </w:pPr>
      <w:r w:rsidRPr="00380823">
        <w:rPr>
          <w:rFonts w:ascii="Arial" w:eastAsia="Calibri" w:hAnsi="Arial" w:cs="Arial"/>
          <w:color w:val="000000"/>
          <w:lang w:val="es-ES_tradnl"/>
        </w:rPr>
        <w:t xml:space="preserve">Aclarado el punto anterior, cabe señalar que el Documento Base de los documentos tipo de concurso de méritos para contratar la interventoría de obras de infraestructura de transporte – versión 1, en lo relativo a la evaluación de la experiencia del proponente, establece un método de ponderación de los requisitos de este factor de asignación de puntaje. Al respecto, el numeral 4.1, en los literales A y B del documento tipo </w:t>
      </w:r>
      <w:r w:rsidRPr="00380823">
        <w:rPr>
          <w:rFonts w:ascii="Arial" w:eastAsia="Calibri" w:hAnsi="Arial" w:cs="Arial"/>
          <w:bCs/>
          <w:color w:val="000000"/>
          <w:lang w:val="es-ES_tradnl"/>
        </w:rPr>
        <w:t>estudiado disponen lo siguiente:</w:t>
      </w:r>
    </w:p>
    <w:p w14:paraId="3348CB29" w14:textId="77777777" w:rsidR="00380823" w:rsidRPr="00380823" w:rsidRDefault="00380823" w:rsidP="00380823">
      <w:pPr>
        <w:spacing w:before="120" w:after="0" w:line="276" w:lineRule="auto"/>
        <w:ind w:firstLine="709"/>
        <w:jc w:val="both"/>
        <w:rPr>
          <w:rFonts w:ascii="Arial" w:eastAsia="Calibri" w:hAnsi="Arial" w:cs="Arial"/>
          <w:bCs/>
          <w:color w:val="000000"/>
          <w:lang w:val="es-ES_tradnl"/>
        </w:rPr>
      </w:pPr>
    </w:p>
    <w:p w14:paraId="0AA6BEDC" w14:textId="77777777" w:rsidR="00380823" w:rsidRPr="00380823" w:rsidRDefault="00380823" w:rsidP="00380823">
      <w:pPr>
        <w:spacing w:after="0" w:line="240" w:lineRule="auto"/>
        <w:ind w:left="708" w:right="709" w:firstLine="1"/>
        <w:jc w:val="both"/>
        <w:rPr>
          <w:rFonts w:ascii="Arial" w:eastAsia="Calibri" w:hAnsi="Arial" w:cs="Arial"/>
          <w:bCs/>
          <w:color w:val="000000"/>
          <w:sz w:val="21"/>
          <w:szCs w:val="21"/>
          <w:lang w:val="es-ES_tradnl"/>
        </w:rPr>
      </w:pPr>
      <w:r w:rsidRPr="00380823">
        <w:rPr>
          <w:rFonts w:ascii="Arial" w:eastAsia="Calibri" w:hAnsi="Arial" w:cs="Arial"/>
          <w:bCs/>
          <w:color w:val="000000"/>
          <w:sz w:val="21"/>
          <w:szCs w:val="21"/>
          <w:lang w:val="es-ES_tradnl"/>
        </w:rPr>
        <w:t>A.</w:t>
      </w:r>
      <w:r w:rsidRPr="00380823">
        <w:rPr>
          <w:rFonts w:ascii="Arial" w:eastAsia="Calibri" w:hAnsi="Arial" w:cs="Arial"/>
          <w:bCs/>
          <w:color w:val="000000"/>
          <w:sz w:val="21"/>
          <w:szCs w:val="21"/>
          <w:lang w:val="es-ES_tradnl"/>
        </w:rPr>
        <w:tab/>
        <w:t xml:space="preserve">El proponente cumplirá con la exigencia mínima de experiencia prevista en el numeral 3.8.1, de acuerdo con lo anterior, si el proponente debió subsanar el cumplimiento de la experiencia mínima no será susceptible de puntuación, por lo que obtendrá cero (0) puntos por este criterio de evaluación. </w:t>
      </w:r>
    </w:p>
    <w:p w14:paraId="39F4C508" w14:textId="77777777" w:rsidR="00380823" w:rsidRPr="00380823" w:rsidRDefault="00380823" w:rsidP="00380823">
      <w:pPr>
        <w:spacing w:after="0" w:line="240" w:lineRule="auto"/>
        <w:ind w:right="709" w:firstLine="709"/>
        <w:jc w:val="both"/>
        <w:rPr>
          <w:rFonts w:ascii="Arial" w:eastAsia="Calibri" w:hAnsi="Arial" w:cs="Arial"/>
          <w:bCs/>
          <w:color w:val="000000"/>
          <w:sz w:val="21"/>
          <w:szCs w:val="21"/>
          <w:lang w:val="es-ES_tradnl"/>
        </w:rPr>
      </w:pPr>
    </w:p>
    <w:p w14:paraId="7E3785D7" w14:textId="77777777" w:rsidR="00380823" w:rsidRPr="00380823" w:rsidRDefault="00380823" w:rsidP="00380823">
      <w:pPr>
        <w:spacing w:after="0" w:line="240" w:lineRule="auto"/>
        <w:ind w:left="708" w:right="709" w:firstLine="1"/>
        <w:jc w:val="both"/>
        <w:rPr>
          <w:rFonts w:ascii="Arial" w:eastAsia="Calibri" w:hAnsi="Arial" w:cs="Arial"/>
          <w:bCs/>
          <w:color w:val="000000"/>
          <w:sz w:val="21"/>
          <w:szCs w:val="21"/>
          <w:lang w:val="es-ES_tradnl"/>
        </w:rPr>
      </w:pPr>
      <w:r w:rsidRPr="00380823">
        <w:rPr>
          <w:rFonts w:ascii="Arial" w:eastAsia="Calibri" w:hAnsi="Arial" w:cs="Arial"/>
          <w:bCs/>
          <w:color w:val="000000"/>
          <w:sz w:val="21"/>
          <w:szCs w:val="21"/>
          <w:lang w:val="es-ES_tradnl"/>
        </w:rPr>
        <w:t>B.</w:t>
      </w:r>
      <w:r w:rsidRPr="00380823">
        <w:rPr>
          <w:rFonts w:ascii="Arial" w:eastAsia="Calibri" w:hAnsi="Arial" w:cs="Arial"/>
          <w:bCs/>
          <w:color w:val="000000"/>
          <w:sz w:val="21"/>
          <w:szCs w:val="21"/>
          <w:lang w:val="es-ES_tradnl"/>
        </w:rPr>
        <w:tab/>
        <w:t>Para la asignación de puntaje, se tomará el promedio de los contratos válidos aportados expresados en 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w:t>
      </w:r>
    </w:p>
    <w:p w14:paraId="33168351" w14:textId="77777777" w:rsidR="00380823" w:rsidRPr="00380823" w:rsidRDefault="00380823" w:rsidP="00380823">
      <w:pPr>
        <w:spacing w:after="0" w:line="240" w:lineRule="auto"/>
        <w:ind w:left="708" w:right="709" w:firstLine="1"/>
        <w:jc w:val="both"/>
        <w:rPr>
          <w:rFonts w:ascii="Arial" w:eastAsia="Calibri" w:hAnsi="Arial" w:cs="Arial"/>
          <w:bCs/>
          <w:color w:val="000000"/>
          <w:sz w:val="21"/>
          <w:szCs w:val="21"/>
          <w:lang w:val="es-ES_tradnl"/>
        </w:rPr>
      </w:pPr>
    </w:p>
    <w:p w14:paraId="01B877CC" w14:textId="77777777" w:rsidR="00380823" w:rsidRPr="00380823" w:rsidRDefault="00380823" w:rsidP="00380823">
      <w:pPr>
        <w:spacing w:after="0" w:line="276" w:lineRule="auto"/>
        <w:ind w:firstLine="708"/>
        <w:jc w:val="both"/>
        <w:rPr>
          <w:rFonts w:ascii="Arial" w:eastAsia="Calibri" w:hAnsi="Arial" w:cs="Arial"/>
          <w:bCs/>
          <w:color w:val="000000"/>
          <w:lang w:val="es-ES_tradnl"/>
        </w:rPr>
      </w:pPr>
      <w:r w:rsidRPr="00380823">
        <w:rPr>
          <w:rFonts w:ascii="Arial" w:eastAsia="Calibri" w:hAnsi="Arial" w:cs="Arial"/>
          <w:bCs/>
          <w:color w:val="000000"/>
          <w:lang w:val="es-ES_tradnl"/>
        </w:rPr>
        <w:t xml:space="preserve">En tal sentido, para la asignación de puntaje en la experiencia del proponente es necesario contar con el promedio de los contratos válidos aportados expresados en SMMLV que estén registrados en el RUP o en alguno de los documentos válidos señalados en el numeral 10.1.5. A su vez, se estableció como consecuencia que si el proponente debió subsanar el cumplimiento mínimo de la experiencia obtendrá cero (0) puntos por este criterio de evaluación. </w:t>
      </w:r>
    </w:p>
    <w:p w14:paraId="1CD87785" w14:textId="77777777" w:rsidR="00380823" w:rsidRPr="00380823" w:rsidRDefault="00380823" w:rsidP="00380823">
      <w:pPr>
        <w:spacing w:before="120" w:after="0" w:line="276" w:lineRule="auto"/>
        <w:ind w:firstLine="709"/>
        <w:jc w:val="both"/>
        <w:rPr>
          <w:rFonts w:ascii="Arial" w:eastAsia="Calibri" w:hAnsi="Arial" w:cs="Arial"/>
          <w:bCs/>
          <w:color w:val="000000"/>
          <w:lang w:val="es-ES_tradnl"/>
        </w:rPr>
      </w:pPr>
      <w:r w:rsidRPr="00380823">
        <w:rPr>
          <w:rFonts w:ascii="Arial" w:eastAsia="Calibri" w:hAnsi="Arial" w:cs="Arial"/>
          <w:bCs/>
          <w:color w:val="000000"/>
          <w:lang w:val="es-ES_tradnl"/>
        </w:rPr>
        <w:t>Por su parte, en los documentos tipo de interventoría de obra pública de infraestructura de transporte – versión 2, en lo relativo a la evaluación de la experiencia del proponente se estableció una consecuencia distinta en caso de que el proponente requiriera subsanar el requisito mínimo habilitante. Así se estableció en los siguientes términos:</w:t>
      </w:r>
    </w:p>
    <w:p w14:paraId="376DFBD1" w14:textId="77777777" w:rsidR="00380823" w:rsidRPr="00380823" w:rsidRDefault="00380823" w:rsidP="00380823">
      <w:pPr>
        <w:spacing w:after="0" w:line="276" w:lineRule="auto"/>
        <w:jc w:val="both"/>
        <w:rPr>
          <w:rFonts w:ascii="Arial" w:eastAsia="Calibri" w:hAnsi="Arial" w:cs="Arial"/>
          <w:bCs/>
          <w:color w:val="000000"/>
          <w:sz w:val="24"/>
          <w:lang w:val="es-ES_tradnl"/>
        </w:rPr>
      </w:pPr>
      <w:r w:rsidRPr="00380823">
        <w:rPr>
          <w:rFonts w:ascii="Arial" w:eastAsia="Calibri" w:hAnsi="Arial" w:cs="Arial"/>
          <w:bCs/>
          <w:color w:val="000000"/>
          <w:sz w:val="24"/>
          <w:lang w:val="es-ES_tradnl"/>
        </w:rPr>
        <w:lastRenderedPageBreak/>
        <w:tab/>
      </w:r>
    </w:p>
    <w:p w14:paraId="11624AE2" w14:textId="77777777" w:rsidR="00380823" w:rsidRPr="00380823" w:rsidRDefault="00380823" w:rsidP="00380823">
      <w:pPr>
        <w:spacing w:after="0" w:line="240" w:lineRule="auto"/>
        <w:ind w:left="709" w:right="709"/>
        <w:jc w:val="both"/>
        <w:rPr>
          <w:rFonts w:ascii="Arial" w:eastAsia="Calibri" w:hAnsi="Arial" w:cs="Arial"/>
          <w:bCs/>
          <w:color w:val="000000"/>
          <w:sz w:val="21"/>
          <w:szCs w:val="21"/>
          <w:lang w:val="es-ES_tradnl"/>
        </w:rPr>
      </w:pPr>
      <w:r w:rsidRPr="00380823">
        <w:rPr>
          <w:rFonts w:ascii="Arial" w:eastAsia="Calibri" w:hAnsi="Arial" w:cs="Arial"/>
          <w:bCs/>
          <w:color w:val="000000"/>
          <w:sz w:val="21"/>
          <w:szCs w:val="21"/>
          <w:lang w:val="es-ES_tradnl"/>
        </w:rPr>
        <w:t>A. El Proponente cumplirá con la exigencia mínima de experiencia prevista en el numeral 3.8.1. del Pliego de Condiciones. De acuerdo con lo anterior, si el Proponente debió subsanar el cumplimiento de la experiencia mínima, para la asignación de puntaje no se tendrán en cuenta los contratos que hayan sido objeto de subsanación. ni para definir el promedio de los contratos válidos aportados que se refiere el literal B) de este numeral.</w:t>
      </w:r>
    </w:p>
    <w:p w14:paraId="02DF7E4C" w14:textId="77777777" w:rsidR="00380823" w:rsidRPr="00380823" w:rsidRDefault="00380823" w:rsidP="00380823">
      <w:pPr>
        <w:spacing w:after="0" w:line="240" w:lineRule="auto"/>
        <w:ind w:left="709" w:right="709"/>
        <w:jc w:val="both"/>
        <w:rPr>
          <w:rFonts w:ascii="Arial" w:eastAsia="Calibri" w:hAnsi="Arial" w:cs="Arial"/>
          <w:bCs/>
          <w:color w:val="000000"/>
          <w:sz w:val="21"/>
          <w:szCs w:val="21"/>
          <w:lang w:val="es-ES_tradnl"/>
        </w:rPr>
      </w:pPr>
    </w:p>
    <w:p w14:paraId="52FCD3F1" w14:textId="77777777" w:rsidR="00380823" w:rsidRPr="00380823" w:rsidRDefault="00380823" w:rsidP="00380823">
      <w:pPr>
        <w:spacing w:after="0" w:line="240" w:lineRule="auto"/>
        <w:ind w:left="709" w:right="709"/>
        <w:jc w:val="both"/>
        <w:rPr>
          <w:rFonts w:ascii="Arial" w:eastAsia="Calibri" w:hAnsi="Arial" w:cs="Arial"/>
          <w:bCs/>
          <w:color w:val="000000"/>
          <w:sz w:val="21"/>
          <w:szCs w:val="21"/>
          <w:lang w:val="es-ES_tradnl"/>
        </w:rPr>
      </w:pPr>
      <w:r w:rsidRPr="00380823">
        <w:rPr>
          <w:rFonts w:ascii="Arial" w:eastAsia="Calibri" w:hAnsi="Arial" w:cs="Arial"/>
          <w:bCs/>
          <w:color w:val="000000"/>
          <w:sz w:val="21"/>
          <w:szCs w:val="21"/>
          <w:lang w:val="es-ES_tradnl"/>
        </w:rPr>
        <w:t>Cuando un Proponente haya subsanado la totalidad de los contratos aportados, su oferta no será tenida en cuenta para aplicar las fórmulas para la ponderación de la experiencia del Proponente, por lo que, además, por este criterio de asignación de puntaje obtendrá cero (0) puntos.</w:t>
      </w:r>
    </w:p>
    <w:p w14:paraId="485BB672" w14:textId="77777777" w:rsidR="00380823" w:rsidRPr="00380823" w:rsidRDefault="00380823" w:rsidP="00380823">
      <w:pPr>
        <w:spacing w:after="0" w:line="240" w:lineRule="auto"/>
        <w:ind w:left="709" w:right="709"/>
        <w:jc w:val="both"/>
        <w:rPr>
          <w:rFonts w:ascii="Arial" w:eastAsia="Calibri" w:hAnsi="Arial" w:cs="Arial"/>
          <w:color w:val="000000"/>
          <w:sz w:val="21"/>
          <w:szCs w:val="21"/>
          <w:lang w:val="es-ES_tradnl"/>
        </w:rPr>
      </w:pPr>
    </w:p>
    <w:p w14:paraId="0173017E" w14:textId="77777777" w:rsidR="00380823" w:rsidRPr="00380823" w:rsidRDefault="00380823" w:rsidP="00380823">
      <w:pPr>
        <w:spacing w:after="0" w:line="240" w:lineRule="auto"/>
        <w:ind w:left="709" w:right="709"/>
        <w:jc w:val="both"/>
        <w:rPr>
          <w:rFonts w:ascii="Arial" w:eastAsia="Calibri" w:hAnsi="Arial" w:cs="Arial"/>
          <w:color w:val="000000"/>
          <w:sz w:val="21"/>
          <w:szCs w:val="21"/>
          <w:lang w:val="es-ES_tradnl"/>
        </w:rPr>
      </w:pPr>
      <w:r w:rsidRPr="00380823">
        <w:rPr>
          <w:rFonts w:ascii="Arial" w:eastAsia="Calibri" w:hAnsi="Arial" w:cs="Arial"/>
          <w:color w:val="000000"/>
          <w:sz w:val="21"/>
          <w:szCs w:val="21"/>
          <w:lang w:val="es-ES_tradnl"/>
        </w:rPr>
        <w:t xml:space="preserve">B. </w:t>
      </w:r>
      <w:r w:rsidRPr="00380823">
        <w:rPr>
          <w:rFonts w:ascii="Arial" w:eastAsia="Calibri" w:hAnsi="Arial" w:cs="Arial"/>
          <w:color w:val="000000"/>
          <w:sz w:val="21"/>
          <w:szCs w:val="21"/>
          <w:shd w:val="clear" w:color="auto" w:fill="FFFFFF"/>
          <w:lang w:val="es-MX"/>
        </w:rPr>
        <w:t xml:space="preserve">Para la asignación de puntaje, se tomará el promedio de los contratos válidos aportados expresados en </w:t>
      </w:r>
      <w:r w:rsidRPr="00380823">
        <w:rPr>
          <w:rFonts w:ascii="Arial" w:eastAsia="Calibri" w:hAnsi="Arial" w:cs="Arial"/>
          <w:color w:val="000000"/>
          <w:sz w:val="21"/>
          <w:szCs w:val="21"/>
          <w:lang w:val="es-ES_tradnl"/>
        </w:rPr>
        <w:t>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w:t>
      </w:r>
      <w:r w:rsidRPr="00380823">
        <w:rPr>
          <w:rFonts w:ascii="Arial" w:eastAsia="Calibri" w:hAnsi="Arial" w:cs="Arial"/>
          <w:color w:val="000000"/>
          <w:sz w:val="21"/>
          <w:szCs w:val="21"/>
          <w:shd w:val="clear" w:color="auto" w:fill="FFFFFF"/>
          <w:lang w:val="es-MX"/>
        </w:rPr>
        <w:t>.</w:t>
      </w:r>
    </w:p>
    <w:p w14:paraId="340CFC97" w14:textId="77777777" w:rsidR="00380823" w:rsidRPr="00380823" w:rsidRDefault="00380823" w:rsidP="00380823">
      <w:pPr>
        <w:spacing w:after="0" w:line="276" w:lineRule="auto"/>
        <w:ind w:firstLine="708"/>
        <w:jc w:val="both"/>
        <w:rPr>
          <w:rFonts w:ascii="Arial" w:eastAsia="Calibri" w:hAnsi="Arial" w:cs="Arial"/>
          <w:color w:val="000000"/>
          <w:sz w:val="24"/>
          <w:lang w:val="es-MX"/>
        </w:rPr>
      </w:pPr>
    </w:p>
    <w:p w14:paraId="71430113" w14:textId="77777777" w:rsidR="00380823" w:rsidRPr="00380823" w:rsidRDefault="00380823" w:rsidP="00380823">
      <w:pPr>
        <w:spacing w:after="120" w:line="276" w:lineRule="auto"/>
        <w:ind w:firstLine="709"/>
        <w:jc w:val="both"/>
        <w:rPr>
          <w:rFonts w:ascii="Arial" w:eastAsia="Calibri" w:hAnsi="Arial" w:cs="Arial"/>
          <w:color w:val="000000"/>
          <w:lang w:val="es-MX"/>
        </w:rPr>
      </w:pPr>
      <w:r w:rsidRPr="00380823">
        <w:rPr>
          <w:rFonts w:ascii="Arial" w:eastAsia="Calibri" w:hAnsi="Arial" w:cs="Arial"/>
          <w:color w:val="000000"/>
          <w:lang w:val="es-MX"/>
        </w:rPr>
        <w:t xml:space="preserve">Conforme indican estos literales, la valoración de la experiencia del proponente, de cara a la asignación del puntaje correspondiente por este factor de evaluación, debe hacerse de acuerdo con el promedio de los valores de los contratos válidos aportados para acreditar experiencia, expresados en SMMLV. 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señalados en el Documento Base, cuya escogencia debe hacerse de manera aleatoria, a partir de la Tasa Representativa del Mercado–TRM–.  Además, se precisa que en el evento el oferente requiera subsanar la exigencia mínima de experiencia, para la asignación de puntaje no se tendrán en cuenta los contratos que hayan sido objeto de subsanación, ni para definir el promedio de los contratos válidos aportados que se refiere el literal B) de este numeral, y sólo obtendrá cero (0) puntos cuando el oferente haya subsanado la totalidad de los contratos aportados. </w:t>
      </w:r>
    </w:p>
    <w:p w14:paraId="328D218A" w14:textId="77777777" w:rsidR="00380823" w:rsidRPr="00380823" w:rsidRDefault="00380823" w:rsidP="00380823">
      <w:pPr>
        <w:spacing w:after="120" w:line="276" w:lineRule="auto"/>
        <w:ind w:firstLine="709"/>
        <w:jc w:val="both"/>
        <w:rPr>
          <w:rFonts w:ascii="Arial" w:eastAsia="Calibri" w:hAnsi="Arial" w:cs="Arial"/>
          <w:lang w:val="es-MX"/>
        </w:rPr>
      </w:pPr>
      <w:r w:rsidRPr="00380823">
        <w:rPr>
          <w:rFonts w:ascii="Arial" w:eastAsia="Calibri" w:hAnsi="Arial" w:cs="Arial"/>
          <w:color w:val="000000"/>
          <w:lang w:val="es-ES_tradnl"/>
        </w:rPr>
        <w:t xml:space="preserve">En relación con la inquietud planteada en la consulta, se precisa que, de acuerdo con las consideraciones antes expuestas, la información del RUP o de alguno de los documentos válidos señalados en el numeral 10.1.5. del Documento base que soporte la experiencia del RUP, es la que se tiene en cuenta para la asignación de puntaje de la experiencia del proponente. En ese sentido, se observa que ese mismo Documento Base dispone, en el acápite 3.1 de Generalidades, literal D, que </w:t>
      </w:r>
      <w:r w:rsidRPr="00380823">
        <w:rPr>
          <w:rFonts w:ascii="Arial" w:eastAsia="Calibri" w:hAnsi="Arial" w:cs="Arial"/>
          <w:lang w:val="es-MX"/>
        </w:rPr>
        <w:t>«Los Proponentes obligados a estar inscritos en el Registro Único de Proponentes (RUP), deberán aportar el certificado con fecha de expedición no mayor a treinta (30) días calendario anteriores a la fecha de cierre del Proceso de Contratación [...]».</w:t>
      </w:r>
    </w:p>
    <w:p w14:paraId="6B4C6F17" w14:textId="77777777" w:rsidR="00380823" w:rsidRPr="00380823" w:rsidRDefault="00380823" w:rsidP="00380823">
      <w:pPr>
        <w:spacing w:after="120" w:line="276" w:lineRule="auto"/>
        <w:ind w:firstLine="709"/>
        <w:jc w:val="both"/>
        <w:rPr>
          <w:rFonts w:ascii="Arial" w:eastAsia="Calibri" w:hAnsi="Arial" w:cs="Arial"/>
          <w:color w:val="000000"/>
          <w:lang w:val="es-ES_tradnl"/>
        </w:rPr>
      </w:pPr>
      <w:r w:rsidRPr="00380823">
        <w:rPr>
          <w:rFonts w:ascii="Arial" w:eastAsia="Calibri" w:hAnsi="Arial" w:cs="Arial"/>
          <w:color w:val="000000"/>
          <w:lang w:val="es-ES_tradnl"/>
        </w:rPr>
        <w:lastRenderedPageBreak/>
        <w:t>Por tanto, para el caso de los documentos tipo de concurso de méritos para contratar la interventoría de obras de infraestructura de transporte, el RUP cumple una doble función: i) acreditar que el proponente cumple con la exigencia mínima de la experiencia del proponente, como requisito habilitante de estos procesos de contratación y ii) certificar los contratos válidos aportados de cada propuesta hábil expresados en SMMLV registrados allí, con el fin de que se pueda realizar la asignación de puntaje de la experiencia del proponente, obteniendo el promedio del valor de dichos contratos.</w:t>
      </w:r>
    </w:p>
    <w:p w14:paraId="6E4EBBE4" w14:textId="77777777" w:rsidR="00380823" w:rsidRPr="00380823" w:rsidRDefault="00380823" w:rsidP="00380823">
      <w:pPr>
        <w:spacing w:after="120" w:line="276" w:lineRule="auto"/>
        <w:ind w:firstLine="709"/>
        <w:jc w:val="both"/>
        <w:rPr>
          <w:rFonts w:ascii="Arial" w:eastAsia="Calibri" w:hAnsi="Arial" w:cs="Arial"/>
          <w:lang w:val="es-MX"/>
        </w:rPr>
      </w:pPr>
      <w:r w:rsidRPr="00380823">
        <w:rPr>
          <w:rFonts w:ascii="Arial" w:eastAsia="Calibri" w:hAnsi="Arial" w:cs="Arial"/>
          <w:color w:val="000000"/>
          <w:lang w:val="es-ES_tradnl"/>
        </w:rPr>
        <w:t xml:space="preserve">Adicionalmente, para resolver su consulta es necesario destacar lo reglado por el literal A del numeral 4.1 del documento tipo </w:t>
      </w:r>
      <w:r w:rsidRPr="00380823">
        <w:rPr>
          <w:rFonts w:ascii="Arial" w:eastAsia="Calibri" w:hAnsi="Arial" w:cs="Arial"/>
          <w:bCs/>
          <w:color w:val="000000"/>
          <w:lang w:val="es-ES_tradnl"/>
        </w:rPr>
        <w:t xml:space="preserve">estudiado, previamente citado, respecto de la subsanación del cumplimiento de la experiencia mínima, ya que cuando esto ocurre el pliego tipo dispone que no se tendrá en cuenta lo subsanado para la asignación de puntaje de la experiencia del proponente ni para definir el promedio de contratos válidos aportados, que como se mencionó en el párrafo anterior, se requiere para definir el puntaje que se le otorgará al proponente por el criterio de evaluación y puntaje denominado </w:t>
      </w:r>
      <w:r w:rsidRPr="00380823">
        <w:rPr>
          <w:rFonts w:ascii="Arial" w:eastAsia="Calibri" w:hAnsi="Arial" w:cs="Arial"/>
          <w:lang w:val="es-MX"/>
        </w:rPr>
        <w:t>«Experiencia del Proponente».</w:t>
      </w:r>
    </w:p>
    <w:p w14:paraId="5D8B0174" w14:textId="77777777" w:rsidR="00380823" w:rsidRPr="00380823" w:rsidRDefault="00380823" w:rsidP="00380823">
      <w:pPr>
        <w:spacing w:after="0" w:line="276" w:lineRule="auto"/>
        <w:ind w:firstLine="709"/>
        <w:jc w:val="both"/>
        <w:rPr>
          <w:rFonts w:ascii="Arial" w:eastAsia="Calibri" w:hAnsi="Arial" w:cs="Arial"/>
          <w:color w:val="000000"/>
          <w:lang w:val="es-ES_tradnl"/>
        </w:rPr>
      </w:pPr>
      <w:r w:rsidRPr="00380823">
        <w:rPr>
          <w:rFonts w:ascii="Arial" w:eastAsia="Calibri" w:hAnsi="Arial" w:cs="Arial"/>
          <w:lang w:val="es-MX"/>
        </w:rPr>
        <w:t>De igual manera, el numeral 1.6 del Documento base también se refiere a «REGLAS DE SUBSANABILIDAD, EXPLICACIONES Y ACLARACIONES»</w:t>
      </w:r>
      <w:r w:rsidRPr="00380823">
        <w:rPr>
          <w:rFonts w:ascii="Arial" w:eastAsia="Calibri" w:hAnsi="Arial" w:cs="Arial"/>
          <w:color w:val="000000"/>
          <w:lang w:val="es-ES_tradnl"/>
        </w:rPr>
        <w:t xml:space="preserve"> así: </w:t>
      </w:r>
    </w:p>
    <w:p w14:paraId="38C3A113" w14:textId="77777777" w:rsidR="00380823" w:rsidRPr="00380823" w:rsidRDefault="00380823" w:rsidP="00380823">
      <w:pPr>
        <w:spacing w:after="0" w:line="276" w:lineRule="auto"/>
        <w:ind w:firstLine="709"/>
        <w:jc w:val="both"/>
        <w:rPr>
          <w:rFonts w:ascii="Arial" w:eastAsia="Calibri" w:hAnsi="Arial" w:cs="Arial"/>
          <w:color w:val="000000"/>
          <w:sz w:val="24"/>
          <w:lang w:val="es-ES_tradnl"/>
        </w:rPr>
      </w:pPr>
    </w:p>
    <w:p w14:paraId="440718E3" w14:textId="77777777" w:rsidR="00380823" w:rsidRPr="00380823" w:rsidRDefault="00380823" w:rsidP="00380823">
      <w:pPr>
        <w:spacing w:after="0" w:line="240" w:lineRule="auto"/>
        <w:ind w:left="851" w:right="616"/>
        <w:jc w:val="both"/>
        <w:rPr>
          <w:rFonts w:ascii="Arial" w:eastAsia="Calibri" w:hAnsi="Arial" w:cs="Arial"/>
          <w:sz w:val="20"/>
          <w:lang w:val="es-MX"/>
        </w:rPr>
      </w:pPr>
      <w:r w:rsidRPr="00380823">
        <w:rPr>
          <w:rFonts w:ascii="Arial" w:eastAsia="Calibri" w:hAnsi="Arial" w:cs="Arial"/>
          <w:sz w:val="20"/>
          <w:lang w:val="es-MX"/>
        </w:rPr>
        <w:t>[...] 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o mejorar sus propuestas en los aspectos que otorgan puntaje, ni tampoco en los factores de desempate, los cuales podrán ser objeto de aclaraciones y explicaciones. Los Proponentes deberán allegar las aclaraciones o documentos requeridos en el momento en el que fueron solicitados y a más tardar hasta el término de traslado del informe de evaluación, es decir, dentro de los tres (3) días hábiles posteriores contados a partir del día hábil siguiente a la publicación del informe de evaluación.</w:t>
      </w:r>
      <w:r w:rsidRPr="00380823">
        <w:rPr>
          <w:rFonts w:ascii="Arial" w:eastAsia="Calibri" w:hAnsi="Arial" w:cs="Arial"/>
          <w:sz w:val="24"/>
          <w:lang w:val="es-MX"/>
        </w:rPr>
        <w:t xml:space="preserve"> </w:t>
      </w:r>
      <w:r w:rsidRPr="00380823">
        <w:rPr>
          <w:rFonts w:ascii="Arial" w:eastAsia="Calibri" w:hAnsi="Arial" w:cs="Arial"/>
          <w:sz w:val="20"/>
          <w:lang w:val="es-MX"/>
        </w:rPr>
        <w:t>[...]</w:t>
      </w:r>
    </w:p>
    <w:p w14:paraId="5F52A523" w14:textId="77777777" w:rsidR="00380823" w:rsidRPr="00380823" w:rsidRDefault="00380823" w:rsidP="00380823">
      <w:pPr>
        <w:spacing w:after="0" w:line="240" w:lineRule="auto"/>
        <w:ind w:left="851" w:right="616"/>
        <w:jc w:val="both"/>
        <w:rPr>
          <w:rFonts w:ascii="Arial" w:eastAsia="Calibri" w:hAnsi="Arial" w:cs="Arial"/>
          <w:sz w:val="20"/>
          <w:lang w:val="es-MX"/>
        </w:rPr>
      </w:pPr>
    </w:p>
    <w:p w14:paraId="00962668" w14:textId="77777777" w:rsidR="00380823" w:rsidRPr="00380823" w:rsidRDefault="00380823" w:rsidP="00380823">
      <w:pPr>
        <w:spacing w:after="120" w:line="276" w:lineRule="auto"/>
        <w:ind w:right="51" w:firstLine="709"/>
        <w:jc w:val="both"/>
        <w:rPr>
          <w:rFonts w:ascii="Arial" w:eastAsia="Arial" w:hAnsi="Arial" w:cs="Arial"/>
          <w:lang w:val="es-MX" w:eastAsia="es-ES"/>
        </w:rPr>
      </w:pPr>
      <w:r w:rsidRPr="00380823">
        <w:rPr>
          <w:rFonts w:ascii="Arial" w:eastAsia="Calibri" w:hAnsi="Arial" w:cs="Arial"/>
          <w:lang w:val="es-MX"/>
        </w:rPr>
        <w:t>Como en efecto lo explica textualmente el pliego, no son subsanables los aspectos que otorgan puntaje ni los factores de desempate, pero respecto de estos si procede la aclaración o explicación que solicite la entidad y que aporte el proponente</w:t>
      </w:r>
      <w:r w:rsidRPr="00380823">
        <w:rPr>
          <w:rFonts w:ascii="Arial" w:eastAsia="Arial" w:hAnsi="Arial" w:cs="Arial"/>
          <w:lang w:val="es-MX" w:eastAsia="es-ES"/>
        </w:rPr>
        <w:t>. Esto se encuentra en armonía con el parágrafo 1 del artículo 5 de la Ley 1150 de 2007, modificado por el artículo 5 de la Ley 1882 de 2018, que dispone la subsanabilidad de los requisitos de la propuesta que no afecten la asignación de puntaje, los cuales deben ser solicitados por la entidad estatal contratante y aportados por los proponentes, lo que implica que los requisitos ponderables o que otorguen puntaje no pueden ser subsanados</w:t>
      </w:r>
      <w:r w:rsidRPr="00380823">
        <w:rPr>
          <w:rFonts w:ascii="Arial" w:eastAsia="Arial" w:hAnsi="Arial" w:cs="Arial"/>
          <w:vertAlign w:val="superscript"/>
          <w:lang w:val="es-MX" w:eastAsia="es-ES"/>
        </w:rPr>
        <w:footnoteReference w:id="5"/>
      </w:r>
      <w:r w:rsidRPr="00380823">
        <w:rPr>
          <w:rFonts w:ascii="Arial" w:eastAsia="Arial" w:hAnsi="Arial" w:cs="Arial"/>
          <w:lang w:val="es-MX" w:eastAsia="es-ES"/>
        </w:rPr>
        <w:t xml:space="preserve">. </w:t>
      </w:r>
    </w:p>
    <w:p w14:paraId="1B4C0C78" w14:textId="77777777" w:rsidR="00380823" w:rsidRPr="00380823" w:rsidRDefault="00380823" w:rsidP="00380823">
      <w:pPr>
        <w:spacing w:after="0" w:line="276" w:lineRule="auto"/>
        <w:ind w:firstLine="708"/>
        <w:jc w:val="both"/>
        <w:rPr>
          <w:rFonts w:ascii="Arial" w:eastAsia="Arial" w:hAnsi="Arial" w:cs="Arial"/>
          <w:lang w:val="es-MX" w:eastAsia="es-ES"/>
        </w:rPr>
      </w:pPr>
      <w:r w:rsidRPr="00380823">
        <w:rPr>
          <w:rFonts w:ascii="Arial" w:eastAsia="Arial" w:hAnsi="Arial" w:cs="Arial"/>
          <w:lang w:val="es-MX" w:eastAsia="es-ES"/>
        </w:rPr>
        <w:lastRenderedPageBreak/>
        <w:t xml:space="preserve">Explicada la forma en cómo se evalúa la experiencia habilitante en los documentos tipo de interventoría de obra pública de infraestructura de transporte y, además, la consecuencia en caso de que se requiera subsanar alguno de los contratos para validar la experiencia. Usted pregunta lo siguiente: En el evento que el oferente no aporte el Registro Único de Proponentes con fecha no mayor a treinta (30) días calendario y, en consecuencia, subsane su entrega. La subsanación de este requisito tiene como consecuencia que no se otorgue puntos en el factor de evaluación, o por el contrario, sí se tenga en cuenta esta subsanación por considerarse una aclaración del documento. </w:t>
      </w:r>
      <w:r w:rsidRPr="00380823">
        <w:rPr>
          <w:rFonts w:ascii="Arial" w:eastAsia="Arial" w:hAnsi="Arial" w:cs="Arial"/>
          <w:lang w:val="es-ES" w:eastAsia="es-ES"/>
        </w:rPr>
        <w:t>Para responder a su inquietud es importante presentar la línea consolidada referida a la subsanabilidad de las ofertas y la diferencia con la aclaración de las ofertas.</w:t>
      </w:r>
    </w:p>
    <w:p w14:paraId="4F872346" w14:textId="77777777" w:rsidR="00380823" w:rsidRPr="00380823" w:rsidRDefault="00380823" w:rsidP="00380823">
      <w:pPr>
        <w:widowControl w:val="0"/>
        <w:autoSpaceDE w:val="0"/>
        <w:autoSpaceDN w:val="0"/>
        <w:spacing w:after="0" w:line="276" w:lineRule="auto"/>
        <w:ind w:right="108"/>
        <w:jc w:val="both"/>
        <w:rPr>
          <w:rFonts w:ascii="Arial" w:eastAsia="Arial" w:hAnsi="Arial" w:cs="Arial"/>
          <w:color w:val="000000" w:themeColor="text1"/>
          <w:lang w:val="es-ES_tradnl"/>
        </w:rPr>
      </w:pPr>
    </w:p>
    <w:p w14:paraId="0E6104F2" w14:textId="77777777" w:rsidR="00380823" w:rsidRPr="00380823" w:rsidRDefault="00380823" w:rsidP="00380823">
      <w:pPr>
        <w:spacing w:after="0" w:line="276" w:lineRule="auto"/>
        <w:ind w:right="49"/>
        <w:jc w:val="both"/>
        <w:rPr>
          <w:rFonts w:ascii="Arial" w:eastAsia="Calibri" w:hAnsi="Arial" w:cs="Arial"/>
          <w:b/>
          <w:bCs/>
          <w:lang w:val="es-MX"/>
        </w:rPr>
      </w:pPr>
      <w:r w:rsidRPr="00380823">
        <w:rPr>
          <w:rFonts w:ascii="Arial" w:eastAsia="Calibri" w:hAnsi="Arial" w:cs="Arial"/>
          <w:b/>
          <w:bCs/>
          <w:lang w:val="es-MX"/>
        </w:rPr>
        <w:t>2.4 Alcance de la regla de la subsanabilidad de las ofertas en los procedimientos de selección y su diferencia con la figura de la aclaración de ofertas</w:t>
      </w:r>
    </w:p>
    <w:p w14:paraId="3B075EE1" w14:textId="77777777" w:rsidR="00380823" w:rsidRPr="00380823" w:rsidRDefault="00380823" w:rsidP="00380823">
      <w:pPr>
        <w:spacing w:after="0" w:line="240" w:lineRule="auto"/>
        <w:ind w:right="49"/>
        <w:jc w:val="both"/>
        <w:rPr>
          <w:rFonts w:ascii="Arial" w:eastAsia="Calibri" w:hAnsi="Arial" w:cs="Arial"/>
          <w:b/>
          <w:bCs/>
          <w:lang w:val="es-MX"/>
        </w:rPr>
      </w:pPr>
    </w:p>
    <w:p w14:paraId="24CFA299" w14:textId="77777777" w:rsidR="00380823" w:rsidRPr="00380823" w:rsidRDefault="00380823" w:rsidP="00380823">
      <w:pPr>
        <w:spacing w:after="0" w:line="276" w:lineRule="auto"/>
        <w:jc w:val="both"/>
        <w:rPr>
          <w:rFonts w:ascii="Arial" w:eastAsia="Calibri" w:hAnsi="Arial" w:cs="Arial"/>
          <w:bCs/>
          <w:lang w:val="es-MX"/>
        </w:rPr>
      </w:pPr>
      <w:r w:rsidRPr="00380823">
        <w:rPr>
          <w:rFonts w:ascii="Arial" w:eastAsia="Calibri" w:hAnsi="Arial" w:cs="Arial"/>
          <w:bCs/>
          <w:lang w:val="es-MX"/>
        </w:rPr>
        <w:t>Esta Subdirección se ha pronunciado en diversas oportunidades acerca del</w:t>
      </w:r>
      <w:r w:rsidRPr="00380823">
        <w:rPr>
          <w:rFonts w:ascii="Arial" w:eastAsia="Calibri" w:hAnsi="Arial" w:cs="Arial"/>
          <w:b/>
          <w:bCs/>
          <w:lang w:val="es-MX"/>
        </w:rPr>
        <w:t xml:space="preserve"> </w:t>
      </w:r>
      <w:r w:rsidRPr="00380823">
        <w:rPr>
          <w:rFonts w:ascii="Arial" w:eastAsia="Calibri" w:hAnsi="Arial" w:cs="Arial"/>
          <w:bCs/>
          <w:lang w:val="es-MX"/>
        </w:rPr>
        <w:t>alcance de la regla de la subsanabilidad, contenida actualmente en el artículo 5 de la Ley 1150 de 2007.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w:t>
      </w:r>
    </w:p>
    <w:p w14:paraId="4C9D9EA6"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En efecto, la Agencia Nacional de Contratación Pública – Colombia Compra Eficiente, en el concepto CU — 060 del 16 de enero de 2020, unificó su concepto en torno al alcance de la regla de la subsanabilidad,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del 27 de enero de 2020, C-127 del 12 de febrero de 2020, C−044 del 24 de marzo de 2020, C–013 del 28 de abril de 2020, C−307 del 21 de mayo de 2020, C−372 del 30 de junio de 2020, C−410 del 26 de junio de 2020, C−481 del 27 julio de 2020, C−420 del 28 de julio de 2020, C-730 del 14 de diciembre de 2020, C–779 del 18 de enero de 2020, C-077 del 14 de enero de 2021, C-010 del 16 de febrero de 2021 y C-250 del 2 de junio de 2021. La tesis propuesta en estos conceptos es la que se expone a continuación: </w:t>
      </w:r>
    </w:p>
    <w:p w14:paraId="55DC22B1"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lastRenderedPageBreak/>
        <w:t xml:space="preserve">La posibilidad de enmendar, corregir o subsanar los errores en los que se incurre en los documentos contentivos de la oferta es un tema que ha tenido diferentes momentos o etapas en el ordenamiento jurídico colombiano. </w:t>
      </w:r>
    </w:p>
    <w:p w14:paraId="792BB8B7"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En un </w:t>
      </w:r>
      <w:r w:rsidRPr="00380823">
        <w:rPr>
          <w:rFonts w:ascii="Arial" w:eastAsia="Calibri" w:hAnsi="Arial" w:cs="Arial"/>
          <w:bCs/>
          <w:i/>
          <w:lang w:val="es-MX"/>
        </w:rPr>
        <w:t>primer momento</w:t>
      </w:r>
      <w:r w:rsidRPr="00380823">
        <w:rPr>
          <w:rFonts w:ascii="Arial" w:eastAsia="Calibri" w:hAnsi="Arial" w:cs="Arial"/>
          <w:bCs/>
          <w:lang w:val="es-MX"/>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1D5A2B36" w14:textId="77777777" w:rsidR="00380823" w:rsidRPr="00380823" w:rsidRDefault="00380823" w:rsidP="00380823">
      <w:pPr>
        <w:spacing w:before="120" w:after="0" w:line="276" w:lineRule="auto"/>
        <w:ind w:firstLine="709"/>
        <w:jc w:val="both"/>
        <w:rPr>
          <w:rFonts w:ascii="Arial" w:eastAsia="Calibri" w:hAnsi="Arial" w:cs="Arial"/>
          <w:bCs/>
          <w:i/>
          <w:lang w:val="es-MX"/>
        </w:rPr>
      </w:pPr>
      <w:r w:rsidRPr="00380823">
        <w:rPr>
          <w:rFonts w:ascii="Arial" w:eastAsia="Calibri" w:hAnsi="Arial" w:cs="Arial"/>
          <w:bCs/>
          <w:lang w:val="es-MX"/>
        </w:rPr>
        <w:t xml:space="preserve">En un </w:t>
      </w:r>
      <w:r w:rsidRPr="00380823">
        <w:rPr>
          <w:rFonts w:ascii="Arial" w:eastAsia="Calibri" w:hAnsi="Arial" w:cs="Arial"/>
          <w:bCs/>
          <w:i/>
          <w:lang w:val="es-MX"/>
        </w:rPr>
        <w:t>segundo momento</w:t>
      </w:r>
      <w:r w:rsidRPr="00380823">
        <w:rPr>
          <w:rFonts w:ascii="Arial" w:eastAsia="Calibri" w:hAnsi="Arial" w:cs="Arial"/>
          <w:bCs/>
          <w:lang w:val="es-MX"/>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r w:rsidRPr="00380823">
        <w:rPr>
          <w:rFonts w:ascii="Arial" w:eastAsia="Calibri" w:hAnsi="Arial" w:cs="Arial"/>
          <w:bCs/>
          <w:i/>
          <w:lang w:val="es-MX"/>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La ausencia de requisitos o la falta de documentos referentes a la futura contratación o al proponente, no necesarios para la comparación de propuestas, no servirá de título suficiente para el rechazo de los ofrecimientos hechos». (cursivas fuera del texto) </w:t>
      </w:r>
    </w:p>
    <w:p w14:paraId="27386B4B"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Bajo el amparo de esta norma, el régimen jurídico de subsanabilidad de las ofertas sufrió un cambio fundamental, pues ya no era posible rechazar las ofertas por falta de requisitos o documentos que no fueran «</w:t>
      </w:r>
      <w:r w:rsidRPr="00380823">
        <w:rPr>
          <w:rFonts w:ascii="Arial" w:eastAsia="Calibri" w:hAnsi="Arial" w:cs="Arial"/>
          <w:bCs/>
          <w:i/>
          <w:lang w:val="es-MX"/>
        </w:rPr>
        <w:t>necesarios para la comparación de propuestas</w:t>
      </w:r>
      <w:r w:rsidRPr="00380823">
        <w:rPr>
          <w:rFonts w:ascii="Arial" w:eastAsia="Calibri" w:hAnsi="Arial" w:cs="Arial"/>
          <w:bCs/>
          <w:lang w:val="es-MX"/>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3A78EA52"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Esta norma debía leerse en conjunto con otras de la Ley 80 de 1993, particularmente con el artículo 30.7</w:t>
      </w:r>
      <w:r w:rsidRPr="00380823">
        <w:rPr>
          <w:rFonts w:ascii="Arial" w:eastAsia="Calibri" w:hAnsi="Arial" w:cs="Arial"/>
          <w:bCs/>
          <w:vertAlign w:val="superscript"/>
          <w:lang w:val="es-MX"/>
        </w:rPr>
        <w:footnoteReference w:id="6"/>
      </w:r>
      <w:r w:rsidRPr="00380823">
        <w:rPr>
          <w:rFonts w:ascii="Arial" w:eastAsia="Calibri" w:hAnsi="Arial" w:cs="Arial"/>
          <w:bCs/>
          <w:lang w:val="es-MX"/>
        </w:rPr>
        <w:t>, que ordena a la entidad señalar un plazo razonable para evaluar las propuestas y pedir a los proponentes, de ser necesario, que aclaren o expliquen aspectos que ofrezcan dudas y resulten indispensables para hacer la evaluación; y con el artículo 30.8</w:t>
      </w:r>
      <w:r w:rsidRPr="00380823">
        <w:rPr>
          <w:rFonts w:ascii="Arial" w:eastAsia="Calibri" w:hAnsi="Arial" w:cs="Arial"/>
          <w:bCs/>
          <w:vertAlign w:val="superscript"/>
          <w:lang w:val="es-MX"/>
        </w:rPr>
        <w:footnoteReference w:id="7"/>
      </w:r>
      <w:r w:rsidRPr="00380823">
        <w:rPr>
          <w:rFonts w:ascii="Arial" w:eastAsia="Calibri" w:hAnsi="Arial" w:cs="Arial"/>
          <w:bCs/>
          <w:lang w:val="es-MX"/>
        </w:rPr>
        <w:t xml:space="preserve">, que consagró el término de 5 días hábiles para que los oferentes presenten observaciones al informe de </w:t>
      </w:r>
      <w:r w:rsidRPr="00380823">
        <w:rPr>
          <w:rFonts w:ascii="Arial" w:eastAsia="Calibri" w:hAnsi="Arial" w:cs="Arial"/>
          <w:bCs/>
          <w:lang w:val="es-MX"/>
        </w:rPr>
        <w:lastRenderedPageBreak/>
        <w:t>evaluación de las propuestas, sin que sea posible completar, adicionar, modificar o mejorar la oferta.</w:t>
      </w:r>
    </w:p>
    <w:p w14:paraId="4BC22FF8"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A partir de la lectura integrada de estas tres normas se imponía concluir que con la Ley 80 de 1993 era posible subsanar las propuestas, y la omisión o el error en algún aspecto de la misma no podía llevar a su rechazo, sin antes verificar que lo omitido fuera un aspecto necesario para la comparación. </w:t>
      </w:r>
    </w:p>
    <w:p w14:paraId="73B7114F"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En un </w:t>
      </w:r>
      <w:r w:rsidRPr="00380823">
        <w:rPr>
          <w:rFonts w:ascii="Arial" w:eastAsia="Calibri" w:hAnsi="Arial" w:cs="Arial"/>
          <w:bCs/>
          <w:i/>
          <w:lang w:val="es-MX"/>
        </w:rPr>
        <w:t>tercer momento</w:t>
      </w:r>
      <w:r w:rsidRPr="00380823">
        <w:rPr>
          <w:rFonts w:ascii="Arial" w:eastAsia="Calibri" w:hAnsi="Arial" w:cs="Arial"/>
          <w:bCs/>
          <w:lang w:val="es-MX"/>
        </w:rPr>
        <w:t xml:space="preserve">, y siguiendo la línea trazada por la Ley 80 de 1993, el legislador expidió la Ley 1150 de 2007, que, en el parágrafo 1º del artículo 5, determinó lo siguiente: </w:t>
      </w:r>
    </w:p>
    <w:p w14:paraId="51200A32" w14:textId="77777777" w:rsidR="00380823" w:rsidRPr="00380823" w:rsidRDefault="00380823" w:rsidP="00380823">
      <w:pPr>
        <w:spacing w:after="0" w:line="240" w:lineRule="auto"/>
        <w:ind w:right="709"/>
        <w:jc w:val="both"/>
        <w:rPr>
          <w:rFonts w:ascii="Arial" w:eastAsia="Calibri" w:hAnsi="Arial" w:cs="Arial"/>
          <w:bCs/>
          <w:lang w:val="es-MX"/>
        </w:rPr>
      </w:pPr>
    </w:p>
    <w:p w14:paraId="5533FBCD" w14:textId="77777777" w:rsidR="00380823" w:rsidRPr="00380823" w:rsidRDefault="00380823" w:rsidP="00380823">
      <w:pPr>
        <w:spacing w:after="0" w:line="240" w:lineRule="auto"/>
        <w:ind w:left="709" w:right="709"/>
        <w:jc w:val="both"/>
        <w:rPr>
          <w:rFonts w:ascii="Arial" w:eastAsia="Calibri" w:hAnsi="Arial" w:cs="Arial"/>
          <w:bCs/>
          <w:i/>
          <w:sz w:val="21"/>
          <w:szCs w:val="21"/>
          <w:lang w:val="es-MX"/>
        </w:rPr>
      </w:pPr>
      <w:r w:rsidRPr="00380823">
        <w:rPr>
          <w:rFonts w:ascii="Arial" w:eastAsia="Calibri" w:hAnsi="Arial" w:cs="Arial"/>
          <w:bCs/>
          <w:sz w:val="21"/>
          <w:szCs w:val="21"/>
          <w:lang w:val="es-MX"/>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sidRPr="00380823">
        <w:rPr>
          <w:rFonts w:ascii="Arial" w:eastAsia="Calibri" w:hAnsi="Arial" w:cs="Arial"/>
          <w:bCs/>
          <w:i/>
          <w:sz w:val="21"/>
          <w:szCs w:val="21"/>
          <w:lang w:val="es-MX"/>
        </w:rPr>
        <w:t xml:space="preserve">. </w:t>
      </w:r>
    </w:p>
    <w:p w14:paraId="464FC6EE" w14:textId="77777777" w:rsidR="00380823" w:rsidRPr="00380823" w:rsidRDefault="00380823" w:rsidP="00380823">
      <w:pPr>
        <w:spacing w:after="0" w:line="240" w:lineRule="auto"/>
        <w:ind w:right="709"/>
        <w:jc w:val="both"/>
        <w:rPr>
          <w:rFonts w:ascii="Arial" w:eastAsia="Calibri" w:hAnsi="Arial" w:cs="Arial"/>
          <w:bCs/>
          <w:lang w:val="es-MX"/>
        </w:rPr>
      </w:pPr>
    </w:p>
    <w:p w14:paraId="7D8F8208" w14:textId="77777777" w:rsidR="00380823" w:rsidRPr="00380823" w:rsidRDefault="00380823" w:rsidP="00380823">
      <w:pPr>
        <w:spacing w:after="0" w:line="276" w:lineRule="auto"/>
        <w:ind w:firstLine="709"/>
        <w:jc w:val="both"/>
        <w:rPr>
          <w:rFonts w:ascii="Arial" w:eastAsia="Calibri" w:hAnsi="Arial" w:cs="Arial"/>
          <w:bCs/>
          <w:lang w:val="es-MX"/>
        </w:rPr>
      </w:pPr>
      <w:r w:rsidRPr="00380823">
        <w:rPr>
          <w:rFonts w:ascii="Arial" w:eastAsia="Calibri" w:hAnsi="Arial" w:cs="Arial"/>
          <w:bCs/>
          <w:lang w:val="es-MX"/>
        </w:rPr>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o no de los aspectos que otorgan puntaje. Si, al verificar, la Administración encuentra que lo omitido por el proponente es un aspecto que otorga puntaje, no es posible subsanarlo; pero, si no otorga puntaje, la Administración debe requerir al proponente para que lo subsane.</w:t>
      </w:r>
    </w:p>
    <w:p w14:paraId="057C6A7D"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El artículo 5 de la Ley 1150 de 2007, además de consagrar un criterio más claro, y, de paso, reducir la discrecionalidad de la Administración, fijó un ámbito temporal para la subsanación de las ofertas: «</w:t>
      </w:r>
      <w:r w:rsidRPr="00380823">
        <w:rPr>
          <w:rFonts w:ascii="Arial" w:eastAsia="Calibri" w:hAnsi="Arial" w:cs="Arial"/>
          <w:bCs/>
          <w:i/>
          <w:lang w:val="es-MX"/>
        </w:rPr>
        <w:t>en cualquier momento, hasta la adjudicación</w:t>
      </w:r>
      <w:r w:rsidRPr="00380823">
        <w:rPr>
          <w:rFonts w:ascii="Arial" w:eastAsia="Calibri" w:hAnsi="Arial" w:cs="Arial"/>
          <w:bCs/>
          <w:lang w:val="es-MX"/>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110E0160" w14:textId="77777777" w:rsidR="00380823" w:rsidRPr="00380823" w:rsidRDefault="00380823" w:rsidP="00380823">
      <w:pPr>
        <w:spacing w:after="0" w:line="240" w:lineRule="auto"/>
        <w:ind w:right="709"/>
        <w:jc w:val="both"/>
        <w:rPr>
          <w:rFonts w:ascii="Arial" w:eastAsia="Calibri" w:hAnsi="Arial" w:cs="Arial"/>
          <w:bCs/>
          <w:lang w:val="es-MX"/>
        </w:rPr>
      </w:pPr>
    </w:p>
    <w:p w14:paraId="615769AF"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r w:rsidRPr="00380823">
        <w:rPr>
          <w:rFonts w:ascii="Arial" w:eastAsia="Calibri" w:hAnsi="Arial" w:cs="Arial"/>
          <w:bCs/>
          <w:sz w:val="21"/>
          <w:szCs w:val="21"/>
          <w:lang w:val="es-MX"/>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w:t>
      </w:r>
      <w:r w:rsidRPr="00380823">
        <w:rPr>
          <w:rFonts w:ascii="Arial" w:eastAsia="Calibri" w:hAnsi="Arial" w:cs="Arial"/>
          <w:bCs/>
          <w:sz w:val="21"/>
          <w:szCs w:val="21"/>
          <w:lang w:val="es-MX"/>
        </w:rPr>
        <w:lastRenderedPageBreak/>
        <w:t>de ser evaluada, y no importa si se refiere a no a problemas de capacidad o a requisitos cumplidos antes o después de presentadas las ofertas, con la condición de que cuando le pidan la acreditación la satisfaga suficientemente</w:t>
      </w:r>
      <w:r w:rsidRPr="00380823">
        <w:rPr>
          <w:rFonts w:ascii="Arial" w:eastAsia="Calibri" w:hAnsi="Arial" w:cs="Arial"/>
          <w:bCs/>
          <w:sz w:val="21"/>
          <w:szCs w:val="21"/>
          <w:vertAlign w:val="superscript"/>
          <w:lang w:val="es-MX"/>
        </w:rPr>
        <w:footnoteReference w:id="8"/>
      </w:r>
      <w:r w:rsidRPr="00380823">
        <w:rPr>
          <w:rFonts w:ascii="Arial" w:eastAsia="Calibri" w:hAnsi="Arial" w:cs="Arial"/>
          <w:bCs/>
          <w:sz w:val="21"/>
          <w:szCs w:val="21"/>
          <w:lang w:val="es-MX"/>
        </w:rPr>
        <w:t>.</w:t>
      </w:r>
    </w:p>
    <w:p w14:paraId="717E460C" w14:textId="77777777" w:rsidR="00380823" w:rsidRPr="00380823" w:rsidRDefault="00380823" w:rsidP="00380823">
      <w:pPr>
        <w:spacing w:after="0" w:line="240" w:lineRule="auto"/>
        <w:ind w:right="709"/>
        <w:jc w:val="both"/>
        <w:rPr>
          <w:rFonts w:ascii="Arial" w:eastAsia="Calibri" w:hAnsi="Arial" w:cs="Arial"/>
          <w:bCs/>
          <w:lang w:val="es-MX"/>
        </w:rPr>
      </w:pPr>
    </w:p>
    <w:p w14:paraId="145234A5" w14:textId="77777777" w:rsidR="00380823" w:rsidRPr="00380823" w:rsidRDefault="00380823" w:rsidP="00380823">
      <w:pPr>
        <w:spacing w:after="0" w:line="276" w:lineRule="auto"/>
        <w:ind w:firstLine="709"/>
        <w:jc w:val="both"/>
        <w:rPr>
          <w:rFonts w:ascii="Arial" w:eastAsia="Calibri" w:hAnsi="Arial" w:cs="Arial"/>
          <w:bCs/>
          <w:lang w:val="es-MX"/>
        </w:rPr>
      </w:pPr>
      <w:r w:rsidRPr="00380823">
        <w:rPr>
          <w:rFonts w:ascii="Arial" w:eastAsia="Calibri" w:hAnsi="Arial" w:cs="Arial"/>
          <w:bCs/>
          <w:lang w:val="es-MX"/>
        </w:rPr>
        <w:t>Esa interpretación fue compartida por la Agencia Nacional de Contratación Pública – Colombia Compra Eficiente,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30BA6234"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En un </w:t>
      </w:r>
      <w:r w:rsidRPr="00380823">
        <w:rPr>
          <w:rFonts w:ascii="Arial" w:eastAsia="Calibri" w:hAnsi="Arial" w:cs="Arial"/>
          <w:bCs/>
          <w:i/>
          <w:lang w:val="es-MX"/>
        </w:rPr>
        <w:t>cuarto momento</w:t>
      </w:r>
      <w:r w:rsidRPr="00380823">
        <w:rPr>
          <w:rFonts w:ascii="Arial" w:eastAsia="Calibri" w:hAnsi="Arial" w:cs="Arial"/>
          <w:bCs/>
          <w:lang w:val="es-MX"/>
        </w:rPr>
        <w:t xml:space="preserve">, el legislador expidió la Ley 1882 de 2018, con la finalidad de introducir cambios y ajustes para fortalecer la contratación pública. El artículo 5 modificó el parágrafo 1º del artículo 5 de la Ley 1150 de 2007, cuyo texto reformado es el siguiente: </w:t>
      </w:r>
    </w:p>
    <w:p w14:paraId="79562A92"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p>
    <w:p w14:paraId="79AC2064"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r w:rsidRPr="00380823">
        <w:rPr>
          <w:rFonts w:ascii="Arial" w:eastAsia="Calibri" w:hAnsi="Arial" w:cs="Arial"/>
          <w:bCs/>
          <w:sz w:val="21"/>
          <w:szCs w:val="21"/>
          <w:lang w:val="es-MX"/>
        </w:rPr>
        <w:t xml:space="preserve">Artículo 5°. De la selección objetiva. </w:t>
      </w:r>
    </w:p>
    <w:p w14:paraId="5B63982F"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r w:rsidRPr="00380823">
        <w:rPr>
          <w:rFonts w:ascii="Arial" w:eastAsia="Calibri" w:hAnsi="Arial" w:cs="Arial"/>
          <w:bCs/>
          <w:sz w:val="21"/>
          <w:szCs w:val="21"/>
          <w:lang w:val="es-MX"/>
        </w:rPr>
        <w:t xml:space="preserve">(... ) </w:t>
      </w:r>
    </w:p>
    <w:p w14:paraId="16D226A8" w14:textId="77777777" w:rsidR="00380823" w:rsidRPr="00380823" w:rsidRDefault="00380823" w:rsidP="00380823">
      <w:pPr>
        <w:tabs>
          <w:tab w:val="left" w:pos="4990"/>
        </w:tabs>
        <w:spacing w:after="0" w:line="240" w:lineRule="auto"/>
        <w:ind w:left="709" w:right="709"/>
        <w:jc w:val="both"/>
        <w:rPr>
          <w:rFonts w:ascii="Arial" w:eastAsia="Calibri" w:hAnsi="Arial" w:cs="Arial"/>
          <w:bCs/>
          <w:sz w:val="21"/>
          <w:szCs w:val="21"/>
          <w:lang w:val="es-MX"/>
        </w:rPr>
      </w:pPr>
      <w:r w:rsidRPr="00380823">
        <w:rPr>
          <w:rFonts w:ascii="Arial" w:eastAsia="Calibri" w:hAnsi="Arial" w:cs="Arial"/>
          <w:bCs/>
          <w:sz w:val="21"/>
          <w:szCs w:val="21"/>
          <w:lang w:val="es-MX"/>
        </w:rPr>
        <w:tab/>
      </w:r>
    </w:p>
    <w:p w14:paraId="1721BDDF"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r w:rsidRPr="00380823">
        <w:rPr>
          <w:rFonts w:ascii="Arial" w:eastAsia="Calibri" w:hAnsi="Arial" w:cs="Arial"/>
          <w:bCs/>
          <w:sz w:val="21"/>
          <w:szCs w:val="21"/>
          <w:lang w:val="es-MX"/>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00380823">
        <w:rPr>
          <w:rFonts w:ascii="Arial" w:eastAsia="Calibri" w:hAnsi="Arial" w:cs="Arial"/>
          <w:bCs/>
          <w:i/>
          <w:sz w:val="21"/>
          <w:szCs w:val="21"/>
          <w:lang w:val="es-MX"/>
        </w:rPr>
        <w:t>.</w:t>
      </w:r>
      <w:r w:rsidRPr="00380823">
        <w:rPr>
          <w:rFonts w:ascii="Arial" w:eastAsia="Calibri" w:hAnsi="Arial" w:cs="Arial"/>
          <w:bCs/>
          <w:sz w:val="21"/>
          <w:szCs w:val="21"/>
          <w:lang w:val="es-MX"/>
        </w:rPr>
        <w:t xml:space="preserve"> </w:t>
      </w:r>
    </w:p>
    <w:p w14:paraId="047DC864"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p>
    <w:p w14:paraId="687D5687" w14:textId="77777777" w:rsidR="00380823" w:rsidRPr="00380823" w:rsidRDefault="00380823" w:rsidP="00380823">
      <w:pPr>
        <w:spacing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Como puede observarse, esta norma: i) mantiene el criterio de la Ley 80 de 1993, relativo a que todo lo que no sea necesario para la comparación de propuestas no es título suficiente para su rechazo; ii) conserva el criterio aclaratorio de la Ley 1150 de 2007, según el cual todo lo que no afecte la asignación de puntaje puede subsanarse e iii) introduce modificaciones en relación con cuatro aspectos que se analizarán a continuación: </w:t>
      </w:r>
    </w:p>
    <w:p w14:paraId="2B6D6DB5"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w:t>
      </w:r>
      <w:r w:rsidRPr="00380823">
        <w:rPr>
          <w:rFonts w:ascii="Arial" w:eastAsia="Calibri" w:hAnsi="Arial" w:cs="Arial"/>
          <w:bCs/>
          <w:lang w:val="es-MX"/>
        </w:rPr>
        <w:lastRenderedPageBreak/>
        <w:t>es que el anterior límite no aplica para los procesos de mínima cuantía y para el proceso de selección a través del sistema de subasta</w:t>
      </w:r>
      <w:r w:rsidRPr="00380823">
        <w:rPr>
          <w:rFonts w:ascii="Arial" w:eastAsia="Calibri" w:hAnsi="Arial" w:cs="Arial"/>
          <w:bCs/>
          <w:vertAlign w:val="superscript"/>
          <w:lang w:val="es-MX"/>
        </w:rPr>
        <w:footnoteReference w:id="9"/>
      </w:r>
      <w:r w:rsidRPr="00380823">
        <w:rPr>
          <w:rFonts w:ascii="Arial" w:eastAsia="Calibri" w:hAnsi="Arial" w:cs="Arial"/>
          <w:bCs/>
          <w:lang w:val="es-MX"/>
        </w:rPr>
        <w:t xml:space="preserve">; en el último los documentos o requisitos subsanables deben solicitarse hasta el momento previo a su realización. </w:t>
      </w:r>
    </w:p>
    <w:p w14:paraId="20168B7A" w14:textId="77777777" w:rsidR="00380823" w:rsidRPr="00380823" w:rsidRDefault="00380823" w:rsidP="00380823">
      <w:pPr>
        <w:spacing w:after="0" w:line="276" w:lineRule="auto"/>
        <w:ind w:right="49" w:firstLine="708"/>
        <w:jc w:val="both"/>
        <w:rPr>
          <w:rFonts w:ascii="Arial" w:eastAsia="Calibri" w:hAnsi="Arial" w:cs="Arial"/>
          <w:bCs/>
          <w:lang w:val="es-MX"/>
        </w:rPr>
      </w:pPr>
      <w:r w:rsidRPr="00380823">
        <w:rPr>
          <w:rFonts w:ascii="Arial" w:eastAsia="Calibri" w:hAnsi="Arial" w:cs="Arial"/>
          <w:bCs/>
          <w:lang w:val="es-MX"/>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14:paraId="1BF18F2E"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No obstante, de la lectura de este aparte podrían, en la práctica, presentarse dos interpretaciones que dan lugar a dos formas de proceder en los procesos de selección, en lo que se refiere a la subsanabilidad de las ofertas. </w:t>
      </w:r>
      <w:r w:rsidRPr="00380823">
        <w:rPr>
          <w:rFonts w:ascii="Arial" w:eastAsia="Calibri" w:hAnsi="Arial" w:cs="Arial"/>
          <w:bCs/>
          <w:i/>
          <w:lang w:val="es-MX"/>
        </w:rPr>
        <w:t>Primera</w:t>
      </w:r>
      <w:r w:rsidRPr="00380823">
        <w:rPr>
          <w:rFonts w:ascii="Arial" w:eastAsia="Calibri" w:hAnsi="Arial" w:cs="Arial"/>
          <w:bCs/>
          <w:lang w:val="es-MX"/>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380823">
        <w:rPr>
          <w:rFonts w:ascii="Arial" w:eastAsia="Calibri" w:hAnsi="Arial" w:cs="Arial"/>
          <w:bCs/>
          <w:i/>
          <w:lang w:val="es-MX"/>
        </w:rPr>
        <w:t>segunda</w:t>
      </w:r>
      <w:r w:rsidRPr="00380823">
        <w:rPr>
          <w:rFonts w:ascii="Arial" w:eastAsia="Calibri" w:hAnsi="Arial" w:cs="Arial"/>
          <w:bCs/>
          <w:lang w:val="es-MX"/>
        </w:rPr>
        <w:t>, que el término del traslado del informe de evaluación es el límite para la subsanación de ofertas, pero no el único momento para hacerlo. De acuerdo con esta primera interpretación, el informe de evaluación se convierte en la oportunidad que aprovecha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1D0E929B"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La modificación introducida por el artículo 5 de la Ley 1882 de 2018, si bien pudo significar, en la práctica de los procesos de selección, que el informe de evaluación fuera la oportunidad de la Administración </w:t>
      </w:r>
      <w:r w:rsidRPr="00380823">
        <w:rPr>
          <w:rFonts w:ascii="Arial" w:eastAsia="Calibri" w:hAnsi="Arial" w:cs="Arial"/>
          <w:bCs/>
          <w:lang w:val="es-MX"/>
        </w:rPr>
        <w:lastRenderedPageBreak/>
        <w:t xml:space="preserve">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531B154E"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El segundo cambio importante de la Ley 1882 de 2018 fue la introducción de un criterio material, directamente relacionado con los aspectos subsanables: «los proponentes no podrán acreditar circunstancias ocurridas con posterioridad al cierre del proceso»</w:t>
      </w:r>
      <w:r w:rsidRPr="00380823">
        <w:rPr>
          <w:rFonts w:ascii="Arial" w:eastAsia="Calibri" w:hAnsi="Arial" w:cs="Arial"/>
          <w:bCs/>
          <w:i/>
          <w:lang w:val="es-MX"/>
        </w:rPr>
        <w:t>.</w:t>
      </w:r>
      <w:r w:rsidRPr="00380823">
        <w:rPr>
          <w:rFonts w:ascii="Arial" w:eastAsia="Calibri" w:hAnsi="Arial" w:cs="Arial"/>
          <w:bCs/>
          <w:lang w:val="es-MX"/>
        </w:rPr>
        <w:t xml:space="preserve"> Lo anterior ofrece dos aspectos que merecen clarificación: </w:t>
      </w:r>
      <w:r w:rsidRPr="00380823">
        <w:rPr>
          <w:rFonts w:ascii="Arial" w:eastAsia="Calibri" w:hAnsi="Arial" w:cs="Arial"/>
          <w:bCs/>
          <w:i/>
          <w:lang w:val="es-MX"/>
        </w:rPr>
        <w:t>primero</w:t>
      </w:r>
      <w:r w:rsidRPr="00380823">
        <w:rPr>
          <w:rFonts w:ascii="Arial" w:eastAsia="Calibri" w:hAnsi="Arial" w:cs="Arial"/>
          <w:bCs/>
          <w:lang w:val="es-MX"/>
        </w:rPr>
        <w:t xml:space="preserve">, qué debe entenderse por circunstancias ocurridas con posterioridad; y </w:t>
      </w:r>
      <w:r w:rsidRPr="00380823">
        <w:rPr>
          <w:rFonts w:ascii="Arial" w:eastAsia="Calibri" w:hAnsi="Arial" w:cs="Arial"/>
          <w:bCs/>
          <w:i/>
          <w:lang w:val="es-MX"/>
        </w:rPr>
        <w:t>segundo</w:t>
      </w:r>
      <w:r w:rsidRPr="00380823">
        <w:rPr>
          <w:rFonts w:ascii="Arial" w:eastAsia="Calibri" w:hAnsi="Arial" w:cs="Arial"/>
          <w:bCs/>
          <w:lang w:val="es-MX"/>
        </w:rPr>
        <w:t>, qué es el cierre del proceso. La Sala de Consulta y Servicio Civil del Consejo de Estado ya había tenido la oportunidad de precisar estas expresiones, a propósito de un concepto en el que se refirió al artículo 10 del derogado Decreto 2474 de 2008</w:t>
      </w:r>
      <w:r w:rsidRPr="00380823">
        <w:rPr>
          <w:rFonts w:ascii="Arial" w:eastAsia="Calibri" w:hAnsi="Arial" w:cs="Arial"/>
          <w:bCs/>
          <w:vertAlign w:val="superscript"/>
          <w:lang w:val="es-MX"/>
        </w:rPr>
        <w:footnoteReference w:id="10"/>
      </w:r>
      <w:r w:rsidRPr="00380823">
        <w:rPr>
          <w:rFonts w:ascii="Arial" w:eastAsia="Calibri" w:hAnsi="Arial" w:cs="Arial"/>
          <w:bCs/>
          <w:lang w:val="es-MX"/>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en los siguientes términos: </w:t>
      </w:r>
    </w:p>
    <w:p w14:paraId="510D38BC" w14:textId="77777777" w:rsidR="00380823" w:rsidRPr="00380823" w:rsidRDefault="00380823" w:rsidP="00380823">
      <w:pPr>
        <w:spacing w:after="0" w:line="240" w:lineRule="auto"/>
        <w:ind w:right="709"/>
        <w:jc w:val="both"/>
        <w:rPr>
          <w:rFonts w:ascii="Arial" w:eastAsia="Calibri" w:hAnsi="Arial" w:cs="Arial"/>
          <w:bCs/>
          <w:lang w:val="es-MX"/>
        </w:rPr>
      </w:pPr>
    </w:p>
    <w:p w14:paraId="0346779E"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r w:rsidRPr="00380823">
        <w:rPr>
          <w:rFonts w:ascii="Arial" w:eastAsia="Calibri" w:hAnsi="Arial" w:cs="Arial"/>
          <w:bCs/>
          <w:sz w:val="21"/>
          <w:szCs w:val="21"/>
          <w:lang w:val="es-MX"/>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w:t>
      </w:r>
      <w:r w:rsidRPr="00380823">
        <w:rPr>
          <w:rFonts w:ascii="Arial" w:eastAsia="Calibri" w:hAnsi="Arial" w:cs="Arial"/>
          <w:bCs/>
          <w:sz w:val="21"/>
          <w:szCs w:val="21"/>
          <w:lang w:val="es-MX"/>
        </w:rPr>
        <w:lastRenderedPageBreak/>
        <w:t>cierre del proceso, pues si ello no se había hecho, significa simplemente que el oferente no tenía la condición para participar</w:t>
      </w:r>
      <w:r w:rsidRPr="00380823">
        <w:rPr>
          <w:rFonts w:ascii="Arial" w:eastAsia="Calibri" w:hAnsi="Arial" w:cs="Arial"/>
          <w:bCs/>
          <w:sz w:val="21"/>
          <w:szCs w:val="21"/>
          <w:vertAlign w:val="superscript"/>
          <w:lang w:val="es-MX"/>
        </w:rPr>
        <w:footnoteReference w:id="11"/>
      </w:r>
      <w:r w:rsidRPr="00380823">
        <w:rPr>
          <w:rFonts w:ascii="Arial" w:eastAsia="Calibri" w:hAnsi="Arial" w:cs="Arial"/>
          <w:bCs/>
          <w:sz w:val="21"/>
          <w:szCs w:val="21"/>
          <w:lang w:val="es-MX"/>
        </w:rPr>
        <w:t>.</w:t>
      </w:r>
    </w:p>
    <w:p w14:paraId="41678A6B" w14:textId="77777777" w:rsidR="00380823" w:rsidRPr="00380823" w:rsidRDefault="00380823" w:rsidP="00380823">
      <w:pPr>
        <w:spacing w:after="0" w:line="240" w:lineRule="auto"/>
        <w:ind w:right="709"/>
        <w:jc w:val="both"/>
        <w:rPr>
          <w:rFonts w:ascii="Arial" w:eastAsia="Calibri" w:hAnsi="Arial" w:cs="Arial"/>
          <w:bCs/>
          <w:lang w:val="es-MX"/>
        </w:rPr>
      </w:pPr>
    </w:p>
    <w:p w14:paraId="3C35F02F" w14:textId="77777777" w:rsidR="00380823" w:rsidRPr="00380823" w:rsidRDefault="00380823" w:rsidP="00380823">
      <w:pPr>
        <w:spacing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C4C0639"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0B97C008"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380823">
        <w:rPr>
          <w:rFonts w:ascii="Arial" w:eastAsia="Calibri" w:hAnsi="Arial" w:cs="Arial"/>
          <w:bCs/>
          <w:vertAlign w:val="superscript"/>
          <w:lang w:val="es-MX"/>
        </w:rPr>
        <w:footnoteReference w:id="12"/>
      </w:r>
      <w:r w:rsidRPr="00380823">
        <w:rPr>
          <w:rFonts w:ascii="Arial" w:eastAsia="Calibri" w:hAnsi="Arial" w:cs="Arial"/>
          <w:bCs/>
          <w:lang w:val="es-MX"/>
        </w:rPr>
        <w:t>; iii) si un oferente no anexó el certificado de existencia y representación legal, el documento aportado con posterioridad debe dar cuenta de que la sociedad existe desde antes del cierre del proceso</w:t>
      </w:r>
      <w:r w:rsidRPr="00380823">
        <w:rPr>
          <w:rFonts w:ascii="Arial" w:eastAsia="Calibri" w:hAnsi="Arial" w:cs="Arial"/>
          <w:bCs/>
          <w:vertAlign w:val="superscript"/>
          <w:lang w:val="es-MX"/>
        </w:rPr>
        <w:footnoteReference w:id="13"/>
      </w:r>
      <w:r w:rsidRPr="00380823">
        <w:rPr>
          <w:rFonts w:ascii="Arial" w:eastAsia="Calibri" w:hAnsi="Arial" w:cs="Arial"/>
          <w:bCs/>
          <w:lang w:val="es-MX"/>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se entienda que acreditó una circunstancia ocurrida con posterioridad al cierre del proceso. </w:t>
      </w:r>
    </w:p>
    <w:p w14:paraId="57AEA82E"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lastRenderedPageBreak/>
        <w:t>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80823">
        <w:rPr>
          <w:rFonts w:ascii="Arial" w:eastAsia="Calibri" w:hAnsi="Arial" w:cs="Arial"/>
          <w:bCs/>
          <w:vertAlign w:val="superscript"/>
          <w:lang w:val="es-MX"/>
        </w:rPr>
        <w:footnoteReference w:id="14"/>
      </w:r>
      <w:r w:rsidRPr="00380823">
        <w:rPr>
          <w:rFonts w:ascii="Arial" w:eastAsia="Calibri" w:hAnsi="Arial" w:cs="Arial"/>
          <w:bCs/>
          <w:lang w:val="es-MX"/>
        </w:rPr>
        <w:t xml:space="preserve">. </w:t>
      </w:r>
    </w:p>
    <w:p w14:paraId="6276CC2B"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La anterior tesis fue reiterada por esta Subdirección en los conceptos 4201912000007418 del 30 de octubre de 2019 y 4201912000008198, en los que indicó que las certificaciones de experiencia que no otorgaran puntaje podían aportarse corregidas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02837733"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De igual manera,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fue reiterada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y 2201913000008049 del 28 de octubre de 2019 –en el que se reiteró que no es posible variar el porcentaje de participación </w:t>
      </w:r>
      <w:r w:rsidRPr="00380823">
        <w:rPr>
          <w:rFonts w:ascii="Arial" w:eastAsia="Calibri" w:hAnsi="Arial" w:cs="Arial"/>
          <w:bCs/>
          <w:lang w:val="es-MX"/>
        </w:rPr>
        <w:lastRenderedPageBreak/>
        <w:t xml:space="preserve">en una unión temporal, porque implicaría una modificación de la oferta y la acreditación de un aspecto que es posterior al cierre del procedimiento de selección–. </w:t>
      </w:r>
    </w:p>
    <w:p w14:paraId="08809062"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472FC390"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0E6E527C"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Ahora bien, la Agencia debe diferenciar entre la regla sobre subsanación de ofertas en los procedimientos de selección, que acaba de explicarse, por un lado, y por el otro lo referido a la </w:t>
      </w:r>
      <w:r w:rsidRPr="00380823">
        <w:rPr>
          <w:rFonts w:ascii="Arial" w:eastAsia="Calibri" w:hAnsi="Arial" w:cs="Arial"/>
          <w:bCs/>
          <w:i/>
          <w:iCs/>
          <w:lang w:val="es-MX"/>
        </w:rPr>
        <w:t>aclaración de las ofertas</w:t>
      </w:r>
      <w:r w:rsidRPr="00380823">
        <w:rPr>
          <w:rFonts w:ascii="Arial" w:eastAsia="Calibri" w:hAnsi="Arial" w:cs="Arial"/>
          <w:bCs/>
          <w:lang w:val="es-MX"/>
        </w:rPr>
        <w:t xml:space="preserve">, cuestiones que resultan ser distintas, sin perjuicio de que ambas puedan ser consideradas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«plazo razonable dentro del cual la entidad deberá elaborar los estudios técnicos, económicos y jurídicos necesarios para la evaluación de las propuestas y </w:t>
      </w:r>
      <w:r w:rsidRPr="00380823">
        <w:rPr>
          <w:rFonts w:ascii="Arial" w:eastAsia="Calibri" w:hAnsi="Arial" w:cs="Arial"/>
          <w:bCs/>
          <w:i/>
          <w:lang w:val="es-MX"/>
        </w:rPr>
        <w:t>para solicitar a los proponentes las aclaraciones y explicaciones</w:t>
      </w:r>
      <w:r w:rsidRPr="00380823">
        <w:rPr>
          <w:rFonts w:ascii="Arial" w:eastAsia="Calibri" w:hAnsi="Arial" w:cs="Arial"/>
          <w:bCs/>
          <w:lang w:val="es-MX"/>
        </w:rPr>
        <w:t xml:space="preserve"> que se estimen indispensables» (Cursivas fuera de texto).</w:t>
      </w:r>
    </w:p>
    <w:p w14:paraId="395F07CF"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 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0DBB62D9"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lastRenderedPageBreak/>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68CBDFB8"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Ahora bien, lo anterior no impide que se puedan hacer aclaraciones a las propuestas bien porque la entidad estatal las solicite en la etapa de evaluación de las mismas, ora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70527B38"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380823">
        <w:rPr>
          <w:rFonts w:ascii="Arial" w:eastAsia="Calibri" w:hAnsi="Arial" w:cs="Arial"/>
          <w:bCs/>
          <w:i/>
          <w:iCs/>
          <w:lang w:val="es-MX"/>
        </w:rPr>
        <w:t>es posible aclarar los requisitos que asignan puntaje</w:t>
      </w:r>
      <w:r w:rsidRPr="00380823">
        <w:rPr>
          <w:rFonts w:ascii="Arial" w:eastAsia="Calibri" w:hAnsi="Arial" w:cs="Arial"/>
          <w:bCs/>
          <w:lang w:val="es-MX"/>
        </w:rPr>
        <w:t>, tal como lo ha señalado la jurisprudencia en los siguientes términos:</w:t>
      </w:r>
    </w:p>
    <w:p w14:paraId="274E0A55"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p>
    <w:p w14:paraId="77EF236F"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bookmarkStart w:id="1" w:name="_3znysh7" w:colFirst="0" w:colLast="0"/>
      <w:bookmarkEnd w:id="1"/>
      <w:r w:rsidRPr="00380823">
        <w:rPr>
          <w:rFonts w:ascii="Arial" w:eastAsia="Calibri" w:hAnsi="Arial" w:cs="Arial"/>
          <w:bCs/>
          <w:sz w:val="21"/>
          <w:szCs w:val="21"/>
          <w:lang w:val="es-MX"/>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w:t>
      </w:r>
      <w:r w:rsidRPr="00380823">
        <w:rPr>
          <w:rFonts w:ascii="Arial" w:eastAsia="Calibri" w:hAnsi="Arial" w:cs="Arial"/>
          <w:bCs/>
          <w:sz w:val="21"/>
          <w:szCs w:val="21"/>
          <w:lang w:val="es-MX"/>
        </w:rPr>
        <w:lastRenderedPageBreak/>
        <w:t>entidad tiene dudas sobre su alcance, contenido o acreditación, porque de la oferta se pueden inferir entendimientos diferentes.</w:t>
      </w:r>
      <w:r w:rsidRPr="00380823">
        <w:rPr>
          <w:rFonts w:ascii="Arial" w:eastAsia="Calibri" w:hAnsi="Arial" w:cs="Arial"/>
          <w:bCs/>
          <w:sz w:val="21"/>
          <w:szCs w:val="21"/>
          <w:vertAlign w:val="superscript"/>
          <w:lang w:val="es-MX"/>
        </w:rPr>
        <w:footnoteReference w:id="15"/>
      </w:r>
    </w:p>
    <w:p w14:paraId="2C2F613F" w14:textId="77777777" w:rsidR="00380823" w:rsidRPr="00380823" w:rsidRDefault="00380823" w:rsidP="00380823">
      <w:pPr>
        <w:spacing w:after="0" w:line="240" w:lineRule="auto"/>
        <w:ind w:left="709" w:right="709"/>
        <w:jc w:val="both"/>
        <w:rPr>
          <w:rFonts w:ascii="Arial" w:eastAsia="Calibri" w:hAnsi="Arial" w:cs="Arial"/>
          <w:bCs/>
          <w:sz w:val="21"/>
          <w:szCs w:val="21"/>
          <w:lang w:val="es-MX"/>
        </w:rPr>
      </w:pPr>
    </w:p>
    <w:p w14:paraId="30B2748C" w14:textId="77777777" w:rsidR="00380823" w:rsidRPr="00380823" w:rsidRDefault="00380823" w:rsidP="00380823">
      <w:pPr>
        <w:spacing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492DDD59" w14:textId="77777777" w:rsidR="00380823" w:rsidRPr="00380823" w:rsidRDefault="00380823" w:rsidP="00380823">
      <w:pPr>
        <w:spacing w:before="120" w:after="120" w:line="276" w:lineRule="auto"/>
        <w:ind w:firstLine="709"/>
        <w:jc w:val="both"/>
        <w:rPr>
          <w:rFonts w:ascii="Arial" w:eastAsia="Calibri" w:hAnsi="Arial" w:cs="Arial"/>
          <w:bCs/>
          <w:lang w:val="es-MX"/>
        </w:rPr>
      </w:pPr>
      <w:r w:rsidRPr="00380823">
        <w:rPr>
          <w:rFonts w:ascii="Arial" w:eastAsia="Calibri" w:hAnsi="Arial" w:cs="Arial"/>
          <w:bCs/>
          <w:lang w:val="es-MX"/>
        </w:rPr>
        <w:t>Finalmente, como dispone el artículo 30.7 de la Ley 80 de 1993, la aclaración de las propuestas se realiza durante la evaluación de estas, pues es necesario esclarecer los aspectos dudosos de las ofertas antes de la adjudicación</w:t>
      </w:r>
      <w:r w:rsidRPr="00380823">
        <w:rPr>
          <w:rFonts w:ascii="Arial" w:eastAsia="Calibri" w:hAnsi="Arial" w:cs="Arial"/>
          <w:bCs/>
          <w:vertAlign w:val="superscript"/>
          <w:lang w:val="es-MX"/>
        </w:rPr>
        <w:footnoteReference w:id="16"/>
      </w:r>
      <w:r w:rsidRPr="00380823">
        <w:rPr>
          <w:rFonts w:ascii="Arial" w:eastAsia="Calibri" w:hAnsi="Arial" w:cs="Arial"/>
          <w:bCs/>
          <w:lang w:val="es-MX"/>
        </w:rPr>
        <w:t>. Por ello, la jurisprudencia también explica que «[…] el proponente debe acogerse al tiempo que le otorga la administración para subsanar o aclarar la oferta, lapso que la entidad no puede extender más allá de la adjudicación […]»</w:t>
      </w:r>
      <w:r w:rsidRPr="00380823">
        <w:rPr>
          <w:rFonts w:ascii="Arial" w:eastAsia="Calibri" w:hAnsi="Arial" w:cs="Arial"/>
          <w:bCs/>
          <w:vertAlign w:val="superscript"/>
          <w:lang w:val="es-MX"/>
        </w:rPr>
        <w:footnoteReference w:id="17"/>
      </w:r>
      <w:r w:rsidRPr="00380823">
        <w:rPr>
          <w:rFonts w:ascii="Arial" w:eastAsia="Calibri" w:hAnsi="Arial" w:cs="Arial"/>
          <w:bCs/>
          <w:lang w:val="es-MX"/>
        </w:rPr>
        <w:t xml:space="preserve">. De esta manera, «lo ideal en un proceso de selección es que las </w:t>
      </w:r>
      <w:r w:rsidRPr="00380823">
        <w:rPr>
          <w:rFonts w:ascii="Arial" w:eastAsia="Calibri" w:hAnsi="Arial" w:cs="Arial"/>
          <w:bCs/>
          <w:i/>
          <w:lang w:val="es-MX"/>
        </w:rPr>
        <w:t xml:space="preserve">aclaraciones </w:t>
      </w:r>
      <w:r w:rsidRPr="00380823">
        <w:rPr>
          <w:rFonts w:ascii="Arial" w:eastAsia="Calibri" w:hAnsi="Arial" w:cs="Arial"/>
          <w:bCs/>
          <w:lang w:val="es-MX"/>
        </w:rPr>
        <w:t xml:space="preserve">y </w:t>
      </w:r>
      <w:r w:rsidRPr="00380823">
        <w:rPr>
          <w:rFonts w:ascii="Arial" w:eastAsia="Calibri" w:hAnsi="Arial" w:cs="Arial"/>
          <w:bCs/>
          <w:i/>
          <w:lang w:val="es-MX"/>
        </w:rPr>
        <w:t xml:space="preserve">explicaciones </w:t>
      </w:r>
      <w:r w:rsidRPr="00380823">
        <w:rPr>
          <w:rFonts w:ascii="Arial" w:eastAsia="Calibri" w:hAnsi="Arial" w:cs="Arial"/>
          <w:bCs/>
          <w:lang w:val="es-MX"/>
        </w:rPr>
        <w:t xml:space="preserve">se anticipen y soliciten durante la etapa de </w:t>
      </w:r>
      <w:r w:rsidRPr="00380823">
        <w:rPr>
          <w:rFonts w:ascii="Arial" w:eastAsia="Calibri" w:hAnsi="Arial" w:cs="Arial"/>
          <w:bCs/>
          <w:i/>
          <w:lang w:val="es-MX"/>
        </w:rPr>
        <w:t>evaluación</w:t>
      </w:r>
      <w:r w:rsidRPr="00380823">
        <w:rPr>
          <w:rFonts w:ascii="Arial" w:eastAsia="Calibri" w:hAnsi="Arial" w:cs="Arial"/>
          <w:bCs/>
          <w:lang w:val="es-MX"/>
        </w:rPr>
        <w:t>, lo más pronto posible, es decir, antes de que la entidad elabore el informe respectivo, de tal manera que las tenga en cuenta para producir ese acto administrativo».</w:t>
      </w:r>
      <w:r w:rsidRPr="00380823">
        <w:rPr>
          <w:rFonts w:ascii="Arial" w:eastAsia="Calibri" w:hAnsi="Arial" w:cs="Arial"/>
          <w:bCs/>
          <w:vertAlign w:val="superscript"/>
          <w:lang w:val="es-MX"/>
        </w:rPr>
        <w:footnoteReference w:id="18"/>
      </w:r>
      <w:r w:rsidRPr="00380823">
        <w:rPr>
          <w:rFonts w:ascii="Arial" w:eastAsia="Calibri" w:hAnsi="Arial" w:cs="Arial"/>
          <w:bCs/>
          <w:lang w:val="es-MX"/>
        </w:rPr>
        <w:t xml:space="preserve"> </w:t>
      </w:r>
    </w:p>
    <w:p w14:paraId="7F918BE6" w14:textId="77777777" w:rsidR="00380823" w:rsidRPr="00380823" w:rsidRDefault="00380823" w:rsidP="00380823">
      <w:pPr>
        <w:spacing w:before="120" w:after="120" w:line="276" w:lineRule="auto"/>
        <w:ind w:firstLine="709"/>
        <w:jc w:val="both"/>
        <w:rPr>
          <w:rFonts w:ascii="Arial" w:eastAsia="Calibri" w:hAnsi="Arial" w:cs="Arial"/>
          <w:bCs/>
          <w:lang w:val="es-MX"/>
        </w:rPr>
      </w:pPr>
      <w:r w:rsidRPr="00380823">
        <w:rPr>
          <w:rFonts w:ascii="Arial" w:eastAsia="Calibri" w:hAnsi="Arial" w:cs="Arial"/>
          <w:bCs/>
          <w:lang w:val="es-MX"/>
        </w:rPr>
        <w:t>Para responder a su inquietud es importante precisar que, tal y cómo se mencionó en acápites anteriores, el literal d), numeral «3.1 Generalidades» del documento base establece como requisito para evaluar los requisitos habilitantes que los Proponentes obligados a estar inscritos en el Registro Único de Proponentes aporten el certificado con fecha de expedición no mayor a treinta (30) días calendario anteriores a la fecha del cierre del proceso de contratación. Por su parte, en el numeral «3.8.1 Exigencia mínima de la experiencia del proponente» establece que para habilitarse en el Proceso de Contratación serán verificados los contratos registrados en el Registro Único de Proponentes y en el Formato 3 – Experiencia.</w:t>
      </w:r>
    </w:p>
    <w:p w14:paraId="0DB0FE54" w14:textId="77777777" w:rsidR="00380823" w:rsidRPr="00380823" w:rsidRDefault="00380823" w:rsidP="00380823">
      <w:pPr>
        <w:spacing w:before="120" w:after="120" w:line="276" w:lineRule="auto"/>
        <w:ind w:firstLine="709"/>
        <w:jc w:val="both"/>
        <w:rPr>
          <w:rFonts w:ascii="Arial" w:eastAsia="Calibri" w:hAnsi="Arial" w:cs="Arial"/>
          <w:bCs/>
          <w:lang w:val="es-MX"/>
        </w:rPr>
      </w:pPr>
      <w:r w:rsidRPr="00380823">
        <w:rPr>
          <w:rFonts w:ascii="Arial" w:eastAsia="Calibri" w:hAnsi="Arial" w:cs="Arial"/>
          <w:bCs/>
          <w:lang w:val="es-MX"/>
        </w:rPr>
        <w:t xml:space="preserve">Así las cosas, es un requisito indispensable para evaluar la experiencia mínima habilitante del proponente que se presente el Registro Único de Proponentes con fecha de expedición no mayor a treinta (30) días calendario anteriores a la fecha del cierre del Proceso de Contratación. </w:t>
      </w:r>
      <w:r w:rsidRPr="00380823">
        <w:rPr>
          <w:rFonts w:ascii="Arial" w:eastAsia="Calibri" w:hAnsi="Arial" w:cs="Arial"/>
          <w:bCs/>
          <w:lang w:val="es-MX"/>
        </w:rPr>
        <w:lastRenderedPageBreak/>
        <w:t xml:space="preserve">En tal sentido, en el evento que el oferente no lo aporte, la Entidad tendrá el deber de solicitar su subsanación dentro de los tres (3) días hábiles posteriores contados a partir del día hábil siguiente a la publicación del informe de evaluación, so pena de rechazo en caso de que no subsane dentro del término legal previsto. </w:t>
      </w:r>
    </w:p>
    <w:p w14:paraId="5A199516" w14:textId="77777777" w:rsidR="00380823" w:rsidRPr="00380823" w:rsidRDefault="00380823" w:rsidP="00380823">
      <w:pPr>
        <w:spacing w:before="120" w:after="120" w:line="276" w:lineRule="auto"/>
        <w:ind w:firstLine="709"/>
        <w:jc w:val="both"/>
        <w:rPr>
          <w:rFonts w:ascii="Arial" w:eastAsia="Calibri" w:hAnsi="Arial" w:cs="Arial"/>
          <w:bCs/>
          <w:lang w:val="es-MX"/>
        </w:rPr>
      </w:pPr>
      <w:r w:rsidRPr="00380823">
        <w:rPr>
          <w:rFonts w:ascii="Arial" w:eastAsia="Calibri" w:hAnsi="Arial" w:cs="Arial"/>
          <w:bCs/>
          <w:lang w:val="es-MX"/>
        </w:rPr>
        <w:t>Ahora bien, si el proponente subsana la entrega del Registro Único de Proponentes con una fecha de expedición no mayor a treinta (30) días calendario se habilitará en el respectivo proceso de contratación, sin embargo, el puntaje asignado para para el factor de evaluación de experiencia del proponente será de cero (0) puntos. Esta sanción aplicaría a ambos documentos tipo de interventoría de obra pública de infraestructura de transporte – versión 1 y versión 2 – hasta la fecha adoptados.</w:t>
      </w:r>
    </w:p>
    <w:p w14:paraId="22794C27" w14:textId="77777777" w:rsidR="00380823" w:rsidRPr="00380823" w:rsidRDefault="00380823" w:rsidP="00380823">
      <w:pPr>
        <w:spacing w:before="120" w:after="120" w:line="276" w:lineRule="auto"/>
        <w:ind w:firstLine="709"/>
        <w:jc w:val="both"/>
        <w:rPr>
          <w:rFonts w:ascii="Arial" w:eastAsia="Calibri" w:hAnsi="Arial" w:cs="Arial"/>
          <w:bCs/>
          <w:lang w:val="es-MX"/>
        </w:rPr>
      </w:pPr>
      <w:r w:rsidRPr="00380823">
        <w:rPr>
          <w:rFonts w:ascii="Arial" w:eastAsia="Calibri" w:hAnsi="Arial" w:cs="Arial"/>
          <w:bCs/>
          <w:lang w:val="es-MX"/>
        </w:rPr>
        <w:t xml:space="preserve">En el primer caso, esto es, los documentos tipo de interventoría – versión 1- en el numeral 4.1 se establece que: «si el proponente debió subsanar el cumplimiento de la experiencia mínima no será susceptible de puntuación, por lo que obtendrá cero (0) puntos por este criterio de evaluación». En tal sentido, cualquier subsanación realizada al requisito habilitante de experiencia tendrá como consecuencia que se obtenga cero (0) puntos en la asignación de puntaje en el criterio de evaluación de experiencia del proponente. Por su parte, en el documento base de los documentos tipo de interventoría de obra pública de infraestructura de transporte – versión 2- sí se aclara que, si el proponente subsana la totalidad de los contratos aportados, su oferta no será tenida en cuenta para aplicar las fórmulas para la ponderación de la experiencia del Proponente, por lo que, además, por este criterio de asignación de puntaje obtendrá cero (0) puntos. En este caso, como se subsana la entrega del RUP y en éste están consignados todos los contratos para acreditar la experiencia, se entiende que se subsanan la totalidad de los contratos aportados, y, por tanto, tendría cero (0) puntos. </w:t>
      </w:r>
    </w:p>
    <w:p w14:paraId="226B41DF" w14:textId="77777777" w:rsidR="00380823" w:rsidRPr="00380823" w:rsidRDefault="00380823" w:rsidP="00380823">
      <w:pPr>
        <w:spacing w:before="120" w:after="0" w:line="276" w:lineRule="auto"/>
        <w:ind w:firstLine="709"/>
        <w:jc w:val="both"/>
        <w:rPr>
          <w:rFonts w:ascii="Arial" w:eastAsia="Calibri" w:hAnsi="Arial" w:cs="Arial"/>
          <w:bCs/>
          <w:lang w:val="es-MX"/>
        </w:rPr>
      </w:pPr>
      <w:r w:rsidRPr="00380823">
        <w:rPr>
          <w:rFonts w:ascii="Arial" w:eastAsia="Calibri" w:hAnsi="Arial" w:cs="Arial"/>
          <w:bCs/>
          <w:lang w:val="es-MX"/>
        </w:rPr>
        <w:t xml:space="preserve">En este caso, no es posible de hablar de aclaración de la oferta porque no se está aclarando ningún aspecto que sea oscuro o ilegible de los contratos aportados para acreditar la experiencia del proponente. Por el contrario, se está subsanando un requisito fundamental para evaluar la experiencia de los requisitos mínimos habilitantes en el proceso de contratación, en este caso, aportar el Registro Único de Proponentes con fecha no mayor de treinta (30) días calendario. </w:t>
      </w:r>
    </w:p>
    <w:p w14:paraId="07CAC95A" w14:textId="77777777" w:rsidR="00380823" w:rsidRPr="00380823" w:rsidRDefault="00380823" w:rsidP="00380823">
      <w:pPr>
        <w:spacing w:after="0" w:line="276" w:lineRule="auto"/>
        <w:ind w:firstLine="709"/>
        <w:jc w:val="both"/>
        <w:rPr>
          <w:rFonts w:ascii="Arial" w:eastAsia="Calibri" w:hAnsi="Arial" w:cs="Arial"/>
          <w:bCs/>
          <w:lang w:val="es-MX"/>
        </w:rPr>
      </w:pPr>
    </w:p>
    <w:p w14:paraId="099B4429" w14:textId="77777777" w:rsidR="00380823" w:rsidRPr="00380823" w:rsidRDefault="00380823" w:rsidP="00380823">
      <w:pPr>
        <w:spacing w:after="0" w:line="240" w:lineRule="auto"/>
        <w:rPr>
          <w:rFonts w:ascii="Arial" w:eastAsia="Calibri" w:hAnsi="Arial" w:cs="Arial"/>
          <w:b/>
          <w:bCs/>
          <w:lang w:val="es-MX"/>
        </w:rPr>
      </w:pPr>
      <w:r w:rsidRPr="00380823">
        <w:rPr>
          <w:rFonts w:ascii="Arial" w:eastAsia="Calibri" w:hAnsi="Arial" w:cs="Arial"/>
          <w:b/>
          <w:bCs/>
          <w:lang w:val="es-MX"/>
        </w:rPr>
        <w:t xml:space="preserve">3. Respuesta </w:t>
      </w:r>
    </w:p>
    <w:p w14:paraId="249290CB" w14:textId="77777777" w:rsidR="00380823" w:rsidRPr="00380823" w:rsidRDefault="00380823" w:rsidP="00380823">
      <w:pPr>
        <w:spacing w:after="0" w:line="240" w:lineRule="auto"/>
        <w:rPr>
          <w:rFonts w:ascii="Arial" w:eastAsia="Calibri" w:hAnsi="Arial" w:cs="Arial"/>
          <w:b/>
          <w:bCs/>
          <w:sz w:val="24"/>
          <w:lang w:val="es-MX"/>
        </w:rPr>
      </w:pPr>
    </w:p>
    <w:p w14:paraId="25C9828E" w14:textId="77777777" w:rsidR="00380823" w:rsidRPr="00380823" w:rsidRDefault="00380823" w:rsidP="00380823">
      <w:pPr>
        <w:tabs>
          <w:tab w:val="left" w:pos="1545"/>
        </w:tabs>
        <w:spacing w:after="120" w:line="240" w:lineRule="auto"/>
        <w:ind w:left="709" w:right="709"/>
        <w:jc w:val="both"/>
        <w:rPr>
          <w:rFonts w:ascii="Arial" w:eastAsia="Calibri" w:hAnsi="Arial" w:cs="Arial"/>
          <w:sz w:val="21"/>
          <w:szCs w:val="21"/>
          <w:lang w:val="es-MX"/>
        </w:rPr>
      </w:pPr>
      <w:r w:rsidRPr="00380823">
        <w:rPr>
          <w:rFonts w:ascii="Arial" w:eastAsia="Calibri" w:hAnsi="Arial" w:cs="Arial"/>
          <w:sz w:val="21"/>
          <w:szCs w:val="21"/>
          <w:lang w:val="es-MX"/>
        </w:rPr>
        <w:t xml:space="preserve">«En los pliegos tipo para interventorías del sector transporte, la calificación de la experiencia, se aplica sobre el promedio del valor de la Experiencia aportada (sic), en ese sentido aportar el RUP con una fecha mayor a 30 días y luego aportarlo con la fecha actualizada, se considera que se subsanó la experiencia, y por lo tanto no se deben otorgar los puntos o se considera una aclaración del documento y se debe puntuar la propuesta?» </w:t>
      </w:r>
    </w:p>
    <w:p w14:paraId="3EA24E03" w14:textId="77777777" w:rsidR="00380823" w:rsidRPr="00380823" w:rsidRDefault="00380823" w:rsidP="00380823">
      <w:pPr>
        <w:tabs>
          <w:tab w:val="left" w:pos="1545"/>
        </w:tabs>
        <w:spacing w:after="0" w:line="276" w:lineRule="auto"/>
        <w:ind w:left="709" w:right="709"/>
        <w:jc w:val="both"/>
        <w:rPr>
          <w:rFonts w:ascii="Arial" w:eastAsia="Calibri" w:hAnsi="Arial" w:cs="Arial"/>
          <w:lang w:val="es-MX"/>
        </w:rPr>
      </w:pPr>
      <w:r w:rsidRPr="00380823">
        <w:rPr>
          <w:rFonts w:ascii="Arial" w:eastAsia="Calibri" w:hAnsi="Arial" w:cs="Arial"/>
          <w:sz w:val="21"/>
          <w:szCs w:val="21"/>
          <w:lang w:val="es-MX"/>
        </w:rPr>
        <w:t xml:space="preserve"> </w:t>
      </w:r>
    </w:p>
    <w:p w14:paraId="7397AD6A" w14:textId="77777777" w:rsidR="00380823" w:rsidRPr="00380823" w:rsidRDefault="00380823" w:rsidP="00380823">
      <w:pPr>
        <w:widowControl w:val="0"/>
        <w:autoSpaceDE w:val="0"/>
        <w:autoSpaceDN w:val="0"/>
        <w:spacing w:after="120" w:line="276" w:lineRule="auto"/>
        <w:ind w:right="108"/>
        <w:jc w:val="both"/>
        <w:rPr>
          <w:rFonts w:ascii="Arial" w:eastAsia="Arial" w:hAnsi="Arial" w:cs="Arial"/>
          <w:bCs/>
          <w:color w:val="000000"/>
          <w:lang w:val="es-MX"/>
        </w:rPr>
      </w:pPr>
      <w:r w:rsidRPr="00380823">
        <w:rPr>
          <w:rFonts w:ascii="Arial" w:eastAsia="Arial" w:hAnsi="Arial" w:cs="Arial"/>
          <w:shd w:val="clear" w:color="auto" w:fill="FFFFFF"/>
          <w:lang w:val="es-ES_tradnl"/>
        </w:rPr>
        <w:lastRenderedPageBreak/>
        <w:t xml:space="preserve">De conformidad con los argumentos desarrollados en las consideraciones, en </w:t>
      </w:r>
      <w:r w:rsidRPr="00380823">
        <w:rPr>
          <w:rFonts w:ascii="Arial" w:eastAsia="Arial" w:hAnsi="Arial" w:cs="Arial"/>
          <w:color w:val="000000"/>
          <w:lang w:val="es-ES_tradnl"/>
        </w:rPr>
        <w:t xml:space="preserve">los documentos tipo de concurso de méritos para contratar la interventoría de obras de infraestructura de transporte, en </w:t>
      </w:r>
      <w:r w:rsidRPr="00380823">
        <w:rPr>
          <w:rFonts w:ascii="Arial" w:eastAsia="Arial" w:hAnsi="Arial" w:cs="Arial"/>
          <w:bCs/>
          <w:color w:val="000000"/>
          <w:lang w:val="es-MX"/>
        </w:rPr>
        <w:t>el literal d), numeral «3.1 Generalidades» del documento base se establece como requisito para evaluar los requisitos habilitantes que los Proponentes obligados a estar inscritos en el Registro Único de Proponentes aporten el certificado con fecha de expedición no mayor a treinta (30) días calendario anteriores a la fecha del cierre del proceso de contratación. Por su parte, en el numeral «3.8.1 Exigencia mínima de la experiencia del proponente» establece que para habilitarse en el Proceso de Contratación serán verificados los contratos registrados en el Registro Único de Proponentes y en el Formato 3 – Experiencia.</w:t>
      </w:r>
    </w:p>
    <w:p w14:paraId="1CE4C408" w14:textId="77777777" w:rsidR="00380823" w:rsidRPr="00380823" w:rsidRDefault="00380823" w:rsidP="00380823">
      <w:pPr>
        <w:widowControl w:val="0"/>
        <w:autoSpaceDE w:val="0"/>
        <w:autoSpaceDN w:val="0"/>
        <w:spacing w:after="120" w:line="276" w:lineRule="auto"/>
        <w:ind w:right="108" w:firstLine="709"/>
        <w:jc w:val="both"/>
        <w:rPr>
          <w:rFonts w:ascii="Arial" w:eastAsia="Arial" w:hAnsi="Arial" w:cs="Arial"/>
          <w:bCs/>
          <w:color w:val="000000"/>
          <w:lang w:val="es-MX"/>
        </w:rPr>
      </w:pPr>
      <w:r w:rsidRPr="00380823">
        <w:rPr>
          <w:rFonts w:ascii="Arial" w:eastAsia="Arial" w:hAnsi="Arial" w:cs="Arial"/>
          <w:bCs/>
          <w:color w:val="000000"/>
          <w:lang w:val="es-MX"/>
        </w:rPr>
        <w:t xml:space="preserve">Así las cosas, es un requisito indispensable para evaluar la experiencia mínima habilitante del proponente que se presente el Registro Único de Proponentes con fecha de expedición no mayor a treinta (30) días calendario anteriores a la fecha del cierre del Proceso de Contratación. En tal sentido, en el evento que el oferente no lo aporte, la Entidad tendrá el deber de solicitar su subsanación dentro de los tres (3) días hábiles posteriores contados a partir del día hábil siguiente a la publicación del informe de evaluación, so pena de rechazo en caso de que no subsane dentro del término legal previsto. </w:t>
      </w:r>
    </w:p>
    <w:p w14:paraId="0F411896" w14:textId="77777777" w:rsidR="00380823" w:rsidRPr="00380823" w:rsidRDefault="00380823" w:rsidP="00380823">
      <w:pPr>
        <w:widowControl w:val="0"/>
        <w:autoSpaceDE w:val="0"/>
        <w:autoSpaceDN w:val="0"/>
        <w:spacing w:after="120" w:line="276" w:lineRule="auto"/>
        <w:ind w:right="108" w:firstLine="709"/>
        <w:jc w:val="both"/>
        <w:rPr>
          <w:rFonts w:ascii="Arial" w:eastAsia="Arial" w:hAnsi="Arial" w:cs="Arial"/>
          <w:bCs/>
          <w:color w:val="000000"/>
          <w:lang w:val="es-MX"/>
        </w:rPr>
      </w:pPr>
      <w:r w:rsidRPr="00380823">
        <w:rPr>
          <w:rFonts w:ascii="Arial" w:eastAsia="Arial" w:hAnsi="Arial" w:cs="Arial"/>
          <w:bCs/>
          <w:color w:val="000000"/>
          <w:lang w:val="es-MX"/>
        </w:rPr>
        <w:t>Ahora bien, si el proponente subsana la entrega del Registro Único de Proponentes con una fecha de expedición no mayor a treinta (30) días calendario se habilitará en el respectivo proceso de contratación, sin embargo, el puntaje asignado para para el factor de evaluación de experiencia del proponente será de cero (0) puntos. Esta sanción aplicaría a ambos documentos tipo de interventoría de obra pública de infraestructura de transporte – versión 1 y versión 2 – hasta la fecha adoptados.</w:t>
      </w:r>
    </w:p>
    <w:p w14:paraId="4F58F660" w14:textId="77777777" w:rsidR="00380823" w:rsidRPr="00380823" w:rsidRDefault="00380823" w:rsidP="00380823">
      <w:pPr>
        <w:spacing w:before="120" w:after="0" w:line="276" w:lineRule="auto"/>
        <w:ind w:firstLine="708"/>
        <w:jc w:val="both"/>
        <w:rPr>
          <w:rFonts w:ascii="Arial" w:eastAsia="Calibri" w:hAnsi="Arial" w:cs="Arial"/>
          <w:bCs/>
          <w:lang w:val="es-MX"/>
        </w:rPr>
      </w:pPr>
      <w:r w:rsidRPr="00380823">
        <w:rPr>
          <w:rFonts w:ascii="Arial" w:eastAsia="Arial" w:hAnsi="Arial" w:cs="Arial"/>
          <w:bCs/>
          <w:color w:val="000000"/>
          <w:lang w:val="es-MX"/>
        </w:rPr>
        <w:t xml:space="preserve">En este caso, no es posible de hablar de aclaración de la oferta porque no se está aclarando ningún aspecto que sea oscuro o ilegible de los contratos aportados para acreditar la experiencia del proponente. </w:t>
      </w:r>
      <w:r w:rsidRPr="00380823">
        <w:rPr>
          <w:rFonts w:ascii="Arial" w:eastAsia="Calibri" w:hAnsi="Arial" w:cs="Arial"/>
          <w:bCs/>
          <w:lang w:val="es-MX"/>
        </w:rPr>
        <w:t xml:space="preserve">Por el contrario, se está subsanando un requisito fundamental para evaluar la experiencia de los requisitos mínimos habilitantes en el proceso de contratación, en este caso, aportar el Registro Único de Proponentes con fecha no mayor de treinta (30) días calendario. </w:t>
      </w:r>
    </w:p>
    <w:p w14:paraId="22F0B072" w14:textId="77777777" w:rsidR="00380823" w:rsidRPr="00380823" w:rsidRDefault="00380823" w:rsidP="00380823">
      <w:pPr>
        <w:widowControl w:val="0"/>
        <w:autoSpaceDE w:val="0"/>
        <w:autoSpaceDN w:val="0"/>
        <w:spacing w:after="120" w:line="276" w:lineRule="auto"/>
        <w:ind w:right="108"/>
        <w:jc w:val="both"/>
        <w:rPr>
          <w:rFonts w:ascii="Arial" w:eastAsia="Arial" w:hAnsi="Arial" w:cs="Arial"/>
          <w:shd w:val="clear" w:color="auto" w:fill="FFFFFF"/>
          <w:lang w:val="es-ES"/>
        </w:rPr>
      </w:pPr>
    </w:p>
    <w:p w14:paraId="06ADCAA7" w14:textId="77777777" w:rsidR="00380823" w:rsidRPr="00380823" w:rsidRDefault="00380823" w:rsidP="00380823">
      <w:pPr>
        <w:spacing w:after="0" w:line="276" w:lineRule="auto"/>
        <w:jc w:val="both"/>
        <w:rPr>
          <w:rFonts w:ascii="Arial" w:eastAsia="Calibri" w:hAnsi="Arial" w:cs="Arial"/>
          <w:color w:val="000000" w:themeColor="text1"/>
          <w:lang w:val="es-MX"/>
        </w:rPr>
      </w:pPr>
      <w:r w:rsidRPr="00380823">
        <w:rPr>
          <w:rFonts w:ascii="Arial" w:eastAsia="Calibri" w:hAnsi="Arial" w:cs="Arial"/>
          <w:color w:val="000000" w:themeColor="text1"/>
          <w:lang w:val="es-MX"/>
        </w:rPr>
        <w:t>Este concepto tiene el alcance previsto en el artículo 28 del Código de Procedimiento Administrativo y de lo Contencioso Administrativo.</w:t>
      </w:r>
    </w:p>
    <w:p w14:paraId="544415D9" w14:textId="77777777" w:rsidR="00380823" w:rsidRPr="00380823" w:rsidRDefault="00380823" w:rsidP="00380823">
      <w:pPr>
        <w:spacing w:after="0" w:line="240" w:lineRule="auto"/>
        <w:ind w:firstLine="709"/>
        <w:jc w:val="both"/>
        <w:rPr>
          <w:rFonts w:ascii="Arial" w:eastAsia="Calibri" w:hAnsi="Arial" w:cs="Arial"/>
          <w:color w:val="000000" w:themeColor="text1"/>
          <w:lang w:val="es-MX"/>
        </w:rPr>
      </w:pPr>
    </w:p>
    <w:p w14:paraId="530713FA" w14:textId="77777777" w:rsidR="00380823" w:rsidRPr="00380823" w:rsidRDefault="00380823" w:rsidP="00380823">
      <w:pPr>
        <w:spacing w:after="0" w:line="240" w:lineRule="auto"/>
        <w:jc w:val="both"/>
        <w:rPr>
          <w:rFonts w:ascii="Arial" w:eastAsia="Calibri" w:hAnsi="Arial" w:cs="Arial"/>
          <w:sz w:val="18"/>
          <w:szCs w:val="20"/>
          <w:lang w:val="es-MX" w:eastAsia="es-CO"/>
        </w:rPr>
      </w:pPr>
      <w:r w:rsidRPr="00380823">
        <w:rPr>
          <w:rFonts w:ascii="Arial" w:eastAsia="Calibri" w:hAnsi="Arial" w:cs="Arial"/>
          <w:color w:val="000000" w:themeColor="text1"/>
          <w:lang w:val="es-MX" w:eastAsia="es-CO"/>
        </w:rPr>
        <w:t>Atentamente,</w:t>
      </w:r>
    </w:p>
    <w:p w14:paraId="5196381C" w14:textId="62B56315" w:rsidR="00380823" w:rsidRDefault="00380823" w:rsidP="008605BA">
      <w:pPr>
        <w:spacing w:after="0" w:line="276" w:lineRule="auto"/>
        <w:rPr>
          <w:rFonts w:ascii="Calibri" w:eastAsia="Calibri" w:hAnsi="Calibri" w:cs="Times New Roman"/>
          <w:noProof/>
          <w:sz w:val="24"/>
          <w:lang w:val="es-MX"/>
        </w:rPr>
      </w:pPr>
    </w:p>
    <w:p w14:paraId="63A718A2" w14:textId="0FCE48CE" w:rsidR="008605BA" w:rsidRDefault="008605BA" w:rsidP="008605BA">
      <w:pPr>
        <w:spacing w:after="0" w:line="276" w:lineRule="auto"/>
        <w:jc w:val="center"/>
        <w:rPr>
          <w:rFonts w:ascii="Calibri" w:eastAsia="Calibri" w:hAnsi="Calibri" w:cs="Times New Roman"/>
          <w:noProof/>
          <w:sz w:val="24"/>
          <w:lang w:val="es-MX"/>
        </w:rPr>
      </w:pPr>
      <w:r>
        <w:rPr>
          <w:noProof/>
        </w:rPr>
        <w:lastRenderedPageBreak/>
        <w:drawing>
          <wp:inline distT="0" distB="0" distL="0" distR="0" wp14:anchorId="77CBBD61" wp14:editId="5E2D3B6E">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00D7473D" w14:textId="77777777" w:rsidR="008605BA" w:rsidRPr="00380823" w:rsidRDefault="008605BA" w:rsidP="008605BA">
      <w:pPr>
        <w:spacing w:after="0" w:line="276" w:lineRule="auto"/>
        <w:rPr>
          <w:rFonts w:ascii="Arial" w:eastAsia="Calibri" w:hAnsi="Arial" w:cs="Arial"/>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80823" w:rsidRPr="00380823" w14:paraId="75C1CAE2" w14:textId="77777777" w:rsidTr="00C8662B">
        <w:trPr>
          <w:trHeight w:val="315"/>
        </w:trPr>
        <w:tc>
          <w:tcPr>
            <w:tcW w:w="812" w:type="dxa"/>
            <w:vAlign w:val="center"/>
            <w:hideMark/>
          </w:tcPr>
          <w:p w14:paraId="0AF35F4B" w14:textId="77777777" w:rsidR="00380823" w:rsidRPr="00380823" w:rsidRDefault="00380823" w:rsidP="00380823">
            <w:pPr>
              <w:spacing w:line="276" w:lineRule="auto"/>
              <w:rPr>
                <w:rFonts w:ascii="Arial" w:eastAsia="Calibri" w:hAnsi="Arial" w:cs="Arial"/>
                <w:sz w:val="16"/>
                <w:szCs w:val="16"/>
                <w:lang w:val="es-ES_tradnl" w:eastAsia="es-ES"/>
              </w:rPr>
            </w:pPr>
            <w:r w:rsidRPr="00380823">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359B80E9" w14:textId="77777777" w:rsidR="00380823" w:rsidRPr="00380823" w:rsidRDefault="00380823" w:rsidP="00380823">
            <w:pPr>
              <w:rPr>
                <w:rFonts w:ascii="Arial" w:eastAsia="Calibri" w:hAnsi="Arial" w:cs="Arial"/>
                <w:sz w:val="16"/>
                <w:szCs w:val="16"/>
                <w:lang w:val="es-ES_tradnl" w:eastAsia="es-ES"/>
              </w:rPr>
            </w:pPr>
            <w:r w:rsidRPr="00380823">
              <w:rPr>
                <w:rFonts w:ascii="Arial" w:eastAsia="Calibri" w:hAnsi="Arial" w:cs="Arial"/>
                <w:sz w:val="16"/>
                <w:szCs w:val="16"/>
                <w:lang w:val="es-ES_tradnl" w:eastAsia="es-ES"/>
              </w:rPr>
              <w:t>Ximena Ríos López</w:t>
            </w:r>
          </w:p>
          <w:p w14:paraId="29AD3B1F" w14:textId="77777777" w:rsidR="00380823" w:rsidRPr="00380823" w:rsidRDefault="00380823" w:rsidP="00380823">
            <w:pPr>
              <w:rPr>
                <w:rFonts w:ascii="Arial" w:eastAsia="Calibri" w:hAnsi="Arial" w:cs="Arial"/>
                <w:sz w:val="16"/>
                <w:szCs w:val="16"/>
                <w:lang w:val="es-ES_tradnl" w:eastAsia="es-ES"/>
              </w:rPr>
            </w:pPr>
            <w:r w:rsidRPr="00380823">
              <w:rPr>
                <w:rFonts w:ascii="Arial" w:eastAsia="Calibri" w:hAnsi="Arial" w:cs="Arial"/>
                <w:color w:val="000000" w:themeColor="text1"/>
                <w:sz w:val="16"/>
                <w:szCs w:val="16"/>
                <w:lang w:val="es-ES" w:eastAsia="es-ES"/>
              </w:rPr>
              <w:t xml:space="preserve">Gestor T1-11 </w:t>
            </w:r>
            <w:r w:rsidRPr="00380823">
              <w:rPr>
                <w:rFonts w:ascii="Arial" w:eastAsia="Calibri" w:hAnsi="Arial" w:cs="Arial"/>
                <w:sz w:val="16"/>
                <w:szCs w:val="16"/>
                <w:lang w:val="es-ES_tradnl" w:eastAsia="es-ES"/>
              </w:rPr>
              <w:t>de la Subdirección de Gestión Contractual</w:t>
            </w:r>
          </w:p>
        </w:tc>
      </w:tr>
      <w:tr w:rsidR="00380823" w:rsidRPr="00380823" w14:paraId="5F68C07F" w14:textId="77777777" w:rsidTr="00C8662B">
        <w:trPr>
          <w:trHeight w:val="330"/>
        </w:trPr>
        <w:tc>
          <w:tcPr>
            <w:tcW w:w="812" w:type="dxa"/>
            <w:vAlign w:val="center"/>
            <w:hideMark/>
          </w:tcPr>
          <w:p w14:paraId="269129E7" w14:textId="77777777" w:rsidR="00380823" w:rsidRPr="00380823" w:rsidRDefault="00380823" w:rsidP="00380823">
            <w:pPr>
              <w:spacing w:line="276" w:lineRule="auto"/>
              <w:rPr>
                <w:rFonts w:ascii="Arial" w:eastAsia="Calibri" w:hAnsi="Arial" w:cs="Arial"/>
                <w:sz w:val="16"/>
                <w:szCs w:val="16"/>
                <w:lang w:val="es-ES_tradnl" w:eastAsia="es-ES"/>
              </w:rPr>
            </w:pPr>
            <w:r w:rsidRPr="00380823">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A0148AE" w14:textId="77777777" w:rsidR="00380823" w:rsidRPr="00380823" w:rsidRDefault="00380823" w:rsidP="00380823">
            <w:pPr>
              <w:rPr>
                <w:rFonts w:ascii="Arial" w:eastAsia="Calibri" w:hAnsi="Arial" w:cs="Arial"/>
                <w:sz w:val="16"/>
                <w:szCs w:val="16"/>
                <w:lang w:val="es-ES_tradnl" w:eastAsia="es-ES"/>
              </w:rPr>
            </w:pPr>
            <w:r w:rsidRPr="00380823">
              <w:rPr>
                <w:rFonts w:ascii="Arial" w:eastAsia="Calibri" w:hAnsi="Arial" w:cs="Arial"/>
                <w:sz w:val="16"/>
                <w:szCs w:val="16"/>
                <w:lang w:val="es-ES_tradnl" w:eastAsia="es-ES"/>
              </w:rPr>
              <w:t>Alejandro Sarmiento Cantillo</w:t>
            </w:r>
          </w:p>
          <w:p w14:paraId="0E4DF2D0" w14:textId="77777777" w:rsidR="00380823" w:rsidRPr="00380823" w:rsidRDefault="00380823" w:rsidP="00380823">
            <w:pPr>
              <w:rPr>
                <w:rFonts w:ascii="Arial" w:eastAsia="Calibri" w:hAnsi="Arial" w:cs="Arial"/>
                <w:sz w:val="16"/>
                <w:szCs w:val="16"/>
                <w:lang w:val="es-ES_tradnl" w:eastAsia="es-ES"/>
              </w:rPr>
            </w:pPr>
            <w:r w:rsidRPr="00380823">
              <w:rPr>
                <w:rFonts w:ascii="Arial" w:eastAsia="Calibri" w:hAnsi="Arial" w:cs="Arial"/>
                <w:color w:val="000000" w:themeColor="text1"/>
                <w:sz w:val="16"/>
                <w:szCs w:val="16"/>
                <w:lang w:val="es-ES" w:eastAsia="es-ES"/>
              </w:rPr>
              <w:t xml:space="preserve">Gestor T1-15 </w:t>
            </w:r>
            <w:r w:rsidRPr="00380823">
              <w:rPr>
                <w:rFonts w:ascii="Arial" w:eastAsia="Calibri" w:hAnsi="Arial" w:cs="Arial"/>
                <w:sz w:val="16"/>
                <w:szCs w:val="16"/>
                <w:lang w:val="es-ES_tradnl" w:eastAsia="es-ES"/>
              </w:rPr>
              <w:t>de la Subdirección de Gestión Contractual</w:t>
            </w:r>
          </w:p>
        </w:tc>
      </w:tr>
      <w:tr w:rsidR="00380823" w:rsidRPr="00380823" w14:paraId="50638DCC" w14:textId="77777777" w:rsidTr="00C8662B">
        <w:trPr>
          <w:trHeight w:val="300"/>
        </w:trPr>
        <w:tc>
          <w:tcPr>
            <w:tcW w:w="812" w:type="dxa"/>
            <w:vAlign w:val="center"/>
            <w:hideMark/>
          </w:tcPr>
          <w:p w14:paraId="50ADA50C" w14:textId="77777777" w:rsidR="00380823" w:rsidRPr="00380823" w:rsidRDefault="00380823" w:rsidP="00380823">
            <w:pPr>
              <w:spacing w:line="276" w:lineRule="auto"/>
              <w:rPr>
                <w:rFonts w:ascii="Arial" w:eastAsia="Calibri" w:hAnsi="Arial" w:cs="Arial"/>
                <w:sz w:val="16"/>
                <w:szCs w:val="16"/>
                <w:lang w:val="es-ES_tradnl" w:eastAsia="es-ES"/>
              </w:rPr>
            </w:pPr>
            <w:r w:rsidRPr="00380823">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30A1A031" w14:textId="77777777" w:rsidR="00380823" w:rsidRPr="00380823" w:rsidRDefault="00380823" w:rsidP="00380823">
            <w:pPr>
              <w:rPr>
                <w:rFonts w:ascii="Arial" w:eastAsia="Calibri" w:hAnsi="Arial" w:cs="Arial"/>
                <w:color w:val="000000" w:themeColor="text1"/>
                <w:sz w:val="16"/>
                <w:szCs w:val="16"/>
                <w:lang w:val="es-MX" w:eastAsia="es-ES"/>
              </w:rPr>
            </w:pPr>
            <w:r w:rsidRPr="00380823">
              <w:rPr>
                <w:rFonts w:ascii="Arial" w:eastAsia="Calibri" w:hAnsi="Arial" w:cs="Arial"/>
                <w:color w:val="000000" w:themeColor="text1"/>
                <w:sz w:val="16"/>
                <w:szCs w:val="16"/>
                <w:lang w:val="es-MX" w:eastAsia="es-ES"/>
              </w:rPr>
              <w:t>Nohelia del Carmen Zawady Palacio</w:t>
            </w:r>
          </w:p>
          <w:p w14:paraId="438B41AE" w14:textId="77777777" w:rsidR="00380823" w:rsidRPr="00380823" w:rsidRDefault="00380823" w:rsidP="00380823">
            <w:pPr>
              <w:rPr>
                <w:rFonts w:ascii="Arial" w:eastAsia="Calibri" w:hAnsi="Arial" w:cs="Arial"/>
                <w:sz w:val="16"/>
                <w:szCs w:val="16"/>
                <w:lang w:val="pt-BR" w:eastAsia="es-ES"/>
              </w:rPr>
            </w:pPr>
            <w:r w:rsidRPr="00380823">
              <w:rPr>
                <w:rFonts w:ascii="Arial" w:eastAsia="Arial" w:hAnsi="Arial" w:cs="Arial"/>
                <w:color w:val="000000"/>
                <w:sz w:val="16"/>
                <w:szCs w:val="16"/>
                <w:lang w:val="es-MX"/>
              </w:rPr>
              <w:t>Subdirectora de Gestión Contractual</w:t>
            </w:r>
          </w:p>
        </w:tc>
      </w:tr>
    </w:tbl>
    <w:p w14:paraId="16439FEE" w14:textId="77777777" w:rsidR="00380823" w:rsidRPr="00380823" w:rsidRDefault="00380823" w:rsidP="00380823">
      <w:pPr>
        <w:spacing w:after="0" w:line="276" w:lineRule="auto"/>
        <w:jc w:val="both"/>
        <w:rPr>
          <w:rFonts w:ascii="Arial" w:eastAsia="Calibri" w:hAnsi="Arial" w:cs="Arial"/>
          <w:color w:val="000000"/>
          <w:sz w:val="24"/>
          <w:lang w:val="es-ES_tradnl" w:eastAsia="es-CO"/>
        </w:rPr>
      </w:pPr>
    </w:p>
    <w:p w14:paraId="3B5B389D" w14:textId="77777777" w:rsidR="00380823" w:rsidRPr="00380823" w:rsidRDefault="00380823" w:rsidP="00380823">
      <w:pPr>
        <w:widowControl w:val="0"/>
        <w:autoSpaceDE w:val="0"/>
        <w:autoSpaceDN w:val="0"/>
        <w:spacing w:after="0" w:line="276" w:lineRule="auto"/>
        <w:ind w:right="108"/>
        <w:jc w:val="both"/>
        <w:rPr>
          <w:rFonts w:ascii="Arial" w:eastAsia="Arial" w:hAnsi="Arial" w:cs="Arial"/>
          <w:color w:val="000000" w:themeColor="text1"/>
          <w:lang w:val="es-ES_tradnl"/>
        </w:rPr>
      </w:pPr>
    </w:p>
    <w:p w14:paraId="3597BFFE" w14:textId="77777777" w:rsidR="00380823" w:rsidRPr="00380823" w:rsidRDefault="00380823" w:rsidP="00380823">
      <w:pPr>
        <w:widowControl w:val="0"/>
        <w:autoSpaceDE w:val="0"/>
        <w:autoSpaceDN w:val="0"/>
        <w:spacing w:after="0" w:line="240" w:lineRule="auto"/>
        <w:rPr>
          <w:rFonts w:ascii="Arial" w:eastAsia="Arial" w:hAnsi="Arial" w:cs="Arial"/>
          <w:b/>
          <w:color w:val="000000" w:themeColor="text1"/>
          <w:lang w:val="es-ES_tradnl"/>
        </w:rPr>
      </w:pPr>
    </w:p>
    <w:p w14:paraId="19AD4EC3" w14:textId="77777777" w:rsidR="00380823" w:rsidRPr="00380823" w:rsidRDefault="00380823" w:rsidP="00380823">
      <w:pPr>
        <w:spacing w:after="0" w:line="276" w:lineRule="auto"/>
        <w:jc w:val="both"/>
        <w:rPr>
          <w:rFonts w:ascii="Arial" w:eastAsia="Times New Roman" w:hAnsi="Arial" w:cs="Arial"/>
          <w:noProof/>
          <w:sz w:val="24"/>
          <w:szCs w:val="24"/>
          <w:lang w:val="es-ES_tradnl" w:eastAsia="es-CO"/>
        </w:rPr>
      </w:pPr>
    </w:p>
    <w:p w14:paraId="28B3605D" w14:textId="77777777" w:rsidR="00380823" w:rsidRPr="00380823" w:rsidRDefault="00380823" w:rsidP="00380823">
      <w:pPr>
        <w:spacing w:after="0" w:line="240" w:lineRule="auto"/>
        <w:rPr>
          <w:rFonts w:ascii="Arial" w:eastAsia="Calibri" w:hAnsi="Arial" w:cs="Arial"/>
          <w:sz w:val="24"/>
          <w:lang w:val="es-MX"/>
        </w:rPr>
      </w:pPr>
    </w:p>
    <w:p w14:paraId="15563806" w14:textId="488682B5" w:rsidR="006219F8" w:rsidRPr="00380823" w:rsidRDefault="006219F8" w:rsidP="00526E9D">
      <w:pPr>
        <w:rPr>
          <w:rFonts w:ascii="Arial Nova" w:hAnsi="Arial Nova"/>
          <w:color w:val="000000" w:themeColor="text1"/>
          <w:lang w:val="es-MX"/>
        </w:rPr>
      </w:pPr>
    </w:p>
    <w:p w14:paraId="27AFF8C7" w14:textId="77777777" w:rsidR="006219F8" w:rsidRPr="00080DA3" w:rsidRDefault="006219F8" w:rsidP="006219F8">
      <w:pPr>
        <w:spacing w:after="0" w:line="240" w:lineRule="auto"/>
        <w:jc w:val="right"/>
        <w:textAlignment w:val="baseline"/>
        <w:rPr>
          <w:rFonts w:ascii="Geomanist Light" w:eastAsia="Times New Roman" w:hAnsi="Geomanist Light" w:cs="Arial"/>
          <w:lang w:eastAsia="es-CO"/>
        </w:rPr>
      </w:pPr>
    </w:p>
    <w:p w14:paraId="5E1D3DBF" w14:textId="22D6B9E8" w:rsidR="001A1011" w:rsidRPr="00380823" w:rsidRDefault="001A1011" w:rsidP="006219F8">
      <w:pPr>
        <w:spacing w:after="0" w:line="240" w:lineRule="auto"/>
        <w:rPr>
          <w:rFonts w:ascii="Geomanist Light" w:hAnsi="Geomanist Light"/>
          <w:b/>
          <w:color w:val="404040" w:themeColor="text1" w:themeTint="BF"/>
        </w:rPr>
      </w:pPr>
      <w:bookmarkStart w:id="2" w:name="_Hlk34951122"/>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2"/>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B963" w14:textId="77777777" w:rsidR="006B1EE7" w:rsidRDefault="006B1EE7" w:rsidP="004A1847">
      <w:pPr>
        <w:spacing w:after="0" w:line="240" w:lineRule="auto"/>
      </w:pPr>
      <w:r>
        <w:separator/>
      </w:r>
    </w:p>
  </w:endnote>
  <w:endnote w:type="continuationSeparator" w:id="0">
    <w:p w14:paraId="28F42A63" w14:textId="77777777" w:rsidR="006B1EE7" w:rsidRDefault="006B1EE7" w:rsidP="004A1847">
      <w:pPr>
        <w:spacing w:after="0" w:line="240" w:lineRule="auto"/>
      </w:pPr>
      <w:r>
        <w:continuationSeparator/>
      </w:r>
    </w:p>
  </w:endnote>
  <w:endnote w:type="continuationNotice" w:id="1">
    <w:p w14:paraId="4CD4EC95" w14:textId="77777777" w:rsidR="006B1EE7" w:rsidRDefault="006B1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A9D7" w14:textId="77777777" w:rsidR="006B1EE7" w:rsidRDefault="006B1EE7" w:rsidP="004A1847">
      <w:pPr>
        <w:spacing w:after="0" w:line="240" w:lineRule="auto"/>
      </w:pPr>
      <w:r>
        <w:separator/>
      </w:r>
    </w:p>
  </w:footnote>
  <w:footnote w:type="continuationSeparator" w:id="0">
    <w:p w14:paraId="3B4F9018" w14:textId="77777777" w:rsidR="006B1EE7" w:rsidRDefault="006B1EE7" w:rsidP="004A1847">
      <w:pPr>
        <w:spacing w:after="0" w:line="240" w:lineRule="auto"/>
      </w:pPr>
      <w:r>
        <w:continuationSeparator/>
      </w:r>
    </w:p>
  </w:footnote>
  <w:footnote w:type="continuationNotice" w:id="1">
    <w:p w14:paraId="205113CE" w14:textId="77777777" w:rsidR="006B1EE7" w:rsidRDefault="006B1EE7">
      <w:pPr>
        <w:spacing w:after="0" w:line="240" w:lineRule="auto"/>
      </w:pPr>
    </w:p>
  </w:footnote>
  <w:footnote w:id="2">
    <w:p w14:paraId="4CC9707E" w14:textId="77777777" w:rsidR="00380823" w:rsidRPr="00CF50F1" w:rsidRDefault="00380823" w:rsidP="00380823">
      <w:pPr>
        <w:pStyle w:val="Textonotapie"/>
        <w:jc w:val="both"/>
        <w:rPr>
          <w:sz w:val="10"/>
          <w:szCs w:val="10"/>
        </w:rPr>
      </w:pPr>
      <w:r w:rsidRPr="00CF50F1">
        <w:rPr>
          <w:rStyle w:val="Refdenotaalpie"/>
          <w:sz w:val="10"/>
          <w:szCs w:val="10"/>
        </w:rPr>
        <w:footnoteRef/>
      </w:r>
      <w:r w:rsidRPr="00CF50F1">
        <w:rPr>
          <w:sz w:val="10"/>
          <w:szCs w:val="10"/>
        </w:rPr>
        <w:t xml:space="preserve"> </w:t>
      </w:r>
      <w:r w:rsidRPr="00CF50F1">
        <w:rPr>
          <w:rFonts w:ascii="Arial" w:hAnsi="Arial" w:cs="Arial"/>
          <w:sz w:val="10"/>
          <w:szCs w:val="10"/>
        </w:rPr>
        <w:t xml:space="preserve">Resolución 326 del 2022 «Por la cual se actualizan los documentos tipo para los procesos de selección de concurso de méritos para contratar la interventoría de obras públicas de infraestructura de transporte y se deroga la Resolución 256 del 2020». Artículo 5. Vigencia y derogatorias. La presente resolución rige a partir de su publicación, deroga la Resolución 256 del 2020 y sus modificaciones posteriores, y aplica a los procesos de selección de concurso de méritos en los que se pretenda contratar la interventoría de obras públicas de infraestructura de transporte, cuyo aviso de convocatoria se publique desde el 1 de noviembre del 2022». </w:t>
      </w:r>
    </w:p>
  </w:footnote>
  <w:footnote w:id="3">
    <w:p w14:paraId="66ED64DE" w14:textId="77777777" w:rsidR="00380823" w:rsidRPr="00CF50F1" w:rsidRDefault="00380823" w:rsidP="00380823">
      <w:pPr>
        <w:pStyle w:val="Textonotapie"/>
        <w:ind w:firstLine="708"/>
        <w:jc w:val="both"/>
        <w:rPr>
          <w:rFonts w:ascii="Arial" w:hAnsi="Arial" w:cs="Arial"/>
          <w:color w:val="000000"/>
          <w:sz w:val="10"/>
          <w:szCs w:val="10"/>
        </w:rPr>
      </w:pPr>
      <w:r w:rsidRPr="00CF50F1">
        <w:rPr>
          <w:rStyle w:val="Refdenotaalpie"/>
          <w:rFonts w:ascii="Arial" w:hAnsi="Arial" w:cs="Arial"/>
          <w:color w:val="000000"/>
          <w:sz w:val="10"/>
          <w:szCs w:val="10"/>
        </w:rPr>
        <w:footnoteRef/>
      </w:r>
      <w:r w:rsidRPr="00CF50F1">
        <w:rPr>
          <w:rFonts w:ascii="Arial" w:hAnsi="Arial" w:cs="Arial"/>
          <w:color w:val="000000"/>
          <w:sz w:val="10"/>
          <w:szCs w:val="10"/>
        </w:rPr>
        <w:t xml:space="preserve">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C438359" w14:textId="77777777" w:rsidR="00380823" w:rsidRPr="00CF50F1" w:rsidRDefault="00380823" w:rsidP="00380823">
      <w:pPr>
        <w:pStyle w:val="Textonotapie"/>
        <w:ind w:firstLine="708"/>
        <w:jc w:val="both"/>
        <w:rPr>
          <w:rFonts w:ascii="Arial" w:hAnsi="Arial" w:cs="Arial"/>
          <w:color w:val="000000"/>
          <w:sz w:val="10"/>
          <w:szCs w:val="10"/>
        </w:rPr>
      </w:pPr>
      <w:r w:rsidRPr="00CF50F1">
        <w:rPr>
          <w:rFonts w:ascii="Arial" w:hAnsi="Arial" w:cs="Arial"/>
          <w:color w:val="000000"/>
          <w:sz w:val="10"/>
          <w:szCs w:val="10"/>
        </w:rPr>
        <w:t>[…]</w:t>
      </w:r>
    </w:p>
    <w:p w14:paraId="0512B9FD"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»2o. Contrato de Consultoría.</w:t>
      </w:r>
    </w:p>
    <w:p w14:paraId="3A75CB6B"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4099DAA"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i/>
          <w:iCs/>
          <w:color w:val="000000"/>
          <w:sz w:val="10"/>
          <w:szCs w:val="10"/>
          <w:lang w:val="es-CO"/>
        </w:rPr>
        <w:t>Son también contratos de consultoría los que tienen por objeto la interventoría</w:t>
      </w:r>
      <w:r w:rsidRPr="00CF50F1">
        <w:rPr>
          <w:rFonts w:ascii="Arial" w:hAnsi="Arial" w:cs="Arial"/>
          <w:color w:val="000000"/>
          <w:sz w:val="10"/>
          <w:szCs w:val="10"/>
          <w:lang w:val="es-CO"/>
        </w:rPr>
        <w:t>, asesoría, gerencia de obra o de proyectos, dirección, programación y la ejecución de diseños, planos, anteproyectos y proyectos.</w:t>
      </w:r>
    </w:p>
    <w:p w14:paraId="0FF25BC7"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Ninguna orden del interventor de una obra podrá darse verbalmente. Es obligatorio para el interventor entregar por escrito sus órdenes o sugerencias y ellas deben enmarcarse dentro de los términos del respectivo contrato (Cursiva fuera del original).</w:t>
      </w:r>
    </w:p>
    <w:p w14:paraId="5FB78CAD" w14:textId="77777777" w:rsidR="00380823" w:rsidRPr="00CF50F1" w:rsidRDefault="00380823" w:rsidP="00380823">
      <w:pPr>
        <w:pStyle w:val="Textonotapie"/>
        <w:ind w:firstLine="708"/>
        <w:jc w:val="both"/>
        <w:rPr>
          <w:rFonts w:ascii="Arial" w:hAnsi="Arial" w:cs="Arial"/>
          <w:color w:val="000000"/>
          <w:sz w:val="10"/>
          <w:szCs w:val="10"/>
          <w:lang w:val="es-CO"/>
        </w:rPr>
      </w:pPr>
    </w:p>
  </w:footnote>
  <w:footnote w:id="4">
    <w:p w14:paraId="1F9CA935"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Style w:val="Refdenotaalpie"/>
          <w:rFonts w:ascii="Arial" w:hAnsi="Arial" w:cs="Arial"/>
          <w:sz w:val="10"/>
          <w:szCs w:val="10"/>
        </w:rPr>
        <w:footnoteRef/>
      </w:r>
      <w:r w:rsidRPr="00CF50F1">
        <w:rPr>
          <w:rFonts w:ascii="Arial" w:hAnsi="Arial" w:cs="Arial"/>
          <w:sz w:val="10"/>
          <w:szCs w:val="10"/>
        </w:rPr>
        <w:t xml:space="preserve"> </w:t>
      </w:r>
      <w:r w:rsidRPr="00CF50F1">
        <w:rPr>
          <w:rFonts w:ascii="Arial" w:hAnsi="Arial" w:cs="Arial"/>
          <w:color w:val="000000"/>
          <w:sz w:val="10"/>
          <w:szCs w:val="10"/>
          <w:lang w:val="es-CO"/>
        </w:rPr>
        <w:t>Ley 1150 de 2007. «Artículo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5814205B"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w:t>
      </w:r>
    </w:p>
    <w:p w14:paraId="172A358D"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49552AAE"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»En ningún caso se podrá incluir el precio, como factor de escogencia para la selección de consultores».</w:t>
      </w:r>
    </w:p>
  </w:footnote>
  <w:footnote w:id="5">
    <w:p w14:paraId="6353217C"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Style w:val="Refdenotaalpie"/>
          <w:rFonts w:ascii="Arial" w:hAnsi="Arial" w:cs="Arial"/>
          <w:sz w:val="10"/>
          <w:szCs w:val="10"/>
        </w:rPr>
        <w:footnoteRef/>
      </w:r>
      <w:r w:rsidRPr="00CF50F1">
        <w:rPr>
          <w:rFonts w:ascii="Arial" w:hAnsi="Arial" w:cs="Arial"/>
          <w:sz w:val="10"/>
          <w:szCs w:val="10"/>
        </w:rPr>
        <w:t xml:space="preserve"> </w:t>
      </w:r>
      <w:r w:rsidRPr="00CF50F1">
        <w:rPr>
          <w:rFonts w:ascii="Arial" w:hAnsi="Arial" w:cs="Arial"/>
          <w:color w:val="000000"/>
          <w:sz w:val="10"/>
          <w:szCs w:val="10"/>
          <w:lang w:val="es-CO"/>
        </w:rPr>
        <w:t>Ley 1150 de 2007. «Artículo 5o. De la selección objetiva.</w:t>
      </w:r>
    </w:p>
    <w:p w14:paraId="07388ECE"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w:t>
      </w:r>
    </w:p>
    <w:p w14:paraId="1FCB38E0"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52519A27" w14:textId="77777777" w:rsidR="00380823" w:rsidRPr="00CF50F1" w:rsidRDefault="00380823" w:rsidP="00380823">
      <w:pPr>
        <w:pStyle w:val="Textonotapie"/>
        <w:ind w:firstLine="708"/>
        <w:jc w:val="both"/>
        <w:rPr>
          <w:rFonts w:ascii="Arial" w:hAnsi="Arial" w:cs="Arial"/>
          <w:color w:val="000000"/>
          <w:sz w:val="10"/>
          <w:szCs w:val="10"/>
          <w:lang w:val="es-CO"/>
        </w:rPr>
      </w:pPr>
    </w:p>
    <w:p w14:paraId="1F93AD86"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Durante el término otorgado para subsanar las ofertas, los proponentes no podrán acreditar circunstancias ocurridas con posterioridad al cierre del proceso».</w:t>
      </w:r>
    </w:p>
    <w:p w14:paraId="7F74C1F8" w14:textId="77777777" w:rsidR="00380823" w:rsidRPr="00CF50F1" w:rsidRDefault="00380823" w:rsidP="00380823">
      <w:pPr>
        <w:pStyle w:val="Textonotapie"/>
        <w:ind w:firstLine="708"/>
        <w:jc w:val="both"/>
        <w:rPr>
          <w:rFonts w:ascii="Arial" w:hAnsi="Arial" w:cs="Arial"/>
          <w:color w:val="000000"/>
          <w:sz w:val="10"/>
          <w:szCs w:val="10"/>
          <w:lang w:val="es-CO"/>
        </w:rPr>
      </w:pPr>
      <w:r w:rsidRPr="00CF50F1">
        <w:rPr>
          <w:rFonts w:ascii="Arial" w:hAnsi="Arial" w:cs="Arial"/>
          <w:color w:val="000000"/>
          <w:sz w:val="10"/>
          <w:szCs w:val="10"/>
          <w:lang w:val="es-CO"/>
        </w:rPr>
        <w:t>[...]</w:t>
      </w:r>
    </w:p>
  </w:footnote>
  <w:footnote w:id="6">
    <w:p w14:paraId="3D42548F"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34B2C964" w14:textId="77777777" w:rsidR="00380823" w:rsidRPr="00CF50F1" w:rsidRDefault="00380823" w:rsidP="00380823">
      <w:pPr>
        <w:pBdr>
          <w:top w:val="nil"/>
          <w:left w:val="nil"/>
          <w:bottom w:val="nil"/>
          <w:right w:val="nil"/>
          <w:between w:val="nil"/>
        </w:pBdr>
        <w:ind w:firstLine="709"/>
        <w:jc w:val="both"/>
        <w:rPr>
          <w:rFonts w:ascii="Arial" w:eastAsia="Arial" w:hAnsi="Arial" w:cs="Arial"/>
          <w:b/>
          <w:color w:val="000000"/>
          <w:sz w:val="10"/>
          <w:szCs w:val="10"/>
        </w:rPr>
      </w:pPr>
    </w:p>
  </w:footnote>
  <w:footnote w:id="7">
    <w:p w14:paraId="49E4DA31"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8">
    <w:p w14:paraId="6B9373F9"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Consejo de Estado. Sección Tercera, Subsección C. Sentencia del 26 de febrero de 2014. C.P. Enrique Gil Botero, Rad. 1999-00113-01 (25.804). </w:t>
      </w:r>
    </w:p>
  </w:footnote>
  <w:footnote w:id="9">
    <w:p w14:paraId="12D5000F"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vertAlign w:val="superscript"/>
        </w:rPr>
        <w:t xml:space="preserve"> </w:t>
      </w:r>
      <w:r w:rsidRPr="00CF50F1">
        <w:rPr>
          <w:rFonts w:ascii="Arial" w:eastAsia="Arial" w:hAnsi="Arial" w:cs="Arial"/>
          <w:color w:val="000000"/>
          <w:sz w:val="10"/>
          <w:szCs w:val="10"/>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0">
    <w:p w14:paraId="107008CF" w14:textId="77777777" w:rsidR="00380823" w:rsidRPr="00CF50F1" w:rsidRDefault="00380823" w:rsidP="00380823">
      <w:pP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r w:rsidRPr="00CF50F1">
          <w:rPr>
            <w:rFonts w:ascii="Arial" w:eastAsia="Arial" w:hAnsi="Arial" w:cs="Arial"/>
            <w:color w:val="000000"/>
            <w:sz w:val="10"/>
            <w:szCs w:val="10"/>
          </w:rPr>
          <w:t>Ley 1150 de 2007</w:t>
        </w:r>
      </w:hyperlink>
      <w:r w:rsidRPr="00CF50F1">
        <w:rPr>
          <w:rFonts w:ascii="Arial" w:eastAsia="Arial" w:hAnsi="Arial" w:cs="Arial"/>
          <w:color w:val="000000"/>
          <w:sz w:val="10"/>
          <w:szCs w:val="10"/>
        </w:rPr>
        <w:t> y en el presente decreto.</w:t>
      </w:r>
    </w:p>
    <w:p w14:paraId="350E9A02" w14:textId="77777777" w:rsidR="00380823" w:rsidRPr="00CF50F1" w:rsidRDefault="00380823" w:rsidP="00380823">
      <w:pPr>
        <w:ind w:firstLine="709"/>
        <w:jc w:val="both"/>
        <w:rPr>
          <w:rFonts w:ascii="Arial" w:eastAsia="Arial" w:hAnsi="Arial" w:cs="Arial"/>
          <w:color w:val="000000"/>
          <w:sz w:val="10"/>
          <w:szCs w:val="10"/>
        </w:rPr>
      </w:pPr>
      <w:r w:rsidRPr="00CF50F1">
        <w:rPr>
          <w:rFonts w:ascii="Arial" w:eastAsia="Arial" w:hAnsi="Arial" w:cs="Arial"/>
          <w:color w:val="000000"/>
          <w:sz w:val="10"/>
          <w:szCs w:val="10"/>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0C370A08" w14:textId="77777777" w:rsidR="00380823" w:rsidRPr="00CF50F1" w:rsidRDefault="00380823" w:rsidP="00380823">
      <w:pPr>
        <w:ind w:firstLine="709"/>
        <w:jc w:val="both"/>
        <w:rPr>
          <w:rFonts w:ascii="Arial" w:eastAsia="Arial" w:hAnsi="Arial" w:cs="Arial"/>
          <w:color w:val="000000"/>
          <w:sz w:val="10"/>
          <w:szCs w:val="10"/>
        </w:rPr>
      </w:pPr>
      <w:r w:rsidRPr="00CF50F1">
        <w:rPr>
          <w:rFonts w:ascii="Arial" w:eastAsia="Arial" w:hAnsi="Arial" w:cs="Arial"/>
          <w:color w:val="000000"/>
          <w:sz w:val="10"/>
          <w:szCs w:val="10"/>
        </w:rPr>
        <w:t>»Será rechazada la oferta del proponente que dentro del término previsto en el pliego o en la solicitud, no responda al requerimiento que le haga la entidad para subsanarla.</w:t>
      </w:r>
    </w:p>
    <w:p w14:paraId="36889D70" w14:textId="77777777" w:rsidR="00380823" w:rsidRPr="00CF50F1" w:rsidRDefault="00380823" w:rsidP="00380823">
      <w:pPr>
        <w:ind w:firstLine="709"/>
        <w:jc w:val="both"/>
        <w:rPr>
          <w:rFonts w:ascii="Arial" w:eastAsia="Arial" w:hAnsi="Arial" w:cs="Arial"/>
          <w:color w:val="000000"/>
          <w:sz w:val="10"/>
          <w:szCs w:val="10"/>
        </w:rPr>
      </w:pPr>
      <w:r w:rsidRPr="00CF50F1">
        <w:rPr>
          <w:rFonts w:ascii="Arial" w:eastAsia="Arial" w:hAnsi="Arial" w:cs="Arial"/>
          <w:color w:val="000000"/>
          <w:sz w:val="10"/>
          <w:szCs w:val="10"/>
        </w:rPr>
        <w:t>»Cuando se utilice el mecanismo de subasta esta posibilidad deberá ejercerse hasta el momento previo a su realización, de conformidad con el artículo 22 del presente decreto.</w:t>
      </w:r>
    </w:p>
    <w:p w14:paraId="320CA4EF" w14:textId="77777777" w:rsidR="00380823" w:rsidRPr="00CF50F1" w:rsidRDefault="00380823" w:rsidP="00380823">
      <w:pPr>
        <w:ind w:firstLine="709"/>
        <w:jc w:val="both"/>
        <w:rPr>
          <w:rFonts w:ascii="Arial" w:eastAsia="Arial" w:hAnsi="Arial" w:cs="Arial"/>
          <w:color w:val="000000"/>
          <w:sz w:val="10"/>
          <w:szCs w:val="10"/>
        </w:rPr>
      </w:pPr>
      <w:r w:rsidRPr="00CF50F1">
        <w:rPr>
          <w:rFonts w:ascii="Arial" w:eastAsia="Arial" w:hAnsi="Arial" w:cs="Arial"/>
          <w:color w:val="000000"/>
          <w:sz w:val="10"/>
          <w:szCs w:val="10"/>
        </w:rPr>
        <w:t xml:space="preserve">»En ningún caso la entidad podrá señalar taxativamente los requisitos o documentos subsanables o no subsanables en el pliego de condiciones, </w:t>
      </w:r>
      <w:r w:rsidRPr="00CF50F1">
        <w:rPr>
          <w:rFonts w:ascii="Arial" w:eastAsia="Arial" w:hAnsi="Arial" w:cs="Arial"/>
          <w:i/>
          <w:color w:val="000000"/>
          <w:sz w:val="10"/>
          <w:szCs w:val="10"/>
        </w:rPr>
        <w:t>ni permitir que se subsane la falta de capacidad para presentar la oferta, ni que se acrediten circunstancias ocurridas con posterioridad al cierre del proceso</w:t>
      </w:r>
      <w:r w:rsidRPr="00CF50F1">
        <w:rPr>
          <w:rFonts w:ascii="Arial" w:eastAsia="Arial" w:hAnsi="Arial" w:cs="Arial"/>
          <w:color w:val="000000"/>
          <w:sz w:val="10"/>
          <w:szCs w:val="10"/>
        </w:rPr>
        <w:t xml:space="preserve">». (Cursivas fuera de texto). </w:t>
      </w:r>
    </w:p>
    <w:p w14:paraId="2A203719"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p>
  </w:footnote>
  <w:footnote w:id="11">
    <w:p w14:paraId="30EE7E7E"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CONSEJO DE ESTADO, Sala de Consulta y Servicio Civil, concepto del 6 de noviembre de 2008. C.P. William Zambrano Cetina. Rad. 2008-00079-00(1927).</w:t>
      </w:r>
    </w:p>
    <w:p w14:paraId="48777B65"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eastAsia="Arial" w:hAnsi="Arial" w:cs="Arial"/>
          <w:color w:val="000000"/>
          <w:sz w:val="10"/>
          <w:szCs w:val="10"/>
        </w:rPr>
        <w:t xml:space="preserve">  </w:t>
      </w:r>
    </w:p>
  </w:footnote>
  <w:footnote w:id="12">
    <w:p w14:paraId="2AC5A071"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Ver CONSEJO DE ESTADO, Sección Tercera, Subsección C. Sentencia del 26 de febrero de 2011. C.P. Jaime Orlando Santofimio. Rad. 36.408.  </w:t>
      </w:r>
    </w:p>
    <w:p w14:paraId="7AA8E537"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p>
  </w:footnote>
  <w:footnote w:id="13">
    <w:p w14:paraId="3C6E6AD6"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Ver CONSEJO DE ESTADO, Sección Tercera, Subsección C. Sentencia del 26 de febrero de 2014. C.P. Enrique Gil Botero. Rad. 25.804.  </w:t>
      </w:r>
    </w:p>
    <w:p w14:paraId="73057752"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p>
  </w:footnote>
  <w:footnote w:id="14">
    <w:p w14:paraId="33BF6DFD"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Consejo de Estado, Sala de Consulta y Servicio Civil, concepto del 20 de mayo de 2010. C.P. Enrique José Arboleda Perdomo. Rad. 2010-00034-00(1992).</w:t>
      </w:r>
    </w:p>
    <w:p w14:paraId="51EB5DA6"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p>
  </w:footnote>
  <w:footnote w:id="15">
    <w:p w14:paraId="4D7481DF"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r w:rsidRPr="00CF50F1">
        <w:rPr>
          <w:rFonts w:ascii="Arial" w:hAnsi="Arial" w:cs="Arial"/>
          <w:sz w:val="10"/>
          <w:szCs w:val="10"/>
          <w:vertAlign w:val="superscript"/>
        </w:rPr>
        <w:footnoteRef/>
      </w:r>
      <w:r w:rsidRPr="00CF50F1">
        <w:rPr>
          <w:rFonts w:ascii="Arial" w:eastAsia="Arial" w:hAnsi="Arial" w:cs="Arial"/>
          <w:color w:val="000000"/>
          <w:sz w:val="10"/>
          <w:szCs w:val="10"/>
        </w:rPr>
        <w:t xml:space="preserve"> CONSEJO DE ESTADO. Sección Tercera. Subsección C. Sentencia del 12 de noviembre de 2014. Exp. 27.986. C.P. Enrique Gil Botero.</w:t>
      </w:r>
    </w:p>
    <w:p w14:paraId="09A71651" w14:textId="77777777" w:rsidR="00380823" w:rsidRPr="00CF50F1" w:rsidRDefault="00380823" w:rsidP="00380823">
      <w:pPr>
        <w:pBdr>
          <w:top w:val="nil"/>
          <w:left w:val="nil"/>
          <w:bottom w:val="nil"/>
          <w:right w:val="nil"/>
          <w:between w:val="nil"/>
        </w:pBdr>
        <w:ind w:firstLine="709"/>
        <w:jc w:val="both"/>
        <w:rPr>
          <w:rFonts w:ascii="Arial" w:eastAsia="Arial" w:hAnsi="Arial" w:cs="Arial"/>
          <w:color w:val="000000"/>
          <w:sz w:val="10"/>
          <w:szCs w:val="10"/>
        </w:rPr>
      </w:pPr>
    </w:p>
  </w:footnote>
  <w:footnote w:id="16">
    <w:p w14:paraId="6A0FCDC8" w14:textId="77777777" w:rsidR="00380823" w:rsidRPr="00CF50F1" w:rsidRDefault="00380823" w:rsidP="00380823">
      <w:pPr>
        <w:pStyle w:val="Textonotapie"/>
        <w:ind w:firstLine="709"/>
        <w:jc w:val="both"/>
        <w:rPr>
          <w:rFonts w:ascii="Arial" w:hAnsi="Arial" w:cs="Arial"/>
          <w:sz w:val="10"/>
          <w:szCs w:val="10"/>
          <w:lang w:val="es-CO"/>
        </w:rPr>
      </w:pPr>
      <w:r w:rsidRPr="00CF50F1">
        <w:rPr>
          <w:rStyle w:val="Refdenotaalpie"/>
          <w:rFonts w:ascii="Arial" w:hAnsi="Arial" w:cs="Arial"/>
          <w:sz w:val="10"/>
          <w:szCs w:val="10"/>
        </w:rPr>
        <w:footnoteRef/>
      </w:r>
      <w:r w:rsidRPr="00CF50F1">
        <w:rPr>
          <w:rFonts w:ascii="Arial" w:hAnsi="Arial" w:cs="Arial"/>
          <w:sz w:val="10"/>
          <w:szCs w:val="10"/>
        </w:rPr>
        <w:t xml:space="preserve"> </w:t>
      </w:r>
      <w:r w:rsidRPr="00CF50F1">
        <w:rPr>
          <w:rFonts w:ascii="Arial" w:hAnsi="Arial" w:cs="Arial"/>
          <w:bCs/>
          <w:sz w:val="10"/>
          <w:szCs w:val="10"/>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footnote>
  <w:footnote w:id="17">
    <w:p w14:paraId="7B565FDF" w14:textId="77777777" w:rsidR="00380823" w:rsidRPr="00CF50F1" w:rsidRDefault="00380823" w:rsidP="00380823">
      <w:pPr>
        <w:pBdr>
          <w:top w:val="nil"/>
          <w:left w:val="nil"/>
          <w:bottom w:val="nil"/>
          <w:right w:val="nil"/>
          <w:between w:val="nil"/>
        </w:pBdr>
        <w:ind w:firstLine="709"/>
        <w:jc w:val="both"/>
        <w:rPr>
          <w:rFonts w:ascii="Arial" w:hAnsi="Arial" w:cs="Arial"/>
          <w:color w:val="000000"/>
          <w:sz w:val="10"/>
          <w:szCs w:val="10"/>
        </w:rPr>
      </w:pPr>
      <w:r w:rsidRPr="00CF50F1">
        <w:rPr>
          <w:rFonts w:ascii="Arial" w:hAnsi="Arial" w:cs="Arial"/>
          <w:sz w:val="10"/>
          <w:szCs w:val="10"/>
          <w:vertAlign w:val="superscript"/>
        </w:rPr>
        <w:footnoteRef/>
      </w:r>
      <w:r w:rsidRPr="00CF50F1">
        <w:rPr>
          <w:rFonts w:ascii="Arial" w:hAnsi="Arial" w:cs="Arial"/>
          <w:color w:val="000000"/>
          <w:sz w:val="10"/>
          <w:szCs w:val="10"/>
        </w:rPr>
        <w:t xml:space="preserve"> </w:t>
      </w:r>
      <w:r w:rsidRPr="00CF50F1">
        <w:rPr>
          <w:rFonts w:ascii="Arial" w:eastAsia="Arial" w:hAnsi="Arial" w:cs="Arial"/>
          <w:color w:val="000000"/>
          <w:sz w:val="10"/>
          <w:szCs w:val="10"/>
        </w:rPr>
        <w:t>Ibídem</w:t>
      </w:r>
      <w:r w:rsidRPr="00CF50F1">
        <w:rPr>
          <w:rFonts w:ascii="Arial" w:eastAsia="Arial" w:hAnsi="Arial" w:cs="Arial"/>
          <w:i/>
          <w:color w:val="000000"/>
          <w:sz w:val="10"/>
          <w:szCs w:val="10"/>
        </w:rPr>
        <w:t>.</w:t>
      </w:r>
    </w:p>
  </w:footnote>
  <w:footnote w:id="18">
    <w:p w14:paraId="3BA8F5A2" w14:textId="77777777" w:rsidR="00380823" w:rsidRPr="00CF50F1" w:rsidRDefault="00380823" w:rsidP="00380823">
      <w:pPr>
        <w:pBdr>
          <w:top w:val="nil"/>
          <w:left w:val="nil"/>
          <w:bottom w:val="nil"/>
          <w:right w:val="nil"/>
          <w:between w:val="nil"/>
        </w:pBdr>
        <w:ind w:firstLine="709"/>
        <w:jc w:val="both"/>
        <w:rPr>
          <w:rFonts w:ascii="Arial" w:hAnsi="Arial" w:cs="Arial"/>
          <w:color w:val="000000"/>
          <w:sz w:val="10"/>
          <w:szCs w:val="10"/>
        </w:rPr>
      </w:pPr>
      <w:r w:rsidRPr="00CF50F1">
        <w:rPr>
          <w:rFonts w:ascii="Arial" w:hAnsi="Arial" w:cs="Arial"/>
          <w:sz w:val="10"/>
          <w:szCs w:val="10"/>
          <w:vertAlign w:val="superscript"/>
        </w:rPr>
        <w:footnoteRef/>
      </w:r>
      <w:r w:rsidRPr="00CF50F1">
        <w:rPr>
          <w:rFonts w:ascii="Arial" w:hAnsi="Arial" w:cs="Arial"/>
          <w:color w:val="000000"/>
          <w:sz w:val="10"/>
          <w:szCs w:val="10"/>
        </w:rPr>
        <w:t xml:space="preserve">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5F87"/>
    <w:rsid w:val="000A683E"/>
    <w:rsid w:val="0011595A"/>
    <w:rsid w:val="001220C5"/>
    <w:rsid w:val="001267F7"/>
    <w:rsid w:val="00127233"/>
    <w:rsid w:val="00130999"/>
    <w:rsid w:val="00160C52"/>
    <w:rsid w:val="00164D81"/>
    <w:rsid w:val="001A1011"/>
    <w:rsid w:val="001A48D0"/>
    <w:rsid w:val="002653C1"/>
    <w:rsid w:val="0026611D"/>
    <w:rsid w:val="002951A0"/>
    <w:rsid w:val="002A64FD"/>
    <w:rsid w:val="002F0839"/>
    <w:rsid w:val="00301469"/>
    <w:rsid w:val="00306EE1"/>
    <w:rsid w:val="00310B9B"/>
    <w:rsid w:val="0036461C"/>
    <w:rsid w:val="00367884"/>
    <w:rsid w:val="00380823"/>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219F8"/>
    <w:rsid w:val="00681FDB"/>
    <w:rsid w:val="006A7DAD"/>
    <w:rsid w:val="006B1EE7"/>
    <w:rsid w:val="006D70BA"/>
    <w:rsid w:val="007566FE"/>
    <w:rsid w:val="0076726F"/>
    <w:rsid w:val="0077144B"/>
    <w:rsid w:val="00793403"/>
    <w:rsid w:val="007C0CDF"/>
    <w:rsid w:val="007E2A2F"/>
    <w:rsid w:val="007E691F"/>
    <w:rsid w:val="007F2B7C"/>
    <w:rsid w:val="00811651"/>
    <w:rsid w:val="00820F5B"/>
    <w:rsid w:val="00833452"/>
    <w:rsid w:val="008605BA"/>
    <w:rsid w:val="008614E5"/>
    <w:rsid w:val="008678EB"/>
    <w:rsid w:val="00875894"/>
    <w:rsid w:val="00881C10"/>
    <w:rsid w:val="00890411"/>
    <w:rsid w:val="008D5C70"/>
    <w:rsid w:val="009025AF"/>
    <w:rsid w:val="00904F23"/>
    <w:rsid w:val="00906B3C"/>
    <w:rsid w:val="0095342C"/>
    <w:rsid w:val="009561D2"/>
    <w:rsid w:val="00984536"/>
    <w:rsid w:val="009E46BD"/>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754BE"/>
    <w:rsid w:val="00C87572"/>
    <w:rsid w:val="00C9405D"/>
    <w:rsid w:val="00CC1B26"/>
    <w:rsid w:val="00CD284F"/>
    <w:rsid w:val="00CF23AA"/>
    <w:rsid w:val="00CF50F1"/>
    <w:rsid w:val="00D01921"/>
    <w:rsid w:val="00D752B7"/>
    <w:rsid w:val="00DA1854"/>
    <w:rsid w:val="00DA5FA7"/>
    <w:rsid w:val="00DB0887"/>
    <w:rsid w:val="00DF1E43"/>
    <w:rsid w:val="00E20894"/>
    <w:rsid w:val="00E26B7C"/>
    <w:rsid w:val="00EA3003"/>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380823"/>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8E4C5-D357-4DC7-A38C-32B1C0F159EC}"/>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24</Pages>
  <Words>10202</Words>
  <Characters>56117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6</cp:revision>
  <dcterms:created xsi:type="dcterms:W3CDTF">2022-11-23T22:36:00Z</dcterms:created>
  <dcterms:modified xsi:type="dcterms:W3CDTF">2022-11-24T16:20:00Z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