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F968" w14:textId="4900538C" w:rsidR="007A4176" w:rsidRPr="00F87CB6" w:rsidRDefault="007A4176" w:rsidP="007A4176">
      <w:pPr>
        <w:spacing w:after="0" w:line="240" w:lineRule="auto"/>
        <w:jc w:val="both"/>
        <w:rPr>
          <w:rFonts w:ascii="Arial" w:eastAsia="Times New Roman" w:hAnsi="Arial" w:cs="Arial"/>
          <w:b/>
          <w:bCs/>
          <w:color w:val="000000"/>
          <w:szCs w:val="24"/>
          <w:lang w:val="es-ES_tradnl" w:eastAsia="es-ES_tradnl"/>
        </w:rPr>
      </w:pPr>
      <w:bookmarkStart w:id="0" w:name="_Hlk103947551"/>
      <w:r w:rsidRPr="00F87CB6">
        <w:rPr>
          <w:rFonts w:ascii="Arial" w:eastAsia="Times New Roman" w:hAnsi="Arial" w:cs="Arial"/>
          <w:b/>
          <w:bCs/>
          <w:color w:val="000000"/>
          <w:szCs w:val="24"/>
          <w:lang w:val="es-ES_tradnl" w:eastAsia="es-ES_tradnl"/>
        </w:rPr>
        <w:t>CONTRATO DE PRESTACIÓN DE SERVICIOS</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Concepto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Requisitos y límites para su celebración</w:t>
      </w:r>
    </w:p>
    <w:p w14:paraId="28CBED8A"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p>
    <w:p w14:paraId="32648A0C"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F87CB6">
        <w:rPr>
          <w:rFonts w:ascii="Arial" w:eastAsia="Times New Roman" w:hAnsi="Arial" w:cs="Arial"/>
          <w:i/>
          <w:color w:val="000000"/>
          <w:sz w:val="20"/>
          <w:szCs w:val="20"/>
          <w:lang w:val="es-ES_tradnl" w:eastAsia="es-ES_tradnl"/>
        </w:rPr>
        <w:t>subordinación y dependencia</w:t>
      </w:r>
      <w:r w:rsidRPr="00F87CB6">
        <w:rPr>
          <w:rFonts w:ascii="Arial" w:eastAsia="Times New Roman" w:hAnsi="Arial" w:cs="Arial"/>
          <w:color w:val="000000"/>
          <w:sz w:val="20"/>
          <w:szCs w:val="20"/>
          <w:lang w:val="es-ES_tradnl" w:eastAsia="es-ES_tradnl"/>
        </w:rPr>
        <w:t xml:space="preserve"> que es uno de los elementos constitutivos del vínculo laboral; iv)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algunos casos no es obligatoria la liquidación; x) para su celebración no se requiere inscripción en el Registro Único de Proponentes (RUP); xi) en él no son necesarias las garantías.</w:t>
      </w:r>
    </w:p>
    <w:p w14:paraId="5610A9B4"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p>
    <w:p w14:paraId="584B32D5" w14:textId="77777777" w:rsidR="007A4176" w:rsidRPr="00F87CB6" w:rsidRDefault="007A4176" w:rsidP="007A4176">
      <w:pPr>
        <w:spacing w:after="0" w:line="240" w:lineRule="auto"/>
        <w:jc w:val="both"/>
        <w:rPr>
          <w:rFonts w:ascii="Arial" w:eastAsia="Times New Roman" w:hAnsi="Arial" w:cs="Arial"/>
          <w:b/>
          <w:bCs/>
          <w:color w:val="000000"/>
          <w:szCs w:val="24"/>
          <w:lang w:val="es-ES_tradnl" w:eastAsia="es-ES_tradnl"/>
        </w:rPr>
      </w:pPr>
      <w:r w:rsidRPr="00F87CB6">
        <w:rPr>
          <w:rFonts w:ascii="Arial" w:eastAsia="Times New Roman" w:hAnsi="Arial" w:cs="Arial"/>
          <w:b/>
          <w:bCs/>
          <w:color w:val="000000"/>
          <w:szCs w:val="24"/>
          <w:lang w:val="es-ES_tradnl" w:eastAsia="es-ES_tradnl"/>
        </w:rPr>
        <w:t xml:space="preserve">DIRECTIVA PRESIDENCIAL No. 08 DE 2022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Medidas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Finalidad </w:t>
      </w:r>
      <w:r w:rsidRPr="00F87CB6">
        <w:rPr>
          <w:rFonts w:ascii="Arial" w:eastAsia="Calibri" w:hAnsi="Arial" w:cs="Arial"/>
          <w:b/>
          <w:color w:val="000000"/>
          <w:szCs w:val="24"/>
          <w:lang w:val="es-ES_tradnl" w:eastAsia="es-ES_tradnl"/>
        </w:rPr>
        <w:t>– Destinatarias – Rama Ejecutiva</w:t>
      </w:r>
      <w:r w:rsidRPr="00F87CB6">
        <w:rPr>
          <w:rFonts w:ascii="Arial" w:eastAsia="Times New Roman" w:hAnsi="Arial" w:cs="Arial"/>
          <w:b/>
          <w:bCs/>
          <w:color w:val="000000"/>
          <w:szCs w:val="24"/>
          <w:lang w:val="es-ES_tradnl" w:eastAsia="es-ES_tradnl"/>
        </w:rPr>
        <w:t xml:space="preserve"> </w:t>
      </w:r>
      <w:r w:rsidRPr="00F87CB6">
        <w:rPr>
          <w:rFonts w:ascii="Arial" w:eastAsia="Calibri" w:hAnsi="Arial" w:cs="Arial"/>
          <w:b/>
          <w:color w:val="000000"/>
          <w:szCs w:val="24"/>
          <w:lang w:val="es-ES_tradnl" w:eastAsia="es-ES_tradnl"/>
        </w:rPr>
        <w:t>– Orden nacional</w:t>
      </w:r>
    </w:p>
    <w:p w14:paraId="57EA0A6A"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p>
    <w:p w14:paraId="489E7A12"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 Esto significa que la Directiva no rige para las entidades estatales que pertenecen al orden o nivel territorial, ni para los órganos de otras ramas del poder público distintas a la Rama Ejecutiva.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w:t>
      </w:r>
    </w:p>
    <w:p w14:paraId="02BDDE28"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p>
    <w:p w14:paraId="4900614C"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En cuanto a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2EA1865E"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p>
    <w:p w14:paraId="05AC81E5"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 xml:space="preserve">La Directiva Presidencial No. 08 de 2022 establece, pues, varias medidas para lograr la finalidad señalada anteriormente. En concreto, dentro de las medidas previstas para la contratación estatal, cabe destacar la fijación de pautas para: la racionalización de los contratos de estudios, la celebración de contratos interadministrativos, la exigencia de pactar comités fiduciarios en los patrimonios autónomos que manejen recursos públicos, la obligación de incluir conflictos de intereses en los pliegos de condiciones para los </w:t>
      </w:r>
      <w:r w:rsidRPr="00F87CB6">
        <w:rPr>
          <w:rFonts w:ascii="Arial" w:eastAsia="Times New Roman" w:hAnsi="Arial" w:cs="Arial"/>
          <w:color w:val="000000"/>
          <w:sz w:val="20"/>
          <w:szCs w:val="20"/>
          <w:lang w:val="es-ES_tradnl" w:eastAsia="es-ES_tradnl"/>
        </w:rPr>
        <w:lastRenderedPageBreak/>
        <w:t>concursos de méritos para la selección de interventores, la utilización del SECOP, la revisión de los mecanismos de adquisición consolidada de bienes y servicios y del esquema de los acuerdos marco de precios, evitar la afectación de la competencia en los procesos contractuales, la instrucción dirigida a la Agencia Nacional de Contratación Pública – Colombia Compra Eficiente para que publique informes mensuales sobre el uso del SECOP II y la liquidación oportuna de los contratos estatales.</w:t>
      </w:r>
    </w:p>
    <w:p w14:paraId="45FFD514" w14:textId="77777777" w:rsidR="007A4176" w:rsidRPr="00F87CB6" w:rsidRDefault="007A4176" w:rsidP="007A4176">
      <w:pPr>
        <w:spacing w:after="0" w:line="276" w:lineRule="auto"/>
        <w:jc w:val="both"/>
        <w:rPr>
          <w:rFonts w:ascii="Arial" w:eastAsia="Calibri" w:hAnsi="Arial" w:cs="Arial"/>
          <w:b/>
          <w:bCs/>
          <w:sz w:val="20"/>
          <w:szCs w:val="20"/>
          <w:lang w:val="es-ES_tradnl" w:eastAsia="es-ES_tradnl"/>
        </w:rPr>
      </w:pPr>
    </w:p>
    <w:p w14:paraId="029E4486" w14:textId="77777777" w:rsidR="007A4176" w:rsidRPr="00F87CB6" w:rsidRDefault="007A4176" w:rsidP="007A4176">
      <w:pPr>
        <w:spacing w:after="0" w:line="240" w:lineRule="auto"/>
        <w:jc w:val="both"/>
        <w:rPr>
          <w:rFonts w:ascii="Arial" w:eastAsia="Times New Roman" w:hAnsi="Arial" w:cs="Arial"/>
          <w:b/>
          <w:bCs/>
          <w:color w:val="000000"/>
          <w:szCs w:val="24"/>
          <w:lang w:val="es-ES_tradnl" w:eastAsia="es-ES_tradnl"/>
        </w:rPr>
      </w:pPr>
      <w:r w:rsidRPr="00F87CB6">
        <w:rPr>
          <w:rFonts w:ascii="Arial" w:eastAsia="Times New Roman" w:hAnsi="Arial" w:cs="Arial"/>
          <w:b/>
          <w:bCs/>
          <w:color w:val="000000"/>
          <w:szCs w:val="24"/>
          <w:lang w:val="es-ES_tradnl" w:eastAsia="es-ES_tradnl"/>
        </w:rPr>
        <w:t xml:space="preserve">DIRECTIVA PRESIDENCIAL No. 08 DE 2022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Contratos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Prestación de servicios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Apoyo a la Gestión</w:t>
      </w:r>
    </w:p>
    <w:p w14:paraId="0CB77D82" w14:textId="77777777" w:rsidR="007A4176" w:rsidRPr="00F87CB6" w:rsidRDefault="007A4176" w:rsidP="007A4176">
      <w:pPr>
        <w:spacing w:after="0" w:line="276" w:lineRule="auto"/>
        <w:jc w:val="both"/>
        <w:rPr>
          <w:rFonts w:ascii="Arial" w:eastAsia="Calibri" w:hAnsi="Arial" w:cs="Arial"/>
          <w:b/>
          <w:bCs/>
          <w:sz w:val="20"/>
          <w:szCs w:val="20"/>
          <w:lang w:val="es-ES_tradnl" w:eastAsia="es-ES_tradnl"/>
        </w:rPr>
      </w:pPr>
    </w:p>
    <w:p w14:paraId="765699E0"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 Las medidas establecidas rigen para la celebración de «contratos de prestación de servicios de apoyo a la gestión». El sentido normativo de la expresión entre comillas debe extraerse aplicando el criterio de «interpretación restrictiva»,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735A194E"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p>
    <w:p w14:paraId="6289A877"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5610C30F"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p>
    <w:p w14:paraId="5C17EA84"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1C8CC284"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p>
    <w:p w14:paraId="5F0EFF65"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5D689D6E" w14:textId="77777777" w:rsidR="007A4176" w:rsidRPr="00F87CB6" w:rsidRDefault="007A4176" w:rsidP="007A4176">
      <w:pPr>
        <w:spacing w:after="0" w:line="276" w:lineRule="auto"/>
        <w:jc w:val="both"/>
        <w:rPr>
          <w:rFonts w:ascii="Arial" w:eastAsia="Calibri" w:hAnsi="Arial" w:cs="Arial"/>
          <w:color w:val="000000"/>
          <w:sz w:val="20"/>
          <w:szCs w:val="20"/>
          <w:lang w:val="es-ES_tradnl" w:eastAsia="es-ES_tradnl"/>
        </w:rPr>
      </w:pPr>
    </w:p>
    <w:p w14:paraId="116C79B4" w14:textId="77777777" w:rsidR="007A4176" w:rsidRPr="00F87CB6" w:rsidRDefault="007A4176" w:rsidP="007A4176">
      <w:pPr>
        <w:spacing w:after="0" w:line="240" w:lineRule="auto"/>
        <w:jc w:val="both"/>
        <w:rPr>
          <w:rFonts w:ascii="Arial" w:eastAsia="Times New Roman" w:hAnsi="Arial" w:cs="Arial"/>
          <w:b/>
          <w:bCs/>
          <w:color w:val="000000"/>
          <w:szCs w:val="24"/>
          <w:lang w:val="es-ES_tradnl" w:eastAsia="es-ES_tradnl"/>
        </w:rPr>
      </w:pPr>
      <w:r w:rsidRPr="00F87CB6">
        <w:rPr>
          <w:rFonts w:ascii="Arial" w:eastAsia="Times New Roman" w:hAnsi="Arial" w:cs="Arial"/>
          <w:b/>
          <w:bCs/>
          <w:color w:val="000000"/>
          <w:szCs w:val="24"/>
          <w:lang w:val="es-ES_tradnl" w:eastAsia="es-ES_tradnl"/>
        </w:rPr>
        <w:t xml:space="preserve">DIRECTIVA PRESIDENCIAL No. 08 DE 2022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Prohibición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Prestación de servicios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Apoyo a la Gestión </w:t>
      </w:r>
      <w:r w:rsidRPr="00F87CB6">
        <w:rPr>
          <w:rFonts w:ascii="Arial" w:eastAsia="Calibri" w:hAnsi="Arial" w:cs="Arial"/>
          <w:b/>
          <w:color w:val="000000"/>
          <w:szCs w:val="24"/>
          <w:lang w:val="es-ES_tradnl" w:eastAsia="es-ES_tradnl"/>
        </w:rPr>
        <w:t>– Contratos previos</w:t>
      </w:r>
    </w:p>
    <w:p w14:paraId="0985A1B8" w14:textId="77777777" w:rsidR="007A4176" w:rsidRPr="00F87CB6" w:rsidRDefault="007A4176" w:rsidP="007A4176">
      <w:pPr>
        <w:spacing w:after="0" w:line="276" w:lineRule="auto"/>
        <w:jc w:val="both"/>
        <w:rPr>
          <w:rFonts w:ascii="Arial" w:eastAsia="Calibri" w:hAnsi="Arial" w:cs="Arial"/>
          <w:color w:val="000000"/>
          <w:sz w:val="20"/>
          <w:szCs w:val="20"/>
          <w:lang w:val="es-ES_tradnl" w:eastAsia="es-ES_tradnl"/>
        </w:rPr>
      </w:pPr>
    </w:p>
    <w:p w14:paraId="6699D394"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 Finalmente, se incluye la siguiente prohibición: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3656B666"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p>
    <w:p w14:paraId="37A03488"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 xml:space="preserve">Esta restricción se transcribe de nuevo, en su tenor literal, porque, al respecto, en la consulta se pregunta si la prohibición se aplica aun cuando el contrato de prestación de servicios suscrito previamente haya sido con una entidad pública que no pertenezca a la Rama Ejecutiva del orden nacional. En criterio de esta Agencia, aunque las destinatarias de la Directiva sean, como se ha explicado, las entidades públicas de la </w:t>
      </w:r>
      <w:r w:rsidRPr="00F87CB6">
        <w:rPr>
          <w:rFonts w:ascii="Arial" w:eastAsia="Times New Roman" w:hAnsi="Arial" w:cs="Arial"/>
          <w:color w:val="000000"/>
          <w:sz w:val="20"/>
          <w:szCs w:val="20"/>
          <w:lang w:val="es-ES_tradnl" w:eastAsia="es-ES_tradnl"/>
        </w:rPr>
        <w:lastRenderedPageBreak/>
        <w:t>Rama Ejecutiva del orden nacional,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pueden suscribirlos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cuando la norma no distingue no le es dable al intérprete hacerlo.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p>
    <w:p w14:paraId="180C1834" w14:textId="77777777" w:rsidR="007A4176" w:rsidRPr="00F87CB6" w:rsidRDefault="007A4176" w:rsidP="007A4176">
      <w:pPr>
        <w:spacing w:after="0" w:line="240" w:lineRule="auto"/>
        <w:jc w:val="both"/>
        <w:rPr>
          <w:rFonts w:ascii="Arial" w:eastAsia="Times New Roman" w:hAnsi="Arial" w:cs="Arial"/>
          <w:color w:val="000000"/>
          <w:sz w:val="20"/>
          <w:szCs w:val="20"/>
          <w:lang w:val="es-ES_tradnl" w:eastAsia="es-ES_tradnl"/>
        </w:rPr>
      </w:pPr>
    </w:p>
    <w:p w14:paraId="230951B8" w14:textId="77777777" w:rsidR="007A4176" w:rsidRPr="00F87CB6" w:rsidRDefault="007A4176" w:rsidP="007A4176">
      <w:pPr>
        <w:spacing w:after="0" w:line="276" w:lineRule="auto"/>
        <w:jc w:val="both"/>
        <w:rPr>
          <w:rFonts w:ascii="Arial" w:eastAsia="Calibri" w:hAnsi="Arial" w:cs="Arial"/>
          <w:color w:val="000000"/>
          <w:sz w:val="20"/>
          <w:szCs w:val="20"/>
          <w:lang w:val="es-ES_tradnl" w:eastAsia="es-ES_tradnl"/>
        </w:rPr>
      </w:pPr>
    </w:p>
    <w:p w14:paraId="3790B69E" w14:textId="77777777" w:rsidR="007A4176" w:rsidRPr="00F87CB6" w:rsidRDefault="007A4176" w:rsidP="007A4176">
      <w:pPr>
        <w:spacing w:after="0" w:line="276" w:lineRule="auto"/>
        <w:jc w:val="both"/>
        <w:rPr>
          <w:rFonts w:ascii="Arial" w:eastAsia="Calibri" w:hAnsi="Arial" w:cs="Arial"/>
          <w:color w:val="000000"/>
          <w:sz w:val="20"/>
          <w:szCs w:val="20"/>
          <w:lang w:val="es-ES_tradnl" w:eastAsia="es-ES_tradnl"/>
        </w:rPr>
      </w:pPr>
    </w:p>
    <w:p w14:paraId="45BA9CC5" w14:textId="77777777" w:rsidR="007A4176" w:rsidRPr="00F87CB6" w:rsidRDefault="007A4176" w:rsidP="007A4176">
      <w:pPr>
        <w:spacing w:after="0" w:line="276" w:lineRule="auto"/>
        <w:jc w:val="both"/>
        <w:rPr>
          <w:rFonts w:ascii="Arial" w:eastAsia="Calibri" w:hAnsi="Arial" w:cs="Arial"/>
          <w:color w:val="000000"/>
          <w:sz w:val="20"/>
          <w:szCs w:val="20"/>
          <w:lang w:val="es-ES_tradnl" w:eastAsia="es-ES_tradnl"/>
        </w:rPr>
      </w:pPr>
    </w:p>
    <w:p w14:paraId="231D1573"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2DCC9520"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1C81B6E2"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3751AFCE"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53D2320C"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41D6E9C0"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6CD23A19"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580BB8A2"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54B6F9E3"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0A9D6DE8"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548E1B19"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6AB2624D"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5872041B"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29145B5F"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0D022401"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262C01B2"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0149E083"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0A36A2B6"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6D0CDE88" w14:textId="77777777" w:rsidR="007A4176" w:rsidRPr="00F87CB6" w:rsidRDefault="007A4176" w:rsidP="007A4176">
      <w:pPr>
        <w:spacing w:after="0" w:line="276" w:lineRule="auto"/>
        <w:jc w:val="both"/>
        <w:rPr>
          <w:rFonts w:ascii="Arial" w:eastAsia="Times New Roman" w:hAnsi="Arial" w:cs="Arial"/>
          <w:noProof/>
          <w:color w:val="000000"/>
          <w:szCs w:val="24"/>
          <w:lang w:val="es-ES_tradnl" w:eastAsia="es-ES_tradnl"/>
        </w:rPr>
      </w:pPr>
    </w:p>
    <w:p w14:paraId="0D4C8CA7" w14:textId="77777777" w:rsidR="00DB68AA" w:rsidRPr="00F87CB6" w:rsidRDefault="00DB68AA" w:rsidP="007A4176">
      <w:pPr>
        <w:spacing w:after="0" w:line="276" w:lineRule="auto"/>
        <w:jc w:val="both"/>
        <w:rPr>
          <w:rFonts w:ascii="Arial" w:eastAsia="Times New Roman" w:hAnsi="Arial" w:cs="Arial"/>
          <w:noProof/>
          <w:color w:val="000000"/>
          <w:szCs w:val="24"/>
          <w:lang w:val="es-ES_tradnl" w:eastAsia="es-ES_tradnl"/>
        </w:rPr>
      </w:pPr>
    </w:p>
    <w:p w14:paraId="7B7C883A" w14:textId="77777777" w:rsidR="00DB68AA" w:rsidRPr="00F87CB6" w:rsidRDefault="00DB68AA" w:rsidP="007A4176">
      <w:pPr>
        <w:spacing w:after="0" w:line="276" w:lineRule="auto"/>
        <w:jc w:val="both"/>
        <w:rPr>
          <w:rFonts w:ascii="Arial" w:eastAsia="Times New Roman" w:hAnsi="Arial" w:cs="Arial"/>
          <w:noProof/>
          <w:color w:val="000000"/>
          <w:szCs w:val="24"/>
          <w:lang w:val="es-ES_tradnl" w:eastAsia="es-ES_tradnl"/>
        </w:rPr>
      </w:pPr>
    </w:p>
    <w:p w14:paraId="092DD001" w14:textId="77777777" w:rsidR="00DB68AA" w:rsidRPr="00F87CB6" w:rsidRDefault="00DB68AA" w:rsidP="007A4176">
      <w:pPr>
        <w:spacing w:after="0" w:line="276" w:lineRule="auto"/>
        <w:jc w:val="both"/>
        <w:rPr>
          <w:rFonts w:ascii="Arial" w:eastAsia="Times New Roman" w:hAnsi="Arial" w:cs="Arial"/>
          <w:noProof/>
          <w:color w:val="000000"/>
          <w:szCs w:val="24"/>
          <w:lang w:val="es-ES_tradnl" w:eastAsia="es-ES_tradnl"/>
        </w:rPr>
      </w:pPr>
    </w:p>
    <w:p w14:paraId="10F7935D" w14:textId="77777777" w:rsidR="00DB68AA" w:rsidRPr="00F87CB6" w:rsidRDefault="00DB68AA" w:rsidP="007A4176">
      <w:pPr>
        <w:spacing w:after="0" w:line="276" w:lineRule="auto"/>
        <w:jc w:val="both"/>
        <w:rPr>
          <w:rFonts w:ascii="Arial" w:eastAsia="Times New Roman" w:hAnsi="Arial" w:cs="Arial"/>
          <w:noProof/>
          <w:color w:val="000000"/>
          <w:szCs w:val="24"/>
          <w:lang w:val="es-ES_tradnl" w:eastAsia="es-ES_tradnl"/>
        </w:rPr>
      </w:pPr>
    </w:p>
    <w:p w14:paraId="301BAFCA" w14:textId="77777777" w:rsidR="00DB68AA" w:rsidRPr="00F87CB6" w:rsidRDefault="00DB68AA" w:rsidP="007A4176">
      <w:pPr>
        <w:spacing w:after="0" w:line="276" w:lineRule="auto"/>
        <w:jc w:val="both"/>
        <w:rPr>
          <w:rFonts w:ascii="Arial" w:eastAsia="Times New Roman" w:hAnsi="Arial" w:cs="Arial"/>
          <w:noProof/>
          <w:color w:val="000000"/>
          <w:szCs w:val="24"/>
          <w:lang w:val="es-ES_tradnl" w:eastAsia="es-ES_tradnl"/>
        </w:rPr>
      </w:pPr>
    </w:p>
    <w:p w14:paraId="22863D37" w14:textId="77777777" w:rsidR="00DB68AA" w:rsidRPr="00F87CB6" w:rsidRDefault="00DB68AA" w:rsidP="007A4176">
      <w:pPr>
        <w:spacing w:after="0" w:line="276" w:lineRule="auto"/>
        <w:jc w:val="both"/>
        <w:rPr>
          <w:rFonts w:ascii="Arial" w:eastAsia="Times New Roman" w:hAnsi="Arial" w:cs="Arial"/>
          <w:noProof/>
          <w:color w:val="000000"/>
          <w:szCs w:val="24"/>
          <w:lang w:val="es-ES_tradnl" w:eastAsia="es-ES_tradnl"/>
        </w:rPr>
      </w:pPr>
    </w:p>
    <w:p w14:paraId="6A6E5276" w14:textId="78FB1F78" w:rsidR="007A4176" w:rsidRDefault="007A4176" w:rsidP="007A4176">
      <w:pPr>
        <w:spacing w:after="0" w:line="240" w:lineRule="auto"/>
        <w:jc w:val="both"/>
        <w:rPr>
          <w:rFonts w:ascii="Arial" w:eastAsia="Times New Roman" w:hAnsi="Arial" w:cs="Arial"/>
          <w:b/>
          <w:color w:val="000000"/>
          <w:szCs w:val="24"/>
          <w:lang w:val="es-ES_tradnl" w:eastAsia="es-ES_tradnl"/>
        </w:rPr>
      </w:pPr>
    </w:p>
    <w:p w14:paraId="1C2D0568" w14:textId="5A4C8668" w:rsidR="00F75C8A" w:rsidRPr="003E547B" w:rsidRDefault="00F75C8A" w:rsidP="00F75C8A">
      <w:pPr>
        <w:spacing w:before="100" w:beforeAutospacing="1" w:after="100" w:afterAutospacing="1" w:line="240" w:lineRule="auto"/>
        <w:rPr>
          <w:rFonts w:ascii="Arial" w:eastAsia="Times New Roman" w:hAnsi="Arial" w:cs="Arial"/>
          <w:color w:val="1E1E1C"/>
          <w:lang w:eastAsia="es-MX"/>
        </w:rPr>
      </w:pPr>
      <w:r w:rsidRPr="00F75C8A">
        <w:rPr>
          <w:rFonts w:ascii="Arial" w:eastAsia="Times New Roman" w:hAnsi="Arial" w:cs="Arial"/>
          <w:lang w:eastAsia="es-MX"/>
        </w:rPr>
        <w:t xml:space="preserve">Bogotá D.C., </w:t>
      </w:r>
      <w:r w:rsidRPr="00F75C8A">
        <w:rPr>
          <w:rFonts w:ascii="Arial" w:eastAsia="Times New Roman" w:hAnsi="Arial" w:cs="Arial"/>
          <w:color w:val="1E1E1C"/>
          <w:lang w:eastAsia="es-MX"/>
        </w:rPr>
        <w:t xml:space="preserve">28 de Noviembre de 2022 </w:t>
      </w:r>
      <w:r w:rsidR="003E547B" w:rsidRPr="003E547B">
        <w:rPr>
          <w:rFonts w:ascii="Arial" w:eastAsia="Times New Roman" w:hAnsi="Arial" w:cs="Arial"/>
          <w:color w:val="1E1E1C"/>
          <w:lang w:eastAsia="es-MX"/>
        </w:rPr>
        <w:tab/>
      </w:r>
    </w:p>
    <w:p w14:paraId="54F349A9" w14:textId="60FC1106" w:rsidR="00F75C8A" w:rsidRDefault="003E547B" w:rsidP="003E547B">
      <w:pPr>
        <w:spacing w:after="0" w:line="240" w:lineRule="auto"/>
        <w:jc w:val="right"/>
        <w:rPr>
          <w:rFonts w:ascii="Times New Roman" w:eastAsia="Times New Roman" w:hAnsi="Times New Roman" w:cs="Times New Roman"/>
          <w:sz w:val="24"/>
          <w:szCs w:val="24"/>
          <w:lang w:eastAsia="es-MX"/>
        </w:rPr>
      </w:pPr>
      <w:r w:rsidRPr="003E547B">
        <w:rPr>
          <w:rFonts w:ascii="Times New Roman" w:eastAsia="Times New Roman" w:hAnsi="Times New Roman" w:cs="Times New Roman"/>
          <w:sz w:val="24"/>
          <w:szCs w:val="24"/>
          <w:lang w:eastAsia="es-MX"/>
        </w:rPr>
        <w:fldChar w:fldCharType="begin"/>
      </w:r>
      <w:r w:rsidRPr="003E547B">
        <w:rPr>
          <w:rFonts w:ascii="Times New Roman" w:eastAsia="Times New Roman" w:hAnsi="Times New Roman" w:cs="Times New Roman"/>
          <w:sz w:val="24"/>
          <w:szCs w:val="24"/>
          <w:lang w:eastAsia="es-MX"/>
        </w:rPr>
        <w:instrText xml:space="preserve"> INCLUDEPICTURE "/Users/cristiandiaz/Library/Group Containers/UBF8T346G9.ms/WebArchiveCopyPasteTempFiles/com.microsoft.Word/page1image31987184" \* MERGEFORMATINET </w:instrText>
      </w:r>
      <w:r w:rsidRPr="003E547B">
        <w:rPr>
          <w:rFonts w:ascii="Times New Roman" w:eastAsia="Times New Roman" w:hAnsi="Times New Roman" w:cs="Times New Roman"/>
          <w:sz w:val="24"/>
          <w:szCs w:val="24"/>
          <w:lang w:eastAsia="es-MX"/>
        </w:rPr>
        <w:fldChar w:fldCharType="separate"/>
      </w:r>
      <w:r w:rsidRPr="003E547B">
        <w:rPr>
          <w:rFonts w:ascii="Times New Roman" w:eastAsia="Times New Roman" w:hAnsi="Times New Roman" w:cs="Times New Roman"/>
          <w:noProof/>
          <w:sz w:val="24"/>
          <w:szCs w:val="24"/>
          <w:lang w:eastAsia="es-MX"/>
        </w:rPr>
        <w:drawing>
          <wp:inline distT="0" distB="0" distL="0" distR="0" wp14:anchorId="0AEF2C5B" wp14:editId="2689E8D3">
            <wp:extent cx="2403475" cy="609600"/>
            <wp:effectExtent l="0" t="0" r="0" b="0"/>
            <wp:docPr id="3" name="Imagen 3" descr="page1image3198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319871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3475" cy="609600"/>
                    </a:xfrm>
                    <a:prstGeom prst="rect">
                      <a:avLst/>
                    </a:prstGeom>
                    <a:noFill/>
                    <a:ln>
                      <a:noFill/>
                    </a:ln>
                  </pic:spPr>
                </pic:pic>
              </a:graphicData>
            </a:graphic>
          </wp:inline>
        </w:drawing>
      </w:r>
      <w:r w:rsidRPr="003E547B">
        <w:rPr>
          <w:rFonts w:ascii="Times New Roman" w:eastAsia="Times New Roman" w:hAnsi="Times New Roman" w:cs="Times New Roman"/>
          <w:sz w:val="24"/>
          <w:szCs w:val="24"/>
          <w:lang w:eastAsia="es-MX"/>
        </w:rPr>
        <w:fldChar w:fldCharType="end"/>
      </w:r>
    </w:p>
    <w:p w14:paraId="41260153" w14:textId="77777777" w:rsidR="003E547B" w:rsidRPr="003E547B" w:rsidRDefault="003E547B" w:rsidP="003E547B">
      <w:pPr>
        <w:spacing w:after="0" w:line="240" w:lineRule="auto"/>
        <w:jc w:val="right"/>
        <w:rPr>
          <w:rFonts w:ascii="Times New Roman" w:eastAsia="Times New Roman" w:hAnsi="Times New Roman" w:cs="Times New Roman"/>
          <w:sz w:val="24"/>
          <w:szCs w:val="24"/>
          <w:lang w:eastAsia="es-MX"/>
        </w:rPr>
      </w:pPr>
    </w:p>
    <w:p w14:paraId="255E68D0" w14:textId="77777777" w:rsidR="007A4176" w:rsidRPr="00F87CB6" w:rsidRDefault="007A4176" w:rsidP="007A4176">
      <w:pPr>
        <w:spacing w:after="0" w:line="240" w:lineRule="auto"/>
        <w:jc w:val="both"/>
        <w:rPr>
          <w:rFonts w:ascii="Arial" w:eastAsia="Calibri" w:hAnsi="Arial" w:cs="Arial"/>
          <w:color w:val="000000"/>
          <w:szCs w:val="24"/>
          <w:lang w:val="es-ES_tradnl" w:eastAsia="es-ES_tradnl"/>
        </w:rPr>
      </w:pPr>
      <w:bookmarkStart w:id="1" w:name="_Hlk100051121"/>
      <w:r w:rsidRPr="00F87CB6">
        <w:rPr>
          <w:rFonts w:ascii="Arial" w:eastAsia="Calibri" w:hAnsi="Arial" w:cs="Arial"/>
          <w:color w:val="000000"/>
          <w:szCs w:val="24"/>
          <w:lang w:val="es-ES_tradnl" w:eastAsia="es-ES_tradnl"/>
        </w:rPr>
        <w:t>Señor</w:t>
      </w:r>
    </w:p>
    <w:p w14:paraId="31E7B547" w14:textId="77777777" w:rsidR="007A4176" w:rsidRPr="00F87CB6" w:rsidRDefault="007A4176" w:rsidP="007A4176">
      <w:pPr>
        <w:tabs>
          <w:tab w:val="center" w:pos="4394"/>
        </w:tabs>
        <w:spacing w:after="0" w:line="240" w:lineRule="auto"/>
        <w:jc w:val="both"/>
        <w:rPr>
          <w:rFonts w:ascii="Arial" w:eastAsia="Calibri" w:hAnsi="Arial" w:cs="Arial"/>
          <w:b/>
          <w:color w:val="000000"/>
          <w:szCs w:val="24"/>
          <w:lang w:val="es-ES_tradnl" w:eastAsia="es-ES_tradnl"/>
        </w:rPr>
      </w:pPr>
      <w:r w:rsidRPr="00F87CB6">
        <w:rPr>
          <w:rFonts w:ascii="Arial" w:eastAsia="Calibri" w:hAnsi="Arial" w:cs="Arial"/>
          <w:b/>
          <w:color w:val="000000"/>
          <w:szCs w:val="24"/>
          <w:lang w:val="es-ES_tradnl" w:eastAsia="es-ES_tradnl"/>
        </w:rPr>
        <w:t>José Ariel Cardona Giraldo</w:t>
      </w:r>
    </w:p>
    <w:p w14:paraId="212223BC" w14:textId="77777777" w:rsidR="007A4176" w:rsidRPr="00F87CB6" w:rsidRDefault="007A4176" w:rsidP="007A4176">
      <w:pPr>
        <w:spacing w:after="0" w:line="240" w:lineRule="auto"/>
        <w:rPr>
          <w:rFonts w:ascii="Arial" w:eastAsia="Calibri" w:hAnsi="Arial" w:cs="Arial"/>
          <w:b/>
          <w:bCs/>
          <w:color w:val="000000"/>
          <w:szCs w:val="24"/>
          <w:lang w:val="es-ES_tradnl" w:eastAsia="es-ES_tradnl"/>
        </w:rPr>
      </w:pPr>
      <w:r w:rsidRPr="00F87CB6">
        <w:rPr>
          <w:rFonts w:ascii="Arial" w:eastAsia="Calibri" w:hAnsi="Arial" w:cs="Arial"/>
          <w:bCs/>
          <w:color w:val="000000"/>
          <w:szCs w:val="24"/>
          <w:lang w:val="es-ES_tradnl" w:eastAsia="es-ES_tradnl"/>
        </w:rPr>
        <w:t>Ciudad</w:t>
      </w:r>
    </w:p>
    <w:p w14:paraId="35C1ACF4" w14:textId="77777777" w:rsidR="007A4176" w:rsidRPr="00F87CB6" w:rsidRDefault="007A4176" w:rsidP="007A4176">
      <w:pPr>
        <w:spacing w:after="0" w:line="240" w:lineRule="auto"/>
        <w:rPr>
          <w:rFonts w:ascii="Arial" w:eastAsia="Calibri" w:hAnsi="Arial" w:cs="Arial"/>
          <w:b/>
          <w:bCs/>
          <w:color w:val="000000"/>
          <w:szCs w:val="24"/>
          <w:lang w:val="es-ES_tradnl" w:eastAsia="es-ES_tradnl"/>
        </w:rPr>
      </w:pPr>
    </w:p>
    <w:p w14:paraId="6214D552" w14:textId="46F57994" w:rsidR="007A4176" w:rsidRPr="00F87CB6" w:rsidRDefault="007A4176" w:rsidP="007A4176">
      <w:pPr>
        <w:spacing w:after="0" w:line="240" w:lineRule="auto"/>
        <w:rPr>
          <w:rFonts w:ascii="Arial" w:eastAsia="Calibri" w:hAnsi="Arial" w:cs="Arial"/>
          <w:b/>
          <w:bCs/>
          <w:color w:val="000000"/>
          <w:szCs w:val="24"/>
          <w:lang w:val="es-ES_tradnl" w:eastAsia="es-ES_tradnl"/>
        </w:rPr>
      </w:pPr>
      <w:r w:rsidRPr="00F87CB6">
        <w:rPr>
          <w:rFonts w:ascii="Arial" w:eastAsia="Calibri" w:hAnsi="Arial" w:cs="Arial"/>
          <w:b/>
          <w:bCs/>
          <w:color w:val="000000"/>
          <w:szCs w:val="24"/>
          <w:lang w:val="es-ES_tradnl" w:eastAsia="es-ES_tradnl"/>
        </w:rPr>
        <w:t xml:space="preserve">                                            Concepto C ‒ </w:t>
      </w:r>
      <w:r w:rsidR="0019512D" w:rsidRPr="00F87CB6">
        <w:rPr>
          <w:rFonts w:ascii="Arial" w:eastAsia="Calibri" w:hAnsi="Arial" w:cs="Arial"/>
          <w:b/>
          <w:bCs/>
          <w:color w:val="000000"/>
          <w:szCs w:val="24"/>
          <w:lang w:val="es-ES_tradnl" w:eastAsia="es-ES_tradnl"/>
        </w:rPr>
        <w:t>734</w:t>
      </w:r>
      <w:r w:rsidRPr="00F87CB6">
        <w:rPr>
          <w:rFonts w:ascii="Arial" w:eastAsia="Calibri" w:hAnsi="Arial" w:cs="Arial"/>
          <w:b/>
          <w:bCs/>
          <w:color w:val="000000"/>
          <w:szCs w:val="24"/>
          <w:lang w:val="es-ES_tradnl" w:eastAsia="es-ES_tradnl"/>
        </w:rPr>
        <w:t xml:space="preserve"> de 2022</w:t>
      </w:r>
    </w:p>
    <w:p w14:paraId="54488BF8" w14:textId="77777777" w:rsidR="007A4176" w:rsidRPr="00F87CB6" w:rsidRDefault="007A4176" w:rsidP="007A4176">
      <w:pPr>
        <w:spacing w:after="0" w:line="240" w:lineRule="auto"/>
        <w:rPr>
          <w:rFonts w:ascii="Arial" w:eastAsia="Calibri" w:hAnsi="Arial" w:cs="Arial"/>
          <w:b/>
          <w:bCs/>
          <w:color w:val="000000"/>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A4176" w:rsidRPr="00F87CB6" w14:paraId="431F4EB1" w14:textId="77777777" w:rsidTr="00E22B0F">
        <w:trPr>
          <w:trHeight w:val="884"/>
        </w:trPr>
        <w:tc>
          <w:tcPr>
            <w:tcW w:w="2689" w:type="dxa"/>
          </w:tcPr>
          <w:p w14:paraId="7E2E997C" w14:textId="77777777" w:rsidR="007A4176" w:rsidRPr="00F87CB6" w:rsidRDefault="007A4176" w:rsidP="007A4176">
            <w:pPr>
              <w:jc w:val="both"/>
              <w:rPr>
                <w:rFonts w:ascii="Arial" w:eastAsia="Calibri" w:hAnsi="Arial" w:cs="Arial"/>
                <w:color w:val="000000"/>
                <w:szCs w:val="24"/>
                <w:lang w:val="es-ES_tradnl" w:eastAsia="es-ES_tradnl"/>
              </w:rPr>
            </w:pPr>
            <w:r w:rsidRPr="00F87CB6">
              <w:rPr>
                <w:rFonts w:ascii="Arial" w:eastAsia="Calibri" w:hAnsi="Arial" w:cs="Arial"/>
                <w:b/>
                <w:color w:val="000000"/>
                <w:szCs w:val="24"/>
                <w:lang w:val="es-ES_tradnl" w:eastAsia="es-ES_tradnl"/>
              </w:rPr>
              <w:t>Temas:</w:t>
            </w:r>
            <w:r w:rsidRPr="00F87CB6">
              <w:rPr>
                <w:rFonts w:ascii="Arial" w:eastAsia="Calibri" w:hAnsi="Arial" w:cs="Arial"/>
                <w:color w:val="000000"/>
                <w:szCs w:val="24"/>
                <w:lang w:val="es-ES_tradnl" w:eastAsia="es-ES_tradnl"/>
              </w:rPr>
              <w:t xml:space="preserve">                   </w:t>
            </w:r>
          </w:p>
        </w:tc>
        <w:tc>
          <w:tcPr>
            <w:tcW w:w="6237" w:type="dxa"/>
          </w:tcPr>
          <w:p w14:paraId="5CC31591" w14:textId="77777777" w:rsidR="007A4176" w:rsidRPr="00F87CB6" w:rsidRDefault="007A4176" w:rsidP="007A4176">
            <w:pPr>
              <w:jc w:val="both"/>
              <w:rPr>
                <w:rFonts w:ascii="Arial" w:eastAsia="Calibri" w:hAnsi="Arial" w:cs="Arial"/>
                <w:bCs/>
                <w:szCs w:val="24"/>
                <w:lang w:val="es-ES_tradnl" w:eastAsia="es-ES_tradnl"/>
              </w:rPr>
            </w:pPr>
            <w:r w:rsidRPr="00F87CB6">
              <w:rPr>
                <w:rFonts w:ascii="Arial" w:eastAsia="Calibri" w:hAnsi="Arial" w:cs="Arial"/>
                <w:color w:val="000000"/>
                <w:szCs w:val="24"/>
                <w:lang w:val="es-ES_tradnl" w:eastAsia="es-ES_tradnl"/>
              </w:rPr>
              <w:t>CONTRATO DE PRESTACIÓN DE SERVICIOS ― Concepto ― Requisitos y límites para su celebración / DIRECTIVA PRESIDENCIAL No. 08 DE 2022 – Medidas – Finalidad – Destinatarias – Rama Ejecutiva – Orden nacional / DIRECTIVA PRESIDENCIAL No. 08 DE 2022 – Contratos – Prestación de servicios – Apoyo a la Gestión / DIRECTIVA PRESIDENCIAL No. 08 DE 2022 – Prohibición – Prestación de servicios – Apoyo a la Gestión – Contratos previos.</w:t>
            </w:r>
          </w:p>
        </w:tc>
      </w:tr>
      <w:tr w:rsidR="007A4176" w:rsidRPr="00F87CB6" w14:paraId="278DAB4F" w14:textId="77777777" w:rsidTr="00E22B0F">
        <w:tc>
          <w:tcPr>
            <w:tcW w:w="2689" w:type="dxa"/>
          </w:tcPr>
          <w:p w14:paraId="231AAF2C" w14:textId="77777777" w:rsidR="007A4176" w:rsidRPr="00F87CB6" w:rsidRDefault="007A4176" w:rsidP="007A4176">
            <w:pPr>
              <w:spacing w:before="120"/>
              <w:jc w:val="both"/>
              <w:rPr>
                <w:rFonts w:ascii="Arial" w:eastAsia="Calibri" w:hAnsi="Arial" w:cs="Arial"/>
                <w:b/>
                <w:color w:val="000000"/>
                <w:szCs w:val="24"/>
                <w:lang w:val="es-ES_tradnl" w:eastAsia="es-ES_tradnl"/>
              </w:rPr>
            </w:pPr>
            <w:r w:rsidRPr="00F87CB6">
              <w:rPr>
                <w:rFonts w:ascii="Arial" w:eastAsia="Calibri" w:hAnsi="Arial" w:cs="Arial"/>
                <w:b/>
                <w:color w:val="000000"/>
                <w:szCs w:val="24"/>
                <w:lang w:val="es-ES_tradnl" w:eastAsia="es-ES_tradnl"/>
              </w:rPr>
              <w:t>Radicación:</w:t>
            </w:r>
            <w:r w:rsidRPr="00F87CB6">
              <w:rPr>
                <w:rFonts w:ascii="Arial" w:eastAsia="Calibri" w:hAnsi="Arial" w:cs="Arial"/>
                <w:color w:val="000000"/>
                <w:szCs w:val="24"/>
                <w:lang w:val="es-ES_tradnl" w:eastAsia="es-ES_tradnl"/>
              </w:rPr>
              <w:t xml:space="preserve">               </w:t>
            </w:r>
          </w:p>
        </w:tc>
        <w:tc>
          <w:tcPr>
            <w:tcW w:w="6237" w:type="dxa"/>
          </w:tcPr>
          <w:p w14:paraId="51BF00C7" w14:textId="77777777" w:rsidR="007A4176" w:rsidRPr="00F87CB6" w:rsidRDefault="007A4176" w:rsidP="007A4176">
            <w:pPr>
              <w:spacing w:before="120"/>
              <w:jc w:val="both"/>
              <w:rPr>
                <w:rFonts w:ascii="Arial" w:eastAsia="Calibri" w:hAnsi="Arial" w:cs="Arial"/>
                <w:color w:val="000000"/>
                <w:szCs w:val="24"/>
                <w:lang w:val="es-ES_tradnl" w:eastAsia="es-ES_tradnl"/>
              </w:rPr>
            </w:pPr>
            <w:r w:rsidRPr="00F87CB6">
              <w:rPr>
                <w:rFonts w:ascii="Arial" w:eastAsia="Calibri" w:hAnsi="Arial" w:cs="Arial"/>
                <w:color w:val="000000"/>
                <w:szCs w:val="24"/>
                <w:lang w:val="es-ES_tradnl" w:eastAsia="es-ES_tradnl"/>
              </w:rPr>
              <w:t>Respuesta a consulta P20220922009525</w:t>
            </w:r>
          </w:p>
        </w:tc>
      </w:tr>
    </w:tbl>
    <w:p w14:paraId="00F1C773" w14:textId="77777777" w:rsidR="007A4176" w:rsidRPr="00F87CB6" w:rsidRDefault="007A4176" w:rsidP="007A4176">
      <w:pPr>
        <w:spacing w:after="0" w:line="240" w:lineRule="auto"/>
        <w:jc w:val="both"/>
        <w:rPr>
          <w:rFonts w:ascii="Arial" w:eastAsia="Calibri" w:hAnsi="Arial" w:cs="Arial"/>
          <w:color w:val="000000"/>
          <w:szCs w:val="24"/>
          <w:lang w:val="es-ES_tradnl" w:eastAsia="es-ES_tradnl"/>
        </w:rPr>
      </w:pPr>
    </w:p>
    <w:p w14:paraId="567D40C5" w14:textId="77777777" w:rsidR="007A4176" w:rsidRPr="00F87CB6" w:rsidRDefault="007A4176" w:rsidP="007A4176">
      <w:pPr>
        <w:spacing w:after="0" w:line="240" w:lineRule="auto"/>
        <w:jc w:val="both"/>
        <w:rPr>
          <w:rFonts w:ascii="Arial" w:eastAsia="Calibri" w:hAnsi="Arial" w:cs="Arial"/>
          <w:color w:val="000000"/>
          <w:szCs w:val="24"/>
          <w:lang w:val="es-ES_tradnl" w:eastAsia="es-ES_tradnl"/>
        </w:rPr>
      </w:pPr>
    </w:p>
    <w:p w14:paraId="1E2AB60A" w14:textId="77777777" w:rsidR="007A4176" w:rsidRPr="00F87CB6" w:rsidRDefault="007A4176" w:rsidP="007A4176">
      <w:pPr>
        <w:spacing w:after="0" w:line="240" w:lineRule="auto"/>
        <w:jc w:val="both"/>
        <w:rPr>
          <w:rFonts w:ascii="Arial" w:eastAsia="Calibri" w:hAnsi="Arial" w:cs="Arial"/>
          <w:color w:val="000000"/>
          <w:szCs w:val="24"/>
          <w:lang w:val="es-ES_tradnl" w:eastAsia="es-ES_tradnl"/>
        </w:rPr>
      </w:pPr>
      <w:r w:rsidRPr="00F87CB6">
        <w:rPr>
          <w:rFonts w:ascii="Arial" w:eastAsia="Calibri" w:hAnsi="Arial" w:cs="Arial"/>
          <w:color w:val="000000"/>
          <w:szCs w:val="24"/>
          <w:lang w:val="es-ES_tradnl" w:eastAsia="es-ES_tradnl"/>
        </w:rPr>
        <w:t xml:space="preserve">Estimado señor Cardona: </w:t>
      </w:r>
    </w:p>
    <w:p w14:paraId="67964EDC" w14:textId="77777777" w:rsidR="007A4176" w:rsidRPr="00F87CB6" w:rsidRDefault="007A4176" w:rsidP="007A4176">
      <w:pPr>
        <w:spacing w:after="0" w:line="240" w:lineRule="auto"/>
        <w:jc w:val="both"/>
        <w:rPr>
          <w:rFonts w:ascii="Arial" w:eastAsia="Calibri" w:hAnsi="Arial" w:cs="Arial"/>
          <w:color w:val="000000"/>
          <w:szCs w:val="24"/>
          <w:lang w:val="es-ES_tradnl" w:eastAsia="es-ES_tradnl"/>
        </w:rPr>
      </w:pPr>
    </w:p>
    <w:p w14:paraId="0C5C34BA" w14:textId="77777777" w:rsidR="007A4176" w:rsidRPr="00F87CB6" w:rsidRDefault="007A4176" w:rsidP="007A4176">
      <w:pPr>
        <w:spacing w:after="0" w:line="276" w:lineRule="auto"/>
        <w:jc w:val="both"/>
        <w:rPr>
          <w:rFonts w:ascii="Arial" w:eastAsia="Calibri" w:hAnsi="Arial" w:cs="Arial"/>
          <w:color w:val="000000"/>
          <w:szCs w:val="24"/>
          <w:lang w:val="es-ES_tradnl" w:eastAsia="es-ES_tradnl"/>
        </w:rPr>
      </w:pPr>
      <w:r w:rsidRPr="00F87CB6">
        <w:rPr>
          <w:rFonts w:ascii="Arial" w:eastAsia="Calibri" w:hAnsi="Arial" w:cs="Arial"/>
          <w:color w:val="000000"/>
          <w:szCs w:val="24"/>
          <w:lang w:val="es-ES_tradnl" w:eastAsia="es-ES_tradnl"/>
        </w:rPr>
        <w:t>En ejercicio de la competencia otorgada por el numeral 8 del artículo 11 y el numeral 5 del artículo 3 del Decreto Ley 4170 de 2011,</w:t>
      </w:r>
      <w:r w:rsidRPr="00A53BC5">
        <w:rPr>
          <w:rFonts w:ascii="Arial" w:eastAsia="Arial MT" w:hAnsi="Arial" w:cs="Arial"/>
          <w:szCs w:val="24"/>
          <w:lang w:val="es-ES_tradnl" w:eastAsia="es-ES_tradnl"/>
        </w:rPr>
        <w:t xml:space="preserve"> </w:t>
      </w:r>
      <w:r w:rsidRPr="00F87CB6">
        <w:rPr>
          <w:rFonts w:ascii="Arial" w:eastAsia="Calibri" w:hAnsi="Arial" w:cs="Arial"/>
          <w:color w:val="000000"/>
          <w:szCs w:val="24"/>
          <w:lang w:val="es-ES_tradnl" w:eastAsia="es-ES_tradnl"/>
        </w:rPr>
        <w:t>la Agencia Nacional de Contratación Pública – Colombia Compra Eficiente, responde su consulta remitida por competencia a esta entidad, por parte de la Secretaría Jurídica de la Presidencia de la República, el 22 de septiembre de 2022.</w:t>
      </w:r>
    </w:p>
    <w:p w14:paraId="485F7F23" w14:textId="77777777" w:rsidR="007A4176" w:rsidRPr="00F87CB6" w:rsidRDefault="007A4176" w:rsidP="007A4176">
      <w:pPr>
        <w:tabs>
          <w:tab w:val="left" w:pos="426"/>
        </w:tabs>
        <w:spacing w:after="0" w:line="276" w:lineRule="auto"/>
        <w:jc w:val="both"/>
        <w:rPr>
          <w:rFonts w:ascii="Arial" w:eastAsia="Calibri" w:hAnsi="Arial" w:cs="Arial"/>
          <w:color w:val="000000"/>
          <w:lang w:val="es-ES_tradnl"/>
        </w:rPr>
      </w:pPr>
    </w:p>
    <w:p w14:paraId="129D4B11" w14:textId="77777777" w:rsidR="007A4176" w:rsidRPr="00F87CB6" w:rsidRDefault="007A4176" w:rsidP="007A4176">
      <w:pPr>
        <w:numPr>
          <w:ilvl w:val="0"/>
          <w:numId w:val="6"/>
        </w:numPr>
        <w:tabs>
          <w:tab w:val="left" w:pos="284"/>
        </w:tabs>
        <w:spacing w:after="0" w:line="276" w:lineRule="auto"/>
        <w:ind w:left="0" w:firstLine="0"/>
        <w:contextualSpacing/>
        <w:jc w:val="both"/>
        <w:rPr>
          <w:rFonts w:ascii="Arial" w:eastAsia="Calibri" w:hAnsi="Arial" w:cs="Arial"/>
          <w:b/>
          <w:color w:val="000000"/>
          <w:lang w:val="es-ES_tradnl"/>
        </w:rPr>
      </w:pPr>
      <w:r w:rsidRPr="00F87CB6">
        <w:rPr>
          <w:rFonts w:ascii="Arial" w:eastAsia="Calibri" w:hAnsi="Arial" w:cs="Arial"/>
          <w:b/>
          <w:color w:val="000000"/>
          <w:lang w:val="es-ES_tradnl"/>
        </w:rPr>
        <w:t xml:space="preserve">Problemas planteados </w:t>
      </w:r>
    </w:p>
    <w:p w14:paraId="37558D7D" w14:textId="77777777" w:rsidR="007A4176" w:rsidRPr="00F87CB6" w:rsidRDefault="007A4176" w:rsidP="007A4176">
      <w:pPr>
        <w:tabs>
          <w:tab w:val="left" w:pos="426"/>
        </w:tabs>
        <w:spacing w:after="0" w:line="276" w:lineRule="auto"/>
        <w:jc w:val="both"/>
        <w:rPr>
          <w:rFonts w:ascii="Arial" w:eastAsia="Calibri" w:hAnsi="Arial" w:cs="Arial"/>
          <w:b/>
          <w:color w:val="000000"/>
          <w:lang w:val="es-ES_tradnl"/>
        </w:rPr>
      </w:pPr>
    </w:p>
    <w:p w14:paraId="6821C4BB" w14:textId="77777777" w:rsidR="007A4176" w:rsidRPr="00F87CB6" w:rsidRDefault="007A4176" w:rsidP="007A4176">
      <w:pPr>
        <w:tabs>
          <w:tab w:val="left" w:pos="426"/>
        </w:tabs>
        <w:spacing w:after="0" w:line="276" w:lineRule="auto"/>
        <w:jc w:val="both"/>
        <w:rPr>
          <w:rFonts w:ascii="Arial" w:eastAsia="Calibri" w:hAnsi="Arial" w:cs="Arial"/>
          <w:color w:val="000000"/>
          <w:lang w:val="es-ES_tradnl"/>
        </w:rPr>
      </w:pPr>
      <w:r w:rsidRPr="00F87CB6">
        <w:rPr>
          <w:rFonts w:ascii="Arial" w:eastAsia="Calibri" w:hAnsi="Arial" w:cs="Arial"/>
          <w:color w:val="000000"/>
          <w:lang w:val="es-ES_tradnl"/>
        </w:rPr>
        <w:t xml:space="preserve">Usted realiza la siguiente consulta, relacionada con la Directiva Presidencial No. 08 de 2022: </w:t>
      </w:r>
    </w:p>
    <w:p w14:paraId="72852F58" w14:textId="77777777" w:rsidR="007A4176" w:rsidRPr="00F87CB6" w:rsidRDefault="007A4176" w:rsidP="007A4176">
      <w:pPr>
        <w:tabs>
          <w:tab w:val="left" w:pos="426"/>
        </w:tabs>
        <w:spacing w:after="0" w:line="276" w:lineRule="auto"/>
        <w:jc w:val="both"/>
        <w:rPr>
          <w:rFonts w:ascii="Arial" w:eastAsia="Calibri" w:hAnsi="Arial" w:cs="Arial"/>
          <w:color w:val="000000"/>
          <w:lang w:val="es-ES_tradnl"/>
        </w:rPr>
      </w:pPr>
    </w:p>
    <w:p w14:paraId="7A763502"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«1) La Directiva referida en su título establece que la misma se encuentra dirigida a las: "ENTIDADES DE LA RAMA EJECUTIVA DEL ORDEN NACIONAL", y no hace en su contenido distinción alguna respecto a las Entidades Públicas del Orden Territorial o sus entidades descentralizadas o adscritas.</w:t>
      </w:r>
    </w:p>
    <w:p w14:paraId="23DC7940"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5C2458E6"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»1.1. Conforme a lo anterior, se solicita se indique si tal directiva también se debe aplicar en las Entidades Públicas del Orden Territorial y sus Entidades </w:t>
      </w:r>
      <w:r w:rsidRPr="00F87CB6">
        <w:rPr>
          <w:rFonts w:ascii="Arial" w:eastAsia="Calibri" w:hAnsi="Arial" w:cs="Arial"/>
          <w:color w:val="000000"/>
          <w:sz w:val="21"/>
          <w:szCs w:val="21"/>
          <w:lang w:val="es-ES_tradnl"/>
        </w:rPr>
        <w:lastRenderedPageBreak/>
        <w:t>descentralizadas, a pesar de que éstas tienen autonomía administrativa y presupuestal.</w:t>
      </w:r>
    </w:p>
    <w:p w14:paraId="797368C9"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»2) En el contenido de la Directiva, específicamente el numeral 1.1), se hace referencia a Contratos de Prestación de Servicios de Apoyo a la Gestión, y luego indica sobre aquellos que requieran conocimientos especializados.</w:t>
      </w:r>
    </w:p>
    <w:p w14:paraId="5B87E32D"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07230E71"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»2.1. Considerando que los Contratos de Prestación de Servicios (CPS) se clasifican en: </w:t>
      </w:r>
      <w:r w:rsidRPr="00F87CB6">
        <w:rPr>
          <w:rFonts w:ascii="Arial" w:eastAsia="Calibri" w:hAnsi="Arial" w:cs="Arial"/>
          <w:i/>
          <w:iCs/>
          <w:color w:val="000000"/>
          <w:sz w:val="21"/>
          <w:szCs w:val="21"/>
          <w:lang w:val="es-ES_tradnl"/>
        </w:rPr>
        <w:t>*Profesionales, *Apoyo a la Gestión y *ejecución de trabajos artísticos</w:t>
      </w:r>
      <w:r w:rsidRPr="00F87CB6">
        <w:rPr>
          <w:rFonts w:ascii="Arial" w:eastAsia="Calibri" w:hAnsi="Arial" w:cs="Arial"/>
          <w:color w:val="000000"/>
          <w:sz w:val="21"/>
          <w:szCs w:val="21"/>
          <w:lang w:val="es-ES_tradnl"/>
        </w:rPr>
        <w:t>, se solicita se indique si la Directiva Presidencial aplica para la celebración de todos los tipos de CPS o únicamente para los de: Apoyo a /a Gestión, atendiendo que son estos últimos los más propensos a convertirse en un Contrato Realidad por la permanencia que se requiere en la Entidad por parte del contratista.</w:t>
      </w:r>
    </w:p>
    <w:p w14:paraId="66EDB767"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48A1C6A8"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»3) Cuando se indica en el numeral 1.1) de la Directiva: </w:t>
      </w:r>
      <w:r w:rsidRPr="00F87CB6">
        <w:rPr>
          <w:rFonts w:ascii="Arial" w:eastAsia="Calibri" w:hAnsi="Arial" w:cs="Arial"/>
          <w:i/>
          <w:iCs/>
          <w:color w:val="000000"/>
          <w:sz w:val="21"/>
          <w:szCs w:val="21"/>
          <w:lang w:val="es-ES_tradnl"/>
        </w:rPr>
        <w:t>(…)</w:t>
      </w:r>
      <w:r w:rsidRPr="00F87CB6">
        <w:rPr>
          <w:rFonts w:ascii="Arial" w:eastAsia="Calibri" w:hAnsi="Arial" w:cs="Arial"/>
          <w:color w:val="000000"/>
          <w:sz w:val="21"/>
          <w:szCs w:val="21"/>
          <w:lang w:val="es-ES_tradnl"/>
        </w:rPr>
        <w:t xml:space="preserve"> </w:t>
      </w:r>
      <w:r w:rsidRPr="00F87CB6">
        <w:rPr>
          <w:rFonts w:ascii="Arial" w:eastAsia="Calibri" w:hAnsi="Arial" w:cs="Arial"/>
          <w:i/>
          <w:iCs/>
          <w:color w:val="000000"/>
          <w:sz w:val="21"/>
          <w:szCs w:val="21"/>
          <w:lang w:val="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w:t>
      </w:r>
      <w:r w:rsidRPr="00F87CB6">
        <w:rPr>
          <w:rFonts w:ascii="Arial" w:eastAsia="Calibri" w:hAnsi="Arial" w:cs="Arial"/>
          <w:color w:val="000000"/>
          <w:sz w:val="21"/>
          <w:szCs w:val="21"/>
          <w:lang w:val="es-ES_tradnl"/>
        </w:rPr>
        <w:t>.</w:t>
      </w:r>
    </w:p>
    <w:p w14:paraId="014EE584"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4AC79B32"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»3.1. Se sirvan aclarar si la prohibición allí contenida es aplicable aun tratándose de Entidades Públicas de diferentes ordenes o niveles (nacional, territorial) o incluso si la persona natural tiene suscrito un contrato de prestación de servicios profesionales o de apoyo a la gestión con un organismo de control o la rama judicial, y se pretende que ésta realice: asesoría o acompañamiento alguno a otra Entidad.</w:t>
      </w:r>
    </w:p>
    <w:p w14:paraId="6699A760"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2FB70DDB"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»3.2. De igual manera, se sirvan indicar cual es la normatividad vigente o jurisprudencial en la que se sustenta la Directiva para establecer prohibiciones, Ias cuales antes de ser conminadas a cumplirse por el ejecutivo, deben estar fundadas en una disposición Constitucional o de Ley, esto es, Ias prohibiciones deben estar previamente autorizadas por la Constitución o por una Ley expedida por el Congreso de la República, atendiendo la </w:t>
      </w:r>
      <w:r w:rsidRPr="00F87CB6">
        <w:rPr>
          <w:rFonts w:ascii="Arial" w:eastAsia="Calibri" w:hAnsi="Arial" w:cs="Arial"/>
          <w:i/>
          <w:iCs/>
          <w:color w:val="000000"/>
          <w:sz w:val="21"/>
          <w:szCs w:val="21"/>
          <w:lang w:val="es-ES_tradnl"/>
        </w:rPr>
        <w:t>Reserva de Ley</w:t>
      </w:r>
      <w:r w:rsidRPr="00F87CB6">
        <w:rPr>
          <w:rFonts w:ascii="Arial" w:eastAsia="Calibri" w:hAnsi="Arial" w:cs="Arial"/>
          <w:color w:val="000000"/>
          <w:sz w:val="21"/>
          <w:szCs w:val="21"/>
          <w:lang w:val="es-ES_tradnl"/>
        </w:rPr>
        <w:t xml:space="preserve"> relacionada con el principio de legalidad y/o clausula general de competencia» (sic).</w:t>
      </w:r>
    </w:p>
    <w:p w14:paraId="1C9B4754" w14:textId="77777777" w:rsidR="007A4176" w:rsidRPr="00F87CB6" w:rsidRDefault="007A4176" w:rsidP="007A4176">
      <w:pPr>
        <w:tabs>
          <w:tab w:val="left" w:pos="426"/>
        </w:tabs>
        <w:spacing w:after="0" w:line="276" w:lineRule="auto"/>
        <w:jc w:val="both"/>
        <w:rPr>
          <w:rFonts w:ascii="Arial" w:eastAsia="Calibri" w:hAnsi="Arial" w:cs="Arial"/>
          <w:color w:val="000000"/>
          <w:lang w:val="es-ES_tradnl"/>
        </w:rPr>
      </w:pPr>
    </w:p>
    <w:p w14:paraId="0C0C20E9" w14:textId="77777777" w:rsidR="007A4176" w:rsidRPr="00F87CB6" w:rsidRDefault="007A4176" w:rsidP="007A4176">
      <w:pPr>
        <w:tabs>
          <w:tab w:val="left" w:pos="426"/>
        </w:tabs>
        <w:spacing w:after="0" w:line="276" w:lineRule="auto"/>
        <w:jc w:val="both"/>
        <w:rPr>
          <w:rFonts w:ascii="Arial" w:eastAsia="Calibri" w:hAnsi="Arial" w:cs="Arial"/>
          <w:b/>
          <w:color w:val="000000"/>
          <w:lang w:val="es-ES_tradnl"/>
        </w:rPr>
      </w:pPr>
      <w:r w:rsidRPr="00F87CB6">
        <w:rPr>
          <w:rFonts w:ascii="Arial" w:eastAsia="Calibri" w:hAnsi="Arial" w:cs="Arial"/>
          <w:b/>
          <w:color w:val="000000"/>
          <w:lang w:val="es-ES_tradnl"/>
        </w:rPr>
        <w:t>2. Consideraciones</w:t>
      </w:r>
    </w:p>
    <w:p w14:paraId="48573162" w14:textId="77777777" w:rsidR="007A4176" w:rsidRPr="00F87CB6" w:rsidRDefault="007A4176" w:rsidP="007A4176">
      <w:pPr>
        <w:spacing w:after="0" w:line="276" w:lineRule="auto"/>
        <w:jc w:val="both"/>
        <w:rPr>
          <w:rFonts w:ascii="Arial" w:eastAsia="Calibri" w:hAnsi="Arial" w:cs="Arial"/>
          <w:color w:val="000000"/>
          <w:lang w:val="es-ES_tradnl"/>
        </w:rPr>
      </w:pPr>
    </w:p>
    <w:p w14:paraId="540E52EB" w14:textId="77777777" w:rsidR="007A4176" w:rsidRPr="00F87CB6" w:rsidRDefault="007A4176" w:rsidP="007A4176">
      <w:pPr>
        <w:spacing w:after="0" w:line="276" w:lineRule="auto"/>
        <w:jc w:val="both"/>
        <w:rPr>
          <w:rFonts w:ascii="Arial" w:eastAsia="Calibri" w:hAnsi="Arial" w:cs="Arial"/>
          <w:color w:val="000000"/>
          <w:lang w:val="es-ES_tradnl"/>
        </w:rPr>
      </w:pPr>
      <w:r w:rsidRPr="00F87CB6">
        <w:rPr>
          <w:rFonts w:ascii="Arial" w:eastAsia="Calibri" w:hAnsi="Arial" w:cs="Arial"/>
          <w:color w:val="000000"/>
          <w:lang w:val="es-ES_tradnl"/>
        </w:rPr>
        <w:t>Para resolver esta consulta se hará un análisis de los siguientes temas: i) concepto, requisitos y límites de los contratos de prestación de servicios y ii) alcance de la Directiva Presidencial 08 del 17 de septiembre de 2022, especialmente en lo relativo a la expresión «contratos de prestación de servicios de apoyo a la gestión» y a las entidades destinatarias de las medidas previstas en la referida Directiva.</w:t>
      </w:r>
    </w:p>
    <w:p w14:paraId="448FE4CD" w14:textId="75BA48E2" w:rsidR="007A4176" w:rsidRPr="00F87CB6" w:rsidRDefault="007A4176" w:rsidP="007A4176">
      <w:pPr>
        <w:spacing w:before="120"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 xml:space="preserve">La Agencia Nacional de Contratación Pública – Colombia Compra Eficiente </w:t>
      </w:r>
      <w:r w:rsidR="00175486">
        <w:rPr>
          <w:rFonts w:ascii="Arial" w:eastAsia="Calibri" w:hAnsi="Arial" w:cs="Arial"/>
          <w:color w:val="000000"/>
          <w:lang w:val="es-ES_tradnl"/>
        </w:rPr>
        <w:t xml:space="preserve">en adelante (la ANCP-CCE) </w:t>
      </w:r>
      <w:r w:rsidRPr="00F87CB6">
        <w:rPr>
          <w:rFonts w:ascii="Arial" w:eastAsia="Calibri" w:hAnsi="Arial" w:cs="Arial"/>
          <w:color w:val="000000"/>
          <w:lang w:val="es-ES_tradnl"/>
        </w:rPr>
        <w:t xml:space="preserve">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w:t>
      </w:r>
      <w:r w:rsidRPr="00F87CB6">
        <w:rPr>
          <w:rFonts w:ascii="Arial" w:eastAsia="Calibri" w:hAnsi="Arial" w:cs="Arial"/>
          <w:color w:val="000000"/>
          <w:lang w:val="es-ES_tradnl"/>
        </w:rPr>
        <w:lastRenderedPageBreak/>
        <w:t>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 La tesis planteada en tales conceptos se reitera en esta ocasión y se complementa con algunas consideraciones relativas a la consulta bajo análisis.</w:t>
      </w:r>
    </w:p>
    <w:p w14:paraId="5F4967BC" w14:textId="77777777" w:rsidR="007A4176" w:rsidRPr="00F87CB6" w:rsidRDefault="007A4176" w:rsidP="007A4176">
      <w:pPr>
        <w:spacing w:after="0" w:line="276" w:lineRule="auto"/>
        <w:jc w:val="both"/>
        <w:rPr>
          <w:rFonts w:ascii="Arial" w:eastAsia="Calibri" w:hAnsi="Arial" w:cs="Arial"/>
          <w:color w:val="000000"/>
          <w:lang w:val="es-ES_tradnl"/>
        </w:rPr>
      </w:pPr>
    </w:p>
    <w:p w14:paraId="1E1D7A48" w14:textId="77777777" w:rsidR="007A4176" w:rsidRPr="00F87CB6" w:rsidRDefault="007A4176" w:rsidP="007A4176">
      <w:pPr>
        <w:spacing w:after="0" w:line="276" w:lineRule="auto"/>
        <w:jc w:val="both"/>
        <w:rPr>
          <w:rFonts w:ascii="Arial" w:eastAsia="Calibri" w:hAnsi="Arial" w:cs="Arial"/>
          <w:b/>
          <w:bCs/>
          <w:color w:val="000000"/>
          <w:lang w:val="es-ES_tradnl"/>
        </w:rPr>
      </w:pPr>
      <w:r w:rsidRPr="00F87CB6">
        <w:rPr>
          <w:rFonts w:ascii="Arial" w:eastAsia="Calibri" w:hAnsi="Arial" w:cs="Arial"/>
          <w:b/>
          <w:bCs/>
          <w:color w:val="000000"/>
          <w:lang w:val="es-ES_tradnl"/>
        </w:rPr>
        <w:t>2.1. Contrato de prestación de servicios. Requisitos y límites para su celebración</w:t>
      </w:r>
    </w:p>
    <w:p w14:paraId="6BE8CD9B" w14:textId="77777777" w:rsidR="007A4176" w:rsidRPr="00F87CB6" w:rsidRDefault="007A4176" w:rsidP="007A4176">
      <w:pPr>
        <w:spacing w:after="0" w:line="276" w:lineRule="auto"/>
        <w:jc w:val="both"/>
        <w:rPr>
          <w:rFonts w:ascii="Arial" w:eastAsia="Calibri" w:hAnsi="Arial" w:cs="Arial"/>
          <w:color w:val="000000"/>
          <w:lang w:val="es-ES_tradnl"/>
        </w:rPr>
      </w:pPr>
    </w:p>
    <w:p w14:paraId="5D24AF04" w14:textId="0441181F" w:rsidR="007A4176" w:rsidRPr="00F87CB6" w:rsidRDefault="007A4176" w:rsidP="007A4176">
      <w:pPr>
        <w:spacing w:after="0" w:line="276" w:lineRule="auto"/>
        <w:jc w:val="both"/>
        <w:rPr>
          <w:rFonts w:ascii="Arial" w:eastAsia="Calibri" w:hAnsi="Arial" w:cs="Arial"/>
          <w:color w:val="000000"/>
          <w:lang w:val="es-ES_tradnl"/>
        </w:rPr>
      </w:pPr>
      <w:r w:rsidRPr="00F87CB6">
        <w:rPr>
          <w:rFonts w:ascii="Arial" w:eastAsia="Calibri" w:hAnsi="Arial" w:cs="Arial"/>
          <w:color w:val="000000"/>
          <w:lang w:val="es-ES_tradnl"/>
        </w:rPr>
        <w:t>El contrato de prestación de servicios es uno de los tipos contractuales consagrados en el Estatuto General de Contratación de la Administración Pública</w:t>
      </w:r>
      <w:r w:rsidR="00175486">
        <w:rPr>
          <w:rFonts w:ascii="Arial" w:eastAsia="Calibri" w:hAnsi="Arial" w:cs="Arial"/>
          <w:color w:val="000000"/>
          <w:lang w:val="es-ES_tradnl"/>
        </w:rPr>
        <w:t xml:space="preserve"> -EGCP</w:t>
      </w:r>
      <w:r w:rsidRPr="00F87CB6">
        <w:rPr>
          <w:rFonts w:ascii="Arial" w:eastAsia="Calibri" w:hAnsi="Arial" w:cs="Arial"/>
          <w:color w:val="000000"/>
          <w:lang w:val="es-ES_tradnl"/>
        </w:rPr>
        <w:t>, que pueden celebrar las entidades estatales. Se trata de un contrato típico, ya que se encuentra definido en la ley. Concretamente, el artículo 32, numeral 3º, de la Ley 80 de 1993, establece:</w:t>
      </w:r>
    </w:p>
    <w:p w14:paraId="635B0218" w14:textId="77777777" w:rsidR="007A4176" w:rsidRPr="00F87CB6" w:rsidRDefault="007A4176" w:rsidP="007A4176">
      <w:pPr>
        <w:spacing w:after="0" w:line="276" w:lineRule="auto"/>
        <w:jc w:val="both"/>
        <w:rPr>
          <w:rFonts w:ascii="Arial" w:eastAsia="Calibri" w:hAnsi="Arial" w:cs="Arial"/>
          <w:color w:val="000000"/>
          <w:lang w:val="es-ES_tradnl"/>
        </w:rPr>
      </w:pPr>
    </w:p>
    <w:p w14:paraId="356C4429"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57FB2E3"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p>
    <w:p w14:paraId="5EFE67B5"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En ningún caso estos contratos generan relación laboral ni prestaciones sociales y se celebrarán por el término estrictamente indispensable.</w:t>
      </w:r>
    </w:p>
    <w:p w14:paraId="60DD8243" w14:textId="77777777" w:rsidR="007A4176" w:rsidRPr="00F87CB6" w:rsidRDefault="007A4176" w:rsidP="007A4176">
      <w:pPr>
        <w:tabs>
          <w:tab w:val="left" w:pos="284"/>
        </w:tabs>
        <w:spacing w:after="0" w:line="276" w:lineRule="auto"/>
        <w:contextualSpacing/>
        <w:jc w:val="both"/>
        <w:rPr>
          <w:rFonts w:ascii="Arial" w:eastAsia="Calibri" w:hAnsi="Arial" w:cs="Arial"/>
          <w:b/>
          <w:color w:val="000000"/>
          <w:lang w:val="es-ES_tradnl"/>
        </w:rPr>
      </w:pPr>
    </w:p>
    <w:p w14:paraId="2CDB39AE" w14:textId="77777777" w:rsidR="007A4176" w:rsidRPr="00F87CB6" w:rsidRDefault="007A4176" w:rsidP="007A4176">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De otro lado, la celebración de dicho contrato se debe efectuar a través de la modalidad de la contratación directa. Así lo prevé el artículo 2, numeral 4º, literal h), de la Ley 1150 de 2007, que dispone:</w:t>
      </w:r>
    </w:p>
    <w:p w14:paraId="71408CEB" w14:textId="77777777" w:rsidR="007A4176" w:rsidRPr="00F87CB6" w:rsidRDefault="007A4176" w:rsidP="007A4176">
      <w:pPr>
        <w:spacing w:after="0" w:line="276" w:lineRule="auto"/>
        <w:ind w:firstLine="709"/>
        <w:jc w:val="both"/>
        <w:rPr>
          <w:rFonts w:ascii="Arial" w:eastAsia="Calibri" w:hAnsi="Arial" w:cs="Arial"/>
          <w:color w:val="000000"/>
          <w:lang w:val="es-ES_tradnl"/>
        </w:rPr>
      </w:pPr>
    </w:p>
    <w:p w14:paraId="546B02DD"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w:t>
      </w:r>
    </w:p>
    <w:p w14:paraId="2859BCEA"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Contratación directa. La modalidad de selección de contratación directa, solamente procederá en los siguientes casos:</w:t>
      </w:r>
    </w:p>
    <w:p w14:paraId="15B134AD"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p>
    <w:p w14:paraId="4A3E9841"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w:t>
      </w:r>
    </w:p>
    <w:p w14:paraId="5E63D36C"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h) Para la prestación de servicios profesionales y de apoyo a la gestión, o para la ejecución de trabajos artísticos que sólo puedan encomendarse a determinadas personas naturales;</w:t>
      </w:r>
    </w:p>
    <w:p w14:paraId="36B2BFF6" w14:textId="77777777" w:rsidR="007A4176" w:rsidRPr="00F87CB6" w:rsidRDefault="007A4176" w:rsidP="007A4176">
      <w:pPr>
        <w:spacing w:after="0" w:line="240" w:lineRule="auto"/>
        <w:ind w:right="709"/>
        <w:jc w:val="both"/>
        <w:rPr>
          <w:rFonts w:ascii="Arial" w:eastAsia="Calibri" w:hAnsi="Arial" w:cs="Arial"/>
          <w:color w:val="000000"/>
          <w:lang w:val="es-ES_tradnl"/>
        </w:rPr>
      </w:pPr>
    </w:p>
    <w:p w14:paraId="027AFF29" w14:textId="77777777" w:rsidR="007A4176" w:rsidRPr="00F87CB6" w:rsidRDefault="007A4176" w:rsidP="007A4176">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439B839D" w14:textId="77777777" w:rsidR="007A4176" w:rsidRPr="00F87CB6" w:rsidRDefault="007A4176" w:rsidP="007A4176">
      <w:pPr>
        <w:spacing w:before="120" w:after="12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i) Solo puede celebrarse para realizar «actividades relacionadas con la administración o funcionamiento de la entidad», es decir, que hagan parte de su giro ordinario o quehacer cotidiano.</w:t>
      </w:r>
    </w:p>
    <w:p w14:paraId="4014EEF6" w14:textId="48413130" w:rsidR="007A4176" w:rsidRPr="00F87CB6" w:rsidRDefault="007A4176" w:rsidP="007A4176">
      <w:pPr>
        <w:spacing w:before="120" w:after="12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 xml:space="preserve">ii) Admite que se suscriba tanto con personas naturales como con personas jurídicas. </w:t>
      </w:r>
      <w:r w:rsidR="006E703C" w:rsidRPr="00A53BC5">
        <w:rPr>
          <w:rFonts w:ascii="Arial" w:eastAsia="Calibri" w:hAnsi="Arial" w:cs="Arial"/>
          <w:color w:val="000000"/>
          <w:lang w:val="es-ES_tradnl"/>
        </w:rPr>
        <w:t xml:space="preserve">Y requiere que </w:t>
      </w:r>
      <w:r w:rsidRPr="00F87CB6">
        <w:rPr>
          <w:rFonts w:ascii="Arial" w:eastAsia="Calibri" w:hAnsi="Arial" w:cs="Arial"/>
          <w:color w:val="000000"/>
          <w:lang w:val="es-ES_tradnl"/>
        </w:rPr>
        <w:t xml:space="preserve">la </w:t>
      </w:r>
      <w:r w:rsidR="00175486">
        <w:rPr>
          <w:rFonts w:ascii="Arial" w:eastAsia="Calibri" w:hAnsi="Arial" w:cs="Arial"/>
          <w:color w:val="000000"/>
          <w:lang w:val="es-ES_tradnl"/>
        </w:rPr>
        <w:t>E</w:t>
      </w:r>
      <w:r w:rsidRPr="00F87CB6">
        <w:rPr>
          <w:rFonts w:ascii="Arial" w:eastAsia="Calibri" w:hAnsi="Arial" w:cs="Arial"/>
          <w:color w:val="000000"/>
          <w:lang w:val="es-ES_tradnl"/>
        </w:rPr>
        <w:t xml:space="preserve">ntidad </w:t>
      </w:r>
      <w:r w:rsidR="00175486">
        <w:rPr>
          <w:rFonts w:ascii="Arial" w:eastAsia="Calibri" w:hAnsi="Arial" w:cs="Arial"/>
          <w:color w:val="000000"/>
          <w:lang w:val="es-ES_tradnl"/>
        </w:rPr>
        <w:t>E</w:t>
      </w:r>
      <w:r w:rsidRPr="00F87CB6">
        <w:rPr>
          <w:rFonts w:ascii="Arial" w:eastAsia="Calibri" w:hAnsi="Arial" w:cs="Arial"/>
          <w:color w:val="000000"/>
          <w:lang w:val="es-ES_tradnl"/>
        </w:rPr>
        <w:t>statal justifi</w:t>
      </w:r>
      <w:r w:rsidR="006E703C" w:rsidRPr="00A53BC5">
        <w:rPr>
          <w:rFonts w:ascii="Arial" w:eastAsia="Calibri" w:hAnsi="Arial" w:cs="Arial"/>
          <w:color w:val="000000"/>
          <w:lang w:val="es-ES_tradnl"/>
        </w:rPr>
        <w:t>que</w:t>
      </w:r>
      <w:r w:rsidRPr="00F87CB6">
        <w:rPr>
          <w:rFonts w:ascii="Arial" w:eastAsia="Calibri" w:hAnsi="Arial" w:cs="Arial"/>
          <w:color w:val="000000"/>
          <w:lang w:val="es-ES_tradnl"/>
        </w:rPr>
        <w:t xml:space="preserve"> en los estudios previos que las actividades que buscan encomendarse a aquella «no puedan realizarse con personal de planta o requieran conocimientos especializados».</w:t>
      </w:r>
      <w:r w:rsidR="00E35C63" w:rsidRPr="00A53BC5">
        <w:rPr>
          <w:rStyle w:val="Refdenotaalpie"/>
          <w:rFonts w:ascii="Arial" w:eastAsia="Calibri" w:hAnsi="Arial" w:cs="Arial"/>
          <w:color w:val="000000"/>
          <w:lang w:val="es-ES_tradnl"/>
        </w:rPr>
        <w:footnoteReference w:id="1"/>
      </w:r>
      <w:r w:rsidRPr="00F87CB6">
        <w:rPr>
          <w:rFonts w:ascii="Arial" w:eastAsia="Calibri" w:hAnsi="Arial" w:cs="Arial"/>
          <w:color w:val="000000"/>
          <w:lang w:val="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7E202470" w14:textId="77777777" w:rsidR="007A4176" w:rsidRPr="00F87CB6" w:rsidRDefault="007A4176" w:rsidP="007A4176">
      <w:pPr>
        <w:spacing w:before="120" w:after="12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iii) Si bien se celebran para obtener la prestación personal de un servicio, se diferencian del contrato de trabajo</w:t>
      </w:r>
      <w:r w:rsidRPr="00F87CB6">
        <w:rPr>
          <w:rFonts w:ascii="Arial" w:eastAsia="Calibri" w:hAnsi="Arial" w:cs="Arial"/>
          <w:color w:val="000000"/>
          <w:vertAlign w:val="superscript"/>
          <w:lang w:val="es-ES_tradnl"/>
        </w:rPr>
        <w:footnoteReference w:id="2"/>
      </w:r>
      <w:r w:rsidRPr="00F87CB6">
        <w:rPr>
          <w:rFonts w:ascii="Arial" w:eastAsia="Calibri" w:hAnsi="Arial" w:cs="Arial"/>
          <w:color w:val="000000"/>
          <w:lang w:val="es-ES_tradnl"/>
        </w:rPr>
        <w:t xml:space="preserve"> en que quien celebra el contrato de prestación de servicios debe mantener autonomía e independencia en la ejecución de la labor, lo que significa que no puede existir la </w:t>
      </w:r>
      <w:r w:rsidRPr="00F87CB6">
        <w:rPr>
          <w:rFonts w:ascii="Arial" w:eastAsia="Calibri" w:hAnsi="Arial" w:cs="Arial"/>
          <w:i/>
          <w:color w:val="000000"/>
          <w:lang w:val="es-ES_tradnl"/>
        </w:rPr>
        <w:t>subordinación y dependencia</w:t>
      </w:r>
      <w:r w:rsidRPr="00F87CB6">
        <w:rPr>
          <w:rFonts w:ascii="Arial" w:eastAsia="Calibri" w:hAnsi="Arial" w:cs="Arial"/>
          <w:iCs/>
          <w:color w:val="000000"/>
          <w:lang w:val="es-ES_tradnl"/>
        </w:rPr>
        <w:t>,</w:t>
      </w:r>
      <w:r w:rsidRPr="00F87CB6">
        <w:rPr>
          <w:rFonts w:ascii="Arial" w:eastAsia="Calibri" w:hAnsi="Arial" w:cs="Arial"/>
          <w:color w:val="000000"/>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F87CB6">
        <w:rPr>
          <w:rFonts w:ascii="Arial" w:eastAsia="Calibri" w:hAnsi="Arial" w:cs="Arial"/>
          <w:i/>
          <w:color w:val="000000"/>
          <w:lang w:val="es-ES_tradnl"/>
        </w:rPr>
        <w:t>no pueden</w:t>
      </w:r>
      <w:r w:rsidRPr="00F87CB6">
        <w:rPr>
          <w:rFonts w:ascii="Arial" w:eastAsia="Calibri" w:hAnsi="Arial" w:cs="Arial"/>
          <w:color w:val="000000"/>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F87CB6">
        <w:rPr>
          <w:rFonts w:ascii="Arial" w:eastAsia="Calibri" w:hAnsi="Arial" w:cs="Arial"/>
          <w:i/>
          <w:color w:val="000000"/>
          <w:lang w:val="es-ES_tradnl"/>
        </w:rPr>
        <w:t>contrato realidad</w:t>
      </w:r>
      <w:r w:rsidRPr="00F87CB6">
        <w:rPr>
          <w:rFonts w:ascii="Arial" w:eastAsia="Calibri" w:hAnsi="Arial" w:cs="Arial"/>
          <w:color w:val="000000"/>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F87CB6">
        <w:rPr>
          <w:rFonts w:ascii="Arial" w:eastAsia="Calibri" w:hAnsi="Arial" w:cs="Arial"/>
          <w:color w:val="000000"/>
          <w:vertAlign w:val="superscript"/>
          <w:lang w:val="es-ES_tradnl"/>
        </w:rPr>
        <w:footnoteReference w:id="3"/>
      </w:r>
      <w:r w:rsidRPr="00F87CB6">
        <w:rPr>
          <w:rFonts w:ascii="Arial" w:eastAsia="Calibri" w:hAnsi="Arial" w:cs="Arial"/>
          <w:color w:val="000000"/>
          <w:lang w:val="es-ES_tradnl"/>
        </w:rPr>
        <w:t>.</w:t>
      </w:r>
    </w:p>
    <w:p w14:paraId="3222CB0F" w14:textId="77777777" w:rsidR="007A4176" w:rsidRPr="00F87CB6" w:rsidRDefault="007A4176" w:rsidP="007A4176">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iv) Deben ser temporales. Así lo señaló la Corte Constitucional en la misma providencia a la que se aludió previamente, expresando que:</w:t>
      </w:r>
    </w:p>
    <w:p w14:paraId="7BD4C75A" w14:textId="77777777" w:rsidR="007A4176" w:rsidRPr="00F87CB6" w:rsidRDefault="007A4176" w:rsidP="007A4176">
      <w:pPr>
        <w:spacing w:after="0" w:line="276" w:lineRule="auto"/>
        <w:ind w:firstLine="709"/>
        <w:jc w:val="both"/>
        <w:rPr>
          <w:rFonts w:ascii="Arial" w:eastAsia="Calibri" w:hAnsi="Arial" w:cs="Arial"/>
          <w:color w:val="000000"/>
          <w:lang w:val="es-ES_tradnl"/>
        </w:rPr>
      </w:pPr>
    </w:p>
    <w:p w14:paraId="2CF0BDC9"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F87CB6">
        <w:rPr>
          <w:rFonts w:ascii="Arial" w:eastAsia="Calibri" w:hAnsi="Arial" w:cs="Arial"/>
          <w:color w:val="000000"/>
          <w:sz w:val="21"/>
          <w:szCs w:val="21"/>
          <w:vertAlign w:val="superscript"/>
          <w:lang w:val="es-ES_tradnl"/>
        </w:rPr>
        <w:footnoteReference w:id="4"/>
      </w:r>
      <w:r w:rsidRPr="00F87CB6">
        <w:rPr>
          <w:rFonts w:ascii="Arial" w:eastAsia="Calibri" w:hAnsi="Arial" w:cs="Arial"/>
          <w:color w:val="000000"/>
          <w:sz w:val="21"/>
          <w:szCs w:val="21"/>
          <w:lang w:val="es-ES_tradnl"/>
        </w:rPr>
        <w:t>.</w:t>
      </w:r>
    </w:p>
    <w:p w14:paraId="2AAD85B0" w14:textId="77777777" w:rsidR="007A4176" w:rsidRPr="00F87CB6" w:rsidRDefault="007A4176" w:rsidP="007A4176">
      <w:pPr>
        <w:spacing w:after="0" w:line="276" w:lineRule="auto"/>
        <w:ind w:firstLine="709"/>
        <w:jc w:val="both"/>
        <w:rPr>
          <w:rFonts w:ascii="Arial" w:eastAsia="Calibri" w:hAnsi="Arial" w:cs="Arial"/>
          <w:color w:val="000000"/>
          <w:lang w:val="es-ES_tradnl"/>
        </w:rPr>
      </w:pPr>
    </w:p>
    <w:p w14:paraId="5DEE7738" w14:textId="0808E76A" w:rsidR="007A4176" w:rsidRPr="00F87CB6" w:rsidRDefault="007A4176" w:rsidP="007A4176">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 xml:space="preserve">v) Los contratos de prestación de servicios constituyen un </w:t>
      </w:r>
      <w:r w:rsidRPr="00F87CB6">
        <w:rPr>
          <w:rFonts w:ascii="Arial" w:eastAsia="Calibri" w:hAnsi="Arial" w:cs="Arial"/>
          <w:i/>
          <w:iCs/>
          <w:color w:val="000000"/>
          <w:lang w:val="es-ES_tradnl"/>
        </w:rPr>
        <w:t>género</w:t>
      </w:r>
      <w:r w:rsidRPr="00F87CB6">
        <w:rPr>
          <w:rFonts w:ascii="Arial" w:eastAsia="Calibri" w:hAnsi="Arial" w:cs="Arial"/>
          <w:color w:val="000000"/>
          <w:lang w:val="es-ES_tradnl"/>
        </w:rPr>
        <w:t xml:space="preserve"> que incluye, como </w:t>
      </w:r>
      <w:r w:rsidRPr="00F87CB6">
        <w:rPr>
          <w:rFonts w:ascii="Arial" w:eastAsia="Calibri" w:hAnsi="Arial" w:cs="Arial"/>
          <w:i/>
          <w:iCs/>
          <w:color w:val="000000"/>
          <w:lang w:val="es-ES_tradnl"/>
        </w:rPr>
        <w:t>especies</w:t>
      </w:r>
      <w:r w:rsidRPr="00F87CB6">
        <w:rPr>
          <w:rFonts w:ascii="Arial" w:eastAsia="Calibri" w:hAnsi="Arial" w:cs="Arial"/>
          <w:color w:val="000000"/>
          <w:lang w:val="es-ES_tradnl"/>
        </w:rPr>
        <w:t>, los contratos de prestación de servicios profesionales, los contratos de prestación de servicios de apoyo a la gestión y los contratos de prestación de servicios artísticos que solo pueden encomendarse a determinadas personas naturales</w:t>
      </w:r>
      <w:r w:rsidRPr="00F87CB6">
        <w:rPr>
          <w:rFonts w:ascii="Arial" w:eastAsia="Calibri" w:hAnsi="Arial" w:cs="Arial"/>
          <w:color w:val="000000"/>
          <w:vertAlign w:val="superscript"/>
          <w:lang w:val="es-ES_tradnl"/>
        </w:rPr>
        <w:footnoteReference w:id="5"/>
      </w:r>
      <w:r w:rsidRPr="00F87CB6">
        <w:rPr>
          <w:rFonts w:ascii="Arial" w:eastAsia="Calibri" w:hAnsi="Arial" w:cs="Arial"/>
          <w:color w:val="000000"/>
          <w:lang w:val="es-ES_tradnl"/>
        </w:rPr>
        <w:t xml:space="preserve">. La diferencia entre el contrato de prestación de servicios </w:t>
      </w:r>
      <w:r w:rsidRPr="00F87CB6">
        <w:rPr>
          <w:rFonts w:ascii="Arial" w:eastAsia="Calibri" w:hAnsi="Arial" w:cs="Arial"/>
          <w:i/>
          <w:color w:val="000000"/>
          <w:lang w:val="es-ES_tradnl"/>
        </w:rPr>
        <w:t>profesionales</w:t>
      </w:r>
      <w:r w:rsidRPr="00F87CB6">
        <w:rPr>
          <w:rFonts w:ascii="Arial" w:eastAsia="Calibri" w:hAnsi="Arial" w:cs="Arial"/>
          <w:color w:val="000000"/>
          <w:lang w:val="es-ES_tradnl"/>
        </w:rPr>
        <w:t xml:space="preserve"> con las otras dos especies del género en el cual se </w:t>
      </w:r>
      <w:r w:rsidR="00E1575B" w:rsidRPr="00A53BC5">
        <w:rPr>
          <w:rFonts w:ascii="Arial" w:eastAsia="Calibri" w:hAnsi="Arial" w:cs="Arial"/>
          <w:color w:val="000000"/>
          <w:lang w:val="es-ES_tradnl"/>
        </w:rPr>
        <w:t>ubican</w:t>
      </w:r>
      <w:r w:rsidRPr="00F87CB6">
        <w:rPr>
          <w:rFonts w:ascii="Arial" w:eastAsia="Calibri" w:hAnsi="Arial" w:cs="Arial"/>
          <w:color w:val="000000"/>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206087B9" w14:textId="77777777" w:rsidR="007A4176" w:rsidRPr="00F87CB6" w:rsidRDefault="007A4176" w:rsidP="007A4176">
      <w:pPr>
        <w:spacing w:after="0" w:line="276" w:lineRule="auto"/>
        <w:ind w:firstLine="709"/>
        <w:jc w:val="both"/>
        <w:rPr>
          <w:rFonts w:ascii="Arial" w:eastAsia="Calibri" w:hAnsi="Arial" w:cs="Arial"/>
          <w:color w:val="000000"/>
          <w:lang w:val="es-ES_tradnl"/>
        </w:rPr>
      </w:pPr>
    </w:p>
    <w:p w14:paraId="324378A8"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F87CB6">
        <w:rPr>
          <w:rFonts w:ascii="Arial" w:eastAsia="Calibri" w:hAnsi="Arial" w:cs="Arial"/>
          <w:color w:val="000000"/>
          <w:sz w:val="21"/>
          <w:szCs w:val="21"/>
          <w:vertAlign w:val="superscript"/>
          <w:lang w:val="es-ES_tradnl"/>
        </w:rPr>
        <w:footnoteReference w:id="6"/>
      </w:r>
      <w:r w:rsidRPr="00F87CB6">
        <w:rPr>
          <w:rFonts w:ascii="Arial" w:eastAsia="Calibri" w:hAnsi="Arial" w:cs="Arial"/>
          <w:color w:val="000000"/>
          <w:sz w:val="21"/>
          <w:szCs w:val="21"/>
          <w:lang w:val="es-ES_tradnl"/>
        </w:rPr>
        <w:t>.</w:t>
      </w:r>
    </w:p>
    <w:p w14:paraId="6178A490" w14:textId="77777777" w:rsidR="007A4176" w:rsidRPr="00F87CB6" w:rsidRDefault="007A4176" w:rsidP="007A4176">
      <w:pPr>
        <w:spacing w:after="0" w:line="276" w:lineRule="auto"/>
        <w:ind w:firstLine="709"/>
        <w:jc w:val="both"/>
        <w:rPr>
          <w:rFonts w:ascii="Arial" w:eastAsia="Calibri" w:hAnsi="Arial" w:cs="Arial"/>
          <w:color w:val="000000"/>
          <w:lang w:val="es-ES_tradnl"/>
        </w:rPr>
      </w:pPr>
    </w:p>
    <w:p w14:paraId="6C4E18DA" w14:textId="77777777" w:rsidR="007A4176" w:rsidRPr="00F87CB6" w:rsidRDefault="007A4176" w:rsidP="007A4176">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Objeto que, según la sentencia que se cita, se diferencia del objeto del contrato de prestación de servicios de apoyo a la gestión, porque en este:</w:t>
      </w:r>
    </w:p>
    <w:p w14:paraId="0B1C5CA8" w14:textId="77777777" w:rsidR="007A4176" w:rsidRPr="00F87CB6" w:rsidRDefault="007A4176" w:rsidP="007A4176">
      <w:pPr>
        <w:spacing w:after="0" w:line="276" w:lineRule="auto"/>
        <w:ind w:firstLine="709"/>
        <w:jc w:val="both"/>
        <w:rPr>
          <w:rFonts w:ascii="Arial" w:eastAsia="Calibri" w:hAnsi="Arial" w:cs="Arial"/>
          <w:color w:val="000000"/>
          <w:lang w:val="es-ES_tradnl"/>
        </w:rPr>
      </w:pPr>
    </w:p>
    <w:p w14:paraId="5A1B5D71" w14:textId="77777777" w:rsidR="007A4176" w:rsidRPr="00F87CB6" w:rsidRDefault="007A4176" w:rsidP="00E1575B">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6DC8BAB" w14:textId="77777777" w:rsidR="007A4176" w:rsidRPr="00F87CB6" w:rsidRDefault="007A4176" w:rsidP="00E1575B">
      <w:pPr>
        <w:spacing w:after="0" w:line="240" w:lineRule="auto"/>
        <w:ind w:left="709" w:right="709"/>
        <w:jc w:val="both"/>
        <w:rPr>
          <w:rFonts w:ascii="Arial" w:eastAsia="Calibri" w:hAnsi="Arial" w:cs="Arial"/>
          <w:color w:val="000000"/>
          <w:sz w:val="21"/>
          <w:szCs w:val="21"/>
          <w:lang w:val="es-ES_tradnl"/>
        </w:rPr>
      </w:pPr>
    </w:p>
    <w:p w14:paraId="35E7143C" w14:textId="77777777" w:rsidR="007A4176" w:rsidRPr="00F87CB6" w:rsidRDefault="007A4176" w:rsidP="00E1575B">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7D0017F6" w14:textId="77777777" w:rsidR="007A4176" w:rsidRPr="00F87CB6" w:rsidRDefault="007A4176" w:rsidP="007A4176">
      <w:pPr>
        <w:spacing w:after="0" w:line="240" w:lineRule="auto"/>
        <w:ind w:right="709"/>
        <w:jc w:val="both"/>
        <w:rPr>
          <w:rFonts w:ascii="Arial" w:eastAsia="Calibri" w:hAnsi="Arial" w:cs="Arial"/>
          <w:color w:val="000000"/>
          <w:sz w:val="21"/>
          <w:szCs w:val="21"/>
          <w:lang w:val="es-ES_tradnl"/>
        </w:rPr>
      </w:pPr>
    </w:p>
    <w:p w14:paraId="07A4343A"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F87CB6">
        <w:rPr>
          <w:rFonts w:ascii="Arial" w:eastAsia="Calibri" w:hAnsi="Arial" w:cs="Arial"/>
          <w:color w:val="000000"/>
          <w:sz w:val="21"/>
          <w:szCs w:val="21"/>
          <w:vertAlign w:val="superscript"/>
          <w:lang w:val="es-ES_tradnl"/>
        </w:rPr>
        <w:footnoteReference w:id="7"/>
      </w:r>
      <w:r w:rsidRPr="00F87CB6">
        <w:rPr>
          <w:rFonts w:ascii="Arial" w:eastAsia="Calibri" w:hAnsi="Arial" w:cs="Arial"/>
          <w:color w:val="000000"/>
          <w:sz w:val="21"/>
          <w:szCs w:val="21"/>
          <w:lang w:val="es-ES_tradnl"/>
        </w:rPr>
        <w:t>.</w:t>
      </w:r>
    </w:p>
    <w:p w14:paraId="41745249" w14:textId="77777777" w:rsidR="007A4176" w:rsidRPr="00F87CB6" w:rsidRDefault="007A4176" w:rsidP="007A4176">
      <w:pPr>
        <w:spacing w:after="0" w:line="276" w:lineRule="auto"/>
        <w:ind w:firstLine="709"/>
        <w:jc w:val="both"/>
        <w:rPr>
          <w:rFonts w:ascii="Arial" w:eastAsia="Calibri" w:hAnsi="Arial" w:cs="Arial"/>
          <w:color w:val="000000"/>
          <w:lang w:val="es-ES_tradnl"/>
        </w:rPr>
      </w:pPr>
    </w:p>
    <w:p w14:paraId="2685A3B9" w14:textId="77777777" w:rsidR="007A4176" w:rsidRPr="00F87CB6" w:rsidRDefault="007A4176" w:rsidP="007A4176">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En relación con el contrato de prestación de servicios artísticos que solo pueden encomendarse a determinadas personas naturales, señala el mencionado fallo que:</w:t>
      </w:r>
    </w:p>
    <w:p w14:paraId="6FE6A494"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p>
    <w:p w14:paraId="7E44C0B1"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F87CB6">
        <w:rPr>
          <w:rFonts w:ascii="Arial" w:eastAsia="Calibri" w:hAnsi="Arial" w:cs="Arial"/>
          <w:color w:val="000000"/>
          <w:sz w:val="21"/>
          <w:szCs w:val="21"/>
          <w:vertAlign w:val="superscript"/>
          <w:lang w:val="es-ES_tradnl"/>
        </w:rPr>
        <w:footnoteReference w:id="8"/>
      </w:r>
      <w:r w:rsidRPr="00F87CB6">
        <w:rPr>
          <w:rFonts w:ascii="Arial" w:eastAsia="Calibri" w:hAnsi="Arial" w:cs="Arial"/>
          <w:color w:val="000000"/>
          <w:sz w:val="21"/>
          <w:szCs w:val="21"/>
          <w:lang w:val="es-ES_tradnl"/>
        </w:rPr>
        <w:t>.</w:t>
      </w:r>
    </w:p>
    <w:p w14:paraId="2EA13B1E"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p>
    <w:p w14:paraId="7A65A844" w14:textId="77777777" w:rsidR="007A4176" w:rsidRPr="00F87CB6" w:rsidRDefault="007A4176" w:rsidP="007A4176">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general, precedido de un concurso de méritos</w:t>
      </w:r>
      <w:r w:rsidRPr="00F87CB6">
        <w:rPr>
          <w:rFonts w:ascii="Arial" w:eastAsia="Calibri" w:hAnsi="Arial" w:cs="Arial"/>
          <w:color w:val="000000"/>
          <w:vertAlign w:val="superscript"/>
          <w:lang w:val="es-ES_tradnl"/>
        </w:rPr>
        <w:footnoteReference w:id="9"/>
      </w:r>
      <w:r w:rsidRPr="00F87CB6">
        <w:rPr>
          <w:rFonts w:ascii="Arial" w:eastAsia="Calibri" w:hAnsi="Arial" w:cs="Arial"/>
          <w:color w:val="000000"/>
          <w:lang w:val="es-ES_tradnl"/>
        </w:rPr>
        <w:t>. Pero, tampoco puede suscribirse un contrato 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14:paraId="28F525A7" w14:textId="77777777" w:rsidR="007A4176" w:rsidRPr="00F87CB6" w:rsidRDefault="007A4176" w:rsidP="007A4176">
      <w:pPr>
        <w:spacing w:before="120" w:after="120" w:line="240"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vii) Para su celebración no se requiere en algunos casos la expedición del acto administrativo de justificación de la contratación directa</w:t>
      </w:r>
      <w:r w:rsidRPr="00F87CB6">
        <w:rPr>
          <w:rFonts w:ascii="Arial" w:eastAsia="Calibri" w:hAnsi="Arial" w:cs="Arial"/>
          <w:color w:val="000000"/>
          <w:vertAlign w:val="superscript"/>
          <w:lang w:val="es-ES_tradnl"/>
        </w:rPr>
        <w:footnoteReference w:id="10"/>
      </w:r>
      <w:r w:rsidRPr="00F87CB6">
        <w:rPr>
          <w:rFonts w:ascii="Arial" w:eastAsia="Calibri" w:hAnsi="Arial" w:cs="Arial"/>
          <w:color w:val="000000"/>
          <w:lang w:val="es-ES_tradnl"/>
        </w:rPr>
        <w:t xml:space="preserve">. </w:t>
      </w:r>
    </w:p>
    <w:p w14:paraId="5FB22F57" w14:textId="77777777" w:rsidR="007A4176" w:rsidRPr="00F87CB6" w:rsidRDefault="007A4176" w:rsidP="00A53BC5">
      <w:pPr>
        <w:spacing w:before="120" w:after="12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viii)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F87CB6">
        <w:rPr>
          <w:rFonts w:ascii="Arial" w:eastAsia="Calibri" w:hAnsi="Arial" w:cs="Arial"/>
          <w:color w:val="000000"/>
          <w:vertAlign w:val="superscript"/>
          <w:lang w:val="es-ES_tradnl"/>
        </w:rPr>
        <w:footnoteReference w:id="11"/>
      </w:r>
      <w:r w:rsidRPr="00F87CB6">
        <w:rPr>
          <w:rFonts w:ascii="Arial" w:eastAsia="Calibri" w:hAnsi="Arial" w:cs="Arial"/>
          <w:color w:val="000000"/>
          <w:lang w:val="es-ES_tradnl"/>
        </w:rPr>
        <w:t>.</w:t>
      </w:r>
    </w:p>
    <w:p w14:paraId="51CEF4DF" w14:textId="77777777" w:rsidR="007A4176" w:rsidRPr="00F87CB6" w:rsidRDefault="007A4176" w:rsidP="00A53BC5">
      <w:pPr>
        <w:spacing w:before="120" w:after="12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ix) En algunos casos no es obligatoria la liquidación, pues así lo estableció el artículo 217 del Decreto 019 de 2012, que modificó el artículo 60 de la Ley 80 de 1993</w:t>
      </w:r>
      <w:r w:rsidRPr="00F87CB6">
        <w:rPr>
          <w:rFonts w:ascii="Arial" w:eastAsia="Calibri" w:hAnsi="Arial" w:cs="Arial"/>
          <w:color w:val="000000"/>
          <w:vertAlign w:val="superscript"/>
          <w:lang w:val="es-ES_tradnl"/>
        </w:rPr>
        <w:footnoteReference w:id="12"/>
      </w:r>
      <w:r w:rsidRPr="00F87CB6">
        <w:rPr>
          <w:rFonts w:ascii="Arial" w:eastAsia="Calibri" w:hAnsi="Arial" w:cs="Arial"/>
          <w:color w:val="000000"/>
          <w:lang w:val="es-ES_tradnl"/>
        </w:rPr>
        <w:t>, refiriéndose a los contratos de prestación de servicios profesionales y de apoyo a la gestión.</w:t>
      </w:r>
    </w:p>
    <w:p w14:paraId="0B94E7CE" w14:textId="77777777" w:rsidR="007A4176" w:rsidRPr="00F87CB6" w:rsidRDefault="007A4176" w:rsidP="00A53BC5">
      <w:pPr>
        <w:spacing w:before="120" w:after="12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x) Para su celebración no se requiere inscripción en el Registro Único de Proponentes (RUP), según lo prevé el artículo 6 de la Ley 1150 de 2007</w:t>
      </w:r>
      <w:r w:rsidRPr="00F87CB6">
        <w:rPr>
          <w:rFonts w:ascii="Arial" w:eastAsia="Calibri" w:hAnsi="Arial" w:cs="Arial"/>
          <w:color w:val="000000"/>
          <w:vertAlign w:val="superscript"/>
          <w:lang w:val="es-ES_tradnl"/>
        </w:rPr>
        <w:footnoteReference w:id="13"/>
      </w:r>
      <w:r w:rsidRPr="00F87CB6">
        <w:rPr>
          <w:rFonts w:ascii="Arial" w:eastAsia="Calibri" w:hAnsi="Arial" w:cs="Arial"/>
          <w:color w:val="000000"/>
          <w:lang w:val="es-ES_tradnl"/>
        </w:rPr>
        <w:t>.</w:t>
      </w:r>
    </w:p>
    <w:p w14:paraId="6A8D86AD" w14:textId="77777777" w:rsidR="007A4176" w:rsidRPr="00F87CB6" w:rsidRDefault="007A4176" w:rsidP="00A53BC5">
      <w:pPr>
        <w:spacing w:before="120" w:after="12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xi) En ellos no son necesarias las garantías</w:t>
      </w:r>
      <w:r w:rsidRPr="00F87CB6">
        <w:rPr>
          <w:rFonts w:ascii="Arial" w:eastAsia="Calibri" w:hAnsi="Arial" w:cs="Arial"/>
          <w:color w:val="000000"/>
          <w:vertAlign w:val="superscript"/>
          <w:lang w:val="es-ES_tradnl"/>
        </w:rPr>
        <w:footnoteReference w:id="14"/>
      </w:r>
      <w:r w:rsidRPr="00F87CB6">
        <w:rPr>
          <w:rFonts w:ascii="Arial" w:eastAsia="Calibri" w:hAnsi="Arial" w:cs="Arial"/>
          <w:color w:val="000000"/>
          <w:lang w:val="es-ES_tradnl"/>
        </w:rPr>
        <w:t>.</w:t>
      </w:r>
    </w:p>
    <w:p w14:paraId="52748791" w14:textId="77777777" w:rsidR="007A4176" w:rsidRPr="00F87CB6" w:rsidRDefault="007A4176" w:rsidP="007A4176">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Teniendo en cuenta las anteriores características del contrato de prestación de servicios, se analizará a continuación lo que establece la Directiva Presidencial No. 08 del 17 de septiembre de 2022.</w:t>
      </w:r>
    </w:p>
    <w:p w14:paraId="5B81B505" w14:textId="77777777" w:rsidR="007A4176" w:rsidRPr="00F87CB6" w:rsidRDefault="007A4176" w:rsidP="007A4176">
      <w:pPr>
        <w:spacing w:after="0" w:line="276" w:lineRule="auto"/>
        <w:jc w:val="both"/>
        <w:rPr>
          <w:rFonts w:ascii="Arial" w:eastAsia="Calibri" w:hAnsi="Arial" w:cs="Arial"/>
          <w:color w:val="000000"/>
          <w:lang w:val="es-ES"/>
        </w:rPr>
      </w:pPr>
    </w:p>
    <w:p w14:paraId="1A0A5783" w14:textId="77777777" w:rsidR="007A4176" w:rsidRPr="00F87CB6" w:rsidRDefault="007A4176" w:rsidP="007A4176">
      <w:pPr>
        <w:spacing w:after="0" w:line="276" w:lineRule="auto"/>
        <w:jc w:val="both"/>
        <w:rPr>
          <w:rFonts w:ascii="Arial" w:eastAsia="Calibri" w:hAnsi="Arial" w:cs="Arial"/>
          <w:b/>
          <w:bCs/>
          <w:color w:val="000000"/>
          <w:lang w:val="es-ES"/>
        </w:rPr>
      </w:pPr>
      <w:r w:rsidRPr="00F87CB6">
        <w:rPr>
          <w:rFonts w:ascii="Arial" w:eastAsia="Calibri" w:hAnsi="Arial" w:cs="Arial"/>
          <w:b/>
          <w:bCs/>
          <w:color w:val="000000"/>
          <w:lang w:val="es-ES"/>
        </w:rPr>
        <w:t xml:space="preserve">2.2. </w:t>
      </w:r>
      <w:r w:rsidRPr="00F87CB6">
        <w:rPr>
          <w:rFonts w:ascii="Arial" w:eastAsia="Calibri" w:hAnsi="Arial" w:cs="Arial"/>
          <w:b/>
          <w:bCs/>
          <w:color w:val="000000"/>
          <w:lang w:val="es-ES_tradnl"/>
        </w:rPr>
        <w:t>Alcance de la Directiva Presidencial No. 08 del 17 de septiembre de 2022, en especial, de las restricciones para la celebración de «contratos de prestación de servicios de apoyo a la gestión»</w:t>
      </w:r>
    </w:p>
    <w:p w14:paraId="19CBF623" w14:textId="77777777" w:rsidR="007A4176" w:rsidRPr="00F87CB6" w:rsidRDefault="007A4176" w:rsidP="007A4176">
      <w:pPr>
        <w:spacing w:after="0" w:line="276" w:lineRule="auto"/>
        <w:jc w:val="both"/>
        <w:rPr>
          <w:rFonts w:ascii="Arial" w:eastAsia="Calibri" w:hAnsi="Arial" w:cs="Arial"/>
          <w:color w:val="000000"/>
          <w:lang w:val="es-ES"/>
        </w:rPr>
      </w:pPr>
    </w:p>
    <w:p w14:paraId="40AE635F" w14:textId="77777777" w:rsidR="007A4176" w:rsidRPr="00F87CB6" w:rsidRDefault="007A4176" w:rsidP="007A4176">
      <w:pPr>
        <w:spacing w:after="0" w:line="276" w:lineRule="auto"/>
        <w:jc w:val="both"/>
        <w:rPr>
          <w:rFonts w:ascii="Arial" w:eastAsia="Calibri" w:hAnsi="Arial" w:cs="Arial"/>
          <w:color w:val="000000"/>
          <w:lang w:val="es-ES"/>
        </w:rPr>
      </w:pPr>
      <w:r w:rsidRPr="00F87CB6">
        <w:rPr>
          <w:rFonts w:ascii="Arial" w:eastAsia="Calibri" w:hAnsi="Arial" w:cs="Arial"/>
          <w:color w:val="000000"/>
          <w:lang w:val="es-ES"/>
        </w:rPr>
        <w:t>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w:t>
      </w:r>
      <w:r w:rsidRPr="00F87CB6">
        <w:rPr>
          <w:rFonts w:ascii="Arial" w:eastAsia="Calibri" w:hAnsi="Arial" w:cs="Arial"/>
          <w:color w:val="000000"/>
          <w:vertAlign w:val="superscript"/>
          <w:lang w:val="es-ES"/>
        </w:rPr>
        <w:footnoteReference w:id="15"/>
      </w:r>
      <w:r w:rsidRPr="00F87CB6">
        <w:rPr>
          <w:rFonts w:ascii="Arial" w:eastAsia="Calibri" w:hAnsi="Arial" w:cs="Arial"/>
          <w:color w:val="000000"/>
          <w:lang w:val="es-ES"/>
        </w:rPr>
        <w:t xml:space="preserve">. Esto significa que la Directiva no rige para las entidades estatales que pertenecen al orden o nivel </w:t>
      </w:r>
      <w:r w:rsidRPr="00F87CB6">
        <w:rPr>
          <w:rFonts w:ascii="Arial" w:eastAsia="Calibri" w:hAnsi="Arial" w:cs="Arial"/>
          <w:i/>
          <w:iCs/>
          <w:color w:val="000000"/>
          <w:lang w:val="es-ES"/>
        </w:rPr>
        <w:t>territorial</w:t>
      </w:r>
      <w:r w:rsidRPr="00F87CB6">
        <w:rPr>
          <w:rFonts w:ascii="Arial" w:eastAsia="Calibri" w:hAnsi="Arial" w:cs="Arial"/>
          <w:color w:val="000000"/>
          <w:vertAlign w:val="superscript"/>
          <w:lang w:val="es-ES"/>
        </w:rPr>
        <w:footnoteReference w:id="16"/>
      </w:r>
      <w:r w:rsidRPr="00F87CB6">
        <w:rPr>
          <w:rFonts w:ascii="Arial" w:eastAsia="Calibri" w:hAnsi="Arial" w:cs="Arial"/>
          <w:color w:val="000000"/>
          <w:lang w:val="es-ES"/>
        </w:rPr>
        <w:t>, ni para los órganos de otras ramas del poder público distintas a la Rama Ejecutiva.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w:t>
      </w:r>
      <w:r w:rsidRPr="00F87CB6">
        <w:rPr>
          <w:rFonts w:ascii="Arial" w:eastAsia="Calibri" w:hAnsi="Arial" w:cs="Arial"/>
          <w:color w:val="000000"/>
          <w:vertAlign w:val="superscript"/>
          <w:lang w:val="es-ES"/>
        </w:rPr>
        <w:footnoteReference w:id="17"/>
      </w:r>
      <w:r w:rsidRPr="00F87CB6">
        <w:rPr>
          <w:rFonts w:ascii="Arial" w:eastAsia="Calibri" w:hAnsi="Arial" w:cs="Arial"/>
          <w:color w:val="000000"/>
          <w:lang w:val="es-ES"/>
        </w:rPr>
        <w:t xml:space="preserve">. </w:t>
      </w:r>
    </w:p>
    <w:p w14:paraId="7D27185D" w14:textId="6FFB5588"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En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5FDE945B" w14:textId="180D35F3"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La Directiva Presidencial 08 de 2022 establece, pues, varias medidas para lograr la finalidad señalada anteriormente. En concreto, dentro de las medidas previstas para la </w:t>
      </w:r>
      <w:r w:rsidRPr="00F87CB6">
        <w:rPr>
          <w:rFonts w:ascii="Arial" w:eastAsia="Calibri" w:hAnsi="Arial" w:cs="Arial"/>
          <w:i/>
          <w:iCs/>
          <w:color w:val="000000"/>
          <w:lang w:val="es-ES"/>
        </w:rPr>
        <w:t>contratación estatal</w:t>
      </w:r>
      <w:r w:rsidRPr="00F87CB6">
        <w:rPr>
          <w:rFonts w:ascii="Arial" w:eastAsia="Calibri" w:hAnsi="Arial" w:cs="Arial"/>
          <w:color w:val="000000"/>
          <w:lang w:val="es-ES"/>
        </w:rPr>
        <w:t>, cabe destacar la fijación de pautas para: la racionalización de los contratos de estudios, la celebración de contratos interadministrativos, la exigencia de pactar comités fiduciarios en los patrimonios autónomos que manejen recursos públicos, la obligación de incluir conflictos de intereses en los pliegos de condiciones para los concursos de méritos para la selección de interventores, la utilización del SECOP, la revisión de los mecanismos de adquisición consolidada de bienes y servicios y del esquema de los acuerdos marco de precios, evitar la afectación de la competencia en los procesos contractuales, la instrucción dirigida a la</w:t>
      </w:r>
      <w:r w:rsidR="00002BFB">
        <w:rPr>
          <w:rFonts w:ascii="Arial" w:eastAsia="Calibri" w:hAnsi="Arial" w:cs="Arial"/>
          <w:color w:val="000000"/>
          <w:lang w:val="es-ES"/>
        </w:rPr>
        <w:t xml:space="preserve"> </w:t>
      </w:r>
      <w:r w:rsidR="00794F4C">
        <w:rPr>
          <w:rFonts w:ascii="Arial" w:eastAsia="Calibri" w:hAnsi="Arial" w:cs="Arial"/>
          <w:color w:val="000000"/>
          <w:lang w:val="es-ES"/>
        </w:rPr>
        <w:t>ANCP-CCE</w:t>
      </w:r>
      <w:r w:rsidRPr="00F87CB6">
        <w:rPr>
          <w:rFonts w:ascii="Arial" w:eastAsia="Calibri" w:hAnsi="Arial" w:cs="Arial"/>
          <w:color w:val="000000"/>
          <w:lang w:val="es-ES"/>
        </w:rPr>
        <w:t xml:space="preserve"> para que publique informes mensuales sobre el uso del SECOP II y la liquidación oportuna de los contratos estatales.</w:t>
      </w:r>
    </w:p>
    <w:p w14:paraId="78EE488A" w14:textId="77777777"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Ahora bien, en cuanto a las medidas previstas en la Directiva para el ámbito de la contratación estatal es importante hacer referencia, en particular y de manera independiente, a las instrucciones incluidas en el numeral 1.1. de dicho documento normativo en relación con los «contratos de prestación de servicios de apoyo a la gestión», por ser este el tema que motiva las preguntas que se formulan en la consulta. Textualmente, dicho numeral dispone lo siguiente:</w:t>
      </w:r>
    </w:p>
    <w:p w14:paraId="6861BC08" w14:textId="77777777" w:rsidR="007A4176" w:rsidRPr="00F87CB6" w:rsidRDefault="007A4176" w:rsidP="007A4176">
      <w:pPr>
        <w:spacing w:after="0" w:line="240" w:lineRule="auto"/>
        <w:ind w:left="709" w:right="709"/>
        <w:jc w:val="both"/>
        <w:rPr>
          <w:rFonts w:ascii="Arial" w:eastAsia="Calibri" w:hAnsi="Arial" w:cs="Arial"/>
          <w:color w:val="000000"/>
          <w:sz w:val="19"/>
          <w:szCs w:val="19"/>
          <w:lang w:val="es-ES"/>
        </w:rPr>
      </w:pPr>
    </w:p>
    <w:p w14:paraId="08778050" w14:textId="77777777" w:rsidR="007A4176" w:rsidRPr="00F87CB6" w:rsidRDefault="007A4176" w:rsidP="007A4176">
      <w:pPr>
        <w:spacing w:after="0" w:line="240" w:lineRule="auto"/>
        <w:ind w:left="709" w:right="709"/>
        <w:jc w:val="both"/>
        <w:rPr>
          <w:rFonts w:ascii="Arial" w:eastAsia="Times New Roman" w:hAnsi="Arial" w:cs="Arial"/>
          <w:sz w:val="21"/>
          <w:szCs w:val="21"/>
          <w:lang w:eastAsia="es-ES_tradnl"/>
        </w:rPr>
      </w:pPr>
      <w:r w:rsidRPr="00F87CB6">
        <w:rPr>
          <w:rFonts w:ascii="Arial" w:eastAsia="Times New Roman" w:hAnsi="Arial" w:cs="Arial"/>
          <w:sz w:val="21"/>
          <w:szCs w:val="21"/>
          <w:lang w:eastAsia="es-ES_tradnl"/>
        </w:rPr>
        <w:t xml:space="preserve">Las entidades públicas solo podrán celebrar </w:t>
      </w:r>
      <w:r w:rsidRPr="00F87CB6">
        <w:rPr>
          <w:rFonts w:ascii="Arial" w:eastAsia="Times New Roman" w:hAnsi="Arial" w:cs="Arial"/>
          <w:i/>
          <w:iCs/>
          <w:sz w:val="21"/>
          <w:szCs w:val="21"/>
          <w:lang w:eastAsia="es-ES_tradnl"/>
        </w:rPr>
        <w:t>contratos de prestación de servicios de apoyo a la gestión</w:t>
      </w:r>
      <w:r w:rsidRPr="00F87CB6">
        <w:rPr>
          <w:rFonts w:ascii="Arial" w:eastAsia="Times New Roman" w:hAnsi="Arial" w:cs="Arial"/>
          <w:sz w:val="21"/>
          <w:szCs w:val="21"/>
          <w:lang w:eastAsia="es-ES_tradnl"/>
        </w:rPr>
        <w:t xml:space="preserve"> cuando estos sean estrictamente necesarios por el volumen de trabajo que tenga a su cargo su personal de planta, o por la necesidad de conocimientos especializados. La necesidad de estos contratos deberá justificarse detalladamente,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w:t>
      </w:r>
    </w:p>
    <w:p w14:paraId="6B8224C6" w14:textId="77777777" w:rsidR="007A4176" w:rsidRPr="00F87CB6" w:rsidRDefault="007A4176" w:rsidP="007A4176">
      <w:pPr>
        <w:spacing w:after="0" w:line="240" w:lineRule="auto"/>
        <w:ind w:left="709" w:right="709"/>
        <w:jc w:val="both"/>
        <w:rPr>
          <w:rFonts w:ascii="Arial" w:eastAsia="Times New Roman" w:hAnsi="Arial" w:cs="Arial"/>
          <w:sz w:val="21"/>
          <w:szCs w:val="21"/>
          <w:lang w:eastAsia="es-ES_tradnl"/>
        </w:rPr>
      </w:pPr>
    </w:p>
    <w:p w14:paraId="7AC9A41B" w14:textId="77777777" w:rsidR="007A4176" w:rsidRPr="00F87CB6" w:rsidRDefault="007A4176" w:rsidP="007A4176">
      <w:pPr>
        <w:spacing w:after="0" w:line="240" w:lineRule="auto"/>
        <w:ind w:left="709" w:right="709"/>
        <w:jc w:val="both"/>
        <w:rPr>
          <w:rFonts w:ascii="Arial" w:eastAsia="Times New Roman" w:hAnsi="Arial" w:cs="Arial"/>
          <w:sz w:val="21"/>
          <w:szCs w:val="21"/>
          <w:lang w:eastAsia="es-ES_tradnl"/>
        </w:rPr>
      </w:pPr>
      <w:r w:rsidRPr="00F87CB6">
        <w:rPr>
          <w:rFonts w:ascii="Arial" w:eastAsia="Times New Roman" w:hAnsi="Arial" w:cs="Arial"/>
          <w:sz w:val="21"/>
          <w:szCs w:val="21"/>
          <w:lang w:eastAsia="es-ES_tradnl"/>
        </w:rPr>
        <w:t xml:space="preserve">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 Excepcionalmente se podrán suscribir con recursos de proyectos de inversión, contratos de prestación de servicios para apoyar la gestión de las entidades estatales. Al estructurarse nuevos proyectos de inversión, el Departamento Nacional de Planeación verificará la razonabilidad de los porcentajes que se incluyan en las fichas de los proyectos para rubros como Gastos o Apoyo a la Gerencia del proyecto. </w:t>
      </w:r>
    </w:p>
    <w:p w14:paraId="24A99A78" w14:textId="77777777" w:rsidR="007A4176" w:rsidRPr="00F87CB6" w:rsidRDefault="007A4176" w:rsidP="007A4176">
      <w:pPr>
        <w:spacing w:after="0" w:line="240" w:lineRule="auto"/>
        <w:ind w:left="709" w:right="709"/>
        <w:jc w:val="both"/>
        <w:rPr>
          <w:rFonts w:ascii="Arial" w:eastAsia="Times New Roman" w:hAnsi="Arial" w:cs="Arial"/>
          <w:sz w:val="21"/>
          <w:szCs w:val="21"/>
          <w:lang w:eastAsia="es-ES_tradnl"/>
        </w:rPr>
      </w:pPr>
    </w:p>
    <w:p w14:paraId="1997AE69"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
        </w:rPr>
      </w:pPr>
      <w:r w:rsidRPr="00F87CB6">
        <w:rPr>
          <w:rFonts w:ascii="Arial" w:eastAsia="Times New Roman" w:hAnsi="Arial" w:cs="Arial"/>
          <w:sz w:val="21"/>
          <w:szCs w:val="21"/>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6B0AAA30" w14:textId="77777777" w:rsidR="007A4176" w:rsidRPr="00F87CB6" w:rsidRDefault="007A4176" w:rsidP="007A4176">
      <w:pPr>
        <w:spacing w:after="0" w:line="276" w:lineRule="auto"/>
        <w:jc w:val="both"/>
        <w:rPr>
          <w:rFonts w:ascii="Arial" w:eastAsia="Calibri" w:hAnsi="Arial" w:cs="Arial"/>
          <w:color w:val="000000"/>
          <w:lang w:val="es-ES"/>
        </w:rPr>
      </w:pPr>
    </w:p>
    <w:p w14:paraId="132FEE8C" w14:textId="77777777" w:rsidR="007A4176" w:rsidRPr="00F87CB6" w:rsidRDefault="007A4176" w:rsidP="007A4176">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Para establecer el alcance de lo que se establece en el apartado normativo citado, conviene sintetizar las reglas que de allí se derivan, efectuando las explicaciones correspondientes:</w:t>
      </w:r>
    </w:p>
    <w:p w14:paraId="30DF351F" w14:textId="77777777"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i) Las medidas establecidas rigen para la celebración de «contratos de prestación de servicios de apoyo a la gestión». El </w:t>
      </w:r>
      <w:r w:rsidRPr="00F87CB6">
        <w:rPr>
          <w:rFonts w:ascii="Arial" w:eastAsia="Calibri" w:hAnsi="Arial" w:cs="Arial"/>
          <w:i/>
          <w:iCs/>
          <w:color w:val="000000"/>
          <w:lang w:val="es-ES"/>
        </w:rPr>
        <w:t>sentido</w:t>
      </w:r>
      <w:r w:rsidRPr="00F87CB6">
        <w:rPr>
          <w:rFonts w:ascii="Arial" w:eastAsia="Calibri" w:hAnsi="Arial" w:cs="Arial"/>
          <w:color w:val="000000"/>
          <w:lang w:val="es-ES"/>
        </w:rPr>
        <w:t xml:space="preserve"> normativo de la expresión entre comillas debe extraerse aplicando el criterio de «</w:t>
      </w:r>
      <w:r w:rsidRPr="00F87CB6">
        <w:rPr>
          <w:rFonts w:ascii="Arial" w:eastAsia="Calibri" w:hAnsi="Arial" w:cs="Arial"/>
          <w:i/>
          <w:iCs/>
          <w:color w:val="000000"/>
          <w:lang w:val="es-ES"/>
        </w:rPr>
        <w:t>interpretación restrictiva</w:t>
      </w:r>
      <w:r w:rsidRPr="00F87CB6">
        <w:rPr>
          <w:rFonts w:ascii="Arial" w:eastAsia="Calibri" w:hAnsi="Arial" w:cs="Arial"/>
          <w:color w:val="000000"/>
          <w:lang w:val="es-ES"/>
        </w:rPr>
        <w:t>»</w:t>
      </w:r>
      <w:r w:rsidRPr="00F87CB6">
        <w:rPr>
          <w:rFonts w:ascii="Arial" w:eastAsia="Calibri" w:hAnsi="Arial" w:cs="Arial"/>
          <w:color w:val="000000"/>
          <w:vertAlign w:val="superscript"/>
          <w:lang w:val="es-ES"/>
        </w:rPr>
        <w:footnoteReference w:id="18"/>
      </w:r>
      <w:r w:rsidRPr="00F87CB6">
        <w:rPr>
          <w:rFonts w:ascii="Arial" w:eastAsia="Calibri" w:hAnsi="Arial" w:cs="Arial"/>
          <w:color w:val="000000"/>
          <w:lang w:val="es-ES"/>
        </w:rPr>
        <w:t>,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7E05ABF1"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p>
    <w:p w14:paraId="3AA239E8"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C944EC5"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p>
    <w:p w14:paraId="609EE56F"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4AD4B58E" w14:textId="77777777" w:rsidR="007A4176" w:rsidRPr="00F87CB6" w:rsidRDefault="007A4176" w:rsidP="007A4176">
      <w:pPr>
        <w:spacing w:after="0" w:line="240" w:lineRule="auto"/>
        <w:ind w:right="709"/>
        <w:jc w:val="both"/>
        <w:rPr>
          <w:rFonts w:ascii="Arial" w:eastAsia="Calibri" w:hAnsi="Arial" w:cs="Arial"/>
          <w:color w:val="000000"/>
          <w:sz w:val="21"/>
          <w:szCs w:val="21"/>
          <w:lang w:val="es-ES_tradnl"/>
        </w:rPr>
      </w:pPr>
    </w:p>
    <w:p w14:paraId="5D45E772" w14:textId="77777777" w:rsidR="007A4176" w:rsidRPr="00A53BC5"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F87CB6">
        <w:rPr>
          <w:rFonts w:ascii="Arial" w:eastAsia="Calibri" w:hAnsi="Arial" w:cs="Arial"/>
          <w:color w:val="000000"/>
          <w:sz w:val="21"/>
          <w:szCs w:val="21"/>
          <w:vertAlign w:val="superscript"/>
          <w:lang w:val="es-ES_tradnl"/>
        </w:rPr>
        <w:footnoteReference w:id="19"/>
      </w:r>
      <w:r w:rsidRPr="00F87CB6">
        <w:rPr>
          <w:rFonts w:ascii="Arial" w:eastAsia="Calibri" w:hAnsi="Arial" w:cs="Arial"/>
          <w:color w:val="000000"/>
          <w:sz w:val="21"/>
          <w:szCs w:val="21"/>
          <w:lang w:val="es-ES_tradnl"/>
        </w:rPr>
        <w:t>.</w:t>
      </w:r>
    </w:p>
    <w:p w14:paraId="0169471A" w14:textId="77777777" w:rsidR="005D3FEA" w:rsidRPr="00F87CB6" w:rsidRDefault="005D3FEA" w:rsidP="007A4176">
      <w:pPr>
        <w:spacing w:after="0" w:line="240" w:lineRule="auto"/>
        <w:ind w:left="709" w:right="709"/>
        <w:jc w:val="both"/>
        <w:rPr>
          <w:rFonts w:ascii="Arial" w:eastAsia="Calibri" w:hAnsi="Arial" w:cs="Arial"/>
          <w:color w:val="000000"/>
          <w:sz w:val="21"/>
          <w:szCs w:val="21"/>
          <w:lang w:val="es-ES_tradnl"/>
        </w:rPr>
      </w:pPr>
    </w:p>
    <w:p w14:paraId="5DCCD89A" w14:textId="77777777" w:rsidR="007A4176" w:rsidRPr="00F87CB6" w:rsidRDefault="007A4176" w:rsidP="00A53BC5">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 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w:t>
      </w:r>
    </w:p>
    <w:p w14:paraId="169E8422"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
        </w:rPr>
      </w:pPr>
    </w:p>
    <w:p w14:paraId="5A3FCD50"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
        </w:rPr>
      </w:pPr>
      <w:r w:rsidRPr="00F87CB6">
        <w:rPr>
          <w:rFonts w:ascii="Arial" w:eastAsia="Calibri" w:hAnsi="Arial" w:cs="Arial"/>
          <w:color w:val="000000"/>
          <w:sz w:val="21"/>
          <w:szCs w:val="21"/>
          <w:lang w:val="es-ES"/>
        </w:rPr>
        <w:t xml:space="preserve">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  </w:t>
      </w:r>
    </w:p>
    <w:p w14:paraId="5CB46268"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
        </w:rPr>
      </w:pPr>
    </w:p>
    <w:p w14:paraId="0F3022A6" w14:textId="77777777" w:rsidR="007A4176" w:rsidRPr="00F87CB6" w:rsidRDefault="007A4176" w:rsidP="007A4176">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Por consiguiente, al ser las disposiciones de la Directiva Presidencial No. 08 del 17 de septiembre de 2022 normas reglamentarias, deben interpretarse conforme con las sentencias de unificación jurisprudencial del Consejo de Estado, dentro de las cuales se encuentra la sentencia del 2 de diciembre de 2013 a la que se ha hecho referencia.</w:t>
      </w:r>
    </w:p>
    <w:p w14:paraId="44ADFF3D" w14:textId="77777777"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ii) La Directiva indica que las entidades públicas solo pueden justificar la celebración de «contratos de prestación de servicios de apoyo a la gestión» por dos razones: la carga de trabajo de su personal de planta o la necesidad de conocimientos especializados. Al respecto, es importante tener en cuenta que cuando se hace alusión al concepto «entidades públicas», debe interpretarse en armonía con lo que la Directiva indica al comienzo sobre sus destinatarios, esto es, que aplica para las entidades que conforman la Rama Ejecutiva del orden nacional.</w:t>
      </w:r>
    </w:p>
    <w:p w14:paraId="6225A532" w14:textId="77777777"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La exigencia de «conocimientos especializados», como uno de los motivos que pueden dar lugar a la «celebración de contratos de prestación de servicios de apoyo a la gestión», en criterio de esta Agencia, no se opone a la definición planteada por el Consejo de Estado en la sentencia de unificación jurisprudencial a la que se ha aludido, porque dichos contratos son una de las especies del </w:t>
      </w:r>
      <w:r w:rsidRPr="00F87CB6">
        <w:rPr>
          <w:rFonts w:ascii="Arial" w:eastAsia="Calibri" w:hAnsi="Arial" w:cs="Arial"/>
          <w:i/>
          <w:iCs/>
          <w:color w:val="000000"/>
          <w:lang w:val="es-ES"/>
        </w:rPr>
        <w:t>género</w:t>
      </w:r>
      <w:r w:rsidRPr="00F87CB6">
        <w:rPr>
          <w:rFonts w:ascii="Arial" w:eastAsia="Calibri" w:hAnsi="Arial" w:cs="Arial"/>
          <w:color w:val="000000"/>
          <w:lang w:val="es-ES"/>
        </w:rPr>
        <w:t xml:space="preserve"> «contrato de prestación de servicios» definido en el artículo 32, numeral 3, de la Ley 80 de 1993. Esta norma establece que «Estos contratos sólo podrán celebrarse con personas naturales cuando dichas actividades no puedan realizarse con personal de planta o requieran conocimientos especializados». Esta característica es </w:t>
      </w:r>
      <w:r w:rsidRPr="00F87CB6">
        <w:rPr>
          <w:rFonts w:ascii="Arial" w:eastAsia="Calibri" w:hAnsi="Arial" w:cs="Arial"/>
          <w:i/>
          <w:iCs/>
          <w:color w:val="000000"/>
          <w:lang w:val="es-ES"/>
        </w:rPr>
        <w:t>transversal</w:t>
      </w:r>
      <w:r w:rsidRPr="00F87CB6">
        <w:rPr>
          <w:rFonts w:ascii="Arial" w:eastAsia="Calibri" w:hAnsi="Arial" w:cs="Arial"/>
          <w:color w:val="000000"/>
          <w:lang w:val="es-ES"/>
        </w:rPr>
        <w:t xml:space="preserve"> y, por tanto, se aplica también a los «contratos de prestación de servicios de apoyo a la gestión»; es decir, no es exclusiva de los «contratos de prestación de servicios </w:t>
      </w:r>
      <w:r w:rsidRPr="00F87CB6">
        <w:rPr>
          <w:rFonts w:ascii="Arial" w:eastAsia="Calibri" w:hAnsi="Arial" w:cs="Arial"/>
          <w:i/>
          <w:iCs/>
          <w:color w:val="000000"/>
          <w:lang w:val="es-ES"/>
        </w:rPr>
        <w:t>profesionales</w:t>
      </w:r>
      <w:r w:rsidRPr="00F87CB6">
        <w:rPr>
          <w:rFonts w:ascii="Arial" w:eastAsia="Calibri" w:hAnsi="Arial" w:cs="Arial"/>
          <w:color w:val="000000"/>
          <w:lang w:val="es-ES"/>
        </w:rPr>
        <w:t xml:space="preserve">». </w:t>
      </w:r>
    </w:p>
    <w:p w14:paraId="593F476E" w14:textId="77777777"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iii) Asimismo, la Directiva señala que la configuración de alguno de los dos motivos a los que se ha hecho referencia anteriormente –es decir, el volumen laboral o la necesidad de conocimientos especializados– debe estar bien soportado en los documentos precontractuales. O sea, los estudios previos deben contener una justificación adecuada de por qué se presenta alguna de las razones que en la Directiva se indican para celebrar el respectivo «contrato de prestación de servicios de apoyo a la gestión».</w:t>
      </w:r>
    </w:p>
    <w:p w14:paraId="6BA41FC0" w14:textId="77777777"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iv) Se establece, a su vez, que este tipo de contratos no puede tener «vocación de permanencia»; algo que, simplemente, reitera lo que, de tiempo atrás, ha sostenido la jurisprudencia constitucional y contencioso-administrativa, como se indicó en el numeral 2.1 de este concepto.</w:t>
      </w:r>
    </w:p>
    <w:p w14:paraId="1262EBF5" w14:textId="7458DD93"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v) Se exhorta a las </w:t>
      </w:r>
      <w:r w:rsidR="00757BCD">
        <w:rPr>
          <w:rFonts w:ascii="Arial" w:eastAsia="Calibri" w:hAnsi="Arial" w:cs="Arial"/>
          <w:color w:val="000000"/>
          <w:lang w:val="es-ES"/>
        </w:rPr>
        <w:t>E</w:t>
      </w:r>
      <w:r w:rsidRPr="00F87CB6">
        <w:rPr>
          <w:rFonts w:ascii="Arial" w:eastAsia="Calibri" w:hAnsi="Arial" w:cs="Arial"/>
          <w:color w:val="000000"/>
          <w:lang w:val="es-ES"/>
        </w:rPr>
        <w:t xml:space="preserve">ntidades </w:t>
      </w:r>
      <w:r w:rsidR="00757BCD">
        <w:rPr>
          <w:rFonts w:ascii="Arial" w:eastAsia="Calibri" w:hAnsi="Arial" w:cs="Arial"/>
          <w:color w:val="000000"/>
          <w:lang w:val="es-ES"/>
        </w:rPr>
        <w:t>E</w:t>
      </w:r>
      <w:r w:rsidRPr="00F87CB6">
        <w:rPr>
          <w:rFonts w:ascii="Arial" w:eastAsia="Calibri" w:hAnsi="Arial" w:cs="Arial"/>
          <w:color w:val="000000"/>
          <w:lang w:val="es-ES"/>
        </w:rPr>
        <w:t xml:space="preserve">statales a adelantar las labores administrativas necesarias para ampliar su planta de personal, cuando la labor que se ha contratado por prestación de servicios de apoyo a la gestión se requiera en forma permanente. </w:t>
      </w:r>
    </w:p>
    <w:p w14:paraId="7802DC5C" w14:textId="77777777"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vi) Se establece también que, excepcionalmente, se pueden celebrar estos contratos con recursos de proyectos de inversión. En este aspecto se encomienda al Departamento Nacional de Planeación la verificación de «[…] la razonabilidad de los porcentajes que se incluyan en las fichas de los proyectos para rubros como Gastos o Apoyo a la Gerencia del proyecto».</w:t>
      </w:r>
    </w:p>
    <w:p w14:paraId="20CCA4C4" w14:textId="77777777" w:rsidR="007A4176" w:rsidRPr="00F87CB6" w:rsidRDefault="007A4176" w:rsidP="007A4176">
      <w:pPr>
        <w:spacing w:before="120" w:after="0" w:line="276" w:lineRule="auto"/>
        <w:ind w:firstLine="709"/>
        <w:jc w:val="both"/>
        <w:rPr>
          <w:rFonts w:ascii="Arial" w:eastAsia="Times New Roman" w:hAnsi="Arial" w:cs="Arial"/>
          <w:lang w:eastAsia="es-ES_tradnl"/>
        </w:rPr>
      </w:pPr>
      <w:r w:rsidRPr="00F87CB6">
        <w:rPr>
          <w:rFonts w:ascii="Arial" w:eastAsia="Calibri" w:hAnsi="Arial" w:cs="Arial"/>
          <w:color w:val="000000"/>
          <w:lang w:val="es-ES"/>
        </w:rPr>
        <w:t>vii) Finalmente, se incluye la siguiente prohibición: «</w:t>
      </w:r>
      <w:r w:rsidRPr="00F87CB6">
        <w:rPr>
          <w:rFonts w:ascii="Arial" w:eastAsia="Times New Roman" w:hAnsi="Arial" w:cs="Arial"/>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65D9CA0B" w14:textId="77777777"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Times New Roman" w:hAnsi="Arial" w:cs="Arial"/>
          <w:lang w:eastAsia="es-ES_tradnl"/>
        </w:rPr>
        <w:t xml:space="preserve">Esta restricción se transcribe de nuevo, en su tenor literal, porque, al respecto, en la consulta se pregunta si la prohibición se aplica aun cuando el contrato de prestación de servicios suscrito previamente haya sido con una entidad pública que no pertenezca a la Rama Ejecutiva del orden nacional. En criterio de esta Agencia, aunque las destinatarias de la Directiva sean, como se ha explicado, las entidades públicas de la Rama Ejecutiva del orden nacional,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pueden suscribirlos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w:t>
      </w:r>
      <w:r w:rsidRPr="00F87CB6">
        <w:rPr>
          <w:rFonts w:ascii="Arial" w:eastAsia="Times New Roman" w:hAnsi="Arial" w:cs="Arial"/>
          <w:i/>
          <w:iCs/>
          <w:lang w:eastAsia="es-ES_tradnl"/>
        </w:rPr>
        <w:t>cuando la norma no distingue no le es dable al intérprete hacerlo</w:t>
      </w:r>
      <w:r w:rsidRPr="00F87CB6">
        <w:rPr>
          <w:rFonts w:ascii="Arial" w:eastAsia="Times New Roman" w:hAnsi="Arial" w:cs="Arial"/>
          <w:vertAlign w:val="superscript"/>
          <w:lang w:eastAsia="es-ES_tradnl"/>
        </w:rPr>
        <w:footnoteReference w:id="20"/>
      </w:r>
      <w:r w:rsidRPr="00F87CB6">
        <w:rPr>
          <w:rFonts w:ascii="Arial" w:eastAsia="Times New Roman" w:hAnsi="Arial" w:cs="Arial"/>
          <w:lang w:eastAsia="es-ES_tradnl"/>
        </w:rPr>
        <w:t>.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p>
    <w:p w14:paraId="6F28F5D7" w14:textId="77777777" w:rsidR="007A4176" w:rsidRPr="00F87CB6" w:rsidRDefault="007A4176" w:rsidP="007A4176">
      <w:pPr>
        <w:tabs>
          <w:tab w:val="left" w:pos="284"/>
        </w:tabs>
        <w:spacing w:after="0" w:line="276" w:lineRule="auto"/>
        <w:contextualSpacing/>
        <w:jc w:val="both"/>
        <w:rPr>
          <w:rFonts w:ascii="Arial" w:eastAsia="Calibri" w:hAnsi="Arial" w:cs="Arial"/>
          <w:b/>
          <w:color w:val="000000"/>
          <w:lang w:val="es-ES_tradnl"/>
        </w:rPr>
      </w:pPr>
    </w:p>
    <w:p w14:paraId="116C1DE3" w14:textId="77777777" w:rsidR="007A4176" w:rsidRPr="00F87CB6" w:rsidRDefault="007A4176" w:rsidP="007A4176">
      <w:pPr>
        <w:tabs>
          <w:tab w:val="left" w:pos="284"/>
        </w:tabs>
        <w:spacing w:after="0" w:line="276" w:lineRule="auto"/>
        <w:contextualSpacing/>
        <w:jc w:val="both"/>
        <w:rPr>
          <w:rFonts w:ascii="Arial" w:eastAsia="Calibri" w:hAnsi="Arial" w:cs="Arial"/>
          <w:color w:val="000000"/>
          <w:lang w:val="es-ES_tradnl"/>
        </w:rPr>
      </w:pPr>
      <w:r w:rsidRPr="00F87CB6">
        <w:rPr>
          <w:rFonts w:ascii="Arial" w:eastAsia="Calibri" w:hAnsi="Arial" w:cs="Arial"/>
          <w:b/>
          <w:color w:val="000000"/>
          <w:lang w:val="es-ES_tradnl"/>
        </w:rPr>
        <w:t>3. Respuesta</w:t>
      </w:r>
    </w:p>
    <w:p w14:paraId="7BC34CC7" w14:textId="77777777" w:rsidR="007A4176" w:rsidRPr="00F87CB6" w:rsidRDefault="007A4176" w:rsidP="007A4176">
      <w:pPr>
        <w:spacing w:after="0" w:line="276" w:lineRule="auto"/>
        <w:ind w:left="709" w:right="709"/>
        <w:jc w:val="both"/>
        <w:rPr>
          <w:rFonts w:ascii="Arial" w:eastAsia="Calibri" w:hAnsi="Arial" w:cs="Arial"/>
          <w:i/>
          <w:color w:val="000000"/>
          <w:lang w:val="es-ES_tradnl"/>
        </w:rPr>
      </w:pPr>
    </w:p>
    <w:p w14:paraId="0E655ACB"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«1) La Directiva referida en su título establece que la misma se encuentra dirigida a las: "ENTIDADES DE LA RAMA EJECUTIVA DEL ORDEN NACIONAL", y no hace en su contenido distinción alguna respecto a las Entidades Públicas del Orden Territorial o sus entidades descentralizadas o adscritas.</w:t>
      </w:r>
    </w:p>
    <w:p w14:paraId="6158D1D2"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27764859"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»1.1. Conforme a lo anterior, se solicita se indique si tal directiva también se debe aplicar en las Entidades Públicas del Orden Territorial y sus Entidades descentralizadas, a pesar de que éstas tienen autonomía administrativa y presupuestal».</w:t>
      </w:r>
    </w:p>
    <w:p w14:paraId="7FC236C0"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58BB5B56" w14:textId="77777777" w:rsidR="007A4176" w:rsidRPr="00F87CB6" w:rsidRDefault="007A4176" w:rsidP="007A4176">
      <w:pPr>
        <w:spacing w:after="0" w:line="276" w:lineRule="auto"/>
        <w:jc w:val="both"/>
        <w:rPr>
          <w:rFonts w:ascii="Arial" w:eastAsia="Calibri" w:hAnsi="Arial" w:cs="Arial"/>
          <w:color w:val="000000"/>
          <w:lang w:val="es-ES"/>
        </w:rPr>
      </w:pPr>
      <w:r w:rsidRPr="00F87CB6">
        <w:rPr>
          <w:rFonts w:ascii="Arial" w:eastAsia="Calibri" w:hAnsi="Arial" w:cs="Arial"/>
          <w:color w:val="000000"/>
          <w:lang w:val="es-ES"/>
        </w:rPr>
        <w:t xml:space="preserve">Como se indicó, la Directiva Presidencial No. 08 de 2022 está dirigida a las «Entidades de la Rama Ejecutiva del orden nacional», como se lee en su primera página. Esto significa que la Directiva no rige para las entidades estatales que pertenecen al orden o nivel </w:t>
      </w:r>
      <w:r w:rsidRPr="00F87CB6">
        <w:rPr>
          <w:rFonts w:ascii="Arial" w:eastAsia="Calibri" w:hAnsi="Arial" w:cs="Arial"/>
          <w:i/>
          <w:iCs/>
          <w:color w:val="000000"/>
          <w:lang w:val="es-ES"/>
        </w:rPr>
        <w:t xml:space="preserve">territorial </w:t>
      </w:r>
      <w:r w:rsidRPr="00F87CB6">
        <w:rPr>
          <w:rFonts w:ascii="Arial" w:eastAsia="Calibri" w:hAnsi="Arial" w:cs="Arial"/>
          <w:color w:val="000000"/>
          <w:lang w:val="es-ES"/>
        </w:rPr>
        <w:t xml:space="preserve">(sean del sector central o descentralizado por servicios), ni para los órganos de otras ramas del poder público distintas a la Rama Ejecutiva.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 que establece la composición de la Rama Ejecutiva en el nivel nacional. </w:t>
      </w:r>
    </w:p>
    <w:p w14:paraId="26ABC830"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272B9A07"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«2) En el contenido de la Directiva, específicamente el numeral 1.1), se hace referencia a Contratos de Prestación de Servicios de Apoyo a la Gestión, y luego indica sobre aquellos que requieran conocimientos especializados.</w:t>
      </w:r>
    </w:p>
    <w:p w14:paraId="4EC0C80C"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54C75577"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»2.1. Considerando que los Contratos de Prestación de Servicios (CPS) se clasifican en: </w:t>
      </w:r>
      <w:r w:rsidRPr="00F87CB6">
        <w:rPr>
          <w:rFonts w:ascii="Arial" w:eastAsia="Calibri" w:hAnsi="Arial" w:cs="Arial"/>
          <w:i/>
          <w:iCs/>
          <w:color w:val="000000"/>
          <w:sz w:val="21"/>
          <w:szCs w:val="21"/>
          <w:lang w:val="es-ES_tradnl"/>
        </w:rPr>
        <w:t>*Profesionales, *Apoyo a la Gestión y *ejecución de trabajos artísticos</w:t>
      </w:r>
      <w:r w:rsidRPr="00F87CB6">
        <w:rPr>
          <w:rFonts w:ascii="Arial" w:eastAsia="Calibri" w:hAnsi="Arial" w:cs="Arial"/>
          <w:color w:val="000000"/>
          <w:sz w:val="21"/>
          <w:szCs w:val="21"/>
          <w:lang w:val="es-ES_tradnl"/>
        </w:rPr>
        <w:t>, se solicita se indique si la Directiva Presidencial aplica para la celebración de todos los tipos de CPS o únicamente para los de: Apoyo a /a Gestión, atendiendo que son estos últimos los más propensos a convertirse en un Contrato Realidad por la permanencia que se requiere en la Entidad por parte del contratista».</w:t>
      </w:r>
    </w:p>
    <w:p w14:paraId="7E269FA7"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2AC7B950" w14:textId="77777777" w:rsidR="007A4176" w:rsidRPr="00F87CB6" w:rsidRDefault="007A4176" w:rsidP="007A4176">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Las medidas establecidas rigen para la celebración de «contratos de prestación de servicios de apoyo a la gestión». El </w:t>
      </w:r>
      <w:r w:rsidRPr="00F87CB6">
        <w:rPr>
          <w:rFonts w:ascii="Arial" w:eastAsia="Calibri" w:hAnsi="Arial" w:cs="Arial"/>
          <w:i/>
          <w:iCs/>
          <w:color w:val="000000"/>
          <w:lang w:val="es-ES"/>
        </w:rPr>
        <w:t>sentido</w:t>
      </w:r>
      <w:r w:rsidRPr="00F87CB6">
        <w:rPr>
          <w:rFonts w:ascii="Arial" w:eastAsia="Calibri" w:hAnsi="Arial" w:cs="Arial"/>
          <w:color w:val="000000"/>
          <w:lang w:val="es-ES"/>
        </w:rPr>
        <w:t xml:space="preserve"> normativo de la expresión entre comillas debe extraerse aplicando el criterio de «</w:t>
      </w:r>
      <w:r w:rsidRPr="00F87CB6">
        <w:rPr>
          <w:rFonts w:ascii="Arial" w:eastAsia="Calibri" w:hAnsi="Arial" w:cs="Arial"/>
          <w:i/>
          <w:iCs/>
          <w:color w:val="000000"/>
          <w:lang w:val="es-ES"/>
        </w:rPr>
        <w:t>interpretación restrictiva</w:t>
      </w:r>
      <w:r w:rsidRPr="00F87CB6">
        <w:rPr>
          <w:rFonts w:ascii="Arial" w:eastAsia="Calibri" w:hAnsi="Arial" w:cs="Arial"/>
          <w:color w:val="000000"/>
          <w:lang w:val="es-ES"/>
        </w:rPr>
        <w:t>»,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4B1CFE6A"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p>
    <w:p w14:paraId="325905DF"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C42FBEE"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p>
    <w:p w14:paraId="50C78A9D"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121D88DF"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p>
    <w:p w14:paraId="121892B4"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F87CB6">
        <w:rPr>
          <w:rFonts w:ascii="Arial" w:eastAsia="Calibri" w:hAnsi="Arial" w:cs="Arial"/>
          <w:color w:val="000000"/>
          <w:sz w:val="21"/>
          <w:szCs w:val="21"/>
          <w:vertAlign w:val="superscript"/>
          <w:lang w:val="es-ES_tradnl"/>
        </w:rPr>
        <w:footnoteReference w:id="21"/>
      </w:r>
      <w:r w:rsidRPr="00F87CB6">
        <w:rPr>
          <w:rFonts w:ascii="Arial" w:eastAsia="Calibri" w:hAnsi="Arial" w:cs="Arial"/>
          <w:color w:val="000000"/>
          <w:sz w:val="21"/>
          <w:szCs w:val="21"/>
          <w:lang w:val="es-ES_tradnl"/>
        </w:rPr>
        <w:t>.</w:t>
      </w:r>
    </w:p>
    <w:p w14:paraId="53C0C600" w14:textId="77777777"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 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w:t>
      </w:r>
    </w:p>
    <w:p w14:paraId="2578DA33"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
        </w:rPr>
      </w:pPr>
    </w:p>
    <w:p w14:paraId="28579518"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
        </w:rPr>
      </w:pPr>
      <w:r w:rsidRPr="00F87CB6">
        <w:rPr>
          <w:rFonts w:ascii="Arial" w:eastAsia="Calibri" w:hAnsi="Arial" w:cs="Arial"/>
          <w:color w:val="000000"/>
          <w:sz w:val="21"/>
          <w:szCs w:val="21"/>
          <w:lang w:val="es-ES"/>
        </w:rPr>
        <w:t xml:space="preserve">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  </w:t>
      </w:r>
    </w:p>
    <w:p w14:paraId="42FF86E5" w14:textId="77777777" w:rsidR="007A4176" w:rsidRPr="00F87CB6" w:rsidRDefault="007A4176" w:rsidP="007A4176">
      <w:pPr>
        <w:spacing w:after="0" w:line="240" w:lineRule="auto"/>
        <w:ind w:left="709" w:right="709"/>
        <w:jc w:val="both"/>
        <w:rPr>
          <w:rFonts w:ascii="Arial" w:eastAsia="Calibri" w:hAnsi="Arial" w:cs="Arial"/>
          <w:color w:val="000000"/>
          <w:sz w:val="21"/>
          <w:szCs w:val="21"/>
          <w:lang w:val="es-ES"/>
        </w:rPr>
      </w:pPr>
    </w:p>
    <w:p w14:paraId="5FE6DC7A" w14:textId="77777777" w:rsidR="007A4176" w:rsidRPr="00F87CB6" w:rsidRDefault="007A4176" w:rsidP="007A4176">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Por consiguiente, al ser las disposiciones de la Directiva Presidencial No. 08 del 17 de septiembre de 2022 normas reglamentarias, deben interpretarse conforme con las sentencias de unificación jurisprudencial del Consejo de Estado, dentro de las cuales se encuentra la sentencia del 2 de diciembre de 2013 a la que se ha hecho referencia.</w:t>
      </w:r>
    </w:p>
    <w:p w14:paraId="36A513A1" w14:textId="77777777" w:rsidR="007A4176" w:rsidRPr="00F87CB6" w:rsidRDefault="007A4176" w:rsidP="007A4176">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Ahora bien, la exigencia de «conocimientos especializados», como uno de los motivos que pueden dar lugar a la «celebración de contratos de prestación de servicios de apoyo a la gestión», en criterio de esta Agencia, no se opone a la definición planteada por el Consejo de Estado en la sentencia de unificación jurisprudencial a la que se ha aludido, porque dichos contratos son una de las especies del </w:t>
      </w:r>
      <w:r w:rsidRPr="00F87CB6">
        <w:rPr>
          <w:rFonts w:ascii="Arial" w:eastAsia="Calibri" w:hAnsi="Arial" w:cs="Arial"/>
          <w:i/>
          <w:iCs/>
          <w:color w:val="000000"/>
          <w:lang w:val="es-ES"/>
        </w:rPr>
        <w:t>género</w:t>
      </w:r>
      <w:r w:rsidRPr="00F87CB6">
        <w:rPr>
          <w:rFonts w:ascii="Arial" w:eastAsia="Calibri" w:hAnsi="Arial" w:cs="Arial"/>
          <w:color w:val="000000"/>
          <w:lang w:val="es-ES"/>
        </w:rPr>
        <w:t xml:space="preserve"> «contrato de prestación de servicios» definido en el artículo 32, numeral 3, de la Ley 80 de 1993. Esta norma establece que «Estos contratos sólo podrán celebrarse con personas naturales cuando dichas actividades no puedan realizarse con personal de planta o requieran conocimientos especializados». Esta característica es </w:t>
      </w:r>
      <w:r w:rsidRPr="00F87CB6">
        <w:rPr>
          <w:rFonts w:ascii="Arial" w:eastAsia="Calibri" w:hAnsi="Arial" w:cs="Arial"/>
          <w:i/>
          <w:iCs/>
          <w:color w:val="000000"/>
          <w:lang w:val="es-ES"/>
        </w:rPr>
        <w:t>transversal</w:t>
      </w:r>
      <w:r w:rsidRPr="00F87CB6">
        <w:rPr>
          <w:rFonts w:ascii="Arial" w:eastAsia="Calibri" w:hAnsi="Arial" w:cs="Arial"/>
          <w:color w:val="000000"/>
          <w:lang w:val="es-ES"/>
        </w:rPr>
        <w:t xml:space="preserve"> y, por tanto, se aplica también a los «contratos de prestación de servicios de apoyo a la gestión»; es decir, no es exclusiva de los «contratos de prestación de servicios </w:t>
      </w:r>
      <w:r w:rsidRPr="00F87CB6">
        <w:rPr>
          <w:rFonts w:ascii="Arial" w:eastAsia="Calibri" w:hAnsi="Arial" w:cs="Arial"/>
          <w:i/>
          <w:iCs/>
          <w:color w:val="000000"/>
          <w:lang w:val="es-ES"/>
        </w:rPr>
        <w:t>profesionales</w:t>
      </w:r>
      <w:r w:rsidRPr="00F87CB6">
        <w:rPr>
          <w:rFonts w:ascii="Arial" w:eastAsia="Calibri" w:hAnsi="Arial" w:cs="Arial"/>
          <w:color w:val="000000"/>
          <w:lang w:val="es-ES"/>
        </w:rPr>
        <w:t xml:space="preserve">». </w:t>
      </w:r>
    </w:p>
    <w:p w14:paraId="75EEE31F" w14:textId="77777777" w:rsidR="007A4176" w:rsidRPr="00F87CB6" w:rsidRDefault="007A4176" w:rsidP="007A4176">
      <w:pPr>
        <w:tabs>
          <w:tab w:val="left" w:pos="426"/>
        </w:tabs>
        <w:spacing w:after="0" w:line="240" w:lineRule="auto"/>
        <w:ind w:right="709"/>
        <w:jc w:val="both"/>
        <w:rPr>
          <w:rFonts w:ascii="Arial" w:eastAsia="Calibri" w:hAnsi="Arial" w:cs="Arial"/>
          <w:color w:val="000000"/>
          <w:sz w:val="21"/>
          <w:szCs w:val="21"/>
          <w:lang w:val="es-ES_tradnl"/>
        </w:rPr>
      </w:pPr>
    </w:p>
    <w:p w14:paraId="688C2215"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«3) Cuando se indica en el numeral 1.1) de la Directiva: </w:t>
      </w:r>
      <w:r w:rsidRPr="00F87CB6">
        <w:rPr>
          <w:rFonts w:ascii="Arial" w:eastAsia="Calibri" w:hAnsi="Arial" w:cs="Arial"/>
          <w:i/>
          <w:iCs/>
          <w:color w:val="000000"/>
          <w:sz w:val="21"/>
          <w:szCs w:val="21"/>
          <w:lang w:val="es-ES_tradnl"/>
        </w:rPr>
        <w:t>(…)</w:t>
      </w:r>
      <w:r w:rsidRPr="00F87CB6">
        <w:rPr>
          <w:rFonts w:ascii="Arial" w:eastAsia="Calibri" w:hAnsi="Arial" w:cs="Arial"/>
          <w:color w:val="000000"/>
          <w:sz w:val="21"/>
          <w:szCs w:val="21"/>
          <w:lang w:val="es-ES_tradnl"/>
        </w:rPr>
        <w:t xml:space="preserve"> </w:t>
      </w:r>
      <w:r w:rsidRPr="00F87CB6">
        <w:rPr>
          <w:rFonts w:ascii="Arial" w:eastAsia="Calibri" w:hAnsi="Arial" w:cs="Arial"/>
          <w:i/>
          <w:iCs/>
          <w:color w:val="000000"/>
          <w:sz w:val="21"/>
          <w:szCs w:val="21"/>
          <w:lang w:val="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w:t>
      </w:r>
      <w:r w:rsidRPr="00F87CB6">
        <w:rPr>
          <w:rFonts w:ascii="Arial" w:eastAsia="Calibri" w:hAnsi="Arial" w:cs="Arial"/>
          <w:color w:val="000000"/>
          <w:sz w:val="21"/>
          <w:szCs w:val="21"/>
          <w:lang w:val="es-ES_tradnl"/>
        </w:rPr>
        <w:t>.</w:t>
      </w:r>
    </w:p>
    <w:p w14:paraId="6304695A"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p>
    <w:p w14:paraId="3B4A86D9"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»3.1. Se sirvan aclarar si la prohibición allí contenida es aplicable aun tratándose de Entidades Públicas de diferentes ordenes o niveles (nacional, territorial) o incluso si la persona natural tiene suscrito un contrato de prestación de servicios profesionales o de apoyo a la gestión con un organismo de control o la rama judicial, y se pretende que ésta realice: asesoría o acompañamiento alguno a otra Entidad».</w:t>
      </w:r>
    </w:p>
    <w:p w14:paraId="352414EA" w14:textId="77777777" w:rsidR="007A4176" w:rsidRPr="00F87CB6" w:rsidRDefault="007A4176" w:rsidP="007A4176">
      <w:pPr>
        <w:tabs>
          <w:tab w:val="left" w:pos="426"/>
        </w:tabs>
        <w:spacing w:after="0" w:line="240" w:lineRule="auto"/>
        <w:ind w:right="709"/>
        <w:jc w:val="both"/>
        <w:rPr>
          <w:rFonts w:ascii="Arial" w:eastAsia="Calibri" w:hAnsi="Arial" w:cs="Arial"/>
          <w:color w:val="000000"/>
          <w:sz w:val="21"/>
          <w:szCs w:val="21"/>
          <w:lang w:val="es-ES_tradnl"/>
        </w:rPr>
      </w:pPr>
    </w:p>
    <w:p w14:paraId="444325EE" w14:textId="77777777" w:rsidR="007A4176" w:rsidRPr="00F87CB6" w:rsidRDefault="007A4176" w:rsidP="007A4176">
      <w:pPr>
        <w:spacing w:after="0" w:line="276" w:lineRule="auto"/>
        <w:ind w:firstLine="709"/>
        <w:jc w:val="both"/>
        <w:rPr>
          <w:rFonts w:ascii="Arial" w:eastAsia="Calibri" w:hAnsi="Arial" w:cs="Arial"/>
          <w:color w:val="000000"/>
          <w:lang w:val="es-ES"/>
        </w:rPr>
      </w:pPr>
      <w:r w:rsidRPr="00F87CB6">
        <w:rPr>
          <w:rFonts w:ascii="Arial" w:eastAsia="Times New Roman" w:hAnsi="Arial" w:cs="Arial"/>
          <w:lang w:eastAsia="es-ES_tradnl"/>
        </w:rPr>
        <w:t xml:space="preserve">En criterio de esta Agencia, aunque las destinatarias de la Directiva sean, como se ha explicado, las entidades públicas de la Rama Ejecutiva del orden nacional,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pueden suscribirlos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w:t>
      </w:r>
      <w:r w:rsidRPr="00F87CB6">
        <w:rPr>
          <w:rFonts w:ascii="Arial" w:eastAsia="Times New Roman" w:hAnsi="Arial" w:cs="Arial"/>
          <w:i/>
          <w:iCs/>
          <w:lang w:eastAsia="es-ES_tradnl"/>
        </w:rPr>
        <w:t>cuando la norma no distingue no le es dable al intérprete hacerlo</w:t>
      </w:r>
      <w:r w:rsidRPr="00F87CB6">
        <w:rPr>
          <w:rFonts w:ascii="Arial" w:eastAsia="Times New Roman" w:hAnsi="Arial" w:cs="Arial"/>
          <w:lang w:eastAsia="es-ES_tradnl"/>
        </w:rPr>
        <w:t>.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p>
    <w:p w14:paraId="5F12FBE4" w14:textId="77777777" w:rsidR="007A4176" w:rsidRPr="00F87CB6" w:rsidRDefault="007A4176" w:rsidP="007A4176">
      <w:pPr>
        <w:tabs>
          <w:tab w:val="left" w:pos="426"/>
        </w:tabs>
        <w:spacing w:after="0" w:line="240" w:lineRule="auto"/>
        <w:ind w:right="709"/>
        <w:jc w:val="both"/>
        <w:rPr>
          <w:rFonts w:ascii="Arial" w:eastAsia="Calibri" w:hAnsi="Arial" w:cs="Arial"/>
          <w:color w:val="000000"/>
          <w:sz w:val="21"/>
          <w:szCs w:val="21"/>
          <w:lang w:val="es-ES_tradnl"/>
        </w:rPr>
      </w:pPr>
    </w:p>
    <w:p w14:paraId="76565143" w14:textId="77777777" w:rsidR="007A4176" w:rsidRPr="00F87CB6" w:rsidRDefault="007A4176" w:rsidP="007A4176">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«3.2. De igual manera, se sirvan indicar cual es la normatividad vigente o jurisprudencial en la que se sustenta la Directiva para establecer prohibiciones, Ias cuales antes de ser conminadas a cumplirse por el ejecutivo, deben estar fundadas en una disposición Constitucional o de Ley, esto es, Ias prohibiciones deben estar previamente autorizadas por la Constitución o por una Ley expedida por el Congreso de la República, atendiendo la </w:t>
      </w:r>
      <w:r w:rsidRPr="00F87CB6">
        <w:rPr>
          <w:rFonts w:ascii="Arial" w:eastAsia="Calibri" w:hAnsi="Arial" w:cs="Arial"/>
          <w:i/>
          <w:iCs/>
          <w:color w:val="000000"/>
          <w:sz w:val="21"/>
          <w:szCs w:val="21"/>
          <w:lang w:val="es-ES_tradnl"/>
        </w:rPr>
        <w:t>Reserva de Ley</w:t>
      </w:r>
      <w:r w:rsidRPr="00F87CB6">
        <w:rPr>
          <w:rFonts w:ascii="Arial" w:eastAsia="Calibri" w:hAnsi="Arial" w:cs="Arial"/>
          <w:color w:val="000000"/>
          <w:sz w:val="21"/>
          <w:szCs w:val="21"/>
          <w:lang w:val="es-ES_tradnl"/>
        </w:rPr>
        <w:t xml:space="preserve"> relacionada con el principio de legalidad y/o clausula general de competencia» (sic)».</w:t>
      </w:r>
    </w:p>
    <w:p w14:paraId="687865B5" w14:textId="77777777" w:rsidR="007A4176" w:rsidRPr="00F87CB6" w:rsidRDefault="007A4176" w:rsidP="007A4176">
      <w:pPr>
        <w:spacing w:after="0" w:line="276" w:lineRule="auto"/>
        <w:jc w:val="both"/>
        <w:rPr>
          <w:rFonts w:ascii="Arial" w:eastAsia="Calibri" w:hAnsi="Arial" w:cs="Arial"/>
          <w:color w:val="000000"/>
          <w:lang w:val="es-ES_tradnl"/>
        </w:rPr>
      </w:pPr>
    </w:p>
    <w:p w14:paraId="6DE2C005" w14:textId="00DEE72E" w:rsidR="007A4176" w:rsidRPr="00F87CB6" w:rsidRDefault="007A4176" w:rsidP="00A53BC5">
      <w:pPr>
        <w:spacing w:after="0" w:line="276" w:lineRule="auto"/>
        <w:ind w:firstLine="708"/>
        <w:jc w:val="both"/>
        <w:rPr>
          <w:rFonts w:ascii="Arial" w:eastAsia="Calibri" w:hAnsi="Arial" w:cs="Arial"/>
          <w:color w:val="000000"/>
          <w:lang w:val="es-ES"/>
        </w:rPr>
      </w:pPr>
      <w:r w:rsidRPr="00F87CB6">
        <w:rPr>
          <w:rFonts w:ascii="Arial" w:eastAsia="Calibri" w:hAnsi="Arial" w:cs="Arial"/>
          <w:color w:val="000000"/>
          <w:lang w:val="es-ES"/>
        </w:rPr>
        <w:t xml:space="preserve">En cuanto a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w:t>
      </w:r>
      <w:r w:rsidR="00175486">
        <w:rPr>
          <w:rFonts w:ascii="Arial" w:eastAsia="Calibri" w:hAnsi="Arial" w:cs="Arial"/>
          <w:color w:val="000000"/>
          <w:lang w:val="es-ES"/>
        </w:rPr>
        <w:t>E</w:t>
      </w:r>
      <w:r w:rsidRPr="00F87CB6">
        <w:rPr>
          <w:rFonts w:ascii="Arial" w:eastAsia="Calibri" w:hAnsi="Arial" w:cs="Arial"/>
          <w:color w:val="000000"/>
          <w:lang w:val="es-ES"/>
        </w:rPr>
        <w:t xml:space="preserve">ntidades </w:t>
      </w:r>
      <w:r w:rsidR="00175486">
        <w:rPr>
          <w:rFonts w:ascii="Arial" w:eastAsia="Calibri" w:hAnsi="Arial" w:cs="Arial"/>
          <w:color w:val="000000"/>
          <w:lang w:val="es-ES"/>
        </w:rPr>
        <w:t>Estatales</w:t>
      </w:r>
      <w:r w:rsidR="00175486" w:rsidRPr="00F87CB6">
        <w:rPr>
          <w:rFonts w:ascii="Arial" w:eastAsia="Calibri" w:hAnsi="Arial" w:cs="Arial"/>
          <w:color w:val="000000"/>
          <w:lang w:val="es-ES"/>
        </w:rPr>
        <w:t xml:space="preserve"> </w:t>
      </w:r>
      <w:r w:rsidRPr="00F87CB6">
        <w:rPr>
          <w:rFonts w:ascii="Arial" w:eastAsia="Calibri" w:hAnsi="Arial" w:cs="Arial"/>
          <w:color w:val="000000"/>
          <w:lang w:val="es-ES"/>
        </w:rPr>
        <w:t>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2EED75E8" w14:textId="77777777" w:rsidR="007A4176" w:rsidRPr="00F87CB6" w:rsidRDefault="007A4176" w:rsidP="007A4176">
      <w:pPr>
        <w:spacing w:after="0" w:line="276" w:lineRule="auto"/>
        <w:jc w:val="both"/>
        <w:rPr>
          <w:rFonts w:ascii="Arial" w:eastAsia="Calibri" w:hAnsi="Arial" w:cs="Arial"/>
          <w:color w:val="000000"/>
          <w:lang w:val="es-ES_tradnl"/>
        </w:rPr>
      </w:pPr>
    </w:p>
    <w:p w14:paraId="66D102F2" w14:textId="025792DA" w:rsidR="007A4176" w:rsidRPr="00F87CB6" w:rsidRDefault="007A4176" w:rsidP="00A53BC5">
      <w:pPr>
        <w:spacing w:after="0" w:line="276" w:lineRule="auto"/>
        <w:ind w:left="708" w:hanging="708"/>
        <w:jc w:val="both"/>
        <w:rPr>
          <w:rFonts w:ascii="Arial" w:eastAsia="Calibri" w:hAnsi="Arial" w:cs="Arial"/>
          <w:color w:val="000000"/>
          <w:lang w:val="es-ES_tradnl"/>
        </w:rPr>
      </w:pPr>
      <w:r w:rsidRPr="00F87CB6">
        <w:rPr>
          <w:rFonts w:ascii="Arial" w:eastAsia="Calibri" w:hAnsi="Arial" w:cs="Arial"/>
          <w:color w:val="000000"/>
          <w:lang w:val="es-ES_tradnl"/>
        </w:rPr>
        <w:t>Este concepto tiene el alcance previsto en el artículo 28 del Código de Procedimiento Administrativo y de lo Contencioso Administrativo</w:t>
      </w:r>
      <w:r w:rsidR="00757BCD">
        <w:rPr>
          <w:rFonts w:ascii="Arial" w:eastAsia="Calibri" w:hAnsi="Arial" w:cs="Arial"/>
          <w:color w:val="000000"/>
          <w:lang w:val="es-ES_tradnl"/>
        </w:rPr>
        <w:t xml:space="preserve"> </w:t>
      </w:r>
      <w:r w:rsidR="00757BCD">
        <w:rPr>
          <w:rFonts w:ascii="Arial" w:hAnsi="Arial" w:cs="Arial"/>
          <w:bCs/>
          <w:color w:val="000000" w:themeColor="text1"/>
        </w:rPr>
        <w:t xml:space="preserve">y </w:t>
      </w:r>
      <w:r w:rsidR="00757BCD">
        <w:rPr>
          <w:rFonts w:ascii="Arial" w:hAnsi="Arial" w:cs="Arial"/>
        </w:rPr>
        <w:t>l</w:t>
      </w:r>
      <w:r w:rsidR="00757BCD" w:rsidRPr="00301C53">
        <w:rPr>
          <w:rFonts w:ascii="Arial" w:hAnsi="Arial" w:cs="Arial"/>
        </w:rPr>
        <w:t xml:space="preserve">as expresiones aquí utilizadas con mayúscula inicial deben ser entendidas con el significado que </w:t>
      </w:r>
      <w:r w:rsidR="00757BCD">
        <w:rPr>
          <w:rFonts w:ascii="Arial" w:hAnsi="Arial" w:cs="Arial"/>
        </w:rPr>
        <w:t xml:space="preserve">les otorga el artículo </w:t>
      </w:r>
      <w:r w:rsidR="00757BCD" w:rsidRPr="00301C53">
        <w:rPr>
          <w:rFonts w:ascii="Arial" w:hAnsi="Arial" w:cs="Arial"/>
        </w:rPr>
        <w:t>2.2.1.1.1.3.1.</w:t>
      </w:r>
      <w:r w:rsidR="00757BCD">
        <w:rPr>
          <w:rFonts w:ascii="Arial" w:hAnsi="Arial" w:cs="Arial"/>
        </w:rPr>
        <w:t xml:space="preserve"> del Decreto 1082 de 2015</w:t>
      </w:r>
      <w:r w:rsidR="00757BCD" w:rsidRPr="009C0ED2">
        <w:rPr>
          <w:rFonts w:ascii="Arial" w:hAnsi="Arial" w:cs="Arial"/>
          <w:bCs/>
          <w:color w:val="000000" w:themeColor="text1"/>
        </w:rPr>
        <w:t>.</w:t>
      </w:r>
    </w:p>
    <w:p w14:paraId="7B6AEA8F" w14:textId="77777777" w:rsidR="007A4176" w:rsidRPr="00F87CB6" w:rsidRDefault="007A4176" w:rsidP="007A4176">
      <w:pPr>
        <w:spacing w:before="120" w:after="0" w:line="276" w:lineRule="auto"/>
        <w:jc w:val="both"/>
        <w:rPr>
          <w:rFonts w:ascii="Arial" w:eastAsia="Times New Roman" w:hAnsi="Arial" w:cs="Arial"/>
          <w:color w:val="000000"/>
          <w:szCs w:val="24"/>
          <w:lang w:val="es-ES_tradnl" w:eastAsia="es-ES_tradnl"/>
        </w:rPr>
      </w:pPr>
    </w:p>
    <w:p w14:paraId="4FB55853" w14:textId="77777777" w:rsidR="007A4176" w:rsidRPr="00F87CB6" w:rsidRDefault="007A4176" w:rsidP="007A4176">
      <w:pPr>
        <w:spacing w:after="0" w:line="276" w:lineRule="auto"/>
        <w:jc w:val="both"/>
        <w:rPr>
          <w:rFonts w:ascii="Arial" w:eastAsia="Times New Roman" w:hAnsi="Arial" w:cs="Arial"/>
          <w:color w:val="000000"/>
          <w:lang w:val="es-ES_tradnl" w:eastAsia="es-CO"/>
        </w:rPr>
      </w:pPr>
      <w:r w:rsidRPr="00F87CB6">
        <w:rPr>
          <w:rFonts w:ascii="Arial" w:eastAsia="Times New Roman" w:hAnsi="Arial" w:cs="Arial"/>
          <w:color w:val="000000"/>
          <w:lang w:val="es-ES_tradnl" w:eastAsia="es-CO"/>
        </w:rPr>
        <w:t>Atentamente,</w:t>
      </w:r>
    </w:p>
    <w:p w14:paraId="790E499D" w14:textId="77777777" w:rsidR="00A31C74" w:rsidRPr="00B92CDB" w:rsidRDefault="00A31C74" w:rsidP="00A31C74">
      <w:pPr>
        <w:pStyle w:val="Sinespaciado"/>
        <w:jc w:val="center"/>
        <w:rPr>
          <w:rFonts w:ascii="Arial" w:hAnsi="Arial" w:cs="Arial"/>
          <w:b/>
          <w:bCs/>
          <w:sz w:val="18"/>
          <w:szCs w:val="18"/>
        </w:rPr>
      </w:pPr>
      <w:r>
        <w:rPr>
          <w:noProof/>
        </w:rPr>
        <w:drawing>
          <wp:inline distT="0" distB="0" distL="0" distR="0" wp14:anchorId="342B0BF0" wp14:editId="7275D26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7B0A4309" w14:textId="63F99677" w:rsidR="007A4176" w:rsidRPr="00F87CB6" w:rsidRDefault="007A4176" w:rsidP="00A53BC5">
      <w:pPr>
        <w:spacing w:after="0" w:line="276" w:lineRule="auto"/>
        <w:ind w:left="708" w:hanging="708"/>
        <w:jc w:val="center"/>
        <w:rPr>
          <w:rFonts w:ascii="Arial" w:eastAsia="Times New Roman" w:hAnsi="Arial" w:cs="Arial"/>
          <w:color w:val="000000"/>
          <w:lang w:val="es-ES_tradnl" w:eastAsia="es-CO"/>
        </w:rPr>
      </w:pPr>
    </w:p>
    <w:p w14:paraId="53BABD22" w14:textId="77777777" w:rsidR="007A4176" w:rsidRPr="00F87CB6" w:rsidRDefault="007A4176" w:rsidP="007A4176">
      <w:pPr>
        <w:spacing w:after="0" w:line="276" w:lineRule="auto"/>
        <w:rPr>
          <w:rFonts w:ascii="Arial" w:eastAsia="Times New Roman" w:hAnsi="Arial"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A4176" w:rsidRPr="00F87CB6" w14:paraId="1C8D3DD9" w14:textId="77777777" w:rsidTr="007A4176">
        <w:trPr>
          <w:trHeight w:val="160"/>
        </w:trPr>
        <w:tc>
          <w:tcPr>
            <w:tcW w:w="812" w:type="dxa"/>
            <w:vAlign w:val="center"/>
            <w:hideMark/>
          </w:tcPr>
          <w:p w14:paraId="3DF6ADC6" w14:textId="77777777" w:rsidR="007A4176" w:rsidRPr="00F87CB6" w:rsidRDefault="007A4176" w:rsidP="007A4176">
            <w:pPr>
              <w:jc w:val="both"/>
              <w:rPr>
                <w:rFonts w:ascii="Arial" w:eastAsia="Times New Roman" w:hAnsi="Arial" w:cs="Arial"/>
                <w:color w:val="000000"/>
                <w:sz w:val="16"/>
                <w:szCs w:val="16"/>
                <w:lang w:val="es-ES_tradnl" w:eastAsia="es-ES"/>
              </w:rPr>
            </w:pPr>
            <w:r w:rsidRPr="00F87CB6">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3B755867" w14:textId="77777777" w:rsidR="007A4176" w:rsidRPr="00F87CB6" w:rsidRDefault="007A4176" w:rsidP="007A4176">
            <w:pPr>
              <w:jc w:val="both"/>
              <w:rPr>
                <w:rFonts w:ascii="Arial" w:eastAsia="Times New Roman" w:hAnsi="Arial" w:cs="Arial"/>
                <w:color w:val="000000"/>
                <w:sz w:val="16"/>
                <w:szCs w:val="16"/>
                <w:lang w:val="es-ES_tradnl" w:eastAsia="es-ES"/>
              </w:rPr>
            </w:pPr>
            <w:r w:rsidRPr="00F87CB6">
              <w:rPr>
                <w:rFonts w:ascii="Arial" w:eastAsia="Times New Roman" w:hAnsi="Arial" w:cs="Arial"/>
                <w:color w:val="000000"/>
                <w:sz w:val="16"/>
                <w:szCs w:val="16"/>
                <w:lang w:val="es-ES_tradnl" w:eastAsia="es-ES"/>
              </w:rPr>
              <w:t xml:space="preserve">Cristian Andrés Díaz Díez </w:t>
            </w:r>
          </w:p>
          <w:p w14:paraId="1FCD283C" w14:textId="77777777" w:rsidR="007A4176" w:rsidRPr="00F87CB6" w:rsidRDefault="007A4176" w:rsidP="007A4176">
            <w:pPr>
              <w:jc w:val="both"/>
              <w:rPr>
                <w:rFonts w:ascii="Arial" w:eastAsia="Times New Roman" w:hAnsi="Arial" w:cs="Arial"/>
                <w:color w:val="000000"/>
                <w:sz w:val="16"/>
                <w:szCs w:val="16"/>
                <w:lang w:val="es-ES_tradnl" w:eastAsia="es-ES"/>
              </w:rPr>
            </w:pPr>
            <w:r w:rsidRPr="00F87CB6">
              <w:rPr>
                <w:rFonts w:ascii="Arial" w:eastAsia="Times New Roman" w:hAnsi="Arial" w:cs="Arial"/>
                <w:color w:val="000000"/>
                <w:sz w:val="16"/>
                <w:szCs w:val="16"/>
                <w:lang w:val="es-ES_tradnl" w:eastAsia="es-ES"/>
              </w:rPr>
              <w:t>Contratista de la Subdirección de Gestión Contractual</w:t>
            </w:r>
          </w:p>
        </w:tc>
      </w:tr>
      <w:tr w:rsidR="007A4176" w:rsidRPr="00F87CB6" w14:paraId="31C44C19" w14:textId="77777777" w:rsidTr="007A4176">
        <w:trPr>
          <w:trHeight w:val="330"/>
        </w:trPr>
        <w:tc>
          <w:tcPr>
            <w:tcW w:w="812" w:type="dxa"/>
            <w:vAlign w:val="center"/>
            <w:hideMark/>
          </w:tcPr>
          <w:p w14:paraId="718A5C36" w14:textId="77777777" w:rsidR="007A4176" w:rsidRPr="00F87CB6" w:rsidRDefault="007A4176" w:rsidP="007A4176">
            <w:pPr>
              <w:jc w:val="both"/>
              <w:rPr>
                <w:rFonts w:ascii="Arial" w:eastAsia="Times New Roman" w:hAnsi="Arial" w:cs="Arial"/>
                <w:color w:val="000000"/>
                <w:sz w:val="16"/>
                <w:szCs w:val="16"/>
                <w:lang w:val="es-ES_tradnl" w:eastAsia="es-ES"/>
              </w:rPr>
            </w:pPr>
            <w:r w:rsidRPr="00F87CB6">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64006E2A" w14:textId="77777777" w:rsidR="007A4176" w:rsidRPr="00F87CB6" w:rsidRDefault="007A4176" w:rsidP="007A4176">
            <w:pPr>
              <w:jc w:val="both"/>
              <w:rPr>
                <w:rFonts w:ascii="Arial" w:eastAsia="Times New Roman" w:hAnsi="Arial" w:cs="Arial"/>
                <w:color w:val="000000"/>
                <w:sz w:val="16"/>
                <w:szCs w:val="16"/>
                <w:lang w:val="es-ES_tradnl" w:eastAsia="es-ES"/>
              </w:rPr>
            </w:pPr>
            <w:r w:rsidRPr="00F87CB6">
              <w:rPr>
                <w:rFonts w:ascii="Arial" w:eastAsia="Times New Roman" w:hAnsi="Arial" w:cs="Arial"/>
                <w:color w:val="000000"/>
                <w:sz w:val="16"/>
                <w:szCs w:val="16"/>
                <w:lang w:val="es-ES_tradnl" w:eastAsia="es-ES"/>
              </w:rPr>
              <w:t xml:space="preserve">Alejandro Sarmiento Cantillo </w:t>
            </w:r>
          </w:p>
          <w:p w14:paraId="7A71F823" w14:textId="77777777" w:rsidR="007A4176" w:rsidRDefault="007A4176" w:rsidP="007A4176">
            <w:pPr>
              <w:jc w:val="both"/>
              <w:rPr>
                <w:rFonts w:ascii="Arial" w:eastAsia="Times New Roman" w:hAnsi="Arial" w:cs="Arial"/>
                <w:color w:val="000000"/>
                <w:sz w:val="16"/>
                <w:szCs w:val="16"/>
                <w:lang w:val="es-ES_tradnl" w:eastAsia="es-ES"/>
              </w:rPr>
            </w:pPr>
            <w:r w:rsidRPr="00F87CB6">
              <w:rPr>
                <w:rFonts w:ascii="Arial" w:eastAsia="Times New Roman" w:hAnsi="Arial" w:cs="Arial"/>
                <w:color w:val="000000"/>
                <w:sz w:val="16"/>
                <w:szCs w:val="16"/>
                <w:lang w:val="es-ES_tradnl" w:eastAsia="es-ES"/>
              </w:rPr>
              <w:t>Gestor T1-15 de la Subdirección de Gestión Contractual</w:t>
            </w:r>
          </w:p>
          <w:p w14:paraId="026BD149" w14:textId="77777777" w:rsidR="0034315D" w:rsidRDefault="0034315D" w:rsidP="007A417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Martha Alicia Romero Vargas </w:t>
            </w:r>
          </w:p>
          <w:p w14:paraId="7F8F267B" w14:textId="41EFCA25" w:rsidR="0034315D" w:rsidRPr="00F87CB6" w:rsidRDefault="0034315D" w:rsidP="007A4176">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Gestor T1-15 </w:t>
            </w:r>
            <w:r w:rsidRPr="00F87CB6">
              <w:rPr>
                <w:rFonts w:ascii="Arial" w:eastAsia="Times New Roman" w:hAnsi="Arial" w:cs="Arial"/>
                <w:color w:val="000000"/>
                <w:sz w:val="16"/>
                <w:szCs w:val="16"/>
                <w:lang w:val="es-ES_tradnl" w:eastAsia="es-ES"/>
              </w:rPr>
              <w:t>de la Subdirección de Gestión Contractual</w:t>
            </w:r>
          </w:p>
        </w:tc>
      </w:tr>
      <w:tr w:rsidR="007A4176" w:rsidRPr="00F87CB6" w14:paraId="540CC155" w14:textId="77777777" w:rsidTr="007A4176">
        <w:trPr>
          <w:trHeight w:val="300"/>
        </w:trPr>
        <w:tc>
          <w:tcPr>
            <w:tcW w:w="812" w:type="dxa"/>
            <w:vAlign w:val="center"/>
            <w:hideMark/>
          </w:tcPr>
          <w:p w14:paraId="52A82808" w14:textId="77777777" w:rsidR="007A4176" w:rsidRPr="00F87CB6" w:rsidRDefault="007A4176" w:rsidP="007A4176">
            <w:pPr>
              <w:jc w:val="both"/>
              <w:rPr>
                <w:rFonts w:ascii="Arial" w:eastAsia="Times New Roman" w:hAnsi="Arial" w:cs="Arial"/>
                <w:color w:val="000000"/>
                <w:sz w:val="16"/>
                <w:szCs w:val="16"/>
                <w:lang w:val="es-ES_tradnl" w:eastAsia="es-ES"/>
              </w:rPr>
            </w:pPr>
            <w:r w:rsidRPr="00F87CB6">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DF67BC1" w14:textId="77777777" w:rsidR="00D55542" w:rsidRPr="00A53BC5" w:rsidRDefault="00D55542" w:rsidP="00D55542">
            <w:pPr>
              <w:rPr>
                <w:rFonts w:ascii="Arial" w:hAnsi="Arial" w:cs="Arial"/>
                <w:sz w:val="16"/>
                <w:szCs w:val="16"/>
              </w:rPr>
            </w:pPr>
            <w:r w:rsidRPr="00A53BC5">
              <w:rPr>
                <w:rFonts w:ascii="Arial" w:hAnsi="Arial" w:cs="Arial"/>
                <w:sz w:val="16"/>
                <w:szCs w:val="16"/>
              </w:rPr>
              <w:t>Nohelia del Carmen Zawady Palacio</w:t>
            </w:r>
          </w:p>
          <w:p w14:paraId="6BBD30F9" w14:textId="03E48F9E" w:rsidR="007A4176" w:rsidRPr="00F87CB6" w:rsidRDefault="00D55542" w:rsidP="007A4176">
            <w:pPr>
              <w:jc w:val="both"/>
              <w:rPr>
                <w:rFonts w:ascii="Arial" w:eastAsia="Times New Roman" w:hAnsi="Arial" w:cs="Arial"/>
                <w:color w:val="000000"/>
                <w:sz w:val="16"/>
                <w:szCs w:val="16"/>
                <w:lang w:val="es-ES_tradnl" w:eastAsia="es-ES"/>
              </w:rPr>
            </w:pPr>
            <w:r w:rsidRPr="00A53BC5">
              <w:rPr>
                <w:rFonts w:ascii="Arial" w:hAnsi="Arial" w:cs="Arial"/>
                <w:sz w:val="16"/>
                <w:szCs w:val="16"/>
              </w:rPr>
              <w:t>Subdirectora de Gestión Contractual ANCP – CCE</w:t>
            </w:r>
          </w:p>
        </w:tc>
      </w:tr>
      <w:bookmarkEnd w:id="0"/>
      <w:bookmarkEnd w:id="1"/>
    </w:tbl>
    <w:p w14:paraId="0861C3E8" w14:textId="77777777" w:rsidR="007A4176" w:rsidRPr="00F87CB6" w:rsidRDefault="007A4176" w:rsidP="007A4176">
      <w:pPr>
        <w:tabs>
          <w:tab w:val="left" w:pos="3570"/>
        </w:tabs>
        <w:spacing w:after="0" w:line="240" w:lineRule="auto"/>
        <w:rPr>
          <w:rFonts w:ascii="Arial" w:eastAsia="Times New Roman" w:hAnsi="Arial" w:cs="Arial"/>
          <w:sz w:val="24"/>
          <w:szCs w:val="24"/>
          <w:lang w:val="es-ES_tradnl" w:eastAsia="es-ES_tradnl"/>
        </w:rPr>
      </w:pPr>
    </w:p>
    <w:p w14:paraId="0AE81B78" w14:textId="77777777" w:rsidR="000123C0" w:rsidRPr="00A53BC5" w:rsidRDefault="000123C0" w:rsidP="007A4176">
      <w:pPr>
        <w:rPr>
          <w:rFonts w:ascii="Arial" w:hAnsi="Arial" w:cs="Arial"/>
        </w:rPr>
      </w:pPr>
    </w:p>
    <w:sectPr w:rsidR="000123C0" w:rsidRPr="00A53BC5"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7DBA" w14:textId="77777777" w:rsidR="000719B4" w:rsidRDefault="000719B4" w:rsidP="004A1847">
      <w:pPr>
        <w:spacing w:after="0" w:line="240" w:lineRule="auto"/>
      </w:pPr>
      <w:r>
        <w:separator/>
      </w:r>
    </w:p>
  </w:endnote>
  <w:endnote w:type="continuationSeparator" w:id="0">
    <w:p w14:paraId="23A3CD20" w14:textId="77777777" w:rsidR="000719B4" w:rsidRDefault="000719B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Arial Nova">
    <w:panose1 w:val="020B0504020202020204"/>
    <w:charset w:val="00"/>
    <w:family w:val="swiss"/>
    <w:pitch w:val="variable"/>
    <w:sig w:usb0="0000028F" w:usb1="00000002" w:usb2="00000000" w:usb3="00000000" w:csb0="000001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7A4176" w:rsidRPr="00080DA3" w14:paraId="0534DA7F" w14:textId="77777777" w:rsidTr="007A4176">
      <w:trPr>
        <w:trHeight w:val="198"/>
        <w:jc w:val="center"/>
      </w:trPr>
      <w:tc>
        <w:tcPr>
          <w:tcW w:w="838" w:type="dxa"/>
          <w:tcBorders>
            <w:top w:val="dotted" w:sz="4" w:space="0" w:color="6D6D6D"/>
            <w:left w:val="dotted" w:sz="4" w:space="0" w:color="6D6D6D"/>
            <w:bottom w:val="dotted" w:sz="4" w:space="0" w:color="6D6D6D"/>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bottom w:val="dotted" w:sz="4" w:space="0" w:color="6D6D6D"/>
            <w:right w:val="dotted" w:sz="4" w:space="0" w:color="6D6D6D"/>
          </w:tcBorders>
          <w:shd w:val="clear" w:color="auto" w:fill="auto"/>
        </w:tcPr>
        <w:p w14:paraId="79B52F09" w14:textId="4C0A48C5"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906B3C">
            <w:rPr>
              <w:rFonts w:ascii="Geomanist Light" w:hAnsi="Geomanist Light"/>
              <w:sz w:val="18"/>
              <w:szCs w:val="18"/>
            </w:rPr>
            <w:t>1</w:t>
          </w:r>
        </w:p>
      </w:tc>
      <w:tc>
        <w:tcPr>
          <w:tcW w:w="844" w:type="dxa"/>
          <w:tcBorders>
            <w:top w:val="dotted" w:sz="4" w:space="0" w:color="6D6D6D"/>
            <w:left w:val="dotted" w:sz="4" w:space="0" w:color="6D6D6D"/>
            <w:bottom w:val="dotted" w:sz="4" w:space="0" w:color="6D6D6D"/>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bottom w:val="dotted" w:sz="4" w:space="0" w:color="6D6D6D"/>
            <w:right w:val="dotted" w:sz="4" w:space="0" w:color="6D6D6D"/>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6D6D6D"/>
            <w:left w:val="dotted" w:sz="4" w:space="0" w:color="6D6D6D"/>
            <w:bottom w:val="dotted" w:sz="4" w:space="0" w:color="6D6D6D"/>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bottom w:val="dotted" w:sz="4" w:space="0" w:color="6D6D6D"/>
            <w:right w:val="dotted" w:sz="4" w:space="0" w:color="6D6D6D"/>
          </w:tcBorders>
          <w:shd w:val="clear" w:color="auto" w:fill="auto"/>
        </w:tcPr>
        <w:p w14:paraId="7D02B6A6" w14:textId="7F61B498" w:rsidR="00A07532" w:rsidRPr="00080DA3" w:rsidRDefault="00957616" w:rsidP="00A07532">
          <w:pPr>
            <w:pStyle w:val="Piedepgina"/>
            <w:jc w:val="center"/>
            <w:rPr>
              <w:rFonts w:ascii="Geomanist Light" w:hAnsi="Geomanist Light"/>
              <w:sz w:val="18"/>
              <w:szCs w:val="18"/>
            </w:rPr>
          </w:pPr>
          <w:r>
            <w:rPr>
              <w:rFonts w:ascii="Geomanist Light" w:hAnsi="Geomanist Light"/>
              <w:sz w:val="18"/>
              <w:szCs w:val="18"/>
            </w:rPr>
            <w:t>30</w:t>
          </w:r>
          <w:r w:rsidR="006219F8" w:rsidRPr="00080DA3">
            <w:rPr>
              <w:rFonts w:ascii="Geomanist Light" w:hAnsi="Geomanist Light"/>
              <w:sz w:val="18"/>
              <w:szCs w:val="18"/>
            </w:rPr>
            <w:t xml:space="preserve"> de </w:t>
          </w:r>
          <w:r w:rsidR="000A683E">
            <w:rPr>
              <w:rFonts w:ascii="Geomanist Light" w:hAnsi="Geomanist Light"/>
              <w:sz w:val="18"/>
              <w:szCs w:val="18"/>
            </w:rPr>
            <w:t>agosto</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6D6D6D"/>
            <w:left w:val="dotted" w:sz="4" w:space="0" w:color="6D6D6D"/>
            <w:bottom w:val="dotted" w:sz="4" w:space="0" w:color="6D6D6D"/>
            <w:right w:val="dotted" w:sz="4" w:space="0" w:color="6D6D6D"/>
          </w:tcBorders>
          <w:shd w:val="clear" w:color="auto" w:fill="auto"/>
        </w:tcPr>
        <w:p w14:paraId="6C25E7A7" w14:textId="4DE857D8"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8</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CD4" w14:textId="77777777" w:rsidR="000719B4" w:rsidRDefault="000719B4" w:rsidP="004A1847">
      <w:pPr>
        <w:spacing w:after="0" w:line="240" w:lineRule="auto"/>
      </w:pPr>
      <w:r>
        <w:separator/>
      </w:r>
    </w:p>
  </w:footnote>
  <w:footnote w:type="continuationSeparator" w:id="0">
    <w:p w14:paraId="1B77E2C7" w14:textId="77777777" w:rsidR="000719B4" w:rsidRDefault="000719B4" w:rsidP="004A1847">
      <w:pPr>
        <w:spacing w:after="0" w:line="240" w:lineRule="auto"/>
      </w:pPr>
      <w:r>
        <w:continuationSeparator/>
      </w:r>
    </w:p>
  </w:footnote>
  <w:footnote w:id="1">
    <w:p w14:paraId="6CC745AF" w14:textId="77777777" w:rsidR="00B5567C" w:rsidRPr="00A53BC5" w:rsidRDefault="00E35C63" w:rsidP="00A53BC5">
      <w:pPr>
        <w:pStyle w:val="Textonotapie"/>
        <w:spacing w:after="60"/>
        <w:ind w:firstLine="709"/>
        <w:jc w:val="both"/>
        <w:rPr>
          <w:rFonts w:ascii="Arial" w:hAnsi="Arial" w:cs="Arial"/>
          <w:color w:val="000000" w:themeColor="text1"/>
          <w:sz w:val="18"/>
          <w:szCs w:val="18"/>
        </w:rPr>
      </w:pPr>
      <w:r w:rsidRPr="00A53BC5">
        <w:rPr>
          <w:rStyle w:val="Refdenotaalpie"/>
          <w:rFonts w:ascii="Arial" w:hAnsi="Arial" w:cs="Arial"/>
          <w:sz w:val="18"/>
          <w:szCs w:val="18"/>
        </w:rPr>
        <w:footnoteRef/>
      </w:r>
      <w:r w:rsidRPr="00A53BC5">
        <w:rPr>
          <w:rFonts w:ascii="Arial" w:hAnsi="Arial" w:cs="Arial"/>
          <w:sz w:val="18"/>
          <w:szCs w:val="18"/>
        </w:rPr>
        <w:t xml:space="preserve"> Decreto 1068 de 2015: «</w:t>
      </w:r>
      <w:r w:rsidR="00B5567C" w:rsidRPr="00A53BC5">
        <w:rPr>
          <w:rFonts w:ascii="Arial" w:hAnsi="Arial" w:cs="Arial"/>
          <w:color w:val="000000" w:themeColor="text1"/>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0AAE2D39" w14:textId="4734B5FB" w:rsidR="00B5567C" w:rsidRPr="00A53BC5" w:rsidRDefault="00B5567C" w:rsidP="00A53BC5">
      <w:pPr>
        <w:pStyle w:val="Textonotapie"/>
        <w:spacing w:after="60"/>
        <w:ind w:firstLine="709"/>
        <w:jc w:val="both"/>
        <w:rPr>
          <w:rFonts w:ascii="Arial" w:hAnsi="Arial" w:cs="Arial"/>
          <w:color w:val="000000" w:themeColor="text1"/>
          <w:sz w:val="18"/>
          <w:szCs w:val="18"/>
        </w:rPr>
      </w:pPr>
      <w:r w:rsidRPr="00A53BC5">
        <w:rPr>
          <w:rFonts w:ascii="Arial" w:hAnsi="Arial" w:cs="Arial"/>
          <w:color w:val="000000" w:themeColor="text1"/>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648CA54A" w14:textId="085E042C" w:rsidR="00E35C63" w:rsidRPr="00A53BC5" w:rsidRDefault="00B5567C" w:rsidP="00A53BC5">
      <w:pPr>
        <w:pStyle w:val="Textonotapie"/>
        <w:ind w:firstLine="708"/>
        <w:jc w:val="both"/>
        <w:rPr>
          <w:rFonts w:ascii="Arial" w:hAnsi="Arial" w:cs="Arial"/>
          <w:sz w:val="18"/>
          <w:szCs w:val="18"/>
        </w:rPr>
      </w:pPr>
      <w:r w:rsidRPr="00A53BC5">
        <w:rPr>
          <w:rFonts w:ascii="Arial" w:hAnsi="Arial" w:cs="Arial"/>
          <w:color w:val="000000" w:themeColor="text1"/>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5FEFC191" w14:textId="521AADDC" w:rsidR="00E35C63" w:rsidRPr="00A53BC5" w:rsidRDefault="00E35C63" w:rsidP="00A53BC5">
      <w:pPr>
        <w:pStyle w:val="Textonotapie"/>
        <w:ind w:firstLine="708"/>
        <w:rPr>
          <w:rFonts w:ascii="Arial" w:hAnsi="Arial" w:cs="Arial"/>
          <w:sz w:val="18"/>
          <w:szCs w:val="18"/>
        </w:rPr>
      </w:pPr>
      <w:r w:rsidRPr="00A53BC5">
        <w:rPr>
          <w:rFonts w:ascii="Arial" w:hAnsi="Arial" w:cs="Arial"/>
          <w:sz w:val="18"/>
          <w:szCs w:val="18"/>
        </w:rPr>
        <w:t xml:space="preserve"> </w:t>
      </w:r>
    </w:p>
  </w:footnote>
  <w:footnote w:id="2">
    <w:p w14:paraId="5D8929FD"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721CC79E"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»2. Quien presta el servicio se denomina trabajador, quien lo recibe y remunera, empleador, y la remuneración, cualquiera que sea su forma, salario».</w:t>
      </w:r>
    </w:p>
    <w:p w14:paraId="5522EA23"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3">
    <w:p w14:paraId="377D36BA" w14:textId="776CAF54"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00E1575B" w:rsidRPr="008B01DC">
        <w:rPr>
          <w:rFonts w:ascii="Arial" w:hAnsi="Arial" w:cs="Arial"/>
          <w:color w:val="000000"/>
          <w:sz w:val="18"/>
          <w:szCs w:val="18"/>
          <w:lang w:val="es-ES"/>
        </w:rPr>
        <w:t>CORTE CONSTITUCIONAL</w:t>
      </w:r>
      <w:r w:rsidRPr="00A53BC5">
        <w:rPr>
          <w:rFonts w:ascii="Arial" w:hAnsi="Arial" w:cs="Arial"/>
          <w:color w:val="000000"/>
          <w:sz w:val="18"/>
          <w:szCs w:val="18"/>
          <w:lang w:val="es-ES"/>
        </w:rPr>
        <w:t>. Sentencia C-154 de 1997. Magistrado Ponente: Hernando Herrera Vergara.</w:t>
      </w:r>
    </w:p>
    <w:p w14:paraId="59A95AA1"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4">
    <w:p w14:paraId="5106C341"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Ibíd.</w:t>
      </w:r>
    </w:p>
    <w:p w14:paraId="0B7D7C9E"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5">
    <w:p w14:paraId="6822715E"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C64174A"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6DE3A30"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»La Entidad Estatal, para la contratación de trabajos artísticos que solamente puedan en­comendarse a determinadas personas naturales, debe justificar esta situación en los estudios y documentos previos».</w:t>
      </w:r>
    </w:p>
    <w:p w14:paraId="466B2824"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6">
    <w:p w14:paraId="17EFCBB7" w14:textId="7019133B"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00E1575B" w:rsidRPr="00A53BC5">
        <w:rPr>
          <w:rFonts w:ascii="Arial" w:hAnsi="Arial" w:cs="Arial"/>
          <w:color w:val="000000"/>
          <w:sz w:val="18"/>
          <w:szCs w:val="18"/>
          <w:lang w:val="es-ES"/>
        </w:rPr>
        <w:t>CONSEJO DE ESTADO</w:t>
      </w:r>
      <w:r w:rsidRPr="00A53BC5">
        <w:rPr>
          <w:rFonts w:ascii="Arial" w:hAnsi="Arial" w:cs="Arial"/>
          <w:color w:val="000000"/>
          <w:sz w:val="18"/>
          <w:szCs w:val="18"/>
          <w:lang w:val="es-ES"/>
        </w:rPr>
        <w:t>. Sección Tercera. Subsección C. Sentencia del 2 de diciembre de 2013. Exp. 41719. Consejero Ponente: Jaime Orlando Santofimio Gamboa.</w:t>
      </w:r>
    </w:p>
    <w:p w14:paraId="6566EEC4"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7">
    <w:p w14:paraId="38E2B364"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Ibíd.</w:t>
      </w:r>
    </w:p>
    <w:p w14:paraId="6C08C32A"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8">
    <w:p w14:paraId="2734192C"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Ibíd.</w:t>
      </w:r>
    </w:p>
    <w:p w14:paraId="14B66AA7"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9">
    <w:p w14:paraId="35264EF4"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19AFA8A8"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»Son también contratos de consultoría los que tienen por objeto la interventoría, asesoría, gerencia de obra o de proyectos, dirección, programación y la ejecución de diseños, planos, anteproyectos y proyectos.</w:t>
      </w:r>
    </w:p>
    <w:p w14:paraId="02E5E97C"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493AF338"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10">
    <w:p w14:paraId="75917586"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Así lo prevé el artículo 2.2.1.2.1.4.1. del Decreto 1082 de 2015: «La Entidad Estatal debe señalar en un acto administrativo la justificación para contratar bajo la modalidad de contratación directa, el cual debe contener:</w:t>
      </w:r>
    </w:p>
    <w:p w14:paraId="68567FC7"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»1. La causal que invoca para contratar directamente.</w:t>
      </w:r>
    </w:p>
    <w:p w14:paraId="5970D6EC"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»2. El objeto del contrato.</w:t>
      </w:r>
    </w:p>
    <w:p w14:paraId="58F20F93"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»3. El presupuesto para la contratación y las condiciones que exigirá al contratista.</w:t>
      </w:r>
    </w:p>
    <w:p w14:paraId="594C4D32"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»4. El lugar en el cual los interesados pueden consultar los estudios y documentos previos.</w:t>
      </w:r>
    </w:p>
    <w:p w14:paraId="5F3A6C5A"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5F5B95D4"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11">
    <w:p w14:paraId="578FDDC0"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Esta norma expresa: «</w:t>
      </w:r>
      <w:r w:rsidRPr="00A53BC5">
        <w:rPr>
          <w:rFonts w:ascii="Arial" w:hAnsi="Arial" w:cs="Arial"/>
          <w:color w:val="000000"/>
          <w:sz w:val="18"/>
          <w:szCs w:val="18"/>
        </w:rPr>
        <w:t>P</w:t>
      </w:r>
      <w:r w:rsidRPr="00A53BC5">
        <w:rPr>
          <w:rFonts w:ascii="Arial" w:hAnsi="Arial" w:cs="Arial"/>
          <w:color w:val="000000"/>
          <w:sz w:val="18"/>
          <w:szCs w:val="18"/>
          <w:lang w:val="es-ES"/>
        </w:rPr>
        <w:t>ara el cumplimiento de los fines de la contratación, las entidades estatales al celebrar un contrato:</w:t>
      </w:r>
    </w:p>
    <w:p w14:paraId="453AF2A1"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w:t>
      </w:r>
    </w:p>
    <w:p w14:paraId="017AE934"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635113C8"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»Las entidades estatales podrán pactar estas cláusulas en los contratos de suministro y de prestación de servicios.</w:t>
      </w:r>
    </w:p>
    <w:p w14:paraId="3870B9B9"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w:t>
      </w:r>
    </w:p>
    <w:p w14:paraId="5791B9E2"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12">
    <w:p w14:paraId="0C94FE7A"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La norma dispone: «La liquidación a que se refiere el presente artículo no será obligatoria en los contratos de prestación de servicios profesionales y de apoyo a la gestión».</w:t>
      </w:r>
    </w:p>
    <w:p w14:paraId="4AF34CF6"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13">
    <w:p w14:paraId="72DC4D82" w14:textId="77777777" w:rsidR="007A4176" w:rsidRPr="00A53BC5" w:rsidRDefault="007A4176" w:rsidP="007A4176">
      <w:pPr>
        <w:pStyle w:val="Textonotapie"/>
        <w:ind w:firstLine="709"/>
        <w:jc w:val="both"/>
        <w:rPr>
          <w:rFonts w:ascii="Arial" w:hAnsi="Arial" w:cs="Arial"/>
          <w:color w:val="000000"/>
          <w:sz w:val="18"/>
          <w:szCs w:val="18"/>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89673C2" w14:textId="77777777" w:rsidR="007A4176" w:rsidRPr="00A53BC5" w:rsidRDefault="007A4176" w:rsidP="007A4176">
      <w:pPr>
        <w:pStyle w:val="Textonotapie"/>
        <w:ind w:firstLine="709"/>
        <w:jc w:val="both"/>
        <w:rPr>
          <w:rFonts w:ascii="Arial" w:hAnsi="Arial" w:cs="Arial"/>
          <w:color w:val="000000"/>
          <w:sz w:val="18"/>
          <w:szCs w:val="18"/>
        </w:rPr>
      </w:pPr>
      <w:r w:rsidRPr="00A53BC5">
        <w:rPr>
          <w:rFonts w:ascii="Arial" w:hAnsi="Arial" w:cs="Arial"/>
          <w:color w:val="000000"/>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EE392F3" w14:textId="77777777" w:rsidR="007A4176" w:rsidRPr="00A53BC5" w:rsidRDefault="007A4176" w:rsidP="007A4176">
      <w:pPr>
        <w:pStyle w:val="Textonotapie"/>
        <w:ind w:firstLine="709"/>
        <w:jc w:val="both"/>
        <w:rPr>
          <w:rFonts w:ascii="Arial" w:hAnsi="Arial" w:cs="Arial"/>
          <w:color w:val="000000"/>
          <w:sz w:val="18"/>
          <w:szCs w:val="18"/>
        </w:rPr>
      </w:pPr>
      <w:r w:rsidRPr="00A53BC5">
        <w:rPr>
          <w:rFonts w:ascii="Arial" w:hAnsi="Arial" w:cs="Arial"/>
          <w:color w:val="000000"/>
          <w:sz w:val="18"/>
          <w:szCs w:val="18"/>
        </w:rPr>
        <w:t>[…]».</w:t>
      </w:r>
    </w:p>
    <w:p w14:paraId="4B8933F7"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14">
    <w:p w14:paraId="699B73B4"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0BB2AC97"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15">
    <w:p w14:paraId="6093DB6B" w14:textId="77777777" w:rsidR="007A4176" w:rsidRPr="00A53BC5" w:rsidRDefault="007A4176" w:rsidP="007A4176">
      <w:pPr>
        <w:pStyle w:val="Textonotapie"/>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w:t>
      </w:r>
      <w:r w:rsidRPr="00A53BC5">
        <w:rPr>
          <w:rFonts w:ascii="Arial" w:hAnsi="Arial" w:cs="Arial"/>
          <w:sz w:val="18"/>
          <w:szCs w:val="18"/>
          <w:lang w:val="es-ES"/>
        </w:rPr>
        <w:t>El texto completo de la Directiva Presidencial bajo análisis puede descargarse en el siguiente enlace: https://dapre.presidencia.gov.co/normativa/normativa/DIRECTIVA%20PRESIDENCIAL%2008%20DEL%2017%20DE%20SEPTIEMBRE%20DE%202022.pdf</w:t>
      </w:r>
    </w:p>
  </w:footnote>
  <w:footnote w:id="16">
    <w:p w14:paraId="23558B6A" w14:textId="77777777" w:rsidR="007A4176" w:rsidRPr="00A53BC5" w:rsidRDefault="007A4176" w:rsidP="007A4176">
      <w:pPr>
        <w:pStyle w:val="Textonotapie"/>
        <w:ind w:firstLine="709"/>
        <w:jc w:val="both"/>
        <w:rPr>
          <w:rFonts w:ascii="Arial" w:hAnsi="Arial" w:cs="Arial"/>
          <w:sz w:val="18"/>
          <w:szCs w:val="18"/>
        </w:rPr>
      </w:pPr>
    </w:p>
    <w:p w14:paraId="23D2186F" w14:textId="77777777" w:rsidR="007A4176" w:rsidRPr="00A53BC5" w:rsidRDefault="007A4176" w:rsidP="007A4176">
      <w:pPr>
        <w:pStyle w:val="Textonotapie"/>
        <w:ind w:firstLine="709"/>
        <w:jc w:val="both"/>
        <w:rPr>
          <w:rFonts w:ascii="Arial" w:hAnsi="Arial" w:cs="Arial"/>
          <w:sz w:val="18"/>
          <w:szCs w:val="18"/>
        </w:rPr>
      </w:pPr>
      <w:r w:rsidRPr="00A53BC5">
        <w:rPr>
          <w:rStyle w:val="Refdenotaalpie"/>
          <w:rFonts w:ascii="Arial" w:hAnsi="Arial" w:cs="Arial"/>
          <w:sz w:val="18"/>
          <w:szCs w:val="18"/>
        </w:rPr>
        <w:footnoteRef/>
      </w:r>
      <w:r w:rsidRPr="00A53BC5">
        <w:rPr>
          <w:rFonts w:ascii="Arial" w:hAnsi="Arial" w:cs="Arial"/>
          <w:sz w:val="18"/>
          <w:szCs w:val="18"/>
        </w:rPr>
        <w:t xml:space="preserve"> El artículo 286 de la Constitución establece cuáles son las entidades territoriales en Colombia. Al respecto, indica: «Son entidades territoriales los departamentos, los distritos, los municipios y los territorios indígenas.</w:t>
      </w:r>
    </w:p>
    <w:p w14:paraId="4E001345"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rPr>
        <w:t>»La ley podrá darles el carácter de entidades territoriales a las regiones y provincias que se constituyan en los términos de la Constitución y de la ley».</w:t>
      </w:r>
    </w:p>
  </w:footnote>
  <w:footnote w:id="17">
    <w:p w14:paraId="73F019B3" w14:textId="77777777" w:rsidR="007A4176" w:rsidRPr="00A53BC5" w:rsidRDefault="007A4176" w:rsidP="007A4176">
      <w:pPr>
        <w:pStyle w:val="Textonotapie"/>
        <w:ind w:firstLine="709"/>
        <w:jc w:val="both"/>
        <w:rPr>
          <w:rFonts w:ascii="Arial" w:hAnsi="Arial" w:cs="Arial"/>
          <w:sz w:val="18"/>
          <w:szCs w:val="18"/>
        </w:rPr>
      </w:pPr>
    </w:p>
    <w:p w14:paraId="5D16EDD9" w14:textId="77777777" w:rsidR="007A4176" w:rsidRPr="00A53BC5" w:rsidRDefault="007A4176" w:rsidP="007A4176">
      <w:pPr>
        <w:pStyle w:val="Textonotapie"/>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w:t>
      </w:r>
      <w:r w:rsidRPr="00A53BC5">
        <w:rPr>
          <w:rFonts w:ascii="Arial" w:hAnsi="Arial" w:cs="Arial"/>
          <w:sz w:val="18"/>
          <w:szCs w:val="18"/>
          <w:lang w:val="es-ES"/>
        </w:rPr>
        <w:t>Este artículo señala, en lo pertinente: «La Rama Ejecutiva del Poder Público en el orden nacional, está integrada por los siguientes organismos y entidades:</w:t>
      </w:r>
    </w:p>
    <w:p w14:paraId="53AF878E"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»1. Del Sector Central:</w:t>
      </w:r>
    </w:p>
    <w:p w14:paraId="0FF037BE"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»a) La Presidencia de la República;</w:t>
      </w:r>
    </w:p>
    <w:p w14:paraId="0D972FBF"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»b) La Vicepresidencia de la República;</w:t>
      </w:r>
    </w:p>
    <w:p w14:paraId="7C0F5CF1"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»c) Los Consejos Superiores de la administración;</w:t>
      </w:r>
    </w:p>
    <w:p w14:paraId="746D9058"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»d) Los ministerios y departamentos administrativos;</w:t>
      </w:r>
    </w:p>
    <w:p w14:paraId="2A47777B"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»e) Las superintendencias y unidades administrativas especiales sin personería jurídica.</w:t>
      </w:r>
    </w:p>
    <w:p w14:paraId="12BF78BC"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»2. Del Sector descentralizado por servicios:</w:t>
      </w:r>
    </w:p>
    <w:p w14:paraId="56878FF9"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»a) Los establecimientos públicos;</w:t>
      </w:r>
    </w:p>
    <w:p w14:paraId="29AB2ED5"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»b) Las empresas industriales y comerciales del Estado;</w:t>
      </w:r>
    </w:p>
    <w:p w14:paraId="27306005"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»c) Las superintendencias y las unidades administrativas especiales con personería jurídica;</w:t>
      </w:r>
    </w:p>
    <w:p w14:paraId="05E073F7"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»d) Las empresas sociales del Estado y las empresas oficiales de servicios públicos domiciliarios;</w:t>
      </w:r>
    </w:p>
    <w:p w14:paraId="0ECD7D89"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»e) Los institutos científicos y tecnológicos;</w:t>
      </w:r>
    </w:p>
    <w:p w14:paraId="7C55AA16"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»f) Las sociedades públicas y las sociedades de economía mixta;</w:t>
      </w:r>
    </w:p>
    <w:p w14:paraId="7D6B0C78"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»g) Las demás entidades administrativas nacionales con personería jurídica que cree, organice o autorice la ley para que formen parte de la Rama Ejecutiva del Poder Público.</w:t>
      </w:r>
    </w:p>
    <w:p w14:paraId="0ECA48D0" w14:textId="77777777" w:rsidR="007A4176" w:rsidRPr="00A53BC5" w:rsidRDefault="007A4176" w:rsidP="007A4176">
      <w:pPr>
        <w:pStyle w:val="Textonotapie"/>
        <w:ind w:firstLine="709"/>
        <w:jc w:val="both"/>
        <w:rPr>
          <w:rFonts w:ascii="Arial" w:hAnsi="Arial" w:cs="Arial"/>
          <w:sz w:val="18"/>
          <w:szCs w:val="18"/>
          <w:lang w:val="es-ES"/>
        </w:rPr>
      </w:pPr>
      <w:r w:rsidRPr="00A53BC5">
        <w:rPr>
          <w:rFonts w:ascii="Arial" w:hAnsi="Arial" w:cs="Arial"/>
          <w:sz w:val="18"/>
          <w:szCs w:val="18"/>
          <w:lang w:val="es-ES"/>
        </w:rPr>
        <w:t>»[…]».</w:t>
      </w:r>
    </w:p>
    <w:p w14:paraId="015818BA" w14:textId="77777777" w:rsidR="007A4176" w:rsidRPr="00A53BC5" w:rsidRDefault="007A4176" w:rsidP="007A4176">
      <w:pPr>
        <w:pStyle w:val="Textonotapie"/>
        <w:ind w:firstLine="709"/>
        <w:jc w:val="both"/>
        <w:rPr>
          <w:rFonts w:ascii="Arial" w:hAnsi="Arial" w:cs="Arial"/>
          <w:sz w:val="18"/>
          <w:szCs w:val="18"/>
          <w:lang w:val="es-ES"/>
        </w:rPr>
      </w:pPr>
    </w:p>
  </w:footnote>
  <w:footnote w:id="18">
    <w:p w14:paraId="7C8413EB" w14:textId="0095EC4A" w:rsidR="007A4176" w:rsidRPr="00A53BC5" w:rsidRDefault="007A4176" w:rsidP="00A53BC5">
      <w:pPr>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Sobre este criterio hermenéutico se ha dicho que </w:t>
      </w:r>
      <w:r w:rsidRPr="00A53BC5">
        <w:rPr>
          <w:rFonts w:ascii="Arial" w:hAnsi="Arial" w:cs="Arial"/>
          <w:sz w:val="18"/>
          <w:szCs w:val="18"/>
          <w:lang w:val="es-MX"/>
        </w:rPr>
        <w:t>«[…] la interpretación y aplicación restrictiva es una regla que rige tratándose de normas prohibitivas, dado que consagran limitaciones al ejercicio de un derecho o de competencias señaladas en la ley, criterio hermenéutico que responde al principio de taxatividad, de acuerdo con el cual solo operan las prohibiciones que en forma precisa establece el legislador» (</w:t>
      </w:r>
      <w:r w:rsidR="005D3FEA" w:rsidRPr="00A53BC5">
        <w:rPr>
          <w:rFonts w:ascii="Arial" w:hAnsi="Arial" w:cs="Arial"/>
          <w:sz w:val="18"/>
          <w:szCs w:val="18"/>
          <w:lang w:val="es-MX"/>
        </w:rPr>
        <w:t xml:space="preserve">CONSEJO DE ESTADO. </w:t>
      </w:r>
      <w:r w:rsidRPr="00A53BC5">
        <w:rPr>
          <w:rFonts w:ascii="Arial" w:hAnsi="Arial" w:cs="Arial"/>
          <w:sz w:val="18"/>
          <w:szCs w:val="18"/>
          <w:lang w:val="es-MX"/>
        </w:rPr>
        <w:t>Sala de Consulta y Servicio Civil. Concepto del 24 de julio de 2013. Consejero Ponente: Álvaro Namén Vargas. Número Interno: 2166).</w:t>
      </w:r>
    </w:p>
  </w:footnote>
  <w:footnote w:id="19">
    <w:p w14:paraId="71FD2A26" w14:textId="77777777"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Consejo de Estado. Sección Tercera. Subsección C. Sentencia del 2 de diciembre de 2013. Exp. 41719. Consejero Ponente: Jaime Orlando Santofimio Gamboa.</w:t>
      </w:r>
    </w:p>
    <w:p w14:paraId="1846DB22"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 w:id="20">
    <w:p w14:paraId="71516D68" w14:textId="77777777" w:rsidR="007A4176" w:rsidRPr="00A53BC5" w:rsidRDefault="007A4176" w:rsidP="007A4176">
      <w:pPr>
        <w:pStyle w:val="Textonotapie"/>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Cfr. Sentencia C-317 de 2012 (M.P. María Victoria Calle Correa). </w:t>
      </w:r>
      <w:r w:rsidRPr="00A53BC5">
        <w:rPr>
          <w:rFonts w:ascii="Arial" w:hAnsi="Arial" w:cs="Arial"/>
          <w:sz w:val="18"/>
          <w:szCs w:val="18"/>
          <w:lang w:val="es-ES"/>
        </w:rPr>
        <w:t>En igual sentido, el artículo 27 del Código Civil establece que «Cuando el sentido de la ley sea claro, no se desatenderá su tenor literal a pretexto de consultar su espíritu». Aquí el concepto de ley se entiende en un sentido material, como norma jurídica.</w:t>
      </w:r>
    </w:p>
  </w:footnote>
  <w:footnote w:id="21">
    <w:p w14:paraId="5BDF289D" w14:textId="6B2ADE8E" w:rsidR="007A4176" w:rsidRPr="00A53BC5" w:rsidRDefault="007A4176" w:rsidP="007A4176">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00CF1B5D" w:rsidRPr="00A53BC5">
        <w:rPr>
          <w:rFonts w:ascii="Arial" w:hAnsi="Arial" w:cs="Arial"/>
          <w:color w:val="000000"/>
          <w:sz w:val="18"/>
          <w:szCs w:val="18"/>
          <w:lang w:val="es-ES"/>
        </w:rPr>
        <w:t>CONSEJO DE ESTADO</w:t>
      </w:r>
      <w:r w:rsidRPr="00A53BC5">
        <w:rPr>
          <w:rFonts w:ascii="Arial" w:hAnsi="Arial" w:cs="Arial"/>
          <w:color w:val="000000"/>
          <w:sz w:val="18"/>
          <w:szCs w:val="18"/>
          <w:lang w:val="es-ES"/>
        </w:rPr>
        <w:t>. Sección Tercera. Subsección C. Sentencia del 2 de diciembre de 2013. Exp. 41719. Consejero Ponente: Jaime Orlando Santofimio Gamboa.</w:t>
      </w:r>
    </w:p>
    <w:p w14:paraId="1B25F65D" w14:textId="77777777" w:rsidR="007A4176" w:rsidRPr="00A53BC5" w:rsidRDefault="007A4176" w:rsidP="007A4176">
      <w:pPr>
        <w:pStyle w:val="Textonotapie"/>
        <w:ind w:firstLine="709"/>
        <w:jc w:val="both"/>
        <w:rPr>
          <w:rFonts w:ascii="Arial" w:hAnsi="Arial" w:cs="Arial"/>
          <w:color w:val="000000"/>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21550930" w:rsidR="00906B3C" w:rsidRPr="003F58A1" w:rsidRDefault="00906B3C" w:rsidP="008614E5">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7728" behindDoc="1" locked="0" layoutInCell="1" hidden="0" allowOverlap="1" wp14:anchorId="30C7B261" wp14:editId="22B1ADD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10728"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gridCol w:w="1324"/>
    </w:tblGrid>
    <w:tr w:rsidR="00B9476D" w:rsidRPr="00367110" w14:paraId="28C3C57E" w14:textId="77777777" w:rsidTr="00B9476D">
      <w:tc>
        <w:tcPr>
          <w:tcW w:w="6756" w:type="dxa"/>
        </w:tcPr>
        <w:p w14:paraId="1B33C88C" w14:textId="24816195" w:rsidR="00B9476D" w:rsidRPr="006478E3" w:rsidRDefault="00B9476D" w:rsidP="00906B3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CA171C3" w14:textId="29EA00BF" w:rsidR="00B9476D" w:rsidRPr="0057618A" w:rsidRDefault="00B9476D" w:rsidP="00906B3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7C24EFEE" w14:textId="77777777" w:rsidR="00B9476D" w:rsidRPr="00367110" w:rsidRDefault="00B9476D" w:rsidP="00906B3C">
          <w:pPr>
            <w:jc w:val="right"/>
            <w:rPr>
              <w:rFonts w:eastAsia="Arial Nova" w:cs="Arial Nova"/>
              <w:lang w:eastAsia="es-CO"/>
            </w:rPr>
          </w:pPr>
        </w:p>
      </w:tc>
      <w:tc>
        <w:tcPr>
          <w:tcW w:w="1324" w:type="dxa"/>
        </w:tcPr>
        <w:p w14:paraId="48960395" w14:textId="4F4744BD" w:rsidR="00B9476D" w:rsidRPr="00367110" w:rsidRDefault="00B9476D" w:rsidP="00906B3C">
          <w:pPr>
            <w:jc w:val="right"/>
            <w:rPr>
              <w:rFonts w:eastAsia="Arial Nova" w:cs="Arial Nova"/>
              <w:lang w:eastAsia="es-CO"/>
            </w:rPr>
          </w:pPr>
        </w:p>
      </w:tc>
      <w:tc>
        <w:tcPr>
          <w:tcW w:w="1324" w:type="dxa"/>
        </w:tcPr>
        <w:p w14:paraId="3E143861" w14:textId="77777777" w:rsidR="00B9476D" w:rsidRPr="00367110" w:rsidRDefault="00B9476D" w:rsidP="00906B3C">
          <w:pPr>
            <w:jc w:val="right"/>
            <w:rPr>
              <w:rFonts w:eastAsia="Arial Nova" w:cs="Arial Nova"/>
              <w:lang w:eastAsia="es-CO"/>
            </w:rPr>
          </w:pPr>
        </w:p>
      </w:tc>
    </w:tr>
  </w:tbl>
  <w:p w14:paraId="1D9AD711" w14:textId="29BD2D08" w:rsidR="004A1847" w:rsidRPr="007A4176" w:rsidRDefault="00906B3C" w:rsidP="00906B3C">
    <w:pPr>
      <w:pStyle w:val="Encabezado"/>
      <w:tabs>
        <w:tab w:val="clear" w:pos="4419"/>
        <w:tab w:val="clear" w:pos="8838"/>
      </w:tabs>
      <w:ind w:left="3545" w:firstLine="709"/>
      <w:rPr>
        <w:b/>
        <w:bCs/>
        <w:color w:val="DBDBDB"/>
        <w:sz w:val="18"/>
        <w:szCs w:val="18"/>
      </w:rPr>
    </w:pPr>
    <w:r w:rsidRPr="00367110">
      <w:rPr>
        <w:rFonts w:eastAsia="Arial Nova" w:cs="Arial Nova"/>
        <w:noProof/>
        <w:color w:val="000000"/>
        <w:lang w:val="en-US"/>
      </w:rPr>
      <w:drawing>
        <wp:anchor distT="0" distB="0" distL="114300" distR="114300" simplePos="0" relativeHeight="251668992" behindDoc="1" locked="0" layoutInCell="1" allowOverlap="1" wp14:anchorId="0E3A0652" wp14:editId="2766B874">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354119"/>
    <w:multiLevelType w:val="hybridMultilevel"/>
    <w:tmpl w:val="BFAEF7B8"/>
    <w:lvl w:ilvl="0" w:tplc="77BA99B8">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6" w15:restartNumberingAfterBreak="0">
    <w:nsid w:val="4BDC0906"/>
    <w:multiLevelType w:val="hybridMultilevel"/>
    <w:tmpl w:val="5900AA02"/>
    <w:lvl w:ilvl="0" w:tplc="87D431B4">
      <w:start w:val="1"/>
      <w:numFmt w:val="upperLetter"/>
      <w:lvlText w:val="%1."/>
      <w:lvlJc w:val="left"/>
      <w:pPr>
        <w:ind w:left="720" w:hanging="360"/>
      </w:pPr>
      <w:rPr>
        <w:rFonts w:ascii="Arial" w:hAnsi="Arial" w:cs="Arial" w:hint="default"/>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A846BD"/>
    <w:multiLevelType w:val="hybridMultilevel"/>
    <w:tmpl w:val="3AE4AA2C"/>
    <w:lvl w:ilvl="0" w:tplc="5E44AF1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382016">
    <w:abstractNumId w:val="3"/>
  </w:num>
  <w:num w:numId="2" w16cid:durableId="1158417795">
    <w:abstractNumId w:val="1"/>
  </w:num>
  <w:num w:numId="3" w16cid:durableId="282199876">
    <w:abstractNumId w:val="2"/>
  </w:num>
  <w:num w:numId="4" w16cid:durableId="1650330712">
    <w:abstractNumId w:val="0"/>
  </w:num>
  <w:num w:numId="5" w16cid:durableId="1198277446">
    <w:abstractNumId w:val="5"/>
  </w:num>
  <w:num w:numId="6"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915218">
    <w:abstractNumId w:val="7"/>
  </w:num>
  <w:num w:numId="8" w16cid:durableId="782269077">
    <w:abstractNumId w:val="6"/>
  </w:num>
  <w:num w:numId="9" w16cid:durableId="1559588099">
    <w:abstractNumId w:val="8"/>
  </w:num>
  <w:num w:numId="10" w16cid:durableId="198593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2BFB"/>
    <w:rsid w:val="00006A96"/>
    <w:rsid w:val="000123C0"/>
    <w:rsid w:val="00042F76"/>
    <w:rsid w:val="00062F54"/>
    <w:rsid w:val="000719B4"/>
    <w:rsid w:val="00083334"/>
    <w:rsid w:val="000926F9"/>
    <w:rsid w:val="000956CF"/>
    <w:rsid w:val="000A683E"/>
    <w:rsid w:val="000E1AFA"/>
    <w:rsid w:val="00113434"/>
    <w:rsid w:val="0011595A"/>
    <w:rsid w:val="00117F0E"/>
    <w:rsid w:val="001220C5"/>
    <w:rsid w:val="001267F7"/>
    <w:rsid w:val="00127233"/>
    <w:rsid w:val="0013375F"/>
    <w:rsid w:val="00164D81"/>
    <w:rsid w:val="00175486"/>
    <w:rsid w:val="0019512D"/>
    <w:rsid w:val="001A1011"/>
    <w:rsid w:val="002449A8"/>
    <w:rsid w:val="00247621"/>
    <w:rsid w:val="002653C1"/>
    <w:rsid w:val="002854EB"/>
    <w:rsid w:val="00285C8F"/>
    <w:rsid w:val="00291FB5"/>
    <w:rsid w:val="002951A0"/>
    <w:rsid w:val="002A64FD"/>
    <w:rsid w:val="002A77B5"/>
    <w:rsid w:val="002B282F"/>
    <w:rsid w:val="00310B9B"/>
    <w:rsid w:val="00321669"/>
    <w:rsid w:val="0034315D"/>
    <w:rsid w:val="00344914"/>
    <w:rsid w:val="0036461C"/>
    <w:rsid w:val="00367884"/>
    <w:rsid w:val="00382303"/>
    <w:rsid w:val="0039439C"/>
    <w:rsid w:val="003B69E7"/>
    <w:rsid w:val="003C013B"/>
    <w:rsid w:val="003D0F4D"/>
    <w:rsid w:val="003D5E32"/>
    <w:rsid w:val="003E547B"/>
    <w:rsid w:val="003F58A1"/>
    <w:rsid w:val="00410DD6"/>
    <w:rsid w:val="004134C9"/>
    <w:rsid w:val="00417B40"/>
    <w:rsid w:val="0042358C"/>
    <w:rsid w:val="00462A59"/>
    <w:rsid w:val="00465727"/>
    <w:rsid w:val="00476D37"/>
    <w:rsid w:val="004875A5"/>
    <w:rsid w:val="004A1847"/>
    <w:rsid w:val="004B6B0E"/>
    <w:rsid w:val="004D25B3"/>
    <w:rsid w:val="004F577F"/>
    <w:rsid w:val="00511405"/>
    <w:rsid w:val="00526E9D"/>
    <w:rsid w:val="00547533"/>
    <w:rsid w:val="00547A74"/>
    <w:rsid w:val="005566E8"/>
    <w:rsid w:val="005746AB"/>
    <w:rsid w:val="005D3FEA"/>
    <w:rsid w:val="005D65C8"/>
    <w:rsid w:val="006219F8"/>
    <w:rsid w:val="00644A46"/>
    <w:rsid w:val="00681FDB"/>
    <w:rsid w:val="006A7DAD"/>
    <w:rsid w:val="006C460F"/>
    <w:rsid w:val="006D2E6C"/>
    <w:rsid w:val="006D70BA"/>
    <w:rsid w:val="006E703C"/>
    <w:rsid w:val="00734D2D"/>
    <w:rsid w:val="00737215"/>
    <w:rsid w:val="00740A42"/>
    <w:rsid w:val="00742D74"/>
    <w:rsid w:val="00753C66"/>
    <w:rsid w:val="00757BCD"/>
    <w:rsid w:val="0077144B"/>
    <w:rsid w:val="007757C2"/>
    <w:rsid w:val="00794F4C"/>
    <w:rsid w:val="00795542"/>
    <w:rsid w:val="007A4176"/>
    <w:rsid w:val="007D2B84"/>
    <w:rsid w:val="007F2B7C"/>
    <w:rsid w:val="00807FCC"/>
    <w:rsid w:val="008120F9"/>
    <w:rsid w:val="00814E08"/>
    <w:rsid w:val="00820F5B"/>
    <w:rsid w:val="00831A05"/>
    <w:rsid w:val="00833452"/>
    <w:rsid w:val="00857734"/>
    <w:rsid w:val="008614E5"/>
    <w:rsid w:val="008678EB"/>
    <w:rsid w:val="00881C10"/>
    <w:rsid w:val="00881EB1"/>
    <w:rsid w:val="008A113B"/>
    <w:rsid w:val="008A2823"/>
    <w:rsid w:val="008B01DC"/>
    <w:rsid w:val="008C20BE"/>
    <w:rsid w:val="008C42A8"/>
    <w:rsid w:val="008C4846"/>
    <w:rsid w:val="008D5C70"/>
    <w:rsid w:val="008D7A0D"/>
    <w:rsid w:val="009025AF"/>
    <w:rsid w:val="00904F23"/>
    <w:rsid w:val="00906B3C"/>
    <w:rsid w:val="00917C28"/>
    <w:rsid w:val="00935DFB"/>
    <w:rsid w:val="00944EED"/>
    <w:rsid w:val="00957616"/>
    <w:rsid w:val="009B048B"/>
    <w:rsid w:val="009C043F"/>
    <w:rsid w:val="009F33F2"/>
    <w:rsid w:val="00A07532"/>
    <w:rsid w:val="00A103AB"/>
    <w:rsid w:val="00A1085C"/>
    <w:rsid w:val="00A134BC"/>
    <w:rsid w:val="00A309E2"/>
    <w:rsid w:val="00A31C74"/>
    <w:rsid w:val="00A53BC5"/>
    <w:rsid w:val="00A8066E"/>
    <w:rsid w:val="00AA4B8A"/>
    <w:rsid w:val="00AA6BF7"/>
    <w:rsid w:val="00AC4911"/>
    <w:rsid w:val="00B06D09"/>
    <w:rsid w:val="00B32CF9"/>
    <w:rsid w:val="00B41DA6"/>
    <w:rsid w:val="00B5567C"/>
    <w:rsid w:val="00B730B3"/>
    <w:rsid w:val="00B771A9"/>
    <w:rsid w:val="00B809BB"/>
    <w:rsid w:val="00B8248A"/>
    <w:rsid w:val="00B9476D"/>
    <w:rsid w:val="00BE4CFE"/>
    <w:rsid w:val="00C30461"/>
    <w:rsid w:val="00C50F6A"/>
    <w:rsid w:val="00C754BE"/>
    <w:rsid w:val="00CC1B26"/>
    <w:rsid w:val="00CD284F"/>
    <w:rsid w:val="00CE3EA1"/>
    <w:rsid w:val="00CF1B5D"/>
    <w:rsid w:val="00CF23AA"/>
    <w:rsid w:val="00CF49BA"/>
    <w:rsid w:val="00D01921"/>
    <w:rsid w:val="00D1572C"/>
    <w:rsid w:val="00D44302"/>
    <w:rsid w:val="00D47394"/>
    <w:rsid w:val="00D501A4"/>
    <w:rsid w:val="00D55542"/>
    <w:rsid w:val="00D752B7"/>
    <w:rsid w:val="00DA1854"/>
    <w:rsid w:val="00DA240B"/>
    <w:rsid w:val="00DA5DDE"/>
    <w:rsid w:val="00DB68AA"/>
    <w:rsid w:val="00DE38AB"/>
    <w:rsid w:val="00E1575B"/>
    <w:rsid w:val="00E20894"/>
    <w:rsid w:val="00E26B7C"/>
    <w:rsid w:val="00E301E6"/>
    <w:rsid w:val="00E35C63"/>
    <w:rsid w:val="00E829A3"/>
    <w:rsid w:val="00E859DD"/>
    <w:rsid w:val="00E85C6F"/>
    <w:rsid w:val="00E87DDB"/>
    <w:rsid w:val="00EB66DA"/>
    <w:rsid w:val="00EC64CD"/>
    <w:rsid w:val="00ED50C8"/>
    <w:rsid w:val="00EF504A"/>
    <w:rsid w:val="00F40AF1"/>
    <w:rsid w:val="00F449DF"/>
    <w:rsid w:val="00F57589"/>
    <w:rsid w:val="00F605F2"/>
    <w:rsid w:val="00F73942"/>
    <w:rsid w:val="00F75C8A"/>
    <w:rsid w:val="00F76AFC"/>
    <w:rsid w:val="00F879A2"/>
    <w:rsid w:val="00F87CB6"/>
    <w:rsid w:val="00FA5516"/>
    <w:rsid w:val="00FC79DE"/>
    <w:rsid w:val="00FD6F73"/>
    <w:rsid w:val="00FD7A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F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0AF1"/>
    <w:pPr>
      <w:spacing w:line="240" w:lineRule="exact"/>
    </w:pPr>
    <w:rPr>
      <w:vertAlign w:val="superscript"/>
    </w:rPr>
  </w:style>
  <w:style w:type="character" w:styleId="Hipervnculo">
    <w:name w:val="Hyperlink"/>
    <w:basedOn w:val="Fuentedeprrafopredeter"/>
    <w:uiPriority w:val="99"/>
    <w:unhideWhenUsed/>
    <w:rsid w:val="00F40AF1"/>
    <w:rPr>
      <w:color w:val="0563C1" w:themeColor="hyperlink"/>
      <w:u w:val="single"/>
    </w:rPr>
  </w:style>
  <w:style w:type="paragraph" w:styleId="Textoindependiente">
    <w:name w:val="Body Text"/>
    <w:basedOn w:val="Normal"/>
    <w:link w:val="TextoindependienteCar"/>
    <w:uiPriority w:val="1"/>
    <w:unhideWhenUsed/>
    <w:qFormat/>
    <w:rsid w:val="00F40AF1"/>
    <w:pPr>
      <w:spacing w:after="120"/>
    </w:pPr>
  </w:style>
  <w:style w:type="character" w:customStyle="1" w:styleId="TextoindependienteCar">
    <w:name w:val="Texto independiente Car"/>
    <w:basedOn w:val="Fuentedeprrafopredeter"/>
    <w:link w:val="Textoindependiente"/>
    <w:uiPriority w:val="1"/>
    <w:rsid w:val="00F40AF1"/>
  </w:style>
  <w:style w:type="table" w:customStyle="1" w:styleId="Tablaconcuadrcula12">
    <w:name w:val="Tabla con cuadrícula12"/>
    <w:basedOn w:val="Tablanormal"/>
    <w:next w:val="Tablaconcuadrcula"/>
    <w:uiPriority w:val="59"/>
    <w:rsid w:val="0001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49A8"/>
    <w:rPr>
      <w:rFonts w:ascii="Times New Roman" w:hAnsi="Times New Roman" w:cs="Times New Roman"/>
      <w:sz w:val="24"/>
      <w:szCs w:val="24"/>
    </w:rPr>
  </w:style>
  <w:style w:type="character" w:customStyle="1" w:styleId="Hipervnculo1">
    <w:name w:val="Hipervínculo1"/>
    <w:basedOn w:val="Fuentedeprrafopredeter"/>
    <w:uiPriority w:val="99"/>
    <w:unhideWhenUsed/>
    <w:rsid w:val="00B41DA6"/>
    <w:rPr>
      <w:color w:val="F2F2F2"/>
      <w:u w:val="single"/>
    </w:rPr>
  </w:style>
  <w:style w:type="paragraph" w:styleId="Textoindependiente3">
    <w:name w:val="Body Text 3"/>
    <w:basedOn w:val="Normal"/>
    <w:link w:val="Textoindependiente3Car"/>
    <w:uiPriority w:val="99"/>
    <w:semiHidden/>
    <w:unhideWhenUsed/>
    <w:rsid w:val="00B41D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1DA6"/>
    <w:rPr>
      <w:sz w:val="16"/>
      <w:szCs w:val="16"/>
    </w:rPr>
  </w:style>
  <w:style w:type="character" w:styleId="Refdenotaalfinal">
    <w:name w:val="endnote reference"/>
    <w:basedOn w:val="Fuentedeprrafopredeter"/>
    <w:uiPriority w:val="99"/>
    <w:semiHidden/>
    <w:unhideWhenUsed/>
    <w:rsid w:val="00B41DA6"/>
    <w:rPr>
      <w:vertAlign w:val="superscript"/>
    </w:rPr>
  </w:style>
  <w:style w:type="paragraph" w:styleId="Sinespaciado">
    <w:name w:val="No Spacing"/>
    <w:uiPriority w:val="1"/>
    <w:qFormat/>
    <w:rsid w:val="00A31C74"/>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8475">
      <w:bodyDiv w:val="1"/>
      <w:marLeft w:val="0"/>
      <w:marRight w:val="0"/>
      <w:marTop w:val="0"/>
      <w:marBottom w:val="0"/>
      <w:divBdr>
        <w:top w:val="none" w:sz="0" w:space="0" w:color="auto"/>
        <w:left w:val="none" w:sz="0" w:space="0" w:color="auto"/>
        <w:bottom w:val="none" w:sz="0" w:space="0" w:color="auto"/>
        <w:right w:val="none" w:sz="0" w:space="0" w:color="auto"/>
      </w:divBdr>
    </w:div>
    <w:div w:id="710888285">
      <w:bodyDiv w:val="1"/>
      <w:marLeft w:val="0"/>
      <w:marRight w:val="0"/>
      <w:marTop w:val="0"/>
      <w:marBottom w:val="0"/>
      <w:divBdr>
        <w:top w:val="none" w:sz="0" w:space="0" w:color="auto"/>
        <w:left w:val="none" w:sz="0" w:space="0" w:color="auto"/>
        <w:bottom w:val="none" w:sz="0" w:space="0" w:color="auto"/>
        <w:right w:val="none" w:sz="0" w:space="0" w:color="auto"/>
      </w:divBdr>
    </w:div>
    <w:div w:id="963123039">
      <w:bodyDiv w:val="1"/>
      <w:marLeft w:val="0"/>
      <w:marRight w:val="0"/>
      <w:marTop w:val="0"/>
      <w:marBottom w:val="0"/>
      <w:divBdr>
        <w:top w:val="none" w:sz="0" w:space="0" w:color="auto"/>
        <w:left w:val="none" w:sz="0" w:space="0" w:color="auto"/>
        <w:bottom w:val="none" w:sz="0" w:space="0" w:color="auto"/>
        <w:right w:val="none" w:sz="0" w:space="0" w:color="auto"/>
      </w:divBdr>
    </w:div>
    <w:div w:id="1126119536">
      <w:bodyDiv w:val="1"/>
      <w:marLeft w:val="0"/>
      <w:marRight w:val="0"/>
      <w:marTop w:val="0"/>
      <w:marBottom w:val="0"/>
      <w:divBdr>
        <w:top w:val="none" w:sz="0" w:space="0" w:color="auto"/>
        <w:left w:val="none" w:sz="0" w:space="0" w:color="auto"/>
        <w:bottom w:val="none" w:sz="0" w:space="0" w:color="auto"/>
        <w:right w:val="none" w:sz="0" w:space="0" w:color="auto"/>
      </w:divBdr>
    </w:div>
    <w:div w:id="1379012314">
      <w:bodyDiv w:val="1"/>
      <w:marLeft w:val="0"/>
      <w:marRight w:val="0"/>
      <w:marTop w:val="0"/>
      <w:marBottom w:val="0"/>
      <w:divBdr>
        <w:top w:val="none" w:sz="0" w:space="0" w:color="auto"/>
        <w:left w:val="none" w:sz="0" w:space="0" w:color="auto"/>
        <w:bottom w:val="none" w:sz="0" w:space="0" w:color="auto"/>
        <w:right w:val="none" w:sz="0" w:space="0" w:color="auto"/>
      </w:divBdr>
      <w:divsChild>
        <w:div w:id="1593780129">
          <w:marLeft w:val="0"/>
          <w:marRight w:val="0"/>
          <w:marTop w:val="0"/>
          <w:marBottom w:val="0"/>
          <w:divBdr>
            <w:top w:val="none" w:sz="0" w:space="0" w:color="auto"/>
            <w:left w:val="none" w:sz="0" w:space="0" w:color="auto"/>
            <w:bottom w:val="none" w:sz="0" w:space="0" w:color="auto"/>
            <w:right w:val="none" w:sz="0" w:space="0" w:color="auto"/>
          </w:divBdr>
        </w:div>
      </w:divsChild>
    </w:div>
    <w:div w:id="1559514630">
      <w:bodyDiv w:val="1"/>
      <w:marLeft w:val="0"/>
      <w:marRight w:val="0"/>
      <w:marTop w:val="0"/>
      <w:marBottom w:val="0"/>
      <w:divBdr>
        <w:top w:val="none" w:sz="0" w:space="0" w:color="auto"/>
        <w:left w:val="none" w:sz="0" w:space="0" w:color="auto"/>
        <w:bottom w:val="none" w:sz="0" w:space="0" w:color="auto"/>
        <w:right w:val="none" w:sz="0" w:space="0" w:color="auto"/>
      </w:divBdr>
      <w:divsChild>
        <w:div w:id="2140490302">
          <w:marLeft w:val="0"/>
          <w:marRight w:val="0"/>
          <w:marTop w:val="0"/>
          <w:marBottom w:val="0"/>
          <w:divBdr>
            <w:top w:val="none" w:sz="0" w:space="0" w:color="auto"/>
            <w:left w:val="none" w:sz="0" w:space="0" w:color="auto"/>
            <w:bottom w:val="none" w:sz="0" w:space="0" w:color="auto"/>
            <w:right w:val="none" w:sz="0" w:space="0" w:color="auto"/>
          </w:divBdr>
          <w:divsChild>
            <w:div w:id="1717926667">
              <w:marLeft w:val="0"/>
              <w:marRight w:val="0"/>
              <w:marTop w:val="0"/>
              <w:marBottom w:val="0"/>
              <w:divBdr>
                <w:top w:val="none" w:sz="0" w:space="0" w:color="auto"/>
                <w:left w:val="none" w:sz="0" w:space="0" w:color="auto"/>
                <w:bottom w:val="none" w:sz="0" w:space="0" w:color="auto"/>
                <w:right w:val="none" w:sz="0" w:space="0" w:color="auto"/>
              </w:divBdr>
              <w:divsChild>
                <w:div w:id="20452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3243">
      <w:bodyDiv w:val="1"/>
      <w:marLeft w:val="0"/>
      <w:marRight w:val="0"/>
      <w:marTop w:val="0"/>
      <w:marBottom w:val="0"/>
      <w:divBdr>
        <w:top w:val="none" w:sz="0" w:space="0" w:color="auto"/>
        <w:left w:val="none" w:sz="0" w:space="0" w:color="auto"/>
        <w:bottom w:val="none" w:sz="0" w:space="0" w:color="auto"/>
        <w:right w:val="none" w:sz="0" w:space="0" w:color="auto"/>
      </w:divBdr>
      <w:divsChild>
        <w:div w:id="210496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C9310-D59E-4BF9-9283-1D2FA64E9F31}">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826EF061-ABDF-4724-B014-98B89179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7866</Words>
  <Characters>43267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2022-12-07T15:47:00Z</dcterms:created>
  <dcterms:modified xsi:type="dcterms:W3CDTF">2022-12-07T15:47:00Z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