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FCAB"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PRINCIPIO DE PLANEACIÓN – Estudios previos </w:t>
      </w:r>
    </w:p>
    <w:p w14:paraId="4EDC0895" w14:textId="77777777" w:rsidR="00700BE9" w:rsidRPr="00416C3A" w:rsidRDefault="00700BE9" w:rsidP="00700BE9">
      <w:pPr>
        <w:jc w:val="both"/>
        <w:rPr>
          <w:rFonts w:ascii="Arial" w:eastAsia="Calibri" w:hAnsi="Arial" w:cs="Arial"/>
          <w:sz w:val="20"/>
          <w:szCs w:val="20"/>
        </w:rPr>
      </w:pPr>
    </w:p>
    <w:p w14:paraId="6A421B83" w14:textId="77777777" w:rsidR="00700BE9" w:rsidRPr="00416C3A" w:rsidRDefault="00700BE9" w:rsidP="00700BE9">
      <w:pPr>
        <w:spacing w:after="120"/>
        <w:jc w:val="both"/>
        <w:rPr>
          <w:rFonts w:ascii="Arial" w:eastAsia="Calibri" w:hAnsi="Arial" w:cs="Arial"/>
          <w:sz w:val="20"/>
          <w:szCs w:val="20"/>
        </w:rPr>
      </w:pPr>
      <w:r w:rsidRPr="00416C3A">
        <w:rPr>
          <w:rFonts w:ascii="Arial" w:eastAsia="Calibri" w:hAnsi="Arial" w:cs="Arial"/>
          <w:sz w:val="20"/>
          <w:szCs w:val="20"/>
        </w:rPr>
        <w:t xml:space="preserve">[…] 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05265333" w14:textId="77777777" w:rsidR="00700BE9" w:rsidRPr="00416C3A" w:rsidRDefault="00700BE9" w:rsidP="00700BE9">
      <w:pPr>
        <w:spacing w:after="120"/>
        <w:jc w:val="both"/>
        <w:rPr>
          <w:rFonts w:ascii="Arial" w:eastAsia="Calibri" w:hAnsi="Arial" w:cs="Arial"/>
          <w:sz w:val="20"/>
          <w:szCs w:val="20"/>
        </w:rPr>
      </w:pPr>
      <w:r w:rsidRPr="00416C3A">
        <w:rPr>
          <w:rFonts w:ascii="Arial" w:eastAsia="Calibri" w:hAnsi="Arial" w:cs="Arial"/>
          <w:sz w:val="20"/>
          <w:szCs w:val="20"/>
        </w:rPr>
        <w:t>[…]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p w14:paraId="2A528081"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Por ello, el hecho que las entidades cumplan con los elementos mínimos establecidos en la norma y aquellos adicionales que identifiquen en la etapa de planeación de los procedimientos de contratación, permite que los contratos resultantes cuenten con el sustento técnico, económico y jurídico que incidirá en una adecuada ejecución.</w:t>
      </w:r>
    </w:p>
    <w:p w14:paraId="3A189873" w14:textId="77777777" w:rsidR="00700BE9" w:rsidRPr="00416C3A" w:rsidRDefault="00700BE9" w:rsidP="00700BE9">
      <w:pPr>
        <w:jc w:val="both"/>
        <w:rPr>
          <w:rFonts w:ascii="Arial" w:eastAsia="Calibri" w:hAnsi="Arial" w:cs="Arial"/>
          <w:sz w:val="20"/>
          <w:szCs w:val="20"/>
        </w:rPr>
      </w:pPr>
    </w:p>
    <w:p w14:paraId="5C9D4779"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PRINCIPIO DE PLANEACIÓN </w:t>
      </w:r>
      <w:r w:rsidRPr="00416C3A">
        <w:rPr>
          <w:rFonts w:ascii="Arial" w:eastAsia="Arial" w:hAnsi="Arial" w:cs="Arial"/>
          <w:b/>
          <w:bCs/>
          <w:color w:val="000000" w:themeColor="text1"/>
          <w:sz w:val="20"/>
          <w:szCs w:val="20"/>
        </w:rPr>
        <w:t>–</w:t>
      </w:r>
      <w:r w:rsidRPr="00416C3A">
        <w:rPr>
          <w:rFonts w:ascii="Arial" w:eastAsia="Arial" w:hAnsi="Arial" w:cs="Arial"/>
          <w:b/>
          <w:bCs/>
          <w:sz w:val="20"/>
          <w:szCs w:val="20"/>
          <w:lang w:val="es-ES"/>
        </w:rPr>
        <w:t xml:space="preserve"> Análisis del sector económico y de los oferentes </w:t>
      </w:r>
    </w:p>
    <w:p w14:paraId="18CBC2AD" w14:textId="77777777" w:rsidR="00700BE9" w:rsidRPr="00416C3A" w:rsidRDefault="00700BE9" w:rsidP="00700BE9">
      <w:pPr>
        <w:jc w:val="both"/>
        <w:rPr>
          <w:rFonts w:ascii="Arial" w:eastAsia="Calibri" w:hAnsi="Arial" w:cs="Arial"/>
          <w:b/>
          <w:bCs/>
          <w:sz w:val="20"/>
          <w:szCs w:val="20"/>
        </w:rPr>
      </w:pPr>
    </w:p>
    <w:p w14:paraId="5BF838E5"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5CAB7F0F" w14:textId="77777777" w:rsidR="00700BE9" w:rsidRPr="00416C3A" w:rsidRDefault="00700BE9" w:rsidP="00700BE9">
      <w:pPr>
        <w:jc w:val="both"/>
        <w:rPr>
          <w:rFonts w:ascii="Arial" w:eastAsia="Calibri" w:hAnsi="Arial" w:cs="Arial"/>
          <w:sz w:val="20"/>
          <w:szCs w:val="20"/>
        </w:rPr>
      </w:pPr>
    </w:p>
    <w:p w14:paraId="3A36426F"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 xml:space="preserve">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 Dicho análisis facilita tanto el conocimiento del sector, desde una perspectiva multidisciplinaria, como de los proveedores disponibles en el mercado para satisfacer la necesidad de la entidad contratante. Así mismo, el </w:t>
      </w:r>
      <w:r w:rsidRPr="00416C3A">
        <w:rPr>
          <w:rFonts w:ascii="Arial" w:eastAsia="Calibri" w:hAnsi="Arial" w:cs="Arial"/>
          <w:sz w:val="20"/>
          <w:szCs w:val="20"/>
        </w:rPr>
        <w:lastRenderedPageBreak/>
        <w:t>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4E9F69F3" w14:textId="77777777" w:rsidR="00700BE9" w:rsidRPr="00416C3A" w:rsidRDefault="00700BE9" w:rsidP="00700BE9">
      <w:pPr>
        <w:jc w:val="both"/>
        <w:rPr>
          <w:rFonts w:ascii="Arial" w:eastAsia="Arial" w:hAnsi="Arial" w:cs="Arial"/>
          <w:sz w:val="20"/>
          <w:szCs w:val="20"/>
          <w:lang w:val="es-ES"/>
        </w:rPr>
      </w:pPr>
    </w:p>
    <w:p w14:paraId="54B07002"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PRECIO – Autonomía de la entidad para calcular el precio y forma de pago  </w:t>
      </w:r>
    </w:p>
    <w:p w14:paraId="0FC5E9AD" w14:textId="77777777" w:rsidR="00700BE9" w:rsidRPr="00416C3A" w:rsidRDefault="00700BE9" w:rsidP="00700BE9">
      <w:pPr>
        <w:jc w:val="both"/>
        <w:rPr>
          <w:rFonts w:ascii="Arial" w:eastAsia="Calibri" w:hAnsi="Arial" w:cs="Arial"/>
          <w:sz w:val="20"/>
          <w:szCs w:val="20"/>
        </w:rPr>
      </w:pPr>
    </w:p>
    <w:p w14:paraId="36A2495F" w14:textId="77777777" w:rsidR="00700BE9" w:rsidRPr="00416C3A" w:rsidRDefault="00700BE9" w:rsidP="00397329">
      <w:pPr>
        <w:spacing w:before="120" w:after="120"/>
        <w:jc w:val="both"/>
        <w:rPr>
          <w:rFonts w:ascii="Arial" w:hAnsi="Arial" w:cs="Arial"/>
          <w:bCs/>
          <w:sz w:val="20"/>
          <w:szCs w:val="20"/>
        </w:rPr>
      </w:pPr>
      <w:r w:rsidRPr="00416C3A">
        <w:rPr>
          <w:rFonts w:ascii="Arial" w:hAnsi="Arial" w:cs="Arial"/>
          <w:bCs/>
          <w:sz w:val="20"/>
          <w:szCs w:val="20"/>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w:t>
      </w:r>
    </w:p>
    <w:p w14:paraId="0AE58BD8" w14:textId="77777777" w:rsidR="00700BE9" w:rsidRPr="00416C3A" w:rsidRDefault="00700BE9" w:rsidP="00700BE9">
      <w:pPr>
        <w:spacing w:before="120" w:after="120"/>
        <w:jc w:val="both"/>
        <w:rPr>
          <w:rFonts w:ascii="Arial" w:hAnsi="Arial" w:cs="Arial"/>
          <w:bCs/>
          <w:sz w:val="20"/>
          <w:szCs w:val="20"/>
        </w:rPr>
      </w:pPr>
    </w:p>
    <w:p w14:paraId="5AF8F59F" w14:textId="77777777" w:rsidR="00700BE9" w:rsidRPr="00416C3A" w:rsidRDefault="00700BE9" w:rsidP="00700BE9">
      <w:pPr>
        <w:jc w:val="both"/>
        <w:textAlignment w:val="baseline"/>
        <w:rPr>
          <w:rFonts w:ascii="Arial" w:hAnsi="Arial" w:cs="Arial"/>
          <w:sz w:val="20"/>
          <w:szCs w:val="20"/>
          <w:lang w:val="es-ES" w:eastAsia="es-CO"/>
        </w:rPr>
      </w:pPr>
    </w:p>
    <w:p w14:paraId="37FB831B" w14:textId="46E16532" w:rsidR="00FB4A99" w:rsidRPr="00416C3A" w:rsidRDefault="00FB4A99" w:rsidP="00507034">
      <w:pPr>
        <w:jc w:val="both"/>
        <w:rPr>
          <w:rFonts w:ascii="Arial" w:eastAsia="Calibri" w:hAnsi="Arial" w:cs="Arial"/>
          <w:sz w:val="20"/>
          <w:szCs w:val="20"/>
        </w:rPr>
      </w:pPr>
    </w:p>
    <w:p w14:paraId="4FF40674" w14:textId="77777777" w:rsidR="00FB4A99" w:rsidRPr="00416C3A" w:rsidRDefault="00FB4A99" w:rsidP="00507034">
      <w:pPr>
        <w:jc w:val="both"/>
        <w:rPr>
          <w:rFonts w:ascii="Arial" w:eastAsia="Calibri" w:hAnsi="Arial" w:cs="Arial"/>
          <w:sz w:val="20"/>
          <w:szCs w:val="20"/>
          <w:lang w:val="es-ES"/>
        </w:rPr>
      </w:pPr>
    </w:p>
    <w:p w14:paraId="31E28D87" w14:textId="3C65D33A" w:rsidR="00EC0083" w:rsidRPr="00416C3A" w:rsidRDefault="00EC0083" w:rsidP="00550397">
      <w:pPr>
        <w:spacing w:line="276" w:lineRule="auto"/>
        <w:rPr>
          <w:rFonts w:ascii="Arial" w:eastAsia="Calibri" w:hAnsi="Arial" w:cs="Arial"/>
          <w:sz w:val="22"/>
          <w:szCs w:val="22"/>
        </w:rPr>
      </w:pPr>
    </w:p>
    <w:p w14:paraId="29652BD8" w14:textId="294FB3CB" w:rsidR="00EC0083" w:rsidRPr="00416C3A" w:rsidRDefault="00EC0083" w:rsidP="00550397">
      <w:pPr>
        <w:spacing w:line="276" w:lineRule="auto"/>
        <w:rPr>
          <w:rFonts w:ascii="Arial" w:eastAsia="Calibri" w:hAnsi="Arial" w:cs="Arial"/>
          <w:sz w:val="22"/>
          <w:szCs w:val="22"/>
        </w:rPr>
      </w:pPr>
    </w:p>
    <w:p w14:paraId="71B140AB" w14:textId="380ADCBA" w:rsidR="00EC0083" w:rsidRPr="00416C3A" w:rsidRDefault="00EC0083" w:rsidP="00550397">
      <w:pPr>
        <w:spacing w:line="276" w:lineRule="auto"/>
        <w:rPr>
          <w:rFonts w:ascii="Arial" w:eastAsia="Calibri" w:hAnsi="Arial" w:cs="Arial"/>
          <w:sz w:val="22"/>
          <w:szCs w:val="22"/>
        </w:rPr>
      </w:pPr>
    </w:p>
    <w:p w14:paraId="13C2A81C" w14:textId="2DB7FA29" w:rsidR="00EC0083" w:rsidRPr="00416C3A" w:rsidRDefault="00EC0083" w:rsidP="00550397">
      <w:pPr>
        <w:spacing w:line="276" w:lineRule="auto"/>
        <w:rPr>
          <w:rFonts w:ascii="Arial" w:eastAsia="Calibri" w:hAnsi="Arial" w:cs="Arial"/>
          <w:sz w:val="22"/>
          <w:szCs w:val="22"/>
        </w:rPr>
      </w:pPr>
    </w:p>
    <w:p w14:paraId="0604D562" w14:textId="027AC5F4" w:rsidR="00EC0083" w:rsidRPr="00416C3A" w:rsidRDefault="00EC0083" w:rsidP="00550397">
      <w:pPr>
        <w:spacing w:line="276" w:lineRule="auto"/>
        <w:rPr>
          <w:rFonts w:ascii="Arial" w:eastAsia="Calibri" w:hAnsi="Arial" w:cs="Arial"/>
          <w:sz w:val="22"/>
          <w:szCs w:val="22"/>
        </w:rPr>
      </w:pPr>
    </w:p>
    <w:p w14:paraId="3B08E1B4" w14:textId="5EC79BD8" w:rsidR="00EC0083" w:rsidRPr="00416C3A" w:rsidRDefault="00EC0083" w:rsidP="00550397">
      <w:pPr>
        <w:spacing w:line="276" w:lineRule="auto"/>
        <w:rPr>
          <w:rFonts w:ascii="Arial" w:eastAsia="Calibri" w:hAnsi="Arial" w:cs="Arial"/>
          <w:sz w:val="22"/>
          <w:szCs w:val="22"/>
        </w:rPr>
      </w:pPr>
    </w:p>
    <w:p w14:paraId="2AB29C11" w14:textId="77777777" w:rsidR="00EC0083" w:rsidRPr="00416C3A" w:rsidRDefault="00EC0083" w:rsidP="00550397">
      <w:pPr>
        <w:spacing w:line="276" w:lineRule="auto"/>
        <w:rPr>
          <w:rFonts w:ascii="Arial" w:eastAsia="Calibri" w:hAnsi="Arial" w:cs="Arial"/>
          <w:sz w:val="22"/>
          <w:szCs w:val="22"/>
        </w:rPr>
      </w:pPr>
    </w:p>
    <w:p w14:paraId="47EC9518" w14:textId="77777777" w:rsidR="00AD5405" w:rsidRDefault="00AD5405" w:rsidP="00550397">
      <w:pPr>
        <w:spacing w:line="276" w:lineRule="auto"/>
        <w:rPr>
          <w:rFonts w:ascii="Arial" w:eastAsia="Calibri" w:hAnsi="Arial" w:cs="Arial"/>
          <w:sz w:val="22"/>
          <w:szCs w:val="22"/>
        </w:rPr>
      </w:pPr>
    </w:p>
    <w:p w14:paraId="7D24B198" w14:textId="5E649498" w:rsidR="00547D10" w:rsidRDefault="00547D10" w:rsidP="00550397">
      <w:pPr>
        <w:spacing w:line="276" w:lineRule="auto"/>
        <w:rPr>
          <w:rFonts w:ascii="Arial" w:eastAsia="Calibri" w:hAnsi="Arial" w:cs="Arial"/>
          <w:sz w:val="22"/>
          <w:szCs w:val="22"/>
        </w:rPr>
      </w:pPr>
      <w:r>
        <w:rPr>
          <w:rFonts w:ascii="Arial" w:eastAsia="Calibri" w:hAnsi="Arial" w:cs="Arial"/>
          <w:sz w:val="22"/>
          <w:szCs w:val="22"/>
        </w:rPr>
        <w:lastRenderedPageBreak/>
        <w:t xml:space="preserve">Bogotá, 25 de noviembre de 2022.                     </w:t>
      </w:r>
      <w:r w:rsidRPr="00547D10">
        <w:rPr>
          <w:rFonts w:ascii="Arial" w:eastAsia="Calibri" w:hAnsi="Arial" w:cs="Arial"/>
          <w:noProof/>
          <w:sz w:val="22"/>
          <w:szCs w:val="22"/>
        </w:rPr>
        <w:drawing>
          <wp:inline distT="0" distB="0" distL="0" distR="0" wp14:anchorId="53A56EB9" wp14:editId="650FC460">
            <wp:extent cx="2531983" cy="6724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698" cy="677170"/>
                    </a:xfrm>
                    <a:prstGeom prst="rect">
                      <a:avLst/>
                    </a:prstGeom>
                  </pic:spPr>
                </pic:pic>
              </a:graphicData>
            </a:graphic>
          </wp:inline>
        </w:drawing>
      </w:r>
    </w:p>
    <w:p w14:paraId="3C0C1FFC" w14:textId="77777777" w:rsidR="00547D10" w:rsidRDefault="00547D10" w:rsidP="00550397">
      <w:pPr>
        <w:spacing w:line="276" w:lineRule="auto"/>
        <w:rPr>
          <w:rFonts w:ascii="Arial" w:eastAsia="Calibri" w:hAnsi="Arial" w:cs="Arial"/>
          <w:sz w:val="22"/>
          <w:szCs w:val="22"/>
        </w:rPr>
      </w:pPr>
    </w:p>
    <w:p w14:paraId="588DDD80" w14:textId="28ED8B77" w:rsidR="009B20DB" w:rsidRPr="00416C3A" w:rsidRDefault="00FF547A" w:rsidP="00550397">
      <w:pPr>
        <w:spacing w:line="276" w:lineRule="auto"/>
        <w:rPr>
          <w:rFonts w:ascii="Arial" w:eastAsia="Calibri" w:hAnsi="Arial" w:cs="Arial"/>
          <w:sz w:val="22"/>
          <w:szCs w:val="22"/>
        </w:rPr>
      </w:pPr>
      <w:r w:rsidRPr="00416C3A">
        <w:rPr>
          <w:rFonts w:ascii="Arial" w:eastAsia="Calibri" w:hAnsi="Arial" w:cs="Arial"/>
          <w:sz w:val="22"/>
          <w:szCs w:val="22"/>
        </w:rPr>
        <w:t xml:space="preserve">Bogotá D.C., </w:t>
      </w:r>
    </w:p>
    <w:p w14:paraId="7CA802DD" w14:textId="77777777" w:rsidR="00F076BF" w:rsidRDefault="00F076BF" w:rsidP="00550397">
      <w:pPr>
        <w:spacing w:line="276" w:lineRule="auto"/>
        <w:rPr>
          <w:rFonts w:ascii="Arial" w:eastAsia="Calibri" w:hAnsi="Arial" w:cs="Arial"/>
          <w:sz w:val="22"/>
          <w:szCs w:val="22"/>
        </w:rPr>
      </w:pPr>
    </w:p>
    <w:p w14:paraId="37E9657D" w14:textId="77777777" w:rsidR="00F076BF" w:rsidRDefault="00F076BF" w:rsidP="00550397">
      <w:pPr>
        <w:spacing w:line="276" w:lineRule="auto"/>
        <w:rPr>
          <w:rFonts w:ascii="Arial" w:eastAsia="Calibri" w:hAnsi="Arial" w:cs="Arial"/>
          <w:sz w:val="22"/>
          <w:szCs w:val="22"/>
        </w:rPr>
      </w:pPr>
    </w:p>
    <w:p w14:paraId="197C6852" w14:textId="5482C5C1" w:rsidR="00B036EA" w:rsidRPr="00416C3A" w:rsidRDefault="00731374" w:rsidP="00550397">
      <w:pPr>
        <w:spacing w:line="276" w:lineRule="auto"/>
        <w:rPr>
          <w:rFonts w:ascii="Arial" w:eastAsia="Calibri" w:hAnsi="Arial" w:cs="Arial"/>
          <w:sz w:val="22"/>
          <w:szCs w:val="22"/>
        </w:rPr>
      </w:pPr>
      <w:r w:rsidRPr="00416C3A">
        <w:rPr>
          <w:rFonts w:ascii="Arial" w:eastAsia="Calibri" w:hAnsi="Arial" w:cs="Arial"/>
          <w:sz w:val="22"/>
          <w:szCs w:val="22"/>
        </w:rPr>
        <w:t>Señor</w:t>
      </w:r>
    </w:p>
    <w:p w14:paraId="7818EB9F" w14:textId="77777777" w:rsidR="00142D40" w:rsidRDefault="00142D40" w:rsidP="00550397">
      <w:pPr>
        <w:spacing w:line="276" w:lineRule="auto"/>
        <w:rPr>
          <w:rFonts w:ascii="Arial" w:eastAsia="Calibri" w:hAnsi="Arial" w:cs="Arial"/>
          <w:b/>
          <w:bCs/>
          <w:sz w:val="22"/>
          <w:szCs w:val="22"/>
        </w:rPr>
      </w:pPr>
      <w:r>
        <w:rPr>
          <w:rFonts w:ascii="Arial" w:eastAsia="Calibri" w:hAnsi="Arial" w:cs="Arial"/>
          <w:b/>
          <w:bCs/>
          <w:sz w:val="22"/>
          <w:szCs w:val="22"/>
        </w:rPr>
        <w:t>Elías Barcha Velilla</w:t>
      </w:r>
    </w:p>
    <w:p w14:paraId="1A865E65" w14:textId="0FE7473A" w:rsidR="00FF547A" w:rsidRPr="00F076BF" w:rsidRDefault="00142D40" w:rsidP="00550397">
      <w:pPr>
        <w:spacing w:line="276" w:lineRule="auto"/>
        <w:rPr>
          <w:rFonts w:ascii="Arial" w:eastAsia="Calibri" w:hAnsi="Arial" w:cs="Arial"/>
          <w:b/>
          <w:bCs/>
          <w:sz w:val="22"/>
          <w:szCs w:val="22"/>
        </w:rPr>
      </w:pPr>
      <w:r>
        <w:rPr>
          <w:rFonts w:ascii="Arial" w:eastAsia="Calibri" w:hAnsi="Arial" w:cs="Arial"/>
          <w:sz w:val="22"/>
          <w:szCs w:val="22"/>
        </w:rPr>
        <w:t>Planeta Rica, Córdoba</w:t>
      </w:r>
      <w:r w:rsidR="002F1D1C" w:rsidRPr="00416C3A">
        <w:rPr>
          <w:rFonts w:ascii="Arial" w:eastAsia="Calibri" w:hAnsi="Arial" w:cs="Arial"/>
          <w:b/>
          <w:bCs/>
          <w:sz w:val="22"/>
          <w:szCs w:val="22"/>
        </w:rPr>
        <w:t xml:space="preserve"> </w:t>
      </w:r>
    </w:p>
    <w:p w14:paraId="407AA80B" w14:textId="77777777" w:rsidR="00FF547A" w:rsidRPr="00416C3A" w:rsidRDefault="00FF547A" w:rsidP="00550397">
      <w:pPr>
        <w:spacing w:line="276" w:lineRule="auto"/>
        <w:rPr>
          <w:rFonts w:ascii="Arial" w:eastAsia="Calibri" w:hAnsi="Arial" w:cs="Arial"/>
          <w:b/>
          <w:sz w:val="22"/>
          <w:szCs w:val="22"/>
        </w:rPr>
      </w:pPr>
    </w:p>
    <w:p w14:paraId="1F4E36CB" w14:textId="77BCF67C" w:rsidR="003C7067" w:rsidRPr="00416C3A" w:rsidRDefault="003C7067" w:rsidP="00550397">
      <w:pPr>
        <w:spacing w:line="276" w:lineRule="auto"/>
        <w:rPr>
          <w:rFonts w:ascii="Arial" w:eastAsia="Calibri" w:hAnsi="Arial" w:cs="Arial"/>
          <w:b/>
          <w:sz w:val="22"/>
          <w:szCs w:val="22"/>
        </w:rPr>
      </w:pPr>
      <w:r w:rsidRPr="00416C3A">
        <w:rPr>
          <w:rFonts w:ascii="Arial" w:eastAsia="Calibri" w:hAnsi="Arial" w:cs="Arial"/>
          <w:b/>
          <w:sz w:val="22"/>
          <w:szCs w:val="22"/>
        </w:rPr>
        <w:t xml:space="preserve">                                       Concepto C – </w:t>
      </w:r>
      <w:r w:rsidR="00142D40">
        <w:rPr>
          <w:rFonts w:ascii="Arial" w:eastAsia="Calibri" w:hAnsi="Arial" w:cs="Arial"/>
          <w:b/>
          <w:sz w:val="22"/>
          <w:szCs w:val="22"/>
        </w:rPr>
        <w:t>812</w:t>
      </w:r>
      <w:r w:rsidR="00FF547A" w:rsidRPr="00416C3A">
        <w:rPr>
          <w:rFonts w:ascii="Arial" w:eastAsia="Calibri" w:hAnsi="Arial" w:cs="Arial"/>
          <w:b/>
          <w:sz w:val="22"/>
          <w:szCs w:val="22"/>
        </w:rPr>
        <w:t xml:space="preserve"> </w:t>
      </w:r>
      <w:r w:rsidRPr="00416C3A">
        <w:rPr>
          <w:rFonts w:ascii="Arial" w:eastAsia="Calibri" w:hAnsi="Arial" w:cs="Arial"/>
          <w:b/>
          <w:sz w:val="22"/>
          <w:szCs w:val="22"/>
        </w:rPr>
        <w:t>de 202</w:t>
      </w:r>
      <w:r w:rsidR="003104CB" w:rsidRPr="00416C3A">
        <w:rPr>
          <w:rFonts w:ascii="Arial" w:eastAsia="Calibri" w:hAnsi="Arial" w:cs="Arial"/>
          <w:b/>
          <w:sz w:val="22"/>
          <w:szCs w:val="22"/>
        </w:rPr>
        <w:t>2</w:t>
      </w:r>
      <w:r w:rsidRPr="00416C3A">
        <w:rPr>
          <w:rFonts w:ascii="Arial" w:eastAsia="Calibri" w:hAnsi="Arial" w:cs="Arial"/>
          <w:b/>
          <w:sz w:val="22"/>
          <w:szCs w:val="22"/>
        </w:rPr>
        <w:t xml:space="preserve"> </w:t>
      </w:r>
    </w:p>
    <w:p w14:paraId="1698D01B" w14:textId="77777777" w:rsidR="003C7067" w:rsidRPr="00416C3A" w:rsidRDefault="003C7067" w:rsidP="00550397">
      <w:pPr>
        <w:spacing w:line="276" w:lineRule="auto"/>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416C3A" w14:paraId="7C1768E2" w14:textId="77777777" w:rsidTr="00E74412">
        <w:trPr>
          <w:trHeight w:val="823"/>
        </w:trPr>
        <w:tc>
          <w:tcPr>
            <w:tcW w:w="2410" w:type="dxa"/>
          </w:tcPr>
          <w:p w14:paraId="7F7464C9" w14:textId="77777777" w:rsidR="003C7067" w:rsidRPr="00416C3A" w:rsidRDefault="003C7067" w:rsidP="00550397">
            <w:pPr>
              <w:spacing w:line="276" w:lineRule="auto"/>
              <w:rPr>
                <w:rFonts w:ascii="Arial" w:eastAsia="Calibri" w:hAnsi="Arial" w:cs="Arial"/>
              </w:rPr>
            </w:pPr>
            <w:r w:rsidRPr="00416C3A">
              <w:rPr>
                <w:rFonts w:ascii="Arial" w:eastAsia="Calibri" w:hAnsi="Arial" w:cs="Arial"/>
                <w:b/>
              </w:rPr>
              <w:t>Temas:</w:t>
            </w:r>
            <w:r w:rsidRPr="00416C3A">
              <w:rPr>
                <w:rFonts w:ascii="Arial" w:eastAsia="Calibri" w:hAnsi="Arial" w:cs="Arial"/>
              </w:rPr>
              <w:t xml:space="preserve">                                      </w:t>
            </w:r>
          </w:p>
        </w:tc>
        <w:tc>
          <w:tcPr>
            <w:tcW w:w="6516" w:type="dxa"/>
          </w:tcPr>
          <w:p w14:paraId="3CE287FF" w14:textId="69021992" w:rsidR="00700BE9" w:rsidRPr="00416C3A" w:rsidRDefault="00700BE9" w:rsidP="00700BE9">
            <w:pPr>
              <w:jc w:val="both"/>
              <w:rPr>
                <w:rFonts w:ascii="Arial" w:eastAsia="Arial" w:hAnsi="Arial" w:cs="Arial"/>
                <w:lang w:val="es-ES"/>
              </w:rPr>
            </w:pPr>
            <w:r w:rsidRPr="00416C3A">
              <w:rPr>
                <w:rFonts w:ascii="Arial" w:eastAsia="Arial" w:hAnsi="Arial" w:cs="Arial"/>
                <w:lang w:val="es-ES"/>
              </w:rPr>
              <w:t xml:space="preserve">PRINCIPIO DE PLANEACIÓN – Estudios previos / PRINCIPIO DE PLANEACIÓN </w:t>
            </w:r>
            <w:r w:rsidRPr="00416C3A">
              <w:rPr>
                <w:rFonts w:ascii="Arial" w:eastAsia="Arial" w:hAnsi="Arial" w:cs="Arial"/>
                <w:color w:val="000000" w:themeColor="text1"/>
              </w:rPr>
              <w:t>–</w:t>
            </w:r>
            <w:r w:rsidRPr="00416C3A">
              <w:rPr>
                <w:rFonts w:ascii="Arial" w:eastAsia="Arial" w:hAnsi="Arial" w:cs="Arial"/>
                <w:lang w:val="es-ES"/>
              </w:rPr>
              <w:t xml:space="preserve"> Análisis del sector económico y de los oferentes / PRECIO – Autonomía de la entidad para calcular el precio y forma de </w:t>
            </w:r>
            <w:r w:rsidR="00034F93" w:rsidRPr="00416C3A">
              <w:rPr>
                <w:rFonts w:ascii="Arial" w:eastAsia="Arial" w:hAnsi="Arial" w:cs="Arial"/>
                <w:lang w:val="es-ES"/>
              </w:rPr>
              <w:t>pago</w:t>
            </w:r>
          </w:p>
          <w:p w14:paraId="2F4B7014" w14:textId="5D4195FD" w:rsidR="00EC0083" w:rsidRPr="00416C3A" w:rsidRDefault="00EC0083" w:rsidP="002F1D1C">
            <w:pPr>
              <w:pStyle w:val="Textoindependiente"/>
              <w:spacing w:line="276" w:lineRule="auto"/>
              <w:ind w:right="109"/>
              <w:jc w:val="both"/>
              <w:rPr>
                <w:rFonts w:ascii="Segoe UI" w:hAnsi="Segoe UI" w:cs="Segoe UI"/>
                <w:bCs/>
              </w:rPr>
            </w:pPr>
          </w:p>
        </w:tc>
      </w:tr>
      <w:tr w:rsidR="003C7067" w:rsidRPr="00416C3A" w14:paraId="60D249F0" w14:textId="77777777" w:rsidTr="00E74412">
        <w:tc>
          <w:tcPr>
            <w:tcW w:w="2410" w:type="dxa"/>
          </w:tcPr>
          <w:p w14:paraId="291F9A18" w14:textId="77777777" w:rsidR="003C7067" w:rsidRPr="00416C3A" w:rsidRDefault="003C7067" w:rsidP="00550397">
            <w:pPr>
              <w:spacing w:line="276" w:lineRule="auto"/>
              <w:rPr>
                <w:rFonts w:ascii="Arial" w:eastAsia="Calibri" w:hAnsi="Arial" w:cs="Arial"/>
              </w:rPr>
            </w:pPr>
            <w:r w:rsidRPr="00416C3A">
              <w:rPr>
                <w:rFonts w:ascii="Arial" w:eastAsia="Calibri" w:hAnsi="Arial" w:cs="Arial"/>
                <w:b/>
              </w:rPr>
              <w:t>Radicación:</w:t>
            </w:r>
            <w:r w:rsidRPr="00416C3A">
              <w:rPr>
                <w:rFonts w:ascii="Arial" w:eastAsia="Calibri" w:hAnsi="Arial" w:cs="Arial"/>
              </w:rPr>
              <w:t xml:space="preserve">                              </w:t>
            </w:r>
          </w:p>
        </w:tc>
        <w:tc>
          <w:tcPr>
            <w:tcW w:w="6516" w:type="dxa"/>
          </w:tcPr>
          <w:p w14:paraId="3C674517" w14:textId="3AB0DA29" w:rsidR="003C7067" w:rsidRPr="00416C3A" w:rsidRDefault="003C7067" w:rsidP="00550397">
            <w:pPr>
              <w:spacing w:line="276" w:lineRule="auto"/>
              <w:jc w:val="both"/>
              <w:rPr>
                <w:rFonts w:ascii="Arial" w:hAnsi="Arial" w:cs="Arial"/>
              </w:rPr>
            </w:pPr>
            <w:r w:rsidRPr="00416C3A">
              <w:rPr>
                <w:rFonts w:ascii="Arial" w:eastAsia="Calibri" w:hAnsi="Arial" w:cs="Arial"/>
              </w:rPr>
              <w:t xml:space="preserve">Respuesta a </w:t>
            </w:r>
            <w:r w:rsidR="00206E4E" w:rsidRPr="00416C3A">
              <w:rPr>
                <w:rFonts w:ascii="Arial" w:eastAsia="Calibri" w:hAnsi="Arial" w:cs="Arial"/>
              </w:rPr>
              <w:t xml:space="preserve">la consulta </w:t>
            </w:r>
            <w:r w:rsidR="00142D40" w:rsidRPr="00142D40">
              <w:rPr>
                <w:rFonts w:ascii="Arial" w:eastAsia="Calibri" w:hAnsi="Arial" w:cs="Arial"/>
              </w:rPr>
              <w:t>P20221012010287</w:t>
            </w:r>
          </w:p>
        </w:tc>
      </w:tr>
    </w:tbl>
    <w:p w14:paraId="35873A1E" w14:textId="77777777" w:rsidR="007374F5" w:rsidRPr="00416C3A" w:rsidRDefault="007374F5" w:rsidP="00550397">
      <w:pPr>
        <w:spacing w:line="276" w:lineRule="auto"/>
        <w:rPr>
          <w:rFonts w:ascii="Arial" w:eastAsia="Calibri" w:hAnsi="Arial" w:cs="Arial"/>
          <w:sz w:val="22"/>
          <w:szCs w:val="22"/>
        </w:rPr>
      </w:pPr>
    </w:p>
    <w:p w14:paraId="6BB19977" w14:textId="05E62706" w:rsidR="003C7067" w:rsidRPr="00416C3A" w:rsidRDefault="003C7067" w:rsidP="00550397">
      <w:pPr>
        <w:tabs>
          <w:tab w:val="left" w:pos="3736"/>
        </w:tabs>
        <w:spacing w:line="276" w:lineRule="auto"/>
        <w:rPr>
          <w:rFonts w:ascii="Arial" w:eastAsia="Calibri" w:hAnsi="Arial" w:cs="Arial"/>
          <w:sz w:val="22"/>
          <w:szCs w:val="22"/>
        </w:rPr>
      </w:pPr>
      <w:r w:rsidRPr="00416C3A">
        <w:rPr>
          <w:rFonts w:ascii="Arial" w:eastAsia="Calibri" w:hAnsi="Arial" w:cs="Arial"/>
          <w:sz w:val="22"/>
          <w:szCs w:val="22"/>
        </w:rPr>
        <w:t>Estimad</w:t>
      </w:r>
      <w:r w:rsidR="00142D40">
        <w:rPr>
          <w:rFonts w:ascii="Arial" w:eastAsia="Calibri" w:hAnsi="Arial" w:cs="Arial"/>
          <w:sz w:val="22"/>
          <w:szCs w:val="22"/>
        </w:rPr>
        <w:t>o</w:t>
      </w:r>
      <w:r w:rsidR="007A5F2D" w:rsidRPr="00416C3A">
        <w:rPr>
          <w:rFonts w:ascii="Arial" w:eastAsia="Calibri" w:hAnsi="Arial" w:cs="Arial"/>
          <w:sz w:val="22"/>
          <w:szCs w:val="22"/>
        </w:rPr>
        <w:t xml:space="preserve"> </w:t>
      </w:r>
      <w:r w:rsidRPr="00416C3A">
        <w:rPr>
          <w:rFonts w:ascii="Arial" w:eastAsia="Calibri" w:hAnsi="Arial" w:cs="Arial"/>
          <w:sz w:val="22"/>
          <w:szCs w:val="22"/>
        </w:rPr>
        <w:t>señor</w:t>
      </w:r>
      <w:r w:rsidR="00DA07F3" w:rsidRPr="00416C3A">
        <w:rPr>
          <w:rFonts w:ascii="Arial" w:eastAsia="Calibri" w:hAnsi="Arial" w:cs="Arial"/>
          <w:sz w:val="22"/>
          <w:szCs w:val="22"/>
        </w:rPr>
        <w:t xml:space="preserve"> </w:t>
      </w:r>
      <w:r w:rsidR="00142D40">
        <w:rPr>
          <w:rFonts w:ascii="Arial" w:eastAsia="Calibri" w:hAnsi="Arial" w:cs="Arial"/>
          <w:sz w:val="22"/>
          <w:szCs w:val="22"/>
        </w:rPr>
        <w:t>Barcha</w:t>
      </w:r>
      <w:r w:rsidR="0083524B" w:rsidRPr="00416C3A">
        <w:rPr>
          <w:rFonts w:ascii="Arial" w:eastAsia="Calibri" w:hAnsi="Arial" w:cs="Arial"/>
          <w:sz w:val="22"/>
          <w:szCs w:val="22"/>
        </w:rPr>
        <w:t>:</w:t>
      </w:r>
    </w:p>
    <w:p w14:paraId="17594CC4" w14:textId="77777777" w:rsidR="003C7067" w:rsidRPr="00416C3A" w:rsidRDefault="003C7067" w:rsidP="00550397">
      <w:pPr>
        <w:spacing w:line="276" w:lineRule="auto"/>
        <w:rPr>
          <w:rFonts w:ascii="Arial" w:eastAsia="Calibri" w:hAnsi="Arial" w:cs="Arial"/>
          <w:sz w:val="22"/>
          <w:szCs w:val="22"/>
        </w:rPr>
      </w:pPr>
    </w:p>
    <w:p w14:paraId="60A69B38" w14:textId="63C04A16" w:rsidR="00B0166A" w:rsidRPr="00416C3A" w:rsidRDefault="003C7067" w:rsidP="00550397">
      <w:pPr>
        <w:spacing w:line="276" w:lineRule="auto"/>
        <w:jc w:val="both"/>
        <w:rPr>
          <w:rFonts w:ascii="Arial" w:eastAsia="Calibri" w:hAnsi="Arial" w:cs="Arial"/>
          <w:sz w:val="22"/>
          <w:szCs w:val="22"/>
        </w:rPr>
      </w:pPr>
      <w:r w:rsidRPr="00416C3A">
        <w:rPr>
          <w:rFonts w:ascii="Arial" w:eastAsia="Calibri" w:hAnsi="Arial" w:cs="Arial"/>
          <w:sz w:val="22"/>
          <w:szCs w:val="22"/>
        </w:rPr>
        <w:t>La Agencia Nacional de Contratación Pública – Colombia Compra Eficiente</w:t>
      </w:r>
      <w:r w:rsidR="00C15870" w:rsidRPr="00416C3A">
        <w:rPr>
          <w:rFonts w:ascii="Arial" w:eastAsia="Calibri" w:hAnsi="Arial" w:cs="Arial"/>
          <w:sz w:val="22"/>
          <w:szCs w:val="22"/>
        </w:rPr>
        <w:t>, en ejercicio de la competencia otorgada por el numeral 8 del artículo 11 y el numeral 5 del artículo 3 del Decreto Ley 4170 de 2011,</w:t>
      </w:r>
      <w:r w:rsidRPr="00416C3A">
        <w:rPr>
          <w:rFonts w:ascii="Arial" w:eastAsia="Calibri" w:hAnsi="Arial" w:cs="Arial"/>
          <w:sz w:val="22"/>
          <w:szCs w:val="22"/>
        </w:rPr>
        <w:t xml:space="preserve"> responde s</w:t>
      </w:r>
      <w:r w:rsidR="00731374" w:rsidRPr="00416C3A">
        <w:rPr>
          <w:rFonts w:ascii="Arial" w:eastAsia="Calibri" w:hAnsi="Arial" w:cs="Arial"/>
          <w:sz w:val="22"/>
          <w:szCs w:val="22"/>
        </w:rPr>
        <w:t>u</w:t>
      </w:r>
      <w:r w:rsidR="00206E4E" w:rsidRPr="00416C3A">
        <w:rPr>
          <w:rFonts w:ascii="Arial" w:eastAsia="Calibri" w:hAnsi="Arial" w:cs="Arial"/>
          <w:sz w:val="22"/>
          <w:szCs w:val="22"/>
        </w:rPr>
        <w:t xml:space="preserve"> </w:t>
      </w:r>
      <w:r w:rsidR="00B0166A" w:rsidRPr="00416C3A">
        <w:rPr>
          <w:rFonts w:ascii="Arial" w:eastAsia="Calibri" w:hAnsi="Arial" w:cs="Arial"/>
          <w:sz w:val="22"/>
          <w:szCs w:val="22"/>
        </w:rPr>
        <w:t>consulta remitida</w:t>
      </w:r>
      <w:r w:rsidR="00F076BF">
        <w:rPr>
          <w:rFonts w:ascii="Arial" w:eastAsia="Calibri" w:hAnsi="Arial" w:cs="Arial"/>
          <w:sz w:val="22"/>
          <w:szCs w:val="22"/>
        </w:rPr>
        <w:t xml:space="preserve"> por competencia</w:t>
      </w:r>
      <w:r w:rsidR="00731374" w:rsidRPr="00416C3A">
        <w:rPr>
          <w:rFonts w:ascii="Arial" w:eastAsia="Calibri" w:hAnsi="Arial" w:cs="Arial"/>
          <w:sz w:val="22"/>
          <w:szCs w:val="22"/>
        </w:rPr>
        <w:t xml:space="preserve"> el</w:t>
      </w:r>
      <w:r w:rsidR="00206E4E" w:rsidRPr="00416C3A">
        <w:rPr>
          <w:rFonts w:ascii="Arial" w:eastAsia="Calibri" w:hAnsi="Arial" w:cs="Arial"/>
          <w:sz w:val="22"/>
          <w:szCs w:val="22"/>
        </w:rPr>
        <w:t xml:space="preserve"> 1</w:t>
      </w:r>
      <w:r w:rsidR="002F1D1C" w:rsidRPr="00416C3A">
        <w:rPr>
          <w:rFonts w:ascii="Arial" w:eastAsia="Calibri" w:hAnsi="Arial" w:cs="Arial"/>
          <w:sz w:val="22"/>
          <w:szCs w:val="22"/>
        </w:rPr>
        <w:t>2</w:t>
      </w:r>
      <w:r w:rsidR="005B14B2" w:rsidRPr="00416C3A">
        <w:rPr>
          <w:rFonts w:ascii="Arial" w:eastAsia="Calibri" w:hAnsi="Arial" w:cs="Arial"/>
          <w:sz w:val="22"/>
          <w:szCs w:val="22"/>
        </w:rPr>
        <w:t xml:space="preserve"> de </w:t>
      </w:r>
      <w:r w:rsidR="00142D40">
        <w:rPr>
          <w:rFonts w:ascii="Arial" w:eastAsia="Calibri" w:hAnsi="Arial" w:cs="Arial"/>
          <w:sz w:val="22"/>
          <w:szCs w:val="22"/>
        </w:rPr>
        <w:t>octubre</w:t>
      </w:r>
      <w:r w:rsidR="005B14B2" w:rsidRPr="00416C3A">
        <w:rPr>
          <w:rFonts w:ascii="Arial" w:eastAsia="Calibri" w:hAnsi="Arial" w:cs="Arial"/>
          <w:sz w:val="22"/>
          <w:szCs w:val="22"/>
        </w:rPr>
        <w:t xml:space="preserve"> de 2022</w:t>
      </w:r>
      <w:r w:rsidR="00F076BF">
        <w:rPr>
          <w:rFonts w:ascii="Arial" w:eastAsia="Calibri" w:hAnsi="Arial" w:cs="Arial"/>
          <w:sz w:val="22"/>
          <w:szCs w:val="22"/>
        </w:rPr>
        <w:t xml:space="preserve"> por el Departamento Administrativo de la Función Pública - DAFP</w:t>
      </w:r>
      <w:r w:rsidR="005B14B2" w:rsidRPr="00416C3A">
        <w:rPr>
          <w:rFonts w:ascii="Arial" w:eastAsia="Calibri" w:hAnsi="Arial" w:cs="Arial"/>
          <w:sz w:val="22"/>
          <w:szCs w:val="22"/>
        </w:rPr>
        <w:t xml:space="preserve">. </w:t>
      </w:r>
    </w:p>
    <w:p w14:paraId="6ACE405C" w14:textId="77777777" w:rsidR="00B0166A" w:rsidRPr="00416C3A" w:rsidRDefault="00B0166A" w:rsidP="00550397">
      <w:pPr>
        <w:pStyle w:val="Prrafodelista"/>
        <w:spacing w:line="276" w:lineRule="auto"/>
        <w:ind w:left="0"/>
        <w:rPr>
          <w:rFonts w:ascii="Arial" w:eastAsia="Calibri" w:hAnsi="Arial" w:cs="Arial"/>
          <w:sz w:val="22"/>
          <w:lang w:val="es-ES_tradnl"/>
        </w:rPr>
      </w:pPr>
    </w:p>
    <w:p w14:paraId="67CA615C" w14:textId="77777777" w:rsidR="003C7067" w:rsidRPr="00416C3A" w:rsidRDefault="003C7067" w:rsidP="00550397">
      <w:pPr>
        <w:tabs>
          <w:tab w:val="left" w:pos="0"/>
        </w:tabs>
        <w:spacing w:line="276" w:lineRule="auto"/>
        <w:jc w:val="both"/>
        <w:rPr>
          <w:rFonts w:ascii="Arial" w:eastAsia="Calibri" w:hAnsi="Arial" w:cs="Arial"/>
          <w:b/>
          <w:sz w:val="22"/>
          <w:szCs w:val="22"/>
        </w:rPr>
      </w:pPr>
      <w:r w:rsidRPr="00416C3A">
        <w:rPr>
          <w:rFonts w:ascii="Arial" w:eastAsia="Calibri" w:hAnsi="Arial" w:cs="Arial"/>
          <w:b/>
          <w:sz w:val="22"/>
          <w:szCs w:val="22"/>
        </w:rPr>
        <w:t>1. Problema planteado</w:t>
      </w:r>
    </w:p>
    <w:p w14:paraId="5A060666" w14:textId="77777777" w:rsidR="003C7067" w:rsidRPr="00416C3A" w:rsidRDefault="003C7067" w:rsidP="00550397">
      <w:pPr>
        <w:spacing w:line="276" w:lineRule="auto"/>
        <w:rPr>
          <w:rFonts w:ascii="Arial" w:eastAsia="Calibri" w:hAnsi="Arial" w:cs="Arial"/>
          <w:sz w:val="22"/>
          <w:szCs w:val="22"/>
        </w:rPr>
      </w:pPr>
    </w:p>
    <w:p w14:paraId="4CEF1B2F" w14:textId="1B66F23A" w:rsidR="008559E5" w:rsidRPr="00416C3A" w:rsidRDefault="008559E5" w:rsidP="00142D40">
      <w:pPr>
        <w:autoSpaceDE w:val="0"/>
        <w:autoSpaceDN w:val="0"/>
        <w:adjustRightInd w:val="0"/>
        <w:ind w:left="709" w:right="709"/>
        <w:jc w:val="both"/>
        <w:rPr>
          <w:rFonts w:ascii="Arial" w:hAnsi="Arial" w:cs="Arial"/>
          <w:sz w:val="21"/>
          <w:szCs w:val="21"/>
          <w:lang w:val="es-MX"/>
        </w:rPr>
      </w:pPr>
      <w:r w:rsidRPr="00416C3A">
        <w:rPr>
          <w:rFonts w:ascii="Arial" w:hAnsi="Arial" w:cs="Arial"/>
          <w:sz w:val="21"/>
          <w:szCs w:val="21"/>
        </w:rPr>
        <w:t>«</w:t>
      </w:r>
      <w:r w:rsidR="00142D40" w:rsidRPr="00142D40">
        <w:rPr>
          <w:rFonts w:ascii="Arial" w:hAnsi="Arial" w:cs="Arial"/>
          <w:sz w:val="21"/>
          <w:szCs w:val="21"/>
          <w:lang w:val="es-MX"/>
        </w:rPr>
        <w:t>Si una persona natural o juridica es contratada por modalidad de prestaci</w:t>
      </w:r>
      <w:r w:rsidR="00397329">
        <w:rPr>
          <w:rFonts w:ascii="Arial" w:hAnsi="Arial" w:cs="Arial"/>
          <w:sz w:val="21"/>
          <w:szCs w:val="21"/>
          <w:lang w:val="es-MX"/>
        </w:rPr>
        <w:t>ó</w:t>
      </w:r>
      <w:r w:rsidR="00142D40" w:rsidRPr="00142D40">
        <w:rPr>
          <w:rFonts w:ascii="Arial" w:hAnsi="Arial" w:cs="Arial"/>
          <w:sz w:val="21"/>
          <w:szCs w:val="21"/>
          <w:lang w:val="es-MX"/>
        </w:rPr>
        <w:t>n de servicios en donde los conceptos de pago son por mensualidades en donde se le solicita el cumplimiento de una actividad especifica, esta persona se encuentra obligada a presentar actividades diarias para que le sea cancelado la totalidad de la mensualidad o solo requerira presentar el cumplimiento de la actividad, actividades u obligaciones pactadas de acuerdo a lo exigido en el contrato</w:t>
      </w:r>
      <w:r w:rsidR="002F1D1C" w:rsidRPr="00416C3A">
        <w:rPr>
          <w:rFonts w:ascii="Arial" w:hAnsi="Arial" w:cs="Arial"/>
          <w:sz w:val="21"/>
          <w:szCs w:val="21"/>
          <w:lang w:val="es-MX"/>
        </w:rPr>
        <w:t>?</w:t>
      </w:r>
      <w:r w:rsidRPr="00416C3A">
        <w:rPr>
          <w:rFonts w:ascii="Arial" w:hAnsi="Arial" w:cs="Arial"/>
          <w:sz w:val="21"/>
          <w:szCs w:val="21"/>
        </w:rPr>
        <w:t>»</w:t>
      </w:r>
      <w:r w:rsidR="00142D40">
        <w:rPr>
          <w:rFonts w:ascii="Arial" w:hAnsi="Arial" w:cs="Arial"/>
          <w:sz w:val="21"/>
          <w:szCs w:val="21"/>
        </w:rPr>
        <w:t xml:space="preserve"> (sic)</w:t>
      </w:r>
      <w:r w:rsidRPr="00416C3A">
        <w:rPr>
          <w:rFonts w:ascii="Arial" w:hAnsi="Arial" w:cs="Arial"/>
          <w:sz w:val="21"/>
          <w:szCs w:val="21"/>
        </w:rPr>
        <w:t>.</w:t>
      </w:r>
    </w:p>
    <w:p w14:paraId="3878A913" w14:textId="77777777" w:rsidR="00041D4B" w:rsidRPr="00416C3A" w:rsidRDefault="00041D4B" w:rsidP="00550397">
      <w:pPr>
        <w:spacing w:line="276" w:lineRule="auto"/>
        <w:jc w:val="both"/>
        <w:rPr>
          <w:rFonts w:ascii="Arial" w:eastAsiaTheme="minorHAnsi" w:hAnsi="Arial" w:cs="Arial"/>
          <w:color w:val="000000" w:themeColor="text1"/>
          <w:sz w:val="21"/>
          <w:szCs w:val="21"/>
          <w:lang w:eastAsia="en-US"/>
        </w:rPr>
      </w:pPr>
    </w:p>
    <w:p w14:paraId="25DC51CC" w14:textId="7CCB0AE1" w:rsidR="0016321F" w:rsidRPr="00416C3A" w:rsidRDefault="003C7067" w:rsidP="00550397">
      <w:pPr>
        <w:pStyle w:val="NormalWeb"/>
        <w:spacing w:before="0" w:beforeAutospacing="0" w:after="0" w:afterAutospacing="0" w:line="276" w:lineRule="auto"/>
        <w:ind w:right="51"/>
        <w:contextualSpacing/>
        <w:jc w:val="both"/>
        <w:rPr>
          <w:rFonts w:ascii="Arial" w:eastAsia="Calibri" w:hAnsi="Arial" w:cs="Arial"/>
          <w:b/>
          <w:sz w:val="22"/>
          <w:szCs w:val="22"/>
        </w:rPr>
      </w:pPr>
      <w:r w:rsidRPr="00416C3A">
        <w:rPr>
          <w:rFonts w:ascii="Arial" w:eastAsia="Calibri" w:hAnsi="Arial" w:cs="Arial"/>
          <w:b/>
          <w:sz w:val="22"/>
          <w:szCs w:val="22"/>
        </w:rPr>
        <w:t>2. Consideraciones</w:t>
      </w:r>
    </w:p>
    <w:p w14:paraId="146D64A9" w14:textId="77777777" w:rsidR="00EF2C3C" w:rsidRPr="00416C3A" w:rsidRDefault="00EF2C3C" w:rsidP="00550397">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1A9F21B1" w:rsidR="00EF2C3C" w:rsidRPr="00416C3A" w:rsidRDefault="00EF2C3C" w:rsidP="00550397">
      <w:pPr>
        <w:spacing w:after="120" w:line="276" w:lineRule="auto"/>
        <w:jc w:val="both"/>
        <w:rPr>
          <w:rFonts w:ascii="Arial" w:hAnsi="Arial" w:cs="Arial"/>
          <w:sz w:val="22"/>
        </w:rPr>
      </w:pPr>
      <w:r w:rsidRPr="00416C3A">
        <w:rPr>
          <w:rFonts w:ascii="Arial" w:hAnsi="Arial" w:cs="Arial"/>
          <w:bCs/>
          <w:sz w:val="22"/>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bookmarkStart w:id="1" w:name="_Hlk62136649"/>
      <w:r w:rsidRPr="00416C3A">
        <w:rPr>
          <w:rFonts w:ascii="Arial" w:hAnsi="Arial" w:cs="Arial"/>
          <w:sz w:val="22"/>
        </w:rPr>
        <w:t xml:space="preserve">Es necesario tener en cuenta que </w:t>
      </w:r>
      <w:bookmarkStart w:id="2" w:name="_Hlk61026958"/>
      <w:r w:rsidRPr="00416C3A">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16C3A">
        <w:rPr>
          <w:rFonts w:ascii="Arial" w:hAnsi="Arial" w:cs="Arial"/>
          <w:bCs/>
          <w:sz w:val="22"/>
        </w:rPr>
        <w:t xml:space="preserve"> de todos los partícipes de la contratación estatal.</w:t>
      </w:r>
    </w:p>
    <w:p w14:paraId="0348277A" w14:textId="51EE6A7F" w:rsidR="00DF3130" w:rsidRPr="00416C3A" w:rsidRDefault="00EF2C3C" w:rsidP="00550397">
      <w:pPr>
        <w:spacing w:after="120" w:line="276" w:lineRule="auto"/>
        <w:ind w:firstLine="708"/>
        <w:jc w:val="both"/>
        <w:rPr>
          <w:rFonts w:ascii="Arial" w:hAnsi="Arial" w:cs="Arial"/>
          <w:sz w:val="22"/>
        </w:rPr>
      </w:pPr>
      <w:r w:rsidRPr="00416C3A">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16C3A">
        <w:rPr>
          <w:rFonts w:ascii="Arial" w:hAnsi="Arial" w:cs="Arial"/>
          <w:sz w:val="22"/>
          <w:vertAlign w:val="superscript"/>
        </w:rPr>
        <w:footnoteReference w:id="2"/>
      </w:r>
      <w:r w:rsidRPr="00416C3A">
        <w:rPr>
          <w:rFonts w:ascii="Arial" w:hAnsi="Arial" w:cs="Arial"/>
          <w:sz w:val="22"/>
        </w:rPr>
        <w:t xml:space="preserve">. Esta competencia de interpretación de normas generales, por definición, no puede extenderse a la resolución de controversias, ni a brindar asesorías sobre casos puntuales. Esto en la medida en </w:t>
      </w:r>
      <w:r w:rsidR="00E5202C" w:rsidRPr="00416C3A">
        <w:rPr>
          <w:rFonts w:ascii="Arial" w:hAnsi="Arial" w:cs="Arial"/>
          <w:sz w:val="22"/>
        </w:rPr>
        <w:t>que,</w:t>
      </w:r>
      <w:r w:rsidRPr="00416C3A">
        <w:rPr>
          <w:rFonts w:ascii="Arial" w:hAnsi="Arial" w:cs="Arial"/>
          <w:sz w:val="22"/>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2"/>
      <w:r w:rsidRPr="00416C3A">
        <w:rPr>
          <w:rFonts w:ascii="Arial" w:hAnsi="Arial" w:cs="Arial"/>
          <w:sz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0113537" w14:textId="01CD18F3" w:rsidR="00DF3130" w:rsidRPr="00416C3A" w:rsidRDefault="00DF3130" w:rsidP="00550397">
      <w:pPr>
        <w:spacing w:after="120" w:line="276" w:lineRule="auto"/>
        <w:ind w:firstLine="708"/>
        <w:jc w:val="both"/>
        <w:rPr>
          <w:rFonts w:ascii="Arial" w:hAnsi="Arial" w:cs="Arial"/>
          <w:bCs/>
          <w:sz w:val="22"/>
        </w:rPr>
      </w:pPr>
      <w:r w:rsidRPr="00416C3A">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sustituido por la Ley 1755 de 2015, el cual señala «[…]  los conceptos emitidos por las autoridades como respuestas a peticiones realizadas en ejercicio del derecho a formular consultas no serán de obligatorio cumplimiento o </w:t>
      </w:r>
      <w:r w:rsidRPr="00416C3A">
        <w:rPr>
          <w:rFonts w:ascii="Arial" w:hAnsi="Arial" w:cs="Arial"/>
          <w:sz w:val="22"/>
        </w:rPr>
        <w:lastRenderedPageBreak/>
        <w:t xml:space="preserve">ejecución».  </w:t>
      </w:r>
      <w:r w:rsidR="004317CE" w:rsidRPr="00416C3A">
        <w:rPr>
          <w:rFonts w:ascii="Arial" w:hAnsi="Arial" w:cs="Arial"/>
          <w:sz w:val="22"/>
        </w:rPr>
        <w:t>E</w:t>
      </w:r>
      <w:r w:rsidRPr="00416C3A">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416C3A">
        <w:rPr>
          <w:rFonts w:ascii="Arial" w:hAnsi="Arial" w:cs="Arial"/>
          <w:bCs/>
          <w:sz w:val="22"/>
          <w:vertAlign w:val="superscript"/>
        </w:rPr>
        <w:footnoteReference w:id="3"/>
      </w:r>
      <w:r w:rsidRPr="00416C3A">
        <w:rPr>
          <w:rFonts w:ascii="Arial" w:hAnsi="Arial" w:cs="Arial"/>
          <w:bCs/>
          <w:sz w:val="22"/>
        </w:rPr>
        <w:t>.</w:t>
      </w:r>
    </w:p>
    <w:p w14:paraId="06A64245" w14:textId="454CE616" w:rsidR="001A3646" w:rsidRPr="00416C3A" w:rsidRDefault="00DF3130" w:rsidP="00307E0A">
      <w:pPr>
        <w:spacing w:after="120" w:line="276" w:lineRule="auto"/>
        <w:ind w:firstLine="708"/>
        <w:jc w:val="both"/>
        <w:rPr>
          <w:rFonts w:ascii="Arial" w:eastAsia="Calibri" w:hAnsi="Arial" w:cs="Arial"/>
          <w:color w:val="000000"/>
          <w:sz w:val="22"/>
          <w:lang w:val="es-MX" w:eastAsia="en-GB"/>
        </w:rPr>
      </w:pPr>
      <w:r w:rsidRPr="00416C3A">
        <w:rPr>
          <w:rFonts w:ascii="Arial" w:hAnsi="Arial" w:cs="Arial"/>
          <w:sz w:val="22"/>
        </w:rPr>
        <w:t xml:space="preserve">Sin perjuicio de lo anterior, dentro de los límites de las atribuciones de la función consultiva atribuida a esta entidad, esto es, interpretando de manera general las normas relevantes, </w:t>
      </w:r>
      <w:r w:rsidR="004317CE" w:rsidRPr="00416C3A">
        <w:rPr>
          <w:rFonts w:ascii="Arial" w:hAnsi="Arial" w:cs="Arial"/>
          <w:sz w:val="22"/>
        </w:rPr>
        <w:t>la Agencia absolverá los interrogantes formulados, previo análisis de los siguientes temas</w:t>
      </w:r>
      <w:r w:rsidR="00C01A8D" w:rsidRPr="00416C3A">
        <w:rPr>
          <w:rFonts w:ascii="Arial" w:hAnsi="Arial" w:cs="Arial"/>
          <w:sz w:val="22"/>
        </w:rPr>
        <w:t>:</w:t>
      </w:r>
      <w:r w:rsidR="0037367E" w:rsidRPr="00416C3A">
        <w:rPr>
          <w:rFonts w:ascii="Arial" w:hAnsi="Arial" w:cs="Arial"/>
          <w:sz w:val="22"/>
        </w:rPr>
        <w:t xml:space="preserve"> </w:t>
      </w:r>
      <w:r w:rsidR="00EE6D46" w:rsidRPr="00416C3A">
        <w:rPr>
          <w:rFonts w:ascii="Arial" w:eastAsia="Calibri" w:hAnsi="Arial" w:cs="Arial"/>
          <w:color w:val="000000"/>
          <w:sz w:val="22"/>
          <w:lang w:eastAsia="en-GB"/>
        </w:rPr>
        <w:t>i) el principio de planeación y los estudios y documentos previos del contrato</w:t>
      </w:r>
      <w:r w:rsidR="00A57791">
        <w:rPr>
          <w:rFonts w:ascii="Arial" w:eastAsia="Calibri" w:hAnsi="Arial" w:cs="Arial"/>
          <w:color w:val="000000"/>
          <w:sz w:val="22"/>
          <w:lang w:eastAsia="en-GB"/>
        </w:rPr>
        <w:t xml:space="preserve"> y</w:t>
      </w:r>
      <w:r w:rsidR="00EE6D46" w:rsidRPr="00416C3A" w:rsidDel="007F2398">
        <w:rPr>
          <w:rFonts w:ascii="Arial" w:eastAsia="Calibri" w:hAnsi="Arial" w:cs="Arial"/>
          <w:color w:val="000000"/>
          <w:sz w:val="22"/>
          <w:lang w:eastAsia="en-GB"/>
        </w:rPr>
        <w:t xml:space="preserve"> </w:t>
      </w:r>
      <w:r w:rsidR="00EE6D46" w:rsidRPr="00416C3A">
        <w:rPr>
          <w:rFonts w:ascii="Arial" w:eastAsia="Calibri" w:hAnsi="Arial" w:cs="Arial"/>
          <w:color w:val="000000"/>
          <w:sz w:val="22"/>
          <w:lang w:eastAsia="en-GB"/>
        </w:rPr>
        <w:t>ii) la autonomía de las entidades estatales para calcular el precio y la forma de pago en los contratos estatales</w:t>
      </w:r>
      <w:r w:rsidR="00307E0A" w:rsidRPr="00416C3A">
        <w:rPr>
          <w:rFonts w:ascii="Arial" w:eastAsia="Calibri" w:hAnsi="Arial" w:cs="Arial"/>
          <w:color w:val="000000"/>
          <w:sz w:val="22"/>
          <w:lang w:val="es-MX" w:eastAsia="en-GB"/>
        </w:rPr>
        <w:t xml:space="preserve">. </w:t>
      </w:r>
    </w:p>
    <w:p w14:paraId="59BBA72B" w14:textId="0D21DB14" w:rsidR="00EE6D46" w:rsidRPr="00416C3A" w:rsidRDefault="00244D23" w:rsidP="00244D23">
      <w:pPr>
        <w:spacing w:after="120" w:line="276" w:lineRule="auto"/>
        <w:ind w:firstLine="708"/>
        <w:jc w:val="both"/>
        <w:rPr>
          <w:rFonts w:ascii="Arial" w:eastAsia="Calibri" w:hAnsi="Arial" w:cs="Arial"/>
          <w:color w:val="000000"/>
          <w:sz w:val="22"/>
          <w:szCs w:val="22"/>
        </w:rPr>
      </w:pPr>
      <w:r w:rsidRPr="00416C3A">
        <w:rPr>
          <w:rFonts w:ascii="Arial" w:eastAsia="Calibri" w:hAnsi="Arial" w:cs="Arial"/>
          <w:color w:val="000000"/>
          <w:sz w:val="22"/>
          <w:szCs w:val="22"/>
        </w:rPr>
        <w:t xml:space="preserve">La Agencia Nacional de Contratación Pública – Colombia Compra Eficiente se pronunció, en términos generales, sobre el deber de elaborar análisis del sector frente a los procesos de contratación en los </w:t>
      </w:r>
      <w:r w:rsidRPr="00416C3A">
        <w:rPr>
          <w:rFonts w:ascii="Arial" w:eastAsia="Calibri" w:hAnsi="Arial" w:cs="Arial"/>
          <w:sz w:val="22"/>
        </w:rPr>
        <w:t xml:space="preserve">Conceptos 2202013000000037 del 7 de enero de 2020 y C-223 del 29 de abril de 2020 –radicado No. 2202013000003261– y C–148 de 2021. Igualmente, en los Conceptos C-387 del 23 de junio de 2020 –radicado No. </w:t>
      </w:r>
      <w:r w:rsidRPr="00416C3A">
        <w:rPr>
          <w:rFonts w:ascii="Arial" w:eastAsia="Calibri" w:hAnsi="Arial" w:cs="Arial"/>
          <w:sz w:val="22"/>
        </w:rPr>
        <w:lastRenderedPageBreak/>
        <w:t xml:space="preserve">2202013000005289–, </w:t>
      </w:r>
      <w:r w:rsidRPr="00416C3A">
        <w:rPr>
          <w:rFonts w:ascii="Arial" w:eastAsia="Calibri" w:hAnsi="Arial" w:cs="Arial"/>
          <w:color w:val="0B1107"/>
          <w:sz w:val="22"/>
        </w:rPr>
        <w:t xml:space="preserve">C-415 del 7 de julio </w:t>
      </w:r>
      <w:r w:rsidRPr="00416C3A">
        <w:rPr>
          <w:rFonts w:ascii="Arial" w:eastAsia="Calibri" w:hAnsi="Arial" w:cs="Arial"/>
          <w:sz w:val="22"/>
        </w:rPr>
        <w:t xml:space="preserve">–radicado No. </w:t>
      </w:r>
      <w:r w:rsidRPr="00416C3A">
        <w:rPr>
          <w:rFonts w:ascii="Arial" w:hAnsi="Arial" w:cs="Arial"/>
          <w:color w:val="000000"/>
          <w:sz w:val="22"/>
        </w:rPr>
        <w:t>2202013000005931–</w:t>
      </w:r>
      <w:r w:rsidRPr="00416C3A">
        <w:rPr>
          <w:rFonts w:ascii="Arial" w:eastAsia="Calibri" w:hAnsi="Arial" w:cs="Arial"/>
          <w:color w:val="0B1107"/>
          <w:sz w:val="22"/>
        </w:rPr>
        <w:t xml:space="preserve">, </w:t>
      </w:r>
      <w:r w:rsidRPr="00416C3A">
        <w:rPr>
          <w:rFonts w:ascii="Arial" w:eastAsia="Calibri" w:hAnsi="Arial" w:cs="Arial"/>
          <w:sz w:val="22"/>
        </w:rPr>
        <w:t>C-443 del 7 de julio de 2020 –radicado No.</w:t>
      </w:r>
      <w:r w:rsidRPr="00416C3A">
        <w:rPr>
          <w:rFonts w:ascii="Arial" w:hAnsi="Arial" w:cs="Arial"/>
          <w:color w:val="000000"/>
          <w:sz w:val="22"/>
        </w:rPr>
        <w:t xml:space="preserve"> 2202013000005933–, C-387 del 23 de junio de 2020 –radicado No. </w:t>
      </w:r>
      <w:r w:rsidRPr="00416C3A">
        <w:rPr>
          <w:rFonts w:ascii="Arial" w:hAnsi="Arial" w:cs="Arial"/>
          <w:color w:val="000000"/>
          <w:sz w:val="22"/>
          <w:shd w:val="clear" w:color="auto" w:fill="FFFFFF"/>
        </w:rPr>
        <w:t xml:space="preserve">4202013000004275–, </w:t>
      </w:r>
      <w:r w:rsidRPr="00416C3A">
        <w:rPr>
          <w:rFonts w:ascii="Arial" w:eastAsia="Calibri" w:hAnsi="Arial" w:cs="Arial"/>
          <w:sz w:val="22"/>
        </w:rPr>
        <w:t xml:space="preserve">2202013000000037 del 7 de enero de 2020, C-223 del 29 de abril de 2020, </w:t>
      </w:r>
      <w:r w:rsidRPr="00416C3A">
        <w:rPr>
          <w:rFonts w:ascii="Arial" w:eastAsia="Calibri" w:hAnsi="Arial" w:cs="Arial"/>
          <w:color w:val="000000"/>
          <w:sz w:val="22"/>
          <w:szCs w:val="22"/>
        </w:rPr>
        <w:t xml:space="preserve">C-671 de 2020 de 23 de noviembre de 2020, C-215 del 12 de mayo de 2021 y C-742 de 27 de diciembre de 2021, se pronunció  </w:t>
      </w:r>
      <w:r w:rsidRPr="00416C3A">
        <w:rPr>
          <w:rFonts w:ascii="Arial" w:eastAsia="Calibri" w:hAnsi="Arial" w:cs="Arial"/>
          <w:sz w:val="22"/>
        </w:rPr>
        <w:t>sobre planeación y estudios previos en el Estatuto General de Contratación de la Administración Pública</w:t>
      </w:r>
      <w:r w:rsidRPr="00416C3A">
        <w:rPr>
          <w:rFonts w:ascii="Arial" w:eastAsia="Calibri" w:hAnsi="Arial" w:cs="Arial"/>
          <w:color w:val="000000"/>
          <w:sz w:val="22"/>
          <w:szCs w:val="22"/>
        </w:rPr>
        <w:t xml:space="preserve">. </w:t>
      </w:r>
    </w:p>
    <w:p w14:paraId="32318A98" w14:textId="3281F3EB" w:rsidR="00B12676" w:rsidRPr="00416C3A" w:rsidRDefault="005A73B6" w:rsidP="005A73B6">
      <w:pPr>
        <w:tabs>
          <w:tab w:val="left" w:pos="0"/>
        </w:tabs>
        <w:spacing w:before="120" w:line="276" w:lineRule="auto"/>
        <w:jc w:val="both"/>
        <w:rPr>
          <w:rFonts w:ascii="Arial" w:eastAsia="Calibri" w:hAnsi="Arial" w:cs="Arial"/>
          <w:sz w:val="22"/>
          <w:szCs w:val="22"/>
          <w:lang w:val="es-MX" w:eastAsia="en-US"/>
        </w:rPr>
      </w:pPr>
      <w:r w:rsidRPr="00416C3A">
        <w:rPr>
          <w:rFonts w:ascii="Arial" w:eastAsia="Calibri" w:hAnsi="Arial" w:cs="Arial"/>
          <w:color w:val="000000"/>
          <w:sz w:val="22"/>
          <w:szCs w:val="22"/>
        </w:rPr>
        <w:tab/>
      </w:r>
      <w:r w:rsidR="00B12676" w:rsidRPr="00416C3A">
        <w:rPr>
          <w:rFonts w:ascii="Arial" w:eastAsia="Calibri" w:hAnsi="Arial" w:cs="Arial"/>
          <w:color w:val="000000"/>
          <w:sz w:val="22"/>
          <w:szCs w:val="22"/>
        </w:rPr>
        <w:t xml:space="preserve">Adicionalmente, </w:t>
      </w:r>
      <w:r w:rsidR="00B12676" w:rsidRPr="00416C3A">
        <w:rPr>
          <w:rFonts w:ascii="Arial" w:eastAsia="Calibri" w:hAnsi="Arial" w:cs="Arial"/>
          <w:sz w:val="22"/>
          <w:szCs w:val="22"/>
          <w:lang w:val="es-MX" w:eastAsia="en-US"/>
        </w:rPr>
        <w:t xml:space="preserve">la Agencia Nacional de Contratación Pública – Colombia Compra Eficiente también se ha pronunciado en varias ocasiones sobre el precio de los contratos estatales y formas para su cálculo, concretamente, en los conceptos 4201912000007092 del 29 de noviembre de 2019, </w:t>
      </w:r>
      <w:hyperlink r:id="rId12" w:tgtFrame="_blank" w:history="1">
        <w:r w:rsidR="00B12676" w:rsidRPr="00416C3A">
          <w:rPr>
            <w:rFonts w:ascii="Arial" w:eastAsia="Calibri" w:hAnsi="Arial" w:cs="Arial"/>
            <w:sz w:val="22"/>
            <w:szCs w:val="22"/>
            <w:lang w:val="es-MX" w:eastAsia="en-US"/>
          </w:rPr>
          <w:t>2201913000008566</w:t>
        </w:r>
      </w:hyperlink>
      <w:r w:rsidR="00B12676" w:rsidRPr="00416C3A">
        <w:rPr>
          <w:rFonts w:ascii="Arial" w:eastAsia="Calibri" w:hAnsi="Arial" w:cs="Arial"/>
          <w:sz w:val="22"/>
          <w:szCs w:val="22"/>
          <w:lang w:val="es-MX" w:eastAsia="en-US"/>
        </w:rPr>
        <w:t xml:space="preserve"> del 18 de noviembre de 2019,  4201913000007822 de 27 de diciembre de 2019, C–037 del 28 de enero de 2020, C-191 del 16 de marzo de 2020</w:t>
      </w:r>
      <w:r w:rsidRPr="00416C3A">
        <w:rPr>
          <w:rFonts w:ascii="Arial" w:eastAsia="Calibri" w:hAnsi="Arial" w:cs="Arial"/>
          <w:sz w:val="22"/>
          <w:szCs w:val="22"/>
          <w:lang w:val="es-MX" w:eastAsia="en-US"/>
        </w:rPr>
        <w:t>,</w:t>
      </w:r>
      <w:r w:rsidR="00B12676" w:rsidRPr="00416C3A">
        <w:rPr>
          <w:rFonts w:ascii="Arial" w:eastAsia="Calibri" w:hAnsi="Arial" w:cs="Arial"/>
          <w:sz w:val="22"/>
          <w:szCs w:val="22"/>
          <w:lang w:val="es-MX" w:eastAsia="en-US"/>
        </w:rPr>
        <w:t xml:space="preserve"> C-211 del 8 de abril de 2020, C−469 del 27 de septiembre de 2020, C−480 del 16 de septiembre de 2020 y C-059 del 10 de marzo de 2021</w:t>
      </w:r>
      <w:r w:rsidR="004943A0">
        <w:rPr>
          <w:rFonts w:ascii="Arial" w:eastAsia="Calibri" w:hAnsi="Arial" w:cs="Arial"/>
          <w:sz w:val="22"/>
          <w:szCs w:val="22"/>
          <w:lang w:val="es-MX" w:eastAsia="en-US"/>
        </w:rPr>
        <w:t xml:space="preserve"> y C-613 de 6 de octubre de 20</w:t>
      </w:r>
      <w:r w:rsidR="00397329">
        <w:rPr>
          <w:rFonts w:ascii="Arial" w:eastAsia="Calibri" w:hAnsi="Arial" w:cs="Arial"/>
          <w:sz w:val="22"/>
          <w:szCs w:val="22"/>
          <w:lang w:val="es-MX" w:eastAsia="en-US"/>
        </w:rPr>
        <w:t>2</w:t>
      </w:r>
      <w:r w:rsidR="004943A0">
        <w:rPr>
          <w:rFonts w:ascii="Arial" w:eastAsia="Calibri" w:hAnsi="Arial" w:cs="Arial"/>
          <w:sz w:val="22"/>
          <w:szCs w:val="22"/>
          <w:lang w:val="es-MX" w:eastAsia="en-US"/>
        </w:rPr>
        <w:t xml:space="preserve">2 </w:t>
      </w:r>
      <w:r w:rsidR="00B12676" w:rsidRPr="00416C3A">
        <w:rPr>
          <w:rFonts w:ascii="Arial" w:eastAsia="Calibri" w:hAnsi="Arial" w:cs="Arial"/>
          <w:sz w:val="22"/>
          <w:szCs w:val="22"/>
          <w:lang w:val="es-MX" w:eastAsia="en-US"/>
        </w:rPr>
        <w:t>. Las tesis expuestas se reiteran y se complementan en lo que corresponda.</w:t>
      </w:r>
    </w:p>
    <w:p w14:paraId="43F5A209" w14:textId="77777777" w:rsidR="005A73B6" w:rsidRPr="00416C3A" w:rsidRDefault="005A73B6" w:rsidP="003015F0">
      <w:pPr>
        <w:tabs>
          <w:tab w:val="left" w:pos="0"/>
        </w:tabs>
        <w:spacing w:line="276" w:lineRule="auto"/>
        <w:jc w:val="both"/>
        <w:rPr>
          <w:rFonts w:ascii="Arial" w:eastAsia="Calibri" w:hAnsi="Arial" w:cs="Arial"/>
          <w:sz w:val="22"/>
          <w:szCs w:val="22"/>
          <w:lang w:val="es-MX" w:eastAsia="en-US"/>
        </w:rPr>
      </w:pPr>
    </w:p>
    <w:p w14:paraId="534EA840" w14:textId="77777777" w:rsidR="00244D23" w:rsidRPr="00416C3A" w:rsidRDefault="00244D23" w:rsidP="003015F0">
      <w:pPr>
        <w:pStyle w:val="Prrafodelista"/>
        <w:numPr>
          <w:ilvl w:val="1"/>
          <w:numId w:val="9"/>
        </w:numPr>
        <w:spacing w:line="276" w:lineRule="auto"/>
        <w:ind w:left="0" w:firstLine="0"/>
        <w:jc w:val="both"/>
        <w:rPr>
          <w:rFonts w:ascii="Arial" w:hAnsi="Arial" w:cs="Arial"/>
          <w:b/>
          <w:bCs/>
          <w:sz w:val="22"/>
          <w:lang w:val="es-ES"/>
        </w:rPr>
      </w:pPr>
      <w:r w:rsidRPr="00416C3A">
        <w:rPr>
          <w:rFonts w:ascii="Arial" w:hAnsi="Arial" w:cs="Arial"/>
          <w:b/>
          <w:bCs/>
          <w:sz w:val="22"/>
          <w:lang w:val="es-ES"/>
        </w:rPr>
        <w:t xml:space="preserve">Principio de planeación y los estudios y documentos previos del contrato </w:t>
      </w:r>
    </w:p>
    <w:p w14:paraId="0B9974BF" w14:textId="77777777" w:rsidR="00244D23" w:rsidRPr="00416C3A" w:rsidRDefault="00244D23" w:rsidP="00244D23">
      <w:pPr>
        <w:spacing w:line="276" w:lineRule="auto"/>
        <w:jc w:val="both"/>
        <w:rPr>
          <w:rFonts w:ascii="Arial" w:hAnsi="Arial" w:cs="Arial"/>
          <w:sz w:val="22"/>
          <w:lang w:val="es-ES"/>
        </w:rPr>
      </w:pPr>
    </w:p>
    <w:p w14:paraId="0EEF9D47" w14:textId="77777777" w:rsidR="00244D23" w:rsidRPr="00416C3A" w:rsidRDefault="00244D23" w:rsidP="003015F0">
      <w:pPr>
        <w:spacing w:after="120" w:line="276" w:lineRule="auto"/>
        <w:jc w:val="both"/>
      </w:pPr>
      <w:bookmarkStart w:id="3" w:name="_Hlk54011258"/>
      <w:r w:rsidRPr="00416C3A">
        <w:rPr>
          <w:rFonts w:ascii="Arial" w:eastAsia="Calibri" w:hAnsi="Arial" w:cs="Arial"/>
          <w:bCs/>
          <w:sz w:val="22"/>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3"/>
      <w:r w:rsidRPr="00416C3A">
        <w:rPr>
          <w:rFonts w:ascii="Arial" w:eastAsia="Calibri" w:hAnsi="Arial" w:cs="Arial"/>
          <w:bCs/>
          <w:sz w:val="21"/>
          <w:szCs w:val="21"/>
        </w:rPr>
        <w:t>.</w:t>
      </w:r>
    </w:p>
    <w:p w14:paraId="1971654B" w14:textId="77777777" w:rsidR="00244D23" w:rsidRPr="00416C3A" w:rsidRDefault="00244D23" w:rsidP="00244D23">
      <w:pPr>
        <w:spacing w:before="120" w:line="276" w:lineRule="auto"/>
        <w:ind w:firstLine="708"/>
        <w:jc w:val="both"/>
        <w:rPr>
          <w:rFonts w:ascii="Arial" w:eastAsia="Calibri" w:hAnsi="Arial" w:cs="Arial"/>
          <w:bCs/>
          <w:sz w:val="22"/>
          <w:szCs w:val="22"/>
          <w:lang w:val="es-ES" w:eastAsia="en-US"/>
        </w:rPr>
      </w:pPr>
      <w:r w:rsidRPr="00416C3A">
        <w:rPr>
          <w:rFonts w:ascii="Arial" w:eastAsia="Calibri" w:hAnsi="Arial" w:cs="Arial"/>
          <w:bCs/>
          <w:sz w:val="22"/>
          <w:szCs w:val="22"/>
          <w:lang w:val="es-MX" w:eastAsia="en-US"/>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2E47A013" w14:textId="77777777" w:rsidR="00244D23" w:rsidRPr="00416C3A" w:rsidRDefault="00244D23" w:rsidP="00244D23">
      <w:pPr>
        <w:spacing w:line="276" w:lineRule="auto"/>
        <w:ind w:firstLine="708"/>
        <w:jc w:val="both"/>
        <w:rPr>
          <w:rFonts w:ascii="Arial" w:eastAsia="Calibri" w:hAnsi="Arial" w:cs="Arial"/>
          <w:bCs/>
          <w:sz w:val="22"/>
          <w:szCs w:val="22"/>
          <w:lang w:val="es-ES" w:eastAsia="en-US"/>
        </w:rPr>
      </w:pPr>
    </w:p>
    <w:p w14:paraId="0CD4CABA" w14:textId="77777777" w:rsidR="00244D23" w:rsidRPr="00416C3A" w:rsidRDefault="00244D23" w:rsidP="00244D23">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7o. La conveniencia o inconveniencia del objeto a contratar y las autorizaciones y aprobaciones para ello, se analizarán o impartirán con antelación al inicio del proceso de selección del contratista o al de la firma del contrato, según el caso.</w:t>
      </w:r>
    </w:p>
    <w:p w14:paraId="5A720288"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lastRenderedPageBreak/>
        <w:t>[…]</w:t>
      </w:r>
    </w:p>
    <w:p w14:paraId="62D807C0"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14AE439E"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C64C954"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18C9FEA" w14:textId="77777777" w:rsidR="00244D23" w:rsidRPr="00416C3A" w:rsidRDefault="00244D23" w:rsidP="00244D23">
      <w:pPr>
        <w:ind w:left="709" w:right="709"/>
        <w:jc w:val="both"/>
        <w:rPr>
          <w:rFonts w:ascii="Arial" w:hAnsi="Arial" w:cs="Arial"/>
          <w:sz w:val="21"/>
          <w:szCs w:val="21"/>
        </w:rPr>
      </w:pPr>
      <w:r w:rsidRPr="00416C3A">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4ADFAC59" w14:textId="77777777" w:rsidR="00244D23" w:rsidRPr="00416C3A" w:rsidRDefault="00244D23" w:rsidP="00244D23">
      <w:pPr>
        <w:spacing w:line="276" w:lineRule="auto"/>
        <w:ind w:left="709" w:right="709"/>
        <w:jc w:val="both"/>
        <w:rPr>
          <w:rFonts w:ascii="Arial" w:hAnsi="Arial" w:cs="Arial"/>
          <w:sz w:val="22"/>
        </w:rPr>
      </w:pPr>
    </w:p>
    <w:p w14:paraId="01E3B218" w14:textId="77777777" w:rsidR="00244D23" w:rsidRPr="00416C3A" w:rsidRDefault="00244D23" w:rsidP="00244D23">
      <w:pPr>
        <w:spacing w:line="276" w:lineRule="auto"/>
        <w:ind w:firstLine="709"/>
        <w:jc w:val="both"/>
        <w:rPr>
          <w:rFonts w:ascii="Arial" w:hAnsi="Arial" w:cs="Arial"/>
          <w:sz w:val="22"/>
        </w:rPr>
      </w:pPr>
      <w:r w:rsidRPr="00416C3A">
        <w:rPr>
          <w:rFonts w:ascii="Arial" w:hAnsi="Arial" w:cs="Arial"/>
          <w:sz w:val="22"/>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416C3A">
        <w:rPr>
          <w:rFonts w:ascii="Arial" w:hAnsi="Arial" w:cs="Arial"/>
          <w:sz w:val="22"/>
          <w:vertAlign w:val="superscript"/>
        </w:rPr>
        <w:footnoteReference w:id="4"/>
      </w:r>
      <w:r w:rsidRPr="00416C3A">
        <w:rPr>
          <w:rFonts w:ascii="Arial" w:hAnsi="Arial"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1733FB71" w14:textId="77777777" w:rsidR="00244D23" w:rsidRPr="00416C3A" w:rsidRDefault="00244D23" w:rsidP="00244D23">
      <w:pPr>
        <w:spacing w:line="276" w:lineRule="auto"/>
        <w:ind w:left="709" w:right="709"/>
        <w:rPr>
          <w:rFonts w:ascii="Calibri" w:hAnsi="Calibri"/>
          <w:sz w:val="22"/>
          <w:szCs w:val="22"/>
          <w:lang w:eastAsia="es-CO"/>
        </w:rPr>
      </w:pPr>
    </w:p>
    <w:p w14:paraId="4041E4C9"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w:t>
      </w:r>
      <w:r w:rsidRPr="00416C3A">
        <w:rPr>
          <w:rFonts w:ascii="Arial" w:hAnsi="Arial" w:cs="Arial"/>
          <w:sz w:val="21"/>
          <w:szCs w:val="21"/>
        </w:rPr>
        <w:lastRenderedPageBreak/>
        <w:t xml:space="preserve">de Contratación y contener los siguientes elementos, además de los indicados para cada modalidad de selección: </w:t>
      </w:r>
    </w:p>
    <w:p w14:paraId="3AF2CF7B"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1. La descripción de la necesidad que la Entidad Estatal pretende satisfacer con el Proceso de Contratación. ​</w:t>
      </w:r>
    </w:p>
    <w:p w14:paraId="100E8112"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177A4BC9"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3. La modalidad de selección del contratista y su justificación, incluyendo los fundamentos jurídicos. </w:t>
      </w:r>
    </w:p>
    <w:p w14:paraId="49BA12FE"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0277843A"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5. Los criterios para seleccionar la oferta más favorable. </w:t>
      </w:r>
    </w:p>
    <w:p w14:paraId="3E185267"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6. El análisis de Riesgo y la forma de mitigarlo. </w:t>
      </w:r>
    </w:p>
    <w:p w14:paraId="461E0F23"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7. Las garantías que la Entidad Estatal contempla exigir en el proceso de contratación. </w:t>
      </w:r>
    </w:p>
    <w:p w14:paraId="0A379AC5"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8. La indicación de si el proceso de contratación está cobijado por un acuerdo comercial. </w:t>
      </w:r>
    </w:p>
    <w:p w14:paraId="12391E02" w14:textId="77777777" w:rsidR="00244D23" w:rsidRPr="00416C3A" w:rsidRDefault="00244D23" w:rsidP="00244D23">
      <w:pPr>
        <w:ind w:left="709" w:right="709"/>
        <w:jc w:val="both"/>
        <w:rPr>
          <w:rFonts w:ascii="Arial" w:hAnsi="Arial" w:cs="Arial"/>
          <w:sz w:val="21"/>
          <w:szCs w:val="21"/>
        </w:rPr>
      </w:pPr>
      <w:r w:rsidRPr="00416C3A">
        <w:rPr>
          <w:rFonts w:ascii="Arial" w:hAnsi="Arial" w:cs="Arial"/>
          <w:sz w:val="21"/>
          <w:szCs w:val="21"/>
        </w:rPr>
        <w:t>El presente artículo no es aplicable a la contratación por mínima cuantía.</w:t>
      </w:r>
    </w:p>
    <w:p w14:paraId="3440ED2C" w14:textId="77777777" w:rsidR="00244D23" w:rsidRPr="00416C3A" w:rsidRDefault="00244D23" w:rsidP="00244D23">
      <w:pPr>
        <w:widowControl w:val="0"/>
        <w:tabs>
          <w:tab w:val="left" w:pos="1305"/>
        </w:tabs>
        <w:autoSpaceDE w:val="0"/>
        <w:autoSpaceDN w:val="0"/>
        <w:spacing w:line="276" w:lineRule="auto"/>
        <w:ind w:left="828" w:right="822"/>
        <w:rPr>
          <w:rFonts w:ascii="Arial" w:eastAsia="Calibri" w:hAnsi="Arial" w:cs="Arial"/>
          <w:sz w:val="22"/>
          <w:szCs w:val="22"/>
          <w:lang w:val="es-MX" w:eastAsia="en-US"/>
        </w:rPr>
      </w:pPr>
    </w:p>
    <w:p w14:paraId="39D77E89" w14:textId="77777777" w:rsidR="00244D23" w:rsidRPr="00416C3A" w:rsidRDefault="00244D23" w:rsidP="00244D23">
      <w:pPr>
        <w:spacing w:after="120" w:line="276" w:lineRule="auto"/>
        <w:ind w:firstLine="709"/>
        <w:jc w:val="both"/>
        <w:rPr>
          <w:rFonts w:ascii="Arial" w:hAnsi="Arial" w:cs="Arial"/>
          <w:sz w:val="22"/>
        </w:rPr>
      </w:pPr>
      <w:bookmarkStart w:id="4" w:name="_Hlk54011351"/>
      <w:r w:rsidRPr="00416C3A">
        <w:rPr>
          <w:rFonts w:ascii="Arial" w:hAnsi="Arial" w:cs="Arial"/>
          <w:sz w:val="22"/>
        </w:rPr>
        <w:t>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4"/>
    <w:p w14:paraId="0EDD6879" w14:textId="0C72BA49" w:rsidR="00244D23" w:rsidRPr="00416C3A" w:rsidRDefault="00244D23" w:rsidP="00904840">
      <w:pPr>
        <w:spacing w:after="120" w:line="276" w:lineRule="auto"/>
        <w:ind w:firstLine="709"/>
        <w:jc w:val="both"/>
        <w:rPr>
          <w:rFonts w:ascii="Arial" w:hAnsi="Arial" w:cs="Arial"/>
          <w:sz w:val="22"/>
        </w:rPr>
      </w:pPr>
      <w:r w:rsidRPr="00416C3A">
        <w:rPr>
          <w:rFonts w:ascii="Arial" w:hAnsi="Arial" w:cs="Arial"/>
          <w:sz w:val="22"/>
        </w:rPr>
        <w:t xml:space="preserve">Por ello, el hecho que las entidades cumplan con los elementos mínimos establecidos en la norma y aquellos adicionales que identifiquen en la etapa de planeación de los </w:t>
      </w:r>
      <w:r w:rsidRPr="00416C3A">
        <w:rPr>
          <w:rFonts w:ascii="Arial" w:eastAsia="Calibri" w:hAnsi="Arial" w:cs="Arial"/>
          <w:bCs/>
          <w:sz w:val="22"/>
        </w:rPr>
        <w:t xml:space="preserve">procedimientos de contratación, permite que los contratos resultantes cuenten con el sustento técnico, económico y jurídico que incidirá </w:t>
      </w:r>
      <w:r w:rsidRPr="00416C3A">
        <w:rPr>
          <w:rFonts w:ascii="Arial" w:hAnsi="Arial" w:cs="Arial"/>
          <w:sz w:val="22"/>
        </w:rPr>
        <w:t>en una adecuada ejecución.</w:t>
      </w:r>
    </w:p>
    <w:p w14:paraId="5EFD9171" w14:textId="22E81560" w:rsidR="00244D23" w:rsidRPr="00416C3A" w:rsidRDefault="00244D23" w:rsidP="00244D23">
      <w:pPr>
        <w:spacing w:after="120" w:line="276" w:lineRule="auto"/>
        <w:ind w:right="104" w:firstLine="709"/>
        <w:jc w:val="both"/>
        <w:rPr>
          <w:rFonts w:ascii="Arial" w:hAnsi="Arial" w:cs="Arial"/>
          <w:sz w:val="22"/>
        </w:rPr>
      </w:pPr>
      <w:r w:rsidRPr="00416C3A">
        <w:rPr>
          <w:rFonts w:ascii="Arial" w:hAnsi="Arial" w:cs="Arial"/>
          <w:sz w:val="22"/>
        </w:rPr>
        <w:t xml:space="preserve">El numeral 12 del artículo 25 de la Ley 80 de 1993 establece el deber de las entidades de realizar estudios previos en dos momentos específicos: i) previo a la apertura de un proceso de selección y ii) previo a la firma del contrato en el caso en que la modalidad de selección sea contratación directa. </w:t>
      </w:r>
    </w:p>
    <w:p w14:paraId="5CFEED85" w14:textId="087D4DA4" w:rsidR="00244D23" w:rsidRPr="00416C3A" w:rsidRDefault="00244D23" w:rsidP="00244D23">
      <w:pPr>
        <w:spacing w:line="276" w:lineRule="auto"/>
        <w:ind w:firstLine="708"/>
        <w:jc w:val="both"/>
        <w:rPr>
          <w:rFonts w:ascii="Arial" w:eastAsia="Calibri" w:hAnsi="Arial" w:cs="Arial"/>
          <w:bCs/>
          <w:sz w:val="22"/>
        </w:rPr>
      </w:pPr>
      <w:r w:rsidRPr="00416C3A">
        <w:rPr>
          <w:rFonts w:ascii="Arial" w:hAnsi="Arial" w:cs="Arial"/>
          <w:sz w:val="22"/>
        </w:rPr>
        <w:t xml:space="preserve">Por otra parte, los numerales 2 y 4 del artículo 2.2.1.1.2.1.1 del Decreto 1082 de 2015 exigen </w:t>
      </w:r>
      <w:r w:rsidR="004E0591" w:rsidRPr="00416C3A">
        <w:rPr>
          <w:rFonts w:ascii="Arial" w:hAnsi="Arial" w:cs="Arial"/>
          <w:sz w:val="22"/>
        </w:rPr>
        <w:t>que en los estudios previos se determine el objeto a contratar con sus especificaciones, y se señale el valor estimado del contrato y la justificación del mismo</w:t>
      </w:r>
      <w:r w:rsidRPr="00416C3A">
        <w:rPr>
          <w:rFonts w:ascii="Arial" w:hAnsi="Arial" w:cs="Arial"/>
          <w:sz w:val="22"/>
        </w:rPr>
        <w:t xml:space="preserve">. </w:t>
      </w:r>
      <w:r w:rsidRPr="00416C3A">
        <w:rPr>
          <w:rFonts w:ascii="Arial" w:eastAsia="Calibri" w:hAnsi="Arial" w:cs="Arial"/>
          <w:bCs/>
          <w:sz w:val="22"/>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5" w:name="_Hlk36117416"/>
      <w:r w:rsidRPr="00416C3A">
        <w:rPr>
          <w:rFonts w:ascii="Arial" w:eastAsia="Calibri" w:hAnsi="Arial" w:cs="Arial"/>
          <w:bCs/>
          <w:sz w:val="22"/>
        </w:rPr>
        <w:t>2.2.1.1.1.6.1 del Decreto 1082 de 2015</w:t>
      </w:r>
      <w:bookmarkEnd w:id="5"/>
      <w:r w:rsidRPr="00416C3A">
        <w:rPr>
          <w:rFonts w:ascii="Arial" w:eastAsia="Calibri" w:hAnsi="Arial" w:cs="Arial"/>
          <w:bCs/>
          <w:sz w:val="22"/>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3AEAE653" w14:textId="77777777"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De acuerdo con la norma citada, </w:t>
      </w:r>
      <w:bookmarkStart w:id="6" w:name="_Hlk36140682"/>
      <w:r w:rsidRPr="00416C3A">
        <w:rPr>
          <w:rFonts w:ascii="Arial" w:eastAsia="Calibri" w:hAnsi="Arial" w:cs="Arial"/>
          <w:bCs/>
          <w:sz w:val="22"/>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092E447" w14:textId="77777777"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7E4C67BB" w14:textId="183E3964"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262C7CEF" w14:textId="26A9D724" w:rsidR="004E0591" w:rsidRPr="00416C3A" w:rsidRDefault="004E0591"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416C3A">
        <w:rPr>
          <w:rFonts w:ascii="Arial" w:hAnsi="Arial" w:cs="Arial"/>
          <w:sz w:val="22"/>
          <w:szCs w:val="22"/>
          <w:lang w:eastAsia="es-CO"/>
        </w:rPr>
        <w:t xml:space="preserve">son autónomas para estructurarlo, para lo cual deberán cumplir lo dispuesto en el artículo </w:t>
      </w:r>
      <w:r w:rsidRPr="00416C3A">
        <w:rPr>
          <w:rFonts w:ascii="Arial" w:eastAsia="Calibri" w:hAnsi="Arial" w:cs="Arial"/>
          <w:bCs/>
          <w:sz w:val="22"/>
        </w:rPr>
        <w:t xml:space="preserve">2.2.1.1.1.6.1 del Decreto 1082 de 2015 y realizar un análisis integral de planeación que </w:t>
      </w:r>
      <w:r w:rsidRPr="00416C3A">
        <w:rPr>
          <w:rFonts w:ascii="Arial" w:hAnsi="Arial" w:cs="Arial"/>
          <w:sz w:val="22"/>
        </w:rPr>
        <w:t xml:space="preserve">sirva de sustento a la decisión de </w:t>
      </w:r>
      <w:r w:rsidRPr="00416C3A">
        <w:rPr>
          <w:rFonts w:ascii="Arial" w:hAnsi="Arial" w:cs="Arial"/>
          <w:bCs/>
          <w:sz w:val="22"/>
        </w:rPr>
        <w:t>realizar un proceso de contratación.</w:t>
      </w:r>
    </w:p>
    <w:bookmarkEnd w:id="6"/>
    <w:p w14:paraId="54347F5F" w14:textId="18A89C4C" w:rsidR="00244D23" w:rsidRPr="00416C3A" w:rsidRDefault="00244D23" w:rsidP="00244D23">
      <w:pPr>
        <w:spacing w:before="120" w:after="120" w:line="276" w:lineRule="auto"/>
        <w:ind w:firstLine="709"/>
        <w:jc w:val="both"/>
        <w:rPr>
          <w:rFonts w:ascii="Arial" w:eastAsia="Calibri" w:hAnsi="Arial" w:cs="Arial"/>
          <w:bCs/>
          <w:sz w:val="22"/>
        </w:rPr>
      </w:pPr>
      <w:r w:rsidRPr="00416C3A">
        <w:rPr>
          <w:rFonts w:ascii="Arial" w:eastAsia="Calibri" w:hAnsi="Arial" w:cs="Arial"/>
          <w:bCs/>
          <w:sz w:val="22"/>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r w:rsidR="004E0591" w:rsidRPr="00416C3A">
        <w:rPr>
          <w:rStyle w:val="Refdenotaalpie"/>
          <w:rFonts w:ascii="Arial" w:eastAsia="Calibri" w:hAnsi="Arial" w:cs="Arial"/>
          <w:bCs/>
          <w:lang w:eastAsia="es-ES_tradnl"/>
        </w:rPr>
        <w:footnoteReference w:id="5"/>
      </w:r>
      <w:r w:rsidRPr="00416C3A">
        <w:rPr>
          <w:rFonts w:ascii="Arial" w:eastAsia="Calibri" w:hAnsi="Arial" w:cs="Arial"/>
          <w:bCs/>
          <w:sz w:val="22"/>
        </w:rPr>
        <w:t>.</w:t>
      </w:r>
    </w:p>
    <w:p w14:paraId="7D0744E3" w14:textId="75062B43" w:rsidR="00244D23" w:rsidRPr="00416C3A" w:rsidRDefault="00244D23" w:rsidP="007A7DC6">
      <w:pPr>
        <w:spacing w:before="120" w:after="120" w:line="276" w:lineRule="auto"/>
        <w:ind w:right="113" w:firstLine="709"/>
        <w:jc w:val="both"/>
        <w:rPr>
          <w:rFonts w:ascii="Arial" w:hAnsi="Arial" w:cs="Arial"/>
          <w:sz w:val="22"/>
          <w:szCs w:val="22"/>
          <w:lang w:eastAsia="es-CO"/>
        </w:rPr>
      </w:pPr>
      <w:r w:rsidRPr="00416C3A">
        <w:rPr>
          <w:rFonts w:ascii="Arial" w:eastAsia="Calibri" w:hAnsi="Arial" w:cs="Arial"/>
          <w:bCs/>
          <w:sz w:val="22"/>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w:t>
      </w:r>
      <w:r w:rsidR="007156F4" w:rsidRPr="00416C3A">
        <w:rPr>
          <w:rFonts w:ascii="Arial" w:eastAsia="Calibri" w:hAnsi="Arial" w:cs="Arial"/>
          <w:bCs/>
          <w:sz w:val="22"/>
        </w:rPr>
        <w:t xml:space="preserve">«En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Además, allí se señala que en los </w:t>
      </w:r>
      <w:r w:rsidR="007156F4" w:rsidRPr="00416C3A">
        <w:rPr>
          <w:rFonts w:ascii="Arial" w:hAnsi="Arial" w:cs="Arial"/>
          <w:sz w:val="22"/>
          <w:szCs w:val="22"/>
          <w:lang w:eastAsia="es-CO"/>
        </w:rPr>
        <w:t>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007156F4" w:rsidRPr="00416C3A">
        <w:rPr>
          <w:sz w:val="22"/>
          <w:szCs w:val="22"/>
          <w:vertAlign w:val="superscript"/>
          <w:lang w:eastAsia="es-CO"/>
        </w:rPr>
        <w:footnoteReference w:id="6"/>
      </w:r>
      <w:r w:rsidR="007156F4" w:rsidRPr="00416C3A">
        <w:rPr>
          <w:rFonts w:ascii="Arial" w:hAnsi="Arial" w:cs="Arial"/>
          <w:sz w:val="22"/>
          <w:szCs w:val="22"/>
          <w:vertAlign w:val="superscript"/>
          <w:lang w:eastAsia="es-CO"/>
        </w:rPr>
        <w:t>.</w:t>
      </w:r>
      <w:bookmarkStart w:id="7" w:name="_Hlk91231640"/>
    </w:p>
    <w:p w14:paraId="1AEAAF74" w14:textId="77777777" w:rsidR="00244D23" w:rsidRPr="00416C3A" w:rsidRDefault="00244D23" w:rsidP="00244D23">
      <w:pPr>
        <w:spacing w:before="120" w:line="276" w:lineRule="auto"/>
        <w:ind w:right="113" w:firstLine="709"/>
        <w:jc w:val="both"/>
        <w:rPr>
          <w:rFonts w:ascii="Arial" w:hAnsi="Arial" w:cs="Arial"/>
          <w:sz w:val="22"/>
          <w:szCs w:val="22"/>
          <w:lang w:eastAsia="es-CO"/>
        </w:rPr>
      </w:pPr>
      <w:r w:rsidRPr="00416C3A">
        <w:rPr>
          <w:rFonts w:ascii="Arial" w:hAnsi="Arial" w:cs="Arial"/>
          <w:sz w:val="22"/>
          <w:szCs w:val="22"/>
          <w:lang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bookmarkEnd w:id="7"/>
    </w:p>
    <w:p w14:paraId="6476691F" w14:textId="39F18858" w:rsidR="00EE6D46" w:rsidRPr="00416C3A" w:rsidRDefault="00EE6D46" w:rsidP="00EE6D46">
      <w:pPr>
        <w:spacing w:after="120" w:line="276" w:lineRule="auto"/>
        <w:jc w:val="both"/>
        <w:rPr>
          <w:rFonts w:ascii="Arial" w:hAnsi="Arial" w:cs="Arial"/>
          <w:sz w:val="22"/>
        </w:rPr>
      </w:pPr>
    </w:p>
    <w:p w14:paraId="17005B06" w14:textId="08C89825" w:rsidR="00B12676" w:rsidRPr="00416C3A" w:rsidRDefault="00B12676" w:rsidP="001C0BA2">
      <w:pPr>
        <w:pStyle w:val="Prrafodelista"/>
        <w:numPr>
          <w:ilvl w:val="1"/>
          <w:numId w:val="9"/>
        </w:numPr>
        <w:spacing w:line="276" w:lineRule="auto"/>
        <w:ind w:left="0" w:firstLine="0"/>
        <w:jc w:val="both"/>
        <w:rPr>
          <w:rFonts w:ascii="Arial" w:hAnsi="Arial" w:cs="Arial"/>
          <w:b/>
          <w:sz w:val="22"/>
        </w:rPr>
      </w:pPr>
      <w:r w:rsidRPr="00416C3A">
        <w:rPr>
          <w:rFonts w:ascii="Arial" w:hAnsi="Arial" w:cs="Arial"/>
          <w:b/>
          <w:sz w:val="22"/>
        </w:rPr>
        <w:t xml:space="preserve"> Autonomía para calcular el precio y la forma de pago en los contratos estatales</w:t>
      </w:r>
    </w:p>
    <w:p w14:paraId="03B0B0FB" w14:textId="77777777" w:rsidR="00B12676" w:rsidRPr="00416C3A" w:rsidRDefault="00B12676" w:rsidP="00B12676">
      <w:pPr>
        <w:spacing w:line="276" w:lineRule="auto"/>
        <w:jc w:val="both"/>
        <w:rPr>
          <w:rFonts w:ascii="Arial" w:hAnsi="Arial" w:cs="Arial"/>
          <w:b/>
          <w:sz w:val="22"/>
        </w:rPr>
      </w:pPr>
    </w:p>
    <w:p w14:paraId="195F62F1" w14:textId="77777777" w:rsidR="00B12676" w:rsidRPr="00416C3A" w:rsidRDefault="00B12676" w:rsidP="00E31031">
      <w:pPr>
        <w:spacing w:line="276" w:lineRule="auto"/>
        <w:jc w:val="both"/>
        <w:rPr>
          <w:rFonts w:ascii="Arial" w:eastAsia="Calibri" w:hAnsi="Arial" w:cs="Arial"/>
          <w:sz w:val="22"/>
          <w:szCs w:val="22"/>
          <w:lang w:val="es-MX" w:eastAsia="en-US"/>
        </w:rPr>
      </w:pPr>
      <w:r w:rsidRPr="00416C3A">
        <w:rPr>
          <w:rFonts w:ascii="Arial" w:eastAsia="Calibri" w:hAnsi="Arial" w:cs="Arial"/>
          <w:sz w:val="22"/>
          <w:szCs w:val="22"/>
          <w:lang w:val="es-MX" w:eastAsia="en-US"/>
        </w:rPr>
        <w:t>El precio es el «valor pecuniario en que se estima algo»</w:t>
      </w:r>
      <w:r w:rsidRPr="00416C3A">
        <w:rPr>
          <w:rStyle w:val="Refdenotaalpie"/>
          <w:rFonts w:ascii="Arial" w:eastAsia="Calibri" w:hAnsi="Arial" w:cs="Arial"/>
          <w:sz w:val="22"/>
          <w:szCs w:val="22"/>
          <w:lang w:val="es-MX" w:eastAsia="en-US"/>
        </w:rPr>
        <w:footnoteReference w:id="7"/>
      </w:r>
      <w:r w:rsidRPr="00416C3A">
        <w:rPr>
          <w:rFonts w:ascii="Arial" w:eastAsia="Calibri" w:hAnsi="Arial" w:cs="Arial"/>
          <w:sz w:val="22"/>
          <w:szCs w:val="22"/>
          <w:lang w:val="es-MX" w:eastAsia="en-US"/>
        </w:rPr>
        <w:t>. En nuestro ordenamiento jurídico, tenemos una definición de precio en el Código Civil y en el Código de Comercio. Ambas codificaciones, al regular el contrato de compraventa, definen el precio como el dinero que el comprador entrega a cambio de la la cosa vendida:</w:t>
      </w:r>
    </w:p>
    <w:p w14:paraId="7B6389D2" w14:textId="77777777" w:rsidR="00B12676" w:rsidRPr="00416C3A" w:rsidRDefault="00B12676" w:rsidP="00B12676">
      <w:pPr>
        <w:jc w:val="both"/>
        <w:rPr>
          <w:rFonts w:ascii="Arial" w:eastAsia="Calibri" w:hAnsi="Arial" w:cs="Arial"/>
          <w:sz w:val="22"/>
          <w:szCs w:val="22"/>
          <w:lang w:val="es-MX" w:eastAsia="en-US"/>
        </w:rPr>
      </w:pPr>
      <w:r w:rsidRPr="00416C3A">
        <w:rPr>
          <w:rFonts w:ascii="Arial" w:eastAsia="Calibri" w:hAnsi="Arial" w:cs="Arial"/>
          <w:sz w:val="22"/>
          <w:szCs w:val="22"/>
          <w:lang w:val="es-MX" w:eastAsia="en-US"/>
        </w:rPr>
        <w:t xml:space="preserve"> </w:t>
      </w:r>
    </w:p>
    <w:p w14:paraId="34AB2810" w14:textId="77777777" w:rsidR="00B12676" w:rsidRPr="00416C3A" w:rsidRDefault="00B12676" w:rsidP="00B12676">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[Artículo 1849 del Código Civil]: La compraventa es un contrato en que una de las partes se obliga a dar una cosa y la otra a pagarla en dinero. Aquella se dice vender y esta comprar. El dinero que el comprador da por la cosa vendida se llama precio.</w:t>
      </w:r>
    </w:p>
    <w:p w14:paraId="252CC182" w14:textId="77777777" w:rsidR="00B12676" w:rsidRPr="00416C3A" w:rsidRDefault="00B12676" w:rsidP="00B12676">
      <w:pPr>
        <w:ind w:left="709" w:right="709"/>
        <w:jc w:val="both"/>
        <w:rPr>
          <w:rFonts w:ascii="Arial" w:eastAsia="Calibri" w:hAnsi="Arial" w:cs="Arial"/>
          <w:sz w:val="21"/>
          <w:szCs w:val="21"/>
          <w:lang w:val="es-MX" w:eastAsia="en-US"/>
        </w:rPr>
      </w:pPr>
    </w:p>
    <w:p w14:paraId="41086DF2" w14:textId="77777777" w:rsidR="00B12676" w:rsidRPr="00416C3A" w:rsidRDefault="00B12676" w:rsidP="00B12676">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[Artículo 905 del Código de Comercio]: La compraventa es un contrato en que una de las partes se obliga a trasmitir la propiedad de una cosa y la otra a pagarla en dinero. El dinero que el comprador da por la cosa vendida se llama precio.</w:t>
      </w:r>
    </w:p>
    <w:p w14:paraId="7B6EAEF5" w14:textId="77777777" w:rsidR="00B12676" w:rsidRPr="00416C3A" w:rsidRDefault="00B12676" w:rsidP="00B12676">
      <w:pPr>
        <w:spacing w:line="276" w:lineRule="auto"/>
        <w:jc w:val="both"/>
        <w:rPr>
          <w:rFonts w:ascii="Arial" w:hAnsi="Arial" w:cs="Arial"/>
          <w:bCs/>
          <w:sz w:val="22"/>
        </w:rPr>
      </w:pPr>
    </w:p>
    <w:p w14:paraId="603AE93C" w14:textId="31440EE9" w:rsidR="00B12676" w:rsidRPr="00416C3A" w:rsidRDefault="00B12676" w:rsidP="00B12676">
      <w:pPr>
        <w:spacing w:after="120" w:line="276" w:lineRule="auto"/>
        <w:ind w:firstLine="708"/>
        <w:jc w:val="both"/>
        <w:rPr>
          <w:rFonts w:ascii="Arial" w:hAnsi="Arial" w:cs="Arial"/>
          <w:bCs/>
          <w:sz w:val="22"/>
          <w:lang w:val="es-ES"/>
        </w:rPr>
      </w:pPr>
      <w:r w:rsidRPr="00416C3A">
        <w:rPr>
          <w:rFonts w:ascii="Arial" w:hAnsi="Arial" w:cs="Arial"/>
          <w:bCs/>
          <w:sz w:val="22"/>
        </w:rPr>
        <w:t xml:space="preserve">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w:t>
      </w:r>
      <w:r w:rsidR="007156F4" w:rsidRPr="00416C3A">
        <w:rPr>
          <w:rFonts w:ascii="Arial" w:hAnsi="Arial" w:cs="Arial"/>
          <w:bCs/>
          <w:sz w:val="22"/>
        </w:rPr>
        <w:t xml:space="preserve">contraprestación </w:t>
      </w:r>
      <w:r w:rsidRPr="00416C3A">
        <w:rPr>
          <w:rFonts w:ascii="Arial" w:hAnsi="Arial" w:cs="Arial"/>
          <w:bCs/>
          <w:sz w:val="22"/>
        </w:rPr>
        <w:t>por la ejecución de las obligaciones de dar, hacer o no hacer previstas a su cargo en el contrato. El precio, entonces, es el valor que se da por el objeto, generalmente en dinero, que debe ser determinado o determinable</w:t>
      </w:r>
      <w:r w:rsidRPr="00416C3A">
        <w:rPr>
          <w:rStyle w:val="Refdenotaalpie"/>
          <w:rFonts w:ascii="Arial" w:hAnsi="Arial" w:cs="Arial"/>
          <w:bCs/>
          <w:sz w:val="22"/>
        </w:rPr>
        <w:footnoteReference w:id="8"/>
      </w:r>
      <w:r w:rsidRPr="00416C3A">
        <w:rPr>
          <w:rFonts w:ascii="Arial" w:hAnsi="Arial" w:cs="Arial"/>
          <w:bCs/>
          <w:sz w:val="22"/>
        </w:rPr>
        <w:t>, en los términos de los artículos 1864 y 1865 del Código Civil y, de manera general</w:t>
      </w:r>
      <w:r w:rsidR="007156F4" w:rsidRPr="00416C3A">
        <w:rPr>
          <w:rFonts w:ascii="Arial" w:hAnsi="Arial" w:cs="Arial"/>
          <w:bCs/>
          <w:sz w:val="22"/>
        </w:rPr>
        <w:t>,</w:t>
      </w:r>
      <w:r w:rsidRPr="00416C3A">
        <w:rPr>
          <w:rFonts w:ascii="Arial" w:hAnsi="Arial" w:cs="Arial"/>
          <w:bCs/>
          <w:sz w:val="22"/>
        </w:rPr>
        <w:t xml:space="preserve"> está compuesto por dos elementos: los costos y la utilidad, cuya estructuración interna depende de las condiciones técnicas, financieras, regulatorias, etc. de cada contrato</w:t>
      </w:r>
      <w:r w:rsidRPr="00416C3A">
        <w:rPr>
          <w:rStyle w:val="Refdenotaalpie"/>
          <w:rFonts w:ascii="Arial" w:hAnsi="Arial" w:cs="Arial"/>
          <w:bCs/>
          <w:sz w:val="22"/>
        </w:rPr>
        <w:footnoteReference w:id="9"/>
      </w:r>
      <w:r w:rsidRPr="00416C3A">
        <w:rPr>
          <w:rFonts w:ascii="Arial" w:hAnsi="Arial" w:cs="Arial"/>
          <w:bCs/>
          <w:sz w:val="22"/>
        </w:rPr>
        <w:t>.</w:t>
      </w:r>
    </w:p>
    <w:p w14:paraId="4F1282EE" w14:textId="77777777" w:rsidR="00B12676" w:rsidRPr="00416C3A" w:rsidRDefault="00B12676" w:rsidP="00B12676">
      <w:pPr>
        <w:spacing w:before="120" w:after="120" w:line="276" w:lineRule="auto"/>
        <w:ind w:firstLine="709"/>
        <w:jc w:val="both"/>
        <w:rPr>
          <w:rFonts w:ascii="Arial" w:hAnsi="Arial" w:cs="Arial"/>
          <w:bCs/>
          <w:sz w:val="22"/>
        </w:rPr>
      </w:pPr>
      <w:r w:rsidRPr="00416C3A">
        <w:rPr>
          <w:rFonts w:ascii="Arial" w:hAnsi="Arial" w:cs="Arial"/>
          <w:bCs/>
          <w:sz w:val="22"/>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416C3A">
        <w:rPr>
          <w:rStyle w:val="Refdenotaalpie"/>
          <w:rFonts w:ascii="Arial" w:hAnsi="Arial" w:cs="Arial"/>
          <w:bCs/>
          <w:sz w:val="22"/>
        </w:rPr>
        <w:footnoteReference w:id="10"/>
      </w:r>
      <w:r w:rsidRPr="00416C3A">
        <w:rPr>
          <w:rFonts w:ascii="Arial" w:hAnsi="Arial" w:cs="Arial"/>
          <w:bCs/>
          <w:sz w:val="22"/>
        </w:rPr>
        <w:t>.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2297125C" w14:textId="22F37ED9" w:rsidR="006E2AE9" w:rsidRPr="007A6A7E" w:rsidRDefault="00B12676" w:rsidP="007A6A7E">
      <w:pPr>
        <w:spacing w:before="120" w:after="120" w:line="276" w:lineRule="auto"/>
        <w:ind w:firstLine="709"/>
        <w:jc w:val="both"/>
        <w:rPr>
          <w:rFonts w:ascii="Arial" w:hAnsi="Arial" w:cs="Arial"/>
          <w:bCs/>
          <w:sz w:val="22"/>
        </w:rPr>
      </w:pPr>
      <w:r w:rsidRPr="00416C3A">
        <w:rPr>
          <w:rFonts w:ascii="Arial" w:hAnsi="Arial" w:cs="Arial"/>
          <w:bCs/>
          <w:sz w:val="22"/>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w:t>
      </w:r>
      <w:r w:rsidR="0012523E" w:rsidRPr="00416C3A">
        <w:rPr>
          <w:rFonts w:ascii="Arial" w:hAnsi="Arial" w:cs="Arial"/>
          <w:bCs/>
          <w:sz w:val="22"/>
        </w:rPr>
        <w:t xml:space="preserve"> estatal</w:t>
      </w:r>
      <w:r w:rsidRPr="00416C3A">
        <w:rPr>
          <w:rFonts w:ascii="Arial" w:hAnsi="Arial" w:cs="Arial"/>
          <w:bCs/>
          <w:sz w:val="22"/>
        </w:rPr>
        <w:t>, respetando los límites previstos en el ordenamiento</w:t>
      </w:r>
      <w:r w:rsidR="0012523E" w:rsidRPr="00416C3A">
        <w:rPr>
          <w:rFonts w:ascii="Arial" w:hAnsi="Arial" w:cs="Arial"/>
          <w:bCs/>
          <w:sz w:val="22"/>
        </w:rPr>
        <w:t xml:space="preserve"> jurídico</w:t>
      </w:r>
      <w:r w:rsidRPr="00416C3A">
        <w:rPr>
          <w:rFonts w:ascii="Arial" w:hAnsi="Arial" w:cs="Arial"/>
          <w:bCs/>
          <w:sz w:val="22"/>
        </w:rPr>
        <w:t xml:space="preserve">. En tal perspectiva, cuentan con discrecionalidad para establecer en el pliego de condiciones o en su documento equivalente, así como en el contrato, el sistema de precios </w:t>
      </w:r>
      <w:r w:rsidR="0043289A">
        <w:rPr>
          <w:rFonts w:ascii="Arial" w:hAnsi="Arial" w:cs="Arial"/>
          <w:bCs/>
          <w:sz w:val="22"/>
        </w:rPr>
        <w:t xml:space="preserve">y </w:t>
      </w:r>
      <w:r w:rsidR="00AB7CD8">
        <w:rPr>
          <w:rFonts w:ascii="Arial" w:hAnsi="Arial" w:cs="Arial"/>
          <w:bCs/>
          <w:sz w:val="22"/>
        </w:rPr>
        <w:t xml:space="preserve">forma de </w:t>
      </w:r>
      <w:r w:rsidR="0043289A">
        <w:rPr>
          <w:rFonts w:ascii="Arial" w:hAnsi="Arial" w:cs="Arial"/>
          <w:bCs/>
          <w:sz w:val="22"/>
        </w:rPr>
        <w:t xml:space="preserve">pago </w:t>
      </w:r>
      <w:r w:rsidR="009B21E8" w:rsidRPr="00416C3A">
        <w:rPr>
          <w:rFonts w:ascii="Arial" w:hAnsi="Arial" w:cs="Arial"/>
          <w:bCs/>
          <w:sz w:val="22"/>
        </w:rPr>
        <w:t xml:space="preserve">que la entidad considere pertinente para el proceso contractual. </w:t>
      </w:r>
    </w:p>
    <w:p w14:paraId="72060ABC" w14:textId="79A81543" w:rsidR="007A6A7E" w:rsidRDefault="000F322D" w:rsidP="007A6A7E">
      <w:pPr>
        <w:spacing w:before="120" w:after="120" w:line="276" w:lineRule="auto"/>
        <w:ind w:firstLine="708"/>
        <w:jc w:val="both"/>
        <w:rPr>
          <w:rFonts w:ascii="Arial" w:hAnsi="Arial" w:cs="Arial"/>
          <w:bCs/>
          <w:sz w:val="22"/>
        </w:rPr>
      </w:pPr>
      <w:r w:rsidRPr="00416C3A">
        <w:rPr>
          <w:rFonts w:ascii="Arial" w:hAnsi="Arial" w:cs="Arial"/>
          <w:bCs/>
          <w:sz w:val="22"/>
        </w:rPr>
        <w:t>Por lo tanto, las entidades gozan de autonomía para establecer el precio</w:t>
      </w:r>
      <w:r w:rsidR="007A6A7E">
        <w:rPr>
          <w:rFonts w:ascii="Arial" w:hAnsi="Arial" w:cs="Arial"/>
          <w:bCs/>
          <w:sz w:val="22"/>
        </w:rPr>
        <w:t xml:space="preserve"> y la forma de pago en el contrato estatal. </w:t>
      </w:r>
      <w:r w:rsidR="00F32CCB" w:rsidRPr="00416C3A">
        <w:rPr>
          <w:rFonts w:ascii="Arial" w:hAnsi="Arial" w:cs="Arial"/>
          <w:bCs/>
          <w:sz w:val="22"/>
        </w:rPr>
        <w:t>Teniendo en cuenta los elementos anteriores, sin perjuicio de los análisis de planeación</w:t>
      </w:r>
      <w:r w:rsidR="00AD3594" w:rsidRPr="00416C3A">
        <w:rPr>
          <w:rFonts w:ascii="Arial" w:hAnsi="Arial" w:cs="Arial"/>
          <w:bCs/>
          <w:sz w:val="22"/>
        </w:rPr>
        <w:t xml:space="preserve"> que le corresponde realizar a la entidad estatal para definir el valor del contrato</w:t>
      </w:r>
      <w:r w:rsidR="007A6A7E">
        <w:rPr>
          <w:rFonts w:ascii="Arial" w:hAnsi="Arial" w:cs="Arial"/>
          <w:bCs/>
          <w:sz w:val="22"/>
        </w:rPr>
        <w:t>, se reitera que é</w:t>
      </w:r>
      <w:r w:rsidR="00F32CCB" w:rsidRPr="00416C3A">
        <w:rPr>
          <w:rFonts w:ascii="Arial" w:hAnsi="Arial" w:cs="Arial"/>
          <w:bCs/>
          <w:sz w:val="22"/>
        </w:rPr>
        <w:t xml:space="preserve">stas cuentan con discrecionalidad en la estructuración y definición del valor del contrato. </w:t>
      </w:r>
      <w:r w:rsidR="007A6A7E">
        <w:rPr>
          <w:rFonts w:ascii="Arial" w:hAnsi="Arial" w:cs="Arial"/>
          <w:bCs/>
          <w:sz w:val="22"/>
        </w:rPr>
        <w:t xml:space="preserve">A su turno, los oferentes son libre </w:t>
      </w:r>
      <w:r w:rsidR="00E01094" w:rsidRPr="00416C3A">
        <w:rPr>
          <w:rFonts w:ascii="Arial" w:hAnsi="Arial" w:cs="Arial"/>
          <w:bCs/>
          <w:sz w:val="22"/>
        </w:rPr>
        <w:t xml:space="preserve">de presentar propuesta en el proceso de selección </w:t>
      </w:r>
      <w:r w:rsidR="00465256">
        <w:rPr>
          <w:rFonts w:ascii="Arial" w:hAnsi="Arial" w:cs="Arial"/>
          <w:bCs/>
          <w:sz w:val="22"/>
        </w:rPr>
        <w:t xml:space="preserve">o suscribir el contrato – tratándose de la modalidad de contratación directa - </w:t>
      </w:r>
      <w:r w:rsidR="00E01094" w:rsidRPr="00416C3A">
        <w:rPr>
          <w:rFonts w:ascii="Arial" w:hAnsi="Arial" w:cs="Arial"/>
          <w:bCs/>
          <w:sz w:val="22"/>
        </w:rPr>
        <w:t xml:space="preserve">y ellos son los que definirán si </w:t>
      </w:r>
      <w:r w:rsidR="00465256">
        <w:rPr>
          <w:rFonts w:ascii="Arial" w:hAnsi="Arial" w:cs="Arial"/>
          <w:bCs/>
          <w:sz w:val="22"/>
        </w:rPr>
        <w:t xml:space="preserve">dicho contrato </w:t>
      </w:r>
      <w:r w:rsidR="00E01094" w:rsidRPr="00416C3A">
        <w:rPr>
          <w:rFonts w:ascii="Arial" w:hAnsi="Arial" w:cs="Arial"/>
          <w:bCs/>
          <w:sz w:val="22"/>
        </w:rPr>
        <w:t>resuelta de beneficio para sus intereses</w:t>
      </w:r>
      <w:r w:rsidR="00EA5F10" w:rsidRPr="00416C3A">
        <w:rPr>
          <w:rFonts w:ascii="Arial" w:hAnsi="Arial" w:cs="Arial"/>
          <w:bCs/>
          <w:sz w:val="22"/>
        </w:rPr>
        <w:t>, en las condiciones en que la entidad haya definido el contenido de los documentos del proceso</w:t>
      </w:r>
      <w:r w:rsidR="00465256">
        <w:rPr>
          <w:rFonts w:ascii="Arial" w:hAnsi="Arial" w:cs="Arial"/>
          <w:bCs/>
          <w:sz w:val="22"/>
        </w:rPr>
        <w:t>.</w:t>
      </w:r>
    </w:p>
    <w:p w14:paraId="0FAA6900" w14:textId="2CE8F4DF" w:rsidR="0012523E" w:rsidRPr="00690EF6" w:rsidRDefault="007A6A7E" w:rsidP="00690EF6">
      <w:pPr>
        <w:spacing w:before="120" w:after="120" w:line="276" w:lineRule="auto"/>
        <w:ind w:firstLine="708"/>
        <w:jc w:val="both"/>
        <w:rPr>
          <w:rFonts w:ascii="Arial" w:hAnsi="Arial" w:cs="Arial"/>
          <w:bCs/>
          <w:sz w:val="22"/>
        </w:rPr>
      </w:pPr>
      <w:r>
        <w:rPr>
          <w:rFonts w:ascii="Arial" w:hAnsi="Arial" w:cs="Arial"/>
          <w:bCs/>
          <w:sz w:val="22"/>
        </w:rPr>
        <w:t>En todo caso, las partes deberán ceñirse a lo pactado en el contrato, respecto al cumplimiento de la forma de pago, para efectos de cumplir como corresponde las obligaciones de hacer o de dar que justifiquen el pago de la contraprestación a que tiene derecho el contratista, durante la ejecución del objeto contractual, en los términos estipulados en  el mismo, lo anterior en atención al principio</w:t>
      </w:r>
      <w:r w:rsidR="00690EF6">
        <w:rPr>
          <w:rFonts w:ascii="Arial" w:hAnsi="Arial" w:cs="Arial"/>
          <w:bCs/>
          <w:sz w:val="22"/>
        </w:rPr>
        <w:t xml:space="preserve"> de la obligatoriedad del contrato para las partes, según como lo dispone el artículo 1602 del Código Civil.</w:t>
      </w:r>
      <w:r w:rsidR="00EA5F10" w:rsidRPr="00416C3A">
        <w:rPr>
          <w:rFonts w:ascii="Arial" w:hAnsi="Arial" w:cs="Arial"/>
          <w:bCs/>
          <w:sz w:val="22"/>
        </w:rPr>
        <w:t xml:space="preserve"> </w:t>
      </w:r>
    </w:p>
    <w:p w14:paraId="67FDFC24" w14:textId="77777777" w:rsidR="00192273" w:rsidRPr="00416C3A" w:rsidRDefault="00192273" w:rsidP="00401F6C">
      <w:pPr>
        <w:pStyle w:val="Textoindependiente"/>
        <w:spacing w:before="93" w:line="276" w:lineRule="auto"/>
        <w:ind w:right="114"/>
        <w:jc w:val="both"/>
        <w:rPr>
          <w:color w:val="000000" w:themeColor="text1"/>
          <w:sz w:val="22"/>
          <w:szCs w:val="22"/>
        </w:rPr>
      </w:pPr>
    </w:p>
    <w:p w14:paraId="796F1CAF" w14:textId="2FCF96C3" w:rsidR="007B6D7A" w:rsidRPr="00416C3A" w:rsidRDefault="007B6D7A" w:rsidP="007B6D7A">
      <w:pPr>
        <w:tabs>
          <w:tab w:val="left" w:pos="0"/>
        </w:tabs>
        <w:jc w:val="both"/>
        <w:rPr>
          <w:rFonts w:ascii="Arial" w:eastAsia="Calibri" w:hAnsi="Arial" w:cs="Arial"/>
          <w:b/>
          <w:color w:val="000000" w:themeColor="text1"/>
          <w:sz w:val="22"/>
        </w:rPr>
      </w:pPr>
      <w:r w:rsidRPr="00416C3A">
        <w:rPr>
          <w:rFonts w:ascii="Arial" w:eastAsia="Calibri" w:hAnsi="Arial" w:cs="Arial"/>
          <w:b/>
          <w:color w:val="000000" w:themeColor="text1"/>
          <w:sz w:val="22"/>
        </w:rPr>
        <w:t>3. Respuesta</w:t>
      </w:r>
    </w:p>
    <w:p w14:paraId="2A5B5402" w14:textId="77777777" w:rsidR="008E4FC5" w:rsidRPr="00416C3A" w:rsidRDefault="008E4FC5" w:rsidP="00550397">
      <w:pPr>
        <w:spacing w:after="120" w:line="276" w:lineRule="auto"/>
        <w:ind w:firstLine="708"/>
        <w:jc w:val="both"/>
        <w:rPr>
          <w:rFonts w:ascii="Arial" w:hAnsi="Arial" w:cs="Arial"/>
          <w:sz w:val="22"/>
          <w:lang w:val="es-CO"/>
        </w:rPr>
      </w:pPr>
    </w:p>
    <w:p w14:paraId="0E024F65" w14:textId="4471E386" w:rsidR="00E55B1F" w:rsidRPr="00416C3A" w:rsidRDefault="00E55B1F" w:rsidP="00E55B1F">
      <w:pPr>
        <w:autoSpaceDE w:val="0"/>
        <w:autoSpaceDN w:val="0"/>
        <w:adjustRightInd w:val="0"/>
        <w:ind w:left="709" w:right="709"/>
        <w:jc w:val="both"/>
        <w:rPr>
          <w:rFonts w:ascii="Arial" w:hAnsi="Arial" w:cs="Arial"/>
          <w:sz w:val="21"/>
          <w:szCs w:val="21"/>
        </w:rPr>
      </w:pPr>
      <w:r w:rsidRPr="00416C3A">
        <w:rPr>
          <w:rFonts w:ascii="Arial" w:hAnsi="Arial" w:cs="Arial"/>
          <w:sz w:val="21"/>
          <w:szCs w:val="21"/>
        </w:rPr>
        <w:t>«</w:t>
      </w:r>
      <w:r w:rsidR="007A6A7E" w:rsidRPr="007A6A7E">
        <w:rPr>
          <w:rFonts w:ascii="Arial" w:hAnsi="Arial" w:cs="Arial"/>
          <w:sz w:val="21"/>
          <w:szCs w:val="21"/>
        </w:rPr>
        <w:t xml:space="preserve">Si una persona natural o </w:t>
      </w:r>
      <w:r w:rsidR="00AB7CD8" w:rsidRPr="007A6A7E">
        <w:rPr>
          <w:rFonts w:ascii="Arial" w:hAnsi="Arial" w:cs="Arial"/>
          <w:sz w:val="21"/>
          <w:szCs w:val="21"/>
        </w:rPr>
        <w:t>jurídica</w:t>
      </w:r>
      <w:r w:rsidR="007A6A7E" w:rsidRPr="007A6A7E">
        <w:rPr>
          <w:rFonts w:ascii="Arial" w:hAnsi="Arial" w:cs="Arial"/>
          <w:sz w:val="21"/>
          <w:szCs w:val="21"/>
        </w:rPr>
        <w:t xml:space="preserve"> es contratada por modalidad de </w:t>
      </w:r>
      <w:r w:rsidR="00AB7CD8" w:rsidRPr="007A6A7E">
        <w:rPr>
          <w:rFonts w:ascii="Arial" w:hAnsi="Arial" w:cs="Arial"/>
          <w:sz w:val="21"/>
          <w:szCs w:val="21"/>
        </w:rPr>
        <w:t>prestación</w:t>
      </w:r>
      <w:r w:rsidR="007A6A7E" w:rsidRPr="007A6A7E">
        <w:rPr>
          <w:rFonts w:ascii="Arial" w:hAnsi="Arial" w:cs="Arial"/>
          <w:sz w:val="21"/>
          <w:szCs w:val="21"/>
        </w:rPr>
        <w:t xml:space="preserve"> de servicios en donde los conceptos de pago son por mensualidades en donde se le solicita el cumplimiento de una actividad especifica, esta persona se encuentra obligada a presentar actividades diarias para que le sea cancelado la totalidad de la mensualidad o solo </w:t>
      </w:r>
      <w:r w:rsidR="00465256" w:rsidRPr="007A6A7E">
        <w:rPr>
          <w:rFonts w:ascii="Arial" w:hAnsi="Arial" w:cs="Arial"/>
          <w:sz w:val="21"/>
          <w:szCs w:val="21"/>
        </w:rPr>
        <w:t>requerirá</w:t>
      </w:r>
      <w:r w:rsidR="007A6A7E" w:rsidRPr="007A6A7E">
        <w:rPr>
          <w:rFonts w:ascii="Arial" w:hAnsi="Arial" w:cs="Arial"/>
          <w:sz w:val="21"/>
          <w:szCs w:val="21"/>
        </w:rPr>
        <w:t xml:space="preserve"> presentar el cumplimiento de la actividad, actividades u obligaciones pactadas de acuerdo a lo exigido en el contrato?</w:t>
      </w:r>
      <w:r w:rsidRPr="00416C3A">
        <w:rPr>
          <w:rFonts w:ascii="Arial" w:hAnsi="Arial" w:cs="Arial"/>
          <w:sz w:val="21"/>
          <w:szCs w:val="21"/>
        </w:rPr>
        <w:t>»</w:t>
      </w:r>
    </w:p>
    <w:p w14:paraId="6FB74DD3" w14:textId="77777777" w:rsidR="00AB7CD8" w:rsidRDefault="00AB7CD8" w:rsidP="00E55B1F">
      <w:pPr>
        <w:autoSpaceDE w:val="0"/>
        <w:autoSpaceDN w:val="0"/>
        <w:adjustRightInd w:val="0"/>
        <w:ind w:right="709"/>
        <w:jc w:val="both"/>
        <w:rPr>
          <w:rFonts w:ascii="Arial" w:hAnsi="Arial" w:cs="Arial"/>
          <w:sz w:val="21"/>
          <w:szCs w:val="21"/>
        </w:rPr>
      </w:pPr>
    </w:p>
    <w:p w14:paraId="340763B2" w14:textId="77777777" w:rsidR="00AB7CD8" w:rsidRPr="00416C3A" w:rsidRDefault="00AB7CD8" w:rsidP="00AB7CD8">
      <w:pPr>
        <w:spacing w:after="120" w:line="276" w:lineRule="auto"/>
        <w:jc w:val="both"/>
        <w:rPr>
          <w:rFonts w:ascii="Arial" w:hAnsi="Arial" w:cs="Arial"/>
          <w:sz w:val="22"/>
          <w:szCs w:val="22"/>
        </w:rPr>
      </w:pPr>
      <w:r w:rsidRPr="00416C3A">
        <w:rPr>
          <w:rFonts w:ascii="Arial" w:hAnsi="Arial" w:cs="Arial"/>
          <w:sz w:val="22"/>
        </w:rPr>
        <w:t xml:space="preserve">Según las consideraciones expuestas, </w:t>
      </w:r>
      <w:r w:rsidRPr="00416C3A">
        <w:rPr>
          <w:rFonts w:ascii="Arial" w:eastAsia="Calibri" w:hAnsi="Arial" w:cs="Arial"/>
          <w:bCs/>
          <w:sz w:val="22"/>
          <w:szCs w:val="22"/>
          <w:lang w:eastAsia="en-US"/>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3D21BD06" w14:textId="5E0BBDCF" w:rsidR="00465256" w:rsidRDefault="00AB7CD8">
      <w:pPr>
        <w:spacing w:before="120" w:after="120" w:line="276" w:lineRule="auto"/>
        <w:ind w:firstLine="708"/>
        <w:jc w:val="both"/>
        <w:rPr>
          <w:rFonts w:ascii="Arial" w:hAnsi="Arial" w:cs="Arial"/>
          <w:bCs/>
          <w:sz w:val="22"/>
        </w:rPr>
      </w:pPr>
      <w:r>
        <w:rPr>
          <w:rFonts w:ascii="Arial" w:hAnsi="Arial" w:cs="Arial"/>
          <w:sz w:val="21"/>
          <w:szCs w:val="21"/>
        </w:rPr>
        <w:t>Así las cosas, l</w:t>
      </w:r>
      <w:r w:rsidR="00E55B1F" w:rsidRPr="00416C3A">
        <w:rPr>
          <w:rFonts w:ascii="Arial" w:hAnsi="Arial" w:cs="Arial"/>
          <w:bCs/>
          <w:sz w:val="22"/>
        </w:rPr>
        <w:t xml:space="preserve">as entidades </w:t>
      </w:r>
      <w:r w:rsidR="00554722" w:rsidRPr="00416C3A">
        <w:rPr>
          <w:rFonts w:ascii="Arial" w:hAnsi="Arial" w:cs="Arial"/>
          <w:bCs/>
          <w:sz w:val="22"/>
        </w:rPr>
        <w:t>estatales</w:t>
      </w:r>
      <w:r w:rsidR="00E55B1F" w:rsidRPr="00416C3A">
        <w:rPr>
          <w:rFonts w:ascii="Arial" w:hAnsi="Arial" w:cs="Arial"/>
          <w:bCs/>
          <w:sz w:val="22"/>
        </w:rPr>
        <w:t xml:space="preserve"> gozan de autonomía para configurar el precio y </w:t>
      </w:r>
      <w:r>
        <w:rPr>
          <w:rFonts w:ascii="Arial" w:hAnsi="Arial" w:cs="Arial"/>
          <w:bCs/>
          <w:sz w:val="22"/>
        </w:rPr>
        <w:t xml:space="preserve">la forma de </w:t>
      </w:r>
      <w:r w:rsidRPr="00416C3A">
        <w:rPr>
          <w:rFonts w:ascii="Arial" w:hAnsi="Arial" w:cs="Arial"/>
          <w:bCs/>
          <w:sz w:val="22"/>
        </w:rPr>
        <w:t>pago más apropiad</w:t>
      </w:r>
      <w:r>
        <w:rPr>
          <w:rFonts w:ascii="Arial" w:hAnsi="Arial" w:cs="Arial"/>
          <w:bCs/>
          <w:sz w:val="22"/>
        </w:rPr>
        <w:t>a</w:t>
      </w:r>
      <w:r w:rsidR="00E55B1F" w:rsidRPr="00416C3A">
        <w:rPr>
          <w:rFonts w:ascii="Arial" w:hAnsi="Arial" w:cs="Arial"/>
          <w:bCs/>
          <w:sz w:val="22"/>
        </w:rPr>
        <w:t xml:space="preserve"> para satisfacer los fines de la contratación estatal, respetando los límites previstos en el ordenamiento jurídico</w:t>
      </w:r>
      <w:r w:rsidR="00465256">
        <w:rPr>
          <w:rFonts w:ascii="Arial" w:hAnsi="Arial" w:cs="Arial"/>
          <w:bCs/>
          <w:sz w:val="22"/>
        </w:rPr>
        <w:t>.</w:t>
      </w:r>
    </w:p>
    <w:p w14:paraId="19BE175D" w14:textId="037D965B" w:rsidR="00690EF6" w:rsidRPr="00416C3A" w:rsidRDefault="00690EF6" w:rsidP="00690EF6">
      <w:pPr>
        <w:spacing w:before="120" w:after="120" w:line="276" w:lineRule="auto"/>
        <w:ind w:firstLine="708"/>
        <w:jc w:val="both"/>
        <w:rPr>
          <w:rFonts w:ascii="Arial" w:hAnsi="Arial" w:cs="Arial"/>
          <w:bCs/>
          <w:sz w:val="22"/>
        </w:rPr>
      </w:pPr>
      <w:r>
        <w:rPr>
          <w:rFonts w:ascii="Arial" w:hAnsi="Arial" w:cs="Arial"/>
          <w:bCs/>
          <w:sz w:val="22"/>
        </w:rPr>
        <w:t>En todo caso, las partes deberán ceñirse a lo pactado en el contrato, respecto al cumplimiento de la forma de pago, para efectos de cumplir como corresponde las obligaciones de hacer o de dar que justifiquen el pago de la contraprestación a que tiene derecho el contratista, durante la ejecución del objeto contractual, en los términos estipulados en el mismo, lo anterior en atención al principio de la obligatoriedad del contrato para las partes, según como lo dispone el artículo 1602 del Código Civil.</w:t>
      </w:r>
      <w:r w:rsidRPr="00416C3A">
        <w:rPr>
          <w:rFonts w:ascii="Arial" w:hAnsi="Arial" w:cs="Arial"/>
          <w:bCs/>
          <w:sz w:val="22"/>
        </w:rPr>
        <w:t xml:space="preserve"> </w:t>
      </w:r>
    </w:p>
    <w:p w14:paraId="23433C06" w14:textId="77777777" w:rsidR="003A2234" w:rsidRPr="00416C3A" w:rsidRDefault="003A2234" w:rsidP="00690EF6">
      <w:pPr>
        <w:spacing w:after="120" w:line="276" w:lineRule="auto"/>
        <w:jc w:val="both"/>
        <w:rPr>
          <w:rFonts w:ascii="Arial" w:hAnsi="Arial" w:cs="Arial"/>
          <w:color w:val="000000" w:themeColor="text1"/>
          <w:sz w:val="22"/>
          <w:szCs w:val="22"/>
          <w:lang w:val="es-MX"/>
        </w:rPr>
      </w:pPr>
    </w:p>
    <w:bookmarkEnd w:id="1"/>
    <w:p w14:paraId="4481B58B" w14:textId="77777777" w:rsidR="00DF3130" w:rsidRPr="00416C3A" w:rsidRDefault="00DF3130" w:rsidP="00E55B1F">
      <w:pPr>
        <w:spacing w:line="276" w:lineRule="auto"/>
        <w:contextualSpacing/>
        <w:jc w:val="both"/>
        <w:rPr>
          <w:rFonts w:ascii="Arial" w:eastAsia="Calibri" w:hAnsi="Arial" w:cs="Arial"/>
          <w:sz w:val="22"/>
          <w:szCs w:val="22"/>
        </w:rPr>
      </w:pPr>
      <w:r w:rsidRPr="00416C3A">
        <w:rPr>
          <w:rFonts w:ascii="Arial" w:eastAsia="Calibri" w:hAnsi="Arial" w:cs="Arial"/>
          <w:sz w:val="22"/>
          <w:szCs w:val="22"/>
        </w:rPr>
        <w:t>Este concepto tiene el alcance previsto en el artículo 28 del Código de Procedimiento Administrativo y de lo Contencioso Administrativo.</w:t>
      </w:r>
    </w:p>
    <w:p w14:paraId="3F1E7DB9" w14:textId="77777777" w:rsidR="00DF3130" w:rsidRPr="00416C3A" w:rsidRDefault="00DF3130" w:rsidP="00550397">
      <w:pPr>
        <w:spacing w:line="276" w:lineRule="auto"/>
        <w:contextualSpacing/>
        <w:jc w:val="both"/>
        <w:rPr>
          <w:rFonts w:ascii="Arial" w:eastAsia="Calibri" w:hAnsi="Arial" w:cs="Arial"/>
          <w:sz w:val="22"/>
          <w:szCs w:val="22"/>
        </w:rPr>
      </w:pPr>
    </w:p>
    <w:p w14:paraId="3614917F" w14:textId="5F6668BE" w:rsidR="0015100A" w:rsidRPr="00416C3A" w:rsidRDefault="00DF3130" w:rsidP="00690EF6">
      <w:pPr>
        <w:spacing w:line="276" w:lineRule="auto"/>
        <w:contextualSpacing/>
        <w:jc w:val="both"/>
        <w:rPr>
          <w:rFonts w:ascii="Arial" w:hAnsi="Arial" w:cs="Arial"/>
          <w:sz w:val="22"/>
          <w:szCs w:val="22"/>
          <w:lang w:eastAsia="es-CO"/>
        </w:rPr>
      </w:pPr>
      <w:r w:rsidRPr="00416C3A">
        <w:rPr>
          <w:rFonts w:ascii="Arial" w:hAnsi="Arial" w:cs="Arial"/>
          <w:sz w:val="22"/>
          <w:szCs w:val="22"/>
          <w:lang w:eastAsia="es-CO"/>
        </w:rPr>
        <w:t>Atentamente,</w:t>
      </w:r>
    </w:p>
    <w:p w14:paraId="14A31D7B" w14:textId="11BAEC6B" w:rsidR="00690EF6" w:rsidRPr="00CB3615" w:rsidRDefault="00547D10" w:rsidP="00690EF6">
      <w:pPr>
        <w:jc w:val="center"/>
        <w:rPr>
          <w:rFonts w:ascii="Arial" w:hAnsi="Arial" w:cs="Arial"/>
          <w:lang w:eastAsia="es-CO"/>
        </w:rPr>
      </w:pPr>
      <w:r>
        <w:rPr>
          <w:noProof/>
        </w:rPr>
        <w:drawing>
          <wp:inline distT="0" distB="0" distL="0" distR="0" wp14:anchorId="4B0C73B3" wp14:editId="37BF880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50AEAE02" w14:textId="77777777" w:rsidR="00690EF6" w:rsidRPr="00CB3615" w:rsidRDefault="00690EF6" w:rsidP="00690EF6">
      <w:pPr>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690EF6" w:rsidRPr="005A482A" w14:paraId="134B8233" w14:textId="77777777" w:rsidTr="00471D97">
        <w:trPr>
          <w:trHeight w:val="291"/>
        </w:trPr>
        <w:tc>
          <w:tcPr>
            <w:tcW w:w="1266" w:type="dxa"/>
            <w:vAlign w:val="center"/>
            <w:hideMark/>
          </w:tcPr>
          <w:p w14:paraId="585650A7"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Elaboró:</w:t>
            </w:r>
          </w:p>
        </w:tc>
        <w:tc>
          <w:tcPr>
            <w:tcW w:w="5276" w:type="dxa"/>
            <w:tcBorders>
              <w:top w:val="nil"/>
              <w:left w:val="nil"/>
              <w:bottom w:val="dotted" w:sz="4" w:space="0" w:color="7F7F7F"/>
              <w:right w:val="nil"/>
            </w:tcBorders>
            <w:vAlign w:val="center"/>
            <w:hideMark/>
          </w:tcPr>
          <w:p w14:paraId="0260ECEA"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Felipe Bastidas Paredes</w:t>
            </w:r>
          </w:p>
          <w:p w14:paraId="5B6D831B"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Contratista de la Subdirección de Gestión Contractual</w:t>
            </w:r>
          </w:p>
        </w:tc>
      </w:tr>
      <w:tr w:rsidR="00690EF6" w:rsidRPr="005A482A" w14:paraId="16DE4BC7" w14:textId="77777777" w:rsidTr="00471D97">
        <w:trPr>
          <w:trHeight w:val="304"/>
        </w:trPr>
        <w:tc>
          <w:tcPr>
            <w:tcW w:w="1266" w:type="dxa"/>
            <w:vAlign w:val="center"/>
          </w:tcPr>
          <w:p w14:paraId="52CE8B69"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58C70D6A" w14:textId="10BD0557" w:rsidR="00690EF6" w:rsidRPr="00056F26" w:rsidRDefault="00BA5597" w:rsidP="00471D97">
            <w:pPr>
              <w:spacing w:line="276" w:lineRule="auto"/>
              <w:rPr>
                <w:rFonts w:ascii="Arial" w:hAnsi="Arial" w:cs="Arial"/>
                <w:sz w:val="16"/>
                <w:szCs w:val="16"/>
                <w:lang w:eastAsia="es-ES"/>
              </w:rPr>
            </w:pPr>
            <w:r>
              <w:rPr>
                <w:rFonts w:ascii="Arial" w:hAnsi="Arial" w:cs="Arial"/>
                <w:sz w:val="16"/>
                <w:szCs w:val="16"/>
                <w:lang w:eastAsia="es-ES"/>
              </w:rPr>
              <w:t>Nathalia Urrego Jiménez</w:t>
            </w:r>
          </w:p>
          <w:p w14:paraId="675A8647"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 xml:space="preserve">Contratista de la Subdirección de Gestión Contractual </w:t>
            </w:r>
          </w:p>
        </w:tc>
      </w:tr>
      <w:tr w:rsidR="00690EF6" w:rsidRPr="005A482A" w14:paraId="400D0541" w14:textId="77777777" w:rsidTr="00471D97">
        <w:trPr>
          <w:trHeight w:val="277"/>
        </w:trPr>
        <w:tc>
          <w:tcPr>
            <w:tcW w:w="1266" w:type="dxa"/>
            <w:vAlign w:val="center"/>
            <w:hideMark/>
          </w:tcPr>
          <w:p w14:paraId="690DE00A" w14:textId="77777777"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5458DC2A" w14:textId="3E828AB6" w:rsidR="00690EF6" w:rsidRPr="00056F26" w:rsidRDefault="00465256" w:rsidP="00471D97">
            <w:pPr>
              <w:spacing w:line="276" w:lineRule="auto"/>
              <w:rPr>
                <w:rFonts w:ascii="Arial" w:hAnsi="Arial" w:cs="Arial"/>
                <w:sz w:val="16"/>
                <w:szCs w:val="16"/>
                <w:lang w:eastAsia="es-ES"/>
              </w:rPr>
            </w:pPr>
            <w:r>
              <w:rPr>
                <w:rFonts w:ascii="Arial" w:hAnsi="Arial" w:cs="Arial"/>
                <w:sz w:val="16"/>
                <w:szCs w:val="16"/>
                <w:lang w:eastAsia="es-ES"/>
              </w:rPr>
              <w:t>Nohelia del Carmen Zawady Palacio</w:t>
            </w:r>
          </w:p>
          <w:p w14:paraId="70030CC0" w14:textId="3110331F" w:rsidR="00690EF6" w:rsidRPr="00056F26" w:rsidRDefault="00690EF6" w:rsidP="00471D97">
            <w:pPr>
              <w:spacing w:line="276" w:lineRule="auto"/>
              <w:rPr>
                <w:rFonts w:ascii="Arial" w:hAnsi="Arial" w:cs="Arial"/>
                <w:sz w:val="16"/>
                <w:szCs w:val="16"/>
                <w:lang w:eastAsia="es-ES"/>
              </w:rPr>
            </w:pPr>
            <w:r w:rsidRPr="00056F26">
              <w:rPr>
                <w:rFonts w:ascii="Arial" w:hAnsi="Arial" w:cs="Arial"/>
                <w:sz w:val="16"/>
                <w:szCs w:val="16"/>
                <w:lang w:eastAsia="es-ES"/>
              </w:rPr>
              <w:t>Subdirector</w:t>
            </w:r>
            <w:r w:rsidR="00BA5597">
              <w:rPr>
                <w:rFonts w:ascii="Arial" w:hAnsi="Arial" w:cs="Arial"/>
                <w:sz w:val="16"/>
                <w:szCs w:val="16"/>
                <w:lang w:eastAsia="es-ES"/>
              </w:rPr>
              <w:t>a</w:t>
            </w:r>
            <w:r w:rsidRPr="00056F26">
              <w:rPr>
                <w:rFonts w:ascii="Arial" w:hAnsi="Arial" w:cs="Arial"/>
                <w:sz w:val="16"/>
                <w:szCs w:val="16"/>
                <w:lang w:eastAsia="es-ES"/>
              </w:rPr>
              <w:t xml:space="preserve"> de Gestión Contractual </w:t>
            </w:r>
          </w:p>
        </w:tc>
      </w:tr>
    </w:tbl>
    <w:p w14:paraId="49D4532E" w14:textId="7187FB04" w:rsidR="00560087" w:rsidRDefault="00560087" w:rsidP="00550397">
      <w:pPr>
        <w:spacing w:after="120" w:line="276" w:lineRule="auto"/>
        <w:jc w:val="both"/>
      </w:pPr>
    </w:p>
    <w:sectPr w:rsidR="00560087"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EC95" w14:textId="77777777" w:rsidR="0079753E" w:rsidRDefault="0079753E" w:rsidP="003C7067">
      <w:r>
        <w:separator/>
      </w:r>
    </w:p>
  </w:endnote>
  <w:endnote w:type="continuationSeparator" w:id="0">
    <w:p w14:paraId="07124AC9" w14:textId="77777777" w:rsidR="0079753E" w:rsidRDefault="0079753E" w:rsidP="003C7067">
      <w:r>
        <w:continuationSeparator/>
      </w:r>
    </w:p>
  </w:endnote>
  <w:endnote w:type="continuationNotice" w:id="1">
    <w:p w14:paraId="1EA7700B" w14:textId="77777777" w:rsidR="002052A6" w:rsidRDefault="00205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pitch w:val="variable"/>
    <w:sig w:usb0="A000002F" w:usb1="1000004A" w:usb2="00000000" w:usb3="00000000" w:csb0="000001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471D9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870E" w14:textId="77777777" w:rsidR="0079753E" w:rsidRDefault="0079753E" w:rsidP="003C7067">
      <w:r>
        <w:separator/>
      </w:r>
    </w:p>
  </w:footnote>
  <w:footnote w:type="continuationSeparator" w:id="0">
    <w:p w14:paraId="62F5AFA7" w14:textId="77777777" w:rsidR="0079753E" w:rsidRDefault="0079753E" w:rsidP="003C7067">
      <w:r>
        <w:continuationSeparator/>
      </w:r>
    </w:p>
  </w:footnote>
  <w:footnote w:type="continuationNotice" w:id="1">
    <w:p w14:paraId="52F79308" w14:textId="77777777" w:rsidR="002052A6" w:rsidRDefault="002052A6"/>
  </w:footnote>
  <w:footnote w:id="2">
    <w:p w14:paraId="2F0B4265" w14:textId="77777777" w:rsidR="00EF2C3C" w:rsidRPr="00350925" w:rsidRDefault="00EF2C3C"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50925">
        <w:rPr>
          <w:rFonts w:ascii="Arial" w:hAnsi="Arial" w:cs="Arial"/>
          <w:i/>
          <w:iCs/>
          <w:sz w:val="19"/>
          <w:szCs w:val="19"/>
        </w:rPr>
        <w:t xml:space="preserve">ibidem </w:t>
      </w:r>
      <w:r w:rsidRPr="0035092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C978012"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hAnsi="Arial" w:cs="Arial"/>
          <w:sz w:val="19"/>
          <w:szCs w:val="19"/>
        </w:rPr>
        <w:tab/>
      </w: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350925">
        <w:rPr>
          <w:rFonts w:ascii="Arial" w:eastAsia="Calibri" w:hAnsi="Arial" w:cs="Arial"/>
          <w:bCs/>
          <w:i/>
          <w:iCs/>
          <w:sz w:val="19"/>
          <w:szCs w:val="19"/>
        </w:rPr>
        <w:t>no serán de obligatorio cumplimiento o ejecución</w:t>
      </w:r>
      <w:r w:rsidRPr="00350925">
        <w:rPr>
          <w:rFonts w:ascii="Arial" w:eastAsia="Calibri" w:hAnsi="Arial" w:cs="Arial"/>
          <w:bCs/>
          <w:sz w:val="19"/>
          <w:szCs w:val="19"/>
        </w:rPr>
        <w:t xml:space="preserve">. De este mandato surgen las siguientes consideraciones: </w:t>
      </w:r>
    </w:p>
    <w:p w14:paraId="3B192C00"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eastAsia="Calibri" w:hAnsi="Arial" w:cs="Arial"/>
          <w:bCs/>
          <w:sz w:val="19"/>
          <w:szCs w:val="19"/>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eastAsia="Calibri" w:hAnsi="Arial" w:cs="Arial"/>
          <w:bCs/>
          <w:sz w:val="19"/>
          <w:szCs w:val="19"/>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4146FE5" w14:textId="77777777" w:rsidR="00DF3130" w:rsidRPr="00350925" w:rsidRDefault="00DF3130" w:rsidP="00864EB6">
      <w:pPr>
        <w:pStyle w:val="Textonotapie"/>
        <w:ind w:firstLine="708"/>
        <w:jc w:val="both"/>
        <w:rPr>
          <w:rFonts w:ascii="Arial" w:hAnsi="Arial" w:cs="Arial"/>
          <w:sz w:val="19"/>
          <w:szCs w:val="19"/>
        </w:rPr>
      </w:pPr>
      <w:r w:rsidRPr="00350925">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350925">
        <w:rPr>
          <w:rFonts w:ascii="Arial" w:hAnsi="Arial" w:cs="Arial"/>
          <w:sz w:val="19"/>
          <w:szCs w:val="19"/>
        </w:rPr>
        <w:t>ARBOLEDA PERDOMO, Enrique José. Comentarios al Nuevo Código de Procedimiento Administrativo y de lo Contencioso Administrativo (2ª ed.). Editorial Legis. Bogotá. 2012. p.59.</w:t>
      </w:r>
    </w:p>
    <w:p w14:paraId="3F157710" w14:textId="77777777" w:rsidR="00DF3130" w:rsidRPr="00350925" w:rsidRDefault="00DF3130" w:rsidP="00864EB6">
      <w:pPr>
        <w:pStyle w:val="Textonotapie"/>
        <w:ind w:firstLine="708"/>
        <w:jc w:val="both"/>
        <w:rPr>
          <w:rFonts w:ascii="Arial" w:eastAsia="Calibri" w:hAnsi="Arial" w:cs="Arial"/>
          <w:bCs/>
          <w:sz w:val="19"/>
          <w:szCs w:val="19"/>
          <w:lang w:val="es-CO"/>
        </w:rPr>
      </w:pPr>
    </w:p>
  </w:footnote>
  <w:footnote w:id="4">
    <w:p w14:paraId="3859B9B3" w14:textId="77777777" w:rsidR="00244D23" w:rsidRPr="00350925" w:rsidRDefault="00244D23" w:rsidP="00864EB6">
      <w:pPr>
        <w:ind w:firstLine="707"/>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position w:val="6"/>
          <w:sz w:val="19"/>
          <w:szCs w:val="19"/>
        </w:rPr>
        <w:t xml:space="preserve"> </w:t>
      </w:r>
      <w:r w:rsidRPr="00350925">
        <w:rPr>
          <w:rFonts w:ascii="Arial" w:hAnsi="Arial" w:cs="Arial"/>
          <w:sz w:val="19"/>
          <w:szCs w:val="19"/>
        </w:rPr>
        <w:t>DEIK ACOSTAMADIEDO, Carolina, Guía de Contratación Estatal: Deber de planeación y modalidades de selección, Buenos Aires, 2015, p. 59.</w:t>
      </w:r>
    </w:p>
    <w:p w14:paraId="6535E995" w14:textId="77777777" w:rsidR="00244D23" w:rsidRPr="00350925" w:rsidRDefault="00244D23" w:rsidP="00864EB6">
      <w:pPr>
        <w:pStyle w:val="Textonotapie"/>
        <w:jc w:val="both"/>
        <w:rPr>
          <w:rFonts w:ascii="Arial" w:hAnsi="Arial" w:cs="Arial"/>
          <w:sz w:val="19"/>
          <w:szCs w:val="19"/>
        </w:rPr>
      </w:pPr>
    </w:p>
  </w:footnote>
  <w:footnote w:id="5">
    <w:p w14:paraId="1780D046" w14:textId="77777777" w:rsidR="004E0591" w:rsidRPr="00350925" w:rsidRDefault="004E0591"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AGENCIA NACIONAL DE CONTRATACIÓN PÚBLICA – COLOMBIA COMPRA EFICIENTE. </w:t>
      </w:r>
      <w:r w:rsidRPr="00350925">
        <w:rPr>
          <w:rFonts w:ascii="Arial" w:eastAsia="Calibri" w:hAnsi="Arial" w:cs="Arial"/>
          <w:bCs/>
          <w:sz w:val="19"/>
          <w:szCs w:val="19"/>
          <w:lang w:val="es-ES_tradnl" w:eastAsia="es-ES_tradnl"/>
        </w:rPr>
        <w:t>Guía de elaboración de estudios del sector</w:t>
      </w:r>
      <w:r w:rsidRPr="00350925">
        <w:rPr>
          <w:rFonts w:ascii="Arial" w:hAnsi="Arial" w:cs="Arial"/>
          <w:sz w:val="19"/>
          <w:szCs w:val="19"/>
        </w:rPr>
        <w:t xml:space="preserve">. Disponible en: </w:t>
      </w:r>
      <w:hyperlink r:id="rId1" w:history="1">
        <w:r w:rsidRPr="00350925">
          <w:rPr>
            <w:rStyle w:val="Hipervnculo"/>
            <w:rFonts w:ascii="Arial" w:hAnsi="Arial" w:cs="Arial"/>
            <w:sz w:val="19"/>
            <w:szCs w:val="19"/>
          </w:rPr>
          <w:t>https://www.colombiacompra.gov.co/manuales-guias-y-pliegos-tipo/manuales-y-guias</w:t>
        </w:r>
      </w:hyperlink>
      <w:r w:rsidRPr="00350925">
        <w:rPr>
          <w:rFonts w:ascii="Arial" w:hAnsi="Arial" w:cs="Arial"/>
          <w:sz w:val="19"/>
          <w:szCs w:val="19"/>
        </w:rPr>
        <w:t xml:space="preserve">. </w:t>
      </w:r>
    </w:p>
    <w:p w14:paraId="43C2DDE7" w14:textId="77777777" w:rsidR="004E0591" w:rsidRPr="00350925" w:rsidRDefault="004E0591" w:rsidP="00864EB6">
      <w:pPr>
        <w:pStyle w:val="Textonotapie"/>
        <w:ind w:firstLine="708"/>
        <w:jc w:val="both"/>
        <w:rPr>
          <w:rFonts w:ascii="Arial" w:hAnsi="Arial" w:cs="Arial"/>
          <w:sz w:val="19"/>
          <w:szCs w:val="19"/>
          <w:lang w:val="es-CO"/>
        </w:rPr>
      </w:pPr>
    </w:p>
  </w:footnote>
  <w:footnote w:id="6">
    <w:p w14:paraId="0F5F60C6" w14:textId="77777777" w:rsidR="007156F4" w:rsidRPr="00350925" w:rsidRDefault="007156F4" w:rsidP="00864EB6">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Ibid.</w:t>
      </w:r>
    </w:p>
  </w:footnote>
  <w:footnote w:id="7">
    <w:p w14:paraId="150855C6" w14:textId="77777777" w:rsidR="00B12676" w:rsidRPr="00350925" w:rsidRDefault="00B12676"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Diccionario de la Lengua Española.</w:t>
      </w:r>
    </w:p>
    <w:p w14:paraId="7BCF3CF5" w14:textId="77777777" w:rsidR="00B12676" w:rsidRPr="00350925" w:rsidRDefault="00B12676" w:rsidP="00864EB6">
      <w:pPr>
        <w:pStyle w:val="Textonotapie"/>
        <w:jc w:val="both"/>
        <w:rPr>
          <w:rFonts w:ascii="Arial" w:hAnsi="Arial" w:cs="Arial"/>
          <w:sz w:val="19"/>
          <w:szCs w:val="19"/>
        </w:rPr>
      </w:pPr>
      <w:r w:rsidRPr="00350925">
        <w:rPr>
          <w:rFonts w:ascii="Arial" w:hAnsi="Arial" w:cs="Arial"/>
          <w:sz w:val="19"/>
          <w:szCs w:val="19"/>
        </w:rPr>
        <w:t xml:space="preserve"> </w:t>
      </w:r>
    </w:p>
  </w:footnote>
  <w:footnote w:id="8">
    <w:p w14:paraId="58626D67" w14:textId="52D363A8" w:rsidR="00B12676" w:rsidRPr="00350925" w:rsidRDefault="00B12676"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007156F4" w:rsidRPr="00350925">
        <w:rPr>
          <w:rFonts w:ascii="Arial" w:hAnsi="Arial" w:cs="Arial"/>
          <w:sz w:val="19"/>
          <w:szCs w:val="19"/>
          <w:lang w:val="es-ES"/>
        </w:rPr>
        <w:t>MARÍN CORTÉS, Fabián. El precio. Serie: Las cláusulas del contrato estatal. Medellín: Librería Jurídica Sánchez y Centro de Estudios de Derecho Administrativo –CEDA–, 2012.</w:t>
      </w:r>
      <w:r w:rsidRPr="00350925">
        <w:rPr>
          <w:rFonts w:ascii="Arial" w:hAnsi="Arial" w:cs="Arial"/>
          <w:sz w:val="19"/>
          <w:szCs w:val="19"/>
          <w:lang w:val="es-ES"/>
        </w:rPr>
        <w:t xml:space="preserve"> p. 60. </w:t>
      </w:r>
    </w:p>
  </w:footnote>
  <w:footnote w:id="9">
    <w:p w14:paraId="530BDF8F" w14:textId="77777777" w:rsidR="00B12676" w:rsidRPr="00350925" w:rsidRDefault="00B12676" w:rsidP="00864EB6">
      <w:pPr>
        <w:pStyle w:val="Textonotapie"/>
        <w:jc w:val="both"/>
        <w:rPr>
          <w:rFonts w:ascii="Arial" w:hAnsi="Arial" w:cs="Arial"/>
          <w:sz w:val="19"/>
          <w:szCs w:val="19"/>
          <w:lang w:val="es-ES"/>
        </w:rPr>
      </w:pPr>
    </w:p>
    <w:p w14:paraId="098C544F" w14:textId="267B8081" w:rsidR="00B12676" w:rsidRPr="00350925" w:rsidRDefault="00B12676"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Consejo de Estado, Sección Tercera, Subsección A</w:t>
      </w:r>
      <w:r w:rsidR="007156F4" w:rsidRPr="00350925">
        <w:rPr>
          <w:rFonts w:ascii="Arial" w:hAnsi="Arial" w:cs="Arial"/>
          <w:sz w:val="19"/>
          <w:szCs w:val="19"/>
          <w:lang w:val="es-ES"/>
        </w:rPr>
        <w:t>.</w:t>
      </w:r>
      <w:r w:rsidRPr="00350925">
        <w:rPr>
          <w:rFonts w:ascii="Arial" w:hAnsi="Arial" w:cs="Arial"/>
          <w:sz w:val="19"/>
          <w:szCs w:val="19"/>
          <w:lang w:val="es-ES"/>
        </w:rPr>
        <w:t xml:space="preserve"> </w:t>
      </w:r>
      <w:r w:rsidR="007156F4" w:rsidRPr="00350925">
        <w:rPr>
          <w:rFonts w:ascii="Arial" w:hAnsi="Arial" w:cs="Arial"/>
          <w:sz w:val="19"/>
          <w:szCs w:val="19"/>
          <w:lang w:val="es-ES"/>
        </w:rPr>
        <w:t>S</w:t>
      </w:r>
      <w:r w:rsidRPr="00350925">
        <w:rPr>
          <w:rFonts w:ascii="Arial" w:hAnsi="Arial" w:cs="Arial"/>
          <w:sz w:val="19"/>
          <w:szCs w:val="19"/>
          <w:lang w:val="es-ES"/>
        </w:rPr>
        <w:t>entencia de 19 de julio de 2018, M.P. Marta Nubia Velázquez Rico, Rad. 2013-01826</w:t>
      </w:r>
      <w:r w:rsidR="007156F4" w:rsidRPr="00350925">
        <w:rPr>
          <w:rFonts w:ascii="Arial" w:hAnsi="Arial" w:cs="Arial"/>
          <w:sz w:val="19"/>
          <w:szCs w:val="19"/>
          <w:lang w:val="es-ES"/>
        </w:rPr>
        <w:t xml:space="preserve"> </w:t>
      </w:r>
      <w:r w:rsidRPr="00350925">
        <w:rPr>
          <w:rFonts w:ascii="Arial" w:hAnsi="Arial" w:cs="Arial"/>
          <w:sz w:val="19"/>
          <w:szCs w:val="19"/>
          <w:lang w:val="es-ES"/>
        </w:rPr>
        <w:t>(57.576)</w:t>
      </w:r>
      <w:r w:rsidRPr="00350925">
        <w:rPr>
          <w:rFonts w:ascii="Arial" w:hAnsi="Arial" w:cs="Arial"/>
          <w:sz w:val="19"/>
          <w:szCs w:val="19"/>
        </w:rPr>
        <w:t xml:space="preserve"> </w:t>
      </w:r>
    </w:p>
    <w:p w14:paraId="678B08A1" w14:textId="77777777" w:rsidR="00B12676" w:rsidRPr="00350925" w:rsidRDefault="00B12676" w:rsidP="00864EB6">
      <w:pPr>
        <w:pStyle w:val="Textonotapie"/>
        <w:ind w:firstLine="708"/>
        <w:jc w:val="both"/>
        <w:rPr>
          <w:rFonts w:ascii="Arial" w:hAnsi="Arial" w:cs="Arial"/>
          <w:sz w:val="19"/>
          <w:szCs w:val="19"/>
        </w:rPr>
      </w:pPr>
    </w:p>
  </w:footnote>
  <w:footnote w:id="10">
    <w:p w14:paraId="5BD6EF97" w14:textId="77777777" w:rsidR="00B12676" w:rsidRPr="00350925" w:rsidRDefault="00B12676" w:rsidP="00864EB6">
      <w:pPr>
        <w:pStyle w:val="Textonotapie"/>
        <w:ind w:firstLine="709"/>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5FB24B4C" w14:textId="30196FC7" w:rsidR="00B12676" w:rsidRPr="00350925" w:rsidRDefault="00B12676" w:rsidP="00864EB6">
      <w:pPr>
        <w:pStyle w:val="Textonotapie"/>
        <w:ind w:firstLine="709"/>
        <w:jc w:val="both"/>
        <w:rPr>
          <w:rFonts w:ascii="Arial" w:hAnsi="Arial" w:cs="Arial"/>
          <w:sz w:val="19"/>
          <w:szCs w:val="19"/>
          <w:lang w:val="es-ES"/>
        </w:rPr>
      </w:pPr>
      <w:r w:rsidRPr="0035092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350925">
        <w:rPr>
          <w:rFonts w:ascii="Arial" w:hAnsi="Arial" w:cs="Arial"/>
          <w:i/>
          <w:iCs/>
          <w:sz w:val="19"/>
          <w:szCs w:val="19"/>
          <w:lang w:val="es-ES"/>
        </w:rPr>
        <w:t>costos directos</w:t>
      </w:r>
      <w:r w:rsidRPr="00350925">
        <w:rPr>
          <w:rFonts w:ascii="Arial" w:hAnsi="Arial" w:cs="Arial"/>
          <w:sz w:val="19"/>
          <w:szCs w:val="19"/>
          <w:lang w:val="es-ES"/>
        </w:rPr>
        <w:t xml:space="preserve"> y los</w:t>
      </w:r>
      <w:r w:rsidRPr="00350925">
        <w:rPr>
          <w:rFonts w:ascii="Arial" w:hAnsi="Arial" w:cs="Arial"/>
          <w:i/>
          <w:iCs/>
          <w:sz w:val="19"/>
          <w:szCs w:val="19"/>
          <w:lang w:val="es-ES"/>
        </w:rPr>
        <w:t xml:space="preserve"> costos indirectos</w:t>
      </w:r>
      <w:r w:rsidRPr="0035092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350925">
        <w:rPr>
          <w:rFonts w:ascii="Arial" w:hAnsi="Arial" w:cs="Arial"/>
          <w:i/>
          <w:iCs/>
          <w:sz w:val="19"/>
          <w:szCs w:val="19"/>
          <w:lang w:val="es-ES"/>
        </w:rPr>
        <w:t>ítems</w:t>
      </w:r>
      <w:r w:rsidRPr="00350925">
        <w:rPr>
          <w:rFonts w:ascii="Arial" w:hAnsi="Arial" w:cs="Arial"/>
          <w:sz w:val="19"/>
          <w:szCs w:val="19"/>
          <w:lang w:val="es-ES"/>
        </w:rPr>
        <w:t xml:space="preserve"> que componen el contrato–. Los costos </w:t>
      </w:r>
      <w:r w:rsidRPr="00350925">
        <w:rPr>
          <w:rFonts w:ascii="Arial" w:hAnsi="Arial" w:cs="Arial"/>
          <w:i/>
          <w:iCs/>
          <w:sz w:val="19"/>
          <w:szCs w:val="19"/>
          <w:lang w:val="es-ES"/>
        </w:rPr>
        <w:t>indirectos</w:t>
      </w:r>
      <w:r w:rsidRPr="0035092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w:t>
      </w:r>
      <w:r w:rsidR="007156F4" w:rsidRPr="00350925">
        <w:rPr>
          <w:rFonts w:ascii="Arial" w:hAnsi="Arial" w:cs="Arial"/>
          <w:sz w:val="19"/>
          <w:szCs w:val="19"/>
          <w:lang w:val="es-ES"/>
        </w:rPr>
        <w:t>Op. Cit.,</w:t>
      </w:r>
      <w:r w:rsidRPr="00350925">
        <w:rPr>
          <w:rFonts w:ascii="Arial" w:hAnsi="Arial" w:cs="Arial"/>
          <w:sz w:val="19"/>
          <w:szCs w:val="19"/>
          <w:lang w:val="es-ES"/>
        </w:rPr>
        <w:t xml:space="preserve"> pp. 63-64).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8240"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FA1011" w14:paraId="5ED9DEE1" w14:textId="77777777" w:rsidTr="00471D97">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391852140">
    <w:abstractNumId w:val="3"/>
  </w:num>
  <w:num w:numId="2" w16cid:durableId="1136996543">
    <w:abstractNumId w:val="8"/>
  </w:num>
  <w:num w:numId="3" w16cid:durableId="823662675">
    <w:abstractNumId w:val="2"/>
  </w:num>
  <w:num w:numId="4" w16cid:durableId="172494692">
    <w:abstractNumId w:val="4"/>
  </w:num>
  <w:num w:numId="5" w16cid:durableId="594287964">
    <w:abstractNumId w:val="6"/>
  </w:num>
  <w:num w:numId="6" w16cid:durableId="1706295874">
    <w:abstractNumId w:val="0"/>
  </w:num>
  <w:num w:numId="7" w16cid:durableId="2079014932">
    <w:abstractNumId w:val="1"/>
  </w:num>
  <w:num w:numId="8" w16cid:durableId="1120564941">
    <w:abstractNumId w:val="7"/>
  </w:num>
  <w:num w:numId="9" w16cid:durableId="1659725356">
    <w:abstractNumId w:val="5"/>
  </w:num>
  <w:num w:numId="10" w16cid:durableId="883563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160CE"/>
    <w:rsid w:val="00027E00"/>
    <w:rsid w:val="00034765"/>
    <w:rsid w:val="00034F93"/>
    <w:rsid w:val="000409C9"/>
    <w:rsid w:val="00041D4B"/>
    <w:rsid w:val="0004470C"/>
    <w:rsid w:val="00047939"/>
    <w:rsid w:val="00051DF9"/>
    <w:rsid w:val="00061670"/>
    <w:rsid w:val="00063E22"/>
    <w:rsid w:val="00064617"/>
    <w:rsid w:val="00066403"/>
    <w:rsid w:val="000714BA"/>
    <w:rsid w:val="000757C6"/>
    <w:rsid w:val="000770A6"/>
    <w:rsid w:val="00081366"/>
    <w:rsid w:val="000815BD"/>
    <w:rsid w:val="000815F9"/>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41FF"/>
    <w:rsid w:val="000D0228"/>
    <w:rsid w:val="000D17CE"/>
    <w:rsid w:val="000D31AF"/>
    <w:rsid w:val="000E22E1"/>
    <w:rsid w:val="000E4BCC"/>
    <w:rsid w:val="000E633A"/>
    <w:rsid w:val="000E6606"/>
    <w:rsid w:val="000F1274"/>
    <w:rsid w:val="000F16C3"/>
    <w:rsid w:val="000F20D6"/>
    <w:rsid w:val="000F322D"/>
    <w:rsid w:val="000F416D"/>
    <w:rsid w:val="001005DA"/>
    <w:rsid w:val="0010115C"/>
    <w:rsid w:val="0010340C"/>
    <w:rsid w:val="00103ECD"/>
    <w:rsid w:val="001048AE"/>
    <w:rsid w:val="00110547"/>
    <w:rsid w:val="001221E5"/>
    <w:rsid w:val="00122D5C"/>
    <w:rsid w:val="0012523E"/>
    <w:rsid w:val="0014048E"/>
    <w:rsid w:val="00140BF5"/>
    <w:rsid w:val="0014294A"/>
    <w:rsid w:val="00142D40"/>
    <w:rsid w:val="0014312B"/>
    <w:rsid w:val="00145CEA"/>
    <w:rsid w:val="00146B95"/>
    <w:rsid w:val="0015100A"/>
    <w:rsid w:val="001542F1"/>
    <w:rsid w:val="00155176"/>
    <w:rsid w:val="00155A6A"/>
    <w:rsid w:val="00156332"/>
    <w:rsid w:val="00156426"/>
    <w:rsid w:val="00160EA4"/>
    <w:rsid w:val="0016321F"/>
    <w:rsid w:val="00166895"/>
    <w:rsid w:val="001717F3"/>
    <w:rsid w:val="00172E23"/>
    <w:rsid w:val="0017361B"/>
    <w:rsid w:val="00181D50"/>
    <w:rsid w:val="00192273"/>
    <w:rsid w:val="0019286E"/>
    <w:rsid w:val="0019347C"/>
    <w:rsid w:val="00193B5F"/>
    <w:rsid w:val="0019577D"/>
    <w:rsid w:val="00196387"/>
    <w:rsid w:val="00197239"/>
    <w:rsid w:val="001973D3"/>
    <w:rsid w:val="001A1FE0"/>
    <w:rsid w:val="001A3646"/>
    <w:rsid w:val="001A7515"/>
    <w:rsid w:val="001B1ED3"/>
    <w:rsid w:val="001B5043"/>
    <w:rsid w:val="001C0BA2"/>
    <w:rsid w:val="001C7F1C"/>
    <w:rsid w:val="001D014E"/>
    <w:rsid w:val="001D0424"/>
    <w:rsid w:val="001D169F"/>
    <w:rsid w:val="001D55F0"/>
    <w:rsid w:val="001D579D"/>
    <w:rsid w:val="001E00A3"/>
    <w:rsid w:val="001E0D8E"/>
    <w:rsid w:val="001E3285"/>
    <w:rsid w:val="001E51C7"/>
    <w:rsid w:val="001E55F8"/>
    <w:rsid w:val="001F0BA1"/>
    <w:rsid w:val="001F1036"/>
    <w:rsid w:val="001F21CD"/>
    <w:rsid w:val="001F2FE7"/>
    <w:rsid w:val="001F4A87"/>
    <w:rsid w:val="002052A6"/>
    <w:rsid w:val="0020666F"/>
    <w:rsid w:val="00206E4E"/>
    <w:rsid w:val="0022027A"/>
    <w:rsid w:val="002203D9"/>
    <w:rsid w:val="00222FE7"/>
    <w:rsid w:val="0023114E"/>
    <w:rsid w:val="00234C96"/>
    <w:rsid w:val="00236169"/>
    <w:rsid w:val="002370E0"/>
    <w:rsid w:val="002410B7"/>
    <w:rsid w:val="00244285"/>
    <w:rsid w:val="00244D23"/>
    <w:rsid w:val="00247860"/>
    <w:rsid w:val="00252E64"/>
    <w:rsid w:val="002546FB"/>
    <w:rsid w:val="0025667C"/>
    <w:rsid w:val="002621C0"/>
    <w:rsid w:val="0026380C"/>
    <w:rsid w:val="002650A2"/>
    <w:rsid w:val="00266469"/>
    <w:rsid w:val="00266CCA"/>
    <w:rsid w:val="00267994"/>
    <w:rsid w:val="002703E1"/>
    <w:rsid w:val="00273DB1"/>
    <w:rsid w:val="00274FF8"/>
    <w:rsid w:val="00276E87"/>
    <w:rsid w:val="00276F1D"/>
    <w:rsid w:val="0027789E"/>
    <w:rsid w:val="002835D0"/>
    <w:rsid w:val="0028433E"/>
    <w:rsid w:val="00290872"/>
    <w:rsid w:val="00292A75"/>
    <w:rsid w:val="00294A56"/>
    <w:rsid w:val="00296FD7"/>
    <w:rsid w:val="002A092A"/>
    <w:rsid w:val="002A4910"/>
    <w:rsid w:val="002A75C7"/>
    <w:rsid w:val="002B2085"/>
    <w:rsid w:val="002B5D94"/>
    <w:rsid w:val="002B6EDD"/>
    <w:rsid w:val="002C18C8"/>
    <w:rsid w:val="002C3DC8"/>
    <w:rsid w:val="002D55E0"/>
    <w:rsid w:val="002D6662"/>
    <w:rsid w:val="002D6DB8"/>
    <w:rsid w:val="002D7CBD"/>
    <w:rsid w:val="002E0539"/>
    <w:rsid w:val="002E4878"/>
    <w:rsid w:val="002F1D1C"/>
    <w:rsid w:val="002F339A"/>
    <w:rsid w:val="002F3B48"/>
    <w:rsid w:val="002F5437"/>
    <w:rsid w:val="003015F0"/>
    <w:rsid w:val="00303F37"/>
    <w:rsid w:val="00305DDD"/>
    <w:rsid w:val="00307D38"/>
    <w:rsid w:val="00307E0A"/>
    <w:rsid w:val="003104CB"/>
    <w:rsid w:val="00311E48"/>
    <w:rsid w:val="00313EFB"/>
    <w:rsid w:val="003142AF"/>
    <w:rsid w:val="00316157"/>
    <w:rsid w:val="0031755A"/>
    <w:rsid w:val="00320859"/>
    <w:rsid w:val="003210B5"/>
    <w:rsid w:val="003258E3"/>
    <w:rsid w:val="00325CA9"/>
    <w:rsid w:val="00326110"/>
    <w:rsid w:val="00332D6E"/>
    <w:rsid w:val="00333088"/>
    <w:rsid w:val="00333656"/>
    <w:rsid w:val="00334B19"/>
    <w:rsid w:val="00337918"/>
    <w:rsid w:val="00341302"/>
    <w:rsid w:val="003415D7"/>
    <w:rsid w:val="0034176C"/>
    <w:rsid w:val="00350925"/>
    <w:rsid w:val="0035241D"/>
    <w:rsid w:val="0035529C"/>
    <w:rsid w:val="00355937"/>
    <w:rsid w:val="00356696"/>
    <w:rsid w:val="003610F4"/>
    <w:rsid w:val="00364D51"/>
    <w:rsid w:val="003702AD"/>
    <w:rsid w:val="0037154B"/>
    <w:rsid w:val="00372146"/>
    <w:rsid w:val="0037367E"/>
    <w:rsid w:val="00375947"/>
    <w:rsid w:val="003768B0"/>
    <w:rsid w:val="00377837"/>
    <w:rsid w:val="003778E1"/>
    <w:rsid w:val="00380CCA"/>
    <w:rsid w:val="00382463"/>
    <w:rsid w:val="0038422A"/>
    <w:rsid w:val="00385A96"/>
    <w:rsid w:val="00385B3E"/>
    <w:rsid w:val="003870E4"/>
    <w:rsid w:val="00391B62"/>
    <w:rsid w:val="00393B89"/>
    <w:rsid w:val="00395260"/>
    <w:rsid w:val="003953A4"/>
    <w:rsid w:val="00396BF2"/>
    <w:rsid w:val="00397329"/>
    <w:rsid w:val="003A2234"/>
    <w:rsid w:val="003A235D"/>
    <w:rsid w:val="003A279E"/>
    <w:rsid w:val="003A6173"/>
    <w:rsid w:val="003A7C69"/>
    <w:rsid w:val="003B42A6"/>
    <w:rsid w:val="003B76F3"/>
    <w:rsid w:val="003C0050"/>
    <w:rsid w:val="003C108D"/>
    <w:rsid w:val="003C1B39"/>
    <w:rsid w:val="003C350F"/>
    <w:rsid w:val="003C6B38"/>
    <w:rsid w:val="003C7067"/>
    <w:rsid w:val="003D01B8"/>
    <w:rsid w:val="003D24F8"/>
    <w:rsid w:val="003E023D"/>
    <w:rsid w:val="003E060B"/>
    <w:rsid w:val="003E0862"/>
    <w:rsid w:val="003E4620"/>
    <w:rsid w:val="003F0A31"/>
    <w:rsid w:val="003F1CF4"/>
    <w:rsid w:val="003F2CA6"/>
    <w:rsid w:val="003F5D7D"/>
    <w:rsid w:val="004007FB"/>
    <w:rsid w:val="00400B3F"/>
    <w:rsid w:val="00400C77"/>
    <w:rsid w:val="00401F6C"/>
    <w:rsid w:val="0040411F"/>
    <w:rsid w:val="004116D9"/>
    <w:rsid w:val="004137EC"/>
    <w:rsid w:val="00413C3B"/>
    <w:rsid w:val="00416C3A"/>
    <w:rsid w:val="00425CA0"/>
    <w:rsid w:val="00427639"/>
    <w:rsid w:val="004317CE"/>
    <w:rsid w:val="0043199D"/>
    <w:rsid w:val="0043289A"/>
    <w:rsid w:val="0043465F"/>
    <w:rsid w:val="004449CC"/>
    <w:rsid w:val="00450297"/>
    <w:rsid w:val="00450F52"/>
    <w:rsid w:val="004514C3"/>
    <w:rsid w:val="00452B6D"/>
    <w:rsid w:val="00452C65"/>
    <w:rsid w:val="004530B5"/>
    <w:rsid w:val="004530DC"/>
    <w:rsid w:val="004541BB"/>
    <w:rsid w:val="00454C1E"/>
    <w:rsid w:val="00457483"/>
    <w:rsid w:val="004613CE"/>
    <w:rsid w:val="00461578"/>
    <w:rsid w:val="004636E0"/>
    <w:rsid w:val="00465256"/>
    <w:rsid w:val="004662C1"/>
    <w:rsid w:val="004665D9"/>
    <w:rsid w:val="004708A3"/>
    <w:rsid w:val="00471D97"/>
    <w:rsid w:val="004722C1"/>
    <w:rsid w:val="00472517"/>
    <w:rsid w:val="004943A0"/>
    <w:rsid w:val="004963B0"/>
    <w:rsid w:val="004A0C2B"/>
    <w:rsid w:val="004A2FA1"/>
    <w:rsid w:val="004A6DF7"/>
    <w:rsid w:val="004B2DEB"/>
    <w:rsid w:val="004B3167"/>
    <w:rsid w:val="004B3476"/>
    <w:rsid w:val="004B569C"/>
    <w:rsid w:val="004B7BD5"/>
    <w:rsid w:val="004C0A17"/>
    <w:rsid w:val="004C1C33"/>
    <w:rsid w:val="004C27EC"/>
    <w:rsid w:val="004C4C02"/>
    <w:rsid w:val="004D4519"/>
    <w:rsid w:val="004D76E8"/>
    <w:rsid w:val="004E0591"/>
    <w:rsid w:val="004E1C43"/>
    <w:rsid w:val="004E3799"/>
    <w:rsid w:val="004E5663"/>
    <w:rsid w:val="004E587A"/>
    <w:rsid w:val="004E76CB"/>
    <w:rsid w:val="004F1086"/>
    <w:rsid w:val="004F654F"/>
    <w:rsid w:val="005058EF"/>
    <w:rsid w:val="005069B7"/>
    <w:rsid w:val="00507034"/>
    <w:rsid w:val="0051003B"/>
    <w:rsid w:val="005121D0"/>
    <w:rsid w:val="005134AE"/>
    <w:rsid w:val="00513F21"/>
    <w:rsid w:val="00517622"/>
    <w:rsid w:val="00521AC0"/>
    <w:rsid w:val="00525649"/>
    <w:rsid w:val="005278E3"/>
    <w:rsid w:val="0053012B"/>
    <w:rsid w:val="005313ED"/>
    <w:rsid w:val="005334E6"/>
    <w:rsid w:val="00543797"/>
    <w:rsid w:val="00545362"/>
    <w:rsid w:val="005463B4"/>
    <w:rsid w:val="00546A01"/>
    <w:rsid w:val="00546BD3"/>
    <w:rsid w:val="00547D10"/>
    <w:rsid w:val="00550397"/>
    <w:rsid w:val="005537BE"/>
    <w:rsid w:val="005539A4"/>
    <w:rsid w:val="00554722"/>
    <w:rsid w:val="00554FCF"/>
    <w:rsid w:val="00560087"/>
    <w:rsid w:val="00562511"/>
    <w:rsid w:val="00562968"/>
    <w:rsid w:val="00564FB9"/>
    <w:rsid w:val="005652FA"/>
    <w:rsid w:val="0057206A"/>
    <w:rsid w:val="00573E27"/>
    <w:rsid w:val="005745BF"/>
    <w:rsid w:val="005752B3"/>
    <w:rsid w:val="00584231"/>
    <w:rsid w:val="005867C9"/>
    <w:rsid w:val="00594698"/>
    <w:rsid w:val="00596212"/>
    <w:rsid w:val="005A1C22"/>
    <w:rsid w:val="005A43E5"/>
    <w:rsid w:val="005A73B6"/>
    <w:rsid w:val="005B14B2"/>
    <w:rsid w:val="005B384E"/>
    <w:rsid w:val="005B39BF"/>
    <w:rsid w:val="005B3CB1"/>
    <w:rsid w:val="005B441F"/>
    <w:rsid w:val="005C00F9"/>
    <w:rsid w:val="005C10C6"/>
    <w:rsid w:val="005D20C7"/>
    <w:rsid w:val="005D539E"/>
    <w:rsid w:val="005E57D6"/>
    <w:rsid w:val="00604DB8"/>
    <w:rsid w:val="00607049"/>
    <w:rsid w:val="00611C84"/>
    <w:rsid w:val="0061555F"/>
    <w:rsid w:val="006169DA"/>
    <w:rsid w:val="00626DC2"/>
    <w:rsid w:val="006359DD"/>
    <w:rsid w:val="00645FB0"/>
    <w:rsid w:val="006465AC"/>
    <w:rsid w:val="00646C99"/>
    <w:rsid w:val="00650702"/>
    <w:rsid w:val="00652125"/>
    <w:rsid w:val="006534EE"/>
    <w:rsid w:val="00657CB5"/>
    <w:rsid w:val="00660C19"/>
    <w:rsid w:val="006610BD"/>
    <w:rsid w:val="00664E56"/>
    <w:rsid w:val="00676C2D"/>
    <w:rsid w:val="00677721"/>
    <w:rsid w:val="006908AF"/>
    <w:rsid w:val="00690EF6"/>
    <w:rsid w:val="00696C59"/>
    <w:rsid w:val="0069743E"/>
    <w:rsid w:val="00697780"/>
    <w:rsid w:val="006A2383"/>
    <w:rsid w:val="006B040D"/>
    <w:rsid w:val="006B0534"/>
    <w:rsid w:val="006B06C7"/>
    <w:rsid w:val="006B17DA"/>
    <w:rsid w:val="006B1A95"/>
    <w:rsid w:val="006B205F"/>
    <w:rsid w:val="006B2DE3"/>
    <w:rsid w:val="006B5BAD"/>
    <w:rsid w:val="006C0631"/>
    <w:rsid w:val="006C16B7"/>
    <w:rsid w:val="006C25DE"/>
    <w:rsid w:val="006C67CE"/>
    <w:rsid w:val="006C730C"/>
    <w:rsid w:val="006D1233"/>
    <w:rsid w:val="006D16C0"/>
    <w:rsid w:val="006D1DF5"/>
    <w:rsid w:val="006D3A71"/>
    <w:rsid w:val="006D42CA"/>
    <w:rsid w:val="006D43D6"/>
    <w:rsid w:val="006D4B52"/>
    <w:rsid w:val="006D4E4D"/>
    <w:rsid w:val="006D66D3"/>
    <w:rsid w:val="006D7111"/>
    <w:rsid w:val="006E01E2"/>
    <w:rsid w:val="006E280E"/>
    <w:rsid w:val="006E2AE9"/>
    <w:rsid w:val="006E2E59"/>
    <w:rsid w:val="006E3684"/>
    <w:rsid w:val="006E599A"/>
    <w:rsid w:val="006E6B7C"/>
    <w:rsid w:val="006E716B"/>
    <w:rsid w:val="006F12B4"/>
    <w:rsid w:val="006F628A"/>
    <w:rsid w:val="006F6C29"/>
    <w:rsid w:val="007007D0"/>
    <w:rsid w:val="00700BE9"/>
    <w:rsid w:val="0070319B"/>
    <w:rsid w:val="00703305"/>
    <w:rsid w:val="00703E2A"/>
    <w:rsid w:val="007101DE"/>
    <w:rsid w:val="0071057D"/>
    <w:rsid w:val="007135B5"/>
    <w:rsid w:val="00714D49"/>
    <w:rsid w:val="007156F4"/>
    <w:rsid w:val="0071587F"/>
    <w:rsid w:val="00716EA5"/>
    <w:rsid w:val="00717176"/>
    <w:rsid w:val="00726BB2"/>
    <w:rsid w:val="007301A5"/>
    <w:rsid w:val="00731374"/>
    <w:rsid w:val="00736654"/>
    <w:rsid w:val="007374F5"/>
    <w:rsid w:val="007402D6"/>
    <w:rsid w:val="0074401A"/>
    <w:rsid w:val="007444BB"/>
    <w:rsid w:val="007477FE"/>
    <w:rsid w:val="00752253"/>
    <w:rsid w:val="007533F2"/>
    <w:rsid w:val="007566AD"/>
    <w:rsid w:val="00760754"/>
    <w:rsid w:val="007620D3"/>
    <w:rsid w:val="00763584"/>
    <w:rsid w:val="00766606"/>
    <w:rsid w:val="007704C1"/>
    <w:rsid w:val="00771994"/>
    <w:rsid w:val="00774750"/>
    <w:rsid w:val="007748BD"/>
    <w:rsid w:val="00774EA0"/>
    <w:rsid w:val="00780EF8"/>
    <w:rsid w:val="00781A67"/>
    <w:rsid w:val="00787AC7"/>
    <w:rsid w:val="0079555C"/>
    <w:rsid w:val="0079753E"/>
    <w:rsid w:val="007A09E8"/>
    <w:rsid w:val="007A13A0"/>
    <w:rsid w:val="007A48A1"/>
    <w:rsid w:val="007A52B4"/>
    <w:rsid w:val="007A5F2D"/>
    <w:rsid w:val="007A6A7E"/>
    <w:rsid w:val="007A6F08"/>
    <w:rsid w:val="007A7DC6"/>
    <w:rsid w:val="007B017F"/>
    <w:rsid w:val="007B0517"/>
    <w:rsid w:val="007B4AAC"/>
    <w:rsid w:val="007B4CC3"/>
    <w:rsid w:val="007B6D7A"/>
    <w:rsid w:val="007C14A7"/>
    <w:rsid w:val="007C18F9"/>
    <w:rsid w:val="007C285C"/>
    <w:rsid w:val="007D5580"/>
    <w:rsid w:val="007D648E"/>
    <w:rsid w:val="007E05C8"/>
    <w:rsid w:val="007E3FC4"/>
    <w:rsid w:val="007E48AE"/>
    <w:rsid w:val="007E5291"/>
    <w:rsid w:val="007E52AC"/>
    <w:rsid w:val="007E7488"/>
    <w:rsid w:val="007F1DEE"/>
    <w:rsid w:val="007F22B5"/>
    <w:rsid w:val="007F3872"/>
    <w:rsid w:val="007F4036"/>
    <w:rsid w:val="007F55F8"/>
    <w:rsid w:val="007F6F80"/>
    <w:rsid w:val="007F737A"/>
    <w:rsid w:val="00802CD1"/>
    <w:rsid w:val="00806F7D"/>
    <w:rsid w:val="008117DB"/>
    <w:rsid w:val="00812BB2"/>
    <w:rsid w:val="00813F70"/>
    <w:rsid w:val="00814E8F"/>
    <w:rsid w:val="00817CCE"/>
    <w:rsid w:val="00821B1D"/>
    <w:rsid w:val="00826A17"/>
    <w:rsid w:val="0082778E"/>
    <w:rsid w:val="008279C9"/>
    <w:rsid w:val="0083524B"/>
    <w:rsid w:val="008402CD"/>
    <w:rsid w:val="00841BDF"/>
    <w:rsid w:val="00843CDF"/>
    <w:rsid w:val="00844316"/>
    <w:rsid w:val="008443B3"/>
    <w:rsid w:val="00845B62"/>
    <w:rsid w:val="00847A78"/>
    <w:rsid w:val="0085157B"/>
    <w:rsid w:val="00852541"/>
    <w:rsid w:val="008541B6"/>
    <w:rsid w:val="008542DD"/>
    <w:rsid w:val="00854A55"/>
    <w:rsid w:val="008559E5"/>
    <w:rsid w:val="00860639"/>
    <w:rsid w:val="00863607"/>
    <w:rsid w:val="00864EB6"/>
    <w:rsid w:val="0087011C"/>
    <w:rsid w:val="008702BA"/>
    <w:rsid w:val="008708B7"/>
    <w:rsid w:val="00872D96"/>
    <w:rsid w:val="008735D0"/>
    <w:rsid w:val="0087674C"/>
    <w:rsid w:val="00876B78"/>
    <w:rsid w:val="00887604"/>
    <w:rsid w:val="00890AB8"/>
    <w:rsid w:val="00890D5F"/>
    <w:rsid w:val="0089254A"/>
    <w:rsid w:val="00893807"/>
    <w:rsid w:val="00893FDF"/>
    <w:rsid w:val="008951CE"/>
    <w:rsid w:val="008958AC"/>
    <w:rsid w:val="00896007"/>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F10C7"/>
    <w:rsid w:val="008F6E0C"/>
    <w:rsid w:val="00901B9F"/>
    <w:rsid w:val="009040A2"/>
    <w:rsid w:val="00904840"/>
    <w:rsid w:val="0090501B"/>
    <w:rsid w:val="0090557C"/>
    <w:rsid w:val="00913406"/>
    <w:rsid w:val="0091442D"/>
    <w:rsid w:val="0091503C"/>
    <w:rsid w:val="00915041"/>
    <w:rsid w:val="00920086"/>
    <w:rsid w:val="0092073B"/>
    <w:rsid w:val="0092111A"/>
    <w:rsid w:val="009212E1"/>
    <w:rsid w:val="00924576"/>
    <w:rsid w:val="00931650"/>
    <w:rsid w:val="009346BA"/>
    <w:rsid w:val="009418A5"/>
    <w:rsid w:val="0094506A"/>
    <w:rsid w:val="009470FC"/>
    <w:rsid w:val="009527E4"/>
    <w:rsid w:val="009540D3"/>
    <w:rsid w:val="00957674"/>
    <w:rsid w:val="00961511"/>
    <w:rsid w:val="00962D13"/>
    <w:rsid w:val="00965B3A"/>
    <w:rsid w:val="009705BB"/>
    <w:rsid w:val="00973B51"/>
    <w:rsid w:val="00975452"/>
    <w:rsid w:val="00977BC1"/>
    <w:rsid w:val="00984D8B"/>
    <w:rsid w:val="00987493"/>
    <w:rsid w:val="00987861"/>
    <w:rsid w:val="009916A6"/>
    <w:rsid w:val="0099278D"/>
    <w:rsid w:val="009930E3"/>
    <w:rsid w:val="0099407E"/>
    <w:rsid w:val="00994D39"/>
    <w:rsid w:val="00996366"/>
    <w:rsid w:val="0099787B"/>
    <w:rsid w:val="009A246D"/>
    <w:rsid w:val="009A4188"/>
    <w:rsid w:val="009B20DB"/>
    <w:rsid w:val="009B21E8"/>
    <w:rsid w:val="009B2C35"/>
    <w:rsid w:val="009B5641"/>
    <w:rsid w:val="009B5F97"/>
    <w:rsid w:val="009B6276"/>
    <w:rsid w:val="009C1414"/>
    <w:rsid w:val="009C16B3"/>
    <w:rsid w:val="009C38C7"/>
    <w:rsid w:val="009C3E55"/>
    <w:rsid w:val="009C5E1C"/>
    <w:rsid w:val="009C5E76"/>
    <w:rsid w:val="009C7BBC"/>
    <w:rsid w:val="009D408A"/>
    <w:rsid w:val="009D66B9"/>
    <w:rsid w:val="009D6BD7"/>
    <w:rsid w:val="009E4074"/>
    <w:rsid w:val="009F0A44"/>
    <w:rsid w:val="009F4002"/>
    <w:rsid w:val="009F4296"/>
    <w:rsid w:val="009F532D"/>
    <w:rsid w:val="009F5860"/>
    <w:rsid w:val="009F5A81"/>
    <w:rsid w:val="009F5CFA"/>
    <w:rsid w:val="009F6AF3"/>
    <w:rsid w:val="009F7627"/>
    <w:rsid w:val="00A0046D"/>
    <w:rsid w:val="00A009D4"/>
    <w:rsid w:val="00A00FCB"/>
    <w:rsid w:val="00A02727"/>
    <w:rsid w:val="00A03998"/>
    <w:rsid w:val="00A04819"/>
    <w:rsid w:val="00A053C7"/>
    <w:rsid w:val="00A061EC"/>
    <w:rsid w:val="00A1657C"/>
    <w:rsid w:val="00A16F59"/>
    <w:rsid w:val="00A201B3"/>
    <w:rsid w:val="00A21241"/>
    <w:rsid w:val="00A2369A"/>
    <w:rsid w:val="00A23905"/>
    <w:rsid w:val="00A24536"/>
    <w:rsid w:val="00A304AD"/>
    <w:rsid w:val="00A412E5"/>
    <w:rsid w:val="00A41D67"/>
    <w:rsid w:val="00A55358"/>
    <w:rsid w:val="00A55366"/>
    <w:rsid w:val="00A57791"/>
    <w:rsid w:val="00A57C30"/>
    <w:rsid w:val="00A57E21"/>
    <w:rsid w:val="00A62877"/>
    <w:rsid w:val="00A63DA3"/>
    <w:rsid w:val="00A83C01"/>
    <w:rsid w:val="00A844C4"/>
    <w:rsid w:val="00A86314"/>
    <w:rsid w:val="00A918E1"/>
    <w:rsid w:val="00A94591"/>
    <w:rsid w:val="00A977C8"/>
    <w:rsid w:val="00AA18E9"/>
    <w:rsid w:val="00AA289E"/>
    <w:rsid w:val="00AB36B6"/>
    <w:rsid w:val="00AB60D9"/>
    <w:rsid w:val="00AB7CD8"/>
    <w:rsid w:val="00AC4174"/>
    <w:rsid w:val="00AC4FE9"/>
    <w:rsid w:val="00AC5A39"/>
    <w:rsid w:val="00AD027E"/>
    <w:rsid w:val="00AD17DB"/>
    <w:rsid w:val="00AD1AB6"/>
    <w:rsid w:val="00AD3594"/>
    <w:rsid w:val="00AD41E4"/>
    <w:rsid w:val="00AD5405"/>
    <w:rsid w:val="00AE28AE"/>
    <w:rsid w:val="00AE3552"/>
    <w:rsid w:val="00AE485F"/>
    <w:rsid w:val="00AF2BAE"/>
    <w:rsid w:val="00AF4235"/>
    <w:rsid w:val="00B0166A"/>
    <w:rsid w:val="00B0338C"/>
    <w:rsid w:val="00B036EA"/>
    <w:rsid w:val="00B05ACC"/>
    <w:rsid w:val="00B12676"/>
    <w:rsid w:val="00B12D16"/>
    <w:rsid w:val="00B139B2"/>
    <w:rsid w:val="00B204B3"/>
    <w:rsid w:val="00B213A1"/>
    <w:rsid w:val="00B24B11"/>
    <w:rsid w:val="00B325AF"/>
    <w:rsid w:val="00B347CE"/>
    <w:rsid w:val="00B40B39"/>
    <w:rsid w:val="00B41C7A"/>
    <w:rsid w:val="00B44A82"/>
    <w:rsid w:val="00B46CB5"/>
    <w:rsid w:val="00B67F77"/>
    <w:rsid w:val="00B70D47"/>
    <w:rsid w:val="00B71F0A"/>
    <w:rsid w:val="00B742C2"/>
    <w:rsid w:val="00B74E3B"/>
    <w:rsid w:val="00B76F53"/>
    <w:rsid w:val="00B82D1D"/>
    <w:rsid w:val="00B93A8D"/>
    <w:rsid w:val="00B97CE2"/>
    <w:rsid w:val="00BA0AE4"/>
    <w:rsid w:val="00BA187E"/>
    <w:rsid w:val="00BA4004"/>
    <w:rsid w:val="00BA5597"/>
    <w:rsid w:val="00BA6AA2"/>
    <w:rsid w:val="00BB5FFC"/>
    <w:rsid w:val="00BC51F1"/>
    <w:rsid w:val="00BD5A6F"/>
    <w:rsid w:val="00BD5ED5"/>
    <w:rsid w:val="00BD6A2B"/>
    <w:rsid w:val="00BD777F"/>
    <w:rsid w:val="00BD7B31"/>
    <w:rsid w:val="00BE065B"/>
    <w:rsid w:val="00BF25F4"/>
    <w:rsid w:val="00BF4336"/>
    <w:rsid w:val="00BF7F85"/>
    <w:rsid w:val="00C007D7"/>
    <w:rsid w:val="00C01A8D"/>
    <w:rsid w:val="00C032FA"/>
    <w:rsid w:val="00C04F58"/>
    <w:rsid w:val="00C06297"/>
    <w:rsid w:val="00C06CEC"/>
    <w:rsid w:val="00C1122A"/>
    <w:rsid w:val="00C12608"/>
    <w:rsid w:val="00C14808"/>
    <w:rsid w:val="00C15870"/>
    <w:rsid w:val="00C20A90"/>
    <w:rsid w:val="00C21998"/>
    <w:rsid w:val="00C24E6D"/>
    <w:rsid w:val="00C30F2F"/>
    <w:rsid w:val="00C37069"/>
    <w:rsid w:val="00C43F7C"/>
    <w:rsid w:val="00C45EFF"/>
    <w:rsid w:val="00C46B18"/>
    <w:rsid w:val="00C52F53"/>
    <w:rsid w:val="00C559FC"/>
    <w:rsid w:val="00C55E13"/>
    <w:rsid w:val="00C60930"/>
    <w:rsid w:val="00C63119"/>
    <w:rsid w:val="00C63632"/>
    <w:rsid w:val="00C667F5"/>
    <w:rsid w:val="00C71F83"/>
    <w:rsid w:val="00C756E0"/>
    <w:rsid w:val="00C76716"/>
    <w:rsid w:val="00C807B0"/>
    <w:rsid w:val="00C81076"/>
    <w:rsid w:val="00C81CF0"/>
    <w:rsid w:val="00C85E83"/>
    <w:rsid w:val="00C9043C"/>
    <w:rsid w:val="00C917CF"/>
    <w:rsid w:val="00C93063"/>
    <w:rsid w:val="00C9506B"/>
    <w:rsid w:val="00C95355"/>
    <w:rsid w:val="00C967B4"/>
    <w:rsid w:val="00C97555"/>
    <w:rsid w:val="00CA069E"/>
    <w:rsid w:val="00CB0B41"/>
    <w:rsid w:val="00CB0C0E"/>
    <w:rsid w:val="00CB1595"/>
    <w:rsid w:val="00CC3129"/>
    <w:rsid w:val="00CC5414"/>
    <w:rsid w:val="00CC714B"/>
    <w:rsid w:val="00CC747F"/>
    <w:rsid w:val="00CC76FB"/>
    <w:rsid w:val="00CD1FFB"/>
    <w:rsid w:val="00CD23C7"/>
    <w:rsid w:val="00CF21BD"/>
    <w:rsid w:val="00CF4D94"/>
    <w:rsid w:val="00D025EC"/>
    <w:rsid w:val="00D05326"/>
    <w:rsid w:val="00D05D53"/>
    <w:rsid w:val="00D06B51"/>
    <w:rsid w:val="00D13E49"/>
    <w:rsid w:val="00D14CB4"/>
    <w:rsid w:val="00D20437"/>
    <w:rsid w:val="00D2190E"/>
    <w:rsid w:val="00D21B76"/>
    <w:rsid w:val="00D34A5D"/>
    <w:rsid w:val="00D354FA"/>
    <w:rsid w:val="00D371F4"/>
    <w:rsid w:val="00D37E92"/>
    <w:rsid w:val="00D419AF"/>
    <w:rsid w:val="00D43237"/>
    <w:rsid w:val="00D4411E"/>
    <w:rsid w:val="00D50AFB"/>
    <w:rsid w:val="00D5474B"/>
    <w:rsid w:val="00D5574A"/>
    <w:rsid w:val="00D56212"/>
    <w:rsid w:val="00D56CA2"/>
    <w:rsid w:val="00D6088A"/>
    <w:rsid w:val="00D62647"/>
    <w:rsid w:val="00D62C94"/>
    <w:rsid w:val="00D7400F"/>
    <w:rsid w:val="00D74DB3"/>
    <w:rsid w:val="00D81E5B"/>
    <w:rsid w:val="00D8604C"/>
    <w:rsid w:val="00D92A4A"/>
    <w:rsid w:val="00D95F6B"/>
    <w:rsid w:val="00D97105"/>
    <w:rsid w:val="00D97FF7"/>
    <w:rsid w:val="00DA07F3"/>
    <w:rsid w:val="00DA13D9"/>
    <w:rsid w:val="00DA318B"/>
    <w:rsid w:val="00DB16A5"/>
    <w:rsid w:val="00DB4A1F"/>
    <w:rsid w:val="00DB51CA"/>
    <w:rsid w:val="00DB5576"/>
    <w:rsid w:val="00DB587E"/>
    <w:rsid w:val="00DC1453"/>
    <w:rsid w:val="00DC7CC6"/>
    <w:rsid w:val="00DD50DE"/>
    <w:rsid w:val="00DE1D4C"/>
    <w:rsid w:val="00DE29EB"/>
    <w:rsid w:val="00DE6D2B"/>
    <w:rsid w:val="00DE7249"/>
    <w:rsid w:val="00DF02C5"/>
    <w:rsid w:val="00DF3130"/>
    <w:rsid w:val="00DF4665"/>
    <w:rsid w:val="00DF5BB0"/>
    <w:rsid w:val="00DF6DE0"/>
    <w:rsid w:val="00E006F1"/>
    <w:rsid w:val="00E01094"/>
    <w:rsid w:val="00E02864"/>
    <w:rsid w:val="00E03149"/>
    <w:rsid w:val="00E06A3D"/>
    <w:rsid w:val="00E073F4"/>
    <w:rsid w:val="00E07540"/>
    <w:rsid w:val="00E14B0C"/>
    <w:rsid w:val="00E1744A"/>
    <w:rsid w:val="00E17DD1"/>
    <w:rsid w:val="00E213E1"/>
    <w:rsid w:val="00E23067"/>
    <w:rsid w:val="00E23264"/>
    <w:rsid w:val="00E2364B"/>
    <w:rsid w:val="00E2370B"/>
    <w:rsid w:val="00E30F24"/>
    <w:rsid w:val="00E31031"/>
    <w:rsid w:val="00E36420"/>
    <w:rsid w:val="00E37570"/>
    <w:rsid w:val="00E432E8"/>
    <w:rsid w:val="00E457BB"/>
    <w:rsid w:val="00E45E52"/>
    <w:rsid w:val="00E5054B"/>
    <w:rsid w:val="00E5158E"/>
    <w:rsid w:val="00E5202C"/>
    <w:rsid w:val="00E5222E"/>
    <w:rsid w:val="00E522CD"/>
    <w:rsid w:val="00E534BB"/>
    <w:rsid w:val="00E55AA2"/>
    <w:rsid w:val="00E55B1F"/>
    <w:rsid w:val="00E56A40"/>
    <w:rsid w:val="00E60868"/>
    <w:rsid w:val="00E62B07"/>
    <w:rsid w:val="00E63B8B"/>
    <w:rsid w:val="00E6439F"/>
    <w:rsid w:val="00E667D8"/>
    <w:rsid w:val="00E6723D"/>
    <w:rsid w:val="00E74412"/>
    <w:rsid w:val="00E76F02"/>
    <w:rsid w:val="00E84094"/>
    <w:rsid w:val="00E93DD3"/>
    <w:rsid w:val="00E94838"/>
    <w:rsid w:val="00E94A99"/>
    <w:rsid w:val="00E9754D"/>
    <w:rsid w:val="00EA003C"/>
    <w:rsid w:val="00EA004C"/>
    <w:rsid w:val="00EA575F"/>
    <w:rsid w:val="00EA5F10"/>
    <w:rsid w:val="00EB161C"/>
    <w:rsid w:val="00EB1DBF"/>
    <w:rsid w:val="00EB2411"/>
    <w:rsid w:val="00EB32BF"/>
    <w:rsid w:val="00EB66C4"/>
    <w:rsid w:val="00EC0083"/>
    <w:rsid w:val="00EC11DC"/>
    <w:rsid w:val="00EC5476"/>
    <w:rsid w:val="00ED2577"/>
    <w:rsid w:val="00ED3348"/>
    <w:rsid w:val="00ED55F2"/>
    <w:rsid w:val="00EE0B42"/>
    <w:rsid w:val="00EE1EA1"/>
    <w:rsid w:val="00EE6D46"/>
    <w:rsid w:val="00EF19AD"/>
    <w:rsid w:val="00EF2C3C"/>
    <w:rsid w:val="00EF57A8"/>
    <w:rsid w:val="00EF5AF0"/>
    <w:rsid w:val="00F00588"/>
    <w:rsid w:val="00F05314"/>
    <w:rsid w:val="00F06CDD"/>
    <w:rsid w:val="00F076BF"/>
    <w:rsid w:val="00F128A6"/>
    <w:rsid w:val="00F13E1E"/>
    <w:rsid w:val="00F14E3E"/>
    <w:rsid w:val="00F16C48"/>
    <w:rsid w:val="00F17E55"/>
    <w:rsid w:val="00F21F79"/>
    <w:rsid w:val="00F2234C"/>
    <w:rsid w:val="00F22795"/>
    <w:rsid w:val="00F2691F"/>
    <w:rsid w:val="00F2752E"/>
    <w:rsid w:val="00F27882"/>
    <w:rsid w:val="00F30C0A"/>
    <w:rsid w:val="00F32CCB"/>
    <w:rsid w:val="00F33EBD"/>
    <w:rsid w:val="00F37E69"/>
    <w:rsid w:val="00F37FFA"/>
    <w:rsid w:val="00F40435"/>
    <w:rsid w:val="00F4282D"/>
    <w:rsid w:val="00F44EDE"/>
    <w:rsid w:val="00F4666D"/>
    <w:rsid w:val="00F46AE1"/>
    <w:rsid w:val="00F537D7"/>
    <w:rsid w:val="00F54FC4"/>
    <w:rsid w:val="00F646A8"/>
    <w:rsid w:val="00F66F1C"/>
    <w:rsid w:val="00F71872"/>
    <w:rsid w:val="00F7482E"/>
    <w:rsid w:val="00F90F70"/>
    <w:rsid w:val="00F9610B"/>
    <w:rsid w:val="00F967CA"/>
    <w:rsid w:val="00FA06C3"/>
    <w:rsid w:val="00FA1011"/>
    <w:rsid w:val="00FA1A45"/>
    <w:rsid w:val="00FA1DEA"/>
    <w:rsid w:val="00FA3596"/>
    <w:rsid w:val="00FA4397"/>
    <w:rsid w:val="00FA6BCA"/>
    <w:rsid w:val="00FB1ED8"/>
    <w:rsid w:val="00FB2D69"/>
    <w:rsid w:val="00FB2F20"/>
    <w:rsid w:val="00FB3351"/>
    <w:rsid w:val="00FB3415"/>
    <w:rsid w:val="00FB4302"/>
    <w:rsid w:val="00FB4A99"/>
    <w:rsid w:val="00FB59B1"/>
    <w:rsid w:val="00FB5F56"/>
    <w:rsid w:val="00FC0382"/>
    <w:rsid w:val="00FC0CA5"/>
    <w:rsid w:val="00FC460F"/>
    <w:rsid w:val="00FC4E85"/>
    <w:rsid w:val="00FC53A0"/>
    <w:rsid w:val="00FC76EE"/>
    <w:rsid w:val="00FD2E94"/>
    <w:rsid w:val="00FD300E"/>
    <w:rsid w:val="00FE1E54"/>
    <w:rsid w:val="00FE3D9D"/>
    <w:rsid w:val="00FF2096"/>
    <w:rsid w:val="00FF236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47204E94-FD9A-A64F-9A24-0BA42DC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414"/>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table" w:customStyle="1" w:styleId="Tablaconcuadrcula11">
    <w:name w:val="Tabla con cuadrícula11"/>
    <w:basedOn w:val="Tablanormal"/>
    <w:next w:val="Tablaconcuadrcula"/>
    <w:uiPriority w:val="59"/>
    <w:rsid w:val="00690EF6"/>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151066584">
              <w:marLeft w:val="0"/>
              <w:marRight w:val="0"/>
              <w:marTop w:val="0"/>
              <w:marBottom w:val="0"/>
              <w:divBdr>
                <w:top w:val="none" w:sz="0" w:space="0" w:color="auto"/>
                <w:left w:val="none" w:sz="0" w:space="0" w:color="auto"/>
                <w:bottom w:val="none" w:sz="0" w:space="0" w:color="auto"/>
                <w:right w:val="none" w:sz="0" w:space="0" w:color="auto"/>
              </w:divBdr>
            </w:div>
            <w:div w:id="381832082">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8368">
      <w:bodyDiv w:val="1"/>
      <w:marLeft w:val="0"/>
      <w:marRight w:val="0"/>
      <w:marTop w:val="0"/>
      <w:marBottom w:val="0"/>
      <w:divBdr>
        <w:top w:val="none" w:sz="0" w:space="0" w:color="auto"/>
        <w:left w:val="none" w:sz="0" w:space="0" w:color="auto"/>
        <w:bottom w:val="none" w:sz="0" w:space="0" w:color="auto"/>
        <w:right w:val="none" w:sz="0" w:space="0" w:color="auto"/>
      </w:divBdr>
    </w:div>
    <w:div w:id="1400903566">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4156">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4.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5438</Words>
  <Characters>29911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cp:lastPrinted>2022-09-23T04:38:00Z</cp:lastPrinted>
  <dcterms:created xsi:type="dcterms:W3CDTF">2022-12-07T16:43:00Z</dcterms:created>
  <dcterms:modified xsi:type="dcterms:W3CDTF">2022-12-07T16:43:00Z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