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ACE" w14:textId="77777777" w:rsidR="006631C3" w:rsidRPr="00BE0688" w:rsidRDefault="006631C3" w:rsidP="006631C3">
      <w:pPr>
        <w:spacing w:before="120" w:line="276" w:lineRule="auto"/>
        <w:jc w:val="right"/>
        <w:rPr>
          <w:rFonts w:ascii="Arial" w:hAnsi="Arial" w:cs="Arial"/>
          <w:b/>
          <w:sz w:val="16"/>
          <w:szCs w:val="16"/>
          <w:lang w:eastAsia="es-ES"/>
        </w:rPr>
      </w:pPr>
      <w:r w:rsidRPr="00BE0688">
        <w:rPr>
          <w:rFonts w:ascii="Arial" w:hAnsi="Arial" w:cs="Arial"/>
          <w:b/>
          <w:sz w:val="16"/>
          <w:szCs w:val="16"/>
          <w:lang w:eastAsia="es-ES"/>
        </w:rPr>
        <w:t>CCE-DES-FM-17</w:t>
      </w:r>
    </w:p>
    <w:p w14:paraId="11CCADA4" w14:textId="77777777" w:rsidR="006631C3" w:rsidRPr="00BE0688" w:rsidRDefault="006631C3" w:rsidP="006631C3">
      <w:pPr>
        <w:jc w:val="both"/>
        <w:rPr>
          <w:rFonts w:ascii="Arial" w:eastAsia="Calibri" w:hAnsi="Arial" w:cs="Arial"/>
          <w:b/>
        </w:rPr>
      </w:pPr>
      <w:r w:rsidRPr="00BE0688">
        <w:rPr>
          <w:rFonts w:ascii="Arial" w:eastAsia="Calibri" w:hAnsi="Arial" w:cs="Arial"/>
          <w:b/>
        </w:rPr>
        <w:t xml:space="preserve">REGISTRO ÚNICO DE PROPONENTES – Inscripción – Renovación – Efectos durante la verificación de información </w:t>
      </w:r>
    </w:p>
    <w:p w14:paraId="742E2705" w14:textId="77777777" w:rsidR="006631C3" w:rsidRPr="00BE0688" w:rsidRDefault="006631C3" w:rsidP="006631C3">
      <w:pPr>
        <w:rPr>
          <w:rFonts w:ascii="Arial" w:hAnsi="Arial" w:cs="Arial"/>
          <w:b/>
          <w:highlight w:val="yellow"/>
          <w:lang w:eastAsia="es-ES"/>
        </w:rPr>
      </w:pPr>
    </w:p>
    <w:p w14:paraId="5B13AA40" w14:textId="77777777" w:rsidR="005B42BA" w:rsidRDefault="005B42BA" w:rsidP="006631C3">
      <w:pPr>
        <w:pStyle w:val="Textoindependiente"/>
        <w:spacing w:after="0" w:line="240" w:lineRule="auto"/>
        <w:rPr>
          <w:sz w:val="20"/>
          <w:szCs w:val="20"/>
        </w:rPr>
      </w:pPr>
      <w:r w:rsidRPr="005B42BA">
        <w:rPr>
          <w:sz w:val="20"/>
          <w:szCs w:val="20"/>
        </w:rPr>
        <w:t xml:space="preserve">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 ,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 ,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 inscripción. </w:t>
      </w:r>
    </w:p>
    <w:p w14:paraId="5BBC85C5" w14:textId="59C0F8BF" w:rsidR="006631C3" w:rsidRPr="00BE0688" w:rsidRDefault="006631C3" w:rsidP="006631C3">
      <w:pPr>
        <w:pStyle w:val="Textoindependiente"/>
        <w:spacing w:after="0" w:line="240" w:lineRule="auto"/>
        <w:rPr>
          <w:sz w:val="20"/>
          <w:szCs w:val="20"/>
        </w:rPr>
      </w:pPr>
      <w:r w:rsidRPr="00BE0688">
        <w:rPr>
          <w:sz w:val="20"/>
          <w:szCs w:val="20"/>
        </w:rPr>
        <w:t>[…]</w:t>
      </w:r>
    </w:p>
    <w:p w14:paraId="6A64CE99" w14:textId="619EE0AD" w:rsidR="006631C3" w:rsidRPr="00BE0688" w:rsidRDefault="005B42BA" w:rsidP="006631C3">
      <w:pPr>
        <w:jc w:val="both"/>
        <w:rPr>
          <w:rFonts w:ascii="Arial" w:eastAsia="Calibri" w:hAnsi="Arial" w:cs="Arial"/>
          <w:sz w:val="20"/>
          <w:szCs w:val="20"/>
        </w:rPr>
      </w:pPr>
      <w:r w:rsidRPr="005B42BA">
        <w:rPr>
          <w:rFonts w:ascii="Arial" w:eastAsia="Calibri" w:hAnsi="Arial" w:cs="Arial"/>
          <w:sz w:val="20"/>
          <w:szCs w:val="20"/>
        </w:rPr>
        <w:t>De otro lado, 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r w:rsidR="006631C3" w:rsidRPr="00BE0688">
        <w:rPr>
          <w:rFonts w:ascii="Arial" w:eastAsia="Calibri" w:hAnsi="Arial" w:cs="Arial"/>
          <w:sz w:val="20"/>
          <w:szCs w:val="20"/>
        </w:rPr>
        <w:t>.</w:t>
      </w:r>
    </w:p>
    <w:p w14:paraId="3856C356" w14:textId="77777777" w:rsidR="006631C3" w:rsidRPr="00BE0688" w:rsidRDefault="006631C3" w:rsidP="006631C3">
      <w:pPr>
        <w:pStyle w:val="Textoindependiente"/>
        <w:spacing w:after="0" w:line="240" w:lineRule="auto"/>
        <w:rPr>
          <w:b/>
          <w:highlight w:val="yellow"/>
          <w:lang w:val="es-CO"/>
        </w:rPr>
      </w:pPr>
    </w:p>
    <w:p w14:paraId="73908877" w14:textId="77777777" w:rsidR="006631C3" w:rsidRPr="00BE0688" w:rsidRDefault="006631C3" w:rsidP="006631C3">
      <w:pPr>
        <w:pStyle w:val="Default"/>
        <w:jc w:val="both"/>
        <w:rPr>
          <w:rFonts w:eastAsia="Calibri"/>
          <w:b/>
          <w:sz w:val="22"/>
        </w:rPr>
      </w:pPr>
      <w:r w:rsidRPr="00BE0688">
        <w:rPr>
          <w:rFonts w:eastAsia="Calibri"/>
          <w:b/>
          <w:sz w:val="22"/>
        </w:rPr>
        <w:t xml:space="preserve">DOCUMENTOS TIPO – </w:t>
      </w:r>
      <w:r w:rsidRPr="00BE0688">
        <w:rPr>
          <w:rFonts w:eastAsia="Calibri"/>
          <w:b/>
          <w:color w:val="000000" w:themeColor="text1"/>
          <w:sz w:val="22"/>
        </w:rPr>
        <w:t xml:space="preserve">Licitación de obra de infraestructura de transporte </w:t>
      </w:r>
      <w:r w:rsidRPr="00BE0688">
        <w:rPr>
          <w:rFonts w:eastAsia="Calibri"/>
          <w:b/>
          <w:sz w:val="22"/>
        </w:rPr>
        <w:t>– Causales de rechazo – Literales F y G del numeral 1.15</w:t>
      </w:r>
    </w:p>
    <w:p w14:paraId="0AD02F5A" w14:textId="77777777" w:rsidR="006631C3" w:rsidRPr="00BE0688" w:rsidRDefault="006631C3" w:rsidP="006631C3">
      <w:pPr>
        <w:pStyle w:val="Default"/>
        <w:jc w:val="both"/>
        <w:rPr>
          <w:b/>
          <w:sz w:val="22"/>
          <w:szCs w:val="22"/>
          <w:highlight w:val="yellow"/>
        </w:rPr>
      </w:pPr>
    </w:p>
    <w:p w14:paraId="6FB53562" w14:textId="77777777" w:rsidR="006631C3" w:rsidRPr="00BE0688" w:rsidRDefault="006631C3" w:rsidP="006631C3">
      <w:pPr>
        <w:tabs>
          <w:tab w:val="left" w:pos="0"/>
        </w:tabs>
        <w:jc w:val="both"/>
        <w:rPr>
          <w:rFonts w:ascii="Arial" w:hAnsi="Arial" w:cs="Arial"/>
          <w:sz w:val="20"/>
          <w:szCs w:val="20"/>
        </w:rPr>
      </w:pPr>
      <w:r w:rsidRPr="00BE0688">
        <w:rPr>
          <w:rFonts w:ascii="Arial" w:hAnsi="Arial" w:cs="Arial"/>
          <w:sz w:val="20"/>
          <w:szCs w:val="20"/>
        </w:rPr>
        <w:t>[…] De un lado, la causal F prescribe: «Que la inscripción en el Registro Único de Proponentes (RUP) que realice el proponente, por primera vez o cuando han cesado los efectos y debe volver a inscribirse, no esté en firme en la fecha prevista para el cierre del proceso de contratación».</w:t>
      </w:r>
    </w:p>
    <w:p w14:paraId="15CDD875" w14:textId="77777777" w:rsidR="006631C3" w:rsidRPr="00BE0688" w:rsidRDefault="006631C3" w:rsidP="006631C3">
      <w:pPr>
        <w:tabs>
          <w:tab w:val="left" w:pos="0"/>
        </w:tabs>
        <w:jc w:val="both"/>
        <w:rPr>
          <w:rFonts w:ascii="Arial" w:hAnsi="Arial" w:cs="Arial"/>
          <w:sz w:val="20"/>
          <w:szCs w:val="20"/>
        </w:rPr>
      </w:pPr>
    </w:p>
    <w:p w14:paraId="14F5AAB1" w14:textId="77777777" w:rsidR="006631C3" w:rsidRPr="00BE0688" w:rsidRDefault="006631C3" w:rsidP="006631C3">
      <w:pPr>
        <w:tabs>
          <w:tab w:val="left" w:pos="0"/>
        </w:tabs>
        <w:jc w:val="both"/>
        <w:rPr>
          <w:rFonts w:ascii="Arial" w:hAnsi="Arial" w:cs="Arial"/>
          <w:sz w:val="20"/>
          <w:szCs w:val="20"/>
        </w:rPr>
      </w:pPr>
      <w:r w:rsidRPr="00BE0688">
        <w:rPr>
          <w:rFonts w:ascii="Arial" w:hAnsi="Arial" w:cs="Arial"/>
          <w:sz w:val="20"/>
          <w:szCs w:val="20"/>
        </w:rPr>
        <w:t>Esta causal implica que la oferta debe rechazarse cuando el proponente no cuenta con una inscripción en el RUP en firme, tratándose de su primera inscripción o cuando han cesado los efectos y debe volver a inscribirse –como cuando la renovación no se realiza a tiempo y debe realizarse el trámite como una nueva inscripción–.</w:t>
      </w:r>
    </w:p>
    <w:p w14:paraId="2FA205E5" w14:textId="77777777" w:rsidR="006631C3" w:rsidRPr="00BE0688" w:rsidRDefault="006631C3" w:rsidP="006631C3">
      <w:pPr>
        <w:tabs>
          <w:tab w:val="left" w:pos="0"/>
        </w:tabs>
        <w:jc w:val="both"/>
        <w:rPr>
          <w:rFonts w:ascii="Arial" w:hAnsi="Arial" w:cs="Arial"/>
          <w:sz w:val="20"/>
          <w:szCs w:val="20"/>
        </w:rPr>
      </w:pPr>
      <w:r w:rsidRPr="00BE0688">
        <w:rPr>
          <w:rFonts w:ascii="Arial" w:hAnsi="Arial" w:cs="Arial"/>
          <w:sz w:val="20"/>
          <w:szCs w:val="20"/>
        </w:rPr>
        <w:lastRenderedPageBreak/>
        <w:t>[…]</w:t>
      </w:r>
    </w:p>
    <w:p w14:paraId="367FFE5C" w14:textId="0D58810E" w:rsidR="006631C3" w:rsidRPr="00BE0688" w:rsidRDefault="005B42BA" w:rsidP="006631C3">
      <w:pPr>
        <w:tabs>
          <w:tab w:val="left" w:pos="0"/>
        </w:tabs>
        <w:jc w:val="both"/>
        <w:rPr>
          <w:rFonts w:ascii="Arial" w:hAnsi="Arial" w:cs="Arial"/>
          <w:sz w:val="20"/>
          <w:szCs w:val="20"/>
        </w:rPr>
      </w:pPr>
      <w:r w:rsidRPr="005B42BA">
        <w:rPr>
          <w:rFonts w:ascii="Arial" w:hAnsi="Arial" w:cs="Arial"/>
          <w:sz w:val="20"/>
          <w:szCs w:val="20"/>
        </w:rPr>
        <w:t>Por otra parte, en relación con la renovación del RUP, la causal F establece: «Que el Proponente no acredite la presentación de la información para renovar el Registro Único de Proponentes (RUP) a más tardar el quinto día hábil del mes de abril de cada año o en la fecha que establezca la ley o reglamento, si fuera una distinta».</w:t>
      </w:r>
    </w:p>
    <w:p w14:paraId="1250745E" w14:textId="175BAAEA" w:rsidR="00185668" w:rsidRDefault="005B42BA" w:rsidP="6B8BD3AC">
      <w:pPr>
        <w:rPr>
          <w:rFonts w:ascii="Arial" w:hAnsi="Arial" w:cs="Arial"/>
          <w:sz w:val="20"/>
          <w:szCs w:val="20"/>
        </w:rPr>
      </w:pPr>
      <w:r w:rsidRPr="005B42BA">
        <w:rPr>
          <w:rFonts w:ascii="Arial" w:hAnsi="Arial" w:cs="Arial"/>
          <w:sz w:val="20"/>
          <w:szCs w:val="20"/>
        </w:rPr>
        <w:t>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2.2.1.1.1.5.1. del Decreto 1082 de 2015, esto es, que no haya presentado la información para renovar el RUP a más tardar el quinto día hábil del mes de abril de cada año.</w:t>
      </w:r>
    </w:p>
    <w:p w14:paraId="32B888A8" w14:textId="77777777" w:rsidR="005B42BA" w:rsidRDefault="005B42BA" w:rsidP="6B8BD3AC">
      <w:pPr>
        <w:rPr>
          <w:rFonts w:ascii="Geomanist Light" w:eastAsia="Geomanist Light" w:hAnsi="Geomanist Light" w:cs="Geomanist Light"/>
          <w:color w:val="201F1E"/>
          <w:lang w:val="es-MX"/>
        </w:rPr>
      </w:pPr>
    </w:p>
    <w:p w14:paraId="0B637045" w14:textId="215FBE6D" w:rsidR="006631C3" w:rsidRPr="007566FE" w:rsidRDefault="008342FA" w:rsidP="008342FA">
      <w:pPr>
        <w:jc w:val="right"/>
        <w:rPr>
          <w:rFonts w:ascii="Geomanist Light" w:eastAsia="Geomanist Light" w:hAnsi="Geomanist Light" w:cs="Geomanist Light"/>
          <w:color w:val="201F1E"/>
          <w:lang w:val="es-MX"/>
        </w:rPr>
      </w:pPr>
      <w:r w:rsidRPr="008342FA">
        <w:rPr>
          <w:rFonts w:ascii="Geomanist Light" w:eastAsia="Geomanist Light" w:hAnsi="Geomanist Light" w:cs="Geomanist Light"/>
          <w:noProof/>
          <w:color w:val="201F1E"/>
          <w:lang w:val="es-MX"/>
        </w:rPr>
        <w:drawing>
          <wp:inline distT="0" distB="0" distL="0" distR="0" wp14:anchorId="7119136B" wp14:editId="20CC6678">
            <wp:extent cx="2419638" cy="6358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0377" cy="638718"/>
                    </a:xfrm>
                    <a:prstGeom prst="rect">
                      <a:avLst/>
                    </a:prstGeom>
                  </pic:spPr>
                </pic:pic>
              </a:graphicData>
            </a:graphic>
          </wp:inline>
        </w:drawing>
      </w:r>
    </w:p>
    <w:p w14:paraId="72C3E6D1" w14:textId="77777777" w:rsidR="00185668" w:rsidRPr="00185668" w:rsidRDefault="00185668" w:rsidP="00185668">
      <w:pPr>
        <w:spacing w:after="0" w:line="240" w:lineRule="auto"/>
        <w:rPr>
          <w:rFonts w:ascii="Arial" w:eastAsia="Calibri" w:hAnsi="Arial" w:cs="Arial"/>
          <w:lang w:val="es-MX"/>
        </w:rPr>
      </w:pPr>
      <w:r w:rsidRPr="00185668">
        <w:rPr>
          <w:rFonts w:ascii="Arial" w:eastAsia="Calibri" w:hAnsi="Arial" w:cs="Arial"/>
          <w:lang w:val="es-MX"/>
        </w:rPr>
        <w:t>Señor</w:t>
      </w:r>
    </w:p>
    <w:p w14:paraId="607AD6E9" w14:textId="77777777" w:rsidR="00185668" w:rsidRPr="00185668" w:rsidRDefault="00185668" w:rsidP="00185668">
      <w:pPr>
        <w:spacing w:after="0" w:line="240" w:lineRule="auto"/>
        <w:rPr>
          <w:rFonts w:ascii="Arial" w:eastAsia="Calibri" w:hAnsi="Arial" w:cs="Arial"/>
          <w:b/>
          <w:bCs/>
          <w:lang w:val="es-ES"/>
        </w:rPr>
      </w:pPr>
      <w:r w:rsidRPr="00185668">
        <w:rPr>
          <w:rFonts w:ascii="Arial" w:eastAsia="Calibri" w:hAnsi="Arial" w:cs="Arial"/>
          <w:b/>
          <w:bCs/>
          <w:lang w:val="es-ES"/>
        </w:rPr>
        <w:t>Oscar Iván Santana Murcia</w:t>
      </w:r>
    </w:p>
    <w:p w14:paraId="63939391" w14:textId="77777777" w:rsidR="00185668" w:rsidRPr="00185668" w:rsidRDefault="00185668" w:rsidP="00185668">
      <w:pPr>
        <w:spacing w:after="0" w:line="240" w:lineRule="auto"/>
        <w:rPr>
          <w:rFonts w:ascii="Arial" w:eastAsia="Calibri" w:hAnsi="Arial" w:cs="Arial"/>
          <w:lang w:val="es-ES"/>
        </w:rPr>
      </w:pPr>
      <w:r w:rsidRPr="00185668">
        <w:rPr>
          <w:rFonts w:ascii="Arial" w:eastAsia="Calibri" w:hAnsi="Arial" w:cs="Arial"/>
          <w:lang w:val="es-ES"/>
        </w:rPr>
        <w:t>Madrid, Cundinamarca</w:t>
      </w:r>
    </w:p>
    <w:p w14:paraId="2F91033C" w14:textId="77777777" w:rsidR="00185668" w:rsidRPr="00185668" w:rsidRDefault="00185668" w:rsidP="00185668">
      <w:pPr>
        <w:spacing w:after="0" w:line="240" w:lineRule="auto"/>
        <w:jc w:val="right"/>
        <w:rPr>
          <w:rFonts w:ascii="Arial" w:eastAsia="Calibri" w:hAnsi="Arial" w:cs="Arial"/>
          <w:lang w:val="es-ES"/>
        </w:rPr>
      </w:pPr>
    </w:p>
    <w:p w14:paraId="6935DB4D" w14:textId="77777777" w:rsidR="00185668" w:rsidRPr="00185668" w:rsidRDefault="00185668" w:rsidP="00185668">
      <w:pPr>
        <w:spacing w:after="0" w:line="240" w:lineRule="auto"/>
        <w:rPr>
          <w:rFonts w:ascii="Arial" w:eastAsia="Calibri" w:hAnsi="Arial" w:cs="Arial"/>
          <w:lang w:val="es-MX"/>
        </w:rPr>
      </w:pPr>
    </w:p>
    <w:p w14:paraId="522B1641" w14:textId="77777777" w:rsidR="00185668" w:rsidRPr="00185668" w:rsidRDefault="00185668" w:rsidP="00185668">
      <w:pPr>
        <w:spacing w:after="0" w:line="240" w:lineRule="auto"/>
        <w:ind w:left="2124" w:firstLine="570"/>
        <w:rPr>
          <w:rFonts w:ascii="Arial" w:eastAsia="Calibri" w:hAnsi="Arial" w:cs="Arial"/>
          <w:b/>
          <w:lang w:val="es-MX"/>
        </w:rPr>
      </w:pPr>
      <w:r w:rsidRPr="00185668">
        <w:rPr>
          <w:rFonts w:ascii="Arial" w:eastAsia="Calibri" w:hAnsi="Arial" w:cs="Arial"/>
          <w:b/>
          <w:lang w:val="es-MX"/>
        </w:rPr>
        <w:t>Concepto C – 750 de 2022</w:t>
      </w:r>
    </w:p>
    <w:p w14:paraId="5A018A10" w14:textId="77777777" w:rsidR="00185668" w:rsidRPr="00185668" w:rsidRDefault="00185668" w:rsidP="00185668">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85668" w:rsidRPr="00185668" w14:paraId="66B4C7B0" w14:textId="77777777" w:rsidTr="00C03C81">
        <w:tc>
          <w:tcPr>
            <w:tcW w:w="2689" w:type="dxa"/>
            <w:hideMark/>
          </w:tcPr>
          <w:p w14:paraId="081A6879" w14:textId="77777777" w:rsidR="00185668" w:rsidRPr="00185668" w:rsidRDefault="00185668" w:rsidP="00185668">
            <w:pPr>
              <w:rPr>
                <w:rFonts w:ascii="Arial" w:eastAsia="Calibri" w:hAnsi="Arial" w:cs="Arial"/>
              </w:rPr>
            </w:pPr>
            <w:r w:rsidRPr="00185668">
              <w:rPr>
                <w:rFonts w:ascii="Arial" w:eastAsia="Calibri" w:hAnsi="Arial" w:cs="Arial"/>
                <w:b/>
              </w:rPr>
              <w:t>Temas:</w:t>
            </w:r>
            <w:r w:rsidRPr="00185668">
              <w:rPr>
                <w:rFonts w:ascii="Arial" w:eastAsia="Calibri" w:hAnsi="Arial" w:cs="Arial"/>
              </w:rPr>
              <w:t xml:space="preserve">  </w:t>
            </w:r>
          </w:p>
          <w:p w14:paraId="7826A991" w14:textId="77777777" w:rsidR="00185668" w:rsidRPr="00185668" w:rsidRDefault="00185668" w:rsidP="00185668">
            <w:pPr>
              <w:rPr>
                <w:rFonts w:ascii="Arial" w:eastAsia="Calibri" w:hAnsi="Arial" w:cs="Arial"/>
              </w:rPr>
            </w:pPr>
            <w:r w:rsidRPr="00185668">
              <w:rPr>
                <w:rFonts w:ascii="Arial" w:eastAsia="Calibri" w:hAnsi="Arial" w:cs="Arial"/>
              </w:rPr>
              <w:t xml:space="preserve"> </w:t>
            </w:r>
          </w:p>
        </w:tc>
        <w:tc>
          <w:tcPr>
            <w:tcW w:w="6237" w:type="dxa"/>
            <w:hideMark/>
          </w:tcPr>
          <w:p w14:paraId="7E44280B" w14:textId="77777777" w:rsidR="00185668" w:rsidRPr="00185668" w:rsidRDefault="00185668" w:rsidP="00185668">
            <w:pPr>
              <w:jc w:val="both"/>
              <w:rPr>
                <w:rFonts w:ascii="Arial" w:eastAsia="Calibri" w:hAnsi="Arial" w:cs="Arial"/>
                <w:highlight w:val="yellow"/>
              </w:rPr>
            </w:pPr>
            <w:r w:rsidRPr="00185668">
              <w:rPr>
                <w:rFonts w:ascii="Arial" w:eastAsia="Calibri" w:hAnsi="Arial" w:cs="Arial"/>
              </w:rPr>
              <w:t xml:space="preserve">REGISTRO ÚNICO DE PROPONENTES – Inscripción –Renovación – Efectos durante la verificación de información / </w:t>
            </w:r>
            <w:r w:rsidRPr="00185668">
              <w:rPr>
                <w:rFonts w:ascii="Arial" w:eastAsia="Calibri" w:hAnsi="Arial" w:cs="Arial"/>
                <w:color w:val="000000"/>
                <w:szCs w:val="24"/>
              </w:rPr>
              <w:t>DOCUMENTOS TIPO – Licitación de obra de infraestructura de transporte – Causales de rechazo – Literales E y F del numeral 1.15</w:t>
            </w:r>
          </w:p>
          <w:p w14:paraId="17C11E51" w14:textId="77777777" w:rsidR="00185668" w:rsidRPr="00185668" w:rsidRDefault="00185668" w:rsidP="00185668">
            <w:pPr>
              <w:spacing w:after="120"/>
              <w:jc w:val="both"/>
              <w:rPr>
                <w:rFonts w:ascii="Arial" w:eastAsia="Calibri" w:hAnsi="Arial" w:cs="Arial"/>
                <w:highlight w:val="yellow"/>
              </w:rPr>
            </w:pPr>
          </w:p>
        </w:tc>
      </w:tr>
      <w:tr w:rsidR="00185668" w:rsidRPr="00185668" w14:paraId="6C9B814F" w14:textId="77777777" w:rsidTr="00C03C81">
        <w:trPr>
          <w:trHeight w:val="80"/>
        </w:trPr>
        <w:tc>
          <w:tcPr>
            <w:tcW w:w="2689" w:type="dxa"/>
          </w:tcPr>
          <w:p w14:paraId="405DA8F8" w14:textId="77777777" w:rsidR="00185668" w:rsidRPr="00185668" w:rsidRDefault="00185668" w:rsidP="00185668">
            <w:pPr>
              <w:rPr>
                <w:rFonts w:ascii="Arial" w:eastAsia="Calibri" w:hAnsi="Arial" w:cs="Arial"/>
                <w:b/>
              </w:rPr>
            </w:pPr>
            <w:r w:rsidRPr="00185668">
              <w:rPr>
                <w:rFonts w:ascii="Arial" w:eastAsia="Calibri" w:hAnsi="Arial" w:cs="Arial"/>
                <w:b/>
              </w:rPr>
              <w:t>Radicación:</w:t>
            </w:r>
            <w:r w:rsidRPr="00185668">
              <w:rPr>
                <w:rFonts w:ascii="Arial" w:eastAsia="Calibri" w:hAnsi="Arial" w:cs="Arial"/>
              </w:rPr>
              <w:t xml:space="preserve"> </w:t>
            </w:r>
          </w:p>
        </w:tc>
        <w:tc>
          <w:tcPr>
            <w:tcW w:w="6237" w:type="dxa"/>
          </w:tcPr>
          <w:p w14:paraId="6427F980" w14:textId="77777777" w:rsidR="00185668" w:rsidRPr="00185668" w:rsidRDefault="00185668" w:rsidP="00185668">
            <w:pPr>
              <w:jc w:val="both"/>
              <w:rPr>
                <w:rFonts w:ascii="Arial" w:eastAsia="Calibri" w:hAnsi="Arial" w:cs="Arial"/>
              </w:rPr>
            </w:pPr>
            <w:r w:rsidRPr="00185668">
              <w:rPr>
                <w:rFonts w:ascii="Arial" w:eastAsia="Calibri" w:hAnsi="Arial" w:cs="Arial"/>
              </w:rPr>
              <w:t>Respuesta a consulta P20220923009562</w:t>
            </w:r>
          </w:p>
        </w:tc>
      </w:tr>
    </w:tbl>
    <w:p w14:paraId="24BC9D6D" w14:textId="77777777" w:rsidR="00185668" w:rsidRPr="00185668" w:rsidRDefault="00185668" w:rsidP="00185668">
      <w:pPr>
        <w:spacing w:after="0" w:line="240" w:lineRule="auto"/>
        <w:jc w:val="both"/>
        <w:rPr>
          <w:rFonts w:ascii="Arial" w:eastAsia="Calibri" w:hAnsi="Arial" w:cs="Arial"/>
          <w:lang w:val="es-MX"/>
        </w:rPr>
      </w:pPr>
    </w:p>
    <w:p w14:paraId="72F01D76" w14:textId="77777777" w:rsidR="00185668" w:rsidRPr="00185668" w:rsidRDefault="00185668" w:rsidP="00185668">
      <w:pPr>
        <w:spacing w:after="0" w:line="240" w:lineRule="auto"/>
        <w:rPr>
          <w:rFonts w:ascii="Arial" w:eastAsia="Calibri" w:hAnsi="Arial" w:cs="Arial"/>
          <w:lang w:val="es-MX"/>
        </w:rPr>
      </w:pPr>
    </w:p>
    <w:p w14:paraId="00A720EC" w14:textId="77777777" w:rsidR="00185668" w:rsidRPr="00185668" w:rsidRDefault="00185668" w:rsidP="00185668">
      <w:pPr>
        <w:spacing w:after="0" w:line="276" w:lineRule="auto"/>
        <w:rPr>
          <w:rFonts w:ascii="Arial" w:eastAsia="Calibri" w:hAnsi="Arial" w:cs="Arial"/>
          <w:lang w:val="es-MX"/>
        </w:rPr>
      </w:pPr>
      <w:r w:rsidRPr="00185668">
        <w:rPr>
          <w:rFonts w:ascii="Arial" w:eastAsia="Calibri" w:hAnsi="Arial" w:cs="Arial"/>
          <w:lang w:val="es-MX"/>
        </w:rPr>
        <w:t>Estimado señor Santana Murcia,</w:t>
      </w:r>
    </w:p>
    <w:p w14:paraId="26A6A453" w14:textId="77777777" w:rsidR="00185668" w:rsidRPr="00185668" w:rsidRDefault="00185668" w:rsidP="00185668">
      <w:pPr>
        <w:spacing w:after="0" w:line="276" w:lineRule="auto"/>
        <w:rPr>
          <w:rFonts w:ascii="Arial" w:eastAsia="Calibri" w:hAnsi="Arial" w:cs="Arial"/>
          <w:lang w:val="es-MX"/>
        </w:rPr>
      </w:pPr>
    </w:p>
    <w:p w14:paraId="61FACC88" w14:textId="77777777" w:rsidR="00185668" w:rsidRPr="00185668" w:rsidRDefault="00185668" w:rsidP="00185668">
      <w:pPr>
        <w:spacing w:after="0" w:line="276" w:lineRule="auto"/>
        <w:jc w:val="both"/>
        <w:rPr>
          <w:rFonts w:ascii="Arial" w:eastAsia="Calibri" w:hAnsi="Arial" w:cs="Arial"/>
          <w:lang w:val="es-MX"/>
        </w:rPr>
      </w:pPr>
      <w:r w:rsidRPr="00185668">
        <w:rPr>
          <w:rFonts w:ascii="Arial" w:eastAsia="Calibri" w:hAnsi="Arial" w:cs="Arial"/>
          <w:lang w:val="es-MX"/>
        </w:rPr>
        <w:t>En ejercicio de la competencia otorgada por el numeral 8 del artículo 11 y el numeral 5 del artículo 3 del Decreto Ley 4170 de 2011, la Agencia Nacional de Contratación Pública – Colombia Compra Eficiente responde de manera definitiva su consulta del 23 de septiembre de 2022, la cual fue objeto de respuesta parcial a través del radicado RS20220930011911 del 30 de septiembre de 2022.</w:t>
      </w:r>
    </w:p>
    <w:p w14:paraId="6D857494" w14:textId="77777777" w:rsidR="00185668" w:rsidRPr="00185668" w:rsidRDefault="00185668" w:rsidP="00185668">
      <w:pPr>
        <w:spacing w:after="0" w:line="276" w:lineRule="auto"/>
        <w:jc w:val="both"/>
        <w:rPr>
          <w:rFonts w:ascii="Arial" w:eastAsia="Calibri" w:hAnsi="Arial" w:cs="Arial"/>
          <w:lang w:val="es-MX"/>
        </w:rPr>
      </w:pPr>
    </w:p>
    <w:p w14:paraId="33D63AF7" w14:textId="77777777" w:rsidR="00185668" w:rsidRPr="00185668" w:rsidRDefault="00185668" w:rsidP="00185668">
      <w:pPr>
        <w:tabs>
          <w:tab w:val="left" w:pos="284"/>
        </w:tabs>
        <w:spacing w:after="0" w:line="276" w:lineRule="auto"/>
        <w:contextualSpacing/>
        <w:jc w:val="both"/>
        <w:rPr>
          <w:rFonts w:ascii="Arial" w:eastAsia="Calibri" w:hAnsi="Arial" w:cs="Arial"/>
          <w:b/>
          <w:lang w:val="es-MX"/>
        </w:rPr>
      </w:pPr>
      <w:r w:rsidRPr="00185668">
        <w:rPr>
          <w:rFonts w:ascii="Arial" w:eastAsia="Calibri" w:hAnsi="Arial" w:cs="Arial"/>
          <w:b/>
          <w:lang w:val="es-MX"/>
        </w:rPr>
        <w:t>1. Problema planteado</w:t>
      </w:r>
    </w:p>
    <w:p w14:paraId="3CA0F078" w14:textId="77777777" w:rsidR="00185668" w:rsidRPr="00185668" w:rsidRDefault="00185668" w:rsidP="00185668">
      <w:pPr>
        <w:tabs>
          <w:tab w:val="left" w:pos="426"/>
        </w:tabs>
        <w:spacing w:after="0" w:line="276" w:lineRule="auto"/>
        <w:jc w:val="both"/>
        <w:rPr>
          <w:rFonts w:ascii="Arial" w:eastAsia="Calibri" w:hAnsi="Arial" w:cs="Arial"/>
          <w:lang w:val="es-MX"/>
        </w:rPr>
      </w:pPr>
      <w:bookmarkStart w:id="0" w:name="_Hlk68679800"/>
    </w:p>
    <w:p w14:paraId="0536042A" w14:textId="77777777" w:rsidR="00185668" w:rsidRPr="00185668" w:rsidRDefault="00185668" w:rsidP="00185668">
      <w:pPr>
        <w:tabs>
          <w:tab w:val="left" w:pos="426"/>
        </w:tabs>
        <w:spacing w:after="0" w:line="276" w:lineRule="auto"/>
        <w:jc w:val="both"/>
        <w:rPr>
          <w:rFonts w:ascii="Arial" w:eastAsia="Calibri" w:hAnsi="Arial" w:cs="Arial"/>
          <w:lang w:val="es-MX"/>
        </w:rPr>
      </w:pPr>
      <w:r w:rsidRPr="00185668">
        <w:rPr>
          <w:rFonts w:ascii="Arial" w:eastAsia="Calibri" w:hAnsi="Arial" w:cs="Arial"/>
          <w:lang w:val="es-MX"/>
        </w:rPr>
        <w:t xml:space="preserve">En su petición usted hace referencia a las causales de rechazo contempladas en los literales E y F del documento base o pliego tipo de infraestructura de social, en relación con el ejercicio del debe de renovación del RUP. Sobre dichas causales usted pregunta la siguiente: </w:t>
      </w:r>
    </w:p>
    <w:p w14:paraId="044A6733" w14:textId="77777777" w:rsidR="00185668" w:rsidRPr="00185668" w:rsidRDefault="00185668" w:rsidP="00185668">
      <w:pPr>
        <w:tabs>
          <w:tab w:val="left" w:pos="426"/>
        </w:tabs>
        <w:spacing w:after="0" w:line="276" w:lineRule="auto"/>
        <w:jc w:val="both"/>
        <w:rPr>
          <w:rFonts w:ascii="Arial" w:eastAsia="Calibri" w:hAnsi="Arial" w:cs="Arial"/>
          <w:lang w:val="es-MX"/>
        </w:rPr>
      </w:pPr>
    </w:p>
    <w:p w14:paraId="3565BBE3" w14:textId="77777777" w:rsidR="00185668" w:rsidRPr="00185668" w:rsidRDefault="00185668" w:rsidP="00185668">
      <w:pPr>
        <w:tabs>
          <w:tab w:val="left" w:pos="426"/>
        </w:tabs>
        <w:spacing w:after="120" w:line="240" w:lineRule="auto"/>
        <w:ind w:left="709" w:right="709"/>
        <w:jc w:val="both"/>
        <w:rPr>
          <w:rFonts w:ascii="Arial" w:eastAsia="Calibri" w:hAnsi="Arial" w:cs="Arial"/>
          <w:sz w:val="21"/>
          <w:szCs w:val="21"/>
          <w:lang w:val="es-MX"/>
        </w:rPr>
      </w:pPr>
      <w:r w:rsidRPr="00185668">
        <w:rPr>
          <w:rFonts w:ascii="Arial" w:eastAsia="Calibri" w:hAnsi="Arial" w:cs="Arial"/>
          <w:sz w:val="21"/>
          <w:szCs w:val="21"/>
          <w:lang w:val="es-MX"/>
        </w:rPr>
        <w:t xml:space="preserve">«Para efectos de presentación de ofertas para procesos de licitación se requiere saber para este punto en </w:t>
      </w:r>
      <w:proofErr w:type="spellStart"/>
      <w:r w:rsidRPr="00185668">
        <w:rPr>
          <w:rFonts w:ascii="Arial" w:eastAsia="Calibri" w:hAnsi="Arial" w:cs="Arial"/>
          <w:sz w:val="21"/>
          <w:szCs w:val="21"/>
          <w:lang w:val="es-MX"/>
        </w:rPr>
        <w:t>especifico</w:t>
      </w:r>
      <w:proofErr w:type="spellEnd"/>
      <w:r w:rsidRPr="00185668">
        <w:rPr>
          <w:rFonts w:ascii="Arial" w:eastAsia="Calibri" w:hAnsi="Arial" w:cs="Arial"/>
          <w:sz w:val="21"/>
          <w:szCs w:val="21"/>
          <w:lang w:val="es-MX"/>
        </w:rPr>
        <w:t xml:space="preserve"> como seria  su aplicación e interpretación ya que se entiende como para que (sic) los proponentes que no hayan actualizado dentro del quinto día hábil del mes de abril de cada vigencia serian rechazados el proceso de verificación del documento en cuestión, de igual forma se solicita amablemente un ejemplo </w:t>
      </w:r>
      <w:proofErr w:type="spellStart"/>
      <w:r w:rsidRPr="00185668">
        <w:rPr>
          <w:rFonts w:ascii="Arial" w:eastAsia="Calibri" w:hAnsi="Arial" w:cs="Arial"/>
          <w:sz w:val="21"/>
          <w:szCs w:val="21"/>
          <w:lang w:val="es-MX"/>
        </w:rPr>
        <w:t>practico</w:t>
      </w:r>
      <w:proofErr w:type="spellEnd"/>
      <w:r w:rsidRPr="00185668">
        <w:rPr>
          <w:rFonts w:ascii="Arial" w:eastAsia="Calibri" w:hAnsi="Arial" w:cs="Arial"/>
          <w:sz w:val="21"/>
          <w:szCs w:val="21"/>
          <w:lang w:val="es-MX"/>
        </w:rPr>
        <w:t xml:space="preserve"> para la evaluación de este parámetro».</w:t>
      </w:r>
    </w:p>
    <w:bookmarkEnd w:id="0"/>
    <w:p w14:paraId="1AE5BB53" w14:textId="77777777" w:rsidR="00185668" w:rsidRPr="00185668" w:rsidRDefault="00185668" w:rsidP="00185668">
      <w:pPr>
        <w:tabs>
          <w:tab w:val="left" w:pos="426"/>
        </w:tabs>
        <w:spacing w:after="0" w:line="276" w:lineRule="auto"/>
        <w:jc w:val="both"/>
        <w:rPr>
          <w:rFonts w:ascii="Arial" w:eastAsia="Calibri" w:hAnsi="Arial" w:cs="Arial"/>
          <w:lang w:val="es-MX"/>
        </w:rPr>
      </w:pPr>
    </w:p>
    <w:p w14:paraId="7A501A0B" w14:textId="77777777" w:rsidR="00185668" w:rsidRPr="00185668" w:rsidRDefault="00185668" w:rsidP="00185668">
      <w:pPr>
        <w:tabs>
          <w:tab w:val="left" w:pos="426"/>
        </w:tabs>
        <w:spacing w:after="0" w:line="276" w:lineRule="auto"/>
        <w:jc w:val="both"/>
        <w:rPr>
          <w:rFonts w:ascii="Arial" w:eastAsia="Calibri" w:hAnsi="Arial" w:cs="Arial"/>
          <w:b/>
          <w:lang w:val="es-MX"/>
        </w:rPr>
      </w:pPr>
      <w:r w:rsidRPr="00185668">
        <w:rPr>
          <w:rFonts w:ascii="Arial" w:eastAsia="Calibri" w:hAnsi="Arial" w:cs="Arial"/>
          <w:b/>
          <w:lang w:val="es-MX"/>
        </w:rPr>
        <w:t>2. Consideraciones</w:t>
      </w:r>
    </w:p>
    <w:p w14:paraId="6E040F5B" w14:textId="77777777" w:rsidR="00185668" w:rsidRPr="00185668" w:rsidRDefault="00185668" w:rsidP="00185668">
      <w:pPr>
        <w:tabs>
          <w:tab w:val="left" w:pos="426"/>
        </w:tabs>
        <w:spacing w:after="0" w:line="276" w:lineRule="auto"/>
        <w:jc w:val="both"/>
        <w:rPr>
          <w:rFonts w:ascii="Arial" w:eastAsia="Calibri" w:hAnsi="Arial" w:cs="Arial"/>
          <w:b/>
          <w:lang w:val="es-MX"/>
        </w:rPr>
      </w:pPr>
    </w:p>
    <w:p w14:paraId="2CCDFD89" w14:textId="77777777" w:rsidR="00185668" w:rsidRPr="00185668" w:rsidRDefault="00185668" w:rsidP="00185668">
      <w:pPr>
        <w:tabs>
          <w:tab w:val="left" w:pos="426"/>
        </w:tabs>
        <w:spacing w:after="120" w:line="276" w:lineRule="auto"/>
        <w:jc w:val="both"/>
        <w:rPr>
          <w:rFonts w:ascii="Arial" w:eastAsia="Calibri" w:hAnsi="Arial" w:cs="Arial"/>
          <w:b/>
          <w:lang w:val="es-MX"/>
        </w:rPr>
      </w:pPr>
      <w:r w:rsidRPr="00185668">
        <w:rPr>
          <w:rFonts w:ascii="Arial" w:eastAsia="Calibri" w:hAnsi="Arial" w:cs="Arial"/>
          <w:lang w:val="es-MX" w:eastAsia="es-MX"/>
        </w:rPr>
        <w:t>La Agencia Nacional de Contratación Pública – Colombia Compra Eficiente, con el objetivo de resolver su consulta, analizará los siguientes temas: i)</w:t>
      </w:r>
      <w:r w:rsidRPr="00185668">
        <w:rPr>
          <w:rFonts w:ascii="Arial" w:eastAsia="Calibri" w:hAnsi="Arial" w:cs="Arial"/>
          <w:sz w:val="24"/>
          <w:lang w:val="es-MX"/>
        </w:rPr>
        <w:t xml:space="preserve"> </w:t>
      </w:r>
      <w:r w:rsidRPr="00185668">
        <w:rPr>
          <w:rFonts w:ascii="Arial" w:eastAsia="Calibri" w:hAnsi="Arial" w:cs="Arial"/>
          <w:lang w:val="es-MX" w:eastAsia="es-MX"/>
        </w:rPr>
        <w:t xml:space="preserve">inscripción y renovación del Registro Único de Proponentes – RUP y sus efectos durante la verificación de la información, y </w:t>
      </w:r>
      <w:proofErr w:type="spellStart"/>
      <w:r w:rsidRPr="00185668">
        <w:rPr>
          <w:rFonts w:ascii="Arial" w:eastAsia="Calibri" w:hAnsi="Arial" w:cs="Arial"/>
          <w:lang w:val="es-MX" w:eastAsia="es-MX"/>
        </w:rPr>
        <w:t>ii</w:t>
      </w:r>
      <w:proofErr w:type="spellEnd"/>
      <w:r w:rsidRPr="00185668">
        <w:rPr>
          <w:rFonts w:ascii="Arial" w:eastAsia="Calibri" w:hAnsi="Arial" w:cs="Arial"/>
          <w:lang w:val="es-MX" w:eastAsia="es-MX"/>
        </w:rPr>
        <w:t>) causales de rechazo de los literales E y F del numeral 1.15 de los documentos tipo de licitación para obras de infraestructura social</w:t>
      </w:r>
    </w:p>
    <w:p w14:paraId="758444C3" w14:textId="77777777" w:rsidR="00185668" w:rsidRPr="00185668" w:rsidRDefault="00185668" w:rsidP="00185668">
      <w:pPr>
        <w:spacing w:before="120" w:after="0" w:line="276" w:lineRule="auto"/>
        <w:ind w:firstLine="709"/>
        <w:jc w:val="both"/>
        <w:rPr>
          <w:rFonts w:ascii="Arial" w:eastAsia="Calibri" w:hAnsi="Arial" w:cs="Arial"/>
          <w:lang w:val="es-ES_tradnl"/>
        </w:rPr>
      </w:pPr>
      <w:r w:rsidRPr="00185668">
        <w:rPr>
          <w:rFonts w:ascii="Arial" w:eastAsia="Calibri" w:hAnsi="Arial" w:cs="Arial"/>
          <w:lang w:val="es-ES_tradnl"/>
        </w:rPr>
        <w:t>Esta Agencia se ha pronunciado sobre aspectos</w:t>
      </w:r>
      <w:r w:rsidRPr="00185668">
        <w:rPr>
          <w:rFonts w:ascii="Arial" w:eastAsia="Calibri" w:hAnsi="Arial" w:cs="Arial"/>
        </w:rPr>
        <w:t xml:space="preserve"> asociados al RUP, relacionados con la firmeza de la inscripción, renovación y actualización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del 01 de febrero de 2021, C-329 del 08 de julio de 2021, C-431 del 26 de agosto de 2021, C-588 del 20 de octubre de 2021, C-703 del 11 de enero de 2022, C-287 del 11 de mayo de 2022, C-426 del 5 de julio de 2022, C-325 </w:t>
      </w:r>
      <w:r w:rsidRPr="00185668">
        <w:rPr>
          <w:rFonts w:ascii="Arial" w:eastAsia="Calibri" w:hAnsi="Arial" w:cs="Arial"/>
          <w:lang w:val="es-MX" w:eastAsia="es-MX"/>
        </w:rPr>
        <w:t>del</w:t>
      </w:r>
      <w:r w:rsidRPr="00185668">
        <w:rPr>
          <w:rFonts w:ascii="Arial" w:eastAsia="Calibri" w:hAnsi="Arial" w:cs="Arial"/>
        </w:rPr>
        <w:t xml:space="preserve"> 6 de julio de 2022 y C-618 del 5 de octubre de 2022.</w:t>
      </w:r>
      <w:r w:rsidRPr="00185668">
        <w:rPr>
          <w:rFonts w:ascii="Arial" w:eastAsia="Calibri" w:hAnsi="Arial" w:cs="Arial"/>
          <w:lang w:val="es-ES_tradnl"/>
        </w:rPr>
        <w:t xml:space="preserve"> La tesis propuesta en </w:t>
      </w:r>
      <w:r w:rsidRPr="00185668">
        <w:rPr>
          <w:rFonts w:ascii="Arial" w:eastAsia="Calibri" w:hAnsi="Arial" w:cs="Arial"/>
          <w:lang w:val="es-MX" w:eastAsia="es-MX"/>
        </w:rPr>
        <w:t>estos</w:t>
      </w:r>
      <w:r w:rsidRPr="00185668">
        <w:rPr>
          <w:rFonts w:ascii="Arial" w:eastAsia="Calibri" w:hAnsi="Arial" w:cs="Arial"/>
          <w:lang w:val="es-ES_tradnl"/>
        </w:rPr>
        <w:t xml:space="preserve"> conceptos se reitera a continuación.</w:t>
      </w:r>
    </w:p>
    <w:p w14:paraId="6E4EDE6E" w14:textId="77777777" w:rsidR="00185668" w:rsidRPr="00185668" w:rsidRDefault="00185668" w:rsidP="00185668">
      <w:pPr>
        <w:spacing w:after="0" w:line="276" w:lineRule="auto"/>
        <w:contextualSpacing/>
        <w:jc w:val="both"/>
        <w:rPr>
          <w:rFonts w:ascii="Arial" w:eastAsia="Calibri" w:hAnsi="Arial" w:cs="Arial"/>
          <w:b/>
          <w:color w:val="FF0000"/>
        </w:rPr>
      </w:pPr>
    </w:p>
    <w:p w14:paraId="62B809E2" w14:textId="77777777" w:rsidR="00185668" w:rsidRPr="00185668" w:rsidRDefault="00185668" w:rsidP="00185668">
      <w:pPr>
        <w:spacing w:after="0" w:line="276" w:lineRule="auto"/>
        <w:contextualSpacing/>
        <w:jc w:val="both"/>
        <w:rPr>
          <w:rFonts w:ascii="Arial" w:eastAsia="Calibri" w:hAnsi="Arial" w:cs="Arial"/>
          <w:b/>
        </w:rPr>
      </w:pPr>
      <w:r w:rsidRPr="00185668">
        <w:rPr>
          <w:rFonts w:ascii="Arial" w:eastAsia="Calibri" w:hAnsi="Arial" w:cs="Arial"/>
          <w:b/>
        </w:rPr>
        <w:t>2.1.  Inscripción y renovación del Registro Único de Proponentes – RUP y sus efectos durante la verificación de la información</w:t>
      </w:r>
    </w:p>
    <w:p w14:paraId="496020E8" w14:textId="77777777" w:rsidR="00185668" w:rsidRPr="00185668" w:rsidRDefault="00185668" w:rsidP="00185668">
      <w:pPr>
        <w:spacing w:after="0" w:line="276" w:lineRule="auto"/>
        <w:contextualSpacing/>
        <w:jc w:val="both"/>
        <w:rPr>
          <w:rFonts w:ascii="Arial" w:eastAsia="Calibri" w:hAnsi="Arial" w:cs="Arial"/>
          <w:b/>
        </w:rPr>
      </w:pPr>
    </w:p>
    <w:p w14:paraId="07DB3D26" w14:textId="77777777" w:rsidR="00185668" w:rsidRPr="00185668" w:rsidRDefault="00185668" w:rsidP="00185668">
      <w:pPr>
        <w:spacing w:after="120" w:line="276" w:lineRule="auto"/>
        <w:jc w:val="both"/>
        <w:rPr>
          <w:rFonts w:ascii="Arial" w:eastAsia="Calibri" w:hAnsi="Arial" w:cs="Arial"/>
        </w:rPr>
      </w:pPr>
      <w:r w:rsidRPr="00185668">
        <w:rPr>
          <w:rFonts w:ascii="Arial" w:eastAsia="Calibri" w:hAnsi="Arial" w:cs="Arial"/>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De acuerdo con lo establecido en 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w:t>
      </w:r>
      <w:r w:rsidRPr="00185668">
        <w:rPr>
          <w:rFonts w:ascii="Arial" w:eastAsia="Calibri" w:hAnsi="Arial" w:cs="Arial"/>
        </w:rPr>
        <w:lastRenderedPageBreak/>
        <w:t xml:space="preserve">frente a la </w:t>
      </w:r>
      <w:r w:rsidRPr="00185668">
        <w:rPr>
          <w:rFonts w:ascii="Arial" w:eastAsia="Calibri" w:hAnsi="Arial" w:cs="Arial"/>
          <w:i/>
          <w:iCs/>
        </w:rPr>
        <w:t>inscripción, renovación o actualización–</w:t>
      </w:r>
      <w:r w:rsidRPr="00185668">
        <w:rPr>
          <w:rFonts w:ascii="Arial" w:eastAsia="Calibri" w:hAnsi="Arial" w:cs="Arial"/>
          <w:vertAlign w:val="superscript"/>
        </w:rPr>
        <w:footnoteReference w:id="2"/>
      </w:r>
      <w:r w:rsidRPr="00185668">
        <w:rPr>
          <w:rFonts w:ascii="Arial" w:eastAsia="Calibri" w:hAnsi="Arial" w:cs="Arial"/>
        </w:rPr>
        <w:t>. En firme el acto administrativo que realiza la inscripción en el Registro Único de Proponentes se podrá demandar su nulidad sin que la presentación de la demanda suspenda la inscripción del RUP.</w:t>
      </w:r>
    </w:p>
    <w:p w14:paraId="00C59E9E" w14:textId="77777777" w:rsidR="00185668" w:rsidRPr="00185668" w:rsidRDefault="00185668" w:rsidP="00185668">
      <w:pPr>
        <w:spacing w:before="120" w:after="0" w:line="276" w:lineRule="auto"/>
        <w:ind w:firstLine="709"/>
        <w:jc w:val="both"/>
        <w:rPr>
          <w:rFonts w:ascii="Arial" w:eastAsia="Calibri" w:hAnsi="Arial" w:cs="Arial"/>
        </w:rPr>
      </w:pPr>
      <w:r w:rsidRPr="00185668">
        <w:rPr>
          <w:rFonts w:ascii="Arial" w:eastAsia="Calibri" w:hAnsi="Arial" w:cs="Arial"/>
        </w:rPr>
        <w:t xml:space="preserve">De otro lado, el artículo 2.2.1.1.1.5.1. del Decreto 1082 de 2015 señala que las personas inscritas en el RUP deben </w:t>
      </w:r>
      <w:r w:rsidRPr="00185668">
        <w:rPr>
          <w:rFonts w:ascii="Arial" w:eastAsia="Calibri" w:hAnsi="Arial" w:cs="Arial"/>
          <w:i/>
          <w:iCs/>
        </w:rPr>
        <w:t xml:space="preserve">presentar la información </w:t>
      </w:r>
      <w:r w:rsidRPr="00185668">
        <w:rPr>
          <w:rFonts w:ascii="Arial" w:eastAsia="Calibri" w:hAnsi="Arial" w:cs="Arial"/>
        </w:rPr>
        <w:t>para renovar su registro a más tardar el quinto día hábil del mes de abril de cada año, de lo contrario cesan los efectos del RUP</w:t>
      </w:r>
      <w:r w:rsidRPr="00185668">
        <w:rPr>
          <w:rFonts w:ascii="Arial" w:eastAsia="Calibri" w:hAnsi="Arial" w:cs="Arial"/>
          <w:vertAlign w:val="superscript"/>
        </w:rPr>
        <w:footnoteReference w:id="3"/>
      </w:r>
      <w:r w:rsidRPr="00185668">
        <w:rPr>
          <w:rFonts w:ascii="Arial" w:eastAsia="Calibri" w:hAnsi="Arial" w:cs="Arial"/>
        </w:rPr>
        <w:t>. En este sentido, el Consejo de Estado en sentencia del 19 de septiembre de 2019 señaló la finalidad de la renovación del RUP y las consecuencias de no hacerlo en el término previsto:</w:t>
      </w:r>
    </w:p>
    <w:p w14:paraId="3862D5A3" w14:textId="77777777" w:rsidR="00185668" w:rsidRPr="00185668" w:rsidRDefault="00185668" w:rsidP="00185668">
      <w:pPr>
        <w:spacing w:after="0" w:line="276" w:lineRule="auto"/>
        <w:jc w:val="both"/>
        <w:rPr>
          <w:rFonts w:ascii="Arial" w:eastAsia="Calibri" w:hAnsi="Arial" w:cs="Arial"/>
        </w:rPr>
      </w:pPr>
    </w:p>
    <w:p w14:paraId="42AA9792" w14:textId="77777777" w:rsidR="00185668" w:rsidRPr="00185668" w:rsidRDefault="00185668" w:rsidP="00185668">
      <w:pPr>
        <w:tabs>
          <w:tab w:val="left" w:pos="567"/>
        </w:tabs>
        <w:spacing w:after="120" w:line="240" w:lineRule="auto"/>
        <w:ind w:left="709" w:right="709"/>
        <w:jc w:val="both"/>
        <w:rPr>
          <w:rFonts w:ascii="Arial" w:eastAsia="Calibri" w:hAnsi="Arial" w:cs="Arial"/>
          <w:sz w:val="21"/>
          <w:szCs w:val="21"/>
        </w:rPr>
      </w:pPr>
      <w:r w:rsidRPr="00185668">
        <w:rPr>
          <w:rFonts w:ascii="Arial" w:eastAsia="Calibri" w:hAnsi="Arial" w:cs="Arial"/>
          <w:sz w:val="21"/>
          <w:szCs w:val="21"/>
        </w:rPr>
        <w:t xml:space="preserve">Al respecto, no puede perderse de vista que la finalidad principal de la renovación del RUP, al margen de que con ese acto se nutra 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25859AAD" w14:textId="77777777" w:rsidR="00185668" w:rsidRPr="00185668" w:rsidRDefault="00185668" w:rsidP="00185668">
      <w:pPr>
        <w:tabs>
          <w:tab w:val="left" w:pos="567"/>
        </w:tabs>
        <w:spacing w:before="120" w:after="0" w:line="240" w:lineRule="auto"/>
        <w:ind w:left="709" w:right="709"/>
        <w:jc w:val="both"/>
        <w:rPr>
          <w:rFonts w:ascii="Arial" w:eastAsia="Calibri" w:hAnsi="Arial" w:cs="Arial"/>
          <w:sz w:val="21"/>
          <w:szCs w:val="21"/>
        </w:rPr>
      </w:pPr>
      <w:r w:rsidRPr="00185668">
        <w:rPr>
          <w:rFonts w:ascii="Arial" w:eastAsia="Calibri" w:hAnsi="Arial" w:cs="Arial"/>
          <w:sz w:val="21"/>
          <w:szCs w:val="21"/>
        </w:rPr>
        <w:t xml:space="preserve">Ante ese panorama, </w:t>
      </w:r>
      <w:bookmarkStart w:id="1" w:name="_Hlk20983873"/>
      <w:r w:rsidRPr="00185668">
        <w:rPr>
          <w:rFonts w:ascii="Arial" w:eastAsia="Calibri"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185668">
        <w:rPr>
          <w:rFonts w:ascii="Arial" w:eastAsia="Calibri" w:hAnsi="Arial" w:cs="Arial"/>
          <w:sz w:val="21"/>
          <w:szCs w:val="21"/>
          <w:vertAlign w:val="superscript"/>
        </w:rPr>
        <w:footnoteReference w:id="4"/>
      </w:r>
      <w:r w:rsidRPr="00185668">
        <w:rPr>
          <w:rFonts w:ascii="Arial" w:eastAsia="Calibri" w:hAnsi="Arial" w:cs="Arial"/>
          <w:sz w:val="21"/>
          <w:szCs w:val="21"/>
        </w:rPr>
        <w:t xml:space="preserve">.  </w:t>
      </w:r>
    </w:p>
    <w:bookmarkEnd w:id="1"/>
    <w:p w14:paraId="118BA223" w14:textId="77777777" w:rsidR="00185668" w:rsidRPr="00185668" w:rsidRDefault="00185668" w:rsidP="00185668">
      <w:pPr>
        <w:spacing w:after="0" w:line="240" w:lineRule="auto"/>
        <w:jc w:val="both"/>
        <w:rPr>
          <w:rFonts w:ascii="Arial" w:eastAsia="Calibri" w:hAnsi="Arial" w:cs="Arial"/>
        </w:rPr>
      </w:pPr>
      <w:r w:rsidRPr="00185668">
        <w:rPr>
          <w:rFonts w:ascii="Arial" w:eastAsia="Calibri" w:hAnsi="Arial" w:cs="Arial"/>
        </w:rPr>
        <w:t xml:space="preserve"> </w:t>
      </w:r>
    </w:p>
    <w:p w14:paraId="34D7D08A" w14:textId="77777777" w:rsidR="00185668" w:rsidRPr="00185668" w:rsidRDefault="00185668" w:rsidP="00185668">
      <w:pPr>
        <w:spacing w:after="120" w:line="276" w:lineRule="auto"/>
        <w:ind w:firstLine="709"/>
        <w:jc w:val="both"/>
        <w:rPr>
          <w:rFonts w:ascii="Arial" w:eastAsia="Calibri" w:hAnsi="Arial" w:cs="Arial"/>
        </w:rPr>
      </w:pPr>
      <w:r w:rsidRPr="00185668">
        <w:rPr>
          <w:rFonts w:ascii="Arial" w:eastAsia="Calibri" w:hAnsi="Arial" w:cs="Arial"/>
        </w:rPr>
        <w:t xml:space="preserve">Conforme con lo anterior, en armonía con lo señalado en el artículo 2.2.1.1.1.5.1. del Decreto 1082 de 2015, </w:t>
      </w:r>
      <w:r w:rsidRPr="00185668">
        <w:rPr>
          <w:rFonts w:ascii="Arial" w:eastAsia="Calibri" w:hAnsi="Arial" w:cs="Arial"/>
          <w:iCs/>
        </w:rPr>
        <w:t xml:space="preserve">si el proponente no </w:t>
      </w:r>
      <w:r w:rsidRPr="00185668">
        <w:rPr>
          <w:rFonts w:ascii="Arial" w:eastAsia="Calibri" w:hAnsi="Arial" w:cs="Arial"/>
          <w:i/>
        </w:rPr>
        <w:t>presenta la información</w:t>
      </w:r>
      <w:r w:rsidRPr="00185668">
        <w:rPr>
          <w:rFonts w:ascii="Arial" w:eastAsia="Calibri" w:hAnsi="Arial" w:cs="Arial"/>
          <w:iCs/>
        </w:rPr>
        <w:t xml:space="preserve"> para renovar su registro a más tardar el quinto día hábil del mes de abril de cada año, cesan los efectos del RUP. Lo anterior implica que</w:t>
      </w:r>
      <w:r w:rsidRPr="00185668">
        <w:rPr>
          <w:rFonts w:ascii="Arial" w:eastAsia="Calibri" w:hAnsi="Arial" w:cs="Arial"/>
        </w:rPr>
        <w:t xml:space="preserve"> el proponente que no cumpla con la carga indicada no se puede presentar a los procedimientos de selección, en los casos que es necesario estar inscrito en el RUP, porque no </w:t>
      </w:r>
      <w:r w:rsidRPr="00185668">
        <w:rPr>
          <w:rFonts w:ascii="Arial" w:eastAsia="Calibri" w:hAnsi="Arial" w:cs="Arial"/>
        </w:rPr>
        <w:lastRenderedPageBreak/>
        <w:t xml:space="preserve">tendría capacidad para hacerlo y, por tanto, tendría que inscribirse nuevamente, caso en el que solo se podrá presentar cuando la inscripción esté en firme. </w:t>
      </w:r>
    </w:p>
    <w:p w14:paraId="5667FDF8"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Tratándose del trámite de </w:t>
      </w:r>
      <w:r w:rsidRPr="00185668">
        <w:rPr>
          <w:rFonts w:ascii="Arial" w:eastAsia="Calibri" w:hAnsi="Arial" w:cs="Arial"/>
          <w:i/>
        </w:rPr>
        <w:t>renovación,</w:t>
      </w:r>
      <w:r w:rsidRPr="00185668">
        <w:rPr>
          <w:rFonts w:ascii="Arial" w:eastAsia="Calibri" w:hAnsi="Arial" w:cs="Arial"/>
        </w:rPr>
        <w:t xml:space="preserve"> la persona que haya </w:t>
      </w:r>
      <w:r w:rsidRPr="00185668">
        <w:rPr>
          <w:rFonts w:ascii="Arial" w:eastAsia="Calibri" w:hAnsi="Arial" w:cs="Arial"/>
          <w:i/>
          <w:iCs/>
        </w:rPr>
        <w:t>presentado la información</w:t>
      </w:r>
      <w:r w:rsidRPr="00185668">
        <w:rPr>
          <w:rFonts w:ascii="Arial" w:eastAsia="Calibri" w:hAnsi="Arial" w:cs="Arial"/>
        </w:rPr>
        <w:t xml:space="preserve"> para renovar su registro a más tardar al quinto día hábil del mes de abril, cumpliendo con el requisito establecido en el artículo 2.2.1.1.1.5.1., puede participar en los procedimientos de selección, debiéndose tener en cuenta momentáneamente la información «antigua». De esta manera, en el período comprendido entre el momento de la solicitud de renovación y el momento de la firmeza de la nueva información, se permite que haga valer la información del RUP que estaba en firme antes de iniciar el trámite de renovación, cuyos efectos no habrían cesado por encontrarse vigente.</w:t>
      </w:r>
    </w:p>
    <w:p w14:paraId="6E870A01"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Así las cosas, para verificar que los efectos del RUP no han cesado, es necesario que el certificado contenga la anotación de que el inscrito, a más tardar el quinto día hábil de abril de cada año,</w:t>
      </w:r>
      <w:r w:rsidRPr="00185668" w:rsidDel="00B14FC4">
        <w:rPr>
          <w:rFonts w:ascii="Arial" w:eastAsia="Calibri" w:hAnsi="Arial" w:cs="Arial"/>
        </w:rPr>
        <w:t xml:space="preserve"> </w:t>
      </w:r>
      <w:r w:rsidRPr="00185668">
        <w:rPr>
          <w:rFonts w:ascii="Arial" w:eastAsia="Calibri" w:hAnsi="Arial" w:cs="Arial"/>
        </w:rPr>
        <w:t xml:space="preserve">radicó ante la cámara de comercio los documentos para la renovación. En todo caso, si tal circunstancia no estuviere inscrita en el certificado, se podrá acreditar a través del medio documental expedido por la cámara de comercio correspondiente. Sin perjuicio de lo anterior, por no existir tarifa legal que permita establecer la forma de acreditar el inicio del trámite de renovación, y concretamente de la presentación de la información para renovar el Registro, la entidad estatal debe verificar que el documento aportado por el proponente ofrezca certeza sobre el estado del trámite. </w:t>
      </w:r>
    </w:p>
    <w:p w14:paraId="4D97AC51"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185668">
        <w:rPr>
          <w:rFonts w:ascii="Arial" w:eastAsia="Calibri" w:hAnsi="Arial" w:cs="Arial"/>
          <w:vertAlign w:val="superscript"/>
        </w:rPr>
        <w:footnoteReference w:id="5"/>
      </w:r>
      <w:r w:rsidRPr="00185668">
        <w:rPr>
          <w:rFonts w:ascii="Arial" w:eastAsia="Calibri" w:hAnsi="Arial" w:cs="Arial"/>
        </w:rPr>
        <w:t xml:space="preserve">.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4EBA8541"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185668">
        <w:rPr>
          <w:rFonts w:ascii="Arial" w:eastAsia="Calibri" w:hAnsi="Arial" w:cs="Arial"/>
          <w:vertAlign w:val="superscript"/>
        </w:rPr>
        <w:footnoteReference w:id="6"/>
      </w:r>
      <w:r w:rsidRPr="00185668">
        <w:rPr>
          <w:rFonts w:ascii="Arial" w:eastAsia="Calibri" w:hAnsi="Arial" w:cs="Arial"/>
        </w:rPr>
        <w:t xml:space="preserve">. </w:t>
      </w:r>
    </w:p>
    <w:p w14:paraId="6496E2AE"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Es importante resaltar que los distintos eventos de firmeza señalados en el artículo 87 del CPACA involucran la exigencia de la publicidad, comunicación o notificación del acto, según el </w:t>
      </w:r>
      <w:r w:rsidRPr="00185668">
        <w:rPr>
          <w:rFonts w:ascii="Arial" w:eastAsia="Calibri" w:hAnsi="Arial" w:cs="Arial"/>
        </w:rPr>
        <w:lastRenderedPageBreak/>
        <w:t xml:space="preserve">caso, además de incluir la necesidad de resolver los recursos administrativos interpuestos contra la decisión, como expresión del debido proceso y del derecho de defensa en sede administrativa. </w:t>
      </w:r>
    </w:p>
    <w:p w14:paraId="0B8325C6"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414CDA5F"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3C624641"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En relación con la </w:t>
      </w:r>
      <w:r w:rsidRPr="00185668">
        <w:rPr>
          <w:rFonts w:ascii="Arial" w:eastAsia="Calibri" w:hAnsi="Arial" w:cs="Arial"/>
          <w:b/>
          <w:bCs/>
          <w:i/>
          <w:iCs/>
        </w:rPr>
        <w:t>inscripción</w:t>
      </w:r>
      <w:r w:rsidRPr="00185668">
        <w:rPr>
          <w:rFonts w:ascii="Arial" w:eastAsia="Calibri"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185668">
        <w:rPr>
          <w:rFonts w:ascii="Arial" w:eastAsia="Calibri" w:hAnsi="Arial" w:cs="Arial"/>
          <w:vertAlign w:val="superscript"/>
        </w:rPr>
        <w:footnoteReference w:id="7"/>
      </w:r>
      <w:r w:rsidRPr="00185668">
        <w:rPr>
          <w:rFonts w:ascii="Arial" w:eastAsia="Calibri" w:hAnsi="Arial" w:cs="Arial"/>
        </w:rPr>
        <w:t>,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w:t>
      </w:r>
      <w:r w:rsidRPr="00185668">
        <w:rPr>
          <w:rFonts w:ascii="Arial" w:eastAsia="Calibri" w:hAnsi="Arial" w:cs="Arial"/>
          <w:vertAlign w:val="superscript"/>
        </w:rPr>
        <w:footnoteReference w:id="8"/>
      </w:r>
      <w:r w:rsidRPr="00185668">
        <w:rPr>
          <w:rFonts w:ascii="Arial" w:eastAsia="Calibri" w:hAnsi="Arial" w:cs="Arial"/>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185668">
        <w:rPr>
          <w:rFonts w:ascii="Arial" w:eastAsia="Calibri" w:hAnsi="Arial" w:cs="Arial"/>
          <w:i/>
          <w:iCs/>
        </w:rPr>
        <w:t>inscripción</w:t>
      </w:r>
      <w:r w:rsidRPr="00185668">
        <w:rPr>
          <w:rFonts w:ascii="Arial" w:eastAsia="Calibri" w:hAnsi="Arial" w:cs="Arial"/>
        </w:rPr>
        <w:t xml:space="preserve"> debe estar en firme, pues solo así se materializa y produce efectos la inscripción</w:t>
      </w:r>
      <w:r w:rsidRPr="00185668">
        <w:rPr>
          <w:rFonts w:ascii="Arial" w:eastAsia="Calibri" w:hAnsi="Arial" w:cs="Arial"/>
          <w:vertAlign w:val="superscript"/>
        </w:rPr>
        <w:footnoteReference w:id="9"/>
      </w:r>
      <w:r w:rsidRPr="00185668">
        <w:rPr>
          <w:rFonts w:ascii="Arial" w:eastAsia="Calibri" w:hAnsi="Arial" w:cs="Arial"/>
        </w:rPr>
        <w:t xml:space="preserve">. </w:t>
      </w:r>
    </w:p>
    <w:p w14:paraId="212DF9FE"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lastRenderedPageBreak/>
        <w:t xml:space="preserve">Por lo tanto, si la cámara de comercio expide el acto administrativo de </w:t>
      </w:r>
      <w:r w:rsidRPr="00185668">
        <w:rPr>
          <w:rFonts w:ascii="Arial" w:eastAsia="Calibri" w:hAnsi="Arial" w:cs="Arial"/>
          <w:i/>
          <w:iCs/>
        </w:rPr>
        <w:t>inscripción</w:t>
      </w:r>
      <w:r w:rsidRPr="00185668">
        <w:rPr>
          <w:rFonts w:ascii="Arial" w:eastAsia="Calibri" w:hAnsi="Arial" w:cs="Arial"/>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7BDC3899" w14:textId="77777777" w:rsidR="00185668" w:rsidRPr="00185668" w:rsidRDefault="00185668" w:rsidP="00185668">
      <w:pPr>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 xml:space="preserve">De otro lado, tratándose del trámite de </w:t>
      </w:r>
      <w:r w:rsidRPr="00185668">
        <w:rPr>
          <w:rFonts w:ascii="Arial" w:eastAsia="Calibri" w:hAnsi="Arial" w:cs="Arial"/>
          <w:b/>
          <w:bCs/>
          <w:i/>
          <w:iCs/>
          <w:color w:val="000000"/>
        </w:rPr>
        <w:t>renovación</w:t>
      </w:r>
      <w:r w:rsidRPr="00185668">
        <w:rPr>
          <w:rFonts w:ascii="Arial" w:eastAsia="Calibri" w:hAnsi="Arial" w:cs="Arial"/>
          <w:i/>
          <w:iCs/>
          <w:color w:val="000000"/>
        </w:rPr>
        <w:t>,</w:t>
      </w:r>
      <w:r w:rsidRPr="00185668">
        <w:rPr>
          <w:rFonts w:ascii="Arial" w:eastAsia="Calibri" w:hAnsi="Arial" w:cs="Arial"/>
          <w:color w:val="000000"/>
        </w:rPr>
        <w:t xml:space="preserve"> se reitera lo expresado en el sentido de que la persona que </w:t>
      </w:r>
      <w:r w:rsidRPr="00185668">
        <w:rPr>
          <w:rFonts w:ascii="Arial" w:eastAsia="Calibri" w:hAnsi="Arial" w:cs="Arial"/>
          <w:i/>
          <w:iCs/>
          <w:color w:val="000000"/>
        </w:rPr>
        <w:t>presentó la información</w:t>
      </w:r>
      <w:r w:rsidRPr="00185668">
        <w:rPr>
          <w:rFonts w:ascii="Arial" w:eastAsia="Calibri" w:hAnsi="Arial" w:cs="Arial"/>
          <w:color w:val="000000"/>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4A742FAE" w14:textId="77777777" w:rsidR="00185668" w:rsidRPr="00185668" w:rsidRDefault="00185668" w:rsidP="00185668">
      <w:pPr>
        <w:spacing w:before="120" w:after="0" w:line="276" w:lineRule="auto"/>
        <w:ind w:firstLine="709"/>
        <w:jc w:val="both"/>
        <w:rPr>
          <w:rFonts w:ascii="Arial" w:eastAsia="Calibri" w:hAnsi="Arial" w:cs="Arial"/>
          <w:color w:val="000000"/>
        </w:rPr>
      </w:pPr>
      <w:r w:rsidRPr="00185668">
        <w:rPr>
          <w:rFonts w:ascii="Arial" w:eastAsia="Calibri" w:hAnsi="Arial" w:cs="Arial"/>
          <w:color w:val="00000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185668">
        <w:rPr>
          <w:rFonts w:ascii="Arial" w:eastAsia="Calibri" w:hAnsi="Arial" w:cs="Arial"/>
          <w:i/>
          <w:iCs/>
          <w:color w:val="000000"/>
        </w:rPr>
        <w:t>subsanar</w:t>
      </w:r>
      <w:r w:rsidRPr="00185668">
        <w:rPr>
          <w:rFonts w:ascii="Arial" w:eastAsia="Calibri" w:hAnsi="Arial" w:cs="Arial"/>
          <w:color w:val="000000"/>
        </w:rPr>
        <w:t xml:space="preserve"> circunstancias ocurridas con posterioridad al cierre. Por el contrario,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sidRPr="00185668">
        <w:rPr>
          <w:rFonts w:ascii="Arial" w:eastAsia="Calibri" w:hAnsi="Arial" w:cs="Arial"/>
          <w:i/>
          <w:iCs/>
          <w:color w:val="000000"/>
        </w:rPr>
        <w:t xml:space="preserve">renovado, </w:t>
      </w:r>
      <w:r w:rsidRPr="00185668">
        <w:rPr>
          <w:rFonts w:ascii="Arial" w:eastAsia="Calibri" w:hAnsi="Arial" w:cs="Arial"/>
          <w:color w:val="000000"/>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w:t>
      </w:r>
    </w:p>
    <w:p w14:paraId="665607D7" w14:textId="77777777" w:rsidR="00185668" w:rsidRPr="00185668" w:rsidRDefault="00185668" w:rsidP="00185668">
      <w:pPr>
        <w:spacing w:after="0" w:line="276" w:lineRule="auto"/>
        <w:ind w:firstLine="709"/>
        <w:jc w:val="both"/>
        <w:rPr>
          <w:rFonts w:ascii="Arial" w:eastAsia="Calibri" w:hAnsi="Arial" w:cs="Arial"/>
          <w:color w:val="000000"/>
        </w:rPr>
      </w:pPr>
    </w:p>
    <w:p w14:paraId="0D77B6F3" w14:textId="77777777" w:rsidR="00185668" w:rsidRPr="00185668" w:rsidRDefault="00185668" w:rsidP="00185668">
      <w:pPr>
        <w:spacing w:after="0" w:line="276" w:lineRule="auto"/>
        <w:contextualSpacing/>
        <w:jc w:val="both"/>
        <w:rPr>
          <w:rFonts w:ascii="Arial" w:eastAsia="Calibri" w:hAnsi="Arial" w:cs="Arial"/>
          <w:b/>
          <w:color w:val="000000"/>
        </w:rPr>
      </w:pPr>
      <w:r w:rsidRPr="00185668">
        <w:rPr>
          <w:rFonts w:ascii="Arial" w:eastAsia="Calibri" w:hAnsi="Arial" w:cs="Arial"/>
          <w:b/>
          <w:color w:val="000000"/>
        </w:rPr>
        <w:t>2.2.</w:t>
      </w:r>
      <w:r w:rsidRPr="00185668">
        <w:rPr>
          <w:rFonts w:ascii="Arial" w:eastAsia="Calibri" w:hAnsi="Arial" w:cs="Arial"/>
          <w:color w:val="000000"/>
        </w:rPr>
        <w:t xml:space="preserve"> </w:t>
      </w:r>
      <w:r w:rsidRPr="00185668">
        <w:rPr>
          <w:rFonts w:ascii="Arial" w:eastAsia="Calibri" w:hAnsi="Arial" w:cs="Arial"/>
          <w:b/>
        </w:rPr>
        <w:t xml:space="preserve">Análisis de las causales de rechazo de los </w:t>
      </w:r>
      <w:r w:rsidRPr="00185668">
        <w:rPr>
          <w:rFonts w:ascii="Arial" w:eastAsia="Calibri" w:hAnsi="Arial" w:cs="Arial"/>
          <w:b/>
          <w:color w:val="000000"/>
        </w:rPr>
        <w:t xml:space="preserve">literales E y F del numeral 1.15 de los documentos tipo de licitación para obras de infraestructura social </w:t>
      </w:r>
    </w:p>
    <w:p w14:paraId="44B234B6" w14:textId="77777777" w:rsidR="00185668" w:rsidRPr="00185668" w:rsidRDefault="00185668" w:rsidP="00185668">
      <w:pPr>
        <w:spacing w:after="0" w:line="276" w:lineRule="auto"/>
        <w:contextualSpacing/>
        <w:jc w:val="both"/>
        <w:rPr>
          <w:rFonts w:ascii="Arial" w:eastAsia="Calibri" w:hAnsi="Arial" w:cs="Arial"/>
          <w:b/>
        </w:rPr>
      </w:pPr>
      <w:r w:rsidRPr="00185668">
        <w:rPr>
          <w:rFonts w:ascii="Arial" w:eastAsia="Calibri" w:hAnsi="Arial" w:cs="Arial"/>
          <w:b/>
          <w:color w:val="000000"/>
        </w:rPr>
        <w:t xml:space="preserve"> </w:t>
      </w:r>
    </w:p>
    <w:p w14:paraId="039CF8F2" w14:textId="77777777" w:rsidR="00185668" w:rsidRPr="00185668" w:rsidRDefault="00185668" w:rsidP="00185668">
      <w:pPr>
        <w:tabs>
          <w:tab w:val="left" w:pos="0"/>
        </w:tabs>
        <w:spacing w:after="120" w:line="276" w:lineRule="auto"/>
        <w:jc w:val="both"/>
        <w:rPr>
          <w:rFonts w:ascii="Arial" w:eastAsia="Calibri" w:hAnsi="Arial" w:cs="Arial"/>
          <w:color w:val="000000"/>
        </w:rPr>
      </w:pPr>
      <w:r w:rsidRPr="00185668">
        <w:rPr>
          <w:rFonts w:ascii="Arial" w:eastAsia="Calibri" w:hAnsi="Arial" w:cs="Arial"/>
          <w:color w:val="000000"/>
        </w:rPr>
        <w:lastRenderedPageBreak/>
        <w:t xml:space="preserve">Una vez analizado el marco jurídico respecto a la firmeza del RUP y los trámites de </w:t>
      </w:r>
      <w:r w:rsidRPr="00185668">
        <w:rPr>
          <w:rFonts w:ascii="Arial" w:eastAsia="Calibri" w:hAnsi="Arial" w:cs="Arial"/>
          <w:i/>
          <w:iCs/>
          <w:color w:val="000000"/>
        </w:rPr>
        <w:t xml:space="preserve">inscripción </w:t>
      </w:r>
      <w:r w:rsidRPr="00185668">
        <w:rPr>
          <w:rFonts w:ascii="Arial" w:eastAsia="Calibri" w:hAnsi="Arial" w:cs="Arial"/>
          <w:color w:val="000000"/>
        </w:rPr>
        <w:t xml:space="preserve">y </w:t>
      </w:r>
      <w:r w:rsidRPr="00185668">
        <w:rPr>
          <w:rFonts w:ascii="Arial" w:eastAsia="Calibri" w:hAnsi="Arial" w:cs="Arial"/>
          <w:i/>
          <w:iCs/>
          <w:color w:val="000000"/>
        </w:rPr>
        <w:t>renovación</w:t>
      </w:r>
      <w:r w:rsidRPr="00185668">
        <w:rPr>
          <w:rFonts w:ascii="Arial" w:eastAsia="Calibri" w:hAnsi="Arial" w:cs="Arial"/>
          <w:color w:val="000000"/>
        </w:rPr>
        <w:t xml:space="preserve"> del registro, es posible estudiar de manera contextualizada las causales de rechazo de los literales E y F del numeral 1.15 de los documentos tipo para licitación de obra pública de infraestructura social, asunto aludido en la consulta que se resuelve. De un lado, la causal F prescribe:</w:t>
      </w:r>
      <w:r w:rsidRPr="00185668">
        <w:rPr>
          <w:rFonts w:ascii="Arial" w:eastAsia="Calibri" w:hAnsi="Arial" w:cs="Arial"/>
          <w:sz w:val="24"/>
        </w:rPr>
        <w:t xml:space="preserve"> «</w:t>
      </w:r>
      <w:r w:rsidRPr="00185668">
        <w:rPr>
          <w:rFonts w:ascii="Arial" w:eastAsia="Calibri" w:hAnsi="Arial" w:cs="Arial"/>
          <w:color w:val="000000"/>
        </w:rPr>
        <w:t>Que la inscripción en el Registro Único de Proponentes (RUP) que realice el proponente, por primera vez o cuando han cesado los efectos y debe volver a inscribirse, no esté en firme en la fecha prevista para el cierre del proceso de contratación».</w:t>
      </w:r>
    </w:p>
    <w:p w14:paraId="380712B0" w14:textId="77777777" w:rsidR="00185668" w:rsidRPr="00185668" w:rsidRDefault="00185668" w:rsidP="00185668">
      <w:pPr>
        <w:tabs>
          <w:tab w:val="left" w:pos="0"/>
        </w:tabs>
        <w:spacing w:after="120" w:line="276" w:lineRule="auto"/>
        <w:ind w:firstLine="709"/>
        <w:jc w:val="both"/>
        <w:rPr>
          <w:rFonts w:ascii="Arial" w:eastAsia="Calibri" w:hAnsi="Arial" w:cs="Arial"/>
          <w:color w:val="000000"/>
        </w:rPr>
      </w:pPr>
      <w:r w:rsidRPr="00185668">
        <w:rPr>
          <w:rFonts w:ascii="Arial" w:eastAsia="Calibri" w:hAnsi="Arial" w:cs="Arial"/>
          <w:color w:val="000000"/>
        </w:rPr>
        <w:t>Esta causal implica que la oferta debe rechazarse cuando el proponente no cuenta con una inscripción en el RUP en firme, tratándose de su primera inscripción o cuando han cesado los efectos y debe volver a inscribirse –como cuando la renovación no se realiza a tiempo y debe realizarse el trámite como una nueva inscripción–.</w:t>
      </w:r>
    </w:p>
    <w:p w14:paraId="0264BB50" w14:textId="77777777" w:rsidR="00185668" w:rsidRPr="00185668" w:rsidRDefault="00185668" w:rsidP="00185668">
      <w:pPr>
        <w:tabs>
          <w:tab w:val="left" w:pos="0"/>
        </w:tabs>
        <w:spacing w:after="120" w:line="276" w:lineRule="auto"/>
        <w:ind w:firstLine="709"/>
        <w:jc w:val="both"/>
        <w:rPr>
          <w:rFonts w:ascii="Arial" w:eastAsia="Calibri" w:hAnsi="Arial" w:cs="Arial"/>
          <w:color w:val="000000"/>
        </w:rPr>
      </w:pPr>
      <w:r w:rsidRPr="00185668">
        <w:rPr>
          <w:rFonts w:ascii="Arial" w:eastAsia="Calibri" w:hAnsi="Arial" w:cs="Arial"/>
          <w:color w:val="000000"/>
        </w:rPr>
        <w:t>En consecuencia, en estos casos, el proponente debe contar con el acto administrativo de inscripción en el RUP en firme antes del cierre del proceso, so pena de que opere esta causal. Así, no es suficiente con demostrar la solicitud o radicación de los documentos requeridos para el trámite de inscripción, sino que es necesario acreditar la firmeza del acto administrativo de inscripción, ya que no es posible acreditar circunstancias ocurridas con posterioridad al cierre del proceso de contratación.</w:t>
      </w:r>
    </w:p>
    <w:p w14:paraId="6D72A994" w14:textId="77777777" w:rsidR="00185668" w:rsidRPr="00185668" w:rsidRDefault="00185668" w:rsidP="00185668">
      <w:pPr>
        <w:tabs>
          <w:tab w:val="left" w:pos="0"/>
        </w:tabs>
        <w:spacing w:after="120" w:line="276" w:lineRule="auto"/>
        <w:ind w:firstLine="709"/>
        <w:jc w:val="both"/>
        <w:rPr>
          <w:rFonts w:ascii="Arial" w:eastAsia="Calibri" w:hAnsi="Arial" w:cs="Arial"/>
          <w:color w:val="000000"/>
        </w:rPr>
      </w:pPr>
      <w:bookmarkStart w:id="2" w:name="_Hlk113548239"/>
      <w:r w:rsidRPr="00185668">
        <w:rPr>
          <w:rFonts w:ascii="Arial" w:eastAsia="Calibri" w:hAnsi="Arial" w:cs="Arial"/>
          <w:color w:val="000000"/>
        </w:rPr>
        <w:t xml:space="preserve">Por otra parte, en relación con la renovación del RUP, la causal F establece: «Que el Proponente no acredite la presentación de la información para </w:t>
      </w:r>
      <w:r w:rsidRPr="00185668">
        <w:rPr>
          <w:rFonts w:ascii="Arial" w:eastAsia="Calibri" w:hAnsi="Arial" w:cs="Arial"/>
          <w:i/>
          <w:iCs/>
          <w:color w:val="000000"/>
        </w:rPr>
        <w:t>renovar</w:t>
      </w:r>
      <w:r w:rsidRPr="00185668">
        <w:rPr>
          <w:rFonts w:ascii="Arial" w:eastAsia="Calibri" w:hAnsi="Arial" w:cs="Arial"/>
          <w:color w:val="000000"/>
        </w:rPr>
        <w:t xml:space="preserve"> el Registro Único de Proponentes (RUP) a más tardar el quinto día hábil del mes de abril de cada año o en la fecha que establezca la ley o reglamento, si fuera una distinta».</w:t>
      </w:r>
    </w:p>
    <w:p w14:paraId="62E0717A" w14:textId="77777777" w:rsidR="00185668" w:rsidRPr="00185668" w:rsidRDefault="00185668" w:rsidP="00185668">
      <w:pPr>
        <w:tabs>
          <w:tab w:val="left" w:pos="0"/>
        </w:tabs>
        <w:spacing w:before="120" w:after="120" w:line="276" w:lineRule="auto"/>
        <w:ind w:firstLine="709"/>
        <w:jc w:val="both"/>
        <w:rPr>
          <w:rFonts w:ascii="Arial" w:eastAsia="Calibri" w:hAnsi="Arial" w:cs="Arial"/>
          <w:color w:val="000000"/>
        </w:rPr>
      </w:pPr>
      <w:r w:rsidRPr="00185668">
        <w:rPr>
          <w:rFonts w:ascii="Arial" w:eastAsia="Calibri" w:hAnsi="Arial" w:cs="Arial"/>
          <w:lang w:val="es-MX"/>
        </w:rPr>
        <w:t xml:space="preserve">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185668">
        <w:rPr>
          <w:rFonts w:ascii="Arial" w:eastAsia="Calibri" w:hAnsi="Arial" w:cs="Arial"/>
          <w:color w:val="000000"/>
        </w:rPr>
        <w:t>2.2.1.1.1.5.1. del Decreto 1082 de 2015, esto es, que no haya presentado la información para renovar el RUP a más tardar el quinto día hábil del mes de abril de cada año.</w:t>
      </w:r>
    </w:p>
    <w:bookmarkEnd w:id="2"/>
    <w:p w14:paraId="576E36A7" w14:textId="77777777" w:rsidR="00185668" w:rsidRPr="00185668" w:rsidRDefault="00185668" w:rsidP="00185668">
      <w:pPr>
        <w:tabs>
          <w:tab w:val="left" w:pos="0"/>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 xml:space="preserve">No obstante, ello no quiere decir que la causal se extienda a los supuestos en los que el proponente realiza una nueva </w:t>
      </w:r>
      <w:r w:rsidRPr="00185668">
        <w:rPr>
          <w:rFonts w:ascii="Arial" w:eastAsia="Calibri" w:hAnsi="Arial" w:cs="Arial"/>
          <w:i/>
          <w:iCs/>
          <w:color w:val="000000"/>
        </w:rPr>
        <w:t>inscripción</w:t>
      </w:r>
      <w:r w:rsidRPr="00185668">
        <w:rPr>
          <w:rFonts w:ascii="Arial" w:eastAsia="Calibri" w:hAnsi="Arial" w:cs="Arial"/>
          <w:color w:val="000000"/>
        </w:rPr>
        <w:t>,</w:t>
      </w:r>
      <w:r w:rsidRPr="00185668">
        <w:rPr>
          <w:rFonts w:ascii="Arial" w:eastAsia="Calibri" w:hAnsi="Arial" w:cs="Arial"/>
          <w:i/>
          <w:iCs/>
          <w:color w:val="000000"/>
        </w:rPr>
        <w:t xml:space="preserve"> </w:t>
      </w:r>
      <w:r w:rsidRPr="00185668">
        <w:rPr>
          <w:rFonts w:ascii="Arial" w:eastAsia="Calibri" w:hAnsi="Arial" w:cs="Arial"/>
          <w:color w:val="000000"/>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185668">
        <w:rPr>
          <w:rFonts w:ascii="Arial" w:eastAsia="Calibri" w:hAnsi="Arial" w:cs="Arial"/>
          <w:i/>
          <w:iCs/>
          <w:color w:val="000000"/>
        </w:rPr>
        <w:t xml:space="preserve">nueva inscripción </w:t>
      </w:r>
      <w:r w:rsidRPr="00185668">
        <w:rPr>
          <w:rFonts w:ascii="Arial" w:eastAsia="Calibri" w:hAnsi="Arial" w:cs="Arial"/>
          <w:color w:val="000000"/>
        </w:rPr>
        <w:t xml:space="preserve">puede participar en los procedimientos de selección, incluidos los regidos por los documentos tipo. </w:t>
      </w:r>
    </w:p>
    <w:p w14:paraId="3A337CA2" w14:textId="77777777" w:rsidR="00185668" w:rsidRPr="00185668" w:rsidRDefault="00185668" w:rsidP="00185668">
      <w:pPr>
        <w:tabs>
          <w:tab w:val="left" w:pos="0"/>
        </w:tabs>
        <w:spacing w:before="120" w:after="0" w:line="276" w:lineRule="auto"/>
        <w:ind w:firstLine="709"/>
        <w:jc w:val="both"/>
        <w:rPr>
          <w:rFonts w:ascii="Arial" w:eastAsia="Calibri" w:hAnsi="Arial" w:cs="Arial"/>
          <w:color w:val="000000"/>
        </w:rPr>
      </w:pPr>
      <w:r w:rsidRPr="00185668">
        <w:rPr>
          <w:rFonts w:ascii="Arial" w:eastAsia="Arial" w:hAnsi="Arial" w:cs="Arial"/>
          <w:color w:val="000000"/>
          <w:lang w:val="es-MX" w:eastAsia="es-CO"/>
        </w:rPr>
        <w:t xml:space="preserve">En este sentido, cuando el proponente incumple su deber de renovar su registro en el RUP y los efectos han cesado, debe volver a inscribirse, supuesto en el cual podrá participar </w:t>
      </w:r>
      <w:r w:rsidRPr="00185668">
        <w:rPr>
          <w:rFonts w:ascii="Arial" w:eastAsia="Arial" w:hAnsi="Arial" w:cs="Arial"/>
          <w:color w:val="000000"/>
          <w:lang w:val="es-MX" w:eastAsia="es-CO"/>
        </w:rPr>
        <w:lastRenderedPageBreak/>
        <w:t xml:space="preserve">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185668">
        <w:rPr>
          <w:rFonts w:ascii="Arial" w:eastAsia="Calibri" w:hAnsi="Arial" w:cs="Arial"/>
          <w:color w:val="000000"/>
        </w:rPr>
        <w:t>«Durante el término otorgado para subsanar las ofertas, los proponentes no podrán acreditar circunstancias ocurridas con posterioridad al cierre del proceso».</w:t>
      </w:r>
    </w:p>
    <w:p w14:paraId="64413621" w14:textId="77777777" w:rsidR="00185668" w:rsidRPr="00185668" w:rsidRDefault="00185668" w:rsidP="00185668">
      <w:pPr>
        <w:tabs>
          <w:tab w:val="left" w:pos="0"/>
        </w:tabs>
        <w:spacing w:before="120" w:after="0" w:line="276" w:lineRule="auto"/>
        <w:ind w:firstLine="709"/>
        <w:jc w:val="both"/>
        <w:rPr>
          <w:rFonts w:ascii="Arial" w:eastAsia="Calibri" w:hAnsi="Arial" w:cs="Arial"/>
          <w:color w:val="000000"/>
        </w:rPr>
      </w:pPr>
      <w:r w:rsidRPr="00185668">
        <w:rPr>
          <w:rFonts w:ascii="Arial" w:eastAsia="Calibri" w:hAnsi="Arial" w:cs="Arial"/>
          <w:color w:val="000000"/>
        </w:rPr>
        <w:t xml:space="preserve">Además, cabe aclarar que conforme con las explicaciones anteriores, esta causal tampoco aplicaría, con sobradas razones, en los supuestos en que el interesado haya cumplido con el deber de </w:t>
      </w:r>
      <w:r w:rsidRPr="00185668">
        <w:rPr>
          <w:rFonts w:ascii="Arial" w:eastAsia="Calibri" w:hAnsi="Arial" w:cs="Arial"/>
          <w:i/>
          <w:iCs/>
          <w:color w:val="000000"/>
        </w:rPr>
        <w:t xml:space="preserve">presentar la información </w:t>
      </w:r>
      <w:r w:rsidRPr="00185668">
        <w:rPr>
          <w:rFonts w:ascii="Arial" w:eastAsia="Calibri" w:hAnsi="Arial" w:cs="Arial"/>
          <w:color w:val="000000"/>
        </w:rPr>
        <w:t xml:space="preserve">para renovar su registro antes del quinto día del mes de abril y la renovación solo quede en firme en una fecha posterior. En tal sentido, en el numeral anterior se señaló el tratamiento procedente en estos supuestos, aclarando que una vez la renovación quede en firme el proponente participará con su RUP renovado en los procesos futuros. En tal sentido, sin perjuicio de las precisiones realizadas en el acápite anterior, los supuestos en que aplica la causal de rechazo del literal F se </w:t>
      </w:r>
      <w:proofErr w:type="gramStart"/>
      <w:r w:rsidRPr="00185668">
        <w:rPr>
          <w:rFonts w:ascii="Arial" w:eastAsia="Calibri" w:hAnsi="Arial" w:cs="Arial"/>
          <w:color w:val="000000"/>
        </w:rPr>
        <w:t>manifiesta</w:t>
      </w:r>
      <w:proofErr w:type="gramEnd"/>
      <w:r w:rsidRPr="00185668">
        <w:rPr>
          <w:rFonts w:ascii="Arial" w:eastAsia="Calibri" w:hAnsi="Arial" w:cs="Arial"/>
          <w:color w:val="000000"/>
        </w:rPr>
        <w:t xml:space="preserve"> en aquellos casos en que el proponente </w:t>
      </w:r>
      <w:r w:rsidRPr="00185668">
        <w:rPr>
          <w:rFonts w:ascii="Arial" w:eastAsia="Calibri" w:hAnsi="Arial" w:cs="Arial"/>
          <w:i/>
          <w:iCs/>
          <w:color w:val="000000"/>
        </w:rPr>
        <w:t>haya incumplido el deber de presentar la información</w:t>
      </w:r>
      <w:r w:rsidRPr="00185668">
        <w:rPr>
          <w:rFonts w:ascii="Arial" w:eastAsia="Calibri" w:hAnsi="Arial" w:cs="Arial"/>
          <w:color w:val="000000"/>
        </w:rPr>
        <w:t xml:space="preserve"> para </w:t>
      </w:r>
      <w:r w:rsidRPr="00185668">
        <w:rPr>
          <w:rFonts w:ascii="Arial" w:eastAsia="Calibri" w:hAnsi="Arial" w:cs="Arial"/>
          <w:i/>
          <w:iCs/>
          <w:color w:val="000000"/>
        </w:rPr>
        <w:t>renovar</w:t>
      </w:r>
      <w:r w:rsidRPr="00185668">
        <w:rPr>
          <w:rFonts w:ascii="Arial" w:eastAsia="Calibri" w:hAnsi="Arial" w:cs="Arial"/>
          <w:color w:val="000000"/>
        </w:rPr>
        <w:t xml:space="preserve"> el Registro Único de Proponentes (RUP) a más tardar el quinto día hábil del mes de abril de cada año y este no cuente con una inscripción posterior en firme.</w:t>
      </w:r>
    </w:p>
    <w:p w14:paraId="34C683AE" w14:textId="77777777" w:rsidR="00185668" w:rsidRPr="00185668" w:rsidRDefault="00185668" w:rsidP="00185668">
      <w:pPr>
        <w:spacing w:after="0" w:line="240" w:lineRule="auto"/>
        <w:rPr>
          <w:rFonts w:ascii="Arial" w:eastAsia="Calibri" w:hAnsi="Arial" w:cs="Arial"/>
          <w:lang w:val="es-ES_tradnl"/>
        </w:rPr>
      </w:pPr>
    </w:p>
    <w:p w14:paraId="3EB66F12" w14:textId="77777777" w:rsidR="00185668" w:rsidRPr="00185668" w:rsidRDefault="00185668" w:rsidP="00185668">
      <w:pPr>
        <w:spacing w:after="0" w:line="276" w:lineRule="auto"/>
        <w:jc w:val="both"/>
        <w:rPr>
          <w:rFonts w:ascii="Arial" w:eastAsia="Calibri" w:hAnsi="Arial" w:cs="Arial"/>
          <w:b/>
          <w:lang w:val="es-MX"/>
        </w:rPr>
      </w:pPr>
      <w:r w:rsidRPr="00185668">
        <w:rPr>
          <w:rFonts w:ascii="Arial" w:eastAsia="Calibri" w:hAnsi="Arial" w:cs="Arial"/>
          <w:b/>
          <w:lang w:val="es-MX"/>
        </w:rPr>
        <w:t>3. Respuesta</w:t>
      </w:r>
    </w:p>
    <w:p w14:paraId="77CFDC9A" w14:textId="77777777" w:rsidR="00185668" w:rsidRPr="00185668" w:rsidRDefault="00185668" w:rsidP="00185668">
      <w:pPr>
        <w:tabs>
          <w:tab w:val="left" w:pos="426"/>
        </w:tabs>
        <w:spacing w:after="0" w:line="276" w:lineRule="auto"/>
        <w:jc w:val="both"/>
        <w:rPr>
          <w:rFonts w:ascii="Arial" w:eastAsia="Calibri" w:hAnsi="Arial" w:cs="Arial"/>
          <w:lang w:val="es-MX"/>
        </w:rPr>
      </w:pPr>
    </w:p>
    <w:p w14:paraId="7C4F02B1" w14:textId="77777777" w:rsidR="00185668" w:rsidRPr="00185668" w:rsidRDefault="00185668" w:rsidP="00185668">
      <w:pPr>
        <w:tabs>
          <w:tab w:val="left" w:pos="426"/>
        </w:tabs>
        <w:spacing w:after="0" w:line="240" w:lineRule="auto"/>
        <w:ind w:left="709" w:right="709"/>
        <w:jc w:val="both"/>
        <w:rPr>
          <w:rFonts w:ascii="Arial" w:eastAsia="Calibri" w:hAnsi="Arial" w:cs="Arial"/>
          <w:sz w:val="21"/>
          <w:szCs w:val="21"/>
          <w:lang w:val="es-MX"/>
        </w:rPr>
      </w:pPr>
      <w:r w:rsidRPr="00185668">
        <w:rPr>
          <w:rFonts w:ascii="Arial" w:eastAsia="Calibri" w:hAnsi="Arial" w:cs="Arial"/>
          <w:sz w:val="21"/>
          <w:szCs w:val="21"/>
          <w:lang w:val="es-MX"/>
        </w:rPr>
        <w:t xml:space="preserve">«Para efectos de presentación de ofertas para procesos de licitación se requiere saber para este punto en </w:t>
      </w:r>
      <w:proofErr w:type="spellStart"/>
      <w:r w:rsidRPr="00185668">
        <w:rPr>
          <w:rFonts w:ascii="Arial" w:eastAsia="Calibri" w:hAnsi="Arial" w:cs="Arial"/>
          <w:sz w:val="21"/>
          <w:szCs w:val="21"/>
          <w:lang w:val="es-MX"/>
        </w:rPr>
        <w:t>especifico</w:t>
      </w:r>
      <w:proofErr w:type="spellEnd"/>
      <w:r w:rsidRPr="00185668">
        <w:rPr>
          <w:rFonts w:ascii="Arial" w:eastAsia="Calibri" w:hAnsi="Arial" w:cs="Arial"/>
          <w:sz w:val="21"/>
          <w:szCs w:val="21"/>
          <w:lang w:val="es-MX"/>
        </w:rPr>
        <w:t xml:space="preserve"> (sic) como seria (sic) su aplicación e interpretación ya que se entiende como para que (sic) los proponentes que no hayan actualizado dentro del quinto día hábil del mes de abril de cada vigencia serian rechazados el proceso de verificación del documento en cuestión (sic), de igual forma se solicita amablemente un ejemplo </w:t>
      </w:r>
      <w:proofErr w:type="spellStart"/>
      <w:r w:rsidRPr="00185668">
        <w:rPr>
          <w:rFonts w:ascii="Arial" w:eastAsia="Calibri" w:hAnsi="Arial" w:cs="Arial"/>
          <w:sz w:val="21"/>
          <w:szCs w:val="21"/>
          <w:lang w:val="es-MX"/>
        </w:rPr>
        <w:t>practico</w:t>
      </w:r>
      <w:proofErr w:type="spellEnd"/>
      <w:r w:rsidRPr="00185668">
        <w:rPr>
          <w:rFonts w:ascii="Arial" w:eastAsia="Calibri" w:hAnsi="Arial" w:cs="Arial"/>
          <w:sz w:val="21"/>
          <w:szCs w:val="21"/>
          <w:lang w:val="es-MX"/>
        </w:rPr>
        <w:t xml:space="preserve"> (sic) para la evaluación de este parámetro».</w:t>
      </w:r>
    </w:p>
    <w:p w14:paraId="7E273F27" w14:textId="77777777" w:rsidR="00185668" w:rsidRPr="00185668" w:rsidRDefault="00185668" w:rsidP="00185668">
      <w:pPr>
        <w:tabs>
          <w:tab w:val="left" w:pos="426"/>
        </w:tabs>
        <w:spacing w:after="0" w:line="276" w:lineRule="auto"/>
        <w:ind w:right="709"/>
        <w:contextualSpacing/>
        <w:jc w:val="both"/>
        <w:rPr>
          <w:rFonts w:ascii="Arial" w:eastAsia="Calibri" w:hAnsi="Arial" w:cs="Arial"/>
          <w:lang w:val="es-MX"/>
        </w:rPr>
      </w:pPr>
    </w:p>
    <w:p w14:paraId="42AEA8F0" w14:textId="77777777" w:rsidR="00185668" w:rsidRPr="00185668" w:rsidRDefault="00185668" w:rsidP="00185668">
      <w:pPr>
        <w:tabs>
          <w:tab w:val="left" w:pos="709"/>
        </w:tabs>
        <w:spacing w:after="120" w:line="276" w:lineRule="auto"/>
        <w:jc w:val="both"/>
        <w:rPr>
          <w:rFonts w:ascii="Arial" w:eastAsia="Arial" w:hAnsi="Arial" w:cs="Arial"/>
          <w:color w:val="000000"/>
          <w:lang w:val="es-ES" w:eastAsia="es-ES" w:bidi="es-ES"/>
        </w:rPr>
      </w:pPr>
      <w:r w:rsidRPr="00185668">
        <w:rPr>
          <w:rFonts w:ascii="Arial" w:eastAsia="Calibri" w:hAnsi="Arial" w:cs="Arial"/>
          <w:lang w:val="es-MX"/>
        </w:rPr>
        <w:t xml:space="preserve">Conforme con las consideraciones antes indicadas, la respuesta a la pregunta debe realizarse teniendo en cuenta el artículo </w:t>
      </w:r>
      <w:r w:rsidRPr="00185668">
        <w:rPr>
          <w:rFonts w:ascii="Arial" w:eastAsia="Arial" w:hAnsi="Arial" w:cs="Arial"/>
          <w:color w:val="000000"/>
          <w:lang w:val="es-ES" w:eastAsia="es-ES" w:bidi="es-ES"/>
        </w:rPr>
        <w:t xml:space="preserve">6 de la Ley 1150 de 2007, el artículo 5 de la Ley 1882 de 2018, el artículo 87 de la Ley 1437 de 2011 y los artículos pertinentes que reglamentan la inscripción, renovación y actualización del RUP en el Decreto 1082 de 2015. </w:t>
      </w:r>
    </w:p>
    <w:p w14:paraId="4193DD13"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Calibri" w:hAnsi="Arial" w:cs="Arial"/>
        </w:rPr>
        <w:t xml:space="preserve">En tal sentido, en relación con la </w:t>
      </w:r>
      <w:r w:rsidRPr="00185668">
        <w:rPr>
          <w:rFonts w:ascii="Arial" w:eastAsia="Calibri" w:hAnsi="Arial" w:cs="Arial"/>
          <w:i/>
          <w:iCs/>
        </w:rPr>
        <w:t>inscripción</w:t>
      </w:r>
      <w:r w:rsidRPr="00185668">
        <w:rPr>
          <w:rFonts w:ascii="Arial" w:eastAsia="Calibri"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 señalando que el proponente debe cumplir materialmente para la fecha del cierre del proceso con los requisitos que se requieren para presentar la oferta. En este sentido, en ese momento la persona natural o jurídica debe estar inscrita en el Registro </w:t>
      </w:r>
      <w:r w:rsidRPr="00185668">
        <w:rPr>
          <w:rFonts w:ascii="Arial" w:eastAsia="Calibri" w:hAnsi="Arial" w:cs="Arial"/>
        </w:rPr>
        <w:lastRenderedPageBreak/>
        <w:t xml:space="preserve">Único de Proponentes, para lo cual no basta con la solicitud o radicación de los documentos para el trámite, sino que, además, el acto administrativo de </w:t>
      </w:r>
      <w:r w:rsidRPr="00185668">
        <w:rPr>
          <w:rFonts w:ascii="Arial" w:eastAsia="Calibri" w:hAnsi="Arial" w:cs="Arial"/>
          <w:i/>
          <w:iCs/>
        </w:rPr>
        <w:t>inscripción</w:t>
      </w:r>
      <w:r w:rsidRPr="00185668">
        <w:rPr>
          <w:rFonts w:ascii="Arial" w:eastAsia="Calibri" w:hAnsi="Arial" w:cs="Arial"/>
        </w:rPr>
        <w:t xml:space="preserve"> debe estar en firme, pues solo así se materializa y produce efectos la inscripción</w:t>
      </w:r>
      <w:r w:rsidRPr="00185668">
        <w:rPr>
          <w:rFonts w:ascii="Arial" w:eastAsia="Calibri" w:hAnsi="Arial" w:cs="Arial"/>
          <w:vertAlign w:val="superscript"/>
        </w:rPr>
        <w:footnoteReference w:id="10"/>
      </w:r>
      <w:r w:rsidRPr="00185668">
        <w:rPr>
          <w:rFonts w:ascii="Arial" w:eastAsia="Calibri" w:hAnsi="Arial" w:cs="Arial"/>
        </w:rPr>
        <w:t xml:space="preserve">. </w:t>
      </w:r>
    </w:p>
    <w:p w14:paraId="6094EC3B" w14:textId="77777777" w:rsidR="00185668" w:rsidRPr="00185668" w:rsidRDefault="00185668" w:rsidP="00185668">
      <w:pPr>
        <w:spacing w:before="120" w:after="120" w:line="276" w:lineRule="auto"/>
        <w:ind w:firstLine="709"/>
        <w:jc w:val="both"/>
        <w:rPr>
          <w:rFonts w:ascii="Arial" w:eastAsia="Calibri" w:hAnsi="Arial" w:cs="Arial"/>
        </w:rPr>
      </w:pPr>
      <w:r w:rsidRPr="00185668">
        <w:rPr>
          <w:rFonts w:ascii="Arial" w:eastAsia="Arial" w:hAnsi="Arial" w:cs="Arial"/>
          <w:color w:val="000000"/>
          <w:lang w:val="es-ES" w:eastAsia="es-ES" w:bidi="es-ES"/>
        </w:rPr>
        <w:t xml:space="preserve">A su turno, </w:t>
      </w:r>
      <w:r w:rsidRPr="00185668">
        <w:rPr>
          <w:rFonts w:ascii="Arial" w:eastAsia="Calibri" w:hAnsi="Arial" w:cs="Arial"/>
          <w:color w:val="000000"/>
        </w:rPr>
        <w:t xml:space="preserve">tratándose del trámite de </w:t>
      </w:r>
      <w:r w:rsidRPr="00185668">
        <w:rPr>
          <w:rFonts w:ascii="Arial" w:eastAsia="Calibri" w:hAnsi="Arial" w:cs="Arial"/>
          <w:bCs/>
          <w:i/>
          <w:color w:val="000000"/>
        </w:rPr>
        <w:t>renovación</w:t>
      </w:r>
      <w:r w:rsidRPr="00185668">
        <w:rPr>
          <w:rFonts w:ascii="Arial" w:eastAsia="Calibri" w:hAnsi="Arial" w:cs="Arial"/>
          <w:i/>
          <w:iCs/>
          <w:color w:val="000000"/>
        </w:rPr>
        <w:t>,</w:t>
      </w:r>
      <w:r w:rsidRPr="00185668">
        <w:rPr>
          <w:rFonts w:ascii="Arial" w:eastAsia="Calibri" w:hAnsi="Arial" w:cs="Arial"/>
          <w:color w:val="000000"/>
        </w:rPr>
        <w:t xml:space="preserve"> se reitera lo expresado en el sentido que la persona que </w:t>
      </w:r>
      <w:r w:rsidRPr="00185668">
        <w:rPr>
          <w:rFonts w:ascii="Arial" w:eastAsia="Calibri" w:hAnsi="Arial" w:cs="Arial"/>
          <w:i/>
          <w:color w:val="000000"/>
        </w:rPr>
        <w:t>presentó la información</w:t>
      </w:r>
      <w:r w:rsidRPr="00185668">
        <w:rPr>
          <w:rFonts w:ascii="Arial" w:eastAsia="Calibri" w:hAnsi="Arial" w:cs="Arial"/>
          <w:color w:val="000000"/>
        </w:rPr>
        <w:t xml:space="preserve"> para renovar su registro </w:t>
      </w:r>
      <w:r w:rsidRPr="00185668">
        <w:rPr>
          <w:rFonts w:ascii="Arial" w:eastAsia="Calibri" w:hAnsi="Arial" w:cs="Arial"/>
          <w:i/>
          <w:iCs/>
          <w:color w:val="000000"/>
        </w:rPr>
        <w:t>a más tardar el quinto día hábil de abril de cada año</w:t>
      </w:r>
      <w:r w:rsidRPr="00185668">
        <w:rPr>
          <w:rFonts w:ascii="Arial" w:eastAsia="Calibri" w:hAnsi="Arial" w:cs="Arial"/>
          <w:color w:val="000000"/>
        </w:rPr>
        <w:t xml:space="preserve">, cumpliendo el requisito del artículo 2.2.1.1.1.5.1. del mencionado decreto,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Lo anterior sin perjuicio de que una vez quede en firme la renovación, será este RUP renovado el que deberá presentar el interesado para participar en futuros procedimientos de selección. </w:t>
      </w:r>
    </w:p>
    <w:p w14:paraId="4C377477" w14:textId="77777777" w:rsidR="00185668" w:rsidRPr="00185668" w:rsidRDefault="00185668" w:rsidP="00185668">
      <w:pPr>
        <w:tabs>
          <w:tab w:val="left" w:pos="709"/>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 xml:space="preserve">Situación diferente sería si el proponente no realizó dentro del término establecido en la ley la presentación de la información para el trámite de renovación del RUP, esto es, </w:t>
      </w:r>
      <w:r w:rsidRPr="00185668">
        <w:rPr>
          <w:rFonts w:ascii="Arial" w:eastAsia="Calibri" w:hAnsi="Arial" w:cs="Arial"/>
        </w:rPr>
        <w:t>a más tardar el quinto día hábil del mes de abril de cada año</w:t>
      </w:r>
      <w:r w:rsidRPr="00185668">
        <w:rPr>
          <w:rFonts w:ascii="Arial" w:eastAsia="Calibri" w:hAnsi="Arial" w:cs="Arial"/>
          <w:color w:val="000000"/>
        </w:rPr>
        <w:t xml:space="preserve">, teniendo obligatoriamente que realizar una </w:t>
      </w:r>
      <w:r w:rsidRPr="00185668">
        <w:rPr>
          <w:rFonts w:ascii="Arial" w:eastAsia="Calibri" w:hAnsi="Arial" w:cs="Arial"/>
          <w:i/>
          <w:iCs/>
          <w:color w:val="000000"/>
        </w:rPr>
        <w:t>nueva inscripción</w:t>
      </w:r>
      <w:r w:rsidRPr="00185668">
        <w:rPr>
          <w:rFonts w:ascii="Arial" w:eastAsia="Calibri" w:hAnsi="Arial" w:cs="Arial"/>
          <w:color w:val="000000"/>
        </w:rPr>
        <w:t>, comoquiera que los efectos de ese registro han cesado. Es decir, no se encuentra inscrito. Por tanto, el interesado en participar en los procesos de selección, que así lo exijan, deberá iniciar nuevamente el trámite de inscripción del RUP ante la Cámara de Comercio respectiva y una vez esté en firme podrá participar en los procedimientos de selección de las entidades estatales.</w:t>
      </w:r>
    </w:p>
    <w:p w14:paraId="067BDBB1" w14:textId="77777777" w:rsidR="00185668" w:rsidRPr="00185668" w:rsidRDefault="00185668" w:rsidP="00185668">
      <w:pPr>
        <w:tabs>
          <w:tab w:val="left" w:pos="709"/>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Así, como se expuso anteriormente, la causal de rechazo del literal E implica que la oferta debe rechazarse cuando el proponente no cuenta con una inscripción en el RUP en firme, tratándose de su primera inscripción o cuando han cesado los efectos y debe volver a inscribirse . En consecuencia, en estos casos, el proponente debe contar con el acto administrativo de inscripción en el RUP antes del cierre del proceso, so pena de que opere esta causal. Por ello, no es suficiente con demostrar la solicitud o radicación de los documentos requeridos para el trámite de inscripción, sino que es necesario acreditar la firmeza del acto administrativo de inscripción, ya que no es posible acreditar circunstancias ocurridas con posterioridad al cierre del proceso de contratación.</w:t>
      </w:r>
    </w:p>
    <w:p w14:paraId="58A7BC56" w14:textId="77777777" w:rsidR="00185668" w:rsidRPr="00185668" w:rsidRDefault="00185668" w:rsidP="00185668">
      <w:pPr>
        <w:tabs>
          <w:tab w:val="left" w:pos="709"/>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lastRenderedPageBreak/>
        <w:t xml:space="preserve">Por otra parte, la causal de rechazo del literal F </w:t>
      </w:r>
      <w:r w:rsidRPr="00185668">
        <w:rPr>
          <w:rFonts w:ascii="Arial" w:eastAsia="Calibri" w:hAnsi="Arial" w:cs="Arial"/>
          <w:lang w:val="es-MX"/>
        </w:rPr>
        <w:t xml:space="preserve">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185668">
        <w:rPr>
          <w:rFonts w:ascii="Arial" w:eastAsia="Calibri" w:hAnsi="Arial" w:cs="Arial"/>
          <w:color w:val="000000"/>
        </w:rPr>
        <w:t>2.2.1.1.1.5.1. del decreto 1082 de 2015, esto es, que no haya presentado la información para renovar el RUP a más tardar el quinto día hábil del mes de abril de cada año.</w:t>
      </w:r>
    </w:p>
    <w:p w14:paraId="35F1216F" w14:textId="77777777" w:rsidR="00185668" w:rsidRPr="00185668" w:rsidRDefault="00185668" w:rsidP="00185668">
      <w:pPr>
        <w:tabs>
          <w:tab w:val="left" w:pos="709"/>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Lo anterior implica que el proponente no tendría RUP puesto que cesan sus efectos como lo señala la Ley, debiendo inscribirse nuevamente, impidiendo esto su participación en los procesos de contratación que requieren RUP, ya que sería rechazado tanto por no cumplir el deber de renovación, como por no tener una inscripción en el RUP en firme, al no haberlo renovado en tiempo.</w:t>
      </w:r>
    </w:p>
    <w:p w14:paraId="7E9C7244" w14:textId="77777777" w:rsidR="00185668" w:rsidRPr="00185668" w:rsidRDefault="00185668" w:rsidP="00185668">
      <w:pPr>
        <w:tabs>
          <w:tab w:val="left" w:pos="709"/>
        </w:tabs>
        <w:spacing w:before="120" w:after="120" w:line="276" w:lineRule="auto"/>
        <w:ind w:firstLine="709"/>
        <w:jc w:val="both"/>
        <w:rPr>
          <w:rFonts w:ascii="Arial" w:eastAsia="Calibri" w:hAnsi="Arial" w:cs="Arial"/>
          <w:color w:val="000000"/>
        </w:rPr>
      </w:pPr>
      <w:r w:rsidRPr="00185668">
        <w:rPr>
          <w:rFonts w:ascii="Arial" w:eastAsia="Calibri" w:hAnsi="Arial" w:cs="Arial"/>
          <w:color w:val="000000"/>
        </w:rPr>
        <w:t xml:space="preserve">Finalmente, lo mencionado no aplicaría en los supuestos en que el interesado haya cumplido con el deber de </w:t>
      </w:r>
      <w:r w:rsidRPr="00185668">
        <w:rPr>
          <w:rFonts w:ascii="Arial" w:eastAsia="Calibri" w:hAnsi="Arial" w:cs="Arial"/>
          <w:i/>
          <w:iCs/>
          <w:color w:val="000000"/>
        </w:rPr>
        <w:t xml:space="preserve">presentar la información </w:t>
      </w:r>
      <w:r w:rsidRPr="00185668">
        <w:rPr>
          <w:rFonts w:ascii="Arial" w:eastAsia="Calibri" w:hAnsi="Arial" w:cs="Arial"/>
          <w:color w:val="000000"/>
        </w:rPr>
        <w:t xml:space="preserve">para renovar su registro antes del quinto día del mes de abril y la renovación solo quede en firme en una fecha posterior. En tal sentido, en las consideraciones de este concepto –numeral 2.1.– se señaló el tratamiento procedente en estos supuestos, aclarando que una vez la renovación quede en firme el proponente participará con su RUP renovado en los procesos de selección futuros, es decir, que en el proceso actual participará con la información antigua salvo que quede en firme antes del cierre del proceso, ya que en este caso podrá usar la información renovada. </w:t>
      </w:r>
    </w:p>
    <w:p w14:paraId="52D89DD4" w14:textId="77777777" w:rsidR="00185668" w:rsidRPr="00185668" w:rsidRDefault="00185668" w:rsidP="00185668">
      <w:pPr>
        <w:tabs>
          <w:tab w:val="left" w:pos="709"/>
        </w:tabs>
        <w:spacing w:before="120" w:after="0" w:line="276" w:lineRule="auto"/>
        <w:ind w:firstLine="709"/>
        <w:jc w:val="both"/>
        <w:rPr>
          <w:rFonts w:ascii="Arial" w:eastAsia="Calibri" w:hAnsi="Arial" w:cs="Arial"/>
          <w:color w:val="000000"/>
        </w:rPr>
      </w:pPr>
      <w:r w:rsidRPr="00185668">
        <w:rPr>
          <w:rFonts w:ascii="Arial" w:eastAsia="Calibri" w:hAnsi="Arial" w:cs="Arial"/>
          <w:color w:val="000000"/>
        </w:rPr>
        <w:t xml:space="preserve">De esta manera, sin perjuicio de las precisiones realizadas en el numeral 2.1. de este concepto, los supuestos en que aplica la causal de rechazo del literal F se manifiestan en aquellos casos en que el proponente </w:t>
      </w:r>
      <w:r w:rsidRPr="00185668">
        <w:rPr>
          <w:rFonts w:ascii="Arial" w:eastAsia="Calibri" w:hAnsi="Arial" w:cs="Arial"/>
          <w:i/>
          <w:iCs/>
          <w:color w:val="000000"/>
        </w:rPr>
        <w:t>haya incumplido el deber de presentar la información</w:t>
      </w:r>
      <w:r w:rsidRPr="00185668">
        <w:rPr>
          <w:rFonts w:ascii="Arial" w:eastAsia="Calibri" w:hAnsi="Arial" w:cs="Arial"/>
          <w:color w:val="000000"/>
        </w:rPr>
        <w:t xml:space="preserve"> para </w:t>
      </w:r>
      <w:r w:rsidRPr="00185668">
        <w:rPr>
          <w:rFonts w:ascii="Arial" w:eastAsia="Calibri" w:hAnsi="Arial" w:cs="Arial"/>
          <w:i/>
          <w:iCs/>
          <w:color w:val="000000"/>
        </w:rPr>
        <w:t>renovar</w:t>
      </w:r>
      <w:r w:rsidRPr="00185668">
        <w:rPr>
          <w:rFonts w:ascii="Arial" w:eastAsia="Calibri" w:hAnsi="Arial" w:cs="Arial"/>
          <w:color w:val="000000"/>
        </w:rPr>
        <w:t xml:space="preserve"> el Registro Único de Proponentes (RUP) a más tardar el quinto día hábil del mes de abril de cada año, y este no cuente con una inscripción posterior en firme.</w:t>
      </w:r>
    </w:p>
    <w:p w14:paraId="5B2BA30F" w14:textId="77777777" w:rsidR="00185668" w:rsidRPr="00185668" w:rsidRDefault="00185668" w:rsidP="00185668">
      <w:pPr>
        <w:tabs>
          <w:tab w:val="left" w:pos="426"/>
        </w:tabs>
        <w:spacing w:after="0" w:line="276" w:lineRule="auto"/>
        <w:contextualSpacing/>
        <w:jc w:val="both"/>
        <w:rPr>
          <w:rFonts w:ascii="Arial" w:eastAsia="Calibri" w:hAnsi="Arial" w:cs="Arial"/>
          <w:color w:val="000000"/>
        </w:rPr>
      </w:pPr>
    </w:p>
    <w:p w14:paraId="341B5682" w14:textId="77777777" w:rsidR="00185668" w:rsidRPr="00185668" w:rsidRDefault="00185668" w:rsidP="00185668">
      <w:pPr>
        <w:spacing w:after="0" w:line="276" w:lineRule="auto"/>
        <w:jc w:val="both"/>
        <w:rPr>
          <w:rFonts w:ascii="Arial" w:eastAsia="Calibri" w:hAnsi="Arial" w:cs="Arial"/>
          <w:lang w:val="es-MX"/>
        </w:rPr>
      </w:pPr>
      <w:r w:rsidRPr="00185668">
        <w:rPr>
          <w:rFonts w:ascii="Arial" w:eastAsia="Calibri" w:hAnsi="Arial" w:cs="Arial"/>
          <w:lang w:val="es-MX"/>
        </w:rPr>
        <w:t>Este concepto tiene el alcance previsto en el artículo 28 del Código de Procedimiento Administrativo y de lo Contencioso Administrativo.</w:t>
      </w:r>
    </w:p>
    <w:p w14:paraId="17D28DD3" w14:textId="77777777" w:rsidR="00185668" w:rsidRPr="00185668" w:rsidRDefault="00185668" w:rsidP="00185668">
      <w:pPr>
        <w:spacing w:after="0" w:line="276" w:lineRule="auto"/>
        <w:jc w:val="both"/>
        <w:rPr>
          <w:rFonts w:ascii="Arial" w:eastAsia="Calibri" w:hAnsi="Arial" w:cs="Arial"/>
          <w:lang w:val="es-MX"/>
        </w:rPr>
      </w:pPr>
    </w:p>
    <w:p w14:paraId="03978DE8" w14:textId="77777777" w:rsidR="00185668" w:rsidRPr="00185668" w:rsidRDefault="00185668" w:rsidP="00185668">
      <w:pPr>
        <w:spacing w:after="0" w:line="240" w:lineRule="auto"/>
        <w:jc w:val="both"/>
        <w:rPr>
          <w:rFonts w:ascii="Arial" w:eastAsia="Calibri" w:hAnsi="Arial" w:cs="Arial"/>
          <w:sz w:val="18"/>
          <w:szCs w:val="20"/>
          <w:lang w:val="es-MX" w:eastAsia="es-CO"/>
        </w:rPr>
      </w:pPr>
      <w:r w:rsidRPr="00185668">
        <w:rPr>
          <w:rFonts w:ascii="Arial" w:eastAsia="Calibri" w:hAnsi="Arial" w:cs="Arial"/>
          <w:color w:val="000000"/>
          <w:lang w:val="es-MX" w:eastAsia="es-CO"/>
        </w:rPr>
        <w:t>Atentamente,</w:t>
      </w:r>
    </w:p>
    <w:p w14:paraId="682B9DDF" w14:textId="39083490" w:rsidR="00185668" w:rsidRPr="00185668" w:rsidRDefault="009172EE" w:rsidP="00185668">
      <w:pPr>
        <w:spacing w:after="0" w:line="276" w:lineRule="auto"/>
        <w:jc w:val="center"/>
        <w:rPr>
          <w:rFonts w:ascii="Arial" w:eastAsia="Calibri" w:hAnsi="Arial" w:cs="Arial"/>
          <w:sz w:val="24"/>
          <w:lang w:val="es-MX"/>
        </w:rPr>
      </w:pPr>
      <w:r>
        <w:rPr>
          <w:noProof/>
        </w:rPr>
        <w:drawing>
          <wp:inline distT="0" distB="0" distL="0" distR="0" wp14:anchorId="0AD546EA" wp14:editId="330E473D">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tbl>
      <w:tblPr>
        <w:tblStyle w:val="Tablaconcuadrcu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5668" w:rsidRPr="00185668" w14:paraId="630C8A0A" w14:textId="77777777" w:rsidTr="00C03C81">
        <w:trPr>
          <w:trHeight w:val="315"/>
        </w:trPr>
        <w:tc>
          <w:tcPr>
            <w:tcW w:w="812" w:type="dxa"/>
            <w:vAlign w:val="center"/>
            <w:hideMark/>
          </w:tcPr>
          <w:p w14:paraId="6C5474BC" w14:textId="77777777" w:rsidR="00185668" w:rsidRPr="00185668" w:rsidRDefault="00185668" w:rsidP="00185668">
            <w:pPr>
              <w:spacing w:line="276" w:lineRule="auto"/>
              <w:rPr>
                <w:rFonts w:ascii="Arial" w:hAnsi="Arial" w:cs="Arial"/>
                <w:sz w:val="16"/>
                <w:szCs w:val="16"/>
                <w:lang w:val="es-ES_tradnl" w:eastAsia="es-ES"/>
              </w:rPr>
            </w:pPr>
            <w:r w:rsidRPr="00185668">
              <w:rPr>
                <w:rFonts w:ascii="Arial"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7F0F52BE" w14:textId="77777777" w:rsidR="00185668" w:rsidRPr="00185668" w:rsidRDefault="00185668" w:rsidP="00185668">
            <w:pPr>
              <w:rPr>
                <w:rFonts w:ascii="Arial" w:hAnsi="Arial" w:cs="Arial"/>
                <w:sz w:val="16"/>
                <w:szCs w:val="16"/>
                <w:lang w:val="es-ES_tradnl" w:eastAsia="es-ES"/>
              </w:rPr>
            </w:pPr>
            <w:r w:rsidRPr="00185668">
              <w:rPr>
                <w:rFonts w:ascii="Arial" w:hAnsi="Arial" w:cs="Arial"/>
                <w:sz w:val="16"/>
                <w:szCs w:val="16"/>
                <w:lang w:val="es-ES_tradnl" w:eastAsia="es-ES"/>
              </w:rPr>
              <w:t>Ximena Ríos López</w:t>
            </w:r>
          </w:p>
          <w:p w14:paraId="09E64C5F" w14:textId="77777777" w:rsidR="00185668" w:rsidRPr="00185668" w:rsidRDefault="00185668" w:rsidP="00185668">
            <w:pPr>
              <w:rPr>
                <w:rFonts w:ascii="Arial" w:hAnsi="Arial" w:cs="Arial"/>
                <w:sz w:val="16"/>
                <w:szCs w:val="16"/>
                <w:lang w:val="es-ES_tradnl" w:eastAsia="es-ES"/>
              </w:rPr>
            </w:pPr>
            <w:r w:rsidRPr="00185668">
              <w:rPr>
                <w:rFonts w:ascii="Arial" w:hAnsi="Arial" w:cs="Arial"/>
                <w:color w:val="000000"/>
                <w:sz w:val="16"/>
                <w:szCs w:val="16"/>
                <w:lang w:val="es-ES" w:eastAsia="es-ES"/>
              </w:rPr>
              <w:t xml:space="preserve">Gestor T1-11 </w:t>
            </w:r>
            <w:r w:rsidRPr="00185668">
              <w:rPr>
                <w:rFonts w:ascii="Arial" w:hAnsi="Arial" w:cs="Arial"/>
                <w:sz w:val="16"/>
                <w:szCs w:val="16"/>
                <w:lang w:val="es-ES_tradnl" w:eastAsia="es-ES"/>
              </w:rPr>
              <w:t>de la Subdirección de Gestión Contractual</w:t>
            </w:r>
          </w:p>
        </w:tc>
      </w:tr>
      <w:tr w:rsidR="00185668" w:rsidRPr="00185668" w14:paraId="13B26387" w14:textId="77777777" w:rsidTr="00C03C81">
        <w:trPr>
          <w:trHeight w:val="330"/>
        </w:trPr>
        <w:tc>
          <w:tcPr>
            <w:tcW w:w="812" w:type="dxa"/>
            <w:vAlign w:val="center"/>
            <w:hideMark/>
          </w:tcPr>
          <w:p w14:paraId="73187DF1" w14:textId="77777777" w:rsidR="00185668" w:rsidRPr="00185668" w:rsidRDefault="00185668" w:rsidP="00185668">
            <w:pPr>
              <w:spacing w:line="276" w:lineRule="auto"/>
              <w:rPr>
                <w:rFonts w:ascii="Arial" w:hAnsi="Arial" w:cs="Arial"/>
                <w:sz w:val="16"/>
                <w:szCs w:val="16"/>
                <w:lang w:val="es-ES_tradnl" w:eastAsia="es-ES"/>
              </w:rPr>
            </w:pPr>
            <w:r w:rsidRPr="00185668">
              <w:rPr>
                <w:rFonts w:ascii="Arial"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DA47E5D" w14:textId="77777777" w:rsidR="00185668" w:rsidRPr="00185668" w:rsidRDefault="00185668" w:rsidP="00185668">
            <w:pPr>
              <w:rPr>
                <w:rFonts w:ascii="Arial" w:hAnsi="Arial" w:cs="Arial"/>
                <w:sz w:val="16"/>
                <w:szCs w:val="16"/>
                <w:lang w:val="es-ES_tradnl" w:eastAsia="es-ES"/>
              </w:rPr>
            </w:pPr>
            <w:r w:rsidRPr="00185668">
              <w:rPr>
                <w:rFonts w:ascii="Arial" w:hAnsi="Arial" w:cs="Arial"/>
                <w:sz w:val="16"/>
                <w:szCs w:val="16"/>
                <w:lang w:val="es-ES_tradnl" w:eastAsia="es-ES"/>
              </w:rPr>
              <w:t>Alejandro Sarmiento Cantillo</w:t>
            </w:r>
          </w:p>
          <w:p w14:paraId="7A907A57" w14:textId="77777777" w:rsidR="00185668" w:rsidRPr="00185668" w:rsidRDefault="00185668" w:rsidP="00185668">
            <w:pPr>
              <w:rPr>
                <w:rFonts w:ascii="Arial" w:hAnsi="Arial" w:cs="Arial"/>
                <w:sz w:val="16"/>
                <w:szCs w:val="16"/>
                <w:lang w:val="es-ES_tradnl" w:eastAsia="es-ES"/>
              </w:rPr>
            </w:pPr>
            <w:r w:rsidRPr="00185668">
              <w:rPr>
                <w:rFonts w:ascii="Arial" w:hAnsi="Arial" w:cs="Arial"/>
                <w:color w:val="000000"/>
                <w:sz w:val="16"/>
                <w:szCs w:val="16"/>
                <w:lang w:val="es-ES" w:eastAsia="es-ES"/>
              </w:rPr>
              <w:t xml:space="preserve">Gestor T1-15 </w:t>
            </w:r>
            <w:r w:rsidRPr="00185668">
              <w:rPr>
                <w:rFonts w:ascii="Arial" w:hAnsi="Arial" w:cs="Arial"/>
                <w:sz w:val="16"/>
                <w:szCs w:val="16"/>
                <w:lang w:val="es-ES_tradnl" w:eastAsia="es-ES"/>
              </w:rPr>
              <w:t>de la Subdirección de Gestión Contractual</w:t>
            </w:r>
          </w:p>
        </w:tc>
      </w:tr>
      <w:tr w:rsidR="00185668" w:rsidRPr="00185668" w14:paraId="7290D31A" w14:textId="77777777" w:rsidTr="00C03C81">
        <w:trPr>
          <w:trHeight w:val="300"/>
        </w:trPr>
        <w:tc>
          <w:tcPr>
            <w:tcW w:w="812" w:type="dxa"/>
            <w:vAlign w:val="center"/>
            <w:hideMark/>
          </w:tcPr>
          <w:p w14:paraId="3DA0F8B3" w14:textId="77777777" w:rsidR="00185668" w:rsidRPr="00185668" w:rsidRDefault="00185668" w:rsidP="00185668">
            <w:pPr>
              <w:spacing w:line="276" w:lineRule="auto"/>
              <w:rPr>
                <w:rFonts w:ascii="Arial" w:hAnsi="Arial" w:cs="Arial"/>
                <w:sz w:val="16"/>
                <w:szCs w:val="16"/>
                <w:lang w:val="es-ES_tradnl" w:eastAsia="es-ES"/>
              </w:rPr>
            </w:pPr>
            <w:r w:rsidRPr="00185668">
              <w:rPr>
                <w:rFonts w:ascii="Arial"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371CFE1" w14:textId="77777777" w:rsidR="00185668" w:rsidRPr="00185668" w:rsidRDefault="00185668" w:rsidP="00185668">
            <w:pPr>
              <w:rPr>
                <w:rFonts w:ascii="Arial" w:hAnsi="Arial" w:cs="Arial"/>
                <w:sz w:val="16"/>
                <w:szCs w:val="16"/>
                <w:lang w:val="pt-BR" w:eastAsia="es-ES"/>
              </w:rPr>
            </w:pPr>
            <w:proofErr w:type="spellStart"/>
            <w:r w:rsidRPr="00185668">
              <w:rPr>
                <w:rFonts w:ascii="Arial" w:hAnsi="Arial" w:cs="Arial"/>
                <w:sz w:val="16"/>
                <w:szCs w:val="16"/>
                <w:lang w:val="pt-BR" w:eastAsia="es-ES"/>
              </w:rPr>
              <w:t>Nohelia</w:t>
            </w:r>
            <w:proofErr w:type="spellEnd"/>
            <w:r w:rsidRPr="00185668">
              <w:rPr>
                <w:rFonts w:ascii="Arial" w:hAnsi="Arial" w:cs="Arial"/>
                <w:sz w:val="16"/>
                <w:szCs w:val="16"/>
                <w:lang w:val="pt-BR" w:eastAsia="es-ES"/>
              </w:rPr>
              <w:t xml:space="preserve"> del Carmen </w:t>
            </w:r>
            <w:proofErr w:type="spellStart"/>
            <w:r w:rsidRPr="00185668">
              <w:rPr>
                <w:rFonts w:ascii="Arial" w:hAnsi="Arial" w:cs="Arial"/>
                <w:sz w:val="16"/>
                <w:szCs w:val="16"/>
                <w:lang w:val="pt-BR" w:eastAsia="es-ES"/>
              </w:rPr>
              <w:t>Zawady</w:t>
            </w:r>
            <w:proofErr w:type="spellEnd"/>
            <w:r w:rsidRPr="00185668">
              <w:rPr>
                <w:rFonts w:ascii="Arial" w:hAnsi="Arial" w:cs="Arial"/>
                <w:sz w:val="16"/>
                <w:szCs w:val="16"/>
                <w:lang w:val="pt-BR" w:eastAsia="es-ES"/>
              </w:rPr>
              <w:t xml:space="preserve"> Palacio</w:t>
            </w:r>
          </w:p>
          <w:p w14:paraId="2040D750" w14:textId="77777777" w:rsidR="00185668" w:rsidRPr="00185668" w:rsidRDefault="00185668" w:rsidP="00185668">
            <w:pPr>
              <w:rPr>
                <w:rFonts w:ascii="Arial" w:hAnsi="Arial" w:cs="Arial"/>
                <w:sz w:val="16"/>
                <w:szCs w:val="16"/>
                <w:lang w:val="pt-BR" w:eastAsia="es-ES"/>
              </w:rPr>
            </w:pPr>
            <w:r w:rsidRPr="00185668">
              <w:rPr>
                <w:rFonts w:ascii="Arial" w:hAnsi="Arial" w:cs="Arial"/>
                <w:sz w:val="16"/>
                <w:szCs w:val="16"/>
                <w:lang w:val="es-MX" w:eastAsia="es-ES"/>
              </w:rPr>
              <w:t>Subdirectora</w:t>
            </w:r>
            <w:r w:rsidRPr="00185668">
              <w:rPr>
                <w:rFonts w:ascii="Arial" w:hAnsi="Arial" w:cs="Arial"/>
                <w:sz w:val="16"/>
                <w:szCs w:val="16"/>
                <w:lang w:val="pt-BR" w:eastAsia="es-ES"/>
              </w:rPr>
              <w:t xml:space="preserve"> de Gestión Contractual ANCP – CCE </w:t>
            </w:r>
          </w:p>
        </w:tc>
      </w:tr>
    </w:tbl>
    <w:p w14:paraId="38FF91BE" w14:textId="77777777" w:rsidR="00185668" w:rsidRPr="00185668" w:rsidRDefault="00185668" w:rsidP="00185668">
      <w:pPr>
        <w:spacing w:after="0" w:line="240" w:lineRule="auto"/>
        <w:rPr>
          <w:rFonts w:ascii="Arial" w:eastAsia="Calibri" w:hAnsi="Arial" w:cs="Arial"/>
          <w:sz w:val="24"/>
          <w:lang w:val="es-ES" w:eastAsia="es-ES"/>
        </w:rPr>
      </w:pPr>
    </w:p>
    <w:p w14:paraId="3F870542" w14:textId="77777777" w:rsidR="00185668" w:rsidRPr="00185668" w:rsidRDefault="00185668" w:rsidP="00185668">
      <w:pPr>
        <w:spacing w:after="0" w:line="240" w:lineRule="auto"/>
        <w:rPr>
          <w:rFonts w:ascii="Arial" w:eastAsia="Calibri" w:hAnsi="Arial" w:cs="Arial"/>
          <w:sz w:val="24"/>
          <w:lang w:val="es-MX" w:eastAsia="es-ES"/>
        </w:rPr>
      </w:pPr>
    </w:p>
    <w:p w14:paraId="39E189A5" w14:textId="77777777" w:rsidR="00185668" w:rsidRPr="00185668" w:rsidRDefault="00185668" w:rsidP="00185668">
      <w:pPr>
        <w:spacing w:before="120" w:line="276" w:lineRule="auto"/>
        <w:rPr>
          <w:rFonts w:ascii="Arial" w:eastAsia="Calibri" w:hAnsi="Arial" w:cs="Arial"/>
          <w:sz w:val="24"/>
          <w:lang w:val="es-MX"/>
        </w:rPr>
      </w:pPr>
    </w:p>
    <w:p w14:paraId="15563806" w14:textId="488682B5" w:rsidR="006219F8" w:rsidRPr="00185668" w:rsidRDefault="006219F8" w:rsidP="00526E9D">
      <w:pPr>
        <w:rPr>
          <w:rFonts w:ascii="Arial Nova" w:hAnsi="Arial Nova"/>
          <w:color w:val="000000" w:themeColor="text1"/>
          <w:lang w:val="es-MX"/>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sectPr w:rsidR="006219F8" w:rsidRPr="00080DA3"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5DAA" w14:textId="77777777" w:rsidR="00C42893" w:rsidRDefault="00C42893" w:rsidP="004A1847">
      <w:pPr>
        <w:spacing w:after="0" w:line="240" w:lineRule="auto"/>
      </w:pPr>
      <w:r>
        <w:separator/>
      </w:r>
    </w:p>
  </w:endnote>
  <w:endnote w:type="continuationSeparator" w:id="0">
    <w:p w14:paraId="54966ACB" w14:textId="77777777" w:rsidR="00C42893" w:rsidRDefault="00C42893" w:rsidP="004A1847">
      <w:pPr>
        <w:spacing w:after="0" w:line="240" w:lineRule="auto"/>
      </w:pPr>
      <w:r>
        <w:continuationSeparator/>
      </w:r>
    </w:p>
  </w:endnote>
  <w:endnote w:type="continuationNotice" w:id="1">
    <w:p w14:paraId="7299F57B" w14:textId="77777777" w:rsidR="00C42893" w:rsidRDefault="00C42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6E48" w14:textId="77777777" w:rsidR="00C42893" w:rsidRDefault="00C42893" w:rsidP="004A1847">
      <w:pPr>
        <w:spacing w:after="0" w:line="240" w:lineRule="auto"/>
      </w:pPr>
      <w:r>
        <w:separator/>
      </w:r>
    </w:p>
  </w:footnote>
  <w:footnote w:type="continuationSeparator" w:id="0">
    <w:p w14:paraId="3685D76B" w14:textId="77777777" w:rsidR="00C42893" w:rsidRDefault="00C42893" w:rsidP="004A1847">
      <w:pPr>
        <w:spacing w:after="0" w:line="240" w:lineRule="auto"/>
      </w:pPr>
      <w:r>
        <w:continuationSeparator/>
      </w:r>
    </w:p>
  </w:footnote>
  <w:footnote w:type="continuationNotice" w:id="1">
    <w:p w14:paraId="433740FE" w14:textId="77777777" w:rsidR="00C42893" w:rsidRDefault="00C42893">
      <w:pPr>
        <w:spacing w:after="0" w:line="240" w:lineRule="auto"/>
      </w:pPr>
    </w:p>
  </w:footnote>
  <w:footnote w:id="2">
    <w:p w14:paraId="4DD9AFB1" w14:textId="77777777" w:rsidR="00185668" w:rsidRPr="00A84D9D" w:rsidRDefault="00185668" w:rsidP="00185668">
      <w:pPr>
        <w:pStyle w:val="NormalWeb"/>
        <w:shd w:val="clear" w:color="auto" w:fill="FFFFFF"/>
        <w:spacing w:after="0"/>
        <w:ind w:firstLine="708"/>
        <w:jc w:val="both"/>
        <w:rPr>
          <w:rFonts w:ascii="Arial" w:hAnsi="Arial" w:cs="Arial"/>
          <w:color w:val="000000"/>
          <w:sz w:val="10"/>
          <w:szCs w:val="10"/>
          <w:lang w:val="es-MX"/>
        </w:rPr>
      </w:pPr>
      <w:r w:rsidRPr="00A84D9D">
        <w:rPr>
          <w:rStyle w:val="Refdenotaalpie"/>
          <w:rFonts w:ascii="Arial" w:hAnsi="Arial" w:cs="Arial"/>
          <w:color w:val="000000"/>
          <w:sz w:val="10"/>
          <w:szCs w:val="10"/>
        </w:rPr>
        <w:footnoteRef/>
      </w:r>
      <w:r w:rsidRPr="00A84D9D">
        <w:rPr>
          <w:rFonts w:ascii="Arial" w:hAnsi="Arial" w:cs="Arial"/>
          <w:color w:val="000000"/>
          <w:sz w:val="10"/>
          <w:szCs w:val="10"/>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3335F1DE" w14:textId="77777777" w:rsidR="00185668" w:rsidRPr="00A84D9D" w:rsidRDefault="00185668" w:rsidP="00185668">
      <w:pPr>
        <w:pStyle w:val="NormalWeb"/>
        <w:shd w:val="clear" w:color="auto" w:fill="FFFFFF"/>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378C9FF3" w14:textId="77777777" w:rsidR="00185668" w:rsidRPr="00A84D9D" w:rsidRDefault="00185668" w:rsidP="00185668">
      <w:pPr>
        <w:pStyle w:val="NormalWeb"/>
        <w:shd w:val="clear" w:color="auto" w:fill="FFFFFF"/>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8E10000" w14:textId="77777777" w:rsidR="00185668" w:rsidRPr="00A84D9D" w:rsidRDefault="00185668" w:rsidP="00185668">
      <w:pPr>
        <w:pStyle w:val="NormalWeb"/>
        <w:shd w:val="clear" w:color="auto" w:fill="FFFFFF"/>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AC9C7DB" w14:textId="77777777" w:rsidR="00185668" w:rsidRPr="00A84D9D" w:rsidRDefault="00185668" w:rsidP="00185668">
      <w:pPr>
        <w:pStyle w:val="NormalWeb"/>
        <w:shd w:val="clear" w:color="auto" w:fill="FFFFFF"/>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A04FDD2" w14:textId="77777777" w:rsidR="00185668" w:rsidRPr="00A84D9D" w:rsidRDefault="00185668" w:rsidP="00185668">
      <w:pPr>
        <w:pStyle w:val="NormalWeb"/>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»Las mismas sanciones previstas en el inciso anterior se predicarán en el evento en que el Juez de lo Contencioso Administrativa declare la nulidad del acto de inscripción.</w:t>
      </w:r>
    </w:p>
    <w:p w14:paraId="7C8A0BEB" w14:textId="77777777" w:rsidR="00185668" w:rsidRPr="00A84D9D" w:rsidRDefault="00185668" w:rsidP="00185668">
      <w:pPr>
        <w:pStyle w:val="NormalWeb"/>
        <w:spacing w:after="0"/>
        <w:ind w:firstLine="708"/>
        <w:jc w:val="both"/>
        <w:rPr>
          <w:rFonts w:ascii="Arial" w:hAnsi="Arial" w:cs="Arial"/>
          <w:color w:val="000000"/>
          <w:sz w:val="10"/>
          <w:szCs w:val="10"/>
          <w:lang w:val="es-MX"/>
        </w:rPr>
      </w:pPr>
      <w:r w:rsidRPr="00A84D9D">
        <w:rPr>
          <w:rFonts w:ascii="Arial" w:hAnsi="Arial" w:cs="Arial"/>
          <w:color w:val="000000"/>
          <w:sz w:val="10"/>
          <w:szCs w:val="10"/>
          <w:lang w:val="es-MX"/>
        </w:rPr>
        <w:t>»La información contenida en el registro es pública y su consulta será gratuita».</w:t>
      </w:r>
    </w:p>
    <w:p w14:paraId="56F84422" w14:textId="77777777" w:rsidR="00185668" w:rsidRPr="00A84D9D" w:rsidRDefault="00185668" w:rsidP="00185668">
      <w:pPr>
        <w:pStyle w:val="NormalWeb"/>
        <w:spacing w:after="0"/>
        <w:ind w:firstLine="708"/>
        <w:jc w:val="both"/>
        <w:rPr>
          <w:rFonts w:ascii="Arial" w:hAnsi="Arial" w:cs="Arial"/>
          <w:color w:val="000000"/>
          <w:sz w:val="10"/>
          <w:szCs w:val="10"/>
          <w:lang w:val="es-MX"/>
        </w:rPr>
      </w:pPr>
    </w:p>
  </w:footnote>
  <w:footnote w:id="3">
    <w:p w14:paraId="0D5ABFAB" w14:textId="77777777" w:rsidR="00185668" w:rsidRPr="00A84D9D" w:rsidRDefault="00185668" w:rsidP="00185668">
      <w:pPr>
        <w:pStyle w:val="Textonotapie"/>
        <w:ind w:firstLine="708"/>
        <w:jc w:val="both"/>
        <w:rPr>
          <w:rFonts w:ascii="Arial" w:eastAsia="Times New Roman" w:hAnsi="Arial" w:cs="Arial"/>
          <w:color w:val="000000"/>
          <w:sz w:val="10"/>
          <w:szCs w:val="10"/>
          <w:lang w:eastAsia="es-CO"/>
        </w:rPr>
      </w:pPr>
      <w:r w:rsidRPr="00A84D9D">
        <w:rPr>
          <w:rStyle w:val="Refdenotaalpie"/>
          <w:rFonts w:ascii="Arial" w:hAnsi="Arial" w:cs="Arial"/>
          <w:color w:val="000000"/>
          <w:sz w:val="10"/>
          <w:szCs w:val="10"/>
        </w:rPr>
        <w:footnoteRef/>
      </w:r>
      <w:r w:rsidRPr="00A84D9D">
        <w:rPr>
          <w:rFonts w:ascii="Arial" w:eastAsia="Times New Roman" w:hAnsi="Arial" w:cs="Arial"/>
          <w:color w:val="000000"/>
          <w:sz w:val="10"/>
          <w:szCs w:val="10"/>
          <w:lang w:eastAsia="es-CO"/>
        </w:rPr>
        <w:t>«Artículo 2.2.1.1.1.5.1. Inscripción, renovación, actualización y cancelación del RUP.</w:t>
      </w:r>
    </w:p>
    <w:p w14:paraId="6D77CB80" w14:textId="77777777" w:rsidR="00185668" w:rsidRPr="00A84D9D" w:rsidRDefault="00185668" w:rsidP="00185668">
      <w:pPr>
        <w:pStyle w:val="Textonotapie"/>
        <w:ind w:firstLine="708"/>
        <w:jc w:val="both"/>
        <w:rPr>
          <w:rFonts w:ascii="Arial" w:eastAsia="Times New Roman" w:hAnsi="Arial" w:cs="Arial"/>
          <w:color w:val="000000"/>
          <w:sz w:val="10"/>
          <w:szCs w:val="10"/>
          <w:lang w:eastAsia="es-CO"/>
        </w:rPr>
      </w:pPr>
      <w:r w:rsidRPr="00A84D9D">
        <w:rPr>
          <w:rFonts w:ascii="Arial" w:eastAsia="Times New Roman" w:hAnsi="Arial" w:cs="Arial"/>
          <w:color w:val="000000"/>
          <w:sz w:val="10"/>
          <w:szCs w:val="10"/>
          <w:lang w:eastAsia="es-CO"/>
        </w:rPr>
        <w:t>[…]</w:t>
      </w:r>
    </w:p>
    <w:p w14:paraId="27C6D92C" w14:textId="77777777" w:rsidR="00185668" w:rsidRPr="00A84D9D" w:rsidRDefault="00185668" w:rsidP="00185668">
      <w:pPr>
        <w:pStyle w:val="Textonotapie"/>
        <w:ind w:firstLine="708"/>
        <w:jc w:val="both"/>
        <w:rPr>
          <w:rFonts w:ascii="Arial" w:eastAsia="Times New Roman" w:hAnsi="Arial" w:cs="Arial"/>
          <w:color w:val="000000"/>
          <w:sz w:val="10"/>
          <w:szCs w:val="10"/>
          <w:lang w:eastAsia="es-CO"/>
        </w:rPr>
      </w:pPr>
      <w:r w:rsidRPr="00A84D9D">
        <w:rPr>
          <w:rFonts w:ascii="Arial" w:eastAsia="Times New Roman" w:hAnsi="Arial" w:cs="Arial"/>
          <w:color w:val="000000"/>
          <w:sz w:val="10"/>
          <w:szCs w:val="10"/>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2864793" w14:textId="77777777" w:rsidR="00185668" w:rsidRPr="00A84D9D" w:rsidRDefault="00185668" w:rsidP="00185668">
      <w:pPr>
        <w:pStyle w:val="Textonotapie"/>
        <w:ind w:firstLine="708"/>
        <w:jc w:val="both"/>
        <w:rPr>
          <w:rFonts w:ascii="Arial" w:eastAsia="Times New Roman" w:hAnsi="Arial" w:cs="Arial"/>
          <w:color w:val="000000"/>
          <w:sz w:val="10"/>
          <w:szCs w:val="10"/>
          <w:lang w:eastAsia="es-CO"/>
        </w:rPr>
      </w:pPr>
    </w:p>
  </w:footnote>
  <w:footnote w:id="4">
    <w:p w14:paraId="44749D08" w14:textId="77777777" w:rsidR="00185668" w:rsidRPr="00A84D9D" w:rsidRDefault="00185668" w:rsidP="00185668">
      <w:pPr>
        <w:pStyle w:val="Textonotapie"/>
        <w:ind w:firstLine="708"/>
        <w:jc w:val="both"/>
        <w:rPr>
          <w:rFonts w:ascii="Arial" w:eastAsia="Times New Roman" w:hAnsi="Arial" w:cs="Arial"/>
          <w:color w:val="000000"/>
          <w:sz w:val="10"/>
          <w:szCs w:val="10"/>
          <w:lang w:eastAsia="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eastAsia="Times New Roman" w:hAnsi="Arial" w:cs="Arial"/>
          <w:color w:val="000000"/>
          <w:sz w:val="10"/>
          <w:szCs w:val="10"/>
          <w:lang w:eastAsia="es-CO"/>
        </w:rPr>
        <w:t xml:space="preserve">Consejo de Estado. Sección Tercera. Subsección A. Sentencia del 19 de septiembre de 2019. </w:t>
      </w:r>
      <w:proofErr w:type="spellStart"/>
      <w:r w:rsidRPr="00A84D9D">
        <w:rPr>
          <w:rFonts w:ascii="Arial" w:eastAsia="Times New Roman" w:hAnsi="Arial" w:cs="Arial"/>
          <w:color w:val="000000"/>
          <w:sz w:val="10"/>
          <w:szCs w:val="10"/>
          <w:lang w:eastAsia="es-CO"/>
        </w:rPr>
        <w:t>Exp</w:t>
      </w:r>
      <w:proofErr w:type="spellEnd"/>
      <w:r w:rsidRPr="00A84D9D">
        <w:rPr>
          <w:rFonts w:ascii="Arial" w:eastAsia="Times New Roman" w:hAnsi="Arial" w:cs="Arial"/>
          <w:color w:val="000000"/>
          <w:sz w:val="10"/>
          <w:szCs w:val="10"/>
          <w:lang w:eastAsia="es-CO"/>
        </w:rPr>
        <w:t>. 59.432. C.P. Marta Nubia Velásquez Rico.</w:t>
      </w:r>
    </w:p>
    <w:p w14:paraId="48B91273" w14:textId="77777777" w:rsidR="00185668" w:rsidRPr="00A84D9D" w:rsidRDefault="00185668" w:rsidP="00185668">
      <w:pPr>
        <w:pStyle w:val="Textonotapie"/>
        <w:ind w:firstLine="708"/>
        <w:jc w:val="both"/>
        <w:rPr>
          <w:rFonts w:ascii="Arial" w:hAnsi="Arial" w:cs="Arial"/>
          <w:color w:val="000000"/>
          <w:sz w:val="10"/>
          <w:szCs w:val="10"/>
          <w:lang w:val="es-CO"/>
        </w:rPr>
      </w:pPr>
    </w:p>
  </w:footnote>
  <w:footnote w:id="5">
    <w:p w14:paraId="7F0597BF"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hAnsi="Arial" w:cs="Arial"/>
          <w:color w:val="000000"/>
          <w:sz w:val="10"/>
          <w:szCs w:val="10"/>
          <w:lang w:val="es-CO"/>
        </w:rPr>
        <w:t xml:space="preserve">«Artículo 87. Firmeza de los actos administrativos. Los actos administrativos quedarán en firme: </w:t>
      </w:r>
    </w:p>
    <w:p w14:paraId="149B6FA7"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Fonts w:ascii="Arial" w:hAnsi="Arial" w:cs="Arial"/>
          <w:color w:val="000000"/>
          <w:sz w:val="10"/>
          <w:szCs w:val="10"/>
          <w:lang w:val="es-CO"/>
        </w:rPr>
        <w:t xml:space="preserve">»1. Cuando contra ellos no proceda ningún recurso, desde el día siguiente al de su notificación, comunicación o publicación según el caso. </w:t>
      </w:r>
    </w:p>
    <w:p w14:paraId="2A17177C"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Fonts w:ascii="Arial" w:hAnsi="Arial" w:cs="Arial"/>
          <w:color w:val="000000"/>
          <w:sz w:val="10"/>
          <w:szCs w:val="10"/>
          <w:lang w:val="es-CO"/>
        </w:rPr>
        <w:t xml:space="preserve">»2. Desde el día siguiente a la publicación, comunicación o notificación de la decisión sobre los recursos interpuestos. </w:t>
      </w:r>
    </w:p>
    <w:p w14:paraId="52ECC444"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Fonts w:ascii="Arial" w:hAnsi="Arial" w:cs="Arial"/>
          <w:color w:val="000000"/>
          <w:sz w:val="10"/>
          <w:szCs w:val="10"/>
          <w:lang w:val="es-CO"/>
        </w:rPr>
        <w:t>»3. Desde el día siguiente al del vencimiento del término para interponer los recursos, si estos no fueron interpuestos, o se hubiere renunciado expresamente a ellos.</w:t>
      </w:r>
    </w:p>
    <w:p w14:paraId="603244D6"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Fonts w:ascii="Arial" w:hAnsi="Arial" w:cs="Arial"/>
          <w:color w:val="000000"/>
          <w:sz w:val="10"/>
          <w:szCs w:val="10"/>
          <w:lang w:val="es-CO"/>
        </w:rPr>
        <w:t xml:space="preserve">»4. Desde el día siguiente al de la notificación de la aceptación del desistimiento de los recursos. </w:t>
      </w:r>
    </w:p>
    <w:p w14:paraId="0387A14F"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Fonts w:ascii="Arial" w:hAnsi="Arial" w:cs="Arial"/>
          <w:color w:val="000000"/>
          <w:sz w:val="10"/>
          <w:szCs w:val="10"/>
          <w:lang w:val="es-CO"/>
        </w:rPr>
        <w:t>»5. Desde el día siguiente al de la protocolización a que alude el artículo 85 para el silencio administrativo positivo».</w:t>
      </w:r>
    </w:p>
    <w:p w14:paraId="054405D5" w14:textId="77777777" w:rsidR="00185668" w:rsidRPr="00A84D9D" w:rsidRDefault="00185668" w:rsidP="00185668">
      <w:pPr>
        <w:pStyle w:val="Textonotapie"/>
        <w:ind w:firstLine="709"/>
        <w:jc w:val="both"/>
        <w:rPr>
          <w:rFonts w:ascii="Arial" w:hAnsi="Arial" w:cs="Arial"/>
          <w:color w:val="000000"/>
          <w:sz w:val="10"/>
          <w:szCs w:val="10"/>
          <w:lang w:val="es-CO"/>
        </w:rPr>
      </w:pPr>
    </w:p>
  </w:footnote>
  <w:footnote w:id="6">
    <w:p w14:paraId="1DA05D5A"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hAnsi="Arial" w:cs="Arial"/>
          <w:color w:val="000000"/>
          <w:sz w:val="10"/>
          <w:szCs w:val="10"/>
          <w:lang w:val="es-CO"/>
        </w:rPr>
        <w:t>Consejo de Estado. Sección Cuarta. Sentencia del 19 de noviembre de 1999. Exp. 9.453. CP. Daniel Manrique Guzmán.</w:t>
      </w:r>
    </w:p>
    <w:p w14:paraId="2C29F62D" w14:textId="77777777" w:rsidR="00185668" w:rsidRPr="00A84D9D" w:rsidRDefault="00185668" w:rsidP="00185668">
      <w:pPr>
        <w:pStyle w:val="Textonotapie"/>
        <w:jc w:val="both"/>
        <w:rPr>
          <w:rFonts w:ascii="Arial" w:hAnsi="Arial" w:cs="Arial"/>
          <w:color w:val="000000"/>
          <w:sz w:val="10"/>
          <w:szCs w:val="10"/>
        </w:rPr>
      </w:pPr>
    </w:p>
  </w:footnote>
  <w:footnote w:id="7">
    <w:p w14:paraId="60D5E3D4"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eastAsia="Times New Roman" w:hAnsi="Arial" w:cs="Arial"/>
          <w:color w:val="000000"/>
          <w:sz w:val="10"/>
          <w:szCs w:val="10"/>
          <w:lang w:eastAsia="es-ES_tradnl"/>
        </w:rPr>
        <w:t xml:space="preserve">Ley 1882 de 2018: «Artículo 5. Modifíquese el Parágrafo 1 e inclúyanse los parágrafos 3, 4 y 5 de artículo 5° de la Ley 1150 de 2007, los cuales quedarán así: </w:t>
      </w:r>
    </w:p>
    <w:p w14:paraId="089220CC"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Fonts w:ascii="Arial" w:eastAsia="Times New Roman" w:hAnsi="Arial" w:cs="Arial"/>
          <w:color w:val="000000"/>
          <w:sz w:val="10"/>
          <w:szCs w:val="10"/>
          <w:lang w:eastAsia="es-ES_tradnl"/>
        </w:rPr>
        <w:t xml:space="preserve">[…] </w:t>
      </w:r>
    </w:p>
    <w:p w14:paraId="6900F159"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Fonts w:ascii="Arial" w:eastAsia="Times New Roman" w:hAnsi="Arial" w:cs="Arial"/>
          <w:color w:val="000000"/>
          <w:sz w:val="10"/>
          <w:szCs w:val="10"/>
          <w:lang w:eastAsia="es-ES_tradnl"/>
        </w:rPr>
        <w:t xml:space="preserve">»Artículo 5°. De la selección objetiva. </w:t>
      </w:r>
    </w:p>
    <w:p w14:paraId="6437C8DC"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Fonts w:ascii="Arial" w:eastAsia="Times New Roman" w:hAnsi="Arial" w:cs="Arial"/>
          <w:color w:val="000000"/>
          <w:sz w:val="10"/>
          <w:szCs w:val="10"/>
          <w:lang w:eastAsia="es-ES_tradnl"/>
        </w:rPr>
        <w:t xml:space="preserve">[…] </w:t>
      </w:r>
    </w:p>
    <w:p w14:paraId="4B217E7B"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Fonts w:ascii="Arial" w:eastAsia="Times New Roman" w:hAnsi="Arial" w:cs="Arial"/>
          <w:color w:val="000000"/>
          <w:sz w:val="10"/>
          <w:szCs w:val="10"/>
          <w:lang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EFE175D" w14:textId="77777777" w:rsidR="00185668" w:rsidRPr="00A84D9D" w:rsidRDefault="00185668" w:rsidP="00185668">
      <w:pPr>
        <w:ind w:firstLine="709"/>
        <w:jc w:val="both"/>
        <w:rPr>
          <w:rFonts w:ascii="Arial" w:eastAsia="Times New Roman" w:hAnsi="Arial" w:cs="Arial"/>
          <w:color w:val="000000"/>
          <w:sz w:val="10"/>
          <w:szCs w:val="10"/>
          <w:lang w:eastAsia="es-ES_tradnl"/>
        </w:rPr>
      </w:pPr>
      <w:r w:rsidRPr="00A84D9D">
        <w:rPr>
          <w:rFonts w:ascii="Arial" w:eastAsia="Times New Roman" w:hAnsi="Arial" w:cs="Arial"/>
          <w:i/>
          <w:iCs/>
          <w:color w:val="000000"/>
          <w:sz w:val="10"/>
          <w:szCs w:val="10"/>
          <w:lang w:eastAsia="es-ES_tradnl"/>
        </w:rPr>
        <w:t>»Durante el término otorgado para subsanar las ofertas, los proponentes no podrán acreditar circunstancias ocurridas con posterioridad al cierre del proceso»</w:t>
      </w:r>
      <w:r w:rsidRPr="00A84D9D">
        <w:rPr>
          <w:rFonts w:ascii="Arial" w:eastAsia="Times New Roman" w:hAnsi="Arial" w:cs="Arial"/>
          <w:color w:val="000000"/>
          <w:sz w:val="10"/>
          <w:szCs w:val="10"/>
          <w:lang w:eastAsia="es-ES_tradnl"/>
        </w:rPr>
        <w:t xml:space="preserve"> (cursiva fuera de texto).</w:t>
      </w:r>
    </w:p>
    <w:p w14:paraId="54D32D17" w14:textId="77777777" w:rsidR="00185668" w:rsidRPr="00A84D9D" w:rsidRDefault="00185668" w:rsidP="00185668">
      <w:pPr>
        <w:pStyle w:val="Textonotapie"/>
        <w:jc w:val="both"/>
        <w:rPr>
          <w:rFonts w:ascii="Arial" w:hAnsi="Arial" w:cs="Arial"/>
          <w:color w:val="000000"/>
          <w:sz w:val="10"/>
          <w:szCs w:val="10"/>
        </w:rPr>
      </w:pPr>
    </w:p>
  </w:footnote>
  <w:footnote w:id="8">
    <w:p w14:paraId="4475B12F"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hAnsi="Arial" w:cs="Arial"/>
          <w:color w:val="000000"/>
          <w:sz w:val="10"/>
          <w:szCs w:val="10"/>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A84D9D">
        <w:rPr>
          <w:rFonts w:ascii="Arial" w:hAnsi="Arial" w:cs="Arial"/>
          <w:i/>
          <w:iCs/>
          <w:color w:val="000000"/>
          <w:sz w:val="10"/>
          <w:szCs w:val="10"/>
          <w:lang w:val="es-CO"/>
        </w:rPr>
        <w:t>ni que se acrediten circunstancias ocurridas con posterioridad al cierre del proceso»</w:t>
      </w:r>
      <w:r w:rsidRPr="00A84D9D">
        <w:rPr>
          <w:rFonts w:ascii="Arial" w:hAnsi="Arial" w:cs="Arial"/>
          <w:color w:val="000000"/>
          <w:sz w:val="10"/>
          <w:szCs w:val="10"/>
          <w:lang w:val="es-CO"/>
        </w:rPr>
        <w:t xml:space="preserve"> (cursiva fuera de texto).</w:t>
      </w:r>
    </w:p>
    <w:p w14:paraId="721B2C24" w14:textId="77777777" w:rsidR="00185668" w:rsidRPr="00A84D9D" w:rsidRDefault="00185668" w:rsidP="00185668">
      <w:pPr>
        <w:pStyle w:val="Textonotapie"/>
        <w:ind w:firstLine="709"/>
        <w:jc w:val="both"/>
        <w:rPr>
          <w:rFonts w:ascii="Arial" w:hAnsi="Arial" w:cs="Arial"/>
          <w:color w:val="000000"/>
          <w:sz w:val="10"/>
          <w:szCs w:val="10"/>
        </w:rPr>
      </w:pPr>
    </w:p>
  </w:footnote>
  <w:footnote w:id="9">
    <w:p w14:paraId="177959A4"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hAnsi="Arial" w:cs="Arial"/>
          <w:color w:val="000000"/>
          <w:sz w:val="10"/>
          <w:szCs w:val="10"/>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2570A619" w14:textId="77777777" w:rsidR="00185668" w:rsidRPr="00A84D9D" w:rsidRDefault="00185668" w:rsidP="00185668">
      <w:pPr>
        <w:pStyle w:val="Textonotapie"/>
        <w:jc w:val="both"/>
        <w:rPr>
          <w:rFonts w:ascii="Arial" w:hAnsi="Arial" w:cs="Arial"/>
          <w:color w:val="000000"/>
          <w:sz w:val="10"/>
          <w:szCs w:val="10"/>
        </w:rPr>
      </w:pPr>
    </w:p>
  </w:footnote>
  <w:footnote w:id="10">
    <w:p w14:paraId="6DA0C56D" w14:textId="77777777" w:rsidR="00185668" w:rsidRPr="00A84D9D" w:rsidRDefault="00185668" w:rsidP="00185668">
      <w:pPr>
        <w:pStyle w:val="Textonotapie"/>
        <w:ind w:firstLine="709"/>
        <w:jc w:val="both"/>
        <w:rPr>
          <w:rFonts w:ascii="Arial" w:hAnsi="Arial" w:cs="Arial"/>
          <w:color w:val="000000"/>
          <w:sz w:val="10"/>
          <w:szCs w:val="10"/>
          <w:lang w:val="es-CO"/>
        </w:rPr>
      </w:pPr>
      <w:r w:rsidRPr="00A84D9D">
        <w:rPr>
          <w:rStyle w:val="Refdenotaalpie"/>
          <w:rFonts w:ascii="Arial" w:hAnsi="Arial" w:cs="Arial"/>
          <w:color w:val="000000"/>
          <w:sz w:val="10"/>
          <w:szCs w:val="10"/>
        </w:rPr>
        <w:footnoteRef/>
      </w:r>
      <w:r w:rsidRPr="00A84D9D">
        <w:rPr>
          <w:rFonts w:ascii="Arial" w:hAnsi="Arial" w:cs="Arial"/>
          <w:color w:val="000000"/>
          <w:sz w:val="10"/>
          <w:szCs w:val="10"/>
        </w:rPr>
        <w:t xml:space="preserve"> </w:t>
      </w:r>
      <w:r w:rsidRPr="00A84D9D">
        <w:rPr>
          <w:rFonts w:ascii="Arial" w:hAnsi="Arial" w:cs="Arial"/>
          <w:color w:val="000000"/>
          <w:sz w:val="10"/>
          <w:szCs w:val="10"/>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4BC2D737" w14:textId="77777777" w:rsidR="00185668" w:rsidRPr="00A84D9D" w:rsidRDefault="00185668" w:rsidP="00185668">
      <w:pPr>
        <w:pStyle w:val="Textonotapie"/>
        <w:jc w:val="both"/>
        <w:rPr>
          <w:rFonts w:ascii="Arial" w:hAnsi="Arial" w:cs="Arial"/>
          <w:color w:val="000000"/>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85668"/>
    <w:rsid w:val="001A1011"/>
    <w:rsid w:val="001A48D0"/>
    <w:rsid w:val="002653C1"/>
    <w:rsid w:val="0026611D"/>
    <w:rsid w:val="002951A0"/>
    <w:rsid w:val="002A64FD"/>
    <w:rsid w:val="002F0839"/>
    <w:rsid w:val="00301469"/>
    <w:rsid w:val="00306EE1"/>
    <w:rsid w:val="00310B9B"/>
    <w:rsid w:val="0036461C"/>
    <w:rsid w:val="00367884"/>
    <w:rsid w:val="00384AE9"/>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326D7"/>
    <w:rsid w:val="00547856"/>
    <w:rsid w:val="00547A74"/>
    <w:rsid w:val="005566E8"/>
    <w:rsid w:val="005746AB"/>
    <w:rsid w:val="0059357F"/>
    <w:rsid w:val="005A1130"/>
    <w:rsid w:val="005B42BA"/>
    <w:rsid w:val="005D65C8"/>
    <w:rsid w:val="006219F8"/>
    <w:rsid w:val="006631C3"/>
    <w:rsid w:val="00681FDB"/>
    <w:rsid w:val="006A7DAD"/>
    <w:rsid w:val="006D70BA"/>
    <w:rsid w:val="007566FE"/>
    <w:rsid w:val="0076726F"/>
    <w:rsid w:val="0077144B"/>
    <w:rsid w:val="00793403"/>
    <w:rsid w:val="007C0CDF"/>
    <w:rsid w:val="007E2A2F"/>
    <w:rsid w:val="007F2B7C"/>
    <w:rsid w:val="00811651"/>
    <w:rsid w:val="00820F5B"/>
    <w:rsid w:val="00833452"/>
    <w:rsid w:val="008342FA"/>
    <w:rsid w:val="008614E5"/>
    <w:rsid w:val="008678EB"/>
    <w:rsid w:val="00875894"/>
    <w:rsid w:val="00881C10"/>
    <w:rsid w:val="00890411"/>
    <w:rsid w:val="008D5C70"/>
    <w:rsid w:val="009025AF"/>
    <w:rsid w:val="00904F23"/>
    <w:rsid w:val="00906B3C"/>
    <w:rsid w:val="009172EE"/>
    <w:rsid w:val="0095342C"/>
    <w:rsid w:val="009F33F2"/>
    <w:rsid w:val="009F6C77"/>
    <w:rsid w:val="00A07532"/>
    <w:rsid w:val="00A1085C"/>
    <w:rsid w:val="00A309E2"/>
    <w:rsid w:val="00A8066E"/>
    <w:rsid w:val="00A84D9D"/>
    <w:rsid w:val="00AA4B8A"/>
    <w:rsid w:val="00AA6BF7"/>
    <w:rsid w:val="00B01ED6"/>
    <w:rsid w:val="00B06D09"/>
    <w:rsid w:val="00B771A9"/>
    <w:rsid w:val="00B809BB"/>
    <w:rsid w:val="00B8248A"/>
    <w:rsid w:val="00BB7726"/>
    <w:rsid w:val="00C2329E"/>
    <w:rsid w:val="00C30461"/>
    <w:rsid w:val="00C42893"/>
    <w:rsid w:val="00C754BE"/>
    <w:rsid w:val="00C80053"/>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185668"/>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185668"/>
    <w:pPr>
      <w:spacing w:line="240" w:lineRule="exact"/>
    </w:pPr>
    <w:rPr>
      <w:vertAlign w:val="superscript"/>
    </w:rPr>
  </w:style>
  <w:style w:type="table" w:customStyle="1" w:styleId="Tablaconcuadrcula3">
    <w:name w:val="Tabla con cuadrícula3"/>
    <w:basedOn w:val="Tablanormal"/>
    <w:uiPriority w:val="59"/>
    <w:qFormat/>
    <w:rsid w:val="001856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631C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631C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C42523D-D272-4F58-B055-299AB06E35BF}"/>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4720</Words>
  <Characters>25962</Characters>
  <Application>Microsoft Office Word</Application>
  <DocSecurity>0</DocSecurity>
  <Lines>216</Lines>
  <Paragraphs>61</Paragraphs>
  <ScaleCrop>false</ScaleCrop>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5</cp:revision>
  <dcterms:created xsi:type="dcterms:W3CDTF">2022-12-02T16:27:00Z</dcterms:created>
  <dcterms:modified xsi:type="dcterms:W3CDTF">2022-12-02T16:31:00Z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