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4F18" w14:textId="2CE75515" w:rsidR="00B5774D" w:rsidRDefault="00B5774D" w:rsidP="00C06462">
      <w:pPr>
        <w:spacing w:after="0" w:line="240" w:lineRule="auto"/>
        <w:jc w:val="both"/>
        <w:rPr>
          <w:rFonts w:ascii="Arial" w:eastAsia="Arial" w:hAnsi="Arial" w:cs="Arial"/>
          <w:b/>
          <w:color w:val="000000"/>
        </w:rPr>
      </w:pPr>
      <w:bookmarkStart w:id="0" w:name="_Hlk103947551"/>
      <w:r w:rsidRPr="00B5774D">
        <w:rPr>
          <w:rFonts w:ascii="Arial" w:eastAsia="Arial" w:hAnsi="Arial" w:cs="Arial"/>
          <w:b/>
          <w:color w:val="000000"/>
        </w:rPr>
        <w:t xml:space="preserve">PRINCIPIO DE SELECCIÓN OBJETIVA </w:t>
      </w:r>
      <w:r w:rsidRPr="00B5774D">
        <w:rPr>
          <w:rFonts w:ascii="Arial" w:eastAsia="Arial" w:hAnsi="Arial" w:cs="Arial"/>
          <w:b/>
          <w:color w:val="000000"/>
          <w:sz w:val="20"/>
          <w:szCs w:val="20"/>
        </w:rPr>
        <w:t>–</w:t>
      </w:r>
      <w:r w:rsidRPr="00B5774D">
        <w:rPr>
          <w:rFonts w:ascii="Arial" w:eastAsia="Arial" w:hAnsi="Arial" w:cs="Arial"/>
          <w:b/>
          <w:color w:val="000000"/>
        </w:rPr>
        <w:t xml:space="preserve"> Fundamento </w:t>
      </w:r>
      <w:r w:rsidRPr="00B5774D">
        <w:rPr>
          <w:rFonts w:ascii="Arial" w:eastAsia="Arial" w:hAnsi="Arial" w:cs="Arial"/>
          <w:b/>
          <w:color w:val="000000"/>
          <w:sz w:val="20"/>
          <w:szCs w:val="20"/>
        </w:rPr>
        <w:t>–</w:t>
      </w:r>
      <w:r w:rsidRPr="00B5774D">
        <w:rPr>
          <w:rFonts w:ascii="Arial" w:eastAsia="Arial" w:hAnsi="Arial" w:cs="Arial"/>
          <w:b/>
          <w:color w:val="000000"/>
        </w:rPr>
        <w:t xml:space="preserve"> Alcance</w:t>
      </w:r>
    </w:p>
    <w:p w14:paraId="41B7C32C" w14:textId="77777777" w:rsidR="00373943" w:rsidRPr="00B5774D" w:rsidRDefault="00373943" w:rsidP="00C06462">
      <w:pPr>
        <w:spacing w:after="0" w:line="240" w:lineRule="auto"/>
        <w:jc w:val="both"/>
        <w:rPr>
          <w:rFonts w:ascii="Arial" w:eastAsia="Arial" w:hAnsi="Arial" w:cs="Arial"/>
          <w:color w:val="000000"/>
        </w:rPr>
      </w:pPr>
    </w:p>
    <w:p w14:paraId="425F2318" w14:textId="5D74BE71" w:rsidR="0081243A" w:rsidRPr="0081243A" w:rsidRDefault="00373943" w:rsidP="0081243A">
      <w:pPr>
        <w:spacing w:after="0" w:line="240" w:lineRule="auto"/>
        <w:jc w:val="both"/>
        <w:rPr>
          <w:rFonts w:ascii="Arial" w:eastAsia="Arial" w:hAnsi="Arial" w:cs="Arial"/>
          <w:bCs/>
          <w:color w:val="000000"/>
          <w:sz w:val="20"/>
          <w:szCs w:val="20"/>
          <w:lang w:val="es-MX"/>
        </w:rPr>
      </w:pPr>
      <w:r w:rsidRPr="00373943">
        <w:rPr>
          <w:rFonts w:ascii="Arial" w:eastAsia="Arial" w:hAnsi="Arial" w:cs="Arial"/>
          <w:bCs/>
          <w:color w:val="000000"/>
          <w:sz w:val="20"/>
          <w:szCs w:val="20"/>
          <w:lang w:val="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r w:rsidRPr="00373943">
        <w:rPr>
          <w:rFonts w:ascii="Arial" w:eastAsia="Arial" w:hAnsi="Arial" w:cs="Arial"/>
          <w:bCs/>
          <w:color w:val="000000"/>
          <w:sz w:val="20"/>
          <w:szCs w:val="20"/>
          <w:lang w:val="es-MX"/>
        </w:rPr>
        <w:t xml:space="preserve">Si bien dentro de la historia de la contratación pública en Colombia, se vislumbran antecedentes normativos que consagraban dicho principio, en la actualidad la disposición legal que lo prevé de manera más clara y contundente es el artículo 5 de la Ley 1150 de 2007, modificado por el artículo 88 de la Ley 1474 de 2011. </w:t>
      </w:r>
      <w:r w:rsidR="0081243A" w:rsidRPr="00373943">
        <w:rPr>
          <w:rFonts w:ascii="Arial" w:eastAsia="Arial" w:hAnsi="Arial" w:cs="Arial"/>
          <w:bCs/>
          <w:color w:val="000000"/>
          <w:sz w:val="20"/>
          <w:szCs w:val="20"/>
          <w:lang w:val="es-MX"/>
        </w:rPr>
        <w:t>[…]</w:t>
      </w:r>
      <w:r w:rsidR="0081243A" w:rsidRPr="0081243A">
        <w:rPr>
          <w:rFonts w:ascii="Arial" w:eastAsia="Arial" w:hAnsi="Arial" w:cs="Arial"/>
          <w:bCs/>
          <w:color w:val="000000"/>
          <w:sz w:val="20"/>
          <w:szCs w:val="20"/>
          <w:lang w:val="es-MX"/>
        </w:rPr>
        <w:t xml:space="preserve">De acuerdo con lo anterior, conforme con lo expresado en el concepto C–166 del 23 de abril de 2021,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r w:rsidRPr="00373943">
        <w:rPr>
          <w:rFonts w:ascii="Arial" w:eastAsia="Arial" w:hAnsi="Arial" w:cs="Arial"/>
          <w:bCs/>
          <w:color w:val="000000"/>
          <w:sz w:val="20"/>
          <w:szCs w:val="20"/>
          <w:lang w:val="es-MX"/>
        </w:rPr>
        <w:t xml:space="preserve">[…] </w:t>
      </w:r>
      <w:r w:rsidR="0081243A" w:rsidRPr="0081243A">
        <w:rPr>
          <w:rFonts w:ascii="Arial" w:eastAsia="Arial" w:hAnsi="Arial" w:cs="Arial"/>
          <w:bCs/>
          <w:color w:val="000000"/>
          <w:sz w:val="20"/>
          <w:szCs w:val="20"/>
          <w:lang w:val="es-MX"/>
        </w:rPr>
        <w:t>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 aquellas condiciones de la oferta y no de quien la presenta, que sí entrarán a ser evaluadas por la Administración y que en consecuencia, darán lugar a la escogencia objetiva de la mejor propuesta para la entidad». Todas estas categorías designan los «[…] factores a los cuales cabe otorgarles puntajes o que pueden ser ponderados, precisamente, pues estos son los factores que en últimas permiten una comparación de ofertas y una diferenciación entre ellas»</w:t>
      </w:r>
    </w:p>
    <w:p w14:paraId="3EEF7FF8" w14:textId="77777777" w:rsidR="00373943" w:rsidRPr="00373943" w:rsidRDefault="00373943" w:rsidP="00C06462">
      <w:pPr>
        <w:spacing w:after="0" w:line="240" w:lineRule="auto"/>
        <w:jc w:val="both"/>
        <w:rPr>
          <w:rFonts w:ascii="Arial" w:eastAsia="Arial" w:hAnsi="Arial" w:cs="Arial"/>
          <w:bCs/>
          <w:color w:val="000000"/>
          <w:sz w:val="20"/>
          <w:szCs w:val="20"/>
          <w:lang w:val="es-MX"/>
        </w:rPr>
      </w:pPr>
    </w:p>
    <w:p w14:paraId="20CF2B2B" w14:textId="2FEF3944" w:rsidR="00B5774D" w:rsidRDefault="00B5774D" w:rsidP="00C06462">
      <w:pPr>
        <w:spacing w:after="0" w:line="240" w:lineRule="auto"/>
        <w:jc w:val="both"/>
        <w:rPr>
          <w:rFonts w:ascii="Arial" w:eastAsia="Arial" w:hAnsi="Arial" w:cs="Arial"/>
          <w:b/>
          <w:color w:val="000000"/>
        </w:rPr>
      </w:pPr>
      <w:r w:rsidRPr="00B5774D">
        <w:rPr>
          <w:rFonts w:ascii="Arial" w:eastAsia="Arial" w:hAnsi="Arial" w:cs="Arial"/>
          <w:b/>
          <w:color w:val="000000"/>
        </w:rPr>
        <w:t xml:space="preserve">SUBSANABILIDAD </w:t>
      </w:r>
      <w:r w:rsidRPr="00B5774D">
        <w:rPr>
          <w:rFonts w:ascii="Arial" w:eastAsia="Arial" w:hAnsi="Arial" w:cs="Arial"/>
          <w:b/>
          <w:color w:val="000000"/>
          <w:sz w:val="20"/>
          <w:szCs w:val="20"/>
        </w:rPr>
        <w:t>–</w:t>
      </w:r>
      <w:r w:rsidRPr="00B5774D">
        <w:rPr>
          <w:rFonts w:ascii="Arial" w:eastAsia="Arial" w:hAnsi="Arial" w:cs="Arial"/>
          <w:b/>
          <w:color w:val="000000"/>
        </w:rPr>
        <w:t xml:space="preserve"> Concepto de unificación </w:t>
      </w:r>
      <w:r w:rsidRPr="00B5774D">
        <w:rPr>
          <w:rFonts w:ascii="Arial" w:eastAsia="Arial" w:hAnsi="Arial" w:cs="Arial"/>
          <w:b/>
          <w:color w:val="000000"/>
          <w:sz w:val="20"/>
          <w:szCs w:val="20"/>
        </w:rPr>
        <w:t>–</w:t>
      </w:r>
      <w:r w:rsidRPr="00B5774D">
        <w:rPr>
          <w:rFonts w:ascii="Arial" w:eastAsia="Arial" w:hAnsi="Arial" w:cs="Arial"/>
          <w:b/>
          <w:color w:val="000000"/>
        </w:rPr>
        <w:t xml:space="preserve"> </w:t>
      </w:r>
      <w:r w:rsidR="00AE76CC">
        <w:rPr>
          <w:rFonts w:ascii="Arial" w:eastAsia="Arial" w:hAnsi="Arial" w:cs="Arial"/>
          <w:b/>
          <w:color w:val="000000"/>
        </w:rPr>
        <w:t xml:space="preserve">Reiteración </w:t>
      </w:r>
    </w:p>
    <w:p w14:paraId="61C71116" w14:textId="77777777" w:rsidR="00373943" w:rsidRPr="00B5774D" w:rsidRDefault="00373943" w:rsidP="00C06462">
      <w:pPr>
        <w:spacing w:after="0" w:line="240" w:lineRule="auto"/>
        <w:jc w:val="both"/>
        <w:rPr>
          <w:rFonts w:ascii="Arial" w:eastAsia="Arial" w:hAnsi="Arial" w:cs="Arial"/>
          <w:b/>
          <w:color w:val="000000"/>
        </w:rPr>
      </w:pPr>
    </w:p>
    <w:p w14:paraId="3043F871" w14:textId="7AB05D99" w:rsidR="00373943" w:rsidRDefault="00373943" w:rsidP="00C06462">
      <w:pPr>
        <w:spacing w:after="0" w:line="240" w:lineRule="auto"/>
        <w:jc w:val="both"/>
        <w:rPr>
          <w:rFonts w:ascii="Arial" w:eastAsia="Arial" w:hAnsi="Arial" w:cs="Arial"/>
          <w:color w:val="000000"/>
          <w:sz w:val="20"/>
          <w:szCs w:val="20"/>
          <w:lang w:val="es-MX"/>
        </w:rPr>
      </w:pPr>
      <w:r w:rsidRPr="00373943">
        <w:rPr>
          <w:rFonts w:ascii="Arial" w:eastAsia="Arial" w:hAnsi="Arial" w:cs="Arial"/>
          <w:color w:val="000000"/>
          <w:sz w:val="20"/>
          <w:szCs w:val="20"/>
          <w:lang w:val="es-MX"/>
        </w:rPr>
        <w:t>Esta Subdirección se ha pronunciado en diversas oportunidades acerca del alcance de la regla de la subsanabilidad, contenida actualmente en el artículo 5 de la Ley 1150 de 2007. En efecto, la Agencia Nacional de Contratación Pública – Colombia Compra Eficiente, en el concepto CU — 060 de 16 de enero de 2020, unificó el concepto de la Agencia Nacional de Contratación Pública – Colombia Compra Eficiente en torno al alcance de la regla de la subsanabilidad, contenida actualmente en el artículo 5 de la Ley 1150 de 2007. Las consideraciones de este concepto se reiterarán, sin perjuicio del análisis jurisprudencial que se realizará en torno a las distintas posturas que se han desarrollado en el Consejo de Estado, teniendo en cuenta el objeto de la consulta.</w:t>
      </w:r>
      <w:r>
        <w:rPr>
          <w:rFonts w:ascii="Arial" w:eastAsia="Arial" w:hAnsi="Arial" w:cs="Arial"/>
          <w:color w:val="000000"/>
          <w:sz w:val="20"/>
          <w:szCs w:val="20"/>
          <w:lang w:val="es-MX"/>
        </w:rPr>
        <w:t xml:space="preserve"> </w:t>
      </w:r>
      <w:r w:rsidRPr="00373943">
        <w:rPr>
          <w:rFonts w:ascii="Arial" w:eastAsia="Arial" w:hAnsi="Arial" w:cs="Arial"/>
          <w:color w:val="000000"/>
          <w:sz w:val="20"/>
          <w:szCs w:val="20"/>
          <w:lang w:val="es-MX"/>
        </w:rPr>
        <w:t>Según se expuso en el concepto CU — 060 de 16 de enero de 2020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w:t>
      </w:r>
      <w:r>
        <w:rPr>
          <w:rFonts w:ascii="Arial" w:eastAsia="Arial" w:hAnsi="Arial" w:cs="Arial"/>
          <w:color w:val="000000"/>
          <w:sz w:val="20"/>
          <w:szCs w:val="20"/>
          <w:lang w:val="es-MX"/>
        </w:rPr>
        <w:t xml:space="preserve">. </w:t>
      </w:r>
    </w:p>
    <w:p w14:paraId="5B03BC07" w14:textId="77777777" w:rsidR="00C06462" w:rsidRDefault="00C06462" w:rsidP="00C06462">
      <w:pPr>
        <w:spacing w:after="0" w:line="240" w:lineRule="auto"/>
        <w:jc w:val="both"/>
        <w:rPr>
          <w:rFonts w:ascii="Arial" w:eastAsia="Arial" w:hAnsi="Arial" w:cs="Arial"/>
          <w:color w:val="000000"/>
          <w:sz w:val="20"/>
          <w:szCs w:val="20"/>
          <w:lang w:val="es-MX"/>
        </w:rPr>
      </w:pPr>
    </w:p>
    <w:p w14:paraId="7BD04E5F" w14:textId="395145B7" w:rsidR="00B5774D" w:rsidRDefault="00B5774D" w:rsidP="00C06462">
      <w:pPr>
        <w:spacing w:after="0" w:line="240" w:lineRule="auto"/>
        <w:jc w:val="both"/>
        <w:rPr>
          <w:rFonts w:ascii="Arial" w:eastAsia="Arial" w:hAnsi="Arial" w:cs="Arial"/>
          <w:b/>
          <w:color w:val="000000"/>
        </w:rPr>
      </w:pPr>
      <w:r w:rsidRPr="00B5774D">
        <w:rPr>
          <w:rFonts w:ascii="Arial" w:eastAsia="Arial" w:hAnsi="Arial" w:cs="Arial"/>
          <w:b/>
          <w:color w:val="000000"/>
        </w:rPr>
        <w:t xml:space="preserve">SUBSANABILIDAD </w:t>
      </w:r>
      <w:r w:rsidRPr="00B5774D">
        <w:rPr>
          <w:rFonts w:ascii="Arial" w:eastAsia="Arial" w:hAnsi="Arial" w:cs="Arial"/>
          <w:b/>
          <w:color w:val="000000"/>
          <w:sz w:val="20"/>
          <w:szCs w:val="20"/>
        </w:rPr>
        <w:t>–</w:t>
      </w:r>
      <w:r w:rsidRPr="00B5774D">
        <w:rPr>
          <w:rFonts w:ascii="Arial" w:eastAsia="Arial" w:hAnsi="Arial" w:cs="Arial"/>
          <w:b/>
          <w:color w:val="000000"/>
        </w:rPr>
        <w:t xml:space="preserve"> </w:t>
      </w:r>
      <w:r w:rsidR="00AE76CC">
        <w:rPr>
          <w:rFonts w:ascii="Arial" w:eastAsia="Arial" w:hAnsi="Arial" w:cs="Arial"/>
          <w:b/>
          <w:color w:val="000000"/>
        </w:rPr>
        <w:t>Alcance</w:t>
      </w:r>
      <w:r w:rsidRPr="00B5774D">
        <w:rPr>
          <w:rFonts w:ascii="Arial" w:eastAsia="Arial" w:hAnsi="Arial" w:cs="Arial"/>
          <w:b/>
          <w:color w:val="000000"/>
        </w:rPr>
        <w:t xml:space="preserve"> </w:t>
      </w:r>
      <w:r w:rsidRPr="00B5774D">
        <w:rPr>
          <w:rFonts w:ascii="Arial" w:eastAsia="Arial" w:hAnsi="Arial" w:cs="Arial"/>
          <w:b/>
          <w:color w:val="000000"/>
          <w:sz w:val="20"/>
          <w:szCs w:val="20"/>
        </w:rPr>
        <w:t>–</w:t>
      </w:r>
      <w:r w:rsidR="00AE76CC" w:rsidRPr="00AE76CC">
        <w:rPr>
          <w:rFonts w:ascii="Arial" w:eastAsia="Arial" w:hAnsi="Arial" w:cs="Arial"/>
          <w:b/>
          <w:color w:val="000000"/>
        </w:rPr>
        <w:t xml:space="preserve">Interpretación </w:t>
      </w:r>
      <w:r w:rsidRPr="00B5774D">
        <w:rPr>
          <w:rFonts w:ascii="Arial" w:eastAsia="Arial" w:hAnsi="Arial" w:cs="Arial"/>
          <w:b/>
          <w:color w:val="000000"/>
          <w:sz w:val="20"/>
          <w:szCs w:val="20"/>
        </w:rPr>
        <w:t>–</w:t>
      </w:r>
      <w:r w:rsidRPr="00B5774D">
        <w:rPr>
          <w:rFonts w:ascii="Arial" w:eastAsia="Arial" w:hAnsi="Arial" w:cs="Arial"/>
          <w:b/>
          <w:color w:val="000000"/>
        </w:rPr>
        <w:t xml:space="preserve"> </w:t>
      </w:r>
      <w:r w:rsidR="00AE76CC">
        <w:rPr>
          <w:rFonts w:ascii="Arial" w:eastAsia="Arial" w:hAnsi="Arial" w:cs="Arial"/>
          <w:b/>
          <w:color w:val="000000"/>
        </w:rPr>
        <w:t xml:space="preserve">Consejo de Estado </w:t>
      </w:r>
      <w:r w:rsidRPr="00B5774D">
        <w:rPr>
          <w:rFonts w:ascii="Arial" w:eastAsia="Arial" w:hAnsi="Arial" w:cs="Arial"/>
          <w:b/>
          <w:color w:val="000000"/>
        </w:rPr>
        <w:t xml:space="preserve"> </w:t>
      </w:r>
    </w:p>
    <w:p w14:paraId="7DEC49E7" w14:textId="77777777" w:rsidR="00C06462" w:rsidRPr="00D0595D" w:rsidRDefault="00C06462" w:rsidP="00C06462">
      <w:pPr>
        <w:spacing w:after="0" w:line="240" w:lineRule="auto"/>
        <w:jc w:val="both"/>
        <w:rPr>
          <w:rFonts w:ascii="Arial" w:eastAsia="Arial" w:hAnsi="Arial" w:cs="Arial"/>
          <w:color w:val="000000"/>
        </w:rPr>
      </w:pPr>
    </w:p>
    <w:p w14:paraId="55CE9BE7" w14:textId="2EE4BAEC" w:rsidR="00C06462" w:rsidRDefault="00C06462" w:rsidP="00C06462">
      <w:pPr>
        <w:tabs>
          <w:tab w:val="left" w:pos="6645"/>
        </w:tabs>
        <w:spacing w:after="0" w:line="240" w:lineRule="auto"/>
        <w:jc w:val="both"/>
        <w:rPr>
          <w:rFonts w:ascii="Arial" w:hAnsi="Arial" w:cs="Arial"/>
          <w:bCs/>
          <w:sz w:val="20"/>
          <w:szCs w:val="20"/>
          <w:lang w:val="es-MX"/>
        </w:rPr>
      </w:pPr>
      <w:r w:rsidRPr="00C06462">
        <w:rPr>
          <w:rFonts w:ascii="Arial" w:hAnsi="Arial" w:cs="Arial"/>
          <w:bCs/>
          <w:sz w:val="20"/>
          <w:szCs w:val="20"/>
        </w:rPr>
        <w:t xml:space="preserve">El Consejo de Estado actualmente cuenta con dos posturas frente a la subsanabilidad de las ofertas. Por un lado, </w:t>
      </w:r>
      <w:r w:rsidRPr="00C06462">
        <w:rPr>
          <w:rFonts w:ascii="Arial" w:hAnsi="Arial" w:cs="Arial"/>
          <w:bCs/>
          <w:sz w:val="20"/>
          <w:szCs w:val="20"/>
          <w:lang w:val="es-ES_tradnl"/>
        </w:rPr>
        <w:t xml:space="preserve">en Sentencias del 28 de febrero y 20 de abril del 2022 la Subsección C de la Sección tercera, señaló que el artículo </w:t>
      </w:r>
      <w:r w:rsidRPr="00C06462">
        <w:rPr>
          <w:rFonts w:ascii="Arial" w:hAnsi="Arial" w:cs="Arial"/>
          <w:bCs/>
          <w:sz w:val="20"/>
          <w:szCs w:val="20"/>
          <w:lang w:val="es-MX"/>
        </w:rPr>
        <w:t xml:space="preserve">5 </w:t>
      </w:r>
      <w:r w:rsidRPr="00C06462">
        <w:rPr>
          <w:rFonts w:ascii="Arial" w:hAnsi="Arial" w:cs="Arial"/>
          <w:bCs/>
          <w:sz w:val="20"/>
          <w:szCs w:val="20"/>
          <w:lang w:val="es-ES_tradnl"/>
        </w:rPr>
        <w:t>de la Ley 11</w:t>
      </w:r>
      <w:r w:rsidRPr="00C06462">
        <w:rPr>
          <w:rFonts w:ascii="Arial" w:hAnsi="Arial" w:cs="Arial"/>
          <w:bCs/>
          <w:sz w:val="20"/>
          <w:szCs w:val="20"/>
          <w:lang w:val="es-MX"/>
        </w:rPr>
        <w:t xml:space="preserve">50 de 2007 debe interpretarse armónicamente con lo dispuesto en los numerales 7 y 8 del artículo 30 de la Ley 80 de 1993, de manera que se podrá complementar la oferta pero solo en los aspectos que permita la Ley, es decir, aquellos que no </w:t>
      </w:r>
      <w:r w:rsidRPr="00C06462">
        <w:rPr>
          <w:rFonts w:ascii="Arial" w:hAnsi="Arial" w:cs="Arial"/>
          <w:bCs/>
          <w:sz w:val="20"/>
          <w:szCs w:val="20"/>
          <w:lang w:val="es-MX"/>
        </w:rPr>
        <w:lastRenderedPageBreak/>
        <w:t xml:space="preserve">otorguen puntaje. Por otro lado, </w:t>
      </w:r>
      <w:r w:rsidRPr="00C06462">
        <w:rPr>
          <w:rFonts w:ascii="Arial" w:hAnsi="Arial" w:cs="Arial"/>
          <w:bCs/>
          <w:sz w:val="20"/>
          <w:szCs w:val="20"/>
          <w:lang w:val="es-ES_tradnl"/>
        </w:rPr>
        <w:t>en Sentencia del 15 de julio del 2022, la Subsección A de la Sección Tercera señaló que en aquellos eventos en que se pretende mejorar aspectos con los que no se contaba a la fecha de presentación de la oferta, incluyendo los requisitos habilitantes, en realidad no se está subsanado la oferta sino que se está adicionando lo que contraria los principios de la contratación estatal</w:t>
      </w:r>
      <w:r w:rsidRPr="00C06462">
        <w:rPr>
          <w:rFonts w:ascii="Arial" w:hAnsi="Arial" w:cs="Arial"/>
          <w:bCs/>
          <w:sz w:val="20"/>
          <w:szCs w:val="20"/>
          <w:lang w:val="es-MX"/>
        </w:rPr>
        <w:t>.</w:t>
      </w:r>
      <w:r>
        <w:rPr>
          <w:rFonts w:ascii="Arial" w:hAnsi="Arial" w:cs="Arial"/>
          <w:bCs/>
          <w:sz w:val="20"/>
          <w:szCs w:val="20"/>
          <w:lang w:val="es-MX"/>
        </w:rPr>
        <w:t xml:space="preserve"> </w:t>
      </w:r>
    </w:p>
    <w:p w14:paraId="147C495B" w14:textId="77777777" w:rsidR="00C06462" w:rsidRDefault="00C06462" w:rsidP="00C06462">
      <w:pPr>
        <w:tabs>
          <w:tab w:val="left" w:pos="6645"/>
        </w:tabs>
        <w:spacing w:after="0" w:line="240" w:lineRule="auto"/>
        <w:jc w:val="both"/>
        <w:rPr>
          <w:rFonts w:ascii="Arial" w:hAnsi="Arial" w:cs="Arial"/>
          <w:bCs/>
          <w:sz w:val="20"/>
          <w:szCs w:val="20"/>
          <w:lang w:val="es-MX"/>
        </w:rPr>
      </w:pPr>
    </w:p>
    <w:p w14:paraId="6889B2DF" w14:textId="66F11A1A" w:rsidR="0081243A" w:rsidRPr="0081243A" w:rsidRDefault="0081243A" w:rsidP="0081243A">
      <w:pPr>
        <w:tabs>
          <w:tab w:val="left" w:pos="6645"/>
        </w:tabs>
        <w:spacing w:after="0" w:line="240" w:lineRule="auto"/>
        <w:jc w:val="both"/>
        <w:rPr>
          <w:rFonts w:ascii="Arial" w:hAnsi="Arial" w:cs="Arial"/>
          <w:bCs/>
          <w:sz w:val="20"/>
          <w:szCs w:val="20"/>
          <w:lang w:val="es-ES_tradnl"/>
        </w:rPr>
      </w:pPr>
      <w:r w:rsidRPr="0081243A">
        <w:rPr>
          <w:rFonts w:ascii="Arial" w:hAnsi="Arial" w:cs="Arial"/>
          <w:bCs/>
          <w:sz w:val="20"/>
          <w:szCs w:val="20"/>
          <w:lang w:val="es-MX"/>
        </w:rPr>
        <w:t xml:space="preserve">En este contexto, </w:t>
      </w:r>
      <w:r w:rsidRPr="0081243A">
        <w:rPr>
          <w:rFonts w:ascii="Arial" w:hAnsi="Arial" w:cs="Arial"/>
          <w:bCs/>
          <w:sz w:val="20"/>
          <w:szCs w:val="20"/>
          <w:lang w:val="es-ES_tradnl"/>
        </w:rPr>
        <w:t xml:space="preserve">esta entidad, en coherencia con la posición sobre la </w:t>
      </w:r>
      <w:proofErr w:type="spellStart"/>
      <w:r w:rsidRPr="0081243A">
        <w:rPr>
          <w:rFonts w:ascii="Arial" w:hAnsi="Arial" w:cs="Arial"/>
          <w:bCs/>
          <w:sz w:val="20"/>
          <w:szCs w:val="20"/>
          <w:lang w:val="es-ES_tradnl"/>
        </w:rPr>
        <w:t>subsanabilidad</w:t>
      </w:r>
      <w:proofErr w:type="spellEnd"/>
      <w:r w:rsidRPr="0081243A">
        <w:rPr>
          <w:rFonts w:ascii="Arial" w:hAnsi="Arial" w:cs="Arial"/>
          <w:bCs/>
          <w:sz w:val="20"/>
          <w:szCs w:val="20"/>
          <w:lang w:val="es-ES_tradnl"/>
        </w:rPr>
        <w:t xml:space="preserve"> de las ofertas sostenida en múltiples conceptos, comparte la postura de la Subsección C del Consejo de Estado plasmada en las Sentencias del 28 de febrero y 20 de abril del 2022, la cual se considera que respeta el espíritu del del artículo 5 de la Ley 1150 de 2007 </w:t>
      </w:r>
      <w:r w:rsidRPr="0081243A">
        <w:rPr>
          <w:rFonts w:ascii="Arial" w:hAnsi="Arial" w:cs="Arial"/>
          <w:bCs/>
          <w:sz w:val="20"/>
          <w:szCs w:val="20"/>
          <w:lang w:val="es-ES"/>
        </w:rPr>
        <w:t xml:space="preserve">–modificado por el artículo 5 de la Ley 1882 de 2018–, </w:t>
      </w:r>
      <w:r w:rsidRPr="0081243A">
        <w:rPr>
          <w:rFonts w:ascii="Arial" w:hAnsi="Arial" w:cs="Arial"/>
          <w:bCs/>
          <w:sz w:val="20"/>
          <w:szCs w:val="20"/>
          <w:lang w:val="es-ES_tradnl"/>
        </w:rPr>
        <w:t>y es la que más garantiza el principio de selección objetiva.</w:t>
      </w:r>
      <w:r>
        <w:rPr>
          <w:rFonts w:ascii="Arial" w:hAnsi="Arial" w:cs="Arial"/>
          <w:bCs/>
          <w:sz w:val="20"/>
          <w:szCs w:val="20"/>
          <w:lang w:val="es-ES_tradnl"/>
        </w:rPr>
        <w:t xml:space="preserve"> </w:t>
      </w:r>
      <w:r w:rsidRPr="0081243A">
        <w:rPr>
          <w:rFonts w:ascii="Arial" w:hAnsi="Arial" w:cs="Arial"/>
          <w:bCs/>
          <w:sz w:val="20"/>
          <w:szCs w:val="20"/>
          <w:lang w:val="es-ES_tradnl"/>
        </w:rPr>
        <w:t xml:space="preserve">En efecto, para esta Agencia, tal como se expone en las decisiones mencionadas, </w:t>
      </w:r>
      <w:r w:rsidRPr="0081243A">
        <w:rPr>
          <w:rFonts w:ascii="Arial" w:hAnsi="Arial" w:cs="Arial"/>
          <w:bCs/>
          <w:sz w:val="20"/>
          <w:szCs w:val="20"/>
          <w:lang w:val="es-MX"/>
        </w:rPr>
        <w:t xml:space="preserve">la previsión normativa </w:t>
      </w:r>
      <w:r w:rsidRPr="0081243A">
        <w:rPr>
          <w:rFonts w:ascii="Arial" w:hAnsi="Arial" w:cs="Arial"/>
          <w:bCs/>
          <w:sz w:val="20"/>
          <w:szCs w:val="20"/>
          <w:lang w:val="es-ES_tradnl"/>
        </w:rPr>
        <w:t xml:space="preserve">señalada </w:t>
      </w:r>
      <w:r w:rsidRPr="0081243A">
        <w:rPr>
          <w:rFonts w:ascii="Arial" w:hAnsi="Arial" w:cs="Arial"/>
          <w:bCs/>
          <w:sz w:val="20"/>
          <w:szCs w:val="20"/>
          <w:lang w:val="es-MX"/>
        </w:rPr>
        <w:t>debe interpretarse de forma armónica con los numerales 7 y 8 del artículo 30 de la Ley 80 de 1993 de tal suerte que si</w:t>
      </w:r>
      <w:r w:rsidRPr="0081243A">
        <w:rPr>
          <w:rFonts w:ascii="Arial" w:hAnsi="Arial" w:cs="Arial"/>
          <w:bCs/>
          <w:sz w:val="20"/>
          <w:szCs w:val="20"/>
          <w:lang w:val="es-ES_tradnl"/>
        </w:rPr>
        <w:t xml:space="preserve"> los requisitos no afectan la asignación de puntaje y tienen el carácter de habilitantes para la participación en el proceso de contratación, se entiende que, en principio, pueden complementarse siempre que no se acrediten circunstancias ocurridas con posterioridad al cierre del proceso</w:t>
      </w:r>
      <w:r w:rsidRPr="0081243A">
        <w:rPr>
          <w:rFonts w:ascii="Arial" w:hAnsi="Arial" w:cs="Arial"/>
          <w:bCs/>
          <w:sz w:val="20"/>
          <w:szCs w:val="20"/>
          <w:lang w:val="es-ES"/>
        </w:rPr>
        <w:t>. De esta manera, la entidad debe permitirle al oferente subsanar los aspectos habilitantes, como por ejemplo la ficha técnica, cuando a su juicio esta no haya sido cumplida por el oferente en los términos exigidos en el pliego de condiciones, puesto que al tratarse de un requisito que no asigna puntaje tiene carácter de subsanable.</w:t>
      </w:r>
    </w:p>
    <w:p w14:paraId="6074383B" w14:textId="568A070B" w:rsidR="006A48BB" w:rsidRPr="00C06462" w:rsidRDefault="006A48BB" w:rsidP="00C06462">
      <w:pPr>
        <w:spacing w:after="0" w:line="240" w:lineRule="auto"/>
        <w:jc w:val="both"/>
        <w:rPr>
          <w:rFonts w:ascii="Arial" w:hAnsi="Arial" w:cs="Arial"/>
          <w:b/>
          <w:sz w:val="20"/>
          <w:szCs w:val="20"/>
          <w:lang w:val="es-MX" w:eastAsia="es-ES_tradnl"/>
        </w:rPr>
      </w:pPr>
    </w:p>
    <w:p w14:paraId="083D16E7" w14:textId="77777777" w:rsidR="00D0595D" w:rsidRPr="00B5774D" w:rsidRDefault="00D0595D" w:rsidP="00B7240D">
      <w:pPr>
        <w:spacing w:after="0" w:line="276" w:lineRule="auto"/>
        <w:jc w:val="both"/>
        <w:rPr>
          <w:rFonts w:ascii="Arial" w:hAnsi="Arial" w:cs="Arial"/>
          <w:noProof/>
          <w:color w:val="000000" w:themeColor="text1"/>
        </w:rPr>
      </w:pPr>
    </w:p>
    <w:p w14:paraId="7D129A5D" w14:textId="4DB8D314" w:rsidR="006A48BB" w:rsidRPr="00B5774D" w:rsidRDefault="006A48BB" w:rsidP="00B7240D">
      <w:pPr>
        <w:spacing w:after="0" w:line="276" w:lineRule="auto"/>
        <w:jc w:val="both"/>
        <w:rPr>
          <w:rFonts w:ascii="Arial" w:hAnsi="Arial" w:cs="Arial"/>
          <w:noProof/>
          <w:color w:val="000000" w:themeColor="text1"/>
        </w:rPr>
      </w:pPr>
    </w:p>
    <w:p w14:paraId="46867251" w14:textId="2EDC7547" w:rsidR="006A48BB" w:rsidRPr="00B5774D" w:rsidRDefault="006A48BB" w:rsidP="00B7240D">
      <w:pPr>
        <w:spacing w:after="0" w:line="276" w:lineRule="auto"/>
        <w:jc w:val="both"/>
        <w:rPr>
          <w:rFonts w:ascii="Arial" w:hAnsi="Arial" w:cs="Arial"/>
          <w:noProof/>
          <w:color w:val="000000" w:themeColor="text1"/>
        </w:rPr>
      </w:pPr>
    </w:p>
    <w:p w14:paraId="5A8BF531" w14:textId="464A2ED2" w:rsidR="006A48BB" w:rsidRPr="00B5774D" w:rsidRDefault="006A48BB" w:rsidP="00B7240D">
      <w:pPr>
        <w:spacing w:after="0" w:line="276" w:lineRule="auto"/>
        <w:jc w:val="both"/>
        <w:rPr>
          <w:rFonts w:ascii="Arial" w:hAnsi="Arial" w:cs="Arial"/>
          <w:noProof/>
          <w:color w:val="000000" w:themeColor="text1"/>
        </w:rPr>
      </w:pPr>
    </w:p>
    <w:p w14:paraId="26F2F5D9" w14:textId="51CE4B37" w:rsidR="006A48BB" w:rsidRPr="00B5774D" w:rsidRDefault="006A48BB" w:rsidP="00B7240D">
      <w:pPr>
        <w:spacing w:after="0" w:line="276" w:lineRule="auto"/>
        <w:jc w:val="both"/>
        <w:rPr>
          <w:rFonts w:ascii="Arial" w:hAnsi="Arial" w:cs="Arial"/>
          <w:noProof/>
          <w:color w:val="000000" w:themeColor="text1"/>
        </w:rPr>
      </w:pPr>
    </w:p>
    <w:p w14:paraId="72285E76" w14:textId="11BCBAC6" w:rsidR="006A48BB" w:rsidRPr="00B5774D" w:rsidRDefault="006A48BB" w:rsidP="00B7240D">
      <w:pPr>
        <w:spacing w:after="0" w:line="276" w:lineRule="auto"/>
        <w:jc w:val="both"/>
        <w:rPr>
          <w:rFonts w:ascii="Arial" w:hAnsi="Arial" w:cs="Arial"/>
          <w:noProof/>
          <w:color w:val="000000" w:themeColor="text1"/>
        </w:rPr>
      </w:pPr>
    </w:p>
    <w:p w14:paraId="1055F29C" w14:textId="4C48F262" w:rsidR="006A48BB" w:rsidRPr="00B5774D" w:rsidRDefault="006A48BB" w:rsidP="00B7240D">
      <w:pPr>
        <w:spacing w:after="0" w:line="276" w:lineRule="auto"/>
        <w:jc w:val="both"/>
        <w:rPr>
          <w:rFonts w:ascii="Arial" w:hAnsi="Arial" w:cs="Arial"/>
          <w:noProof/>
          <w:color w:val="000000" w:themeColor="text1"/>
        </w:rPr>
      </w:pPr>
    </w:p>
    <w:p w14:paraId="25877DC8" w14:textId="59F135E0" w:rsidR="006A48BB" w:rsidRPr="00B5774D" w:rsidRDefault="006A48BB" w:rsidP="00B7240D">
      <w:pPr>
        <w:spacing w:after="0" w:line="276" w:lineRule="auto"/>
        <w:jc w:val="both"/>
        <w:rPr>
          <w:rFonts w:ascii="Arial" w:hAnsi="Arial" w:cs="Arial"/>
          <w:noProof/>
          <w:color w:val="000000" w:themeColor="text1"/>
        </w:rPr>
      </w:pPr>
    </w:p>
    <w:p w14:paraId="15ACB283" w14:textId="1D4900CB" w:rsidR="006A48BB" w:rsidRPr="00B5774D" w:rsidRDefault="006A48BB" w:rsidP="00B7240D">
      <w:pPr>
        <w:spacing w:after="0" w:line="276" w:lineRule="auto"/>
        <w:jc w:val="both"/>
        <w:rPr>
          <w:rFonts w:ascii="Arial" w:hAnsi="Arial" w:cs="Arial"/>
          <w:noProof/>
          <w:color w:val="000000" w:themeColor="text1"/>
        </w:rPr>
      </w:pPr>
    </w:p>
    <w:p w14:paraId="14B01DE0" w14:textId="4376E1B5" w:rsidR="006A48BB" w:rsidRPr="00B5774D" w:rsidRDefault="006A48BB" w:rsidP="00B7240D">
      <w:pPr>
        <w:spacing w:after="0" w:line="276" w:lineRule="auto"/>
        <w:jc w:val="both"/>
        <w:rPr>
          <w:rFonts w:ascii="Arial" w:hAnsi="Arial" w:cs="Arial"/>
          <w:noProof/>
          <w:color w:val="000000" w:themeColor="text1"/>
        </w:rPr>
      </w:pPr>
    </w:p>
    <w:p w14:paraId="42BDB399" w14:textId="029FBC11" w:rsidR="006A48BB" w:rsidRPr="00B5774D" w:rsidRDefault="006A48BB" w:rsidP="00B7240D">
      <w:pPr>
        <w:spacing w:after="0" w:line="276" w:lineRule="auto"/>
        <w:jc w:val="both"/>
        <w:rPr>
          <w:rFonts w:ascii="Arial" w:hAnsi="Arial" w:cs="Arial"/>
          <w:noProof/>
          <w:color w:val="000000" w:themeColor="text1"/>
        </w:rPr>
      </w:pPr>
    </w:p>
    <w:p w14:paraId="44FE9697" w14:textId="75E40475" w:rsidR="006A48BB" w:rsidRPr="00B5774D" w:rsidRDefault="006A48BB" w:rsidP="00B7240D">
      <w:pPr>
        <w:spacing w:after="0" w:line="276" w:lineRule="auto"/>
        <w:jc w:val="both"/>
        <w:rPr>
          <w:rFonts w:ascii="Arial" w:hAnsi="Arial" w:cs="Arial"/>
          <w:noProof/>
          <w:color w:val="000000" w:themeColor="text1"/>
        </w:rPr>
      </w:pPr>
    </w:p>
    <w:p w14:paraId="478BF909" w14:textId="5FDDA3E9" w:rsidR="006A48BB" w:rsidRPr="00B5774D" w:rsidRDefault="006A48BB" w:rsidP="00B7240D">
      <w:pPr>
        <w:spacing w:after="0" w:line="276" w:lineRule="auto"/>
        <w:jc w:val="both"/>
        <w:rPr>
          <w:rFonts w:ascii="Arial" w:hAnsi="Arial" w:cs="Arial"/>
          <w:noProof/>
          <w:color w:val="000000" w:themeColor="text1"/>
        </w:rPr>
      </w:pPr>
    </w:p>
    <w:p w14:paraId="54E61316" w14:textId="19770CFC" w:rsidR="006A48BB" w:rsidRPr="00B5774D" w:rsidRDefault="006A48BB" w:rsidP="00B7240D">
      <w:pPr>
        <w:spacing w:after="0" w:line="276" w:lineRule="auto"/>
        <w:jc w:val="both"/>
        <w:rPr>
          <w:rFonts w:ascii="Arial" w:hAnsi="Arial" w:cs="Arial"/>
          <w:noProof/>
          <w:color w:val="000000" w:themeColor="text1"/>
        </w:rPr>
      </w:pPr>
    </w:p>
    <w:p w14:paraId="0739D8CC" w14:textId="17E3AA1B" w:rsidR="006A48BB" w:rsidRDefault="006A48BB" w:rsidP="00B7240D">
      <w:pPr>
        <w:spacing w:after="0" w:line="276" w:lineRule="auto"/>
        <w:jc w:val="both"/>
        <w:rPr>
          <w:rFonts w:ascii="Arial" w:hAnsi="Arial" w:cs="Arial"/>
          <w:noProof/>
          <w:color w:val="000000" w:themeColor="text1"/>
        </w:rPr>
      </w:pPr>
    </w:p>
    <w:p w14:paraId="14019465" w14:textId="1BA69E37" w:rsidR="00C06462" w:rsidRDefault="00C06462" w:rsidP="00B7240D">
      <w:pPr>
        <w:spacing w:after="0" w:line="276" w:lineRule="auto"/>
        <w:jc w:val="both"/>
        <w:rPr>
          <w:rFonts w:ascii="Arial" w:hAnsi="Arial" w:cs="Arial"/>
          <w:noProof/>
          <w:color w:val="000000" w:themeColor="text1"/>
        </w:rPr>
      </w:pPr>
    </w:p>
    <w:p w14:paraId="62106E4F" w14:textId="2B64ADBC" w:rsidR="00C06462" w:rsidRDefault="00C06462" w:rsidP="00B7240D">
      <w:pPr>
        <w:spacing w:after="0" w:line="276" w:lineRule="auto"/>
        <w:jc w:val="both"/>
        <w:rPr>
          <w:rFonts w:ascii="Arial" w:hAnsi="Arial" w:cs="Arial"/>
          <w:noProof/>
          <w:color w:val="000000" w:themeColor="text1"/>
        </w:rPr>
      </w:pPr>
    </w:p>
    <w:p w14:paraId="5069C164" w14:textId="042CE6BC" w:rsidR="00C06462" w:rsidRDefault="00C06462" w:rsidP="00B7240D">
      <w:pPr>
        <w:spacing w:after="0" w:line="276" w:lineRule="auto"/>
        <w:jc w:val="both"/>
        <w:rPr>
          <w:rFonts w:ascii="Arial" w:hAnsi="Arial" w:cs="Arial"/>
          <w:noProof/>
          <w:color w:val="000000" w:themeColor="text1"/>
        </w:rPr>
      </w:pPr>
    </w:p>
    <w:p w14:paraId="499C5FC3" w14:textId="77777777" w:rsidR="00C06462" w:rsidRPr="00B5774D" w:rsidRDefault="00C06462" w:rsidP="00B7240D">
      <w:pPr>
        <w:spacing w:after="0" w:line="276" w:lineRule="auto"/>
        <w:jc w:val="both"/>
        <w:rPr>
          <w:rFonts w:ascii="Arial" w:hAnsi="Arial" w:cs="Arial"/>
          <w:noProof/>
          <w:color w:val="000000" w:themeColor="text1"/>
        </w:rPr>
      </w:pPr>
    </w:p>
    <w:p w14:paraId="4A6721AF" w14:textId="300896EB" w:rsidR="00CE02B4" w:rsidRDefault="00CE02B4" w:rsidP="00B7240D">
      <w:pPr>
        <w:spacing w:after="0" w:line="276" w:lineRule="auto"/>
        <w:jc w:val="both"/>
        <w:rPr>
          <w:rFonts w:ascii="Arial" w:hAnsi="Arial" w:cs="Arial"/>
          <w:noProof/>
          <w:color w:val="000000" w:themeColor="text1"/>
        </w:rPr>
      </w:pPr>
    </w:p>
    <w:p w14:paraId="54928B9D" w14:textId="1502E280" w:rsidR="009472B7" w:rsidRDefault="009472B7" w:rsidP="00B7240D">
      <w:pPr>
        <w:spacing w:after="0" w:line="276" w:lineRule="auto"/>
        <w:jc w:val="both"/>
        <w:rPr>
          <w:rFonts w:ascii="Arial" w:hAnsi="Arial" w:cs="Arial"/>
          <w:noProof/>
          <w:color w:val="000000" w:themeColor="text1"/>
        </w:rPr>
      </w:pPr>
    </w:p>
    <w:p w14:paraId="2AB80186" w14:textId="701F2DEB" w:rsidR="009472B7" w:rsidRDefault="009472B7" w:rsidP="00B7240D">
      <w:pPr>
        <w:spacing w:after="0" w:line="276" w:lineRule="auto"/>
        <w:jc w:val="both"/>
        <w:rPr>
          <w:rFonts w:ascii="Arial" w:hAnsi="Arial" w:cs="Arial"/>
          <w:noProof/>
          <w:color w:val="000000" w:themeColor="text1"/>
        </w:rPr>
      </w:pPr>
    </w:p>
    <w:p w14:paraId="54473803" w14:textId="6FCDE9AA" w:rsidR="00C131E0" w:rsidRDefault="00C131E0" w:rsidP="00C131E0">
      <w:pPr>
        <w:spacing w:after="0" w:line="276" w:lineRule="auto"/>
        <w:jc w:val="right"/>
        <w:rPr>
          <w:rFonts w:ascii="Arial" w:hAnsi="Arial" w:cs="Arial"/>
          <w:noProof/>
          <w:color w:val="000000" w:themeColor="text1"/>
        </w:rPr>
      </w:pPr>
      <w:r w:rsidRPr="00C131E0">
        <w:rPr>
          <w:rFonts w:ascii="Arial" w:hAnsi="Arial" w:cs="Arial"/>
          <w:noProof/>
          <w:color w:val="000000" w:themeColor="text1"/>
        </w:rPr>
        <w:lastRenderedPageBreak/>
        <w:drawing>
          <wp:inline distT="0" distB="0" distL="0" distR="0" wp14:anchorId="0AFCF070" wp14:editId="1DA6C8A0">
            <wp:extent cx="255270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857250"/>
                    </a:xfrm>
                    <a:prstGeom prst="rect">
                      <a:avLst/>
                    </a:prstGeom>
                    <a:noFill/>
                    <a:ln>
                      <a:noFill/>
                    </a:ln>
                  </pic:spPr>
                </pic:pic>
              </a:graphicData>
            </a:graphic>
          </wp:inline>
        </w:drawing>
      </w:r>
    </w:p>
    <w:p w14:paraId="071F8F42" w14:textId="77777777" w:rsidR="00C131E0" w:rsidRDefault="00C131E0" w:rsidP="00B7240D">
      <w:pPr>
        <w:spacing w:after="0" w:line="276" w:lineRule="auto"/>
        <w:jc w:val="both"/>
        <w:rPr>
          <w:rFonts w:ascii="Arial" w:hAnsi="Arial" w:cs="Arial"/>
          <w:noProof/>
          <w:color w:val="000000" w:themeColor="text1"/>
        </w:rPr>
      </w:pPr>
    </w:p>
    <w:p w14:paraId="77319212" w14:textId="3BD21FED" w:rsidR="009472B7" w:rsidRPr="00B5774D" w:rsidRDefault="00C131E0" w:rsidP="00B7240D">
      <w:pPr>
        <w:spacing w:after="0" w:line="276" w:lineRule="auto"/>
        <w:jc w:val="both"/>
        <w:rPr>
          <w:rFonts w:ascii="Arial" w:hAnsi="Arial" w:cs="Arial"/>
          <w:noProof/>
          <w:color w:val="000000" w:themeColor="text1"/>
        </w:rPr>
      </w:pPr>
      <w:r>
        <w:rPr>
          <w:rFonts w:ascii="Arial" w:hAnsi="Arial" w:cs="Arial"/>
          <w:noProof/>
          <w:color w:val="000000" w:themeColor="text1"/>
        </w:rPr>
        <w:t>Bogotá D.C., 23 de noviembre de 2022</w:t>
      </w:r>
    </w:p>
    <w:p w14:paraId="15083641" w14:textId="77777777" w:rsidR="006A3704" w:rsidRPr="00B5774D" w:rsidRDefault="006A3704" w:rsidP="00B7240D">
      <w:pPr>
        <w:spacing w:after="0" w:line="276" w:lineRule="auto"/>
        <w:jc w:val="both"/>
        <w:rPr>
          <w:rFonts w:ascii="Arial" w:hAnsi="Arial" w:cs="Arial"/>
          <w:b/>
          <w:color w:val="000000" w:themeColor="text1"/>
          <w:lang w:val="pt-BR"/>
        </w:rPr>
      </w:pPr>
    </w:p>
    <w:p w14:paraId="5F5AE9EF" w14:textId="537AF17C" w:rsidR="00B95C30" w:rsidRPr="00B5774D" w:rsidRDefault="00B95C30" w:rsidP="00B7240D">
      <w:pPr>
        <w:spacing w:after="0" w:line="276" w:lineRule="auto"/>
        <w:jc w:val="both"/>
        <w:rPr>
          <w:rFonts w:ascii="Arial" w:hAnsi="Arial" w:cs="Arial"/>
          <w:color w:val="000000" w:themeColor="text1"/>
        </w:rPr>
      </w:pPr>
      <w:bookmarkStart w:id="1" w:name="_Hlk100051121"/>
      <w:r w:rsidRPr="00B5774D">
        <w:rPr>
          <w:rFonts w:ascii="Arial" w:hAnsi="Arial" w:cs="Arial"/>
          <w:color w:val="000000" w:themeColor="text1"/>
        </w:rPr>
        <w:t>Seño</w:t>
      </w:r>
      <w:r w:rsidR="00397A9C" w:rsidRPr="00B5774D">
        <w:rPr>
          <w:rFonts w:ascii="Arial" w:hAnsi="Arial" w:cs="Arial"/>
          <w:color w:val="000000" w:themeColor="text1"/>
        </w:rPr>
        <w:t>r</w:t>
      </w:r>
    </w:p>
    <w:p w14:paraId="798A20AC" w14:textId="1A5A51C1" w:rsidR="005F5F37" w:rsidRPr="00B5774D" w:rsidRDefault="00D25B06" w:rsidP="00B7240D">
      <w:pPr>
        <w:tabs>
          <w:tab w:val="center" w:pos="4394"/>
        </w:tabs>
        <w:spacing w:after="0" w:line="276" w:lineRule="auto"/>
        <w:jc w:val="both"/>
        <w:rPr>
          <w:rFonts w:ascii="Arial" w:hAnsi="Arial" w:cs="Arial"/>
          <w:b/>
          <w:color w:val="000000" w:themeColor="text1"/>
        </w:rPr>
      </w:pPr>
      <w:r w:rsidRPr="00B5774D">
        <w:rPr>
          <w:rFonts w:ascii="Arial" w:hAnsi="Arial" w:cs="Arial"/>
          <w:b/>
          <w:color w:val="000000" w:themeColor="text1"/>
        </w:rPr>
        <w:t xml:space="preserve">Juan David Peláez Henao </w:t>
      </w:r>
      <w:r w:rsidR="00F650A2" w:rsidRPr="00B5774D">
        <w:rPr>
          <w:rFonts w:ascii="Arial" w:hAnsi="Arial" w:cs="Arial"/>
          <w:b/>
          <w:color w:val="000000" w:themeColor="text1"/>
        </w:rPr>
        <w:tab/>
      </w:r>
    </w:p>
    <w:p w14:paraId="4A1C8FFE" w14:textId="0F59C0BD" w:rsidR="008120C4" w:rsidRPr="00B5774D" w:rsidRDefault="00D25B06" w:rsidP="00B7240D">
      <w:pPr>
        <w:spacing w:after="0" w:line="276" w:lineRule="auto"/>
        <w:rPr>
          <w:rFonts w:ascii="Arial" w:hAnsi="Arial" w:cs="Arial"/>
          <w:b/>
          <w:bCs/>
          <w:color w:val="000000" w:themeColor="text1"/>
        </w:rPr>
      </w:pPr>
      <w:r w:rsidRPr="00B5774D">
        <w:rPr>
          <w:rFonts w:ascii="Arial" w:hAnsi="Arial" w:cs="Arial"/>
          <w:bCs/>
          <w:color w:val="000000" w:themeColor="text1"/>
        </w:rPr>
        <w:t>Pereira, Risaralda</w:t>
      </w:r>
    </w:p>
    <w:p w14:paraId="122205C3" w14:textId="77777777" w:rsidR="000277A2" w:rsidRPr="00B5774D" w:rsidRDefault="000277A2" w:rsidP="00B7240D">
      <w:pPr>
        <w:spacing w:after="0" w:line="276" w:lineRule="auto"/>
        <w:rPr>
          <w:rFonts w:ascii="Arial" w:hAnsi="Arial" w:cs="Arial"/>
          <w:b/>
          <w:bCs/>
          <w:color w:val="000000" w:themeColor="text1"/>
        </w:rPr>
      </w:pPr>
    </w:p>
    <w:p w14:paraId="1BD594F9" w14:textId="0CBF42A3" w:rsidR="00B95C30" w:rsidRPr="00B5774D" w:rsidRDefault="005B1504" w:rsidP="00B7240D">
      <w:pPr>
        <w:spacing w:after="0" w:line="276" w:lineRule="auto"/>
        <w:rPr>
          <w:rFonts w:ascii="Arial" w:hAnsi="Arial" w:cs="Arial"/>
          <w:b/>
          <w:bCs/>
          <w:color w:val="000000" w:themeColor="text1"/>
          <w:lang w:val="pt-BR"/>
        </w:rPr>
      </w:pPr>
      <w:r w:rsidRPr="00B5774D">
        <w:rPr>
          <w:rFonts w:ascii="Arial" w:hAnsi="Arial" w:cs="Arial"/>
          <w:b/>
          <w:bCs/>
          <w:color w:val="000000" w:themeColor="text1"/>
        </w:rPr>
        <w:t xml:space="preserve">                     </w:t>
      </w:r>
      <w:r w:rsidR="00923FA6" w:rsidRPr="00B5774D">
        <w:rPr>
          <w:rFonts w:ascii="Arial" w:hAnsi="Arial" w:cs="Arial"/>
          <w:b/>
          <w:bCs/>
          <w:color w:val="000000" w:themeColor="text1"/>
        </w:rPr>
        <w:t xml:space="preserve">                      </w:t>
      </w:r>
      <w:r w:rsidRPr="00B5774D">
        <w:rPr>
          <w:rFonts w:ascii="Arial" w:hAnsi="Arial" w:cs="Arial"/>
          <w:b/>
          <w:bCs/>
          <w:color w:val="000000" w:themeColor="text1"/>
        </w:rPr>
        <w:t xml:space="preserve"> </w:t>
      </w:r>
      <w:r w:rsidR="00023FA5" w:rsidRPr="00B5774D">
        <w:rPr>
          <w:rFonts w:ascii="Arial" w:hAnsi="Arial" w:cs="Arial"/>
          <w:b/>
          <w:bCs/>
          <w:color w:val="000000" w:themeColor="text1"/>
          <w:lang w:val="pt-BR"/>
        </w:rPr>
        <w:t xml:space="preserve">Concepto C ‒ </w:t>
      </w:r>
      <w:r w:rsidR="00397A9C" w:rsidRPr="00B5774D">
        <w:rPr>
          <w:rFonts w:ascii="Arial" w:hAnsi="Arial" w:cs="Arial"/>
          <w:b/>
          <w:bCs/>
          <w:color w:val="000000" w:themeColor="text1"/>
          <w:lang w:val="pt-BR"/>
        </w:rPr>
        <w:t>7</w:t>
      </w:r>
      <w:r w:rsidR="00D25B06" w:rsidRPr="00B5774D">
        <w:rPr>
          <w:rFonts w:ascii="Arial" w:hAnsi="Arial" w:cs="Arial"/>
          <w:b/>
          <w:bCs/>
          <w:color w:val="000000" w:themeColor="text1"/>
          <w:lang w:val="pt-BR"/>
        </w:rPr>
        <w:t>24</w:t>
      </w:r>
      <w:r w:rsidR="000277A2" w:rsidRPr="00B5774D">
        <w:rPr>
          <w:rFonts w:ascii="Arial" w:hAnsi="Arial" w:cs="Arial"/>
          <w:b/>
          <w:bCs/>
          <w:color w:val="000000" w:themeColor="text1"/>
          <w:lang w:val="pt-BR"/>
        </w:rPr>
        <w:t xml:space="preserve"> </w:t>
      </w:r>
      <w:r w:rsidR="00275FBF" w:rsidRPr="00B5774D">
        <w:rPr>
          <w:rFonts w:ascii="Arial" w:hAnsi="Arial" w:cs="Arial"/>
          <w:b/>
          <w:bCs/>
          <w:color w:val="000000" w:themeColor="text1"/>
          <w:lang w:val="pt-BR"/>
        </w:rPr>
        <w:t>de 202</w:t>
      </w:r>
      <w:r w:rsidR="00BF4EC5" w:rsidRPr="00B5774D">
        <w:rPr>
          <w:rFonts w:ascii="Arial" w:hAnsi="Arial" w:cs="Arial"/>
          <w:b/>
          <w:bCs/>
          <w:color w:val="000000" w:themeColor="text1"/>
          <w:lang w:val="pt-BR"/>
        </w:rPr>
        <w:t>2</w:t>
      </w:r>
    </w:p>
    <w:p w14:paraId="7063750E" w14:textId="77777777" w:rsidR="005F5F37" w:rsidRPr="00B5774D" w:rsidRDefault="005F5F37" w:rsidP="006A3704">
      <w:pPr>
        <w:spacing w:after="0" w:line="240" w:lineRule="auto"/>
        <w:rPr>
          <w:rFonts w:ascii="Arial"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5774D" w14:paraId="19DFC051" w14:textId="77777777" w:rsidTr="00C06955">
        <w:trPr>
          <w:trHeight w:val="884"/>
        </w:trPr>
        <w:tc>
          <w:tcPr>
            <w:tcW w:w="2689" w:type="dxa"/>
          </w:tcPr>
          <w:p w14:paraId="6BC0D1AC" w14:textId="569BAEB9" w:rsidR="00B95C30" w:rsidRPr="00B5774D" w:rsidRDefault="00B95C30" w:rsidP="006A3704">
            <w:pPr>
              <w:spacing w:after="0" w:line="240" w:lineRule="auto"/>
              <w:jc w:val="both"/>
              <w:rPr>
                <w:rFonts w:ascii="Arial" w:hAnsi="Arial" w:cs="Arial"/>
                <w:b/>
                <w:color w:val="000000" w:themeColor="text1"/>
                <w:szCs w:val="24"/>
                <w:lang w:val="es-ES_tradnl" w:eastAsia="es-ES_tradnl"/>
              </w:rPr>
            </w:pPr>
            <w:r w:rsidRPr="00B5774D">
              <w:rPr>
                <w:rFonts w:ascii="Arial" w:hAnsi="Arial" w:cs="Arial"/>
                <w:b/>
                <w:color w:val="000000" w:themeColor="text1"/>
                <w:szCs w:val="24"/>
                <w:lang w:val="es-ES_tradnl" w:eastAsia="es-ES_tradnl"/>
              </w:rPr>
              <w:t>Temas:</w:t>
            </w:r>
            <w:r w:rsidR="005B1504" w:rsidRPr="00B5774D">
              <w:rPr>
                <w:rFonts w:ascii="Arial" w:hAnsi="Arial" w:cs="Arial"/>
                <w:b/>
                <w:color w:val="000000" w:themeColor="text1"/>
                <w:szCs w:val="24"/>
                <w:lang w:val="es-ES_tradnl" w:eastAsia="es-ES_tradnl"/>
              </w:rPr>
              <w:t xml:space="preserve">                   </w:t>
            </w:r>
          </w:p>
        </w:tc>
        <w:tc>
          <w:tcPr>
            <w:tcW w:w="6237" w:type="dxa"/>
          </w:tcPr>
          <w:p w14:paraId="5D049E9C" w14:textId="2D79868F" w:rsidR="006A3704" w:rsidRPr="00C06462" w:rsidRDefault="00C06462" w:rsidP="006A48BB">
            <w:pPr>
              <w:spacing w:after="0" w:line="240" w:lineRule="auto"/>
              <w:jc w:val="both"/>
              <w:rPr>
                <w:rFonts w:ascii="Arial" w:eastAsia="Arial" w:hAnsi="Arial" w:cs="Arial"/>
                <w:bCs/>
                <w:color w:val="000000"/>
              </w:rPr>
            </w:pPr>
            <w:r w:rsidRPr="00C06462">
              <w:rPr>
                <w:rFonts w:ascii="Arial" w:eastAsia="Arial" w:hAnsi="Arial" w:cs="Arial"/>
                <w:bCs/>
                <w:color w:val="000000"/>
              </w:rPr>
              <w:t xml:space="preserve">PRINCIPIO DE SELECCIÓN OBJETIVA </w:t>
            </w:r>
            <w:r w:rsidRPr="00C06462">
              <w:rPr>
                <w:rFonts w:ascii="Arial" w:eastAsia="Arial" w:hAnsi="Arial" w:cs="Arial"/>
                <w:bCs/>
                <w:color w:val="000000"/>
                <w:sz w:val="20"/>
                <w:szCs w:val="20"/>
              </w:rPr>
              <w:t>–</w:t>
            </w:r>
            <w:r w:rsidRPr="00C06462">
              <w:rPr>
                <w:rFonts w:ascii="Arial" w:eastAsia="Arial" w:hAnsi="Arial" w:cs="Arial"/>
                <w:bCs/>
                <w:color w:val="000000"/>
              </w:rPr>
              <w:t xml:space="preserve"> Fundamento </w:t>
            </w:r>
            <w:r w:rsidRPr="00C06462">
              <w:rPr>
                <w:rFonts w:ascii="Arial" w:eastAsia="Arial" w:hAnsi="Arial" w:cs="Arial"/>
                <w:bCs/>
                <w:color w:val="000000"/>
                <w:sz w:val="20"/>
                <w:szCs w:val="20"/>
              </w:rPr>
              <w:t>–</w:t>
            </w:r>
            <w:r w:rsidRPr="00C06462">
              <w:rPr>
                <w:rFonts w:ascii="Arial" w:eastAsia="Arial" w:hAnsi="Arial" w:cs="Arial"/>
                <w:bCs/>
                <w:color w:val="000000"/>
              </w:rPr>
              <w:t xml:space="preserve"> Alcance </w:t>
            </w:r>
            <w:r w:rsidR="006A48BB" w:rsidRPr="00C06462">
              <w:rPr>
                <w:rFonts w:ascii="Arial" w:hAnsi="Arial" w:cs="Arial"/>
                <w:bCs/>
                <w:color w:val="000000" w:themeColor="text1"/>
                <w:szCs w:val="24"/>
                <w:lang w:eastAsia="es-ES_tradnl"/>
              </w:rPr>
              <w:t>/</w:t>
            </w:r>
            <w:r w:rsidRPr="00C06462">
              <w:rPr>
                <w:rFonts w:ascii="Arial" w:hAnsi="Arial" w:cs="Arial"/>
                <w:bCs/>
                <w:color w:val="000000" w:themeColor="text1"/>
                <w:szCs w:val="24"/>
                <w:lang w:eastAsia="es-ES_tradnl"/>
              </w:rPr>
              <w:t xml:space="preserve"> </w:t>
            </w:r>
            <w:r w:rsidRPr="00C06462">
              <w:rPr>
                <w:rFonts w:ascii="Arial" w:eastAsia="Arial" w:hAnsi="Arial" w:cs="Arial"/>
                <w:bCs/>
                <w:color w:val="000000"/>
              </w:rPr>
              <w:t xml:space="preserve">SUBSANABILIDAD </w:t>
            </w:r>
            <w:r w:rsidRPr="00C06462">
              <w:rPr>
                <w:rFonts w:ascii="Arial" w:eastAsia="Arial" w:hAnsi="Arial" w:cs="Arial"/>
                <w:bCs/>
                <w:color w:val="000000"/>
                <w:sz w:val="20"/>
                <w:szCs w:val="20"/>
              </w:rPr>
              <w:t>–</w:t>
            </w:r>
            <w:r w:rsidRPr="00C06462">
              <w:rPr>
                <w:rFonts w:ascii="Arial" w:eastAsia="Arial" w:hAnsi="Arial" w:cs="Arial"/>
                <w:bCs/>
                <w:color w:val="000000"/>
              </w:rPr>
              <w:t xml:space="preserve"> Concepto de unificación </w:t>
            </w:r>
            <w:r w:rsidRPr="00C06462">
              <w:rPr>
                <w:rFonts w:ascii="Arial" w:eastAsia="Arial" w:hAnsi="Arial" w:cs="Arial"/>
                <w:bCs/>
                <w:color w:val="000000"/>
                <w:sz w:val="20"/>
                <w:szCs w:val="20"/>
              </w:rPr>
              <w:t>–</w:t>
            </w:r>
            <w:r w:rsidRPr="00C06462">
              <w:rPr>
                <w:rFonts w:ascii="Arial" w:eastAsia="Arial" w:hAnsi="Arial" w:cs="Arial"/>
                <w:bCs/>
                <w:color w:val="000000"/>
              </w:rPr>
              <w:t xml:space="preserve"> Reiteración </w:t>
            </w:r>
            <w:r w:rsidR="006A48BB" w:rsidRPr="00C06462">
              <w:rPr>
                <w:rFonts w:ascii="Arial" w:hAnsi="Arial" w:cs="Arial"/>
                <w:bCs/>
                <w:color w:val="000000" w:themeColor="text1"/>
                <w:szCs w:val="24"/>
                <w:lang w:val="es-MX" w:eastAsia="es-ES_tradnl"/>
              </w:rPr>
              <w:t xml:space="preserve">/ </w:t>
            </w:r>
            <w:r w:rsidRPr="00C06462">
              <w:rPr>
                <w:rFonts w:ascii="Arial" w:eastAsia="Arial" w:hAnsi="Arial" w:cs="Arial"/>
                <w:bCs/>
                <w:color w:val="000000"/>
              </w:rPr>
              <w:t xml:space="preserve">SUBSANABILIDAD </w:t>
            </w:r>
            <w:r w:rsidRPr="00C06462">
              <w:rPr>
                <w:rFonts w:ascii="Arial" w:eastAsia="Arial" w:hAnsi="Arial" w:cs="Arial"/>
                <w:bCs/>
                <w:color w:val="000000"/>
                <w:sz w:val="20"/>
                <w:szCs w:val="20"/>
              </w:rPr>
              <w:t>–</w:t>
            </w:r>
            <w:r w:rsidRPr="00C06462">
              <w:rPr>
                <w:rFonts w:ascii="Arial" w:eastAsia="Arial" w:hAnsi="Arial" w:cs="Arial"/>
                <w:bCs/>
                <w:color w:val="000000"/>
              </w:rPr>
              <w:t xml:space="preserve"> Alcance </w:t>
            </w:r>
            <w:r w:rsidRPr="00C06462">
              <w:rPr>
                <w:rFonts w:ascii="Arial" w:eastAsia="Arial" w:hAnsi="Arial" w:cs="Arial"/>
                <w:bCs/>
                <w:color w:val="000000"/>
                <w:sz w:val="20"/>
                <w:szCs w:val="20"/>
              </w:rPr>
              <w:t>–</w:t>
            </w:r>
            <w:r w:rsidRPr="00C06462">
              <w:rPr>
                <w:rFonts w:ascii="Arial" w:eastAsia="Arial" w:hAnsi="Arial" w:cs="Arial"/>
                <w:bCs/>
                <w:color w:val="000000"/>
              </w:rPr>
              <w:t xml:space="preserve">Interpretación </w:t>
            </w:r>
            <w:r w:rsidRPr="00C06462">
              <w:rPr>
                <w:rFonts w:ascii="Arial" w:eastAsia="Arial" w:hAnsi="Arial" w:cs="Arial"/>
                <w:bCs/>
                <w:color w:val="000000"/>
                <w:sz w:val="20"/>
                <w:szCs w:val="20"/>
              </w:rPr>
              <w:t>–</w:t>
            </w:r>
            <w:r w:rsidRPr="00C06462">
              <w:rPr>
                <w:rFonts w:ascii="Arial" w:eastAsia="Arial" w:hAnsi="Arial" w:cs="Arial"/>
                <w:bCs/>
                <w:color w:val="000000"/>
              </w:rPr>
              <w:t xml:space="preserve"> Consejo de Estado  </w:t>
            </w:r>
          </w:p>
          <w:p w14:paraId="5F389CAF" w14:textId="053BAA65" w:rsidR="004F0538" w:rsidRPr="00B5774D" w:rsidRDefault="004F0538" w:rsidP="004F0538">
            <w:pPr>
              <w:tabs>
                <w:tab w:val="left" w:pos="6551"/>
              </w:tabs>
              <w:spacing w:after="0" w:line="240" w:lineRule="auto"/>
              <w:jc w:val="both"/>
              <w:rPr>
                <w:rFonts w:ascii="Arial" w:hAnsi="Arial" w:cs="Arial"/>
                <w:b/>
                <w:color w:val="000000" w:themeColor="text1"/>
                <w:lang w:val="es-ES_tradnl"/>
              </w:rPr>
            </w:pPr>
          </w:p>
        </w:tc>
      </w:tr>
      <w:tr w:rsidR="00B95C30" w:rsidRPr="00B5774D" w14:paraId="27CD52AB" w14:textId="77777777" w:rsidTr="00D15356">
        <w:tc>
          <w:tcPr>
            <w:tcW w:w="2689" w:type="dxa"/>
          </w:tcPr>
          <w:p w14:paraId="37E195A1" w14:textId="017D9507" w:rsidR="00B95C30" w:rsidRPr="00B5774D" w:rsidRDefault="00B95C30" w:rsidP="006A3704">
            <w:pPr>
              <w:spacing w:after="0" w:line="240" w:lineRule="auto"/>
              <w:jc w:val="both"/>
              <w:rPr>
                <w:rFonts w:ascii="Arial" w:hAnsi="Arial" w:cs="Arial"/>
                <w:b/>
                <w:color w:val="000000" w:themeColor="text1"/>
                <w:szCs w:val="24"/>
                <w:lang w:val="es-ES_tradnl" w:eastAsia="es-ES_tradnl"/>
              </w:rPr>
            </w:pPr>
            <w:r w:rsidRPr="00B5774D">
              <w:rPr>
                <w:rFonts w:ascii="Arial" w:hAnsi="Arial" w:cs="Arial"/>
                <w:b/>
                <w:color w:val="000000" w:themeColor="text1"/>
                <w:szCs w:val="24"/>
                <w:lang w:val="es-ES_tradnl" w:eastAsia="es-ES_tradnl"/>
              </w:rPr>
              <w:t>Radicación:</w:t>
            </w:r>
            <w:r w:rsidR="005B1504" w:rsidRPr="00B5774D">
              <w:rPr>
                <w:rFonts w:ascii="Arial" w:hAnsi="Arial" w:cs="Arial"/>
                <w:b/>
                <w:color w:val="000000" w:themeColor="text1"/>
                <w:szCs w:val="24"/>
                <w:lang w:val="es-ES_tradnl" w:eastAsia="es-ES_tradnl"/>
              </w:rPr>
              <w:t xml:space="preserve">               </w:t>
            </w:r>
          </w:p>
        </w:tc>
        <w:tc>
          <w:tcPr>
            <w:tcW w:w="6237" w:type="dxa"/>
          </w:tcPr>
          <w:p w14:paraId="09088B1B" w14:textId="643737AF" w:rsidR="00B95C30" w:rsidRPr="00B5774D" w:rsidRDefault="00B95C30" w:rsidP="006A3704">
            <w:pPr>
              <w:spacing w:after="0" w:line="240" w:lineRule="auto"/>
              <w:jc w:val="both"/>
              <w:rPr>
                <w:rFonts w:ascii="Arial" w:hAnsi="Arial" w:cs="Arial"/>
                <w:bCs/>
                <w:color w:val="000000" w:themeColor="text1"/>
                <w:szCs w:val="24"/>
                <w:lang w:val="es-ES_tradnl" w:eastAsia="es-ES_tradnl"/>
              </w:rPr>
            </w:pPr>
            <w:r w:rsidRPr="00B5774D">
              <w:rPr>
                <w:rFonts w:ascii="Arial" w:hAnsi="Arial" w:cs="Arial"/>
                <w:bCs/>
                <w:color w:val="000000" w:themeColor="text1"/>
                <w:szCs w:val="24"/>
                <w:lang w:val="es-ES_tradnl" w:eastAsia="es-ES_tradnl"/>
              </w:rPr>
              <w:t>Respuesta a consulta</w:t>
            </w:r>
            <w:r w:rsidR="000D0CC7" w:rsidRPr="00B5774D">
              <w:rPr>
                <w:rFonts w:ascii="Arial" w:hAnsi="Arial" w:cs="Arial"/>
                <w:bCs/>
                <w:color w:val="000000" w:themeColor="text1"/>
                <w:szCs w:val="24"/>
                <w:lang w:val="es-ES_tradnl" w:eastAsia="es-ES_tradnl"/>
              </w:rPr>
              <w:t xml:space="preserve"> </w:t>
            </w:r>
            <w:r w:rsidR="00D25B06" w:rsidRPr="00B5774D">
              <w:rPr>
                <w:rFonts w:ascii="Arial" w:hAnsi="Arial" w:cs="Arial"/>
                <w:bCs/>
                <w:color w:val="000000" w:themeColor="text1"/>
                <w:szCs w:val="24"/>
                <w:lang w:val="es-ES_tradnl" w:eastAsia="es-ES_tradnl"/>
              </w:rPr>
              <w:t>P20220919009416</w:t>
            </w:r>
          </w:p>
        </w:tc>
      </w:tr>
    </w:tbl>
    <w:p w14:paraId="1DAF8FE2" w14:textId="38B7F05A" w:rsidR="006A3704" w:rsidRPr="00B5774D" w:rsidRDefault="006A3704" w:rsidP="00B7240D">
      <w:pPr>
        <w:spacing w:after="0" w:line="274" w:lineRule="auto"/>
        <w:jc w:val="both"/>
        <w:rPr>
          <w:rFonts w:ascii="Arial" w:hAnsi="Arial" w:cs="Arial"/>
          <w:color w:val="000000" w:themeColor="text1"/>
          <w:lang w:val="es-ES_tradnl"/>
        </w:rPr>
      </w:pPr>
    </w:p>
    <w:p w14:paraId="038C7BAC" w14:textId="77777777" w:rsidR="00EB1F23" w:rsidRPr="00B5774D" w:rsidRDefault="00EB1F23" w:rsidP="00B7240D">
      <w:pPr>
        <w:spacing w:after="0" w:line="274" w:lineRule="auto"/>
        <w:jc w:val="both"/>
        <w:rPr>
          <w:rFonts w:ascii="Arial" w:hAnsi="Arial" w:cs="Arial"/>
          <w:color w:val="000000" w:themeColor="text1"/>
          <w:lang w:val="es-ES_tradnl"/>
        </w:rPr>
      </w:pPr>
    </w:p>
    <w:p w14:paraId="1CF4AEA0" w14:textId="6F923BEB" w:rsidR="003C3339" w:rsidRPr="00B5774D" w:rsidRDefault="003C3339" w:rsidP="00B7240D">
      <w:pPr>
        <w:spacing w:after="0" w:line="274" w:lineRule="auto"/>
        <w:jc w:val="both"/>
        <w:rPr>
          <w:rFonts w:ascii="Arial" w:hAnsi="Arial" w:cs="Arial"/>
          <w:color w:val="000000" w:themeColor="text1"/>
          <w:lang w:val="es-ES_tradnl"/>
        </w:rPr>
      </w:pPr>
      <w:r w:rsidRPr="00B5774D">
        <w:rPr>
          <w:rFonts w:ascii="Arial" w:hAnsi="Arial" w:cs="Arial"/>
          <w:color w:val="000000" w:themeColor="text1"/>
          <w:lang w:val="es-ES_tradnl"/>
        </w:rPr>
        <w:t>Estimad</w:t>
      </w:r>
      <w:r w:rsidR="00D25B06" w:rsidRPr="00B5774D">
        <w:rPr>
          <w:rFonts w:ascii="Arial" w:hAnsi="Arial" w:cs="Arial"/>
          <w:color w:val="000000" w:themeColor="text1"/>
          <w:lang w:val="es-ES_tradnl"/>
        </w:rPr>
        <w:t>o</w:t>
      </w:r>
      <w:r w:rsidRPr="00B5774D">
        <w:rPr>
          <w:rFonts w:ascii="Arial" w:hAnsi="Arial" w:cs="Arial"/>
          <w:color w:val="000000" w:themeColor="text1"/>
          <w:lang w:val="es-ES_tradnl"/>
        </w:rPr>
        <w:t xml:space="preserve"> señor</w:t>
      </w:r>
      <w:r w:rsidR="00DA371B" w:rsidRPr="00B5774D">
        <w:rPr>
          <w:rFonts w:ascii="Arial" w:hAnsi="Arial" w:cs="Arial"/>
          <w:color w:val="000000" w:themeColor="text1"/>
          <w:lang w:val="es-ES_tradnl"/>
        </w:rPr>
        <w:t xml:space="preserve"> </w:t>
      </w:r>
      <w:r w:rsidR="00D25B06" w:rsidRPr="00B5774D">
        <w:rPr>
          <w:rFonts w:ascii="Arial" w:hAnsi="Arial" w:cs="Arial"/>
          <w:color w:val="000000" w:themeColor="text1"/>
          <w:lang w:val="es-ES_tradnl"/>
        </w:rPr>
        <w:t>Peláez</w:t>
      </w:r>
      <w:r w:rsidR="008C3FFC" w:rsidRPr="00B5774D">
        <w:rPr>
          <w:rFonts w:ascii="Arial" w:hAnsi="Arial" w:cs="Arial"/>
          <w:color w:val="000000" w:themeColor="text1"/>
          <w:lang w:val="es-ES_tradnl"/>
        </w:rPr>
        <w:t xml:space="preserve">: </w:t>
      </w:r>
    </w:p>
    <w:p w14:paraId="1EAE5543" w14:textId="37990AD8" w:rsidR="00DD5B04" w:rsidRPr="00B5774D" w:rsidRDefault="00DD5B04" w:rsidP="00B7240D">
      <w:pPr>
        <w:spacing w:after="0" w:line="274" w:lineRule="auto"/>
        <w:jc w:val="both"/>
        <w:rPr>
          <w:rFonts w:ascii="Arial" w:hAnsi="Arial" w:cs="Arial"/>
          <w:color w:val="000000" w:themeColor="text1"/>
          <w:lang w:val="es-ES_tradnl"/>
        </w:rPr>
      </w:pPr>
    </w:p>
    <w:p w14:paraId="2109B2D3" w14:textId="3D52A004" w:rsidR="00DD5B04" w:rsidRPr="00B5774D" w:rsidRDefault="00DD5B04" w:rsidP="00B7240D">
      <w:pPr>
        <w:spacing w:after="0" w:line="274" w:lineRule="auto"/>
        <w:jc w:val="both"/>
        <w:rPr>
          <w:rFonts w:ascii="Arial" w:hAnsi="Arial" w:cs="Arial"/>
          <w:color w:val="000000" w:themeColor="text1"/>
          <w:lang w:val="es-ES_tradnl"/>
        </w:rPr>
      </w:pPr>
      <w:r w:rsidRPr="00B5774D">
        <w:rPr>
          <w:rFonts w:ascii="Arial" w:hAnsi="Arial" w:cs="Arial"/>
          <w:color w:val="000000" w:themeColor="text1"/>
          <w:lang w:val="es-ES_tradnl"/>
        </w:rPr>
        <w:t>En ejercicio de la competencia otorgada por el numeral 8 del artículo 11 y el numeral 5 del artículo 3 del Decreto Ley 4170 de 2011,</w:t>
      </w:r>
      <w:r w:rsidR="00B24D49" w:rsidRPr="00B5774D">
        <w:rPr>
          <w:rFonts w:ascii="Arial" w:eastAsia="Arial MT" w:hAnsi="Arial" w:cs="Arial"/>
          <w:lang w:val="es-ES"/>
        </w:rPr>
        <w:t xml:space="preserve"> </w:t>
      </w:r>
      <w:r w:rsidRPr="00B5774D">
        <w:rPr>
          <w:rFonts w:ascii="Arial" w:hAnsi="Arial" w:cs="Arial"/>
          <w:color w:val="000000" w:themeColor="text1"/>
          <w:lang w:val="es-ES_tradnl"/>
        </w:rPr>
        <w:t xml:space="preserve">la Agencia Nacional de Contratación Pública </w:t>
      </w:r>
      <w:r w:rsidR="00C31846" w:rsidRPr="00B5774D">
        <w:rPr>
          <w:rFonts w:ascii="Arial" w:hAnsi="Arial" w:cs="Arial"/>
          <w:color w:val="000000" w:themeColor="text1"/>
          <w:lang w:val="es-ES_tradnl"/>
        </w:rPr>
        <w:t>–</w:t>
      </w:r>
      <w:r w:rsidRPr="00B5774D">
        <w:rPr>
          <w:rFonts w:ascii="Arial" w:hAnsi="Arial" w:cs="Arial"/>
          <w:color w:val="000000" w:themeColor="text1"/>
          <w:lang w:val="es-ES_tradnl"/>
        </w:rPr>
        <w:t xml:space="preserve"> Colombia Compra Eficiente</w:t>
      </w:r>
      <w:r w:rsidR="00CE69CC" w:rsidRPr="00B5774D">
        <w:rPr>
          <w:rFonts w:ascii="Arial" w:hAnsi="Arial" w:cs="Arial"/>
          <w:color w:val="000000" w:themeColor="text1"/>
          <w:lang w:val="es-ES_tradnl"/>
        </w:rPr>
        <w:t xml:space="preserve">, </w:t>
      </w:r>
      <w:r w:rsidRPr="00B5774D">
        <w:rPr>
          <w:rFonts w:ascii="Arial" w:hAnsi="Arial" w:cs="Arial"/>
          <w:color w:val="000000" w:themeColor="text1"/>
          <w:lang w:val="es-ES_tradnl"/>
        </w:rPr>
        <w:t xml:space="preserve">responde </w:t>
      </w:r>
      <w:r w:rsidR="00F14618" w:rsidRPr="00B5774D">
        <w:rPr>
          <w:rFonts w:ascii="Arial" w:hAnsi="Arial" w:cs="Arial"/>
          <w:color w:val="000000" w:themeColor="text1"/>
          <w:lang w:val="es-ES_tradnl"/>
        </w:rPr>
        <w:t>su</w:t>
      </w:r>
      <w:r w:rsidR="003902B1" w:rsidRPr="00B5774D">
        <w:rPr>
          <w:rFonts w:ascii="Arial" w:hAnsi="Arial" w:cs="Arial"/>
          <w:color w:val="000000" w:themeColor="text1"/>
          <w:lang w:val="es-ES_tradnl"/>
        </w:rPr>
        <w:t xml:space="preserve"> </w:t>
      </w:r>
      <w:r w:rsidR="00F14618" w:rsidRPr="00B5774D">
        <w:rPr>
          <w:rFonts w:ascii="Arial" w:hAnsi="Arial" w:cs="Arial"/>
          <w:color w:val="000000" w:themeColor="text1"/>
          <w:lang w:val="es-ES_tradnl"/>
        </w:rPr>
        <w:t>consulta</w:t>
      </w:r>
      <w:r w:rsidR="00150A17" w:rsidRPr="00B5774D">
        <w:rPr>
          <w:rFonts w:ascii="Arial" w:hAnsi="Arial" w:cs="Arial"/>
          <w:color w:val="000000" w:themeColor="text1"/>
          <w:lang w:val="es-ES_tradnl"/>
        </w:rPr>
        <w:t xml:space="preserve"> </w:t>
      </w:r>
      <w:r w:rsidR="000D0CC7" w:rsidRPr="00B5774D">
        <w:rPr>
          <w:rFonts w:ascii="Arial" w:hAnsi="Arial" w:cs="Arial"/>
          <w:color w:val="000000" w:themeColor="text1"/>
          <w:lang w:val="es-ES_tradnl"/>
        </w:rPr>
        <w:t>d</w:t>
      </w:r>
      <w:r w:rsidR="00F14618" w:rsidRPr="00B5774D">
        <w:rPr>
          <w:rFonts w:ascii="Arial" w:hAnsi="Arial" w:cs="Arial"/>
          <w:color w:val="000000" w:themeColor="text1"/>
          <w:lang w:val="es-ES_tradnl"/>
        </w:rPr>
        <w:t xml:space="preserve">el </w:t>
      </w:r>
      <w:r w:rsidR="00D25B06" w:rsidRPr="00B5774D">
        <w:rPr>
          <w:rFonts w:ascii="Arial" w:hAnsi="Arial" w:cs="Arial"/>
          <w:color w:val="000000" w:themeColor="text1"/>
          <w:lang w:val="es-ES_tradnl"/>
        </w:rPr>
        <w:t xml:space="preserve">19 </w:t>
      </w:r>
      <w:r w:rsidR="00F14618" w:rsidRPr="00B5774D">
        <w:rPr>
          <w:rFonts w:ascii="Arial" w:hAnsi="Arial" w:cs="Arial"/>
          <w:color w:val="000000" w:themeColor="text1"/>
          <w:lang w:val="es-ES_tradnl"/>
        </w:rPr>
        <w:t xml:space="preserve">de </w:t>
      </w:r>
      <w:r w:rsidR="00DA371B" w:rsidRPr="00B5774D">
        <w:rPr>
          <w:rFonts w:ascii="Arial" w:hAnsi="Arial" w:cs="Arial"/>
          <w:color w:val="000000" w:themeColor="text1"/>
          <w:lang w:val="es-ES_tradnl"/>
        </w:rPr>
        <w:t>septiembre</w:t>
      </w:r>
      <w:r w:rsidR="00F14618" w:rsidRPr="00B5774D">
        <w:rPr>
          <w:rFonts w:ascii="Arial" w:hAnsi="Arial" w:cs="Arial"/>
          <w:color w:val="000000" w:themeColor="text1"/>
          <w:lang w:val="es-ES_tradnl"/>
        </w:rPr>
        <w:t xml:space="preserve"> de 202</w:t>
      </w:r>
      <w:r w:rsidR="00782354" w:rsidRPr="00B5774D">
        <w:rPr>
          <w:rFonts w:ascii="Arial" w:hAnsi="Arial" w:cs="Arial"/>
          <w:color w:val="000000" w:themeColor="text1"/>
          <w:lang w:val="es-ES_tradnl"/>
        </w:rPr>
        <w:t>2</w:t>
      </w:r>
      <w:r w:rsidR="00F14618" w:rsidRPr="00B5774D">
        <w:rPr>
          <w:rFonts w:ascii="Arial" w:hAnsi="Arial" w:cs="Arial"/>
          <w:color w:val="000000" w:themeColor="text1"/>
          <w:lang w:val="es-ES_tradnl"/>
        </w:rPr>
        <w:t>.</w:t>
      </w:r>
    </w:p>
    <w:p w14:paraId="0C1E0712" w14:textId="77777777" w:rsidR="00DD5B04" w:rsidRPr="00B5774D" w:rsidRDefault="00DD5B04" w:rsidP="00443945">
      <w:pPr>
        <w:spacing w:after="0" w:line="276" w:lineRule="auto"/>
        <w:jc w:val="both"/>
        <w:rPr>
          <w:rFonts w:ascii="Arial" w:hAnsi="Arial" w:cs="Arial"/>
          <w:b/>
          <w:color w:val="000000" w:themeColor="text1"/>
          <w:lang w:val="es-ES_tradnl"/>
        </w:rPr>
      </w:pPr>
    </w:p>
    <w:p w14:paraId="7701FCC7" w14:textId="77777777" w:rsidR="00DD5B04" w:rsidRPr="00B5774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5774D">
        <w:rPr>
          <w:rFonts w:ascii="Arial" w:eastAsia="Calibri" w:hAnsi="Arial" w:cs="Arial"/>
          <w:b/>
          <w:color w:val="000000" w:themeColor="text1"/>
          <w:sz w:val="22"/>
          <w:lang w:val="es-ES_tradnl"/>
        </w:rPr>
        <w:t xml:space="preserve">Problema planteado </w:t>
      </w:r>
    </w:p>
    <w:p w14:paraId="224B43D3" w14:textId="23DC0BDF" w:rsidR="00DD5B04" w:rsidRPr="00B5774D" w:rsidRDefault="00DD5B04" w:rsidP="00B7240D">
      <w:pPr>
        <w:tabs>
          <w:tab w:val="left" w:pos="426"/>
        </w:tabs>
        <w:spacing w:after="0" w:line="276" w:lineRule="auto"/>
        <w:jc w:val="both"/>
        <w:rPr>
          <w:rFonts w:ascii="Arial" w:hAnsi="Arial" w:cs="Arial"/>
          <w:b/>
          <w:color w:val="000000" w:themeColor="text1"/>
          <w:lang w:val="es-ES_tradnl"/>
        </w:rPr>
      </w:pPr>
    </w:p>
    <w:p w14:paraId="5CFF4E25" w14:textId="61DB89F5" w:rsidR="0083383D" w:rsidRPr="00B5774D" w:rsidRDefault="00D25B06" w:rsidP="00D25B06">
      <w:pPr>
        <w:tabs>
          <w:tab w:val="left" w:pos="8364"/>
        </w:tabs>
        <w:spacing w:after="0" w:line="240" w:lineRule="auto"/>
        <w:jc w:val="both"/>
        <w:rPr>
          <w:rFonts w:ascii="Arial" w:hAnsi="Arial" w:cs="Arial"/>
          <w:bCs/>
          <w:lang w:val="es-MX"/>
        </w:rPr>
      </w:pPr>
      <w:r w:rsidRPr="00B5774D">
        <w:rPr>
          <w:rFonts w:ascii="Arial" w:hAnsi="Arial" w:cs="Arial"/>
          <w:bCs/>
          <w:lang w:val="es-MX"/>
        </w:rPr>
        <w:t>En su consulta, usted plantea los siguientes interrogantes:</w:t>
      </w:r>
    </w:p>
    <w:p w14:paraId="3E4872D7" w14:textId="77777777" w:rsidR="00D25B06" w:rsidRPr="00B5774D" w:rsidRDefault="00D25B06" w:rsidP="00D25B06">
      <w:pPr>
        <w:tabs>
          <w:tab w:val="left" w:pos="8364"/>
        </w:tabs>
        <w:spacing w:after="0" w:line="240" w:lineRule="auto"/>
        <w:jc w:val="both"/>
        <w:rPr>
          <w:rFonts w:ascii="Arial" w:hAnsi="Arial" w:cs="Arial"/>
          <w:bCs/>
        </w:rPr>
      </w:pPr>
    </w:p>
    <w:p w14:paraId="4FD270C9" w14:textId="1481A5FE" w:rsidR="00D25B06" w:rsidRPr="00B5774D" w:rsidRDefault="00DA371B" w:rsidP="00D25B06">
      <w:pPr>
        <w:tabs>
          <w:tab w:val="left" w:pos="426"/>
          <w:tab w:val="left" w:pos="8080"/>
          <w:tab w:val="left" w:pos="8364"/>
        </w:tabs>
        <w:spacing w:after="0" w:line="240" w:lineRule="auto"/>
        <w:ind w:left="709" w:right="709"/>
        <w:jc w:val="both"/>
        <w:rPr>
          <w:rFonts w:ascii="Arial" w:hAnsi="Arial" w:cs="Arial"/>
          <w:bCs/>
          <w:color w:val="000000" w:themeColor="text1"/>
          <w:sz w:val="21"/>
          <w:szCs w:val="21"/>
        </w:rPr>
      </w:pPr>
      <w:r w:rsidRPr="00B5774D">
        <w:rPr>
          <w:rFonts w:ascii="Arial" w:hAnsi="Arial" w:cs="Arial"/>
          <w:bCs/>
          <w:color w:val="000000" w:themeColor="text1"/>
          <w:sz w:val="21"/>
          <w:szCs w:val="21"/>
          <w:lang w:val="es-ES_tradnl"/>
        </w:rPr>
        <w:t>«</w:t>
      </w:r>
      <w:r w:rsidR="00D25B06" w:rsidRPr="00B5774D">
        <w:rPr>
          <w:rFonts w:ascii="Arial" w:hAnsi="Arial" w:cs="Arial"/>
          <w:bCs/>
          <w:color w:val="000000" w:themeColor="text1"/>
          <w:sz w:val="21"/>
          <w:szCs w:val="21"/>
        </w:rPr>
        <w:t xml:space="preserve">¿Cuál es el alcance interpretativo que CCE hace frente a la subsanabilidad de acuerdo a las sentencias: radicado 25000-23-36-000-2017-00564-01 (67.937) Consejo de Estado, CP Marta Nubia Velásquez Rico del 15 de julio de 2022 y Sección Tercera, Subsección A. Sentencia del 13 de agosto de 2021 radicado 25000-23-36-000-2013-00009-01 (56.960). C.P. José Roberto Sáchica? </w:t>
      </w:r>
    </w:p>
    <w:p w14:paraId="1C4169B9" w14:textId="77777777" w:rsidR="00D25B06" w:rsidRPr="00B5774D" w:rsidRDefault="00D25B06" w:rsidP="00D25B06">
      <w:pPr>
        <w:tabs>
          <w:tab w:val="left" w:pos="426"/>
          <w:tab w:val="left" w:pos="8080"/>
          <w:tab w:val="left" w:pos="8364"/>
        </w:tabs>
        <w:spacing w:after="0" w:line="240" w:lineRule="auto"/>
        <w:ind w:left="709" w:right="709"/>
        <w:jc w:val="both"/>
        <w:rPr>
          <w:rFonts w:ascii="Arial" w:hAnsi="Arial" w:cs="Arial"/>
          <w:bCs/>
          <w:color w:val="000000" w:themeColor="text1"/>
          <w:sz w:val="21"/>
          <w:szCs w:val="21"/>
        </w:rPr>
      </w:pPr>
    </w:p>
    <w:p w14:paraId="573DB73E" w14:textId="5463895B" w:rsidR="00D25B06" w:rsidRPr="00B5774D" w:rsidRDefault="00D25B06" w:rsidP="00D25B06">
      <w:pPr>
        <w:tabs>
          <w:tab w:val="left" w:pos="426"/>
          <w:tab w:val="left" w:pos="8080"/>
          <w:tab w:val="left" w:pos="8364"/>
        </w:tabs>
        <w:spacing w:after="0" w:line="240" w:lineRule="auto"/>
        <w:ind w:left="709" w:right="709"/>
        <w:jc w:val="both"/>
        <w:rPr>
          <w:rFonts w:ascii="Arial" w:hAnsi="Arial" w:cs="Arial"/>
          <w:bCs/>
          <w:color w:val="000000" w:themeColor="text1"/>
          <w:sz w:val="21"/>
          <w:szCs w:val="21"/>
        </w:rPr>
      </w:pPr>
      <w:r w:rsidRPr="00B5774D">
        <w:rPr>
          <w:rFonts w:ascii="Arial" w:hAnsi="Arial" w:cs="Arial"/>
          <w:bCs/>
          <w:color w:val="000000" w:themeColor="text1"/>
          <w:sz w:val="21"/>
          <w:szCs w:val="21"/>
        </w:rPr>
        <w:t xml:space="preserve">¿Cuál es la posición de CCE frente a la subsanabilidad de aquellos requisitos habilitantes no ponderables, que son propios del proceso, como fichas técnicas, anexos, carta de compromiso, cartas de intención; ¿su no presentación es subsanable? ¿Es viable su modificación en la subsanación? ¿Si se presentó y </w:t>
      </w:r>
      <w:r w:rsidRPr="00B5774D">
        <w:rPr>
          <w:rFonts w:ascii="Arial" w:hAnsi="Arial" w:cs="Arial"/>
          <w:bCs/>
          <w:color w:val="000000" w:themeColor="text1"/>
          <w:sz w:val="21"/>
          <w:szCs w:val="21"/>
        </w:rPr>
        <w:lastRenderedPageBreak/>
        <w:t xml:space="preserve">faltó algún elemento en su presentación, este elemento se puede agregar en la subsanación? </w:t>
      </w:r>
    </w:p>
    <w:p w14:paraId="6D7AF7E9" w14:textId="77777777" w:rsidR="00D25B06" w:rsidRPr="00B5774D" w:rsidRDefault="00D25B06" w:rsidP="00D25B06">
      <w:pPr>
        <w:tabs>
          <w:tab w:val="left" w:pos="426"/>
          <w:tab w:val="left" w:pos="8080"/>
          <w:tab w:val="left" w:pos="8364"/>
        </w:tabs>
        <w:spacing w:after="0" w:line="240" w:lineRule="auto"/>
        <w:ind w:left="709" w:right="709"/>
        <w:jc w:val="both"/>
        <w:rPr>
          <w:rFonts w:ascii="Arial" w:hAnsi="Arial" w:cs="Arial"/>
          <w:bCs/>
          <w:color w:val="000000" w:themeColor="text1"/>
          <w:sz w:val="21"/>
          <w:szCs w:val="21"/>
        </w:rPr>
      </w:pPr>
    </w:p>
    <w:p w14:paraId="5845D8EE" w14:textId="03306222" w:rsidR="000D0CC7" w:rsidRPr="00B5774D" w:rsidRDefault="00D25B06" w:rsidP="00D25B06">
      <w:pPr>
        <w:tabs>
          <w:tab w:val="left" w:pos="426"/>
          <w:tab w:val="left" w:pos="8080"/>
          <w:tab w:val="left" w:pos="8364"/>
        </w:tabs>
        <w:spacing w:after="0" w:line="240" w:lineRule="auto"/>
        <w:ind w:left="709" w:right="709"/>
        <w:jc w:val="both"/>
        <w:rPr>
          <w:rFonts w:ascii="Arial" w:hAnsi="Arial" w:cs="Arial"/>
          <w:bCs/>
          <w:color w:val="000000" w:themeColor="text1"/>
          <w:sz w:val="21"/>
          <w:szCs w:val="21"/>
          <w:lang w:val="es-ES_tradnl"/>
        </w:rPr>
      </w:pPr>
      <w:r w:rsidRPr="00B5774D">
        <w:rPr>
          <w:rFonts w:ascii="Arial" w:hAnsi="Arial" w:cs="Arial"/>
          <w:bCs/>
          <w:color w:val="000000" w:themeColor="text1"/>
          <w:sz w:val="21"/>
          <w:szCs w:val="21"/>
        </w:rPr>
        <w:t>¿Se han presentado modificaciones frente a la posición interpretativa de CCE expresada en el concepto de unificación 060 de 2020 en el marco de la subsanabilidad de las ofertas’</w:t>
      </w:r>
      <w:r w:rsidR="00DA371B" w:rsidRPr="00B5774D">
        <w:rPr>
          <w:rFonts w:ascii="Arial" w:hAnsi="Arial" w:cs="Arial"/>
          <w:bCs/>
          <w:color w:val="000000" w:themeColor="text1"/>
          <w:sz w:val="21"/>
          <w:szCs w:val="21"/>
          <w:lang w:val="es-ES_tradnl"/>
        </w:rPr>
        <w:t>».</w:t>
      </w:r>
    </w:p>
    <w:p w14:paraId="3875CC47" w14:textId="77777777" w:rsidR="00DA371B" w:rsidRPr="00B5774D" w:rsidRDefault="00DA371B" w:rsidP="0083383D">
      <w:pPr>
        <w:tabs>
          <w:tab w:val="left" w:pos="426"/>
        </w:tabs>
        <w:spacing w:after="0" w:line="276" w:lineRule="auto"/>
        <w:jc w:val="both"/>
        <w:rPr>
          <w:rFonts w:ascii="Arial" w:hAnsi="Arial" w:cs="Arial"/>
          <w:bCs/>
          <w:color w:val="000000" w:themeColor="text1"/>
          <w:lang w:val="es-ES_tradnl"/>
        </w:rPr>
      </w:pPr>
    </w:p>
    <w:p w14:paraId="124D2DCA" w14:textId="77777777" w:rsidR="00DD5B04" w:rsidRPr="00B5774D"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5774D">
        <w:rPr>
          <w:rFonts w:ascii="Arial" w:eastAsia="Calibri" w:hAnsi="Arial" w:cs="Arial"/>
          <w:b/>
          <w:color w:val="000000" w:themeColor="text1"/>
          <w:sz w:val="22"/>
          <w:lang w:val="es-ES_tradnl"/>
        </w:rPr>
        <w:t>Consideraciones</w:t>
      </w:r>
    </w:p>
    <w:p w14:paraId="395997FF" w14:textId="77777777" w:rsidR="00621981" w:rsidRPr="00B5774D" w:rsidRDefault="00621981" w:rsidP="00B7240D">
      <w:pPr>
        <w:spacing w:after="0" w:line="276" w:lineRule="auto"/>
        <w:jc w:val="both"/>
        <w:rPr>
          <w:rFonts w:ascii="Arial" w:hAnsi="Arial" w:cs="Arial"/>
          <w:color w:val="000000" w:themeColor="text1"/>
        </w:rPr>
      </w:pPr>
    </w:p>
    <w:p w14:paraId="7B96A31F" w14:textId="272197D6" w:rsidR="0062320D" w:rsidRPr="00B5774D" w:rsidRDefault="0062320D" w:rsidP="00B7240D">
      <w:pPr>
        <w:spacing w:after="0" w:line="276" w:lineRule="auto"/>
        <w:jc w:val="both"/>
        <w:rPr>
          <w:rFonts w:ascii="Arial" w:hAnsi="Arial" w:cs="Arial"/>
          <w:bCs/>
        </w:rPr>
      </w:pPr>
      <w:r w:rsidRPr="00B5774D">
        <w:rPr>
          <w:rFonts w:ascii="Arial" w:hAnsi="Arial" w:cs="Arial"/>
          <w:bCs/>
        </w:rPr>
        <w:t>Para desarrollar los problemas planteados, a continuación, se analizarán los siguientes temas, a saber: i) el principio de selección objetiva en la contratación estatal y ii) el alcance de la regla de subsanabilidad de las ofertas en los procedimientos de selección</w:t>
      </w:r>
      <w:r w:rsidR="00C06462">
        <w:rPr>
          <w:rFonts w:ascii="Arial" w:hAnsi="Arial" w:cs="Arial"/>
          <w:bCs/>
        </w:rPr>
        <w:t>.</w:t>
      </w:r>
    </w:p>
    <w:p w14:paraId="4E7E2922" w14:textId="77FA704D" w:rsidR="0062320D" w:rsidRPr="00B5774D" w:rsidRDefault="0062320D" w:rsidP="0062320D">
      <w:pPr>
        <w:spacing w:before="120" w:after="0" w:line="276" w:lineRule="auto"/>
        <w:ind w:firstLine="709"/>
        <w:jc w:val="both"/>
        <w:rPr>
          <w:rFonts w:ascii="Arial" w:hAnsi="Arial" w:cs="Arial"/>
          <w:bCs/>
          <w:lang w:val="es-MX"/>
        </w:rPr>
      </w:pPr>
      <w:r w:rsidRPr="00B5774D">
        <w:rPr>
          <w:rFonts w:ascii="Arial" w:hAnsi="Arial" w:cs="Arial"/>
          <w:bCs/>
          <w:lang w:val="es-MX"/>
        </w:rPr>
        <w:t>La Agencia Nacional de Contratación Pública − Colombia Compra Eficiente se ha pronunciado sobre el principio de selección objetiva y en específico el tema de la subsanabilidad de las ofertas en los conceptos con radicado No: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C-282 del 22 de junio de 2021, C-716 del 23 de enero de 2022,</w:t>
      </w:r>
      <w:r w:rsidRPr="00B5774D">
        <w:rPr>
          <w:rFonts w:ascii="Arial" w:hAnsi="Arial" w:cs="Arial"/>
          <w:lang w:val="es-ES_tradnl"/>
        </w:rPr>
        <w:t xml:space="preserve"> </w:t>
      </w:r>
      <w:r w:rsidRPr="00B5774D">
        <w:rPr>
          <w:rFonts w:ascii="Arial" w:hAnsi="Arial" w:cs="Arial"/>
          <w:bCs/>
          <w:lang w:val="es-ES_tradnl"/>
        </w:rPr>
        <w:t>C-728 de 26 de enero de 2022, C- 114 de 22 de marzo de 2022, C-285 de 20 de mayo de 2022, C-343 de 31 de mayo de 2022, C-416 del 30 de junio de 2022, C-431 del 7 de julio de 2022, C-434 del 8 de julio de 2022</w:t>
      </w:r>
      <w:r w:rsidR="00C06462">
        <w:rPr>
          <w:rFonts w:ascii="Arial" w:hAnsi="Arial" w:cs="Arial"/>
          <w:bCs/>
          <w:lang w:val="es-ES_tradnl"/>
        </w:rPr>
        <w:t>, C-470 del 25 de julio de 2022 y</w:t>
      </w:r>
      <w:r w:rsidRPr="00B5774D">
        <w:rPr>
          <w:rFonts w:ascii="Arial" w:hAnsi="Arial" w:cs="Arial"/>
          <w:bCs/>
          <w:lang w:val="es-ES_tradnl"/>
        </w:rPr>
        <w:t xml:space="preserve"> C-542 del 23 de agosto de 2022</w:t>
      </w:r>
      <w:r w:rsidR="00A2709D" w:rsidRPr="00B5774D">
        <w:rPr>
          <w:rStyle w:val="Refdenotaalpie"/>
          <w:rFonts w:ascii="Arial" w:hAnsi="Arial" w:cs="Arial"/>
          <w:bCs/>
          <w:lang w:val="es-ES_tradnl"/>
        </w:rPr>
        <w:footnoteReference w:id="2"/>
      </w:r>
      <w:r w:rsidRPr="00B5774D">
        <w:rPr>
          <w:rFonts w:ascii="Arial" w:hAnsi="Arial" w:cs="Arial"/>
          <w:bCs/>
          <w:lang w:val="es-MX"/>
        </w:rPr>
        <w:t>. Teniendo en cuenta los antecedentes anteriores, se reiterará particularmente la postura de esta Agencia expuesta en el Concepto de Unificación CU–060 del 24 de febrero de 2020 y se complementará en lo pertinente para responder las preguntas del peticionario.</w:t>
      </w:r>
    </w:p>
    <w:p w14:paraId="35A5D36A" w14:textId="77777777" w:rsidR="005156E7" w:rsidRPr="00B5774D" w:rsidRDefault="005156E7" w:rsidP="005156E7">
      <w:pPr>
        <w:spacing w:after="0" w:line="276" w:lineRule="auto"/>
        <w:jc w:val="both"/>
        <w:rPr>
          <w:rFonts w:ascii="Arial" w:hAnsi="Arial" w:cs="Arial"/>
          <w:b/>
          <w:bCs/>
        </w:rPr>
      </w:pPr>
    </w:p>
    <w:p w14:paraId="5B8971D3" w14:textId="638D2157" w:rsidR="0083383D" w:rsidRPr="00B5774D" w:rsidRDefault="0083383D" w:rsidP="005156E7">
      <w:pPr>
        <w:spacing w:after="0" w:line="276" w:lineRule="auto"/>
        <w:jc w:val="both"/>
        <w:rPr>
          <w:rFonts w:ascii="Arial" w:hAnsi="Arial" w:cs="Arial"/>
          <w:b/>
          <w:lang w:val="es-ES_tradnl"/>
        </w:rPr>
      </w:pPr>
      <w:r w:rsidRPr="00B5774D">
        <w:rPr>
          <w:rFonts w:ascii="Arial" w:hAnsi="Arial" w:cs="Arial"/>
          <w:b/>
          <w:bCs/>
        </w:rPr>
        <w:t xml:space="preserve">2.1.  </w:t>
      </w:r>
      <w:r w:rsidR="00A2709D" w:rsidRPr="00B5774D">
        <w:rPr>
          <w:rFonts w:ascii="Arial" w:hAnsi="Arial" w:cs="Arial"/>
          <w:b/>
          <w:bCs/>
          <w:lang w:val="es-MX"/>
        </w:rPr>
        <w:t>Principio de selección objetiva en la contratación estatal</w:t>
      </w:r>
    </w:p>
    <w:p w14:paraId="3624D591" w14:textId="77777777" w:rsidR="005156E7" w:rsidRPr="00B5774D" w:rsidRDefault="005156E7" w:rsidP="005156E7">
      <w:pPr>
        <w:spacing w:after="0" w:line="276" w:lineRule="auto"/>
        <w:jc w:val="both"/>
        <w:rPr>
          <w:rFonts w:ascii="Arial" w:hAnsi="Arial" w:cs="Arial"/>
          <w:b/>
          <w:lang w:val="es-ES_tradnl"/>
        </w:rPr>
      </w:pPr>
    </w:p>
    <w:p w14:paraId="49114E46" w14:textId="71660C98" w:rsidR="00A2709D" w:rsidRPr="00B5774D" w:rsidRDefault="00A2709D" w:rsidP="00A2709D">
      <w:pPr>
        <w:spacing w:after="0" w:line="276" w:lineRule="auto"/>
        <w:jc w:val="both"/>
        <w:rPr>
          <w:rFonts w:ascii="Arial" w:hAnsi="Arial" w:cs="Arial"/>
          <w:lang w:val="es-MX"/>
        </w:rPr>
      </w:pPr>
      <w:r w:rsidRPr="00B5774D">
        <w:rPr>
          <w:rFonts w:ascii="Arial" w:hAnsi="Arial" w:cs="Arial"/>
          <w:lang w:val="es-MX"/>
        </w:rPr>
        <w:t xml:space="preserve">Uno de los principios transversales de los procedimientos de </w:t>
      </w:r>
      <w:r w:rsidR="00BE0286" w:rsidRPr="00B5774D">
        <w:rPr>
          <w:rFonts w:ascii="Arial" w:hAnsi="Arial" w:cs="Arial"/>
          <w:lang w:val="es-MX"/>
        </w:rPr>
        <w:t>contratación</w:t>
      </w:r>
      <w:r w:rsidRPr="00B5774D">
        <w:rPr>
          <w:rFonts w:ascii="Arial" w:hAnsi="Arial" w:cs="Arial"/>
          <w:lang w:val="es-MX"/>
        </w:rPr>
        <w:t xml:space="preserve"> es el de </w:t>
      </w:r>
      <w:r w:rsidRPr="00B5774D">
        <w:rPr>
          <w:rFonts w:ascii="Arial" w:hAnsi="Arial" w:cs="Arial"/>
          <w:i/>
          <w:lang w:val="es-MX"/>
        </w:rPr>
        <w:t>selección objetiva</w:t>
      </w:r>
      <w:r w:rsidRPr="00B5774D">
        <w:rPr>
          <w:rFonts w:ascii="Arial" w:hAnsi="Arial" w:cs="Arial"/>
          <w:lang w:val="es-MX"/>
        </w:rPr>
        <w:t xml:space="preserve">. Se trata del postulado que exige que la escogencia de la oferta ganadora se debe fundamentar en factores objetivos, de carácter técnico, jurídico y financiero, y no </w:t>
      </w:r>
      <w:r w:rsidRPr="00B5774D">
        <w:rPr>
          <w:rFonts w:ascii="Arial" w:hAnsi="Arial" w:cs="Arial"/>
          <w:lang w:val="es-MX"/>
        </w:rPr>
        <w:lastRenderedPageBreak/>
        <w:t xml:space="preserve">en criterios subjetivos, como el afecto, la amistad, el ánimo de ayuda, el interés personal, etc. </w:t>
      </w:r>
    </w:p>
    <w:p w14:paraId="37F4B80F" w14:textId="58F86FD4" w:rsidR="00A2709D" w:rsidRPr="00B5774D" w:rsidRDefault="00A2709D" w:rsidP="00A2709D">
      <w:pPr>
        <w:spacing w:after="0" w:line="276" w:lineRule="auto"/>
        <w:ind w:firstLine="709"/>
        <w:jc w:val="both"/>
        <w:rPr>
          <w:rFonts w:ascii="Arial" w:hAnsi="Arial" w:cs="Arial"/>
          <w:lang w:val="es-MX"/>
        </w:rPr>
      </w:pPr>
      <w:r w:rsidRPr="00B5774D">
        <w:rPr>
          <w:rFonts w:ascii="Arial" w:hAnsi="Arial" w:cs="Arial"/>
          <w:lang w:val="es-MX"/>
        </w:rPr>
        <w:t>Si bien dentro de la historia de la contratación pública en Colombia, se vislumbran antecedentes normativos que consagraban dicho principio</w:t>
      </w:r>
      <w:r w:rsidRPr="00B5774D">
        <w:rPr>
          <w:rFonts w:ascii="Arial" w:hAnsi="Arial" w:cs="Arial"/>
          <w:vertAlign w:val="superscript"/>
          <w:lang w:val="es-MX"/>
        </w:rPr>
        <w:footnoteReference w:id="3"/>
      </w:r>
      <w:r w:rsidRPr="00B5774D">
        <w:rPr>
          <w:rFonts w:ascii="Arial" w:hAnsi="Arial" w:cs="Arial"/>
          <w:lang w:val="es-MX"/>
        </w:rPr>
        <w:t xml:space="preserve">, en la actualidad la disposición legal que lo prevé de manera más clara y contundente es el artículo 5 de la Ley 1150 de 2007, modificado por el artículo 88 de la Ley 1474 de 2011 y por el artículo 5 de la Ley 1882 de 2018; enunciado normativo en el que </w:t>
      </w:r>
      <w:r w:rsidR="00BE0286" w:rsidRPr="00B5774D">
        <w:rPr>
          <w:rFonts w:ascii="Arial" w:hAnsi="Arial" w:cs="Arial"/>
          <w:lang w:val="es-MX"/>
        </w:rPr>
        <w:t>prescribe lo siguiente</w:t>
      </w:r>
      <w:r w:rsidRPr="00B5774D">
        <w:rPr>
          <w:rFonts w:ascii="Arial" w:hAnsi="Arial" w:cs="Arial"/>
          <w:lang w:val="es-MX"/>
        </w:rPr>
        <w:t>:</w:t>
      </w:r>
    </w:p>
    <w:p w14:paraId="183A93A9" w14:textId="77777777" w:rsidR="00BE0286" w:rsidRPr="00B5774D" w:rsidRDefault="00BE0286" w:rsidP="00A2709D">
      <w:pPr>
        <w:spacing w:after="0" w:line="276" w:lineRule="auto"/>
        <w:ind w:firstLine="709"/>
        <w:jc w:val="both"/>
        <w:rPr>
          <w:rFonts w:ascii="Arial" w:hAnsi="Arial" w:cs="Arial"/>
          <w:lang w:val="es-MX"/>
        </w:rPr>
      </w:pPr>
    </w:p>
    <w:p w14:paraId="648F727A"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E278C3B"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7E3BB26F"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3394808"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578D308C"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 xml:space="preserve">2. &lt;Numeral modificado por el artículo 88 de la Ley 1474 de 2011. El nuevo texto es el siguiente:&gt; La oferta más favorable será aquella que, teniendo en cuenta </w:t>
      </w:r>
      <w:r w:rsidRPr="00B5774D">
        <w:rPr>
          <w:rFonts w:ascii="Arial" w:hAnsi="Arial" w:cs="Arial"/>
          <w:sz w:val="21"/>
          <w:szCs w:val="21"/>
          <w:lang w:val="es-MX"/>
        </w:rPr>
        <w:lastRenderedPageBreak/>
        <w:t>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E8C5C4D"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49BDCFF6"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En los procesos de selección en los que se tenga en cuenta los factores técnicos y económicos, la oferta más ventajosa será la que resulte de aplicar alguna de las siguientes alternativas:</w:t>
      </w:r>
    </w:p>
    <w:p w14:paraId="11DFEFFB"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57061AF7"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a) La ponderación de los elementos de calidad y precio soportados en puntajes o fórmulas señaladas en el pliego de condiciones; o</w:t>
      </w:r>
    </w:p>
    <w:p w14:paraId="20456B12"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22295640"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b) La ponderación de los elementos de calidad y precio que representen la mejor relación de costo-beneficio para la entidad.</w:t>
      </w:r>
    </w:p>
    <w:p w14:paraId="26DE9E62"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456ED3DE"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47C2C350"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15CBC1D6"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44D7E630"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29A6A92A"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En ningún caso se podrá incluir el precio, como factor de escogencia para la selección de consultores.</w:t>
      </w:r>
    </w:p>
    <w:p w14:paraId="79B46F0B"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1A150171"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w:t>
      </w:r>
      <w:r w:rsidRPr="00B5774D">
        <w:rPr>
          <w:rFonts w:ascii="Arial" w:hAnsi="Arial" w:cs="Arial"/>
          <w:sz w:val="21"/>
          <w:szCs w:val="21"/>
          <w:lang w:val="es-MX"/>
        </w:rPr>
        <w:lastRenderedPageBreak/>
        <w:t>suministren la información y la documentación solicitada por la entidad estatal hasta el plazo anteriormente señalado.</w:t>
      </w:r>
    </w:p>
    <w:p w14:paraId="32E51D0D"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1A983CC3"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Durante el término otorgado para subsanar las ofertas, los proponentes no podrán acreditar circunstancias ocurridas con posterioridad al cierre del proceso.</w:t>
      </w:r>
    </w:p>
    <w:p w14:paraId="5D5FD1CA"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40002121"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PARÁGRAFO 2o. Las certificaciones de sistemas de gestión de calidad no serán objeto de calificación, ni podrán establecerse como documento habilitante para participar en licitaciones o concursos.</w:t>
      </w:r>
    </w:p>
    <w:p w14:paraId="6003B44C"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0928A220"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PARÁGRAFO 3o. &lt;Parágrafo adicionado por el artículo 5 de la Ley 1882 de 2018. El nuevo texto es el siguiente:&gt; La no entrega de la garantía de seriedad junto con la propuesta no será subsanable y será causal de rechazo de la misma.</w:t>
      </w:r>
    </w:p>
    <w:p w14:paraId="76E06948"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1A33F02F"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55920CD2" w14:textId="77777777" w:rsidR="00A2709D" w:rsidRPr="00B5774D" w:rsidRDefault="00A2709D" w:rsidP="00A2709D">
      <w:pPr>
        <w:spacing w:after="0" w:line="240" w:lineRule="auto"/>
        <w:ind w:left="709" w:right="709"/>
        <w:jc w:val="both"/>
        <w:rPr>
          <w:rFonts w:ascii="Arial" w:hAnsi="Arial" w:cs="Arial"/>
          <w:sz w:val="21"/>
          <w:szCs w:val="21"/>
          <w:lang w:val="es-MX"/>
        </w:rPr>
      </w:pPr>
    </w:p>
    <w:p w14:paraId="5F02B4A5" w14:textId="77777777" w:rsidR="00A2709D" w:rsidRPr="00B5774D" w:rsidRDefault="00A2709D" w:rsidP="00A2709D">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 xml:space="preserve">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 </w:t>
      </w:r>
    </w:p>
    <w:p w14:paraId="1626EC2D" w14:textId="253270A9" w:rsidR="005156E7" w:rsidRPr="00B5774D" w:rsidRDefault="005156E7" w:rsidP="00A2709D">
      <w:pPr>
        <w:spacing w:after="0" w:line="276" w:lineRule="auto"/>
        <w:jc w:val="both"/>
        <w:rPr>
          <w:rFonts w:ascii="Arial" w:hAnsi="Arial" w:cs="Arial"/>
          <w:lang w:val="es-ES_tradnl"/>
        </w:rPr>
      </w:pPr>
    </w:p>
    <w:p w14:paraId="0EF4C466" w14:textId="6118EB67" w:rsidR="00A2709D" w:rsidRPr="00B5774D" w:rsidRDefault="00A2709D" w:rsidP="00A2709D">
      <w:pPr>
        <w:spacing w:after="0" w:line="276" w:lineRule="auto"/>
        <w:ind w:firstLine="709"/>
        <w:jc w:val="both"/>
        <w:rPr>
          <w:rFonts w:ascii="Arial" w:hAnsi="Arial" w:cs="Arial"/>
          <w:lang w:val="es-MX"/>
        </w:rPr>
      </w:pPr>
      <w:bookmarkStart w:id="2" w:name="_Hlk120193318"/>
      <w:r w:rsidRPr="00B5774D">
        <w:rPr>
          <w:rFonts w:ascii="Arial" w:hAnsi="Arial" w:cs="Arial"/>
          <w:lang w:val="es-MX"/>
        </w:rPr>
        <w:t xml:space="preserve">De acuerdo con </w:t>
      </w:r>
      <w:r w:rsidR="00BE0286" w:rsidRPr="00B5774D">
        <w:rPr>
          <w:rFonts w:ascii="Arial" w:hAnsi="Arial" w:cs="Arial"/>
          <w:lang w:val="es-MX"/>
        </w:rPr>
        <w:t xml:space="preserve">lo anterior, </w:t>
      </w:r>
      <w:r w:rsidRPr="00B5774D">
        <w:rPr>
          <w:rFonts w:ascii="Arial" w:hAnsi="Arial" w:cs="Arial"/>
          <w:lang w:val="es-MX"/>
        </w:rPr>
        <w:t xml:space="preserve">conforme con lo expresado en el concepto C–166 del 23 de abril de 2021,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5F1F36AC" w14:textId="7C547626" w:rsidR="00A2709D" w:rsidRPr="00B5774D" w:rsidRDefault="00A2709D" w:rsidP="00A2709D">
      <w:pPr>
        <w:spacing w:before="120" w:after="0" w:line="276" w:lineRule="auto"/>
        <w:ind w:firstLine="709"/>
        <w:jc w:val="both"/>
        <w:rPr>
          <w:rFonts w:ascii="Arial" w:hAnsi="Arial" w:cs="Arial"/>
          <w:lang w:val="es-MX"/>
        </w:rPr>
      </w:pPr>
      <w:bookmarkStart w:id="3" w:name="_1fob9te" w:colFirst="0" w:colLast="0"/>
      <w:bookmarkEnd w:id="2"/>
      <w:bookmarkEnd w:id="3"/>
      <w:r w:rsidRPr="00B5774D">
        <w:rPr>
          <w:rFonts w:ascii="Arial" w:hAnsi="Arial" w:cs="Arial"/>
          <w:lang w:val="es-MX"/>
        </w:rPr>
        <w:t xml:space="preserve">Al respecto, 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w:t>
      </w:r>
      <w:r w:rsidRPr="00B5774D">
        <w:rPr>
          <w:rFonts w:ascii="Arial" w:hAnsi="Arial" w:cs="Arial"/>
          <w:lang w:val="es-MX"/>
        </w:rPr>
        <w:lastRenderedPageBreak/>
        <w:t>la ejecución del contrato</w:t>
      </w:r>
      <w:r w:rsidRPr="00B5774D">
        <w:rPr>
          <w:rFonts w:ascii="Arial" w:hAnsi="Arial" w:cs="Arial"/>
          <w:vertAlign w:val="superscript"/>
          <w:lang w:val="es-MX"/>
        </w:rPr>
        <w:footnoteReference w:id="4"/>
      </w:r>
      <w:r w:rsidRPr="00B5774D">
        <w:rPr>
          <w:rFonts w:ascii="Arial" w:hAnsi="Arial" w:cs="Arial"/>
          <w:lang w:val="es-MX"/>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B5774D">
        <w:rPr>
          <w:rFonts w:ascii="Arial" w:hAnsi="Arial" w:cs="Arial"/>
          <w:i/>
          <w:lang w:val="es-MX"/>
        </w:rPr>
        <w:t xml:space="preserve">habilitantes </w:t>
      </w:r>
      <w:r w:rsidRPr="00B5774D">
        <w:rPr>
          <w:rFonts w:ascii="Arial" w:hAnsi="Arial" w:cs="Arial"/>
          <w:lang w:val="es-MX"/>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p>
    <w:p w14:paraId="4B815879" w14:textId="01217A10"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 </w:t>
      </w:r>
    </w:p>
    <w:p w14:paraId="3C2BFAB1" w14:textId="18A981DF"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Por su parte, el numeral 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7E3D1EE1" w14:textId="3B1B12B5"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 xml:space="preserve">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 aquellas condiciones de la oferta y no de quien la presenta, que sí entrarán a ser evaluadas por la Administración y que en </w:t>
      </w:r>
      <w:r w:rsidRPr="00B5774D">
        <w:rPr>
          <w:rFonts w:ascii="Arial" w:hAnsi="Arial" w:cs="Arial"/>
          <w:lang w:val="es-MX"/>
        </w:rPr>
        <w:lastRenderedPageBreak/>
        <w:t>consecuencia, darán lugar a la escogencia objetiva de la mejor propuesta para la entidad»</w:t>
      </w:r>
      <w:r w:rsidRPr="00B5774D">
        <w:rPr>
          <w:rFonts w:ascii="Arial" w:hAnsi="Arial" w:cs="Arial"/>
          <w:vertAlign w:val="superscript"/>
          <w:lang w:val="es-MX"/>
        </w:rPr>
        <w:footnoteReference w:id="5"/>
      </w:r>
      <w:r w:rsidRPr="00B5774D">
        <w:rPr>
          <w:rFonts w:ascii="Arial" w:hAnsi="Arial" w:cs="Arial"/>
          <w:lang w:val="es-MX"/>
        </w:rPr>
        <w:t>. Todas estas categorías designan los «[…] factores a los cuales cabe otorgarles puntajes o que pueden ser ponderados, precisamente, pues estos son los factores que en últimas permiten una comparación de ofertas y una diferenciación entre ellas»</w:t>
      </w:r>
      <w:r w:rsidRPr="00B5774D">
        <w:rPr>
          <w:rFonts w:ascii="Arial" w:hAnsi="Arial" w:cs="Arial"/>
          <w:vertAlign w:val="superscript"/>
          <w:lang w:val="es-MX"/>
        </w:rPr>
        <w:footnoteReference w:id="6"/>
      </w:r>
      <w:r w:rsidRPr="00B5774D">
        <w:rPr>
          <w:rFonts w:ascii="Arial" w:hAnsi="Arial" w:cs="Arial"/>
          <w:lang w:val="es-MX"/>
        </w:rPr>
        <w:t>. Conforme a esto, la doctrina explica que:</w:t>
      </w:r>
    </w:p>
    <w:p w14:paraId="2E446E50" w14:textId="77777777" w:rsidR="00A2709D" w:rsidRPr="00B5774D" w:rsidRDefault="00A2709D" w:rsidP="00A2709D">
      <w:pPr>
        <w:spacing w:after="0" w:line="276" w:lineRule="auto"/>
        <w:ind w:firstLine="709"/>
        <w:jc w:val="both"/>
        <w:rPr>
          <w:rFonts w:ascii="Arial" w:hAnsi="Arial" w:cs="Arial"/>
          <w:lang w:val="es-MX"/>
        </w:rPr>
      </w:pPr>
    </w:p>
    <w:p w14:paraId="38C7F7D9" w14:textId="2BF4FC49" w:rsidR="00A2709D" w:rsidRDefault="00A2709D" w:rsidP="00B71D07">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707F3A08" w14:textId="77777777" w:rsidR="00813EDC" w:rsidRPr="00B5774D" w:rsidRDefault="00813EDC" w:rsidP="00B71D07">
      <w:pPr>
        <w:spacing w:after="0" w:line="240" w:lineRule="auto"/>
        <w:ind w:left="709" w:right="709"/>
        <w:jc w:val="both"/>
        <w:rPr>
          <w:rFonts w:ascii="Arial" w:hAnsi="Arial" w:cs="Arial"/>
          <w:sz w:val="21"/>
          <w:szCs w:val="21"/>
          <w:lang w:val="es-MX"/>
        </w:rPr>
      </w:pPr>
    </w:p>
    <w:p w14:paraId="6A7C03F1" w14:textId="77777777" w:rsidR="00A2709D" w:rsidRPr="00B5774D" w:rsidRDefault="00A2709D" w:rsidP="00B71D07">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88F6743" w14:textId="77777777" w:rsidR="00813EDC" w:rsidRDefault="00813EDC" w:rsidP="00B71D07">
      <w:pPr>
        <w:spacing w:after="0" w:line="240" w:lineRule="auto"/>
        <w:ind w:left="709" w:right="709"/>
        <w:jc w:val="both"/>
        <w:rPr>
          <w:rFonts w:ascii="Arial" w:hAnsi="Arial" w:cs="Arial"/>
          <w:sz w:val="21"/>
          <w:szCs w:val="21"/>
          <w:lang w:val="es-MX"/>
        </w:rPr>
      </w:pPr>
    </w:p>
    <w:p w14:paraId="32B012A9" w14:textId="3BC6B475" w:rsidR="00A2709D" w:rsidRDefault="00A2709D" w:rsidP="00813EDC">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w:t>
      </w:r>
    </w:p>
    <w:p w14:paraId="5105B602" w14:textId="77777777" w:rsidR="00813EDC" w:rsidRPr="00B5774D" w:rsidRDefault="00813EDC" w:rsidP="00B71D07">
      <w:pPr>
        <w:spacing w:after="0" w:line="240" w:lineRule="auto"/>
        <w:ind w:left="709" w:right="709"/>
        <w:jc w:val="both"/>
        <w:rPr>
          <w:rFonts w:ascii="Arial" w:hAnsi="Arial" w:cs="Arial"/>
          <w:sz w:val="21"/>
          <w:szCs w:val="21"/>
          <w:lang w:val="es-MX"/>
        </w:rPr>
      </w:pPr>
    </w:p>
    <w:p w14:paraId="1C9D2F70" w14:textId="201EC9D5" w:rsidR="0083383D" w:rsidRPr="00B5774D" w:rsidRDefault="00A2709D" w:rsidP="00B71D07">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B5774D">
        <w:rPr>
          <w:rFonts w:ascii="Arial" w:hAnsi="Arial" w:cs="Arial"/>
          <w:sz w:val="21"/>
          <w:szCs w:val="21"/>
          <w:vertAlign w:val="superscript"/>
          <w:lang w:val="es-MX"/>
        </w:rPr>
        <w:footnoteReference w:id="7"/>
      </w:r>
      <w:r w:rsidRPr="00B5774D">
        <w:rPr>
          <w:rFonts w:ascii="Arial" w:hAnsi="Arial" w:cs="Arial"/>
          <w:sz w:val="21"/>
          <w:szCs w:val="21"/>
          <w:lang w:val="es-MX"/>
        </w:rPr>
        <w:t>.</w:t>
      </w:r>
    </w:p>
    <w:p w14:paraId="78395FE7" w14:textId="77777777" w:rsidR="005156E7" w:rsidRPr="00B5774D" w:rsidRDefault="005156E7" w:rsidP="005156E7">
      <w:pPr>
        <w:spacing w:after="0" w:line="276" w:lineRule="auto"/>
        <w:ind w:firstLine="709"/>
        <w:jc w:val="both"/>
        <w:rPr>
          <w:rFonts w:ascii="Arial" w:hAnsi="Arial" w:cs="Arial"/>
          <w:lang w:val="es-ES_tradnl"/>
        </w:rPr>
      </w:pPr>
    </w:p>
    <w:p w14:paraId="46415FC5" w14:textId="77777777" w:rsidR="00A2709D" w:rsidRPr="00B5774D" w:rsidRDefault="00A2709D" w:rsidP="00A2709D">
      <w:pPr>
        <w:spacing w:after="0" w:line="276" w:lineRule="auto"/>
        <w:ind w:firstLine="709"/>
        <w:jc w:val="both"/>
        <w:rPr>
          <w:rFonts w:ascii="Arial" w:hAnsi="Arial" w:cs="Arial"/>
          <w:lang w:val="es-MX"/>
        </w:rPr>
      </w:pPr>
      <w:r w:rsidRPr="00B5774D">
        <w:rPr>
          <w:rFonts w:ascii="Arial" w:hAnsi="Arial" w:cs="Arial"/>
          <w:lang w:val="es-MX"/>
        </w:rPr>
        <w:lastRenderedPageBreak/>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5503EC25" w14:textId="1BDD5E31"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En ese sentido, la asignación de puntaje es un mecanismo mediante el cual las entidades ponderan los factores de calificación ꟷ</w:t>
      </w:r>
      <w:r w:rsidRPr="00B5774D">
        <w:rPr>
          <w:rFonts w:ascii="Arial" w:hAnsi="Arial" w:cs="Arial"/>
          <w:i/>
          <w:lang w:val="es-MX"/>
        </w:rPr>
        <w:t>v.g.</w:t>
      </w:r>
      <w:r w:rsidRPr="00B5774D">
        <w:rPr>
          <w:rFonts w:ascii="Arial" w:hAnsi="Arial" w:cs="Arial"/>
          <w:lang w:val="es-MX"/>
        </w:rPr>
        <w:t xml:space="preserve"> técnicos y económicos, de calidad y precio, etc.ꟷ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pues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128730A5" w14:textId="167335C6"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 xml:space="preserve">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w:t>
      </w:r>
      <w:r w:rsidRPr="00B5774D">
        <w:rPr>
          <w:rFonts w:ascii="Arial" w:hAnsi="Arial" w:cs="Arial"/>
          <w:lang w:val="es-MX"/>
        </w:rPr>
        <w:lastRenderedPageBreak/>
        <w:t>costo-beneficio para la Entidad Estatal es la de la oferta que una vez aplicada la metodología anterior tenga el resultado más bajo […]»</w:t>
      </w:r>
      <w:r w:rsidRPr="00B5774D">
        <w:rPr>
          <w:rFonts w:ascii="Arial" w:hAnsi="Arial" w:cs="Arial"/>
          <w:vertAlign w:val="superscript"/>
          <w:lang w:val="es-MX"/>
        </w:rPr>
        <w:footnoteReference w:id="8"/>
      </w:r>
      <w:r w:rsidRPr="00B5774D">
        <w:rPr>
          <w:rFonts w:ascii="Arial" w:hAnsi="Arial" w:cs="Arial"/>
          <w:lang w:val="es-MX"/>
        </w:rPr>
        <w:t>.</w:t>
      </w:r>
    </w:p>
    <w:p w14:paraId="6761DE50" w14:textId="77777777" w:rsidR="00A2709D" w:rsidRPr="00B5774D" w:rsidRDefault="00A2709D" w:rsidP="0060468B">
      <w:pPr>
        <w:spacing w:before="120" w:after="0" w:line="276" w:lineRule="auto"/>
        <w:ind w:firstLine="709"/>
        <w:jc w:val="both"/>
        <w:rPr>
          <w:rFonts w:ascii="Arial" w:hAnsi="Arial" w:cs="Arial"/>
          <w:lang w:val="es-MX"/>
        </w:rPr>
      </w:pPr>
      <w:r w:rsidRPr="00B5774D">
        <w:rPr>
          <w:rFonts w:ascii="Arial" w:hAnsi="Arial" w:cs="Arial"/>
          <w:lang w:val="es-MX"/>
        </w:rPr>
        <w:t>Conforme a lo anterior,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309AA1FE" w14:textId="77777777"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 xml:space="preserve">Retomando otros fundamentos jurídicos del deber de «selección objetiva» distintos al artículo 5 de la Ley 1150 de 2007, la Ley 80 de 1993 se refiere a ella en varios apartados, como: i) el primer inciso del artículo 21, que obliga a las entidades estatales a tener en cuenta la selección objetiva, al garantizar la participación de los oferentes de bienes y servicios de origen nacional, ii) el artículo 24, numeral 5º, literal a), que manda que en los </w:t>
      </w:r>
      <w:r w:rsidRPr="00B5774D">
        <w:rPr>
          <w:rFonts w:ascii="Arial" w:hAnsi="Arial" w:cs="Arial"/>
          <w:lang w:val="es-MX"/>
        </w:rPr>
        <w:lastRenderedPageBreak/>
        <w:t xml:space="preserve">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37455B93" w14:textId="77777777"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 ii)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7AD6E91F" w14:textId="77777777"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 xml:space="preserve">La jurisprudencia también ha reconocido la preponderancia de este deber en la etapa precontractual, indicando que su garantía es imprescindible para satisfacer </w:t>
      </w:r>
      <w:r w:rsidRPr="00B5774D">
        <w:rPr>
          <w:rFonts w:ascii="Arial" w:hAnsi="Arial" w:cs="Arial"/>
          <w:lang w:val="es-MX"/>
        </w:rPr>
        <w:lastRenderedPageBreak/>
        <w:t>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B5774D">
        <w:rPr>
          <w:rFonts w:ascii="Arial" w:hAnsi="Arial" w:cs="Arial"/>
          <w:vertAlign w:val="superscript"/>
          <w:lang w:val="es-MX"/>
        </w:rPr>
        <w:footnoteReference w:id="9"/>
      </w:r>
      <w:r w:rsidRPr="00B5774D">
        <w:rPr>
          <w:rFonts w:ascii="Arial" w:hAnsi="Arial" w:cs="Arial"/>
          <w:lang w:val="es-MX"/>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B5774D">
        <w:rPr>
          <w:rFonts w:ascii="Arial" w:hAnsi="Arial" w:cs="Arial"/>
          <w:vertAlign w:val="superscript"/>
          <w:lang w:val="es-MX"/>
        </w:rPr>
        <w:footnoteReference w:id="10"/>
      </w:r>
      <w:r w:rsidRPr="00B5774D">
        <w:rPr>
          <w:rFonts w:ascii="Arial" w:hAnsi="Arial" w:cs="Arial"/>
          <w:lang w:val="es-MX"/>
        </w:rPr>
        <w:t>.</w:t>
      </w:r>
    </w:p>
    <w:p w14:paraId="21BA387C" w14:textId="77777777" w:rsidR="00A2709D" w:rsidRPr="00B5774D" w:rsidRDefault="00A2709D" w:rsidP="00A2709D">
      <w:pPr>
        <w:spacing w:before="120" w:after="0" w:line="276" w:lineRule="auto"/>
        <w:ind w:firstLine="709"/>
        <w:jc w:val="both"/>
        <w:rPr>
          <w:rFonts w:ascii="Arial" w:hAnsi="Arial" w:cs="Arial"/>
          <w:lang w:val="es-MX"/>
        </w:rPr>
      </w:pPr>
      <w:r w:rsidRPr="00B5774D">
        <w:rPr>
          <w:rFonts w:ascii="Arial" w:hAnsi="Arial" w:cs="Arial"/>
          <w:lang w:val="es-MX"/>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0149C6B0" w14:textId="77777777" w:rsidR="005156E7" w:rsidRPr="00B5774D" w:rsidRDefault="005156E7" w:rsidP="00A2709D">
      <w:pPr>
        <w:spacing w:after="0" w:line="276" w:lineRule="auto"/>
        <w:jc w:val="both"/>
        <w:rPr>
          <w:rFonts w:ascii="Arial" w:hAnsi="Arial" w:cs="Arial"/>
          <w:b/>
          <w:bCs/>
        </w:rPr>
      </w:pPr>
    </w:p>
    <w:p w14:paraId="0EB8C2B3" w14:textId="60CE342E" w:rsidR="005156E7" w:rsidRPr="00B5774D" w:rsidRDefault="005156E7" w:rsidP="005156E7">
      <w:pPr>
        <w:spacing w:after="0" w:line="276" w:lineRule="auto"/>
        <w:jc w:val="both"/>
        <w:rPr>
          <w:rFonts w:ascii="Arial" w:hAnsi="Arial" w:cs="Arial"/>
          <w:b/>
          <w:bCs/>
          <w:lang w:val="es-MX"/>
        </w:rPr>
      </w:pPr>
      <w:r w:rsidRPr="00B5774D">
        <w:rPr>
          <w:rFonts w:ascii="Arial" w:hAnsi="Arial" w:cs="Arial"/>
          <w:b/>
          <w:bCs/>
        </w:rPr>
        <w:t xml:space="preserve">2.2. </w:t>
      </w:r>
      <w:r w:rsidR="00A2709D" w:rsidRPr="00B5774D">
        <w:rPr>
          <w:rFonts w:ascii="Arial" w:hAnsi="Arial" w:cs="Arial"/>
          <w:b/>
          <w:bCs/>
          <w:lang w:val="es-MX"/>
        </w:rPr>
        <w:t>Alcance de la regla de la subsanabilidad de las ofertas en los procedimientos de selección</w:t>
      </w:r>
      <w:r w:rsidR="00373943">
        <w:rPr>
          <w:rFonts w:ascii="Arial" w:hAnsi="Arial" w:cs="Arial"/>
          <w:b/>
          <w:bCs/>
          <w:lang w:val="es-MX"/>
        </w:rPr>
        <w:t>.</w:t>
      </w:r>
      <w:r w:rsidR="00F11EC4" w:rsidRPr="00F11EC4">
        <w:rPr>
          <w:rFonts w:ascii="Arial" w:hAnsi="Arial" w:cs="Arial"/>
          <w:bCs/>
          <w:lang w:val="es-ES_tradnl"/>
        </w:rPr>
        <w:t xml:space="preserve"> </w:t>
      </w:r>
      <w:r w:rsidR="00F11EC4" w:rsidRPr="00F11EC4">
        <w:rPr>
          <w:rFonts w:ascii="Arial" w:hAnsi="Arial" w:cs="Arial"/>
          <w:b/>
          <w:lang w:val="es-ES_tradnl"/>
        </w:rPr>
        <w:t>Reiteración del</w:t>
      </w:r>
      <w:r w:rsidR="00F11EC4">
        <w:rPr>
          <w:rFonts w:ascii="Arial" w:hAnsi="Arial" w:cs="Arial"/>
          <w:bCs/>
          <w:lang w:val="es-ES_tradnl"/>
        </w:rPr>
        <w:t xml:space="preserve"> </w:t>
      </w:r>
      <w:r w:rsidR="00F11EC4" w:rsidRPr="00F11EC4">
        <w:rPr>
          <w:rFonts w:ascii="Arial" w:hAnsi="Arial" w:cs="Arial"/>
          <w:b/>
          <w:bCs/>
          <w:lang w:val="es-ES_tradnl"/>
        </w:rPr>
        <w:t>concepto</w:t>
      </w:r>
      <w:r w:rsidR="00F11EC4" w:rsidRPr="00F11EC4">
        <w:rPr>
          <w:rFonts w:ascii="Arial" w:hAnsi="Arial" w:cs="Arial"/>
          <w:b/>
          <w:bCs/>
          <w:lang w:val="es-MX"/>
        </w:rPr>
        <w:t xml:space="preserve"> CU —060 de 16 de enero de 202</w:t>
      </w:r>
      <w:r w:rsidR="00B71D07">
        <w:rPr>
          <w:rFonts w:ascii="Arial" w:hAnsi="Arial" w:cs="Arial"/>
          <w:b/>
          <w:bCs/>
          <w:lang w:val="es-MX"/>
        </w:rPr>
        <w:t>0</w:t>
      </w:r>
    </w:p>
    <w:p w14:paraId="6111FFC1" w14:textId="77777777" w:rsidR="005156E7" w:rsidRPr="00B5774D" w:rsidRDefault="005156E7" w:rsidP="005156E7">
      <w:pPr>
        <w:spacing w:after="0" w:line="276" w:lineRule="auto"/>
        <w:jc w:val="both"/>
        <w:rPr>
          <w:rFonts w:ascii="Arial" w:hAnsi="Arial" w:cs="Arial"/>
        </w:rPr>
      </w:pPr>
    </w:p>
    <w:p w14:paraId="03CF148E" w14:textId="7C5EB544" w:rsidR="00DF3FAF" w:rsidRPr="00B5774D" w:rsidRDefault="00614848" w:rsidP="00614848">
      <w:pPr>
        <w:spacing w:after="0" w:line="276" w:lineRule="auto"/>
        <w:jc w:val="both"/>
        <w:rPr>
          <w:rFonts w:ascii="Arial" w:hAnsi="Arial" w:cs="Arial"/>
          <w:lang w:val="es-MX"/>
        </w:rPr>
      </w:pPr>
      <w:r w:rsidRPr="00B5774D">
        <w:rPr>
          <w:rFonts w:ascii="Arial" w:hAnsi="Arial" w:cs="Arial"/>
          <w:lang w:val="es-MX"/>
        </w:rPr>
        <w:t>Esta Subdirección se ha pronunciado en diversas oportunidades acerca del alcance de la regla de la subsanabilidad, contenida actualmente en el artículo 5 de la Ley 1150 de 2007. En efecto, la Agencia Nacional de Contratación Pública – Colombia Compra Eficiente, en el concepto CU</w:t>
      </w:r>
      <w:r w:rsidR="0060468B">
        <w:rPr>
          <w:rFonts w:ascii="Arial" w:hAnsi="Arial" w:cs="Arial"/>
          <w:lang w:val="es-MX"/>
        </w:rPr>
        <w:t>–</w:t>
      </w:r>
      <w:r w:rsidRPr="00B5774D">
        <w:rPr>
          <w:rFonts w:ascii="Arial" w:hAnsi="Arial" w:cs="Arial"/>
          <w:lang w:val="es-MX"/>
        </w:rPr>
        <w:t>060 de 16 de enero de 2020, unificó el concepto de la Agencia Nacional de Contratación Pública – Colombia Compra Eficiente en torno al alcance de la regla de la subsanabilidad, contenida actualmente en el artículo 5 de la Ley 1150 de 2007</w:t>
      </w:r>
      <w:r w:rsidRPr="00B5774D">
        <w:rPr>
          <w:rStyle w:val="Refdenotaalpie"/>
          <w:rFonts w:ascii="Arial" w:hAnsi="Arial" w:cs="Arial"/>
          <w:lang w:val="es-MX"/>
        </w:rPr>
        <w:footnoteReference w:id="11"/>
      </w:r>
      <w:r w:rsidR="00DF3FAF" w:rsidRPr="00B5774D">
        <w:rPr>
          <w:rFonts w:ascii="Arial" w:hAnsi="Arial" w:cs="Arial"/>
          <w:lang w:val="es-MX"/>
        </w:rPr>
        <w:t xml:space="preserve">. Las consideraciones de este concepto se reiterarán, sin perjuicio del análisis jurisprudencial que se realizará en torno a las distintas posturas que se han desarrollado en el Consejo de Estado, teniendo en cuenta el objeto de la consulta. </w:t>
      </w:r>
    </w:p>
    <w:p w14:paraId="5DCAEC2D" w14:textId="585CEF82" w:rsidR="00614848" w:rsidRPr="00B5774D" w:rsidRDefault="00614848" w:rsidP="00DF3FAF">
      <w:pPr>
        <w:spacing w:before="120" w:after="0" w:line="276" w:lineRule="auto"/>
        <w:ind w:firstLine="851"/>
        <w:jc w:val="both"/>
        <w:rPr>
          <w:rFonts w:ascii="Arial" w:hAnsi="Arial" w:cs="Arial"/>
          <w:lang w:val="es-MX"/>
        </w:rPr>
      </w:pPr>
      <w:r w:rsidRPr="00B5774D">
        <w:rPr>
          <w:rFonts w:ascii="Arial" w:hAnsi="Arial" w:cs="Arial"/>
          <w:lang w:val="es-MX"/>
        </w:rPr>
        <w:t xml:space="preserve">Según se </w:t>
      </w:r>
      <w:r w:rsidR="00DF3FAF" w:rsidRPr="00B5774D">
        <w:rPr>
          <w:rFonts w:ascii="Arial" w:hAnsi="Arial" w:cs="Arial"/>
          <w:lang w:val="es-MX"/>
        </w:rPr>
        <w:t>expuso en el concepto CU</w:t>
      </w:r>
      <w:r w:rsidR="0060468B">
        <w:rPr>
          <w:rFonts w:ascii="Arial" w:hAnsi="Arial" w:cs="Arial"/>
          <w:lang w:val="es-MX"/>
        </w:rPr>
        <w:t>–</w:t>
      </w:r>
      <w:r w:rsidR="00DF3FAF" w:rsidRPr="00B5774D">
        <w:rPr>
          <w:rFonts w:ascii="Arial" w:hAnsi="Arial" w:cs="Arial"/>
          <w:lang w:val="es-MX"/>
        </w:rPr>
        <w:t>060 de 16 de enero de 2020</w:t>
      </w:r>
      <w:r w:rsidRPr="00B5774D">
        <w:rPr>
          <w:rFonts w:ascii="Arial" w:hAnsi="Arial" w:cs="Arial"/>
          <w:lang w:val="es-MX"/>
        </w:rPr>
        <w:t xml:space="preserv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03AE0353" w14:textId="77777777" w:rsidR="00DF3FAF" w:rsidRPr="00B5774D" w:rsidRDefault="00DF3FAF" w:rsidP="00DF3FAF">
      <w:pPr>
        <w:spacing w:before="120" w:after="0" w:line="276" w:lineRule="auto"/>
        <w:ind w:firstLine="851"/>
        <w:jc w:val="both"/>
        <w:rPr>
          <w:rFonts w:ascii="Arial" w:hAnsi="Arial" w:cs="Arial"/>
          <w:lang w:val="es-ES_tradnl"/>
        </w:rPr>
      </w:pPr>
      <w:r w:rsidRPr="00B5774D">
        <w:rPr>
          <w:rFonts w:ascii="Arial" w:hAnsi="Arial" w:cs="Arial"/>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45C249C3" w14:textId="77777777" w:rsidR="00DF3FAF" w:rsidRPr="00B5774D" w:rsidRDefault="00DF3FAF" w:rsidP="00DF3FAF">
      <w:pPr>
        <w:spacing w:before="120" w:after="0" w:line="276" w:lineRule="auto"/>
        <w:ind w:firstLine="851"/>
        <w:jc w:val="both"/>
        <w:rPr>
          <w:rFonts w:ascii="Arial" w:hAnsi="Arial" w:cs="Arial"/>
          <w:lang w:val="es-ES_tradnl"/>
        </w:rPr>
      </w:pPr>
      <w:r w:rsidRPr="00B5774D">
        <w:rPr>
          <w:rFonts w:ascii="Arial" w:hAnsi="Arial" w:cs="Arial"/>
          <w:lang w:val="es-ES_tradnl"/>
        </w:rPr>
        <w:t xml:space="preserve">En un </w:t>
      </w:r>
      <w:r w:rsidRPr="00B5774D">
        <w:rPr>
          <w:rFonts w:ascii="Arial" w:hAnsi="Arial" w:cs="Arial"/>
          <w:i/>
          <w:lang w:val="es-ES_tradnl"/>
        </w:rPr>
        <w:t>primer momento</w:t>
      </w:r>
      <w:r w:rsidRPr="00B5774D">
        <w:rPr>
          <w:rFonts w:ascii="Arial" w:hAnsi="Arial" w:cs="Arial"/>
          <w:lang w:val="es-ES_tradnl"/>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994AA09" w14:textId="77777777" w:rsidR="00DF3FAF" w:rsidRPr="00B5774D" w:rsidRDefault="00DF3FAF" w:rsidP="00DF3FAF">
      <w:pPr>
        <w:spacing w:before="120" w:after="0" w:line="276" w:lineRule="auto"/>
        <w:ind w:firstLine="851"/>
        <w:jc w:val="both"/>
        <w:rPr>
          <w:rFonts w:ascii="Arial" w:hAnsi="Arial" w:cs="Arial"/>
          <w:lang w:val="es-ES_tradnl"/>
        </w:rPr>
      </w:pPr>
      <w:r w:rsidRPr="00B5774D">
        <w:rPr>
          <w:rFonts w:ascii="Arial" w:hAnsi="Arial" w:cs="Arial"/>
          <w:lang w:val="es-ES_tradnl"/>
        </w:rPr>
        <w:t xml:space="preserve">En un </w:t>
      </w:r>
      <w:r w:rsidRPr="00B5774D">
        <w:rPr>
          <w:rFonts w:ascii="Arial" w:hAnsi="Arial" w:cs="Arial"/>
          <w:i/>
          <w:lang w:val="es-ES_tradnl"/>
        </w:rPr>
        <w:t>segundo momento</w:t>
      </w:r>
      <w:r w:rsidRPr="00B5774D">
        <w:rPr>
          <w:rFonts w:ascii="Arial" w:hAnsi="Arial" w:cs="Arial"/>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14:paraId="674C0032" w14:textId="2F72D076" w:rsidR="00DF3FAF" w:rsidRPr="00B5774D" w:rsidRDefault="00DF3FAF" w:rsidP="00DF3FAF">
      <w:pPr>
        <w:spacing w:before="120" w:after="0" w:line="276" w:lineRule="auto"/>
        <w:ind w:firstLine="851"/>
        <w:jc w:val="both"/>
        <w:rPr>
          <w:rFonts w:ascii="Arial" w:hAnsi="Arial" w:cs="Arial"/>
          <w:lang w:val="es-ES_tradnl"/>
        </w:rPr>
      </w:pPr>
      <w:r w:rsidRPr="00B5774D">
        <w:rPr>
          <w:rFonts w:ascii="Arial" w:hAnsi="Arial" w:cs="Arial"/>
          <w:lang w:val="es-ES_tradnl"/>
        </w:rPr>
        <w:lastRenderedPageBreak/>
        <w:t xml:space="preserve">En este nuevo escenario constitucional, el numeral 15 del artículo 25 de la Ley 80 de 1993 dispuso lo siguiente: </w:t>
      </w:r>
    </w:p>
    <w:p w14:paraId="62B40273" w14:textId="77777777" w:rsidR="00DF3FAF" w:rsidRPr="00B5774D" w:rsidRDefault="00DF3FAF" w:rsidP="00DF3FAF">
      <w:pPr>
        <w:spacing w:after="0" w:line="276" w:lineRule="auto"/>
        <w:ind w:firstLine="851"/>
        <w:jc w:val="both"/>
        <w:rPr>
          <w:rFonts w:ascii="Arial" w:hAnsi="Arial" w:cs="Arial"/>
          <w:lang w:val="es-ES_tradnl"/>
        </w:rPr>
      </w:pPr>
    </w:p>
    <w:p w14:paraId="2FBB7188" w14:textId="77777777" w:rsidR="00DF3FAF" w:rsidRPr="00B71D07" w:rsidRDefault="00DF3FAF" w:rsidP="00B71D07">
      <w:pPr>
        <w:spacing w:after="0" w:line="240" w:lineRule="auto"/>
        <w:ind w:left="709" w:right="709"/>
        <w:jc w:val="both"/>
        <w:rPr>
          <w:rFonts w:ascii="Arial" w:hAnsi="Arial" w:cs="Arial"/>
          <w:sz w:val="21"/>
          <w:szCs w:val="21"/>
          <w:lang w:val="es-ES_tradnl"/>
        </w:rPr>
      </w:pPr>
      <w:r w:rsidRPr="00B71D07">
        <w:rPr>
          <w:rFonts w:ascii="Arial" w:hAnsi="Arial"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44FF3810" w14:textId="77777777" w:rsidR="00DF3FAF" w:rsidRPr="00B71D07" w:rsidRDefault="00DF3FAF" w:rsidP="00B71D07">
      <w:pPr>
        <w:spacing w:after="0" w:line="240" w:lineRule="auto"/>
        <w:ind w:left="709" w:right="709"/>
        <w:jc w:val="both"/>
        <w:rPr>
          <w:rFonts w:ascii="Arial" w:hAnsi="Arial" w:cs="Arial"/>
          <w:sz w:val="21"/>
          <w:szCs w:val="21"/>
          <w:lang w:val="es-ES_tradnl"/>
        </w:rPr>
      </w:pPr>
      <w:r w:rsidRPr="00B71D07">
        <w:rPr>
          <w:rFonts w:ascii="Arial" w:hAnsi="Arial" w:cs="Arial"/>
          <w:sz w:val="21"/>
          <w:szCs w:val="21"/>
          <w:lang w:val="es-ES_tradnl"/>
        </w:rPr>
        <w:t xml:space="preserve"> </w:t>
      </w:r>
    </w:p>
    <w:p w14:paraId="0E16867F" w14:textId="0DCE6E02" w:rsidR="00DF3FAF" w:rsidRPr="00B71D07" w:rsidRDefault="00DF3FAF" w:rsidP="00B71D07">
      <w:pPr>
        <w:spacing w:after="0" w:line="240" w:lineRule="auto"/>
        <w:ind w:left="709" w:right="709"/>
        <w:jc w:val="both"/>
        <w:rPr>
          <w:rFonts w:ascii="Arial" w:hAnsi="Arial" w:cs="Arial"/>
          <w:sz w:val="21"/>
          <w:szCs w:val="21"/>
          <w:lang w:val="es-ES_tradnl"/>
        </w:rPr>
      </w:pPr>
      <w:r w:rsidRPr="00B71D07">
        <w:rPr>
          <w:rFonts w:ascii="Arial" w:hAnsi="Arial" w:cs="Arial"/>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435EF2D5" w14:textId="77777777" w:rsidR="007A5C16" w:rsidRPr="00B5774D" w:rsidRDefault="007A5C16" w:rsidP="00DF3FAF">
      <w:pPr>
        <w:spacing w:after="0" w:line="276" w:lineRule="auto"/>
        <w:ind w:left="709" w:right="709"/>
        <w:jc w:val="both"/>
        <w:rPr>
          <w:rFonts w:ascii="Arial" w:hAnsi="Arial" w:cs="Arial"/>
          <w:lang w:val="es-ES_tradnl"/>
        </w:rPr>
      </w:pPr>
    </w:p>
    <w:p w14:paraId="19E56A85" w14:textId="77777777" w:rsidR="00DF3FAF" w:rsidRPr="00B5774D" w:rsidRDefault="00DF3FAF" w:rsidP="007A5C16">
      <w:pPr>
        <w:spacing w:before="120" w:after="0" w:line="276" w:lineRule="auto"/>
        <w:ind w:firstLine="709"/>
        <w:jc w:val="both"/>
        <w:rPr>
          <w:rFonts w:ascii="Arial" w:hAnsi="Arial" w:cs="Arial"/>
          <w:lang w:val="es-ES_tradnl"/>
        </w:rPr>
      </w:pPr>
      <w:r w:rsidRPr="00B5774D">
        <w:rPr>
          <w:rFonts w:ascii="Arial" w:hAnsi="Arial" w:cs="Arial"/>
          <w:lang w:val="es-ES_tradnl"/>
        </w:rPr>
        <w:t>Bajo el amparo de esta norma, el régimen jurídico de subsanabilidad de las ofertas sufre un cambio fundamental, pues ya no era posible rechazar las ofertas por falta de requisitos o documentos que no fueran “</w:t>
      </w:r>
      <w:r w:rsidRPr="00B5774D">
        <w:rPr>
          <w:rFonts w:ascii="Arial" w:hAnsi="Arial" w:cs="Arial"/>
          <w:i/>
          <w:lang w:val="es-ES_tradnl"/>
        </w:rPr>
        <w:t>necesarios para la comparación de propuestas</w:t>
      </w:r>
      <w:r w:rsidRPr="00B5774D">
        <w:rPr>
          <w:rFonts w:ascii="Arial" w:hAnsi="Arial"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1342A3D" w14:textId="77777777" w:rsidR="00DF3FAF" w:rsidRPr="00B5774D" w:rsidRDefault="00DF3FAF" w:rsidP="00DF3FAF">
      <w:pPr>
        <w:spacing w:before="120" w:after="0" w:line="276" w:lineRule="auto"/>
        <w:ind w:firstLine="851"/>
        <w:jc w:val="both"/>
        <w:rPr>
          <w:rFonts w:ascii="Arial" w:hAnsi="Arial" w:cs="Arial"/>
          <w:lang w:val="es-ES_tradnl"/>
        </w:rPr>
      </w:pPr>
      <w:r w:rsidRPr="00B5774D">
        <w:rPr>
          <w:rFonts w:ascii="Arial" w:hAnsi="Arial" w:cs="Arial"/>
          <w:lang w:val="es-ES_tradnl"/>
        </w:rPr>
        <w:t>Esta norma debía leerse en conjunto con otras de la Ley 80 de 1993, particularmente con el artículo 30.7</w:t>
      </w:r>
      <w:r w:rsidRPr="00B5774D">
        <w:rPr>
          <w:rFonts w:ascii="Arial" w:hAnsi="Arial" w:cs="Arial"/>
          <w:vertAlign w:val="superscript"/>
          <w:lang w:val="es-ES_tradnl"/>
        </w:rPr>
        <w:footnoteReference w:id="12"/>
      </w:r>
      <w:r w:rsidRPr="00B5774D">
        <w:rPr>
          <w:rFonts w:ascii="Arial" w:hAnsi="Arial" w:cs="Arial"/>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B5774D">
        <w:rPr>
          <w:rFonts w:ascii="Arial" w:hAnsi="Arial" w:cs="Arial"/>
          <w:vertAlign w:val="superscript"/>
          <w:lang w:val="es-ES_tradnl"/>
        </w:rPr>
        <w:footnoteReference w:id="13"/>
      </w:r>
      <w:r w:rsidRPr="00B5774D">
        <w:rPr>
          <w:rFonts w:ascii="Arial" w:hAnsi="Arial" w:cs="Arial"/>
          <w:lang w:val="es-ES_tradnl"/>
        </w:rPr>
        <w:t xml:space="preserve">, que consagró el término de 5 días hábiles para que los oferentes presenten observaciones al informe de evaluación de las propuestas, sin que sea posible completar, adicionar, modificar o mejorar la oferta.  </w:t>
      </w:r>
    </w:p>
    <w:p w14:paraId="1945294C" w14:textId="77777777" w:rsidR="00DF3FAF" w:rsidRPr="00B5774D" w:rsidRDefault="00DF3FAF" w:rsidP="00DF3FAF">
      <w:pPr>
        <w:spacing w:before="120" w:after="0" w:line="276" w:lineRule="auto"/>
        <w:ind w:firstLine="851"/>
        <w:jc w:val="both"/>
        <w:rPr>
          <w:rFonts w:ascii="Arial" w:hAnsi="Arial" w:cs="Arial"/>
          <w:lang w:val="es-ES_tradnl"/>
        </w:rPr>
      </w:pPr>
      <w:r w:rsidRPr="00B5774D">
        <w:rPr>
          <w:rFonts w:ascii="Arial" w:hAnsi="Arial" w:cs="Arial"/>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6F9AE819" w14:textId="5BB0D6DE" w:rsidR="005156E7" w:rsidRPr="00B5774D" w:rsidRDefault="00DF3FAF" w:rsidP="00DF3FAF">
      <w:pPr>
        <w:spacing w:before="120" w:after="0" w:line="276" w:lineRule="auto"/>
        <w:ind w:firstLine="851"/>
        <w:jc w:val="both"/>
        <w:rPr>
          <w:rFonts w:ascii="Arial" w:hAnsi="Arial" w:cs="Arial"/>
          <w:lang w:val="es-ES_tradnl"/>
        </w:rPr>
      </w:pPr>
      <w:r w:rsidRPr="00B5774D">
        <w:rPr>
          <w:rFonts w:ascii="Arial" w:hAnsi="Arial" w:cs="Arial"/>
          <w:lang w:val="es-ES_tradnl"/>
        </w:rPr>
        <w:lastRenderedPageBreak/>
        <w:t xml:space="preserve">En un </w:t>
      </w:r>
      <w:r w:rsidRPr="00B5774D">
        <w:rPr>
          <w:rFonts w:ascii="Arial" w:hAnsi="Arial" w:cs="Arial"/>
          <w:i/>
          <w:lang w:val="es-ES_tradnl"/>
        </w:rPr>
        <w:t>tercer momento</w:t>
      </w:r>
      <w:r w:rsidRPr="00B5774D">
        <w:rPr>
          <w:rFonts w:ascii="Arial" w:hAnsi="Arial" w:cs="Arial"/>
          <w:lang w:val="es-ES_tradnl"/>
        </w:rPr>
        <w:t xml:space="preserve">, y siguiendo la línea trazada por la Ley 80 de 1993, el legislador expidió la Ley 1150 de 2007, que, en el parágrafo 1º del artículo 5, determinó lo siguiente: </w:t>
      </w:r>
    </w:p>
    <w:p w14:paraId="2A2FDE23" w14:textId="77777777" w:rsidR="007A5C16" w:rsidRPr="00B5774D" w:rsidRDefault="007A5C16" w:rsidP="00DF3FAF">
      <w:pPr>
        <w:spacing w:before="120" w:after="0" w:line="276" w:lineRule="auto"/>
        <w:ind w:firstLine="851"/>
        <w:jc w:val="both"/>
        <w:rPr>
          <w:rFonts w:ascii="Arial" w:hAnsi="Arial" w:cs="Arial"/>
          <w:lang w:val="es-ES_tradnl"/>
        </w:rPr>
      </w:pPr>
    </w:p>
    <w:p w14:paraId="5AC4F393" w14:textId="29FC9FDF" w:rsidR="00DF3FAF" w:rsidRPr="00B5774D" w:rsidRDefault="00DF3FAF" w:rsidP="00DF3FAF">
      <w:pPr>
        <w:spacing w:after="0" w:line="240" w:lineRule="auto"/>
        <w:ind w:left="709" w:right="709"/>
        <w:jc w:val="both"/>
        <w:rPr>
          <w:rFonts w:ascii="Arial" w:hAnsi="Arial" w:cs="Arial"/>
          <w:sz w:val="21"/>
          <w:szCs w:val="21"/>
          <w:lang w:val="es-MX"/>
        </w:rPr>
      </w:pPr>
      <w:r w:rsidRPr="00B5774D">
        <w:rPr>
          <w:rFonts w:ascii="Arial" w:hAnsi="Arial" w:cs="Arial"/>
          <w:sz w:val="21"/>
          <w:szCs w:val="21"/>
          <w:lang w:val="es-MX"/>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B5774D">
        <w:rPr>
          <w:rFonts w:ascii="Arial" w:hAnsi="Arial" w:cs="Arial"/>
          <w:b/>
          <w:sz w:val="21"/>
          <w:szCs w:val="21"/>
          <w:lang w:val="es-MX"/>
        </w:rPr>
        <w:t xml:space="preserve">, </w:t>
      </w:r>
      <w:r w:rsidRPr="00B5774D">
        <w:rPr>
          <w:rFonts w:ascii="Arial" w:hAnsi="Arial" w:cs="Arial"/>
          <w:sz w:val="21"/>
          <w:szCs w:val="21"/>
          <w:lang w:val="es-MX"/>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202DBC2E" w14:textId="77777777" w:rsidR="005156E7" w:rsidRPr="00B5774D" w:rsidRDefault="005156E7" w:rsidP="005156E7">
      <w:pPr>
        <w:spacing w:after="0" w:line="240" w:lineRule="auto"/>
        <w:ind w:right="618"/>
        <w:jc w:val="both"/>
        <w:rPr>
          <w:rFonts w:ascii="Arial" w:eastAsiaTheme="minorHAnsi" w:hAnsi="Arial" w:cs="Arial"/>
          <w:color w:val="0D0D0D" w:themeColor="text1" w:themeTint="F2"/>
          <w:sz w:val="21"/>
          <w:szCs w:val="21"/>
          <w:lang w:val="es-MX"/>
        </w:rPr>
      </w:pPr>
    </w:p>
    <w:p w14:paraId="7E8FDE31" w14:textId="77777777" w:rsidR="00DF3FAF" w:rsidRPr="00B5774D" w:rsidRDefault="00DF3FAF" w:rsidP="00DF3FAF">
      <w:pPr>
        <w:spacing w:after="0" w:line="276" w:lineRule="auto"/>
        <w:ind w:firstLine="709"/>
        <w:jc w:val="both"/>
        <w:rPr>
          <w:rFonts w:ascii="Arial" w:hAnsi="Arial" w:cs="Arial"/>
          <w:lang w:val="es-MX"/>
        </w:rPr>
      </w:pPr>
      <w:r w:rsidRPr="00B5774D">
        <w:rPr>
          <w:rFonts w:ascii="Arial" w:hAnsi="Arial" w:cs="Arial"/>
          <w:lang w:val="es-MX"/>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al verificar la Administración encuentra que lo omitido por el proponente es un aspecto que otorga puntaje, no es posible subsanarlo; pero, si no otorga puntaje la Administración debe requerir al proponente para que lo subsane.  </w:t>
      </w:r>
    </w:p>
    <w:p w14:paraId="704BFE9A" w14:textId="77777777" w:rsidR="00DF3FAF" w:rsidRPr="00B5774D" w:rsidRDefault="00DF3FAF" w:rsidP="007A5C16">
      <w:pPr>
        <w:spacing w:before="120" w:after="0" w:line="276" w:lineRule="auto"/>
        <w:ind w:firstLine="709"/>
        <w:jc w:val="both"/>
        <w:rPr>
          <w:rFonts w:ascii="Arial" w:hAnsi="Arial" w:cs="Arial"/>
          <w:lang w:val="es-MX"/>
        </w:rPr>
      </w:pPr>
      <w:r w:rsidRPr="00B5774D">
        <w:rPr>
          <w:rFonts w:ascii="Arial" w:hAnsi="Arial" w:cs="Arial"/>
          <w:lang w:val="es-MX"/>
        </w:rPr>
        <w:t>El artículo 5 de la Ley 1150 de 2007, además de consagrar un criterio más claro, y, de paso, reducir la discrecionalidad de la Administración, fijó un ámbito temporal para la subsanación de las ofertas: “</w:t>
      </w:r>
      <w:r w:rsidRPr="00B5774D">
        <w:rPr>
          <w:rFonts w:ascii="Arial" w:hAnsi="Arial" w:cs="Arial"/>
          <w:i/>
          <w:lang w:val="es-MX"/>
        </w:rPr>
        <w:t>en cualquier momento, hasta la adjudicación</w:t>
      </w:r>
      <w:r w:rsidRPr="00B5774D">
        <w:rPr>
          <w:rFonts w:ascii="Arial" w:hAnsi="Arial" w:cs="Arial"/>
          <w:lang w:val="es-MX"/>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770E0DBC" w14:textId="77777777" w:rsidR="00DF3FAF" w:rsidRPr="00B5774D" w:rsidRDefault="00DF3FAF" w:rsidP="0030320E">
      <w:pPr>
        <w:spacing w:after="0" w:line="276" w:lineRule="auto"/>
        <w:ind w:firstLine="709"/>
        <w:jc w:val="both"/>
        <w:rPr>
          <w:rFonts w:ascii="Arial" w:hAnsi="Arial" w:cs="Arial"/>
        </w:rPr>
      </w:pPr>
    </w:p>
    <w:p w14:paraId="2BBAC088" w14:textId="77777777" w:rsidR="00DF3FAF" w:rsidRPr="00B5774D" w:rsidRDefault="00DF3FAF" w:rsidP="00DF3FAF">
      <w:pPr>
        <w:spacing w:after="0" w:line="240" w:lineRule="auto"/>
        <w:ind w:left="709" w:right="567"/>
        <w:jc w:val="both"/>
        <w:rPr>
          <w:rFonts w:ascii="Arial" w:hAnsi="Arial" w:cs="Arial"/>
          <w:bCs/>
          <w:sz w:val="21"/>
          <w:szCs w:val="21"/>
          <w:lang w:val="es-MX"/>
        </w:rPr>
      </w:pPr>
      <w:r w:rsidRPr="00B5774D">
        <w:rPr>
          <w:rFonts w:ascii="Arial" w:hAnsi="Arial" w:cs="Arial"/>
          <w:bCs/>
          <w:sz w:val="21"/>
          <w:szCs w:val="21"/>
          <w:lang w:val="es-MX"/>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w:t>
      </w:r>
      <w:r w:rsidRPr="00B5774D">
        <w:rPr>
          <w:rFonts w:ascii="Arial" w:hAnsi="Arial" w:cs="Arial"/>
          <w:bCs/>
          <w:sz w:val="21"/>
          <w:szCs w:val="21"/>
          <w:lang w:val="es-MX"/>
        </w:rPr>
        <w:lastRenderedPageBreak/>
        <w:t>presentadas las ofertas, con la condición de que cuando le pidan la acreditación la satisfaga suficientemente</w:t>
      </w:r>
      <w:r w:rsidRPr="00B5774D">
        <w:rPr>
          <w:rFonts w:ascii="Arial" w:hAnsi="Arial" w:cs="Arial"/>
          <w:bCs/>
          <w:sz w:val="21"/>
          <w:szCs w:val="21"/>
          <w:vertAlign w:val="superscript"/>
          <w:lang w:val="es-MX"/>
        </w:rPr>
        <w:footnoteReference w:id="14"/>
      </w:r>
      <w:r w:rsidRPr="00B5774D">
        <w:rPr>
          <w:rFonts w:ascii="Arial" w:hAnsi="Arial" w:cs="Arial"/>
          <w:bCs/>
          <w:sz w:val="21"/>
          <w:szCs w:val="21"/>
          <w:lang w:val="es-MX"/>
        </w:rPr>
        <w:t>.</w:t>
      </w:r>
    </w:p>
    <w:p w14:paraId="3678F8A0" w14:textId="77777777" w:rsidR="00DF3FAF" w:rsidRPr="00B5774D" w:rsidRDefault="00DF3FAF" w:rsidP="00DF3FAF">
      <w:pPr>
        <w:spacing w:after="0" w:line="240" w:lineRule="auto"/>
        <w:ind w:left="709" w:right="567"/>
        <w:jc w:val="both"/>
        <w:rPr>
          <w:rFonts w:ascii="Arial" w:hAnsi="Arial" w:cs="Arial"/>
          <w:b/>
          <w:bCs/>
          <w:sz w:val="21"/>
          <w:szCs w:val="21"/>
          <w:lang w:val="es-MX"/>
        </w:rPr>
      </w:pPr>
    </w:p>
    <w:p w14:paraId="0A2CB4F7" w14:textId="005D272C" w:rsidR="00DF3FAF" w:rsidRPr="00B5774D" w:rsidRDefault="00DF3FAF" w:rsidP="00DF3FAF">
      <w:pPr>
        <w:spacing w:after="0" w:line="276" w:lineRule="auto"/>
        <w:ind w:firstLine="709"/>
        <w:jc w:val="both"/>
        <w:rPr>
          <w:rFonts w:ascii="Arial" w:hAnsi="Arial" w:cs="Arial"/>
          <w:lang w:val="es-MX"/>
        </w:rPr>
      </w:pPr>
      <w:r w:rsidRPr="00B5774D">
        <w:rPr>
          <w:rFonts w:ascii="Arial" w:hAnsi="Arial" w:cs="Arial"/>
          <w:lang w:val="es-MX"/>
        </w:rPr>
        <w:t xml:space="preserve">Esa interpretación fue compartida por la Agencia Nacional de Contratación Pública – Colombia Compra Eficiente, pues en la Circular Externa Única se precisó </w:t>
      </w:r>
      <w:r w:rsidR="0060468B" w:rsidRPr="00B5774D">
        <w:rPr>
          <w:rFonts w:ascii="Arial" w:hAnsi="Arial" w:cs="Arial"/>
          <w:lang w:val="es-MX"/>
        </w:rPr>
        <w:t>que,</w:t>
      </w:r>
      <w:r w:rsidRPr="00B5774D">
        <w:rPr>
          <w:rFonts w:ascii="Arial" w:hAnsi="Arial" w:cs="Arial"/>
          <w:lang w:val="es-MX"/>
        </w:rPr>
        <w:t xml:space="preserve"> si durante un proceso de contratación hay proponentes que no acreditaron en sus ofertas requisitos que no afectan la asignación de puntaje o la comparación de </w:t>
      </w:r>
      <w:proofErr w:type="gramStart"/>
      <w:r w:rsidRPr="00B5774D">
        <w:rPr>
          <w:rFonts w:ascii="Arial" w:hAnsi="Arial" w:cs="Arial"/>
          <w:lang w:val="es-MX"/>
        </w:rPr>
        <w:t>las mismas</w:t>
      </w:r>
      <w:proofErr w:type="gramEnd"/>
      <w:r w:rsidRPr="00B5774D">
        <w:rPr>
          <w:rFonts w:ascii="Arial" w:hAnsi="Arial" w:cs="Arial"/>
          <w:lang w:val="es-MX"/>
        </w:rPr>
        <w:t>, la entidad estatal deberá indicarlo en el informe de evaluación y advertir que la correspondiente oferta no será evaluada hasta que se subsane.</w:t>
      </w:r>
    </w:p>
    <w:p w14:paraId="70271655" w14:textId="1486AD75" w:rsidR="00DF3FAF" w:rsidRPr="00B5774D" w:rsidRDefault="00DF3FAF" w:rsidP="00373943">
      <w:pPr>
        <w:spacing w:before="120" w:after="0" w:line="276" w:lineRule="auto"/>
        <w:ind w:firstLine="709"/>
        <w:jc w:val="both"/>
        <w:rPr>
          <w:rFonts w:ascii="Arial" w:hAnsi="Arial" w:cs="Arial"/>
          <w:lang w:val="es-MX"/>
        </w:rPr>
      </w:pPr>
      <w:r w:rsidRPr="00B5774D">
        <w:rPr>
          <w:rFonts w:ascii="Arial" w:hAnsi="Arial" w:cs="Arial"/>
          <w:lang w:val="es-MX"/>
        </w:rPr>
        <w:t xml:space="preserve">En un </w:t>
      </w:r>
      <w:r w:rsidRPr="00B5774D">
        <w:rPr>
          <w:rFonts w:ascii="Arial" w:hAnsi="Arial" w:cs="Arial"/>
          <w:i/>
          <w:lang w:val="es-MX"/>
        </w:rPr>
        <w:t>cuarto momento</w:t>
      </w:r>
      <w:r w:rsidRPr="00B5774D">
        <w:rPr>
          <w:rFonts w:ascii="Arial" w:hAnsi="Arial" w:cs="Arial"/>
          <w:lang w:val="es-MX"/>
        </w:rPr>
        <w:t xml:space="preserve">, el legislador expidió la Ley 1882 de 2018, con la finalidad de introducir cambios y ajustes para fortalecer la contratación pública. El artículo 5 modificó el parágrafo 1º del artículo 5 de la Ley 1150 de 2007: </w:t>
      </w:r>
    </w:p>
    <w:p w14:paraId="0DB930DB" w14:textId="77777777" w:rsidR="000146C5" w:rsidRPr="00B5774D" w:rsidRDefault="000146C5" w:rsidP="00DF3FAF">
      <w:pPr>
        <w:spacing w:after="0" w:line="276" w:lineRule="auto"/>
        <w:ind w:firstLine="709"/>
        <w:jc w:val="both"/>
        <w:rPr>
          <w:rFonts w:ascii="Arial" w:hAnsi="Arial" w:cs="Arial"/>
          <w:lang w:val="es-MX"/>
        </w:rPr>
      </w:pPr>
    </w:p>
    <w:p w14:paraId="5DCB4AE4" w14:textId="77777777" w:rsidR="000146C5" w:rsidRPr="00B5774D" w:rsidRDefault="000146C5" w:rsidP="000146C5">
      <w:pPr>
        <w:spacing w:after="0" w:line="240" w:lineRule="auto"/>
        <w:ind w:left="709" w:right="709"/>
        <w:jc w:val="both"/>
        <w:rPr>
          <w:rFonts w:ascii="Arial" w:hAnsi="Arial" w:cs="Arial"/>
          <w:lang w:val="es-MX"/>
        </w:rPr>
      </w:pPr>
      <w:r w:rsidRPr="00B5774D">
        <w:rPr>
          <w:rFonts w:ascii="Arial" w:hAnsi="Arial" w:cs="Arial"/>
          <w:lang w:val="es-MX"/>
        </w:rPr>
        <w:t xml:space="preserve">Artículo 5°. De la selección objetiva. </w:t>
      </w:r>
    </w:p>
    <w:p w14:paraId="7D743CB3" w14:textId="77777777" w:rsidR="0060468B" w:rsidRDefault="0060468B" w:rsidP="000146C5">
      <w:pPr>
        <w:spacing w:after="0" w:line="240" w:lineRule="auto"/>
        <w:ind w:left="709" w:right="709"/>
        <w:jc w:val="both"/>
        <w:rPr>
          <w:rFonts w:ascii="Arial" w:hAnsi="Arial" w:cs="Arial"/>
          <w:lang w:val="es-MX"/>
        </w:rPr>
      </w:pPr>
    </w:p>
    <w:p w14:paraId="5B050071" w14:textId="73EF9888" w:rsidR="000146C5" w:rsidRPr="00B5774D" w:rsidRDefault="0060468B" w:rsidP="000146C5">
      <w:pPr>
        <w:spacing w:after="0" w:line="240" w:lineRule="auto"/>
        <w:ind w:left="709" w:right="709"/>
        <w:jc w:val="both"/>
        <w:rPr>
          <w:rFonts w:ascii="Arial" w:hAnsi="Arial" w:cs="Arial"/>
          <w:lang w:val="es-MX"/>
        </w:rPr>
      </w:pPr>
      <w:r>
        <w:rPr>
          <w:rFonts w:ascii="Arial" w:hAnsi="Arial" w:cs="Arial"/>
          <w:lang w:val="es-MX"/>
        </w:rPr>
        <w:t>[</w:t>
      </w:r>
      <w:r w:rsidR="000146C5" w:rsidRPr="00B5774D">
        <w:rPr>
          <w:rFonts w:ascii="Arial" w:hAnsi="Arial" w:cs="Arial"/>
          <w:lang w:val="es-MX"/>
        </w:rPr>
        <w:t xml:space="preserve">... </w:t>
      </w:r>
      <w:r>
        <w:rPr>
          <w:rFonts w:ascii="Arial" w:hAnsi="Arial" w:cs="Arial"/>
          <w:lang w:val="es-MX"/>
        </w:rPr>
        <w:t>]</w:t>
      </w:r>
      <w:r w:rsidR="000146C5" w:rsidRPr="00B5774D">
        <w:rPr>
          <w:rFonts w:ascii="Arial" w:hAnsi="Arial" w:cs="Arial"/>
          <w:lang w:val="es-MX"/>
        </w:rPr>
        <w:t xml:space="preserve"> </w:t>
      </w:r>
    </w:p>
    <w:p w14:paraId="69EED34D" w14:textId="77777777" w:rsidR="000146C5" w:rsidRPr="00B5774D" w:rsidRDefault="000146C5" w:rsidP="000146C5">
      <w:pPr>
        <w:spacing w:after="0" w:line="240" w:lineRule="auto"/>
        <w:ind w:left="709" w:right="709"/>
        <w:jc w:val="both"/>
        <w:rPr>
          <w:rFonts w:ascii="Arial" w:hAnsi="Arial" w:cs="Arial"/>
          <w:lang w:val="es-MX"/>
        </w:rPr>
      </w:pPr>
    </w:p>
    <w:p w14:paraId="0A2D3287" w14:textId="77777777" w:rsidR="000146C5" w:rsidRPr="00B5774D" w:rsidRDefault="000146C5" w:rsidP="000146C5">
      <w:pPr>
        <w:spacing w:after="0" w:line="240" w:lineRule="auto"/>
        <w:ind w:left="709" w:right="709"/>
        <w:jc w:val="both"/>
        <w:rPr>
          <w:rFonts w:ascii="Arial" w:hAnsi="Arial" w:cs="Arial"/>
          <w:lang w:val="es-MX"/>
        </w:rPr>
      </w:pPr>
      <w:r w:rsidRPr="00B5774D">
        <w:rPr>
          <w:rFonts w:ascii="Arial" w:hAnsi="Arial" w:cs="Arial"/>
          <w:lang w:val="es-MX"/>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19C473FC" w14:textId="22943BC9" w:rsidR="0081725D" w:rsidRPr="00B5774D" w:rsidRDefault="0081725D" w:rsidP="0081725D">
      <w:pPr>
        <w:spacing w:after="0" w:line="276" w:lineRule="auto"/>
        <w:ind w:firstLine="709"/>
        <w:jc w:val="both"/>
        <w:rPr>
          <w:rFonts w:ascii="Arial" w:hAnsi="Arial" w:cs="Arial"/>
        </w:rPr>
      </w:pPr>
    </w:p>
    <w:p w14:paraId="6F97B922" w14:textId="77777777" w:rsidR="000146C5" w:rsidRPr="00B5774D" w:rsidRDefault="000146C5" w:rsidP="000146C5">
      <w:pPr>
        <w:spacing w:after="0" w:line="276" w:lineRule="auto"/>
        <w:ind w:firstLine="709"/>
        <w:jc w:val="both"/>
        <w:rPr>
          <w:rFonts w:ascii="Arial" w:hAnsi="Arial" w:cs="Arial"/>
          <w:lang w:val="es-MX"/>
        </w:rPr>
      </w:pPr>
      <w:r w:rsidRPr="00B5774D">
        <w:rPr>
          <w:rFonts w:ascii="Arial" w:hAnsi="Arial" w:cs="Arial"/>
          <w:lang w:val="es-MX"/>
        </w:rPr>
        <w:t xml:space="preserve">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cuatro aspectos que se analizarán a continuación. </w:t>
      </w:r>
    </w:p>
    <w:p w14:paraId="2AA64A8F"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lastRenderedPageBreak/>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B5774D">
        <w:rPr>
          <w:rFonts w:ascii="Arial" w:hAnsi="Arial" w:cs="Arial"/>
          <w:vertAlign w:val="superscript"/>
          <w:lang w:val="es-MX"/>
        </w:rPr>
        <w:footnoteReference w:id="15"/>
      </w:r>
      <w:r w:rsidRPr="00B5774D">
        <w:rPr>
          <w:rFonts w:ascii="Arial" w:hAnsi="Arial" w:cs="Arial"/>
          <w:lang w:val="es-MX"/>
        </w:rPr>
        <w:t xml:space="preserve">; en el último los documentos o requisitos subsanables pueden y deben solicitarse hasta el momento previo a su realización.  </w:t>
      </w:r>
    </w:p>
    <w:p w14:paraId="48871781"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019D9B9D"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 xml:space="preserve">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14:paraId="16679128"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 xml:space="preserve">No obstante, de la lectura de este aparte podrían, en la práctica, darse dos interpretaciones que dan lugar a dos formas de proceder en los procesos de selección, en lo que se refiere a la subsanabilidad de las ofertas. </w:t>
      </w:r>
      <w:r w:rsidRPr="00B5774D">
        <w:rPr>
          <w:rFonts w:ascii="Arial" w:hAnsi="Arial" w:cs="Arial"/>
          <w:i/>
          <w:lang w:val="es-MX"/>
        </w:rPr>
        <w:t>Primera</w:t>
      </w:r>
      <w:r w:rsidRPr="00B5774D">
        <w:rPr>
          <w:rFonts w:ascii="Arial" w:hAnsi="Arial" w:cs="Arial"/>
          <w:lang w:val="es-MX"/>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B5774D">
        <w:rPr>
          <w:rFonts w:ascii="Arial" w:hAnsi="Arial" w:cs="Arial"/>
          <w:i/>
          <w:lang w:val="es-MX"/>
        </w:rPr>
        <w:t>segunda</w:t>
      </w:r>
      <w:r w:rsidRPr="00B5774D">
        <w:rPr>
          <w:rFonts w:ascii="Arial" w:hAnsi="Arial" w:cs="Arial"/>
          <w:lang w:val="es-MX"/>
        </w:rPr>
        <w:t xml:space="preserve">, que el término del traslado del informe de evaluación es el límite para la subsanación de ofertas, pero no el único momento para hacerlo. </w:t>
      </w:r>
    </w:p>
    <w:p w14:paraId="1E386B13"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75707813"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 xml:space="preserve">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w:t>
      </w:r>
      <w:r w:rsidRPr="00B5774D">
        <w:rPr>
          <w:rFonts w:ascii="Arial" w:hAnsi="Arial" w:cs="Arial"/>
          <w:lang w:val="es-MX"/>
        </w:rPr>
        <w:lastRenderedPageBreak/>
        <w:t>se publique el informe ya se encuentren subsanadas las propuestas, sin perjuicio del término límite que concedió la ley.</w:t>
      </w:r>
    </w:p>
    <w:p w14:paraId="76BB73FD"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105D958B"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713EA6DF" w14:textId="77777777"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De otro lado, el segundo cambio importante de la Ley 1882 de 2018 fue la introducción de un criterio material, directamente relacionado con los aspectos subsanables: «los proponentes no podrán acreditar circunstancias ocurridas con posterioridad al cierre del proceso»</w:t>
      </w:r>
      <w:r w:rsidRPr="00B5774D">
        <w:rPr>
          <w:rFonts w:ascii="Arial" w:hAnsi="Arial" w:cs="Arial"/>
          <w:b/>
          <w:i/>
          <w:lang w:val="es-MX"/>
        </w:rPr>
        <w:t>.</w:t>
      </w:r>
      <w:r w:rsidRPr="00B5774D">
        <w:rPr>
          <w:rFonts w:ascii="Arial" w:hAnsi="Arial" w:cs="Arial"/>
          <w:b/>
          <w:lang w:val="es-MX"/>
        </w:rPr>
        <w:t xml:space="preserve"> </w:t>
      </w:r>
      <w:r w:rsidRPr="00B5774D">
        <w:rPr>
          <w:rFonts w:ascii="Arial" w:hAnsi="Arial" w:cs="Arial"/>
          <w:lang w:val="es-MX"/>
        </w:rPr>
        <w:t xml:space="preserve">Lo anterior ofrece dos aspectos que merecen clarificación: </w:t>
      </w:r>
      <w:r w:rsidRPr="00B5774D">
        <w:rPr>
          <w:rFonts w:ascii="Arial" w:hAnsi="Arial" w:cs="Arial"/>
          <w:i/>
          <w:lang w:val="es-MX"/>
        </w:rPr>
        <w:t>primero</w:t>
      </w:r>
      <w:r w:rsidRPr="00B5774D">
        <w:rPr>
          <w:rFonts w:ascii="Arial" w:hAnsi="Arial" w:cs="Arial"/>
          <w:lang w:val="es-MX"/>
        </w:rPr>
        <w:t xml:space="preserve">, qué debe entenderse por circunstancias ocurridas con posterioridad; y </w:t>
      </w:r>
      <w:r w:rsidRPr="00B5774D">
        <w:rPr>
          <w:rFonts w:ascii="Arial" w:hAnsi="Arial" w:cs="Arial"/>
          <w:i/>
          <w:lang w:val="es-MX"/>
        </w:rPr>
        <w:t>segundo</w:t>
      </w:r>
      <w:r w:rsidRPr="00B5774D">
        <w:rPr>
          <w:rFonts w:ascii="Arial" w:hAnsi="Arial" w:cs="Arial"/>
          <w:lang w:val="es-MX"/>
        </w:rPr>
        <w:t>, qué es el cierre del proceso.</w:t>
      </w:r>
    </w:p>
    <w:p w14:paraId="0B94ADC1" w14:textId="7E43ACA0" w:rsidR="000146C5" w:rsidRPr="00B5774D" w:rsidRDefault="000146C5" w:rsidP="007A5C16">
      <w:pPr>
        <w:spacing w:before="120" w:after="0" w:line="276" w:lineRule="auto"/>
        <w:ind w:firstLine="709"/>
        <w:jc w:val="both"/>
        <w:rPr>
          <w:rFonts w:ascii="Arial" w:hAnsi="Arial" w:cs="Arial"/>
          <w:lang w:val="es-MX"/>
        </w:rPr>
      </w:pPr>
      <w:r w:rsidRPr="00B5774D">
        <w:rPr>
          <w:rFonts w:ascii="Arial" w:hAnsi="Arial" w:cs="Arial"/>
          <w:lang w:val="es-MX"/>
        </w:rPr>
        <w:t>La Sala de Consulta y Servicio Civil del Consejo de Estado ya había tenido la oportunidad de precisar estas expresiones, a propósito de un concepto en el que se refirió al artículo 10 del derogado Decreto 2474 de 2008</w:t>
      </w:r>
      <w:r w:rsidRPr="00B5774D">
        <w:rPr>
          <w:rFonts w:ascii="Arial" w:hAnsi="Arial" w:cs="Arial"/>
          <w:vertAlign w:val="superscript"/>
          <w:lang w:val="es-MX"/>
        </w:rPr>
        <w:footnoteReference w:id="16"/>
      </w:r>
      <w:r w:rsidRPr="00B5774D">
        <w:rPr>
          <w:rFonts w:ascii="Arial" w:hAnsi="Arial" w:cs="Arial"/>
          <w:lang w:val="es-MX"/>
        </w:rPr>
        <w:t xml:space="preserve">, que había determinado que en ningún </w:t>
      </w:r>
      <w:r w:rsidRPr="00B5774D">
        <w:rPr>
          <w:rFonts w:ascii="Arial" w:hAnsi="Arial" w:cs="Arial"/>
          <w:lang w:val="es-MX"/>
        </w:rPr>
        <w:lastRenderedPageBreak/>
        <w:t xml:space="preserve">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05428338" w14:textId="77777777" w:rsidR="000146C5" w:rsidRPr="00B5774D" w:rsidRDefault="000146C5" w:rsidP="000146C5">
      <w:pPr>
        <w:spacing w:after="0" w:line="276" w:lineRule="auto"/>
        <w:ind w:firstLine="709"/>
        <w:jc w:val="both"/>
        <w:rPr>
          <w:rFonts w:ascii="Arial" w:hAnsi="Arial" w:cs="Arial"/>
          <w:lang w:val="es-MX"/>
        </w:rPr>
      </w:pPr>
    </w:p>
    <w:p w14:paraId="02E3D1AB" w14:textId="77777777" w:rsidR="000146C5" w:rsidRPr="00B71D07" w:rsidRDefault="000146C5" w:rsidP="008134E3">
      <w:pPr>
        <w:tabs>
          <w:tab w:val="left" w:pos="8364"/>
        </w:tabs>
        <w:spacing w:after="0" w:line="240" w:lineRule="auto"/>
        <w:ind w:left="709" w:right="709"/>
        <w:jc w:val="both"/>
        <w:rPr>
          <w:rFonts w:ascii="Arial" w:hAnsi="Arial" w:cs="Arial"/>
          <w:sz w:val="21"/>
          <w:szCs w:val="21"/>
          <w:lang w:val="es-MX"/>
        </w:rPr>
      </w:pPr>
      <w:r w:rsidRPr="00B71D07">
        <w:rPr>
          <w:rFonts w:ascii="Arial" w:hAnsi="Arial" w:cs="Arial"/>
          <w:sz w:val="21"/>
          <w:szCs w:val="21"/>
          <w:lang w:val="es-MX"/>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78EF3C6F" w14:textId="77777777" w:rsidR="000146C5" w:rsidRPr="00B71D07" w:rsidRDefault="000146C5" w:rsidP="008134E3">
      <w:pPr>
        <w:tabs>
          <w:tab w:val="left" w:pos="8364"/>
        </w:tabs>
        <w:spacing w:after="0" w:line="240" w:lineRule="auto"/>
        <w:ind w:left="709" w:right="709"/>
        <w:jc w:val="both"/>
        <w:rPr>
          <w:rFonts w:ascii="Arial" w:hAnsi="Arial" w:cs="Arial"/>
          <w:sz w:val="21"/>
          <w:szCs w:val="21"/>
          <w:lang w:val="es-MX"/>
        </w:rPr>
      </w:pPr>
      <w:r w:rsidRPr="00B71D07">
        <w:rPr>
          <w:rFonts w:ascii="Arial" w:hAnsi="Arial" w:cs="Arial"/>
          <w:sz w:val="21"/>
          <w:szCs w:val="21"/>
          <w:lang w:val="es-MX"/>
        </w:rPr>
        <w:t> </w:t>
      </w:r>
    </w:p>
    <w:p w14:paraId="0CEE7670" w14:textId="77777777" w:rsidR="000146C5" w:rsidRPr="00B71D07" w:rsidRDefault="000146C5" w:rsidP="008134E3">
      <w:pPr>
        <w:tabs>
          <w:tab w:val="left" w:pos="8364"/>
        </w:tabs>
        <w:spacing w:after="0" w:line="240" w:lineRule="auto"/>
        <w:ind w:left="709" w:right="709"/>
        <w:jc w:val="both"/>
        <w:rPr>
          <w:rFonts w:ascii="Arial" w:hAnsi="Arial" w:cs="Arial"/>
          <w:sz w:val="21"/>
          <w:szCs w:val="21"/>
          <w:lang w:val="es-MX"/>
        </w:rPr>
      </w:pPr>
      <w:r w:rsidRPr="00B71D07">
        <w:rPr>
          <w:rFonts w:ascii="Arial" w:hAnsi="Arial" w:cs="Arial"/>
          <w:sz w:val="21"/>
          <w:szCs w:val="21"/>
          <w:lang w:val="es-MX"/>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B71D07">
        <w:rPr>
          <w:rFonts w:ascii="Arial" w:hAnsi="Arial" w:cs="Arial"/>
          <w:sz w:val="21"/>
          <w:szCs w:val="21"/>
          <w:vertAlign w:val="superscript"/>
          <w:lang w:val="es-MX"/>
        </w:rPr>
        <w:footnoteReference w:id="17"/>
      </w:r>
      <w:r w:rsidRPr="00B71D07">
        <w:rPr>
          <w:rFonts w:ascii="Arial" w:hAnsi="Arial" w:cs="Arial"/>
          <w:sz w:val="21"/>
          <w:szCs w:val="21"/>
          <w:lang w:val="es-MX"/>
        </w:rPr>
        <w:t>.</w:t>
      </w:r>
    </w:p>
    <w:p w14:paraId="2BC64026" w14:textId="77777777" w:rsidR="000146C5" w:rsidRPr="00B5774D" w:rsidRDefault="000146C5" w:rsidP="0081725D">
      <w:pPr>
        <w:spacing w:after="0" w:line="276" w:lineRule="auto"/>
        <w:ind w:firstLine="709"/>
        <w:jc w:val="both"/>
        <w:rPr>
          <w:rFonts w:ascii="Arial" w:hAnsi="Arial" w:cs="Arial"/>
        </w:rPr>
      </w:pPr>
    </w:p>
    <w:p w14:paraId="0C6502EF" w14:textId="77777777" w:rsidR="000146C5" w:rsidRPr="00B5774D" w:rsidRDefault="000146C5" w:rsidP="00B25EEE">
      <w:pPr>
        <w:tabs>
          <w:tab w:val="left" w:pos="0"/>
          <w:tab w:val="left" w:pos="6645"/>
        </w:tabs>
        <w:spacing w:after="0" w:line="276" w:lineRule="auto"/>
        <w:ind w:firstLine="709"/>
        <w:jc w:val="both"/>
        <w:rPr>
          <w:rFonts w:ascii="Arial" w:hAnsi="Arial" w:cs="Arial"/>
          <w:bCs/>
          <w:lang w:val="es-MX"/>
        </w:rPr>
      </w:pPr>
      <w:r w:rsidRPr="00B5774D">
        <w:rPr>
          <w:rFonts w:ascii="Arial" w:hAnsi="Arial" w:cs="Arial"/>
          <w:bCs/>
          <w:lang w:val="es-MX"/>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w:t>
      </w:r>
      <w:r w:rsidRPr="00B5774D">
        <w:rPr>
          <w:rFonts w:ascii="Arial" w:hAnsi="Arial" w:cs="Arial"/>
          <w:bCs/>
          <w:lang w:val="es-MX"/>
        </w:rPr>
        <w:lastRenderedPageBreak/>
        <w:t xml:space="preserve">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1A2E4C2A" w14:textId="77777777" w:rsidR="000146C5" w:rsidRPr="00B5774D" w:rsidRDefault="000146C5" w:rsidP="002F279C">
      <w:pPr>
        <w:tabs>
          <w:tab w:val="left" w:pos="0"/>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7D2CA9B7" w14:textId="77777777" w:rsidR="000146C5" w:rsidRPr="00B5774D" w:rsidRDefault="000146C5" w:rsidP="000146C5">
      <w:pPr>
        <w:tabs>
          <w:tab w:val="left" w:pos="0"/>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B5774D">
        <w:rPr>
          <w:rFonts w:ascii="Arial" w:hAnsi="Arial" w:cs="Arial"/>
          <w:bCs/>
          <w:vertAlign w:val="superscript"/>
          <w:lang w:val="es-MX"/>
        </w:rPr>
        <w:footnoteReference w:id="18"/>
      </w:r>
      <w:r w:rsidRPr="00B5774D">
        <w:rPr>
          <w:rFonts w:ascii="Arial" w:hAnsi="Arial" w:cs="Arial"/>
          <w:bCs/>
          <w:lang w:val="es-MX"/>
        </w:rPr>
        <w:t>; iii) si un oferente no anexó el certificado de existencia y representación legal, el documento aportado con posterioridad debe dar cuenta de que la sociedad existe desde antes del cierre del proceso</w:t>
      </w:r>
      <w:r w:rsidRPr="00B5774D">
        <w:rPr>
          <w:rFonts w:ascii="Arial" w:hAnsi="Arial" w:cs="Arial"/>
          <w:bCs/>
          <w:vertAlign w:val="superscript"/>
          <w:lang w:val="es-MX"/>
        </w:rPr>
        <w:footnoteReference w:id="19"/>
      </w:r>
      <w:r w:rsidRPr="00B5774D">
        <w:rPr>
          <w:rFonts w:ascii="Arial" w:hAnsi="Arial" w:cs="Arial"/>
          <w:bCs/>
          <w:lang w:val="es-MX"/>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se entienda que acreditó una circunstancia ocurrida con posterioridad al cierre del proceso. </w:t>
      </w:r>
    </w:p>
    <w:p w14:paraId="3577D61B" w14:textId="3CBDF272" w:rsidR="000146C5" w:rsidRPr="00B5774D" w:rsidRDefault="000146C5" w:rsidP="000146C5">
      <w:pPr>
        <w:tabs>
          <w:tab w:val="left" w:pos="0"/>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w:t>
      </w:r>
      <w:r w:rsidRPr="00B5774D">
        <w:rPr>
          <w:rFonts w:ascii="Arial" w:hAnsi="Arial" w:cs="Arial"/>
          <w:bCs/>
          <w:lang w:val="es-MX"/>
        </w:rPr>
        <w:lastRenderedPageBreak/>
        <w:t xml:space="preserve">hecho que acredite haya ocurrido antes, esto es, que no sea una circunstancia ocurrida con posterioridad al cierre del proceso. Es por ello </w:t>
      </w:r>
      <w:proofErr w:type="gramStart"/>
      <w:r w:rsidRPr="00B5774D">
        <w:rPr>
          <w:rFonts w:ascii="Arial" w:hAnsi="Arial" w:cs="Arial"/>
          <w:bCs/>
          <w:lang w:val="es-MX"/>
        </w:rPr>
        <w:t>que</w:t>
      </w:r>
      <w:proofErr w:type="gramEnd"/>
      <w:r w:rsidRPr="00B5774D">
        <w:rPr>
          <w:rFonts w:ascii="Arial" w:hAnsi="Arial" w:cs="Arial"/>
          <w:bCs/>
          <w:lang w:val="es-MX"/>
        </w:rPr>
        <w:t xml:space="preserve"> el Consejo de Estado sostiene que «lo que se subsana es la prueba y no la condición habilitante o un elemento de la propuesta </w:t>
      </w:r>
      <w:r w:rsidR="008134E3">
        <w:rPr>
          <w:rFonts w:ascii="Arial" w:hAnsi="Arial" w:cs="Arial"/>
          <w:bCs/>
          <w:lang w:val="es-MX"/>
        </w:rPr>
        <w:t>[</w:t>
      </w:r>
      <w:r w:rsidRPr="00B5774D">
        <w:rPr>
          <w:rFonts w:ascii="Arial" w:hAnsi="Arial" w:cs="Arial"/>
          <w:bCs/>
          <w:lang w:val="es-MX"/>
        </w:rPr>
        <w:t>...</w:t>
      </w:r>
      <w:r w:rsidR="008134E3">
        <w:rPr>
          <w:rFonts w:ascii="Arial" w:hAnsi="Arial" w:cs="Arial"/>
          <w:bCs/>
          <w:lang w:val="es-MX"/>
        </w:rPr>
        <w:t>]</w:t>
      </w:r>
      <w:r w:rsidRPr="00B5774D">
        <w:rPr>
          <w:rFonts w:ascii="Arial" w:hAnsi="Arial" w:cs="Arial"/>
          <w:bCs/>
          <w:lang w:val="es-MX"/>
        </w:rPr>
        <w:t xml:space="preserve"> lo que se puede remediar es la prueba y no el requisito: La posibilidad debe recaer exclusivamente sobre circunstancias acaecidas antes del cierre del respectivo proceso, esto es, del vencimiento del plazo para presentar ofertas»</w:t>
      </w:r>
      <w:r w:rsidRPr="00B5774D">
        <w:rPr>
          <w:rFonts w:ascii="Arial" w:hAnsi="Arial" w:cs="Arial"/>
          <w:bCs/>
          <w:vertAlign w:val="superscript"/>
          <w:lang w:val="es-MX"/>
        </w:rPr>
        <w:footnoteReference w:id="20"/>
      </w:r>
      <w:r w:rsidRPr="00B5774D">
        <w:rPr>
          <w:rFonts w:ascii="Arial" w:hAnsi="Arial" w:cs="Arial"/>
          <w:bCs/>
          <w:lang w:val="es-MX"/>
        </w:rPr>
        <w:t xml:space="preserve">. </w:t>
      </w:r>
    </w:p>
    <w:p w14:paraId="515D90C4" w14:textId="77777777" w:rsidR="000146C5" w:rsidRPr="00B5774D" w:rsidRDefault="000146C5" w:rsidP="000146C5">
      <w:pPr>
        <w:tabs>
          <w:tab w:val="left" w:pos="0"/>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t>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Asimismo, indicó que no es relevante que, al subsanar dichos documentos, su fecha de actualización sea posterior a la del cierre, sino que las circunstancias que acrediten hayan ocurrido antes.</w:t>
      </w:r>
    </w:p>
    <w:p w14:paraId="0D878992" w14:textId="77777777" w:rsidR="000146C5" w:rsidRPr="00B5774D" w:rsidRDefault="000146C5" w:rsidP="000146C5">
      <w:pPr>
        <w:tabs>
          <w:tab w:val="left" w:pos="0"/>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t>Esta tesis fue reiterada por la Agencia Nacional de Contratación Pública – Colombia Compra Eficiente en el concepto con radicado 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w:t>
      </w:r>
      <w:bookmarkStart w:id="4" w:name="_Hlk119851569"/>
      <w:r w:rsidRPr="00B5774D">
        <w:rPr>
          <w:rFonts w:ascii="Arial" w:hAnsi="Arial" w:cs="Arial"/>
          <w:bCs/>
          <w:lang w:val="es-MX"/>
        </w:rPr>
        <w:t>[…]</w:t>
      </w:r>
      <w:bookmarkEnd w:id="4"/>
      <w:r w:rsidRPr="00B5774D">
        <w:rPr>
          <w:rFonts w:ascii="Arial" w:hAnsi="Arial" w:cs="Arial"/>
          <w:bCs/>
          <w:lang w:val="es-MX"/>
        </w:rPr>
        <w:t xml:space="preserve">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23B55BC4" w14:textId="4CCD98C4" w:rsidR="000146C5" w:rsidRPr="00B5774D" w:rsidRDefault="008134E3" w:rsidP="000146C5">
      <w:pPr>
        <w:tabs>
          <w:tab w:val="left" w:pos="0"/>
          <w:tab w:val="left" w:pos="6645"/>
        </w:tabs>
        <w:spacing w:before="120" w:after="0" w:line="276" w:lineRule="auto"/>
        <w:ind w:firstLine="709"/>
        <w:jc w:val="both"/>
        <w:rPr>
          <w:rFonts w:ascii="Arial" w:hAnsi="Arial" w:cs="Arial"/>
          <w:bCs/>
          <w:lang w:val="es-MX"/>
        </w:rPr>
      </w:pPr>
      <w:r>
        <w:rPr>
          <w:rFonts w:ascii="Arial" w:hAnsi="Arial" w:cs="Arial"/>
          <w:bCs/>
          <w:lang w:val="es-MX"/>
        </w:rPr>
        <w:t>R</w:t>
      </w:r>
      <w:r w:rsidR="000146C5" w:rsidRPr="00B5774D">
        <w:rPr>
          <w:rFonts w:ascii="Arial" w:hAnsi="Arial" w:cs="Arial"/>
          <w:bCs/>
          <w:lang w:val="es-MX"/>
        </w:rPr>
        <w:t>eiteraci</w:t>
      </w:r>
      <w:r>
        <w:rPr>
          <w:rFonts w:ascii="Arial" w:hAnsi="Arial" w:cs="Arial"/>
          <w:bCs/>
          <w:lang w:val="es-MX"/>
        </w:rPr>
        <w:t>ones</w:t>
      </w:r>
      <w:r w:rsidR="000146C5" w:rsidRPr="00B5774D">
        <w:rPr>
          <w:rFonts w:ascii="Arial" w:hAnsi="Arial" w:cs="Arial"/>
          <w:bCs/>
          <w:lang w:val="es-MX"/>
        </w:rPr>
        <w:t xml:space="preserve">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w:t>
      </w:r>
      <w:r>
        <w:rPr>
          <w:rFonts w:ascii="Arial" w:hAnsi="Arial" w:cs="Arial"/>
          <w:bCs/>
          <w:lang w:val="es-MX"/>
        </w:rPr>
        <w:t>n</w:t>
      </w:r>
      <w:r w:rsidR="000146C5" w:rsidRPr="00B5774D">
        <w:rPr>
          <w:rFonts w:ascii="Arial" w:hAnsi="Arial" w:cs="Arial"/>
          <w:bCs/>
          <w:lang w:val="es-MX"/>
        </w:rPr>
        <w:t xml:space="preserve">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w:t>
      </w:r>
      <w:r w:rsidR="000146C5" w:rsidRPr="00B5774D">
        <w:rPr>
          <w:rFonts w:ascii="Arial" w:hAnsi="Arial" w:cs="Arial"/>
          <w:bCs/>
          <w:lang w:val="es-MX"/>
        </w:rPr>
        <w:lastRenderedPageBreak/>
        <w:t xml:space="preserve">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reiteró que no es posible variar el porcentaje de participación en una unión temporal, porque implicaría una modificación de la oferta y la acreditación de un aspecto que es posterior al cierre del procedimiento de selección–. </w:t>
      </w:r>
    </w:p>
    <w:p w14:paraId="7F8E2ABE" w14:textId="77777777" w:rsidR="000146C5" w:rsidRPr="00B5774D" w:rsidRDefault="000146C5" w:rsidP="000146C5">
      <w:pPr>
        <w:tabs>
          <w:tab w:val="left" w:pos="0"/>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0C0AB23D" w14:textId="3B98A8FE" w:rsidR="000146C5" w:rsidRPr="00B5774D" w:rsidRDefault="000146C5" w:rsidP="000146C5">
      <w:pPr>
        <w:tabs>
          <w:tab w:val="left" w:pos="0"/>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556EB8EB" w14:textId="7EA17077" w:rsidR="00AB446F" w:rsidRPr="00B5774D" w:rsidRDefault="006F027B" w:rsidP="006F027B">
      <w:pPr>
        <w:tabs>
          <w:tab w:val="left" w:pos="0"/>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t xml:space="preserve">Ahora bien, con el fin de atender algunos de los aspectos consultados por el peticionario </w:t>
      </w:r>
      <w:r w:rsidRPr="00B5774D">
        <w:rPr>
          <w:rFonts w:ascii="Arial" w:hAnsi="Arial" w:cs="Arial"/>
          <w:bCs/>
        </w:rPr>
        <w:t>es preciso señalar que el Consejo de Estado actualmente cuenta con dos posturas frente</w:t>
      </w:r>
      <w:r w:rsidR="004945E1" w:rsidRPr="00B5774D">
        <w:rPr>
          <w:rFonts w:ascii="Arial" w:hAnsi="Arial" w:cs="Arial"/>
          <w:bCs/>
        </w:rPr>
        <w:t xml:space="preserve"> a la subsanabilidad de las ofertas</w:t>
      </w:r>
      <w:r w:rsidRPr="00B5774D">
        <w:rPr>
          <w:rFonts w:ascii="Arial" w:hAnsi="Arial" w:cs="Arial"/>
          <w:bCs/>
        </w:rPr>
        <w:t xml:space="preserve">. Por un lado, </w:t>
      </w:r>
      <w:r w:rsidRPr="00B5774D">
        <w:rPr>
          <w:rFonts w:ascii="Arial" w:hAnsi="Arial" w:cs="Arial"/>
          <w:bCs/>
          <w:lang w:val="es-ES_tradnl"/>
        </w:rPr>
        <w:t>en Sentencia</w:t>
      </w:r>
      <w:r w:rsidR="00140A61" w:rsidRPr="00B5774D">
        <w:rPr>
          <w:rFonts w:ascii="Arial" w:hAnsi="Arial" w:cs="Arial"/>
          <w:bCs/>
          <w:lang w:val="es-ES_tradnl"/>
        </w:rPr>
        <w:t xml:space="preserve">s </w:t>
      </w:r>
      <w:bookmarkStart w:id="5" w:name="_Hlk120003893"/>
      <w:r w:rsidR="00140A61" w:rsidRPr="00B5774D">
        <w:rPr>
          <w:rFonts w:ascii="Arial" w:hAnsi="Arial" w:cs="Arial"/>
          <w:bCs/>
          <w:lang w:val="es-ES_tradnl"/>
        </w:rPr>
        <w:t xml:space="preserve">del </w:t>
      </w:r>
      <w:r w:rsidR="00AB446F" w:rsidRPr="00B5774D">
        <w:rPr>
          <w:rFonts w:ascii="Arial" w:hAnsi="Arial" w:cs="Arial"/>
          <w:bCs/>
          <w:lang w:val="es-ES_tradnl"/>
        </w:rPr>
        <w:t>28 de febrero y 20 de abril</w:t>
      </w:r>
      <w:r w:rsidRPr="00B5774D">
        <w:rPr>
          <w:rFonts w:ascii="Arial" w:hAnsi="Arial" w:cs="Arial"/>
          <w:bCs/>
          <w:lang w:val="es-ES_tradnl"/>
        </w:rPr>
        <w:t xml:space="preserve"> de</w:t>
      </w:r>
      <w:r w:rsidR="00AB446F" w:rsidRPr="00B5774D">
        <w:rPr>
          <w:rFonts w:ascii="Arial" w:hAnsi="Arial" w:cs="Arial"/>
          <w:bCs/>
          <w:lang w:val="es-ES_tradnl"/>
        </w:rPr>
        <w:t>l 2022</w:t>
      </w:r>
      <w:r w:rsidR="00140A61" w:rsidRPr="00B5774D">
        <w:rPr>
          <w:rFonts w:ascii="Arial" w:hAnsi="Arial" w:cs="Arial"/>
          <w:bCs/>
          <w:lang w:val="es-ES_tradnl"/>
        </w:rPr>
        <w:t xml:space="preserve"> </w:t>
      </w:r>
      <w:r w:rsidRPr="00B5774D">
        <w:rPr>
          <w:rFonts w:ascii="Arial" w:hAnsi="Arial" w:cs="Arial"/>
          <w:bCs/>
          <w:lang w:val="es-ES_tradnl"/>
        </w:rPr>
        <w:t xml:space="preserve">la Subsección </w:t>
      </w:r>
      <w:r w:rsidR="00AB446F" w:rsidRPr="00B5774D">
        <w:rPr>
          <w:rFonts w:ascii="Arial" w:hAnsi="Arial" w:cs="Arial"/>
          <w:bCs/>
          <w:lang w:val="es-ES_tradnl"/>
        </w:rPr>
        <w:t>C</w:t>
      </w:r>
      <w:r w:rsidR="00140A61" w:rsidRPr="00B5774D">
        <w:rPr>
          <w:rFonts w:ascii="Arial" w:hAnsi="Arial" w:cs="Arial"/>
          <w:bCs/>
          <w:lang w:val="es-ES_tradnl"/>
        </w:rPr>
        <w:t xml:space="preserve"> de la Sección tercera</w:t>
      </w:r>
      <w:bookmarkEnd w:id="5"/>
      <w:r w:rsidR="00AB446F" w:rsidRPr="00B5774D">
        <w:rPr>
          <w:rFonts w:ascii="Arial" w:hAnsi="Arial" w:cs="Arial"/>
          <w:bCs/>
          <w:lang w:val="es-ES_tradnl"/>
        </w:rPr>
        <w:t xml:space="preserve">, señaló que </w:t>
      </w:r>
      <w:r w:rsidR="00140A61" w:rsidRPr="00B5774D">
        <w:rPr>
          <w:rFonts w:ascii="Arial" w:hAnsi="Arial" w:cs="Arial"/>
          <w:bCs/>
          <w:lang w:val="es-ES_tradnl"/>
        </w:rPr>
        <w:t xml:space="preserve">el artículo </w:t>
      </w:r>
      <w:r w:rsidR="00140A61" w:rsidRPr="00B5774D">
        <w:rPr>
          <w:rFonts w:ascii="Arial" w:hAnsi="Arial" w:cs="Arial"/>
          <w:bCs/>
          <w:lang w:val="es-MX"/>
        </w:rPr>
        <w:t xml:space="preserve">5 </w:t>
      </w:r>
      <w:r w:rsidR="00140A61" w:rsidRPr="00B5774D">
        <w:rPr>
          <w:rFonts w:ascii="Arial" w:hAnsi="Arial" w:cs="Arial"/>
          <w:bCs/>
          <w:lang w:val="es-ES_tradnl"/>
        </w:rPr>
        <w:t>de la Ley 11</w:t>
      </w:r>
      <w:r w:rsidR="00140A61" w:rsidRPr="00B5774D">
        <w:rPr>
          <w:rFonts w:ascii="Arial" w:hAnsi="Arial" w:cs="Arial"/>
          <w:bCs/>
          <w:lang w:val="es-MX"/>
        </w:rPr>
        <w:t>50 de 2007 debe interpretarse armónicamente con lo dispuesto en los numerales 7 y 8 del artículo 30 de la Ley 80 de 1993</w:t>
      </w:r>
      <w:r w:rsidR="00D601C2" w:rsidRPr="00B5774D">
        <w:rPr>
          <w:rStyle w:val="Refdenotaalpie"/>
          <w:rFonts w:ascii="Arial" w:hAnsi="Arial" w:cs="Arial"/>
          <w:bCs/>
          <w:lang w:val="es-MX"/>
        </w:rPr>
        <w:footnoteReference w:id="21"/>
      </w:r>
      <w:r w:rsidR="00140A61" w:rsidRPr="00B5774D">
        <w:rPr>
          <w:rFonts w:ascii="Arial" w:hAnsi="Arial" w:cs="Arial"/>
          <w:bCs/>
          <w:lang w:val="es-MX"/>
        </w:rPr>
        <w:t xml:space="preserve">, de manera que se podrá </w:t>
      </w:r>
      <w:r w:rsidR="00140A61" w:rsidRPr="00B5774D">
        <w:rPr>
          <w:rFonts w:ascii="Arial" w:hAnsi="Arial" w:cs="Arial"/>
          <w:bCs/>
          <w:lang w:val="es-MX"/>
        </w:rPr>
        <w:lastRenderedPageBreak/>
        <w:t>complementar la oferta pero solo en los aspectos que permita la Ley, es decir, aquellos que no otorguen puntaje</w:t>
      </w:r>
      <w:r w:rsidR="00D601C2" w:rsidRPr="00B5774D">
        <w:rPr>
          <w:rStyle w:val="Refdenotaalpie"/>
          <w:rFonts w:ascii="Arial" w:hAnsi="Arial" w:cs="Arial"/>
          <w:bCs/>
          <w:lang w:val="es-MX"/>
        </w:rPr>
        <w:footnoteReference w:id="22"/>
      </w:r>
      <w:r w:rsidR="00140A61" w:rsidRPr="00B5774D">
        <w:rPr>
          <w:rFonts w:ascii="Arial" w:hAnsi="Arial" w:cs="Arial"/>
          <w:bCs/>
          <w:lang w:val="es-MX"/>
        </w:rPr>
        <w:t>:</w:t>
      </w:r>
    </w:p>
    <w:p w14:paraId="123D4154" w14:textId="77777777" w:rsidR="00023953" w:rsidRPr="00B5774D" w:rsidRDefault="00023953" w:rsidP="00023953">
      <w:pPr>
        <w:tabs>
          <w:tab w:val="left" w:pos="0"/>
          <w:tab w:val="left" w:pos="6645"/>
        </w:tabs>
        <w:spacing w:after="0" w:line="276" w:lineRule="auto"/>
        <w:ind w:firstLine="709"/>
        <w:jc w:val="both"/>
        <w:rPr>
          <w:rFonts w:ascii="Arial" w:hAnsi="Arial" w:cs="Arial"/>
          <w:bCs/>
          <w:lang w:val="es-ES_tradnl"/>
        </w:rPr>
      </w:pPr>
    </w:p>
    <w:p w14:paraId="5DE8BBD4" w14:textId="5E185DBF" w:rsidR="006F027B" w:rsidRPr="00B5774D" w:rsidRDefault="00023953" w:rsidP="00D601C2">
      <w:pPr>
        <w:tabs>
          <w:tab w:val="left" w:pos="6645"/>
        </w:tabs>
        <w:spacing w:after="0" w:line="240" w:lineRule="auto"/>
        <w:ind w:left="709" w:right="709"/>
        <w:jc w:val="both"/>
        <w:rPr>
          <w:rFonts w:ascii="Arial" w:hAnsi="Arial" w:cs="Arial"/>
          <w:bCs/>
          <w:sz w:val="21"/>
          <w:szCs w:val="21"/>
        </w:rPr>
      </w:pPr>
      <w:r w:rsidRPr="00B5774D">
        <w:rPr>
          <w:rFonts w:ascii="Arial" w:hAnsi="Arial" w:cs="Arial"/>
          <w:bCs/>
          <w:sz w:val="21"/>
          <w:szCs w:val="21"/>
          <w:lang w:val="es-ES_tradnl"/>
        </w:rPr>
        <w:t xml:space="preserve">Al efecto, es pertinente advertir que, </w:t>
      </w:r>
      <w:r w:rsidRPr="00B5774D">
        <w:rPr>
          <w:rFonts w:ascii="Arial" w:hAnsi="Arial" w:cs="Arial"/>
          <w:bCs/>
          <w:sz w:val="21"/>
          <w:szCs w:val="21"/>
        </w:rPr>
        <w:t xml:space="preserve">si bien de conformidad con lo establecido en el artículo 30.8 de la Ley 80 de 1993 no está permitido que los oferentes completen, adicionen, modifiquen o mejoren sus propuestas, esta norma, tal y como lo ha manifestado esta Corporación , debe interpretarse de forma armónica con aquellas que establecen la posibilidad en cabeza de las entidades públicas de solicitar a los proponentes aclaraciones y explicaciones frente a sus propuestas (Ley 80 de 1993, art. 30.7 ), así como también con las que determinan el alcance de la subsanabilidad de las propuestas (para nuestro caso el artículo 5º de la Ley 1150 de 2007), de lo que se concluye que resulta posible, en cierta medida, completar, adicionar, modificar o mejorar las ofertas, pero únicamente en lo que corresponde a los requisitos que expresamente permite la ley, que para el caso concreto y en virtud del régimen legal aplicable resultan ser “todos aquellos requisitos de la propuesta que no afecten la asignación de puntaje”, de tal suerte que en el caso concreto se puede concluir que la adición de la información acerca de la capacidad técnica de los ítems 9, 79 y 103 no implicaba una mejora en la oferta del proponente </w:t>
      </w:r>
      <w:r w:rsidR="00D601C2" w:rsidRPr="00B5774D">
        <w:rPr>
          <w:rFonts w:ascii="Arial" w:hAnsi="Arial" w:cs="Arial"/>
          <w:bCs/>
          <w:sz w:val="21"/>
          <w:szCs w:val="21"/>
        </w:rPr>
        <w:t>Gilberto Muñoz Adarme</w:t>
      </w:r>
      <w:r w:rsidRPr="00B5774D">
        <w:rPr>
          <w:rFonts w:ascii="Arial" w:hAnsi="Arial" w:cs="Arial"/>
          <w:bCs/>
          <w:sz w:val="21"/>
          <w:szCs w:val="21"/>
        </w:rPr>
        <w:t>, comoquiera que, además de que el régimen aplicable en punto de la subsanabilidad le permitía subsanar cualquier requisito que no asignara puntaje, la subsanación de este yerro no implicaba que el oferente modificara su oferta económica, que en estricto sentido era el único requisito ponderable</w:t>
      </w:r>
    </w:p>
    <w:p w14:paraId="6A97E346" w14:textId="447A9C77" w:rsidR="006F027B" w:rsidRPr="00B5774D" w:rsidRDefault="006F027B" w:rsidP="009E2ABE">
      <w:pPr>
        <w:tabs>
          <w:tab w:val="left" w:pos="0"/>
          <w:tab w:val="left" w:pos="6645"/>
        </w:tabs>
        <w:spacing w:after="0" w:line="276" w:lineRule="auto"/>
        <w:ind w:firstLine="709"/>
        <w:jc w:val="both"/>
        <w:rPr>
          <w:rFonts w:ascii="Arial" w:hAnsi="Arial" w:cs="Arial"/>
          <w:bCs/>
          <w:lang w:val="es-ES_tradnl"/>
        </w:rPr>
      </w:pPr>
    </w:p>
    <w:p w14:paraId="4C055FC7" w14:textId="2ED6B446" w:rsidR="00DE3B48" w:rsidRPr="00B5774D" w:rsidRDefault="00AB446F" w:rsidP="005C4656">
      <w:pPr>
        <w:tabs>
          <w:tab w:val="left" w:pos="0"/>
          <w:tab w:val="left" w:pos="6645"/>
        </w:tabs>
        <w:spacing w:after="0" w:line="276" w:lineRule="auto"/>
        <w:ind w:firstLine="709"/>
        <w:jc w:val="both"/>
        <w:rPr>
          <w:rFonts w:ascii="Arial" w:hAnsi="Arial" w:cs="Arial"/>
          <w:bCs/>
          <w:lang w:val="es-ES_tradnl"/>
        </w:rPr>
      </w:pPr>
      <w:r w:rsidRPr="00B5774D">
        <w:rPr>
          <w:rFonts w:ascii="Arial" w:hAnsi="Arial" w:cs="Arial"/>
          <w:bCs/>
          <w:lang w:val="es-ES_tradnl"/>
        </w:rPr>
        <w:t xml:space="preserve">En contraste con lo anterior, en Sentencia del </w:t>
      </w:r>
      <w:r w:rsidR="00264D4B" w:rsidRPr="00B5774D">
        <w:rPr>
          <w:rFonts w:ascii="Arial" w:hAnsi="Arial" w:cs="Arial"/>
          <w:bCs/>
          <w:lang w:val="es-ES_tradnl"/>
        </w:rPr>
        <w:t>15</w:t>
      </w:r>
      <w:r w:rsidRPr="00B5774D">
        <w:rPr>
          <w:rFonts w:ascii="Arial" w:hAnsi="Arial" w:cs="Arial"/>
          <w:bCs/>
          <w:lang w:val="es-ES_tradnl"/>
        </w:rPr>
        <w:t xml:space="preserve"> de ju</w:t>
      </w:r>
      <w:r w:rsidR="00264D4B" w:rsidRPr="00B5774D">
        <w:rPr>
          <w:rFonts w:ascii="Arial" w:hAnsi="Arial" w:cs="Arial"/>
          <w:bCs/>
          <w:lang w:val="es-ES_tradnl"/>
        </w:rPr>
        <w:t>lio</w:t>
      </w:r>
      <w:r w:rsidRPr="00B5774D">
        <w:rPr>
          <w:rFonts w:ascii="Arial" w:hAnsi="Arial" w:cs="Arial"/>
          <w:bCs/>
          <w:lang w:val="es-ES_tradnl"/>
        </w:rPr>
        <w:t xml:space="preserve"> de</w:t>
      </w:r>
      <w:r w:rsidR="00264D4B" w:rsidRPr="00B5774D">
        <w:rPr>
          <w:rFonts w:ascii="Arial" w:hAnsi="Arial" w:cs="Arial"/>
          <w:bCs/>
          <w:lang w:val="es-ES_tradnl"/>
        </w:rPr>
        <w:t xml:space="preserve">l 2022, </w:t>
      </w:r>
      <w:r w:rsidRPr="00B5774D">
        <w:rPr>
          <w:rFonts w:ascii="Arial" w:hAnsi="Arial" w:cs="Arial"/>
          <w:bCs/>
          <w:lang w:val="es-ES_tradnl"/>
        </w:rPr>
        <w:t xml:space="preserve">la Subsección </w:t>
      </w:r>
      <w:r w:rsidR="00264D4B" w:rsidRPr="00B5774D">
        <w:rPr>
          <w:rFonts w:ascii="Arial" w:hAnsi="Arial" w:cs="Arial"/>
          <w:bCs/>
          <w:lang w:val="es-ES_tradnl"/>
        </w:rPr>
        <w:t>A</w:t>
      </w:r>
      <w:r w:rsidRPr="00B5774D">
        <w:rPr>
          <w:rFonts w:ascii="Arial" w:hAnsi="Arial" w:cs="Arial"/>
          <w:bCs/>
          <w:lang w:val="es-ES_tradnl"/>
        </w:rPr>
        <w:t xml:space="preserve"> de la Sección Tercera del Consejo de Estado señaló que </w:t>
      </w:r>
      <w:r w:rsidR="00805F9C" w:rsidRPr="00B5774D">
        <w:rPr>
          <w:rFonts w:ascii="Arial" w:hAnsi="Arial" w:cs="Arial"/>
          <w:bCs/>
          <w:lang w:val="es-ES_tradnl"/>
        </w:rPr>
        <w:t>en aquellos eventos en que se pretende mejorar aspectos con los que no se contaba a la fecha de presentación de la oferta</w:t>
      </w:r>
      <w:r w:rsidR="0086660F" w:rsidRPr="00B5774D">
        <w:rPr>
          <w:rFonts w:ascii="Arial" w:hAnsi="Arial" w:cs="Arial"/>
          <w:bCs/>
          <w:lang w:val="es-ES_tradnl"/>
        </w:rPr>
        <w:t>, incluyendo los requisitos habilitantes,</w:t>
      </w:r>
      <w:r w:rsidR="00805F9C" w:rsidRPr="00B5774D">
        <w:rPr>
          <w:rFonts w:ascii="Arial" w:hAnsi="Arial" w:cs="Arial"/>
          <w:bCs/>
          <w:lang w:val="es-ES_tradnl"/>
        </w:rPr>
        <w:t xml:space="preserve"> en realidad no se está subsanado la oferta sino que se está adicionando lo que contraria los principios de la contratación estatal</w:t>
      </w:r>
      <w:r w:rsidR="00805F9C" w:rsidRPr="00B5774D">
        <w:rPr>
          <w:rStyle w:val="Refdenotaalpie"/>
          <w:rFonts w:ascii="Arial" w:hAnsi="Arial" w:cs="Arial"/>
          <w:bCs/>
          <w:lang w:val="es-ES_tradnl"/>
        </w:rPr>
        <w:footnoteReference w:id="23"/>
      </w:r>
      <w:r w:rsidRPr="00B5774D">
        <w:rPr>
          <w:rFonts w:ascii="Arial" w:hAnsi="Arial" w:cs="Arial"/>
          <w:bCs/>
          <w:lang w:val="es-ES_tradnl"/>
        </w:rPr>
        <w:t xml:space="preserve">. Al respecto </w:t>
      </w:r>
      <w:r w:rsidR="00264D4B" w:rsidRPr="00B5774D">
        <w:rPr>
          <w:rFonts w:ascii="Arial" w:hAnsi="Arial" w:cs="Arial"/>
          <w:bCs/>
          <w:lang w:val="es-ES_tradnl"/>
        </w:rPr>
        <w:t xml:space="preserve">indicó </w:t>
      </w:r>
      <w:r w:rsidRPr="00B5774D">
        <w:rPr>
          <w:rFonts w:ascii="Arial" w:hAnsi="Arial" w:cs="Arial"/>
          <w:bCs/>
          <w:lang w:val="es-ES_tradnl"/>
        </w:rPr>
        <w:t>lo siguiente:</w:t>
      </w:r>
      <w:r w:rsidR="00571301" w:rsidRPr="00B5774D">
        <w:rPr>
          <w:rFonts w:ascii="Arial" w:hAnsi="Arial" w:cs="Arial"/>
          <w:bCs/>
          <w:lang w:val="es-ES_tradnl"/>
        </w:rPr>
        <w:tab/>
      </w:r>
    </w:p>
    <w:p w14:paraId="6DA11122" w14:textId="77777777" w:rsidR="00215592" w:rsidRPr="00B5774D" w:rsidRDefault="00215592" w:rsidP="00D601C2">
      <w:pPr>
        <w:tabs>
          <w:tab w:val="left" w:pos="0"/>
          <w:tab w:val="left" w:pos="6645"/>
        </w:tabs>
        <w:spacing w:after="0" w:line="276" w:lineRule="auto"/>
        <w:ind w:firstLine="567"/>
        <w:jc w:val="both"/>
        <w:rPr>
          <w:rFonts w:ascii="Arial" w:hAnsi="Arial" w:cs="Arial"/>
          <w:bCs/>
          <w:lang w:val="es-ES_tradnl"/>
        </w:rPr>
      </w:pPr>
    </w:p>
    <w:p w14:paraId="1583F397" w14:textId="28D76BBA" w:rsidR="00003BF6" w:rsidRPr="00B5774D" w:rsidRDefault="00805F9C" w:rsidP="00215592">
      <w:pPr>
        <w:tabs>
          <w:tab w:val="left" w:pos="6645"/>
        </w:tabs>
        <w:spacing w:after="0" w:line="240" w:lineRule="auto"/>
        <w:ind w:left="709" w:right="709"/>
        <w:jc w:val="both"/>
        <w:rPr>
          <w:rFonts w:ascii="Arial" w:hAnsi="Arial" w:cs="Arial"/>
          <w:bCs/>
          <w:sz w:val="21"/>
          <w:szCs w:val="21"/>
        </w:rPr>
      </w:pPr>
      <w:r w:rsidRPr="00B5774D">
        <w:rPr>
          <w:rFonts w:ascii="Arial" w:hAnsi="Arial" w:cs="Arial"/>
          <w:bCs/>
          <w:lang w:val="es-MX"/>
        </w:rPr>
        <w:t xml:space="preserve">[…] </w:t>
      </w:r>
      <w:r w:rsidR="00215592" w:rsidRPr="00B5774D">
        <w:rPr>
          <w:rFonts w:ascii="Arial" w:hAnsi="Arial" w:cs="Arial"/>
          <w:bCs/>
          <w:sz w:val="21"/>
          <w:szCs w:val="21"/>
        </w:rPr>
        <w:t>esta Corporación ha indicado que cuando se subsana la oferta en el evento de los requisitos que no otorgan puntaje, por regla general, no se mejora, en tanto no se adiciona en cuanto a los elementos que son objeto de su calificación</w:t>
      </w:r>
      <w:r w:rsidR="00215592" w:rsidRPr="00B5774D">
        <w:rPr>
          <w:rFonts w:ascii="Arial" w:hAnsi="Arial" w:cs="Arial"/>
          <w:bCs/>
          <w:sz w:val="21"/>
          <w:szCs w:val="21"/>
          <w:vertAlign w:val="superscript"/>
        </w:rPr>
        <w:t>88</w:t>
      </w:r>
      <w:r w:rsidR="00215592" w:rsidRPr="00B5774D">
        <w:rPr>
          <w:rFonts w:ascii="Arial" w:hAnsi="Arial" w:cs="Arial"/>
          <w:bCs/>
          <w:sz w:val="21"/>
          <w:szCs w:val="21"/>
        </w:rPr>
        <w:t xml:space="preserve">. En todo caso, en aquellos eventos en los que, so pretexto de la subsanabilidad se pretende mejorar aspectos con los que no se contaba para la fecha límite de presentación de las propuestas, en realidad no se está enmendando la oferta, sino que se está adicionando, lo que contraría los </w:t>
      </w:r>
      <w:r w:rsidR="00215592" w:rsidRPr="00B5774D">
        <w:rPr>
          <w:rFonts w:ascii="Arial" w:hAnsi="Arial" w:cs="Arial"/>
          <w:bCs/>
          <w:sz w:val="21"/>
          <w:szCs w:val="21"/>
        </w:rPr>
        <w:lastRenderedPageBreak/>
        <w:t>principios inherentes a la contratación estatal, pues desconoce los plazos con los que se contaba para aportar la propuesta</w:t>
      </w:r>
      <w:r w:rsidR="00215592" w:rsidRPr="00B5774D">
        <w:rPr>
          <w:rFonts w:ascii="Arial" w:hAnsi="Arial" w:cs="Arial"/>
          <w:bCs/>
          <w:sz w:val="21"/>
          <w:szCs w:val="21"/>
          <w:vertAlign w:val="superscript"/>
        </w:rPr>
        <w:t>89</w:t>
      </w:r>
      <w:r w:rsidR="00215592" w:rsidRPr="00B5774D">
        <w:rPr>
          <w:rFonts w:ascii="Arial" w:hAnsi="Arial" w:cs="Arial"/>
          <w:bCs/>
          <w:sz w:val="21"/>
          <w:szCs w:val="21"/>
        </w:rPr>
        <w:t>.</w:t>
      </w:r>
    </w:p>
    <w:p w14:paraId="6B4C768A" w14:textId="6F6C8045" w:rsidR="00805F9C" w:rsidRPr="00B5774D" w:rsidRDefault="00805F9C" w:rsidP="00215592">
      <w:pPr>
        <w:tabs>
          <w:tab w:val="left" w:pos="6645"/>
        </w:tabs>
        <w:spacing w:after="0" w:line="240" w:lineRule="auto"/>
        <w:ind w:left="709" w:right="709"/>
        <w:jc w:val="both"/>
        <w:rPr>
          <w:rFonts w:ascii="Arial" w:hAnsi="Arial" w:cs="Arial"/>
          <w:bCs/>
          <w:sz w:val="21"/>
          <w:szCs w:val="21"/>
        </w:rPr>
      </w:pPr>
    </w:p>
    <w:p w14:paraId="3081C5E3" w14:textId="16108326" w:rsidR="00805F9C" w:rsidRDefault="00805F9C" w:rsidP="00215592">
      <w:pPr>
        <w:tabs>
          <w:tab w:val="left" w:pos="6645"/>
        </w:tabs>
        <w:spacing w:after="0" w:line="240" w:lineRule="auto"/>
        <w:ind w:left="709" w:right="709"/>
        <w:jc w:val="both"/>
        <w:rPr>
          <w:rFonts w:ascii="Arial" w:hAnsi="Arial" w:cs="Arial"/>
          <w:bCs/>
          <w:lang w:val="es-MX"/>
        </w:rPr>
      </w:pPr>
      <w:r w:rsidRPr="00B5774D">
        <w:rPr>
          <w:rFonts w:ascii="Arial" w:hAnsi="Arial" w:cs="Arial"/>
          <w:bCs/>
          <w:lang w:val="es-MX"/>
        </w:rPr>
        <w:t>[…]</w:t>
      </w:r>
    </w:p>
    <w:p w14:paraId="1283F35E" w14:textId="77777777" w:rsidR="008134E3" w:rsidRPr="00B5774D" w:rsidRDefault="008134E3" w:rsidP="00215592">
      <w:pPr>
        <w:tabs>
          <w:tab w:val="left" w:pos="6645"/>
        </w:tabs>
        <w:spacing w:after="0" w:line="240" w:lineRule="auto"/>
        <w:ind w:left="709" w:right="709"/>
        <w:jc w:val="both"/>
        <w:rPr>
          <w:rFonts w:ascii="Arial" w:hAnsi="Arial" w:cs="Arial"/>
          <w:bCs/>
          <w:lang w:val="es-MX"/>
        </w:rPr>
      </w:pPr>
    </w:p>
    <w:p w14:paraId="02BCB49D" w14:textId="15343413" w:rsidR="0086660F" w:rsidRPr="00B5774D" w:rsidRDefault="0086660F" w:rsidP="00215592">
      <w:pPr>
        <w:tabs>
          <w:tab w:val="left" w:pos="6645"/>
        </w:tabs>
        <w:spacing w:after="0" w:line="240" w:lineRule="auto"/>
        <w:ind w:left="709" w:right="709"/>
        <w:jc w:val="both"/>
        <w:rPr>
          <w:rFonts w:ascii="Arial" w:hAnsi="Arial" w:cs="Arial"/>
          <w:bCs/>
          <w:sz w:val="21"/>
          <w:szCs w:val="21"/>
        </w:rPr>
      </w:pPr>
      <w:r w:rsidRPr="00B5774D">
        <w:rPr>
          <w:rFonts w:ascii="Arial" w:hAnsi="Arial" w:cs="Arial"/>
          <w:bCs/>
          <w:sz w:val="21"/>
          <w:szCs w:val="21"/>
        </w:rPr>
        <w:t>En desarrollo de lo anterior, aunque los elementos habilitantes en comento no eran pasibles de ser puntuados, no eran subsanables, en virtud del parágrafo 1 del artículo 5 de la Ley 1150 de 2011</w:t>
      </w:r>
      <w:r w:rsidR="00200CD8" w:rsidRPr="00B5774D">
        <w:rPr>
          <w:rFonts w:ascii="Arial" w:hAnsi="Arial" w:cs="Arial"/>
          <w:bCs/>
          <w:sz w:val="21"/>
          <w:szCs w:val="21"/>
        </w:rPr>
        <w:t xml:space="preserve"> (SIC)</w:t>
      </w:r>
      <w:r w:rsidRPr="00B5774D">
        <w:rPr>
          <w:rFonts w:ascii="Arial" w:hAnsi="Arial" w:cs="Arial"/>
          <w:bCs/>
          <w:sz w:val="21"/>
          <w:szCs w:val="21"/>
        </w:rPr>
        <w:t xml:space="preserve">, pues, como se indicó previamente, tales aspectos no son enmendables </w:t>
      </w:r>
      <w:r w:rsidRPr="00B5774D">
        <w:rPr>
          <w:rFonts w:ascii="Arial" w:hAnsi="Arial" w:cs="Arial"/>
          <w:bCs/>
          <w:i/>
          <w:iCs/>
          <w:sz w:val="21"/>
          <w:szCs w:val="21"/>
        </w:rPr>
        <w:t xml:space="preserve">per se, </w:t>
      </w:r>
      <w:r w:rsidRPr="00B5774D">
        <w:rPr>
          <w:rFonts w:ascii="Arial" w:hAnsi="Arial" w:cs="Arial"/>
          <w:bCs/>
          <w:sz w:val="21"/>
          <w:szCs w:val="21"/>
        </w:rPr>
        <w:t>so pena de adicionar la propuesta en desmedro de la selección objetiva y la libertad de competencia. En virtud de lo expuesto, lo único que se puede corregir son los documentos que demuestren el cumplimiento de los requisitos habilitantes antes de la fecha límite para la presentación de las propuestas, en cuyo caso lo que se subsana no es el requisito habilitante en sí mismo, sino la prueba de su acreditación antes de ese plazo.</w:t>
      </w:r>
    </w:p>
    <w:p w14:paraId="2351C4C7" w14:textId="12F6D845" w:rsidR="0086660F" w:rsidRPr="00B5774D" w:rsidRDefault="0086660F" w:rsidP="00215592">
      <w:pPr>
        <w:tabs>
          <w:tab w:val="left" w:pos="6645"/>
        </w:tabs>
        <w:spacing w:after="0" w:line="240" w:lineRule="auto"/>
        <w:ind w:left="709" w:right="709"/>
        <w:jc w:val="both"/>
        <w:rPr>
          <w:rFonts w:ascii="Arial" w:hAnsi="Arial" w:cs="Arial"/>
          <w:bCs/>
          <w:sz w:val="21"/>
          <w:szCs w:val="21"/>
        </w:rPr>
      </w:pPr>
    </w:p>
    <w:p w14:paraId="22D3779B" w14:textId="09CD1156" w:rsidR="0086660F" w:rsidRPr="00B5774D" w:rsidRDefault="0086660F" w:rsidP="00215592">
      <w:pPr>
        <w:tabs>
          <w:tab w:val="left" w:pos="6645"/>
        </w:tabs>
        <w:spacing w:after="0" w:line="240" w:lineRule="auto"/>
        <w:ind w:left="709" w:right="709"/>
        <w:jc w:val="both"/>
        <w:rPr>
          <w:rFonts w:ascii="Arial" w:hAnsi="Arial" w:cs="Arial"/>
          <w:bCs/>
          <w:sz w:val="21"/>
          <w:szCs w:val="21"/>
        </w:rPr>
      </w:pPr>
      <w:r w:rsidRPr="00B5774D">
        <w:rPr>
          <w:rFonts w:ascii="Arial" w:hAnsi="Arial" w:cs="Arial"/>
          <w:bCs/>
          <w:sz w:val="21"/>
          <w:szCs w:val="21"/>
        </w:rPr>
        <w:t xml:space="preserve">En un reciente pronunciamiento de la Subsección, se concluyó que la propuesta de un proponente no podía ser considerada como la más favorable, pues no cumplió con el requisito habilitante de carácter técnico de contar con varias máquinas de perforación. Si bien tal oferente allegó tales elementos de manera posterior a la fecha para presentación de las ofertas, se concluyó que ello no era procedente, debido a que los requisitos habilitantes no son subsanables y tal actuación constituía una adición del ofrecimiento, lo que iba en contravía de los principios de la función administrativa. </w:t>
      </w:r>
    </w:p>
    <w:p w14:paraId="1B1EBFAD" w14:textId="05AC0281" w:rsidR="0086660F" w:rsidRPr="00B5774D" w:rsidRDefault="0086660F" w:rsidP="00215592">
      <w:pPr>
        <w:tabs>
          <w:tab w:val="left" w:pos="6645"/>
        </w:tabs>
        <w:spacing w:after="0" w:line="240" w:lineRule="auto"/>
        <w:ind w:left="709" w:right="709"/>
        <w:jc w:val="both"/>
        <w:rPr>
          <w:rFonts w:ascii="Arial" w:hAnsi="Arial" w:cs="Arial"/>
          <w:bCs/>
          <w:sz w:val="21"/>
          <w:szCs w:val="21"/>
        </w:rPr>
      </w:pPr>
    </w:p>
    <w:p w14:paraId="1E8EC804" w14:textId="058B50DF" w:rsidR="0086660F" w:rsidRPr="00B5774D" w:rsidRDefault="0086660F" w:rsidP="00D81E80">
      <w:pPr>
        <w:tabs>
          <w:tab w:val="left" w:pos="6645"/>
        </w:tabs>
        <w:spacing w:before="120" w:after="0" w:line="276" w:lineRule="auto"/>
        <w:ind w:firstLine="709"/>
        <w:jc w:val="both"/>
        <w:rPr>
          <w:rFonts w:ascii="Arial" w:hAnsi="Arial" w:cs="Arial"/>
          <w:bCs/>
        </w:rPr>
      </w:pPr>
      <w:r w:rsidRPr="00B5774D">
        <w:rPr>
          <w:rFonts w:ascii="Arial" w:hAnsi="Arial" w:cs="Arial"/>
          <w:bCs/>
        </w:rPr>
        <w:t xml:space="preserve">Como se observa, en este caso </w:t>
      </w:r>
      <w:r w:rsidR="007636E8" w:rsidRPr="00B5774D">
        <w:rPr>
          <w:rFonts w:ascii="Arial" w:hAnsi="Arial" w:cs="Arial"/>
          <w:bCs/>
        </w:rPr>
        <w:t>la Subsección A de la Sección Tercera del</w:t>
      </w:r>
      <w:r w:rsidRPr="00B5774D">
        <w:rPr>
          <w:rFonts w:ascii="Arial" w:hAnsi="Arial" w:cs="Arial"/>
          <w:bCs/>
        </w:rPr>
        <w:t xml:space="preserve"> Consejo de Estado consideró que la subsanación del requisito habilitante de tipo técnico constituiría una adición de la oferta, puesto que este requisito no se había cumplido al momento de la presentación de la ofert</w:t>
      </w:r>
      <w:r w:rsidR="00EA7052" w:rsidRPr="00B5774D">
        <w:rPr>
          <w:rFonts w:ascii="Arial" w:hAnsi="Arial" w:cs="Arial"/>
          <w:bCs/>
        </w:rPr>
        <w:t>a</w:t>
      </w:r>
      <w:r w:rsidRPr="00B5774D">
        <w:rPr>
          <w:rFonts w:ascii="Arial" w:hAnsi="Arial" w:cs="Arial"/>
          <w:bCs/>
        </w:rPr>
        <w:t xml:space="preserve"> y por ende, es materialmente imposible tratar de subsanar algo que no existe. En consecuencia, la regla establecida en la providencia citada</w:t>
      </w:r>
      <w:r w:rsidR="00FE5947" w:rsidRPr="00B5774D">
        <w:rPr>
          <w:rFonts w:ascii="Arial" w:hAnsi="Arial" w:cs="Arial"/>
          <w:bCs/>
        </w:rPr>
        <w:t>,</w:t>
      </w:r>
      <w:r w:rsidRPr="00B5774D">
        <w:rPr>
          <w:rFonts w:ascii="Arial" w:hAnsi="Arial" w:cs="Arial"/>
          <w:bCs/>
        </w:rPr>
        <w:t xml:space="preserve"> </w:t>
      </w:r>
      <w:r w:rsidR="00200CD8" w:rsidRPr="00B5774D">
        <w:rPr>
          <w:rFonts w:ascii="Arial" w:hAnsi="Arial" w:cs="Arial"/>
          <w:bCs/>
        </w:rPr>
        <w:t xml:space="preserve">analizada a la luz del parágrafo 1 del artículo 5 de la Ley 1150 de 2007, </w:t>
      </w:r>
      <w:r w:rsidR="00FE5947" w:rsidRPr="00B5774D">
        <w:rPr>
          <w:rFonts w:ascii="Arial" w:hAnsi="Arial" w:cs="Arial"/>
          <w:bCs/>
        </w:rPr>
        <w:t>es que lo único que se puede corregir son los documentos que demuestren el cumplimiento de los requisitos habilitantes antes de la fecha límite para la presentación de las propuestas, en cuyo caso lo que se subsana no es el requisito habilitante en sí mismo, sino la prueba de su acreditación antes de ese plazo.</w:t>
      </w:r>
    </w:p>
    <w:p w14:paraId="0BB3763C" w14:textId="0BBCE0A8" w:rsidR="0086660F" w:rsidRPr="00B5774D" w:rsidRDefault="0086660F" w:rsidP="00D81E80">
      <w:pPr>
        <w:tabs>
          <w:tab w:val="left" w:pos="6645"/>
        </w:tabs>
        <w:spacing w:before="120" w:after="0" w:line="276" w:lineRule="auto"/>
        <w:ind w:firstLine="709"/>
        <w:jc w:val="both"/>
        <w:rPr>
          <w:rFonts w:ascii="Arial" w:hAnsi="Arial" w:cs="Arial"/>
          <w:bCs/>
          <w:lang w:val="es-ES_tradnl"/>
        </w:rPr>
      </w:pPr>
      <w:r w:rsidRPr="00B5774D">
        <w:rPr>
          <w:rFonts w:ascii="Arial" w:hAnsi="Arial" w:cs="Arial"/>
          <w:bCs/>
          <w:lang w:val="es-ES_tradnl"/>
        </w:rPr>
        <w:t xml:space="preserve">Según se evidencia, al interior de la Sección Tercera del Consejo de Estado no hay unidad de criterio en relación con la </w:t>
      </w:r>
      <w:r w:rsidR="00924382" w:rsidRPr="00B5774D">
        <w:rPr>
          <w:rFonts w:ascii="Arial" w:hAnsi="Arial" w:cs="Arial"/>
          <w:bCs/>
          <w:lang w:val="es-ES_tradnl"/>
        </w:rPr>
        <w:t>subsanabilidad de la oferta</w:t>
      </w:r>
      <w:r w:rsidR="00EA7052" w:rsidRPr="00B5774D">
        <w:rPr>
          <w:rFonts w:ascii="Arial" w:hAnsi="Arial" w:cs="Arial"/>
          <w:bCs/>
          <w:lang w:val="es-ES_tradnl"/>
        </w:rPr>
        <w:t xml:space="preserve"> en relación con los </w:t>
      </w:r>
      <w:r w:rsidR="00EA7052" w:rsidRPr="00B5774D">
        <w:rPr>
          <w:rFonts w:ascii="Arial" w:hAnsi="Arial" w:cs="Arial"/>
          <w:bCs/>
          <w:lang w:val="es-ES_tradnl"/>
        </w:rPr>
        <w:lastRenderedPageBreak/>
        <w:t>requisitos habilitantes</w:t>
      </w:r>
      <w:r w:rsidR="00CF1E81" w:rsidRPr="00B5774D">
        <w:rPr>
          <w:rFonts w:ascii="Arial" w:hAnsi="Arial" w:cs="Arial"/>
          <w:bCs/>
          <w:lang w:val="es-ES_tradnl"/>
        </w:rPr>
        <w:t xml:space="preserve">, situación </w:t>
      </w:r>
      <w:r w:rsidR="000323B6" w:rsidRPr="00B5774D">
        <w:rPr>
          <w:rFonts w:ascii="Arial" w:hAnsi="Arial" w:cs="Arial"/>
          <w:bCs/>
          <w:lang w:val="es-ES_tradnl"/>
        </w:rPr>
        <w:t>que</w:t>
      </w:r>
      <w:r w:rsidR="00CF1E81" w:rsidRPr="00B5774D">
        <w:rPr>
          <w:rFonts w:ascii="Arial" w:hAnsi="Arial" w:cs="Arial"/>
          <w:bCs/>
          <w:lang w:val="es-ES_tradnl"/>
        </w:rPr>
        <w:t xml:space="preserve"> reconoce la misma corporación</w:t>
      </w:r>
      <w:r w:rsidR="00CF1E81" w:rsidRPr="00B5774D">
        <w:rPr>
          <w:rStyle w:val="Refdenotaalpie"/>
          <w:rFonts w:ascii="Arial" w:hAnsi="Arial" w:cs="Arial"/>
          <w:bCs/>
          <w:lang w:val="es-ES_tradnl"/>
        </w:rPr>
        <w:footnoteReference w:id="24"/>
      </w:r>
      <w:r w:rsidRPr="00B5774D">
        <w:rPr>
          <w:rFonts w:ascii="Arial" w:hAnsi="Arial" w:cs="Arial"/>
          <w:bCs/>
          <w:lang w:val="es-ES_tradnl"/>
        </w:rPr>
        <w:t>. Las posiciones señaladas muestran que se trata de un tema discutido en la jurisprudencia y que, actualmente, no hay una sentencia de unificación que permita consolidar y vincular un enfoque interpretativo único en la materia</w:t>
      </w:r>
      <w:r w:rsidRPr="00B5774D">
        <w:rPr>
          <w:rFonts w:ascii="Arial" w:hAnsi="Arial" w:cs="Arial"/>
          <w:bCs/>
          <w:lang w:val="es-MX"/>
        </w:rPr>
        <w:t>.</w:t>
      </w:r>
      <w:r w:rsidRPr="00B5774D">
        <w:rPr>
          <w:rFonts w:ascii="Arial" w:hAnsi="Arial" w:cs="Arial"/>
          <w:bCs/>
          <w:lang w:val="es-ES_tradnl"/>
        </w:rPr>
        <w:t xml:space="preserve"> </w:t>
      </w:r>
    </w:p>
    <w:p w14:paraId="7ECB9650" w14:textId="3C04E9A9" w:rsidR="0086660F" w:rsidRPr="00B5774D" w:rsidRDefault="0086660F" w:rsidP="00D81E80">
      <w:pPr>
        <w:tabs>
          <w:tab w:val="left" w:pos="6645"/>
        </w:tabs>
        <w:spacing w:before="120" w:after="0" w:line="276" w:lineRule="auto"/>
        <w:ind w:firstLine="709"/>
        <w:jc w:val="both"/>
        <w:rPr>
          <w:rFonts w:ascii="Arial" w:hAnsi="Arial" w:cs="Arial"/>
          <w:bCs/>
          <w:lang w:val="es-MX"/>
        </w:rPr>
      </w:pPr>
      <w:bookmarkStart w:id="6" w:name="_Hlk80613411"/>
      <w:r w:rsidRPr="00B5774D">
        <w:rPr>
          <w:rFonts w:ascii="Arial" w:hAnsi="Arial" w:cs="Arial"/>
          <w:bCs/>
          <w:lang w:val="es-ES_tradnl"/>
        </w:rPr>
        <w:t xml:space="preserve">Aunque no se desconocen los efectos de cosa juzgada en la decisión de la Subsección </w:t>
      </w:r>
      <w:r w:rsidR="00CF1E81" w:rsidRPr="00B5774D">
        <w:rPr>
          <w:rFonts w:ascii="Arial" w:hAnsi="Arial" w:cs="Arial"/>
          <w:bCs/>
          <w:lang w:val="es-ES_tradnl"/>
        </w:rPr>
        <w:t>A</w:t>
      </w:r>
      <w:r w:rsidRPr="00B5774D">
        <w:rPr>
          <w:rFonts w:ascii="Arial" w:hAnsi="Arial" w:cs="Arial"/>
          <w:bCs/>
          <w:lang w:val="es-ES_tradnl"/>
        </w:rPr>
        <w:t xml:space="preserve">, </w:t>
      </w:r>
      <w:r w:rsidR="008134E3">
        <w:rPr>
          <w:rFonts w:ascii="Arial" w:hAnsi="Arial" w:cs="Arial"/>
          <w:bCs/>
          <w:lang w:val="es-ES_tradnl"/>
        </w:rPr>
        <w:t>la Agencia Nacional de Contratación Pública –</w:t>
      </w:r>
      <w:r w:rsidRPr="00B5774D">
        <w:rPr>
          <w:rFonts w:ascii="Arial" w:hAnsi="Arial" w:cs="Arial"/>
          <w:bCs/>
          <w:lang w:val="es-ES_tradnl"/>
        </w:rPr>
        <w:t>Colombia Compra Eficiente</w:t>
      </w:r>
      <w:r w:rsidR="008134E3">
        <w:rPr>
          <w:rFonts w:ascii="Arial" w:hAnsi="Arial" w:cs="Arial"/>
          <w:bCs/>
          <w:lang w:val="es-ES_tradnl"/>
        </w:rPr>
        <w:t>–</w:t>
      </w:r>
      <w:r w:rsidRPr="00B5774D">
        <w:rPr>
          <w:rFonts w:ascii="Arial" w:hAnsi="Arial" w:cs="Arial"/>
          <w:bCs/>
          <w:lang w:val="es-ES_tradnl"/>
        </w:rPr>
        <w:t xml:space="preserve">, en desarrollo de su competencia de interpretación de normas generales y al no existir jurisprudencia unificada frente al tema, </w:t>
      </w:r>
      <w:r w:rsidR="00A449D4" w:rsidRPr="00B5774D">
        <w:rPr>
          <w:rFonts w:ascii="Arial" w:hAnsi="Arial" w:cs="Arial"/>
          <w:bCs/>
          <w:lang w:val="es-ES_tradnl"/>
        </w:rPr>
        <w:t>reitera</w:t>
      </w:r>
      <w:r w:rsidRPr="00B5774D">
        <w:rPr>
          <w:rFonts w:ascii="Arial" w:hAnsi="Arial" w:cs="Arial"/>
          <w:bCs/>
          <w:lang w:val="es-ES_tradnl"/>
        </w:rPr>
        <w:t xml:space="preserve"> la tesis</w:t>
      </w:r>
      <w:r w:rsidR="00A449D4" w:rsidRPr="00B5774D">
        <w:rPr>
          <w:rFonts w:ascii="Arial" w:hAnsi="Arial" w:cs="Arial"/>
          <w:bCs/>
          <w:lang w:val="es-ES_tradnl"/>
        </w:rPr>
        <w:t xml:space="preserve"> expuesta en el </w:t>
      </w:r>
      <w:r w:rsidR="000B3AC5" w:rsidRPr="00B5774D">
        <w:rPr>
          <w:rFonts w:ascii="Arial" w:hAnsi="Arial" w:cs="Arial"/>
          <w:lang w:val="es-MX"/>
        </w:rPr>
        <w:t>CU</w:t>
      </w:r>
      <w:r w:rsidR="008134E3">
        <w:rPr>
          <w:rFonts w:ascii="Arial" w:hAnsi="Arial" w:cs="Arial"/>
          <w:lang w:val="es-MX"/>
        </w:rPr>
        <w:t>–</w:t>
      </w:r>
      <w:r w:rsidR="000B3AC5" w:rsidRPr="00B5774D">
        <w:rPr>
          <w:rFonts w:ascii="Arial" w:hAnsi="Arial" w:cs="Arial"/>
          <w:lang w:val="es-MX"/>
        </w:rPr>
        <w:t xml:space="preserve">60 de 16 de enero de 2020, </w:t>
      </w:r>
      <w:r w:rsidR="00A449D4" w:rsidRPr="00B5774D">
        <w:rPr>
          <w:rFonts w:ascii="Arial" w:hAnsi="Arial" w:cs="Arial"/>
          <w:bCs/>
          <w:lang w:val="es-ES_tradnl"/>
        </w:rPr>
        <w:t xml:space="preserve">que resulta concordante con lo </w:t>
      </w:r>
      <w:r w:rsidRPr="00B5774D">
        <w:rPr>
          <w:rFonts w:ascii="Arial" w:hAnsi="Arial" w:cs="Arial"/>
          <w:bCs/>
          <w:lang w:val="es-ES_tradnl"/>
        </w:rPr>
        <w:t>expuest</w:t>
      </w:r>
      <w:r w:rsidR="00A449D4" w:rsidRPr="00B5774D">
        <w:rPr>
          <w:rFonts w:ascii="Arial" w:hAnsi="Arial" w:cs="Arial"/>
          <w:bCs/>
          <w:lang w:val="es-ES_tradnl"/>
        </w:rPr>
        <w:t>o en las sentencias del 28 de febrero y 20 de abril del 2022</w:t>
      </w:r>
      <w:r w:rsidRPr="00B5774D">
        <w:rPr>
          <w:rFonts w:ascii="Arial" w:hAnsi="Arial" w:cs="Arial"/>
          <w:bCs/>
          <w:lang w:val="es-ES_tradnl"/>
        </w:rPr>
        <w:t>,</w:t>
      </w:r>
      <w:r w:rsidR="00EA7052" w:rsidRPr="00B5774D">
        <w:rPr>
          <w:rFonts w:ascii="Arial" w:hAnsi="Arial" w:cs="Arial"/>
          <w:bCs/>
          <w:lang w:val="es-MX"/>
        </w:rPr>
        <w:t xml:space="preserve"> en el entendido de que </w:t>
      </w:r>
      <w:r w:rsidR="00EA7052" w:rsidRPr="00B5774D">
        <w:rPr>
          <w:rFonts w:ascii="Arial" w:hAnsi="Arial" w:cs="Arial"/>
          <w:bCs/>
          <w:lang w:val="es-ES_tradnl"/>
        </w:rPr>
        <w:t>es subsanable todo requisito que no otorgue puntaje</w:t>
      </w:r>
      <w:r w:rsidR="00EA7052" w:rsidRPr="00B5774D">
        <w:rPr>
          <w:rFonts w:ascii="Arial" w:hAnsi="Arial" w:cs="Arial"/>
          <w:bCs/>
          <w:lang w:val="es-MX"/>
        </w:rPr>
        <w:t xml:space="preserve"> siempre que no se trate de entregar la garantía de seriedad de la oferta no aportada antes del cierre del procedimiento de selección, y bajo la condición de que no se acrediten hechos ocurridos con posterioridad a dicho momento</w:t>
      </w:r>
      <w:r w:rsidR="00EA7052" w:rsidRPr="00B5774D">
        <w:rPr>
          <w:rFonts w:ascii="Arial" w:hAnsi="Arial" w:cs="Arial"/>
          <w:bCs/>
          <w:lang w:val="es-ES_tradnl"/>
        </w:rPr>
        <w:t xml:space="preserve">. </w:t>
      </w:r>
      <w:bookmarkEnd w:id="6"/>
    </w:p>
    <w:p w14:paraId="404FD1EC" w14:textId="50BD7E19" w:rsidR="00EA7052" w:rsidRPr="00B5774D" w:rsidRDefault="0086660F" w:rsidP="00D81E80">
      <w:pPr>
        <w:tabs>
          <w:tab w:val="left" w:pos="6645"/>
        </w:tabs>
        <w:spacing w:before="120" w:after="0" w:line="276" w:lineRule="auto"/>
        <w:ind w:firstLine="709"/>
        <w:jc w:val="both"/>
        <w:rPr>
          <w:rFonts w:ascii="Arial" w:hAnsi="Arial" w:cs="Arial"/>
          <w:bCs/>
          <w:lang w:val="es-ES_tradnl"/>
        </w:rPr>
      </w:pPr>
      <w:r w:rsidRPr="00B5774D">
        <w:rPr>
          <w:rFonts w:ascii="Arial" w:hAnsi="Arial" w:cs="Arial"/>
          <w:bCs/>
          <w:lang w:val="es-ES_tradnl"/>
        </w:rPr>
        <w:t>En otras palabras, esta entidad, en coherencia con la posición sobre</w:t>
      </w:r>
      <w:r w:rsidR="00EA7052" w:rsidRPr="00B5774D">
        <w:rPr>
          <w:rFonts w:ascii="Arial" w:hAnsi="Arial" w:cs="Arial"/>
          <w:bCs/>
          <w:lang w:val="es-ES_tradnl"/>
        </w:rPr>
        <w:t xml:space="preserve"> la subsanabilidad de las ofertas</w:t>
      </w:r>
      <w:r w:rsidRPr="00B5774D">
        <w:rPr>
          <w:rFonts w:ascii="Arial" w:hAnsi="Arial" w:cs="Arial"/>
          <w:bCs/>
          <w:lang w:val="es-ES_tradnl"/>
        </w:rPr>
        <w:t xml:space="preserve"> sostenida en múltiples conceptos, y reiterada en el numeral anterior de este concepto, comparte la postura de la Subsección </w:t>
      </w:r>
      <w:r w:rsidR="00EA7052" w:rsidRPr="00B5774D">
        <w:rPr>
          <w:rFonts w:ascii="Arial" w:hAnsi="Arial" w:cs="Arial"/>
          <w:bCs/>
          <w:lang w:val="es-ES_tradnl"/>
        </w:rPr>
        <w:t>C</w:t>
      </w:r>
      <w:r w:rsidRPr="00B5774D">
        <w:rPr>
          <w:rFonts w:ascii="Arial" w:hAnsi="Arial" w:cs="Arial"/>
          <w:bCs/>
          <w:lang w:val="es-ES_tradnl"/>
        </w:rPr>
        <w:t xml:space="preserve"> del Consejo de Estado plasmada en las Sentencias del </w:t>
      </w:r>
      <w:r w:rsidR="00EA7052" w:rsidRPr="00B5774D">
        <w:rPr>
          <w:rFonts w:ascii="Arial" w:hAnsi="Arial" w:cs="Arial"/>
          <w:bCs/>
          <w:lang w:val="es-ES_tradnl"/>
        </w:rPr>
        <w:t>28 de febrero y 20 de abril del 2022</w:t>
      </w:r>
      <w:r w:rsidRPr="00B5774D">
        <w:rPr>
          <w:rFonts w:ascii="Arial" w:hAnsi="Arial" w:cs="Arial"/>
          <w:bCs/>
          <w:lang w:val="es-ES_tradnl"/>
        </w:rPr>
        <w:t>,</w:t>
      </w:r>
      <w:r w:rsidR="00EA7052" w:rsidRPr="00B5774D">
        <w:rPr>
          <w:rFonts w:ascii="Arial" w:hAnsi="Arial" w:cs="Arial"/>
          <w:bCs/>
          <w:lang w:val="es-ES_tradnl"/>
        </w:rPr>
        <w:t xml:space="preserve"> </w:t>
      </w:r>
      <w:r w:rsidR="00075415" w:rsidRPr="00B5774D">
        <w:rPr>
          <w:rFonts w:ascii="Arial" w:hAnsi="Arial" w:cs="Arial"/>
          <w:bCs/>
          <w:lang w:val="es-ES_tradnl"/>
        </w:rPr>
        <w:t xml:space="preserve">la cual </w:t>
      </w:r>
      <w:r w:rsidR="000323B6" w:rsidRPr="00B5774D">
        <w:rPr>
          <w:rFonts w:ascii="Arial" w:hAnsi="Arial" w:cs="Arial"/>
          <w:bCs/>
          <w:lang w:val="es-ES_tradnl"/>
        </w:rPr>
        <w:t xml:space="preserve">se considera </w:t>
      </w:r>
      <w:r w:rsidR="00FA42BB">
        <w:rPr>
          <w:rFonts w:ascii="Arial" w:hAnsi="Arial" w:cs="Arial"/>
          <w:bCs/>
          <w:lang w:val="es-ES_tradnl"/>
        </w:rPr>
        <w:t>que respeta el espíritu de</w:t>
      </w:r>
      <w:r w:rsidR="000323B6" w:rsidRPr="00B5774D">
        <w:rPr>
          <w:rFonts w:ascii="Arial" w:hAnsi="Arial" w:cs="Arial"/>
          <w:bCs/>
          <w:lang w:val="es-ES_tradnl"/>
        </w:rPr>
        <w:t xml:space="preserve">l </w:t>
      </w:r>
      <w:r w:rsidR="00E668B4">
        <w:rPr>
          <w:rFonts w:ascii="Arial" w:hAnsi="Arial" w:cs="Arial"/>
          <w:bCs/>
          <w:lang w:val="es-ES_tradnl"/>
        </w:rPr>
        <w:t xml:space="preserve">del </w:t>
      </w:r>
      <w:r w:rsidR="000323B6" w:rsidRPr="00B5774D">
        <w:rPr>
          <w:rFonts w:ascii="Arial" w:hAnsi="Arial" w:cs="Arial"/>
          <w:bCs/>
          <w:lang w:val="es-ES_tradnl"/>
        </w:rPr>
        <w:t xml:space="preserve">artículo 5 de la Ley 1150 de 2007 </w:t>
      </w:r>
      <w:r w:rsidR="00075415" w:rsidRPr="00B5774D">
        <w:rPr>
          <w:rFonts w:ascii="Arial" w:hAnsi="Arial" w:cs="Arial"/>
          <w:bCs/>
          <w:lang w:val="es-ES"/>
        </w:rPr>
        <w:t xml:space="preserve">–modificado por el artículo 5 de la Ley 1882 de 2018–, </w:t>
      </w:r>
      <w:r w:rsidR="000323B6" w:rsidRPr="00B5774D">
        <w:rPr>
          <w:rFonts w:ascii="Arial" w:hAnsi="Arial" w:cs="Arial"/>
          <w:bCs/>
          <w:lang w:val="es-ES_tradnl"/>
        </w:rPr>
        <w:t xml:space="preserve">y es la que más garantiza el principio de selección objetiva. </w:t>
      </w:r>
    </w:p>
    <w:p w14:paraId="57C6847E" w14:textId="1CBC4905" w:rsidR="00362C7C" w:rsidRPr="00B5774D" w:rsidRDefault="0086660F" w:rsidP="00D81E80">
      <w:pPr>
        <w:tabs>
          <w:tab w:val="left" w:pos="6645"/>
        </w:tabs>
        <w:spacing w:before="120" w:after="0" w:line="276" w:lineRule="auto"/>
        <w:ind w:firstLine="709"/>
        <w:jc w:val="both"/>
        <w:rPr>
          <w:rFonts w:ascii="Arial" w:hAnsi="Arial" w:cs="Arial"/>
          <w:bCs/>
          <w:lang w:val="es-ES"/>
        </w:rPr>
      </w:pPr>
      <w:r w:rsidRPr="00B5774D">
        <w:rPr>
          <w:rFonts w:ascii="Arial" w:hAnsi="Arial" w:cs="Arial"/>
          <w:bCs/>
          <w:lang w:val="es-ES_tradnl"/>
        </w:rPr>
        <w:t xml:space="preserve">En efecto, para esta Agencia, tal como se expone en las decisiones mencionadas, </w:t>
      </w:r>
      <w:r w:rsidR="0090753D" w:rsidRPr="00B5774D">
        <w:rPr>
          <w:rFonts w:ascii="Arial" w:hAnsi="Arial" w:cs="Arial"/>
          <w:bCs/>
          <w:lang w:val="es-MX"/>
        </w:rPr>
        <w:t xml:space="preserve">la previsión normativa </w:t>
      </w:r>
      <w:r w:rsidR="00075415" w:rsidRPr="00B5774D">
        <w:rPr>
          <w:rFonts w:ascii="Arial" w:hAnsi="Arial" w:cs="Arial"/>
          <w:bCs/>
          <w:lang w:val="es-ES_tradnl"/>
        </w:rPr>
        <w:t xml:space="preserve">señalada </w:t>
      </w:r>
      <w:r w:rsidR="0090753D" w:rsidRPr="00B5774D">
        <w:rPr>
          <w:rFonts w:ascii="Arial" w:hAnsi="Arial" w:cs="Arial"/>
          <w:bCs/>
          <w:lang w:val="es-MX"/>
        </w:rPr>
        <w:t xml:space="preserve">debe interpretarse de forma armónica con los numerales 7 y 8 del artículo 30 de la Ley 80 de 1993 de tal suerte </w:t>
      </w:r>
      <w:r w:rsidR="00075415" w:rsidRPr="00B5774D">
        <w:rPr>
          <w:rFonts w:ascii="Arial" w:hAnsi="Arial" w:cs="Arial"/>
          <w:bCs/>
          <w:lang w:val="es-MX"/>
        </w:rPr>
        <w:t>que</w:t>
      </w:r>
      <w:r w:rsidR="00BE4FF8" w:rsidRPr="00B5774D">
        <w:rPr>
          <w:rFonts w:ascii="Arial" w:hAnsi="Arial" w:cs="Arial"/>
          <w:bCs/>
          <w:lang w:val="es-MX"/>
        </w:rPr>
        <w:t xml:space="preserve"> si</w:t>
      </w:r>
      <w:r w:rsidR="00075415" w:rsidRPr="00B5774D">
        <w:rPr>
          <w:rFonts w:ascii="Arial" w:hAnsi="Arial" w:cs="Arial"/>
          <w:bCs/>
          <w:lang w:val="es-ES_tradnl"/>
        </w:rPr>
        <w:t xml:space="preserve"> los requisitos no afectan la asignación de puntaje y tienen el carácter de habilitantes para la participación en el proceso de contratación, se entiende que, en principio, pueden </w:t>
      </w:r>
      <w:r w:rsidR="009B2577" w:rsidRPr="00B5774D">
        <w:rPr>
          <w:rFonts w:ascii="Arial" w:hAnsi="Arial" w:cs="Arial"/>
          <w:bCs/>
          <w:lang w:val="es-ES_tradnl"/>
        </w:rPr>
        <w:t xml:space="preserve">complementarse </w:t>
      </w:r>
      <w:r w:rsidR="00075415" w:rsidRPr="00B5774D">
        <w:rPr>
          <w:rFonts w:ascii="Arial" w:hAnsi="Arial" w:cs="Arial"/>
          <w:bCs/>
          <w:lang w:val="es-ES_tradnl"/>
        </w:rPr>
        <w:t>siempre que no se acrediten circunstancias ocurridas con posterioridad al cierre del proceso</w:t>
      </w:r>
      <w:r w:rsidR="00075415" w:rsidRPr="00B5774D">
        <w:rPr>
          <w:rFonts w:ascii="Arial" w:hAnsi="Arial" w:cs="Arial"/>
          <w:bCs/>
          <w:lang w:val="es-ES"/>
        </w:rPr>
        <w:t xml:space="preserve">. </w:t>
      </w:r>
      <w:r w:rsidR="000A70B7" w:rsidRPr="00B5774D">
        <w:rPr>
          <w:rFonts w:ascii="Arial" w:hAnsi="Arial" w:cs="Arial"/>
          <w:bCs/>
          <w:lang w:val="es-ES"/>
        </w:rPr>
        <w:t>De esta manera, la entidad debe permitirle al oferente subsanar los aspectos habilitantes, como por ejemplo la ficha técnica, cuando a su juicio esta no haya sido cumplida por el oferente en los términos exigidos en el pliego de condiciones, puesto que al tratarse de un requisito que no asigna puntaje tiene carácter de subsanable.</w:t>
      </w:r>
    </w:p>
    <w:p w14:paraId="6A66C57C" w14:textId="52917E71" w:rsidR="009C59EC" w:rsidRPr="00B5774D" w:rsidRDefault="00637CE8" w:rsidP="00D81E80">
      <w:pPr>
        <w:tabs>
          <w:tab w:val="left" w:pos="6645"/>
        </w:tabs>
        <w:spacing w:before="120" w:after="0" w:line="276" w:lineRule="auto"/>
        <w:ind w:firstLine="709"/>
        <w:jc w:val="both"/>
        <w:rPr>
          <w:rFonts w:ascii="Arial" w:hAnsi="Arial" w:cs="Arial"/>
          <w:bCs/>
          <w:lang w:val="es-MX"/>
        </w:rPr>
      </w:pPr>
      <w:r w:rsidRPr="00B5774D">
        <w:rPr>
          <w:rFonts w:ascii="Arial" w:hAnsi="Arial" w:cs="Arial"/>
          <w:bCs/>
          <w:lang w:val="es-ES_tradnl"/>
        </w:rPr>
        <w:lastRenderedPageBreak/>
        <w:t>Ciertamente, como lo explica el Consejo de Estado, u</w:t>
      </w:r>
      <w:r w:rsidR="00362C7C" w:rsidRPr="00B5774D">
        <w:rPr>
          <w:rFonts w:ascii="Arial" w:hAnsi="Arial" w:cs="Arial"/>
          <w:bCs/>
          <w:lang w:val="es-ES_tradnl"/>
        </w:rPr>
        <w:t xml:space="preserve">na interpretación </w:t>
      </w:r>
      <w:r w:rsidRPr="00B5774D">
        <w:rPr>
          <w:rFonts w:ascii="Arial" w:hAnsi="Arial" w:cs="Arial"/>
          <w:bCs/>
          <w:lang w:val="es-ES_tradnl"/>
        </w:rPr>
        <w:t xml:space="preserve">aislada del numeral 8 del artículo 30 de la ley 80 de 1993 </w:t>
      </w:r>
      <w:r w:rsidRPr="00B5774D">
        <w:rPr>
          <w:rFonts w:ascii="Arial" w:hAnsi="Arial" w:cs="Arial"/>
          <w:bCs/>
          <w:lang w:val="es-MX"/>
        </w:rPr>
        <w:t>«</w:t>
      </w:r>
      <w:r w:rsidRPr="00B5774D">
        <w:rPr>
          <w:rFonts w:ascii="Arial" w:hAnsi="Arial" w:cs="Arial"/>
          <w:bCs/>
          <w:lang w:val="es-ES_tradnl"/>
        </w:rPr>
        <w:t>significaría que si falta, por ejemplo, una copia de la propuesta, entonces no se pod</w:t>
      </w:r>
      <w:r w:rsidR="00845C92" w:rsidRPr="00B5774D">
        <w:rPr>
          <w:rFonts w:ascii="Arial" w:hAnsi="Arial" w:cs="Arial"/>
          <w:bCs/>
          <w:lang w:val="es-ES_tradnl"/>
        </w:rPr>
        <w:t>í</w:t>
      </w:r>
      <w:r w:rsidRPr="00B5774D">
        <w:rPr>
          <w:rFonts w:ascii="Arial" w:hAnsi="Arial" w:cs="Arial"/>
          <w:bCs/>
          <w:lang w:val="es-ES_tradnl"/>
        </w:rPr>
        <w:t>a pedirla al oferente para que subsanara el requisito, porque al aportarla necesariamente complementaria o adicionaría lo que no estaba. De admitir este entendimiento</w:t>
      </w:r>
      <w:r w:rsidR="00A824D8" w:rsidRPr="00B5774D">
        <w:rPr>
          <w:rFonts w:ascii="Arial" w:hAnsi="Arial" w:cs="Arial"/>
          <w:bCs/>
          <w:lang w:val="es-ES_tradnl"/>
        </w:rPr>
        <w:t xml:space="preserve"> surgiría</w:t>
      </w:r>
      <w:r w:rsidRPr="00B5774D">
        <w:rPr>
          <w:rFonts w:ascii="Arial" w:hAnsi="Arial" w:cs="Arial"/>
          <w:bCs/>
          <w:lang w:val="es-ES_tradnl"/>
        </w:rPr>
        <w:t>, de un lado, una contradicción lógica grave, profunda e irreconciliable entre los artículos 25.15 y 30.7 con el artículo 30.8; y del otro lado, si las reglas hermenéuticas permiten entender todas las normas en su propio contexto, conservando la filosofía que inspiro el cambio de la regulación sobre la subsanabilidad de la oferta, se debe optar por ese entendimiento</w:t>
      </w:r>
      <w:r w:rsidR="00A07C3A" w:rsidRPr="00B5774D">
        <w:rPr>
          <w:rFonts w:ascii="Arial" w:hAnsi="Arial" w:cs="Arial"/>
          <w:bCs/>
          <w:lang w:val="es-ES_tradnl"/>
        </w:rPr>
        <w:t xml:space="preserve">. </w:t>
      </w:r>
      <w:r w:rsidR="00A07C3A" w:rsidRPr="00B5774D">
        <w:rPr>
          <w:rFonts w:ascii="Arial" w:hAnsi="Arial" w:cs="Arial"/>
          <w:bCs/>
          <w:iCs/>
          <w:lang w:val="es-ES"/>
        </w:rPr>
        <w:t>Además, el art. 25.15 contiene un principio general del derecho administrativo –el principio de economía-, mientras que el art. 30.8 contiene una regla específica de aplicación en la licitación, así que el orden en que se interpretan y la coherencia que hay que hallar entre ellos indica que la regla debe entenderse conforme al principio, pues éste inspira su alcance e indica la mejor forma de aplicarla</w:t>
      </w:r>
      <w:r w:rsidRPr="00B5774D">
        <w:rPr>
          <w:rFonts w:ascii="Arial" w:hAnsi="Arial" w:cs="Arial"/>
          <w:bCs/>
          <w:lang w:val="es-MX"/>
        </w:rPr>
        <w:t>»</w:t>
      </w:r>
      <w:r w:rsidR="00A824D8" w:rsidRPr="00B5774D">
        <w:rPr>
          <w:rStyle w:val="Refdenotaalpie"/>
          <w:rFonts w:ascii="Arial" w:hAnsi="Arial" w:cs="Arial"/>
          <w:bCs/>
          <w:lang w:val="es-MX"/>
        </w:rPr>
        <w:footnoteReference w:id="25"/>
      </w:r>
      <w:r w:rsidRPr="00B5774D">
        <w:rPr>
          <w:rFonts w:ascii="Arial" w:hAnsi="Arial" w:cs="Arial"/>
          <w:bCs/>
          <w:lang w:val="es-MX"/>
        </w:rPr>
        <w:t>.</w:t>
      </w:r>
    </w:p>
    <w:p w14:paraId="4671A318" w14:textId="06A879AB" w:rsidR="00D24D7A" w:rsidRPr="00B5774D" w:rsidRDefault="00D24D7A" w:rsidP="00D81E80">
      <w:pPr>
        <w:tabs>
          <w:tab w:val="left" w:pos="6645"/>
          <w:tab w:val="left" w:pos="7655"/>
        </w:tabs>
        <w:spacing w:before="120" w:after="0" w:line="276" w:lineRule="auto"/>
        <w:ind w:firstLine="709"/>
        <w:jc w:val="both"/>
        <w:rPr>
          <w:rFonts w:ascii="Arial" w:hAnsi="Arial" w:cs="Arial"/>
          <w:bCs/>
        </w:rPr>
      </w:pPr>
      <w:r w:rsidRPr="00B5774D">
        <w:rPr>
          <w:rFonts w:ascii="Arial" w:hAnsi="Arial" w:cs="Arial"/>
          <w:bCs/>
        </w:rPr>
        <w:t>En este sentido, esta Subdirección considera que pese a l</w:t>
      </w:r>
      <w:r w:rsidR="009B2577" w:rsidRPr="00B5774D">
        <w:rPr>
          <w:rFonts w:ascii="Arial" w:hAnsi="Arial" w:cs="Arial"/>
          <w:bCs/>
        </w:rPr>
        <w:t>os argumentos</w:t>
      </w:r>
      <w:r w:rsidRPr="00B5774D">
        <w:rPr>
          <w:rFonts w:ascii="Arial" w:hAnsi="Arial" w:cs="Arial"/>
          <w:bCs/>
        </w:rPr>
        <w:t xml:space="preserve"> expuestas en la Sentencia del Consejo de Estado del 15 de julio de 202</w:t>
      </w:r>
      <w:r w:rsidR="00FB5F49" w:rsidRPr="00B5774D">
        <w:rPr>
          <w:rFonts w:ascii="Arial" w:hAnsi="Arial" w:cs="Arial"/>
          <w:bCs/>
        </w:rPr>
        <w:t>2</w:t>
      </w:r>
      <w:r w:rsidRPr="00B5774D">
        <w:rPr>
          <w:rFonts w:ascii="Arial" w:hAnsi="Arial" w:cs="Arial"/>
          <w:bCs/>
        </w:rPr>
        <w:t xml:space="preserve">, el hecho de que se aporte un </w:t>
      </w:r>
      <w:r w:rsidR="00FB5F49" w:rsidRPr="00B5774D">
        <w:rPr>
          <w:rFonts w:ascii="Arial" w:hAnsi="Arial" w:cs="Arial"/>
          <w:bCs/>
        </w:rPr>
        <w:t xml:space="preserve">documento </w:t>
      </w:r>
      <w:r w:rsidRPr="00B5774D">
        <w:rPr>
          <w:rFonts w:ascii="Arial" w:hAnsi="Arial" w:cs="Arial"/>
          <w:bCs/>
        </w:rPr>
        <w:t xml:space="preserve">habilitante con el que no se contaba a la fecha límite de la presentación de la oferta no genera </w:t>
      </w:r>
      <w:r w:rsidRPr="00B5774D">
        <w:rPr>
          <w:rFonts w:ascii="Arial" w:hAnsi="Arial" w:cs="Arial"/>
          <w:bCs/>
          <w:i/>
          <w:iCs/>
        </w:rPr>
        <w:t xml:space="preserve">per se </w:t>
      </w:r>
      <w:r w:rsidRPr="00B5774D">
        <w:rPr>
          <w:rFonts w:ascii="Arial" w:hAnsi="Arial" w:cs="Arial"/>
          <w:bCs/>
        </w:rPr>
        <w:t xml:space="preserve">un mejoramiento de esta, </w:t>
      </w:r>
      <w:r w:rsidR="00FB5F49" w:rsidRPr="00B5774D">
        <w:rPr>
          <w:rFonts w:ascii="Arial" w:hAnsi="Arial" w:cs="Arial"/>
          <w:bCs/>
        </w:rPr>
        <w:t>toda vez</w:t>
      </w:r>
      <w:r w:rsidRPr="00B5774D">
        <w:rPr>
          <w:rFonts w:ascii="Arial" w:hAnsi="Arial" w:cs="Arial"/>
          <w:bCs/>
        </w:rPr>
        <w:t xml:space="preserve"> </w:t>
      </w:r>
      <w:r w:rsidR="00FB5F49" w:rsidRPr="00B5774D">
        <w:rPr>
          <w:rFonts w:ascii="Arial" w:hAnsi="Arial" w:cs="Arial"/>
          <w:bCs/>
        </w:rPr>
        <w:t xml:space="preserve">que </w:t>
      </w:r>
      <w:r w:rsidRPr="00B5774D">
        <w:rPr>
          <w:rFonts w:ascii="Arial" w:hAnsi="Arial" w:cs="Arial"/>
          <w:bCs/>
        </w:rPr>
        <w:t>el alcance de la regla de subsanabilidad también se extiende a aquellos documentos omitidos o presentados de forma errónea</w:t>
      </w:r>
      <w:r w:rsidR="00FB5F49" w:rsidRPr="00B5774D">
        <w:rPr>
          <w:rFonts w:ascii="Arial" w:hAnsi="Arial" w:cs="Arial"/>
          <w:bCs/>
        </w:rPr>
        <w:t>, siempre que no se trate de requisitos que otorguen puntaje o acrediten circunstancia ocurridas con posterioridad</w:t>
      </w:r>
      <w:r w:rsidRPr="00B5774D">
        <w:rPr>
          <w:rFonts w:ascii="Arial" w:hAnsi="Arial" w:cs="Arial"/>
          <w:bCs/>
        </w:rPr>
        <w:t xml:space="preserve">. </w:t>
      </w:r>
      <w:r w:rsidR="009543BB">
        <w:rPr>
          <w:rFonts w:ascii="Arial" w:hAnsi="Arial" w:cs="Arial"/>
          <w:bCs/>
        </w:rPr>
        <w:t>En otros términos</w:t>
      </w:r>
      <w:r w:rsidR="00C95F79" w:rsidRPr="00B5774D">
        <w:rPr>
          <w:rFonts w:ascii="Arial" w:hAnsi="Arial" w:cs="Arial"/>
          <w:bCs/>
        </w:rPr>
        <w:t>,</w:t>
      </w:r>
      <w:r w:rsidR="00B8472C" w:rsidRPr="00B5774D">
        <w:rPr>
          <w:rFonts w:ascii="Arial" w:hAnsi="Arial" w:cs="Arial"/>
          <w:bCs/>
        </w:rPr>
        <w:t xml:space="preserve"> de una interpretación en contexto de las normas señaladas se puede colegir que</w:t>
      </w:r>
      <w:r w:rsidR="00C95F79" w:rsidRPr="00B5774D">
        <w:rPr>
          <w:rFonts w:ascii="Arial" w:hAnsi="Arial" w:cs="Arial"/>
          <w:bCs/>
          <w:iCs/>
          <w:lang w:val="es-MX"/>
        </w:rPr>
        <w:t xml:space="preserve"> las deficiencias que se presenten en todos aquellos requisitos y documentos que no son objeto de puntaje, </w:t>
      </w:r>
      <w:r w:rsidR="006D5816" w:rsidRPr="00B5774D">
        <w:rPr>
          <w:rFonts w:ascii="Arial" w:hAnsi="Arial" w:cs="Arial"/>
          <w:bCs/>
          <w:iCs/>
          <w:lang w:val="es-MX"/>
        </w:rPr>
        <w:t xml:space="preserve">por regla general, </w:t>
      </w:r>
      <w:r w:rsidR="00C95F79" w:rsidRPr="00B5774D">
        <w:rPr>
          <w:rFonts w:ascii="Arial" w:hAnsi="Arial" w:cs="Arial"/>
          <w:bCs/>
          <w:iCs/>
          <w:lang w:val="es-MX"/>
        </w:rPr>
        <w:t>resultan subsanables</w:t>
      </w:r>
      <w:r w:rsidR="006D5816" w:rsidRPr="00B5774D">
        <w:rPr>
          <w:rFonts w:ascii="Arial" w:hAnsi="Arial" w:cs="Arial"/>
          <w:bCs/>
          <w:iCs/>
          <w:lang w:val="es-MX"/>
        </w:rPr>
        <w:t xml:space="preserve"> como por ejemplo la falta algún </w:t>
      </w:r>
      <w:r w:rsidR="006D5816" w:rsidRPr="00B5774D">
        <w:rPr>
          <w:rFonts w:ascii="Arial" w:hAnsi="Arial" w:cs="Arial"/>
          <w:bCs/>
          <w:color w:val="000000" w:themeColor="text1"/>
        </w:rPr>
        <w:t xml:space="preserve">anexo técnico o si se presenta la carta de compromiso sin firma, sin que ello signifique </w:t>
      </w:r>
      <w:r w:rsidR="00B8472C" w:rsidRPr="00B5774D">
        <w:rPr>
          <w:rFonts w:ascii="Arial" w:hAnsi="Arial" w:cs="Arial"/>
          <w:bCs/>
          <w:color w:val="000000" w:themeColor="text1"/>
        </w:rPr>
        <w:t xml:space="preserve">mejorar la ofertar o </w:t>
      </w:r>
      <w:r w:rsidR="006D5816" w:rsidRPr="00B5774D">
        <w:rPr>
          <w:rFonts w:ascii="Arial" w:hAnsi="Arial" w:cs="Arial"/>
          <w:bCs/>
          <w:color w:val="000000" w:themeColor="text1"/>
        </w:rPr>
        <w:t>acredita</w:t>
      </w:r>
      <w:r w:rsidR="00B8472C" w:rsidRPr="00B5774D">
        <w:rPr>
          <w:rFonts w:ascii="Arial" w:hAnsi="Arial" w:cs="Arial"/>
          <w:bCs/>
          <w:color w:val="000000" w:themeColor="text1"/>
        </w:rPr>
        <w:t>r</w:t>
      </w:r>
      <w:r w:rsidR="006D5816" w:rsidRPr="00B5774D">
        <w:rPr>
          <w:rFonts w:ascii="Arial" w:hAnsi="Arial" w:cs="Arial"/>
          <w:bCs/>
          <w:color w:val="000000" w:themeColor="text1"/>
        </w:rPr>
        <w:t xml:space="preserve"> circunstancias ocurridas con posterioridad.</w:t>
      </w:r>
      <w:r w:rsidR="006D5816" w:rsidRPr="00B5774D">
        <w:rPr>
          <w:rFonts w:ascii="Arial" w:hAnsi="Arial" w:cs="Arial"/>
          <w:bCs/>
          <w:color w:val="000000" w:themeColor="text1"/>
          <w:sz w:val="21"/>
          <w:szCs w:val="21"/>
        </w:rPr>
        <w:t xml:space="preserve"> </w:t>
      </w:r>
    </w:p>
    <w:p w14:paraId="65110F80" w14:textId="65335662" w:rsidR="009C59EC" w:rsidRPr="00B5774D" w:rsidRDefault="009C59EC" w:rsidP="00D81E80">
      <w:pPr>
        <w:tabs>
          <w:tab w:val="left" w:pos="6645"/>
        </w:tabs>
        <w:spacing w:before="120" w:after="0" w:line="276" w:lineRule="auto"/>
        <w:ind w:firstLine="709"/>
        <w:jc w:val="both"/>
        <w:rPr>
          <w:rFonts w:ascii="Arial" w:hAnsi="Arial" w:cs="Arial"/>
          <w:bCs/>
          <w:lang w:val="es-ES_tradnl"/>
        </w:rPr>
      </w:pPr>
      <w:r w:rsidRPr="00B5774D">
        <w:rPr>
          <w:rFonts w:ascii="Arial" w:hAnsi="Arial" w:cs="Arial"/>
          <w:bCs/>
          <w:lang w:val="es-ES_tradnl"/>
        </w:rPr>
        <w:t xml:space="preserve">En este contexto, esta Subdirección considera que con esta interpretación la posibilidad de subsanar las ofertas, i) </w:t>
      </w:r>
      <w:r w:rsidR="00806A15" w:rsidRPr="00B5774D">
        <w:rPr>
          <w:rFonts w:ascii="Arial" w:hAnsi="Arial" w:cs="Arial"/>
          <w:bCs/>
          <w:lang w:val="es-ES_tradnl"/>
        </w:rPr>
        <w:t xml:space="preserve">busca </w:t>
      </w:r>
      <w:r w:rsidRPr="00B5774D">
        <w:rPr>
          <w:rFonts w:ascii="Arial" w:hAnsi="Arial" w:cs="Arial"/>
          <w:bCs/>
          <w:lang w:val="es-ES_tradnl"/>
        </w:rPr>
        <w:t>garantizar una prevalencia de lo sustancial sobre lo formal, ii) resulta propicia para garantizar una mayor concurrencia real en los procedimientos de selección, y iii) permite una mayor posibilidad de que las entidades estatales se beneficien de seleccionar entre un abanico más amplio la oferta que le resulte materialmente más favorable a sus intereses, por lo que favorece y robustece el principio de selección objetiva.</w:t>
      </w:r>
      <w:r w:rsidR="00373943">
        <w:rPr>
          <w:rFonts w:ascii="Arial" w:hAnsi="Arial" w:cs="Arial"/>
          <w:bCs/>
          <w:lang w:val="es-ES_tradnl"/>
        </w:rPr>
        <w:t xml:space="preserve"> </w:t>
      </w:r>
    </w:p>
    <w:p w14:paraId="0252CABA" w14:textId="1CB08BA4" w:rsidR="00806A15" w:rsidRPr="00B5774D" w:rsidRDefault="00FB5F49" w:rsidP="00D81E80">
      <w:pPr>
        <w:tabs>
          <w:tab w:val="left" w:pos="5208"/>
          <w:tab w:val="left" w:pos="6645"/>
        </w:tabs>
        <w:spacing w:before="120" w:after="0" w:line="276" w:lineRule="auto"/>
        <w:ind w:firstLine="709"/>
        <w:jc w:val="both"/>
        <w:rPr>
          <w:rFonts w:ascii="Arial" w:hAnsi="Arial" w:cs="Arial"/>
          <w:bCs/>
          <w:lang w:val="es-MX"/>
        </w:rPr>
      </w:pPr>
      <w:r w:rsidRPr="00B5774D">
        <w:rPr>
          <w:rFonts w:ascii="Arial" w:hAnsi="Arial" w:cs="Arial"/>
          <w:bCs/>
          <w:lang w:val="es-MX"/>
        </w:rPr>
        <w:lastRenderedPageBreak/>
        <w:t>De esta m</w:t>
      </w:r>
      <w:r w:rsidR="00B8472C" w:rsidRPr="00B5774D">
        <w:rPr>
          <w:rFonts w:ascii="Arial" w:hAnsi="Arial" w:cs="Arial"/>
          <w:bCs/>
          <w:lang w:val="es-MX"/>
        </w:rPr>
        <w:t>odo</w:t>
      </w:r>
      <w:r w:rsidR="00806A15" w:rsidRPr="00B5774D">
        <w:rPr>
          <w:rFonts w:ascii="Arial" w:hAnsi="Arial" w:cs="Arial"/>
          <w:bCs/>
          <w:lang w:val="es-MX"/>
        </w:rPr>
        <w:t>, la acción de subsanar en el marco de un proceso de selección hace referencia a la posibilidad que tienen los proponentes, con posterioridad a la presentación de su oferta y el cierre del periodo previsto para ello, de corregir requisitos de los que adolecía su propuesta. Dicha posibilidad solo es procedente respecto requisitos no requeridos para la comparación de las ofertas, esto es, que no otorguen puntaje. La posibilidad de subsanar procede frente a documentos omitidos o presentados de forma errónea con la oferta. Sin embargo, la subsanación tiene un límite consistente en que no se podrán acreditar circunstancias ocurridas con posterioridad al cierre del proceso, como se explicó en párrafos precedentes.</w:t>
      </w:r>
    </w:p>
    <w:p w14:paraId="1AC59A17" w14:textId="4D119715" w:rsidR="00A449D4" w:rsidRPr="00B5774D" w:rsidRDefault="00806A15" w:rsidP="00D81E80">
      <w:pPr>
        <w:tabs>
          <w:tab w:val="left" w:pos="5208"/>
          <w:tab w:val="left" w:pos="6645"/>
        </w:tabs>
        <w:spacing w:before="120" w:after="0" w:line="276" w:lineRule="auto"/>
        <w:ind w:firstLine="709"/>
        <w:jc w:val="both"/>
        <w:rPr>
          <w:rFonts w:ascii="Arial" w:hAnsi="Arial" w:cs="Arial"/>
          <w:bCs/>
          <w:lang w:val="es-ES_tradnl"/>
        </w:rPr>
      </w:pPr>
      <w:r w:rsidRPr="00B5774D">
        <w:rPr>
          <w:rFonts w:ascii="Arial" w:hAnsi="Arial" w:cs="Arial"/>
          <w:bCs/>
          <w:lang w:val="es-ES_tradnl"/>
        </w:rPr>
        <w:t xml:space="preserve">Sin embargo, no siempre la falta de presentación de un documento que no otorga puntaje es subsanable. Según lo estableció el parágrafo 3º del artículo 5º de la Ley 1150 de 2007, agregado por el artículo 5 de la Ley 1882 de 2018, se prohíbe subsanar la garantía de seriedad de la oferta que no fue entregada junto con la propuesta. Por lo tanto, este documento faltante no puede ser aportado por el proponente durante el término para subsanar. En consecuencia, por regla general, si el oferente no acredita con su oferta cualquier requisito que no otorgue puntaje, la entidad debe permitir que los subsane, con excepción de la garantía de seriedad; pero la entidad estatal verificará, adicionalmente, que la información aportada no acredite circunstancias ocurridas con posterioridad al cierre del proceso. </w:t>
      </w:r>
    </w:p>
    <w:p w14:paraId="73C1B6FB" w14:textId="2E12DF4A" w:rsidR="00806A15" w:rsidRDefault="00806A15" w:rsidP="00D81E80">
      <w:pPr>
        <w:tabs>
          <w:tab w:val="left" w:pos="5208"/>
          <w:tab w:val="left" w:pos="6645"/>
        </w:tabs>
        <w:spacing w:before="120" w:after="0" w:line="276" w:lineRule="auto"/>
        <w:ind w:firstLine="709"/>
        <w:jc w:val="both"/>
        <w:rPr>
          <w:rFonts w:ascii="Arial" w:hAnsi="Arial" w:cs="Arial"/>
          <w:bCs/>
          <w:lang w:val="es-ES_tradnl"/>
        </w:rPr>
      </w:pPr>
      <w:r w:rsidRPr="00B5774D">
        <w:rPr>
          <w:rFonts w:ascii="Arial" w:hAnsi="Arial" w:cs="Arial"/>
          <w:bCs/>
          <w:lang w:val="es-ES_tradnl"/>
        </w:rPr>
        <w:t xml:space="preserve">En este orden de ideas, </w:t>
      </w:r>
      <w:r w:rsidR="00B8472C" w:rsidRPr="00B5774D">
        <w:rPr>
          <w:rFonts w:ascii="Arial" w:hAnsi="Arial" w:cs="Arial"/>
          <w:bCs/>
          <w:lang w:val="es-ES_tradnl"/>
        </w:rPr>
        <w:t xml:space="preserve">teniendo en cuenta las consideraciones de las sentencias del 28 de febrero y 20 de abril del 2022 </w:t>
      </w:r>
      <w:r w:rsidR="00D0595D">
        <w:rPr>
          <w:rFonts w:ascii="Arial" w:hAnsi="Arial" w:cs="Arial"/>
          <w:bCs/>
          <w:lang w:val="es-ES_tradnl"/>
        </w:rPr>
        <w:t xml:space="preserve">de </w:t>
      </w:r>
      <w:r w:rsidR="00B8472C" w:rsidRPr="00B5774D">
        <w:rPr>
          <w:rFonts w:ascii="Arial" w:hAnsi="Arial" w:cs="Arial"/>
          <w:bCs/>
          <w:lang w:val="es-ES_tradnl"/>
        </w:rPr>
        <w:t xml:space="preserve">la Subsección C de la Sección </w:t>
      </w:r>
      <w:r w:rsidR="00D0595D">
        <w:rPr>
          <w:rFonts w:ascii="Arial" w:hAnsi="Arial" w:cs="Arial"/>
          <w:bCs/>
          <w:lang w:val="es-ES_tradnl"/>
        </w:rPr>
        <w:t>T</w:t>
      </w:r>
      <w:r w:rsidR="00B8472C" w:rsidRPr="00B5774D">
        <w:rPr>
          <w:rFonts w:ascii="Arial" w:hAnsi="Arial" w:cs="Arial"/>
          <w:bCs/>
          <w:lang w:val="es-ES_tradnl"/>
        </w:rPr>
        <w:t xml:space="preserve">ercera </w:t>
      </w:r>
      <w:r w:rsidR="00D0595D">
        <w:rPr>
          <w:rFonts w:ascii="Arial" w:hAnsi="Arial" w:cs="Arial"/>
          <w:bCs/>
          <w:lang w:val="es-ES_tradnl"/>
        </w:rPr>
        <w:t xml:space="preserve">del Consejo de Estado </w:t>
      </w:r>
      <w:r w:rsidR="00B8472C" w:rsidRPr="00B5774D">
        <w:rPr>
          <w:rFonts w:ascii="Arial" w:hAnsi="Arial" w:cs="Arial"/>
          <w:bCs/>
          <w:lang w:val="es-ES_tradnl"/>
        </w:rPr>
        <w:t xml:space="preserve">y </w:t>
      </w:r>
      <w:r w:rsidR="0093617E" w:rsidRPr="00B5774D">
        <w:rPr>
          <w:rFonts w:ascii="Arial" w:hAnsi="Arial" w:cs="Arial"/>
          <w:bCs/>
          <w:lang w:val="es-ES_tradnl"/>
        </w:rPr>
        <w:t>reiterando lo señalado en el concepto</w:t>
      </w:r>
      <w:r w:rsidR="0093617E" w:rsidRPr="00B5774D">
        <w:rPr>
          <w:rFonts w:ascii="Arial" w:hAnsi="Arial" w:cs="Arial"/>
          <w:lang w:val="es-MX"/>
        </w:rPr>
        <w:t xml:space="preserve"> CU</w:t>
      </w:r>
      <w:r w:rsidR="00841E73">
        <w:rPr>
          <w:rFonts w:ascii="Arial" w:hAnsi="Arial" w:cs="Arial"/>
          <w:lang w:val="es-MX"/>
        </w:rPr>
        <w:t>–</w:t>
      </w:r>
      <w:r w:rsidR="0093617E" w:rsidRPr="00B5774D">
        <w:rPr>
          <w:rFonts w:ascii="Arial" w:hAnsi="Arial" w:cs="Arial"/>
          <w:lang w:val="es-MX"/>
        </w:rPr>
        <w:t>060 de 16 de enero de 202</w:t>
      </w:r>
      <w:r w:rsidR="00F11EC4">
        <w:rPr>
          <w:rFonts w:ascii="Arial" w:hAnsi="Arial" w:cs="Arial"/>
          <w:lang w:val="es-MX"/>
        </w:rPr>
        <w:t>0</w:t>
      </w:r>
      <w:r w:rsidR="0093617E" w:rsidRPr="00B5774D">
        <w:rPr>
          <w:rFonts w:ascii="Arial" w:hAnsi="Arial" w:cs="Arial"/>
          <w:lang w:val="es-MX"/>
        </w:rPr>
        <w:t>, así como lo indicado en los conceptos C-024 del 24 de febrero de 2021 y</w:t>
      </w:r>
      <w:r w:rsidR="0093617E" w:rsidRPr="00B5774D">
        <w:rPr>
          <w:rFonts w:ascii="Arial" w:hAnsi="Arial" w:cs="Arial"/>
          <w:bCs/>
          <w:lang w:val="es-ES_tradnl"/>
        </w:rPr>
        <w:t xml:space="preserve"> </w:t>
      </w:r>
      <w:r w:rsidRPr="00B5774D">
        <w:rPr>
          <w:rFonts w:ascii="Arial" w:hAnsi="Arial" w:cs="Arial"/>
          <w:bCs/>
          <w:lang w:val="es-ES_tradnl"/>
        </w:rPr>
        <w:t>C-542 del 23 de agosto de 2022</w:t>
      </w:r>
      <w:r w:rsidR="0093617E" w:rsidRPr="00B5774D">
        <w:rPr>
          <w:rFonts w:ascii="Arial" w:hAnsi="Arial" w:cs="Arial"/>
          <w:bCs/>
          <w:lang w:val="es-ES_tradnl"/>
        </w:rPr>
        <w:t xml:space="preserve">, </w:t>
      </w:r>
      <w:r w:rsidRPr="00B5774D">
        <w:rPr>
          <w:rFonts w:ascii="Arial" w:hAnsi="Arial" w:cs="Arial"/>
          <w:bCs/>
          <w:lang w:val="es-ES_tradnl"/>
        </w:rPr>
        <w:t xml:space="preserve">si el proponente ofrece condiciones de inferior calidad o personal profesional sin los requisitos mínimos, así como actividades por ejecutar, </w:t>
      </w:r>
      <w:r w:rsidR="00B8472C" w:rsidRPr="00B5774D">
        <w:rPr>
          <w:rFonts w:ascii="Arial" w:hAnsi="Arial" w:cs="Arial"/>
          <w:bCs/>
          <w:lang w:val="es-ES_tradnl"/>
        </w:rPr>
        <w:t xml:space="preserve">ficha técnica, </w:t>
      </w:r>
      <w:r w:rsidRPr="00B5774D">
        <w:rPr>
          <w:rFonts w:ascii="Arial" w:hAnsi="Arial" w:cs="Arial"/>
          <w:bCs/>
          <w:lang w:val="es-ES_tradnl"/>
        </w:rPr>
        <w:t>documentos técnicos adicionales, entre otros,</w:t>
      </w:r>
      <w:r w:rsidR="0093617E" w:rsidRPr="00B5774D">
        <w:rPr>
          <w:rFonts w:ascii="Arial" w:hAnsi="Arial" w:cs="Arial"/>
          <w:bCs/>
          <w:lang w:val="es-ES_tradnl"/>
        </w:rPr>
        <w:t xml:space="preserve"> </w:t>
      </w:r>
      <w:r w:rsidRPr="00B5774D">
        <w:rPr>
          <w:rFonts w:ascii="Arial" w:hAnsi="Arial" w:cs="Arial"/>
          <w:bCs/>
          <w:lang w:val="es-ES_tradnl"/>
        </w:rPr>
        <w:t xml:space="preserve">que sean diferentes a las condiciones establecidas por la entidad contratante, la entidad debe requerir la oferente para que subsane la oferta, siempre que no afecten la asignación de puntaje y que no se trate de la acreditación de circunstancias ocurridas con posterioridad al cierre del proceso.  </w:t>
      </w:r>
    </w:p>
    <w:p w14:paraId="0CE4402A" w14:textId="77777777" w:rsidR="00264D4B" w:rsidRPr="00B5774D" w:rsidRDefault="00264D4B" w:rsidP="000A70B7">
      <w:pPr>
        <w:tabs>
          <w:tab w:val="left" w:pos="0"/>
          <w:tab w:val="left" w:pos="5208"/>
          <w:tab w:val="left" w:pos="6645"/>
        </w:tabs>
        <w:spacing w:after="0" w:line="276" w:lineRule="auto"/>
        <w:jc w:val="both"/>
        <w:rPr>
          <w:rFonts w:ascii="Arial" w:hAnsi="Arial" w:cs="Arial"/>
          <w:bCs/>
          <w:lang w:val="es-ES_tradnl"/>
        </w:rPr>
      </w:pPr>
    </w:p>
    <w:p w14:paraId="01C0F502" w14:textId="5CEEEEEC" w:rsidR="00F9574A" w:rsidRPr="00B5774D" w:rsidRDefault="004177A6" w:rsidP="00E41229">
      <w:pPr>
        <w:tabs>
          <w:tab w:val="left" w:pos="0"/>
        </w:tabs>
        <w:spacing w:after="0" w:line="276" w:lineRule="auto"/>
        <w:jc w:val="both"/>
        <w:rPr>
          <w:rFonts w:ascii="Arial" w:hAnsi="Arial" w:cs="Arial"/>
          <w:b/>
          <w:color w:val="000000" w:themeColor="text1"/>
          <w:lang w:val="es-ES_tradnl"/>
        </w:rPr>
      </w:pPr>
      <w:r w:rsidRPr="00B5774D">
        <w:rPr>
          <w:rFonts w:ascii="Arial" w:hAnsi="Arial" w:cs="Arial"/>
          <w:b/>
          <w:color w:val="000000" w:themeColor="text1"/>
          <w:lang w:val="es-ES_tradnl"/>
        </w:rPr>
        <w:t>3</w:t>
      </w:r>
      <w:r w:rsidR="00B011A9" w:rsidRPr="00B5774D">
        <w:rPr>
          <w:rFonts w:ascii="Arial" w:hAnsi="Arial" w:cs="Arial"/>
          <w:b/>
          <w:color w:val="000000" w:themeColor="text1"/>
          <w:lang w:val="es-ES_tradnl"/>
        </w:rPr>
        <w:t xml:space="preserve">. </w:t>
      </w:r>
      <w:r w:rsidR="00DD5B04" w:rsidRPr="00B5774D">
        <w:rPr>
          <w:rFonts w:ascii="Arial" w:hAnsi="Arial" w:cs="Arial"/>
          <w:b/>
          <w:color w:val="000000" w:themeColor="text1"/>
          <w:lang w:val="es-ES_tradnl"/>
        </w:rPr>
        <w:t>Respuesta</w:t>
      </w:r>
    </w:p>
    <w:p w14:paraId="5550B511" w14:textId="77777777" w:rsidR="00E41229" w:rsidRPr="00B5774D" w:rsidRDefault="00E41229" w:rsidP="000F7239">
      <w:pPr>
        <w:tabs>
          <w:tab w:val="left" w:pos="0"/>
        </w:tabs>
        <w:spacing w:after="0" w:line="276" w:lineRule="auto"/>
        <w:jc w:val="both"/>
        <w:rPr>
          <w:rFonts w:ascii="Arial" w:hAnsi="Arial" w:cs="Arial"/>
          <w:b/>
          <w:color w:val="000000" w:themeColor="text1"/>
          <w:lang w:val="es-ES_tradnl"/>
        </w:rPr>
      </w:pPr>
    </w:p>
    <w:p w14:paraId="1863FC05" w14:textId="7772DDB3" w:rsidR="0093617E" w:rsidRPr="00B5774D" w:rsidRDefault="002D1F59" w:rsidP="0093617E">
      <w:pPr>
        <w:tabs>
          <w:tab w:val="left" w:pos="426"/>
          <w:tab w:val="left" w:pos="8080"/>
          <w:tab w:val="left" w:pos="8364"/>
        </w:tabs>
        <w:spacing w:after="0" w:line="240" w:lineRule="auto"/>
        <w:ind w:left="709" w:right="709"/>
        <w:jc w:val="both"/>
        <w:rPr>
          <w:rFonts w:ascii="Arial" w:hAnsi="Arial" w:cs="Arial"/>
          <w:bCs/>
          <w:color w:val="000000" w:themeColor="text1"/>
          <w:sz w:val="21"/>
          <w:szCs w:val="21"/>
        </w:rPr>
      </w:pPr>
      <w:r w:rsidRPr="00B5774D">
        <w:rPr>
          <w:rFonts w:ascii="Arial" w:hAnsi="Arial" w:cs="Arial"/>
          <w:bCs/>
          <w:color w:val="000000" w:themeColor="text1"/>
          <w:lang w:val="es-ES_tradnl"/>
        </w:rPr>
        <w:t>«</w:t>
      </w:r>
      <w:r w:rsidR="0093617E" w:rsidRPr="00B5774D">
        <w:rPr>
          <w:rFonts w:ascii="Arial" w:hAnsi="Arial" w:cs="Arial"/>
          <w:bCs/>
          <w:color w:val="000000" w:themeColor="text1"/>
          <w:sz w:val="21"/>
          <w:szCs w:val="21"/>
        </w:rPr>
        <w:t xml:space="preserve">¿Cuál es el alcance interpretativo que CCE hace frente a la subsanabilidad de acuerdo a las sentencias: radicado 25000-23-36-000-2017-00564-01 (67.937) Consejo de Estado, CP Marta Nubia Velásquez Rico del 15 de julio de 2022 y Sección Tercera, Subsección A. Sentencia del 13 de agosto de 2021 radicado 25000-23-36-000-2013-00009-01 (56.960). C.P. José Roberto Sáchica? </w:t>
      </w:r>
    </w:p>
    <w:p w14:paraId="0CB00228" w14:textId="574F822F" w:rsidR="000A70B7" w:rsidRPr="00B5774D" w:rsidRDefault="000A70B7" w:rsidP="000A70B7">
      <w:pPr>
        <w:tabs>
          <w:tab w:val="left" w:pos="426"/>
          <w:tab w:val="left" w:pos="8080"/>
          <w:tab w:val="left" w:pos="8364"/>
        </w:tabs>
        <w:spacing w:after="0" w:line="240" w:lineRule="auto"/>
        <w:ind w:right="709"/>
        <w:jc w:val="both"/>
        <w:rPr>
          <w:rFonts w:ascii="Arial" w:hAnsi="Arial" w:cs="Arial"/>
          <w:bCs/>
          <w:color w:val="000000" w:themeColor="text1"/>
          <w:sz w:val="21"/>
          <w:szCs w:val="21"/>
        </w:rPr>
      </w:pPr>
    </w:p>
    <w:p w14:paraId="6D8F9216" w14:textId="2C995457" w:rsidR="004E6FE3" w:rsidRPr="00B5774D" w:rsidRDefault="00841E73" w:rsidP="004E6FE3">
      <w:pPr>
        <w:tabs>
          <w:tab w:val="left" w:pos="6645"/>
        </w:tabs>
        <w:spacing w:before="120" w:after="0" w:line="264" w:lineRule="auto"/>
        <w:jc w:val="both"/>
        <w:rPr>
          <w:rFonts w:ascii="Arial" w:hAnsi="Arial" w:cs="Arial"/>
          <w:bCs/>
          <w:lang w:val="es-MX"/>
        </w:rPr>
      </w:pPr>
      <w:r>
        <w:rPr>
          <w:rFonts w:ascii="Arial" w:hAnsi="Arial" w:cs="Arial"/>
          <w:bCs/>
        </w:rPr>
        <w:lastRenderedPageBreak/>
        <w:t>De acuerdo con lo expuesto, e</w:t>
      </w:r>
      <w:r w:rsidR="004E6FE3" w:rsidRPr="00B5774D">
        <w:rPr>
          <w:rFonts w:ascii="Arial" w:hAnsi="Arial" w:cs="Arial"/>
          <w:bCs/>
        </w:rPr>
        <w:t xml:space="preserve">l Consejo de Estado actualmente cuenta con dos posturas frente a la subsanabilidad de las ofertas. Por un lado, </w:t>
      </w:r>
      <w:r w:rsidR="004E6FE3" w:rsidRPr="00B5774D">
        <w:rPr>
          <w:rFonts w:ascii="Arial" w:hAnsi="Arial" w:cs="Arial"/>
          <w:bCs/>
          <w:lang w:val="es-ES_tradnl"/>
        </w:rPr>
        <w:t xml:space="preserve">en Sentencias del 28 de febrero y 20 de abril del 2022 la Subsección C de la Sección </w:t>
      </w:r>
      <w:r>
        <w:rPr>
          <w:rFonts w:ascii="Arial" w:hAnsi="Arial" w:cs="Arial"/>
          <w:bCs/>
          <w:lang w:val="es-ES_tradnl"/>
        </w:rPr>
        <w:t>T</w:t>
      </w:r>
      <w:r w:rsidR="004E6FE3" w:rsidRPr="00B5774D">
        <w:rPr>
          <w:rFonts w:ascii="Arial" w:hAnsi="Arial" w:cs="Arial"/>
          <w:bCs/>
          <w:lang w:val="es-ES_tradnl"/>
        </w:rPr>
        <w:t xml:space="preserve">ercera, señaló que el artículo </w:t>
      </w:r>
      <w:r w:rsidR="004E6FE3" w:rsidRPr="00B5774D">
        <w:rPr>
          <w:rFonts w:ascii="Arial" w:hAnsi="Arial" w:cs="Arial"/>
          <w:bCs/>
          <w:lang w:val="es-MX"/>
        </w:rPr>
        <w:t xml:space="preserve">5 </w:t>
      </w:r>
      <w:r w:rsidR="004E6FE3" w:rsidRPr="00B5774D">
        <w:rPr>
          <w:rFonts w:ascii="Arial" w:hAnsi="Arial" w:cs="Arial"/>
          <w:bCs/>
          <w:lang w:val="es-ES_tradnl"/>
        </w:rPr>
        <w:t>de la Ley 11</w:t>
      </w:r>
      <w:r w:rsidR="004E6FE3" w:rsidRPr="00B5774D">
        <w:rPr>
          <w:rFonts w:ascii="Arial" w:hAnsi="Arial" w:cs="Arial"/>
          <w:bCs/>
          <w:lang w:val="es-MX"/>
        </w:rPr>
        <w:t xml:space="preserve">50 de 2007 debe interpretarse armónicamente con lo dispuesto en los numerales 7 y 8 del artículo 30 de la Ley 80 de 1993, de manera que se podrá complementar la oferta pero solo en los aspectos que permita la Ley, es decir, aquellos que no otorguen puntaje. Por otro lado, </w:t>
      </w:r>
      <w:r w:rsidR="004E6FE3" w:rsidRPr="00B5774D">
        <w:rPr>
          <w:rFonts w:ascii="Arial" w:hAnsi="Arial" w:cs="Arial"/>
          <w:bCs/>
          <w:lang w:val="es-ES_tradnl"/>
        </w:rPr>
        <w:t xml:space="preserve">en Sentencia del 15 de julio del 2022, la Subsección A de la Sección Tercera señaló que en aquellos eventos en que se pretende mejorar aspectos con los que no se contaba a la fecha de presentación de la oferta, incluyendo los requisitos habilitantes, en realidad no se está subsanado la </w:t>
      </w:r>
      <w:r w:rsidRPr="00B5774D">
        <w:rPr>
          <w:rFonts w:ascii="Arial" w:hAnsi="Arial" w:cs="Arial"/>
          <w:bCs/>
          <w:lang w:val="es-ES_tradnl"/>
        </w:rPr>
        <w:t>oferta,</w:t>
      </w:r>
      <w:r w:rsidR="004E6FE3" w:rsidRPr="00B5774D">
        <w:rPr>
          <w:rFonts w:ascii="Arial" w:hAnsi="Arial" w:cs="Arial"/>
          <w:bCs/>
          <w:lang w:val="es-ES_tradnl"/>
        </w:rPr>
        <w:t xml:space="preserve"> sino que se está adicionando lo que contraria los principios de la contratación estatal</w:t>
      </w:r>
      <w:r w:rsidR="004E6FE3" w:rsidRPr="00B5774D">
        <w:rPr>
          <w:rFonts w:ascii="Arial" w:hAnsi="Arial" w:cs="Arial"/>
          <w:bCs/>
          <w:lang w:val="es-MX"/>
        </w:rPr>
        <w:t>.</w:t>
      </w:r>
    </w:p>
    <w:p w14:paraId="0C8A01EF" w14:textId="77777777" w:rsidR="00E668B4" w:rsidRDefault="004E6FE3" w:rsidP="004E6FE3">
      <w:pPr>
        <w:tabs>
          <w:tab w:val="left" w:pos="6645"/>
        </w:tabs>
        <w:spacing w:before="120" w:after="0" w:line="264" w:lineRule="auto"/>
        <w:ind w:firstLine="709"/>
        <w:jc w:val="both"/>
        <w:rPr>
          <w:rFonts w:ascii="Arial" w:hAnsi="Arial" w:cs="Arial"/>
          <w:bCs/>
          <w:lang w:val="es-ES_tradnl"/>
        </w:rPr>
      </w:pPr>
      <w:bookmarkStart w:id="7" w:name="_Hlk120193595"/>
      <w:r w:rsidRPr="00B5774D">
        <w:rPr>
          <w:rFonts w:ascii="Arial" w:hAnsi="Arial" w:cs="Arial"/>
          <w:bCs/>
          <w:lang w:val="es-MX"/>
        </w:rPr>
        <w:t xml:space="preserve">En este contexto, </w:t>
      </w:r>
      <w:r w:rsidR="000A70B7" w:rsidRPr="00B5774D">
        <w:rPr>
          <w:rFonts w:ascii="Arial" w:hAnsi="Arial" w:cs="Arial"/>
          <w:bCs/>
          <w:lang w:val="es-ES_tradnl"/>
        </w:rPr>
        <w:t>esta entidad, en coherencia con la posición sobre la subsanabilidad de las ofertas sostenida en múltiples conceptos, comparte la postura de la Subsección C del Consejo de Estado plasmada en las Sentencias del 28 de febrero y 20 de abril del 2022,</w:t>
      </w:r>
      <w:r w:rsidR="00E668B4" w:rsidRPr="00E668B4">
        <w:rPr>
          <w:rFonts w:ascii="Arial" w:hAnsi="Arial" w:cs="Arial"/>
          <w:bCs/>
          <w:lang w:val="es-ES_tradnl"/>
        </w:rPr>
        <w:t xml:space="preserve"> </w:t>
      </w:r>
      <w:r w:rsidR="00E668B4" w:rsidRPr="00B5774D">
        <w:rPr>
          <w:rFonts w:ascii="Arial" w:hAnsi="Arial" w:cs="Arial"/>
          <w:bCs/>
          <w:lang w:val="es-ES_tradnl"/>
        </w:rPr>
        <w:t xml:space="preserve">la cual se considera </w:t>
      </w:r>
      <w:r w:rsidR="00E668B4">
        <w:rPr>
          <w:rFonts w:ascii="Arial" w:hAnsi="Arial" w:cs="Arial"/>
          <w:bCs/>
          <w:lang w:val="es-ES_tradnl"/>
        </w:rPr>
        <w:t>que respeta el espíritu de</w:t>
      </w:r>
      <w:r w:rsidR="00E668B4" w:rsidRPr="00B5774D">
        <w:rPr>
          <w:rFonts w:ascii="Arial" w:hAnsi="Arial" w:cs="Arial"/>
          <w:bCs/>
          <w:lang w:val="es-ES_tradnl"/>
        </w:rPr>
        <w:t xml:space="preserve">l </w:t>
      </w:r>
      <w:r w:rsidR="00E668B4">
        <w:rPr>
          <w:rFonts w:ascii="Arial" w:hAnsi="Arial" w:cs="Arial"/>
          <w:bCs/>
          <w:lang w:val="es-ES_tradnl"/>
        </w:rPr>
        <w:t xml:space="preserve">del </w:t>
      </w:r>
      <w:r w:rsidR="00E668B4" w:rsidRPr="00B5774D">
        <w:rPr>
          <w:rFonts w:ascii="Arial" w:hAnsi="Arial" w:cs="Arial"/>
          <w:bCs/>
          <w:lang w:val="es-ES_tradnl"/>
        </w:rPr>
        <w:t xml:space="preserve">artículo 5 de la Ley 1150 de 2007 </w:t>
      </w:r>
      <w:r w:rsidR="00E668B4" w:rsidRPr="00B5774D">
        <w:rPr>
          <w:rFonts w:ascii="Arial" w:hAnsi="Arial" w:cs="Arial"/>
          <w:bCs/>
          <w:lang w:val="es-ES"/>
        </w:rPr>
        <w:t xml:space="preserve">–modificado por el artículo 5 de la Ley 1882 de 2018–, </w:t>
      </w:r>
      <w:r w:rsidR="00E668B4" w:rsidRPr="00B5774D">
        <w:rPr>
          <w:rFonts w:ascii="Arial" w:hAnsi="Arial" w:cs="Arial"/>
          <w:bCs/>
          <w:lang w:val="es-ES_tradnl"/>
        </w:rPr>
        <w:t>y es la que más garantiza el principio de selección objetiva</w:t>
      </w:r>
      <w:r w:rsidR="000A70B7" w:rsidRPr="00B5774D">
        <w:rPr>
          <w:rFonts w:ascii="Arial" w:hAnsi="Arial" w:cs="Arial"/>
          <w:bCs/>
          <w:lang w:val="es-ES_tradnl"/>
        </w:rPr>
        <w:t>.</w:t>
      </w:r>
    </w:p>
    <w:p w14:paraId="44FBDF1F" w14:textId="5C218221" w:rsidR="000A70B7" w:rsidRPr="00B5774D" w:rsidRDefault="000A70B7" w:rsidP="004E6FE3">
      <w:pPr>
        <w:tabs>
          <w:tab w:val="left" w:pos="6645"/>
        </w:tabs>
        <w:spacing w:before="120" w:after="0" w:line="264" w:lineRule="auto"/>
        <w:ind w:firstLine="709"/>
        <w:jc w:val="both"/>
        <w:rPr>
          <w:rFonts w:ascii="Arial" w:hAnsi="Arial" w:cs="Arial"/>
          <w:bCs/>
          <w:lang w:val="es-MX"/>
        </w:rPr>
      </w:pPr>
      <w:r w:rsidRPr="00B5774D">
        <w:rPr>
          <w:rFonts w:ascii="Arial" w:hAnsi="Arial" w:cs="Arial"/>
          <w:bCs/>
          <w:lang w:val="es-ES_tradnl"/>
        </w:rPr>
        <w:t xml:space="preserve">En efecto, para esta Agencia, tal como se expone en las decisiones mencionadas, </w:t>
      </w:r>
      <w:r w:rsidRPr="00B5774D">
        <w:rPr>
          <w:rFonts w:ascii="Arial" w:hAnsi="Arial" w:cs="Arial"/>
          <w:bCs/>
          <w:lang w:val="es-MX"/>
        </w:rPr>
        <w:t xml:space="preserve">la previsión normativa </w:t>
      </w:r>
      <w:r w:rsidRPr="00B5774D">
        <w:rPr>
          <w:rFonts w:ascii="Arial" w:hAnsi="Arial" w:cs="Arial"/>
          <w:bCs/>
          <w:lang w:val="es-ES_tradnl"/>
        </w:rPr>
        <w:t xml:space="preserve">señalada </w:t>
      </w:r>
      <w:r w:rsidRPr="00B5774D">
        <w:rPr>
          <w:rFonts w:ascii="Arial" w:hAnsi="Arial" w:cs="Arial"/>
          <w:bCs/>
          <w:lang w:val="es-MX"/>
        </w:rPr>
        <w:t>debe interpretarse de forma armónica con los numerales 7 y 8 del artículo 30 de la Ley 80 de 1993 de tal suerte que si</w:t>
      </w:r>
      <w:r w:rsidRPr="00B5774D">
        <w:rPr>
          <w:rFonts w:ascii="Arial" w:hAnsi="Arial" w:cs="Arial"/>
          <w:bCs/>
          <w:lang w:val="es-ES_tradnl"/>
        </w:rPr>
        <w:t xml:space="preserve"> los requisitos no afectan la asignación de puntaje y tienen el carácter de habilitantes para la participación en el proceso de contratación, se entiende que, en principio, pueden complementarse siempre que no se acrediten circunstancias ocurridas con posterioridad al cierre del proceso</w:t>
      </w:r>
      <w:r w:rsidRPr="00B5774D">
        <w:rPr>
          <w:rFonts w:ascii="Arial" w:hAnsi="Arial" w:cs="Arial"/>
          <w:bCs/>
          <w:lang w:val="es-ES"/>
        </w:rPr>
        <w:t>. De esta manera, la entidad debe permitirle al oferente subsanar los aspectos habilitantes, como por ejemplo la ficha técnica, cuando a su juicio esta no haya sido cumplida por el oferente en los términos exigidos en el pliego de condiciones, puesto que al tratarse de un requisito que no asigna puntaje tiene carácter de subsanable.</w:t>
      </w:r>
    </w:p>
    <w:bookmarkEnd w:id="7"/>
    <w:p w14:paraId="2042341F" w14:textId="0C6E70FC" w:rsidR="000A70B7" w:rsidRPr="00B5774D" w:rsidRDefault="004E6FE3" w:rsidP="004E6FE3">
      <w:pPr>
        <w:tabs>
          <w:tab w:val="left" w:pos="6645"/>
        </w:tabs>
        <w:spacing w:before="120" w:after="0" w:line="264" w:lineRule="auto"/>
        <w:ind w:firstLine="709"/>
        <w:jc w:val="both"/>
        <w:rPr>
          <w:rFonts w:ascii="Arial" w:hAnsi="Arial" w:cs="Arial"/>
          <w:bCs/>
        </w:rPr>
      </w:pPr>
      <w:r w:rsidRPr="00B5774D">
        <w:rPr>
          <w:rFonts w:ascii="Arial" w:hAnsi="Arial" w:cs="Arial"/>
          <w:bCs/>
        </w:rPr>
        <w:t xml:space="preserve">En este sentido, esta Subdirección considera que pese a los argumentos expuestas en la Sentencia del Consejo de Estado del 15 de julio de 2022, el hecho de que se aporte un documento habilitante con el que no se contaba a la fecha límite de la presentación de la oferta no genera </w:t>
      </w:r>
      <w:r w:rsidRPr="00B5774D">
        <w:rPr>
          <w:rFonts w:ascii="Arial" w:hAnsi="Arial" w:cs="Arial"/>
          <w:bCs/>
          <w:i/>
          <w:iCs/>
        </w:rPr>
        <w:t xml:space="preserve">per se </w:t>
      </w:r>
      <w:r w:rsidRPr="00B5774D">
        <w:rPr>
          <w:rFonts w:ascii="Arial" w:hAnsi="Arial" w:cs="Arial"/>
          <w:bCs/>
        </w:rPr>
        <w:t xml:space="preserve">un mejoramiento de esta, toda vez que el alcance de la regla de subsanabilidad también se extiende a aquellos documentos omitidos o presentados de forma errónea, siempre que no se trate de requisitos que otorguen puntaje o acrediten circunstancia ocurridas con posterioridad. </w:t>
      </w:r>
      <w:r w:rsidR="00D0595D">
        <w:rPr>
          <w:rFonts w:ascii="Arial" w:hAnsi="Arial" w:cs="Arial"/>
          <w:bCs/>
        </w:rPr>
        <w:t>En otro</w:t>
      </w:r>
      <w:r w:rsidR="00B414B1">
        <w:rPr>
          <w:rFonts w:ascii="Arial" w:hAnsi="Arial" w:cs="Arial"/>
          <w:bCs/>
        </w:rPr>
        <w:t>s</w:t>
      </w:r>
      <w:r w:rsidR="00D0595D">
        <w:rPr>
          <w:rFonts w:ascii="Arial" w:hAnsi="Arial" w:cs="Arial"/>
          <w:bCs/>
        </w:rPr>
        <w:t xml:space="preserve"> términos</w:t>
      </w:r>
      <w:r w:rsidRPr="00B5774D">
        <w:rPr>
          <w:rFonts w:ascii="Arial" w:hAnsi="Arial" w:cs="Arial"/>
          <w:bCs/>
        </w:rPr>
        <w:t>, de una interpretación en contexto de las normas señaladas se puede colegir que</w:t>
      </w:r>
      <w:r w:rsidRPr="00B5774D">
        <w:rPr>
          <w:rFonts w:ascii="Arial" w:hAnsi="Arial" w:cs="Arial"/>
          <w:bCs/>
          <w:iCs/>
          <w:lang w:val="es-MX"/>
        </w:rPr>
        <w:t xml:space="preserve"> las deficiencias que se presenten en todos aquellos requisitos y documentos que no son objeto de puntaje, por regla general, resultan subsanables como por ejemplo la falta algún </w:t>
      </w:r>
      <w:r w:rsidRPr="00B5774D">
        <w:rPr>
          <w:rFonts w:ascii="Arial" w:hAnsi="Arial" w:cs="Arial"/>
          <w:bCs/>
          <w:color w:val="000000" w:themeColor="text1"/>
        </w:rPr>
        <w:t>anexo técnico o si se presenta la carta de compromiso sin firma, sin que ello signifique mejorar la ofertar o acreditar circunstancias ocurridas con posterioridad</w:t>
      </w:r>
      <w:r w:rsidR="00B5774D" w:rsidRPr="00B5774D">
        <w:rPr>
          <w:rFonts w:ascii="Arial" w:hAnsi="Arial" w:cs="Arial"/>
          <w:bCs/>
          <w:color w:val="000000" w:themeColor="text1"/>
        </w:rPr>
        <w:t xml:space="preserve"> al cierre. </w:t>
      </w:r>
    </w:p>
    <w:p w14:paraId="4EC80643" w14:textId="77777777" w:rsidR="0093617E" w:rsidRPr="00B5774D" w:rsidRDefault="0093617E" w:rsidP="0093617E">
      <w:pPr>
        <w:tabs>
          <w:tab w:val="left" w:pos="426"/>
          <w:tab w:val="left" w:pos="8080"/>
          <w:tab w:val="left" w:pos="8364"/>
        </w:tabs>
        <w:spacing w:after="0" w:line="240" w:lineRule="auto"/>
        <w:ind w:left="709" w:right="709"/>
        <w:jc w:val="both"/>
        <w:rPr>
          <w:rFonts w:ascii="Arial" w:hAnsi="Arial" w:cs="Arial"/>
          <w:bCs/>
          <w:color w:val="000000" w:themeColor="text1"/>
          <w:sz w:val="21"/>
          <w:szCs w:val="21"/>
        </w:rPr>
      </w:pPr>
    </w:p>
    <w:p w14:paraId="6AA505E3" w14:textId="77777777" w:rsidR="0093617E" w:rsidRPr="00B5774D" w:rsidRDefault="0093617E" w:rsidP="0093617E">
      <w:pPr>
        <w:tabs>
          <w:tab w:val="left" w:pos="426"/>
          <w:tab w:val="left" w:pos="8080"/>
          <w:tab w:val="left" w:pos="8364"/>
        </w:tabs>
        <w:spacing w:after="0" w:line="240" w:lineRule="auto"/>
        <w:ind w:left="709" w:right="709"/>
        <w:jc w:val="both"/>
        <w:rPr>
          <w:rFonts w:ascii="Arial" w:hAnsi="Arial" w:cs="Arial"/>
          <w:bCs/>
          <w:color w:val="000000" w:themeColor="text1"/>
          <w:sz w:val="21"/>
          <w:szCs w:val="21"/>
        </w:rPr>
      </w:pPr>
      <w:r w:rsidRPr="00B5774D">
        <w:rPr>
          <w:rFonts w:ascii="Arial" w:hAnsi="Arial" w:cs="Arial"/>
          <w:bCs/>
          <w:color w:val="000000" w:themeColor="text1"/>
          <w:sz w:val="21"/>
          <w:szCs w:val="21"/>
        </w:rPr>
        <w:t xml:space="preserve">¿Cuál es la posición de CCE frente a la subsanabilidad de aquellos requisitos habilitantes no ponderables, que son propios del proceso, como fichas técnicas, anexos, carta de compromiso, cartas de intención; ¿su no presentación es subsanable? ¿Es viable su modificación en la subsanación? ¿Si se presentó y faltó algún elemento en su presentación, este elemento se puede agregar en la subsanación? </w:t>
      </w:r>
    </w:p>
    <w:p w14:paraId="57DFD597" w14:textId="77777777" w:rsidR="0093617E" w:rsidRPr="00B5774D" w:rsidRDefault="0093617E" w:rsidP="0093617E">
      <w:pPr>
        <w:tabs>
          <w:tab w:val="left" w:pos="426"/>
          <w:tab w:val="left" w:pos="8080"/>
          <w:tab w:val="left" w:pos="8364"/>
        </w:tabs>
        <w:spacing w:after="0" w:line="240" w:lineRule="auto"/>
        <w:ind w:left="709" w:right="709"/>
        <w:jc w:val="both"/>
        <w:rPr>
          <w:rFonts w:ascii="Arial" w:hAnsi="Arial" w:cs="Arial"/>
          <w:bCs/>
          <w:color w:val="000000" w:themeColor="text1"/>
          <w:sz w:val="21"/>
          <w:szCs w:val="21"/>
        </w:rPr>
      </w:pPr>
    </w:p>
    <w:p w14:paraId="4111F2EC" w14:textId="60F5E615" w:rsidR="0093617E" w:rsidRPr="00B5774D" w:rsidRDefault="0093617E" w:rsidP="0093617E">
      <w:pPr>
        <w:tabs>
          <w:tab w:val="left" w:pos="426"/>
          <w:tab w:val="left" w:pos="8080"/>
          <w:tab w:val="left" w:pos="8364"/>
        </w:tabs>
        <w:spacing w:after="0" w:line="240" w:lineRule="auto"/>
        <w:ind w:left="709" w:right="709"/>
        <w:jc w:val="both"/>
        <w:rPr>
          <w:rFonts w:ascii="Arial" w:hAnsi="Arial" w:cs="Arial"/>
          <w:bCs/>
          <w:color w:val="000000" w:themeColor="text1"/>
          <w:sz w:val="21"/>
          <w:szCs w:val="21"/>
          <w:lang w:val="es-ES_tradnl"/>
        </w:rPr>
      </w:pPr>
      <w:r w:rsidRPr="00B5774D">
        <w:rPr>
          <w:rFonts w:ascii="Arial" w:hAnsi="Arial" w:cs="Arial"/>
          <w:bCs/>
          <w:color w:val="000000" w:themeColor="text1"/>
          <w:sz w:val="21"/>
          <w:szCs w:val="21"/>
        </w:rPr>
        <w:t>¿Se han presentado modificaciones frente a la posición interpretativa de CCE expresada en el concepto de unificación 060 de 2020 en el marco de la subsanabilidad de las ofertas’</w:t>
      </w:r>
      <w:r w:rsidRPr="00B5774D">
        <w:rPr>
          <w:rFonts w:ascii="Arial" w:hAnsi="Arial" w:cs="Arial"/>
          <w:bCs/>
          <w:color w:val="000000" w:themeColor="text1"/>
          <w:sz w:val="21"/>
          <w:szCs w:val="21"/>
          <w:lang w:val="es-ES_tradnl"/>
        </w:rPr>
        <w:t>».</w:t>
      </w:r>
    </w:p>
    <w:p w14:paraId="54888E5E" w14:textId="77777777" w:rsidR="00B8472C" w:rsidRPr="00B5774D" w:rsidRDefault="00B8472C" w:rsidP="0093617E">
      <w:pPr>
        <w:tabs>
          <w:tab w:val="left" w:pos="426"/>
          <w:tab w:val="left" w:pos="8080"/>
          <w:tab w:val="left" w:pos="8364"/>
        </w:tabs>
        <w:spacing w:after="0" w:line="240" w:lineRule="auto"/>
        <w:ind w:left="709" w:right="709"/>
        <w:jc w:val="both"/>
        <w:rPr>
          <w:rFonts w:ascii="Arial" w:hAnsi="Arial" w:cs="Arial"/>
          <w:bCs/>
          <w:color w:val="000000" w:themeColor="text1"/>
          <w:sz w:val="21"/>
          <w:szCs w:val="21"/>
          <w:lang w:val="es-ES_tradnl"/>
        </w:rPr>
      </w:pPr>
    </w:p>
    <w:p w14:paraId="4A292CB2" w14:textId="24F0CC04" w:rsidR="000A70B7" w:rsidRPr="00B5774D" w:rsidRDefault="000A70B7" w:rsidP="00B71D07">
      <w:pPr>
        <w:tabs>
          <w:tab w:val="left" w:pos="6645"/>
        </w:tabs>
        <w:spacing w:before="120" w:after="0" w:line="264" w:lineRule="auto"/>
        <w:ind w:firstLine="709"/>
        <w:jc w:val="both"/>
        <w:rPr>
          <w:rFonts w:ascii="Arial" w:hAnsi="Arial" w:cs="Arial"/>
          <w:bCs/>
          <w:lang w:val="es-MX"/>
        </w:rPr>
      </w:pPr>
      <w:r w:rsidRPr="00B5774D">
        <w:rPr>
          <w:rFonts w:ascii="Arial" w:hAnsi="Arial" w:cs="Arial"/>
          <w:bCs/>
          <w:lang w:val="es-MX"/>
        </w:rPr>
        <w:t xml:space="preserve">La acción de subsanar en el marco de un proceso de selección hace referencia a la posibilidad que tienen los proponentes, con posterioridad a la presentación de su oferta y el </w:t>
      </w:r>
      <w:r w:rsidRPr="00291202">
        <w:rPr>
          <w:rFonts w:ascii="Arial" w:hAnsi="Arial" w:cs="Arial"/>
          <w:bCs/>
          <w:lang w:val="es-MX"/>
        </w:rPr>
        <w:t>cierre del periodo previsto para ello, de corregir requisitos de los que adolecía su propuesta. Dicha posibilidad solo es procedente respecto requisitos no requeridos para la comparación de las ofertas, esto es, que no otorguen puntaje. La posibilidad de subsanar procede frente a documentos omitidos o presentados de forma</w:t>
      </w:r>
      <w:r w:rsidRPr="00B5774D">
        <w:rPr>
          <w:rFonts w:ascii="Arial" w:hAnsi="Arial" w:cs="Arial"/>
          <w:bCs/>
          <w:lang w:val="es-MX"/>
        </w:rPr>
        <w:t xml:space="preserve"> errónea con la oferta. Sin embargo, la subsanación tiene un límite consistente en que no se podrán acreditar circunstancias ocurridas con posterioridad al cierre del proceso, como se explicó en párrafos precedentes.</w:t>
      </w:r>
    </w:p>
    <w:p w14:paraId="28A48F05" w14:textId="77777777" w:rsidR="000A70B7" w:rsidRPr="00B5774D" w:rsidRDefault="000A70B7" w:rsidP="000A70B7">
      <w:pPr>
        <w:tabs>
          <w:tab w:val="left" w:pos="6645"/>
        </w:tabs>
        <w:spacing w:before="120" w:after="0" w:line="264" w:lineRule="auto"/>
        <w:ind w:firstLine="709"/>
        <w:jc w:val="both"/>
        <w:rPr>
          <w:rFonts w:ascii="Arial" w:hAnsi="Arial" w:cs="Arial"/>
          <w:bCs/>
          <w:lang w:val="es-ES_tradnl"/>
        </w:rPr>
      </w:pPr>
      <w:r w:rsidRPr="00B5774D">
        <w:rPr>
          <w:rFonts w:ascii="Arial" w:hAnsi="Arial" w:cs="Arial"/>
          <w:bCs/>
          <w:lang w:val="es-ES_tradnl"/>
        </w:rPr>
        <w:t xml:space="preserve">Sin embargo, no siempre la falta de presentación de un documento que no otorga puntaje es subsanable. Según lo estableció el parágrafo 3º del artículo 5º de la Ley 1150 de 2007, agregado por el artículo 5 de la Ley 1882 de 2018, se prohíbe subsanar la garantía de seriedad de la oferta que no fue entregada junto con la propuesta. Por lo tanto, este documento faltante no puede ser aportado por el proponente durante el término para subsanar. En consecuencia, por regla general, si el oferente no acredita con su oferta cualquier requisito que no otorgue puntaje, la entidad debe permitir que los subsane, con excepción de la garantía de seriedad; pero la entidad estatal verificará, adicionalmente, que la información aportada no acredite «circunstancias ocurridas con posterioridad al cierre del proceso. </w:t>
      </w:r>
    </w:p>
    <w:p w14:paraId="4C0F6AF0" w14:textId="11455DDB" w:rsidR="000A70B7" w:rsidRPr="00B5774D" w:rsidRDefault="000A70B7" w:rsidP="000A70B7">
      <w:pPr>
        <w:tabs>
          <w:tab w:val="left" w:pos="6645"/>
        </w:tabs>
        <w:spacing w:before="120" w:after="0" w:line="264" w:lineRule="auto"/>
        <w:ind w:firstLine="709"/>
        <w:jc w:val="both"/>
        <w:rPr>
          <w:rFonts w:ascii="Arial" w:hAnsi="Arial" w:cs="Arial"/>
          <w:bCs/>
          <w:lang w:val="es-ES_tradnl"/>
        </w:rPr>
      </w:pPr>
      <w:r w:rsidRPr="00B5774D">
        <w:rPr>
          <w:rFonts w:ascii="Arial" w:hAnsi="Arial" w:cs="Arial"/>
          <w:bCs/>
          <w:lang w:val="es-ES_tradnl"/>
        </w:rPr>
        <w:t xml:space="preserve">En este orden de ideas, teniendo en cuenta las consideraciones de las sentencias del 28 de febrero y 20 de abril del 2022 </w:t>
      </w:r>
      <w:r w:rsidR="00B5774D">
        <w:rPr>
          <w:rFonts w:ascii="Arial" w:hAnsi="Arial" w:cs="Arial"/>
          <w:bCs/>
          <w:lang w:val="es-ES_tradnl"/>
        </w:rPr>
        <w:t xml:space="preserve">de </w:t>
      </w:r>
      <w:r w:rsidRPr="00B5774D">
        <w:rPr>
          <w:rFonts w:ascii="Arial" w:hAnsi="Arial" w:cs="Arial"/>
          <w:bCs/>
          <w:lang w:val="es-ES_tradnl"/>
        </w:rPr>
        <w:t xml:space="preserve">la Subsección C de la Sección </w:t>
      </w:r>
      <w:r w:rsidR="00B5774D">
        <w:rPr>
          <w:rFonts w:ascii="Arial" w:hAnsi="Arial" w:cs="Arial"/>
          <w:bCs/>
          <w:lang w:val="es-ES_tradnl"/>
        </w:rPr>
        <w:t>T</w:t>
      </w:r>
      <w:r w:rsidRPr="00B5774D">
        <w:rPr>
          <w:rFonts w:ascii="Arial" w:hAnsi="Arial" w:cs="Arial"/>
          <w:bCs/>
          <w:lang w:val="es-ES_tradnl"/>
        </w:rPr>
        <w:t>ercera</w:t>
      </w:r>
      <w:r w:rsidR="00B5774D">
        <w:rPr>
          <w:rFonts w:ascii="Arial" w:hAnsi="Arial" w:cs="Arial"/>
          <w:bCs/>
          <w:lang w:val="es-ES_tradnl"/>
        </w:rPr>
        <w:t xml:space="preserve"> del Consejo de Estado</w:t>
      </w:r>
      <w:r w:rsidRPr="00B5774D">
        <w:rPr>
          <w:rFonts w:ascii="Arial" w:hAnsi="Arial" w:cs="Arial"/>
          <w:bCs/>
          <w:lang w:val="es-ES_tradnl"/>
        </w:rPr>
        <w:t xml:space="preserve"> y reiterando lo señalado en el concepto</w:t>
      </w:r>
      <w:r w:rsidRPr="00B5774D">
        <w:rPr>
          <w:rFonts w:ascii="Arial" w:hAnsi="Arial" w:cs="Arial"/>
          <w:lang w:val="es-MX"/>
        </w:rPr>
        <w:t xml:space="preserve"> CU</w:t>
      </w:r>
      <w:r w:rsidR="00841E73">
        <w:rPr>
          <w:rFonts w:ascii="Arial" w:hAnsi="Arial" w:cs="Arial"/>
          <w:lang w:val="es-MX"/>
        </w:rPr>
        <w:t>–</w:t>
      </w:r>
      <w:r w:rsidRPr="00B5774D">
        <w:rPr>
          <w:rFonts w:ascii="Arial" w:hAnsi="Arial" w:cs="Arial"/>
          <w:lang w:val="es-MX"/>
        </w:rPr>
        <w:t>060 de 16 de enero de 202</w:t>
      </w:r>
      <w:r w:rsidR="00F11EC4">
        <w:rPr>
          <w:rFonts w:ascii="Arial" w:hAnsi="Arial" w:cs="Arial"/>
          <w:lang w:val="es-MX"/>
        </w:rPr>
        <w:t>0</w:t>
      </w:r>
      <w:r w:rsidRPr="00B5774D">
        <w:rPr>
          <w:rFonts w:ascii="Arial" w:hAnsi="Arial" w:cs="Arial"/>
          <w:lang w:val="es-MX"/>
        </w:rPr>
        <w:t>, así como lo indicado en los conceptos C-024 del 24 de febrero de 2021 y</w:t>
      </w:r>
      <w:r w:rsidRPr="00B5774D">
        <w:rPr>
          <w:rFonts w:ascii="Arial" w:hAnsi="Arial" w:cs="Arial"/>
          <w:bCs/>
          <w:lang w:val="es-ES_tradnl"/>
        </w:rPr>
        <w:t xml:space="preserve"> C-542 del 23 de agosto de 2022, si el proponente ofrece condiciones de inferior calidad o personal profesional sin los requisitos mínimos, así como actividades por ejecutar, ficha técnica, documentos técnicos adicionales, entre otros, que sean diferentes a las condiciones establecidas por la entidad contratante, la entidad debe requerir la oferente para que subsane la oferta, siempre que no afecten la asignación de puntaje y que no se trate de la acreditación de circunstancias ocurridas con posterioridad al cierre del proceso.  </w:t>
      </w:r>
    </w:p>
    <w:p w14:paraId="581FFE66" w14:textId="77777777" w:rsidR="00025065" w:rsidRPr="00B5774D" w:rsidRDefault="00025065" w:rsidP="00025065">
      <w:pPr>
        <w:spacing w:before="120" w:after="0" w:line="276" w:lineRule="auto"/>
        <w:ind w:firstLine="709"/>
        <w:jc w:val="both"/>
        <w:rPr>
          <w:rFonts w:ascii="Arial" w:hAnsi="Arial" w:cs="Arial"/>
          <w:lang w:val="es-MX"/>
        </w:rPr>
      </w:pPr>
    </w:p>
    <w:p w14:paraId="6F54E9C9" w14:textId="5475890E" w:rsidR="00003233" w:rsidRPr="00B5774D" w:rsidRDefault="00DD5B04" w:rsidP="00EB1F23">
      <w:pPr>
        <w:widowControl w:val="0"/>
        <w:autoSpaceDE w:val="0"/>
        <w:autoSpaceDN w:val="0"/>
        <w:spacing w:line="276" w:lineRule="auto"/>
        <w:jc w:val="both"/>
        <w:rPr>
          <w:rFonts w:ascii="Arial" w:hAnsi="Arial" w:cs="Arial"/>
          <w:lang w:val="es-ES_tradnl" w:bidi="es-ES"/>
        </w:rPr>
      </w:pPr>
      <w:r w:rsidRPr="00B5774D">
        <w:rPr>
          <w:rFonts w:ascii="Arial" w:hAnsi="Arial" w:cs="Arial"/>
          <w:color w:val="000000" w:themeColor="text1"/>
          <w:lang w:val="es-ES_tradnl"/>
        </w:rPr>
        <w:t>Este concepto tiene el alcance previsto en el artículo 28 del Código de Procedimiento Administrativo y de</w:t>
      </w:r>
      <w:r w:rsidR="00D40F8B" w:rsidRPr="00B5774D">
        <w:rPr>
          <w:rFonts w:ascii="Arial" w:hAnsi="Arial" w:cs="Arial"/>
          <w:color w:val="000000" w:themeColor="text1"/>
          <w:lang w:val="es-ES_tradnl"/>
        </w:rPr>
        <w:t xml:space="preserve"> lo Contencioso Administrativo.</w:t>
      </w:r>
    </w:p>
    <w:p w14:paraId="3C17C1D1" w14:textId="77777777" w:rsidR="00EB1F23" w:rsidRPr="00B5774D" w:rsidRDefault="00EB1F23" w:rsidP="00EB1F23">
      <w:pPr>
        <w:widowControl w:val="0"/>
        <w:autoSpaceDE w:val="0"/>
        <w:autoSpaceDN w:val="0"/>
        <w:spacing w:line="276" w:lineRule="auto"/>
        <w:jc w:val="both"/>
        <w:rPr>
          <w:rFonts w:ascii="Arial" w:hAnsi="Arial" w:cs="Arial"/>
          <w:lang w:val="es-ES_tradnl" w:bidi="es-ES"/>
        </w:rPr>
      </w:pPr>
    </w:p>
    <w:p w14:paraId="349855C9" w14:textId="4E2C915B" w:rsidR="00D40F8B" w:rsidRPr="00B5774D"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5774D">
        <w:rPr>
          <w:rFonts w:ascii="Arial" w:hAnsi="Arial" w:cs="Arial"/>
          <w:color w:val="000000" w:themeColor="text1"/>
          <w:sz w:val="22"/>
          <w:szCs w:val="22"/>
          <w:lang w:val="es-ES_tradnl"/>
        </w:rPr>
        <w:t>Atentamente,</w:t>
      </w:r>
    </w:p>
    <w:p w14:paraId="10A1E411" w14:textId="779CEB27" w:rsidR="00D40F8B" w:rsidRPr="00B5774D" w:rsidRDefault="00C131E0"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59F6398B" wp14:editId="560A656F">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1ED13883" w14:textId="77777777" w:rsidR="00003233" w:rsidRPr="00B5774D" w:rsidRDefault="00003233" w:rsidP="00AD4A51">
      <w:pPr>
        <w:pStyle w:val="NormalWeb"/>
        <w:spacing w:before="0" w:beforeAutospacing="0" w:after="0" w:afterAutospacing="0"/>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B5774D" w14:paraId="0C7DC5F7" w14:textId="77777777" w:rsidTr="00D40F8B">
        <w:trPr>
          <w:trHeight w:val="160"/>
        </w:trPr>
        <w:tc>
          <w:tcPr>
            <w:tcW w:w="812" w:type="dxa"/>
            <w:vAlign w:val="center"/>
            <w:hideMark/>
          </w:tcPr>
          <w:p w14:paraId="5BDB1AC9" w14:textId="77777777" w:rsidR="00DD5B04" w:rsidRPr="00B5774D" w:rsidRDefault="00DD5B04" w:rsidP="00AD4A51">
            <w:pPr>
              <w:spacing w:after="0" w:line="240" w:lineRule="auto"/>
              <w:jc w:val="both"/>
              <w:rPr>
                <w:rFonts w:ascii="Arial" w:hAnsi="Arial" w:cs="Arial"/>
                <w:color w:val="000000" w:themeColor="text1"/>
                <w:sz w:val="16"/>
                <w:szCs w:val="16"/>
                <w:lang w:val="es-ES_tradnl" w:eastAsia="es-ES"/>
              </w:rPr>
            </w:pPr>
            <w:r w:rsidRPr="00B5774D">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B5774D" w:rsidRDefault="00F412DF" w:rsidP="00AD4A51">
            <w:pPr>
              <w:spacing w:after="0" w:line="240" w:lineRule="auto"/>
              <w:jc w:val="both"/>
              <w:rPr>
                <w:rFonts w:ascii="Arial" w:hAnsi="Arial" w:cs="Arial"/>
                <w:color w:val="000000" w:themeColor="text1"/>
                <w:sz w:val="16"/>
                <w:szCs w:val="16"/>
                <w:lang w:val="es-ES_tradnl" w:eastAsia="es-ES"/>
              </w:rPr>
            </w:pPr>
            <w:r w:rsidRPr="00B5774D">
              <w:rPr>
                <w:rFonts w:ascii="Arial" w:hAnsi="Arial" w:cs="Arial"/>
                <w:color w:val="000000" w:themeColor="text1"/>
                <w:sz w:val="16"/>
                <w:szCs w:val="16"/>
                <w:lang w:val="es-ES_tradnl" w:eastAsia="es-ES"/>
              </w:rPr>
              <w:t>Tatiana Baquero Iguarán</w:t>
            </w:r>
          </w:p>
          <w:p w14:paraId="240C71FD" w14:textId="31312C95" w:rsidR="00DD5B04" w:rsidRPr="00B5774D" w:rsidRDefault="00DD5B04" w:rsidP="00AD4A51">
            <w:pPr>
              <w:spacing w:after="0" w:line="240" w:lineRule="auto"/>
              <w:jc w:val="both"/>
              <w:rPr>
                <w:rFonts w:ascii="Arial" w:hAnsi="Arial" w:cs="Arial"/>
                <w:color w:val="000000" w:themeColor="text1"/>
                <w:sz w:val="16"/>
                <w:szCs w:val="16"/>
                <w:lang w:val="es-ES_tradnl" w:eastAsia="es-ES"/>
              </w:rPr>
            </w:pPr>
            <w:r w:rsidRPr="00B5774D">
              <w:rPr>
                <w:rFonts w:ascii="Arial" w:hAnsi="Arial" w:cs="Arial"/>
                <w:color w:val="000000" w:themeColor="text1"/>
                <w:sz w:val="16"/>
                <w:szCs w:val="16"/>
                <w:lang w:val="es-ES_tradnl" w:eastAsia="es-ES"/>
              </w:rPr>
              <w:t>Contratista</w:t>
            </w:r>
            <w:r w:rsidR="00FF0050" w:rsidRPr="00B5774D">
              <w:rPr>
                <w:rFonts w:ascii="Arial" w:hAnsi="Arial" w:cs="Arial"/>
                <w:color w:val="000000" w:themeColor="text1"/>
                <w:sz w:val="16"/>
                <w:szCs w:val="16"/>
                <w:lang w:val="es-ES_tradnl" w:eastAsia="es-ES"/>
              </w:rPr>
              <w:t xml:space="preserve"> de la </w:t>
            </w:r>
            <w:r w:rsidRPr="00B5774D">
              <w:rPr>
                <w:rFonts w:ascii="Arial" w:hAnsi="Arial" w:cs="Arial"/>
                <w:color w:val="000000" w:themeColor="text1"/>
                <w:sz w:val="16"/>
                <w:szCs w:val="16"/>
                <w:lang w:val="es-ES_tradnl" w:eastAsia="es-ES"/>
              </w:rPr>
              <w:t>Subdirección de Gestión Contractual</w:t>
            </w:r>
          </w:p>
        </w:tc>
      </w:tr>
      <w:tr w:rsidR="00DD5B04" w:rsidRPr="00B5774D" w14:paraId="2F8FD650" w14:textId="77777777" w:rsidTr="00D15356">
        <w:trPr>
          <w:trHeight w:val="330"/>
        </w:trPr>
        <w:tc>
          <w:tcPr>
            <w:tcW w:w="812" w:type="dxa"/>
            <w:vAlign w:val="center"/>
            <w:hideMark/>
          </w:tcPr>
          <w:p w14:paraId="50203A0B" w14:textId="77777777" w:rsidR="00DD5B04" w:rsidRPr="00B5774D" w:rsidRDefault="00DD5B04" w:rsidP="00AD4A51">
            <w:pPr>
              <w:spacing w:after="0" w:line="240" w:lineRule="auto"/>
              <w:jc w:val="both"/>
              <w:rPr>
                <w:rFonts w:ascii="Arial" w:hAnsi="Arial" w:cs="Arial"/>
                <w:color w:val="000000" w:themeColor="text1"/>
                <w:sz w:val="16"/>
                <w:szCs w:val="16"/>
                <w:lang w:val="es-ES_tradnl" w:eastAsia="es-ES"/>
              </w:rPr>
            </w:pPr>
            <w:r w:rsidRPr="00B5774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Pr="00B5774D" w:rsidRDefault="0037195B" w:rsidP="00AD4A51">
            <w:pPr>
              <w:spacing w:after="0" w:line="240" w:lineRule="auto"/>
              <w:jc w:val="both"/>
              <w:rPr>
                <w:rFonts w:ascii="Arial" w:hAnsi="Arial" w:cs="Arial"/>
                <w:color w:val="000000" w:themeColor="text1"/>
                <w:sz w:val="16"/>
                <w:szCs w:val="16"/>
                <w:lang w:eastAsia="es-ES"/>
              </w:rPr>
            </w:pPr>
            <w:r w:rsidRPr="00B5774D">
              <w:rPr>
                <w:rFonts w:ascii="Arial" w:hAnsi="Arial" w:cs="Arial"/>
                <w:color w:val="000000" w:themeColor="text1"/>
                <w:sz w:val="16"/>
                <w:szCs w:val="16"/>
                <w:lang w:eastAsia="es-ES"/>
              </w:rPr>
              <w:t xml:space="preserve">Alejandro Sarmiento Cantillo </w:t>
            </w:r>
          </w:p>
          <w:p w14:paraId="130B3228" w14:textId="7B765391" w:rsidR="00DD5B04" w:rsidRPr="00B5774D" w:rsidRDefault="003A07D9" w:rsidP="00AD4A51">
            <w:pPr>
              <w:spacing w:after="0" w:line="240" w:lineRule="auto"/>
              <w:jc w:val="both"/>
              <w:rPr>
                <w:rFonts w:ascii="Arial" w:hAnsi="Arial" w:cs="Arial"/>
                <w:color w:val="000000" w:themeColor="text1"/>
                <w:sz w:val="16"/>
                <w:szCs w:val="16"/>
                <w:lang w:eastAsia="es-ES"/>
              </w:rPr>
            </w:pPr>
            <w:r w:rsidRPr="00B5774D">
              <w:rPr>
                <w:rFonts w:ascii="Arial" w:hAnsi="Arial" w:cs="Arial"/>
                <w:color w:val="000000" w:themeColor="text1"/>
                <w:sz w:val="16"/>
                <w:szCs w:val="16"/>
                <w:lang w:eastAsia="es-ES"/>
              </w:rPr>
              <w:t>Gestor T1-15 de la Subdirección de Gestión Contractual</w:t>
            </w:r>
          </w:p>
        </w:tc>
      </w:tr>
      <w:tr w:rsidR="00DD5B04" w:rsidRPr="00B5774D" w14:paraId="0FCBCA4A" w14:textId="77777777" w:rsidTr="00D15356">
        <w:trPr>
          <w:trHeight w:val="300"/>
        </w:trPr>
        <w:tc>
          <w:tcPr>
            <w:tcW w:w="812" w:type="dxa"/>
            <w:vAlign w:val="center"/>
            <w:hideMark/>
          </w:tcPr>
          <w:p w14:paraId="3C1D943A" w14:textId="77777777" w:rsidR="00DD5B04" w:rsidRPr="00B5774D" w:rsidRDefault="00DD5B04" w:rsidP="00AD4A51">
            <w:pPr>
              <w:spacing w:after="0" w:line="240" w:lineRule="auto"/>
              <w:jc w:val="both"/>
              <w:rPr>
                <w:rFonts w:ascii="Arial" w:hAnsi="Arial" w:cs="Arial"/>
                <w:color w:val="000000" w:themeColor="text1"/>
                <w:sz w:val="16"/>
                <w:szCs w:val="16"/>
                <w:lang w:val="es-ES_tradnl" w:eastAsia="es-ES"/>
              </w:rPr>
            </w:pPr>
            <w:r w:rsidRPr="00B5774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A13D65" w14:textId="77777777" w:rsidR="0015738A" w:rsidRPr="00B5774D" w:rsidRDefault="0015738A" w:rsidP="0015738A">
            <w:pPr>
              <w:spacing w:after="0" w:line="240" w:lineRule="auto"/>
              <w:rPr>
                <w:rFonts w:ascii="Arial" w:eastAsia="Arial" w:hAnsi="Arial" w:cs="Arial"/>
                <w:color w:val="000000"/>
                <w:sz w:val="16"/>
                <w:szCs w:val="16"/>
              </w:rPr>
            </w:pPr>
            <w:r w:rsidRPr="00B5774D">
              <w:rPr>
                <w:rFonts w:ascii="Arial" w:eastAsia="Arial" w:hAnsi="Arial" w:cs="Arial"/>
                <w:color w:val="000000"/>
                <w:sz w:val="16"/>
                <w:szCs w:val="16"/>
              </w:rPr>
              <w:t>Nohelia del Carmen Zawady Palacio</w:t>
            </w:r>
          </w:p>
          <w:p w14:paraId="1ADC483B" w14:textId="3408AB15" w:rsidR="00DD5B04" w:rsidRPr="00B5774D" w:rsidRDefault="0015738A" w:rsidP="00AD4A51">
            <w:pPr>
              <w:spacing w:after="0" w:line="240" w:lineRule="auto"/>
              <w:jc w:val="both"/>
              <w:rPr>
                <w:rFonts w:ascii="Arial" w:hAnsi="Arial" w:cs="Arial"/>
                <w:color w:val="000000" w:themeColor="text1"/>
                <w:sz w:val="16"/>
                <w:szCs w:val="16"/>
                <w:lang w:val="es-ES_tradnl" w:eastAsia="es-ES"/>
              </w:rPr>
            </w:pPr>
            <w:r w:rsidRPr="00B5774D">
              <w:rPr>
                <w:rFonts w:ascii="Arial" w:eastAsia="Arial" w:hAnsi="Arial" w:cs="Arial"/>
                <w:color w:val="000000"/>
                <w:sz w:val="16"/>
                <w:szCs w:val="16"/>
              </w:rPr>
              <w:t>Subdirectora de Gestión Contractual</w:t>
            </w:r>
          </w:p>
        </w:tc>
      </w:tr>
      <w:bookmarkEnd w:id="0"/>
      <w:bookmarkEnd w:id="1"/>
    </w:tbl>
    <w:p w14:paraId="575AF8D6" w14:textId="503E82EC" w:rsidR="003A07D9" w:rsidRPr="00B5774D" w:rsidRDefault="003A07D9" w:rsidP="003A07D9">
      <w:pPr>
        <w:tabs>
          <w:tab w:val="left" w:pos="3570"/>
        </w:tabs>
        <w:rPr>
          <w:rFonts w:ascii="Arial" w:hAnsi="Arial" w:cs="Arial"/>
          <w:lang w:val="es-ES_tradnl"/>
        </w:rPr>
      </w:pPr>
    </w:p>
    <w:sectPr w:rsidR="003A07D9" w:rsidRPr="00B5774D" w:rsidSect="0030320E">
      <w:headerReference w:type="default" r:id="rId13"/>
      <w:footerReference w:type="default" r:id="rId14"/>
      <w:pgSz w:w="12240" w:h="15840"/>
      <w:pgMar w:top="2041" w:right="1750"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C39F" w14:textId="77777777" w:rsidR="008873F9" w:rsidRDefault="008873F9">
      <w:r>
        <w:separator/>
      </w:r>
    </w:p>
  </w:endnote>
  <w:endnote w:type="continuationSeparator" w:id="0">
    <w:p w14:paraId="2C08EE5E" w14:textId="77777777" w:rsidR="008873F9" w:rsidRDefault="008873F9">
      <w:r>
        <w:continuationSeparator/>
      </w:r>
    </w:p>
  </w:endnote>
  <w:endnote w:type="continuationNotice" w:id="1">
    <w:p w14:paraId="2E206440" w14:textId="77777777" w:rsidR="008873F9" w:rsidRDefault="00887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98B1" w14:textId="77777777" w:rsidR="008873F9" w:rsidRDefault="008873F9">
      <w:r>
        <w:separator/>
      </w:r>
    </w:p>
  </w:footnote>
  <w:footnote w:type="continuationSeparator" w:id="0">
    <w:p w14:paraId="0EB8D04F" w14:textId="77777777" w:rsidR="008873F9" w:rsidRDefault="008873F9">
      <w:r>
        <w:continuationSeparator/>
      </w:r>
    </w:p>
  </w:footnote>
  <w:footnote w:type="continuationNotice" w:id="1">
    <w:p w14:paraId="4719AE0C" w14:textId="77777777" w:rsidR="008873F9" w:rsidRDefault="008873F9"/>
  </w:footnote>
  <w:footnote w:id="2">
    <w:p w14:paraId="299BC632" w14:textId="4B4789E1" w:rsidR="00A2709D" w:rsidRPr="00B71D07" w:rsidRDefault="00A2709D" w:rsidP="0060468B">
      <w:pPr>
        <w:pStyle w:val="Textonotapie"/>
        <w:ind w:firstLine="709"/>
        <w:jc w:val="both"/>
        <w:rPr>
          <w:rStyle w:val="Hipervnculo"/>
          <w:rFonts w:ascii="Arial" w:hAnsi="Arial" w:cs="Arial"/>
          <w:color w:val="auto"/>
          <w:sz w:val="18"/>
          <w:szCs w:val="18"/>
        </w:rPr>
      </w:pPr>
      <w:r w:rsidRPr="00B71D07">
        <w:rPr>
          <w:rStyle w:val="Refdenotaalpie"/>
          <w:rFonts w:ascii="Arial" w:hAnsi="Arial" w:cs="Arial"/>
          <w:sz w:val="18"/>
          <w:szCs w:val="18"/>
        </w:rPr>
        <w:footnoteRef/>
      </w:r>
      <w:r w:rsidRPr="00B71D07">
        <w:rPr>
          <w:rFonts w:ascii="Arial" w:hAnsi="Arial" w:cs="Arial"/>
          <w:sz w:val="18"/>
          <w:szCs w:val="18"/>
        </w:rPr>
        <w:t xml:space="preserve"> Estos conceptos pueden ser consultados en el siguiente enlace: </w:t>
      </w:r>
      <w:hyperlink r:id="rId1" w:history="1">
        <w:r w:rsidRPr="00B71D07">
          <w:rPr>
            <w:rStyle w:val="Hipervnculo"/>
            <w:rFonts w:ascii="Arial" w:hAnsi="Arial" w:cs="Arial"/>
            <w:color w:val="auto"/>
            <w:sz w:val="18"/>
            <w:szCs w:val="18"/>
          </w:rPr>
          <w:t>https://relatoria.colombiacompra.gov.co/busqueda/conceptos</w:t>
        </w:r>
      </w:hyperlink>
    </w:p>
    <w:p w14:paraId="128163C5" w14:textId="77777777" w:rsidR="00C06462" w:rsidRPr="00B71D07" w:rsidRDefault="00C06462" w:rsidP="0060468B">
      <w:pPr>
        <w:pStyle w:val="Textonotapie"/>
        <w:ind w:firstLine="709"/>
        <w:jc w:val="both"/>
        <w:rPr>
          <w:rFonts w:ascii="Arial" w:hAnsi="Arial" w:cs="Arial"/>
          <w:sz w:val="18"/>
          <w:szCs w:val="18"/>
          <w:lang w:val="es-CO"/>
        </w:rPr>
      </w:pPr>
    </w:p>
  </w:footnote>
  <w:footnote w:id="3">
    <w:p w14:paraId="4245EF1E" w14:textId="77777777" w:rsidR="00A2709D" w:rsidRPr="00B71D07" w:rsidRDefault="00A2709D" w:rsidP="00B71D07">
      <w:pPr>
        <w:pBdr>
          <w:top w:val="nil"/>
          <w:left w:val="nil"/>
          <w:bottom w:val="nil"/>
          <w:right w:val="nil"/>
          <w:between w:val="nil"/>
        </w:pBdr>
        <w:spacing w:after="0" w:line="240" w:lineRule="auto"/>
        <w:ind w:firstLine="709"/>
        <w:jc w:val="both"/>
        <w:rPr>
          <w:rFonts w:ascii="Arial" w:eastAsiaTheme="minorHAnsi" w:hAnsi="Arial" w:cs="Arial"/>
          <w:sz w:val="18"/>
          <w:szCs w:val="18"/>
          <w:lang w:val="es-MX"/>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Pr="00B71D07">
        <w:rPr>
          <w:rFonts w:ascii="Arial" w:eastAsiaTheme="minorHAnsi" w:hAnsi="Arial" w:cs="Arial"/>
          <w:sz w:val="18"/>
          <w:szCs w:val="18"/>
          <w:lang w:val="es-MX"/>
        </w:rPr>
        <w:t>Al respecto, conviene recordar el artículo 29 de la Ley 80 de 1993, derogado por el artículo 32 de la Ley 1150 de 2007, que establecía: «La selección de contratistas será objetiva.</w:t>
      </w:r>
    </w:p>
    <w:p w14:paraId="0FF3194F" w14:textId="77777777" w:rsidR="00A2709D" w:rsidRPr="00B71D07" w:rsidRDefault="00A2709D" w:rsidP="00B71D07">
      <w:pPr>
        <w:pBdr>
          <w:top w:val="nil"/>
          <w:left w:val="nil"/>
          <w:bottom w:val="nil"/>
          <w:right w:val="nil"/>
          <w:between w:val="nil"/>
        </w:pBdr>
        <w:spacing w:after="0" w:line="240" w:lineRule="auto"/>
        <w:ind w:firstLine="709"/>
        <w:jc w:val="both"/>
        <w:rPr>
          <w:rFonts w:ascii="Arial" w:eastAsiaTheme="minorHAnsi" w:hAnsi="Arial" w:cs="Arial"/>
          <w:sz w:val="18"/>
          <w:szCs w:val="18"/>
          <w:lang w:val="es-MX"/>
        </w:rPr>
      </w:pPr>
      <w:proofErr w:type="gramStart"/>
      <w:r w:rsidRPr="00B71D07">
        <w:rPr>
          <w:rFonts w:ascii="Arial" w:eastAsiaTheme="minorHAnsi" w:hAnsi="Arial" w:cs="Arial"/>
          <w:sz w:val="18"/>
          <w:szCs w:val="18"/>
          <w:lang w:val="es-MX"/>
        </w:rPr>
        <w:t>»Es</w:t>
      </w:r>
      <w:proofErr w:type="gramEnd"/>
      <w:r w:rsidRPr="00B71D07">
        <w:rPr>
          <w:rFonts w:ascii="Arial" w:eastAsiaTheme="minorHAnsi" w:hAnsi="Arial" w:cs="Arial"/>
          <w:sz w:val="18"/>
          <w:szCs w:val="18"/>
          <w:lang w:val="es-MX"/>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14:paraId="7C1EA325" w14:textId="77777777" w:rsidR="00A2709D" w:rsidRPr="00B71D07" w:rsidRDefault="00A2709D" w:rsidP="00B71D07">
      <w:pPr>
        <w:pBdr>
          <w:top w:val="nil"/>
          <w:left w:val="nil"/>
          <w:bottom w:val="nil"/>
          <w:right w:val="nil"/>
          <w:between w:val="nil"/>
        </w:pBdr>
        <w:spacing w:after="0" w:line="240" w:lineRule="auto"/>
        <w:ind w:firstLine="709"/>
        <w:jc w:val="both"/>
        <w:rPr>
          <w:rFonts w:ascii="Arial" w:eastAsiaTheme="minorHAnsi" w:hAnsi="Arial" w:cs="Arial"/>
          <w:sz w:val="18"/>
          <w:szCs w:val="18"/>
          <w:lang w:val="es-MX"/>
        </w:rPr>
      </w:pPr>
      <w:r w:rsidRPr="00B71D07">
        <w:rPr>
          <w:rFonts w:ascii="Arial" w:eastAsiaTheme="minorHAnsi" w:hAnsi="Arial" w:cs="Arial"/>
          <w:sz w:val="18"/>
          <w:szCs w:val="18"/>
          <w:lang w:val="es-MX"/>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B71D07">
        <w:rPr>
          <w:rFonts w:ascii="Arial" w:eastAsiaTheme="minorHAnsi" w:hAnsi="Arial" w:cs="Arial"/>
          <w:sz w:val="18"/>
          <w:szCs w:val="18"/>
          <w:lang w:val="es-MX"/>
        </w:rPr>
        <w:t>pliegos,</w:t>
      </w:r>
      <w:proofErr w:type="gramEnd"/>
      <w:r w:rsidRPr="00B71D07">
        <w:rPr>
          <w:rFonts w:ascii="Arial" w:eastAsiaTheme="minorHAnsi" w:hAnsi="Arial" w:cs="Arial"/>
          <w:sz w:val="18"/>
          <w:szCs w:val="18"/>
          <w:lang w:val="es-MX"/>
        </w:rPr>
        <w:t xml:space="preserve"> no será objeto de evaluación».</w:t>
      </w:r>
    </w:p>
    <w:p w14:paraId="3E65AC2A" w14:textId="77777777" w:rsidR="00A2709D" w:rsidRPr="00B71D07" w:rsidRDefault="00A2709D" w:rsidP="00B71D07">
      <w:pPr>
        <w:pBdr>
          <w:top w:val="nil"/>
          <w:left w:val="nil"/>
          <w:bottom w:val="nil"/>
          <w:right w:val="nil"/>
          <w:between w:val="nil"/>
        </w:pBdr>
        <w:spacing w:after="0" w:line="240" w:lineRule="auto"/>
        <w:ind w:firstLine="709"/>
        <w:jc w:val="both"/>
        <w:rPr>
          <w:rFonts w:ascii="Arial" w:eastAsiaTheme="minorHAnsi" w:hAnsi="Arial" w:cs="Arial"/>
          <w:sz w:val="18"/>
          <w:szCs w:val="18"/>
          <w:lang w:val="es-MX"/>
        </w:rPr>
      </w:pPr>
      <w:proofErr w:type="gramStart"/>
      <w:r w:rsidRPr="00B71D07">
        <w:rPr>
          <w:rFonts w:ascii="Arial" w:eastAsiaTheme="minorHAnsi" w:hAnsi="Arial" w:cs="Arial"/>
          <w:sz w:val="18"/>
          <w:szCs w:val="18"/>
          <w:lang w:val="es-MX"/>
        </w:rPr>
        <w:t>»El</w:t>
      </w:r>
      <w:proofErr w:type="gramEnd"/>
      <w:r w:rsidRPr="00B71D07">
        <w:rPr>
          <w:rFonts w:ascii="Arial" w:eastAsiaTheme="minorHAnsi" w:hAnsi="Arial" w:cs="Arial"/>
          <w:sz w:val="18"/>
          <w:szCs w:val="18"/>
          <w:lang w:val="es-MX"/>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5D8AAC7C" w14:textId="77777777" w:rsidR="00A2709D" w:rsidRPr="00B71D07" w:rsidRDefault="00A2709D" w:rsidP="00B71D07">
      <w:pPr>
        <w:pBdr>
          <w:top w:val="nil"/>
          <w:left w:val="nil"/>
          <w:bottom w:val="nil"/>
          <w:right w:val="nil"/>
          <w:between w:val="nil"/>
        </w:pBdr>
        <w:spacing w:after="0" w:line="240" w:lineRule="auto"/>
        <w:ind w:firstLine="709"/>
        <w:jc w:val="both"/>
        <w:rPr>
          <w:rFonts w:ascii="Arial" w:eastAsia="Arial" w:hAnsi="Arial" w:cs="Arial"/>
          <w:color w:val="000000"/>
          <w:sz w:val="18"/>
          <w:szCs w:val="18"/>
        </w:rPr>
      </w:pPr>
      <w:proofErr w:type="gramStart"/>
      <w:r w:rsidRPr="00B71D07">
        <w:rPr>
          <w:rFonts w:ascii="Arial" w:eastAsiaTheme="minorHAnsi" w:hAnsi="Arial" w:cs="Arial"/>
          <w:sz w:val="18"/>
          <w:szCs w:val="18"/>
          <w:lang w:val="es-MX"/>
        </w:rPr>
        <w:t>»En</w:t>
      </w:r>
      <w:proofErr w:type="gramEnd"/>
      <w:r w:rsidRPr="00B71D07">
        <w:rPr>
          <w:rFonts w:ascii="Arial" w:eastAsiaTheme="minorHAnsi" w:hAnsi="Arial" w:cs="Arial"/>
          <w:sz w:val="18"/>
          <w:szCs w:val="18"/>
          <w:lang w:val="es-MX"/>
        </w:rPr>
        <w:t xml:space="preserve"> caso de comparación de propuestas nacionales y extranjeras, se incluirán los costos necesarios para la entrega del producto terminado en el lugar de su utilización».</w:t>
      </w:r>
    </w:p>
  </w:footnote>
  <w:footnote w:id="4">
    <w:p w14:paraId="0A113151" w14:textId="14C5DA3C" w:rsidR="00A2709D" w:rsidRPr="00B71D07" w:rsidRDefault="00A2709D" w:rsidP="00B71D07">
      <w:pPr>
        <w:pBdr>
          <w:top w:val="nil"/>
          <w:left w:val="nil"/>
          <w:bottom w:val="nil"/>
          <w:right w:val="nil"/>
          <w:between w:val="nil"/>
        </w:pBdr>
        <w:spacing w:line="240" w:lineRule="auto"/>
        <w:ind w:firstLine="708"/>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Pr="00B71D07">
        <w:rPr>
          <w:rFonts w:ascii="Arial" w:eastAsiaTheme="minorHAnsi" w:hAnsi="Arial" w:cs="Arial"/>
          <w:sz w:val="18"/>
          <w:szCs w:val="18"/>
          <w:lang w:val="es-MX"/>
        </w:rPr>
        <w:t>DÁVILA VINUEZA, Luis Guillermo. Régimen jurídico de la contratación estatal. Tercera edición, Bogotá: Legis, 2016. p. 355.</w:t>
      </w:r>
    </w:p>
  </w:footnote>
  <w:footnote w:id="5">
    <w:p w14:paraId="4CC4EE26" w14:textId="5CE2BAB4" w:rsidR="00A2709D" w:rsidRPr="00B71D07" w:rsidRDefault="00A2709D" w:rsidP="00B71D07">
      <w:pPr>
        <w:pBdr>
          <w:top w:val="nil"/>
          <w:left w:val="nil"/>
          <w:bottom w:val="nil"/>
          <w:right w:val="nil"/>
          <w:between w:val="nil"/>
        </w:pBdr>
        <w:spacing w:line="240" w:lineRule="auto"/>
        <w:ind w:firstLine="708"/>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Pr="00B71D07">
        <w:rPr>
          <w:rFonts w:ascii="Arial" w:eastAsiaTheme="minorHAnsi" w:hAnsi="Arial" w:cs="Arial"/>
          <w:sz w:val="18"/>
          <w:szCs w:val="18"/>
          <w:lang w:val="es-MX"/>
        </w:rPr>
        <w:t>RODRÍGUEZ TAMAYO, Mauricio F. Evaluación y rechazo de ofertas en la Ley 80 de 1993. Primera edición. Medellín: Librería Jurídica Sánchez, 2016. pp. 110-111.</w:t>
      </w:r>
    </w:p>
  </w:footnote>
  <w:footnote w:id="6">
    <w:p w14:paraId="6C0A1D6F" w14:textId="1667350C" w:rsidR="00A2709D" w:rsidRPr="00B71D07" w:rsidRDefault="00A2709D" w:rsidP="00B71D07">
      <w:pPr>
        <w:pBdr>
          <w:top w:val="nil"/>
          <w:left w:val="nil"/>
          <w:bottom w:val="nil"/>
          <w:right w:val="nil"/>
          <w:between w:val="nil"/>
        </w:pBdr>
        <w:spacing w:line="240" w:lineRule="auto"/>
        <w:ind w:firstLine="708"/>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Pr="00B71D07">
        <w:rPr>
          <w:rFonts w:ascii="Arial" w:eastAsiaTheme="minorHAnsi" w:hAnsi="Arial" w:cs="Arial"/>
          <w:sz w:val="18"/>
          <w:szCs w:val="18"/>
          <w:lang w:val="es-MX"/>
        </w:rPr>
        <w:t>EXPÓSITO V</w:t>
      </w:r>
      <w:r w:rsidR="00813EDC" w:rsidRPr="00B71D07">
        <w:rPr>
          <w:rFonts w:ascii="Arial" w:eastAsiaTheme="minorHAnsi" w:hAnsi="Arial" w:cs="Arial"/>
          <w:sz w:val="18"/>
          <w:szCs w:val="18"/>
          <w:lang w:val="es-MX"/>
        </w:rPr>
        <w:t>É</w:t>
      </w:r>
      <w:r w:rsidRPr="00B71D07">
        <w:rPr>
          <w:rFonts w:ascii="Arial" w:eastAsiaTheme="minorHAnsi" w:hAnsi="Arial" w:cs="Arial"/>
          <w:sz w:val="18"/>
          <w:szCs w:val="18"/>
          <w:lang w:val="es-MX"/>
        </w:rPr>
        <w:t>LEZ, Juan C., El deber de selección objetiva, en: Del contrato estatal a los sistemas de compras públicas, por COVILLA MART</w:t>
      </w:r>
      <w:r w:rsidR="00813EDC" w:rsidRPr="00B71D07">
        <w:rPr>
          <w:rFonts w:ascii="Arial" w:eastAsiaTheme="minorHAnsi" w:hAnsi="Arial" w:cs="Arial"/>
          <w:sz w:val="18"/>
          <w:szCs w:val="18"/>
          <w:lang w:val="es-MX"/>
        </w:rPr>
        <w:t>Í</w:t>
      </w:r>
      <w:r w:rsidRPr="00B71D07">
        <w:rPr>
          <w:rFonts w:ascii="Arial" w:eastAsiaTheme="minorHAnsi" w:hAnsi="Arial" w:cs="Arial"/>
          <w:sz w:val="18"/>
          <w:szCs w:val="18"/>
          <w:lang w:val="es-MX"/>
        </w:rPr>
        <w:t>NEZ Juan C. y LOZANO VILLEGAS Germán (Eds.). Universidad Externado de Colombia, Bogotá, 2019. págs. 118-184.</w:t>
      </w:r>
    </w:p>
  </w:footnote>
  <w:footnote w:id="7">
    <w:p w14:paraId="5AF94128" w14:textId="77777777" w:rsidR="00A2709D" w:rsidRPr="00B71D07" w:rsidRDefault="00A2709D" w:rsidP="00B71D07">
      <w:pPr>
        <w:pBdr>
          <w:top w:val="nil"/>
          <w:left w:val="nil"/>
          <w:bottom w:val="nil"/>
          <w:right w:val="nil"/>
          <w:between w:val="nil"/>
        </w:pBdr>
        <w:spacing w:line="240" w:lineRule="auto"/>
        <w:ind w:firstLine="708"/>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i/>
          <w:color w:val="000000"/>
          <w:sz w:val="18"/>
          <w:szCs w:val="18"/>
        </w:rPr>
        <w:t xml:space="preserve"> </w:t>
      </w:r>
      <w:r w:rsidRPr="00B71D07">
        <w:rPr>
          <w:rFonts w:ascii="Arial" w:eastAsiaTheme="minorHAnsi" w:hAnsi="Arial" w:cs="Arial"/>
          <w:i/>
          <w:iCs/>
          <w:sz w:val="18"/>
          <w:szCs w:val="18"/>
          <w:lang w:val="es-MX"/>
        </w:rPr>
        <w:t>Ibídem.</w:t>
      </w:r>
    </w:p>
  </w:footnote>
  <w:footnote w:id="8">
    <w:p w14:paraId="59DB796B" w14:textId="77777777" w:rsidR="00A2709D" w:rsidRPr="00B71D07" w:rsidRDefault="00A2709D" w:rsidP="0060468B">
      <w:pPr>
        <w:spacing w:after="0" w:line="240" w:lineRule="auto"/>
        <w:ind w:firstLine="708"/>
        <w:jc w:val="both"/>
        <w:rPr>
          <w:rFonts w:ascii="Arial" w:eastAsiaTheme="minorHAnsi" w:hAnsi="Arial" w:cs="Arial"/>
          <w:sz w:val="18"/>
          <w:szCs w:val="18"/>
          <w:lang w:val="es-MX"/>
        </w:rPr>
      </w:pPr>
      <w:r w:rsidRPr="00B71D07">
        <w:rPr>
          <w:rFonts w:ascii="Arial" w:hAnsi="Arial" w:cs="Arial"/>
          <w:sz w:val="18"/>
          <w:szCs w:val="18"/>
          <w:vertAlign w:val="superscript"/>
        </w:rPr>
        <w:footnoteRef/>
      </w:r>
      <w:r w:rsidRPr="00B71D07">
        <w:rPr>
          <w:rFonts w:ascii="Arial" w:eastAsia="Arial" w:hAnsi="Arial" w:cs="Arial"/>
          <w:sz w:val="18"/>
          <w:szCs w:val="18"/>
        </w:rPr>
        <w:t xml:space="preserve"> </w:t>
      </w:r>
      <w:r w:rsidRPr="00B71D07">
        <w:rPr>
          <w:rFonts w:ascii="Arial" w:eastAsiaTheme="minorHAnsi" w:hAnsi="Arial" w:cs="Arial"/>
          <w:sz w:val="18"/>
          <w:szCs w:val="18"/>
          <w:lang w:val="es-MX"/>
        </w:rPr>
        <w:t>Decreto 1082 de 2015 «Artículo 2.2.1.1.2.2.2. Ofrecimiento más favorable. La Entidad Estatal debe determinar la oferta más favorable teniendo en cuenta las normas aplicables a cada modalidad de selección del contratista. </w:t>
      </w:r>
    </w:p>
    <w:p w14:paraId="53CDE127" w14:textId="77777777" w:rsidR="00A2709D" w:rsidRPr="00B71D07" w:rsidRDefault="00A2709D" w:rsidP="0060468B">
      <w:pPr>
        <w:spacing w:after="0" w:line="240" w:lineRule="auto"/>
        <w:jc w:val="both"/>
        <w:rPr>
          <w:rFonts w:ascii="Arial" w:eastAsiaTheme="minorHAnsi" w:hAnsi="Arial" w:cs="Arial"/>
          <w:sz w:val="18"/>
          <w:szCs w:val="18"/>
          <w:lang w:val="es-MX"/>
        </w:rPr>
      </w:pPr>
      <w:r w:rsidRPr="00B71D07">
        <w:rPr>
          <w:rFonts w:ascii="Arial" w:eastAsiaTheme="minorHAnsi" w:hAnsi="Arial" w:cs="Arial"/>
          <w:sz w:val="18"/>
          <w:szCs w:val="18"/>
          <w:lang w:val="es-MX"/>
        </w:rPr>
        <w:t>  </w:t>
      </w:r>
      <w:r w:rsidRPr="00B71D07">
        <w:rPr>
          <w:rFonts w:ascii="Arial" w:eastAsiaTheme="minorHAnsi" w:hAnsi="Arial" w:cs="Arial"/>
          <w:sz w:val="18"/>
          <w:szCs w:val="18"/>
          <w:lang w:val="es-MX"/>
        </w:rPr>
        <w:tab/>
      </w:r>
      <w:proofErr w:type="gramStart"/>
      <w:r w:rsidRPr="00B71D07">
        <w:rPr>
          <w:rFonts w:ascii="Arial" w:eastAsiaTheme="minorHAnsi" w:hAnsi="Arial" w:cs="Arial"/>
          <w:sz w:val="18"/>
          <w:szCs w:val="18"/>
          <w:lang w:val="es-MX"/>
        </w:rPr>
        <w:t>»En</w:t>
      </w:r>
      <w:proofErr w:type="gramEnd"/>
      <w:r w:rsidRPr="00B71D07">
        <w:rPr>
          <w:rFonts w:ascii="Arial" w:eastAsiaTheme="minorHAnsi" w:hAnsi="Arial" w:cs="Arial"/>
          <w:sz w:val="18"/>
          <w:szCs w:val="18"/>
          <w:lang w:val="es-MX"/>
        </w:rPr>
        <w:t xml:space="preserve">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1C437022" w14:textId="77777777" w:rsidR="00A2709D" w:rsidRPr="00B71D07" w:rsidRDefault="00A2709D" w:rsidP="0060468B">
      <w:pPr>
        <w:spacing w:after="0" w:line="240" w:lineRule="auto"/>
        <w:jc w:val="both"/>
        <w:rPr>
          <w:rFonts w:ascii="Arial" w:eastAsiaTheme="minorHAnsi" w:hAnsi="Arial" w:cs="Arial"/>
          <w:sz w:val="18"/>
          <w:szCs w:val="18"/>
          <w:lang w:val="es-MX"/>
        </w:rPr>
      </w:pPr>
      <w:r w:rsidRPr="00B71D07">
        <w:rPr>
          <w:rFonts w:ascii="Arial" w:eastAsiaTheme="minorHAnsi" w:hAnsi="Arial" w:cs="Arial"/>
          <w:sz w:val="18"/>
          <w:szCs w:val="18"/>
          <w:lang w:val="es-MX"/>
        </w:rPr>
        <w:t>  </w:t>
      </w:r>
      <w:r w:rsidRPr="00B71D07">
        <w:rPr>
          <w:rFonts w:ascii="Arial" w:eastAsiaTheme="minorHAnsi" w:hAnsi="Arial" w:cs="Arial"/>
          <w:sz w:val="18"/>
          <w:szCs w:val="18"/>
          <w:lang w:val="es-MX"/>
        </w:rPr>
        <w:tab/>
        <w:t>»1. Las condiciones técnicas y económicas mínimas de la oferta. </w:t>
      </w:r>
    </w:p>
    <w:p w14:paraId="62318F75" w14:textId="77777777" w:rsidR="00A2709D" w:rsidRPr="00B71D07" w:rsidRDefault="00A2709D" w:rsidP="0060468B">
      <w:pPr>
        <w:spacing w:after="0" w:line="240" w:lineRule="auto"/>
        <w:jc w:val="both"/>
        <w:rPr>
          <w:rFonts w:ascii="Arial" w:eastAsiaTheme="minorHAnsi" w:hAnsi="Arial" w:cs="Arial"/>
          <w:sz w:val="18"/>
          <w:szCs w:val="18"/>
          <w:lang w:val="es-MX"/>
        </w:rPr>
      </w:pPr>
      <w:r w:rsidRPr="00B71D07">
        <w:rPr>
          <w:rFonts w:ascii="Arial" w:eastAsiaTheme="minorHAnsi" w:hAnsi="Arial" w:cs="Arial"/>
          <w:sz w:val="18"/>
          <w:szCs w:val="18"/>
          <w:lang w:val="es-MX"/>
        </w:rPr>
        <w:t>  </w:t>
      </w:r>
      <w:r w:rsidRPr="00B71D07">
        <w:rPr>
          <w:rFonts w:ascii="Arial" w:eastAsiaTheme="minorHAnsi" w:hAnsi="Arial" w:cs="Arial"/>
          <w:sz w:val="18"/>
          <w:szCs w:val="18"/>
          <w:lang w:val="es-MX"/>
        </w:rPr>
        <w:tab/>
        <w:t>»2. Las condiciones técnicas adicionales que representan ventajas de calidad o de funcionamiento, tales como el uso de tecnología o materiales que generen mayor eficiencia, rendimiento o duración del bien, obra o servicio. </w:t>
      </w:r>
    </w:p>
    <w:p w14:paraId="225963CE" w14:textId="77777777" w:rsidR="00A2709D" w:rsidRPr="00B71D07" w:rsidRDefault="00A2709D" w:rsidP="0060468B">
      <w:pPr>
        <w:spacing w:after="0" w:line="240" w:lineRule="auto"/>
        <w:jc w:val="both"/>
        <w:rPr>
          <w:rFonts w:ascii="Arial" w:eastAsiaTheme="minorHAnsi" w:hAnsi="Arial" w:cs="Arial"/>
          <w:sz w:val="18"/>
          <w:szCs w:val="18"/>
          <w:lang w:val="es-MX"/>
        </w:rPr>
      </w:pPr>
      <w:r w:rsidRPr="00B71D07">
        <w:rPr>
          <w:rFonts w:ascii="Arial" w:eastAsiaTheme="minorHAnsi" w:hAnsi="Arial" w:cs="Arial"/>
          <w:sz w:val="18"/>
          <w:szCs w:val="18"/>
          <w:lang w:val="es-MX"/>
        </w:rPr>
        <w:t>  </w:t>
      </w:r>
      <w:r w:rsidRPr="00B71D07">
        <w:rPr>
          <w:rFonts w:ascii="Arial" w:eastAsiaTheme="minorHAnsi" w:hAnsi="Arial" w:cs="Arial"/>
          <w:sz w:val="18"/>
          <w:szCs w:val="18"/>
          <w:lang w:val="es-MX"/>
        </w:rPr>
        <w:tab/>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5A56A9AE" w14:textId="77777777" w:rsidR="00A2709D" w:rsidRPr="00B71D07" w:rsidRDefault="00A2709D" w:rsidP="0060468B">
      <w:pPr>
        <w:spacing w:after="0" w:line="240" w:lineRule="auto"/>
        <w:jc w:val="both"/>
        <w:rPr>
          <w:rFonts w:ascii="Arial" w:eastAsiaTheme="minorHAnsi" w:hAnsi="Arial" w:cs="Arial"/>
          <w:sz w:val="18"/>
          <w:szCs w:val="18"/>
          <w:lang w:val="es-MX"/>
        </w:rPr>
      </w:pPr>
      <w:r w:rsidRPr="00B71D07">
        <w:rPr>
          <w:rFonts w:ascii="Arial" w:eastAsiaTheme="minorHAnsi" w:hAnsi="Arial" w:cs="Arial"/>
          <w:sz w:val="18"/>
          <w:szCs w:val="18"/>
          <w:lang w:val="es-MX"/>
        </w:rPr>
        <w:t>  </w:t>
      </w:r>
      <w:r w:rsidRPr="00B71D07">
        <w:rPr>
          <w:rFonts w:ascii="Arial" w:eastAsiaTheme="minorHAnsi" w:hAnsi="Arial" w:cs="Arial"/>
          <w:sz w:val="18"/>
          <w:szCs w:val="18"/>
          <w:lang w:val="es-MX"/>
        </w:rPr>
        <w:tab/>
        <w:t>»4. El valor en dinero que la Entidad Estatal asigna a cada ofrecimiento técnico o económico adicional, para permitir la ponderación de las ofertas presentadas. </w:t>
      </w:r>
    </w:p>
    <w:p w14:paraId="49B85BDE" w14:textId="77777777" w:rsidR="00A2709D" w:rsidRPr="00B71D07" w:rsidRDefault="00A2709D" w:rsidP="0060468B">
      <w:pPr>
        <w:spacing w:after="0" w:line="240" w:lineRule="auto"/>
        <w:jc w:val="both"/>
        <w:rPr>
          <w:rFonts w:ascii="Arial" w:eastAsiaTheme="minorHAnsi" w:hAnsi="Arial" w:cs="Arial"/>
          <w:sz w:val="18"/>
          <w:szCs w:val="18"/>
          <w:lang w:val="es-MX"/>
        </w:rPr>
      </w:pPr>
      <w:r w:rsidRPr="00B71D07">
        <w:rPr>
          <w:rFonts w:ascii="Arial" w:eastAsiaTheme="minorHAnsi" w:hAnsi="Arial" w:cs="Arial"/>
          <w:sz w:val="18"/>
          <w:szCs w:val="18"/>
          <w:lang w:val="es-MX"/>
        </w:rPr>
        <w:t>  </w:t>
      </w:r>
      <w:r w:rsidRPr="00B71D07">
        <w:rPr>
          <w:rFonts w:ascii="Arial" w:eastAsiaTheme="minorHAnsi" w:hAnsi="Arial" w:cs="Arial"/>
          <w:sz w:val="18"/>
          <w:szCs w:val="18"/>
          <w:lang w:val="es-MX"/>
        </w:rPr>
        <w:tab/>
      </w:r>
      <w:proofErr w:type="gramStart"/>
      <w:r w:rsidRPr="00B71D07">
        <w:rPr>
          <w:rFonts w:ascii="Arial" w:eastAsiaTheme="minorHAnsi" w:hAnsi="Arial" w:cs="Arial"/>
          <w:sz w:val="18"/>
          <w:szCs w:val="18"/>
          <w:lang w:val="es-MX"/>
        </w:rPr>
        <w:t>»La</w:t>
      </w:r>
      <w:proofErr w:type="gramEnd"/>
      <w:r w:rsidRPr="00B71D07">
        <w:rPr>
          <w:rFonts w:ascii="Arial" w:eastAsiaTheme="minorHAnsi" w:hAnsi="Arial" w:cs="Arial"/>
          <w:sz w:val="18"/>
          <w:szCs w:val="18"/>
          <w:lang w:val="es-MX"/>
        </w:rPr>
        <w:t xml:space="preserve">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40A91D74" w14:textId="77777777" w:rsidR="00A2709D" w:rsidRPr="00B71D07" w:rsidRDefault="00A2709D" w:rsidP="0060468B">
      <w:pPr>
        <w:spacing w:after="0" w:line="240" w:lineRule="auto"/>
        <w:jc w:val="both"/>
        <w:rPr>
          <w:rFonts w:ascii="Arial" w:eastAsia="Arial" w:hAnsi="Arial" w:cs="Arial"/>
          <w:sz w:val="18"/>
          <w:szCs w:val="18"/>
        </w:rPr>
      </w:pPr>
      <w:r w:rsidRPr="00B71D07">
        <w:rPr>
          <w:rFonts w:ascii="Arial" w:eastAsiaTheme="minorHAnsi" w:hAnsi="Arial" w:cs="Arial"/>
          <w:sz w:val="18"/>
          <w:szCs w:val="18"/>
          <w:lang w:val="es-MX"/>
        </w:rPr>
        <w:t>  </w:t>
      </w:r>
      <w:r w:rsidRPr="00B71D07">
        <w:rPr>
          <w:rFonts w:ascii="Arial" w:eastAsiaTheme="minorHAnsi" w:hAnsi="Arial" w:cs="Arial"/>
          <w:sz w:val="18"/>
          <w:szCs w:val="18"/>
          <w:lang w:val="es-MX"/>
        </w:rPr>
        <w:tab/>
      </w:r>
      <w:proofErr w:type="gramStart"/>
      <w:r w:rsidRPr="00B71D07">
        <w:rPr>
          <w:rFonts w:ascii="Arial" w:eastAsiaTheme="minorHAnsi" w:hAnsi="Arial" w:cs="Arial"/>
          <w:sz w:val="18"/>
          <w:szCs w:val="18"/>
          <w:lang w:val="es-MX"/>
        </w:rPr>
        <w:t>»La</w:t>
      </w:r>
      <w:proofErr w:type="gramEnd"/>
      <w:r w:rsidRPr="00B71D07">
        <w:rPr>
          <w:rFonts w:ascii="Arial" w:eastAsiaTheme="minorHAnsi" w:hAnsi="Arial" w:cs="Arial"/>
          <w:sz w:val="18"/>
          <w:szCs w:val="18"/>
          <w:lang w:val="es-MX"/>
        </w:rPr>
        <w:t xml:space="preserve"> Entidad Estatal debe adjudicar al oferente que presentó la oferta con la mejor relación costo-beneficio y suscribir el contrato por el precio total ofrecido».</w:t>
      </w:r>
      <w:r w:rsidRPr="00B71D07">
        <w:rPr>
          <w:rFonts w:ascii="Arial" w:eastAsia="Arial" w:hAnsi="Arial" w:cs="Arial"/>
          <w:sz w:val="18"/>
          <w:szCs w:val="18"/>
        </w:rPr>
        <w:t> </w:t>
      </w:r>
    </w:p>
  </w:footnote>
  <w:footnote w:id="9">
    <w:p w14:paraId="32DBC1C2" w14:textId="0F3EBA1A" w:rsidR="00A2709D" w:rsidRPr="00B71D07" w:rsidRDefault="00A2709D" w:rsidP="00B71D07">
      <w:pPr>
        <w:pBdr>
          <w:top w:val="nil"/>
          <w:left w:val="nil"/>
          <w:bottom w:val="nil"/>
          <w:right w:val="nil"/>
          <w:between w:val="nil"/>
        </w:pBdr>
        <w:spacing w:line="240" w:lineRule="auto"/>
        <w:ind w:firstLine="709"/>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0060468B" w:rsidRPr="00B71D07">
        <w:rPr>
          <w:rFonts w:ascii="Arial" w:eastAsiaTheme="minorHAnsi" w:hAnsi="Arial" w:cs="Arial"/>
          <w:sz w:val="18"/>
          <w:szCs w:val="18"/>
          <w:lang w:val="es-MX"/>
        </w:rPr>
        <w:t>CONSEJO DE ESTADO</w:t>
      </w:r>
      <w:r w:rsidRPr="00B71D07">
        <w:rPr>
          <w:rFonts w:ascii="Arial" w:eastAsiaTheme="minorHAnsi" w:hAnsi="Arial" w:cs="Arial"/>
          <w:sz w:val="18"/>
          <w:szCs w:val="18"/>
          <w:lang w:val="es-MX"/>
        </w:rPr>
        <w:t xml:space="preserve">. Sección Tercera. Subsección A. Sentencia del 25 de octubre de 2019. </w:t>
      </w:r>
      <w:proofErr w:type="spellStart"/>
      <w:r w:rsidRPr="00B71D07">
        <w:rPr>
          <w:rFonts w:ascii="Arial" w:eastAsiaTheme="minorHAnsi" w:hAnsi="Arial" w:cs="Arial"/>
          <w:sz w:val="18"/>
          <w:szCs w:val="18"/>
          <w:lang w:val="es-MX"/>
        </w:rPr>
        <w:t>Exp</w:t>
      </w:r>
      <w:proofErr w:type="spellEnd"/>
      <w:r w:rsidRPr="00B71D07">
        <w:rPr>
          <w:rFonts w:ascii="Arial" w:eastAsiaTheme="minorHAnsi" w:hAnsi="Arial" w:cs="Arial"/>
          <w:sz w:val="18"/>
          <w:szCs w:val="18"/>
          <w:lang w:val="es-MX"/>
        </w:rPr>
        <w:t>. 39.945. Consejera Ponente: María Adriana Marín.</w:t>
      </w:r>
    </w:p>
  </w:footnote>
  <w:footnote w:id="10">
    <w:p w14:paraId="33A5086B" w14:textId="334D28DB" w:rsidR="00A2709D" w:rsidRPr="00B71D07" w:rsidRDefault="00A2709D" w:rsidP="00B71D07">
      <w:pPr>
        <w:pBdr>
          <w:top w:val="nil"/>
          <w:left w:val="nil"/>
          <w:bottom w:val="nil"/>
          <w:right w:val="nil"/>
          <w:between w:val="nil"/>
        </w:pBdr>
        <w:spacing w:line="240" w:lineRule="auto"/>
        <w:ind w:firstLine="709"/>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vertAlign w:val="superscript"/>
        </w:rPr>
        <w:t xml:space="preserve"> </w:t>
      </w:r>
      <w:r w:rsidR="0060468B" w:rsidRPr="00B71D07">
        <w:rPr>
          <w:rFonts w:ascii="Arial" w:eastAsiaTheme="minorHAnsi" w:hAnsi="Arial" w:cs="Arial"/>
          <w:sz w:val="18"/>
          <w:szCs w:val="18"/>
          <w:lang w:val="es-MX"/>
        </w:rPr>
        <w:t xml:space="preserve">CONSEJO DE ESTADO. </w:t>
      </w:r>
      <w:r w:rsidRPr="00B71D07">
        <w:rPr>
          <w:rFonts w:ascii="Arial" w:eastAsiaTheme="minorHAnsi" w:hAnsi="Arial" w:cs="Arial"/>
          <w:sz w:val="18"/>
          <w:szCs w:val="18"/>
          <w:lang w:val="es-MX"/>
        </w:rPr>
        <w:t xml:space="preserve">Sección Tercera. Subsección A. Sentencia del 5 de julio de 2018. </w:t>
      </w:r>
      <w:proofErr w:type="spellStart"/>
      <w:r w:rsidRPr="00B71D07">
        <w:rPr>
          <w:rFonts w:ascii="Arial" w:eastAsiaTheme="minorHAnsi" w:hAnsi="Arial" w:cs="Arial"/>
          <w:sz w:val="18"/>
          <w:szCs w:val="18"/>
          <w:lang w:val="es-MX"/>
        </w:rPr>
        <w:t>Exp</w:t>
      </w:r>
      <w:proofErr w:type="spellEnd"/>
      <w:r w:rsidRPr="00B71D07">
        <w:rPr>
          <w:rFonts w:ascii="Arial" w:eastAsiaTheme="minorHAnsi" w:hAnsi="Arial" w:cs="Arial"/>
          <w:sz w:val="18"/>
          <w:szCs w:val="18"/>
          <w:lang w:val="es-MX"/>
        </w:rPr>
        <w:t>. 37.834. Consejero Ponente: Carlos Alberto Zambrano Barrera.</w:t>
      </w:r>
    </w:p>
  </w:footnote>
  <w:footnote w:id="11">
    <w:p w14:paraId="1B48C489" w14:textId="61494E37" w:rsidR="00DF3FAF" w:rsidRPr="00B71D07" w:rsidRDefault="00614848" w:rsidP="0060468B">
      <w:pPr>
        <w:pStyle w:val="Textonotapie"/>
        <w:ind w:firstLine="709"/>
        <w:jc w:val="both"/>
        <w:rPr>
          <w:rFonts w:ascii="Arial" w:hAnsi="Arial" w:cs="Arial"/>
          <w:sz w:val="18"/>
          <w:szCs w:val="18"/>
        </w:rPr>
      </w:pPr>
      <w:r w:rsidRPr="00B71D07">
        <w:rPr>
          <w:rStyle w:val="Refdenotaalpie"/>
          <w:rFonts w:ascii="Arial" w:hAnsi="Arial" w:cs="Arial"/>
          <w:sz w:val="18"/>
          <w:szCs w:val="18"/>
        </w:rPr>
        <w:footnoteRef/>
      </w:r>
      <w:r w:rsidRPr="00B71D07">
        <w:rPr>
          <w:rFonts w:ascii="Arial" w:hAnsi="Arial" w:cs="Arial"/>
          <w:sz w:val="18"/>
          <w:szCs w:val="18"/>
        </w:rPr>
        <w:t xml:space="preserve">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w:t>
      </w:r>
      <w:r w:rsidR="005A720D" w:rsidRPr="00B71D07">
        <w:rPr>
          <w:rFonts w:ascii="Arial" w:hAnsi="Arial" w:cs="Arial"/>
          <w:sz w:val="18"/>
          <w:szCs w:val="18"/>
        </w:rPr>
        <w:t>.</w:t>
      </w:r>
    </w:p>
  </w:footnote>
  <w:footnote w:id="12">
    <w:p w14:paraId="081C7802" w14:textId="77777777" w:rsidR="00DF3FAF" w:rsidRPr="00B71D07" w:rsidRDefault="00DF3FAF" w:rsidP="0060468B">
      <w:pPr>
        <w:pStyle w:val="Textonotapie"/>
        <w:ind w:firstLine="709"/>
        <w:jc w:val="both"/>
        <w:rPr>
          <w:rFonts w:ascii="Arial" w:hAnsi="Arial" w:cs="Arial"/>
          <w:color w:val="000000" w:themeColor="text1"/>
          <w:sz w:val="18"/>
          <w:szCs w:val="18"/>
        </w:rPr>
      </w:pPr>
      <w:r w:rsidRPr="00B71D07">
        <w:rPr>
          <w:rStyle w:val="Refdenotaalpie"/>
          <w:rFonts w:ascii="Arial" w:hAnsi="Arial" w:cs="Arial"/>
          <w:color w:val="000000" w:themeColor="text1"/>
          <w:sz w:val="18"/>
          <w:szCs w:val="18"/>
        </w:rPr>
        <w:footnoteRef/>
      </w:r>
      <w:r w:rsidRPr="00B71D07">
        <w:rPr>
          <w:rFonts w:ascii="Arial" w:hAnsi="Arial" w:cs="Arial"/>
          <w:color w:val="000000" w:themeColor="text1"/>
          <w:sz w:val="18"/>
          <w:szCs w:val="18"/>
        </w:rPr>
        <w:t xml:space="preserve"> </w:t>
      </w:r>
      <w:r w:rsidRPr="00B71D07">
        <w:rPr>
          <w:rFonts w:ascii="Arial" w:hAnsi="Arial" w:cs="Arial"/>
          <w:sz w:val="18"/>
          <w:szCs w:val="18"/>
        </w:rPr>
        <w:t>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sidRPr="00B71D07">
        <w:rPr>
          <w:rFonts w:ascii="Arial" w:hAnsi="Arial" w:cs="Arial"/>
          <w:color w:val="000000" w:themeColor="text1"/>
          <w:sz w:val="18"/>
          <w:szCs w:val="18"/>
        </w:rPr>
        <w:t xml:space="preserve"> </w:t>
      </w:r>
    </w:p>
    <w:p w14:paraId="47348E29" w14:textId="77777777" w:rsidR="00DF3FAF" w:rsidRPr="00B71D07" w:rsidRDefault="00DF3FAF" w:rsidP="0060468B">
      <w:pPr>
        <w:pStyle w:val="Textonotapie"/>
        <w:ind w:firstLine="709"/>
        <w:jc w:val="both"/>
        <w:rPr>
          <w:rFonts w:ascii="Arial" w:hAnsi="Arial" w:cs="Arial"/>
          <w:b/>
          <w:color w:val="000000" w:themeColor="text1"/>
          <w:sz w:val="18"/>
          <w:szCs w:val="18"/>
        </w:rPr>
      </w:pPr>
    </w:p>
  </w:footnote>
  <w:footnote w:id="13">
    <w:p w14:paraId="463EA5E4" w14:textId="77777777" w:rsidR="00DF3FAF" w:rsidRPr="00B71D07" w:rsidRDefault="00DF3FAF" w:rsidP="0060468B">
      <w:pPr>
        <w:pStyle w:val="Textonotapie"/>
        <w:ind w:firstLine="709"/>
        <w:jc w:val="both"/>
        <w:rPr>
          <w:rFonts w:ascii="Arial" w:hAnsi="Arial" w:cs="Arial"/>
          <w:color w:val="000000" w:themeColor="text1"/>
          <w:sz w:val="18"/>
          <w:szCs w:val="18"/>
        </w:rPr>
      </w:pPr>
      <w:r w:rsidRPr="00B71D07">
        <w:rPr>
          <w:rStyle w:val="Refdenotaalpie"/>
          <w:rFonts w:ascii="Arial" w:hAnsi="Arial" w:cs="Arial"/>
          <w:color w:val="000000" w:themeColor="text1"/>
          <w:sz w:val="18"/>
          <w:szCs w:val="18"/>
        </w:rPr>
        <w:footnoteRef/>
      </w:r>
      <w:r w:rsidRPr="00B71D07">
        <w:rPr>
          <w:rFonts w:ascii="Arial" w:hAnsi="Arial" w:cs="Arial"/>
          <w:color w:val="000000" w:themeColor="text1"/>
          <w:sz w:val="18"/>
          <w:szCs w:val="18"/>
        </w:rPr>
        <w:t xml:space="preserve"> </w:t>
      </w:r>
      <w:r w:rsidRPr="00B71D07">
        <w:rPr>
          <w:rFonts w:ascii="Arial" w:hAnsi="Arial" w:cs="Arial"/>
          <w:sz w:val="18"/>
          <w:szCs w:val="18"/>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4">
    <w:p w14:paraId="59E6D615" w14:textId="77777777" w:rsidR="00DF3FAF" w:rsidRPr="00B71D07" w:rsidRDefault="00DF3FAF" w:rsidP="00B71D07">
      <w:pPr>
        <w:pBdr>
          <w:top w:val="nil"/>
          <w:left w:val="nil"/>
          <w:bottom w:val="nil"/>
          <w:right w:val="nil"/>
          <w:between w:val="nil"/>
        </w:pBdr>
        <w:spacing w:line="240" w:lineRule="auto"/>
        <w:ind w:firstLine="709"/>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Pr="00B71D07">
        <w:rPr>
          <w:rFonts w:ascii="Arial" w:eastAsiaTheme="minorHAnsi" w:hAnsi="Arial" w:cs="Arial"/>
          <w:sz w:val="18"/>
          <w:szCs w:val="18"/>
          <w:lang w:val="es-MX"/>
        </w:rPr>
        <w:t>Consejo de Estado. Sección Tercera, Subsección C. Sentencia del 26 de febrero de 2014. C.P. Enrique Gil Botero, Rad. 1999-00113-01 (25.804).</w:t>
      </w:r>
      <w:r w:rsidRPr="00B71D07">
        <w:rPr>
          <w:rFonts w:ascii="Arial" w:eastAsia="Arial" w:hAnsi="Arial" w:cs="Arial"/>
          <w:color w:val="000000"/>
          <w:sz w:val="18"/>
          <w:szCs w:val="18"/>
        </w:rPr>
        <w:t xml:space="preserve"> </w:t>
      </w:r>
    </w:p>
  </w:footnote>
  <w:footnote w:id="15">
    <w:p w14:paraId="61DA7896" w14:textId="77777777" w:rsidR="000146C5" w:rsidRPr="00B71D07" w:rsidRDefault="000146C5" w:rsidP="00B71D07">
      <w:pPr>
        <w:pBdr>
          <w:top w:val="nil"/>
          <w:left w:val="nil"/>
          <w:bottom w:val="nil"/>
          <w:right w:val="nil"/>
          <w:between w:val="nil"/>
        </w:pBdr>
        <w:spacing w:after="60" w:line="240" w:lineRule="auto"/>
        <w:ind w:firstLine="709"/>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vertAlign w:val="superscript"/>
        </w:rPr>
        <w:t xml:space="preserve"> </w:t>
      </w:r>
      <w:r w:rsidRPr="00B71D07">
        <w:rPr>
          <w:rFonts w:ascii="Arial" w:eastAsiaTheme="minorHAnsi" w:hAnsi="Arial" w:cs="Arial"/>
          <w:sz w:val="18"/>
          <w:szCs w:val="18"/>
          <w:lang w:val="es-MX"/>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6">
    <w:p w14:paraId="15510A88" w14:textId="77777777" w:rsidR="000146C5" w:rsidRPr="00B71D07" w:rsidRDefault="000146C5" w:rsidP="0060468B">
      <w:pPr>
        <w:spacing w:after="0" w:line="240" w:lineRule="auto"/>
        <w:ind w:firstLine="709"/>
        <w:jc w:val="both"/>
        <w:rPr>
          <w:rFonts w:ascii="Arial" w:eastAsiaTheme="minorHAnsi" w:hAnsi="Arial" w:cs="Arial"/>
          <w:sz w:val="18"/>
          <w:szCs w:val="18"/>
          <w:lang w:val="es-MX"/>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Pr="00B71D07">
        <w:rPr>
          <w:rFonts w:ascii="Arial" w:eastAsiaTheme="minorHAnsi" w:hAnsi="Arial" w:cs="Arial"/>
          <w:sz w:val="18"/>
          <w:szCs w:val="18"/>
          <w:lang w:val="es-MX"/>
        </w:rPr>
        <w:t>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2">
        <w:r w:rsidRPr="00B71D07">
          <w:rPr>
            <w:rFonts w:ascii="Arial" w:eastAsiaTheme="minorHAnsi" w:hAnsi="Arial" w:cs="Arial"/>
            <w:sz w:val="18"/>
            <w:szCs w:val="18"/>
            <w:lang w:val="es-MX"/>
          </w:rPr>
          <w:t>Ley 1150 de 2007</w:t>
        </w:r>
      </w:hyperlink>
      <w:r w:rsidRPr="00B71D07">
        <w:rPr>
          <w:rFonts w:ascii="Arial" w:eastAsiaTheme="minorHAnsi" w:hAnsi="Arial" w:cs="Arial"/>
          <w:sz w:val="18"/>
          <w:szCs w:val="18"/>
          <w:lang w:val="es-MX"/>
        </w:rPr>
        <w:t> y en el presente decreto.</w:t>
      </w:r>
    </w:p>
    <w:p w14:paraId="610DB66E" w14:textId="77777777" w:rsidR="000146C5" w:rsidRPr="00B71D07" w:rsidRDefault="000146C5" w:rsidP="0060468B">
      <w:pPr>
        <w:spacing w:after="0" w:line="240" w:lineRule="auto"/>
        <w:ind w:firstLine="709"/>
        <w:jc w:val="both"/>
        <w:rPr>
          <w:rFonts w:ascii="Arial" w:eastAsiaTheme="minorHAnsi" w:hAnsi="Arial" w:cs="Arial"/>
          <w:sz w:val="18"/>
          <w:szCs w:val="18"/>
          <w:lang w:val="es-MX"/>
        </w:rPr>
      </w:pPr>
      <w:proofErr w:type="gramStart"/>
      <w:r w:rsidRPr="00B71D07">
        <w:rPr>
          <w:rFonts w:ascii="Arial" w:eastAsiaTheme="minorHAnsi" w:hAnsi="Arial" w:cs="Arial"/>
          <w:sz w:val="18"/>
          <w:szCs w:val="18"/>
          <w:lang w:val="es-MX"/>
        </w:rPr>
        <w:t>»Tales</w:t>
      </w:r>
      <w:proofErr w:type="gramEnd"/>
      <w:r w:rsidRPr="00B71D07">
        <w:rPr>
          <w:rFonts w:ascii="Arial" w:eastAsiaTheme="minorHAnsi" w:hAnsi="Arial" w:cs="Arial"/>
          <w:sz w:val="18"/>
          <w:szCs w:val="18"/>
          <w:lang w:val="es-MX"/>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661C8E8C" w14:textId="77777777" w:rsidR="000146C5" w:rsidRPr="00B71D07" w:rsidRDefault="000146C5" w:rsidP="0060468B">
      <w:pPr>
        <w:spacing w:after="0" w:line="240" w:lineRule="auto"/>
        <w:ind w:firstLine="709"/>
        <w:jc w:val="both"/>
        <w:rPr>
          <w:rFonts w:ascii="Arial" w:eastAsiaTheme="minorHAnsi" w:hAnsi="Arial" w:cs="Arial"/>
          <w:sz w:val="18"/>
          <w:szCs w:val="18"/>
          <w:lang w:val="es-MX"/>
        </w:rPr>
      </w:pPr>
      <w:proofErr w:type="gramStart"/>
      <w:r w:rsidRPr="00B71D07">
        <w:rPr>
          <w:rFonts w:ascii="Arial" w:eastAsiaTheme="minorHAnsi" w:hAnsi="Arial" w:cs="Arial"/>
          <w:sz w:val="18"/>
          <w:szCs w:val="18"/>
          <w:lang w:val="es-MX"/>
        </w:rPr>
        <w:t>»Será</w:t>
      </w:r>
      <w:proofErr w:type="gramEnd"/>
      <w:r w:rsidRPr="00B71D07">
        <w:rPr>
          <w:rFonts w:ascii="Arial" w:eastAsiaTheme="minorHAnsi" w:hAnsi="Arial" w:cs="Arial"/>
          <w:sz w:val="18"/>
          <w:szCs w:val="18"/>
          <w:lang w:val="es-MX"/>
        </w:rPr>
        <w:t xml:space="preserve"> rechazada la oferta del proponente que dentro del término previsto en el pliego o en la solicitud, no responda al requerimiento que le haga la entidad para subsanarla.</w:t>
      </w:r>
    </w:p>
    <w:p w14:paraId="709582F9" w14:textId="77777777" w:rsidR="000146C5" w:rsidRPr="00B71D07" w:rsidRDefault="000146C5" w:rsidP="0060468B">
      <w:pPr>
        <w:spacing w:after="0" w:line="240" w:lineRule="auto"/>
        <w:ind w:firstLine="709"/>
        <w:jc w:val="both"/>
        <w:rPr>
          <w:rFonts w:ascii="Arial" w:eastAsiaTheme="minorHAnsi" w:hAnsi="Arial" w:cs="Arial"/>
          <w:sz w:val="18"/>
          <w:szCs w:val="18"/>
          <w:lang w:val="es-MX"/>
        </w:rPr>
      </w:pPr>
      <w:proofErr w:type="gramStart"/>
      <w:r w:rsidRPr="00B71D07">
        <w:rPr>
          <w:rFonts w:ascii="Arial" w:eastAsiaTheme="minorHAnsi" w:hAnsi="Arial" w:cs="Arial"/>
          <w:sz w:val="18"/>
          <w:szCs w:val="18"/>
          <w:lang w:val="es-MX"/>
        </w:rPr>
        <w:t>»Cuando</w:t>
      </w:r>
      <w:proofErr w:type="gramEnd"/>
      <w:r w:rsidRPr="00B71D07">
        <w:rPr>
          <w:rFonts w:ascii="Arial" w:eastAsiaTheme="minorHAnsi" w:hAnsi="Arial" w:cs="Arial"/>
          <w:sz w:val="18"/>
          <w:szCs w:val="18"/>
          <w:lang w:val="es-MX"/>
        </w:rPr>
        <w:t xml:space="preserve"> se utilice el mecanismo de subasta esta posibilidad deberá ejercerse hasta el momento previo a su realización, de conformidad con el artículo 22 del presente decreto.</w:t>
      </w:r>
    </w:p>
    <w:p w14:paraId="36967F24" w14:textId="67AF5D32" w:rsidR="000146C5" w:rsidRPr="00B71D07" w:rsidRDefault="000146C5" w:rsidP="0060468B">
      <w:pPr>
        <w:spacing w:after="0" w:line="240" w:lineRule="auto"/>
        <w:ind w:firstLine="709"/>
        <w:jc w:val="both"/>
        <w:rPr>
          <w:rFonts w:ascii="Arial" w:eastAsia="Arial" w:hAnsi="Arial" w:cs="Arial"/>
          <w:color w:val="000000"/>
          <w:sz w:val="18"/>
          <w:szCs w:val="18"/>
        </w:rPr>
      </w:pPr>
      <w:proofErr w:type="gramStart"/>
      <w:r w:rsidRPr="00B71D07">
        <w:rPr>
          <w:rFonts w:ascii="Arial" w:eastAsiaTheme="minorHAnsi" w:hAnsi="Arial" w:cs="Arial"/>
          <w:sz w:val="18"/>
          <w:szCs w:val="18"/>
          <w:lang w:val="es-MX"/>
        </w:rPr>
        <w:t>»En</w:t>
      </w:r>
      <w:proofErr w:type="gramEnd"/>
      <w:r w:rsidRPr="00B71D07">
        <w:rPr>
          <w:rFonts w:ascii="Arial" w:eastAsiaTheme="minorHAnsi" w:hAnsi="Arial" w:cs="Arial"/>
          <w:sz w:val="18"/>
          <w:szCs w:val="18"/>
          <w:lang w:val="es-MX"/>
        </w:rPr>
        <w:t xml:space="preserve">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 (Cursivas fuera de texto).</w:t>
      </w:r>
      <w:r w:rsidRPr="00B71D07">
        <w:rPr>
          <w:rFonts w:ascii="Arial" w:eastAsia="Arial" w:hAnsi="Arial" w:cs="Arial"/>
          <w:color w:val="000000"/>
          <w:sz w:val="18"/>
          <w:szCs w:val="18"/>
        </w:rPr>
        <w:t xml:space="preserve"> </w:t>
      </w:r>
    </w:p>
  </w:footnote>
  <w:footnote w:id="17">
    <w:p w14:paraId="13D48B92" w14:textId="61206589" w:rsidR="000146C5" w:rsidRPr="00B71D07" w:rsidRDefault="000146C5" w:rsidP="00B71D07">
      <w:pPr>
        <w:pBdr>
          <w:top w:val="nil"/>
          <w:left w:val="nil"/>
          <w:bottom w:val="nil"/>
          <w:right w:val="nil"/>
          <w:between w:val="nil"/>
        </w:pBdr>
        <w:spacing w:line="240" w:lineRule="auto"/>
        <w:ind w:firstLine="709"/>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008134E3" w:rsidRPr="008134E3">
        <w:rPr>
          <w:rFonts w:ascii="Arial" w:eastAsiaTheme="minorHAnsi" w:hAnsi="Arial" w:cs="Arial"/>
          <w:sz w:val="18"/>
          <w:szCs w:val="18"/>
          <w:lang w:val="es-MX"/>
        </w:rPr>
        <w:t xml:space="preserve">CONSEJO DE ESTADO, </w:t>
      </w:r>
      <w:r w:rsidRPr="00B71D07">
        <w:rPr>
          <w:rFonts w:ascii="Arial" w:eastAsiaTheme="minorHAnsi" w:hAnsi="Arial" w:cs="Arial"/>
          <w:sz w:val="18"/>
          <w:szCs w:val="18"/>
          <w:lang w:val="es-MX"/>
        </w:rPr>
        <w:t>Sala de Consulta y Servicio Civil, concepto del 6 de noviembre de 2008. C.P. William Zambrano Cetina. Rad. 2008-00079-00(1927).</w:t>
      </w:r>
      <w:r w:rsidRPr="00B71D07">
        <w:rPr>
          <w:rFonts w:ascii="Arial" w:eastAsia="Arial" w:hAnsi="Arial" w:cs="Arial"/>
          <w:color w:val="000000"/>
          <w:sz w:val="18"/>
          <w:szCs w:val="18"/>
        </w:rPr>
        <w:t xml:space="preserve"> </w:t>
      </w:r>
    </w:p>
  </w:footnote>
  <w:footnote w:id="18">
    <w:p w14:paraId="57C29C67" w14:textId="3409E09E" w:rsidR="000146C5" w:rsidRPr="00B71D07" w:rsidRDefault="000146C5" w:rsidP="00B71D07">
      <w:pPr>
        <w:pBdr>
          <w:top w:val="nil"/>
          <w:left w:val="nil"/>
          <w:bottom w:val="nil"/>
          <w:right w:val="nil"/>
          <w:between w:val="nil"/>
        </w:pBdr>
        <w:spacing w:line="240" w:lineRule="auto"/>
        <w:ind w:firstLine="709"/>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Pr="00B71D07">
        <w:rPr>
          <w:rFonts w:ascii="Arial" w:eastAsiaTheme="minorHAnsi" w:hAnsi="Arial" w:cs="Arial"/>
          <w:sz w:val="18"/>
          <w:szCs w:val="18"/>
          <w:lang w:val="es-MX"/>
        </w:rPr>
        <w:t xml:space="preserve">Ver </w:t>
      </w:r>
      <w:r w:rsidR="008134E3" w:rsidRPr="008134E3">
        <w:rPr>
          <w:rFonts w:ascii="Arial" w:eastAsiaTheme="minorHAnsi" w:hAnsi="Arial" w:cs="Arial"/>
          <w:sz w:val="18"/>
          <w:szCs w:val="18"/>
          <w:lang w:val="es-MX"/>
        </w:rPr>
        <w:t xml:space="preserve">CONSEJO DE ESTADO, </w:t>
      </w:r>
      <w:r w:rsidRPr="00B71D07">
        <w:rPr>
          <w:rFonts w:ascii="Arial" w:eastAsiaTheme="minorHAnsi" w:hAnsi="Arial" w:cs="Arial"/>
          <w:sz w:val="18"/>
          <w:szCs w:val="18"/>
          <w:lang w:val="es-MX"/>
        </w:rPr>
        <w:t>Sección Tercera, Subsección C. Sentencia del 26 de febrero de 2011. C.P. Jaime Orlando Santofimio. Rad. 36.408.</w:t>
      </w:r>
      <w:r w:rsidRPr="00B71D07">
        <w:rPr>
          <w:rFonts w:ascii="Arial" w:eastAsia="Arial" w:hAnsi="Arial" w:cs="Arial"/>
          <w:color w:val="000000"/>
          <w:sz w:val="18"/>
          <w:szCs w:val="18"/>
        </w:rPr>
        <w:t xml:space="preserve">  </w:t>
      </w:r>
    </w:p>
  </w:footnote>
  <w:footnote w:id="19">
    <w:p w14:paraId="2292DAFA" w14:textId="25B5E951" w:rsidR="000146C5" w:rsidRPr="00B71D07" w:rsidRDefault="000146C5" w:rsidP="00B71D07">
      <w:pPr>
        <w:pBdr>
          <w:top w:val="nil"/>
          <w:left w:val="nil"/>
          <w:bottom w:val="nil"/>
          <w:right w:val="nil"/>
          <w:between w:val="nil"/>
        </w:pBdr>
        <w:spacing w:line="240" w:lineRule="auto"/>
        <w:ind w:firstLine="709"/>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Pr="00B71D07">
        <w:rPr>
          <w:rFonts w:ascii="Arial" w:eastAsiaTheme="minorHAnsi" w:hAnsi="Arial" w:cs="Arial"/>
          <w:sz w:val="18"/>
          <w:szCs w:val="18"/>
          <w:lang w:val="es-MX"/>
        </w:rPr>
        <w:t xml:space="preserve">Ver </w:t>
      </w:r>
      <w:r w:rsidR="008134E3" w:rsidRPr="008134E3">
        <w:rPr>
          <w:rFonts w:ascii="Arial" w:eastAsiaTheme="minorHAnsi" w:hAnsi="Arial" w:cs="Arial"/>
          <w:sz w:val="18"/>
          <w:szCs w:val="18"/>
          <w:lang w:val="es-MX"/>
        </w:rPr>
        <w:t xml:space="preserve">CONSEJO DE ESTADO, </w:t>
      </w:r>
      <w:r w:rsidRPr="00B71D07">
        <w:rPr>
          <w:rFonts w:ascii="Arial" w:eastAsiaTheme="minorHAnsi" w:hAnsi="Arial" w:cs="Arial"/>
          <w:sz w:val="18"/>
          <w:szCs w:val="18"/>
          <w:lang w:val="es-MX"/>
        </w:rPr>
        <w:t>Sección Tercera, Subsección C. Sentencia del 26 de febrero de 2014. C.P. Enrique Gil Botero. Rad. 25.804.</w:t>
      </w:r>
      <w:r w:rsidRPr="00B71D07">
        <w:rPr>
          <w:rFonts w:ascii="Arial" w:eastAsia="Arial" w:hAnsi="Arial" w:cs="Arial"/>
          <w:color w:val="000000"/>
          <w:sz w:val="18"/>
          <w:szCs w:val="18"/>
        </w:rPr>
        <w:t xml:space="preserve">  </w:t>
      </w:r>
    </w:p>
  </w:footnote>
  <w:footnote w:id="20">
    <w:p w14:paraId="24CCA149" w14:textId="08D67DCE" w:rsidR="000146C5" w:rsidRPr="00B71D07" w:rsidRDefault="000146C5" w:rsidP="00B71D07">
      <w:pPr>
        <w:pBdr>
          <w:top w:val="nil"/>
          <w:left w:val="nil"/>
          <w:bottom w:val="nil"/>
          <w:right w:val="nil"/>
          <w:between w:val="nil"/>
        </w:pBdr>
        <w:spacing w:line="240" w:lineRule="auto"/>
        <w:ind w:firstLine="709"/>
        <w:jc w:val="both"/>
        <w:rPr>
          <w:rFonts w:ascii="Arial" w:eastAsia="Arial" w:hAnsi="Arial" w:cs="Arial"/>
          <w:color w:val="000000"/>
          <w:sz w:val="18"/>
          <w:szCs w:val="18"/>
        </w:rPr>
      </w:pPr>
      <w:r w:rsidRPr="00B71D07">
        <w:rPr>
          <w:rFonts w:ascii="Arial" w:hAnsi="Arial" w:cs="Arial"/>
          <w:sz w:val="18"/>
          <w:szCs w:val="18"/>
          <w:vertAlign w:val="superscript"/>
        </w:rPr>
        <w:footnoteRef/>
      </w:r>
      <w:r w:rsidRPr="00B71D07">
        <w:rPr>
          <w:rFonts w:ascii="Arial" w:eastAsia="Arial" w:hAnsi="Arial" w:cs="Arial"/>
          <w:color w:val="000000"/>
          <w:sz w:val="18"/>
          <w:szCs w:val="18"/>
        </w:rPr>
        <w:t xml:space="preserve"> </w:t>
      </w:r>
      <w:r w:rsidR="008134E3" w:rsidRPr="008134E3">
        <w:rPr>
          <w:rFonts w:ascii="Arial" w:eastAsiaTheme="minorHAnsi" w:hAnsi="Arial" w:cs="Arial"/>
          <w:sz w:val="18"/>
          <w:szCs w:val="18"/>
          <w:lang w:val="es-MX"/>
        </w:rPr>
        <w:t>CONSEJO DE ESTADO</w:t>
      </w:r>
      <w:r w:rsidRPr="00B71D07">
        <w:rPr>
          <w:rFonts w:ascii="Arial" w:eastAsiaTheme="minorHAnsi" w:hAnsi="Arial" w:cs="Arial"/>
          <w:sz w:val="18"/>
          <w:szCs w:val="18"/>
          <w:lang w:val="es-MX"/>
        </w:rPr>
        <w:t>, Sala de Consulta y Servicio Civil, concepto del 20 de mayo de 2010. C.P. Enrique José Arboleda Perdomo. Rad. 2010-00034-00(1992).</w:t>
      </w:r>
    </w:p>
  </w:footnote>
  <w:footnote w:id="21">
    <w:p w14:paraId="775FEB37" w14:textId="701CBEDC" w:rsidR="00D601C2" w:rsidRDefault="00D601C2" w:rsidP="0060468B">
      <w:pPr>
        <w:pStyle w:val="Textonotapie"/>
        <w:ind w:firstLine="709"/>
        <w:jc w:val="both"/>
        <w:rPr>
          <w:rFonts w:ascii="Arial" w:hAnsi="Arial" w:cs="Arial"/>
          <w:sz w:val="18"/>
          <w:szCs w:val="18"/>
        </w:rPr>
      </w:pPr>
      <w:r w:rsidRPr="00B71D07">
        <w:rPr>
          <w:rStyle w:val="Refdenotaalpie"/>
          <w:rFonts w:ascii="Arial" w:hAnsi="Arial" w:cs="Arial"/>
          <w:sz w:val="18"/>
          <w:szCs w:val="18"/>
        </w:rPr>
        <w:footnoteRef/>
      </w:r>
      <w:r w:rsidRPr="00B71D07">
        <w:rPr>
          <w:rFonts w:ascii="Arial" w:hAnsi="Arial" w:cs="Arial"/>
          <w:sz w:val="18"/>
          <w:szCs w:val="18"/>
        </w:rPr>
        <w:t xml:space="preserve"> El numeral 7 señala que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Por su parte, el numeral 8 indica que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19D2F4FC" w14:textId="77777777" w:rsidR="008134E3" w:rsidRPr="00B71D07" w:rsidRDefault="008134E3" w:rsidP="0060468B">
      <w:pPr>
        <w:pStyle w:val="Textonotapie"/>
        <w:ind w:firstLine="709"/>
        <w:jc w:val="both"/>
        <w:rPr>
          <w:rFonts w:ascii="Arial" w:hAnsi="Arial" w:cs="Arial"/>
          <w:sz w:val="18"/>
          <w:szCs w:val="18"/>
          <w:lang w:val="es-CO"/>
        </w:rPr>
      </w:pPr>
    </w:p>
  </w:footnote>
  <w:footnote w:id="22">
    <w:p w14:paraId="241480D7" w14:textId="5DCC0C6E" w:rsidR="00D601C2" w:rsidRPr="00B71D07" w:rsidRDefault="00D601C2" w:rsidP="0060468B">
      <w:pPr>
        <w:pStyle w:val="Textonotapie"/>
        <w:ind w:firstLine="709"/>
        <w:jc w:val="both"/>
        <w:rPr>
          <w:rFonts w:ascii="Arial" w:hAnsi="Arial" w:cs="Arial"/>
          <w:sz w:val="18"/>
          <w:szCs w:val="18"/>
          <w:lang w:val="es-CO"/>
        </w:rPr>
      </w:pPr>
      <w:r w:rsidRPr="00B71D07">
        <w:rPr>
          <w:rStyle w:val="Refdenotaalpie"/>
          <w:rFonts w:ascii="Arial" w:hAnsi="Arial" w:cs="Arial"/>
          <w:sz w:val="18"/>
          <w:szCs w:val="18"/>
        </w:rPr>
        <w:footnoteRef/>
      </w:r>
      <w:r w:rsidRPr="00B71D07">
        <w:rPr>
          <w:rFonts w:ascii="Arial" w:hAnsi="Arial" w:cs="Arial"/>
          <w:sz w:val="18"/>
          <w:szCs w:val="18"/>
        </w:rPr>
        <w:t xml:space="preserve"> </w:t>
      </w:r>
      <w:r w:rsidR="008134E3" w:rsidRPr="008134E3">
        <w:rPr>
          <w:rFonts w:ascii="Arial" w:hAnsi="Arial" w:cs="Arial"/>
          <w:sz w:val="18"/>
          <w:szCs w:val="18"/>
        </w:rPr>
        <w:t>CONSEJO DE ESTADO</w:t>
      </w:r>
      <w:r w:rsidRPr="00B71D07">
        <w:rPr>
          <w:rFonts w:ascii="Arial" w:hAnsi="Arial" w:cs="Arial"/>
          <w:sz w:val="18"/>
          <w:szCs w:val="18"/>
        </w:rPr>
        <w:t xml:space="preserve">. Sección Tercera. Subsección C. Sentencia del 20 de abril de 2022. </w:t>
      </w:r>
      <w:proofErr w:type="spellStart"/>
      <w:r w:rsidRPr="00B71D07">
        <w:rPr>
          <w:rFonts w:ascii="Arial" w:hAnsi="Arial" w:cs="Arial"/>
          <w:sz w:val="18"/>
          <w:szCs w:val="18"/>
        </w:rPr>
        <w:t>Exp</w:t>
      </w:r>
      <w:proofErr w:type="spellEnd"/>
      <w:r w:rsidRPr="00B71D07">
        <w:rPr>
          <w:rFonts w:ascii="Arial" w:hAnsi="Arial" w:cs="Arial"/>
          <w:sz w:val="18"/>
          <w:szCs w:val="18"/>
        </w:rPr>
        <w:t xml:space="preserve">. 61.395. C.P. Nicolas Yepes Corrales y Sentencia del 28 de febrero del 2022. </w:t>
      </w:r>
      <w:proofErr w:type="spellStart"/>
      <w:r w:rsidRPr="00B71D07">
        <w:rPr>
          <w:rFonts w:ascii="Arial" w:hAnsi="Arial" w:cs="Arial"/>
          <w:sz w:val="18"/>
          <w:szCs w:val="18"/>
        </w:rPr>
        <w:t>Exp</w:t>
      </w:r>
      <w:proofErr w:type="spellEnd"/>
      <w:r w:rsidRPr="00B71D07">
        <w:rPr>
          <w:rFonts w:ascii="Arial" w:hAnsi="Arial" w:cs="Arial"/>
          <w:sz w:val="18"/>
          <w:szCs w:val="18"/>
        </w:rPr>
        <w:t>. 65134. C.P. Nicolas Yepes Corrales.</w:t>
      </w:r>
    </w:p>
  </w:footnote>
  <w:footnote w:id="23">
    <w:p w14:paraId="13CC3E0A" w14:textId="7B51267E" w:rsidR="00805F9C" w:rsidRPr="00B71D07" w:rsidRDefault="00805F9C" w:rsidP="0060468B">
      <w:pPr>
        <w:pStyle w:val="Textonotapie"/>
        <w:ind w:firstLine="709"/>
        <w:jc w:val="both"/>
        <w:rPr>
          <w:rFonts w:ascii="Arial" w:hAnsi="Arial" w:cs="Arial"/>
          <w:sz w:val="18"/>
          <w:szCs w:val="18"/>
          <w:lang w:val="es-CO"/>
        </w:rPr>
      </w:pPr>
      <w:r w:rsidRPr="00B71D07">
        <w:rPr>
          <w:rStyle w:val="Refdenotaalpie"/>
          <w:rFonts w:ascii="Arial" w:hAnsi="Arial" w:cs="Arial"/>
          <w:sz w:val="18"/>
          <w:szCs w:val="18"/>
        </w:rPr>
        <w:footnoteRef/>
      </w:r>
      <w:r w:rsidRPr="00B71D07">
        <w:rPr>
          <w:rFonts w:ascii="Arial" w:hAnsi="Arial" w:cs="Arial"/>
          <w:sz w:val="18"/>
          <w:szCs w:val="18"/>
        </w:rPr>
        <w:t xml:space="preserve"> </w:t>
      </w:r>
      <w:r w:rsidR="008134E3" w:rsidRPr="008134E3">
        <w:rPr>
          <w:rFonts w:ascii="Arial" w:hAnsi="Arial" w:cs="Arial"/>
          <w:sz w:val="18"/>
          <w:szCs w:val="18"/>
        </w:rPr>
        <w:t>CONSEJO DE ESTADO</w:t>
      </w:r>
      <w:r w:rsidR="005C4656" w:rsidRPr="00B71D07">
        <w:rPr>
          <w:rFonts w:ascii="Arial" w:hAnsi="Arial" w:cs="Arial"/>
          <w:sz w:val="18"/>
          <w:szCs w:val="18"/>
        </w:rPr>
        <w:t xml:space="preserve">. Sección Tercera. Subsección A. Sentencia del 15 de julio de 2022. </w:t>
      </w:r>
      <w:proofErr w:type="spellStart"/>
      <w:r w:rsidR="005C4656" w:rsidRPr="00B71D07">
        <w:rPr>
          <w:rFonts w:ascii="Arial" w:hAnsi="Arial" w:cs="Arial"/>
          <w:sz w:val="18"/>
          <w:szCs w:val="18"/>
        </w:rPr>
        <w:t>Exp</w:t>
      </w:r>
      <w:proofErr w:type="spellEnd"/>
      <w:r w:rsidR="005C4656" w:rsidRPr="00B71D07">
        <w:rPr>
          <w:rFonts w:ascii="Arial" w:hAnsi="Arial" w:cs="Arial"/>
          <w:sz w:val="18"/>
          <w:szCs w:val="18"/>
        </w:rPr>
        <w:t>. 67.937. C.P. Marta Nubia Velásquez Rico</w:t>
      </w:r>
    </w:p>
  </w:footnote>
  <w:footnote w:id="24">
    <w:p w14:paraId="1CBEE6A5" w14:textId="2375E5C2" w:rsidR="00CF1E81" w:rsidRPr="00B71D07" w:rsidRDefault="00CF1E81" w:rsidP="0060468B">
      <w:pPr>
        <w:pStyle w:val="Textonotapie"/>
        <w:ind w:firstLine="709"/>
        <w:jc w:val="both"/>
        <w:rPr>
          <w:rFonts w:ascii="Arial" w:hAnsi="Arial" w:cs="Arial"/>
          <w:sz w:val="18"/>
          <w:szCs w:val="18"/>
        </w:rPr>
      </w:pPr>
      <w:r w:rsidRPr="00B71D07">
        <w:rPr>
          <w:rStyle w:val="Refdenotaalpie"/>
          <w:rFonts w:ascii="Arial" w:hAnsi="Arial" w:cs="Arial"/>
          <w:sz w:val="18"/>
          <w:szCs w:val="18"/>
        </w:rPr>
        <w:footnoteRef/>
      </w:r>
      <w:r w:rsidRPr="00B71D07">
        <w:rPr>
          <w:rFonts w:ascii="Arial" w:hAnsi="Arial" w:cs="Arial"/>
          <w:sz w:val="18"/>
          <w:szCs w:val="18"/>
        </w:rPr>
        <w:t xml:space="preserve"> </w:t>
      </w:r>
      <w:r w:rsidR="007636E8" w:rsidRPr="00B71D07">
        <w:rPr>
          <w:rFonts w:ascii="Arial" w:hAnsi="Arial" w:cs="Arial"/>
          <w:sz w:val="18"/>
          <w:szCs w:val="18"/>
        </w:rPr>
        <w:t>En efecto, e</w:t>
      </w:r>
      <w:r w:rsidRPr="00B71D07">
        <w:rPr>
          <w:rFonts w:ascii="Arial" w:hAnsi="Arial" w:cs="Arial"/>
          <w:sz w:val="18"/>
          <w:szCs w:val="18"/>
        </w:rPr>
        <w:t xml:space="preserve">n sentencia del </w:t>
      </w:r>
      <w:r w:rsidR="007636E8" w:rsidRPr="00B71D07">
        <w:rPr>
          <w:rFonts w:ascii="Arial" w:hAnsi="Arial" w:cs="Arial"/>
          <w:sz w:val="18"/>
          <w:szCs w:val="18"/>
        </w:rPr>
        <w:t>5</w:t>
      </w:r>
      <w:r w:rsidRPr="00B71D07">
        <w:rPr>
          <w:rFonts w:ascii="Arial" w:hAnsi="Arial" w:cs="Arial"/>
          <w:sz w:val="18"/>
          <w:szCs w:val="18"/>
        </w:rPr>
        <w:t xml:space="preserve"> de octubre de 2020</w:t>
      </w:r>
      <w:r w:rsidR="000B3AC5" w:rsidRPr="00B71D07">
        <w:rPr>
          <w:rFonts w:ascii="Arial" w:hAnsi="Arial" w:cs="Arial"/>
          <w:sz w:val="18"/>
          <w:szCs w:val="18"/>
        </w:rPr>
        <w:t xml:space="preserve"> con radicación Nro. 50793 la Subsección C señaló </w:t>
      </w:r>
      <w:r w:rsidR="000323B6" w:rsidRPr="00B71D07">
        <w:rPr>
          <w:rFonts w:ascii="Arial" w:hAnsi="Arial" w:cs="Arial"/>
          <w:sz w:val="18"/>
          <w:szCs w:val="18"/>
        </w:rPr>
        <w:t xml:space="preserve">lo siguiente: </w:t>
      </w:r>
      <w:r w:rsidR="000323B6" w:rsidRPr="00B71D07">
        <w:rPr>
          <w:rFonts w:ascii="Arial" w:hAnsi="Arial" w:cs="Arial"/>
          <w:bCs/>
          <w:sz w:val="18"/>
          <w:szCs w:val="18"/>
        </w:rPr>
        <w:t>«</w:t>
      </w:r>
      <w:r w:rsidR="000323B6" w:rsidRPr="00B71D07">
        <w:rPr>
          <w:rFonts w:ascii="Arial" w:hAnsi="Arial" w:cs="Arial"/>
          <w:sz w:val="18"/>
          <w:szCs w:val="18"/>
        </w:rPr>
        <w:t xml:space="preserve">En esta misma línea, la Sala de Consulta y Servicio Civil también afirmó que “[N]o existe el derecho a subsanar. Lo que existe es la posibilidad de la entidad contratante de solicitar el saneamiento de un defecto no necesario para la comparación de las ofertas, el cual no puede conllevar a que el oferente mejore, complemente, adicione, modifique o estructure su propuesta a lo largo del proceso contractual”, pronunciamiento en el cual, por demás, se señaló que lo subsanable no era el requisito en sí mismo, sino la prueba; </w:t>
      </w:r>
      <w:r w:rsidR="000323B6" w:rsidRPr="00B71D07">
        <w:rPr>
          <w:rFonts w:ascii="Arial" w:hAnsi="Arial" w:cs="Arial"/>
          <w:i/>
          <w:iCs/>
          <w:sz w:val="18"/>
          <w:szCs w:val="18"/>
        </w:rPr>
        <w:t>no obstante, este entendimiento no ha sido el de toda la Corporación, en especial, no ha tenido un tratamiento uniforme en la jurisprudencia</w:t>
      </w:r>
      <w:r w:rsidR="000323B6" w:rsidRPr="00B71D07">
        <w:rPr>
          <w:rFonts w:ascii="Arial" w:hAnsi="Arial" w:cs="Arial"/>
          <w:sz w:val="18"/>
          <w:szCs w:val="18"/>
        </w:rPr>
        <w:t>.</w:t>
      </w:r>
      <w:r w:rsidR="000323B6" w:rsidRPr="00B71D07">
        <w:rPr>
          <w:rFonts w:ascii="Arial" w:hAnsi="Arial" w:cs="Arial"/>
          <w:bCs/>
          <w:sz w:val="18"/>
          <w:szCs w:val="18"/>
        </w:rPr>
        <w:t xml:space="preserve">» </w:t>
      </w:r>
      <w:r w:rsidR="000323B6" w:rsidRPr="00B71D07">
        <w:rPr>
          <w:rFonts w:ascii="Arial" w:hAnsi="Arial" w:cs="Arial"/>
          <w:sz w:val="18"/>
          <w:szCs w:val="18"/>
        </w:rPr>
        <w:t>(Énfasis por fuera de texto).</w:t>
      </w:r>
    </w:p>
    <w:p w14:paraId="07A61C55" w14:textId="77777777" w:rsidR="000323B6" w:rsidRPr="00B71D07" w:rsidRDefault="000323B6" w:rsidP="0060468B">
      <w:pPr>
        <w:pStyle w:val="Textonotapie"/>
        <w:ind w:firstLine="709"/>
        <w:jc w:val="both"/>
        <w:rPr>
          <w:rFonts w:ascii="Arial" w:hAnsi="Arial" w:cs="Arial"/>
          <w:sz w:val="18"/>
          <w:szCs w:val="18"/>
          <w:lang w:val="es-CO"/>
        </w:rPr>
      </w:pPr>
    </w:p>
  </w:footnote>
  <w:footnote w:id="25">
    <w:p w14:paraId="60F75BBD" w14:textId="106AC5C9" w:rsidR="00A824D8" w:rsidRPr="00B71D07" w:rsidRDefault="00A824D8" w:rsidP="00B71D07">
      <w:pPr>
        <w:pStyle w:val="Textonotapie"/>
        <w:ind w:firstLine="709"/>
        <w:jc w:val="both"/>
        <w:rPr>
          <w:rFonts w:ascii="Arial" w:hAnsi="Arial" w:cs="Arial"/>
          <w:sz w:val="18"/>
          <w:szCs w:val="18"/>
          <w:lang w:val="es-CO"/>
        </w:rPr>
      </w:pPr>
      <w:r w:rsidRPr="00B71D07">
        <w:rPr>
          <w:rStyle w:val="Refdenotaalpie"/>
          <w:rFonts w:ascii="Arial" w:hAnsi="Arial" w:cs="Arial"/>
          <w:sz w:val="18"/>
          <w:szCs w:val="18"/>
        </w:rPr>
        <w:footnoteRef/>
      </w:r>
      <w:r w:rsidRPr="00B71D07">
        <w:rPr>
          <w:rFonts w:ascii="Arial" w:hAnsi="Arial" w:cs="Arial"/>
          <w:sz w:val="18"/>
          <w:szCs w:val="18"/>
        </w:rPr>
        <w:t xml:space="preserve"> </w:t>
      </w:r>
      <w:r w:rsidR="008134E3" w:rsidRPr="008134E3">
        <w:rPr>
          <w:rFonts w:ascii="Arial" w:hAnsi="Arial" w:cs="Arial"/>
          <w:sz w:val="18"/>
          <w:szCs w:val="18"/>
        </w:rPr>
        <w:t>CONSEJO DE ESTADO</w:t>
      </w:r>
      <w:r w:rsidRPr="00B71D07">
        <w:rPr>
          <w:rFonts w:ascii="Arial" w:hAnsi="Arial" w:cs="Arial"/>
          <w:sz w:val="18"/>
          <w:szCs w:val="18"/>
        </w:rPr>
        <w:t xml:space="preserve">. Sección Tercera. Subsección C. Sentencia del 12 de noviembre de 2014, Radicado 27.986. C.P. Enrique Gil Botero.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rsidP="006A3704">
    <w:pPr>
      <w:spacing w:after="0" w:line="240" w:lineRule="auto"/>
    </w:pPr>
  </w:p>
  <w:p w14:paraId="603D9E86" w14:textId="61607A32" w:rsidR="0020796E" w:rsidRDefault="0020796E" w:rsidP="006A3704">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6A3704">
          <w:pPr>
            <w:tabs>
              <w:tab w:val="center" w:pos="4419"/>
              <w:tab w:val="center" w:pos="5400"/>
              <w:tab w:val="right" w:pos="8838"/>
            </w:tabs>
            <w:spacing w:after="0" w:line="240" w:lineRule="auto"/>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6A3704">
          <w:pPr>
            <w:tabs>
              <w:tab w:val="center" w:pos="4419"/>
              <w:tab w:val="center" w:pos="5400"/>
              <w:tab w:val="right" w:pos="8838"/>
            </w:tabs>
            <w:spacing w:after="0" w:line="240" w:lineRule="auto"/>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6A3704">
          <w:pPr>
            <w:spacing w:after="0" w:line="240" w:lineRule="auto"/>
            <w:jc w:val="right"/>
            <w:rPr>
              <w:rFonts w:eastAsia="Arial Nova" w:cs="Arial Nova"/>
              <w:lang w:eastAsia="es-CO"/>
            </w:rPr>
          </w:pPr>
        </w:p>
      </w:tc>
      <w:tc>
        <w:tcPr>
          <w:tcW w:w="1324" w:type="dxa"/>
          <w:tcBorders>
            <w:top w:val="nil"/>
            <w:left w:val="nil"/>
            <w:bottom w:val="nil"/>
            <w:right w:val="nil"/>
          </w:tcBorders>
        </w:tcPr>
        <w:p w14:paraId="7F0DA02B" w14:textId="77777777" w:rsidR="0020796E" w:rsidRDefault="0020796E" w:rsidP="006A3704">
          <w:pPr>
            <w:spacing w:after="0" w:line="240" w:lineRule="auto"/>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D96BB5"/>
    <w:multiLevelType w:val="hybridMultilevel"/>
    <w:tmpl w:val="A8E62E50"/>
    <w:lvl w:ilvl="0" w:tplc="B60A3924">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0"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8"/>
  </w:num>
  <w:num w:numId="4" w16cid:durableId="1315186126">
    <w:abstractNumId w:val="33"/>
  </w:num>
  <w:num w:numId="5" w16cid:durableId="1309093109">
    <w:abstractNumId w:val="39"/>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4"/>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1"/>
  </w:num>
  <w:num w:numId="18" w16cid:durableId="718556045">
    <w:abstractNumId w:val="29"/>
  </w:num>
  <w:num w:numId="19" w16cid:durableId="2109496769">
    <w:abstractNumId w:val="10"/>
  </w:num>
  <w:num w:numId="20" w16cid:durableId="1574777690">
    <w:abstractNumId w:val="42"/>
  </w:num>
  <w:num w:numId="21" w16cid:durableId="343829570">
    <w:abstractNumId w:val="31"/>
  </w:num>
  <w:num w:numId="22" w16cid:durableId="1521091477">
    <w:abstractNumId w:val="13"/>
  </w:num>
  <w:num w:numId="23" w16cid:durableId="1406491540">
    <w:abstractNumId w:val="12"/>
  </w:num>
  <w:num w:numId="24" w16cid:durableId="216599317">
    <w:abstractNumId w:val="35"/>
  </w:num>
  <w:num w:numId="25" w16cid:durableId="706416597">
    <w:abstractNumId w:val="21"/>
  </w:num>
  <w:num w:numId="26" w16cid:durableId="270862301">
    <w:abstractNumId w:val="40"/>
  </w:num>
  <w:num w:numId="27" w16cid:durableId="1795712713">
    <w:abstractNumId w:val="44"/>
  </w:num>
  <w:num w:numId="28" w16cid:durableId="969941319">
    <w:abstractNumId w:val="26"/>
  </w:num>
  <w:num w:numId="29" w16cid:durableId="1808891589">
    <w:abstractNumId w:val="2"/>
  </w:num>
  <w:num w:numId="30" w16cid:durableId="1508400274">
    <w:abstractNumId w:val="30"/>
  </w:num>
  <w:num w:numId="31" w16cid:durableId="1848517314">
    <w:abstractNumId w:val="22"/>
  </w:num>
  <w:num w:numId="32" w16cid:durableId="1225678077">
    <w:abstractNumId w:val="32"/>
  </w:num>
  <w:num w:numId="33" w16cid:durableId="283007414">
    <w:abstractNumId w:val="43"/>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7"/>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8"/>
  </w:num>
  <w:num w:numId="45" w16cid:durableId="1544950817">
    <w:abstractNumId w:val="9"/>
  </w:num>
  <w:num w:numId="46" w16cid:durableId="1353874905">
    <w:abstractNumId w:val="24"/>
  </w:num>
  <w:num w:numId="47" w16cid:durableId="18078133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BF6"/>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6C5"/>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953"/>
    <w:rsid w:val="00023DAE"/>
    <w:rsid w:val="00023FA5"/>
    <w:rsid w:val="00024592"/>
    <w:rsid w:val="00024896"/>
    <w:rsid w:val="00025065"/>
    <w:rsid w:val="000258A6"/>
    <w:rsid w:val="000258FA"/>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B6"/>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2E6B"/>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3DE"/>
    <w:rsid w:val="00070AF1"/>
    <w:rsid w:val="00070B59"/>
    <w:rsid w:val="000714DE"/>
    <w:rsid w:val="0007254F"/>
    <w:rsid w:val="000726D1"/>
    <w:rsid w:val="00073C30"/>
    <w:rsid w:val="00074305"/>
    <w:rsid w:val="00074B2A"/>
    <w:rsid w:val="00075057"/>
    <w:rsid w:val="00075108"/>
    <w:rsid w:val="00075415"/>
    <w:rsid w:val="00075B3E"/>
    <w:rsid w:val="00075F7D"/>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154"/>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AEE"/>
    <w:rsid w:val="000A20D7"/>
    <w:rsid w:val="000A2128"/>
    <w:rsid w:val="000A362F"/>
    <w:rsid w:val="000A367A"/>
    <w:rsid w:val="000A3B49"/>
    <w:rsid w:val="000A41BA"/>
    <w:rsid w:val="000A446A"/>
    <w:rsid w:val="000A5AAF"/>
    <w:rsid w:val="000A5F97"/>
    <w:rsid w:val="000A648E"/>
    <w:rsid w:val="000A70B7"/>
    <w:rsid w:val="000A73BB"/>
    <w:rsid w:val="000A7EF4"/>
    <w:rsid w:val="000B0A15"/>
    <w:rsid w:val="000B0DF3"/>
    <w:rsid w:val="000B103F"/>
    <w:rsid w:val="000B10D0"/>
    <w:rsid w:val="000B1437"/>
    <w:rsid w:val="000B1470"/>
    <w:rsid w:val="000B2B86"/>
    <w:rsid w:val="000B3051"/>
    <w:rsid w:val="000B3AC5"/>
    <w:rsid w:val="000B419B"/>
    <w:rsid w:val="000B4716"/>
    <w:rsid w:val="000B5781"/>
    <w:rsid w:val="000B5891"/>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F49"/>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421"/>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5A94"/>
    <w:rsid w:val="000F636A"/>
    <w:rsid w:val="000F6578"/>
    <w:rsid w:val="000F70CD"/>
    <w:rsid w:val="000F7239"/>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0A61"/>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283"/>
    <w:rsid w:val="00155D08"/>
    <w:rsid w:val="00156BE5"/>
    <w:rsid w:val="00156FDB"/>
    <w:rsid w:val="00157232"/>
    <w:rsid w:val="0015738A"/>
    <w:rsid w:val="00160401"/>
    <w:rsid w:val="00160D4E"/>
    <w:rsid w:val="00161E62"/>
    <w:rsid w:val="00161F1C"/>
    <w:rsid w:val="0016200B"/>
    <w:rsid w:val="00162AEC"/>
    <w:rsid w:val="00163D7A"/>
    <w:rsid w:val="00164281"/>
    <w:rsid w:val="00164AF1"/>
    <w:rsid w:val="00164DEB"/>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C2D"/>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8A9"/>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893"/>
    <w:rsid w:val="001B5C86"/>
    <w:rsid w:val="001B5EF8"/>
    <w:rsid w:val="001C027C"/>
    <w:rsid w:val="001C037A"/>
    <w:rsid w:val="001C07C6"/>
    <w:rsid w:val="001C08B2"/>
    <w:rsid w:val="001C19CD"/>
    <w:rsid w:val="001C22D5"/>
    <w:rsid w:val="001C2515"/>
    <w:rsid w:val="001C2550"/>
    <w:rsid w:val="001C26FB"/>
    <w:rsid w:val="001C2797"/>
    <w:rsid w:val="001C33C1"/>
    <w:rsid w:val="001C3E30"/>
    <w:rsid w:val="001C3E5C"/>
    <w:rsid w:val="001C5072"/>
    <w:rsid w:val="001C5B2A"/>
    <w:rsid w:val="001C600B"/>
    <w:rsid w:val="001C6407"/>
    <w:rsid w:val="001C6898"/>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6E9"/>
    <w:rsid w:val="001D5EC7"/>
    <w:rsid w:val="001D7923"/>
    <w:rsid w:val="001D796A"/>
    <w:rsid w:val="001D7A84"/>
    <w:rsid w:val="001D7C79"/>
    <w:rsid w:val="001E0E15"/>
    <w:rsid w:val="001E156D"/>
    <w:rsid w:val="001E15F0"/>
    <w:rsid w:val="001E1CC4"/>
    <w:rsid w:val="001E1D38"/>
    <w:rsid w:val="001E1DEE"/>
    <w:rsid w:val="001E250D"/>
    <w:rsid w:val="001E2A1C"/>
    <w:rsid w:val="001E4258"/>
    <w:rsid w:val="001E442F"/>
    <w:rsid w:val="001E4587"/>
    <w:rsid w:val="001E56FF"/>
    <w:rsid w:val="001E5A69"/>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0CD8"/>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6EB6"/>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592"/>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3EFE"/>
    <w:rsid w:val="00224022"/>
    <w:rsid w:val="00225C7E"/>
    <w:rsid w:val="00226055"/>
    <w:rsid w:val="0022613F"/>
    <w:rsid w:val="00226236"/>
    <w:rsid w:val="00226287"/>
    <w:rsid w:val="00226DF9"/>
    <w:rsid w:val="002270C9"/>
    <w:rsid w:val="002275A2"/>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2F6E"/>
    <w:rsid w:val="0026306A"/>
    <w:rsid w:val="00263101"/>
    <w:rsid w:val="00263201"/>
    <w:rsid w:val="00263336"/>
    <w:rsid w:val="00263A37"/>
    <w:rsid w:val="00263EAE"/>
    <w:rsid w:val="00264409"/>
    <w:rsid w:val="002648AB"/>
    <w:rsid w:val="00264D4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903"/>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0929"/>
    <w:rsid w:val="00291202"/>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6F71"/>
    <w:rsid w:val="00297098"/>
    <w:rsid w:val="002A05D4"/>
    <w:rsid w:val="002A09FF"/>
    <w:rsid w:val="002A0BF3"/>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0E2"/>
    <w:rsid w:val="002B438C"/>
    <w:rsid w:val="002B45A0"/>
    <w:rsid w:val="002B48DB"/>
    <w:rsid w:val="002B4B34"/>
    <w:rsid w:val="002B508E"/>
    <w:rsid w:val="002B541A"/>
    <w:rsid w:val="002B6407"/>
    <w:rsid w:val="002B6416"/>
    <w:rsid w:val="002B6459"/>
    <w:rsid w:val="002B64D2"/>
    <w:rsid w:val="002B6529"/>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6F94"/>
    <w:rsid w:val="002C704D"/>
    <w:rsid w:val="002C77DD"/>
    <w:rsid w:val="002D0845"/>
    <w:rsid w:val="002D0933"/>
    <w:rsid w:val="002D0F58"/>
    <w:rsid w:val="002D1866"/>
    <w:rsid w:val="002D19BB"/>
    <w:rsid w:val="002D1A9B"/>
    <w:rsid w:val="002D1F59"/>
    <w:rsid w:val="002D22C5"/>
    <w:rsid w:val="002D301F"/>
    <w:rsid w:val="002D302A"/>
    <w:rsid w:val="002D36C6"/>
    <w:rsid w:val="002D37C1"/>
    <w:rsid w:val="002D444B"/>
    <w:rsid w:val="002D4801"/>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18F"/>
    <w:rsid w:val="002F0618"/>
    <w:rsid w:val="002F1D41"/>
    <w:rsid w:val="002F240B"/>
    <w:rsid w:val="002F279C"/>
    <w:rsid w:val="002F2F50"/>
    <w:rsid w:val="002F3601"/>
    <w:rsid w:val="002F45F6"/>
    <w:rsid w:val="002F692F"/>
    <w:rsid w:val="002F69BE"/>
    <w:rsid w:val="002F7B66"/>
    <w:rsid w:val="00300AC1"/>
    <w:rsid w:val="00300CB4"/>
    <w:rsid w:val="00300DE7"/>
    <w:rsid w:val="00300E24"/>
    <w:rsid w:val="0030101C"/>
    <w:rsid w:val="0030320E"/>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873"/>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2C7C"/>
    <w:rsid w:val="003631CC"/>
    <w:rsid w:val="00363348"/>
    <w:rsid w:val="00363857"/>
    <w:rsid w:val="00363D59"/>
    <w:rsid w:val="003640F7"/>
    <w:rsid w:val="00364300"/>
    <w:rsid w:val="00365D3A"/>
    <w:rsid w:val="00365F2A"/>
    <w:rsid w:val="003661DD"/>
    <w:rsid w:val="003664FF"/>
    <w:rsid w:val="00366B70"/>
    <w:rsid w:val="00366BD2"/>
    <w:rsid w:val="003670B8"/>
    <w:rsid w:val="0036776E"/>
    <w:rsid w:val="003704A3"/>
    <w:rsid w:val="003706F2"/>
    <w:rsid w:val="0037124F"/>
    <w:rsid w:val="0037195B"/>
    <w:rsid w:val="00372B35"/>
    <w:rsid w:val="00373827"/>
    <w:rsid w:val="00373943"/>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87DB5"/>
    <w:rsid w:val="00390088"/>
    <w:rsid w:val="003902B1"/>
    <w:rsid w:val="003903B6"/>
    <w:rsid w:val="00390F32"/>
    <w:rsid w:val="0039135E"/>
    <w:rsid w:val="0039200F"/>
    <w:rsid w:val="00392FFF"/>
    <w:rsid w:val="0039319C"/>
    <w:rsid w:val="003938CD"/>
    <w:rsid w:val="00393CAE"/>
    <w:rsid w:val="003945DC"/>
    <w:rsid w:val="003945F4"/>
    <w:rsid w:val="00394EB5"/>
    <w:rsid w:val="0039539A"/>
    <w:rsid w:val="003953B4"/>
    <w:rsid w:val="0039615F"/>
    <w:rsid w:val="003965C8"/>
    <w:rsid w:val="00396675"/>
    <w:rsid w:val="00396A29"/>
    <w:rsid w:val="00397A9C"/>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6FD"/>
    <w:rsid w:val="003B1E57"/>
    <w:rsid w:val="003B1F7F"/>
    <w:rsid w:val="003B2885"/>
    <w:rsid w:val="003B2E6C"/>
    <w:rsid w:val="003B2EF3"/>
    <w:rsid w:val="003B3676"/>
    <w:rsid w:val="003B4B1C"/>
    <w:rsid w:val="003B4CB2"/>
    <w:rsid w:val="003B4CEB"/>
    <w:rsid w:val="003B534F"/>
    <w:rsid w:val="003B5391"/>
    <w:rsid w:val="003B5952"/>
    <w:rsid w:val="003B65D7"/>
    <w:rsid w:val="003B65E0"/>
    <w:rsid w:val="003B6BD4"/>
    <w:rsid w:val="003B6E93"/>
    <w:rsid w:val="003B6F4D"/>
    <w:rsid w:val="003B6FE7"/>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7B3"/>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AA1"/>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1B6"/>
    <w:rsid w:val="003F04B0"/>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14C"/>
    <w:rsid w:val="0041259F"/>
    <w:rsid w:val="00412944"/>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0C06"/>
    <w:rsid w:val="0043269A"/>
    <w:rsid w:val="00432E14"/>
    <w:rsid w:val="004333C2"/>
    <w:rsid w:val="00433ACB"/>
    <w:rsid w:val="00434787"/>
    <w:rsid w:val="004347DA"/>
    <w:rsid w:val="00434C13"/>
    <w:rsid w:val="00435191"/>
    <w:rsid w:val="00435F8A"/>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0C41"/>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056"/>
    <w:rsid w:val="0047295C"/>
    <w:rsid w:val="00472AAE"/>
    <w:rsid w:val="00472D8E"/>
    <w:rsid w:val="004734CF"/>
    <w:rsid w:val="00474889"/>
    <w:rsid w:val="00475A91"/>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45E1"/>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299A"/>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BAC"/>
    <w:rsid w:val="004C5EF0"/>
    <w:rsid w:val="004C7226"/>
    <w:rsid w:val="004C74C9"/>
    <w:rsid w:val="004C7D70"/>
    <w:rsid w:val="004D02F9"/>
    <w:rsid w:val="004D03FE"/>
    <w:rsid w:val="004D0446"/>
    <w:rsid w:val="004D0449"/>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758"/>
    <w:rsid w:val="004E6F43"/>
    <w:rsid w:val="004E6FE3"/>
    <w:rsid w:val="004E7200"/>
    <w:rsid w:val="004F034D"/>
    <w:rsid w:val="004F0538"/>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4F7B81"/>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2F2"/>
    <w:rsid w:val="00512779"/>
    <w:rsid w:val="00512986"/>
    <w:rsid w:val="00512C4F"/>
    <w:rsid w:val="00513042"/>
    <w:rsid w:val="0051334F"/>
    <w:rsid w:val="00513399"/>
    <w:rsid w:val="00513AA0"/>
    <w:rsid w:val="00513AF2"/>
    <w:rsid w:val="00514575"/>
    <w:rsid w:val="00514C03"/>
    <w:rsid w:val="00514D67"/>
    <w:rsid w:val="00515515"/>
    <w:rsid w:val="005156E7"/>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254"/>
    <w:rsid w:val="00554F3F"/>
    <w:rsid w:val="005551AA"/>
    <w:rsid w:val="0055629A"/>
    <w:rsid w:val="005564CA"/>
    <w:rsid w:val="005568EA"/>
    <w:rsid w:val="00556E29"/>
    <w:rsid w:val="00557140"/>
    <w:rsid w:val="00557DE4"/>
    <w:rsid w:val="0056058C"/>
    <w:rsid w:val="00560BD6"/>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4E7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D7D"/>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A720D"/>
    <w:rsid w:val="005B0891"/>
    <w:rsid w:val="005B09BE"/>
    <w:rsid w:val="005B12B2"/>
    <w:rsid w:val="005B143B"/>
    <w:rsid w:val="005B1504"/>
    <w:rsid w:val="005B1E45"/>
    <w:rsid w:val="005B21C4"/>
    <w:rsid w:val="005B2A28"/>
    <w:rsid w:val="005B3621"/>
    <w:rsid w:val="005B48BA"/>
    <w:rsid w:val="005B4948"/>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6CF"/>
    <w:rsid w:val="005C3EA3"/>
    <w:rsid w:val="005C4656"/>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68B"/>
    <w:rsid w:val="006047D1"/>
    <w:rsid w:val="00604A55"/>
    <w:rsid w:val="00604BC7"/>
    <w:rsid w:val="00604D3F"/>
    <w:rsid w:val="0060580F"/>
    <w:rsid w:val="00605AC3"/>
    <w:rsid w:val="00606908"/>
    <w:rsid w:val="00607996"/>
    <w:rsid w:val="00607A37"/>
    <w:rsid w:val="00607E9F"/>
    <w:rsid w:val="00607F15"/>
    <w:rsid w:val="0061085E"/>
    <w:rsid w:val="00610DAF"/>
    <w:rsid w:val="00611398"/>
    <w:rsid w:val="00612322"/>
    <w:rsid w:val="006123C0"/>
    <w:rsid w:val="00613191"/>
    <w:rsid w:val="006133F9"/>
    <w:rsid w:val="006134B3"/>
    <w:rsid w:val="00613DE1"/>
    <w:rsid w:val="0061401F"/>
    <w:rsid w:val="00614166"/>
    <w:rsid w:val="006146AF"/>
    <w:rsid w:val="00614817"/>
    <w:rsid w:val="00614848"/>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20D"/>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CE8"/>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4B63"/>
    <w:rsid w:val="00655301"/>
    <w:rsid w:val="00655371"/>
    <w:rsid w:val="00655876"/>
    <w:rsid w:val="00656ABF"/>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48BB"/>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944"/>
    <w:rsid w:val="006B2CB2"/>
    <w:rsid w:val="006B347D"/>
    <w:rsid w:val="006B3E19"/>
    <w:rsid w:val="006B4488"/>
    <w:rsid w:val="006B671C"/>
    <w:rsid w:val="006B67AC"/>
    <w:rsid w:val="006B6A25"/>
    <w:rsid w:val="006B7285"/>
    <w:rsid w:val="006B786A"/>
    <w:rsid w:val="006B7E4E"/>
    <w:rsid w:val="006C003A"/>
    <w:rsid w:val="006C1C1B"/>
    <w:rsid w:val="006C1EE7"/>
    <w:rsid w:val="006C2454"/>
    <w:rsid w:val="006C2551"/>
    <w:rsid w:val="006C3746"/>
    <w:rsid w:val="006C37CA"/>
    <w:rsid w:val="006C3889"/>
    <w:rsid w:val="006C40B7"/>
    <w:rsid w:val="006C40D2"/>
    <w:rsid w:val="006C5B15"/>
    <w:rsid w:val="006C5D32"/>
    <w:rsid w:val="006C5DCB"/>
    <w:rsid w:val="006C70C4"/>
    <w:rsid w:val="006C775C"/>
    <w:rsid w:val="006C7F5E"/>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5816"/>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5195"/>
    <w:rsid w:val="006E602F"/>
    <w:rsid w:val="006E6720"/>
    <w:rsid w:val="006E68FA"/>
    <w:rsid w:val="006E7275"/>
    <w:rsid w:val="006E77B8"/>
    <w:rsid w:val="006E7824"/>
    <w:rsid w:val="006F027B"/>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091"/>
    <w:rsid w:val="007101B7"/>
    <w:rsid w:val="00710668"/>
    <w:rsid w:val="007110F4"/>
    <w:rsid w:val="007112B1"/>
    <w:rsid w:val="0071130F"/>
    <w:rsid w:val="007119BD"/>
    <w:rsid w:val="00711EE1"/>
    <w:rsid w:val="00712714"/>
    <w:rsid w:val="007128E3"/>
    <w:rsid w:val="007129AB"/>
    <w:rsid w:val="00712ABF"/>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554B"/>
    <w:rsid w:val="00725AFD"/>
    <w:rsid w:val="00725F81"/>
    <w:rsid w:val="00726603"/>
    <w:rsid w:val="0072737B"/>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6E8"/>
    <w:rsid w:val="0076387E"/>
    <w:rsid w:val="00764996"/>
    <w:rsid w:val="0076522C"/>
    <w:rsid w:val="00766ECC"/>
    <w:rsid w:val="007672F3"/>
    <w:rsid w:val="007676A9"/>
    <w:rsid w:val="007677B5"/>
    <w:rsid w:val="007678B1"/>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2E1A"/>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5C16"/>
    <w:rsid w:val="007A6D9B"/>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2E91"/>
    <w:rsid w:val="007C312A"/>
    <w:rsid w:val="007C3570"/>
    <w:rsid w:val="007C3F3B"/>
    <w:rsid w:val="007C4241"/>
    <w:rsid w:val="007C4630"/>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49EE"/>
    <w:rsid w:val="007F5A56"/>
    <w:rsid w:val="007F5F90"/>
    <w:rsid w:val="007F616E"/>
    <w:rsid w:val="007F665F"/>
    <w:rsid w:val="007F6B46"/>
    <w:rsid w:val="007F72CB"/>
    <w:rsid w:val="007F736A"/>
    <w:rsid w:val="007F75F1"/>
    <w:rsid w:val="007F7635"/>
    <w:rsid w:val="007F785F"/>
    <w:rsid w:val="007F7AF6"/>
    <w:rsid w:val="007F7E36"/>
    <w:rsid w:val="007F7E6A"/>
    <w:rsid w:val="008002BF"/>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5F9C"/>
    <w:rsid w:val="00806A15"/>
    <w:rsid w:val="00807666"/>
    <w:rsid w:val="00807C35"/>
    <w:rsid w:val="00807F69"/>
    <w:rsid w:val="00807FF6"/>
    <w:rsid w:val="008100EC"/>
    <w:rsid w:val="008100F7"/>
    <w:rsid w:val="00810206"/>
    <w:rsid w:val="008104E6"/>
    <w:rsid w:val="00811898"/>
    <w:rsid w:val="008120C4"/>
    <w:rsid w:val="0081243A"/>
    <w:rsid w:val="008124D8"/>
    <w:rsid w:val="0081323E"/>
    <w:rsid w:val="008134E3"/>
    <w:rsid w:val="00813A7B"/>
    <w:rsid w:val="00813EDC"/>
    <w:rsid w:val="00813F04"/>
    <w:rsid w:val="00814B72"/>
    <w:rsid w:val="00814D88"/>
    <w:rsid w:val="008150B1"/>
    <w:rsid w:val="00815251"/>
    <w:rsid w:val="00815A07"/>
    <w:rsid w:val="00815C82"/>
    <w:rsid w:val="00815DA5"/>
    <w:rsid w:val="00816221"/>
    <w:rsid w:val="0081725D"/>
    <w:rsid w:val="0081766B"/>
    <w:rsid w:val="00817832"/>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383D"/>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1E73"/>
    <w:rsid w:val="008423EC"/>
    <w:rsid w:val="00842FA8"/>
    <w:rsid w:val="0084332E"/>
    <w:rsid w:val="00843615"/>
    <w:rsid w:val="00843698"/>
    <w:rsid w:val="00843A4B"/>
    <w:rsid w:val="00843B57"/>
    <w:rsid w:val="00843B60"/>
    <w:rsid w:val="00843D33"/>
    <w:rsid w:val="00844D4F"/>
    <w:rsid w:val="00845AE3"/>
    <w:rsid w:val="00845C92"/>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5A16"/>
    <w:rsid w:val="0086633B"/>
    <w:rsid w:val="00866495"/>
    <w:rsid w:val="0086660F"/>
    <w:rsid w:val="00866931"/>
    <w:rsid w:val="00866FEF"/>
    <w:rsid w:val="00867326"/>
    <w:rsid w:val="0086737F"/>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5E7C"/>
    <w:rsid w:val="00876215"/>
    <w:rsid w:val="0087646C"/>
    <w:rsid w:val="00876815"/>
    <w:rsid w:val="0087722F"/>
    <w:rsid w:val="00877932"/>
    <w:rsid w:val="008807F0"/>
    <w:rsid w:val="008808C7"/>
    <w:rsid w:val="0088106B"/>
    <w:rsid w:val="0088107D"/>
    <w:rsid w:val="008812E2"/>
    <w:rsid w:val="00881596"/>
    <w:rsid w:val="0088168A"/>
    <w:rsid w:val="00881E64"/>
    <w:rsid w:val="00882A3F"/>
    <w:rsid w:val="00882E39"/>
    <w:rsid w:val="0088497E"/>
    <w:rsid w:val="008850E3"/>
    <w:rsid w:val="008850EB"/>
    <w:rsid w:val="00885D6C"/>
    <w:rsid w:val="00886DF2"/>
    <w:rsid w:val="00886FB9"/>
    <w:rsid w:val="00887080"/>
    <w:rsid w:val="00887281"/>
    <w:rsid w:val="008873F9"/>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AAE"/>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5B9"/>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1EEF"/>
    <w:rsid w:val="009026AF"/>
    <w:rsid w:val="009028E8"/>
    <w:rsid w:val="00902E5C"/>
    <w:rsid w:val="0090350D"/>
    <w:rsid w:val="009039EB"/>
    <w:rsid w:val="009046E5"/>
    <w:rsid w:val="009047C5"/>
    <w:rsid w:val="009058D1"/>
    <w:rsid w:val="00905C04"/>
    <w:rsid w:val="00905FA3"/>
    <w:rsid w:val="00906BE2"/>
    <w:rsid w:val="009070AA"/>
    <w:rsid w:val="00907203"/>
    <w:rsid w:val="0090753D"/>
    <w:rsid w:val="00910683"/>
    <w:rsid w:val="00910AB1"/>
    <w:rsid w:val="00910E00"/>
    <w:rsid w:val="009111AE"/>
    <w:rsid w:val="009116CE"/>
    <w:rsid w:val="00911714"/>
    <w:rsid w:val="00911A5B"/>
    <w:rsid w:val="0091244B"/>
    <w:rsid w:val="00912AED"/>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382"/>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30BE"/>
    <w:rsid w:val="00933333"/>
    <w:rsid w:val="0093349A"/>
    <w:rsid w:val="009337B2"/>
    <w:rsid w:val="00933FCB"/>
    <w:rsid w:val="00934E69"/>
    <w:rsid w:val="0093617E"/>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2B7"/>
    <w:rsid w:val="00947337"/>
    <w:rsid w:val="00947AA9"/>
    <w:rsid w:val="009512FA"/>
    <w:rsid w:val="00951E57"/>
    <w:rsid w:val="00953018"/>
    <w:rsid w:val="009533E2"/>
    <w:rsid w:val="00953554"/>
    <w:rsid w:val="0095385A"/>
    <w:rsid w:val="00953928"/>
    <w:rsid w:val="009540F0"/>
    <w:rsid w:val="009543BB"/>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087E"/>
    <w:rsid w:val="009B199E"/>
    <w:rsid w:val="009B2577"/>
    <w:rsid w:val="009B257D"/>
    <w:rsid w:val="009B27AC"/>
    <w:rsid w:val="009B2E29"/>
    <w:rsid w:val="009B3163"/>
    <w:rsid w:val="009B422F"/>
    <w:rsid w:val="009B46BC"/>
    <w:rsid w:val="009B4D1A"/>
    <w:rsid w:val="009B527F"/>
    <w:rsid w:val="009B558B"/>
    <w:rsid w:val="009B6801"/>
    <w:rsid w:val="009B68DD"/>
    <w:rsid w:val="009B6D21"/>
    <w:rsid w:val="009B7266"/>
    <w:rsid w:val="009B78BD"/>
    <w:rsid w:val="009B78ED"/>
    <w:rsid w:val="009C181C"/>
    <w:rsid w:val="009C1C7F"/>
    <w:rsid w:val="009C28A2"/>
    <w:rsid w:val="009C3239"/>
    <w:rsid w:val="009C3828"/>
    <w:rsid w:val="009C3D2C"/>
    <w:rsid w:val="009C4987"/>
    <w:rsid w:val="009C523F"/>
    <w:rsid w:val="009C59BF"/>
    <w:rsid w:val="009C59EC"/>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2ABE"/>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6798"/>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C3A"/>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09D"/>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6DDC"/>
    <w:rsid w:val="00A37407"/>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23E"/>
    <w:rsid w:val="00A4497A"/>
    <w:rsid w:val="00A449D4"/>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49B"/>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24D8"/>
    <w:rsid w:val="00A83BEF"/>
    <w:rsid w:val="00A841E1"/>
    <w:rsid w:val="00A841F5"/>
    <w:rsid w:val="00A84443"/>
    <w:rsid w:val="00A8487F"/>
    <w:rsid w:val="00A848FC"/>
    <w:rsid w:val="00A849A3"/>
    <w:rsid w:val="00A84A0E"/>
    <w:rsid w:val="00A84D7C"/>
    <w:rsid w:val="00A851FD"/>
    <w:rsid w:val="00A86B64"/>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196"/>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46F"/>
    <w:rsid w:val="00AB49BC"/>
    <w:rsid w:val="00AB4DEE"/>
    <w:rsid w:val="00AB4E32"/>
    <w:rsid w:val="00AB579A"/>
    <w:rsid w:val="00AB5BC4"/>
    <w:rsid w:val="00AB5DB2"/>
    <w:rsid w:val="00AB724B"/>
    <w:rsid w:val="00AB726C"/>
    <w:rsid w:val="00AB72B4"/>
    <w:rsid w:val="00AC01FD"/>
    <w:rsid w:val="00AC02AA"/>
    <w:rsid w:val="00AC0537"/>
    <w:rsid w:val="00AC0A84"/>
    <w:rsid w:val="00AC1A09"/>
    <w:rsid w:val="00AC264D"/>
    <w:rsid w:val="00AC2A0B"/>
    <w:rsid w:val="00AC2BEC"/>
    <w:rsid w:val="00AC2BEE"/>
    <w:rsid w:val="00AC2E53"/>
    <w:rsid w:val="00AC2F8F"/>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17"/>
    <w:rsid w:val="00AE73D7"/>
    <w:rsid w:val="00AE7686"/>
    <w:rsid w:val="00AE76CC"/>
    <w:rsid w:val="00AE799A"/>
    <w:rsid w:val="00AE7F9E"/>
    <w:rsid w:val="00AF042B"/>
    <w:rsid w:val="00AF0514"/>
    <w:rsid w:val="00AF078E"/>
    <w:rsid w:val="00AF0E81"/>
    <w:rsid w:val="00AF117A"/>
    <w:rsid w:val="00AF186E"/>
    <w:rsid w:val="00AF19C6"/>
    <w:rsid w:val="00AF19DF"/>
    <w:rsid w:val="00AF1F4F"/>
    <w:rsid w:val="00AF26CF"/>
    <w:rsid w:val="00AF2762"/>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1C18"/>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EEE"/>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4B1"/>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74D"/>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C44"/>
    <w:rsid w:val="00B67FBF"/>
    <w:rsid w:val="00B7024E"/>
    <w:rsid w:val="00B71D07"/>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78A"/>
    <w:rsid w:val="00B82BB5"/>
    <w:rsid w:val="00B83182"/>
    <w:rsid w:val="00B83811"/>
    <w:rsid w:val="00B83B09"/>
    <w:rsid w:val="00B84684"/>
    <w:rsid w:val="00B8472C"/>
    <w:rsid w:val="00B84866"/>
    <w:rsid w:val="00B848DF"/>
    <w:rsid w:val="00B84F1B"/>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286"/>
    <w:rsid w:val="00BE0767"/>
    <w:rsid w:val="00BE12D7"/>
    <w:rsid w:val="00BE1372"/>
    <w:rsid w:val="00BE1775"/>
    <w:rsid w:val="00BE17A2"/>
    <w:rsid w:val="00BE18DA"/>
    <w:rsid w:val="00BE26C0"/>
    <w:rsid w:val="00BE3442"/>
    <w:rsid w:val="00BE45DF"/>
    <w:rsid w:val="00BE47B2"/>
    <w:rsid w:val="00BE48C7"/>
    <w:rsid w:val="00BE4F66"/>
    <w:rsid w:val="00BE4F8C"/>
    <w:rsid w:val="00BE4FF8"/>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04"/>
    <w:rsid w:val="00C00713"/>
    <w:rsid w:val="00C009A0"/>
    <w:rsid w:val="00C01F74"/>
    <w:rsid w:val="00C02558"/>
    <w:rsid w:val="00C0285F"/>
    <w:rsid w:val="00C02F35"/>
    <w:rsid w:val="00C03305"/>
    <w:rsid w:val="00C03515"/>
    <w:rsid w:val="00C03738"/>
    <w:rsid w:val="00C037A6"/>
    <w:rsid w:val="00C040D6"/>
    <w:rsid w:val="00C043F5"/>
    <w:rsid w:val="00C044E3"/>
    <w:rsid w:val="00C047A8"/>
    <w:rsid w:val="00C04BDB"/>
    <w:rsid w:val="00C052C6"/>
    <w:rsid w:val="00C059D4"/>
    <w:rsid w:val="00C05A61"/>
    <w:rsid w:val="00C06462"/>
    <w:rsid w:val="00C06955"/>
    <w:rsid w:val="00C06CCF"/>
    <w:rsid w:val="00C108B8"/>
    <w:rsid w:val="00C10C0B"/>
    <w:rsid w:val="00C11503"/>
    <w:rsid w:val="00C1159D"/>
    <w:rsid w:val="00C11683"/>
    <w:rsid w:val="00C11798"/>
    <w:rsid w:val="00C118DB"/>
    <w:rsid w:val="00C1233E"/>
    <w:rsid w:val="00C12408"/>
    <w:rsid w:val="00C125C1"/>
    <w:rsid w:val="00C1299A"/>
    <w:rsid w:val="00C12F05"/>
    <w:rsid w:val="00C12FB3"/>
    <w:rsid w:val="00C1304A"/>
    <w:rsid w:val="00C131E0"/>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EB0"/>
    <w:rsid w:val="00C21005"/>
    <w:rsid w:val="00C21730"/>
    <w:rsid w:val="00C2183B"/>
    <w:rsid w:val="00C21B56"/>
    <w:rsid w:val="00C220B6"/>
    <w:rsid w:val="00C22492"/>
    <w:rsid w:val="00C22811"/>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E02"/>
    <w:rsid w:val="00C85FFC"/>
    <w:rsid w:val="00C86123"/>
    <w:rsid w:val="00C861FC"/>
    <w:rsid w:val="00C86C87"/>
    <w:rsid w:val="00C8705B"/>
    <w:rsid w:val="00C87090"/>
    <w:rsid w:val="00C9005E"/>
    <w:rsid w:val="00C90111"/>
    <w:rsid w:val="00C90CA9"/>
    <w:rsid w:val="00C91131"/>
    <w:rsid w:val="00C915F2"/>
    <w:rsid w:val="00C917B1"/>
    <w:rsid w:val="00C9193C"/>
    <w:rsid w:val="00C91B77"/>
    <w:rsid w:val="00C920E2"/>
    <w:rsid w:val="00C923AA"/>
    <w:rsid w:val="00C93154"/>
    <w:rsid w:val="00C93765"/>
    <w:rsid w:val="00C937BF"/>
    <w:rsid w:val="00C93877"/>
    <w:rsid w:val="00C93D10"/>
    <w:rsid w:val="00C93D8C"/>
    <w:rsid w:val="00C946CC"/>
    <w:rsid w:val="00C94763"/>
    <w:rsid w:val="00C959BD"/>
    <w:rsid w:val="00C95E49"/>
    <w:rsid w:val="00C95F44"/>
    <w:rsid w:val="00C95F79"/>
    <w:rsid w:val="00C96D1B"/>
    <w:rsid w:val="00C97106"/>
    <w:rsid w:val="00C97684"/>
    <w:rsid w:val="00CA0031"/>
    <w:rsid w:val="00CA0413"/>
    <w:rsid w:val="00CA043A"/>
    <w:rsid w:val="00CA04F8"/>
    <w:rsid w:val="00CA050A"/>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88F"/>
    <w:rsid w:val="00CD2A22"/>
    <w:rsid w:val="00CD2B50"/>
    <w:rsid w:val="00CD3AD3"/>
    <w:rsid w:val="00CD41FE"/>
    <w:rsid w:val="00CD4506"/>
    <w:rsid w:val="00CD520B"/>
    <w:rsid w:val="00CD592E"/>
    <w:rsid w:val="00CD5982"/>
    <w:rsid w:val="00CD5A1A"/>
    <w:rsid w:val="00CD6054"/>
    <w:rsid w:val="00CD71E9"/>
    <w:rsid w:val="00CD7EFA"/>
    <w:rsid w:val="00CE020E"/>
    <w:rsid w:val="00CE02B4"/>
    <w:rsid w:val="00CE0566"/>
    <w:rsid w:val="00CE16A9"/>
    <w:rsid w:val="00CE1CD4"/>
    <w:rsid w:val="00CE23FE"/>
    <w:rsid w:val="00CE2761"/>
    <w:rsid w:val="00CE2B49"/>
    <w:rsid w:val="00CE314E"/>
    <w:rsid w:val="00CE3D5C"/>
    <w:rsid w:val="00CE3E14"/>
    <w:rsid w:val="00CE44C7"/>
    <w:rsid w:val="00CE53CC"/>
    <w:rsid w:val="00CE55EB"/>
    <w:rsid w:val="00CE65A7"/>
    <w:rsid w:val="00CE68FE"/>
    <w:rsid w:val="00CE69CC"/>
    <w:rsid w:val="00CE6EC4"/>
    <w:rsid w:val="00CE7A77"/>
    <w:rsid w:val="00CE7F26"/>
    <w:rsid w:val="00CE7FBF"/>
    <w:rsid w:val="00CF1066"/>
    <w:rsid w:val="00CF1226"/>
    <w:rsid w:val="00CF16C0"/>
    <w:rsid w:val="00CF1ABB"/>
    <w:rsid w:val="00CF1E1D"/>
    <w:rsid w:val="00CF1E81"/>
    <w:rsid w:val="00CF24FE"/>
    <w:rsid w:val="00CF35D0"/>
    <w:rsid w:val="00CF3DD5"/>
    <w:rsid w:val="00CF3F9F"/>
    <w:rsid w:val="00CF41D5"/>
    <w:rsid w:val="00CF4897"/>
    <w:rsid w:val="00CF4AF7"/>
    <w:rsid w:val="00CF4D20"/>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595D"/>
    <w:rsid w:val="00D0612A"/>
    <w:rsid w:val="00D068E3"/>
    <w:rsid w:val="00D06A0E"/>
    <w:rsid w:val="00D06D40"/>
    <w:rsid w:val="00D0707D"/>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0D14"/>
    <w:rsid w:val="00D2104A"/>
    <w:rsid w:val="00D21302"/>
    <w:rsid w:val="00D213F1"/>
    <w:rsid w:val="00D21BB5"/>
    <w:rsid w:val="00D21FFC"/>
    <w:rsid w:val="00D223A3"/>
    <w:rsid w:val="00D223B6"/>
    <w:rsid w:val="00D223E8"/>
    <w:rsid w:val="00D22CB5"/>
    <w:rsid w:val="00D22DC8"/>
    <w:rsid w:val="00D24D7A"/>
    <w:rsid w:val="00D24ECD"/>
    <w:rsid w:val="00D2522A"/>
    <w:rsid w:val="00D2531C"/>
    <w:rsid w:val="00D255F3"/>
    <w:rsid w:val="00D25B06"/>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49EC"/>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5C94"/>
    <w:rsid w:val="00D5616F"/>
    <w:rsid w:val="00D5663B"/>
    <w:rsid w:val="00D56828"/>
    <w:rsid w:val="00D568BA"/>
    <w:rsid w:val="00D57940"/>
    <w:rsid w:val="00D601C2"/>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60DF"/>
    <w:rsid w:val="00D67BC7"/>
    <w:rsid w:val="00D701F1"/>
    <w:rsid w:val="00D705D3"/>
    <w:rsid w:val="00D7088A"/>
    <w:rsid w:val="00D70E00"/>
    <w:rsid w:val="00D71014"/>
    <w:rsid w:val="00D715AC"/>
    <w:rsid w:val="00D71851"/>
    <w:rsid w:val="00D718CF"/>
    <w:rsid w:val="00D722D2"/>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1E80"/>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418"/>
    <w:rsid w:val="00D967CB"/>
    <w:rsid w:val="00D96EE0"/>
    <w:rsid w:val="00D97BD1"/>
    <w:rsid w:val="00DA06B8"/>
    <w:rsid w:val="00DA286D"/>
    <w:rsid w:val="00DA2969"/>
    <w:rsid w:val="00DA29B7"/>
    <w:rsid w:val="00DA371B"/>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0A15"/>
    <w:rsid w:val="00DB12D4"/>
    <w:rsid w:val="00DB13DD"/>
    <w:rsid w:val="00DB14F0"/>
    <w:rsid w:val="00DB1745"/>
    <w:rsid w:val="00DB1AFF"/>
    <w:rsid w:val="00DB219A"/>
    <w:rsid w:val="00DB3165"/>
    <w:rsid w:val="00DB350B"/>
    <w:rsid w:val="00DB40A0"/>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2848"/>
    <w:rsid w:val="00DC30B8"/>
    <w:rsid w:val="00DC32C6"/>
    <w:rsid w:val="00DC3720"/>
    <w:rsid w:val="00DC406B"/>
    <w:rsid w:val="00DC478F"/>
    <w:rsid w:val="00DC5913"/>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8BF"/>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C90"/>
    <w:rsid w:val="00DF1E36"/>
    <w:rsid w:val="00DF1FDB"/>
    <w:rsid w:val="00DF236B"/>
    <w:rsid w:val="00DF2A91"/>
    <w:rsid w:val="00DF2F82"/>
    <w:rsid w:val="00DF3131"/>
    <w:rsid w:val="00DF3747"/>
    <w:rsid w:val="00DF3889"/>
    <w:rsid w:val="00DF3CC9"/>
    <w:rsid w:val="00DF3FAF"/>
    <w:rsid w:val="00DF4451"/>
    <w:rsid w:val="00DF49FF"/>
    <w:rsid w:val="00DF4FFB"/>
    <w:rsid w:val="00DF5236"/>
    <w:rsid w:val="00DF5D32"/>
    <w:rsid w:val="00DF651F"/>
    <w:rsid w:val="00DF6E10"/>
    <w:rsid w:val="00DF6F43"/>
    <w:rsid w:val="00DF752F"/>
    <w:rsid w:val="00DF76A2"/>
    <w:rsid w:val="00DF7B33"/>
    <w:rsid w:val="00E00B7A"/>
    <w:rsid w:val="00E01D90"/>
    <w:rsid w:val="00E01E98"/>
    <w:rsid w:val="00E02186"/>
    <w:rsid w:val="00E026BB"/>
    <w:rsid w:val="00E027C5"/>
    <w:rsid w:val="00E03124"/>
    <w:rsid w:val="00E03148"/>
    <w:rsid w:val="00E031EB"/>
    <w:rsid w:val="00E03951"/>
    <w:rsid w:val="00E03DB8"/>
    <w:rsid w:val="00E0466B"/>
    <w:rsid w:val="00E0573A"/>
    <w:rsid w:val="00E057BA"/>
    <w:rsid w:val="00E057C0"/>
    <w:rsid w:val="00E05E70"/>
    <w:rsid w:val="00E0631A"/>
    <w:rsid w:val="00E064BC"/>
    <w:rsid w:val="00E07225"/>
    <w:rsid w:val="00E079FF"/>
    <w:rsid w:val="00E07AAA"/>
    <w:rsid w:val="00E07B7A"/>
    <w:rsid w:val="00E1002B"/>
    <w:rsid w:val="00E1079C"/>
    <w:rsid w:val="00E109DD"/>
    <w:rsid w:val="00E11229"/>
    <w:rsid w:val="00E114CA"/>
    <w:rsid w:val="00E11CF0"/>
    <w:rsid w:val="00E125D6"/>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D0"/>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022"/>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8B4"/>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562"/>
    <w:rsid w:val="00E83671"/>
    <w:rsid w:val="00E8414B"/>
    <w:rsid w:val="00E84793"/>
    <w:rsid w:val="00E84A71"/>
    <w:rsid w:val="00E8544B"/>
    <w:rsid w:val="00E8554E"/>
    <w:rsid w:val="00E85BEB"/>
    <w:rsid w:val="00E86556"/>
    <w:rsid w:val="00E86798"/>
    <w:rsid w:val="00E86D35"/>
    <w:rsid w:val="00E86DC2"/>
    <w:rsid w:val="00E86E32"/>
    <w:rsid w:val="00E8732E"/>
    <w:rsid w:val="00E87514"/>
    <w:rsid w:val="00E9011F"/>
    <w:rsid w:val="00E906EB"/>
    <w:rsid w:val="00E913F9"/>
    <w:rsid w:val="00E9241E"/>
    <w:rsid w:val="00E92460"/>
    <w:rsid w:val="00E92E62"/>
    <w:rsid w:val="00E92E8B"/>
    <w:rsid w:val="00E93804"/>
    <w:rsid w:val="00E93A86"/>
    <w:rsid w:val="00E941AA"/>
    <w:rsid w:val="00E94420"/>
    <w:rsid w:val="00E950D0"/>
    <w:rsid w:val="00E95434"/>
    <w:rsid w:val="00E96467"/>
    <w:rsid w:val="00E966DA"/>
    <w:rsid w:val="00E96948"/>
    <w:rsid w:val="00E9737B"/>
    <w:rsid w:val="00E97A3F"/>
    <w:rsid w:val="00E97F0A"/>
    <w:rsid w:val="00EA0100"/>
    <w:rsid w:val="00EA010D"/>
    <w:rsid w:val="00EA04DC"/>
    <w:rsid w:val="00EA0886"/>
    <w:rsid w:val="00EA0BCE"/>
    <w:rsid w:val="00EA1778"/>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A7052"/>
    <w:rsid w:val="00EB0A89"/>
    <w:rsid w:val="00EB0B22"/>
    <w:rsid w:val="00EB151B"/>
    <w:rsid w:val="00EB1573"/>
    <w:rsid w:val="00EB1650"/>
    <w:rsid w:val="00EB17CA"/>
    <w:rsid w:val="00EB1910"/>
    <w:rsid w:val="00EB1D24"/>
    <w:rsid w:val="00EB1F23"/>
    <w:rsid w:val="00EB209B"/>
    <w:rsid w:val="00EB26F2"/>
    <w:rsid w:val="00EB2964"/>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4B9"/>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DE3"/>
    <w:rsid w:val="00F01E67"/>
    <w:rsid w:val="00F021B7"/>
    <w:rsid w:val="00F02744"/>
    <w:rsid w:val="00F02BFD"/>
    <w:rsid w:val="00F02D25"/>
    <w:rsid w:val="00F0306D"/>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62E"/>
    <w:rsid w:val="00F10FC4"/>
    <w:rsid w:val="00F1108B"/>
    <w:rsid w:val="00F11768"/>
    <w:rsid w:val="00F11951"/>
    <w:rsid w:val="00F11BA8"/>
    <w:rsid w:val="00F11EC4"/>
    <w:rsid w:val="00F12259"/>
    <w:rsid w:val="00F12262"/>
    <w:rsid w:val="00F12AF8"/>
    <w:rsid w:val="00F12C52"/>
    <w:rsid w:val="00F14352"/>
    <w:rsid w:val="00F144BA"/>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4F07"/>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2BB"/>
    <w:rsid w:val="00FA49B7"/>
    <w:rsid w:val="00FA5043"/>
    <w:rsid w:val="00FA5ECF"/>
    <w:rsid w:val="00FA6179"/>
    <w:rsid w:val="00FA6F8B"/>
    <w:rsid w:val="00FA7A30"/>
    <w:rsid w:val="00FA7F7F"/>
    <w:rsid w:val="00FB033F"/>
    <w:rsid w:val="00FB12E3"/>
    <w:rsid w:val="00FB1570"/>
    <w:rsid w:val="00FB186E"/>
    <w:rsid w:val="00FB193B"/>
    <w:rsid w:val="00FB1FBC"/>
    <w:rsid w:val="00FB27B7"/>
    <w:rsid w:val="00FB2C36"/>
    <w:rsid w:val="00FB3444"/>
    <w:rsid w:val="00FB3483"/>
    <w:rsid w:val="00FB35E3"/>
    <w:rsid w:val="00FB4D3F"/>
    <w:rsid w:val="00FB583C"/>
    <w:rsid w:val="00FB5F49"/>
    <w:rsid w:val="00FB61D1"/>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B57"/>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2712"/>
    <w:rsid w:val="00FE35D0"/>
    <w:rsid w:val="00FE3EBB"/>
    <w:rsid w:val="00FE4058"/>
    <w:rsid w:val="00FE41AC"/>
    <w:rsid w:val="00FE42E2"/>
    <w:rsid w:val="00FE42ED"/>
    <w:rsid w:val="00FE4843"/>
    <w:rsid w:val="00FE4C6D"/>
    <w:rsid w:val="00FE55A7"/>
    <w:rsid w:val="00FE55E6"/>
    <w:rsid w:val="00FE56D5"/>
    <w:rsid w:val="00FE576D"/>
    <w:rsid w:val="00FE5947"/>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C31"/>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B7"/>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408670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2439574">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2465173">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2779">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2669334">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811430">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540549">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6933416">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417922">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6506508">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8016209">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623905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59047858">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9797044">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7324">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3950128">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6319341">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466918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2007/L1150de2007.htm"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723F876F-A43F-46E2-A592-038BF6773057}"/>
</file>

<file path=docProps/app.xml><?xml version="1.0" encoding="utf-8"?>
<Properties xmlns="http://schemas.openxmlformats.org/officeDocument/2006/extended-properties" xmlns:vt="http://schemas.openxmlformats.org/officeDocument/2006/docPropsVTypes">
  <Template>Respuesta a consultas</Template>
  <TotalTime>7</TotalTime>
  <Pages>31</Pages>
  <Words>11778</Words>
  <Characters>64780</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6</cp:revision>
  <cp:lastPrinted>2020-01-30T15:05:00Z</cp:lastPrinted>
  <dcterms:created xsi:type="dcterms:W3CDTF">2022-11-24T19:46:00Z</dcterms:created>
  <dcterms:modified xsi:type="dcterms:W3CDTF">2022-11-24T19:54:00Z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