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0248" w14:textId="4B63B056" w:rsidR="00F42DF3" w:rsidRPr="006D634C" w:rsidRDefault="00F42DF3" w:rsidP="00A32C46">
      <w:pPr>
        <w:jc w:val="both"/>
        <w:rPr>
          <w:rFonts w:ascii="Arial" w:hAnsi="Arial" w:cs="Arial"/>
          <w:b/>
          <w:sz w:val="20"/>
          <w:szCs w:val="20"/>
          <w:lang w:val="es-ES_tradnl" w:eastAsia="es-ES"/>
        </w:rPr>
      </w:pPr>
      <w:bookmarkStart w:id="0" w:name="_Hlk103947551"/>
      <w:r w:rsidRPr="006D634C">
        <w:rPr>
          <w:rFonts w:ascii="Arial" w:hAnsi="Arial" w:cs="Arial"/>
          <w:b/>
          <w:sz w:val="20"/>
          <w:szCs w:val="20"/>
          <w:lang w:val="es-ES_tradnl" w:eastAsia="es-ES"/>
        </w:rPr>
        <w:t xml:space="preserve">LIQUIDACIÓN DEL CONTRATO – Definición – Objetivo </w:t>
      </w:r>
    </w:p>
    <w:p w14:paraId="38D63C81" w14:textId="77777777" w:rsidR="00F42DF3" w:rsidRPr="006D634C" w:rsidRDefault="00F42DF3" w:rsidP="00A32C46">
      <w:pPr>
        <w:jc w:val="both"/>
        <w:rPr>
          <w:rFonts w:ascii="Arial" w:hAnsi="Arial" w:cs="Arial"/>
          <w:b/>
          <w:sz w:val="20"/>
          <w:szCs w:val="20"/>
          <w:lang w:val="es-ES_tradnl" w:eastAsia="es-ES"/>
        </w:rPr>
      </w:pPr>
    </w:p>
    <w:p w14:paraId="0DDBEB1F" w14:textId="77777777" w:rsidR="00F42DF3" w:rsidRPr="006D634C" w:rsidRDefault="00F42DF3" w:rsidP="00A32C46">
      <w:pPr>
        <w:jc w:val="both"/>
        <w:rPr>
          <w:rFonts w:ascii="Arial" w:hAnsi="Arial" w:cs="Arial"/>
          <w:sz w:val="20"/>
          <w:szCs w:val="20"/>
          <w:lang w:val="es-ES_tradnl" w:eastAsia="es-ES"/>
        </w:rPr>
      </w:pPr>
      <w:r w:rsidRPr="006D634C">
        <w:rPr>
          <w:rFonts w:ascii="Arial" w:hAnsi="Arial" w:cs="Arial"/>
          <w:sz w:val="20"/>
          <w:szCs w:val="20"/>
          <w:lang w:val="es-ES_tradnl" w:eastAsia="es-ES"/>
        </w:rPr>
        <w:t xml:space="preserve">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48D7B7F6" w14:textId="77777777" w:rsidR="00F42DF3" w:rsidRPr="006D634C" w:rsidRDefault="00F42DF3" w:rsidP="00F42DF3">
      <w:pPr>
        <w:jc w:val="both"/>
        <w:rPr>
          <w:rFonts w:ascii="Arial" w:hAnsi="Arial" w:cs="Arial"/>
          <w:sz w:val="20"/>
          <w:szCs w:val="20"/>
          <w:lang w:val="es-ES_tradnl" w:eastAsia="es-ES"/>
        </w:rPr>
      </w:pPr>
    </w:p>
    <w:p w14:paraId="16B93EF2" w14:textId="77777777" w:rsidR="00F42DF3" w:rsidRPr="006D634C" w:rsidRDefault="00F42DF3" w:rsidP="00F42DF3">
      <w:pPr>
        <w:jc w:val="both"/>
        <w:rPr>
          <w:rFonts w:ascii="Arial" w:hAnsi="Arial" w:cs="Arial"/>
          <w:b/>
          <w:sz w:val="20"/>
          <w:szCs w:val="20"/>
          <w:lang w:val="es-ES_tradnl" w:eastAsia="es-ES"/>
        </w:rPr>
      </w:pPr>
      <w:r w:rsidRPr="006D634C">
        <w:rPr>
          <w:rFonts w:ascii="Arial" w:hAnsi="Arial" w:cs="Arial"/>
          <w:b/>
          <w:sz w:val="20"/>
          <w:szCs w:val="20"/>
          <w:lang w:val="es-ES_tradnl" w:eastAsia="es-ES"/>
        </w:rPr>
        <w:t xml:space="preserve">LIQUIDACIÓN DEL CONTRATO – Normativa </w:t>
      </w:r>
    </w:p>
    <w:p w14:paraId="5BB096F0" w14:textId="77777777" w:rsidR="00F42DF3" w:rsidRPr="006D634C" w:rsidRDefault="00F42DF3" w:rsidP="00F42DF3">
      <w:pPr>
        <w:jc w:val="both"/>
        <w:rPr>
          <w:rFonts w:ascii="Arial" w:hAnsi="Arial" w:cs="Arial"/>
          <w:sz w:val="20"/>
          <w:szCs w:val="20"/>
          <w:lang w:val="es-ES_tradnl" w:eastAsia="es-ES"/>
        </w:rPr>
      </w:pPr>
    </w:p>
    <w:p w14:paraId="209B6AE7" w14:textId="77777777" w:rsidR="00F42DF3" w:rsidRPr="006D634C" w:rsidRDefault="00F42DF3" w:rsidP="00F42DF3">
      <w:pPr>
        <w:jc w:val="both"/>
        <w:rPr>
          <w:rFonts w:ascii="Arial" w:hAnsi="Arial" w:cs="Arial"/>
          <w:sz w:val="20"/>
          <w:szCs w:val="20"/>
          <w:lang w:val="es-ES_tradnl" w:eastAsia="es-ES"/>
        </w:rPr>
      </w:pPr>
      <w:r w:rsidRPr="006D634C">
        <w:rPr>
          <w:rFonts w:ascii="Arial" w:hAnsi="Arial" w:cs="Arial"/>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0560E11C" w14:textId="77777777" w:rsidR="00F42DF3" w:rsidRPr="006D634C" w:rsidRDefault="00F42DF3" w:rsidP="00F42DF3">
      <w:pPr>
        <w:jc w:val="both"/>
        <w:rPr>
          <w:rFonts w:ascii="Arial" w:hAnsi="Arial" w:cs="Arial"/>
          <w:sz w:val="20"/>
          <w:szCs w:val="20"/>
          <w:lang w:val="es-ES_tradnl" w:eastAsia="es-ES"/>
        </w:rPr>
      </w:pPr>
    </w:p>
    <w:p w14:paraId="70A8A3B2" w14:textId="77777777" w:rsidR="00F42DF3" w:rsidRPr="006D634C" w:rsidRDefault="00F42DF3" w:rsidP="00F42DF3">
      <w:pPr>
        <w:jc w:val="both"/>
        <w:rPr>
          <w:rFonts w:ascii="Arial" w:hAnsi="Arial" w:cs="Arial"/>
          <w:b/>
          <w:sz w:val="20"/>
          <w:szCs w:val="20"/>
          <w:lang w:val="es-ES_tradnl" w:eastAsia="es-ES"/>
        </w:rPr>
      </w:pPr>
      <w:r w:rsidRPr="006D634C">
        <w:rPr>
          <w:rFonts w:ascii="Arial" w:hAnsi="Arial" w:cs="Arial"/>
          <w:b/>
          <w:sz w:val="20"/>
          <w:szCs w:val="20"/>
          <w:lang w:val="es-ES_tradnl" w:eastAsia="es-ES"/>
        </w:rPr>
        <w:t xml:space="preserve">LIQUIDACIÓN DEL CONTRATO – Oportunidad </w:t>
      </w:r>
    </w:p>
    <w:p w14:paraId="109CCA2B" w14:textId="77777777" w:rsidR="00F42DF3" w:rsidRPr="006D634C" w:rsidRDefault="00F42DF3" w:rsidP="00F42DF3">
      <w:pPr>
        <w:jc w:val="both"/>
        <w:rPr>
          <w:rFonts w:ascii="Arial" w:hAnsi="Arial" w:cs="Arial"/>
          <w:sz w:val="20"/>
          <w:szCs w:val="20"/>
          <w:lang w:val="es-ES_tradnl" w:eastAsia="es-ES"/>
        </w:rPr>
      </w:pPr>
    </w:p>
    <w:p w14:paraId="6A0499AD" w14:textId="1CB3A692" w:rsidR="00F42DF3" w:rsidRPr="006D634C" w:rsidRDefault="00F42DF3" w:rsidP="00F42DF3">
      <w:pPr>
        <w:spacing w:after="120"/>
        <w:jc w:val="both"/>
        <w:rPr>
          <w:rFonts w:ascii="Arial" w:hAnsi="Arial" w:cs="Arial"/>
          <w:sz w:val="20"/>
          <w:szCs w:val="20"/>
          <w:lang w:val="es-ES_tradnl" w:eastAsia="es-ES"/>
        </w:rPr>
      </w:pPr>
      <w:r w:rsidRPr="006D634C">
        <w:rPr>
          <w:rFonts w:ascii="Arial" w:hAnsi="Arial" w:cs="Arial"/>
          <w:sz w:val="20"/>
          <w:szCs w:val="20"/>
          <w:lang w:val="es-ES_tradnl" w:eastAsia="es-ES"/>
        </w:rPr>
        <w:t>[…]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r w:rsidR="00F719E7" w:rsidRPr="00F719E7">
        <w:rPr>
          <w:rFonts w:ascii="Arial" w:hAnsi="Arial" w:cs="Arial"/>
          <w:sz w:val="20"/>
          <w:szCs w:val="20"/>
          <w:lang w:val="es-ES_tradnl" w:eastAsia="es-ES"/>
        </w:rPr>
        <w:t xml:space="preserve"> </w:t>
      </w:r>
      <w:r w:rsidR="00F719E7" w:rsidRPr="006D634C">
        <w:rPr>
          <w:rFonts w:ascii="Arial" w:hAnsi="Arial" w:cs="Arial"/>
          <w:sz w:val="20"/>
          <w:szCs w:val="20"/>
          <w:lang w:val="es-ES_tradnl" w:eastAsia="es-ES"/>
        </w:rPr>
        <w:t>[…]</w:t>
      </w:r>
    </w:p>
    <w:p w14:paraId="4D887BAE" w14:textId="02818338" w:rsidR="00F42DF3" w:rsidRPr="006D634C" w:rsidRDefault="00F42DF3" w:rsidP="00F42DF3">
      <w:pPr>
        <w:jc w:val="both"/>
        <w:rPr>
          <w:rFonts w:ascii="Arial" w:hAnsi="Arial" w:cs="Arial"/>
          <w:sz w:val="20"/>
          <w:szCs w:val="20"/>
          <w:lang w:val="es-ES_tradnl" w:eastAsia="es-ES"/>
        </w:rPr>
      </w:pPr>
      <w:r w:rsidRPr="006D634C">
        <w:rPr>
          <w:rFonts w:ascii="Arial" w:hAnsi="Arial" w:cs="Arial"/>
          <w:sz w:val="20"/>
          <w:szCs w:val="20"/>
          <w:lang w:val="es-ES_tradnl" w:eastAsia="es-ES"/>
        </w:rPr>
        <w:t xml:space="preserve">Durante este término, el contratista puede solicitar que se adelante el trámite de liquidación. Sin embargo, es responsabilidad de la </w:t>
      </w:r>
      <w:r w:rsidR="00D15431">
        <w:rPr>
          <w:rFonts w:ascii="Arial" w:hAnsi="Arial" w:cs="Arial"/>
          <w:sz w:val="20"/>
          <w:szCs w:val="20"/>
          <w:lang w:val="es-ES_tradnl" w:eastAsia="es-ES"/>
        </w:rPr>
        <w:t>Entidad Estatal</w:t>
      </w:r>
      <w:r w:rsidRPr="006D634C">
        <w:rPr>
          <w:rFonts w:ascii="Arial" w:hAnsi="Arial" w:cs="Arial"/>
          <w:sz w:val="20"/>
          <w:szCs w:val="20"/>
          <w:lang w:val="es-ES_tradnl" w:eastAsia="es-ES"/>
        </w:rPr>
        <w:t xml:space="preserve"> convocarlo para adelantar la liquidación de común acuerdo o notificarlo para que se presente a la liquidación, de manera que el contrato pueda ser liquidado bilateralmente, bien sea en el plazo previsto en el pliego de condiciones, el acordado por las partes, o los cuatro meses señalados en la Ley, según corresponda. Esta liquidación bilateral puede ser total o parcial, y el documento que la contiene presta mérito ejecutivo, siempre que se satisfagan los elementos para considerarlo como tal.</w:t>
      </w:r>
    </w:p>
    <w:p w14:paraId="07FDA964" w14:textId="77777777" w:rsidR="00F42DF3" w:rsidRPr="006D634C" w:rsidRDefault="00F42DF3" w:rsidP="00F42DF3">
      <w:pPr>
        <w:jc w:val="both"/>
        <w:rPr>
          <w:rFonts w:ascii="Arial" w:hAnsi="Arial" w:cs="Arial"/>
          <w:sz w:val="20"/>
          <w:szCs w:val="20"/>
          <w:lang w:val="es-ES_tradnl" w:eastAsia="es-ES"/>
        </w:rPr>
      </w:pPr>
    </w:p>
    <w:p w14:paraId="29581960" w14:textId="77777777" w:rsidR="00F42DF3" w:rsidRPr="006D634C" w:rsidRDefault="00F42DF3" w:rsidP="00F42DF3">
      <w:pPr>
        <w:jc w:val="both"/>
        <w:rPr>
          <w:rFonts w:ascii="Arial" w:hAnsi="Arial" w:cs="Arial"/>
          <w:b/>
          <w:sz w:val="20"/>
          <w:szCs w:val="20"/>
          <w:lang w:val="es-ES_tradnl" w:eastAsia="es-ES"/>
        </w:rPr>
      </w:pPr>
      <w:r w:rsidRPr="006D634C">
        <w:rPr>
          <w:rFonts w:ascii="Arial" w:hAnsi="Arial" w:cs="Arial"/>
          <w:b/>
          <w:sz w:val="20"/>
          <w:szCs w:val="20"/>
          <w:lang w:val="es-ES_tradnl" w:eastAsia="es-ES"/>
        </w:rPr>
        <w:t>LIQUIDACIÓN DEL CONTRATO – Pérdida de competencia</w:t>
      </w:r>
    </w:p>
    <w:p w14:paraId="33D24C9F" w14:textId="77777777" w:rsidR="00F42DF3" w:rsidRPr="006D634C" w:rsidRDefault="00F42DF3" w:rsidP="00F42DF3">
      <w:pPr>
        <w:jc w:val="both"/>
        <w:rPr>
          <w:rFonts w:ascii="Arial" w:hAnsi="Arial" w:cs="Arial"/>
          <w:b/>
          <w:sz w:val="20"/>
          <w:szCs w:val="20"/>
          <w:lang w:val="es-ES_tradnl" w:eastAsia="es-ES"/>
        </w:rPr>
      </w:pPr>
    </w:p>
    <w:p w14:paraId="0E61246F" w14:textId="637FE77B" w:rsidR="00F719E7" w:rsidRDefault="00F719E7" w:rsidP="00F719E7">
      <w:pPr>
        <w:jc w:val="both"/>
        <w:rPr>
          <w:rFonts w:ascii="Arial" w:hAnsi="Arial" w:cs="Arial"/>
          <w:sz w:val="20"/>
          <w:szCs w:val="20"/>
          <w:lang w:eastAsia="es-ES"/>
        </w:rPr>
      </w:pPr>
      <w:r w:rsidRPr="006D634C">
        <w:rPr>
          <w:rFonts w:ascii="Arial" w:hAnsi="Arial" w:cs="Arial"/>
          <w:sz w:val="20"/>
          <w:szCs w:val="20"/>
          <w:lang w:val="es-ES_tradnl" w:eastAsia="es-ES"/>
        </w:rPr>
        <w:t xml:space="preserve">[…] </w:t>
      </w:r>
      <w:r w:rsidRPr="00F719E7">
        <w:rPr>
          <w:rFonts w:ascii="Arial" w:hAnsi="Arial" w:cs="Arial"/>
          <w:sz w:val="20"/>
          <w:szCs w:val="20"/>
          <w:lang w:eastAsia="es-ES"/>
        </w:rPr>
        <w:t>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w:t>
      </w:r>
      <w:r>
        <w:rPr>
          <w:rFonts w:ascii="Arial" w:hAnsi="Arial" w:cs="Arial"/>
          <w:sz w:val="20"/>
          <w:szCs w:val="20"/>
          <w:lang w:eastAsia="es-ES"/>
        </w:rPr>
        <w:t>.</w:t>
      </w:r>
      <w:r w:rsidRPr="00F719E7">
        <w:rPr>
          <w:rFonts w:ascii="Arial" w:hAnsi="Arial" w:cs="Arial"/>
          <w:sz w:val="20"/>
          <w:szCs w:val="20"/>
          <w:lang w:val="es-ES_tradnl" w:eastAsia="es-ES"/>
        </w:rPr>
        <w:t xml:space="preserve"> </w:t>
      </w:r>
      <w:r w:rsidRPr="006D634C">
        <w:rPr>
          <w:rFonts w:ascii="Arial" w:hAnsi="Arial" w:cs="Arial"/>
          <w:sz w:val="20"/>
          <w:szCs w:val="20"/>
          <w:lang w:val="es-ES_tradnl" w:eastAsia="es-ES"/>
        </w:rPr>
        <w:t>[…]</w:t>
      </w:r>
    </w:p>
    <w:p w14:paraId="2F97F4A2" w14:textId="77777777" w:rsidR="00F719E7" w:rsidRDefault="00F719E7" w:rsidP="00F719E7">
      <w:pPr>
        <w:jc w:val="both"/>
        <w:rPr>
          <w:rFonts w:ascii="Arial" w:hAnsi="Arial" w:cs="Arial"/>
          <w:sz w:val="20"/>
          <w:szCs w:val="20"/>
          <w:lang w:eastAsia="es-ES"/>
        </w:rPr>
      </w:pPr>
    </w:p>
    <w:p w14:paraId="0CCBC8E9" w14:textId="00A3E7AA" w:rsidR="00F719E7" w:rsidRPr="00F719E7" w:rsidRDefault="00F719E7" w:rsidP="00F719E7">
      <w:pPr>
        <w:jc w:val="both"/>
        <w:rPr>
          <w:rFonts w:ascii="Arial" w:hAnsi="Arial" w:cs="Arial"/>
          <w:bCs/>
          <w:sz w:val="20"/>
          <w:szCs w:val="20"/>
          <w:lang w:eastAsia="es-ES"/>
        </w:rPr>
      </w:pPr>
      <w:r>
        <w:rPr>
          <w:rFonts w:ascii="Arial" w:hAnsi="Arial" w:cs="Arial"/>
          <w:bCs/>
          <w:sz w:val="20"/>
          <w:szCs w:val="20"/>
          <w:lang w:eastAsia="es-ES"/>
        </w:rPr>
        <w:t>S</w:t>
      </w:r>
      <w:r w:rsidRPr="00F719E7">
        <w:rPr>
          <w:rFonts w:ascii="Arial" w:hAnsi="Arial" w:cs="Arial"/>
          <w:bCs/>
          <w:sz w:val="20"/>
          <w:szCs w:val="20"/>
          <w:lang w:eastAsia="es-ES"/>
        </w:rPr>
        <w:t>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 La demanda debe ser presentada dentro del término que establece el artículo 164 del CPACA, pues de lo contrario operará el fenómeno de la caducidad, por lo cual no sería posible realizar la liquidación del contrato por ningún medio. </w:t>
      </w:r>
    </w:p>
    <w:p w14:paraId="0C1FAFFF" w14:textId="77777777" w:rsidR="00F42DF3" w:rsidRPr="006D634C" w:rsidRDefault="00F42DF3" w:rsidP="00F42DF3">
      <w:pPr>
        <w:jc w:val="both"/>
        <w:rPr>
          <w:rFonts w:ascii="Arial" w:hAnsi="Arial" w:cs="Arial"/>
          <w:b/>
          <w:sz w:val="20"/>
          <w:szCs w:val="20"/>
          <w:lang w:val="es-ES_tradnl" w:eastAsia="es-ES"/>
        </w:rPr>
      </w:pPr>
    </w:p>
    <w:p w14:paraId="36AF7E63" w14:textId="77777777" w:rsidR="00F42DF3" w:rsidRPr="006D634C" w:rsidRDefault="00F42DF3" w:rsidP="00F42DF3">
      <w:pPr>
        <w:jc w:val="both"/>
        <w:rPr>
          <w:rFonts w:ascii="Arial" w:hAnsi="Arial" w:cs="Arial"/>
          <w:b/>
          <w:sz w:val="20"/>
          <w:szCs w:val="20"/>
          <w:lang w:val="es-ES_tradnl" w:eastAsia="es-ES"/>
        </w:rPr>
      </w:pPr>
      <w:r w:rsidRPr="006D634C">
        <w:rPr>
          <w:rFonts w:ascii="Arial" w:hAnsi="Arial" w:cs="Arial"/>
          <w:b/>
          <w:sz w:val="20"/>
          <w:szCs w:val="20"/>
          <w:lang w:val="es-ES_tradnl" w:eastAsia="es-ES"/>
        </w:rPr>
        <w:t xml:space="preserve">GARANTÍA DE CUMPLIMIENTO – Vigencia </w:t>
      </w:r>
    </w:p>
    <w:p w14:paraId="05907103" w14:textId="77777777" w:rsidR="00F42DF3" w:rsidRPr="006D634C" w:rsidRDefault="00F42DF3" w:rsidP="00F42DF3">
      <w:pPr>
        <w:jc w:val="both"/>
        <w:rPr>
          <w:rFonts w:ascii="Arial" w:hAnsi="Arial" w:cs="Arial"/>
          <w:sz w:val="20"/>
          <w:szCs w:val="20"/>
          <w:lang w:val="es-ES_tradnl" w:eastAsia="es-ES"/>
        </w:rPr>
      </w:pPr>
    </w:p>
    <w:p w14:paraId="43FD18E1" w14:textId="77777777" w:rsidR="00F719E7" w:rsidRPr="00F719E7" w:rsidRDefault="00F42DF3" w:rsidP="00F719E7">
      <w:pPr>
        <w:jc w:val="both"/>
        <w:rPr>
          <w:rFonts w:ascii="Arial" w:hAnsi="Arial" w:cs="Arial"/>
          <w:bCs/>
          <w:sz w:val="20"/>
          <w:szCs w:val="20"/>
          <w:lang w:eastAsia="es-ES"/>
        </w:rPr>
      </w:pPr>
      <w:r w:rsidRPr="006D634C">
        <w:rPr>
          <w:rFonts w:ascii="Arial" w:hAnsi="Arial" w:cs="Arial"/>
          <w:sz w:val="20"/>
          <w:szCs w:val="20"/>
          <w:lang w:val="es-ES_tradnl" w:eastAsia="es-ES"/>
        </w:rPr>
        <w:t xml:space="preserve">[…] </w:t>
      </w:r>
      <w:r w:rsidR="00F719E7" w:rsidRPr="00F719E7">
        <w:rPr>
          <w:rFonts w:ascii="Arial" w:hAnsi="Arial" w:cs="Arial"/>
          <w:bCs/>
          <w:sz w:val="20"/>
          <w:szCs w:val="20"/>
          <w:lang w:eastAsia="es-ES"/>
        </w:rPr>
        <w:t xml:space="preserve">de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w:t>
      </w:r>
      <w:r w:rsidR="00F719E7" w:rsidRPr="00F719E7">
        <w:rPr>
          <w:rFonts w:ascii="Arial" w:hAnsi="Arial" w:cs="Arial"/>
          <w:bCs/>
          <w:sz w:val="20"/>
          <w:szCs w:val="20"/>
          <w:lang w:eastAsia="es-ES"/>
        </w:rPr>
        <w:lastRenderedPageBreak/>
        <w:t xml:space="preserve">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w:t>
      </w:r>
      <w:r w:rsidR="00F719E7" w:rsidRPr="00F719E7">
        <w:rPr>
          <w:rFonts w:ascii="Arial" w:hAnsi="Arial" w:cs="Arial"/>
          <w:bCs/>
          <w:sz w:val="20"/>
          <w:szCs w:val="20"/>
          <w:lang w:val="es-ES_tradnl" w:eastAsia="es-ES"/>
        </w:rPr>
        <w:t>la liquidación de los contratos se hará de mutuo acuerdo dentro del término fijado en los pliegos de condiciones o sus equivalentes o dentro del que acuerden las partes para el efecto</w:t>
      </w:r>
      <w:r w:rsidR="00F719E7" w:rsidRPr="00F719E7">
        <w:rPr>
          <w:rFonts w:ascii="Arial" w:hAnsi="Arial" w:cs="Arial"/>
          <w:bCs/>
          <w:sz w:val="20"/>
          <w:szCs w:val="20"/>
          <w:lang w:eastAsia="es-ES"/>
        </w:rPr>
        <w:t xml:space="preserve">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w:t>
      </w:r>
    </w:p>
    <w:p w14:paraId="3451A89D" w14:textId="77777777" w:rsidR="00F42DF3" w:rsidRDefault="00F42DF3" w:rsidP="00F42DF3">
      <w:pPr>
        <w:tabs>
          <w:tab w:val="left" w:pos="426"/>
        </w:tabs>
        <w:spacing w:line="276" w:lineRule="auto"/>
        <w:jc w:val="both"/>
        <w:rPr>
          <w:rFonts w:ascii="Arial" w:hAnsi="Arial" w:cs="Arial"/>
          <w:bCs/>
          <w:color w:val="000000" w:themeColor="text1"/>
          <w:sz w:val="21"/>
          <w:szCs w:val="21"/>
          <w:lang w:val="es-ES_tradnl"/>
        </w:rPr>
      </w:pPr>
    </w:p>
    <w:p w14:paraId="4218263D" w14:textId="337FD00C" w:rsidR="009E2A2A" w:rsidRDefault="009E2A2A" w:rsidP="00C118DB">
      <w:pPr>
        <w:spacing w:line="276" w:lineRule="auto"/>
        <w:jc w:val="both"/>
        <w:rPr>
          <w:rFonts w:ascii="Arial" w:hAnsi="Arial" w:cs="Arial"/>
          <w:noProof/>
          <w:color w:val="000000" w:themeColor="text1"/>
          <w:sz w:val="20"/>
          <w:szCs w:val="20"/>
        </w:rPr>
      </w:pPr>
    </w:p>
    <w:p w14:paraId="495D26B0" w14:textId="15A20EF9" w:rsidR="009E2A2A" w:rsidRDefault="009E2A2A" w:rsidP="00C118DB">
      <w:pPr>
        <w:spacing w:line="276" w:lineRule="auto"/>
        <w:jc w:val="both"/>
        <w:rPr>
          <w:rFonts w:ascii="Arial" w:hAnsi="Arial" w:cs="Arial"/>
          <w:noProof/>
          <w:color w:val="000000" w:themeColor="text1"/>
          <w:sz w:val="20"/>
          <w:szCs w:val="20"/>
        </w:rPr>
      </w:pPr>
    </w:p>
    <w:p w14:paraId="0525228E" w14:textId="7CAB489F" w:rsidR="009E2A2A" w:rsidRDefault="009E2A2A" w:rsidP="00C118DB">
      <w:pPr>
        <w:spacing w:line="276" w:lineRule="auto"/>
        <w:jc w:val="both"/>
        <w:rPr>
          <w:rFonts w:ascii="Arial" w:hAnsi="Arial" w:cs="Arial"/>
          <w:noProof/>
          <w:color w:val="000000" w:themeColor="text1"/>
          <w:sz w:val="20"/>
          <w:szCs w:val="20"/>
        </w:rPr>
      </w:pPr>
    </w:p>
    <w:p w14:paraId="520DEDF4" w14:textId="7B6E7C95" w:rsidR="009E2A2A" w:rsidRDefault="009E2A2A" w:rsidP="00C118DB">
      <w:pPr>
        <w:spacing w:line="276" w:lineRule="auto"/>
        <w:jc w:val="both"/>
        <w:rPr>
          <w:rFonts w:ascii="Arial" w:hAnsi="Arial" w:cs="Arial"/>
          <w:noProof/>
          <w:color w:val="000000" w:themeColor="text1"/>
          <w:sz w:val="20"/>
          <w:szCs w:val="20"/>
        </w:rPr>
      </w:pPr>
    </w:p>
    <w:p w14:paraId="58AE6341" w14:textId="352289A8" w:rsidR="009E2A2A" w:rsidRDefault="009E2A2A" w:rsidP="00C118DB">
      <w:pPr>
        <w:spacing w:line="276" w:lineRule="auto"/>
        <w:jc w:val="both"/>
        <w:rPr>
          <w:rFonts w:ascii="Arial" w:hAnsi="Arial" w:cs="Arial"/>
          <w:noProof/>
          <w:color w:val="000000" w:themeColor="text1"/>
          <w:sz w:val="20"/>
          <w:szCs w:val="20"/>
        </w:rPr>
      </w:pPr>
    </w:p>
    <w:p w14:paraId="0907D218" w14:textId="0C1390F4" w:rsidR="009E2A2A" w:rsidRDefault="009E2A2A" w:rsidP="00C118DB">
      <w:pPr>
        <w:spacing w:line="276" w:lineRule="auto"/>
        <w:jc w:val="both"/>
        <w:rPr>
          <w:rFonts w:ascii="Arial" w:hAnsi="Arial" w:cs="Arial"/>
          <w:noProof/>
          <w:color w:val="000000" w:themeColor="text1"/>
          <w:sz w:val="20"/>
          <w:szCs w:val="20"/>
        </w:rPr>
      </w:pPr>
    </w:p>
    <w:p w14:paraId="65AC96E3" w14:textId="29256FC9" w:rsidR="009E2A2A" w:rsidRDefault="009E2A2A" w:rsidP="00C118DB">
      <w:pPr>
        <w:spacing w:line="276" w:lineRule="auto"/>
        <w:jc w:val="both"/>
        <w:rPr>
          <w:rFonts w:ascii="Arial" w:hAnsi="Arial" w:cs="Arial"/>
          <w:noProof/>
          <w:color w:val="000000" w:themeColor="text1"/>
          <w:sz w:val="20"/>
          <w:szCs w:val="20"/>
        </w:rPr>
      </w:pPr>
    </w:p>
    <w:p w14:paraId="1C3E4C63" w14:textId="1D0527B1" w:rsidR="009E2A2A" w:rsidRDefault="009E2A2A" w:rsidP="00C118DB">
      <w:pPr>
        <w:spacing w:line="276" w:lineRule="auto"/>
        <w:jc w:val="both"/>
        <w:rPr>
          <w:rFonts w:ascii="Arial" w:hAnsi="Arial" w:cs="Arial"/>
          <w:noProof/>
          <w:color w:val="000000" w:themeColor="text1"/>
          <w:sz w:val="20"/>
          <w:szCs w:val="20"/>
        </w:rPr>
      </w:pPr>
    </w:p>
    <w:p w14:paraId="69D06DD7" w14:textId="7C12C850" w:rsidR="009E2A2A" w:rsidRDefault="009E2A2A" w:rsidP="00C118DB">
      <w:pPr>
        <w:spacing w:line="276" w:lineRule="auto"/>
        <w:jc w:val="both"/>
        <w:rPr>
          <w:rFonts w:ascii="Arial" w:hAnsi="Arial" w:cs="Arial"/>
          <w:noProof/>
          <w:color w:val="000000" w:themeColor="text1"/>
          <w:sz w:val="20"/>
          <w:szCs w:val="20"/>
        </w:rPr>
      </w:pPr>
    </w:p>
    <w:p w14:paraId="779BA4E3" w14:textId="2911942C" w:rsidR="009E2A2A" w:rsidRDefault="009E2A2A" w:rsidP="00C118DB">
      <w:pPr>
        <w:spacing w:line="276" w:lineRule="auto"/>
        <w:jc w:val="both"/>
        <w:rPr>
          <w:rFonts w:ascii="Arial" w:hAnsi="Arial" w:cs="Arial"/>
          <w:noProof/>
          <w:color w:val="000000" w:themeColor="text1"/>
          <w:sz w:val="20"/>
          <w:szCs w:val="20"/>
        </w:rPr>
      </w:pPr>
    </w:p>
    <w:p w14:paraId="226E31A1" w14:textId="01DCC51A" w:rsidR="009E2A2A" w:rsidRDefault="009E2A2A" w:rsidP="00C118DB">
      <w:pPr>
        <w:spacing w:line="276" w:lineRule="auto"/>
        <w:jc w:val="both"/>
        <w:rPr>
          <w:rFonts w:ascii="Arial" w:hAnsi="Arial" w:cs="Arial"/>
          <w:noProof/>
          <w:color w:val="000000" w:themeColor="text1"/>
          <w:sz w:val="20"/>
          <w:szCs w:val="20"/>
        </w:rPr>
      </w:pPr>
    </w:p>
    <w:p w14:paraId="0D8233BD" w14:textId="5707A377" w:rsidR="00F42DF3" w:rsidRDefault="00F42DF3" w:rsidP="00C118DB">
      <w:pPr>
        <w:spacing w:line="276" w:lineRule="auto"/>
        <w:jc w:val="both"/>
        <w:rPr>
          <w:rFonts w:ascii="Arial" w:hAnsi="Arial" w:cs="Arial"/>
          <w:noProof/>
          <w:color w:val="000000" w:themeColor="text1"/>
          <w:sz w:val="20"/>
          <w:szCs w:val="20"/>
        </w:rPr>
      </w:pPr>
    </w:p>
    <w:p w14:paraId="5B16F9D9" w14:textId="1B7BF012" w:rsidR="00F42DF3" w:rsidRDefault="00F42DF3" w:rsidP="00C118DB">
      <w:pPr>
        <w:spacing w:line="276" w:lineRule="auto"/>
        <w:jc w:val="both"/>
        <w:rPr>
          <w:rFonts w:ascii="Arial" w:hAnsi="Arial" w:cs="Arial"/>
          <w:noProof/>
          <w:color w:val="000000" w:themeColor="text1"/>
          <w:sz w:val="20"/>
          <w:szCs w:val="20"/>
        </w:rPr>
      </w:pPr>
    </w:p>
    <w:p w14:paraId="7CB5AE23" w14:textId="60E67F7B" w:rsidR="00F42DF3" w:rsidRDefault="00F42DF3" w:rsidP="00C118DB">
      <w:pPr>
        <w:spacing w:line="276" w:lineRule="auto"/>
        <w:jc w:val="both"/>
        <w:rPr>
          <w:rFonts w:ascii="Arial" w:hAnsi="Arial" w:cs="Arial"/>
          <w:noProof/>
          <w:color w:val="000000" w:themeColor="text1"/>
          <w:sz w:val="20"/>
          <w:szCs w:val="20"/>
        </w:rPr>
      </w:pPr>
    </w:p>
    <w:p w14:paraId="05B57AD0" w14:textId="1E352AF9" w:rsidR="00F42DF3" w:rsidRDefault="00F42DF3" w:rsidP="00C118DB">
      <w:pPr>
        <w:spacing w:line="276" w:lineRule="auto"/>
        <w:jc w:val="both"/>
        <w:rPr>
          <w:rFonts w:ascii="Arial" w:hAnsi="Arial" w:cs="Arial"/>
          <w:noProof/>
          <w:color w:val="000000" w:themeColor="text1"/>
          <w:sz w:val="20"/>
          <w:szCs w:val="20"/>
        </w:rPr>
      </w:pPr>
    </w:p>
    <w:p w14:paraId="78BE48C7" w14:textId="36FAEE95" w:rsidR="00F42DF3" w:rsidRDefault="00F42DF3" w:rsidP="00C118DB">
      <w:pPr>
        <w:spacing w:line="276" w:lineRule="auto"/>
        <w:jc w:val="both"/>
        <w:rPr>
          <w:rFonts w:ascii="Arial" w:hAnsi="Arial" w:cs="Arial"/>
          <w:noProof/>
          <w:color w:val="000000" w:themeColor="text1"/>
          <w:sz w:val="20"/>
          <w:szCs w:val="20"/>
        </w:rPr>
      </w:pPr>
    </w:p>
    <w:p w14:paraId="539FA05F" w14:textId="2DD838FA" w:rsidR="00F42DF3" w:rsidRDefault="00F42DF3" w:rsidP="00C118DB">
      <w:pPr>
        <w:spacing w:line="276" w:lineRule="auto"/>
        <w:jc w:val="both"/>
        <w:rPr>
          <w:rFonts w:ascii="Arial" w:hAnsi="Arial" w:cs="Arial"/>
          <w:noProof/>
          <w:color w:val="000000" w:themeColor="text1"/>
          <w:sz w:val="20"/>
          <w:szCs w:val="20"/>
        </w:rPr>
      </w:pPr>
    </w:p>
    <w:p w14:paraId="5B0E87D7" w14:textId="577E25B6" w:rsidR="00F42DF3" w:rsidRDefault="00F42DF3" w:rsidP="00C118DB">
      <w:pPr>
        <w:spacing w:line="276" w:lineRule="auto"/>
        <w:jc w:val="both"/>
        <w:rPr>
          <w:rFonts w:ascii="Arial" w:hAnsi="Arial" w:cs="Arial"/>
          <w:noProof/>
          <w:color w:val="000000" w:themeColor="text1"/>
          <w:sz w:val="20"/>
          <w:szCs w:val="20"/>
        </w:rPr>
      </w:pPr>
    </w:p>
    <w:p w14:paraId="1D799275" w14:textId="0508C4E2" w:rsidR="00F42DF3" w:rsidRDefault="00F42DF3" w:rsidP="00C118DB">
      <w:pPr>
        <w:spacing w:line="276" w:lineRule="auto"/>
        <w:jc w:val="both"/>
        <w:rPr>
          <w:rFonts w:ascii="Arial" w:hAnsi="Arial" w:cs="Arial"/>
          <w:noProof/>
          <w:color w:val="000000" w:themeColor="text1"/>
          <w:sz w:val="20"/>
          <w:szCs w:val="20"/>
        </w:rPr>
      </w:pPr>
    </w:p>
    <w:p w14:paraId="3C75D649" w14:textId="0FAA939A" w:rsidR="006D634C" w:rsidRDefault="006D634C" w:rsidP="00C118DB">
      <w:pPr>
        <w:spacing w:line="276" w:lineRule="auto"/>
        <w:jc w:val="both"/>
        <w:rPr>
          <w:rFonts w:ascii="Arial" w:hAnsi="Arial" w:cs="Arial"/>
          <w:noProof/>
          <w:color w:val="000000" w:themeColor="text1"/>
          <w:sz w:val="20"/>
          <w:szCs w:val="20"/>
        </w:rPr>
      </w:pPr>
    </w:p>
    <w:p w14:paraId="1DED2FB2" w14:textId="2F4B94B6" w:rsidR="006D634C" w:rsidRDefault="006D634C" w:rsidP="00C118DB">
      <w:pPr>
        <w:spacing w:line="276" w:lineRule="auto"/>
        <w:jc w:val="both"/>
        <w:rPr>
          <w:rFonts w:ascii="Arial" w:hAnsi="Arial" w:cs="Arial"/>
          <w:noProof/>
          <w:color w:val="000000" w:themeColor="text1"/>
          <w:sz w:val="20"/>
          <w:szCs w:val="20"/>
        </w:rPr>
      </w:pPr>
    </w:p>
    <w:p w14:paraId="0194C3D1" w14:textId="4328D728" w:rsidR="006D634C" w:rsidRDefault="006D634C" w:rsidP="00C118DB">
      <w:pPr>
        <w:spacing w:line="276" w:lineRule="auto"/>
        <w:jc w:val="both"/>
        <w:rPr>
          <w:rFonts w:ascii="Arial" w:hAnsi="Arial" w:cs="Arial"/>
          <w:noProof/>
          <w:color w:val="000000" w:themeColor="text1"/>
          <w:sz w:val="20"/>
          <w:szCs w:val="20"/>
        </w:rPr>
      </w:pPr>
    </w:p>
    <w:p w14:paraId="10D2F626" w14:textId="0839BBDE" w:rsidR="006D634C" w:rsidRDefault="006D634C" w:rsidP="00C118DB">
      <w:pPr>
        <w:spacing w:line="276" w:lineRule="auto"/>
        <w:jc w:val="both"/>
        <w:rPr>
          <w:rFonts w:ascii="Arial" w:hAnsi="Arial" w:cs="Arial"/>
          <w:noProof/>
          <w:color w:val="000000" w:themeColor="text1"/>
          <w:sz w:val="20"/>
          <w:szCs w:val="20"/>
        </w:rPr>
      </w:pPr>
    </w:p>
    <w:p w14:paraId="29E8DFA2" w14:textId="65D8153A" w:rsidR="006D634C" w:rsidRDefault="006D634C" w:rsidP="00C118DB">
      <w:pPr>
        <w:spacing w:line="276" w:lineRule="auto"/>
        <w:jc w:val="both"/>
        <w:rPr>
          <w:rFonts w:ascii="Arial" w:hAnsi="Arial" w:cs="Arial"/>
          <w:noProof/>
          <w:color w:val="000000" w:themeColor="text1"/>
          <w:sz w:val="20"/>
          <w:szCs w:val="20"/>
        </w:rPr>
      </w:pPr>
    </w:p>
    <w:p w14:paraId="2DB347EF" w14:textId="51DB6AF3" w:rsidR="006D634C" w:rsidRDefault="006D634C" w:rsidP="00C118DB">
      <w:pPr>
        <w:spacing w:line="276" w:lineRule="auto"/>
        <w:jc w:val="both"/>
        <w:rPr>
          <w:rFonts w:ascii="Arial" w:hAnsi="Arial" w:cs="Arial"/>
          <w:noProof/>
          <w:color w:val="000000" w:themeColor="text1"/>
          <w:sz w:val="20"/>
          <w:szCs w:val="20"/>
        </w:rPr>
      </w:pPr>
    </w:p>
    <w:p w14:paraId="69A2BEEC" w14:textId="23834AFD" w:rsidR="006D634C" w:rsidRDefault="006D634C" w:rsidP="00C118DB">
      <w:pPr>
        <w:spacing w:line="276" w:lineRule="auto"/>
        <w:jc w:val="both"/>
        <w:rPr>
          <w:rFonts w:ascii="Arial" w:hAnsi="Arial" w:cs="Arial"/>
          <w:noProof/>
          <w:color w:val="000000" w:themeColor="text1"/>
          <w:sz w:val="20"/>
          <w:szCs w:val="20"/>
        </w:rPr>
      </w:pPr>
    </w:p>
    <w:p w14:paraId="7EE08AEC" w14:textId="073E76B9" w:rsidR="006D634C" w:rsidRDefault="006D634C" w:rsidP="00C118DB">
      <w:pPr>
        <w:spacing w:line="276" w:lineRule="auto"/>
        <w:jc w:val="both"/>
        <w:rPr>
          <w:rFonts w:ascii="Arial" w:hAnsi="Arial" w:cs="Arial"/>
          <w:noProof/>
          <w:color w:val="000000" w:themeColor="text1"/>
          <w:sz w:val="20"/>
          <w:szCs w:val="20"/>
        </w:rPr>
      </w:pPr>
    </w:p>
    <w:p w14:paraId="025D5BC5" w14:textId="52964FC2" w:rsidR="006D634C" w:rsidRDefault="006D634C" w:rsidP="00C118DB">
      <w:pPr>
        <w:spacing w:line="276" w:lineRule="auto"/>
        <w:jc w:val="both"/>
        <w:rPr>
          <w:rFonts w:ascii="Arial" w:hAnsi="Arial" w:cs="Arial"/>
          <w:noProof/>
          <w:color w:val="000000" w:themeColor="text1"/>
          <w:sz w:val="20"/>
          <w:szCs w:val="20"/>
        </w:rPr>
      </w:pPr>
    </w:p>
    <w:p w14:paraId="6B7EB259" w14:textId="768CEE40" w:rsidR="006D634C" w:rsidRDefault="006D634C" w:rsidP="00C118DB">
      <w:pPr>
        <w:spacing w:line="276" w:lineRule="auto"/>
        <w:jc w:val="both"/>
        <w:rPr>
          <w:rFonts w:ascii="Arial" w:hAnsi="Arial" w:cs="Arial"/>
          <w:noProof/>
          <w:color w:val="000000" w:themeColor="text1"/>
          <w:sz w:val="20"/>
          <w:szCs w:val="20"/>
        </w:rPr>
      </w:pPr>
    </w:p>
    <w:p w14:paraId="179CF913" w14:textId="7C0C1010" w:rsidR="006D634C" w:rsidRDefault="006D634C" w:rsidP="00C118DB">
      <w:pPr>
        <w:spacing w:line="276" w:lineRule="auto"/>
        <w:jc w:val="both"/>
        <w:rPr>
          <w:rFonts w:ascii="Arial" w:hAnsi="Arial" w:cs="Arial"/>
          <w:noProof/>
          <w:color w:val="000000" w:themeColor="text1"/>
          <w:sz w:val="20"/>
          <w:szCs w:val="20"/>
        </w:rPr>
      </w:pPr>
    </w:p>
    <w:p w14:paraId="75D11E8F" w14:textId="728E51C0" w:rsidR="006D634C" w:rsidRDefault="006D634C" w:rsidP="00C118DB">
      <w:pPr>
        <w:spacing w:line="276" w:lineRule="auto"/>
        <w:jc w:val="both"/>
        <w:rPr>
          <w:rFonts w:ascii="Arial" w:hAnsi="Arial" w:cs="Arial"/>
          <w:noProof/>
          <w:color w:val="000000" w:themeColor="text1"/>
          <w:sz w:val="20"/>
          <w:szCs w:val="20"/>
        </w:rPr>
      </w:pPr>
    </w:p>
    <w:p w14:paraId="0CA9E82B" w14:textId="6D3C8479" w:rsidR="009E2A2A" w:rsidRDefault="009E2A2A" w:rsidP="00C118DB">
      <w:pPr>
        <w:spacing w:line="276" w:lineRule="auto"/>
        <w:jc w:val="both"/>
        <w:rPr>
          <w:rFonts w:ascii="Arial" w:hAnsi="Arial" w:cs="Arial"/>
          <w:noProof/>
          <w:color w:val="000000" w:themeColor="text1"/>
          <w:sz w:val="20"/>
          <w:szCs w:val="20"/>
        </w:rPr>
      </w:pPr>
    </w:p>
    <w:p w14:paraId="41EB07FF" w14:textId="77777777" w:rsidR="008C078D" w:rsidRDefault="008C078D" w:rsidP="00C118DB">
      <w:pPr>
        <w:spacing w:line="276" w:lineRule="auto"/>
        <w:jc w:val="both"/>
        <w:rPr>
          <w:rFonts w:ascii="Arial" w:hAnsi="Arial" w:cs="Arial"/>
          <w:noProof/>
          <w:color w:val="000000" w:themeColor="text1"/>
          <w:sz w:val="20"/>
          <w:szCs w:val="20"/>
        </w:rPr>
      </w:pPr>
    </w:p>
    <w:p w14:paraId="6BF0FFD0" w14:textId="426A3F00" w:rsidR="00EA0825" w:rsidRDefault="00EA0825" w:rsidP="00EA0825">
      <w:pPr>
        <w:spacing w:line="276" w:lineRule="auto"/>
        <w:jc w:val="right"/>
        <w:rPr>
          <w:rFonts w:ascii="Arial" w:hAnsi="Arial" w:cs="Arial"/>
          <w:noProof/>
          <w:color w:val="000000" w:themeColor="text1"/>
          <w:sz w:val="22"/>
        </w:rPr>
      </w:pPr>
      <w:r w:rsidRPr="00EA0825">
        <w:rPr>
          <w:rFonts w:ascii="Arial" w:hAnsi="Arial" w:cs="Arial"/>
          <w:noProof/>
          <w:color w:val="000000" w:themeColor="text1"/>
          <w:sz w:val="22"/>
        </w:rPr>
        <w:lastRenderedPageBreak/>
        <w:drawing>
          <wp:inline distT="0" distB="0" distL="0" distR="0" wp14:anchorId="092D8E67" wp14:editId="43574EA0">
            <wp:extent cx="227647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685800"/>
                    </a:xfrm>
                    <a:prstGeom prst="rect">
                      <a:avLst/>
                    </a:prstGeom>
                    <a:noFill/>
                    <a:ln>
                      <a:noFill/>
                    </a:ln>
                  </pic:spPr>
                </pic:pic>
              </a:graphicData>
            </a:graphic>
          </wp:inline>
        </w:drawing>
      </w:r>
    </w:p>
    <w:p w14:paraId="0B7E9019" w14:textId="77777777" w:rsidR="00EA0825" w:rsidRDefault="00EA0825" w:rsidP="00C118DB">
      <w:pPr>
        <w:spacing w:line="276" w:lineRule="auto"/>
        <w:jc w:val="both"/>
        <w:rPr>
          <w:rFonts w:ascii="Arial" w:hAnsi="Arial" w:cs="Arial"/>
          <w:noProof/>
          <w:color w:val="000000" w:themeColor="text1"/>
          <w:sz w:val="22"/>
        </w:rPr>
      </w:pPr>
    </w:p>
    <w:p w14:paraId="7DD48F49" w14:textId="7CA2C578" w:rsidR="00B95C30" w:rsidRPr="00A51520" w:rsidRDefault="00B95C30" w:rsidP="00C118D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EA0825">
        <w:rPr>
          <w:rFonts w:ascii="Arial" w:hAnsi="Arial" w:cs="Arial"/>
          <w:b/>
          <w:color w:val="000000" w:themeColor="text1"/>
          <w:sz w:val="22"/>
        </w:rPr>
        <w:t>16 de noviembre de 2022</w:t>
      </w:r>
    </w:p>
    <w:p w14:paraId="5FDF9495" w14:textId="504EB174" w:rsidR="00631A31" w:rsidRDefault="00631A31" w:rsidP="00B95C30">
      <w:pPr>
        <w:jc w:val="both"/>
        <w:rPr>
          <w:rFonts w:ascii="Arial" w:hAnsi="Arial" w:cs="Arial"/>
          <w:b/>
          <w:color w:val="000000" w:themeColor="text1"/>
          <w:sz w:val="22"/>
          <w:lang w:val="pt-BR"/>
        </w:rPr>
      </w:pPr>
    </w:p>
    <w:p w14:paraId="75FA9737" w14:textId="77777777" w:rsidR="00A5491E" w:rsidRPr="00A51520" w:rsidRDefault="00A5491E" w:rsidP="00B95C30">
      <w:pPr>
        <w:jc w:val="both"/>
        <w:rPr>
          <w:rFonts w:ascii="Arial" w:hAnsi="Arial" w:cs="Arial"/>
          <w:b/>
          <w:color w:val="000000" w:themeColor="text1"/>
          <w:sz w:val="22"/>
          <w:lang w:val="pt-BR"/>
        </w:rPr>
      </w:pPr>
    </w:p>
    <w:p w14:paraId="5F5AE9EF" w14:textId="788BCA4E" w:rsidR="00B95C30" w:rsidRPr="00A51520" w:rsidRDefault="00B95C30" w:rsidP="00B95C30">
      <w:pPr>
        <w:jc w:val="both"/>
        <w:rPr>
          <w:rFonts w:ascii="Arial" w:eastAsia="Calibri" w:hAnsi="Arial" w:cs="Arial"/>
          <w:color w:val="000000" w:themeColor="text1"/>
          <w:sz w:val="22"/>
        </w:rPr>
      </w:pPr>
      <w:bookmarkStart w:id="1" w:name="_Hlk100051121"/>
      <w:r w:rsidRPr="00A51520">
        <w:rPr>
          <w:rFonts w:ascii="Arial" w:eastAsia="Calibri" w:hAnsi="Arial" w:cs="Arial"/>
          <w:color w:val="000000" w:themeColor="text1"/>
          <w:sz w:val="22"/>
        </w:rPr>
        <w:t>Señor</w:t>
      </w:r>
      <w:r w:rsidR="001F5CC2">
        <w:rPr>
          <w:rFonts w:ascii="Arial" w:eastAsia="Calibri" w:hAnsi="Arial" w:cs="Arial"/>
          <w:color w:val="000000" w:themeColor="text1"/>
          <w:sz w:val="22"/>
        </w:rPr>
        <w:t>a</w:t>
      </w:r>
    </w:p>
    <w:p w14:paraId="244D4A2C" w14:textId="157CAF11" w:rsidR="00D823EA" w:rsidRDefault="00D823EA" w:rsidP="00D823EA">
      <w:pPr>
        <w:tabs>
          <w:tab w:val="center" w:pos="4394"/>
        </w:tabs>
        <w:jc w:val="both"/>
        <w:rPr>
          <w:rFonts w:ascii="Arial" w:eastAsia="Calibri" w:hAnsi="Arial" w:cs="Arial"/>
          <w:b/>
          <w:color w:val="000000" w:themeColor="text1"/>
          <w:sz w:val="22"/>
        </w:rPr>
      </w:pPr>
      <w:r>
        <w:rPr>
          <w:rFonts w:ascii="Arial" w:eastAsia="Calibri" w:hAnsi="Arial" w:cs="Arial"/>
          <w:b/>
          <w:color w:val="000000" w:themeColor="text1"/>
          <w:sz w:val="22"/>
        </w:rPr>
        <w:t>Martha Elena Cadena Durán</w:t>
      </w:r>
    </w:p>
    <w:p w14:paraId="6B54DDAA" w14:textId="7509FFE8" w:rsidR="00D823EA" w:rsidRPr="00D823EA" w:rsidRDefault="00D823EA" w:rsidP="00D823EA">
      <w:pPr>
        <w:tabs>
          <w:tab w:val="center" w:pos="4394"/>
        </w:tabs>
        <w:jc w:val="both"/>
        <w:rPr>
          <w:rFonts w:ascii="Arial" w:eastAsia="Calibri" w:hAnsi="Arial" w:cs="Arial"/>
          <w:bCs/>
          <w:color w:val="000000" w:themeColor="text1"/>
          <w:sz w:val="22"/>
        </w:rPr>
      </w:pPr>
      <w:r w:rsidRPr="00D823EA">
        <w:rPr>
          <w:rFonts w:ascii="Arial" w:eastAsia="Calibri" w:hAnsi="Arial" w:cs="Arial"/>
          <w:bCs/>
          <w:color w:val="000000" w:themeColor="text1"/>
          <w:sz w:val="22"/>
        </w:rPr>
        <w:t>Secretaria de Infraestructura</w:t>
      </w:r>
    </w:p>
    <w:p w14:paraId="427FFFB9" w14:textId="03D3A636" w:rsidR="00D823EA" w:rsidRDefault="00D823EA" w:rsidP="00D823EA">
      <w:pPr>
        <w:tabs>
          <w:tab w:val="center" w:pos="4394"/>
        </w:tabs>
        <w:jc w:val="both"/>
        <w:rPr>
          <w:rFonts w:ascii="Arial" w:eastAsia="Calibri" w:hAnsi="Arial" w:cs="Arial"/>
          <w:bCs/>
          <w:color w:val="000000" w:themeColor="text1"/>
          <w:sz w:val="22"/>
        </w:rPr>
      </w:pPr>
      <w:r w:rsidRPr="00D823EA">
        <w:rPr>
          <w:rFonts w:ascii="Arial" w:eastAsia="Calibri" w:hAnsi="Arial" w:cs="Arial"/>
          <w:bCs/>
          <w:color w:val="000000" w:themeColor="text1"/>
          <w:sz w:val="22"/>
        </w:rPr>
        <w:t xml:space="preserve">Alcaldía de Cúcuta </w:t>
      </w:r>
    </w:p>
    <w:p w14:paraId="699C0AC8" w14:textId="632327A9" w:rsidR="00D823EA" w:rsidRPr="00D823EA" w:rsidRDefault="00D823EA" w:rsidP="00D823EA">
      <w:pPr>
        <w:tabs>
          <w:tab w:val="center" w:pos="4394"/>
        </w:tabs>
        <w:jc w:val="both"/>
        <w:rPr>
          <w:rFonts w:ascii="Arial" w:eastAsia="Calibri" w:hAnsi="Arial" w:cs="Arial"/>
          <w:bCs/>
          <w:color w:val="000000" w:themeColor="text1"/>
          <w:sz w:val="22"/>
        </w:rPr>
      </w:pPr>
      <w:r>
        <w:rPr>
          <w:rFonts w:ascii="Arial" w:eastAsia="Calibri" w:hAnsi="Arial" w:cs="Arial"/>
          <w:bCs/>
          <w:color w:val="000000" w:themeColor="text1"/>
          <w:sz w:val="22"/>
        </w:rPr>
        <w:t>Cúcuta, Norte de Santander</w:t>
      </w:r>
    </w:p>
    <w:p w14:paraId="122205C3" w14:textId="56B5778D" w:rsidR="000277A2" w:rsidRDefault="000277A2" w:rsidP="003C0791">
      <w:pPr>
        <w:rPr>
          <w:rFonts w:ascii="Arial" w:eastAsia="Calibri" w:hAnsi="Arial" w:cs="Arial"/>
          <w:b/>
          <w:bCs/>
          <w:color w:val="000000" w:themeColor="text1"/>
          <w:sz w:val="22"/>
        </w:rPr>
      </w:pPr>
    </w:p>
    <w:p w14:paraId="0AB8516A" w14:textId="77777777" w:rsidR="00D823EA" w:rsidRPr="00A51520" w:rsidRDefault="00D823EA" w:rsidP="003C0791">
      <w:pPr>
        <w:rPr>
          <w:rFonts w:ascii="Arial" w:eastAsia="Calibri" w:hAnsi="Arial" w:cs="Arial"/>
          <w:b/>
          <w:bCs/>
          <w:color w:val="000000" w:themeColor="text1"/>
          <w:sz w:val="22"/>
        </w:rPr>
      </w:pPr>
    </w:p>
    <w:p w14:paraId="1BD594F9" w14:textId="4D0E87FB"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0C6D52">
        <w:rPr>
          <w:rFonts w:ascii="Arial" w:eastAsia="Calibri" w:hAnsi="Arial" w:cs="Arial"/>
          <w:b/>
          <w:bCs/>
          <w:color w:val="000000" w:themeColor="text1"/>
          <w:sz w:val="22"/>
          <w:lang w:val="pt-BR"/>
        </w:rPr>
        <w:t>7</w:t>
      </w:r>
      <w:r w:rsidR="00D823EA">
        <w:rPr>
          <w:rFonts w:ascii="Arial" w:eastAsia="Calibri" w:hAnsi="Arial" w:cs="Arial"/>
          <w:b/>
          <w:bCs/>
          <w:color w:val="000000" w:themeColor="text1"/>
          <w:sz w:val="22"/>
          <w:lang w:val="pt-BR"/>
        </w:rPr>
        <w:t>69</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C06955">
        <w:trPr>
          <w:trHeight w:val="884"/>
        </w:trPr>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38CDE542" w:rsidR="00A71E4C" w:rsidRPr="002B16B7" w:rsidRDefault="00D27DE5" w:rsidP="002B16B7">
            <w:pPr>
              <w:jc w:val="both"/>
              <w:rPr>
                <w:rFonts w:ascii="Arial" w:eastAsia="Calibri" w:hAnsi="Arial" w:cs="Arial"/>
                <w:bCs/>
                <w:sz w:val="22"/>
                <w:lang w:val="es-ES_tradnl"/>
              </w:rPr>
            </w:pPr>
            <w:r w:rsidRPr="00D27DE5">
              <w:rPr>
                <w:rFonts w:ascii="Arial" w:eastAsia="Calibri" w:hAnsi="Arial" w:cs="Arial"/>
                <w:bCs/>
                <w:sz w:val="22"/>
                <w:lang w:val="es-ES_tradnl"/>
              </w:rPr>
              <w:t xml:space="preserve">LIQUIDACIÓN DEL CONTRATO – Definición – Objetivo / LIQUIDACIÓN DEL CONTRATO – Normativa / LIQUIDACIÓN DEL CONTRATO – Oportunidad / LIQUIDACIÓN DEL CONTRATO – Pérdida de competencia / GARANTÍA DE CUMPLIMIENTO – Vigencia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3104AFBA"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385701">
              <w:rPr>
                <w:rFonts w:ascii="Arial" w:eastAsia="Calibri" w:hAnsi="Arial" w:cs="Arial"/>
                <w:color w:val="000000" w:themeColor="text1"/>
                <w:sz w:val="22"/>
                <w:lang w:val="es-ES_tradnl"/>
              </w:rPr>
              <w:t>s</w:t>
            </w:r>
            <w:r w:rsidR="000D0CC7" w:rsidRPr="000D0CC7">
              <w:rPr>
                <w:rFonts w:ascii="Arial" w:eastAsia="Calibri" w:hAnsi="Arial" w:cs="Arial"/>
                <w:color w:val="000000" w:themeColor="text1"/>
                <w:sz w:val="22"/>
                <w:lang w:val="es-ES_tradnl"/>
              </w:rPr>
              <w:t xml:space="preserve"> </w:t>
            </w:r>
            <w:r w:rsidR="009616CF" w:rsidRPr="009616CF">
              <w:rPr>
                <w:rFonts w:ascii="Arial" w:eastAsia="Calibri" w:hAnsi="Arial" w:cs="Arial"/>
                <w:color w:val="000000" w:themeColor="text1"/>
                <w:sz w:val="22"/>
              </w:rPr>
              <w:t xml:space="preserve">P20220930009869 </w:t>
            </w:r>
            <w:r w:rsidR="00D823EA" w:rsidRPr="009616CF">
              <w:rPr>
                <w:rFonts w:ascii="Arial" w:eastAsia="Calibri" w:hAnsi="Arial" w:cs="Arial"/>
                <w:color w:val="000000" w:themeColor="text1"/>
                <w:sz w:val="22"/>
                <w:lang w:val="es-ES_tradnl"/>
              </w:rPr>
              <w:t xml:space="preserve">y </w:t>
            </w:r>
            <w:r w:rsidR="009616CF" w:rsidRPr="009616CF">
              <w:rPr>
                <w:rFonts w:ascii="Arial" w:eastAsia="Calibri" w:hAnsi="Arial" w:cs="Arial"/>
                <w:color w:val="000000" w:themeColor="text1"/>
                <w:sz w:val="22"/>
              </w:rPr>
              <w:t>P20220930009873</w:t>
            </w:r>
            <w:r w:rsidR="009616CF">
              <w:rPr>
                <w:rFonts w:ascii="Arial" w:eastAsia="Calibri" w:hAnsi="Arial" w:cs="Arial"/>
                <w:b/>
                <w:bCs/>
                <w:color w:val="000000" w:themeColor="text1"/>
                <w:sz w:val="22"/>
              </w:rPr>
              <w:t xml:space="preserve"> </w:t>
            </w:r>
            <w:r w:rsidR="00385701">
              <w:rPr>
                <w:rFonts w:ascii="Arial" w:eastAsia="Calibri" w:hAnsi="Arial" w:cs="Arial"/>
                <w:color w:val="000000" w:themeColor="text1"/>
                <w:sz w:val="22"/>
                <w:lang w:val="es-ES_tradnl"/>
              </w:rPr>
              <w:t>–</w:t>
            </w:r>
            <w:r w:rsidR="00D823EA">
              <w:rPr>
                <w:rFonts w:ascii="Arial" w:eastAsia="Calibri" w:hAnsi="Arial" w:cs="Arial"/>
                <w:color w:val="000000" w:themeColor="text1"/>
                <w:sz w:val="22"/>
                <w:lang w:val="es-ES_tradnl"/>
              </w:rPr>
              <w:t xml:space="preserve"> Acumuladas</w:t>
            </w:r>
            <w:r w:rsidR="00385701">
              <w:rPr>
                <w:rFonts w:ascii="Arial" w:eastAsia="Calibri" w:hAnsi="Arial" w:cs="Arial"/>
                <w:color w:val="000000" w:themeColor="text1"/>
                <w:sz w:val="22"/>
                <w:lang w:val="es-ES_tradnl"/>
              </w:rPr>
              <w:t xml:space="preserve"> -</w:t>
            </w:r>
            <w:r w:rsidR="004313B4">
              <w:rPr>
                <w:rFonts w:ascii="Arial" w:eastAsia="Calibri" w:hAnsi="Arial" w:cs="Arial"/>
                <w:color w:val="000000" w:themeColor="text1"/>
                <w:sz w:val="22"/>
                <w:lang w:val="es-ES_tradnl"/>
              </w:rPr>
              <w:t>.</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39DD8F6A"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1F5CC2">
        <w:rPr>
          <w:rFonts w:ascii="Arial" w:eastAsia="Calibri" w:hAnsi="Arial" w:cs="Arial"/>
          <w:color w:val="000000" w:themeColor="text1"/>
          <w:sz w:val="22"/>
          <w:lang w:val="es-ES_tradnl"/>
        </w:rPr>
        <w:t>a</w:t>
      </w:r>
      <w:r w:rsidRPr="00A51520">
        <w:rPr>
          <w:rFonts w:ascii="Arial" w:eastAsia="Calibri" w:hAnsi="Arial" w:cs="Arial"/>
          <w:color w:val="000000" w:themeColor="text1"/>
          <w:sz w:val="22"/>
          <w:lang w:val="es-ES_tradnl"/>
        </w:rPr>
        <w:t xml:space="preserve"> señor</w:t>
      </w:r>
      <w:r w:rsidR="001F5CC2">
        <w:rPr>
          <w:rFonts w:ascii="Arial" w:eastAsia="Calibri" w:hAnsi="Arial" w:cs="Arial"/>
          <w:color w:val="000000" w:themeColor="text1"/>
          <w:sz w:val="22"/>
          <w:lang w:val="es-ES_tradnl"/>
        </w:rPr>
        <w:t>a</w:t>
      </w:r>
      <w:r w:rsidR="000D0CC7">
        <w:rPr>
          <w:rFonts w:ascii="Arial" w:eastAsia="Calibri" w:hAnsi="Arial" w:cs="Arial"/>
          <w:color w:val="000000" w:themeColor="text1"/>
          <w:sz w:val="22"/>
          <w:lang w:val="es-ES_tradnl"/>
        </w:rPr>
        <w:t xml:space="preserve"> </w:t>
      </w:r>
      <w:r w:rsidR="00D823EA">
        <w:rPr>
          <w:rFonts w:ascii="Arial" w:eastAsia="Calibri" w:hAnsi="Arial" w:cs="Arial"/>
          <w:color w:val="000000" w:themeColor="text1"/>
          <w:sz w:val="22"/>
          <w:lang w:val="es-ES_tradnl"/>
        </w:rPr>
        <w:t>Cadena</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0B388EA5"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F14618">
        <w:rPr>
          <w:rFonts w:ascii="Arial" w:eastAsia="Calibri" w:hAnsi="Arial" w:cs="Arial"/>
          <w:color w:val="000000" w:themeColor="text1"/>
          <w:sz w:val="22"/>
          <w:lang w:val="es-ES_tradnl"/>
        </w:rPr>
        <w:t>su</w:t>
      </w:r>
      <w:r w:rsidR="003902B1">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consulta</w:t>
      </w:r>
      <w:r w:rsidR="00150A17">
        <w:rPr>
          <w:rFonts w:ascii="Arial" w:eastAsia="Calibri" w:hAnsi="Arial" w:cs="Arial"/>
          <w:color w:val="000000" w:themeColor="text1"/>
          <w:sz w:val="22"/>
          <w:lang w:val="es-ES_tradnl"/>
        </w:rPr>
        <w:t xml:space="preserve"> </w:t>
      </w:r>
      <w:r w:rsidR="000D0CC7">
        <w:rPr>
          <w:rFonts w:ascii="Arial" w:eastAsia="Calibri" w:hAnsi="Arial" w:cs="Arial"/>
          <w:color w:val="000000" w:themeColor="text1"/>
          <w:sz w:val="22"/>
          <w:lang w:val="es-ES_tradnl"/>
        </w:rPr>
        <w:t>d</w:t>
      </w:r>
      <w:r w:rsidR="00F14618">
        <w:rPr>
          <w:rFonts w:ascii="Arial" w:eastAsia="Calibri" w:hAnsi="Arial" w:cs="Arial"/>
          <w:color w:val="000000" w:themeColor="text1"/>
          <w:sz w:val="22"/>
          <w:lang w:val="es-ES_tradnl"/>
        </w:rPr>
        <w:t xml:space="preserve">el </w:t>
      </w:r>
      <w:r w:rsidR="00D823EA">
        <w:rPr>
          <w:rFonts w:ascii="Arial" w:eastAsia="Calibri" w:hAnsi="Arial" w:cs="Arial"/>
          <w:color w:val="000000" w:themeColor="text1"/>
          <w:sz w:val="22"/>
          <w:lang w:val="es-ES_tradnl"/>
        </w:rPr>
        <w:t xml:space="preserve">30 </w:t>
      </w:r>
      <w:r w:rsidR="00F14618">
        <w:rPr>
          <w:rFonts w:ascii="Arial" w:eastAsia="Calibri" w:hAnsi="Arial" w:cs="Arial"/>
          <w:color w:val="000000" w:themeColor="text1"/>
          <w:sz w:val="22"/>
          <w:lang w:val="es-ES_tradnl"/>
        </w:rPr>
        <w:t xml:space="preserve">de </w:t>
      </w:r>
      <w:r w:rsidR="001F5CC2">
        <w:rPr>
          <w:rFonts w:ascii="Arial" w:eastAsia="Calibri" w:hAnsi="Arial" w:cs="Arial"/>
          <w:color w:val="000000" w:themeColor="text1"/>
          <w:sz w:val="22"/>
          <w:lang w:val="es-ES_tradnl"/>
        </w:rPr>
        <w:t>septiembre</w:t>
      </w:r>
      <w:r w:rsidR="00F14618">
        <w:rPr>
          <w:rFonts w:ascii="Arial" w:eastAsia="Calibri" w:hAnsi="Arial" w:cs="Arial"/>
          <w:color w:val="000000" w:themeColor="text1"/>
          <w:sz w:val="22"/>
          <w:lang w:val="es-ES_tradnl"/>
        </w:rPr>
        <w:t xml:space="preserve"> de 202</w:t>
      </w:r>
      <w:r w:rsidR="00782354">
        <w:rPr>
          <w:rFonts w:ascii="Arial" w:eastAsia="Calibri" w:hAnsi="Arial" w:cs="Arial"/>
          <w:color w:val="000000" w:themeColor="text1"/>
          <w:sz w:val="22"/>
          <w:lang w:val="es-ES_tradnl"/>
        </w:rPr>
        <w:t>2</w:t>
      </w:r>
      <w:r w:rsidR="00F14618">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7AB9055A" w14:textId="77777777" w:rsidR="00D823EA" w:rsidRDefault="00D823EA" w:rsidP="00447021">
      <w:pPr>
        <w:spacing w:line="276" w:lineRule="auto"/>
        <w:jc w:val="both"/>
        <w:rPr>
          <w:rFonts w:ascii="Arial" w:hAnsi="Arial" w:cs="Arial"/>
          <w:bCs/>
          <w:sz w:val="22"/>
          <w:szCs w:val="22"/>
        </w:rPr>
      </w:pPr>
    </w:p>
    <w:p w14:paraId="3F7242BD" w14:textId="77777777" w:rsidR="006D634C" w:rsidRDefault="00D823EA" w:rsidP="00D823EA">
      <w:pPr>
        <w:spacing w:line="276" w:lineRule="auto"/>
        <w:jc w:val="both"/>
        <w:rPr>
          <w:rFonts w:ascii="Arial" w:hAnsi="Arial" w:cs="Arial"/>
          <w:bCs/>
          <w:sz w:val="22"/>
          <w:szCs w:val="22"/>
        </w:rPr>
      </w:pPr>
      <w:r>
        <w:rPr>
          <w:rFonts w:ascii="Arial" w:hAnsi="Arial" w:cs="Arial"/>
          <w:bCs/>
          <w:sz w:val="22"/>
          <w:szCs w:val="22"/>
        </w:rPr>
        <w:t>U</w:t>
      </w:r>
      <w:r w:rsidR="000D0CC7">
        <w:rPr>
          <w:rFonts w:ascii="Arial" w:hAnsi="Arial" w:cs="Arial"/>
          <w:bCs/>
          <w:sz w:val="22"/>
          <w:szCs w:val="22"/>
        </w:rPr>
        <w:t xml:space="preserve">sted realiza la siguiente pregunta: </w:t>
      </w:r>
    </w:p>
    <w:p w14:paraId="38301C2F" w14:textId="77777777" w:rsidR="006D634C" w:rsidRDefault="006D634C" w:rsidP="00D823EA">
      <w:pPr>
        <w:spacing w:line="276" w:lineRule="auto"/>
        <w:jc w:val="both"/>
        <w:rPr>
          <w:rFonts w:ascii="Arial" w:hAnsi="Arial" w:cs="Arial"/>
          <w:bCs/>
          <w:sz w:val="22"/>
          <w:szCs w:val="22"/>
        </w:rPr>
      </w:pPr>
    </w:p>
    <w:p w14:paraId="7B394F64" w14:textId="01691AA7" w:rsidR="00D823EA" w:rsidRPr="001C58D6" w:rsidRDefault="00D823EA" w:rsidP="001C58D6">
      <w:pPr>
        <w:spacing w:line="276" w:lineRule="auto"/>
        <w:ind w:left="709" w:right="709"/>
        <w:jc w:val="both"/>
        <w:rPr>
          <w:rFonts w:ascii="Arial" w:hAnsi="Arial" w:cs="Arial"/>
          <w:bCs/>
          <w:i/>
          <w:iCs/>
          <w:sz w:val="20"/>
          <w:szCs w:val="20"/>
          <w:lang w:val="es-ES"/>
        </w:rPr>
      </w:pPr>
      <w:r w:rsidRPr="001C58D6">
        <w:rPr>
          <w:rFonts w:ascii="Arial" w:hAnsi="Arial" w:cs="Arial"/>
          <w:bCs/>
          <w:i/>
          <w:iCs/>
          <w:sz w:val="20"/>
          <w:szCs w:val="20"/>
          <w:lang w:val="es-ES"/>
        </w:rPr>
        <w:t>«</w:t>
      </w:r>
      <w:r w:rsidRPr="001C58D6">
        <w:rPr>
          <w:rFonts w:ascii="Arial" w:hAnsi="Arial" w:cs="Arial"/>
          <w:bCs/>
          <w:i/>
          <w:iCs/>
          <w:sz w:val="20"/>
          <w:szCs w:val="20"/>
          <w:lang w:val="es-ES_tradnl"/>
        </w:rPr>
        <w:t xml:space="preserve">En atención a las funciones de orientación respecto de las normas de contratación estatal, de la manera más atenta solicito emitir un concepto en el que se aclare cuál debe ser la vigencia mínima del amparo de cumplimiento, teniendo en cuenta que existen distintas etapas en la liquidación del contrato, y que la ley dice que este amparo debe estar vigente mínimo hasta la liquidación, para poder definir, en consecuencia, cuál debe ser el término de vigencia a partir de la terminación del contrato: si 6 meses (4 meses para liquidar bilateralmente si no existe pacto expreso </w:t>
      </w:r>
      <w:r w:rsidRPr="001C58D6">
        <w:rPr>
          <w:rFonts w:ascii="Arial" w:hAnsi="Arial" w:cs="Arial"/>
          <w:bCs/>
          <w:i/>
          <w:iCs/>
          <w:sz w:val="20"/>
          <w:szCs w:val="20"/>
          <w:lang w:val="es-ES_tradnl"/>
        </w:rPr>
        <w:lastRenderedPageBreak/>
        <w:t>entre las partes, y 2 meses para liquidar bilateralmente), o 30 meses (término máximo que tiene la entidad estatal para ejercer esa competencia vencidos los 6 meses iniciales)</w:t>
      </w:r>
      <w:r w:rsidRPr="001C58D6">
        <w:rPr>
          <w:rFonts w:ascii="Arial" w:hAnsi="Arial" w:cs="Arial"/>
          <w:bCs/>
          <w:i/>
          <w:iCs/>
          <w:sz w:val="20"/>
          <w:szCs w:val="20"/>
          <w:lang w:val="es-ES"/>
        </w:rPr>
        <w:t>»</w:t>
      </w:r>
    </w:p>
    <w:p w14:paraId="3F5AA9EB" w14:textId="73BEE44B" w:rsidR="00D823EA" w:rsidRPr="00D823EA" w:rsidRDefault="00D823EA" w:rsidP="00D823EA">
      <w:pPr>
        <w:spacing w:before="120" w:line="276" w:lineRule="auto"/>
        <w:ind w:firstLine="709"/>
        <w:jc w:val="both"/>
        <w:rPr>
          <w:rFonts w:ascii="Arial" w:hAnsi="Arial" w:cs="Arial"/>
          <w:bCs/>
          <w:sz w:val="22"/>
          <w:szCs w:val="22"/>
          <w:lang w:val="es-ES"/>
        </w:rPr>
      </w:pPr>
      <w:r w:rsidRPr="00D823EA">
        <w:rPr>
          <w:rFonts w:ascii="Arial" w:hAnsi="Arial" w:cs="Arial"/>
          <w:color w:val="000000" w:themeColor="text1"/>
          <w:sz w:val="22"/>
          <w:szCs w:val="22"/>
          <w:lang w:val="es-ES"/>
        </w:rPr>
        <w:t xml:space="preserve">Asimismo, </w:t>
      </w:r>
      <w:r w:rsidR="00E831A8">
        <w:rPr>
          <w:rFonts w:ascii="Arial" w:hAnsi="Arial" w:cs="Arial"/>
          <w:color w:val="000000" w:themeColor="text1"/>
          <w:sz w:val="22"/>
          <w:szCs w:val="22"/>
          <w:lang w:val="es-ES"/>
        </w:rPr>
        <w:t>cita el</w:t>
      </w:r>
      <w:r w:rsidRPr="00D823EA">
        <w:rPr>
          <w:rFonts w:ascii="Arial" w:hAnsi="Arial" w:cs="Arial"/>
          <w:color w:val="000000" w:themeColor="text1"/>
          <w:sz w:val="22"/>
          <w:szCs w:val="22"/>
          <w:lang w:val="es-ES"/>
        </w:rPr>
        <w:t xml:space="preserve"> concepto C-625 del 2020 </w:t>
      </w:r>
      <w:r w:rsidR="00E831A8">
        <w:rPr>
          <w:rFonts w:ascii="Arial" w:hAnsi="Arial" w:cs="Arial"/>
          <w:color w:val="000000" w:themeColor="text1"/>
          <w:sz w:val="22"/>
          <w:szCs w:val="22"/>
          <w:lang w:val="es-ES"/>
        </w:rPr>
        <w:t xml:space="preserve">emitido por esta Agencia </w:t>
      </w:r>
      <w:r>
        <w:rPr>
          <w:rFonts w:ascii="Arial" w:hAnsi="Arial" w:cs="Arial"/>
          <w:color w:val="000000" w:themeColor="text1"/>
          <w:sz w:val="22"/>
          <w:szCs w:val="22"/>
          <w:lang w:val="es-ES"/>
        </w:rPr>
        <w:t xml:space="preserve">en relación con </w:t>
      </w:r>
      <w:r w:rsidRPr="00D823EA">
        <w:rPr>
          <w:rFonts w:ascii="Arial" w:hAnsi="Arial" w:cs="Arial"/>
          <w:color w:val="000000" w:themeColor="text1"/>
          <w:sz w:val="22"/>
          <w:szCs w:val="22"/>
          <w:lang w:val="es-ES"/>
        </w:rPr>
        <w:t xml:space="preserve">la vigencia de la garantía de cumplimiento, para indicar que </w:t>
      </w:r>
      <w:r w:rsidRPr="001C58D6">
        <w:rPr>
          <w:rFonts w:ascii="Arial" w:hAnsi="Arial" w:cs="Arial"/>
          <w:i/>
          <w:iCs/>
          <w:color w:val="000000" w:themeColor="text1"/>
          <w:sz w:val="22"/>
          <w:szCs w:val="22"/>
          <w:lang w:val="es-ES"/>
        </w:rPr>
        <w:t>«</w:t>
      </w:r>
      <w:r w:rsidRPr="001C58D6">
        <w:rPr>
          <w:rFonts w:ascii="Arial" w:hAnsi="Arial" w:cs="Arial"/>
          <w:i/>
          <w:iCs/>
          <w:color w:val="000000" w:themeColor="text1"/>
          <w:sz w:val="22"/>
          <w:szCs w:val="22"/>
          <w:lang w:val="es-ES_tradnl"/>
        </w:rPr>
        <w:t>la advertencia hecha por esa Agencia de Contratación en el concepto citado relativa a que la entidad puede exigir la vigencia de seis meses, y si es el caso, luego solicitar la ampliación no es práctica y genera el riesgo de que se venza la garantía sin realizar este trámite, lo que no es extraño en el alto cúmulo de trabajo que implica la gestión contractual. Lo jurídico y garante del patrimonio público es solicitar la vigencia por todo el tiempo en que puede ocurrir el riesgo asegurado</w:t>
      </w:r>
      <w:r w:rsidRPr="001C58D6">
        <w:rPr>
          <w:rFonts w:ascii="Arial" w:hAnsi="Arial" w:cs="Arial"/>
          <w:i/>
          <w:iCs/>
          <w:color w:val="000000" w:themeColor="text1"/>
          <w:sz w:val="22"/>
          <w:szCs w:val="22"/>
          <w:lang w:val="es-ES"/>
        </w:rPr>
        <w:t>»</w:t>
      </w:r>
      <w:r w:rsidRPr="001C58D6">
        <w:rPr>
          <w:rFonts w:ascii="Arial" w:hAnsi="Arial" w:cs="Arial"/>
          <w:i/>
          <w:iCs/>
          <w:color w:val="000000" w:themeColor="text1"/>
          <w:sz w:val="22"/>
          <w:szCs w:val="22"/>
          <w:lang w:val="es-ES_tradnl"/>
        </w:rPr>
        <w:t>.</w:t>
      </w:r>
    </w:p>
    <w:p w14:paraId="5A9E4F83" w14:textId="77777777" w:rsidR="00991805" w:rsidRPr="00A51520" w:rsidRDefault="00991805" w:rsidP="00447021">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4120E3D4" w14:textId="77777777" w:rsidR="00D823EA" w:rsidRDefault="00D823EA" w:rsidP="00D823EA">
      <w:pPr>
        <w:spacing w:after="120" w:line="276" w:lineRule="auto"/>
        <w:jc w:val="both"/>
        <w:rPr>
          <w:rFonts w:ascii="Arial" w:eastAsia="Calibri" w:hAnsi="Arial" w:cs="Arial"/>
          <w:sz w:val="22"/>
          <w:szCs w:val="22"/>
          <w:lang w:val="es-ES_tradnl"/>
        </w:rPr>
      </w:pPr>
      <w:r>
        <w:rPr>
          <w:rFonts w:ascii="Arial" w:eastAsia="Calibri" w:hAnsi="Arial" w:cs="Arial"/>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45425089" w14:textId="2B28CA47" w:rsidR="00D823EA" w:rsidRDefault="00D823EA" w:rsidP="001C58D6">
      <w:pPr>
        <w:tabs>
          <w:tab w:val="left" w:pos="426"/>
        </w:tabs>
        <w:spacing w:after="120" w:line="276" w:lineRule="auto"/>
        <w:jc w:val="both"/>
        <w:rPr>
          <w:rFonts w:ascii="Arial" w:hAnsi="Arial" w:cs="Arial"/>
          <w:sz w:val="22"/>
        </w:rPr>
      </w:pPr>
      <w:r>
        <w:rPr>
          <w:rFonts w:ascii="Arial" w:eastAsia="Calibri" w:hAnsi="Arial" w:cs="Arial"/>
          <w:sz w:val="22"/>
          <w:szCs w:val="22"/>
          <w:lang w:val="es-ES_tradnl"/>
        </w:rPr>
        <w:tab/>
      </w:r>
      <w:r>
        <w:rPr>
          <w:rFonts w:ascii="Arial" w:eastAsia="Calibri" w:hAnsi="Arial" w:cs="Arial"/>
          <w:bCs/>
          <w:sz w:val="22"/>
          <w:szCs w:val="22"/>
        </w:rPr>
        <w:tab/>
        <w:t>Por</w:t>
      </w:r>
      <w:r>
        <w:rPr>
          <w:rFonts w:ascii="Arial" w:eastAsia="Calibri" w:hAnsi="Arial" w:cs="Arial"/>
          <w:color w:val="000000" w:themeColor="text1"/>
          <w:sz w:val="22"/>
          <w:szCs w:val="22"/>
          <w:lang w:val="es-ES"/>
        </w:rPr>
        <w:t xml:space="preserve"> ello, la Subdirección</w:t>
      </w:r>
      <w:r w:rsidR="00E831A8">
        <w:rPr>
          <w:rFonts w:ascii="Arial" w:eastAsia="Calibri" w:hAnsi="Arial" w:cs="Arial"/>
          <w:color w:val="000000" w:themeColor="text1"/>
          <w:sz w:val="22"/>
          <w:szCs w:val="22"/>
          <w:lang w:val="es-ES"/>
        </w:rPr>
        <w:t xml:space="preserve"> de Gestión Contractual</w:t>
      </w:r>
      <w:r>
        <w:rPr>
          <w:rFonts w:ascii="Arial" w:eastAsia="Calibri" w:hAnsi="Arial" w:cs="Arial"/>
          <w:color w:val="000000" w:themeColor="text1"/>
          <w:sz w:val="22"/>
          <w:szCs w:val="22"/>
          <w:lang w:val="es-ES"/>
        </w:rPr>
        <w:t>, dentro de los límites de sus atribuciones, resolverá la consulta conforme a las normas generales en materia de contratación estatal. Con este objetivo se analizarán los siguientes temas:</w:t>
      </w:r>
      <w:r>
        <w:rPr>
          <w:rFonts w:ascii="Arial" w:eastAsia="Calibri" w:hAnsi="Arial" w:cs="Arial"/>
          <w:sz w:val="22"/>
          <w:szCs w:val="22"/>
        </w:rPr>
        <w:t xml:space="preserve"> i) competencia consultiva de la Agencia Nacional de Contratación Pública – Colombia Compra Eficiente</w:t>
      </w:r>
      <w:r w:rsidR="00E831A8">
        <w:rPr>
          <w:rFonts w:ascii="Arial" w:eastAsia="Calibri" w:hAnsi="Arial" w:cs="Arial"/>
          <w:sz w:val="22"/>
          <w:szCs w:val="22"/>
        </w:rPr>
        <w:t>;</w:t>
      </w:r>
      <w:r>
        <w:rPr>
          <w:rFonts w:ascii="Arial" w:eastAsia="Calibri" w:hAnsi="Arial" w:cs="Arial"/>
          <w:sz w:val="22"/>
          <w:szCs w:val="22"/>
        </w:rPr>
        <w:t xml:space="preserve"> </w:t>
      </w:r>
      <w:proofErr w:type="spellStart"/>
      <w:r>
        <w:rPr>
          <w:rFonts w:ascii="Arial" w:eastAsia="Calibri" w:hAnsi="Arial" w:cs="Arial"/>
          <w:sz w:val="22"/>
          <w:szCs w:val="22"/>
        </w:rPr>
        <w:t>ii</w:t>
      </w:r>
      <w:proofErr w:type="spellEnd"/>
      <w:r>
        <w:rPr>
          <w:rFonts w:ascii="Arial" w:eastAsia="Calibri" w:hAnsi="Arial" w:cs="Arial"/>
          <w:sz w:val="22"/>
          <w:szCs w:val="22"/>
        </w:rPr>
        <w:t xml:space="preserve">) </w:t>
      </w:r>
      <w:r w:rsidR="00E831A8">
        <w:rPr>
          <w:rFonts w:ascii="Arial" w:eastAsia="Calibri" w:hAnsi="Arial" w:cs="Arial"/>
          <w:sz w:val="22"/>
          <w:szCs w:val="22"/>
        </w:rPr>
        <w:t xml:space="preserve">la </w:t>
      </w:r>
      <w:r>
        <w:rPr>
          <w:rFonts w:ascii="Arial" w:eastAsia="Calibri" w:hAnsi="Arial" w:cs="Arial"/>
          <w:bCs/>
          <w:color w:val="000000" w:themeColor="text1"/>
          <w:sz w:val="22"/>
        </w:rPr>
        <w:t>liquidación</w:t>
      </w:r>
      <w:r>
        <w:rPr>
          <w:rFonts w:ascii="Arial" w:hAnsi="Arial" w:cs="Arial"/>
          <w:bCs/>
          <w:sz w:val="22"/>
          <w:lang w:val="es-ES_tradnl"/>
        </w:rPr>
        <w:t xml:space="preserve"> de los contratos estatales</w:t>
      </w:r>
      <w:r w:rsidR="00E831A8">
        <w:rPr>
          <w:rFonts w:ascii="Arial" w:hAnsi="Arial" w:cs="Arial"/>
          <w:bCs/>
          <w:sz w:val="22"/>
          <w:lang w:val="es-ES_tradnl"/>
        </w:rPr>
        <w:t>;</w:t>
      </w:r>
      <w:r>
        <w:rPr>
          <w:rFonts w:ascii="Arial" w:hAnsi="Arial" w:cs="Arial"/>
          <w:bCs/>
          <w:sz w:val="22"/>
          <w:lang w:val="es-ES_tradnl"/>
        </w:rPr>
        <w:t xml:space="preserve"> </w:t>
      </w:r>
      <w:r>
        <w:rPr>
          <w:rFonts w:ascii="Arial" w:eastAsia="Calibri" w:hAnsi="Arial" w:cs="Arial"/>
          <w:bCs/>
          <w:color w:val="000000" w:themeColor="text1"/>
          <w:sz w:val="22"/>
        </w:rPr>
        <w:t>y</w:t>
      </w:r>
      <w:r w:rsidR="00E831A8">
        <w:rPr>
          <w:rFonts w:ascii="Arial" w:eastAsia="Calibri" w:hAnsi="Arial" w:cs="Arial"/>
          <w:bCs/>
          <w:color w:val="000000" w:themeColor="text1"/>
          <w:sz w:val="22"/>
        </w:rPr>
        <w:t>,</w:t>
      </w:r>
      <w:r w:rsidRPr="00410AF1">
        <w:rPr>
          <w:rFonts w:ascii="Arial" w:eastAsia="Calibri" w:hAnsi="Arial" w:cs="Arial"/>
          <w:bCs/>
          <w:color w:val="000000" w:themeColor="text1"/>
          <w:sz w:val="22"/>
        </w:rPr>
        <w:t xml:space="preserve"> ii</w:t>
      </w:r>
      <w:r>
        <w:rPr>
          <w:rFonts w:ascii="Arial" w:eastAsia="Calibri" w:hAnsi="Arial" w:cs="Arial"/>
          <w:bCs/>
          <w:color w:val="000000" w:themeColor="text1"/>
          <w:sz w:val="22"/>
        </w:rPr>
        <w:t>i</w:t>
      </w:r>
      <w:r w:rsidRPr="00410AF1">
        <w:rPr>
          <w:rFonts w:ascii="Arial" w:eastAsia="Calibri" w:hAnsi="Arial" w:cs="Arial"/>
          <w:bCs/>
          <w:color w:val="000000" w:themeColor="text1"/>
          <w:sz w:val="22"/>
        </w:rPr>
        <w:t>)</w:t>
      </w:r>
      <w:r>
        <w:rPr>
          <w:rFonts w:ascii="Arial" w:eastAsia="Calibri" w:hAnsi="Arial" w:cs="Arial"/>
          <w:bCs/>
          <w:color w:val="000000" w:themeColor="text1"/>
          <w:sz w:val="22"/>
        </w:rPr>
        <w:t xml:space="preserve"> la noción y vigencia de la</w:t>
      </w:r>
      <w:r w:rsidRPr="00410AF1">
        <w:rPr>
          <w:rFonts w:ascii="Arial" w:eastAsia="Calibri" w:hAnsi="Arial" w:cs="Arial"/>
          <w:bCs/>
          <w:color w:val="000000" w:themeColor="text1"/>
          <w:sz w:val="22"/>
        </w:rPr>
        <w:t xml:space="preserve"> </w:t>
      </w:r>
      <w:r>
        <w:rPr>
          <w:rFonts w:ascii="Arial" w:eastAsia="Calibri" w:hAnsi="Arial" w:cs="Arial"/>
          <w:bCs/>
          <w:color w:val="000000" w:themeColor="text1"/>
          <w:sz w:val="22"/>
        </w:rPr>
        <w:t>garantía de cumplimiento</w:t>
      </w:r>
      <w:bookmarkStart w:id="2" w:name="_Hlk38448224"/>
      <w:r>
        <w:rPr>
          <w:rFonts w:ascii="Arial" w:hAnsi="Arial" w:cs="Arial"/>
          <w:sz w:val="22"/>
        </w:rPr>
        <w:t>.</w:t>
      </w:r>
    </w:p>
    <w:p w14:paraId="2E6D3C3A" w14:textId="390AE96A" w:rsidR="00E051ED" w:rsidRPr="00D823EA" w:rsidRDefault="00D823EA" w:rsidP="00D823EA">
      <w:pPr>
        <w:spacing w:before="120" w:line="276" w:lineRule="auto"/>
        <w:ind w:firstLine="709"/>
        <w:jc w:val="both"/>
        <w:rPr>
          <w:rFonts w:ascii="Arial" w:hAnsi="Arial" w:cs="Arial"/>
          <w:sz w:val="22"/>
        </w:rPr>
      </w:pPr>
      <w:r w:rsidRPr="00A23E33">
        <w:rPr>
          <w:rFonts w:ascii="Arial" w:hAnsi="Arial" w:cs="Arial"/>
          <w:sz w:val="22"/>
          <w:lang w:val="es-ES_tradnl"/>
        </w:rPr>
        <w:t>La Agencia Nacional de Contratación Pública – Colombia Compra Eficiente</w:t>
      </w:r>
      <w:r w:rsidRPr="00A23E33">
        <w:rPr>
          <w:rFonts w:ascii="Arial" w:hAnsi="Arial" w:cs="Arial"/>
          <w:sz w:val="22"/>
          <w:lang w:val="es-ES"/>
        </w:rPr>
        <w:t xml:space="preserve">, </w:t>
      </w:r>
      <w:r w:rsidRPr="009C6B45">
        <w:rPr>
          <w:rFonts w:ascii="Arial" w:eastAsia="Calibri" w:hAnsi="Arial" w:cs="Arial"/>
          <w:color w:val="000000" w:themeColor="text1"/>
          <w:sz w:val="22"/>
          <w:lang w:val="es-ES_tradnl"/>
        </w:rPr>
        <w:t xml:space="preserve">se pronunció sobre la liquidación </w:t>
      </w:r>
      <w:r>
        <w:rPr>
          <w:rFonts w:ascii="Arial" w:eastAsia="Calibri" w:hAnsi="Arial" w:cs="Arial"/>
          <w:color w:val="000000" w:themeColor="text1"/>
          <w:sz w:val="22"/>
          <w:lang w:val="es-ES_tradnl"/>
        </w:rPr>
        <w:t xml:space="preserve">de los contratos </w:t>
      </w:r>
      <w:r w:rsidRPr="009C6B45">
        <w:rPr>
          <w:rFonts w:ascii="Arial" w:eastAsia="Calibri" w:hAnsi="Arial" w:cs="Arial"/>
          <w:color w:val="000000" w:themeColor="text1"/>
          <w:sz w:val="22"/>
          <w:lang w:val="es-ES_tradnl"/>
        </w:rPr>
        <w:t xml:space="preserve">en </w:t>
      </w:r>
      <w:r>
        <w:rPr>
          <w:rFonts w:ascii="Arial" w:eastAsia="Calibri" w:hAnsi="Arial" w:cs="Arial"/>
          <w:color w:val="000000" w:themeColor="text1"/>
          <w:sz w:val="22"/>
          <w:lang w:val="es-ES_tradnl"/>
        </w:rPr>
        <w:t xml:space="preserve">el concepto con radicado No. 4201912000004908 del 27 de septiembre de 2019 y los conceptos con número interno </w:t>
      </w:r>
      <w:r w:rsidRPr="009C6B45">
        <w:rPr>
          <w:rFonts w:ascii="Arial" w:eastAsia="Calibri" w:hAnsi="Arial" w:cs="Arial"/>
          <w:color w:val="000000" w:themeColor="text1"/>
          <w:sz w:val="22"/>
          <w:lang w:val="es-ES_tradnl"/>
        </w:rPr>
        <w:t>CU-028 de 25 de febrero de 2020</w:t>
      </w:r>
      <w:r>
        <w:rPr>
          <w:rFonts w:ascii="Arial" w:eastAsia="Calibri" w:hAnsi="Arial" w:cs="Arial"/>
          <w:color w:val="000000" w:themeColor="text1"/>
          <w:sz w:val="22"/>
          <w:lang w:val="es-ES_tradnl"/>
        </w:rPr>
        <w:t xml:space="preserve">, </w:t>
      </w:r>
      <w:r w:rsidRPr="009C6B45">
        <w:rPr>
          <w:rFonts w:ascii="Arial" w:eastAsia="Calibri" w:hAnsi="Arial" w:cs="Arial"/>
          <w:color w:val="000000" w:themeColor="text1"/>
          <w:sz w:val="22"/>
          <w:lang w:val="es-ES_tradnl"/>
        </w:rPr>
        <w:t>C-221 de 21 de abril de 20</w:t>
      </w:r>
      <w:r>
        <w:rPr>
          <w:rFonts w:ascii="Arial" w:eastAsia="Calibri" w:hAnsi="Arial" w:cs="Arial"/>
          <w:color w:val="000000" w:themeColor="text1"/>
          <w:sz w:val="22"/>
          <w:lang w:val="es-ES_tradnl"/>
        </w:rPr>
        <w:t xml:space="preserve">20 y C-444 del 23 de julio de 2021. Adicionalmente, se analizó la garantía de cumplimiento y la liquidación de los contratos estatales en los conceptos C-479 del 27 de julio de 2020, C-625 del 28 de septiembre del </w:t>
      </w:r>
      <w:r>
        <w:rPr>
          <w:rFonts w:ascii="Arial" w:eastAsia="Calibri" w:hAnsi="Arial" w:cs="Arial"/>
          <w:color w:val="000000" w:themeColor="text1"/>
          <w:sz w:val="22"/>
          <w:lang w:val="es-ES_tradnl"/>
        </w:rPr>
        <w:lastRenderedPageBreak/>
        <w:t>2020</w:t>
      </w:r>
      <w:bookmarkEnd w:id="2"/>
      <w:r>
        <w:rPr>
          <w:rFonts w:ascii="Arial" w:eastAsia="Calibri" w:hAnsi="Arial" w:cs="Arial"/>
          <w:color w:val="000000" w:themeColor="text1"/>
          <w:sz w:val="22"/>
          <w:lang w:val="es-ES_tradnl"/>
        </w:rPr>
        <w:t xml:space="preserve"> y C-078 del 17 de marzo de 2021</w:t>
      </w:r>
      <w:r w:rsidR="00F23B3E">
        <w:rPr>
          <w:rStyle w:val="Refdenotaalpie"/>
          <w:rFonts w:ascii="Arial" w:hAnsi="Arial" w:cs="Arial"/>
          <w:color w:val="000000"/>
          <w:sz w:val="22"/>
          <w:szCs w:val="22"/>
          <w:lang w:val="es-ES"/>
        </w:rPr>
        <w:footnoteReference w:id="2"/>
      </w:r>
      <w:r w:rsidR="00CB3705" w:rsidRPr="00952F2A">
        <w:rPr>
          <w:rStyle w:val="normaltextrun"/>
          <w:rFonts w:ascii="Arial" w:hAnsi="Arial" w:cs="Arial"/>
          <w:color w:val="000000"/>
          <w:sz w:val="22"/>
          <w:szCs w:val="22"/>
          <w:lang w:val="es-ES"/>
        </w:rPr>
        <w:t xml:space="preserve">. </w:t>
      </w:r>
      <w:r w:rsidR="00C40791">
        <w:rPr>
          <w:rStyle w:val="normaltextrun"/>
          <w:rFonts w:ascii="Arial" w:hAnsi="Arial" w:cs="Arial"/>
          <w:color w:val="000000"/>
          <w:sz w:val="22"/>
          <w:szCs w:val="22"/>
          <w:lang w:val="es-ES"/>
        </w:rPr>
        <w:t>L</w:t>
      </w:r>
      <w:r w:rsidR="00CB3705" w:rsidRPr="00952F2A">
        <w:rPr>
          <w:rStyle w:val="normaltextrun"/>
          <w:rFonts w:ascii="Arial" w:hAnsi="Arial" w:cs="Arial"/>
          <w:color w:val="000000"/>
          <w:sz w:val="22"/>
          <w:szCs w:val="22"/>
          <w:lang w:val="es-ES"/>
        </w:rPr>
        <w:t>as tesis expuestas en dichas oportunidades se reiteran a continuación</w:t>
      </w:r>
      <w:r w:rsidR="00E051ED" w:rsidRPr="00611FE8">
        <w:rPr>
          <w:rFonts w:ascii="Arial" w:eastAsia="Calibri" w:hAnsi="Arial" w:cs="Arial"/>
          <w:color w:val="000000"/>
          <w:sz w:val="22"/>
          <w:szCs w:val="22"/>
          <w:lang w:val="es-ES_tradnl"/>
        </w:rPr>
        <w:t>.</w:t>
      </w:r>
      <w:r w:rsidR="00E051ED">
        <w:rPr>
          <w:rFonts w:ascii="Arial" w:eastAsia="Calibri" w:hAnsi="Arial" w:cs="Arial"/>
          <w:color w:val="000000"/>
          <w:sz w:val="22"/>
          <w:szCs w:val="22"/>
          <w:lang w:val="es-ES_tradnl"/>
        </w:rPr>
        <w:t xml:space="preserve"> </w:t>
      </w:r>
      <w:bookmarkStart w:id="3" w:name="_Hlk54011258"/>
    </w:p>
    <w:bookmarkEnd w:id="3"/>
    <w:p w14:paraId="72FDA196" w14:textId="77777777" w:rsidR="00F56483" w:rsidRDefault="00F56483" w:rsidP="00F56483">
      <w:pPr>
        <w:spacing w:line="276" w:lineRule="auto"/>
        <w:jc w:val="both"/>
        <w:rPr>
          <w:rFonts w:ascii="Arial" w:eastAsia="Calibri" w:hAnsi="Arial" w:cs="Arial"/>
          <w:b/>
          <w:bCs/>
          <w:color w:val="000000" w:themeColor="text1"/>
          <w:sz w:val="22"/>
          <w:lang w:val="es-ES_tradnl"/>
        </w:rPr>
      </w:pPr>
    </w:p>
    <w:p w14:paraId="6F96F49F" w14:textId="0490376E" w:rsidR="00F56483" w:rsidRPr="003726A7" w:rsidRDefault="00F56483" w:rsidP="00F56483">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2.1 </w:t>
      </w:r>
      <w:r w:rsidRPr="003726A7">
        <w:rPr>
          <w:rFonts w:ascii="Arial" w:eastAsia="Calibri" w:hAnsi="Arial" w:cs="Arial"/>
          <w:b/>
          <w:bCs/>
          <w:color w:val="000000" w:themeColor="text1"/>
          <w:sz w:val="22"/>
          <w:lang w:val="es-ES_tradnl"/>
        </w:rPr>
        <w:t>Competencia consultiva de la Agencia Nacional de Contratación Pública – Colombia Compra Eficiente</w:t>
      </w:r>
    </w:p>
    <w:p w14:paraId="0D3378CB" w14:textId="77777777" w:rsidR="00F56483" w:rsidRPr="003726A7" w:rsidRDefault="00F56483" w:rsidP="00F56483">
      <w:pPr>
        <w:spacing w:line="276" w:lineRule="auto"/>
        <w:jc w:val="both"/>
        <w:rPr>
          <w:rFonts w:ascii="Arial" w:eastAsia="Calibri" w:hAnsi="Arial" w:cs="Arial"/>
          <w:b/>
          <w:bCs/>
          <w:color w:val="000000" w:themeColor="text1"/>
          <w:sz w:val="22"/>
          <w:lang w:val="es-ES_tradnl"/>
        </w:rPr>
      </w:pPr>
    </w:p>
    <w:p w14:paraId="0AADAF22" w14:textId="77777777" w:rsidR="00F56483" w:rsidRPr="003726A7" w:rsidRDefault="00F56483" w:rsidP="00F56483">
      <w:pPr>
        <w:spacing w:line="276" w:lineRule="auto"/>
        <w:jc w:val="both"/>
        <w:rPr>
          <w:rFonts w:ascii="Arial" w:hAnsi="Arial" w:cs="Arial"/>
          <w:color w:val="000000" w:themeColor="text1"/>
          <w:sz w:val="22"/>
          <w:lang w:val="es-ES_tradnl"/>
        </w:rPr>
      </w:pPr>
      <w:r w:rsidRPr="003726A7">
        <w:rPr>
          <w:rFonts w:ascii="Arial" w:hAnsi="Arial" w:cs="Arial"/>
          <w:color w:val="000000" w:themeColor="text1"/>
          <w:sz w:val="22"/>
          <w:shd w:val="clear" w:color="auto" w:fill="FFFFFF"/>
          <w:lang w:val="es-ES_tradnl"/>
        </w:rPr>
        <w:t>Como en la consulta que se resuelve en esta oportunidad se hacen algunos comentarios a partir de un caso concreto,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4350D170" w14:textId="29030AD3" w:rsidR="00F56483" w:rsidRPr="003726A7" w:rsidRDefault="008A79CA" w:rsidP="008A79CA">
      <w:pPr>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Conforme a lo anunciado</w:t>
      </w:r>
      <w:r w:rsidR="00F56483" w:rsidRPr="003726A7">
        <w:rPr>
          <w:rFonts w:ascii="Arial" w:hAnsi="Arial" w:cs="Arial"/>
          <w:color w:val="000000" w:themeColor="text1"/>
          <w:sz w:val="22"/>
          <w:lang w:val="es-ES_tradnl"/>
        </w:rPr>
        <w:t xml:space="preserve">, </w:t>
      </w:r>
      <w:bookmarkStart w:id="4" w:name="_Hlk94773931"/>
      <w:r w:rsidR="00F56483" w:rsidRPr="003726A7">
        <w:rPr>
          <w:rFonts w:ascii="Arial" w:hAnsi="Arial" w:cs="Arial"/>
          <w:color w:val="000000" w:themeColor="text1"/>
          <w:sz w:val="22"/>
          <w:lang w:val="es-ES_tradnl"/>
        </w:rPr>
        <w:t xml:space="preserve">esta Agencia solo tiene competencia para responder solicitudes sobre la aplicación de normas de carácter general en materia de compras y contratación pública. En ese sentido, </w:t>
      </w:r>
      <w:bookmarkEnd w:id="4"/>
      <w:r w:rsidR="00F56483" w:rsidRPr="003726A7">
        <w:rPr>
          <w:rFonts w:ascii="Arial" w:hAnsi="Arial" w:cs="Arial"/>
          <w:color w:val="000000" w:themeColor="text1"/>
          <w:sz w:val="22"/>
          <w:lang w:val="es-ES_tradnl"/>
        </w:rPr>
        <w:t>la competencia de esta Agencia se fija con límites claros, con el objeto de evitar que actúe como una instancia de validación de las actuaciones de las entidades sujetas a la Ley 80 de 1993 o de los demás participantes de la contratación pública</w:t>
      </w:r>
      <w:r w:rsidR="00F56483" w:rsidRPr="003726A7">
        <w:rPr>
          <w:rStyle w:val="Refdenotaalpie"/>
          <w:rFonts w:ascii="Arial" w:hAnsi="Arial" w:cs="Arial"/>
          <w:color w:val="000000" w:themeColor="text1"/>
          <w:lang w:val="es-ES_tradnl"/>
        </w:rPr>
        <w:footnoteReference w:id="3"/>
      </w:r>
      <w:r w:rsidR="00F56483" w:rsidRPr="003726A7">
        <w:rPr>
          <w:rFonts w:ascii="Arial" w:hAnsi="Arial" w:cs="Arial"/>
          <w:color w:val="000000" w:themeColor="text1"/>
          <w:sz w:val="22"/>
          <w:lang w:val="es-ES_tradnl"/>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00F56483" w:rsidRPr="003726A7">
        <w:rPr>
          <w:rFonts w:ascii="Arial" w:eastAsia="Calibri" w:hAnsi="Arial" w:cs="Arial"/>
          <w:color w:val="000000" w:themeColor="text1"/>
          <w:sz w:val="22"/>
          <w:lang w:val="es-ES_tradnl"/>
        </w:rPr>
        <w:t> </w:t>
      </w:r>
    </w:p>
    <w:p w14:paraId="0E7F81D1" w14:textId="77777777" w:rsidR="00F56483" w:rsidRPr="003726A7" w:rsidRDefault="00F56483" w:rsidP="00F56483">
      <w:pPr>
        <w:tabs>
          <w:tab w:val="left" w:pos="426"/>
        </w:tabs>
        <w:spacing w:before="120" w:line="276" w:lineRule="auto"/>
        <w:jc w:val="both"/>
        <w:rPr>
          <w:rFonts w:ascii="Arial" w:hAnsi="Arial" w:cs="Arial"/>
          <w:color w:val="000000" w:themeColor="text1"/>
          <w:sz w:val="22"/>
          <w:lang w:val="es-ES_tradnl"/>
        </w:rPr>
      </w:pPr>
      <w:r w:rsidRPr="003726A7">
        <w:rPr>
          <w:rFonts w:ascii="Arial" w:hAnsi="Arial" w:cs="Arial"/>
          <w:color w:val="000000" w:themeColor="text1"/>
          <w:sz w:val="22"/>
          <w:lang w:val="es-ES_tradnl"/>
        </w:rPr>
        <w:tab/>
      </w:r>
      <w:r w:rsidRPr="003726A7">
        <w:rPr>
          <w:rFonts w:ascii="Arial" w:hAnsi="Arial" w:cs="Arial"/>
          <w:color w:val="000000" w:themeColor="text1"/>
          <w:sz w:val="22"/>
          <w:lang w:val="es-ES_tradnl"/>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3726A7">
        <w:rPr>
          <w:rFonts w:ascii="Arial" w:eastAsia="Calibri" w:hAnsi="Arial" w:cs="Arial"/>
          <w:bCs/>
          <w:color w:val="000000" w:themeColor="text1"/>
          <w:sz w:val="22"/>
          <w:lang w:val="es-ES_tradnl"/>
        </w:rPr>
        <w:t> </w:t>
      </w:r>
    </w:p>
    <w:p w14:paraId="4CA3F762" w14:textId="77777777" w:rsidR="00F56483" w:rsidRPr="003726A7" w:rsidRDefault="00F56483" w:rsidP="00F56483">
      <w:pPr>
        <w:tabs>
          <w:tab w:val="left" w:pos="426"/>
        </w:tabs>
        <w:ind w:left="709" w:right="709"/>
        <w:jc w:val="both"/>
        <w:rPr>
          <w:rFonts w:ascii="Arial" w:hAnsi="Arial" w:cs="Arial"/>
          <w:color w:val="000000" w:themeColor="text1"/>
          <w:sz w:val="21"/>
          <w:szCs w:val="21"/>
          <w:lang w:val="es-ES_tradnl"/>
        </w:rPr>
      </w:pPr>
    </w:p>
    <w:p w14:paraId="495636E1" w14:textId="3D545AE5" w:rsidR="00F56483" w:rsidRPr="001C58D6" w:rsidRDefault="008A79CA" w:rsidP="00F56483">
      <w:pPr>
        <w:tabs>
          <w:tab w:val="left" w:pos="426"/>
        </w:tabs>
        <w:spacing w:after="120"/>
        <w:ind w:left="709" w:right="709"/>
        <w:jc w:val="both"/>
        <w:rPr>
          <w:rFonts w:ascii="Arial" w:eastAsia="Calibri" w:hAnsi="Arial" w:cs="Arial"/>
          <w:bCs/>
          <w:i/>
          <w:iCs/>
          <w:color w:val="000000" w:themeColor="text1"/>
          <w:sz w:val="20"/>
          <w:szCs w:val="20"/>
          <w:lang w:val="es-ES_tradnl"/>
        </w:rPr>
      </w:pPr>
      <w:r w:rsidRPr="008A79CA">
        <w:rPr>
          <w:rFonts w:ascii="Arial" w:hAnsi="Arial" w:cs="Arial"/>
          <w:bCs/>
          <w:i/>
          <w:iCs/>
          <w:sz w:val="20"/>
          <w:szCs w:val="20"/>
          <w:lang w:val="es-ES"/>
        </w:rPr>
        <w:t>«</w:t>
      </w:r>
      <w:r w:rsidR="00F56483" w:rsidRPr="001C58D6">
        <w:rPr>
          <w:rFonts w:ascii="Arial" w:hAnsi="Arial" w:cs="Arial"/>
          <w:i/>
          <w:iCs/>
          <w:color w:val="000000" w:themeColor="text1"/>
          <w:sz w:val="20"/>
          <w:szCs w:val="20"/>
          <w:lang w:val="es-ES_tradnl"/>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8A79CA">
        <w:rPr>
          <w:rFonts w:ascii="Arial" w:hAnsi="Arial" w:cs="Arial"/>
          <w:i/>
          <w:iCs/>
          <w:color w:val="000000" w:themeColor="text1"/>
          <w:sz w:val="22"/>
          <w:szCs w:val="22"/>
          <w:lang w:val="es-ES"/>
        </w:rPr>
        <w:t>»</w:t>
      </w:r>
      <w:r w:rsidR="00F56483" w:rsidRPr="001C58D6">
        <w:rPr>
          <w:rFonts w:ascii="Arial" w:eastAsia="Calibri" w:hAnsi="Arial" w:cs="Arial"/>
          <w:bCs/>
          <w:i/>
          <w:iCs/>
          <w:color w:val="000000" w:themeColor="text1"/>
          <w:sz w:val="20"/>
          <w:szCs w:val="20"/>
          <w:lang w:val="es-ES_tradnl"/>
        </w:rPr>
        <w:t>. </w:t>
      </w:r>
    </w:p>
    <w:p w14:paraId="0B842C22" w14:textId="77777777" w:rsidR="00F56483" w:rsidRPr="003726A7" w:rsidRDefault="00F56483" w:rsidP="00F56483">
      <w:pPr>
        <w:tabs>
          <w:tab w:val="left" w:pos="426"/>
        </w:tabs>
        <w:ind w:left="709" w:right="709"/>
        <w:jc w:val="both"/>
        <w:rPr>
          <w:rFonts w:ascii="Arial" w:hAnsi="Arial" w:cs="Arial"/>
          <w:color w:val="000000" w:themeColor="text1"/>
          <w:sz w:val="21"/>
          <w:szCs w:val="21"/>
          <w:lang w:val="es-ES_tradnl"/>
        </w:rPr>
      </w:pPr>
    </w:p>
    <w:p w14:paraId="689DD862" w14:textId="77777777" w:rsidR="00F56483" w:rsidRPr="003726A7" w:rsidRDefault="00F56483" w:rsidP="00F56483">
      <w:pPr>
        <w:tabs>
          <w:tab w:val="left" w:pos="426"/>
        </w:tabs>
        <w:spacing w:after="120" w:line="276" w:lineRule="auto"/>
        <w:jc w:val="both"/>
        <w:rPr>
          <w:rFonts w:ascii="Arial" w:hAnsi="Arial" w:cs="Arial"/>
          <w:color w:val="000000" w:themeColor="text1"/>
          <w:sz w:val="22"/>
          <w:lang w:val="es-ES_tradnl"/>
        </w:rPr>
      </w:pPr>
      <w:r w:rsidRPr="003726A7">
        <w:rPr>
          <w:rFonts w:ascii="Arial" w:eastAsia="Calibri" w:hAnsi="Arial" w:cs="Arial"/>
          <w:bCs/>
          <w:color w:val="000000" w:themeColor="text1"/>
          <w:sz w:val="22"/>
          <w:lang w:val="es-ES_tradnl"/>
        </w:rPr>
        <w:tab/>
      </w:r>
      <w:r w:rsidRPr="003726A7">
        <w:rPr>
          <w:rFonts w:ascii="Arial" w:eastAsia="Calibri" w:hAnsi="Arial" w:cs="Arial"/>
          <w:bCs/>
          <w:color w:val="000000" w:themeColor="text1"/>
          <w:sz w:val="22"/>
          <w:lang w:val="es-ES_tradnl"/>
        </w:rPr>
        <w:tab/>
      </w:r>
      <w:r w:rsidRPr="003726A7">
        <w:rPr>
          <w:rFonts w:ascii="Arial" w:hAnsi="Arial" w:cs="Arial"/>
          <w:color w:val="000000" w:themeColor="text1"/>
          <w:sz w:val="22"/>
          <w:lang w:val="es-ES_tradnl"/>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3726A7">
        <w:rPr>
          <w:rFonts w:ascii="Arial" w:eastAsia="Calibri" w:hAnsi="Arial" w:cs="Arial"/>
          <w:bCs/>
          <w:color w:val="000000" w:themeColor="text1"/>
          <w:sz w:val="22"/>
          <w:lang w:val="es-ES_tradnl"/>
        </w:rPr>
        <w:t> </w:t>
      </w:r>
    </w:p>
    <w:p w14:paraId="0A83251C" w14:textId="77777777" w:rsidR="00F56483" w:rsidRPr="003726A7" w:rsidRDefault="00F56483" w:rsidP="00F56483">
      <w:pPr>
        <w:spacing w:before="120" w:after="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3726A7">
        <w:rPr>
          <w:rFonts w:ascii="Arial" w:eastAsia="Calibri" w:hAnsi="Arial" w:cs="Arial"/>
          <w:bCs/>
          <w:color w:val="000000" w:themeColor="text1"/>
          <w:sz w:val="22"/>
          <w:lang w:val="es-ES_tradnl"/>
        </w:rPr>
        <w:t> </w:t>
      </w:r>
    </w:p>
    <w:p w14:paraId="64336029" w14:textId="77777777" w:rsidR="00F56483" w:rsidRPr="003726A7" w:rsidRDefault="00F56483" w:rsidP="00F56483">
      <w:pPr>
        <w:tabs>
          <w:tab w:val="left" w:pos="709"/>
        </w:tabs>
        <w:spacing w:before="120" w:line="276" w:lineRule="auto"/>
        <w:jc w:val="both"/>
        <w:rPr>
          <w:rFonts w:ascii="Arial" w:hAnsi="Arial" w:cs="Arial"/>
          <w:color w:val="000000" w:themeColor="text1"/>
          <w:sz w:val="22"/>
          <w:lang w:val="es-ES_tradnl"/>
        </w:rPr>
      </w:pPr>
      <w:r w:rsidRPr="003726A7">
        <w:rPr>
          <w:rFonts w:ascii="Arial" w:hAnsi="Arial" w:cs="Arial"/>
          <w:color w:val="000000" w:themeColor="text1"/>
          <w:sz w:val="22"/>
          <w:shd w:val="clear" w:color="auto" w:fill="FFFFFF"/>
          <w:lang w:val="es-ES_tradnl"/>
        </w:rPr>
        <w:tab/>
        <w:t>En concordancia con ello, es importante resaltar que e</w:t>
      </w:r>
      <w:r w:rsidRPr="003726A7">
        <w:rPr>
          <w:rFonts w:ascii="Arial" w:hAnsi="Arial" w:cs="Arial"/>
          <w:color w:val="000000" w:themeColor="text1"/>
          <w:sz w:val="22"/>
          <w:lang w:val="es-ES_tradnl"/>
        </w:rPr>
        <w:t>sta posición es compartida por varias entidades públicas que ejercen similar función. Por ejemplo, la Procuraduría General de la Nación</w:t>
      </w:r>
      <w:r w:rsidRPr="003726A7">
        <w:rPr>
          <w:rStyle w:val="Refdenotaalpie"/>
          <w:rFonts w:ascii="Arial" w:hAnsi="Arial" w:cs="Arial"/>
          <w:color w:val="000000" w:themeColor="text1"/>
          <w:lang w:val="es-ES_tradnl"/>
        </w:rPr>
        <w:footnoteReference w:id="4"/>
      </w:r>
      <w:r w:rsidRPr="003726A7">
        <w:rPr>
          <w:rFonts w:ascii="Arial" w:hAnsi="Arial" w:cs="Arial"/>
          <w:color w:val="000000" w:themeColor="text1"/>
          <w:sz w:val="22"/>
          <w:lang w:val="es-ES_tradnl"/>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3726A7">
        <w:rPr>
          <w:rStyle w:val="Refdenotaalpie"/>
          <w:rFonts w:ascii="Arial" w:hAnsi="Arial" w:cs="Arial"/>
          <w:color w:val="000000" w:themeColor="text1"/>
          <w:lang w:val="es-ES_tradnl"/>
        </w:rPr>
        <w:footnoteReference w:id="5"/>
      </w:r>
      <w:r w:rsidRPr="003726A7">
        <w:rPr>
          <w:rFonts w:ascii="Arial" w:hAnsi="Arial" w:cs="Arial"/>
          <w:color w:val="000000" w:themeColor="text1"/>
          <w:sz w:val="22"/>
          <w:lang w:val="es-ES_tradnl"/>
        </w:rPr>
        <w:t xml:space="preserve"> de la República precisó que los </w:t>
      </w:r>
      <w:r w:rsidRPr="001C58D6">
        <w:rPr>
          <w:rFonts w:ascii="Arial" w:hAnsi="Arial" w:cs="Arial"/>
          <w:i/>
          <w:iCs/>
          <w:color w:val="000000" w:themeColor="text1"/>
          <w:sz w:val="22"/>
          <w:lang w:val="es-ES_tradnl"/>
        </w:rPr>
        <w:t>«[…]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3726A7">
        <w:rPr>
          <w:rFonts w:ascii="Arial" w:eastAsia="Calibri" w:hAnsi="Arial" w:cs="Arial"/>
          <w:bCs/>
          <w:color w:val="000000" w:themeColor="text1"/>
          <w:sz w:val="22"/>
          <w:lang w:val="es-ES_tradnl"/>
        </w:rPr>
        <w:t> </w:t>
      </w:r>
    </w:p>
    <w:p w14:paraId="21FCFF8E" w14:textId="77777777" w:rsidR="00F56483" w:rsidRPr="003726A7" w:rsidRDefault="00F56483" w:rsidP="00F56483">
      <w:pPr>
        <w:tabs>
          <w:tab w:val="left" w:pos="709"/>
        </w:tabs>
        <w:spacing w:before="120" w:after="120" w:line="276" w:lineRule="auto"/>
        <w:jc w:val="both"/>
        <w:rPr>
          <w:rFonts w:ascii="Arial" w:hAnsi="Arial" w:cs="Arial"/>
          <w:color w:val="000000" w:themeColor="text1"/>
          <w:sz w:val="22"/>
          <w:lang w:val="es-ES_tradnl"/>
        </w:rPr>
      </w:pPr>
      <w:r w:rsidRPr="003726A7">
        <w:rPr>
          <w:rFonts w:ascii="Arial" w:eastAsia="Calibri" w:hAnsi="Arial" w:cs="Arial"/>
          <w:bCs/>
          <w:color w:val="000000" w:themeColor="text1"/>
          <w:sz w:val="22"/>
          <w:lang w:val="es-ES_tradnl"/>
        </w:rPr>
        <w:tab/>
      </w:r>
      <w:r w:rsidRPr="003726A7">
        <w:rPr>
          <w:rFonts w:ascii="Arial" w:hAnsi="Arial" w:cs="Arial"/>
          <w:color w:val="000000" w:themeColor="text1"/>
          <w:sz w:val="22"/>
          <w:lang w:val="es-ES_tradnl"/>
        </w:rPr>
        <w:t xml:space="preserve">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w:t>
      </w:r>
      <w:r w:rsidRPr="003726A7">
        <w:rPr>
          <w:rFonts w:ascii="Arial" w:hAnsi="Arial" w:cs="Arial"/>
          <w:color w:val="000000" w:themeColor="text1"/>
          <w:sz w:val="22"/>
          <w:lang w:val="es-ES_tradnl"/>
        </w:rPr>
        <w:lastRenderedPageBreak/>
        <w:t>criterio que expone alguna de las partes o la persona que solicita la consulta, circunstancia que no descarta interpretaciones diferentes</w:t>
      </w:r>
      <w:r w:rsidRPr="003726A7">
        <w:rPr>
          <w:rStyle w:val="Refdenotaalpie"/>
          <w:rFonts w:ascii="Arial" w:hAnsi="Arial" w:cs="Arial"/>
          <w:color w:val="000000" w:themeColor="text1"/>
          <w:lang w:val="es-ES_tradnl"/>
        </w:rPr>
        <w:footnoteReference w:id="6"/>
      </w:r>
      <w:r w:rsidRPr="003726A7">
        <w:rPr>
          <w:rFonts w:ascii="Arial" w:hAnsi="Arial" w:cs="Arial"/>
          <w:color w:val="000000" w:themeColor="text1"/>
          <w:sz w:val="22"/>
          <w:lang w:val="es-ES_tradnl"/>
        </w:rPr>
        <w:t xml:space="preserve">. </w:t>
      </w:r>
    </w:p>
    <w:p w14:paraId="01E4AB54" w14:textId="77777777" w:rsidR="00F56483" w:rsidRPr="003726A7" w:rsidRDefault="00F56483" w:rsidP="00F56483">
      <w:pPr>
        <w:spacing w:before="120" w:after="120" w:line="276" w:lineRule="auto"/>
        <w:ind w:firstLine="709"/>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De este modo, las autoridades que ejercen funciones consultivas pueden expresar su interpretación de un precepto normativo, la cual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1ABCFFF2" w14:textId="76529A51" w:rsidR="00CB3705" w:rsidRPr="00F56483" w:rsidRDefault="00F56483" w:rsidP="00F56483">
      <w:pPr>
        <w:spacing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De todos modos, esto no significa, necesariamente, que el criterio de una u otra tenga prevalencia sobre la otra, ya que se trata de opiniones emitidas a título de concepto, pese a que entre las entidades exista jerarquía, o de la naturaleza y competencias que se prediquen de una y otra. Incluso, aun cuando los jueces interpreten con autoridad el sentido de la disposición normativa, el concepto emitido por la entidad no deja de ser un concepto y no adquiere efectos vinculantes, así coincida con el de la autoridad judicial, pues, en esa hipótesis, lo que vincula es la decisión del juez, no el concepto de la entidad que ejerció la función consultiva, pues, como se viene diciendo, dicha competencia se enmarca en el artículo 28 de la Ley 1437 de 2011. Así pues, como lo establece esta forma, los conceptos </w:t>
      </w:r>
      <w:r w:rsidRPr="001C58D6">
        <w:rPr>
          <w:rFonts w:ascii="Arial" w:hAnsi="Arial" w:cs="Arial"/>
          <w:i/>
          <w:iCs/>
          <w:color w:val="000000" w:themeColor="text1"/>
          <w:sz w:val="22"/>
          <w:lang w:val="es-ES_tradnl"/>
        </w:rPr>
        <w:t>«no serán de obligatorio cumplimiento o ejecución».</w:t>
      </w:r>
      <w:r w:rsidRPr="003726A7">
        <w:rPr>
          <w:rFonts w:ascii="Arial" w:hAnsi="Arial" w:cs="Arial"/>
          <w:color w:val="000000" w:themeColor="text1"/>
          <w:sz w:val="22"/>
          <w:lang w:val="es-ES_tradnl"/>
        </w:rPr>
        <w:t xml:space="preserve"> Por lo anterior, a continuación, la Agencia Nacional de Contratación Pública – Colombia Compra Eficiente hará una interpretación </w:t>
      </w:r>
      <w:r w:rsidRPr="003726A7">
        <w:rPr>
          <w:rFonts w:ascii="Arial" w:hAnsi="Arial" w:cs="Arial"/>
          <w:i/>
          <w:iCs/>
          <w:color w:val="000000" w:themeColor="text1"/>
          <w:sz w:val="22"/>
          <w:lang w:val="es-ES_tradnl"/>
        </w:rPr>
        <w:t>en abstracto</w:t>
      </w:r>
      <w:r w:rsidRPr="003726A7">
        <w:rPr>
          <w:rFonts w:ascii="Arial" w:hAnsi="Arial" w:cs="Arial"/>
          <w:color w:val="000000" w:themeColor="text1"/>
          <w:sz w:val="22"/>
          <w:lang w:val="es-ES_tradnl"/>
        </w:rPr>
        <w:t xml:space="preserve"> de los temas que se relacionan con el objeto de su consulta, con la salvedad –fundamentada en los comentarios que acaban de hacerse– de que la opinión consultiva de la Agencia no es vinculante.</w:t>
      </w:r>
    </w:p>
    <w:p w14:paraId="24B2C65D" w14:textId="77777777" w:rsidR="00F56483" w:rsidRDefault="00F56483" w:rsidP="009B1D4D">
      <w:pPr>
        <w:tabs>
          <w:tab w:val="left" w:pos="0"/>
          <w:tab w:val="left" w:pos="2190"/>
          <w:tab w:val="left" w:pos="6645"/>
        </w:tabs>
        <w:spacing w:line="276" w:lineRule="auto"/>
        <w:jc w:val="both"/>
        <w:rPr>
          <w:rFonts w:ascii="Arial" w:eastAsia="Calibri" w:hAnsi="Arial" w:cs="Arial"/>
          <w:bCs/>
          <w:sz w:val="22"/>
          <w:lang w:val="es-ES_tradnl"/>
        </w:rPr>
      </w:pPr>
    </w:p>
    <w:p w14:paraId="193A45E8" w14:textId="62C89715" w:rsidR="00D823EA" w:rsidRPr="00BC42A3" w:rsidRDefault="00CB3705" w:rsidP="00D823EA">
      <w:pPr>
        <w:spacing w:line="276" w:lineRule="auto"/>
        <w:jc w:val="both"/>
        <w:rPr>
          <w:rFonts w:ascii="Arial" w:hAnsi="Arial" w:cs="Arial"/>
          <w:b/>
          <w:sz w:val="22"/>
          <w:lang w:val="es-ES_tradnl"/>
        </w:rPr>
      </w:pPr>
      <w:r w:rsidRPr="00524963">
        <w:rPr>
          <w:rFonts w:ascii="Arial" w:eastAsia="Calibri" w:hAnsi="Arial" w:cs="Arial"/>
          <w:b/>
          <w:bCs/>
          <w:sz w:val="22"/>
          <w:szCs w:val="22"/>
          <w:lang w:val="es-ES_tradnl" w:eastAsia="en-US"/>
        </w:rPr>
        <w:t>2.</w:t>
      </w:r>
      <w:r w:rsidR="00F56483">
        <w:rPr>
          <w:rFonts w:ascii="Arial" w:eastAsia="Calibri" w:hAnsi="Arial" w:cs="Arial"/>
          <w:b/>
          <w:bCs/>
          <w:sz w:val="22"/>
          <w:szCs w:val="22"/>
          <w:lang w:val="es-ES_tradnl" w:eastAsia="en-US"/>
        </w:rPr>
        <w:t>2</w:t>
      </w:r>
      <w:r w:rsidRPr="00524963">
        <w:rPr>
          <w:rFonts w:ascii="Arial" w:eastAsia="Calibri" w:hAnsi="Arial" w:cs="Arial"/>
          <w:b/>
          <w:bCs/>
          <w:sz w:val="22"/>
          <w:szCs w:val="22"/>
          <w:lang w:val="es-ES_tradnl" w:eastAsia="en-US"/>
        </w:rPr>
        <w:t xml:space="preserve">. </w:t>
      </w:r>
      <w:r w:rsidR="00D823EA">
        <w:rPr>
          <w:rFonts w:ascii="Arial" w:hAnsi="Arial" w:cs="Arial"/>
          <w:b/>
          <w:sz w:val="22"/>
          <w:lang w:val="es-ES_tradnl"/>
        </w:rPr>
        <w:t>Liquidación de los contratos estatales</w:t>
      </w:r>
    </w:p>
    <w:p w14:paraId="6B989C03" w14:textId="77777777" w:rsidR="00D823EA" w:rsidRDefault="00D823EA" w:rsidP="00D823EA">
      <w:pPr>
        <w:autoSpaceDE w:val="0"/>
        <w:autoSpaceDN w:val="0"/>
        <w:adjustRightInd w:val="0"/>
        <w:spacing w:line="276" w:lineRule="auto"/>
        <w:jc w:val="both"/>
        <w:rPr>
          <w:rFonts w:ascii="Arial" w:eastAsia="Calibri" w:hAnsi="Arial" w:cs="Arial"/>
          <w:b/>
          <w:color w:val="000000" w:themeColor="text1"/>
          <w:sz w:val="22"/>
        </w:rPr>
      </w:pPr>
    </w:p>
    <w:p w14:paraId="58A60AE9" w14:textId="77777777" w:rsidR="00D823EA" w:rsidRDefault="00D823EA" w:rsidP="00D823EA">
      <w:pPr>
        <w:pStyle w:val="Sinespaciado"/>
        <w:spacing w:line="276" w:lineRule="auto"/>
        <w:jc w:val="both"/>
        <w:rPr>
          <w:rFonts w:ascii="Arial" w:hAnsi="Arial" w:cs="Arial"/>
          <w:color w:val="000000" w:themeColor="text1"/>
          <w:sz w:val="22"/>
          <w:lang w:val="es-ES_tradnl"/>
        </w:rPr>
      </w:pPr>
      <w:r w:rsidRPr="009C6B45">
        <w:rPr>
          <w:rFonts w:ascii="Arial" w:hAnsi="Arial" w:cs="Arial"/>
          <w:color w:val="000000" w:themeColor="text1"/>
          <w:sz w:val="22"/>
          <w:lang w:val="es-ES_tradnl"/>
        </w:rPr>
        <w:t>La liquidación es el momento en el cual, una vez concluido el contrato estatal, las partes cruzan cuentas respecto de sus obligaciones</w:t>
      </w:r>
      <w:r>
        <w:rPr>
          <w:rFonts w:ascii="Arial" w:hAnsi="Arial" w:cs="Arial"/>
          <w:color w:val="000000" w:themeColor="text1"/>
          <w:sz w:val="22"/>
          <w:lang w:val="es-ES_tradnl"/>
        </w:rPr>
        <w:t>, por tanto, su</w:t>
      </w:r>
      <w:r w:rsidRPr="009C6B45">
        <w:rPr>
          <w:rFonts w:ascii="Arial" w:hAnsi="Arial" w:cs="Arial"/>
          <w:color w:val="000000" w:themeColor="text1"/>
          <w:sz w:val="22"/>
          <w:lang w:val="es-ES_tradnl"/>
        </w:rPr>
        <w:t xml:space="preserve"> objetivo es determinar si pueden declararse a paz y salvo mutuo o si</w:t>
      </w:r>
      <w:r>
        <w:rPr>
          <w:rFonts w:ascii="Arial" w:hAnsi="Arial" w:cs="Arial"/>
          <w:color w:val="000000" w:themeColor="text1"/>
          <w:sz w:val="22"/>
          <w:lang w:val="es-ES_tradnl"/>
        </w:rPr>
        <w:t>, por el contrario,</w:t>
      </w:r>
      <w:r w:rsidRPr="009C6B45">
        <w:rPr>
          <w:rFonts w:ascii="Arial" w:hAnsi="Arial" w:cs="Arial"/>
          <w:color w:val="000000" w:themeColor="text1"/>
          <w:sz w:val="22"/>
          <w:lang w:val="es-ES_tradnl"/>
        </w:rPr>
        <w:t xml:space="preserve"> existen </w:t>
      </w:r>
      <w:r>
        <w:rPr>
          <w:rFonts w:ascii="Arial" w:hAnsi="Arial" w:cs="Arial"/>
          <w:color w:val="000000" w:themeColor="text1"/>
          <w:sz w:val="22"/>
          <w:lang w:val="es-ES_tradnl"/>
        </w:rPr>
        <w:t xml:space="preserve">aún </w:t>
      </w:r>
      <w:r w:rsidRPr="009C6B45">
        <w:rPr>
          <w:rFonts w:ascii="Arial" w:hAnsi="Arial" w:cs="Arial"/>
          <w:color w:val="000000" w:themeColor="text1"/>
          <w:sz w:val="22"/>
          <w:lang w:val="es-ES_tradnl"/>
        </w:rPr>
        <w:t xml:space="preserve">obligaciones por cumplir, </w:t>
      </w:r>
      <w:r>
        <w:rPr>
          <w:rFonts w:ascii="Arial" w:hAnsi="Arial" w:cs="Arial"/>
          <w:color w:val="000000" w:themeColor="text1"/>
          <w:sz w:val="22"/>
          <w:lang w:val="es-ES_tradnl"/>
        </w:rPr>
        <w:t>para a</w:t>
      </w:r>
      <w:r w:rsidRPr="009C6B45">
        <w:rPr>
          <w:rFonts w:ascii="Arial" w:hAnsi="Arial" w:cs="Arial"/>
          <w:color w:val="000000" w:themeColor="text1"/>
          <w:sz w:val="22"/>
          <w:lang w:val="es-ES_tradnl"/>
        </w:rPr>
        <w:t>cordar la forma en que deben ser cumplidas</w:t>
      </w:r>
      <w:r>
        <w:rPr>
          <w:rStyle w:val="Refdenotaalpie"/>
          <w:rFonts w:ascii="Arial" w:hAnsi="Arial" w:cs="Arial"/>
          <w:color w:val="000000" w:themeColor="text1"/>
          <w:sz w:val="22"/>
          <w:lang w:val="es-ES_tradnl"/>
        </w:rPr>
        <w:footnoteReference w:id="7"/>
      </w:r>
      <w:r w:rsidRPr="009C6B45">
        <w:rPr>
          <w:rFonts w:ascii="Arial" w:hAnsi="Arial" w:cs="Arial"/>
          <w:color w:val="000000" w:themeColor="text1"/>
          <w:sz w:val="22"/>
          <w:lang w:val="es-ES_tradnl"/>
        </w:rPr>
        <w:t xml:space="preserve">. </w:t>
      </w:r>
      <w:r>
        <w:rPr>
          <w:rFonts w:ascii="Arial" w:hAnsi="Arial" w:cs="Arial"/>
          <w:color w:val="000000" w:themeColor="text1"/>
          <w:sz w:val="22"/>
          <w:lang w:val="es-ES_tradnl"/>
        </w:rPr>
        <w:t>En armonía con lo anterior, la doctrina ha definido la liquidación de la siguiente manera:</w:t>
      </w:r>
    </w:p>
    <w:p w14:paraId="74FD752B" w14:textId="77777777" w:rsidR="00D823EA" w:rsidRDefault="00D823EA" w:rsidP="00D823EA">
      <w:pPr>
        <w:pStyle w:val="Sinespaciado"/>
        <w:spacing w:line="276" w:lineRule="auto"/>
        <w:jc w:val="both"/>
        <w:rPr>
          <w:rFonts w:ascii="Arial" w:hAnsi="Arial" w:cs="Arial"/>
          <w:color w:val="000000" w:themeColor="text1"/>
          <w:sz w:val="22"/>
          <w:lang w:val="es-ES_tradnl"/>
        </w:rPr>
      </w:pPr>
    </w:p>
    <w:p w14:paraId="3A84DB5F" w14:textId="74C3195D" w:rsidR="00D823EA" w:rsidRPr="001C58D6" w:rsidRDefault="00D15431" w:rsidP="00D823EA">
      <w:pPr>
        <w:pStyle w:val="Sinespaciado"/>
        <w:ind w:left="709" w:right="758"/>
        <w:jc w:val="both"/>
        <w:rPr>
          <w:rFonts w:ascii="Arial" w:hAnsi="Arial" w:cs="Arial"/>
          <w:sz w:val="20"/>
          <w:szCs w:val="20"/>
        </w:rPr>
      </w:pPr>
      <w:r w:rsidRPr="001D38DD">
        <w:rPr>
          <w:rFonts w:ascii="Arial" w:hAnsi="Arial" w:cs="Arial"/>
          <w:i/>
          <w:iCs/>
          <w:color w:val="000000" w:themeColor="text1"/>
          <w:sz w:val="22"/>
          <w:lang w:val="es-ES_tradnl"/>
        </w:rPr>
        <w:t>«</w:t>
      </w:r>
      <w:r w:rsidR="00D823EA" w:rsidRPr="001C58D6">
        <w:rPr>
          <w:rFonts w:ascii="Arial" w:hAnsi="Arial" w:cs="Arial"/>
          <w:sz w:val="20"/>
          <w:szCs w:val="20"/>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00D823EA" w:rsidRPr="001C58D6">
        <w:rPr>
          <w:sz w:val="20"/>
          <w:szCs w:val="20"/>
          <w:vertAlign w:val="superscript"/>
        </w:rPr>
        <w:footnoteReference w:id="8"/>
      </w:r>
      <w:r w:rsidRPr="00D15431">
        <w:rPr>
          <w:rFonts w:ascii="Arial" w:hAnsi="Arial" w:cs="Arial"/>
          <w:sz w:val="20"/>
          <w:szCs w:val="20"/>
        </w:rPr>
        <w:t>.</w:t>
      </w:r>
      <w:r w:rsidRPr="00D15431">
        <w:rPr>
          <w:rFonts w:ascii="Arial" w:hAnsi="Arial" w:cs="Arial"/>
          <w:i/>
          <w:iCs/>
          <w:color w:val="000000" w:themeColor="text1"/>
          <w:sz w:val="22"/>
          <w:lang w:val="es-ES_tradnl"/>
        </w:rPr>
        <w:t>»</w:t>
      </w:r>
      <w:r w:rsidR="00D823EA" w:rsidRPr="001C58D6">
        <w:rPr>
          <w:rFonts w:ascii="Arial" w:hAnsi="Arial" w:cs="Arial"/>
          <w:sz w:val="20"/>
          <w:szCs w:val="20"/>
        </w:rPr>
        <w:t xml:space="preserve"> </w:t>
      </w:r>
    </w:p>
    <w:p w14:paraId="15E0A2F5" w14:textId="77777777" w:rsidR="00D823EA" w:rsidRPr="009C6B45" w:rsidRDefault="00D823EA" w:rsidP="00D823EA">
      <w:pPr>
        <w:pStyle w:val="Sinespaciado"/>
        <w:spacing w:line="276" w:lineRule="auto"/>
        <w:jc w:val="both"/>
        <w:rPr>
          <w:rFonts w:ascii="Arial" w:hAnsi="Arial" w:cs="Arial"/>
          <w:color w:val="000000" w:themeColor="text1"/>
          <w:sz w:val="22"/>
          <w:lang w:val="es-ES_tradnl"/>
        </w:rPr>
      </w:pPr>
    </w:p>
    <w:p w14:paraId="65D84381" w14:textId="77777777" w:rsidR="00D823EA" w:rsidRPr="009C6B45" w:rsidRDefault="00D823EA" w:rsidP="00D823EA">
      <w:pPr>
        <w:spacing w:after="120" w:line="276" w:lineRule="auto"/>
        <w:ind w:firstLine="709"/>
        <w:jc w:val="both"/>
        <w:rPr>
          <w:rFonts w:ascii="Arial" w:hAnsi="Arial" w:cs="Arial"/>
          <w:color w:val="000000" w:themeColor="text1"/>
          <w:sz w:val="21"/>
          <w:szCs w:val="21"/>
          <w:lang w:val="es-ES_tradnl"/>
        </w:rPr>
      </w:pPr>
      <w:r>
        <w:rPr>
          <w:rFonts w:ascii="Arial" w:hAnsi="Arial" w:cs="Arial"/>
          <w:color w:val="000000" w:themeColor="text1"/>
          <w:sz w:val="22"/>
          <w:lang w:val="es-ES_tradnl"/>
        </w:rPr>
        <w:t xml:space="preserve">En línea con lo anterior, </w:t>
      </w:r>
      <w:r w:rsidRPr="009C6B45">
        <w:rPr>
          <w:rFonts w:ascii="Arial" w:hAnsi="Arial" w:cs="Arial"/>
          <w:color w:val="000000" w:themeColor="text1"/>
          <w:sz w:val="22"/>
          <w:lang w:val="es-ES_tradnl"/>
        </w:rPr>
        <w:t xml:space="preserve">según la jurisprudencia, </w:t>
      </w:r>
      <w:r>
        <w:rPr>
          <w:rFonts w:ascii="Arial" w:hAnsi="Arial" w:cs="Arial"/>
          <w:color w:val="000000" w:themeColor="text1"/>
          <w:sz w:val="22"/>
          <w:lang w:val="es-ES_tradnl"/>
        </w:rPr>
        <w:t xml:space="preserve">la liquidación </w:t>
      </w:r>
      <w:r w:rsidRPr="009C6B45">
        <w:rPr>
          <w:rFonts w:ascii="Arial" w:hAnsi="Arial" w:cs="Arial"/>
          <w:color w:val="000000" w:themeColor="text1"/>
          <w:sz w:val="22"/>
          <w:lang w:val="es-ES_tradnl"/>
        </w:rPr>
        <w:t xml:space="preserve">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9C6B45">
        <w:rPr>
          <w:rFonts w:ascii="Arial" w:hAnsi="Arial" w:cs="Arial"/>
          <w:i/>
          <w:iCs/>
          <w:color w:val="000000" w:themeColor="text1"/>
          <w:sz w:val="22"/>
          <w:lang w:val="es-ES_tradnl"/>
        </w:rPr>
        <w:t>liquidar</w:t>
      </w:r>
      <w:r w:rsidRPr="009C6B45">
        <w:rPr>
          <w:rFonts w:ascii="Arial" w:hAnsi="Arial" w:cs="Arial"/>
          <w:color w:val="000000" w:themeColor="text1"/>
          <w:sz w:val="22"/>
          <w:lang w:val="es-ES_tradnl"/>
        </w:rPr>
        <w:t xml:space="preserve"> supone un ajuste en relación con las cuentas y el estado de cumplimiento del contrato estatal y, por el otro, que la </w:t>
      </w:r>
      <w:r w:rsidRPr="009C6B45">
        <w:rPr>
          <w:rFonts w:ascii="Arial" w:hAnsi="Arial" w:cs="Arial"/>
          <w:i/>
          <w:iCs/>
          <w:color w:val="000000" w:themeColor="text1"/>
          <w:sz w:val="22"/>
          <w:lang w:val="es-ES_tradnl"/>
        </w:rPr>
        <w:t>liquidación</w:t>
      </w:r>
      <w:r w:rsidRPr="009C6B45">
        <w:rPr>
          <w:rFonts w:ascii="Arial" w:hAnsi="Arial" w:cs="Arial"/>
          <w:color w:val="000000" w:themeColor="text1"/>
          <w:sz w:val="22"/>
          <w:lang w:val="es-ES_tradnl"/>
        </w:rPr>
        <w:t xml:space="preserve"> debe incluir el análisis de las condiciones de calidad y oportunidad en la entrega de los bienes, obras o servicios, así como el balance económico y el comportamiento financiero del negocio</w:t>
      </w:r>
      <w:r w:rsidRPr="009C6B45">
        <w:rPr>
          <w:rStyle w:val="Refdenotaalpie"/>
          <w:rFonts w:ascii="Arial" w:hAnsi="Arial" w:cs="Arial"/>
          <w:color w:val="000000" w:themeColor="text1"/>
          <w:sz w:val="22"/>
          <w:lang w:val="es-ES_tradnl"/>
        </w:rPr>
        <w:footnoteReference w:id="9"/>
      </w:r>
      <w:r w:rsidRPr="009C6B45">
        <w:rPr>
          <w:rFonts w:ascii="Arial" w:hAnsi="Arial" w:cs="Arial"/>
          <w:color w:val="000000" w:themeColor="text1"/>
          <w:sz w:val="22"/>
          <w:lang w:val="es-ES_tradnl"/>
        </w:rPr>
        <w:t xml:space="preserve">. </w:t>
      </w:r>
    </w:p>
    <w:p w14:paraId="34A2960A" w14:textId="77777777" w:rsidR="00D823EA" w:rsidRDefault="00D823EA" w:rsidP="00D823EA">
      <w:pPr>
        <w:pStyle w:val="Sinespaciado"/>
        <w:spacing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Las disposiciones legales que </w:t>
      </w:r>
      <w:r>
        <w:rPr>
          <w:rFonts w:ascii="Arial" w:hAnsi="Arial" w:cs="Arial"/>
          <w:color w:val="000000" w:themeColor="text1"/>
          <w:sz w:val="22"/>
          <w:lang w:val="es-ES_tradnl"/>
        </w:rPr>
        <w:t>regulan</w:t>
      </w:r>
      <w:r w:rsidRPr="009C6B45">
        <w:rPr>
          <w:rFonts w:ascii="Arial" w:hAnsi="Arial" w:cs="Arial"/>
          <w:color w:val="000000" w:themeColor="text1"/>
          <w:sz w:val="22"/>
          <w:lang w:val="es-ES_tradnl"/>
        </w:rPr>
        <w:t xml:space="preserve"> la etapa de liquidación de los contratos estatales son el artículo 60 de la Ley 80 de 1993, modificado por el artículo 217 del Decreto 019 de 2012, y el artículo 11 de la Ley 1150 de 2007. El primer</w:t>
      </w:r>
      <w:r>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de estos artículos se refiere </w:t>
      </w:r>
      <w:r w:rsidRPr="009C6B45">
        <w:rPr>
          <w:rFonts w:ascii="Arial" w:hAnsi="Arial" w:cs="Arial"/>
          <w:color w:val="000000" w:themeColor="text1"/>
          <w:sz w:val="22"/>
          <w:lang w:val="es-ES_tradnl"/>
        </w:rPr>
        <w:lastRenderedPageBreak/>
        <w:t>al alcance sustantivo de la liquidación</w:t>
      </w:r>
      <w:r>
        <w:rPr>
          <w:rFonts w:ascii="Arial" w:hAnsi="Arial" w:cs="Arial"/>
          <w:color w:val="000000" w:themeColor="text1"/>
          <w:sz w:val="22"/>
          <w:lang w:val="es-ES_tradnl"/>
        </w:rPr>
        <w:t xml:space="preserve"> y los contratos en que procede</w:t>
      </w:r>
      <w:r w:rsidRPr="009C6B45">
        <w:rPr>
          <w:rFonts w:ascii="Arial" w:hAnsi="Arial" w:cs="Arial"/>
          <w:color w:val="000000" w:themeColor="text1"/>
          <w:sz w:val="22"/>
          <w:lang w:val="es-ES_tradnl"/>
        </w:rPr>
        <w:t xml:space="preserve">, mientras que </w:t>
      </w:r>
      <w:r>
        <w:rPr>
          <w:rFonts w:ascii="Arial" w:hAnsi="Arial" w:cs="Arial"/>
          <w:color w:val="000000" w:themeColor="text1"/>
          <w:sz w:val="22"/>
          <w:lang w:val="es-ES_tradnl"/>
        </w:rPr>
        <w:t>el</w:t>
      </w:r>
      <w:r w:rsidRPr="009C6B45">
        <w:rPr>
          <w:rFonts w:ascii="Arial" w:hAnsi="Arial" w:cs="Arial"/>
          <w:color w:val="000000" w:themeColor="text1"/>
          <w:sz w:val="22"/>
          <w:lang w:val="es-ES_tradnl"/>
        </w:rPr>
        <w:t xml:space="preserve"> segund</w:t>
      </w:r>
      <w:r>
        <w:rPr>
          <w:rFonts w:ascii="Arial" w:hAnsi="Arial" w:cs="Arial"/>
          <w:color w:val="000000" w:themeColor="text1"/>
          <w:sz w:val="22"/>
          <w:lang w:val="es-ES_tradnl"/>
        </w:rPr>
        <w:t>o</w:t>
      </w:r>
      <w:r w:rsidRPr="009C6B45">
        <w:rPr>
          <w:rFonts w:ascii="Arial" w:hAnsi="Arial" w:cs="Arial"/>
          <w:color w:val="000000" w:themeColor="text1"/>
          <w:sz w:val="22"/>
          <w:lang w:val="es-ES_tradnl"/>
        </w:rPr>
        <w:t xml:space="preserve"> contiene reglas procedimentales para su </w:t>
      </w:r>
      <w:r>
        <w:rPr>
          <w:rFonts w:ascii="Arial" w:hAnsi="Arial" w:cs="Arial"/>
          <w:color w:val="000000" w:themeColor="text1"/>
          <w:sz w:val="22"/>
          <w:lang w:val="es-ES_tradnl"/>
        </w:rPr>
        <w:t>realización</w:t>
      </w:r>
      <w:r w:rsidRPr="009C6B45">
        <w:rPr>
          <w:rFonts w:ascii="Arial" w:hAnsi="Arial" w:cs="Arial"/>
          <w:color w:val="000000" w:themeColor="text1"/>
          <w:sz w:val="22"/>
          <w:lang w:val="es-ES_tradnl"/>
        </w:rPr>
        <w:t xml:space="preserve">. </w:t>
      </w:r>
      <w:r>
        <w:rPr>
          <w:rFonts w:ascii="Arial" w:hAnsi="Arial" w:cs="Arial"/>
          <w:color w:val="000000" w:themeColor="text1"/>
          <w:sz w:val="22"/>
          <w:lang w:val="es-ES_tradnl"/>
        </w:rPr>
        <w:t>En relación con el artículo 60 referido, la doctrina ha indicado que:</w:t>
      </w:r>
    </w:p>
    <w:p w14:paraId="5C62BFDE" w14:textId="77777777" w:rsidR="00D823EA" w:rsidRDefault="00D823EA" w:rsidP="00D823EA">
      <w:pPr>
        <w:pStyle w:val="Sinespaciado"/>
        <w:spacing w:line="276" w:lineRule="auto"/>
        <w:ind w:firstLine="708"/>
        <w:jc w:val="both"/>
        <w:rPr>
          <w:rFonts w:ascii="Arial" w:hAnsi="Arial" w:cs="Arial"/>
          <w:color w:val="000000" w:themeColor="text1"/>
          <w:sz w:val="22"/>
          <w:lang w:val="es-ES_tradnl"/>
        </w:rPr>
      </w:pPr>
    </w:p>
    <w:p w14:paraId="5367975E" w14:textId="7D672A80" w:rsidR="00D823EA" w:rsidRDefault="00D15431" w:rsidP="00D823EA">
      <w:pPr>
        <w:pStyle w:val="Sinespaciado"/>
        <w:ind w:left="709" w:right="758"/>
        <w:jc w:val="both"/>
        <w:rPr>
          <w:rFonts w:ascii="Arial" w:hAnsi="Arial" w:cs="Arial"/>
          <w:color w:val="000000"/>
          <w:sz w:val="21"/>
          <w:szCs w:val="21"/>
          <w:shd w:val="clear" w:color="auto" w:fill="FFFFFF"/>
        </w:rPr>
      </w:pPr>
      <w:r w:rsidRPr="001D38DD">
        <w:rPr>
          <w:rFonts w:ascii="Arial" w:hAnsi="Arial" w:cs="Arial"/>
          <w:i/>
          <w:iCs/>
          <w:color w:val="000000" w:themeColor="text1"/>
          <w:sz w:val="22"/>
          <w:lang w:val="es-ES_tradnl"/>
        </w:rPr>
        <w:t>«</w:t>
      </w:r>
      <w:r w:rsidR="00D823EA" w:rsidRPr="00B16BEC">
        <w:rPr>
          <w:rFonts w:ascii="Arial" w:hAnsi="Arial" w:cs="Arial"/>
          <w:sz w:val="21"/>
          <w:szCs w:val="21"/>
        </w:rPr>
        <w:t xml:space="preserve">La ley 80 de 1993 </w:t>
      </w:r>
      <w:r w:rsidR="00D823EA">
        <w:rPr>
          <w:rFonts w:ascii="Arial" w:hAnsi="Arial" w:cs="Arial"/>
          <w:sz w:val="21"/>
          <w:szCs w:val="21"/>
        </w:rPr>
        <w:t>[</w:t>
      </w:r>
      <w:r w:rsidR="00D823EA" w:rsidRPr="00B16BEC">
        <w:rPr>
          <w:rFonts w:ascii="Arial" w:hAnsi="Arial" w:cs="Arial"/>
          <w:sz w:val="21"/>
          <w:szCs w:val="21"/>
        </w:rPr>
        <w:t>…</w:t>
      </w:r>
      <w:r w:rsidR="00D823EA">
        <w:rPr>
          <w:rFonts w:ascii="Arial" w:hAnsi="Arial" w:cs="Arial"/>
          <w:sz w:val="21"/>
          <w:szCs w:val="21"/>
        </w:rPr>
        <w:t>]</w:t>
      </w:r>
      <w:r w:rsidR="00D823EA" w:rsidRPr="00B16BEC">
        <w:rPr>
          <w:rFonts w:ascii="Arial" w:hAnsi="Arial" w:cs="Arial"/>
          <w:sz w:val="21"/>
          <w:szCs w:val="21"/>
        </w:rPr>
        <w:t xml:space="preserve"> dispuso en el artículo 60 que serían objeto de liquidación todos los contratos de tracto sucesivo, entendiendo por estos los de ejecución y cumplimiento prolongados en el tiempo, así como los demás que lo requieran </w:t>
      </w:r>
      <w:r w:rsidR="00D823EA">
        <w:rPr>
          <w:rFonts w:ascii="Arial" w:hAnsi="Arial" w:cs="Arial"/>
          <w:sz w:val="21"/>
          <w:szCs w:val="21"/>
        </w:rPr>
        <w:t>–</w:t>
      </w:r>
      <w:r w:rsidR="00D823EA" w:rsidRPr="00B16BEC">
        <w:rPr>
          <w:rFonts w:ascii="Arial" w:hAnsi="Arial" w:cs="Arial"/>
          <w:sz w:val="21"/>
          <w:szCs w:val="21"/>
        </w:rPr>
        <w:t>que son generalmente aquellos de ejecución instantánea en los que la misma se ha extendido temporalmente</w:t>
      </w:r>
      <w:r w:rsidR="00D823EA">
        <w:rPr>
          <w:rFonts w:ascii="Arial" w:hAnsi="Arial" w:cs="Arial"/>
          <w:sz w:val="21"/>
          <w:szCs w:val="21"/>
        </w:rPr>
        <w:t>–</w:t>
      </w:r>
      <w:r w:rsidR="00D823EA" w:rsidRPr="00B16BEC">
        <w:rPr>
          <w:rFonts w:ascii="Arial" w:hAnsi="Arial" w:cs="Arial"/>
          <w:sz w:val="21"/>
          <w:szCs w:val="21"/>
        </w:rPr>
        <w:t>, etapa en l</w:t>
      </w:r>
      <w:r w:rsidR="00D823EA">
        <w:rPr>
          <w:rFonts w:ascii="Arial" w:hAnsi="Arial" w:cs="Arial"/>
          <w:sz w:val="21"/>
          <w:szCs w:val="21"/>
        </w:rPr>
        <w:t>a</w:t>
      </w:r>
      <w:r w:rsidR="00D823EA" w:rsidRPr="00B16BEC">
        <w:rPr>
          <w:rFonts w:ascii="Arial" w:hAnsi="Arial" w:cs="Arial"/>
          <w:sz w:val="21"/>
          <w:szCs w:val="21"/>
        </w:rPr>
        <w:t xml:space="preserve"> cual las partes debían acordar los ajustes, revisiones y reconocimientos a que hubiera lugar, y que el contenido de la misma debía reflejar </w:t>
      </w:r>
      <w:r w:rsidR="00D823EA">
        <w:rPr>
          <w:rFonts w:ascii="Arial" w:hAnsi="Arial" w:cs="Arial"/>
          <w:sz w:val="21"/>
          <w:szCs w:val="21"/>
        </w:rPr>
        <w:t>«</w:t>
      </w:r>
      <w:r w:rsidR="00D823EA" w:rsidRPr="00B16BEC">
        <w:rPr>
          <w:rFonts w:ascii="Arial" w:hAnsi="Arial" w:cs="Arial"/>
          <w:sz w:val="21"/>
          <w:szCs w:val="21"/>
        </w:rPr>
        <w:t>los acuerdos, conciliaciones y transacciones a que llegaren las partes para poner fin a las divergencias presentadas y poder declararse a paz y salvo</w:t>
      </w:r>
      <w:r w:rsidR="00D823EA" w:rsidRPr="00B16BEC">
        <w:rPr>
          <w:rFonts w:ascii="Arial" w:hAnsi="Arial" w:cs="Arial"/>
          <w:color w:val="000000"/>
          <w:sz w:val="21"/>
          <w:szCs w:val="21"/>
          <w:shd w:val="clear" w:color="auto" w:fill="FFFFFF"/>
        </w:rPr>
        <w:t>»</w:t>
      </w:r>
      <w:r w:rsidR="00D823EA" w:rsidRPr="00B16BEC">
        <w:rPr>
          <w:rStyle w:val="Refdenotaalpie"/>
          <w:rFonts w:ascii="Arial" w:hAnsi="Arial" w:cs="Arial"/>
          <w:color w:val="000000"/>
          <w:sz w:val="21"/>
          <w:szCs w:val="21"/>
          <w:shd w:val="clear" w:color="auto" w:fill="FFFFFF"/>
        </w:rPr>
        <w:footnoteReference w:id="10"/>
      </w:r>
      <w:r w:rsidR="00D823EA">
        <w:rPr>
          <w:rFonts w:ascii="Arial" w:hAnsi="Arial" w:cs="Arial"/>
          <w:color w:val="000000"/>
          <w:sz w:val="21"/>
          <w:szCs w:val="21"/>
          <w:shd w:val="clear" w:color="auto" w:fill="FFFFFF"/>
        </w:rPr>
        <w:t>.</w:t>
      </w:r>
      <w:r w:rsidRPr="00D15431">
        <w:rPr>
          <w:rFonts w:ascii="Arial" w:hAnsi="Arial" w:cs="Arial"/>
          <w:i/>
          <w:iCs/>
          <w:color w:val="000000" w:themeColor="text1"/>
          <w:sz w:val="22"/>
          <w:lang w:val="es-ES_tradnl"/>
        </w:rPr>
        <w:t>»</w:t>
      </w:r>
    </w:p>
    <w:p w14:paraId="4826C452" w14:textId="77777777" w:rsidR="00D823EA" w:rsidRPr="00B16BEC" w:rsidRDefault="00D823EA" w:rsidP="00D823EA">
      <w:pPr>
        <w:pStyle w:val="Sinespaciado"/>
        <w:ind w:left="709" w:right="758"/>
        <w:jc w:val="both"/>
        <w:rPr>
          <w:rFonts w:ascii="Arial" w:hAnsi="Arial" w:cs="Arial"/>
          <w:color w:val="000000" w:themeColor="text1"/>
          <w:sz w:val="21"/>
          <w:szCs w:val="21"/>
          <w:lang w:val="es-ES_tradnl"/>
        </w:rPr>
      </w:pPr>
    </w:p>
    <w:p w14:paraId="12464918" w14:textId="77777777" w:rsidR="00D823EA" w:rsidRPr="009C6B45" w:rsidRDefault="00D823EA" w:rsidP="00D823EA">
      <w:pPr>
        <w:pStyle w:val="Sinespaciado"/>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Así las cosas, d</w:t>
      </w:r>
      <w:r w:rsidRPr="009C6B45">
        <w:rPr>
          <w:rFonts w:ascii="Arial" w:hAnsi="Arial" w:cs="Arial"/>
          <w:color w:val="000000" w:themeColor="text1"/>
          <w:sz w:val="22"/>
          <w:lang w:val="es-ES_tradnl"/>
        </w:rPr>
        <w:t>e acuerdo con el artículo 60 de la Ley 80 de 1993, los contratos de tracto sucesivo, aquellos cuyo cumplimiento o ejecución se prolongue en el tiempo y los demás que lo requieran «</w:t>
      </w:r>
      <w:r w:rsidRPr="001C58D6">
        <w:rPr>
          <w:rFonts w:ascii="Arial" w:hAnsi="Arial" w:cs="Arial"/>
          <w:i/>
          <w:iCs/>
          <w:color w:val="000000" w:themeColor="text1"/>
          <w:sz w:val="22"/>
          <w:lang w:val="es-ES_tradnl"/>
        </w:rPr>
        <w:t>serán objeto de liquidación</w:t>
      </w:r>
      <w:r w:rsidRPr="009C6B45">
        <w:rPr>
          <w:rFonts w:ascii="Arial" w:hAnsi="Arial" w:cs="Arial"/>
          <w:color w:val="000000" w:themeColor="text1"/>
          <w:sz w:val="22"/>
          <w:lang w:val="es-ES_tradnl"/>
        </w:rPr>
        <w:t>». El mismo artículo prescribe que no será obligatoria la liquidación en los contratos de prestación de servicios profesionales</w:t>
      </w:r>
      <w:r>
        <w:rPr>
          <w:rFonts w:ascii="Arial" w:hAnsi="Arial" w:cs="Arial"/>
          <w:color w:val="000000" w:themeColor="text1"/>
          <w:sz w:val="22"/>
          <w:lang w:val="es-ES_tradnl"/>
        </w:rPr>
        <w:t xml:space="preserve"> y de apoyo a la gestión</w:t>
      </w:r>
      <w:r w:rsidRPr="009C6B45">
        <w:rPr>
          <w:rFonts w:ascii="Arial" w:hAnsi="Arial" w:cs="Arial"/>
          <w:color w:val="000000" w:themeColor="text1"/>
          <w:sz w:val="22"/>
          <w:lang w:val="es-ES_tradnl"/>
        </w:rPr>
        <w:t xml:space="preserve">. Adicionalmente, </w:t>
      </w:r>
      <w:r>
        <w:rPr>
          <w:rFonts w:ascii="Arial" w:hAnsi="Arial" w:cs="Arial"/>
          <w:color w:val="000000" w:themeColor="text1"/>
          <w:sz w:val="22"/>
          <w:lang w:val="es-ES_tradnl"/>
        </w:rPr>
        <w:t>en los contratos</w:t>
      </w:r>
      <w:r w:rsidRPr="009C6B45">
        <w:rPr>
          <w:rFonts w:ascii="Arial" w:hAnsi="Arial" w:cs="Arial"/>
          <w:color w:val="000000" w:themeColor="text1"/>
          <w:sz w:val="22"/>
          <w:lang w:val="es-ES_tradnl"/>
        </w:rPr>
        <w:t xml:space="preserve"> las entidades estatales deben definir la oportunidad y forma de recibir el objeto contratado y, en cada caso</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si un contrato requiere o no de liquidación</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con arreglo a criterios tales como la naturaleza, objeto y plazo del contrato</w:t>
      </w:r>
      <w:r w:rsidRPr="009C6B45">
        <w:rPr>
          <w:rStyle w:val="Refdenotaalpie"/>
          <w:rFonts w:ascii="Arial" w:hAnsi="Arial" w:cs="Arial"/>
          <w:color w:val="000000" w:themeColor="text1"/>
          <w:sz w:val="22"/>
          <w:lang w:val="es-ES_tradnl"/>
        </w:rPr>
        <w:footnoteReference w:id="11"/>
      </w:r>
      <w:r w:rsidRPr="009C6B45">
        <w:rPr>
          <w:rFonts w:ascii="Arial" w:hAnsi="Arial" w:cs="Arial"/>
          <w:color w:val="000000" w:themeColor="text1"/>
          <w:sz w:val="22"/>
          <w:lang w:val="es-ES_tradnl"/>
        </w:rPr>
        <w:t>, así como la probabilidad de que puedan surgir diferencias durante la ejecución del contrato</w:t>
      </w:r>
      <w:r>
        <w:rPr>
          <w:rFonts w:ascii="Arial" w:hAnsi="Arial" w:cs="Arial"/>
          <w:color w:val="000000" w:themeColor="text1"/>
          <w:sz w:val="22"/>
          <w:lang w:val="es-ES_tradnl"/>
        </w:rPr>
        <w:t xml:space="preserve">; sin perjuicio de que, como se indicó, todos los contratos estatales de </w:t>
      </w:r>
      <w:r>
        <w:rPr>
          <w:rFonts w:ascii="Arial" w:hAnsi="Arial" w:cs="Arial"/>
          <w:i/>
          <w:iCs/>
          <w:color w:val="000000" w:themeColor="text1"/>
          <w:sz w:val="22"/>
          <w:lang w:val="es-ES_tradnl"/>
        </w:rPr>
        <w:t>tracto sucesivo</w:t>
      </w:r>
      <w:r>
        <w:rPr>
          <w:rFonts w:ascii="Arial" w:hAnsi="Arial" w:cs="Arial"/>
          <w:color w:val="000000" w:themeColor="text1"/>
          <w:sz w:val="22"/>
          <w:lang w:val="es-ES_tradnl"/>
        </w:rPr>
        <w:t xml:space="preserve"> o aquellos cuya ejecución se prolongue en el tiempo siempre deban liquidarse, convirtiéndose en estos contratos en una cláusula de la naturaleza, conforme a la clasificación prevista en el Código Civil.</w:t>
      </w:r>
    </w:p>
    <w:p w14:paraId="2D6EE640" w14:textId="7BB10762" w:rsidR="00D823EA" w:rsidRDefault="00D823EA" w:rsidP="00D823EA">
      <w:pPr>
        <w:pStyle w:val="Sinespaciado"/>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Por su parte, e</w:t>
      </w:r>
      <w:r w:rsidRPr="009C6B45">
        <w:rPr>
          <w:rFonts w:ascii="Arial" w:hAnsi="Arial" w:cs="Arial"/>
          <w:color w:val="000000" w:themeColor="text1"/>
          <w:sz w:val="22"/>
          <w:lang w:val="es-ES_tradnl"/>
        </w:rPr>
        <w:t>l artículo 11 de la Ley 1150 de 2007</w:t>
      </w:r>
      <w:r w:rsidRPr="009C6B45">
        <w:rPr>
          <w:rStyle w:val="Refdenotaalpie"/>
          <w:rFonts w:ascii="Arial" w:hAnsi="Arial" w:cs="Arial"/>
          <w:color w:val="000000" w:themeColor="text1"/>
          <w:sz w:val="22"/>
          <w:lang w:val="es-ES_tradnl"/>
        </w:rPr>
        <w:footnoteReference w:id="12"/>
      </w:r>
      <w:r w:rsidRPr="009C6B45">
        <w:rPr>
          <w:rFonts w:ascii="Arial" w:hAnsi="Arial" w:cs="Arial"/>
          <w:color w:val="000000" w:themeColor="text1"/>
          <w:sz w:val="22"/>
          <w:lang w:val="es-ES_tradnl"/>
        </w:rPr>
        <w:t xml:space="preserve"> contiene las reglas de tipo procedimental para liquidar los contratos estatales</w:t>
      </w:r>
      <w:r>
        <w:rPr>
          <w:rFonts w:ascii="Arial" w:hAnsi="Arial" w:cs="Arial"/>
          <w:color w:val="000000" w:themeColor="text1"/>
          <w:sz w:val="22"/>
          <w:lang w:val="es-ES_tradnl"/>
        </w:rPr>
        <w:t xml:space="preserve">, las cuales </w:t>
      </w:r>
      <w:r w:rsidRPr="009C6B45">
        <w:rPr>
          <w:rFonts w:ascii="Arial" w:hAnsi="Arial" w:cs="Arial"/>
          <w:color w:val="000000" w:themeColor="text1"/>
          <w:sz w:val="22"/>
          <w:lang w:val="es-ES_tradnl"/>
        </w:rPr>
        <w:t xml:space="preserve">se pasan a explicar. En </w:t>
      </w:r>
      <w:r w:rsidRPr="009C6B45">
        <w:rPr>
          <w:rFonts w:ascii="Arial" w:hAnsi="Arial" w:cs="Arial"/>
          <w:color w:val="000000" w:themeColor="text1"/>
          <w:sz w:val="22"/>
          <w:lang w:val="es-ES_tradnl"/>
        </w:rPr>
        <w:lastRenderedPageBreak/>
        <w:t>primer lugar, en ejercicio de la autonomía de la voluntad y de conformidad con los criterios de la naturaleza, objeto y plazo del contrato, la entidad puede definir en el pliego de condiciones</w:t>
      </w:r>
      <w:r>
        <w:rPr>
          <w:rFonts w:ascii="Arial" w:hAnsi="Arial" w:cs="Arial"/>
          <w:color w:val="000000" w:themeColor="text1"/>
          <w:sz w:val="22"/>
          <w:lang w:val="es-ES_tradnl"/>
        </w:rPr>
        <w:t xml:space="preserve"> o en el contrato</w:t>
      </w:r>
      <w:r w:rsidRPr="009C6B45">
        <w:rPr>
          <w:rFonts w:ascii="Arial" w:hAnsi="Arial" w:cs="Arial"/>
          <w:color w:val="000000" w:themeColor="text1"/>
          <w:sz w:val="22"/>
          <w:lang w:val="es-ES_tradnl"/>
        </w:rPr>
        <w:t xml:space="preserve"> el plazo para efectuar la liquidación de mutuo acuerdo. En ausencia de pacto contractual, el artículo 11 de la Ley 1150 de 2007 prevé un término supletivo de 4 meses contados desde</w:t>
      </w:r>
      <w:r>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i) el vencimiento del plazo previsto para la ejecución del contrato</w:t>
      </w:r>
      <w:r w:rsidR="00D15431">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w:t>
      </w:r>
      <w:proofErr w:type="spellStart"/>
      <w:r w:rsidRPr="009C6B45">
        <w:rPr>
          <w:rFonts w:ascii="Arial" w:hAnsi="Arial" w:cs="Arial"/>
          <w:color w:val="000000" w:themeColor="text1"/>
          <w:sz w:val="22"/>
          <w:lang w:val="es-ES_tradnl"/>
        </w:rPr>
        <w:t>ii</w:t>
      </w:r>
      <w:proofErr w:type="spellEnd"/>
      <w:r w:rsidRPr="009C6B45">
        <w:rPr>
          <w:rFonts w:ascii="Arial" w:hAnsi="Arial" w:cs="Arial"/>
          <w:color w:val="000000" w:themeColor="text1"/>
          <w:sz w:val="22"/>
          <w:lang w:val="es-ES_tradnl"/>
        </w:rPr>
        <w:t>) la expedición del acto administrativo que ordene la terminación del contrato</w:t>
      </w:r>
      <w:r w:rsidR="00D15431">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o</w:t>
      </w:r>
      <w:r w:rsidR="00D15431">
        <w:rPr>
          <w:rFonts w:ascii="Arial" w:hAnsi="Arial" w:cs="Arial"/>
          <w:color w:val="000000" w:themeColor="text1"/>
          <w:sz w:val="22"/>
          <w:lang w:val="es-ES_tradnl"/>
        </w:rPr>
        <w:t>,</w:t>
      </w:r>
      <w:r w:rsidRPr="009C6B45">
        <w:rPr>
          <w:rFonts w:ascii="Arial" w:hAnsi="Arial" w:cs="Arial"/>
          <w:color w:val="000000" w:themeColor="text1"/>
          <w:sz w:val="22"/>
          <w:lang w:val="es-ES_tradnl"/>
        </w:rPr>
        <w:t xml:space="preserve"> iii) la fecha del acuerdo que disponga la terminación del contrato.</w:t>
      </w:r>
    </w:p>
    <w:p w14:paraId="4501EF17" w14:textId="77777777" w:rsidR="00F56483" w:rsidRDefault="00F56483" w:rsidP="00F56483">
      <w:pPr>
        <w:spacing w:after="120" w:line="276" w:lineRule="auto"/>
        <w:ind w:firstLine="709"/>
        <w:jc w:val="both"/>
        <w:rPr>
          <w:rFonts w:ascii="Arial" w:hAnsi="Arial" w:cs="Arial"/>
          <w:sz w:val="22"/>
          <w:szCs w:val="22"/>
          <w:lang w:val="es-ES_tradnl"/>
        </w:rPr>
      </w:pPr>
      <w:r>
        <w:rPr>
          <w:rFonts w:ascii="Arial" w:hAnsi="Arial" w:cs="Arial"/>
          <w:sz w:val="22"/>
          <w:lang w:val="es-ES_tradnl"/>
        </w:rPr>
        <w:t xml:space="preserve">El artículo 11 de la Ley 1150 de 2007 señala que la liquidación de mutuo acuerdo deberá realizar dentro del plazo previsto en </w:t>
      </w:r>
      <w:r w:rsidRPr="001C58D6">
        <w:rPr>
          <w:rFonts w:ascii="Arial" w:hAnsi="Arial" w:cs="Arial"/>
          <w:i/>
          <w:iCs/>
          <w:sz w:val="22"/>
          <w:lang w:val="es-ES_tradnl"/>
        </w:rPr>
        <w:t>«</w:t>
      </w:r>
      <w:r w:rsidRPr="001C58D6">
        <w:rPr>
          <w:rFonts w:ascii="Arial" w:hAnsi="Arial" w:cs="Arial"/>
          <w:i/>
          <w:iCs/>
          <w:sz w:val="22"/>
          <w:szCs w:val="22"/>
          <w:lang w:val="es-ES_tradnl"/>
        </w:rPr>
        <w:t>los pliegos de condiciones o sus equivalentes, o dentro del que acuerden las partes para el efecto».</w:t>
      </w:r>
      <w:r>
        <w:rPr>
          <w:rFonts w:ascii="Arial" w:hAnsi="Arial" w:cs="Arial"/>
          <w:sz w:val="22"/>
          <w:szCs w:val="22"/>
          <w:lang w:val="es-ES_tradnl"/>
        </w:rPr>
        <w:t xml:space="preserve"> Para dilucidar a qué se refiere la norma con «equivalentes» resulta necesario tener presente que el pliego de condiciones es un documento contentivo de las reglas aplicables a un determinado proceso de selección, que </w:t>
      </w:r>
      <w:r w:rsidRPr="001C58D6">
        <w:rPr>
          <w:rFonts w:ascii="Arial" w:hAnsi="Arial" w:cs="Arial"/>
          <w:i/>
          <w:iCs/>
          <w:sz w:val="22"/>
          <w:szCs w:val="22"/>
          <w:lang w:val="es-ES_tradnl"/>
        </w:rPr>
        <w:t>«</w:t>
      </w:r>
      <w:r w:rsidRPr="001C58D6">
        <w:rPr>
          <w:rFonts w:ascii="Arial" w:hAnsi="Arial" w:cs="Arial"/>
          <w:i/>
          <w:iCs/>
          <w:sz w:val="22"/>
          <w:lang w:val="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w:t>
      </w:r>
      <w:r w:rsidRPr="001C58D6">
        <w:rPr>
          <w:rFonts w:ascii="Arial" w:hAnsi="Arial" w:cs="Arial"/>
          <w:i/>
          <w:iCs/>
          <w:sz w:val="22"/>
          <w:szCs w:val="22"/>
          <w:lang w:val="es-ES_tradnl"/>
        </w:rPr>
        <w:t>] constituye la ley tanto del procedimiento administrativo de selección del contratista, como del contrato a</w:t>
      </w:r>
      <w:r w:rsidRPr="001C58D6">
        <w:rPr>
          <w:rFonts w:ascii="Arial" w:hAnsi="Arial" w:cs="Arial"/>
          <w:i/>
          <w:iCs/>
          <w:spacing w:val="-7"/>
          <w:sz w:val="22"/>
          <w:szCs w:val="22"/>
          <w:lang w:val="es-ES_tradnl"/>
        </w:rPr>
        <w:t xml:space="preserve"> </w:t>
      </w:r>
      <w:r w:rsidRPr="001C58D6">
        <w:rPr>
          <w:rFonts w:ascii="Arial" w:hAnsi="Arial" w:cs="Arial"/>
          <w:i/>
          <w:iCs/>
          <w:sz w:val="22"/>
          <w:szCs w:val="22"/>
          <w:lang w:val="es-ES_tradnl"/>
        </w:rPr>
        <w:t>celebrar»</w:t>
      </w:r>
      <w:r w:rsidRPr="001C58D6">
        <w:rPr>
          <w:rStyle w:val="Refdenotaalpie"/>
          <w:rFonts w:ascii="Arial" w:hAnsi="Arial" w:cs="Arial"/>
          <w:i/>
          <w:iCs/>
          <w:sz w:val="22"/>
          <w:szCs w:val="22"/>
          <w:lang w:val="es-ES_tradnl"/>
        </w:rPr>
        <w:footnoteReference w:id="13"/>
      </w:r>
      <w:r w:rsidRPr="001C58D6">
        <w:rPr>
          <w:rFonts w:ascii="Arial" w:hAnsi="Arial" w:cs="Arial"/>
          <w:i/>
          <w:iCs/>
          <w:sz w:val="22"/>
          <w:szCs w:val="22"/>
          <w:lang w:val="es-ES_tradnl"/>
        </w:rPr>
        <w:t>.</w:t>
      </w:r>
      <w:r>
        <w:rPr>
          <w:rFonts w:ascii="Arial" w:hAnsi="Arial" w:cs="Arial"/>
          <w:sz w:val="22"/>
          <w:szCs w:val="22"/>
          <w:lang w:val="es-ES_tradnl"/>
        </w:rPr>
        <w:t xml:space="preserve"> A partir de tales características debe determinarse la equivalencia de un documento con un pliego de condiciones, la cual se puede ejemplificar claramente con la invitación a participar en los procesos de mínima cuantía</w:t>
      </w:r>
      <w:r>
        <w:rPr>
          <w:rStyle w:val="Refdenotaalpie"/>
          <w:rFonts w:ascii="Arial" w:hAnsi="Arial" w:cs="Arial"/>
          <w:sz w:val="22"/>
          <w:szCs w:val="22"/>
          <w:lang w:val="es-ES_tradnl"/>
        </w:rPr>
        <w:footnoteReference w:id="14"/>
      </w:r>
      <w:r>
        <w:rPr>
          <w:rFonts w:ascii="Arial" w:hAnsi="Arial" w:cs="Arial"/>
          <w:sz w:val="22"/>
          <w:szCs w:val="22"/>
          <w:lang w:val="es-ES_tradnl"/>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r>
        <w:rPr>
          <w:rFonts w:ascii="Arial" w:hAnsi="Arial" w:cs="Arial"/>
          <w:i/>
          <w:iCs/>
          <w:sz w:val="22"/>
          <w:szCs w:val="22"/>
          <w:lang w:val="es-ES_tradnl"/>
        </w:rPr>
        <w:t xml:space="preserve">Ibídem, </w:t>
      </w:r>
      <w:r>
        <w:rPr>
          <w:rFonts w:ascii="Arial" w:hAnsi="Arial" w:cs="Arial"/>
          <w:sz w:val="22"/>
          <w:szCs w:val="22"/>
          <w:lang w:val="es-ES_tradnl"/>
        </w:rPr>
        <w:t xml:space="preserve">dentro del cual es viable establecer el plazo para la liquidación de mutuo acuerdo. </w:t>
      </w:r>
    </w:p>
    <w:p w14:paraId="763E2C87" w14:textId="77777777" w:rsidR="00F56483" w:rsidRDefault="00F56483" w:rsidP="00F56483">
      <w:pPr>
        <w:spacing w:after="120" w:line="276" w:lineRule="auto"/>
        <w:ind w:firstLine="709"/>
        <w:jc w:val="both"/>
        <w:rPr>
          <w:rFonts w:ascii="Arial" w:hAnsi="Arial" w:cs="Arial"/>
          <w:sz w:val="22"/>
          <w:szCs w:val="22"/>
          <w:lang w:val="es-ES_tradnl"/>
        </w:rPr>
      </w:pPr>
      <w:r>
        <w:rPr>
          <w:rFonts w:ascii="Arial" w:hAnsi="Arial" w:cs="Arial"/>
          <w:sz w:val="22"/>
          <w:szCs w:val="22"/>
          <w:lang w:val="es-ES_tradnl"/>
        </w:rPr>
        <w:lastRenderedPageBreak/>
        <w:t>De otra parte, cuando el artículo 11 de la Ley 1150 de 2007 hace referencia al término que «</w:t>
      </w:r>
      <w:r w:rsidRPr="001C58D6">
        <w:rPr>
          <w:rFonts w:ascii="Arial" w:hAnsi="Arial" w:cs="Arial"/>
          <w:i/>
          <w:iCs/>
          <w:sz w:val="22"/>
          <w:szCs w:val="22"/>
          <w:lang w:val="es-ES_tradnl"/>
        </w:rPr>
        <w:t>acuerden las partes</w:t>
      </w:r>
      <w:r>
        <w:rPr>
          <w:rFonts w:ascii="Arial" w:hAnsi="Arial" w:cs="Arial"/>
          <w:sz w:val="22"/>
          <w:szCs w:val="22"/>
          <w:lang w:val="es-ES_tradnl"/>
        </w:rPr>
        <w:t>»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de vicios, un objeto y causa lícita, así como la elevación a escrito requerida en materia de contratación estatal</w:t>
      </w:r>
      <w:r>
        <w:rPr>
          <w:rStyle w:val="Refdenotaalpie"/>
          <w:rFonts w:ascii="Arial" w:hAnsi="Arial" w:cs="Arial"/>
          <w:sz w:val="22"/>
          <w:szCs w:val="22"/>
          <w:lang w:val="es-ES_tradnl"/>
        </w:rPr>
        <w:footnoteReference w:id="15"/>
      </w:r>
      <w:r>
        <w:rPr>
          <w:rFonts w:ascii="Arial" w:hAnsi="Arial" w:cs="Arial"/>
          <w:sz w:val="22"/>
          <w:szCs w:val="22"/>
          <w:lang w:val="es-ES_tradnl"/>
        </w:rPr>
        <w:t>. Esto, de cara a lo consultado, significa que para que un documento en el que se fije el plazo para la liquidación de común acuerdo sea válido, requiere de la confluencia de los mencionados elementos.</w:t>
      </w:r>
    </w:p>
    <w:p w14:paraId="465B1FF2" w14:textId="51752B85" w:rsidR="00F56483" w:rsidRPr="00F56483" w:rsidRDefault="00F56483" w:rsidP="00F56483">
      <w:pPr>
        <w:pStyle w:val="Sinespaciado"/>
        <w:spacing w:after="120" w:line="276" w:lineRule="auto"/>
        <w:ind w:firstLine="709"/>
        <w:jc w:val="both"/>
        <w:rPr>
          <w:rFonts w:ascii="Arial" w:hAnsi="Arial" w:cs="Arial"/>
          <w:sz w:val="22"/>
          <w:lang w:val="es-ES_tradnl"/>
        </w:rPr>
      </w:pPr>
      <w:r>
        <w:rPr>
          <w:rFonts w:ascii="Arial" w:hAnsi="Arial" w:cs="Arial"/>
          <w:sz w:val="22"/>
          <w:lang w:val="es-ES_tradnl"/>
        </w:rPr>
        <w:t xml:space="preserve">Ahora bien, el término de 4 meses previsto en el artículo 11 de la Ley 1150 de 2007, dado su carácter supletivo, solo resulta aplicable ante la ausencia de regulación </w:t>
      </w:r>
      <w:r w:rsidR="00D15431">
        <w:rPr>
          <w:rFonts w:ascii="Arial" w:hAnsi="Arial" w:cs="Arial"/>
          <w:sz w:val="22"/>
          <w:lang w:val="es-ES_tradnl"/>
        </w:rPr>
        <w:t>de este</w:t>
      </w:r>
      <w:r>
        <w:rPr>
          <w:rFonts w:ascii="Arial" w:hAnsi="Arial" w:cs="Arial"/>
          <w:sz w:val="22"/>
          <w:lang w:val="es-ES_tradnl"/>
        </w:rPr>
        <w:t xml:space="preserv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Pr>
          <w:rStyle w:val="Refdenotaalpie"/>
          <w:rFonts w:ascii="Arial" w:hAnsi="Arial" w:cs="Arial"/>
          <w:sz w:val="22"/>
          <w:lang w:val="es-ES_tradnl"/>
        </w:rPr>
        <w:footnoteReference w:id="16"/>
      </w:r>
      <w:r>
        <w:rPr>
          <w:rFonts w:ascii="Arial" w:hAnsi="Arial" w:cs="Arial"/>
          <w:sz w:val="22"/>
          <w:lang w:val="es-ES_tradnl"/>
        </w:rPr>
        <w:t xml:space="preserve">, lo cual implica que las mismas se desarrollen en </w:t>
      </w:r>
      <w:r>
        <w:rPr>
          <w:rFonts w:ascii="Arial" w:hAnsi="Arial" w:cs="Arial"/>
          <w:sz w:val="22"/>
          <w:lang w:val="es-ES_tradnl"/>
        </w:rPr>
        <w:lastRenderedPageBreak/>
        <w:t>procura de la economía y la celeridad</w:t>
      </w:r>
      <w:r>
        <w:rPr>
          <w:rStyle w:val="Refdenotaalpie"/>
          <w:rFonts w:ascii="Arial" w:hAnsi="Arial" w:cs="Arial"/>
          <w:sz w:val="22"/>
          <w:lang w:val="es-ES_tradnl"/>
        </w:rPr>
        <w:footnoteReference w:id="17"/>
      </w:r>
      <w:r>
        <w:rPr>
          <w:rFonts w:ascii="Arial" w:hAnsi="Arial" w:cs="Arial"/>
          <w:sz w:val="22"/>
          <w:lang w:val="es-ES_tradnl"/>
        </w:rPr>
        <w:t>. Esto significa que, en ejercicio de la facultad que les asiste para fijar el plazo para la liquidación bilateral, las partes deben actuar en garantía de estos principios, por lo que el término que se acuerde debe ser fijado de manera razonable.</w:t>
      </w:r>
    </w:p>
    <w:p w14:paraId="1283F880" w14:textId="1792E3CF" w:rsidR="00D823EA" w:rsidRPr="009C6B45" w:rsidRDefault="00D823EA" w:rsidP="00D823EA">
      <w:pPr>
        <w:pStyle w:val="Sinespaciado"/>
        <w:spacing w:after="120" w:line="276" w:lineRule="auto"/>
        <w:ind w:firstLine="709"/>
        <w:jc w:val="both"/>
        <w:rPr>
          <w:rFonts w:ascii="Arial" w:hAnsi="Arial" w:cs="Arial"/>
          <w:color w:val="000000" w:themeColor="text1"/>
          <w:sz w:val="22"/>
          <w:lang w:val="es-ES_tradnl"/>
        </w:rPr>
      </w:pPr>
      <w:r w:rsidRPr="009C6B45">
        <w:rPr>
          <w:rFonts w:ascii="Arial" w:hAnsi="Arial" w:cs="Arial"/>
          <w:color w:val="000000" w:themeColor="text1"/>
          <w:sz w:val="22"/>
          <w:lang w:val="es-ES_tradnl"/>
        </w:rPr>
        <w:t xml:space="preserve">Durante este término, el contratista puede solicitar que se adelante el trámite de liquidación. Sin embargo, es responsabilidad de la </w:t>
      </w:r>
      <w:r w:rsidR="00D15431">
        <w:rPr>
          <w:rFonts w:ascii="Arial" w:hAnsi="Arial" w:cs="Arial"/>
          <w:color w:val="000000" w:themeColor="text1"/>
          <w:sz w:val="22"/>
          <w:lang w:val="es-ES_tradnl"/>
        </w:rPr>
        <w:t>Entidad Estatal</w:t>
      </w:r>
      <w:r w:rsidRPr="009C6B45">
        <w:rPr>
          <w:rFonts w:ascii="Arial" w:hAnsi="Arial" w:cs="Arial"/>
          <w:color w:val="000000" w:themeColor="text1"/>
          <w:sz w:val="22"/>
          <w:lang w:val="es-ES_tradnl"/>
        </w:rPr>
        <w:t xml:space="preserve"> convocarlo para adelantar la liquidación de común acuerdo o notificarlo para que se presente a </w:t>
      </w:r>
      <w:r>
        <w:rPr>
          <w:rFonts w:ascii="Arial" w:hAnsi="Arial" w:cs="Arial"/>
          <w:color w:val="000000" w:themeColor="text1"/>
          <w:sz w:val="22"/>
          <w:lang w:val="es-ES_tradnl"/>
        </w:rPr>
        <w:t>realizarla</w:t>
      </w:r>
      <w:r w:rsidRPr="009C6B45">
        <w:rPr>
          <w:rStyle w:val="Refdenotaalpie"/>
          <w:rFonts w:ascii="Arial" w:hAnsi="Arial" w:cs="Arial"/>
          <w:color w:val="000000" w:themeColor="text1"/>
          <w:sz w:val="22"/>
          <w:lang w:val="es-ES_tradnl"/>
        </w:rPr>
        <w:footnoteReference w:id="18"/>
      </w:r>
      <w:r w:rsidRPr="009C6B45">
        <w:rPr>
          <w:rFonts w:ascii="Arial" w:hAnsi="Arial" w:cs="Arial"/>
          <w:color w:val="000000" w:themeColor="text1"/>
          <w:sz w:val="22"/>
          <w:lang w:val="es-ES_tradnl"/>
        </w:rPr>
        <w:t xml:space="preserve">, de manera que el contrato pueda ser liquidado bilateralmente, bien sea en el plazo previsto en el pliego de condiciones, el acordado por las partes, o </w:t>
      </w:r>
      <w:r>
        <w:rPr>
          <w:rFonts w:ascii="Arial" w:hAnsi="Arial" w:cs="Arial"/>
          <w:color w:val="000000" w:themeColor="text1"/>
          <w:sz w:val="22"/>
          <w:lang w:val="es-ES_tradnl"/>
        </w:rPr>
        <w:t>el supletivo de</w:t>
      </w:r>
      <w:r w:rsidRPr="009C6B45">
        <w:rPr>
          <w:rFonts w:ascii="Arial" w:hAnsi="Arial" w:cs="Arial"/>
          <w:color w:val="000000" w:themeColor="text1"/>
          <w:sz w:val="22"/>
          <w:lang w:val="es-ES_tradnl"/>
        </w:rPr>
        <w:t xml:space="preserve"> cuatro meses señalado en la </w:t>
      </w:r>
      <w:r>
        <w:rPr>
          <w:rFonts w:ascii="Arial" w:hAnsi="Arial" w:cs="Arial"/>
          <w:color w:val="000000" w:themeColor="text1"/>
          <w:sz w:val="22"/>
          <w:lang w:val="es-ES_tradnl"/>
        </w:rPr>
        <w:t>l</w:t>
      </w:r>
      <w:r w:rsidRPr="009C6B45">
        <w:rPr>
          <w:rFonts w:ascii="Arial" w:hAnsi="Arial" w:cs="Arial"/>
          <w:color w:val="000000" w:themeColor="text1"/>
          <w:sz w:val="22"/>
          <w:lang w:val="es-ES_tradnl"/>
        </w:rPr>
        <w:t>ey, según corresponda. Esta liquidación bilateral puede ser total o parcial</w:t>
      </w:r>
      <w:r w:rsidRPr="009C6B45">
        <w:rPr>
          <w:rStyle w:val="Refdenotaalpie"/>
          <w:rFonts w:ascii="Arial" w:hAnsi="Arial" w:cs="Arial"/>
          <w:iCs/>
          <w:color w:val="000000" w:themeColor="text1"/>
          <w:sz w:val="22"/>
          <w:lang w:val="es-ES_tradnl"/>
        </w:rPr>
        <w:footnoteReference w:id="19"/>
      </w:r>
      <w:r w:rsidRPr="009C6B45">
        <w:rPr>
          <w:rFonts w:ascii="Arial" w:hAnsi="Arial" w:cs="Arial"/>
          <w:color w:val="000000" w:themeColor="text1"/>
          <w:sz w:val="22"/>
          <w:lang w:val="es-ES_tradnl"/>
        </w:rPr>
        <w:t xml:space="preserve">, y </w:t>
      </w:r>
      <w:r w:rsidRPr="009C6B45">
        <w:rPr>
          <w:rFonts w:ascii="Arial" w:hAnsi="Arial" w:cs="Arial"/>
          <w:iCs/>
          <w:color w:val="000000" w:themeColor="text1"/>
          <w:sz w:val="22"/>
          <w:lang w:val="es-ES_tradnl"/>
        </w:rPr>
        <w:t>el documento que la contiene presta mérito ejecutivo</w:t>
      </w:r>
      <w:r>
        <w:rPr>
          <w:rFonts w:ascii="Arial" w:hAnsi="Arial" w:cs="Arial"/>
          <w:iCs/>
          <w:color w:val="000000" w:themeColor="text1"/>
          <w:sz w:val="22"/>
          <w:lang w:val="es-ES_tradnl"/>
        </w:rPr>
        <w:t>, siempre que se satisfagan los elementos para considerarlo como tal</w:t>
      </w:r>
      <w:r w:rsidRPr="009C6B45">
        <w:rPr>
          <w:rFonts w:ascii="Arial" w:hAnsi="Arial" w:cs="Arial"/>
          <w:color w:val="000000" w:themeColor="text1"/>
          <w:sz w:val="22"/>
          <w:lang w:val="es-ES_tradnl"/>
        </w:rPr>
        <w:t>.</w:t>
      </w:r>
    </w:p>
    <w:p w14:paraId="6BE0F268" w14:textId="793A342B" w:rsidR="00D823EA" w:rsidRPr="00F666B7" w:rsidRDefault="00D823EA" w:rsidP="00D823EA">
      <w:pPr>
        <w:spacing w:line="276" w:lineRule="auto"/>
        <w:ind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lang w:val="es-ES"/>
        </w:rPr>
        <w:t xml:space="preserve">Si no es posible efectuar la liquidación de manera bilateral, el ordenamiento jurídico prevé una </w:t>
      </w:r>
      <w:r>
        <w:rPr>
          <w:rFonts w:ascii="Arial" w:hAnsi="Arial" w:cs="Arial"/>
          <w:color w:val="000000" w:themeColor="text1"/>
          <w:sz w:val="22"/>
          <w:szCs w:val="22"/>
          <w:bdr w:val="none" w:sz="0" w:space="0" w:color="auto" w:frame="1"/>
          <w:shd w:val="clear" w:color="auto" w:fill="FFFFFF"/>
          <w:lang w:val="es-ES"/>
        </w:rPr>
        <w:t>facultad</w:t>
      </w:r>
      <w:r w:rsidRPr="00F666B7">
        <w:rPr>
          <w:rFonts w:ascii="Arial" w:hAnsi="Arial" w:cs="Arial"/>
          <w:color w:val="000000" w:themeColor="text1"/>
          <w:sz w:val="22"/>
          <w:szCs w:val="22"/>
          <w:bdr w:val="none" w:sz="0" w:space="0" w:color="auto" w:frame="1"/>
          <w:shd w:val="clear" w:color="auto" w:fill="FFFFFF"/>
          <w:lang w:val="es-ES"/>
        </w:rPr>
        <w:t xml:space="preserve">, de carácter subsidiario, para que la </w:t>
      </w:r>
      <w:r w:rsidR="00D15431">
        <w:rPr>
          <w:rFonts w:ascii="Arial" w:hAnsi="Arial" w:cs="Arial"/>
          <w:color w:val="000000" w:themeColor="text1"/>
          <w:sz w:val="22"/>
          <w:szCs w:val="22"/>
          <w:bdr w:val="none" w:sz="0" w:space="0" w:color="auto" w:frame="1"/>
          <w:shd w:val="clear" w:color="auto" w:fill="FFFFFF"/>
          <w:lang w:val="es-ES"/>
        </w:rPr>
        <w:t>Entidad Estatal</w:t>
      </w:r>
      <w:r w:rsidRPr="00F666B7">
        <w:rPr>
          <w:rFonts w:ascii="Arial" w:hAnsi="Arial" w:cs="Arial"/>
          <w:color w:val="000000" w:themeColor="text1"/>
          <w:sz w:val="22"/>
          <w:szCs w:val="22"/>
          <w:bdr w:val="none" w:sz="0" w:space="0" w:color="auto" w:frame="1"/>
          <w:shd w:val="clear" w:color="auto" w:fill="FFFFFF"/>
          <w:lang w:val="es-ES"/>
        </w:rPr>
        <w:t xml:space="preserve"> realice la liquidación unilateralmente. </w:t>
      </w:r>
      <w:r>
        <w:rPr>
          <w:rFonts w:ascii="Arial" w:hAnsi="Arial" w:cs="Arial"/>
          <w:color w:val="000000" w:themeColor="text1"/>
          <w:sz w:val="22"/>
          <w:szCs w:val="22"/>
          <w:bdr w:val="none" w:sz="0" w:space="0" w:color="auto" w:frame="1"/>
          <w:shd w:val="clear" w:color="auto" w:fill="FFFFFF"/>
          <w:lang w:val="es-ES"/>
        </w:rPr>
        <w:t>En relación con este aspecto</w:t>
      </w:r>
      <w:r w:rsidRPr="00F666B7">
        <w:rPr>
          <w:rFonts w:ascii="Arial" w:hAnsi="Arial" w:cs="Arial"/>
          <w:color w:val="000000" w:themeColor="text1"/>
          <w:sz w:val="22"/>
          <w:szCs w:val="22"/>
          <w:bdr w:val="none" w:sz="0" w:space="0" w:color="auto" w:frame="1"/>
          <w:shd w:val="clear" w:color="auto" w:fill="FFFFFF"/>
          <w:lang w:val="es-ES"/>
        </w:rPr>
        <w:t>, </w:t>
      </w:r>
      <w:r>
        <w:rPr>
          <w:rFonts w:ascii="Arial" w:hAnsi="Arial" w:cs="Arial"/>
          <w:color w:val="000000" w:themeColor="text1"/>
          <w:sz w:val="22"/>
          <w:szCs w:val="22"/>
          <w:bdr w:val="none" w:sz="0" w:space="0" w:color="auto" w:frame="1"/>
          <w:shd w:val="clear" w:color="auto" w:fill="FFFFFF"/>
          <w:lang w:val="es-ES"/>
        </w:rPr>
        <w:t xml:space="preserve">la </w:t>
      </w:r>
      <w:r w:rsidRPr="00F666B7">
        <w:rPr>
          <w:rFonts w:ascii="Arial" w:hAnsi="Arial" w:cs="Arial"/>
          <w:color w:val="000000" w:themeColor="text1"/>
          <w:sz w:val="22"/>
          <w:szCs w:val="22"/>
          <w:bdr w:val="none" w:sz="0" w:space="0" w:color="auto" w:frame="1"/>
          <w:shd w:val="clear" w:color="auto" w:fill="FFFFFF"/>
          <w:lang w:val="es-MX"/>
        </w:rPr>
        <w:t>Sala de Consulta y Servicio Civil</w:t>
      </w:r>
      <w:r>
        <w:rPr>
          <w:rFonts w:ascii="Arial" w:hAnsi="Arial" w:cs="Arial"/>
          <w:color w:val="000000" w:themeColor="text1"/>
          <w:sz w:val="22"/>
          <w:szCs w:val="22"/>
          <w:bdr w:val="none" w:sz="0" w:space="0" w:color="auto" w:frame="1"/>
          <w:shd w:val="clear" w:color="auto" w:fill="FFFFFF"/>
          <w:lang w:val="es-MX"/>
        </w:rPr>
        <w:t xml:space="preserve"> del </w:t>
      </w:r>
      <w:r w:rsidRPr="00F666B7">
        <w:rPr>
          <w:rFonts w:ascii="Arial" w:hAnsi="Arial" w:cs="Arial"/>
          <w:color w:val="000000" w:themeColor="text1"/>
          <w:sz w:val="22"/>
          <w:szCs w:val="22"/>
          <w:bdr w:val="none" w:sz="0" w:space="0" w:color="auto" w:frame="1"/>
          <w:shd w:val="clear" w:color="auto" w:fill="FFFFFF"/>
          <w:lang w:val="es-ES"/>
        </w:rPr>
        <w:t>Consejo de Estado</w:t>
      </w:r>
      <w:r w:rsidRPr="00F666B7">
        <w:rPr>
          <w:rFonts w:ascii="Arial" w:hAnsi="Arial" w:cs="Arial"/>
          <w:color w:val="000000" w:themeColor="text1"/>
          <w:sz w:val="22"/>
          <w:szCs w:val="22"/>
          <w:bdr w:val="none" w:sz="0" w:space="0" w:color="auto" w:frame="1"/>
          <w:shd w:val="clear" w:color="auto" w:fill="FFFFFF"/>
          <w:lang w:val="es-MX"/>
        </w:rPr>
        <w:t>, en concepto del 28 de junio de 2016</w:t>
      </w:r>
      <w:r>
        <w:rPr>
          <w:rStyle w:val="Refdenotaalpie"/>
          <w:rFonts w:ascii="Arial" w:hAnsi="Arial" w:cs="Arial"/>
          <w:color w:val="000000" w:themeColor="text1"/>
          <w:sz w:val="22"/>
          <w:szCs w:val="22"/>
          <w:bdr w:val="none" w:sz="0" w:space="0" w:color="auto" w:frame="1"/>
          <w:shd w:val="clear" w:color="auto" w:fill="FFFFFF"/>
          <w:lang w:val="es-MX"/>
        </w:rPr>
        <w:footnoteReference w:id="20"/>
      </w:r>
      <w:r w:rsidRPr="00F666B7">
        <w:rPr>
          <w:rFonts w:ascii="Arial" w:hAnsi="Arial" w:cs="Arial"/>
          <w:color w:val="000000" w:themeColor="text1"/>
          <w:sz w:val="22"/>
          <w:szCs w:val="22"/>
          <w:bdr w:val="none" w:sz="0" w:space="0" w:color="auto" w:frame="1"/>
          <w:shd w:val="clear" w:color="auto" w:fill="FFFFFF"/>
          <w:lang w:val="es-MX"/>
        </w:rPr>
        <w:t>, manifestó que:  </w:t>
      </w:r>
    </w:p>
    <w:p w14:paraId="2FC06A8E" w14:textId="77777777" w:rsidR="00D823EA" w:rsidRPr="00F666B7" w:rsidRDefault="00D823EA" w:rsidP="00D823EA">
      <w:pPr>
        <w:spacing w:line="276" w:lineRule="auto"/>
        <w:ind w:left="705" w:right="750"/>
        <w:jc w:val="both"/>
        <w:rPr>
          <w:rFonts w:ascii="Arial" w:hAnsi="Arial" w:cs="Arial"/>
          <w:color w:val="000000" w:themeColor="text1"/>
          <w:sz w:val="22"/>
          <w:szCs w:val="22"/>
        </w:rPr>
      </w:pPr>
    </w:p>
    <w:p w14:paraId="03C49D49" w14:textId="4C2DAD86" w:rsidR="00D823EA" w:rsidRPr="001C58D6" w:rsidRDefault="007B1889" w:rsidP="00D823EA">
      <w:pPr>
        <w:ind w:left="705" w:right="750"/>
        <w:jc w:val="both"/>
        <w:rPr>
          <w:rFonts w:ascii="Arial" w:hAnsi="Arial" w:cs="Arial"/>
          <w:color w:val="000000" w:themeColor="text1"/>
          <w:sz w:val="20"/>
          <w:szCs w:val="20"/>
        </w:rPr>
      </w:pPr>
      <w:r w:rsidRPr="001C58D6">
        <w:rPr>
          <w:rFonts w:ascii="Arial" w:hAnsi="Arial" w:cs="Arial"/>
          <w:i/>
          <w:iCs/>
          <w:sz w:val="20"/>
          <w:szCs w:val="20"/>
          <w:lang w:val="es-ES_tradnl"/>
        </w:rPr>
        <w:t>«</w:t>
      </w:r>
      <w:r w:rsidR="00D823EA" w:rsidRPr="001C58D6">
        <w:rPr>
          <w:rFonts w:ascii="Arial" w:eastAsia="Calibri" w:hAnsi="Arial" w:cs="Arial"/>
          <w:color w:val="000000" w:themeColor="text1"/>
          <w:sz w:val="20"/>
          <w:szCs w:val="20"/>
          <w:lang w:val="es-ES"/>
        </w:rPr>
        <w:t>[</w:t>
      </w:r>
      <w:r w:rsidR="00D823EA" w:rsidRPr="001C58D6">
        <w:rPr>
          <w:rFonts w:ascii="Arial" w:hAnsi="Arial" w:cs="Arial"/>
          <w:color w:val="000000" w:themeColor="text1"/>
          <w:sz w:val="20"/>
          <w:szCs w:val="20"/>
          <w:bdr w:val="none" w:sz="0" w:space="0" w:color="auto" w:frame="1"/>
          <w:shd w:val="clear" w:color="auto" w:fill="FFFFFF"/>
        </w:rPr>
        <w:t>…]</w:t>
      </w:r>
      <w:r w:rsidR="00D823EA" w:rsidRPr="001C58D6">
        <w:rPr>
          <w:rFonts w:ascii="Arial" w:hAnsi="Arial" w:cs="Arial"/>
          <w:color w:val="000000" w:themeColor="text1"/>
          <w:sz w:val="20"/>
          <w:szCs w:val="20"/>
          <w:bdr w:val="none" w:sz="0" w:space="0" w:color="auto" w:frame="1"/>
          <w:shd w:val="clear" w:color="auto" w:fill="FFFFFF"/>
          <w:lang w:val="es-ES"/>
        </w:rPr>
        <w:t xml:space="preserve">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w:t>
      </w:r>
      <w:r w:rsidR="00D823EA" w:rsidRPr="001C58D6">
        <w:rPr>
          <w:rFonts w:ascii="Arial" w:hAnsi="Arial" w:cs="Arial"/>
          <w:color w:val="000000" w:themeColor="text1"/>
          <w:sz w:val="20"/>
          <w:szCs w:val="20"/>
          <w:bdr w:val="none" w:sz="0" w:space="0" w:color="auto" w:frame="1"/>
          <w:shd w:val="clear" w:color="auto" w:fill="FFFFFF"/>
          <w:lang w:val="es-ES"/>
        </w:rPr>
        <w:lastRenderedPageBreak/>
        <w:t>adopción con tal omisión vulneraría el derecho del contratista al debido proceso y sus corolarios de defensa y contradicción y, además, configuraría un abuso de poder.</w:t>
      </w:r>
      <w:r w:rsidRPr="001C58D6">
        <w:rPr>
          <w:rFonts w:ascii="Arial" w:hAnsi="Arial" w:cs="Arial"/>
          <w:i/>
          <w:iCs/>
          <w:sz w:val="20"/>
          <w:szCs w:val="20"/>
          <w:lang w:val="es-ES_tradnl"/>
        </w:rPr>
        <w:t>»</w:t>
      </w:r>
      <w:r w:rsidR="00D823EA" w:rsidRPr="001C58D6">
        <w:rPr>
          <w:rFonts w:ascii="Arial" w:hAnsi="Arial" w:cs="Arial"/>
          <w:color w:val="000000" w:themeColor="text1"/>
          <w:sz w:val="20"/>
          <w:szCs w:val="20"/>
          <w:bdr w:val="none" w:sz="0" w:space="0" w:color="auto" w:frame="1"/>
          <w:shd w:val="clear" w:color="auto" w:fill="FFFFFF"/>
          <w:lang w:val="es-ES"/>
        </w:rPr>
        <w:t> </w:t>
      </w:r>
      <w:r w:rsidR="00D823EA" w:rsidRPr="001C58D6">
        <w:rPr>
          <w:rFonts w:ascii="Arial" w:hAnsi="Arial" w:cs="Arial"/>
          <w:color w:val="000000" w:themeColor="text1"/>
          <w:sz w:val="20"/>
          <w:szCs w:val="20"/>
          <w:bdr w:val="none" w:sz="0" w:space="0" w:color="auto" w:frame="1"/>
          <w:shd w:val="clear" w:color="auto" w:fill="FFFFFF"/>
        </w:rPr>
        <w:t>  </w:t>
      </w:r>
    </w:p>
    <w:p w14:paraId="28D2A8E0" w14:textId="77777777" w:rsidR="00D823EA" w:rsidRPr="00F666B7" w:rsidRDefault="00D823EA" w:rsidP="00D823EA">
      <w:pPr>
        <w:spacing w:line="276" w:lineRule="auto"/>
        <w:ind w:left="705" w:right="750"/>
        <w:jc w:val="both"/>
        <w:rPr>
          <w:rFonts w:ascii="Arial" w:hAnsi="Arial" w:cs="Arial"/>
          <w:color w:val="000000" w:themeColor="text1"/>
          <w:sz w:val="22"/>
          <w:szCs w:val="22"/>
        </w:rPr>
      </w:pPr>
    </w:p>
    <w:p w14:paraId="34A56B6C" w14:textId="48F049C2" w:rsidR="00D823EA" w:rsidRPr="00F666B7" w:rsidRDefault="00D823EA" w:rsidP="00D823EA">
      <w:pPr>
        <w:spacing w:after="120" w:line="276" w:lineRule="auto"/>
        <w:ind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lang w:val="es-ES"/>
        </w:rPr>
        <w:t>Si no se logra la liquidación bilateral del contrato, la </w:t>
      </w:r>
      <w:r w:rsidR="00D15431">
        <w:rPr>
          <w:rFonts w:ascii="Arial" w:hAnsi="Arial" w:cs="Arial"/>
          <w:color w:val="000000" w:themeColor="text1"/>
          <w:sz w:val="22"/>
          <w:szCs w:val="22"/>
          <w:bdr w:val="none" w:sz="0" w:space="0" w:color="auto" w:frame="1"/>
          <w:shd w:val="clear" w:color="auto" w:fill="FFFFFF"/>
          <w:lang w:val="es-ES"/>
        </w:rPr>
        <w:t>Entidad Estatal</w:t>
      </w:r>
      <w:r w:rsidRPr="00F666B7">
        <w:rPr>
          <w:rFonts w:ascii="Arial" w:hAnsi="Arial" w:cs="Arial"/>
          <w:color w:val="000000" w:themeColor="text1"/>
          <w:sz w:val="22"/>
          <w:szCs w:val="22"/>
          <w:bdr w:val="none" w:sz="0" w:space="0" w:color="auto" w:frame="1"/>
          <w:shd w:val="clear" w:color="auto" w:fill="FFFFFF"/>
          <w:lang w:val="es-ES"/>
        </w:rPr>
        <w:t xml:space="preserve"> tiene la facultad de liquidar</w:t>
      </w:r>
      <w:r>
        <w:rPr>
          <w:rFonts w:ascii="Arial" w:hAnsi="Arial" w:cs="Arial"/>
          <w:color w:val="000000" w:themeColor="text1"/>
          <w:sz w:val="22"/>
          <w:szCs w:val="22"/>
          <w:bdr w:val="none" w:sz="0" w:space="0" w:color="auto" w:frame="1"/>
          <w:shd w:val="clear" w:color="auto" w:fill="FFFFFF"/>
          <w:lang w:val="es-ES"/>
        </w:rPr>
        <w:t>lo</w:t>
      </w:r>
      <w:r w:rsidRPr="00F666B7">
        <w:rPr>
          <w:rFonts w:ascii="Arial" w:hAnsi="Arial" w:cs="Arial"/>
          <w:color w:val="000000" w:themeColor="text1"/>
          <w:sz w:val="22"/>
          <w:szCs w:val="22"/>
          <w:bdr w:val="none" w:sz="0" w:space="0" w:color="auto" w:frame="1"/>
          <w:shd w:val="clear" w:color="auto" w:fill="FFFFFF"/>
          <w:lang w:val="es-ES"/>
        </w:rPr>
        <w:t xml:space="preserve"> unilateralmente </w:t>
      </w:r>
      <w:r>
        <w:rPr>
          <w:rFonts w:ascii="Arial" w:hAnsi="Arial" w:cs="Arial"/>
          <w:color w:val="000000" w:themeColor="text1"/>
          <w:sz w:val="22"/>
          <w:szCs w:val="22"/>
          <w:bdr w:val="none" w:sz="0" w:space="0" w:color="auto" w:frame="1"/>
          <w:shd w:val="clear" w:color="auto" w:fill="FFFFFF"/>
          <w:lang w:val="es-ES"/>
        </w:rPr>
        <w:t>dentro d</w:t>
      </w:r>
      <w:r w:rsidRPr="00F666B7">
        <w:rPr>
          <w:rFonts w:ascii="Arial" w:hAnsi="Arial" w:cs="Arial"/>
          <w:color w:val="000000" w:themeColor="text1"/>
          <w:sz w:val="22"/>
          <w:szCs w:val="22"/>
          <w:bdr w:val="none" w:sz="0" w:space="0" w:color="auto" w:frame="1"/>
          <w:shd w:val="clear" w:color="auto" w:fill="FFFFFF"/>
          <w:lang w:val="es-ES"/>
        </w:rPr>
        <w:t>el término de 2 meses contados a partir del</w:t>
      </w:r>
      <w:r>
        <w:rPr>
          <w:rFonts w:ascii="Arial" w:hAnsi="Arial" w:cs="Arial"/>
          <w:color w:val="000000" w:themeColor="text1"/>
          <w:sz w:val="22"/>
          <w:szCs w:val="22"/>
          <w:bdr w:val="none" w:sz="0" w:space="0" w:color="auto" w:frame="1"/>
          <w:shd w:val="clear" w:color="auto" w:fill="FFFFFF"/>
          <w:lang w:val="es-ES"/>
        </w:rPr>
        <w:t xml:space="preserve"> </w:t>
      </w:r>
      <w:r w:rsidRPr="00F666B7">
        <w:rPr>
          <w:rFonts w:ascii="Arial" w:hAnsi="Arial" w:cs="Arial"/>
          <w:color w:val="000000" w:themeColor="text1"/>
          <w:sz w:val="22"/>
          <w:szCs w:val="22"/>
          <w:bdr w:val="none" w:sz="0" w:space="0" w:color="auto" w:frame="1"/>
          <w:shd w:val="clear" w:color="auto" w:fill="FFFFFF"/>
          <w:lang w:val="es-ES"/>
        </w:rPr>
        <w:t xml:space="preserve">vencimiento del plazo que acuerden las partes para liquidar bilateralmente o, ante el silencio de estas, del vencimiento de los 4 meses supletivo establecido por la </w:t>
      </w:r>
      <w:r>
        <w:rPr>
          <w:rFonts w:ascii="Arial" w:hAnsi="Arial" w:cs="Arial"/>
          <w:color w:val="000000" w:themeColor="text1"/>
          <w:sz w:val="22"/>
          <w:szCs w:val="22"/>
          <w:bdr w:val="none" w:sz="0" w:space="0" w:color="auto" w:frame="1"/>
          <w:shd w:val="clear" w:color="auto" w:fill="FFFFFF"/>
          <w:lang w:val="es-ES"/>
        </w:rPr>
        <w:t>l</w:t>
      </w:r>
      <w:r w:rsidRPr="00F666B7">
        <w:rPr>
          <w:rFonts w:ascii="Arial" w:hAnsi="Arial" w:cs="Arial"/>
          <w:color w:val="000000" w:themeColor="text1"/>
          <w:sz w:val="22"/>
          <w:szCs w:val="22"/>
          <w:bdr w:val="none" w:sz="0" w:space="0" w:color="auto" w:frame="1"/>
          <w:shd w:val="clear" w:color="auto" w:fill="FFFFFF"/>
          <w:lang w:val="es-ES"/>
        </w:rPr>
        <w:t>ey. </w:t>
      </w:r>
    </w:p>
    <w:p w14:paraId="4916E41A" w14:textId="77777777" w:rsidR="00D823EA" w:rsidRDefault="00D823EA" w:rsidP="00D823EA">
      <w:pPr>
        <w:spacing w:line="276" w:lineRule="auto"/>
        <w:ind w:firstLine="705"/>
        <w:jc w:val="both"/>
        <w:rPr>
          <w:rFonts w:ascii="Arial" w:hAnsi="Arial" w:cs="Arial"/>
          <w:color w:val="000000" w:themeColor="text1"/>
          <w:sz w:val="22"/>
          <w:szCs w:val="22"/>
          <w:bdr w:val="none" w:sz="0" w:space="0" w:color="auto" w:frame="1"/>
          <w:shd w:val="clear" w:color="auto" w:fill="FFFFFF"/>
        </w:rPr>
      </w:pPr>
      <w:r w:rsidRPr="00F666B7">
        <w:rPr>
          <w:rFonts w:ascii="Arial" w:hAnsi="Arial" w:cs="Arial"/>
          <w:color w:val="000000" w:themeColor="text1"/>
          <w:sz w:val="22"/>
          <w:szCs w:val="22"/>
          <w:bdr w:val="none" w:sz="0" w:space="0" w:color="auto" w:frame="1"/>
          <w:shd w:val="clear" w:color="auto" w:fill="FFFFFF"/>
          <w:lang w:val="es-ES"/>
        </w:rPr>
        <w:t>Finalmente, transcurridos estos meses, la liquidación podrá ser realizada en cualquier tiempo dentro de los dos años siguientes al vencimiento del término referido</w:t>
      </w:r>
      <w:r>
        <w:rPr>
          <w:rFonts w:ascii="Arial" w:hAnsi="Arial" w:cs="Arial"/>
          <w:color w:val="000000" w:themeColor="text1"/>
          <w:sz w:val="22"/>
          <w:szCs w:val="22"/>
          <w:bdr w:val="none" w:sz="0" w:space="0" w:color="auto" w:frame="1"/>
          <w:shd w:val="clear" w:color="auto" w:fill="FFFFFF"/>
          <w:lang w:val="es-ES"/>
        </w:rPr>
        <w:t>, de mutuo acuerdo o unilateralmente, salvo que el contratista haya presentado la demanda con la cual pretenda la liquidación judicial del contrato</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De esta manera, d</w:t>
      </w:r>
      <w:r w:rsidRPr="00F666B7">
        <w:rPr>
          <w:rFonts w:ascii="Arial" w:hAnsi="Arial" w:cs="Arial"/>
          <w:color w:val="000000" w:themeColor="text1"/>
          <w:sz w:val="22"/>
          <w:szCs w:val="22"/>
          <w:bdr w:val="none" w:sz="0" w:space="0" w:color="auto" w:frame="1"/>
          <w:shd w:val="clear" w:color="auto" w:fill="FFFFFF"/>
          <w:lang w:val="es-ES"/>
        </w:rPr>
        <w:t xml:space="preserve">urante estos dos años la liquidación podrá hacerse de mutuo acuerdo, unilateralmente por la entidad, o podrá ser solicitada judicialmente por el interesado. En este sentido, en decisión de </w:t>
      </w:r>
      <w:r>
        <w:rPr>
          <w:rFonts w:ascii="Arial" w:hAnsi="Arial" w:cs="Arial"/>
          <w:color w:val="000000" w:themeColor="text1"/>
          <w:sz w:val="22"/>
          <w:szCs w:val="22"/>
          <w:bdr w:val="none" w:sz="0" w:space="0" w:color="auto" w:frame="1"/>
          <w:shd w:val="clear" w:color="auto" w:fill="FFFFFF"/>
          <w:lang w:val="es-ES"/>
        </w:rPr>
        <w:t>u</w:t>
      </w:r>
      <w:r w:rsidRPr="00F666B7">
        <w:rPr>
          <w:rFonts w:ascii="Arial" w:hAnsi="Arial" w:cs="Arial"/>
          <w:color w:val="000000" w:themeColor="text1"/>
          <w:sz w:val="22"/>
          <w:szCs w:val="22"/>
          <w:bdr w:val="none" w:sz="0" w:space="0" w:color="auto" w:frame="1"/>
          <w:shd w:val="clear" w:color="auto" w:fill="FFFFFF"/>
          <w:lang w:val="es-ES"/>
        </w:rPr>
        <w:t xml:space="preserve">nificación </w:t>
      </w:r>
      <w:r>
        <w:rPr>
          <w:rFonts w:ascii="Arial" w:hAnsi="Arial" w:cs="Arial"/>
          <w:color w:val="000000" w:themeColor="text1"/>
          <w:sz w:val="22"/>
          <w:szCs w:val="22"/>
          <w:bdr w:val="none" w:sz="0" w:space="0" w:color="auto" w:frame="1"/>
          <w:shd w:val="clear" w:color="auto" w:fill="FFFFFF"/>
          <w:lang w:val="es-ES"/>
        </w:rPr>
        <w:t>de la</w:t>
      </w:r>
      <w:r w:rsidRPr="00F666B7">
        <w:rPr>
          <w:rFonts w:ascii="Arial" w:hAnsi="Arial" w:cs="Arial"/>
          <w:color w:val="000000" w:themeColor="text1"/>
          <w:sz w:val="22"/>
          <w:szCs w:val="22"/>
          <w:bdr w:val="none" w:sz="0" w:space="0" w:color="auto" w:frame="1"/>
          <w:shd w:val="clear" w:color="auto" w:fill="FFFFFF"/>
          <w:lang w:val="es-ES"/>
        </w:rPr>
        <w:t xml:space="preserve"> </w:t>
      </w:r>
      <w:r w:rsidRPr="00F666B7">
        <w:rPr>
          <w:rFonts w:ascii="Arial" w:hAnsi="Arial" w:cs="Arial"/>
          <w:color w:val="000000" w:themeColor="text1"/>
          <w:sz w:val="22"/>
          <w:szCs w:val="22"/>
          <w:bdr w:val="none" w:sz="0" w:space="0" w:color="auto" w:frame="1"/>
          <w:shd w:val="clear" w:color="auto" w:fill="FFFFFF"/>
          <w:lang w:val="es-MX"/>
        </w:rPr>
        <w:t>Sección Tercera</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 xml:space="preserve">del </w:t>
      </w:r>
      <w:r w:rsidRPr="00F666B7">
        <w:rPr>
          <w:rFonts w:ascii="Arial" w:hAnsi="Arial" w:cs="Arial"/>
          <w:color w:val="000000" w:themeColor="text1"/>
          <w:sz w:val="22"/>
          <w:szCs w:val="22"/>
          <w:bdr w:val="none" w:sz="0" w:space="0" w:color="auto" w:frame="1"/>
          <w:shd w:val="clear" w:color="auto" w:fill="FFFFFF"/>
          <w:lang w:val="es-ES"/>
        </w:rPr>
        <w:t>Consejo de Estado</w:t>
      </w:r>
      <w:r>
        <w:rPr>
          <w:rFonts w:ascii="Arial" w:hAnsi="Arial" w:cs="Arial"/>
          <w:color w:val="000000" w:themeColor="text1"/>
          <w:sz w:val="22"/>
          <w:szCs w:val="22"/>
          <w:bdr w:val="none" w:sz="0" w:space="0" w:color="auto" w:frame="1"/>
          <w:shd w:val="clear" w:color="auto" w:fill="FFFFFF"/>
          <w:lang w:val="es-ES"/>
        </w:rPr>
        <w:t>, del</w:t>
      </w:r>
      <w:r w:rsidRPr="00F666B7">
        <w:rPr>
          <w:rFonts w:ascii="Arial" w:hAnsi="Arial" w:cs="Arial"/>
          <w:color w:val="000000" w:themeColor="text1"/>
          <w:sz w:val="22"/>
          <w:szCs w:val="22"/>
          <w:bdr w:val="none" w:sz="0" w:space="0" w:color="auto" w:frame="1"/>
          <w:shd w:val="clear" w:color="auto" w:fill="FFFFFF"/>
          <w:lang w:val="es-MX"/>
        </w:rPr>
        <w:t> </w:t>
      </w:r>
      <w:r w:rsidRPr="00F666B7">
        <w:rPr>
          <w:rFonts w:ascii="Arial" w:hAnsi="Arial" w:cs="Arial"/>
          <w:color w:val="000000" w:themeColor="text1"/>
          <w:sz w:val="22"/>
          <w:szCs w:val="22"/>
          <w:bdr w:val="none" w:sz="0" w:space="0" w:color="auto" w:frame="1"/>
          <w:shd w:val="clear" w:color="auto" w:fill="FFFFFF"/>
        </w:rPr>
        <w:t>1 de agosto de 2019</w:t>
      </w:r>
      <w:r>
        <w:rPr>
          <w:rStyle w:val="Refdenotaalpie"/>
          <w:rFonts w:ascii="Arial" w:hAnsi="Arial" w:cs="Arial"/>
          <w:color w:val="000000" w:themeColor="text1"/>
          <w:sz w:val="22"/>
          <w:szCs w:val="22"/>
          <w:bdr w:val="none" w:sz="0" w:space="0" w:color="auto" w:frame="1"/>
          <w:shd w:val="clear" w:color="auto" w:fill="FFFFFF"/>
        </w:rPr>
        <w:footnoteReference w:id="21"/>
      </w:r>
      <w:r>
        <w:rPr>
          <w:rFonts w:ascii="Arial" w:hAnsi="Arial" w:cs="Arial"/>
          <w:color w:val="000000" w:themeColor="text1"/>
          <w:sz w:val="22"/>
          <w:szCs w:val="22"/>
          <w:bdr w:val="none" w:sz="0" w:space="0" w:color="auto" w:frame="1"/>
          <w:shd w:val="clear" w:color="auto" w:fill="FFFFFF"/>
        </w:rPr>
        <w:t>, se expresó</w:t>
      </w:r>
      <w:r w:rsidRPr="00F666B7">
        <w:rPr>
          <w:rFonts w:ascii="Arial" w:hAnsi="Arial" w:cs="Arial"/>
          <w:color w:val="000000" w:themeColor="text1"/>
          <w:sz w:val="22"/>
          <w:szCs w:val="22"/>
          <w:bdr w:val="none" w:sz="0" w:space="0" w:color="auto" w:frame="1"/>
          <w:shd w:val="clear" w:color="auto" w:fill="FFFFFF"/>
        </w:rPr>
        <w:t>: </w:t>
      </w:r>
    </w:p>
    <w:p w14:paraId="0E39996F" w14:textId="77777777" w:rsidR="00D823EA" w:rsidRPr="00F666B7" w:rsidRDefault="00D823EA" w:rsidP="00D823EA">
      <w:pPr>
        <w:spacing w:line="276" w:lineRule="auto"/>
        <w:ind w:firstLine="705"/>
        <w:jc w:val="both"/>
        <w:rPr>
          <w:rFonts w:ascii="Arial" w:hAnsi="Arial" w:cs="Arial"/>
          <w:color w:val="000000" w:themeColor="text1"/>
          <w:sz w:val="22"/>
          <w:szCs w:val="22"/>
        </w:rPr>
      </w:pPr>
    </w:p>
    <w:p w14:paraId="52BFDE96" w14:textId="454A864C" w:rsidR="00D823EA" w:rsidRPr="001C58D6" w:rsidRDefault="007B1889" w:rsidP="00D823EA">
      <w:pPr>
        <w:ind w:left="705" w:right="750"/>
        <w:jc w:val="both"/>
        <w:rPr>
          <w:rFonts w:ascii="Arial" w:hAnsi="Arial" w:cs="Arial"/>
          <w:color w:val="000000" w:themeColor="text1"/>
          <w:sz w:val="20"/>
          <w:szCs w:val="20"/>
        </w:rPr>
      </w:pPr>
      <w:r w:rsidRPr="007B1889">
        <w:rPr>
          <w:rFonts w:ascii="Arial" w:hAnsi="Arial" w:cs="Arial"/>
          <w:i/>
          <w:iCs/>
          <w:sz w:val="20"/>
          <w:szCs w:val="20"/>
          <w:lang w:val="es-ES_tradnl"/>
        </w:rPr>
        <w:t>«</w:t>
      </w:r>
      <w:r w:rsidR="00D823EA" w:rsidRPr="001C58D6">
        <w:rPr>
          <w:rFonts w:ascii="Arial" w:hAnsi="Arial" w:cs="Arial"/>
          <w:color w:val="000000" w:themeColor="text1"/>
          <w:sz w:val="20"/>
          <w:szCs w:val="20"/>
          <w:bdr w:val="none" w:sz="0" w:space="0" w:color="auto" w:frame="1"/>
          <w:shd w:val="clear" w:color="auto" w:fill="FFFFFF"/>
          <w:lang w:val="es-ES"/>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sidRPr="001C58D6">
        <w:rPr>
          <w:rFonts w:ascii="Arial" w:eastAsia="Calibri" w:hAnsi="Arial" w:cs="Arial"/>
          <w:color w:val="000000" w:themeColor="text1"/>
          <w:sz w:val="20"/>
          <w:szCs w:val="20"/>
          <w:lang w:val="es-ES"/>
        </w:rPr>
        <w:t>.</w:t>
      </w:r>
      <w:r w:rsidRPr="007B1889">
        <w:rPr>
          <w:rFonts w:ascii="Arial" w:hAnsi="Arial" w:cs="Arial"/>
          <w:i/>
          <w:iCs/>
          <w:sz w:val="20"/>
          <w:szCs w:val="20"/>
          <w:lang w:val="es-ES_tradnl"/>
        </w:rPr>
        <w:t>»</w:t>
      </w:r>
      <w:r w:rsidRPr="007B1889">
        <w:rPr>
          <w:rFonts w:ascii="Arial" w:hAnsi="Arial" w:cs="Arial"/>
          <w:color w:val="000000" w:themeColor="text1"/>
          <w:sz w:val="20"/>
          <w:szCs w:val="20"/>
          <w:bdr w:val="none" w:sz="0" w:space="0" w:color="auto" w:frame="1"/>
          <w:shd w:val="clear" w:color="auto" w:fill="FFFFFF"/>
          <w:lang w:val="es-ES"/>
        </w:rPr>
        <w:t> </w:t>
      </w:r>
    </w:p>
    <w:p w14:paraId="25CB013A" w14:textId="77777777" w:rsidR="00D823EA" w:rsidRPr="00F666B7" w:rsidRDefault="00D823EA" w:rsidP="00D823EA">
      <w:pPr>
        <w:spacing w:line="276" w:lineRule="auto"/>
        <w:ind w:firstLine="708"/>
        <w:jc w:val="both"/>
        <w:rPr>
          <w:rFonts w:ascii="Arial" w:hAnsi="Arial" w:cs="Arial"/>
          <w:color w:val="000000" w:themeColor="text1"/>
          <w:sz w:val="22"/>
          <w:szCs w:val="22"/>
        </w:rPr>
      </w:pPr>
    </w:p>
    <w:p w14:paraId="77FAD4A6" w14:textId="77777777" w:rsidR="00D823EA" w:rsidRDefault="00D823EA" w:rsidP="00D823EA">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r>
        <w:rPr>
          <w:rFonts w:ascii="Arial" w:hAnsi="Arial" w:cs="Arial"/>
          <w:color w:val="000000" w:themeColor="text1"/>
          <w:sz w:val="22"/>
          <w:szCs w:val="22"/>
          <w:bdr w:val="none" w:sz="0" w:space="0" w:color="auto" w:frame="1"/>
          <w:shd w:val="clear" w:color="auto" w:fill="FFFFFF"/>
        </w:rPr>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w:t>
      </w:r>
    </w:p>
    <w:p w14:paraId="6CBCE88D" w14:textId="77777777" w:rsidR="00D823EA" w:rsidRDefault="00D823EA" w:rsidP="00D823EA">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p>
    <w:p w14:paraId="263259FE" w14:textId="54780C21" w:rsidR="00D823EA" w:rsidRPr="001C58D6" w:rsidRDefault="007B1889" w:rsidP="00D823EA">
      <w:pPr>
        <w:ind w:left="709" w:right="758"/>
        <w:jc w:val="both"/>
        <w:rPr>
          <w:rFonts w:ascii="Arial" w:hAnsi="Arial" w:cs="Arial"/>
          <w:color w:val="000000" w:themeColor="text1"/>
          <w:sz w:val="20"/>
          <w:szCs w:val="20"/>
          <w:bdr w:val="none" w:sz="0" w:space="0" w:color="auto" w:frame="1"/>
          <w:shd w:val="clear" w:color="auto" w:fill="FFFFFF"/>
        </w:rPr>
      </w:pPr>
      <w:r w:rsidRPr="007B1889">
        <w:rPr>
          <w:rFonts w:ascii="Arial" w:hAnsi="Arial" w:cs="Arial"/>
          <w:i/>
          <w:iCs/>
          <w:sz w:val="20"/>
          <w:szCs w:val="20"/>
          <w:lang w:val="es-ES_tradnl"/>
        </w:rPr>
        <w:t>«</w:t>
      </w:r>
      <w:r w:rsidR="00D823EA" w:rsidRPr="001C58D6">
        <w:rPr>
          <w:rFonts w:ascii="Arial" w:hAnsi="Arial" w:cs="Arial"/>
          <w:color w:val="000000" w:themeColor="text1"/>
          <w:sz w:val="20"/>
          <w:szCs w:val="20"/>
          <w:bdr w:val="none" w:sz="0" w:space="0" w:color="auto" w:frame="1"/>
          <w:shd w:val="clear" w:color="auto" w:fill="FFFFFF"/>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w:t>
      </w:r>
      <w:r w:rsidR="00D823EA" w:rsidRPr="001C58D6">
        <w:rPr>
          <w:rFonts w:ascii="Arial" w:hAnsi="Arial" w:cs="Arial"/>
          <w:color w:val="000000" w:themeColor="text1"/>
          <w:sz w:val="20"/>
          <w:szCs w:val="20"/>
          <w:bdr w:val="none" w:sz="0" w:space="0" w:color="auto" w:frame="1"/>
          <w:shd w:val="clear" w:color="auto" w:fill="FFFFFF"/>
        </w:rPr>
        <w:lastRenderedPageBreak/>
        <w:t>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mas (sic)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sidRPr="007B1889">
        <w:rPr>
          <w:rFonts w:ascii="Arial" w:hAnsi="Arial" w:cs="Arial"/>
          <w:i/>
          <w:iCs/>
          <w:sz w:val="20"/>
          <w:szCs w:val="20"/>
          <w:lang w:val="es-ES_tradnl"/>
        </w:rPr>
        <w:t>»</w:t>
      </w:r>
      <w:r w:rsidRPr="007B1889">
        <w:rPr>
          <w:rFonts w:ascii="Arial" w:hAnsi="Arial" w:cs="Arial"/>
          <w:color w:val="000000" w:themeColor="text1"/>
          <w:sz w:val="20"/>
          <w:szCs w:val="20"/>
          <w:bdr w:val="none" w:sz="0" w:space="0" w:color="auto" w:frame="1"/>
          <w:shd w:val="clear" w:color="auto" w:fill="FFFFFF"/>
          <w:lang w:val="es-ES"/>
        </w:rPr>
        <w:t> </w:t>
      </w:r>
    </w:p>
    <w:p w14:paraId="74B326FC" w14:textId="77777777" w:rsidR="00D823EA" w:rsidRDefault="00D823EA" w:rsidP="00D823EA">
      <w:pPr>
        <w:spacing w:line="276" w:lineRule="auto"/>
        <w:ind w:right="106" w:firstLine="705"/>
        <w:jc w:val="both"/>
        <w:rPr>
          <w:rFonts w:ascii="Arial" w:hAnsi="Arial" w:cs="Arial"/>
          <w:color w:val="000000" w:themeColor="text1"/>
          <w:sz w:val="22"/>
          <w:szCs w:val="22"/>
          <w:bdr w:val="none" w:sz="0" w:space="0" w:color="auto" w:frame="1"/>
          <w:shd w:val="clear" w:color="auto" w:fill="FFFFFF"/>
        </w:rPr>
      </w:pPr>
    </w:p>
    <w:p w14:paraId="17EB76DA" w14:textId="77777777" w:rsidR="00D823EA" w:rsidRPr="00F666B7" w:rsidRDefault="00D823EA" w:rsidP="00D823EA">
      <w:pPr>
        <w:spacing w:line="276" w:lineRule="auto"/>
        <w:ind w:right="106" w:firstLine="705"/>
        <w:jc w:val="both"/>
        <w:rPr>
          <w:rFonts w:ascii="Arial" w:hAnsi="Arial" w:cs="Arial"/>
          <w:color w:val="000000" w:themeColor="text1"/>
          <w:sz w:val="22"/>
          <w:szCs w:val="22"/>
        </w:rPr>
      </w:pPr>
      <w:r>
        <w:rPr>
          <w:rFonts w:ascii="Arial" w:hAnsi="Arial" w:cs="Arial"/>
          <w:color w:val="000000" w:themeColor="text1"/>
          <w:sz w:val="22"/>
          <w:szCs w:val="22"/>
          <w:bdr w:val="none" w:sz="0" w:space="0" w:color="auto" w:frame="1"/>
          <w:shd w:val="clear" w:color="auto" w:fill="FFFFFF"/>
        </w:rPr>
        <w:t>En armonía con lo anterior, s</w:t>
      </w:r>
      <w:r w:rsidRPr="00F666B7">
        <w:rPr>
          <w:rFonts w:ascii="Arial" w:hAnsi="Arial" w:cs="Arial"/>
          <w:color w:val="000000" w:themeColor="text1"/>
          <w:sz w:val="22"/>
          <w:szCs w:val="22"/>
          <w:bdr w:val="none" w:sz="0" w:space="0" w:color="auto" w:frame="1"/>
          <w:shd w:val="clear" w:color="auto" w:fill="FFFFFF"/>
        </w:rPr>
        <w:t>e podrá, entonces, interponer una demanda ante la jurisdicción de lo contencioso administrativo solicitando la liquidación judicial del contrato mediante el medio de control de controversias contractuales</w:t>
      </w:r>
      <w:r>
        <w:rPr>
          <w:rFonts w:ascii="Arial" w:hAnsi="Arial" w:cs="Arial"/>
          <w:color w:val="000000" w:themeColor="text1"/>
          <w:sz w:val="22"/>
          <w:szCs w:val="22"/>
          <w:bdr w:val="none" w:sz="0" w:space="0" w:color="auto" w:frame="1"/>
          <w:shd w:val="clear" w:color="auto" w:fill="FFFFFF"/>
        </w:rPr>
        <w:t>,</w:t>
      </w:r>
      <w:r w:rsidRPr="00F666B7">
        <w:rPr>
          <w:rFonts w:ascii="Arial" w:hAnsi="Arial" w:cs="Arial"/>
          <w:color w:val="000000" w:themeColor="text1"/>
          <w:sz w:val="22"/>
          <w:szCs w:val="22"/>
          <w:bdr w:val="none" w:sz="0" w:space="0" w:color="auto" w:frame="1"/>
          <w:shd w:val="clear" w:color="auto" w:fill="FFFFFF"/>
        </w:rPr>
        <w:t xml:space="preserve"> en los términos del artículo 141 del Código de Procedimiento Administrativo y de lo Contencioso Administrativo</w:t>
      </w:r>
      <w:r>
        <w:rPr>
          <w:rFonts w:ascii="Arial" w:hAnsi="Arial" w:cs="Arial"/>
          <w:color w:val="000000" w:themeColor="text1"/>
          <w:sz w:val="22"/>
          <w:szCs w:val="22"/>
          <w:bdr w:val="none" w:sz="0" w:space="0" w:color="auto" w:frame="1"/>
          <w:shd w:val="clear" w:color="auto" w:fill="FFFFFF"/>
        </w:rPr>
        <w:t xml:space="preserve"> –CPACA–</w:t>
      </w:r>
      <w:r w:rsidRPr="00F666B7">
        <w:rPr>
          <w:rFonts w:ascii="Arial" w:hAnsi="Arial" w:cs="Arial"/>
          <w:color w:val="000000" w:themeColor="text1"/>
          <w:sz w:val="22"/>
          <w:szCs w:val="22"/>
          <w:bdr w:val="none" w:sz="0" w:space="0" w:color="auto" w:frame="1"/>
          <w:shd w:val="clear" w:color="auto" w:fill="FFFFFF"/>
        </w:rPr>
        <w:t>. La demanda debe ser presentada dentro del término que establece el artículo 164</w:t>
      </w:r>
      <w:r>
        <w:rPr>
          <w:rFonts w:ascii="Arial" w:hAnsi="Arial" w:cs="Arial"/>
          <w:color w:val="000000" w:themeColor="text1"/>
          <w:sz w:val="22"/>
          <w:szCs w:val="22"/>
          <w:bdr w:val="none" w:sz="0" w:space="0" w:color="auto" w:frame="1"/>
          <w:shd w:val="clear" w:color="auto" w:fill="FFFFFF"/>
        </w:rPr>
        <w:t xml:space="preserve"> </w:t>
      </w:r>
      <w:r w:rsidRPr="00F666B7">
        <w:rPr>
          <w:rFonts w:ascii="Arial" w:hAnsi="Arial" w:cs="Arial"/>
          <w:color w:val="000000" w:themeColor="text1"/>
          <w:sz w:val="22"/>
          <w:szCs w:val="22"/>
          <w:bdr w:val="none" w:sz="0" w:space="0" w:color="auto" w:frame="1"/>
          <w:shd w:val="clear" w:color="auto" w:fill="FFFFFF"/>
        </w:rPr>
        <w:t xml:space="preserve">del </w:t>
      </w:r>
      <w:r>
        <w:rPr>
          <w:rFonts w:ascii="Arial" w:hAnsi="Arial" w:cs="Arial"/>
          <w:color w:val="000000" w:themeColor="text1"/>
          <w:sz w:val="22"/>
          <w:szCs w:val="22"/>
          <w:bdr w:val="none" w:sz="0" w:space="0" w:color="auto" w:frame="1"/>
          <w:shd w:val="clear" w:color="auto" w:fill="FFFFFF"/>
        </w:rPr>
        <w:t>CPACA</w:t>
      </w:r>
      <w:r w:rsidRPr="00F666B7">
        <w:rPr>
          <w:rFonts w:ascii="Arial" w:hAnsi="Arial" w:cs="Arial"/>
          <w:color w:val="000000" w:themeColor="text1"/>
          <w:sz w:val="22"/>
          <w:szCs w:val="22"/>
          <w:bdr w:val="none" w:sz="0" w:space="0" w:color="auto" w:frame="1"/>
          <w:shd w:val="clear" w:color="auto" w:fill="FFFFFF"/>
        </w:rPr>
        <w:t xml:space="preserve">, pues de lo contrario operará el fenómeno de la caducidad, por </w:t>
      </w:r>
      <w:r>
        <w:rPr>
          <w:rFonts w:ascii="Arial" w:hAnsi="Arial" w:cs="Arial"/>
          <w:color w:val="000000" w:themeColor="text1"/>
          <w:sz w:val="22"/>
          <w:szCs w:val="22"/>
          <w:bdr w:val="none" w:sz="0" w:space="0" w:color="auto" w:frame="1"/>
          <w:shd w:val="clear" w:color="auto" w:fill="FFFFFF"/>
        </w:rPr>
        <w:t>lo</w:t>
      </w:r>
      <w:r w:rsidRPr="00F666B7">
        <w:rPr>
          <w:rFonts w:ascii="Arial" w:hAnsi="Arial" w:cs="Arial"/>
          <w:color w:val="000000" w:themeColor="text1"/>
          <w:sz w:val="22"/>
          <w:szCs w:val="22"/>
          <w:bdr w:val="none" w:sz="0" w:space="0" w:color="auto" w:frame="1"/>
          <w:shd w:val="clear" w:color="auto" w:fill="FFFFFF"/>
        </w:rPr>
        <w:t xml:space="preserve"> cual no ser</w:t>
      </w:r>
      <w:r>
        <w:rPr>
          <w:rFonts w:ascii="Arial" w:hAnsi="Arial" w:cs="Arial"/>
          <w:color w:val="000000" w:themeColor="text1"/>
          <w:sz w:val="22"/>
          <w:szCs w:val="22"/>
          <w:bdr w:val="none" w:sz="0" w:space="0" w:color="auto" w:frame="1"/>
          <w:shd w:val="clear" w:color="auto" w:fill="FFFFFF"/>
        </w:rPr>
        <w:t>ía</w:t>
      </w:r>
      <w:r w:rsidRPr="00F666B7">
        <w:rPr>
          <w:rFonts w:ascii="Arial" w:hAnsi="Arial" w:cs="Arial"/>
          <w:color w:val="000000" w:themeColor="text1"/>
          <w:sz w:val="22"/>
          <w:szCs w:val="22"/>
          <w:bdr w:val="none" w:sz="0" w:space="0" w:color="auto" w:frame="1"/>
          <w:shd w:val="clear" w:color="auto" w:fill="FFFFFF"/>
        </w:rPr>
        <w:t xml:space="preserve"> posible realizar la liquidación del contrato por ningún medio. </w:t>
      </w:r>
    </w:p>
    <w:p w14:paraId="3F3B52DA" w14:textId="77777777" w:rsidR="00D823EA" w:rsidRPr="00F666B7" w:rsidRDefault="00D823EA" w:rsidP="00D823EA">
      <w:pPr>
        <w:spacing w:before="120" w:line="276" w:lineRule="auto"/>
        <w:ind w:right="110" w:firstLine="705"/>
        <w:jc w:val="both"/>
        <w:rPr>
          <w:rFonts w:ascii="Arial" w:hAnsi="Arial" w:cs="Arial"/>
          <w:color w:val="000000" w:themeColor="text1"/>
          <w:sz w:val="22"/>
          <w:szCs w:val="22"/>
        </w:rPr>
      </w:pPr>
      <w:r w:rsidRPr="00F666B7">
        <w:rPr>
          <w:rFonts w:ascii="Arial" w:hAnsi="Arial" w:cs="Arial"/>
          <w:color w:val="000000" w:themeColor="text1"/>
          <w:sz w:val="22"/>
          <w:szCs w:val="22"/>
          <w:bdr w:val="none" w:sz="0" w:space="0" w:color="auto" w:frame="1"/>
          <w:shd w:val="clear" w:color="auto" w:fill="FFFFFF"/>
        </w:rPr>
        <w:t>En este punto, vale la pena aclarar que en relación con el t</w:t>
      </w:r>
      <w:r>
        <w:rPr>
          <w:rFonts w:ascii="Arial" w:hAnsi="Arial" w:cs="Arial"/>
          <w:color w:val="000000" w:themeColor="text1"/>
          <w:sz w:val="22"/>
          <w:szCs w:val="22"/>
          <w:bdr w:val="none" w:sz="0" w:space="0" w:color="auto" w:frame="1"/>
          <w:shd w:val="clear" w:color="auto" w:fill="FFFFFF"/>
        </w:rPr>
        <w:t>é</w:t>
      </w:r>
      <w:r w:rsidRPr="00F666B7">
        <w:rPr>
          <w:rFonts w:ascii="Arial" w:hAnsi="Arial" w:cs="Arial"/>
          <w:color w:val="000000" w:themeColor="text1"/>
          <w:sz w:val="22"/>
          <w:szCs w:val="22"/>
          <w:bdr w:val="none" w:sz="0" w:space="0" w:color="auto" w:frame="1"/>
          <w:shd w:val="clear" w:color="auto" w:fill="FFFFFF"/>
        </w:rPr>
        <w:t xml:space="preserve">rmino de caducidad para demandar en aquellos contratos </w:t>
      </w:r>
      <w:r>
        <w:rPr>
          <w:rFonts w:ascii="Arial" w:hAnsi="Arial" w:cs="Arial"/>
          <w:color w:val="000000" w:themeColor="text1"/>
          <w:sz w:val="22"/>
          <w:szCs w:val="22"/>
          <w:bdr w:val="none" w:sz="0" w:space="0" w:color="auto" w:frame="1"/>
          <w:shd w:val="clear" w:color="auto" w:fill="FFFFFF"/>
        </w:rPr>
        <w:t xml:space="preserve">que </w:t>
      </w:r>
      <w:r w:rsidRPr="00F666B7">
        <w:rPr>
          <w:rFonts w:ascii="Arial" w:hAnsi="Arial" w:cs="Arial"/>
          <w:color w:val="000000" w:themeColor="text1"/>
          <w:sz w:val="22"/>
          <w:szCs w:val="22"/>
          <w:bdr w:val="none" w:sz="0" w:space="0" w:color="auto" w:frame="1"/>
          <w:shd w:val="clear" w:color="auto" w:fill="FFFFFF"/>
        </w:rPr>
        <w:t>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w:t>
      </w:r>
      <w:r>
        <w:rPr>
          <w:rFonts w:ascii="Arial" w:hAnsi="Arial" w:cs="Arial"/>
          <w:color w:val="000000" w:themeColor="text1"/>
          <w:sz w:val="22"/>
          <w:szCs w:val="22"/>
          <w:bdr w:val="none" w:sz="0" w:space="0" w:color="auto" w:frame="1"/>
          <w:shd w:val="clear" w:color="auto" w:fill="FFFFFF"/>
        </w:rPr>
        <w:t xml:space="preserve"> de</w:t>
      </w:r>
      <w:r w:rsidRPr="00F666B7">
        <w:rPr>
          <w:rFonts w:ascii="Arial" w:hAnsi="Arial" w:cs="Arial"/>
          <w:color w:val="000000" w:themeColor="text1"/>
          <w:sz w:val="22"/>
          <w:szCs w:val="22"/>
          <w:bdr w:val="none" w:sz="0" w:space="0" w:color="auto" w:frame="1"/>
          <w:shd w:val="clear" w:color="auto" w:fill="FFFFFF"/>
        </w:rPr>
        <w:t xml:space="preserve"> que no exista liquidación de ningún tipo, el t</w:t>
      </w:r>
      <w:r>
        <w:rPr>
          <w:rFonts w:ascii="Arial" w:hAnsi="Arial" w:cs="Arial"/>
          <w:color w:val="000000" w:themeColor="text1"/>
          <w:sz w:val="22"/>
          <w:szCs w:val="22"/>
          <w:bdr w:val="none" w:sz="0" w:space="0" w:color="auto" w:frame="1"/>
          <w:shd w:val="clear" w:color="auto" w:fill="FFFFFF"/>
        </w:rPr>
        <w:t>é</w:t>
      </w:r>
      <w:r w:rsidRPr="00F666B7">
        <w:rPr>
          <w:rFonts w:ascii="Arial" w:hAnsi="Arial" w:cs="Arial"/>
          <w:color w:val="000000" w:themeColor="text1"/>
          <w:sz w:val="22"/>
          <w:szCs w:val="22"/>
          <w:bdr w:val="none" w:sz="0" w:space="0" w:color="auto" w:frame="1"/>
          <w:shd w:val="clear" w:color="auto" w:fill="FFFFFF"/>
        </w:rPr>
        <w:t xml:space="preserve">rmino de dos años comienza a contar a partir de </w:t>
      </w:r>
      <w:r>
        <w:rPr>
          <w:rFonts w:ascii="Arial" w:hAnsi="Arial" w:cs="Arial"/>
          <w:color w:val="000000" w:themeColor="text1"/>
          <w:sz w:val="22"/>
          <w:szCs w:val="22"/>
          <w:bdr w:val="none" w:sz="0" w:space="0" w:color="auto" w:frame="1"/>
          <w:shd w:val="clear" w:color="auto" w:fill="FFFFFF"/>
        </w:rPr>
        <w:t>la suma de los</w:t>
      </w:r>
      <w:r w:rsidRPr="00F666B7">
        <w:rPr>
          <w:rFonts w:ascii="Arial" w:hAnsi="Arial" w:cs="Arial"/>
          <w:color w:val="000000" w:themeColor="text1"/>
          <w:sz w:val="22"/>
          <w:szCs w:val="22"/>
          <w:bdr w:val="none" w:sz="0" w:space="0" w:color="auto" w:frame="1"/>
          <w:shd w:val="clear" w:color="auto" w:fill="FFFFFF"/>
        </w:rPr>
        <w:t xml:space="preserve"> seis meses que </w:t>
      </w:r>
      <w:r>
        <w:rPr>
          <w:rFonts w:ascii="Arial" w:hAnsi="Arial" w:cs="Arial"/>
          <w:color w:val="000000" w:themeColor="text1"/>
          <w:sz w:val="22"/>
          <w:szCs w:val="22"/>
          <w:bdr w:val="none" w:sz="0" w:space="0" w:color="auto" w:frame="1"/>
          <w:shd w:val="clear" w:color="auto" w:fill="FFFFFF"/>
        </w:rPr>
        <w:t>trata</w:t>
      </w:r>
      <w:r w:rsidRPr="00F666B7">
        <w:rPr>
          <w:rFonts w:ascii="Arial" w:hAnsi="Arial" w:cs="Arial"/>
          <w:color w:val="000000" w:themeColor="text1"/>
          <w:sz w:val="22"/>
          <w:szCs w:val="22"/>
          <w:bdr w:val="none" w:sz="0" w:space="0" w:color="auto" w:frame="1"/>
          <w:shd w:val="clear" w:color="auto" w:fill="FFFFFF"/>
        </w:rPr>
        <w:t xml:space="preserve"> en art</w:t>
      </w:r>
      <w:r>
        <w:rPr>
          <w:rFonts w:ascii="Arial" w:hAnsi="Arial" w:cs="Arial"/>
          <w:color w:val="000000" w:themeColor="text1"/>
          <w:sz w:val="22"/>
          <w:szCs w:val="22"/>
          <w:bdr w:val="none" w:sz="0" w:space="0" w:color="auto" w:frame="1"/>
          <w:shd w:val="clear" w:color="auto" w:fill="FFFFFF"/>
        </w:rPr>
        <w:t>í</w:t>
      </w:r>
      <w:r w:rsidRPr="00F666B7">
        <w:rPr>
          <w:rFonts w:ascii="Arial" w:hAnsi="Arial" w:cs="Arial"/>
          <w:color w:val="000000" w:themeColor="text1"/>
          <w:sz w:val="22"/>
          <w:szCs w:val="22"/>
          <w:bdr w:val="none" w:sz="0" w:space="0" w:color="auto" w:frame="1"/>
          <w:shd w:val="clear" w:color="auto" w:fill="FFFFFF"/>
        </w:rPr>
        <w:t>culo 11 de la Ley 1150 de</w:t>
      </w:r>
      <w:r w:rsidRPr="00F666B7">
        <w:rPr>
          <w:rFonts w:ascii="Arial" w:hAnsi="Arial" w:cs="Arial"/>
          <w:color w:val="000000" w:themeColor="text1"/>
          <w:spacing w:val="-25"/>
          <w:sz w:val="22"/>
          <w:szCs w:val="22"/>
          <w:bdr w:val="none" w:sz="0" w:space="0" w:color="auto" w:frame="1"/>
          <w:shd w:val="clear" w:color="auto" w:fill="FFFFFF"/>
        </w:rPr>
        <w:t> </w:t>
      </w:r>
      <w:r w:rsidRPr="00F666B7">
        <w:rPr>
          <w:rFonts w:ascii="Arial" w:hAnsi="Arial" w:cs="Arial"/>
          <w:color w:val="000000" w:themeColor="text1"/>
          <w:sz w:val="22"/>
          <w:szCs w:val="22"/>
          <w:bdr w:val="none" w:sz="0" w:space="0" w:color="auto" w:frame="1"/>
          <w:shd w:val="clear" w:color="auto" w:fill="FFFFFF"/>
        </w:rPr>
        <w:t>2011. </w:t>
      </w:r>
    </w:p>
    <w:p w14:paraId="61E63DE0" w14:textId="6F67029D" w:rsidR="00D823EA" w:rsidRDefault="00D823EA" w:rsidP="00D823EA">
      <w:pPr>
        <w:spacing w:before="120" w:line="276" w:lineRule="auto"/>
        <w:ind w:firstLine="705"/>
        <w:jc w:val="both"/>
        <w:rPr>
          <w:rFonts w:ascii="Arial" w:hAnsi="Arial" w:cs="Arial"/>
          <w:color w:val="000000" w:themeColor="text1"/>
          <w:sz w:val="22"/>
          <w:szCs w:val="22"/>
          <w:bdr w:val="none" w:sz="0" w:space="0" w:color="auto" w:frame="1"/>
          <w:shd w:val="clear" w:color="auto" w:fill="FFFFFF"/>
        </w:rPr>
      </w:pPr>
      <w:r w:rsidRPr="00F666B7">
        <w:rPr>
          <w:rFonts w:ascii="Arial" w:hAnsi="Arial" w:cs="Arial"/>
          <w:color w:val="000000" w:themeColor="text1"/>
          <w:sz w:val="22"/>
          <w:szCs w:val="22"/>
          <w:bdr w:val="none" w:sz="0" w:space="0" w:color="auto" w:frame="1"/>
          <w:shd w:val="clear" w:color="auto" w:fill="FFFFFF"/>
          <w:lang w:val="es-ES"/>
        </w:rPr>
        <w:t xml:space="preserve">Así las cosas, es claro que el ordenamiento jurídico vigente permite la liquidación unilateral, bilateral incluso judicial una vez vencido el plazo establecido por el artículo 11 de la Ley 1150 de 2007. En otras palabras, la </w:t>
      </w:r>
      <w:r>
        <w:rPr>
          <w:rFonts w:ascii="Arial" w:hAnsi="Arial" w:cs="Arial"/>
          <w:color w:val="000000" w:themeColor="text1"/>
          <w:sz w:val="22"/>
          <w:szCs w:val="22"/>
          <w:bdr w:val="none" w:sz="0" w:space="0" w:color="auto" w:frame="1"/>
          <w:shd w:val="clear" w:color="auto" w:fill="FFFFFF"/>
          <w:lang w:val="es-ES"/>
        </w:rPr>
        <w:t>liquidación final de</w:t>
      </w:r>
      <w:r w:rsidRPr="00F666B7">
        <w:rPr>
          <w:rFonts w:ascii="Arial" w:hAnsi="Arial" w:cs="Arial"/>
          <w:color w:val="000000" w:themeColor="text1"/>
          <w:sz w:val="22"/>
          <w:szCs w:val="22"/>
          <w:bdr w:val="none" w:sz="0" w:space="0" w:color="auto" w:frame="1"/>
          <w:shd w:val="clear" w:color="auto" w:fill="FFFFFF"/>
          <w:lang w:val="es-ES"/>
        </w:rPr>
        <w:t xml:space="preserve"> los contratos</w:t>
      </w:r>
      <w:r>
        <w:rPr>
          <w:rFonts w:ascii="Arial" w:hAnsi="Arial" w:cs="Arial"/>
          <w:color w:val="000000" w:themeColor="text1"/>
          <w:sz w:val="22"/>
          <w:szCs w:val="22"/>
          <w:bdr w:val="none" w:sz="0" w:space="0" w:color="auto" w:frame="1"/>
          <w:shd w:val="clear" w:color="auto" w:fill="FFFFFF"/>
          <w:lang w:val="es-ES"/>
        </w:rPr>
        <w:t xml:space="preserve"> estatales</w:t>
      </w:r>
      <w:r w:rsidRPr="00F666B7">
        <w:rPr>
          <w:rFonts w:ascii="Arial" w:hAnsi="Arial" w:cs="Arial"/>
          <w:color w:val="000000" w:themeColor="text1"/>
          <w:sz w:val="22"/>
          <w:szCs w:val="22"/>
          <w:bdr w:val="none" w:sz="0" w:space="0" w:color="auto" w:frame="1"/>
          <w:shd w:val="clear" w:color="auto" w:fill="FFFFFF"/>
          <w:lang w:val="es-ES"/>
        </w:rPr>
        <w:t xml:space="preserve"> tiene un </w:t>
      </w:r>
      <w:r>
        <w:rPr>
          <w:rFonts w:ascii="Arial" w:hAnsi="Arial" w:cs="Arial"/>
          <w:color w:val="000000" w:themeColor="text1"/>
          <w:sz w:val="22"/>
          <w:szCs w:val="22"/>
          <w:bdr w:val="none" w:sz="0" w:space="0" w:color="auto" w:frame="1"/>
          <w:shd w:val="clear" w:color="auto" w:fill="FFFFFF"/>
          <w:lang w:val="es-ES"/>
        </w:rPr>
        <w:t>ámbito</w:t>
      </w:r>
      <w:r w:rsidRPr="00F666B7">
        <w:rPr>
          <w:rFonts w:ascii="Arial" w:hAnsi="Arial" w:cs="Arial"/>
          <w:color w:val="000000" w:themeColor="text1"/>
          <w:sz w:val="22"/>
          <w:szCs w:val="22"/>
          <w:bdr w:val="none" w:sz="0" w:space="0" w:color="auto" w:frame="1"/>
          <w:shd w:val="clear" w:color="auto" w:fill="FFFFFF"/>
          <w:lang w:val="es-ES"/>
        </w:rPr>
        <w:t xml:space="preserve"> temporal que empieza con la terminación del contrato y comprende el período contractual pactado por las partes o supletivo</w:t>
      </w:r>
      <w:r>
        <w:rPr>
          <w:rFonts w:ascii="Arial" w:hAnsi="Arial" w:cs="Arial"/>
          <w:color w:val="000000" w:themeColor="text1"/>
          <w:sz w:val="22"/>
          <w:szCs w:val="22"/>
          <w:bdr w:val="none" w:sz="0" w:space="0" w:color="auto" w:frame="1"/>
          <w:shd w:val="clear" w:color="auto" w:fill="FFFFFF"/>
          <w:lang w:val="es-ES"/>
        </w:rPr>
        <w:t xml:space="preserve"> legal </w:t>
      </w:r>
      <w:r w:rsidRPr="00F666B7">
        <w:rPr>
          <w:rFonts w:ascii="Arial" w:hAnsi="Arial" w:cs="Arial"/>
          <w:color w:val="000000" w:themeColor="text1"/>
          <w:sz w:val="22"/>
          <w:szCs w:val="22"/>
          <w:bdr w:val="none" w:sz="0" w:space="0" w:color="auto" w:frame="1"/>
          <w:shd w:val="clear" w:color="auto" w:fill="FFFFFF"/>
          <w:lang w:val="es-ES"/>
        </w:rPr>
        <w:t>–de 4 meses– para la liquidación bilateral, más el período legal para la liquidación unilateral –de 2 meses–, más el plazo </w:t>
      </w:r>
      <w:r>
        <w:rPr>
          <w:rFonts w:ascii="Arial" w:hAnsi="Arial" w:cs="Arial"/>
          <w:color w:val="000000" w:themeColor="text1"/>
          <w:sz w:val="22"/>
          <w:szCs w:val="22"/>
          <w:bdr w:val="none" w:sz="0" w:space="0" w:color="auto" w:frame="1"/>
          <w:shd w:val="clear" w:color="auto" w:fill="FFFFFF"/>
          <w:lang w:val="es-ES"/>
        </w:rPr>
        <w:t>de dos años para hacerlo de mutuo acuerdo o unilateralmente</w:t>
      </w:r>
      <w:r w:rsidRPr="00F666B7">
        <w:rPr>
          <w:rFonts w:ascii="Arial" w:hAnsi="Arial" w:cs="Arial"/>
          <w:color w:val="000000" w:themeColor="text1"/>
          <w:sz w:val="22"/>
          <w:szCs w:val="22"/>
          <w:bdr w:val="none" w:sz="0" w:space="0" w:color="auto" w:frame="1"/>
          <w:shd w:val="clear" w:color="auto" w:fill="FFFFFF"/>
          <w:lang w:val="es-ES"/>
        </w:rPr>
        <w:t xml:space="preserve">, </w:t>
      </w:r>
      <w:r>
        <w:rPr>
          <w:rFonts w:ascii="Arial" w:hAnsi="Arial" w:cs="Arial"/>
          <w:color w:val="000000" w:themeColor="text1"/>
          <w:sz w:val="22"/>
          <w:szCs w:val="22"/>
          <w:bdr w:val="none" w:sz="0" w:space="0" w:color="auto" w:frame="1"/>
          <w:shd w:val="clear" w:color="auto" w:fill="FFFFFF"/>
          <w:lang w:val="es-ES"/>
        </w:rPr>
        <w:t>sin perjuicio de que se solicite la liquidación judicial</w:t>
      </w:r>
      <w:r w:rsidRPr="00F666B7">
        <w:rPr>
          <w:rFonts w:ascii="Arial" w:hAnsi="Arial" w:cs="Arial"/>
          <w:color w:val="000000" w:themeColor="text1"/>
          <w:sz w:val="22"/>
          <w:szCs w:val="22"/>
          <w:bdr w:val="none" w:sz="0" w:space="0" w:color="auto" w:frame="1"/>
          <w:shd w:val="clear" w:color="auto" w:fill="FFFFFF"/>
          <w:lang w:val="es-ES"/>
        </w:rPr>
        <w:t>.</w:t>
      </w:r>
      <w:r w:rsidRPr="00F666B7">
        <w:rPr>
          <w:rFonts w:ascii="Arial" w:hAnsi="Arial" w:cs="Arial"/>
          <w:color w:val="000000" w:themeColor="text1"/>
          <w:sz w:val="22"/>
          <w:szCs w:val="22"/>
          <w:bdr w:val="none" w:sz="0" w:space="0" w:color="auto" w:frame="1"/>
          <w:shd w:val="clear" w:color="auto" w:fill="FFFFFF"/>
        </w:rPr>
        <w:t> </w:t>
      </w:r>
    </w:p>
    <w:p w14:paraId="5DDC24B0" w14:textId="2EF2822B" w:rsidR="00F56483" w:rsidRDefault="00F56483" w:rsidP="00D823EA">
      <w:pPr>
        <w:spacing w:before="120" w:line="276" w:lineRule="auto"/>
        <w:ind w:firstLine="705"/>
        <w:jc w:val="both"/>
        <w:rPr>
          <w:rFonts w:ascii="Arial" w:hAnsi="Arial" w:cs="Arial"/>
          <w:color w:val="000000" w:themeColor="text1"/>
          <w:sz w:val="22"/>
          <w:szCs w:val="22"/>
          <w:bdr w:val="none" w:sz="0" w:space="0" w:color="auto" w:frame="1"/>
          <w:shd w:val="clear" w:color="auto" w:fill="FFFFFF"/>
        </w:rPr>
      </w:pPr>
      <w:r>
        <w:rPr>
          <w:rFonts w:ascii="Arial" w:hAnsi="Arial" w:cs="Arial"/>
          <w:sz w:val="22"/>
          <w:lang w:val="es-ES_tradnl"/>
        </w:rPr>
        <w:lastRenderedPageBreak/>
        <w:t>Por tanto, si se trata de un contrato en el cual no existe pacto sobre el término para la liquidación bilateral, el término supletivo aplicaría, y se podría liquidar el contrato dentro de los 4 meses siguientes a su terminación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p>
    <w:p w14:paraId="510AC3BC" w14:textId="0ED3D38A" w:rsidR="00F56483" w:rsidRPr="00F56483" w:rsidRDefault="00F56483" w:rsidP="00F56483">
      <w:pPr>
        <w:spacing w:before="120" w:line="276" w:lineRule="auto"/>
        <w:ind w:firstLine="709"/>
        <w:jc w:val="both"/>
        <w:rPr>
          <w:rFonts w:ascii="Arial" w:hAnsi="Arial" w:cs="Arial"/>
          <w:sz w:val="22"/>
          <w:lang w:val="es-ES_tradnl"/>
        </w:rPr>
      </w:pPr>
      <w:r>
        <w:rPr>
          <w:rFonts w:ascii="Arial" w:hAnsi="Arial" w:cs="Arial"/>
          <w:sz w:val="22"/>
          <w:lang w:val="es-ES_tradnl"/>
        </w:rPr>
        <w:t>En suma, de</w:t>
      </w:r>
      <w:r>
        <w:rPr>
          <w:rFonts w:ascii="Arial" w:hAnsi="Arial" w:cs="Arial"/>
          <w:iCs/>
          <w:sz w:val="22"/>
          <w:lang w:val="es-ES_tradnl"/>
        </w:rPr>
        <w:t xml:space="preserv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supletivo de cuatro meses. La segunda se debe practicar d</w:t>
      </w:r>
      <w:r>
        <w:rPr>
          <w:rFonts w:ascii="Arial" w:hAnsi="Arial" w:cs="Arial"/>
          <w:sz w:val="22"/>
          <w:lang w:val="es-ES_tradnl"/>
        </w:rPr>
        <w:t>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58E09B8E" w14:textId="77777777" w:rsidR="00D823EA" w:rsidRPr="00E95B50" w:rsidRDefault="00D823EA" w:rsidP="00D823EA">
      <w:pPr>
        <w:rPr>
          <w:rFonts w:ascii="Calibri" w:hAnsi="Calibri"/>
          <w:color w:val="000000"/>
          <w:sz w:val="22"/>
          <w:szCs w:val="22"/>
        </w:rPr>
      </w:pPr>
    </w:p>
    <w:p w14:paraId="3BBC86FB" w14:textId="048578DC" w:rsidR="00D823EA" w:rsidRPr="00064944" w:rsidRDefault="00D823EA" w:rsidP="00D823EA">
      <w:pPr>
        <w:tabs>
          <w:tab w:val="left" w:pos="426"/>
        </w:tabs>
        <w:spacing w:line="276" w:lineRule="auto"/>
        <w:jc w:val="both"/>
        <w:rPr>
          <w:rFonts w:ascii="Arial" w:hAnsi="Arial" w:cs="Arial"/>
          <w:b/>
          <w:sz w:val="22"/>
          <w:szCs w:val="22"/>
        </w:rPr>
      </w:pPr>
      <w:r w:rsidRPr="00064944">
        <w:rPr>
          <w:rFonts w:ascii="Arial" w:hAnsi="Arial" w:cs="Arial"/>
          <w:b/>
          <w:sz w:val="22"/>
          <w:szCs w:val="22"/>
        </w:rPr>
        <w:t>2.</w:t>
      </w:r>
      <w:r w:rsidR="00F56483">
        <w:rPr>
          <w:rFonts w:ascii="Arial" w:hAnsi="Arial" w:cs="Arial"/>
          <w:b/>
          <w:sz w:val="22"/>
          <w:szCs w:val="22"/>
        </w:rPr>
        <w:t>3</w:t>
      </w:r>
      <w:r w:rsidRPr="00064944">
        <w:rPr>
          <w:rFonts w:ascii="Arial" w:hAnsi="Arial" w:cs="Arial"/>
          <w:b/>
          <w:sz w:val="22"/>
          <w:szCs w:val="22"/>
        </w:rPr>
        <w:t>.</w:t>
      </w:r>
      <w:r w:rsidRPr="00064944">
        <w:rPr>
          <w:rFonts w:ascii="Arial" w:hAnsi="Arial" w:cs="Arial"/>
          <w:b/>
          <w:sz w:val="22"/>
          <w:szCs w:val="22"/>
        </w:rPr>
        <w:tab/>
      </w:r>
      <w:r>
        <w:rPr>
          <w:rFonts w:ascii="Arial" w:eastAsia="Calibri" w:hAnsi="Arial" w:cs="Arial"/>
          <w:b/>
          <w:color w:val="000000" w:themeColor="text1"/>
          <w:sz w:val="22"/>
          <w:szCs w:val="22"/>
        </w:rPr>
        <w:t xml:space="preserve">Garantía de cumplimiento: noción y vigencia </w:t>
      </w:r>
    </w:p>
    <w:p w14:paraId="4A931058" w14:textId="77777777" w:rsidR="00D823EA" w:rsidRPr="00064944" w:rsidRDefault="00D823EA" w:rsidP="00D823EA">
      <w:pPr>
        <w:spacing w:line="276" w:lineRule="auto"/>
        <w:jc w:val="both"/>
        <w:rPr>
          <w:rFonts w:ascii="Arial" w:eastAsia="Calibri" w:hAnsi="Arial" w:cs="Arial"/>
          <w:sz w:val="22"/>
          <w:szCs w:val="22"/>
          <w:lang w:val="es-ES_tradnl"/>
        </w:rPr>
      </w:pPr>
    </w:p>
    <w:p w14:paraId="06E6CC8D" w14:textId="77777777" w:rsidR="00D823EA" w:rsidRPr="009C6B45" w:rsidRDefault="00D823EA" w:rsidP="00D823EA">
      <w:pPr>
        <w:spacing w:line="276" w:lineRule="auto"/>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La Guía de Garantías en procesos de Contratación señala que </w:t>
      </w:r>
      <w:r w:rsidRPr="001C58D6">
        <w:rPr>
          <w:rFonts w:ascii="Arial" w:hAnsi="Arial" w:cs="Arial"/>
          <w:bCs/>
          <w:i/>
          <w:iCs/>
          <w:color w:val="000000" w:themeColor="text1"/>
          <w:sz w:val="22"/>
          <w:szCs w:val="22"/>
          <w:lang w:val="es-ES_tradnl"/>
        </w:rPr>
        <w:t>«Las garantías son instrumentos de cobertura de algunos Riesgos comunes en Procesos de Contratación»</w:t>
      </w:r>
      <w:r w:rsidRPr="001C58D6">
        <w:rPr>
          <w:rStyle w:val="Refdenotaalpie"/>
          <w:rFonts w:ascii="Arial" w:hAnsi="Arial" w:cs="Arial"/>
          <w:bCs/>
          <w:i/>
          <w:iCs/>
          <w:color w:val="000000" w:themeColor="text1"/>
          <w:sz w:val="21"/>
          <w:szCs w:val="21"/>
          <w:lang w:val="es-ES_tradnl"/>
        </w:rPr>
        <w:footnoteReference w:id="22"/>
      </w:r>
      <w:r w:rsidRPr="001C58D6">
        <w:rPr>
          <w:rFonts w:ascii="Arial" w:hAnsi="Arial" w:cs="Arial"/>
          <w:bCs/>
          <w:i/>
          <w:iCs/>
          <w:color w:val="000000" w:themeColor="text1"/>
          <w:sz w:val="21"/>
          <w:szCs w:val="21"/>
          <w:lang w:val="es-ES_tradnl"/>
        </w:rPr>
        <w:t>.</w:t>
      </w:r>
      <w:r w:rsidRPr="009C6B45">
        <w:rPr>
          <w:rFonts w:ascii="Arial" w:hAnsi="Arial" w:cs="Arial"/>
          <w:bCs/>
          <w:color w:val="000000" w:themeColor="text1"/>
          <w:sz w:val="21"/>
          <w:szCs w:val="21"/>
          <w:lang w:val="es-ES_tradnl"/>
        </w:rPr>
        <w:t xml:space="preserve"> </w:t>
      </w:r>
      <w:r w:rsidRPr="009C6B45">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En relación con</w:t>
      </w:r>
      <w:r w:rsidRPr="009C6B45">
        <w:rPr>
          <w:rFonts w:ascii="Arial" w:hAnsi="Arial" w:cs="Arial"/>
          <w:bCs/>
          <w:color w:val="000000" w:themeColor="text1"/>
          <w:sz w:val="22"/>
          <w:lang w:val="es-ES_tradnl"/>
        </w:rPr>
        <w:t xml:space="preserve"> la garantía de cumplimiento, la Agencia Nacional de Contratación Pública ha sostenido lo siguiente:</w:t>
      </w:r>
    </w:p>
    <w:p w14:paraId="5F41E2C3" w14:textId="77777777" w:rsidR="00D823EA" w:rsidRPr="009C6B45" w:rsidRDefault="00D823EA" w:rsidP="00D823EA">
      <w:pPr>
        <w:ind w:left="709" w:right="758"/>
        <w:jc w:val="both"/>
        <w:rPr>
          <w:rFonts w:ascii="Arial" w:hAnsi="Arial" w:cs="Arial"/>
          <w:bCs/>
          <w:color w:val="000000" w:themeColor="text1"/>
          <w:sz w:val="21"/>
          <w:szCs w:val="21"/>
          <w:lang w:val="es-ES_tradnl"/>
        </w:rPr>
      </w:pPr>
    </w:p>
    <w:p w14:paraId="7DA52CC0" w14:textId="1F959731" w:rsidR="00D823EA" w:rsidRPr="001C58D6" w:rsidRDefault="007B1889" w:rsidP="00D823EA">
      <w:pPr>
        <w:ind w:left="709" w:right="758"/>
        <w:jc w:val="both"/>
        <w:rPr>
          <w:rFonts w:ascii="Arial" w:hAnsi="Arial" w:cs="Arial"/>
          <w:bCs/>
          <w:color w:val="000000" w:themeColor="text1"/>
          <w:sz w:val="20"/>
          <w:szCs w:val="20"/>
          <w:lang w:val="es-ES_tradnl"/>
        </w:rPr>
      </w:pPr>
      <w:r w:rsidRPr="007B1889">
        <w:rPr>
          <w:rFonts w:ascii="Arial" w:hAnsi="Arial" w:cs="Arial"/>
          <w:i/>
          <w:iCs/>
          <w:sz w:val="20"/>
          <w:szCs w:val="20"/>
          <w:lang w:val="es-ES_tradnl"/>
        </w:rPr>
        <w:t>«</w:t>
      </w:r>
      <w:r w:rsidR="00D823EA" w:rsidRPr="001C58D6">
        <w:rPr>
          <w:rFonts w:ascii="Arial" w:hAnsi="Arial" w:cs="Arial"/>
          <w:bCs/>
          <w:color w:val="000000" w:themeColor="text1"/>
          <w:sz w:val="20"/>
          <w:szCs w:val="20"/>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44B2C0C1" w14:textId="77777777" w:rsidR="00D823EA" w:rsidRPr="001C58D6" w:rsidRDefault="00D823EA" w:rsidP="00D823EA">
      <w:pPr>
        <w:ind w:left="709" w:right="758"/>
        <w:jc w:val="both"/>
        <w:rPr>
          <w:rFonts w:ascii="Arial" w:hAnsi="Arial" w:cs="Arial"/>
          <w:bCs/>
          <w:color w:val="000000" w:themeColor="text1"/>
          <w:sz w:val="20"/>
          <w:szCs w:val="20"/>
          <w:lang w:val="es-ES_tradnl"/>
        </w:rPr>
      </w:pPr>
    </w:p>
    <w:p w14:paraId="18998176" w14:textId="5CCCA181" w:rsidR="00D823EA" w:rsidRPr="001C58D6" w:rsidRDefault="00D823EA" w:rsidP="00D823EA">
      <w:pPr>
        <w:ind w:left="709" w:right="758"/>
        <w:jc w:val="both"/>
        <w:rPr>
          <w:rFonts w:ascii="Arial" w:hAnsi="Arial" w:cs="Arial"/>
          <w:bCs/>
          <w:color w:val="000000" w:themeColor="text1"/>
          <w:sz w:val="20"/>
          <w:szCs w:val="20"/>
          <w:lang w:val="es-ES_tradnl"/>
        </w:rPr>
      </w:pPr>
      <w:r w:rsidRPr="001C58D6">
        <w:rPr>
          <w:rFonts w:ascii="Arial" w:hAnsi="Arial" w:cs="Arial"/>
          <w:bCs/>
          <w:color w:val="000000" w:themeColor="text1"/>
          <w:sz w:val="20"/>
          <w:szCs w:val="20"/>
          <w:lang w:val="es-ES_tradnl"/>
        </w:rPr>
        <w:t xml:space="preserve">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w:t>
      </w:r>
      <w:r w:rsidRPr="001C58D6">
        <w:rPr>
          <w:rFonts w:ascii="Arial" w:hAnsi="Arial" w:cs="Arial"/>
          <w:bCs/>
          <w:color w:val="000000" w:themeColor="text1"/>
          <w:sz w:val="20"/>
          <w:szCs w:val="20"/>
          <w:lang w:val="es-ES_tradnl"/>
        </w:rPr>
        <w:lastRenderedPageBreak/>
        <w:t>incorporada en el respectivo contrato y no podrá ser renunciada por la Administración</w:t>
      </w:r>
      <w:r w:rsidRPr="001C58D6">
        <w:rPr>
          <w:rStyle w:val="Refdenotaalpie"/>
          <w:rFonts w:ascii="Arial" w:hAnsi="Arial" w:cs="Arial"/>
          <w:bCs/>
          <w:color w:val="000000" w:themeColor="text1"/>
          <w:sz w:val="20"/>
          <w:szCs w:val="20"/>
          <w:lang w:val="es-ES_tradnl"/>
        </w:rPr>
        <w:footnoteReference w:id="23"/>
      </w:r>
      <w:r w:rsidRPr="001C58D6">
        <w:rPr>
          <w:rFonts w:ascii="Arial" w:eastAsia="Calibri" w:hAnsi="Arial" w:cs="Arial"/>
          <w:color w:val="000000" w:themeColor="text1"/>
          <w:sz w:val="20"/>
          <w:szCs w:val="20"/>
          <w:lang w:val="es-ES"/>
        </w:rPr>
        <w:t>.</w:t>
      </w:r>
      <w:r w:rsidR="007B1889" w:rsidRPr="007B1889">
        <w:rPr>
          <w:rFonts w:ascii="Arial" w:hAnsi="Arial" w:cs="Arial"/>
          <w:i/>
          <w:iCs/>
          <w:sz w:val="20"/>
          <w:szCs w:val="20"/>
          <w:lang w:val="es-ES_tradnl"/>
        </w:rPr>
        <w:t>»</w:t>
      </w:r>
    </w:p>
    <w:p w14:paraId="54083B12" w14:textId="77777777" w:rsidR="00D823EA" w:rsidRPr="009C6B45" w:rsidRDefault="00D823EA" w:rsidP="00D823EA">
      <w:pPr>
        <w:spacing w:line="276" w:lineRule="auto"/>
        <w:jc w:val="both"/>
        <w:rPr>
          <w:rFonts w:ascii="Arial" w:hAnsi="Arial" w:cs="Arial"/>
          <w:bCs/>
          <w:color w:val="000000" w:themeColor="text1"/>
          <w:sz w:val="22"/>
          <w:lang w:val="es-ES_tradnl"/>
        </w:rPr>
      </w:pPr>
    </w:p>
    <w:p w14:paraId="5ACF0C03" w14:textId="77777777" w:rsidR="00D823EA" w:rsidRPr="009C6B45" w:rsidRDefault="00D823EA" w:rsidP="00D823EA">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Como puede </w:t>
      </w:r>
      <w:r>
        <w:rPr>
          <w:rFonts w:ascii="Arial" w:hAnsi="Arial" w:cs="Arial"/>
          <w:bCs/>
          <w:color w:val="000000" w:themeColor="text1"/>
          <w:sz w:val="22"/>
          <w:lang w:val="es-ES_tradnl"/>
        </w:rPr>
        <w:t>observarse</w:t>
      </w:r>
      <w:r w:rsidRPr="009C6B45">
        <w:rPr>
          <w:rFonts w:ascii="Arial" w:hAnsi="Arial" w:cs="Arial"/>
          <w:bCs/>
          <w:color w:val="000000" w:themeColor="text1"/>
          <w:sz w:val="22"/>
          <w:lang w:val="es-ES_tradnl"/>
        </w:rPr>
        <w:t xml:space="preserv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540CAD33" w14:textId="77777777" w:rsidR="00D823EA" w:rsidRPr="009C6B45" w:rsidRDefault="00D823EA" w:rsidP="00D823EA">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En efecto, s</w:t>
      </w:r>
      <w:r w:rsidRPr="009C6B45">
        <w:rPr>
          <w:rFonts w:ascii="Arial" w:hAnsi="Arial" w:cs="Arial"/>
          <w:bCs/>
          <w:color w:val="000000" w:themeColor="text1"/>
          <w:sz w:val="22"/>
          <w:lang w:val="es-ES_tradnl"/>
        </w:rPr>
        <w:t>egún el 2.2.1.2.3.1.7. del Decreto 1082 de 2015</w:t>
      </w:r>
      <w:r w:rsidRPr="009C6B45">
        <w:rPr>
          <w:rStyle w:val="Refdenotaalpie"/>
          <w:rFonts w:ascii="Arial" w:hAnsi="Arial" w:cs="Arial"/>
          <w:bCs/>
          <w:color w:val="000000" w:themeColor="text1"/>
          <w:sz w:val="22"/>
          <w:lang w:val="es-ES_tradnl"/>
        </w:rPr>
        <w:footnoteReference w:id="24"/>
      </w:r>
      <w:r w:rsidRPr="009C6B45">
        <w:rPr>
          <w:rFonts w:ascii="Arial" w:hAnsi="Arial" w:cs="Arial"/>
          <w:bCs/>
          <w:color w:val="000000" w:themeColor="text1"/>
          <w:sz w:val="22"/>
          <w:lang w:val="es-ES_tradnl"/>
        </w:rPr>
        <w:t>, la garantía única de cumplimiento cuenta con varios amparos</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que incluyen el de buen manejo y correcta inversión del anticipo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la devolución del pago anticipado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el amparo de cumplimiento del contrato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la garantía de pago de salarios</w:t>
      </w:r>
      <w:r>
        <w:rPr>
          <w:rFonts w:ascii="Arial" w:hAnsi="Arial" w:cs="Arial"/>
          <w:bCs/>
          <w:color w:val="000000" w:themeColor="text1"/>
          <w:sz w:val="22"/>
          <w:lang w:val="es-ES_tradnl"/>
        </w:rPr>
        <w:t xml:space="preserve">, </w:t>
      </w:r>
      <w:r w:rsidRPr="00975B5D">
        <w:rPr>
          <w:rFonts w:ascii="Arial" w:hAnsi="Arial" w:cs="Arial"/>
          <w:bCs/>
          <w:color w:val="000000" w:themeColor="text1"/>
          <w:sz w:val="22"/>
          <w:lang w:val="es-ES_tradnl"/>
        </w:rPr>
        <w:t>prestaciones sociales legales e indemnizaciones laborales,</w:t>
      </w:r>
      <w:r w:rsidRPr="009C6B45">
        <w:rPr>
          <w:rFonts w:ascii="Arial" w:hAnsi="Arial" w:cs="Arial"/>
          <w:bCs/>
          <w:color w:val="000000" w:themeColor="text1"/>
          <w:sz w:val="22"/>
          <w:lang w:val="es-ES_tradnl"/>
        </w:rPr>
        <w:t xml:space="preserve"> entre otros.</w:t>
      </w:r>
    </w:p>
    <w:p w14:paraId="055D5CC4" w14:textId="77777777" w:rsidR="00D823EA" w:rsidRPr="009C6B45" w:rsidRDefault="00D823EA" w:rsidP="00D823EA">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lastRenderedPageBreak/>
        <w:t>Por tanto, e</w:t>
      </w:r>
      <w:r w:rsidRPr="009C6B45">
        <w:rPr>
          <w:rFonts w:ascii="Arial" w:hAnsi="Arial" w:cs="Arial"/>
          <w:bCs/>
          <w:color w:val="000000" w:themeColor="text1"/>
          <w:sz w:val="22"/>
          <w:lang w:val="es-ES_tradnl"/>
        </w:rPr>
        <w:t>l amparo de cumplimiento, que constituye el objeto central de este concepto, es uno de los múltiples amparos que conforman la garantía única de cumplimiento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A</w:t>
      </w:r>
      <w:r w:rsidRPr="009C6B45">
        <w:rPr>
          <w:rFonts w:ascii="Arial" w:hAnsi="Arial" w:cs="Arial"/>
          <w:bCs/>
          <w:color w:val="000000" w:themeColor="text1"/>
          <w:sz w:val="22"/>
          <w:lang w:val="es-ES_tradnl"/>
        </w:rPr>
        <w:t xml:space="preserve">l tenor de lo </w:t>
      </w:r>
      <w:r>
        <w:rPr>
          <w:rFonts w:ascii="Arial" w:hAnsi="Arial" w:cs="Arial"/>
          <w:bCs/>
          <w:color w:val="000000" w:themeColor="text1"/>
          <w:sz w:val="22"/>
          <w:lang w:val="es-ES_tradnl"/>
        </w:rPr>
        <w:t>preceptuado en</w:t>
      </w:r>
      <w:r w:rsidRPr="009C6B45">
        <w:rPr>
          <w:rFonts w:ascii="Arial" w:hAnsi="Arial" w:cs="Arial"/>
          <w:bCs/>
          <w:color w:val="000000" w:themeColor="text1"/>
          <w:sz w:val="22"/>
          <w:lang w:val="es-ES_tradnl"/>
        </w:rPr>
        <w:t xml:space="preserve"> el artículo 2.2.1.2.3.1.7. </w:t>
      </w:r>
      <w:r>
        <w:rPr>
          <w:rFonts w:ascii="Arial" w:hAnsi="Arial" w:cs="Arial"/>
          <w:bCs/>
          <w:i/>
          <w:iCs/>
          <w:color w:val="000000" w:themeColor="text1"/>
          <w:sz w:val="22"/>
          <w:lang w:val="es-ES_tradnl"/>
        </w:rPr>
        <w:t>i</w:t>
      </w:r>
      <w:r w:rsidRPr="009C6B45">
        <w:rPr>
          <w:rFonts w:ascii="Arial" w:hAnsi="Arial" w:cs="Arial"/>
          <w:bCs/>
          <w:i/>
          <w:iCs/>
          <w:color w:val="000000" w:themeColor="text1"/>
          <w:sz w:val="22"/>
          <w:lang w:val="es-ES_tradnl"/>
        </w:rPr>
        <w:t>bídem</w:t>
      </w:r>
      <w:r w:rsidRPr="009C6B45">
        <w:rPr>
          <w:rFonts w:ascii="Arial" w:hAnsi="Arial" w:cs="Arial"/>
          <w:bCs/>
          <w:color w:val="000000" w:themeColor="text1"/>
          <w:sz w:val="22"/>
          <w:lang w:val="es-ES_tradnl"/>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69BC7982" w14:textId="77777777" w:rsidR="00D823EA" w:rsidRPr="009C6B45" w:rsidRDefault="00D823EA" w:rsidP="00D823EA">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De otra parte, en relación con la vigencia de las garantías, el artículo 2.2.1.2.3.1.12. del citado </w:t>
      </w:r>
      <w:r>
        <w:rPr>
          <w:rFonts w:ascii="Arial" w:hAnsi="Arial" w:cs="Arial"/>
          <w:bCs/>
          <w:color w:val="000000" w:themeColor="text1"/>
          <w:sz w:val="22"/>
          <w:lang w:val="es-ES_tradnl"/>
        </w:rPr>
        <w:t>D</w:t>
      </w:r>
      <w:r w:rsidRPr="009C6B45">
        <w:rPr>
          <w:rFonts w:ascii="Arial" w:hAnsi="Arial" w:cs="Arial"/>
          <w:bCs/>
          <w:color w:val="000000" w:themeColor="text1"/>
          <w:sz w:val="22"/>
          <w:lang w:val="es-ES_tradnl"/>
        </w:rPr>
        <w:t xml:space="preserve">ecreto señala </w:t>
      </w:r>
      <w:r>
        <w:rPr>
          <w:rFonts w:ascii="Arial" w:hAnsi="Arial" w:cs="Arial"/>
          <w:bCs/>
          <w:color w:val="000000" w:themeColor="text1"/>
          <w:sz w:val="22"/>
          <w:lang w:val="es-ES_tradnl"/>
        </w:rPr>
        <w:t xml:space="preserve">expresamente </w:t>
      </w:r>
      <w:r w:rsidRPr="009C6B45">
        <w:rPr>
          <w:rFonts w:ascii="Arial" w:hAnsi="Arial" w:cs="Arial"/>
          <w:bCs/>
          <w:color w:val="000000" w:themeColor="text1"/>
          <w:sz w:val="22"/>
          <w:lang w:val="es-ES_tradnl"/>
        </w:rPr>
        <w:t xml:space="preserve">que </w:t>
      </w:r>
      <w:r w:rsidRPr="001C58D6">
        <w:rPr>
          <w:rFonts w:ascii="Arial" w:hAnsi="Arial" w:cs="Arial"/>
          <w:bCs/>
          <w:i/>
          <w:iCs/>
          <w:color w:val="000000" w:themeColor="text1"/>
          <w:sz w:val="22"/>
          <w:lang w:val="es-ES_tradnl"/>
        </w:rPr>
        <w:t>«[l]a garantía de cumplimiento del contrato debe tener una vigencia mínima hasta la liquidación del contrato».</w:t>
      </w:r>
      <w:r w:rsidRPr="009C6B45">
        <w:rPr>
          <w:rFonts w:ascii="Arial" w:hAnsi="Arial" w:cs="Arial"/>
          <w:bCs/>
          <w:color w:val="000000" w:themeColor="text1"/>
          <w:sz w:val="22"/>
          <w:lang w:val="es-ES_tradnl"/>
        </w:rPr>
        <w:t xml:space="preserve"> </w:t>
      </w:r>
    </w:p>
    <w:p w14:paraId="7E8E53CE" w14:textId="77777777" w:rsidR="00D823EA" w:rsidRPr="009C6B45" w:rsidRDefault="00D823EA" w:rsidP="00D823EA">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Lo primero que debe ponerse de presente es que esta disposición no se refiere a la garantía única de cumplimiento en su totalidad, sino exclusivamente al amparo de cumplimiento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al que se </w:t>
      </w:r>
      <w:r>
        <w:rPr>
          <w:rFonts w:ascii="Arial" w:hAnsi="Arial" w:cs="Arial"/>
          <w:bCs/>
          <w:color w:val="000000" w:themeColor="text1"/>
          <w:sz w:val="22"/>
          <w:lang w:val="es-ES_tradnl"/>
        </w:rPr>
        <w:t>viene</w:t>
      </w:r>
      <w:r w:rsidRPr="009C6B45">
        <w:rPr>
          <w:rFonts w:ascii="Arial" w:hAnsi="Arial" w:cs="Arial"/>
          <w:bCs/>
          <w:color w:val="000000" w:themeColor="text1"/>
          <w:sz w:val="22"/>
          <w:lang w:val="es-ES_tradnl"/>
        </w:rPr>
        <w:t xml:space="preserve"> haciendo referencia</w:t>
      </w:r>
      <w:r>
        <w:rPr>
          <w:rFonts w:ascii="Arial" w:hAnsi="Arial" w:cs="Arial"/>
          <w:bCs/>
          <w:color w:val="000000" w:themeColor="text1"/>
          <w:sz w:val="22"/>
          <w:lang w:val="es-ES_tradnl"/>
        </w:rPr>
        <w:t>, lo cual</w:t>
      </w:r>
      <w:r w:rsidRPr="009C6B45">
        <w:rPr>
          <w:rFonts w:ascii="Arial" w:hAnsi="Arial" w:cs="Arial"/>
          <w:bCs/>
          <w:color w:val="000000" w:themeColor="text1"/>
          <w:sz w:val="22"/>
          <w:lang w:val="es-ES_tradnl"/>
        </w:rPr>
        <w:t xml:space="preserve"> explica que los artículos anteriores y subsiguientes establezcan términos diferentes para los demás amparos que conforman la garantía única de cumplimiento. Así, por ejemplo, el artículo 2.2.1.2.3.1.13 </w:t>
      </w:r>
      <w:r w:rsidRPr="009C6B45">
        <w:rPr>
          <w:rFonts w:ascii="Arial" w:hAnsi="Arial" w:cs="Arial"/>
          <w:bCs/>
          <w:i/>
          <w:iCs/>
          <w:color w:val="000000" w:themeColor="text1"/>
          <w:sz w:val="22"/>
          <w:lang w:val="es-ES_tradnl"/>
        </w:rPr>
        <w:t>Ibídem</w:t>
      </w:r>
      <w:r w:rsidRPr="009C6B45">
        <w:rPr>
          <w:rFonts w:ascii="Arial" w:hAnsi="Arial" w:cs="Arial"/>
          <w:bCs/>
          <w:color w:val="000000" w:themeColor="text1"/>
          <w:sz w:val="22"/>
          <w:lang w:val="es-ES_tradnl"/>
        </w:rPr>
        <w:t xml:space="preserve"> prescribe que la garantía de pago de salarios y prestaciones sociales debe estar vigente por el plazo del contrato y 3 años adicionales y, a su vez, el artículo 2.2.1.2.3.1.14 establece un término no inferior a 5 años para la garantía de estabilidad de la obra. </w:t>
      </w:r>
    </w:p>
    <w:p w14:paraId="3531EF09" w14:textId="77777777" w:rsidR="00D823EA" w:rsidRPr="009C6B45" w:rsidRDefault="00D823EA" w:rsidP="00D823EA">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Al respecto, tal como se indicó en Concepto C-479 de esta Agencia, </w:t>
      </w:r>
      <w:r w:rsidRPr="009C6B45">
        <w:rPr>
          <w:rFonts w:ascii="Arial" w:hAnsi="Arial" w:cs="Arial"/>
          <w:bCs/>
          <w:color w:val="000000" w:themeColor="text1"/>
          <w:sz w:val="22"/>
          <w:lang w:val="es-ES_tradnl"/>
        </w:rPr>
        <w:t>es preciso distinguir dos conceptos jurídicos relevantes para comprender el alcance del artículo 2.2.1.2.3.1.12.</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esto </w:t>
      </w:r>
      <w:r>
        <w:rPr>
          <w:rFonts w:ascii="Arial" w:hAnsi="Arial" w:cs="Arial"/>
          <w:bCs/>
          <w:color w:val="000000" w:themeColor="text1"/>
          <w:sz w:val="22"/>
          <w:lang w:val="es-ES_tradnl"/>
        </w:rPr>
        <w:t>e</w:t>
      </w:r>
      <w:r w:rsidRPr="009C6B45">
        <w:rPr>
          <w:rFonts w:ascii="Arial" w:hAnsi="Arial" w:cs="Arial"/>
          <w:bCs/>
          <w:color w:val="000000" w:themeColor="text1"/>
          <w:sz w:val="22"/>
          <w:lang w:val="es-ES_tradnl"/>
        </w:rPr>
        <w:t>s, de un lado, la vigencia de la garantía y, de otro, el plazo para su reclamación. Esta distinción es importante</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pues para hacer una reclamación válida al garante no es indispensable que la garantía se encuentre vigente, sino que lo haya estado en el momento de la concreción de riesgo, como se pasa a explicar.</w:t>
      </w:r>
    </w:p>
    <w:p w14:paraId="57AC0702" w14:textId="77777777" w:rsidR="00D823EA" w:rsidRPr="009C6B45" w:rsidRDefault="00D823EA" w:rsidP="00D823EA">
      <w:pPr>
        <w:spacing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En relación con este aspecto</w:t>
      </w:r>
      <w:r w:rsidRPr="009C6B45">
        <w:rPr>
          <w:rFonts w:ascii="Arial" w:hAnsi="Arial" w:cs="Arial"/>
          <w:bCs/>
          <w:color w:val="000000" w:themeColor="text1"/>
          <w:sz w:val="22"/>
          <w:lang w:val="es-ES_tradnl"/>
        </w:rPr>
        <w:t xml:space="preserve">, el artículo 1047 del Código de Comercio establece que la póliza debe expresar, entre otros, </w:t>
      </w:r>
      <w:r w:rsidRPr="001C58D6">
        <w:rPr>
          <w:rFonts w:ascii="Arial" w:hAnsi="Arial" w:cs="Arial"/>
          <w:bCs/>
          <w:i/>
          <w:iCs/>
          <w:color w:val="000000" w:themeColor="text1"/>
          <w:sz w:val="22"/>
          <w:lang w:val="es-ES_tradnl"/>
        </w:rPr>
        <w:t>«ii) la vigencia del contrato, con indicación de las fechas y horas de iniciación y vencimiento, o el modo de determinar unas y otras».</w:t>
      </w:r>
      <w:r w:rsidRPr="009C6B45">
        <w:rPr>
          <w:rFonts w:ascii="Arial" w:hAnsi="Arial" w:cs="Arial"/>
          <w:bCs/>
          <w:color w:val="000000" w:themeColor="text1"/>
          <w:sz w:val="22"/>
          <w:lang w:val="es-ES_tradnl"/>
        </w:rPr>
        <w:t xml:space="preserve"> El Consejo de Estado se pronunció sobre esta disposición en los siguientes términos: </w:t>
      </w:r>
    </w:p>
    <w:p w14:paraId="7D95B04A" w14:textId="77777777" w:rsidR="00D823EA" w:rsidRPr="009C6B45" w:rsidRDefault="00D823EA" w:rsidP="00D823EA">
      <w:pPr>
        <w:ind w:left="709" w:right="758"/>
        <w:jc w:val="both"/>
        <w:rPr>
          <w:rFonts w:ascii="Arial" w:hAnsi="Arial" w:cs="Arial"/>
          <w:bCs/>
          <w:color w:val="000000" w:themeColor="text1"/>
          <w:sz w:val="21"/>
          <w:szCs w:val="21"/>
          <w:lang w:val="es-ES_tradnl"/>
        </w:rPr>
      </w:pPr>
    </w:p>
    <w:p w14:paraId="7298FB8B" w14:textId="0C5F9CAB" w:rsidR="00D823EA" w:rsidRPr="001C58D6" w:rsidRDefault="007B1889" w:rsidP="00D823EA">
      <w:pPr>
        <w:ind w:left="709" w:right="758"/>
        <w:jc w:val="both"/>
        <w:rPr>
          <w:rFonts w:ascii="Arial" w:hAnsi="Arial" w:cs="Arial"/>
          <w:bCs/>
          <w:color w:val="000000" w:themeColor="text1"/>
          <w:sz w:val="20"/>
          <w:szCs w:val="20"/>
          <w:lang w:val="es-ES_tradnl"/>
        </w:rPr>
      </w:pPr>
      <w:r w:rsidRPr="001C58D6">
        <w:rPr>
          <w:rFonts w:ascii="Arial" w:hAnsi="Arial" w:cs="Arial"/>
          <w:bCs/>
          <w:i/>
          <w:iCs/>
          <w:color w:val="000000" w:themeColor="text1"/>
          <w:sz w:val="20"/>
          <w:szCs w:val="20"/>
          <w:lang w:val="es-ES_tradnl"/>
        </w:rPr>
        <w:t>«</w:t>
      </w:r>
      <w:r w:rsidR="00D823EA" w:rsidRPr="001C58D6">
        <w:rPr>
          <w:rFonts w:ascii="Arial" w:hAnsi="Arial" w:cs="Arial"/>
          <w:bCs/>
          <w:color w:val="000000" w:themeColor="text1"/>
          <w:sz w:val="20"/>
          <w:szCs w:val="20"/>
          <w:lang w:val="es-ES_tradnl"/>
        </w:rPr>
        <w:t>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w:t>
      </w:r>
      <w:r w:rsidR="00D823EA" w:rsidRPr="001C58D6">
        <w:rPr>
          <w:rStyle w:val="Refdenotaalpie"/>
          <w:rFonts w:ascii="Arial" w:hAnsi="Arial" w:cs="Arial"/>
          <w:bCs/>
          <w:color w:val="000000" w:themeColor="text1"/>
          <w:sz w:val="20"/>
          <w:szCs w:val="20"/>
          <w:lang w:val="es-ES_tradnl"/>
        </w:rPr>
        <w:footnoteReference w:id="25"/>
      </w:r>
      <w:r w:rsidR="00D823EA" w:rsidRPr="001C58D6">
        <w:rPr>
          <w:rFonts w:ascii="Arial" w:hAnsi="Arial" w:cs="Arial"/>
          <w:bCs/>
          <w:color w:val="000000" w:themeColor="text1"/>
          <w:sz w:val="20"/>
          <w:szCs w:val="20"/>
          <w:lang w:val="es-ES_tradnl"/>
        </w:rPr>
        <w:t>.</w:t>
      </w:r>
      <w:r w:rsidRPr="001C58D6">
        <w:rPr>
          <w:rFonts w:ascii="Arial" w:hAnsi="Arial" w:cs="Arial"/>
          <w:bCs/>
          <w:i/>
          <w:iCs/>
          <w:color w:val="000000" w:themeColor="text1"/>
          <w:sz w:val="20"/>
          <w:szCs w:val="20"/>
          <w:lang w:val="es-ES_tradnl"/>
        </w:rPr>
        <w:t>»</w:t>
      </w:r>
      <w:r w:rsidR="00D823EA" w:rsidRPr="001C58D6">
        <w:rPr>
          <w:rFonts w:ascii="Arial" w:hAnsi="Arial" w:cs="Arial"/>
          <w:bCs/>
          <w:color w:val="000000" w:themeColor="text1"/>
          <w:sz w:val="20"/>
          <w:szCs w:val="20"/>
          <w:lang w:val="es-ES_tradnl"/>
        </w:rPr>
        <w:t xml:space="preserve"> </w:t>
      </w:r>
    </w:p>
    <w:p w14:paraId="71F6FCA7" w14:textId="77777777" w:rsidR="00D823EA" w:rsidRPr="009C6B45" w:rsidRDefault="00D823EA" w:rsidP="00D823EA">
      <w:pPr>
        <w:ind w:left="709" w:right="758"/>
        <w:jc w:val="both"/>
        <w:rPr>
          <w:rFonts w:ascii="Arial" w:hAnsi="Arial" w:cs="Arial"/>
          <w:bCs/>
          <w:color w:val="000000" w:themeColor="text1"/>
          <w:sz w:val="21"/>
          <w:szCs w:val="21"/>
          <w:lang w:val="es-ES_tradnl"/>
        </w:rPr>
      </w:pPr>
    </w:p>
    <w:p w14:paraId="2B4787EF" w14:textId="77777777" w:rsidR="00D823EA" w:rsidRDefault="00D823EA" w:rsidP="00D823EA">
      <w:pPr>
        <w:spacing w:after="120" w:line="276" w:lineRule="auto"/>
        <w:ind w:firstLine="709"/>
        <w:jc w:val="both"/>
        <w:rPr>
          <w:rFonts w:ascii="Arial" w:hAnsi="Arial" w:cs="Arial"/>
          <w:bCs/>
          <w:color w:val="000000" w:themeColor="text1"/>
          <w:sz w:val="22"/>
          <w:lang w:val="es-ES_tradnl"/>
        </w:rPr>
      </w:pPr>
      <w:r w:rsidRPr="009C6B45">
        <w:rPr>
          <w:rFonts w:ascii="Arial" w:hAnsi="Arial" w:cs="Arial"/>
          <w:bCs/>
          <w:color w:val="000000" w:themeColor="text1"/>
          <w:sz w:val="22"/>
          <w:lang w:val="es-ES_tradnl"/>
        </w:rPr>
        <w:t xml:space="preserve">Resulta claro que el riesgo que se traslada al garante solamente será aquel </w:t>
      </w:r>
      <w:r>
        <w:rPr>
          <w:rFonts w:ascii="Arial" w:hAnsi="Arial" w:cs="Arial"/>
          <w:bCs/>
          <w:color w:val="000000" w:themeColor="text1"/>
          <w:sz w:val="22"/>
          <w:lang w:val="es-ES_tradnl"/>
        </w:rPr>
        <w:t xml:space="preserve">que </w:t>
      </w:r>
      <w:r w:rsidRPr="009C6B45">
        <w:rPr>
          <w:rFonts w:ascii="Arial" w:hAnsi="Arial" w:cs="Arial"/>
          <w:bCs/>
          <w:color w:val="000000" w:themeColor="text1"/>
          <w:sz w:val="22"/>
          <w:lang w:val="es-ES_tradnl"/>
        </w:rPr>
        <w:t>se realice dentro del plazo de vigencia del contrato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 </w:t>
      </w:r>
    </w:p>
    <w:p w14:paraId="723699A3" w14:textId="77777777" w:rsidR="00D823EA" w:rsidRPr="009C6B45" w:rsidRDefault="00D823EA" w:rsidP="00D823EA">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De otro lado, puede afirmarse que, en términos ideales, una vez culmina el plazo de ejecución, deja de existir también, en gran medida, el riesgo de incumplimiento por parte del contratista, pues los incumplimientos del contrato suelen ocurrir durante la etapa de cumplimiento, o ejecución de las obligaciones. Lo anterior no pretende desconocer que para ciertos contratos algunas obligaciones y su exigibilidad subsisten más allá del plazo acordado para la ejecución del objeto principal, tal puede ser el caso de los aportes a la seguridad social de los trabajadores vinculados a la ejecución del objeto del contrato. Sin perjuicio de lo anterior, el vencimiento del plazo de ejecución del contrato, cuando es suspensivo, sin que el contratista haya ejecutado sus obligaciones, también es determinante para constatar el incumplimiento del contratista. </w:t>
      </w:r>
      <w:r w:rsidRPr="00885A17">
        <w:rPr>
          <w:rFonts w:ascii="Arial" w:hAnsi="Arial" w:cs="Arial"/>
          <w:bCs/>
          <w:color w:val="000000" w:themeColor="text1"/>
          <w:sz w:val="22"/>
          <w:lang w:val="es-ES_tradnl"/>
        </w:rPr>
        <w:t>La apreciación general anterior</w:t>
      </w:r>
      <w:r w:rsidRPr="000771CF">
        <w:rPr>
          <w:rFonts w:ascii="Arial" w:hAnsi="Arial" w:cs="Arial"/>
          <w:bCs/>
          <w:color w:val="000000" w:themeColor="text1"/>
          <w:sz w:val="22"/>
          <w:lang w:val="es-ES_tradnl"/>
        </w:rPr>
        <w:t xml:space="preserve">, según lo explicado, </w:t>
      </w:r>
      <w:r>
        <w:rPr>
          <w:rFonts w:ascii="Arial" w:hAnsi="Arial" w:cs="Arial"/>
          <w:bCs/>
          <w:color w:val="000000" w:themeColor="text1"/>
          <w:sz w:val="22"/>
          <w:lang w:val="es-ES_tradnl"/>
        </w:rPr>
        <w:t>indica que muchos de los incumplimientos pueden darse durante la ejecución del contrato, pero es posible que este también ocurra una vez vencido el plazo de ejecución.</w:t>
      </w:r>
    </w:p>
    <w:p w14:paraId="33B0FCCC" w14:textId="444B5015" w:rsidR="00D823EA" w:rsidRDefault="00D823EA" w:rsidP="00D823EA">
      <w:pPr>
        <w:spacing w:after="120"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t>Ahora bien, volviendo sobre la vigencia de la garantía de cumplimiento, en cuanto al amparo de cumplimiento del contrato, l</w:t>
      </w:r>
      <w:r w:rsidRPr="009C6B45">
        <w:rPr>
          <w:rFonts w:ascii="Arial" w:hAnsi="Arial" w:cs="Arial"/>
          <w:bCs/>
          <w:color w:val="000000" w:themeColor="text1"/>
          <w:sz w:val="22"/>
          <w:lang w:val="es-ES_tradnl"/>
        </w:rPr>
        <w:t>a norma reglamentaria</w:t>
      </w:r>
      <w:r>
        <w:rPr>
          <w:rFonts w:ascii="Arial" w:hAnsi="Arial" w:cs="Arial"/>
          <w:bCs/>
          <w:color w:val="000000" w:themeColor="text1"/>
          <w:sz w:val="22"/>
          <w:lang w:val="es-ES_tradnl"/>
        </w:rPr>
        <w:t xml:space="preserve"> citada con anterioridad</w:t>
      </w:r>
      <w:r w:rsidRPr="009C6B45">
        <w:rPr>
          <w:rFonts w:ascii="Arial" w:hAnsi="Arial" w:cs="Arial"/>
          <w:bCs/>
          <w:color w:val="000000" w:themeColor="text1"/>
          <w:sz w:val="22"/>
          <w:lang w:val="es-ES_tradnl"/>
        </w:rPr>
        <w:t xml:space="preserve"> es clara y exige que la garantía permanezca vigente hasta la liquidación del contrato</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esto es</w:t>
      </w:r>
      <w:r>
        <w:rPr>
          <w:rFonts w:ascii="Arial" w:hAnsi="Arial" w:cs="Arial"/>
          <w:bCs/>
          <w:color w:val="000000" w:themeColor="text1"/>
          <w:sz w:val="22"/>
          <w:lang w:val="es-ES_tradnl"/>
        </w:rPr>
        <w:t>,</w:t>
      </w:r>
      <w:r w:rsidRPr="009C6B45">
        <w:rPr>
          <w:rFonts w:ascii="Arial" w:hAnsi="Arial" w:cs="Arial"/>
          <w:bCs/>
          <w:color w:val="000000" w:themeColor="text1"/>
          <w:sz w:val="22"/>
          <w:lang w:val="es-ES_tradnl"/>
        </w:rPr>
        <w:t xml:space="preserve"> más allá del plazo de ejecución</w:t>
      </w:r>
      <w:r>
        <w:rPr>
          <w:rFonts w:ascii="Arial" w:hAnsi="Arial" w:cs="Arial"/>
          <w:bCs/>
          <w:color w:val="000000" w:themeColor="text1"/>
          <w:sz w:val="22"/>
          <w:lang w:val="es-ES_tradnl"/>
        </w:rPr>
        <w:t xml:space="preserve"> y de vigencia del contrato estatal. Por tanto,</w:t>
      </w:r>
      <w:r w:rsidRPr="009C6B45">
        <w:rPr>
          <w:rFonts w:ascii="Arial" w:hAnsi="Arial" w:cs="Arial"/>
          <w:bCs/>
          <w:color w:val="000000" w:themeColor="text1"/>
          <w:sz w:val="22"/>
          <w:lang w:val="es-ES_tradnl"/>
        </w:rPr>
        <w:t xml:space="preserve"> en virtud </w:t>
      </w:r>
      <w:r>
        <w:rPr>
          <w:rFonts w:ascii="Arial" w:hAnsi="Arial" w:cs="Arial"/>
          <w:bCs/>
          <w:color w:val="000000" w:themeColor="text1"/>
          <w:sz w:val="22"/>
          <w:lang w:val="es-ES_tradnl"/>
        </w:rPr>
        <w:t>de dicha disposición</w:t>
      </w:r>
      <w:r w:rsidRPr="009C6B45">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el contratista debe cumplir con la obligación consistente en mantener la</w:t>
      </w:r>
      <w:r w:rsidRPr="009C6B45">
        <w:rPr>
          <w:rFonts w:ascii="Arial" w:hAnsi="Arial" w:cs="Arial"/>
          <w:bCs/>
          <w:color w:val="000000" w:themeColor="text1"/>
          <w:sz w:val="22"/>
          <w:lang w:val="es-ES_tradnl"/>
        </w:rPr>
        <w:t xml:space="preserve"> vigencia mínima </w:t>
      </w:r>
      <w:r>
        <w:rPr>
          <w:rFonts w:ascii="Arial" w:hAnsi="Arial" w:cs="Arial"/>
          <w:bCs/>
          <w:color w:val="000000" w:themeColor="text1"/>
          <w:sz w:val="22"/>
          <w:lang w:val="es-ES_tradnl"/>
        </w:rPr>
        <w:t xml:space="preserve">del amparo de cumplimiento </w:t>
      </w:r>
      <w:r w:rsidRPr="009C6B45">
        <w:rPr>
          <w:rFonts w:ascii="Arial" w:hAnsi="Arial" w:cs="Arial"/>
          <w:bCs/>
          <w:color w:val="000000" w:themeColor="text1"/>
          <w:sz w:val="22"/>
          <w:lang w:val="es-ES_tradnl"/>
        </w:rPr>
        <w:t xml:space="preserve">hasta la liquidación del contrato. </w:t>
      </w:r>
    </w:p>
    <w:p w14:paraId="21E30606" w14:textId="68E075A7" w:rsidR="0030344A" w:rsidRPr="0030344A" w:rsidRDefault="0030344A" w:rsidP="0030344A">
      <w:pPr>
        <w:spacing w:after="120" w:line="276" w:lineRule="auto"/>
        <w:ind w:firstLine="709"/>
        <w:jc w:val="both"/>
        <w:rPr>
          <w:rFonts w:ascii="Arial" w:hAnsi="Arial" w:cs="Arial"/>
          <w:bCs/>
          <w:color w:val="000000" w:themeColor="text1"/>
          <w:sz w:val="22"/>
        </w:rPr>
      </w:pPr>
      <w:r w:rsidRPr="0030344A">
        <w:rPr>
          <w:rFonts w:ascii="Arial" w:hAnsi="Arial" w:cs="Arial"/>
          <w:bCs/>
          <w:color w:val="000000" w:themeColor="text1"/>
          <w:sz w:val="22"/>
        </w:rPr>
        <w:t xml:space="preserve">Bajo estas consideraciones, de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w:t>
      </w:r>
      <w:r w:rsidRPr="0030344A">
        <w:rPr>
          <w:rFonts w:ascii="Arial" w:hAnsi="Arial" w:cs="Arial"/>
          <w:bCs/>
          <w:color w:val="000000" w:themeColor="text1"/>
          <w:sz w:val="22"/>
          <w:lang w:val="es-ES_tradnl"/>
        </w:rPr>
        <w:t>la liquidación de los contratos se hará de mutuo acuerdo dentro del término fijado en los pliegos de condiciones o sus equivalentes o dentro del que acuerden las partes para el efecto</w:t>
      </w:r>
      <w:r w:rsidRPr="0030344A">
        <w:rPr>
          <w:rFonts w:ascii="Arial" w:hAnsi="Arial" w:cs="Arial"/>
          <w:bCs/>
          <w:color w:val="000000" w:themeColor="text1"/>
          <w:sz w:val="22"/>
        </w:rPr>
        <w:t xml:space="preserve">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w:t>
      </w:r>
      <w:r w:rsidRPr="0030344A">
        <w:rPr>
          <w:rFonts w:ascii="Arial" w:hAnsi="Arial" w:cs="Arial"/>
          <w:bCs/>
          <w:color w:val="000000" w:themeColor="text1"/>
          <w:sz w:val="22"/>
        </w:rPr>
        <w:lastRenderedPageBreak/>
        <w:t>garantía de cumplimiento hasta la liquidación efectiva del contrato, sin perjuicio de interponer la demanda con la pretensión de liquidarlo judicialmente.</w:t>
      </w:r>
    </w:p>
    <w:p w14:paraId="184C15EA" w14:textId="37DC4EFA" w:rsidR="0030344A" w:rsidRPr="0030344A" w:rsidRDefault="0030344A" w:rsidP="0030344A">
      <w:pPr>
        <w:spacing w:after="120" w:line="276" w:lineRule="auto"/>
        <w:ind w:firstLine="709"/>
        <w:jc w:val="both"/>
        <w:rPr>
          <w:rFonts w:ascii="Arial" w:hAnsi="Arial" w:cs="Arial"/>
          <w:bCs/>
          <w:color w:val="000000" w:themeColor="text1"/>
          <w:sz w:val="22"/>
        </w:rPr>
      </w:pPr>
      <w:r w:rsidRPr="0030344A">
        <w:rPr>
          <w:rFonts w:ascii="Arial" w:hAnsi="Arial" w:cs="Arial"/>
          <w:bCs/>
          <w:color w:val="000000" w:themeColor="text1"/>
          <w:sz w:val="22"/>
        </w:rPr>
        <w:t>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w:t>
      </w:r>
      <w:r w:rsidRPr="0030344A">
        <w:rPr>
          <w:rFonts w:ascii="Arial" w:hAnsi="Arial" w:cs="Arial"/>
          <w:bCs/>
          <w:color w:val="000000" w:themeColor="text1"/>
          <w:sz w:val="22"/>
          <w:lang w:val="es-ES_tradnl"/>
        </w:rPr>
        <w:t xml:space="preserve">i por alguna razón no se logra liquidar el contrato dentro de dicho plazo, el contratista tiene el deber de mantener vigente la garantía hasta la liquidación efectiva del contrato, pues el artículo 2.2.1.2.3.1.12 del Decreto 1082 de 2015 lo dispone expresamente. </w:t>
      </w:r>
    </w:p>
    <w:p w14:paraId="4C055FC7" w14:textId="5FB3A853" w:rsidR="00DE3B48" w:rsidRPr="004633CF" w:rsidRDefault="00571301" w:rsidP="009B1D4D">
      <w:pPr>
        <w:tabs>
          <w:tab w:val="left" w:pos="0"/>
          <w:tab w:val="left" w:pos="2190"/>
          <w:tab w:val="left" w:pos="6645"/>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9B1D4D">
        <w:rPr>
          <w:rFonts w:ascii="Arial" w:eastAsia="Calibri" w:hAnsi="Arial" w:cs="Arial"/>
          <w:bCs/>
          <w:sz w:val="22"/>
          <w:lang w:val="es-ES_tradnl"/>
        </w:rPr>
        <w:tab/>
      </w:r>
    </w:p>
    <w:p w14:paraId="49375CFA" w14:textId="3DF1F5E6" w:rsidR="00D633AC" w:rsidRPr="008F293D" w:rsidRDefault="004177A6" w:rsidP="008F293D">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01C0F502" w14:textId="77777777" w:rsidR="00F9574A" w:rsidRDefault="00F9574A" w:rsidP="00F9574A">
      <w:pPr>
        <w:spacing w:line="276" w:lineRule="auto"/>
        <w:jc w:val="both"/>
        <w:rPr>
          <w:rFonts w:ascii="Arial" w:hAnsi="Arial" w:cs="Arial"/>
          <w:bCs/>
          <w:sz w:val="22"/>
          <w:szCs w:val="22"/>
        </w:rPr>
      </w:pPr>
    </w:p>
    <w:p w14:paraId="62EB69A0" w14:textId="77777777" w:rsidR="00F56483" w:rsidRPr="001C58D6" w:rsidRDefault="00F56483" w:rsidP="00F56483">
      <w:pPr>
        <w:autoSpaceDE w:val="0"/>
        <w:autoSpaceDN w:val="0"/>
        <w:adjustRightInd w:val="0"/>
        <w:ind w:left="709" w:right="709"/>
        <w:jc w:val="both"/>
        <w:rPr>
          <w:rFonts w:ascii="Arial" w:hAnsi="Arial" w:cs="Arial"/>
          <w:bCs/>
          <w:sz w:val="20"/>
          <w:szCs w:val="20"/>
          <w:lang w:val="es-ES"/>
        </w:rPr>
      </w:pPr>
      <w:r w:rsidRPr="001C58D6">
        <w:rPr>
          <w:rFonts w:ascii="Arial" w:hAnsi="Arial" w:cs="Arial"/>
          <w:bCs/>
          <w:sz w:val="20"/>
          <w:szCs w:val="20"/>
          <w:lang w:val="es-ES"/>
        </w:rPr>
        <w:t>«</w:t>
      </w:r>
      <w:r w:rsidRPr="001C58D6">
        <w:rPr>
          <w:rFonts w:ascii="Arial" w:hAnsi="Arial" w:cs="Arial"/>
          <w:bCs/>
          <w:sz w:val="20"/>
          <w:szCs w:val="20"/>
          <w:lang w:val="es-ES_tradnl"/>
        </w:rPr>
        <w:t>En atención a las funciones de orientación respecto de las normas de contratación estatal, de la manera más atenta solicito emitir un concepto en el que se aclare cuál debe ser la vigencia mínima del amparo de cumplimiento, teniendo en cuenta que existen distintas etapas en la liquidación del contrato, y que la ley dice que este amparo debe estar vigente mínimo hasta la liquidación, para poder definir, en consecuencia, cuál debe ser el término de vigencia a partir de la terminación del contrato: si 6 meses (4 meses para liquidar bilateralmente si no existe pacto expreso entre las partes, y 2 meses para liquidar bilateralmente), o 30 meses (término máximo que tiene la entidad estatal para ejercer esa competencia vencidos los 6 meses iniciales)</w:t>
      </w:r>
      <w:r w:rsidRPr="001C58D6">
        <w:rPr>
          <w:rFonts w:ascii="Arial" w:hAnsi="Arial" w:cs="Arial"/>
          <w:bCs/>
          <w:sz w:val="20"/>
          <w:szCs w:val="20"/>
          <w:lang w:val="es-ES"/>
        </w:rPr>
        <w:t>»</w:t>
      </w:r>
    </w:p>
    <w:p w14:paraId="6540ADA2" w14:textId="7D5204B4" w:rsidR="008741EE" w:rsidRDefault="008741EE" w:rsidP="00F56483">
      <w:pPr>
        <w:autoSpaceDE w:val="0"/>
        <w:autoSpaceDN w:val="0"/>
        <w:adjustRightInd w:val="0"/>
        <w:spacing w:line="276" w:lineRule="auto"/>
        <w:ind w:right="709"/>
        <w:jc w:val="both"/>
        <w:rPr>
          <w:rFonts w:ascii="Arial" w:hAnsi="Arial" w:cs="Arial"/>
          <w:sz w:val="21"/>
          <w:szCs w:val="21"/>
        </w:rPr>
      </w:pPr>
    </w:p>
    <w:p w14:paraId="040B7762" w14:textId="4AE8C4A1" w:rsidR="0030344A" w:rsidRPr="00916949" w:rsidRDefault="0030344A" w:rsidP="0030344A">
      <w:pPr>
        <w:spacing w:after="120" w:line="276" w:lineRule="auto"/>
        <w:ind w:right="105"/>
        <w:jc w:val="both"/>
        <w:rPr>
          <w:rFonts w:ascii="Arial" w:hAnsi="Arial" w:cs="Arial"/>
          <w:color w:val="000000"/>
          <w:sz w:val="22"/>
          <w:szCs w:val="22"/>
        </w:rPr>
      </w:pPr>
      <w:r w:rsidRPr="00916949">
        <w:rPr>
          <w:rFonts w:ascii="Arial" w:hAnsi="Arial" w:cs="Arial"/>
          <w:color w:val="201F1E"/>
          <w:sz w:val="22"/>
          <w:szCs w:val="22"/>
          <w:bdr w:val="none" w:sz="0" w:space="0" w:color="auto" w:frame="1"/>
          <w:shd w:val="clear" w:color="auto" w:fill="FFFFFF"/>
        </w:rPr>
        <w:t>Con base en las consideraciones anteriores, es posible afirmar que el proceso de liquidación cuenta con unos plazos específicos establecidos por el artículo 11 de la Ley 1150 de 2007</w:t>
      </w:r>
      <w:r>
        <w:rPr>
          <w:rFonts w:ascii="Arial" w:hAnsi="Arial" w:cs="Arial"/>
          <w:color w:val="201F1E"/>
          <w:sz w:val="22"/>
          <w:szCs w:val="22"/>
          <w:bdr w:val="none" w:sz="0" w:space="0" w:color="auto" w:frame="1"/>
          <w:shd w:val="clear" w:color="auto" w:fill="FFFFFF"/>
        </w:rPr>
        <w:t>:</w:t>
      </w:r>
      <w:r w:rsidRPr="00916949">
        <w:rPr>
          <w:rFonts w:ascii="Arial" w:hAnsi="Arial" w:cs="Arial"/>
          <w:color w:val="201F1E"/>
          <w:sz w:val="22"/>
          <w:szCs w:val="22"/>
          <w:bdr w:val="none" w:sz="0" w:space="0" w:color="auto" w:frame="1"/>
          <w:shd w:val="clear" w:color="auto" w:fill="FFFFFF"/>
        </w:rPr>
        <w:t xml:space="preserve"> </w:t>
      </w:r>
      <w:r>
        <w:rPr>
          <w:rFonts w:ascii="Arial" w:hAnsi="Arial" w:cs="Arial"/>
          <w:color w:val="201F1E"/>
          <w:sz w:val="22"/>
          <w:szCs w:val="22"/>
          <w:bdr w:val="none" w:sz="0" w:space="0" w:color="auto" w:frame="1"/>
          <w:shd w:val="clear" w:color="auto" w:fill="FFFFFF"/>
        </w:rPr>
        <w:t>i) el plazo convencionalmente establecido por las partes o, en su ausencia, el término supletivo establecido para la</w:t>
      </w:r>
      <w:r w:rsidRPr="00916949">
        <w:rPr>
          <w:rFonts w:ascii="Arial" w:hAnsi="Arial" w:cs="Arial"/>
          <w:color w:val="201F1E"/>
          <w:sz w:val="22"/>
          <w:szCs w:val="22"/>
          <w:bdr w:val="none" w:sz="0" w:space="0" w:color="auto" w:frame="1"/>
          <w:shd w:val="clear" w:color="auto" w:fill="FFFFFF"/>
        </w:rPr>
        <w:t xml:space="preserve"> liquidación bilateral de 4 meses</w:t>
      </w:r>
      <w:r>
        <w:rPr>
          <w:rFonts w:ascii="Arial" w:hAnsi="Arial" w:cs="Arial"/>
          <w:color w:val="201F1E"/>
          <w:sz w:val="22"/>
          <w:szCs w:val="22"/>
          <w:bdr w:val="none" w:sz="0" w:space="0" w:color="auto" w:frame="1"/>
          <w:shd w:val="clear" w:color="auto" w:fill="FFFFFF"/>
        </w:rPr>
        <w:t>; ii)</w:t>
      </w:r>
      <w:r w:rsidRPr="00916949">
        <w:rPr>
          <w:rFonts w:ascii="Arial" w:hAnsi="Arial" w:cs="Arial"/>
          <w:color w:val="201F1E"/>
          <w:sz w:val="22"/>
          <w:szCs w:val="22"/>
          <w:bdr w:val="none" w:sz="0" w:space="0" w:color="auto" w:frame="1"/>
          <w:shd w:val="clear" w:color="auto" w:fill="FFFFFF"/>
        </w:rPr>
        <w:t xml:space="preserve"> uno siguiente de 2 meses para </w:t>
      </w:r>
      <w:r>
        <w:rPr>
          <w:rFonts w:ascii="Arial" w:hAnsi="Arial" w:cs="Arial"/>
          <w:color w:val="201F1E"/>
          <w:sz w:val="22"/>
          <w:szCs w:val="22"/>
          <w:bdr w:val="none" w:sz="0" w:space="0" w:color="auto" w:frame="1"/>
          <w:shd w:val="clear" w:color="auto" w:fill="FFFFFF"/>
        </w:rPr>
        <w:t xml:space="preserve">realizar la </w:t>
      </w:r>
      <w:r w:rsidRPr="00916949">
        <w:rPr>
          <w:rFonts w:ascii="Arial" w:hAnsi="Arial" w:cs="Arial"/>
          <w:color w:val="201F1E"/>
          <w:sz w:val="22"/>
          <w:szCs w:val="22"/>
          <w:bdr w:val="none" w:sz="0" w:space="0" w:color="auto" w:frame="1"/>
          <w:shd w:val="clear" w:color="auto" w:fill="FFFFFF"/>
        </w:rPr>
        <w:t xml:space="preserve">liquidación de forma unilateral por parte de la </w:t>
      </w:r>
      <w:r w:rsidR="00D15431">
        <w:rPr>
          <w:rFonts w:ascii="Arial" w:hAnsi="Arial" w:cs="Arial"/>
          <w:color w:val="201F1E"/>
          <w:sz w:val="22"/>
          <w:szCs w:val="22"/>
          <w:bdr w:val="none" w:sz="0" w:space="0" w:color="auto" w:frame="1"/>
          <w:shd w:val="clear" w:color="auto" w:fill="FFFFFF"/>
        </w:rPr>
        <w:t>Entidad Estatal</w:t>
      </w:r>
      <w:r w:rsidRPr="00916949">
        <w:rPr>
          <w:rFonts w:ascii="Arial" w:hAnsi="Arial" w:cs="Arial"/>
          <w:color w:val="201F1E"/>
          <w:sz w:val="22"/>
          <w:szCs w:val="22"/>
          <w:bdr w:val="none" w:sz="0" w:space="0" w:color="auto" w:frame="1"/>
          <w:shd w:val="clear" w:color="auto" w:fill="FFFFFF"/>
        </w:rPr>
        <w:t xml:space="preserve">. </w:t>
      </w:r>
      <w:r>
        <w:rPr>
          <w:rFonts w:ascii="Arial" w:hAnsi="Arial" w:cs="Arial"/>
          <w:color w:val="201F1E"/>
          <w:sz w:val="22"/>
          <w:szCs w:val="22"/>
          <w:bdr w:val="none" w:sz="0" w:space="0" w:color="auto" w:frame="1"/>
          <w:shd w:val="clear" w:color="auto" w:fill="FFFFFF"/>
        </w:rPr>
        <w:t xml:space="preserve">iii) </w:t>
      </w:r>
      <w:r w:rsidRPr="00916949">
        <w:rPr>
          <w:rFonts w:ascii="Arial" w:hAnsi="Arial" w:cs="Arial"/>
          <w:color w:val="201F1E"/>
          <w:sz w:val="22"/>
          <w:szCs w:val="22"/>
          <w:bdr w:val="none" w:sz="0" w:space="0" w:color="auto" w:frame="1"/>
          <w:shd w:val="clear" w:color="auto" w:fill="FFFFFF"/>
        </w:rPr>
        <w:t>Vencidos estos plazos, existe la posibilidad</w:t>
      </w:r>
      <w:r>
        <w:rPr>
          <w:rFonts w:ascii="Arial" w:hAnsi="Arial" w:cs="Arial"/>
          <w:color w:val="201F1E"/>
          <w:sz w:val="22"/>
          <w:szCs w:val="22"/>
          <w:bdr w:val="none" w:sz="0" w:space="0" w:color="auto" w:frame="1"/>
          <w:shd w:val="clear" w:color="auto" w:fill="FFFFFF"/>
        </w:rPr>
        <w:t xml:space="preserve"> liquidar de mutuo acuerdo o</w:t>
      </w:r>
      <w:r w:rsidRPr="00916949">
        <w:rPr>
          <w:rFonts w:ascii="Arial" w:hAnsi="Arial" w:cs="Arial"/>
          <w:color w:val="201F1E"/>
          <w:sz w:val="22"/>
          <w:szCs w:val="22"/>
          <w:bdr w:val="none" w:sz="0" w:space="0" w:color="auto" w:frame="1"/>
          <w:shd w:val="clear" w:color="auto" w:fill="FFFFFF"/>
        </w:rPr>
        <w:t xml:space="preserve"> </w:t>
      </w:r>
      <w:r>
        <w:rPr>
          <w:rFonts w:ascii="Arial" w:hAnsi="Arial" w:cs="Arial"/>
          <w:color w:val="201F1E"/>
          <w:sz w:val="22"/>
          <w:szCs w:val="22"/>
          <w:bdr w:val="none" w:sz="0" w:space="0" w:color="auto" w:frame="1"/>
          <w:shd w:val="clear" w:color="auto" w:fill="FFFFFF"/>
        </w:rPr>
        <w:t>unilateralmente el contrato dentro de los 2 años siguientes, sin perjuicio de acudir a</w:t>
      </w:r>
      <w:r w:rsidRPr="00916949">
        <w:rPr>
          <w:rFonts w:ascii="Arial" w:hAnsi="Arial" w:cs="Arial"/>
          <w:color w:val="201F1E"/>
          <w:sz w:val="22"/>
          <w:szCs w:val="22"/>
          <w:bdr w:val="none" w:sz="0" w:space="0" w:color="auto" w:frame="1"/>
          <w:shd w:val="clear" w:color="auto" w:fill="FFFFFF"/>
        </w:rPr>
        <w:t xml:space="preserve"> un proceso </w:t>
      </w:r>
      <w:r>
        <w:rPr>
          <w:rFonts w:ascii="Arial" w:hAnsi="Arial" w:cs="Arial"/>
          <w:color w:val="201F1E"/>
          <w:sz w:val="22"/>
          <w:szCs w:val="22"/>
          <w:bdr w:val="none" w:sz="0" w:space="0" w:color="auto" w:frame="1"/>
          <w:shd w:val="clear" w:color="auto" w:fill="FFFFFF"/>
        </w:rPr>
        <w:t>donde se pretenda la</w:t>
      </w:r>
      <w:r w:rsidRPr="00916949">
        <w:rPr>
          <w:rFonts w:ascii="Arial" w:hAnsi="Arial" w:cs="Arial"/>
          <w:color w:val="201F1E"/>
          <w:sz w:val="22"/>
          <w:szCs w:val="22"/>
          <w:bdr w:val="none" w:sz="0" w:space="0" w:color="auto" w:frame="1"/>
          <w:shd w:val="clear" w:color="auto" w:fill="FFFFFF"/>
        </w:rPr>
        <w:t xml:space="preserve"> liquidación judicial. </w:t>
      </w:r>
    </w:p>
    <w:p w14:paraId="24E2D4CA" w14:textId="10FCA7A0" w:rsidR="0030344A" w:rsidRPr="0030344A" w:rsidRDefault="0030344A" w:rsidP="0030344A">
      <w:pPr>
        <w:spacing w:after="120" w:line="276" w:lineRule="auto"/>
        <w:ind w:firstLine="709"/>
        <w:jc w:val="both"/>
        <w:rPr>
          <w:rFonts w:ascii="Arial" w:hAnsi="Arial" w:cs="Arial"/>
          <w:bCs/>
          <w:color w:val="000000" w:themeColor="text1"/>
          <w:sz w:val="22"/>
        </w:rPr>
      </w:pPr>
      <w:r w:rsidRPr="0030344A">
        <w:rPr>
          <w:rFonts w:ascii="Arial" w:hAnsi="Arial" w:cs="Arial"/>
          <w:bCs/>
          <w:color w:val="000000" w:themeColor="text1"/>
          <w:sz w:val="22"/>
        </w:rPr>
        <w:t xml:space="preserve"> </w:t>
      </w:r>
      <w:r>
        <w:rPr>
          <w:rFonts w:ascii="Arial" w:hAnsi="Arial" w:cs="Arial"/>
          <w:bCs/>
          <w:color w:val="000000" w:themeColor="text1"/>
          <w:sz w:val="22"/>
        </w:rPr>
        <w:t>D</w:t>
      </w:r>
      <w:r w:rsidRPr="0030344A">
        <w:rPr>
          <w:rFonts w:ascii="Arial" w:hAnsi="Arial" w:cs="Arial"/>
          <w:bCs/>
          <w:color w:val="000000" w:themeColor="text1"/>
          <w:sz w:val="22"/>
        </w:rPr>
        <w:t xml:space="preserve">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w:t>
      </w:r>
      <w:r w:rsidRPr="0030344A">
        <w:rPr>
          <w:rFonts w:ascii="Arial" w:hAnsi="Arial" w:cs="Arial"/>
          <w:bCs/>
          <w:color w:val="000000" w:themeColor="text1"/>
          <w:sz w:val="22"/>
          <w:lang w:val="es-ES_tradnl"/>
        </w:rPr>
        <w:t>la liquidación de los contratos se hará de mutuo acuerdo dentro del término fijado en los pliegos de condiciones o sus equivalentes o dentro del que acuerden las partes para el efecto</w:t>
      </w:r>
      <w:r w:rsidRPr="0030344A">
        <w:rPr>
          <w:rFonts w:ascii="Arial" w:hAnsi="Arial" w:cs="Arial"/>
          <w:bCs/>
          <w:color w:val="000000" w:themeColor="text1"/>
          <w:sz w:val="22"/>
        </w:rPr>
        <w:t xml:space="preserve"> o en su ausencia, el término supletivo </w:t>
      </w:r>
      <w:r w:rsidRPr="0030344A">
        <w:rPr>
          <w:rFonts w:ascii="Arial" w:hAnsi="Arial" w:cs="Arial"/>
          <w:bCs/>
          <w:color w:val="000000" w:themeColor="text1"/>
          <w:sz w:val="22"/>
        </w:rPr>
        <w:lastRenderedPageBreak/>
        <w:t>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w:t>
      </w:r>
    </w:p>
    <w:p w14:paraId="48C1347A" w14:textId="23E24B21" w:rsidR="0030344A" w:rsidRDefault="0030344A" w:rsidP="0030344A">
      <w:pPr>
        <w:widowControl w:val="0"/>
        <w:autoSpaceDE w:val="0"/>
        <w:autoSpaceDN w:val="0"/>
        <w:spacing w:line="276" w:lineRule="auto"/>
        <w:ind w:firstLine="709"/>
        <w:jc w:val="both"/>
        <w:rPr>
          <w:rFonts w:ascii="Arial" w:hAnsi="Arial" w:cs="Arial"/>
          <w:bCs/>
          <w:color w:val="000000" w:themeColor="text1"/>
          <w:sz w:val="22"/>
          <w:lang w:val="es-ES_tradnl"/>
        </w:rPr>
      </w:pPr>
      <w:r w:rsidRPr="0030344A">
        <w:rPr>
          <w:rFonts w:ascii="Arial" w:hAnsi="Arial" w:cs="Arial"/>
          <w:bCs/>
          <w:color w:val="000000" w:themeColor="text1"/>
          <w:sz w:val="22"/>
        </w:rPr>
        <w:t>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w:t>
      </w:r>
      <w:r w:rsidRPr="0030344A">
        <w:rPr>
          <w:rFonts w:ascii="Arial" w:hAnsi="Arial" w:cs="Arial"/>
          <w:bCs/>
          <w:color w:val="000000" w:themeColor="text1"/>
          <w:sz w:val="22"/>
          <w:lang w:val="es-ES_tradnl"/>
        </w:rPr>
        <w:t>i por alguna razón no se logra liquidar el contrato dentro de dicho plazo, el contratista tiene el deber de mantener vigente la garantía hasta la liquidación efectiva del contrato, pues el artículo 2.2.1.2.3.1.12 del Decreto 1082 de 2015 lo dispone expresamente</w:t>
      </w:r>
      <w:r w:rsidR="00022EC4">
        <w:rPr>
          <w:rFonts w:ascii="Arial" w:hAnsi="Arial" w:cs="Arial"/>
          <w:bCs/>
          <w:color w:val="000000" w:themeColor="text1"/>
          <w:sz w:val="22"/>
          <w:lang w:val="es-ES_tradnl"/>
        </w:rPr>
        <w:t xml:space="preserve">. </w:t>
      </w:r>
    </w:p>
    <w:p w14:paraId="0E8862DE" w14:textId="6FA37C5E" w:rsidR="00FB057E" w:rsidRDefault="00FB057E" w:rsidP="00FB057E">
      <w:pPr>
        <w:spacing w:before="120" w:line="276" w:lineRule="auto"/>
        <w:ind w:firstLine="709"/>
        <w:jc w:val="both"/>
        <w:rPr>
          <w:rFonts w:ascii="Arial" w:hAnsi="Arial" w:cs="Arial"/>
          <w:bCs/>
          <w:color w:val="000000" w:themeColor="text1"/>
          <w:sz w:val="22"/>
        </w:rPr>
      </w:pPr>
      <w:r w:rsidRPr="009C6B45">
        <w:rPr>
          <w:rFonts w:ascii="Arial" w:hAnsi="Arial" w:cs="Arial"/>
          <w:bCs/>
          <w:color w:val="000000" w:themeColor="text1"/>
          <w:sz w:val="22"/>
          <w:lang w:val="es-ES_tradnl"/>
        </w:rPr>
        <w:t>P</w:t>
      </w:r>
      <w:r>
        <w:rPr>
          <w:rFonts w:ascii="Arial" w:hAnsi="Arial" w:cs="Arial"/>
          <w:bCs/>
          <w:color w:val="000000" w:themeColor="text1"/>
          <w:sz w:val="22"/>
          <w:lang w:val="es-ES_tradnl"/>
        </w:rPr>
        <w:t>or lo tanto, la vigencia de dicha garantía no entra dentro del ámbito de discrecionalidad de la entidad contratante y, de este modo, es necesario concluir que</w:t>
      </w:r>
      <w:r w:rsidRPr="009C6B45">
        <w:rPr>
          <w:rFonts w:ascii="Arial" w:hAnsi="Arial" w:cs="Arial"/>
          <w:bCs/>
          <w:color w:val="000000" w:themeColor="text1"/>
          <w:sz w:val="22"/>
          <w:lang w:val="es-ES_tradnl"/>
        </w:rPr>
        <w:t xml:space="preserve"> la </w:t>
      </w:r>
      <w:r>
        <w:rPr>
          <w:rFonts w:ascii="Arial" w:hAnsi="Arial" w:cs="Arial"/>
          <w:bCs/>
          <w:color w:val="000000" w:themeColor="text1"/>
          <w:sz w:val="22"/>
          <w:lang w:val="es-ES_tradnl"/>
        </w:rPr>
        <w:t xml:space="preserve">garantía debe mantenerse vigente durante los plazos dispuestos </w:t>
      </w:r>
      <w:r w:rsidR="00D575A1">
        <w:rPr>
          <w:rFonts w:ascii="Arial" w:hAnsi="Arial" w:cs="Arial"/>
          <w:bCs/>
          <w:color w:val="000000" w:themeColor="text1"/>
          <w:sz w:val="22"/>
          <w:lang w:val="es-ES_tradnl"/>
        </w:rPr>
        <w:t xml:space="preserve">en el artículo </w:t>
      </w:r>
      <w:r w:rsidR="00D575A1" w:rsidRPr="0030344A">
        <w:rPr>
          <w:rFonts w:ascii="Arial" w:hAnsi="Arial" w:cs="Arial"/>
          <w:bCs/>
          <w:color w:val="000000" w:themeColor="text1"/>
          <w:sz w:val="22"/>
        </w:rPr>
        <w:t>11 de la ley 1150 de 2007</w:t>
      </w:r>
      <w:r w:rsidR="00D575A1">
        <w:rPr>
          <w:rFonts w:ascii="Arial" w:hAnsi="Arial" w:cs="Arial"/>
          <w:bCs/>
          <w:color w:val="000000" w:themeColor="text1"/>
          <w:sz w:val="22"/>
        </w:rPr>
        <w:t xml:space="preserve"> </w:t>
      </w:r>
      <w:r>
        <w:rPr>
          <w:rFonts w:ascii="Arial" w:hAnsi="Arial" w:cs="Arial"/>
          <w:bCs/>
          <w:color w:val="000000" w:themeColor="text1"/>
          <w:sz w:val="22"/>
          <w:lang w:val="es-ES_tradnl"/>
        </w:rPr>
        <w:t>para la liquidación</w:t>
      </w:r>
      <w:r w:rsidR="00C33268">
        <w:rPr>
          <w:rFonts w:ascii="Arial" w:hAnsi="Arial" w:cs="Arial"/>
          <w:bCs/>
          <w:color w:val="000000" w:themeColor="text1"/>
          <w:sz w:val="22"/>
          <w:lang w:val="es-ES_tradnl"/>
        </w:rPr>
        <w:t>.</w:t>
      </w:r>
    </w:p>
    <w:p w14:paraId="63CB7452" w14:textId="77777777" w:rsidR="0030344A" w:rsidRDefault="0030344A" w:rsidP="00B21AD4">
      <w:pPr>
        <w:widowControl w:val="0"/>
        <w:autoSpaceDE w:val="0"/>
        <w:autoSpaceDN w:val="0"/>
        <w:spacing w:line="276" w:lineRule="auto"/>
        <w:jc w:val="both"/>
        <w:rPr>
          <w:rFonts w:ascii="Arial" w:hAnsi="Arial" w:cs="Arial"/>
          <w:color w:val="000000" w:themeColor="text1"/>
          <w:sz w:val="22"/>
          <w:szCs w:val="22"/>
          <w:lang w:val="es-ES_tradnl"/>
        </w:rPr>
      </w:pPr>
    </w:p>
    <w:p w14:paraId="764FFCAC" w14:textId="77777777" w:rsidR="00161234" w:rsidRPr="00EC7006" w:rsidRDefault="00DD5B04" w:rsidP="00161234">
      <w:pPr>
        <w:spacing w:line="276" w:lineRule="auto"/>
        <w:jc w:val="both"/>
        <w:rPr>
          <w:rFonts w:ascii="Arial" w:hAnsi="Arial" w:cs="Arial"/>
          <w:sz w:val="22"/>
          <w:szCs w:val="22"/>
          <w:lang w:val="es-ES_tradnl"/>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r w:rsidR="00161234">
        <w:rPr>
          <w:rFonts w:ascii="Arial" w:hAnsi="Arial" w:cs="Arial"/>
          <w:color w:val="000000" w:themeColor="text1"/>
          <w:sz w:val="22"/>
          <w:lang w:val="es-ES_tradnl"/>
        </w:rPr>
        <w:t xml:space="preserve"> </w:t>
      </w:r>
      <w:r w:rsidR="00161234" w:rsidRPr="00EC7006">
        <w:rPr>
          <w:rFonts w:ascii="Arial" w:eastAsia="Calibri" w:hAnsi="Arial" w:cs="Arial"/>
          <w:sz w:val="22"/>
          <w:szCs w:val="22"/>
          <w:lang w:val="es-ES" w:eastAsia="es-MX"/>
        </w:rPr>
        <w:t xml:space="preserve">y </w:t>
      </w:r>
      <w:r w:rsidR="00161234" w:rsidRPr="00EC7006">
        <w:rPr>
          <w:rFonts w:ascii="Arial" w:eastAsia="Calibri" w:hAnsi="Arial" w:cs="Arial"/>
          <w:sz w:val="22"/>
          <w:szCs w:val="22"/>
          <w:lang w:val="es-MX"/>
        </w:rPr>
        <w:t>las expresiones aquí utilizadas con mayúscula inicial deben ser entendidas con el significado que les otorga el artículo 2.2.1.1.1.3.1. del Decreto 1082 de 2015</w:t>
      </w:r>
      <w:r w:rsidR="00161234" w:rsidRPr="00EC7006">
        <w:rPr>
          <w:rFonts w:ascii="Arial" w:hAnsi="Arial" w:cs="Arial"/>
          <w:sz w:val="22"/>
          <w:szCs w:val="22"/>
          <w:lang w:val="es-ES_tradnl"/>
        </w:rPr>
        <w:t>.</w:t>
      </w:r>
    </w:p>
    <w:p w14:paraId="6F54E9C9" w14:textId="77777777" w:rsidR="00003233" w:rsidRPr="00A51520" w:rsidRDefault="00003233" w:rsidP="001C58D6">
      <w:pPr>
        <w:widowControl w:val="0"/>
        <w:autoSpaceDE w:val="0"/>
        <w:autoSpaceDN w:val="0"/>
        <w:spacing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ED13883" w14:textId="58B0E2ED" w:rsidR="00003233" w:rsidRDefault="00EA0825" w:rsidP="005D731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4FE7F95" wp14:editId="027136AC">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3A5093F4" w14:textId="77777777" w:rsidR="005D7312" w:rsidRPr="00E30427" w:rsidRDefault="005D7312" w:rsidP="005D7312">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E30427" w14:paraId="0C7DC5F7" w14:textId="77777777" w:rsidTr="005D7312">
        <w:trPr>
          <w:trHeight w:val="160"/>
        </w:trPr>
        <w:tc>
          <w:tcPr>
            <w:tcW w:w="812" w:type="dxa"/>
            <w:vAlign w:val="center"/>
            <w:hideMark/>
          </w:tcPr>
          <w:p w14:paraId="5BDB1AC9" w14:textId="77777777" w:rsidR="00DD5B04" w:rsidRPr="00E30427" w:rsidRDefault="00DD5B04"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E30427" w:rsidRDefault="00F412DF"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Tatiana Baquero Iguarán</w:t>
            </w:r>
          </w:p>
          <w:p w14:paraId="240C71FD" w14:textId="31312C95" w:rsidR="00DD5B04" w:rsidRPr="00E30427" w:rsidRDefault="00DD5B04"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Contratista</w:t>
            </w:r>
            <w:r w:rsidR="00FF0050" w:rsidRPr="00E30427">
              <w:rPr>
                <w:rFonts w:ascii="Arial" w:hAnsi="Arial" w:cs="Arial"/>
                <w:color w:val="000000" w:themeColor="text1"/>
                <w:sz w:val="16"/>
                <w:szCs w:val="16"/>
                <w:lang w:val="es-ES_tradnl" w:eastAsia="es-ES"/>
              </w:rPr>
              <w:t xml:space="preserve"> de la </w:t>
            </w:r>
            <w:r w:rsidRPr="00E30427">
              <w:rPr>
                <w:rFonts w:ascii="Arial" w:hAnsi="Arial" w:cs="Arial"/>
                <w:color w:val="000000" w:themeColor="text1"/>
                <w:sz w:val="16"/>
                <w:szCs w:val="16"/>
                <w:lang w:val="es-ES_tradnl" w:eastAsia="es-ES"/>
              </w:rPr>
              <w:t>Subdirección de Gestión Contractual</w:t>
            </w:r>
          </w:p>
        </w:tc>
      </w:tr>
      <w:tr w:rsidR="00DD5B04" w:rsidRPr="00E30427" w14:paraId="2F8FD650" w14:textId="77777777" w:rsidTr="005D7312">
        <w:trPr>
          <w:trHeight w:val="330"/>
        </w:trPr>
        <w:tc>
          <w:tcPr>
            <w:tcW w:w="812" w:type="dxa"/>
            <w:vAlign w:val="center"/>
            <w:hideMark/>
          </w:tcPr>
          <w:p w14:paraId="50203A0B" w14:textId="77777777" w:rsidR="00DD5B04" w:rsidRPr="00E30427" w:rsidRDefault="00DD5B04"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56FB29FE" w:rsidR="003A07D9" w:rsidRPr="00E30427" w:rsidRDefault="002D3582" w:rsidP="005D7312">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Any Alejandra Tovar</w:t>
            </w:r>
            <w:r w:rsidR="00161234">
              <w:rPr>
                <w:rFonts w:ascii="Arial" w:hAnsi="Arial" w:cs="Arial"/>
                <w:color w:val="000000" w:themeColor="text1"/>
                <w:sz w:val="16"/>
                <w:szCs w:val="16"/>
                <w:lang w:eastAsia="es-ES"/>
              </w:rPr>
              <w:t xml:space="preserve"> Castillo</w:t>
            </w:r>
          </w:p>
          <w:p w14:paraId="130B3228" w14:textId="28DBB6C2" w:rsidR="00DD5B04" w:rsidRPr="00E30427" w:rsidRDefault="00B86977" w:rsidP="005D7312">
            <w:pPr>
              <w:jc w:val="both"/>
              <w:rPr>
                <w:rFonts w:ascii="Arial" w:hAnsi="Arial" w:cs="Arial"/>
                <w:color w:val="000000" w:themeColor="text1"/>
                <w:sz w:val="16"/>
                <w:szCs w:val="16"/>
                <w:lang w:eastAsia="es-ES"/>
              </w:rPr>
            </w:pPr>
            <w:r w:rsidRPr="00E30427">
              <w:rPr>
                <w:rFonts w:ascii="Arial" w:hAnsi="Arial" w:cs="Arial"/>
                <w:color w:val="000000" w:themeColor="text1"/>
                <w:sz w:val="16"/>
                <w:szCs w:val="16"/>
                <w:lang w:eastAsia="es-ES"/>
              </w:rPr>
              <w:t>Contratista</w:t>
            </w:r>
            <w:r w:rsidR="003A07D9" w:rsidRPr="00E30427">
              <w:rPr>
                <w:rFonts w:ascii="Arial" w:hAnsi="Arial" w:cs="Arial"/>
                <w:color w:val="000000" w:themeColor="text1"/>
                <w:sz w:val="16"/>
                <w:szCs w:val="16"/>
                <w:lang w:eastAsia="es-ES"/>
              </w:rPr>
              <w:t xml:space="preserve"> de la Subdirección de Gestión Contractual</w:t>
            </w:r>
          </w:p>
        </w:tc>
      </w:tr>
      <w:tr w:rsidR="00DD5B04" w:rsidRPr="00E30427" w14:paraId="0FCBCA4A" w14:textId="77777777" w:rsidTr="005D7312">
        <w:trPr>
          <w:trHeight w:val="300"/>
        </w:trPr>
        <w:tc>
          <w:tcPr>
            <w:tcW w:w="812" w:type="dxa"/>
            <w:vAlign w:val="center"/>
            <w:hideMark/>
          </w:tcPr>
          <w:p w14:paraId="3C1D943A" w14:textId="77777777" w:rsidR="00DD5B04" w:rsidRPr="00E30427" w:rsidRDefault="00DD5B04"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D538C4" w14:textId="77777777" w:rsidR="004A2BEB" w:rsidRPr="004A2BEB" w:rsidRDefault="004A2BEB" w:rsidP="004A2BEB">
            <w:pPr>
              <w:jc w:val="both"/>
              <w:rPr>
                <w:rFonts w:ascii="Arial" w:hAnsi="Arial" w:cs="Arial"/>
                <w:color w:val="000000" w:themeColor="text1"/>
                <w:sz w:val="16"/>
                <w:szCs w:val="16"/>
                <w:lang w:eastAsia="es-ES"/>
              </w:rPr>
            </w:pPr>
            <w:r w:rsidRPr="004A2BEB">
              <w:rPr>
                <w:rFonts w:ascii="Arial" w:hAnsi="Arial" w:cs="Arial"/>
                <w:color w:val="000000" w:themeColor="text1"/>
                <w:sz w:val="16"/>
                <w:szCs w:val="16"/>
                <w:lang w:eastAsia="es-ES"/>
              </w:rPr>
              <w:t>Nohelia del Carmen Zawady Palacio</w:t>
            </w:r>
          </w:p>
          <w:p w14:paraId="1ADC483B" w14:textId="61EFB95A" w:rsidR="00DD5B04" w:rsidRPr="00E30427" w:rsidRDefault="004A2BEB" w:rsidP="004A2BEB">
            <w:pPr>
              <w:jc w:val="both"/>
              <w:rPr>
                <w:rFonts w:ascii="Arial" w:hAnsi="Arial" w:cs="Arial"/>
                <w:color w:val="000000" w:themeColor="text1"/>
                <w:sz w:val="16"/>
                <w:szCs w:val="16"/>
                <w:lang w:val="es-ES_tradnl" w:eastAsia="es-ES"/>
              </w:rPr>
            </w:pPr>
            <w:r w:rsidRPr="004A2BEB">
              <w:rPr>
                <w:rFonts w:ascii="Arial" w:hAnsi="Arial" w:cs="Arial"/>
                <w:color w:val="000000" w:themeColor="text1"/>
                <w:sz w:val="16"/>
                <w:szCs w:val="16"/>
                <w:lang w:eastAsia="es-ES"/>
              </w:rPr>
              <w:t>Subdirectora de Gestión Contractual</w:t>
            </w:r>
          </w:p>
        </w:tc>
      </w:tr>
      <w:bookmarkEnd w:id="0"/>
      <w:bookmarkEnd w:id="1"/>
    </w:tbl>
    <w:p w14:paraId="575AF8D6" w14:textId="2F99AA8F" w:rsidR="003A07D9" w:rsidRPr="00E30427" w:rsidRDefault="003A07D9" w:rsidP="003A07D9">
      <w:pPr>
        <w:tabs>
          <w:tab w:val="left" w:pos="3570"/>
        </w:tabs>
        <w:rPr>
          <w:rFonts w:ascii="Arial" w:hAnsi="Arial" w:cs="Arial"/>
          <w:sz w:val="16"/>
          <w:szCs w:val="16"/>
          <w:lang w:val="es-ES_tradnl"/>
        </w:rPr>
      </w:pPr>
    </w:p>
    <w:sectPr w:rsidR="003A07D9" w:rsidRPr="00E30427" w:rsidSect="00785888">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3927" w14:textId="77777777" w:rsidR="00A959D9" w:rsidRDefault="00A959D9">
      <w:r>
        <w:separator/>
      </w:r>
    </w:p>
  </w:endnote>
  <w:endnote w:type="continuationSeparator" w:id="0">
    <w:p w14:paraId="585560EF" w14:textId="77777777" w:rsidR="00A959D9" w:rsidRDefault="00A959D9">
      <w:r>
        <w:continuationSeparator/>
      </w:r>
    </w:p>
  </w:endnote>
  <w:endnote w:type="continuationNotice" w:id="1">
    <w:p w14:paraId="3B11C9BD" w14:textId="77777777" w:rsidR="00A959D9" w:rsidRDefault="00A95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DB4F" w14:textId="77777777" w:rsidR="00A959D9" w:rsidRDefault="00A959D9">
      <w:r>
        <w:separator/>
      </w:r>
    </w:p>
  </w:footnote>
  <w:footnote w:type="continuationSeparator" w:id="0">
    <w:p w14:paraId="2E07192E" w14:textId="77777777" w:rsidR="00A959D9" w:rsidRDefault="00A959D9">
      <w:r>
        <w:continuationSeparator/>
      </w:r>
    </w:p>
  </w:footnote>
  <w:footnote w:type="continuationNotice" w:id="1">
    <w:p w14:paraId="6516F616" w14:textId="77777777" w:rsidR="00A959D9" w:rsidRDefault="00A959D9"/>
  </w:footnote>
  <w:footnote w:id="2">
    <w:p w14:paraId="348D4A9A" w14:textId="139DBCC9" w:rsidR="00F23B3E" w:rsidRPr="00DF59A7" w:rsidRDefault="00F23B3E" w:rsidP="00D15431">
      <w:pPr>
        <w:pStyle w:val="Textonotapie"/>
        <w:ind w:firstLine="709"/>
        <w:jc w:val="both"/>
        <w:rPr>
          <w:color w:val="000000" w:themeColor="text1"/>
          <w:sz w:val="18"/>
          <w:szCs w:val="18"/>
          <w:lang w:val="es-CO"/>
        </w:rPr>
      </w:pPr>
      <w:r w:rsidRPr="00DF59A7">
        <w:rPr>
          <w:rStyle w:val="Refdenotaalpie"/>
          <w:color w:val="000000" w:themeColor="text1"/>
          <w:sz w:val="18"/>
          <w:szCs w:val="18"/>
        </w:rPr>
        <w:footnoteRef/>
      </w:r>
      <w:r w:rsidRPr="00DF59A7">
        <w:rPr>
          <w:color w:val="000000" w:themeColor="text1"/>
          <w:sz w:val="18"/>
          <w:szCs w:val="18"/>
        </w:rPr>
        <w:t xml:space="preserve"> </w:t>
      </w:r>
      <w:r w:rsidRPr="00DF59A7">
        <w:rPr>
          <w:rFonts w:ascii="Arial" w:hAnsi="Arial" w:cs="Arial"/>
          <w:color w:val="000000" w:themeColor="text1"/>
          <w:sz w:val="18"/>
          <w:szCs w:val="18"/>
          <w:lang w:val="es-CO"/>
        </w:rPr>
        <w:t xml:space="preserve">Estos conceptos pueden ser consultados en la relatoría de la Agencia en el siguiente enlace: </w:t>
      </w:r>
      <w:hyperlink r:id="rId1" w:history="1">
        <w:r w:rsidRPr="00DF59A7">
          <w:rPr>
            <w:rStyle w:val="Hipervnculo"/>
            <w:rFonts w:ascii="Arial" w:hAnsi="Arial" w:cs="Arial"/>
            <w:color w:val="000000" w:themeColor="text1"/>
            <w:sz w:val="18"/>
            <w:szCs w:val="18"/>
            <w:u w:val="none"/>
            <w:lang w:val="es-CO"/>
          </w:rPr>
          <w:t>https://relatoria.colombiacompra.gov.co/busqueda/conceptos#</w:t>
        </w:r>
      </w:hyperlink>
    </w:p>
  </w:footnote>
  <w:footnote w:id="3">
    <w:p w14:paraId="17A5AE17" w14:textId="77777777" w:rsidR="00F56483" w:rsidRPr="00DF59A7" w:rsidRDefault="00F56483" w:rsidP="00D15431">
      <w:pPr>
        <w:pStyle w:val="Textonotapie"/>
        <w:ind w:firstLine="709"/>
        <w:jc w:val="both"/>
        <w:rPr>
          <w:rFonts w:ascii="Arial" w:hAnsi="Arial" w:cs="Arial"/>
          <w:i/>
          <w:iCs/>
          <w:color w:val="000000" w:themeColor="text1"/>
          <w:sz w:val="18"/>
          <w:szCs w:val="18"/>
          <w:lang w:val="es-ES"/>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w:t>
      </w:r>
      <w:r w:rsidRPr="00DF59A7">
        <w:rPr>
          <w:rFonts w:ascii="Arial" w:hAnsi="Arial" w:cs="Arial"/>
          <w:i/>
          <w:iCs/>
          <w:color w:val="000000" w:themeColor="text1"/>
          <w:sz w:val="18"/>
          <w:szCs w:val="18"/>
        </w:rPr>
        <w:t>«[a]</w:t>
      </w:r>
      <w:proofErr w:type="spellStart"/>
      <w:r w:rsidRPr="00DF59A7">
        <w:rPr>
          <w:rFonts w:ascii="Arial" w:hAnsi="Arial" w:cs="Arial"/>
          <w:i/>
          <w:iCs/>
          <w:color w:val="000000" w:themeColor="text1"/>
          <w:sz w:val="18"/>
          <w:szCs w:val="18"/>
        </w:rPr>
        <w:t>bsolver</w:t>
      </w:r>
      <w:proofErr w:type="spellEnd"/>
      <w:r w:rsidRPr="00DF59A7">
        <w:rPr>
          <w:rFonts w:ascii="Arial" w:hAnsi="Arial" w:cs="Arial"/>
          <w:i/>
          <w:iCs/>
          <w:color w:val="000000" w:themeColor="text1"/>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F59A7">
        <w:rPr>
          <w:rFonts w:ascii="Arial" w:hAnsi="Arial" w:cs="Arial"/>
          <w:i/>
          <w:iCs/>
          <w:color w:val="000000" w:themeColor="text1"/>
          <w:sz w:val="18"/>
          <w:szCs w:val="18"/>
        </w:rPr>
        <w:t>bsolver</w:t>
      </w:r>
      <w:proofErr w:type="spellEnd"/>
      <w:r w:rsidRPr="00DF59A7">
        <w:rPr>
          <w:rFonts w:ascii="Arial" w:hAnsi="Arial" w:cs="Arial"/>
          <w:i/>
          <w:iCs/>
          <w:color w:val="000000" w:themeColor="text1"/>
          <w:sz w:val="18"/>
          <w:szCs w:val="18"/>
        </w:rPr>
        <w:t xml:space="preserve"> consultas sobre la aplicación de normas de carácter general».</w:t>
      </w:r>
    </w:p>
  </w:footnote>
  <w:footnote w:id="4">
    <w:p w14:paraId="4A145CCE" w14:textId="77777777" w:rsidR="00F56483" w:rsidRPr="00DF59A7" w:rsidRDefault="00F56483" w:rsidP="00D15431">
      <w:pPr>
        <w:pStyle w:val="Textonotapie"/>
        <w:ind w:firstLine="709"/>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Procuraduría General de la Nación. Concepto del 15 de octubre de 2014. Procuraduría </w:t>
      </w:r>
      <w:proofErr w:type="gramStart"/>
      <w:r w:rsidRPr="00DF59A7">
        <w:rPr>
          <w:rFonts w:ascii="Arial" w:hAnsi="Arial" w:cs="Arial"/>
          <w:color w:val="000000" w:themeColor="text1"/>
          <w:sz w:val="18"/>
          <w:szCs w:val="18"/>
        </w:rPr>
        <w:t>Delegada</w:t>
      </w:r>
      <w:proofErr w:type="gramEnd"/>
      <w:r w:rsidRPr="00DF59A7">
        <w:rPr>
          <w:rFonts w:ascii="Arial" w:hAnsi="Arial" w:cs="Arial"/>
          <w:color w:val="000000" w:themeColor="text1"/>
          <w:sz w:val="18"/>
          <w:szCs w:val="18"/>
        </w:rPr>
        <w:t xml:space="preserve"> para Asuntos Disciplinarios. Radicado PAD C-114-2014.</w:t>
      </w:r>
    </w:p>
    <w:p w14:paraId="0A392A60" w14:textId="77777777" w:rsidR="00F56483" w:rsidRPr="00DF59A7" w:rsidRDefault="00F56483" w:rsidP="00D15431">
      <w:pPr>
        <w:pStyle w:val="Textonotapie"/>
        <w:ind w:firstLine="709"/>
        <w:jc w:val="both"/>
        <w:rPr>
          <w:rFonts w:ascii="Arial" w:hAnsi="Arial" w:cs="Arial"/>
          <w:color w:val="000000" w:themeColor="text1"/>
          <w:sz w:val="18"/>
          <w:szCs w:val="18"/>
          <w:lang w:val="es-ES"/>
        </w:rPr>
      </w:pPr>
    </w:p>
  </w:footnote>
  <w:footnote w:id="5">
    <w:p w14:paraId="4E1B48B1" w14:textId="77777777" w:rsidR="00F56483" w:rsidRPr="00DF59A7" w:rsidRDefault="00F56483" w:rsidP="00D15431">
      <w:pPr>
        <w:pStyle w:val="Textonotapie"/>
        <w:ind w:firstLine="709"/>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Contraloría General de la República. Oficina Jurídica. Concepto 80112-OJ-008 2017.</w:t>
      </w:r>
    </w:p>
    <w:p w14:paraId="07C08166" w14:textId="77777777" w:rsidR="00F56483" w:rsidRPr="00DF59A7" w:rsidRDefault="00F56483" w:rsidP="00D15431">
      <w:pPr>
        <w:pStyle w:val="Textonotapie"/>
        <w:ind w:firstLine="709"/>
        <w:jc w:val="both"/>
        <w:rPr>
          <w:rFonts w:ascii="Arial" w:hAnsi="Arial" w:cs="Arial"/>
          <w:color w:val="000000" w:themeColor="text1"/>
          <w:sz w:val="18"/>
          <w:szCs w:val="18"/>
          <w:lang w:val="es-ES"/>
        </w:rPr>
      </w:pPr>
    </w:p>
  </w:footnote>
  <w:footnote w:id="6">
    <w:p w14:paraId="7F30EA63" w14:textId="77777777" w:rsidR="00F56483" w:rsidRPr="00DF59A7" w:rsidRDefault="00F56483" w:rsidP="00D15431">
      <w:pPr>
        <w:ind w:firstLine="709"/>
        <w:jc w:val="both"/>
        <w:rPr>
          <w:rFonts w:ascii="Arial" w:hAnsi="Arial" w:cs="Arial"/>
          <w:color w:val="000000" w:themeColor="text1"/>
          <w:sz w:val="18"/>
          <w:szCs w:val="18"/>
          <w:lang w:val="es-ES"/>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ARBOLEDA PERDOMO, Enrique José. Comentarios al Nuevo Código de Procedimiento Administrativo y de lo Contencioso Administrativo (2ª ed.). Editorial Legis. Bogotá. 2012. p. 59</w:t>
      </w:r>
    </w:p>
  </w:footnote>
  <w:footnote w:id="7">
    <w:p w14:paraId="2D5B607C"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DF59A7">
        <w:rPr>
          <w:rFonts w:ascii="Arial" w:hAnsi="Arial" w:cs="Arial"/>
          <w:color w:val="000000" w:themeColor="text1"/>
          <w:sz w:val="18"/>
          <w:szCs w:val="18"/>
          <w:shd w:val="clear" w:color="auto" w:fill="FFFFFF"/>
        </w:rPr>
        <w:t>»</w:t>
      </w:r>
      <w:r w:rsidRPr="00DF59A7">
        <w:rPr>
          <w:rFonts w:ascii="Arial" w:hAnsi="Arial" w:cs="Arial"/>
          <w:color w:val="000000" w:themeColor="text1"/>
          <w:sz w:val="18"/>
          <w:szCs w:val="18"/>
        </w:rPr>
        <w:t xml:space="preserve"> EXPOSITO, Juan Carlos. Forma y contenido del contrato estatal. Bogotá: Universidad Externado de Colombia, p. 89 y 90.</w:t>
      </w:r>
    </w:p>
    <w:p w14:paraId="25913C61"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 xml:space="preserve"> </w:t>
      </w:r>
    </w:p>
  </w:footnote>
  <w:footnote w:id="8">
    <w:p w14:paraId="4FC62C14" w14:textId="77777777" w:rsidR="00D823EA" w:rsidRPr="00DF59A7" w:rsidRDefault="00D823EA" w:rsidP="00D15431">
      <w:pPr>
        <w:pStyle w:val="Textonotapie"/>
        <w:ind w:firstLine="708"/>
        <w:jc w:val="both"/>
        <w:rPr>
          <w:rFonts w:ascii="Arial" w:hAnsi="Arial" w:cs="Arial"/>
          <w:color w:val="000000" w:themeColor="text1"/>
          <w:sz w:val="18"/>
          <w:szCs w:val="18"/>
          <w:lang w:val="es-CO"/>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DÍAZ DÍEZ, Cristian Andrés. La liquidación. Serie: Las Cláusulas del Contrato Estatal. Medellín: Librería Jurídica Sánchez y Centro de Estudios de Derecho Administrativo –CEDA–, 2013, pp. 53-54.</w:t>
      </w:r>
    </w:p>
  </w:footnote>
  <w:footnote w:id="9">
    <w:p w14:paraId="0095E91D" w14:textId="77777777" w:rsidR="00D823EA" w:rsidRPr="00DF59A7" w:rsidRDefault="00D823EA" w:rsidP="00D15431">
      <w:pPr>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Consejo de Estado. Sección Tercera. Subsección C. 20 de octubre de 2014, M.P: Enrique Gil Botero. </w:t>
      </w:r>
      <w:proofErr w:type="spellStart"/>
      <w:r w:rsidRPr="00DF59A7">
        <w:rPr>
          <w:rFonts w:ascii="Arial" w:hAnsi="Arial" w:cs="Arial"/>
          <w:color w:val="000000" w:themeColor="text1"/>
          <w:sz w:val="18"/>
          <w:szCs w:val="18"/>
        </w:rPr>
        <w:t>Exp</w:t>
      </w:r>
      <w:proofErr w:type="spellEnd"/>
      <w:r w:rsidRPr="00DF59A7">
        <w:rPr>
          <w:rFonts w:ascii="Arial" w:hAnsi="Arial" w:cs="Arial"/>
          <w:color w:val="000000" w:themeColor="text1"/>
          <w:sz w:val="18"/>
          <w:szCs w:val="18"/>
        </w:rPr>
        <w:t>.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121CBBF4"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p>
  </w:footnote>
  <w:footnote w:id="10">
    <w:p w14:paraId="73633EE1"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w:t>
      </w:r>
      <w:proofErr w:type="spellStart"/>
      <w:r w:rsidRPr="00DF59A7">
        <w:rPr>
          <w:rFonts w:ascii="Arial" w:hAnsi="Arial" w:cs="Arial"/>
          <w:color w:val="000000" w:themeColor="text1"/>
          <w:sz w:val="18"/>
          <w:szCs w:val="18"/>
        </w:rPr>
        <w:t>Exposito</w:t>
      </w:r>
      <w:proofErr w:type="spellEnd"/>
      <w:r w:rsidRPr="00DF59A7">
        <w:rPr>
          <w:rFonts w:ascii="Arial" w:hAnsi="Arial" w:cs="Arial"/>
          <w:color w:val="000000" w:themeColor="text1"/>
          <w:sz w:val="18"/>
          <w:szCs w:val="18"/>
        </w:rPr>
        <w:t xml:space="preserve"> </w:t>
      </w:r>
      <w:proofErr w:type="spellStart"/>
      <w:r w:rsidRPr="00DF59A7">
        <w:rPr>
          <w:rFonts w:ascii="Arial" w:hAnsi="Arial" w:cs="Arial"/>
          <w:color w:val="000000" w:themeColor="text1"/>
          <w:sz w:val="18"/>
          <w:szCs w:val="18"/>
        </w:rPr>
        <w:t>Velez</w:t>
      </w:r>
      <w:proofErr w:type="spellEnd"/>
      <w:r w:rsidRPr="00DF59A7">
        <w:rPr>
          <w:rFonts w:ascii="Arial" w:hAnsi="Arial" w:cs="Arial"/>
          <w:color w:val="000000" w:themeColor="text1"/>
          <w:sz w:val="18"/>
          <w:szCs w:val="18"/>
        </w:rPr>
        <w:t>. Juan Carlos. Forma y contenido del contrato estatal, p. 90.</w:t>
      </w:r>
    </w:p>
  </w:footnote>
  <w:footnote w:id="11">
    <w:p w14:paraId="41702EC5" w14:textId="77777777" w:rsidR="00D823EA" w:rsidRPr="00DF59A7" w:rsidRDefault="00D823EA" w:rsidP="00D15431">
      <w:pPr>
        <w:pStyle w:val="Textonotapie"/>
        <w:ind w:firstLine="708"/>
        <w:jc w:val="both"/>
        <w:rPr>
          <w:rFonts w:ascii="Arial" w:hAnsi="Arial" w:cs="Arial"/>
          <w:color w:val="000000" w:themeColor="text1"/>
          <w:sz w:val="18"/>
          <w:szCs w:val="18"/>
        </w:rPr>
      </w:pPr>
    </w:p>
    <w:p w14:paraId="07BF0287"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CONSEJO DE ESTADO, Sala de Consulta y Servicio Civil. Radicado No. 1453. Concepto de 6 de agosto de 2003. MP. Augusto Trejos.</w:t>
      </w:r>
    </w:p>
    <w:p w14:paraId="45D0A90B" w14:textId="77777777" w:rsidR="00D823EA" w:rsidRPr="00DF59A7" w:rsidRDefault="00D823EA" w:rsidP="00D15431">
      <w:pPr>
        <w:pStyle w:val="Textonotapie"/>
        <w:ind w:firstLine="708"/>
        <w:jc w:val="both"/>
        <w:rPr>
          <w:rFonts w:ascii="Arial" w:hAnsi="Arial" w:cs="Arial"/>
          <w:color w:val="000000" w:themeColor="text1"/>
          <w:sz w:val="18"/>
          <w:szCs w:val="18"/>
        </w:rPr>
      </w:pPr>
    </w:p>
  </w:footnote>
  <w:footnote w:id="12">
    <w:p w14:paraId="70F1E715"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w:t>
      </w:r>
      <w:r w:rsidRPr="00DF59A7">
        <w:rPr>
          <w:rFonts w:ascii="Arial" w:hAnsi="Arial" w:cs="Arial"/>
          <w:color w:val="000000" w:themeColor="text1"/>
          <w:sz w:val="18"/>
          <w:szCs w:val="18"/>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0B3AF38A"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r w:rsidRPr="00DF59A7">
        <w:rPr>
          <w:rFonts w:ascii="Arial" w:hAnsi="Arial" w:cs="Arial"/>
          <w:color w:val="000000" w:themeColor="text1"/>
          <w:sz w:val="18"/>
          <w:szCs w:val="18"/>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6F9D9F9D"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r w:rsidRPr="00DF59A7">
        <w:rPr>
          <w:rFonts w:ascii="Arial" w:hAnsi="Arial" w:cs="Arial"/>
          <w:color w:val="000000" w:themeColor="text1"/>
          <w:sz w:val="18"/>
          <w:szCs w:val="18"/>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0D0149DE"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r w:rsidRPr="00DF59A7">
        <w:rPr>
          <w:rFonts w:ascii="Arial" w:hAnsi="Arial" w:cs="Arial"/>
          <w:color w:val="000000" w:themeColor="text1"/>
          <w:sz w:val="18"/>
          <w:szCs w:val="18"/>
          <w:lang w:val="es-ES"/>
        </w:rPr>
        <w:t>» Los contratistas tendrán derecho a efectuar salvedades a la liquidación por mutuo acuerdo, y en este evento la liquidación unilateral solo procederá en relación con los aspectos que no hayan sido objeto de acuerdo».</w:t>
      </w:r>
    </w:p>
    <w:p w14:paraId="057B78A2"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p>
  </w:footnote>
  <w:footnote w:id="13">
    <w:p w14:paraId="76E695AB" w14:textId="77777777" w:rsidR="00F56483" w:rsidRPr="00DF59A7" w:rsidRDefault="00F56483" w:rsidP="00D15431">
      <w:pPr>
        <w:pStyle w:val="Textonotapie"/>
        <w:ind w:firstLine="709"/>
        <w:jc w:val="both"/>
        <w:rPr>
          <w:rFonts w:ascii="Arial" w:hAnsi="Arial" w:cs="Arial"/>
          <w:color w:val="000000" w:themeColor="text1"/>
          <w:sz w:val="18"/>
          <w:szCs w:val="18"/>
          <w:lang w:val="es-CO"/>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CONSEJO DE ESTADO, Sección Tercera, Subsección C, Sentencia del 24 de julio de 2013, radicado No. 25.642, </w:t>
      </w:r>
      <w:proofErr w:type="gramStart"/>
      <w:r w:rsidRPr="00DF59A7">
        <w:rPr>
          <w:rFonts w:ascii="Arial" w:hAnsi="Arial" w:cs="Arial"/>
          <w:color w:val="000000" w:themeColor="text1"/>
          <w:sz w:val="18"/>
          <w:szCs w:val="18"/>
        </w:rPr>
        <w:t>Consejero</w:t>
      </w:r>
      <w:proofErr w:type="gramEnd"/>
      <w:r w:rsidRPr="00DF59A7">
        <w:rPr>
          <w:rFonts w:ascii="Arial" w:hAnsi="Arial" w:cs="Arial"/>
          <w:color w:val="000000" w:themeColor="text1"/>
          <w:sz w:val="18"/>
          <w:szCs w:val="18"/>
        </w:rPr>
        <w:t xml:space="preserve"> Ponente Enrique Gil Botero.</w:t>
      </w:r>
    </w:p>
  </w:footnote>
  <w:footnote w:id="14">
    <w:p w14:paraId="0708ABAC" w14:textId="77777777" w:rsidR="00F56483" w:rsidRPr="00DF59A7" w:rsidRDefault="00F56483" w:rsidP="00D15431">
      <w:pPr>
        <w:pStyle w:val="Textonotapie"/>
        <w:jc w:val="both"/>
        <w:rPr>
          <w:rFonts w:ascii="Arial" w:hAnsi="Arial" w:cs="Arial"/>
          <w:color w:val="000000" w:themeColor="text1"/>
          <w:sz w:val="18"/>
          <w:szCs w:val="18"/>
        </w:rPr>
      </w:pPr>
    </w:p>
    <w:p w14:paraId="72AEA459" w14:textId="77777777" w:rsidR="00F56483" w:rsidRPr="00DF59A7" w:rsidRDefault="00F56483" w:rsidP="00D15431">
      <w:pPr>
        <w:pStyle w:val="NormalWeb"/>
        <w:spacing w:before="0" w:beforeAutospacing="0" w:after="0" w:afterAutospacing="0"/>
        <w:ind w:firstLine="709"/>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Decreto 1082 de 2015 «</w:t>
      </w:r>
      <w:r w:rsidRPr="00DF59A7">
        <w:rPr>
          <w:rStyle w:val="Textoennegrita"/>
          <w:rFonts w:ascii="Arial" w:hAnsi="Arial" w:cs="Arial"/>
          <w:b w:val="0"/>
          <w:bCs w:val="0"/>
          <w:color w:val="000000" w:themeColor="text1"/>
          <w:sz w:val="18"/>
          <w:szCs w:val="18"/>
        </w:rPr>
        <w:t>Artículo 2.2.1.2.1.5.2. </w:t>
      </w:r>
      <w:r w:rsidRPr="00DF59A7">
        <w:rPr>
          <w:rStyle w:val="nfasis"/>
          <w:rFonts w:ascii="Arial" w:eastAsiaTheme="minorEastAsia" w:hAnsi="Arial" w:cs="Arial"/>
          <w:color w:val="000000" w:themeColor="text1"/>
          <w:sz w:val="18"/>
          <w:szCs w:val="18"/>
        </w:rPr>
        <w:t>Procedimiento para la contratación de mínima cuantía. </w:t>
      </w:r>
      <w:r w:rsidRPr="00DF59A7">
        <w:rPr>
          <w:rFonts w:ascii="Arial" w:hAnsi="Arial" w:cs="Arial"/>
          <w:color w:val="000000" w:themeColor="text1"/>
          <w:sz w:val="18"/>
          <w:szCs w:val="18"/>
        </w:rPr>
        <w:t>Las siguientes reglas son aplicables a la contratación cuyo valor no excede del 10% de la menor cuantía de la Entidad Estatal, independientemente de su objeto: </w:t>
      </w:r>
    </w:p>
    <w:p w14:paraId="30E3D362" w14:textId="77777777" w:rsidR="00F56483" w:rsidRPr="00DF59A7" w:rsidRDefault="00F56483" w:rsidP="00D15431">
      <w:pPr>
        <w:pStyle w:val="NormalWeb"/>
        <w:spacing w:before="0" w:beforeAutospacing="0" w:after="0" w:afterAutospacing="0"/>
        <w:jc w:val="both"/>
        <w:rPr>
          <w:rFonts w:ascii="Arial" w:hAnsi="Arial" w:cs="Arial"/>
          <w:color w:val="000000" w:themeColor="text1"/>
          <w:sz w:val="18"/>
          <w:szCs w:val="18"/>
        </w:rPr>
      </w:pPr>
      <w:r w:rsidRPr="00DF59A7">
        <w:rPr>
          <w:rFonts w:ascii="Arial" w:hAnsi="Arial" w:cs="Arial"/>
          <w:color w:val="000000" w:themeColor="text1"/>
          <w:sz w:val="18"/>
          <w:szCs w:val="18"/>
        </w:rPr>
        <w:t>  </w:t>
      </w:r>
      <w:r w:rsidRPr="00DF59A7">
        <w:rPr>
          <w:rFonts w:ascii="Arial" w:hAnsi="Arial" w:cs="Arial"/>
          <w:color w:val="000000" w:themeColor="text1"/>
          <w:sz w:val="18"/>
          <w:szCs w:val="18"/>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14:paraId="2F31238E" w14:textId="77777777" w:rsidR="00F56483" w:rsidRPr="00DF59A7" w:rsidRDefault="00F56483" w:rsidP="00D15431">
      <w:pPr>
        <w:pStyle w:val="Textonotapie"/>
        <w:ind w:firstLine="709"/>
        <w:jc w:val="both"/>
        <w:rPr>
          <w:rFonts w:ascii="Arial" w:hAnsi="Arial" w:cs="Arial"/>
          <w:color w:val="000000" w:themeColor="text1"/>
          <w:sz w:val="18"/>
          <w:szCs w:val="18"/>
          <w:lang w:val="es-CO"/>
        </w:rPr>
      </w:pPr>
      <w:r w:rsidRPr="00DF59A7">
        <w:rPr>
          <w:rFonts w:ascii="Arial" w:hAnsi="Arial" w:cs="Arial"/>
          <w:color w:val="000000" w:themeColor="text1"/>
          <w:sz w:val="18"/>
          <w:szCs w:val="18"/>
        </w:rPr>
        <w:t xml:space="preserve"> </w:t>
      </w:r>
    </w:p>
  </w:footnote>
  <w:footnote w:id="15">
    <w:p w14:paraId="0B2DC6F8" w14:textId="77777777" w:rsidR="00F56483" w:rsidRPr="00DF59A7" w:rsidRDefault="00F56483" w:rsidP="00D15431">
      <w:pPr>
        <w:pStyle w:val="NormalWeb"/>
        <w:spacing w:before="0" w:beforeAutospacing="0" w:after="0" w:afterAutospacing="0"/>
        <w:ind w:firstLine="720"/>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Ley 80 de 1993 «</w:t>
      </w:r>
      <w:r w:rsidRPr="00DF59A7">
        <w:rPr>
          <w:rStyle w:val="Textoennegrita"/>
          <w:rFonts w:ascii="Arial" w:hAnsi="Arial" w:cs="Arial"/>
          <w:b w:val="0"/>
          <w:bCs w:val="0"/>
          <w:color w:val="000000" w:themeColor="text1"/>
          <w:sz w:val="18"/>
          <w:szCs w:val="18"/>
        </w:rPr>
        <w:t>Articulo 39. De la forma del contrato estatal. </w:t>
      </w:r>
      <w:r w:rsidRPr="00DF59A7">
        <w:rPr>
          <w:rFonts w:ascii="Arial" w:hAnsi="Arial" w:cs="Arial"/>
          <w:color w:val="000000" w:themeColor="text1"/>
          <w:sz w:val="18"/>
          <w:szCs w:val="18"/>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7636DD66" w14:textId="77777777" w:rsidR="00F56483" w:rsidRPr="00DF59A7" w:rsidRDefault="00F56483" w:rsidP="00D15431">
      <w:pPr>
        <w:pStyle w:val="NormalWeb"/>
        <w:spacing w:before="0" w:beforeAutospacing="0" w:after="0" w:afterAutospacing="0"/>
        <w:jc w:val="both"/>
        <w:rPr>
          <w:rFonts w:ascii="Arial" w:hAnsi="Arial" w:cs="Arial"/>
          <w:color w:val="000000" w:themeColor="text1"/>
          <w:sz w:val="18"/>
          <w:szCs w:val="18"/>
        </w:rPr>
      </w:pPr>
      <w:r w:rsidRPr="00DF59A7">
        <w:rPr>
          <w:rFonts w:ascii="Arial" w:hAnsi="Arial" w:cs="Arial"/>
          <w:color w:val="000000" w:themeColor="text1"/>
          <w:sz w:val="18"/>
          <w:szCs w:val="18"/>
        </w:rPr>
        <w:t>  </w:t>
      </w:r>
      <w:r w:rsidRPr="00DF59A7">
        <w:rPr>
          <w:rFonts w:ascii="Arial" w:hAnsi="Arial" w:cs="Arial"/>
          <w:color w:val="000000" w:themeColor="text1"/>
          <w:sz w:val="18"/>
          <w:szCs w:val="18"/>
        </w:rPr>
        <w:tab/>
        <w:t>[…]</w:t>
      </w:r>
      <w:bookmarkStart w:id="5" w:name="ver_1790147"/>
      <w:bookmarkStart w:id="6" w:name="ver_30220791"/>
      <w:bookmarkStart w:id="7" w:name="ver_1790148"/>
      <w:bookmarkEnd w:id="5"/>
      <w:bookmarkEnd w:id="6"/>
    </w:p>
    <w:p w14:paraId="31D892EF" w14:textId="77777777" w:rsidR="00F56483" w:rsidRPr="00DF59A7" w:rsidRDefault="00F56483" w:rsidP="00D15431">
      <w:pPr>
        <w:pStyle w:val="NormalWeb"/>
        <w:spacing w:before="0" w:beforeAutospacing="0" w:after="0" w:afterAutospacing="0"/>
        <w:ind w:firstLine="720"/>
        <w:jc w:val="both"/>
        <w:rPr>
          <w:rFonts w:ascii="Arial" w:hAnsi="Arial" w:cs="Arial"/>
          <w:color w:val="000000" w:themeColor="text1"/>
          <w:sz w:val="18"/>
          <w:szCs w:val="18"/>
        </w:rPr>
      </w:pPr>
      <w:proofErr w:type="gramStart"/>
      <w:r w:rsidRPr="00DF59A7">
        <w:rPr>
          <w:rStyle w:val="Textoennegrita"/>
          <w:rFonts w:ascii="Arial" w:hAnsi="Arial" w:cs="Arial"/>
          <w:b w:val="0"/>
          <w:bCs w:val="0"/>
          <w:color w:val="000000" w:themeColor="text1"/>
          <w:sz w:val="18"/>
          <w:szCs w:val="18"/>
        </w:rPr>
        <w:t>»Articulo</w:t>
      </w:r>
      <w:proofErr w:type="gramEnd"/>
      <w:r w:rsidRPr="00DF59A7">
        <w:rPr>
          <w:rStyle w:val="Textoennegrita"/>
          <w:rFonts w:ascii="Arial" w:hAnsi="Arial" w:cs="Arial"/>
          <w:b w:val="0"/>
          <w:bCs w:val="0"/>
          <w:color w:val="000000" w:themeColor="text1"/>
          <w:sz w:val="18"/>
          <w:szCs w:val="18"/>
        </w:rPr>
        <w:t xml:space="preserve"> 40. Del contenido del contrato estatal.</w:t>
      </w:r>
      <w:r w:rsidRPr="00DF59A7">
        <w:rPr>
          <w:rFonts w:ascii="Arial" w:hAnsi="Arial" w:cs="Arial"/>
          <w:color w:val="000000" w:themeColor="text1"/>
          <w:sz w:val="18"/>
          <w:szCs w:val="18"/>
        </w:rPr>
        <w:t> Las estipulaciones de los contratos serán las que de acuerdo con las normas civiles, comerciales y las previstas en esta ley, correspondan a su esencia y naturaleza. </w:t>
      </w:r>
    </w:p>
    <w:p w14:paraId="5C899E7C" w14:textId="77777777" w:rsidR="00F56483" w:rsidRPr="00DF59A7" w:rsidRDefault="00F56483" w:rsidP="00D15431">
      <w:pPr>
        <w:pStyle w:val="NormalWeb"/>
        <w:spacing w:before="0" w:beforeAutospacing="0" w:after="0" w:afterAutospacing="0"/>
        <w:ind w:firstLine="720"/>
        <w:jc w:val="both"/>
        <w:rPr>
          <w:rFonts w:ascii="Arial" w:hAnsi="Arial" w:cs="Arial"/>
          <w:color w:val="000000" w:themeColor="text1"/>
          <w:sz w:val="18"/>
          <w:szCs w:val="18"/>
        </w:rPr>
      </w:pPr>
      <w:proofErr w:type="gramStart"/>
      <w:r w:rsidRPr="00DF59A7">
        <w:rPr>
          <w:rFonts w:ascii="Arial" w:hAnsi="Arial" w:cs="Arial"/>
          <w:color w:val="000000" w:themeColor="text1"/>
          <w:sz w:val="18"/>
          <w:szCs w:val="18"/>
        </w:rPr>
        <w:t>»Las</w:t>
      </w:r>
      <w:proofErr w:type="gramEnd"/>
      <w:r w:rsidRPr="00DF59A7">
        <w:rPr>
          <w:rFonts w:ascii="Arial" w:hAnsi="Arial" w:cs="Arial"/>
          <w:color w:val="000000" w:themeColor="text1"/>
          <w:sz w:val="18"/>
          <w:szCs w:val="18"/>
        </w:rPr>
        <w:t xml:space="preserve"> entidades podrán celebrar los contratos y acuerdos que permitan la autonomía de la voluntad y requieran el cumplimiento de los fines estatales. </w:t>
      </w:r>
    </w:p>
    <w:p w14:paraId="2691D5B6" w14:textId="77777777" w:rsidR="00F56483" w:rsidRPr="00DF59A7" w:rsidRDefault="00F56483" w:rsidP="00D15431">
      <w:pPr>
        <w:pStyle w:val="NormalWeb"/>
        <w:spacing w:before="0" w:beforeAutospacing="0" w:after="0" w:afterAutospacing="0"/>
        <w:jc w:val="both"/>
        <w:rPr>
          <w:rFonts w:ascii="Arial" w:hAnsi="Arial" w:cs="Arial"/>
          <w:color w:val="000000" w:themeColor="text1"/>
          <w:sz w:val="18"/>
          <w:szCs w:val="18"/>
        </w:rPr>
      </w:pPr>
      <w:r w:rsidRPr="00DF59A7">
        <w:rPr>
          <w:rFonts w:ascii="Arial" w:hAnsi="Arial" w:cs="Arial"/>
          <w:color w:val="000000" w:themeColor="text1"/>
          <w:sz w:val="18"/>
          <w:szCs w:val="18"/>
        </w:rPr>
        <w:t>  </w:t>
      </w:r>
      <w:r w:rsidRPr="00DF59A7">
        <w:rPr>
          <w:rFonts w:ascii="Arial" w:hAnsi="Arial" w:cs="Arial"/>
          <w:color w:val="000000" w:themeColor="text1"/>
          <w:sz w:val="18"/>
          <w:szCs w:val="18"/>
        </w:rPr>
        <w:tab/>
        <w:t>[…]  </w:t>
      </w:r>
    </w:p>
    <w:p w14:paraId="43C078B7" w14:textId="77777777" w:rsidR="00F56483" w:rsidRPr="00DF59A7" w:rsidRDefault="00F56483" w:rsidP="00D15431">
      <w:pPr>
        <w:pStyle w:val="NormalWeb"/>
        <w:spacing w:before="0" w:beforeAutospacing="0" w:after="0" w:afterAutospacing="0"/>
        <w:ind w:firstLine="720"/>
        <w:jc w:val="both"/>
        <w:rPr>
          <w:rFonts w:ascii="Arial" w:hAnsi="Arial" w:cs="Arial"/>
          <w:color w:val="000000" w:themeColor="text1"/>
          <w:sz w:val="18"/>
          <w:szCs w:val="18"/>
        </w:rPr>
      </w:pPr>
      <w:bookmarkStart w:id="8" w:name="ver_30161420"/>
      <w:bookmarkStart w:id="9" w:name="ver_1790149"/>
      <w:bookmarkStart w:id="10" w:name="ver_30161408"/>
      <w:bookmarkStart w:id="11" w:name="ver_30161443"/>
      <w:bookmarkEnd w:id="7"/>
      <w:bookmarkEnd w:id="8"/>
      <w:bookmarkEnd w:id="9"/>
      <w:bookmarkEnd w:id="10"/>
      <w:bookmarkEnd w:id="11"/>
      <w:proofErr w:type="gramStart"/>
      <w:r w:rsidRPr="00DF59A7">
        <w:rPr>
          <w:rStyle w:val="Textoennegrita"/>
          <w:rFonts w:ascii="Arial" w:hAnsi="Arial" w:cs="Arial"/>
          <w:b w:val="0"/>
          <w:bCs w:val="0"/>
          <w:color w:val="000000" w:themeColor="text1"/>
          <w:sz w:val="18"/>
          <w:szCs w:val="18"/>
        </w:rPr>
        <w:t>»Artículo</w:t>
      </w:r>
      <w:proofErr w:type="gramEnd"/>
      <w:r w:rsidRPr="00DF59A7">
        <w:rPr>
          <w:rStyle w:val="Textoennegrita"/>
          <w:rFonts w:ascii="Arial" w:hAnsi="Arial" w:cs="Arial"/>
          <w:b w:val="0"/>
          <w:bCs w:val="0"/>
          <w:color w:val="000000" w:themeColor="text1"/>
          <w:sz w:val="18"/>
          <w:szCs w:val="18"/>
        </w:rPr>
        <w:t xml:space="preserve"> 41. Del perfeccionamiento del contrato.</w:t>
      </w:r>
      <w:r w:rsidRPr="00DF59A7">
        <w:rPr>
          <w:rFonts w:ascii="Arial" w:hAnsi="Arial" w:cs="Arial"/>
          <w:color w:val="000000" w:themeColor="text1"/>
          <w:sz w:val="18"/>
          <w:szCs w:val="18"/>
        </w:rPr>
        <w:t> Los contratos del Estado se perfeccionan cuando se logre acuerdo sobre el objeto y la contraprestación y éste se eleve a escrito […]».</w:t>
      </w:r>
    </w:p>
    <w:p w14:paraId="49E3D6E7" w14:textId="77777777" w:rsidR="00F56483" w:rsidRPr="00DF59A7" w:rsidRDefault="00F56483" w:rsidP="00D15431">
      <w:pPr>
        <w:pStyle w:val="Textonotapie"/>
        <w:jc w:val="both"/>
        <w:rPr>
          <w:rFonts w:ascii="Arial" w:hAnsi="Arial" w:cs="Arial"/>
          <w:color w:val="000000" w:themeColor="text1"/>
          <w:sz w:val="18"/>
          <w:szCs w:val="18"/>
          <w:lang w:val="es-CO"/>
        </w:rPr>
      </w:pPr>
    </w:p>
  </w:footnote>
  <w:footnote w:id="16">
    <w:p w14:paraId="44B82E44" w14:textId="77777777" w:rsidR="00F56483" w:rsidRPr="00DF59A7" w:rsidRDefault="00F56483" w:rsidP="00D15431">
      <w:pPr>
        <w:pStyle w:val="Textonotapie"/>
        <w:ind w:firstLine="709"/>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Ley 80 de 1993 «</w:t>
      </w:r>
      <w:r w:rsidRPr="00DF59A7">
        <w:rPr>
          <w:rStyle w:val="Textoennegrita"/>
          <w:rFonts w:ascii="Arial" w:hAnsi="Arial" w:cs="Arial"/>
          <w:b w:val="0"/>
          <w:bCs w:val="0"/>
          <w:color w:val="000000" w:themeColor="text1"/>
          <w:sz w:val="18"/>
          <w:szCs w:val="18"/>
        </w:rPr>
        <w:t>Artículo 77. De la normatividad aplicable en las actuaciones administrativas.</w:t>
      </w:r>
      <w:r w:rsidRPr="00DF59A7">
        <w:rPr>
          <w:rFonts w:ascii="Arial" w:hAnsi="Arial" w:cs="Arial"/>
          <w:color w:val="000000" w:themeColor="text1"/>
          <w:sz w:val="18"/>
          <w:szCs w:val="18"/>
        </w:rPr>
        <w:t xml:space="preserve"> En cuanto sean compatibles con la finalidad y los principios de esta ley, las normas que rigen los procedimientos y actuaciones en la función </w:t>
      </w:r>
      <w:proofErr w:type="gramStart"/>
      <w:r w:rsidRPr="00DF59A7">
        <w:rPr>
          <w:rFonts w:ascii="Arial" w:hAnsi="Arial" w:cs="Arial"/>
          <w:color w:val="000000" w:themeColor="text1"/>
          <w:sz w:val="18"/>
          <w:szCs w:val="18"/>
        </w:rPr>
        <w:t>administrativa,</w:t>
      </w:r>
      <w:proofErr w:type="gramEnd"/>
      <w:r w:rsidRPr="00DF59A7">
        <w:rPr>
          <w:rFonts w:ascii="Arial" w:hAnsi="Arial" w:cs="Arial"/>
          <w:color w:val="000000" w:themeColor="text1"/>
          <w:sz w:val="18"/>
          <w:szCs w:val="18"/>
        </w:rPr>
        <w:t xml:space="preserve"> serán aplicables en las actuaciones contractuales. A falta de estas, regirán las disposiciones del Código de Procedimiento Civil» […]». </w:t>
      </w:r>
    </w:p>
    <w:p w14:paraId="68D3B214" w14:textId="77777777" w:rsidR="00F56483" w:rsidRPr="00DF59A7" w:rsidRDefault="00F56483" w:rsidP="00D15431">
      <w:pPr>
        <w:pStyle w:val="Textonotapie"/>
        <w:ind w:firstLine="709"/>
        <w:jc w:val="both"/>
        <w:rPr>
          <w:rFonts w:ascii="Arial" w:hAnsi="Arial" w:cs="Arial"/>
          <w:color w:val="000000" w:themeColor="text1"/>
          <w:sz w:val="18"/>
          <w:szCs w:val="18"/>
          <w:lang w:val="es-CO"/>
        </w:rPr>
      </w:pPr>
      <w:r w:rsidRPr="00DF59A7">
        <w:rPr>
          <w:rFonts w:ascii="Arial" w:hAnsi="Arial" w:cs="Arial"/>
          <w:color w:val="000000" w:themeColor="text1"/>
          <w:sz w:val="18"/>
          <w:szCs w:val="18"/>
        </w:rPr>
        <w:t xml:space="preserve"> </w:t>
      </w:r>
    </w:p>
  </w:footnote>
  <w:footnote w:id="17">
    <w:p w14:paraId="1C639F21" w14:textId="77777777" w:rsidR="00F56483" w:rsidRPr="00DF59A7" w:rsidRDefault="00F56483" w:rsidP="00D15431">
      <w:pPr>
        <w:pStyle w:val="NormalWeb"/>
        <w:spacing w:before="0" w:beforeAutospacing="0" w:after="0" w:afterAutospacing="0"/>
        <w:ind w:firstLine="709"/>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Ley 80 de 1993 «</w:t>
      </w:r>
      <w:r w:rsidRPr="00DF59A7">
        <w:rPr>
          <w:rStyle w:val="Textoennegrita"/>
          <w:rFonts w:ascii="Arial" w:hAnsi="Arial" w:cs="Arial"/>
          <w:b w:val="0"/>
          <w:bCs w:val="0"/>
          <w:color w:val="000000" w:themeColor="text1"/>
          <w:sz w:val="18"/>
          <w:szCs w:val="18"/>
        </w:rPr>
        <w:t>Artículo 25. Del principio de economía.</w:t>
      </w:r>
      <w:r w:rsidRPr="00DF59A7">
        <w:rPr>
          <w:rFonts w:ascii="Arial" w:hAnsi="Arial" w:cs="Arial"/>
          <w:color w:val="000000" w:themeColor="text1"/>
          <w:sz w:val="18"/>
          <w:szCs w:val="18"/>
        </w:rPr>
        <w:t> En virtud de este principio: </w:t>
      </w:r>
    </w:p>
    <w:p w14:paraId="34DC841D" w14:textId="77777777" w:rsidR="00F56483" w:rsidRPr="00DF59A7" w:rsidRDefault="00F56483" w:rsidP="00D15431">
      <w:pPr>
        <w:pStyle w:val="NormalWeb"/>
        <w:spacing w:before="0" w:beforeAutospacing="0" w:after="0" w:afterAutospacing="0"/>
        <w:ind w:firstLine="709"/>
        <w:jc w:val="both"/>
        <w:rPr>
          <w:rFonts w:ascii="Arial" w:hAnsi="Arial" w:cs="Arial"/>
          <w:color w:val="000000" w:themeColor="text1"/>
          <w:sz w:val="18"/>
          <w:szCs w:val="18"/>
        </w:rPr>
      </w:pPr>
      <w:r w:rsidRPr="00DF59A7">
        <w:rPr>
          <w:rFonts w:ascii="Arial" w:hAnsi="Arial" w:cs="Arial"/>
          <w:color w:val="000000" w:themeColor="text1"/>
          <w:sz w:val="18"/>
          <w:szCs w:val="18"/>
        </w:rPr>
        <w:t>[…]</w:t>
      </w:r>
    </w:p>
    <w:p w14:paraId="0AC51F2F" w14:textId="77777777" w:rsidR="00F56483" w:rsidRPr="00DF59A7" w:rsidRDefault="00F56483" w:rsidP="00D15431">
      <w:pPr>
        <w:pStyle w:val="NormalWeb"/>
        <w:spacing w:before="0" w:beforeAutospacing="0" w:after="0" w:afterAutospacing="0"/>
        <w:ind w:firstLine="709"/>
        <w:jc w:val="both"/>
        <w:rPr>
          <w:rFonts w:ascii="Arial" w:hAnsi="Arial" w:cs="Arial"/>
          <w:color w:val="000000" w:themeColor="text1"/>
          <w:sz w:val="18"/>
          <w:szCs w:val="18"/>
        </w:rPr>
      </w:pPr>
      <w:r w:rsidRPr="00DF59A7">
        <w:rPr>
          <w:rFonts w:ascii="Arial" w:hAnsi="Arial" w:cs="Arial"/>
          <w:color w:val="000000" w:themeColor="text1"/>
          <w:sz w:val="18"/>
          <w:szCs w:val="18"/>
        </w:rPr>
        <w:t>»4o. Los trámites se adelantarán con austeridad de tiempo, medios y gastos y se impedirán las dilaciones y los retardos en la ejecución del contrato. </w:t>
      </w:r>
    </w:p>
    <w:p w14:paraId="474A0EF6" w14:textId="77777777" w:rsidR="00F56483" w:rsidRPr="00DF59A7" w:rsidRDefault="00F56483" w:rsidP="00D15431">
      <w:pPr>
        <w:pStyle w:val="NormalWeb"/>
        <w:spacing w:before="0" w:beforeAutospacing="0" w:after="0" w:afterAutospacing="0"/>
        <w:jc w:val="both"/>
        <w:rPr>
          <w:rFonts w:ascii="Arial" w:hAnsi="Arial" w:cs="Arial"/>
          <w:color w:val="000000" w:themeColor="text1"/>
          <w:sz w:val="18"/>
          <w:szCs w:val="18"/>
        </w:rPr>
      </w:pPr>
      <w:r w:rsidRPr="00DF59A7">
        <w:rPr>
          <w:rFonts w:ascii="Arial" w:hAnsi="Arial" w:cs="Arial"/>
          <w:color w:val="000000" w:themeColor="text1"/>
          <w:sz w:val="18"/>
          <w:szCs w:val="18"/>
        </w:rPr>
        <w:t>  </w:t>
      </w:r>
      <w:r w:rsidRPr="00DF59A7">
        <w:rPr>
          <w:rFonts w:ascii="Arial" w:hAnsi="Arial" w:cs="Arial"/>
          <w:color w:val="000000" w:themeColor="text1"/>
          <w:sz w:val="18"/>
          <w:szCs w:val="18"/>
        </w:rPr>
        <w:tab/>
        <w:t>»5o. Se adoptarán procedimientos que garanticen la pronta solución de las diferencias y controversias que con motivo de la celebración y ejecución del contrato se presenten […]».</w:t>
      </w:r>
    </w:p>
    <w:p w14:paraId="7F2CD8BE" w14:textId="77777777" w:rsidR="00F56483" w:rsidRPr="00DF59A7" w:rsidRDefault="00F56483" w:rsidP="00D15431">
      <w:pPr>
        <w:pStyle w:val="Textonotapie"/>
        <w:jc w:val="both"/>
        <w:rPr>
          <w:rFonts w:ascii="Arial" w:hAnsi="Arial" w:cs="Arial"/>
          <w:color w:val="000000" w:themeColor="text1"/>
          <w:sz w:val="18"/>
          <w:szCs w:val="18"/>
          <w:lang w:val="es-CO"/>
        </w:rPr>
      </w:pPr>
    </w:p>
  </w:footnote>
  <w:footnote w:id="18">
    <w:p w14:paraId="6CCF8E0E"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COLOMBIA COMPRA EFICIENTE. Guía para la Liquidación de los Procesos de Contratación. página 5, disponible en: </w:t>
      </w:r>
      <w:hyperlink r:id="rId2" w:history="1">
        <w:r w:rsidRPr="00DF59A7">
          <w:rPr>
            <w:rStyle w:val="Hipervnculo"/>
            <w:rFonts w:ascii="Arial" w:hAnsi="Arial" w:cs="Arial"/>
            <w:color w:val="000000" w:themeColor="text1"/>
            <w:sz w:val="18"/>
            <w:szCs w:val="18"/>
            <w:u w:val="none"/>
          </w:rPr>
          <w:t>https://www.colombiacompra.gov.co/sites/cce_public/files/cce_documents/cce_guia_liquidacion_procesos.pdf</w:t>
        </w:r>
      </w:hyperlink>
      <w:r w:rsidRPr="00DF59A7">
        <w:rPr>
          <w:rFonts w:ascii="Arial" w:hAnsi="Arial" w:cs="Arial"/>
          <w:color w:val="000000" w:themeColor="text1"/>
          <w:sz w:val="18"/>
          <w:szCs w:val="18"/>
        </w:rPr>
        <w:t xml:space="preserve"> </w:t>
      </w:r>
    </w:p>
    <w:p w14:paraId="7189998E"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p>
  </w:footnote>
  <w:footnote w:id="19">
    <w:p w14:paraId="46D4E122"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w:t>
      </w:r>
      <w:r w:rsidRPr="00DF59A7">
        <w:rPr>
          <w:rFonts w:ascii="Arial" w:hAnsi="Arial" w:cs="Arial"/>
          <w:color w:val="000000" w:themeColor="text1"/>
          <w:sz w:val="18"/>
          <w:szCs w:val="18"/>
        </w:rPr>
        <w:t>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6FCDBBA0"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p>
  </w:footnote>
  <w:footnote w:id="20">
    <w:p w14:paraId="42A3E701"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CONSEJO DE ESTADO. Sala de Consulta y Servicio Civil. Concepto de 28 de Junio de 2016. Radicación: 2253. C.P. Álvaro </w:t>
      </w:r>
      <w:proofErr w:type="spellStart"/>
      <w:r w:rsidRPr="00DF59A7">
        <w:rPr>
          <w:rFonts w:ascii="Arial" w:hAnsi="Arial" w:cs="Arial"/>
          <w:color w:val="000000" w:themeColor="text1"/>
          <w:sz w:val="18"/>
          <w:szCs w:val="18"/>
        </w:rPr>
        <w:t>Namén</w:t>
      </w:r>
      <w:proofErr w:type="spellEnd"/>
      <w:r w:rsidRPr="00DF59A7">
        <w:rPr>
          <w:rFonts w:ascii="Arial" w:hAnsi="Arial" w:cs="Arial"/>
          <w:color w:val="000000" w:themeColor="text1"/>
          <w:sz w:val="18"/>
          <w:szCs w:val="18"/>
        </w:rPr>
        <w:t xml:space="preserve"> Vargas. </w:t>
      </w:r>
    </w:p>
    <w:p w14:paraId="24E1F133" w14:textId="77777777" w:rsidR="00D823EA" w:rsidRPr="00DF59A7" w:rsidRDefault="00D823EA" w:rsidP="00D15431">
      <w:pPr>
        <w:pStyle w:val="Textonotapie"/>
        <w:jc w:val="both"/>
        <w:rPr>
          <w:rFonts w:ascii="Arial" w:hAnsi="Arial" w:cs="Arial"/>
          <w:color w:val="000000" w:themeColor="text1"/>
          <w:sz w:val="18"/>
          <w:szCs w:val="18"/>
          <w:lang w:val="es-ES"/>
        </w:rPr>
      </w:pPr>
    </w:p>
  </w:footnote>
  <w:footnote w:id="21">
    <w:p w14:paraId="0AEEF138" w14:textId="77777777" w:rsidR="00D823EA" w:rsidRPr="00DF59A7" w:rsidRDefault="00D823EA" w:rsidP="00D15431">
      <w:pPr>
        <w:pStyle w:val="Textonotapie"/>
        <w:ind w:firstLine="708"/>
        <w:jc w:val="both"/>
        <w:rPr>
          <w:color w:val="000000" w:themeColor="text1"/>
          <w:sz w:val="18"/>
          <w:szCs w:val="18"/>
          <w:lang w:val="es-ES"/>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CONSEJO DE ESTADO. Sección Tercera. </w:t>
      </w:r>
      <w:r w:rsidRPr="00DF59A7">
        <w:rPr>
          <w:rFonts w:ascii="Arial" w:hAnsi="Arial" w:cs="Arial"/>
          <w:color w:val="000000" w:themeColor="text1"/>
          <w:sz w:val="18"/>
          <w:szCs w:val="18"/>
          <w:lang w:val="es-CO"/>
        </w:rPr>
        <w:t xml:space="preserve">Sala Plena. Auto del 1 de agosto de 2019. </w:t>
      </w:r>
      <w:proofErr w:type="spellStart"/>
      <w:r w:rsidRPr="00DF59A7">
        <w:rPr>
          <w:rFonts w:ascii="Arial" w:hAnsi="Arial" w:cs="Arial"/>
          <w:color w:val="000000" w:themeColor="text1"/>
          <w:sz w:val="18"/>
          <w:szCs w:val="18"/>
        </w:rPr>
        <w:t>Exp</w:t>
      </w:r>
      <w:proofErr w:type="spellEnd"/>
      <w:r w:rsidRPr="00DF59A7">
        <w:rPr>
          <w:rFonts w:ascii="Arial" w:hAnsi="Arial" w:cs="Arial"/>
          <w:color w:val="000000" w:themeColor="text1"/>
          <w:sz w:val="18"/>
          <w:szCs w:val="18"/>
        </w:rPr>
        <w:t xml:space="preserve">. 62009. C.P. Jaime Enrique Rodríguez Navas. </w:t>
      </w:r>
      <w:r w:rsidRPr="00DF59A7">
        <w:rPr>
          <w:color w:val="000000" w:themeColor="text1"/>
          <w:sz w:val="18"/>
          <w:szCs w:val="18"/>
          <w:lang w:val="es-ES"/>
        </w:rPr>
        <w:t xml:space="preserve"> </w:t>
      </w:r>
    </w:p>
  </w:footnote>
  <w:footnote w:id="22">
    <w:p w14:paraId="0BA8B3F5"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w:t>
      </w:r>
      <w:r w:rsidRPr="00DF59A7">
        <w:rPr>
          <w:rFonts w:ascii="Arial" w:hAnsi="Arial" w:cs="Arial"/>
          <w:color w:val="000000" w:themeColor="text1"/>
          <w:sz w:val="18"/>
          <w:szCs w:val="18"/>
          <w:lang w:val="es-ES"/>
        </w:rPr>
        <w:t xml:space="preserve">COLOMBIA COMPRA EFICIENTE. Guía de Garantías en Proceso de Contratación. Disponible en: </w:t>
      </w:r>
      <w:hyperlink r:id="rId3" w:history="1">
        <w:r w:rsidRPr="00DF59A7">
          <w:rPr>
            <w:rStyle w:val="Hipervnculo"/>
            <w:rFonts w:ascii="Arial" w:hAnsi="Arial" w:cs="Arial"/>
            <w:color w:val="000000" w:themeColor="text1"/>
            <w:sz w:val="18"/>
            <w:szCs w:val="18"/>
            <w:u w:val="none"/>
            <w:lang w:val="es-ES"/>
          </w:rPr>
          <w:t>https://www.colombiacompra.gov.co/sites/cce_public/files/cce_documents/cce_guia_garantias.pdf</w:t>
        </w:r>
      </w:hyperlink>
      <w:r w:rsidRPr="00DF59A7">
        <w:rPr>
          <w:rFonts w:ascii="Arial" w:hAnsi="Arial" w:cs="Arial"/>
          <w:color w:val="000000" w:themeColor="text1"/>
          <w:sz w:val="18"/>
          <w:szCs w:val="18"/>
          <w:lang w:val="es-ES"/>
        </w:rPr>
        <w:t xml:space="preserve"> </w:t>
      </w:r>
    </w:p>
    <w:p w14:paraId="620C83D6" w14:textId="77777777" w:rsidR="00D823EA" w:rsidRPr="00DF59A7" w:rsidRDefault="00D823EA" w:rsidP="00D15431">
      <w:pPr>
        <w:pStyle w:val="Textonotapie"/>
        <w:jc w:val="both"/>
        <w:rPr>
          <w:rFonts w:ascii="Arial" w:hAnsi="Arial" w:cs="Arial"/>
          <w:color w:val="000000" w:themeColor="text1"/>
          <w:sz w:val="18"/>
          <w:szCs w:val="18"/>
        </w:rPr>
      </w:pPr>
    </w:p>
  </w:footnote>
  <w:footnote w:id="23">
    <w:p w14:paraId="152A8DAC" w14:textId="77777777" w:rsidR="00D823EA" w:rsidRPr="00DF59A7" w:rsidRDefault="00D823EA" w:rsidP="00D15431">
      <w:pPr>
        <w:pStyle w:val="Textonotapie"/>
        <w:ind w:firstLine="708"/>
        <w:jc w:val="both"/>
        <w:rPr>
          <w:rFonts w:ascii="Arial" w:hAnsi="Arial" w:cs="Arial"/>
          <w:color w:val="000000" w:themeColor="text1"/>
          <w:sz w:val="18"/>
          <w:szCs w:val="18"/>
          <w:lang w:val="es-ES"/>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w:t>
      </w:r>
      <w:r w:rsidRPr="00DF59A7">
        <w:rPr>
          <w:rFonts w:ascii="Arial" w:hAnsi="Arial" w:cs="Arial"/>
          <w:color w:val="000000" w:themeColor="text1"/>
          <w:sz w:val="18"/>
          <w:szCs w:val="18"/>
          <w:lang w:val="es-ES"/>
        </w:rPr>
        <w:t xml:space="preserve">COLOMBIA COMPRA EFICIENTE. Síntesis: 8. Etapa precontractual: Garantía de cumplimiento del contrato estatal. </w:t>
      </w:r>
    </w:p>
    <w:p w14:paraId="1C89CCAA" w14:textId="77777777" w:rsidR="00D823EA" w:rsidRPr="00DF59A7" w:rsidRDefault="00D823EA" w:rsidP="00D15431">
      <w:pPr>
        <w:pStyle w:val="Textonotapie"/>
        <w:ind w:firstLine="708"/>
        <w:jc w:val="both"/>
        <w:rPr>
          <w:rFonts w:ascii="Arial" w:hAnsi="Arial" w:cs="Arial"/>
          <w:color w:val="000000" w:themeColor="text1"/>
          <w:sz w:val="18"/>
          <w:szCs w:val="18"/>
        </w:rPr>
      </w:pPr>
    </w:p>
  </w:footnote>
  <w:footnote w:id="24">
    <w:p w14:paraId="6D7D4CAE"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La norma citada dispone: «Artículo 2.2.1.2.3.1.7. Garantía de cumplimiento. La garantía de cumplimiento del contrato debe cubrir:</w:t>
      </w:r>
    </w:p>
    <w:p w14:paraId="7AF38E84"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»1.    Buen manejo y correcta inversión del anticipo. Este amparo cubre los perjuicios sufridos por la Entidad Estatal con ocasión de: (i) la no inversión del anticipo; (</w:t>
      </w:r>
      <w:proofErr w:type="spellStart"/>
      <w:r w:rsidRPr="00DF59A7">
        <w:rPr>
          <w:rFonts w:ascii="Arial" w:hAnsi="Arial" w:cs="Arial"/>
          <w:color w:val="000000" w:themeColor="text1"/>
          <w:sz w:val="18"/>
          <w:szCs w:val="18"/>
        </w:rPr>
        <w:t>ii</w:t>
      </w:r>
      <w:proofErr w:type="spellEnd"/>
      <w:r w:rsidRPr="00DF59A7">
        <w:rPr>
          <w:rFonts w:ascii="Arial" w:hAnsi="Arial" w:cs="Arial"/>
          <w:color w:val="000000" w:themeColor="text1"/>
          <w:sz w:val="18"/>
          <w:szCs w:val="18"/>
        </w:rPr>
        <w:t>) el uso indebido del anticipo; y (</w:t>
      </w:r>
      <w:proofErr w:type="spellStart"/>
      <w:r w:rsidRPr="00DF59A7">
        <w:rPr>
          <w:rFonts w:ascii="Arial" w:hAnsi="Arial" w:cs="Arial"/>
          <w:color w:val="000000" w:themeColor="text1"/>
          <w:sz w:val="18"/>
          <w:szCs w:val="18"/>
        </w:rPr>
        <w:t>iii</w:t>
      </w:r>
      <w:proofErr w:type="spellEnd"/>
      <w:r w:rsidRPr="00DF59A7">
        <w:rPr>
          <w:rFonts w:ascii="Arial" w:hAnsi="Arial" w:cs="Arial"/>
          <w:color w:val="000000" w:themeColor="text1"/>
          <w:sz w:val="18"/>
          <w:szCs w:val="18"/>
        </w:rPr>
        <w:t>) la apropiación indebida de los recursos recibidos en calidad de anticipo.</w:t>
      </w:r>
    </w:p>
    <w:p w14:paraId="6CAF5FF4"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1F00F32D"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»3.    Cumplimiento del contrato. Este amparo cubre a la Entidad Estatal de los perjuicios derivados de:</w:t>
      </w:r>
    </w:p>
    <w:p w14:paraId="027DCF9B"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»3.1.   El incumplimiento total o parcial del contrato, cuando el incumplimiento es imputable al contratista;</w:t>
      </w:r>
    </w:p>
    <w:p w14:paraId="2F922103"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»3.2.   El cumplimiento tardío o defectuoso del contrato, cuando el incumplimiento es imputable al contratista;</w:t>
      </w:r>
    </w:p>
    <w:p w14:paraId="1409304F"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»3.3.   Los daños imputables al contratista por entregas parciales de la obra, cuando el contrato no prevé entregas parciales; y</w:t>
      </w:r>
    </w:p>
    <w:p w14:paraId="3F8F045E"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»3.4.   El pago del valor de las multas y de la cláusula penal pecuniaria.</w:t>
      </w:r>
    </w:p>
    <w:p w14:paraId="6CA7506E"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69C57455"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»La Entidad Estatal no debe exigir una garantía para cubrir este Riesgo en los contratos que se ejecuten fuera del territorio nacional con personal contratado bajo un régimen jurídico distinto al colombiano.</w:t>
      </w:r>
    </w:p>
    <w:p w14:paraId="570CE221"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»5.    Estabilidad y calidad de la obra. Este amparo cubre a la Entidad Estatal de los perjuicios ocasionados por cualquier tipo de daño o deterioro, imputable al contratista, sufrido por la obra entregada a satisfacción.</w:t>
      </w:r>
    </w:p>
    <w:p w14:paraId="244BF27E"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»6.    Calidad del servicio. Este amparo cubre a la Entidad Estatal por los perjuicios deri­vados de la deficiente calidad del servicio prestado.</w:t>
      </w:r>
    </w:p>
    <w:p w14:paraId="10A291D6"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»7.    Calidad y correcto funcionamiento de los bienes. Este amparo debe cubrir la calidad y el correcto funcionamiento de los bienes que recibe la Entidad Estatal en cumplimiento de un contrato.</w:t>
      </w:r>
    </w:p>
    <w:p w14:paraId="47C16BD9"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Fonts w:ascii="Arial" w:hAnsi="Arial" w:cs="Arial"/>
          <w:color w:val="000000" w:themeColor="text1"/>
          <w:sz w:val="18"/>
          <w:szCs w:val="18"/>
        </w:rPr>
        <w:t>»8.    Los demás incumplimientos de obligaciones que la Entidad Estatal considere deben ser amparados de manera proporcional y acorde a la naturaleza del contrato».</w:t>
      </w:r>
    </w:p>
  </w:footnote>
  <w:footnote w:id="25">
    <w:p w14:paraId="62534B02" w14:textId="77777777" w:rsidR="00D823EA" w:rsidRPr="00DF59A7" w:rsidRDefault="00D823EA" w:rsidP="00D15431">
      <w:pPr>
        <w:pStyle w:val="Textonotapie"/>
        <w:ind w:firstLine="708"/>
        <w:jc w:val="both"/>
        <w:rPr>
          <w:rFonts w:ascii="Arial" w:hAnsi="Arial" w:cs="Arial"/>
          <w:color w:val="000000" w:themeColor="text1"/>
          <w:sz w:val="18"/>
          <w:szCs w:val="18"/>
        </w:rPr>
      </w:pPr>
      <w:r w:rsidRPr="00DF59A7">
        <w:rPr>
          <w:rStyle w:val="Refdenotaalpie"/>
          <w:rFonts w:ascii="Arial" w:hAnsi="Arial" w:cs="Arial"/>
          <w:color w:val="000000" w:themeColor="text1"/>
          <w:sz w:val="18"/>
          <w:szCs w:val="18"/>
        </w:rPr>
        <w:footnoteRef/>
      </w:r>
      <w:r w:rsidRPr="00DF59A7">
        <w:rPr>
          <w:rFonts w:ascii="Arial" w:hAnsi="Arial" w:cs="Arial"/>
          <w:color w:val="000000" w:themeColor="text1"/>
          <w:sz w:val="18"/>
          <w:szCs w:val="18"/>
        </w:rPr>
        <w:t xml:space="preserve"> Consejo de Estado. Sección Tercera. Subsección B. Sentencia de 19 de junio de 2013. </w:t>
      </w:r>
      <w:proofErr w:type="spellStart"/>
      <w:r w:rsidRPr="00DF59A7">
        <w:rPr>
          <w:rFonts w:ascii="Arial" w:hAnsi="Arial" w:cs="Arial"/>
          <w:color w:val="000000" w:themeColor="text1"/>
          <w:sz w:val="18"/>
          <w:szCs w:val="18"/>
        </w:rPr>
        <w:t>Exp</w:t>
      </w:r>
      <w:proofErr w:type="spellEnd"/>
      <w:r w:rsidRPr="00DF59A7">
        <w:rPr>
          <w:rFonts w:ascii="Arial" w:hAnsi="Arial" w:cs="Arial"/>
          <w:color w:val="000000" w:themeColor="text1"/>
          <w:sz w:val="18"/>
          <w:szCs w:val="18"/>
        </w:rPr>
        <w:t xml:space="preserve">. 25472.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p w14:paraId="603D9E86" w14:textId="61607A32" w:rsidR="0020796E" w:rsidRDefault="0020796E" w:rsidP="0020796E">
    <w:pPr>
      <w:rPr>
        <w:rFonts w:ascii="Geomanist Bold" w:hAnsi="Geomanist Bold"/>
        <w:color w:val="002060"/>
        <w:lang w:eastAsia="en-US"/>
      </w:rPr>
    </w:pPr>
    <w:r>
      <w:rPr>
        <w:noProof/>
        <w:sz w:val="22"/>
        <w:szCs w:val="22"/>
        <w:lang w:eastAsia="en-US"/>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20796E">
          <w:pPr>
            <w:tabs>
              <w:tab w:val="center" w:pos="4419"/>
              <w:tab w:val="center" w:pos="5400"/>
              <w:tab w:val="right" w:pos="8838"/>
            </w:tabs>
            <w:rPr>
              <w:rFonts w:ascii="Geomanist Bold" w:eastAsia="Geo" w:hAnsi="Geomanist Bold" w:cs="Geo"/>
              <w:b/>
              <w:color w:val="002060"/>
              <w:sz w:val="22"/>
              <w:szCs w:val="22"/>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20796E">
          <w:pPr>
            <w:tabs>
              <w:tab w:val="center" w:pos="4419"/>
              <w:tab w:val="center" w:pos="5400"/>
              <w:tab w:val="right" w:pos="8838"/>
            </w:tabs>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20796E">
          <w:pPr>
            <w:jc w:val="right"/>
            <w:rPr>
              <w:rFonts w:eastAsia="Arial Nova" w:cs="Arial Nova"/>
              <w:sz w:val="22"/>
              <w:szCs w:val="22"/>
              <w:lang w:eastAsia="es-CO"/>
            </w:rPr>
          </w:pPr>
        </w:p>
      </w:tc>
      <w:tc>
        <w:tcPr>
          <w:tcW w:w="1324" w:type="dxa"/>
          <w:tcBorders>
            <w:top w:val="nil"/>
            <w:left w:val="nil"/>
            <w:bottom w:val="nil"/>
            <w:right w:val="nil"/>
          </w:tcBorders>
        </w:tcPr>
        <w:p w14:paraId="7F0DA02B" w14:textId="77777777" w:rsidR="0020796E" w:rsidRDefault="0020796E" w:rsidP="0020796E">
          <w:pPr>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7"/>
  </w:num>
  <w:num w:numId="4" w16cid:durableId="1315186126">
    <w:abstractNumId w:val="32"/>
  </w:num>
  <w:num w:numId="5" w16cid:durableId="1309093109">
    <w:abstractNumId w:val="38"/>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3"/>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0"/>
  </w:num>
  <w:num w:numId="18" w16cid:durableId="718556045">
    <w:abstractNumId w:val="28"/>
  </w:num>
  <w:num w:numId="19" w16cid:durableId="2109496769">
    <w:abstractNumId w:val="10"/>
  </w:num>
  <w:num w:numId="20" w16cid:durableId="1574777690">
    <w:abstractNumId w:val="41"/>
  </w:num>
  <w:num w:numId="21" w16cid:durableId="343829570">
    <w:abstractNumId w:val="30"/>
  </w:num>
  <w:num w:numId="22" w16cid:durableId="1521091477">
    <w:abstractNumId w:val="13"/>
  </w:num>
  <w:num w:numId="23" w16cid:durableId="1406491540">
    <w:abstractNumId w:val="12"/>
  </w:num>
  <w:num w:numId="24" w16cid:durableId="216599317">
    <w:abstractNumId w:val="34"/>
  </w:num>
  <w:num w:numId="25" w16cid:durableId="706416597">
    <w:abstractNumId w:val="21"/>
  </w:num>
  <w:num w:numId="26" w16cid:durableId="270862301">
    <w:abstractNumId w:val="39"/>
  </w:num>
  <w:num w:numId="27" w16cid:durableId="1795712713">
    <w:abstractNumId w:val="43"/>
  </w:num>
  <w:num w:numId="28" w16cid:durableId="969941319">
    <w:abstractNumId w:val="26"/>
  </w:num>
  <w:num w:numId="29" w16cid:durableId="1808891589">
    <w:abstractNumId w:val="2"/>
  </w:num>
  <w:num w:numId="30" w16cid:durableId="1508400274">
    <w:abstractNumId w:val="29"/>
  </w:num>
  <w:num w:numId="31" w16cid:durableId="1848517314">
    <w:abstractNumId w:val="22"/>
  </w:num>
  <w:num w:numId="32" w16cid:durableId="1225678077">
    <w:abstractNumId w:val="31"/>
  </w:num>
  <w:num w:numId="33" w16cid:durableId="283007414">
    <w:abstractNumId w:val="42"/>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6"/>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7"/>
  </w:num>
  <w:num w:numId="45" w16cid:durableId="1544950817">
    <w:abstractNumId w:val="9"/>
  </w:num>
  <w:num w:numId="46" w16cid:durableId="1353874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495D"/>
    <w:rsid w:val="000051AF"/>
    <w:rsid w:val="00005958"/>
    <w:rsid w:val="000059D3"/>
    <w:rsid w:val="0000600A"/>
    <w:rsid w:val="00006081"/>
    <w:rsid w:val="000060D0"/>
    <w:rsid w:val="00006D78"/>
    <w:rsid w:val="000075EA"/>
    <w:rsid w:val="0000766F"/>
    <w:rsid w:val="00007750"/>
    <w:rsid w:val="000077FD"/>
    <w:rsid w:val="00007E37"/>
    <w:rsid w:val="00010408"/>
    <w:rsid w:val="0001072F"/>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2EC4"/>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2A"/>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4252"/>
    <w:rsid w:val="0005474D"/>
    <w:rsid w:val="00055CB9"/>
    <w:rsid w:val="00056534"/>
    <w:rsid w:val="00056F66"/>
    <w:rsid w:val="0005702F"/>
    <w:rsid w:val="00057661"/>
    <w:rsid w:val="0005779C"/>
    <w:rsid w:val="00057848"/>
    <w:rsid w:val="00057B4F"/>
    <w:rsid w:val="00060B48"/>
    <w:rsid w:val="00061D06"/>
    <w:rsid w:val="00062289"/>
    <w:rsid w:val="0006294B"/>
    <w:rsid w:val="00062CDD"/>
    <w:rsid w:val="00063FA5"/>
    <w:rsid w:val="000640AF"/>
    <w:rsid w:val="00064940"/>
    <w:rsid w:val="00064CAE"/>
    <w:rsid w:val="00064DB7"/>
    <w:rsid w:val="00064FA7"/>
    <w:rsid w:val="00065195"/>
    <w:rsid w:val="00065A18"/>
    <w:rsid w:val="00070AF1"/>
    <w:rsid w:val="00070B59"/>
    <w:rsid w:val="000714DE"/>
    <w:rsid w:val="0007254F"/>
    <w:rsid w:val="000726D1"/>
    <w:rsid w:val="00073C30"/>
    <w:rsid w:val="0007409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076"/>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4CA"/>
    <w:rsid w:val="00095B70"/>
    <w:rsid w:val="00095C0D"/>
    <w:rsid w:val="00095EB2"/>
    <w:rsid w:val="0009617E"/>
    <w:rsid w:val="00096489"/>
    <w:rsid w:val="000979CF"/>
    <w:rsid w:val="00097A00"/>
    <w:rsid w:val="000A03C8"/>
    <w:rsid w:val="000A05F2"/>
    <w:rsid w:val="000A06C4"/>
    <w:rsid w:val="000A0861"/>
    <w:rsid w:val="000A0ED1"/>
    <w:rsid w:val="000A1139"/>
    <w:rsid w:val="000A12DB"/>
    <w:rsid w:val="000A17C8"/>
    <w:rsid w:val="000A1AEE"/>
    <w:rsid w:val="000A1BA0"/>
    <w:rsid w:val="000A20D7"/>
    <w:rsid w:val="000A2128"/>
    <w:rsid w:val="000A362F"/>
    <w:rsid w:val="000A367A"/>
    <w:rsid w:val="000A3B49"/>
    <w:rsid w:val="000A41BA"/>
    <w:rsid w:val="000A446A"/>
    <w:rsid w:val="000A5AAF"/>
    <w:rsid w:val="000A5F97"/>
    <w:rsid w:val="000A648E"/>
    <w:rsid w:val="000A73BB"/>
    <w:rsid w:val="000A7EF4"/>
    <w:rsid w:val="000B0A15"/>
    <w:rsid w:val="000B0B7D"/>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52"/>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29A"/>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4EEE"/>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234"/>
    <w:rsid w:val="00161AC6"/>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C48"/>
    <w:rsid w:val="001A7FBE"/>
    <w:rsid w:val="001A7FD9"/>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115"/>
    <w:rsid w:val="001C58D6"/>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498"/>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3E13"/>
    <w:rsid w:val="001E4258"/>
    <w:rsid w:val="001E442F"/>
    <w:rsid w:val="001E4587"/>
    <w:rsid w:val="001E56FF"/>
    <w:rsid w:val="001E5A69"/>
    <w:rsid w:val="001E5A7D"/>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CC2"/>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0FBE"/>
    <w:rsid w:val="002216AB"/>
    <w:rsid w:val="002221CE"/>
    <w:rsid w:val="00222BE8"/>
    <w:rsid w:val="00223102"/>
    <w:rsid w:val="002232CB"/>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747"/>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A37"/>
    <w:rsid w:val="00263EAE"/>
    <w:rsid w:val="00264409"/>
    <w:rsid w:val="002648AB"/>
    <w:rsid w:val="002653A6"/>
    <w:rsid w:val="00265663"/>
    <w:rsid w:val="0026608D"/>
    <w:rsid w:val="002661F1"/>
    <w:rsid w:val="002663BA"/>
    <w:rsid w:val="002664B7"/>
    <w:rsid w:val="00266CB5"/>
    <w:rsid w:val="0026721C"/>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18A"/>
    <w:rsid w:val="00290781"/>
    <w:rsid w:val="002912D3"/>
    <w:rsid w:val="00291784"/>
    <w:rsid w:val="002929BB"/>
    <w:rsid w:val="00292E64"/>
    <w:rsid w:val="002932BA"/>
    <w:rsid w:val="00293669"/>
    <w:rsid w:val="00294368"/>
    <w:rsid w:val="00294B78"/>
    <w:rsid w:val="00295563"/>
    <w:rsid w:val="00295646"/>
    <w:rsid w:val="00295820"/>
    <w:rsid w:val="00295949"/>
    <w:rsid w:val="0029624A"/>
    <w:rsid w:val="00296922"/>
    <w:rsid w:val="0029697C"/>
    <w:rsid w:val="00296EAF"/>
    <w:rsid w:val="00297098"/>
    <w:rsid w:val="002A05D4"/>
    <w:rsid w:val="002A09FF"/>
    <w:rsid w:val="002A0C01"/>
    <w:rsid w:val="002A0E60"/>
    <w:rsid w:val="002A1343"/>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16B7"/>
    <w:rsid w:val="002B21AC"/>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C1143"/>
    <w:rsid w:val="002C24B4"/>
    <w:rsid w:val="002C2739"/>
    <w:rsid w:val="002C2B3A"/>
    <w:rsid w:val="002C2B87"/>
    <w:rsid w:val="002C3CF4"/>
    <w:rsid w:val="002C441A"/>
    <w:rsid w:val="002C47E5"/>
    <w:rsid w:val="002C4A73"/>
    <w:rsid w:val="002C4B84"/>
    <w:rsid w:val="002C4C0C"/>
    <w:rsid w:val="002C5016"/>
    <w:rsid w:val="002C5570"/>
    <w:rsid w:val="002C5C2F"/>
    <w:rsid w:val="002C5D0F"/>
    <w:rsid w:val="002C5E87"/>
    <w:rsid w:val="002C60B9"/>
    <w:rsid w:val="002C6A1D"/>
    <w:rsid w:val="002C6F77"/>
    <w:rsid w:val="002C704D"/>
    <w:rsid w:val="002C72CC"/>
    <w:rsid w:val="002C77DD"/>
    <w:rsid w:val="002D0845"/>
    <w:rsid w:val="002D0933"/>
    <w:rsid w:val="002D0F58"/>
    <w:rsid w:val="002D1866"/>
    <w:rsid w:val="002D19BB"/>
    <w:rsid w:val="002D1A9B"/>
    <w:rsid w:val="002D22C5"/>
    <w:rsid w:val="002D301F"/>
    <w:rsid w:val="002D302A"/>
    <w:rsid w:val="002D3582"/>
    <w:rsid w:val="002D36C6"/>
    <w:rsid w:val="002D37C1"/>
    <w:rsid w:val="002D444B"/>
    <w:rsid w:val="002D4A45"/>
    <w:rsid w:val="002D4A73"/>
    <w:rsid w:val="002D4AB1"/>
    <w:rsid w:val="002D4B42"/>
    <w:rsid w:val="002D4DBA"/>
    <w:rsid w:val="002D5A1B"/>
    <w:rsid w:val="002D65BC"/>
    <w:rsid w:val="002D6D7E"/>
    <w:rsid w:val="002D7970"/>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2F7F54"/>
    <w:rsid w:val="00300AC1"/>
    <w:rsid w:val="00300CB4"/>
    <w:rsid w:val="00300DE7"/>
    <w:rsid w:val="00300E24"/>
    <w:rsid w:val="0030101C"/>
    <w:rsid w:val="003033BA"/>
    <w:rsid w:val="0030344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92C"/>
    <w:rsid w:val="00313EA3"/>
    <w:rsid w:val="0031447D"/>
    <w:rsid w:val="0031496A"/>
    <w:rsid w:val="00315088"/>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A88"/>
    <w:rsid w:val="00333FFB"/>
    <w:rsid w:val="00334741"/>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78E"/>
    <w:rsid w:val="003479E0"/>
    <w:rsid w:val="003501E2"/>
    <w:rsid w:val="00350A59"/>
    <w:rsid w:val="00351C51"/>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679D0"/>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1F51"/>
    <w:rsid w:val="0038232C"/>
    <w:rsid w:val="00382BAD"/>
    <w:rsid w:val="00383A8D"/>
    <w:rsid w:val="00383B2B"/>
    <w:rsid w:val="003840E0"/>
    <w:rsid w:val="00384CD6"/>
    <w:rsid w:val="00384DF1"/>
    <w:rsid w:val="00384FF3"/>
    <w:rsid w:val="00385128"/>
    <w:rsid w:val="003852D5"/>
    <w:rsid w:val="00385701"/>
    <w:rsid w:val="003859DA"/>
    <w:rsid w:val="00386456"/>
    <w:rsid w:val="003865A9"/>
    <w:rsid w:val="00387642"/>
    <w:rsid w:val="00390088"/>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59B4"/>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C0791"/>
    <w:rsid w:val="003C0D1F"/>
    <w:rsid w:val="003C0FFB"/>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26"/>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632"/>
    <w:rsid w:val="00423F9F"/>
    <w:rsid w:val="0042499B"/>
    <w:rsid w:val="00424FEC"/>
    <w:rsid w:val="0042540A"/>
    <w:rsid w:val="00425444"/>
    <w:rsid w:val="004255AB"/>
    <w:rsid w:val="00425C43"/>
    <w:rsid w:val="00426C69"/>
    <w:rsid w:val="004273FA"/>
    <w:rsid w:val="00430186"/>
    <w:rsid w:val="00430730"/>
    <w:rsid w:val="004313B4"/>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5DE5"/>
    <w:rsid w:val="00446037"/>
    <w:rsid w:val="0044642F"/>
    <w:rsid w:val="004468C3"/>
    <w:rsid w:val="00447021"/>
    <w:rsid w:val="0044772C"/>
    <w:rsid w:val="004502AA"/>
    <w:rsid w:val="004507BD"/>
    <w:rsid w:val="00450846"/>
    <w:rsid w:val="00450B1A"/>
    <w:rsid w:val="00450C87"/>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7E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A78"/>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5A37"/>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2BEB"/>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345"/>
    <w:rsid w:val="004E4465"/>
    <w:rsid w:val="004E518D"/>
    <w:rsid w:val="004E5736"/>
    <w:rsid w:val="004E5B36"/>
    <w:rsid w:val="004E6045"/>
    <w:rsid w:val="004E6758"/>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29A"/>
    <w:rsid w:val="005564CA"/>
    <w:rsid w:val="005568EA"/>
    <w:rsid w:val="00557140"/>
    <w:rsid w:val="00557DE4"/>
    <w:rsid w:val="005601F9"/>
    <w:rsid w:val="0056058C"/>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C0E"/>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6F4"/>
    <w:rsid w:val="0058375E"/>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363"/>
    <w:rsid w:val="005948B5"/>
    <w:rsid w:val="00595FDD"/>
    <w:rsid w:val="00596AF7"/>
    <w:rsid w:val="00596CCE"/>
    <w:rsid w:val="00596E4A"/>
    <w:rsid w:val="00597096"/>
    <w:rsid w:val="00597E38"/>
    <w:rsid w:val="005A1976"/>
    <w:rsid w:val="005A1D75"/>
    <w:rsid w:val="005A2120"/>
    <w:rsid w:val="005A2501"/>
    <w:rsid w:val="005A2C67"/>
    <w:rsid w:val="005A2C80"/>
    <w:rsid w:val="005A3066"/>
    <w:rsid w:val="005A3457"/>
    <w:rsid w:val="005A3B35"/>
    <w:rsid w:val="005A3C4B"/>
    <w:rsid w:val="005A3E5A"/>
    <w:rsid w:val="005A43F3"/>
    <w:rsid w:val="005A496F"/>
    <w:rsid w:val="005A4A56"/>
    <w:rsid w:val="005A4F02"/>
    <w:rsid w:val="005A5A3D"/>
    <w:rsid w:val="005A5C25"/>
    <w:rsid w:val="005A6035"/>
    <w:rsid w:val="005A648D"/>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E51"/>
    <w:rsid w:val="005C5F05"/>
    <w:rsid w:val="005C7497"/>
    <w:rsid w:val="005C7E1E"/>
    <w:rsid w:val="005C7F3E"/>
    <w:rsid w:val="005D0E1C"/>
    <w:rsid w:val="005D1051"/>
    <w:rsid w:val="005D2044"/>
    <w:rsid w:val="005D27DC"/>
    <w:rsid w:val="005D2917"/>
    <w:rsid w:val="005D2976"/>
    <w:rsid w:val="005D2EB2"/>
    <w:rsid w:val="005D2F48"/>
    <w:rsid w:val="005D398B"/>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312"/>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34D"/>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1F4"/>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6D0"/>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160D"/>
    <w:rsid w:val="00672971"/>
    <w:rsid w:val="00672DE7"/>
    <w:rsid w:val="00672E80"/>
    <w:rsid w:val="00673563"/>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1F30"/>
    <w:rsid w:val="006820A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0FDB"/>
    <w:rsid w:val="00691DE9"/>
    <w:rsid w:val="00691EAA"/>
    <w:rsid w:val="00692245"/>
    <w:rsid w:val="00692FFA"/>
    <w:rsid w:val="006932E0"/>
    <w:rsid w:val="00693772"/>
    <w:rsid w:val="0069378B"/>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5CC2"/>
    <w:rsid w:val="006A63EB"/>
    <w:rsid w:val="006A6655"/>
    <w:rsid w:val="006A6803"/>
    <w:rsid w:val="006A6B0B"/>
    <w:rsid w:val="006A6BF9"/>
    <w:rsid w:val="006A6F85"/>
    <w:rsid w:val="006A7CB5"/>
    <w:rsid w:val="006A7FD0"/>
    <w:rsid w:val="006B025C"/>
    <w:rsid w:val="006B1025"/>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E32"/>
    <w:rsid w:val="006D1FF3"/>
    <w:rsid w:val="006D2C65"/>
    <w:rsid w:val="006D32C6"/>
    <w:rsid w:val="006D360E"/>
    <w:rsid w:val="006D3697"/>
    <w:rsid w:val="006D39D2"/>
    <w:rsid w:val="006D3F2A"/>
    <w:rsid w:val="006D428D"/>
    <w:rsid w:val="006D4370"/>
    <w:rsid w:val="006D46A3"/>
    <w:rsid w:val="006D634C"/>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602F"/>
    <w:rsid w:val="006E6720"/>
    <w:rsid w:val="006E68FA"/>
    <w:rsid w:val="006E7275"/>
    <w:rsid w:val="006E77B8"/>
    <w:rsid w:val="006E7824"/>
    <w:rsid w:val="006F15CC"/>
    <w:rsid w:val="006F18B8"/>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3FF"/>
    <w:rsid w:val="0070157E"/>
    <w:rsid w:val="007030D4"/>
    <w:rsid w:val="0070317C"/>
    <w:rsid w:val="00703279"/>
    <w:rsid w:val="00703B61"/>
    <w:rsid w:val="00703B97"/>
    <w:rsid w:val="00703E11"/>
    <w:rsid w:val="00704102"/>
    <w:rsid w:val="0070461C"/>
    <w:rsid w:val="00705631"/>
    <w:rsid w:val="00705818"/>
    <w:rsid w:val="00705F62"/>
    <w:rsid w:val="007064F0"/>
    <w:rsid w:val="0070773F"/>
    <w:rsid w:val="00707903"/>
    <w:rsid w:val="00707ED3"/>
    <w:rsid w:val="007101B7"/>
    <w:rsid w:val="00710668"/>
    <w:rsid w:val="007110F4"/>
    <w:rsid w:val="007112B1"/>
    <w:rsid w:val="0071130F"/>
    <w:rsid w:val="007114D4"/>
    <w:rsid w:val="007119BD"/>
    <w:rsid w:val="00711EE1"/>
    <w:rsid w:val="00712714"/>
    <w:rsid w:val="007128E3"/>
    <w:rsid w:val="007129AB"/>
    <w:rsid w:val="00712B63"/>
    <w:rsid w:val="007130E7"/>
    <w:rsid w:val="00713526"/>
    <w:rsid w:val="00713D6A"/>
    <w:rsid w:val="00713FC5"/>
    <w:rsid w:val="007151E1"/>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1200"/>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10A"/>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12E"/>
    <w:rsid w:val="0074623A"/>
    <w:rsid w:val="00746420"/>
    <w:rsid w:val="00746E04"/>
    <w:rsid w:val="00746E08"/>
    <w:rsid w:val="00746E3D"/>
    <w:rsid w:val="007470C2"/>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5C2"/>
    <w:rsid w:val="00752ABF"/>
    <w:rsid w:val="007537BD"/>
    <w:rsid w:val="00753BAC"/>
    <w:rsid w:val="00754A0B"/>
    <w:rsid w:val="007552DB"/>
    <w:rsid w:val="00755B08"/>
    <w:rsid w:val="00755DD0"/>
    <w:rsid w:val="0075647A"/>
    <w:rsid w:val="007566BE"/>
    <w:rsid w:val="00756A2F"/>
    <w:rsid w:val="00757094"/>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39FF"/>
    <w:rsid w:val="00764996"/>
    <w:rsid w:val="0076522C"/>
    <w:rsid w:val="00766ECC"/>
    <w:rsid w:val="007672F3"/>
    <w:rsid w:val="007676A9"/>
    <w:rsid w:val="007677B5"/>
    <w:rsid w:val="007678B1"/>
    <w:rsid w:val="00770317"/>
    <w:rsid w:val="007708A8"/>
    <w:rsid w:val="007720F7"/>
    <w:rsid w:val="00772275"/>
    <w:rsid w:val="00773350"/>
    <w:rsid w:val="00773484"/>
    <w:rsid w:val="007734E4"/>
    <w:rsid w:val="0077380D"/>
    <w:rsid w:val="0077393F"/>
    <w:rsid w:val="00773BC8"/>
    <w:rsid w:val="0077466F"/>
    <w:rsid w:val="007751DD"/>
    <w:rsid w:val="007752B7"/>
    <w:rsid w:val="007759A8"/>
    <w:rsid w:val="00775D98"/>
    <w:rsid w:val="00776FE5"/>
    <w:rsid w:val="00777101"/>
    <w:rsid w:val="007772A3"/>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888"/>
    <w:rsid w:val="00785BBB"/>
    <w:rsid w:val="007869CD"/>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3D7F"/>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5962"/>
    <w:rsid w:val="007A7F6D"/>
    <w:rsid w:val="007A7F74"/>
    <w:rsid w:val="007B00D8"/>
    <w:rsid w:val="007B0313"/>
    <w:rsid w:val="007B05FB"/>
    <w:rsid w:val="007B0854"/>
    <w:rsid w:val="007B0E48"/>
    <w:rsid w:val="007B1889"/>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084"/>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4AD4"/>
    <w:rsid w:val="007E5C4A"/>
    <w:rsid w:val="007E64D4"/>
    <w:rsid w:val="007E66E9"/>
    <w:rsid w:val="007E69F2"/>
    <w:rsid w:val="007E7432"/>
    <w:rsid w:val="007E74BF"/>
    <w:rsid w:val="007E79BA"/>
    <w:rsid w:val="007F14D3"/>
    <w:rsid w:val="007F1C42"/>
    <w:rsid w:val="007F1D9D"/>
    <w:rsid w:val="007F1E28"/>
    <w:rsid w:val="007F1F63"/>
    <w:rsid w:val="007F21D8"/>
    <w:rsid w:val="007F22A0"/>
    <w:rsid w:val="007F28FB"/>
    <w:rsid w:val="007F2F90"/>
    <w:rsid w:val="007F3320"/>
    <w:rsid w:val="007F392A"/>
    <w:rsid w:val="007F3AC1"/>
    <w:rsid w:val="007F3CB0"/>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0C5B"/>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498"/>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173"/>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1EE"/>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A79CA"/>
    <w:rsid w:val="008B03D8"/>
    <w:rsid w:val="008B0862"/>
    <w:rsid w:val="008B088C"/>
    <w:rsid w:val="008B1BF5"/>
    <w:rsid w:val="008B2268"/>
    <w:rsid w:val="008B263F"/>
    <w:rsid w:val="008B3A08"/>
    <w:rsid w:val="008B47A6"/>
    <w:rsid w:val="008B6649"/>
    <w:rsid w:val="008B672C"/>
    <w:rsid w:val="008B7611"/>
    <w:rsid w:val="008C036D"/>
    <w:rsid w:val="008C0743"/>
    <w:rsid w:val="008C078D"/>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A5"/>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449"/>
    <w:rsid w:val="008F4814"/>
    <w:rsid w:val="008F4B91"/>
    <w:rsid w:val="008F4DA6"/>
    <w:rsid w:val="008F538E"/>
    <w:rsid w:val="008F59B4"/>
    <w:rsid w:val="008F5A20"/>
    <w:rsid w:val="008F5ABA"/>
    <w:rsid w:val="008F6CF9"/>
    <w:rsid w:val="008F78EC"/>
    <w:rsid w:val="008F7905"/>
    <w:rsid w:val="008F7989"/>
    <w:rsid w:val="0090062C"/>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4B2F"/>
    <w:rsid w:val="00925743"/>
    <w:rsid w:val="0092579F"/>
    <w:rsid w:val="00927E8D"/>
    <w:rsid w:val="00927F23"/>
    <w:rsid w:val="00930698"/>
    <w:rsid w:val="00930727"/>
    <w:rsid w:val="009307CD"/>
    <w:rsid w:val="00930C81"/>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6CF"/>
    <w:rsid w:val="00961E5F"/>
    <w:rsid w:val="009625C6"/>
    <w:rsid w:val="009629B5"/>
    <w:rsid w:val="00962A50"/>
    <w:rsid w:val="00962E25"/>
    <w:rsid w:val="00962F47"/>
    <w:rsid w:val="009631BD"/>
    <w:rsid w:val="00963A7E"/>
    <w:rsid w:val="00964138"/>
    <w:rsid w:val="00964B3F"/>
    <w:rsid w:val="00964C98"/>
    <w:rsid w:val="00964D5B"/>
    <w:rsid w:val="00964E0A"/>
    <w:rsid w:val="0096566C"/>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376"/>
    <w:rsid w:val="009827E6"/>
    <w:rsid w:val="00982E70"/>
    <w:rsid w:val="00982F84"/>
    <w:rsid w:val="0098427D"/>
    <w:rsid w:val="00984567"/>
    <w:rsid w:val="00985102"/>
    <w:rsid w:val="00986333"/>
    <w:rsid w:val="009865D5"/>
    <w:rsid w:val="009876F2"/>
    <w:rsid w:val="00987716"/>
    <w:rsid w:val="00987A38"/>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D51"/>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27F"/>
    <w:rsid w:val="009B199E"/>
    <w:rsid w:val="009B1D4D"/>
    <w:rsid w:val="009B257D"/>
    <w:rsid w:val="009B27AC"/>
    <w:rsid w:val="009B2E29"/>
    <w:rsid w:val="009B3163"/>
    <w:rsid w:val="009B422F"/>
    <w:rsid w:val="009B46BC"/>
    <w:rsid w:val="009B46E9"/>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AF8"/>
    <w:rsid w:val="009D6E3A"/>
    <w:rsid w:val="009D70C2"/>
    <w:rsid w:val="009D7278"/>
    <w:rsid w:val="009D747A"/>
    <w:rsid w:val="009D773A"/>
    <w:rsid w:val="009D7ADB"/>
    <w:rsid w:val="009D7B33"/>
    <w:rsid w:val="009E0703"/>
    <w:rsid w:val="009E0E95"/>
    <w:rsid w:val="009E16DA"/>
    <w:rsid w:val="009E1CD4"/>
    <w:rsid w:val="009E20DC"/>
    <w:rsid w:val="009E2391"/>
    <w:rsid w:val="009E2A2A"/>
    <w:rsid w:val="009E432E"/>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3DF8"/>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2C46"/>
    <w:rsid w:val="00A33D6C"/>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D84"/>
    <w:rsid w:val="00A53E79"/>
    <w:rsid w:val="00A54031"/>
    <w:rsid w:val="00A5426D"/>
    <w:rsid w:val="00A5491E"/>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980"/>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9D9"/>
    <w:rsid w:val="00A95E4C"/>
    <w:rsid w:val="00A96C60"/>
    <w:rsid w:val="00A97223"/>
    <w:rsid w:val="00A9740B"/>
    <w:rsid w:val="00A9766C"/>
    <w:rsid w:val="00A977F8"/>
    <w:rsid w:val="00A97C93"/>
    <w:rsid w:val="00AA08E7"/>
    <w:rsid w:val="00AA0A06"/>
    <w:rsid w:val="00AA1351"/>
    <w:rsid w:val="00AA1859"/>
    <w:rsid w:val="00AA1C84"/>
    <w:rsid w:val="00AA1FDA"/>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379"/>
    <w:rsid w:val="00AC484F"/>
    <w:rsid w:val="00AC4A42"/>
    <w:rsid w:val="00AC4B20"/>
    <w:rsid w:val="00AC4D8F"/>
    <w:rsid w:val="00AC56F2"/>
    <w:rsid w:val="00AC5B83"/>
    <w:rsid w:val="00AC6886"/>
    <w:rsid w:val="00AC71C3"/>
    <w:rsid w:val="00AD0DA5"/>
    <w:rsid w:val="00AD1499"/>
    <w:rsid w:val="00AD197A"/>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BE0"/>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0CC"/>
    <w:rsid w:val="00B4046F"/>
    <w:rsid w:val="00B40B47"/>
    <w:rsid w:val="00B40C0B"/>
    <w:rsid w:val="00B41D39"/>
    <w:rsid w:val="00B422C0"/>
    <w:rsid w:val="00B426CA"/>
    <w:rsid w:val="00B426E1"/>
    <w:rsid w:val="00B4298E"/>
    <w:rsid w:val="00B42B61"/>
    <w:rsid w:val="00B43139"/>
    <w:rsid w:val="00B437F8"/>
    <w:rsid w:val="00B4387A"/>
    <w:rsid w:val="00B43FAD"/>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651"/>
    <w:rsid w:val="00B62880"/>
    <w:rsid w:val="00B63872"/>
    <w:rsid w:val="00B63B64"/>
    <w:rsid w:val="00B63CB2"/>
    <w:rsid w:val="00B63F51"/>
    <w:rsid w:val="00B6416D"/>
    <w:rsid w:val="00B64246"/>
    <w:rsid w:val="00B64EDB"/>
    <w:rsid w:val="00B65379"/>
    <w:rsid w:val="00B654D3"/>
    <w:rsid w:val="00B65938"/>
    <w:rsid w:val="00B65B48"/>
    <w:rsid w:val="00B65BBE"/>
    <w:rsid w:val="00B65C8A"/>
    <w:rsid w:val="00B65CE2"/>
    <w:rsid w:val="00B65CED"/>
    <w:rsid w:val="00B660AD"/>
    <w:rsid w:val="00B66109"/>
    <w:rsid w:val="00B66349"/>
    <w:rsid w:val="00B67630"/>
    <w:rsid w:val="00B67FBF"/>
    <w:rsid w:val="00B7024E"/>
    <w:rsid w:val="00B71FA7"/>
    <w:rsid w:val="00B72110"/>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335"/>
    <w:rsid w:val="00B80C72"/>
    <w:rsid w:val="00B81964"/>
    <w:rsid w:val="00B81E0A"/>
    <w:rsid w:val="00B81E6F"/>
    <w:rsid w:val="00B82123"/>
    <w:rsid w:val="00B8225B"/>
    <w:rsid w:val="00B82BB5"/>
    <w:rsid w:val="00B83182"/>
    <w:rsid w:val="00B83811"/>
    <w:rsid w:val="00B83B09"/>
    <w:rsid w:val="00B84684"/>
    <w:rsid w:val="00B84866"/>
    <w:rsid w:val="00B848DF"/>
    <w:rsid w:val="00B851E4"/>
    <w:rsid w:val="00B854CE"/>
    <w:rsid w:val="00B85681"/>
    <w:rsid w:val="00B857EB"/>
    <w:rsid w:val="00B86162"/>
    <w:rsid w:val="00B86877"/>
    <w:rsid w:val="00B8695D"/>
    <w:rsid w:val="00B86977"/>
    <w:rsid w:val="00B86D58"/>
    <w:rsid w:val="00B86E5D"/>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434"/>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955"/>
    <w:rsid w:val="00C06CCF"/>
    <w:rsid w:val="00C108B8"/>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D8A"/>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449"/>
    <w:rsid w:val="00C309E8"/>
    <w:rsid w:val="00C31846"/>
    <w:rsid w:val="00C32017"/>
    <w:rsid w:val="00C325CD"/>
    <w:rsid w:val="00C3322E"/>
    <w:rsid w:val="00C33268"/>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91"/>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36"/>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187"/>
    <w:rsid w:val="00C97684"/>
    <w:rsid w:val="00CA0031"/>
    <w:rsid w:val="00CA0413"/>
    <w:rsid w:val="00CA043A"/>
    <w:rsid w:val="00CA04F8"/>
    <w:rsid w:val="00CA0D61"/>
    <w:rsid w:val="00CA1691"/>
    <w:rsid w:val="00CA2314"/>
    <w:rsid w:val="00CA2E65"/>
    <w:rsid w:val="00CA2EA1"/>
    <w:rsid w:val="00CA375F"/>
    <w:rsid w:val="00CA41E7"/>
    <w:rsid w:val="00CA4B2B"/>
    <w:rsid w:val="00CA5520"/>
    <w:rsid w:val="00CA5812"/>
    <w:rsid w:val="00CA5BD4"/>
    <w:rsid w:val="00CA5C14"/>
    <w:rsid w:val="00CA76FC"/>
    <w:rsid w:val="00CA7E7B"/>
    <w:rsid w:val="00CB0236"/>
    <w:rsid w:val="00CB0A07"/>
    <w:rsid w:val="00CB1324"/>
    <w:rsid w:val="00CB19E3"/>
    <w:rsid w:val="00CB2C3A"/>
    <w:rsid w:val="00CB2D38"/>
    <w:rsid w:val="00CB353F"/>
    <w:rsid w:val="00CB365A"/>
    <w:rsid w:val="00CB3705"/>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0731"/>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DF4"/>
    <w:rsid w:val="00D00F79"/>
    <w:rsid w:val="00D012BF"/>
    <w:rsid w:val="00D01760"/>
    <w:rsid w:val="00D0368E"/>
    <w:rsid w:val="00D03D2D"/>
    <w:rsid w:val="00D03E7B"/>
    <w:rsid w:val="00D0401A"/>
    <w:rsid w:val="00D04750"/>
    <w:rsid w:val="00D047E0"/>
    <w:rsid w:val="00D04B9F"/>
    <w:rsid w:val="00D04FFB"/>
    <w:rsid w:val="00D05153"/>
    <w:rsid w:val="00D055E5"/>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4F2C"/>
    <w:rsid w:val="00D15356"/>
    <w:rsid w:val="00D15431"/>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27DE5"/>
    <w:rsid w:val="00D30418"/>
    <w:rsid w:val="00D312DC"/>
    <w:rsid w:val="00D31B84"/>
    <w:rsid w:val="00D31C6A"/>
    <w:rsid w:val="00D31EDF"/>
    <w:rsid w:val="00D31FF9"/>
    <w:rsid w:val="00D32149"/>
    <w:rsid w:val="00D32256"/>
    <w:rsid w:val="00D32A27"/>
    <w:rsid w:val="00D32ABC"/>
    <w:rsid w:val="00D32EDE"/>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5FED"/>
    <w:rsid w:val="00D4636B"/>
    <w:rsid w:val="00D466C9"/>
    <w:rsid w:val="00D467D8"/>
    <w:rsid w:val="00D47275"/>
    <w:rsid w:val="00D4750C"/>
    <w:rsid w:val="00D4767B"/>
    <w:rsid w:val="00D50AEF"/>
    <w:rsid w:val="00D50C39"/>
    <w:rsid w:val="00D51E15"/>
    <w:rsid w:val="00D52B7E"/>
    <w:rsid w:val="00D52E2F"/>
    <w:rsid w:val="00D52F59"/>
    <w:rsid w:val="00D5328F"/>
    <w:rsid w:val="00D53E3E"/>
    <w:rsid w:val="00D55279"/>
    <w:rsid w:val="00D55904"/>
    <w:rsid w:val="00D5616F"/>
    <w:rsid w:val="00D56724"/>
    <w:rsid w:val="00D57550"/>
    <w:rsid w:val="00D575A1"/>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883"/>
    <w:rsid w:val="00D67BC7"/>
    <w:rsid w:val="00D701F1"/>
    <w:rsid w:val="00D705D3"/>
    <w:rsid w:val="00D7088A"/>
    <w:rsid w:val="00D70E00"/>
    <w:rsid w:val="00D71014"/>
    <w:rsid w:val="00D7159C"/>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3EA"/>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4C96"/>
    <w:rsid w:val="00D95145"/>
    <w:rsid w:val="00D96418"/>
    <w:rsid w:val="00D967CB"/>
    <w:rsid w:val="00D96EE0"/>
    <w:rsid w:val="00D97BD1"/>
    <w:rsid w:val="00DA06B8"/>
    <w:rsid w:val="00DA286D"/>
    <w:rsid w:val="00DA2969"/>
    <w:rsid w:val="00DA29B7"/>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5B2"/>
    <w:rsid w:val="00DB7760"/>
    <w:rsid w:val="00DB7CF6"/>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C7CE5"/>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9A7"/>
    <w:rsid w:val="00DF5D32"/>
    <w:rsid w:val="00DF651F"/>
    <w:rsid w:val="00DF6E10"/>
    <w:rsid w:val="00DF6F43"/>
    <w:rsid w:val="00DF752F"/>
    <w:rsid w:val="00DF76A2"/>
    <w:rsid w:val="00DF7B33"/>
    <w:rsid w:val="00E00B7A"/>
    <w:rsid w:val="00E01D90"/>
    <w:rsid w:val="00E02186"/>
    <w:rsid w:val="00E026BB"/>
    <w:rsid w:val="00E027C5"/>
    <w:rsid w:val="00E03124"/>
    <w:rsid w:val="00E031EB"/>
    <w:rsid w:val="00E03951"/>
    <w:rsid w:val="00E03DB8"/>
    <w:rsid w:val="00E0466B"/>
    <w:rsid w:val="00E051ED"/>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27"/>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03E0"/>
    <w:rsid w:val="00E81653"/>
    <w:rsid w:val="00E823F9"/>
    <w:rsid w:val="00E82C1F"/>
    <w:rsid w:val="00E82EEA"/>
    <w:rsid w:val="00E831A8"/>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0D0"/>
    <w:rsid w:val="00E95434"/>
    <w:rsid w:val="00E96467"/>
    <w:rsid w:val="00E966DA"/>
    <w:rsid w:val="00E96948"/>
    <w:rsid w:val="00E9737B"/>
    <w:rsid w:val="00E97A3F"/>
    <w:rsid w:val="00E97F0A"/>
    <w:rsid w:val="00EA0100"/>
    <w:rsid w:val="00EA010D"/>
    <w:rsid w:val="00EA04DC"/>
    <w:rsid w:val="00EA0825"/>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28E"/>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316"/>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238"/>
    <w:rsid w:val="00F227B8"/>
    <w:rsid w:val="00F23113"/>
    <w:rsid w:val="00F23255"/>
    <w:rsid w:val="00F23393"/>
    <w:rsid w:val="00F23759"/>
    <w:rsid w:val="00F239D4"/>
    <w:rsid w:val="00F23B3E"/>
    <w:rsid w:val="00F23CB5"/>
    <w:rsid w:val="00F245A1"/>
    <w:rsid w:val="00F24644"/>
    <w:rsid w:val="00F24ABF"/>
    <w:rsid w:val="00F256FD"/>
    <w:rsid w:val="00F259F1"/>
    <w:rsid w:val="00F26A2A"/>
    <w:rsid w:val="00F26F33"/>
    <w:rsid w:val="00F27E74"/>
    <w:rsid w:val="00F300A8"/>
    <w:rsid w:val="00F30265"/>
    <w:rsid w:val="00F30400"/>
    <w:rsid w:val="00F3079E"/>
    <w:rsid w:val="00F325CA"/>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2DF3"/>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483"/>
    <w:rsid w:val="00F565E6"/>
    <w:rsid w:val="00F56AFA"/>
    <w:rsid w:val="00F575E2"/>
    <w:rsid w:val="00F579FF"/>
    <w:rsid w:val="00F600E0"/>
    <w:rsid w:val="00F600FD"/>
    <w:rsid w:val="00F605EC"/>
    <w:rsid w:val="00F60F60"/>
    <w:rsid w:val="00F612CE"/>
    <w:rsid w:val="00F6206F"/>
    <w:rsid w:val="00F624A7"/>
    <w:rsid w:val="00F62AB6"/>
    <w:rsid w:val="00F63984"/>
    <w:rsid w:val="00F650A2"/>
    <w:rsid w:val="00F65A3C"/>
    <w:rsid w:val="00F66282"/>
    <w:rsid w:val="00F67D8B"/>
    <w:rsid w:val="00F70961"/>
    <w:rsid w:val="00F70A8F"/>
    <w:rsid w:val="00F70F18"/>
    <w:rsid w:val="00F71397"/>
    <w:rsid w:val="00F719E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0D5"/>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4D40"/>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057E"/>
    <w:rsid w:val="00FB12E3"/>
    <w:rsid w:val="00FB1570"/>
    <w:rsid w:val="00FB193B"/>
    <w:rsid w:val="00FB1FBC"/>
    <w:rsid w:val="00FB27B7"/>
    <w:rsid w:val="00FB2C36"/>
    <w:rsid w:val="00FB3444"/>
    <w:rsid w:val="00FB3483"/>
    <w:rsid w:val="00FB35E3"/>
    <w:rsid w:val="00FB4D3F"/>
    <w:rsid w:val="00FB583C"/>
    <w:rsid w:val="00FB5D1D"/>
    <w:rsid w:val="00FB61D1"/>
    <w:rsid w:val="00FB630E"/>
    <w:rsid w:val="00FB6738"/>
    <w:rsid w:val="00FB691B"/>
    <w:rsid w:val="00FB731C"/>
    <w:rsid w:val="00FB7DF8"/>
    <w:rsid w:val="00FC05A0"/>
    <w:rsid w:val="00FC0811"/>
    <w:rsid w:val="00FC1196"/>
    <w:rsid w:val="00FC15EB"/>
    <w:rsid w:val="00FC18DC"/>
    <w:rsid w:val="00FC2AC4"/>
    <w:rsid w:val="00FC2D6D"/>
    <w:rsid w:val="00FC2D6F"/>
    <w:rsid w:val="00FC2F73"/>
    <w:rsid w:val="00FC32E1"/>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2B5"/>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1B2"/>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23"/>
    <w:rsid w:val="00FF5B59"/>
    <w:rsid w:val="00FF5BFD"/>
    <w:rsid w:val="00FF5C01"/>
    <w:rsid w:val="00FF5F9D"/>
    <w:rsid w:val="00FF6095"/>
    <w:rsid w:val="00FF62FE"/>
    <w:rsid w:val="00FF6553"/>
    <w:rsid w:val="00FF7134"/>
    <w:rsid w:val="00FF799B"/>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7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965F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 w:type="character" w:styleId="Hipervnculovisitado">
    <w:name w:val="FollowedHyperlink"/>
    <w:basedOn w:val="Fuentedeprrafopredeter"/>
    <w:uiPriority w:val="99"/>
    <w:semiHidden/>
    <w:unhideWhenUsed/>
    <w:rsid w:val="002D7970"/>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83692">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97429180">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704210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174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31798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3630613">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8106">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6703365">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1694152">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7613581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741548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260354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09755075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garantias.pdf" TargetMode="External"/><Relationship Id="rId2" Type="http://schemas.openxmlformats.org/officeDocument/2006/relationships/hyperlink" Target="https://www.colombiacompra.gov.co/sites/cce_public/files/cce_documents/cce_guia_liquidacion_procesos.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4DA4A218-3F6F-4B13-8381-2D16CA5E38FC}"/>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TotalTime>
  <Pages>20</Pages>
  <Words>7384</Words>
  <Characters>40617</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5</cp:revision>
  <cp:lastPrinted>2020-01-30T15:05:00Z</cp:lastPrinted>
  <dcterms:created xsi:type="dcterms:W3CDTF">2022-11-18T13:52:00Z</dcterms:created>
  <dcterms:modified xsi:type="dcterms:W3CDTF">2022-11-18T14:02:00Z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