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F8A8" w14:textId="77777777" w:rsidR="000D4F49" w:rsidRPr="00A42C60" w:rsidRDefault="000D4F49" w:rsidP="000D4F49">
      <w:pPr>
        <w:spacing w:after="0" w:line="240" w:lineRule="auto"/>
        <w:jc w:val="both"/>
        <w:rPr>
          <w:rFonts w:ascii="Arial" w:hAnsi="Arial" w:cs="Arial"/>
          <w:b/>
          <w:szCs w:val="24"/>
          <w:lang w:val="es-MX" w:eastAsia="es-ES_tradnl"/>
        </w:rPr>
      </w:pPr>
      <w:bookmarkStart w:id="0" w:name="_Hlk103947551"/>
      <w:r w:rsidRPr="00A42C60">
        <w:rPr>
          <w:rFonts w:ascii="Arial" w:hAnsi="Arial" w:cs="Arial"/>
          <w:b/>
          <w:szCs w:val="24"/>
          <w:lang w:val="es-MX" w:eastAsia="es-ES_tradnl"/>
        </w:rPr>
        <w:t>ADICIÓN – Concepto – Distintos supuestos – Prohibición – Adición en más del 50%</w:t>
      </w:r>
    </w:p>
    <w:p w14:paraId="3BB619C7" w14:textId="77777777" w:rsidR="000D4F49" w:rsidRPr="00A42C60" w:rsidRDefault="000D4F49" w:rsidP="000D4F49">
      <w:pPr>
        <w:spacing w:after="0" w:line="240" w:lineRule="auto"/>
        <w:jc w:val="both"/>
        <w:rPr>
          <w:rFonts w:ascii="Arial" w:hAnsi="Arial" w:cs="Arial"/>
          <w:b/>
          <w:szCs w:val="24"/>
          <w:lang w:val="es-MX" w:eastAsia="es-ES_tradnl"/>
        </w:rPr>
      </w:pPr>
    </w:p>
    <w:p w14:paraId="3DFF11C6" w14:textId="46F16F52" w:rsidR="00C73BDE" w:rsidRDefault="00C73BDE" w:rsidP="00C73BDE">
      <w:pPr>
        <w:spacing w:after="0" w:line="240" w:lineRule="auto"/>
        <w:jc w:val="both"/>
        <w:rPr>
          <w:rFonts w:ascii="Arial" w:hAnsi="Arial" w:cs="Arial"/>
          <w:bCs/>
          <w:sz w:val="20"/>
          <w:szCs w:val="20"/>
          <w:lang w:val="es-ES_tradnl" w:eastAsia="es-ES_tradnl"/>
        </w:rPr>
      </w:pPr>
      <w:r>
        <w:rPr>
          <w:rFonts w:ascii="Arial" w:hAnsi="Arial" w:cs="Arial"/>
          <w:bCs/>
          <w:sz w:val="20"/>
          <w:szCs w:val="20"/>
          <w:lang w:val="es-ES_tradnl" w:eastAsia="es-ES_tradnl"/>
        </w:rPr>
        <w:t>L</w:t>
      </w:r>
      <w:r w:rsidRPr="00C73BDE">
        <w:rPr>
          <w:rFonts w:ascii="Arial" w:hAnsi="Arial" w:cs="Arial"/>
          <w:bCs/>
          <w:sz w:val="20"/>
          <w:szCs w:val="20"/>
          <w:lang w:val="es-ES_tradnl" w:eastAsia="es-ES_tradnl"/>
        </w:rPr>
        <w:t xml:space="preserve">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sidRPr="00C73BDE">
        <w:rPr>
          <w:rFonts w:ascii="Arial" w:hAnsi="Arial" w:cs="Arial"/>
          <w:bCs/>
          <w:sz w:val="20"/>
          <w:szCs w:val="20"/>
          <w:lang w:val="es-ES_tradnl" w:eastAsia="es-ES_tradnl"/>
        </w:rPr>
        <w:t>ii</w:t>
      </w:r>
      <w:proofErr w:type="spellEnd"/>
      <w:r w:rsidRPr="00C73BDE">
        <w:rPr>
          <w:rFonts w:ascii="Arial" w:hAnsi="Arial" w:cs="Arial"/>
          <w:bCs/>
          <w:sz w:val="20"/>
          <w:szCs w:val="20"/>
          <w:lang w:val="es-ES_tradnl" w:eastAsia="es-ES_tradnl"/>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r w:rsidRPr="00A42C60">
        <w:rPr>
          <w:rFonts w:ascii="Arial" w:hAnsi="Arial" w:cs="Arial"/>
          <w:sz w:val="20"/>
          <w:szCs w:val="20"/>
          <w:lang w:val="es-ES_tradnl" w:eastAsia="es-ES_tradnl"/>
        </w:rPr>
        <w:t>[…]</w:t>
      </w:r>
    </w:p>
    <w:p w14:paraId="0944B7B1" w14:textId="77777777" w:rsidR="00C73BDE" w:rsidRPr="00C73BDE" w:rsidRDefault="00C73BDE" w:rsidP="00C73BDE">
      <w:pPr>
        <w:spacing w:after="0" w:line="240" w:lineRule="auto"/>
        <w:jc w:val="both"/>
        <w:rPr>
          <w:rFonts w:ascii="Arial" w:hAnsi="Arial" w:cs="Arial"/>
          <w:bCs/>
          <w:sz w:val="20"/>
          <w:szCs w:val="20"/>
          <w:lang w:val="es-ES_tradnl" w:eastAsia="es-ES_tradnl"/>
        </w:rPr>
      </w:pPr>
    </w:p>
    <w:p w14:paraId="569931F6" w14:textId="7D59B22A" w:rsidR="00C73BDE" w:rsidRDefault="00C73BDE" w:rsidP="00C73BDE">
      <w:pPr>
        <w:spacing w:after="0" w:line="240" w:lineRule="auto"/>
        <w:jc w:val="both"/>
        <w:rPr>
          <w:rFonts w:ascii="Arial" w:hAnsi="Arial" w:cs="Arial"/>
          <w:bCs/>
          <w:sz w:val="20"/>
          <w:szCs w:val="20"/>
          <w:lang w:val="es-ES_tradnl" w:eastAsia="es-ES_tradnl"/>
        </w:rPr>
      </w:pPr>
      <w:r w:rsidRPr="00C73BDE">
        <w:rPr>
          <w:rFonts w:ascii="Arial" w:hAnsi="Arial" w:cs="Arial"/>
          <w:bCs/>
          <w:sz w:val="20"/>
          <w:szCs w:val="20"/>
          <w:lang w:val="es-MX" w:eastAsia="es-ES_tradnl"/>
        </w:rPr>
        <w:t>No obstante, la expresión «contrato adicional» al igual que las otras nociones doctrinarias y jurisprudenciales arriba señaladas entre comillas son de uso común en la práctica contractual por las entidades estatales. Lo importante en relación con las mismas, tal como se ha resaltado por esta Agencia en oportunidades anteriores, es que frente a cualquier incremento del valor inicial del contrato, que implica una adición, por cualquiera de los dos supuestos señalados previamente, e independientemente del nombre que se le dé al acuerdo, aplica el límite previsto en el parágrafo del artículo 40 de la Ley 80 de 1993.</w:t>
      </w:r>
      <w:r w:rsidRPr="00C73BDE">
        <w:rPr>
          <w:rFonts w:ascii="Arial" w:hAnsi="Arial" w:cs="Arial"/>
          <w:bCs/>
          <w:sz w:val="20"/>
          <w:szCs w:val="20"/>
          <w:lang w:val="es-ES_tradnl" w:eastAsia="es-ES_tradnl"/>
        </w:rPr>
        <w:t>: «Los contratos no podrán adicionarse en más del cincuenta por ciento (50%) de su valor inicial, expresado éste en salarios mínimos legales mensuales»</w:t>
      </w:r>
    </w:p>
    <w:p w14:paraId="454A4C66" w14:textId="77777777" w:rsidR="000D4F49" w:rsidRPr="00A42C60" w:rsidRDefault="000D4F49" w:rsidP="000D4F49">
      <w:pPr>
        <w:spacing w:after="0" w:line="240" w:lineRule="auto"/>
        <w:jc w:val="both"/>
        <w:rPr>
          <w:rFonts w:ascii="Arial" w:hAnsi="Arial" w:cs="Arial"/>
          <w:b/>
          <w:szCs w:val="24"/>
          <w:lang w:val="es-MX" w:eastAsia="es-ES_tradnl"/>
        </w:rPr>
      </w:pPr>
    </w:p>
    <w:p w14:paraId="4E61C02B" w14:textId="493342CE" w:rsidR="000D4F49" w:rsidRPr="00A42C60" w:rsidRDefault="000D4F49" w:rsidP="000D4F49">
      <w:pPr>
        <w:spacing w:after="0" w:line="240" w:lineRule="auto"/>
        <w:jc w:val="both"/>
        <w:rPr>
          <w:rFonts w:ascii="Arial" w:hAnsi="Arial" w:cs="Arial"/>
          <w:b/>
          <w:bCs/>
          <w:szCs w:val="24"/>
          <w:lang w:val="es-MX" w:eastAsia="es-ES_tradnl"/>
        </w:rPr>
      </w:pPr>
      <w:r w:rsidRPr="00A42C60">
        <w:rPr>
          <w:rFonts w:ascii="Arial" w:hAnsi="Arial" w:cs="Arial"/>
          <w:b/>
          <w:bCs/>
          <w:szCs w:val="24"/>
          <w:lang w:val="es-MX" w:eastAsia="es-ES_tradnl"/>
        </w:rPr>
        <w:t>ADICI</w:t>
      </w:r>
      <w:r w:rsidR="004B424F" w:rsidRPr="00A42C60">
        <w:rPr>
          <w:rFonts w:ascii="Arial" w:hAnsi="Arial" w:cs="Arial"/>
          <w:b/>
          <w:bCs/>
          <w:szCs w:val="24"/>
          <w:lang w:val="es-MX" w:eastAsia="es-ES_tradnl"/>
        </w:rPr>
        <w:t>Ó</w:t>
      </w:r>
      <w:r w:rsidRPr="00A42C60">
        <w:rPr>
          <w:rFonts w:ascii="Arial" w:hAnsi="Arial" w:cs="Arial"/>
          <w:b/>
          <w:bCs/>
          <w:szCs w:val="24"/>
          <w:lang w:val="es-MX" w:eastAsia="es-ES_tradnl"/>
        </w:rPr>
        <w:t xml:space="preserve">N – Prohibición – Monto – Cálculo – Parágrafo artículo 40 – Ley 80 de 1993 </w:t>
      </w:r>
    </w:p>
    <w:p w14:paraId="171606AB" w14:textId="77777777" w:rsidR="000D4F49" w:rsidRPr="00A42C60" w:rsidRDefault="000D4F49" w:rsidP="000D4F49">
      <w:pPr>
        <w:spacing w:after="0" w:line="240" w:lineRule="auto"/>
        <w:jc w:val="both"/>
        <w:rPr>
          <w:rFonts w:ascii="Arial" w:hAnsi="Arial" w:cs="Arial"/>
          <w:b/>
          <w:szCs w:val="24"/>
          <w:lang w:val="es-MX" w:eastAsia="es-ES_tradnl"/>
        </w:rPr>
      </w:pPr>
    </w:p>
    <w:p w14:paraId="5C748AB1" w14:textId="6DDAE38E" w:rsidR="00C73BDE" w:rsidRPr="00C73BDE" w:rsidRDefault="00C73BDE" w:rsidP="00C73BDE">
      <w:pPr>
        <w:spacing w:after="0" w:line="240" w:lineRule="auto"/>
        <w:jc w:val="both"/>
        <w:rPr>
          <w:rFonts w:ascii="Arial" w:hAnsi="Arial" w:cs="Arial"/>
          <w:bCs/>
          <w:sz w:val="20"/>
          <w:szCs w:val="20"/>
          <w:lang w:eastAsia="es-ES_tradnl"/>
        </w:rPr>
      </w:pPr>
      <w:r w:rsidRPr="00C73BDE">
        <w:rPr>
          <w:rFonts w:ascii="Arial" w:hAnsi="Arial" w:cs="Arial"/>
          <w:bCs/>
          <w:sz w:val="20"/>
          <w:szCs w:val="20"/>
          <w:lang w:val="es-ES_tradnl" w:eastAsia="es-ES_tradnl"/>
        </w:rPr>
        <w:t>Dicha norma además de consagrar una prohibición trae implícita una autorización, consistente en la posibilidad de adicionar los contratos estatales, siempre que no se supere el tope establecido.</w:t>
      </w:r>
      <w:r w:rsidRPr="00C73BDE">
        <w:rPr>
          <w:rFonts w:ascii="Arial" w:hAnsi="Arial" w:cs="Arial"/>
          <w:bCs/>
          <w:sz w:val="20"/>
          <w:szCs w:val="20"/>
          <w:lang w:eastAsia="es-ES_tradnl"/>
        </w:rPr>
        <w:t xml:space="preserve">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 </w:t>
      </w:r>
      <w:r w:rsidRPr="00C73BDE">
        <w:rPr>
          <w:rFonts w:ascii="Arial" w:hAnsi="Arial" w:cs="Arial"/>
          <w:bCs/>
          <w:sz w:val="20"/>
          <w:szCs w:val="20"/>
          <w:lang w:val="es-ES_tradnl" w:eastAsia="es-ES_tradnl"/>
        </w:rPr>
        <w:t xml:space="preserve">Ahora bien, para determinar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r w:rsidRPr="00C73BDE">
        <w:rPr>
          <w:rFonts w:ascii="Arial" w:hAnsi="Arial" w:cs="Arial"/>
          <w:bCs/>
          <w:sz w:val="20"/>
          <w:szCs w:val="20"/>
          <w:lang w:eastAsia="es-ES_tradnl"/>
        </w:rPr>
        <w:t xml:space="preserve">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y luego dividirlo por dos.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 </w:t>
      </w:r>
    </w:p>
    <w:p w14:paraId="247798D3" w14:textId="77777777" w:rsidR="00C73BDE" w:rsidRDefault="00C73BDE" w:rsidP="004B424F">
      <w:pPr>
        <w:spacing w:after="0" w:line="240" w:lineRule="auto"/>
        <w:jc w:val="both"/>
        <w:rPr>
          <w:rFonts w:ascii="Arial" w:hAnsi="Arial" w:cs="Arial"/>
          <w:bCs/>
          <w:sz w:val="20"/>
          <w:szCs w:val="20"/>
          <w:lang w:val="es-MX" w:eastAsia="es-ES_tradnl"/>
        </w:rPr>
      </w:pPr>
    </w:p>
    <w:p w14:paraId="66DE3F9C" w14:textId="06E9C1AB" w:rsidR="000D4F49" w:rsidRPr="00A42C60" w:rsidRDefault="000D4F49" w:rsidP="000D4F49">
      <w:pPr>
        <w:spacing w:after="0" w:line="240" w:lineRule="auto"/>
        <w:jc w:val="both"/>
        <w:rPr>
          <w:rFonts w:ascii="Arial" w:hAnsi="Arial" w:cs="Arial"/>
          <w:b/>
          <w:bCs/>
          <w:szCs w:val="24"/>
          <w:lang w:val="es-MX" w:eastAsia="es-ES_tradnl"/>
        </w:rPr>
      </w:pPr>
      <w:r w:rsidRPr="00A42C60">
        <w:rPr>
          <w:rFonts w:ascii="Arial" w:hAnsi="Arial" w:cs="Arial"/>
          <w:b/>
          <w:bCs/>
          <w:szCs w:val="24"/>
          <w:lang w:val="es-MX" w:eastAsia="es-ES_tradnl"/>
        </w:rPr>
        <w:t>ADICI</w:t>
      </w:r>
      <w:r w:rsidR="004B424F" w:rsidRPr="00A42C60">
        <w:rPr>
          <w:rFonts w:ascii="Arial" w:hAnsi="Arial" w:cs="Arial"/>
          <w:b/>
          <w:bCs/>
          <w:szCs w:val="24"/>
          <w:lang w:val="es-MX" w:eastAsia="es-ES_tradnl"/>
        </w:rPr>
        <w:t>Ó</w:t>
      </w:r>
      <w:r w:rsidRPr="00A42C60">
        <w:rPr>
          <w:rFonts w:ascii="Arial" w:hAnsi="Arial" w:cs="Arial"/>
          <w:b/>
          <w:bCs/>
          <w:szCs w:val="24"/>
          <w:lang w:val="es-MX" w:eastAsia="es-ES_tradnl"/>
        </w:rPr>
        <w:t xml:space="preserve">N – Mayores cantidades – Límites – Posturas </w:t>
      </w:r>
    </w:p>
    <w:p w14:paraId="7040F44F" w14:textId="06E96BFF" w:rsidR="000D4F49" w:rsidRPr="00A42C60" w:rsidRDefault="000D4F49" w:rsidP="000D4F49">
      <w:pPr>
        <w:spacing w:after="0" w:line="240" w:lineRule="auto"/>
        <w:jc w:val="both"/>
        <w:rPr>
          <w:rFonts w:ascii="Arial" w:hAnsi="Arial" w:cs="Arial"/>
          <w:b/>
          <w:bCs/>
          <w:szCs w:val="24"/>
          <w:lang w:val="es-MX" w:eastAsia="es-ES_tradnl"/>
        </w:rPr>
      </w:pPr>
    </w:p>
    <w:p w14:paraId="43E0BB53" w14:textId="49FDF6BF" w:rsidR="000D4F49" w:rsidRPr="00A42C60" w:rsidRDefault="000D4F49" w:rsidP="004B424F">
      <w:pPr>
        <w:spacing w:after="0" w:line="240" w:lineRule="auto"/>
        <w:jc w:val="both"/>
        <w:rPr>
          <w:rFonts w:ascii="Arial" w:hAnsi="Arial" w:cs="Arial"/>
          <w:sz w:val="20"/>
          <w:szCs w:val="20"/>
          <w:lang w:val="es-ES_tradnl" w:eastAsia="es-ES_tradnl"/>
        </w:rPr>
      </w:pPr>
      <w:r w:rsidRPr="00A42C60">
        <w:rPr>
          <w:rFonts w:ascii="Arial" w:hAnsi="Arial" w:cs="Arial"/>
          <w:szCs w:val="24"/>
          <w:lang w:val="es-MX" w:eastAsia="es-ES_tradnl"/>
        </w:rPr>
        <w:t>L</w:t>
      </w:r>
      <w:r w:rsidRPr="00A42C60">
        <w:rPr>
          <w:rFonts w:ascii="Arial" w:hAnsi="Arial" w:cs="Arial"/>
          <w:sz w:val="20"/>
          <w:szCs w:val="20"/>
          <w:lang w:val="es-MX" w:eastAsia="es-ES_tradnl"/>
        </w:rPr>
        <w:t xml:space="preserve">a primera postura, que fue señalada por la Sala de Consulta y Servicio Civil del Consejo de Estado, y adoptada por el Consejo de Estado en otros pronunciamientos, parte de considerar que solo hay </w:t>
      </w:r>
      <w:r w:rsidRPr="00A42C60">
        <w:rPr>
          <w:rFonts w:ascii="Arial" w:hAnsi="Arial" w:cs="Arial"/>
          <w:sz w:val="20"/>
          <w:szCs w:val="20"/>
          <w:lang w:val="es-MX" w:eastAsia="es-ES_tradnl"/>
        </w:rPr>
        <w:lastRenderedPageBreak/>
        <w:t xml:space="preserve">lugar a la celebración de un contrato adicional, y por tanto que se encuentre sometido al parágrafo del artículo 40 de la Ley 80 de 1993, cuando se trate de adicionar una obra u actividad que no estaba contemplada en el alcance inicial del contrato. 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w:t>
      </w:r>
      <w:r w:rsidRPr="00A42C60">
        <w:rPr>
          <w:rFonts w:ascii="Arial" w:hAnsi="Arial" w:cs="Arial"/>
          <w:sz w:val="20"/>
          <w:szCs w:val="20"/>
          <w:lang w:val="es-ES_tradnl" w:eastAsia="es-ES_tradnl"/>
        </w:rPr>
        <w:t>[…]</w:t>
      </w:r>
    </w:p>
    <w:p w14:paraId="2EEFEA8F" w14:textId="77777777" w:rsidR="004B424F" w:rsidRPr="00A42C60" w:rsidRDefault="004B424F" w:rsidP="004B424F">
      <w:pPr>
        <w:spacing w:after="0" w:line="240" w:lineRule="auto"/>
        <w:jc w:val="both"/>
        <w:rPr>
          <w:rFonts w:ascii="Arial" w:hAnsi="Arial" w:cs="Arial"/>
          <w:sz w:val="20"/>
          <w:szCs w:val="20"/>
          <w:lang w:val="es-ES_tradnl" w:eastAsia="es-ES_tradnl"/>
        </w:rPr>
      </w:pPr>
    </w:p>
    <w:p w14:paraId="6E3591F5" w14:textId="4926CC03" w:rsidR="000D4F49" w:rsidRPr="00A42C60" w:rsidRDefault="004B424F" w:rsidP="004B424F">
      <w:pPr>
        <w:spacing w:after="0" w:line="240" w:lineRule="auto"/>
        <w:jc w:val="both"/>
        <w:rPr>
          <w:rFonts w:ascii="Arial" w:hAnsi="Arial" w:cs="Arial"/>
          <w:sz w:val="20"/>
          <w:szCs w:val="20"/>
          <w:lang w:val="es-MX" w:eastAsia="es-ES_tradnl"/>
        </w:rPr>
      </w:pPr>
      <w:r w:rsidRPr="00A42C60">
        <w:rPr>
          <w:rFonts w:ascii="Arial" w:hAnsi="Arial" w:cs="Arial"/>
          <w:sz w:val="20"/>
          <w:szCs w:val="20"/>
          <w:lang w:val="es-MX" w:eastAsia="es-ES_tradnl"/>
        </w:rPr>
        <w:t xml:space="preserve">La otra postura, defendida por otra parte de la doctrina, y que es la que sostiene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w:t>
      </w:r>
      <w:r w:rsidRPr="00A42C60">
        <w:rPr>
          <w:rFonts w:ascii="Arial" w:hAnsi="Arial" w:cs="Arial" w:hint="eastAsia"/>
          <w:sz w:val="20"/>
          <w:szCs w:val="20"/>
          <w:lang w:val="es-MX" w:eastAsia="es-ES_tradnl"/>
        </w:rPr>
        <w:t>―</w:t>
      </w:r>
      <w:r w:rsidRPr="00A42C60">
        <w:rPr>
          <w:rFonts w:ascii="Arial" w:hAnsi="Arial" w:cs="Arial"/>
          <w:sz w:val="20"/>
          <w:szCs w:val="20"/>
          <w:lang w:val="es-MX" w:eastAsia="es-ES_tradnl"/>
        </w:rPr>
        <w:t>que será un contrato</w:t>
      </w:r>
      <w:r w:rsidRPr="00A42C60">
        <w:rPr>
          <w:rFonts w:ascii="Arial" w:hAnsi="Arial" w:cs="Arial" w:hint="eastAsia"/>
          <w:sz w:val="20"/>
          <w:szCs w:val="20"/>
          <w:lang w:val="es-MX" w:eastAsia="es-ES_tradnl"/>
        </w:rPr>
        <w:t>―</w:t>
      </w:r>
      <w:r w:rsidRPr="00A42C60">
        <w:rPr>
          <w:rFonts w:ascii="Arial" w:hAnsi="Arial" w:cs="Arial"/>
          <w:sz w:val="20"/>
          <w:szCs w:val="20"/>
          <w:lang w:val="es-MX" w:eastAsia="es-ES_tradnl"/>
        </w:rPr>
        <w:t xml:space="preserve">, independientemente del nombre que se le dé y que necesariamente se someterá a la norma prohibitiva, salvo norma especial que excepcione la regla general. </w:t>
      </w:r>
    </w:p>
    <w:p w14:paraId="2EB4BDB3" w14:textId="77777777" w:rsidR="000D4F49" w:rsidRPr="00A42C60" w:rsidRDefault="000D4F49" w:rsidP="000D4F49">
      <w:pPr>
        <w:spacing w:after="0" w:line="240" w:lineRule="auto"/>
        <w:jc w:val="both"/>
        <w:rPr>
          <w:rFonts w:ascii="Arial" w:hAnsi="Arial" w:cs="Arial"/>
          <w:b/>
          <w:szCs w:val="24"/>
          <w:lang w:val="es-ES_tradnl" w:eastAsia="es-ES_tradnl"/>
        </w:rPr>
      </w:pPr>
    </w:p>
    <w:p w14:paraId="36F9831D" w14:textId="77777777" w:rsidR="004B424F" w:rsidRPr="00A42C60" w:rsidRDefault="004B424F" w:rsidP="004B424F">
      <w:pPr>
        <w:spacing w:after="0" w:line="240" w:lineRule="auto"/>
        <w:jc w:val="both"/>
        <w:rPr>
          <w:rFonts w:ascii="Arial" w:hAnsi="Arial" w:cs="Arial"/>
          <w:b/>
          <w:szCs w:val="24"/>
          <w:lang w:val="es-ES_tradnl" w:eastAsia="es-ES_tradnl" w:bidi="es-ES"/>
        </w:rPr>
      </w:pPr>
      <w:r w:rsidRPr="00A42C60">
        <w:rPr>
          <w:rFonts w:ascii="Arial" w:hAnsi="Arial" w:cs="Arial"/>
          <w:b/>
          <w:szCs w:val="24"/>
          <w:lang w:val="es-ES_tradnl" w:eastAsia="es-ES_tradnl" w:bidi="es-ES"/>
        </w:rPr>
        <w:t>MODIFICACION DE LOS CONTRATOS ESTATALES – Procedencia – Límites</w:t>
      </w:r>
    </w:p>
    <w:p w14:paraId="1D27D1B2" w14:textId="77777777" w:rsidR="004B424F" w:rsidRPr="00A42C60" w:rsidRDefault="004B424F" w:rsidP="004B424F">
      <w:pPr>
        <w:spacing w:after="0" w:line="240" w:lineRule="auto"/>
        <w:jc w:val="both"/>
        <w:rPr>
          <w:rFonts w:ascii="Arial" w:hAnsi="Arial" w:cs="Arial"/>
          <w:b/>
          <w:szCs w:val="24"/>
          <w:lang w:val="es-MX" w:eastAsia="es-ES_tradnl"/>
        </w:rPr>
      </w:pPr>
    </w:p>
    <w:p w14:paraId="1BA44B32" w14:textId="77777777" w:rsidR="004B424F" w:rsidRPr="00A42C60" w:rsidRDefault="004B424F" w:rsidP="00C73BDE">
      <w:pPr>
        <w:spacing w:after="0" w:line="240" w:lineRule="auto"/>
        <w:jc w:val="both"/>
        <w:rPr>
          <w:rFonts w:ascii="Arial" w:hAnsi="Arial" w:cs="Arial"/>
          <w:bCs/>
          <w:sz w:val="20"/>
          <w:szCs w:val="20"/>
          <w:lang w:val="es-ES_tradnl" w:eastAsia="es-ES_tradnl" w:bidi="es-ES"/>
        </w:rPr>
      </w:pPr>
      <w:r w:rsidRPr="00A42C60">
        <w:rPr>
          <w:rFonts w:ascii="Arial" w:hAnsi="Arial" w:cs="Arial"/>
          <w:bCs/>
          <w:sz w:val="20"/>
          <w:szCs w:val="20"/>
          <w:lang w:val="es-ES_tradnl" w:eastAsia="es-ES_tradnl" w:bidi="es-ES"/>
        </w:rPr>
        <w:t xml:space="preserve">Conforme a la regulación legal y a la interpretación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p>
    <w:p w14:paraId="74B704EE" w14:textId="42928D14" w:rsidR="00FB186E" w:rsidRPr="00A42C60" w:rsidRDefault="00FB186E" w:rsidP="00C73BDE">
      <w:pPr>
        <w:spacing w:after="0" w:line="240" w:lineRule="auto"/>
        <w:jc w:val="both"/>
        <w:rPr>
          <w:rFonts w:ascii="Arial" w:hAnsi="Arial" w:cs="Arial"/>
          <w:b/>
          <w:szCs w:val="24"/>
          <w:lang w:val="es-ES_tradnl" w:eastAsia="es-ES_tradnl"/>
        </w:rPr>
      </w:pPr>
    </w:p>
    <w:p w14:paraId="0B3B1C60" w14:textId="413D1764" w:rsidR="004B424F" w:rsidRPr="00A42C60" w:rsidRDefault="004B424F" w:rsidP="00C73BDE">
      <w:pPr>
        <w:spacing w:after="0" w:line="240" w:lineRule="auto"/>
        <w:jc w:val="both"/>
        <w:rPr>
          <w:rFonts w:ascii="Arial" w:hAnsi="Arial" w:cs="Arial"/>
          <w:b/>
          <w:szCs w:val="24"/>
          <w:lang w:val="es-ES_tradnl" w:eastAsia="es-ES_tradnl"/>
        </w:rPr>
      </w:pPr>
      <w:r w:rsidRPr="00A42C60">
        <w:rPr>
          <w:rFonts w:ascii="Arial" w:hAnsi="Arial" w:cs="Arial"/>
          <w:b/>
          <w:szCs w:val="24"/>
          <w:lang w:val="es-ES_tradnl" w:eastAsia="es-ES_tradnl"/>
        </w:rPr>
        <w:t xml:space="preserve">ACTIVIDADES NO PREVISTAS </w:t>
      </w:r>
      <w:r w:rsidRPr="00A42C60">
        <w:rPr>
          <w:rFonts w:ascii="Arial" w:hAnsi="Arial" w:cs="Arial"/>
          <w:b/>
          <w:szCs w:val="24"/>
          <w:lang w:val="es-ES_tradnl" w:eastAsia="es-ES_tradnl" w:bidi="es-ES"/>
        </w:rPr>
        <w:t xml:space="preserve">– Modificación </w:t>
      </w:r>
    </w:p>
    <w:p w14:paraId="21F705BB" w14:textId="77777777" w:rsidR="00C73BDE" w:rsidRDefault="00C73BDE" w:rsidP="00C73BDE">
      <w:pPr>
        <w:spacing w:after="0" w:line="240" w:lineRule="auto"/>
        <w:jc w:val="both"/>
        <w:rPr>
          <w:rFonts w:ascii="Arial" w:hAnsi="Arial" w:cs="Arial"/>
          <w:b/>
          <w:szCs w:val="24"/>
          <w:lang w:val="es-ES_tradnl" w:eastAsia="es-ES_tradnl"/>
        </w:rPr>
      </w:pPr>
    </w:p>
    <w:p w14:paraId="705B1FD6" w14:textId="2E6D7F02" w:rsidR="00C73BDE" w:rsidRPr="00C73BDE" w:rsidRDefault="00C73BDE" w:rsidP="00C73BDE">
      <w:pPr>
        <w:spacing w:after="0" w:line="240" w:lineRule="auto"/>
        <w:jc w:val="both"/>
        <w:rPr>
          <w:rFonts w:ascii="Arial" w:hAnsi="Arial" w:cs="Arial"/>
          <w:bCs/>
          <w:sz w:val="20"/>
          <w:szCs w:val="20"/>
          <w:lang w:val="es-MX" w:eastAsia="es-ES_tradnl"/>
        </w:rPr>
      </w:pPr>
      <w:r>
        <w:rPr>
          <w:rFonts w:ascii="Arial" w:hAnsi="Arial" w:cs="Arial"/>
          <w:bCs/>
          <w:sz w:val="20"/>
          <w:szCs w:val="20"/>
          <w:lang w:val="es-ES_tradnl" w:eastAsia="es-ES_tradnl"/>
        </w:rPr>
        <w:t>U</w:t>
      </w:r>
      <w:r w:rsidRPr="00C73BDE">
        <w:rPr>
          <w:rFonts w:ascii="Arial" w:hAnsi="Arial" w:cs="Arial"/>
          <w:bCs/>
          <w:sz w:val="20"/>
          <w:szCs w:val="20"/>
          <w:lang w:val="es-ES_tradnl" w:eastAsia="es-ES_tradnl"/>
        </w:rPr>
        <w:t xml:space="preserve">n contrato estatal puede modificarse en precio y en el alcance de su objeto para incluir actividades adicionales que no fueron comprendidas en el contrato inicial, esto es, para incluir ítems no previstos, siempre que se respete el límite fijado por el legislador para adicionar su valor y las demás disposiciones establecidas en el ordenamiento jurídico. Además, las modificaciones no podrían suponer la variación del objeto de un contrato, al punto que suponga la alteración de su esencia y se convierta en otro tipo de negocio jurídico. Si se presentara esta situación lo indicado no sería modificar el contrato sino celebrar uno nuevo. Estas reglas proceden cuando la modificación sea de manera bilateral, así como cuando se realice de forma unilateral por la entidad estatal, esta última teniendo en cuenta que el artículo 16 de la Ley 80 de 1993 señala que si las modificaciones alteran el valor del contrato en un veinte por ciento (20%) o más del valor inicial, el contratista podrá renunciar a la continuación de la ejecución. </w:t>
      </w:r>
    </w:p>
    <w:p w14:paraId="14083287" w14:textId="198717B2" w:rsidR="004B424F" w:rsidRPr="00A42C60" w:rsidRDefault="004B424F" w:rsidP="00B7240D">
      <w:pPr>
        <w:spacing w:after="0" w:line="276" w:lineRule="auto"/>
        <w:jc w:val="both"/>
        <w:rPr>
          <w:rFonts w:ascii="Arial" w:hAnsi="Arial" w:cs="Arial"/>
          <w:b/>
          <w:szCs w:val="24"/>
          <w:lang w:val="es-ES_tradnl" w:eastAsia="es-ES_tradnl"/>
        </w:rPr>
      </w:pPr>
    </w:p>
    <w:p w14:paraId="6EA4D969" w14:textId="45357181" w:rsidR="004B424F" w:rsidRPr="00A42C60" w:rsidRDefault="004B424F" w:rsidP="00B7240D">
      <w:pPr>
        <w:spacing w:after="0" w:line="276" w:lineRule="auto"/>
        <w:jc w:val="both"/>
        <w:rPr>
          <w:rFonts w:ascii="Arial" w:hAnsi="Arial" w:cs="Arial"/>
          <w:b/>
          <w:szCs w:val="24"/>
          <w:lang w:val="es-ES_tradnl" w:eastAsia="es-ES_tradnl"/>
        </w:rPr>
      </w:pPr>
    </w:p>
    <w:p w14:paraId="2E502C1E" w14:textId="54B954F6" w:rsidR="004B424F" w:rsidRPr="00A42C60" w:rsidRDefault="004B424F" w:rsidP="00B7240D">
      <w:pPr>
        <w:spacing w:after="0" w:line="276" w:lineRule="auto"/>
        <w:jc w:val="both"/>
        <w:rPr>
          <w:rFonts w:ascii="Arial" w:hAnsi="Arial" w:cs="Arial"/>
          <w:b/>
          <w:szCs w:val="24"/>
          <w:lang w:val="es-ES_tradnl" w:eastAsia="es-ES_tradnl"/>
        </w:rPr>
      </w:pPr>
    </w:p>
    <w:p w14:paraId="572D6468" w14:textId="35DED77E" w:rsidR="004B424F" w:rsidRDefault="00C73BDE" w:rsidP="00C73BDE">
      <w:pPr>
        <w:spacing w:after="0" w:line="276" w:lineRule="auto"/>
        <w:jc w:val="right"/>
        <w:rPr>
          <w:rFonts w:ascii="Arial" w:hAnsi="Arial" w:cs="Arial"/>
          <w:b/>
          <w:szCs w:val="24"/>
          <w:lang w:val="es-ES_tradnl" w:eastAsia="es-ES_tradnl"/>
        </w:rPr>
      </w:pPr>
      <w:r w:rsidRPr="00C73BDE">
        <w:rPr>
          <w:rFonts w:ascii="Arial" w:hAnsi="Arial" w:cs="Arial"/>
          <w:b/>
          <w:noProof/>
          <w:szCs w:val="24"/>
          <w:lang w:val="es-ES_tradnl" w:eastAsia="es-ES_tradnl"/>
        </w:rPr>
        <w:drawing>
          <wp:inline distT="0" distB="0" distL="0" distR="0" wp14:anchorId="0B879267" wp14:editId="61FB7BF8">
            <wp:extent cx="2819400" cy="866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866775"/>
                    </a:xfrm>
                    <a:prstGeom prst="rect">
                      <a:avLst/>
                    </a:prstGeom>
                    <a:noFill/>
                    <a:ln>
                      <a:noFill/>
                    </a:ln>
                  </pic:spPr>
                </pic:pic>
              </a:graphicData>
            </a:graphic>
          </wp:inline>
        </w:drawing>
      </w:r>
    </w:p>
    <w:p w14:paraId="6BF1475B" w14:textId="77777777" w:rsidR="00C73BDE" w:rsidRPr="00A42C60" w:rsidRDefault="00C73BDE" w:rsidP="00B7240D">
      <w:pPr>
        <w:spacing w:after="0" w:line="276" w:lineRule="auto"/>
        <w:jc w:val="both"/>
        <w:rPr>
          <w:rFonts w:ascii="Arial" w:hAnsi="Arial" w:cs="Arial"/>
          <w:noProof/>
          <w:color w:val="000000" w:themeColor="text1"/>
        </w:rPr>
      </w:pPr>
    </w:p>
    <w:p w14:paraId="7DD48F49" w14:textId="4E26AA48" w:rsidR="00B95C30" w:rsidRPr="00A42C60" w:rsidRDefault="00B95C30" w:rsidP="00B7240D">
      <w:pPr>
        <w:spacing w:after="0" w:line="276" w:lineRule="auto"/>
        <w:jc w:val="both"/>
        <w:rPr>
          <w:rFonts w:ascii="Arial" w:hAnsi="Arial" w:cs="Arial"/>
          <w:b/>
          <w:color w:val="000000" w:themeColor="text1"/>
        </w:rPr>
      </w:pPr>
      <w:r w:rsidRPr="00A42C60">
        <w:rPr>
          <w:rFonts w:ascii="Arial" w:hAnsi="Arial" w:cs="Arial"/>
          <w:noProof/>
          <w:color w:val="000000" w:themeColor="text1"/>
        </w:rPr>
        <w:t xml:space="preserve">Bogotá D.C., </w:t>
      </w:r>
      <w:r w:rsidR="00C73BDE">
        <w:rPr>
          <w:rFonts w:ascii="Arial" w:hAnsi="Arial" w:cs="Arial"/>
          <w:b/>
          <w:color w:val="000000" w:themeColor="text1"/>
        </w:rPr>
        <w:t>21 de noviembre de 2022</w:t>
      </w:r>
    </w:p>
    <w:p w14:paraId="5C1617A7" w14:textId="0AAC5516" w:rsidR="00631A31" w:rsidRPr="00A42C60" w:rsidRDefault="00631A31" w:rsidP="00B7240D">
      <w:pPr>
        <w:spacing w:after="0" w:line="276" w:lineRule="auto"/>
        <w:jc w:val="both"/>
        <w:rPr>
          <w:rFonts w:ascii="Arial" w:hAnsi="Arial" w:cs="Arial"/>
          <w:noProof/>
          <w:color w:val="000000" w:themeColor="text1"/>
          <w:sz w:val="20"/>
        </w:rPr>
      </w:pPr>
    </w:p>
    <w:p w14:paraId="15083641" w14:textId="77777777" w:rsidR="006A3704" w:rsidRPr="00A42C60" w:rsidRDefault="006A3704" w:rsidP="00B7240D">
      <w:pPr>
        <w:spacing w:after="0" w:line="276" w:lineRule="auto"/>
        <w:jc w:val="both"/>
        <w:rPr>
          <w:rFonts w:ascii="Arial" w:hAnsi="Arial" w:cs="Arial"/>
          <w:b/>
          <w:color w:val="000000" w:themeColor="text1"/>
          <w:lang w:val="pt-BR"/>
        </w:rPr>
      </w:pPr>
    </w:p>
    <w:p w14:paraId="5F5AE9EF" w14:textId="7A788A7C" w:rsidR="00B95C30" w:rsidRPr="00A42C60" w:rsidRDefault="00B95C30" w:rsidP="00B7240D">
      <w:pPr>
        <w:spacing w:after="0" w:line="276" w:lineRule="auto"/>
        <w:jc w:val="both"/>
        <w:rPr>
          <w:rFonts w:ascii="Arial" w:hAnsi="Arial" w:cs="Arial"/>
          <w:color w:val="000000" w:themeColor="text1"/>
        </w:rPr>
      </w:pPr>
      <w:bookmarkStart w:id="1" w:name="_Hlk100051121"/>
      <w:r w:rsidRPr="00A42C60">
        <w:rPr>
          <w:rFonts w:ascii="Arial" w:hAnsi="Arial" w:cs="Arial"/>
          <w:color w:val="000000" w:themeColor="text1"/>
        </w:rPr>
        <w:t>Señor</w:t>
      </w:r>
    </w:p>
    <w:p w14:paraId="798A20AC" w14:textId="6411AD43" w:rsidR="005F5F37" w:rsidRPr="00A42C60" w:rsidRDefault="00FF56A3" w:rsidP="00B7240D">
      <w:pPr>
        <w:tabs>
          <w:tab w:val="center" w:pos="4394"/>
        </w:tabs>
        <w:spacing w:after="0" w:line="276" w:lineRule="auto"/>
        <w:jc w:val="both"/>
        <w:rPr>
          <w:rFonts w:ascii="Arial" w:hAnsi="Arial" w:cs="Arial"/>
          <w:b/>
          <w:color w:val="000000" w:themeColor="text1"/>
        </w:rPr>
      </w:pPr>
      <w:r w:rsidRPr="00A42C60">
        <w:rPr>
          <w:rFonts w:ascii="Arial" w:hAnsi="Arial" w:cs="Arial"/>
          <w:b/>
          <w:color w:val="000000" w:themeColor="text1"/>
        </w:rPr>
        <w:t xml:space="preserve">Miguel Cruz Ramírez </w:t>
      </w:r>
      <w:r w:rsidR="00F650A2" w:rsidRPr="00A42C60">
        <w:rPr>
          <w:rFonts w:ascii="Arial" w:hAnsi="Arial" w:cs="Arial"/>
          <w:b/>
          <w:color w:val="000000" w:themeColor="text1"/>
        </w:rPr>
        <w:tab/>
      </w:r>
    </w:p>
    <w:p w14:paraId="4A1C8FFE" w14:textId="0A413161" w:rsidR="008120C4" w:rsidRPr="00A42C60" w:rsidRDefault="00F14618" w:rsidP="00B7240D">
      <w:pPr>
        <w:spacing w:after="0" w:line="276" w:lineRule="auto"/>
        <w:rPr>
          <w:rFonts w:ascii="Arial" w:hAnsi="Arial" w:cs="Arial"/>
          <w:b/>
          <w:bCs/>
          <w:color w:val="000000" w:themeColor="text1"/>
        </w:rPr>
      </w:pPr>
      <w:r w:rsidRPr="00A42C60">
        <w:rPr>
          <w:rFonts w:ascii="Arial" w:hAnsi="Arial" w:cs="Arial"/>
          <w:bCs/>
          <w:color w:val="000000" w:themeColor="text1"/>
        </w:rPr>
        <w:t>Bogotá D.C.</w:t>
      </w:r>
    </w:p>
    <w:p w14:paraId="122205C3" w14:textId="77777777" w:rsidR="000277A2" w:rsidRPr="00A42C60" w:rsidRDefault="000277A2" w:rsidP="00B7240D">
      <w:pPr>
        <w:spacing w:after="0" w:line="276" w:lineRule="auto"/>
        <w:rPr>
          <w:rFonts w:ascii="Arial" w:hAnsi="Arial" w:cs="Arial"/>
          <w:b/>
          <w:bCs/>
          <w:color w:val="000000" w:themeColor="text1"/>
        </w:rPr>
      </w:pPr>
    </w:p>
    <w:p w14:paraId="1BD594F9" w14:textId="6A4D3C76" w:rsidR="00B95C30" w:rsidRPr="00A42C60" w:rsidRDefault="005B1504" w:rsidP="00B7240D">
      <w:pPr>
        <w:spacing w:after="0" w:line="276" w:lineRule="auto"/>
        <w:rPr>
          <w:rFonts w:ascii="Arial" w:hAnsi="Arial" w:cs="Arial"/>
          <w:b/>
          <w:bCs/>
          <w:color w:val="000000" w:themeColor="text1"/>
          <w:lang w:val="pt-BR"/>
        </w:rPr>
      </w:pPr>
      <w:r w:rsidRPr="00A42C60">
        <w:rPr>
          <w:rFonts w:ascii="Arial" w:hAnsi="Arial" w:cs="Arial"/>
          <w:b/>
          <w:bCs/>
          <w:color w:val="000000" w:themeColor="text1"/>
        </w:rPr>
        <w:t xml:space="preserve">                     </w:t>
      </w:r>
      <w:r w:rsidR="00923FA6" w:rsidRPr="00A42C60">
        <w:rPr>
          <w:rFonts w:ascii="Arial" w:hAnsi="Arial" w:cs="Arial"/>
          <w:b/>
          <w:bCs/>
          <w:color w:val="000000" w:themeColor="text1"/>
        </w:rPr>
        <w:t xml:space="preserve">                      </w:t>
      </w:r>
      <w:r w:rsidRPr="00A42C60">
        <w:rPr>
          <w:rFonts w:ascii="Arial" w:hAnsi="Arial" w:cs="Arial"/>
          <w:b/>
          <w:bCs/>
          <w:color w:val="000000" w:themeColor="text1"/>
        </w:rPr>
        <w:t xml:space="preserve"> </w:t>
      </w:r>
      <w:r w:rsidR="00023FA5" w:rsidRPr="00A42C60">
        <w:rPr>
          <w:rFonts w:ascii="Arial" w:hAnsi="Arial" w:cs="Arial"/>
          <w:b/>
          <w:bCs/>
          <w:color w:val="000000" w:themeColor="text1"/>
          <w:lang w:val="pt-BR"/>
        </w:rPr>
        <w:t xml:space="preserve">Concepto C ‒ </w:t>
      </w:r>
      <w:r w:rsidR="00FF56A3" w:rsidRPr="00A42C60">
        <w:rPr>
          <w:rFonts w:ascii="Arial" w:hAnsi="Arial" w:cs="Arial"/>
          <w:b/>
          <w:bCs/>
          <w:color w:val="000000" w:themeColor="text1"/>
          <w:lang w:val="pt-BR"/>
        </w:rPr>
        <w:t>784</w:t>
      </w:r>
      <w:r w:rsidR="000277A2" w:rsidRPr="00A42C60">
        <w:rPr>
          <w:rFonts w:ascii="Arial" w:hAnsi="Arial" w:cs="Arial"/>
          <w:b/>
          <w:bCs/>
          <w:color w:val="000000" w:themeColor="text1"/>
          <w:lang w:val="pt-BR"/>
        </w:rPr>
        <w:t xml:space="preserve"> </w:t>
      </w:r>
      <w:r w:rsidR="00275FBF" w:rsidRPr="00A42C60">
        <w:rPr>
          <w:rFonts w:ascii="Arial" w:hAnsi="Arial" w:cs="Arial"/>
          <w:b/>
          <w:bCs/>
          <w:color w:val="000000" w:themeColor="text1"/>
          <w:lang w:val="pt-BR"/>
        </w:rPr>
        <w:t>de 202</w:t>
      </w:r>
      <w:r w:rsidR="00BF4EC5" w:rsidRPr="00A42C60">
        <w:rPr>
          <w:rFonts w:ascii="Arial" w:hAnsi="Arial" w:cs="Arial"/>
          <w:b/>
          <w:bCs/>
          <w:color w:val="000000" w:themeColor="text1"/>
          <w:lang w:val="pt-BR"/>
        </w:rPr>
        <w:t>2</w:t>
      </w:r>
    </w:p>
    <w:p w14:paraId="7063750E" w14:textId="77777777" w:rsidR="005F5F37" w:rsidRPr="00A42C60" w:rsidRDefault="005F5F37" w:rsidP="006A3704">
      <w:pPr>
        <w:spacing w:after="0" w:line="240" w:lineRule="auto"/>
        <w:rPr>
          <w:rFonts w:ascii="Arial" w:hAnsi="Arial" w:cs="Arial"/>
          <w:b/>
          <w:bCs/>
          <w:color w:val="000000" w:themeColor="text1"/>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1242D2" w14:paraId="19DFC051" w14:textId="77777777" w:rsidTr="004B424F">
        <w:trPr>
          <w:trHeight w:val="884"/>
        </w:trPr>
        <w:tc>
          <w:tcPr>
            <w:tcW w:w="2689" w:type="dxa"/>
          </w:tcPr>
          <w:p w14:paraId="6BC0D1AC" w14:textId="569BAEB9" w:rsidR="00B95C30" w:rsidRPr="00A42C60" w:rsidRDefault="00B95C30" w:rsidP="006A3704">
            <w:pPr>
              <w:spacing w:after="0" w:line="240" w:lineRule="auto"/>
              <w:jc w:val="both"/>
              <w:rPr>
                <w:rFonts w:ascii="Arial" w:hAnsi="Arial" w:cs="Arial"/>
                <w:b/>
                <w:color w:val="000000" w:themeColor="text1"/>
                <w:szCs w:val="24"/>
                <w:lang w:val="es-ES_tradnl" w:eastAsia="es-ES_tradnl"/>
              </w:rPr>
            </w:pPr>
            <w:r w:rsidRPr="00A42C60">
              <w:rPr>
                <w:rFonts w:ascii="Arial" w:hAnsi="Arial" w:cs="Arial"/>
                <w:b/>
                <w:color w:val="000000" w:themeColor="text1"/>
                <w:szCs w:val="24"/>
                <w:lang w:val="es-ES_tradnl" w:eastAsia="es-ES_tradnl"/>
              </w:rPr>
              <w:t>Temas:</w:t>
            </w:r>
            <w:r w:rsidR="005B1504" w:rsidRPr="00A42C60">
              <w:rPr>
                <w:rFonts w:ascii="Arial" w:hAnsi="Arial" w:cs="Arial"/>
                <w:b/>
                <w:color w:val="000000" w:themeColor="text1"/>
                <w:szCs w:val="24"/>
                <w:lang w:val="es-ES_tradnl" w:eastAsia="es-ES_tradnl"/>
              </w:rPr>
              <w:t xml:space="preserve">                   </w:t>
            </w:r>
          </w:p>
        </w:tc>
        <w:tc>
          <w:tcPr>
            <w:tcW w:w="6237" w:type="dxa"/>
          </w:tcPr>
          <w:p w14:paraId="5D049E9C" w14:textId="5E3AAB35" w:rsidR="006A3704" w:rsidRPr="00A42C60" w:rsidRDefault="004B424F" w:rsidP="004F0538">
            <w:pPr>
              <w:spacing w:after="0" w:line="240" w:lineRule="auto"/>
              <w:jc w:val="both"/>
              <w:rPr>
                <w:rFonts w:ascii="Arial" w:hAnsi="Arial" w:cs="Arial"/>
                <w:bCs/>
                <w:color w:val="000000" w:themeColor="text1"/>
                <w:szCs w:val="24"/>
                <w:lang w:val="es-ES_tradnl" w:eastAsia="es-ES_tradnl"/>
              </w:rPr>
            </w:pPr>
            <w:r w:rsidRPr="00A42C60">
              <w:rPr>
                <w:rFonts w:ascii="Arial" w:hAnsi="Arial" w:cs="Arial"/>
                <w:bCs/>
                <w:szCs w:val="24"/>
                <w:lang w:val="es-MX" w:eastAsia="es-ES_tradnl"/>
              </w:rPr>
              <w:t>ADICIÓN – Concepto – Distintos supuestos – Prohibición – Adición en más del 50% / ADICIÓN – Prohibición – Monto – Cálculo – Parágrafo artículo 40 – Ley 80 de 1993 / ADICIÓN – Mayores cantidades – Límites – Posturas /</w:t>
            </w:r>
            <w:r w:rsidRPr="00A42C60">
              <w:rPr>
                <w:rFonts w:ascii="Arial" w:hAnsi="Arial" w:cs="Arial"/>
                <w:bCs/>
                <w:szCs w:val="24"/>
                <w:lang w:val="es-ES_tradnl" w:eastAsia="es-ES_tradnl" w:bidi="es-ES"/>
              </w:rPr>
              <w:t xml:space="preserve"> MODIFICACION DE LOS CONTRATOS ESTATALES – Procedencia – Límites</w:t>
            </w:r>
            <w:r w:rsidRPr="00A42C60">
              <w:rPr>
                <w:rFonts w:ascii="Arial" w:hAnsi="Arial" w:cs="Arial"/>
                <w:bCs/>
                <w:szCs w:val="24"/>
                <w:lang w:val="es-MX" w:eastAsia="es-ES_tradnl"/>
              </w:rPr>
              <w:t xml:space="preserve"> </w:t>
            </w:r>
            <w:r w:rsidR="005948B5" w:rsidRPr="00A42C60">
              <w:rPr>
                <w:rFonts w:ascii="Arial" w:hAnsi="Arial" w:cs="Arial"/>
                <w:bCs/>
                <w:color w:val="000000" w:themeColor="text1"/>
                <w:szCs w:val="24"/>
                <w:lang w:val="es-ES_tradnl" w:eastAsia="es-ES_tradnl"/>
              </w:rPr>
              <w:t xml:space="preserve">/ </w:t>
            </w:r>
            <w:r w:rsidRPr="00A42C60">
              <w:rPr>
                <w:rFonts w:ascii="Arial" w:hAnsi="Arial" w:cs="Arial"/>
                <w:bCs/>
                <w:color w:val="000000" w:themeColor="text1"/>
                <w:szCs w:val="24"/>
                <w:lang w:val="es-ES_tradnl" w:eastAsia="es-ES_tradnl"/>
              </w:rPr>
              <w:t xml:space="preserve">ACTIVIDADES NO PREVISTAS – Modificación </w:t>
            </w:r>
          </w:p>
          <w:p w14:paraId="5F389CAF" w14:textId="053BAA65" w:rsidR="004F0538" w:rsidRPr="00A42C60" w:rsidRDefault="004F0538" w:rsidP="004F0538">
            <w:pPr>
              <w:tabs>
                <w:tab w:val="left" w:pos="6551"/>
              </w:tabs>
              <w:spacing w:after="0" w:line="240" w:lineRule="auto"/>
              <w:jc w:val="both"/>
              <w:rPr>
                <w:rFonts w:ascii="Arial" w:hAnsi="Arial" w:cs="Arial"/>
                <w:bCs/>
                <w:color w:val="000000" w:themeColor="text1"/>
                <w:lang w:val="es-ES_tradnl"/>
              </w:rPr>
            </w:pPr>
          </w:p>
        </w:tc>
      </w:tr>
      <w:tr w:rsidR="00B95C30" w:rsidRPr="001242D2" w14:paraId="27CD52AB" w14:textId="77777777" w:rsidTr="004B424F">
        <w:tc>
          <w:tcPr>
            <w:tcW w:w="2689" w:type="dxa"/>
          </w:tcPr>
          <w:p w14:paraId="37E195A1" w14:textId="017D9507" w:rsidR="00B95C30" w:rsidRPr="00A42C60" w:rsidRDefault="00B95C30" w:rsidP="006A3704">
            <w:pPr>
              <w:spacing w:after="0" w:line="240" w:lineRule="auto"/>
              <w:jc w:val="both"/>
              <w:rPr>
                <w:rFonts w:ascii="Arial" w:hAnsi="Arial" w:cs="Arial"/>
                <w:b/>
                <w:color w:val="000000" w:themeColor="text1"/>
                <w:szCs w:val="24"/>
                <w:lang w:val="es-ES_tradnl" w:eastAsia="es-ES_tradnl"/>
              </w:rPr>
            </w:pPr>
            <w:r w:rsidRPr="00A42C60">
              <w:rPr>
                <w:rFonts w:ascii="Arial" w:hAnsi="Arial" w:cs="Arial"/>
                <w:b/>
                <w:color w:val="000000" w:themeColor="text1"/>
                <w:szCs w:val="24"/>
                <w:lang w:val="es-ES_tradnl" w:eastAsia="es-ES_tradnl"/>
              </w:rPr>
              <w:t>Radicación:</w:t>
            </w:r>
            <w:r w:rsidR="005B1504" w:rsidRPr="00A42C60">
              <w:rPr>
                <w:rFonts w:ascii="Arial" w:hAnsi="Arial" w:cs="Arial"/>
                <w:b/>
                <w:color w:val="000000" w:themeColor="text1"/>
                <w:szCs w:val="24"/>
                <w:lang w:val="es-ES_tradnl" w:eastAsia="es-ES_tradnl"/>
              </w:rPr>
              <w:t xml:space="preserve">               </w:t>
            </w:r>
          </w:p>
        </w:tc>
        <w:tc>
          <w:tcPr>
            <w:tcW w:w="6237" w:type="dxa"/>
          </w:tcPr>
          <w:p w14:paraId="09088B1B" w14:textId="2554A4CF" w:rsidR="00B95C30" w:rsidRPr="00A42C60" w:rsidRDefault="00B95C30" w:rsidP="006A3704">
            <w:pPr>
              <w:spacing w:after="0" w:line="240" w:lineRule="auto"/>
              <w:jc w:val="both"/>
              <w:rPr>
                <w:rFonts w:ascii="Arial" w:hAnsi="Arial" w:cs="Arial"/>
                <w:bCs/>
                <w:color w:val="000000" w:themeColor="text1"/>
                <w:szCs w:val="24"/>
                <w:lang w:val="es-ES_tradnl" w:eastAsia="es-ES_tradnl"/>
              </w:rPr>
            </w:pPr>
            <w:r w:rsidRPr="00A42C60">
              <w:rPr>
                <w:rFonts w:ascii="Arial" w:hAnsi="Arial" w:cs="Arial"/>
                <w:bCs/>
                <w:color w:val="000000" w:themeColor="text1"/>
                <w:szCs w:val="24"/>
                <w:lang w:val="es-ES_tradnl" w:eastAsia="es-ES_tradnl"/>
              </w:rPr>
              <w:t>Respuesta a consulta</w:t>
            </w:r>
            <w:r w:rsidR="000D0CC7" w:rsidRPr="00A42C60">
              <w:rPr>
                <w:rFonts w:ascii="Arial" w:hAnsi="Arial" w:cs="Arial"/>
                <w:bCs/>
                <w:color w:val="000000" w:themeColor="text1"/>
                <w:szCs w:val="24"/>
                <w:lang w:val="es-ES_tradnl" w:eastAsia="es-ES_tradnl"/>
              </w:rPr>
              <w:t xml:space="preserve"> </w:t>
            </w:r>
            <w:r w:rsidR="00FF56A3" w:rsidRPr="00A42C60">
              <w:rPr>
                <w:rFonts w:ascii="Arial" w:hAnsi="Arial" w:cs="Arial"/>
                <w:bCs/>
                <w:color w:val="000000" w:themeColor="text1"/>
                <w:szCs w:val="24"/>
                <w:lang w:val="es-ES_tradnl" w:eastAsia="es-ES_tradnl"/>
              </w:rPr>
              <w:t>P20221006010050</w:t>
            </w:r>
          </w:p>
        </w:tc>
      </w:tr>
    </w:tbl>
    <w:p w14:paraId="234C0002" w14:textId="62B39031" w:rsidR="005F5F37" w:rsidRPr="00A42C60" w:rsidRDefault="005F5F37" w:rsidP="00B7240D">
      <w:pPr>
        <w:spacing w:after="0" w:line="274" w:lineRule="auto"/>
        <w:jc w:val="both"/>
        <w:rPr>
          <w:rFonts w:ascii="Arial" w:hAnsi="Arial" w:cs="Arial"/>
          <w:color w:val="000000" w:themeColor="text1"/>
          <w:lang w:val="es-ES_tradnl"/>
        </w:rPr>
      </w:pPr>
    </w:p>
    <w:p w14:paraId="1DAF8FE2" w14:textId="77777777" w:rsidR="006A3704" w:rsidRPr="00A42C60" w:rsidRDefault="006A3704" w:rsidP="00B7240D">
      <w:pPr>
        <w:spacing w:after="0" w:line="274" w:lineRule="auto"/>
        <w:jc w:val="both"/>
        <w:rPr>
          <w:rFonts w:ascii="Arial" w:hAnsi="Arial" w:cs="Arial"/>
          <w:color w:val="000000" w:themeColor="text1"/>
          <w:lang w:val="es-ES_tradnl"/>
        </w:rPr>
      </w:pPr>
    </w:p>
    <w:p w14:paraId="1CF4AEA0" w14:textId="7BAD607A" w:rsidR="003C3339" w:rsidRPr="00A42C60" w:rsidRDefault="003C3339" w:rsidP="00B7240D">
      <w:pPr>
        <w:spacing w:after="0" w:line="274" w:lineRule="auto"/>
        <w:jc w:val="both"/>
        <w:rPr>
          <w:rFonts w:ascii="Arial" w:hAnsi="Arial" w:cs="Arial"/>
          <w:color w:val="000000" w:themeColor="text1"/>
          <w:lang w:val="es-ES_tradnl"/>
        </w:rPr>
      </w:pPr>
      <w:r w:rsidRPr="00A42C60">
        <w:rPr>
          <w:rFonts w:ascii="Arial" w:hAnsi="Arial" w:cs="Arial"/>
          <w:color w:val="000000" w:themeColor="text1"/>
          <w:lang w:val="es-ES_tradnl"/>
        </w:rPr>
        <w:t>Estimad</w:t>
      </w:r>
      <w:r w:rsidR="000D0CC7" w:rsidRPr="00A42C60">
        <w:rPr>
          <w:rFonts w:ascii="Arial" w:hAnsi="Arial" w:cs="Arial"/>
          <w:color w:val="000000" w:themeColor="text1"/>
          <w:lang w:val="es-ES_tradnl"/>
        </w:rPr>
        <w:t>o</w:t>
      </w:r>
      <w:r w:rsidRPr="00A42C60">
        <w:rPr>
          <w:rFonts w:ascii="Arial" w:hAnsi="Arial" w:cs="Arial"/>
          <w:color w:val="000000" w:themeColor="text1"/>
          <w:lang w:val="es-ES_tradnl"/>
        </w:rPr>
        <w:t xml:space="preserve"> señor</w:t>
      </w:r>
      <w:r w:rsidR="00DA371B" w:rsidRPr="00A42C60">
        <w:rPr>
          <w:rFonts w:ascii="Arial" w:hAnsi="Arial" w:cs="Arial"/>
          <w:color w:val="000000" w:themeColor="text1"/>
          <w:lang w:val="es-ES_tradnl"/>
        </w:rPr>
        <w:t xml:space="preserve"> </w:t>
      </w:r>
      <w:r w:rsidR="00FF56A3" w:rsidRPr="00A42C60">
        <w:rPr>
          <w:rFonts w:ascii="Arial" w:hAnsi="Arial" w:cs="Arial"/>
          <w:color w:val="000000" w:themeColor="text1"/>
          <w:lang w:val="es-ES_tradnl"/>
        </w:rPr>
        <w:t>Cruz</w:t>
      </w:r>
      <w:r w:rsidR="008C3FFC" w:rsidRPr="00A42C60">
        <w:rPr>
          <w:rFonts w:ascii="Arial" w:hAnsi="Arial" w:cs="Arial"/>
          <w:color w:val="000000" w:themeColor="text1"/>
          <w:lang w:val="es-ES_tradnl"/>
        </w:rPr>
        <w:t xml:space="preserve">: </w:t>
      </w:r>
    </w:p>
    <w:p w14:paraId="1EAE5543" w14:textId="37990AD8" w:rsidR="00DD5B04" w:rsidRPr="00A42C60" w:rsidRDefault="00DD5B04" w:rsidP="00B7240D">
      <w:pPr>
        <w:spacing w:after="0" w:line="274" w:lineRule="auto"/>
        <w:jc w:val="both"/>
        <w:rPr>
          <w:rFonts w:ascii="Arial" w:hAnsi="Arial" w:cs="Arial"/>
          <w:color w:val="000000" w:themeColor="text1"/>
          <w:lang w:val="es-ES_tradnl"/>
        </w:rPr>
      </w:pPr>
    </w:p>
    <w:p w14:paraId="2109B2D3" w14:textId="0735960E" w:rsidR="00DD5B04" w:rsidRPr="00A42C60" w:rsidRDefault="00DD5B04" w:rsidP="00B7240D">
      <w:pPr>
        <w:spacing w:after="0" w:line="274" w:lineRule="auto"/>
        <w:jc w:val="both"/>
        <w:rPr>
          <w:rFonts w:ascii="Arial" w:hAnsi="Arial" w:cs="Arial"/>
          <w:color w:val="000000" w:themeColor="text1"/>
          <w:lang w:val="es-ES_tradnl"/>
        </w:rPr>
      </w:pPr>
      <w:r w:rsidRPr="00A42C60">
        <w:rPr>
          <w:rFonts w:ascii="Arial" w:hAnsi="Arial" w:cs="Arial"/>
          <w:color w:val="000000" w:themeColor="text1"/>
          <w:lang w:val="es-ES_tradnl"/>
        </w:rPr>
        <w:t>En ejercicio de la competencia otorgada por el numeral 8 del artículo 11 y el numeral 5 del artículo 3 del Decreto Ley 4170 de 2011,</w:t>
      </w:r>
      <w:r w:rsidR="00B24D49" w:rsidRPr="00A42C60">
        <w:rPr>
          <w:rFonts w:ascii="Arial" w:eastAsia="Arial MT" w:hAnsi="Arial" w:cs="Arial"/>
          <w:lang w:val="es-ES"/>
        </w:rPr>
        <w:t xml:space="preserve"> </w:t>
      </w:r>
      <w:r w:rsidRPr="00A42C60">
        <w:rPr>
          <w:rFonts w:ascii="Arial" w:hAnsi="Arial" w:cs="Arial"/>
          <w:color w:val="000000" w:themeColor="text1"/>
          <w:lang w:val="es-ES_tradnl"/>
        </w:rPr>
        <w:t xml:space="preserve">la Agencia Nacional de Contratación Pública </w:t>
      </w:r>
      <w:r w:rsidR="00C31846" w:rsidRPr="00A42C60">
        <w:rPr>
          <w:rFonts w:ascii="Arial" w:hAnsi="Arial" w:cs="Arial"/>
          <w:color w:val="000000" w:themeColor="text1"/>
          <w:lang w:val="es-ES_tradnl"/>
        </w:rPr>
        <w:t>–</w:t>
      </w:r>
      <w:r w:rsidRPr="00A42C60">
        <w:rPr>
          <w:rFonts w:ascii="Arial" w:hAnsi="Arial" w:cs="Arial"/>
          <w:color w:val="000000" w:themeColor="text1"/>
          <w:lang w:val="es-ES_tradnl"/>
        </w:rPr>
        <w:t xml:space="preserve"> Colombia Compra Eficiente</w:t>
      </w:r>
      <w:r w:rsidR="00CE69CC" w:rsidRPr="00A42C60">
        <w:rPr>
          <w:rFonts w:ascii="Arial" w:hAnsi="Arial" w:cs="Arial"/>
          <w:color w:val="000000" w:themeColor="text1"/>
          <w:lang w:val="es-ES_tradnl"/>
        </w:rPr>
        <w:t xml:space="preserve">, </w:t>
      </w:r>
      <w:r w:rsidRPr="00A42C60">
        <w:rPr>
          <w:rFonts w:ascii="Arial" w:hAnsi="Arial" w:cs="Arial"/>
          <w:color w:val="000000" w:themeColor="text1"/>
          <w:lang w:val="es-ES_tradnl"/>
        </w:rPr>
        <w:t xml:space="preserve">responde </w:t>
      </w:r>
      <w:r w:rsidR="00F14618" w:rsidRPr="00A42C60">
        <w:rPr>
          <w:rFonts w:ascii="Arial" w:hAnsi="Arial" w:cs="Arial"/>
          <w:color w:val="000000" w:themeColor="text1"/>
          <w:lang w:val="es-ES_tradnl"/>
        </w:rPr>
        <w:t>su</w:t>
      </w:r>
      <w:r w:rsidR="003902B1" w:rsidRPr="00A42C60">
        <w:rPr>
          <w:rFonts w:ascii="Arial" w:hAnsi="Arial" w:cs="Arial"/>
          <w:color w:val="000000" w:themeColor="text1"/>
          <w:lang w:val="es-ES_tradnl"/>
        </w:rPr>
        <w:t xml:space="preserve"> </w:t>
      </w:r>
      <w:r w:rsidR="00F14618" w:rsidRPr="00A42C60">
        <w:rPr>
          <w:rFonts w:ascii="Arial" w:hAnsi="Arial" w:cs="Arial"/>
          <w:color w:val="000000" w:themeColor="text1"/>
          <w:lang w:val="es-ES_tradnl"/>
        </w:rPr>
        <w:t>consulta</w:t>
      </w:r>
      <w:r w:rsidR="00150A17" w:rsidRPr="00A42C60">
        <w:rPr>
          <w:rFonts w:ascii="Arial" w:hAnsi="Arial" w:cs="Arial"/>
          <w:color w:val="000000" w:themeColor="text1"/>
          <w:lang w:val="es-ES_tradnl"/>
        </w:rPr>
        <w:t xml:space="preserve"> </w:t>
      </w:r>
      <w:r w:rsidR="000D0CC7" w:rsidRPr="00A42C60">
        <w:rPr>
          <w:rFonts w:ascii="Arial" w:hAnsi="Arial" w:cs="Arial"/>
          <w:color w:val="000000" w:themeColor="text1"/>
          <w:lang w:val="es-ES_tradnl"/>
        </w:rPr>
        <w:t>d</w:t>
      </w:r>
      <w:r w:rsidR="00F14618" w:rsidRPr="00A42C60">
        <w:rPr>
          <w:rFonts w:ascii="Arial" w:hAnsi="Arial" w:cs="Arial"/>
          <w:color w:val="000000" w:themeColor="text1"/>
          <w:lang w:val="es-ES_tradnl"/>
        </w:rPr>
        <w:t xml:space="preserve">el </w:t>
      </w:r>
      <w:r w:rsidR="00FF56A3" w:rsidRPr="00A42C60">
        <w:rPr>
          <w:rFonts w:ascii="Arial" w:hAnsi="Arial" w:cs="Arial"/>
          <w:color w:val="000000" w:themeColor="text1"/>
          <w:lang w:val="es-ES_tradnl"/>
        </w:rPr>
        <w:t>5</w:t>
      </w:r>
      <w:r w:rsidR="00150A17" w:rsidRPr="00A42C60">
        <w:rPr>
          <w:rFonts w:ascii="Arial" w:hAnsi="Arial" w:cs="Arial"/>
          <w:color w:val="000000" w:themeColor="text1"/>
          <w:lang w:val="es-ES_tradnl"/>
        </w:rPr>
        <w:t xml:space="preserve"> </w:t>
      </w:r>
      <w:r w:rsidR="00F14618" w:rsidRPr="00A42C60">
        <w:rPr>
          <w:rFonts w:ascii="Arial" w:hAnsi="Arial" w:cs="Arial"/>
          <w:color w:val="000000" w:themeColor="text1"/>
          <w:lang w:val="es-ES_tradnl"/>
        </w:rPr>
        <w:t xml:space="preserve">de </w:t>
      </w:r>
      <w:r w:rsidR="00FF56A3" w:rsidRPr="00A42C60">
        <w:rPr>
          <w:rFonts w:ascii="Arial" w:hAnsi="Arial" w:cs="Arial"/>
          <w:color w:val="000000" w:themeColor="text1"/>
          <w:lang w:val="es-ES_tradnl"/>
        </w:rPr>
        <w:t>octubre</w:t>
      </w:r>
      <w:r w:rsidR="00F14618" w:rsidRPr="00A42C60">
        <w:rPr>
          <w:rFonts w:ascii="Arial" w:hAnsi="Arial" w:cs="Arial"/>
          <w:color w:val="000000" w:themeColor="text1"/>
          <w:lang w:val="es-ES_tradnl"/>
        </w:rPr>
        <w:t xml:space="preserve"> de 202</w:t>
      </w:r>
      <w:r w:rsidR="00782354" w:rsidRPr="00A42C60">
        <w:rPr>
          <w:rFonts w:ascii="Arial" w:hAnsi="Arial" w:cs="Arial"/>
          <w:color w:val="000000" w:themeColor="text1"/>
          <w:lang w:val="es-ES_tradnl"/>
        </w:rPr>
        <w:t>2</w:t>
      </w:r>
      <w:r w:rsidR="00F14618" w:rsidRPr="00A42C60">
        <w:rPr>
          <w:rFonts w:ascii="Arial" w:hAnsi="Arial" w:cs="Arial"/>
          <w:color w:val="000000" w:themeColor="text1"/>
          <w:lang w:val="es-ES_tradnl"/>
        </w:rPr>
        <w:t>.</w:t>
      </w:r>
    </w:p>
    <w:p w14:paraId="0C1E0712" w14:textId="77777777" w:rsidR="00DD5B04" w:rsidRPr="00A42C60" w:rsidRDefault="00DD5B04" w:rsidP="00443945">
      <w:pPr>
        <w:spacing w:after="0" w:line="276" w:lineRule="auto"/>
        <w:jc w:val="both"/>
        <w:rPr>
          <w:rFonts w:ascii="Arial" w:hAnsi="Arial" w:cs="Arial"/>
          <w:b/>
          <w:color w:val="000000" w:themeColor="text1"/>
          <w:lang w:val="es-ES_tradnl"/>
        </w:rPr>
      </w:pPr>
    </w:p>
    <w:p w14:paraId="7701FCC7" w14:textId="77777777" w:rsidR="00DD5B04" w:rsidRPr="00A42C6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42C60">
        <w:rPr>
          <w:rFonts w:ascii="Arial" w:eastAsia="Calibri" w:hAnsi="Arial" w:cs="Arial"/>
          <w:b/>
          <w:color w:val="000000" w:themeColor="text1"/>
          <w:sz w:val="22"/>
          <w:lang w:val="es-ES_tradnl"/>
        </w:rPr>
        <w:t xml:space="preserve">Problema planteado </w:t>
      </w:r>
    </w:p>
    <w:p w14:paraId="224B43D3" w14:textId="23DC0BDF" w:rsidR="00DD5B04" w:rsidRPr="00A42C60" w:rsidRDefault="00DD5B04" w:rsidP="00B7240D">
      <w:pPr>
        <w:tabs>
          <w:tab w:val="left" w:pos="426"/>
        </w:tabs>
        <w:spacing w:after="0" w:line="276" w:lineRule="auto"/>
        <w:jc w:val="both"/>
        <w:rPr>
          <w:rFonts w:ascii="Arial" w:hAnsi="Arial" w:cs="Arial"/>
          <w:b/>
          <w:color w:val="000000" w:themeColor="text1"/>
          <w:lang w:val="es-ES_tradnl"/>
        </w:rPr>
      </w:pPr>
    </w:p>
    <w:p w14:paraId="607960FD" w14:textId="77777777" w:rsidR="00FF56A3" w:rsidRPr="00A42C60" w:rsidRDefault="000D0CC7" w:rsidP="00FF56A3">
      <w:pPr>
        <w:spacing w:after="0" w:line="276" w:lineRule="auto"/>
        <w:jc w:val="both"/>
        <w:rPr>
          <w:rFonts w:ascii="Arial" w:hAnsi="Arial" w:cs="Arial"/>
          <w:bCs/>
        </w:rPr>
      </w:pPr>
      <w:r w:rsidRPr="00A42C60">
        <w:rPr>
          <w:rFonts w:ascii="Arial" w:hAnsi="Arial" w:cs="Arial"/>
          <w:bCs/>
        </w:rPr>
        <w:t>Usted realiza la</w:t>
      </w:r>
      <w:r w:rsidR="00FF56A3" w:rsidRPr="00A42C60">
        <w:rPr>
          <w:rFonts w:ascii="Arial" w:hAnsi="Arial" w:cs="Arial"/>
          <w:bCs/>
        </w:rPr>
        <w:t>s</w:t>
      </w:r>
      <w:r w:rsidRPr="00A42C60">
        <w:rPr>
          <w:rFonts w:ascii="Arial" w:hAnsi="Arial" w:cs="Arial"/>
          <w:bCs/>
        </w:rPr>
        <w:t xml:space="preserve"> siguiente</w:t>
      </w:r>
      <w:r w:rsidR="00FF56A3" w:rsidRPr="00A42C60">
        <w:rPr>
          <w:rFonts w:ascii="Arial" w:hAnsi="Arial" w:cs="Arial"/>
          <w:bCs/>
        </w:rPr>
        <w:t>s</w:t>
      </w:r>
      <w:r w:rsidRPr="00A42C60">
        <w:rPr>
          <w:rFonts w:ascii="Arial" w:hAnsi="Arial" w:cs="Arial"/>
          <w:bCs/>
        </w:rPr>
        <w:t xml:space="preserve"> pregunta</w:t>
      </w:r>
      <w:r w:rsidR="00FF56A3" w:rsidRPr="00A42C60">
        <w:rPr>
          <w:rFonts w:ascii="Arial" w:hAnsi="Arial" w:cs="Arial"/>
          <w:bCs/>
        </w:rPr>
        <w:t>s</w:t>
      </w:r>
      <w:r w:rsidRPr="00A42C60">
        <w:rPr>
          <w:rFonts w:ascii="Arial" w:hAnsi="Arial" w:cs="Arial"/>
          <w:bCs/>
        </w:rPr>
        <w:t xml:space="preserve">: </w:t>
      </w:r>
    </w:p>
    <w:p w14:paraId="04874296" w14:textId="77777777" w:rsidR="00FF56A3" w:rsidRPr="00A42C60" w:rsidRDefault="00FF56A3" w:rsidP="00FF56A3">
      <w:pPr>
        <w:spacing w:after="0" w:line="276" w:lineRule="auto"/>
        <w:jc w:val="both"/>
        <w:rPr>
          <w:rFonts w:ascii="Arial" w:hAnsi="Arial" w:cs="Arial"/>
          <w:bCs/>
        </w:rPr>
      </w:pPr>
    </w:p>
    <w:p w14:paraId="2E1625BE" w14:textId="2B8ABD27" w:rsidR="00FF56A3" w:rsidRPr="00A42C60" w:rsidRDefault="00DA371B" w:rsidP="00FF56A3">
      <w:pPr>
        <w:spacing w:after="0" w:line="276" w:lineRule="auto"/>
        <w:ind w:left="709" w:right="709"/>
        <w:jc w:val="both"/>
        <w:rPr>
          <w:rFonts w:ascii="Arial" w:hAnsi="Arial" w:cs="Arial"/>
          <w:bCs/>
          <w:sz w:val="21"/>
          <w:szCs w:val="21"/>
        </w:rPr>
      </w:pPr>
      <w:r w:rsidRPr="00A42C60">
        <w:rPr>
          <w:rFonts w:ascii="Arial" w:hAnsi="Arial" w:cs="Arial"/>
          <w:bCs/>
          <w:sz w:val="21"/>
          <w:szCs w:val="21"/>
        </w:rPr>
        <w:t>«</w:t>
      </w:r>
      <w:r w:rsidR="00FF56A3" w:rsidRPr="00A42C60">
        <w:rPr>
          <w:rFonts w:ascii="Arial" w:hAnsi="Arial" w:cs="Arial"/>
          <w:bCs/>
          <w:sz w:val="21"/>
          <w:szCs w:val="21"/>
        </w:rPr>
        <w:t>En atención a la Sentencia SU 214-22 de la Corte Constitucional, respetuosamente formulo las siguientes consultas:</w:t>
      </w:r>
    </w:p>
    <w:p w14:paraId="22B2C4EA" w14:textId="77777777" w:rsidR="00FF56A3" w:rsidRPr="00A42C60" w:rsidRDefault="00FF56A3" w:rsidP="00FF56A3">
      <w:pPr>
        <w:spacing w:after="0" w:line="276" w:lineRule="auto"/>
        <w:ind w:left="709" w:right="709"/>
        <w:jc w:val="both"/>
        <w:rPr>
          <w:rFonts w:ascii="Arial" w:hAnsi="Arial" w:cs="Arial"/>
          <w:bCs/>
          <w:sz w:val="21"/>
          <w:szCs w:val="21"/>
        </w:rPr>
      </w:pPr>
      <w:r w:rsidRPr="00A42C60">
        <w:rPr>
          <w:rFonts w:ascii="Arial" w:hAnsi="Arial" w:cs="Arial"/>
          <w:bCs/>
          <w:sz w:val="21"/>
          <w:szCs w:val="21"/>
        </w:rPr>
        <w:t>1. ¿En un contrato de obra a precios unitarios para mayores cantidades de obra aplica el límite de adición del artículo 40 de la Ley 80 de 1993?</w:t>
      </w:r>
    </w:p>
    <w:p w14:paraId="098748DE" w14:textId="5B12E215" w:rsidR="00FF56A3" w:rsidRPr="00A42C60" w:rsidRDefault="00FF56A3" w:rsidP="006C649B">
      <w:pPr>
        <w:spacing w:after="0" w:line="276" w:lineRule="auto"/>
        <w:ind w:left="709" w:right="709"/>
        <w:jc w:val="both"/>
        <w:rPr>
          <w:rFonts w:ascii="Arial" w:hAnsi="Arial" w:cs="Arial"/>
          <w:bCs/>
          <w:sz w:val="21"/>
          <w:szCs w:val="21"/>
        </w:rPr>
      </w:pPr>
      <w:r w:rsidRPr="00A42C60">
        <w:rPr>
          <w:rFonts w:ascii="Arial" w:hAnsi="Arial" w:cs="Arial"/>
          <w:bCs/>
          <w:sz w:val="21"/>
          <w:szCs w:val="21"/>
        </w:rPr>
        <w:lastRenderedPageBreak/>
        <w:t>2. ¿En un contrato de obra para agregar un nuevo ítem o actividad es procedente</w:t>
      </w:r>
      <w:r w:rsidR="006C649B" w:rsidRPr="00A42C60">
        <w:rPr>
          <w:rFonts w:ascii="Arial" w:hAnsi="Arial" w:cs="Arial"/>
          <w:bCs/>
          <w:sz w:val="21"/>
          <w:szCs w:val="21"/>
        </w:rPr>
        <w:t xml:space="preserve"> </w:t>
      </w:r>
      <w:r w:rsidRPr="00A42C60">
        <w:rPr>
          <w:rFonts w:ascii="Arial" w:hAnsi="Arial" w:cs="Arial"/>
          <w:bCs/>
          <w:sz w:val="21"/>
          <w:szCs w:val="21"/>
        </w:rPr>
        <w:t>modificar el contrato o se requiere celebrar un contrato nuevo?</w:t>
      </w:r>
    </w:p>
    <w:p w14:paraId="4F80090E" w14:textId="11D0A6C8" w:rsidR="00FF56A3" w:rsidRDefault="00FF56A3" w:rsidP="006C649B">
      <w:pPr>
        <w:spacing w:after="0" w:line="276" w:lineRule="auto"/>
        <w:ind w:left="709" w:right="709"/>
        <w:jc w:val="both"/>
        <w:rPr>
          <w:rFonts w:ascii="Arial" w:hAnsi="Arial" w:cs="Arial"/>
          <w:bCs/>
          <w:sz w:val="21"/>
          <w:szCs w:val="21"/>
        </w:rPr>
      </w:pPr>
      <w:r w:rsidRPr="00A42C60">
        <w:rPr>
          <w:rFonts w:ascii="Arial" w:hAnsi="Arial" w:cs="Arial"/>
          <w:bCs/>
          <w:sz w:val="21"/>
          <w:szCs w:val="21"/>
        </w:rPr>
        <w:t>3. ¿En la modificación unilateral prevista en el artículo 16 de la Ley 80 de 1993 es</w:t>
      </w:r>
      <w:r w:rsidR="006C649B" w:rsidRPr="00A42C60">
        <w:rPr>
          <w:rFonts w:ascii="Arial" w:hAnsi="Arial" w:cs="Arial"/>
          <w:bCs/>
          <w:sz w:val="21"/>
          <w:szCs w:val="21"/>
        </w:rPr>
        <w:t xml:space="preserve"> </w:t>
      </w:r>
      <w:r w:rsidRPr="00A42C60">
        <w:rPr>
          <w:rFonts w:ascii="Arial" w:hAnsi="Arial" w:cs="Arial"/>
          <w:bCs/>
          <w:sz w:val="21"/>
          <w:szCs w:val="21"/>
        </w:rPr>
        <w:t>procedente agregar un nuevo ítem o actividad o se requiere celebrar un nuevo</w:t>
      </w:r>
      <w:r w:rsidR="006C649B" w:rsidRPr="00A42C60">
        <w:rPr>
          <w:rFonts w:ascii="Arial" w:hAnsi="Arial" w:cs="Arial"/>
          <w:bCs/>
          <w:sz w:val="21"/>
          <w:szCs w:val="21"/>
        </w:rPr>
        <w:t xml:space="preserve"> </w:t>
      </w:r>
      <w:r w:rsidRPr="00A42C60">
        <w:rPr>
          <w:rFonts w:ascii="Arial" w:hAnsi="Arial" w:cs="Arial"/>
          <w:bCs/>
          <w:sz w:val="21"/>
          <w:szCs w:val="21"/>
        </w:rPr>
        <w:t>contrato?</w:t>
      </w:r>
    </w:p>
    <w:p w14:paraId="31662C26" w14:textId="77777777" w:rsidR="007D247D" w:rsidRPr="00A42C60" w:rsidRDefault="007D247D" w:rsidP="006C649B">
      <w:pPr>
        <w:spacing w:after="0" w:line="276" w:lineRule="auto"/>
        <w:ind w:left="709" w:right="709"/>
        <w:jc w:val="both"/>
        <w:rPr>
          <w:rFonts w:ascii="Arial" w:hAnsi="Arial" w:cs="Arial"/>
          <w:bCs/>
          <w:sz w:val="21"/>
          <w:szCs w:val="21"/>
        </w:rPr>
      </w:pPr>
    </w:p>
    <w:p w14:paraId="3875CC47" w14:textId="540EEA3B" w:rsidR="00DA371B" w:rsidRPr="00A42C60" w:rsidRDefault="00FF56A3" w:rsidP="00FF56A3">
      <w:pPr>
        <w:spacing w:after="0" w:line="276" w:lineRule="auto"/>
        <w:ind w:left="709" w:right="709"/>
        <w:jc w:val="both"/>
        <w:rPr>
          <w:rFonts w:ascii="Arial" w:hAnsi="Arial" w:cs="Arial"/>
          <w:bCs/>
          <w:sz w:val="21"/>
          <w:szCs w:val="21"/>
        </w:rPr>
      </w:pPr>
      <w:r w:rsidRPr="00A42C60">
        <w:rPr>
          <w:rFonts w:ascii="Arial" w:hAnsi="Arial" w:cs="Arial"/>
          <w:bCs/>
          <w:sz w:val="21"/>
          <w:szCs w:val="21"/>
        </w:rPr>
        <w:t>4. ¿En los contratos a precios estimados pero determinables aplica el límite de adición del artículo 40 de la Ley 80 de 1993?</w:t>
      </w:r>
      <w:r w:rsidR="00DA371B" w:rsidRPr="00A42C60">
        <w:rPr>
          <w:rFonts w:ascii="Arial" w:hAnsi="Arial" w:cs="Arial"/>
          <w:bCs/>
          <w:sz w:val="21"/>
          <w:szCs w:val="21"/>
        </w:rPr>
        <w:t>».</w:t>
      </w:r>
    </w:p>
    <w:p w14:paraId="5B3CB25F" w14:textId="77777777" w:rsidR="00FF56A3" w:rsidRPr="00A42C60" w:rsidRDefault="00FF56A3" w:rsidP="00FF56A3">
      <w:pPr>
        <w:spacing w:after="0" w:line="276" w:lineRule="auto"/>
        <w:ind w:right="709"/>
        <w:jc w:val="both"/>
        <w:rPr>
          <w:rFonts w:ascii="Arial" w:hAnsi="Arial" w:cs="Arial"/>
          <w:bCs/>
          <w:sz w:val="21"/>
          <w:szCs w:val="21"/>
        </w:rPr>
      </w:pPr>
    </w:p>
    <w:p w14:paraId="124D2DCA" w14:textId="77777777" w:rsidR="00DD5B04" w:rsidRPr="00A42C6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42C60">
        <w:rPr>
          <w:rFonts w:ascii="Arial" w:eastAsia="Calibri" w:hAnsi="Arial" w:cs="Arial"/>
          <w:b/>
          <w:color w:val="000000" w:themeColor="text1"/>
          <w:sz w:val="22"/>
          <w:lang w:val="es-ES_tradnl"/>
        </w:rPr>
        <w:t>Consideraciones</w:t>
      </w:r>
    </w:p>
    <w:p w14:paraId="395997FF" w14:textId="77777777" w:rsidR="00621981" w:rsidRPr="00A42C60" w:rsidRDefault="00621981" w:rsidP="00B7240D">
      <w:pPr>
        <w:spacing w:after="0" w:line="276" w:lineRule="auto"/>
        <w:jc w:val="both"/>
        <w:rPr>
          <w:rFonts w:ascii="Arial" w:hAnsi="Arial" w:cs="Arial"/>
          <w:color w:val="000000" w:themeColor="text1"/>
        </w:rPr>
      </w:pPr>
    </w:p>
    <w:p w14:paraId="722AAF49" w14:textId="253B3E94" w:rsidR="00FF56A3" w:rsidRPr="00A42C60" w:rsidRDefault="00FF56A3" w:rsidP="00FF56A3">
      <w:pPr>
        <w:spacing w:after="0" w:line="276" w:lineRule="auto"/>
        <w:jc w:val="both"/>
        <w:rPr>
          <w:rFonts w:ascii="Arial" w:hAnsi="Arial" w:cs="Arial"/>
          <w:szCs w:val="24"/>
          <w:lang w:val="es-MX" w:eastAsia="es-ES_tradnl"/>
        </w:rPr>
      </w:pPr>
      <w:r w:rsidRPr="00A42C60">
        <w:rPr>
          <w:rFonts w:ascii="Arial" w:hAnsi="Arial" w:cs="Arial"/>
          <w:bCs/>
          <w:color w:val="000000" w:themeColor="text1"/>
          <w:lang w:val="es-ES"/>
        </w:rPr>
        <w:t xml:space="preserve">Para </w:t>
      </w:r>
      <w:r w:rsidRPr="00A42C60">
        <w:rPr>
          <w:rFonts w:ascii="Arial" w:hAnsi="Arial" w:cs="Arial"/>
          <w:szCs w:val="24"/>
          <w:lang w:val="es-MX" w:eastAsia="es-ES_tradnl"/>
        </w:rPr>
        <w:t xml:space="preserve">resolver su consulta se analizarán los siguientes temas: i) </w:t>
      </w:r>
      <w:r w:rsidR="00501285" w:rsidRPr="00A42C60">
        <w:rPr>
          <w:rFonts w:ascii="Arial" w:hAnsi="Arial" w:cs="Arial"/>
          <w:szCs w:val="24"/>
          <w:lang w:val="es-MX" w:eastAsia="es-ES_tradnl"/>
        </w:rPr>
        <w:t>a</w:t>
      </w:r>
      <w:r w:rsidRPr="00A42C60">
        <w:rPr>
          <w:rFonts w:ascii="Arial" w:hAnsi="Arial" w:cs="Arial"/>
          <w:szCs w:val="24"/>
          <w:lang w:val="es-MX" w:eastAsia="es-ES_tradnl"/>
        </w:rPr>
        <w:t>dición de los contratos estatales y</w:t>
      </w:r>
      <w:r w:rsidR="00501285" w:rsidRPr="00A42C60">
        <w:rPr>
          <w:rFonts w:ascii="Arial" w:hAnsi="Arial" w:cs="Arial"/>
          <w:szCs w:val="24"/>
          <w:lang w:val="es-MX" w:eastAsia="es-ES_tradnl"/>
        </w:rPr>
        <w:t xml:space="preserve"> las posturas en torn</w:t>
      </w:r>
      <w:r w:rsidR="006F3909" w:rsidRPr="00A42C60">
        <w:rPr>
          <w:rFonts w:ascii="Arial" w:hAnsi="Arial" w:cs="Arial"/>
          <w:szCs w:val="24"/>
          <w:lang w:val="es-MX" w:eastAsia="es-ES_tradnl"/>
        </w:rPr>
        <w:t>o</w:t>
      </w:r>
      <w:r w:rsidR="00501285" w:rsidRPr="00A42C60">
        <w:rPr>
          <w:rFonts w:ascii="Arial" w:hAnsi="Arial" w:cs="Arial"/>
          <w:szCs w:val="24"/>
          <w:lang w:val="es-MX" w:eastAsia="es-ES_tradnl"/>
        </w:rPr>
        <w:t xml:space="preserve"> al tope para adicionar contratos y</w:t>
      </w:r>
      <w:r w:rsidRPr="00A42C60">
        <w:rPr>
          <w:rFonts w:ascii="Arial" w:hAnsi="Arial" w:cs="Arial"/>
          <w:szCs w:val="24"/>
          <w:lang w:val="es-MX" w:eastAsia="es-ES_tradnl"/>
        </w:rPr>
        <w:t xml:space="preserve"> ii) </w:t>
      </w:r>
      <w:r w:rsidR="006F3909" w:rsidRPr="00A42C60">
        <w:rPr>
          <w:rFonts w:ascii="Arial" w:hAnsi="Arial" w:cs="Arial"/>
          <w:szCs w:val="24"/>
          <w:lang w:val="es-MX" w:eastAsia="es-ES_tradnl"/>
        </w:rPr>
        <w:t xml:space="preserve">las </w:t>
      </w:r>
      <w:r w:rsidRPr="00A42C60">
        <w:rPr>
          <w:rFonts w:ascii="Arial" w:hAnsi="Arial" w:cs="Arial"/>
          <w:szCs w:val="24"/>
          <w:lang w:val="es-MX" w:eastAsia="es-ES_tradnl"/>
        </w:rPr>
        <w:t>modificaciones a los contratos estatales</w:t>
      </w:r>
      <w:r w:rsidR="006F3909" w:rsidRPr="00A42C60">
        <w:rPr>
          <w:rFonts w:ascii="Arial" w:hAnsi="Arial" w:cs="Arial"/>
          <w:szCs w:val="24"/>
          <w:lang w:val="es-MX" w:eastAsia="es-ES_tradnl"/>
        </w:rPr>
        <w:t>.</w:t>
      </w:r>
    </w:p>
    <w:p w14:paraId="20025C5C" w14:textId="15BAA1D3" w:rsidR="00501285" w:rsidRPr="00A42C60" w:rsidRDefault="00974CE3" w:rsidP="006F3909">
      <w:pPr>
        <w:spacing w:before="120" w:after="0" w:line="276" w:lineRule="auto"/>
        <w:ind w:firstLine="709"/>
        <w:jc w:val="both"/>
        <w:rPr>
          <w:rFonts w:ascii="Arial" w:hAnsi="Arial" w:cs="Arial"/>
          <w:bCs/>
          <w:szCs w:val="24"/>
          <w:lang w:val="es-ES_tradnl" w:eastAsia="es-ES_tradnl"/>
        </w:rPr>
      </w:pPr>
      <w:r w:rsidRPr="00A42C60">
        <w:rPr>
          <w:rFonts w:ascii="Arial" w:hAnsi="Arial" w:cs="Arial"/>
          <w:szCs w:val="24"/>
          <w:lang w:val="es-MX" w:eastAsia="es-ES_tradnl"/>
        </w:rPr>
        <w:t xml:space="preserve">La Agencia Nacional de Contratación Pública </w:t>
      </w:r>
      <w:r w:rsidRPr="00A42C60">
        <w:rPr>
          <w:rFonts w:ascii="Arial" w:hAnsi="Arial" w:cs="Arial" w:hint="eastAsia"/>
          <w:szCs w:val="24"/>
          <w:lang w:val="es-MX" w:eastAsia="es-ES_tradnl"/>
        </w:rPr>
        <w:t>―</w:t>
      </w:r>
      <w:r w:rsidRPr="00A42C60">
        <w:rPr>
          <w:rFonts w:ascii="Arial" w:hAnsi="Arial" w:cs="Arial"/>
          <w:szCs w:val="24"/>
          <w:lang w:val="es-MX" w:eastAsia="es-ES_tradnl"/>
        </w:rPr>
        <w:t xml:space="preserve"> Colombia Compra Eficiente, en los conceptos con radicado Nos. 4201912000007298 de 23 de octubre de 2019, 4201913000006294 del 16 de septiembre de 2019, así como en los conceptos C-062 del 25 de marzo de 2020, C-100 del 27 de marzo de 2020, </w:t>
      </w:r>
      <w:r w:rsidRPr="00A42C60">
        <w:rPr>
          <w:rFonts w:ascii="Arial" w:hAnsi="Arial" w:cs="Arial"/>
          <w:szCs w:val="24"/>
          <w:lang w:eastAsia="es-ES_tradnl"/>
        </w:rPr>
        <w:t>C</w:t>
      </w:r>
      <w:r w:rsidR="00501285" w:rsidRPr="00A42C60">
        <w:rPr>
          <w:rFonts w:ascii="Arial" w:hAnsi="Arial" w:cs="Arial"/>
          <w:szCs w:val="24"/>
          <w:lang w:eastAsia="es-ES_tradnl"/>
        </w:rPr>
        <w:t>-</w:t>
      </w:r>
      <w:r w:rsidRPr="00A42C60">
        <w:rPr>
          <w:rFonts w:ascii="Arial" w:hAnsi="Arial" w:cs="Arial"/>
          <w:szCs w:val="24"/>
          <w:lang w:eastAsia="es-ES_tradnl"/>
        </w:rPr>
        <w:t>318 del 28 de mayo de 2020, C–452 del 28 de julio de 2020,</w:t>
      </w:r>
      <w:r w:rsidR="00501285" w:rsidRPr="00A42C60">
        <w:rPr>
          <w:rFonts w:ascii="Arial" w:hAnsi="Arial" w:cs="Arial"/>
          <w:bCs/>
          <w:szCs w:val="24"/>
          <w:lang w:eastAsia="es-ES_tradnl"/>
        </w:rPr>
        <w:t xml:space="preserve"> C-560 del 24 de agosto de 2020, C-628 del 23 de septiembre del 2020,</w:t>
      </w:r>
      <w:r w:rsidRPr="00A42C60">
        <w:rPr>
          <w:rFonts w:ascii="Arial" w:hAnsi="Arial" w:cs="Arial"/>
          <w:szCs w:val="24"/>
          <w:lang w:eastAsia="es-ES_tradnl"/>
        </w:rPr>
        <w:t xml:space="preserve"> C-750 del 21 de diciembre de 2020</w:t>
      </w:r>
      <w:r w:rsidR="00501285" w:rsidRPr="00A42C60">
        <w:rPr>
          <w:rFonts w:ascii="Arial" w:hAnsi="Arial" w:cs="Arial"/>
          <w:szCs w:val="24"/>
          <w:lang w:eastAsia="es-ES_tradnl"/>
        </w:rPr>
        <w:t>,</w:t>
      </w:r>
      <w:r w:rsidR="00501285" w:rsidRPr="00A42C60">
        <w:rPr>
          <w:rFonts w:ascii="Arial" w:hAnsi="Arial" w:cs="Arial"/>
          <w:bCs/>
          <w:szCs w:val="24"/>
          <w:lang w:eastAsia="es-ES_tradnl"/>
        </w:rPr>
        <w:t xml:space="preserve"> C-073 de 16 de marzo de 2021, C-277 de 21 de junio de 2021, C-644 de 18 de noviembre de 2021, C-755 de 21 de enero de 2022, C-152 de 1 de abril de 2022, C-267 de 5 de mayo de 2022 y C-432 de 13 de julio de 2022 y C-630 del 29 de septiembre de 2022,</w:t>
      </w:r>
      <w:r w:rsidRPr="00A42C60">
        <w:rPr>
          <w:rFonts w:ascii="Arial" w:hAnsi="Arial" w:cs="Arial"/>
          <w:szCs w:val="24"/>
          <w:lang w:val="es-MX" w:eastAsia="es-ES_tradnl"/>
        </w:rPr>
        <w:t xml:space="preserve"> estudió asuntos relacionados con la adición de los contratos estatales</w:t>
      </w:r>
      <w:r w:rsidR="00FF56A3" w:rsidRPr="00A42C60">
        <w:rPr>
          <w:rFonts w:ascii="Arial" w:hAnsi="Arial" w:cs="Arial"/>
          <w:szCs w:val="24"/>
          <w:vertAlign w:val="superscript"/>
          <w:lang w:val="es-ES_tradnl" w:eastAsia="es-ES_tradnl"/>
        </w:rPr>
        <w:footnoteReference w:id="2"/>
      </w:r>
      <w:r w:rsidR="00FF56A3" w:rsidRPr="00A42C60">
        <w:rPr>
          <w:rFonts w:ascii="Arial" w:hAnsi="Arial" w:cs="Arial"/>
          <w:szCs w:val="24"/>
          <w:lang w:val="es-ES_tradnl" w:eastAsia="es-ES_tradnl"/>
        </w:rPr>
        <w:t xml:space="preserve">. </w:t>
      </w:r>
      <w:r w:rsidR="006F3909" w:rsidRPr="00A42C60">
        <w:rPr>
          <w:rFonts w:ascii="Arial" w:hAnsi="Arial" w:cs="Arial"/>
          <w:szCs w:val="24"/>
          <w:lang w:val="es-ES_tradnl" w:eastAsia="es-ES_tradnl"/>
        </w:rPr>
        <w:t xml:space="preserve"> </w:t>
      </w:r>
      <w:r w:rsidR="00501285" w:rsidRPr="00A42C60">
        <w:rPr>
          <w:rFonts w:ascii="Arial" w:hAnsi="Arial" w:cs="Arial"/>
          <w:bCs/>
          <w:szCs w:val="24"/>
          <w:lang w:val="es-ES_tradnl" w:eastAsia="es-ES_tradnl"/>
        </w:rPr>
        <w:t xml:space="preserve">Asimismo, en </w:t>
      </w:r>
      <w:r w:rsidR="006F3909" w:rsidRPr="00A42C60">
        <w:rPr>
          <w:rFonts w:ascii="Arial" w:hAnsi="Arial" w:cs="Arial"/>
          <w:bCs/>
          <w:szCs w:val="24"/>
          <w:lang w:val="es-ES_tradnl" w:eastAsia="es-ES_tradnl"/>
        </w:rPr>
        <w:t>los</w:t>
      </w:r>
      <w:r w:rsidR="00501285" w:rsidRPr="00A42C60">
        <w:rPr>
          <w:rFonts w:ascii="Arial" w:hAnsi="Arial" w:cs="Arial"/>
          <w:bCs/>
          <w:szCs w:val="24"/>
          <w:lang w:val="es-ES_tradnl" w:eastAsia="es-ES_tradnl"/>
        </w:rPr>
        <w:t xml:space="preserve"> concepto C-457 del 3 de septiembre del 2021 </w:t>
      </w:r>
      <w:r w:rsidR="006F3909" w:rsidRPr="00A42C60">
        <w:rPr>
          <w:rFonts w:ascii="Arial" w:hAnsi="Arial" w:cs="Arial"/>
          <w:bCs/>
          <w:szCs w:val="24"/>
          <w:lang w:val="es-ES_tradnl" w:eastAsia="es-ES_tradnl"/>
        </w:rPr>
        <w:t xml:space="preserve">y C-663 del 13 de octubre de 2022 </w:t>
      </w:r>
      <w:r w:rsidR="00501285" w:rsidRPr="00A42C60">
        <w:rPr>
          <w:rFonts w:ascii="Arial" w:hAnsi="Arial" w:cs="Arial"/>
          <w:bCs/>
          <w:szCs w:val="24"/>
          <w:lang w:val="es-ES_tradnl" w:eastAsia="es-ES_tradnl"/>
        </w:rPr>
        <w:t>se pronunció sobre la modificación a los contratos estatales. Las tesis expuesta en est</w:t>
      </w:r>
      <w:r w:rsidR="006F3909" w:rsidRPr="00A42C60">
        <w:rPr>
          <w:rFonts w:ascii="Arial" w:hAnsi="Arial" w:cs="Arial"/>
          <w:bCs/>
          <w:szCs w:val="24"/>
          <w:lang w:val="es-ES_tradnl" w:eastAsia="es-ES_tradnl"/>
        </w:rPr>
        <w:t>os</w:t>
      </w:r>
      <w:r w:rsidR="00501285" w:rsidRPr="00A42C60">
        <w:rPr>
          <w:rFonts w:ascii="Arial" w:hAnsi="Arial" w:cs="Arial"/>
          <w:bCs/>
          <w:szCs w:val="24"/>
          <w:lang w:val="es-ES_tradnl" w:eastAsia="es-ES_tradnl"/>
        </w:rPr>
        <w:t xml:space="preserve"> concepto</w:t>
      </w:r>
      <w:r w:rsidR="006F3909" w:rsidRPr="00A42C60">
        <w:rPr>
          <w:rFonts w:ascii="Arial" w:hAnsi="Arial" w:cs="Arial"/>
          <w:bCs/>
          <w:szCs w:val="24"/>
          <w:lang w:val="es-ES_tradnl" w:eastAsia="es-ES_tradnl"/>
        </w:rPr>
        <w:t>s</w:t>
      </w:r>
      <w:r w:rsidR="00501285" w:rsidRPr="00A42C60">
        <w:rPr>
          <w:rFonts w:ascii="Arial" w:hAnsi="Arial" w:cs="Arial"/>
          <w:bCs/>
          <w:szCs w:val="24"/>
          <w:lang w:val="es-ES_tradnl" w:eastAsia="es-ES_tradnl"/>
        </w:rPr>
        <w:t xml:space="preserve"> se reitera</w:t>
      </w:r>
      <w:r w:rsidR="006C649B" w:rsidRPr="00A42C60">
        <w:rPr>
          <w:rFonts w:ascii="Arial" w:hAnsi="Arial" w:cs="Arial"/>
          <w:bCs/>
          <w:szCs w:val="24"/>
          <w:lang w:val="es-ES_tradnl" w:eastAsia="es-ES_tradnl"/>
        </w:rPr>
        <w:t>n y se complementan</w:t>
      </w:r>
      <w:r w:rsidR="00501285" w:rsidRPr="00A42C60">
        <w:rPr>
          <w:rFonts w:ascii="Arial" w:hAnsi="Arial" w:cs="Arial"/>
          <w:bCs/>
          <w:szCs w:val="24"/>
          <w:lang w:val="es-ES_tradnl" w:eastAsia="es-ES_tradnl"/>
        </w:rPr>
        <w:t xml:space="preserve"> en lo pertinente</w:t>
      </w:r>
      <w:r w:rsidR="006F3909" w:rsidRPr="00A42C60">
        <w:rPr>
          <w:rFonts w:ascii="Arial" w:hAnsi="Arial" w:cs="Arial"/>
          <w:bCs/>
          <w:szCs w:val="24"/>
          <w:lang w:val="es-ES_tradnl" w:eastAsia="es-ES_tradnl"/>
        </w:rPr>
        <w:t>.</w:t>
      </w:r>
    </w:p>
    <w:p w14:paraId="37F86244" w14:textId="77777777" w:rsidR="006F3909" w:rsidRPr="00A42C60" w:rsidRDefault="006F3909" w:rsidP="00F12EAB">
      <w:pPr>
        <w:spacing w:after="0" w:line="276" w:lineRule="auto"/>
        <w:jc w:val="both"/>
        <w:rPr>
          <w:rFonts w:ascii="Arial" w:hAnsi="Arial" w:cs="Arial"/>
          <w:b/>
          <w:bCs/>
          <w:szCs w:val="24"/>
          <w:lang w:val="es-ES_tradnl" w:eastAsia="es-ES_tradnl"/>
        </w:rPr>
      </w:pPr>
    </w:p>
    <w:p w14:paraId="70DC9438" w14:textId="69A66FE5" w:rsidR="006F3909" w:rsidRPr="00A42C60" w:rsidRDefault="006F3909" w:rsidP="00F12EAB">
      <w:pPr>
        <w:spacing w:after="0" w:line="276" w:lineRule="auto"/>
        <w:jc w:val="both"/>
        <w:rPr>
          <w:rFonts w:ascii="Arial" w:hAnsi="Arial" w:cs="Arial"/>
          <w:b/>
          <w:szCs w:val="24"/>
          <w:lang w:val="es-ES_tradnl" w:eastAsia="es-ES_tradnl"/>
        </w:rPr>
      </w:pPr>
      <w:r w:rsidRPr="00A42C60">
        <w:rPr>
          <w:rFonts w:ascii="Arial" w:hAnsi="Arial" w:cs="Arial"/>
          <w:b/>
          <w:bCs/>
          <w:szCs w:val="24"/>
          <w:lang w:val="es-ES_tradnl" w:eastAsia="es-ES_tradnl"/>
        </w:rPr>
        <w:t>2.</w:t>
      </w:r>
      <w:r w:rsidR="00F5308B" w:rsidRPr="00A42C60">
        <w:rPr>
          <w:rFonts w:ascii="Arial" w:hAnsi="Arial" w:cs="Arial"/>
          <w:b/>
          <w:bCs/>
          <w:szCs w:val="24"/>
          <w:lang w:val="es-ES_tradnl" w:eastAsia="es-ES_tradnl"/>
        </w:rPr>
        <w:t>1</w:t>
      </w:r>
      <w:r w:rsidRPr="00A42C60">
        <w:rPr>
          <w:rFonts w:ascii="Arial" w:hAnsi="Arial" w:cs="Arial"/>
          <w:b/>
          <w:bCs/>
          <w:szCs w:val="24"/>
          <w:lang w:val="es-ES_tradnl" w:eastAsia="es-ES_tradnl"/>
        </w:rPr>
        <w:t xml:space="preserve">. </w:t>
      </w:r>
      <w:r w:rsidRPr="00A42C60">
        <w:rPr>
          <w:rFonts w:ascii="Arial" w:hAnsi="Arial" w:cs="Arial"/>
          <w:b/>
          <w:szCs w:val="24"/>
          <w:lang w:val="es-ES_tradnl" w:eastAsia="es-ES_tradnl"/>
        </w:rPr>
        <w:t>Concepto de adición en los contratos estatales y sus límites en el Estatuto General de Contratación de la Administración Pública</w:t>
      </w:r>
    </w:p>
    <w:p w14:paraId="592F210D" w14:textId="77777777" w:rsidR="006F3909" w:rsidRPr="00A42C60" w:rsidRDefault="006F3909" w:rsidP="00F12EAB">
      <w:pPr>
        <w:spacing w:after="0" w:line="276" w:lineRule="auto"/>
        <w:jc w:val="both"/>
        <w:rPr>
          <w:rFonts w:ascii="Arial" w:hAnsi="Arial" w:cs="Arial"/>
          <w:bCs/>
          <w:szCs w:val="24"/>
          <w:lang w:val="es-ES_tradnl" w:eastAsia="es-ES_tradnl"/>
        </w:rPr>
      </w:pPr>
    </w:p>
    <w:p w14:paraId="0013E18B" w14:textId="77777777" w:rsidR="006F3909" w:rsidRPr="00A42C60" w:rsidRDefault="006F3909" w:rsidP="00F12EAB">
      <w:pPr>
        <w:spacing w:after="0" w:line="276" w:lineRule="auto"/>
        <w:jc w:val="both"/>
        <w:rPr>
          <w:rFonts w:ascii="Arial" w:hAnsi="Arial" w:cs="Arial"/>
          <w:bCs/>
          <w:szCs w:val="24"/>
          <w:lang w:val="es-ES_tradnl" w:eastAsia="es-ES_tradnl"/>
        </w:rPr>
      </w:pPr>
      <w:r w:rsidRPr="00A42C60">
        <w:rPr>
          <w:rFonts w:ascii="Arial" w:hAnsi="Arial" w:cs="Arial"/>
          <w:bCs/>
          <w:szCs w:val="24"/>
          <w:lang w:val="es-ES_tradnl" w:eastAsia="es-ES_tradnl"/>
        </w:rPr>
        <w:t xml:space="preserve">Como es sabido, uno de los elementos más comunes en los contratos estatales es el </w:t>
      </w:r>
      <w:r w:rsidRPr="00A42C60">
        <w:rPr>
          <w:rFonts w:ascii="Arial" w:hAnsi="Arial" w:cs="Arial"/>
          <w:bCs/>
          <w:i/>
          <w:iCs/>
          <w:szCs w:val="24"/>
          <w:lang w:val="es-ES_tradnl" w:eastAsia="es-ES_tradnl"/>
        </w:rPr>
        <w:t>precio</w:t>
      </w:r>
      <w:r w:rsidRPr="00A42C60">
        <w:rPr>
          <w:rFonts w:ascii="Arial" w:hAnsi="Arial" w:cs="Arial"/>
          <w:bCs/>
          <w:szCs w:val="24"/>
          <w:lang w:val="es-ES_tradnl" w:eastAsia="es-ES_tradnl"/>
        </w:rPr>
        <w:t>,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15C0419A" w14:textId="77777777" w:rsidR="006F3909" w:rsidRPr="00A42C60" w:rsidRDefault="006F3909" w:rsidP="006F3909">
      <w:pPr>
        <w:spacing w:before="120" w:after="0" w:line="276" w:lineRule="auto"/>
        <w:ind w:firstLine="709"/>
        <w:jc w:val="both"/>
        <w:rPr>
          <w:rFonts w:ascii="Arial" w:hAnsi="Arial" w:cs="Arial"/>
          <w:bCs/>
          <w:szCs w:val="24"/>
          <w:lang w:val="es-ES_tradnl" w:eastAsia="es-ES_tradnl"/>
        </w:rPr>
      </w:pPr>
      <w:r w:rsidRPr="00A42C60">
        <w:rPr>
          <w:rFonts w:ascii="Arial" w:hAnsi="Arial" w:cs="Arial"/>
          <w:bCs/>
          <w:szCs w:val="24"/>
          <w:lang w:val="es-ES_tradnl" w:eastAsia="es-ES_tradnl"/>
        </w:rPr>
        <w:lastRenderedPageBreak/>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entidad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A42C60">
        <w:rPr>
          <w:rFonts w:ascii="Arial" w:hAnsi="Arial" w:cs="Arial"/>
          <w:bCs/>
          <w:szCs w:val="24"/>
          <w:vertAlign w:val="superscript"/>
          <w:lang w:val="es-ES_tradnl" w:eastAsia="es-ES_tradnl"/>
        </w:rPr>
        <w:footnoteReference w:id="3"/>
      </w:r>
      <w:r w:rsidRPr="00A42C60">
        <w:rPr>
          <w:rFonts w:ascii="Arial" w:hAnsi="Arial" w:cs="Arial"/>
          <w:bCs/>
          <w:szCs w:val="24"/>
          <w:lang w:val="es-ES_tradnl" w:eastAsia="es-ES_tradnl"/>
        </w:rPr>
        <w:t>.</w:t>
      </w:r>
    </w:p>
    <w:p w14:paraId="0BA17BF4" w14:textId="77777777" w:rsidR="006F3909" w:rsidRPr="00A42C60" w:rsidRDefault="006F3909" w:rsidP="006F3909">
      <w:pPr>
        <w:spacing w:before="120" w:after="0" w:line="276" w:lineRule="auto"/>
        <w:ind w:firstLine="709"/>
        <w:jc w:val="both"/>
        <w:rPr>
          <w:rFonts w:ascii="Arial" w:hAnsi="Arial" w:cs="Arial"/>
          <w:bCs/>
          <w:szCs w:val="24"/>
          <w:lang w:val="es-ES_tradnl" w:eastAsia="es-ES_tradnl"/>
        </w:rPr>
      </w:pPr>
      <w:r w:rsidRPr="00A42C60">
        <w:rPr>
          <w:rFonts w:ascii="Arial" w:hAnsi="Arial" w:cs="Arial"/>
          <w:bCs/>
          <w:szCs w:val="24"/>
          <w:lang w:val="es-ES_tradnl" w:eastAsia="es-ES_tradnl"/>
        </w:rPr>
        <w:t>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4D1CF9F4" w14:textId="77777777" w:rsidR="006F3909" w:rsidRPr="00A42C60" w:rsidRDefault="006F3909" w:rsidP="006F3909">
      <w:pPr>
        <w:spacing w:before="120" w:after="0" w:line="276" w:lineRule="auto"/>
        <w:ind w:firstLine="709"/>
        <w:jc w:val="both"/>
        <w:rPr>
          <w:rFonts w:ascii="Arial" w:hAnsi="Arial" w:cs="Arial"/>
          <w:bCs/>
          <w:szCs w:val="24"/>
          <w:lang w:val="es-ES_tradnl" w:eastAsia="es-ES_tradnl"/>
        </w:rPr>
      </w:pPr>
      <w:r w:rsidRPr="00A42C60">
        <w:rPr>
          <w:rFonts w:ascii="Arial" w:hAnsi="Arial" w:cs="Arial"/>
          <w:bCs/>
          <w:szCs w:val="24"/>
          <w:lang w:val="es-ES_tradnl" w:eastAsia="es-ES_tradnl"/>
        </w:rPr>
        <w:t xml:space="preserve">Por ejemplo,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w:t>
      </w:r>
      <w:r w:rsidRPr="00A42C60">
        <w:rPr>
          <w:rFonts w:ascii="Arial" w:hAnsi="Arial" w:cs="Arial"/>
          <w:bCs/>
          <w:szCs w:val="24"/>
          <w:lang w:val="es-ES_tradnl" w:eastAsia="es-ES_tradnl"/>
        </w:rPr>
        <w:lastRenderedPageBreak/>
        <w:t xml:space="preserve">salvaguardar su ganancia–. En tal sentido, mientras que los costos directos se evidencian en el análisis de precios unitarios –APU–, como la sumatoria de los valores de los </w:t>
      </w:r>
      <w:r w:rsidRPr="00A42C60">
        <w:rPr>
          <w:rFonts w:ascii="Arial" w:hAnsi="Arial" w:cs="Arial"/>
          <w:bCs/>
          <w:i/>
          <w:iCs/>
          <w:szCs w:val="24"/>
          <w:lang w:val="es-ES_tradnl" w:eastAsia="es-ES_tradnl"/>
        </w:rPr>
        <w:t>ítems</w:t>
      </w:r>
      <w:r w:rsidRPr="00A42C60">
        <w:rPr>
          <w:rFonts w:ascii="Arial" w:hAnsi="Arial" w:cs="Arial"/>
          <w:bCs/>
          <w:szCs w:val="24"/>
          <w:lang w:val="es-ES_tradnl" w:eastAsia="es-ES_tradnl"/>
        </w:rPr>
        <w:t xml:space="preserve"> según su unidad de medida, los costos indirectos se suelen abreviar en las variables que integran el acrónimo AIU –Administración, Imprevistos y Utilidad–, que se calcula como un porcentaje aplicado a los costos indirectos</w:t>
      </w:r>
      <w:r w:rsidRPr="00A42C60">
        <w:rPr>
          <w:rFonts w:ascii="Arial" w:hAnsi="Arial" w:cs="Arial"/>
          <w:szCs w:val="24"/>
          <w:vertAlign w:val="superscript"/>
          <w:lang w:val="es-ES_tradnl" w:eastAsia="es-ES_tradnl"/>
        </w:rPr>
        <w:footnoteReference w:id="4"/>
      </w:r>
      <w:r w:rsidRPr="00A42C60">
        <w:rPr>
          <w:rFonts w:ascii="Arial" w:hAnsi="Arial" w:cs="Arial"/>
          <w:szCs w:val="24"/>
          <w:lang w:val="es-ES_tradnl" w:eastAsia="es-ES_tradnl"/>
        </w:rPr>
        <w:t>.</w:t>
      </w:r>
    </w:p>
    <w:p w14:paraId="6BADE3C4" w14:textId="77777777" w:rsidR="006F3909" w:rsidRPr="00A42C60" w:rsidRDefault="006F3909" w:rsidP="006F3909">
      <w:pPr>
        <w:spacing w:before="120" w:after="0" w:line="276" w:lineRule="auto"/>
        <w:ind w:firstLine="709"/>
        <w:jc w:val="both"/>
        <w:rPr>
          <w:rFonts w:ascii="Arial" w:hAnsi="Arial" w:cs="Arial"/>
          <w:bCs/>
          <w:szCs w:val="24"/>
          <w:lang w:val="es-ES_tradnl" w:eastAsia="es-ES_tradnl"/>
        </w:rPr>
      </w:pPr>
      <w:r w:rsidRPr="00A42C60">
        <w:rPr>
          <w:rFonts w:ascii="Arial" w:hAnsi="Arial" w:cs="Arial"/>
          <w:bCs/>
          <w:szCs w:val="24"/>
          <w:lang w:val="es-ES_tradnl" w:eastAsia="es-ES_tradnl"/>
        </w:rPr>
        <w:t>En este orden de ideas, tanto las entidades sometidas al Estatuto General de Contratación de la Administración Pública – EGCAP –, como las excluidas de este –es decir, las que tienen un régimen especial– gozan de autonomía para configurar el precio y para establecer el sistema de pago más apropiado para satisfacer los fines de la contratación, respetando los límites previstos en el ordenamiento. Para las entidades que se rigen por el EGCAP, tal autonomía está reconocida en los artículos 13, 32 y 40 de la Ley 80 de 1993.</w:t>
      </w:r>
    </w:p>
    <w:p w14:paraId="6C5197AB" w14:textId="77777777" w:rsidR="00F0141B" w:rsidRDefault="006F3909" w:rsidP="00903E8D">
      <w:pPr>
        <w:spacing w:before="120" w:after="0" w:line="276" w:lineRule="auto"/>
        <w:ind w:firstLine="709"/>
        <w:jc w:val="both"/>
        <w:rPr>
          <w:rFonts w:ascii="Arial" w:hAnsi="Arial" w:cs="Arial"/>
          <w:lang w:val="es-ES_tradnl" w:eastAsia="es-ES_tradnl"/>
        </w:rPr>
      </w:pPr>
      <w:r w:rsidRPr="00A42C60">
        <w:rPr>
          <w:rFonts w:ascii="Arial" w:hAnsi="Arial" w:cs="Arial"/>
          <w:lang w:val="es-ES_tradnl" w:eastAsia="es-ES_tradnl"/>
        </w:rPr>
        <w:t>Ahora bien, 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w:t>
      </w:r>
      <w:r w:rsidR="00F142B5" w:rsidRPr="00914EEF">
        <w:rPr>
          <w:rFonts w:ascii="Arial" w:hAnsi="Arial" w:cs="Arial"/>
          <w:lang w:val="es-ES_tradnl" w:eastAsia="es-ES_tradnl"/>
        </w:rPr>
        <w:t xml:space="preserve">. </w:t>
      </w:r>
    </w:p>
    <w:p w14:paraId="37B4172D" w14:textId="48A318E3" w:rsidR="00994DC6" w:rsidRPr="00914EEF" w:rsidRDefault="00F142B5" w:rsidP="00903E8D">
      <w:pPr>
        <w:spacing w:before="120" w:after="0" w:line="276" w:lineRule="auto"/>
        <w:ind w:firstLine="709"/>
        <w:jc w:val="both"/>
        <w:rPr>
          <w:rFonts w:ascii="Arial" w:hAnsi="Arial" w:cs="Arial"/>
          <w:lang w:val="es-ES_tradnl" w:eastAsia="es-ES_tradnl"/>
        </w:rPr>
      </w:pPr>
      <w:r w:rsidRPr="00914EEF">
        <w:rPr>
          <w:rFonts w:ascii="Arial" w:hAnsi="Arial" w:cs="Arial"/>
          <w:lang w:val="es-ES_tradnl" w:eastAsia="es-ES_tradnl"/>
        </w:rPr>
        <w:t xml:space="preserve">Este último término </w:t>
      </w:r>
      <w:r w:rsidR="007F068B">
        <w:rPr>
          <w:rFonts w:ascii="Arial" w:hAnsi="Arial" w:cs="Arial"/>
          <w:lang w:val="es-ES_tradnl" w:eastAsia="es-ES_tradnl"/>
        </w:rPr>
        <w:t>tiene origen</w:t>
      </w:r>
      <w:r w:rsidRPr="00914EEF">
        <w:rPr>
          <w:rFonts w:ascii="Arial" w:hAnsi="Arial" w:cs="Arial"/>
          <w:lang w:val="es-ES_tradnl" w:eastAsia="es-ES_tradnl"/>
        </w:rPr>
        <w:t xml:space="preserve"> </w:t>
      </w:r>
      <w:r w:rsidR="00076240" w:rsidRPr="00914EEF">
        <w:rPr>
          <w:rFonts w:ascii="Arial" w:hAnsi="Arial" w:cs="Arial"/>
          <w:lang w:val="es-ES_tradnl" w:eastAsia="es-ES_tradnl"/>
        </w:rPr>
        <w:t>en el artículo 58 del Decreto ley 222 de 1983</w:t>
      </w:r>
      <w:r w:rsidR="001E67AB">
        <w:rPr>
          <w:rStyle w:val="Refdenotaalpie"/>
          <w:rFonts w:ascii="Arial" w:hAnsi="Arial" w:cs="Arial"/>
          <w:lang w:val="es-ES_tradnl" w:eastAsia="es-ES_tradnl"/>
        </w:rPr>
        <w:footnoteReference w:id="5"/>
      </w:r>
      <w:r w:rsidR="00076240" w:rsidRPr="00914EEF">
        <w:rPr>
          <w:rFonts w:ascii="Arial" w:hAnsi="Arial" w:cs="Arial"/>
          <w:lang w:val="es-ES_tradnl" w:eastAsia="es-ES_tradnl"/>
        </w:rPr>
        <w:t>,</w:t>
      </w:r>
      <w:r w:rsidR="002655A1" w:rsidRPr="00914EEF">
        <w:rPr>
          <w:rFonts w:ascii="Arial" w:hAnsi="Arial" w:cs="Arial"/>
          <w:lang w:val="es-ES_tradnl" w:eastAsia="es-ES_tradnl"/>
        </w:rPr>
        <w:t xml:space="preserve"> el cual </w:t>
      </w:r>
      <w:r w:rsidR="001858F3" w:rsidRPr="00914EEF">
        <w:rPr>
          <w:rFonts w:ascii="Arial" w:hAnsi="Arial" w:cs="Arial"/>
          <w:lang w:val="es-ES_tradnl" w:eastAsia="es-ES_tradnl"/>
        </w:rPr>
        <w:t>establecía</w:t>
      </w:r>
      <w:r w:rsidR="002655A1" w:rsidRPr="00914EEF">
        <w:rPr>
          <w:rFonts w:ascii="Arial" w:hAnsi="Arial" w:cs="Arial"/>
          <w:lang w:val="es-ES_tradnl" w:eastAsia="es-ES_tradnl"/>
        </w:rPr>
        <w:t xml:space="preserve"> </w:t>
      </w:r>
      <w:r w:rsidR="0004376B">
        <w:rPr>
          <w:rFonts w:ascii="Arial" w:hAnsi="Arial" w:cs="Arial"/>
          <w:lang w:val="es-ES_tradnl" w:eastAsia="es-ES_tradnl"/>
        </w:rPr>
        <w:t>el «contrato adicional»</w:t>
      </w:r>
      <w:r w:rsidR="00903E8D">
        <w:rPr>
          <w:rFonts w:ascii="Arial" w:hAnsi="Arial" w:cs="Arial"/>
          <w:lang w:val="es-ES_tradnl" w:eastAsia="es-ES_tradnl"/>
        </w:rPr>
        <w:t xml:space="preserve"> como el</w:t>
      </w:r>
      <w:r w:rsidR="00914EEF" w:rsidRPr="00914EEF">
        <w:rPr>
          <w:rFonts w:ascii="Arial" w:hAnsi="Arial" w:cs="Arial"/>
          <w:lang w:val="es-ES_tradnl" w:eastAsia="es-ES_tradnl"/>
        </w:rPr>
        <w:t xml:space="preserve"> mecanismo a utilizar cuando existiere la </w:t>
      </w:r>
      <w:r w:rsidR="00903E8D">
        <w:rPr>
          <w:rFonts w:ascii="Arial" w:hAnsi="Arial" w:cs="Arial"/>
          <w:lang w:val="es-ES_tradnl" w:eastAsia="es-ES_tradnl"/>
        </w:rPr>
        <w:lastRenderedPageBreak/>
        <w:t>«</w:t>
      </w:r>
      <w:r w:rsidR="00914EEF" w:rsidRPr="00914EEF">
        <w:rPr>
          <w:rFonts w:ascii="Arial" w:hAnsi="Arial" w:cs="Arial"/>
          <w:lang w:val="es-ES_tradnl" w:eastAsia="es-ES_tradnl"/>
        </w:rPr>
        <w:t>necesidad de modificar el plazo o el valor convenido y no se tratare de la revisión de precios</w:t>
      </w:r>
      <w:r w:rsidR="00903E8D">
        <w:rPr>
          <w:rFonts w:ascii="Arial" w:hAnsi="Arial" w:cs="Arial"/>
          <w:lang w:val="es-ES_tradnl" w:eastAsia="es-ES_tradnl"/>
        </w:rPr>
        <w:t>»</w:t>
      </w:r>
      <w:r w:rsidR="00914EEF" w:rsidRPr="00914EEF">
        <w:rPr>
          <w:rFonts w:ascii="Arial" w:hAnsi="Arial" w:cs="Arial"/>
          <w:lang w:val="es-ES_tradnl" w:eastAsia="es-ES_tradnl"/>
        </w:rPr>
        <w:t xml:space="preserve"> regulada </w:t>
      </w:r>
      <w:r w:rsidR="00903E8D">
        <w:rPr>
          <w:rFonts w:ascii="Arial" w:hAnsi="Arial" w:cs="Arial"/>
          <w:lang w:val="es-ES_tradnl" w:eastAsia="es-ES_tradnl"/>
        </w:rPr>
        <w:t>por</w:t>
      </w:r>
      <w:r w:rsidR="00914EEF" w:rsidRPr="00914EEF">
        <w:rPr>
          <w:rFonts w:ascii="Arial" w:hAnsi="Arial" w:cs="Arial"/>
          <w:lang w:val="es-ES_tradnl" w:eastAsia="es-ES_tradnl"/>
        </w:rPr>
        <w:t xml:space="preserve"> dicho estatuto.</w:t>
      </w:r>
      <w:r w:rsidR="00C07B7C">
        <w:rPr>
          <w:rFonts w:ascii="Arial" w:hAnsi="Arial" w:cs="Arial"/>
          <w:lang w:val="es-ES_tradnl" w:eastAsia="es-ES_tradnl"/>
        </w:rPr>
        <w:t xml:space="preserve"> </w:t>
      </w:r>
      <w:r w:rsidR="0095252F">
        <w:rPr>
          <w:rFonts w:ascii="Arial" w:hAnsi="Arial" w:cs="Arial"/>
          <w:lang w:val="es-ES_tradnl" w:eastAsia="es-ES_tradnl"/>
        </w:rPr>
        <w:t>Sin embargo</w:t>
      </w:r>
      <w:r w:rsidR="00CE01A5">
        <w:rPr>
          <w:rFonts w:ascii="Arial" w:hAnsi="Arial" w:cs="Arial"/>
          <w:lang w:val="es-ES_tradnl" w:eastAsia="es-ES_tradnl"/>
        </w:rPr>
        <w:t xml:space="preserve">, dicha figura </w:t>
      </w:r>
      <w:r w:rsidR="00C52273">
        <w:rPr>
          <w:rFonts w:ascii="Arial" w:hAnsi="Arial" w:cs="Arial"/>
          <w:lang w:val="es-ES_tradnl" w:eastAsia="es-ES_tradnl"/>
        </w:rPr>
        <w:t xml:space="preserve">fue abandonada por la Ley 80 de 1993, estatuto que, fuera de lo dispuesto en relación con la potestad de modificación unilateral, </w:t>
      </w:r>
      <w:r w:rsidR="00B20F47">
        <w:rPr>
          <w:rFonts w:ascii="Arial" w:hAnsi="Arial" w:cs="Arial"/>
          <w:lang w:val="es-ES_tradnl" w:eastAsia="es-ES_tradnl"/>
        </w:rPr>
        <w:t>solo aludió a</w:t>
      </w:r>
      <w:r w:rsidR="00A8651E">
        <w:rPr>
          <w:rFonts w:ascii="Arial" w:hAnsi="Arial" w:cs="Arial"/>
          <w:lang w:val="es-ES_tradnl" w:eastAsia="es-ES_tradnl"/>
        </w:rPr>
        <w:t xml:space="preserve"> la posibilidad de adicionar </w:t>
      </w:r>
      <w:r w:rsidR="00FB48A1">
        <w:rPr>
          <w:rFonts w:ascii="Arial" w:hAnsi="Arial" w:cs="Arial"/>
          <w:lang w:val="es-ES_tradnl" w:eastAsia="es-ES_tradnl"/>
        </w:rPr>
        <w:t xml:space="preserve">valor de </w:t>
      </w:r>
      <w:r w:rsidR="00A8651E">
        <w:rPr>
          <w:rFonts w:ascii="Arial" w:hAnsi="Arial" w:cs="Arial"/>
          <w:lang w:val="es-ES_tradnl" w:eastAsia="es-ES_tradnl"/>
        </w:rPr>
        <w:t>los contrat</w:t>
      </w:r>
      <w:r w:rsidR="00AB64FE">
        <w:rPr>
          <w:rFonts w:ascii="Arial" w:hAnsi="Arial" w:cs="Arial"/>
          <w:lang w:val="es-ES_tradnl" w:eastAsia="es-ES_tradnl"/>
        </w:rPr>
        <w:t xml:space="preserve">os estatales </w:t>
      </w:r>
      <w:r w:rsidR="00FB48A1">
        <w:rPr>
          <w:rFonts w:ascii="Arial" w:hAnsi="Arial" w:cs="Arial"/>
          <w:lang w:val="es-ES_tradnl" w:eastAsia="es-ES_tradnl"/>
        </w:rPr>
        <w:t xml:space="preserve">dentro de un límite dado por </w:t>
      </w:r>
      <w:r w:rsidR="00AB64FE" w:rsidRPr="00AB64FE">
        <w:rPr>
          <w:rFonts w:ascii="Arial" w:hAnsi="Arial" w:cs="Arial"/>
          <w:lang w:val="es-ES_tradnl" w:eastAsia="es-ES_tradnl"/>
        </w:rPr>
        <w:t>el cincuenta por ciento (50%) de su valor inicial expresado</w:t>
      </w:r>
      <w:r w:rsidR="00854713">
        <w:rPr>
          <w:rFonts w:ascii="Arial" w:hAnsi="Arial" w:cs="Arial"/>
          <w:lang w:val="es-ES_tradnl" w:eastAsia="es-ES_tradnl"/>
        </w:rPr>
        <w:t xml:space="preserve">, </w:t>
      </w:r>
      <w:r w:rsidR="00FB48A1">
        <w:rPr>
          <w:rFonts w:ascii="Arial" w:hAnsi="Arial" w:cs="Arial"/>
          <w:lang w:val="es-ES_tradnl" w:eastAsia="es-ES_tradnl"/>
        </w:rPr>
        <w:t xml:space="preserve">pero sin establecer una limitación expresa sobre otros elementos sobre </w:t>
      </w:r>
      <w:r w:rsidR="0093408B">
        <w:rPr>
          <w:rFonts w:ascii="Arial" w:hAnsi="Arial" w:cs="Arial"/>
          <w:lang w:val="es-ES_tradnl" w:eastAsia="es-ES_tradnl"/>
        </w:rPr>
        <w:t>los que</w:t>
      </w:r>
      <w:r w:rsidR="00FB48A1">
        <w:rPr>
          <w:rFonts w:ascii="Arial" w:hAnsi="Arial" w:cs="Arial"/>
          <w:lang w:val="es-ES_tradnl" w:eastAsia="es-ES_tradnl"/>
        </w:rPr>
        <w:t xml:space="preserve"> </w:t>
      </w:r>
      <w:r w:rsidR="0093408B">
        <w:rPr>
          <w:rFonts w:ascii="Arial" w:hAnsi="Arial" w:cs="Arial"/>
          <w:lang w:val="es-ES_tradnl" w:eastAsia="es-ES_tradnl"/>
        </w:rPr>
        <w:t>recae la adición</w:t>
      </w:r>
      <w:r w:rsidR="00ED5C48">
        <w:rPr>
          <w:rStyle w:val="Refdenotaalpie"/>
          <w:rFonts w:ascii="Arial" w:hAnsi="Arial" w:cs="Arial"/>
          <w:lang w:val="es-ES_tradnl" w:eastAsia="es-ES_tradnl"/>
        </w:rPr>
        <w:footnoteReference w:id="6"/>
      </w:r>
      <w:r w:rsidR="00ED5C48">
        <w:rPr>
          <w:rFonts w:ascii="Arial" w:hAnsi="Arial" w:cs="Arial"/>
          <w:lang w:val="es-ES_tradnl" w:eastAsia="es-ES_tradnl"/>
        </w:rPr>
        <w:t>.</w:t>
      </w:r>
    </w:p>
    <w:p w14:paraId="0C5A49E0" w14:textId="07039D2A" w:rsidR="006F3909" w:rsidRPr="00A42C60" w:rsidRDefault="0095252F" w:rsidP="00A775EF">
      <w:pPr>
        <w:spacing w:before="120" w:after="0" w:line="276" w:lineRule="auto"/>
        <w:ind w:firstLine="709"/>
        <w:jc w:val="both"/>
        <w:rPr>
          <w:rFonts w:ascii="Arial" w:hAnsi="Arial" w:cs="Arial"/>
          <w:szCs w:val="24"/>
          <w:lang w:val="es-MX" w:eastAsia="es-ES_tradnl"/>
        </w:rPr>
      </w:pPr>
      <w:r>
        <w:rPr>
          <w:rFonts w:ascii="Arial" w:hAnsi="Arial" w:cs="Arial"/>
          <w:szCs w:val="24"/>
          <w:lang w:val="es-MX" w:eastAsia="es-ES_tradnl"/>
        </w:rPr>
        <w:t xml:space="preserve">No obstante, </w:t>
      </w:r>
      <w:r w:rsidR="007C54E5">
        <w:rPr>
          <w:rFonts w:ascii="Arial" w:hAnsi="Arial" w:cs="Arial"/>
          <w:szCs w:val="24"/>
          <w:lang w:val="es-MX" w:eastAsia="es-ES_tradnl"/>
        </w:rPr>
        <w:t>la expresión «contrato adicional»</w:t>
      </w:r>
      <w:r w:rsidR="00A775EF" w:rsidRPr="00A42C60">
        <w:rPr>
          <w:rFonts w:ascii="Arial" w:hAnsi="Arial" w:cs="Arial"/>
          <w:szCs w:val="24"/>
          <w:lang w:val="es-MX" w:eastAsia="es-ES_tradnl"/>
        </w:rPr>
        <w:t xml:space="preserve"> al igual que l</w:t>
      </w:r>
      <w:r w:rsidR="00064D5B">
        <w:rPr>
          <w:rFonts w:ascii="Arial" w:hAnsi="Arial" w:cs="Arial"/>
          <w:szCs w:val="24"/>
          <w:lang w:val="es-MX" w:eastAsia="es-ES_tradnl"/>
        </w:rPr>
        <w:t>as</w:t>
      </w:r>
      <w:r w:rsidR="003A3E9C">
        <w:rPr>
          <w:rFonts w:ascii="Arial" w:hAnsi="Arial" w:cs="Arial"/>
          <w:szCs w:val="24"/>
          <w:lang w:val="es-MX" w:eastAsia="es-ES_tradnl"/>
        </w:rPr>
        <w:t xml:space="preserve"> otras</w:t>
      </w:r>
      <w:r w:rsidR="00064D5B">
        <w:rPr>
          <w:rFonts w:ascii="Arial" w:hAnsi="Arial" w:cs="Arial"/>
          <w:szCs w:val="24"/>
          <w:lang w:val="es-MX" w:eastAsia="es-ES_tradnl"/>
        </w:rPr>
        <w:t xml:space="preserve"> </w:t>
      </w:r>
      <w:r w:rsidR="006965F9">
        <w:rPr>
          <w:rFonts w:ascii="Arial" w:hAnsi="Arial" w:cs="Arial"/>
          <w:szCs w:val="24"/>
          <w:lang w:val="es-MX" w:eastAsia="es-ES_tradnl"/>
        </w:rPr>
        <w:t xml:space="preserve">nociones doctrinarias y jurisprudenciales </w:t>
      </w:r>
      <w:r w:rsidR="00064D5B">
        <w:rPr>
          <w:rFonts w:ascii="Arial" w:hAnsi="Arial" w:cs="Arial"/>
          <w:szCs w:val="24"/>
          <w:lang w:val="es-MX" w:eastAsia="es-ES_tradnl"/>
        </w:rPr>
        <w:t>arriba</w:t>
      </w:r>
      <w:r w:rsidR="003A3E9C">
        <w:rPr>
          <w:rFonts w:ascii="Arial" w:hAnsi="Arial" w:cs="Arial"/>
          <w:szCs w:val="24"/>
          <w:lang w:val="es-MX" w:eastAsia="es-ES_tradnl"/>
        </w:rPr>
        <w:t xml:space="preserve"> señaladas</w:t>
      </w:r>
      <w:r w:rsidR="00064D5B">
        <w:rPr>
          <w:rFonts w:ascii="Arial" w:hAnsi="Arial" w:cs="Arial"/>
          <w:szCs w:val="24"/>
          <w:lang w:val="es-MX" w:eastAsia="es-ES_tradnl"/>
        </w:rPr>
        <w:t xml:space="preserve"> </w:t>
      </w:r>
      <w:r w:rsidR="00A775EF" w:rsidRPr="00A42C60">
        <w:rPr>
          <w:rFonts w:ascii="Arial" w:hAnsi="Arial" w:cs="Arial"/>
          <w:szCs w:val="24"/>
          <w:lang w:val="es-MX" w:eastAsia="es-ES_tradnl"/>
        </w:rPr>
        <w:t xml:space="preserve">entre comillas </w:t>
      </w:r>
      <w:r w:rsidR="00325141">
        <w:rPr>
          <w:rFonts w:ascii="Arial" w:hAnsi="Arial" w:cs="Arial"/>
          <w:szCs w:val="24"/>
          <w:lang w:val="es-MX" w:eastAsia="es-ES_tradnl"/>
        </w:rPr>
        <w:t xml:space="preserve">son de uso común en </w:t>
      </w:r>
      <w:r w:rsidR="00A775EF" w:rsidRPr="00A42C60">
        <w:rPr>
          <w:rFonts w:ascii="Arial" w:hAnsi="Arial" w:cs="Arial"/>
          <w:szCs w:val="24"/>
          <w:lang w:val="es-MX" w:eastAsia="es-ES_tradnl"/>
        </w:rPr>
        <w:t>la práctica contractual por las entidades estatales. Lo importante en relación con l</w:t>
      </w:r>
      <w:r w:rsidR="00CA0A96">
        <w:rPr>
          <w:rFonts w:ascii="Arial" w:hAnsi="Arial" w:cs="Arial"/>
          <w:szCs w:val="24"/>
          <w:lang w:val="es-MX" w:eastAsia="es-ES_tradnl"/>
        </w:rPr>
        <w:t>a</w:t>
      </w:r>
      <w:r w:rsidR="00A775EF" w:rsidRPr="00A42C60">
        <w:rPr>
          <w:rFonts w:ascii="Arial" w:hAnsi="Arial" w:cs="Arial"/>
          <w:szCs w:val="24"/>
          <w:lang w:val="es-MX" w:eastAsia="es-ES_tradnl"/>
        </w:rPr>
        <w:t>s mism</w:t>
      </w:r>
      <w:r w:rsidR="00CA0A96">
        <w:rPr>
          <w:rFonts w:ascii="Arial" w:hAnsi="Arial" w:cs="Arial"/>
          <w:szCs w:val="24"/>
          <w:lang w:val="es-MX" w:eastAsia="es-ES_tradnl"/>
        </w:rPr>
        <w:t>a</w:t>
      </w:r>
      <w:r w:rsidR="00A775EF" w:rsidRPr="00A42C60">
        <w:rPr>
          <w:rFonts w:ascii="Arial" w:hAnsi="Arial" w:cs="Arial"/>
          <w:szCs w:val="24"/>
          <w:lang w:val="es-MX" w:eastAsia="es-ES_tradnl"/>
        </w:rPr>
        <w:t>s, tal como se ha resaltado por esta Agencia en oportunidades anteriores, es que frente a cualquier incremento del valor inicial del contrato, que implica una adición, por cualquiera de los dos supuestos señalados previamente, e independientemente del nombre que se le dé al acuerdo, aplica el límite previsto en el parágrafo del artículo 40 de la Ley 80 de 1993.</w:t>
      </w:r>
      <w:r w:rsidR="006F3909" w:rsidRPr="00A42C60">
        <w:rPr>
          <w:rFonts w:ascii="Arial" w:hAnsi="Arial" w:cs="Arial"/>
          <w:szCs w:val="24"/>
          <w:lang w:val="es-ES_tradnl" w:eastAsia="es-ES_tradnl"/>
        </w:rPr>
        <w:t>: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006F3909" w:rsidRPr="00A42C60">
        <w:rPr>
          <w:rFonts w:ascii="Arial" w:hAnsi="Arial" w:cs="Arial"/>
          <w:szCs w:val="24"/>
          <w:vertAlign w:val="superscript"/>
          <w:lang w:val="es-ES_tradnl" w:eastAsia="es-ES_tradnl"/>
        </w:rPr>
        <w:footnoteReference w:id="7"/>
      </w:r>
      <w:r w:rsidR="006F3909" w:rsidRPr="00A42C60">
        <w:rPr>
          <w:rFonts w:ascii="Arial" w:hAnsi="Arial" w:cs="Arial"/>
          <w:szCs w:val="24"/>
          <w:lang w:val="es-ES_tradnl" w:eastAsia="es-ES_tradnl"/>
        </w:rPr>
        <w:t>.</w:t>
      </w:r>
    </w:p>
    <w:p w14:paraId="50E38405" w14:textId="754ECA9E" w:rsidR="0083037E" w:rsidRPr="00A42C60" w:rsidRDefault="006F3909" w:rsidP="0083037E">
      <w:pPr>
        <w:spacing w:before="120" w:after="0" w:line="276" w:lineRule="auto"/>
        <w:ind w:firstLine="709"/>
        <w:jc w:val="both"/>
        <w:rPr>
          <w:rFonts w:ascii="Arial" w:hAnsi="Arial" w:cs="Arial"/>
          <w:szCs w:val="24"/>
          <w:lang w:eastAsia="es-ES_tradnl"/>
        </w:rPr>
      </w:pPr>
      <w:r w:rsidRPr="00A42C60">
        <w:rPr>
          <w:rFonts w:ascii="Arial" w:hAnsi="Arial" w:cs="Arial"/>
          <w:szCs w:val="24"/>
          <w:lang w:val="es-ES_tradnl" w:eastAsia="es-ES_tradnl"/>
        </w:rPr>
        <w:lastRenderedPageBreak/>
        <w:t>Dicha norma además de consagrar una prohibición trae implícita una autorización, consistente en la posibilidad de adicionar los contratos estatales, siempre que no se supere el tope establecido.</w:t>
      </w:r>
      <w:r w:rsidR="0083037E" w:rsidRPr="00A42C60">
        <w:rPr>
          <w:rFonts w:ascii="Arial" w:hAnsi="Arial" w:cs="Arial"/>
          <w:szCs w:val="24"/>
          <w:lang w:eastAsia="es-ES_tradnl"/>
        </w:rPr>
        <w:t xml:space="preserve"> La regla establecida en el parágrafo del artículo 40 de la Ley 80 de 1993 aplica a todos los contratos estatales regidos por el EGCAP, independientemente de la modalidad de selección</w:t>
      </w:r>
      <w:r w:rsidR="00F31F88" w:rsidRPr="00A42C60">
        <w:rPr>
          <w:rFonts w:ascii="Arial" w:hAnsi="Arial" w:cs="Arial"/>
          <w:szCs w:val="24"/>
          <w:lang w:eastAsia="es-ES_tradnl"/>
        </w:rPr>
        <w:t>, de</w:t>
      </w:r>
      <w:r w:rsidR="0083037E" w:rsidRPr="00A42C60">
        <w:rPr>
          <w:rFonts w:ascii="Arial" w:hAnsi="Arial" w:cs="Arial"/>
          <w:szCs w:val="24"/>
          <w:lang w:eastAsia="es-ES_tradnl"/>
        </w:rPr>
        <w:t xml:space="preserve"> la tipología contractual del negocio jurídico que se considere necesario adicionar</w:t>
      </w:r>
      <w:r w:rsidR="00F31F88" w:rsidRPr="00A42C60">
        <w:rPr>
          <w:rFonts w:ascii="Arial" w:hAnsi="Arial" w:cs="Arial"/>
          <w:szCs w:val="24"/>
          <w:lang w:eastAsia="es-ES_tradnl"/>
        </w:rPr>
        <w:t xml:space="preserve"> o del sistema de precios pactados. </w:t>
      </w:r>
    </w:p>
    <w:p w14:paraId="7ED0C5E0" w14:textId="57C237CC" w:rsidR="006F3909" w:rsidRPr="00A42C60" w:rsidRDefault="006F3909" w:rsidP="006F3909">
      <w:pPr>
        <w:spacing w:before="120" w:after="0" w:line="276" w:lineRule="auto"/>
        <w:ind w:firstLine="709"/>
        <w:jc w:val="both"/>
        <w:rPr>
          <w:rFonts w:ascii="Arial" w:hAnsi="Arial" w:cs="Arial"/>
          <w:szCs w:val="24"/>
          <w:lang w:val="es-ES_tradnl" w:eastAsia="es-ES_tradnl"/>
        </w:rPr>
      </w:pPr>
      <w:r w:rsidRPr="00A42C60">
        <w:rPr>
          <w:rFonts w:ascii="Arial" w:hAnsi="Arial" w:cs="Arial"/>
          <w:szCs w:val="24"/>
          <w:lang w:val="es-ES_tradnl" w:eastAsia="es-ES_tradnl"/>
        </w:rPr>
        <w:t xml:space="preserve"> Ahora bien, para determinar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p>
    <w:p w14:paraId="2A4428B9" w14:textId="7A0D2C85" w:rsidR="006F3909" w:rsidRPr="00A42C60" w:rsidRDefault="006F3909" w:rsidP="006F3909">
      <w:pPr>
        <w:spacing w:before="120" w:after="0" w:line="276" w:lineRule="auto"/>
        <w:ind w:firstLine="709"/>
        <w:jc w:val="both"/>
        <w:rPr>
          <w:rFonts w:ascii="Arial" w:hAnsi="Arial" w:cs="Arial"/>
          <w:szCs w:val="24"/>
          <w:lang w:eastAsia="es-ES_tradnl"/>
        </w:rPr>
      </w:pPr>
      <w:r w:rsidRPr="00A42C60">
        <w:rPr>
          <w:rFonts w:ascii="Arial" w:hAnsi="Arial" w:cs="Arial"/>
          <w:szCs w:val="24"/>
          <w:lang w:eastAsia="es-ES_tradnl"/>
        </w:rPr>
        <w:t xml:space="preserve">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y luego dividirlo por </w:t>
      </w:r>
      <w:r w:rsidR="00341ECD">
        <w:rPr>
          <w:rFonts w:ascii="Arial" w:hAnsi="Arial" w:cs="Arial"/>
          <w:szCs w:val="24"/>
          <w:lang w:eastAsia="es-ES_tradnl"/>
        </w:rPr>
        <w:t>dos</w:t>
      </w:r>
      <w:r w:rsidRPr="00A42C60">
        <w:rPr>
          <w:rFonts w:ascii="Arial" w:hAnsi="Arial" w:cs="Arial"/>
          <w:szCs w:val="24"/>
          <w:lang w:eastAsia="es-ES_tradnl"/>
        </w:rPr>
        <w:t xml:space="preserve">.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 </w:t>
      </w:r>
    </w:p>
    <w:p w14:paraId="2DE03971" w14:textId="73712C6D" w:rsidR="0083037E" w:rsidRPr="00A42C60" w:rsidRDefault="006F3909" w:rsidP="0083037E">
      <w:pPr>
        <w:spacing w:before="120" w:after="0" w:line="276" w:lineRule="auto"/>
        <w:ind w:firstLine="709"/>
        <w:jc w:val="both"/>
        <w:rPr>
          <w:rFonts w:ascii="Arial" w:hAnsi="Arial" w:cs="Arial"/>
          <w:szCs w:val="24"/>
          <w:lang w:eastAsia="es-ES_tradnl"/>
        </w:rPr>
      </w:pPr>
      <w:r w:rsidRPr="00A42C60">
        <w:rPr>
          <w:rFonts w:ascii="Arial" w:hAnsi="Arial" w:cs="Arial"/>
          <w:szCs w:val="24"/>
          <w:lang w:eastAsia="es-ES_tradnl"/>
        </w:rPr>
        <w:t xml:space="preserve">El razonamiento anterior se fundamenta en la forma como la Ley 80 de 1993 estableció el tope para las adiciones, acudiendo a una forma de actualización del valor, de acuerdo con los incrementos que tenga el salario mínimo, lo que resulta especialmente relevante en contratos de larga duración. En consecuencia, se considera que debido a que cuando el legislador fijó ese límite de la adición de los contratos estatales acudiendo al concepto o, si se quiere, a la fórmula de los SMLMV quedó prevista intrínsecamente una actualización del valor del dinero, en aras de corregir su depreciación, para efectos de establecer el tope por el cual se puede incrementar el valor de los contratos estatales. </w:t>
      </w:r>
    </w:p>
    <w:p w14:paraId="7E4A5167" w14:textId="50313D0B" w:rsidR="0083037E" w:rsidRPr="00A42C60" w:rsidRDefault="0083037E" w:rsidP="00F31F88">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Sin perjuicio de la postura expuesta previamente por la Subdirección de Gestión Contractual, en torno al tope de la adición de los contratos, se señalarán algunas otras posturas que no se comparten, por considerarlas contrarias a la regulación actual contenida en la Ley 80 de 1993.</w:t>
      </w:r>
    </w:p>
    <w:p w14:paraId="0BFFBD12" w14:textId="77777777" w:rsidR="00F31F88" w:rsidRPr="00A42C60" w:rsidRDefault="00F31F88" w:rsidP="00F31F88">
      <w:pPr>
        <w:spacing w:after="0" w:line="276" w:lineRule="auto"/>
        <w:ind w:firstLine="709"/>
        <w:jc w:val="both"/>
        <w:rPr>
          <w:rFonts w:ascii="Arial" w:hAnsi="Arial" w:cs="Arial"/>
          <w:szCs w:val="24"/>
          <w:lang w:val="es-MX" w:eastAsia="es-ES_tradnl"/>
        </w:rPr>
      </w:pPr>
    </w:p>
    <w:p w14:paraId="1126663C" w14:textId="21551D85" w:rsidR="0083037E" w:rsidRPr="00A42C60" w:rsidRDefault="0083037E" w:rsidP="00F31F88">
      <w:pPr>
        <w:spacing w:after="0" w:line="276" w:lineRule="auto"/>
        <w:jc w:val="both"/>
        <w:rPr>
          <w:rFonts w:ascii="Arial" w:hAnsi="Arial" w:cs="Arial"/>
          <w:b/>
          <w:szCs w:val="24"/>
          <w:lang w:val="es-MX" w:eastAsia="es-ES_tradnl"/>
        </w:rPr>
      </w:pPr>
      <w:r w:rsidRPr="00A42C60">
        <w:rPr>
          <w:rFonts w:ascii="Arial" w:hAnsi="Arial" w:cs="Arial"/>
          <w:b/>
          <w:szCs w:val="24"/>
          <w:lang w:val="es-MX" w:eastAsia="es-ES_tradnl"/>
        </w:rPr>
        <w:t>2.</w:t>
      </w:r>
      <w:r w:rsidR="00F5308B" w:rsidRPr="00A42C60">
        <w:rPr>
          <w:rFonts w:ascii="Arial" w:hAnsi="Arial" w:cs="Arial"/>
          <w:b/>
          <w:szCs w:val="24"/>
          <w:lang w:val="es-MX" w:eastAsia="es-ES_tradnl"/>
        </w:rPr>
        <w:t>1</w:t>
      </w:r>
      <w:r w:rsidRPr="00A42C60">
        <w:rPr>
          <w:rFonts w:ascii="Arial" w:hAnsi="Arial" w:cs="Arial"/>
          <w:b/>
          <w:szCs w:val="24"/>
          <w:lang w:val="es-MX" w:eastAsia="es-ES_tradnl"/>
        </w:rPr>
        <w:t>.1. Dos posturas en torno al tope para adicionar los contratos estatales</w:t>
      </w:r>
    </w:p>
    <w:p w14:paraId="092CB7EF" w14:textId="77777777" w:rsidR="0083037E" w:rsidRPr="00A42C60" w:rsidRDefault="0083037E" w:rsidP="00F31F88">
      <w:pPr>
        <w:spacing w:after="0" w:line="276" w:lineRule="auto"/>
        <w:jc w:val="both"/>
        <w:rPr>
          <w:rFonts w:ascii="Arial" w:hAnsi="Arial" w:cs="Arial"/>
          <w:b/>
          <w:szCs w:val="24"/>
          <w:lang w:val="es-MX" w:eastAsia="es-ES_tradnl"/>
        </w:rPr>
      </w:pPr>
    </w:p>
    <w:p w14:paraId="0E147BA0" w14:textId="77777777" w:rsidR="0083037E" w:rsidRPr="00A42C60" w:rsidRDefault="0083037E" w:rsidP="000C5533">
      <w:pPr>
        <w:spacing w:after="0" w:line="276" w:lineRule="auto"/>
        <w:jc w:val="both"/>
        <w:rPr>
          <w:rFonts w:ascii="Arial" w:hAnsi="Arial" w:cs="Arial"/>
          <w:szCs w:val="24"/>
          <w:lang w:val="es-MX" w:eastAsia="es-ES_tradnl"/>
        </w:rPr>
      </w:pPr>
      <w:r w:rsidRPr="00A42C60">
        <w:rPr>
          <w:rFonts w:ascii="Arial" w:hAnsi="Arial" w:cs="Arial"/>
          <w:szCs w:val="24"/>
          <w:lang w:val="es-MX" w:eastAsia="es-ES_tradnl"/>
        </w:rPr>
        <w:lastRenderedPageBreak/>
        <w:t>Antes de señalar las dos posturas, es necesario aclarar que el presente problema ocurre, especialmente, en los contratos cuya estructuración y pago se realiza por precios unitarios, aunque también se ha extendido al de administración delegada o reembolso de gastos</w:t>
      </w:r>
      <w:r w:rsidRPr="00A42C60">
        <w:rPr>
          <w:rFonts w:ascii="Arial" w:hAnsi="Arial" w:cs="Arial"/>
          <w:szCs w:val="24"/>
          <w:vertAlign w:val="superscript"/>
          <w:lang w:val="es-MX" w:eastAsia="es-ES_tradnl"/>
        </w:rPr>
        <w:footnoteReference w:id="8"/>
      </w:r>
      <w:r w:rsidRPr="00A42C60">
        <w:rPr>
          <w:rFonts w:ascii="Arial" w:hAnsi="Arial" w:cs="Arial"/>
          <w:szCs w:val="24"/>
          <w:lang w:val="es-MX" w:eastAsia="es-ES_tradnl"/>
        </w:rPr>
        <w:t xml:space="preserve">, ya que en el de precio global, como más adelante se expondrá, existe un mayor consenso en torno a la forma de aplicar el parágrafo del artículo 40. </w:t>
      </w:r>
    </w:p>
    <w:p w14:paraId="6F72DF8C" w14:textId="7EC95D7D" w:rsidR="0083037E" w:rsidRPr="00A42C60" w:rsidRDefault="0083037E" w:rsidP="0083037E">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La primera postura, que fue señalada por la Sala de Consulta y Servicio Civil del Consejo de Estado, y adoptada por el Consejo de Estado en otros pronunciamientos,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24F6F419" w14:textId="30A3D95C" w:rsidR="0083037E" w:rsidRPr="00A42C60" w:rsidRDefault="0083037E" w:rsidP="0083037E">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La postura anterior se sintetiza en el siguiente concepto de la Sala de Consulta y Servicio Civil del Consejo de Estado:</w:t>
      </w:r>
    </w:p>
    <w:p w14:paraId="18D67BDC" w14:textId="77777777" w:rsidR="0083037E" w:rsidRPr="00A42C60" w:rsidRDefault="0083037E" w:rsidP="00F31F88">
      <w:pPr>
        <w:spacing w:after="0" w:line="276" w:lineRule="auto"/>
        <w:ind w:firstLine="709"/>
        <w:jc w:val="both"/>
        <w:rPr>
          <w:rFonts w:ascii="Arial" w:hAnsi="Arial" w:cs="Arial"/>
          <w:szCs w:val="24"/>
          <w:lang w:val="es-MX" w:eastAsia="es-ES_tradnl"/>
        </w:rPr>
      </w:pPr>
    </w:p>
    <w:p w14:paraId="48B493B8" w14:textId="77777777" w:rsidR="0083037E" w:rsidRPr="00A42C60" w:rsidRDefault="0083037E" w:rsidP="0083037E">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Con base en lo expuesto brevemente, es fácil concluir que es un error celebrar contratos adicionales a los contratos principales celebrados por alguno de los sistemas de precios determinables, para poder ejecutar obras cuyo costo de ejecución sobrepase el estimado inicialmente. En efecto, el error consiste en pensar que ese precio estimado inicialmente es el verdadero valor del contrato, pues, como se explicó, sólo es un estimativo pero el verdadero valor se determinará una vez concluya la obra. Por lo mismo, no se trata de que se esté adicionando el contrato; no. Sólo se está procediendo conforme a lo previsto, esto es, aplicando el procedimiento de precios unitarios a las cantidades de obra ejecutadas y, por consiguiente, si son más cantidades de obra a las previstas, pues el valor del contrato es mayor, pero así fue como se convino.</w:t>
      </w:r>
    </w:p>
    <w:p w14:paraId="5293DABA" w14:textId="77777777" w:rsidR="0083037E" w:rsidRPr="00A42C60" w:rsidRDefault="0083037E" w:rsidP="0083037E">
      <w:pPr>
        <w:spacing w:after="0" w:line="240" w:lineRule="auto"/>
        <w:ind w:left="709" w:right="709"/>
        <w:jc w:val="both"/>
        <w:rPr>
          <w:rFonts w:ascii="Arial" w:hAnsi="Arial" w:cs="Arial"/>
          <w:sz w:val="21"/>
          <w:szCs w:val="21"/>
          <w:lang w:val="es-MX" w:eastAsia="es-ES_tradnl"/>
        </w:rPr>
      </w:pPr>
    </w:p>
    <w:p w14:paraId="2799D600" w14:textId="21A31F1E" w:rsidR="0083037E" w:rsidRPr="00A42C60" w:rsidRDefault="0083037E" w:rsidP="0083037E">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Por lo mismo, no se trata de que exista un «cambio» o «adición» en el contrato, sino de la aplicación de las reglas contractuales previamente determinadas en el contrato original. Es una operación matemática y no más.</w:t>
      </w:r>
    </w:p>
    <w:p w14:paraId="09ED7826" w14:textId="77777777" w:rsidR="0083037E" w:rsidRPr="00A42C60" w:rsidRDefault="0083037E" w:rsidP="0083037E">
      <w:pPr>
        <w:spacing w:after="0" w:line="240" w:lineRule="auto"/>
        <w:ind w:left="709" w:right="709"/>
        <w:jc w:val="both"/>
        <w:rPr>
          <w:rFonts w:ascii="Arial" w:hAnsi="Arial" w:cs="Arial"/>
          <w:sz w:val="21"/>
          <w:szCs w:val="21"/>
          <w:lang w:val="es-MX" w:eastAsia="es-ES_tradnl"/>
        </w:rPr>
      </w:pPr>
    </w:p>
    <w:p w14:paraId="53B38914" w14:textId="77777777" w:rsidR="0083037E" w:rsidRPr="00A42C60" w:rsidRDefault="0083037E" w:rsidP="0083037E">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lastRenderedPageBreak/>
        <w:t>Es preciso, entonces, entender que solamente habrá verdadera «adición» a un contrato cuando se agrega al alcance físico inicial del contrato algo nuevo, es decir, cuando existe una verdadera ampliación del objeto contractual, y no cuando solamente se realiza un simple ajuste del valor estimado inicialmente del contrato, en razón a que el cálculo de cantidades de obra estimada en el momento de celebrar el contrato no fue adecuada; en otros términos, los mayores valores en el contrato no se presentan debido a mayores cantidades de obra por cambios introducidos al alcance físico de las metas determinadas en el objeto del contrato, sino que esas mayores cantidades de obra surgen de una deficiente estimación inicial de las cantidades de obra requeridas para la ejecución de todo el objeto descrito en el contrato</w:t>
      </w:r>
      <w:r w:rsidRPr="00A42C60">
        <w:rPr>
          <w:rFonts w:ascii="Arial" w:hAnsi="Arial" w:cs="Arial"/>
          <w:sz w:val="21"/>
          <w:szCs w:val="21"/>
          <w:vertAlign w:val="superscript"/>
          <w:lang w:val="es-MX" w:eastAsia="es-ES_tradnl"/>
        </w:rPr>
        <w:footnoteReference w:id="9"/>
      </w:r>
      <w:r w:rsidRPr="00A42C60">
        <w:rPr>
          <w:rFonts w:ascii="Arial" w:hAnsi="Arial" w:cs="Arial"/>
          <w:sz w:val="21"/>
          <w:szCs w:val="21"/>
          <w:lang w:val="es-MX" w:eastAsia="es-ES_tradnl"/>
        </w:rPr>
        <w:t>.</w:t>
      </w:r>
    </w:p>
    <w:p w14:paraId="1604F523" w14:textId="77777777" w:rsidR="00BD5491" w:rsidRPr="00A42C60" w:rsidRDefault="00BD5491" w:rsidP="00BD5491">
      <w:pPr>
        <w:spacing w:after="0" w:line="276" w:lineRule="auto"/>
        <w:ind w:firstLine="709"/>
        <w:jc w:val="both"/>
        <w:rPr>
          <w:rFonts w:ascii="Arial" w:hAnsi="Arial" w:cs="Arial"/>
          <w:szCs w:val="24"/>
          <w:lang w:val="es-MX" w:eastAsia="es-ES_tradnl"/>
        </w:rPr>
      </w:pPr>
    </w:p>
    <w:p w14:paraId="452A0339" w14:textId="7C39458E" w:rsidR="0083037E" w:rsidRPr="00A42C60" w:rsidRDefault="0083037E" w:rsidP="00BD5491">
      <w:pPr>
        <w:spacing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La postura anterior también es defendida por cierto sector de la doctrina</w:t>
      </w:r>
      <w:r w:rsidRPr="00A42C60">
        <w:rPr>
          <w:rFonts w:ascii="Arial" w:hAnsi="Arial" w:cs="Arial"/>
          <w:szCs w:val="24"/>
          <w:vertAlign w:val="superscript"/>
          <w:lang w:val="es-MX" w:eastAsia="es-ES_tradnl"/>
        </w:rPr>
        <w:footnoteReference w:id="10"/>
      </w:r>
      <w:r w:rsidRPr="00A42C60">
        <w:rPr>
          <w:rFonts w:ascii="Arial" w:hAnsi="Arial" w:cs="Arial"/>
          <w:szCs w:val="24"/>
          <w:lang w:val="es-MX" w:eastAsia="es-ES_tradnl"/>
        </w:rPr>
        <w:t xml:space="preserve">. Bajo ella se amplía el límite establecido por el legislador en el artículo 40, ya que este tipo de modificaciones, para ejecutar más de un mismo ítem o actividad pactada en el contrato </w:t>
      </w:r>
      <w:r w:rsidRPr="00A42C60">
        <w:rPr>
          <w:rFonts w:ascii="Arial" w:hAnsi="Arial" w:cs="Arial" w:hint="eastAsia"/>
          <w:szCs w:val="24"/>
          <w:lang w:val="es-MX" w:eastAsia="es-ES_tradnl"/>
        </w:rPr>
        <w:t>―</w:t>
      </w:r>
      <w:r w:rsidRPr="00A42C60">
        <w:rPr>
          <w:rFonts w:ascii="Arial" w:hAnsi="Arial" w:cs="Arial"/>
          <w:szCs w:val="24"/>
          <w:lang w:val="es-MX" w:eastAsia="es-ES_tradnl"/>
        </w:rPr>
        <w:t>estas posturas las considerarían «precisiones» o «determinaciones del valor final»</w:t>
      </w:r>
      <w:r w:rsidRPr="00A42C60">
        <w:rPr>
          <w:rFonts w:ascii="Arial" w:hAnsi="Arial" w:cs="Arial" w:hint="eastAsia"/>
          <w:szCs w:val="24"/>
          <w:lang w:val="es-MX" w:eastAsia="es-ES_tradnl"/>
        </w:rPr>
        <w:t>―</w:t>
      </w:r>
      <w:r w:rsidRPr="00A42C60">
        <w:rPr>
          <w:rFonts w:ascii="Arial" w:hAnsi="Arial" w:cs="Arial"/>
          <w:szCs w:val="24"/>
          <w:lang w:val="es-MX" w:eastAsia="es-ES_tradnl"/>
        </w:rPr>
        <w:t>, no se tendrían en cuenta para señalar en qué porcentaje se ha adicionado un contrato, ya que ellas no son</w:t>
      </w:r>
      <w:r w:rsidR="00FC1ED2">
        <w:rPr>
          <w:rFonts w:ascii="Arial" w:hAnsi="Arial" w:cs="Arial"/>
          <w:szCs w:val="24"/>
          <w:lang w:val="es-MX" w:eastAsia="es-ES_tradnl"/>
        </w:rPr>
        <w:t xml:space="preserve"> adiciones</w:t>
      </w:r>
      <w:r w:rsidRPr="00A42C60">
        <w:rPr>
          <w:rFonts w:ascii="Arial" w:hAnsi="Arial" w:cs="Arial"/>
          <w:szCs w:val="24"/>
          <w:lang w:val="es-MX" w:eastAsia="es-ES_tradnl"/>
        </w:rPr>
        <w:t>:</w:t>
      </w:r>
    </w:p>
    <w:p w14:paraId="322A2239" w14:textId="77777777" w:rsidR="00BD5491" w:rsidRPr="00A42C60" w:rsidRDefault="00BD5491" w:rsidP="00BD5491">
      <w:pPr>
        <w:spacing w:after="0" w:line="276" w:lineRule="auto"/>
        <w:ind w:firstLine="709"/>
        <w:jc w:val="both"/>
        <w:rPr>
          <w:rFonts w:ascii="Arial" w:hAnsi="Arial" w:cs="Arial"/>
          <w:szCs w:val="24"/>
          <w:lang w:val="es-MX" w:eastAsia="es-ES_tradnl"/>
        </w:rPr>
      </w:pPr>
    </w:p>
    <w:p w14:paraId="2CA50A89"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En este estado de la cuestión, deberíamos reconocer la existencia de islotes interpretativos sobre este tópico, en los cuales y contraviniendo lo expuesto, el Consejo de Estado, por su puesto de manera errada, ha considerado que la mayor cantidad de obra de un contrato de obra pública a precios unitarios, debe ampararse bajo el ropaje de un contrato adicional y, en consecuencia aplicando el límite del 50%.</w:t>
      </w:r>
    </w:p>
    <w:p w14:paraId="5291EEA1"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437C6D8E"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Insistimos que no podemos compartir este planteamiento por lo siguiente:</w:t>
      </w:r>
    </w:p>
    <w:p w14:paraId="1783BCFA"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33F574E0"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La naturaleza misma del contrato pactado a precios unitarios en el cual se conviene la realización de una obra claramente determinada (por ej. La pavimentación de la carrera 7ª entre las calles 34 y 100), que cuenta con unas cantidades estimadas que arrojan un precio igualmente estimado.</w:t>
      </w:r>
    </w:p>
    <w:p w14:paraId="6A9175BC"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695EAE9F"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Si por decir algo, esas cantidades se acaban en la calle 94, lo faltante, esto es desde la calle 95 a la 100, no es una obra adicional ya que ella hace parte del objetivo inicial, vale decir, que no se requiere pactar un elemento nuevo necesario o accesorio al objeto primigenio pues lo carente hacer parte de él desde el principio.</w:t>
      </w:r>
    </w:p>
    <w:p w14:paraId="705DF73B"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5FE27ABB"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lastRenderedPageBreak/>
        <w:t xml:space="preserve">- Lo procedente, entonces, es que la interventoría a cuyo cargo está el control de las cantidades y presupuestos ejecutados, antes de agotar las inicialmente dispuestas, informe a las partes del contrato con miras a que la entidad obtenga los recursos necesarios para concluir lo pactado. </w:t>
      </w:r>
    </w:p>
    <w:p w14:paraId="0E8B5225"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11DB12BC"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La inyección de los nuevos recursos no se hace al ampro de un contrato adicional sino como parte de un trámite interno oficial, con información al contratista para que pueda seguir avanzando en la obra</w:t>
      </w:r>
      <w:r w:rsidRPr="00A42C60">
        <w:rPr>
          <w:rFonts w:ascii="Arial" w:hAnsi="Arial" w:cs="Arial"/>
          <w:sz w:val="21"/>
          <w:szCs w:val="21"/>
          <w:vertAlign w:val="superscript"/>
          <w:lang w:val="es-MX" w:eastAsia="es-ES_tradnl"/>
        </w:rPr>
        <w:footnoteReference w:id="11"/>
      </w:r>
      <w:r w:rsidRPr="00A42C60">
        <w:rPr>
          <w:rFonts w:ascii="Arial" w:hAnsi="Arial" w:cs="Arial"/>
          <w:sz w:val="21"/>
          <w:szCs w:val="21"/>
          <w:vertAlign w:val="superscript"/>
          <w:lang w:val="es-MX" w:eastAsia="es-ES_tradnl"/>
        </w:rPr>
        <w:t>.</w:t>
      </w:r>
    </w:p>
    <w:p w14:paraId="1C6A801B"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3CC13C10" w14:textId="3D04D95A" w:rsidR="0083037E" w:rsidRPr="00A42C60" w:rsidRDefault="0083037E" w:rsidP="00BD5491">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 xml:space="preserve">Esta postura también es sostenida por el Consejo de </w:t>
      </w:r>
      <w:r w:rsidR="00BD5491" w:rsidRPr="00A42C60">
        <w:rPr>
          <w:rFonts w:ascii="Arial" w:hAnsi="Arial" w:cs="Arial"/>
          <w:szCs w:val="24"/>
          <w:lang w:val="es-MX" w:eastAsia="es-ES_tradnl"/>
        </w:rPr>
        <w:t>E</w:t>
      </w:r>
      <w:r w:rsidRPr="00A42C60">
        <w:rPr>
          <w:rFonts w:ascii="Arial" w:hAnsi="Arial" w:cs="Arial"/>
          <w:szCs w:val="24"/>
          <w:lang w:val="es-MX" w:eastAsia="es-ES_tradnl"/>
        </w:rPr>
        <w:t>stado en otras providencias, donde reitera el criterio desarrollado en el concepto de la Sala de Consulta y Servicio de Civil del Consejo de Estado citado previamente</w:t>
      </w:r>
      <w:r w:rsidRPr="00A42C60">
        <w:rPr>
          <w:rFonts w:ascii="Arial" w:hAnsi="Arial" w:cs="Arial"/>
          <w:szCs w:val="24"/>
          <w:vertAlign w:val="superscript"/>
          <w:lang w:val="es-MX" w:eastAsia="es-ES_tradnl"/>
        </w:rPr>
        <w:footnoteReference w:id="12"/>
      </w:r>
      <w:r w:rsidRPr="00A42C60">
        <w:rPr>
          <w:rFonts w:ascii="Arial" w:hAnsi="Arial" w:cs="Arial"/>
          <w:szCs w:val="24"/>
          <w:lang w:val="es-MX" w:eastAsia="es-ES_tradnl"/>
        </w:rPr>
        <w:t xml:space="preserve">. </w:t>
      </w:r>
    </w:p>
    <w:p w14:paraId="53EB58E4" w14:textId="4228B303" w:rsidR="0083037E" w:rsidRPr="00A42C60" w:rsidRDefault="0083037E" w:rsidP="00BD5491">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 xml:space="preserve">La otra postura, defendida por otra parte de la doctrina, y que es la que sostiene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w:t>
      </w:r>
      <w:r w:rsidRPr="00A42C60">
        <w:rPr>
          <w:rFonts w:ascii="Arial" w:hAnsi="Arial" w:cs="Arial" w:hint="eastAsia"/>
          <w:szCs w:val="24"/>
          <w:lang w:val="es-MX" w:eastAsia="es-ES_tradnl"/>
        </w:rPr>
        <w:t>―</w:t>
      </w:r>
      <w:r w:rsidRPr="00A42C60">
        <w:rPr>
          <w:rFonts w:ascii="Arial" w:hAnsi="Arial" w:cs="Arial"/>
          <w:szCs w:val="24"/>
          <w:lang w:val="es-MX" w:eastAsia="es-ES_tradnl"/>
        </w:rPr>
        <w:t>que será un contrato</w:t>
      </w:r>
      <w:r w:rsidRPr="00A42C60">
        <w:rPr>
          <w:rFonts w:ascii="Arial" w:hAnsi="Arial" w:cs="Arial" w:hint="eastAsia"/>
          <w:szCs w:val="24"/>
          <w:lang w:val="es-MX" w:eastAsia="es-ES_tradnl"/>
        </w:rPr>
        <w:t>―</w:t>
      </w:r>
      <w:r w:rsidRPr="00A42C60">
        <w:rPr>
          <w:rFonts w:ascii="Arial" w:hAnsi="Arial" w:cs="Arial"/>
          <w:szCs w:val="24"/>
          <w:lang w:val="es-MX" w:eastAsia="es-ES_tradnl"/>
        </w:rPr>
        <w:t xml:space="preserve">, independientemente del nombre que se le dé y que necesariamente se someterá a la norma prohibitiva, salvo norma especial que excepcione la regla general: </w:t>
      </w:r>
    </w:p>
    <w:p w14:paraId="2E684E3C" w14:textId="77777777" w:rsidR="00BD5491" w:rsidRPr="00A42C60" w:rsidRDefault="00BD5491" w:rsidP="00BD5491">
      <w:pPr>
        <w:spacing w:after="0" w:line="276" w:lineRule="auto"/>
        <w:ind w:firstLine="709"/>
        <w:jc w:val="both"/>
        <w:rPr>
          <w:rFonts w:ascii="Arial" w:hAnsi="Arial" w:cs="Arial"/>
          <w:szCs w:val="24"/>
          <w:lang w:val="es-MX" w:eastAsia="es-ES_tradnl"/>
        </w:rPr>
      </w:pPr>
    </w:p>
    <w:p w14:paraId="06BE0750"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xml:space="preserve">Según este criterio, [el expuesto previamente en este concepto] del cual nos apartamos categóricamente, el contrato de nuestro ejemplo, por valor de $1’000.000, podría costar al final $1.000’000.000, sin incursionar en los terrenos prohibitivos del art. 40. Y no se comparte este criterio porque desconoce que la Ley 80 de 1993 quiso evitar, precisamente, que los contratos se adicionaran en más del 50%, y </w:t>
      </w:r>
      <w:r w:rsidRPr="00A42C60">
        <w:rPr>
          <w:rFonts w:ascii="Arial" w:hAnsi="Arial" w:cs="Arial"/>
          <w:b/>
          <w:bCs/>
          <w:sz w:val="21"/>
          <w:szCs w:val="21"/>
          <w:lang w:val="es-MX" w:eastAsia="es-ES_tradnl"/>
        </w:rPr>
        <w:t>sin duda alguna una ampliación de las cantidades de obra denominada obra adicional conduce a una adición del contrato, luego debe tener como límite el 50% analizado</w:t>
      </w:r>
      <w:r w:rsidRPr="00A42C60">
        <w:rPr>
          <w:rFonts w:ascii="Arial" w:hAnsi="Arial" w:cs="Arial"/>
          <w:sz w:val="21"/>
          <w:szCs w:val="21"/>
          <w:lang w:val="es-MX" w:eastAsia="es-ES_tradnl"/>
        </w:rPr>
        <w:t>.</w:t>
      </w:r>
    </w:p>
    <w:p w14:paraId="432B2B6E"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w:t>
      </w:r>
    </w:p>
    <w:p w14:paraId="6A2DEA9C"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7E8E3FBB" w14:textId="117679A7"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xml:space="preserve">La tesis jurídica que prevalece es que los contratos no se pueden adicionar por encima del límite del art. 40, sin importar si la obra es extra o adicional, pues estas categorías son meramente técnicas y no jurídicas, de modo que lo determinante no es el tipo de obra, bien o servicio que se necesita ejecutar en mayor cantidad, sino su valor. Si sobrepasa el límite legal no es posible </w:t>
      </w:r>
      <w:r w:rsidRPr="00A42C60">
        <w:rPr>
          <w:rFonts w:ascii="Arial" w:hAnsi="Arial" w:cs="Arial"/>
          <w:sz w:val="21"/>
          <w:szCs w:val="21"/>
          <w:lang w:val="es-MX" w:eastAsia="es-ES_tradnl"/>
        </w:rPr>
        <w:lastRenderedPageBreak/>
        <w:t>ejecutarlo</w:t>
      </w:r>
      <w:r w:rsidRPr="00A42C60">
        <w:rPr>
          <w:rFonts w:ascii="Arial" w:hAnsi="Arial" w:cs="Arial"/>
          <w:sz w:val="21"/>
          <w:szCs w:val="21"/>
          <w:vertAlign w:val="superscript"/>
          <w:lang w:val="es-MX" w:eastAsia="es-ES_tradnl"/>
        </w:rPr>
        <w:footnoteReference w:id="13"/>
      </w:r>
      <w:r w:rsidRPr="00A42C60">
        <w:rPr>
          <w:rFonts w:ascii="Arial" w:hAnsi="Arial" w:cs="Arial"/>
          <w:sz w:val="21"/>
          <w:szCs w:val="21"/>
          <w:lang w:val="es-MX" w:eastAsia="es-ES_tradnl"/>
        </w:rPr>
        <w:t>. (Aparte en corchetes fuera del original).</w:t>
      </w:r>
      <w:r w:rsidR="00CE3A86" w:rsidRPr="00A42C60">
        <w:rPr>
          <w:rFonts w:ascii="Arial" w:hAnsi="Arial" w:cs="Arial"/>
          <w:szCs w:val="24"/>
          <w:lang w:val="es-MX" w:eastAsia="es-ES_tradnl"/>
        </w:rPr>
        <w:t xml:space="preserve"> (Negrilla por fuera de texto)</w:t>
      </w:r>
    </w:p>
    <w:p w14:paraId="322FD9B4"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218CCF75" w14:textId="63BE4F2E" w:rsidR="00A93518" w:rsidRPr="00A42C60" w:rsidRDefault="00A93518" w:rsidP="0080066A">
      <w:pPr>
        <w:spacing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En concordancia</w:t>
      </w:r>
      <w:r w:rsidR="00E04658" w:rsidRPr="00A42C60">
        <w:rPr>
          <w:rFonts w:ascii="Arial" w:hAnsi="Arial" w:cs="Arial"/>
          <w:szCs w:val="24"/>
          <w:lang w:val="es-MX" w:eastAsia="es-ES_tradnl"/>
        </w:rPr>
        <w:t xml:space="preserve"> con lo expuesto</w:t>
      </w:r>
      <w:r w:rsidRPr="00A42C60">
        <w:rPr>
          <w:rFonts w:ascii="Arial" w:hAnsi="Arial" w:cs="Arial"/>
          <w:szCs w:val="24"/>
          <w:lang w:val="es-MX" w:eastAsia="es-ES_tradnl"/>
        </w:rPr>
        <w:t>, la doctrina</w:t>
      </w:r>
      <w:r w:rsidR="00E04658" w:rsidRPr="00A42C60">
        <w:rPr>
          <w:rFonts w:ascii="Arial" w:hAnsi="Arial" w:cs="Arial"/>
          <w:szCs w:val="24"/>
          <w:lang w:val="es-MX" w:eastAsia="es-ES_tradnl"/>
        </w:rPr>
        <w:t xml:space="preserve"> ha</w:t>
      </w:r>
      <w:r w:rsidRPr="00A42C60">
        <w:rPr>
          <w:rFonts w:ascii="Arial" w:hAnsi="Arial" w:cs="Arial"/>
          <w:szCs w:val="24"/>
          <w:lang w:val="es-MX" w:eastAsia="es-ES_tradnl"/>
        </w:rPr>
        <w:t xml:space="preserve"> </w:t>
      </w:r>
      <w:r w:rsidR="00E04658" w:rsidRPr="00A42C60">
        <w:rPr>
          <w:rFonts w:ascii="Arial" w:hAnsi="Arial" w:cs="Arial"/>
          <w:szCs w:val="24"/>
          <w:lang w:val="es-MX" w:eastAsia="es-ES_tradnl"/>
        </w:rPr>
        <w:t xml:space="preserve">definido </w:t>
      </w:r>
      <w:r w:rsidRPr="00A42C60">
        <w:rPr>
          <w:rFonts w:ascii="Arial" w:hAnsi="Arial" w:cs="Arial"/>
          <w:szCs w:val="24"/>
          <w:lang w:val="es-MX" w:eastAsia="es-ES_tradnl"/>
        </w:rPr>
        <w:t xml:space="preserve">dos modalidades de limitación a las adiciones contractuales </w:t>
      </w:r>
      <w:r w:rsidR="00725FE4" w:rsidRPr="00A42C60">
        <w:rPr>
          <w:rFonts w:ascii="Arial" w:hAnsi="Arial" w:cs="Arial"/>
          <w:szCs w:val="24"/>
          <w:lang w:val="es-MX" w:eastAsia="es-ES_tradnl"/>
        </w:rPr>
        <w:t>desde una perspectiva cualitativa y cuantitativa</w:t>
      </w:r>
      <w:r w:rsidR="00BB2CAA" w:rsidRPr="00A42C60">
        <w:rPr>
          <w:rFonts w:ascii="Arial" w:hAnsi="Arial" w:cs="Arial"/>
          <w:szCs w:val="24"/>
          <w:lang w:val="es-MX" w:eastAsia="es-ES_tradnl"/>
        </w:rPr>
        <w:t xml:space="preserve"> que buscan preservar la esencia de este</w:t>
      </w:r>
      <w:r w:rsidRPr="00A42C60">
        <w:rPr>
          <w:rFonts w:ascii="Arial" w:hAnsi="Arial" w:cs="Arial"/>
          <w:szCs w:val="24"/>
          <w:lang w:val="es-MX" w:eastAsia="es-ES_tradnl"/>
        </w:rPr>
        <w:t xml:space="preserve">: </w:t>
      </w:r>
    </w:p>
    <w:p w14:paraId="70A82121" w14:textId="77777777" w:rsidR="00882BB5" w:rsidRPr="00A42C60" w:rsidRDefault="00882BB5" w:rsidP="00E04658">
      <w:pPr>
        <w:spacing w:after="0" w:line="276" w:lineRule="auto"/>
        <w:ind w:left="709" w:right="709"/>
        <w:jc w:val="both"/>
        <w:rPr>
          <w:rFonts w:ascii="Arial" w:hAnsi="Arial" w:cs="Arial"/>
          <w:szCs w:val="24"/>
          <w:lang w:val="es-MX" w:eastAsia="es-ES_tradnl"/>
        </w:rPr>
      </w:pPr>
    </w:p>
    <w:p w14:paraId="69E35D4E" w14:textId="34A6314D" w:rsidR="00882BB5" w:rsidRPr="00A42C60" w:rsidRDefault="00A93518" w:rsidP="00E04658">
      <w:pPr>
        <w:spacing w:after="0" w:line="240" w:lineRule="auto"/>
        <w:ind w:left="709" w:right="709"/>
        <w:jc w:val="both"/>
        <w:rPr>
          <w:rFonts w:ascii="Arial" w:hAnsi="Arial" w:cs="Arial"/>
          <w:sz w:val="21"/>
          <w:szCs w:val="21"/>
          <w:lang w:val="es-MX" w:eastAsia="es-ES_tradnl"/>
        </w:rPr>
      </w:pPr>
      <w:r w:rsidRPr="00A42C60">
        <w:rPr>
          <w:rFonts w:ascii="Arial" w:hAnsi="Arial" w:cs="Arial"/>
          <w:szCs w:val="24"/>
          <w:lang w:val="es-MX" w:eastAsia="es-ES_tradnl"/>
        </w:rPr>
        <w:t xml:space="preserve">Desde el punto de vista </w:t>
      </w:r>
      <w:r w:rsidRPr="00A42C60">
        <w:rPr>
          <w:rFonts w:ascii="Arial" w:hAnsi="Arial" w:cs="Arial"/>
          <w:i/>
          <w:iCs/>
          <w:szCs w:val="24"/>
          <w:lang w:val="es-MX" w:eastAsia="es-ES_tradnl"/>
        </w:rPr>
        <w:t>cuantitativo,</w:t>
      </w:r>
      <w:r w:rsidRPr="00A42C60">
        <w:rPr>
          <w:rFonts w:ascii="Arial" w:hAnsi="Arial" w:cs="Arial"/>
          <w:szCs w:val="24"/>
          <w:lang w:val="es-MX" w:eastAsia="es-ES_tradnl"/>
        </w:rPr>
        <w:t xml:space="preserve"> </w:t>
      </w:r>
      <w:r w:rsidRPr="00A42C60">
        <w:rPr>
          <w:rFonts w:ascii="Arial" w:hAnsi="Arial" w:cs="Arial"/>
          <w:b/>
          <w:bCs/>
          <w:szCs w:val="24"/>
          <w:lang w:val="es-MX" w:eastAsia="es-ES_tradnl"/>
        </w:rPr>
        <w:t>toda modificación que aumente el presupuesto destinado al contrato cuenta, independientemente de las modalidades contractuales y de la forma de pago o de la remuneración del contratista</w:t>
      </w:r>
      <w:r w:rsidRPr="00A42C60">
        <w:rPr>
          <w:rFonts w:ascii="Arial" w:hAnsi="Arial" w:cs="Arial"/>
          <w:szCs w:val="24"/>
          <w:lang w:val="es-MX" w:eastAsia="es-ES_tradnl"/>
        </w:rPr>
        <w:t xml:space="preserve">. El límite significativo del 50% de su valor inicialmente calculado es determinante del umbral a partir del cual el contrato original ha de considerarse cambiado en su esencia. </w:t>
      </w:r>
      <w:r w:rsidR="00882BB5" w:rsidRPr="00A42C60">
        <w:rPr>
          <w:rFonts w:ascii="Arial" w:hAnsi="Arial" w:cs="Arial"/>
          <w:sz w:val="21"/>
          <w:szCs w:val="21"/>
          <w:lang w:val="es-MX" w:eastAsia="es-ES_tradnl"/>
        </w:rPr>
        <w:t>[…]</w:t>
      </w:r>
    </w:p>
    <w:p w14:paraId="66BE2FE9" w14:textId="77777777" w:rsidR="00E04658" w:rsidRPr="00A42C60" w:rsidRDefault="00E04658" w:rsidP="00E04658">
      <w:pPr>
        <w:spacing w:after="0" w:line="240" w:lineRule="auto"/>
        <w:ind w:left="709" w:right="709"/>
        <w:jc w:val="both"/>
        <w:rPr>
          <w:rFonts w:ascii="Arial" w:hAnsi="Arial" w:cs="Arial"/>
          <w:sz w:val="21"/>
          <w:szCs w:val="21"/>
          <w:lang w:val="es-MX" w:eastAsia="es-ES_tradnl"/>
        </w:rPr>
      </w:pPr>
    </w:p>
    <w:p w14:paraId="23ED9251" w14:textId="2940EECA" w:rsidR="00A93518" w:rsidRPr="00A42C60" w:rsidRDefault="00882BB5" w:rsidP="00E04658">
      <w:pPr>
        <w:spacing w:after="0" w:line="240" w:lineRule="auto"/>
        <w:ind w:left="709" w:right="709"/>
        <w:jc w:val="both"/>
        <w:rPr>
          <w:rFonts w:ascii="Arial" w:hAnsi="Arial" w:cs="Arial"/>
          <w:sz w:val="21"/>
          <w:szCs w:val="21"/>
          <w:lang w:val="es-MX" w:eastAsia="es-ES_tradnl"/>
        </w:rPr>
      </w:pPr>
      <w:r w:rsidRPr="00A42C60">
        <w:rPr>
          <w:rFonts w:ascii="Arial" w:hAnsi="Arial" w:cs="Arial"/>
          <w:szCs w:val="24"/>
          <w:lang w:val="es-MX" w:eastAsia="es-ES_tradnl"/>
        </w:rPr>
        <w:t>Y, desde el punto de vista</w:t>
      </w:r>
      <w:r w:rsidRPr="00A42C60">
        <w:rPr>
          <w:rFonts w:ascii="Arial" w:hAnsi="Arial" w:cs="Arial"/>
          <w:i/>
          <w:iCs/>
          <w:szCs w:val="24"/>
          <w:lang w:val="es-MX" w:eastAsia="es-ES_tradnl"/>
        </w:rPr>
        <w:t xml:space="preserve"> cualitativo</w:t>
      </w:r>
      <w:r w:rsidRPr="00A42C60">
        <w:rPr>
          <w:rFonts w:ascii="Arial" w:hAnsi="Arial" w:cs="Arial"/>
          <w:szCs w:val="24"/>
          <w:lang w:val="es-MX" w:eastAsia="es-ES_tradnl"/>
        </w:rPr>
        <w:t xml:space="preserve">, una adición que desnaturaliza el objeto inicial del contrato constituye en realidad una modificación esencial del contrato, lo que daría al traste con todo el proceso previo de selección de contratista para un objeto determinado y aniquilaría toda la estructuración técnica que procedió al proceso de selección. </w:t>
      </w:r>
      <w:r w:rsidRPr="00A42C60">
        <w:rPr>
          <w:rFonts w:ascii="Arial" w:hAnsi="Arial" w:cs="Arial"/>
          <w:sz w:val="21"/>
          <w:szCs w:val="21"/>
          <w:lang w:val="es-MX" w:eastAsia="es-ES_tradnl"/>
        </w:rPr>
        <w:t>[…]</w:t>
      </w:r>
    </w:p>
    <w:p w14:paraId="3B157980" w14:textId="77777777" w:rsidR="00E04658" w:rsidRPr="00A42C60" w:rsidRDefault="00E04658" w:rsidP="00E04658">
      <w:pPr>
        <w:spacing w:after="0" w:line="240" w:lineRule="auto"/>
        <w:ind w:left="709" w:right="709"/>
        <w:jc w:val="both"/>
        <w:rPr>
          <w:rFonts w:ascii="Arial" w:hAnsi="Arial" w:cs="Arial"/>
          <w:sz w:val="21"/>
          <w:szCs w:val="21"/>
          <w:lang w:val="es-MX" w:eastAsia="es-ES_tradnl"/>
        </w:rPr>
      </w:pPr>
    </w:p>
    <w:p w14:paraId="43551C01" w14:textId="69E6AB7B" w:rsidR="00882BB5" w:rsidRPr="00A42C60" w:rsidRDefault="00882BB5" w:rsidP="00E04658">
      <w:pPr>
        <w:spacing w:after="0" w:line="240" w:lineRule="auto"/>
        <w:ind w:left="709" w:right="709"/>
        <w:jc w:val="both"/>
        <w:rPr>
          <w:rFonts w:ascii="Arial" w:hAnsi="Arial" w:cs="Arial"/>
          <w:szCs w:val="24"/>
          <w:lang w:val="es-MX" w:eastAsia="es-ES_tradnl"/>
        </w:rPr>
      </w:pPr>
      <w:r w:rsidRPr="00A42C60">
        <w:rPr>
          <w:rFonts w:ascii="Arial" w:hAnsi="Arial" w:cs="Arial"/>
          <w:szCs w:val="24"/>
          <w:lang w:val="es-MX" w:eastAsia="es-ES_tradnl"/>
        </w:rPr>
        <w:t xml:space="preserve">Puede entonces apreciarse que la limitación </w:t>
      </w:r>
      <w:r w:rsidRPr="00A42C60">
        <w:rPr>
          <w:rFonts w:ascii="Arial" w:hAnsi="Arial" w:cs="Arial"/>
          <w:i/>
          <w:iCs/>
          <w:szCs w:val="24"/>
          <w:lang w:val="es-MX" w:eastAsia="es-ES_tradnl"/>
        </w:rPr>
        <w:t>cuantitativa</w:t>
      </w:r>
      <w:r w:rsidRPr="00A42C60">
        <w:rPr>
          <w:rFonts w:ascii="Arial" w:hAnsi="Arial" w:cs="Arial"/>
          <w:szCs w:val="24"/>
          <w:lang w:val="es-MX" w:eastAsia="es-ES_tradnl"/>
        </w:rPr>
        <w:t xml:space="preserve"> de las adiciones contractuales es simple de apreciar. Una vez superada la distinción entre contrato estatal </w:t>
      </w:r>
      <w:r w:rsidR="00E04658" w:rsidRPr="00A42C60">
        <w:rPr>
          <w:rFonts w:ascii="Arial" w:hAnsi="Arial" w:cs="Arial"/>
          <w:szCs w:val="24"/>
          <w:lang w:val="es-MX" w:eastAsia="es-ES_tradnl"/>
        </w:rPr>
        <w:t xml:space="preserve">y adición del contrato y la consecuente particularidad de los contratos a precios unitarios, </w:t>
      </w:r>
      <w:r w:rsidR="00E04658" w:rsidRPr="00A42C60">
        <w:rPr>
          <w:rFonts w:ascii="Arial" w:hAnsi="Arial" w:cs="Arial"/>
          <w:b/>
          <w:bCs/>
          <w:szCs w:val="24"/>
          <w:lang w:val="es-MX" w:eastAsia="es-ES_tradnl"/>
        </w:rPr>
        <w:t xml:space="preserve">las </w:t>
      </w:r>
      <w:r w:rsidR="00E04658" w:rsidRPr="00A42C60">
        <w:rPr>
          <w:rFonts w:ascii="Arial" w:hAnsi="Arial" w:cs="Arial"/>
          <w:b/>
          <w:bCs/>
          <w:i/>
          <w:iCs/>
          <w:szCs w:val="24"/>
          <w:lang w:val="es-MX" w:eastAsia="es-ES_tradnl"/>
        </w:rPr>
        <w:t>adiciones</w:t>
      </w:r>
      <w:r w:rsidR="00E04658" w:rsidRPr="00A42C60">
        <w:rPr>
          <w:rFonts w:ascii="Arial" w:hAnsi="Arial" w:cs="Arial"/>
          <w:b/>
          <w:bCs/>
          <w:szCs w:val="24"/>
          <w:lang w:val="es-MX" w:eastAsia="es-ES_tradnl"/>
        </w:rPr>
        <w:t xml:space="preserve"> del parágrafo del artículo 40 de la Ley 80/93 comprenden cualquier aumento del valor o costo del contrato</w:t>
      </w:r>
      <w:r w:rsidR="00E04658" w:rsidRPr="00A42C60">
        <w:rPr>
          <w:rStyle w:val="Refdenotaalpie"/>
          <w:rFonts w:ascii="Arial" w:hAnsi="Arial" w:cs="Arial"/>
          <w:szCs w:val="24"/>
          <w:lang w:val="es-MX" w:eastAsia="es-ES_tradnl"/>
        </w:rPr>
        <w:footnoteReference w:id="14"/>
      </w:r>
      <w:r w:rsidR="00E04658" w:rsidRPr="00A42C60">
        <w:rPr>
          <w:rFonts w:ascii="Arial" w:hAnsi="Arial" w:cs="Arial"/>
          <w:szCs w:val="24"/>
          <w:lang w:val="es-MX" w:eastAsia="es-ES_tradnl"/>
        </w:rPr>
        <w:t xml:space="preserve">. </w:t>
      </w:r>
      <w:r w:rsidR="00CE3A86" w:rsidRPr="00A42C60">
        <w:rPr>
          <w:rFonts w:ascii="Arial" w:hAnsi="Arial" w:cs="Arial"/>
          <w:szCs w:val="24"/>
          <w:lang w:val="es-MX" w:eastAsia="es-ES_tradnl"/>
        </w:rPr>
        <w:t>(Negrilla por fuera de texto)</w:t>
      </w:r>
    </w:p>
    <w:p w14:paraId="2203904D" w14:textId="77777777" w:rsidR="00E04658" w:rsidRPr="00A42C60" w:rsidRDefault="00E04658" w:rsidP="0080066A">
      <w:pPr>
        <w:spacing w:after="0" w:line="240" w:lineRule="auto"/>
        <w:ind w:firstLine="709"/>
        <w:jc w:val="both"/>
        <w:rPr>
          <w:rFonts w:ascii="Arial" w:hAnsi="Arial" w:cs="Arial"/>
          <w:szCs w:val="24"/>
          <w:lang w:val="es-MX" w:eastAsia="es-ES_tradnl"/>
        </w:rPr>
      </w:pPr>
    </w:p>
    <w:p w14:paraId="00081AC1" w14:textId="544AE3F9" w:rsidR="0083037E" w:rsidRPr="00A42C60" w:rsidRDefault="0083037E" w:rsidP="00CE3A86">
      <w:pPr>
        <w:spacing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 xml:space="preserve">La postura anterior también es defendida por la Sección Tercera del Consejo de Estado, </w:t>
      </w:r>
      <w:r w:rsidR="00C06845">
        <w:rPr>
          <w:rFonts w:ascii="Arial" w:hAnsi="Arial" w:cs="Arial"/>
          <w:szCs w:val="24"/>
          <w:lang w:val="es-MX" w:eastAsia="es-ES_tradnl"/>
        </w:rPr>
        <w:t>que,</w:t>
      </w:r>
      <w:r w:rsidR="00C06845" w:rsidRPr="00A42C60">
        <w:rPr>
          <w:rFonts w:ascii="Arial" w:hAnsi="Arial" w:cs="Arial"/>
          <w:szCs w:val="24"/>
          <w:lang w:val="es-MX" w:eastAsia="es-ES_tradnl"/>
        </w:rPr>
        <w:t xml:space="preserve"> </w:t>
      </w:r>
      <w:r w:rsidRPr="00A42C60">
        <w:rPr>
          <w:rFonts w:ascii="Arial" w:hAnsi="Arial" w:cs="Arial"/>
          <w:szCs w:val="24"/>
          <w:lang w:val="es-MX" w:eastAsia="es-ES_tradnl"/>
        </w:rPr>
        <w:t>en el año 2010</w:t>
      </w:r>
      <w:r w:rsidR="00C06845">
        <w:rPr>
          <w:rFonts w:ascii="Arial" w:hAnsi="Arial" w:cs="Arial"/>
          <w:szCs w:val="24"/>
          <w:lang w:val="es-MX" w:eastAsia="es-ES_tradnl"/>
        </w:rPr>
        <w:t>, se pronunció al respecto</w:t>
      </w:r>
      <w:r w:rsidRPr="00A42C60">
        <w:rPr>
          <w:rFonts w:ascii="Arial" w:hAnsi="Arial" w:cs="Arial"/>
          <w:szCs w:val="24"/>
          <w:lang w:val="es-MX" w:eastAsia="es-ES_tradnl"/>
        </w:rPr>
        <w:t xml:space="preserve"> </w:t>
      </w:r>
      <w:r w:rsidR="00B51C17">
        <w:rPr>
          <w:rFonts w:ascii="Arial" w:hAnsi="Arial" w:cs="Arial"/>
          <w:szCs w:val="24"/>
          <w:lang w:val="es-MX" w:eastAsia="es-ES_tradnl"/>
        </w:rPr>
        <w:t>al resolver sobre</w:t>
      </w:r>
      <w:r w:rsidRPr="00A42C60">
        <w:rPr>
          <w:rFonts w:ascii="Arial" w:hAnsi="Arial" w:cs="Arial"/>
          <w:szCs w:val="24"/>
          <w:lang w:val="es-MX" w:eastAsia="es-ES_tradnl"/>
        </w:rPr>
        <w:t xml:space="preserve"> la legalidad del artículo 73 del Decreto 2474 de 2008, que autorizaba la adición de algunos contratos por encima del 50%. La Sección Tercera declaró su nulidad</w:t>
      </w:r>
      <w:r w:rsidR="00B51C17">
        <w:rPr>
          <w:rFonts w:ascii="Arial" w:hAnsi="Arial" w:cs="Arial"/>
          <w:szCs w:val="24"/>
          <w:lang w:val="es-MX" w:eastAsia="es-ES_tradnl"/>
        </w:rPr>
        <w:t xml:space="preserve"> de dicha norma</w:t>
      </w:r>
      <w:r w:rsidRPr="00A42C60">
        <w:rPr>
          <w:rFonts w:ascii="Arial" w:hAnsi="Arial" w:cs="Arial"/>
          <w:szCs w:val="24"/>
          <w:lang w:val="es-MX" w:eastAsia="es-ES_tradnl"/>
        </w:rPr>
        <w:t xml:space="preserve"> en la sentencia del 14 de abril de 2010, </w:t>
      </w:r>
      <w:r w:rsidR="00B51C17">
        <w:rPr>
          <w:rFonts w:ascii="Arial" w:hAnsi="Arial" w:cs="Arial"/>
          <w:szCs w:val="24"/>
          <w:lang w:val="es-MX" w:eastAsia="es-ES_tradnl"/>
        </w:rPr>
        <w:t>exponiendo</w:t>
      </w:r>
      <w:r w:rsidR="00B51C17" w:rsidRPr="00A42C60">
        <w:rPr>
          <w:rFonts w:ascii="Arial" w:hAnsi="Arial" w:cs="Arial"/>
          <w:szCs w:val="24"/>
          <w:lang w:val="es-MX" w:eastAsia="es-ES_tradnl"/>
        </w:rPr>
        <w:t xml:space="preserve"> </w:t>
      </w:r>
      <w:r w:rsidRPr="00A42C60">
        <w:rPr>
          <w:rFonts w:ascii="Arial" w:hAnsi="Arial" w:cs="Arial"/>
          <w:szCs w:val="24"/>
          <w:lang w:val="es-MX" w:eastAsia="es-ES_tradnl"/>
        </w:rPr>
        <w:t>los siguientes argumentos:</w:t>
      </w:r>
    </w:p>
    <w:p w14:paraId="7787C666" w14:textId="77777777" w:rsidR="00BD5491" w:rsidRPr="00A42C60" w:rsidRDefault="00BD5491" w:rsidP="00BD5491">
      <w:pPr>
        <w:spacing w:after="0" w:line="276" w:lineRule="auto"/>
        <w:jc w:val="both"/>
        <w:rPr>
          <w:rFonts w:ascii="Arial" w:hAnsi="Arial" w:cs="Arial"/>
          <w:szCs w:val="24"/>
          <w:lang w:val="es-MX" w:eastAsia="es-ES_tradnl"/>
        </w:rPr>
      </w:pPr>
    </w:p>
    <w:p w14:paraId="51F70167" w14:textId="41238B4E" w:rsidR="0083037E" w:rsidRPr="00A42C60" w:rsidRDefault="0083037E" w:rsidP="00BD5491">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xml:space="preserve">La Sala acogerá la pretensión formulada en atención a que como ya ha sostenido la jurisprudencia de esta Corporación las expresiones utilizadas por la ley («adicionar» y «valor inicial»), hacen referencia a la necesidad de operar modificaciones en algunos negocios jurídicos, lo cual implica una variación en </w:t>
      </w:r>
      <w:r w:rsidRPr="00A42C60">
        <w:rPr>
          <w:rFonts w:ascii="Arial" w:hAnsi="Arial" w:cs="Arial"/>
          <w:sz w:val="21"/>
          <w:szCs w:val="21"/>
          <w:lang w:val="es-MX" w:eastAsia="es-ES_tradnl"/>
        </w:rPr>
        <w:lastRenderedPageBreak/>
        <w:t xml:space="preserve">el valor pactado. En este evento, se trata de obras nuevas o distintas indispensables para alcanzar la finalidad perseguida con el acuerdo de voluntades. No obstante lo anterior, </w:t>
      </w:r>
      <w:r w:rsidRPr="00A42C60">
        <w:rPr>
          <w:rFonts w:ascii="Arial" w:hAnsi="Arial" w:cs="Arial"/>
          <w:b/>
          <w:bCs/>
          <w:sz w:val="21"/>
          <w:szCs w:val="21"/>
          <w:lang w:val="es-MX" w:eastAsia="es-ES_tradnl"/>
        </w:rPr>
        <w:t>la legislación vigente contempla una limitante: el valor de lo adicionado no puede sobrepasar la mitad de lo inicialmente pactado, asegurándose su actualización mediante las variaciones que presenta el salario mínimo legal mensual. La prohibición expresada por el legislador en el artículo 40 del Estatuto de contratación estatal, es una medida que no sólo busca que no se burlen los procedimientos de selección, sino que además asegura principios como la transparencia, la selección objetiva y la planeación</w:t>
      </w:r>
      <w:r w:rsidR="00BD5491" w:rsidRPr="00A42C60">
        <w:rPr>
          <w:rFonts w:ascii="Arial" w:hAnsi="Arial" w:cs="Arial"/>
          <w:sz w:val="21"/>
          <w:szCs w:val="21"/>
          <w:lang w:val="es-MX" w:eastAsia="es-ES_tradnl"/>
        </w:rPr>
        <w:t>.</w:t>
      </w:r>
    </w:p>
    <w:p w14:paraId="0BFDBB77" w14:textId="77777777" w:rsidR="0083037E" w:rsidRPr="00A42C60" w:rsidRDefault="0083037E" w:rsidP="00BD5491">
      <w:pPr>
        <w:spacing w:after="0" w:line="240" w:lineRule="auto"/>
        <w:ind w:left="709" w:right="709"/>
        <w:jc w:val="both"/>
        <w:rPr>
          <w:rFonts w:ascii="Arial" w:hAnsi="Arial" w:cs="Arial"/>
          <w:sz w:val="21"/>
          <w:szCs w:val="21"/>
          <w:lang w:val="es-MX" w:eastAsia="es-ES_tradnl"/>
        </w:rPr>
      </w:pPr>
    </w:p>
    <w:p w14:paraId="42DB0837" w14:textId="12E838EA" w:rsidR="0083037E" w:rsidRPr="00A42C60" w:rsidRDefault="0083037E" w:rsidP="00BD5491">
      <w:pPr>
        <w:spacing w:after="0" w:line="240" w:lineRule="auto"/>
        <w:ind w:left="709" w:right="709"/>
        <w:jc w:val="both"/>
        <w:rPr>
          <w:rFonts w:ascii="Arial" w:hAnsi="Arial" w:cs="Arial"/>
          <w:szCs w:val="24"/>
          <w:lang w:val="es-MX" w:eastAsia="es-ES_tradnl"/>
        </w:rPr>
      </w:pPr>
      <w:r w:rsidRPr="00A42C60">
        <w:rPr>
          <w:rFonts w:ascii="Arial" w:hAnsi="Arial" w:cs="Arial"/>
          <w:sz w:val="21"/>
          <w:szCs w:val="21"/>
          <w:lang w:val="es-MX" w:eastAsia="es-ES_tradnl"/>
        </w:rPr>
        <w:t>Llegados a este punto, se encuentra que la norma demandada tiene el alcance que el demandante le endilga, en ella se señala la posibilidad de adicionar el contrato de interventoría sin atender a ningún límite de valor, el único criterio que se tiene presente es la prórroga del contrato sobre el cual se realiza la inspección y vigilancia. En otras palabras, se permite una adición que no tiene en cuenta la prohibición establecida en el artículo 40 de la Ley 80 de 1993 y que podría sobrepasar en más de un 50% el valor de lo inicialmente pactado</w:t>
      </w:r>
      <w:r w:rsidRPr="00A42C60">
        <w:rPr>
          <w:rFonts w:ascii="Arial" w:hAnsi="Arial" w:cs="Arial"/>
          <w:sz w:val="21"/>
          <w:szCs w:val="21"/>
          <w:vertAlign w:val="superscript"/>
          <w:lang w:val="es-MX" w:eastAsia="es-ES_tradnl"/>
        </w:rPr>
        <w:footnoteReference w:id="15"/>
      </w:r>
      <w:r w:rsidRPr="00A42C60">
        <w:rPr>
          <w:rFonts w:ascii="Arial" w:hAnsi="Arial" w:cs="Arial"/>
          <w:sz w:val="21"/>
          <w:szCs w:val="21"/>
          <w:vertAlign w:val="superscript"/>
          <w:lang w:val="es-MX" w:eastAsia="es-ES_tradnl"/>
        </w:rPr>
        <w:t>.</w:t>
      </w:r>
      <w:r w:rsidR="00CE3A86" w:rsidRPr="00A42C60">
        <w:rPr>
          <w:rFonts w:ascii="Arial" w:hAnsi="Arial" w:cs="Arial"/>
          <w:szCs w:val="24"/>
          <w:lang w:val="es-MX" w:eastAsia="es-ES_tradnl"/>
        </w:rPr>
        <w:t>(Negrilla por fuera de texto).</w:t>
      </w:r>
    </w:p>
    <w:p w14:paraId="71DC2792" w14:textId="25E6FF95" w:rsidR="00CE3A86" w:rsidRPr="00A42C60" w:rsidRDefault="00CE3A86" w:rsidP="00BD5491">
      <w:pPr>
        <w:spacing w:after="0" w:line="240" w:lineRule="auto"/>
        <w:ind w:left="709" w:right="709"/>
        <w:jc w:val="both"/>
        <w:rPr>
          <w:rFonts w:ascii="Arial" w:hAnsi="Arial" w:cs="Arial"/>
          <w:szCs w:val="24"/>
          <w:lang w:val="es-MX" w:eastAsia="es-ES_tradnl"/>
        </w:rPr>
      </w:pPr>
    </w:p>
    <w:p w14:paraId="518F969D" w14:textId="5175338D" w:rsidR="0017199E" w:rsidRPr="00A42C60" w:rsidRDefault="003F40D6" w:rsidP="0017199E">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Asimismo, e</w:t>
      </w:r>
      <w:r w:rsidR="00CE3A86" w:rsidRPr="00A42C60">
        <w:rPr>
          <w:rFonts w:ascii="Arial" w:hAnsi="Arial" w:cs="Arial"/>
          <w:szCs w:val="24"/>
          <w:lang w:val="es-MX" w:eastAsia="es-ES_tradnl"/>
        </w:rPr>
        <w:t xml:space="preserve">sta postura también es sostenida por el Consejo de Estado en otras providencias en las que se indica que </w:t>
      </w:r>
      <w:r w:rsidR="0017199E" w:rsidRPr="00A42C60">
        <w:rPr>
          <w:rFonts w:ascii="Arial" w:hAnsi="Arial" w:cs="Arial"/>
          <w:szCs w:val="24"/>
          <w:lang w:val="es-MX" w:eastAsia="es-ES_tradnl"/>
        </w:rPr>
        <w:t>en el evento de mayores cantidades de obra se puede proceder acudiendo a la compensación o, en su defecto, a la suscripción de un contrato adicional</w:t>
      </w:r>
      <w:r w:rsidR="00BB2CAA" w:rsidRPr="00A42C60">
        <w:rPr>
          <w:rFonts w:ascii="Arial" w:hAnsi="Arial" w:cs="Arial"/>
          <w:szCs w:val="24"/>
          <w:lang w:val="es-MX" w:eastAsia="es-ES_tradnl"/>
        </w:rPr>
        <w:t xml:space="preserve"> </w:t>
      </w:r>
      <w:r w:rsidR="0017199E" w:rsidRPr="00A42C60">
        <w:rPr>
          <w:rFonts w:ascii="Arial" w:hAnsi="Arial" w:cs="Arial"/>
          <w:szCs w:val="24"/>
          <w:lang w:val="es-MX" w:eastAsia="es-ES_tradnl"/>
        </w:rPr>
        <w:t xml:space="preserve">sujeto a la verificación de la disponibilidad presupuestal: </w:t>
      </w:r>
    </w:p>
    <w:p w14:paraId="6AAA1F58" w14:textId="77777777" w:rsidR="0017199E" w:rsidRPr="00A42C60" w:rsidRDefault="0017199E" w:rsidP="0017199E">
      <w:pPr>
        <w:spacing w:after="0" w:line="276" w:lineRule="auto"/>
        <w:ind w:firstLine="709"/>
        <w:jc w:val="both"/>
        <w:rPr>
          <w:rFonts w:ascii="Arial" w:hAnsi="Arial" w:cs="Arial"/>
          <w:szCs w:val="24"/>
          <w:lang w:val="es-MX" w:eastAsia="es-ES_tradnl"/>
        </w:rPr>
      </w:pPr>
    </w:p>
    <w:p w14:paraId="29AEA491" w14:textId="182D5ED0" w:rsidR="00604FBF" w:rsidRPr="00A42C60" w:rsidRDefault="0017199E" w:rsidP="00604FBF">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En el contrato de obra suscrito bajo la modalidad de pago por precios unitarios, el reconocimiento de las mayores cantidades de obra, cuando ellas resulten necesarias para cumplir con el objeto contractual, bien puede realizarse por vía de compensación con otros ítems cuyas cantidades se hayan ejecutado por debajo de la proporción estimada, lo cual deberá constar en un acta suscrita entre el contratista y el interventor autorizado o, en su defecto, por el representante legal de la entidad; o, cuando ello no sea posible, por sobrepasar el estimativo inicial a través de la suscripción de un contrato adicional (en el valor) sujeto a la previa verificación de la existencia de disponibilidad presupuestal para atender el compromiso y luego reflejadas en las actas de recibo firmadas por las partes, o a más tardar en el acta de liquidación del contrato, respaldadas con las respectiva disponibilidad presupuestal y siempre que hayan sido autorizadas</w:t>
      </w:r>
      <w:r w:rsidRPr="00A42C60">
        <w:rPr>
          <w:rStyle w:val="Refdenotaalpie"/>
          <w:rFonts w:ascii="Arial" w:hAnsi="Arial" w:cs="Arial"/>
          <w:sz w:val="21"/>
          <w:szCs w:val="21"/>
          <w:lang w:val="es-MX" w:eastAsia="es-ES_tradnl"/>
        </w:rPr>
        <w:footnoteReference w:id="16"/>
      </w:r>
      <w:r w:rsidRPr="00A42C60">
        <w:rPr>
          <w:rFonts w:ascii="Arial" w:hAnsi="Arial" w:cs="Arial"/>
          <w:sz w:val="21"/>
          <w:szCs w:val="21"/>
          <w:lang w:val="es-MX" w:eastAsia="es-ES_tradnl"/>
        </w:rPr>
        <w:t>.</w:t>
      </w:r>
    </w:p>
    <w:p w14:paraId="1F9B2050" w14:textId="77777777" w:rsidR="000D4F49" w:rsidRPr="00A42C60" w:rsidRDefault="000D4F49" w:rsidP="00604FBF">
      <w:pPr>
        <w:spacing w:after="0" w:line="240" w:lineRule="auto"/>
        <w:ind w:left="709" w:right="709"/>
        <w:jc w:val="both"/>
        <w:rPr>
          <w:rFonts w:ascii="Arial" w:hAnsi="Arial" w:cs="Arial"/>
          <w:sz w:val="21"/>
          <w:szCs w:val="21"/>
          <w:lang w:val="es-MX" w:eastAsia="es-ES_tradnl"/>
        </w:rPr>
      </w:pPr>
    </w:p>
    <w:p w14:paraId="4487C8C2" w14:textId="435D93A8" w:rsidR="002E7732" w:rsidRPr="00A42C60" w:rsidRDefault="00474158" w:rsidP="000D4F49">
      <w:pPr>
        <w:spacing w:after="0" w:line="276" w:lineRule="auto"/>
        <w:ind w:firstLine="709"/>
        <w:jc w:val="both"/>
        <w:rPr>
          <w:rFonts w:ascii="Arial" w:hAnsi="Arial" w:cs="Arial"/>
          <w:szCs w:val="24"/>
          <w:lang w:eastAsia="es-ES_tradnl"/>
        </w:rPr>
      </w:pPr>
      <w:r w:rsidRPr="00A42C60">
        <w:rPr>
          <w:rFonts w:ascii="Arial" w:hAnsi="Arial" w:cs="Arial"/>
          <w:szCs w:val="24"/>
          <w:lang w:eastAsia="es-ES_tradnl"/>
        </w:rPr>
        <w:t>En s</w:t>
      </w:r>
      <w:r w:rsidR="002E7732" w:rsidRPr="00A42C60">
        <w:rPr>
          <w:rFonts w:ascii="Arial" w:hAnsi="Arial" w:cs="Arial"/>
          <w:szCs w:val="24"/>
          <w:lang w:eastAsia="es-ES_tradnl"/>
        </w:rPr>
        <w:t>entencia del 9 de julio de 2021 del Consejo de Estado, se realizó una aclaración de voto</w:t>
      </w:r>
      <w:r w:rsidRPr="00A42C60">
        <w:rPr>
          <w:rFonts w:ascii="Arial" w:hAnsi="Arial" w:cs="Arial"/>
          <w:szCs w:val="24"/>
          <w:lang w:eastAsia="es-ES_tradnl"/>
        </w:rPr>
        <w:t xml:space="preserve"> que vale la pena destacar,</w:t>
      </w:r>
      <w:r w:rsidR="002E7732" w:rsidRPr="00A42C60">
        <w:rPr>
          <w:rFonts w:ascii="Arial" w:hAnsi="Arial" w:cs="Arial"/>
          <w:szCs w:val="24"/>
          <w:lang w:eastAsia="es-ES_tradnl"/>
        </w:rPr>
        <w:t xml:space="preserve"> en </w:t>
      </w:r>
      <w:r w:rsidRPr="00A42C60">
        <w:rPr>
          <w:rFonts w:ascii="Arial" w:hAnsi="Arial" w:cs="Arial"/>
          <w:szCs w:val="24"/>
          <w:lang w:eastAsia="es-ES_tradnl"/>
        </w:rPr>
        <w:t xml:space="preserve">cuanto reitera esta postura en relación con la limitación de la adición del contrato. </w:t>
      </w:r>
      <w:r w:rsidR="002E7732" w:rsidRPr="00A42C60">
        <w:rPr>
          <w:rFonts w:ascii="Arial" w:hAnsi="Arial" w:cs="Arial"/>
          <w:szCs w:val="24"/>
          <w:lang w:eastAsia="es-ES_tradnl"/>
        </w:rPr>
        <w:t xml:space="preserve">En esta oportunidad se indicó que </w:t>
      </w:r>
      <w:bookmarkStart w:id="2" w:name="_Hlk119400783"/>
      <w:r w:rsidR="002E7732" w:rsidRPr="00A42C60">
        <w:rPr>
          <w:rFonts w:ascii="Arial" w:hAnsi="Arial" w:cs="Arial"/>
          <w:szCs w:val="24"/>
          <w:lang w:val="es-ES" w:eastAsia="es-ES_tradnl"/>
        </w:rPr>
        <w:t>«</w:t>
      </w:r>
      <w:bookmarkEnd w:id="2"/>
      <w:r w:rsidR="002E7732" w:rsidRPr="00A42C60">
        <w:rPr>
          <w:rFonts w:ascii="Arial" w:hAnsi="Arial" w:cs="Arial"/>
          <w:bCs/>
          <w:szCs w:val="24"/>
          <w:lang w:val="es-ES" w:eastAsia="es-ES_tradnl"/>
        </w:rPr>
        <w:t xml:space="preserve">En el párrafo 34 de la sentencia se señaló que en contratos a precios unitarios, la cláusula de valor es “meramente indicativa”.  </w:t>
      </w:r>
      <w:r w:rsidR="002E7732" w:rsidRPr="00A42C60">
        <w:rPr>
          <w:rFonts w:ascii="Arial" w:hAnsi="Arial" w:cs="Arial"/>
          <w:bCs/>
          <w:i/>
          <w:iCs/>
          <w:szCs w:val="24"/>
          <w:lang w:val="es-ES" w:eastAsia="es-ES_tradnl"/>
        </w:rPr>
        <w:t>Al respecto estimo que el precio no puede fluctuar libremente al arbitrio de las partes, en tanto la ley</w:t>
      </w:r>
      <w:r w:rsidR="002E7732" w:rsidRPr="00A42C60">
        <w:rPr>
          <w:rFonts w:ascii="Arial" w:hAnsi="Arial" w:cs="Arial"/>
          <w:bCs/>
          <w:i/>
          <w:iCs/>
          <w:szCs w:val="24"/>
          <w:vertAlign w:val="superscript"/>
          <w:lang w:val="es-ES" w:eastAsia="es-ES_tradnl"/>
        </w:rPr>
        <w:footnoteRef/>
      </w:r>
      <w:r w:rsidR="002E7732" w:rsidRPr="00A42C60">
        <w:rPr>
          <w:rFonts w:ascii="Arial" w:hAnsi="Arial" w:cs="Arial"/>
          <w:bCs/>
          <w:i/>
          <w:iCs/>
          <w:szCs w:val="24"/>
          <w:lang w:val="es-ES" w:eastAsia="es-ES_tradnl"/>
        </w:rPr>
        <w:t xml:space="preserve"> impone restricciones a la posibilidad de adicionarlo, sin atención a la modalidad pactada en el contrato</w:t>
      </w:r>
      <w:r w:rsidR="002E7732" w:rsidRPr="00A42C60">
        <w:rPr>
          <w:rFonts w:ascii="Arial" w:hAnsi="Arial" w:cs="Arial"/>
          <w:bCs/>
          <w:szCs w:val="24"/>
          <w:lang w:val="es-ES" w:eastAsia="es-ES_tradnl"/>
        </w:rPr>
        <w:t>. A juicio del suscrito, el deber de planeación a cargo de las entidad estatales impone determinar, en forma previa, el alcance del objeto contractual, de modo que, de antemano, se conozca con alto grado de aproximación, el alcance de los trabajos. El máximo margen de desfase admisible está previsto en la ley como límite a la posibilidad de adicionar los contratos, insisto, con independencia de si los precios fueron globales o unitarios</w:t>
      </w:r>
      <w:r w:rsidR="002E7732" w:rsidRPr="00A42C60">
        <w:rPr>
          <w:rFonts w:ascii="Arial" w:hAnsi="Arial" w:cs="Arial"/>
          <w:szCs w:val="24"/>
          <w:lang w:val="es-ES" w:eastAsia="es-ES_tradnl"/>
        </w:rPr>
        <w:t>»</w:t>
      </w:r>
      <w:r w:rsidR="002E7732" w:rsidRPr="00A42C60">
        <w:rPr>
          <w:rStyle w:val="Refdenotaalpie"/>
          <w:rFonts w:ascii="Arial" w:hAnsi="Arial" w:cs="Arial"/>
          <w:szCs w:val="24"/>
          <w:lang w:val="es-ES" w:eastAsia="es-ES_tradnl"/>
        </w:rPr>
        <w:footnoteReference w:id="17"/>
      </w:r>
      <w:r w:rsidR="002E7732" w:rsidRPr="00A42C60">
        <w:rPr>
          <w:rFonts w:ascii="Arial" w:hAnsi="Arial" w:cs="Arial"/>
          <w:bCs/>
          <w:szCs w:val="24"/>
          <w:lang w:val="es-ES" w:eastAsia="es-ES_tradnl"/>
        </w:rPr>
        <w:t xml:space="preserve">. (Énfasis por fuera de texto). </w:t>
      </w:r>
    </w:p>
    <w:p w14:paraId="1B164BD2" w14:textId="4338F0C5" w:rsidR="002E7732" w:rsidRPr="00A42C60" w:rsidRDefault="002E7732" w:rsidP="002E7732">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En este contexto, reiterando lo expuesto en otros conceptos, esta Agencia comparte la última postura</w:t>
      </w:r>
      <w:r w:rsidR="00F20953" w:rsidRPr="00A42C60">
        <w:rPr>
          <w:rFonts w:ascii="Arial" w:hAnsi="Arial" w:cs="Arial"/>
          <w:szCs w:val="24"/>
          <w:lang w:val="es-MX" w:eastAsia="es-ES_tradnl"/>
        </w:rPr>
        <w:t xml:space="preserve"> expuesta</w:t>
      </w:r>
      <w:r w:rsidRPr="00A42C60">
        <w:rPr>
          <w:rFonts w:ascii="Arial" w:hAnsi="Arial" w:cs="Arial"/>
          <w:szCs w:val="24"/>
          <w:lang w:val="es-MX" w:eastAsia="es-ES_tradnl"/>
        </w:rPr>
        <w:t xml:space="preserve">, ya que es la que mejor garantiza el principio de legalidad, pues la norma es clara en señalar que los contratos no podrán adicionarse en más del cincuenta por ciento (50%) de su valor inicial, y valga la redundancia, el valor inicial es el contemplado en el contrato originario y cualquier alteración a ese valor constituirá, técnicamente, una adición, independientemente de cuál sea su causa; lo otro implicaría una fuga a la prohibición fijada por el legislador, sin perjuicio de las excepciones contempladas por Ley. </w:t>
      </w:r>
    </w:p>
    <w:p w14:paraId="0F42AA6B" w14:textId="33DAD876" w:rsidR="002E7732" w:rsidRPr="00A42C60" w:rsidRDefault="004F5159" w:rsidP="003E4047">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Si bien no se desconoce que el reconocimiento de mayores cantidades de obra no ha sido un tema pacífico en la jurisprudencia</w:t>
      </w:r>
      <w:r w:rsidR="00BB2CAA" w:rsidRPr="00A42C60">
        <w:rPr>
          <w:rFonts w:ascii="Arial" w:hAnsi="Arial" w:cs="Arial"/>
          <w:szCs w:val="24"/>
          <w:lang w:val="es-MX" w:eastAsia="es-ES_tradnl"/>
        </w:rPr>
        <w:t xml:space="preserve"> del Consejo de Estado, </w:t>
      </w:r>
      <w:r w:rsidRPr="00A42C60">
        <w:rPr>
          <w:rFonts w:ascii="Arial" w:hAnsi="Arial" w:cs="Arial"/>
          <w:szCs w:val="24"/>
          <w:lang w:val="es-MX" w:eastAsia="es-ES_tradnl"/>
        </w:rPr>
        <w:t>se considera que esta última postura es la que m</w:t>
      </w:r>
      <w:r w:rsidR="00CB72B1">
        <w:rPr>
          <w:rFonts w:ascii="Arial" w:hAnsi="Arial" w:cs="Arial"/>
          <w:szCs w:val="24"/>
          <w:lang w:val="es-MX" w:eastAsia="es-ES_tradnl"/>
        </w:rPr>
        <w:t>á</w:t>
      </w:r>
      <w:r w:rsidRPr="00A42C60">
        <w:rPr>
          <w:rFonts w:ascii="Arial" w:hAnsi="Arial" w:cs="Arial"/>
          <w:szCs w:val="24"/>
          <w:lang w:val="es-MX" w:eastAsia="es-ES_tradnl"/>
        </w:rPr>
        <w:t xml:space="preserve">s se adecua a la legislación vigente en la medida en que la ampliación de las cantidades de obra conduce a una adición del contrato y por </w:t>
      </w:r>
      <w:r w:rsidR="008C0FD1" w:rsidRPr="00A42C60">
        <w:rPr>
          <w:rFonts w:ascii="Arial" w:hAnsi="Arial" w:cs="Arial"/>
          <w:szCs w:val="24"/>
          <w:lang w:val="es-MX" w:eastAsia="es-ES_tradnl"/>
        </w:rPr>
        <w:t xml:space="preserve">ende </w:t>
      </w:r>
      <w:r w:rsidRPr="00A42C60">
        <w:rPr>
          <w:rFonts w:ascii="Arial" w:hAnsi="Arial" w:cs="Arial"/>
          <w:szCs w:val="24"/>
          <w:lang w:val="es-MX" w:eastAsia="es-ES_tradnl"/>
        </w:rPr>
        <w:t xml:space="preserve">al aumento del presupuesto de este, luego debe tener como límite el </w:t>
      </w:r>
      <w:r w:rsidR="008C0FD1" w:rsidRPr="00A42C60">
        <w:rPr>
          <w:rFonts w:ascii="Arial" w:hAnsi="Arial" w:cs="Arial"/>
          <w:szCs w:val="24"/>
          <w:lang w:val="es-MX" w:eastAsia="es-ES_tradnl"/>
        </w:rPr>
        <w:t>cincuenta por ciento (</w:t>
      </w:r>
      <w:r w:rsidRPr="00A42C60">
        <w:rPr>
          <w:rFonts w:ascii="Arial" w:hAnsi="Arial" w:cs="Arial"/>
          <w:szCs w:val="24"/>
          <w:lang w:val="es-MX" w:eastAsia="es-ES_tradnl"/>
        </w:rPr>
        <w:t>50%</w:t>
      </w:r>
      <w:r w:rsidR="008C0FD1" w:rsidRPr="00A42C60">
        <w:rPr>
          <w:rFonts w:ascii="Arial" w:hAnsi="Arial" w:cs="Arial"/>
          <w:szCs w:val="24"/>
          <w:lang w:val="es-MX" w:eastAsia="es-ES_tradnl"/>
        </w:rPr>
        <w:t>)</w:t>
      </w:r>
      <w:r w:rsidRPr="00A42C60">
        <w:rPr>
          <w:rFonts w:ascii="Arial" w:hAnsi="Arial" w:cs="Arial"/>
          <w:szCs w:val="24"/>
          <w:lang w:val="es-MX" w:eastAsia="es-ES_tradnl"/>
        </w:rPr>
        <w:t xml:space="preserve"> establecido en el artículo 40 de la Ley 80 de 1993</w:t>
      </w:r>
      <w:r w:rsidR="008C0FD1" w:rsidRPr="00A42C60">
        <w:rPr>
          <w:rFonts w:ascii="Arial" w:hAnsi="Arial" w:cs="Arial"/>
          <w:szCs w:val="24"/>
          <w:lang w:val="es-MX" w:eastAsia="es-ES_tradnl"/>
        </w:rPr>
        <w:t xml:space="preserve">. </w:t>
      </w:r>
      <w:r w:rsidR="00140314" w:rsidRPr="00A42C60">
        <w:rPr>
          <w:rFonts w:ascii="Arial" w:hAnsi="Arial" w:cs="Arial"/>
          <w:szCs w:val="24"/>
          <w:lang w:val="es-MX" w:eastAsia="es-ES_tradnl"/>
        </w:rPr>
        <w:t xml:space="preserve">Además, como lo ha mencionado la doctrina esta línea es </w:t>
      </w:r>
      <w:r w:rsidR="00037ED1" w:rsidRPr="00A42C60">
        <w:rPr>
          <w:rFonts w:ascii="Arial" w:hAnsi="Arial" w:cs="Arial"/>
          <w:szCs w:val="24"/>
          <w:lang w:val="es-MX" w:eastAsia="es-ES_tradnl"/>
        </w:rPr>
        <w:t>más</w:t>
      </w:r>
      <w:r w:rsidR="00140314" w:rsidRPr="00A42C60">
        <w:rPr>
          <w:rFonts w:ascii="Arial" w:hAnsi="Arial" w:cs="Arial"/>
          <w:szCs w:val="24"/>
          <w:lang w:val="es-MX" w:eastAsia="es-ES_tradnl"/>
        </w:rPr>
        <w:t xml:space="preserve"> coherente </w:t>
      </w:r>
      <w:r w:rsidR="00140314" w:rsidRPr="00A42C60">
        <w:rPr>
          <w:rFonts w:ascii="Arial" w:hAnsi="Arial" w:cs="Arial"/>
          <w:szCs w:val="24"/>
          <w:lang w:val="es-ES" w:eastAsia="es-ES_tradnl"/>
        </w:rPr>
        <w:t>«</w:t>
      </w:r>
      <w:r w:rsidR="00037ED1" w:rsidRPr="00A42C60">
        <w:rPr>
          <w:rFonts w:ascii="Arial" w:hAnsi="Arial" w:cs="Arial"/>
          <w:szCs w:val="24"/>
          <w:lang w:val="es-ES" w:eastAsia="es-ES_tradnl"/>
        </w:rPr>
        <w:t xml:space="preserve">no solo con la concepción original de la adición de los contratos, contemplada en la Ley 80/93 sino también con </w:t>
      </w:r>
      <w:r w:rsidR="00140314" w:rsidRPr="00A42C60">
        <w:rPr>
          <w:rFonts w:ascii="Arial" w:hAnsi="Arial" w:cs="Arial"/>
          <w:szCs w:val="24"/>
          <w:lang w:val="es-MX" w:eastAsia="es-ES_tradnl"/>
        </w:rPr>
        <w:t>el reforzamiento cada vez más enfático del principio de planeación, frente al cual parecen aberrantes las consideraciones de indefinición del objeto contractual, la designación formal de los presupuestos iniciales y la ampliación ilimitada del costo de los contratos, independientemente de la denominación que se dé a su valor</w:t>
      </w:r>
      <w:r w:rsidR="00140314" w:rsidRPr="00A42C60">
        <w:rPr>
          <w:rFonts w:ascii="Arial" w:hAnsi="Arial" w:cs="Arial"/>
          <w:szCs w:val="24"/>
          <w:lang w:val="es-ES" w:eastAsia="es-ES_tradnl"/>
        </w:rPr>
        <w:t>»</w:t>
      </w:r>
      <w:r w:rsidR="00140314" w:rsidRPr="00A42C60">
        <w:rPr>
          <w:rStyle w:val="Refdenotaalpie"/>
          <w:rFonts w:ascii="Arial" w:hAnsi="Arial" w:cs="Arial"/>
          <w:szCs w:val="24"/>
          <w:lang w:val="es-ES" w:eastAsia="es-ES_tradnl"/>
        </w:rPr>
        <w:footnoteReference w:id="18"/>
      </w:r>
      <w:r w:rsidR="00CB72B1">
        <w:rPr>
          <w:rFonts w:ascii="Arial" w:hAnsi="Arial" w:cs="Arial"/>
          <w:szCs w:val="24"/>
          <w:lang w:val="es-ES" w:eastAsia="es-ES_tradnl"/>
        </w:rPr>
        <w:t>.</w:t>
      </w:r>
      <w:r w:rsidR="00140314" w:rsidRPr="00A42C60">
        <w:rPr>
          <w:rFonts w:ascii="Arial" w:hAnsi="Arial" w:cs="Arial"/>
          <w:szCs w:val="24"/>
          <w:lang w:val="es-MX" w:eastAsia="es-ES_tradnl"/>
        </w:rPr>
        <w:t xml:space="preserve">  </w:t>
      </w:r>
    </w:p>
    <w:p w14:paraId="038C5294" w14:textId="0C9EDC57" w:rsidR="00E04658" w:rsidRPr="00A42C60" w:rsidRDefault="00BD5491" w:rsidP="00512D8C">
      <w:pPr>
        <w:spacing w:before="120" w:after="0" w:line="276" w:lineRule="auto"/>
        <w:ind w:firstLine="709"/>
        <w:jc w:val="both"/>
        <w:rPr>
          <w:rFonts w:ascii="Arial" w:hAnsi="Arial" w:cs="Arial"/>
          <w:bCs/>
          <w:szCs w:val="24"/>
          <w:lang w:val="es-ES" w:eastAsia="es-ES_tradnl"/>
        </w:rPr>
      </w:pPr>
      <w:r w:rsidRPr="00A42C60">
        <w:rPr>
          <w:rFonts w:ascii="Arial" w:hAnsi="Arial" w:cs="Arial"/>
          <w:bCs/>
          <w:szCs w:val="24"/>
          <w:lang w:val="es-MX" w:eastAsia="es-ES_tradnl"/>
        </w:rPr>
        <w:lastRenderedPageBreak/>
        <w:t>A</w:t>
      </w:r>
      <w:r w:rsidR="00653AB0" w:rsidRPr="00A42C60">
        <w:rPr>
          <w:rFonts w:ascii="Arial" w:hAnsi="Arial" w:cs="Arial"/>
          <w:bCs/>
          <w:szCs w:val="24"/>
          <w:lang w:val="es-MX" w:eastAsia="es-ES_tradnl"/>
        </w:rPr>
        <w:t>dicionalmente</w:t>
      </w:r>
      <w:r w:rsidRPr="00A42C60">
        <w:rPr>
          <w:rFonts w:ascii="Arial" w:hAnsi="Arial" w:cs="Arial"/>
          <w:bCs/>
          <w:szCs w:val="24"/>
          <w:lang w:val="es-MX" w:eastAsia="es-ES_tradnl"/>
        </w:rPr>
        <w:t xml:space="preserve">, es pertinente </w:t>
      </w:r>
      <w:r w:rsidR="004854E5" w:rsidRPr="00A42C60">
        <w:rPr>
          <w:rFonts w:ascii="Arial" w:hAnsi="Arial" w:cs="Arial"/>
          <w:bCs/>
          <w:szCs w:val="24"/>
          <w:lang w:val="es-MX" w:eastAsia="es-ES_tradnl"/>
        </w:rPr>
        <w:t>indicar que</w:t>
      </w:r>
      <w:r w:rsidR="002E7732" w:rsidRPr="00A42C60">
        <w:rPr>
          <w:rFonts w:ascii="Arial" w:hAnsi="Arial" w:cs="Arial"/>
          <w:bCs/>
          <w:szCs w:val="24"/>
          <w:lang w:val="es-MX" w:eastAsia="es-ES_tradnl"/>
        </w:rPr>
        <w:t xml:space="preserve"> recientemente</w:t>
      </w:r>
      <w:r w:rsidR="004F5159" w:rsidRPr="00A42C60">
        <w:rPr>
          <w:rFonts w:ascii="Arial" w:hAnsi="Arial" w:cs="Arial"/>
          <w:bCs/>
          <w:szCs w:val="24"/>
          <w:lang w:val="es-MX" w:eastAsia="es-ES_tradnl"/>
        </w:rPr>
        <w:t xml:space="preserve"> </w:t>
      </w:r>
      <w:r w:rsidRPr="00A42C60">
        <w:rPr>
          <w:rFonts w:ascii="Arial" w:hAnsi="Arial" w:cs="Arial"/>
          <w:bCs/>
          <w:szCs w:val="24"/>
          <w:lang w:val="es-MX" w:eastAsia="es-ES_tradnl"/>
        </w:rPr>
        <w:t xml:space="preserve">la Corte Constitucional </w:t>
      </w:r>
      <w:r w:rsidR="004F5159" w:rsidRPr="00A42C60">
        <w:rPr>
          <w:rFonts w:ascii="Arial" w:hAnsi="Arial" w:cs="Arial"/>
          <w:bCs/>
          <w:szCs w:val="24"/>
          <w:lang w:val="es-MX" w:eastAsia="es-ES_tradnl"/>
        </w:rPr>
        <w:t>se pronunció sobre la adición de l</w:t>
      </w:r>
      <w:r w:rsidR="004F5159" w:rsidRPr="00A42C60">
        <w:rPr>
          <w:rFonts w:ascii="Arial" w:hAnsi="Arial" w:cs="Arial"/>
          <w:bCs/>
          <w:lang w:val="es-MX" w:eastAsia="es-ES_tradnl"/>
        </w:rPr>
        <w:t xml:space="preserve">os contratos por mayores cantidades de obra </w:t>
      </w:r>
      <w:r w:rsidRPr="00A42C60">
        <w:rPr>
          <w:rFonts w:ascii="Arial" w:hAnsi="Arial" w:cs="Arial"/>
          <w:bCs/>
          <w:lang w:val="es-MX" w:eastAsia="es-ES_tradnl"/>
        </w:rPr>
        <w:t>en la Sentencia SU</w:t>
      </w:r>
      <w:r w:rsidR="00CB72B1">
        <w:rPr>
          <w:rFonts w:ascii="Arial" w:hAnsi="Arial" w:cs="Arial"/>
          <w:bCs/>
          <w:lang w:val="es-MX" w:eastAsia="es-ES_tradnl"/>
        </w:rPr>
        <w:t>-</w:t>
      </w:r>
      <w:r w:rsidRPr="00A42C60">
        <w:rPr>
          <w:rFonts w:ascii="Arial" w:hAnsi="Arial" w:cs="Arial"/>
          <w:bCs/>
          <w:lang w:val="es-MX" w:eastAsia="es-ES_tradnl"/>
        </w:rPr>
        <w:t>214 de</w:t>
      </w:r>
      <w:r w:rsidR="002E43A9">
        <w:rPr>
          <w:rFonts w:ascii="Arial" w:hAnsi="Arial" w:cs="Arial"/>
          <w:bCs/>
          <w:lang w:val="es-MX" w:eastAsia="es-ES_tradnl"/>
        </w:rPr>
        <w:t>l 16 de junio de</w:t>
      </w:r>
      <w:r w:rsidRPr="00A42C60">
        <w:rPr>
          <w:rFonts w:ascii="Arial" w:hAnsi="Arial" w:cs="Arial"/>
          <w:bCs/>
          <w:lang w:val="es-MX" w:eastAsia="es-ES_tradnl"/>
        </w:rPr>
        <w:t xml:space="preserve"> 2022</w:t>
      </w:r>
      <w:r w:rsidR="004F5159" w:rsidRPr="00A42C60">
        <w:rPr>
          <w:rFonts w:ascii="Arial" w:hAnsi="Arial" w:cs="Arial"/>
          <w:bCs/>
          <w:lang w:val="es-MX" w:eastAsia="es-ES_tradnl"/>
        </w:rPr>
        <w:t>,</w:t>
      </w:r>
      <w:r w:rsidR="008C0FD1" w:rsidRPr="00A42C60">
        <w:rPr>
          <w:rFonts w:ascii="Arial" w:hAnsi="Arial" w:cs="Arial"/>
          <w:bCs/>
          <w:lang w:val="es-MX" w:eastAsia="es-ES_tradnl"/>
        </w:rPr>
        <w:t xml:space="preserve"> en la cual se señaló que en estos eventos la restricción del cincuenta por</w:t>
      </w:r>
      <w:r w:rsidR="004F5159" w:rsidRPr="00A42C60">
        <w:rPr>
          <w:rFonts w:ascii="Arial" w:hAnsi="Arial" w:cs="Arial"/>
          <w:bCs/>
          <w:lang w:val="es-MX" w:eastAsia="es-ES_tradnl"/>
        </w:rPr>
        <w:t xml:space="preserve"> </w:t>
      </w:r>
      <w:r w:rsidR="008C0FD1" w:rsidRPr="00A42C60">
        <w:rPr>
          <w:rFonts w:ascii="Arial" w:hAnsi="Arial" w:cs="Arial"/>
          <w:lang w:val="es-MX" w:eastAsia="es-ES_tradnl"/>
        </w:rPr>
        <w:t>ciento (50%) de su valor inicial aplica con independencia de la modalidad contractual de que se trate y del sistema de precios pactado</w:t>
      </w:r>
      <w:r w:rsidR="00C17B6C" w:rsidRPr="00A42C60">
        <w:rPr>
          <w:rFonts w:ascii="Arial" w:hAnsi="Arial" w:cs="Arial"/>
          <w:bCs/>
          <w:lang w:val="es-MX" w:eastAsia="es-ES_tradnl"/>
        </w:rPr>
        <w:t xml:space="preserve">: </w:t>
      </w:r>
    </w:p>
    <w:p w14:paraId="7EE36425" w14:textId="77777777" w:rsidR="00E04658" w:rsidRPr="00A42C60" w:rsidRDefault="00E04658" w:rsidP="00F20953">
      <w:pPr>
        <w:spacing w:after="0" w:line="240" w:lineRule="auto"/>
        <w:ind w:firstLine="709"/>
        <w:jc w:val="both"/>
        <w:rPr>
          <w:rFonts w:ascii="Arial" w:hAnsi="Arial" w:cs="Arial"/>
          <w:bCs/>
          <w:szCs w:val="24"/>
          <w:lang w:val="es-MX" w:eastAsia="es-ES_tradnl"/>
        </w:rPr>
      </w:pPr>
    </w:p>
    <w:p w14:paraId="63567533" w14:textId="775A5C56" w:rsidR="00BD5491" w:rsidRPr="00A42C60" w:rsidRDefault="00BD5491" w:rsidP="00512D8C">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180</w:t>
      </w:r>
      <w:r w:rsidR="00E04658" w:rsidRPr="00A42C60">
        <w:rPr>
          <w:rFonts w:ascii="Arial" w:hAnsi="Arial" w:cs="Arial"/>
          <w:sz w:val="21"/>
          <w:szCs w:val="21"/>
          <w:lang w:val="es-MX" w:eastAsia="es-ES_tradnl"/>
        </w:rPr>
        <w:t>.</w:t>
      </w:r>
      <w:r w:rsidRPr="00A42C60">
        <w:rPr>
          <w:rFonts w:ascii="Arial" w:hAnsi="Arial" w:cs="Arial"/>
          <w:sz w:val="21"/>
          <w:szCs w:val="21"/>
          <w:lang w:val="es-MX" w:eastAsia="es-ES_tradnl"/>
        </w:rPr>
        <w:t xml:space="preserve"> (…) aunque la jurisprudencia del Consejo de Estado ha admitido que los contratos pactados por el sistema de precios unitarios permiten ejecutar mayores cantidades de obra de los ítems pactados sin que haya necesidad de suscribir un contrato adicional, ello, en modo alguno, significa que la administración puede obviar el principio de planeación que, naturalmente, aplica a todos los contratos públicos. Así pues, en los contratos pactados por el sistema de precios unitarios, las mayores cantidades de obra no deben ser consecuencia de una deficiente planeación del contrato. Además, las mayores cantidades deben ejecutarse en consideración del inciso final del artículo 40 de la Ley 80 de 1993 que dispone que “[l]os contratos no podrán adicionarse en más del cincuenta por ciento (50%) de su valor inicial, expresado éste en salarios mínimos legales mensuales”, pues, esta restricción aplica con independencia de la modalidad contractual de que se trate y del sistema de precios pactado.”</w:t>
      </w:r>
    </w:p>
    <w:p w14:paraId="0A4EB41D" w14:textId="77777777" w:rsidR="00E04658" w:rsidRPr="00A42C60" w:rsidRDefault="00E04658" w:rsidP="00AB0486">
      <w:pPr>
        <w:spacing w:after="0" w:line="240" w:lineRule="auto"/>
        <w:ind w:firstLine="709"/>
        <w:jc w:val="both"/>
        <w:rPr>
          <w:rFonts w:ascii="Arial" w:hAnsi="Arial" w:cs="Arial"/>
          <w:bCs/>
          <w:szCs w:val="24"/>
          <w:lang w:val="es-MX" w:eastAsia="es-ES_tradnl"/>
        </w:rPr>
      </w:pPr>
    </w:p>
    <w:p w14:paraId="11863882" w14:textId="1FD5B9B8" w:rsidR="00E318E0" w:rsidRPr="00A42C60" w:rsidRDefault="008C0FD1" w:rsidP="00AB0486">
      <w:pPr>
        <w:spacing w:after="0" w:line="276" w:lineRule="auto"/>
        <w:ind w:firstLine="709"/>
        <w:jc w:val="both"/>
        <w:rPr>
          <w:rFonts w:ascii="Arial" w:hAnsi="Arial" w:cs="Arial"/>
          <w:bCs/>
          <w:szCs w:val="24"/>
          <w:lang w:val="es-MX" w:eastAsia="es-ES_tradnl"/>
        </w:rPr>
      </w:pPr>
      <w:r w:rsidRPr="00A42C60">
        <w:rPr>
          <w:rFonts w:ascii="Arial" w:hAnsi="Arial" w:cs="Arial"/>
          <w:bCs/>
          <w:szCs w:val="24"/>
          <w:lang w:val="es-MX" w:eastAsia="es-ES_tradnl"/>
        </w:rPr>
        <w:t>Aunque</w:t>
      </w:r>
      <w:r w:rsidR="00BD5491" w:rsidRPr="00A42C60">
        <w:rPr>
          <w:rFonts w:ascii="Arial" w:hAnsi="Arial" w:cs="Arial"/>
          <w:bCs/>
          <w:szCs w:val="24"/>
          <w:lang w:val="es-MX" w:eastAsia="es-ES_tradnl"/>
        </w:rPr>
        <w:t xml:space="preserve"> este argumento </w:t>
      </w:r>
      <w:r w:rsidR="00B50A13" w:rsidRPr="00A42C60">
        <w:rPr>
          <w:rFonts w:ascii="Arial" w:hAnsi="Arial" w:cs="Arial"/>
          <w:bCs/>
          <w:szCs w:val="24"/>
          <w:lang w:val="es-MX" w:eastAsia="es-ES_tradnl"/>
        </w:rPr>
        <w:t>no fue desarrollado de forma extens</w:t>
      </w:r>
      <w:r w:rsidR="00E14835" w:rsidRPr="00A42C60">
        <w:rPr>
          <w:rFonts w:ascii="Arial" w:hAnsi="Arial" w:cs="Arial"/>
          <w:bCs/>
          <w:szCs w:val="24"/>
          <w:lang w:val="es-MX" w:eastAsia="es-ES_tradnl"/>
        </w:rPr>
        <w:t>a</w:t>
      </w:r>
      <w:r w:rsidR="00B50A13" w:rsidRPr="00A42C60">
        <w:rPr>
          <w:rFonts w:ascii="Arial" w:hAnsi="Arial" w:cs="Arial"/>
          <w:bCs/>
          <w:szCs w:val="24"/>
          <w:lang w:val="es-MX" w:eastAsia="es-ES_tradnl"/>
        </w:rPr>
        <w:t xml:space="preserve"> en </w:t>
      </w:r>
      <w:r w:rsidR="00BD5491" w:rsidRPr="00A42C60">
        <w:rPr>
          <w:rFonts w:ascii="Arial" w:hAnsi="Arial" w:cs="Arial"/>
          <w:bCs/>
          <w:szCs w:val="24"/>
          <w:lang w:val="es-MX" w:eastAsia="es-ES_tradnl"/>
        </w:rPr>
        <w:t>la sentencia</w:t>
      </w:r>
      <w:r w:rsidR="00C17B6C" w:rsidRPr="00A42C60">
        <w:rPr>
          <w:rFonts w:ascii="Arial" w:hAnsi="Arial" w:cs="Arial"/>
          <w:bCs/>
          <w:szCs w:val="24"/>
          <w:lang w:val="es-MX" w:eastAsia="es-ES_tradnl"/>
        </w:rPr>
        <w:t>,</w:t>
      </w:r>
      <w:r w:rsidR="00BD5491" w:rsidRPr="00A42C60">
        <w:rPr>
          <w:rFonts w:ascii="Arial" w:hAnsi="Arial" w:cs="Arial"/>
          <w:bCs/>
          <w:szCs w:val="24"/>
          <w:lang w:val="es-MX" w:eastAsia="es-ES_tradnl"/>
        </w:rPr>
        <w:t xml:space="preserve"> la postura expuesta por la C</w:t>
      </w:r>
      <w:r w:rsidR="00C17B6C" w:rsidRPr="00A42C60">
        <w:rPr>
          <w:rFonts w:ascii="Arial" w:hAnsi="Arial" w:cs="Arial"/>
          <w:bCs/>
          <w:szCs w:val="24"/>
          <w:lang w:val="es-MX" w:eastAsia="es-ES_tradnl"/>
        </w:rPr>
        <w:t>orte Constitucional</w:t>
      </w:r>
      <w:r w:rsidR="00BD5491" w:rsidRPr="00A42C60">
        <w:rPr>
          <w:rFonts w:ascii="Arial" w:hAnsi="Arial" w:cs="Arial"/>
          <w:bCs/>
          <w:szCs w:val="24"/>
          <w:lang w:val="es-MX" w:eastAsia="es-ES_tradnl"/>
        </w:rPr>
        <w:t xml:space="preserve"> es clara en señalar que en los contratos pactados por el sistema de precios unitarios las mayores cantidades de obra deben ejecutarse con observancia del límite de adición del 50% del valor inicial, pues su aplicación se debe efectuar independientemente del sistema de precios pactados. De esta manera, la posición de la C</w:t>
      </w:r>
      <w:r w:rsidR="00C17B6C" w:rsidRPr="00A42C60">
        <w:rPr>
          <w:rFonts w:ascii="Arial" w:hAnsi="Arial" w:cs="Arial"/>
          <w:bCs/>
          <w:szCs w:val="24"/>
          <w:lang w:val="es-MX" w:eastAsia="es-ES_tradnl"/>
        </w:rPr>
        <w:t>orte Constitucional</w:t>
      </w:r>
      <w:r w:rsidR="00BD5491" w:rsidRPr="00A42C60">
        <w:rPr>
          <w:rFonts w:ascii="Arial" w:hAnsi="Arial" w:cs="Arial"/>
          <w:bCs/>
          <w:szCs w:val="24"/>
          <w:lang w:val="es-MX" w:eastAsia="es-ES_tradnl"/>
        </w:rPr>
        <w:t xml:space="preserve"> </w:t>
      </w:r>
      <w:r w:rsidR="00E318E0" w:rsidRPr="00A42C60">
        <w:rPr>
          <w:rFonts w:ascii="Arial" w:hAnsi="Arial" w:cs="Arial"/>
          <w:bCs/>
          <w:szCs w:val="24"/>
          <w:lang w:val="es-MX" w:eastAsia="es-ES_tradnl"/>
        </w:rPr>
        <w:t xml:space="preserve">es concordante </w:t>
      </w:r>
      <w:r w:rsidR="00BD5491" w:rsidRPr="00A42C60">
        <w:rPr>
          <w:rFonts w:ascii="Arial" w:hAnsi="Arial" w:cs="Arial"/>
          <w:bCs/>
          <w:szCs w:val="24"/>
          <w:lang w:val="es-MX" w:eastAsia="es-ES_tradnl"/>
        </w:rPr>
        <w:t xml:space="preserve">con la segunda postura </w:t>
      </w:r>
      <w:r w:rsidR="00F20953" w:rsidRPr="00A42C60">
        <w:rPr>
          <w:rFonts w:ascii="Arial" w:hAnsi="Arial" w:cs="Arial"/>
          <w:bCs/>
          <w:szCs w:val="24"/>
          <w:lang w:val="es-MX" w:eastAsia="es-ES_tradnl"/>
        </w:rPr>
        <w:t xml:space="preserve">señalada </w:t>
      </w:r>
      <w:r w:rsidR="00C17B6C" w:rsidRPr="00A42C60">
        <w:rPr>
          <w:rFonts w:ascii="Arial" w:hAnsi="Arial" w:cs="Arial"/>
          <w:bCs/>
          <w:szCs w:val="24"/>
          <w:lang w:val="es-MX" w:eastAsia="es-ES_tradnl"/>
        </w:rPr>
        <w:t>en este concepto</w:t>
      </w:r>
      <w:r w:rsidR="000A18E3">
        <w:rPr>
          <w:rFonts w:ascii="Arial" w:hAnsi="Arial" w:cs="Arial"/>
          <w:bCs/>
          <w:szCs w:val="24"/>
          <w:lang w:val="es-MX" w:eastAsia="es-ES_tradnl"/>
        </w:rPr>
        <w:t>.</w:t>
      </w:r>
      <w:r w:rsidR="00DB495A" w:rsidRPr="00A42C60">
        <w:rPr>
          <w:rFonts w:ascii="Arial" w:hAnsi="Arial" w:cs="Arial"/>
          <w:bCs/>
          <w:szCs w:val="24"/>
          <w:lang w:val="es-MX" w:eastAsia="es-ES_tradnl"/>
        </w:rPr>
        <w:t xml:space="preserve"> </w:t>
      </w:r>
    </w:p>
    <w:p w14:paraId="7A26FF54" w14:textId="068F7F02" w:rsidR="00392333" w:rsidRPr="00A42C60" w:rsidRDefault="000A18E3" w:rsidP="002E43A9">
      <w:pPr>
        <w:spacing w:before="120" w:after="0" w:line="276" w:lineRule="auto"/>
        <w:ind w:firstLine="709"/>
        <w:jc w:val="both"/>
        <w:rPr>
          <w:rFonts w:ascii="Arial" w:hAnsi="Arial" w:cs="Arial"/>
          <w:bCs/>
          <w:szCs w:val="24"/>
          <w:lang w:val="es-MX" w:eastAsia="es-ES_tradnl"/>
        </w:rPr>
      </w:pPr>
      <w:r>
        <w:rPr>
          <w:rFonts w:ascii="Arial" w:hAnsi="Arial" w:cs="Arial"/>
          <w:bCs/>
          <w:szCs w:val="24"/>
          <w:lang w:val="es-MX" w:eastAsia="es-ES_tradnl"/>
        </w:rPr>
        <w:t>En ese orden</w:t>
      </w:r>
      <w:r w:rsidR="00E318E0" w:rsidRPr="00A42C60">
        <w:rPr>
          <w:rFonts w:ascii="Arial" w:hAnsi="Arial" w:cs="Arial"/>
          <w:bCs/>
          <w:szCs w:val="24"/>
          <w:lang w:val="es-MX" w:eastAsia="es-ES_tradnl"/>
        </w:rPr>
        <w:t>,</w:t>
      </w:r>
      <w:r w:rsidR="00DB495A" w:rsidRPr="00A42C60">
        <w:rPr>
          <w:rFonts w:ascii="Arial" w:hAnsi="Arial" w:cs="Arial"/>
          <w:bCs/>
          <w:szCs w:val="24"/>
          <w:lang w:val="es-MX" w:eastAsia="es-ES_tradnl"/>
        </w:rPr>
        <w:t xml:space="preserve"> esta Agencia comparte </w:t>
      </w:r>
      <w:r w:rsidR="00F20953" w:rsidRPr="00A42C60">
        <w:rPr>
          <w:rFonts w:ascii="Arial" w:hAnsi="Arial" w:cs="Arial"/>
          <w:bCs/>
          <w:szCs w:val="24"/>
          <w:lang w:val="es-MX" w:eastAsia="es-ES_tradnl"/>
        </w:rPr>
        <w:t xml:space="preserve">las consideraciones de la última </w:t>
      </w:r>
      <w:r w:rsidR="00512D8C" w:rsidRPr="00A42C60">
        <w:rPr>
          <w:rFonts w:ascii="Arial" w:hAnsi="Arial" w:cs="Arial"/>
          <w:bCs/>
          <w:szCs w:val="24"/>
          <w:lang w:val="es-MX" w:eastAsia="es-ES_tradnl"/>
        </w:rPr>
        <w:t>postura exp</w:t>
      </w:r>
      <w:r w:rsidR="002C6A6F" w:rsidRPr="00A42C60">
        <w:rPr>
          <w:rFonts w:ascii="Arial" w:hAnsi="Arial" w:cs="Arial"/>
          <w:bCs/>
          <w:szCs w:val="24"/>
          <w:lang w:val="es-MX" w:eastAsia="es-ES_tradnl"/>
        </w:rPr>
        <w:t>uesta</w:t>
      </w:r>
      <w:r w:rsidR="00E318E0" w:rsidRPr="00A42C60">
        <w:rPr>
          <w:rFonts w:ascii="Arial" w:hAnsi="Arial" w:cs="Arial"/>
          <w:bCs/>
          <w:szCs w:val="24"/>
          <w:lang w:val="es-MX" w:eastAsia="es-ES_tradnl"/>
        </w:rPr>
        <w:t>,</w:t>
      </w:r>
      <w:r w:rsidR="00F20953" w:rsidRPr="00A42C60">
        <w:rPr>
          <w:rFonts w:ascii="Arial" w:hAnsi="Arial" w:cs="Arial"/>
          <w:bCs/>
          <w:szCs w:val="24"/>
          <w:lang w:val="es-MX" w:eastAsia="es-ES_tradnl"/>
        </w:rPr>
        <w:t xml:space="preserve"> concordante con lo </w:t>
      </w:r>
      <w:r w:rsidR="00E14835" w:rsidRPr="00A42C60">
        <w:rPr>
          <w:rFonts w:ascii="Arial" w:hAnsi="Arial" w:cs="Arial"/>
          <w:bCs/>
          <w:szCs w:val="24"/>
          <w:lang w:val="es-MX" w:eastAsia="es-ES_tradnl"/>
        </w:rPr>
        <w:t>señalado</w:t>
      </w:r>
      <w:r w:rsidR="00F20953" w:rsidRPr="00A42C60">
        <w:rPr>
          <w:rFonts w:ascii="Arial" w:hAnsi="Arial" w:cs="Arial"/>
          <w:bCs/>
          <w:szCs w:val="24"/>
          <w:lang w:val="es-MX" w:eastAsia="es-ES_tradnl"/>
        </w:rPr>
        <w:t xml:space="preserve"> por la Corte Constitucional en la SU 214 de 2022,</w:t>
      </w:r>
      <w:r w:rsidR="00E318E0" w:rsidRPr="00A42C60">
        <w:rPr>
          <w:rFonts w:ascii="Arial" w:hAnsi="Arial" w:cs="Arial"/>
          <w:bCs/>
          <w:szCs w:val="24"/>
          <w:lang w:val="es-MX" w:eastAsia="es-ES_tradnl"/>
        </w:rPr>
        <w:t xml:space="preserve"> </w:t>
      </w:r>
      <w:r w:rsidR="00DB495A" w:rsidRPr="00A42C60">
        <w:rPr>
          <w:rFonts w:ascii="Arial" w:hAnsi="Arial" w:cs="Arial"/>
          <w:bCs/>
          <w:szCs w:val="24"/>
          <w:lang w:val="es-MX" w:eastAsia="es-ES_tradnl"/>
        </w:rPr>
        <w:t xml:space="preserve">según la cual </w:t>
      </w:r>
      <w:r w:rsidR="00E14835" w:rsidRPr="00A42C60">
        <w:rPr>
          <w:rFonts w:ascii="Arial" w:hAnsi="Arial" w:cs="Arial"/>
          <w:bCs/>
          <w:szCs w:val="24"/>
          <w:lang w:val="es-MX" w:eastAsia="es-ES_tradnl"/>
        </w:rPr>
        <w:t xml:space="preserve">en </w:t>
      </w:r>
      <w:r w:rsidR="00BD5491" w:rsidRPr="00A42C60">
        <w:rPr>
          <w:rFonts w:ascii="Arial" w:hAnsi="Arial" w:cs="Arial"/>
          <w:bCs/>
          <w:szCs w:val="24"/>
          <w:lang w:val="es-MX" w:eastAsia="es-ES_tradnl"/>
        </w:rPr>
        <w:t>todos los contratos estatales independientemente de la modalidad de selección o del sistema de precios pactados se deberá respetar el límite de adición señalado en el parágrafo del artículo 40 de la Ley 80 de 1993 tanto para las mayores cantidades de obra como para los ítems no previstos.</w:t>
      </w:r>
    </w:p>
    <w:p w14:paraId="3103F756" w14:textId="77777777" w:rsidR="00392333" w:rsidRPr="00A42C60" w:rsidRDefault="00392333" w:rsidP="003A053B">
      <w:pPr>
        <w:spacing w:after="0" w:line="264" w:lineRule="auto"/>
        <w:ind w:firstLine="709"/>
        <w:jc w:val="both"/>
        <w:rPr>
          <w:rFonts w:ascii="Arial" w:hAnsi="Arial" w:cs="Arial"/>
          <w:bCs/>
          <w:szCs w:val="24"/>
          <w:lang w:val="es-MX" w:eastAsia="es-ES_tradnl"/>
        </w:rPr>
      </w:pPr>
    </w:p>
    <w:p w14:paraId="54B43EDB" w14:textId="71534A5B" w:rsidR="003A053B" w:rsidRPr="00A42C60" w:rsidRDefault="003A053B" w:rsidP="003A053B">
      <w:pPr>
        <w:spacing w:after="0" w:line="264" w:lineRule="auto"/>
        <w:rPr>
          <w:rFonts w:ascii="Arial" w:hAnsi="Arial" w:cs="Arial"/>
          <w:b/>
          <w:bCs/>
          <w:szCs w:val="24"/>
          <w:lang w:eastAsia="es-ES_tradnl" w:bidi="es-ES"/>
        </w:rPr>
      </w:pPr>
      <w:r w:rsidRPr="00A42C60">
        <w:rPr>
          <w:rFonts w:ascii="Arial" w:hAnsi="Arial" w:cs="Arial"/>
          <w:b/>
          <w:szCs w:val="24"/>
          <w:lang w:val="es-MX" w:eastAsia="es-ES_tradnl"/>
        </w:rPr>
        <w:t>2.2</w:t>
      </w:r>
      <w:r w:rsidRPr="00A42C60">
        <w:rPr>
          <w:rFonts w:ascii="Arial" w:hAnsi="Arial" w:cs="Arial"/>
          <w:bCs/>
          <w:szCs w:val="24"/>
          <w:lang w:val="es-MX" w:eastAsia="es-ES_tradnl"/>
        </w:rPr>
        <w:t xml:space="preserve"> </w:t>
      </w:r>
      <w:r w:rsidRPr="00A42C60">
        <w:rPr>
          <w:rFonts w:ascii="Arial" w:hAnsi="Arial" w:cs="Arial"/>
          <w:b/>
          <w:bCs/>
          <w:szCs w:val="24"/>
          <w:lang w:eastAsia="es-ES_tradnl" w:bidi="es-ES"/>
        </w:rPr>
        <w:t>Las modificaciones a los contratos estatales</w:t>
      </w:r>
    </w:p>
    <w:p w14:paraId="21DC3A64" w14:textId="77777777" w:rsidR="003A053B" w:rsidRPr="00A42C60" w:rsidRDefault="003A053B" w:rsidP="003A053B">
      <w:pPr>
        <w:spacing w:after="0" w:line="264" w:lineRule="auto"/>
        <w:jc w:val="both"/>
        <w:rPr>
          <w:rFonts w:ascii="Arial" w:hAnsi="Arial" w:cs="Arial"/>
          <w:b/>
          <w:bCs/>
          <w:szCs w:val="24"/>
          <w:lang w:val="es-MX" w:eastAsia="es-ES_tradnl" w:bidi="es-ES"/>
        </w:rPr>
      </w:pPr>
    </w:p>
    <w:p w14:paraId="18B8D836" w14:textId="77777777" w:rsidR="003A053B" w:rsidRPr="00A42C60" w:rsidRDefault="003A053B" w:rsidP="003A053B">
      <w:pPr>
        <w:spacing w:after="0" w:line="276" w:lineRule="auto"/>
        <w:jc w:val="both"/>
        <w:rPr>
          <w:rFonts w:ascii="Arial" w:hAnsi="Arial" w:cs="Arial"/>
          <w:bCs/>
          <w:szCs w:val="24"/>
          <w:lang w:val="es-MX" w:eastAsia="es-ES_tradnl" w:bidi="es-ES"/>
        </w:rPr>
      </w:pPr>
      <w:r w:rsidRPr="00A42C60">
        <w:rPr>
          <w:rFonts w:ascii="Arial" w:hAnsi="Arial" w:cs="Arial"/>
          <w:bCs/>
          <w:szCs w:val="24"/>
          <w:lang w:val="es-MX" w:eastAsia="es-ES_tradnl" w:bidi="es-ES"/>
        </w:rPr>
        <w:t xml:space="preserve">El Estatuto General de Contratación de la Administración Pública, contenido en las Leyes 80 de 1993, 1150 de 2007 y 1474 de 2011, así como en las normas que las han modificado y las reglamentan, no consagran una regulación expresa sobre la posibilidad de modificar los contratos celebrados por las entidades estatales. Ello encuentra sustento en que, en </w:t>
      </w:r>
      <w:r w:rsidRPr="00A42C60">
        <w:rPr>
          <w:rFonts w:ascii="Arial" w:hAnsi="Arial" w:cs="Arial"/>
          <w:bCs/>
          <w:szCs w:val="24"/>
          <w:lang w:val="es-MX" w:eastAsia="es-ES_tradnl" w:bidi="es-ES"/>
        </w:rPr>
        <w:lastRenderedPageBreak/>
        <w:t>principio, los contratos deben ejecutarse en las condiciones pactadas inicialmente, pues tales condiciones fueron convenidas luego de que la entidad pública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 La regulación expresa contenida en la Ley se limita a fijar los porcentajes límite para adicionar los valores inicialmente pactados, como lo hace el artículo 40 de la Ley 80 de 1993</w:t>
      </w:r>
      <w:r w:rsidRPr="00A42C60">
        <w:rPr>
          <w:rFonts w:ascii="Arial" w:hAnsi="Arial" w:cs="Arial"/>
          <w:bCs/>
          <w:szCs w:val="24"/>
          <w:vertAlign w:val="superscript"/>
          <w:lang w:val="es-MX" w:eastAsia="es-ES_tradnl"/>
        </w:rPr>
        <w:footnoteReference w:id="19"/>
      </w:r>
      <w:r w:rsidRPr="00A42C60">
        <w:rPr>
          <w:rFonts w:ascii="Arial" w:hAnsi="Arial" w:cs="Arial"/>
          <w:bCs/>
          <w:szCs w:val="24"/>
          <w:lang w:val="es-MX" w:eastAsia="es-ES_tradnl" w:bidi="es-ES"/>
        </w:rPr>
        <w:t>.</w:t>
      </w:r>
      <w:r w:rsidRPr="00A42C60">
        <w:rPr>
          <w:rFonts w:ascii="Arial" w:hAnsi="Arial" w:cs="Arial"/>
          <w:bCs/>
          <w:szCs w:val="24"/>
          <w:lang w:val="es-MX" w:eastAsia="es-ES_tradnl"/>
        </w:rPr>
        <w:t xml:space="preserve"> </w:t>
      </w:r>
    </w:p>
    <w:p w14:paraId="064B46D8" w14:textId="77777777" w:rsidR="003A053B" w:rsidRPr="00A42C60" w:rsidRDefault="003A053B" w:rsidP="003A053B">
      <w:pPr>
        <w:spacing w:before="120" w:after="0" w:line="276" w:lineRule="auto"/>
        <w:ind w:firstLine="709"/>
        <w:jc w:val="both"/>
        <w:rPr>
          <w:rFonts w:ascii="Arial" w:hAnsi="Arial" w:cs="Arial"/>
          <w:bCs/>
          <w:szCs w:val="24"/>
          <w:lang w:val="es-MX" w:eastAsia="es-ES_tradnl" w:bidi="es-ES"/>
        </w:rPr>
      </w:pPr>
      <w:r w:rsidRPr="00A42C60">
        <w:rPr>
          <w:rFonts w:ascii="Arial" w:hAnsi="Arial" w:cs="Arial"/>
          <w:bCs/>
          <w:szCs w:val="24"/>
          <w:lang w:val="es-MX" w:eastAsia="es-ES_tradnl" w:bidi="es-ES"/>
        </w:rPr>
        <w:t>Ahora bien, no existe ninguna restricción expresa para modificar los contratos estatales y los mismos principios antes referidos puede poner en evidencia la necesidad de suscribir documentos de modificación en los cuales se cambie parte de las estipulaciones pactadas en un comienzo. En el contexto antes descrito, la jurisprudencia ha fijado pautas generales conforme a las cuales la Administración Pública debe evaluar, teniendo cuenta las particularidades de cada caso, si resulta procedente suscribir documentos de modificación a los contratos que ha celebrado. Así, por ejemplo, la Corte Constitucional, mediante sentencia C-416 de 2012, expresó lo siguiente sobre la posibilidad de modificar los contratos estatales:</w:t>
      </w:r>
    </w:p>
    <w:p w14:paraId="10E97AED" w14:textId="77777777" w:rsidR="003A053B" w:rsidRPr="00A42C60" w:rsidRDefault="003A053B" w:rsidP="003A053B">
      <w:pPr>
        <w:spacing w:after="0" w:line="240" w:lineRule="auto"/>
        <w:jc w:val="both"/>
        <w:rPr>
          <w:rFonts w:ascii="Arial" w:hAnsi="Arial" w:cs="Arial"/>
          <w:bCs/>
          <w:szCs w:val="24"/>
          <w:lang w:val="es-MX" w:eastAsia="es-ES_tradnl" w:bidi="es-ES"/>
        </w:rPr>
      </w:pPr>
    </w:p>
    <w:p w14:paraId="681DA140" w14:textId="4A0819C3"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Por regla general, los contratos estatales pueden ser modificados cuando sea necesario para lograr su finalidad y en aras de la realización de los fines del Estado, a los cuales sirve el contrato.</w:t>
      </w:r>
      <w:r w:rsidRPr="00A42C60">
        <w:rPr>
          <w:rFonts w:ascii="Arial" w:hAnsi="Arial" w:cs="Arial"/>
          <w:sz w:val="21"/>
          <w:szCs w:val="21"/>
          <w:lang w:val="es-MX" w:eastAsia="es-ES_tradnl"/>
        </w:rPr>
        <w:footnoteReference w:id="20"/>
      </w:r>
      <w:r w:rsidRPr="00A42C60">
        <w:rPr>
          <w:rFonts w:ascii="Arial" w:hAnsi="Arial" w:cs="Arial"/>
          <w:sz w:val="21"/>
          <w:szCs w:val="21"/>
          <w:lang w:val="es-MX" w:eastAsia="es-ES_tradnl"/>
        </w:rPr>
        <w:t xml:space="preserve"> Así lo prevén por ejemplo los artículos 14 y 16 de la ley 80, los cuales facultan a la entidades contratantes a modificar los contratos de común acuerdo o de forma unilateral, para «[…] evitar la paralización o la afectación grave de los servicios públicos a su cargo y asegurar la inmediata, continua y adecuada prestación”, entre otros. En el mismo sentido, en la sentencia C-949 de 2001</w:t>
      </w:r>
      <w:r w:rsidRPr="00A42C60">
        <w:rPr>
          <w:rFonts w:ascii="Arial" w:hAnsi="Arial" w:cs="Arial"/>
          <w:sz w:val="21"/>
          <w:szCs w:val="21"/>
          <w:lang w:val="es-MX" w:eastAsia="es-ES_tradnl"/>
        </w:rPr>
        <w:footnoteReference w:id="21"/>
      </w:r>
      <w:r w:rsidRPr="00A42C60">
        <w:rPr>
          <w:rFonts w:ascii="Arial" w:hAnsi="Arial" w:cs="Arial"/>
          <w:sz w:val="21"/>
          <w:szCs w:val="21"/>
          <w:lang w:val="es-MX" w:eastAsia="es-ES_tradnl"/>
        </w:rPr>
        <w:t>, la Corte Constitucional señaló que las prórrogas de los contratos –como especie de modificación- pueden ser un instrumento útil para lograr los fines propios de la contratación estatal.</w:t>
      </w:r>
      <w:r w:rsidRPr="00A42C60">
        <w:rPr>
          <w:rFonts w:ascii="Arial" w:hAnsi="Arial" w:cs="Arial"/>
          <w:sz w:val="21"/>
          <w:szCs w:val="21"/>
          <w:vertAlign w:val="superscript"/>
          <w:lang w:val="es-MX" w:eastAsia="es-ES_tradnl"/>
        </w:rPr>
        <w:footnoteReference w:id="22"/>
      </w:r>
    </w:p>
    <w:p w14:paraId="53BFF535" w14:textId="2356219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w:t>
      </w:r>
    </w:p>
    <w:p w14:paraId="3A5350A8"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062ECDBF"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xml:space="preserve">La modificación de los contratos estatales es especialmente importante en aquellos por naturaleza incompletos, es decir, (i) los afectados por asimetrías </w:t>
      </w:r>
      <w:r w:rsidRPr="00A42C60">
        <w:rPr>
          <w:rFonts w:ascii="Arial" w:hAnsi="Arial" w:cs="Arial"/>
          <w:sz w:val="21"/>
          <w:szCs w:val="21"/>
          <w:lang w:val="es-MX" w:eastAsia="es-ES_tradnl"/>
        </w:rPr>
        <w:lastRenderedPageBreak/>
        <w:t>de información que impiden la previsión de todas las contingencias que pueden afectar su ejecución, y (ii) en el marco de los cuales, por esa misma razón, es difícil prever ex ante los remedios necesarios para afrontar tales contingencias, como ocurre por lo general con los contratos de largo plazo. En efecto, con el paso del tiempo, pueden surgir nuevas exigencias sociales, tecnológicas, culturales, etc. sobre la forma cómo el Estado debe cumplir sus fines y sobre cómo se deben prestar los servicios públicos, o simplemente pueden aparecer circunstancias extraordinarias e imprevisibles al momento del diseño del negocio, para que las que tampoco era posible, en dicho momento, prever un remedio adecuado y específico. En este tipo de contratos es preciso entonces el diseño de reglas que permitan la adaptación y la resolución pacífica de las controversias para evitar el fracaso.</w:t>
      </w:r>
    </w:p>
    <w:p w14:paraId="4C97C38C"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24E0DC88" w14:textId="33D123DC"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Ahora bien, el que 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la modificación debe obedecer a una causa real y cierta autorizada en la ley, sustentada y probada, y acorde con los fines estatales a los que sirve la contratación estatal.</w:t>
      </w:r>
    </w:p>
    <w:p w14:paraId="10EF5FA1" w14:textId="77777777" w:rsidR="003A053B" w:rsidRPr="00A42C60" w:rsidRDefault="003A053B" w:rsidP="003A053B">
      <w:pPr>
        <w:spacing w:after="0" w:line="276" w:lineRule="auto"/>
        <w:ind w:left="709" w:right="709"/>
        <w:jc w:val="both"/>
        <w:rPr>
          <w:rFonts w:ascii="Arial" w:hAnsi="Arial" w:cs="Arial"/>
          <w:sz w:val="21"/>
          <w:szCs w:val="21"/>
          <w:lang w:val="es-MX" w:eastAsia="es-ES_tradnl"/>
        </w:rPr>
      </w:pPr>
    </w:p>
    <w:p w14:paraId="6179188F" w14:textId="77777777" w:rsidR="003A053B" w:rsidRPr="00A42C60" w:rsidRDefault="003A053B" w:rsidP="003A053B">
      <w:pPr>
        <w:spacing w:before="120" w:after="0" w:line="276" w:lineRule="auto"/>
        <w:ind w:firstLine="709"/>
        <w:jc w:val="both"/>
        <w:rPr>
          <w:rFonts w:ascii="Arial" w:hAnsi="Arial" w:cs="Arial"/>
          <w:bCs/>
          <w:szCs w:val="24"/>
          <w:lang w:val="es-MX" w:eastAsia="es-ES_tradnl" w:bidi="es-ES"/>
        </w:rPr>
      </w:pPr>
      <w:r w:rsidRPr="00A42C60">
        <w:rPr>
          <w:rFonts w:ascii="Arial" w:hAnsi="Arial" w:cs="Arial"/>
          <w:bCs/>
          <w:szCs w:val="24"/>
          <w:lang w:val="es-MX" w:eastAsia="es-ES_tradnl" w:bidi="es-ES"/>
        </w:rPr>
        <w:t>A su turno, el Consejo de Estado</w:t>
      </w:r>
      <w:r w:rsidRPr="00A42C60">
        <w:rPr>
          <w:rFonts w:ascii="Arial" w:hAnsi="Arial" w:cs="Arial"/>
          <w:bCs/>
          <w:szCs w:val="24"/>
          <w:vertAlign w:val="superscript"/>
          <w:lang w:val="es-MX" w:eastAsia="es-ES_tradnl" w:bidi="es-ES"/>
        </w:rPr>
        <w:footnoteReference w:id="23"/>
      </w:r>
      <w:r w:rsidRPr="00A42C60">
        <w:rPr>
          <w:rFonts w:ascii="Arial" w:hAnsi="Arial" w:cs="Arial"/>
          <w:bCs/>
          <w:szCs w:val="24"/>
          <w:lang w:val="es-MX" w:eastAsia="es-ES_tradnl" w:bidi="es-ES"/>
        </w:rPr>
        <w:t>, ha expresado lo siguiente sobre el asunto:</w:t>
      </w:r>
    </w:p>
    <w:p w14:paraId="7DB006E7" w14:textId="77777777" w:rsidR="003A053B" w:rsidRPr="00A42C60" w:rsidRDefault="003A053B" w:rsidP="003A053B">
      <w:pPr>
        <w:spacing w:after="0" w:line="264" w:lineRule="auto"/>
        <w:jc w:val="both"/>
        <w:rPr>
          <w:rFonts w:ascii="Arial" w:hAnsi="Arial" w:cs="Arial"/>
          <w:bCs/>
          <w:szCs w:val="24"/>
          <w:lang w:val="es-MX" w:eastAsia="es-ES_tradnl" w:bidi="es-ES"/>
        </w:rPr>
      </w:pPr>
    </w:p>
    <w:p w14:paraId="6505CDC4" w14:textId="7959767A"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La contratación estatal responde de múltiples maneras a ese mandato y, en cuanto al concepto que se emite, se resalta que la posibilidad de modificar los contratos estatales es una especial forma de hacer prevalecer la finalidad del contrato sobre los restantes elementos del mismo. Por mutabilidad del contrato estatal se entiende el derecho que tiene la administración de variar, dadas ciertas condiciones, las obligaciones a cargo del contratista particular, cuando sea necesario para el cumplimiento del objeto y de los fines generales del Estado.</w:t>
      </w:r>
    </w:p>
    <w:p w14:paraId="5DF5C510" w14:textId="77777777" w:rsidR="00B94847" w:rsidRDefault="00B94847" w:rsidP="003A053B">
      <w:pPr>
        <w:spacing w:after="0" w:line="240" w:lineRule="auto"/>
        <w:ind w:left="709" w:right="709"/>
        <w:jc w:val="both"/>
        <w:rPr>
          <w:rFonts w:ascii="Arial" w:hAnsi="Arial" w:cs="Arial"/>
          <w:sz w:val="21"/>
          <w:szCs w:val="21"/>
          <w:lang w:val="es-MX" w:eastAsia="es-ES_tradnl"/>
        </w:rPr>
      </w:pPr>
    </w:p>
    <w:p w14:paraId="2AB3D02A" w14:textId="0D49A96F"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w:t>
      </w:r>
    </w:p>
    <w:p w14:paraId="58EEF7C1"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4F45ADAE"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lastRenderedPageBreak/>
        <w:t>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4.9), acordarán los mecanismos y procedimientos pertinentes para precaver o solucionar … diferencias, (ibídem), evitar la paralización y la afectación grave de los servicios públicos a su cargo y asegurar la inmediata, continua y adecuada prestación, (artículo 14); etc. Nótese que, sin embargo, en ellas van inmersas las ideas de una causa cierta y unos fines públicos que hay que salvaguardar.</w:t>
      </w:r>
    </w:p>
    <w:p w14:paraId="3F24BE8F"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7FAF3F53"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xml:space="preserve">Puede adicionarse una razón a las expuestas para justificar que la simple voluntad de las partes no es causa de modificación de los contratos estatales, la cual consiste en el respeto por el principio de igualdad de los oferentes. Si se acepta que los contratos pueden modificarse por el simple común acuerdo, fácilmente se podría licitar determinado objeto con el fin de adjudicárselo a cierta persona, a sabiendas de que se cambiarán las obligaciones, una vez celebrado. </w:t>
      </w:r>
    </w:p>
    <w:p w14:paraId="011D4905"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6257F948" w14:textId="78231210"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De lo expuesto, y a manera de solución al interrogante planteado, surgen estas dos ideas que han servido de hilo conductor al análisis que aquí se hace: el mutuo acuerdo es una forma de modificación del contrato estatal, la más usada en la práctica y preferida por la legislación vigente; advirtiendo, y esta es la segunda idea, que toda modificación debe tener una causa real y cierta, contemplada en la ley, diferente de la mera voluntad de los contratantes.</w:t>
      </w:r>
    </w:p>
    <w:p w14:paraId="54D8B172" w14:textId="77777777" w:rsidR="003A053B" w:rsidRPr="00A42C60" w:rsidRDefault="003A053B" w:rsidP="00783687">
      <w:pPr>
        <w:spacing w:after="0" w:line="276" w:lineRule="auto"/>
        <w:ind w:left="709" w:right="709"/>
        <w:jc w:val="both"/>
        <w:rPr>
          <w:rFonts w:ascii="Arial" w:hAnsi="Arial" w:cs="Arial"/>
          <w:sz w:val="21"/>
          <w:szCs w:val="21"/>
          <w:lang w:val="es-MX" w:eastAsia="es-ES_tradnl"/>
        </w:rPr>
      </w:pPr>
    </w:p>
    <w:p w14:paraId="64032DC0" w14:textId="65B73202" w:rsidR="003A053B" w:rsidRPr="00A42C60" w:rsidRDefault="003A053B" w:rsidP="003A053B">
      <w:pPr>
        <w:spacing w:before="120" w:after="0" w:line="276" w:lineRule="auto"/>
        <w:ind w:firstLine="709"/>
        <w:jc w:val="both"/>
        <w:rPr>
          <w:rFonts w:ascii="Arial" w:hAnsi="Arial" w:cs="Arial"/>
          <w:bCs/>
          <w:szCs w:val="24"/>
          <w:lang w:val="es-MX" w:eastAsia="es-ES_tradnl"/>
        </w:rPr>
      </w:pPr>
      <w:r w:rsidRPr="00A42C60">
        <w:rPr>
          <w:rFonts w:ascii="Arial" w:hAnsi="Arial" w:cs="Arial"/>
          <w:bCs/>
          <w:szCs w:val="24"/>
          <w:lang w:val="es-MX" w:eastAsia="es-ES_tradnl" w:bidi="es-ES"/>
        </w:rPr>
        <w:t xml:space="preserve">En el mismo sentido, en el concepto 2263 del 17 de marzo del 2016, la Sala de Consulta y Servicio Civil del Consejo de Estado precisó que </w:t>
      </w:r>
      <w:r w:rsidRPr="00A42C60">
        <w:rPr>
          <w:rFonts w:ascii="Arial" w:hAnsi="Arial" w:cs="Arial"/>
          <w:bCs/>
          <w:szCs w:val="24"/>
          <w:lang w:val="es-MX" w:eastAsia="es-ES_tradnl"/>
        </w:rPr>
        <w:t>la regla general es la no modificación del contrato, y la vía excepcional su modificación, sometida a límites legales; límites que, en los términos definidos en el referido concepto, corresponden a los siguientes:</w:t>
      </w:r>
    </w:p>
    <w:p w14:paraId="400658BC" w14:textId="77777777" w:rsidR="007863A4" w:rsidRPr="00A42C60" w:rsidRDefault="007863A4" w:rsidP="007863A4">
      <w:pPr>
        <w:spacing w:after="0" w:line="276" w:lineRule="auto"/>
        <w:ind w:firstLine="709"/>
        <w:jc w:val="both"/>
        <w:rPr>
          <w:rFonts w:ascii="Arial" w:hAnsi="Arial" w:cs="Arial"/>
          <w:bCs/>
          <w:szCs w:val="24"/>
          <w:lang w:val="es-MX" w:eastAsia="es-ES_tradnl"/>
        </w:rPr>
      </w:pPr>
    </w:p>
    <w:p w14:paraId="68FEFC7C" w14:textId="7478F7CE"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xml:space="preserve">1. La necesidad de preservar los principios de igualdad, transparencia y libertad de concurrencia, durante la fase de ejecución del contrato. </w:t>
      </w:r>
    </w:p>
    <w:p w14:paraId="192903CE"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5583B8BF"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Este límite encuentra sustento en el hecho de que, para celebrar contratos estatales las entidades públicas eligen, dentro de un «régimen de concurrencia y de igualdad, las mejores condiciones de costo, calidad e idoneidad de la prestación requerida», lo que supone que la selección objetiva de la oferta más favorable, se dirige a salvaguardar el interés público y, por lo tanto, celebrado el contrato en esas condiciones,  su eventual modificación debe asegurar que lo adjudicado, y posteriormente alterado, consulte la mejor opción para el servicio público.</w:t>
      </w:r>
    </w:p>
    <w:p w14:paraId="39535918"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4D8DC22A"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Así, según lo expuesto en el concepto en cuestión «la aplicación de los principios de transparencia, de libertad de concurrencia y de igualdad, consagrados en el Estatuto Contractual, y las reglas sustanciales del pliego de condiciones, que permitieron elegir la mejor oferta, previo cumplimiento de los requisitos habilitantes y de ponderación, deben ser de estricta observancia por la Administración y por el contratista, y sus efectos trascienden y se aplican durante la ejecución del contrato y en su liquidación, como garantía de inalterabilidad de lo pactado y de acatamiento a la legalidad de las reglas aplicadas en la actuación previa».</w:t>
      </w:r>
    </w:p>
    <w:p w14:paraId="525E93EF"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115E0707" w14:textId="211E4702"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2.Límites de orden temporal, entre los que están comprendidos: i) la vigencia del contrato, pues no podría modificarse un contrato cuyo plazo ha culminado y ii) la prohibición de consagrar prórrogas automáticas, sucesivas o indefinidas, en tanto resultan contrarias al derecho esencial de la libertad de competencia.</w:t>
      </w:r>
    </w:p>
    <w:p w14:paraId="2196C9EE" w14:textId="77777777" w:rsidR="0039496D" w:rsidRPr="00A42C60" w:rsidRDefault="0039496D" w:rsidP="003A053B">
      <w:pPr>
        <w:spacing w:after="0" w:line="240" w:lineRule="auto"/>
        <w:ind w:left="709" w:right="709"/>
        <w:jc w:val="both"/>
        <w:rPr>
          <w:rFonts w:ascii="Arial" w:hAnsi="Arial" w:cs="Arial"/>
          <w:sz w:val="21"/>
          <w:szCs w:val="21"/>
          <w:lang w:val="es-MX" w:eastAsia="es-ES_tradnl"/>
        </w:rPr>
      </w:pPr>
    </w:p>
    <w:p w14:paraId="5F404ACB"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3. Límites de orden formal, que comprenden: i) La solemnidad del contrato de modificación, derivada del carácter solemne del contrato estatal, que exige que modificación de los contratos conste por escrito</w:t>
      </w:r>
      <w:r w:rsidRPr="00A42C60">
        <w:rPr>
          <w:rFonts w:ascii="Arial" w:hAnsi="Arial" w:cs="Arial"/>
          <w:sz w:val="21"/>
          <w:szCs w:val="21"/>
          <w:vertAlign w:val="superscript"/>
          <w:lang w:val="es-MX" w:eastAsia="es-ES_tradnl"/>
        </w:rPr>
        <w:footnoteReference w:id="24"/>
      </w:r>
      <w:r w:rsidRPr="00A42C60">
        <w:rPr>
          <w:rFonts w:ascii="Arial" w:hAnsi="Arial" w:cs="Arial"/>
          <w:sz w:val="21"/>
          <w:szCs w:val="21"/>
          <w:vertAlign w:val="superscript"/>
          <w:lang w:val="es-MX" w:eastAsia="es-ES_tradnl"/>
        </w:rPr>
        <w:t>;</w:t>
      </w:r>
      <w:r w:rsidRPr="00A42C60">
        <w:rPr>
          <w:rFonts w:ascii="Arial" w:hAnsi="Arial" w:cs="Arial"/>
          <w:sz w:val="21"/>
          <w:szCs w:val="21"/>
          <w:lang w:val="es-MX" w:eastAsia="es-ES_tradnl"/>
        </w:rPr>
        <w:t xml:space="preserve"> ii) la motivación y justificación de la modificación, la cual constituye un elemento esencial que permite determinar la juridicidad y la necesidad de una modificación determinada; así como su racionalidad y la proporcionalidad de su contenido.</w:t>
      </w:r>
    </w:p>
    <w:p w14:paraId="408230E0"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5D99E720" w14:textId="5FC78DC0"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4. Límites de orden material, que corresponden a: i) la prohibición de modificar las condiciones sustanciales del contrato, que se presentará en los casos en que se incluyan elementos que, «habiendo figurado en el procedimiento inicial, hubiera permitido la participación de otros interesados aparte de los inicialmente admitidos, o seleccionar una oferta distinta de la inicialmente seleccionada.</w:t>
      </w:r>
    </w:p>
    <w:p w14:paraId="7444AA16"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093E0AAD" w14:textId="77777777" w:rsidR="003A053B" w:rsidRPr="00A42C60" w:rsidRDefault="003A053B" w:rsidP="00A42C60">
      <w:pPr>
        <w:spacing w:after="0" w:line="240" w:lineRule="auto"/>
        <w:ind w:firstLine="708"/>
        <w:jc w:val="both"/>
        <w:rPr>
          <w:rFonts w:ascii="Arial" w:hAnsi="Arial" w:cs="Arial"/>
          <w:lang w:val="es-MX" w:eastAsia="es-ES_tradnl"/>
        </w:rPr>
      </w:pPr>
      <w:r w:rsidRPr="00A42C60">
        <w:rPr>
          <w:rFonts w:ascii="Arial" w:hAnsi="Arial" w:cs="Arial"/>
          <w:lang w:val="es-MX" w:eastAsia="es-ES_tradnl"/>
        </w:rPr>
        <w:t>Sobre el alcance de dicha prohibición, la Sala de Consulta y Servicio Civil expresó lo siguiente</w:t>
      </w:r>
      <w:r w:rsidRPr="00A42C60">
        <w:rPr>
          <w:rFonts w:ascii="Arial" w:hAnsi="Arial" w:cs="Arial"/>
          <w:vertAlign w:val="superscript"/>
          <w:lang w:val="es-MX" w:eastAsia="es-ES_tradnl"/>
        </w:rPr>
        <w:footnoteReference w:id="25"/>
      </w:r>
      <w:r w:rsidRPr="00A42C60">
        <w:rPr>
          <w:rFonts w:ascii="Arial" w:hAnsi="Arial" w:cs="Arial"/>
          <w:lang w:val="es-MX" w:eastAsia="es-ES_tradnl"/>
        </w:rPr>
        <w:t>:</w:t>
      </w:r>
    </w:p>
    <w:p w14:paraId="2C2C4BEA"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3A692B45" w14:textId="0595D898"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Así, frente a circunstancias excepcionales la Administración podría usar su poder de modificación unilateral o realizar las modificaciones de mutuo acuerdo, con el cumplimiento de los requisitos de ley. Se trataría de la excepción a la regla general de intangibilidad del contrato. La doctrina y algunos pronunciamientos de la Sección Tercera del Consejo de Estado, aportan los elementos necesarios que permiten orientar a la Administración sobre esta vía excepcional y sus requisitos:</w:t>
      </w:r>
    </w:p>
    <w:p w14:paraId="6FADD90B"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7B6C792C"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No podría aceptarse un poder ilimitado o absoluto de modificación, aun frente a circunstancias excepcionales. Por ello la modificación no podrá afectar el núcleo esencial del objeto, o la naturaleza global del contrato. Con independencia de las razones y circunstancias imprevisibles que puedan presentarse, no es posible que el contrato mute o se transforme en un contrato sustancialmente distinto. Si se sustituyen las obras, los suministros o los servicios pactados por otros diferentes, o se modifica el tipo de contratación, o el núcleo esencial del objeto, se presentaría una novación del negocio jurídico y su objeto.</w:t>
      </w:r>
    </w:p>
    <w:p w14:paraId="0B7188B2"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1D95C3F2"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w:t>
      </w:r>
    </w:p>
    <w:p w14:paraId="158AE5FF"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0CA61B44"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-Las causas que justificarían la modificación del contrato deben obedecer al acaecimiento de situaciones o circunstancias imposibles de prever, con una diligencia debida, que hagan imperiosa o necesaria la modificación de algunas estipulaciones del contrato, como única manera de conjurarlas. Debe tratarse de la existencia de circunstancias surgidas de un riesgo imprevisible, no necesariamente de una situación no prevista, que pueda razonablemente considerarse en un futuro mediato o que debieron ser previstas en la etapa de planeación del contrato. Ello supone la existencia de circunstancias posteriores, externas a las partes y no agravadas por su acción u omisión, puestas de manifiesto o imposibles de advertir en la etapa precontractual, que, además, muestren la imposibilidad de cumplir lo pactado inicialmente, o su falta de idoneidad. Estas circunstancias pueden obedecer a razones de tipo geológico, medioambiental o de otra índole, que no pudieron ser razonablemente previstas. […]</w:t>
      </w:r>
    </w:p>
    <w:p w14:paraId="5B70B8F2"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0E74136E"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 xml:space="preserve">-La existencia de una necesidad de servicio público que justifique la modificación, hasta el punto de conjurar la nueva necesidad. La acreditación de estas circunstancias estará a cargo de la entidad estatal, justificada en los estudios previos y en la debida motivación del contrato modificatorio </w:t>
      </w:r>
    </w:p>
    <w:p w14:paraId="161A0B93"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003ACB1E"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-El cumplimiento del límite cuantitativo consagrado en la ley para los contratos adicionales. […]</w:t>
      </w:r>
    </w:p>
    <w:p w14:paraId="6A8EE0AA"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064DBE64" w14:textId="60A2EA87" w:rsidR="003A053B" w:rsidRPr="00A42C60" w:rsidRDefault="003A053B" w:rsidP="003A053B">
      <w:pPr>
        <w:spacing w:after="0" w:line="240" w:lineRule="auto"/>
        <w:ind w:left="709" w:right="709"/>
        <w:jc w:val="both"/>
        <w:rPr>
          <w:rFonts w:ascii="Arial" w:hAnsi="Arial" w:cs="Arial"/>
          <w:sz w:val="21"/>
          <w:szCs w:val="21"/>
          <w:lang w:val="es-MX" w:eastAsia="es-ES_tradnl"/>
        </w:rPr>
      </w:pPr>
      <w:r w:rsidRPr="00A42C60">
        <w:rPr>
          <w:rFonts w:ascii="Arial" w:hAnsi="Arial" w:cs="Arial"/>
          <w:sz w:val="21"/>
          <w:szCs w:val="21"/>
          <w:lang w:val="es-MX" w:eastAsia="es-ES_tradnl"/>
        </w:rPr>
        <w:t>-Debe tratarse de prestaciones necesarias e inseparables técnica o económicamente del contrato inicial, que no permitan su uso o aprovechamiento independiente La modificación de las condiciones de la prestación o del contrato debe presuponer que no pueda ser materia de un nuevo proceso de selección, o de su contratación con un tercero, en razón a que, por su naturaleza, resulte inseparable técnica o económicamente de la prestación pactada en el contrato inicial.</w:t>
      </w:r>
    </w:p>
    <w:p w14:paraId="6F8DC204" w14:textId="77777777" w:rsidR="003A053B" w:rsidRPr="00A42C60" w:rsidRDefault="003A053B" w:rsidP="003A053B">
      <w:pPr>
        <w:spacing w:after="0" w:line="240" w:lineRule="auto"/>
        <w:ind w:left="709" w:right="709"/>
        <w:jc w:val="both"/>
        <w:rPr>
          <w:rFonts w:ascii="Arial" w:hAnsi="Arial" w:cs="Arial"/>
          <w:sz w:val="21"/>
          <w:szCs w:val="21"/>
          <w:lang w:val="es-MX" w:eastAsia="es-ES_tradnl"/>
        </w:rPr>
      </w:pPr>
    </w:p>
    <w:p w14:paraId="2C58FC6E" w14:textId="650C166E" w:rsidR="003A053B" w:rsidRPr="00A42C60" w:rsidRDefault="003A053B" w:rsidP="003A053B">
      <w:pPr>
        <w:spacing w:before="120" w:after="0" w:line="276" w:lineRule="auto"/>
        <w:ind w:firstLine="709"/>
        <w:jc w:val="both"/>
        <w:rPr>
          <w:rFonts w:ascii="Arial" w:hAnsi="Arial" w:cs="Arial"/>
          <w:bCs/>
          <w:szCs w:val="24"/>
          <w:lang w:val="es-MX" w:eastAsia="es-ES_tradnl" w:bidi="es-ES"/>
        </w:rPr>
      </w:pPr>
      <w:r w:rsidRPr="00A42C60">
        <w:rPr>
          <w:rFonts w:ascii="Arial" w:hAnsi="Arial" w:cs="Arial"/>
          <w:bCs/>
          <w:szCs w:val="24"/>
          <w:lang w:val="es-MX" w:eastAsia="es-ES_tradnl" w:bidi="es-ES"/>
        </w:rPr>
        <w:t xml:space="preserve">Es claro, entonces, que conforme a la regulación legal y a la interpretación que de la misma han hecho el Consejo de Estado y la Corte Constitucional, la cual se comparte </w:t>
      </w:r>
      <w:r w:rsidRPr="00A42C60">
        <w:rPr>
          <w:rFonts w:ascii="Arial" w:hAnsi="Arial" w:cs="Arial"/>
          <w:bCs/>
          <w:szCs w:val="24"/>
          <w:lang w:val="es-MX" w:eastAsia="es-ES_tradnl" w:bidi="es-ES"/>
        </w:rPr>
        <w:lastRenderedPageBreak/>
        <w:t xml:space="preserve">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w:t>
      </w:r>
      <w:r w:rsidR="00B85636">
        <w:rPr>
          <w:rFonts w:ascii="Arial" w:hAnsi="Arial" w:cs="Arial"/>
          <w:bCs/>
          <w:szCs w:val="24"/>
          <w:lang w:val="es-MX" w:eastAsia="es-ES_tradnl" w:bidi="es-ES"/>
        </w:rPr>
        <w:t>De esta manera,</w:t>
      </w:r>
      <w:r w:rsidRPr="00A42C60">
        <w:rPr>
          <w:rFonts w:ascii="Arial" w:hAnsi="Arial" w:cs="Arial"/>
          <w:bCs/>
          <w:szCs w:val="24"/>
          <w:lang w:val="es-MX" w:eastAsia="es-ES_tradnl" w:bidi="es-ES"/>
        </w:rPr>
        <w:t xml:space="preserve"> para establecer si un contrato determinado puede ser susceptible de modificación, se hace necesario que la Administración analice, en cada caso, la concurrencia de los aspectos antes referidos.  </w:t>
      </w:r>
    </w:p>
    <w:p w14:paraId="6CD8CDDE" w14:textId="77777777" w:rsidR="003A053B" w:rsidRPr="00A42C60" w:rsidRDefault="003A053B" w:rsidP="003A053B">
      <w:pPr>
        <w:spacing w:before="120" w:after="0" w:line="276" w:lineRule="auto"/>
        <w:ind w:firstLine="567"/>
        <w:jc w:val="both"/>
        <w:rPr>
          <w:rFonts w:ascii="Arial" w:hAnsi="Arial" w:cs="Arial"/>
          <w:bCs/>
          <w:szCs w:val="24"/>
          <w:lang w:val="es-MX" w:eastAsia="es-ES_tradnl" w:bidi="es-ES"/>
        </w:rPr>
      </w:pPr>
      <w:r w:rsidRPr="00A42C60">
        <w:rPr>
          <w:rFonts w:ascii="Arial" w:hAnsi="Arial" w:cs="Arial"/>
          <w:bCs/>
          <w:szCs w:val="24"/>
          <w:lang w:val="es-MX" w:eastAsia="es-ES_tradnl" w:bidi="es-ES"/>
        </w:rPr>
        <w:t>Además de lo anterior,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w:t>
      </w:r>
      <w:bookmarkStart w:id="3" w:name="_ftnref22"/>
      <w:r w:rsidRPr="00A42C60">
        <w:rPr>
          <w:rFonts w:ascii="Arial" w:hAnsi="Arial" w:cs="Arial"/>
          <w:bCs/>
          <w:szCs w:val="24"/>
          <w:lang w:val="es-MX" w:eastAsia="es-ES_tradnl" w:bidi="es-ES"/>
        </w:rPr>
        <w:t xml:space="preserve"> </w:t>
      </w:r>
    </w:p>
    <w:p w14:paraId="545EA98B" w14:textId="77777777" w:rsidR="003A053B" w:rsidRPr="00A42C60" w:rsidRDefault="003A053B" w:rsidP="003A053B">
      <w:pPr>
        <w:spacing w:before="120" w:after="0" w:line="276" w:lineRule="auto"/>
        <w:ind w:firstLine="709"/>
        <w:jc w:val="both"/>
        <w:rPr>
          <w:rFonts w:ascii="Arial" w:hAnsi="Arial" w:cs="Arial"/>
          <w:bCs/>
          <w:szCs w:val="24"/>
          <w:lang w:val="es-MX" w:eastAsia="es-ES_tradnl" w:bidi="es-ES"/>
        </w:rPr>
      </w:pPr>
      <w:r w:rsidRPr="00A42C60">
        <w:rPr>
          <w:rFonts w:ascii="Arial" w:hAnsi="Arial" w:cs="Arial"/>
          <w:bCs/>
          <w:szCs w:val="24"/>
          <w:lang w:val="es-MX" w:eastAsia="es-ES_tradnl" w:bidi="es-ES"/>
        </w:rPr>
        <w:t>Sobre este último punto, la doctrina</w:t>
      </w:r>
      <w:r w:rsidRPr="00A42C60">
        <w:rPr>
          <w:rFonts w:ascii="Arial" w:hAnsi="Arial" w:cs="Arial"/>
          <w:bCs/>
          <w:szCs w:val="24"/>
          <w:vertAlign w:val="superscript"/>
          <w:lang w:val="es-MX" w:eastAsia="es-ES_tradnl" w:bidi="es-ES"/>
        </w:rPr>
        <w:footnoteReference w:id="26"/>
      </w:r>
      <w:r w:rsidRPr="00A42C60">
        <w:rPr>
          <w:rFonts w:ascii="Arial" w:hAnsi="Arial" w:cs="Arial"/>
          <w:bCs/>
          <w:szCs w:val="24"/>
          <w:lang w:val="es-MX" w:eastAsia="es-ES_tradnl" w:bidi="es-ES"/>
        </w:rPr>
        <w:t xml:space="preserve"> ha precisado que cuando </w:t>
      </w:r>
      <w:r w:rsidRPr="00A42C60">
        <w:rPr>
          <w:rFonts w:ascii="Arial" w:hAnsi="Arial" w:cs="Arial"/>
          <w:bCs/>
          <w:szCs w:val="24"/>
          <w:lang w:val="es-MX" w:eastAsia="es-ES_tradnl"/>
        </w:rPr>
        <w:t>«</w:t>
      </w:r>
      <w:r w:rsidRPr="00A42C60">
        <w:rPr>
          <w:rFonts w:ascii="Arial" w:hAnsi="Arial" w:cs="Arial"/>
          <w:bCs/>
          <w:szCs w:val="24"/>
          <w:lang w:val="es-MX" w:eastAsia="es-ES_tradnl" w:bidi="es-ES"/>
        </w:rPr>
        <w:t>se alude a la modificación del contrato se lo hace para referirse a alteraciones, variaciones, sustituciones de calidad, componentes o número de obras, bienes o servicios. No implican la sustitución del género del contrato sino modificaciones que responden a necesidades sobrevivientes o a errores en la fase previa</w:t>
      </w:r>
      <w:r w:rsidRPr="00A42C60">
        <w:rPr>
          <w:rFonts w:ascii="Arial" w:hAnsi="Arial" w:cs="Arial"/>
          <w:bCs/>
          <w:szCs w:val="24"/>
          <w:lang w:val="es-MX" w:eastAsia="es-ES_tradnl"/>
        </w:rPr>
        <w:t>»</w:t>
      </w:r>
      <w:r w:rsidRPr="00A42C60">
        <w:rPr>
          <w:rFonts w:ascii="Arial" w:hAnsi="Arial" w:cs="Arial"/>
          <w:bCs/>
          <w:i/>
          <w:iCs/>
          <w:szCs w:val="24"/>
          <w:vertAlign w:val="superscript"/>
          <w:lang w:val="es-MX" w:eastAsia="es-ES_tradnl"/>
        </w:rPr>
        <w:footnoteReference w:id="27"/>
      </w:r>
      <w:r w:rsidRPr="00A42C60">
        <w:rPr>
          <w:rFonts w:ascii="Arial" w:hAnsi="Arial" w:cs="Arial"/>
          <w:bCs/>
          <w:szCs w:val="24"/>
          <w:lang w:val="es-MX" w:eastAsia="es-ES_tradnl" w:bidi="es-ES"/>
        </w:rPr>
        <w:t xml:space="preserve">. </w:t>
      </w:r>
      <w:bookmarkEnd w:id="3"/>
      <w:r w:rsidRPr="00A42C60">
        <w:rPr>
          <w:rFonts w:ascii="Arial" w:hAnsi="Arial" w:cs="Arial"/>
          <w:bCs/>
          <w:szCs w:val="24"/>
          <w:lang w:val="es-MX" w:eastAsia="es-ES_tradnl" w:bidi="es-ES"/>
        </w:rPr>
        <w:t xml:space="preserve">Para la determinación de los aspectos que no alteran la esencia del contrato estatal y que por ello al variarse no lo convierte en otro contrato, resulta útil remitirse a lo previsto en el artículo 1501 del Código Civil, que establece que los contratos tienen elementos de su esencia, de su naturaleza y accidentales. Las definiciones de cada uno de dichos conceptos efectuadas en el artículo en comento resultarán útiles para establecer, en un caso determinado, si una específica modificación altera la esencia del contrato. </w:t>
      </w:r>
    </w:p>
    <w:p w14:paraId="4E9B28EA" w14:textId="1CA813FF" w:rsidR="003A053B" w:rsidRPr="00A42C60" w:rsidRDefault="003A053B" w:rsidP="002E4DA4">
      <w:pPr>
        <w:spacing w:before="120" w:after="0" w:line="276" w:lineRule="auto"/>
        <w:ind w:firstLine="709"/>
        <w:jc w:val="both"/>
        <w:rPr>
          <w:rFonts w:ascii="Arial" w:hAnsi="Arial" w:cs="Arial"/>
          <w:bCs/>
          <w:szCs w:val="24"/>
          <w:lang w:val="es-MX" w:eastAsia="es-ES_tradnl" w:bidi="es-ES"/>
        </w:rPr>
      </w:pPr>
      <w:r w:rsidRPr="00A42C60">
        <w:rPr>
          <w:rFonts w:ascii="Arial" w:hAnsi="Arial" w:cs="Arial"/>
          <w:bCs/>
          <w:szCs w:val="24"/>
          <w:lang w:val="es-MX" w:eastAsia="es-ES_tradnl" w:bidi="es-ES"/>
        </w:rPr>
        <w:t xml:space="preserve">En todo caso, corresponderá a cada entidad estatal realizar el análisis respecto a la precedencia de modificar determinado contrato estatal, en el entendido que se respeten las reglas establecidas en el ordenamiento jurídico, de acuerdo con lo expuesto anteriormente, además de definir previamente su procedencia desde la perspectiva jurídica, técnica y financiera. </w:t>
      </w:r>
    </w:p>
    <w:p w14:paraId="7713EDCF" w14:textId="73DFCF20" w:rsidR="007863A4" w:rsidRPr="00A42C60" w:rsidRDefault="007863A4" w:rsidP="002E4DA4">
      <w:pPr>
        <w:spacing w:before="120" w:after="0" w:line="276" w:lineRule="auto"/>
        <w:ind w:firstLine="709"/>
        <w:jc w:val="both"/>
        <w:rPr>
          <w:rFonts w:ascii="Arial" w:hAnsi="Arial" w:cs="Arial"/>
          <w:bCs/>
          <w:szCs w:val="24"/>
          <w:lang w:val="es-MX" w:eastAsia="es-ES_tradnl" w:bidi="es-ES"/>
        </w:rPr>
      </w:pPr>
      <w:r w:rsidRPr="00A42C60">
        <w:rPr>
          <w:rFonts w:ascii="Arial" w:hAnsi="Arial" w:cs="Arial"/>
          <w:bCs/>
          <w:szCs w:val="24"/>
          <w:lang w:val="es-ES_tradnl" w:eastAsia="es-ES_tradnl" w:bidi="es-ES"/>
        </w:rPr>
        <w:lastRenderedPageBreak/>
        <w:t xml:space="preserve">En este contexto, </w:t>
      </w:r>
      <w:r w:rsidR="0039496D" w:rsidRPr="00A42C60">
        <w:rPr>
          <w:rFonts w:ascii="Arial" w:hAnsi="Arial" w:cs="Arial"/>
          <w:bCs/>
          <w:szCs w:val="24"/>
          <w:lang w:val="es-ES_tradnl" w:eastAsia="es-ES_tradnl" w:bidi="es-ES"/>
        </w:rPr>
        <w:t xml:space="preserve">en concordancia con lo expuesto en el numeral 2.1 de este concepto, </w:t>
      </w:r>
      <w:r w:rsidR="00A775EF" w:rsidRPr="00A42C60">
        <w:rPr>
          <w:rFonts w:ascii="Arial" w:hAnsi="Arial" w:cs="Arial"/>
          <w:bCs/>
          <w:szCs w:val="24"/>
          <w:lang w:val="es-ES_tradnl" w:eastAsia="es-ES_tradnl" w:bidi="es-ES"/>
        </w:rPr>
        <w:t xml:space="preserve">es claro que un </w:t>
      </w:r>
      <w:r w:rsidRPr="00A42C60">
        <w:rPr>
          <w:rFonts w:ascii="Arial" w:hAnsi="Arial" w:cs="Arial"/>
          <w:bCs/>
          <w:szCs w:val="24"/>
          <w:lang w:val="es-ES_tradnl" w:eastAsia="es-ES_tradnl" w:bidi="es-ES"/>
        </w:rPr>
        <w:t xml:space="preserve">contrato estatal puede modificarse en precio y en el alcance de su objeto para incluir actividades adicionales que no fueron comprendidas en el contrato inicial, </w:t>
      </w:r>
      <w:r w:rsidR="000F2930" w:rsidRPr="00A42C60">
        <w:rPr>
          <w:rFonts w:ascii="Arial" w:hAnsi="Arial" w:cs="Arial"/>
          <w:bCs/>
          <w:szCs w:val="24"/>
          <w:lang w:val="es-ES_tradnl" w:eastAsia="es-ES_tradnl" w:bidi="es-ES"/>
        </w:rPr>
        <w:t xml:space="preserve">esto es, para incluir ítems no previstos, </w:t>
      </w:r>
      <w:r w:rsidRPr="00A42C60">
        <w:rPr>
          <w:rFonts w:ascii="Arial" w:hAnsi="Arial" w:cs="Arial"/>
          <w:bCs/>
          <w:szCs w:val="24"/>
          <w:lang w:val="es-ES_tradnl" w:eastAsia="es-ES_tradnl" w:bidi="es-ES"/>
        </w:rPr>
        <w:t xml:space="preserve">siempre que se respete el límite fijado por el legislador para adicionar su valor y las demás disposiciones establecidas en el ordenamiento jurídico. Además, las modificaciones no podrían suponer la variación del objeto de un contrato, </w:t>
      </w:r>
      <w:r w:rsidR="0039496D" w:rsidRPr="00A42C60">
        <w:rPr>
          <w:rFonts w:ascii="Arial" w:hAnsi="Arial" w:cs="Arial"/>
          <w:bCs/>
          <w:szCs w:val="24"/>
          <w:lang w:val="es-ES_tradnl" w:eastAsia="es-ES_tradnl" w:bidi="es-ES"/>
        </w:rPr>
        <w:t xml:space="preserve">al punto que suponga </w:t>
      </w:r>
      <w:r w:rsidRPr="00A42C60">
        <w:rPr>
          <w:rFonts w:ascii="Arial" w:hAnsi="Arial" w:cs="Arial"/>
          <w:bCs/>
          <w:szCs w:val="24"/>
          <w:lang w:val="es-ES_tradnl" w:eastAsia="es-ES_tradnl" w:bidi="es-ES"/>
        </w:rPr>
        <w:t xml:space="preserve">la alteración de su esencia y </w:t>
      </w:r>
      <w:r w:rsidR="0039496D" w:rsidRPr="00A42C60">
        <w:rPr>
          <w:rFonts w:ascii="Arial" w:hAnsi="Arial" w:cs="Arial"/>
          <w:bCs/>
          <w:szCs w:val="24"/>
          <w:lang w:val="es-ES_tradnl" w:eastAsia="es-ES_tradnl" w:bidi="es-ES"/>
        </w:rPr>
        <w:t xml:space="preserve">se convierta </w:t>
      </w:r>
      <w:r w:rsidRPr="00A42C60">
        <w:rPr>
          <w:rFonts w:ascii="Arial" w:hAnsi="Arial" w:cs="Arial"/>
          <w:bCs/>
          <w:szCs w:val="24"/>
          <w:lang w:val="es-ES_tradnl" w:eastAsia="es-ES_tradnl" w:bidi="es-ES"/>
        </w:rPr>
        <w:t>en otro tipo de negocio jurídico. Si se presentara esta situación lo indicado no sería modificar el contrato sino celebrar uno nuevo. Esta</w:t>
      </w:r>
      <w:r w:rsidR="0039496D" w:rsidRPr="00A42C60">
        <w:rPr>
          <w:rFonts w:ascii="Arial" w:hAnsi="Arial" w:cs="Arial"/>
          <w:bCs/>
          <w:szCs w:val="24"/>
          <w:lang w:val="es-ES_tradnl" w:eastAsia="es-ES_tradnl" w:bidi="es-ES"/>
        </w:rPr>
        <w:t>s reglas proceden cuando la modificación sea</w:t>
      </w:r>
      <w:r w:rsidRPr="00A42C60">
        <w:rPr>
          <w:rFonts w:ascii="Arial" w:hAnsi="Arial" w:cs="Arial"/>
          <w:bCs/>
          <w:szCs w:val="24"/>
          <w:lang w:val="es-ES_tradnl" w:eastAsia="es-ES_tradnl" w:bidi="es-ES"/>
        </w:rPr>
        <w:t xml:space="preserve"> de manera bilateral</w:t>
      </w:r>
      <w:r w:rsidR="0039496D" w:rsidRPr="00A42C60">
        <w:rPr>
          <w:rFonts w:ascii="Arial" w:hAnsi="Arial" w:cs="Arial"/>
          <w:bCs/>
          <w:szCs w:val="24"/>
          <w:lang w:val="es-ES_tradnl" w:eastAsia="es-ES_tradnl" w:bidi="es-ES"/>
        </w:rPr>
        <w:t>, así como cuando se realice de forma</w:t>
      </w:r>
      <w:r w:rsidRPr="00A42C60">
        <w:rPr>
          <w:rFonts w:ascii="Arial" w:hAnsi="Arial" w:cs="Arial"/>
          <w:bCs/>
          <w:szCs w:val="24"/>
          <w:lang w:val="es-ES_tradnl" w:eastAsia="es-ES_tradnl" w:bidi="es-ES"/>
        </w:rPr>
        <w:t xml:space="preserve"> unilateral</w:t>
      </w:r>
      <w:r w:rsidR="0039496D" w:rsidRPr="00A42C60">
        <w:rPr>
          <w:rFonts w:ascii="Arial" w:hAnsi="Arial" w:cs="Arial"/>
          <w:bCs/>
          <w:szCs w:val="24"/>
          <w:lang w:val="es-ES_tradnl" w:eastAsia="es-ES_tradnl" w:bidi="es-ES"/>
        </w:rPr>
        <w:t xml:space="preserve"> por la entidad estatal</w:t>
      </w:r>
      <w:r w:rsidRPr="00A42C60">
        <w:rPr>
          <w:rFonts w:ascii="Arial" w:hAnsi="Arial" w:cs="Arial"/>
          <w:bCs/>
          <w:szCs w:val="24"/>
          <w:lang w:val="es-ES_tradnl" w:eastAsia="es-ES_tradnl" w:bidi="es-ES"/>
        </w:rPr>
        <w:t>, esta última teniendo en cuenta que el artículo 16 de la Ley 80 de 1993 señala que si las modificaciones alteran el valor del contrato en un veinte por ciento (20%) o más del valor inicial, el contratista podrá renunciar a la continuación de la ejecución</w:t>
      </w:r>
      <w:r w:rsidR="008B06D9" w:rsidRPr="00A42C60">
        <w:rPr>
          <w:rFonts w:ascii="Arial" w:hAnsi="Arial" w:cs="Arial"/>
          <w:bCs/>
          <w:szCs w:val="24"/>
          <w:lang w:val="es-ES_tradnl" w:eastAsia="es-ES_tradnl" w:bidi="es-ES"/>
        </w:rPr>
        <w:t xml:space="preserve">. </w:t>
      </w:r>
    </w:p>
    <w:p w14:paraId="18E02929" w14:textId="4E8948F8" w:rsidR="006D44EA" w:rsidRPr="00A42C60" w:rsidRDefault="006D44EA" w:rsidP="006D44EA">
      <w:pPr>
        <w:spacing w:before="120" w:after="0" w:line="276" w:lineRule="auto"/>
        <w:ind w:firstLine="709"/>
        <w:jc w:val="both"/>
        <w:rPr>
          <w:rFonts w:ascii="Arial" w:hAnsi="Arial" w:cs="Arial"/>
          <w:bCs/>
          <w:szCs w:val="24"/>
          <w:lang w:eastAsia="es-ES_tradnl" w:bidi="es-ES"/>
        </w:rPr>
      </w:pPr>
      <w:r w:rsidRPr="00A42C60">
        <w:rPr>
          <w:rFonts w:ascii="Arial" w:hAnsi="Arial" w:cs="Arial"/>
          <w:bCs/>
          <w:szCs w:val="24"/>
          <w:lang w:val="es-ES_tradnl" w:eastAsia="es-ES_tradnl" w:bidi="es-ES"/>
        </w:rPr>
        <w:t>Al respecto</w:t>
      </w:r>
      <w:r w:rsidR="002E4DA4" w:rsidRPr="00A42C60">
        <w:rPr>
          <w:rFonts w:ascii="Arial" w:hAnsi="Arial" w:cs="Arial"/>
          <w:bCs/>
          <w:szCs w:val="24"/>
          <w:lang w:val="es-ES_tradnl" w:eastAsia="es-ES_tradnl" w:bidi="es-ES"/>
        </w:rPr>
        <w:t>,</w:t>
      </w:r>
      <w:r w:rsidR="008B06D9" w:rsidRPr="00A42C60">
        <w:rPr>
          <w:rFonts w:ascii="Arial" w:hAnsi="Arial" w:cs="Arial"/>
          <w:bCs/>
          <w:szCs w:val="24"/>
          <w:lang w:val="es-ES_tradnl" w:eastAsia="es-ES_tradnl" w:bidi="es-ES"/>
        </w:rPr>
        <w:t xml:space="preserve"> es pertinente indicar</w:t>
      </w:r>
      <w:r w:rsidR="002E4DA4" w:rsidRPr="00A42C60">
        <w:rPr>
          <w:rFonts w:ascii="Arial" w:hAnsi="Arial" w:cs="Arial"/>
          <w:bCs/>
          <w:szCs w:val="24"/>
          <w:lang w:val="es-ES_tradnl" w:eastAsia="es-ES_tradnl" w:bidi="es-ES"/>
        </w:rPr>
        <w:t xml:space="preserve"> </w:t>
      </w:r>
      <w:r w:rsidR="008B06D9" w:rsidRPr="00A42C60">
        <w:rPr>
          <w:rFonts w:ascii="Arial" w:hAnsi="Arial" w:cs="Arial"/>
          <w:bCs/>
          <w:szCs w:val="24"/>
          <w:lang w:val="es-ES_tradnl" w:eastAsia="es-ES_tradnl" w:bidi="es-ES"/>
        </w:rPr>
        <w:t>en relación con la sentencia SU 214 de 2022 de la Corte Constitucional</w:t>
      </w:r>
      <w:r w:rsidRPr="00A42C60">
        <w:rPr>
          <w:rFonts w:ascii="Arial" w:hAnsi="Arial" w:cs="Arial"/>
          <w:bCs/>
          <w:szCs w:val="24"/>
          <w:lang w:val="es-ES_tradnl" w:eastAsia="es-ES_tradnl" w:bidi="es-ES"/>
        </w:rPr>
        <w:t xml:space="preserve"> </w:t>
      </w:r>
      <w:r w:rsidR="008B06D9" w:rsidRPr="00A42C60">
        <w:rPr>
          <w:rFonts w:ascii="Arial" w:hAnsi="Arial" w:cs="Arial"/>
          <w:bCs/>
          <w:szCs w:val="24"/>
          <w:lang w:val="es-ES_tradnl" w:eastAsia="es-ES_tradnl" w:bidi="es-ES"/>
        </w:rPr>
        <w:t>que</w:t>
      </w:r>
      <w:r w:rsidR="00191007">
        <w:rPr>
          <w:rFonts w:ascii="Arial" w:hAnsi="Arial" w:cs="Arial"/>
          <w:bCs/>
          <w:szCs w:val="24"/>
          <w:lang w:val="es-ES_tradnl" w:eastAsia="es-ES_tradnl" w:bidi="es-ES"/>
        </w:rPr>
        <w:t>,</w:t>
      </w:r>
      <w:r w:rsidR="008B06D9" w:rsidRPr="00A42C60">
        <w:rPr>
          <w:rFonts w:ascii="Arial" w:hAnsi="Arial" w:cs="Arial"/>
          <w:bCs/>
          <w:szCs w:val="24"/>
          <w:lang w:val="es-ES_tradnl" w:eastAsia="es-ES_tradnl" w:bidi="es-ES"/>
        </w:rPr>
        <w:t xml:space="preserve"> </w:t>
      </w:r>
      <w:r w:rsidR="002E4DA4" w:rsidRPr="00A42C60">
        <w:rPr>
          <w:rFonts w:ascii="Arial" w:hAnsi="Arial" w:cs="Arial"/>
          <w:bCs/>
          <w:szCs w:val="24"/>
          <w:lang w:val="es-ES_tradnl" w:eastAsia="es-ES_tradnl" w:bidi="es-ES"/>
        </w:rPr>
        <w:t xml:space="preserve">las consideraciones expuestas </w:t>
      </w:r>
      <w:r w:rsidR="00191007">
        <w:rPr>
          <w:rFonts w:ascii="Arial" w:hAnsi="Arial" w:cs="Arial"/>
          <w:bCs/>
          <w:szCs w:val="24"/>
          <w:lang w:val="es-ES_tradnl" w:eastAsia="es-ES_tradnl" w:bidi="es-ES"/>
        </w:rPr>
        <w:t xml:space="preserve">en dicha providencia </w:t>
      </w:r>
      <w:r w:rsidR="002E4DA4" w:rsidRPr="00A42C60">
        <w:rPr>
          <w:rFonts w:ascii="Arial" w:hAnsi="Arial" w:cs="Arial"/>
          <w:bCs/>
          <w:szCs w:val="24"/>
          <w:lang w:val="es-ES_tradnl" w:eastAsia="es-ES_tradnl" w:bidi="es-ES"/>
        </w:rPr>
        <w:t>para resolver el caso particular se fundamenta</w:t>
      </w:r>
      <w:r w:rsidR="008B06D9" w:rsidRPr="00A42C60">
        <w:rPr>
          <w:rFonts w:ascii="Arial" w:hAnsi="Arial" w:cs="Arial"/>
          <w:bCs/>
          <w:szCs w:val="24"/>
          <w:lang w:val="es-ES_tradnl" w:eastAsia="es-ES_tradnl" w:bidi="es-ES"/>
        </w:rPr>
        <w:t>n</w:t>
      </w:r>
      <w:r w:rsidR="002E4DA4" w:rsidRPr="00A42C60">
        <w:rPr>
          <w:rFonts w:ascii="Arial" w:hAnsi="Arial" w:cs="Arial"/>
          <w:bCs/>
          <w:szCs w:val="24"/>
          <w:lang w:val="es-ES_tradnl" w:eastAsia="es-ES_tradnl" w:bidi="es-ES"/>
        </w:rPr>
        <w:t xml:space="preserve"> en </w:t>
      </w:r>
      <w:r w:rsidR="002E4DA4" w:rsidRPr="00A42C60">
        <w:rPr>
          <w:rFonts w:ascii="Arial" w:hAnsi="Arial" w:cs="Arial"/>
          <w:bCs/>
          <w:szCs w:val="24"/>
          <w:lang w:eastAsia="es-ES_tradnl" w:bidi="es-ES"/>
        </w:rPr>
        <w:t>el análisis del alcance y contenido de</w:t>
      </w:r>
      <w:r w:rsidR="007638FC" w:rsidRPr="00A42C60">
        <w:rPr>
          <w:rFonts w:ascii="Arial" w:hAnsi="Arial" w:cs="Arial"/>
          <w:bCs/>
          <w:szCs w:val="24"/>
          <w:lang w:eastAsia="es-ES_tradnl" w:bidi="es-ES"/>
        </w:rPr>
        <w:t xml:space="preserve"> las definiciones de</w:t>
      </w:r>
      <w:r w:rsidR="002E4DA4" w:rsidRPr="00A42C60">
        <w:rPr>
          <w:rFonts w:ascii="Arial" w:hAnsi="Arial" w:cs="Arial"/>
          <w:bCs/>
          <w:szCs w:val="24"/>
          <w:lang w:eastAsia="es-ES_tradnl" w:bidi="es-ES"/>
        </w:rPr>
        <w:t xml:space="preserve"> </w:t>
      </w:r>
      <w:r w:rsidR="002E4DA4" w:rsidRPr="00A42C60">
        <w:rPr>
          <w:rFonts w:ascii="Arial" w:hAnsi="Arial" w:cs="Arial"/>
          <w:bCs/>
          <w:i/>
          <w:iCs/>
          <w:szCs w:val="24"/>
          <w:lang w:eastAsia="es-ES_tradnl" w:bidi="es-ES"/>
        </w:rPr>
        <w:t>adiciones contractuales</w:t>
      </w:r>
      <w:r w:rsidR="002E4DA4" w:rsidRPr="00A42C60">
        <w:rPr>
          <w:rFonts w:ascii="Arial" w:hAnsi="Arial" w:cs="Arial"/>
          <w:bCs/>
          <w:szCs w:val="24"/>
          <w:lang w:eastAsia="es-ES_tradnl" w:bidi="es-ES"/>
        </w:rPr>
        <w:t xml:space="preserve"> y  </w:t>
      </w:r>
      <w:r w:rsidR="002E4DA4" w:rsidRPr="00A42C60">
        <w:rPr>
          <w:rFonts w:ascii="Arial" w:hAnsi="Arial" w:cs="Arial"/>
          <w:bCs/>
          <w:i/>
          <w:iCs/>
          <w:szCs w:val="24"/>
          <w:lang w:eastAsia="es-ES_tradnl" w:bidi="es-ES"/>
        </w:rPr>
        <w:t>contratos adicionales</w:t>
      </w:r>
      <w:r w:rsidR="002E4DA4" w:rsidRPr="00A42C60">
        <w:rPr>
          <w:rFonts w:ascii="Arial" w:hAnsi="Arial" w:cs="Arial"/>
          <w:bCs/>
          <w:szCs w:val="24"/>
          <w:lang w:eastAsia="es-ES_tradnl" w:bidi="es-ES"/>
        </w:rPr>
        <w:t xml:space="preserve"> a la luz de la ley,</w:t>
      </w:r>
      <w:r w:rsidR="007638FC" w:rsidRPr="00A42C60">
        <w:rPr>
          <w:rFonts w:ascii="Arial" w:hAnsi="Arial" w:cs="Arial"/>
          <w:bCs/>
          <w:szCs w:val="24"/>
          <w:lang w:eastAsia="es-ES_tradnl" w:bidi="es-ES"/>
        </w:rPr>
        <w:t xml:space="preserve"> teniendo en cuenta la posición </w:t>
      </w:r>
      <w:r w:rsidR="002E4DA4" w:rsidRPr="00A42C60">
        <w:rPr>
          <w:rFonts w:ascii="Arial" w:hAnsi="Arial" w:cs="Arial"/>
          <w:bCs/>
          <w:szCs w:val="24"/>
          <w:lang w:eastAsia="es-ES_tradnl" w:bidi="es-ES"/>
        </w:rPr>
        <w:t>de la jurisprudencia del Consejo de Estado</w:t>
      </w:r>
      <w:r w:rsidR="008B06D9" w:rsidRPr="00A42C60">
        <w:rPr>
          <w:rFonts w:ascii="Arial" w:hAnsi="Arial" w:cs="Arial"/>
          <w:bCs/>
          <w:szCs w:val="24"/>
          <w:lang w:eastAsia="es-ES_tradnl" w:bidi="es-ES"/>
        </w:rPr>
        <w:t xml:space="preserve"> y </w:t>
      </w:r>
      <w:r w:rsidR="002E4DA4" w:rsidRPr="00A42C60">
        <w:rPr>
          <w:rFonts w:ascii="Arial" w:hAnsi="Arial" w:cs="Arial"/>
          <w:bCs/>
          <w:szCs w:val="24"/>
          <w:lang w:eastAsia="es-ES_tradnl" w:bidi="es-ES"/>
        </w:rPr>
        <w:t xml:space="preserve">de la Sala de Casación Penal de la Corte Suprema de Justicia </w:t>
      </w:r>
      <w:r w:rsidR="002E4DA4" w:rsidRPr="00A42C60">
        <w:rPr>
          <w:rFonts w:ascii="Arial" w:hAnsi="Arial" w:cs="Arial"/>
          <w:bCs/>
          <w:szCs w:val="24"/>
          <w:lang w:val="es-ES_tradnl" w:eastAsia="es-ES_tradnl" w:bidi="es-ES"/>
        </w:rPr>
        <w:t xml:space="preserve">vigente para el </w:t>
      </w:r>
      <w:r w:rsidR="002E4DA4" w:rsidRPr="00A42C60">
        <w:rPr>
          <w:rFonts w:ascii="Arial" w:hAnsi="Arial" w:cs="Arial"/>
          <w:szCs w:val="24"/>
          <w:lang w:val="es-ES_tradnl" w:eastAsia="es-ES_tradnl" w:bidi="es-ES"/>
        </w:rPr>
        <w:t>momento de los hechos</w:t>
      </w:r>
      <w:r w:rsidR="007638FC" w:rsidRPr="00A42C60">
        <w:rPr>
          <w:rFonts w:ascii="Arial" w:hAnsi="Arial" w:cs="Arial"/>
          <w:szCs w:val="24"/>
          <w:lang w:val="es-ES_tradnl" w:eastAsia="es-ES_tradnl" w:bidi="es-ES"/>
        </w:rPr>
        <w:t xml:space="preserve">, </w:t>
      </w:r>
      <w:r w:rsidR="002E4DA4" w:rsidRPr="00A42C60">
        <w:rPr>
          <w:rFonts w:ascii="Arial" w:hAnsi="Arial" w:cs="Arial"/>
          <w:bCs/>
          <w:szCs w:val="24"/>
          <w:lang w:val="es-ES_tradnl" w:eastAsia="es-ES_tradnl" w:bidi="es-ES"/>
        </w:rPr>
        <w:t>que se remiten al año 2004</w:t>
      </w:r>
      <w:r w:rsidR="008B06D9" w:rsidRPr="00A42C60">
        <w:rPr>
          <w:rFonts w:ascii="Arial" w:hAnsi="Arial" w:cs="Arial"/>
          <w:bCs/>
          <w:szCs w:val="24"/>
          <w:lang w:val="es-ES_tradnl" w:eastAsia="es-ES_tradnl" w:bidi="es-ES"/>
        </w:rPr>
        <w:t xml:space="preserve">. </w:t>
      </w:r>
      <w:r w:rsidR="007638FC" w:rsidRPr="00A42C60">
        <w:rPr>
          <w:rFonts w:ascii="Arial" w:hAnsi="Arial" w:cs="Arial"/>
          <w:bCs/>
          <w:szCs w:val="24"/>
          <w:lang w:val="es-ES_tradnl" w:eastAsia="es-ES_tradnl" w:bidi="es-ES"/>
        </w:rPr>
        <w:t xml:space="preserve">Según lo expuesto en dicha sentencia, </w:t>
      </w:r>
      <w:r w:rsidRPr="00A42C60">
        <w:rPr>
          <w:rFonts w:ascii="Arial" w:hAnsi="Arial" w:cs="Arial"/>
          <w:bCs/>
          <w:szCs w:val="24"/>
          <w:lang w:val="es-ES_tradnl" w:eastAsia="es-ES_tradnl" w:bidi="es-ES"/>
        </w:rPr>
        <w:t>la posición establecida para ese momento</w:t>
      </w:r>
      <w:r w:rsidR="007638FC" w:rsidRPr="00A42C60">
        <w:rPr>
          <w:rFonts w:ascii="Arial" w:hAnsi="Arial" w:cs="Arial"/>
          <w:bCs/>
          <w:szCs w:val="24"/>
          <w:lang w:val="es-ES_tradnl" w:eastAsia="es-ES_tradnl" w:bidi="es-ES"/>
        </w:rPr>
        <w:t xml:space="preserve"> indicaba que</w:t>
      </w:r>
      <w:r w:rsidRPr="00A42C60">
        <w:rPr>
          <w:rFonts w:ascii="Arial" w:hAnsi="Arial" w:cs="Arial"/>
          <w:bCs/>
          <w:szCs w:val="24"/>
          <w:lang w:val="es-ES_tradnl" w:eastAsia="es-ES_tradnl" w:bidi="es-ES"/>
        </w:rPr>
        <w:t xml:space="preserve"> para </w:t>
      </w:r>
      <w:r w:rsidRPr="00A42C60">
        <w:rPr>
          <w:rFonts w:ascii="Arial" w:hAnsi="Arial" w:cs="Arial"/>
          <w:bCs/>
          <w:szCs w:val="24"/>
          <w:lang w:eastAsia="es-ES_tradnl" w:bidi="es-ES"/>
        </w:rPr>
        <w:t>agregar ítems o actividades no pactadas en los contrato a precios unitarios</w:t>
      </w:r>
      <w:r w:rsidR="002E4DA4" w:rsidRPr="00A42C60">
        <w:rPr>
          <w:rFonts w:ascii="Arial" w:hAnsi="Arial" w:cs="Arial"/>
          <w:bCs/>
          <w:szCs w:val="24"/>
          <w:lang w:eastAsia="es-ES_tradnl" w:bidi="es-ES"/>
        </w:rPr>
        <w:t>, implicaba modificar el objeto del contrato</w:t>
      </w:r>
      <w:r w:rsidR="00B27975" w:rsidRPr="00A42C60">
        <w:rPr>
          <w:rFonts w:ascii="Arial" w:hAnsi="Arial" w:cs="Arial"/>
          <w:bCs/>
          <w:szCs w:val="24"/>
          <w:lang w:eastAsia="es-ES_tradnl" w:bidi="es-ES"/>
        </w:rPr>
        <w:t xml:space="preserve"> por lo que era necesario celebrar </w:t>
      </w:r>
      <w:r w:rsidR="002E4DA4" w:rsidRPr="00A42C60">
        <w:rPr>
          <w:rFonts w:ascii="Arial" w:hAnsi="Arial" w:cs="Arial"/>
          <w:bCs/>
          <w:szCs w:val="24"/>
          <w:lang w:eastAsia="es-ES_tradnl" w:bidi="es-ES"/>
        </w:rPr>
        <w:t xml:space="preserve">nuevo contrato denominado </w:t>
      </w:r>
      <w:r w:rsidR="002E4DA4" w:rsidRPr="00A42C60">
        <w:rPr>
          <w:rFonts w:ascii="Arial" w:hAnsi="Arial" w:cs="Arial"/>
          <w:bCs/>
          <w:i/>
          <w:iCs/>
          <w:szCs w:val="24"/>
          <w:lang w:eastAsia="es-ES_tradnl" w:bidi="es-ES"/>
        </w:rPr>
        <w:t>contrato adicional</w:t>
      </w:r>
      <w:r w:rsidRPr="00A42C60">
        <w:rPr>
          <w:rFonts w:ascii="Arial" w:hAnsi="Arial" w:cs="Arial"/>
          <w:bCs/>
          <w:szCs w:val="24"/>
          <w:lang w:eastAsia="es-ES_tradnl" w:bidi="es-ES"/>
        </w:rPr>
        <w:t>.</w:t>
      </w:r>
      <w:r w:rsidR="007638FC" w:rsidRPr="00A42C60">
        <w:rPr>
          <w:rFonts w:ascii="Arial" w:hAnsi="Arial" w:cs="Arial"/>
          <w:bCs/>
          <w:szCs w:val="24"/>
          <w:lang w:eastAsia="es-ES_tradnl" w:bidi="es-ES"/>
        </w:rPr>
        <w:t xml:space="preserve"> </w:t>
      </w:r>
    </w:p>
    <w:p w14:paraId="3B49E3AA" w14:textId="5F3B470C" w:rsidR="00E04EC1" w:rsidRPr="00A42C60" w:rsidRDefault="002E4DA4" w:rsidP="006D44EA">
      <w:pPr>
        <w:spacing w:before="120" w:after="0" w:line="276" w:lineRule="auto"/>
        <w:ind w:firstLine="709"/>
        <w:jc w:val="both"/>
        <w:rPr>
          <w:rFonts w:ascii="Arial" w:hAnsi="Arial" w:cs="Arial"/>
          <w:bCs/>
          <w:szCs w:val="24"/>
          <w:lang w:val="es-MX" w:eastAsia="es-ES_tradnl"/>
        </w:rPr>
      </w:pPr>
      <w:r w:rsidRPr="00A42C60">
        <w:rPr>
          <w:rFonts w:ascii="Arial" w:hAnsi="Arial" w:cs="Arial"/>
          <w:bCs/>
          <w:szCs w:val="24"/>
          <w:lang w:eastAsia="es-ES_tradnl" w:bidi="es-ES"/>
        </w:rPr>
        <w:t xml:space="preserve">Lo anterior se colige de varios </w:t>
      </w:r>
      <w:r w:rsidR="007638FC" w:rsidRPr="00A42C60">
        <w:rPr>
          <w:rFonts w:ascii="Arial" w:hAnsi="Arial" w:cs="Arial"/>
          <w:bCs/>
          <w:szCs w:val="24"/>
          <w:lang w:eastAsia="es-ES_tradnl" w:bidi="es-ES"/>
        </w:rPr>
        <w:t>apartes</w:t>
      </w:r>
      <w:r w:rsidRPr="00A42C60">
        <w:rPr>
          <w:rFonts w:ascii="Arial" w:hAnsi="Arial" w:cs="Arial"/>
          <w:bCs/>
          <w:szCs w:val="24"/>
          <w:lang w:eastAsia="es-ES_tradnl" w:bidi="es-ES"/>
        </w:rPr>
        <w:t xml:space="preserve"> de la sentencia, principalmente lo señalado en el </w:t>
      </w:r>
      <w:r w:rsidR="007638FC" w:rsidRPr="00A42C60">
        <w:rPr>
          <w:rFonts w:ascii="Arial" w:hAnsi="Arial" w:cs="Arial"/>
          <w:bCs/>
          <w:szCs w:val="24"/>
          <w:lang w:eastAsia="es-ES_tradnl" w:bidi="es-ES"/>
        </w:rPr>
        <w:t>numeral</w:t>
      </w:r>
      <w:r w:rsidRPr="00A42C60">
        <w:rPr>
          <w:rFonts w:ascii="Arial" w:hAnsi="Arial" w:cs="Arial"/>
          <w:bCs/>
          <w:szCs w:val="24"/>
          <w:lang w:eastAsia="es-ES_tradnl" w:bidi="es-ES"/>
        </w:rPr>
        <w:t xml:space="preserve"> 306 que indica que </w:t>
      </w:r>
      <w:r w:rsidR="007638FC" w:rsidRPr="00A42C60">
        <w:rPr>
          <w:rFonts w:ascii="Arial" w:hAnsi="Arial" w:cs="Arial"/>
          <w:bCs/>
          <w:szCs w:val="24"/>
          <w:lang w:val="es-MX" w:eastAsia="es-ES_tradnl"/>
        </w:rPr>
        <w:t>«</w:t>
      </w:r>
      <w:r w:rsidRPr="00A42C60">
        <w:rPr>
          <w:rFonts w:ascii="Arial" w:hAnsi="Arial" w:cs="Arial"/>
          <w:bCs/>
          <w:szCs w:val="24"/>
          <w:lang w:eastAsia="es-ES_tradnl" w:bidi="es-ES"/>
        </w:rPr>
        <w:t xml:space="preserve">La Sala reconoce que en la jurisprudencia y la doctrina han existido diferentes posturas sobre si el objeto de un contrato de obra puede o no ser reformado mediante una simple adición o si ello, por el contrato, exige la celebración de un nuevo contrato producto de un proceso de selección y contratación propio. Ello quedó evidenciado al hacer el recuento jurisprudencial y doctrinal en la materia, en el acápite K) de esta providencia. </w:t>
      </w:r>
      <w:r w:rsidRPr="00A42C60">
        <w:rPr>
          <w:rFonts w:ascii="Arial" w:hAnsi="Arial" w:cs="Arial"/>
          <w:bCs/>
          <w:i/>
          <w:iCs/>
          <w:szCs w:val="24"/>
          <w:lang w:eastAsia="es-ES_tradnl" w:bidi="es-ES"/>
        </w:rPr>
        <w:t>Sin embargo, la solución del caso sub examine, exige determinar cuál era el estado del arte, al momento de los hechos,</w:t>
      </w:r>
      <w:r w:rsidRPr="00A42C60">
        <w:rPr>
          <w:rFonts w:ascii="Arial" w:hAnsi="Arial" w:cs="Arial"/>
          <w:bCs/>
          <w:szCs w:val="24"/>
          <w:lang w:eastAsia="es-ES_tradnl" w:bidi="es-ES"/>
        </w:rPr>
        <w:t xml:space="preserve"> es decir, para el 30 de agosto de 2004, fecha en la que el demandante suscribió el adicional No.2.</w:t>
      </w:r>
      <w:r w:rsidR="007638FC" w:rsidRPr="00A42C60">
        <w:rPr>
          <w:rFonts w:ascii="Arial" w:hAnsi="Arial" w:cs="Arial"/>
          <w:bCs/>
          <w:szCs w:val="24"/>
          <w:lang w:val="es-MX" w:eastAsia="es-ES_tradnl"/>
        </w:rPr>
        <w:t>»</w:t>
      </w:r>
      <w:r w:rsidR="000F2930" w:rsidRPr="00A42C60">
        <w:rPr>
          <w:rFonts w:ascii="Arial" w:hAnsi="Arial" w:cs="Arial"/>
          <w:bCs/>
          <w:szCs w:val="24"/>
          <w:lang w:val="es-MX" w:eastAsia="es-ES_tradnl"/>
        </w:rPr>
        <w:t xml:space="preserve"> (</w:t>
      </w:r>
      <w:r w:rsidR="00783687" w:rsidRPr="00A42C60">
        <w:rPr>
          <w:rFonts w:ascii="Arial" w:hAnsi="Arial" w:cs="Arial"/>
          <w:bCs/>
          <w:szCs w:val="24"/>
          <w:lang w:val="es-MX" w:eastAsia="es-ES_tradnl"/>
        </w:rPr>
        <w:t>Énfasis</w:t>
      </w:r>
      <w:r w:rsidR="000F2930" w:rsidRPr="00A42C60">
        <w:rPr>
          <w:rFonts w:ascii="Arial" w:hAnsi="Arial" w:cs="Arial"/>
          <w:bCs/>
          <w:szCs w:val="24"/>
          <w:lang w:val="es-MX" w:eastAsia="es-ES_tradnl"/>
        </w:rPr>
        <w:t xml:space="preserve"> p</w:t>
      </w:r>
      <w:r w:rsidR="00783687" w:rsidRPr="00A42C60">
        <w:rPr>
          <w:rFonts w:ascii="Arial" w:hAnsi="Arial" w:cs="Arial"/>
          <w:bCs/>
          <w:szCs w:val="24"/>
          <w:lang w:val="es-MX" w:eastAsia="es-ES_tradnl"/>
        </w:rPr>
        <w:t>or</w:t>
      </w:r>
      <w:r w:rsidR="000F2930" w:rsidRPr="00A42C60">
        <w:rPr>
          <w:rFonts w:ascii="Arial" w:hAnsi="Arial" w:cs="Arial"/>
          <w:bCs/>
          <w:szCs w:val="24"/>
          <w:lang w:val="es-MX" w:eastAsia="es-ES_tradnl"/>
        </w:rPr>
        <w:t xml:space="preserve"> fuera de texto)</w:t>
      </w:r>
      <w:r w:rsidR="007638FC" w:rsidRPr="00A42C60">
        <w:rPr>
          <w:rFonts w:ascii="Arial" w:hAnsi="Arial" w:cs="Arial"/>
          <w:bCs/>
          <w:szCs w:val="24"/>
          <w:lang w:val="es-MX" w:eastAsia="es-ES_tradnl"/>
        </w:rPr>
        <w:t xml:space="preserve">. </w:t>
      </w:r>
    </w:p>
    <w:p w14:paraId="17F675AA" w14:textId="79D84BBD" w:rsidR="002E4DA4" w:rsidRPr="00A42C60" w:rsidRDefault="000F2930" w:rsidP="006D44EA">
      <w:pPr>
        <w:spacing w:before="120" w:after="0" w:line="276" w:lineRule="auto"/>
        <w:ind w:firstLine="709"/>
        <w:jc w:val="both"/>
        <w:rPr>
          <w:rFonts w:ascii="Arial" w:hAnsi="Arial" w:cs="Arial"/>
          <w:bCs/>
          <w:szCs w:val="24"/>
          <w:lang w:eastAsia="es-ES_tradnl" w:bidi="es-ES"/>
        </w:rPr>
      </w:pPr>
      <w:r w:rsidRPr="00A42C60">
        <w:rPr>
          <w:rFonts w:ascii="Arial" w:hAnsi="Arial" w:cs="Arial"/>
          <w:bCs/>
          <w:szCs w:val="24"/>
          <w:lang w:val="es-MX" w:eastAsia="es-ES_tradnl"/>
        </w:rPr>
        <w:t>Asimismo, en el numeral 307 de la sentencia se señala que «</w:t>
      </w:r>
      <w:r w:rsidRPr="00A42C60">
        <w:rPr>
          <w:rFonts w:ascii="Arial" w:hAnsi="Arial" w:cs="Arial"/>
          <w:bCs/>
          <w:i/>
          <w:iCs/>
          <w:szCs w:val="24"/>
          <w:lang w:val="es-MX" w:eastAsia="es-ES_tradnl"/>
        </w:rPr>
        <w:t>para el momento de los hechos,</w:t>
      </w:r>
      <w:r w:rsidRPr="00A42C60">
        <w:rPr>
          <w:rFonts w:ascii="Arial" w:hAnsi="Arial" w:cs="Arial"/>
          <w:bCs/>
          <w:szCs w:val="24"/>
          <w:lang w:val="es-MX" w:eastAsia="es-ES_tradnl"/>
        </w:rPr>
        <w:t xml:space="preserve"> en la jurisprudencia del Consejo de Estado ya existía claridad sobre que (i) pactar nuevos ítems, en los contratos a precios unitarios, representa una modificación del objeto contractual; (ii) la modificación del objeto es una modificación de fondo y, no accesoria, del contrato; por lo que (iii) debe formalizarse mediante un nuevo contrato». </w:t>
      </w:r>
      <w:r w:rsidR="00783687" w:rsidRPr="00A42C60">
        <w:rPr>
          <w:rFonts w:ascii="Arial" w:hAnsi="Arial" w:cs="Arial"/>
          <w:bCs/>
          <w:szCs w:val="24"/>
          <w:lang w:val="es-MX" w:eastAsia="es-ES_tradnl"/>
        </w:rPr>
        <w:lastRenderedPageBreak/>
        <w:t xml:space="preserve">(Énfasis por fuera de texto). </w:t>
      </w:r>
      <w:r w:rsidR="00B27975" w:rsidRPr="00A42C60">
        <w:rPr>
          <w:rFonts w:ascii="Arial" w:hAnsi="Arial" w:cs="Arial"/>
          <w:bCs/>
          <w:szCs w:val="24"/>
          <w:lang w:val="es-MX" w:eastAsia="es-ES_tradnl"/>
        </w:rPr>
        <w:t>De igual manera, el numeral 349 reitera que «</w:t>
      </w:r>
      <w:r w:rsidR="00B27975" w:rsidRPr="00A42C60">
        <w:rPr>
          <w:rFonts w:ascii="Arial" w:hAnsi="Arial" w:cs="Arial"/>
          <w:bCs/>
          <w:i/>
          <w:iCs/>
          <w:szCs w:val="24"/>
          <w:lang w:val="es-MX" w:eastAsia="es-ES_tradnl"/>
        </w:rPr>
        <w:t>para el mes de agosto de 2004</w:t>
      </w:r>
      <w:r w:rsidR="00B27975" w:rsidRPr="00A42C60">
        <w:rPr>
          <w:rFonts w:ascii="Arial" w:hAnsi="Arial" w:cs="Arial"/>
          <w:b/>
          <w:i/>
          <w:iCs/>
          <w:szCs w:val="24"/>
          <w:lang w:val="es-MX" w:eastAsia="es-ES_tradnl"/>
        </w:rPr>
        <w:t>,</w:t>
      </w:r>
      <w:r w:rsidR="00B27975" w:rsidRPr="00A42C60">
        <w:rPr>
          <w:rFonts w:ascii="Arial" w:hAnsi="Arial" w:cs="Arial"/>
          <w:bCs/>
          <w:szCs w:val="24"/>
          <w:lang w:val="es-MX" w:eastAsia="es-ES_tradnl"/>
        </w:rPr>
        <w:t xml:space="preserve"> fecha en la que el demandante suscribió el Adicional No. 2, la jurisprudencia del Consejo de Estado ya había señalado que, en los contratos pactados por el sistema de precios unitarios agregar ítems o actividades no pactados en el contrato, implica modificar el objeto del contrato, por lo que ello debía hacerse mediante nuevo contrato denominado “contrato adicional”».</w:t>
      </w:r>
      <w:r w:rsidR="00E04EC1" w:rsidRPr="00A42C60">
        <w:rPr>
          <w:rFonts w:ascii="Arial" w:hAnsi="Arial" w:cs="Arial"/>
          <w:bCs/>
          <w:szCs w:val="24"/>
          <w:lang w:val="es-MX" w:eastAsia="es-ES_tradnl"/>
        </w:rPr>
        <w:t xml:space="preserve"> </w:t>
      </w:r>
      <w:r w:rsidR="00783687" w:rsidRPr="00A42C60">
        <w:rPr>
          <w:rFonts w:ascii="Arial" w:hAnsi="Arial" w:cs="Arial"/>
          <w:bCs/>
          <w:szCs w:val="24"/>
          <w:lang w:val="es-MX" w:eastAsia="es-ES_tradnl"/>
        </w:rPr>
        <w:t>(Énfasis por fuera de texto).</w:t>
      </w:r>
    </w:p>
    <w:p w14:paraId="62C2CD26" w14:textId="7C394903" w:rsidR="00B27975" w:rsidRPr="00A42C60" w:rsidRDefault="002E4DA4" w:rsidP="00B27975">
      <w:pPr>
        <w:spacing w:before="120" w:after="0" w:line="276" w:lineRule="auto"/>
        <w:ind w:firstLine="709"/>
        <w:jc w:val="both"/>
        <w:rPr>
          <w:rFonts w:ascii="Arial" w:hAnsi="Arial" w:cs="Arial"/>
          <w:bCs/>
          <w:szCs w:val="24"/>
          <w:lang w:val="es-ES_tradnl" w:eastAsia="es-ES_tradnl" w:bidi="es-ES"/>
        </w:rPr>
      </w:pPr>
      <w:r w:rsidRPr="00A42C60">
        <w:rPr>
          <w:rFonts w:ascii="Arial" w:hAnsi="Arial" w:cs="Arial"/>
          <w:bCs/>
          <w:szCs w:val="24"/>
          <w:lang w:val="es-ES_tradnl" w:eastAsia="es-ES_tradnl" w:bidi="es-ES"/>
        </w:rPr>
        <w:t xml:space="preserve">Así las cosas, es posible </w:t>
      </w:r>
      <w:r w:rsidR="00B27975" w:rsidRPr="00A42C60">
        <w:rPr>
          <w:rFonts w:ascii="Arial" w:hAnsi="Arial" w:cs="Arial"/>
          <w:bCs/>
          <w:szCs w:val="24"/>
          <w:lang w:val="es-ES_tradnl" w:eastAsia="es-ES_tradnl" w:bidi="es-ES"/>
        </w:rPr>
        <w:t xml:space="preserve">colegir </w:t>
      </w:r>
      <w:r w:rsidRPr="00A42C60">
        <w:rPr>
          <w:rFonts w:ascii="Arial" w:hAnsi="Arial" w:cs="Arial"/>
          <w:bCs/>
          <w:szCs w:val="24"/>
          <w:lang w:val="es-ES_tradnl" w:eastAsia="es-ES_tradnl" w:bidi="es-ES"/>
        </w:rPr>
        <w:t xml:space="preserve">que la interpretación que realiza la </w:t>
      </w:r>
      <w:r w:rsidR="008E77AB">
        <w:rPr>
          <w:rFonts w:ascii="Arial" w:hAnsi="Arial" w:cs="Arial"/>
          <w:bCs/>
          <w:szCs w:val="24"/>
          <w:lang w:val="es-ES_tradnl" w:eastAsia="es-ES_tradnl" w:bidi="es-ES"/>
        </w:rPr>
        <w:t>S</w:t>
      </w:r>
      <w:r w:rsidRPr="00A42C60">
        <w:rPr>
          <w:rFonts w:ascii="Arial" w:hAnsi="Arial" w:cs="Arial"/>
          <w:bCs/>
          <w:szCs w:val="24"/>
          <w:lang w:val="es-ES_tradnl" w:eastAsia="es-ES_tradnl" w:bidi="es-ES"/>
        </w:rPr>
        <w:t>entencia</w:t>
      </w:r>
      <w:r w:rsidR="00B27975" w:rsidRPr="00A42C60">
        <w:rPr>
          <w:rFonts w:ascii="Arial" w:hAnsi="Arial" w:cs="Arial"/>
          <w:bCs/>
          <w:szCs w:val="24"/>
          <w:lang w:val="es-ES_tradnl" w:eastAsia="es-ES_tradnl" w:bidi="es-ES"/>
        </w:rPr>
        <w:t xml:space="preserve"> SU 214 de</w:t>
      </w:r>
      <w:r w:rsidR="008E77AB">
        <w:rPr>
          <w:rFonts w:ascii="Arial" w:hAnsi="Arial" w:cs="Arial"/>
          <w:bCs/>
          <w:szCs w:val="24"/>
          <w:lang w:val="es-ES_tradnl" w:eastAsia="es-ES_tradnl" w:bidi="es-ES"/>
        </w:rPr>
        <w:t>l 16 de junio de</w:t>
      </w:r>
      <w:r w:rsidR="00B27975" w:rsidRPr="00A42C60">
        <w:rPr>
          <w:rFonts w:ascii="Arial" w:hAnsi="Arial" w:cs="Arial"/>
          <w:bCs/>
          <w:szCs w:val="24"/>
          <w:lang w:val="es-ES_tradnl" w:eastAsia="es-ES_tradnl" w:bidi="es-ES"/>
        </w:rPr>
        <w:t xml:space="preserve"> 2022 </w:t>
      </w:r>
      <w:r w:rsidRPr="00A42C60">
        <w:rPr>
          <w:rFonts w:ascii="Arial" w:hAnsi="Arial" w:cs="Arial"/>
          <w:bCs/>
          <w:szCs w:val="24"/>
          <w:lang w:val="es-ES_tradnl" w:eastAsia="es-ES_tradnl" w:bidi="es-ES"/>
        </w:rPr>
        <w:t>en relación con la celebración de un contrato nuevo cuando se pretenda adicionar ítems o actividades al contrato, debe entenderse en el contexto histórico</w:t>
      </w:r>
      <w:r w:rsidR="00B27975" w:rsidRPr="00A42C60">
        <w:rPr>
          <w:rFonts w:ascii="Arial" w:hAnsi="Arial" w:cs="Arial"/>
          <w:bCs/>
          <w:szCs w:val="24"/>
          <w:lang w:val="es-ES_tradnl" w:eastAsia="es-ES_tradnl" w:bidi="es-ES"/>
        </w:rPr>
        <w:t xml:space="preserve"> del momento de los hechos</w:t>
      </w:r>
      <w:r w:rsidRPr="00A42C60">
        <w:rPr>
          <w:rFonts w:ascii="Arial" w:hAnsi="Arial" w:cs="Arial"/>
          <w:bCs/>
          <w:szCs w:val="24"/>
          <w:lang w:val="es-ES_tradnl" w:eastAsia="es-ES_tradnl" w:bidi="es-ES"/>
        </w:rPr>
        <w:t>, es</w:t>
      </w:r>
      <w:r w:rsidR="00B27975" w:rsidRPr="00A42C60">
        <w:rPr>
          <w:rFonts w:ascii="Arial" w:hAnsi="Arial" w:cs="Arial"/>
          <w:bCs/>
          <w:szCs w:val="24"/>
          <w:lang w:val="es-ES_tradnl" w:eastAsia="es-ES_tradnl" w:bidi="es-ES"/>
        </w:rPr>
        <w:t xml:space="preserve"> decir</w:t>
      </w:r>
      <w:r w:rsidR="00E04EC1" w:rsidRPr="00A42C60">
        <w:rPr>
          <w:rFonts w:ascii="Arial" w:hAnsi="Arial" w:cs="Arial"/>
          <w:bCs/>
          <w:szCs w:val="24"/>
          <w:lang w:val="es-ES_tradnl" w:eastAsia="es-ES_tradnl" w:bidi="es-ES"/>
        </w:rPr>
        <w:t>,</w:t>
      </w:r>
      <w:r w:rsidR="00B27975" w:rsidRPr="00A42C60">
        <w:rPr>
          <w:rFonts w:ascii="Arial" w:hAnsi="Arial" w:cs="Arial"/>
          <w:bCs/>
          <w:szCs w:val="24"/>
          <w:lang w:val="es-ES_tradnl" w:eastAsia="es-ES_tradnl" w:bidi="es-ES"/>
        </w:rPr>
        <w:t xml:space="preserve"> d</w:t>
      </w:r>
      <w:r w:rsidRPr="00A42C60">
        <w:rPr>
          <w:rFonts w:ascii="Arial" w:hAnsi="Arial" w:cs="Arial"/>
          <w:bCs/>
          <w:szCs w:val="24"/>
          <w:lang w:val="es-ES_tradnl" w:eastAsia="es-ES_tradnl" w:bidi="es-ES"/>
        </w:rPr>
        <w:t>el año 2004</w:t>
      </w:r>
      <w:r w:rsidR="00B27975" w:rsidRPr="00A42C60">
        <w:rPr>
          <w:rFonts w:ascii="Arial" w:hAnsi="Arial" w:cs="Arial"/>
          <w:bCs/>
          <w:szCs w:val="24"/>
          <w:lang w:val="es-ES_tradnl" w:eastAsia="es-ES_tradnl" w:bidi="es-ES"/>
        </w:rPr>
        <w:t>,</w:t>
      </w:r>
      <w:r w:rsidR="00E04EC1" w:rsidRPr="00A42C60">
        <w:rPr>
          <w:rFonts w:ascii="Arial" w:hAnsi="Arial" w:cs="Arial"/>
          <w:bCs/>
          <w:szCs w:val="24"/>
          <w:lang w:val="es-ES_tradnl" w:eastAsia="es-ES_tradnl" w:bidi="es-ES"/>
        </w:rPr>
        <w:t xml:space="preserve"> época </w:t>
      </w:r>
      <w:r w:rsidRPr="00A42C60">
        <w:rPr>
          <w:rFonts w:ascii="Arial" w:hAnsi="Arial" w:cs="Arial"/>
          <w:bCs/>
          <w:szCs w:val="24"/>
          <w:lang w:val="es-ES_tradnl" w:eastAsia="es-ES_tradnl" w:bidi="es-ES"/>
        </w:rPr>
        <w:t xml:space="preserve">en </w:t>
      </w:r>
      <w:r w:rsidR="00B27975" w:rsidRPr="00A42C60">
        <w:rPr>
          <w:rFonts w:ascii="Arial" w:hAnsi="Arial" w:cs="Arial"/>
          <w:bCs/>
          <w:szCs w:val="24"/>
          <w:lang w:val="es-ES_tradnl" w:eastAsia="es-ES_tradnl" w:bidi="es-ES"/>
        </w:rPr>
        <w:t>la</w:t>
      </w:r>
      <w:r w:rsidRPr="00A42C60">
        <w:rPr>
          <w:rFonts w:ascii="Arial" w:hAnsi="Arial" w:cs="Arial"/>
          <w:bCs/>
          <w:szCs w:val="24"/>
          <w:lang w:val="es-ES_tradnl" w:eastAsia="es-ES_tradnl" w:bidi="es-ES"/>
        </w:rPr>
        <w:t xml:space="preserve"> que la jurisprudencia del C</w:t>
      </w:r>
      <w:r w:rsidR="00B27975" w:rsidRPr="00A42C60">
        <w:rPr>
          <w:rFonts w:ascii="Arial" w:hAnsi="Arial" w:cs="Arial"/>
          <w:bCs/>
          <w:szCs w:val="24"/>
          <w:lang w:val="es-ES_tradnl" w:eastAsia="es-ES_tradnl" w:bidi="es-ES"/>
        </w:rPr>
        <w:t>onsejo de Estado</w:t>
      </w:r>
      <w:r w:rsidRPr="00A42C60">
        <w:rPr>
          <w:rFonts w:ascii="Arial" w:hAnsi="Arial" w:cs="Arial"/>
          <w:bCs/>
          <w:szCs w:val="24"/>
          <w:lang w:val="es-ES_tradnl" w:eastAsia="es-ES_tradnl" w:bidi="es-ES"/>
        </w:rPr>
        <w:t xml:space="preserve"> y de la</w:t>
      </w:r>
      <w:r w:rsidR="00B27975" w:rsidRPr="00A42C60">
        <w:rPr>
          <w:rFonts w:ascii="Arial" w:hAnsi="Arial" w:cs="Arial"/>
          <w:bCs/>
          <w:szCs w:val="24"/>
          <w:lang w:eastAsia="es-ES_tradnl" w:bidi="es-ES"/>
        </w:rPr>
        <w:t xml:space="preserve"> Corte Suprema de Justicia sostenían </w:t>
      </w:r>
      <w:r w:rsidRPr="00A42C60">
        <w:rPr>
          <w:rFonts w:ascii="Arial" w:hAnsi="Arial" w:cs="Arial"/>
          <w:bCs/>
          <w:szCs w:val="24"/>
          <w:lang w:val="es-ES_tradnl" w:eastAsia="es-ES_tradnl" w:bidi="es-ES"/>
        </w:rPr>
        <w:t>la necesidad de suscribir un contrato nuevo en estos casos</w:t>
      </w:r>
      <w:r w:rsidR="00E04EC1" w:rsidRPr="00A42C60">
        <w:rPr>
          <w:rFonts w:ascii="Arial" w:hAnsi="Arial" w:cs="Arial"/>
          <w:bCs/>
          <w:szCs w:val="24"/>
          <w:lang w:val="es-ES_tradnl" w:eastAsia="es-ES_tradnl" w:bidi="es-ES"/>
        </w:rPr>
        <w:t>. Lo anterior,</w:t>
      </w:r>
      <w:r w:rsidRPr="00A42C60">
        <w:rPr>
          <w:rFonts w:ascii="Arial" w:hAnsi="Arial" w:cs="Arial"/>
          <w:bCs/>
          <w:szCs w:val="24"/>
          <w:lang w:val="es-ES_tradnl" w:eastAsia="es-ES_tradnl" w:bidi="es-ES"/>
        </w:rPr>
        <w:t xml:space="preserve"> sin</w:t>
      </w:r>
      <w:r w:rsidR="00B27975" w:rsidRPr="00A42C60">
        <w:rPr>
          <w:rFonts w:ascii="Arial" w:hAnsi="Arial" w:cs="Arial"/>
          <w:bCs/>
          <w:szCs w:val="24"/>
          <w:lang w:val="es-ES_tradnl" w:eastAsia="es-ES_tradnl" w:bidi="es-ES"/>
        </w:rPr>
        <w:t xml:space="preserve"> </w:t>
      </w:r>
      <w:r w:rsidRPr="00A42C60">
        <w:rPr>
          <w:rFonts w:ascii="Arial" w:hAnsi="Arial" w:cs="Arial"/>
          <w:bCs/>
          <w:szCs w:val="24"/>
          <w:lang w:val="es-ES_tradnl" w:eastAsia="es-ES_tradnl" w:bidi="es-ES"/>
        </w:rPr>
        <w:t xml:space="preserve">desconocer la </w:t>
      </w:r>
      <w:r w:rsidR="00783687" w:rsidRPr="00A42C60">
        <w:rPr>
          <w:rFonts w:ascii="Arial" w:hAnsi="Arial" w:cs="Arial"/>
          <w:bCs/>
          <w:szCs w:val="24"/>
          <w:lang w:val="es-ES_tradnl" w:eastAsia="es-ES_tradnl" w:bidi="es-ES"/>
        </w:rPr>
        <w:t>posición</w:t>
      </w:r>
      <w:r w:rsidRPr="00A42C60">
        <w:rPr>
          <w:rFonts w:ascii="Arial" w:hAnsi="Arial" w:cs="Arial"/>
          <w:bCs/>
          <w:szCs w:val="24"/>
          <w:lang w:val="es-ES_tradnl" w:eastAsia="es-ES_tradnl" w:bidi="es-ES"/>
        </w:rPr>
        <w:t xml:space="preserve"> actual </w:t>
      </w:r>
      <w:r w:rsidR="00783687" w:rsidRPr="00A42C60">
        <w:rPr>
          <w:rFonts w:ascii="Arial" w:hAnsi="Arial" w:cs="Arial"/>
          <w:bCs/>
          <w:szCs w:val="24"/>
          <w:lang w:val="es-ES_tradnl" w:eastAsia="es-ES_tradnl" w:bidi="es-ES"/>
        </w:rPr>
        <w:t>de</w:t>
      </w:r>
      <w:r w:rsidRPr="00A42C60">
        <w:rPr>
          <w:rFonts w:ascii="Arial" w:hAnsi="Arial" w:cs="Arial"/>
          <w:bCs/>
          <w:szCs w:val="24"/>
          <w:lang w:val="es-ES_tradnl" w:eastAsia="es-ES_tradnl" w:bidi="es-ES"/>
        </w:rPr>
        <w:t xml:space="preserve"> la materia</w:t>
      </w:r>
      <w:r w:rsidR="00E04EC1" w:rsidRPr="00A42C60">
        <w:rPr>
          <w:rFonts w:ascii="Arial" w:hAnsi="Arial" w:cs="Arial"/>
          <w:bCs/>
          <w:szCs w:val="24"/>
          <w:lang w:val="es-ES_tradnl" w:eastAsia="es-ES_tradnl" w:bidi="es-ES"/>
        </w:rPr>
        <w:t xml:space="preserve"> </w:t>
      </w:r>
      <w:r w:rsidR="00783687" w:rsidRPr="00A42C60">
        <w:rPr>
          <w:rFonts w:ascii="Arial" w:hAnsi="Arial" w:cs="Arial"/>
          <w:bCs/>
          <w:szCs w:val="24"/>
          <w:lang w:val="es-ES_tradnl" w:eastAsia="es-ES_tradnl" w:bidi="es-ES"/>
        </w:rPr>
        <w:t>en la jurisprudencia según la cual</w:t>
      </w:r>
      <w:r w:rsidR="00AE6D58" w:rsidRPr="00A42C60">
        <w:rPr>
          <w:rFonts w:ascii="Arial" w:hAnsi="Arial" w:cs="Arial"/>
          <w:bCs/>
          <w:szCs w:val="24"/>
          <w:lang w:val="es-ES_tradnl" w:eastAsia="es-ES_tradnl" w:bidi="es-ES"/>
        </w:rPr>
        <w:t>, como se explicó,</w:t>
      </w:r>
      <w:r w:rsidR="00783687" w:rsidRPr="00A42C60">
        <w:rPr>
          <w:rFonts w:ascii="Arial" w:hAnsi="Arial" w:cs="Arial"/>
          <w:bCs/>
          <w:szCs w:val="24"/>
          <w:lang w:val="es-ES_tradnl" w:eastAsia="es-ES_tradnl" w:bidi="es-ES"/>
        </w:rPr>
        <w:t xml:space="preserve"> </w:t>
      </w:r>
      <w:r w:rsidR="00E04EC1" w:rsidRPr="00A42C60">
        <w:rPr>
          <w:rFonts w:ascii="Arial" w:hAnsi="Arial" w:cs="Arial"/>
          <w:bCs/>
          <w:szCs w:val="24"/>
          <w:lang w:val="es-ES_tradnl" w:eastAsia="es-ES_tradnl" w:bidi="es-ES"/>
        </w:rPr>
        <w:t xml:space="preserve">es procedente las modificaciones del contrato </w:t>
      </w:r>
      <w:r w:rsidR="00AE6D58" w:rsidRPr="00A42C60">
        <w:rPr>
          <w:rFonts w:ascii="Arial" w:hAnsi="Arial" w:cs="Arial"/>
          <w:szCs w:val="24"/>
          <w:lang w:val="es-ES_tradnl" w:eastAsia="es-ES_tradnl"/>
        </w:rPr>
        <w:t xml:space="preserve">para ampliar las prestaciones </w:t>
      </w:r>
      <w:r w:rsidR="00AE6D58" w:rsidRPr="00A42C60">
        <w:rPr>
          <w:rFonts w:ascii="Arial" w:hAnsi="Arial" w:cs="Arial"/>
          <w:bCs/>
          <w:szCs w:val="24"/>
          <w:lang w:val="es-ES_tradnl" w:eastAsia="es-ES_tradnl" w:bidi="es-ES"/>
        </w:rPr>
        <w:t xml:space="preserve">contractuales, mediante la ejecución de nuevos ítems o actividades </w:t>
      </w:r>
      <w:r w:rsidR="00E04EC1" w:rsidRPr="00A42C60">
        <w:rPr>
          <w:rFonts w:ascii="Arial" w:hAnsi="Arial" w:cs="Arial"/>
          <w:bCs/>
          <w:szCs w:val="24"/>
          <w:lang w:val="es-ES_tradnl" w:eastAsia="es-ES_tradnl" w:bidi="es-ES"/>
        </w:rPr>
        <w:t xml:space="preserve">siempre que </w:t>
      </w:r>
      <w:r w:rsidR="00783687" w:rsidRPr="00A42C60">
        <w:rPr>
          <w:rFonts w:ascii="Arial" w:hAnsi="Arial" w:cs="Arial"/>
          <w:bCs/>
          <w:szCs w:val="24"/>
          <w:lang w:val="es-ES_tradnl" w:eastAsia="es-ES_tradnl" w:bidi="es-ES"/>
        </w:rPr>
        <w:t>no se afecté el núcleo esencial del objeto</w:t>
      </w:r>
      <w:r w:rsidR="00AE6D58" w:rsidRPr="00A42C60">
        <w:rPr>
          <w:rFonts w:ascii="Arial" w:hAnsi="Arial" w:cs="Arial"/>
          <w:bCs/>
          <w:szCs w:val="24"/>
          <w:lang w:val="es-ES_tradnl" w:eastAsia="es-ES_tradnl" w:bidi="es-ES"/>
        </w:rPr>
        <w:t xml:space="preserve"> y teniendo en cuenta las limitaciones sobre el particular. </w:t>
      </w:r>
    </w:p>
    <w:p w14:paraId="317D76AB" w14:textId="3CB2E137" w:rsidR="003A053B" w:rsidRPr="00A42C60" w:rsidRDefault="002E4DA4" w:rsidP="00B27975">
      <w:pPr>
        <w:spacing w:before="120" w:after="0" w:line="276" w:lineRule="auto"/>
        <w:ind w:firstLine="709"/>
        <w:jc w:val="both"/>
        <w:rPr>
          <w:rFonts w:ascii="Arial" w:hAnsi="Arial" w:cs="Arial"/>
          <w:bCs/>
          <w:szCs w:val="24"/>
          <w:lang w:val="es-ES_tradnl" w:eastAsia="es-ES_tradnl" w:bidi="es-ES"/>
        </w:rPr>
      </w:pPr>
      <w:r w:rsidRPr="00A42C60">
        <w:rPr>
          <w:rFonts w:ascii="Arial" w:hAnsi="Arial" w:cs="Arial"/>
          <w:bCs/>
          <w:szCs w:val="24"/>
          <w:lang w:val="es-ES_tradnl" w:eastAsia="es-ES_tradnl" w:bidi="es-ES"/>
        </w:rPr>
        <w:t xml:space="preserve">Además, </w:t>
      </w:r>
      <w:r w:rsidR="00EC1532" w:rsidRPr="00A42C60">
        <w:rPr>
          <w:rFonts w:ascii="Arial" w:hAnsi="Arial" w:cs="Arial"/>
          <w:bCs/>
          <w:szCs w:val="24"/>
          <w:lang w:val="es-ES_tradnl" w:eastAsia="es-ES_tradnl" w:bidi="es-ES"/>
        </w:rPr>
        <w:t>sin perjuicio de otro análisis válido, se considera</w:t>
      </w:r>
      <w:r w:rsidR="00B27975" w:rsidRPr="00A42C60">
        <w:rPr>
          <w:rFonts w:ascii="Arial" w:hAnsi="Arial" w:cs="Arial"/>
          <w:bCs/>
          <w:szCs w:val="24"/>
          <w:lang w:val="es-ES_tradnl" w:eastAsia="es-ES_tradnl" w:bidi="es-ES"/>
        </w:rPr>
        <w:t xml:space="preserve"> que </w:t>
      </w:r>
      <w:r w:rsidRPr="00A42C60">
        <w:rPr>
          <w:rFonts w:ascii="Arial" w:hAnsi="Arial" w:cs="Arial"/>
          <w:bCs/>
          <w:szCs w:val="24"/>
          <w:lang w:val="es-ES_tradnl" w:eastAsia="es-ES_tradnl" w:bidi="es-ES"/>
        </w:rPr>
        <w:t xml:space="preserve">la unificación de la </w:t>
      </w:r>
      <w:r w:rsidR="008E77AB">
        <w:rPr>
          <w:rFonts w:ascii="Arial" w:hAnsi="Arial" w:cs="Arial"/>
          <w:bCs/>
          <w:szCs w:val="24"/>
          <w:lang w:val="es-ES_tradnl" w:eastAsia="es-ES_tradnl" w:bidi="es-ES"/>
        </w:rPr>
        <w:t>S</w:t>
      </w:r>
      <w:r w:rsidRPr="00A42C60">
        <w:rPr>
          <w:rFonts w:ascii="Arial" w:hAnsi="Arial" w:cs="Arial"/>
          <w:bCs/>
          <w:szCs w:val="24"/>
          <w:lang w:val="es-ES_tradnl" w:eastAsia="es-ES_tradnl" w:bidi="es-ES"/>
        </w:rPr>
        <w:t xml:space="preserve">entencia </w:t>
      </w:r>
      <w:r w:rsidR="00780B99" w:rsidRPr="00A42C60">
        <w:rPr>
          <w:rFonts w:ascii="Arial" w:hAnsi="Arial" w:cs="Arial"/>
          <w:bCs/>
          <w:szCs w:val="24"/>
          <w:lang w:val="es-ES_tradnl" w:eastAsia="es-ES_tradnl" w:bidi="es-ES"/>
        </w:rPr>
        <w:t>SU 214 de</w:t>
      </w:r>
      <w:r w:rsidR="00BF136A">
        <w:rPr>
          <w:rFonts w:ascii="Arial" w:hAnsi="Arial" w:cs="Arial"/>
          <w:bCs/>
          <w:szCs w:val="24"/>
          <w:lang w:val="es-ES_tradnl" w:eastAsia="es-ES_tradnl" w:bidi="es-ES"/>
        </w:rPr>
        <w:t>l 16 de junio de</w:t>
      </w:r>
      <w:r w:rsidR="00780B99" w:rsidRPr="00A42C60">
        <w:rPr>
          <w:rFonts w:ascii="Arial" w:hAnsi="Arial" w:cs="Arial"/>
          <w:bCs/>
          <w:szCs w:val="24"/>
          <w:lang w:val="es-ES_tradnl" w:eastAsia="es-ES_tradnl" w:bidi="es-ES"/>
        </w:rPr>
        <w:t xml:space="preserve"> 2022 </w:t>
      </w:r>
      <w:r w:rsidRPr="00A42C60">
        <w:rPr>
          <w:rFonts w:ascii="Arial" w:hAnsi="Arial" w:cs="Arial"/>
          <w:bCs/>
          <w:szCs w:val="24"/>
          <w:lang w:val="es-ES_tradnl" w:eastAsia="es-ES_tradnl" w:bidi="es-ES"/>
        </w:rPr>
        <w:t xml:space="preserve">está relacionada con el alcance de la acción de tutela contra providencia judicial en el que se analiza </w:t>
      </w:r>
      <w:r w:rsidRPr="00A42C60">
        <w:rPr>
          <w:rFonts w:ascii="Arial" w:hAnsi="Arial" w:cs="Arial"/>
          <w:bCs/>
          <w:szCs w:val="24"/>
          <w:lang w:eastAsia="es-ES_tradnl" w:bidi="es-ES"/>
        </w:rPr>
        <w:t xml:space="preserve">el </w:t>
      </w:r>
      <w:r w:rsidRPr="00A42C60">
        <w:rPr>
          <w:rFonts w:ascii="Arial" w:hAnsi="Arial" w:cs="Arial"/>
          <w:bCs/>
          <w:i/>
          <w:iCs/>
          <w:szCs w:val="24"/>
          <w:lang w:eastAsia="es-ES_tradnl" w:bidi="es-ES"/>
        </w:rPr>
        <w:t>defecto por violación directa a la Constitución por desconocer el principio de interpretación</w:t>
      </w:r>
      <w:r w:rsidR="00AD7D76" w:rsidRPr="00A42C60">
        <w:rPr>
          <w:rStyle w:val="Refdenotaalpie"/>
          <w:rFonts w:ascii="Arial" w:hAnsi="Arial" w:cs="Arial"/>
          <w:bCs/>
          <w:szCs w:val="24"/>
          <w:lang w:eastAsia="es-ES_tradnl" w:bidi="es-ES"/>
        </w:rPr>
        <w:footnoteReference w:id="28"/>
      </w:r>
      <w:r w:rsidRPr="00A42C60">
        <w:rPr>
          <w:rFonts w:ascii="Arial" w:hAnsi="Arial" w:cs="Arial"/>
          <w:bCs/>
          <w:szCs w:val="24"/>
          <w:lang w:eastAsia="es-ES_tradnl" w:bidi="es-ES"/>
        </w:rPr>
        <w:t xml:space="preserve">. Ello supone estudiar las posiciones interpretativas expresadas en la jurisprudencia del Consejo de Estado, y de la Corte Suprema de Justicia sobre el contenido y alcance del concepto de </w:t>
      </w:r>
      <w:r w:rsidRPr="00A42C60">
        <w:rPr>
          <w:rFonts w:ascii="Arial" w:hAnsi="Arial" w:cs="Arial"/>
          <w:bCs/>
          <w:i/>
          <w:iCs/>
          <w:szCs w:val="24"/>
          <w:lang w:eastAsia="es-ES_tradnl" w:bidi="es-ES"/>
        </w:rPr>
        <w:t>contrato adicional</w:t>
      </w:r>
      <w:r w:rsidRPr="00A42C60">
        <w:rPr>
          <w:rFonts w:ascii="Arial" w:hAnsi="Arial" w:cs="Arial"/>
          <w:bCs/>
          <w:szCs w:val="24"/>
          <w:lang w:eastAsia="es-ES_tradnl" w:bidi="es-ES"/>
        </w:rPr>
        <w:t xml:space="preserve">, teniendo en cuenta los hechos </w:t>
      </w:r>
      <w:r w:rsidR="00E04EC1" w:rsidRPr="00A42C60">
        <w:rPr>
          <w:rFonts w:ascii="Arial" w:hAnsi="Arial" w:cs="Arial"/>
          <w:bCs/>
          <w:szCs w:val="24"/>
          <w:lang w:eastAsia="es-ES_tradnl" w:bidi="es-ES"/>
        </w:rPr>
        <w:t xml:space="preserve">que </w:t>
      </w:r>
      <w:r w:rsidRPr="00A42C60">
        <w:rPr>
          <w:rFonts w:ascii="Arial" w:hAnsi="Arial" w:cs="Arial"/>
          <w:bCs/>
          <w:szCs w:val="24"/>
          <w:lang w:eastAsia="es-ES_tradnl" w:bidi="es-ES"/>
        </w:rPr>
        <w:t>versan sobre esa materi</w:t>
      </w:r>
      <w:r w:rsidR="00E04EC1" w:rsidRPr="00A42C60">
        <w:rPr>
          <w:rFonts w:ascii="Arial" w:hAnsi="Arial" w:cs="Arial"/>
          <w:bCs/>
          <w:szCs w:val="24"/>
          <w:lang w:eastAsia="es-ES_tradnl" w:bidi="es-ES"/>
        </w:rPr>
        <w:t>a</w:t>
      </w:r>
      <w:r w:rsidR="00783687" w:rsidRPr="00A42C60">
        <w:rPr>
          <w:rFonts w:ascii="Arial" w:hAnsi="Arial" w:cs="Arial"/>
          <w:bCs/>
          <w:szCs w:val="24"/>
          <w:lang w:eastAsia="es-ES_tradnl" w:bidi="es-ES"/>
        </w:rPr>
        <w:t xml:space="preserve"> y en atención al momento en el cual ocurrieron los hechos. </w:t>
      </w:r>
    </w:p>
    <w:p w14:paraId="5BD56556" w14:textId="77777777" w:rsidR="006D44EA" w:rsidRPr="00A42C60" w:rsidRDefault="006D44EA" w:rsidP="00E41229">
      <w:pPr>
        <w:tabs>
          <w:tab w:val="left" w:pos="0"/>
          <w:tab w:val="left" w:pos="6645"/>
        </w:tabs>
        <w:spacing w:after="0" w:line="276" w:lineRule="auto"/>
        <w:jc w:val="both"/>
        <w:rPr>
          <w:rFonts w:ascii="Arial" w:hAnsi="Arial" w:cs="Arial"/>
          <w:bCs/>
          <w:lang w:val="es-ES_tradnl"/>
        </w:rPr>
      </w:pPr>
    </w:p>
    <w:p w14:paraId="01C0F502" w14:textId="5CEEEEEC" w:rsidR="00F9574A" w:rsidRPr="00A42C60" w:rsidRDefault="004177A6" w:rsidP="00E41229">
      <w:pPr>
        <w:tabs>
          <w:tab w:val="left" w:pos="0"/>
        </w:tabs>
        <w:spacing w:after="0" w:line="276" w:lineRule="auto"/>
        <w:jc w:val="both"/>
        <w:rPr>
          <w:rFonts w:ascii="Arial" w:hAnsi="Arial" w:cs="Arial"/>
          <w:b/>
          <w:color w:val="000000" w:themeColor="text1"/>
          <w:lang w:val="es-ES_tradnl"/>
        </w:rPr>
      </w:pPr>
      <w:r w:rsidRPr="00A42C60">
        <w:rPr>
          <w:rFonts w:ascii="Arial" w:hAnsi="Arial" w:cs="Arial"/>
          <w:b/>
          <w:color w:val="000000" w:themeColor="text1"/>
          <w:lang w:val="es-ES_tradnl"/>
        </w:rPr>
        <w:t>3</w:t>
      </w:r>
      <w:r w:rsidR="00B011A9" w:rsidRPr="00A42C60">
        <w:rPr>
          <w:rFonts w:ascii="Arial" w:hAnsi="Arial" w:cs="Arial"/>
          <w:b/>
          <w:color w:val="000000" w:themeColor="text1"/>
          <w:lang w:val="es-ES_tradnl"/>
        </w:rPr>
        <w:t xml:space="preserve">. </w:t>
      </w:r>
      <w:r w:rsidR="00DD5B04" w:rsidRPr="00A42C60">
        <w:rPr>
          <w:rFonts w:ascii="Arial" w:hAnsi="Arial" w:cs="Arial"/>
          <w:b/>
          <w:color w:val="000000" w:themeColor="text1"/>
          <w:lang w:val="es-ES_tradnl"/>
        </w:rPr>
        <w:t>Respuesta</w:t>
      </w:r>
    </w:p>
    <w:p w14:paraId="5550B511" w14:textId="77777777" w:rsidR="00E41229" w:rsidRPr="00A42C60" w:rsidRDefault="00E41229" w:rsidP="000F7239">
      <w:pPr>
        <w:tabs>
          <w:tab w:val="left" w:pos="0"/>
        </w:tabs>
        <w:spacing w:after="0" w:line="276" w:lineRule="auto"/>
        <w:jc w:val="both"/>
        <w:rPr>
          <w:rFonts w:ascii="Arial" w:hAnsi="Arial" w:cs="Arial"/>
          <w:b/>
          <w:color w:val="000000" w:themeColor="text1"/>
          <w:lang w:val="es-ES_tradnl"/>
        </w:rPr>
      </w:pPr>
    </w:p>
    <w:p w14:paraId="16871FDB" w14:textId="627FB8E4" w:rsidR="00F12EAB" w:rsidRPr="00A42C60" w:rsidRDefault="00F12EAB" w:rsidP="0039130D">
      <w:pPr>
        <w:spacing w:after="0" w:line="240" w:lineRule="auto"/>
        <w:ind w:left="709" w:right="709"/>
        <w:jc w:val="both"/>
        <w:rPr>
          <w:rFonts w:ascii="Arial" w:hAnsi="Arial" w:cs="Arial"/>
          <w:bCs/>
          <w:sz w:val="21"/>
          <w:szCs w:val="21"/>
        </w:rPr>
      </w:pPr>
      <w:r w:rsidRPr="00A42C60">
        <w:rPr>
          <w:rFonts w:ascii="Arial" w:hAnsi="Arial" w:cs="Arial"/>
          <w:bCs/>
          <w:sz w:val="21"/>
          <w:szCs w:val="21"/>
        </w:rPr>
        <w:t>«En atención a la Sentencia SU 214-22 de la Corte Constitucional, respetuosamente formulo las siguientes consultas:</w:t>
      </w:r>
    </w:p>
    <w:p w14:paraId="58E4EB47" w14:textId="77777777" w:rsidR="0039496D" w:rsidRPr="00A42C60" w:rsidRDefault="0039496D" w:rsidP="0039130D">
      <w:pPr>
        <w:spacing w:after="0" w:line="240" w:lineRule="auto"/>
        <w:ind w:left="709" w:right="709"/>
        <w:jc w:val="both"/>
        <w:rPr>
          <w:rFonts w:ascii="Arial" w:hAnsi="Arial" w:cs="Arial"/>
          <w:bCs/>
          <w:sz w:val="21"/>
          <w:szCs w:val="21"/>
        </w:rPr>
      </w:pPr>
    </w:p>
    <w:p w14:paraId="208B848D" w14:textId="6D7F1B04" w:rsidR="003066D1" w:rsidRDefault="00F12EAB" w:rsidP="0039130D">
      <w:pPr>
        <w:spacing w:after="0" w:line="240" w:lineRule="auto"/>
        <w:ind w:left="709" w:right="709"/>
        <w:jc w:val="both"/>
        <w:rPr>
          <w:rFonts w:ascii="Arial" w:hAnsi="Arial" w:cs="Arial"/>
          <w:bCs/>
          <w:sz w:val="21"/>
          <w:szCs w:val="21"/>
        </w:rPr>
      </w:pPr>
      <w:r w:rsidRPr="00A42C60">
        <w:rPr>
          <w:rFonts w:ascii="Arial" w:hAnsi="Arial" w:cs="Arial"/>
          <w:bCs/>
          <w:sz w:val="21"/>
          <w:szCs w:val="21"/>
        </w:rPr>
        <w:lastRenderedPageBreak/>
        <w:t>1. ¿En un contrato de obra a precios unitarios para mayores cantidades de obra aplica el límite de adición del artículo 40 de la Ley 80 de 1993?</w:t>
      </w:r>
    </w:p>
    <w:p w14:paraId="05F98194" w14:textId="77777777" w:rsidR="003066D1" w:rsidRDefault="003066D1" w:rsidP="0039130D">
      <w:pPr>
        <w:spacing w:after="0" w:line="240" w:lineRule="auto"/>
        <w:ind w:left="709" w:right="709"/>
        <w:jc w:val="both"/>
        <w:rPr>
          <w:rFonts w:ascii="Arial" w:hAnsi="Arial" w:cs="Arial"/>
          <w:bCs/>
          <w:sz w:val="21"/>
          <w:szCs w:val="21"/>
        </w:rPr>
      </w:pPr>
    </w:p>
    <w:p w14:paraId="666DC9A7" w14:textId="0029A49D" w:rsidR="003066D1" w:rsidRPr="00A42C60" w:rsidRDefault="003066D1" w:rsidP="0039130D">
      <w:pPr>
        <w:spacing w:after="0" w:line="240" w:lineRule="auto"/>
        <w:ind w:left="709" w:right="709"/>
        <w:jc w:val="both"/>
        <w:rPr>
          <w:rFonts w:ascii="Arial" w:hAnsi="Arial" w:cs="Arial"/>
          <w:bCs/>
          <w:sz w:val="21"/>
          <w:szCs w:val="21"/>
        </w:rPr>
      </w:pPr>
      <w:r>
        <w:rPr>
          <w:rFonts w:ascii="Arial" w:hAnsi="Arial" w:cs="Arial"/>
          <w:bCs/>
          <w:sz w:val="21"/>
          <w:szCs w:val="21"/>
        </w:rPr>
        <w:t>[…]</w:t>
      </w:r>
    </w:p>
    <w:p w14:paraId="0E2BEE28" w14:textId="77777777" w:rsidR="00297251" w:rsidRDefault="00297251" w:rsidP="0039130D">
      <w:pPr>
        <w:spacing w:after="0" w:line="240" w:lineRule="auto"/>
        <w:ind w:left="709" w:right="709"/>
        <w:jc w:val="both"/>
        <w:rPr>
          <w:rFonts w:ascii="Arial" w:hAnsi="Arial" w:cs="Arial"/>
          <w:bCs/>
          <w:sz w:val="21"/>
          <w:szCs w:val="21"/>
        </w:rPr>
      </w:pPr>
    </w:p>
    <w:p w14:paraId="0DDFFEBD" w14:textId="403C4909" w:rsidR="0039496D" w:rsidRPr="00A42C60" w:rsidRDefault="0039496D" w:rsidP="0039130D">
      <w:pPr>
        <w:spacing w:after="0" w:line="240" w:lineRule="auto"/>
        <w:ind w:left="709" w:right="709"/>
        <w:jc w:val="both"/>
        <w:rPr>
          <w:rFonts w:ascii="Arial" w:hAnsi="Arial" w:cs="Arial"/>
          <w:bCs/>
          <w:sz w:val="21"/>
          <w:szCs w:val="21"/>
        </w:rPr>
      </w:pPr>
      <w:r w:rsidRPr="00A42C60">
        <w:rPr>
          <w:rFonts w:ascii="Arial" w:hAnsi="Arial" w:cs="Arial"/>
          <w:bCs/>
          <w:sz w:val="21"/>
          <w:szCs w:val="21"/>
        </w:rPr>
        <w:t>4. ¿En los contratos a precios estimados pero determinables aplica el límite de adición del artículo 40 de la Ley 80 de 1993?».</w:t>
      </w:r>
    </w:p>
    <w:p w14:paraId="1BD28D55" w14:textId="7B1FC577" w:rsidR="0039496D" w:rsidRPr="00A42C60" w:rsidRDefault="0039496D" w:rsidP="0039496D">
      <w:pPr>
        <w:spacing w:after="0" w:line="276" w:lineRule="auto"/>
        <w:ind w:right="709"/>
        <w:jc w:val="both"/>
        <w:rPr>
          <w:rFonts w:ascii="Arial" w:hAnsi="Arial" w:cs="Arial"/>
          <w:bCs/>
          <w:sz w:val="21"/>
          <w:szCs w:val="21"/>
        </w:rPr>
      </w:pPr>
    </w:p>
    <w:p w14:paraId="204A7D34" w14:textId="77777777" w:rsidR="00C109C0" w:rsidRPr="00A42C60" w:rsidRDefault="00C109C0" w:rsidP="00C109C0">
      <w:pPr>
        <w:spacing w:after="0" w:line="276" w:lineRule="auto"/>
        <w:jc w:val="both"/>
        <w:rPr>
          <w:rFonts w:ascii="Arial" w:hAnsi="Arial" w:cs="Arial"/>
          <w:bCs/>
          <w:lang w:val="es-ES_tradnl"/>
        </w:rPr>
      </w:pPr>
      <w:r w:rsidRPr="00A42C60">
        <w:rPr>
          <w:rFonts w:ascii="Arial" w:hAnsi="Arial" w:cs="Arial"/>
          <w:bCs/>
        </w:rPr>
        <w:t xml:space="preserve">Por unidad de materia se responden estas preguntas de manera conjunta. De conformidad con la consideraciones expuestas en este concepto, </w:t>
      </w:r>
      <w:r w:rsidRPr="00A42C60">
        <w:rPr>
          <w:rFonts w:ascii="Arial" w:hAnsi="Arial" w:cs="Arial"/>
          <w:bCs/>
          <w:lang w:val="es-ES_tradnl"/>
        </w:rPr>
        <w:t xml:space="preserve">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139209B5" w14:textId="26616EAD" w:rsidR="00A775EF" w:rsidRPr="00A42C60" w:rsidRDefault="00A775EF" w:rsidP="00A775EF">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 xml:space="preserve">No obstante, este último término, al igual que los señalados entre comillas </w:t>
      </w:r>
      <w:r w:rsidRPr="00A42C60">
        <w:rPr>
          <w:rFonts w:ascii="Arial" w:hAnsi="Arial" w:cs="Arial" w:hint="eastAsia"/>
          <w:szCs w:val="24"/>
          <w:lang w:val="es-MX" w:eastAsia="es-ES_tradnl"/>
        </w:rPr>
        <w:t>―</w:t>
      </w:r>
      <w:r w:rsidRPr="00A42C60">
        <w:rPr>
          <w:rFonts w:ascii="Arial" w:hAnsi="Arial" w:cs="Arial"/>
          <w:szCs w:val="24"/>
          <w:lang w:val="es-MX" w:eastAsia="es-ES_tradnl"/>
        </w:rPr>
        <w:t>algunos de ellos usualmente empleados en contratos de obra</w:t>
      </w:r>
      <w:r w:rsidRPr="00A42C60">
        <w:rPr>
          <w:rFonts w:ascii="Arial" w:hAnsi="Arial" w:cs="Arial" w:hint="eastAsia"/>
          <w:szCs w:val="24"/>
          <w:lang w:val="es-MX" w:eastAsia="es-ES_tradnl"/>
        </w:rPr>
        <w:t>―</w:t>
      </w:r>
      <w:r w:rsidRPr="00A42C60">
        <w:rPr>
          <w:rFonts w:ascii="Arial" w:hAnsi="Arial" w:cs="Arial"/>
          <w:szCs w:val="24"/>
          <w:lang w:val="es-MX" w:eastAsia="es-ES_tradnl"/>
        </w:rPr>
        <w:t xml:space="preserve"> son nociones doctrinarias y jurisprudenciales empleadas en la práctica contractual por las entidades estatales. Lo importante en relación con los mismos, tal como se ha resaltado por esta Agencia en oportunidades anteriores, es que frente a cualquier incremento del valor inicial del contrato, que implica una adición, por cualquiera de los dos supuestos señalados previamente, e independientemente del nombre que se le dé al acuerdo, aplica el límite previsto en el parágrafo del artículo 40 de la Ley 80 de 1993</w:t>
      </w:r>
      <w:r w:rsidRPr="00A42C60">
        <w:rPr>
          <w:rFonts w:ascii="Arial" w:hAnsi="Arial" w:cs="Arial"/>
          <w:szCs w:val="24"/>
          <w:lang w:val="es-ES_tradnl" w:eastAsia="es-ES_tradnl"/>
        </w:rPr>
        <w:t>: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p>
    <w:p w14:paraId="74BA2CF8" w14:textId="709EB4FC" w:rsidR="0039130D" w:rsidRPr="00A42C60" w:rsidRDefault="0039130D" w:rsidP="0039130D">
      <w:pPr>
        <w:spacing w:before="120" w:after="0" w:line="276" w:lineRule="auto"/>
        <w:ind w:firstLine="709"/>
        <w:jc w:val="both"/>
        <w:rPr>
          <w:rFonts w:ascii="Arial" w:hAnsi="Arial" w:cs="Arial"/>
          <w:szCs w:val="24"/>
          <w:lang w:val="es-MX" w:eastAsia="es-ES_tradnl"/>
        </w:rPr>
      </w:pPr>
      <w:r w:rsidRPr="00A42C60">
        <w:rPr>
          <w:rFonts w:ascii="Arial" w:hAnsi="Arial" w:cs="Arial"/>
          <w:szCs w:val="24"/>
          <w:lang w:val="es-MX" w:eastAsia="es-ES_tradnl"/>
        </w:rPr>
        <w:t xml:space="preserve">Esta postura es la que mejor garantiza el principio de legalidad, pues la norma es clara en señalar que los contratos no podrán adicionarse en más del cincuenta por ciento (50%) de su valor inicial, y valga la redundancia, el valor inicial es el contemplado en el contrato originario y cualquier alteración a ese valor constituirá, técnicamente, una adición, independientemente de cuál sea su causa; lo otro implicaría una fuga a la prohibición fijada por el legislador, sin perjuicio de las excepciones contempladas por Ley. </w:t>
      </w:r>
    </w:p>
    <w:p w14:paraId="67F3FA1D" w14:textId="7DE4415A" w:rsidR="00C109C0" w:rsidRPr="00A42C60" w:rsidRDefault="00C109C0" w:rsidP="00C109C0">
      <w:pPr>
        <w:spacing w:before="120" w:after="0" w:line="276" w:lineRule="auto"/>
        <w:ind w:firstLine="709"/>
        <w:jc w:val="both"/>
        <w:rPr>
          <w:rFonts w:ascii="Arial" w:hAnsi="Arial" w:cs="Arial"/>
          <w:bCs/>
        </w:rPr>
      </w:pPr>
      <w:r w:rsidRPr="00A42C60">
        <w:rPr>
          <w:rFonts w:ascii="Arial" w:hAnsi="Arial" w:cs="Arial"/>
          <w:bCs/>
        </w:rPr>
        <w:t xml:space="preserve">Al respecto, es pertinente indicar que </w:t>
      </w:r>
      <w:r w:rsidRPr="00A42C60">
        <w:rPr>
          <w:rFonts w:ascii="Arial" w:hAnsi="Arial" w:cs="Arial"/>
          <w:bCs/>
          <w:szCs w:val="24"/>
          <w:lang w:val="es-MX" w:eastAsia="es-ES_tradnl"/>
        </w:rPr>
        <w:t>recientemente la Corte Constitucional se pronunció sobre la adición de l</w:t>
      </w:r>
      <w:r w:rsidRPr="00A42C60">
        <w:rPr>
          <w:rFonts w:ascii="Arial" w:hAnsi="Arial" w:cs="Arial"/>
          <w:bCs/>
          <w:lang w:val="es-MX" w:eastAsia="es-ES_tradnl"/>
        </w:rPr>
        <w:t xml:space="preserve">os contratos por mayores cantidades de obra en la Sentencia SU214 de 2022, en la cual se señaló que en estos eventos la restricción del cincuenta por </w:t>
      </w:r>
      <w:r w:rsidRPr="00A42C60">
        <w:rPr>
          <w:rFonts w:ascii="Arial" w:hAnsi="Arial" w:cs="Arial"/>
          <w:lang w:val="es-MX" w:eastAsia="es-ES_tradnl"/>
        </w:rPr>
        <w:t xml:space="preserve">ciento (50%) de su valor inicial aplica con independencia de la modalidad contractual de </w:t>
      </w:r>
      <w:r w:rsidRPr="00A42C60">
        <w:rPr>
          <w:rFonts w:ascii="Arial" w:hAnsi="Arial" w:cs="Arial"/>
          <w:lang w:val="es-MX" w:eastAsia="es-ES_tradnl"/>
        </w:rPr>
        <w:lastRenderedPageBreak/>
        <w:t xml:space="preserve">que se trate y del sistema de precios pactado. </w:t>
      </w:r>
      <w:r w:rsidRPr="00A42C60">
        <w:rPr>
          <w:rFonts w:ascii="Arial" w:hAnsi="Arial" w:cs="Arial"/>
          <w:bCs/>
          <w:lang w:val="es-MX" w:eastAsia="es-ES_tradnl"/>
        </w:rPr>
        <w:t>En este sentido, en todos los contratos estatales independientemente de la modalidad de selección o del sistema de precios pactados se deberá respetar el límite de adición señalado en el parágrafo del artículo 40 de la Ley 80 de 1993 tanto para las mayores cantidades de obra como para los ítems no previstos.</w:t>
      </w:r>
    </w:p>
    <w:p w14:paraId="3B5EF473" w14:textId="77777777" w:rsidR="00780B99" w:rsidRPr="00A42C60" w:rsidRDefault="00780B99" w:rsidP="0039130D">
      <w:pPr>
        <w:spacing w:after="0" w:line="240" w:lineRule="auto"/>
        <w:ind w:right="709"/>
        <w:jc w:val="both"/>
        <w:rPr>
          <w:rFonts w:ascii="Arial" w:hAnsi="Arial" w:cs="Arial"/>
          <w:bCs/>
          <w:sz w:val="21"/>
          <w:szCs w:val="21"/>
        </w:rPr>
      </w:pPr>
    </w:p>
    <w:p w14:paraId="441E06BA" w14:textId="30C81DB1" w:rsidR="00F12EAB" w:rsidRPr="00A42C60" w:rsidRDefault="0039496D" w:rsidP="0039130D">
      <w:pPr>
        <w:spacing w:after="0" w:line="240" w:lineRule="auto"/>
        <w:ind w:left="709" w:right="709"/>
        <w:jc w:val="both"/>
        <w:rPr>
          <w:rFonts w:ascii="Arial" w:hAnsi="Arial" w:cs="Arial"/>
          <w:bCs/>
          <w:sz w:val="21"/>
          <w:szCs w:val="21"/>
        </w:rPr>
      </w:pPr>
      <w:r w:rsidRPr="00A42C60">
        <w:rPr>
          <w:rFonts w:ascii="Arial" w:hAnsi="Arial" w:cs="Arial"/>
          <w:bCs/>
          <w:sz w:val="21"/>
          <w:szCs w:val="21"/>
        </w:rPr>
        <w:t>«</w:t>
      </w:r>
      <w:r w:rsidR="00F12EAB" w:rsidRPr="00A42C60">
        <w:rPr>
          <w:rFonts w:ascii="Arial" w:hAnsi="Arial" w:cs="Arial"/>
          <w:bCs/>
          <w:sz w:val="21"/>
          <w:szCs w:val="21"/>
        </w:rPr>
        <w:t>2. ¿En un contrato de obra para agregar un nuevo ítem o actividad es procedente</w:t>
      </w:r>
      <w:r w:rsidR="008B06D9" w:rsidRPr="00A42C60">
        <w:rPr>
          <w:rFonts w:ascii="Arial" w:hAnsi="Arial" w:cs="Arial"/>
          <w:bCs/>
          <w:sz w:val="21"/>
          <w:szCs w:val="21"/>
        </w:rPr>
        <w:t xml:space="preserve"> </w:t>
      </w:r>
      <w:r w:rsidR="00F12EAB" w:rsidRPr="00A42C60">
        <w:rPr>
          <w:rFonts w:ascii="Arial" w:hAnsi="Arial" w:cs="Arial"/>
          <w:bCs/>
          <w:sz w:val="21"/>
          <w:szCs w:val="21"/>
        </w:rPr>
        <w:t>modificar el contrato o se requiere celebrar un contrato nuevo?</w:t>
      </w:r>
    </w:p>
    <w:p w14:paraId="7D9C09CC" w14:textId="77777777" w:rsidR="0039496D" w:rsidRPr="00A42C60" w:rsidRDefault="0039496D" w:rsidP="0039130D">
      <w:pPr>
        <w:spacing w:after="0" w:line="240" w:lineRule="auto"/>
        <w:ind w:left="709" w:right="709"/>
        <w:jc w:val="both"/>
        <w:rPr>
          <w:rFonts w:ascii="Arial" w:hAnsi="Arial" w:cs="Arial"/>
          <w:bCs/>
          <w:sz w:val="21"/>
          <w:szCs w:val="21"/>
        </w:rPr>
      </w:pPr>
    </w:p>
    <w:p w14:paraId="33764B33" w14:textId="2CC89C63" w:rsidR="00F4630A" w:rsidRPr="00A42C60" w:rsidRDefault="00F12EAB" w:rsidP="00F268A6">
      <w:pPr>
        <w:spacing w:after="0" w:line="240" w:lineRule="auto"/>
        <w:ind w:left="709" w:right="709"/>
        <w:jc w:val="both"/>
        <w:rPr>
          <w:rFonts w:ascii="Arial" w:hAnsi="Arial" w:cs="Arial"/>
          <w:bCs/>
          <w:sz w:val="21"/>
          <w:szCs w:val="21"/>
        </w:rPr>
      </w:pPr>
      <w:r w:rsidRPr="00A42C60">
        <w:rPr>
          <w:rFonts w:ascii="Arial" w:hAnsi="Arial" w:cs="Arial"/>
          <w:bCs/>
          <w:sz w:val="21"/>
          <w:szCs w:val="21"/>
        </w:rPr>
        <w:t>3. ¿En la modificación unilateral prevista en el artículo 16 de la Ley 80 de 1993 es</w:t>
      </w:r>
      <w:r w:rsidR="0039496D" w:rsidRPr="00A42C60">
        <w:rPr>
          <w:rFonts w:ascii="Arial" w:hAnsi="Arial" w:cs="Arial"/>
          <w:bCs/>
          <w:sz w:val="21"/>
          <w:szCs w:val="21"/>
        </w:rPr>
        <w:t xml:space="preserve"> </w:t>
      </w:r>
      <w:r w:rsidRPr="00A42C60">
        <w:rPr>
          <w:rFonts w:ascii="Arial" w:hAnsi="Arial" w:cs="Arial"/>
          <w:bCs/>
          <w:sz w:val="21"/>
          <w:szCs w:val="21"/>
        </w:rPr>
        <w:t>procedente agregar un nuevo ítem o actividad o se requiere celebrar un nuevo</w:t>
      </w:r>
      <w:r w:rsidR="0039496D" w:rsidRPr="00A42C60">
        <w:rPr>
          <w:rFonts w:ascii="Arial" w:hAnsi="Arial" w:cs="Arial"/>
          <w:bCs/>
          <w:sz w:val="21"/>
          <w:szCs w:val="21"/>
        </w:rPr>
        <w:t xml:space="preserve"> </w:t>
      </w:r>
      <w:r w:rsidRPr="00A42C60">
        <w:rPr>
          <w:rFonts w:ascii="Arial" w:hAnsi="Arial" w:cs="Arial"/>
          <w:bCs/>
          <w:sz w:val="21"/>
          <w:szCs w:val="21"/>
        </w:rPr>
        <w:t>contrato?</w:t>
      </w:r>
      <w:r w:rsidR="0039496D" w:rsidRPr="00A42C60">
        <w:rPr>
          <w:rFonts w:ascii="Arial" w:hAnsi="Arial" w:cs="Arial"/>
          <w:bCs/>
          <w:sz w:val="21"/>
          <w:szCs w:val="21"/>
        </w:rPr>
        <w:t>»</w:t>
      </w:r>
    </w:p>
    <w:p w14:paraId="272442B4" w14:textId="77777777" w:rsidR="00F268A6" w:rsidRPr="00A42C60" w:rsidRDefault="00F268A6" w:rsidP="00F268A6">
      <w:pPr>
        <w:spacing w:after="0" w:line="240" w:lineRule="auto"/>
        <w:ind w:left="709" w:right="709"/>
        <w:jc w:val="both"/>
        <w:rPr>
          <w:rFonts w:ascii="Arial" w:hAnsi="Arial" w:cs="Arial"/>
          <w:bCs/>
          <w:sz w:val="21"/>
          <w:szCs w:val="21"/>
        </w:rPr>
      </w:pPr>
    </w:p>
    <w:p w14:paraId="5C032BAE" w14:textId="77777777" w:rsidR="006B39F7" w:rsidRPr="00A42C60" w:rsidRDefault="00F268A6" w:rsidP="00A42C60">
      <w:pPr>
        <w:spacing w:before="120" w:after="0" w:line="276" w:lineRule="auto"/>
        <w:ind w:firstLine="708"/>
        <w:jc w:val="both"/>
        <w:rPr>
          <w:rFonts w:ascii="Arial" w:hAnsi="Arial" w:cs="Arial"/>
          <w:bCs/>
          <w:szCs w:val="24"/>
          <w:lang w:val="es-MX" w:eastAsia="es-ES_tradnl" w:bidi="es-ES"/>
        </w:rPr>
      </w:pPr>
      <w:r w:rsidRPr="00A42C60">
        <w:rPr>
          <w:rFonts w:ascii="Arial" w:hAnsi="Arial" w:cs="Arial"/>
          <w:bCs/>
          <w:szCs w:val="24"/>
          <w:lang w:val="es-MX" w:eastAsia="es-ES_tradnl" w:bidi="es-ES"/>
        </w:rPr>
        <w:t xml:space="preserve">Conforme a la regulación legal y a la interpretación actual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p>
    <w:p w14:paraId="263DC6EC" w14:textId="6405B942" w:rsidR="006B39F7" w:rsidRPr="00A42C60" w:rsidRDefault="006B39F7" w:rsidP="006B39F7">
      <w:pPr>
        <w:spacing w:before="120" w:after="0" w:line="276" w:lineRule="auto"/>
        <w:ind w:firstLine="709"/>
        <w:jc w:val="both"/>
        <w:rPr>
          <w:rFonts w:ascii="Arial" w:hAnsi="Arial" w:cs="Arial"/>
          <w:bCs/>
          <w:szCs w:val="24"/>
          <w:lang w:val="es-MX" w:eastAsia="es-ES_tradnl" w:bidi="es-ES"/>
        </w:rPr>
      </w:pPr>
      <w:r w:rsidRPr="00A42C60">
        <w:rPr>
          <w:rFonts w:ascii="Arial" w:hAnsi="Arial" w:cs="Arial"/>
          <w:bCs/>
          <w:szCs w:val="24"/>
          <w:lang w:val="es-ES_tradnl" w:eastAsia="es-ES_tradnl" w:bidi="es-ES"/>
        </w:rPr>
        <w:t xml:space="preserve">En este contexto, en concordancia con lo expuesto en el numeral 2.1 de este concepto, </w:t>
      </w:r>
      <w:r w:rsidR="00A775EF" w:rsidRPr="00A42C60">
        <w:rPr>
          <w:rFonts w:ascii="Arial" w:hAnsi="Arial" w:cs="Arial"/>
          <w:bCs/>
          <w:szCs w:val="24"/>
          <w:lang w:val="es-ES_tradnl" w:eastAsia="es-ES_tradnl" w:bidi="es-ES"/>
        </w:rPr>
        <w:t xml:space="preserve">es claro que un </w:t>
      </w:r>
      <w:r w:rsidRPr="00A42C60">
        <w:rPr>
          <w:rFonts w:ascii="Arial" w:hAnsi="Arial" w:cs="Arial"/>
          <w:bCs/>
          <w:szCs w:val="24"/>
          <w:lang w:val="es-ES_tradnl" w:eastAsia="es-ES_tradnl" w:bidi="es-ES"/>
        </w:rPr>
        <w:t xml:space="preserve">contrato estatal puede modificarse en precio y en el alcance de su objeto para incluir actividades adicionales que no fueron comprendidas en el contrato inicial, esto es, para incluir ítems no previstos, siempre que se respete el límite fijado por el legislador para adicionar su valor y las demás disposiciones establecidas en el ordenamiento jurídico. Además, las modificaciones no podrían suponer la variación del objeto de un contrato, al punto que suponga la alteración de su esencia y se convierta en otro tipo de negocio jurídico. Si se presentara esta situación lo indicado no sería modificar el contrato sino celebrar uno nuevo. Estas reglas proceden cuando la modificación sea de manera bilateral, así como cuando se realice de forma unilateral por la entidad estatal, esta última teniendo en cuenta que el artículo 16 de la Ley 80 de 1993 señala que si las modificaciones alteran el valor del contrato en un veinte por ciento (20%) o más del valor inicial, el contratista podrá renunciar a la continuación de la ejecución. </w:t>
      </w:r>
    </w:p>
    <w:p w14:paraId="581FFE66" w14:textId="77777777" w:rsidR="00025065" w:rsidRPr="00A42C60" w:rsidRDefault="00025065" w:rsidP="00A42C60">
      <w:pPr>
        <w:spacing w:after="0" w:line="276" w:lineRule="auto"/>
        <w:jc w:val="both"/>
        <w:rPr>
          <w:rFonts w:ascii="Arial" w:hAnsi="Arial" w:cs="Arial"/>
          <w:lang w:val="es-MX"/>
        </w:rPr>
      </w:pPr>
    </w:p>
    <w:p w14:paraId="056816F7" w14:textId="36C087E7" w:rsidR="00D40F8B" w:rsidRPr="00A42C60" w:rsidRDefault="00DD5B04" w:rsidP="00B21AD4">
      <w:pPr>
        <w:widowControl w:val="0"/>
        <w:autoSpaceDE w:val="0"/>
        <w:autoSpaceDN w:val="0"/>
        <w:spacing w:line="276" w:lineRule="auto"/>
        <w:jc w:val="both"/>
        <w:rPr>
          <w:rFonts w:ascii="Arial" w:hAnsi="Arial" w:cs="Arial"/>
          <w:lang w:val="es-ES_tradnl" w:bidi="es-ES"/>
        </w:rPr>
      </w:pPr>
      <w:r w:rsidRPr="00A42C60">
        <w:rPr>
          <w:rFonts w:ascii="Arial" w:hAnsi="Arial" w:cs="Arial"/>
          <w:color w:val="000000" w:themeColor="text1"/>
          <w:lang w:val="es-ES_tradnl"/>
        </w:rPr>
        <w:lastRenderedPageBreak/>
        <w:t>Este concepto tiene el alcance previsto en el artículo 28 del Código de Procedimiento Administrativo y de</w:t>
      </w:r>
      <w:r w:rsidR="00D40F8B" w:rsidRPr="00A42C60">
        <w:rPr>
          <w:rFonts w:ascii="Arial" w:hAnsi="Arial" w:cs="Arial"/>
          <w:color w:val="000000" w:themeColor="text1"/>
          <w:lang w:val="es-ES_tradnl"/>
        </w:rPr>
        <w:t xml:space="preserve"> lo Contencioso Administrativo.</w:t>
      </w:r>
    </w:p>
    <w:p w14:paraId="6F54E9C9" w14:textId="77777777" w:rsidR="00003233" w:rsidRPr="00A42C60" w:rsidRDefault="00003233" w:rsidP="00D40F8B">
      <w:pPr>
        <w:spacing w:before="120" w:line="276" w:lineRule="auto"/>
        <w:jc w:val="both"/>
        <w:rPr>
          <w:rFonts w:ascii="Arial" w:hAnsi="Arial" w:cs="Arial"/>
          <w:color w:val="000000" w:themeColor="text1"/>
          <w:lang w:val="es-ES_tradnl"/>
        </w:rPr>
      </w:pPr>
    </w:p>
    <w:p w14:paraId="349855C9" w14:textId="4E2C915B" w:rsidR="00D40F8B" w:rsidRPr="00A42C6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42C60">
        <w:rPr>
          <w:rFonts w:ascii="Arial" w:hAnsi="Arial" w:cs="Arial"/>
          <w:color w:val="000000" w:themeColor="text1"/>
          <w:sz w:val="22"/>
          <w:szCs w:val="22"/>
          <w:lang w:val="es-ES_tradnl"/>
        </w:rPr>
        <w:t>Atentamente,</w:t>
      </w:r>
    </w:p>
    <w:p w14:paraId="10A1E411" w14:textId="35B6A110" w:rsidR="00D40F8B" w:rsidRPr="00A42C60" w:rsidRDefault="00C73BDE"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3A4DAAF8" wp14:editId="50A4C2DC">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14:paraId="1ED13883" w14:textId="77777777" w:rsidR="00003233" w:rsidRPr="00A42C60" w:rsidRDefault="00003233" w:rsidP="00AD4A51">
      <w:pPr>
        <w:pStyle w:val="NormalWeb"/>
        <w:spacing w:before="0" w:beforeAutospacing="0" w:after="0" w:afterAutospacing="0"/>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1242D2" w14:paraId="0C7DC5F7" w14:textId="77777777" w:rsidTr="00D40F8B">
        <w:trPr>
          <w:trHeight w:val="160"/>
        </w:trPr>
        <w:tc>
          <w:tcPr>
            <w:tcW w:w="812" w:type="dxa"/>
            <w:vAlign w:val="center"/>
            <w:hideMark/>
          </w:tcPr>
          <w:p w14:paraId="5BDB1AC9" w14:textId="77777777" w:rsidR="00DD5B04" w:rsidRPr="00A42C60" w:rsidRDefault="00DD5B04" w:rsidP="00AD4A51">
            <w:pPr>
              <w:spacing w:after="0" w:line="240" w:lineRule="auto"/>
              <w:jc w:val="both"/>
              <w:rPr>
                <w:rFonts w:ascii="Arial" w:hAnsi="Arial" w:cs="Arial"/>
                <w:color w:val="000000" w:themeColor="text1"/>
                <w:sz w:val="16"/>
                <w:szCs w:val="16"/>
                <w:lang w:val="es-ES_tradnl" w:eastAsia="es-ES"/>
              </w:rPr>
            </w:pPr>
            <w:r w:rsidRPr="00A42C6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42C60" w:rsidRDefault="00F412DF" w:rsidP="00AD4A51">
            <w:pPr>
              <w:spacing w:after="0" w:line="240" w:lineRule="auto"/>
              <w:jc w:val="both"/>
              <w:rPr>
                <w:rFonts w:ascii="Arial" w:hAnsi="Arial" w:cs="Arial"/>
                <w:color w:val="000000" w:themeColor="text1"/>
                <w:sz w:val="16"/>
                <w:szCs w:val="16"/>
                <w:lang w:val="es-ES_tradnl" w:eastAsia="es-ES"/>
              </w:rPr>
            </w:pPr>
            <w:r w:rsidRPr="00A42C60">
              <w:rPr>
                <w:rFonts w:ascii="Arial" w:hAnsi="Arial" w:cs="Arial"/>
                <w:color w:val="000000" w:themeColor="text1"/>
                <w:sz w:val="16"/>
                <w:szCs w:val="16"/>
                <w:lang w:val="es-ES_tradnl" w:eastAsia="es-ES"/>
              </w:rPr>
              <w:t>Tatiana Baquero Iguarán</w:t>
            </w:r>
          </w:p>
          <w:p w14:paraId="240C71FD" w14:textId="31312C95" w:rsidR="00DD5B04" w:rsidRPr="00A42C60" w:rsidRDefault="00DD5B04" w:rsidP="00AD4A51">
            <w:pPr>
              <w:spacing w:after="0" w:line="240" w:lineRule="auto"/>
              <w:jc w:val="both"/>
              <w:rPr>
                <w:rFonts w:ascii="Arial" w:hAnsi="Arial" w:cs="Arial"/>
                <w:color w:val="000000" w:themeColor="text1"/>
                <w:sz w:val="16"/>
                <w:szCs w:val="16"/>
                <w:lang w:val="es-ES_tradnl" w:eastAsia="es-ES"/>
              </w:rPr>
            </w:pPr>
            <w:r w:rsidRPr="00A42C60">
              <w:rPr>
                <w:rFonts w:ascii="Arial" w:hAnsi="Arial" w:cs="Arial"/>
                <w:color w:val="000000" w:themeColor="text1"/>
                <w:sz w:val="16"/>
                <w:szCs w:val="16"/>
                <w:lang w:val="es-ES_tradnl" w:eastAsia="es-ES"/>
              </w:rPr>
              <w:t>Contratista</w:t>
            </w:r>
            <w:r w:rsidR="00FF0050" w:rsidRPr="00A42C60">
              <w:rPr>
                <w:rFonts w:ascii="Arial" w:hAnsi="Arial" w:cs="Arial"/>
                <w:color w:val="000000" w:themeColor="text1"/>
                <w:sz w:val="16"/>
                <w:szCs w:val="16"/>
                <w:lang w:val="es-ES_tradnl" w:eastAsia="es-ES"/>
              </w:rPr>
              <w:t xml:space="preserve"> de la </w:t>
            </w:r>
            <w:r w:rsidRPr="00A42C60">
              <w:rPr>
                <w:rFonts w:ascii="Arial" w:hAnsi="Arial" w:cs="Arial"/>
                <w:color w:val="000000" w:themeColor="text1"/>
                <w:sz w:val="16"/>
                <w:szCs w:val="16"/>
                <w:lang w:val="es-ES_tradnl" w:eastAsia="es-ES"/>
              </w:rPr>
              <w:t>Subdirección de Gestión Contractual</w:t>
            </w:r>
          </w:p>
        </w:tc>
      </w:tr>
      <w:tr w:rsidR="00DD5B04" w:rsidRPr="001242D2" w14:paraId="2F8FD650" w14:textId="77777777" w:rsidTr="00D15356">
        <w:trPr>
          <w:trHeight w:val="330"/>
        </w:trPr>
        <w:tc>
          <w:tcPr>
            <w:tcW w:w="812" w:type="dxa"/>
            <w:vAlign w:val="center"/>
            <w:hideMark/>
          </w:tcPr>
          <w:p w14:paraId="50203A0B" w14:textId="77777777" w:rsidR="00DD5B04" w:rsidRPr="00A42C60" w:rsidRDefault="00DD5B04" w:rsidP="00AD4A51">
            <w:pPr>
              <w:spacing w:after="0" w:line="240" w:lineRule="auto"/>
              <w:jc w:val="both"/>
              <w:rPr>
                <w:rFonts w:ascii="Arial" w:hAnsi="Arial" w:cs="Arial"/>
                <w:color w:val="000000" w:themeColor="text1"/>
                <w:sz w:val="16"/>
                <w:szCs w:val="16"/>
                <w:lang w:val="es-ES_tradnl" w:eastAsia="es-ES"/>
              </w:rPr>
            </w:pPr>
            <w:r w:rsidRPr="00A42C6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7A62242E" w:rsidR="003A07D9" w:rsidRPr="00A42C60" w:rsidRDefault="0037195B" w:rsidP="00AD4A51">
            <w:pPr>
              <w:spacing w:after="0" w:line="240" w:lineRule="auto"/>
              <w:jc w:val="both"/>
              <w:rPr>
                <w:rFonts w:ascii="Arial" w:hAnsi="Arial" w:cs="Arial"/>
                <w:color w:val="000000" w:themeColor="text1"/>
                <w:sz w:val="16"/>
                <w:szCs w:val="16"/>
                <w:lang w:eastAsia="es-ES"/>
              </w:rPr>
            </w:pPr>
            <w:r w:rsidRPr="00A42C60">
              <w:rPr>
                <w:rFonts w:ascii="Arial" w:hAnsi="Arial" w:cs="Arial"/>
                <w:color w:val="000000" w:themeColor="text1"/>
                <w:sz w:val="16"/>
                <w:szCs w:val="16"/>
                <w:lang w:eastAsia="es-ES"/>
              </w:rPr>
              <w:t xml:space="preserve">Alejandro Sarmiento Cantillo </w:t>
            </w:r>
          </w:p>
          <w:p w14:paraId="130B3228" w14:textId="7B765391" w:rsidR="00DD5B04" w:rsidRPr="00A42C60" w:rsidRDefault="003A07D9" w:rsidP="00AD4A51">
            <w:pPr>
              <w:spacing w:after="0" w:line="240" w:lineRule="auto"/>
              <w:jc w:val="both"/>
              <w:rPr>
                <w:rFonts w:ascii="Arial" w:hAnsi="Arial" w:cs="Arial"/>
                <w:color w:val="000000" w:themeColor="text1"/>
                <w:sz w:val="16"/>
                <w:szCs w:val="16"/>
                <w:lang w:eastAsia="es-ES"/>
              </w:rPr>
            </w:pPr>
            <w:r w:rsidRPr="00A42C60">
              <w:rPr>
                <w:rFonts w:ascii="Arial" w:hAnsi="Arial" w:cs="Arial"/>
                <w:color w:val="000000" w:themeColor="text1"/>
                <w:sz w:val="16"/>
                <w:szCs w:val="16"/>
                <w:lang w:eastAsia="es-ES"/>
              </w:rPr>
              <w:t>Gestor T1-15 de la Subdirección de Gestión Contractual</w:t>
            </w:r>
          </w:p>
        </w:tc>
      </w:tr>
      <w:tr w:rsidR="00DD5B04" w:rsidRPr="001242D2" w14:paraId="0FCBCA4A" w14:textId="77777777" w:rsidTr="00D15356">
        <w:trPr>
          <w:trHeight w:val="300"/>
        </w:trPr>
        <w:tc>
          <w:tcPr>
            <w:tcW w:w="812" w:type="dxa"/>
            <w:vAlign w:val="center"/>
            <w:hideMark/>
          </w:tcPr>
          <w:p w14:paraId="3C1D943A" w14:textId="77777777" w:rsidR="00DD5B04" w:rsidRPr="00A42C60" w:rsidRDefault="00DD5B04" w:rsidP="00AD4A51">
            <w:pPr>
              <w:spacing w:after="0" w:line="240" w:lineRule="auto"/>
              <w:jc w:val="both"/>
              <w:rPr>
                <w:rFonts w:ascii="Arial" w:hAnsi="Arial" w:cs="Arial"/>
                <w:color w:val="000000" w:themeColor="text1"/>
                <w:sz w:val="16"/>
                <w:szCs w:val="16"/>
                <w:lang w:val="es-ES_tradnl" w:eastAsia="es-ES"/>
              </w:rPr>
            </w:pPr>
            <w:r w:rsidRPr="00A42C6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741BE79" w14:textId="77777777" w:rsidR="000D4F49" w:rsidRPr="00A42C60" w:rsidRDefault="000D4F49" w:rsidP="000D4F49">
            <w:pPr>
              <w:spacing w:after="0" w:line="240" w:lineRule="auto"/>
              <w:rPr>
                <w:rFonts w:ascii="Arial" w:hAnsi="Arial" w:cs="Arial"/>
                <w:color w:val="000000" w:themeColor="text1"/>
                <w:sz w:val="16"/>
                <w:szCs w:val="16"/>
                <w:lang w:eastAsia="es-ES"/>
              </w:rPr>
            </w:pPr>
            <w:r w:rsidRPr="00A42C60">
              <w:rPr>
                <w:rFonts w:ascii="Arial" w:hAnsi="Arial" w:cs="Arial"/>
                <w:color w:val="000000" w:themeColor="text1"/>
                <w:sz w:val="16"/>
                <w:szCs w:val="16"/>
                <w:lang w:eastAsia="es-ES"/>
              </w:rPr>
              <w:t>Nohelia del Carmen Zawady Palacio</w:t>
            </w:r>
          </w:p>
          <w:p w14:paraId="1ADC483B" w14:textId="10351E46" w:rsidR="00DD5B04" w:rsidRPr="00A42C60" w:rsidRDefault="000D4F49" w:rsidP="000D4F49">
            <w:pPr>
              <w:spacing w:after="0" w:line="240" w:lineRule="auto"/>
              <w:jc w:val="both"/>
              <w:rPr>
                <w:rFonts w:ascii="Arial" w:hAnsi="Arial" w:cs="Arial"/>
                <w:color w:val="000000" w:themeColor="text1"/>
                <w:sz w:val="16"/>
                <w:szCs w:val="16"/>
                <w:lang w:val="es-ES_tradnl" w:eastAsia="es-ES"/>
              </w:rPr>
            </w:pPr>
            <w:r w:rsidRPr="00A42C60">
              <w:rPr>
                <w:rFonts w:ascii="Arial" w:eastAsia="Arial" w:hAnsi="Arial" w:cs="Arial"/>
                <w:color w:val="000000"/>
                <w:sz w:val="16"/>
                <w:szCs w:val="16"/>
              </w:rPr>
              <w:t>Subdirectora de Gestión Contractual</w:t>
            </w:r>
          </w:p>
        </w:tc>
      </w:tr>
      <w:bookmarkEnd w:id="0"/>
      <w:bookmarkEnd w:id="1"/>
    </w:tbl>
    <w:p w14:paraId="575AF8D6" w14:textId="7D1D8945" w:rsidR="003A07D9" w:rsidRDefault="003A07D9" w:rsidP="003A07D9">
      <w:pPr>
        <w:tabs>
          <w:tab w:val="left" w:pos="3570"/>
        </w:tabs>
        <w:rPr>
          <w:rFonts w:ascii="Arial" w:hAnsi="Arial" w:cs="Arial"/>
          <w:lang w:val="es-ES_tradnl"/>
        </w:rPr>
      </w:pPr>
    </w:p>
    <w:p w14:paraId="71281286" w14:textId="2C73405A" w:rsidR="00C73BDE" w:rsidRPr="00C73BDE" w:rsidRDefault="00C73BDE" w:rsidP="00C73BDE">
      <w:pPr>
        <w:rPr>
          <w:rFonts w:ascii="Arial" w:hAnsi="Arial" w:cs="Arial"/>
          <w:lang w:val="es-ES_tradnl"/>
        </w:rPr>
      </w:pPr>
    </w:p>
    <w:p w14:paraId="5C788227" w14:textId="1625FA9F" w:rsidR="00C73BDE" w:rsidRDefault="00C73BDE" w:rsidP="00C73BDE">
      <w:pPr>
        <w:rPr>
          <w:rFonts w:ascii="Arial" w:hAnsi="Arial" w:cs="Arial"/>
          <w:lang w:val="es-ES_tradnl"/>
        </w:rPr>
      </w:pPr>
    </w:p>
    <w:p w14:paraId="4A0C612E" w14:textId="57F8FD1F" w:rsidR="00C73BDE" w:rsidRPr="00C73BDE" w:rsidRDefault="00C73BDE" w:rsidP="00C73BDE">
      <w:pPr>
        <w:tabs>
          <w:tab w:val="left" w:pos="3810"/>
        </w:tabs>
        <w:rPr>
          <w:rFonts w:ascii="Arial" w:hAnsi="Arial" w:cs="Arial"/>
          <w:lang w:val="es-ES_tradnl"/>
        </w:rPr>
      </w:pPr>
      <w:r>
        <w:rPr>
          <w:rFonts w:ascii="Arial" w:hAnsi="Arial" w:cs="Arial"/>
          <w:lang w:val="es-ES_tradnl"/>
        </w:rPr>
        <w:tab/>
      </w:r>
    </w:p>
    <w:sectPr w:rsidR="00C73BDE" w:rsidRPr="00C73BDE" w:rsidSect="00A42C60">
      <w:headerReference w:type="default" r:id="rId13"/>
      <w:footerReference w:type="even" r:id="rId14"/>
      <w:footerReference w:type="default" r:id="rId15"/>
      <w:pgSz w:w="12240" w:h="15840"/>
      <w:pgMar w:top="2041" w:right="1750"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06CD" w14:textId="77777777" w:rsidR="009D42B9" w:rsidRDefault="009D42B9">
      <w:r>
        <w:separator/>
      </w:r>
    </w:p>
  </w:endnote>
  <w:endnote w:type="continuationSeparator" w:id="0">
    <w:p w14:paraId="3221BB39" w14:textId="77777777" w:rsidR="009D42B9" w:rsidRDefault="009D42B9">
      <w:r>
        <w:continuationSeparator/>
      </w:r>
    </w:p>
  </w:endnote>
  <w:endnote w:type="continuationNotice" w:id="1">
    <w:p w14:paraId="66F3B769" w14:textId="77777777" w:rsidR="009D42B9" w:rsidRDefault="009D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7420" w14:textId="77777777" w:rsidR="000F3E85" w:rsidRDefault="000F3E85">
    <w:pPr>
      <w:pStyle w:val="Piedepgina"/>
    </w:pPr>
  </w:p>
  <w:p w14:paraId="7D637190" w14:textId="77777777" w:rsidR="00A61A89" w:rsidRDefault="00A61A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7C6D95CC" w:rsidR="00E2520A" w:rsidRPr="0020796E" w:rsidRDefault="0020796E" w:rsidP="0020796E">
    <w:pPr>
      <w:pStyle w:val="Piedepgina"/>
      <w:rPr>
        <w:rFonts w:ascii="Arial" w:hAnsi="Arial" w:cs="Arial"/>
        <w:color w:val="7F7F7F"/>
        <w:sz w:val="16"/>
        <w:szCs w:val="16"/>
      </w:rPr>
    </w:pPr>
    <w:r>
      <w:rPr>
        <w:noProof/>
      </w:rPr>
      <w:drawing>
        <wp:inline distT="0" distB="0" distL="0" distR="0" wp14:anchorId="4EE241A6" wp14:editId="327EECCF">
          <wp:extent cx="5553075" cy="866719"/>
          <wp:effectExtent l="0" t="0" r="0" b="0"/>
          <wp:docPr id="12" name="Imagen 12"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36"/>
      <w:gridCol w:w="844"/>
      <w:gridCol w:w="1653"/>
      <w:gridCol w:w="720"/>
      <w:gridCol w:w="2250"/>
      <w:gridCol w:w="1706"/>
    </w:tblGrid>
    <w:tr w:rsidR="0020796E" w:rsidRPr="00080DA3" w14:paraId="68BC7901" w14:textId="77777777" w:rsidTr="00A42C60">
      <w:trPr>
        <w:trHeight w:val="198"/>
        <w:jc w:val="center"/>
      </w:trPr>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08FF6F4"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36"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E01DE96"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8C4F949"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653"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79C225D" w14:textId="77777777" w:rsidR="0020796E" w:rsidRPr="004B6B0E" w:rsidRDefault="0020796E" w:rsidP="0020796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BDF1025"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250"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77B246D" w14:textId="77777777" w:rsidR="0020796E" w:rsidRPr="00080DA3" w:rsidRDefault="0020796E" w:rsidP="0020796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706"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A3119EE" w14:textId="77777777" w:rsidR="0020796E" w:rsidRPr="00080DA3" w:rsidRDefault="0020796E" w:rsidP="00A42C60">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4C28B" w14:textId="77777777" w:rsidR="009D42B9" w:rsidRDefault="009D42B9">
      <w:r>
        <w:separator/>
      </w:r>
    </w:p>
  </w:footnote>
  <w:footnote w:type="continuationSeparator" w:id="0">
    <w:p w14:paraId="1B86EF44" w14:textId="77777777" w:rsidR="009D42B9" w:rsidRDefault="009D42B9">
      <w:r>
        <w:continuationSeparator/>
      </w:r>
    </w:p>
  </w:footnote>
  <w:footnote w:type="continuationNotice" w:id="1">
    <w:p w14:paraId="6508ACBA" w14:textId="77777777" w:rsidR="009D42B9" w:rsidRDefault="009D42B9"/>
  </w:footnote>
  <w:footnote w:id="2">
    <w:p w14:paraId="37E3855F" w14:textId="245C9DAC" w:rsidR="00FF56A3" w:rsidRPr="00A42C60" w:rsidRDefault="00FF56A3" w:rsidP="00FF56A3">
      <w:pPr>
        <w:pStyle w:val="Textonotapie"/>
        <w:ind w:firstLine="709"/>
        <w:jc w:val="both"/>
        <w:rPr>
          <w:rFonts w:ascii="Arial" w:hAnsi="Arial" w:cs="Arial"/>
          <w:sz w:val="16"/>
          <w:szCs w:val="16"/>
          <w:lang w:val="es-CO"/>
        </w:rPr>
      </w:pPr>
      <w:r w:rsidRPr="00A42C60">
        <w:rPr>
          <w:rStyle w:val="Refdenotaalpie"/>
          <w:rFonts w:ascii="Arial" w:hAnsi="Arial" w:cs="Arial"/>
          <w:sz w:val="16"/>
          <w:szCs w:val="16"/>
        </w:rPr>
        <w:footnoteRef/>
      </w:r>
      <w:r w:rsidRPr="00A42C60">
        <w:rPr>
          <w:rFonts w:ascii="Arial" w:hAnsi="Arial" w:cs="Arial"/>
          <w:sz w:val="16"/>
          <w:szCs w:val="16"/>
        </w:rPr>
        <w:t xml:space="preserve"> </w:t>
      </w:r>
      <w:r w:rsidRPr="00A42C60">
        <w:rPr>
          <w:rFonts w:ascii="Arial" w:hAnsi="Arial" w:cs="Arial"/>
          <w:color w:val="000000" w:themeColor="text1"/>
          <w:sz w:val="18"/>
          <w:szCs w:val="18"/>
        </w:rPr>
        <w:t>Est</w:t>
      </w:r>
      <w:r w:rsidR="00501285" w:rsidRPr="00A42C60">
        <w:rPr>
          <w:rFonts w:ascii="Arial" w:hAnsi="Arial" w:cs="Arial"/>
          <w:color w:val="000000" w:themeColor="text1"/>
          <w:sz w:val="18"/>
          <w:szCs w:val="18"/>
        </w:rPr>
        <w:t>os</w:t>
      </w:r>
      <w:r w:rsidRPr="00A42C60">
        <w:rPr>
          <w:rFonts w:ascii="Arial" w:hAnsi="Arial" w:cs="Arial"/>
          <w:color w:val="000000" w:themeColor="text1"/>
          <w:sz w:val="18"/>
          <w:szCs w:val="18"/>
        </w:rPr>
        <w:t xml:space="preserve"> concept</w:t>
      </w:r>
      <w:r w:rsidR="00501285" w:rsidRPr="00A42C60">
        <w:rPr>
          <w:rFonts w:ascii="Arial" w:hAnsi="Arial" w:cs="Arial"/>
          <w:color w:val="000000" w:themeColor="text1"/>
          <w:sz w:val="18"/>
          <w:szCs w:val="18"/>
        </w:rPr>
        <w:t>os</w:t>
      </w:r>
      <w:r w:rsidRPr="00A42C60">
        <w:rPr>
          <w:rFonts w:ascii="Arial" w:hAnsi="Arial" w:cs="Arial"/>
          <w:color w:val="000000" w:themeColor="text1"/>
          <w:sz w:val="18"/>
          <w:szCs w:val="18"/>
        </w:rPr>
        <w:t xml:space="preserve"> puede</w:t>
      </w:r>
      <w:r w:rsidR="00501285" w:rsidRPr="00A42C60">
        <w:rPr>
          <w:rFonts w:ascii="Arial" w:hAnsi="Arial" w:cs="Arial"/>
          <w:color w:val="000000" w:themeColor="text1"/>
          <w:sz w:val="18"/>
          <w:szCs w:val="18"/>
        </w:rPr>
        <w:t>n</w:t>
      </w:r>
      <w:r w:rsidRPr="00A42C60">
        <w:rPr>
          <w:rFonts w:ascii="Arial" w:hAnsi="Arial" w:cs="Arial"/>
          <w:color w:val="000000" w:themeColor="text1"/>
          <w:sz w:val="18"/>
          <w:szCs w:val="18"/>
        </w:rPr>
        <w:t xml:space="preserve"> ser consultado en la relatoría de la Agencia en el siguiente enlace: </w:t>
      </w:r>
      <w:hyperlink r:id="rId1" w:history="1">
        <w:r w:rsidRPr="00A42C60">
          <w:rPr>
            <w:rFonts w:ascii="Arial" w:hAnsi="Arial" w:cs="Arial"/>
            <w:sz w:val="18"/>
            <w:szCs w:val="18"/>
          </w:rPr>
          <w:t>https://relatoria.colombiacompra.gov.co/busqueda/conceptos#</w:t>
        </w:r>
      </w:hyperlink>
      <w:r w:rsidRPr="00D160CC">
        <w:rPr>
          <w:rFonts w:ascii="Arial" w:hAnsi="Arial" w:cs="Arial"/>
          <w:color w:val="000000" w:themeColor="text1"/>
          <w:sz w:val="16"/>
          <w:szCs w:val="16"/>
          <w:lang w:val="es-CO"/>
        </w:rPr>
        <w:t xml:space="preserve"> </w:t>
      </w:r>
    </w:p>
  </w:footnote>
  <w:footnote w:id="3">
    <w:p w14:paraId="5139A302" w14:textId="77777777" w:rsidR="006F3909" w:rsidRPr="00A42C60" w:rsidRDefault="006F3909" w:rsidP="006F3909">
      <w:pPr>
        <w:pStyle w:val="Textonotapie"/>
        <w:ind w:firstLine="709"/>
        <w:jc w:val="both"/>
        <w:rPr>
          <w:rFonts w:ascii="Arial" w:hAnsi="Arial" w:cs="Arial"/>
          <w:color w:val="000000" w:themeColor="text1"/>
          <w:sz w:val="18"/>
          <w:szCs w:val="18"/>
        </w:rPr>
      </w:pPr>
      <w:r w:rsidRPr="00D160CC">
        <w:rPr>
          <w:rStyle w:val="Refdenotaalpie"/>
          <w:rFonts w:ascii="Arial" w:hAnsi="Arial" w:cs="Arial"/>
          <w:sz w:val="19"/>
          <w:szCs w:val="19"/>
        </w:rPr>
        <w:footnoteRef/>
      </w:r>
      <w:r w:rsidRPr="00D160CC">
        <w:rPr>
          <w:rFonts w:ascii="Arial" w:hAnsi="Arial" w:cs="Arial"/>
          <w:sz w:val="19"/>
          <w:szCs w:val="19"/>
        </w:rPr>
        <w:t xml:space="preserve"> </w:t>
      </w:r>
      <w:r w:rsidRPr="00D160CC">
        <w:rPr>
          <w:rFonts w:ascii="Arial" w:hAnsi="Arial" w:cs="Arial"/>
          <w:sz w:val="19"/>
          <w:szCs w:val="19"/>
          <w:lang w:val="es-ES"/>
        </w:rPr>
        <w:t>«</w:t>
      </w:r>
      <w:r w:rsidRPr="00A42C60">
        <w:rPr>
          <w:rFonts w:ascii="Arial" w:hAnsi="Arial" w:cs="Arial"/>
          <w:color w:val="000000" w:themeColor="text1"/>
          <w:sz w:val="18"/>
          <w:szCs w:val="18"/>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2B2F61FD" w14:textId="77777777" w:rsidR="006F3909" w:rsidRPr="00D160CC" w:rsidRDefault="006F3909" w:rsidP="006F3909">
      <w:pPr>
        <w:pStyle w:val="Textonotapie"/>
        <w:ind w:firstLine="709"/>
        <w:jc w:val="both"/>
        <w:rPr>
          <w:rFonts w:ascii="Arial" w:hAnsi="Arial" w:cs="Arial"/>
          <w:sz w:val="19"/>
          <w:szCs w:val="19"/>
          <w:lang w:val="es-ES"/>
        </w:rPr>
      </w:pPr>
      <w:r w:rsidRPr="00A42C60">
        <w:rPr>
          <w:rFonts w:ascii="Arial" w:hAnsi="Arial" w:cs="Arial"/>
          <w:color w:val="000000" w:themeColor="text1"/>
          <w:sz w:val="18"/>
          <w:szCs w:val="18"/>
        </w:rPr>
        <w:t>»Sin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4">
    <w:p w14:paraId="53CEEDB7" w14:textId="77777777" w:rsidR="006F3909" w:rsidRPr="00A42C60" w:rsidRDefault="006F3909" w:rsidP="006F3909">
      <w:pPr>
        <w:pStyle w:val="Textonotapie"/>
        <w:ind w:firstLine="709"/>
        <w:jc w:val="both"/>
        <w:rPr>
          <w:rFonts w:ascii="Arial" w:hAnsi="Arial" w:cs="Arial"/>
          <w:color w:val="000000" w:themeColor="text1"/>
          <w:sz w:val="18"/>
          <w:szCs w:val="18"/>
        </w:rPr>
      </w:pPr>
      <w:r w:rsidRPr="00D160CC">
        <w:rPr>
          <w:rStyle w:val="Refdenotaalpie"/>
          <w:rFonts w:ascii="Arial" w:hAnsi="Arial" w:cs="Arial"/>
          <w:sz w:val="19"/>
          <w:szCs w:val="19"/>
        </w:rPr>
        <w:footnoteRef/>
      </w:r>
      <w:r w:rsidRPr="00D160CC">
        <w:rPr>
          <w:rFonts w:ascii="Arial" w:hAnsi="Arial" w:cs="Arial"/>
          <w:sz w:val="19"/>
          <w:szCs w:val="19"/>
        </w:rPr>
        <w:t xml:space="preserve"> </w:t>
      </w:r>
      <w:r w:rsidRPr="00A42C60">
        <w:rPr>
          <w:rFonts w:ascii="Arial" w:hAnsi="Arial" w:cs="Arial"/>
          <w:color w:val="000000" w:themeColor="text1"/>
          <w:sz w:val="18"/>
          <w:szCs w:val="18"/>
        </w:rPr>
        <w:t xml:space="preserve">Consejo de Estado. Sección Tercera. Subsección B. Sentencia del 14 de octubre de 2011. </w:t>
      </w:r>
      <w:proofErr w:type="spellStart"/>
      <w:r w:rsidRPr="00A42C60">
        <w:rPr>
          <w:rFonts w:ascii="Arial" w:hAnsi="Arial" w:cs="Arial"/>
          <w:color w:val="000000" w:themeColor="text1"/>
          <w:sz w:val="18"/>
          <w:szCs w:val="18"/>
        </w:rPr>
        <w:t>Exp</w:t>
      </w:r>
      <w:proofErr w:type="spellEnd"/>
      <w:r w:rsidRPr="00A42C60">
        <w:rPr>
          <w:rFonts w:ascii="Arial" w:hAnsi="Arial" w:cs="Arial"/>
          <w:color w:val="000000" w:themeColor="text1"/>
          <w:sz w:val="18"/>
          <w:szCs w:val="18"/>
        </w:rPr>
        <w:t>. 20811, C.P. Ruth Stella Correa Palacio.</w:t>
      </w:r>
    </w:p>
    <w:p w14:paraId="44827845" w14:textId="77777777" w:rsidR="006F3909" w:rsidRPr="00D160CC" w:rsidRDefault="006F3909" w:rsidP="006F3909">
      <w:pPr>
        <w:pStyle w:val="Textonotapie"/>
        <w:ind w:firstLine="709"/>
        <w:jc w:val="both"/>
        <w:rPr>
          <w:rFonts w:ascii="Arial" w:hAnsi="Arial" w:cs="Arial"/>
          <w:sz w:val="19"/>
          <w:szCs w:val="19"/>
          <w:lang w:val="es-ES"/>
        </w:rPr>
      </w:pPr>
    </w:p>
  </w:footnote>
  <w:footnote w:id="5">
    <w:p w14:paraId="502B1ABE" w14:textId="6689A149" w:rsidR="007F068B" w:rsidRPr="00A42C60" w:rsidRDefault="001E67AB" w:rsidP="00A42C60">
      <w:pPr>
        <w:pStyle w:val="Textonotapie"/>
        <w:spacing w:after="60"/>
        <w:ind w:firstLine="709"/>
        <w:jc w:val="both"/>
        <w:rPr>
          <w:rFonts w:ascii="Arial" w:hAnsi="Arial" w:cs="Arial"/>
          <w:sz w:val="19"/>
          <w:szCs w:val="19"/>
        </w:rPr>
      </w:pPr>
      <w:r w:rsidRPr="00A42C60">
        <w:rPr>
          <w:rStyle w:val="Refdenotaalpie"/>
          <w:rFonts w:ascii="Arial" w:hAnsi="Arial" w:cs="Arial"/>
          <w:sz w:val="19"/>
          <w:szCs w:val="19"/>
        </w:rPr>
        <w:footnoteRef/>
      </w:r>
      <w:r w:rsidRPr="00A42C60">
        <w:rPr>
          <w:rFonts w:ascii="Arial" w:hAnsi="Arial" w:cs="Arial"/>
          <w:sz w:val="19"/>
          <w:szCs w:val="19"/>
        </w:rPr>
        <w:t xml:space="preserve"> Decreto ley 222</w:t>
      </w:r>
      <w:r w:rsidR="007F068B" w:rsidRPr="00A42C60">
        <w:rPr>
          <w:rFonts w:ascii="Arial" w:hAnsi="Arial" w:cs="Arial"/>
          <w:sz w:val="19"/>
          <w:szCs w:val="19"/>
        </w:rPr>
        <w:t xml:space="preserve"> de 1983</w:t>
      </w:r>
      <w:r w:rsidR="007F068B">
        <w:rPr>
          <w:rFonts w:ascii="Arial" w:hAnsi="Arial" w:cs="Arial"/>
          <w:sz w:val="19"/>
          <w:szCs w:val="19"/>
        </w:rPr>
        <w:t>:</w:t>
      </w:r>
      <w:r w:rsidR="007F068B" w:rsidRPr="00A42C60">
        <w:rPr>
          <w:rFonts w:ascii="Arial" w:hAnsi="Arial" w:cs="Arial"/>
          <w:sz w:val="19"/>
          <w:szCs w:val="19"/>
        </w:rPr>
        <w:t xml:space="preserve"> «Artículo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1AB08F67" w14:textId="0F05F9CA" w:rsidR="007F068B" w:rsidRPr="00A42C60" w:rsidRDefault="007F068B" w:rsidP="00A42C60">
      <w:pPr>
        <w:pStyle w:val="Textonotapie"/>
        <w:spacing w:after="60"/>
        <w:ind w:firstLine="709"/>
        <w:jc w:val="both"/>
        <w:rPr>
          <w:rFonts w:ascii="Arial" w:hAnsi="Arial" w:cs="Arial"/>
          <w:sz w:val="19"/>
          <w:szCs w:val="19"/>
        </w:rPr>
      </w:pPr>
      <w:proofErr w:type="gramStart"/>
      <w:r w:rsidRPr="00A42C60">
        <w:rPr>
          <w:rFonts w:ascii="Arial" w:hAnsi="Arial" w:cs="Arial"/>
          <w:sz w:val="19"/>
          <w:szCs w:val="19"/>
        </w:rPr>
        <w:t>»Las</w:t>
      </w:r>
      <w:proofErr w:type="gramEnd"/>
      <w:r w:rsidRPr="00A42C60">
        <w:rPr>
          <w:rFonts w:ascii="Arial" w:hAnsi="Arial" w:cs="Arial"/>
          <w:sz w:val="19"/>
          <w:szCs w:val="19"/>
        </w:rPr>
        <w:t xml:space="preserve"> adiciones relacionadas con el valor quedarán perfeccionadas una vez suscrito el contrato y efectuado el registro presupuestal. Las relaciones con el plazo sólo requerirán firma del jefe de la entidad contratante y prórroga de las garantías. </w:t>
      </w:r>
    </w:p>
    <w:p w14:paraId="4B28D315" w14:textId="03DEEA30" w:rsidR="007F068B" w:rsidRPr="00A42C60" w:rsidRDefault="007F068B" w:rsidP="00A42C60">
      <w:pPr>
        <w:pStyle w:val="Textonotapie"/>
        <w:spacing w:after="60"/>
        <w:ind w:firstLine="709"/>
        <w:jc w:val="both"/>
        <w:rPr>
          <w:rFonts w:ascii="Arial" w:hAnsi="Arial" w:cs="Arial"/>
          <w:sz w:val="19"/>
          <w:szCs w:val="19"/>
        </w:rPr>
      </w:pPr>
      <w:proofErr w:type="gramStart"/>
      <w:r w:rsidRPr="00A42C60">
        <w:rPr>
          <w:rFonts w:ascii="Arial" w:hAnsi="Arial" w:cs="Arial"/>
          <w:sz w:val="19"/>
          <w:szCs w:val="19"/>
        </w:rPr>
        <w:t>»Serán</w:t>
      </w:r>
      <w:proofErr w:type="gramEnd"/>
      <w:r w:rsidRPr="00A42C60">
        <w:rPr>
          <w:rFonts w:ascii="Arial" w:hAnsi="Arial" w:cs="Arial"/>
          <w:sz w:val="19"/>
          <w:szCs w:val="19"/>
        </w:rPr>
        <w:t xml:space="preserve"> requisitos para que pueda iniciarse la ejecución del contrato, la adición y prórroga de las garantías y el pago de los impuestos correspondientes. </w:t>
      </w:r>
    </w:p>
    <w:p w14:paraId="1FE97B19" w14:textId="6F3E71D6" w:rsidR="007F068B" w:rsidRPr="00A42C60" w:rsidRDefault="007F068B" w:rsidP="00A42C60">
      <w:pPr>
        <w:pStyle w:val="Textonotapie"/>
        <w:spacing w:after="60"/>
        <w:ind w:firstLine="709"/>
        <w:jc w:val="both"/>
        <w:rPr>
          <w:rFonts w:ascii="Arial" w:hAnsi="Arial" w:cs="Arial"/>
          <w:sz w:val="19"/>
          <w:szCs w:val="19"/>
        </w:rPr>
      </w:pPr>
      <w:proofErr w:type="gramStart"/>
      <w:r w:rsidRPr="00A42C60">
        <w:rPr>
          <w:rFonts w:ascii="Arial" w:hAnsi="Arial" w:cs="Arial"/>
          <w:sz w:val="19"/>
          <w:szCs w:val="19"/>
        </w:rPr>
        <w:t>»Los</w:t>
      </w:r>
      <w:proofErr w:type="gramEnd"/>
      <w:r w:rsidRPr="00A42C60">
        <w:rPr>
          <w:rFonts w:ascii="Arial" w:hAnsi="Arial" w:cs="Arial"/>
          <w:sz w:val="19"/>
          <w:szCs w:val="19"/>
        </w:rPr>
        <w:t xml:space="preserve"> contratos de interventoría, administración delegada, y consultoría previstos en este estatuto, podrán adicionarse sin el límite fijado en el presente artículo. </w:t>
      </w:r>
    </w:p>
    <w:p w14:paraId="07DF6FB6" w14:textId="2FF01C68" w:rsidR="007F068B" w:rsidRPr="00A42C60" w:rsidRDefault="007F068B" w:rsidP="00A42C60">
      <w:pPr>
        <w:pStyle w:val="Textonotapie"/>
        <w:spacing w:after="60"/>
        <w:ind w:firstLine="709"/>
        <w:jc w:val="both"/>
        <w:rPr>
          <w:rFonts w:ascii="Arial" w:hAnsi="Arial" w:cs="Arial"/>
          <w:sz w:val="19"/>
          <w:szCs w:val="19"/>
        </w:rPr>
      </w:pPr>
      <w:proofErr w:type="gramStart"/>
      <w:r w:rsidRPr="00A42C60">
        <w:rPr>
          <w:rFonts w:ascii="Arial" w:hAnsi="Arial" w:cs="Arial"/>
          <w:sz w:val="19"/>
          <w:szCs w:val="19"/>
        </w:rPr>
        <w:t>»Las</w:t>
      </w:r>
      <w:proofErr w:type="gramEnd"/>
      <w:r w:rsidRPr="00A42C60">
        <w:rPr>
          <w:rFonts w:ascii="Arial" w:hAnsi="Arial" w:cs="Arial"/>
          <w:sz w:val="19"/>
          <w:szCs w:val="19"/>
        </w:rPr>
        <w:t xml:space="preserve"> adiciones deberán publicarse en el Diario oficial. </w:t>
      </w:r>
    </w:p>
    <w:p w14:paraId="4E8E554C" w14:textId="60049C22" w:rsidR="007F068B" w:rsidRPr="00A42C60" w:rsidRDefault="007F068B" w:rsidP="00A42C60">
      <w:pPr>
        <w:pStyle w:val="Textonotapie"/>
        <w:spacing w:after="60"/>
        <w:ind w:firstLine="709"/>
        <w:jc w:val="both"/>
        <w:rPr>
          <w:rFonts w:ascii="Arial" w:hAnsi="Arial" w:cs="Arial"/>
          <w:sz w:val="19"/>
          <w:szCs w:val="19"/>
        </w:rPr>
      </w:pPr>
      <w:proofErr w:type="gramStart"/>
      <w:r w:rsidRPr="00A42C60">
        <w:rPr>
          <w:rFonts w:ascii="Arial" w:hAnsi="Arial" w:cs="Arial"/>
          <w:sz w:val="19"/>
          <w:szCs w:val="19"/>
        </w:rPr>
        <w:t>»En</w:t>
      </w:r>
      <w:proofErr w:type="gramEnd"/>
      <w:r w:rsidRPr="00A42C60">
        <w:rPr>
          <w:rFonts w:ascii="Arial" w:hAnsi="Arial" w:cs="Arial"/>
          <w:sz w:val="19"/>
          <w:szCs w:val="19"/>
        </w:rPr>
        <w:t xml:space="preserve"> ningún caso podrá modificarse el objeto de los contratos, ni prorrogarse su plazo si estuviere vencido, so pretexto de la celebración de contratos adicionales, ni pactarse prórrogas automáticas. </w:t>
      </w:r>
    </w:p>
    <w:p w14:paraId="55CC9CBE" w14:textId="77777777" w:rsidR="007F068B" w:rsidRDefault="007F068B" w:rsidP="007F068B">
      <w:pPr>
        <w:pStyle w:val="Textonotapie"/>
        <w:ind w:firstLine="708"/>
        <w:jc w:val="both"/>
        <w:rPr>
          <w:rFonts w:ascii="Arial" w:hAnsi="Arial" w:cs="Arial"/>
          <w:sz w:val="19"/>
          <w:szCs w:val="19"/>
        </w:rPr>
      </w:pPr>
      <w:proofErr w:type="gramStart"/>
      <w:r w:rsidRPr="00A42C60">
        <w:rPr>
          <w:rFonts w:ascii="Arial" w:hAnsi="Arial" w:cs="Arial"/>
          <w:sz w:val="19"/>
          <w:szCs w:val="19"/>
        </w:rPr>
        <w:t>»Parágrafo</w:t>
      </w:r>
      <w:proofErr w:type="gramEnd"/>
      <w:r w:rsidRPr="00A42C60">
        <w:rPr>
          <w:rFonts w:ascii="Arial" w:hAnsi="Arial" w:cs="Arial"/>
          <w:sz w:val="19"/>
          <w:szCs w:val="19"/>
        </w:rPr>
        <w:t>. Los contratos de empréstito distintos a los créditos de proveedores, no se someterán a lo dispuesto en este artículo».</w:t>
      </w:r>
    </w:p>
    <w:p w14:paraId="5BE593B0" w14:textId="2A81EF78" w:rsidR="001E67AB" w:rsidRDefault="007F068B" w:rsidP="00A42C60">
      <w:pPr>
        <w:pStyle w:val="Textonotapie"/>
        <w:ind w:firstLine="708"/>
        <w:jc w:val="both"/>
      </w:pPr>
      <w:r>
        <w:t xml:space="preserve"> </w:t>
      </w:r>
      <w:r w:rsidR="001E67AB">
        <w:t xml:space="preserve"> </w:t>
      </w:r>
    </w:p>
  </w:footnote>
  <w:footnote w:id="6">
    <w:p w14:paraId="21C6BE16" w14:textId="6A075DD3" w:rsidR="00A6369A" w:rsidRPr="00A42C60" w:rsidRDefault="00ED5C48" w:rsidP="00A42C60">
      <w:pPr>
        <w:pStyle w:val="Textonotapie"/>
        <w:ind w:firstLine="708"/>
        <w:jc w:val="both"/>
        <w:rPr>
          <w:rFonts w:ascii="Arial" w:hAnsi="Arial" w:cs="Arial"/>
          <w:sz w:val="18"/>
          <w:szCs w:val="18"/>
        </w:rPr>
      </w:pPr>
      <w:r w:rsidRPr="00A42C60">
        <w:rPr>
          <w:rStyle w:val="Refdenotaalpie"/>
          <w:rFonts w:ascii="Arial" w:hAnsi="Arial" w:cs="Arial"/>
          <w:sz w:val="18"/>
          <w:szCs w:val="18"/>
        </w:rPr>
        <w:footnoteRef/>
      </w:r>
      <w:r w:rsidRPr="00A42C60">
        <w:rPr>
          <w:rFonts w:ascii="Arial" w:hAnsi="Arial" w:cs="Arial"/>
          <w:sz w:val="18"/>
          <w:szCs w:val="18"/>
        </w:rPr>
        <w:t xml:space="preserve"> </w:t>
      </w:r>
      <w:r w:rsidR="005F30A1" w:rsidRPr="00A42C60">
        <w:rPr>
          <w:rFonts w:ascii="Arial" w:hAnsi="Arial" w:cs="Arial"/>
          <w:sz w:val="18"/>
          <w:szCs w:val="18"/>
        </w:rPr>
        <w:t>La Sala de Consulta y Servicio Civil del Consejo de Estado ha explicado que</w:t>
      </w:r>
      <w:r w:rsidR="00CB1D6B" w:rsidRPr="00A42C60">
        <w:rPr>
          <w:rFonts w:ascii="Arial" w:hAnsi="Arial" w:cs="Arial"/>
          <w:sz w:val="18"/>
          <w:szCs w:val="18"/>
        </w:rPr>
        <w:t xml:space="preserve">: «[…] son diferentes el contrato adicional y la adición de </w:t>
      </w:r>
      <w:r w:rsidR="00831AD6" w:rsidRPr="00A42C60">
        <w:rPr>
          <w:rFonts w:ascii="Arial" w:hAnsi="Arial" w:cs="Arial"/>
          <w:sz w:val="18"/>
          <w:szCs w:val="18"/>
        </w:rPr>
        <w:t>contratos. Aquel es un nuevo contrato</w:t>
      </w:r>
      <w:r w:rsidR="00E50F9A" w:rsidRPr="00A42C60">
        <w:rPr>
          <w:rFonts w:ascii="Arial" w:hAnsi="Arial" w:cs="Arial"/>
          <w:sz w:val="18"/>
          <w:szCs w:val="18"/>
        </w:rPr>
        <w:t xml:space="preserve">, mientras esta es una modificación de un contrato en ejecución. </w:t>
      </w:r>
      <w:r w:rsidR="00224D01" w:rsidRPr="00A42C60">
        <w:rPr>
          <w:rFonts w:ascii="Arial" w:hAnsi="Arial" w:cs="Arial"/>
          <w:sz w:val="18"/>
          <w:szCs w:val="18"/>
        </w:rPr>
        <w:t>La Ley 80 de 1993 abandonó el concepto de contrato adicional e introdujo el de «</w:t>
      </w:r>
      <w:r w:rsidR="00A6369A" w:rsidRPr="00A42C60">
        <w:rPr>
          <w:rFonts w:ascii="Arial" w:hAnsi="Arial" w:cs="Arial"/>
          <w:sz w:val="18"/>
          <w:szCs w:val="18"/>
        </w:rPr>
        <w:t>adición de los contratos», sin especificar</w:t>
      </w:r>
      <w:r w:rsidR="00333D20" w:rsidRPr="00A42C60">
        <w:rPr>
          <w:rFonts w:ascii="Arial" w:hAnsi="Arial" w:cs="Arial"/>
          <w:sz w:val="18"/>
          <w:szCs w:val="18"/>
        </w:rPr>
        <w:t xml:space="preserve"> los elementos sobre los cuales puede hacerse la adición, mantuvo sí un </w:t>
      </w:r>
      <w:proofErr w:type="spellStart"/>
      <w:r w:rsidR="00333D20" w:rsidRPr="00A42C60">
        <w:rPr>
          <w:rFonts w:ascii="Arial" w:hAnsi="Arial" w:cs="Arial"/>
          <w:sz w:val="18"/>
          <w:szCs w:val="18"/>
        </w:rPr>
        <w:t>limite</w:t>
      </w:r>
      <w:proofErr w:type="spellEnd"/>
      <w:r w:rsidR="00DC7D4B" w:rsidRPr="00A42C60">
        <w:rPr>
          <w:rFonts w:ascii="Arial" w:hAnsi="Arial" w:cs="Arial"/>
          <w:sz w:val="18"/>
          <w:szCs w:val="18"/>
        </w:rPr>
        <w:t>: no más del cincuenta por ciento (50%) de su valor inicial</w:t>
      </w:r>
      <w:r w:rsidR="001A5028" w:rsidRPr="00A42C60">
        <w:rPr>
          <w:rFonts w:ascii="Arial" w:hAnsi="Arial" w:cs="Arial"/>
          <w:sz w:val="18"/>
          <w:szCs w:val="18"/>
        </w:rPr>
        <w:t>, expresado este en salarios mínimos legales mensuales</w:t>
      </w:r>
      <w:r w:rsidR="0077227E" w:rsidRPr="00A42C60">
        <w:rPr>
          <w:rFonts w:ascii="Arial" w:hAnsi="Arial" w:cs="Arial"/>
          <w:sz w:val="18"/>
          <w:szCs w:val="18"/>
        </w:rPr>
        <w:t xml:space="preserve"> […]</w:t>
      </w:r>
      <w:r w:rsidR="001A5028" w:rsidRPr="00A42C60">
        <w:rPr>
          <w:rFonts w:ascii="Arial" w:hAnsi="Arial" w:cs="Arial"/>
          <w:sz w:val="18"/>
          <w:szCs w:val="18"/>
        </w:rPr>
        <w:t>»</w:t>
      </w:r>
      <w:r w:rsidR="0077227E" w:rsidRPr="00A42C60">
        <w:rPr>
          <w:rFonts w:ascii="Arial" w:hAnsi="Arial" w:cs="Arial"/>
          <w:sz w:val="18"/>
          <w:szCs w:val="18"/>
        </w:rPr>
        <w:t xml:space="preserve">.  </w:t>
      </w:r>
      <w:r w:rsidR="00FD5A41" w:rsidRPr="00A42C60">
        <w:rPr>
          <w:rFonts w:ascii="Arial" w:hAnsi="Arial" w:cs="Arial"/>
          <w:sz w:val="18"/>
          <w:szCs w:val="18"/>
        </w:rPr>
        <w:t xml:space="preserve">Concepto 1128 del 26 de agosto de 1998, C.P. César Hoyos Salazar. </w:t>
      </w:r>
    </w:p>
    <w:p w14:paraId="301C7818" w14:textId="50DF4E2C" w:rsidR="00ED5C48" w:rsidRDefault="00CB1D6B" w:rsidP="00A42C60">
      <w:pPr>
        <w:pStyle w:val="Textonotapie"/>
        <w:ind w:firstLine="708"/>
      </w:pPr>
      <w:r>
        <w:t xml:space="preserve"> </w:t>
      </w:r>
      <w:r w:rsidR="00ED5C48">
        <w:t xml:space="preserve"> </w:t>
      </w:r>
    </w:p>
  </w:footnote>
  <w:footnote w:id="7">
    <w:p w14:paraId="5C4CD365" w14:textId="77777777" w:rsidR="006F3909" w:rsidRPr="00D160CC" w:rsidRDefault="006F3909" w:rsidP="006F3909">
      <w:pPr>
        <w:pStyle w:val="Textonotapie"/>
        <w:ind w:firstLine="708"/>
        <w:jc w:val="both"/>
        <w:rPr>
          <w:rFonts w:ascii="Arial" w:hAnsi="Arial" w:cs="Arial"/>
          <w:color w:val="000000" w:themeColor="text1"/>
          <w:sz w:val="19"/>
          <w:szCs w:val="19"/>
          <w:lang w:val="es-CO"/>
        </w:rPr>
      </w:pPr>
      <w:r w:rsidRPr="00D160CC">
        <w:rPr>
          <w:rStyle w:val="Refdenotaalpie"/>
          <w:rFonts w:ascii="Arial" w:hAnsi="Arial" w:cs="Arial"/>
          <w:color w:val="000000" w:themeColor="text1"/>
          <w:sz w:val="19"/>
          <w:szCs w:val="19"/>
        </w:rPr>
        <w:footnoteRef/>
      </w:r>
      <w:r w:rsidRPr="00D160CC">
        <w:rPr>
          <w:rFonts w:ascii="Arial" w:hAnsi="Arial" w:cs="Arial"/>
          <w:color w:val="000000" w:themeColor="text1"/>
          <w:sz w:val="19"/>
          <w:szCs w:val="19"/>
        </w:rPr>
        <w:t xml:space="preserve"> </w:t>
      </w:r>
      <w:r w:rsidRPr="00A42C60">
        <w:rPr>
          <w:rFonts w:ascii="Arial" w:hAnsi="Arial" w:cs="Arial"/>
          <w:color w:val="000000" w:themeColor="text1"/>
          <w:sz w:val="18"/>
          <w:szCs w:val="18"/>
        </w:rPr>
        <w:t>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w:t>
      </w:r>
      <w:r w:rsidRPr="00D160CC">
        <w:rPr>
          <w:rFonts w:ascii="Arial" w:hAnsi="Arial" w:cs="Arial"/>
          <w:color w:val="000000" w:themeColor="text1"/>
          <w:sz w:val="19"/>
          <w:szCs w:val="19"/>
        </w:rPr>
        <w:t xml:space="preserve"> </w:t>
      </w:r>
      <w:r w:rsidRPr="00A42C60">
        <w:rPr>
          <w:rFonts w:ascii="Arial" w:hAnsi="Arial" w:cs="Arial"/>
          <w:color w:val="000000" w:themeColor="text1"/>
          <w:sz w:val="18"/>
          <w:szCs w:val="18"/>
        </w:rPr>
        <w:t>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 w:id="8">
    <w:p w14:paraId="3F886BC9" w14:textId="77777777" w:rsidR="0083037E" w:rsidRPr="00D160CC" w:rsidRDefault="0083037E" w:rsidP="0083037E">
      <w:pPr>
        <w:pStyle w:val="Textonotapie"/>
        <w:ind w:firstLine="708"/>
        <w:jc w:val="both"/>
        <w:rPr>
          <w:rFonts w:ascii="Arial" w:hAnsi="Arial" w:cs="Arial"/>
          <w:color w:val="000000" w:themeColor="text1"/>
          <w:sz w:val="19"/>
          <w:szCs w:val="19"/>
        </w:rPr>
      </w:pPr>
      <w:r w:rsidRPr="00D160CC">
        <w:rPr>
          <w:rStyle w:val="Refdenotaalpie"/>
          <w:rFonts w:ascii="Arial" w:hAnsi="Arial" w:cs="Arial"/>
          <w:color w:val="000000" w:themeColor="text1"/>
          <w:sz w:val="19"/>
          <w:szCs w:val="19"/>
        </w:rPr>
        <w:footnoteRef/>
      </w:r>
      <w:r w:rsidRPr="00D160CC">
        <w:rPr>
          <w:rFonts w:ascii="Arial" w:hAnsi="Arial" w:cs="Arial"/>
          <w:color w:val="000000" w:themeColor="text1"/>
          <w:sz w:val="19"/>
          <w:szCs w:val="19"/>
        </w:rPr>
        <w:t xml:space="preserve"> </w:t>
      </w:r>
      <w:r w:rsidRPr="00A42C60">
        <w:rPr>
          <w:rFonts w:ascii="Arial" w:hAnsi="Arial" w:cs="Arial"/>
          <w:color w:val="000000" w:themeColor="text1"/>
          <w:sz w:val="18"/>
          <w:szCs w:val="18"/>
        </w:rPr>
        <w:t xml:space="preserve">Consejo de Estado. Sala de Consulta y Servicio Civil. Concepto del 18 de julio de 2002. </w:t>
      </w:r>
      <w:proofErr w:type="spellStart"/>
      <w:r w:rsidRPr="00A42C60">
        <w:rPr>
          <w:rFonts w:ascii="Arial" w:hAnsi="Arial" w:cs="Arial"/>
          <w:color w:val="000000" w:themeColor="text1"/>
          <w:sz w:val="18"/>
          <w:szCs w:val="18"/>
        </w:rPr>
        <w:t>Exp</w:t>
      </w:r>
      <w:proofErr w:type="spellEnd"/>
      <w:r w:rsidRPr="00A42C60">
        <w:rPr>
          <w:rFonts w:ascii="Arial" w:hAnsi="Arial" w:cs="Arial"/>
          <w:color w:val="000000" w:themeColor="text1"/>
          <w:sz w:val="18"/>
          <w:szCs w:val="18"/>
        </w:rPr>
        <w:t>. 1.439 C.P. Susana Montes Echeverri.</w:t>
      </w:r>
    </w:p>
  </w:footnote>
  <w:footnote w:id="9">
    <w:p w14:paraId="6F9BE15F" w14:textId="013B479A" w:rsidR="0083037E" w:rsidRPr="00D160CC" w:rsidRDefault="0083037E" w:rsidP="0083037E">
      <w:pPr>
        <w:pStyle w:val="Textonotapie"/>
        <w:ind w:firstLine="708"/>
        <w:jc w:val="both"/>
        <w:rPr>
          <w:rFonts w:ascii="Arial" w:hAnsi="Arial" w:cs="Arial"/>
          <w:color w:val="000000" w:themeColor="text1"/>
          <w:sz w:val="19"/>
          <w:szCs w:val="19"/>
        </w:rPr>
      </w:pPr>
      <w:r w:rsidRPr="00D160CC">
        <w:rPr>
          <w:rStyle w:val="Refdenotaalpie"/>
          <w:rFonts w:ascii="Arial" w:hAnsi="Arial" w:cs="Arial"/>
          <w:color w:val="000000" w:themeColor="text1"/>
          <w:sz w:val="19"/>
          <w:szCs w:val="19"/>
        </w:rPr>
        <w:footnoteRef/>
      </w:r>
      <w:r w:rsidRPr="00D160CC">
        <w:rPr>
          <w:rFonts w:ascii="Arial" w:hAnsi="Arial" w:cs="Arial"/>
          <w:color w:val="000000" w:themeColor="text1"/>
          <w:sz w:val="19"/>
          <w:szCs w:val="19"/>
        </w:rPr>
        <w:t xml:space="preserve"> </w:t>
      </w:r>
      <w:proofErr w:type="spellStart"/>
      <w:r w:rsidRPr="00A42C60">
        <w:rPr>
          <w:rFonts w:ascii="Arial" w:hAnsi="Arial" w:cs="Arial"/>
          <w:color w:val="000000" w:themeColor="text1"/>
          <w:sz w:val="18"/>
          <w:szCs w:val="18"/>
        </w:rPr>
        <w:t>Ibíd</w:t>
      </w:r>
      <w:proofErr w:type="spellEnd"/>
      <w:r w:rsidRPr="00A42C60">
        <w:rPr>
          <w:rFonts w:ascii="Arial" w:hAnsi="Arial" w:cs="Arial"/>
          <w:color w:val="000000" w:themeColor="text1"/>
          <w:sz w:val="18"/>
          <w:szCs w:val="18"/>
        </w:rPr>
        <w:t>.</w:t>
      </w:r>
      <w:r w:rsidR="00E451BA" w:rsidRPr="00D160CC">
        <w:rPr>
          <w:rFonts w:ascii="Arial" w:hAnsi="Arial" w:cs="Arial"/>
          <w:color w:val="000000" w:themeColor="text1"/>
          <w:sz w:val="19"/>
          <w:szCs w:val="19"/>
        </w:rPr>
        <w:t xml:space="preserve"> </w:t>
      </w:r>
    </w:p>
    <w:p w14:paraId="4A21F42B" w14:textId="77777777" w:rsidR="0083037E" w:rsidRPr="00D160CC" w:rsidRDefault="0083037E" w:rsidP="0083037E">
      <w:pPr>
        <w:pStyle w:val="Textonotapie"/>
        <w:ind w:firstLine="708"/>
        <w:jc w:val="both"/>
        <w:rPr>
          <w:rFonts w:ascii="Arial" w:hAnsi="Arial" w:cs="Arial"/>
          <w:color w:val="000000" w:themeColor="text1"/>
          <w:sz w:val="19"/>
          <w:szCs w:val="19"/>
          <w:lang w:val="es-CO"/>
        </w:rPr>
      </w:pPr>
    </w:p>
  </w:footnote>
  <w:footnote w:id="10">
    <w:p w14:paraId="220EFC85" w14:textId="3143BBD4" w:rsidR="0083037E" w:rsidRPr="00D160CC" w:rsidRDefault="0083037E" w:rsidP="00F31F88">
      <w:pPr>
        <w:pStyle w:val="Textonotapie"/>
        <w:ind w:firstLine="708"/>
        <w:jc w:val="both"/>
        <w:rPr>
          <w:rFonts w:ascii="Arial" w:hAnsi="Arial" w:cs="Arial"/>
          <w:color w:val="000000" w:themeColor="text1"/>
          <w:sz w:val="19"/>
          <w:szCs w:val="19"/>
        </w:rPr>
      </w:pPr>
      <w:r w:rsidRPr="00D160CC">
        <w:rPr>
          <w:rStyle w:val="Refdenotaalpie"/>
          <w:rFonts w:ascii="Arial" w:hAnsi="Arial" w:cs="Arial"/>
          <w:color w:val="000000" w:themeColor="text1"/>
          <w:sz w:val="19"/>
          <w:szCs w:val="19"/>
        </w:rPr>
        <w:footnoteRef/>
      </w:r>
      <w:r w:rsidRPr="00D160CC">
        <w:rPr>
          <w:rFonts w:ascii="Arial" w:hAnsi="Arial" w:cs="Arial"/>
          <w:color w:val="000000" w:themeColor="text1"/>
          <w:sz w:val="19"/>
          <w:szCs w:val="19"/>
        </w:rPr>
        <w:t xml:space="preserve"> </w:t>
      </w:r>
      <w:r w:rsidRPr="00A42C60">
        <w:rPr>
          <w:rFonts w:ascii="Arial" w:hAnsi="Arial" w:cs="Arial"/>
          <w:color w:val="000000" w:themeColor="text1"/>
          <w:sz w:val="18"/>
          <w:szCs w:val="18"/>
        </w:rPr>
        <w:t>DÁVILA VINUEZA, Luis Guillermo. Régimen jurídico de la contratación estatal. Tercera edición, Bogotá: Legis, 2016, p. 635 y 636.</w:t>
      </w:r>
    </w:p>
  </w:footnote>
  <w:footnote w:id="11">
    <w:p w14:paraId="33FA4F10" w14:textId="77777777" w:rsidR="0083037E" w:rsidRPr="00D160CC" w:rsidRDefault="0083037E" w:rsidP="0083037E">
      <w:pPr>
        <w:pStyle w:val="Textonotapie"/>
        <w:ind w:firstLine="708"/>
        <w:jc w:val="both"/>
        <w:rPr>
          <w:rFonts w:ascii="Arial" w:hAnsi="Arial" w:cs="Arial"/>
          <w:color w:val="000000" w:themeColor="text1"/>
          <w:sz w:val="19"/>
          <w:szCs w:val="19"/>
        </w:rPr>
      </w:pPr>
      <w:r w:rsidRPr="00D160CC">
        <w:rPr>
          <w:rStyle w:val="Refdenotaalpie"/>
          <w:rFonts w:ascii="Arial" w:hAnsi="Arial" w:cs="Arial"/>
          <w:color w:val="000000" w:themeColor="text1"/>
          <w:sz w:val="19"/>
          <w:szCs w:val="19"/>
        </w:rPr>
        <w:footnoteRef/>
      </w:r>
      <w:r w:rsidRPr="00D160CC">
        <w:rPr>
          <w:rFonts w:ascii="Arial" w:hAnsi="Arial" w:cs="Arial"/>
          <w:color w:val="000000" w:themeColor="text1"/>
          <w:sz w:val="19"/>
          <w:szCs w:val="19"/>
        </w:rPr>
        <w:t xml:space="preserve"> </w:t>
      </w:r>
      <w:proofErr w:type="spellStart"/>
      <w:r w:rsidRPr="00A42C60">
        <w:rPr>
          <w:rFonts w:ascii="Arial" w:hAnsi="Arial" w:cs="Arial"/>
          <w:color w:val="000000" w:themeColor="text1"/>
          <w:sz w:val="18"/>
          <w:szCs w:val="18"/>
        </w:rPr>
        <w:t>Ibíd</w:t>
      </w:r>
      <w:proofErr w:type="spellEnd"/>
      <w:r w:rsidRPr="00A42C60">
        <w:rPr>
          <w:rFonts w:ascii="Arial" w:hAnsi="Arial" w:cs="Arial"/>
          <w:color w:val="000000" w:themeColor="text1"/>
          <w:sz w:val="18"/>
          <w:szCs w:val="18"/>
        </w:rPr>
        <w:t>. p. 592</w:t>
      </w:r>
    </w:p>
    <w:p w14:paraId="24B7DD00" w14:textId="77777777" w:rsidR="0083037E" w:rsidRPr="00D160CC" w:rsidRDefault="0083037E" w:rsidP="0083037E">
      <w:pPr>
        <w:pStyle w:val="Textonotapie"/>
        <w:ind w:firstLine="708"/>
        <w:jc w:val="both"/>
        <w:rPr>
          <w:rFonts w:ascii="Arial" w:hAnsi="Arial" w:cs="Arial"/>
          <w:color w:val="000000" w:themeColor="text1"/>
          <w:sz w:val="19"/>
          <w:szCs w:val="19"/>
        </w:rPr>
      </w:pPr>
    </w:p>
  </w:footnote>
  <w:footnote w:id="12">
    <w:p w14:paraId="3CA607B7" w14:textId="18F7DEAC" w:rsidR="0083037E" w:rsidRPr="00D160CC" w:rsidRDefault="0083037E" w:rsidP="0080066A">
      <w:pPr>
        <w:pStyle w:val="Textonotapie"/>
        <w:ind w:firstLine="708"/>
        <w:jc w:val="both"/>
        <w:rPr>
          <w:rFonts w:ascii="Arial" w:hAnsi="Arial" w:cs="Arial"/>
          <w:color w:val="000000" w:themeColor="text1"/>
          <w:sz w:val="19"/>
          <w:szCs w:val="19"/>
        </w:rPr>
      </w:pPr>
      <w:r w:rsidRPr="00D160CC">
        <w:rPr>
          <w:rStyle w:val="Refdenotaalpie"/>
          <w:rFonts w:ascii="Arial" w:hAnsi="Arial" w:cs="Arial"/>
          <w:color w:val="000000" w:themeColor="text1"/>
          <w:sz w:val="19"/>
          <w:szCs w:val="19"/>
        </w:rPr>
        <w:footnoteRef/>
      </w:r>
      <w:r w:rsidRPr="00D160CC">
        <w:rPr>
          <w:rFonts w:ascii="Arial" w:hAnsi="Arial" w:cs="Arial"/>
          <w:color w:val="000000" w:themeColor="text1"/>
          <w:sz w:val="19"/>
          <w:szCs w:val="19"/>
        </w:rPr>
        <w:t xml:space="preserve"> </w:t>
      </w:r>
      <w:r w:rsidRPr="00A42C60">
        <w:rPr>
          <w:rFonts w:ascii="Arial" w:hAnsi="Arial" w:cs="Arial"/>
          <w:color w:val="000000" w:themeColor="text1"/>
          <w:sz w:val="18"/>
          <w:szCs w:val="18"/>
        </w:rPr>
        <w:t xml:space="preserve">Cfr. Consejo de Estado. Sección Tercera. Sentencia del 22 de abril de 2004. </w:t>
      </w:r>
      <w:proofErr w:type="spellStart"/>
      <w:r w:rsidRPr="00A42C60">
        <w:rPr>
          <w:rFonts w:ascii="Arial" w:hAnsi="Arial" w:cs="Arial"/>
          <w:color w:val="000000" w:themeColor="text1"/>
          <w:sz w:val="18"/>
          <w:szCs w:val="18"/>
        </w:rPr>
        <w:t>Exp</w:t>
      </w:r>
      <w:proofErr w:type="spellEnd"/>
      <w:r w:rsidRPr="00A42C60">
        <w:rPr>
          <w:rFonts w:ascii="Arial" w:hAnsi="Arial" w:cs="Arial"/>
          <w:color w:val="000000" w:themeColor="text1"/>
          <w:sz w:val="18"/>
          <w:szCs w:val="18"/>
        </w:rPr>
        <w:t xml:space="preserve">. 22.178 y en la Sentencia de la misma Sección del 15 de julio de 2004. </w:t>
      </w:r>
      <w:proofErr w:type="spellStart"/>
      <w:r w:rsidRPr="00A42C60">
        <w:rPr>
          <w:rFonts w:ascii="Arial" w:hAnsi="Arial" w:cs="Arial"/>
          <w:color w:val="000000" w:themeColor="text1"/>
          <w:sz w:val="18"/>
          <w:szCs w:val="18"/>
        </w:rPr>
        <w:t>Exp</w:t>
      </w:r>
      <w:proofErr w:type="spellEnd"/>
      <w:r w:rsidRPr="00A42C60">
        <w:rPr>
          <w:rFonts w:ascii="Arial" w:hAnsi="Arial" w:cs="Arial"/>
          <w:color w:val="000000" w:themeColor="text1"/>
          <w:sz w:val="18"/>
          <w:szCs w:val="18"/>
        </w:rPr>
        <w:t>. AP-1164-02.</w:t>
      </w:r>
      <w:r w:rsidR="0080066A" w:rsidRPr="00A42C60">
        <w:rPr>
          <w:rFonts w:ascii="Arial" w:hAnsi="Arial" w:cs="Arial"/>
          <w:color w:val="000000" w:themeColor="text1"/>
          <w:sz w:val="18"/>
          <w:szCs w:val="18"/>
        </w:rPr>
        <w:t xml:space="preserve"> Esta postura fue reiterada por la Sala de Consulta Civil y Servicio Civil en Concepto del 6 de julio de 2018- Radicación Nro. 239. C.P.: Osar Darío Amaya Navas.</w:t>
      </w:r>
      <w:r w:rsidR="0080066A" w:rsidRPr="00D160CC">
        <w:rPr>
          <w:rFonts w:ascii="Arial" w:hAnsi="Arial" w:cs="Arial"/>
          <w:color w:val="000000" w:themeColor="text1"/>
          <w:sz w:val="19"/>
          <w:szCs w:val="19"/>
        </w:rPr>
        <w:t xml:space="preserve"> </w:t>
      </w:r>
    </w:p>
  </w:footnote>
  <w:footnote w:id="13">
    <w:p w14:paraId="4882D298" w14:textId="3DCB43E1" w:rsidR="0083037E" w:rsidRDefault="0083037E" w:rsidP="0083037E">
      <w:pPr>
        <w:pStyle w:val="Textonotapie"/>
        <w:ind w:firstLine="708"/>
        <w:jc w:val="both"/>
        <w:rPr>
          <w:rFonts w:ascii="Arial" w:hAnsi="Arial" w:cs="Arial"/>
          <w:color w:val="000000" w:themeColor="text1"/>
          <w:sz w:val="18"/>
          <w:szCs w:val="18"/>
        </w:rPr>
      </w:pPr>
      <w:r w:rsidRPr="00D160CC">
        <w:rPr>
          <w:rStyle w:val="Refdenotaalpie"/>
          <w:rFonts w:ascii="Arial" w:hAnsi="Arial" w:cs="Arial"/>
          <w:color w:val="000000" w:themeColor="text1"/>
          <w:sz w:val="19"/>
          <w:szCs w:val="19"/>
        </w:rPr>
        <w:footnoteRef/>
      </w:r>
      <w:r w:rsidRPr="00D160CC">
        <w:rPr>
          <w:rFonts w:ascii="Arial" w:hAnsi="Arial" w:cs="Arial"/>
          <w:color w:val="000000" w:themeColor="text1"/>
          <w:sz w:val="19"/>
          <w:szCs w:val="19"/>
        </w:rPr>
        <w:t xml:space="preserve"> </w:t>
      </w:r>
      <w:r w:rsidRPr="00A42C60">
        <w:rPr>
          <w:rFonts w:ascii="Arial" w:hAnsi="Arial" w:cs="Arial"/>
          <w:color w:val="000000" w:themeColor="text1"/>
          <w:sz w:val="18"/>
          <w:szCs w:val="18"/>
        </w:rPr>
        <w:t xml:space="preserve">MARÍN CORTÉS. Fabián G. El precio. Serie: Las Cláusulas del Contrato Estatal. Medellín: Centro de Estudios de Derecho Administrativo </w:t>
      </w:r>
      <w:r w:rsidRPr="00A42C60">
        <w:rPr>
          <w:rFonts w:ascii="Arial" w:hAnsi="Arial" w:cs="Arial" w:hint="eastAsia"/>
          <w:color w:val="000000" w:themeColor="text1"/>
          <w:sz w:val="18"/>
          <w:szCs w:val="18"/>
        </w:rPr>
        <w:t>―</w:t>
      </w:r>
      <w:r w:rsidRPr="00A42C60">
        <w:rPr>
          <w:rFonts w:ascii="Arial" w:hAnsi="Arial" w:cs="Arial"/>
          <w:color w:val="000000" w:themeColor="text1"/>
          <w:sz w:val="18"/>
          <w:szCs w:val="18"/>
        </w:rPr>
        <w:t xml:space="preserve"> CEDA y Librería Jurídica Sánchez, 2012. p. 220 y 221.</w:t>
      </w:r>
    </w:p>
    <w:p w14:paraId="0DACEC29" w14:textId="77777777" w:rsidR="00FC1ED2" w:rsidRPr="00D160CC" w:rsidRDefault="00FC1ED2" w:rsidP="0083037E">
      <w:pPr>
        <w:pStyle w:val="Textonotapie"/>
        <w:ind w:firstLine="708"/>
        <w:jc w:val="both"/>
        <w:rPr>
          <w:rFonts w:ascii="Arial" w:hAnsi="Arial" w:cs="Arial"/>
          <w:color w:val="000000" w:themeColor="text1"/>
          <w:sz w:val="19"/>
          <w:szCs w:val="19"/>
          <w:lang w:val="es-CO"/>
        </w:rPr>
      </w:pPr>
    </w:p>
  </w:footnote>
  <w:footnote w:id="14">
    <w:p w14:paraId="748E4583" w14:textId="5B2FB7EF" w:rsidR="00E04658" w:rsidRPr="00A42C60" w:rsidRDefault="00E04658" w:rsidP="0046775B">
      <w:pPr>
        <w:pStyle w:val="Textonotapie"/>
        <w:ind w:firstLine="709"/>
        <w:rPr>
          <w:rFonts w:ascii="Arial" w:hAnsi="Arial" w:cs="Arial"/>
          <w:lang w:val="es-CO"/>
        </w:rPr>
      </w:pPr>
      <w:r w:rsidRPr="00A42C60">
        <w:rPr>
          <w:rStyle w:val="Refdenotaalpie"/>
          <w:rFonts w:ascii="Arial" w:hAnsi="Arial" w:cs="Arial"/>
        </w:rPr>
        <w:footnoteRef/>
      </w:r>
      <w:r w:rsidRPr="00A42C60">
        <w:rPr>
          <w:rFonts w:ascii="Arial" w:hAnsi="Arial" w:cs="Arial"/>
        </w:rPr>
        <w:t xml:space="preserve"> </w:t>
      </w:r>
      <w:r w:rsidR="0046775B" w:rsidRPr="00A42C60">
        <w:rPr>
          <w:rFonts w:ascii="Arial" w:hAnsi="Arial" w:cs="Arial"/>
          <w:color w:val="000000" w:themeColor="text1"/>
          <w:sz w:val="18"/>
          <w:szCs w:val="18"/>
        </w:rPr>
        <w:t>BENAVIDES, José Luis. Contratos Públicos: Estudios. Primera edición. Bogotá: Universidad Externado de Colombia, 2014. p. 386</w:t>
      </w:r>
    </w:p>
  </w:footnote>
  <w:footnote w:id="15">
    <w:p w14:paraId="5DD5E643" w14:textId="0F7BBA7C" w:rsidR="0083037E" w:rsidRPr="00D160CC" w:rsidRDefault="0083037E" w:rsidP="0083037E">
      <w:pPr>
        <w:pStyle w:val="Textonotapie"/>
        <w:ind w:firstLine="708"/>
        <w:jc w:val="both"/>
        <w:rPr>
          <w:rFonts w:ascii="Arial" w:hAnsi="Arial" w:cs="Arial"/>
          <w:color w:val="000000" w:themeColor="text1"/>
          <w:sz w:val="19"/>
          <w:szCs w:val="19"/>
          <w:lang w:val="es-CO"/>
        </w:rPr>
      </w:pPr>
      <w:r w:rsidRPr="00D160CC">
        <w:rPr>
          <w:rStyle w:val="Refdenotaalpie"/>
          <w:rFonts w:ascii="Arial" w:hAnsi="Arial" w:cs="Arial"/>
          <w:color w:val="000000" w:themeColor="text1"/>
          <w:sz w:val="19"/>
          <w:szCs w:val="19"/>
        </w:rPr>
        <w:footnoteRef/>
      </w:r>
      <w:r w:rsidRPr="00D160CC">
        <w:rPr>
          <w:rFonts w:ascii="Arial" w:hAnsi="Arial" w:cs="Arial"/>
          <w:color w:val="000000" w:themeColor="text1"/>
          <w:sz w:val="19"/>
          <w:szCs w:val="19"/>
        </w:rPr>
        <w:t xml:space="preserve"> </w:t>
      </w:r>
      <w:r w:rsidRPr="00A42C60">
        <w:rPr>
          <w:rFonts w:ascii="Arial" w:hAnsi="Arial" w:cs="Arial"/>
          <w:color w:val="000000" w:themeColor="text1"/>
          <w:sz w:val="18"/>
          <w:szCs w:val="18"/>
        </w:rPr>
        <w:t xml:space="preserve">Consejo de Estado. Sección Tercera. Sentencia del 14 de abril de 2010. </w:t>
      </w:r>
      <w:proofErr w:type="spellStart"/>
      <w:r w:rsidRPr="00A42C60">
        <w:rPr>
          <w:rFonts w:ascii="Arial" w:hAnsi="Arial" w:cs="Arial"/>
          <w:color w:val="000000" w:themeColor="text1"/>
          <w:sz w:val="18"/>
          <w:szCs w:val="18"/>
        </w:rPr>
        <w:t>Exp</w:t>
      </w:r>
      <w:proofErr w:type="spellEnd"/>
      <w:r w:rsidRPr="00A42C60">
        <w:rPr>
          <w:rFonts w:ascii="Arial" w:hAnsi="Arial" w:cs="Arial"/>
          <w:color w:val="000000" w:themeColor="text1"/>
          <w:sz w:val="18"/>
          <w:szCs w:val="18"/>
        </w:rPr>
        <w:t xml:space="preserve">. 36.054. </w:t>
      </w:r>
      <w:r w:rsidR="00BB2CAA" w:rsidRPr="00A42C60">
        <w:rPr>
          <w:rFonts w:ascii="Arial" w:hAnsi="Arial" w:cs="Arial"/>
          <w:color w:val="000000" w:themeColor="text1"/>
          <w:sz w:val="18"/>
          <w:szCs w:val="18"/>
        </w:rPr>
        <w:t xml:space="preserve">C.P.: </w:t>
      </w:r>
      <w:r w:rsidRPr="00A42C60">
        <w:rPr>
          <w:rFonts w:ascii="Arial" w:hAnsi="Arial" w:cs="Arial"/>
          <w:color w:val="000000" w:themeColor="text1"/>
          <w:sz w:val="18"/>
          <w:szCs w:val="18"/>
        </w:rPr>
        <w:t>Enrique Gil Botero.</w:t>
      </w:r>
    </w:p>
  </w:footnote>
  <w:footnote w:id="16">
    <w:p w14:paraId="790DBE9F" w14:textId="555E937A" w:rsidR="0017199E" w:rsidRDefault="0017199E" w:rsidP="0017199E">
      <w:pPr>
        <w:pStyle w:val="Textonotapie"/>
        <w:ind w:firstLine="709"/>
        <w:rPr>
          <w:rFonts w:ascii="Arial" w:hAnsi="Arial" w:cs="Arial"/>
          <w:color w:val="000000" w:themeColor="text1"/>
          <w:sz w:val="18"/>
          <w:szCs w:val="18"/>
        </w:rPr>
      </w:pPr>
      <w:r w:rsidRPr="00A42C60">
        <w:rPr>
          <w:rStyle w:val="Refdenotaalpie"/>
          <w:rFonts w:ascii="Arial" w:hAnsi="Arial" w:cs="Arial"/>
        </w:rPr>
        <w:footnoteRef/>
      </w:r>
      <w:r w:rsidRPr="00A42C60">
        <w:rPr>
          <w:rFonts w:ascii="Arial" w:hAnsi="Arial" w:cs="Arial"/>
        </w:rPr>
        <w:t xml:space="preserve"> </w:t>
      </w:r>
      <w:r w:rsidRPr="00A42C60">
        <w:rPr>
          <w:rFonts w:ascii="Arial" w:hAnsi="Arial" w:cs="Arial"/>
          <w:color w:val="000000" w:themeColor="text1"/>
          <w:sz w:val="18"/>
          <w:szCs w:val="18"/>
        </w:rPr>
        <w:t xml:space="preserve">Consejo de Estado. Sección Tercera. Sentencia del </w:t>
      </w:r>
      <w:r w:rsidR="00BB2CAA" w:rsidRPr="00A42C60">
        <w:rPr>
          <w:rFonts w:ascii="Arial" w:hAnsi="Arial" w:cs="Arial"/>
          <w:color w:val="000000" w:themeColor="text1"/>
          <w:sz w:val="18"/>
          <w:szCs w:val="18"/>
        </w:rPr>
        <w:t>20</w:t>
      </w:r>
      <w:r w:rsidRPr="00A42C60">
        <w:rPr>
          <w:rFonts w:ascii="Arial" w:hAnsi="Arial" w:cs="Arial"/>
          <w:color w:val="000000" w:themeColor="text1"/>
          <w:sz w:val="18"/>
          <w:szCs w:val="18"/>
        </w:rPr>
        <w:t xml:space="preserve"> de </w:t>
      </w:r>
      <w:r w:rsidR="00BB2CAA" w:rsidRPr="00A42C60">
        <w:rPr>
          <w:rFonts w:ascii="Arial" w:hAnsi="Arial" w:cs="Arial"/>
          <w:color w:val="000000" w:themeColor="text1"/>
          <w:sz w:val="18"/>
          <w:szCs w:val="18"/>
        </w:rPr>
        <w:t>noviembre</w:t>
      </w:r>
      <w:r w:rsidRPr="00A42C60">
        <w:rPr>
          <w:rFonts w:ascii="Arial" w:hAnsi="Arial" w:cs="Arial"/>
          <w:color w:val="000000" w:themeColor="text1"/>
          <w:sz w:val="18"/>
          <w:szCs w:val="18"/>
        </w:rPr>
        <w:t xml:space="preserve"> de 20</w:t>
      </w:r>
      <w:r w:rsidR="00BB2CAA" w:rsidRPr="00A42C60">
        <w:rPr>
          <w:rFonts w:ascii="Arial" w:hAnsi="Arial" w:cs="Arial"/>
          <w:color w:val="000000" w:themeColor="text1"/>
          <w:sz w:val="18"/>
          <w:szCs w:val="18"/>
        </w:rPr>
        <w:t>08</w:t>
      </w:r>
      <w:r w:rsidRPr="00A42C60">
        <w:rPr>
          <w:rFonts w:ascii="Arial" w:hAnsi="Arial" w:cs="Arial"/>
          <w:color w:val="000000" w:themeColor="text1"/>
          <w:sz w:val="18"/>
          <w:szCs w:val="18"/>
        </w:rPr>
        <w:t xml:space="preserve">. </w:t>
      </w:r>
      <w:proofErr w:type="spellStart"/>
      <w:r w:rsidRPr="00A42C60">
        <w:rPr>
          <w:rFonts w:ascii="Arial" w:hAnsi="Arial" w:cs="Arial"/>
          <w:color w:val="000000" w:themeColor="text1"/>
          <w:sz w:val="18"/>
          <w:szCs w:val="18"/>
        </w:rPr>
        <w:t>Exp</w:t>
      </w:r>
      <w:proofErr w:type="spellEnd"/>
      <w:r w:rsidRPr="00A42C60">
        <w:rPr>
          <w:rFonts w:ascii="Arial" w:hAnsi="Arial" w:cs="Arial"/>
          <w:color w:val="000000" w:themeColor="text1"/>
          <w:sz w:val="18"/>
          <w:szCs w:val="18"/>
        </w:rPr>
        <w:t xml:space="preserve">. </w:t>
      </w:r>
      <w:r w:rsidR="00BB2CAA" w:rsidRPr="00A42C60">
        <w:rPr>
          <w:rFonts w:ascii="Arial" w:hAnsi="Arial" w:cs="Arial"/>
          <w:color w:val="000000" w:themeColor="text1"/>
          <w:sz w:val="18"/>
          <w:szCs w:val="18"/>
        </w:rPr>
        <w:t>17.031</w:t>
      </w:r>
      <w:r w:rsidRPr="00A42C60">
        <w:rPr>
          <w:rFonts w:ascii="Arial" w:hAnsi="Arial" w:cs="Arial"/>
          <w:color w:val="000000" w:themeColor="text1"/>
          <w:sz w:val="18"/>
          <w:szCs w:val="18"/>
        </w:rPr>
        <w:t xml:space="preserve">. </w:t>
      </w:r>
      <w:proofErr w:type="gramStart"/>
      <w:r w:rsidR="00BB2CAA" w:rsidRPr="00A42C60">
        <w:rPr>
          <w:rFonts w:ascii="Arial" w:hAnsi="Arial" w:cs="Arial"/>
          <w:color w:val="000000" w:themeColor="text1"/>
          <w:sz w:val="18"/>
          <w:szCs w:val="18"/>
        </w:rPr>
        <w:t>C.P:,</w:t>
      </w:r>
      <w:proofErr w:type="gramEnd"/>
      <w:r w:rsidR="00BB2CAA" w:rsidRPr="00A42C60">
        <w:rPr>
          <w:rFonts w:ascii="Arial" w:hAnsi="Arial" w:cs="Arial"/>
          <w:color w:val="000000" w:themeColor="text1"/>
          <w:sz w:val="18"/>
          <w:szCs w:val="18"/>
        </w:rPr>
        <w:t xml:space="preserve"> Ruth Stella Correa Palacio. </w:t>
      </w:r>
      <w:r w:rsidR="00604FBF" w:rsidRPr="00A42C60">
        <w:rPr>
          <w:rFonts w:ascii="Arial" w:hAnsi="Arial" w:cs="Arial"/>
          <w:color w:val="000000" w:themeColor="text1"/>
          <w:sz w:val="18"/>
          <w:szCs w:val="18"/>
        </w:rPr>
        <w:t xml:space="preserve">Ver también: Consejo de Estado, Sección Tercera, sentencia 18 de septiembre de 2003, </w:t>
      </w:r>
      <w:proofErr w:type="spellStart"/>
      <w:r w:rsidR="004B424F" w:rsidRPr="00A42C60">
        <w:rPr>
          <w:rFonts w:ascii="Arial" w:hAnsi="Arial" w:cs="Arial"/>
          <w:color w:val="000000" w:themeColor="text1"/>
          <w:sz w:val="18"/>
          <w:szCs w:val="18"/>
        </w:rPr>
        <w:t>E</w:t>
      </w:r>
      <w:r w:rsidR="00604FBF" w:rsidRPr="00A42C60">
        <w:rPr>
          <w:rFonts w:ascii="Arial" w:hAnsi="Arial" w:cs="Arial"/>
          <w:color w:val="000000" w:themeColor="text1"/>
          <w:sz w:val="18"/>
          <w:szCs w:val="18"/>
        </w:rPr>
        <w:t>xp</w:t>
      </w:r>
      <w:proofErr w:type="spellEnd"/>
      <w:r w:rsidR="00604FBF" w:rsidRPr="00A42C60">
        <w:rPr>
          <w:rFonts w:ascii="Arial" w:hAnsi="Arial" w:cs="Arial"/>
          <w:color w:val="000000" w:themeColor="text1"/>
          <w:sz w:val="18"/>
          <w:szCs w:val="18"/>
        </w:rPr>
        <w:t>. 15.119, C.P. Ramiro Saavedra Becerra.</w:t>
      </w:r>
    </w:p>
    <w:p w14:paraId="36DB0955" w14:textId="77777777" w:rsidR="00E514C9" w:rsidRPr="00A42C60" w:rsidRDefault="00E514C9" w:rsidP="0017199E">
      <w:pPr>
        <w:pStyle w:val="Textonotapie"/>
        <w:ind w:firstLine="709"/>
        <w:rPr>
          <w:rFonts w:ascii="Arial" w:hAnsi="Arial" w:cs="Arial"/>
          <w:lang w:val="es-CO"/>
        </w:rPr>
      </w:pPr>
    </w:p>
  </w:footnote>
  <w:footnote w:id="17">
    <w:p w14:paraId="4F78D462" w14:textId="45474431" w:rsidR="002E7732" w:rsidRPr="00A42C60" w:rsidRDefault="002E7732" w:rsidP="004B424F">
      <w:pPr>
        <w:pStyle w:val="Textonotapie"/>
        <w:ind w:firstLine="709"/>
        <w:jc w:val="both"/>
        <w:rPr>
          <w:rFonts w:ascii="Arial" w:hAnsi="Arial" w:cs="Arial"/>
          <w:lang w:val="es-CO"/>
        </w:rPr>
      </w:pPr>
      <w:r w:rsidRPr="00A42C60">
        <w:rPr>
          <w:rStyle w:val="Refdenotaalpie"/>
          <w:rFonts w:ascii="Arial" w:hAnsi="Arial" w:cs="Arial"/>
        </w:rPr>
        <w:footnoteRef/>
      </w:r>
      <w:r w:rsidRPr="00A42C60">
        <w:rPr>
          <w:rFonts w:ascii="Arial" w:hAnsi="Arial" w:cs="Arial"/>
        </w:rPr>
        <w:t xml:space="preserve"> </w:t>
      </w:r>
      <w:r w:rsidRPr="00A42C60">
        <w:rPr>
          <w:rFonts w:ascii="Arial" w:hAnsi="Arial" w:cs="Arial"/>
          <w:color w:val="000000" w:themeColor="text1"/>
          <w:sz w:val="18"/>
          <w:szCs w:val="18"/>
        </w:rPr>
        <w:t>Consejo de Estado. Sección tercera. Sentencia del 9 de julio de 2021. Radicación Nro. 52045.C.P.; Alberto Montaña Plata. Aclaración de voto: Alexander Jojoa Bolaños.</w:t>
      </w:r>
    </w:p>
  </w:footnote>
  <w:footnote w:id="18">
    <w:p w14:paraId="7EA44305" w14:textId="7B271033" w:rsidR="00140314" w:rsidRPr="00A42C60" w:rsidRDefault="00140314" w:rsidP="004B424F">
      <w:pPr>
        <w:pStyle w:val="Textonotapie"/>
        <w:ind w:firstLine="709"/>
        <w:jc w:val="both"/>
        <w:rPr>
          <w:rFonts w:ascii="Arial" w:hAnsi="Arial" w:cs="Arial"/>
          <w:lang w:val="es-CO"/>
        </w:rPr>
      </w:pPr>
      <w:r w:rsidRPr="00A42C60">
        <w:rPr>
          <w:rStyle w:val="Refdenotaalpie"/>
          <w:rFonts w:ascii="Arial" w:hAnsi="Arial" w:cs="Arial"/>
        </w:rPr>
        <w:footnoteRef/>
      </w:r>
      <w:r w:rsidRPr="00A42C60">
        <w:rPr>
          <w:rFonts w:ascii="Arial" w:hAnsi="Arial" w:cs="Arial"/>
        </w:rPr>
        <w:t xml:space="preserve"> </w:t>
      </w:r>
      <w:r w:rsidRPr="00A42C60">
        <w:rPr>
          <w:rFonts w:ascii="Arial" w:hAnsi="Arial" w:cs="Arial"/>
          <w:color w:val="000000" w:themeColor="text1"/>
          <w:sz w:val="18"/>
          <w:szCs w:val="18"/>
        </w:rPr>
        <w:t>BENAVIDES, José Luis. Contratos Públicos: Estudios. Primera edición. Bogotá: Universidad Externado de Colombia, 2014. p. 386</w:t>
      </w:r>
    </w:p>
  </w:footnote>
  <w:footnote w:id="19">
    <w:p w14:paraId="340C06AD" w14:textId="77777777" w:rsidR="003A053B" w:rsidRPr="00D160CC" w:rsidRDefault="003A053B" w:rsidP="003A053B">
      <w:pPr>
        <w:pStyle w:val="Textonotapie"/>
        <w:ind w:firstLine="708"/>
        <w:jc w:val="both"/>
        <w:rPr>
          <w:rFonts w:ascii="Arial" w:hAnsi="Arial" w:cs="Arial"/>
          <w:sz w:val="16"/>
          <w:szCs w:val="16"/>
          <w:lang w:val="es-CO"/>
        </w:rPr>
      </w:pPr>
      <w:r w:rsidRPr="00D160CC">
        <w:rPr>
          <w:rStyle w:val="Refdenotaalpie"/>
          <w:rFonts w:ascii="Arial" w:hAnsi="Arial" w:cs="Arial"/>
          <w:sz w:val="16"/>
          <w:szCs w:val="16"/>
        </w:rPr>
        <w:footnoteRef/>
      </w:r>
      <w:r w:rsidRPr="00D160CC">
        <w:rPr>
          <w:rFonts w:ascii="Arial" w:hAnsi="Arial" w:cs="Arial"/>
          <w:sz w:val="16"/>
          <w:szCs w:val="16"/>
        </w:rPr>
        <w:t xml:space="preserve"> </w:t>
      </w:r>
      <w:r w:rsidRPr="00A42C60">
        <w:rPr>
          <w:rFonts w:ascii="Arial" w:hAnsi="Arial" w:cs="Arial"/>
          <w:color w:val="000000" w:themeColor="text1"/>
          <w:sz w:val="18"/>
          <w:szCs w:val="18"/>
        </w:rPr>
        <w:t>El artículo 40 de la Ley 80 de 1993 dispone que los contratos no podrán adicionarse en más del 50% de su valor inicial, expresado en SMLMV.</w:t>
      </w:r>
    </w:p>
    <w:p w14:paraId="4C68FC2E" w14:textId="77777777" w:rsidR="003A053B" w:rsidRPr="00D160CC" w:rsidRDefault="003A053B" w:rsidP="003A053B">
      <w:pPr>
        <w:pStyle w:val="Textonotapie"/>
        <w:ind w:firstLine="708"/>
        <w:jc w:val="both"/>
        <w:rPr>
          <w:rFonts w:ascii="Arial" w:hAnsi="Arial" w:cs="Arial"/>
          <w:sz w:val="16"/>
          <w:szCs w:val="16"/>
          <w:lang w:val="es-CO"/>
        </w:rPr>
      </w:pPr>
    </w:p>
  </w:footnote>
  <w:footnote w:id="20">
    <w:p w14:paraId="729F48AD" w14:textId="77777777" w:rsidR="003A053B" w:rsidRPr="00A42C60" w:rsidRDefault="003A053B" w:rsidP="003A053B">
      <w:pPr>
        <w:pStyle w:val="Textonotapie"/>
        <w:ind w:firstLine="708"/>
        <w:jc w:val="both"/>
        <w:rPr>
          <w:rFonts w:ascii="Arial" w:hAnsi="Arial" w:cs="Arial"/>
          <w:color w:val="000000" w:themeColor="text1"/>
          <w:sz w:val="18"/>
          <w:szCs w:val="18"/>
        </w:rPr>
      </w:pPr>
      <w:r w:rsidRPr="00D160CC">
        <w:rPr>
          <w:rStyle w:val="Refdenotaalpie"/>
          <w:rFonts w:ascii="Arial" w:hAnsi="Arial" w:cs="Arial"/>
          <w:sz w:val="16"/>
          <w:szCs w:val="16"/>
        </w:rPr>
        <w:footnoteRef/>
      </w:r>
      <w:r w:rsidRPr="00D160CC">
        <w:rPr>
          <w:rFonts w:ascii="Arial" w:hAnsi="Arial" w:cs="Arial"/>
          <w:sz w:val="16"/>
          <w:szCs w:val="16"/>
        </w:rPr>
        <w:t xml:space="preserve"> </w:t>
      </w:r>
      <w:r w:rsidRPr="00A42C60">
        <w:rPr>
          <w:rFonts w:ascii="Arial" w:hAnsi="Arial" w:cs="Arial"/>
          <w:color w:val="000000" w:themeColor="text1"/>
          <w:sz w:val="18"/>
          <w:szCs w:val="18"/>
        </w:rPr>
        <w:t xml:space="preserve">Sobre la naturaleza instrumental del contrato para alcanzar los fines propios del estado social de derecho, ver la sentencia C-932 de </w:t>
      </w:r>
      <w:smartTag w:uri="urn:schemas-microsoft-com:office:smarttags" w:element="metricconverter">
        <w:smartTagPr>
          <w:attr w:name="ProductID" w:val="2007, M"/>
        </w:smartTagPr>
        <w:r w:rsidRPr="00A42C60">
          <w:rPr>
            <w:rFonts w:ascii="Arial" w:hAnsi="Arial" w:cs="Arial"/>
            <w:color w:val="000000" w:themeColor="text1"/>
            <w:sz w:val="18"/>
            <w:szCs w:val="18"/>
          </w:rPr>
          <w:t>2007, M</w:t>
        </w:r>
      </w:smartTag>
      <w:r w:rsidRPr="00A42C60">
        <w:rPr>
          <w:rFonts w:ascii="Arial" w:hAnsi="Arial" w:cs="Arial"/>
          <w:color w:val="000000" w:themeColor="text1"/>
          <w:sz w:val="18"/>
          <w:szCs w:val="18"/>
        </w:rPr>
        <w:t>.P. Marco Gerardo Monroy Cabra.</w:t>
      </w:r>
    </w:p>
    <w:p w14:paraId="63B3F820" w14:textId="77777777" w:rsidR="003A053B" w:rsidRPr="00D160CC" w:rsidRDefault="003A053B" w:rsidP="003A053B">
      <w:pPr>
        <w:pStyle w:val="Textonotapie"/>
        <w:ind w:firstLine="708"/>
        <w:jc w:val="both"/>
        <w:rPr>
          <w:rFonts w:ascii="Arial" w:hAnsi="Arial" w:cs="Arial"/>
          <w:sz w:val="16"/>
          <w:szCs w:val="16"/>
        </w:rPr>
      </w:pPr>
    </w:p>
  </w:footnote>
  <w:footnote w:id="21">
    <w:p w14:paraId="0A42D765" w14:textId="77777777" w:rsidR="003A053B" w:rsidRPr="00D160CC" w:rsidRDefault="003A053B" w:rsidP="003A053B">
      <w:pPr>
        <w:pStyle w:val="Textonotapie"/>
        <w:ind w:firstLine="708"/>
        <w:jc w:val="both"/>
        <w:rPr>
          <w:rFonts w:ascii="Arial" w:hAnsi="Arial" w:cs="Arial"/>
          <w:sz w:val="16"/>
          <w:szCs w:val="16"/>
        </w:rPr>
      </w:pPr>
      <w:r w:rsidRPr="00D160CC">
        <w:rPr>
          <w:rStyle w:val="Refdenotaalpie"/>
          <w:rFonts w:ascii="Arial" w:hAnsi="Arial" w:cs="Arial"/>
          <w:sz w:val="16"/>
          <w:szCs w:val="16"/>
        </w:rPr>
        <w:footnoteRef/>
      </w:r>
      <w:r w:rsidRPr="00D160CC">
        <w:rPr>
          <w:rFonts w:ascii="Arial" w:hAnsi="Arial" w:cs="Arial"/>
          <w:sz w:val="16"/>
          <w:szCs w:val="16"/>
        </w:rPr>
        <w:t xml:space="preserve"> M.P. Clara Inés Vargas Hernández.</w:t>
      </w:r>
    </w:p>
    <w:p w14:paraId="414DE328" w14:textId="77777777" w:rsidR="003A053B" w:rsidRPr="00D160CC" w:rsidRDefault="003A053B" w:rsidP="003A053B">
      <w:pPr>
        <w:pStyle w:val="Textonotapie"/>
        <w:ind w:firstLine="708"/>
        <w:jc w:val="both"/>
        <w:rPr>
          <w:rFonts w:ascii="Arial" w:hAnsi="Arial" w:cs="Arial"/>
          <w:sz w:val="16"/>
          <w:szCs w:val="16"/>
        </w:rPr>
      </w:pPr>
    </w:p>
  </w:footnote>
  <w:footnote w:id="22">
    <w:p w14:paraId="6410487A" w14:textId="77777777" w:rsidR="003A053B" w:rsidRPr="00D160CC" w:rsidRDefault="003A053B" w:rsidP="003A053B">
      <w:pPr>
        <w:pStyle w:val="Textonotapie"/>
        <w:ind w:firstLine="708"/>
        <w:jc w:val="both"/>
        <w:rPr>
          <w:rFonts w:ascii="Arial" w:hAnsi="Arial" w:cs="Arial"/>
          <w:sz w:val="16"/>
          <w:szCs w:val="16"/>
        </w:rPr>
      </w:pPr>
      <w:r w:rsidRPr="00D160CC">
        <w:rPr>
          <w:rStyle w:val="Refdenotaalpie"/>
          <w:rFonts w:ascii="Arial" w:hAnsi="Arial" w:cs="Arial"/>
          <w:sz w:val="16"/>
          <w:szCs w:val="16"/>
        </w:rPr>
        <w:footnoteRef/>
      </w:r>
      <w:r w:rsidRPr="00D160CC">
        <w:rPr>
          <w:rFonts w:ascii="Arial" w:hAnsi="Arial" w:cs="Arial"/>
          <w:sz w:val="16"/>
          <w:szCs w:val="16"/>
        </w:rPr>
        <w:t xml:space="preserve"> </w:t>
      </w:r>
      <w:r w:rsidRPr="00A42C60">
        <w:rPr>
          <w:rFonts w:ascii="Arial" w:hAnsi="Arial" w:cs="Arial"/>
          <w:color w:val="000000" w:themeColor="text1"/>
          <w:sz w:val="18"/>
          <w:szCs w:val="18"/>
        </w:rPr>
        <w:t xml:space="preserve">Ver también la sentencia C-068 de </w:t>
      </w:r>
      <w:smartTag w:uri="urn:schemas-microsoft-com:office:smarttags" w:element="metricconverter">
        <w:smartTagPr>
          <w:attr w:name="ProductID" w:val="2009, M"/>
        </w:smartTagPr>
        <w:r w:rsidRPr="00A42C60">
          <w:rPr>
            <w:rFonts w:ascii="Arial" w:hAnsi="Arial" w:cs="Arial"/>
            <w:color w:val="000000" w:themeColor="text1"/>
            <w:sz w:val="18"/>
            <w:szCs w:val="18"/>
          </w:rPr>
          <w:t>2009, M</w:t>
        </w:r>
      </w:smartTag>
      <w:r w:rsidRPr="00A42C60">
        <w:rPr>
          <w:rFonts w:ascii="Arial" w:hAnsi="Arial" w:cs="Arial"/>
          <w:color w:val="000000" w:themeColor="text1"/>
          <w:sz w:val="18"/>
          <w:szCs w:val="18"/>
        </w:rPr>
        <w:t xml:space="preserve">.P. Mauricio González Cuervo, sobre la constitucional de la posibilidad de prorrogar los contratos de concesión portuaria (artículo </w:t>
      </w:r>
      <w:proofErr w:type="gramStart"/>
      <w:r w:rsidRPr="00A42C60">
        <w:rPr>
          <w:rFonts w:ascii="Arial" w:hAnsi="Arial" w:cs="Arial"/>
          <w:color w:val="000000" w:themeColor="text1"/>
          <w:sz w:val="18"/>
          <w:szCs w:val="18"/>
        </w:rPr>
        <w:t>8º  de</w:t>
      </w:r>
      <w:proofErr w:type="gramEnd"/>
      <w:r w:rsidRPr="00A42C60">
        <w:rPr>
          <w:rFonts w:ascii="Arial" w:hAnsi="Arial" w:cs="Arial"/>
          <w:color w:val="000000" w:themeColor="text1"/>
          <w:sz w:val="18"/>
          <w:szCs w:val="18"/>
        </w:rPr>
        <w:t xml:space="preserve"> la ley 1º de 1991).</w:t>
      </w:r>
    </w:p>
  </w:footnote>
  <w:footnote w:id="23">
    <w:p w14:paraId="5FB94D14" w14:textId="77777777" w:rsidR="003A053B" w:rsidRPr="00D160CC" w:rsidRDefault="003A053B" w:rsidP="003A053B">
      <w:pPr>
        <w:pStyle w:val="Textonotapie"/>
        <w:ind w:firstLine="708"/>
        <w:jc w:val="both"/>
        <w:rPr>
          <w:rFonts w:ascii="Arial" w:hAnsi="Arial" w:cs="Arial"/>
          <w:sz w:val="16"/>
          <w:szCs w:val="16"/>
        </w:rPr>
      </w:pPr>
      <w:r w:rsidRPr="00D160CC">
        <w:rPr>
          <w:rStyle w:val="Refdenotaalpie"/>
          <w:rFonts w:ascii="Arial" w:hAnsi="Arial" w:cs="Arial"/>
          <w:sz w:val="16"/>
          <w:szCs w:val="16"/>
        </w:rPr>
        <w:footnoteRef/>
      </w:r>
      <w:r w:rsidRPr="00D160CC">
        <w:rPr>
          <w:rFonts w:ascii="Arial" w:hAnsi="Arial" w:cs="Arial"/>
          <w:sz w:val="16"/>
          <w:szCs w:val="16"/>
        </w:rPr>
        <w:t xml:space="preserve"> </w:t>
      </w:r>
      <w:r w:rsidRPr="00A42C60">
        <w:rPr>
          <w:rFonts w:ascii="Arial" w:hAnsi="Arial" w:cs="Arial"/>
          <w:color w:val="000000" w:themeColor="text1"/>
          <w:sz w:val="18"/>
          <w:szCs w:val="18"/>
        </w:rPr>
        <w:t xml:space="preserve">Cfr. Consejo de Estado, Sala de Consulta y Servicio Civil, concepto del 13 de agosto de 2009, rad. </w:t>
      </w:r>
      <w:smartTag w:uri="urn:schemas-microsoft-com:office:smarttags" w:element="metricconverter">
        <w:smartTagPr>
          <w:attr w:name="ProductID" w:val="1.952, C"/>
        </w:smartTagPr>
        <w:r w:rsidRPr="00A42C60">
          <w:rPr>
            <w:rFonts w:ascii="Arial" w:hAnsi="Arial" w:cs="Arial"/>
            <w:color w:val="000000" w:themeColor="text1"/>
            <w:sz w:val="18"/>
            <w:szCs w:val="18"/>
          </w:rPr>
          <w:t>1.952, C</w:t>
        </w:r>
      </w:smartTag>
      <w:r w:rsidRPr="00A42C60">
        <w:rPr>
          <w:rFonts w:ascii="Arial" w:hAnsi="Arial" w:cs="Arial"/>
          <w:color w:val="000000" w:themeColor="text1"/>
          <w:sz w:val="18"/>
          <w:szCs w:val="18"/>
        </w:rPr>
        <w:t>.P. Enrique José Arboleda Perdomo. En este concepto la Sala de Consulta se ocupó, entre otras preguntas, de la siguiente formulada por el Ministerio de Transporte: «1. ¿Bajo el supuesto que en un contrato de concesión existan razones de conveniencia que permitan una mejora del objeto contratado y una mejor prestación del servicio público encomendado a la entidad estatal contratante, es posible, por fuera de lo dispuesto en el artículo 16 de la Ley 80 de 1993 y en caso de que las partes hubieran pactado una modificación de común acuerdo desde la licitación, acudir a tal previsión y modificar el contrato, teniendo en cuenta, además, que con la modificación se busca un efectivo cumplimiento de los fines estatales y una eficiente prestación de los servicios públicos?».</w:t>
      </w:r>
    </w:p>
  </w:footnote>
  <w:footnote w:id="24">
    <w:p w14:paraId="62CEF385" w14:textId="77777777" w:rsidR="003A053B" w:rsidRPr="00D160CC" w:rsidRDefault="003A053B" w:rsidP="003A053B">
      <w:pPr>
        <w:pStyle w:val="Textonotapie"/>
        <w:ind w:firstLine="708"/>
        <w:jc w:val="both"/>
        <w:rPr>
          <w:rFonts w:ascii="Arial" w:hAnsi="Arial" w:cs="Arial"/>
          <w:bCs/>
          <w:iCs/>
          <w:sz w:val="16"/>
          <w:szCs w:val="16"/>
          <w:lang w:val="es-ES_tradnl"/>
        </w:rPr>
      </w:pPr>
      <w:r w:rsidRPr="00D160CC">
        <w:rPr>
          <w:rStyle w:val="Refdenotaalpie"/>
          <w:rFonts w:ascii="Arial" w:hAnsi="Arial" w:cs="Arial"/>
          <w:sz w:val="16"/>
          <w:szCs w:val="16"/>
        </w:rPr>
        <w:footnoteRef/>
      </w:r>
      <w:r w:rsidRPr="00D160CC">
        <w:rPr>
          <w:rFonts w:ascii="Arial" w:hAnsi="Arial" w:cs="Arial"/>
          <w:sz w:val="16"/>
          <w:szCs w:val="16"/>
        </w:rPr>
        <w:t xml:space="preserve"> </w:t>
      </w:r>
      <w:r w:rsidRPr="00A42C60">
        <w:rPr>
          <w:rFonts w:ascii="Arial" w:hAnsi="Arial" w:cs="Arial"/>
          <w:color w:val="000000" w:themeColor="text1"/>
          <w:sz w:val="18"/>
          <w:szCs w:val="18"/>
        </w:rPr>
        <w:t>Los acuerdos de voluntades que no cumplan con esta formalidad se consideran inexistentes, por lo tanto, tal como lo ha planteado el Consejo de Estado en el Concepto 2263 del 17 de marzo del 2017,  «las eventuales reclamaciones contractuales que pueda presentar un particular sobre prestaciones realizadas, sin la previa modificación del mismo, están llamadas al fracaso, pues la Administración no puede reconocer situaciones de hecho u obligaciones dinerarias con cargo a un contrato que estipula obligaciones distintas».</w:t>
      </w:r>
    </w:p>
    <w:p w14:paraId="38612DCD" w14:textId="77777777" w:rsidR="003A053B" w:rsidRPr="00D160CC" w:rsidRDefault="003A053B" w:rsidP="003A053B">
      <w:pPr>
        <w:pStyle w:val="Textonotapie"/>
        <w:ind w:firstLine="708"/>
        <w:jc w:val="both"/>
        <w:rPr>
          <w:rFonts w:ascii="Arial" w:hAnsi="Arial" w:cs="Arial"/>
          <w:sz w:val="16"/>
          <w:szCs w:val="16"/>
          <w:lang w:val="es-CO"/>
        </w:rPr>
      </w:pPr>
    </w:p>
  </w:footnote>
  <w:footnote w:id="25">
    <w:p w14:paraId="0326EE50" w14:textId="77777777" w:rsidR="003A053B" w:rsidRPr="00D160CC" w:rsidRDefault="003A053B" w:rsidP="003A053B">
      <w:pPr>
        <w:pStyle w:val="Textonotapie"/>
        <w:ind w:firstLine="708"/>
        <w:jc w:val="both"/>
        <w:rPr>
          <w:rFonts w:ascii="Arial" w:hAnsi="Arial" w:cs="Arial"/>
          <w:sz w:val="16"/>
          <w:szCs w:val="16"/>
          <w:lang w:val="es-CO"/>
        </w:rPr>
      </w:pPr>
      <w:r w:rsidRPr="00D160CC">
        <w:rPr>
          <w:rStyle w:val="Refdenotaalpie"/>
          <w:rFonts w:ascii="Arial" w:hAnsi="Arial" w:cs="Arial"/>
          <w:sz w:val="16"/>
          <w:szCs w:val="16"/>
        </w:rPr>
        <w:footnoteRef/>
      </w:r>
      <w:r w:rsidRPr="00D160CC">
        <w:rPr>
          <w:rFonts w:ascii="Arial" w:hAnsi="Arial" w:cs="Arial"/>
          <w:sz w:val="16"/>
          <w:szCs w:val="16"/>
        </w:rPr>
        <w:t xml:space="preserve"> Ibí</w:t>
      </w:r>
      <w:r w:rsidRPr="00A42C60">
        <w:rPr>
          <w:rFonts w:ascii="Arial" w:hAnsi="Arial" w:cs="Arial"/>
          <w:color w:val="000000" w:themeColor="text1"/>
          <w:sz w:val="18"/>
          <w:szCs w:val="18"/>
        </w:rPr>
        <w:t>dem</w:t>
      </w:r>
    </w:p>
  </w:footnote>
  <w:footnote w:id="26">
    <w:p w14:paraId="07912891" w14:textId="77777777" w:rsidR="003A053B" w:rsidRPr="00D160CC" w:rsidRDefault="003A053B" w:rsidP="003A053B">
      <w:pPr>
        <w:pStyle w:val="Textonotapie"/>
        <w:ind w:firstLine="708"/>
        <w:jc w:val="both"/>
        <w:rPr>
          <w:rFonts w:ascii="Arial" w:hAnsi="Arial" w:cs="Arial"/>
          <w:sz w:val="16"/>
          <w:szCs w:val="16"/>
        </w:rPr>
      </w:pPr>
      <w:r w:rsidRPr="00D160CC">
        <w:rPr>
          <w:rStyle w:val="Refdenotaalpie"/>
          <w:rFonts w:ascii="Arial" w:hAnsi="Arial" w:cs="Arial"/>
          <w:sz w:val="16"/>
          <w:szCs w:val="16"/>
        </w:rPr>
        <w:footnoteRef/>
      </w:r>
      <w:r w:rsidRPr="00D160CC">
        <w:rPr>
          <w:rFonts w:ascii="Arial" w:hAnsi="Arial" w:cs="Arial"/>
          <w:sz w:val="16"/>
          <w:szCs w:val="16"/>
        </w:rPr>
        <w:t xml:space="preserve"> </w:t>
      </w:r>
      <w:r w:rsidRPr="00A42C60">
        <w:rPr>
          <w:rFonts w:ascii="Arial" w:hAnsi="Arial" w:cs="Arial"/>
          <w:color w:val="000000" w:themeColor="text1"/>
          <w:sz w:val="18"/>
          <w:szCs w:val="18"/>
        </w:rPr>
        <w:t>Cfr. DAVILA VINUEZA Luis Guillermo. Régimen Jurídico de la contratación estatal. Bogotá: Editorial Legis, 2001, p. 387.</w:t>
      </w:r>
    </w:p>
    <w:p w14:paraId="66CDEA50" w14:textId="77777777" w:rsidR="003A053B" w:rsidRPr="00D160CC" w:rsidRDefault="003A053B" w:rsidP="003A053B">
      <w:pPr>
        <w:pStyle w:val="Textonotapie"/>
        <w:ind w:firstLine="708"/>
        <w:jc w:val="both"/>
        <w:rPr>
          <w:rFonts w:ascii="Arial" w:hAnsi="Arial" w:cs="Arial"/>
          <w:sz w:val="16"/>
          <w:szCs w:val="16"/>
          <w:lang w:val="es-CO"/>
        </w:rPr>
      </w:pPr>
    </w:p>
  </w:footnote>
  <w:footnote w:id="27">
    <w:p w14:paraId="04A2F345" w14:textId="77777777" w:rsidR="003A053B" w:rsidRPr="00D160CC" w:rsidRDefault="003A053B" w:rsidP="003A053B">
      <w:pPr>
        <w:pStyle w:val="Textonotapie"/>
        <w:ind w:firstLine="708"/>
        <w:jc w:val="both"/>
        <w:rPr>
          <w:rFonts w:ascii="Arial" w:hAnsi="Arial" w:cs="Arial"/>
          <w:sz w:val="16"/>
          <w:szCs w:val="16"/>
          <w:lang w:val="es-CO"/>
        </w:rPr>
      </w:pPr>
      <w:r w:rsidRPr="00D160CC">
        <w:rPr>
          <w:rStyle w:val="Refdenotaalpie"/>
          <w:rFonts w:ascii="Arial" w:hAnsi="Arial" w:cs="Arial"/>
          <w:sz w:val="16"/>
          <w:szCs w:val="16"/>
        </w:rPr>
        <w:footnoteRef/>
      </w:r>
      <w:r w:rsidRPr="00D160CC">
        <w:rPr>
          <w:rFonts w:ascii="Arial" w:hAnsi="Arial" w:cs="Arial"/>
          <w:sz w:val="16"/>
          <w:szCs w:val="16"/>
        </w:rPr>
        <w:t xml:space="preserve"> </w:t>
      </w:r>
      <w:r w:rsidRPr="00A42C60">
        <w:rPr>
          <w:rFonts w:ascii="Arial" w:hAnsi="Arial" w:cs="Arial"/>
          <w:color w:val="000000" w:themeColor="text1"/>
          <w:sz w:val="18"/>
          <w:szCs w:val="18"/>
        </w:rPr>
        <w:t xml:space="preserve">Sobre el particular resultan pertinentes las consideraciones efectuadas en el mismo sentido por la Sala de Consulta y Servicio Civil del Consejo de Estado en el concepto del 13 de agosto de 2009, rad. </w:t>
      </w:r>
      <w:smartTag w:uri="urn:schemas-microsoft-com:office:smarttags" w:element="metricconverter">
        <w:smartTagPr>
          <w:attr w:name="ProductID" w:val="1.952, C"/>
        </w:smartTagPr>
        <w:r w:rsidRPr="00A42C60">
          <w:rPr>
            <w:rFonts w:ascii="Arial" w:hAnsi="Arial" w:cs="Arial"/>
            <w:color w:val="000000" w:themeColor="text1"/>
            <w:sz w:val="18"/>
            <w:szCs w:val="18"/>
          </w:rPr>
          <w:t>1.952, C</w:t>
        </w:r>
      </w:smartTag>
      <w:r w:rsidRPr="00A42C60">
        <w:rPr>
          <w:rFonts w:ascii="Arial" w:hAnsi="Arial" w:cs="Arial"/>
          <w:color w:val="000000" w:themeColor="text1"/>
          <w:sz w:val="18"/>
          <w:szCs w:val="18"/>
        </w:rPr>
        <w:t>.P. Enrique José Arboleda Perdomo y por la Corte Constitucional en la sentencia C-300 de 2012.</w:t>
      </w:r>
      <w:r w:rsidRPr="00D160CC">
        <w:rPr>
          <w:rFonts w:ascii="Arial" w:eastAsia="Times New Roman" w:hAnsi="Arial" w:cs="Arial"/>
          <w:bCs/>
          <w:sz w:val="16"/>
          <w:szCs w:val="16"/>
          <w:lang w:val="es-ES" w:eastAsia="es-ES"/>
        </w:rPr>
        <w:t xml:space="preserve"> </w:t>
      </w:r>
    </w:p>
  </w:footnote>
  <w:footnote w:id="28">
    <w:p w14:paraId="5734DB3E" w14:textId="41991D2F" w:rsidR="00AD7D76" w:rsidRPr="00A42C60" w:rsidRDefault="00AD7D76" w:rsidP="00AD7D76">
      <w:pPr>
        <w:pStyle w:val="Textonotapie"/>
        <w:ind w:firstLine="709"/>
        <w:jc w:val="both"/>
        <w:rPr>
          <w:rFonts w:ascii="Arial" w:hAnsi="Arial" w:cs="Arial"/>
          <w:lang w:val="es-CO"/>
        </w:rPr>
      </w:pPr>
      <w:r w:rsidRPr="00A42C60">
        <w:rPr>
          <w:rStyle w:val="Refdenotaalpie"/>
          <w:rFonts w:ascii="Arial" w:hAnsi="Arial" w:cs="Arial"/>
        </w:rPr>
        <w:footnoteRef/>
      </w:r>
      <w:r w:rsidRPr="00A42C60">
        <w:rPr>
          <w:rFonts w:ascii="Arial" w:hAnsi="Arial" w:cs="Arial"/>
        </w:rPr>
        <w:t xml:space="preserve"> </w:t>
      </w:r>
      <w:r w:rsidRPr="00A42C60">
        <w:rPr>
          <w:rFonts w:ascii="Arial" w:hAnsi="Arial" w:cs="Arial"/>
          <w:color w:val="000000" w:themeColor="text1"/>
          <w:sz w:val="18"/>
          <w:szCs w:val="18"/>
        </w:rPr>
        <w:t>En efecto, en el numeral 67 de la sentencia se indica que «El 25 de febrero de 2022, se presentó informe a la Sala Plena de la Corte Constitucional, para que decidiera si asumía o no el conocimiento del proceso. Esto, habida cuenta que (i) se trata de una tutela que busca dejar sin efectos una sentencia de la Sala de Casación Penal de la Corte Suprema de Justicia; y que (</w:t>
      </w:r>
      <w:proofErr w:type="spellStart"/>
      <w:r w:rsidRPr="00A42C60">
        <w:rPr>
          <w:rFonts w:ascii="Arial" w:hAnsi="Arial" w:cs="Arial"/>
          <w:color w:val="000000" w:themeColor="text1"/>
          <w:sz w:val="18"/>
          <w:szCs w:val="18"/>
        </w:rPr>
        <w:t>ii</w:t>
      </w:r>
      <w:proofErr w:type="spellEnd"/>
      <w:r w:rsidRPr="00A42C60">
        <w:rPr>
          <w:rFonts w:ascii="Arial" w:hAnsi="Arial" w:cs="Arial"/>
          <w:color w:val="000000" w:themeColor="text1"/>
          <w:sz w:val="18"/>
          <w:szCs w:val="18"/>
        </w:rPr>
        <w:t>) podría exigir de una sentencia de unificación para decidir sobre la posible configuración del defecto que el apoderado del accionante denominó “violación directa de la Constitución por desconocimiento del principio de interpretación conforme a la Constitución”, puesto que en la jurisprudencia de las Cortes existe disparidad de criterios sobre el contenido y alcance de una adición contractual en los términos del parágrafo del artículo 40 de la Ley 80 de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31D" w14:textId="6E2810A5" w:rsidR="00E2520A" w:rsidRDefault="00E2520A" w:rsidP="006A3704">
    <w:pPr>
      <w:spacing w:after="0" w:line="240" w:lineRule="auto"/>
    </w:pPr>
  </w:p>
  <w:p w14:paraId="603D9E86" w14:textId="61607A32" w:rsidR="0020796E" w:rsidRDefault="0020796E" w:rsidP="006A3704">
    <w:pPr>
      <w:spacing w:after="0" w:line="240" w:lineRule="auto"/>
      <w:rPr>
        <w:rFonts w:ascii="Geomanist Bold" w:hAnsi="Geomanist Bold"/>
        <w:color w:val="002060"/>
      </w:rPr>
    </w:pPr>
    <w:r>
      <w:rPr>
        <w:noProof/>
      </w:rPr>
      <w:drawing>
        <wp:anchor distT="0" distB="0" distL="0" distR="0" simplePos="0" relativeHeight="251659264" behindDoc="1" locked="0" layoutInCell="1" allowOverlap="1" wp14:anchorId="2298F00B" wp14:editId="691EE5BD">
          <wp:simplePos x="0" y="0"/>
          <wp:positionH relativeFrom="margin">
            <wp:align>right</wp:align>
          </wp:positionH>
          <wp:positionV relativeFrom="paragraph">
            <wp:posOffset>6985</wp:posOffset>
          </wp:positionV>
          <wp:extent cx="1657350" cy="676275"/>
          <wp:effectExtent l="0" t="0" r="0" b="9525"/>
          <wp:wrapNone/>
          <wp:docPr id="10"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20796E" w14:paraId="48C686BC" w14:textId="77777777" w:rsidTr="0020796E">
      <w:tc>
        <w:tcPr>
          <w:tcW w:w="6757" w:type="dxa"/>
          <w:tcBorders>
            <w:top w:val="nil"/>
            <w:left w:val="nil"/>
            <w:bottom w:val="nil"/>
            <w:right w:val="nil"/>
          </w:tcBorders>
          <w:hideMark/>
        </w:tcPr>
        <w:p w14:paraId="36F7744A" w14:textId="77777777" w:rsidR="0020796E" w:rsidRDefault="0020796E" w:rsidP="006A3704">
          <w:pPr>
            <w:tabs>
              <w:tab w:val="center" w:pos="4419"/>
              <w:tab w:val="center" w:pos="5400"/>
              <w:tab w:val="right" w:pos="8838"/>
            </w:tabs>
            <w:spacing w:after="0" w:line="240" w:lineRule="auto"/>
            <w:rPr>
              <w:rFonts w:ascii="Geomanist Bold" w:eastAsia="Geo" w:hAnsi="Geomanist Bold" w:cs="Geo"/>
              <w:b/>
              <w:color w:val="002060"/>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4E350D27" w14:textId="77777777" w:rsidR="0020796E" w:rsidRDefault="0020796E" w:rsidP="006A3704">
          <w:pPr>
            <w:tabs>
              <w:tab w:val="center" w:pos="4419"/>
              <w:tab w:val="center" w:pos="5400"/>
              <w:tab w:val="right" w:pos="8838"/>
            </w:tabs>
            <w:spacing w:after="0" w:line="240" w:lineRule="auto"/>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64467BF0" w14:textId="77777777" w:rsidR="0020796E" w:rsidRDefault="0020796E" w:rsidP="006A3704">
          <w:pPr>
            <w:spacing w:after="0" w:line="240" w:lineRule="auto"/>
            <w:jc w:val="right"/>
            <w:rPr>
              <w:rFonts w:eastAsia="Arial Nova" w:cs="Arial Nova"/>
              <w:lang w:eastAsia="es-CO"/>
            </w:rPr>
          </w:pPr>
        </w:p>
      </w:tc>
      <w:tc>
        <w:tcPr>
          <w:tcW w:w="1324" w:type="dxa"/>
          <w:tcBorders>
            <w:top w:val="nil"/>
            <w:left w:val="nil"/>
            <w:bottom w:val="nil"/>
            <w:right w:val="nil"/>
          </w:tcBorders>
        </w:tcPr>
        <w:p w14:paraId="7F0DA02B" w14:textId="77777777" w:rsidR="0020796E" w:rsidRDefault="0020796E" w:rsidP="006A3704">
          <w:pPr>
            <w:spacing w:after="0" w:line="240" w:lineRule="auto"/>
            <w:jc w:val="right"/>
            <w:rPr>
              <w:rFonts w:eastAsia="Arial Nova" w:cs="Arial Nova"/>
              <w:lang w:eastAsia="es-CO"/>
            </w:rPr>
          </w:pPr>
        </w:p>
      </w:tc>
    </w:tr>
  </w:tbl>
  <w:p w14:paraId="5DBE9C96" w14:textId="263A9DAC" w:rsidR="00E2520A" w:rsidRDefault="0020796E" w:rsidP="0020796E">
    <w:r>
      <w:rPr>
        <w:noProof/>
      </w:rPr>
      <w:drawing>
        <wp:inline distT="0" distB="0" distL="0" distR="0" wp14:anchorId="31BFA4E7" wp14:editId="20260E75">
          <wp:extent cx="3238500" cy="762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0E4B78CE"/>
    <w:multiLevelType w:val="multilevel"/>
    <w:tmpl w:val="B62E7D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5"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5" w15:restartNumberingAfterBreak="0">
    <w:nsid w:val="41EC3752"/>
    <w:multiLevelType w:val="hybridMultilevel"/>
    <w:tmpl w:val="6896A652"/>
    <w:lvl w:ilvl="0" w:tplc="9CAE3458">
      <w:start w:val="4"/>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5D96BB5"/>
    <w:multiLevelType w:val="hybridMultilevel"/>
    <w:tmpl w:val="A8E62E50"/>
    <w:lvl w:ilvl="0" w:tplc="B60A3924">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6B0B480E"/>
    <w:multiLevelType w:val="hybridMultilevel"/>
    <w:tmpl w:val="5330C58C"/>
    <w:lvl w:ilvl="0" w:tplc="E8A0D3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4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5"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20"/>
  </w:num>
  <w:num w:numId="2" w16cid:durableId="1478569355">
    <w:abstractNumId w:val="18"/>
  </w:num>
  <w:num w:numId="3" w16cid:durableId="1952978564">
    <w:abstractNumId w:val="29"/>
  </w:num>
  <w:num w:numId="4" w16cid:durableId="1315186126">
    <w:abstractNumId w:val="34"/>
  </w:num>
  <w:num w:numId="5" w16cid:durableId="1309093109">
    <w:abstractNumId w:val="40"/>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5"/>
  </w:num>
  <w:num w:numId="8" w16cid:durableId="1008755670">
    <w:abstractNumId w:val="3"/>
  </w:num>
  <w:num w:numId="9" w16cid:durableId="65764095">
    <w:abstractNumId w:val="12"/>
  </w:num>
  <w:num w:numId="10" w16cid:durableId="13496027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9"/>
  </w:num>
  <w:num w:numId="13" w16cid:durableId="1145464557">
    <w:abstractNumId w:val="26"/>
  </w:num>
  <w:num w:numId="14" w16cid:durableId="848450862">
    <w:abstractNumId w:val="15"/>
  </w:num>
  <w:num w:numId="15" w16cid:durableId="191215078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42"/>
  </w:num>
  <w:num w:numId="18" w16cid:durableId="718556045">
    <w:abstractNumId w:val="30"/>
  </w:num>
  <w:num w:numId="19" w16cid:durableId="2109496769">
    <w:abstractNumId w:val="11"/>
  </w:num>
  <w:num w:numId="20" w16cid:durableId="1574777690">
    <w:abstractNumId w:val="43"/>
  </w:num>
  <w:num w:numId="21" w16cid:durableId="343829570">
    <w:abstractNumId w:val="32"/>
  </w:num>
  <w:num w:numId="22" w16cid:durableId="1521091477">
    <w:abstractNumId w:val="14"/>
  </w:num>
  <w:num w:numId="23" w16cid:durableId="1406491540">
    <w:abstractNumId w:val="13"/>
  </w:num>
  <w:num w:numId="24" w16cid:durableId="216599317">
    <w:abstractNumId w:val="36"/>
  </w:num>
  <w:num w:numId="25" w16cid:durableId="706416597">
    <w:abstractNumId w:val="22"/>
  </w:num>
  <w:num w:numId="26" w16cid:durableId="270862301">
    <w:abstractNumId w:val="41"/>
  </w:num>
  <w:num w:numId="27" w16cid:durableId="1795712713">
    <w:abstractNumId w:val="45"/>
  </w:num>
  <w:num w:numId="28" w16cid:durableId="969941319">
    <w:abstractNumId w:val="27"/>
  </w:num>
  <w:num w:numId="29" w16cid:durableId="1808891589">
    <w:abstractNumId w:val="2"/>
  </w:num>
  <w:num w:numId="30" w16cid:durableId="1508400274">
    <w:abstractNumId w:val="31"/>
  </w:num>
  <w:num w:numId="31" w16cid:durableId="1848517314">
    <w:abstractNumId w:val="23"/>
  </w:num>
  <w:num w:numId="32" w16cid:durableId="1225678077">
    <w:abstractNumId w:val="33"/>
  </w:num>
  <w:num w:numId="33" w16cid:durableId="283007414">
    <w:abstractNumId w:val="44"/>
  </w:num>
  <w:num w:numId="34" w16cid:durableId="669528079">
    <w:abstractNumId w:val="21"/>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7"/>
    <w:lvlOverride w:ilvl="0"/>
    <w:lvlOverride w:ilvl="1">
      <w:startOverride w:val="1"/>
    </w:lvlOverride>
    <w:lvlOverride w:ilvl="2"/>
    <w:lvlOverride w:ilvl="3"/>
    <w:lvlOverride w:ilvl="4"/>
    <w:lvlOverride w:ilvl="5"/>
    <w:lvlOverride w:ilvl="6"/>
    <w:lvlOverride w:ilvl="7"/>
    <w:lvlOverride w:ilvl="8"/>
  </w:num>
  <w:num w:numId="42" w16cid:durableId="541553631">
    <w:abstractNumId w:val="38"/>
  </w:num>
  <w:num w:numId="43" w16cid:durableId="14161699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7976911">
    <w:abstractNumId w:val="39"/>
  </w:num>
  <w:num w:numId="45" w16cid:durableId="1544950817">
    <w:abstractNumId w:val="10"/>
  </w:num>
  <w:num w:numId="46" w16cid:durableId="1353874905">
    <w:abstractNumId w:val="25"/>
  </w:num>
  <w:num w:numId="47" w16cid:durableId="1807813370">
    <w:abstractNumId w:val="28"/>
  </w:num>
  <w:num w:numId="48" w16cid:durableId="2009017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AA7"/>
    <w:rsid w:val="000031A8"/>
    <w:rsid w:val="00003233"/>
    <w:rsid w:val="000037D0"/>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5CEF"/>
    <w:rsid w:val="00016081"/>
    <w:rsid w:val="000165AC"/>
    <w:rsid w:val="00016651"/>
    <w:rsid w:val="00016881"/>
    <w:rsid w:val="000171A2"/>
    <w:rsid w:val="00017B65"/>
    <w:rsid w:val="00020158"/>
    <w:rsid w:val="000204EA"/>
    <w:rsid w:val="000207E0"/>
    <w:rsid w:val="00020D41"/>
    <w:rsid w:val="00020D87"/>
    <w:rsid w:val="00020F8F"/>
    <w:rsid w:val="00021A95"/>
    <w:rsid w:val="00021C0A"/>
    <w:rsid w:val="00021F62"/>
    <w:rsid w:val="0002256F"/>
    <w:rsid w:val="0002296A"/>
    <w:rsid w:val="00023DAE"/>
    <w:rsid w:val="00023FA5"/>
    <w:rsid w:val="00024592"/>
    <w:rsid w:val="00024896"/>
    <w:rsid w:val="00025065"/>
    <w:rsid w:val="000258A6"/>
    <w:rsid w:val="00026092"/>
    <w:rsid w:val="000263F0"/>
    <w:rsid w:val="00026407"/>
    <w:rsid w:val="000264F6"/>
    <w:rsid w:val="00026608"/>
    <w:rsid w:val="00026B36"/>
    <w:rsid w:val="00026DEB"/>
    <w:rsid w:val="0002738B"/>
    <w:rsid w:val="00027545"/>
    <w:rsid w:val="00027787"/>
    <w:rsid w:val="000277A2"/>
    <w:rsid w:val="000278D2"/>
    <w:rsid w:val="00030747"/>
    <w:rsid w:val="00031384"/>
    <w:rsid w:val="000315E1"/>
    <w:rsid w:val="00031AD9"/>
    <w:rsid w:val="0003236E"/>
    <w:rsid w:val="000323E9"/>
    <w:rsid w:val="00033295"/>
    <w:rsid w:val="00033358"/>
    <w:rsid w:val="0003339A"/>
    <w:rsid w:val="00034134"/>
    <w:rsid w:val="000341F2"/>
    <w:rsid w:val="00034651"/>
    <w:rsid w:val="000351F2"/>
    <w:rsid w:val="00035224"/>
    <w:rsid w:val="00036E03"/>
    <w:rsid w:val="00037ED1"/>
    <w:rsid w:val="000406DB"/>
    <w:rsid w:val="0004094D"/>
    <w:rsid w:val="00040A5E"/>
    <w:rsid w:val="00041029"/>
    <w:rsid w:val="0004149B"/>
    <w:rsid w:val="00041717"/>
    <w:rsid w:val="00041CA0"/>
    <w:rsid w:val="000427F7"/>
    <w:rsid w:val="00042961"/>
    <w:rsid w:val="00042C25"/>
    <w:rsid w:val="00042D03"/>
    <w:rsid w:val="00043086"/>
    <w:rsid w:val="000430A0"/>
    <w:rsid w:val="0004376B"/>
    <w:rsid w:val="00043A33"/>
    <w:rsid w:val="00043D3B"/>
    <w:rsid w:val="00043D4D"/>
    <w:rsid w:val="00043F5D"/>
    <w:rsid w:val="0004418C"/>
    <w:rsid w:val="00044204"/>
    <w:rsid w:val="000449D4"/>
    <w:rsid w:val="000466E8"/>
    <w:rsid w:val="00046717"/>
    <w:rsid w:val="00046A63"/>
    <w:rsid w:val="00046B8D"/>
    <w:rsid w:val="00046C09"/>
    <w:rsid w:val="00046EDB"/>
    <w:rsid w:val="0004716A"/>
    <w:rsid w:val="00047316"/>
    <w:rsid w:val="00047385"/>
    <w:rsid w:val="000473E8"/>
    <w:rsid w:val="00050021"/>
    <w:rsid w:val="000500CF"/>
    <w:rsid w:val="000500E1"/>
    <w:rsid w:val="00050460"/>
    <w:rsid w:val="000504DE"/>
    <w:rsid w:val="00051074"/>
    <w:rsid w:val="0005211A"/>
    <w:rsid w:val="000528C3"/>
    <w:rsid w:val="00052B79"/>
    <w:rsid w:val="00052B86"/>
    <w:rsid w:val="00052EA0"/>
    <w:rsid w:val="000536E3"/>
    <w:rsid w:val="00053EDA"/>
    <w:rsid w:val="00053F84"/>
    <w:rsid w:val="0005419F"/>
    <w:rsid w:val="00054252"/>
    <w:rsid w:val="0005474D"/>
    <w:rsid w:val="00055CB9"/>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5B"/>
    <w:rsid w:val="00064DB7"/>
    <w:rsid w:val="00064FA7"/>
    <w:rsid w:val="00065195"/>
    <w:rsid w:val="00065A18"/>
    <w:rsid w:val="000703DE"/>
    <w:rsid w:val="00070AF1"/>
    <w:rsid w:val="00070B59"/>
    <w:rsid w:val="000714DE"/>
    <w:rsid w:val="0007254F"/>
    <w:rsid w:val="000726D1"/>
    <w:rsid w:val="00073C30"/>
    <w:rsid w:val="00074305"/>
    <w:rsid w:val="000743A3"/>
    <w:rsid w:val="00074B2A"/>
    <w:rsid w:val="00075057"/>
    <w:rsid w:val="00075108"/>
    <w:rsid w:val="00075B3E"/>
    <w:rsid w:val="00075F7D"/>
    <w:rsid w:val="00076240"/>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08B"/>
    <w:rsid w:val="0008510E"/>
    <w:rsid w:val="000856DE"/>
    <w:rsid w:val="00085F17"/>
    <w:rsid w:val="00085FB3"/>
    <w:rsid w:val="0008686B"/>
    <w:rsid w:val="00086B2A"/>
    <w:rsid w:val="00086ED2"/>
    <w:rsid w:val="00090CAE"/>
    <w:rsid w:val="000914D6"/>
    <w:rsid w:val="00091569"/>
    <w:rsid w:val="00091E55"/>
    <w:rsid w:val="00091FBB"/>
    <w:rsid w:val="00092DCA"/>
    <w:rsid w:val="000935F8"/>
    <w:rsid w:val="00093C51"/>
    <w:rsid w:val="000942EB"/>
    <w:rsid w:val="00095B70"/>
    <w:rsid w:val="00095C0D"/>
    <w:rsid w:val="00095EB2"/>
    <w:rsid w:val="0009617E"/>
    <w:rsid w:val="00096489"/>
    <w:rsid w:val="000979CF"/>
    <w:rsid w:val="00097A00"/>
    <w:rsid w:val="000A03C8"/>
    <w:rsid w:val="000A05F2"/>
    <w:rsid w:val="000A06C4"/>
    <w:rsid w:val="000A0861"/>
    <w:rsid w:val="000A0ED1"/>
    <w:rsid w:val="000A1139"/>
    <w:rsid w:val="000A126D"/>
    <w:rsid w:val="000A12DB"/>
    <w:rsid w:val="000A17C8"/>
    <w:rsid w:val="000A18E3"/>
    <w:rsid w:val="000A1AEE"/>
    <w:rsid w:val="000A20D7"/>
    <w:rsid w:val="000A2128"/>
    <w:rsid w:val="000A362F"/>
    <w:rsid w:val="000A367A"/>
    <w:rsid w:val="000A3B49"/>
    <w:rsid w:val="000A41BA"/>
    <w:rsid w:val="000A446A"/>
    <w:rsid w:val="000A5AAF"/>
    <w:rsid w:val="000A5F97"/>
    <w:rsid w:val="000A648E"/>
    <w:rsid w:val="000A73BB"/>
    <w:rsid w:val="000A7EF4"/>
    <w:rsid w:val="000B0A15"/>
    <w:rsid w:val="000B0DF3"/>
    <w:rsid w:val="000B103F"/>
    <w:rsid w:val="000B10D0"/>
    <w:rsid w:val="000B1437"/>
    <w:rsid w:val="000B1470"/>
    <w:rsid w:val="000B2B86"/>
    <w:rsid w:val="000B3051"/>
    <w:rsid w:val="000B419B"/>
    <w:rsid w:val="000B4716"/>
    <w:rsid w:val="000B5781"/>
    <w:rsid w:val="000B5891"/>
    <w:rsid w:val="000B6E4B"/>
    <w:rsid w:val="000B7122"/>
    <w:rsid w:val="000B78F1"/>
    <w:rsid w:val="000C0185"/>
    <w:rsid w:val="000C0444"/>
    <w:rsid w:val="000C0960"/>
    <w:rsid w:val="000C0F81"/>
    <w:rsid w:val="000C128D"/>
    <w:rsid w:val="000C17A3"/>
    <w:rsid w:val="000C1D4B"/>
    <w:rsid w:val="000C3260"/>
    <w:rsid w:val="000C3616"/>
    <w:rsid w:val="000C3803"/>
    <w:rsid w:val="000C3B77"/>
    <w:rsid w:val="000C4F49"/>
    <w:rsid w:val="000C5533"/>
    <w:rsid w:val="000C5861"/>
    <w:rsid w:val="000C5F6D"/>
    <w:rsid w:val="000C639D"/>
    <w:rsid w:val="000C67BB"/>
    <w:rsid w:val="000C6C31"/>
    <w:rsid w:val="000C6DBC"/>
    <w:rsid w:val="000C6F79"/>
    <w:rsid w:val="000C7211"/>
    <w:rsid w:val="000C7476"/>
    <w:rsid w:val="000C7683"/>
    <w:rsid w:val="000C7711"/>
    <w:rsid w:val="000C7AA2"/>
    <w:rsid w:val="000C7F0B"/>
    <w:rsid w:val="000D0462"/>
    <w:rsid w:val="000D053D"/>
    <w:rsid w:val="000D0CC7"/>
    <w:rsid w:val="000D0CD9"/>
    <w:rsid w:val="000D0ED2"/>
    <w:rsid w:val="000D1CEB"/>
    <w:rsid w:val="000D2563"/>
    <w:rsid w:val="000D25BF"/>
    <w:rsid w:val="000D3FDC"/>
    <w:rsid w:val="000D4E38"/>
    <w:rsid w:val="000D4F49"/>
    <w:rsid w:val="000D50DB"/>
    <w:rsid w:val="000D5ABA"/>
    <w:rsid w:val="000D6288"/>
    <w:rsid w:val="000D6CAF"/>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2930"/>
    <w:rsid w:val="000F3138"/>
    <w:rsid w:val="000F3D39"/>
    <w:rsid w:val="000F3E85"/>
    <w:rsid w:val="000F4403"/>
    <w:rsid w:val="000F4C3F"/>
    <w:rsid w:val="000F4E17"/>
    <w:rsid w:val="000F5A94"/>
    <w:rsid w:val="000F636A"/>
    <w:rsid w:val="000F6578"/>
    <w:rsid w:val="000F70CD"/>
    <w:rsid w:val="000F7239"/>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2EFA"/>
    <w:rsid w:val="00113003"/>
    <w:rsid w:val="00113062"/>
    <w:rsid w:val="00113705"/>
    <w:rsid w:val="00113952"/>
    <w:rsid w:val="00113975"/>
    <w:rsid w:val="00113CFC"/>
    <w:rsid w:val="00113FEA"/>
    <w:rsid w:val="00113FF2"/>
    <w:rsid w:val="00114324"/>
    <w:rsid w:val="0011452E"/>
    <w:rsid w:val="00114A22"/>
    <w:rsid w:val="00114E9D"/>
    <w:rsid w:val="0011507B"/>
    <w:rsid w:val="001155EE"/>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2D2"/>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314"/>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D08"/>
    <w:rsid w:val="00156BE5"/>
    <w:rsid w:val="00156FDB"/>
    <w:rsid w:val="00157232"/>
    <w:rsid w:val="00160401"/>
    <w:rsid w:val="00160D4E"/>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99E"/>
    <w:rsid w:val="00171EE0"/>
    <w:rsid w:val="00172198"/>
    <w:rsid w:val="00172612"/>
    <w:rsid w:val="001726C0"/>
    <w:rsid w:val="00172817"/>
    <w:rsid w:val="001734E3"/>
    <w:rsid w:val="0017350E"/>
    <w:rsid w:val="00173754"/>
    <w:rsid w:val="0017391B"/>
    <w:rsid w:val="001742BF"/>
    <w:rsid w:val="001749DF"/>
    <w:rsid w:val="00175E49"/>
    <w:rsid w:val="00176431"/>
    <w:rsid w:val="00176470"/>
    <w:rsid w:val="0017659F"/>
    <w:rsid w:val="00177076"/>
    <w:rsid w:val="001805C1"/>
    <w:rsid w:val="00180A2E"/>
    <w:rsid w:val="001813AF"/>
    <w:rsid w:val="001829CD"/>
    <w:rsid w:val="00182F01"/>
    <w:rsid w:val="00184F27"/>
    <w:rsid w:val="001850E6"/>
    <w:rsid w:val="0018519B"/>
    <w:rsid w:val="001858F3"/>
    <w:rsid w:val="00185AFE"/>
    <w:rsid w:val="00185E78"/>
    <w:rsid w:val="00186984"/>
    <w:rsid w:val="00187177"/>
    <w:rsid w:val="00187443"/>
    <w:rsid w:val="00187ABD"/>
    <w:rsid w:val="001904E3"/>
    <w:rsid w:val="0019087A"/>
    <w:rsid w:val="00191007"/>
    <w:rsid w:val="00191395"/>
    <w:rsid w:val="00191C5A"/>
    <w:rsid w:val="00191CEB"/>
    <w:rsid w:val="00191E63"/>
    <w:rsid w:val="00192D68"/>
    <w:rsid w:val="0019388B"/>
    <w:rsid w:val="00193B9A"/>
    <w:rsid w:val="00193F7E"/>
    <w:rsid w:val="00194458"/>
    <w:rsid w:val="001946AE"/>
    <w:rsid w:val="001946D5"/>
    <w:rsid w:val="00194E8C"/>
    <w:rsid w:val="00194EF3"/>
    <w:rsid w:val="001962EC"/>
    <w:rsid w:val="001963DD"/>
    <w:rsid w:val="001965DB"/>
    <w:rsid w:val="00196647"/>
    <w:rsid w:val="00196DC9"/>
    <w:rsid w:val="001A0236"/>
    <w:rsid w:val="001A0AF8"/>
    <w:rsid w:val="001A18D5"/>
    <w:rsid w:val="001A1D4A"/>
    <w:rsid w:val="001A2BDB"/>
    <w:rsid w:val="001A3011"/>
    <w:rsid w:val="001A325B"/>
    <w:rsid w:val="001A3FC3"/>
    <w:rsid w:val="001A42FB"/>
    <w:rsid w:val="001A43C6"/>
    <w:rsid w:val="001A4A08"/>
    <w:rsid w:val="001A4DAF"/>
    <w:rsid w:val="001A5028"/>
    <w:rsid w:val="001A525F"/>
    <w:rsid w:val="001A652F"/>
    <w:rsid w:val="001A66DF"/>
    <w:rsid w:val="001A67D0"/>
    <w:rsid w:val="001A687E"/>
    <w:rsid w:val="001A6BF1"/>
    <w:rsid w:val="001A7313"/>
    <w:rsid w:val="001A7591"/>
    <w:rsid w:val="001A75B1"/>
    <w:rsid w:val="001A7FBE"/>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C027C"/>
    <w:rsid w:val="001C037A"/>
    <w:rsid w:val="001C07C6"/>
    <w:rsid w:val="001C08B2"/>
    <w:rsid w:val="001C19CD"/>
    <w:rsid w:val="001C22D5"/>
    <w:rsid w:val="001C2515"/>
    <w:rsid w:val="001C2550"/>
    <w:rsid w:val="001C26FB"/>
    <w:rsid w:val="001C33C1"/>
    <w:rsid w:val="001C33F5"/>
    <w:rsid w:val="001C3E30"/>
    <w:rsid w:val="001C3E5C"/>
    <w:rsid w:val="001C5072"/>
    <w:rsid w:val="001C5B2A"/>
    <w:rsid w:val="001C600B"/>
    <w:rsid w:val="001C6407"/>
    <w:rsid w:val="001C6898"/>
    <w:rsid w:val="001C6DD8"/>
    <w:rsid w:val="001C7515"/>
    <w:rsid w:val="001C7C7B"/>
    <w:rsid w:val="001D068D"/>
    <w:rsid w:val="001D0A71"/>
    <w:rsid w:val="001D0C08"/>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62E9"/>
    <w:rsid w:val="001E67AB"/>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BD5"/>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077FA"/>
    <w:rsid w:val="0020796E"/>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08"/>
    <w:rsid w:val="00216264"/>
    <w:rsid w:val="002168B8"/>
    <w:rsid w:val="002176B6"/>
    <w:rsid w:val="0021792D"/>
    <w:rsid w:val="00217DB8"/>
    <w:rsid w:val="0022032A"/>
    <w:rsid w:val="002221CE"/>
    <w:rsid w:val="00222BE8"/>
    <w:rsid w:val="00223102"/>
    <w:rsid w:val="002232CB"/>
    <w:rsid w:val="00223EFE"/>
    <w:rsid w:val="00224022"/>
    <w:rsid w:val="00224D01"/>
    <w:rsid w:val="00225C7E"/>
    <w:rsid w:val="00226055"/>
    <w:rsid w:val="0022613F"/>
    <w:rsid w:val="00226236"/>
    <w:rsid w:val="00226287"/>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6E95"/>
    <w:rsid w:val="00237065"/>
    <w:rsid w:val="00237589"/>
    <w:rsid w:val="0023758D"/>
    <w:rsid w:val="002375A7"/>
    <w:rsid w:val="0024016B"/>
    <w:rsid w:val="0024019A"/>
    <w:rsid w:val="002402A8"/>
    <w:rsid w:val="00240695"/>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059D"/>
    <w:rsid w:val="0026129B"/>
    <w:rsid w:val="00261560"/>
    <w:rsid w:val="00261715"/>
    <w:rsid w:val="00261CF9"/>
    <w:rsid w:val="00261EC0"/>
    <w:rsid w:val="0026231B"/>
    <w:rsid w:val="00262A26"/>
    <w:rsid w:val="0026306A"/>
    <w:rsid w:val="00263101"/>
    <w:rsid w:val="00263201"/>
    <w:rsid w:val="00263336"/>
    <w:rsid w:val="00263A37"/>
    <w:rsid w:val="00263EAE"/>
    <w:rsid w:val="00264409"/>
    <w:rsid w:val="002648AB"/>
    <w:rsid w:val="002653A6"/>
    <w:rsid w:val="002655A1"/>
    <w:rsid w:val="00265663"/>
    <w:rsid w:val="0026608D"/>
    <w:rsid w:val="002661F1"/>
    <w:rsid w:val="002663BA"/>
    <w:rsid w:val="002664B7"/>
    <w:rsid w:val="00266CB5"/>
    <w:rsid w:val="00267D66"/>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1B9"/>
    <w:rsid w:val="002834E9"/>
    <w:rsid w:val="0028396F"/>
    <w:rsid w:val="00283A52"/>
    <w:rsid w:val="00283C5E"/>
    <w:rsid w:val="00283E26"/>
    <w:rsid w:val="0028428F"/>
    <w:rsid w:val="00284CFC"/>
    <w:rsid w:val="00285624"/>
    <w:rsid w:val="0028565E"/>
    <w:rsid w:val="00285832"/>
    <w:rsid w:val="00285969"/>
    <w:rsid w:val="0028663B"/>
    <w:rsid w:val="00286CEC"/>
    <w:rsid w:val="002871A9"/>
    <w:rsid w:val="00287B7E"/>
    <w:rsid w:val="00290781"/>
    <w:rsid w:val="00290929"/>
    <w:rsid w:val="002912D3"/>
    <w:rsid w:val="00291784"/>
    <w:rsid w:val="002929BB"/>
    <w:rsid w:val="00292E64"/>
    <w:rsid w:val="002932BA"/>
    <w:rsid w:val="00293669"/>
    <w:rsid w:val="00294368"/>
    <w:rsid w:val="00294B78"/>
    <w:rsid w:val="00295646"/>
    <w:rsid w:val="00295820"/>
    <w:rsid w:val="00295949"/>
    <w:rsid w:val="0029624A"/>
    <w:rsid w:val="00296922"/>
    <w:rsid w:val="0029697C"/>
    <w:rsid w:val="00296EAF"/>
    <w:rsid w:val="00296F71"/>
    <w:rsid w:val="00297098"/>
    <w:rsid w:val="00297251"/>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6A75"/>
    <w:rsid w:val="002B73B0"/>
    <w:rsid w:val="002B7F7A"/>
    <w:rsid w:val="002C078F"/>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A6F"/>
    <w:rsid w:val="002C6F77"/>
    <w:rsid w:val="002C6F94"/>
    <w:rsid w:val="002C704D"/>
    <w:rsid w:val="002C77D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3A9"/>
    <w:rsid w:val="002E48EC"/>
    <w:rsid w:val="002E4B44"/>
    <w:rsid w:val="002E4DA4"/>
    <w:rsid w:val="002E4ECB"/>
    <w:rsid w:val="002E4F23"/>
    <w:rsid w:val="002E5B53"/>
    <w:rsid w:val="002E74C4"/>
    <w:rsid w:val="002E7732"/>
    <w:rsid w:val="002E7847"/>
    <w:rsid w:val="002E7FCF"/>
    <w:rsid w:val="002F0073"/>
    <w:rsid w:val="002F0618"/>
    <w:rsid w:val="002F1D41"/>
    <w:rsid w:val="002F240B"/>
    <w:rsid w:val="002F2F50"/>
    <w:rsid w:val="002F3601"/>
    <w:rsid w:val="002F45F6"/>
    <w:rsid w:val="002F692F"/>
    <w:rsid w:val="002F69BE"/>
    <w:rsid w:val="002F70D9"/>
    <w:rsid w:val="002F7B66"/>
    <w:rsid w:val="00300AC1"/>
    <w:rsid w:val="00300CB4"/>
    <w:rsid w:val="00300DE7"/>
    <w:rsid w:val="00300E24"/>
    <w:rsid w:val="0030101C"/>
    <w:rsid w:val="003033BA"/>
    <w:rsid w:val="003043A3"/>
    <w:rsid w:val="00304B96"/>
    <w:rsid w:val="00304BD4"/>
    <w:rsid w:val="0030500A"/>
    <w:rsid w:val="0030517B"/>
    <w:rsid w:val="003052EB"/>
    <w:rsid w:val="00305FCB"/>
    <w:rsid w:val="0030600C"/>
    <w:rsid w:val="003063C3"/>
    <w:rsid w:val="003066D1"/>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7DC"/>
    <w:rsid w:val="0031496A"/>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141"/>
    <w:rsid w:val="003254F5"/>
    <w:rsid w:val="00325D98"/>
    <w:rsid w:val="0032682A"/>
    <w:rsid w:val="00327A5C"/>
    <w:rsid w:val="0033092C"/>
    <w:rsid w:val="0033122A"/>
    <w:rsid w:val="003315AC"/>
    <w:rsid w:val="00331932"/>
    <w:rsid w:val="00331A60"/>
    <w:rsid w:val="0033245D"/>
    <w:rsid w:val="00332F46"/>
    <w:rsid w:val="00333873"/>
    <w:rsid w:val="00333A88"/>
    <w:rsid w:val="00333D20"/>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1ECD"/>
    <w:rsid w:val="00342345"/>
    <w:rsid w:val="00342B56"/>
    <w:rsid w:val="00342C27"/>
    <w:rsid w:val="003430C8"/>
    <w:rsid w:val="003432C8"/>
    <w:rsid w:val="003434B3"/>
    <w:rsid w:val="00343536"/>
    <w:rsid w:val="00343EFB"/>
    <w:rsid w:val="00344014"/>
    <w:rsid w:val="003443DF"/>
    <w:rsid w:val="00344760"/>
    <w:rsid w:val="00344A64"/>
    <w:rsid w:val="0034680A"/>
    <w:rsid w:val="00346C62"/>
    <w:rsid w:val="0034740F"/>
    <w:rsid w:val="0034778E"/>
    <w:rsid w:val="003501E2"/>
    <w:rsid w:val="00350A59"/>
    <w:rsid w:val="00351E10"/>
    <w:rsid w:val="0035254F"/>
    <w:rsid w:val="003525E7"/>
    <w:rsid w:val="0035273A"/>
    <w:rsid w:val="00352D59"/>
    <w:rsid w:val="003533F4"/>
    <w:rsid w:val="003536F6"/>
    <w:rsid w:val="00353DD5"/>
    <w:rsid w:val="00353EDF"/>
    <w:rsid w:val="00354A64"/>
    <w:rsid w:val="00355131"/>
    <w:rsid w:val="00355462"/>
    <w:rsid w:val="00356438"/>
    <w:rsid w:val="00356687"/>
    <w:rsid w:val="00357107"/>
    <w:rsid w:val="0036098D"/>
    <w:rsid w:val="003609C4"/>
    <w:rsid w:val="00361A59"/>
    <w:rsid w:val="003631CC"/>
    <w:rsid w:val="00363348"/>
    <w:rsid w:val="00363857"/>
    <w:rsid w:val="00363D59"/>
    <w:rsid w:val="003640F7"/>
    <w:rsid w:val="00364300"/>
    <w:rsid w:val="00365D3A"/>
    <w:rsid w:val="00365F2A"/>
    <w:rsid w:val="003661DD"/>
    <w:rsid w:val="003664FF"/>
    <w:rsid w:val="00366B70"/>
    <w:rsid w:val="00366BD2"/>
    <w:rsid w:val="003670B8"/>
    <w:rsid w:val="0036776E"/>
    <w:rsid w:val="003704A3"/>
    <w:rsid w:val="003706F2"/>
    <w:rsid w:val="0037124F"/>
    <w:rsid w:val="0037195B"/>
    <w:rsid w:val="00373827"/>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2BAD"/>
    <w:rsid w:val="00383A8D"/>
    <w:rsid w:val="00383B2B"/>
    <w:rsid w:val="00384CD6"/>
    <w:rsid w:val="00384DF1"/>
    <w:rsid w:val="00384FF3"/>
    <w:rsid w:val="003852D5"/>
    <w:rsid w:val="003859DA"/>
    <w:rsid w:val="00386456"/>
    <w:rsid w:val="003865A9"/>
    <w:rsid w:val="00387642"/>
    <w:rsid w:val="00390088"/>
    <w:rsid w:val="003902B1"/>
    <w:rsid w:val="003903B6"/>
    <w:rsid w:val="00390F32"/>
    <w:rsid w:val="0039130D"/>
    <w:rsid w:val="0039135E"/>
    <w:rsid w:val="0039200F"/>
    <w:rsid w:val="00392333"/>
    <w:rsid w:val="00392FFF"/>
    <w:rsid w:val="0039319C"/>
    <w:rsid w:val="003938CD"/>
    <w:rsid w:val="00393CAE"/>
    <w:rsid w:val="003945DC"/>
    <w:rsid w:val="003945F4"/>
    <w:rsid w:val="0039496D"/>
    <w:rsid w:val="00394EB5"/>
    <w:rsid w:val="0039539A"/>
    <w:rsid w:val="003953B4"/>
    <w:rsid w:val="0039615F"/>
    <w:rsid w:val="003965C8"/>
    <w:rsid w:val="00396675"/>
    <w:rsid w:val="00396A29"/>
    <w:rsid w:val="00397FF0"/>
    <w:rsid w:val="003A053B"/>
    <w:rsid w:val="003A07D9"/>
    <w:rsid w:val="003A0878"/>
    <w:rsid w:val="003A10DE"/>
    <w:rsid w:val="003A1561"/>
    <w:rsid w:val="003A1D25"/>
    <w:rsid w:val="003A22A2"/>
    <w:rsid w:val="003A2447"/>
    <w:rsid w:val="003A2AA1"/>
    <w:rsid w:val="003A31A5"/>
    <w:rsid w:val="003A3851"/>
    <w:rsid w:val="003A39DD"/>
    <w:rsid w:val="003A3E9C"/>
    <w:rsid w:val="003A4A8E"/>
    <w:rsid w:val="003A563C"/>
    <w:rsid w:val="003A581E"/>
    <w:rsid w:val="003A6160"/>
    <w:rsid w:val="003A65A5"/>
    <w:rsid w:val="003A72F5"/>
    <w:rsid w:val="003A78E5"/>
    <w:rsid w:val="003B0341"/>
    <w:rsid w:val="003B120F"/>
    <w:rsid w:val="003B1E57"/>
    <w:rsid w:val="003B1F7F"/>
    <w:rsid w:val="003B2885"/>
    <w:rsid w:val="003B2E6C"/>
    <w:rsid w:val="003B2EF3"/>
    <w:rsid w:val="003B3676"/>
    <w:rsid w:val="003B4B1C"/>
    <w:rsid w:val="003B4CB2"/>
    <w:rsid w:val="003B534F"/>
    <w:rsid w:val="003B5391"/>
    <w:rsid w:val="003B5952"/>
    <w:rsid w:val="003B65D7"/>
    <w:rsid w:val="003B65E0"/>
    <w:rsid w:val="003B6BD4"/>
    <w:rsid w:val="003B6E93"/>
    <w:rsid w:val="003B6F4D"/>
    <w:rsid w:val="003B6FE7"/>
    <w:rsid w:val="003B7234"/>
    <w:rsid w:val="003B7413"/>
    <w:rsid w:val="003B7B6B"/>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6DE8"/>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067"/>
    <w:rsid w:val="003D7566"/>
    <w:rsid w:val="003D7708"/>
    <w:rsid w:val="003D79E4"/>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047"/>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7F"/>
    <w:rsid w:val="003F300D"/>
    <w:rsid w:val="003F391F"/>
    <w:rsid w:val="003F40D6"/>
    <w:rsid w:val="003F4599"/>
    <w:rsid w:val="003F45E1"/>
    <w:rsid w:val="003F4F6C"/>
    <w:rsid w:val="003F516A"/>
    <w:rsid w:val="003F559E"/>
    <w:rsid w:val="003F5DB7"/>
    <w:rsid w:val="003F6181"/>
    <w:rsid w:val="003F63DF"/>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50C"/>
    <w:rsid w:val="00405792"/>
    <w:rsid w:val="0040602B"/>
    <w:rsid w:val="00407A7A"/>
    <w:rsid w:val="00407ABC"/>
    <w:rsid w:val="00407BFD"/>
    <w:rsid w:val="00407F1E"/>
    <w:rsid w:val="004106C5"/>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F9F"/>
    <w:rsid w:val="0042499B"/>
    <w:rsid w:val="00424FEC"/>
    <w:rsid w:val="0042540A"/>
    <w:rsid w:val="00425444"/>
    <w:rsid w:val="00425C43"/>
    <w:rsid w:val="00426C69"/>
    <w:rsid w:val="004273FA"/>
    <w:rsid w:val="004277B4"/>
    <w:rsid w:val="00430186"/>
    <w:rsid w:val="00430730"/>
    <w:rsid w:val="0043269A"/>
    <w:rsid w:val="00432E14"/>
    <w:rsid w:val="004333C2"/>
    <w:rsid w:val="00433ACB"/>
    <w:rsid w:val="00434787"/>
    <w:rsid w:val="004347DA"/>
    <w:rsid w:val="00434C13"/>
    <w:rsid w:val="00435F8A"/>
    <w:rsid w:val="00436323"/>
    <w:rsid w:val="0043683F"/>
    <w:rsid w:val="00436D66"/>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945"/>
    <w:rsid w:val="00443B55"/>
    <w:rsid w:val="00443D27"/>
    <w:rsid w:val="00445AC2"/>
    <w:rsid w:val="00446037"/>
    <w:rsid w:val="0044642F"/>
    <w:rsid w:val="004468C3"/>
    <w:rsid w:val="00447021"/>
    <w:rsid w:val="0044772C"/>
    <w:rsid w:val="004502AA"/>
    <w:rsid w:val="004507BD"/>
    <w:rsid w:val="00450846"/>
    <w:rsid w:val="00450B1A"/>
    <w:rsid w:val="004510BD"/>
    <w:rsid w:val="0045159C"/>
    <w:rsid w:val="00451A52"/>
    <w:rsid w:val="00451FC8"/>
    <w:rsid w:val="0045271D"/>
    <w:rsid w:val="00452755"/>
    <w:rsid w:val="00452803"/>
    <w:rsid w:val="004529C6"/>
    <w:rsid w:val="00452EAD"/>
    <w:rsid w:val="004531D5"/>
    <w:rsid w:val="004533D1"/>
    <w:rsid w:val="004534D1"/>
    <w:rsid w:val="00453A53"/>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4B49"/>
    <w:rsid w:val="00465456"/>
    <w:rsid w:val="00465677"/>
    <w:rsid w:val="00465AC3"/>
    <w:rsid w:val="00466616"/>
    <w:rsid w:val="00466A0C"/>
    <w:rsid w:val="0046775B"/>
    <w:rsid w:val="00470A6A"/>
    <w:rsid w:val="00470D92"/>
    <w:rsid w:val="004712D1"/>
    <w:rsid w:val="00471DF7"/>
    <w:rsid w:val="00471F6B"/>
    <w:rsid w:val="00472056"/>
    <w:rsid w:val="0047295C"/>
    <w:rsid w:val="00472D8E"/>
    <w:rsid w:val="004734CF"/>
    <w:rsid w:val="00474158"/>
    <w:rsid w:val="00474889"/>
    <w:rsid w:val="00474C31"/>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4E5"/>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34D2"/>
    <w:rsid w:val="004A41BA"/>
    <w:rsid w:val="004A4301"/>
    <w:rsid w:val="004A4E65"/>
    <w:rsid w:val="004A58EE"/>
    <w:rsid w:val="004A59B7"/>
    <w:rsid w:val="004A623B"/>
    <w:rsid w:val="004A6A04"/>
    <w:rsid w:val="004A6A52"/>
    <w:rsid w:val="004A6C78"/>
    <w:rsid w:val="004A79F2"/>
    <w:rsid w:val="004B0F0B"/>
    <w:rsid w:val="004B1501"/>
    <w:rsid w:val="004B1560"/>
    <w:rsid w:val="004B163F"/>
    <w:rsid w:val="004B2197"/>
    <w:rsid w:val="004B298A"/>
    <w:rsid w:val="004B424F"/>
    <w:rsid w:val="004B459F"/>
    <w:rsid w:val="004B4BB5"/>
    <w:rsid w:val="004B578D"/>
    <w:rsid w:val="004B5BE7"/>
    <w:rsid w:val="004B5E2D"/>
    <w:rsid w:val="004B5ED5"/>
    <w:rsid w:val="004B6793"/>
    <w:rsid w:val="004B6C07"/>
    <w:rsid w:val="004B72BB"/>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BAC"/>
    <w:rsid w:val="004C5EF0"/>
    <w:rsid w:val="004C7226"/>
    <w:rsid w:val="004C74C9"/>
    <w:rsid w:val="004C7D70"/>
    <w:rsid w:val="004D02F9"/>
    <w:rsid w:val="004D03FE"/>
    <w:rsid w:val="004D0446"/>
    <w:rsid w:val="004D0A4F"/>
    <w:rsid w:val="004D0E03"/>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465"/>
    <w:rsid w:val="004E518D"/>
    <w:rsid w:val="004E5736"/>
    <w:rsid w:val="004E5B36"/>
    <w:rsid w:val="004E6045"/>
    <w:rsid w:val="004E6758"/>
    <w:rsid w:val="004E6F43"/>
    <w:rsid w:val="004E7200"/>
    <w:rsid w:val="004F034D"/>
    <w:rsid w:val="004F0538"/>
    <w:rsid w:val="004F091D"/>
    <w:rsid w:val="004F0960"/>
    <w:rsid w:val="004F0A5C"/>
    <w:rsid w:val="004F163F"/>
    <w:rsid w:val="004F18A0"/>
    <w:rsid w:val="004F1A08"/>
    <w:rsid w:val="004F2B64"/>
    <w:rsid w:val="004F3764"/>
    <w:rsid w:val="004F3EEF"/>
    <w:rsid w:val="004F47D0"/>
    <w:rsid w:val="004F4B65"/>
    <w:rsid w:val="004F4DA2"/>
    <w:rsid w:val="004F5159"/>
    <w:rsid w:val="004F548C"/>
    <w:rsid w:val="004F5930"/>
    <w:rsid w:val="004F5970"/>
    <w:rsid w:val="004F5F0C"/>
    <w:rsid w:val="004F6121"/>
    <w:rsid w:val="004F6161"/>
    <w:rsid w:val="004F66BC"/>
    <w:rsid w:val="004F67B2"/>
    <w:rsid w:val="004F6C26"/>
    <w:rsid w:val="004F7AC9"/>
    <w:rsid w:val="004F7B81"/>
    <w:rsid w:val="005004B0"/>
    <w:rsid w:val="0050062F"/>
    <w:rsid w:val="00501285"/>
    <w:rsid w:val="005012E2"/>
    <w:rsid w:val="00501481"/>
    <w:rsid w:val="0050160F"/>
    <w:rsid w:val="005016C7"/>
    <w:rsid w:val="0050284E"/>
    <w:rsid w:val="0050332C"/>
    <w:rsid w:val="00504F88"/>
    <w:rsid w:val="00505DCB"/>
    <w:rsid w:val="005075CA"/>
    <w:rsid w:val="00507D10"/>
    <w:rsid w:val="0051074C"/>
    <w:rsid w:val="00510DE9"/>
    <w:rsid w:val="00511142"/>
    <w:rsid w:val="005111E2"/>
    <w:rsid w:val="00511231"/>
    <w:rsid w:val="005122F2"/>
    <w:rsid w:val="00512779"/>
    <w:rsid w:val="00512986"/>
    <w:rsid w:val="00512C4F"/>
    <w:rsid w:val="00512D8C"/>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1153"/>
    <w:rsid w:val="005224E5"/>
    <w:rsid w:val="005226BE"/>
    <w:rsid w:val="005235ED"/>
    <w:rsid w:val="005236D9"/>
    <w:rsid w:val="00523903"/>
    <w:rsid w:val="005239B6"/>
    <w:rsid w:val="00523C45"/>
    <w:rsid w:val="00524165"/>
    <w:rsid w:val="005242BA"/>
    <w:rsid w:val="005246E7"/>
    <w:rsid w:val="00524FD2"/>
    <w:rsid w:val="00525621"/>
    <w:rsid w:val="00525B2E"/>
    <w:rsid w:val="00525E61"/>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C80"/>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BFC"/>
    <w:rsid w:val="00546C9B"/>
    <w:rsid w:val="00547BF6"/>
    <w:rsid w:val="005502F9"/>
    <w:rsid w:val="00551098"/>
    <w:rsid w:val="00551581"/>
    <w:rsid w:val="00551598"/>
    <w:rsid w:val="00551610"/>
    <w:rsid w:val="0055162B"/>
    <w:rsid w:val="00551BFF"/>
    <w:rsid w:val="00551D68"/>
    <w:rsid w:val="00552B3E"/>
    <w:rsid w:val="00554254"/>
    <w:rsid w:val="00554F3F"/>
    <w:rsid w:val="005551AA"/>
    <w:rsid w:val="0055629A"/>
    <w:rsid w:val="005564CA"/>
    <w:rsid w:val="005568EA"/>
    <w:rsid w:val="00557140"/>
    <w:rsid w:val="00557DE4"/>
    <w:rsid w:val="0056058C"/>
    <w:rsid w:val="0056087A"/>
    <w:rsid w:val="00560C87"/>
    <w:rsid w:val="00560EF9"/>
    <w:rsid w:val="00560F51"/>
    <w:rsid w:val="005611CF"/>
    <w:rsid w:val="00561249"/>
    <w:rsid w:val="0056182B"/>
    <w:rsid w:val="00561AF3"/>
    <w:rsid w:val="00561E0B"/>
    <w:rsid w:val="00562141"/>
    <w:rsid w:val="00562D86"/>
    <w:rsid w:val="005642EC"/>
    <w:rsid w:val="0056451D"/>
    <w:rsid w:val="00564704"/>
    <w:rsid w:val="00564712"/>
    <w:rsid w:val="00564ED5"/>
    <w:rsid w:val="005657A8"/>
    <w:rsid w:val="00565952"/>
    <w:rsid w:val="00565D27"/>
    <w:rsid w:val="00566866"/>
    <w:rsid w:val="005670A5"/>
    <w:rsid w:val="00567106"/>
    <w:rsid w:val="005675E0"/>
    <w:rsid w:val="00567723"/>
    <w:rsid w:val="00567AB8"/>
    <w:rsid w:val="00567C02"/>
    <w:rsid w:val="005707F7"/>
    <w:rsid w:val="00570A26"/>
    <w:rsid w:val="00571301"/>
    <w:rsid w:val="0057170B"/>
    <w:rsid w:val="0057221F"/>
    <w:rsid w:val="00572539"/>
    <w:rsid w:val="005726FB"/>
    <w:rsid w:val="0057337D"/>
    <w:rsid w:val="00573504"/>
    <w:rsid w:val="00574708"/>
    <w:rsid w:val="00574D8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75E"/>
    <w:rsid w:val="00583AC8"/>
    <w:rsid w:val="00584233"/>
    <w:rsid w:val="005842D0"/>
    <w:rsid w:val="0058457E"/>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48B5"/>
    <w:rsid w:val="00595FDD"/>
    <w:rsid w:val="00596AF7"/>
    <w:rsid w:val="00596CCE"/>
    <w:rsid w:val="00596E4A"/>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B75"/>
    <w:rsid w:val="005A6E00"/>
    <w:rsid w:val="005A718A"/>
    <w:rsid w:val="005B0891"/>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575"/>
    <w:rsid w:val="005C1716"/>
    <w:rsid w:val="005C1954"/>
    <w:rsid w:val="005C1C0B"/>
    <w:rsid w:val="005C1D53"/>
    <w:rsid w:val="005C2011"/>
    <w:rsid w:val="005C2614"/>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49F"/>
    <w:rsid w:val="005D791B"/>
    <w:rsid w:val="005D7CF2"/>
    <w:rsid w:val="005D7F92"/>
    <w:rsid w:val="005E05AB"/>
    <w:rsid w:val="005E0D7B"/>
    <w:rsid w:val="005E1595"/>
    <w:rsid w:val="005E181F"/>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0A1"/>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4FBF"/>
    <w:rsid w:val="00605278"/>
    <w:rsid w:val="0060580F"/>
    <w:rsid w:val="00605AC3"/>
    <w:rsid w:val="00606908"/>
    <w:rsid w:val="00607996"/>
    <w:rsid w:val="00607A37"/>
    <w:rsid w:val="00607E9F"/>
    <w:rsid w:val="0061085E"/>
    <w:rsid w:val="00610DAF"/>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07"/>
    <w:rsid w:val="006212C9"/>
    <w:rsid w:val="00621981"/>
    <w:rsid w:val="00621D0C"/>
    <w:rsid w:val="00622470"/>
    <w:rsid w:val="00622725"/>
    <w:rsid w:val="006231AA"/>
    <w:rsid w:val="00623482"/>
    <w:rsid w:val="00623AC2"/>
    <w:rsid w:val="00623E9C"/>
    <w:rsid w:val="00623FF7"/>
    <w:rsid w:val="006240EF"/>
    <w:rsid w:val="0062471F"/>
    <w:rsid w:val="00624C21"/>
    <w:rsid w:val="00625A26"/>
    <w:rsid w:val="00625F38"/>
    <w:rsid w:val="006266D7"/>
    <w:rsid w:val="00626D42"/>
    <w:rsid w:val="00626EE3"/>
    <w:rsid w:val="00626F62"/>
    <w:rsid w:val="006274AD"/>
    <w:rsid w:val="00627532"/>
    <w:rsid w:val="006302AA"/>
    <w:rsid w:val="00630921"/>
    <w:rsid w:val="006310C3"/>
    <w:rsid w:val="0063161E"/>
    <w:rsid w:val="0063167C"/>
    <w:rsid w:val="00631A31"/>
    <w:rsid w:val="00631BB5"/>
    <w:rsid w:val="00631DD0"/>
    <w:rsid w:val="0063295C"/>
    <w:rsid w:val="00633367"/>
    <w:rsid w:val="00633DBF"/>
    <w:rsid w:val="00634122"/>
    <w:rsid w:val="00634477"/>
    <w:rsid w:val="00634504"/>
    <w:rsid w:val="00634C03"/>
    <w:rsid w:val="006355B6"/>
    <w:rsid w:val="00635E32"/>
    <w:rsid w:val="006365DE"/>
    <w:rsid w:val="00636BE4"/>
    <w:rsid w:val="0063746C"/>
    <w:rsid w:val="00637802"/>
    <w:rsid w:val="00637836"/>
    <w:rsid w:val="00637C26"/>
    <w:rsid w:val="00637F44"/>
    <w:rsid w:val="00640659"/>
    <w:rsid w:val="00641078"/>
    <w:rsid w:val="00641242"/>
    <w:rsid w:val="00641C4E"/>
    <w:rsid w:val="00642A32"/>
    <w:rsid w:val="006433D5"/>
    <w:rsid w:val="006438A1"/>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AB0"/>
    <w:rsid w:val="00653FD4"/>
    <w:rsid w:val="00654A38"/>
    <w:rsid w:val="00654B4B"/>
    <w:rsid w:val="00654B63"/>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555"/>
    <w:rsid w:val="00666C72"/>
    <w:rsid w:val="00666E6C"/>
    <w:rsid w:val="0066707F"/>
    <w:rsid w:val="00667781"/>
    <w:rsid w:val="00667ED8"/>
    <w:rsid w:val="0067060F"/>
    <w:rsid w:val="0067064C"/>
    <w:rsid w:val="00670B20"/>
    <w:rsid w:val="00670E12"/>
    <w:rsid w:val="0067160D"/>
    <w:rsid w:val="00672971"/>
    <w:rsid w:val="00672DE7"/>
    <w:rsid w:val="00672E80"/>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5F9"/>
    <w:rsid w:val="00696736"/>
    <w:rsid w:val="00696A05"/>
    <w:rsid w:val="00696DCD"/>
    <w:rsid w:val="00697665"/>
    <w:rsid w:val="00697C9A"/>
    <w:rsid w:val="00697E68"/>
    <w:rsid w:val="006A0274"/>
    <w:rsid w:val="006A24B9"/>
    <w:rsid w:val="006A2A43"/>
    <w:rsid w:val="006A2BF1"/>
    <w:rsid w:val="006A2F9A"/>
    <w:rsid w:val="006A34E4"/>
    <w:rsid w:val="006A3704"/>
    <w:rsid w:val="006A3A5A"/>
    <w:rsid w:val="006A44CF"/>
    <w:rsid w:val="006A457D"/>
    <w:rsid w:val="006A4749"/>
    <w:rsid w:val="006A55EE"/>
    <w:rsid w:val="006A575B"/>
    <w:rsid w:val="006A59DE"/>
    <w:rsid w:val="006A63EB"/>
    <w:rsid w:val="006A6655"/>
    <w:rsid w:val="006A6803"/>
    <w:rsid w:val="006A687C"/>
    <w:rsid w:val="006A6B0B"/>
    <w:rsid w:val="006A6BF9"/>
    <w:rsid w:val="006A6F85"/>
    <w:rsid w:val="006A7CB5"/>
    <w:rsid w:val="006A7FD0"/>
    <w:rsid w:val="006B025C"/>
    <w:rsid w:val="006B16D3"/>
    <w:rsid w:val="006B2534"/>
    <w:rsid w:val="006B2CB2"/>
    <w:rsid w:val="006B347D"/>
    <w:rsid w:val="006B39F7"/>
    <w:rsid w:val="006B3E19"/>
    <w:rsid w:val="006B4488"/>
    <w:rsid w:val="006B671C"/>
    <w:rsid w:val="006B67AC"/>
    <w:rsid w:val="006B6A25"/>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649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4EA"/>
    <w:rsid w:val="006D46A3"/>
    <w:rsid w:val="006D658F"/>
    <w:rsid w:val="006D69FA"/>
    <w:rsid w:val="006D6A12"/>
    <w:rsid w:val="006D712D"/>
    <w:rsid w:val="006D7687"/>
    <w:rsid w:val="006D7A60"/>
    <w:rsid w:val="006D7D1F"/>
    <w:rsid w:val="006D7D8A"/>
    <w:rsid w:val="006E0572"/>
    <w:rsid w:val="006E05D8"/>
    <w:rsid w:val="006E08EE"/>
    <w:rsid w:val="006E0DFD"/>
    <w:rsid w:val="006E1130"/>
    <w:rsid w:val="006E155A"/>
    <w:rsid w:val="006E3452"/>
    <w:rsid w:val="006E39D1"/>
    <w:rsid w:val="006E437F"/>
    <w:rsid w:val="006E4D5B"/>
    <w:rsid w:val="006E5195"/>
    <w:rsid w:val="006E602F"/>
    <w:rsid w:val="006E6720"/>
    <w:rsid w:val="006E68FA"/>
    <w:rsid w:val="006E7275"/>
    <w:rsid w:val="006E77B8"/>
    <w:rsid w:val="006E7824"/>
    <w:rsid w:val="006F15CC"/>
    <w:rsid w:val="006F1EED"/>
    <w:rsid w:val="006F3909"/>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57E"/>
    <w:rsid w:val="007030D4"/>
    <w:rsid w:val="0070317C"/>
    <w:rsid w:val="00703279"/>
    <w:rsid w:val="007032BF"/>
    <w:rsid w:val="00703B61"/>
    <w:rsid w:val="00703B97"/>
    <w:rsid w:val="00703E11"/>
    <w:rsid w:val="00704102"/>
    <w:rsid w:val="0070461C"/>
    <w:rsid w:val="00705631"/>
    <w:rsid w:val="00705818"/>
    <w:rsid w:val="00705F62"/>
    <w:rsid w:val="0070773F"/>
    <w:rsid w:val="00707903"/>
    <w:rsid w:val="00707ED3"/>
    <w:rsid w:val="00710091"/>
    <w:rsid w:val="007101B7"/>
    <w:rsid w:val="00710668"/>
    <w:rsid w:val="007110F4"/>
    <w:rsid w:val="007112B1"/>
    <w:rsid w:val="0071130F"/>
    <w:rsid w:val="007119BD"/>
    <w:rsid w:val="00711EE1"/>
    <w:rsid w:val="00712714"/>
    <w:rsid w:val="007128E3"/>
    <w:rsid w:val="007129AB"/>
    <w:rsid w:val="00712B63"/>
    <w:rsid w:val="007130E7"/>
    <w:rsid w:val="00713526"/>
    <w:rsid w:val="00713D6A"/>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17D81"/>
    <w:rsid w:val="007210A9"/>
    <w:rsid w:val="00721BFF"/>
    <w:rsid w:val="00722376"/>
    <w:rsid w:val="00722FD8"/>
    <w:rsid w:val="007236C4"/>
    <w:rsid w:val="00723B59"/>
    <w:rsid w:val="00724635"/>
    <w:rsid w:val="0072554B"/>
    <w:rsid w:val="00725AFD"/>
    <w:rsid w:val="00725F81"/>
    <w:rsid w:val="00725FE4"/>
    <w:rsid w:val="00726603"/>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6CDF"/>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ABF"/>
    <w:rsid w:val="007537BD"/>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7B"/>
    <w:rsid w:val="007616DB"/>
    <w:rsid w:val="0076200D"/>
    <w:rsid w:val="0076228A"/>
    <w:rsid w:val="00762440"/>
    <w:rsid w:val="0076260A"/>
    <w:rsid w:val="007629B7"/>
    <w:rsid w:val="00762E60"/>
    <w:rsid w:val="007634AD"/>
    <w:rsid w:val="00763527"/>
    <w:rsid w:val="0076387E"/>
    <w:rsid w:val="007638FC"/>
    <w:rsid w:val="00764996"/>
    <w:rsid w:val="0076522C"/>
    <w:rsid w:val="00766ECC"/>
    <w:rsid w:val="007672F3"/>
    <w:rsid w:val="007676A9"/>
    <w:rsid w:val="007677B5"/>
    <w:rsid w:val="007678B1"/>
    <w:rsid w:val="00770317"/>
    <w:rsid w:val="007708A8"/>
    <w:rsid w:val="007720F7"/>
    <w:rsid w:val="00772275"/>
    <w:rsid w:val="0077227E"/>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B99"/>
    <w:rsid w:val="00780F32"/>
    <w:rsid w:val="0078122E"/>
    <w:rsid w:val="00781939"/>
    <w:rsid w:val="00781D29"/>
    <w:rsid w:val="00782354"/>
    <w:rsid w:val="007825EF"/>
    <w:rsid w:val="007827B0"/>
    <w:rsid w:val="0078286B"/>
    <w:rsid w:val="00782D2C"/>
    <w:rsid w:val="00782FC2"/>
    <w:rsid w:val="00783687"/>
    <w:rsid w:val="007838B5"/>
    <w:rsid w:val="00784FC4"/>
    <w:rsid w:val="00785BBB"/>
    <w:rsid w:val="007863A4"/>
    <w:rsid w:val="00786FAD"/>
    <w:rsid w:val="007873C9"/>
    <w:rsid w:val="00787D90"/>
    <w:rsid w:val="00787F5E"/>
    <w:rsid w:val="00790164"/>
    <w:rsid w:val="007906E2"/>
    <w:rsid w:val="00790A24"/>
    <w:rsid w:val="00790A37"/>
    <w:rsid w:val="00790A60"/>
    <w:rsid w:val="00790CE2"/>
    <w:rsid w:val="0079146D"/>
    <w:rsid w:val="007917AD"/>
    <w:rsid w:val="00791C32"/>
    <w:rsid w:val="00791E08"/>
    <w:rsid w:val="00791FF0"/>
    <w:rsid w:val="007923D0"/>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A6D9B"/>
    <w:rsid w:val="007B00D8"/>
    <w:rsid w:val="007B0313"/>
    <w:rsid w:val="007B05FB"/>
    <w:rsid w:val="007B0854"/>
    <w:rsid w:val="007B0E48"/>
    <w:rsid w:val="007B18FD"/>
    <w:rsid w:val="007B1D1B"/>
    <w:rsid w:val="007B1D1E"/>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312A"/>
    <w:rsid w:val="007C3570"/>
    <w:rsid w:val="007C3F3B"/>
    <w:rsid w:val="007C4241"/>
    <w:rsid w:val="007C4630"/>
    <w:rsid w:val="007C54E5"/>
    <w:rsid w:val="007C55FF"/>
    <w:rsid w:val="007C6339"/>
    <w:rsid w:val="007C6EC5"/>
    <w:rsid w:val="007C7C43"/>
    <w:rsid w:val="007C7F0D"/>
    <w:rsid w:val="007D0D03"/>
    <w:rsid w:val="007D1134"/>
    <w:rsid w:val="007D20CF"/>
    <w:rsid w:val="007D23F7"/>
    <w:rsid w:val="007D247D"/>
    <w:rsid w:val="007D2566"/>
    <w:rsid w:val="007D2C18"/>
    <w:rsid w:val="007D2D74"/>
    <w:rsid w:val="007D333D"/>
    <w:rsid w:val="007D3395"/>
    <w:rsid w:val="007D33A0"/>
    <w:rsid w:val="007D3693"/>
    <w:rsid w:val="007D3C6D"/>
    <w:rsid w:val="007D409B"/>
    <w:rsid w:val="007D481A"/>
    <w:rsid w:val="007D5402"/>
    <w:rsid w:val="007D5648"/>
    <w:rsid w:val="007D58C5"/>
    <w:rsid w:val="007D5DE8"/>
    <w:rsid w:val="007D7503"/>
    <w:rsid w:val="007D7C53"/>
    <w:rsid w:val="007D7CFC"/>
    <w:rsid w:val="007D7FFC"/>
    <w:rsid w:val="007E0812"/>
    <w:rsid w:val="007E16A4"/>
    <w:rsid w:val="007E18DF"/>
    <w:rsid w:val="007E2A04"/>
    <w:rsid w:val="007E2C36"/>
    <w:rsid w:val="007E2F33"/>
    <w:rsid w:val="007E342A"/>
    <w:rsid w:val="007E350D"/>
    <w:rsid w:val="007E5C4A"/>
    <w:rsid w:val="007E64D4"/>
    <w:rsid w:val="007E66E9"/>
    <w:rsid w:val="007E69F2"/>
    <w:rsid w:val="007E7432"/>
    <w:rsid w:val="007E74BF"/>
    <w:rsid w:val="007E79BA"/>
    <w:rsid w:val="007F068B"/>
    <w:rsid w:val="007F14D3"/>
    <w:rsid w:val="007F1C15"/>
    <w:rsid w:val="007F1C42"/>
    <w:rsid w:val="007F1D9D"/>
    <w:rsid w:val="007F1E28"/>
    <w:rsid w:val="007F1F63"/>
    <w:rsid w:val="007F21D8"/>
    <w:rsid w:val="007F22A0"/>
    <w:rsid w:val="007F28FB"/>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6A"/>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07FF6"/>
    <w:rsid w:val="008100EC"/>
    <w:rsid w:val="008100F7"/>
    <w:rsid w:val="00810206"/>
    <w:rsid w:val="008104E6"/>
    <w:rsid w:val="00810DA0"/>
    <w:rsid w:val="00811898"/>
    <w:rsid w:val="008120C4"/>
    <w:rsid w:val="008124D8"/>
    <w:rsid w:val="0081323E"/>
    <w:rsid w:val="00813A7B"/>
    <w:rsid w:val="00813F04"/>
    <w:rsid w:val="00814B72"/>
    <w:rsid w:val="00814D88"/>
    <w:rsid w:val="008150B1"/>
    <w:rsid w:val="00815251"/>
    <w:rsid w:val="00815A07"/>
    <w:rsid w:val="00815C82"/>
    <w:rsid w:val="00815DA5"/>
    <w:rsid w:val="00816221"/>
    <w:rsid w:val="0081766B"/>
    <w:rsid w:val="00820406"/>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4BF3"/>
    <w:rsid w:val="00825240"/>
    <w:rsid w:val="00825B43"/>
    <w:rsid w:val="0082629D"/>
    <w:rsid w:val="008264B1"/>
    <w:rsid w:val="00827203"/>
    <w:rsid w:val="0082767A"/>
    <w:rsid w:val="00827CC0"/>
    <w:rsid w:val="0083037E"/>
    <w:rsid w:val="008309D9"/>
    <w:rsid w:val="00831026"/>
    <w:rsid w:val="0083119B"/>
    <w:rsid w:val="00831654"/>
    <w:rsid w:val="00831AD6"/>
    <w:rsid w:val="00831BAE"/>
    <w:rsid w:val="00832216"/>
    <w:rsid w:val="00832CD0"/>
    <w:rsid w:val="00832FDC"/>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3C4A"/>
    <w:rsid w:val="00854713"/>
    <w:rsid w:val="00854853"/>
    <w:rsid w:val="008548CA"/>
    <w:rsid w:val="00856C06"/>
    <w:rsid w:val="0085790B"/>
    <w:rsid w:val="00857AAC"/>
    <w:rsid w:val="00857C95"/>
    <w:rsid w:val="00857E78"/>
    <w:rsid w:val="00860AEF"/>
    <w:rsid w:val="0086122C"/>
    <w:rsid w:val="00861310"/>
    <w:rsid w:val="00861B7B"/>
    <w:rsid w:val="00861F0F"/>
    <w:rsid w:val="00861F53"/>
    <w:rsid w:val="0086289E"/>
    <w:rsid w:val="008633D3"/>
    <w:rsid w:val="008633D8"/>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37F"/>
    <w:rsid w:val="00867512"/>
    <w:rsid w:val="00867624"/>
    <w:rsid w:val="0087033C"/>
    <w:rsid w:val="00870B44"/>
    <w:rsid w:val="008712E8"/>
    <w:rsid w:val="008715ED"/>
    <w:rsid w:val="008717D8"/>
    <w:rsid w:val="00871E3C"/>
    <w:rsid w:val="0087213A"/>
    <w:rsid w:val="00872B54"/>
    <w:rsid w:val="00872F97"/>
    <w:rsid w:val="00873863"/>
    <w:rsid w:val="0087392A"/>
    <w:rsid w:val="00873D61"/>
    <w:rsid w:val="00874607"/>
    <w:rsid w:val="00874915"/>
    <w:rsid w:val="00874B89"/>
    <w:rsid w:val="008752DA"/>
    <w:rsid w:val="00875403"/>
    <w:rsid w:val="00875434"/>
    <w:rsid w:val="00875C2F"/>
    <w:rsid w:val="00875E7C"/>
    <w:rsid w:val="00876215"/>
    <w:rsid w:val="0087646C"/>
    <w:rsid w:val="00876815"/>
    <w:rsid w:val="00877932"/>
    <w:rsid w:val="008807F0"/>
    <w:rsid w:val="008808C7"/>
    <w:rsid w:val="0088106B"/>
    <w:rsid w:val="0088107D"/>
    <w:rsid w:val="008812E2"/>
    <w:rsid w:val="00881596"/>
    <w:rsid w:val="0088168A"/>
    <w:rsid w:val="00881E64"/>
    <w:rsid w:val="00882A3F"/>
    <w:rsid w:val="00882BB5"/>
    <w:rsid w:val="00882E39"/>
    <w:rsid w:val="0088497E"/>
    <w:rsid w:val="008850E3"/>
    <w:rsid w:val="008850EB"/>
    <w:rsid w:val="00885D6C"/>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6D9"/>
    <w:rsid w:val="008B0862"/>
    <w:rsid w:val="008B088C"/>
    <w:rsid w:val="008B1BF5"/>
    <w:rsid w:val="008B2268"/>
    <w:rsid w:val="008B263F"/>
    <w:rsid w:val="008B3A08"/>
    <w:rsid w:val="008B47A6"/>
    <w:rsid w:val="008B6649"/>
    <w:rsid w:val="008B672C"/>
    <w:rsid w:val="008B7611"/>
    <w:rsid w:val="008C036D"/>
    <w:rsid w:val="008C0743"/>
    <w:rsid w:val="008C0B4C"/>
    <w:rsid w:val="008C0FD1"/>
    <w:rsid w:val="008C11F0"/>
    <w:rsid w:val="008C1DBA"/>
    <w:rsid w:val="008C20B8"/>
    <w:rsid w:val="008C24E7"/>
    <w:rsid w:val="008C2500"/>
    <w:rsid w:val="008C2792"/>
    <w:rsid w:val="008C2CAC"/>
    <w:rsid w:val="008C3E2A"/>
    <w:rsid w:val="008C3FFC"/>
    <w:rsid w:val="008C45BD"/>
    <w:rsid w:val="008C4B19"/>
    <w:rsid w:val="008C5295"/>
    <w:rsid w:val="008C5485"/>
    <w:rsid w:val="008C568F"/>
    <w:rsid w:val="008C62D4"/>
    <w:rsid w:val="008C664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5179"/>
    <w:rsid w:val="008E6598"/>
    <w:rsid w:val="008E6A17"/>
    <w:rsid w:val="008E71A8"/>
    <w:rsid w:val="008E7214"/>
    <w:rsid w:val="008E7348"/>
    <w:rsid w:val="008E77AB"/>
    <w:rsid w:val="008E7884"/>
    <w:rsid w:val="008E7D6E"/>
    <w:rsid w:val="008F0737"/>
    <w:rsid w:val="008F1056"/>
    <w:rsid w:val="008F293D"/>
    <w:rsid w:val="008F2A43"/>
    <w:rsid w:val="008F2E8D"/>
    <w:rsid w:val="008F3374"/>
    <w:rsid w:val="008F387B"/>
    <w:rsid w:val="008F3DD9"/>
    <w:rsid w:val="008F4814"/>
    <w:rsid w:val="008F4B91"/>
    <w:rsid w:val="008F4DA6"/>
    <w:rsid w:val="008F538E"/>
    <w:rsid w:val="008F59B4"/>
    <w:rsid w:val="008F5A20"/>
    <w:rsid w:val="008F5ABA"/>
    <w:rsid w:val="008F6CF9"/>
    <w:rsid w:val="008F78EC"/>
    <w:rsid w:val="008F7905"/>
    <w:rsid w:val="008F7989"/>
    <w:rsid w:val="00901768"/>
    <w:rsid w:val="00901EEF"/>
    <w:rsid w:val="009026AF"/>
    <w:rsid w:val="009028E8"/>
    <w:rsid w:val="00902E5C"/>
    <w:rsid w:val="0090350D"/>
    <w:rsid w:val="009039EB"/>
    <w:rsid w:val="00903E8D"/>
    <w:rsid w:val="009046E5"/>
    <w:rsid w:val="009047C5"/>
    <w:rsid w:val="009058D1"/>
    <w:rsid w:val="00905C04"/>
    <w:rsid w:val="00906BE2"/>
    <w:rsid w:val="009070AA"/>
    <w:rsid w:val="00907203"/>
    <w:rsid w:val="00910683"/>
    <w:rsid w:val="00910AB1"/>
    <w:rsid w:val="00910E00"/>
    <w:rsid w:val="009111AE"/>
    <w:rsid w:val="009116CE"/>
    <w:rsid w:val="00911714"/>
    <w:rsid w:val="00911A5B"/>
    <w:rsid w:val="0091244B"/>
    <w:rsid w:val="009132CE"/>
    <w:rsid w:val="009136D4"/>
    <w:rsid w:val="00913857"/>
    <w:rsid w:val="00914B9A"/>
    <w:rsid w:val="00914C3F"/>
    <w:rsid w:val="00914DEF"/>
    <w:rsid w:val="00914E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269A"/>
    <w:rsid w:val="00923396"/>
    <w:rsid w:val="00923F56"/>
    <w:rsid w:val="00923FA6"/>
    <w:rsid w:val="009246C4"/>
    <w:rsid w:val="00925743"/>
    <w:rsid w:val="0092579F"/>
    <w:rsid w:val="00927E8D"/>
    <w:rsid w:val="00927F23"/>
    <w:rsid w:val="00930698"/>
    <w:rsid w:val="00930727"/>
    <w:rsid w:val="009307CD"/>
    <w:rsid w:val="00930C81"/>
    <w:rsid w:val="00931059"/>
    <w:rsid w:val="009311D1"/>
    <w:rsid w:val="00931451"/>
    <w:rsid w:val="009314FA"/>
    <w:rsid w:val="0093194F"/>
    <w:rsid w:val="00931BF3"/>
    <w:rsid w:val="00931C55"/>
    <w:rsid w:val="009330BE"/>
    <w:rsid w:val="00933333"/>
    <w:rsid w:val="0093349A"/>
    <w:rsid w:val="009337B2"/>
    <w:rsid w:val="00933FCB"/>
    <w:rsid w:val="0093408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1CE"/>
    <w:rsid w:val="00945812"/>
    <w:rsid w:val="00945C38"/>
    <w:rsid w:val="00945E18"/>
    <w:rsid w:val="009460F9"/>
    <w:rsid w:val="00946A24"/>
    <w:rsid w:val="009470D4"/>
    <w:rsid w:val="00947337"/>
    <w:rsid w:val="00947AA9"/>
    <w:rsid w:val="009512FA"/>
    <w:rsid w:val="00951E57"/>
    <w:rsid w:val="0095252F"/>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D5B"/>
    <w:rsid w:val="00964E0A"/>
    <w:rsid w:val="00965FF8"/>
    <w:rsid w:val="00966214"/>
    <w:rsid w:val="00971441"/>
    <w:rsid w:val="009715D4"/>
    <w:rsid w:val="00971AC8"/>
    <w:rsid w:val="00972470"/>
    <w:rsid w:val="009739A9"/>
    <w:rsid w:val="00973AA2"/>
    <w:rsid w:val="00973DF6"/>
    <w:rsid w:val="0097494E"/>
    <w:rsid w:val="00974B58"/>
    <w:rsid w:val="00974CE3"/>
    <w:rsid w:val="00975140"/>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716"/>
    <w:rsid w:val="00987C77"/>
    <w:rsid w:val="00990345"/>
    <w:rsid w:val="00990701"/>
    <w:rsid w:val="0099090B"/>
    <w:rsid w:val="00990BC7"/>
    <w:rsid w:val="0099119C"/>
    <w:rsid w:val="0099137A"/>
    <w:rsid w:val="00991805"/>
    <w:rsid w:val="0099211C"/>
    <w:rsid w:val="00993158"/>
    <w:rsid w:val="00993B78"/>
    <w:rsid w:val="0099483A"/>
    <w:rsid w:val="00994DC6"/>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920"/>
    <w:rsid w:val="009A3CFB"/>
    <w:rsid w:val="009A3D47"/>
    <w:rsid w:val="009A4D63"/>
    <w:rsid w:val="009A5356"/>
    <w:rsid w:val="009A5468"/>
    <w:rsid w:val="009A5D99"/>
    <w:rsid w:val="009A608C"/>
    <w:rsid w:val="009A60D1"/>
    <w:rsid w:val="009A6CA7"/>
    <w:rsid w:val="009A6FDF"/>
    <w:rsid w:val="009A76D6"/>
    <w:rsid w:val="009B01D3"/>
    <w:rsid w:val="009B0522"/>
    <w:rsid w:val="009B103A"/>
    <w:rsid w:val="009B199E"/>
    <w:rsid w:val="009B1F35"/>
    <w:rsid w:val="009B257D"/>
    <w:rsid w:val="009B27AC"/>
    <w:rsid w:val="009B2E29"/>
    <w:rsid w:val="009B3163"/>
    <w:rsid w:val="009B422F"/>
    <w:rsid w:val="009B46BC"/>
    <w:rsid w:val="009B4D1A"/>
    <w:rsid w:val="009B527F"/>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2B9"/>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501"/>
    <w:rsid w:val="009E16DA"/>
    <w:rsid w:val="009E1CD4"/>
    <w:rsid w:val="009E20DC"/>
    <w:rsid w:val="009E2391"/>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46A9"/>
    <w:rsid w:val="009F4F25"/>
    <w:rsid w:val="009F507A"/>
    <w:rsid w:val="009F59C2"/>
    <w:rsid w:val="009F61DE"/>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2E91"/>
    <w:rsid w:val="00A143EC"/>
    <w:rsid w:val="00A14A60"/>
    <w:rsid w:val="00A1500F"/>
    <w:rsid w:val="00A15621"/>
    <w:rsid w:val="00A15670"/>
    <w:rsid w:val="00A157A0"/>
    <w:rsid w:val="00A1585B"/>
    <w:rsid w:val="00A15BBC"/>
    <w:rsid w:val="00A15C19"/>
    <w:rsid w:val="00A1656E"/>
    <w:rsid w:val="00A165DD"/>
    <w:rsid w:val="00A16809"/>
    <w:rsid w:val="00A17769"/>
    <w:rsid w:val="00A17EA2"/>
    <w:rsid w:val="00A20264"/>
    <w:rsid w:val="00A20997"/>
    <w:rsid w:val="00A21454"/>
    <w:rsid w:val="00A22025"/>
    <w:rsid w:val="00A220AB"/>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6DDC"/>
    <w:rsid w:val="00A37E73"/>
    <w:rsid w:val="00A37FB6"/>
    <w:rsid w:val="00A4006F"/>
    <w:rsid w:val="00A4104A"/>
    <w:rsid w:val="00A41081"/>
    <w:rsid w:val="00A411CA"/>
    <w:rsid w:val="00A413AD"/>
    <w:rsid w:val="00A4169F"/>
    <w:rsid w:val="00A42096"/>
    <w:rsid w:val="00A421E7"/>
    <w:rsid w:val="00A426F3"/>
    <w:rsid w:val="00A42C60"/>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0F3"/>
    <w:rsid w:val="00A51520"/>
    <w:rsid w:val="00A5292D"/>
    <w:rsid w:val="00A52CC5"/>
    <w:rsid w:val="00A52D3F"/>
    <w:rsid w:val="00A52EE5"/>
    <w:rsid w:val="00A53037"/>
    <w:rsid w:val="00A532B9"/>
    <w:rsid w:val="00A5351D"/>
    <w:rsid w:val="00A53A2B"/>
    <w:rsid w:val="00A53D84"/>
    <w:rsid w:val="00A53E79"/>
    <w:rsid w:val="00A54031"/>
    <w:rsid w:val="00A5426D"/>
    <w:rsid w:val="00A54FC2"/>
    <w:rsid w:val="00A55122"/>
    <w:rsid w:val="00A5696C"/>
    <w:rsid w:val="00A56DE7"/>
    <w:rsid w:val="00A57714"/>
    <w:rsid w:val="00A57EB2"/>
    <w:rsid w:val="00A6009E"/>
    <w:rsid w:val="00A60762"/>
    <w:rsid w:val="00A60B1F"/>
    <w:rsid w:val="00A61A89"/>
    <w:rsid w:val="00A61C60"/>
    <w:rsid w:val="00A61F10"/>
    <w:rsid w:val="00A62589"/>
    <w:rsid w:val="00A62C3A"/>
    <w:rsid w:val="00A6369A"/>
    <w:rsid w:val="00A63812"/>
    <w:rsid w:val="00A63DF7"/>
    <w:rsid w:val="00A64505"/>
    <w:rsid w:val="00A65CC5"/>
    <w:rsid w:val="00A668BA"/>
    <w:rsid w:val="00A66FA7"/>
    <w:rsid w:val="00A677F6"/>
    <w:rsid w:val="00A67E16"/>
    <w:rsid w:val="00A703CC"/>
    <w:rsid w:val="00A70C5C"/>
    <w:rsid w:val="00A71E4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5EF"/>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51E"/>
    <w:rsid w:val="00A86B64"/>
    <w:rsid w:val="00A86E0B"/>
    <w:rsid w:val="00A9069B"/>
    <w:rsid w:val="00A90F12"/>
    <w:rsid w:val="00A9106F"/>
    <w:rsid w:val="00A93101"/>
    <w:rsid w:val="00A93518"/>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24FD"/>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41C"/>
    <w:rsid w:val="00AB0486"/>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64FE"/>
    <w:rsid w:val="00AB724B"/>
    <w:rsid w:val="00AB726C"/>
    <w:rsid w:val="00AB72B4"/>
    <w:rsid w:val="00AC01FD"/>
    <w:rsid w:val="00AC02AA"/>
    <w:rsid w:val="00AC0537"/>
    <w:rsid w:val="00AC0A84"/>
    <w:rsid w:val="00AC264D"/>
    <w:rsid w:val="00AC2A0B"/>
    <w:rsid w:val="00AC2BEC"/>
    <w:rsid w:val="00AC2BEE"/>
    <w:rsid w:val="00AC2E53"/>
    <w:rsid w:val="00AC2F8F"/>
    <w:rsid w:val="00AC484F"/>
    <w:rsid w:val="00AC4A42"/>
    <w:rsid w:val="00AC4B20"/>
    <w:rsid w:val="00AC4D8F"/>
    <w:rsid w:val="00AC56F2"/>
    <w:rsid w:val="00AC5B83"/>
    <w:rsid w:val="00AC6886"/>
    <w:rsid w:val="00AC717C"/>
    <w:rsid w:val="00AC71C3"/>
    <w:rsid w:val="00AD0DA5"/>
    <w:rsid w:val="00AD1499"/>
    <w:rsid w:val="00AD1EFA"/>
    <w:rsid w:val="00AD2072"/>
    <w:rsid w:val="00AD2808"/>
    <w:rsid w:val="00AD2DBD"/>
    <w:rsid w:val="00AD2FBF"/>
    <w:rsid w:val="00AD416B"/>
    <w:rsid w:val="00AD455D"/>
    <w:rsid w:val="00AD463C"/>
    <w:rsid w:val="00AD46A2"/>
    <w:rsid w:val="00AD47E8"/>
    <w:rsid w:val="00AD4A51"/>
    <w:rsid w:val="00AD4F60"/>
    <w:rsid w:val="00AD5044"/>
    <w:rsid w:val="00AD5114"/>
    <w:rsid w:val="00AD6236"/>
    <w:rsid w:val="00AD67E6"/>
    <w:rsid w:val="00AD7619"/>
    <w:rsid w:val="00AD7770"/>
    <w:rsid w:val="00AD7D76"/>
    <w:rsid w:val="00AE04A1"/>
    <w:rsid w:val="00AE0D1C"/>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58"/>
    <w:rsid w:val="00AE6DC5"/>
    <w:rsid w:val="00AE73D7"/>
    <w:rsid w:val="00AE7686"/>
    <w:rsid w:val="00AE799A"/>
    <w:rsid w:val="00AF042B"/>
    <w:rsid w:val="00AF0514"/>
    <w:rsid w:val="00AF078E"/>
    <w:rsid w:val="00AF0E81"/>
    <w:rsid w:val="00AF117A"/>
    <w:rsid w:val="00AF186E"/>
    <w:rsid w:val="00AF19C6"/>
    <w:rsid w:val="00AF19DF"/>
    <w:rsid w:val="00AF1F4F"/>
    <w:rsid w:val="00AF26CF"/>
    <w:rsid w:val="00AF47D5"/>
    <w:rsid w:val="00AF4E92"/>
    <w:rsid w:val="00AF554B"/>
    <w:rsid w:val="00AF5C9B"/>
    <w:rsid w:val="00AF5D53"/>
    <w:rsid w:val="00AF5E2D"/>
    <w:rsid w:val="00AF644B"/>
    <w:rsid w:val="00AF6CA6"/>
    <w:rsid w:val="00AF6EB6"/>
    <w:rsid w:val="00AF7796"/>
    <w:rsid w:val="00B011A9"/>
    <w:rsid w:val="00B024ED"/>
    <w:rsid w:val="00B02C4A"/>
    <w:rsid w:val="00B02EB3"/>
    <w:rsid w:val="00B02FCB"/>
    <w:rsid w:val="00B033F8"/>
    <w:rsid w:val="00B039BE"/>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5DB1"/>
    <w:rsid w:val="00B1666A"/>
    <w:rsid w:val="00B1686D"/>
    <w:rsid w:val="00B17037"/>
    <w:rsid w:val="00B1741D"/>
    <w:rsid w:val="00B17447"/>
    <w:rsid w:val="00B17563"/>
    <w:rsid w:val="00B1771D"/>
    <w:rsid w:val="00B17B91"/>
    <w:rsid w:val="00B20209"/>
    <w:rsid w:val="00B203AF"/>
    <w:rsid w:val="00B203C9"/>
    <w:rsid w:val="00B2088D"/>
    <w:rsid w:val="00B208FF"/>
    <w:rsid w:val="00B20F47"/>
    <w:rsid w:val="00B21AD4"/>
    <w:rsid w:val="00B21C18"/>
    <w:rsid w:val="00B228D1"/>
    <w:rsid w:val="00B22C58"/>
    <w:rsid w:val="00B22E22"/>
    <w:rsid w:val="00B22F5F"/>
    <w:rsid w:val="00B23813"/>
    <w:rsid w:val="00B23FD9"/>
    <w:rsid w:val="00B2450F"/>
    <w:rsid w:val="00B24591"/>
    <w:rsid w:val="00B245D5"/>
    <w:rsid w:val="00B24C36"/>
    <w:rsid w:val="00B24D49"/>
    <w:rsid w:val="00B24F94"/>
    <w:rsid w:val="00B25126"/>
    <w:rsid w:val="00B25A52"/>
    <w:rsid w:val="00B25B0A"/>
    <w:rsid w:val="00B25FC3"/>
    <w:rsid w:val="00B26CC4"/>
    <w:rsid w:val="00B27026"/>
    <w:rsid w:val="00B27763"/>
    <w:rsid w:val="00B27875"/>
    <w:rsid w:val="00B279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2B61"/>
    <w:rsid w:val="00B437F8"/>
    <w:rsid w:val="00B4387A"/>
    <w:rsid w:val="00B44196"/>
    <w:rsid w:val="00B44260"/>
    <w:rsid w:val="00B44746"/>
    <w:rsid w:val="00B44854"/>
    <w:rsid w:val="00B44E8C"/>
    <w:rsid w:val="00B453FE"/>
    <w:rsid w:val="00B458D0"/>
    <w:rsid w:val="00B46120"/>
    <w:rsid w:val="00B47040"/>
    <w:rsid w:val="00B47694"/>
    <w:rsid w:val="00B4792C"/>
    <w:rsid w:val="00B50A13"/>
    <w:rsid w:val="00B50CAE"/>
    <w:rsid w:val="00B512AD"/>
    <w:rsid w:val="00B5196C"/>
    <w:rsid w:val="00B51C17"/>
    <w:rsid w:val="00B525CB"/>
    <w:rsid w:val="00B52697"/>
    <w:rsid w:val="00B53E7C"/>
    <w:rsid w:val="00B5400D"/>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BBE"/>
    <w:rsid w:val="00B65C8A"/>
    <w:rsid w:val="00B65CE2"/>
    <w:rsid w:val="00B65CED"/>
    <w:rsid w:val="00B660AD"/>
    <w:rsid w:val="00B66109"/>
    <w:rsid w:val="00B66349"/>
    <w:rsid w:val="00B67630"/>
    <w:rsid w:val="00B67FBF"/>
    <w:rsid w:val="00B7024E"/>
    <w:rsid w:val="00B71FA7"/>
    <w:rsid w:val="00B72110"/>
    <w:rsid w:val="00B7240D"/>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0A"/>
    <w:rsid w:val="00B81E6F"/>
    <w:rsid w:val="00B82123"/>
    <w:rsid w:val="00B8225B"/>
    <w:rsid w:val="00B82BB5"/>
    <w:rsid w:val="00B83182"/>
    <w:rsid w:val="00B83811"/>
    <w:rsid w:val="00B83B09"/>
    <w:rsid w:val="00B84684"/>
    <w:rsid w:val="00B84866"/>
    <w:rsid w:val="00B848DF"/>
    <w:rsid w:val="00B84F1B"/>
    <w:rsid w:val="00B851E4"/>
    <w:rsid w:val="00B854CE"/>
    <w:rsid w:val="00B85636"/>
    <w:rsid w:val="00B85681"/>
    <w:rsid w:val="00B857EB"/>
    <w:rsid w:val="00B86162"/>
    <w:rsid w:val="00B86877"/>
    <w:rsid w:val="00B8695D"/>
    <w:rsid w:val="00B86D58"/>
    <w:rsid w:val="00B86E66"/>
    <w:rsid w:val="00B873BA"/>
    <w:rsid w:val="00B8746F"/>
    <w:rsid w:val="00B8760D"/>
    <w:rsid w:val="00B87706"/>
    <w:rsid w:val="00B87F98"/>
    <w:rsid w:val="00B900BD"/>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4847"/>
    <w:rsid w:val="00B95018"/>
    <w:rsid w:val="00B95464"/>
    <w:rsid w:val="00B956DC"/>
    <w:rsid w:val="00B95C30"/>
    <w:rsid w:val="00B95D38"/>
    <w:rsid w:val="00B95E3D"/>
    <w:rsid w:val="00B95F7F"/>
    <w:rsid w:val="00B9691F"/>
    <w:rsid w:val="00B969E0"/>
    <w:rsid w:val="00B96EEC"/>
    <w:rsid w:val="00B9710A"/>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2CAA"/>
    <w:rsid w:val="00BB2F3D"/>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B7D1F"/>
    <w:rsid w:val="00BC0F33"/>
    <w:rsid w:val="00BC14A7"/>
    <w:rsid w:val="00BC1611"/>
    <w:rsid w:val="00BC1632"/>
    <w:rsid w:val="00BC17CC"/>
    <w:rsid w:val="00BC1862"/>
    <w:rsid w:val="00BC229E"/>
    <w:rsid w:val="00BC23C0"/>
    <w:rsid w:val="00BC2898"/>
    <w:rsid w:val="00BC2928"/>
    <w:rsid w:val="00BC2AA9"/>
    <w:rsid w:val="00BC2BB1"/>
    <w:rsid w:val="00BC34A3"/>
    <w:rsid w:val="00BC3ED5"/>
    <w:rsid w:val="00BC3FF9"/>
    <w:rsid w:val="00BC4834"/>
    <w:rsid w:val="00BC4A97"/>
    <w:rsid w:val="00BC5A25"/>
    <w:rsid w:val="00BC5FDD"/>
    <w:rsid w:val="00BC68B4"/>
    <w:rsid w:val="00BC6C2D"/>
    <w:rsid w:val="00BC762B"/>
    <w:rsid w:val="00BC7B9A"/>
    <w:rsid w:val="00BD00A9"/>
    <w:rsid w:val="00BD0140"/>
    <w:rsid w:val="00BD02CC"/>
    <w:rsid w:val="00BD1675"/>
    <w:rsid w:val="00BD2063"/>
    <w:rsid w:val="00BD33D9"/>
    <w:rsid w:val="00BD38C5"/>
    <w:rsid w:val="00BD3A59"/>
    <w:rsid w:val="00BD3C11"/>
    <w:rsid w:val="00BD3CF1"/>
    <w:rsid w:val="00BD3DEA"/>
    <w:rsid w:val="00BD3E97"/>
    <w:rsid w:val="00BD40E4"/>
    <w:rsid w:val="00BD4563"/>
    <w:rsid w:val="00BD52FE"/>
    <w:rsid w:val="00BD5491"/>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36A"/>
    <w:rsid w:val="00BF1D44"/>
    <w:rsid w:val="00BF1DD2"/>
    <w:rsid w:val="00BF1FDE"/>
    <w:rsid w:val="00BF23A3"/>
    <w:rsid w:val="00BF28DB"/>
    <w:rsid w:val="00BF2A7E"/>
    <w:rsid w:val="00BF3331"/>
    <w:rsid w:val="00BF3356"/>
    <w:rsid w:val="00BF37EC"/>
    <w:rsid w:val="00BF3A45"/>
    <w:rsid w:val="00BF436F"/>
    <w:rsid w:val="00BF4EC5"/>
    <w:rsid w:val="00BF5723"/>
    <w:rsid w:val="00BF5C05"/>
    <w:rsid w:val="00BF60C8"/>
    <w:rsid w:val="00BF6A78"/>
    <w:rsid w:val="00BF6FC6"/>
    <w:rsid w:val="00BF73E1"/>
    <w:rsid w:val="00BF7C52"/>
    <w:rsid w:val="00BF7F99"/>
    <w:rsid w:val="00C00704"/>
    <w:rsid w:val="00C00713"/>
    <w:rsid w:val="00C009A0"/>
    <w:rsid w:val="00C01F74"/>
    <w:rsid w:val="00C02558"/>
    <w:rsid w:val="00C0285F"/>
    <w:rsid w:val="00C02F35"/>
    <w:rsid w:val="00C03305"/>
    <w:rsid w:val="00C03515"/>
    <w:rsid w:val="00C03738"/>
    <w:rsid w:val="00C037A6"/>
    <w:rsid w:val="00C040D6"/>
    <w:rsid w:val="00C043F5"/>
    <w:rsid w:val="00C044E3"/>
    <w:rsid w:val="00C047A8"/>
    <w:rsid w:val="00C04BDB"/>
    <w:rsid w:val="00C052C6"/>
    <w:rsid w:val="00C059D4"/>
    <w:rsid w:val="00C05A61"/>
    <w:rsid w:val="00C06845"/>
    <w:rsid w:val="00C06955"/>
    <w:rsid w:val="00C06CCF"/>
    <w:rsid w:val="00C07B7C"/>
    <w:rsid w:val="00C108B8"/>
    <w:rsid w:val="00C109C0"/>
    <w:rsid w:val="00C10C0B"/>
    <w:rsid w:val="00C11503"/>
    <w:rsid w:val="00C1159D"/>
    <w:rsid w:val="00C11683"/>
    <w:rsid w:val="00C11798"/>
    <w:rsid w:val="00C118DB"/>
    <w:rsid w:val="00C1233E"/>
    <w:rsid w:val="00C12408"/>
    <w:rsid w:val="00C125C1"/>
    <w:rsid w:val="00C1299A"/>
    <w:rsid w:val="00C12F05"/>
    <w:rsid w:val="00C12FB3"/>
    <w:rsid w:val="00C1304A"/>
    <w:rsid w:val="00C138BC"/>
    <w:rsid w:val="00C13D85"/>
    <w:rsid w:val="00C14639"/>
    <w:rsid w:val="00C14E82"/>
    <w:rsid w:val="00C14FF6"/>
    <w:rsid w:val="00C150A6"/>
    <w:rsid w:val="00C15A85"/>
    <w:rsid w:val="00C1641B"/>
    <w:rsid w:val="00C165FC"/>
    <w:rsid w:val="00C1680E"/>
    <w:rsid w:val="00C16E9D"/>
    <w:rsid w:val="00C176D5"/>
    <w:rsid w:val="00C17B6C"/>
    <w:rsid w:val="00C2082C"/>
    <w:rsid w:val="00C20832"/>
    <w:rsid w:val="00C209F7"/>
    <w:rsid w:val="00C20EB0"/>
    <w:rsid w:val="00C21005"/>
    <w:rsid w:val="00C2183B"/>
    <w:rsid w:val="00C21B56"/>
    <w:rsid w:val="00C220B6"/>
    <w:rsid w:val="00C22492"/>
    <w:rsid w:val="00C229E0"/>
    <w:rsid w:val="00C22D7C"/>
    <w:rsid w:val="00C22DDE"/>
    <w:rsid w:val="00C22EA9"/>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1F7F"/>
    <w:rsid w:val="00C421A3"/>
    <w:rsid w:val="00C42247"/>
    <w:rsid w:val="00C439BE"/>
    <w:rsid w:val="00C443CC"/>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273"/>
    <w:rsid w:val="00C52428"/>
    <w:rsid w:val="00C52C68"/>
    <w:rsid w:val="00C52D98"/>
    <w:rsid w:val="00C5325C"/>
    <w:rsid w:val="00C53D24"/>
    <w:rsid w:val="00C54640"/>
    <w:rsid w:val="00C547A6"/>
    <w:rsid w:val="00C54A3A"/>
    <w:rsid w:val="00C5503F"/>
    <w:rsid w:val="00C55C32"/>
    <w:rsid w:val="00C56A67"/>
    <w:rsid w:val="00C56CC2"/>
    <w:rsid w:val="00C56EB3"/>
    <w:rsid w:val="00C5717C"/>
    <w:rsid w:val="00C57498"/>
    <w:rsid w:val="00C5763C"/>
    <w:rsid w:val="00C577CA"/>
    <w:rsid w:val="00C5780C"/>
    <w:rsid w:val="00C5796B"/>
    <w:rsid w:val="00C619A1"/>
    <w:rsid w:val="00C62370"/>
    <w:rsid w:val="00C62545"/>
    <w:rsid w:val="00C62A11"/>
    <w:rsid w:val="00C62BBB"/>
    <w:rsid w:val="00C6305F"/>
    <w:rsid w:val="00C6325B"/>
    <w:rsid w:val="00C63DBF"/>
    <w:rsid w:val="00C63E99"/>
    <w:rsid w:val="00C64161"/>
    <w:rsid w:val="00C641BD"/>
    <w:rsid w:val="00C649B8"/>
    <w:rsid w:val="00C64A64"/>
    <w:rsid w:val="00C64AA2"/>
    <w:rsid w:val="00C65151"/>
    <w:rsid w:val="00C653B9"/>
    <w:rsid w:val="00C657F4"/>
    <w:rsid w:val="00C66119"/>
    <w:rsid w:val="00C66292"/>
    <w:rsid w:val="00C66EA4"/>
    <w:rsid w:val="00C672A3"/>
    <w:rsid w:val="00C672F1"/>
    <w:rsid w:val="00C673D0"/>
    <w:rsid w:val="00C6742E"/>
    <w:rsid w:val="00C677BE"/>
    <w:rsid w:val="00C70012"/>
    <w:rsid w:val="00C70321"/>
    <w:rsid w:val="00C71CBB"/>
    <w:rsid w:val="00C71E2A"/>
    <w:rsid w:val="00C72571"/>
    <w:rsid w:val="00C733BA"/>
    <w:rsid w:val="00C734F3"/>
    <w:rsid w:val="00C73BDE"/>
    <w:rsid w:val="00C74F3F"/>
    <w:rsid w:val="00C760DC"/>
    <w:rsid w:val="00C764E2"/>
    <w:rsid w:val="00C76E2D"/>
    <w:rsid w:val="00C800AB"/>
    <w:rsid w:val="00C8082B"/>
    <w:rsid w:val="00C81A88"/>
    <w:rsid w:val="00C81AEC"/>
    <w:rsid w:val="00C81D46"/>
    <w:rsid w:val="00C820AD"/>
    <w:rsid w:val="00C82298"/>
    <w:rsid w:val="00C82F91"/>
    <w:rsid w:val="00C82F97"/>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4763"/>
    <w:rsid w:val="00C959BD"/>
    <w:rsid w:val="00C95E49"/>
    <w:rsid w:val="00C95F44"/>
    <w:rsid w:val="00C96D1B"/>
    <w:rsid w:val="00C97106"/>
    <w:rsid w:val="00C97684"/>
    <w:rsid w:val="00CA0031"/>
    <w:rsid w:val="00CA0413"/>
    <w:rsid w:val="00CA043A"/>
    <w:rsid w:val="00CA04F8"/>
    <w:rsid w:val="00CA0A96"/>
    <w:rsid w:val="00CA0D61"/>
    <w:rsid w:val="00CA0DBA"/>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1D6B"/>
    <w:rsid w:val="00CB2C3A"/>
    <w:rsid w:val="00CB2D38"/>
    <w:rsid w:val="00CB353F"/>
    <w:rsid w:val="00CB365A"/>
    <w:rsid w:val="00CB4137"/>
    <w:rsid w:val="00CB52D0"/>
    <w:rsid w:val="00CB5578"/>
    <w:rsid w:val="00CB5671"/>
    <w:rsid w:val="00CB591C"/>
    <w:rsid w:val="00CB5943"/>
    <w:rsid w:val="00CB61B3"/>
    <w:rsid w:val="00CB65D4"/>
    <w:rsid w:val="00CB6F83"/>
    <w:rsid w:val="00CB72AE"/>
    <w:rsid w:val="00CB72B1"/>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1A5"/>
    <w:rsid w:val="00CE020E"/>
    <w:rsid w:val="00CE0566"/>
    <w:rsid w:val="00CE16A9"/>
    <w:rsid w:val="00CE1CD4"/>
    <w:rsid w:val="00CE23FE"/>
    <w:rsid w:val="00CE2761"/>
    <w:rsid w:val="00CE2B49"/>
    <w:rsid w:val="00CE314E"/>
    <w:rsid w:val="00CE3A86"/>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1D5"/>
    <w:rsid w:val="00CF4897"/>
    <w:rsid w:val="00CF4AF7"/>
    <w:rsid w:val="00CF4D20"/>
    <w:rsid w:val="00CF539C"/>
    <w:rsid w:val="00CF55DF"/>
    <w:rsid w:val="00CF6180"/>
    <w:rsid w:val="00CF64F6"/>
    <w:rsid w:val="00CF665F"/>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BC9"/>
    <w:rsid w:val="00D04FFB"/>
    <w:rsid w:val="00D05153"/>
    <w:rsid w:val="00D058E9"/>
    <w:rsid w:val="00D0612A"/>
    <w:rsid w:val="00D068E3"/>
    <w:rsid w:val="00D06A0E"/>
    <w:rsid w:val="00D06D40"/>
    <w:rsid w:val="00D1060D"/>
    <w:rsid w:val="00D10E7C"/>
    <w:rsid w:val="00D11182"/>
    <w:rsid w:val="00D1137B"/>
    <w:rsid w:val="00D11807"/>
    <w:rsid w:val="00D11DB3"/>
    <w:rsid w:val="00D11E0B"/>
    <w:rsid w:val="00D12D82"/>
    <w:rsid w:val="00D1306E"/>
    <w:rsid w:val="00D134CD"/>
    <w:rsid w:val="00D13CE5"/>
    <w:rsid w:val="00D13D98"/>
    <w:rsid w:val="00D14B5F"/>
    <w:rsid w:val="00D14E13"/>
    <w:rsid w:val="00D14F23"/>
    <w:rsid w:val="00D15356"/>
    <w:rsid w:val="00D16054"/>
    <w:rsid w:val="00D160AA"/>
    <w:rsid w:val="00D160CC"/>
    <w:rsid w:val="00D16740"/>
    <w:rsid w:val="00D16A8B"/>
    <w:rsid w:val="00D16B5C"/>
    <w:rsid w:val="00D16E39"/>
    <w:rsid w:val="00D17951"/>
    <w:rsid w:val="00D17AD8"/>
    <w:rsid w:val="00D17B53"/>
    <w:rsid w:val="00D2104A"/>
    <w:rsid w:val="00D21302"/>
    <w:rsid w:val="00D213F1"/>
    <w:rsid w:val="00D21BB5"/>
    <w:rsid w:val="00D21FFC"/>
    <w:rsid w:val="00D223A3"/>
    <w:rsid w:val="00D223B6"/>
    <w:rsid w:val="00D223E8"/>
    <w:rsid w:val="00D22CB5"/>
    <w:rsid w:val="00D22DC8"/>
    <w:rsid w:val="00D24ECD"/>
    <w:rsid w:val="00D2522A"/>
    <w:rsid w:val="00D2531C"/>
    <w:rsid w:val="00D255F3"/>
    <w:rsid w:val="00D25FC7"/>
    <w:rsid w:val="00D26C21"/>
    <w:rsid w:val="00D2742F"/>
    <w:rsid w:val="00D2754F"/>
    <w:rsid w:val="00D27793"/>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7C"/>
    <w:rsid w:val="00D401BE"/>
    <w:rsid w:val="00D4043A"/>
    <w:rsid w:val="00D40A8E"/>
    <w:rsid w:val="00D40AB0"/>
    <w:rsid w:val="00D40DB0"/>
    <w:rsid w:val="00D40F8B"/>
    <w:rsid w:val="00D41858"/>
    <w:rsid w:val="00D422DB"/>
    <w:rsid w:val="00D42A83"/>
    <w:rsid w:val="00D42AC2"/>
    <w:rsid w:val="00D43988"/>
    <w:rsid w:val="00D4498E"/>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E3E"/>
    <w:rsid w:val="00D55279"/>
    <w:rsid w:val="00D55904"/>
    <w:rsid w:val="00D55C94"/>
    <w:rsid w:val="00D5616F"/>
    <w:rsid w:val="00D56828"/>
    <w:rsid w:val="00D568BA"/>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60DF"/>
    <w:rsid w:val="00D67BC7"/>
    <w:rsid w:val="00D701F1"/>
    <w:rsid w:val="00D705D3"/>
    <w:rsid w:val="00D7088A"/>
    <w:rsid w:val="00D70E00"/>
    <w:rsid w:val="00D71014"/>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0E21"/>
    <w:rsid w:val="00D8166D"/>
    <w:rsid w:val="00D81718"/>
    <w:rsid w:val="00D8184D"/>
    <w:rsid w:val="00D81A7B"/>
    <w:rsid w:val="00D81B74"/>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2856"/>
    <w:rsid w:val="00D9310B"/>
    <w:rsid w:val="00D93299"/>
    <w:rsid w:val="00D93726"/>
    <w:rsid w:val="00D93DD3"/>
    <w:rsid w:val="00D93F3E"/>
    <w:rsid w:val="00D9405B"/>
    <w:rsid w:val="00D94942"/>
    <w:rsid w:val="00D95145"/>
    <w:rsid w:val="00D96418"/>
    <w:rsid w:val="00D967CB"/>
    <w:rsid w:val="00D96EE0"/>
    <w:rsid w:val="00D97BD1"/>
    <w:rsid w:val="00DA06B8"/>
    <w:rsid w:val="00DA286D"/>
    <w:rsid w:val="00DA2969"/>
    <w:rsid w:val="00DA29B7"/>
    <w:rsid w:val="00DA371B"/>
    <w:rsid w:val="00DA3BC0"/>
    <w:rsid w:val="00DA4842"/>
    <w:rsid w:val="00DA49EF"/>
    <w:rsid w:val="00DA5989"/>
    <w:rsid w:val="00DA5AB1"/>
    <w:rsid w:val="00DA5F9D"/>
    <w:rsid w:val="00DA69B2"/>
    <w:rsid w:val="00DA6A7B"/>
    <w:rsid w:val="00DA735F"/>
    <w:rsid w:val="00DA7462"/>
    <w:rsid w:val="00DA777E"/>
    <w:rsid w:val="00DA7AD0"/>
    <w:rsid w:val="00DA7C08"/>
    <w:rsid w:val="00DB02D7"/>
    <w:rsid w:val="00DB03CC"/>
    <w:rsid w:val="00DB12D4"/>
    <w:rsid w:val="00DB13DD"/>
    <w:rsid w:val="00DB14F0"/>
    <w:rsid w:val="00DB1745"/>
    <w:rsid w:val="00DB1AFF"/>
    <w:rsid w:val="00DB219A"/>
    <w:rsid w:val="00DB3165"/>
    <w:rsid w:val="00DB350B"/>
    <w:rsid w:val="00DB40A0"/>
    <w:rsid w:val="00DB4292"/>
    <w:rsid w:val="00DB495A"/>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2848"/>
    <w:rsid w:val="00DC30B8"/>
    <w:rsid w:val="00DC32C6"/>
    <w:rsid w:val="00DC3720"/>
    <w:rsid w:val="00DC406B"/>
    <w:rsid w:val="00DC478F"/>
    <w:rsid w:val="00DC5DFB"/>
    <w:rsid w:val="00DC62E5"/>
    <w:rsid w:val="00DC6AB9"/>
    <w:rsid w:val="00DC6F33"/>
    <w:rsid w:val="00DC729E"/>
    <w:rsid w:val="00DC7349"/>
    <w:rsid w:val="00DC7456"/>
    <w:rsid w:val="00DC7D4B"/>
    <w:rsid w:val="00DD0246"/>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B48"/>
    <w:rsid w:val="00DE3F23"/>
    <w:rsid w:val="00DE3FF0"/>
    <w:rsid w:val="00DE4105"/>
    <w:rsid w:val="00DE5189"/>
    <w:rsid w:val="00DE6230"/>
    <w:rsid w:val="00DE7108"/>
    <w:rsid w:val="00DE78D1"/>
    <w:rsid w:val="00DF0263"/>
    <w:rsid w:val="00DF06D2"/>
    <w:rsid w:val="00DF0EB4"/>
    <w:rsid w:val="00DF1412"/>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6BB"/>
    <w:rsid w:val="00E027C5"/>
    <w:rsid w:val="00E03124"/>
    <w:rsid w:val="00E03148"/>
    <w:rsid w:val="00E031EB"/>
    <w:rsid w:val="00E03951"/>
    <w:rsid w:val="00E03DB8"/>
    <w:rsid w:val="00E04658"/>
    <w:rsid w:val="00E0466B"/>
    <w:rsid w:val="00E04EC1"/>
    <w:rsid w:val="00E0573A"/>
    <w:rsid w:val="00E057BA"/>
    <w:rsid w:val="00E057C0"/>
    <w:rsid w:val="00E05E70"/>
    <w:rsid w:val="00E0631A"/>
    <w:rsid w:val="00E064BC"/>
    <w:rsid w:val="00E07225"/>
    <w:rsid w:val="00E079FF"/>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4835"/>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43"/>
    <w:rsid w:val="00E26FCF"/>
    <w:rsid w:val="00E27165"/>
    <w:rsid w:val="00E27226"/>
    <w:rsid w:val="00E3044A"/>
    <w:rsid w:val="00E3189C"/>
    <w:rsid w:val="00E318E0"/>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229"/>
    <w:rsid w:val="00E4143A"/>
    <w:rsid w:val="00E41A5D"/>
    <w:rsid w:val="00E424C8"/>
    <w:rsid w:val="00E4251D"/>
    <w:rsid w:val="00E42F41"/>
    <w:rsid w:val="00E43D00"/>
    <w:rsid w:val="00E44128"/>
    <w:rsid w:val="00E445E4"/>
    <w:rsid w:val="00E451BA"/>
    <w:rsid w:val="00E457CB"/>
    <w:rsid w:val="00E45D47"/>
    <w:rsid w:val="00E45DE4"/>
    <w:rsid w:val="00E45E63"/>
    <w:rsid w:val="00E46D10"/>
    <w:rsid w:val="00E5002A"/>
    <w:rsid w:val="00E50A7B"/>
    <w:rsid w:val="00E50B0B"/>
    <w:rsid w:val="00E50F9A"/>
    <w:rsid w:val="00E510D0"/>
    <w:rsid w:val="00E510FE"/>
    <w:rsid w:val="00E5142F"/>
    <w:rsid w:val="00E514C9"/>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5E2"/>
    <w:rsid w:val="00E65E70"/>
    <w:rsid w:val="00E65EE9"/>
    <w:rsid w:val="00E66087"/>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1653"/>
    <w:rsid w:val="00E823F9"/>
    <w:rsid w:val="00E82C1F"/>
    <w:rsid w:val="00E82EEA"/>
    <w:rsid w:val="00E83671"/>
    <w:rsid w:val="00E8414B"/>
    <w:rsid w:val="00E84793"/>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4420"/>
    <w:rsid w:val="00E950D0"/>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1B"/>
    <w:rsid w:val="00EB1573"/>
    <w:rsid w:val="00EB1650"/>
    <w:rsid w:val="00EB17CA"/>
    <w:rsid w:val="00EB1910"/>
    <w:rsid w:val="00EB1D24"/>
    <w:rsid w:val="00EB209B"/>
    <w:rsid w:val="00EB26F2"/>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532"/>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5C48"/>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7BF4"/>
    <w:rsid w:val="00F0030F"/>
    <w:rsid w:val="00F00674"/>
    <w:rsid w:val="00F0141B"/>
    <w:rsid w:val="00F01657"/>
    <w:rsid w:val="00F01E67"/>
    <w:rsid w:val="00F021B7"/>
    <w:rsid w:val="00F02744"/>
    <w:rsid w:val="00F02BFD"/>
    <w:rsid w:val="00F02D25"/>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FC4"/>
    <w:rsid w:val="00F1108B"/>
    <w:rsid w:val="00F11768"/>
    <w:rsid w:val="00F11951"/>
    <w:rsid w:val="00F11BA8"/>
    <w:rsid w:val="00F12259"/>
    <w:rsid w:val="00F12262"/>
    <w:rsid w:val="00F12AF8"/>
    <w:rsid w:val="00F12C52"/>
    <w:rsid w:val="00F12EAB"/>
    <w:rsid w:val="00F142B5"/>
    <w:rsid w:val="00F14352"/>
    <w:rsid w:val="00F144BA"/>
    <w:rsid w:val="00F14618"/>
    <w:rsid w:val="00F148B7"/>
    <w:rsid w:val="00F14BE9"/>
    <w:rsid w:val="00F14EA9"/>
    <w:rsid w:val="00F15505"/>
    <w:rsid w:val="00F15BFF"/>
    <w:rsid w:val="00F17105"/>
    <w:rsid w:val="00F20953"/>
    <w:rsid w:val="00F20A0B"/>
    <w:rsid w:val="00F213A0"/>
    <w:rsid w:val="00F217AB"/>
    <w:rsid w:val="00F21A51"/>
    <w:rsid w:val="00F21D54"/>
    <w:rsid w:val="00F21D6D"/>
    <w:rsid w:val="00F21EF4"/>
    <w:rsid w:val="00F227B8"/>
    <w:rsid w:val="00F23113"/>
    <w:rsid w:val="00F23255"/>
    <w:rsid w:val="00F23393"/>
    <w:rsid w:val="00F23759"/>
    <w:rsid w:val="00F239D4"/>
    <w:rsid w:val="00F23CB5"/>
    <w:rsid w:val="00F245A1"/>
    <w:rsid w:val="00F24644"/>
    <w:rsid w:val="00F24ABF"/>
    <w:rsid w:val="00F256FD"/>
    <w:rsid w:val="00F259F1"/>
    <w:rsid w:val="00F268A6"/>
    <w:rsid w:val="00F26F33"/>
    <w:rsid w:val="00F27E74"/>
    <w:rsid w:val="00F300A8"/>
    <w:rsid w:val="00F30265"/>
    <w:rsid w:val="00F30400"/>
    <w:rsid w:val="00F3079E"/>
    <w:rsid w:val="00F31F88"/>
    <w:rsid w:val="00F32C50"/>
    <w:rsid w:val="00F33980"/>
    <w:rsid w:val="00F3399B"/>
    <w:rsid w:val="00F33C1A"/>
    <w:rsid w:val="00F3461B"/>
    <w:rsid w:val="00F346ED"/>
    <w:rsid w:val="00F34945"/>
    <w:rsid w:val="00F34E1E"/>
    <w:rsid w:val="00F351E8"/>
    <w:rsid w:val="00F353FF"/>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222"/>
    <w:rsid w:val="00F4345D"/>
    <w:rsid w:val="00F4387B"/>
    <w:rsid w:val="00F4425D"/>
    <w:rsid w:val="00F4518D"/>
    <w:rsid w:val="00F45B91"/>
    <w:rsid w:val="00F46285"/>
    <w:rsid w:val="00F4630A"/>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08B"/>
    <w:rsid w:val="00F533F1"/>
    <w:rsid w:val="00F53ADC"/>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5E5"/>
    <w:rsid w:val="00F739B4"/>
    <w:rsid w:val="00F73C77"/>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6EE"/>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5075"/>
    <w:rsid w:val="00F9537B"/>
    <w:rsid w:val="00F95467"/>
    <w:rsid w:val="00F954BA"/>
    <w:rsid w:val="00F95567"/>
    <w:rsid w:val="00F9574A"/>
    <w:rsid w:val="00F963FC"/>
    <w:rsid w:val="00F96F06"/>
    <w:rsid w:val="00F96FD6"/>
    <w:rsid w:val="00FA015F"/>
    <w:rsid w:val="00FA0FAC"/>
    <w:rsid w:val="00FA1DA2"/>
    <w:rsid w:val="00FA3414"/>
    <w:rsid w:val="00FA347A"/>
    <w:rsid w:val="00FA39D7"/>
    <w:rsid w:val="00FA3CDE"/>
    <w:rsid w:val="00FA49B7"/>
    <w:rsid w:val="00FA5043"/>
    <w:rsid w:val="00FA5ECF"/>
    <w:rsid w:val="00FA6179"/>
    <w:rsid w:val="00FA6F8B"/>
    <w:rsid w:val="00FA7A30"/>
    <w:rsid w:val="00FA7F7F"/>
    <w:rsid w:val="00FB033F"/>
    <w:rsid w:val="00FB12E3"/>
    <w:rsid w:val="00FB1570"/>
    <w:rsid w:val="00FB186E"/>
    <w:rsid w:val="00FB193B"/>
    <w:rsid w:val="00FB1FBC"/>
    <w:rsid w:val="00FB27B7"/>
    <w:rsid w:val="00FB2C36"/>
    <w:rsid w:val="00FB3444"/>
    <w:rsid w:val="00FB3483"/>
    <w:rsid w:val="00FB35E3"/>
    <w:rsid w:val="00FB48A1"/>
    <w:rsid w:val="00FB4D3F"/>
    <w:rsid w:val="00FB583C"/>
    <w:rsid w:val="00FB61D1"/>
    <w:rsid w:val="00FB630E"/>
    <w:rsid w:val="00FB6738"/>
    <w:rsid w:val="00FB691B"/>
    <w:rsid w:val="00FB731C"/>
    <w:rsid w:val="00FB7DF8"/>
    <w:rsid w:val="00FC05A0"/>
    <w:rsid w:val="00FC0811"/>
    <w:rsid w:val="00FC1196"/>
    <w:rsid w:val="00FC15EB"/>
    <w:rsid w:val="00FC18DC"/>
    <w:rsid w:val="00FC1ED2"/>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3D53"/>
    <w:rsid w:val="00FD43BB"/>
    <w:rsid w:val="00FD4AF3"/>
    <w:rsid w:val="00FD4E0F"/>
    <w:rsid w:val="00FD556A"/>
    <w:rsid w:val="00FD5A41"/>
    <w:rsid w:val="00FD5A69"/>
    <w:rsid w:val="00FD6F3C"/>
    <w:rsid w:val="00FD798D"/>
    <w:rsid w:val="00FD7BD8"/>
    <w:rsid w:val="00FD7FB9"/>
    <w:rsid w:val="00FE100E"/>
    <w:rsid w:val="00FE141E"/>
    <w:rsid w:val="00FE144E"/>
    <w:rsid w:val="00FE1689"/>
    <w:rsid w:val="00FE1768"/>
    <w:rsid w:val="00FE24F4"/>
    <w:rsid w:val="00FE2560"/>
    <w:rsid w:val="00FE35D0"/>
    <w:rsid w:val="00FE3EBB"/>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679"/>
    <w:rsid w:val="00FF0712"/>
    <w:rsid w:val="00FF0976"/>
    <w:rsid w:val="00FF13D4"/>
    <w:rsid w:val="00FF2053"/>
    <w:rsid w:val="00FF2F4E"/>
    <w:rsid w:val="00FF3B37"/>
    <w:rsid w:val="00FF3D6F"/>
    <w:rsid w:val="00FF4BD8"/>
    <w:rsid w:val="00FF4D11"/>
    <w:rsid w:val="00FF5214"/>
    <w:rsid w:val="00FF53A5"/>
    <w:rsid w:val="00FF56A3"/>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49"/>
    <w:pPr>
      <w:spacing w:after="160" w:line="256" w:lineRule="auto"/>
    </w:pPr>
    <w:rPr>
      <w:rFonts w:ascii="Calibri" w:eastAsia="Calibri" w:hAnsi="Calibri" w:cs="Times New Roman"/>
    </w:rPr>
  </w:style>
  <w:style w:type="paragraph" w:styleId="Ttulo1">
    <w:name w:val="heading 1"/>
    <w:basedOn w:val="Normal"/>
    <w:link w:val="Ttulo1Car"/>
    <w:uiPriority w:val="1"/>
    <w:qFormat/>
    <w:rsid w:val="006D712D"/>
    <w:pPr>
      <w:widowControl w:val="0"/>
      <w:autoSpaceDE w:val="0"/>
      <w:autoSpaceDN w:val="0"/>
      <w:spacing w:after="0" w:line="240" w:lineRule="auto"/>
      <w:ind w:left="660" w:hanging="366"/>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965FF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after="0" w:line="240" w:lineRule="auto"/>
    </w:pPr>
    <w:rPr>
      <w:rFonts w:asciiTheme="minorHAnsi" w:eastAsiaTheme="minorHAnsi" w:hAnsiTheme="minorHAnsi" w:cstheme="minorBidi"/>
      <w:sz w:val="24"/>
      <w:lang w:val="es-MX"/>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after="0" w:line="240" w:lineRule="auto"/>
    </w:pPr>
    <w:rPr>
      <w:rFonts w:asciiTheme="minorHAnsi" w:eastAsiaTheme="minorHAnsi" w:hAnsiTheme="minorHAnsi" w:cstheme="minorBidi"/>
      <w:sz w:val="24"/>
      <w:lang w:val="es-MX"/>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Ha"/>
    <w:basedOn w:val="Normal"/>
    <w:link w:val="PrrafodelistaCar"/>
    <w:uiPriority w:val="34"/>
    <w:qFormat/>
    <w:rsid w:val="009047C5"/>
    <w:pPr>
      <w:spacing w:after="0" w:line="240" w:lineRule="auto"/>
      <w:ind w:left="720"/>
      <w:contextualSpacing/>
    </w:pPr>
    <w:rPr>
      <w:rFonts w:asciiTheme="minorHAnsi" w:eastAsiaTheme="minorHAnsi" w:hAnsiTheme="minorHAnsi" w:cstheme="minorBidi"/>
      <w:sz w:val="24"/>
      <w:lang w:val="es-MX"/>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after="0" w:line="240" w:lineRule="auto"/>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7B0854"/>
    <w:pPr>
      <w:spacing w:after="0" w:line="240" w:lineRule="auto"/>
    </w:pPr>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line="240" w:lineRule="exact"/>
    </w:pPr>
    <w:rPr>
      <w:rFonts w:asciiTheme="minorHAnsi" w:eastAsiaTheme="minorHAnsi" w:hAnsiTheme="minorHAnsi" w:cstheme="minorBidi"/>
      <w:vertAlign w:val="superscript"/>
    </w:rPr>
  </w:style>
  <w:style w:type="paragraph" w:styleId="Sangradetextonormal">
    <w:name w:val="Body Text Indent"/>
    <w:basedOn w:val="Normal"/>
    <w:link w:val="SangradetextonormalCar"/>
    <w:uiPriority w:val="99"/>
    <w:semiHidden/>
    <w:unhideWhenUsed/>
    <w:rsid w:val="006B7E4E"/>
    <w:pPr>
      <w:spacing w:after="120" w:line="240" w:lineRule="auto"/>
      <w:ind w:left="283"/>
    </w:pPr>
    <w:rPr>
      <w:rFonts w:asciiTheme="minorHAnsi" w:eastAsiaTheme="minorHAnsi" w:hAnsiTheme="minorHAnsi" w:cstheme="minorBidi"/>
      <w:sz w:val="24"/>
      <w:lang w:val="es-MX"/>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line="240" w:lineRule="auto"/>
      <w:jc w:val="both"/>
    </w:pPr>
    <w:rPr>
      <w:rFonts w:ascii="Arial Narrow" w:eastAsia="Times New Roman" w:hAnsi="Arial Narrow"/>
      <w:color w:val="3C3C3C" w:themeColor="background2" w:themeShade="40"/>
      <w:sz w:val="24"/>
      <w:szCs w:val="24"/>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hAnsi="Arial" w:cs="Arial"/>
      <w:b/>
      <w:bCs/>
      <w:color w:val="1C1C1C"/>
      <w:sz w:val="20"/>
      <w:szCs w:val="20"/>
    </w:rPr>
  </w:style>
  <w:style w:type="paragraph" w:customStyle="1" w:styleId="Normal11pt">
    <w:name w:val="Normal + 11 pt"/>
    <w:aliases w:val="Negro,Justificado,Izquierda:  -0,95 cm,Derecha:  0,04 cm"/>
    <w:basedOn w:val="Normal"/>
    <w:uiPriority w:val="99"/>
    <w:rsid w:val="008A2527"/>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baj">
    <w:name w:val="b_aj"/>
    <w:basedOn w:val="Fuentedeprrafopredeter"/>
    <w:rsid w:val="008F293D"/>
  </w:style>
  <w:style w:type="character" w:customStyle="1" w:styleId="SinespaciadoCar">
    <w:name w:val="Sin espaciado Car"/>
    <w:aliases w:val="No Indent Car"/>
    <w:link w:val="Sinespaciado"/>
    <w:uiPriority w:val="3"/>
    <w:rsid w:val="00B44E8C"/>
    <w:rPr>
      <w:sz w:val="24"/>
      <w:lang w:val="es-MX"/>
    </w:rPr>
  </w:style>
  <w:style w:type="character" w:customStyle="1" w:styleId="apple-converted-space">
    <w:name w:val="apple-converted-space"/>
    <w:basedOn w:val="Fuentedeprrafopredeter"/>
    <w:rsid w:val="00B65BBE"/>
  </w:style>
  <w:style w:type="character" w:customStyle="1" w:styleId="Ttulo2Car">
    <w:name w:val="Título 2 Car"/>
    <w:basedOn w:val="Fuentedeprrafopredeter"/>
    <w:link w:val="Ttulo2"/>
    <w:uiPriority w:val="9"/>
    <w:semiHidden/>
    <w:rsid w:val="00965FF8"/>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37151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116648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6549578">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1511602">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570203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6510106">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3186906">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3150">
      <w:bodyDiv w:val="1"/>
      <w:marLeft w:val="0"/>
      <w:marRight w:val="0"/>
      <w:marTop w:val="0"/>
      <w:marBottom w:val="0"/>
      <w:divBdr>
        <w:top w:val="none" w:sz="0" w:space="0" w:color="auto"/>
        <w:left w:val="none" w:sz="0" w:space="0" w:color="auto"/>
        <w:bottom w:val="none" w:sz="0" w:space="0" w:color="auto"/>
        <w:right w:val="none" w:sz="0" w:space="0" w:color="auto"/>
      </w:divBdr>
    </w:div>
    <w:div w:id="142980895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68452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1654730">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4E0C0AC-64E8-420C-9E17-632AA8E0126F}"/>
</file>

<file path=customXml/itemProps4.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26</Pages>
  <Words>9735</Words>
  <Characters>53543</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2</cp:revision>
  <cp:lastPrinted>2020-01-30T15:05:00Z</cp:lastPrinted>
  <dcterms:created xsi:type="dcterms:W3CDTF">2022-11-22T19:13:00Z</dcterms:created>
  <dcterms:modified xsi:type="dcterms:W3CDTF">2022-11-22T19:13:00Z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