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607E" w:rsidR="009A27CE" w:rsidP="009A27CE" w:rsidRDefault="009A27CE" w14:paraId="6984E9D3" w14:textId="77777777">
      <w:pPr>
        <w:spacing w:after="0" w:line="240" w:lineRule="auto"/>
        <w:jc w:val="both"/>
        <w:rPr>
          <w:rFonts w:ascii="Arial" w:hAnsi="Arial" w:cs="Arial"/>
          <w:b/>
          <w:szCs w:val="24"/>
          <w:lang w:val="es-ES_tradnl" w:eastAsia="es-ES_tradnl"/>
        </w:rPr>
      </w:pPr>
      <w:bookmarkStart w:name="_Hlk103947551" w:id="0"/>
      <w:r w:rsidRPr="00F3607E">
        <w:rPr>
          <w:rFonts w:ascii="Arial" w:hAnsi="Arial" w:cs="Arial"/>
          <w:b/>
          <w:szCs w:val="24"/>
          <w:lang w:val="es-ES_tradnl" w:eastAsia="es-ES_tradnl"/>
        </w:rPr>
        <w:t xml:space="preserve">PRECIOS UNITARIOS </w:t>
      </w:r>
      <w:bookmarkStart w:name="_Hlk39666823" w:id="1"/>
      <w:r w:rsidRPr="00F3607E">
        <w:rPr>
          <w:rFonts w:ascii="Arial" w:hAnsi="Arial" w:cs="Arial"/>
          <w:b/>
          <w:szCs w:val="24"/>
          <w:lang w:eastAsia="es-ES_tradnl"/>
        </w:rPr>
        <w:t>–</w:t>
      </w:r>
      <w:bookmarkEnd w:id="1"/>
      <w:r w:rsidRPr="00F3607E">
        <w:rPr>
          <w:rFonts w:ascii="Arial" w:hAnsi="Arial" w:cs="Arial"/>
          <w:b/>
          <w:szCs w:val="24"/>
          <w:lang w:val="es-ES_tradnl" w:eastAsia="es-ES_tradnl"/>
        </w:rPr>
        <w:t xml:space="preserve"> APU </w:t>
      </w:r>
      <w:r w:rsidRPr="00F3607E">
        <w:rPr>
          <w:rFonts w:ascii="Arial" w:hAnsi="Arial" w:cs="Arial"/>
          <w:b/>
          <w:szCs w:val="24"/>
          <w:lang w:eastAsia="es-ES_tradnl"/>
        </w:rPr>
        <w:t xml:space="preserve">– </w:t>
      </w:r>
      <w:r w:rsidRPr="00F3607E">
        <w:rPr>
          <w:rFonts w:ascii="Arial" w:hAnsi="Arial" w:cs="Arial"/>
          <w:b/>
          <w:szCs w:val="24"/>
          <w:lang w:val="es-ES_tradnl" w:eastAsia="es-ES_tradnl"/>
        </w:rPr>
        <w:t xml:space="preserve">AIU </w:t>
      </w:r>
      <w:r w:rsidRPr="00F3607E">
        <w:rPr>
          <w:rFonts w:ascii="Arial" w:hAnsi="Arial" w:cs="Arial"/>
          <w:b/>
          <w:szCs w:val="24"/>
          <w:lang w:eastAsia="es-ES_tradnl"/>
        </w:rPr>
        <w:t xml:space="preserve">– Diferencias </w:t>
      </w:r>
    </w:p>
    <w:p w:rsidRPr="00F3607E" w:rsidR="009A27CE" w:rsidP="009A27CE" w:rsidRDefault="009A27CE" w14:paraId="2B0B219D" w14:textId="77777777">
      <w:pPr>
        <w:spacing w:after="0" w:line="240" w:lineRule="auto"/>
        <w:jc w:val="both"/>
        <w:rPr>
          <w:rFonts w:ascii="Arial" w:hAnsi="Arial" w:cs="Arial"/>
          <w:b/>
          <w:szCs w:val="24"/>
          <w:lang w:val="es-ES_tradnl" w:eastAsia="es-ES_tradnl"/>
        </w:rPr>
      </w:pPr>
    </w:p>
    <w:p w:rsidRPr="00F3607E" w:rsidR="009A27CE" w:rsidP="009A27CE" w:rsidRDefault="009A27CE" w14:paraId="65155555" w14:textId="498698DE">
      <w:pPr>
        <w:spacing w:after="0" w:line="240" w:lineRule="auto"/>
        <w:jc w:val="both"/>
        <w:rPr>
          <w:rFonts w:ascii="Arial" w:hAnsi="Arial" w:cs="Arial"/>
          <w:bCs/>
          <w:sz w:val="20"/>
          <w:szCs w:val="20"/>
          <w:lang w:val="es-ES_tradnl" w:eastAsia="es-ES_tradnl"/>
        </w:rPr>
      </w:pPr>
      <w:r w:rsidRPr="00F3607E">
        <w:rPr>
          <w:rFonts w:ascii="Arial" w:hAnsi="Arial" w:cs="Arial"/>
          <w:bCs/>
          <w:sz w:val="20"/>
          <w:szCs w:val="20"/>
          <w:lang w:val="es-ES_tradnl" w:eastAsia="es-ES_tradnl"/>
        </w:rPr>
        <w:t>[…]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r w:rsidRPr="00F3607E" w:rsidR="0007013D">
        <w:rPr>
          <w:rFonts w:ascii="Arial" w:hAnsi="Arial" w:cs="Arial"/>
          <w:bCs/>
          <w:sz w:val="20"/>
          <w:szCs w:val="20"/>
          <w:lang w:val="es-ES_tradnl" w:eastAsia="es-ES_tradnl"/>
        </w:rPr>
        <w:t xml:space="preserve"> […]</w:t>
      </w:r>
    </w:p>
    <w:p w:rsidRPr="00F3607E" w:rsidR="009A27CE" w:rsidP="009A27CE" w:rsidRDefault="009A27CE" w14:paraId="0E2F83C2" w14:textId="77777777">
      <w:pPr>
        <w:spacing w:after="0" w:line="240" w:lineRule="auto"/>
        <w:jc w:val="both"/>
        <w:rPr>
          <w:rFonts w:ascii="Arial" w:hAnsi="Arial" w:cs="Arial"/>
          <w:bCs/>
          <w:sz w:val="20"/>
          <w:szCs w:val="20"/>
          <w:lang w:val="es-ES_tradnl" w:eastAsia="es-ES_tradnl"/>
        </w:rPr>
      </w:pPr>
    </w:p>
    <w:p w:rsidRPr="00F3607E" w:rsidR="009A27CE" w:rsidP="009A27CE" w:rsidRDefault="009A27CE" w14:paraId="7E777AC9" w14:textId="77777777">
      <w:pPr>
        <w:spacing w:after="0" w:line="240" w:lineRule="auto"/>
        <w:jc w:val="both"/>
        <w:rPr>
          <w:rFonts w:ascii="Arial" w:hAnsi="Arial" w:cs="Arial"/>
          <w:bCs/>
          <w:sz w:val="20"/>
          <w:szCs w:val="20"/>
          <w:lang w:val="es-ES_tradnl" w:eastAsia="es-ES_tradnl"/>
        </w:rPr>
      </w:pPr>
      <w:r w:rsidRPr="00F3607E">
        <w:rPr>
          <w:rFonts w:ascii="Arial" w:hAnsi="Arial" w:cs="Arial"/>
          <w:bCs/>
          <w:sz w:val="20"/>
          <w:szCs w:val="20"/>
          <w:lang w:val="es-ES_tradnl" w:eastAsia="es-ES_tradnl"/>
        </w:rPr>
        <w:t>En consecuencia, tanto las entidades sometidas al Estatuto General de Contratación de la Administración Pública, como las excluidas de este –es decir, las que cuentan con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rsidRPr="00F3607E" w:rsidR="009A27CE" w:rsidP="009A27CE" w:rsidRDefault="009A27CE" w14:paraId="48AE7A37" w14:textId="77777777">
      <w:pPr>
        <w:spacing w:after="0" w:line="240" w:lineRule="auto"/>
        <w:jc w:val="both"/>
        <w:rPr>
          <w:rFonts w:ascii="Arial" w:hAnsi="Arial" w:cs="Arial"/>
          <w:b/>
          <w:szCs w:val="24"/>
          <w:lang w:val="es-ES_tradnl" w:eastAsia="es-ES_tradnl"/>
        </w:rPr>
      </w:pPr>
    </w:p>
    <w:p w:rsidRPr="00F3607E" w:rsidR="009A27CE" w:rsidP="009A27CE" w:rsidRDefault="009A27CE" w14:paraId="689359EF" w14:textId="0AFE6BED">
      <w:pPr>
        <w:spacing w:after="0" w:line="240" w:lineRule="auto"/>
        <w:jc w:val="both"/>
        <w:rPr>
          <w:rFonts w:ascii="Arial" w:hAnsi="Arial" w:cs="Arial"/>
          <w:b/>
          <w:bCs/>
          <w:szCs w:val="24"/>
          <w:lang w:val="es-ES_tradnl" w:eastAsia="es-ES_tradnl"/>
        </w:rPr>
      </w:pPr>
      <w:r w:rsidRPr="00F3607E">
        <w:rPr>
          <w:rFonts w:ascii="Arial" w:hAnsi="Arial" w:cs="Arial"/>
          <w:b/>
          <w:bCs/>
          <w:szCs w:val="24"/>
          <w:lang w:val="es-ES_tradnl" w:eastAsia="es-ES_tradnl"/>
        </w:rPr>
        <w:t xml:space="preserve">AIU </w:t>
      </w:r>
      <w:r w:rsidRPr="00F3607E">
        <w:rPr>
          <w:rFonts w:ascii="Arial" w:hAnsi="Arial" w:cs="Arial"/>
          <w:b/>
          <w:szCs w:val="24"/>
          <w:lang w:eastAsia="es-ES_tradnl"/>
        </w:rPr>
        <w:t>–</w:t>
      </w:r>
      <w:r w:rsidRPr="00F3607E">
        <w:rPr>
          <w:rFonts w:ascii="Arial" w:hAnsi="Arial" w:cs="Arial"/>
          <w:b/>
          <w:bCs/>
          <w:szCs w:val="24"/>
          <w:lang w:val="es-ES_tradnl" w:eastAsia="es-ES_tradnl"/>
        </w:rPr>
        <w:t xml:space="preserve"> Costos indirectos </w:t>
      </w:r>
      <w:r w:rsidRPr="00F3607E">
        <w:rPr>
          <w:rFonts w:ascii="Arial" w:hAnsi="Arial" w:cs="Arial"/>
          <w:b/>
          <w:szCs w:val="24"/>
          <w:lang w:eastAsia="es-ES_tradnl"/>
        </w:rPr>
        <w:t xml:space="preserve">– Finalidad – Ejecución del contrato </w:t>
      </w:r>
    </w:p>
    <w:p w:rsidRPr="00F3607E" w:rsidR="009A27CE" w:rsidP="009A27CE" w:rsidRDefault="009A27CE" w14:paraId="77EE0A60" w14:textId="77777777">
      <w:pPr>
        <w:spacing w:after="0" w:line="240" w:lineRule="auto"/>
        <w:jc w:val="both"/>
        <w:rPr>
          <w:rFonts w:ascii="Arial" w:hAnsi="Arial" w:cs="Arial"/>
          <w:b/>
          <w:bCs/>
          <w:szCs w:val="24"/>
          <w:lang w:val="es-ES_tradnl" w:eastAsia="es-ES_tradnl"/>
        </w:rPr>
      </w:pPr>
    </w:p>
    <w:p w:rsidR="00516F56" w:rsidP="009A27CE" w:rsidRDefault="00516F56" w14:paraId="55F73957" w14:textId="77777777">
      <w:pPr>
        <w:spacing w:after="0" w:line="240" w:lineRule="auto"/>
        <w:jc w:val="both"/>
        <w:rPr>
          <w:rFonts w:ascii="Arial" w:hAnsi="Arial" w:cs="Arial"/>
          <w:bCs/>
          <w:i/>
          <w:iCs/>
          <w:sz w:val="20"/>
          <w:szCs w:val="20"/>
          <w:lang w:val="es-ES_tradnl" w:eastAsia="es-ES_tradnl"/>
        </w:rPr>
      </w:pPr>
      <w:r w:rsidRPr="00516F56">
        <w:rPr>
          <w:rFonts w:ascii="Arial" w:hAnsi="Arial" w:cs="Arial"/>
          <w:bCs/>
          <w:sz w:val="20"/>
          <w:szCs w:val="20"/>
          <w:lang w:val="es-ES_tradnl" w:eastAsia="es-ES_tradnl"/>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w:t>
      </w:r>
      <w:proofErr w:type="spellStart"/>
      <w:r w:rsidRPr="00516F56">
        <w:rPr>
          <w:rFonts w:ascii="Arial" w:hAnsi="Arial" w:cs="Arial"/>
          <w:bCs/>
          <w:sz w:val="20"/>
          <w:szCs w:val="20"/>
          <w:lang w:val="es-ES_tradnl" w:eastAsia="es-ES_tradnl"/>
        </w:rPr>
        <w:t>áleas</w:t>
      </w:r>
      <w:proofErr w:type="spellEnd"/>
      <w:r w:rsidRPr="00516F56">
        <w:rPr>
          <w:rFonts w:ascii="Arial" w:hAnsi="Arial" w:cs="Arial"/>
          <w:bCs/>
          <w:sz w:val="20"/>
          <w:szCs w:val="20"/>
          <w:lang w:val="es-ES_tradnl" w:eastAsia="es-ES_tradnl"/>
        </w:rPr>
        <w:t xml:space="preserve"> normales que se presenten en la ejecución del contrato, de manera que aunque el contratista incurra en: mayores costos de los ítems incluidos en la </w:t>
      </w:r>
      <w:r w:rsidRPr="00516F56">
        <w:rPr>
          <w:rFonts w:ascii="Arial" w:hAnsi="Arial" w:cs="Arial"/>
          <w:bCs/>
          <w:i/>
          <w:iCs/>
          <w:sz w:val="20"/>
          <w:szCs w:val="20"/>
          <w:lang w:val="es-ES_tradnl" w:eastAsia="es-ES_tradnl"/>
        </w:rPr>
        <w:t>Administración</w:t>
      </w:r>
      <w:r w:rsidRPr="00516F56">
        <w:rPr>
          <w:rFonts w:ascii="Arial" w:hAnsi="Arial" w:cs="Arial"/>
          <w:bCs/>
          <w:sz w:val="20"/>
          <w:szCs w:val="20"/>
          <w:lang w:val="es-ES_tradnl" w:eastAsia="es-ES_tradnl"/>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específico asociado a la </w:t>
      </w:r>
      <w:r w:rsidRPr="00516F56">
        <w:rPr>
          <w:rFonts w:ascii="Arial" w:hAnsi="Arial" w:cs="Arial"/>
          <w:bCs/>
          <w:i/>
          <w:iCs/>
          <w:sz w:val="20"/>
          <w:szCs w:val="20"/>
          <w:lang w:val="es-ES_tradnl" w:eastAsia="es-ES_tradnl"/>
        </w:rPr>
        <w:t>Administración</w:t>
      </w:r>
      <w:r>
        <w:rPr>
          <w:rFonts w:ascii="Arial" w:hAnsi="Arial" w:cs="Arial"/>
          <w:bCs/>
          <w:i/>
          <w:iCs/>
          <w:sz w:val="20"/>
          <w:szCs w:val="20"/>
          <w:lang w:val="es-ES_tradnl" w:eastAsia="es-ES_tradnl"/>
        </w:rPr>
        <w:t xml:space="preserve">. </w:t>
      </w:r>
    </w:p>
    <w:p w:rsidRPr="00F3607E" w:rsidR="009A27CE" w:rsidP="009A27CE" w:rsidRDefault="009A27CE" w14:paraId="2651B6CA" w14:textId="5D7F2A0E">
      <w:pPr>
        <w:spacing w:after="0" w:line="240" w:lineRule="auto"/>
        <w:jc w:val="both"/>
        <w:rPr>
          <w:rFonts w:ascii="Arial" w:hAnsi="Arial" w:cs="Arial"/>
          <w:b/>
          <w:szCs w:val="24"/>
          <w:lang w:val="es-ES" w:eastAsia="es-ES_tradnl"/>
        </w:rPr>
      </w:pPr>
    </w:p>
    <w:p w:rsidRPr="00F3607E" w:rsidR="009A27CE" w:rsidP="009A27CE" w:rsidRDefault="0007013D" w14:paraId="727D3572" w14:textId="58A5E90A">
      <w:pPr>
        <w:spacing w:after="0" w:line="240" w:lineRule="auto"/>
        <w:jc w:val="both"/>
        <w:rPr>
          <w:rFonts w:ascii="Arial" w:hAnsi="Arial" w:cs="Arial"/>
          <w:b/>
          <w:szCs w:val="24"/>
          <w:lang w:val="es-ES" w:eastAsia="es-ES_tradnl"/>
        </w:rPr>
      </w:pPr>
      <w:r w:rsidRPr="00F3607E">
        <w:rPr>
          <w:rFonts w:ascii="Arial" w:hAnsi="Arial" w:cs="Arial"/>
          <w:b/>
          <w:szCs w:val="24"/>
          <w:lang w:val="es-ES" w:eastAsia="es-ES_tradnl"/>
        </w:rPr>
        <w:t xml:space="preserve">AUI </w:t>
      </w:r>
      <w:r w:rsidRPr="00F3607E">
        <w:rPr>
          <w:rFonts w:ascii="Arial" w:hAnsi="Arial" w:cs="Arial"/>
          <w:b/>
          <w:szCs w:val="24"/>
          <w:lang w:eastAsia="es-ES_tradnl"/>
        </w:rPr>
        <w:t>– Administración – Componentes</w:t>
      </w:r>
    </w:p>
    <w:p w:rsidRPr="00F3607E" w:rsidR="00EE56BD" w:rsidP="0007013D" w:rsidRDefault="00EE56BD" w14:paraId="7EC9F4D7" w14:textId="5862D524">
      <w:pPr>
        <w:spacing w:after="0" w:line="276" w:lineRule="auto"/>
        <w:rPr>
          <w:rFonts w:ascii="Arial" w:hAnsi="Arial" w:cs="Arial"/>
          <w:b/>
          <w:szCs w:val="24"/>
          <w:lang w:val="es-ES_tradnl" w:eastAsia="es-ES_tradnl"/>
        </w:rPr>
      </w:pPr>
    </w:p>
    <w:p w:rsidRPr="00F3607E" w:rsidR="0007013D" w:rsidP="0007013D" w:rsidRDefault="0007013D" w14:paraId="6297B38C" w14:textId="41B84179">
      <w:pPr>
        <w:spacing w:after="0" w:line="240" w:lineRule="auto"/>
        <w:jc w:val="both"/>
        <w:rPr>
          <w:rFonts w:ascii="Arial" w:hAnsi="Arial" w:cs="Arial"/>
          <w:bCs/>
          <w:sz w:val="20"/>
          <w:szCs w:val="20"/>
          <w:lang w:val="es-ES_tradnl" w:eastAsia="es-ES_tradnl"/>
        </w:rPr>
      </w:pPr>
      <w:r w:rsidRPr="00F3607E">
        <w:rPr>
          <w:rFonts w:ascii="Arial" w:hAnsi="Arial" w:cs="Arial"/>
          <w:bCs/>
          <w:sz w:val="20"/>
          <w:szCs w:val="20"/>
          <w:lang w:val="es-ES_tradnl" w:eastAsia="es-ES_tradnl"/>
        </w:rPr>
        <w:t xml:space="preserve">Frente a los costos que suelen incluirse en la Administración –A–, la jurisprudencia, a partir de la práctica de las entidades estatales, ha señalado que: «Los costos indirectos incorporados en el A, corresponden como regla general a gastos de la oficina central, honorarios del director de obra, y de personal especializado. Generalmente estos costos pueden estar compartidos con los diversos </w:t>
      </w:r>
      <w:r w:rsidRPr="00F3607E">
        <w:rPr>
          <w:rFonts w:ascii="Arial" w:hAnsi="Arial" w:cs="Arial"/>
          <w:bCs/>
          <w:sz w:val="20"/>
          <w:szCs w:val="20"/>
          <w:lang w:val="es-ES_tradnl" w:eastAsia="es-ES_tradnl"/>
        </w:rPr>
        <w:lastRenderedPageBreak/>
        <w:t>contratos de obra que en forma simultánea esté ejecutando el contratista. Un ejemplo corresponde a los costos de la oficina central, y de los asesores de proyectos». […]</w:t>
      </w:r>
    </w:p>
    <w:p w:rsidRPr="00F3607E" w:rsidR="009A27CE" w:rsidP="00EE56BD" w:rsidRDefault="009A27CE" w14:paraId="0CFED8B7" w14:textId="27CCAB84">
      <w:pPr>
        <w:spacing w:after="0" w:line="276" w:lineRule="auto"/>
        <w:jc w:val="center"/>
        <w:rPr>
          <w:rFonts w:ascii="Arial" w:hAnsi="Arial" w:cs="Arial"/>
          <w:b/>
          <w:szCs w:val="24"/>
          <w:lang w:val="es-ES_tradnl" w:eastAsia="es-ES_tradnl"/>
        </w:rPr>
      </w:pPr>
    </w:p>
    <w:p w:rsidRPr="00F3607E" w:rsidR="009A27CE" w:rsidP="00EE56BD" w:rsidRDefault="009A27CE" w14:paraId="71DCA1EB" w14:textId="68DB505A">
      <w:pPr>
        <w:spacing w:after="0" w:line="276" w:lineRule="auto"/>
        <w:jc w:val="center"/>
        <w:rPr>
          <w:rFonts w:ascii="Arial" w:hAnsi="Arial" w:cs="Arial"/>
          <w:b/>
          <w:szCs w:val="24"/>
          <w:lang w:val="es-ES_tradnl" w:eastAsia="es-ES_tradnl"/>
        </w:rPr>
      </w:pPr>
    </w:p>
    <w:p w:rsidRPr="00F3607E" w:rsidR="003E6A1E" w:rsidP="00EE56BD" w:rsidRDefault="003E6A1E" w14:paraId="40A671A0" w14:textId="4C61D44D">
      <w:pPr>
        <w:spacing w:after="0" w:line="276" w:lineRule="auto"/>
        <w:jc w:val="center"/>
        <w:rPr>
          <w:rFonts w:ascii="Arial" w:hAnsi="Arial" w:cs="Arial"/>
          <w:b/>
          <w:szCs w:val="24"/>
          <w:lang w:val="es-ES_tradnl" w:eastAsia="es-ES_tradnl"/>
        </w:rPr>
      </w:pPr>
    </w:p>
    <w:p w:rsidRPr="00F3607E" w:rsidR="003E6A1E" w:rsidP="00EE56BD" w:rsidRDefault="003E6A1E" w14:paraId="601A6B42" w14:textId="7091A248">
      <w:pPr>
        <w:spacing w:after="0" w:line="276" w:lineRule="auto"/>
        <w:jc w:val="center"/>
        <w:rPr>
          <w:rFonts w:ascii="Arial" w:hAnsi="Arial" w:cs="Arial"/>
          <w:b/>
          <w:szCs w:val="24"/>
          <w:lang w:val="es-ES_tradnl" w:eastAsia="es-ES_tradnl"/>
        </w:rPr>
      </w:pPr>
    </w:p>
    <w:p w:rsidRPr="00F3607E" w:rsidR="003E6A1E" w:rsidP="00EE56BD" w:rsidRDefault="003E6A1E" w14:paraId="1E0BA629" w14:textId="3FF22C11">
      <w:pPr>
        <w:spacing w:after="0" w:line="276" w:lineRule="auto"/>
        <w:jc w:val="center"/>
        <w:rPr>
          <w:rFonts w:ascii="Arial" w:hAnsi="Arial" w:cs="Arial"/>
          <w:b/>
          <w:szCs w:val="24"/>
          <w:lang w:val="es-ES_tradnl" w:eastAsia="es-ES_tradnl"/>
        </w:rPr>
      </w:pPr>
    </w:p>
    <w:p w:rsidRPr="00F3607E" w:rsidR="003E6A1E" w:rsidP="00EE56BD" w:rsidRDefault="003E6A1E" w14:paraId="4891525B" w14:textId="0A114028">
      <w:pPr>
        <w:spacing w:after="0" w:line="276" w:lineRule="auto"/>
        <w:jc w:val="center"/>
        <w:rPr>
          <w:rFonts w:ascii="Arial" w:hAnsi="Arial" w:cs="Arial"/>
          <w:b/>
          <w:szCs w:val="24"/>
          <w:lang w:val="es-ES_tradnl" w:eastAsia="es-ES_tradnl"/>
        </w:rPr>
      </w:pPr>
    </w:p>
    <w:p w:rsidRPr="00F3607E" w:rsidR="003E6A1E" w:rsidP="00EE56BD" w:rsidRDefault="003E6A1E" w14:paraId="52D702DD" w14:textId="1D95CB4D">
      <w:pPr>
        <w:spacing w:after="0" w:line="276" w:lineRule="auto"/>
        <w:jc w:val="center"/>
        <w:rPr>
          <w:rFonts w:ascii="Arial" w:hAnsi="Arial" w:cs="Arial"/>
          <w:b/>
          <w:szCs w:val="24"/>
          <w:lang w:val="es-ES_tradnl" w:eastAsia="es-ES_tradnl"/>
        </w:rPr>
      </w:pPr>
    </w:p>
    <w:p w:rsidRPr="00F3607E" w:rsidR="003E6A1E" w:rsidP="00EE56BD" w:rsidRDefault="003E6A1E" w14:paraId="16A51BD9" w14:textId="572A0343">
      <w:pPr>
        <w:spacing w:after="0" w:line="276" w:lineRule="auto"/>
        <w:jc w:val="center"/>
        <w:rPr>
          <w:rFonts w:ascii="Arial" w:hAnsi="Arial" w:cs="Arial"/>
          <w:b/>
          <w:szCs w:val="24"/>
          <w:lang w:val="es-ES_tradnl" w:eastAsia="es-ES_tradnl"/>
        </w:rPr>
      </w:pPr>
    </w:p>
    <w:p w:rsidRPr="00F3607E" w:rsidR="003E6A1E" w:rsidP="00EE56BD" w:rsidRDefault="003E6A1E" w14:paraId="01CBFA5C" w14:textId="095046CF">
      <w:pPr>
        <w:spacing w:after="0" w:line="276" w:lineRule="auto"/>
        <w:jc w:val="center"/>
        <w:rPr>
          <w:rFonts w:ascii="Arial" w:hAnsi="Arial" w:cs="Arial"/>
          <w:b/>
          <w:szCs w:val="24"/>
          <w:lang w:val="es-ES_tradnl" w:eastAsia="es-ES_tradnl"/>
        </w:rPr>
      </w:pPr>
    </w:p>
    <w:p w:rsidRPr="00F3607E" w:rsidR="003E6A1E" w:rsidP="00EE56BD" w:rsidRDefault="003E6A1E" w14:paraId="67B92D32" w14:textId="4607B843">
      <w:pPr>
        <w:spacing w:after="0" w:line="276" w:lineRule="auto"/>
        <w:jc w:val="center"/>
        <w:rPr>
          <w:rFonts w:ascii="Arial" w:hAnsi="Arial" w:cs="Arial"/>
          <w:b/>
          <w:szCs w:val="24"/>
          <w:lang w:val="es-ES_tradnl" w:eastAsia="es-ES_tradnl"/>
        </w:rPr>
      </w:pPr>
    </w:p>
    <w:p w:rsidRPr="00F3607E" w:rsidR="003E6A1E" w:rsidP="00EE56BD" w:rsidRDefault="003E6A1E" w14:paraId="3134BC7B" w14:textId="4F2F81DD">
      <w:pPr>
        <w:spacing w:after="0" w:line="276" w:lineRule="auto"/>
        <w:jc w:val="center"/>
        <w:rPr>
          <w:rFonts w:ascii="Arial" w:hAnsi="Arial" w:cs="Arial"/>
          <w:b/>
          <w:szCs w:val="24"/>
          <w:lang w:val="es-ES_tradnl" w:eastAsia="es-ES_tradnl"/>
        </w:rPr>
      </w:pPr>
    </w:p>
    <w:p w:rsidRPr="00F3607E" w:rsidR="003E6A1E" w:rsidP="00EE56BD" w:rsidRDefault="003E6A1E" w14:paraId="6C95EA8D" w14:textId="4E54194F">
      <w:pPr>
        <w:spacing w:after="0" w:line="276" w:lineRule="auto"/>
        <w:jc w:val="center"/>
        <w:rPr>
          <w:rFonts w:ascii="Arial" w:hAnsi="Arial" w:cs="Arial"/>
          <w:b/>
          <w:szCs w:val="24"/>
          <w:lang w:val="es-ES_tradnl" w:eastAsia="es-ES_tradnl"/>
        </w:rPr>
      </w:pPr>
    </w:p>
    <w:p w:rsidRPr="00F3607E" w:rsidR="003E6A1E" w:rsidP="00EE56BD" w:rsidRDefault="003E6A1E" w14:paraId="0B5BCFBB" w14:textId="5C3CFF37">
      <w:pPr>
        <w:spacing w:after="0" w:line="276" w:lineRule="auto"/>
        <w:jc w:val="center"/>
        <w:rPr>
          <w:rFonts w:ascii="Arial" w:hAnsi="Arial" w:cs="Arial"/>
          <w:b/>
          <w:szCs w:val="24"/>
          <w:lang w:val="es-ES_tradnl" w:eastAsia="es-ES_tradnl"/>
        </w:rPr>
      </w:pPr>
    </w:p>
    <w:p w:rsidRPr="00F3607E" w:rsidR="003E6A1E" w:rsidP="00EE56BD" w:rsidRDefault="003E6A1E" w14:paraId="2B17C95B" w14:textId="4A9482DF">
      <w:pPr>
        <w:spacing w:after="0" w:line="276" w:lineRule="auto"/>
        <w:jc w:val="center"/>
        <w:rPr>
          <w:rFonts w:ascii="Arial" w:hAnsi="Arial" w:cs="Arial"/>
          <w:b/>
          <w:szCs w:val="24"/>
          <w:lang w:val="es-ES_tradnl" w:eastAsia="es-ES_tradnl"/>
        </w:rPr>
      </w:pPr>
    </w:p>
    <w:p w:rsidRPr="00F3607E" w:rsidR="003E6A1E" w:rsidP="00EE56BD" w:rsidRDefault="003E6A1E" w14:paraId="3E6D848C" w14:textId="0A82B90B">
      <w:pPr>
        <w:spacing w:after="0" w:line="276" w:lineRule="auto"/>
        <w:jc w:val="center"/>
        <w:rPr>
          <w:rFonts w:ascii="Arial" w:hAnsi="Arial" w:cs="Arial"/>
          <w:b/>
          <w:szCs w:val="24"/>
          <w:lang w:val="es-ES_tradnl" w:eastAsia="es-ES_tradnl"/>
        </w:rPr>
      </w:pPr>
    </w:p>
    <w:p w:rsidRPr="00F3607E" w:rsidR="003E6A1E" w:rsidP="00EE56BD" w:rsidRDefault="003E6A1E" w14:paraId="540187BA" w14:textId="59C0D544">
      <w:pPr>
        <w:spacing w:after="0" w:line="276" w:lineRule="auto"/>
        <w:jc w:val="center"/>
        <w:rPr>
          <w:rFonts w:ascii="Arial" w:hAnsi="Arial" w:cs="Arial"/>
          <w:b/>
          <w:szCs w:val="24"/>
          <w:lang w:val="es-ES_tradnl" w:eastAsia="es-ES_tradnl"/>
        </w:rPr>
      </w:pPr>
    </w:p>
    <w:p w:rsidRPr="00F3607E" w:rsidR="003E6A1E" w:rsidP="00EE56BD" w:rsidRDefault="003E6A1E" w14:paraId="55C284B8" w14:textId="226A59B7">
      <w:pPr>
        <w:spacing w:after="0" w:line="276" w:lineRule="auto"/>
        <w:jc w:val="center"/>
        <w:rPr>
          <w:rFonts w:ascii="Arial" w:hAnsi="Arial" w:cs="Arial"/>
          <w:b/>
          <w:szCs w:val="24"/>
          <w:lang w:val="es-ES_tradnl" w:eastAsia="es-ES_tradnl"/>
        </w:rPr>
      </w:pPr>
    </w:p>
    <w:p w:rsidRPr="00F3607E" w:rsidR="003E6A1E" w:rsidP="00EE56BD" w:rsidRDefault="003E6A1E" w14:paraId="65009745" w14:textId="62B83171">
      <w:pPr>
        <w:spacing w:after="0" w:line="276" w:lineRule="auto"/>
        <w:jc w:val="center"/>
        <w:rPr>
          <w:rFonts w:ascii="Arial" w:hAnsi="Arial" w:cs="Arial"/>
          <w:b/>
          <w:szCs w:val="24"/>
          <w:lang w:val="es-ES_tradnl" w:eastAsia="es-ES_tradnl"/>
        </w:rPr>
      </w:pPr>
    </w:p>
    <w:p w:rsidRPr="00F3607E" w:rsidR="003E6A1E" w:rsidP="00EE56BD" w:rsidRDefault="003E6A1E" w14:paraId="4F4DB429" w14:textId="73056940">
      <w:pPr>
        <w:spacing w:after="0" w:line="276" w:lineRule="auto"/>
        <w:jc w:val="center"/>
        <w:rPr>
          <w:rFonts w:ascii="Arial" w:hAnsi="Arial" w:cs="Arial"/>
          <w:b/>
          <w:szCs w:val="24"/>
          <w:lang w:val="es-ES_tradnl" w:eastAsia="es-ES_tradnl"/>
        </w:rPr>
      </w:pPr>
    </w:p>
    <w:p w:rsidRPr="00F3607E" w:rsidR="003E6A1E" w:rsidP="00EE56BD" w:rsidRDefault="003E6A1E" w14:paraId="31A3ACB8" w14:textId="6F25DB0B">
      <w:pPr>
        <w:spacing w:after="0" w:line="276" w:lineRule="auto"/>
        <w:jc w:val="center"/>
        <w:rPr>
          <w:rFonts w:ascii="Arial" w:hAnsi="Arial" w:cs="Arial"/>
          <w:b/>
          <w:szCs w:val="24"/>
          <w:lang w:val="es-ES_tradnl" w:eastAsia="es-ES_tradnl"/>
        </w:rPr>
      </w:pPr>
    </w:p>
    <w:p w:rsidRPr="00F3607E" w:rsidR="003E6A1E" w:rsidP="00EE56BD" w:rsidRDefault="003E6A1E" w14:paraId="1A512AC9" w14:textId="36E3292D">
      <w:pPr>
        <w:spacing w:after="0" w:line="276" w:lineRule="auto"/>
        <w:jc w:val="center"/>
        <w:rPr>
          <w:rFonts w:ascii="Arial" w:hAnsi="Arial" w:cs="Arial"/>
          <w:b/>
          <w:szCs w:val="24"/>
          <w:lang w:val="es-ES_tradnl" w:eastAsia="es-ES_tradnl"/>
        </w:rPr>
      </w:pPr>
    </w:p>
    <w:p w:rsidRPr="00F3607E" w:rsidR="003E6A1E" w:rsidP="00EE56BD" w:rsidRDefault="003E6A1E" w14:paraId="43AF7A1D" w14:textId="3DEC916A">
      <w:pPr>
        <w:spacing w:after="0" w:line="276" w:lineRule="auto"/>
        <w:jc w:val="center"/>
        <w:rPr>
          <w:rFonts w:ascii="Arial" w:hAnsi="Arial" w:cs="Arial"/>
          <w:b/>
          <w:szCs w:val="24"/>
          <w:lang w:val="es-ES_tradnl" w:eastAsia="es-ES_tradnl"/>
        </w:rPr>
      </w:pPr>
    </w:p>
    <w:p w:rsidRPr="00F3607E" w:rsidR="003E6A1E" w:rsidP="00EE56BD" w:rsidRDefault="003E6A1E" w14:paraId="3793520C" w14:textId="29BF553A">
      <w:pPr>
        <w:spacing w:after="0" w:line="276" w:lineRule="auto"/>
        <w:jc w:val="center"/>
        <w:rPr>
          <w:rFonts w:ascii="Arial" w:hAnsi="Arial" w:cs="Arial"/>
          <w:b/>
          <w:szCs w:val="24"/>
          <w:lang w:val="es-ES_tradnl" w:eastAsia="es-ES_tradnl"/>
        </w:rPr>
      </w:pPr>
    </w:p>
    <w:p w:rsidRPr="00F3607E" w:rsidR="003E6A1E" w:rsidP="00EE56BD" w:rsidRDefault="003E6A1E" w14:paraId="2C3554C2" w14:textId="15016348">
      <w:pPr>
        <w:spacing w:after="0" w:line="276" w:lineRule="auto"/>
        <w:jc w:val="center"/>
        <w:rPr>
          <w:rFonts w:ascii="Arial" w:hAnsi="Arial" w:cs="Arial"/>
          <w:b/>
          <w:szCs w:val="24"/>
          <w:lang w:val="es-ES_tradnl" w:eastAsia="es-ES_tradnl"/>
        </w:rPr>
      </w:pPr>
    </w:p>
    <w:p w:rsidRPr="00F3607E" w:rsidR="003E6A1E" w:rsidP="00EE56BD" w:rsidRDefault="003E6A1E" w14:paraId="714A7B99" w14:textId="5174907F">
      <w:pPr>
        <w:spacing w:after="0" w:line="276" w:lineRule="auto"/>
        <w:jc w:val="center"/>
        <w:rPr>
          <w:rFonts w:ascii="Arial" w:hAnsi="Arial" w:cs="Arial"/>
          <w:b/>
          <w:szCs w:val="24"/>
          <w:lang w:val="es-ES_tradnl" w:eastAsia="es-ES_tradnl"/>
        </w:rPr>
      </w:pPr>
    </w:p>
    <w:p w:rsidRPr="00F3607E" w:rsidR="003E6A1E" w:rsidP="00EE56BD" w:rsidRDefault="003E6A1E" w14:paraId="7FD831F9" w14:textId="2402157F">
      <w:pPr>
        <w:spacing w:after="0" w:line="276" w:lineRule="auto"/>
        <w:jc w:val="center"/>
        <w:rPr>
          <w:rFonts w:ascii="Arial" w:hAnsi="Arial" w:cs="Arial"/>
          <w:b/>
          <w:szCs w:val="24"/>
          <w:lang w:val="es-ES_tradnl" w:eastAsia="es-ES_tradnl"/>
        </w:rPr>
      </w:pPr>
    </w:p>
    <w:p w:rsidRPr="00F3607E" w:rsidR="003E6A1E" w:rsidP="00EE56BD" w:rsidRDefault="003E6A1E" w14:paraId="7EFF5C4F" w14:textId="2585453A">
      <w:pPr>
        <w:spacing w:after="0" w:line="276" w:lineRule="auto"/>
        <w:jc w:val="center"/>
        <w:rPr>
          <w:rFonts w:ascii="Arial" w:hAnsi="Arial" w:cs="Arial"/>
          <w:b/>
          <w:szCs w:val="24"/>
          <w:lang w:val="es-ES_tradnl" w:eastAsia="es-ES_tradnl"/>
        </w:rPr>
      </w:pPr>
    </w:p>
    <w:p w:rsidRPr="00F3607E" w:rsidR="003E6A1E" w:rsidP="00EE56BD" w:rsidRDefault="003E6A1E" w14:paraId="04BD85BC" w14:textId="75C03198">
      <w:pPr>
        <w:spacing w:after="0" w:line="276" w:lineRule="auto"/>
        <w:jc w:val="center"/>
        <w:rPr>
          <w:rFonts w:ascii="Arial" w:hAnsi="Arial" w:cs="Arial"/>
          <w:b/>
          <w:szCs w:val="24"/>
          <w:lang w:val="es-ES_tradnl" w:eastAsia="es-ES_tradnl"/>
        </w:rPr>
      </w:pPr>
    </w:p>
    <w:p w:rsidRPr="00F3607E" w:rsidR="003E6A1E" w:rsidP="00EE56BD" w:rsidRDefault="003E6A1E" w14:paraId="693B8C2D" w14:textId="2C7D9335">
      <w:pPr>
        <w:spacing w:after="0" w:line="276" w:lineRule="auto"/>
        <w:jc w:val="center"/>
        <w:rPr>
          <w:rFonts w:ascii="Arial" w:hAnsi="Arial" w:cs="Arial"/>
          <w:b/>
          <w:szCs w:val="24"/>
          <w:lang w:val="es-ES_tradnl" w:eastAsia="es-ES_tradnl"/>
        </w:rPr>
      </w:pPr>
    </w:p>
    <w:p w:rsidRPr="00F3607E" w:rsidR="003E6A1E" w:rsidP="00EE56BD" w:rsidRDefault="003E6A1E" w14:paraId="68853191" w14:textId="58CB754B">
      <w:pPr>
        <w:spacing w:after="0" w:line="276" w:lineRule="auto"/>
        <w:jc w:val="center"/>
        <w:rPr>
          <w:rFonts w:ascii="Arial" w:hAnsi="Arial" w:cs="Arial"/>
          <w:b/>
          <w:szCs w:val="24"/>
          <w:lang w:val="es-ES_tradnl" w:eastAsia="es-ES_tradnl"/>
        </w:rPr>
      </w:pPr>
    </w:p>
    <w:p w:rsidRPr="00F3607E" w:rsidR="003E6A1E" w:rsidP="00EE56BD" w:rsidRDefault="003E6A1E" w14:paraId="105FB47C" w14:textId="429BC4A6">
      <w:pPr>
        <w:spacing w:after="0" w:line="276" w:lineRule="auto"/>
        <w:jc w:val="center"/>
        <w:rPr>
          <w:rFonts w:ascii="Arial" w:hAnsi="Arial" w:cs="Arial"/>
          <w:b/>
          <w:szCs w:val="24"/>
          <w:lang w:val="es-ES_tradnl" w:eastAsia="es-ES_tradnl"/>
        </w:rPr>
      </w:pPr>
    </w:p>
    <w:p w:rsidR="003E6A1E" w:rsidP="00EE56BD" w:rsidRDefault="003E6A1E" w14:paraId="6CD3F8B5" w14:textId="1AF920E2">
      <w:pPr>
        <w:spacing w:after="0" w:line="276" w:lineRule="auto"/>
        <w:jc w:val="center"/>
        <w:rPr>
          <w:rFonts w:ascii="Arial" w:hAnsi="Arial" w:cs="Arial"/>
          <w:b/>
          <w:szCs w:val="24"/>
          <w:lang w:val="es-ES_tradnl" w:eastAsia="es-ES_tradnl"/>
        </w:rPr>
      </w:pPr>
    </w:p>
    <w:p w:rsidR="005708CB" w:rsidP="00EE56BD" w:rsidRDefault="005708CB" w14:paraId="37D70459" w14:textId="77777777">
      <w:pPr>
        <w:spacing w:after="0" w:line="276" w:lineRule="auto"/>
        <w:jc w:val="center"/>
        <w:rPr>
          <w:rFonts w:ascii="Arial" w:hAnsi="Arial" w:cs="Arial"/>
          <w:b/>
          <w:szCs w:val="24"/>
          <w:lang w:val="es-ES_tradnl" w:eastAsia="es-ES_tradnl"/>
        </w:rPr>
      </w:pPr>
    </w:p>
    <w:p w:rsidRPr="00F3607E" w:rsidR="005708CB" w:rsidP="00EE56BD" w:rsidRDefault="005708CB" w14:paraId="393FFEA5" w14:textId="77777777">
      <w:pPr>
        <w:spacing w:after="0" w:line="276" w:lineRule="auto"/>
        <w:jc w:val="center"/>
        <w:rPr>
          <w:rFonts w:ascii="Arial" w:hAnsi="Arial" w:cs="Arial"/>
          <w:b/>
          <w:szCs w:val="24"/>
          <w:lang w:val="es-ES_tradnl" w:eastAsia="es-ES_tradnl"/>
        </w:rPr>
      </w:pPr>
    </w:p>
    <w:p w:rsidRPr="00F3607E" w:rsidR="003E6A1E" w:rsidP="00EE56BD" w:rsidRDefault="003E6A1E" w14:paraId="626F2B95" w14:textId="5DE7D6C8">
      <w:pPr>
        <w:spacing w:after="0" w:line="276" w:lineRule="auto"/>
        <w:jc w:val="center"/>
        <w:rPr>
          <w:rFonts w:ascii="Arial" w:hAnsi="Arial" w:cs="Arial"/>
          <w:b/>
          <w:szCs w:val="24"/>
          <w:lang w:val="es-ES_tradnl" w:eastAsia="es-ES_tradnl"/>
        </w:rPr>
      </w:pPr>
    </w:p>
    <w:p w:rsidRPr="00F3607E" w:rsidR="003E6A1E" w:rsidP="00EE56BD" w:rsidRDefault="003E6A1E" w14:paraId="2227A6D3" w14:textId="77777777">
      <w:pPr>
        <w:spacing w:after="0" w:line="276" w:lineRule="auto"/>
        <w:jc w:val="center"/>
        <w:rPr>
          <w:rFonts w:ascii="Arial" w:hAnsi="Arial" w:cs="Arial"/>
          <w:b/>
          <w:szCs w:val="24"/>
          <w:lang w:val="es-ES_tradnl" w:eastAsia="es-ES_tradnl"/>
        </w:rPr>
      </w:pPr>
    </w:p>
    <w:p w:rsidRPr="00F3607E" w:rsidR="006A3704" w:rsidP="00B7240D" w:rsidRDefault="006A3704" w14:paraId="15083641" w14:textId="77777777">
      <w:pPr>
        <w:spacing w:after="0" w:line="276" w:lineRule="auto"/>
        <w:jc w:val="both"/>
        <w:rPr>
          <w:rFonts w:ascii="Arial" w:hAnsi="Arial" w:cs="Arial"/>
          <w:b/>
          <w:color w:val="000000" w:themeColor="text1"/>
          <w:lang w:val="pt-BR"/>
        </w:rPr>
      </w:pPr>
    </w:p>
    <w:p w:rsidR="00937358" w:rsidP="00937358" w:rsidRDefault="00937358" w14:paraId="3216610F" w14:textId="4C22C804">
      <w:pPr>
        <w:spacing w:after="0" w:line="276" w:lineRule="auto"/>
        <w:jc w:val="right"/>
        <w:rPr>
          <w:rFonts w:ascii="Arial" w:hAnsi="Arial" w:cs="Arial"/>
          <w:color w:val="000000" w:themeColor="text1"/>
        </w:rPr>
      </w:pPr>
      <w:bookmarkStart w:name="_Hlk100051121" w:id="2"/>
      <w:r w:rsidRPr="00937358">
        <w:rPr>
          <w:rFonts w:ascii="Arial" w:hAnsi="Arial" w:cs="Arial"/>
          <w:noProof/>
          <w:color w:val="000000" w:themeColor="text1"/>
        </w:rPr>
        <w:lastRenderedPageBreak/>
        <w:drawing>
          <wp:inline distT="0" distB="0" distL="0" distR="0" wp14:anchorId="612B1D2D" wp14:editId="3AA81470">
            <wp:extent cx="26574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809625"/>
                    </a:xfrm>
                    <a:prstGeom prst="rect">
                      <a:avLst/>
                    </a:prstGeom>
                    <a:noFill/>
                    <a:ln>
                      <a:noFill/>
                    </a:ln>
                  </pic:spPr>
                </pic:pic>
              </a:graphicData>
            </a:graphic>
          </wp:inline>
        </w:drawing>
      </w:r>
    </w:p>
    <w:p w:rsidR="00937358" w:rsidP="00B7240D" w:rsidRDefault="00937358" w14:paraId="64A74FFE" w14:textId="0E5A469C">
      <w:pPr>
        <w:spacing w:after="0" w:line="276" w:lineRule="auto"/>
        <w:jc w:val="both"/>
        <w:rPr>
          <w:rFonts w:ascii="Arial" w:hAnsi="Arial" w:cs="Arial"/>
          <w:color w:val="000000" w:themeColor="text1"/>
        </w:rPr>
      </w:pPr>
    </w:p>
    <w:p w:rsidR="00937358" w:rsidP="00B7240D" w:rsidRDefault="00937358" w14:paraId="38537B54" w14:textId="3879AFA3">
      <w:pPr>
        <w:spacing w:after="0" w:line="276" w:lineRule="auto"/>
        <w:jc w:val="both"/>
        <w:rPr>
          <w:rFonts w:ascii="Arial" w:hAnsi="Arial" w:cs="Arial"/>
          <w:color w:val="000000" w:themeColor="text1"/>
        </w:rPr>
      </w:pPr>
      <w:r>
        <w:rPr>
          <w:rFonts w:ascii="Arial" w:hAnsi="Arial" w:cs="Arial"/>
          <w:color w:val="000000" w:themeColor="text1"/>
        </w:rPr>
        <w:t>Bogotá D.C., 23 de noviembre de 2022</w:t>
      </w:r>
    </w:p>
    <w:p w:rsidR="00937358" w:rsidP="00B7240D" w:rsidRDefault="00937358" w14:paraId="5F840482" w14:textId="77777777">
      <w:pPr>
        <w:spacing w:after="0" w:line="276" w:lineRule="auto"/>
        <w:jc w:val="both"/>
        <w:rPr>
          <w:rFonts w:ascii="Arial" w:hAnsi="Arial" w:cs="Arial"/>
          <w:color w:val="000000" w:themeColor="text1"/>
        </w:rPr>
      </w:pPr>
    </w:p>
    <w:p w:rsidRPr="00F3607E" w:rsidR="00B95C30" w:rsidP="00B7240D" w:rsidRDefault="00B95C30" w14:paraId="5F5AE9EF" w14:textId="1F9650D2">
      <w:pPr>
        <w:spacing w:after="0" w:line="276" w:lineRule="auto"/>
        <w:jc w:val="both"/>
        <w:rPr>
          <w:rFonts w:ascii="Arial" w:hAnsi="Arial" w:cs="Arial"/>
          <w:color w:val="000000" w:themeColor="text1"/>
        </w:rPr>
      </w:pPr>
      <w:r w:rsidRPr="00F3607E">
        <w:rPr>
          <w:rFonts w:ascii="Arial" w:hAnsi="Arial" w:cs="Arial"/>
          <w:color w:val="000000" w:themeColor="text1"/>
        </w:rPr>
        <w:t>Señor</w:t>
      </w:r>
    </w:p>
    <w:p w:rsidRPr="00F3607E" w:rsidR="005F5F37" w:rsidP="00B7240D" w:rsidRDefault="006F2702" w14:paraId="798A20AC" w14:textId="1750D259">
      <w:pPr>
        <w:tabs>
          <w:tab w:val="center" w:pos="4394"/>
        </w:tabs>
        <w:spacing w:after="0" w:line="276" w:lineRule="auto"/>
        <w:jc w:val="both"/>
        <w:rPr>
          <w:rFonts w:ascii="Arial" w:hAnsi="Arial" w:cs="Arial"/>
          <w:b/>
          <w:color w:val="000000" w:themeColor="text1"/>
        </w:rPr>
      </w:pPr>
      <w:r w:rsidRPr="00F3607E">
        <w:rPr>
          <w:rFonts w:ascii="Arial" w:hAnsi="Arial" w:cs="Arial"/>
          <w:b/>
          <w:color w:val="000000" w:themeColor="text1"/>
        </w:rPr>
        <w:t xml:space="preserve">Manuel Linares </w:t>
      </w:r>
      <w:r w:rsidRPr="00F3607E" w:rsidR="00F650A2">
        <w:rPr>
          <w:rFonts w:ascii="Arial" w:hAnsi="Arial" w:cs="Arial"/>
          <w:b/>
          <w:color w:val="000000" w:themeColor="text1"/>
        </w:rPr>
        <w:tab/>
      </w:r>
    </w:p>
    <w:p w:rsidRPr="00F3607E" w:rsidR="008120C4" w:rsidP="00B7240D" w:rsidRDefault="006F2702" w14:paraId="4A1C8FFE" w14:textId="033E91EC">
      <w:pPr>
        <w:spacing w:after="0" w:line="276" w:lineRule="auto"/>
        <w:rPr>
          <w:rFonts w:ascii="Arial" w:hAnsi="Arial" w:cs="Arial"/>
          <w:b/>
          <w:bCs/>
          <w:color w:val="000000" w:themeColor="text1"/>
        </w:rPr>
      </w:pPr>
      <w:r w:rsidRPr="00F3607E">
        <w:rPr>
          <w:rFonts w:ascii="Arial" w:hAnsi="Arial" w:cs="Arial"/>
          <w:bCs/>
          <w:color w:val="000000" w:themeColor="text1"/>
        </w:rPr>
        <w:t xml:space="preserve">Cota, Cundinamarca </w:t>
      </w:r>
    </w:p>
    <w:p w:rsidRPr="00F3607E" w:rsidR="000277A2" w:rsidP="00B7240D" w:rsidRDefault="000277A2" w14:paraId="122205C3" w14:textId="77777777">
      <w:pPr>
        <w:spacing w:after="0" w:line="276" w:lineRule="auto"/>
        <w:rPr>
          <w:rFonts w:ascii="Arial" w:hAnsi="Arial" w:cs="Arial"/>
          <w:b/>
          <w:bCs/>
          <w:color w:val="000000" w:themeColor="text1"/>
        </w:rPr>
      </w:pPr>
    </w:p>
    <w:p w:rsidRPr="00F3607E" w:rsidR="00B95C30" w:rsidP="00B7240D" w:rsidRDefault="005B1504" w14:paraId="1BD594F9" w14:textId="74AA2074">
      <w:pPr>
        <w:spacing w:after="0" w:line="276" w:lineRule="auto"/>
        <w:rPr>
          <w:rFonts w:ascii="Arial" w:hAnsi="Arial" w:cs="Arial"/>
          <w:b/>
          <w:bCs/>
          <w:color w:val="000000" w:themeColor="text1"/>
          <w:lang w:val="pt-BR"/>
        </w:rPr>
      </w:pPr>
      <w:r w:rsidRPr="00F3607E">
        <w:rPr>
          <w:rFonts w:ascii="Arial" w:hAnsi="Arial" w:cs="Arial"/>
          <w:b/>
          <w:bCs/>
          <w:color w:val="000000" w:themeColor="text1"/>
        </w:rPr>
        <w:t xml:space="preserve">                     </w:t>
      </w:r>
      <w:r w:rsidRPr="00F3607E" w:rsidR="00923FA6">
        <w:rPr>
          <w:rFonts w:ascii="Arial" w:hAnsi="Arial" w:cs="Arial"/>
          <w:b/>
          <w:bCs/>
          <w:color w:val="000000" w:themeColor="text1"/>
        </w:rPr>
        <w:t xml:space="preserve">                      </w:t>
      </w:r>
      <w:r w:rsidRPr="00F3607E">
        <w:rPr>
          <w:rFonts w:ascii="Arial" w:hAnsi="Arial" w:cs="Arial"/>
          <w:b/>
          <w:bCs/>
          <w:color w:val="000000" w:themeColor="text1"/>
        </w:rPr>
        <w:t xml:space="preserve"> </w:t>
      </w:r>
      <w:r w:rsidRPr="00F3607E" w:rsidR="00023FA5">
        <w:rPr>
          <w:rFonts w:ascii="Arial" w:hAnsi="Arial" w:cs="Arial"/>
          <w:b/>
          <w:bCs/>
          <w:color w:val="000000" w:themeColor="text1"/>
          <w:lang w:val="pt-BR"/>
        </w:rPr>
        <w:t xml:space="preserve">Concepto C ‒ </w:t>
      </w:r>
      <w:r w:rsidRPr="00F3607E" w:rsidR="006F2702">
        <w:rPr>
          <w:rFonts w:ascii="Arial" w:hAnsi="Arial" w:cs="Arial"/>
          <w:b/>
          <w:bCs/>
          <w:color w:val="000000" w:themeColor="text1"/>
          <w:lang w:val="pt-BR"/>
        </w:rPr>
        <w:t>802</w:t>
      </w:r>
      <w:r w:rsidRPr="00F3607E" w:rsidR="000277A2">
        <w:rPr>
          <w:rFonts w:ascii="Arial" w:hAnsi="Arial" w:cs="Arial"/>
          <w:b/>
          <w:bCs/>
          <w:color w:val="000000" w:themeColor="text1"/>
          <w:lang w:val="pt-BR"/>
        </w:rPr>
        <w:t xml:space="preserve"> </w:t>
      </w:r>
      <w:r w:rsidRPr="00F3607E" w:rsidR="00275FBF">
        <w:rPr>
          <w:rFonts w:ascii="Arial" w:hAnsi="Arial" w:cs="Arial"/>
          <w:b/>
          <w:bCs/>
          <w:color w:val="000000" w:themeColor="text1"/>
          <w:lang w:val="pt-BR"/>
        </w:rPr>
        <w:t>de 202</w:t>
      </w:r>
      <w:r w:rsidRPr="00F3607E" w:rsidR="00BF4EC5">
        <w:rPr>
          <w:rFonts w:ascii="Arial" w:hAnsi="Arial" w:cs="Arial"/>
          <w:b/>
          <w:bCs/>
          <w:color w:val="000000" w:themeColor="text1"/>
          <w:lang w:val="pt-BR"/>
        </w:rPr>
        <w:t>2</w:t>
      </w:r>
    </w:p>
    <w:p w:rsidRPr="00F3607E" w:rsidR="005F5F37" w:rsidP="006A3704" w:rsidRDefault="005F5F37" w14:paraId="7063750E" w14:textId="77777777">
      <w:pPr>
        <w:spacing w:after="0" w:line="240" w:lineRule="auto"/>
        <w:rPr>
          <w:rFonts w:ascii="Arial" w:hAnsi="Arial" w:cs="Arial"/>
          <w:b/>
          <w:bCs/>
          <w:color w:val="000000" w:themeColor="text1"/>
          <w:lang w:val="pt-BR"/>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708CB" w:rsidR="00B95C30" w:rsidTr="00C06955" w14:paraId="19DFC051" w14:textId="77777777">
        <w:trPr>
          <w:trHeight w:val="884"/>
        </w:trPr>
        <w:tc>
          <w:tcPr>
            <w:tcW w:w="2689" w:type="dxa"/>
          </w:tcPr>
          <w:p w:rsidRPr="00F3607E" w:rsidR="00B95C30" w:rsidP="006A3704" w:rsidRDefault="00B95C30" w14:paraId="6BC0D1AC" w14:textId="569BAEB9">
            <w:pPr>
              <w:spacing w:after="0" w:line="240" w:lineRule="auto"/>
              <w:jc w:val="both"/>
              <w:rPr>
                <w:rFonts w:ascii="Arial" w:hAnsi="Arial" w:cs="Arial"/>
                <w:b/>
                <w:color w:val="000000" w:themeColor="text1"/>
                <w:szCs w:val="24"/>
                <w:lang w:val="es-ES_tradnl" w:eastAsia="es-ES_tradnl"/>
              </w:rPr>
            </w:pPr>
            <w:r w:rsidRPr="00F3607E">
              <w:rPr>
                <w:rFonts w:ascii="Arial" w:hAnsi="Arial" w:cs="Arial"/>
                <w:b/>
                <w:color w:val="000000" w:themeColor="text1"/>
                <w:szCs w:val="24"/>
                <w:lang w:val="es-ES_tradnl" w:eastAsia="es-ES_tradnl"/>
              </w:rPr>
              <w:t>Temas:</w:t>
            </w:r>
            <w:r w:rsidRPr="00F3607E" w:rsidR="005B1504">
              <w:rPr>
                <w:rFonts w:ascii="Arial" w:hAnsi="Arial" w:cs="Arial"/>
                <w:b/>
                <w:color w:val="000000" w:themeColor="text1"/>
                <w:szCs w:val="24"/>
                <w:lang w:val="es-ES_tradnl" w:eastAsia="es-ES_tradnl"/>
              </w:rPr>
              <w:t xml:space="preserve">                   </w:t>
            </w:r>
          </w:p>
        </w:tc>
        <w:tc>
          <w:tcPr>
            <w:tcW w:w="6237" w:type="dxa"/>
          </w:tcPr>
          <w:p w:rsidRPr="00F3607E" w:rsidR="007941D5" w:rsidP="007941D5" w:rsidRDefault="009A27CE" w14:paraId="465E364C" w14:textId="7CA353E1">
            <w:pPr>
              <w:spacing w:after="0" w:line="240" w:lineRule="auto"/>
              <w:jc w:val="both"/>
              <w:rPr>
                <w:rFonts w:ascii="Arial" w:hAnsi="Arial" w:cs="Arial"/>
                <w:b/>
                <w:color w:val="000000" w:themeColor="text1"/>
                <w:lang w:val="es-ES"/>
              </w:rPr>
            </w:pPr>
            <w:r w:rsidRPr="00F3607E">
              <w:rPr>
                <w:rFonts w:ascii="Arial" w:hAnsi="Arial" w:cs="Arial"/>
                <w:color w:val="000000" w:themeColor="text1"/>
                <w:lang w:val="es-ES_tradnl"/>
              </w:rPr>
              <w:t>PRECIOS UNITARIOS – APU – AIU – Diferencias – Configuración / AIU – Costos indirectos – Finalidad – Ejecución del contrato</w:t>
            </w:r>
            <w:r w:rsidRPr="00F3607E" w:rsidR="007941D5">
              <w:rPr>
                <w:rFonts w:ascii="Arial" w:hAnsi="Arial" w:cs="Arial"/>
                <w:color w:val="000000" w:themeColor="text1"/>
                <w:lang w:val="es-ES_tradnl"/>
              </w:rPr>
              <w:t xml:space="preserve"> /</w:t>
            </w:r>
            <w:r w:rsidRPr="00F3607E" w:rsidR="007941D5">
              <w:rPr>
                <w:rFonts w:ascii="Arial" w:hAnsi="Arial" w:cs="Arial"/>
                <w:b/>
                <w:szCs w:val="24"/>
                <w:lang w:val="es-ES" w:eastAsia="es-ES_tradnl"/>
              </w:rPr>
              <w:t xml:space="preserve"> </w:t>
            </w:r>
            <w:r w:rsidRPr="00F3607E" w:rsidR="007941D5">
              <w:rPr>
                <w:rFonts w:ascii="Arial" w:hAnsi="Arial" w:cs="Arial"/>
                <w:bCs/>
                <w:color w:val="000000" w:themeColor="text1"/>
                <w:lang w:val="es-ES"/>
              </w:rPr>
              <w:t xml:space="preserve">AUI </w:t>
            </w:r>
            <w:r w:rsidRPr="00F3607E" w:rsidR="007941D5">
              <w:rPr>
                <w:rFonts w:ascii="Arial" w:hAnsi="Arial" w:cs="Arial"/>
                <w:bCs/>
                <w:color w:val="000000" w:themeColor="text1"/>
              </w:rPr>
              <w:t>– Administración – Componentes</w:t>
            </w:r>
          </w:p>
          <w:p w:rsidRPr="00F3607E" w:rsidR="004F0538" w:rsidP="009A27CE" w:rsidRDefault="004F0538" w14:paraId="5F389CAF" w14:textId="2755ED95">
            <w:pPr>
              <w:spacing w:after="0" w:line="240" w:lineRule="auto"/>
              <w:jc w:val="both"/>
              <w:rPr>
                <w:rFonts w:ascii="Arial" w:hAnsi="Arial" w:cs="Arial"/>
                <w:color w:val="000000" w:themeColor="text1"/>
                <w:lang w:val="es-ES_tradnl"/>
              </w:rPr>
            </w:pPr>
          </w:p>
        </w:tc>
      </w:tr>
      <w:tr w:rsidRPr="005708CB" w:rsidR="00B95C30" w:rsidTr="00D15356" w14:paraId="27CD52AB" w14:textId="77777777">
        <w:tc>
          <w:tcPr>
            <w:tcW w:w="2689" w:type="dxa"/>
          </w:tcPr>
          <w:p w:rsidRPr="00F3607E" w:rsidR="00B95C30" w:rsidP="006A3704" w:rsidRDefault="00B95C30" w14:paraId="37E195A1" w14:textId="017D9507">
            <w:pPr>
              <w:spacing w:after="0" w:line="240" w:lineRule="auto"/>
              <w:jc w:val="both"/>
              <w:rPr>
                <w:rFonts w:ascii="Arial" w:hAnsi="Arial" w:cs="Arial"/>
                <w:b/>
                <w:color w:val="000000" w:themeColor="text1"/>
                <w:szCs w:val="24"/>
                <w:lang w:val="es-ES_tradnl" w:eastAsia="es-ES_tradnl"/>
              </w:rPr>
            </w:pPr>
            <w:r w:rsidRPr="00F3607E">
              <w:rPr>
                <w:rFonts w:ascii="Arial" w:hAnsi="Arial" w:cs="Arial"/>
                <w:b/>
                <w:color w:val="000000" w:themeColor="text1"/>
                <w:szCs w:val="24"/>
                <w:lang w:val="es-ES_tradnl" w:eastAsia="es-ES_tradnl"/>
              </w:rPr>
              <w:t>Radicación:</w:t>
            </w:r>
            <w:r w:rsidRPr="00F3607E" w:rsidR="005B1504">
              <w:rPr>
                <w:rFonts w:ascii="Arial" w:hAnsi="Arial" w:cs="Arial"/>
                <w:b/>
                <w:color w:val="000000" w:themeColor="text1"/>
                <w:szCs w:val="24"/>
                <w:lang w:val="es-ES_tradnl" w:eastAsia="es-ES_tradnl"/>
              </w:rPr>
              <w:t xml:space="preserve">               </w:t>
            </w:r>
          </w:p>
        </w:tc>
        <w:tc>
          <w:tcPr>
            <w:tcW w:w="6237" w:type="dxa"/>
          </w:tcPr>
          <w:p w:rsidRPr="00F3607E" w:rsidR="00B95C30" w:rsidP="006A3704" w:rsidRDefault="00B95C30" w14:paraId="09088B1B" w14:textId="2E839802">
            <w:pPr>
              <w:spacing w:after="0" w:line="240" w:lineRule="auto"/>
              <w:jc w:val="both"/>
              <w:rPr>
                <w:rFonts w:ascii="Arial" w:hAnsi="Arial" w:cs="Arial"/>
                <w:bCs/>
                <w:color w:val="000000" w:themeColor="text1"/>
                <w:szCs w:val="24"/>
                <w:lang w:val="es-ES_tradnl" w:eastAsia="es-ES_tradnl"/>
              </w:rPr>
            </w:pPr>
            <w:r w:rsidRPr="00F3607E">
              <w:rPr>
                <w:rFonts w:ascii="Arial" w:hAnsi="Arial" w:cs="Arial"/>
                <w:bCs/>
                <w:color w:val="000000" w:themeColor="text1"/>
                <w:szCs w:val="24"/>
                <w:lang w:val="es-ES_tradnl" w:eastAsia="es-ES_tradnl"/>
              </w:rPr>
              <w:t>Respuesta a consulta</w:t>
            </w:r>
            <w:r w:rsidRPr="00F3607E" w:rsidR="000D0CC7">
              <w:rPr>
                <w:rFonts w:ascii="Arial" w:hAnsi="Arial" w:cs="Arial"/>
                <w:bCs/>
                <w:color w:val="000000" w:themeColor="text1"/>
                <w:szCs w:val="24"/>
                <w:lang w:val="es-ES_tradnl" w:eastAsia="es-ES_tradnl"/>
              </w:rPr>
              <w:t xml:space="preserve"> </w:t>
            </w:r>
            <w:r w:rsidRPr="00F3607E" w:rsidR="006F2702">
              <w:rPr>
                <w:rFonts w:ascii="Arial" w:hAnsi="Arial" w:cs="Arial"/>
                <w:bCs/>
                <w:color w:val="000000" w:themeColor="text1"/>
                <w:szCs w:val="24"/>
                <w:lang w:val="es-ES_tradnl" w:eastAsia="es-ES_tradnl"/>
              </w:rPr>
              <w:t>P20221008010163</w:t>
            </w:r>
          </w:p>
        </w:tc>
      </w:tr>
    </w:tbl>
    <w:p w:rsidRPr="00F3607E" w:rsidR="005F5F37" w:rsidP="00B7240D" w:rsidRDefault="005F5F37" w14:paraId="234C0002" w14:textId="62B39031">
      <w:pPr>
        <w:spacing w:after="0" w:line="274" w:lineRule="auto"/>
        <w:jc w:val="both"/>
        <w:rPr>
          <w:rFonts w:ascii="Arial" w:hAnsi="Arial" w:cs="Arial"/>
          <w:color w:val="000000" w:themeColor="text1"/>
          <w:lang w:val="es-ES_tradnl"/>
        </w:rPr>
      </w:pPr>
    </w:p>
    <w:p w:rsidRPr="00F3607E" w:rsidR="006A3704" w:rsidP="00B7240D" w:rsidRDefault="006A3704" w14:paraId="1DAF8FE2" w14:textId="77777777">
      <w:pPr>
        <w:spacing w:after="0" w:line="274" w:lineRule="auto"/>
        <w:jc w:val="both"/>
        <w:rPr>
          <w:rFonts w:ascii="Arial" w:hAnsi="Arial" w:cs="Arial"/>
          <w:color w:val="000000" w:themeColor="text1"/>
          <w:lang w:val="es-ES_tradnl"/>
        </w:rPr>
      </w:pPr>
    </w:p>
    <w:p w:rsidRPr="00F3607E" w:rsidR="003C3339" w:rsidP="00B7240D" w:rsidRDefault="003C3339" w14:paraId="1CF4AEA0" w14:textId="6A7A91CB">
      <w:pPr>
        <w:spacing w:after="0" w:line="274" w:lineRule="auto"/>
        <w:jc w:val="both"/>
        <w:rPr>
          <w:rFonts w:ascii="Arial" w:hAnsi="Arial" w:cs="Arial"/>
          <w:color w:val="000000" w:themeColor="text1"/>
          <w:lang w:val="es-ES_tradnl"/>
        </w:rPr>
      </w:pPr>
      <w:r w:rsidRPr="00F3607E">
        <w:rPr>
          <w:rFonts w:ascii="Arial" w:hAnsi="Arial" w:cs="Arial"/>
          <w:color w:val="000000" w:themeColor="text1"/>
          <w:lang w:val="es-ES_tradnl"/>
        </w:rPr>
        <w:t>Estimad</w:t>
      </w:r>
      <w:r w:rsidRPr="00F3607E" w:rsidR="006F2702">
        <w:rPr>
          <w:rFonts w:ascii="Arial" w:hAnsi="Arial" w:cs="Arial"/>
          <w:color w:val="000000" w:themeColor="text1"/>
          <w:lang w:val="es-ES_tradnl"/>
        </w:rPr>
        <w:t>o</w:t>
      </w:r>
      <w:r w:rsidRPr="00F3607E" w:rsidR="006149AF">
        <w:rPr>
          <w:rFonts w:ascii="Arial" w:hAnsi="Arial" w:cs="Arial"/>
          <w:color w:val="000000" w:themeColor="text1"/>
          <w:lang w:val="es-ES_tradnl"/>
        </w:rPr>
        <w:t xml:space="preserve"> </w:t>
      </w:r>
      <w:r w:rsidRPr="00F3607E">
        <w:rPr>
          <w:rFonts w:ascii="Arial" w:hAnsi="Arial" w:cs="Arial"/>
          <w:color w:val="000000" w:themeColor="text1"/>
          <w:lang w:val="es-ES_tradnl"/>
        </w:rPr>
        <w:t>señor</w:t>
      </w:r>
      <w:r w:rsidRPr="00F3607E" w:rsidR="006149AF">
        <w:rPr>
          <w:rFonts w:ascii="Arial" w:hAnsi="Arial" w:cs="Arial"/>
          <w:color w:val="000000" w:themeColor="text1"/>
          <w:lang w:val="es-ES_tradnl"/>
        </w:rPr>
        <w:t xml:space="preserve"> </w:t>
      </w:r>
      <w:r w:rsidRPr="00F3607E" w:rsidR="006F2702">
        <w:rPr>
          <w:rFonts w:ascii="Arial" w:hAnsi="Arial" w:cs="Arial"/>
          <w:color w:val="000000" w:themeColor="text1"/>
          <w:lang w:val="es-ES_tradnl"/>
        </w:rPr>
        <w:t>Linares</w:t>
      </w:r>
      <w:r w:rsidRPr="00F3607E" w:rsidR="008C3FFC">
        <w:rPr>
          <w:rFonts w:ascii="Arial" w:hAnsi="Arial" w:cs="Arial"/>
          <w:color w:val="000000" w:themeColor="text1"/>
          <w:lang w:val="es-ES_tradnl"/>
        </w:rPr>
        <w:t xml:space="preserve">: </w:t>
      </w:r>
    </w:p>
    <w:p w:rsidRPr="00F3607E" w:rsidR="00DD5B04" w:rsidP="00B7240D" w:rsidRDefault="00DD5B04" w14:paraId="1EAE5543" w14:textId="37990AD8">
      <w:pPr>
        <w:spacing w:after="0" w:line="274" w:lineRule="auto"/>
        <w:jc w:val="both"/>
        <w:rPr>
          <w:rFonts w:ascii="Arial" w:hAnsi="Arial" w:cs="Arial"/>
          <w:color w:val="000000" w:themeColor="text1"/>
          <w:lang w:val="es-ES_tradnl"/>
        </w:rPr>
      </w:pPr>
    </w:p>
    <w:p w:rsidRPr="00F3607E" w:rsidR="00DD5B04" w:rsidP="00B7240D" w:rsidRDefault="00DD5B04" w14:paraId="2109B2D3" w14:textId="505F92C6">
      <w:pPr>
        <w:spacing w:after="0" w:line="274" w:lineRule="auto"/>
        <w:jc w:val="both"/>
        <w:rPr>
          <w:rFonts w:ascii="Arial" w:hAnsi="Arial" w:cs="Arial"/>
          <w:color w:val="000000" w:themeColor="text1"/>
          <w:lang w:val="es-ES_tradnl"/>
        </w:rPr>
      </w:pPr>
      <w:r w:rsidRPr="00F3607E">
        <w:rPr>
          <w:rFonts w:ascii="Arial" w:hAnsi="Arial" w:cs="Arial"/>
          <w:color w:val="000000" w:themeColor="text1"/>
          <w:lang w:val="es-ES_tradnl"/>
        </w:rPr>
        <w:t>En ejercicio de la competencia otorgada por el numeral 8 del artículo 11 y el numeral 5 del artículo 3 del Decreto Ley 4170 de 2011,</w:t>
      </w:r>
      <w:r w:rsidRPr="00F3607E" w:rsidR="00B24D49">
        <w:rPr>
          <w:rFonts w:ascii="Arial" w:hAnsi="Arial" w:eastAsia="Arial MT" w:cs="Arial"/>
          <w:lang w:val="es-ES"/>
        </w:rPr>
        <w:t xml:space="preserve"> </w:t>
      </w:r>
      <w:r w:rsidRPr="00F3607E">
        <w:rPr>
          <w:rFonts w:ascii="Arial" w:hAnsi="Arial" w:cs="Arial"/>
          <w:color w:val="000000" w:themeColor="text1"/>
          <w:lang w:val="es-ES_tradnl"/>
        </w:rPr>
        <w:t xml:space="preserve">la Agencia Nacional de Contratación Pública </w:t>
      </w:r>
      <w:r w:rsidRPr="00F3607E" w:rsidR="00C31846">
        <w:rPr>
          <w:rFonts w:ascii="Arial" w:hAnsi="Arial" w:cs="Arial"/>
          <w:color w:val="000000" w:themeColor="text1"/>
          <w:lang w:val="es-ES_tradnl"/>
        </w:rPr>
        <w:t>–</w:t>
      </w:r>
      <w:r w:rsidRPr="00F3607E">
        <w:rPr>
          <w:rFonts w:ascii="Arial" w:hAnsi="Arial" w:cs="Arial"/>
          <w:color w:val="000000" w:themeColor="text1"/>
          <w:lang w:val="es-ES_tradnl"/>
        </w:rPr>
        <w:t xml:space="preserve"> Colombia Compra Eficiente</w:t>
      </w:r>
      <w:r w:rsidRPr="00F3607E" w:rsidR="00CE69CC">
        <w:rPr>
          <w:rFonts w:ascii="Arial" w:hAnsi="Arial" w:cs="Arial"/>
          <w:color w:val="000000" w:themeColor="text1"/>
          <w:lang w:val="es-ES_tradnl"/>
        </w:rPr>
        <w:t xml:space="preserve">, </w:t>
      </w:r>
      <w:r w:rsidRPr="00F3607E">
        <w:rPr>
          <w:rFonts w:ascii="Arial" w:hAnsi="Arial" w:cs="Arial"/>
          <w:color w:val="000000" w:themeColor="text1"/>
          <w:lang w:val="es-ES_tradnl"/>
        </w:rPr>
        <w:t xml:space="preserve">responde </w:t>
      </w:r>
      <w:r w:rsidRPr="00F3607E" w:rsidR="00F14618">
        <w:rPr>
          <w:rFonts w:ascii="Arial" w:hAnsi="Arial" w:cs="Arial"/>
          <w:color w:val="000000" w:themeColor="text1"/>
          <w:lang w:val="es-ES_tradnl"/>
        </w:rPr>
        <w:t>su</w:t>
      </w:r>
      <w:r w:rsidRPr="00F3607E" w:rsidR="003902B1">
        <w:rPr>
          <w:rFonts w:ascii="Arial" w:hAnsi="Arial" w:cs="Arial"/>
          <w:color w:val="000000" w:themeColor="text1"/>
          <w:lang w:val="es-ES_tradnl"/>
        </w:rPr>
        <w:t xml:space="preserve"> </w:t>
      </w:r>
      <w:r w:rsidRPr="00F3607E" w:rsidR="00F14618">
        <w:rPr>
          <w:rFonts w:ascii="Arial" w:hAnsi="Arial" w:cs="Arial"/>
          <w:color w:val="000000" w:themeColor="text1"/>
          <w:lang w:val="es-ES_tradnl"/>
        </w:rPr>
        <w:t>consulta</w:t>
      </w:r>
      <w:r w:rsidRPr="00F3607E" w:rsidR="00150A17">
        <w:rPr>
          <w:rFonts w:ascii="Arial" w:hAnsi="Arial" w:cs="Arial"/>
          <w:color w:val="000000" w:themeColor="text1"/>
          <w:lang w:val="es-ES_tradnl"/>
        </w:rPr>
        <w:t xml:space="preserve"> </w:t>
      </w:r>
      <w:r w:rsidRPr="00F3607E" w:rsidR="000D0CC7">
        <w:rPr>
          <w:rFonts w:ascii="Arial" w:hAnsi="Arial" w:cs="Arial"/>
          <w:color w:val="000000" w:themeColor="text1"/>
          <w:lang w:val="es-ES_tradnl"/>
        </w:rPr>
        <w:t>d</w:t>
      </w:r>
      <w:r w:rsidRPr="00F3607E" w:rsidR="00F14618">
        <w:rPr>
          <w:rFonts w:ascii="Arial" w:hAnsi="Arial" w:cs="Arial"/>
          <w:color w:val="000000" w:themeColor="text1"/>
          <w:lang w:val="es-ES_tradnl"/>
        </w:rPr>
        <w:t xml:space="preserve">el </w:t>
      </w:r>
      <w:r w:rsidRPr="00F3607E" w:rsidR="006F2702">
        <w:rPr>
          <w:rFonts w:ascii="Arial" w:hAnsi="Arial" w:cs="Arial"/>
          <w:color w:val="000000" w:themeColor="text1"/>
          <w:lang w:val="es-ES_tradnl"/>
        </w:rPr>
        <w:t>8</w:t>
      </w:r>
      <w:r w:rsidRPr="00F3607E" w:rsidR="00150A17">
        <w:rPr>
          <w:rFonts w:ascii="Arial" w:hAnsi="Arial" w:cs="Arial"/>
          <w:color w:val="000000" w:themeColor="text1"/>
          <w:lang w:val="es-ES_tradnl"/>
        </w:rPr>
        <w:t xml:space="preserve"> </w:t>
      </w:r>
      <w:r w:rsidRPr="00F3607E" w:rsidR="00F14618">
        <w:rPr>
          <w:rFonts w:ascii="Arial" w:hAnsi="Arial" w:cs="Arial"/>
          <w:color w:val="000000" w:themeColor="text1"/>
          <w:lang w:val="es-ES_tradnl"/>
        </w:rPr>
        <w:t xml:space="preserve">de </w:t>
      </w:r>
      <w:r w:rsidRPr="00F3607E" w:rsidR="006F2702">
        <w:rPr>
          <w:rFonts w:ascii="Arial" w:hAnsi="Arial" w:cs="Arial"/>
          <w:color w:val="000000" w:themeColor="text1"/>
          <w:lang w:val="es-ES_tradnl"/>
        </w:rPr>
        <w:t>octubre</w:t>
      </w:r>
      <w:r w:rsidRPr="00F3607E" w:rsidR="00F14618">
        <w:rPr>
          <w:rFonts w:ascii="Arial" w:hAnsi="Arial" w:cs="Arial"/>
          <w:color w:val="000000" w:themeColor="text1"/>
          <w:lang w:val="es-ES_tradnl"/>
        </w:rPr>
        <w:t xml:space="preserve"> de 202</w:t>
      </w:r>
      <w:r w:rsidRPr="00F3607E" w:rsidR="00782354">
        <w:rPr>
          <w:rFonts w:ascii="Arial" w:hAnsi="Arial" w:cs="Arial"/>
          <w:color w:val="000000" w:themeColor="text1"/>
          <w:lang w:val="es-ES_tradnl"/>
        </w:rPr>
        <w:t>2</w:t>
      </w:r>
      <w:r w:rsidRPr="00F3607E" w:rsidR="00F14618">
        <w:rPr>
          <w:rFonts w:ascii="Arial" w:hAnsi="Arial" w:cs="Arial"/>
          <w:color w:val="000000" w:themeColor="text1"/>
          <w:lang w:val="es-ES_tradnl"/>
        </w:rPr>
        <w:t>.</w:t>
      </w:r>
    </w:p>
    <w:p w:rsidRPr="00F3607E" w:rsidR="00DD5B04" w:rsidP="00443945" w:rsidRDefault="00DD5B04" w14:paraId="0C1E0712" w14:textId="77777777">
      <w:pPr>
        <w:spacing w:after="0" w:line="276" w:lineRule="auto"/>
        <w:jc w:val="both"/>
        <w:rPr>
          <w:rFonts w:ascii="Arial" w:hAnsi="Arial" w:cs="Arial"/>
          <w:b/>
          <w:color w:val="000000" w:themeColor="text1"/>
          <w:lang w:val="es-ES_tradnl"/>
        </w:rPr>
      </w:pPr>
    </w:p>
    <w:p w:rsidRPr="00F3607E"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F3607E">
        <w:rPr>
          <w:rFonts w:ascii="Arial" w:hAnsi="Arial" w:eastAsia="Calibri" w:cs="Arial"/>
          <w:b/>
          <w:color w:val="000000" w:themeColor="text1"/>
          <w:sz w:val="22"/>
          <w:lang w:val="es-ES_tradnl"/>
        </w:rPr>
        <w:t xml:space="preserve">Problema planteado </w:t>
      </w:r>
    </w:p>
    <w:p w:rsidRPr="00F3607E" w:rsidR="00DD5B04" w:rsidP="00B7240D" w:rsidRDefault="00DD5B04" w14:paraId="224B43D3" w14:textId="23DC0BDF">
      <w:pPr>
        <w:tabs>
          <w:tab w:val="left" w:pos="426"/>
        </w:tabs>
        <w:spacing w:after="0" w:line="276" w:lineRule="auto"/>
        <w:jc w:val="both"/>
        <w:rPr>
          <w:rFonts w:ascii="Arial" w:hAnsi="Arial" w:cs="Arial"/>
          <w:b/>
          <w:color w:val="000000" w:themeColor="text1"/>
          <w:lang w:val="es-ES_tradnl"/>
        </w:rPr>
      </w:pPr>
    </w:p>
    <w:p w:rsidRPr="00F3607E" w:rsidR="000D0CC7" w:rsidP="00B7240D" w:rsidRDefault="000D0CC7" w14:paraId="5845D8EE" w14:textId="5BDF966F">
      <w:pPr>
        <w:spacing w:after="0" w:line="276" w:lineRule="auto"/>
        <w:jc w:val="both"/>
        <w:rPr>
          <w:rFonts w:ascii="Arial" w:hAnsi="Arial" w:cs="Arial"/>
          <w:bCs/>
        </w:rPr>
      </w:pPr>
      <w:r w:rsidRPr="00F3607E">
        <w:rPr>
          <w:rFonts w:ascii="Arial" w:hAnsi="Arial" w:cs="Arial"/>
          <w:bCs/>
        </w:rPr>
        <w:t xml:space="preserve">Usted realiza la siguiente pregunta: </w:t>
      </w:r>
      <w:r w:rsidRPr="00F3607E" w:rsidR="00DA371B">
        <w:rPr>
          <w:rFonts w:ascii="Arial" w:hAnsi="Arial" w:cs="Arial"/>
          <w:bCs/>
        </w:rPr>
        <w:t>«</w:t>
      </w:r>
      <w:r w:rsidRPr="00F3607E" w:rsidR="006F2702">
        <w:rPr>
          <w:rFonts w:ascii="Arial" w:hAnsi="Arial" w:cs="Arial"/>
          <w:bCs/>
        </w:rPr>
        <w:t>Dentro de los costos directos de un contrato de obra pública, se puede contemplar como costo directo el campamento de la obra?, se puede pagar al contratista de obra dentro de los costos directos el campamento de la obra?, si es posible pagar al contratista de obra el costo directo de campamento de obra, es posible pagarle al ítem campamento de obra el AIU? Que actividades deben incluirse dentro del componente Administración del AIU en un contrato de obra pública</w:t>
      </w:r>
      <w:r w:rsidRPr="00F3607E" w:rsidR="00DA371B">
        <w:rPr>
          <w:rFonts w:ascii="Arial" w:hAnsi="Arial" w:cs="Arial"/>
          <w:bCs/>
        </w:rPr>
        <w:t>».</w:t>
      </w:r>
    </w:p>
    <w:p w:rsidRPr="00F3607E" w:rsidR="00DA371B" w:rsidP="00B7240D" w:rsidRDefault="00DA371B" w14:paraId="3875CC47" w14:textId="77777777">
      <w:pPr>
        <w:spacing w:after="0" w:line="276" w:lineRule="auto"/>
        <w:jc w:val="both"/>
        <w:rPr>
          <w:rFonts w:ascii="Arial" w:hAnsi="Arial" w:cs="Arial"/>
          <w:bCs/>
        </w:rPr>
      </w:pPr>
    </w:p>
    <w:p w:rsidRPr="00F3607E"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F3607E">
        <w:rPr>
          <w:rFonts w:ascii="Arial" w:hAnsi="Arial" w:eastAsia="Calibri" w:cs="Arial"/>
          <w:b/>
          <w:color w:val="000000" w:themeColor="text1"/>
          <w:sz w:val="22"/>
          <w:lang w:val="es-ES_tradnl"/>
        </w:rPr>
        <w:t>Consideraciones</w:t>
      </w:r>
    </w:p>
    <w:p w:rsidRPr="00F3607E" w:rsidR="00621981" w:rsidP="00B7240D" w:rsidRDefault="00621981" w14:paraId="395997FF" w14:textId="77777777">
      <w:pPr>
        <w:spacing w:after="0" w:line="276" w:lineRule="auto"/>
        <w:jc w:val="both"/>
        <w:rPr>
          <w:rFonts w:ascii="Arial" w:hAnsi="Arial" w:cs="Arial"/>
          <w:color w:val="000000" w:themeColor="text1"/>
        </w:rPr>
      </w:pPr>
    </w:p>
    <w:p w:rsidRPr="00F3607E" w:rsidR="006149AF" w:rsidP="006149AF" w:rsidRDefault="006149AF" w14:paraId="6270D7BD" w14:textId="5D360DF9">
      <w:pPr>
        <w:spacing w:after="0" w:line="276" w:lineRule="auto"/>
        <w:jc w:val="both"/>
        <w:rPr>
          <w:rFonts w:ascii="Arial" w:hAnsi="Arial" w:cs="Arial"/>
          <w:b/>
          <w:bCs/>
          <w:lang w:val="es-ES"/>
        </w:rPr>
      </w:pPr>
      <w:r w:rsidRPr="00F3607E">
        <w:rPr>
          <w:rFonts w:ascii="Arial" w:hAnsi="Arial" w:cs="Arial"/>
          <w:bCs/>
        </w:rPr>
        <w:t>Para resolver la pregunta planteada se estudiarán los siguientes temas: i)</w:t>
      </w:r>
      <w:r w:rsidRPr="005708CB" w:rsidR="00B21D1B">
        <w:rPr>
          <w:rFonts w:ascii="Arial" w:hAnsi="Arial" w:cs="Arial" w:eastAsiaTheme="minorHAnsi"/>
          <w:bCs/>
          <w:color w:val="000000" w:themeColor="text1"/>
          <w:sz w:val="20"/>
          <w:szCs w:val="20"/>
          <w:lang w:val="es-ES_tradnl"/>
        </w:rPr>
        <w:t xml:space="preserve"> </w:t>
      </w:r>
      <w:r w:rsidRPr="00F3607E" w:rsidR="00797615">
        <w:rPr>
          <w:rFonts w:ascii="Arial" w:hAnsi="Arial" w:cs="Arial"/>
          <w:bCs/>
          <w:lang w:val="es-ES_tradnl"/>
        </w:rPr>
        <w:t>a</w:t>
      </w:r>
      <w:r w:rsidRPr="00F3607E" w:rsidR="00B21D1B">
        <w:rPr>
          <w:rFonts w:ascii="Arial" w:hAnsi="Arial" w:cs="Arial"/>
          <w:bCs/>
          <w:lang w:val="es-ES_tradnl"/>
        </w:rPr>
        <w:t xml:space="preserve">utonomía de las entidades estatales para incluir el AIU –Administración, Imprevistos y Utilidad–, como </w:t>
      </w:r>
      <w:r w:rsidRPr="00F3607E" w:rsidR="00B21D1B">
        <w:rPr>
          <w:rFonts w:ascii="Arial" w:hAnsi="Arial" w:cs="Arial"/>
          <w:bCs/>
          <w:lang w:val="es-ES_tradnl"/>
        </w:rPr>
        <w:lastRenderedPageBreak/>
        <w:t>metodología para calcular el precio en los contratos y</w:t>
      </w:r>
      <w:r w:rsidRPr="00F3607E">
        <w:rPr>
          <w:rFonts w:ascii="Arial" w:hAnsi="Arial" w:cs="Arial"/>
          <w:bCs/>
        </w:rPr>
        <w:t xml:space="preserve"> ii) </w:t>
      </w:r>
      <w:r w:rsidRPr="00F3607E" w:rsidR="00797615">
        <w:rPr>
          <w:rFonts w:ascii="Arial" w:hAnsi="Arial" w:cs="Arial"/>
          <w:bCs/>
          <w:lang w:val="es-ES_tradnl"/>
        </w:rPr>
        <w:t>g</w:t>
      </w:r>
      <w:r w:rsidRPr="00F3607E" w:rsidR="00B21D1B">
        <w:rPr>
          <w:rFonts w:ascii="Arial" w:hAnsi="Arial" w:cs="Arial"/>
          <w:bCs/>
          <w:lang w:val="es-ES_tradnl"/>
        </w:rPr>
        <w:t>estión contractual de los componentes del AIU: particular referencia a la A.</w:t>
      </w:r>
    </w:p>
    <w:p w:rsidRPr="00F3607E" w:rsidR="006149AF" w:rsidP="00CE2DD2" w:rsidRDefault="00B21D1B" w14:paraId="445B1898" w14:textId="6A4C509C">
      <w:pPr>
        <w:spacing w:before="120" w:after="0" w:line="276" w:lineRule="auto"/>
        <w:ind w:firstLine="709"/>
        <w:jc w:val="both"/>
        <w:rPr>
          <w:rFonts w:ascii="Arial" w:hAnsi="Arial" w:eastAsia="Times New Roman" w:cs="Arial"/>
          <w:bCs/>
          <w:szCs w:val="24"/>
          <w:lang w:val="es-ES_tradnl" w:eastAsia="es-ES_tradnl"/>
        </w:rPr>
      </w:pPr>
      <w:r w:rsidRPr="00F3607E">
        <w:rPr>
          <w:rFonts w:ascii="Arial" w:hAnsi="Arial" w:eastAsia="Times New Roman" w:cs="Arial"/>
          <w:bCs/>
          <w:szCs w:val="24"/>
          <w:lang w:val="es-ES_tradnl" w:eastAsia="es-ES_tradnl"/>
        </w:rPr>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sidRPr="00F3607E">
        <w:rPr>
          <w:rFonts w:ascii="Arial" w:hAnsi="Arial" w:eastAsia="Times New Roman" w:cs="Arial"/>
          <w:szCs w:val="24"/>
          <w:lang w:val="es-ES_tradnl" w:eastAsia="es-ES_tradnl"/>
        </w:rPr>
        <w:t xml:space="preserve"> y 4201912000006463 del 19 de septiembre de 2019; 4201912000007375 del 28 de octubre de 2019; </w:t>
      </w:r>
      <w:r w:rsidRPr="00F3607E">
        <w:rPr>
          <w:rFonts w:ascii="Arial" w:hAnsi="Arial" w:eastAsia="Times New Roman" w:cs="Arial"/>
          <w:szCs w:val="24"/>
          <w:lang w:val="es-MX" w:eastAsia="es-ES_tradnl"/>
        </w:rPr>
        <w:t>4201912000007092 del 29 de noviembre de 2019;</w:t>
      </w:r>
      <w:r w:rsidRPr="00F3607E">
        <w:rPr>
          <w:rFonts w:ascii="Arial" w:hAnsi="Arial" w:eastAsia="Times New Roman" w:cs="Arial"/>
          <w:szCs w:val="24"/>
          <w:lang w:val="es-ES_tradnl" w:eastAsia="es-ES_tradnl"/>
        </w:rPr>
        <w:t xml:space="preserve"> 4202012000000093, C–037 del 28 de enero de 2020, 4202012000000664 del 30 de enero de 2020, C-191 del 16 de marzo de 2020</w:t>
      </w:r>
      <w:r w:rsidRPr="00F3607E" w:rsidR="00CE2DD2">
        <w:rPr>
          <w:rFonts w:ascii="Arial" w:hAnsi="Arial" w:eastAsia="Times New Roman" w:cs="Arial"/>
          <w:szCs w:val="24"/>
          <w:lang w:val="es-ES_tradnl" w:eastAsia="es-ES_tradnl"/>
        </w:rPr>
        <w:t>,</w:t>
      </w:r>
      <w:r w:rsidRPr="00F3607E">
        <w:rPr>
          <w:rFonts w:ascii="Arial" w:hAnsi="Arial" w:eastAsia="Times New Roman" w:cs="Arial"/>
          <w:szCs w:val="24"/>
          <w:lang w:val="es-ES_tradnl" w:eastAsia="es-ES_tradnl"/>
        </w:rPr>
        <w:t xml:space="preserve"> C-211 del 8 de abril de 2020</w:t>
      </w:r>
      <w:r w:rsidRPr="00F3607E" w:rsidR="00CE2DD2">
        <w:rPr>
          <w:rFonts w:ascii="Arial" w:hAnsi="Arial" w:eastAsia="Times New Roman" w:cs="Arial"/>
          <w:szCs w:val="24"/>
          <w:lang w:val="es-ES_tradnl" w:eastAsia="es-ES_tradnl"/>
        </w:rPr>
        <w:t xml:space="preserve"> y C-714 del 9 de diciembre de 2020</w:t>
      </w:r>
      <w:r w:rsidRPr="00F3607E">
        <w:rPr>
          <w:rFonts w:ascii="Arial" w:hAnsi="Arial" w:eastAsia="Times New Roman" w:cs="Arial"/>
          <w:szCs w:val="24"/>
          <w:lang w:val="es-ES_tradnl" w:eastAsia="es-ES_tradnl"/>
        </w:rPr>
        <w:t>. En estos conceptos la Agencia ha precisado que el AIU –Administración, Imprevistos y Utilidad– no está definido normativamente, sino que es una figura empleada en la práctica de los negocios</w:t>
      </w:r>
      <w:r w:rsidRPr="00F3607E" w:rsidR="006B3BA7">
        <w:rPr>
          <w:rStyle w:val="Refdenotaalpie"/>
          <w:rFonts w:ascii="Arial" w:hAnsi="Arial" w:eastAsia="Times New Roman" w:cs="Arial"/>
          <w:szCs w:val="24"/>
          <w:lang w:val="es-MX" w:eastAsia="es-ES_tradnl"/>
        </w:rPr>
        <w:footnoteReference w:id="2"/>
      </w:r>
      <w:r w:rsidRPr="00F3607E" w:rsidR="006149AF">
        <w:rPr>
          <w:rFonts w:ascii="Arial" w:hAnsi="Arial" w:eastAsia="Times New Roman" w:cs="Arial"/>
          <w:szCs w:val="24"/>
          <w:lang w:val="es-MX" w:eastAsia="es-ES_tradnl"/>
        </w:rPr>
        <w:t>. La tesis desarrollada en estos conceptos se reitera a continuación:</w:t>
      </w:r>
    </w:p>
    <w:p w:rsidRPr="00F3607E" w:rsidR="003208AB" w:rsidP="003208AB" w:rsidRDefault="003208AB" w14:paraId="68429C48" w14:textId="77777777">
      <w:pPr>
        <w:spacing w:after="0" w:line="276" w:lineRule="auto"/>
        <w:rPr>
          <w:rFonts w:ascii="Arial" w:hAnsi="Arial" w:eastAsia="Times New Roman" w:cs="Arial"/>
          <w:b/>
          <w:bCs/>
          <w:szCs w:val="24"/>
          <w:lang w:val="es-MX" w:eastAsia="es-ES_tradnl"/>
        </w:rPr>
      </w:pPr>
    </w:p>
    <w:p w:rsidRPr="00F3607E" w:rsidR="003208AB" w:rsidP="003208AB" w:rsidRDefault="003208AB" w14:paraId="2284249A" w14:textId="6F21147E">
      <w:pPr>
        <w:spacing w:after="0" w:line="276" w:lineRule="auto"/>
        <w:rPr>
          <w:rFonts w:ascii="Arial" w:hAnsi="Arial" w:eastAsia="Times New Roman" w:cs="Arial"/>
          <w:b/>
          <w:bCs/>
          <w:szCs w:val="24"/>
          <w:lang w:val="es-MX" w:eastAsia="es-ES_tradnl"/>
        </w:rPr>
      </w:pPr>
      <w:r w:rsidRPr="00F3607E">
        <w:rPr>
          <w:rFonts w:ascii="Arial" w:hAnsi="Arial" w:eastAsia="Times New Roman" w:cs="Arial"/>
          <w:b/>
          <w:bCs/>
          <w:szCs w:val="24"/>
          <w:lang w:val="es-MX" w:eastAsia="es-ES_tradnl"/>
        </w:rPr>
        <w:t xml:space="preserve">2.1. </w:t>
      </w:r>
      <w:bookmarkStart w:name="_Hlk93995318" w:id="3"/>
      <w:r w:rsidRPr="00F3607E" w:rsidR="00CE2DD2">
        <w:rPr>
          <w:rFonts w:ascii="Arial" w:hAnsi="Arial" w:eastAsia="Times New Roman" w:cs="Arial"/>
          <w:b/>
          <w:bCs/>
          <w:szCs w:val="24"/>
          <w:lang w:val="es-ES_tradnl" w:eastAsia="es-ES_tradnl"/>
        </w:rPr>
        <w:t>Autonomía para incluir el AIU –Administración, Imprevistos y Utilidad–, como metodología para calcular el precio en los contratos estatales</w:t>
      </w:r>
      <w:r w:rsidRPr="00F3607E" w:rsidR="00CE2DD2">
        <w:rPr>
          <w:rFonts w:ascii="Arial" w:hAnsi="Arial" w:eastAsia="Times New Roman" w:cs="Arial"/>
          <w:b/>
          <w:bCs/>
          <w:szCs w:val="24"/>
          <w:lang w:val="es-MX" w:eastAsia="es-ES_tradnl"/>
        </w:rPr>
        <w:t xml:space="preserve"> </w:t>
      </w:r>
      <w:bookmarkEnd w:id="3"/>
    </w:p>
    <w:p w:rsidRPr="005708CB" w:rsidR="003208AB" w:rsidP="00CE2DD2" w:rsidRDefault="003208AB" w14:paraId="2F884587" w14:textId="77777777">
      <w:pPr>
        <w:spacing w:after="0" w:line="276" w:lineRule="auto"/>
        <w:rPr>
          <w:rFonts w:ascii="Arial" w:hAnsi="Arial" w:cs="Arial"/>
          <w:b/>
          <w:color w:val="000000"/>
          <w:lang w:val="es-ES"/>
        </w:rPr>
      </w:pPr>
    </w:p>
    <w:p w:rsidRPr="00F3607E" w:rsidR="00CE2DD2" w:rsidP="00CE2DD2" w:rsidRDefault="00CE2DD2" w14:paraId="5110F614" w14:textId="77777777">
      <w:pPr>
        <w:spacing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rsidRPr="00F3607E" w:rsidR="00CE2DD2" w:rsidP="00CE2DD2" w:rsidRDefault="00CE2DD2" w14:paraId="5B14631C" w14:textId="320A52A3">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w:t>
      </w:r>
      <w:r w:rsidRPr="00F3607E">
        <w:rPr>
          <w:rFonts w:ascii="Arial" w:hAnsi="Arial" w:cs="Arial"/>
          <w:bCs/>
          <w:szCs w:val="24"/>
          <w:lang w:val="es-ES_tradnl" w:eastAsia="es-ES_tradnl"/>
        </w:rPr>
        <w:lastRenderedPageBreak/>
        <w:t>indicadas para los de concesión, por mencionar algunos ejemplos</w:t>
      </w:r>
      <w:r w:rsidRPr="00F3607E">
        <w:rPr>
          <w:rFonts w:ascii="Arial" w:hAnsi="Arial" w:cs="Arial"/>
          <w:bCs/>
          <w:szCs w:val="24"/>
          <w:vertAlign w:val="superscript"/>
          <w:lang w:val="es-ES_tradnl" w:eastAsia="es-ES_tradnl"/>
        </w:rPr>
        <w:footnoteReference w:id="3"/>
      </w:r>
      <w:r w:rsidRPr="00F3607E">
        <w:rPr>
          <w:rFonts w:ascii="Arial" w:hAnsi="Arial" w:cs="Arial"/>
          <w:bCs/>
          <w:szCs w:val="24"/>
          <w:lang w:val="es-ES_tradnl" w:eastAsia="es-ES_tradnl"/>
        </w:rPr>
        <w:t>.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rsidRPr="00F3607E" w:rsidR="00CE2DD2" w:rsidP="00CE2DD2" w:rsidRDefault="00CE2DD2" w14:paraId="382B1E10" w14:textId="121E46B1">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F3607E">
        <w:rPr>
          <w:rFonts w:ascii="Arial" w:hAnsi="Arial" w:cs="Arial"/>
          <w:bCs/>
          <w:i/>
          <w:iCs/>
          <w:szCs w:val="24"/>
          <w:lang w:val="es-ES_tradnl" w:eastAsia="es-ES_tradnl"/>
        </w:rPr>
        <w:t>ítems</w:t>
      </w:r>
      <w:r w:rsidRPr="00F3607E">
        <w:rPr>
          <w:rFonts w:ascii="Arial" w:hAnsi="Arial"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 </w:t>
      </w:r>
    </w:p>
    <w:p w:rsidRPr="00F3607E" w:rsidR="00797615" w:rsidP="001D54A3" w:rsidRDefault="001D54A3" w14:paraId="2E8ABE2E" w14:textId="4F530DC5">
      <w:pPr>
        <w:spacing w:before="120" w:after="0" w:line="276" w:lineRule="auto"/>
        <w:ind w:firstLine="709"/>
        <w:jc w:val="both"/>
        <w:rPr>
          <w:rFonts w:ascii="Arial" w:hAnsi="Arial" w:cs="Arial"/>
          <w:bCs/>
          <w:szCs w:val="24"/>
          <w:lang w:eastAsia="es-ES_tradnl"/>
        </w:rPr>
      </w:pPr>
      <w:r w:rsidRPr="00F3607E">
        <w:rPr>
          <w:rFonts w:ascii="Arial" w:hAnsi="Arial" w:cs="Arial"/>
          <w:bCs/>
          <w:szCs w:val="24"/>
          <w:lang w:val="es-ES_tradnl" w:eastAsia="es-ES_tradnl"/>
        </w:rPr>
        <w:lastRenderedPageBreak/>
        <w:t xml:space="preserve">En relación con los </w:t>
      </w:r>
      <w:r w:rsidRPr="00F3607E" w:rsidR="00743C33">
        <w:rPr>
          <w:rFonts w:ascii="Arial" w:hAnsi="Arial" w:cs="Arial"/>
          <w:bCs/>
          <w:szCs w:val="24"/>
          <w:lang w:val="es-ES_tradnl" w:eastAsia="es-ES_tradnl"/>
        </w:rPr>
        <w:t xml:space="preserve">precios unitarios </w:t>
      </w:r>
      <w:r w:rsidRPr="00F3607E">
        <w:rPr>
          <w:rFonts w:ascii="Arial" w:hAnsi="Arial" w:cs="Arial"/>
          <w:bCs/>
          <w:szCs w:val="24"/>
          <w:lang w:val="es-ES_tradnl" w:eastAsia="es-ES_tradnl"/>
        </w:rPr>
        <w:t xml:space="preserve">ha </w:t>
      </w:r>
      <w:r w:rsidRPr="00F3607E" w:rsidR="003417D1">
        <w:rPr>
          <w:rFonts w:ascii="Arial" w:hAnsi="Arial" w:cs="Arial"/>
          <w:bCs/>
          <w:szCs w:val="24"/>
          <w:lang w:val="es-ES_tradnl" w:eastAsia="es-ES_tradnl"/>
        </w:rPr>
        <w:t>señalado</w:t>
      </w:r>
      <w:r w:rsidRPr="00F3607E">
        <w:rPr>
          <w:rFonts w:ascii="Arial" w:hAnsi="Arial" w:cs="Arial"/>
          <w:bCs/>
          <w:szCs w:val="24"/>
          <w:lang w:val="es-ES_tradnl" w:eastAsia="es-ES_tradnl"/>
        </w:rPr>
        <w:t xml:space="preserve"> la jurisprudencia que </w:t>
      </w:r>
      <w:r w:rsidRPr="00F3607E" w:rsidR="00D649EB">
        <w:rPr>
          <w:rFonts w:ascii="Arial" w:hAnsi="Arial" w:cs="Arial"/>
          <w:bCs/>
          <w:szCs w:val="24"/>
          <w:lang w:val="es-ES_tradnl" w:eastAsia="es-ES_tradnl"/>
        </w:rPr>
        <w:t>«</w:t>
      </w:r>
      <w:r w:rsidRPr="00F3607E">
        <w:rPr>
          <w:rFonts w:ascii="Arial" w:hAnsi="Arial" w:cs="Arial"/>
          <w:bCs/>
          <w:szCs w:val="24"/>
          <w:lang w:eastAsia="es-ES_tradnl"/>
        </w:rPr>
        <w:t>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F3607E" w:rsidR="00D649EB">
        <w:rPr>
          <w:rFonts w:ascii="Arial" w:hAnsi="Arial" w:cs="Arial"/>
          <w:bCs/>
          <w:szCs w:val="24"/>
          <w:lang w:val="es-ES_tradnl" w:eastAsia="es-ES_tradnl"/>
        </w:rPr>
        <w:t>»</w:t>
      </w:r>
      <w:r w:rsidRPr="00F3607E" w:rsidR="00D649EB">
        <w:rPr>
          <w:rStyle w:val="Refdenotaalpie"/>
          <w:rFonts w:ascii="Arial" w:hAnsi="Arial" w:cs="Arial"/>
          <w:bCs/>
          <w:szCs w:val="24"/>
          <w:lang w:val="es-ES_tradnl" w:eastAsia="es-ES_tradnl"/>
        </w:rPr>
        <w:footnoteReference w:id="4"/>
      </w:r>
      <w:r w:rsidRPr="00F3607E">
        <w:rPr>
          <w:rFonts w:ascii="Arial" w:hAnsi="Arial" w:cs="Arial"/>
          <w:bCs/>
          <w:szCs w:val="24"/>
          <w:lang w:eastAsia="es-ES_tradnl"/>
        </w:rPr>
        <w:t xml:space="preserve">. </w:t>
      </w:r>
      <w:r w:rsidRPr="00F3607E" w:rsidR="00FB475A">
        <w:rPr>
          <w:rFonts w:ascii="Arial" w:hAnsi="Arial" w:cs="Arial"/>
          <w:bCs/>
          <w:szCs w:val="24"/>
          <w:lang w:eastAsia="es-ES_tradnl"/>
        </w:rPr>
        <w:t xml:space="preserve">En concordancia, la doctrina explica que </w:t>
      </w:r>
      <w:r w:rsidRPr="00F3607E" w:rsidR="00743C33">
        <w:rPr>
          <w:rFonts w:ascii="Arial" w:hAnsi="Arial" w:cs="Arial"/>
          <w:bCs/>
          <w:szCs w:val="24"/>
          <w:lang w:eastAsia="es-ES_tradnl"/>
        </w:rPr>
        <w:t xml:space="preserve">en la estructuración de los precios unitarios se tendrán en cuenta todos los cotos directos </w:t>
      </w:r>
      <w:r w:rsidRPr="00F3607E" w:rsidR="00E650F5">
        <w:rPr>
          <w:rFonts w:ascii="Arial" w:hAnsi="Arial" w:cs="Arial"/>
          <w:bCs/>
          <w:szCs w:val="24"/>
          <w:lang w:eastAsia="es-ES_tradnl"/>
        </w:rPr>
        <w:t>necesarios para la ejecución del objeto contractual</w:t>
      </w:r>
      <w:r w:rsidRPr="00F3607E" w:rsidR="004120EC">
        <w:rPr>
          <w:rFonts w:ascii="Arial" w:hAnsi="Arial" w:cs="Arial"/>
          <w:bCs/>
          <w:szCs w:val="24"/>
          <w:lang w:eastAsia="es-ES_tradnl"/>
        </w:rPr>
        <w:t xml:space="preserve"> que se multiplicará por al AIU, lo que determina el valor unitario</w:t>
      </w:r>
      <w:r w:rsidRPr="00F3607E" w:rsidR="00673A63">
        <w:rPr>
          <w:rFonts w:ascii="Arial" w:hAnsi="Arial" w:cs="Arial"/>
          <w:bCs/>
          <w:szCs w:val="24"/>
          <w:lang w:eastAsia="es-ES_tradnl"/>
        </w:rPr>
        <w:t>:</w:t>
      </w:r>
    </w:p>
    <w:p w:rsidRPr="00F3607E" w:rsidR="00673A63" w:rsidP="00673A63" w:rsidRDefault="00673A63" w14:paraId="29DA438E" w14:textId="77777777">
      <w:pPr>
        <w:spacing w:after="0" w:line="276" w:lineRule="auto"/>
        <w:ind w:firstLine="709"/>
        <w:jc w:val="both"/>
        <w:rPr>
          <w:rFonts w:ascii="Arial" w:hAnsi="Arial" w:cs="Arial"/>
          <w:bCs/>
          <w:szCs w:val="24"/>
          <w:lang w:eastAsia="es-ES_tradnl"/>
        </w:rPr>
      </w:pPr>
    </w:p>
    <w:p w:rsidRPr="00F3607E" w:rsidR="00285523" w:rsidP="000B17C9" w:rsidRDefault="00673A63" w14:paraId="6DA93AE7" w14:textId="707A1EC1">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r w:rsidRPr="00F3607E" w:rsidR="008729C8">
        <w:rPr>
          <w:rFonts w:ascii="Arial" w:hAnsi="Arial" w:cs="Arial"/>
          <w:sz w:val="21"/>
          <w:szCs w:val="21"/>
          <w:lang w:val="es-ES_tradnl" w:eastAsia="es-ES_tradnl"/>
        </w:rPr>
        <w:t>.</w:t>
      </w:r>
    </w:p>
    <w:p w:rsidRPr="00F3607E" w:rsidR="00285523" w:rsidP="000B17C9" w:rsidRDefault="00285523" w14:paraId="5B3AB5C0" w14:textId="77777777">
      <w:pPr>
        <w:tabs>
          <w:tab w:val="left" w:pos="709"/>
        </w:tabs>
        <w:spacing w:after="0" w:line="240" w:lineRule="auto"/>
        <w:ind w:left="709" w:right="760"/>
        <w:jc w:val="both"/>
        <w:rPr>
          <w:rFonts w:ascii="Arial" w:hAnsi="Arial" w:cs="Arial"/>
          <w:sz w:val="21"/>
          <w:szCs w:val="21"/>
          <w:lang w:val="es-ES_tradnl" w:eastAsia="es-ES_tradnl"/>
        </w:rPr>
      </w:pPr>
    </w:p>
    <w:p w:rsidRPr="00F3607E" w:rsidR="00673A63" w:rsidP="000B17C9" w:rsidRDefault="00285523" w14:paraId="4F9A61A5" w14:textId="1B68C373">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w:t>
      </w:r>
      <w:r w:rsidRPr="00F3607E" w:rsidR="00701B79">
        <w:rPr>
          <w:rFonts w:ascii="Arial" w:hAnsi="Arial" w:cs="Arial"/>
          <w:sz w:val="21"/>
          <w:szCs w:val="21"/>
          <w:lang w:val="es-ES_tradnl" w:eastAsia="es-ES_tradnl"/>
        </w:rPr>
        <w:t xml:space="preserve">. Dentro del valor unitario, entonces, están incorporados la totalidad de los gastos en los que incurre el contratista y la utilidad que espera recibir </w:t>
      </w:r>
      <w:r w:rsidRPr="00F3607E">
        <w:rPr>
          <w:rStyle w:val="Refdenotaalpie"/>
          <w:rFonts w:ascii="Arial" w:hAnsi="Arial" w:cs="Arial"/>
          <w:sz w:val="21"/>
          <w:szCs w:val="21"/>
          <w:lang w:val="es-ES_tradnl" w:eastAsia="es-ES_tradnl"/>
        </w:rPr>
        <w:footnoteReference w:id="5"/>
      </w:r>
      <w:r w:rsidRPr="00F3607E" w:rsidR="00673A63">
        <w:rPr>
          <w:rFonts w:ascii="Arial" w:hAnsi="Arial" w:cs="Arial"/>
          <w:sz w:val="21"/>
          <w:szCs w:val="21"/>
          <w:lang w:val="es-ES_tradnl" w:eastAsia="es-ES_tradnl"/>
        </w:rPr>
        <w:t xml:space="preserve">. </w:t>
      </w:r>
    </w:p>
    <w:p w:rsidRPr="00F3607E" w:rsidR="00673A63" w:rsidP="00673A63" w:rsidRDefault="00673A63" w14:paraId="7F2E5998" w14:textId="77777777">
      <w:pPr>
        <w:tabs>
          <w:tab w:val="left" w:pos="709"/>
        </w:tabs>
        <w:spacing w:after="0" w:line="240" w:lineRule="auto"/>
        <w:ind w:left="709" w:right="760"/>
        <w:jc w:val="both"/>
        <w:rPr>
          <w:rFonts w:ascii="Arial" w:hAnsi="Arial" w:cs="Arial"/>
          <w:szCs w:val="24"/>
          <w:lang w:val="es-ES_tradnl" w:eastAsia="es-ES_tradnl"/>
        </w:rPr>
      </w:pPr>
    </w:p>
    <w:p w:rsidRPr="00F3607E" w:rsidR="00CE2DD2" w:rsidP="004120EC" w:rsidRDefault="00E650F5" w14:paraId="005B73C3" w14:textId="6684B2C1">
      <w:pPr>
        <w:spacing w:after="0" w:line="276" w:lineRule="auto"/>
        <w:ind w:firstLine="709"/>
        <w:jc w:val="both"/>
        <w:rPr>
          <w:rFonts w:ascii="Arial" w:hAnsi="Arial" w:cs="Arial"/>
          <w:szCs w:val="24"/>
          <w:lang w:val="es-ES_tradnl" w:eastAsia="es-ES_tradnl"/>
        </w:rPr>
      </w:pPr>
      <w:r w:rsidRPr="00F3607E">
        <w:rPr>
          <w:rFonts w:ascii="Arial" w:hAnsi="Arial" w:cs="Arial"/>
          <w:szCs w:val="24"/>
          <w:lang w:val="es-ES_tradnl" w:eastAsia="es-ES_tradnl"/>
        </w:rPr>
        <w:t>Por su parte, d</w:t>
      </w:r>
      <w:r w:rsidRPr="00F3607E" w:rsidR="00CE2DD2">
        <w:rPr>
          <w:rFonts w:ascii="Arial" w:hAnsi="Arial" w:cs="Arial"/>
          <w:szCs w:val="24"/>
          <w:lang w:val="es-ES_tradnl" w:eastAsia="es-ES_tradnl"/>
        </w:rPr>
        <w:t xml:space="preserve">e acuerdo con la Sección Tercera del Consejo de Estado, el AIU, concepto de común utilización en los contratos de tracto sucesivo –entre ellos, los contratos de obra– no cuenta con una definición normativa, pero hay elementos que permiten precisar su alcance, así: </w:t>
      </w:r>
    </w:p>
    <w:p w:rsidRPr="00F3607E" w:rsidR="00CE2DD2" w:rsidP="00CE2DD2" w:rsidRDefault="00CE2DD2" w14:paraId="4A04D47D" w14:textId="77777777">
      <w:pPr>
        <w:spacing w:after="0" w:line="276" w:lineRule="auto"/>
        <w:ind w:firstLine="709"/>
        <w:jc w:val="both"/>
        <w:rPr>
          <w:rFonts w:ascii="Arial" w:hAnsi="Arial" w:cs="Arial"/>
          <w:szCs w:val="24"/>
          <w:lang w:val="es-ES_tradnl" w:eastAsia="es-ES_tradnl"/>
        </w:rPr>
      </w:pPr>
    </w:p>
    <w:p w:rsidRPr="00F3607E" w:rsidR="00CE2DD2" w:rsidP="00CE2DD2" w:rsidRDefault="00CE2DD2" w14:paraId="4F74BBDB" w14:textId="77777777">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 xml:space="preserve">[…] el AIU propuesto para el contrato, corresponde a: </w:t>
      </w:r>
    </w:p>
    <w:p w:rsidRPr="00F3607E" w:rsidR="00CE2DD2" w:rsidP="00CE2DD2" w:rsidRDefault="00CE2DD2" w14:paraId="4C57AD5B" w14:textId="77777777">
      <w:pPr>
        <w:tabs>
          <w:tab w:val="left" w:pos="709"/>
        </w:tabs>
        <w:spacing w:after="0" w:line="240" w:lineRule="auto"/>
        <w:ind w:left="709" w:right="760"/>
        <w:jc w:val="both"/>
        <w:rPr>
          <w:rFonts w:ascii="Arial" w:hAnsi="Arial" w:cs="Arial"/>
          <w:sz w:val="21"/>
          <w:szCs w:val="21"/>
          <w:lang w:val="es-ES_tradnl" w:eastAsia="es-ES_tradnl"/>
        </w:rPr>
      </w:pPr>
    </w:p>
    <w:p w:rsidRPr="00F3607E" w:rsidR="00CE2DD2" w:rsidP="00CE2DD2" w:rsidRDefault="00CE2DD2" w14:paraId="5AA25A64" w14:textId="77777777">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lastRenderedPageBreak/>
        <w:t xml:space="preserve">i) los costos de administración o costos indirectos para la operación del contrato, tales como los gastos de disponibilidad de la organización del contratista, esto es: A; </w:t>
      </w:r>
    </w:p>
    <w:p w:rsidRPr="00F3607E" w:rsidR="00CE2DD2" w:rsidP="00CE2DD2" w:rsidRDefault="00CE2DD2" w14:paraId="2172A278" w14:textId="77777777">
      <w:pPr>
        <w:tabs>
          <w:tab w:val="left" w:pos="709"/>
        </w:tabs>
        <w:spacing w:after="0" w:line="240" w:lineRule="auto"/>
        <w:ind w:left="709" w:right="760"/>
        <w:jc w:val="both"/>
        <w:rPr>
          <w:rFonts w:ascii="Arial" w:hAnsi="Arial" w:cs="Arial"/>
          <w:sz w:val="21"/>
          <w:szCs w:val="21"/>
          <w:lang w:val="es-ES_tradnl" w:eastAsia="es-ES_tradnl"/>
        </w:rPr>
      </w:pPr>
    </w:p>
    <w:p w:rsidRPr="00F3607E" w:rsidR="00CE2DD2" w:rsidP="00CE2DD2" w:rsidRDefault="00CE2DD2" w14:paraId="45CF9DE6" w14:textId="77777777">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 xml:space="preserve">ii) los imprevistos, que es el porcentaje destinado a cubrir los gastos con los que no se contaba y que se presenten durante la ejecución del contrato, esto es, el álea normal del contrato: I; </w:t>
      </w:r>
    </w:p>
    <w:p w:rsidRPr="00F3607E" w:rsidR="00CE2DD2" w:rsidP="00CE2DD2" w:rsidRDefault="00CE2DD2" w14:paraId="48E96542" w14:textId="77777777">
      <w:pPr>
        <w:tabs>
          <w:tab w:val="left" w:pos="709"/>
        </w:tabs>
        <w:spacing w:after="0" w:line="240" w:lineRule="auto"/>
        <w:ind w:left="709" w:right="760"/>
        <w:jc w:val="both"/>
        <w:rPr>
          <w:rFonts w:ascii="Arial" w:hAnsi="Arial" w:cs="Arial"/>
          <w:sz w:val="21"/>
          <w:szCs w:val="21"/>
          <w:lang w:val="es-ES_tradnl" w:eastAsia="es-ES_tradnl"/>
        </w:rPr>
      </w:pPr>
    </w:p>
    <w:p w:rsidRPr="00F3607E" w:rsidR="00797615" w:rsidP="00797615" w:rsidRDefault="00CE2DD2" w14:paraId="19C9FC29" w14:textId="77777777">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 xml:space="preserve">iii) la utilidad o el beneficio económico que pretende percibir el contratista por la ejecución del contrato, esto es: U. </w:t>
      </w:r>
    </w:p>
    <w:p w:rsidRPr="00F3607E" w:rsidR="00797615" w:rsidP="00797615" w:rsidRDefault="00797615" w14:paraId="24522C63" w14:textId="77777777">
      <w:pPr>
        <w:tabs>
          <w:tab w:val="left" w:pos="709"/>
        </w:tabs>
        <w:spacing w:after="0" w:line="240" w:lineRule="auto"/>
        <w:ind w:left="709" w:right="760"/>
        <w:jc w:val="both"/>
        <w:rPr>
          <w:rFonts w:ascii="Arial" w:hAnsi="Arial" w:cs="Arial"/>
          <w:sz w:val="21"/>
          <w:szCs w:val="21"/>
          <w:lang w:val="es-ES_tradnl" w:eastAsia="es-ES_tradnl"/>
        </w:rPr>
      </w:pPr>
    </w:p>
    <w:p w:rsidRPr="00F3607E" w:rsidR="00CE2DD2" w:rsidP="00797615" w:rsidRDefault="00CE2DD2" w14:paraId="36A419FF" w14:textId="7F7D9120">
      <w:pPr>
        <w:tabs>
          <w:tab w:val="left" w:pos="709"/>
        </w:tabs>
        <w:spacing w:after="0" w:line="240" w:lineRule="auto"/>
        <w:ind w:left="709" w:right="760"/>
        <w:jc w:val="both"/>
        <w:rPr>
          <w:rFonts w:ascii="Arial" w:hAnsi="Arial" w:cs="Arial"/>
          <w:sz w:val="21"/>
          <w:szCs w:val="21"/>
          <w:lang w:val="es-ES_tradnl" w:eastAsia="es-ES_tradnl"/>
        </w:rPr>
      </w:pPr>
      <w:r w:rsidRPr="00F3607E">
        <w:rPr>
          <w:rFonts w:ascii="Arial" w:hAnsi="Arial" w:cs="Arial"/>
          <w:sz w:val="21"/>
          <w:szCs w:val="21"/>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F3607E">
        <w:rPr>
          <w:rFonts w:ascii="Arial" w:hAnsi="Arial" w:cs="Arial"/>
          <w:sz w:val="21"/>
          <w:szCs w:val="21"/>
          <w:vertAlign w:val="superscript"/>
          <w:lang w:val="es-ES_tradnl" w:eastAsia="es-ES_tradnl"/>
        </w:rPr>
        <w:footnoteReference w:id="6"/>
      </w:r>
      <w:r w:rsidRPr="00F3607E">
        <w:rPr>
          <w:rFonts w:ascii="Arial" w:hAnsi="Arial" w:cs="Arial"/>
          <w:sz w:val="21"/>
          <w:szCs w:val="21"/>
          <w:lang w:val="es-ES_tradnl" w:eastAsia="es-ES_tradnl"/>
        </w:rPr>
        <w:t>.</w:t>
      </w:r>
    </w:p>
    <w:p w:rsidRPr="00F3607E" w:rsidR="00797615" w:rsidP="00797615" w:rsidRDefault="00797615" w14:paraId="0F357D8D" w14:textId="77777777">
      <w:pPr>
        <w:tabs>
          <w:tab w:val="left" w:pos="709"/>
        </w:tabs>
        <w:spacing w:after="0" w:line="240" w:lineRule="auto"/>
        <w:ind w:left="709" w:right="760"/>
        <w:jc w:val="both"/>
        <w:rPr>
          <w:rFonts w:ascii="Arial" w:hAnsi="Arial" w:cs="Arial"/>
          <w:szCs w:val="24"/>
          <w:lang w:val="es-ES_tradnl" w:eastAsia="es-ES_tradnl"/>
        </w:rPr>
      </w:pPr>
    </w:p>
    <w:p w:rsidRPr="00F3607E" w:rsidR="00CE2DD2" w:rsidP="00CE2DD2" w:rsidRDefault="00B23054" w14:paraId="5358B5F1" w14:textId="0A811027">
      <w:pPr>
        <w:spacing w:before="120" w:after="0" w:line="276" w:lineRule="auto"/>
        <w:ind w:firstLine="709"/>
        <w:jc w:val="both"/>
        <w:rPr>
          <w:rFonts w:ascii="Arial" w:hAnsi="Arial" w:cs="Arial"/>
          <w:szCs w:val="24"/>
          <w:lang w:val="es-ES_tradnl" w:eastAsia="es-ES_tradnl"/>
        </w:rPr>
      </w:pPr>
      <w:r w:rsidRPr="00F3607E">
        <w:rPr>
          <w:rFonts w:ascii="Arial" w:hAnsi="Arial" w:cs="Arial"/>
          <w:szCs w:val="24"/>
          <w:lang w:val="es-ES_tradnl" w:eastAsia="es-ES_tradnl"/>
        </w:rPr>
        <w:t>A su turno, l</w:t>
      </w:r>
      <w:r w:rsidRPr="00F3607E" w:rsidR="00CE2DD2">
        <w:rPr>
          <w:rFonts w:ascii="Arial" w:hAnsi="Arial" w:cs="Arial"/>
          <w:szCs w:val="24"/>
          <w:lang w:val="es-ES_tradnl" w:eastAsia="es-ES_tradnl"/>
        </w:rPr>
        <w:t>a Sala de Consulta y Servicio Civil del Consejo de Estado sostuvo en concepto del 5 de septiembre de 2018</w:t>
      </w:r>
      <w:r w:rsidRPr="00F3607E" w:rsidR="00CE2DD2">
        <w:rPr>
          <w:rFonts w:ascii="Arial" w:hAnsi="Arial" w:cs="Arial"/>
          <w:szCs w:val="24"/>
          <w:vertAlign w:val="superscript"/>
          <w:lang w:val="es-ES_tradnl" w:eastAsia="es-ES_tradnl"/>
        </w:rPr>
        <w:footnoteReference w:id="7"/>
      </w:r>
      <w:r w:rsidRPr="00F3607E" w:rsidR="00CE2DD2">
        <w:rPr>
          <w:rFonts w:ascii="Arial" w:hAnsi="Arial" w:cs="Arial"/>
          <w:szCs w:val="24"/>
          <w:lang w:val="es-ES_tradnl" w:eastAsia="es-ES_tradnl"/>
        </w:rPr>
        <w:t xml:space="preserve"> que «el concepto del A.I.U. comprende la Administración (costos indirectos) imprevistos y utilidades, y en algunos contratos este valor aparece cuantificado en forma independiente al valor de la obra y como un porcentaje de la misma</w:t>
      </w:r>
      <w:r w:rsidRPr="00F3607E" w:rsidR="00CE2DD2">
        <w:rPr>
          <w:rFonts w:ascii="Arial" w:hAnsi="Arial" w:cs="Arial"/>
          <w:szCs w:val="24"/>
          <w:vertAlign w:val="superscript"/>
          <w:lang w:val="es-ES_tradnl" w:eastAsia="es-ES_tradnl"/>
        </w:rPr>
        <w:footnoteReference w:id="8"/>
      </w:r>
      <w:r w:rsidRPr="00F3607E" w:rsidR="00CE2DD2">
        <w:rPr>
          <w:rFonts w:ascii="Arial" w:hAnsi="Arial" w:cs="Arial"/>
          <w:szCs w:val="24"/>
          <w:lang w:val="es-ES_tradnl" w:eastAsia="es-ES_tradnl"/>
        </w:rPr>
        <w:t>, sin perjuicio que en otros contratos este valor no aparezca discriminado y se incorpore en el valor de los precios unitarios»</w:t>
      </w:r>
      <w:r w:rsidRPr="00F3607E" w:rsidR="00CE2DD2">
        <w:rPr>
          <w:rFonts w:ascii="Arial" w:hAnsi="Arial" w:cs="Arial"/>
          <w:szCs w:val="24"/>
          <w:vertAlign w:val="superscript"/>
          <w:lang w:val="es-ES_tradnl" w:eastAsia="es-ES_tradnl"/>
        </w:rPr>
        <w:footnoteReference w:id="9"/>
      </w:r>
      <w:r w:rsidRPr="00F3607E" w:rsidR="00CE2DD2">
        <w:rPr>
          <w:rFonts w:ascii="Arial" w:hAnsi="Arial" w:cs="Arial"/>
          <w:szCs w:val="24"/>
          <w:lang w:val="es-ES_tradnl" w:eastAsia="es-ES_tradnl"/>
        </w:rPr>
        <w:t xml:space="preserve">. </w:t>
      </w:r>
    </w:p>
    <w:p w:rsidRPr="00F3607E" w:rsidR="00CE2DD2" w:rsidP="00CE2DD2" w:rsidRDefault="00CE2DD2" w14:paraId="0D48C282" w14:textId="77777777">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 xml:space="preserve">Así pues, ni el sistema de precios unitarios –como metodología de estipulación del valor contractual–, ni el concepto de AIU, ni mucho menos la forma de calcularlo –es decir, </w:t>
      </w:r>
      <w:r w:rsidRPr="00F3607E">
        <w:rPr>
          <w:rFonts w:ascii="Arial" w:hAnsi="Arial" w:cs="Arial"/>
          <w:bCs/>
          <w:szCs w:val="24"/>
          <w:lang w:val="es-ES_tradnl" w:eastAsia="es-ES_tradnl"/>
        </w:rPr>
        <w:lastRenderedPageBreak/>
        <w:t>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F3607E">
        <w:rPr>
          <w:rFonts w:ascii="Arial" w:hAnsi="Arial" w:cs="Arial"/>
          <w:bCs/>
          <w:szCs w:val="24"/>
          <w:vertAlign w:val="superscript"/>
          <w:lang w:val="es-ES_tradnl" w:eastAsia="es-ES_tradnl"/>
        </w:rPr>
        <w:footnoteReference w:id="10"/>
      </w:r>
      <w:r w:rsidRPr="00F3607E">
        <w:rPr>
          <w:rFonts w:ascii="Arial" w:hAnsi="Arial" w:cs="Arial"/>
          <w:bCs/>
          <w:szCs w:val="24"/>
          <w:lang w:val="es-ES_tradnl" w:eastAsia="es-ES_tradnl"/>
        </w:rPr>
        <w:t xml:space="preserve">. De otro lado, quien define el valor de cada </w:t>
      </w:r>
      <w:r w:rsidRPr="00F3607E">
        <w:rPr>
          <w:rFonts w:ascii="Arial" w:hAnsi="Arial" w:cs="Arial"/>
          <w:bCs/>
          <w:i/>
          <w:iCs/>
          <w:szCs w:val="24"/>
          <w:lang w:val="es-ES_tradnl" w:eastAsia="es-ES_tradnl"/>
        </w:rPr>
        <w:t>letra</w:t>
      </w:r>
      <w:r w:rsidRPr="00F3607E">
        <w:rPr>
          <w:rFonts w:ascii="Arial" w:hAnsi="Arial" w:cs="Arial"/>
          <w:bCs/>
          <w:szCs w:val="24"/>
          <w:lang w:val="es-ES_tradnl" w:eastAsia="es-ES_tradnl"/>
        </w:rPr>
        <w:t xml:space="preserve"> –AIU– es el proponente, pues goza de libertad empresarial para hacerlo en la elaboración de su oferta</w:t>
      </w:r>
      <w:r w:rsidRPr="00F3607E">
        <w:rPr>
          <w:rFonts w:ascii="Arial" w:hAnsi="Arial" w:cs="Arial"/>
          <w:bCs/>
          <w:szCs w:val="24"/>
          <w:vertAlign w:val="superscript"/>
          <w:lang w:val="es-ES_tradnl" w:eastAsia="es-ES_tradnl"/>
        </w:rPr>
        <w:footnoteReference w:id="11"/>
      </w:r>
      <w:r w:rsidRPr="00F3607E">
        <w:rPr>
          <w:rFonts w:ascii="Arial" w:hAnsi="Arial" w:cs="Arial"/>
          <w:bCs/>
          <w:szCs w:val="24"/>
          <w:lang w:val="es-ES_tradnl" w:eastAsia="es-ES_tradnl"/>
        </w:rPr>
        <w:t>.</w:t>
      </w:r>
    </w:p>
    <w:p w:rsidRPr="00F3607E" w:rsidR="002A68BF" w:rsidP="00CE2DD2" w:rsidRDefault="00CE2DD2" w14:paraId="6466C100" w14:textId="4CE22205">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rsidRPr="00F3607E" w:rsidR="00CE2DD2" w:rsidP="00CE2DD2" w:rsidRDefault="00CE2DD2" w14:paraId="1A3FE559" w14:textId="77777777">
      <w:pPr>
        <w:spacing w:after="0" w:line="276" w:lineRule="auto"/>
        <w:ind w:firstLine="709"/>
        <w:jc w:val="both"/>
        <w:rPr>
          <w:rFonts w:ascii="Arial" w:hAnsi="Arial" w:cs="Arial"/>
          <w:bCs/>
          <w:szCs w:val="24"/>
          <w:lang w:val="es-ES_tradnl" w:eastAsia="es-ES_tradnl"/>
        </w:rPr>
      </w:pPr>
    </w:p>
    <w:p w:rsidRPr="00F3607E" w:rsidR="00CD4A24" w:rsidP="00CE2DD2" w:rsidRDefault="00CD4A24" w14:paraId="4418CE7E" w14:textId="671FD03C">
      <w:pPr>
        <w:spacing w:after="0" w:line="276" w:lineRule="auto"/>
        <w:jc w:val="both"/>
        <w:rPr>
          <w:rFonts w:ascii="Arial" w:hAnsi="Arial" w:cs="Arial"/>
          <w:b/>
          <w:lang w:val="es-ES_tradnl"/>
        </w:rPr>
      </w:pPr>
      <w:r w:rsidRPr="00F3607E">
        <w:rPr>
          <w:rFonts w:ascii="Arial" w:hAnsi="Arial" w:cs="Arial"/>
          <w:b/>
        </w:rPr>
        <w:t xml:space="preserve">2.2. </w:t>
      </w:r>
      <w:r w:rsidRPr="00F3607E" w:rsidR="00CE2DD2">
        <w:rPr>
          <w:rFonts w:ascii="Arial" w:hAnsi="Arial" w:cs="Arial"/>
          <w:b/>
          <w:lang w:val="es-ES_tradnl"/>
        </w:rPr>
        <w:t xml:space="preserve">Gestión contractual de los componentes del AIU: </w:t>
      </w:r>
      <w:r w:rsidRPr="00F3607E" w:rsidR="00CE2DD2">
        <w:rPr>
          <w:rFonts w:ascii="Arial" w:hAnsi="Arial" w:cs="Arial"/>
          <w:b/>
          <w:bCs/>
          <w:lang w:val="es-ES_tradnl"/>
        </w:rPr>
        <w:t>particular referencia a la -A-.</w:t>
      </w:r>
    </w:p>
    <w:p w:rsidRPr="00F3607E" w:rsidR="002A68BF" w:rsidP="00CE2DD2" w:rsidRDefault="002A68BF" w14:paraId="1FC7FF17" w14:textId="77777777">
      <w:pPr>
        <w:spacing w:after="0" w:line="276" w:lineRule="auto"/>
        <w:jc w:val="both"/>
        <w:rPr>
          <w:rFonts w:ascii="Arial" w:hAnsi="Arial" w:cs="Arial"/>
          <w:b/>
          <w:szCs w:val="24"/>
          <w:lang w:val="es-ES_tradnl" w:eastAsia="es-ES_tradnl"/>
        </w:rPr>
      </w:pPr>
    </w:p>
    <w:p w:rsidRPr="00F3607E" w:rsidR="00CE2DD2" w:rsidP="006F05A0" w:rsidRDefault="00CE2DD2" w14:paraId="5EB03AE4" w14:textId="77777777">
      <w:pPr>
        <w:spacing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Partiendo de las consideraciones anteriores,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w:t>
      </w:r>
    </w:p>
    <w:p w:rsidRPr="00F3607E" w:rsidR="00CE2DD2" w:rsidP="006F05A0" w:rsidRDefault="00CE2DD2" w14:paraId="29D0189E" w14:textId="77777777">
      <w:pPr>
        <w:spacing w:before="120"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ab/>
      </w:r>
      <w:r w:rsidRPr="00F3607E">
        <w:rPr>
          <w:rFonts w:ascii="Arial" w:hAnsi="Arial" w:cs="Arial"/>
          <w:bCs/>
          <w:szCs w:val="24"/>
          <w:lang w:val="es-ES_tradnl" w:eastAsia="es-ES_tradnl"/>
        </w:rPr>
        <w:t xml:space="preserve">Ahora bien, nada obstaría para que las partes le dieran otros efectos particulares a la forma en que pagan el precio estructurado con AIU. Por ejemplo, podrían incluir cláusulas o reglas bajo las cuales se estableciera que el valor de alguno o de todos los componentes </w:t>
      </w:r>
      <w:r w:rsidRPr="00F3607E">
        <w:rPr>
          <w:rFonts w:ascii="Arial" w:hAnsi="Arial" w:cs="Arial"/>
          <w:bCs/>
          <w:szCs w:val="24"/>
          <w:lang w:val="es-ES_tradnl" w:eastAsia="es-ES_tradnl"/>
        </w:rPr>
        <w:lastRenderedPageBreak/>
        <w:t xml:space="preserve">de la Administración o los Imprevistos solo se pagan si el contratista demuestra que incurrió en algunos costos específicos. Así, podrían pactar que algunos de los ítems o costos que conforman la </w:t>
      </w:r>
      <w:r w:rsidRPr="00F3607E">
        <w:rPr>
          <w:rFonts w:ascii="Arial" w:hAnsi="Arial" w:cs="Arial"/>
          <w:bCs/>
          <w:i/>
          <w:iCs/>
          <w:szCs w:val="24"/>
          <w:lang w:val="es-ES_tradnl" w:eastAsia="es-ES_tradnl"/>
        </w:rPr>
        <w:t>Administración</w:t>
      </w:r>
      <w:r w:rsidRPr="00F3607E">
        <w:rPr>
          <w:rFonts w:ascii="Arial" w:hAnsi="Arial" w:cs="Arial"/>
          <w:bCs/>
          <w:szCs w:val="24"/>
          <w:lang w:val="es-ES_tradnl" w:eastAsia="es-ES_tradnl"/>
        </w:rPr>
        <w:t xml:space="preserve"> solo se paguen si el contratista acredita que incurrió en ellos y bajo el monto que este logre demostrar.</w:t>
      </w:r>
    </w:p>
    <w:p w:rsidRPr="00F3607E" w:rsidR="00CE2DD2" w:rsidP="006F05A0" w:rsidRDefault="00CE2DD2" w14:paraId="2F4D2C6F" w14:textId="77777777">
      <w:pPr>
        <w:spacing w:before="120"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ab/>
      </w:r>
      <w:r w:rsidRPr="00F3607E">
        <w:rPr>
          <w:rFonts w:ascii="Arial" w:hAnsi="Arial" w:cs="Arial"/>
          <w:bCs/>
          <w:szCs w:val="24"/>
          <w:lang w:val="es-ES_tradnl" w:eastAsia="es-ES_tradnl"/>
        </w:rPr>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áleas normales que se presenten en la ejecución del contrato, de manera que aunque el contratista incurra en: mayores costos de los ítems incluidos en la </w:t>
      </w:r>
      <w:r w:rsidRPr="00F3607E">
        <w:rPr>
          <w:rFonts w:ascii="Arial" w:hAnsi="Arial" w:cs="Arial"/>
          <w:bCs/>
          <w:i/>
          <w:iCs/>
          <w:szCs w:val="24"/>
          <w:lang w:val="es-ES_tradnl" w:eastAsia="es-ES_tradnl"/>
        </w:rPr>
        <w:t>Administración</w:t>
      </w:r>
      <w:r w:rsidRPr="00F3607E">
        <w:rPr>
          <w:rFonts w:ascii="Arial" w:hAnsi="Arial" w:cs="Arial"/>
          <w:bCs/>
          <w:szCs w:val="24"/>
          <w:lang w:val="es-ES_tradnl" w:eastAsia="es-ES_tradnl"/>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específico asociado a la </w:t>
      </w:r>
      <w:r w:rsidRPr="00F3607E">
        <w:rPr>
          <w:rFonts w:ascii="Arial" w:hAnsi="Arial" w:cs="Arial"/>
          <w:bCs/>
          <w:i/>
          <w:iCs/>
          <w:szCs w:val="24"/>
          <w:lang w:val="es-ES_tradnl" w:eastAsia="es-ES_tradnl"/>
        </w:rPr>
        <w:t>Administración</w:t>
      </w:r>
      <w:r w:rsidRPr="00F3607E">
        <w:rPr>
          <w:rFonts w:ascii="Arial" w:hAnsi="Arial" w:cs="Arial"/>
          <w:bCs/>
          <w:szCs w:val="24"/>
          <w:lang w:val="es-ES_tradnl" w:eastAsia="es-ES_tradnl"/>
        </w:rPr>
        <w:t>, lo que generaría más gastos tanto para la entidad como para el contratista.</w:t>
      </w:r>
    </w:p>
    <w:p w:rsidRPr="00F3607E" w:rsidR="00CE2DD2" w:rsidP="006F05A0" w:rsidRDefault="00CE2DD2" w14:paraId="3EAE594B" w14:textId="4232B58C">
      <w:pPr>
        <w:spacing w:before="120"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ab/>
      </w:r>
      <w:r w:rsidRPr="00F3607E">
        <w:rPr>
          <w:rFonts w:ascii="Arial" w:hAnsi="Arial" w:cs="Arial"/>
          <w:bCs/>
          <w:szCs w:val="24"/>
          <w:lang w:val="es-ES_tradnl" w:eastAsia="es-ES_tradnl"/>
        </w:rPr>
        <w:t xml:space="preserve">En este sentido, cuando las entidades estatales incluyen esta forma de desglosar el precio, en los últimos términos indicados, al realizar el estudio de mercado elaboran un presupuesto estimado del valor de la ejecución del contrato. Dicho presupuesto estimado incluye los costos genéricos </w:t>
      </w:r>
      <w:r w:rsidRPr="00F3607E">
        <w:rPr>
          <w:rFonts w:ascii="Arial" w:hAnsi="Arial" w:cs="Arial"/>
          <w:bCs/>
          <w:i/>
          <w:iCs/>
          <w:szCs w:val="24"/>
          <w:lang w:val="es-ES_tradnl" w:eastAsia="es-ES_tradnl"/>
        </w:rPr>
        <w:t xml:space="preserve">indirectos </w:t>
      </w:r>
      <w:r w:rsidRPr="00F3607E">
        <w:rPr>
          <w:rFonts w:ascii="Arial" w:hAnsi="Arial" w:cs="Arial"/>
          <w:bCs/>
          <w:szCs w:val="24"/>
          <w:lang w:val="es-ES_tradnl" w:eastAsia="es-ES_tradnl"/>
        </w:rPr>
        <w:t xml:space="preserve">en que incurren los contratistas, entre ellos, los de la </w:t>
      </w:r>
      <w:r w:rsidRPr="00F3607E">
        <w:rPr>
          <w:rFonts w:ascii="Arial" w:hAnsi="Arial" w:cs="Arial"/>
          <w:bCs/>
          <w:i/>
          <w:iCs/>
          <w:szCs w:val="24"/>
          <w:lang w:val="es-ES_tradnl" w:eastAsia="es-ES_tradnl"/>
        </w:rPr>
        <w:t>Administración</w:t>
      </w:r>
      <w:r w:rsidRPr="00F3607E">
        <w:rPr>
          <w:rFonts w:ascii="Arial" w:hAnsi="Arial" w:cs="Arial"/>
          <w:bCs/>
          <w:szCs w:val="24"/>
          <w:lang w:val="es-ES_tradnl" w:eastAsia="es-ES_tradnl"/>
        </w:rPr>
        <w:t xml:space="preserve">, para efectos de definir el porcentaje con el que calculan el presupuesto, pese a que el monto de este componente varía ostensiblemente de un proponente a otro, pues el valor real de la </w:t>
      </w:r>
      <w:r w:rsidRPr="00F3607E">
        <w:rPr>
          <w:rFonts w:ascii="Arial" w:hAnsi="Arial" w:cs="Arial"/>
          <w:bCs/>
          <w:i/>
          <w:iCs/>
          <w:szCs w:val="24"/>
          <w:lang w:val="es-ES_tradnl" w:eastAsia="es-ES_tradnl"/>
        </w:rPr>
        <w:t>Administración</w:t>
      </w:r>
      <w:r w:rsidRPr="00F3607E">
        <w:rPr>
          <w:rFonts w:ascii="Arial" w:hAnsi="Arial" w:cs="Arial"/>
          <w:bCs/>
          <w:szCs w:val="24"/>
          <w:lang w:val="es-ES_tradnl" w:eastAsia="es-ES_tradnl"/>
        </w:rPr>
        <w:t xml:space="preserve"> depende de circunstancias particulares de los proponentes</w:t>
      </w:r>
      <w:r w:rsidRPr="00F3607E">
        <w:rPr>
          <w:rFonts w:ascii="Arial" w:hAnsi="Arial" w:cs="Arial"/>
          <w:bCs/>
          <w:szCs w:val="24"/>
          <w:vertAlign w:val="superscript"/>
          <w:lang w:val="es-ES_tradnl" w:eastAsia="es-ES_tradnl"/>
        </w:rPr>
        <w:footnoteReference w:id="12"/>
      </w:r>
      <w:r w:rsidRPr="00F3607E">
        <w:rPr>
          <w:rFonts w:ascii="Arial" w:hAnsi="Arial" w:cs="Arial"/>
          <w:bCs/>
          <w:szCs w:val="24"/>
          <w:lang w:val="es-ES_tradnl" w:eastAsia="es-ES_tradnl"/>
        </w:rPr>
        <w:t xml:space="preserve">. </w:t>
      </w:r>
    </w:p>
    <w:p w:rsidRPr="00F3607E" w:rsidR="00CE2DD2" w:rsidP="006F05A0" w:rsidRDefault="00CE2DD2" w14:paraId="41A46A36" w14:textId="77777777">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 xml:space="preserve">De manera que las entidades calculan un valor estimado que, a su vez, sirve de guía para que los proponentes formulen sus ofertas, pero bajo la premisa de que pagarán un porcentaje fijo incluido por los interesados en sus propuestas, dado lo variable que </w:t>
      </w:r>
      <w:r w:rsidRPr="00F3607E">
        <w:rPr>
          <w:rFonts w:ascii="Arial" w:hAnsi="Arial" w:cs="Arial"/>
          <w:bCs/>
          <w:szCs w:val="24"/>
          <w:lang w:val="es-ES_tradnl" w:eastAsia="es-ES_tradnl"/>
        </w:rPr>
        <w:lastRenderedPageBreak/>
        <w:t>resulta este valor, y lo complejo y gravoso de realizar un seguimiento minucioso a los costos en que incurren los contratistas por este componente en particular. Además, que estos podrían ser mayores a los inicialmente pactados con el contratista, de manera que la fijación de un porcentaje fijo y estable también puede resultar favorable a la entidad estatal, pues su contraparte no le podrá exigir un monto superior, bajo el argumento de que incurrió en costos adicionales asociados al componente Administración</w:t>
      </w:r>
      <w:r w:rsidRPr="00F3607E">
        <w:rPr>
          <w:rFonts w:ascii="Arial" w:hAnsi="Arial" w:cs="Arial"/>
          <w:bCs/>
          <w:szCs w:val="24"/>
          <w:vertAlign w:val="superscript"/>
          <w:lang w:val="es-ES_tradnl" w:eastAsia="es-ES_tradnl"/>
        </w:rPr>
        <w:footnoteReference w:id="13"/>
      </w:r>
      <w:r w:rsidRPr="00F3607E">
        <w:rPr>
          <w:rFonts w:ascii="Arial" w:hAnsi="Arial" w:cs="Arial"/>
          <w:bCs/>
          <w:szCs w:val="24"/>
          <w:lang w:val="es-ES_tradnl" w:eastAsia="es-ES_tradnl"/>
        </w:rPr>
        <w:t>.</w:t>
      </w:r>
    </w:p>
    <w:p w:rsidRPr="00F3607E" w:rsidR="00CE2DD2" w:rsidP="006F05A0" w:rsidRDefault="00CE2DD2" w14:paraId="5B8B7CE5" w14:textId="77777777">
      <w:pPr>
        <w:spacing w:before="120" w:after="0" w:line="276" w:lineRule="auto"/>
        <w:jc w:val="both"/>
        <w:rPr>
          <w:rFonts w:ascii="Arial" w:hAnsi="Arial" w:cs="Arial"/>
          <w:bCs/>
          <w:szCs w:val="24"/>
          <w:lang w:val="es-ES_tradnl" w:eastAsia="es-ES_tradnl"/>
        </w:rPr>
      </w:pPr>
      <w:r w:rsidRPr="00F3607E">
        <w:rPr>
          <w:rFonts w:ascii="Arial" w:hAnsi="Arial" w:cs="Arial"/>
          <w:bCs/>
          <w:szCs w:val="24"/>
          <w:lang w:val="es-ES_tradnl" w:eastAsia="es-ES_tradnl"/>
        </w:rPr>
        <w:tab/>
      </w:r>
      <w:r w:rsidRPr="00F3607E">
        <w:rPr>
          <w:rFonts w:ascii="Arial" w:hAnsi="Arial" w:cs="Arial"/>
          <w:bCs/>
          <w:szCs w:val="24"/>
          <w:lang w:val="es-ES_tradnl" w:eastAsia="es-ES_tradnl"/>
        </w:rPr>
        <w:t xml:space="preserve">En efecto, frente a los costos que suelen incluirse en la Administración –A–, la jurisprudencia, a partir de la práctica de las entidades estatales, ha señalado que: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En términos similares, pero más precisos, la doctrina, recogiendo la casuística de los contratos estatales, señala de forma más pormenorizada los gastos que se asocian a la –A–, donde se incluyen importantes costos indirectos en que se incurre en la ejecución: </w:t>
      </w:r>
    </w:p>
    <w:p w:rsidRPr="00F3607E" w:rsidR="00CE2DD2" w:rsidP="006F05A0" w:rsidRDefault="00CE2DD2" w14:paraId="114350E2" w14:textId="77777777">
      <w:pPr>
        <w:spacing w:after="0" w:line="276" w:lineRule="auto"/>
        <w:jc w:val="both"/>
        <w:rPr>
          <w:rFonts w:ascii="Arial" w:hAnsi="Arial" w:cs="Arial"/>
          <w:bCs/>
          <w:szCs w:val="24"/>
          <w:lang w:val="es-ES_tradnl" w:eastAsia="es-ES_tradnl"/>
        </w:rPr>
      </w:pPr>
    </w:p>
    <w:p w:rsidRPr="00F3607E" w:rsidR="00CE2DD2" w:rsidP="000B17C9" w:rsidRDefault="00CE2DD2" w14:paraId="5E82B2F6" w14:textId="72F432CD">
      <w:pPr>
        <w:spacing w:after="0" w:line="240" w:lineRule="auto"/>
        <w:ind w:left="709" w:right="709"/>
        <w:jc w:val="both"/>
        <w:rPr>
          <w:rFonts w:ascii="Arial" w:hAnsi="Arial" w:cs="Arial"/>
          <w:szCs w:val="24"/>
          <w:lang w:val="es-ES_tradnl" w:eastAsia="es-ES_tradnl"/>
        </w:rPr>
      </w:pPr>
      <w:r w:rsidRPr="00F3607E">
        <w:rPr>
          <w:rFonts w:ascii="Arial" w:hAnsi="Arial" w:cs="Arial"/>
          <w:sz w:val="21"/>
          <w:szCs w:val="21"/>
          <w:lang w:val="es-ES_tradnl" w:eastAsia="es-ES_tradnl"/>
        </w:rPr>
        <w:t xml:space="preserve">Para entender mejor el tema conviene especificar que si los gastos que hacen parte de la A se encuentran: i) el pago de salarios y prestaciones sociales del personal profesional y especializado necesario para ejecutar la obra –es el caso del Director de obra, los arquitectos, ingenieros y contadores, eventualmente abogados u otros; pero no se incluyen los obreros–, ii) pago de salarios y prestaciones sociales del personal logístico y de apoyo no dedicado directamente con la ejecución del contrato –por ejemplo: las secretarias de la empresa, el servicio de cafetería en mensajero, la vigilancia, los seguros, etc.– sin los que la empresa no puede funcionar; iii) pago de arrendamiento de las instalaciones necesarias para el funcionamiento de la empresa –oficinas y </w:t>
      </w:r>
      <w:r w:rsidRPr="00F3607E">
        <w:rPr>
          <w:rFonts w:ascii="Arial" w:hAnsi="Arial" w:cs="Arial"/>
          <w:i/>
          <w:iCs/>
          <w:sz w:val="21"/>
          <w:szCs w:val="21"/>
          <w:lang w:val="es-ES_tradnl" w:eastAsia="es-ES_tradnl"/>
        </w:rPr>
        <w:t>campamento de la obra</w:t>
      </w:r>
      <w:r w:rsidRPr="00F3607E">
        <w:rPr>
          <w:rFonts w:ascii="Arial" w:hAnsi="Arial" w:cs="Arial"/>
          <w:sz w:val="21"/>
          <w:szCs w:val="21"/>
          <w:lang w:val="es-ES_tradnl" w:eastAsia="es-ES_tradnl"/>
        </w:rPr>
        <w:t>–; iv) pago de impuestos y gravámenes en general que afectan la actividad o el contrato; v) valor de las fotocopias, papelería en general y equipos de oficina, vi) transporte terrestre, tiquetes aéreos y arrendamiento de vehículos –distintos de la maquinaria que se emplea en la obra–, vii) pólizas del contrato, viii) pago de servicios públicos y otras comunicaciones –como el servicio celular– y ix) gastos en que se incurra para realizar ensayos de laboratorio</w:t>
      </w:r>
      <w:r w:rsidRPr="00F3607E">
        <w:rPr>
          <w:rFonts w:ascii="Arial" w:hAnsi="Arial" w:cs="Arial"/>
          <w:sz w:val="21"/>
          <w:szCs w:val="21"/>
          <w:vertAlign w:val="superscript"/>
          <w:lang w:val="es-ES_tradnl" w:eastAsia="es-ES_tradnl"/>
        </w:rPr>
        <w:footnoteReference w:id="14"/>
      </w:r>
      <w:r w:rsidRPr="00F3607E" w:rsidR="00CF48D3">
        <w:rPr>
          <w:rFonts w:ascii="Arial" w:hAnsi="Arial" w:cs="Arial"/>
          <w:sz w:val="21"/>
          <w:szCs w:val="21"/>
          <w:lang w:val="es-ES_tradnl" w:eastAsia="es-ES_tradnl"/>
        </w:rPr>
        <w:t xml:space="preserve"> (</w:t>
      </w:r>
      <w:r w:rsidRPr="00F3607E" w:rsidR="00CF48D3">
        <w:rPr>
          <w:rFonts w:ascii="Arial" w:hAnsi="Arial" w:cs="Arial"/>
          <w:szCs w:val="24"/>
          <w:lang w:val="es-ES_tradnl" w:eastAsia="es-ES_tradnl"/>
        </w:rPr>
        <w:t>Énfasis por fuera de texto).</w:t>
      </w:r>
    </w:p>
    <w:p w:rsidRPr="00F3607E" w:rsidR="00CE2DD2" w:rsidP="00CE2DD2" w:rsidRDefault="00CE2DD2" w14:paraId="57185E6F" w14:textId="77777777">
      <w:pPr>
        <w:spacing w:after="0" w:line="276" w:lineRule="auto"/>
        <w:jc w:val="both"/>
        <w:rPr>
          <w:rFonts w:ascii="Arial" w:hAnsi="Arial" w:cs="Arial"/>
          <w:szCs w:val="24"/>
          <w:lang w:val="es-ES_tradnl" w:eastAsia="es-ES_tradnl"/>
        </w:rPr>
      </w:pPr>
    </w:p>
    <w:p w:rsidRPr="00F3607E" w:rsidR="004120EC" w:rsidP="00CE2DD2" w:rsidRDefault="00CE2DD2" w14:paraId="56FE88E7" w14:textId="3AEBDD82">
      <w:pPr>
        <w:spacing w:after="0" w:line="276" w:lineRule="auto"/>
        <w:jc w:val="both"/>
        <w:rPr>
          <w:rFonts w:ascii="Arial" w:hAnsi="Arial" w:cs="Arial"/>
          <w:bCs/>
          <w:szCs w:val="24"/>
          <w:lang w:val="es-ES_tradnl" w:eastAsia="es-ES_tradnl"/>
        </w:rPr>
      </w:pPr>
      <w:r w:rsidRPr="00F3607E">
        <w:rPr>
          <w:rFonts w:ascii="Arial" w:hAnsi="Arial" w:cs="Arial"/>
          <w:szCs w:val="24"/>
          <w:lang w:val="es-ES_tradnl" w:eastAsia="es-ES_tradnl"/>
        </w:rPr>
        <w:tab/>
      </w:r>
      <w:r w:rsidRPr="00F3607E" w:rsidR="004120EC">
        <w:rPr>
          <w:rFonts w:ascii="Arial" w:hAnsi="Arial" w:cs="Arial"/>
          <w:bCs/>
          <w:szCs w:val="24"/>
          <w:lang w:val="es-ES_tradnl" w:eastAsia="es-ES_tradnl"/>
        </w:rPr>
        <w:t xml:space="preserve">En el mismo sentido, la doctrina especializada ha indicado que los costos indirectos «son aquellos que no constituyen obra en sí mismos, es decir, que no generan realidades físicas; pero son indispensables para implementar dicha obra dentro de un medio ambiente urbano o profesional» e incluye dentro de estos </w:t>
      </w:r>
      <w:r w:rsidRPr="00F3607E" w:rsidR="003E6A1E">
        <w:rPr>
          <w:rFonts w:ascii="Arial" w:hAnsi="Arial" w:cs="Arial"/>
          <w:bCs/>
          <w:szCs w:val="24"/>
          <w:lang w:val="es-ES_tradnl" w:eastAsia="es-ES_tradnl"/>
        </w:rPr>
        <w:t>los</w:t>
      </w:r>
      <w:r w:rsidRPr="00F3607E" w:rsidR="004120EC">
        <w:rPr>
          <w:rFonts w:ascii="Arial" w:hAnsi="Arial" w:cs="Arial"/>
          <w:bCs/>
          <w:szCs w:val="24"/>
          <w:lang w:val="es-ES_tradnl" w:eastAsia="es-ES_tradnl"/>
        </w:rPr>
        <w:t xml:space="preserve"> ítem</w:t>
      </w:r>
      <w:r w:rsidRPr="00F3607E" w:rsidR="003E6A1E">
        <w:rPr>
          <w:rFonts w:ascii="Arial" w:hAnsi="Arial" w:cs="Arial"/>
          <w:bCs/>
          <w:szCs w:val="24"/>
          <w:lang w:val="es-ES_tradnl" w:eastAsia="es-ES_tradnl"/>
        </w:rPr>
        <w:t>s</w:t>
      </w:r>
      <w:r w:rsidRPr="00F3607E" w:rsidR="004120EC">
        <w:rPr>
          <w:rFonts w:ascii="Arial" w:hAnsi="Arial" w:cs="Arial"/>
          <w:bCs/>
          <w:szCs w:val="24"/>
          <w:lang w:val="es-ES_tradnl" w:eastAsia="es-ES_tradnl"/>
        </w:rPr>
        <w:t xml:space="preserve"> de </w:t>
      </w:r>
      <w:r w:rsidRPr="00F3607E" w:rsidR="004120EC">
        <w:rPr>
          <w:rFonts w:ascii="Arial" w:hAnsi="Arial" w:cs="Arial"/>
          <w:bCs/>
          <w:i/>
          <w:iCs/>
          <w:szCs w:val="24"/>
          <w:lang w:val="es-ES_tradnl" w:eastAsia="es-ES_tradnl"/>
        </w:rPr>
        <w:t xml:space="preserve">campamentos de obra </w:t>
      </w:r>
      <w:r w:rsidRPr="00F3607E" w:rsidR="004120EC">
        <w:rPr>
          <w:rFonts w:ascii="Arial" w:hAnsi="Arial" w:cs="Arial"/>
          <w:bCs/>
          <w:szCs w:val="24"/>
          <w:lang w:val="es-ES_tradnl" w:eastAsia="es-ES_tradnl"/>
        </w:rPr>
        <w:t>y su equipamiento como maquinas, computadores, equipos de escritorio, muebles, mesas de trabajo, etc</w:t>
      </w:r>
      <w:r w:rsidRPr="00F3607E" w:rsidR="004120EC">
        <w:rPr>
          <w:rFonts w:ascii="Arial" w:hAnsi="Arial" w:cs="Arial"/>
          <w:bCs/>
          <w:szCs w:val="24"/>
          <w:vertAlign w:val="superscript"/>
          <w:lang w:val="es-ES_tradnl" w:eastAsia="es-ES_tradnl"/>
        </w:rPr>
        <w:footnoteReference w:id="15"/>
      </w:r>
      <w:r w:rsidRPr="00F3607E" w:rsidR="004120EC">
        <w:rPr>
          <w:rFonts w:ascii="Arial" w:hAnsi="Arial" w:cs="Arial"/>
          <w:bCs/>
          <w:szCs w:val="24"/>
          <w:lang w:val="es-ES_tradnl" w:eastAsia="es-ES_tradnl"/>
        </w:rPr>
        <w:t xml:space="preserve">. </w:t>
      </w:r>
    </w:p>
    <w:p w:rsidRPr="00F3607E" w:rsidR="00984327" w:rsidP="0007013D" w:rsidRDefault="003259BD" w14:paraId="2E657449" w14:textId="7FF53B7A">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Así las cosas</w:t>
      </w:r>
      <w:r w:rsidRPr="00F3607E" w:rsidR="00984327">
        <w:rPr>
          <w:rFonts w:ascii="Arial" w:hAnsi="Arial" w:cs="Arial"/>
          <w:bCs/>
          <w:szCs w:val="24"/>
          <w:lang w:val="es-ES_tradnl" w:eastAsia="es-ES_tradnl"/>
        </w:rPr>
        <w:t xml:space="preserve">, las entidades cuentan con discrecionalidad para establecer en el pliego de condiciones o en su documento equivalente, así como en el contrato, el sistema de precios unitarios y la figura del AIU. </w:t>
      </w:r>
      <w:r w:rsidRPr="00F3607E" w:rsidR="0007013D">
        <w:rPr>
          <w:rFonts w:ascii="Arial" w:hAnsi="Arial" w:cs="Arial"/>
          <w:bCs/>
          <w:szCs w:val="24"/>
          <w:lang w:val="es-ES_tradnl" w:eastAsia="es-ES_tradnl"/>
        </w:rPr>
        <w:t xml:space="preserve">De este modo, teniendo en cuenta el concepto de AIU, ni la forma de calcularlo son aspectos que cuenten con una regulación normativa en 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 Al respecto, vale acotar que de conformidad con lo señalado por la doctrina el </w:t>
      </w:r>
      <w:r w:rsidRPr="00F3607E" w:rsidR="0007013D">
        <w:rPr>
          <w:rFonts w:ascii="Arial" w:hAnsi="Arial" w:cs="Arial"/>
          <w:bCs/>
          <w:i/>
          <w:iCs/>
          <w:szCs w:val="24"/>
          <w:lang w:val="es-ES_tradnl" w:eastAsia="es-ES_tradnl"/>
        </w:rPr>
        <w:t>componente de obra</w:t>
      </w:r>
      <w:r w:rsidRPr="00F3607E" w:rsidR="0007013D">
        <w:rPr>
          <w:rFonts w:ascii="Arial" w:hAnsi="Arial" w:cs="Arial"/>
          <w:bCs/>
          <w:szCs w:val="24"/>
          <w:lang w:val="es-ES_tradnl" w:eastAsia="es-ES_tradnl"/>
        </w:rPr>
        <w:t xml:space="preserve"> suele incluirse dentro de los costos indirectos del -A- del AIU al tratarse de aspectos relacionados con los costos administrativos, sin perjuicio del análisis que se realice en cada caso.</w:t>
      </w:r>
    </w:p>
    <w:p w:rsidRPr="00F3607E" w:rsidR="00DE3B48" w:rsidP="002A68BF" w:rsidRDefault="00DE3B48" w14:paraId="4C055FC7" w14:textId="6912FA97">
      <w:pPr>
        <w:spacing w:after="0" w:line="276" w:lineRule="auto"/>
        <w:ind w:firstLine="709"/>
        <w:jc w:val="both"/>
        <w:rPr>
          <w:rFonts w:ascii="Arial" w:hAnsi="Arial" w:cs="Arial"/>
          <w:szCs w:val="24"/>
          <w:lang w:val="es-ES_tradnl" w:eastAsia="es-ES_tradnl"/>
        </w:rPr>
      </w:pPr>
    </w:p>
    <w:p w:rsidRPr="00F3607E" w:rsidR="00F9574A" w:rsidP="002A68BF" w:rsidRDefault="004177A6" w14:paraId="01C0F502" w14:textId="5CEEEEEC">
      <w:pPr>
        <w:tabs>
          <w:tab w:val="left" w:pos="0"/>
        </w:tabs>
        <w:spacing w:after="0" w:line="276" w:lineRule="auto"/>
        <w:jc w:val="both"/>
        <w:rPr>
          <w:rFonts w:ascii="Arial" w:hAnsi="Arial" w:cs="Arial"/>
          <w:b/>
          <w:color w:val="000000" w:themeColor="text1"/>
          <w:lang w:val="es-ES_tradnl"/>
        </w:rPr>
      </w:pPr>
      <w:r w:rsidRPr="00F3607E">
        <w:rPr>
          <w:rFonts w:ascii="Arial" w:hAnsi="Arial" w:cs="Arial"/>
          <w:b/>
          <w:color w:val="000000" w:themeColor="text1"/>
          <w:lang w:val="es-ES_tradnl"/>
        </w:rPr>
        <w:t>3</w:t>
      </w:r>
      <w:r w:rsidRPr="00F3607E" w:rsidR="00B011A9">
        <w:rPr>
          <w:rFonts w:ascii="Arial" w:hAnsi="Arial" w:cs="Arial"/>
          <w:b/>
          <w:color w:val="000000" w:themeColor="text1"/>
          <w:lang w:val="es-ES_tradnl"/>
        </w:rPr>
        <w:t xml:space="preserve">. </w:t>
      </w:r>
      <w:r w:rsidRPr="00F3607E" w:rsidR="00DD5B04">
        <w:rPr>
          <w:rFonts w:ascii="Arial" w:hAnsi="Arial" w:cs="Arial"/>
          <w:b/>
          <w:color w:val="000000" w:themeColor="text1"/>
          <w:lang w:val="es-ES_tradnl"/>
        </w:rPr>
        <w:t>Respuesta</w:t>
      </w:r>
    </w:p>
    <w:p w:rsidRPr="00F3607E" w:rsidR="00E41229" w:rsidP="002A68BF" w:rsidRDefault="00E41229" w14:paraId="5550B511" w14:textId="77777777">
      <w:pPr>
        <w:tabs>
          <w:tab w:val="left" w:pos="0"/>
        </w:tabs>
        <w:spacing w:after="0" w:line="276" w:lineRule="auto"/>
        <w:jc w:val="both"/>
        <w:rPr>
          <w:rFonts w:ascii="Arial" w:hAnsi="Arial" w:cs="Arial"/>
          <w:b/>
          <w:color w:val="000000" w:themeColor="text1"/>
          <w:lang w:val="es-ES_tradnl"/>
        </w:rPr>
      </w:pPr>
    </w:p>
    <w:p w:rsidRPr="00F3607E" w:rsidR="00946113" w:rsidP="00946113" w:rsidRDefault="00946113" w14:paraId="0FE3EACC" w14:textId="7D2EBD51">
      <w:pPr>
        <w:autoSpaceDE w:val="0"/>
        <w:autoSpaceDN w:val="0"/>
        <w:adjustRightInd w:val="0"/>
        <w:spacing w:after="0" w:line="240" w:lineRule="auto"/>
        <w:ind w:left="709" w:right="709"/>
        <w:jc w:val="both"/>
        <w:rPr>
          <w:rFonts w:ascii="Arial" w:hAnsi="Arial" w:cs="Arial"/>
          <w:bCs/>
        </w:rPr>
      </w:pPr>
      <w:r w:rsidRPr="00F3607E">
        <w:rPr>
          <w:rFonts w:ascii="Arial" w:hAnsi="Arial" w:cs="Arial"/>
          <w:bCs/>
        </w:rPr>
        <w:t>«Dentro de los costos directos de un contrato de obra pública, se puede contemplar como costo directo el campamento de la obra?, se puede pagar al contratista de obra dentro de los costos directos el campamento de la obra?, si es posible pagar al contratista de obra el costo directo de campamento de obra, es posible pagarle al ítem campamento de obra el AIU? Que actividades deben incluirse dentro del componente Administración del AIU en un contrato de obra pública».</w:t>
      </w:r>
    </w:p>
    <w:p w:rsidRPr="00F3607E" w:rsidR="007F1C15" w:rsidP="000B5C97" w:rsidRDefault="007F1C15" w14:paraId="1D7A26F8" w14:textId="5D827ABD">
      <w:pPr>
        <w:autoSpaceDE w:val="0"/>
        <w:autoSpaceDN w:val="0"/>
        <w:adjustRightInd w:val="0"/>
        <w:spacing w:after="0" w:line="276" w:lineRule="auto"/>
        <w:ind w:right="709"/>
        <w:jc w:val="both"/>
        <w:rPr>
          <w:rFonts w:ascii="Arial" w:hAnsi="Arial" w:cs="Arial"/>
          <w:sz w:val="21"/>
          <w:szCs w:val="21"/>
        </w:rPr>
      </w:pPr>
    </w:p>
    <w:p w:rsidRPr="00F3607E" w:rsidR="00EB27EB" w:rsidP="00D34790" w:rsidRDefault="00946113" w14:paraId="1FFEF8DB" w14:textId="7986F093">
      <w:pPr>
        <w:spacing w:after="0" w:line="276" w:lineRule="auto"/>
        <w:jc w:val="both"/>
        <w:rPr>
          <w:rFonts w:ascii="Arial" w:hAnsi="Arial" w:cs="Arial"/>
          <w:bCs/>
          <w:lang w:val="es-ES_tradnl"/>
        </w:rPr>
      </w:pPr>
      <w:r w:rsidRPr="00F3607E">
        <w:rPr>
          <w:rFonts w:ascii="Arial" w:hAnsi="Arial" w:cs="Arial"/>
          <w:bCs/>
          <w:lang w:val="es-ES_tradnl"/>
        </w:rPr>
        <w:t xml:space="preserve">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w:t>
      </w:r>
      <w:r w:rsidRPr="00F3607E">
        <w:rPr>
          <w:rFonts w:ascii="Arial" w:hAnsi="Arial" w:cs="Arial"/>
          <w:bCs/>
          <w:lang w:val="es-ES_tradnl"/>
        </w:rPr>
        <w:lastRenderedPageBreak/>
        <w:t xml:space="preserve">su ganancia–. En tal sentido, mientras que los costos directos se evidencian en el análisis de precios unitarios –APU–, como la sumatoria de los valores de los </w:t>
      </w:r>
      <w:r w:rsidRPr="00F3607E">
        <w:rPr>
          <w:rFonts w:ascii="Arial" w:hAnsi="Arial" w:cs="Arial"/>
          <w:bCs/>
          <w:i/>
          <w:iCs/>
          <w:lang w:val="es-ES_tradnl"/>
        </w:rPr>
        <w:t>ítems</w:t>
      </w:r>
      <w:r w:rsidRPr="00F3607E">
        <w:rPr>
          <w:rFonts w:ascii="Arial" w:hAnsi="Arial" w:cs="Arial"/>
          <w:bCs/>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rsidRPr="00F3607E" w:rsidR="00CF48D3" w:rsidP="00EB27EB" w:rsidRDefault="00EB27EB" w14:paraId="6748BAD0" w14:textId="7EB081F1">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w:t>
      </w:r>
      <w:r w:rsidRPr="00F3607E" w:rsidR="00CF48D3">
        <w:rPr>
          <w:rFonts w:ascii="Arial" w:hAnsi="Arial" w:cs="Arial"/>
          <w:bCs/>
          <w:szCs w:val="24"/>
          <w:lang w:val="es-ES_tradnl" w:eastAsia="es-ES_tradnl"/>
        </w:rPr>
        <w:t xml:space="preserve">En consecuencia, las entidades son autónomas para </w:t>
      </w:r>
      <w:r w:rsidRPr="00F3607E" w:rsidR="00BF78FA">
        <w:rPr>
          <w:rFonts w:ascii="Arial" w:hAnsi="Arial" w:cs="Arial"/>
          <w:bCs/>
          <w:szCs w:val="24"/>
          <w:lang w:val="es-ES_tradnl" w:eastAsia="es-ES_tradnl"/>
        </w:rPr>
        <w:t>configurar el precio y para establecer el sistema de pago más apropiado para satisfacer los fines de la contratación,</w:t>
      </w:r>
      <w:r w:rsidRPr="00F3607E" w:rsidR="00D34790">
        <w:rPr>
          <w:rFonts w:ascii="Arial" w:hAnsi="Arial" w:cs="Arial"/>
          <w:bCs/>
          <w:szCs w:val="24"/>
          <w:lang w:val="es-ES_tradnl" w:eastAsia="es-ES_tradnl"/>
        </w:rPr>
        <w:t xml:space="preserve"> así como </w:t>
      </w:r>
      <w:r w:rsidRPr="00F3607E" w:rsidR="00796DAE">
        <w:rPr>
          <w:rFonts w:ascii="Arial" w:hAnsi="Arial" w:cs="Arial"/>
          <w:bCs/>
          <w:szCs w:val="24"/>
          <w:lang w:val="es-ES_tradnl" w:eastAsia="es-ES_tradnl"/>
        </w:rPr>
        <w:t xml:space="preserve">para </w:t>
      </w:r>
      <w:r w:rsidRPr="00F3607E" w:rsidR="00D34790">
        <w:rPr>
          <w:rFonts w:ascii="Arial" w:hAnsi="Arial" w:cs="Arial"/>
          <w:bCs/>
          <w:szCs w:val="24"/>
          <w:lang w:val="es-ES_tradnl" w:eastAsia="es-ES_tradnl"/>
        </w:rPr>
        <w:t xml:space="preserve">establecer los costos directos </w:t>
      </w:r>
      <w:r w:rsidRPr="00F3607E" w:rsidR="00796DAE">
        <w:rPr>
          <w:rFonts w:ascii="Arial" w:hAnsi="Arial" w:cs="Arial"/>
          <w:bCs/>
          <w:szCs w:val="24"/>
          <w:lang w:eastAsia="es-ES_tradnl"/>
        </w:rPr>
        <w:t>necesarios para la ejecución del objeto contractual</w:t>
      </w:r>
      <w:r w:rsidRPr="00F3607E" w:rsidR="00796DAE">
        <w:rPr>
          <w:rFonts w:ascii="Arial" w:hAnsi="Arial" w:cs="Arial"/>
          <w:bCs/>
          <w:szCs w:val="24"/>
          <w:lang w:val="es-ES_tradnl" w:eastAsia="es-ES_tradnl"/>
        </w:rPr>
        <w:t xml:space="preserve"> </w:t>
      </w:r>
      <w:r w:rsidRPr="00F3607E" w:rsidR="00D34790">
        <w:rPr>
          <w:rFonts w:ascii="Arial" w:hAnsi="Arial" w:cs="Arial"/>
          <w:bCs/>
          <w:szCs w:val="24"/>
          <w:lang w:val="es-ES_tradnl" w:eastAsia="es-ES_tradnl"/>
        </w:rPr>
        <w:t xml:space="preserve">de acuerdo al negocio jurídico a celebrar </w:t>
      </w:r>
      <w:r w:rsidRPr="00F3607E" w:rsidR="00BF78FA">
        <w:rPr>
          <w:rFonts w:ascii="Arial" w:hAnsi="Arial" w:cs="Arial"/>
          <w:bCs/>
          <w:szCs w:val="24"/>
          <w:lang w:val="es-ES_tradnl" w:eastAsia="es-ES_tradnl"/>
        </w:rPr>
        <w:t>respetando los límites previstos en el ordenamiento.</w:t>
      </w:r>
      <w:r w:rsidRPr="00F3607E" w:rsidR="00796DAE">
        <w:rPr>
          <w:rFonts w:ascii="Arial" w:hAnsi="Arial" w:cs="Arial"/>
          <w:bCs/>
          <w:szCs w:val="24"/>
          <w:lang w:val="es-ES_tradnl" w:eastAsia="es-ES_tradnl"/>
        </w:rPr>
        <w:t xml:space="preserve"> Dentro de los costos directos</w:t>
      </w:r>
      <w:r w:rsidRPr="00F3607E" w:rsidR="00574A86">
        <w:rPr>
          <w:rFonts w:ascii="Arial" w:hAnsi="Arial" w:cs="Arial"/>
          <w:bCs/>
          <w:szCs w:val="24"/>
          <w:lang w:val="es-ES_tradnl" w:eastAsia="es-ES_tradnl"/>
        </w:rPr>
        <w:t xml:space="preserve"> la jurisprudencia señala que para el análisis de precios unitarios se tendrá en cuenta «</w:t>
      </w:r>
      <w:r w:rsidRPr="00F3607E" w:rsidR="00574A86">
        <w:rPr>
          <w:rFonts w:ascii="Arial" w:hAnsi="Arial" w:cs="Arial"/>
          <w:bCs/>
          <w:szCs w:val="24"/>
          <w:lang w:eastAsia="es-ES_tradnl"/>
        </w:rPr>
        <w:t>la maquinaria que se utilizará, calculando el valor por el tiempo que se requiera; la mano de obra, teniendo en cuenta el costo hora-hombre, y cuántas personas se requieren para la ejecución de esa unidad de medida; la cantidad de los materiales necesarios, etc.</w:t>
      </w:r>
      <w:r w:rsidRPr="00F3607E" w:rsidR="00574A86">
        <w:rPr>
          <w:rFonts w:ascii="Arial" w:hAnsi="Arial" w:cs="Arial"/>
          <w:bCs/>
          <w:szCs w:val="24"/>
          <w:lang w:val="es-ES_tradnl" w:eastAsia="es-ES_tradnl"/>
        </w:rPr>
        <w:t>»</w:t>
      </w:r>
      <w:r w:rsidR="00453837">
        <w:rPr>
          <w:rFonts w:ascii="Arial" w:hAnsi="Arial" w:cs="Arial"/>
          <w:bCs/>
          <w:szCs w:val="24"/>
          <w:lang w:val="es-ES_tradnl" w:eastAsia="es-ES_tradnl"/>
        </w:rPr>
        <w:t>.</w:t>
      </w:r>
    </w:p>
    <w:p w:rsidRPr="00F3607E" w:rsidR="00EB27EB" w:rsidP="00574A86" w:rsidRDefault="00796DAE" w14:paraId="3DFF42F6" w14:textId="04E0D017">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F</w:t>
      </w:r>
      <w:r w:rsidRPr="00F3607E" w:rsidR="00EB27EB">
        <w:rPr>
          <w:rFonts w:ascii="Arial" w:hAnsi="Arial" w:cs="Arial"/>
          <w:bCs/>
          <w:szCs w:val="24"/>
          <w:lang w:val="es-ES_tradnl" w:eastAsia="es-ES_tradnl"/>
        </w:rPr>
        <w:t>rente a los costos</w:t>
      </w:r>
      <w:r w:rsidRPr="00F3607E" w:rsidR="00574A86">
        <w:rPr>
          <w:rFonts w:ascii="Arial" w:hAnsi="Arial" w:cs="Arial"/>
          <w:bCs/>
          <w:szCs w:val="24"/>
          <w:lang w:val="es-ES_tradnl" w:eastAsia="es-ES_tradnl"/>
        </w:rPr>
        <w:t xml:space="preserve"> indirectos</w:t>
      </w:r>
      <w:r w:rsidRPr="00F3607E" w:rsidR="00EB27EB">
        <w:rPr>
          <w:rFonts w:ascii="Arial" w:hAnsi="Arial" w:cs="Arial"/>
          <w:bCs/>
          <w:szCs w:val="24"/>
          <w:lang w:val="es-ES_tradnl" w:eastAsia="es-ES_tradnl"/>
        </w:rPr>
        <w:t xml:space="preserve"> que suelen incluirse en la Administración –A–,</w:t>
      </w:r>
      <w:r w:rsidRPr="00F3607E" w:rsidR="00D34790">
        <w:rPr>
          <w:rFonts w:ascii="Arial" w:hAnsi="Arial" w:cs="Arial"/>
          <w:bCs/>
          <w:szCs w:val="24"/>
          <w:lang w:val="es-ES_tradnl" w:eastAsia="es-ES_tradnl"/>
        </w:rPr>
        <w:t xml:space="preserve"> del AIU</w:t>
      </w:r>
      <w:r w:rsidRPr="00F3607E" w:rsidR="00EB27EB">
        <w:rPr>
          <w:rFonts w:ascii="Arial" w:hAnsi="Arial" w:cs="Arial"/>
          <w:bCs/>
          <w:szCs w:val="24"/>
          <w:lang w:val="es-ES_tradnl" w:eastAsia="es-ES_tradnl"/>
        </w:rPr>
        <w:t xml:space="preserve"> </w:t>
      </w:r>
      <w:r w:rsidRPr="00F3607E" w:rsidR="00574A86">
        <w:rPr>
          <w:rFonts w:ascii="Arial" w:hAnsi="Arial" w:cs="Arial"/>
          <w:bCs/>
          <w:szCs w:val="24"/>
          <w:lang w:val="es-ES_tradnl" w:eastAsia="es-ES_tradnl"/>
        </w:rPr>
        <w:t xml:space="preserve">la doctrina recogiendo la casuística de los contratos estatales señala que dentro de estos se incluyen «i) el pago de salarios y prestaciones sociales del personal profesional y especializado necesario para ejecutar la obra –es el caso del Director de obra, los arquitectos, ingenieros y contadores, eventualmente abogados u otros; pero no se incluyen los obreros–, ii) pago de salarios y prestaciones sociales del personal logístico y de apoyo no dedicado directamente con la ejecución del contrato –por ejemplo: las secretarias de la empresa, el servicio de cafetería en mensajero, la vigilancia, los seguros, etc.– sin los que la empresa no puede funcionar; iii) pago de arrendamiento de las instalaciones necesarias para el funcionamiento de la empresa –oficinas y </w:t>
      </w:r>
      <w:r w:rsidRPr="00F3607E" w:rsidR="00574A86">
        <w:rPr>
          <w:rFonts w:ascii="Arial" w:hAnsi="Arial" w:cs="Arial"/>
          <w:bCs/>
          <w:i/>
          <w:iCs/>
          <w:szCs w:val="24"/>
          <w:lang w:val="es-ES_tradnl" w:eastAsia="es-ES_tradnl"/>
        </w:rPr>
        <w:t>campamento de la obra</w:t>
      </w:r>
      <w:r w:rsidRPr="00F3607E" w:rsidR="00574A86">
        <w:rPr>
          <w:rFonts w:ascii="Arial" w:hAnsi="Arial" w:cs="Arial"/>
          <w:bCs/>
          <w:szCs w:val="24"/>
          <w:lang w:val="es-ES_tradnl" w:eastAsia="es-ES_tradnl"/>
        </w:rPr>
        <w:t>–;</w:t>
      </w:r>
      <w:r w:rsidRPr="00F3607E" w:rsidR="00574A86">
        <w:rPr>
          <w:rFonts w:ascii="Arial" w:hAnsi="Arial" w:cs="Arial"/>
          <w:bCs/>
          <w:sz w:val="20"/>
          <w:szCs w:val="20"/>
          <w:lang w:val="es-ES_tradnl" w:eastAsia="es-ES_tradnl"/>
        </w:rPr>
        <w:t>[…]</w:t>
      </w:r>
      <w:r w:rsidRPr="00F3607E" w:rsidR="00574A86">
        <w:rPr>
          <w:rFonts w:ascii="Arial" w:hAnsi="Arial" w:cs="Arial"/>
          <w:bCs/>
          <w:szCs w:val="24"/>
          <w:lang w:val="es-ES_tradnl" w:eastAsia="es-ES_tradnl"/>
        </w:rPr>
        <w:t>». Asimismo, l</w:t>
      </w:r>
      <w:r w:rsidRPr="00F3607E" w:rsidR="00D34790">
        <w:rPr>
          <w:rFonts w:ascii="Arial" w:hAnsi="Arial" w:cs="Arial"/>
          <w:bCs/>
          <w:szCs w:val="24"/>
          <w:lang w:val="es-ES_tradnl" w:eastAsia="es-ES_tradnl"/>
        </w:rPr>
        <w:t xml:space="preserve">a doctrina especializada ha indicado que los costos indirectos «son aquellos que no constituyen obra en sí mismos, es decir, que no generan realidades físicas; pero son indispensables para implementar dicha obra dentro de un medio ambiente urbano o profesional» e incluye dentro de estos los ítems de </w:t>
      </w:r>
      <w:r w:rsidRPr="00F3607E" w:rsidR="00D34790">
        <w:rPr>
          <w:rFonts w:ascii="Arial" w:hAnsi="Arial" w:cs="Arial"/>
          <w:bCs/>
          <w:i/>
          <w:iCs/>
          <w:szCs w:val="24"/>
          <w:lang w:val="es-ES_tradnl" w:eastAsia="es-ES_tradnl"/>
        </w:rPr>
        <w:t xml:space="preserve">campamentos de obra </w:t>
      </w:r>
      <w:r w:rsidRPr="00F3607E" w:rsidR="00D34790">
        <w:rPr>
          <w:rFonts w:ascii="Arial" w:hAnsi="Arial" w:cs="Arial"/>
          <w:bCs/>
          <w:szCs w:val="24"/>
          <w:lang w:val="es-ES_tradnl" w:eastAsia="es-ES_tradnl"/>
        </w:rPr>
        <w:t>y su equipamiento como maquinas, computadores, equipos de escritorio, muebles, mesas de trabajo, etc</w:t>
      </w:r>
      <w:r w:rsidRPr="00F3607E" w:rsidR="00574A86">
        <w:rPr>
          <w:rFonts w:ascii="Arial" w:hAnsi="Arial" w:cs="Arial"/>
          <w:bCs/>
          <w:szCs w:val="24"/>
          <w:lang w:val="es-ES_tradnl" w:eastAsia="es-ES_tradnl"/>
        </w:rPr>
        <w:t>.</w:t>
      </w:r>
    </w:p>
    <w:p w:rsidRPr="00F3607E" w:rsidR="00EB27EB" w:rsidP="009A27CE" w:rsidRDefault="00BF78FA" w14:paraId="187DFEDC" w14:textId="4B607F3E">
      <w:pPr>
        <w:spacing w:before="120" w:after="0" w:line="276" w:lineRule="auto"/>
        <w:ind w:firstLine="709"/>
        <w:jc w:val="both"/>
        <w:rPr>
          <w:rFonts w:ascii="Arial" w:hAnsi="Arial" w:cs="Arial"/>
          <w:bCs/>
          <w:szCs w:val="24"/>
          <w:lang w:val="es-ES_tradnl" w:eastAsia="es-ES_tradnl"/>
        </w:rPr>
      </w:pPr>
      <w:r w:rsidRPr="00F3607E">
        <w:rPr>
          <w:rFonts w:ascii="Arial" w:hAnsi="Arial" w:cs="Arial"/>
          <w:bCs/>
          <w:szCs w:val="24"/>
          <w:lang w:val="es-ES_tradnl" w:eastAsia="es-ES_tradnl"/>
        </w:rPr>
        <w:t>En este sentido</w:t>
      </w:r>
      <w:r w:rsidRPr="00F3607E" w:rsidR="00EB27EB">
        <w:rPr>
          <w:rFonts w:ascii="Arial" w:hAnsi="Arial" w:cs="Arial"/>
          <w:bCs/>
          <w:szCs w:val="24"/>
          <w:lang w:val="es-ES_tradnl" w:eastAsia="es-ES_tradnl"/>
        </w:rPr>
        <w:t xml:space="preserve">, las entidades cuentan con discrecionalidad para establecer en el pliego de condiciones o en su documento equivalente, así como en el contrato, el sistema de precios unitarios y la figura del AIU. </w:t>
      </w:r>
      <w:r w:rsidRPr="00F3607E" w:rsidR="0007013D">
        <w:rPr>
          <w:rFonts w:ascii="Arial" w:hAnsi="Arial" w:cs="Arial"/>
          <w:bCs/>
          <w:szCs w:val="24"/>
          <w:lang w:val="es-ES_tradnl" w:eastAsia="es-ES_tradnl"/>
        </w:rPr>
        <w:t>De este modo</w:t>
      </w:r>
      <w:r w:rsidRPr="00F3607E" w:rsidR="00EB27EB">
        <w:rPr>
          <w:rFonts w:ascii="Arial" w:hAnsi="Arial" w:cs="Arial"/>
          <w:bCs/>
          <w:szCs w:val="24"/>
          <w:lang w:val="es-ES_tradnl" w:eastAsia="es-ES_tradnl"/>
        </w:rPr>
        <w:t xml:space="preserve">, teniendo en cuenta el concepto de AIU, ni la forma de calcularlo son aspectos que cuenten con una regulación normativa en </w:t>
      </w:r>
      <w:r w:rsidRPr="00F3607E" w:rsidR="00EB27EB">
        <w:rPr>
          <w:rFonts w:ascii="Arial" w:hAnsi="Arial" w:cs="Arial"/>
          <w:bCs/>
          <w:szCs w:val="24"/>
          <w:lang w:val="es-ES_tradnl" w:eastAsia="es-ES_tradnl"/>
        </w:rPr>
        <w:lastRenderedPageBreak/>
        <w:t xml:space="preserve">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 </w:t>
      </w:r>
    </w:p>
    <w:p w:rsidRPr="00F3607E" w:rsidR="00946113" w:rsidP="00F3607E" w:rsidRDefault="00946113" w14:paraId="6C0790C8" w14:textId="77777777">
      <w:pPr>
        <w:spacing w:after="0" w:line="276" w:lineRule="auto"/>
        <w:jc w:val="both"/>
        <w:rPr>
          <w:rFonts w:ascii="Arial" w:hAnsi="Arial" w:cs="Arial"/>
          <w:lang w:val="es-MX"/>
        </w:rPr>
      </w:pPr>
    </w:p>
    <w:p w:rsidRPr="00F3607E" w:rsidR="00D40F8B" w:rsidP="00B21AD4" w:rsidRDefault="00DD5B04" w14:paraId="056816F7" w14:textId="36C087E7">
      <w:pPr>
        <w:widowControl w:val="0"/>
        <w:autoSpaceDE w:val="0"/>
        <w:autoSpaceDN w:val="0"/>
        <w:spacing w:line="276" w:lineRule="auto"/>
        <w:jc w:val="both"/>
        <w:rPr>
          <w:rFonts w:ascii="Arial" w:hAnsi="Arial" w:cs="Arial"/>
          <w:lang w:val="es-ES_tradnl" w:bidi="es-ES"/>
        </w:rPr>
      </w:pPr>
      <w:r w:rsidRPr="00F3607E">
        <w:rPr>
          <w:rFonts w:ascii="Arial" w:hAnsi="Arial" w:cs="Arial"/>
          <w:color w:val="000000" w:themeColor="text1"/>
          <w:lang w:val="es-ES_tradnl"/>
        </w:rPr>
        <w:t>Este concepto tiene el alcance previsto en el artículo 28 del Código de Procedimiento Administrativo y de</w:t>
      </w:r>
      <w:r w:rsidRPr="00F3607E" w:rsidR="00D40F8B">
        <w:rPr>
          <w:rFonts w:ascii="Arial" w:hAnsi="Arial" w:cs="Arial"/>
          <w:color w:val="000000" w:themeColor="text1"/>
          <w:lang w:val="es-ES_tradnl"/>
        </w:rPr>
        <w:t xml:space="preserve"> lo Contencioso Administrativo.</w:t>
      </w:r>
    </w:p>
    <w:p w:rsidRPr="00F3607E" w:rsidR="00003233" w:rsidP="00D40F8B" w:rsidRDefault="00003233" w14:paraId="6F54E9C9" w14:textId="77777777">
      <w:pPr>
        <w:spacing w:before="120" w:line="276" w:lineRule="auto"/>
        <w:jc w:val="both"/>
        <w:rPr>
          <w:rFonts w:ascii="Arial" w:hAnsi="Arial" w:cs="Arial"/>
          <w:color w:val="000000" w:themeColor="text1"/>
          <w:lang w:val="es-ES_tradnl"/>
        </w:rPr>
      </w:pPr>
    </w:p>
    <w:p w:rsidRPr="00F3607E" w:rsidR="00D40F8B" w:rsidP="00DF76A2" w:rsidRDefault="00861F0F" w14:paraId="349855C9" w14:textId="4E2C915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3607E">
        <w:rPr>
          <w:rFonts w:ascii="Arial" w:hAnsi="Arial" w:cs="Arial"/>
          <w:color w:val="000000" w:themeColor="text1"/>
          <w:sz w:val="22"/>
          <w:szCs w:val="22"/>
          <w:lang w:val="es-ES_tradnl"/>
        </w:rPr>
        <w:t>Atentamente,</w:t>
      </w:r>
    </w:p>
    <w:p w:rsidRPr="00F3607E" w:rsidR="00D40F8B" w:rsidP="00003233" w:rsidRDefault="00937358" w14:paraId="10A1E411" w14:textId="6E5A7357">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F07D156" wp14:editId="09F6861F">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rsidRPr="00F3607E" w:rsidR="00003233" w:rsidP="00AD4A51" w:rsidRDefault="00003233" w14:paraId="1ED13883" w14:textId="77777777">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708CB" w:rsidR="00DD5B04" w:rsidTr="4355E107" w14:paraId="0C7DC5F7" w14:textId="77777777">
        <w:trPr>
          <w:trHeight w:val="160"/>
        </w:trPr>
        <w:tc>
          <w:tcPr>
            <w:tcW w:w="812" w:type="dxa"/>
            <w:tcMar/>
            <w:vAlign w:val="center"/>
            <w:hideMark/>
          </w:tcPr>
          <w:p w:rsidRPr="00F3607E" w:rsidR="00DD5B04" w:rsidP="00AD4A51" w:rsidRDefault="00DD5B04" w14:paraId="5BDB1AC9" w14:textId="77777777">
            <w:pPr>
              <w:spacing w:after="0" w:line="240" w:lineRule="auto"/>
              <w:jc w:val="both"/>
              <w:rPr>
                <w:rFonts w:ascii="Arial" w:hAnsi="Arial" w:cs="Arial"/>
                <w:color w:val="000000" w:themeColor="text1"/>
                <w:sz w:val="16"/>
                <w:szCs w:val="16"/>
                <w:lang w:val="es-ES_tradnl" w:eastAsia="es-ES"/>
              </w:rPr>
            </w:pPr>
            <w:r w:rsidRPr="00F3607E">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tcMar/>
            <w:vAlign w:val="center"/>
            <w:hideMark/>
          </w:tcPr>
          <w:p w:rsidRPr="00F3607E" w:rsidR="00DD5B04" w:rsidP="00AD4A51" w:rsidRDefault="00F412DF" w14:paraId="7F9F79B1" w14:textId="6E181913">
            <w:pPr>
              <w:spacing w:after="0" w:line="240" w:lineRule="auto"/>
              <w:jc w:val="both"/>
              <w:rPr>
                <w:rFonts w:ascii="Arial" w:hAnsi="Arial" w:cs="Arial"/>
                <w:color w:val="000000" w:themeColor="text1"/>
                <w:sz w:val="16"/>
                <w:szCs w:val="16"/>
                <w:lang w:val="es-ES_tradnl" w:eastAsia="es-ES"/>
              </w:rPr>
            </w:pPr>
            <w:r w:rsidRPr="00F3607E">
              <w:rPr>
                <w:rFonts w:ascii="Arial" w:hAnsi="Arial" w:cs="Arial"/>
                <w:color w:val="000000" w:themeColor="text1"/>
                <w:sz w:val="16"/>
                <w:szCs w:val="16"/>
                <w:lang w:val="es-ES_tradnl" w:eastAsia="es-ES"/>
              </w:rPr>
              <w:t>Tatiana Baquero Iguarán</w:t>
            </w:r>
          </w:p>
          <w:p w:rsidRPr="00F3607E" w:rsidR="00DD5B04" w:rsidP="00AD4A51" w:rsidRDefault="00DD5B04" w14:paraId="240C71FD" w14:textId="31312C95">
            <w:pPr>
              <w:spacing w:after="0" w:line="240" w:lineRule="auto"/>
              <w:jc w:val="both"/>
              <w:rPr>
                <w:rFonts w:ascii="Arial" w:hAnsi="Arial" w:cs="Arial"/>
                <w:color w:val="000000" w:themeColor="text1"/>
                <w:sz w:val="16"/>
                <w:szCs w:val="16"/>
                <w:lang w:val="es-ES_tradnl" w:eastAsia="es-ES"/>
              </w:rPr>
            </w:pPr>
            <w:r w:rsidRPr="00F3607E">
              <w:rPr>
                <w:rFonts w:ascii="Arial" w:hAnsi="Arial" w:cs="Arial"/>
                <w:color w:val="000000" w:themeColor="text1"/>
                <w:sz w:val="16"/>
                <w:szCs w:val="16"/>
                <w:lang w:val="es-ES_tradnl" w:eastAsia="es-ES"/>
              </w:rPr>
              <w:t>Contratista</w:t>
            </w:r>
            <w:r w:rsidRPr="00F3607E" w:rsidR="00FF0050">
              <w:rPr>
                <w:rFonts w:ascii="Arial" w:hAnsi="Arial" w:cs="Arial"/>
                <w:color w:val="000000" w:themeColor="text1"/>
                <w:sz w:val="16"/>
                <w:szCs w:val="16"/>
                <w:lang w:val="es-ES_tradnl" w:eastAsia="es-ES"/>
              </w:rPr>
              <w:t xml:space="preserve"> de la </w:t>
            </w:r>
            <w:r w:rsidRPr="00F3607E">
              <w:rPr>
                <w:rFonts w:ascii="Arial" w:hAnsi="Arial" w:cs="Arial"/>
                <w:color w:val="000000" w:themeColor="text1"/>
                <w:sz w:val="16"/>
                <w:szCs w:val="16"/>
                <w:lang w:val="es-ES_tradnl" w:eastAsia="es-ES"/>
              </w:rPr>
              <w:t>Subdirección de Gestión Contractual</w:t>
            </w:r>
          </w:p>
        </w:tc>
      </w:tr>
      <w:tr w:rsidRPr="005708CB" w:rsidR="00DD5B04" w:rsidTr="4355E107" w14:paraId="2F8FD650" w14:textId="77777777">
        <w:trPr>
          <w:trHeight w:val="330"/>
        </w:trPr>
        <w:tc>
          <w:tcPr>
            <w:tcW w:w="812" w:type="dxa"/>
            <w:tcMar/>
            <w:vAlign w:val="center"/>
            <w:hideMark/>
          </w:tcPr>
          <w:p w:rsidRPr="00F3607E" w:rsidR="00DD5B04" w:rsidP="00AD4A51" w:rsidRDefault="00DD5B04" w14:paraId="50203A0B" w14:textId="77777777">
            <w:pPr>
              <w:spacing w:after="0" w:line="240" w:lineRule="auto"/>
              <w:jc w:val="both"/>
              <w:rPr>
                <w:rFonts w:ascii="Arial" w:hAnsi="Arial" w:cs="Arial"/>
                <w:color w:val="000000" w:themeColor="text1"/>
                <w:sz w:val="16"/>
                <w:szCs w:val="16"/>
                <w:lang w:val="es-ES_tradnl" w:eastAsia="es-ES"/>
              </w:rPr>
            </w:pPr>
            <w:r w:rsidRPr="00F3607E">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Pr="00F3607E" w:rsidR="003A07D9" w:rsidP="00AD4A51" w:rsidRDefault="0037195B" w14:paraId="21A4DC18" w14:textId="7A62242E">
            <w:pPr>
              <w:spacing w:after="0" w:line="240" w:lineRule="auto"/>
              <w:jc w:val="both"/>
              <w:rPr>
                <w:rFonts w:ascii="Arial" w:hAnsi="Arial" w:cs="Arial"/>
                <w:color w:val="000000" w:themeColor="text1"/>
                <w:sz w:val="16"/>
                <w:szCs w:val="16"/>
                <w:lang w:eastAsia="es-ES"/>
              </w:rPr>
            </w:pPr>
            <w:r w:rsidRPr="00F3607E">
              <w:rPr>
                <w:rFonts w:ascii="Arial" w:hAnsi="Arial" w:cs="Arial"/>
                <w:color w:val="000000" w:themeColor="text1"/>
                <w:sz w:val="16"/>
                <w:szCs w:val="16"/>
                <w:lang w:eastAsia="es-ES"/>
              </w:rPr>
              <w:t xml:space="preserve">Alejandro Sarmiento Cantillo </w:t>
            </w:r>
          </w:p>
          <w:p w:rsidRPr="00F3607E" w:rsidR="00DD5B04" w:rsidP="00AD4A51" w:rsidRDefault="003A07D9" w14:paraId="130B3228" w14:textId="7B765391">
            <w:pPr>
              <w:spacing w:after="0" w:line="240" w:lineRule="auto"/>
              <w:jc w:val="both"/>
              <w:rPr>
                <w:rFonts w:ascii="Arial" w:hAnsi="Arial" w:cs="Arial"/>
                <w:color w:val="000000" w:themeColor="text1"/>
                <w:sz w:val="16"/>
                <w:szCs w:val="16"/>
                <w:lang w:eastAsia="es-ES"/>
              </w:rPr>
            </w:pPr>
            <w:r w:rsidRPr="00F3607E">
              <w:rPr>
                <w:rFonts w:ascii="Arial" w:hAnsi="Arial" w:cs="Arial"/>
                <w:color w:val="000000" w:themeColor="text1"/>
                <w:sz w:val="16"/>
                <w:szCs w:val="16"/>
                <w:lang w:eastAsia="es-ES"/>
              </w:rPr>
              <w:t>Gestor T1-15 de la Subdirección de Gestión Contractual</w:t>
            </w:r>
          </w:p>
        </w:tc>
      </w:tr>
      <w:tr w:rsidRPr="005708CB" w:rsidR="00DD5B04" w:rsidTr="4355E107" w14:paraId="0FCBCA4A" w14:textId="77777777">
        <w:trPr>
          <w:trHeight w:val="300"/>
        </w:trPr>
        <w:tc>
          <w:tcPr>
            <w:tcW w:w="812" w:type="dxa"/>
            <w:tcMar/>
            <w:vAlign w:val="center"/>
            <w:hideMark/>
          </w:tcPr>
          <w:p w:rsidRPr="00F3607E" w:rsidR="00DD5B04" w:rsidP="00AD4A51" w:rsidRDefault="00DD5B04" w14:paraId="3C1D943A" w14:textId="77777777">
            <w:pPr>
              <w:spacing w:after="0" w:line="240" w:lineRule="auto"/>
              <w:jc w:val="both"/>
              <w:rPr>
                <w:rFonts w:ascii="Arial" w:hAnsi="Arial" w:cs="Arial"/>
                <w:color w:val="000000" w:themeColor="text1"/>
                <w:sz w:val="16"/>
                <w:szCs w:val="16"/>
                <w:lang w:val="es-ES_tradnl" w:eastAsia="es-ES"/>
              </w:rPr>
            </w:pPr>
            <w:r w:rsidRPr="00F3607E">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Pr="00F3607E" w:rsidR="009A27CE" w:rsidP="009A27CE" w:rsidRDefault="009A27CE" w14:paraId="4DFB31BE" w14:textId="77777777">
            <w:pPr>
              <w:spacing w:after="0" w:line="240" w:lineRule="auto"/>
              <w:rPr>
                <w:rFonts w:ascii="Arial" w:hAnsi="Arial" w:cs="Arial"/>
                <w:color w:val="000000" w:themeColor="text1"/>
                <w:sz w:val="16"/>
                <w:szCs w:val="16"/>
                <w:lang w:eastAsia="es-ES"/>
              </w:rPr>
            </w:pPr>
            <w:r w:rsidRPr="00F3607E">
              <w:rPr>
                <w:rFonts w:ascii="Arial" w:hAnsi="Arial" w:cs="Arial"/>
                <w:color w:val="000000" w:themeColor="text1"/>
                <w:sz w:val="16"/>
                <w:szCs w:val="16"/>
                <w:lang w:eastAsia="es-ES"/>
              </w:rPr>
              <w:t>Nohelia del Carmen Zawady Palacio</w:t>
            </w:r>
          </w:p>
          <w:p w:rsidRPr="00F3607E" w:rsidR="00DD5B04" w:rsidP="4355E107" w:rsidRDefault="00DD5B04" w14:paraId="1ADC483B" w14:textId="1E5D32A5">
            <w:pPr>
              <w:spacing w:after="0" w:line="240" w:lineRule="auto"/>
              <w:rPr>
                <w:rFonts w:ascii="Arial" w:hAnsi="Arial" w:cs="Arial"/>
                <w:color w:val="000000" w:themeColor="text1"/>
                <w:sz w:val="16"/>
                <w:szCs w:val="16"/>
                <w:lang w:val="es-ES" w:eastAsia="es-ES"/>
              </w:rPr>
            </w:pPr>
            <w:r w:rsidRPr="4355E107" w:rsidR="009A27CE">
              <w:rPr>
                <w:rFonts w:ascii="Arial" w:hAnsi="Arial" w:eastAsia="Arial" w:cs="Arial"/>
                <w:color w:val="000000" w:themeColor="text1" w:themeTint="FF" w:themeShade="FF"/>
                <w:sz w:val="16"/>
                <w:szCs w:val="16"/>
              </w:rPr>
              <w:t>Subdirectora de Gestión Contractual</w:t>
            </w:r>
          </w:p>
        </w:tc>
      </w:tr>
      <w:bookmarkEnd w:id="0"/>
      <w:bookmarkEnd w:id="2"/>
    </w:tbl>
    <w:p w:rsidRPr="00F3607E" w:rsidR="003A07D9" w:rsidP="003A07D9" w:rsidRDefault="003A07D9" w14:paraId="575AF8D6" w14:textId="503E82EC">
      <w:pPr>
        <w:tabs>
          <w:tab w:val="left" w:pos="3570"/>
        </w:tabs>
        <w:rPr>
          <w:rFonts w:ascii="Arial" w:hAnsi="Arial" w:cs="Arial"/>
          <w:lang w:val="es-ES_tradnl"/>
        </w:rPr>
      </w:pPr>
    </w:p>
    <w:sectPr w:rsidRPr="00F3607E" w:rsidR="003A07D9" w:rsidSect="00F3607E">
      <w:headerReference w:type="default" r:id="rId13"/>
      <w:footerReference w:type="default" r:id="rId14"/>
      <w:pgSz w:w="12240" w:h="15840" w:orient="portrait"/>
      <w:pgMar w:top="2041" w:right="1750" w:bottom="1418" w:left="1701" w:header="340" w:footer="22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94F" w:rsidRDefault="0038794F" w14:paraId="606CEED6" w14:textId="77777777">
      <w:r>
        <w:separator/>
      </w:r>
    </w:p>
  </w:endnote>
  <w:endnote w:type="continuationSeparator" w:id="0">
    <w:p w:rsidR="0038794F" w:rsidRDefault="0038794F" w14:paraId="58BBA0FD" w14:textId="77777777">
      <w:r>
        <w:continuationSeparator/>
      </w:r>
    </w:p>
  </w:endnote>
  <w:endnote w:type="continuationNotice" w:id="1">
    <w:p w:rsidR="0038794F" w:rsidRDefault="0038794F" w14:paraId="18C5EE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0796E" w:rsidR="00E2520A" w:rsidP="0020796E" w:rsidRDefault="0020796E" w14:paraId="48FC6A04" w14:textId="7C6D95CC">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0"/>
      <w:gridCol w:w="642"/>
      <w:gridCol w:w="835"/>
      <w:gridCol w:w="1659"/>
      <w:gridCol w:w="717"/>
      <w:gridCol w:w="2551"/>
      <w:gridCol w:w="1423"/>
    </w:tblGrid>
    <w:tr w:rsidRPr="00080DA3" w:rsidR="0020796E" w:rsidTr="0020796E" w14:paraId="68BC7901" w14:textId="77777777">
      <w:trPr>
        <w:trHeight w:val="198"/>
        <w:jc w:val="center"/>
      </w:trPr>
      <w:tc>
        <w:tcPr>
          <w:tcW w:w="276"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20796E" w:rsidP="0020796E" w:rsidRDefault="0020796E" w14:paraId="708FF6F4"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20796E" w:rsidP="0020796E" w:rsidRDefault="0020796E" w14:paraId="5E01DE96"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20796E" w:rsidP="0020796E" w:rsidRDefault="0020796E" w14:paraId="08C4F949"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vAlign w:val="center"/>
        </w:tcPr>
        <w:p w:rsidRPr="004B6B0E" w:rsidR="0020796E" w:rsidP="0020796E" w:rsidRDefault="0020796E" w14:paraId="079C225D"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20796E" w:rsidP="0020796E" w:rsidRDefault="0020796E" w14:paraId="0BDF1025"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20796E" w:rsidP="0020796E" w:rsidRDefault="0020796E" w14:paraId="077B246D" w14:textId="7777777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6D6D6D" w:themeColor="background1" w:themeShade="80" w:sz="4" w:space="0"/>
            <w:left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20796E" w:rsidP="0020796E" w:rsidRDefault="0020796E" w14:paraId="1A3119EE"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E2520A" w:rsidRDefault="00E2520A" w14:paraId="2CCD54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94F" w:rsidRDefault="0038794F" w14:paraId="2752B374" w14:textId="77777777">
      <w:r>
        <w:separator/>
      </w:r>
    </w:p>
  </w:footnote>
  <w:footnote w:type="continuationSeparator" w:id="0">
    <w:p w:rsidR="0038794F" w:rsidRDefault="0038794F" w14:paraId="6AAF83C1" w14:textId="77777777">
      <w:r>
        <w:continuationSeparator/>
      </w:r>
    </w:p>
  </w:footnote>
  <w:footnote w:type="continuationNotice" w:id="1">
    <w:p w:rsidR="0038794F" w:rsidRDefault="0038794F" w14:paraId="43097854" w14:textId="77777777"/>
  </w:footnote>
  <w:footnote w:id="2">
    <w:p w:rsidRPr="008A218F" w:rsidR="006B3BA7" w:rsidP="00CD4A24" w:rsidRDefault="006B3BA7" w14:paraId="2309CD5C" w14:textId="7F937D13">
      <w:pPr>
        <w:pStyle w:val="Textonotapie"/>
        <w:ind w:firstLine="709"/>
        <w:jc w:val="both"/>
        <w:rPr>
          <w:rFonts w:ascii="Arial" w:hAnsi="Arial" w:eastAsia="Times New Roman" w:cs="Arial"/>
          <w:sz w:val="18"/>
          <w:szCs w:val="18"/>
          <w:lang w:eastAsia="es-ES_tradnl"/>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Times New Roman" w:cs="Arial"/>
          <w:sz w:val="18"/>
          <w:szCs w:val="18"/>
          <w:lang w:eastAsia="es-ES_tradnl"/>
        </w:rPr>
        <w:t xml:space="preserve">Estos conceptos pueden ser consultados en la Relatoría de esta Agencia en el siguiente </w:t>
      </w:r>
      <w:proofErr w:type="gramStart"/>
      <w:r w:rsidRPr="00F3607E">
        <w:rPr>
          <w:rFonts w:ascii="Arial" w:hAnsi="Arial" w:eastAsia="Times New Roman" w:cs="Arial"/>
          <w:sz w:val="18"/>
          <w:szCs w:val="18"/>
          <w:lang w:eastAsia="es-ES_tradnl"/>
        </w:rPr>
        <w:t>Link</w:t>
      </w:r>
      <w:proofErr w:type="gramEnd"/>
      <w:r w:rsidRPr="00F3607E">
        <w:rPr>
          <w:rFonts w:ascii="Arial" w:hAnsi="Arial" w:eastAsia="Times New Roman" w:cs="Arial"/>
          <w:sz w:val="18"/>
          <w:szCs w:val="18"/>
          <w:lang w:eastAsia="es-ES_tradnl"/>
        </w:rPr>
        <w:t xml:space="preserve">: </w:t>
      </w:r>
      <w:hyperlink w:history="1" r:id="rId1">
        <w:r w:rsidRPr="00F3607E" w:rsidR="008A218F">
          <w:rPr>
            <w:rStyle w:val="Hipervnculo"/>
            <w:rFonts w:ascii="Arial" w:hAnsi="Arial"/>
            <w:color w:val="auto"/>
            <w:sz w:val="18"/>
            <w:szCs w:val="18"/>
          </w:rPr>
          <w:t>https://relatoria.colombiacompra.gov.co/busqueda/conceptos</w:t>
        </w:r>
      </w:hyperlink>
    </w:p>
    <w:p w:rsidRPr="00F3607E" w:rsidR="008A218F" w:rsidP="00CD4A24" w:rsidRDefault="008A218F" w14:paraId="1EC2384D" w14:textId="77777777">
      <w:pPr>
        <w:pStyle w:val="Textonotapie"/>
        <w:ind w:firstLine="709"/>
        <w:jc w:val="both"/>
        <w:rPr>
          <w:rFonts w:ascii="Arial" w:hAnsi="Arial" w:cs="Arial"/>
          <w:sz w:val="18"/>
          <w:szCs w:val="18"/>
          <w:lang w:val="es-CO"/>
        </w:rPr>
      </w:pPr>
    </w:p>
  </w:footnote>
  <w:footnote w:id="3">
    <w:p w:rsidRPr="00F3607E" w:rsidR="00CE2DD2" w:rsidP="00F3607E" w:rsidRDefault="00CE2DD2" w14:paraId="21CCFEA2" w14:textId="77777777">
      <w:pPr>
        <w:pStyle w:val="Textonotapie"/>
        <w:spacing w:after="120"/>
        <w:ind w:firstLine="709"/>
        <w:jc w:val="both"/>
        <w:rPr>
          <w:rFonts w:ascii="Arial" w:hAnsi="Arial" w:eastAsia="Calibri" w:cs="Arial"/>
          <w:sz w:val="18"/>
          <w:szCs w:val="18"/>
          <w:lang w:val="es-ES_tradnl" w:eastAsia="es-ES_tradnl"/>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rsidRPr="00F3607E" w:rsidR="00CE2DD2" w:rsidP="00CE2DD2" w:rsidRDefault="00CE2DD2" w14:paraId="505140ED" w14:textId="77777777">
      <w:pPr>
        <w:pStyle w:val="Textonotapie"/>
        <w:ind w:firstLine="709"/>
        <w:jc w:val="both"/>
        <w:rPr>
          <w:rFonts w:ascii="Arial" w:hAnsi="Arial" w:cs="Arial"/>
          <w:sz w:val="18"/>
          <w:szCs w:val="18"/>
          <w:lang w:val="es-ES"/>
        </w:rPr>
      </w:pPr>
      <w:proofErr w:type="gramStart"/>
      <w:r w:rsidRPr="00F3607E">
        <w:rPr>
          <w:rFonts w:ascii="Arial" w:hAnsi="Arial" w:eastAsia="Calibri" w:cs="Arial"/>
          <w:sz w:val="18"/>
          <w:szCs w:val="18"/>
          <w:lang w:val="es-ES_tradnl" w:eastAsia="es-ES_tradnl"/>
        </w:rPr>
        <w:t>»Sin</w:t>
      </w:r>
      <w:proofErr w:type="gramEnd"/>
      <w:r w:rsidRPr="00F3607E">
        <w:rPr>
          <w:rFonts w:ascii="Arial" w:hAnsi="Arial" w:eastAsia="Calibri" w:cs="Arial"/>
          <w:sz w:val="18"/>
          <w:szCs w:val="18"/>
          <w:lang w:val="es-ES_tradnl" w:eastAsia="es-ES_tradnl"/>
        </w:rPr>
        <w:t xml:space="preserve">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4">
    <w:p w:rsidRPr="00F3607E" w:rsidR="00D649EB" w:rsidP="00D649EB" w:rsidRDefault="00D649EB" w14:paraId="1B6F11CA" w14:textId="6E6E1DEA">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982323" w:rsidR="00982323">
        <w:rPr>
          <w:rFonts w:ascii="Arial" w:hAnsi="Arial" w:eastAsia="Calibri" w:cs="Arial"/>
          <w:sz w:val="18"/>
          <w:szCs w:val="18"/>
          <w:lang w:val="es-ES_tradnl" w:eastAsia="es-ES_tradnl"/>
        </w:rPr>
        <w:t>CONSEJO DE ESTADO</w:t>
      </w:r>
      <w:r w:rsidRPr="00F3607E">
        <w:rPr>
          <w:rFonts w:ascii="Arial" w:hAnsi="Arial" w:eastAsia="Calibri" w:cs="Arial"/>
          <w:sz w:val="18"/>
          <w:szCs w:val="18"/>
          <w:lang w:val="es-ES_tradnl" w:eastAsia="es-ES_tradnl"/>
        </w:rPr>
        <w:t xml:space="preserve">. Sección Tercera. Subsección B. Sentencia del 29 de febrero de 2012. </w:t>
      </w:r>
      <w:proofErr w:type="spellStart"/>
      <w:r w:rsidRPr="00F3607E">
        <w:rPr>
          <w:rFonts w:ascii="Arial" w:hAnsi="Arial" w:eastAsia="Calibri" w:cs="Arial"/>
          <w:sz w:val="18"/>
          <w:szCs w:val="18"/>
          <w:lang w:val="es-ES_tradnl" w:eastAsia="es-ES_tradnl"/>
        </w:rPr>
        <w:t>Exp</w:t>
      </w:r>
      <w:proofErr w:type="spellEnd"/>
      <w:r w:rsidRPr="00F3607E">
        <w:rPr>
          <w:rFonts w:ascii="Arial" w:hAnsi="Arial" w:eastAsia="Calibri" w:cs="Arial"/>
          <w:sz w:val="18"/>
          <w:szCs w:val="18"/>
          <w:lang w:val="es-ES_tradnl" w:eastAsia="es-ES_tradnl"/>
        </w:rPr>
        <w:t xml:space="preserve">. 16371, C.P. Danilo Rojas </w:t>
      </w:r>
      <w:proofErr w:type="spellStart"/>
      <w:r w:rsidRPr="00F3607E">
        <w:rPr>
          <w:rFonts w:ascii="Arial" w:hAnsi="Arial" w:eastAsia="Calibri" w:cs="Arial"/>
          <w:sz w:val="18"/>
          <w:szCs w:val="18"/>
          <w:lang w:val="es-ES_tradnl" w:eastAsia="es-ES_tradnl"/>
        </w:rPr>
        <w:t>Betancourth</w:t>
      </w:r>
      <w:proofErr w:type="spellEnd"/>
      <w:r w:rsidRPr="00F3607E">
        <w:rPr>
          <w:rFonts w:ascii="Arial" w:hAnsi="Arial" w:eastAsia="Calibri" w:cs="Arial"/>
          <w:sz w:val="18"/>
          <w:szCs w:val="18"/>
          <w:lang w:val="es-ES_tradnl" w:eastAsia="es-ES_tradnl"/>
        </w:rPr>
        <w:t>.</w:t>
      </w:r>
    </w:p>
    <w:p w:rsidRPr="00F3607E" w:rsidR="00D649EB" w:rsidRDefault="00D649EB" w14:paraId="309D87F5" w14:textId="0F0A3440">
      <w:pPr>
        <w:pStyle w:val="Textonotapie"/>
        <w:rPr>
          <w:rFonts w:ascii="Arial" w:hAnsi="Arial" w:cs="Arial"/>
          <w:sz w:val="18"/>
          <w:szCs w:val="18"/>
          <w:lang w:val="es-CO"/>
        </w:rPr>
      </w:pPr>
    </w:p>
  </w:footnote>
  <w:footnote w:id="5">
    <w:p w:rsidRPr="00F3607E" w:rsidR="00285523" w:rsidP="00F3607E" w:rsidRDefault="00285523" w14:paraId="3D40F0E7" w14:textId="626F5F00">
      <w:pPr>
        <w:pStyle w:val="Textonotapie"/>
        <w:ind w:firstLine="709"/>
        <w:jc w:val="both"/>
        <w:rPr>
          <w:rFonts w:ascii="Arial" w:hAnsi="Arial" w:cs="Arial"/>
          <w:sz w:val="18"/>
          <w:szCs w:val="18"/>
          <w:lang w:val="es-CO"/>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sidR="00500527">
        <w:rPr>
          <w:rFonts w:ascii="Arial" w:hAnsi="Arial" w:eastAsia="Calibri" w:cs="Arial"/>
          <w:sz w:val="18"/>
          <w:szCs w:val="18"/>
          <w:lang w:val="es-ES_tradnl" w:eastAsia="es-ES_tradnl"/>
        </w:rPr>
        <w:t>PINO RICCI, Jorge. El régimen jurídico de los contratos estatales. Universidad Externado de Colombia. Bogotá, 2005. pp. 416.</w:t>
      </w:r>
    </w:p>
  </w:footnote>
  <w:footnote w:id="6">
    <w:p w:rsidRPr="00F3607E" w:rsidR="00CE2DD2" w:rsidP="00CE2DD2" w:rsidRDefault="00CE2DD2" w14:paraId="5834A727" w14:textId="1FB060B3">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0B17C9" w:rsidR="000B17C9">
        <w:rPr>
          <w:rFonts w:ascii="Arial" w:hAnsi="Arial" w:eastAsia="Calibri" w:cs="Arial"/>
          <w:sz w:val="18"/>
          <w:szCs w:val="18"/>
          <w:lang w:val="es-ES_tradnl" w:eastAsia="es-ES_tradnl"/>
        </w:rPr>
        <w:t>CONSEJO DE ESTADO</w:t>
      </w:r>
      <w:r w:rsidRPr="00F3607E">
        <w:rPr>
          <w:rFonts w:ascii="Arial" w:hAnsi="Arial" w:eastAsia="Calibri" w:cs="Arial"/>
          <w:sz w:val="18"/>
          <w:szCs w:val="18"/>
          <w:lang w:val="es-ES_tradnl" w:eastAsia="es-ES_tradnl"/>
        </w:rPr>
        <w:t xml:space="preserve">. Sección Tercera. Subsección B. Sentencia del 14 de octubre de 2011. </w:t>
      </w:r>
      <w:proofErr w:type="spellStart"/>
      <w:r w:rsidRPr="00F3607E">
        <w:rPr>
          <w:rFonts w:ascii="Arial" w:hAnsi="Arial" w:eastAsia="Calibri" w:cs="Arial"/>
          <w:sz w:val="18"/>
          <w:szCs w:val="18"/>
          <w:lang w:val="es-ES_tradnl" w:eastAsia="es-ES_tradnl"/>
        </w:rPr>
        <w:t>Exp</w:t>
      </w:r>
      <w:proofErr w:type="spellEnd"/>
      <w:r w:rsidRPr="00F3607E">
        <w:rPr>
          <w:rFonts w:ascii="Arial" w:hAnsi="Arial" w:eastAsia="Calibri" w:cs="Arial"/>
          <w:sz w:val="18"/>
          <w:szCs w:val="18"/>
          <w:lang w:val="es-ES_tradnl" w:eastAsia="es-ES_tradnl"/>
        </w:rPr>
        <w:t>. 20811, C.P. Ruth Stella Correa Palacio.</w:t>
      </w:r>
    </w:p>
    <w:p w:rsidRPr="00F3607E" w:rsidR="00CE2DD2" w:rsidP="00CE2DD2" w:rsidRDefault="00CE2DD2" w14:paraId="76FD61F3" w14:textId="77777777">
      <w:pPr>
        <w:pStyle w:val="Textonotapie"/>
        <w:jc w:val="both"/>
        <w:rPr>
          <w:rFonts w:ascii="Arial" w:hAnsi="Arial" w:cs="Arial"/>
          <w:sz w:val="18"/>
          <w:szCs w:val="18"/>
          <w:lang w:val="es-ES"/>
        </w:rPr>
      </w:pPr>
    </w:p>
  </w:footnote>
  <w:footnote w:id="7">
    <w:p w:rsidRPr="00F3607E" w:rsidR="00CE2DD2" w:rsidP="00CE2DD2" w:rsidRDefault="00CE2DD2" w14:paraId="71A39EDC" w14:textId="6A21458B">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0B17C9" w:rsidR="000B17C9">
        <w:rPr>
          <w:rFonts w:ascii="Arial" w:hAnsi="Arial" w:eastAsia="Calibri" w:cs="Arial"/>
          <w:sz w:val="18"/>
          <w:szCs w:val="18"/>
          <w:lang w:val="es-ES_tradnl" w:eastAsia="es-ES_tradnl"/>
        </w:rPr>
        <w:t xml:space="preserve">CONSEJO DE ESTADO. </w:t>
      </w:r>
      <w:r w:rsidRPr="00F3607E">
        <w:rPr>
          <w:rFonts w:ascii="Arial" w:hAnsi="Arial" w:eastAsia="Calibri" w:cs="Arial"/>
          <w:sz w:val="18"/>
          <w:szCs w:val="18"/>
          <w:lang w:val="es-ES_tradnl" w:eastAsia="es-ES_tradnl"/>
        </w:rPr>
        <w:t>Sala de Consulta y Servicio Civil. Concepto del 5 de septiembre de 2018, radicado No. 11001-03-06-000-2018-00124-00 C.P. Édgar González López.</w:t>
      </w:r>
    </w:p>
    <w:p w:rsidRPr="00F3607E" w:rsidR="00CE2DD2" w:rsidP="00CE2DD2" w:rsidRDefault="00CE2DD2" w14:paraId="2D125A3B" w14:textId="77777777">
      <w:pPr>
        <w:pStyle w:val="Textonotapie"/>
        <w:jc w:val="both"/>
        <w:rPr>
          <w:rFonts w:ascii="Arial" w:hAnsi="Arial" w:cs="Arial"/>
          <w:sz w:val="18"/>
          <w:szCs w:val="18"/>
          <w:lang w:val="es-ES"/>
        </w:rPr>
      </w:pPr>
    </w:p>
  </w:footnote>
  <w:footnote w:id="8">
    <w:p w:rsidRPr="00F3607E" w:rsidR="00CE2DD2" w:rsidP="00CE2DD2" w:rsidRDefault="00CE2DD2" w14:paraId="341C4A19" w14:textId="77777777">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rsidRPr="00F3607E" w:rsidR="00CE2DD2" w:rsidP="00CE2DD2" w:rsidRDefault="00CE2DD2" w14:paraId="3C53718E" w14:textId="77777777">
      <w:pPr>
        <w:pStyle w:val="Textonotapie"/>
        <w:ind w:firstLine="708"/>
        <w:jc w:val="both"/>
        <w:rPr>
          <w:rFonts w:ascii="Arial" w:hAnsi="Arial" w:cs="Arial"/>
          <w:sz w:val="18"/>
          <w:szCs w:val="18"/>
          <w:lang w:val="es-ES"/>
        </w:rPr>
      </w:pPr>
    </w:p>
  </w:footnote>
  <w:footnote w:id="9">
    <w:p w:rsidRPr="00F3607E" w:rsidR="00CE2DD2" w:rsidP="00CE2DD2" w:rsidRDefault="00CE2DD2" w14:paraId="68383192" w14:textId="77777777">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F3607E">
        <w:rPr>
          <w:rFonts w:ascii="Arial" w:hAnsi="Arial" w:cs="Arial"/>
          <w:sz w:val="18"/>
          <w:szCs w:val="18"/>
        </w:rPr>
        <w:t xml:space="preserve"> </w:t>
      </w:r>
    </w:p>
    <w:p w:rsidRPr="00F3607E" w:rsidR="00CE2DD2" w:rsidP="00CE2DD2" w:rsidRDefault="00CE2DD2" w14:paraId="4ED297D6" w14:textId="77777777">
      <w:pPr>
        <w:pStyle w:val="Textonotapie"/>
        <w:ind w:firstLine="708"/>
        <w:jc w:val="both"/>
        <w:rPr>
          <w:rFonts w:ascii="Arial" w:hAnsi="Arial" w:cs="Arial"/>
          <w:sz w:val="18"/>
          <w:szCs w:val="18"/>
          <w:lang w:val="es-CO"/>
        </w:rPr>
      </w:pPr>
    </w:p>
  </w:footnote>
  <w:footnote w:id="10">
    <w:p w:rsidRPr="00F3607E" w:rsidR="00CE2DD2" w:rsidP="00CE2DD2" w:rsidRDefault="00CE2DD2" w14:paraId="0017D8DE" w14:textId="77777777">
      <w:pPr>
        <w:pStyle w:val="Textonotapie"/>
        <w:ind w:firstLine="709"/>
        <w:jc w:val="both"/>
        <w:rPr>
          <w:rFonts w:ascii="Arial" w:hAnsi="Arial" w:eastAsia="Calibri" w:cs="Arial"/>
          <w:sz w:val="18"/>
          <w:szCs w:val="18"/>
          <w:lang w:val="es-ES_tradnl" w:eastAsia="es-ES_tradnl"/>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 xml:space="preserve">MARÍN, </w:t>
      </w:r>
      <w:proofErr w:type="spellStart"/>
      <w:r w:rsidRPr="00F3607E">
        <w:rPr>
          <w:rFonts w:ascii="Arial" w:hAnsi="Arial" w:eastAsia="Calibri" w:cs="Arial"/>
          <w:sz w:val="18"/>
          <w:szCs w:val="18"/>
          <w:lang w:val="es-ES_tradnl" w:eastAsia="es-ES_tradnl"/>
        </w:rPr>
        <w:t>Op</w:t>
      </w:r>
      <w:proofErr w:type="spellEnd"/>
      <w:r w:rsidRPr="00F3607E">
        <w:rPr>
          <w:rFonts w:ascii="Arial" w:hAnsi="Arial" w:eastAsia="Calibri" w:cs="Arial"/>
          <w:sz w:val="18"/>
          <w:szCs w:val="18"/>
          <w:lang w:val="es-ES_tradnl" w:eastAsia="es-ES_tradnl"/>
        </w:rPr>
        <w:t>. Cit., pp. 64-65.</w:t>
      </w:r>
    </w:p>
    <w:p w:rsidRPr="00F3607E" w:rsidR="00CE2DD2" w:rsidP="00CE2DD2" w:rsidRDefault="00CE2DD2" w14:paraId="2DE7743F" w14:textId="77777777">
      <w:pPr>
        <w:pStyle w:val="Textonotapie"/>
        <w:ind w:firstLine="709"/>
        <w:jc w:val="both"/>
        <w:rPr>
          <w:rFonts w:ascii="Arial" w:hAnsi="Arial" w:cs="Arial"/>
          <w:sz w:val="18"/>
          <w:szCs w:val="18"/>
          <w:lang w:val="es-ES"/>
        </w:rPr>
      </w:pPr>
    </w:p>
  </w:footnote>
  <w:footnote w:id="11">
    <w:p w:rsidRPr="00F3607E" w:rsidR="00CE2DD2" w:rsidP="00CE2DD2" w:rsidRDefault="00CE2DD2" w14:paraId="23636630" w14:textId="77777777">
      <w:pPr>
        <w:pStyle w:val="Textonotapie"/>
        <w:ind w:firstLine="709"/>
        <w:jc w:val="both"/>
        <w:rPr>
          <w:rFonts w:ascii="Arial" w:hAnsi="Arial" w:cs="Arial"/>
          <w:sz w:val="18"/>
          <w:szCs w:val="18"/>
          <w:lang w:val="es-ES"/>
        </w:rPr>
      </w:pPr>
      <w:r w:rsidRPr="00F3607E">
        <w:rPr>
          <w:rStyle w:val="Refdenotaalpie"/>
          <w:rFonts w:ascii="Arial" w:hAnsi="Arial" w:cs="Arial"/>
          <w:sz w:val="18"/>
          <w:szCs w:val="18"/>
        </w:rPr>
        <w:footnoteRef/>
      </w:r>
      <w:r w:rsidRPr="00F3607E">
        <w:rPr>
          <w:rFonts w:ascii="Arial" w:hAnsi="Arial" w:cs="Arial"/>
          <w:sz w:val="18"/>
          <w:szCs w:val="18"/>
        </w:rPr>
        <w:t xml:space="preserve"> </w:t>
      </w:r>
      <w:proofErr w:type="spellStart"/>
      <w:r w:rsidRPr="00F3607E">
        <w:rPr>
          <w:rFonts w:ascii="Arial" w:hAnsi="Arial" w:eastAsia="Calibri" w:cs="Arial"/>
          <w:sz w:val="18"/>
          <w:szCs w:val="18"/>
          <w:lang w:val="es-ES_tradnl" w:eastAsia="es-ES_tradnl"/>
        </w:rPr>
        <w:t>Ibíd</w:t>
      </w:r>
      <w:proofErr w:type="spellEnd"/>
      <w:r w:rsidRPr="00F3607E">
        <w:rPr>
          <w:rFonts w:ascii="Arial" w:hAnsi="Arial" w:eastAsia="Calibri" w:cs="Arial"/>
          <w:sz w:val="18"/>
          <w:szCs w:val="18"/>
          <w:lang w:val="es-ES_tradnl" w:eastAsia="es-ES_tradnl"/>
        </w:rPr>
        <w:t>., p. 66.</w:t>
      </w:r>
    </w:p>
  </w:footnote>
  <w:footnote w:id="12">
    <w:p w:rsidRPr="00F3607E" w:rsidR="00CE2DD2" w:rsidP="00CE2DD2" w:rsidRDefault="00CE2DD2" w14:paraId="6EB8D0B4" w14:textId="77777777">
      <w:pPr>
        <w:pStyle w:val="Textonotapie"/>
        <w:ind w:firstLine="708"/>
        <w:jc w:val="both"/>
        <w:rPr>
          <w:rFonts w:ascii="Arial" w:hAnsi="Arial" w:cs="Arial"/>
          <w:bCs/>
          <w:sz w:val="18"/>
          <w:szCs w:val="18"/>
          <w:lang w:val="es-ES_tradnl"/>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w:t>
      </w:r>
      <w:proofErr w:type="spellStart"/>
      <w:r w:rsidRPr="00F3607E">
        <w:rPr>
          <w:rFonts w:ascii="Arial" w:hAnsi="Arial" w:eastAsia="Calibri" w:cs="Arial"/>
          <w:sz w:val="18"/>
          <w:szCs w:val="18"/>
          <w:lang w:val="es-ES_tradnl" w:eastAsia="es-ES_tradnl"/>
        </w:rPr>
        <w:t>Ibíd</w:t>
      </w:r>
      <w:proofErr w:type="spellEnd"/>
      <w:r w:rsidRPr="00F3607E">
        <w:rPr>
          <w:rFonts w:ascii="Arial" w:hAnsi="Arial" w:eastAsia="Calibri" w:cs="Arial"/>
          <w:sz w:val="18"/>
          <w:szCs w:val="18"/>
          <w:lang w:val="es-ES_tradnl" w:eastAsia="es-ES_tradnl"/>
        </w:rPr>
        <w:t>, p. 76).</w:t>
      </w:r>
    </w:p>
    <w:p w:rsidRPr="00F3607E" w:rsidR="00CE2DD2" w:rsidP="00CE2DD2" w:rsidRDefault="00CE2DD2" w14:paraId="432B8399" w14:textId="77777777">
      <w:pPr>
        <w:pStyle w:val="Textonotapie"/>
        <w:ind w:firstLine="708"/>
        <w:jc w:val="both"/>
        <w:rPr>
          <w:rFonts w:ascii="Arial" w:hAnsi="Arial" w:cs="Arial"/>
          <w:sz w:val="18"/>
          <w:szCs w:val="18"/>
          <w:lang w:val="es-CO"/>
        </w:rPr>
      </w:pPr>
    </w:p>
  </w:footnote>
  <w:footnote w:id="13">
    <w:p w:rsidRPr="00F3607E" w:rsidR="00CE2DD2" w:rsidP="00CE2DD2" w:rsidRDefault="00CE2DD2" w14:paraId="7764684F" w14:textId="77777777">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Pr>
          <w:rFonts w:ascii="Arial" w:hAnsi="Arial" w:eastAsia="Calibri" w:cs="Arial"/>
          <w:sz w:val="18"/>
          <w:szCs w:val="18"/>
          <w:lang w:val="es-ES_tradnl" w:eastAsia="es-ES_tradnl"/>
        </w:rPr>
        <w:t>Lo anterior, sin perjuicio de las fórmulas de reajuste que se establezcan en el contrato y lo establecido en el artículo 27 de la Ley 80 de 1993.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p w:rsidRPr="00F3607E" w:rsidR="00CE2DD2" w:rsidP="00CE2DD2" w:rsidRDefault="00CE2DD2" w14:paraId="620295D5" w14:textId="77777777">
      <w:pPr>
        <w:pStyle w:val="Textonotapie"/>
        <w:ind w:firstLine="708"/>
        <w:jc w:val="both"/>
        <w:rPr>
          <w:rFonts w:ascii="Arial" w:hAnsi="Arial" w:cs="Arial"/>
          <w:sz w:val="18"/>
          <w:szCs w:val="18"/>
        </w:rPr>
      </w:pPr>
    </w:p>
  </w:footnote>
  <w:footnote w:id="14">
    <w:p w:rsidRPr="00F3607E" w:rsidR="00CE2DD2" w:rsidP="00CE2DD2" w:rsidRDefault="00CE2DD2" w14:paraId="183B0564" w14:textId="77777777">
      <w:pPr>
        <w:pStyle w:val="Textonotapie"/>
        <w:ind w:firstLine="708"/>
        <w:jc w:val="both"/>
        <w:rPr>
          <w:rFonts w:ascii="Arial" w:hAnsi="Arial" w:cs="Arial"/>
          <w:sz w:val="18"/>
          <w:szCs w:val="18"/>
        </w:rPr>
      </w:pPr>
      <w:r w:rsidRPr="00F3607E">
        <w:rPr>
          <w:rStyle w:val="Refdenotaalpie"/>
          <w:rFonts w:ascii="Arial" w:hAnsi="Arial" w:cs="Arial"/>
          <w:sz w:val="18"/>
          <w:szCs w:val="18"/>
        </w:rPr>
        <w:footnoteRef/>
      </w:r>
      <w:r w:rsidRPr="00F3607E">
        <w:rPr>
          <w:rFonts w:ascii="Arial" w:hAnsi="Arial" w:cs="Arial"/>
          <w:sz w:val="18"/>
          <w:szCs w:val="18"/>
        </w:rPr>
        <w:t xml:space="preserve"> </w:t>
      </w:r>
      <w:proofErr w:type="spellStart"/>
      <w:r w:rsidRPr="00F3607E">
        <w:rPr>
          <w:rFonts w:ascii="Arial" w:hAnsi="Arial" w:eastAsia="Calibri" w:cs="Arial"/>
          <w:sz w:val="18"/>
          <w:szCs w:val="18"/>
          <w:lang w:val="es-ES_tradnl" w:eastAsia="es-ES_tradnl"/>
        </w:rPr>
        <w:t>Ibíd</w:t>
      </w:r>
      <w:proofErr w:type="spellEnd"/>
      <w:r w:rsidRPr="00F3607E">
        <w:rPr>
          <w:rFonts w:ascii="Arial" w:hAnsi="Arial" w:eastAsia="Calibri" w:cs="Arial"/>
          <w:sz w:val="18"/>
          <w:szCs w:val="18"/>
          <w:lang w:val="es-ES_tradnl" w:eastAsia="es-ES_tradnl"/>
        </w:rPr>
        <w:t>, p. 77.</w:t>
      </w:r>
      <w:r w:rsidRPr="00F3607E">
        <w:rPr>
          <w:rFonts w:ascii="Arial" w:hAnsi="Arial" w:cs="Arial"/>
          <w:sz w:val="18"/>
          <w:szCs w:val="18"/>
        </w:rPr>
        <w:t xml:space="preserve"> </w:t>
      </w:r>
    </w:p>
    <w:p w:rsidRPr="00F3607E" w:rsidR="00CE2DD2" w:rsidP="00CE2DD2" w:rsidRDefault="00CE2DD2" w14:paraId="2B4A8E38" w14:textId="77777777">
      <w:pPr>
        <w:pStyle w:val="Textonotapie"/>
        <w:ind w:firstLine="708"/>
        <w:jc w:val="both"/>
        <w:rPr>
          <w:rFonts w:ascii="Arial" w:hAnsi="Arial" w:cs="Arial"/>
          <w:sz w:val="18"/>
          <w:szCs w:val="18"/>
          <w:lang w:val="es-CO"/>
        </w:rPr>
      </w:pPr>
    </w:p>
  </w:footnote>
  <w:footnote w:id="15">
    <w:p w:rsidRPr="00F3607E" w:rsidR="004120EC" w:rsidP="003E6A1E" w:rsidRDefault="004120EC" w14:paraId="763D9606" w14:textId="6A4E4E69">
      <w:pPr>
        <w:pStyle w:val="Textonotapie"/>
        <w:ind w:firstLine="709"/>
        <w:rPr>
          <w:rFonts w:ascii="Arial" w:hAnsi="Arial" w:cs="Arial"/>
          <w:sz w:val="18"/>
          <w:szCs w:val="18"/>
          <w:lang w:val="es-CO"/>
        </w:rPr>
      </w:pPr>
      <w:r w:rsidRPr="00F3607E">
        <w:rPr>
          <w:rStyle w:val="Refdenotaalpie"/>
          <w:rFonts w:ascii="Arial" w:hAnsi="Arial" w:cs="Arial"/>
          <w:sz w:val="18"/>
          <w:szCs w:val="18"/>
        </w:rPr>
        <w:footnoteRef/>
      </w:r>
      <w:r w:rsidRPr="00F3607E">
        <w:rPr>
          <w:rFonts w:ascii="Arial" w:hAnsi="Arial" w:cs="Arial"/>
          <w:sz w:val="18"/>
          <w:szCs w:val="18"/>
        </w:rPr>
        <w:t xml:space="preserve"> </w:t>
      </w:r>
      <w:r w:rsidRPr="00F3607E" w:rsidR="003E6A1E">
        <w:rPr>
          <w:rFonts w:ascii="Arial" w:hAnsi="Arial" w:cs="Arial"/>
          <w:sz w:val="18"/>
          <w:szCs w:val="18"/>
        </w:rPr>
        <w:t xml:space="preserve">CORTES </w:t>
      </w:r>
      <w:r w:rsidRPr="00F3607E" w:rsidR="003E6A1E">
        <w:rPr>
          <w:rFonts w:ascii="Arial" w:hAnsi="Arial" w:cs="Arial"/>
          <w:sz w:val="18"/>
          <w:szCs w:val="18"/>
          <w:lang w:val="es-CO"/>
        </w:rPr>
        <w:t>ZAMBRABO,</w:t>
      </w:r>
      <w:r w:rsidRPr="00F3607E">
        <w:rPr>
          <w:rFonts w:ascii="Arial" w:hAnsi="Arial" w:cs="Arial"/>
          <w:sz w:val="18"/>
          <w:szCs w:val="18"/>
          <w:lang w:val="es-CO"/>
        </w:rPr>
        <w:t xml:space="preserve"> Melquisedec</w:t>
      </w:r>
      <w:r w:rsidRPr="00F3607E" w:rsidR="003E6A1E">
        <w:rPr>
          <w:rFonts w:ascii="Arial" w:hAnsi="Arial" w:cs="Arial"/>
          <w:sz w:val="18"/>
          <w:szCs w:val="18"/>
          <w:lang w:val="es-CO"/>
        </w:rPr>
        <w:t>.</w:t>
      </w:r>
      <w:r w:rsidRPr="00F3607E">
        <w:rPr>
          <w:rFonts w:ascii="Arial" w:hAnsi="Arial" w:cs="Arial"/>
          <w:sz w:val="18"/>
          <w:szCs w:val="18"/>
          <w:lang w:val="es-CO"/>
        </w:rPr>
        <w:t xml:space="preserve"> </w:t>
      </w:r>
      <w:r w:rsidRPr="00F3607E" w:rsidR="003E6A1E">
        <w:rPr>
          <w:rFonts w:ascii="Arial" w:hAnsi="Arial" w:cs="Arial"/>
          <w:sz w:val="18"/>
          <w:szCs w:val="18"/>
          <w:lang w:val="es-CO"/>
        </w:rPr>
        <w:t>Programación, Presupuestos y Control de Obra. Universidad Santo Tomás. Primera edición 2021, p.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P="006A3704" w:rsidRDefault="00E2520A" w14:paraId="2A80E31D" w14:textId="6E2810A5">
    <w:pPr>
      <w:spacing w:after="0" w:line="240" w:lineRule="auto"/>
    </w:pPr>
  </w:p>
  <w:p w:rsidR="0020796E" w:rsidP="006A3704" w:rsidRDefault="0020796E" w14:paraId="603D9E86" w14:textId="61607A32">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rsidTr="0020796E" w14:paraId="48C686BC" w14:textId="77777777">
      <w:tc>
        <w:tcPr>
          <w:tcW w:w="6757" w:type="dxa"/>
          <w:tcBorders>
            <w:top w:val="nil"/>
            <w:left w:val="nil"/>
            <w:bottom w:val="nil"/>
            <w:right w:val="nil"/>
          </w:tcBorders>
          <w:hideMark/>
        </w:tcPr>
        <w:p w:rsidR="0020796E" w:rsidP="006A3704" w:rsidRDefault="0020796E" w14:paraId="36F7744A" w14:textId="77777777">
          <w:pPr>
            <w:tabs>
              <w:tab w:val="center" w:pos="4419"/>
              <w:tab w:val="center" w:pos="5400"/>
              <w:tab w:val="right" w:pos="8838"/>
            </w:tabs>
            <w:spacing w:after="0" w:line="240" w:lineRule="auto"/>
            <w:rPr>
              <w:rFonts w:ascii="Geomanist Bold" w:hAnsi="Geomanist Bold" w:eastAsia="Geo" w:cs="Geo"/>
              <w:b/>
              <w:color w:val="002060"/>
              <w:lang w:eastAsia="es-CO"/>
            </w:rPr>
          </w:pPr>
          <w:r>
            <w:rPr>
              <w:rFonts w:ascii="Geomanist Bold" w:hAnsi="Geomanist Bold" w:eastAsia="Geo" w:cs="Geo"/>
              <w:b/>
              <w:color w:val="000000"/>
              <w:sz w:val="20"/>
              <w:szCs w:val="20"/>
              <w:lang w:eastAsia="es-CO"/>
            </w:rPr>
            <w:t xml:space="preserve">Código: </w:t>
          </w:r>
          <w:r>
            <w:rPr>
              <w:rFonts w:ascii="Geomanist Light" w:hAnsi="Geomanist Light" w:eastAsia="Geo" w:cs="Geo"/>
              <w:b/>
              <w:color w:val="000000"/>
              <w:sz w:val="18"/>
              <w:szCs w:val="18"/>
              <w:lang w:eastAsia="es-CO"/>
            </w:rPr>
            <w:t>CCE-PQRSD-FM-08</w:t>
          </w:r>
        </w:p>
        <w:p w:rsidR="0020796E" w:rsidP="006A3704" w:rsidRDefault="0020796E" w14:paraId="4E350D27" w14:textId="77777777">
          <w:pPr>
            <w:tabs>
              <w:tab w:val="center" w:pos="4419"/>
              <w:tab w:val="center" w:pos="5400"/>
              <w:tab w:val="right" w:pos="8838"/>
            </w:tabs>
            <w:spacing w:after="0" w:line="240" w:lineRule="auto"/>
            <w:rPr>
              <w:rFonts w:eastAsia="Arial Nova" w:cs="Arial Nova" w:asciiTheme="minorHAnsi" w:hAnsiTheme="minorHAnsi"/>
              <w:color w:val="000000"/>
              <w:sz w:val="18"/>
              <w:szCs w:val="18"/>
              <w:lang w:eastAsia="es-CO"/>
            </w:rPr>
          </w:pPr>
          <w:r>
            <w:rPr>
              <w:rFonts w:ascii="Geomanist Bold" w:hAnsi="Geomanist Bold" w:eastAsia="Geo" w:cs="Geo"/>
              <w:b/>
              <w:color w:val="000000"/>
              <w:sz w:val="20"/>
              <w:szCs w:val="20"/>
              <w:lang w:eastAsia="es-CO"/>
            </w:rPr>
            <w:t>Versión</w:t>
          </w:r>
          <w:r>
            <w:rPr>
              <w:rFonts w:ascii="Geomanist Bold" w:hAnsi="Geomanist Bold" w:eastAsia="Arial Nova" w:cs="Arial Nova"/>
              <w:b/>
              <w:color w:val="000000"/>
              <w:sz w:val="20"/>
              <w:szCs w:val="20"/>
              <w:lang w:eastAsia="es-CO"/>
            </w:rPr>
            <w:t xml:space="preserve">: </w:t>
          </w:r>
          <w:r>
            <w:rPr>
              <w:rFonts w:ascii="Geomanist Light" w:hAnsi="Geomanist Light" w:eastAsia="Geo" w:cs="Geo"/>
              <w:sz w:val="18"/>
              <w:szCs w:val="18"/>
              <w:lang w:eastAsia="es-CO"/>
            </w:rPr>
            <w:t>01 DEL 30 DE AGOSTO DE 2022</w:t>
          </w:r>
        </w:p>
      </w:tc>
      <w:tc>
        <w:tcPr>
          <w:tcW w:w="1324" w:type="dxa"/>
          <w:tcBorders>
            <w:top w:val="nil"/>
            <w:left w:val="nil"/>
            <w:bottom w:val="nil"/>
            <w:right w:val="nil"/>
          </w:tcBorders>
        </w:tcPr>
        <w:p w:rsidR="0020796E" w:rsidP="006A3704" w:rsidRDefault="0020796E" w14:paraId="64467BF0" w14:textId="77777777">
          <w:pPr>
            <w:spacing w:after="0" w:line="240" w:lineRule="auto"/>
            <w:jc w:val="right"/>
            <w:rPr>
              <w:rFonts w:eastAsia="Arial Nova" w:cs="Arial Nova"/>
              <w:lang w:eastAsia="es-CO"/>
            </w:rPr>
          </w:pPr>
        </w:p>
      </w:tc>
      <w:tc>
        <w:tcPr>
          <w:tcW w:w="1324" w:type="dxa"/>
          <w:tcBorders>
            <w:top w:val="nil"/>
            <w:left w:val="nil"/>
            <w:bottom w:val="nil"/>
            <w:right w:val="nil"/>
          </w:tcBorders>
        </w:tcPr>
        <w:p w:rsidR="0020796E" w:rsidP="006A3704" w:rsidRDefault="0020796E" w14:paraId="7F0DA02B" w14:textId="77777777">
          <w:pPr>
            <w:spacing w:after="0" w:line="240" w:lineRule="auto"/>
            <w:jc w:val="right"/>
            <w:rPr>
              <w:rFonts w:eastAsia="Arial Nova" w:cs="Arial Nova"/>
              <w:lang w:eastAsia="es-CO"/>
            </w:rPr>
          </w:pPr>
        </w:p>
      </w:tc>
    </w:tr>
  </w:tbl>
  <w:p w:rsidR="00E2520A" w:rsidP="0020796E" w:rsidRDefault="0020796E" w14:paraId="5DBE9C96" w14:textId="263A9DAC">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8"/>
  </w:num>
  <w:num w:numId="4" w16cid:durableId="1315186126">
    <w:abstractNumId w:val="33"/>
  </w:num>
  <w:num w:numId="5" w16cid:durableId="1309093109">
    <w:abstractNumId w:val="39"/>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4"/>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1"/>
  </w:num>
  <w:num w:numId="18" w16cid:durableId="718556045">
    <w:abstractNumId w:val="29"/>
  </w:num>
  <w:num w:numId="19" w16cid:durableId="2109496769">
    <w:abstractNumId w:val="10"/>
  </w:num>
  <w:num w:numId="20" w16cid:durableId="1574777690">
    <w:abstractNumId w:val="42"/>
  </w:num>
  <w:num w:numId="21" w16cid:durableId="343829570">
    <w:abstractNumId w:val="31"/>
  </w:num>
  <w:num w:numId="22" w16cid:durableId="1521091477">
    <w:abstractNumId w:val="13"/>
  </w:num>
  <w:num w:numId="23" w16cid:durableId="1406491540">
    <w:abstractNumId w:val="12"/>
  </w:num>
  <w:num w:numId="24" w16cid:durableId="216599317">
    <w:abstractNumId w:val="35"/>
  </w:num>
  <w:num w:numId="25" w16cid:durableId="706416597">
    <w:abstractNumId w:val="21"/>
  </w:num>
  <w:num w:numId="26" w16cid:durableId="270862301">
    <w:abstractNumId w:val="40"/>
  </w:num>
  <w:num w:numId="27" w16cid:durableId="1795712713">
    <w:abstractNumId w:val="44"/>
  </w:num>
  <w:num w:numId="28" w16cid:durableId="969941319">
    <w:abstractNumId w:val="26"/>
  </w:num>
  <w:num w:numId="29" w16cid:durableId="1808891589">
    <w:abstractNumId w:val="2"/>
  </w:num>
  <w:num w:numId="30" w16cid:durableId="1508400274">
    <w:abstractNumId w:val="30"/>
  </w:num>
  <w:num w:numId="31" w16cid:durableId="1848517314">
    <w:abstractNumId w:val="22"/>
  </w:num>
  <w:num w:numId="32" w16cid:durableId="1225678077">
    <w:abstractNumId w:val="32"/>
  </w:num>
  <w:num w:numId="33" w16cid:durableId="283007414">
    <w:abstractNumId w:val="43"/>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7"/>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8"/>
  </w:num>
  <w:num w:numId="45" w16cid:durableId="1544950817">
    <w:abstractNumId w:val="9"/>
  </w:num>
  <w:num w:numId="46" w16cid:durableId="1353874905">
    <w:abstractNumId w:val="24"/>
  </w:num>
  <w:num w:numId="47" w16cid:durableId="180781337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pt-BR"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4861"/>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13D"/>
    <w:rsid w:val="000703DE"/>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21ED"/>
    <w:rsid w:val="000A362F"/>
    <w:rsid w:val="000A367A"/>
    <w:rsid w:val="000A3B49"/>
    <w:rsid w:val="000A41BA"/>
    <w:rsid w:val="000A446A"/>
    <w:rsid w:val="000A54D6"/>
    <w:rsid w:val="000A5AAF"/>
    <w:rsid w:val="000A5F97"/>
    <w:rsid w:val="000A648E"/>
    <w:rsid w:val="000A73BB"/>
    <w:rsid w:val="000A7EF4"/>
    <w:rsid w:val="000B0A15"/>
    <w:rsid w:val="000B0DF3"/>
    <w:rsid w:val="000B103F"/>
    <w:rsid w:val="000B10D0"/>
    <w:rsid w:val="000B1437"/>
    <w:rsid w:val="000B1470"/>
    <w:rsid w:val="000B17C9"/>
    <w:rsid w:val="000B2B86"/>
    <w:rsid w:val="000B3051"/>
    <w:rsid w:val="000B3F12"/>
    <w:rsid w:val="000B419B"/>
    <w:rsid w:val="000B4716"/>
    <w:rsid w:val="000B5781"/>
    <w:rsid w:val="000B5891"/>
    <w:rsid w:val="000B5C97"/>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A2A"/>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CB4"/>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4A3"/>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18D"/>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523"/>
    <w:rsid w:val="00285624"/>
    <w:rsid w:val="0028565E"/>
    <w:rsid w:val="00285832"/>
    <w:rsid w:val="00285969"/>
    <w:rsid w:val="0028663B"/>
    <w:rsid w:val="00286CEC"/>
    <w:rsid w:val="002871A9"/>
    <w:rsid w:val="00287B7E"/>
    <w:rsid w:val="00290781"/>
    <w:rsid w:val="00290929"/>
    <w:rsid w:val="002912D3"/>
    <w:rsid w:val="00291784"/>
    <w:rsid w:val="00291AAD"/>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8BF"/>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8AB"/>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9BD"/>
    <w:rsid w:val="00325D98"/>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17D1"/>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CB3"/>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8794F"/>
    <w:rsid w:val="00390088"/>
    <w:rsid w:val="003902B1"/>
    <w:rsid w:val="003903B6"/>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1E"/>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0EC"/>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837"/>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D8E"/>
    <w:rsid w:val="004734CF"/>
    <w:rsid w:val="00473FBE"/>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460"/>
    <w:rsid w:val="004A7577"/>
    <w:rsid w:val="004A79F2"/>
    <w:rsid w:val="004B0F0B"/>
    <w:rsid w:val="004B1501"/>
    <w:rsid w:val="004B1560"/>
    <w:rsid w:val="004B163F"/>
    <w:rsid w:val="004B2197"/>
    <w:rsid w:val="004B298A"/>
    <w:rsid w:val="004B459F"/>
    <w:rsid w:val="004B46D5"/>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527"/>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6F56"/>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87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D21"/>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8CB"/>
    <w:rsid w:val="00570A26"/>
    <w:rsid w:val="00571301"/>
    <w:rsid w:val="0057170B"/>
    <w:rsid w:val="0057221F"/>
    <w:rsid w:val="00572539"/>
    <w:rsid w:val="005726FB"/>
    <w:rsid w:val="0057336A"/>
    <w:rsid w:val="0057337D"/>
    <w:rsid w:val="00573504"/>
    <w:rsid w:val="00574708"/>
    <w:rsid w:val="00574A86"/>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05F"/>
    <w:rsid w:val="005C36CF"/>
    <w:rsid w:val="005C3EA3"/>
    <w:rsid w:val="005C5011"/>
    <w:rsid w:val="005C529E"/>
    <w:rsid w:val="005C57BA"/>
    <w:rsid w:val="005C5C52"/>
    <w:rsid w:val="005C5D3D"/>
    <w:rsid w:val="005C5F05"/>
    <w:rsid w:val="005C6260"/>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CA8"/>
    <w:rsid w:val="00607E9F"/>
    <w:rsid w:val="0061085E"/>
    <w:rsid w:val="00610DAF"/>
    <w:rsid w:val="00611398"/>
    <w:rsid w:val="00612322"/>
    <w:rsid w:val="006123C0"/>
    <w:rsid w:val="00613191"/>
    <w:rsid w:val="006133F9"/>
    <w:rsid w:val="006134B3"/>
    <w:rsid w:val="00613DE1"/>
    <w:rsid w:val="0061401F"/>
    <w:rsid w:val="00614166"/>
    <w:rsid w:val="00614817"/>
    <w:rsid w:val="006149AF"/>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C4B"/>
    <w:rsid w:val="006573EA"/>
    <w:rsid w:val="00661029"/>
    <w:rsid w:val="00661042"/>
    <w:rsid w:val="0066135A"/>
    <w:rsid w:val="00661639"/>
    <w:rsid w:val="00661BFB"/>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A63"/>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BA7"/>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570"/>
    <w:rsid w:val="006E6720"/>
    <w:rsid w:val="006E68FA"/>
    <w:rsid w:val="006E7275"/>
    <w:rsid w:val="006E77B8"/>
    <w:rsid w:val="006E7824"/>
    <w:rsid w:val="006F05A0"/>
    <w:rsid w:val="006F15CC"/>
    <w:rsid w:val="006F1EED"/>
    <w:rsid w:val="006F2702"/>
    <w:rsid w:val="006F3BDD"/>
    <w:rsid w:val="006F4147"/>
    <w:rsid w:val="006F4315"/>
    <w:rsid w:val="006F4478"/>
    <w:rsid w:val="006F458D"/>
    <w:rsid w:val="006F4A6D"/>
    <w:rsid w:val="006F4CB0"/>
    <w:rsid w:val="006F4F78"/>
    <w:rsid w:val="006F547E"/>
    <w:rsid w:val="006F5656"/>
    <w:rsid w:val="006F5CA8"/>
    <w:rsid w:val="006F5CCF"/>
    <w:rsid w:val="006F5D91"/>
    <w:rsid w:val="006F6A47"/>
    <w:rsid w:val="006F772B"/>
    <w:rsid w:val="006F78DC"/>
    <w:rsid w:val="006F7E39"/>
    <w:rsid w:val="00700D5F"/>
    <w:rsid w:val="0070138A"/>
    <w:rsid w:val="0070157E"/>
    <w:rsid w:val="00701B79"/>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3C33"/>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C"/>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0C6"/>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1D5"/>
    <w:rsid w:val="007942C3"/>
    <w:rsid w:val="007943FC"/>
    <w:rsid w:val="007948F5"/>
    <w:rsid w:val="00795647"/>
    <w:rsid w:val="007963F6"/>
    <w:rsid w:val="00796418"/>
    <w:rsid w:val="00796485"/>
    <w:rsid w:val="00796576"/>
    <w:rsid w:val="00796DAE"/>
    <w:rsid w:val="00796E80"/>
    <w:rsid w:val="00797615"/>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2E6"/>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491"/>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9C8"/>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18F"/>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88D"/>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18C0"/>
    <w:rsid w:val="008F293D"/>
    <w:rsid w:val="008F2A43"/>
    <w:rsid w:val="008F2E8D"/>
    <w:rsid w:val="008F3374"/>
    <w:rsid w:val="008F387B"/>
    <w:rsid w:val="008F3DD9"/>
    <w:rsid w:val="008F4814"/>
    <w:rsid w:val="008F4B91"/>
    <w:rsid w:val="008F4DA6"/>
    <w:rsid w:val="008F538E"/>
    <w:rsid w:val="008F5813"/>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6BE2"/>
    <w:rsid w:val="009070AA"/>
    <w:rsid w:val="00907203"/>
    <w:rsid w:val="00910683"/>
    <w:rsid w:val="00910AB1"/>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2C0F"/>
    <w:rsid w:val="009330BE"/>
    <w:rsid w:val="00933333"/>
    <w:rsid w:val="0093349A"/>
    <w:rsid w:val="009337B2"/>
    <w:rsid w:val="00933FCB"/>
    <w:rsid w:val="00934E69"/>
    <w:rsid w:val="009367D5"/>
    <w:rsid w:val="00937358"/>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113"/>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323"/>
    <w:rsid w:val="009827E6"/>
    <w:rsid w:val="00982E70"/>
    <w:rsid w:val="00982F84"/>
    <w:rsid w:val="0098427D"/>
    <w:rsid w:val="00984327"/>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27CE"/>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0A3"/>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013"/>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5CC1"/>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42B"/>
    <w:rsid w:val="00AF0514"/>
    <w:rsid w:val="00AF078E"/>
    <w:rsid w:val="00AF0E81"/>
    <w:rsid w:val="00AF117A"/>
    <w:rsid w:val="00AF186E"/>
    <w:rsid w:val="00AF19C6"/>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279"/>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1D1B"/>
    <w:rsid w:val="00B228D1"/>
    <w:rsid w:val="00B22C58"/>
    <w:rsid w:val="00B22E22"/>
    <w:rsid w:val="00B22F5F"/>
    <w:rsid w:val="00B23054"/>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276"/>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8FA"/>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59BD"/>
    <w:rsid w:val="00C95E49"/>
    <w:rsid w:val="00C95F44"/>
    <w:rsid w:val="00C96D1B"/>
    <w:rsid w:val="00C97106"/>
    <w:rsid w:val="00C97684"/>
    <w:rsid w:val="00CA0031"/>
    <w:rsid w:val="00CA0413"/>
    <w:rsid w:val="00CA043A"/>
    <w:rsid w:val="00CA04F8"/>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4A24"/>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2DD2"/>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8D3"/>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1B9"/>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0F52"/>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79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9EB"/>
    <w:rsid w:val="00D64A49"/>
    <w:rsid w:val="00D64B57"/>
    <w:rsid w:val="00D64C97"/>
    <w:rsid w:val="00D65A92"/>
    <w:rsid w:val="00D65DEA"/>
    <w:rsid w:val="00D65DFE"/>
    <w:rsid w:val="00D660DF"/>
    <w:rsid w:val="00D67BC7"/>
    <w:rsid w:val="00D701F1"/>
    <w:rsid w:val="00D705D3"/>
    <w:rsid w:val="00D7088A"/>
    <w:rsid w:val="00D70E00"/>
    <w:rsid w:val="00D71014"/>
    <w:rsid w:val="00D7109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5DF6"/>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1F"/>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0F5"/>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7EB"/>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6BD"/>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4BA"/>
    <w:rsid w:val="00F14618"/>
    <w:rsid w:val="00F148B7"/>
    <w:rsid w:val="00F14BE9"/>
    <w:rsid w:val="00F14EA9"/>
    <w:rsid w:val="00F15505"/>
    <w:rsid w:val="00F15BFF"/>
    <w:rsid w:val="00F17105"/>
    <w:rsid w:val="00F20A0B"/>
    <w:rsid w:val="00F2135C"/>
    <w:rsid w:val="00F213A0"/>
    <w:rsid w:val="00F217AB"/>
    <w:rsid w:val="00F21842"/>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B6B"/>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07E"/>
    <w:rsid w:val="00F368FF"/>
    <w:rsid w:val="00F37068"/>
    <w:rsid w:val="00F3742E"/>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6E40"/>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6E2C"/>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57D"/>
    <w:rsid w:val="00FA5ECF"/>
    <w:rsid w:val="00FA6179"/>
    <w:rsid w:val="00FA6F8B"/>
    <w:rsid w:val="00FA7A30"/>
    <w:rsid w:val="00FA7F7F"/>
    <w:rsid w:val="00FB033F"/>
    <w:rsid w:val="00FB0D2A"/>
    <w:rsid w:val="00FB12E3"/>
    <w:rsid w:val="00FB1570"/>
    <w:rsid w:val="00FB186E"/>
    <w:rsid w:val="00FB193B"/>
    <w:rsid w:val="00FB1FBC"/>
    <w:rsid w:val="00FB27B7"/>
    <w:rsid w:val="00FB2C36"/>
    <w:rsid w:val="00FB3444"/>
    <w:rsid w:val="00FB3483"/>
    <w:rsid w:val="00FB35E3"/>
    <w:rsid w:val="00FB475A"/>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 w:val="4355E10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B6B"/>
    <w:pPr>
      <w:spacing w:after="160" w:line="256" w:lineRule="auto"/>
    </w:pPr>
    <w:rPr>
      <w:rFonts w:ascii="Calibri" w:hAnsi="Calibri" w:eastAsia="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hAnsi="Arial" w:eastAsia="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hAnsiTheme="majorHAnsi" w:eastAsiaTheme="majorEastAsia" w:cstheme="majorBidi"/>
      <w:color w:val="365F91" w:themeColor="accent1" w:themeShade="BF"/>
      <w:sz w:val="26"/>
      <w:szCs w:val="26"/>
      <w:lang w:eastAsia="es-ES_tradnl"/>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hAnsiTheme="minorHAnsi" w:eastAsiaTheme="minorHAnsi" w:cstheme="minorBidi"/>
      <w:sz w:val="24"/>
      <w:lang w:val="es-MX"/>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hAnsi="Tahoma" w:cs="Tahoma" w:eastAsiaTheme="minorHAnsi"/>
      <w:sz w:val="16"/>
      <w:szCs w:val="16"/>
      <w:lang w:val="es-MX"/>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hAnsiTheme="minorHAnsi" w:eastAsiaTheme="minorHAnsi" w:cstheme="minorBidi"/>
      <w:sz w:val="24"/>
      <w:lang w:val="es-MX"/>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hAnsiTheme="minorHAnsi" w:eastAsia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hAnsiTheme="minorHAnsi" w:eastAsiaTheme="minorHAnsi" w:cstheme="minorBidi"/>
      <w:sz w:val="20"/>
      <w:szCs w:val="20"/>
      <w:lang w:val="es-MX"/>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hAnsi="Times New Roman" w:eastAsia="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pPr>
      <w:spacing w:after="0" w:line="240" w:lineRule="auto"/>
    </w:pPr>
    <w:rPr>
      <w:rFonts w:asciiTheme="minorHAnsi" w:hAnsiTheme="minorHAnsi" w:eastAsiaTheme="minorHAnsi" w:cstheme="minorBidi"/>
      <w:sz w:val="20"/>
      <w:szCs w:val="20"/>
      <w:lang w:val="es-MX"/>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line="240" w:lineRule="auto"/>
    </w:pPr>
    <w:rPr>
      <w:rFonts w:ascii="Times New Roman" w:hAnsi="Times New Roman" w:eastAsia="Times New Roman"/>
      <w:sz w:val="24"/>
      <w:szCs w:val="24"/>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line="240" w:lineRule="exact"/>
    </w:pPr>
    <w:rPr>
      <w:rFonts w:asciiTheme="minorHAnsi" w:hAnsiTheme="minorHAnsi" w:eastAsia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hAnsiTheme="minorHAnsi" w:eastAsiaTheme="minorHAnsi" w:cstheme="minorBidi"/>
      <w:sz w:val="24"/>
      <w:lang w:val="es-MX"/>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hAnsi="Arial Narrow" w:eastAsia="Times New Roman"/>
      <w:color w:val="3C3C3C" w:themeColor="background2" w:themeShade="40"/>
      <w:sz w:val="24"/>
      <w:szCs w:val="24"/>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1E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292E64"/>
    <w:pPr>
      <w:spacing w:before="100" w:beforeAutospacing="1" w:after="100" w:afterAutospacing="1" w:line="240" w:lineRule="auto"/>
    </w:pPr>
    <w:rPr>
      <w:rFonts w:ascii="Times New Roman" w:hAnsi="Times New Roman" w:eastAsia="Times New Roman"/>
      <w:sz w:val="24"/>
      <w:szCs w:val="24"/>
      <w:lang w:eastAsia="es-MX"/>
    </w:rPr>
  </w:style>
  <w:style w:type="paragraph" w:styleId="Capitulo8" w:customStyle="1">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styleId="Normal11pt" w:customStyle="1">
    <w:name w:val="Normal + 11 pt"/>
    <w:aliases w:val="Negro,Justificado,Izquierda:  -0,95 cm,Derecha:  0,04 cm"/>
    <w:basedOn w:val="Normal"/>
    <w:uiPriority w:val="99"/>
    <w:rsid w:val="008A2527"/>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E100E"/>
    <w:pPr>
      <w:spacing w:after="0" w:line="240" w:lineRule="auto"/>
    </w:pPr>
    <w:rPr>
      <w:rFonts w:ascii="Times New Roman" w:hAnsi="Times New Roman" w:eastAsia="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styleId="baj" w:customStyle="1">
    <w:name w:val="b_aj"/>
    <w:basedOn w:val="Fuentedeprrafopredeter"/>
    <w:rsid w:val="008F293D"/>
  </w:style>
  <w:style w:type="character" w:styleId="SinespaciadoCar" w:customStyle="1">
    <w:name w:val="Sin espaciado Car"/>
    <w:aliases w:val="No Indent Car"/>
    <w:link w:val="Sinespaciado"/>
    <w:uiPriority w:val="3"/>
    <w:rsid w:val="00B44E8C"/>
    <w:rPr>
      <w:sz w:val="24"/>
      <w:lang w:val="es-MX"/>
    </w:rPr>
  </w:style>
  <w:style w:type="character" w:styleId="apple-converted-space" w:customStyle="1">
    <w:name w:val="apple-converted-space"/>
    <w:basedOn w:val="Fuentedeprrafopredeter"/>
    <w:rsid w:val="00B65BBE"/>
  </w:style>
  <w:style w:type="character" w:styleId="Ttulo2Car" w:customStyle="1">
    <w:name w:val="Título 2 Car"/>
    <w:basedOn w:val="Fuentedeprrafopredeter"/>
    <w:link w:val="Ttulo2"/>
    <w:uiPriority w:val="9"/>
    <w:semiHidden/>
    <w:rsid w:val="00965FF8"/>
    <w:rPr>
      <w:rFonts w:asciiTheme="majorHAnsi" w:hAnsiTheme="majorHAnsi" w:eastAsiaTheme="majorEastAsia"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97C4-DCB5-4B77-91D0-972A1BA4F382}"/>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2022-11-24T19:20:00Z</dcterms:created>
  <dcterms:modified xsi:type="dcterms:W3CDTF">2022-11-24T19:29:10Z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