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EF8A8" w14:textId="77777777" w:rsidR="000D4F49" w:rsidRPr="00A42C60" w:rsidRDefault="000D4F49" w:rsidP="00390CD3">
      <w:pPr>
        <w:spacing w:after="0" w:line="240" w:lineRule="auto"/>
        <w:jc w:val="both"/>
        <w:rPr>
          <w:rFonts w:ascii="Arial" w:hAnsi="Arial" w:cs="Arial"/>
          <w:b/>
          <w:szCs w:val="24"/>
          <w:lang w:val="es-MX" w:eastAsia="es-ES_tradnl"/>
        </w:rPr>
      </w:pPr>
      <w:bookmarkStart w:id="0" w:name="_Hlk103947551"/>
      <w:r w:rsidRPr="00A42C60">
        <w:rPr>
          <w:rFonts w:ascii="Arial" w:hAnsi="Arial" w:cs="Arial"/>
          <w:b/>
          <w:szCs w:val="24"/>
          <w:lang w:val="es-MX" w:eastAsia="es-ES_tradnl"/>
        </w:rPr>
        <w:t>ADICIÓN – Concepto – Distintos supuestos – Prohibición – Adición en más del 50%</w:t>
      </w:r>
    </w:p>
    <w:p w14:paraId="3BB619C7" w14:textId="77777777" w:rsidR="000D4F49" w:rsidRPr="00A42C60" w:rsidRDefault="000D4F49" w:rsidP="00390CD3">
      <w:pPr>
        <w:spacing w:after="0" w:line="240" w:lineRule="auto"/>
        <w:jc w:val="both"/>
        <w:rPr>
          <w:rFonts w:ascii="Arial" w:hAnsi="Arial" w:cs="Arial"/>
          <w:b/>
          <w:szCs w:val="24"/>
          <w:lang w:val="es-MX" w:eastAsia="es-ES_tradnl"/>
        </w:rPr>
      </w:pPr>
    </w:p>
    <w:p w14:paraId="1291FB45" w14:textId="77777777" w:rsidR="00215743" w:rsidRDefault="00215743" w:rsidP="00215743">
      <w:pPr>
        <w:spacing w:after="0" w:line="240" w:lineRule="auto"/>
        <w:jc w:val="both"/>
        <w:rPr>
          <w:rFonts w:ascii="Arial" w:hAnsi="Arial" w:cs="Arial"/>
          <w:bCs/>
          <w:sz w:val="20"/>
          <w:szCs w:val="20"/>
          <w:lang w:val="es-ES_tradnl" w:eastAsia="es-ES_tradnl"/>
        </w:rPr>
      </w:pPr>
      <w:r>
        <w:rPr>
          <w:rFonts w:ascii="Arial" w:hAnsi="Arial" w:cs="Arial"/>
          <w:bCs/>
          <w:sz w:val="20"/>
          <w:szCs w:val="20"/>
          <w:lang w:val="es-ES_tradnl" w:eastAsia="es-ES_tradnl"/>
        </w:rPr>
        <w:t>L</w:t>
      </w:r>
      <w:r w:rsidRPr="00C73BDE">
        <w:rPr>
          <w:rFonts w:ascii="Arial" w:hAnsi="Arial" w:cs="Arial"/>
          <w:bCs/>
          <w:sz w:val="20"/>
          <w:szCs w:val="20"/>
          <w:lang w:val="es-ES_tradnl" w:eastAsia="es-ES_tradnl"/>
        </w:rPr>
        <w:t xml:space="preserve">a ejecución de los contratos estatales está sujeta a los cambios propios del paso del tiempo. Así, durante la etapa de planeación, las entidades públicas estiman y determinan las prestaciones que demanda la satisfacción de la necesidad de interés colectivo que pretende satisfacer. No obstante, durante la ejecución del contrato, las partes identifican alguna de las siguientes situaciones: i) la necesidad de mayores cantidades de bienes o actividades inicialmente previstos, a lo que se le conoce como «mayores cantidades de obra», «obras adicionales» o adición de «ítems contractuales»; y </w:t>
      </w:r>
      <w:proofErr w:type="spellStart"/>
      <w:r w:rsidRPr="00C73BDE">
        <w:rPr>
          <w:rFonts w:ascii="Arial" w:hAnsi="Arial" w:cs="Arial"/>
          <w:bCs/>
          <w:sz w:val="20"/>
          <w:szCs w:val="20"/>
          <w:lang w:val="es-ES_tradnl" w:eastAsia="es-ES_tradnl"/>
        </w:rPr>
        <w:t>ii</w:t>
      </w:r>
      <w:proofErr w:type="spellEnd"/>
      <w:r w:rsidRPr="00C73BDE">
        <w:rPr>
          <w:rFonts w:ascii="Arial" w:hAnsi="Arial" w:cs="Arial"/>
          <w:bCs/>
          <w:sz w:val="20"/>
          <w:szCs w:val="20"/>
          <w:lang w:val="es-ES_tradnl" w:eastAsia="es-ES_tradnl"/>
        </w:rPr>
        <w:t xml:space="preserve">)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 </w:t>
      </w:r>
      <w:r w:rsidRPr="00A42C60">
        <w:rPr>
          <w:rFonts w:ascii="Arial" w:hAnsi="Arial" w:cs="Arial"/>
          <w:sz w:val="20"/>
          <w:szCs w:val="20"/>
          <w:lang w:val="es-ES_tradnl" w:eastAsia="es-ES_tradnl"/>
        </w:rPr>
        <w:t>[…]</w:t>
      </w:r>
    </w:p>
    <w:p w14:paraId="05614D54" w14:textId="77777777" w:rsidR="00215743" w:rsidRPr="00C73BDE" w:rsidRDefault="00215743" w:rsidP="00215743">
      <w:pPr>
        <w:spacing w:after="0" w:line="240" w:lineRule="auto"/>
        <w:jc w:val="both"/>
        <w:rPr>
          <w:rFonts w:ascii="Arial" w:hAnsi="Arial" w:cs="Arial"/>
          <w:bCs/>
          <w:sz w:val="20"/>
          <w:szCs w:val="20"/>
          <w:lang w:val="es-ES_tradnl" w:eastAsia="es-ES_tradnl"/>
        </w:rPr>
      </w:pPr>
    </w:p>
    <w:p w14:paraId="00E03908" w14:textId="77777777" w:rsidR="00215743" w:rsidRDefault="00215743" w:rsidP="00215743">
      <w:pPr>
        <w:spacing w:after="0" w:line="240" w:lineRule="auto"/>
        <w:jc w:val="both"/>
        <w:rPr>
          <w:rFonts w:ascii="Arial" w:hAnsi="Arial" w:cs="Arial"/>
          <w:bCs/>
          <w:sz w:val="20"/>
          <w:szCs w:val="20"/>
          <w:lang w:val="es-ES_tradnl" w:eastAsia="es-ES_tradnl"/>
        </w:rPr>
      </w:pPr>
      <w:r w:rsidRPr="00C73BDE">
        <w:rPr>
          <w:rFonts w:ascii="Arial" w:hAnsi="Arial" w:cs="Arial"/>
          <w:bCs/>
          <w:sz w:val="20"/>
          <w:szCs w:val="20"/>
          <w:lang w:val="es-MX" w:eastAsia="es-ES_tradnl"/>
        </w:rPr>
        <w:t>No obstante, la expresión «contrato adicional» al igual que las otras nociones doctrinarias y jurisprudenciales arriba señaladas entre comillas son de uso común en la práctica contractual por las entidades estatales. Lo importante en relación con las mismas, tal como se ha resaltado por esta Agencia en oportunidades anteriores, es que frente a cualquier incremento del valor inicial del contrato, que implica una adición, por cualquiera de los dos supuestos señalados previamente, e independientemente del nombre que se le dé al acuerdo, aplica el límite previsto en el parágrafo del artículo 40 de la Ley 80 de 1993.</w:t>
      </w:r>
      <w:r w:rsidRPr="00C73BDE">
        <w:rPr>
          <w:rFonts w:ascii="Arial" w:hAnsi="Arial" w:cs="Arial"/>
          <w:bCs/>
          <w:sz w:val="20"/>
          <w:szCs w:val="20"/>
          <w:lang w:val="es-ES_tradnl" w:eastAsia="es-ES_tradnl"/>
        </w:rPr>
        <w:t>: «Los contratos no podrán adicionarse en más del cincuenta por ciento (50%) de su valor inicial, expresado éste en salarios mínimos legales mensuales»</w:t>
      </w:r>
    </w:p>
    <w:p w14:paraId="454A4C66" w14:textId="77777777" w:rsidR="000D4F49" w:rsidRPr="00A42C60" w:rsidRDefault="000D4F49" w:rsidP="00390CD3">
      <w:pPr>
        <w:spacing w:after="0" w:line="240" w:lineRule="auto"/>
        <w:jc w:val="both"/>
        <w:rPr>
          <w:rFonts w:ascii="Arial" w:hAnsi="Arial" w:cs="Arial"/>
          <w:b/>
          <w:szCs w:val="24"/>
          <w:lang w:val="es-MX" w:eastAsia="es-ES_tradnl"/>
        </w:rPr>
      </w:pPr>
    </w:p>
    <w:p w14:paraId="4E61C02B" w14:textId="493342CE" w:rsidR="000D4F49" w:rsidRPr="00A42C60" w:rsidRDefault="000D4F49" w:rsidP="00390CD3">
      <w:pPr>
        <w:spacing w:after="0" w:line="240" w:lineRule="auto"/>
        <w:jc w:val="both"/>
        <w:rPr>
          <w:rFonts w:ascii="Arial" w:hAnsi="Arial" w:cs="Arial"/>
          <w:b/>
          <w:bCs/>
          <w:szCs w:val="24"/>
          <w:lang w:val="es-MX" w:eastAsia="es-ES_tradnl"/>
        </w:rPr>
      </w:pPr>
      <w:r w:rsidRPr="00A42C60">
        <w:rPr>
          <w:rFonts w:ascii="Arial" w:hAnsi="Arial" w:cs="Arial"/>
          <w:b/>
          <w:bCs/>
          <w:szCs w:val="24"/>
          <w:lang w:val="es-MX" w:eastAsia="es-ES_tradnl"/>
        </w:rPr>
        <w:t>ADICI</w:t>
      </w:r>
      <w:r w:rsidR="004B424F" w:rsidRPr="00A42C60">
        <w:rPr>
          <w:rFonts w:ascii="Arial" w:hAnsi="Arial" w:cs="Arial"/>
          <w:b/>
          <w:bCs/>
          <w:szCs w:val="24"/>
          <w:lang w:val="es-MX" w:eastAsia="es-ES_tradnl"/>
        </w:rPr>
        <w:t>Ó</w:t>
      </w:r>
      <w:r w:rsidRPr="00A42C60">
        <w:rPr>
          <w:rFonts w:ascii="Arial" w:hAnsi="Arial" w:cs="Arial"/>
          <w:b/>
          <w:bCs/>
          <w:szCs w:val="24"/>
          <w:lang w:val="es-MX" w:eastAsia="es-ES_tradnl"/>
        </w:rPr>
        <w:t xml:space="preserve">N – Prohibición – Monto – Cálculo – Parágrafo artículo 40 – Ley 80 de 1993 </w:t>
      </w:r>
    </w:p>
    <w:p w14:paraId="171606AB" w14:textId="77777777" w:rsidR="000D4F49" w:rsidRPr="00A42C60" w:rsidRDefault="000D4F49" w:rsidP="00390CD3">
      <w:pPr>
        <w:spacing w:after="0" w:line="240" w:lineRule="auto"/>
        <w:jc w:val="both"/>
        <w:rPr>
          <w:rFonts w:ascii="Arial" w:hAnsi="Arial" w:cs="Arial"/>
          <w:b/>
          <w:szCs w:val="24"/>
          <w:lang w:val="es-MX" w:eastAsia="es-ES_tradnl"/>
        </w:rPr>
      </w:pPr>
    </w:p>
    <w:p w14:paraId="3B4191A2" w14:textId="77777777" w:rsidR="00215743" w:rsidRPr="00C73BDE" w:rsidRDefault="00215743" w:rsidP="00215743">
      <w:pPr>
        <w:spacing w:after="0" w:line="240" w:lineRule="auto"/>
        <w:jc w:val="both"/>
        <w:rPr>
          <w:rFonts w:ascii="Arial" w:hAnsi="Arial" w:cs="Arial"/>
          <w:bCs/>
          <w:sz w:val="20"/>
          <w:szCs w:val="20"/>
          <w:lang w:eastAsia="es-ES_tradnl"/>
        </w:rPr>
      </w:pPr>
      <w:r w:rsidRPr="00C73BDE">
        <w:rPr>
          <w:rFonts w:ascii="Arial" w:hAnsi="Arial" w:cs="Arial"/>
          <w:bCs/>
          <w:sz w:val="20"/>
          <w:szCs w:val="20"/>
          <w:lang w:val="es-ES_tradnl" w:eastAsia="es-ES_tradnl"/>
        </w:rPr>
        <w:t>Dicha norma además de consagrar una prohibición trae implícita una autorización, consistente en la posibilidad de adicionar los contratos estatales, siempre que no se supere el tope establecido.</w:t>
      </w:r>
      <w:r w:rsidRPr="00C73BDE">
        <w:rPr>
          <w:rFonts w:ascii="Arial" w:hAnsi="Arial" w:cs="Arial"/>
          <w:bCs/>
          <w:sz w:val="20"/>
          <w:szCs w:val="20"/>
          <w:lang w:eastAsia="es-ES_tradnl"/>
        </w:rPr>
        <w:t xml:space="preserve"> La regla establecida en el parágrafo del artículo 40 de la Ley 80 de 1993 aplica a todos los contratos estatales regidos por el EGCAP, independientemente de la modalidad de selección, de la tipología contractual del negocio jurídico que se considere necesario adicionar o del sistema de precios pactados. </w:t>
      </w:r>
      <w:r w:rsidRPr="00C73BDE">
        <w:rPr>
          <w:rFonts w:ascii="Arial" w:hAnsi="Arial" w:cs="Arial"/>
          <w:bCs/>
          <w:sz w:val="20"/>
          <w:szCs w:val="20"/>
          <w:lang w:val="es-ES_tradnl" w:eastAsia="es-ES_tradnl"/>
        </w:rPr>
        <w:t xml:space="preserve">Ahora bien, para determinar cómo debe hacerse el cálculo de la adición, basta con remitirse a lo dispuesto en el parágrafo del artículo 40 de la Ley 80 de 1993 «Los contratos no podrán adicionarse en más del cincuenta por ciento (50%) de su valor inicial, expresado éste en salarios mínimos legales mensuales». </w:t>
      </w:r>
      <w:r w:rsidRPr="00C73BDE">
        <w:rPr>
          <w:rFonts w:ascii="Arial" w:hAnsi="Arial" w:cs="Arial"/>
          <w:bCs/>
          <w:sz w:val="20"/>
          <w:szCs w:val="20"/>
          <w:lang w:eastAsia="es-ES_tradnl"/>
        </w:rPr>
        <w:t xml:space="preserve">En consecuencia, al momento de adicionar debe tenerse en cuenta que el cálculo del límite debe realizarse en salarios mínimos para efectos de que el cálculo del tope sea preciso. De manera que para adicionar un contrato debe dividirse el valor inicial por el salario mínimo legal mensual vigente –SMLMV– al momento de la suscripción del contrato, y luego dividirlo por dos. El resultado obtenido constituirá el número de SMLMV por los cuales podrá adicionarse el contrato. En este sentido, para evitar equivocaciones, lo ideal es que cada vez que se efectúe una adición, se estime su valor en salarios mínimos, que se calcularán con base en el vigente al momento de la adición, de manera que se descuenten estos de los salarios mínimos que restan por adicionar, pues las modificaciones podrían hacerse en diferentes años, porque si el contrato se ejecuta sin existir variación en el valor del salario mínimo la operación sería la misma si se toma el monto en pesos. </w:t>
      </w:r>
    </w:p>
    <w:p w14:paraId="185B853E" w14:textId="77777777" w:rsidR="000D4F49" w:rsidRPr="00A42C60" w:rsidRDefault="000D4F49" w:rsidP="00390CD3">
      <w:pPr>
        <w:spacing w:after="0" w:line="240" w:lineRule="auto"/>
        <w:jc w:val="both"/>
        <w:rPr>
          <w:rFonts w:ascii="Arial" w:hAnsi="Arial" w:cs="Arial"/>
          <w:b/>
          <w:szCs w:val="24"/>
          <w:lang w:val="es-MX" w:eastAsia="es-ES_tradnl"/>
        </w:rPr>
      </w:pPr>
    </w:p>
    <w:p w14:paraId="66DE3F9C" w14:textId="06E9C1AB" w:rsidR="000D4F49" w:rsidRPr="00A42C60" w:rsidRDefault="000D4F49" w:rsidP="00390CD3">
      <w:pPr>
        <w:spacing w:after="0" w:line="240" w:lineRule="auto"/>
        <w:jc w:val="both"/>
        <w:rPr>
          <w:rFonts w:ascii="Arial" w:hAnsi="Arial" w:cs="Arial"/>
          <w:b/>
          <w:bCs/>
          <w:szCs w:val="24"/>
          <w:lang w:val="es-MX" w:eastAsia="es-ES_tradnl"/>
        </w:rPr>
      </w:pPr>
      <w:r w:rsidRPr="00A42C60">
        <w:rPr>
          <w:rFonts w:ascii="Arial" w:hAnsi="Arial" w:cs="Arial"/>
          <w:b/>
          <w:bCs/>
          <w:szCs w:val="24"/>
          <w:lang w:val="es-MX" w:eastAsia="es-ES_tradnl"/>
        </w:rPr>
        <w:t>ADICI</w:t>
      </w:r>
      <w:r w:rsidR="004B424F" w:rsidRPr="00A42C60">
        <w:rPr>
          <w:rFonts w:ascii="Arial" w:hAnsi="Arial" w:cs="Arial"/>
          <w:b/>
          <w:bCs/>
          <w:szCs w:val="24"/>
          <w:lang w:val="es-MX" w:eastAsia="es-ES_tradnl"/>
        </w:rPr>
        <w:t>Ó</w:t>
      </w:r>
      <w:r w:rsidRPr="00A42C60">
        <w:rPr>
          <w:rFonts w:ascii="Arial" w:hAnsi="Arial" w:cs="Arial"/>
          <w:b/>
          <w:bCs/>
          <w:szCs w:val="24"/>
          <w:lang w:val="es-MX" w:eastAsia="es-ES_tradnl"/>
        </w:rPr>
        <w:t xml:space="preserve">N – Mayores cantidades – Límites – Posturas </w:t>
      </w:r>
    </w:p>
    <w:p w14:paraId="7040F44F" w14:textId="06E96BFF" w:rsidR="000D4F49" w:rsidRPr="00A42C60" w:rsidRDefault="000D4F49" w:rsidP="00390CD3">
      <w:pPr>
        <w:spacing w:after="0" w:line="240" w:lineRule="auto"/>
        <w:jc w:val="both"/>
        <w:rPr>
          <w:rFonts w:ascii="Arial" w:hAnsi="Arial" w:cs="Arial"/>
          <w:b/>
          <w:bCs/>
          <w:szCs w:val="24"/>
          <w:lang w:val="es-MX" w:eastAsia="es-ES_tradnl"/>
        </w:rPr>
      </w:pPr>
    </w:p>
    <w:p w14:paraId="5A3DC35E" w14:textId="77777777" w:rsidR="00215743" w:rsidRPr="00A42C60" w:rsidRDefault="00215743" w:rsidP="00215743">
      <w:pPr>
        <w:spacing w:after="0" w:line="240" w:lineRule="auto"/>
        <w:jc w:val="both"/>
        <w:rPr>
          <w:rFonts w:ascii="Arial" w:hAnsi="Arial" w:cs="Arial"/>
          <w:sz w:val="20"/>
          <w:szCs w:val="20"/>
          <w:lang w:val="es-ES_tradnl" w:eastAsia="es-ES_tradnl"/>
        </w:rPr>
      </w:pPr>
      <w:r w:rsidRPr="00A42C60">
        <w:rPr>
          <w:rFonts w:ascii="Arial" w:hAnsi="Arial" w:cs="Arial"/>
          <w:szCs w:val="24"/>
          <w:lang w:val="es-MX" w:eastAsia="es-ES_tradnl"/>
        </w:rPr>
        <w:t>L</w:t>
      </w:r>
      <w:r w:rsidRPr="00A42C60">
        <w:rPr>
          <w:rFonts w:ascii="Arial" w:hAnsi="Arial" w:cs="Arial"/>
          <w:sz w:val="20"/>
          <w:szCs w:val="20"/>
          <w:lang w:val="es-MX" w:eastAsia="es-ES_tradnl"/>
        </w:rPr>
        <w:t xml:space="preserve">a primera postura, que fue señalada por la Sala de Consulta y Servicio Civil del Consejo de Estado, y adoptada por el Consejo de Estado en otros pronunciamientos, parte de considerar que solo hay </w:t>
      </w:r>
      <w:r w:rsidRPr="00A42C60">
        <w:rPr>
          <w:rFonts w:ascii="Arial" w:hAnsi="Arial" w:cs="Arial"/>
          <w:sz w:val="20"/>
          <w:szCs w:val="20"/>
          <w:lang w:val="es-MX" w:eastAsia="es-ES_tradnl"/>
        </w:rPr>
        <w:lastRenderedPageBreak/>
        <w:t xml:space="preserve">lugar a la celebración de un contrato adicional, y por tanto que se encuentre sometido al parágrafo del artículo 40 de la Ley 80 de 1993, cuando se trate de adicionar una obra u actividad que no estaba contemplada en el alcance inicial del contrato. En tal sentido, y según dicha postura, a otros aumentos del valor originados, por ejemplo, en mayores cantidades de obra, no les aplica la prohibición, ya que, bajo dicha tesis, el valor inicial del contrato, en el sistema de precios unitarios, solo consiste en un estimativo del costo que tendrá el contrato, que solo logra determinarse una vez termine la ejecución, de manera que con las mayores cantidades de obra no se presentaría una modificación del precio, sino que simplemente se determinará el valor final del contrato, que no será diferente del precio acordado inicialmente que se mantendrá invariable, precisándose, al final, el monto real del estimativo. </w:t>
      </w:r>
      <w:r w:rsidRPr="00A42C60">
        <w:rPr>
          <w:rFonts w:ascii="Arial" w:hAnsi="Arial" w:cs="Arial"/>
          <w:sz w:val="20"/>
          <w:szCs w:val="20"/>
          <w:lang w:val="es-ES_tradnl" w:eastAsia="es-ES_tradnl"/>
        </w:rPr>
        <w:t>[…]</w:t>
      </w:r>
    </w:p>
    <w:p w14:paraId="0E7CC4BE" w14:textId="77777777" w:rsidR="00215743" w:rsidRPr="00A42C60" w:rsidRDefault="00215743" w:rsidP="00215743">
      <w:pPr>
        <w:spacing w:after="0" w:line="240" w:lineRule="auto"/>
        <w:jc w:val="both"/>
        <w:rPr>
          <w:rFonts w:ascii="Arial" w:hAnsi="Arial" w:cs="Arial"/>
          <w:sz w:val="20"/>
          <w:szCs w:val="20"/>
          <w:lang w:val="es-ES_tradnl" w:eastAsia="es-ES_tradnl"/>
        </w:rPr>
      </w:pPr>
    </w:p>
    <w:p w14:paraId="500D389A" w14:textId="264145DC" w:rsidR="00215743" w:rsidRDefault="00215743" w:rsidP="00215743">
      <w:pPr>
        <w:spacing w:after="0" w:line="240" w:lineRule="auto"/>
        <w:jc w:val="both"/>
        <w:rPr>
          <w:rFonts w:ascii="Arial" w:hAnsi="Arial" w:cs="Arial"/>
          <w:sz w:val="20"/>
          <w:szCs w:val="20"/>
          <w:lang w:val="es-MX" w:eastAsia="es-ES_tradnl"/>
        </w:rPr>
      </w:pPr>
      <w:r w:rsidRPr="00A42C60">
        <w:rPr>
          <w:rFonts w:ascii="Arial" w:hAnsi="Arial" w:cs="Arial"/>
          <w:sz w:val="20"/>
          <w:szCs w:val="20"/>
          <w:lang w:val="es-MX" w:eastAsia="es-ES_tradnl"/>
        </w:rPr>
        <w:t xml:space="preserve">La otra postura, defendida por otra parte de la doctrina, y que es la que sostiene esta Agencia, considera que cualquier aumento del valor, independientemente de la causa que lo origine, se enmarca dentro del límite del parágrafo del artículo 40, de manera que la norma debe entenderse en el sentido de que cualquier aumento del precio inicial, que implique añadir recursos a los inicialmente previstos, implica la celebración de una adición </w:t>
      </w:r>
      <w:r w:rsidRPr="00A42C60">
        <w:rPr>
          <w:rFonts w:ascii="Arial" w:hAnsi="Arial" w:cs="Arial" w:hint="eastAsia"/>
          <w:sz w:val="20"/>
          <w:szCs w:val="20"/>
          <w:lang w:val="es-MX" w:eastAsia="es-ES_tradnl"/>
        </w:rPr>
        <w:t>―</w:t>
      </w:r>
      <w:r w:rsidRPr="00A42C60">
        <w:rPr>
          <w:rFonts w:ascii="Arial" w:hAnsi="Arial" w:cs="Arial"/>
          <w:sz w:val="20"/>
          <w:szCs w:val="20"/>
          <w:lang w:val="es-MX" w:eastAsia="es-ES_tradnl"/>
        </w:rPr>
        <w:t>que será un contrato</w:t>
      </w:r>
      <w:r w:rsidRPr="00A42C60">
        <w:rPr>
          <w:rFonts w:ascii="Arial" w:hAnsi="Arial" w:cs="Arial" w:hint="eastAsia"/>
          <w:sz w:val="20"/>
          <w:szCs w:val="20"/>
          <w:lang w:val="es-MX" w:eastAsia="es-ES_tradnl"/>
        </w:rPr>
        <w:t>―</w:t>
      </w:r>
      <w:r w:rsidRPr="00A42C60">
        <w:rPr>
          <w:rFonts w:ascii="Arial" w:hAnsi="Arial" w:cs="Arial"/>
          <w:sz w:val="20"/>
          <w:szCs w:val="20"/>
          <w:lang w:val="es-MX" w:eastAsia="es-ES_tradnl"/>
        </w:rPr>
        <w:t>, independientemente del nombre que se le dé y que necesariamente se someterá a la norma prohibitiva, salvo norma especial que excepcione la regla general</w:t>
      </w:r>
      <w:r>
        <w:rPr>
          <w:rFonts w:ascii="Arial" w:hAnsi="Arial" w:cs="Arial"/>
          <w:sz w:val="20"/>
          <w:szCs w:val="20"/>
          <w:lang w:val="es-MX" w:eastAsia="es-ES_tradnl"/>
        </w:rPr>
        <w:t>.</w:t>
      </w:r>
    </w:p>
    <w:p w14:paraId="7BD72694" w14:textId="77777777" w:rsidR="00215743" w:rsidRDefault="00215743" w:rsidP="00390CD3">
      <w:pPr>
        <w:spacing w:after="0" w:line="240" w:lineRule="auto"/>
        <w:jc w:val="both"/>
        <w:rPr>
          <w:rFonts w:ascii="Arial" w:hAnsi="Arial" w:cs="Arial"/>
          <w:szCs w:val="24"/>
          <w:lang w:val="es-MX" w:eastAsia="es-ES_tradnl"/>
        </w:rPr>
      </w:pPr>
    </w:p>
    <w:p w14:paraId="53E6E3EE" w14:textId="3121E190" w:rsidR="00390CD3" w:rsidRDefault="00390CD3" w:rsidP="00390CD3">
      <w:pPr>
        <w:spacing w:after="0" w:line="240" w:lineRule="auto"/>
        <w:jc w:val="both"/>
        <w:rPr>
          <w:rFonts w:ascii="Arial" w:hAnsi="Arial" w:cs="Arial"/>
          <w:b/>
          <w:bCs/>
          <w:color w:val="000000" w:themeColor="text1"/>
        </w:rPr>
      </w:pPr>
      <w:r>
        <w:rPr>
          <w:rFonts w:ascii="Arial" w:hAnsi="Arial" w:cs="Arial"/>
          <w:b/>
          <w:bCs/>
          <w:color w:val="000000" w:themeColor="text1"/>
        </w:rPr>
        <w:t xml:space="preserve">ADICIÓN – Excepciones a la regla </w:t>
      </w:r>
    </w:p>
    <w:p w14:paraId="63FCC669" w14:textId="77777777" w:rsidR="00390CD3" w:rsidRPr="00390CD3" w:rsidRDefault="00390CD3" w:rsidP="00390CD3">
      <w:pPr>
        <w:spacing w:after="0" w:line="240" w:lineRule="auto"/>
        <w:jc w:val="both"/>
        <w:rPr>
          <w:rFonts w:ascii="Arial" w:eastAsia="Times New Roman" w:hAnsi="Arial" w:cs="Arial"/>
          <w:noProof/>
          <w:color w:val="000000" w:themeColor="text1"/>
          <w:lang w:val="es-ES_tradnl"/>
        </w:rPr>
      </w:pPr>
    </w:p>
    <w:p w14:paraId="31A4065E" w14:textId="77777777" w:rsidR="00215743" w:rsidRPr="00215743" w:rsidRDefault="00215743" w:rsidP="00215743">
      <w:pPr>
        <w:spacing w:after="0" w:line="240" w:lineRule="auto"/>
        <w:jc w:val="both"/>
        <w:rPr>
          <w:rFonts w:ascii="Arial" w:hAnsi="Arial" w:cs="Arial"/>
          <w:color w:val="000000" w:themeColor="text1"/>
          <w:sz w:val="20"/>
          <w:szCs w:val="20"/>
          <w:lang w:eastAsia="es-ES"/>
        </w:rPr>
      </w:pPr>
      <w:r w:rsidRPr="00215743">
        <w:rPr>
          <w:rFonts w:ascii="Arial" w:hAnsi="Arial" w:cs="Arial"/>
          <w:color w:val="000000" w:themeColor="text1"/>
          <w:sz w:val="20"/>
          <w:szCs w:val="20"/>
          <w:lang w:eastAsia="es-ES"/>
        </w:rPr>
        <w:t>Actualmente existe una posibilidad para adicionar contratos estatales en más del 50%, que es la contenida en el artículo 85 de la Ley 1474 de 2011 para los contratos de interventoría que, por su naturaleza de seguimiento técnico a otro contrato estatal, podrá prorrogarse por el plazo en que haya sido prorrogado el contrato objeto de vigilancia, sin que resulte aplicable el tope establecido en el parágrafo del artículo 40 de la Ley 80 de 1993, en relación con el monto de las eventuales adiciones. La disposición de la Ley 1474 de 2011 pretende fortalecer la figura de la interventoría, como una herramienta integral, para proteger los intereses públicos y evitar que se cause un eventual daño antijurídico al abandonar la vigilancia del contrato principal, por limitaciones en cuanto al monto de sus posibles adiciones.</w:t>
      </w:r>
    </w:p>
    <w:p w14:paraId="0D74BF6B" w14:textId="77777777" w:rsidR="00390CD3" w:rsidRPr="00390CD3" w:rsidRDefault="00390CD3" w:rsidP="00390CD3">
      <w:pPr>
        <w:spacing w:after="0" w:line="240" w:lineRule="auto"/>
        <w:jc w:val="both"/>
        <w:rPr>
          <w:rFonts w:ascii="Arial" w:hAnsi="Arial" w:cs="Arial"/>
          <w:color w:val="000000" w:themeColor="text1"/>
          <w:sz w:val="20"/>
          <w:szCs w:val="20"/>
          <w:lang w:eastAsia="es-ES"/>
        </w:rPr>
      </w:pPr>
    </w:p>
    <w:p w14:paraId="36F9831D" w14:textId="77777777" w:rsidR="004B424F" w:rsidRPr="00A42C60" w:rsidRDefault="004B424F" w:rsidP="00390CD3">
      <w:pPr>
        <w:spacing w:after="0" w:line="240" w:lineRule="auto"/>
        <w:jc w:val="both"/>
        <w:rPr>
          <w:rFonts w:ascii="Arial" w:hAnsi="Arial" w:cs="Arial"/>
          <w:b/>
          <w:szCs w:val="24"/>
          <w:lang w:val="es-ES_tradnl" w:eastAsia="es-ES_tradnl" w:bidi="es-ES"/>
        </w:rPr>
      </w:pPr>
      <w:r w:rsidRPr="00A42C60">
        <w:rPr>
          <w:rFonts w:ascii="Arial" w:hAnsi="Arial" w:cs="Arial"/>
          <w:b/>
          <w:szCs w:val="24"/>
          <w:lang w:val="es-ES_tradnl" w:eastAsia="es-ES_tradnl" w:bidi="es-ES"/>
        </w:rPr>
        <w:t>MODIFICACION DE LOS CONTRATOS ESTATALES – Procedencia – Límites</w:t>
      </w:r>
    </w:p>
    <w:p w14:paraId="1D27D1B2" w14:textId="77777777" w:rsidR="004B424F" w:rsidRPr="00A42C60" w:rsidRDefault="004B424F" w:rsidP="00390CD3">
      <w:pPr>
        <w:spacing w:after="0" w:line="240" w:lineRule="auto"/>
        <w:jc w:val="both"/>
        <w:rPr>
          <w:rFonts w:ascii="Arial" w:hAnsi="Arial" w:cs="Arial"/>
          <w:b/>
          <w:szCs w:val="24"/>
          <w:lang w:val="es-MX" w:eastAsia="es-ES_tradnl"/>
        </w:rPr>
      </w:pPr>
    </w:p>
    <w:p w14:paraId="77104EDC" w14:textId="77777777" w:rsidR="00215743" w:rsidRPr="00A42C60" w:rsidRDefault="00215743" w:rsidP="00215743">
      <w:pPr>
        <w:spacing w:after="0" w:line="240" w:lineRule="auto"/>
        <w:jc w:val="both"/>
        <w:rPr>
          <w:rFonts w:ascii="Arial" w:hAnsi="Arial" w:cs="Arial"/>
          <w:bCs/>
          <w:sz w:val="20"/>
          <w:szCs w:val="20"/>
          <w:lang w:val="es-ES_tradnl" w:eastAsia="es-ES_tradnl" w:bidi="es-ES"/>
        </w:rPr>
      </w:pPr>
      <w:r w:rsidRPr="00A42C60">
        <w:rPr>
          <w:rFonts w:ascii="Arial" w:hAnsi="Arial" w:cs="Arial"/>
          <w:bCs/>
          <w:sz w:val="20"/>
          <w:szCs w:val="20"/>
          <w:lang w:val="es-ES_tradnl" w:eastAsia="es-ES_tradnl" w:bidi="es-ES"/>
        </w:rPr>
        <w:t xml:space="preserve">Conforme a la regulación legal y a la interpretación que de la misma han hecho el Consejo de Estado y la Corte Constitucional, la cual se comparte por esta Agencia, es viable jurídicamente modificar los contratos estatales, pero esta medida tienen carácter excepcional y solo procede cuando con ella se pretenda garantizar el interés público, cuando la entidad haya verificado y así pueda constatarse por cualquier que la causa de la modificación es real y cierta y cuando se deriva de previsiones legales, esto es, cuando la modificación encuentra sustento no solo en circunstancias fácticas propias de la ejecución del contrato, sino, además, cuando tales situaciones ponen de presente la necesidad de dar cumplimiento a previsiones establecidas por el legislador. Así las cosas, para establecer si un contrato determinado puede ser susceptible de modificación, se hace necesario que la Administración analice, en cada caso, la concurrencia de los aspectos antes referidos.  </w:t>
      </w:r>
    </w:p>
    <w:p w14:paraId="74B704EE" w14:textId="42928D14" w:rsidR="00FB186E" w:rsidRPr="00A42C60" w:rsidRDefault="00FB186E" w:rsidP="00390CD3">
      <w:pPr>
        <w:spacing w:after="0" w:line="240" w:lineRule="auto"/>
        <w:jc w:val="both"/>
        <w:rPr>
          <w:rFonts w:ascii="Arial" w:hAnsi="Arial" w:cs="Arial"/>
          <w:b/>
          <w:szCs w:val="24"/>
          <w:lang w:val="es-ES_tradnl" w:eastAsia="es-ES_tradnl"/>
        </w:rPr>
      </w:pPr>
    </w:p>
    <w:p w14:paraId="0B3B1C60" w14:textId="413D1764" w:rsidR="004B424F" w:rsidRPr="00A42C60" w:rsidRDefault="004B424F" w:rsidP="00390CD3">
      <w:pPr>
        <w:spacing w:after="0" w:line="240" w:lineRule="auto"/>
        <w:jc w:val="both"/>
        <w:rPr>
          <w:rFonts w:ascii="Arial" w:hAnsi="Arial" w:cs="Arial"/>
          <w:b/>
          <w:szCs w:val="24"/>
          <w:lang w:val="es-ES_tradnl" w:eastAsia="es-ES_tradnl"/>
        </w:rPr>
      </w:pPr>
      <w:r w:rsidRPr="00A42C60">
        <w:rPr>
          <w:rFonts w:ascii="Arial" w:hAnsi="Arial" w:cs="Arial"/>
          <w:b/>
          <w:szCs w:val="24"/>
          <w:lang w:val="es-ES_tradnl" w:eastAsia="es-ES_tradnl"/>
        </w:rPr>
        <w:t xml:space="preserve">ACTIVIDADES NO PREVISTAS </w:t>
      </w:r>
      <w:r w:rsidRPr="00A42C60">
        <w:rPr>
          <w:rFonts w:ascii="Arial" w:hAnsi="Arial" w:cs="Arial"/>
          <w:b/>
          <w:szCs w:val="24"/>
          <w:lang w:val="es-ES_tradnl" w:eastAsia="es-ES_tradnl" w:bidi="es-ES"/>
        </w:rPr>
        <w:t xml:space="preserve">– Modificación </w:t>
      </w:r>
    </w:p>
    <w:p w14:paraId="50675E18" w14:textId="28919A0F" w:rsidR="004B424F" w:rsidRPr="00A42C60" w:rsidRDefault="004B424F" w:rsidP="00390CD3">
      <w:pPr>
        <w:spacing w:after="0" w:line="240" w:lineRule="auto"/>
        <w:jc w:val="both"/>
        <w:rPr>
          <w:rFonts w:ascii="Arial" w:hAnsi="Arial" w:cs="Arial"/>
          <w:b/>
          <w:szCs w:val="24"/>
          <w:lang w:val="es-ES_tradnl" w:eastAsia="es-ES_tradnl"/>
        </w:rPr>
      </w:pPr>
    </w:p>
    <w:p w14:paraId="4718E95C" w14:textId="77777777" w:rsidR="00215743" w:rsidRDefault="00215743" w:rsidP="00215743">
      <w:pPr>
        <w:spacing w:after="0" w:line="240" w:lineRule="auto"/>
        <w:jc w:val="both"/>
        <w:rPr>
          <w:rFonts w:ascii="Arial" w:hAnsi="Arial" w:cs="Arial"/>
          <w:b/>
          <w:szCs w:val="24"/>
          <w:lang w:val="es-ES_tradnl" w:eastAsia="es-ES_tradnl"/>
        </w:rPr>
      </w:pPr>
    </w:p>
    <w:p w14:paraId="21BD3B4D" w14:textId="77777777" w:rsidR="00215743" w:rsidRPr="00C73BDE" w:rsidRDefault="00215743" w:rsidP="00215743">
      <w:pPr>
        <w:spacing w:after="0" w:line="240" w:lineRule="auto"/>
        <w:jc w:val="both"/>
        <w:rPr>
          <w:rFonts w:ascii="Arial" w:hAnsi="Arial" w:cs="Arial"/>
          <w:bCs/>
          <w:sz w:val="20"/>
          <w:szCs w:val="20"/>
          <w:lang w:val="es-MX" w:eastAsia="es-ES_tradnl"/>
        </w:rPr>
      </w:pPr>
      <w:r>
        <w:rPr>
          <w:rFonts w:ascii="Arial" w:hAnsi="Arial" w:cs="Arial"/>
          <w:bCs/>
          <w:sz w:val="20"/>
          <w:szCs w:val="20"/>
          <w:lang w:val="es-ES_tradnl" w:eastAsia="es-ES_tradnl"/>
        </w:rPr>
        <w:lastRenderedPageBreak/>
        <w:t>U</w:t>
      </w:r>
      <w:r w:rsidRPr="00C73BDE">
        <w:rPr>
          <w:rFonts w:ascii="Arial" w:hAnsi="Arial" w:cs="Arial"/>
          <w:bCs/>
          <w:sz w:val="20"/>
          <w:szCs w:val="20"/>
          <w:lang w:val="es-ES_tradnl" w:eastAsia="es-ES_tradnl"/>
        </w:rPr>
        <w:t xml:space="preserve">n contrato estatal puede modificarse en precio y en el alcance de su objeto para incluir actividades adicionales que no fueron comprendidas en el contrato inicial, esto es, para incluir ítems no previstos, siempre que se respete el límite fijado por el legislador para adicionar su valor y las demás disposiciones establecidas en el ordenamiento jurídico. Además, las modificaciones no podrían suponer la variación del objeto de un contrato, al punto que suponga la alteración de su esencia y se convierta en otro tipo de negocio jurídico. Si se presentara esta situación lo indicado no sería modificar el contrato sino celebrar uno nuevo. Estas reglas proceden cuando la modificación sea de manera bilateral, así como cuando se realice de forma unilateral por la entidad estatal, esta última teniendo en cuenta que el artículo 16 de la Ley 80 de 1993 señala que si las modificaciones alteran el valor del contrato en un veinte por ciento (20%) o más del valor inicial, el contratista podrá renunciar a la continuación de la ejecución. </w:t>
      </w:r>
    </w:p>
    <w:p w14:paraId="3C2EB15C" w14:textId="77777777" w:rsidR="00215743" w:rsidRDefault="00215743" w:rsidP="00390CD3">
      <w:pPr>
        <w:spacing w:after="0" w:line="240" w:lineRule="auto"/>
        <w:jc w:val="both"/>
        <w:rPr>
          <w:rFonts w:ascii="Arial" w:hAnsi="Arial" w:cs="Arial"/>
          <w:bCs/>
          <w:sz w:val="20"/>
          <w:szCs w:val="20"/>
          <w:lang w:val="es-ES_tradnl" w:eastAsia="es-ES_tradnl"/>
        </w:rPr>
      </w:pPr>
    </w:p>
    <w:p w14:paraId="15083641" w14:textId="6656F32E" w:rsidR="006A3704" w:rsidRDefault="006A3704" w:rsidP="00B7240D">
      <w:pPr>
        <w:spacing w:after="0" w:line="276" w:lineRule="auto"/>
        <w:jc w:val="both"/>
        <w:rPr>
          <w:rFonts w:ascii="Arial" w:hAnsi="Arial" w:cs="Arial"/>
          <w:bCs/>
          <w:sz w:val="20"/>
          <w:szCs w:val="20"/>
          <w:lang w:val="es-ES_tradnl" w:eastAsia="es-ES_tradnl"/>
        </w:rPr>
      </w:pPr>
    </w:p>
    <w:p w14:paraId="30BC26F8" w14:textId="0595A310" w:rsidR="00215743" w:rsidRDefault="00215743" w:rsidP="00B7240D">
      <w:pPr>
        <w:spacing w:after="0" w:line="276" w:lineRule="auto"/>
        <w:jc w:val="both"/>
        <w:rPr>
          <w:rFonts w:ascii="Arial" w:hAnsi="Arial" w:cs="Arial"/>
          <w:bCs/>
          <w:sz w:val="20"/>
          <w:szCs w:val="20"/>
          <w:lang w:val="es-ES_tradnl" w:eastAsia="es-ES_tradnl"/>
        </w:rPr>
      </w:pPr>
    </w:p>
    <w:p w14:paraId="589D54C8" w14:textId="7155AF56" w:rsidR="00215743" w:rsidRDefault="00215743" w:rsidP="00B7240D">
      <w:pPr>
        <w:spacing w:after="0" w:line="276" w:lineRule="auto"/>
        <w:jc w:val="both"/>
        <w:rPr>
          <w:rFonts w:ascii="Arial" w:hAnsi="Arial" w:cs="Arial"/>
          <w:bCs/>
          <w:sz w:val="20"/>
          <w:szCs w:val="20"/>
          <w:lang w:val="es-ES_tradnl" w:eastAsia="es-ES_tradnl"/>
        </w:rPr>
      </w:pPr>
    </w:p>
    <w:p w14:paraId="7F345C4A" w14:textId="15B40AC6" w:rsidR="00215743" w:rsidRDefault="00215743" w:rsidP="00B7240D">
      <w:pPr>
        <w:spacing w:after="0" w:line="276" w:lineRule="auto"/>
        <w:jc w:val="both"/>
        <w:rPr>
          <w:rFonts w:ascii="Arial" w:hAnsi="Arial" w:cs="Arial"/>
          <w:bCs/>
          <w:sz w:val="20"/>
          <w:szCs w:val="20"/>
          <w:lang w:val="es-ES_tradnl" w:eastAsia="es-ES_tradnl"/>
        </w:rPr>
      </w:pPr>
    </w:p>
    <w:p w14:paraId="370E0E12" w14:textId="3C12232A" w:rsidR="00215743" w:rsidRDefault="00215743" w:rsidP="00B7240D">
      <w:pPr>
        <w:spacing w:after="0" w:line="276" w:lineRule="auto"/>
        <w:jc w:val="both"/>
        <w:rPr>
          <w:rFonts w:ascii="Arial" w:hAnsi="Arial" w:cs="Arial"/>
          <w:bCs/>
          <w:sz w:val="20"/>
          <w:szCs w:val="20"/>
          <w:lang w:val="es-ES_tradnl" w:eastAsia="es-ES_tradnl"/>
        </w:rPr>
      </w:pPr>
    </w:p>
    <w:p w14:paraId="1EDBD9C7" w14:textId="1631B16F" w:rsidR="00215743" w:rsidRDefault="00215743" w:rsidP="00B7240D">
      <w:pPr>
        <w:spacing w:after="0" w:line="276" w:lineRule="auto"/>
        <w:jc w:val="both"/>
        <w:rPr>
          <w:rFonts w:ascii="Arial" w:hAnsi="Arial" w:cs="Arial"/>
          <w:bCs/>
          <w:sz w:val="20"/>
          <w:szCs w:val="20"/>
          <w:lang w:val="es-ES_tradnl" w:eastAsia="es-ES_tradnl"/>
        </w:rPr>
      </w:pPr>
    </w:p>
    <w:p w14:paraId="0B70B516" w14:textId="48C9FCCC" w:rsidR="00215743" w:rsidRDefault="00215743" w:rsidP="00B7240D">
      <w:pPr>
        <w:spacing w:after="0" w:line="276" w:lineRule="auto"/>
        <w:jc w:val="both"/>
        <w:rPr>
          <w:rFonts w:ascii="Arial" w:hAnsi="Arial" w:cs="Arial"/>
          <w:bCs/>
          <w:sz w:val="20"/>
          <w:szCs w:val="20"/>
          <w:lang w:val="es-ES_tradnl" w:eastAsia="es-ES_tradnl"/>
        </w:rPr>
      </w:pPr>
    </w:p>
    <w:p w14:paraId="07F3F76D" w14:textId="6841BA8C" w:rsidR="00215743" w:rsidRDefault="00215743" w:rsidP="00B7240D">
      <w:pPr>
        <w:spacing w:after="0" w:line="276" w:lineRule="auto"/>
        <w:jc w:val="both"/>
        <w:rPr>
          <w:rFonts w:ascii="Arial" w:hAnsi="Arial" w:cs="Arial"/>
          <w:bCs/>
          <w:sz w:val="20"/>
          <w:szCs w:val="20"/>
          <w:lang w:val="es-ES_tradnl" w:eastAsia="es-ES_tradnl"/>
        </w:rPr>
      </w:pPr>
    </w:p>
    <w:p w14:paraId="3C9E71B7" w14:textId="1A4C78D6" w:rsidR="00215743" w:rsidRDefault="00215743" w:rsidP="00B7240D">
      <w:pPr>
        <w:spacing w:after="0" w:line="276" w:lineRule="auto"/>
        <w:jc w:val="both"/>
        <w:rPr>
          <w:rFonts w:ascii="Arial" w:hAnsi="Arial" w:cs="Arial"/>
          <w:bCs/>
          <w:sz w:val="20"/>
          <w:szCs w:val="20"/>
          <w:lang w:val="es-ES_tradnl" w:eastAsia="es-ES_tradnl"/>
        </w:rPr>
      </w:pPr>
    </w:p>
    <w:p w14:paraId="02C469F6" w14:textId="7B25C62E" w:rsidR="00215743" w:rsidRDefault="00215743" w:rsidP="00B7240D">
      <w:pPr>
        <w:spacing w:after="0" w:line="276" w:lineRule="auto"/>
        <w:jc w:val="both"/>
        <w:rPr>
          <w:rFonts w:ascii="Arial" w:hAnsi="Arial" w:cs="Arial"/>
          <w:bCs/>
          <w:sz w:val="20"/>
          <w:szCs w:val="20"/>
          <w:lang w:val="es-ES_tradnl" w:eastAsia="es-ES_tradnl"/>
        </w:rPr>
      </w:pPr>
    </w:p>
    <w:p w14:paraId="7330BC5B" w14:textId="12F97624" w:rsidR="00215743" w:rsidRDefault="00215743" w:rsidP="00B7240D">
      <w:pPr>
        <w:spacing w:after="0" w:line="276" w:lineRule="auto"/>
        <w:jc w:val="both"/>
        <w:rPr>
          <w:rFonts w:ascii="Arial" w:hAnsi="Arial" w:cs="Arial"/>
          <w:bCs/>
          <w:sz w:val="20"/>
          <w:szCs w:val="20"/>
          <w:lang w:val="es-ES_tradnl" w:eastAsia="es-ES_tradnl"/>
        </w:rPr>
      </w:pPr>
    </w:p>
    <w:p w14:paraId="073603F8" w14:textId="3A5B3D9E" w:rsidR="00215743" w:rsidRDefault="00215743" w:rsidP="00B7240D">
      <w:pPr>
        <w:spacing w:after="0" w:line="276" w:lineRule="auto"/>
        <w:jc w:val="both"/>
        <w:rPr>
          <w:rFonts w:ascii="Arial" w:hAnsi="Arial" w:cs="Arial"/>
          <w:bCs/>
          <w:sz w:val="20"/>
          <w:szCs w:val="20"/>
          <w:lang w:val="es-ES_tradnl" w:eastAsia="es-ES_tradnl"/>
        </w:rPr>
      </w:pPr>
    </w:p>
    <w:p w14:paraId="5957A765" w14:textId="5B8EB9D3" w:rsidR="00215743" w:rsidRDefault="00215743" w:rsidP="00B7240D">
      <w:pPr>
        <w:spacing w:after="0" w:line="276" w:lineRule="auto"/>
        <w:jc w:val="both"/>
        <w:rPr>
          <w:rFonts w:ascii="Arial" w:hAnsi="Arial" w:cs="Arial"/>
          <w:bCs/>
          <w:sz w:val="20"/>
          <w:szCs w:val="20"/>
          <w:lang w:val="es-ES_tradnl" w:eastAsia="es-ES_tradnl"/>
        </w:rPr>
      </w:pPr>
    </w:p>
    <w:p w14:paraId="0D7BBA28" w14:textId="6DE9B937" w:rsidR="00215743" w:rsidRDefault="00215743" w:rsidP="00B7240D">
      <w:pPr>
        <w:spacing w:after="0" w:line="276" w:lineRule="auto"/>
        <w:jc w:val="both"/>
        <w:rPr>
          <w:rFonts w:ascii="Arial" w:hAnsi="Arial" w:cs="Arial"/>
          <w:bCs/>
          <w:sz w:val="20"/>
          <w:szCs w:val="20"/>
          <w:lang w:val="es-ES_tradnl" w:eastAsia="es-ES_tradnl"/>
        </w:rPr>
      </w:pPr>
    </w:p>
    <w:p w14:paraId="3A737641" w14:textId="7FC51E3B" w:rsidR="00215743" w:rsidRDefault="00215743" w:rsidP="00B7240D">
      <w:pPr>
        <w:spacing w:after="0" w:line="276" w:lineRule="auto"/>
        <w:jc w:val="both"/>
        <w:rPr>
          <w:rFonts w:ascii="Arial" w:hAnsi="Arial" w:cs="Arial"/>
          <w:bCs/>
          <w:sz w:val="20"/>
          <w:szCs w:val="20"/>
          <w:lang w:val="es-ES_tradnl" w:eastAsia="es-ES_tradnl"/>
        </w:rPr>
      </w:pPr>
    </w:p>
    <w:p w14:paraId="4825C6A1" w14:textId="712DEF39" w:rsidR="00215743" w:rsidRDefault="00215743" w:rsidP="00B7240D">
      <w:pPr>
        <w:spacing w:after="0" w:line="276" w:lineRule="auto"/>
        <w:jc w:val="both"/>
        <w:rPr>
          <w:rFonts w:ascii="Arial" w:hAnsi="Arial" w:cs="Arial"/>
          <w:bCs/>
          <w:sz w:val="20"/>
          <w:szCs w:val="20"/>
          <w:lang w:val="es-ES_tradnl" w:eastAsia="es-ES_tradnl"/>
        </w:rPr>
      </w:pPr>
    </w:p>
    <w:p w14:paraId="0A3F5CB7" w14:textId="08748848" w:rsidR="00215743" w:rsidRDefault="00215743" w:rsidP="00B7240D">
      <w:pPr>
        <w:spacing w:after="0" w:line="276" w:lineRule="auto"/>
        <w:jc w:val="both"/>
        <w:rPr>
          <w:rFonts w:ascii="Arial" w:hAnsi="Arial" w:cs="Arial"/>
          <w:bCs/>
          <w:sz w:val="20"/>
          <w:szCs w:val="20"/>
          <w:lang w:val="es-ES_tradnl" w:eastAsia="es-ES_tradnl"/>
        </w:rPr>
      </w:pPr>
    </w:p>
    <w:p w14:paraId="799CEE05" w14:textId="2E47001F" w:rsidR="00215743" w:rsidRDefault="00215743" w:rsidP="00B7240D">
      <w:pPr>
        <w:spacing w:after="0" w:line="276" w:lineRule="auto"/>
        <w:jc w:val="both"/>
        <w:rPr>
          <w:rFonts w:ascii="Arial" w:hAnsi="Arial" w:cs="Arial"/>
          <w:bCs/>
          <w:sz w:val="20"/>
          <w:szCs w:val="20"/>
          <w:lang w:val="es-ES_tradnl" w:eastAsia="es-ES_tradnl"/>
        </w:rPr>
      </w:pPr>
    </w:p>
    <w:p w14:paraId="74DC74D5" w14:textId="7C394DC1" w:rsidR="00215743" w:rsidRDefault="00215743" w:rsidP="00B7240D">
      <w:pPr>
        <w:spacing w:after="0" w:line="276" w:lineRule="auto"/>
        <w:jc w:val="both"/>
        <w:rPr>
          <w:rFonts w:ascii="Arial" w:hAnsi="Arial" w:cs="Arial"/>
          <w:bCs/>
          <w:sz w:val="20"/>
          <w:szCs w:val="20"/>
          <w:lang w:val="es-ES_tradnl" w:eastAsia="es-ES_tradnl"/>
        </w:rPr>
      </w:pPr>
    </w:p>
    <w:p w14:paraId="3D68CCAA" w14:textId="36E55822" w:rsidR="00215743" w:rsidRDefault="00215743" w:rsidP="00B7240D">
      <w:pPr>
        <w:spacing w:after="0" w:line="276" w:lineRule="auto"/>
        <w:jc w:val="both"/>
        <w:rPr>
          <w:rFonts w:ascii="Arial" w:hAnsi="Arial" w:cs="Arial"/>
          <w:bCs/>
          <w:sz w:val="20"/>
          <w:szCs w:val="20"/>
          <w:lang w:val="es-ES_tradnl" w:eastAsia="es-ES_tradnl"/>
        </w:rPr>
      </w:pPr>
    </w:p>
    <w:p w14:paraId="1772D211" w14:textId="085FA0BD" w:rsidR="00215743" w:rsidRDefault="00215743" w:rsidP="00B7240D">
      <w:pPr>
        <w:spacing w:after="0" w:line="276" w:lineRule="auto"/>
        <w:jc w:val="both"/>
        <w:rPr>
          <w:rFonts w:ascii="Arial" w:hAnsi="Arial" w:cs="Arial"/>
          <w:bCs/>
          <w:sz w:val="20"/>
          <w:szCs w:val="20"/>
          <w:lang w:val="es-ES_tradnl" w:eastAsia="es-ES_tradnl"/>
        </w:rPr>
      </w:pPr>
    </w:p>
    <w:p w14:paraId="57A61966" w14:textId="12223615" w:rsidR="00215743" w:rsidRDefault="00215743" w:rsidP="00B7240D">
      <w:pPr>
        <w:spacing w:after="0" w:line="276" w:lineRule="auto"/>
        <w:jc w:val="both"/>
        <w:rPr>
          <w:rFonts w:ascii="Arial" w:hAnsi="Arial" w:cs="Arial"/>
          <w:bCs/>
          <w:sz w:val="20"/>
          <w:szCs w:val="20"/>
          <w:lang w:val="es-ES_tradnl" w:eastAsia="es-ES_tradnl"/>
        </w:rPr>
      </w:pPr>
    </w:p>
    <w:p w14:paraId="458188F0" w14:textId="11C61AA7" w:rsidR="00215743" w:rsidRDefault="00215743" w:rsidP="00B7240D">
      <w:pPr>
        <w:spacing w:after="0" w:line="276" w:lineRule="auto"/>
        <w:jc w:val="both"/>
        <w:rPr>
          <w:rFonts w:ascii="Arial" w:hAnsi="Arial" w:cs="Arial"/>
          <w:bCs/>
          <w:sz w:val="20"/>
          <w:szCs w:val="20"/>
          <w:lang w:val="es-ES_tradnl" w:eastAsia="es-ES_tradnl"/>
        </w:rPr>
      </w:pPr>
    </w:p>
    <w:p w14:paraId="77F93F52" w14:textId="5972E60F" w:rsidR="00215743" w:rsidRDefault="00215743" w:rsidP="00B7240D">
      <w:pPr>
        <w:spacing w:after="0" w:line="276" w:lineRule="auto"/>
        <w:jc w:val="both"/>
        <w:rPr>
          <w:rFonts w:ascii="Arial" w:hAnsi="Arial" w:cs="Arial"/>
          <w:bCs/>
          <w:sz w:val="20"/>
          <w:szCs w:val="20"/>
          <w:lang w:val="es-ES_tradnl" w:eastAsia="es-ES_tradnl"/>
        </w:rPr>
      </w:pPr>
    </w:p>
    <w:p w14:paraId="27F0BB39" w14:textId="63D2EFCD" w:rsidR="00215743" w:rsidRDefault="00215743" w:rsidP="00B7240D">
      <w:pPr>
        <w:spacing w:after="0" w:line="276" w:lineRule="auto"/>
        <w:jc w:val="both"/>
        <w:rPr>
          <w:rFonts w:ascii="Arial" w:hAnsi="Arial" w:cs="Arial"/>
          <w:bCs/>
          <w:sz w:val="20"/>
          <w:szCs w:val="20"/>
          <w:lang w:val="es-ES_tradnl" w:eastAsia="es-ES_tradnl"/>
        </w:rPr>
      </w:pPr>
    </w:p>
    <w:p w14:paraId="2E467C04" w14:textId="346D645D" w:rsidR="00215743" w:rsidRDefault="00215743" w:rsidP="00B7240D">
      <w:pPr>
        <w:spacing w:after="0" w:line="276" w:lineRule="auto"/>
        <w:jc w:val="both"/>
        <w:rPr>
          <w:rFonts w:ascii="Arial" w:hAnsi="Arial" w:cs="Arial"/>
          <w:bCs/>
          <w:sz w:val="20"/>
          <w:szCs w:val="20"/>
          <w:lang w:val="es-ES_tradnl" w:eastAsia="es-ES_tradnl"/>
        </w:rPr>
      </w:pPr>
    </w:p>
    <w:p w14:paraId="63B01F6C" w14:textId="7AA550F4" w:rsidR="00215743" w:rsidRDefault="00215743" w:rsidP="00B7240D">
      <w:pPr>
        <w:spacing w:after="0" w:line="276" w:lineRule="auto"/>
        <w:jc w:val="both"/>
        <w:rPr>
          <w:rFonts w:ascii="Arial" w:hAnsi="Arial" w:cs="Arial"/>
          <w:bCs/>
          <w:sz w:val="20"/>
          <w:szCs w:val="20"/>
          <w:lang w:val="es-ES_tradnl" w:eastAsia="es-ES_tradnl"/>
        </w:rPr>
      </w:pPr>
    </w:p>
    <w:p w14:paraId="331FA8C9" w14:textId="4F0BE158" w:rsidR="00215743" w:rsidRDefault="00215743" w:rsidP="00B7240D">
      <w:pPr>
        <w:spacing w:after="0" w:line="276" w:lineRule="auto"/>
        <w:jc w:val="both"/>
        <w:rPr>
          <w:rFonts w:ascii="Arial" w:hAnsi="Arial" w:cs="Arial"/>
          <w:bCs/>
          <w:sz w:val="20"/>
          <w:szCs w:val="20"/>
          <w:lang w:val="es-ES_tradnl" w:eastAsia="es-ES_tradnl"/>
        </w:rPr>
      </w:pPr>
    </w:p>
    <w:p w14:paraId="15D0DB91" w14:textId="0A0554A8" w:rsidR="00215743" w:rsidRDefault="00215743" w:rsidP="00B7240D">
      <w:pPr>
        <w:spacing w:after="0" w:line="276" w:lineRule="auto"/>
        <w:jc w:val="both"/>
        <w:rPr>
          <w:rFonts w:ascii="Arial" w:hAnsi="Arial" w:cs="Arial"/>
          <w:bCs/>
          <w:sz w:val="20"/>
          <w:szCs w:val="20"/>
          <w:lang w:val="es-ES_tradnl" w:eastAsia="es-ES_tradnl"/>
        </w:rPr>
      </w:pPr>
    </w:p>
    <w:p w14:paraId="098D584C" w14:textId="0350BABE" w:rsidR="00215743" w:rsidRDefault="00215743" w:rsidP="00B7240D">
      <w:pPr>
        <w:spacing w:after="0" w:line="276" w:lineRule="auto"/>
        <w:jc w:val="both"/>
        <w:rPr>
          <w:rFonts w:ascii="Arial" w:hAnsi="Arial" w:cs="Arial"/>
          <w:bCs/>
          <w:sz w:val="20"/>
          <w:szCs w:val="20"/>
          <w:lang w:val="es-ES_tradnl" w:eastAsia="es-ES_tradnl"/>
        </w:rPr>
      </w:pPr>
    </w:p>
    <w:p w14:paraId="4B18B4FC" w14:textId="5A6EE111" w:rsidR="00215743" w:rsidRDefault="00215743" w:rsidP="00B7240D">
      <w:pPr>
        <w:spacing w:after="0" w:line="276" w:lineRule="auto"/>
        <w:jc w:val="both"/>
        <w:rPr>
          <w:rFonts w:ascii="Arial" w:hAnsi="Arial" w:cs="Arial"/>
          <w:bCs/>
          <w:sz w:val="20"/>
          <w:szCs w:val="20"/>
          <w:lang w:val="es-ES_tradnl" w:eastAsia="es-ES_tradnl"/>
        </w:rPr>
      </w:pPr>
    </w:p>
    <w:p w14:paraId="6ABD349F" w14:textId="425C0262" w:rsidR="00215743" w:rsidRDefault="00215743" w:rsidP="00B7240D">
      <w:pPr>
        <w:spacing w:after="0" w:line="276" w:lineRule="auto"/>
        <w:jc w:val="both"/>
        <w:rPr>
          <w:rFonts w:ascii="Arial" w:hAnsi="Arial" w:cs="Arial"/>
          <w:bCs/>
          <w:sz w:val="20"/>
          <w:szCs w:val="20"/>
          <w:lang w:val="es-ES_tradnl" w:eastAsia="es-ES_tradnl"/>
        </w:rPr>
      </w:pPr>
    </w:p>
    <w:p w14:paraId="59292368" w14:textId="3BAEAEAD" w:rsidR="00215743" w:rsidRDefault="00F14FFE" w:rsidP="00F14FFE">
      <w:pPr>
        <w:spacing w:after="0" w:line="276" w:lineRule="auto"/>
        <w:jc w:val="right"/>
        <w:rPr>
          <w:rFonts w:ascii="Arial" w:hAnsi="Arial" w:cs="Arial"/>
          <w:bCs/>
          <w:lang w:val="es-ES_tradnl" w:eastAsia="es-ES_tradnl"/>
        </w:rPr>
      </w:pPr>
      <w:r w:rsidRPr="00F14FFE">
        <w:rPr>
          <w:rFonts w:ascii="Arial" w:hAnsi="Arial" w:cs="Arial"/>
          <w:bCs/>
          <w:noProof/>
          <w:lang w:val="es-ES_tradnl" w:eastAsia="es-ES_tradnl"/>
        </w:rPr>
        <w:lastRenderedPageBreak/>
        <w:drawing>
          <wp:inline distT="0" distB="0" distL="0" distR="0" wp14:anchorId="2A3E36F3" wp14:editId="24BA357F">
            <wp:extent cx="2628900" cy="876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876300"/>
                    </a:xfrm>
                    <a:prstGeom prst="rect">
                      <a:avLst/>
                    </a:prstGeom>
                    <a:noFill/>
                    <a:ln>
                      <a:noFill/>
                    </a:ln>
                  </pic:spPr>
                </pic:pic>
              </a:graphicData>
            </a:graphic>
          </wp:inline>
        </w:drawing>
      </w:r>
    </w:p>
    <w:p w14:paraId="2B7243C9" w14:textId="77777777" w:rsidR="00215743" w:rsidRDefault="00215743" w:rsidP="00B7240D">
      <w:pPr>
        <w:spacing w:after="0" w:line="276" w:lineRule="auto"/>
        <w:jc w:val="both"/>
        <w:rPr>
          <w:rFonts w:ascii="Arial" w:hAnsi="Arial" w:cs="Arial"/>
          <w:bCs/>
          <w:lang w:val="es-ES_tradnl" w:eastAsia="es-ES_tradnl"/>
        </w:rPr>
      </w:pPr>
    </w:p>
    <w:p w14:paraId="5ED435F4" w14:textId="1A402FB0" w:rsidR="00215743" w:rsidRPr="00215743" w:rsidRDefault="00215743" w:rsidP="00B7240D">
      <w:pPr>
        <w:spacing w:after="0" w:line="276" w:lineRule="auto"/>
        <w:jc w:val="both"/>
        <w:rPr>
          <w:rFonts w:ascii="Arial" w:hAnsi="Arial" w:cs="Arial"/>
          <w:bCs/>
          <w:lang w:val="es-ES_tradnl" w:eastAsia="es-ES_tradnl"/>
        </w:rPr>
      </w:pPr>
      <w:r w:rsidRPr="00215743">
        <w:rPr>
          <w:rFonts w:ascii="Arial" w:hAnsi="Arial" w:cs="Arial"/>
          <w:bCs/>
          <w:lang w:val="es-ES_tradnl" w:eastAsia="es-ES_tradnl"/>
        </w:rPr>
        <w:t>Bogotá D.C.</w:t>
      </w:r>
      <w:r>
        <w:rPr>
          <w:rFonts w:ascii="Arial" w:hAnsi="Arial" w:cs="Arial"/>
          <w:bCs/>
          <w:lang w:val="es-ES_tradnl" w:eastAsia="es-ES_tradnl"/>
        </w:rPr>
        <w:t xml:space="preserve"> 29 de noviembre de 2022</w:t>
      </w:r>
    </w:p>
    <w:p w14:paraId="593B949A" w14:textId="77777777" w:rsidR="00215743" w:rsidRPr="00A42C60" w:rsidRDefault="00215743" w:rsidP="00B7240D">
      <w:pPr>
        <w:spacing w:after="0" w:line="276" w:lineRule="auto"/>
        <w:jc w:val="both"/>
        <w:rPr>
          <w:rFonts w:ascii="Arial" w:hAnsi="Arial" w:cs="Arial"/>
          <w:b/>
          <w:color w:val="000000" w:themeColor="text1"/>
          <w:lang w:val="pt-BR"/>
        </w:rPr>
      </w:pPr>
    </w:p>
    <w:p w14:paraId="5F5AE9EF" w14:textId="7A788A7C" w:rsidR="00B95C30" w:rsidRPr="00A42C60" w:rsidRDefault="00B95C30" w:rsidP="00B7240D">
      <w:pPr>
        <w:spacing w:after="0" w:line="276" w:lineRule="auto"/>
        <w:jc w:val="both"/>
        <w:rPr>
          <w:rFonts w:ascii="Arial" w:hAnsi="Arial" w:cs="Arial"/>
          <w:color w:val="000000" w:themeColor="text1"/>
        </w:rPr>
      </w:pPr>
      <w:bookmarkStart w:id="1" w:name="_Hlk100051121"/>
      <w:r w:rsidRPr="00A42C60">
        <w:rPr>
          <w:rFonts w:ascii="Arial" w:hAnsi="Arial" w:cs="Arial"/>
          <w:color w:val="000000" w:themeColor="text1"/>
        </w:rPr>
        <w:t>Señor</w:t>
      </w:r>
    </w:p>
    <w:p w14:paraId="798A20AC" w14:textId="6411AD43" w:rsidR="005F5F37" w:rsidRPr="00A42C60" w:rsidRDefault="00FF56A3" w:rsidP="00B7240D">
      <w:pPr>
        <w:tabs>
          <w:tab w:val="center" w:pos="4394"/>
        </w:tabs>
        <w:spacing w:after="0" w:line="276" w:lineRule="auto"/>
        <w:jc w:val="both"/>
        <w:rPr>
          <w:rFonts w:ascii="Arial" w:hAnsi="Arial" w:cs="Arial"/>
          <w:b/>
          <w:color w:val="000000" w:themeColor="text1"/>
        </w:rPr>
      </w:pPr>
      <w:r w:rsidRPr="00A42C60">
        <w:rPr>
          <w:rFonts w:ascii="Arial" w:hAnsi="Arial" w:cs="Arial"/>
          <w:b/>
          <w:color w:val="000000" w:themeColor="text1"/>
        </w:rPr>
        <w:t xml:space="preserve">Miguel Cruz Ramírez </w:t>
      </w:r>
      <w:r w:rsidR="00F650A2" w:rsidRPr="00A42C60">
        <w:rPr>
          <w:rFonts w:ascii="Arial" w:hAnsi="Arial" w:cs="Arial"/>
          <w:b/>
          <w:color w:val="000000" w:themeColor="text1"/>
        </w:rPr>
        <w:tab/>
      </w:r>
    </w:p>
    <w:p w14:paraId="4A1C8FFE" w14:textId="0A413161" w:rsidR="008120C4" w:rsidRPr="00A42C60" w:rsidRDefault="00F14618" w:rsidP="00B7240D">
      <w:pPr>
        <w:spacing w:after="0" w:line="276" w:lineRule="auto"/>
        <w:rPr>
          <w:rFonts w:ascii="Arial" w:hAnsi="Arial" w:cs="Arial"/>
          <w:b/>
          <w:bCs/>
          <w:color w:val="000000" w:themeColor="text1"/>
        </w:rPr>
      </w:pPr>
      <w:r w:rsidRPr="00A42C60">
        <w:rPr>
          <w:rFonts w:ascii="Arial" w:hAnsi="Arial" w:cs="Arial"/>
          <w:bCs/>
          <w:color w:val="000000" w:themeColor="text1"/>
        </w:rPr>
        <w:t>Bogotá D.C.</w:t>
      </w:r>
    </w:p>
    <w:p w14:paraId="122205C3" w14:textId="77777777" w:rsidR="000277A2" w:rsidRPr="00A42C60" w:rsidRDefault="000277A2" w:rsidP="00B7240D">
      <w:pPr>
        <w:spacing w:after="0" w:line="276" w:lineRule="auto"/>
        <w:rPr>
          <w:rFonts w:ascii="Arial" w:hAnsi="Arial" w:cs="Arial"/>
          <w:b/>
          <w:bCs/>
          <w:color w:val="000000" w:themeColor="text1"/>
        </w:rPr>
      </w:pPr>
    </w:p>
    <w:p w14:paraId="1BD594F9" w14:textId="74BB8F80" w:rsidR="00B95C30" w:rsidRPr="00A42C60" w:rsidRDefault="005B1504" w:rsidP="00B7240D">
      <w:pPr>
        <w:spacing w:after="0" w:line="276" w:lineRule="auto"/>
        <w:rPr>
          <w:rFonts w:ascii="Arial" w:hAnsi="Arial" w:cs="Arial"/>
          <w:b/>
          <w:bCs/>
          <w:color w:val="000000" w:themeColor="text1"/>
          <w:lang w:val="pt-BR"/>
        </w:rPr>
      </w:pPr>
      <w:r w:rsidRPr="00A42C60">
        <w:rPr>
          <w:rFonts w:ascii="Arial" w:hAnsi="Arial" w:cs="Arial"/>
          <w:b/>
          <w:bCs/>
          <w:color w:val="000000" w:themeColor="text1"/>
        </w:rPr>
        <w:t xml:space="preserve">                     </w:t>
      </w:r>
      <w:r w:rsidR="00923FA6" w:rsidRPr="00A42C60">
        <w:rPr>
          <w:rFonts w:ascii="Arial" w:hAnsi="Arial" w:cs="Arial"/>
          <w:b/>
          <w:bCs/>
          <w:color w:val="000000" w:themeColor="text1"/>
        </w:rPr>
        <w:t xml:space="preserve">                      </w:t>
      </w:r>
      <w:r w:rsidRPr="00A42C60">
        <w:rPr>
          <w:rFonts w:ascii="Arial" w:hAnsi="Arial" w:cs="Arial"/>
          <w:b/>
          <w:bCs/>
          <w:color w:val="000000" w:themeColor="text1"/>
        </w:rPr>
        <w:t xml:space="preserve"> </w:t>
      </w:r>
      <w:r w:rsidR="00023FA5" w:rsidRPr="00A42C60">
        <w:rPr>
          <w:rFonts w:ascii="Arial" w:hAnsi="Arial" w:cs="Arial"/>
          <w:b/>
          <w:bCs/>
          <w:color w:val="000000" w:themeColor="text1"/>
          <w:lang w:val="pt-BR"/>
        </w:rPr>
        <w:t xml:space="preserve">Concepto C ‒ </w:t>
      </w:r>
      <w:r w:rsidR="00F73433">
        <w:rPr>
          <w:rFonts w:ascii="Arial" w:hAnsi="Arial" w:cs="Arial"/>
          <w:b/>
          <w:bCs/>
          <w:color w:val="000000" w:themeColor="text1"/>
          <w:lang w:val="pt-BR"/>
        </w:rPr>
        <w:t>824</w:t>
      </w:r>
      <w:r w:rsidR="000277A2" w:rsidRPr="00A42C60">
        <w:rPr>
          <w:rFonts w:ascii="Arial" w:hAnsi="Arial" w:cs="Arial"/>
          <w:b/>
          <w:bCs/>
          <w:color w:val="000000" w:themeColor="text1"/>
          <w:lang w:val="pt-BR"/>
        </w:rPr>
        <w:t xml:space="preserve"> </w:t>
      </w:r>
      <w:r w:rsidR="00275FBF" w:rsidRPr="00A42C60">
        <w:rPr>
          <w:rFonts w:ascii="Arial" w:hAnsi="Arial" w:cs="Arial"/>
          <w:b/>
          <w:bCs/>
          <w:color w:val="000000" w:themeColor="text1"/>
          <w:lang w:val="pt-BR"/>
        </w:rPr>
        <w:t>de 202</w:t>
      </w:r>
      <w:r w:rsidR="00BF4EC5" w:rsidRPr="00A42C60">
        <w:rPr>
          <w:rFonts w:ascii="Arial" w:hAnsi="Arial" w:cs="Arial"/>
          <w:b/>
          <w:bCs/>
          <w:color w:val="000000" w:themeColor="text1"/>
          <w:lang w:val="pt-BR"/>
        </w:rPr>
        <w:t>2</w:t>
      </w:r>
    </w:p>
    <w:p w14:paraId="7063750E" w14:textId="77777777" w:rsidR="005F5F37" w:rsidRPr="00A42C60" w:rsidRDefault="005F5F37" w:rsidP="006A3704">
      <w:pPr>
        <w:spacing w:after="0" w:line="240" w:lineRule="auto"/>
        <w:rPr>
          <w:rFonts w:ascii="Arial" w:hAnsi="Arial" w:cs="Arial"/>
          <w:b/>
          <w:bCs/>
          <w:color w:val="000000" w:themeColor="text1"/>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1242D2" w14:paraId="19DFC051" w14:textId="77777777" w:rsidTr="004B424F">
        <w:trPr>
          <w:trHeight w:val="884"/>
        </w:trPr>
        <w:tc>
          <w:tcPr>
            <w:tcW w:w="2689" w:type="dxa"/>
          </w:tcPr>
          <w:p w14:paraId="6BC0D1AC" w14:textId="569BAEB9" w:rsidR="00B95C30" w:rsidRPr="00A42C60" w:rsidRDefault="00B95C30" w:rsidP="006A3704">
            <w:pPr>
              <w:spacing w:after="0" w:line="240" w:lineRule="auto"/>
              <w:jc w:val="both"/>
              <w:rPr>
                <w:rFonts w:ascii="Arial" w:hAnsi="Arial" w:cs="Arial"/>
                <w:b/>
                <w:color w:val="000000" w:themeColor="text1"/>
                <w:szCs w:val="24"/>
                <w:lang w:val="es-ES_tradnl" w:eastAsia="es-ES_tradnl"/>
              </w:rPr>
            </w:pPr>
            <w:r w:rsidRPr="00A42C60">
              <w:rPr>
                <w:rFonts w:ascii="Arial" w:hAnsi="Arial" w:cs="Arial"/>
                <w:b/>
                <w:color w:val="000000" w:themeColor="text1"/>
                <w:szCs w:val="24"/>
                <w:lang w:val="es-ES_tradnl" w:eastAsia="es-ES_tradnl"/>
              </w:rPr>
              <w:t>Temas:</w:t>
            </w:r>
            <w:r w:rsidR="005B1504" w:rsidRPr="00A42C60">
              <w:rPr>
                <w:rFonts w:ascii="Arial" w:hAnsi="Arial" w:cs="Arial"/>
                <w:b/>
                <w:color w:val="000000" w:themeColor="text1"/>
                <w:szCs w:val="24"/>
                <w:lang w:val="es-ES_tradnl" w:eastAsia="es-ES_tradnl"/>
              </w:rPr>
              <w:t xml:space="preserve">                   </w:t>
            </w:r>
          </w:p>
        </w:tc>
        <w:tc>
          <w:tcPr>
            <w:tcW w:w="6237" w:type="dxa"/>
          </w:tcPr>
          <w:p w14:paraId="5D049E9C" w14:textId="5733F159" w:rsidR="006A3704" w:rsidRPr="00A42C60" w:rsidRDefault="004B424F" w:rsidP="004F0538">
            <w:pPr>
              <w:spacing w:after="0" w:line="240" w:lineRule="auto"/>
              <w:jc w:val="both"/>
              <w:rPr>
                <w:rFonts w:ascii="Arial" w:hAnsi="Arial" w:cs="Arial"/>
                <w:bCs/>
                <w:color w:val="000000" w:themeColor="text1"/>
                <w:szCs w:val="24"/>
                <w:lang w:val="es-ES_tradnl" w:eastAsia="es-ES_tradnl"/>
              </w:rPr>
            </w:pPr>
            <w:r w:rsidRPr="00A42C60">
              <w:rPr>
                <w:rFonts w:ascii="Arial" w:hAnsi="Arial" w:cs="Arial"/>
                <w:bCs/>
                <w:szCs w:val="24"/>
                <w:lang w:val="es-MX" w:eastAsia="es-ES_tradnl"/>
              </w:rPr>
              <w:t>ADICIÓN – Concepto – Distintos supuestos – Prohibición – Adición en más del 50% / ADICIÓN – Prohibición – Monto – Cálculo – Parágrafo artículo 40 – Ley 80 de 1993 / ADICIÓN – Mayores cantidades – Límites – Posturas /</w:t>
            </w:r>
            <w:r w:rsidR="00D07DC9">
              <w:t xml:space="preserve"> </w:t>
            </w:r>
            <w:r w:rsidR="00D07DC9" w:rsidRPr="00D07DC9">
              <w:rPr>
                <w:rFonts w:ascii="Arial" w:hAnsi="Arial" w:cs="Arial"/>
                <w:bCs/>
                <w:szCs w:val="24"/>
                <w:lang w:val="es-MX" w:eastAsia="es-ES_tradnl"/>
              </w:rPr>
              <w:t xml:space="preserve">ADICIÓN – Excepciones a la regla </w:t>
            </w:r>
            <w:r w:rsidR="00D07DC9">
              <w:rPr>
                <w:rFonts w:ascii="Arial" w:hAnsi="Arial" w:cs="Arial"/>
                <w:bCs/>
                <w:szCs w:val="24"/>
                <w:lang w:val="es-MX" w:eastAsia="es-ES_tradnl"/>
              </w:rPr>
              <w:t>/</w:t>
            </w:r>
            <w:r w:rsidRPr="00A42C60">
              <w:rPr>
                <w:rFonts w:ascii="Arial" w:hAnsi="Arial" w:cs="Arial"/>
                <w:bCs/>
                <w:szCs w:val="24"/>
                <w:lang w:val="es-ES_tradnl" w:eastAsia="es-ES_tradnl" w:bidi="es-ES"/>
              </w:rPr>
              <w:t xml:space="preserve"> MODIFICACION DE LOS CONTRATOS ESTATALES – Procedencia – Límites</w:t>
            </w:r>
            <w:r w:rsidRPr="00A42C60">
              <w:rPr>
                <w:rFonts w:ascii="Arial" w:hAnsi="Arial" w:cs="Arial"/>
                <w:bCs/>
                <w:szCs w:val="24"/>
                <w:lang w:val="es-MX" w:eastAsia="es-ES_tradnl"/>
              </w:rPr>
              <w:t xml:space="preserve"> </w:t>
            </w:r>
            <w:r w:rsidR="005948B5" w:rsidRPr="00A42C60">
              <w:rPr>
                <w:rFonts w:ascii="Arial" w:hAnsi="Arial" w:cs="Arial"/>
                <w:bCs/>
                <w:color w:val="000000" w:themeColor="text1"/>
                <w:szCs w:val="24"/>
                <w:lang w:val="es-ES_tradnl" w:eastAsia="es-ES_tradnl"/>
              </w:rPr>
              <w:t xml:space="preserve">/ </w:t>
            </w:r>
            <w:r w:rsidRPr="00A42C60">
              <w:rPr>
                <w:rFonts w:ascii="Arial" w:hAnsi="Arial" w:cs="Arial"/>
                <w:bCs/>
                <w:color w:val="000000" w:themeColor="text1"/>
                <w:szCs w:val="24"/>
                <w:lang w:val="es-ES_tradnl" w:eastAsia="es-ES_tradnl"/>
              </w:rPr>
              <w:t xml:space="preserve">ACTIVIDADES NO PREVISTAS – Modificación </w:t>
            </w:r>
          </w:p>
          <w:p w14:paraId="5F389CAF" w14:textId="053BAA65" w:rsidR="004F0538" w:rsidRPr="00A42C60" w:rsidRDefault="004F0538" w:rsidP="004F0538">
            <w:pPr>
              <w:tabs>
                <w:tab w:val="left" w:pos="6551"/>
              </w:tabs>
              <w:spacing w:after="0" w:line="240" w:lineRule="auto"/>
              <w:jc w:val="both"/>
              <w:rPr>
                <w:rFonts w:ascii="Arial" w:hAnsi="Arial" w:cs="Arial"/>
                <w:bCs/>
                <w:color w:val="000000" w:themeColor="text1"/>
                <w:lang w:val="es-ES_tradnl"/>
              </w:rPr>
            </w:pPr>
          </w:p>
        </w:tc>
      </w:tr>
      <w:tr w:rsidR="00B95C30" w:rsidRPr="001242D2" w14:paraId="27CD52AB" w14:textId="77777777" w:rsidTr="004B424F">
        <w:tc>
          <w:tcPr>
            <w:tcW w:w="2689" w:type="dxa"/>
          </w:tcPr>
          <w:p w14:paraId="37E195A1" w14:textId="017D9507" w:rsidR="00B95C30" w:rsidRPr="00A42C60" w:rsidRDefault="00B95C30" w:rsidP="006A3704">
            <w:pPr>
              <w:spacing w:after="0" w:line="240" w:lineRule="auto"/>
              <w:jc w:val="both"/>
              <w:rPr>
                <w:rFonts w:ascii="Arial" w:hAnsi="Arial" w:cs="Arial"/>
                <w:b/>
                <w:color w:val="000000" w:themeColor="text1"/>
                <w:szCs w:val="24"/>
                <w:lang w:val="es-ES_tradnl" w:eastAsia="es-ES_tradnl"/>
              </w:rPr>
            </w:pPr>
            <w:r w:rsidRPr="00A42C60">
              <w:rPr>
                <w:rFonts w:ascii="Arial" w:hAnsi="Arial" w:cs="Arial"/>
                <w:b/>
                <w:color w:val="000000" w:themeColor="text1"/>
                <w:szCs w:val="24"/>
                <w:lang w:val="es-ES_tradnl" w:eastAsia="es-ES_tradnl"/>
              </w:rPr>
              <w:t>Radicación:</w:t>
            </w:r>
            <w:r w:rsidR="005B1504" w:rsidRPr="00A42C60">
              <w:rPr>
                <w:rFonts w:ascii="Arial" w:hAnsi="Arial" w:cs="Arial"/>
                <w:b/>
                <w:color w:val="000000" w:themeColor="text1"/>
                <w:szCs w:val="24"/>
                <w:lang w:val="es-ES_tradnl" w:eastAsia="es-ES_tradnl"/>
              </w:rPr>
              <w:t xml:space="preserve">               </w:t>
            </w:r>
          </w:p>
        </w:tc>
        <w:tc>
          <w:tcPr>
            <w:tcW w:w="6237" w:type="dxa"/>
          </w:tcPr>
          <w:p w14:paraId="09088B1B" w14:textId="014925AC" w:rsidR="00B95C30" w:rsidRPr="00A42C60" w:rsidRDefault="00B95C30" w:rsidP="006A3704">
            <w:pPr>
              <w:spacing w:after="0" w:line="240" w:lineRule="auto"/>
              <w:jc w:val="both"/>
              <w:rPr>
                <w:rFonts w:ascii="Arial" w:hAnsi="Arial" w:cs="Arial"/>
                <w:bCs/>
                <w:color w:val="000000" w:themeColor="text1"/>
                <w:szCs w:val="24"/>
                <w:lang w:val="es-ES_tradnl" w:eastAsia="es-ES_tradnl"/>
              </w:rPr>
            </w:pPr>
            <w:r w:rsidRPr="00A42C60">
              <w:rPr>
                <w:rFonts w:ascii="Arial" w:hAnsi="Arial" w:cs="Arial"/>
                <w:bCs/>
                <w:color w:val="000000" w:themeColor="text1"/>
                <w:szCs w:val="24"/>
                <w:lang w:val="es-ES_tradnl" w:eastAsia="es-ES_tradnl"/>
              </w:rPr>
              <w:t>Respuesta a consulta</w:t>
            </w:r>
            <w:r w:rsidR="00F73433">
              <w:rPr>
                <w:rFonts w:ascii="Arial" w:hAnsi="Arial" w:cs="Arial"/>
                <w:bCs/>
                <w:color w:val="000000" w:themeColor="text1"/>
                <w:szCs w:val="24"/>
                <w:lang w:val="es-ES_tradnl" w:eastAsia="es-ES_tradnl"/>
              </w:rPr>
              <w:t xml:space="preserve"> </w:t>
            </w:r>
            <w:r w:rsidR="00F73433" w:rsidRPr="00F73433">
              <w:rPr>
                <w:rFonts w:ascii="Arial" w:hAnsi="Arial" w:cs="Arial"/>
                <w:bCs/>
                <w:color w:val="000000" w:themeColor="text1"/>
                <w:szCs w:val="24"/>
                <w:lang w:val="es-ES_tradnl" w:eastAsia="es-ES_tradnl"/>
              </w:rPr>
              <w:t>P20221014010393</w:t>
            </w:r>
          </w:p>
        </w:tc>
      </w:tr>
    </w:tbl>
    <w:p w14:paraId="234C0002" w14:textId="62B39031" w:rsidR="005F5F37" w:rsidRPr="00A42C60" w:rsidRDefault="005F5F37" w:rsidP="00B7240D">
      <w:pPr>
        <w:spacing w:after="0" w:line="274" w:lineRule="auto"/>
        <w:jc w:val="both"/>
        <w:rPr>
          <w:rFonts w:ascii="Arial" w:hAnsi="Arial" w:cs="Arial"/>
          <w:color w:val="000000" w:themeColor="text1"/>
          <w:lang w:val="es-ES_tradnl"/>
        </w:rPr>
      </w:pPr>
    </w:p>
    <w:p w14:paraId="1DAF8FE2" w14:textId="77777777" w:rsidR="006A3704" w:rsidRPr="00A42C60" w:rsidRDefault="006A3704" w:rsidP="00B7240D">
      <w:pPr>
        <w:spacing w:after="0" w:line="274" w:lineRule="auto"/>
        <w:jc w:val="both"/>
        <w:rPr>
          <w:rFonts w:ascii="Arial" w:hAnsi="Arial" w:cs="Arial"/>
          <w:color w:val="000000" w:themeColor="text1"/>
          <w:lang w:val="es-ES_tradnl"/>
        </w:rPr>
      </w:pPr>
    </w:p>
    <w:p w14:paraId="1CF4AEA0" w14:textId="7BAD607A" w:rsidR="003C3339" w:rsidRPr="00A42C60" w:rsidRDefault="003C3339" w:rsidP="00B7240D">
      <w:pPr>
        <w:spacing w:after="0" w:line="274" w:lineRule="auto"/>
        <w:jc w:val="both"/>
        <w:rPr>
          <w:rFonts w:ascii="Arial" w:hAnsi="Arial" w:cs="Arial"/>
          <w:color w:val="000000" w:themeColor="text1"/>
          <w:lang w:val="es-ES_tradnl"/>
        </w:rPr>
      </w:pPr>
      <w:r w:rsidRPr="00A42C60">
        <w:rPr>
          <w:rFonts w:ascii="Arial" w:hAnsi="Arial" w:cs="Arial"/>
          <w:color w:val="000000" w:themeColor="text1"/>
          <w:lang w:val="es-ES_tradnl"/>
        </w:rPr>
        <w:t>Estimad</w:t>
      </w:r>
      <w:r w:rsidR="000D0CC7" w:rsidRPr="00A42C60">
        <w:rPr>
          <w:rFonts w:ascii="Arial" w:hAnsi="Arial" w:cs="Arial"/>
          <w:color w:val="000000" w:themeColor="text1"/>
          <w:lang w:val="es-ES_tradnl"/>
        </w:rPr>
        <w:t>o</w:t>
      </w:r>
      <w:r w:rsidRPr="00A42C60">
        <w:rPr>
          <w:rFonts w:ascii="Arial" w:hAnsi="Arial" w:cs="Arial"/>
          <w:color w:val="000000" w:themeColor="text1"/>
          <w:lang w:val="es-ES_tradnl"/>
        </w:rPr>
        <w:t xml:space="preserve"> señor</w:t>
      </w:r>
      <w:r w:rsidR="00DA371B" w:rsidRPr="00A42C60">
        <w:rPr>
          <w:rFonts w:ascii="Arial" w:hAnsi="Arial" w:cs="Arial"/>
          <w:color w:val="000000" w:themeColor="text1"/>
          <w:lang w:val="es-ES_tradnl"/>
        </w:rPr>
        <w:t xml:space="preserve"> </w:t>
      </w:r>
      <w:r w:rsidR="00FF56A3" w:rsidRPr="00A42C60">
        <w:rPr>
          <w:rFonts w:ascii="Arial" w:hAnsi="Arial" w:cs="Arial"/>
          <w:color w:val="000000" w:themeColor="text1"/>
          <w:lang w:val="es-ES_tradnl"/>
        </w:rPr>
        <w:t>Cruz</w:t>
      </w:r>
      <w:r w:rsidR="008C3FFC" w:rsidRPr="00A42C60">
        <w:rPr>
          <w:rFonts w:ascii="Arial" w:hAnsi="Arial" w:cs="Arial"/>
          <w:color w:val="000000" w:themeColor="text1"/>
          <w:lang w:val="es-ES_tradnl"/>
        </w:rPr>
        <w:t xml:space="preserve">: </w:t>
      </w:r>
    </w:p>
    <w:p w14:paraId="1EAE5543" w14:textId="37990AD8" w:rsidR="00DD5B04" w:rsidRPr="00A42C60" w:rsidRDefault="00DD5B04" w:rsidP="00B7240D">
      <w:pPr>
        <w:spacing w:after="0" w:line="274" w:lineRule="auto"/>
        <w:jc w:val="both"/>
        <w:rPr>
          <w:rFonts w:ascii="Arial" w:hAnsi="Arial" w:cs="Arial"/>
          <w:color w:val="000000" w:themeColor="text1"/>
          <w:lang w:val="es-ES_tradnl"/>
        </w:rPr>
      </w:pPr>
    </w:p>
    <w:p w14:paraId="2109B2D3" w14:textId="0FF39A50" w:rsidR="00DD5B04" w:rsidRPr="00A42C60" w:rsidRDefault="00DD5B04" w:rsidP="00B7240D">
      <w:pPr>
        <w:spacing w:after="0" w:line="274" w:lineRule="auto"/>
        <w:jc w:val="both"/>
        <w:rPr>
          <w:rFonts w:ascii="Arial" w:hAnsi="Arial" w:cs="Arial"/>
          <w:color w:val="000000" w:themeColor="text1"/>
          <w:lang w:val="es-ES_tradnl"/>
        </w:rPr>
      </w:pPr>
      <w:r w:rsidRPr="00A42C60">
        <w:rPr>
          <w:rFonts w:ascii="Arial" w:hAnsi="Arial" w:cs="Arial"/>
          <w:color w:val="000000" w:themeColor="text1"/>
          <w:lang w:val="es-ES_tradnl"/>
        </w:rPr>
        <w:t>En ejercicio de la competencia otorgada por el numeral 8 del artículo 11 y el numeral 5 del artículo 3 del Decreto Ley 4170 de 2011,</w:t>
      </w:r>
      <w:r w:rsidR="00B24D49" w:rsidRPr="00A42C60">
        <w:rPr>
          <w:rFonts w:ascii="Arial" w:eastAsia="Arial MT" w:hAnsi="Arial" w:cs="Arial"/>
          <w:lang w:val="es-ES"/>
        </w:rPr>
        <w:t xml:space="preserve"> </w:t>
      </w:r>
      <w:r w:rsidRPr="00A42C60">
        <w:rPr>
          <w:rFonts w:ascii="Arial" w:hAnsi="Arial" w:cs="Arial"/>
          <w:color w:val="000000" w:themeColor="text1"/>
          <w:lang w:val="es-ES_tradnl"/>
        </w:rPr>
        <w:t xml:space="preserve">la Agencia Nacional de Contratación Pública </w:t>
      </w:r>
      <w:r w:rsidR="00C31846" w:rsidRPr="00A42C60">
        <w:rPr>
          <w:rFonts w:ascii="Arial" w:hAnsi="Arial" w:cs="Arial"/>
          <w:color w:val="000000" w:themeColor="text1"/>
          <w:lang w:val="es-ES_tradnl"/>
        </w:rPr>
        <w:t>–</w:t>
      </w:r>
      <w:r w:rsidRPr="00A42C60">
        <w:rPr>
          <w:rFonts w:ascii="Arial" w:hAnsi="Arial" w:cs="Arial"/>
          <w:color w:val="000000" w:themeColor="text1"/>
          <w:lang w:val="es-ES_tradnl"/>
        </w:rPr>
        <w:t xml:space="preserve"> Colombia Compra Eficiente</w:t>
      </w:r>
      <w:r w:rsidR="00CE69CC" w:rsidRPr="00A42C60">
        <w:rPr>
          <w:rFonts w:ascii="Arial" w:hAnsi="Arial" w:cs="Arial"/>
          <w:color w:val="000000" w:themeColor="text1"/>
          <w:lang w:val="es-ES_tradnl"/>
        </w:rPr>
        <w:t xml:space="preserve">, </w:t>
      </w:r>
      <w:r w:rsidRPr="00A42C60">
        <w:rPr>
          <w:rFonts w:ascii="Arial" w:hAnsi="Arial" w:cs="Arial"/>
          <w:color w:val="000000" w:themeColor="text1"/>
          <w:lang w:val="es-ES_tradnl"/>
        </w:rPr>
        <w:t xml:space="preserve">responde </w:t>
      </w:r>
      <w:r w:rsidR="00F14618" w:rsidRPr="00A42C60">
        <w:rPr>
          <w:rFonts w:ascii="Arial" w:hAnsi="Arial" w:cs="Arial"/>
          <w:color w:val="000000" w:themeColor="text1"/>
          <w:lang w:val="es-ES_tradnl"/>
        </w:rPr>
        <w:t>su</w:t>
      </w:r>
      <w:r w:rsidR="003902B1" w:rsidRPr="00A42C60">
        <w:rPr>
          <w:rFonts w:ascii="Arial" w:hAnsi="Arial" w:cs="Arial"/>
          <w:color w:val="000000" w:themeColor="text1"/>
          <w:lang w:val="es-ES_tradnl"/>
        </w:rPr>
        <w:t xml:space="preserve"> </w:t>
      </w:r>
      <w:r w:rsidR="00F14618" w:rsidRPr="00A42C60">
        <w:rPr>
          <w:rFonts w:ascii="Arial" w:hAnsi="Arial" w:cs="Arial"/>
          <w:color w:val="000000" w:themeColor="text1"/>
          <w:lang w:val="es-ES_tradnl"/>
        </w:rPr>
        <w:t>consulta</w:t>
      </w:r>
      <w:r w:rsidR="00150A17" w:rsidRPr="00A42C60">
        <w:rPr>
          <w:rFonts w:ascii="Arial" w:hAnsi="Arial" w:cs="Arial"/>
          <w:color w:val="000000" w:themeColor="text1"/>
          <w:lang w:val="es-ES_tradnl"/>
        </w:rPr>
        <w:t xml:space="preserve"> </w:t>
      </w:r>
      <w:r w:rsidR="000D0CC7" w:rsidRPr="00A42C60">
        <w:rPr>
          <w:rFonts w:ascii="Arial" w:hAnsi="Arial" w:cs="Arial"/>
          <w:color w:val="000000" w:themeColor="text1"/>
          <w:lang w:val="es-ES_tradnl"/>
        </w:rPr>
        <w:t>d</w:t>
      </w:r>
      <w:r w:rsidR="00F14618" w:rsidRPr="00A42C60">
        <w:rPr>
          <w:rFonts w:ascii="Arial" w:hAnsi="Arial" w:cs="Arial"/>
          <w:color w:val="000000" w:themeColor="text1"/>
          <w:lang w:val="es-ES_tradnl"/>
        </w:rPr>
        <w:t xml:space="preserve">el </w:t>
      </w:r>
      <w:r w:rsidR="00F73433">
        <w:rPr>
          <w:rFonts w:ascii="Arial" w:hAnsi="Arial" w:cs="Arial"/>
          <w:color w:val="000000" w:themeColor="text1"/>
          <w:lang w:val="es-ES_tradnl"/>
        </w:rPr>
        <w:t>13</w:t>
      </w:r>
      <w:r w:rsidR="00150A17" w:rsidRPr="00A42C60">
        <w:rPr>
          <w:rFonts w:ascii="Arial" w:hAnsi="Arial" w:cs="Arial"/>
          <w:color w:val="000000" w:themeColor="text1"/>
          <w:lang w:val="es-ES_tradnl"/>
        </w:rPr>
        <w:t xml:space="preserve"> </w:t>
      </w:r>
      <w:r w:rsidR="00F14618" w:rsidRPr="00A42C60">
        <w:rPr>
          <w:rFonts w:ascii="Arial" w:hAnsi="Arial" w:cs="Arial"/>
          <w:color w:val="000000" w:themeColor="text1"/>
          <w:lang w:val="es-ES_tradnl"/>
        </w:rPr>
        <w:t xml:space="preserve">de </w:t>
      </w:r>
      <w:r w:rsidR="00FF56A3" w:rsidRPr="00A42C60">
        <w:rPr>
          <w:rFonts w:ascii="Arial" w:hAnsi="Arial" w:cs="Arial"/>
          <w:color w:val="000000" w:themeColor="text1"/>
          <w:lang w:val="es-ES_tradnl"/>
        </w:rPr>
        <w:t>octubre</w:t>
      </w:r>
      <w:r w:rsidR="00F14618" w:rsidRPr="00A42C60">
        <w:rPr>
          <w:rFonts w:ascii="Arial" w:hAnsi="Arial" w:cs="Arial"/>
          <w:color w:val="000000" w:themeColor="text1"/>
          <w:lang w:val="es-ES_tradnl"/>
        </w:rPr>
        <w:t xml:space="preserve"> de 202</w:t>
      </w:r>
      <w:r w:rsidR="00782354" w:rsidRPr="00A42C60">
        <w:rPr>
          <w:rFonts w:ascii="Arial" w:hAnsi="Arial" w:cs="Arial"/>
          <w:color w:val="000000" w:themeColor="text1"/>
          <w:lang w:val="es-ES_tradnl"/>
        </w:rPr>
        <w:t>2</w:t>
      </w:r>
      <w:r w:rsidR="00F14618" w:rsidRPr="00A42C60">
        <w:rPr>
          <w:rFonts w:ascii="Arial" w:hAnsi="Arial" w:cs="Arial"/>
          <w:color w:val="000000" w:themeColor="text1"/>
          <w:lang w:val="es-ES_tradnl"/>
        </w:rPr>
        <w:t>.</w:t>
      </w:r>
    </w:p>
    <w:p w14:paraId="0C1E0712" w14:textId="77777777" w:rsidR="00DD5B04" w:rsidRPr="00A42C60" w:rsidRDefault="00DD5B04" w:rsidP="00443945">
      <w:pPr>
        <w:spacing w:after="0" w:line="276" w:lineRule="auto"/>
        <w:jc w:val="both"/>
        <w:rPr>
          <w:rFonts w:ascii="Arial" w:hAnsi="Arial" w:cs="Arial"/>
          <w:b/>
          <w:color w:val="000000" w:themeColor="text1"/>
          <w:lang w:val="es-ES_tradnl"/>
        </w:rPr>
      </w:pPr>
    </w:p>
    <w:p w14:paraId="7701FCC7" w14:textId="77777777" w:rsidR="00DD5B04" w:rsidRPr="00A42C60" w:rsidRDefault="00DD5B04">
      <w:pPr>
        <w:pStyle w:val="Prrafodelista"/>
        <w:numPr>
          <w:ilvl w:val="0"/>
          <w:numId w:val="1"/>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42C60">
        <w:rPr>
          <w:rFonts w:ascii="Arial" w:eastAsia="Calibri" w:hAnsi="Arial" w:cs="Arial"/>
          <w:b/>
          <w:color w:val="000000" w:themeColor="text1"/>
          <w:sz w:val="22"/>
          <w:lang w:val="es-ES_tradnl"/>
        </w:rPr>
        <w:t xml:space="preserve">Problema planteado </w:t>
      </w:r>
    </w:p>
    <w:p w14:paraId="224B43D3" w14:textId="23DC0BDF" w:rsidR="00DD5B04" w:rsidRPr="00A42C60" w:rsidRDefault="00DD5B04" w:rsidP="00B7240D">
      <w:pPr>
        <w:tabs>
          <w:tab w:val="left" w:pos="426"/>
        </w:tabs>
        <w:spacing w:after="0" w:line="276" w:lineRule="auto"/>
        <w:jc w:val="both"/>
        <w:rPr>
          <w:rFonts w:ascii="Arial" w:hAnsi="Arial" w:cs="Arial"/>
          <w:b/>
          <w:color w:val="000000" w:themeColor="text1"/>
          <w:lang w:val="es-ES_tradnl"/>
        </w:rPr>
      </w:pPr>
    </w:p>
    <w:p w14:paraId="607960FD" w14:textId="00657101" w:rsidR="00FF56A3" w:rsidRPr="00A42C60" w:rsidRDefault="00AD5977" w:rsidP="00DA0051">
      <w:pPr>
        <w:spacing w:after="0" w:line="276" w:lineRule="auto"/>
        <w:jc w:val="both"/>
        <w:rPr>
          <w:rFonts w:ascii="Arial" w:hAnsi="Arial" w:cs="Arial"/>
          <w:bCs/>
        </w:rPr>
      </w:pPr>
      <w:r>
        <w:rPr>
          <w:rFonts w:ascii="Arial" w:hAnsi="Arial" w:cs="Arial"/>
          <w:bCs/>
        </w:rPr>
        <w:t xml:space="preserve">En relación con </w:t>
      </w:r>
      <w:r w:rsidR="000B0779">
        <w:rPr>
          <w:rFonts w:ascii="Arial" w:hAnsi="Arial" w:cs="Arial"/>
          <w:bCs/>
        </w:rPr>
        <w:t>la Sentencia SU214 del 16 de</w:t>
      </w:r>
      <w:r w:rsidR="00DA0051">
        <w:rPr>
          <w:rFonts w:ascii="Arial" w:hAnsi="Arial" w:cs="Arial"/>
          <w:bCs/>
        </w:rPr>
        <w:t xml:space="preserve"> junio de</w:t>
      </w:r>
      <w:r w:rsidR="000B0779">
        <w:rPr>
          <w:rFonts w:ascii="Arial" w:hAnsi="Arial" w:cs="Arial"/>
          <w:bCs/>
        </w:rPr>
        <w:t xml:space="preserve"> 2022 de la Corte Constitucional y el Concepto </w:t>
      </w:r>
      <w:r>
        <w:rPr>
          <w:rFonts w:ascii="Arial" w:hAnsi="Arial" w:cs="Arial"/>
          <w:bCs/>
        </w:rPr>
        <w:t xml:space="preserve">con radicado Nro. 2369 </w:t>
      </w:r>
      <w:r w:rsidR="000B0779">
        <w:rPr>
          <w:rFonts w:ascii="Arial" w:hAnsi="Arial" w:cs="Arial"/>
          <w:bCs/>
        </w:rPr>
        <w:t>de</w:t>
      </w:r>
      <w:r>
        <w:rPr>
          <w:rFonts w:ascii="Arial" w:hAnsi="Arial" w:cs="Arial"/>
          <w:bCs/>
        </w:rPr>
        <w:t>l 6 de junio de 2018 de</w:t>
      </w:r>
      <w:r w:rsidR="000B0779">
        <w:rPr>
          <w:rFonts w:ascii="Arial" w:hAnsi="Arial" w:cs="Arial"/>
          <w:bCs/>
        </w:rPr>
        <w:t xml:space="preserve"> la Sala de Consulta y Servicio Civil</w:t>
      </w:r>
      <w:r w:rsidR="00DA0051">
        <w:rPr>
          <w:rFonts w:ascii="Arial" w:hAnsi="Arial" w:cs="Arial"/>
          <w:bCs/>
        </w:rPr>
        <w:t xml:space="preserve"> del Consejo de Estado</w:t>
      </w:r>
      <w:r>
        <w:rPr>
          <w:rFonts w:ascii="Arial" w:hAnsi="Arial" w:cs="Arial"/>
          <w:bCs/>
        </w:rPr>
        <w:t>, u</w:t>
      </w:r>
      <w:r w:rsidR="000D0CC7" w:rsidRPr="00A42C60">
        <w:rPr>
          <w:rFonts w:ascii="Arial" w:hAnsi="Arial" w:cs="Arial"/>
          <w:bCs/>
        </w:rPr>
        <w:t>sted</w:t>
      </w:r>
      <w:r>
        <w:rPr>
          <w:rFonts w:ascii="Arial" w:hAnsi="Arial" w:cs="Arial"/>
          <w:bCs/>
        </w:rPr>
        <w:t xml:space="preserve">, </w:t>
      </w:r>
      <w:r w:rsidR="000D0CC7" w:rsidRPr="00A42C60">
        <w:rPr>
          <w:rFonts w:ascii="Arial" w:hAnsi="Arial" w:cs="Arial"/>
          <w:bCs/>
        </w:rPr>
        <w:t>realiza la</w:t>
      </w:r>
      <w:r w:rsidR="00FF56A3" w:rsidRPr="00A42C60">
        <w:rPr>
          <w:rFonts w:ascii="Arial" w:hAnsi="Arial" w:cs="Arial"/>
          <w:bCs/>
        </w:rPr>
        <w:t>s</w:t>
      </w:r>
      <w:r w:rsidR="000D0CC7" w:rsidRPr="00A42C60">
        <w:rPr>
          <w:rFonts w:ascii="Arial" w:hAnsi="Arial" w:cs="Arial"/>
          <w:bCs/>
        </w:rPr>
        <w:t xml:space="preserve"> siguiente</w:t>
      </w:r>
      <w:r w:rsidR="00FF56A3" w:rsidRPr="00A42C60">
        <w:rPr>
          <w:rFonts w:ascii="Arial" w:hAnsi="Arial" w:cs="Arial"/>
          <w:bCs/>
        </w:rPr>
        <w:t>s</w:t>
      </w:r>
      <w:r w:rsidR="000D0CC7" w:rsidRPr="00A42C60">
        <w:rPr>
          <w:rFonts w:ascii="Arial" w:hAnsi="Arial" w:cs="Arial"/>
          <w:bCs/>
        </w:rPr>
        <w:t xml:space="preserve"> pregunta</w:t>
      </w:r>
      <w:r w:rsidR="00FF56A3" w:rsidRPr="00A42C60">
        <w:rPr>
          <w:rFonts w:ascii="Arial" w:hAnsi="Arial" w:cs="Arial"/>
          <w:bCs/>
        </w:rPr>
        <w:t>s</w:t>
      </w:r>
      <w:r w:rsidR="000D0CC7" w:rsidRPr="00A42C60">
        <w:rPr>
          <w:rFonts w:ascii="Arial" w:hAnsi="Arial" w:cs="Arial"/>
          <w:bCs/>
        </w:rPr>
        <w:t>:</w:t>
      </w:r>
      <w:r>
        <w:rPr>
          <w:rFonts w:ascii="Arial" w:hAnsi="Arial" w:cs="Arial"/>
          <w:bCs/>
        </w:rPr>
        <w:t xml:space="preserve"> i) </w:t>
      </w:r>
      <w:r w:rsidRPr="00A42C60">
        <w:rPr>
          <w:rFonts w:ascii="Arial" w:hAnsi="Arial" w:cs="Arial"/>
          <w:bCs/>
          <w:sz w:val="21"/>
          <w:szCs w:val="21"/>
        </w:rPr>
        <w:t>«</w:t>
      </w:r>
      <w:r w:rsidRPr="00AD5977">
        <w:rPr>
          <w:rFonts w:ascii="Arial" w:hAnsi="Arial" w:cs="Arial"/>
          <w:bCs/>
        </w:rPr>
        <w:t>¿es procedente adicionar un contrato o se debe celebrar un</w:t>
      </w:r>
      <w:r>
        <w:rPr>
          <w:rFonts w:ascii="Arial" w:hAnsi="Arial" w:cs="Arial"/>
          <w:bCs/>
        </w:rPr>
        <w:t xml:space="preserve"> </w:t>
      </w:r>
      <w:r w:rsidRPr="00AD5977">
        <w:rPr>
          <w:rFonts w:ascii="Arial" w:hAnsi="Arial" w:cs="Arial"/>
          <w:bCs/>
        </w:rPr>
        <w:t>contrato nuevo para la inclusión de un ítem o actividad no prevista en el contrato</w:t>
      </w:r>
      <w:r>
        <w:rPr>
          <w:rFonts w:ascii="Arial" w:hAnsi="Arial" w:cs="Arial"/>
          <w:bCs/>
        </w:rPr>
        <w:t xml:space="preserve"> </w:t>
      </w:r>
      <w:r w:rsidRPr="00AD5977">
        <w:rPr>
          <w:rFonts w:ascii="Arial" w:hAnsi="Arial" w:cs="Arial"/>
          <w:bCs/>
        </w:rPr>
        <w:t>inicial?</w:t>
      </w:r>
      <w:r w:rsidRPr="00A42C60">
        <w:rPr>
          <w:rFonts w:ascii="Arial" w:hAnsi="Arial" w:cs="Arial"/>
          <w:bCs/>
          <w:sz w:val="21"/>
          <w:szCs w:val="21"/>
        </w:rPr>
        <w:t>»</w:t>
      </w:r>
      <w:r>
        <w:rPr>
          <w:rFonts w:ascii="Arial" w:hAnsi="Arial" w:cs="Arial"/>
          <w:bCs/>
        </w:rPr>
        <w:t xml:space="preserve">, ii) </w:t>
      </w:r>
      <w:r w:rsidRPr="00A42C60">
        <w:rPr>
          <w:rFonts w:ascii="Arial" w:hAnsi="Arial" w:cs="Arial"/>
          <w:bCs/>
          <w:sz w:val="21"/>
          <w:szCs w:val="21"/>
        </w:rPr>
        <w:t>«</w:t>
      </w:r>
      <w:r w:rsidRPr="00AD5977">
        <w:rPr>
          <w:rFonts w:ascii="Arial" w:hAnsi="Arial" w:cs="Arial"/>
          <w:bCs/>
        </w:rPr>
        <w:t>¿el límite de adición del 50% previsto</w:t>
      </w:r>
      <w:r>
        <w:rPr>
          <w:rFonts w:ascii="Arial" w:hAnsi="Arial" w:cs="Arial"/>
          <w:bCs/>
        </w:rPr>
        <w:t xml:space="preserve"> </w:t>
      </w:r>
      <w:r w:rsidRPr="00AD5977">
        <w:rPr>
          <w:rFonts w:ascii="Arial" w:hAnsi="Arial" w:cs="Arial"/>
          <w:bCs/>
        </w:rPr>
        <w:t>en la Ley 80/1993 aplica a los contratos de obra a precios unitarios?</w:t>
      </w:r>
      <w:r w:rsidRPr="00A42C60">
        <w:rPr>
          <w:rFonts w:ascii="Arial" w:hAnsi="Arial" w:cs="Arial"/>
          <w:bCs/>
          <w:sz w:val="21"/>
          <w:szCs w:val="21"/>
        </w:rPr>
        <w:t>»</w:t>
      </w:r>
      <w:r>
        <w:rPr>
          <w:rFonts w:ascii="Arial" w:hAnsi="Arial" w:cs="Arial"/>
          <w:bCs/>
        </w:rPr>
        <w:t xml:space="preserve">, y iii) </w:t>
      </w:r>
      <w:r w:rsidRPr="00A42C60">
        <w:rPr>
          <w:rFonts w:ascii="Arial" w:hAnsi="Arial" w:cs="Arial"/>
          <w:bCs/>
          <w:sz w:val="21"/>
          <w:szCs w:val="21"/>
        </w:rPr>
        <w:t>«</w:t>
      </w:r>
      <w:r w:rsidRPr="00AD5977">
        <w:rPr>
          <w:rFonts w:ascii="Arial" w:hAnsi="Arial" w:cs="Arial"/>
          <w:bCs/>
        </w:rPr>
        <w:t>¿Qué excepciones existen para</w:t>
      </w:r>
      <w:r>
        <w:rPr>
          <w:rFonts w:ascii="Arial" w:hAnsi="Arial" w:cs="Arial"/>
          <w:bCs/>
        </w:rPr>
        <w:t xml:space="preserve"> </w:t>
      </w:r>
      <w:r w:rsidRPr="00AD5977">
        <w:rPr>
          <w:rFonts w:ascii="Arial" w:hAnsi="Arial" w:cs="Arial"/>
          <w:bCs/>
        </w:rPr>
        <w:t>la no aplicación del límite del 50% de adición previsto en la Ley 80/1993?</w:t>
      </w:r>
      <w:r w:rsidRPr="00A42C60">
        <w:rPr>
          <w:rFonts w:ascii="Arial" w:hAnsi="Arial" w:cs="Arial"/>
          <w:bCs/>
          <w:sz w:val="21"/>
          <w:szCs w:val="21"/>
        </w:rPr>
        <w:t>»</w:t>
      </w:r>
      <w:r w:rsidR="00AF6934">
        <w:rPr>
          <w:rFonts w:ascii="Arial" w:hAnsi="Arial" w:cs="Arial"/>
          <w:bCs/>
          <w:sz w:val="21"/>
          <w:szCs w:val="21"/>
        </w:rPr>
        <w:t>.</w:t>
      </w:r>
    </w:p>
    <w:p w14:paraId="5B3CB25F" w14:textId="77777777" w:rsidR="00FF56A3" w:rsidRPr="00A42C60" w:rsidRDefault="00FF56A3" w:rsidP="00FF56A3">
      <w:pPr>
        <w:spacing w:after="0" w:line="276" w:lineRule="auto"/>
        <w:ind w:right="709"/>
        <w:jc w:val="both"/>
        <w:rPr>
          <w:rFonts w:ascii="Arial" w:hAnsi="Arial" w:cs="Arial"/>
          <w:bCs/>
          <w:sz w:val="21"/>
          <w:szCs w:val="21"/>
        </w:rPr>
      </w:pPr>
    </w:p>
    <w:p w14:paraId="124D2DCA" w14:textId="77777777" w:rsidR="00DD5B04" w:rsidRPr="00A42C60" w:rsidRDefault="00DD5B04">
      <w:pPr>
        <w:pStyle w:val="Prrafodelista"/>
        <w:numPr>
          <w:ilvl w:val="0"/>
          <w:numId w:val="1"/>
        </w:numPr>
        <w:tabs>
          <w:tab w:val="left" w:pos="0"/>
          <w:tab w:val="left" w:pos="284"/>
        </w:tabs>
        <w:ind w:left="0" w:firstLine="0"/>
        <w:jc w:val="both"/>
        <w:rPr>
          <w:rFonts w:ascii="Arial" w:eastAsia="Calibri" w:hAnsi="Arial" w:cs="Arial"/>
          <w:b/>
          <w:color w:val="000000" w:themeColor="text1"/>
          <w:sz w:val="22"/>
          <w:lang w:val="es-ES_tradnl"/>
        </w:rPr>
      </w:pPr>
      <w:r w:rsidRPr="00A42C60">
        <w:rPr>
          <w:rFonts w:ascii="Arial" w:eastAsia="Calibri" w:hAnsi="Arial" w:cs="Arial"/>
          <w:b/>
          <w:color w:val="000000" w:themeColor="text1"/>
          <w:sz w:val="22"/>
          <w:lang w:val="es-ES_tradnl"/>
        </w:rPr>
        <w:t>Consideraciones</w:t>
      </w:r>
    </w:p>
    <w:p w14:paraId="395997FF" w14:textId="77777777" w:rsidR="00621981" w:rsidRPr="00A42C60" w:rsidRDefault="00621981" w:rsidP="00B7240D">
      <w:pPr>
        <w:spacing w:after="0" w:line="276" w:lineRule="auto"/>
        <w:jc w:val="both"/>
        <w:rPr>
          <w:rFonts w:ascii="Arial" w:hAnsi="Arial" w:cs="Arial"/>
          <w:color w:val="000000" w:themeColor="text1"/>
        </w:rPr>
      </w:pPr>
    </w:p>
    <w:p w14:paraId="722AAF49" w14:textId="253B3E94" w:rsidR="00FF56A3" w:rsidRPr="00A42C60" w:rsidRDefault="00FF56A3" w:rsidP="00FF56A3">
      <w:pPr>
        <w:spacing w:after="0" w:line="276" w:lineRule="auto"/>
        <w:jc w:val="both"/>
        <w:rPr>
          <w:rFonts w:ascii="Arial" w:hAnsi="Arial" w:cs="Arial"/>
          <w:szCs w:val="24"/>
          <w:lang w:val="es-MX" w:eastAsia="es-ES_tradnl"/>
        </w:rPr>
      </w:pPr>
      <w:r w:rsidRPr="00A42C60">
        <w:rPr>
          <w:rFonts w:ascii="Arial" w:hAnsi="Arial" w:cs="Arial"/>
          <w:bCs/>
          <w:color w:val="000000" w:themeColor="text1"/>
          <w:lang w:val="es-ES"/>
        </w:rPr>
        <w:t xml:space="preserve">Para </w:t>
      </w:r>
      <w:r w:rsidRPr="00A42C60">
        <w:rPr>
          <w:rFonts w:ascii="Arial" w:hAnsi="Arial" w:cs="Arial"/>
          <w:szCs w:val="24"/>
          <w:lang w:val="es-MX" w:eastAsia="es-ES_tradnl"/>
        </w:rPr>
        <w:t xml:space="preserve">resolver su consulta se analizarán los siguientes temas: i) </w:t>
      </w:r>
      <w:r w:rsidR="00501285" w:rsidRPr="00A42C60">
        <w:rPr>
          <w:rFonts w:ascii="Arial" w:hAnsi="Arial" w:cs="Arial"/>
          <w:szCs w:val="24"/>
          <w:lang w:val="es-MX" w:eastAsia="es-ES_tradnl"/>
        </w:rPr>
        <w:t>a</w:t>
      </w:r>
      <w:r w:rsidRPr="00A42C60">
        <w:rPr>
          <w:rFonts w:ascii="Arial" w:hAnsi="Arial" w:cs="Arial"/>
          <w:szCs w:val="24"/>
          <w:lang w:val="es-MX" w:eastAsia="es-ES_tradnl"/>
        </w:rPr>
        <w:t>dición de los contratos estatales y</w:t>
      </w:r>
      <w:r w:rsidR="00501285" w:rsidRPr="00A42C60">
        <w:rPr>
          <w:rFonts w:ascii="Arial" w:hAnsi="Arial" w:cs="Arial"/>
          <w:szCs w:val="24"/>
          <w:lang w:val="es-MX" w:eastAsia="es-ES_tradnl"/>
        </w:rPr>
        <w:t xml:space="preserve"> las posturas en torn</w:t>
      </w:r>
      <w:r w:rsidR="006F3909" w:rsidRPr="00A42C60">
        <w:rPr>
          <w:rFonts w:ascii="Arial" w:hAnsi="Arial" w:cs="Arial"/>
          <w:szCs w:val="24"/>
          <w:lang w:val="es-MX" w:eastAsia="es-ES_tradnl"/>
        </w:rPr>
        <w:t>o</w:t>
      </w:r>
      <w:r w:rsidR="00501285" w:rsidRPr="00A42C60">
        <w:rPr>
          <w:rFonts w:ascii="Arial" w:hAnsi="Arial" w:cs="Arial"/>
          <w:szCs w:val="24"/>
          <w:lang w:val="es-MX" w:eastAsia="es-ES_tradnl"/>
        </w:rPr>
        <w:t xml:space="preserve"> al tope para adicionar contratos y</w:t>
      </w:r>
      <w:r w:rsidRPr="00A42C60">
        <w:rPr>
          <w:rFonts w:ascii="Arial" w:hAnsi="Arial" w:cs="Arial"/>
          <w:szCs w:val="24"/>
          <w:lang w:val="es-MX" w:eastAsia="es-ES_tradnl"/>
        </w:rPr>
        <w:t xml:space="preserve"> ii) </w:t>
      </w:r>
      <w:r w:rsidR="006F3909" w:rsidRPr="00A42C60">
        <w:rPr>
          <w:rFonts w:ascii="Arial" w:hAnsi="Arial" w:cs="Arial"/>
          <w:szCs w:val="24"/>
          <w:lang w:val="es-MX" w:eastAsia="es-ES_tradnl"/>
        </w:rPr>
        <w:t xml:space="preserve">las </w:t>
      </w:r>
      <w:r w:rsidRPr="00A42C60">
        <w:rPr>
          <w:rFonts w:ascii="Arial" w:hAnsi="Arial" w:cs="Arial"/>
          <w:szCs w:val="24"/>
          <w:lang w:val="es-MX" w:eastAsia="es-ES_tradnl"/>
        </w:rPr>
        <w:t>modificaciones a los contratos estatales</w:t>
      </w:r>
      <w:r w:rsidR="006F3909" w:rsidRPr="00A42C60">
        <w:rPr>
          <w:rFonts w:ascii="Arial" w:hAnsi="Arial" w:cs="Arial"/>
          <w:szCs w:val="24"/>
          <w:lang w:val="es-MX" w:eastAsia="es-ES_tradnl"/>
        </w:rPr>
        <w:t>.</w:t>
      </w:r>
    </w:p>
    <w:p w14:paraId="20025C5C" w14:textId="34677009" w:rsidR="00501285" w:rsidRPr="00A42C60" w:rsidRDefault="00974CE3" w:rsidP="006F3909">
      <w:pPr>
        <w:spacing w:before="120" w:after="0" w:line="276" w:lineRule="auto"/>
        <w:ind w:firstLine="709"/>
        <w:jc w:val="both"/>
        <w:rPr>
          <w:rFonts w:ascii="Arial" w:hAnsi="Arial" w:cs="Arial"/>
          <w:bCs/>
          <w:szCs w:val="24"/>
          <w:lang w:val="es-ES_tradnl" w:eastAsia="es-ES_tradnl"/>
        </w:rPr>
      </w:pPr>
      <w:r w:rsidRPr="00A42C60">
        <w:rPr>
          <w:rFonts w:ascii="Arial" w:hAnsi="Arial" w:cs="Arial"/>
          <w:szCs w:val="24"/>
          <w:lang w:val="es-MX" w:eastAsia="es-ES_tradnl"/>
        </w:rPr>
        <w:t xml:space="preserve">La Agencia Nacional de Contratación Pública </w:t>
      </w:r>
      <w:r w:rsidRPr="00A42C60">
        <w:rPr>
          <w:rFonts w:ascii="Arial" w:hAnsi="Arial" w:cs="Arial" w:hint="eastAsia"/>
          <w:szCs w:val="24"/>
          <w:lang w:val="es-MX" w:eastAsia="es-ES_tradnl"/>
        </w:rPr>
        <w:t>―</w:t>
      </w:r>
      <w:r w:rsidRPr="00A42C60">
        <w:rPr>
          <w:rFonts w:ascii="Arial" w:hAnsi="Arial" w:cs="Arial"/>
          <w:szCs w:val="24"/>
          <w:lang w:val="es-MX" w:eastAsia="es-ES_tradnl"/>
        </w:rPr>
        <w:t xml:space="preserve"> Colombia Compra Eficiente, en los conceptos con radicado Nos. 4201912000007298 de 23 de octubre de 2019, 4201913000006294 del 16 de septiembre de 2019, así como en los conceptos C-062 del 25 de marzo de 2020, C-100 del 27 de marzo de 2020, </w:t>
      </w:r>
      <w:r w:rsidRPr="00A42C60">
        <w:rPr>
          <w:rFonts w:ascii="Arial" w:hAnsi="Arial" w:cs="Arial"/>
          <w:szCs w:val="24"/>
          <w:lang w:eastAsia="es-ES_tradnl"/>
        </w:rPr>
        <w:t>C</w:t>
      </w:r>
      <w:r w:rsidR="00501285" w:rsidRPr="00A42C60">
        <w:rPr>
          <w:rFonts w:ascii="Arial" w:hAnsi="Arial" w:cs="Arial"/>
          <w:szCs w:val="24"/>
          <w:lang w:eastAsia="es-ES_tradnl"/>
        </w:rPr>
        <w:t>-</w:t>
      </w:r>
      <w:r w:rsidRPr="00A42C60">
        <w:rPr>
          <w:rFonts w:ascii="Arial" w:hAnsi="Arial" w:cs="Arial"/>
          <w:szCs w:val="24"/>
          <w:lang w:eastAsia="es-ES_tradnl"/>
        </w:rPr>
        <w:t>318 del 28 de mayo de 2020, C–452 del 28 de julio de 2020,</w:t>
      </w:r>
      <w:r w:rsidR="00501285" w:rsidRPr="00A42C60">
        <w:rPr>
          <w:rFonts w:ascii="Arial" w:hAnsi="Arial" w:cs="Arial"/>
          <w:bCs/>
          <w:szCs w:val="24"/>
          <w:lang w:eastAsia="es-ES_tradnl"/>
        </w:rPr>
        <w:t xml:space="preserve"> C-560 del 24 de agosto de 2020, C-628 del 23 de septiembre del 2020,</w:t>
      </w:r>
      <w:r w:rsidRPr="00A42C60">
        <w:rPr>
          <w:rFonts w:ascii="Arial" w:hAnsi="Arial" w:cs="Arial"/>
          <w:szCs w:val="24"/>
          <w:lang w:eastAsia="es-ES_tradnl"/>
        </w:rPr>
        <w:t xml:space="preserve"> C-750 del 21 de diciembre de 2020</w:t>
      </w:r>
      <w:r w:rsidR="00501285" w:rsidRPr="00A42C60">
        <w:rPr>
          <w:rFonts w:ascii="Arial" w:hAnsi="Arial" w:cs="Arial"/>
          <w:szCs w:val="24"/>
          <w:lang w:eastAsia="es-ES_tradnl"/>
        </w:rPr>
        <w:t>,</w:t>
      </w:r>
      <w:r w:rsidR="00501285" w:rsidRPr="00A42C60">
        <w:rPr>
          <w:rFonts w:ascii="Arial" w:hAnsi="Arial" w:cs="Arial"/>
          <w:bCs/>
          <w:szCs w:val="24"/>
          <w:lang w:eastAsia="es-ES_tradnl"/>
        </w:rPr>
        <w:t xml:space="preserve"> C-073 de 16 de marzo de 2021, C-277 de 21 de junio de 2021, C-644 de 18 de noviembre de 2021, C-755 de 21 de enero de 2022, C-152 de 1 de abril de 2022, C-267 de 5 de mayo de 2022 y C-432 de 13 de julio de 2022</w:t>
      </w:r>
      <w:r w:rsidR="00AD5977">
        <w:rPr>
          <w:rFonts w:ascii="Arial" w:hAnsi="Arial" w:cs="Arial"/>
          <w:bCs/>
          <w:szCs w:val="24"/>
          <w:lang w:eastAsia="es-ES_tradnl"/>
        </w:rPr>
        <w:t>,</w:t>
      </w:r>
      <w:r w:rsidR="00501285" w:rsidRPr="00A42C60">
        <w:rPr>
          <w:rFonts w:ascii="Arial" w:hAnsi="Arial" w:cs="Arial"/>
          <w:bCs/>
          <w:szCs w:val="24"/>
          <w:lang w:eastAsia="es-ES_tradnl"/>
        </w:rPr>
        <w:t xml:space="preserve"> C-630 del 29 de septiembre de 2022</w:t>
      </w:r>
      <w:r w:rsidR="00AD5977">
        <w:rPr>
          <w:rFonts w:ascii="Arial" w:hAnsi="Arial" w:cs="Arial"/>
          <w:bCs/>
          <w:szCs w:val="24"/>
          <w:lang w:eastAsia="es-ES_tradnl"/>
        </w:rPr>
        <w:t xml:space="preserve"> y C-784 del 21 de noviembre de 2022</w:t>
      </w:r>
      <w:r w:rsidR="00501285" w:rsidRPr="00A42C60">
        <w:rPr>
          <w:rFonts w:ascii="Arial" w:hAnsi="Arial" w:cs="Arial"/>
          <w:bCs/>
          <w:szCs w:val="24"/>
          <w:lang w:eastAsia="es-ES_tradnl"/>
        </w:rPr>
        <w:t>,</w:t>
      </w:r>
      <w:r w:rsidRPr="00A42C60">
        <w:rPr>
          <w:rFonts w:ascii="Arial" w:hAnsi="Arial" w:cs="Arial"/>
          <w:szCs w:val="24"/>
          <w:lang w:val="es-MX" w:eastAsia="es-ES_tradnl"/>
        </w:rPr>
        <w:t xml:space="preserve"> estudió asuntos relacionados con la adición de los contratos estatales</w:t>
      </w:r>
      <w:r w:rsidR="00FF56A3" w:rsidRPr="00A42C60">
        <w:rPr>
          <w:rFonts w:ascii="Arial" w:hAnsi="Arial" w:cs="Arial"/>
          <w:szCs w:val="24"/>
          <w:vertAlign w:val="superscript"/>
          <w:lang w:val="es-ES_tradnl" w:eastAsia="es-ES_tradnl"/>
        </w:rPr>
        <w:footnoteReference w:id="2"/>
      </w:r>
      <w:r w:rsidR="00FF56A3" w:rsidRPr="00A42C60">
        <w:rPr>
          <w:rFonts w:ascii="Arial" w:hAnsi="Arial" w:cs="Arial"/>
          <w:szCs w:val="24"/>
          <w:lang w:val="es-ES_tradnl" w:eastAsia="es-ES_tradnl"/>
        </w:rPr>
        <w:t xml:space="preserve">. </w:t>
      </w:r>
      <w:r w:rsidR="006F3909" w:rsidRPr="00A42C60">
        <w:rPr>
          <w:rFonts w:ascii="Arial" w:hAnsi="Arial" w:cs="Arial"/>
          <w:szCs w:val="24"/>
          <w:lang w:val="es-ES_tradnl" w:eastAsia="es-ES_tradnl"/>
        </w:rPr>
        <w:t xml:space="preserve"> </w:t>
      </w:r>
      <w:r w:rsidR="00501285" w:rsidRPr="00A42C60">
        <w:rPr>
          <w:rFonts w:ascii="Arial" w:hAnsi="Arial" w:cs="Arial"/>
          <w:bCs/>
          <w:szCs w:val="24"/>
          <w:lang w:val="es-ES_tradnl" w:eastAsia="es-ES_tradnl"/>
        </w:rPr>
        <w:t xml:space="preserve">Asimismo, en </w:t>
      </w:r>
      <w:r w:rsidR="006F3909" w:rsidRPr="00A42C60">
        <w:rPr>
          <w:rFonts w:ascii="Arial" w:hAnsi="Arial" w:cs="Arial"/>
          <w:bCs/>
          <w:szCs w:val="24"/>
          <w:lang w:val="es-ES_tradnl" w:eastAsia="es-ES_tradnl"/>
        </w:rPr>
        <w:t>los</w:t>
      </w:r>
      <w:r w:rsidR="00501285" w:rsidRPr="00A42C60">
        <w:rPr>
          <w:rFonts w:ascii="Arial" w:hAnsi="Arial" w:cs="Arial"/>
          <w:bCs/>
          <w:szCs w:val="24"/>
          <w:lang w:val="es-ES_tradnl" w:eastAsia="es-ES_tradnl"/>
        </w:rPr>
        <w:t xml:space="preserve"> concepto C-457 del 3 de septiembre del 2021 </w:t>
      </w:r>
      <w:r w:rsidR="006F3909" w:rsidRPr="00A42C60">
        <w:rPr>
          <w:rFonts w:ascii="Arial" w:hAnsi="Arial" w:cs="Arial"/>
          <w:bCs/>
          <w:szCs w:val="24"/>
          <w:lang w:val="es-ES_tradnl" w:eastAsia="es-ES_tradnl"/>
        </w:rPr>
        <w:t xml:space="preserve">y C-663 del 13 de octubre de 2022 </w:t>
      </w:r>
      <w:r w:rsidR="00501285" w:rsidRPr="00A42C60">
        <w:rPr>
          <w:rFonts w:ascii="Arial" w:hAnsi="Arial" w:cs="Arial"/>
          <w:bCs/>
          <w:szCs w:val="24"/>
          <w:lang w:val="es-ES_tradnl" w:eastAsia="es-ES_tradnl"/>
        </w:rPr>
        <w:t>se pronunció sobre la modificación a los contratos estatales. Las tesis expuesta en est</w:t>
      </w:r>
      <w:r w:rsidR="006F3909" w:rsidRPr="00A42C60">
        <w:rPr>
          <w:rFonts w:ascii="Arial" w:hAnsi="Arial" w:cs="Arial"/>
          <w:bCs/>
          <w:szCs w:val="24"/>
          <w:lang w:val="es-ES_tradnl" w:eastAsia="es-ES_tradnl"/>
        </w:rPr>
        <w:t>os</w:t>
      </w:r>
      <w:r w:rsidR="00501285" w:rsidRPr="00A42C60">
        <w:rPr>
          <w:rFonts w:ascii="Arial" w:hAnsi="Arial" w:cs="Arial"/>
          <w:bCs/>
          <w:szCs w:val="24"/>
          <w:lang w:val="es-ES_tradnl" w:eastAsia="es-ES_tradnl"/>
        </w:rPr>
        <w:t xml:space="preserve"> concepto</w:t>
      </w:r>
      <w:r w:rsidR="006F3909" w:rsidRPr="00A42C60">
        <w:rPr>
          <w:rFonts w:ascii="Arial" w:hAnsi="Arial" w:cs="Arial"/>
          <w:bCs/>
          <w:szCs w:val="24"/>
          <w:lang w:val="es-ES_tradnl" w:eastAsia="es-ES_tradnl"/>
        </w:rPr>
        <w:t>s</w:t>
      </w:r>
      <w:r w:rsidR="00501285" w:rsidRPr="00A42C60">
        <w:rPr>
          <w:rFonts w:ascii="Arial" w:hAnsi="Arial" w:cs="Arial"/>
          <w:bCs/>
          <w:szCs w:val="24"/>
          <w:lang w:val="es-ES_tradnl" w:eastAsia="es-ES_tradnl"/>
        </w:rPr>
        <w:t xml:space="preserve"> se reitera</w:t>
      </w:r>
      <w:r w:rsidR="006C649B" w:rsidRPr="00A42C60">
        <w:rPr>
          <w:rFonts w:ascii="Arial" w:hAnsi="Arial" w:cs="Arial"/>
          <w:bCs/>
          <w:szCs w:val="24"/>
          <w:lang w:val="es-ES_tradnl" w:eastAsia="es-ES_tradnl"/>
        </w:rPr>
        <w:t>n y se complementan</w:t>
      </w:r>
      <w:r w:rsidR="00501285" w:rsidRPr="00A42C60">
        <w:rPr>
          <w:rFonts w:ascii="Arial" w:hAnsi="Arial" w:cs="Arial"/>
          <w:bCs/>
          <w:szCs w:val="24"/>
          <w:lang w:val="es-ES_tradnl" w:eastAsia="es-ES_tradnl"/>
        </w:rPr>
        <w:t xml:space="preserve"> en lo pertinente</w:t>
      </w:r>
      <w:r w:rsidR="006F3909" w:rsidRPr="00A42C60">
        <w:rPr>
          <w:rFonts w:ascii="Arial" w:hAnsi="Arial" w:cs="Arial"/>
          <w:bCs/>
          <w:szCs w:val="24"/>
          <w:lang w:val="es-ES_tradnl" w:eastAsia="es-ES_tradnl"/>
        </w:rPr>
        <w:t>.</w:t>
      </w:r>
    </w:p>
    <w:p w14:paraId="37F86244" w14:textId="77777777" w:rsidR="006F3909" w:rsidRPr="00A42C60" w:rsidRDefault="006F3909" w:rsidP="00F12EAB">
      <w:pPr>
        <w:spacing w:after="0" w:line="276" w:lineRule="auto"/>
        <w:jc w:val="both"/>
        <w:rPr>
          <w:rFonts w:ascii="Arial" w:hAnsi="Arial" w:cs="Arial"/>
          <w:b/>
          <w:bCs/>
          <w:szCs w:val="24"/>
          <w:lang w:val="es-ES_tradnl" w:eastAsia="es-ES_tradnl"/>
        </w:rPr>
      </w:pPr>
    </w:p>
    <w:p w14:paraId="70DC9438" w14:textId="69A66FE5" w:rsidR="006F3909" w:rsidRPr="00A42C60" w:rsidRDefault="006F3909" w:rsidP="00F12EAB">
      <w:pPr>
        <w:spacing w:after="0" w:line="276" w:lineRule="auto"/>
        <w:jc w:val="both"/>
        <w:rPr>
          <w:rFonts w:ascii="Arial" w:hAnsi="Arial" w:cs="Arial"/>
          <w:b/>
          <w:szCs w:val="24"/>
          <w:lang w:val="es-ES_tradnl" w:eastAsia="es-ES_tradnl"/>
        </w:rPr>
      </w:pPr>
      <w:r w:rsidRPr="00A42C60">
        <w:rPr>
          <w:rFonts w:ascii="Arial" w:hAnsi="Arial" w:cs="Arial"/>
          <w:b/>
          <w:bCs/>
          <w:szCs w:val="24"/>
          <w:lang w:val="es-ES_tradnl" w:eastAsia="es-ES_tradnl"/>
        </w:rPr>
        <w:t>2.</w:t>
      </w:r>
      <w:r w:rsidR="00F5308B" w:rsidRPr="00A42C60">
        <w:rPr>
          <w:rFonts w:ascii="Arial" w:hAnsi="Arial" w:cs="Arial"/>
          <w:b/>
          <w:bCs/>
          <w:szCs w:val="24"/>
          <w:lang w:val="es-ES_tradnl" w:eastAsia="es-ES_tradnl"/>
        </w:rPr>
        <w:t>1</w:t>
      </w:r>
      <w:r w:rsidRPr="00A42C60">
        <w:rPr>
          <w:rFonts w:ascii="Arial" w:hAnsi="Arial" w:cs="Arial"/>
          <w:b/>
          <w:bCs/>
          <w:szCs w:val="24"/>
          <w:lang w:val="es-ES_tradnl" w:eastAsia="es-ES_tradnl"/>
        </w:rPr>
        <w:t xml:space="preserve">. </w:t>
      </w:r>
      <w:r w:rsidRPr="00A42C60">
        <w:rPr>
          <w:rFonts w:ascii="Arial" w:hAnsi="Arial" w:cs="Arial"/>
          <w:b/>
          <w:szCs w:val="24"/>
          <w:lang w:val="es-ES_tradnl" w:eastAsia="es-ES_tradnl"/>
        </w:rPr>
        <w:t>Concepto de adición en los contratos estatales y sus límites en el Estatuto General de Contratación de la Administración Pública</w:t>
      </w:r>
    </w:p>
    <w:p w14:paraId="592F210D" w14:textId="77777777" w:rsidR="006F3909" w:rsidRPr="00A42C60" w:rsidRDefault="006F3909" w:rsidP="00F12EAB">
      <w:pPr>
        <w:spacing w:after="0" w:line="276" w:lineRule="auto"/>
        <w:jc w:val="both"/>
        <w:rPr>
          <w:rFonts w:ascii="Arial" w:hAnsi="Arial" w:cs="Arial"/>
          <w:bCs/>
          <w:szCs w:val="24"/>
          <w:lang w:val="es-ES_tradnl" w:eastAsia="es-ES_tradnl"/>
        </w:rPr>
      </w:pPr>
    </w:p>
    <w:p w14:paraId="0013E18B" w14:textId="77777777" w:rsidR="006F3909" w:rsidRPr="00A42C60" w:rsidRDefault="006F3909" w:rsidP="00F12EAB">
      <w:pPr>
        <w:spacing w:after="0" w:line="276" w:lineRule="auto"/>
        <w:jc w:val="both"/>
        <w:rPr>
          <w:rFonts w:ascii="Arial" w:hAnsi="Arial" w:cs="Arial"/>
          <w:bCs/>
          <w:szCs w:val="24"/>
          <w:lang w:val="es-ES_tradnl" w:eastAsia="es-ES_tradnl"/>
        </w:rPr>
      </w:pPr>
      <w:r w:rsidRPr="00A42C60">
        <w:rPr>
          <w:rFonts w:ascii="Arial" w:hAnsi="Arial" w:cs="Arial"/>
          <w:bCs/>
          <w:szCs w:val="24"/>
          <w:lang w:val="es-ES_tradnl" w:eastAsia="es-ES_tradnl"/>
        </w:rPr>
        <w:t xml:space="preserve">Como es sabido, uno de los elementos más comunes en los contratos estatales es el </w:t>
      </w:r>
      <w:r w:rsidRPr="00A42C60">
        <w:rPr>
          <w:rFonts w:ascii="Arial" w:hAnsi="Arial" w:cs="Arial"/>
          <w:bCs/>
          <w:i/>
          <w:iCs/>
          <w:szCs w:val="24"/>
          <w:lang w:val="es-ES_tradnl" w:eastAsia="es-ES_tradnl"/>
        </w:rPr>
        <w:t>precio</w:t>
      </w:r>
      <w:r w:rsidRPr="00A42C60">
        <w:rPr>
          <w:rFonts w:ascii="Arial" w:hAnsi="Arial" w:cs="Arial"/>
          <w:bCs/>
          <w:szCs w:val="24"/>
          <w:lang w:val="es-ES_tradnl" w:eastAsia="es-ES_tradnl"/>
        </w:rPr>
        <w:t>, también conocido como valor. Aunque no todo contrato lo incluye –pues también existen negocios gratuitos– lo usual es que los contratos estatales se perfeccionen como onerosos y, la mayoría de las veces, como conmutativos. Adicionalmente, el precio suele ser el elemento más importante para el contratista, porque equivale a la remuneración que la entidad contratante le pagará por la ejecución del objeto contractual.</w:t>
      </w:r>
    </w:p>
    <w:p w14:paraId="15C0419A" w14:textId="77777777" w:rsidR="006F3909" w:rsidRPr="00A42C60" w:rsidRDefault="006F3909" w:rsidP="006F3909">
      <w:pPr>
        <w:spacing w:before="120" w:after="0" w:line="276" w:lineRule="auto"/>
        <w:ind w:firstLine="709"/>
        <w:jc w:val="both"/>
        <w:rPr>
          <w:rFonts w:ascii="Arial" w:hAnsi="Arial" w:cs="Arial"/>
          <w:bCs/>
          <w:szCs w:val="24"/>
          <w:lang w:val="es-ES_tradnl" w:eastAsia="es-ES_tradnl"/>
        </w:rPr>
      </w:pPr>
      <w:r w:rsidRPr="00A42C60">
        <w:rPr>
          <w:rFonts w:ascii="Arial" w:hAnsi="Arial" w:cs="Arial"/>
          <w:bCs/>
          <w:szCs w:val="24"/>
          <w:lang w:val="es-ES_tradnl" w:eastAsia="es-ES_tradnl"/>
        </w:rPr>
        <w:t xml:space="preserve">Desde la etapa de planeación, en la fase precontractual, las entidades estatales deben calcular el presupuesto oficial, mediante la realización del análisis del sector –que incluye el estudio del mercado– y definir la metodología con la cual estructurarán el precio del contrato. Dicho de otro modo, hace parte de los estudios previos la definición del esquema que la entidad usará para estipular el precio. Tal metodología generalmente </w:t>
      </w:r>
      <w:r w:rsidRPr="00A42C60">
        <w:rPr>
          <w:rFonts w:ascii="Arial" w:hAnsi="Arial" w:cs="Arial"/>
          <w:bCs/>
          <w:szCs w:val="24"/>
          <w:lang w:val="es-ES_tradnl" w:eastAsia="es-ES_tradnl"/>
        </w:rPr>
        <w:lastRenderedPageBreak/>
        <w:t>depende del tipo de contrato, pues hay algunas modalidades más comunes en los de obra pública; otras más utilizadas en los de prestación de servicios y otras más indicadas para los de concesión, por mencionar algunos ejemplos</w:t>
      </w:r>
      <w:r w:rsidRPr="00A42C60">
        <w:rPr>
          <w:rFonts w:ascii="Arial" w:hAnsi="Arial" w:cs="Arial"/>
          <w:bCs/>
          <w:szCs w:val="24"/>
          <w:vertAlign w:val="superscript"/>
          <w:lang w:val="es-ES_tradnl" w:eastAsia="es-ES_tradnl"/>
        </w:rPr>
        <w:footnoteReference w:id="3"/>
      </w:r>
      <w:r w:rsidRPr="00A42C60">
        <w:rPr>
          <w:rFonts w:ascii="Arial" w:hAnsi="Arial" w:cs="Arial"/>
          <w:bCs/>
          <w:szCs w:val="24"/>
          <w:lang w:val="es-ES_tradnl" w:eastAsia="es-ES_tradnl"/>
        </w:rPr>
        <w:t>.</w:t>
      </w:r>
    </w:p>
    <w:p w14:paraId="0BA17BF4" w14:textId="77777777" w:rsidR="006F3909" w:rsidRPr="00A42C60" w:rsidRDefault="006F3909" w:rsidP="006F3909">
      <w:pPr>
        <w:spacing w:before="120" w:after="0" w:line="276" w:lineRule="auto"/>
        <w:ind w:firstLine="709"/>
        <w:jc w:val="both"/>
        <w:rPr>
          <w:rFonts w:ascii="Arial" w:hAnsi="Arial" w:cs="Arial"/>
          <w:bCs/>
          <w:szCs w:val="24"/>
          <w:lang w:val="es-ES_tradnl" w:eastAsia="es-ES_tradnl"/>
        </w:rPr>
      </w:pPr>
      <w:r w:rsidRPr="00A42C60">
        <w:rPr>
          <w:rFonts w:ascii="Arial" w:hAnsi="Arial" w:cs="Arial"/>
          <w:bCs/>
          <w:szCs w:val="24"/>
          <w:lang w:val="es-ES_tradnl" w:eastAsia="es-ES_tradnl"/>
        </w:rPr>
        <w:t>No hay, 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ii) el precio global –que equivale al monto total, sin discriminar unidades–, y iii) la administración delegada de recursos –en la que se distinguen los costos de inversión de los honorarios del administrador–.</w:t>
      </w:r>
    </w:p>
    <w:p w14:paraId="4D1CF9F4" w14:textId="77777777" w:rsidR="006F3909" w:rsidRPr="00A42C60" w:rsidRDefault="006F3909" w:rsidP="006F3909">
      <w:pPr>
        <w:spacing w:before="120" w:after="0" w:line="276" w:lineRule="auto"/>
        <w:ind w:firstLine="709"/>
        <w:jc w:val="both"/>
        <w:rPr>
          <w:rFonts w:ascii="Arial" w:hAnsi="Arial" w:cs="Arial"/>
          <w:bCs/>
          <w:szCs w:val="24"/>
          <w:lang w:val="es-ES_tradnl" w:eastAsia="es-ES_tradnl"/>
        </w:rPr>
      </w:pPr>
      <w:r w:rsidRPr="00A42C60">
        <w:rPr>
          <w:rFonts w:ascii="Arial" w:hAnsi="Arial" w:cs="Arial"/>
          <w:bCs/>
          <w:szCs w:val="24"/>
          <w:lang w:val="es-ES_tradnl" w:eastAsia="es-ES_tradnl"/>
        </w:rPr>
        <w:t xml:space="preserve">Por ejemplo, en los contratos cuyo precio se estructura a partir del sistema de precios unitarios, ha hecho parte de la práctica de los negocios que el contratante le solicite al potencial contratista que separe en su propuesta los costos directos –es decir, los que están directamente implicados en la ejecución del objeto–, de los costos indirectos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En tal sentido, mientras que los costos directos se evidencian en el análisis de precios unitarios –APU–, como la sumatoria de los valores de los </w:t>
      </w:r>
      <w:r w:rsidRPr="00A42C60">
        <w:rPr>
          <w:rFonts w:ascii="Arial" w:hAnsi="Arial" w:cs="Arial"/>
          <w:bCs/>
          <w:i/>
          <w:iCs/>
          <w:szCs w:val="24"/>
          <w:lang w:val="es-ES_tradnl" w:eastAsia="es-ES_tradnl"/>
        </w:rPr>
        <w:t>ítems</w:t>
      </w:r>
      <w:r w:rsidRPr="00A42C60">
        <w:rPr>
          <w:rFonts w:ascii="Arial" w:hAnsi="Arial" w:cs="Arial"/>
          <w:bCs/>
          <w:szCs w:val="24"/>
          <w:lang w:val="es-ES_tradnl" w:eastAsia="es-ES_tradnl"/>
        </w:rPr>
        <w:t xml:space="preserve"> según su unidad de medida, los costos indirectos se suelen abreviar en las variables que integran el acrónimo AIU –Administración, Imprevistos y Utilidad–, que se calcula como un porcentaje aplicado a los costos indirectos</w:t>
      </w:r>
      <w:r w:rsidRPr="00A42C60">
        <w:rPr>
          <w:rFonts w:ascii="Arial" w:hAnsi="Arial" w:cs="Arial"/>
          <w:szCs w:val="24"/>
          <w:vertAlign w:val="superscript"/>
          <w:lang w:val="es-ES_tradnl" w:eastAsia="es-ES_tradnl"/>
        </w:rPr>
        <w:footnoteReference w:id="4"/>
      </w:r>
      <w:r w:rsidRPr="00A42C60">
        <w:rPr>
          <w:rFonts w:ascii="Arial" w:hAnsi="Arial" w:cs="Arial"/>
          <w:szCs w:val="24"/>
          <w:lang w:val="es-ES_tradnl" w:eastAsia="es-ES_tradnl"/>
        </w:rPr>
        <w:t>.</w:t>
      </w:r>
    </w:p>
    <w:p w14:paraId="6BADE3C4" w14:textId="77777777" w:rsidR="006F3909" w:rsidRPr="00A42C60" w:rsidRDefault="006F3909" w:rsidP="006F3909">
      <w:pPr>
        <w:spacing w:before="120" w:after="0" w:line="276" w:lineRule="auto"/>
        <w:ind w:firstLine="709"/>
        <w:jc w:val="both"/>
        <w:rPr>
          <w:rFonts w:ascii="Arial" w:hAnsi="Arial" w:cs="Arial"/>
          <w:bCs/>
          <w:szCs w:val="24"/>
          <w:lang w:val="es-ES_tradnl" w:eastAsia="es-ES_tradnl"/>
        </w:rPr>
      </w:pPr>
      <w:r w:rsidRPr="00A42C60">
        <w:rPr>
          <w:rFonts w:ascii="Arial" w:hAnsi="Arial" w:cs="Arial"/>
          <w:bCs/>
          <w:szCs w:val="24"/>
          <w:lang w:val="es-ES_tradnl" w:eastAsia="es-ES_tradnl"/>
        </w:rPr>
        <w:lastRenderedPageBreak/>
        <w:t>En este orden de ideas, tanto las entidades sometidas al Estatuto General de Contratación de la Administración Pública – EGCAP –, como las excluidas de este –es decir, las que tienen un régimen especial– gozan de autonomía para configurar el precio y para establecer el sistema de pago más apropiado para satisfacer los fines de la contratación, respetando los límites previstos en el ordenamiento. Para las entidades que se rigen por el EGCAP, tal autonomía está reconocida en los artículos 13, 32 y 40 de la Ley 80 de 1993.</w:t>
      </w:r>
    </w:p>
    <w:p w14:paraId="6C5197AB" w14:textId="77777777" w:rsidR="00F0141B" w:rsidRDefault="006F3909" w:rsidP="00903E8D">
      <w:pPr>
        <w:spacing w:before="120" w:after="0" w:line="276" w:lineRule="auto"/>
        <w:ind w:firstLine="709"/>
        <w:jc w:val="both"/>
        <w:rPr>
          <w:rFonts w:ascii="Arial" w:hAnsi="Arial" w:cs="Arial"/>
          <w:lang w:val="es-ES_tradnl" w:eastAsia="es-ES_tradnl"/>
        </w:rPr>
      </w:pPr>
      <w:r w:rsidRPr="00A42C60">
        <w:rPr>
          <w:rFonts w:ascii="Arial" w:hAnsi="Arial" w:cs="Arial"/>
          <w:lang w:val="es-ES_tradnl" w:eastAsia="es-ES_tradnl"/>
        </w:rPr>
        <w:t>Ahora bien, la ejecución de los contratos estatales está sujeta a los cambios propios del paso del tiempo. Así, durante la etapa de planeación, las entidades públicas estiman y determinan las prestaciones que demanda la satisfacción de la necesidad de interés colectivo que pretende satisfacer. No obstante, durante la ejecución del contrato, las partes identifican alguna de las siguientes situaciones: i) la necesidad de mayores cantidades de bienes o actividades inicialmente previstos, a lo que se le conoce como «mayores cantidades de obra», «obras adicionales» o adición de «ítems contractuales»; y ii)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w:t>
      </w:r>
      <w:r w:rsidR="00F142B5" w:rsidRPr="00914EEF">
        <w:rPr>
          <w:rFonts w:ascii="Arial" w:hAnsi="Arial" w:cs="Arial"/>
          <w:lang w:val="es-ES_tradnl" w:eastAsia="es-ES_tradnl"/>
        </w:rPr>
        <w:t xml:space="preserve">. </w:t>
      </w:r>
    </w:p>
    <w:p w14:paraId="37B4172D" w14:textId="48A318E3" w:rsidR="00994DC6" w:rsidRPr="00914EEF" w:rsidRDefault="00F142B5" w:rsidP="00903E8D">
      <w:pPr>
        <w:spacing w:before="120" w:after="0" w:line="276" w:lineRule="auto"/>
        <w:ind w:firstLine="709"/>
        <w:jc w:val="both"/>
        <w:rPr>
          <w:rFonts w:ascii="Arial" w:hAnsi="Arial" w:cs="Arial"/>
          <w:lang w:val="es-ES_tradnl" w:eastAsia="es-ES_tradnl"/>
        </w:rPr>
      </w:pPr>
      <w:r w:rsidRPr="00914EEF">
        <w:rPr>
          <w:rFonts w:ascii="Arial" w:hAnsi="Arial" w:cs="Arial"/>
          <w:lang w:val="es-ES_tradnl" w:eastAsia="es-ES_tradnl"/>
        </w:rPr>
        <w:t xml:space="preserve">Este último término </w:t>
      </w:r>
      <w:r w:rsidR="007F068B">
        <w:rPr>
          <w:rFonts w:ascii="Arial" w:hAnsi="Arial" w:cs="Arial"/>
          <w:lang w:val="es-ES_tradnl" w:eastAsia="es-ES_tradnl"/>
        </w:rPr>
        <w:t>tiene origen</w:t>
      </w:r>
      <w:r w:rsidRPr="00914EEF">
        <w:rPr>
          <w:rFonts w:ascii="Arial" w:hAnsi="Arial" w:cs="Arial"/>
          <w:lang w:val="es-ES_tradnl" w:eastAsia="es-ES_tradnl"/>
        </w:rPr>
        <w:t xml:space="preserve"> </w:t>
      </w:r>
      <w:r w:rsidR="00076240" w:rsidRPr="00914EEF">
        <w:rPr>
          <w:rFonts w:ascii="Arial" w:hAnsi="Arial" w:cs="Arial"/>
          <w:lang w:val="es-ES_tradnl" w:eastAsia="es-ES_tradnl"/>
        </w:rPr>
        <w:t>en el artículo 58 del Decreto ley 222 de 1983</w:t>
      </w:r>
      <w:r w:rsidR="001E67AB">
        <w:rPr>
          <w:rStyle w:val="Refdenotaalpie"/>
          <w:rFonts w:ascii="Arial" w:hAnsi="Arial" w:cs="Arial"/>
          <w:lang w:val="es-ES_tradnl" w:eastAsia="es-ES_tradnl"/>
        </w:rPr>
        <w:footnoteReference w:id="5"/>
      </w:r>
      <w:r w:rsidR="00076240" w:rsidRPr="00914EEF">
        <w:rPr>
          <w:rFonts w:ascii="Arial" w:hAnsi="Arial" w:cs="Arial"/>
          <w:lang w:val="es-ES_tradnl" w:eastAsia="es-ES_tradnl"/>
        </w:rPr>
        <w:t>,</w:t>
      </w:r>
      <w:r w:rsidR="002655A1" w:rsidRPr="00914EEF">
        <w:rPr>
          <w:rFonts w:ascii="Arial" w:hAnsi="Arial" w:cs="Arial"/>
          <w:lang w:val="es-ES_tradnl" w:eastAsia="es-ES_tradnl"/>
        </w:rPr>
        <w:t xml:space="preserve"> el cual </w:t>
      </w:r>
      <w:r w:rsidR="001858F3" w:rsidRPr="00914EEF">
        <w:rPr>
          <w:rFonts w:ascii="Arial" w:hAnsi="Arial" w:cs="Arial"/>
          <w:lang w:val="es-ES_tradnl" w:eastAsia="es-ES_tradnl"/>
        </w:rPr>
        <w:t>establecía</w:t>
      </w:r>
      <w:r w:rsidR="002655A1" w:rsidRPr="00914EEF">
        <w:rPr>
          <w:rFonts w:ascii="Arial" w:hAnsi="Arial" w:cs="Arial"/>
          <w:lang w:val="es-ES_tradnl" w:eastAsia="es-ES_tradnl"/>
        </w:rPr>
        <w:t xml:space="preserve"> </w:t>
      </w:r>
      <w:r w:rsidR="0004376B">
        <w:rPr>
          <w:rFonts w:ascii="Arial" w:hAnsi="Arial" w:cs="Arial"/>
          <w:lang w:val="es-ES_tradnl" w:eastAsia="es-ES_tradnl"/>
        </w:rPr>
        <w:t>el «contrato adicional»</w:t>
      </w:r>
      <w:r w:rsidR="00903E8D">
        <w:rPr>
          <w:rFonts w:ascii="Arial" w:hAnsi="Arial" w:cs="Arial"/>
          <w:lang w:val="es-ES_tradnl" w:eastAsia="es-ES_tradnl"/>
        </w:rPr>
        <w:t xml:space="preserve"> como el</w:t>
      </w:r>
      <w:r w:rsidR="00914EEF" w:rsidRPr="00914EEF">
        <w:rPr>
          <w:rFonts w:ascii="Arial" w:hAnsi="Arial" w:cs="Arial"/>
          <w:lang w:val="es-ES_tradnl" w:eastAsia="es-ES_tradnl"/>
        </w:rPr>
        <w:t xml:space="preserve"> mecanismo a utilizar cuando existiere la </w:t>
      </w:r>
      <w:r w:rsidR="00903E8D">
        <w:rPr>
          <w:rFonts w:ascii="Arial" w:hAnsi="Arial" w:cs="Arial"/>
          <w:lang w:val="es-ES_tradnl" w:eastAsia="es-ES_tradnl"/>
        </w:rPr>
        <w:t>«</w:t>
      </w:r>
      <w:r w:rsidR="00914EEF" w:rsidRPr="00914EEF">
        <w:rPr>
          <w:rFonts w:ascii="Arial" w:hAnsi="Arial" w:cs="Arial"/>
          <w:lang w:val="es-ES_tradnl" w:eastAsia="es-ES_tradnl"/>
        </w:rPr>
        <w:t>necesidad de modificar el plazo o el valor convenido y no se tratare de la revisión de precios</w:t>
      </w:r>
      <w:r w:rsidR="00903E8D">
        <w:rPr>
          <w:rFonts w:ascii="Arial" w:hAnsi="Arial" w:cs="Arial"/>
          <w:lang w:val="es-ES_tradnl" w:eastAsia="es-ES_tradnl"/>
        </w:rPr>
        <w:t>»</w:t>
      </w:r>
      <w:r w:rsidR="00914EEF" w:rsidRPr="00914EEF">
        <w:rPr>
          <w:rFonts w:ascii="Arial" w:hAnsi="Arial" w:cs="Arial"/>
          <w:lang w:val="es-ES_tradnl" w:eastAsia="es-ES_tradnl"/>
        </w:rPr>
        <w:t xml:space="preserve"> regulada </w:t>
      </w:r>
      <w:r w:rsidR="00903E8D">
        <w:rPr>
          <w:rFonts w:ascii="Arial" w:hAnsi="Arial" w:cs="Arial"/>
          <w:lang w:val="es-ES_tradnl" w:eastAsia="es-ES_tradnl"/>
        </w:rPr>
        <w:t>por</w:t>
      </w:r>
      <w:r w:rsidR="00914EEF" w:rsidRPr="00914EEF">
        <w:rPr>
          <w:rFonts w:ascii="Arial" w:hAnsi="Arial" w:cs="Arial"/>
          <w:lang w:val="es-ES_tradnl" w:eastAsia="es-ES_tradnl"/>
        </w:rPr>
        <w:t xml:space="preserve"> dicho estatuto.</w:t>
      </w:r>
      <w:r w:rsidR="00C07B7C">
        <w:rPr>
          <w:rFonts w:ascii="Arial" w:hAnsi="Arial" w:cs="Arial"/>
          <w:lang w:val="es-ES_tradnl" w:eastAsia="es-ES_tradnl"/>
        </w:rPr>
        <w:t xml:space="preserve"> </w:t>
      </w:r>
      <w:r w:rsidR="0095252F">
        <w:rPr>
          <w:rFonts w:ascii="Arial" w:hAnsi="Arial" w:cs="Arial"/>
          <w:lang w:val="es-ES_tradnl" w:eastAsia="es-ES_tradnl"/>
        </w:rPr>
        <w:t>Sin embargo</w:t>
      </w:r>
      <w:r w:rsidR="00CE01A5">
        <w:rPr>
          <w:rFonts w:ascii="Arial" w:hAnsi="Arial" w:cs="Arial"/>
          <w:lang w:val="es-ES_tradnl" w:eastAsia="es-ES_tradnl"/>
        </w:rPr>
        <w:t xml:space="preserve">, dicha figura </w:t>
      </w:r>
      <w:r w:rsidR="00C52273">
        <w:rPr>
          <w:rFonts w:ascii="Arial" w:hAnsi="Arial" w:cs="Arial"/>
          <w:lang w:val="es-ES_tradnl" w:eastAsia="es-ES_tradnl"/>
        </w:rPr>
        <w:t xml:space="preserve">fue abandonada por la Ley 80 de 1993, estatuto que, fuera de lo dispuesto en relación con la potestad de modificación unilateral, </w:t>
      </w:r>
      <w:r w:rsidR="00B20F47">
        <w:rPr>
          <w:rFonts w:ascii="Arial" w:hAnsi="Arial" w:cs="Arial"/>
          <w:lang w:val="es-ES_tradnl" w:eastAsia="es-ES_tradnl"/>
        </w:rPr>
        <w:t>solo aludió a</w:t>
      </w:r>
      <w:r w:rsidR="00A8651E">
        <w:rPr>
          <w:rFonts w:ascii="Arial" w:hAnsi="Arial" w:cs="Arial"/>
          <w:lang w:val="es-ES_tradnl" w:eastAsia="es-ES_tradnl"/>
        </w:rPr>
        <w:t xml:space="preserve"> la posibilidad de adicionar </w:t>
      </w:r>
      <w:r w:rsidR="00FB48A1">
        <w:rPr>
          <w:rFonts w:ascii="Arial" w:hAnsi="Arial" w:cs="Arial"/>
          <w:lang w:val="es-ES_tradnl" w:eastAsia="es-ES_tradnl"/>
        </w:rPr>
        <w:t xml:space="preserve">valor de </w:t>
      </w:r>
      <w:r w:rsidR="00A8651E">
        <w:rPr>
          <w:rFonts w:ascii="Arial" w:hAnsi="Arial" w:cs="Arial"/>
          <w:lang w:val="es-ES_tradnl" w:eastAsia="es-ES_tradnl"/>
        </w:rPr>
        <w:t>los contrat</w:t>
      </w:r>
      <w:r w:rsidR="00AB64FE">
        <w:rPr>
          <w:rFonts w:ascii="Arial" w:hAnsi="Arial" w:cs="Arial"/>
          <w:lang w:val="es-ES_tradnl" w:eastAsia="es-ES_tradnl"/>
        </w:rPr>
        <w:t xml:space="preserve">os estatales </w:t>
      </w:r>
      <w:r w:rsidR="00FB48A1">
        <w:rPr>
          <w:rFonts w:ascii="Arial" w:hAnsi="Arial" w:cs="Arial"/>
          <w:lang w:val="es-ES_tradnl" w:eastAsia="es-ES_tradnl"/>
        </w:rPr>
        <w:t xml:space="preserve">dentro </w:t>
      </w:r>
      <w:r w:rsidR="00FB48A1">
        <w:rPr>
          <w:rFonts w:ascii="Arial" w:hAnsi="Arial" w:cs="Arial"/>
          <w:lang w:val="es-ES_tradnl" w:eastAsia="es-ES_tradnl"/>
        </w:rPr>
        <w:lastRenderedPageBreak/>
        <w:t xml:space="preserve">de un límite dado por </w:t>
      </w:r>
      <w:r w:rsidR="00AB64FE" w:rsidRPr="00AB64FE">
        <w:rPr>
          <w:rFonts w:ascii="Arial" w:hAnsi="Arial" w:cs="Arial"/>
          <w:lang w:val="es-ES_tradnl" w:eastAsia="es-ES_tradnl"/>
        </w:rPr>
        <w:t>el cincuenta por ciento (50%) de su valor inicial expresado</w:t>
      </w:r>
      <w:r w:rsidR="00854713">
        <w:rPr>
          <w:rFonts w:ascii="Arial" w:hAnsi="Arial" w:cs="Arial"/>
          <w:lang w:val="es-ES_tradnl" w:eastAsia="es-ES_tradnl"/>
        </w:rPr>
        <w:t xml:space="preserve">, </w:t>
      </w:r>
      <w:r w:rsidR="00FB48A1">
        <w:rPr>
          <w:rFonts w:ascii="Arial" w:hAnsi="Arial" w:cs="Arial"/>
          <w:lang w:val="es-ES_tradnl" w:eastAsia="es-ES_tradnl"/>
        </w:rPr>
        <w:t xml:space="preserve">pero sin establecer una limitación expresa sobre otros elementos sobre </w:t>
      </w:r>
      <w:r w:rsidR="0093408B">
        <w:rPr>
          <w:rFonts w:ascii="Arial" w:hAnsi="Arial" w:cs="Arial"/>
          <w:lang w:val="es-ES_tradnl" w:eastAsia="es-ES_tradnl"/>
        </w:rPr>
        <w:t>los que</w:t>
      </w:r>
      <w:r w:rsidR="00FB48A1">
        <w:rPr>
          <w:rFonts w:ascii="Arial" w:hAnsi="Arial" w:cs="Arial"/>
          <w:lang w:val="es-ES_tradnl" w:eastAsia="es-ES_tradnl"/>
        </w:rPr>
        <w:t xml:space="preserve"> </w:t>
      </w:r>
      <w:r w:rsidR="0093408B">
        <w:rPr>
          <w:rFonts w:ascii="Arial" w:hAnsi="Arial" w:cs="Arial"/>
          <w:lang w:val="es-ES_tradnl" w:eastAsia="es-ES_tradnl"/>
        </w:rPr>
        <w:t>recae la adición</w:t>
      </w:r>
      <w:r w:rsidR="00ED5C48">
        <w:rPr>
          <w:rStyle w:val="Refdenotaalpie"/>
          <w:rFonts w:ascii="Arial" w:hAnsi="Arial" w:cs="Arial"/>
          <w:lang w:val="es-ES_tradnl" w:eastAsia="es-ES_tradnl"/>
        </w:rPr>
        <w:footnoteReference w:id="6"/>
      </w:r>
      <w:r w:rsidR="00ED5C48">
        <w:rPr>
          <w:rFonts w:ascii="Arial" w:hAnsi="Arial" w:cs="Arial"/>
          <w:lang w:val="es-ES_tradnl" w:eastAsia="es-ES_tradnl"/>
        </w:rPr>
        <w:t>.</w:t>
      </w:r>
    </w:p>
    <w:p w14:paraId="0C5A49E0" w14:textId="07039D2A" w:rsidR="006F3909" w:rsidRPr="00A42C60" w:rsidRDefault="0095252F" w:rsidP="00A775EF">
      <w:pPr>
        <w:spacing w:before="120" w:after="0" w:line="276" w:lineRule="auto"/>
        <w:ind w:firstLine="709"/>
        <w:jc w:val="both"/>
        <w:rPr>
          <w:rFonts w:ascii="Arial" w:hAnsi="Arial" w:cs="Arial"/>
          <w:szCs w:val="24"/>
          <w:lang w:val="es-MX" w:eastAsia="es-ES_tradnl"/>
        </w:rPr>
      </w:pPr>
      <w:r>
        <w:rPr>
          <w:rFonts w:ascii="Arial" w:hAnsi="Arial" w:cs="Arial"/>
          <w:szCs w:val="24"/>
          <w:lang w:val="es-MX" w:eastAsia="es-ES_tradnl"/>
        </w:rPr>
        <w:t xml:space="preserve">No obstante, </w:t>
      </w:r>
      <w:r w:rsidR="007C54E5">
        <w:rPr>
          <w:rFonts w:ascii="Arial" w:hAnsi="Arial" w:cs="Arial"/>
          <w:szCs w:val="24"/>
          <w:lang w:val="es-MX" w:eastAsia="es-ES_tradnl"/>
        </w:rPr>
        <w:t>la expresión «contrato adicional»</w:t>
      </w:r>
      <w:r w:rsidR="00A775EF" w:rsidRPr="00A42C60">
        <w:rPr>
          <w:rFonts w:ascii="Arial" w:hAnsi="Arial" w:cs="Arial"/>
          <w:szCs w:val="24"/>
          <w:lang w:val="es-MX" w:eastAsia="es-ES_tradnl"/>
        </w:rPr>
        <w:t xml:space="preserve"> al igual que l</w:t>
      </w:r>
      <w:r w:rsidR="00064D5B">
        <w:rPr>
          <w:rFonts w:ascii="Arial" w:hAnsi="Arial" w:cs="Arial"/>
          <w:szCs w:val="24"/>
          <w:lang w:val="es-MX" w:eastAsia="es-ES_tradnl"/>
        </w:rPr>
        <w:t>as</w:t>
      </w:r>
      <w:r w:rsidR="003A3E9C">
        <w:rPr>
          <w:rFonts w:ascii="Arial" w:hAnsi="Arial" w:cs="Arial"/>
          <w:szCs w:val="24"/>
          <w:lang w:val="es-MX" w:eastAsia="es-ES_tradnl"/>
        </w:rPr>
        <w:t xml:space="preserve"> otras</w:t>
      </w:r>
      <w:r w:rsidR="00064D5B">
        <w:rPr>
          <w:rFonts w:ascii="Arial" w:hAnsi="Arial" w:cs="Arial"/>
          <w:szCs w:val="24"/>
          <w:lang w:val="es-MX" w:eastAsia="es-ES_tradnl"/>
        </w:rPr>
        <w:t xml:space="preserve"> </w:t>
      </w:r>
      <w:r w:rsidR="006965F9">
        <w:rPr>
          <w:rFonts w:ascii="Arial" w:hAnsi="Arial" w:cs="Arial"/>
          <w:szCs w:val="24"/>
          <w:lang w:val="es-MX" w:eastAsia="es-ES_tradnl"/>
        </w:rPr>
        <w:t xml:space="preserve">nociones doctrinarias y jurisprudenciales </w:t>
      </w:r>
      <w:r w:rsidR="00064D5B">
        <w:rPr>
          <w:rFonts w:ascii="Arial" w:hAnsi="Arial" w:cs="Arial"/>
          <w:szCs w:val="24"/>
          <w:lang w:val="es-MX" w:eastAsia="es-ES_tradnl"/>
        </w:rPr>
        <w:t>arriba</w:t>
      </w:r>
      <w:r w:rsidR="003A3E9C">
        <w:rPr>
          <w:rFonts w:ascii="Arial" w:hAnsi="Arial" w:cs="Arial"/>
          <w:szCs w:val="24"/>
          <w:lang w:val="es-MX" w:eastAsia="es-ES_tradnl"/>
        </w:rPr>
        <w:t xml:space="preserve"> señaladas</w:t>
      </w:r>
      <w:r w:rsidR="00064D5B">
        <w:rPr>
          <w:rFonts w:ascii="Arial" w:hAnsi="Arial" w:cs="Arial"/>
          <w:szCs w:val="24"/>
          <w:lang w:val="es-MX" w:eastAsia="es-ES_tradnl"/>
        </w:rPr>
        <w:t xml:space="preserve"> </w:t>
      </w:r>
      <w:r w:rsidR="00A775EF" w:rsidRPr="00A42C60">
        <w:rPr>
          <w:rFonts w:ascii="Arial" w:hAnsi="Arial" w:cs="Arial"/>
          <w:szCs w:val="24"/>
          <w:lang w:val="es-MX" w:eastAsia="es-ES_tradnl"/>
        </w:rPr>
        <w:t xml:space="preserve">entre comillas </w:t>
      </w:r>
      <w:r w:rsidR="00325141">
        <w:rPr>
          <w:rFonts w:ascii="Arial" w:hAnsi="Arial" w:cs="Arial"/>
          <w:szCs w:val="24"/>
          <w:lang w:val="es-MX" w:eastAsia="es-ES_tradnl"/>
        </w:rPr>
        <w:t xml:space="preserve">son de uso común en </w:t>
      </w:r>
      <w:r w:rsidR="00A775EF" w:rsidRPr="00A42C60">
        <w:rPr>
          <w:rFonts w:ascii="Arial" w:hAnsi="Arial" w:cs="Arial"/>
          <w:szCs w:val="24"/>
          <w:lang w:val="es-MX" w:eastAsia="es-ES_tradnl"/>
        </w:rPr>
        <w:t>la práctica contractual por las entidades estatales. Lo importante en relación con l</w:t>
      </w:r>
      <w:r w:rsidR="00CA0A96">
        <w:rPr>
          <w:rFonts w:ascii="Arial" w:hAnsi="Arial" w:cs="Arial"/>
          <w:szCs w:val="24"/>
          <w:lang w:val="es-MX" w:eastAsia="es-ES_tradnl"/>
        </w:rPr>
        <w:t>a</w:t>
      </w:r>
      <w:r w:rsidR="00A775EF" w:rsidRPr="00A42C60">
        <w:rPr>
          <w:rFonts w:ascii="Arial" w:hAnsi="Arial" w:cs="Arial"/>
          <w:szCs w:val="24"/>
          <w:lang w:val="es-MX" w:eastAsia="es-ES_tradnl"/>
        </w:rPr>
        <w:t>s mism</w:t>
      </w:r>
      <w:r w:rsidR="00CA0A96">
        <w:rPr>
          <w:rFonts w:ascii="Arial" w:hAnsi="Arial" w:cs="Arial"/>
          <w:szCs w:val="24"/>
          <w:lang w:val="es-MX" w:eastAsia="es-ES_tradnl"/>
        </w:rPr>
        <w:t>a</w:t>
      </w:r>
      <w:r w:rsidR="00A775EF" w:rsidRPr="00A42C60">
        <w:rPr>
          <w:rFonts w:ascii="Arial" w:hAnsi="Arial" w:cs="Arial"/>
          <w:szCs w:val="24"/>
          <w:lang w:val="es-MX" w:eastAsia="es-ES_tradnl"/>
        </w:rPr>
        <w:t>s, tal como se ha resaltado por esta Agencia en oportunidades anteriores, es que frente a cualquier incremento del valor inicial del contrato, que implica una adición, por cualquiera de los dos supuestos señalados previamente, e independientemente del nombre que se le dé al acuerdo, aplica el límite previsto en el parágrafo del artículo 40 de la Ley 80 de 1993.</w:t>
      </w:r>
      <w:r w:rsidR="006F3909" w:rsidRPr="00A42C60">
        <w:rPr>
          <w:rFonts w:ascii="Arial" w:hAnsi="Arial" w:cs="Arial"/>
          <w:szCs w:val="24"/>
          <w:lang w:val="es-ES_tradnl" w:eastAsia="es-ES_tradnl"/>
        </w:rPr>
        <w:t>: «Los contratos no podrán adicionarse en más del cincuenta por ciento (50%) de su valor inicial, expresado éste en salarios mínimos legales mensuales». De manera que, aunque es posible celebrar todos los tipos de acuerdos indicados, siempre se debe observar esta última disposición</w:t>
      </w:r>
      <w:r w:rsidR="006F3909" w:rsidRPr="00A42C60">
        <w:rPr>
          <w:rFonts w:ascii="Arial" w:hAnsi="Arial" w:cs="Arial"/>
          <w:szCs w:val="24"/>
          <w:vertAlign w:val="superscript"/>
          <w:lang w:val="es-ES_tradnl" w:eastAsia="es-ES_tradnl"/>
        </w:rPr>
        <w:footnoteReference w:id="7"/>
      </w:r>
      <w:r w:rsidR="006F3909" w:rsidRPr="00A42C60">
        <w:rPr>
          <w:rFonts w:ascii="Arial" w:hAnsi="Arial" w:cs="Arial"/>
          <w:szCs w:val="24"/>
          <w:lang w:val="es-ES_tradnl" w:eastAsia="es-ES_tradnl"/>
        </w:rPr>
        <w:t>.</w:t>
      </w:r>
    </w:p>
    <w:p w14:paraId="50E38405" w14:textId="754ECA9E" w:rsidR="0083037E" w:rsidRPr="00A42C60" w:rsidRDefault="006F3909" w:rsidP="0083037E">
      <w:pPr>
        <w:spacing w:before="120" w:after="0" w:line="276" w:lineRule="auto"/>
        <w:ind w:firstLine="709"/>
        <w:jc w:val="both"/>
        <w:rPr>
          <w:rFonts w:ascii="Arial" w:hAnsi="Arial" w:cs="Arial"/>
          <w:szCs w:val="24"/>
          <w:lang w:eastAsia="es-ES_tradnl"/>
        </w:rPr>
      </w:pPr>
      <w:r w:rsidRPr="00A42C60">
        <w:rPr>
          <w:rFonts w:ascii="Arial" w:hAnsi="Arial" w:cs="Arial"/>
          <w:szCs w:val="24"/>
          <w:lang w:val="es-ES_tradnl" w:eastAsia="es-ES_tradnl"/>
        </w:rPr>
        <w:t>Dicha norma además de consagrar una prohibición trae implícita una autorización, consistente en la posibilidad de adicionar los contratos estatales, siempre que no se supere el tope establecido.</w:t>
      </w:r>
      <w:r w:rsidR="0083037E" w:rsidRPr="00A42C60">
        <w:rPr>
          <w:rFonts w:ascii="Arial" w:hAnsi="Arial" w:cs="Arial"/>
          <w:szCs w:val="24"/>
          <w:lang w:eastAsia="es-ES_tradnl"/>
        </w:rPr>
        <w:t xml:space="preserve"> La regla establecida en el parágrafo del artículo 40 de la Ley 80 de 1993 aplica a todos los contratos estatales regidos por el EGCAP, independientemente de la modalidad de selección</w:t>
      </w:r>
      <w:r w:rsidR="00F31F88" w:rsidRPr="00A42C60">
        <w:rPr>
          <w:rFonts w:ascii="Arial" w:hAnsi="Arial" w:cs="Arial"/>
          <w:szCs w:val="24"/>
          <w:lang w:eastAsia="es-ES_tradnl"/>
        </w:rPr>
        <w:t>, de</w:t>
      </w:r>
      <w:r w:rsidR="0083037E" w:rsidRPr="00A42C60">
        <w:rPr>
          <w:rFonts w:ascii="Arial" w:hAnsi="Arial" w:cs="Arial"/>
          <w:szCs w:val="24"/>
          <w:lang w:eastAsia="es-ES_tradnl"/>
        </w:rPr>
        <w:t xml:space="preserve"> la tipología contractual del negocio jurídico que se considere necesario adicionar</w:t>
      </w:r>
      <w:r w:rsidR="00F31F88" w:rsidRPr="00A42C60">
        <w:rPr>
          <w:rFonts w:ascii="Arial" w:hAnsi="Arial" w:cs="Arial"/>
          <w:szCs w:val="24"/>
          <w:lang w:eastAsia="es-ES_tradnl"/>
        </w:rPr>
        <w:t xml:space="preserve"> o del sistema de precios pactados. </w:t>
      </w:r>
    </w:p>
    <w:p w14:paraId="7ED0C5E0" w14:textId="57C237CC" w:rsidR="006F3909" w:rsidRPr="00A42C60" w:rsidRDefault="006F3909" w:rsidP="006F3909">
      <w:pPr>
        <w:spacing w:before="120" w:after="0" w:line="276" w:lineRule="auto"/>
        <w:ind w:firstLine="709"/>
        <w:jc w:val="both"/>
        <w:rPr>
          <w:rFonts w:ascii="Arial" w:hAnsi="Arial" w:cs="Arial"/>
          <w:szCs w:val="24"/>
          <w:lang w:val="es-ES_tradnl" w:eastAsia="es-ES_tradnl"/>
        </w:rPr>
      </w:pPr>
      <w:r w:rsidRPr="00A42C60">
        <w:rPr>
          <w:rFonts w:ascii="Arial" w:hAnsi="Arial" w:cs="Arial"/>
          <w:szCs w:val="24"/>
          <w:lang w:val="es-ES_tradnl" w:eastAsia="es-ES_tradnl"/>
        </w:rPr>
        <w:t xml:space="preserve"> Ahora bien, para determinar cómo debe hacerse el cálculo de la adición, basta con remitirse a lo dispuesto en el parágrafo del artículo 40 de la Ley 80 de 1993 «Los contratos no podrán adicionarse en más del cincuenta por ciento (50%) de su valor inicial, expresado éste en salarios mínimos legales mensuales». </w:t>
      </w:r>
    </w:p>
    <w:p w14:paraId="2A4428B9" w14:textId="7A0D2C85" w:rsidR="006F3909" w:rsidRPr="00A42C60" w:rsidRDefault="006F3909" w:rsidP="006F3909">
      <w:pPr>
        <w:spacing w:before="120" w:after="0" w:line="276" w:lineRule="auto"/>
        <w:ind w:firstLine="709"/>
        <w:jc w:val="both"/>
        <w:rPr>
          <w:rFonts w:ascii="Arial" w:hAnsi="Arial" w:cs="Arial"/>
          <w:szCs w:val="24"/>
          <w:lang w:eastAsia="es-ES_tradnl"/>
        </w:rPr>
      </w:pPr>
      <w:r w:rsidRPr="00A42C60">
        <w:rPr>
          <w:rFonts w:ascii="Arial" w:hAnsi="Arial" w:cs="Arial"/>
          <w:szCs w:val="24"/>
          <w:lang w:eastAsia="es-ES_tradnl"/>
        </w:rPr>
        <w:t xml:space="preserve">En consecuencia, al momento de adicionar debe tenerse en cuenta que el cálculo del límite debe realizarse en salarios mínimos para efectos de que el cálculo del tope sea preciso. De manera que para adicionar un contrato debe dividirse el valor inicial por el salario mínimo legal mensual vigente –SMLMV– al momento de la suscripción del contrato, </w:t>
      </w:r>
      <w:r w:rsidRPr="00A42C60">
        <w:rPr>
          <w:rFonts w:ascii="Arial" w:hAnsi="Arial" w:cs="Arial"/>
          <w:szCs w:val="24"/>
          <w:lang w:eastAsia="es-ES_tradnl"/>
        </w:rPr>
        <w:lastRenderedPageBreak/>
        <w:t xml:space="preserve">y luego dividirlo por </w:t>
      </w:r>
      <w:r w:rsidR="00341ECD">
        <w:rPr>
          <w:rFonts w:ascii="Arial" w:hAnsi="Arial" w:cs="Arial"/>
          <w:szCs w:val="24"/>
          <w:lang w:eastAsia="es-ES_tradnl"/>
        </w:rPr>
        <w:t>dos</w:t>
      </w:r>
      <w:r w:rsidRPr="00A42C60">
        <w:rPr>
          <w:rFonts w:ascii="Arial" w:hAnsi="Arial" w:cs="Arial"/>
          <w:szCs w:val="24"/>
          <w:lang w:eastAsia="es-ES_tradnl"/>
        </w:rPr>
        <w:t xml:space="preserve">. El resultado obtenido constituirá el número de SMLMV por los cuales podrá adicionarse el contrato. En este sentido, para evitar equivocaciones, lo ideal es que cada vez que se efectúe una adición, se estime su valor en salarios mínimos, que se calcularán con base en el vigente al momento de la adición, de manera que se descuenten estos de los salarios mínimos que restan por adicionar, pues las modificaciones podrían hacerse en diferentes años, porque si el contrato se ejecuta sin existir variación en el valor del salario mínimo la operación sería la misma si se toma el monto en pesos. </w:t>
      </w:r>
    </w:p>
    <w:p w14:paraId="2DE03971" w14:textId="73712C6D" w:rsidR="0083037E" w:rsidRPr="00A42C60" w:rsidRDefault="006F3909" w:rsidP="0083037E">
      <w:pPr>
        <w:spacing w:before="120" w:after="0" w:line="276" w:lineRule="auto"/>
        <w:ind w:firstLine="709"/>
        <w:jc w:val="both"/>
        <w:rPr>
          <w:rFonts w:ascii="Arial" w:hAnsi="Arial" w:cs="Arial"/>
          <w:szCs w:val="24"/>
          <w:lang w:eastAsia="es-ES_tradnl"/>
        </w:rPr>
      </w:pPr>
      <w:r w:rsidRPr="00A42C60">
        <w:rPr>
          <w:rFonts w:ascii="Arial" w:hAnsi="Arial" w:cs="Arial"/>
          <w:szCs w:val="24"/>
          <w:lang w:eastAsia="es-ES_tradnl"/>
        </w:rPr>
        <w:t xml:space="preserve">El razonamiento anterior se fundamenta en la forma como la Ley 80 de 1993 estableció el tope para las adiciones, acudiendo a una forma de actualización del valor, de acuerdo con los incrementos que tenga el salario mínimo, lo que resulta especialmente relevante en contratos de larga duración. En consecuencia, se considera que debido a que cuando el legislador fijó ese límite de la adición de los contratos estatales acudiendo al concepto o, si se quiere, a la fórmula de los SMLMV quedó prevista intrínsecamente una actualización del valor del dinero, en aras de corregir su depreciación, para efectos de establecer el tope por el cual se puede incrementar el valor de los contratos estatales. </w:t>
      </w:r>
    </w:p>
    <w:p w14:paraId="7E4A5167" w14:textId="50313D0B" w:rsidR="0083037E" w:rsidRPr="00A42C60" w:rsidRDefault="0083037E" w:rsidP="00F31F88">
      <w:pPr>
        <w:spacing w:before="120" w:after="0" w:line="276" w:lineRule="auto"/>
        <w:ind w:firstLine="709"/>
        <w:jc w:val="both"/>
        <w:rPr>
          <w:rFonts w:ascii="Arial" w:hAnsi="Arial" w:cs="Arial"/>
          <w:szCs w:val="24"/>
          <w:lang w:val="es-MX" w:eastAsia="es-ES_tradnl"/>
        </w:rPr>
      </w:pPr>
      <w:r w:rsidRPr="00A42C60">
        <w:rPr>
          <w:rFonts w:ascii="Arial" w:hAnsi="Arial" w:cs="Arial"/>
          <w:szCs w:val="24"/>
          <w:lang w:val="es-MX" w:eastAsia="es-ES_tradnl"/>
        </w:rPr>
        <w:t>Sin perjuicio de la postura expuesta previamente por la Subdirección de Gestión Contractual, en torno al tope de la adición de los contratos, se señalarán algunas otras posturas que no se comparten, por considerarlas contrarias a la regulación actual contenida en la Ley 80 de 1993.</w:t>
      </w:r>
    </w:p>
    <w:p w14:paraId="0BFFBD12" w14:textId="77777777" w:rsidR="00F31F88" w:rsidRPr="00A42C60" w:rsidRDefault="00F31F88" w:rsidP="00F31F88">
      <w:pPr>
        <w:spacing w:after="0" w:line="276" w:lineRule="auto"/>
        <w:ind w:firstLine="709"/>
        <w:jc w:val="both"/>
        <w:rPr>
          <w:rFonts w:ascii="Arial" w:hAnsi="Arial" w:cs="Arial"/>
          <w:szCs w:val="24"/>
          <w:lang w:val="es-MX" w:eastAsia="es-ES_tradnl"/>
        </w:rPr>
      </w:pPr>
    </w:p>
    <w:p w14:paraId="1126663C" w14:textId="21551D85" w:rsidR="0083037E" w:rsidRPr="00A42C60" w:rsidRDefault="0083037E" w:rsidP="00F31F88">
      <w:pPr>
        <w:spacing w:after="0" w:line="276" w:lineRule="auto"/>
        <w:jc w:val="both"/>
        <w:rPr>
          <w:rFonts w:ascii="Arial" w:hAnsi="Arial" w:cs="Arial"/>
          <w:b/>
          <w:szCs w:val="24"/>
          <w:lang w:val="es-MX" w:eastAsia="es-ES_tradnl"/>
        </w:rPr>
      </w:pPr>
      <w:r w:rsidRPr="00A42C60">
        <w:rPr>
          <w:rFonts w:ascii="Arial" w:hAnsi="Arial" w:cs="Arial"/>
          <w:b/>
          <w:szCs w:val="24"/>
          <w:lang w:val="es-MX" w:eastAsia="es-ES_tradnl"/>
        </w:rPr>
        <w:t>2.</w:t>
      </w:r>
      <w:r w:rsidR="00F5308B" w:rsidRPr="00A42C60">
        <w:rPr>
          <w:rFonts w:ascii="Arial" w:hAnsi="Arial" w:cs="Arial"/>
          <w:b/>
          <w:szCs w:val="24"/>
          <w:lang w:val="es-MX" w:eastAsia="es-ES_tradnl"/>
        </w:rPr>
        <w:t>1</w:t>
      </w:r>
      <w:r w:rsidRPr="00A42C60">
        <w:rPr>
          <w:rFonts w:ascii="Arial" w:hAnsi="Arial" w:cs="Arial"/>
          <w:b/>
          <w:szCs w:val="24"/>
          <w:lang w:val="es-MX" w:eastAsia="es-ES_tradnl"/>
        </w:rPr>
        <w:t>.1. Dos posturas en torno al tope para adicionar los contratos estatales</w:t>
      </w:r>
    </w:p>
    <w:p w14:paraId="092CB7EF" w14:textId="77777777" w:rsidR="0083037E" w:rsidRPr="00A42C60" w:rsidRDefault="0083037E" w:rsidP="00F31F88">
      <w:pPr>
        <w:spacing w:after="0" w:line="276" w:lineRule="auto"/>
        <w:jc w:val="both"/>
        <w:rPr>
          <w:rFonts w:ascii="Arial" w:hAnsi="Arial" w:cs="Arial"/>
          <w:b/>
          <w:szCs w:val="24"/>
          <w:lang w:val="es-MX" w:eastAsia="es-ES_tradnl"/>
        </w:rPr>
      </w:pPr>
    </w:p>
    <w:p w14:paraId="0E147BA0" w14:textId="77777777" w:rsidR="0083037E" w:rsidRPr="00A42C60" w:rsidRDefault="0083037E" w:rsidP="000C5533">
      <w:pPr>
        <w:spacing w:after="0" w:line="276" w:lineRule="auto"/>
        <w:jc w:val="both"/>
        <w:rPr>
          <w:rFonts w:ascii="Arial" w:hAnsi="Arial" w:cs="Arial"/>
          <w:szCs w:val="24"/>
          <w:lang w:val="es-MX" w:eastAsia="es-ES_tradnl"/>
        </w:rPr>
      </w:pPr>
      <w:r w:rsidRPr="00A42C60">
        <w:rPr>
          <w:rFonts w:ascii="Arial" w:hAnsi="Arial" w:cs="Arial"/>
          <w:szCs w:val="24"/>
          <w:lang w:val="es-MX" w:eastAsia="es-ES_tradnl"/>
        </w:rPr>
        <w:t>Antes de señalar las dos posturas, es necesario aclarar que el presente problema ocurre, especialmente, en los contratos cuya estructuración y pago se realiza por precios unitarios, aunque también se ha extendido al de administración delegada o reembolso de gastos</w:t>
      </w:r>
      <w:r w:rsidRPr="00A42C60">
        <w:rPr>
          <w:rFonts w:ascii="Arial" w:hAnsi="Arial" w:cs="Arial"/>
          <w:szCs w:val="24"/>
          <w:vertAlign w:val="superscript"/>
          <w:lang w:val="es-MX" w:eastAsia="es-ES_tradnl"/>
        </w:rPr>
        <w:footnoteReference w:id="8"/>
      </w:r>
      <w:r w:rsidRPr="00A42C60">
        <w:rPr>
          <w:rFonts w:ascii="Arial" w:hAnsi="Arial" w:cs="Arial"/>
          <w:szCs w:val="24"/>
          <w:lang w:val="es-MX" w:eastAsia="es-ES_tradnl"/>
        </w:rPr>
        <w:t xml:space="preserve">, ya que en el de precio global, como más adelante se expondrá, existe un mayor consenso en torno a la forma de aplicar el parágrafo del artículo 40. </w:t>
      </w:r>
    </w:p>
    <w:p w14:paraId="6F72DF8C" w14:textId="7EC95D7D" w:rsidR="0083037E" w:rsidRPr="00A42C60" w:rsidRDefault="0083037E" w:rsidP="0083037E">
      <w:pPr>
        <w:spacing w:before="120" w:after="0" w:line="276" w:lineRule="auto"/>
        <w:ind w:firstLine="709"/>
        <w:jc w:val="both"/>
        <w:rPr>
          <w:rFonts w:ascii="Arial" w:hAnsi="Arial" w:cs="Arial"/>
          <w:szCs w:val="24"/>
          <w:lang w:val="es-MX" w:eastAsia="es-ES_tradnl"/>
        </w:rPr>
      </w:pPr>
      <w:r w:rsidRPr="00A42C60">
        <w:rPr>
          <w:rFonts w:ascii="Arial" w:hAnsi="Arial" w:cs="Arial"/>
          <w:szCs w:val="24"/>
          <w:lang w:val="es-MX" w:eastAsia="es-ES_tradnl"/>
        </w:rPr>
        <w:t>La primera postura, que fue señalada por la Sala de Consulta y Servicio Civil del Consejo de Estado, y adoptada por el Consejo de Estado en otros pronunciamientos, parte de considerar que solo hay lugar a la celebración de un contrato adicional, y por tanto que se encuentre sometido al parágrafo del artículo 40 de la Ley 80 de 1993, cuando se trate de adicionar una obra u actividad que no estaba contemplada en el alcance inicial del contrato.</w:t>
      </w:r>
    </w:p>
    <w:p w14:paraId="24F6F419" w14:textId="30A3D95C" w:rsidR="0083037E" w:rsidRPr="00A42C60" w:rsidRDefault="0083037E" w:rsidP="0083037E">
      <w:pPr>
        <w:spacing w:before="120" w:after="0" w:line="276" w:lineRule="auto"/>
        <w:ind w:firstLine="709"/>
        <w:jc w:val="both"/>
        <w:rPr>
          <w:rFonts w:ascii="Arial" w:hAnsi="Arial" w:cs="Arial"/>
          <w:szCs w:val="24"/>
          <w:lang w:val="es-MX" w:eastAsia="es-ES_tradnl"/>
        </w:rPr>
      </w:pPr>
      <w:r w:rsidRPr="00A42C60">
        <w:rPr>
          <w:rFonts w:ascii="Arial" w:hAnsi="Arial" w:cs="Arial"/>
          <w:szCs w:val="24"/>
          <w:lang w:val="es-MX" w:eastAsia="es-ES_tradnl"/>
        </w:rPr>
        <w:lastRenderedPageBreak/>
        <w:t>En tal sentido, y según dicha postura, a otros aumentos del valor originados, por ejemplo, en mayores cantidades de obra, no les aplica la prohibición, ya que, bajo dicha tesis, el valor inicial del contrato, en el sistema de precios unitarios, solo consiste en un estimativo del costo que tendrá el contrato, que solo logra determinarse una vez termine la ejecución, de manera que con las mayores cantidades de obra no se presentaría una modificación del precio, sino que simplemente se determinará el valor final del contrato, que no será diferente del precio acordado inicialmente que se mantendrá invariable, precisándose, al final, el monto real del estimativo. La postura anterior se sintetiza en el siguiente concepto de la Sala de Consulta y Servicio Civil del Consejo de Estado:</w:t>
      </w:r>
    </w:p>
    <w:p w14:paraId="18D67BDC" w14:textId="77777777" w:rsidR="0083037E" w:rsidRPr="00A42C60" w:rsidRDefault="0083037E" w:rsidP="00F31F88">
      <w:pPr>
        <w:spacing w:after="0" w:line="276" w:lineRule="auto"/>
        <w:ind w:firstLine="709"/>
        <w:jc w:val="both"/>
        <w:rPr>
          <w:rFonts w:ascii="Arial" w:hAnsi="Arial" w:cs="Arial"/>
          <w:szCs w:val="24"/>
          <w:lang w:val="es-MX" w:eastAsia="es-ES_tradnl"/>
        </w:rPr>
      </w:pPr>
    </w:p>
    <w:p w14:paraId="48B493B8" w14:textId="77777777" w:rsidR="0083037E" w:rsidRPr="00A42C60" w:rsidRDefault="0083037E" w:rsidP="0083037E">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Con base en lo expuesto brevemente, es fácil concluir que es un error celebrar contratos adicionales a los contratos principales celebrados por alguno de los sistemas de precios determinables, para poder ejecutar obras cuyo costo de ejecución sobrepase el estimado inicialmente. En efecto, el error consiste en pensar que ese precio estimado inicialmente es el verdadero valor del contrato, pues, como se explicó, sólo es un estimativo pero el verdadero valor se determinará una vez concluya la obra. Por lo mismo, no se trata de que se esté adicionando el contrato; no. Sólo se está procediendo conforme a lo previsto, esto es, aplicando el procedimiento de precios unitarios a las cantidades de obra ejecutadas y, por consiguiente, si son más cantidades de obra a las previstas, pues el valor del contrato es mayor, pero así fue como se convino.</w:t>
      </w:r>
    </w:p>
    <w:p w14:paraId="5293DABA" w14:textId="77777777" w:rsidR="0083037E" w:rsidRPr="00A42C60" w:rsidRDefault="0083037E" w:rsidP="0083037E">
      <w:pPr>
        <w:spacing w:after="0" w:line="240" w:lineRule="auto"/>
        <w:ind w:left="709" w:right="709"/>
        <w:jc w:val="both"/>
        <w:rPr>
          <w:rFonts w:ascii="Arial" w:hAnsi="Arial" w:cs="Arial"/>
          <w:sz w:val="21"/>
          <w:szCs w:val="21"/>
          <w:lang w:val="es-MX" w:eastAsia="es-ES_tradnl"/>
        </w:rPr>
      </w:pPr>
    </w:p>
    <w:p w14:paraId="2799D600" w14:textId="21A31F1E" w:rsidR="0083037E" w:rsidRPr="00A42C60" w:rsidRDefault="0083037E" w:rsidP="0083037E">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Por lo mismo, no se trata de que exista un «cambio» o «adición» en el contrato, sino de la aplicación de las reglas contractuales previamente determinadas en el contrato original. Es una operación matemática y no más.</w:t>
      </w:r>
    </w:p>
    <w:p w14:paraId="09ED7826" w14:textId="77777777" w:rsidR="0083037E" w:rsidRPr="00A42C60" w:rsidRDefault="0083037E" w:rsidP="0083037E">
      <w:pPr>
        <w:spacing w:after="0" w:line="240" w:lineRule="auto"/>
        <w:ind w:left="709" w:right="709"/>
        <w:jc w:val="both"/>
        <w:rPr>
          <w:rFonts w:ascii="Arial" w:hAnsi="Arial" w:cs="Arial"/>
          <w:sz w:val="21"/>
          <w:szCs w:val="21"/>
          <w:lang w:val="es-MX" w:eastAsia="es-ES_tradnl"/>
        </w:rPr>
      </w:pPr>
    </w:p>
    <w:p w14:paraId="53B38914" w14:textId="77777777" w:rsidR="0083037E" w:rsidRPr="00A42C60" w:rsidRDefault="0083037E" w:rsidP="0083037E">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Es preciso, entonces, entender que solamente habrá verdadera «adición» a un contrato cuando se agrega al alcance físico inicial del contrato algo nuevo, es decir, cuando existe una verdadera ampliación del objeto contractual, y no cuando solamente se realiza un simple ajuste del valor estimado inicialmente del contrato, en razón a que el cálculo de cantidades de obra estimada en el momento de celebrar el contrato no fue adecuada; en otros términos, los mayores valores en el contrato no se presentan debido a mayores cantidades de obra por cambios introducidos al alcance físico de las metas determinadas en el objeto del contrato, sino que esas mayores cantidades de obra surgen de una deficiente estimación inicial de las cantidades de obra requeridas para la ejecución de todo el objeto descrito en el contrato</w:t>
      </w:r>
      <w:r w:rsidRPr="00A42C60">
        <w:rPr>
          <w:rFonts w:ascii="Arial" w:hAnsi="Arial" w:cs="Arial"/>
          <w:sz w:val="21"/>
          <w:szCs w:val="21"/>
          <w:vertAlign w:val="superscript"/>
          <w:lang w:val="es-MX" w:eastAsia="es-ES_tradnl"/>
        </w:rPr>
        <w:footnoteReference w:id="9"/>
      </w:r>
      <w:r w:rsidRPr="00A42C60">
        <w:rPr>
          <w:rFonts w:ascii="Arial" w:hAnsi="Arial" w:cs="Arial"/>
          <w:sz w:val="21"/>
          <w:szCs w:val="21"/>
          <w:lang w:val="es-MX" w:eastAsia="es-ES_tradnl"/>
        </w:rPr>
        <w:t>.</w:t>
      </w:r>
    </w:p>
    <w:p w14:paraId="1604F523" w14:textId="77777777" w:rsidR="00BD5491" w:rsidRPr="00A42C60" w:rsidRDefault="00BD5491" w:rsidP="00BD5491">
      <w:pPr>
        <w:spacing w:after="0" w:line="276" w:lineRule="auto"/>
        <w:ind w:firstLine="709"/>
        <w:jc w:val="both"/>
        <w:rPr>
          <w:rFonts w:ascii="Arial" w:hAnsi="Arial" w:cs="Arial"/>
          <w:szCs w:val="24"/>
          <w:lang w:val="es-MX" w:eastAsia="es-ES_tradnl"/>
        </w:rPr>
      </w:pPr>
    </w:p>
    <w:p w14:paraId="452A0339" w14:textId="7C39458E" w:rsidR="0083037E" w:rsidRPr="00EF65B3" w:rsidRDefault="0083037E" w:rsidP="00EF65B3">
      <w:pPr>
        <w:spacing w:after="0" w:line="276" w:lineRule="auto"/>
        <w:ind w:firstLine="709"/>
        <w:jc w:val="both"/>
        <w:rPr>
          <w:rFonts w:ascii="Arial" w:hAnsi="Arial" w:cs="Arial"/>
          <w:szCs w:val="24"/>
          <w:lang w:val="es-MX" w:eastAsia="es-ES_tradnl"/>
        </w:rPr>
      </w:pPr>
      <w:r w:rsidRPr="00EF65B3">
        <w:rPr>
          <w:rFonts w:ascii="Arial" w:hAnsi="Arial" w:cs="Arial"/>
          <w:szCs w:val="24"/>
          <w:lang w:val="es-MX" w:eastAsia="es-ES_tradnl"/>
        </w:rPr>
        <w:lastRenderedPageBreak/>
        <w:t>La postura anterior también es defendida por cierto sector de la doctrina</w:t>
      </w:r>
      <w:r w:rsidRPr="00EF65B3">
        <w:rPr>
          <w:rFonts w:ascii="Arial" w:hAnsi="Arial" w:cs="Arial"/>
          <w:szCs w:val="24"/>
          <w:vertAlign w:val="superscript"/>
          <w:lang w:val="es-MX" w:eastAsia="es-ES_tradnl"/>
        </w:rPr>
        <w:footnoteReference w:id="10"/>
      </w:r>
      <w:r w:rsidRPr="00EF65B3">
        <w:rPr>
          <w:rFonts w:ascii="Arial" w:hAnsi="Arial" w:cs="Arial"/>
          <w:szCs w:val="24"/>
          <w:lang w:val="es-MX" w:eastAsia="es-ES_tradnl"/>
        </w:rPr>
        <w:t xml:space="preserve">. Bajo ella se amplía el límite establecido por el legislador en el artículo 40, ya que este tipo de modificaciones, para ejecutar más de un mismo ítem o actividad pactada en el contrato </w:t>
      </w:r>
      <w:r w:rsidRPr="00EF65B3">
        <w:rPr>
          <w:rFonts w:ascii="Arial" w:hAnsi="Arial" w:cs="Arial" w:hint="eastAsia"/>
          <w:szCs w:val="24"/>
          <w:lang w:val="es-MX" w:eastAsia="es-ES_tradnl"/>
        </w:rPr>
        <w:t>―</w:t>
      </w:r>
      <w:r w:rsidRPr="00EF65B3">
        <w:rPr>
          <w:rFonts w:ascii="Arial" w:hAnsi="Arial" w:cs="Arial"/>
          <w:szCs w:val="24"/>
          <w:lang w:val="es-MX" w:eastAsia="es-ES_tradnl"/>
        </w:rPr>
        <w:t>estas posturas las considerarían «precisiones» o «determinaciones del valor final»</w:t>
      </w:r>
      <w:r w:rsidRPr="00EF65B3">
        <w:rPr>
          <w:rFonts w:ascii="Arial" w:hAnsi="Arial" w:cs="Arial" w:hint="eastAsia"/>
          <w:szCs w:val="24"/>
          <w:lang w:val="es-MX" w:eastAsia="es-ES_tradnl"/>
        </w:rPr>
        <w:t>―</w:t>
      </w:r>
      <w:r w:rsidRPr="00EF65B3">
        <w:rPr>
          <w:rFonts w:ascii="Arial" w:hAnsi="Arial" w:cs="Arial"/>
          <w:szCs w:val="24"/>
          <w:lang w:val="es-MX" w:eastAsia="es-ES_tradnl"/>
        </w:rPr>
        <w:t>, no se tendrían en cuenta para señalar en qué porcentaje se ha adicionado un contrato, ya que ellas no son</w:t>
      </w:r>
      <w:r w:rsidR="00FC1ED2" w:rsidRPr="00EF65B3">
        <w:rPr>
          <w:rFonts w:ascii="Arial" w:hAnsi="Arial" w:cs="Arial"/>
          <w:szCs w:val="24"/>
          <w:lang w:val="es-MX" w:eastAsia="es-ES_tradnl"/>
        </w:rPr>
        <w:t xml:space="preserve"> adiciones</w:t>
      </w:r>
      <w:r w:rsidRPr="00EF65B3">
        <w:rPr>
          <w:rFonts w:ascii="Arial" w:hAnsi="Arial" w:cs="Arial"/>
          <w:szCs w:val="24"/>
          <w:lang w:val="es-MX" w:eastAsia="es-ES_tradnl"/>
        </w:rPr>
        <w:t>:</w:t>
      </w:r>
    </w:p>
    <w:p w14:paraId="322A2239" w14:textId="77777777" w:rsidR="00BD5491" w:rsidRPr="00A42C60" w:rsidRDefault="00BD5491" w:rsidP="00BD5491">
      <w:pPr>
        <w:spacing w:after="0" w:line="276" w:lineRule="auto"/>
        <w:ind w:firstLine="709"/>
        <w:jc w:val="both"/>
        <w:rPr>
          <w:rFonts w:ascii="Arial" w:hAnsi="Arial" w:cs="Arial"/>
          <w:szCs w:val="24"/>
          <w:lang w:val="es-MX" w:eastAsia="es-ES_tradnl"/>
        </w:rPr>
      </w:pPr>
    </w:p>
    <w:p w14:paraId="2CA50A89" w14:textId="77777777" w:rsidR="0083037E" w:rsidRPr="00A42C60" w:rsidRDefault="0083037E" w:rsidP="00BD5491">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En este estado de la cuestión, deberíamos reconocer la existencia de islotes interpretativos sobre este tópico, en los cuales y contraviniendo lo expuesto, el Consejo de Estado, por su puesto de manera errada, ha considerado que la mayor cantidad de obra de un contrato de obra pública a precios unitarios, debe ampararse bajo el ropaje de un contrato adicional y, en consecuencia aplicando el límite del 50%.</w:t>
      </w:r>
    </w:p>
    <w:p w14:paraId="5291EEA1" w14:textId="77777777" w:rsidR="0083037E" w:rsidRPr="00A42C60" w:rsidRDefault="0083037E" w:rsidP="00BD5491">
      <w:pPr>
        <w:spacing w:after="0" w:line="240" w:lineRule="auto"/>
        <w:ind w:left="709" w:right="709"/>
        <w:jc w:val="both"/>
        <w:rPr>
          <w:rFonts w:ascii="Arial" w:hAnsi="Arial" w:cs="Arial"/>
          <w:sz w:val="21"/>
          <w:szCs w:val="21"/>
          <w:lang w:val="es-MX" w:eastAsia="es-ES_tradnl"/>
        </w:rPr>
      </w:pPr>
    </w:p>
    <w:p w14:paraId="437C6D8E" w14:textId="77777777" w:rsidR="0083037E" w:rsidRPr="00A42C60" w:rsidRDefault="0083037E" w:rsidP="00BD5491">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Insistimos que no podemos compartir este planteamiento por lo siguiente:</w:t>
      </w:r>
    </w:p>
    <w:p w14:paraId="1783BCFA" w14:textId="77777777" w:rsidR="0083037E" w:rsidRPr="00A42C60" w:rsidRDefault="0083037E" w:rsidP="00BD5491">
      <w:pPr>
        <w:spacing w:after="0" w:line="240" w:lineRule="auto"/>
        <w:ind w:left="709" w:right="709"/>
        <w:jc w:val="both"/>
        <w:rPr>
          <w:rFonts w:ascii="Arial" w:hAnsi="Arial" w:cs="Arial"/>
          <w:sz w:val="21"/>
          <w:szCs w:val="21"/>
          <w:lang w:val="es-MX" w:eastAsia="es-ES_tradnl"/>
        </w:rPr>
      </w:pPr>
    </w:p>
    <w:p w14:paraId="33F574E0" w14:textId="77777777" w:rsidR="0083037E" w:rsidRPr="00A42C60" w:rsidRDefault="0083037E" w:rsidP="00BD5491">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 La naturaleza misma del contrato pactado a precios unitarios en el cual se conviene la realización de una obra claramente determinada (por ej. La pavimentación de la carrera 7ª entre las calles 34 y 100), que cuenta con unas cantidades estimadas que arrojan un precio igualmente estimado.</w:t>
      </w:r>
    </w:p>
    <w:p w14:paraId="6A9175BC" w14:textId="77777777" w:rsidR="0083037E" w:rsidRPr="00A42C60" w:rsidRDefault="0083037E" w:rsidP="00BD5491">
      <w:pPr>
        <w:spacing w:after="0" w:line="240" w:lineRule="auto"/>
        <w:ind w:left="709" w:right="709"/>
        <w:jc w:val="both"/>
        <w:rPr>
          <w:rFonts w:ascii="Arial" w:hAnsi="Arial" w:cs="Arial"/>
          <w:sz w:val="21"/>
          <w:szCs w:val="21"/>
          <w:lang w:val="es-MX" w:eastAsia="es-ES_tradnl"/>
        </w:rPr>
      </w:pPr>
    </w:p>
    <w:p w14:paraId="695EAE9F" w14:textId="77777777" w:rsidR="0083037E" w:rsidRPr="00A42C60" w:rsidRDefault="0083037E" w:rsidP="00BD5491">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 Si por decir algo, esas cantidades se acaban en la calle 94, lo faltante, esto es desde la calle 95 a la 100, no es una obra adicional ya que ella hace parte del objetivo inicial, vale decir, que no se requiere pactar un elemento nuevo necesario o accesorio al objeto primigenio pues lo carente hacer parte de él desde el principio.</w:t>
      </w:r>
    </w:p>
    <w:p w14:paraId="705DF73B" w14:textId="77777777" w:rsidR="0083037E" w:rsidRPr="00A42C60" w:rsidRDefault="0083037E" w:rsidP="00BD5491">
      <w:pPr>
        <w:spacing w:after="0" w:line="240" w:lineRule="auto"/>
        <w:ind w:left="709" w:right="709"/>
        <w:jc w:val="both"/>
        <w:rPr>
          <w:rFonts w:ascii="Arial" w:hAnsi="Arial" w:cs="Arial"/>
          <w:sz w:val="21"/>
          <w:szCs w:val="21"/>
          <w:lang w:val="es-MX" w:eastAsia="es-ES_tradnl"/>
        </w:rPr>
      </w:pPr>
    </w:p>
    <w:p w14:paraId="5FE27ABB" w14:textId="77777777" w:rsidR="0083037E" w:rsidRPr="00A42C60" w:rsidRDefault="0083037E" w:rsidP="00BD5491">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 xml:space="preserve">- Lo procedente, entonces, es que la interventoría a cuyo cargo está el control de las cantidades y presupuestos ejecutados, antes de agotar las inicialmente dispuestas, informe a las partes del contrato con miras a que la entidad obtenga los recursos necesarios para concluir lo pactado. </w:t>
      </w:r>
    </w:p>
    <w:p w14:paraId="0E8B5225" w14:textId="77777777" w:rsidR="0083037E" w:rsidRPr="00A42C60" w:rsidRDefault="0083037E" w:rsidP="00BD5491">
      <w:pPr>
        <w:spacing w:after="0" w:line="240" w:lineRule="auto"/>
        <w:ind w:left="709" w:right="709"/>
        <w:jc w:val="both"/>
        <w:rPr>
          <w:rFonts w:ascii="Arial" w:hAnsi="Arial" w:cs="Arial"/>
          <w:sz w:val="21"/>
          <w:szCs w:val="21"/>
          <w:lang w:val="es-MX" w:eastAsia="es-ES_tradnl"/>
        </w:rPr>
      </w:pPr>
    </w:p>
    <w:p w14:paraId="11DB12BC" w14:textId="77777777" w:rsidR="0083037E" w:rsidRPr="00A42C60" w:rsidRDefault="0083037E" w:rsidP="00BD5491">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 La inyección de los nuevos recursos no se hace al ampro de un contrato adicional sino como parte de un trámite interno oficial, con información al contratista para que pueda seguir avanzando en la obra</w:t>
      </w:r>
      <w:r w:rsidRPr="00A42C60">
        <w:rPr>
          <w:rFonts w:ascii="Arial" w:hAnsi="Arial" w:cs="Arial"/>
          <w:sz w:val="21"/>
          <w:szCs w:val="21"/>
          <w:vertAlign w:val="superscript"/>
          <w:lang w:val="es-MX" w:eastAsia="es-ES_tradnl"/>
        </w:rPr>
        <w:footnoteReference w:id="11"/>
      </w:r>
      <w:r w:rsidRPr="00A42C60">
        <w:rPr>
          <w:rFonts w:ascii="Arial" w:hAnsi="Arial" w:cs="Arial"/>
          <w:sz w:val="21"/>
          <w:szCs w:val="21"/>
          <w:vertAlign w:val="superscript"/>
          <w:lang w:val="es-MX" w:eastAsia="es-ES_tradnl"/>
        </w:rPr>
        <w:t>.</w:t>
      </w:r>
    </w:p>
    <w:p w14:paraId="1C6A801B" w14:textId="77777777" w:rsidR="0083037E" w:rsidRPr="00A42C60" w:rsidRDefault="0083037E" w:rsidP="00BD5491">
      <w:pPr>
        <w:spacing w:after="0" w:line="240" w:lineRule="auto"/>
        <w:ind w:left="709" w:right="709"/>
        <w:jc w:val="both"/>
        <w:rPr>
          <w:rFonts w:ascii="Arial" w:hAnsi="Arial" w:cs="Arial"/>
          <w:sz w:val="21"/>
          <w:szCs w:val="21"/>
          <w:lang w:val="es-MX" w:eastAsia="es-ES_tradnl"/>
        </w:rPr>
      </w:pPr>
    </w:p>
    <w:p w14:paraId="3CC13C10" w14:textId="23FF311F" w:rsidR="0083037E" w:rsidRPr="00A42C60" w:rsidRDefault="0083037E" w:rsidP="00BD5491">
      <w:pPr>
        <w:spacing w:before="120" w:after="0" w:line="276" w:lineRule="auto"/>
        <w:ind w:firstLine="709"/>
        <w:jc w:val="both"/>
        <w:rPr>
          <w:rFonts w:ascii="Arial" w:hAnsi="Arial" w:cs="Arial"/>
          <w:szCs w:val="24"/>
          <w:lang w:val="es-MX" w:eastAsia="es-ES_tradnl"/>
        </w:rPr>
      </w:pPr>
      <w:r w:rsidRPr="00A42C60">
        <w:rPr>
          <w:rFonts w:ascii="Arial" w:hAnsi="Arial" w:cs="Arial"/>
          <w:szCs w:val="24"/>
          <w:lang w:val="es-MX" w:eastAsia="es-ES_tradnl"/>
        </w:rPr>
        <w:lastRenderedPageBreak/>
        <w:t xml:space="preserve">Esta postura también es sostenida por el Consejo de </w:t>
      </w:r>
      <w:r w:rsidR="00BD5491" w:rsidRPr="00A42C60">
        <w:rPr>
          <w:rFonts w:ascii="Arial" w:hAnsi="Arial" w:cs="Arial"/>
          <w:szCs w:val="24"/>
          <w:lang w:val="es-MX" w:eastAsia="es-ES_tradnl"/>
        </w:rPr>
        <w:t>E</w:t>
      </w:r>
      <w:r w:rsidRPr="00A42C60">
        <w:rPr>
          <w:rFonts w:ascii="Arial" w:hAnsi="Arial" w:cs="Arial"/>
          <w:szCs w:val="24"/>
          <w:lang w:val="es-MX" w:eastAsia="es-ES_tradnl"/>
        </w:rPr>
        <w:t>stado en otras providencias</w:t>
      </w:r>
      <w:r w:rsidR="00C115A3">
        <w:rPr>
          <w:rStyle w:val="Refdenotaalpie"/>
          <w:rFonts w:ascii="Arial" w:hAnsi="Arial" w:cs="Arial"/>
          <w:szCs w:val="24"/>
          <w:lang w:val="es-MX" w:eastAsia="es-ES_tradnl"/>
        </w:rPr>
        <w:footnoteReference w:id="12"/>
      </w:r>
      <w:r w:rsidRPr="00A42C60">
        <w:rPr>
          <w:rFonts w:ascii="Arial" w:hAnsi="Arial" w:cs="Arial"/>
          <w:szCs w:val="24"/>
          <w:lang w:val="es-MX" w:eastAsia="es-ES_tradnl"/>
        </w:rPr>
        <w:t xml:space="preserve"> </w:t>
      </w:r>
      <w:r w:rsidR="002F6E70">
        <w:rPr>
          <w:rFonts w:ascii="Arial" w:hAnsi="Arial" w:cs="Arial"/>
          <w:szCs w:val="24"/>
          <w:lang w:val="es-MX" w:eastAsia="es-ES_tradnl"/>
        </w:rPr>
        <w:t xml:space="preserve">y reiterada </w:t>
      </w:r>
      <w:r w:rsidR="00E80527">
        <w:rPr>
          <w:rFonts w:ascii="Arial" w:hAnsi="Arial" w:cs="Arial"/>
          <w:szCs w:val="24"/>
          <w:lang w:val="es-MX" w:eastAsia="es-ES_tradnl"/>
        </w:rPr>
        <w:t xml:space="preserve">en el </w:t>
      </w:r>
      <w:r w:rsidR="00E80527" w:rsidRPr="00E80527">
        <w:rPr>
          <w:rFonts w:ascii="Arial" w:hAnsi="Arial" w:cs="Arial"/>
          <w:szCs w:val="24"/>
          <w:lang w:val="es-MX" w:eastAsia="es-ES_tradnl"/>
        </w:rPr>
        <w:t>Concepto del 6 de ju</w:t>
      </w:r>
      <w:r w:rsidR="00E80527">
        <w:rPr>
          <w:rFonts w:ascii="Arial" w:hAnsi="Arial" w:cs="Arial"/>
          <w:szCs w:val="24"/>
          <w:lang w:val="es-MX" w:eastAsia="es-ES_tradnl"/>
        </w:rPr>
        <w:t>n</w:t>
      </w:r>
      <w:r w:rsidR="00E80527" w:rsidRPr="00E80527">
        <w:rPr>
          <w:rFonts w:ascii="Arial" w:hAnsi="Arial" w:cs="Arial"/>
          <w:szCs w:val="24"/>
          <w:lang w:val="es-MX" w:eastAsia="es-ES_tradnl"/>
        </w:rPr>
        <w:t>io de 2018</w:t>
      </w:r>
      <w:r w:rsidR="002F6E70">
        <w:rPr>
          <w:rFonts w:ascii="Arial" w:hAnsi="Arial" w:cs="Arial"/>
          <w:szCs w:val="24"/>
          <w:lang w:val="es-MX" w:eastAsia="es-ES_tradnl"/>
        </w:rPr>
        <w:t xml:space="preserve"> </w:t>
      </w:r>
      <w:r w:rsidR="00DA0051">
        <w:rPr>
          <w:rFonts w:ascii="Arial" w:hAnsi="Arial" w:cs="Arial"/>
          <w:szCs w:val="24"/>
          <w:lang w:val="es-MX" w:eastAsia="es-ES_tradnl"/>
        </w:rPr>
        <w:t xml:space="preserve">de </w:t>
      </w:r>
      <w:r w:rsidR="00E80527">
        <w:rPr>
          <w:rFonts w:ascii="Arial" w:hAnsi="Arial" w:cs="Arial"/>
          <w:szCs w:val="24"/>
          <w:lang w:val="es-MX" w:eastAsia="es-ES_tradnl"/>
        </w:rPr>
        <w:t xml:space="preserve">la </w:t>
      </w:r>
      <w:r w:rsidR="00E80527" w:rsidRPr="00A42C60">
        <w:rPr>
          <w:rFonts w:ascii="Arial" w:hAnsi="Arial" w:cs="Arial"/>
          <w:szCs w:val="24"/>
          <w:lang w:val="es-MX" w:eastAsia="es-ES_tradnl"/>
        </w:rPr>
        <w:t xml:space="preserve">Sala de Consulta y Servicio de Civil </w:t>
      </w:r>
      <w:r w:rsidR="002F6E70">
        <w:rPr>
          <w:rFonts w:ascii="Arial" w:hAnsi="Arial" w:cs="Arial"/>
          <w:szCs w:val="24"/>
          <w:lang w:val="es-MX" w:eastAsia="es-ES_tradnl"/>
        </w:rPr>
        <w:t xml:space="preserve">en el que se señala </w:t>
      </w:r>
      <w:r w:rsidR="00E80527">
        <w:rPr>
          <w:rFonts w:ascii="Arial" w:hAnsi="Arial" w:cs="Arial"/>
          <w:szCs w:val="24"/>
          <w:lang w:val="es-MX" w:eastAsia="es-ES_tradnl"/>
        </w:rPr>
        <w:t xml:space="preserve">que </w:t>
      </w:r>
      <w:r w:rsidR="00DC6312" w:rsidRPr="00A42C60">
        <w:rPr>
          <w:rFonts w:ascii="Arial" w:hAnsi="Arial" w:cs="Arial"/>
          <w:szCs w:val="24"/>
          <w:lang w:val="es-MX" w:eastAsia="es-ES_tradnl"/>
        </w:rPr>
        <w:t>«</w:t>
      </w:r>
      <w:r w:rsidR="002F6E70">
        <w:rPr>
          <w:rFonts w:ascii="Arial" w:hAnsi="Arial" w:cs="Arial"/>
          <w:szCs w:val="24"/>
          <w:lang w:val="es-MX" w:eastAsia="es-ES_tradnl"/>
        </w:rPr>
        <w:t xml:space="preserve">cuando se incrementa el valor del contrato como consecuencia de la variación de las cantidades de obra previamente pactadas sin que se modifique el valor unitario de los ítems, dicho incremento no queda sujeto al límite cuantitativo señalado en la Ley, del </w:t>
      </w:r>
      <w:r w:rsidR="00DC6312" w:rsidRPr="00A42C60">
        <w:rPr>
          <w:rFonts w:ascii="Arial" w:hAnsi="Arial" w:cs="Arial"/>
          <w:szCs w:val="24"/>
          <w:lang w:val="es-MX" w:eastAsia="es-ES_tradnl"/>
        </w:rPr>
        <w:t>50%»</w:t>
      </w:r>
      <w:r w:rsidRPr="00A42C60">
        <w:rPr>
          <w:rFonts w:ascii="Arial" w:hAnsi="Arial" w:cs="Arial"/>
          <w:szCs w:val="24"/>
          <w:vertAlign w:val="superscript"/>
          <w:lang w:val="es-MX" w:eastAsia="es-ES_tradnl"/>
        </w:rPr>
        <w:footnoteReference w:id="13"/>
      </w:r>
      <w:r w:rsidRPr="00A42C60">
        <w:rPr>
          <w:rFonts w:ascii="Arial" w:hAnsi="Arial" w:cs="Arial"/>
          <w:szCs w:val="24"/>
          <w:lang w:val="es-MX" w:eastAsia="es-ES_tradnl"/>
        </w:rPr>
        <w:t xml:space="preserve">. </w:t>
      </w:r>
    </w:p>
    <w:p w14:paraId="53EB58E4" w14:textId="4228B303" w:rsidR="0083037E" w:rsidRPr="00A42C60" w:rsidRDefault="0083037E" w:rsidP="00BD5491">
      <w:pPr>
        <w:spacing w:before="120" w:after="0" w:line="276" w:lineRule="auto"/>
        <w:ind w:firstLine="709"/>
        <w:jc w:val="both"/>
        <w:rPr>
          <w:rFonts w:ascii="Arial" w:hAnsi="Arial" w:cs="Arial"/>
          <w:szCs w:val="24"/>
          <w:lang w:val="es-MX" w:eastAsia="es-ES_tradnl"/>
        </w:rPr>
      </w:pPr>
      <w:r w:rsidRPr="00A42C60">
        <w:rPr>
          <w:rFonts w:ascii="Arial" w:hAnsi="Arial" w:cs="Arial"/>
          <w:szCs w:val="24"/>
          <w:lang w:val="es-MX" w:eastAsia="es-ES_tradnl"/>
        </w:rPr>
        <w:t xml:space="preserve">La otra postura, defendida por otra parte de la doctrina, y que es la que sostiene esta Agencia, considera que cualquier aumento del valor, independientemente de la causa que lo origine, se enmarca dentro del límite del parágrafo del artículo 40, de manera que la norma debe entenderse en el sentido de que cualquier aumento del precio inicial, que implique añadir recursos a los inicialmente previstos, implica la celebración de una adición </w:t>
      </w:r>
      <w:r w:rsidRPr="00A42C60">
        <w:rPr>
          <w:rFonts w:ascii="Arial" w:hAnsi="Arial" w:cs="Arial" w:hint="eastAsia"/>
          <w:szCs w:val="24"/>
          <w:lang w:val="es-MX" w:eastAsia="es-ES_tradnl"/>
        </w:rPr>
        <w:t>―</w:t>
      </w:r>
      <w:r w:rsidRPr="00A42C60">
        <w:rPr>
          <w:rFonts w:ascii="Arial" w:hAnsi="Arial" w:cs="Arial"/>
          <w:szCs w:val="24"/>
          <w:lang w:val="es-MX" w:eastAsia="es-ES_tradnl"/>
        </w:rPr>
        <w:t>que será un contrato</w:t>
      </w:r>
      <w:r w:rsidRPr="00A42C60">
        <w:rPr>
          <w:rFonts w:ascii="Arial" w:hAnsi="Arial" w:cs="Arial" w:hint="eastAsia"/>
          <w:szCs w:val="24"/>
          <w:lang w:val="es-MX" w:eastAsia="es-ES_tradnl"/>
        </w:rPr>
        <w:t>―</w:t>
      </w:r>
      <w:r w:rsidRPr="00A42C60">
        <w:rPr>
          <w:rFonts w:ascii="Arial" w:hAnsi="Arial" w:cs="Arial"/>
          <w:szCs w:val="24"/>
          <w:lang w:val="es-MX" w:eastAsia="es-ES_tradnl"/>
        </w:rPr>
        <w:t xml:space="preserve">, independientemente del nombre que se le dé y que necesariamente se someterá a la norma prohibitiva, salvo norma especial que excepcione la regla general: </w:t>
      </w:r>
    </w:p>
    <w:p w14:paraId="2E684E3C" w14:textId="77777777" w:rsidR="00BD5491" w:rsidRPr="00A42C60" w:rsidRDefault="00BD5491" w:rsidP="00BD5491">
      <w:pPr>
        <w:spacing w:after="0" w:line="276" w:lineRule="auto"/>
        <w:ind w:firstLine="709"/>
        <w:jc w:val="both"/>
        <w:rPr>
          <w:rFonts w:ascii="Arial" w:hAnsi="Arial" w:cs="Arial"/>
          <w:szCs w:val="24"/>
          <w:lang w:val="es-MX" w:eastAsia="es-ES_tradnl"/>
        </w:rPr>
      </w:pPr>
    </w:p>
    <w:p w14:paraId="06BE0750" w14:textId="77777777" w:rsidR="0083037E" w:rsidRPr="00A42C60" w:rsidRDefault="0083037E" w:rsidP="00BD5491">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 xml:space="preserve">Según este criterio, [el expuesto previamente en este concepto] del cual nos apartamos categóricamente, el contrato de nuestro ejemplo, por valor de $1’000.000, podría costar al final $1.000’000.000, sin incursionar en los terrenos prohibitivos del art. 40. Y no se comparte este criterio porque desconoce que la Ley 80 de 1993 quiso evitar, precisamente, que los contratos se adicionaran en más del 50%, y </w:t>
      </w:r>
      <w:r w:rsidRPr="00A42C60">
        <w:rPr>
          <w:rFonts w:ascii="Arial" w:hAnsi="Arial" w:cs="Arial"/>
          <w:b/>
          <w:bCs/>
          <w:sz w:val="21"/>
          <w:szCs w:val="21"/>
          <w:lang w:val="es-MX" w:eastAsia="es-ES_tradnl"/>
        </w:rPr>
        <w:t>sin duda alguna una ampliación de las cantidades de obra denominada obra adicional conduce a una adición del contrato, luego debe tener como límite el 50% analizado</w:t>
      </w:r>
      <w:r w:rsidRPr="00A42C60">
        <w:rPr>
          <w:rFonts w:ascii="Arial" w:hAnsi="Arial" w:cs="Arial"/>
          <w:sz w:val="21"/>
          <w:szCs w:val="21"/>
          <w:lang w:val="es-MX" w:eastAsia="es-ES_tradnl"/>
        </w:rPr>
        <w:t>.</w:t>
      </w:r>
    </w:p>
    <w:p w14:paraId="432B2B6E" w14:textId="77777777" w:rsidR="0083037E" w:rsidRPr="00A42C60" w:rsidRDefault="0083037E" w:rsidP="00BD5491">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w:t>
      </w:r>
    </w:p>
    <w:p w14:paraId="6A2DEA9C" w14:textId="77777777" w:rsidR="0083037E" w:rsidRPr="00A42C60" w:rsidRDefault="0083037E" w:rsidP="00BD5491">
      <w:pPr>
        <w:spacing w:after="0" w:line="240" w:lineRule="auto"/>
        <w:ind w:left="709" w:right="709"/>
        <w:jc w:val="both"/>
        <w:rPr>
          <w:rFonts w:ascii="Arial" w:hAnsi="Arial" w:cs="Arial"/>
          <w:sz w:val="21"/>
          <w:szCs w:val="21"/>
          <w:lang w:val="es-MX" w:eastAsia="es-ES_tradnl"/>
        </w:rPr>
      </w:pPr>
    </w:p>
    <w:p w14:paraId="7E8E3FBB" w14:textId="117679A7" w:rsidR="0083037E" w:rsidRPr="00A42C60" w:rsidRDefault="0083037E" w:rsidP="00BD5491">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La tesis jurídica que prevalece es que los contratos no se pueden adicionar por encima del límite del art. 40, sin importar si la obra es extra o adicional, pues estas categorías son meramente técnicas y no jurídicas, de modo que lo determinante no es el tipo de obra, bien o servicio que se necesita ejecutar en mayor cantidad, sino su valor. Si sobrepasa el límite legal no es posible ejecutarlo</w:t>
      </w:r>
      <w:r w:rsidRPr="00A42C60">
        <w:rPr>
          <w:rFonts w:ascii="Arial" w:hAnsi="Arial" w:cs="Arial"/>
          <w:sz w:val="21"/>
          <w:szCs w:val="21"/>
          <w:vertAlign w:val="superscript"/>
          <w:lang w:val="es-MX" w:eastAsia="es-ES_tradnl"/>
        </w:rPr>
        <w:footnoteReference w:id="14"/>
      </w:r>
      <w:r w:rsidRPr="00A42C60">
        <w:rPr>
          <w:rFonts w:ascii="Arial" w:hAnsi="Arial" w:cs="Arial"/>
          <w:sz w:val="21"/>
          <w:szCs w:val="21"/>
          <w:lang w:val="es-MX" w:eastAsia="es-ES_tradnl"/>
        </w:rPr>
        <w:t>. (Aparte en corchetes fuera del original).</w:t>
      </w:r>
      <w:r w:rsidR="00CE3A86" w:rsidRPr="00A42C60">
        <w:rPr>
          <w:rFonts w:ascii="Arial" w:hAnsi="Arial" w:cs="Arial"/>
          <w:szCs w:val="24"/>
          <w:lang w:val="es-MX" w:eastAsia="es-ES_tradnl"/>
        </w:rPr>
        <w:t xml:space="preserve"> (Negrilla por fuera de texto)</w:t>
      </w:r>
    </w:p>
    <w:p w14:paraId="322FD9B4" w14:textId="77777777" w:rsidR="0083037E" w:rsidRPr="00A42C60" w:rsidRDefault="0083037E" w:rsidP="00BD5491">
      <w:pPr>
        <w:spacing w:after="0" w:line="240" w:lineRule="auto"/>
        <w:ind w:left="709" w:right="709"/>
        <w:jc w:val="both"/>
        <w:rPr>
          <w:rFonts w:ascii="Arial" w:hAnsi="Arial" w:cs="Arial"/>
          <w:sz w:val="21"/>
          <w:szCs w:val="21"/>
          <w:lang w:val="es-MX" w:eastAsia="es-ES_tradnl"/>
        </w:rPr>
      </w:pPr>
    </w:p>
    <w:p w14:paraId="218CCF75" w14:textId="63BE4F2E" w:rsidR="00A93518" w:rsidRPr="00A42C60" w:rsidRDefault="00A93518" w:rsidP="0080066A">
      <w:pPr>
        <w:spacing w:after="0" w:line="276" w:lineRule="auto"/>
        <w:ind w:firstLine="709"/>
        <w:jc w:val="both"/>
        <w:rPr>
          <w:rFonts w:ascii="Arial" w:hAnsi="Arial" w:cs="Arial"/>
          <w:szCs w:val="24"/>
          <w:lang w:val="es-MX" w:eastAsia="es-ES_tradnl"/>
        </w:rPr>
      </w:pPr>
      <w:r w:rsidRPr="00A42C60">
        <w:rPr>
          <w:rFonts w:ascii="Arial" w:hAnsi="Arial" w:cs="Arial"/>
          <w:szCs w:val="24"/>
          <w:lang w:val="es-MX" w:eastAsia="es-ES_tradnl"/>
        </w:rPr>
        <w:lastRenderedPageBreak/>
        <w:t>En concordancia</w:t>
      </w:r>
      <w:r w:rsidR="00E04658" w:rsidRPr="00A42C60">
        <w:rPr>
          <w:rFonts w:ascii="Arial" w:hAnsi="Arial" w:cs="Arial"/>
          <w:szCs w:val="24"/>
          <w:lang w:val="es-MX" w:eastAsia="es-ES_tradnl"/>
        </w:rPr>
        <w:t xml:space="preserve"> con lo expuesto</w:t>
      </w:r>
      <w:r w:rsidRPr="00A42C60">
        <w:rPr>
          <w:rFonts w:ascii="Arial" w:hAnsi="Arial" w:cs="Arial"/>
          <w:szCs w:val="24"/>
          <w:lang w:val="es-MX" w:eastAsia="es-ES_tradnl"/>
        </w:rPr>
        <w:t>, la doctrina</w:t>
      </w:r>
      <w:r w:rsidR="00E04658" w:rsidRPr="00A42C60">
        <w:rPr>
          <w:rFonts w:ascii="Arial" w:hAnsi="Arial" w:cs="Arial"/>
          <w:szCs w:val="24"/>
          <w:lang w:val="es-MX" w:eastAsia="es-ES_tradnl"/>
        </w:rPr>
        <w:t xml:space="preserve"> ha</w:t>
      </w:r>
      <w:r w:rsidRPr="00A42C60">
        <w:rPr>
          <w:rFonts w:ascii="Arial" w:hAnsi="Arial" w:cs="Arial"/>
          <w:szCs w:val="24"/>
          <w:lang w:val="es-MX" w:eastAsia="es-ES_tradnl"/>
        </w:rPr>
        <w:t xml:space="preserve"> </w:t>
      </w:r>
      <w:r w:rsidR="00E04658" w:rsidRPr="00A42C60">
        <w:rPr>
          <w:rFonts w:ascii="Arial" w:hAnsi="Arial" w:cs="Arial"/>
          <w:szCs w:val="24"/>
          <w:lang w:val="es-MX" w:eastAsia="es-ES_tradnl"/>
        </w:rPr>
        <w:t xml:space="preserve">definido </w:t>
      </w:r>
      <w:r w:rsidRPr="00A42C60">
        <w:rPr>
          <w:rFonts w:ascii="Arial" w:hAnsi="Arial" w:cs="Arial"/>
          <w:szCs w:val="24"/>
          <w:lang w:val="es-MX" w:eastAsia="es-ES_tradnl"/>
        </w:rPr>
        <w:t xml:space="preserve">dos modalidades de limitación a las adiciones contractuales </w:t>
      </w:r>
      <w:r w:rsidR="00725FE4" w:rsidRPr="00A42C60">
        <w:rPr>
          <w:rFonts w:ascii="Arial" w:hAnsi="Arial" w:cs="Arial"/>
          <w:szCs w:val="24"/>
          <w:lang w:val="es-MX" w:eastAsia="es-ES_tradnl"/>
        </w:rPr>
        <w:t>desde una perspectiva cualitativa y cuantitativa</w:t>
      </w:r>
      <w:r w:rsidR="00BB2CAA" w:rsidRPr="00A42C60">
        <w:rPr>
          <w:rFonts w:ascii="Arial" w:hAnsi="Arial" w:cs="Arial"/>
          <w:szCs w:val="24"/>
          <w:lang w:val="es-MX" w:eastAsia="es-ES_tradnl"/>
        </w:rPr>
        <w:t xml:space="preserve"> que buscan preservar la esencia de este</w:t>
      </w:r>
      <w:r w:rsidRPr="00A42C60">
        <w:rPr>
          <w:rFonts w:ascii="Arial" w:hAnsi="Arial" w:cs="Arial"/>
          <w:szCs w:val="24"/>
          <w:lang w:val="es-MX" w:eastAsia="es-ES_tradnl"/>
        </w:rPr>
        <w:t xml:space="preserve">: </w:t>
      </w:r>
    </w:p>
    <w:p w14:paraId="70A82121" w14:textId="77777777" w:rsidR="00882BB5" w:rsidRPr="00A42C60" w:rsidRDefault="00882BB5" w:rsidP="00E04658">
      <w:pPr>
        <w:spacing w:after="0" w:line="276" w:lineRule="auto"/>
        <w:ind w:left="709" w:right="709"/>
        <w:jc w:val="both"/>
        <w:rPr>
          <w:rFonts w:ascii="Arial" w:hAnsi="Arial" w:cs="Arial"/>
          <w:szCs w:val="24"/>
          <w:lang w:val="es-MX" w:eastAsia="es-ES_tradnl"/>
        </w:rPr>
      </w:pPr>
    </w:p>
    <w:p w14:paraId="69E35D4E" w14:textId="34A6314D" w:rsidR="00882BB5" w:rsidRPr="00A42C60" w:rsidRDefault="00A93518" w:rsidP="00E04658">
      <w:pPr>
        <w:spacing w:after="0" w:line="240" w:lineRule="auto"/>
        <w:ind w:left="709" w:right="709"/>
        <w:jc w:val="both"/>
        <w:rPr>
          <w:rFonts w:ascii="Arial" w:hAnsi="Arial" w:cs="Arial"/>
          <w:sz w:val="21"/>
          <w:szCs w:val="21"/>
          <w:lang w:val="es-MX" w:eastAsia="es-ES_tradnl"/>
        </w:rPr>
      </w:pPr>
      <w:r w:rsidRPr="00A42C60">
        <w:rPr>
          <w:rFonts w:ascii="Arial" w:hAnsi="Arial" w:cs="Arial"/>
          <w:szCs w:val="24"/>
          <w:lang w:val="es-MX" w:eastAsia="es-ES_tradnl"/>
        </w:rPr>
        <w:t xml:space="preserve">Desde el punto de vista </w:t>
      </w:r>
      <w:r w:rsidRPr="00A42C60">
        <w:rPr>
          <w:rFonts w:ascii="Arial" w:hAnsi="Arial" w:cs="Arial"/>
          <w:i/>
          <w:iCs/>
          <w:szCs w:val="24"/>
          <w:lang w:val="es-MX" w:eastAsia="es-ES_tradnl"/>
        </w:rPr>
        <w:t>cuantitativo,</w:t>
      </w:r>
      <w:r w:rsidRPr="00A42C60">
        <w:rPr>
          <w:rFonts w:ascii="Arial" w:hAnsi="Arial" w:cs="Arial"/>
          <w:szCs w:val="24"/>
          <w:lang w:val="es-MX" w:eastAsia="es-ES_tradnl"/>
        </w:rPr>
        <w:t xml:space="preserve"> </w:t>
      </w:r>
      <w:r w:rsidRPr="00A42C60">
        <w:rPr>
          <w:rFonts w:ascii="Arial" w:hAnsi="Arial" w:cs="Arial"/>
          <w:b/>
          <w:bCs/>
          <w:szCs w:val="24"/>
          <w:lang w:val="es-MX" w:eastAsia="es-ES_tradnl"/>
        </w:rPr>
        <w:t>toda modificación que aumente el presupuesto destinado al contrato cuenta, independientemente de las modalidades contractuales y de la forma de pago o de la remuneración del contratista</w:t>
      </w:r>
      <w:r w:rsidRPr="00A42C60">
        <w:rPr>
          <w:rFonts w:ascii="Arial" w:hAnsi="Arial" w:cs="Arial"/>
          <w:szCs w:val="24"/>
          <w:lang w:val="es-MX" w:eastAsia="es-ES_tradnl"/>
        </w:rPr>
        <w:t xml:space="preserve">. El límite significativo del 50% de su valor inicialmente calculado es determinante del umbral a partir del cual el contrato original ha de considerarse cambiado en su esencia. </w:t>
      </w:r>
      <w:r w:rsidR="00882BB5" w:rsidRPr="00A42C60">
        <w:rPr>
          <w:rFonts w:ascii="Arial" w:hAnsi="Arial" w:cs="Arial"/>
          <w:sz w:val="21"/>
          <w:szCs w:val="21"/>
          <w:lang w:val="es-MX" w:eastAsia="es-ES_tradnl"/>
        </w:rPr>
        <w:t>[…]</w:t>
      </w:r>
    </w:p>
    <w:p w14:paraId="66BE2FE9" w14:textId="77777777" w:rsidR="00E04658" w:rsidRPr="00A42C60" w:rsidRDefault="00E04658" w:rsidP="00E04658">
      <w:pPr>
        <w:spacing w:after="0" w:line="240" w:lineRule="auto"/>
        <w:ind w:left="709" w:right="709"/>
        <w:jc w:val="both"/>
        <w:rPr>
          <w:rFonts w:ascii="Arial" w:hAnsi="Arial" w:cs="Arial"/>
          <w:sz w:val="21"/>
          <w:szCs w:val="21"/>
          <w:lang w:val="es-MX" w:eastAsia="es-ES_tradnl"/>
        </w:rPr>
      </w:pPr>
    </w:p>
    <w:p w14:paraId="23ED9251" w14:textId="2940EECA" w:rsidR="00A93518" w:rsidRPr="00A42C60" w:rsidRDefault="00882BB5" w:rsidP="00E04658">
      <w:pPr>
        <w:spacing w:after="0" w:line="240" w:lineRule="auto"/>
        <w:ind w:left="709" w:right="709"/>
        <w:jc w:val="both"/>
        <w:rPr>
          <w:rFonts w:ascii="Arial" w:hAnsi="Arial" w:cs="Arial"/>
          <w:sz w:val="21"/>
          <w:szCs w:val="21"/>
          <w:lang w:val="es-MX" w:eastAsia="es-ES_tradnl"/>
        </w:rPr>
      </w:pPr>
      <w:r w:rsidRPr="00A42C60">
        <w:rPr>
          <w:rFonts w:ascii="Arial" w:hAnsi="Arial" w:cs="Arial"/>
          <w:szCs w:val="24"/>
          <w:lang w:val="es-MX" w:eastAsia="es-ES_tradnl"/>
        </w:rPr>
        <w:t>Y, desde el punto de vista</w:t>
      </w:r>
      <w:r w:rsidRPr="00A42C60">
        <w:rPr>
          <w:rFonts w:ascii="Arial" w:hAnsi="Arial" w:cs="Arial"/>
          <w:i/>
          <w:iCs/>
          <w:szCs w:val="24"/>
          <w:lang w:val="es-MX" w:eastAsia="es-ES_tradnl"/>
        </w:rPr>
        <w:t xml:space="preserve"> cualitativo</w:t>
      </w:r>
      <w:r w:rsidRPr="00A42C60">
        <w:rPr>
          <w:rFonts w:ascii="Arial" w:hAnsi="Arial" w:cs="Arial"/>
          <w:szCs w:val="24"/>
          <w:lang w:val="es-MX" w:eastAsia="es-ES_tradnl"/>
        </w:rPr>
        <w:t xml:space="preserve">, una adición que desnaturaliza el objeto inicial del contrato constituye en realidad una modificación esencial del contrato, lo que daría al traste con todo el proceso previo de selección de contratista para un objeto determinado y aniquilaría toda la estructuración técnica que procedió al proceso de selección. </w:t>
      </w:r>
      <w:r w:rsidRPr="00A42C60">
        <w:rPr>
          <w:rFonts w:ascii="Arial" w:hAnsi="Arial" w:cs="Arial"/>
          <w:sz w:val="21"/>
          <w:szCs w:val="21"/>
          <w:lang w:val="es-MX" w:eastAsia="es-ES_tradnl"/>
        </w:rPr>
        <w:t>[…]</w:t>
      </w:r>
    </w:p>
    <w:p w14:paraId="3B157980" w14:textId="77777777" w:rsidR="00E04658" w:rsidRPr="00A42C60" w:rsidRDefault="00E04658" w:rsidP="00E04658">
      <w:pPr>
        <w:spacing w:after="0" w:line="240" w:lineRule="auto"/>
        <w:ind w:left="709" w:right="709"/>
        <w:jc w:val="both"/>
        <w:rPr>
          <w:rFonts w:ascii="Arial" w:hAnsi="Arial" w:cs="Arial"/>
          <w:sz w:val="21"/>
          <w:szCs w:val="21"/>
          <w:lang w:val="es-MX" w:eastAsia="es-ES_tradnl"/>
        </w:rPr>
      </w:pPr>
    </w:p>
    <w:p w14:paraId="43551C01" w14:textId="69E6AB7B" w:rsidR="00882BB5" w:rsidRPr="00A42C60" w:rsidRDefault="00882BB5" w:rsidP="00E04658">
      <w:pPr>
        <w:spacing w:after="0" w:line="240" w:lineRule="auto"/>
        <w:ind w:left="709" w:right="709"/>
        <w:jc w:val="both"/>
        <w:rPr>
          <w:rFonts w:ascii="Arial" w:hAnsi="Arial" w:cs="Arial"/>
          <w:szCs w:val="24"/>
          <w:lang w:val="es-MX" w:eastAsia="es-ES_tradnl"/>
        </w:rPr>
      </w:pPr>
      <w:r w:rsidRPr="00A42C60">
        <w:rPr>
          <w:rFonts w:ascii="Arial" w:hAnsi="Arial" w:cs="Arial"/>
          <w:szCs w:val="24"/>
          <w:lang w:val="es-MX" w:eastAsia="es-ES_tradnl"/>
        </w:rPr>
        <w:t xml:space="preserve">Puede entonces apreciarse que la limitación </w:t>
      </w:r>
      <w:r w:rsidRPr="00A42C60">
        <w:rPr>
          <w:rFonts w:ascii="Arial" w:hAnsi="Arial" w:cs="Arial"/>
          <w:i/>
          <w:iCs/>
          <w:szCs w:val="24"/>
          <w:lang w:val="es-MX" w:eastAsia="es-ES_tradnl"/>
        </w:rPr>
        <w:t>cuantitativa</w:t>
      </w:r>
      <w:r w:rsidRPr="00A42C60">
        <w:rPr>
          <w:rFonts w:ascii="Arial" w:hAnsi="Arial" w:cs="Arial"/>
          <w:szCs w:val="24"/>
          <w:lang w:val="es-MX" w:eastAsia="es-ES_tradnl"/>
        </w:rPr>
        <w:t xml:space="preserve"> de las adiciones contractuales es simple de apreciar. Una vez superada la distinción entre contrato estatal </w:t>
      </w:r>
      <w:r w:rsidR="00E04658" w:rsidRPr="00A42C60">
        <w:rPr>
          <w:rFonts w:ascii="Arial" w:hAnsi="Arial" w:cs="Arial"/>
          <w:szCs w:val="24"/>
          <w:lang w:val="es-MX" w:eastAsia="es-ES_tradnl"/>
        </w:rPr>
        <w:t xml:space="preserve">y adición del contrato y la consecuente particularidad de los contratos a precios unitarios, </w:t>
      </w:r>
      <w:r w:rsidR="00E04658" w:rsidRPr="00A42C60">
        <w:rPr>
          <w:rFonts w:ascii="Arial" w:hAnsi="Arial" w:cs="Arial"/>
          <w:b/>
          <w:bCs/>
          <w:szCs w:val="24"/>
          <w:lang w:val="es-MX" w:eastAsia="es-ES_tradnl"/>
        </w:rPr>
        <w:t xml:space="preserve">las </w:t>
      </w:r>
      <w:r w:rsidR="00E04658" w:rsidRPr="00A42C60">
        <w:rPr>
          <w:rFonts w:ascii="Arial" w:hAnsi="Arial" w:cs="Arial"/>
          <w:b/>
          <w:bCs/>
          <w:i/>
          <w:iCs/>
          <w:szCs w:val="24"/>
          <w:lang w:val="es-MX" w:eastAsia="es-ES_tradnl"/>
        </w:rPr>
        <w:t>adiciones</w:t>
      </w:r>
      <w:r w:rsidR="00E04658" w:rsidRPr="00A42C60">
        <w:rPr>
          <w:rFonts w:ascii="Arial" w:hAnsi="Arial" w:cs="Arial"/>
          <w:b/>
          <w:bCs/>
          <w:szCs w:val="24"/>
          <w:lang w:val="es-MX" w:eastAsia="es-ES_tradnl"/>
        </w:rPr>
        <w:t xml:space="preserve"> del parágrafo del artículo 40 de la Ley 80/93 comprenden cualquier aumento del valor o costo del contrato</w:t>
      </w:r>
      <w:r w:rsidR="00E04658" w:rsidRPr="00A42C60">
        <w:rPr>
          <w:rStyle w:val="Refdenotaalpie"/>
          <w:rFonts w:ascii="Arial" w:hAnsi="Arial" w:cs="Arial"/>
          <w:szCs w:val="24"/>
          <w:lang w:val="es-MX" w:eastAsia="es-ES_tradnl"/>
        </w:rPr>
        <w:footnoteReference w:id="15"/>
      </w:r>
      <w:r w:rsidR="00E04658" w:rsidRPr="00A42C60">
        <w:rPr>
          <w:rFonts w:ascii="Arial" w:hAnsi="Arial" w:cs="Arial"/>
          <w:szCs w:val="24"/>
          <w:lang w:val="es-MX" w:eastAsia="es-ES_tradnl"/>
        </w:rPr>
        <w:t xml:space="preserve">. </w:t>
      </w:r>
      <w:r w:rsidR="00CE3A86" w:rsidRPr="00A42C60">
        <w:rPr>
          <w:rFonts w:ascii="Arial" w:hAnsi="Arial" w:cs="Arial"/>
          <w:szCs w:val="24"/>
          <w:lang w:val="es-MX" w:eastAsia="es-ES_tradnl"/>
        </w:rPr>
        <w:t>(Negrilla por fuera de texto)</w:t>
      </w:r>
    </w:p>
    <w:p w14:paraId="2203904D" w14:textId="77777777" w:rsidR="00E04658" w:rsidRPr="00A42C60" w:rsidRDefault="00E04658" w:rsidP="0080066A">
      <w:pPr>
        <w:spacing w:after="0" w:line="240" w:lineRule="auto"/>
        <w:ind w:firstLine="709"/>
        <w:jc w:val="both"/>
        <w:rPr>
          <w:rFonts w:ascii="Arial" w:hAnsi="Arial" w:cs="Arial"/>
          <w:szCs w:val="24"/>
          <w:lang w:val="es-MX" w:eastAsia="es-ES_tradnl"/>
        </w:rPr>
      </w:pPr>
    </w:p>
    <w:p w14:paraId="00081AC1" w14:textId="544AE3F9" w:rsidR="0083037E" w:rsidRPr="00A42C60" w:rsidRDefault="0083037E" w:rsidP="00CE3A86">
      <w:pPr>
        <w:spacing w:after="0" w:line="276" w:lineRule="auto"/>
        <w:ind w:firstLine="709"/>
        <w:jc w:val="both"/>
        <w:rPr>
          <w:rFonts w:ascii="Arial" w:hAnsi="Arial" w:cs="Arial"/>
          <w:szCs w:val="24"/>
          <w:lang w:val="es-MX" w:eastAsia="es-ES_tradnl"/>
        </w:rPr>
      </w:pPr>
      <w:r w:rsidRPr="00A42C60">
        <w:rPr>
          <w:rFonts w:ascii="Arial" w:hAnsi="Arial" w:cs="Arial"/>
          <w:szCs w:val="24"/>
          <w:lang w:val="es-MX" w:eastAsia="es-ES_tradnl"/>
        </w:rPr>
        <w:t xml:space="preserve">La postura anterior también es defendida por la Sección Tercera del Consejo de Estado, </w:t>
      </w:r>
      <w:r w:rsidR="00C06845">
        <w:rPr>
          <w:rFonts w:ascii="Arial" w:hAnsi="Arial" w:cs="Arial"/>
          <w:szCs w:val="24"/>
          <w:lang w:val="es-MX" w:eastAsia="es-ES_tradnl"/>
        </w:rPr>
        <w:t>que,</w:t>
      </w:r>
      <w:r w:rsidR="00C06845" w:rsidRPr="00A42C60">
        <w:rPr>
          <w:rFonts w:ascii="Arial" w:hAnsi="Arial" w:cs="Arial"/>
          <w:szCs w:val="24"/>
          <w:lang w:val="es-MX" w:eastAsia="es-ES_tradnl"/>
        </w:rPr>
        <w:t xml:space="preserve"> </w:t>
      </w:r>
      <w:r w:rsidRPr="00A42C60">
        <w:rPr>
          <w:rFonts w:ascii="Arial" w:hAnsi="Arial" w:cs="Arial"/>
          <w:szCs w:val="24"/>
          <w:lang w:val="es-MX" w:eastAsia="es-ES_tradnl"/>
        </w:rPr>
        <w:t>en el año 2010</w:t>
      </w:r>
      <w:r w:rsidR="00C06845">
        <w:rPr>
          <w:rFonts w:ascii="Arial" w:hAnsi="Arial" w:cs="Arial"/>
          <w:szCs w:val="24"/>
          <w:lang w:val="es-MX" w:eastAsia="es-ES_tradnl"/>
        </w:rPr>
        <w:t>, se pronunció al respecto</w:t>
      </w:r>
      <w:r w:rsidRPr="00A42C60">
        <w:rPr>
          <w:rFonts w:ascii="Arial" w:hAnsi="Arial" w:cs="Arial"/>
          <w:szCs w:val="24"/>
          <w:lang w:val="es-MX" w:eastAsia="es-ES_tradnl"/>
        </w:rPr>
        <w:t xml:space="preserve"> </w:t>
      </w:r>
      <w:r w:rsidR="00B51C17">
        <w:rPr>
          <w:rFonts w:ascii="Arial" w:hAnsi="Arial" w:cs="Arial"/>
          <w:szCs w:val="24"/>
          <w:lang w:val="es-MX" w:eastAsia="es-ES_tradnl"/>
        </w:rPr>
        <w:t>al resolver sobre</w:t>
      </w:r>
      <w:r w:rsidRPr="00A42C60">
        <w:rPr>
          <w:rFonts w:ascii="Arial" w:hAnsi="Arial" w:cs="Arial"/>
          <w:szCs w:val="24"/>
          <w:lang w:val="es-MX" w:eastAsia="es-ES_tradnl"/>
        </w:rPr>
        <w:t xml:space="preserve"> la legalidad del artículo 73 del Decreto 2474 de 2008, que autorizaba la adición de algunos contratos por encima del 50%. La Sección Tercera declaró su nulidad</w:t>
      </w:r>
      <w:r w:rsidR="00B51C17">
        <w:rPr>
          <w:rFonts w:ascii="Arial" w:hAnsi="Arial" w:cs="Arial"/>
          <w:szCs w:val="24"/>
          <w:lang w:val="es-MX" w:eastAsia="es-ES_tradnl"/>
        </w:rPr>
        <w:t xml:space="preserve"> de dicha norma</w:t>
      </w:r>
      <w:r w:rsidRPr="00A42C60">
        <w:rPr>
          <w:rFonts w:ascii="Arial" w:hAnsi="Arial" w:cs="Arial"/>
          <w:szCs w:val="24"/>
          <w:lang w:val="es-MX" w:eastAsia="es-ES_tradnl"/>
        </w:rPr>
        <w:t xml:space="preserve"> en la sentencia del 14 de abril de 2010, </w:t>
      </w:r>
      <w:r w:rsidR="00B51C17">
        <w:rPr>
          <w:rFonts w:ascii="Arial" w:hAnsi="Arial" w:cs="Arial"/>
          <w:szCs w:val="24"/>
          <w:lang w:val="es-MX" w:eastAsia="es-ES_tradnl"/>
        </w:rPr>
        <w:t>exponiendo</w:t>
      </w:r>
      <w:r w:rsidR="00B51C17" w:rsidRPr="00A42C60">
        <w:rPr>
          <w:rFonts w:ascii="Arial" w:hAnsi="Arial" w:cs="Arial"/>
          <w:szCs w:val="24"/>
          <w:lang w:val="es-MX" w:eastAsia="es-ES_tradnl"/>
        </w:rPr>
        <w:t xml:space="preserve"> </w:t>
      </w:r>
      <w:r w:rsidRPr="00A42C60">
        <w:rPr>
          <w:rFonts w:ascii="Arial" w:hAnsi="Arial" w:cs="Arial"/>
          <w:szCs w:val="24"/>
          <w:lang w:val="es-MX" w:eastAsia="es-ES_tradnl"/>
        </w:rPr>
        <w:t>los siguientes argumentos:</w:t>
      </w:r>
    </w:p>
    <w:p w14:paraId="7787C666" w14:textId="77777777" w:rsidR="00BD5491" w:rsidRPr="00A42C60" w:rsidRDefault="00BD5491" w:rsidP="00BD5491">
      <w:pPr>
        <w:spacing w:after="0" w:line="276" w:lineRule="auto"/>
        <w:jc w:val="both"/>
        <w:rPr>
          <w:rFonts w:ascii="Arial" w:hAnsi="Arial" w:cs="Arial"/>
          <w:szCs w:val="24"/>
          <w:lang w:val="es-MX" w:eastAsia="es-ES_tradnl"/>
        </w:rPr>
      </w:pPr>
    </w:p>
    <w:p w14:paraId="51F70167" w14:textId="41238B4E" w:rsidR="0083037E" w:rsidRPr="00A42C60" w:rsidRDefault="0083037E" w:rsidP="00BD5491">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 xml:space="preserve">La Sala acogerá la pretensión formulada en atención a que como ya ha sostenido la jurisprudencia de esta Corporación las expresiones utilizadas por la ley («adicionar» y «valor inicial»), hacen referencia a la necesidad de operar modificaciones en algunos negocios jurídicos, lo cual implica una variación en el valor pactado. En este evento, se trata de obras nuevas o distintas indispensables para alcanzar la finalidad perseguida con el acuerdo de voluntades. No obstante lo anterior, </w:t>
      </w:r>
      <w:r w:rsidRPr="00A42C60">
        <w:rPr>
          <w:rFonts w:ascii="Arial" w:hAnsi="Arial" w:cs="Arial"/>
          <w:b/>
          <w:bCs/>
          <w:sz w:val="21"/>
          <w:szCs w:val="21"/>
          <w:lang w:val="es-MX" w:eastAsia="es-ES_tradnl"/>
        </w:rPr>
        <w:t xml:space="preserve">la legislación vigente contempla una limitante: el valor de lo adicionado no puede sobrepasar la mitad de lo inicialmente pactado, asegurándose su actualización mediante las variaciones que presenta el salario mínimo legal mensual. La prohibición </w:t>
      </w:r>
      <w:r w:rsidRPr="00A42C60">
        <w:rPr>
          <w:rFonts w:ascii="Arial" w:hAnsi="Arial" w:cs="Arial"/>
          <w:b/>
          <w:bCs/>
          <w:sz w:val="21"/>
          <w:szCs w:val="21"/>
          <w:lang w:val="es-MX" w:eastAsia="es-ES_tradnl"/>
        </w:rPr>
        <w:lastRenderedPageBreak/>
        <w:t>expresada por el legislador en el artículo 40 del Estatuto de contratación estatal, es una medida que no sólo busca que no se burlen los procedimientos de selección, sino que además asegura principios como la transparencia, la selección objetiva y la planeación</w:t>
      </w:r>
      <w:r w:rsidR="00BD5491" w:rsidRPr="00A42C60">
        <w:rPr>
          <w:rFonts w:ascii="Arial" w:hAnsi="Arial" w:cs="Arial"/>
          <w:sz w:val="21"/>
          <w:szCs w:val="21"/>
          <w:lang w:val="es-MX" w:eastAsia="es-ES_tradnl"/>
        </w:rPr>
        <w:t>.</w:t>
      </w:r>
    </w:p>
    <w:p w14:paraId="0BFDBB77" w14:textId="77777777" w:rsidR="0083037E" w:rsidRPr="00A42C60" w:rsidRDefault="0083037E" w:rsidP="00BD5491">
      <w:pPr>
        <w:spacing w:after="0" w:line="240" w:lineRule="auto"/>
        <w:ind w:left="709" w:right="709"/>
        <w:jc w:val="both"/>
        <w:rPr>
          <w:rFonts w:ascii="Arial" w:hAnsi="Arial" w:cs="Arial"/>
          <w:sz w:val="21"/>
          <w:szCs w:val="21"/>
          <w:lang w:val="es-MX" w:eastAsia="es-ES_tradnl"/>
        </w:rPr>
      </w:pPr>
    </w:p>
    <w:p w14:paraId="42DB0837" w14:textId="12E838EA" w:rsidR="0083037E" w:rsidRPr="00A42C60" w:rsidRDefault="0083037E" w:rsidP="00BD5491">
      <w:pPr>
        <w:spacing w:after="0" w:line="240" w:lineRule="auto"/>
        <w:ind w:left="709" w:right="709"/>
        <w:jc w:val="both"/>
        <w:rPr>
          <w:rFonts w:ascii="Arial" w:hAnsi="Arial" w:cs="Arial"/>
          <w:szCs w:val="24"/>
          <w:lang w:val="es-MX" w:eastAsia="es-ES_tradnl"/>
        </w:rPr>
      </w:pPr>
      <w:r w:rsidRPr="00A42C60">
        <w:rPr>
          <w:rFonts w:ascii="Arial" w:hAnsi="Arial" w:cs="Arial"/>
          <w:sz w:val="21"/>
          <w:szCs w:val="21"/>
          <w:lang w:val="es-MX" w:eastAsia="es-ES_tradnl"/>
        </w:rPr>
        <w:t>Llegados a este punto, se encuentra que la norma demandada tiene el alcance que el demandante le endilga, en ella se señala la posibilidad de adicionar el contrato de interventoría sin atender a ningún límite de valor, el único criterio que se tiene presente es la prórroga del contrato sobre el cual se realiza la inspección y vigilancia. En otras palabras, se permite una adición que no tiene en cuenta la prohibición establecida en el artículo 40 de la Ley 80 de 1993 y que podría sobrepasar en más de un 50% el valor de lo inicialmente pactado</w:t>
      </w:r>
      <w:r w:rsidRPr="00A42C60">
        <w:rPr>
          <w:rFonts w:ascii="Arial" w:hAnsi="Arial" w:cs="Arial"/>
          <w:sz w:val="21"/>
          <w:szCs w:val="21"/>
          <w:vertAlign w:val="superscript"/>
          <w:lang w:val="es-MX" w:eastAsia="es-ES_tradnl"/>
        </w:rPr>
        <w:footnoteReference w:id="16"/>
      </w:r>
      <w:r w:rsidRPr="00A42C60">
        <w:rPr>
          <w:rFonts w:ascii="Arial" w:hAnsi="Arial" w:cs="Arial"/>
          <w:sz w:val="21"/>
          <w:szCs w:val="21"/>
          <w:vertAlign w:val="superscript"/>
          <w:lang w:val="es-MX" w:eastAsia="es-ES_tradnl"/>
        </w:rPr>
        <w:t>.</w:t>
      </w:r>
      <w:r w:rsidR="00CE3A86" w:rsidRPr="00A42C60">
        <w:rPr>
          <w:rFonts w:ascii="Arial" w:hAnsi="Arial" w:cs="Arial"/>
          <w:szCs w:val="24"/>
          <w:lang w:val="es-MX" w:eastAsia="es-ES_tradnl"/>
        </w:rPr>
        <w:t>(Negrilla por fuera de texto).</w:t>
      </w:r>
    </w:p>
    <w:p w14:paraId="71DC2792" w14:textId="25E6FF95" w:rsidR="00CE3A86" w:rsidRPr="00A42C60" w:rsidRDefault="00CE3A86" w:rsidP="00BD5491">
      <w:pPr>
        <w:spacing w:after="0" w:line="240" w:lineRule="auto"/>
        <w:ind w:left="709" w:right="709"/>
        <w:jc w:val="both"/>
        <w:rPr>
          <w:rFonts w:ascii="Arial" w:hAnsi="Arial" w:cs="Arial"/>
          <w:szCs w:val="24"/>
          <w:lang w:val="es-MX" w:eastAsia="es-ES_tradnl"/>
        </w:rPr>
      </w:pPr>
    </w:p>
    <w:p w14:paraId="518F969D" w14:textId="5175338D" w:rsidR="0017199E" w:rsidRPr="00A42C60" w:rsidRDefault="003F40D6" w:rsidP="0017199E">
      <w:pPr>
        <w:spacing w:before="120" w:after="0" w:line="276" w:lineRule="auto"/>
        <w:ind w:firstLine="709"/>
        <w:jc w:val="both"/>
        <w:rPr>
          <w:rFonts w:ascii="Arial" w:hAnsi="Arial" w:cs="Arial"/>
          <w:szCs w:val="24"/>
          <w:lang w:val="es-MX" w:eastAsia="es-ES_tradnl"/>
        </w:rPr>
      </w:pPr>
      <w:r w:rsidRPr="00A42C60">
        <w:rPr>
          <w:rFonts w:ascii="Arial" w:hAnsi="Arial" w:cs="Arial"/>
          <w:szCs w:val="24"/>
          <w:lang w:val="es-MX" w:eastAsia="es-ES_tradnl"/>
        </w:rPr>
        <w:t>Asimismo, e</w:t>
      </w:r>
      <w:r w:rsidR="00CE3A86" w:rsidRPr="00A42C60">
        <w:rPr>
          <w:rFonts w:ascii="Arial" w:hAnsi="Arial" w:cs="Arial"/>
          <w:szCs w:val="24"/>
          <w:lang w:val="es-MX" w:eastAsia="es-ES_tradnl"/>
        </w:rPr>
        <w:t xml:space="preserve">sta postura también es sostenida por el Consejo de Estado en otras providencias en las que se indica que </w:t>
      </w:r>
      <w:r w:rsidR="0017199E" w:rsidRPr="00A42C60">
        <w:rPr>
          <w:rFonts w:ascii="Arial" w:hAnsi="Arial" w:cs="Arial"/>
          <w:szCs w:val="24"/>
          <w:lang w:val="es-MX" w:eastAsia="es-ES_tradnl"/>
        </w:rPr>
        <w:t>en el evento de mayores cantidades de obra se puede proceder acudiendo a la compensación o, en su defecto, a la suscripción de un contrato adicional</w:t>
      </w:r>
      <w:r w:rsidR="00BB2CAA" w:rsidRPr="00A42C60">
        <w:rPr>
          <w:rFonts w:ascii="Arial" w:hAnsi="Arial" w:cs="Arial"/>
          <w:szCs w:val="24"/>
          <w:lang w:val="es-MX" w:eastAsia="es-ES_tradnl"/>
        </w:rPr>
        <w:t xml:space="preserve"> </w:t>
      </w:r>
      <w:r w:rsidR="0017199E" w:rsidRPr="00A42C60">
        <w:rPr>
          <w:rFonts w:ascii="Arial" w:hAnsi="Arial" w:cs="Arial"/>
          <w:szCs w:val="24"/>
          <w:lang w:val="es-MX" w:eastAsia="es-ES_tradnl"/>
        </w:rPr>
        <w:t xml:space="preserve">sujeto a la verificación de la disponibilidad presupuestal: </w:t>
      </w:r>
    </w:p>
    <w:p w14:paraId="6AAA1F58" w14:textId="77777777" w:rsidR="0017199E" w:rsidRPr="00A42C60" w:rsidRDefault="0017199E" w:rsidP="0017199E">
      <w:pPr>
        <w:spacing w:after="0" w:line="276" w:lineRule="auto"/>
        <w:ind w:firstLine="709"/>
        <w:jc w:val="both"/>
        <w:rPr>
          <w:rFonts w:ascii="Arial" w:hAnsi="Arial" w:cs="Arial"/>
          <w:szCs w:val="24"/>
          <w:lang w:val="es-MX" w:eastAsia="es-ES_tradnl"/>
        </w:rPr>
      </w:pPr>
    </w:p>
    <w:p w14:paraId="29AEA491" w14:textId="182D5ED0" w:rsidR="00604FBF" w:rsidRPr="00A42C60" w:rsidRDefault="0017199E" w:rsidP="00604FBF">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En el contrato de obra suscrito bajo la modalidad de pago por precios unitarios, el reconocimiento de las mayores cantidades de obra, cuando ellas resulten necesarias para cumplir con el objeto contractual, bien puede realizarse por vía de compensación con otros ítems cuyas cantidades se hayan ejecutado por debajo de la proporción estimada, lo cual deberá constar en un acta suscrita entre el contratista y el interventor autorizado o, en su defecto, por el representante legal de la entidad; o, cuando ello no sea posible, por sobrepasar el estimativo inicial a través de la suscripción de un contrato adicional (en el valor) sujeto a la previa verificación de la existencia de disponibilidad presupuestal para atender el compromiso y luego reflejadas en las actas de recibo firmadas por las partes, o a más tardar en el acta de liquidación del contrato, respaldadas con las respectiva disponibilidad presupuestal y siempre que hayan sido autorizadas</w:t>
      </w:r>
      <w:r w:rsidRPr="00A42C60">
        <w:rPr>
          <w:rStyle w:val="Refdenotaalpie"/>
          <w:rFonts w:ascii="Arial" w:hAnsi="Arial" w:cs="Arial"/>
          <w:sz w:val="21"/>
          <w:szCs w:val="21"/>
          <w:lang w:val="es-MX" w:eastAsia="es-ES_tradnl"/>
        </w:rPr>
        <w:footnoteReference w:id="17"/>
      </w:r>
      <w:r w:rsidRPr="00A42C60">
        <w:rPr>
          <w:rFonts w:ascii="Arial" w:hAnsi="Arial" w:cs="Arial"/>
          <w:sz w:val="21"/>
          <w:szCs w:val="21"/>
          <w:lang w:val="es-MX" w:eastAsia="es-ES_tradnl"/>
        </w:rPr>
        <w:t>.</w:t>
      </w:r>
    </w:p>
    <w:p w14:paraId="1F9B2050" w14:textId="77777777" w:rsidR="000D4F49" w:rsidRPr="00A42C60" w:rsidRDefault="000D4F49" w:rsidP="00AD54D1">
      <w:pPr>
        <w:spacing w:after="0" w:line="276" w:lineRule="auto"/>
        <w:ind w:left="709" w:right="709"/>
        <w:jc w:val="both"/>
        <w:rPr>
          <w:rFonts w:ascii="Arial" w:hAnsi="Arial" w:cs="Arial"/>
          <w:sz w:val="21"/>
          <w:szCs w:val="21"/>
          <w:lang w:val="es-MX" w:eastAsia="es-ES_tradnl"/>
        </w:rPr>
      </w:pPr>
    </w:p>
    <w:p w14:paraId="4487C8C2" w14:textId="435D93A8" w:rsidR="002E7732" w:rsidRPr="00A42C60" w:rsidRDefault="00474158" w:rsidP="00AD54D1">
      <w:pPr>
        <w:spacing w:after="0" w:line="276" w:lineRule="auto"/>
        <w:ind w:firstLine="709"/>
        <w:jc w:val="both"/>
        <w:rPr>
          <w:rFonts w:ascii="Arial" w:hAnsi="Arial" w:cs="Arial"/>
          <w:szCs w:val="24"/>
          <w:lang w:eastAsia="es-ES_tradnl"/>
        </w:rPr>
      </w:pPr>
      <w:r w:rsidRPr="00A42C60">
        <w:rPr>
          <w:rFonts w:ascii="Arial" w:hAnsi="Arial" w:cs="Arial"/>
          <w:szCs w:val="24"/>
          <w:lang w:eastAsia="es-ES_tradnl"/>
        </w:rPr>
        <w:t>En s</w:t>
      </w:r>
      <w:r w:rsidR="002E7732" w:rsidRPr="00A42C60">
        <w:rPr>
          <w:rFonts w:ascii="Arial" w:hAnsi="Arial" w:cs="Arial"/>
          <w:szCs w:val="24"/>
          <w:lang w:eastAsia="es-ES_tradnl"/>
        </w:rPr>
        <w:t>entencia del 9 de julio de 2021 del Consejo de Estado, se realizó una aclaración de voto</w:t>
      </w:r>
      <w:r w:rsidRPr="00A42C60">
        <w:rPr>
          <w:rFonts w:ascii="Arial" w:hAnsi="Arial" w:cs="Arial"/>
          <w:szCs w:val="24"/>
          <w:lang w:eastAsia="es-ES_tradnl"/>
        </w:rPr>
        <w:t xml:space="preserve"> que vale la pena destacar,</w:t>
      </w:r>
      <w:r w:rsidR="002E7732" w:rsidRPr="00A42C60">
        <w:rPr>
          <w:rFonts w:ascii="Arial" w:hAnsi="Arial" w:cs="Arial"/>
          <w:szCs w:val="24"/>
          <w:lang w:eastAsia="es-ES_tradnl"/>
        </w:rPr>
        <w:t xml:space="preserve"> en </w:t>
      </w:r>
      <w:r w:rsidRPr="00A42C60">
        <w:rPr>
          <w:rFonts w:ascii="Arial" w:hAnsi="Arial" w:cs="Arial"/>
          <w:szCs w:val="24"/>
          <w:lang w:eastAsia="es-ES_tradnl"/>
        </w:rPr>
        <w:t xml:space="preserve">cuanto reitera esta postura en relación con la limitación de la adición del contrato. </w:t>
      </w:r>
      <w:r w:rsidR="002E7732" w:rsidRPr="00A42C60">
        <w:rPr>
          <w:rFonts w:ascii="Arial" w:hAnsi="Arial" w:cs="Arial"/>
          <w:szCs w:val="24"/>
          <w:lang w:eastAsia="es-ES_tradnl"/>
        </w:rPr>
        <w:t xml:space="preserve">En esta oportunidad se indicó que </w:t>
      </w:r>
      <w:bookmarkStart w:id="2" w:name="_Hlk119400783"/>
      <w:r w:rsidR="002E7732" w:rsidRPr="00A42C60">
        <w:rPr>
          <w:rFonts w:ascii="Arial" w:hAnsi="Arial" w:cs="Arial"/>
          <w:szCs w:val="24"/>
          <w:lang w:val="es-ES" w:eastAsia="es-ES_tradnl"/>
        </w:rPr>
        <w:t>«</w:t>
      </w:r>
      <w:bookmarkEnd w:id="2"/>
      <w:r w:rsidR="002E7732" w:rsidRPr="00A42C60">
        <w:rPr>
          <w:rFonts w:ascii="Arial" w:hAnsi="Arial" w:cs="Arial"/>
          <w:bCs/>
          <w:szCs w:val="24"/>
          <w:lang w:val="es-ES" w:eastAsia="es-ES_tradnl"/>
        </w:rPr>
        <w:t xml:space="preserve">En el párrafo 34 de la sentencia se señaló que en contratos a precios unitarios, la cláusula de valor es “meramente indicativa”.  </w:t>
      </w:r>
      <w:r w:rsidR="002E7732" w:rsidRPr="00A42C60">
        <w:rPr>
          <w:rFonts w:ascii="Arial" w:hAnsi="Arial" w:cs="Arial"/>
          <w:bCs/>
          <w:i/>
          <w:iCs/>
          <w:szCs w:val="24"/>
          <w:lang w:val="es-ES" w:eastAsia="es-ES_tradnl"/>
        </w:rPr>
        <w:t xml:space="preserve">Al respecto estimo que el precio no puede fluctuar libremente al </w:t>
      </w:r>
      <w:r w:rsidR="002E7732" w:rsidRPr="00A42C60">
        <w:rPr>
          <w:rFonts w:ascii="Arial" w:hAnsi="Arial" w:cs="Arial"/>
          <w:bCs/>
          <w:i/>
          <w:iCs/>
          <w:szCs w:val="24"/>
          <w:lang w:val="es-ES" w:eastAsia="es-ES_tradnl"/>
        </w:rPr>
        <w:lastRenderedPageBreak/>
        <w:t>arbitrio de las partes, en tanto la ley</w:t>
      </w:r>
      <w:r w:rsidR="002E7732" w:rsidRPr="00A42C60">
        <w:rPr>
          <w:rFonts w:ascii="Arial" w:hAnsi="Arial" w:cs="Arial"/>
          <w:bCs/>
          <w:i/>
          <w:iCs/>
          <w:szCs w:val="24"/>
          <w:vertAlign w:val="superscript"/>
          <w:lang w:val="es-ES" w:eastAsia="es-ES_tradnl"/>
        </w:rPr>
        <w:footnoteRef/>
      </w:r>
      <w:r w:rsidR="002E7732" w:rsidRPr="00A42C60">
        <w:rPr>
          <w:rFonts w:ascii="Arial" w:hAnsi="Arial" w:cs="Arial"/>
          <w:bCs/>
          <w:i/>
          <w:iCs/>
          <w:szCs w:val="24"/>
          <w:lang w:val="es-ES" w:eastAsia="es-ES_tradnl"/>
        </w:rPr>
        <w:t xml:space="preserve"> impone restricciones a la posibilidad de adicionarlo, sin atención a la modalidad pactada en el contrato</w:t>
      </w:r>
      <w:r w:rsidR="002E7732" w:rsidRPr="00A42C60">
        <w:rPr>
          <w:rFonts w:ascii="Arial" w:hAnsi="Arial" w:cs="Arial"/>
          <w:bCs/>
          <w:szCs w:val="24"/>
          <w:lang w:val="es-ES" w:eastAsia="es-ES_tradnl"/>
        </w:rPr>
        <w:t>. A juicio del suscrito, el deber de planeación a cargo de las entidad estatales impone determinar, en forma previa, el alcance del objeto contractual, de modo que, de antemano, se conozca con alto grado de aproximación, el alcance de los trabajos. El máximo margen de desfase admisible está previsto en la ley como límite a la posibilidad de adicionar los contratos, insisto, con independencia de si los precios fueron globales o unitarios</w:t>
      </w:r>
      <w:r w:rsidR="002E7732" w:rsidRPr="00A42C60">
        <w:rPr>
          <w:rFonts w:ascii="Arial" w:hAnsi="Arial" w:cs="Arial"/>
          <w:szCs w:val="24"/>
          <w:lang w:val="es-ES" w:eastAsia="es-ES_tradnl"/>
        </w:rPr>
        <w:t>»</w:t>
      </w:r>
      <w:r w:rsidR="002E7732" w:rsidRPr="00A42C60">
        <w:rPr>
          <w:rStyle w:val="Refdenotaalpie"/>
          <w:rFonts w:ascii="Arial" w:hAnsi="Arial" w:cs="Arial"/>
          <w:szCs w:val="24"/>
          <w:lang w:val="es-ES" w:eastAsia="es-ES_tradnl"/>
        </w:rPr>
        <w:footnoteReference w:id="18"/>
      </w:r>
      <w:r w:rsidR="002E7732" w:rsidRPr="00A42C60">
        <w:rPr>
          <w:rFonts w:ascii="Arial" w:hAnsi="Arial" w:cs="Arial"/>
          <w:bCs/>
          <w:szCs w:val="24"/>
          <w:lang w:val="es-ES" w:eastAsia="es-ES_tradnl"/>
        </w:rPr>
        <w:t xml:space="preserve">. (Énfasis por fuera de texto). </w:t>
      </w:r>
    </w:p>
    <w:p w14:paraId="1B164BD2" w14:textId="4338F0C5" w:rsidR="002E7732" w:rsidRPr="00A42C60" w:rsidRDefault="002E7732" w:rsidP="00AD54D1">
      <w:pPr>
        <w:spacing w:before="120" w:after="0" w:line="276" w:lineRule="auto"/>
        <w:ind w:firstLine="709"/>
        <w:jc w:val="both"/>
        <w:rPr>
          <w:rFonts w:ascii="Arial" w:hAnsi="Arial" w:cs="Arial"/>
          <w:szCs w:val="24"/>
          <w:lang w:val="es-MX" w:eastAsia="es-ES_tradnl"/>
        </w:rPr>
      </w:pPr>
      <w:r w:rsidRPr="00A42C60">
        <w:rPr>
          <w:rFonts w:ascii="Arial" w:hAnsi="Arial" w:cs="Arial"/>
          <w:szCs w:val="24"/>
          <w:lang w:val="es-MX" w:eastAsia="es-ES_tradnl"/>
        </w:rPr>
        <w:t>En este contexto, reiterando lo expuesto en otros conceptos, esta Agencia comparte la última postura</w:t>
      </w:r>
      <w:r w:rsidR="00F20953" w:rsidRPr="00A42C60">
        <w:rPr>
          <w:rFonts w:ascii="Arial" w:hAnsi="Arial" w:cs="Arial"/>
          <w:szCs w:val="24"/>
          <w:lang w:val="es-MX" w:eastAsia="es-ES_tradnl"/>
        </w:rPr>
        <w:t xml:space="preserve"> expuesta</w:t>
      </w:r>
      <w:r w:rsidRPr="00A42C60">
        <w:rPr>
          <w:rFonts w:ascii="Arial" w:hAnsi="Arial" w:cs="Arial"/>
          <w:szCs w:val="24"/>
          <w:lang w:val="es-MX" w:eastAsia="es-ES_tradnl"/>
        </w:rPr>
        <w:t xml:space="preserve">, ya que es la que mejor garantiza el principio de legalidad, pues la norma es clara en señalar que los contratos no podrán adicionarse en más del cincuenta por ciento (50%) de su valor inicial, y valga la redundancia, el valor inicial es el contemplado en el contrato originario y cualquier alteración a ese valor constituirá, técnicamente, una adición, independientemente de cuál sea su causa; lo otro implicaría una fuga a la prohibición fijada por el legislador, sin perjuicio de las excepciones contempladas por Ley. </w:t>
      </w:r>
    </w:p>
    <w:p w14:paraId="0F42AA6B" w14:textId="33DAD876" w:rsidR="002E7732" w:rsidRPr="00A42C60" w:rsidRDefault="004F5159" w:rsidP="003E4047">
      <w:pPr>
        <w:spacing w:before="120" w:after="0" w:line="276" w:lineRule="auto"/>
        <w:ind w:firstLine="709"/>
        <w:jc w:val="both"/>
        <w:rPr>
          <w:rFonts w:ascii="Arial" w:hAnsi="Arial" w:cs="Arial"/>
          <w:szCs w:val="24"/>
          <w:lang w:val="es-MX" w:eastAsia="es-ES_tradnl"/>
        </w:rPr>
      </w:pPr>
      <w:r w:rsidRPr="00A42C60">
        <w:rPr>
          <w:rFonts w:ascii="Arial" w:hAnsi="Arial" w:cs="Arial"/>
          <w:szCs w:val="24"/>
          <w:lang w:val="es-MX" w:eastAsia="es-ES_tradnl"/>
        </w:rPr>
        <w:t>Si bien no se desconoce que el reconocimiento de mayores cantidades de obra no ha sido un tema pacífico en la jurisprudencia</w:t>
      </w:r>
      <w:r w:rsidR="00BB2CAA" w:rsidRPr="00A42C60">
        <w:rPr>
          <w:rFonts w:ascii="Arial" w:hAnsi="Arial" w:cs="Arial"/>
          <w:szCs w:val="24"/>
          <w:lang w:val="es-MX" w:eastAsia="es-ES_tradnl"/>
        </w:rPr>
        <w:t xml:space="preserve"> del Consejo de Estado, </w:t>
      </w:r>
      <w:r w:rsidRPr="00A42C60">
        <w:rPr>
          <w:rFonts w:ascii="Arial" w:hAnsi="Arial" w:cs="Arial"/>
          <w:szCs w:val="24"/>
          <w:lang w:val="es-MX" w:eastAsia="es-ES_tradnl"/>
        </w:rPr>
        <w:t>se considera que esta última postura es la que m</w:t>
      </w:r>
      <w:r w:rsidR="00CB72B1">
        <w:rPr>
          <w:rFonts w:ascii="Arial" w:hAnsi="Arial" w:cs="Arial"/>
          <w:szCs w:val="24"/>
          <w:lang w:val="es-MX" w:eastAsia="es-ES_tradnl"/>
        </w:rPr>
        <w:t>á</w:t>
      </w:r>
      <w:r w:rsidRPr="00A42C60">
        <w:rPr>
          <w:rFonts w:ascii="Arial" w:hAnsi="Arial" w:cs="Arial"/>
          <w:szCs w:val="24"/>
          <w:lang w:val="es-MX" w:eastAsia="es-ES_tradnl"/>
        </w:rPr>
        <w:t xml:space="preserve">s se adecua a la legislación vigente en la medida en que la ampliación de las cantidades de obra conduce a una adición del contrato y por </w:t>
      </w:r>
      <w:r w:rsidR="008C0FD1" w:rsidRPr="00A42C60">
        <w:rPr>
          <w:rFonts w:ascii="Arial" w:hAnsi="Arial" w:cs="Arial"/>
          <w:szCs w:val="24"/>
          <w:lang w:val="es-MX" w:eastAsia="es-ES_tradnl"/>
        </w:rPr>
        <w:t xml:space="preserve">ende </w:t>
      </w:r>
      <w:r w:rsidRPr="00A42C60">
        <w:rPr>
          <w:rFonts w:ascii="Arial" w:hAnsi="Arial" w:cs="Arial"/>
          <w:szCs w:val="24"/>
          <w:lang w:val="es-MX" w:eastAsia="es-ES_tradnl"/>
        </w:rPr>
        <w:t xml:space="preserve">al aumento del presupuesto de este, luego debe tener como límite el </w:t>
      </w:r>
      <w:r w:rsidR="008C0FD1" w:rsidRPr="00A42C60">
        <w:rPr>
          <w:rFonts w:ascii="Arial" w:hAnsi="Arial" w:cs="Arial"/>
          <w:szCs w:val="24"/>
          <w:lang w:val="es-MX" w:eastAsia="es-ES_tradnl"/>
        </w:rPr>
        <w:t>cincuenta por ciento (</w:t>
      </w:r>
      <w:r w:rsidRPr="00A42C60">
        <w:rPr>
          <w:rFonts w:ascii="Arial" w:hAnsi="Arial" w:cs="Arial"/>
          <w:szCs w:val="24"/>
          <w:lang w:val="es-MX" w:eastAsia="es-ES_tradnl"/>
        </w:rPr>
        <w:t>50%</w:t>
      </w:r>
      <w:r w:rsidR="008C0FD1" w:rsidRPr="00A42C60">
        <w:rPr>
          <w:rFonts w:ascii="Arial" w:hAnsi="Arial" w:cs="Arial"/>
          <w:szCs w:val="24"/>
          <w:lang w:val="es-MX" w:eastAsia="es-ES_tradnl"/>
        </w:rPr>
        <w:t>)</w:t>
      </w:r>
      <w:r w:rsidRPr="00A42C60">
        <w:rPr>
          <w:rFonts w:ascii="Arial" w:hAnsi="Arial" w:cs="Arial"/>
          <w:szCs w:val="24"/>
          <w:lang w:val="es-MX" w:eastAsia="es-ES_tradnl"/>
        </w:rPr>
        <w:t xml:space="preserve"> establecido en el artículo 40 de la Ley 80 de 1993</w:t>
      </w:r>
      <w:r w:rsidR="008C0FD1" w:rsidRPr="00A42C60">
        <w:rPr>
          <w:rFonts w:ascii="Arial" w:hAnsi="Arial" w:cs="Arial"/>
          <w:szCs w:val="24"/>
          <w:lang w:val="es-MX" w:eastAsia="es-ES_tradnl"/>
        </w:rPr>
        <w:t xml:space="preserve">. </w:t>
      </w:r>
      <w:r w:rsidR="00140314" w:rsidRPr="00A42C60">
        <w:rPr>
          <w:rFonts w:ascii="Arial" w:hAnsi="Arial" w:cs="Arial"/>
          <w:szCs w:val="24"/>
          <w:lang w:val="es-MX" w:eastAsia="es-ES_tradnl"/>
        </w:rPr>
        <w:t xml:space="preserve">Además, como lo ha mencionado la doctrina esta línea es </w:t>
      </w:r>
      <w:r w:rsidR="00037ED1" w:rsidRPr="00A42C60">
        <w:rPr>
          <w:rFonts w:ascii="Arial" w:hAnsi="Arial" w:cs="Arial"/>
          <w:szCs w:val="24"/>
          <w:lang w:val="es-MX" w:eastAsia="es-ES_tradnl"/>
        </w:rPr>
        <w:t>más</w:t>
      </w:r>
      <w:r w:rsidR="00140314" w:rsidRPr="00A42C60">
        <w:rPr>
          <w:rFonts w:ascii="Arial" w:hAnsi="Arial" w:cs="Arial"/>
          <w:szCs w:val="24"/>
          <w:lang w:val="es-MX" w:eastAsia="es-ES_tradnl"/>
        </w:rPr>
        <w:t xml:space="preserve"> coherente </w:t>
      </w:r>
      <w:r w:rsidR="00140314" w:rsidRPr="00A42C60">
        <w:rPr>
          <w:rFonts w:ascii="Arial" w:hAnsi="Arial" w:cs="Arial"/>
          <w:szCs w:val="24"/>
          <w:lang w:val="es-ES" w:eastAsia="es-ES_tradnl"/>
        </w:rPr>
        <w:t>«</w:t>
      </w:r>
      <w:r w:rsidR="00037ED1" w:rsidRPr="00A42C60">
        <w:rPr>
          <w:rFonts w:ascii="Arial" w:hAnsi="Arial" w:cs="Arial"/>
          <w:szCs w:val="24"/>
          <w:lang w:val="es-ES" w:eastAsia="es-ES_tradnl"/>
        </w:rPr>
        <w:t xml:space="preserve">no solo con la concepción original de la adición de los contratos, contemplada en la Ley 80/93 sino también con </w:t>
      </w:r>
      <w:r w:rsidR="00140314" w:rsidRPr="00A42C60">
        <w:rPr>
          <w:rFonts w:ascii="Arial" w:hAnsi="Arial" w:cs="Arial"/>
          <w:szCs w:val="24"/>
          <w:lang w:val="es-MX" w:eastAsia="es-ES_tradnl"/>
        </w:rPr>
        <w:t>el reforzamiento cada vez más enfático del principio de planeación, frente al cual parecen aberrantes las consideraciones de indefinición del objeto contractual, la designación formal de los presupuestos iniciales y la ampliación ilimitada del costo de los contratos, independientemente de la denominación que se dé a su valor</w:t>
      </w:r>
      <w:r w:rsidR="00140314" w:rsidRPr="00A42C60">
        <w:rPr>
          <w:rFonts w:ascii="Arial" w:hAnsi="Arial" w:cs="Arial"/>
          <w:szCs w:val="24"/>
          <w:lang w:val="es-ES" w:eastAsia="es-ES_tradnl"/>
        </w:rPr>
        <w:t>»</w:t>
      </w:r>
      <w:r w:rsidR="00140314" w:rsidRPr="00A42C60">
        <w:rPr>
          <w:rStyle w:val="Refdenotaalpie"/>
          <w:rFonts w:ascii="Arial" w:hAnsi="Arial" w:cs="Arial"/>
          <w:szCs w:val="24"/>
          <w:lang w:val="es-ES" w:eastAsia="es-ES_tradnl"/>
        </w:rPr>
        <w:footnoteReference w:id="19"/>
      </w:r>
      <w:r w:rsidR="00CB72B1">
        <w:rPr>
          <w:rFonts w:ascii="Arial" w:hAnsi="Arial" w:cs="Arial"/>
          <w:szCs w:val="24"/>
          <w:lang w:val="es-ES" w:eastAsia="es-ES_tradnl"/>
        </w:rPr>
        <w:t>.</w:t>
      </w:r>
      <w:r w:rsidR="00140314" w:rsidRPr="00A42C60">
        <w:rPr>
          <w:rFonts w:ascii="Arial" w:hAnsi="Arial" w:cs="Arial"/>
          <w:szCs w:val="24"/>
          <w:lang w:val="es-MX" w:eastAsia="es-ES_tradnl"/>
        </w:rPr>
        <w:t xml:space="preserve">  </w:t>
      </w:r>
    </w:p>
    <w:p w14:paraId="038C5294" w14:textId="0C9EDC57" w:rsidR="00E04658" w:rsidRPr="00A42C60" w:rsidRDefault="00BD5491" w:rsidP="00512D8C">
      <w:pPr>
        <w:spacing w:before="120" w:after="0" w:line="276" w:lineRule="auto"/>
        <w:ind w:firstLine="709"/>
        <w:jc w:val="both"/>
        <w:rPr>
          <w:rFonts w:ascii="Arial" w:hAnsi="Arial" w:cs="Arial"/>
          <w:bCs/>
          <w:szCs w:val="24"/>
          <w:lang w:val="es-ES" w:eastAsia="es-ES_tradnl"/>
        </w:rPr>
      </w:pPr>
      <w:r w:rsidRPr="00A42C60">
        <w:rPr>
          <w:rFonts w:ascii="Arial" w:hAnsi="Arial" w:cs="Arial"/>
          <w:bCs/>
          <w:szCs w:val="24"/>
          <w:lang w:val="es-MX" w:eastAsia="es-ES_tradnl"/>
        </w:rPr>
        <w:t>A</w:t>
      </w:r>
      <w:r w:rsidR="00653AB0" w:rsidRPr="00A42C60">
        <w:rPr>
          <w:rFonts w:ascii="Arial" w:hAnsi="Arial" w:cs="Arial"/>
          <w:bCs/>
          <w:szCs w:val="24"/>
          <w:lang w:val="es-MX" w:eastAsia="es-ES_tradnl"/>
        </w:rPr>
        <w:t>dicionalmente</w:t>
      </w:r>
      <w:r w:rsidRPr="00A42C60">
        <w:rPr>
          <w:rFonts w:ascii="Arial" w:hAnsi="Arial" w:cs="Arial"/>
          <w:bCs/>
          <w:szCs w:val="24"/>
          <w:lang w:val="es-MX" w:eastAsia="es-ES_tradnl"/>
        </w:rPr>
        <w:t xml:space="preserve">, es pertinente </w:t>
      </w:r>
      <w:r w:rsidR="004854E5" w:rsidRPr="00A42C60">
        <w:rPr>
          <w:rFonts w:ascii="Arial" w:hAnsi="Arial" w:cs="Arial"/>
          <w:bCs/>
          <w:szCs w:val="24"/>
          <w:lang w:val="es-MX" w:eastAsia="es-ES_tradnl"/>
        </w:rPr>
        <w:t>indicar que</w:t>
      </w:r>
      <w:r w:rsidR="002E7732" w:rsidRPr="00A42C60">
        <w:rPr>
          <w:rFonts w:ascii="Arial" w:hAnsi="Arial" w:cs="Arial"/>
          <w:bCs/>
          <w:szCs w:val="24"/>
          <w:lang w:val="es-MX" w:eastAsia="es-ES_tradnl"/>
        </w:rPr>
        <w:t xml:space="preserve"> recientemente</w:t>
      </w:r>
      <w:r w:rsidR="004F5159" w:rsidRPr="00A42C60">
        <w:rPr>
          <w:rFonts w:ascii="Arial" w:hAnsi="Arial" w:cs="Arial"/>
          <w:bCs/>
          <w:szCs w:val="24"/>
          <w:lang w:val="es-MX" w:eastAsia="es-ES_tradnl"/>
        </w:rPr>
        <w:t xml:space="preserve"> </w:t>
      </w:r>
      <w:r w:rsidRPr="00A42C60">
        <w:rPr>
          <w:rFonts w:ascii="Arial" w:hAnsi="Arial" w:cs="Arial"/>
          <w:bCs/>
          <w:szCs w:val="24"/>
          <w:lang w:val="es-MX" w:eastAsia="es-ES_tradnl"/>
        </w:rPr>
        <w:t xml:space="preserve">la Corte Constitucional </w:t>
      </w:r>
      <w:r w:rsidR="004F5159" w:rsidRPr="00A42C60">
        <w:rPr>
          <w:rFonts w:ascii="Arial" w:hAnsi="Arial" w:cs="Arial"/>
          <w:bCs/>
          <w:szCs w:val="24"/>
          <w:lang w:val="es-MX" w:eastAsia="es-ES_tradnl"/>
        </w:rPr>
        <w:t>se pronunció sobre la adición de l</w:t>
      </w:r>
      <w:r w:rsidR="004F5159" w:rsidRPr="00A42C60">
        <w:rPr>
          <w:rFonts w:ascii="Arial" w:hAnsi="Arial" w:cs="Arial"/>
          <w:bCs/>
          <w:lang w:val="es-MX" w:eastAsia="es-ES_tradnl"/>
        </w:rPr>
        <w:t xml:space="preserve">os contratos por mayores cantidades de obra </w:t>
      </w:r>
      <w:r w:rsidRPr="00A42C60">
        <w:rPr>
          <w:rFonts w:ascii="Arial" w:hAnsi="Arial" w:cs="Arial"/>
          <w:bCs/>
          <w:lang w:val="es-MX" w:eastAsia="es-ES_tradnl"/>
        </w:rPr>
        <w:t>en la Sentencia SU</w:t>
      </w:r>
      <w:r w:rsidR="00CB72B1">
        <w:rPr>
          <w:rFonts w:ascii="Arial" w:hAnsi="Arial" w:cs="Arial"/>
          <w:bCs/>
          <w:lang w:val="es-MX" w:eastAsia="es-ES_tradnl"/>
        </w:rPr>
        <w:t>-</w:t>
      </w:r>
      <w:r w:rsidRPr="00A42C60">
        <w:rPr>
          <w:rFonts w:ascii="Arial" w:hAnsi="Arial" w:cs="Arial"/>
          <w:bCs/>
          <w:lang w:val="es-MX" w:eastAsia="es-ES_tradnl"/>
        </w:rPr>
        <w:t>214 de</w:t>
      </w:r>
      <w:r w:rsidR="002E43A9">
        <w:rPr>
          <w:rFonts w:ascii="Arial" w:hAnsi="Arial" w:cs="Arial"/>
          <w:bCs/>
          <w:lang w:val="es-MX" w:eastAsia="es-ES_tradnl"/>
        </w:rPr>
        <w:t>l 16 de junio de</w:t>
      </w:r>
      <w:r w:rsidRPr="00A42C60">
        <w:rPr>
          <w:rFonts w:ascii="Arial" w:hAnsi="Arial" w:cs="Arial"/>
          <w:bCs/>
          <w:lang w:val="es-MX" w:eastAsia="es-ES_tradnl"/>
        </w:rPr>
        <w:t xml:space="preserve"> 2022</w:t>
      </w:r>
      <w:r w:rsidR="004F5159" w:rsidRPr="00A42C60">
        <w:rPr>
          <w:rFonts w:ascii="Arial" w:hAnsi="Arial" w:cs="Arial"/>
          <w:bCs/>
          <w:lang w:val="es-MX" w:eastAsia="es-ES_tradnl"/>
        </w:rPr>
        <w:t>,</w:t>
      </w:r>
      <w:r w:rsidR="008C0FD1" w:rsidRPr="00A42C60">
        <w:rPr>
          <w:rFonts w:ascii="Arial" w:hAnsi="Arial" w:cs="Arial"/>
          <w:bCs/>
          <w:lang w:val="es-MX" w:eastAsia="es-ES_tradnl"/>
        </w:rPr>
        <w:t xml:space="preserve"> en la cual se señaló que en estos eventos la restricción del cincuenta por</w:t>
      </w:r>
      <w:r w:rsidR="004F5159" w:rsidRPr="00A42C60">
        <w:rPr>
          <w:rFonts w:ascii="Arial" w:hAnsi="Arial" w:cs="Arial"/>
          <w:bCs/>
          <w:lang w:val="es-MX" w:eastAsia="es-ES_tradnl"/>
        </w:rPr>
        <w:t xml:space="preserve"> </w:t>
      </w:r>
      <w:r w:rsidR="008C0FD1" w:rsidRPr="00A42C60">
        <w:rPr>
          <w:rFonts w:ascii="Arial" w:hAnsi="Arial" w:cs="Arial"/>
          <w:lang w:val="es-MX" w:eastAsia="es-ES_tradnl"/>
        </w:rPr>
        <w:t>ciento (50%) de su valor inicial aplica con independencia de la modalidad contractual de que se trate y del sistema de precios pactado</w:t>
      </w:r>
      <w:r w:rsidR="00C17B6C" w:rsidRPr="00A42C60">
        <w:rPr>
          <w:rFonts w:ascii="Arial" w:hAnsi="Arial" w:cs="Arial"/>
          <w:bCs/>
          <w:lang w:val="es-MX" w:eastAsia="es-ES_tradnl"/>
        </w:rPr>
        <w:t xml:space="preserve">: </w:t>
      </w:r>
    </w:p>
    <w:p w14:paraId="7EE36425" w14:textId="77777777" w:rsidR="00E04658" w:rsidRPr="00A42C60" w:rsidRDefault="00E04658" w:rsidP="00F20953">
      <w:pPr>
        <w:spacing w:after="0" w:line="240" w:lineRule="auto"/>
        <w:ind w:firstLine="709"/>
        <w:jc w:val="both"/>
        <w:rPr>
          <w:rFonts w:ascii="Arial" w:hAnsi="Arial" w:cs="Arial"/>
          <w:bCs/>
          <w:szCs w:val="24"/>
          <w:lang w:val="es-MX" w:eastAsia="es-ES_tradnl"/>
        </w:rPr>
      </w:pPr>
    </w:p>
    <w:p w14:paraId="63567533" w14:textId="775A5C56" w:rsidR="00BD5491" w:rsidRPr="00A42C60" w:rsidRDefault="00BD5491" w:rsidP="00512D8C">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180</w:t>
      </w:r>
      <w:r w:rsidR="00E04658" w:rsidRPr="00A42C60">
        <w:rPr>
          <w:rFonts w:ascii="Arial" w:hAnsi="Arial" w:cs="Arial"/>
          <w:sz w:val="21"/>
          <w:szCs w:val="21"/>
          <w:lang w:val="es-MX" w:eastAsia="es-ES_tradnl"/>
        </w:rPr>
        <w:t>.</w:t>
      </w:r>
      <w:r w:rsidRPr="00A42C60">
        <w:rPr>
          <w:rFonts w:ascii="Arial" w:hAnsi="Arial" w:cs="Arial"/>
          <w:sz w:val="21"/>
          <w:szCs w:val="21"/>
          <w:lang w:val="es-MX" w:eastAsia="es-ES_tradnl"/>
        </w:rPr>
        <w:t xml:space="preserve"> (…) aunque la jurisprudencia del Consejo de Estado ha admitido que los contratos pactados por el sistema de precios unitarios permiten ejecutar </w:t>
      </w:r>
      <w:r w:rsidRPr="00A42C60">
        <w:rPr>
          <w:rFonts w:ascii="Arial" w:hAnsi="Arial" w:cs="Arial"/>
          <w:sz w:val="21"/>
          <w:szCs w:val="21"/>
          <w:lang w:val="es-MX" w:eastAsia="es-ES_tradnl"/>
        </w:rPr>
        <w:lastRenderedPageBreak/>
        <w:t>mayores cantidades de obra de los ítems pactados sin que haya necesidad de suscribir un contrato adicional, ello, en modo alguno, significa que la administración puede obviar el principio de planeación que, naturalmente, aplica a todos los contratos públicos. Así pues, en los contratos pactados por el sistema de precios unitarios, las mayores cantidades de obra no deben ser consecuencia de una deficiente planeación del contrato. Además, las mayores cantidades deben ejecutarse en consideración del inciso final del artículo 40 de la Ley 80 de 1993 que dispone que “[l]os contratos no podrán adicionarse en más del cincuenta por ciento (50%) de su valor inicial, expresado éste en salarios mínimos legales mensuales”, pues, esta restricción aplica con independencia de la modalidad contractual de que se trate y del sistema de precios pactado.”</w:t>
      </w:r>
    </w:p>
    <w:p w14:paraId="0A4EB41D" w14:textId="77777777" w:rsidR="00E04658" w:rsidRPr="00A42C60" w:rsidRDefault="00E04658" w:rsidP="00AB0486">
      <w:pPr>
        <w:spacing w:after="0" w:line="240" w:lineRule="auto"/>
        <w:ind w:firstLine="709"/>
        <w:jc w:val="both"/>
        <w:rPr>
          <w:rFonts w:ascii="Arial" w:hAnsi="Arial" w:cs="Arial"/>
          <w:bCs/>
          <w:szCs w:val="24"/>
          <w:lang w:val="es-MX" w:eastAsia="es-ES_tradnl"/>
        </w:rPr>
      </w:pPr>
    </w:p>
    <w:p w14:paraId="11863882" w14:textId="1FD5B9B8" w:rsidR="00E318E0" w:rsidRPr="00A42C60" w:rsidRDefault="008C0FD1" w:rsidP="00AB0486">
      <w:pPr>
        <w:spacing w:after="0" w:line="276" w:lineRule="auto"/>
        <w:ind w:firstLine="709"/>
        <w:jc w:val="both"/>
        <w:rPr>
          <w:rFonts w:ascii="Arial" w:hAnsi="Arial" w:cs="Arial"/>
          <w:bCs/>
          <w:szCs w:val="24"/>
          <w:lang w:val="es-MX" w:eastAsia="es-ES_tradnl"/>
        </w:rPr>
      </w:pPr>
      <w:r w:rsidRPr="00A42C60">
        <w:rPr>
          <w:rFonts w:ascii="Arial" w:hAnsi="Arial" w:cs="Arial"/>
          <w:bCs/>
          <w:szCs w:val="24"/>
          <w:lang w:val="es-MX" w:eastAsia="es-ES_tradnl"/>
        </w:rPr>
        <w:t>Aunque</w:t>
      </w:r>
      <w:r w:rsidR="00BD5491" w:rsidRPr="00A42C60">
        <w:rPr>
          <w:rFonts w:ascii="Arial" w:hAnsi="Arial" w:cs="Arial"/>
          <w:bCs/>
          <w:szCs w:val="24"/>
          <w:lang w:val="es-MX" w:eastAsia="es-ES_tradnl"/>
        </w:rPr>
        <w:t xml:space="preserve"> este argumento </w:t>
      </w:r>
      <w:r w:rsidR="00B50A13" w:rsidRPr="00A42C60">
        <w:rPr>
          <w:rFonts w:ascii="Arial" w:hAnsi="Arial" w:cs="Arial"/>
          <w:bCs/>
          <w:szCs w:val="24"/>
          <w:lang w:val="es-MX" w:eastAsia="es-ES_tradnl"/>
        </w:rPr>
        <w:t>no fue desarrollado de forma extens</w:t>
      </w:r>
      <w:r w:rsidR="00E14835" w:rsidRPr="00A42C60">
        <w:rPr>
          <w:rFonts w:ascii="Arial" w:hAnsi="Arial" w:cs="Arial"/>
          <w:bCs/>
          <w:szCs w:val="24"/>
          <w:lang w:val="es-MX" w:eastAsia="es-ES_tradnl"/>
        </w:rPr>
        <w:t>a</w:t>
      </w:r>
      <w:r w:rsidR="00B50A13" w:rsidRPr="00A42C60">
        <w:rPr>
          <w:rFonts w:ascii="Arial" w:hAnsi="Arial" w:cs="Arial"/>
          <w:bCs/>
          <w:szCs w:val="24"/>
          <w:lang w:val="es-MX" w:eastAsia="es-ES_tradnl"/>
        </w:rPr>
        <w:t xml:space="preserve"> en </w:t>
      </w:r>
      <w:r w:rsidR="00BD5491" w:rsidRPr="00A42C60">
        <w:rPr>
          <w:rFonts w:ascii="Arial" w:hAnsi="Arial" w:cs="Arial"/>
          <w:bCs/>
          <w:szCs w:val="24"/>
          <w:lang w:val="es-MX" w:eastAsia="es-ES_tradnl"/>
        </w:rPr>
        <w:t>la sentencia</w:t>
      </w:r>
      <w:r w:rsidR="00C17B6C" w:rsidRPr="00A42C60">
        <w:rPr>
          <w:rFonts w:ascii="Arial" w:hAnsi="Arial" w:cs="Arial"/>
          <w:bCs/>
          <w:szCs w:val="24"/>
          <w:lang w:val="es-MX" w:eastAsia="es-ES_tradnl"/>
        </w:rPr>
        <w:t>,</w:t>
      </w:r>
      <w:r w:rsidR="00BD5491" w:rsidRPr="00A42C60">
        <w:rPr>
          <w:rFonts w:ascii="Arial" w:hAnsi="Arial" w:cs="Arial"/>
          <w:bCs/>
          <w:szCs w:val="24"/>
          <w:lang w:val="es-MX" w:eastAsia="es-ES_tradnl"/>
        </w:rPr>
        <w:t xml:space="preserve"> la postura expuesta por la C</w:t>
      </w:r>
      <w:r w:rsidR="00C17B6C" w:rsidRPr="00A42C60">
        <w:rPr>
          <w:rFonts w:ascii="Arial" w:hAnsi="Arial" w:cs="Arial"/>
          <w:bCs/>
          <w:szCs w:val="24"/>
          <w:lang w:val="es-MX" w:eastAsia="es-ES_tradnl"/>
        </w:rPr>
        <w:t>orte Constitucional</w:t>
      </w:r>
      <w:r w:rsidR="00BD5491" w:rsidRPr="00A42C60">
        <w:rPr>
          <w:rFonts w:ascii="Arial" w:hAnsi="Arial" w:cs="Arial"/>
          <w:bCs/>
          <w:szCs w:val="24"/>
          <w:lang w:val="es-MX" w:eastAsia="es-ES_tradnl"/>
        </w:rPr>
        <w:t xml:space="preserve"> es clara en señalar que en los contratos pactados por el sistema de precios unitarios las mayores cantidades de obra deben ejecutarse con observancia del límite de adición del 50% del valor inicial, pues su aplicación se debe efectuar independientemente del sistema de precios pactados. De esta manera, la posición de la C</w:t>
      </w:r>
      <w:r w:rsidR="00C17B6C" w:rsidRPr="00A42C60">
        <w:rPr>
          <w:rFonts w:ascii="Arial" w:hAnsi="Arial" w:cs="Arial"/>
          <w:bCs/>
          <w:szCs w:val="24"/>
          <w:lang w:val="es-MX" w:eastAsia="es-ES_tradnl"/>
        </w:rPr>
        <w:t>orte Constitucional</w:t>
      </w:r>
      <w:r w:rsidR="00BD5491" w:rsidRPr="00A42C60">
        <w:rPr>
          <w:rFonts w:ascii="Arial" w:hAnsi="Arial" w:cs="Arial"/>
          <w:bCs/>
          <w:szCs w:val="24"/>
          <w:lang w:val="es-MX" w:eastAsia="es-ES_tradnl"/>
        </w:rPr>
        <w:t xml:space="preserve"> </w:t>
      </w:r>
      <w:r w:rsidR="00E318E0" w:rsidRPr="00A42C60">
        <w:rPr>
          <w:rFonts w:ascii="Arial" w:hAnsi="Arial" w:cs="Arial"/>
          <w:bCs/>
          <w:szCs w:val="24"/>
          <w:lang w:val="es-MX" w:eastAsia="es-ES_tradnl"/>
        </w:rPr>
        <w:t xml:space="preserve">es concordante </w:t>
      </w:r>
      <w:r w:rsidR="00BD5491" w:rsidRPr="00A42C60">
        <w:rPr>
          <w:rFonts w:ascii="Arial" w:hAnsi="Arial" w:cs="Arial"/>
          <w:bCs/>
          <w:szCs w:val="24"/>
          <w:lang w:val="es-MX" w:eastAsia="es-ES_tradnl"/>
        </w:rPr>
        <w:t xml:space="preserve">con la segunda postura </w:t>
      </w:r>
      <w:r w:rsidR="00F20953" w:rsidRPr="00A42C60">
        <w:rPr>
          <w:rFonts w:ascii="Arial" w:hAnsi="Arial" w:cs="Arial"/>
          <w:bCs/>
          <w:szCs w:val="24"/>
          <w:lang w:val="es-MX" w:eastAsia="es-ES_tradnl"/>
        </w:rPr>
        <w:t xml:space="preserve">señalada </w:t>
      </w:r>
      <w:r w:rsidR="00C17B6C" w:rsidRPr="00A42C60">
        <w:rPr>
          <w:rFonts w:ascii="Arial" w:hAnsi="Arial" w:cs="Arial"/>
          <w:bCs/>
          <w:szCs w:val="24"/>
          <w:lang w:val="es-MX" w:eastAsia="es-ES_tradnl"/>
        </w:rPr>
        <w:t>en este concepto</w:t>
      </w:r>
      <w:r w:rsidR="000A18E3">
        <w:rPr>
          <w:rFonts w:ascii="Arial" w:hAnsi="Arial" w:cs="Arial"/>
          <w:bCs/>
          <w:szCs w:val="24"/>
          <w:lang w:val="es-MX" w:eastAsia="es-ES_tradnl"/>
        </w:rPr>
        <w:t>.</w:t>
      </w:r>
      <w:r w:rsidR="00DB495A" w:rsidRPr="00A42C60">
        <w:rPr>
          <w:rFonts w:ascii="Arial" w:hAnsi="Arial" w:cs="Arial"/>
          <w:bCs/>
          <w:szCs w:val="24"/>
          <w:lang w:val="es-MX" w:eastAsia="es-ES_tradnl"/>
        </w:rPr>
        <w:t xml:space="preserve"> </w:t>
      </w:r>
    </w:p>
    <w:p w14:paraId="7A26FF54" w14:textId="068F7F02" w:rsidR="00392333" w:rsidRPr="00A42C60" w:rsidRDefault="000A18E3" w:rsidP="002E43A9">
      <w:pPr>
        <w:spacing w:before="120" w:after="0" w:line="276" w:lineRule="auto"/>
        <w:ind w:firstLine="709"/>
        <w:jc w:val="both"/>
        <w:rPr>
          <w:rFonts w:ascii="Arial" w:hAnsi="Arial" w:cs="Arial"/>
          <w:bCs/>
          <w:szCs w:val="24"/>
          <w:lang w:val="es-MX" w:eastAsia="es-ES_tradnl"/>
        </w:rPr>
      </w:pPr>
      <w:r>
        <w:rPr>
          <w:rFonts w:ascii="Arial" w:hAnsi="Arial" w:cs="Arial"/>
          <w:bCs/>
          <w:szCs w:val="24"/>
          <w:lang w:val="es-MX" w:eastAsia="es-ES_tradnl"/>
        </w:rPr>
        <w:t>En ese orden</w:t>
      </w:r>
      <w:r w:rsidR="00E318E0" w:rsidRPr="00A42C60">
        <w:rPr>
          <w:rFonts w:ascii="Arial" w:hAnsi="Arial" w:cs="Arial"/>
          <w:bCs/>
          <w:szCs w:val="24"/>
          <w:lang w:val="es-MX" w:eastAsia="es-ES_tradnl"/>
        </w:rPr>
        <w:t>,</w:t>
      </w:r>
      <w:r w:rsidR="00DB495A" w:rsidRPr="00A42C60">
        <w:rPr>
          <w:rFonts w:ascii="Arial" w:hAnsi="Arial" w:cs="Arial"/>
          <w:bCs/>
          <w:szCs w:val="24"/>
          <w:lang w:val="es-MX" w:eastAsia="es-ES_tradnl"/>
        </w:rPr>
        <w:t xml:space="preserve"> esta Agencia comparte </w:t>
      </w:r>
      <w:r w:rsidR="00F20953" w:rsidRPr="00A42C60">
        <w:rPr>
          <w:rFonts w:ascii="Arial" w:hAnsi="Arial" w:cs="Arial"/>
          <w:bCs/>
          <w:szCs w:val="24"/>
          <w:lang w:val="es-MX" w:eastAsia="es-ES_tradnl"/>
        </w:rPr>
        <w:t xml:space="preserve">las consideraciones de la última </w:t>
      </w:r>
      <w:r w:rsidR="00512D8C" w:rsidRPr="00A42C60">
        <w:rPr>
          <w:rFonts w:ascii="Arial" w:hAnsi="Arial" w:cs="Arial"/>
          <w:bCs/>
          <w:szCs w:val="24"/>
          <w:lang w:val="es-MX" w:eastAsia="es-ES_tradnl"/>
        </w:rPr>
        <w:t>postura exp</w:t>
      </w:r>
      <w:r w:rsidR="002C6A6F" w:rsidRPr="00A42C60">
        <w:rPr>
          <w:rFonts w:ascii="Arial" w:hAnsi="Arial" w:cs="Arial"/>
          <w:bCs/>
          <w:szCs w:val="24"/>
          <w:lang w:val="es-MX" w:eastAsia="es-ES_tradnl"/>
        </w:rPr>
        <w:t>uesta</w:t>
      </w:r>
      <w:r w:rsidR="00E318E0" w:rsidRPr="00A42C60">
        <w:rPr>
          <w:rFonts w:ascii="Arial" w:hAnsi="Arial" w:cs="Arial"/>
          <w:bCs/>
          <w:szCs w:val="24"/>
          <w:lang w:val="es-MX" w:eastAsia="es-ES_tradnl"/>
        </w:rPr>
        <w:t>,</w:t>
      </w:r>
      <w:r w:rsidR="00F20953" w:rsidRPr="00A42C60">
        <w:rPr>
          <w:rFonts w:ascii="Arial" w:hAnsi="Arial" w:cs="Arial"/>
          <w:bCs/>
          <w:szCs w:val="24"/>
          <w:lang w:val="es-MX" w:eastAsia="es-ES_tradnl"/>
        </w:rPr>
        <w:t xml:space="preserve"> concordante con lo </w:t>
      </w:r>
      <w:r w:rsidR="00E14835" w:rsidRPr="00A42C60">
        <w:rPr>
          <w:rFonts w:ascii="Arial" w:hAnsi="Arial" w:cs="Arial"/>
          <w:bCs/>
          <w:szCs w:val="24"/>
          <w:lang w:val="es-MX" w:eastAsia="es-ES_tradnl"/>
        </w:rPr>
        <w:t>señalado</w:t>
      </w:r>
      <w:r w:rsidR="00F20953" w:rsidRPr="00A42C60">
        <w:rPr>
          <w:rFonts w:ascii="Arial" w:hAnsi="Arial" w:cs="Arial"/>
          <w:bCs/>
          <w:szCs w:val="24"/>
          <w:lang w:val="es-MX" w:eastAsia="es-ES_tradnl"/>
        </w:rPr>
        <w:t xml:space="preserve"> por la Corte Constitucional en la SU 214 de 2022,</w:t>
      </w:r>
      <w:r w:rsidR="00E318E0" w:rsidRPr="00A42C60">
        <w:rPr>
          <w:rFonts w:ascii="Arial" w:hAnsi="Arial" w:cs="Arial"/>
          <w:bCs/>
          <w:szCs w:val="24"/>
          <w:lang w:val="es-MX" w:eastAsia="es-ES_tradnl"/>
        </w:rPr>
        <w:t xml:space="preserve"> </w:t>
      </w:r>
      <w:r w:rsidR="00DB495A" w:rsidRPr="00A42C60">
        <w:rPr>
          <w:rFonts w:ascii="Arial" w:hAnsi="Arial" w:cs="Arial"/>
          <w:bCs/>
          <w:szCs w:val="24"/>
          <w:lang w:val="es-MX" w:eastAsia="es-ES_tradnl"/>
        </w:rPr>
        <w:t xml:space="preserve">según la cual </w:t>
      </w:r>
      <w:r w:rsidR="00E14835" w:rsidRPr="00A42C60">
        <w:rPr>
          <w:rFonts w:ascii="Arial" w:hAnsi="Arial" w:cs="Arial"/>
          <w:bCs/>
          <w:szCs w:val="24"/>
          <w:lang w:val="es-MX" w:eastAsia="es-ES_tradnl"/>
        </w:rPr>
        <w:t xml:space="preserve">en </w:t>
      </w:r>
      <w:r w:rsidR="00BD5491" w:rsidRPr="00A42C60">
        <w:rPr>
          <w:rFonts w:ascii="Arial" w:hAnsi="Arial" w:cs="Arial"/>
          <w:bCs/>
          <w:szCs w:val="24"/>
          <w:lang w:val="es-MX" w:eastAsia="es-ES_tradnl"/>
        </w:rPr>
        <w:t>todos los contratos estatales independientemente de la modalidad de selección o del sistema de precios pactados se deberá respetar el límite de adición señalado en el parágrafo del artículo 40 de la Ley 80 de 1993 tanto para las mayores cantidades de obra como para los ítems no previstos.</w:t>
      </w:r>
    </w:p>
    <w:p w14:paraId="3103F756" w14:textId="77777777" w:rsidR="00392333" w:rsidRPr="00A42C60" w:rsidRDefault="00392333" w:rsidP="003A053B">
      <w:pPr>
        <w:spacing w:after="0" w:line="264" w:lineRule="auto"/>
        <w:ind w:firstLine="709"/>
        <w:jc w:val="both"/>
        <w:rPr>
          <w:rFonts w:ascii="Arial" w:hAnsi="Arial" w:cs="Arial"/>
          <w:bCs/>
          <w:szCs w:val="24"/>
          <w:lang w:val="es-MX" w:eastAsia="es-ES_tradnl"/>
        </w:rPr>
      </w:pPr>
    </w:p>
    <w:p w14:paraId="54B43EDB" w14:textId="71534A5B" w:rsidR="003A053B" w:rsidRPr="00A42C60" w:rsidRDefault="003A053B" w:rsidP="003A053B">
      <w:pPr>
        <w:spacing w:after="0" w:line="264" w:lineRule="auto"/>
        <w:rPr>
          <w:rFonts w:ascii="Arial" w:hAnsi="Arial" w:cs="Arial"/>
          <w:b/>
          <w:bCs/>
          <w:szCs w:val="24"/>
          <w:lang w:eastAsia="es-ES_tradnl" w:bidi="es-ES"/>
        </w:rPr>
      </w:pPr>
      <w:r w:rsidRPr="00A42C60">
        <w:rPr>
          <w:rFonts w:ascii="Arial" w:hAnsi="Arial" w:cs="Arial"/>
          <w:b/>
          <w:szCs w:val="24"/>
          <w:lang w:val="es-MX" w:eastAsia="es-ES_tradnl"/>
        </w:rPr>
        <w:t>2.2</w:t>
      </w:r>
      <w:r w:rsidRPr="00A42C60">
        <w:rPr>
          <w:rFonts w:ascii="Arial" w:hAnsi="Arial" w:cs="Arial"/>
          <w:bCs/>
          <w:szCs w:val="24"/>
          <w:lang w:val="es-MX" w:eastAsia="es-ES_tradnl"/>
        </w:rPr>
        <w:t xml:space="preserve"> </w:t>
      </w:r>
      <w:r w:rsidRPr="00A42C60">
        <w:rPr>
          <w:rFonts w:ascii="Arial" w:hAnsi="Arial" w:cs="Arial"/>
          <w:b/>
          <w:bCs/>
          <w:szCs w:val="24"/>
          <w:lang w:eastAsia="es-ES_tradnl" w:bidi="es-ES"/>
        </w:rPr>
        <w:t>Las modificaciones a los contratos estatales</w:t>
      </w:r>
    </w:p>
    <w:p w14:paraId="21DC3A64" w14:textId="77777777" w:rsidR="003A053B" w:rsidRPr="00A42C60" w:rsidRDefault="003A053B" w:rsidP="003A053B">
      <w:pPr>
        <w:spacing w:after="0" w:line="264" w:lineRule="auto"/>
        <w:jc w:val="both"/>
        <w:rPr>
          <w:rFonts w:ascii="Arial" w:hAnsi="Arial" w:cs="Arial"/>
          <w:b/>
          <w:bCs/>
          <w:szCs w:val="24"/>
          <w:lang w:val="es-MX" w:eastAsia="es-ES_tradnl" w:bidi="es-ES"/>
        </w:rPr>
      </w:pPr>
    </w:p>
    <w:p w14:paraId="18B8D836" w14:textId="77777777" w:rsidR="003A053B" w:rsidRPr="00A42C60" w:rsidRDefault="003A053B" w:rsidP="003A053B">
      <w:pPr>
        <w:spacing w:after="0" w:line="276" w:lineRule="auto"/>
        <w:jc w:val="both"/>
        <w:rPr>
          <w:rFonts w:ascii="Arial" w:hAnsi="Arial" w:cs="Arial"/>
          <w:bCs/>
          <w:szCs w:val="24"/>
          <w:lang w:val="es-MX" w:eastAsia="es-ES_tradnl" w:bidi="es-ES"/>
        </w:rPr>
      </w:pPr>
      <w:r w:rsidRPr="00A42C60">
        <w:rPr>
          <w:rFonts w:ascii="Arial" w:hAnsi="Arial" w:cs="Arial"/>
          <w:bCs/>
          <w:szCs w:val="24"/>
          <w:lang w:val="es-MX" w:eastAsia="es-ES_tradnl" w:bidi="es-ES"/>
        </w:rPr>
        <w:t xml:space="preserve">El Estatuto General de Contratación de la Administración Pública, contenido en las Leyes 80 de 1993, 1150 de 2007 y 1474 de 2011, así como en las normas que las han modificado y las reglamentan, no consagran una regulación expresa sobre la posibilidad de modificar los contratos celebrados por las entidades estatales. Ello encuentra sustento en que, en principio, los contratos deben ejecutarse en las condiciones pactadas inicialmente, pues tales condiciones fueron convenidas luego de que la entidad pública surtiera todos los procedimientos previstos para la selección de su contratista y definiera los aspectos, técnicos, legales y financieros propios de cada caso, con observancia de los principios de transparencia, economía y responsabilidad, así como de todos los demás principios de la función administrativa, aplicables al proceso de gestión contractual. La regulación expresa </w:t>
      </w:r>
      <w:r w:rsidRPr="00A42C60">
        <w:rPr>
          <w:rFonts w:ascii="Arial" w:hAnsi="Arial" w:cs="Arial"/>
          <w:bCs/>
          <w:szCs w:val="24"/>
          <w:lang w:val="es-MX" w:eastAsia="es-ES_tradnl" w:bidi="es-ES"/>
        </w:rPr>
        <w:lastRenderedPageBreak/>
        <w:t>contenida en la Ley se limita a fijar los porcentajes límite para adicionar los valores inicialmente pactados, como lo hace el artículo 40 de la Ley 80 de 1993</w:t>
      </w:r>
      <w:r w:rsidRPr="00A42C60">
        <w:rPr>
          <w:rFonts w:ascii="Arial" w:hAnsi="Arial" w:cs="Arial"/>
          <w:bCs/>
          <w:szCs w:val="24"/>
          <w:vertAlign w:val="superscript"/>
          <w:lang w:val="es-MX" w:eastAsia="es-ES_tradnl"/>
        </w:rPr>
        <w:footnoteReference w:id="20"/>
      </w:r>
      <w:r w:rsidRPr="00A42C60">
        <w:rPr>
          <w:rFonts w:ascii="Arial" w:hAnsi="Arial" w:cs="Arial"/>
          <w:bCs/>
          <w:szCs w:val="24"/>
          <w:lang w:val="es-MX" w:eastAsia="es-ES_tradnl" w:bidi="es-ES"/>
        </w:rPr>
        <w:t>.</w:t>
      </w:r>
      <w:r w:rsidRPr="00A42C60">
        <w:rPr>
          <w:rFonts w:ascii="Arial" w:hAnsi="Arial" w:cs="Arial"/>
          <w:bCs/>
          <w:szCs w:val="24"/>
          <w:lang w:val="es-MX" w:eastAsia="es-ES_tradnl"/>
        </w:rPr>
        <w:t xml:space="preserve"> </w:t>
      </w:r>
    </w:p>
    <w:p w14:paraId="064B46D8" w14:textId="77777777" w:rsidR="003A053B" w:rsidRPr="00A42C60" w:rsidRDefault="003A053B" w:rsidP="003A053B">
      <w:pPr>
        <w:spacing w:before="120" w:after="0" w:line="276" w:lineRule="auto"/>
        <w:ind w:firstLine="709"/>
        <w:jc w:val="both"/>
        <w:rPr>
          <w:rFonts w:ascii="Arial" w:hAnsi="Arial" w:cs="Arial"/>
          <w:bCs/>
          <w:szCs w:val="24"/>
          <w:lang w:val="es-MX" w:eastAsia="es-ES_tradnl" w:bidi="es-ES"/>
        </w:rPr>
      </w:pPr>
      <w:r w:rsidRPr="00A42C60">
        <w:rPr>
          <w:rFonts w:ascii="Arial" w:hAnsi="Arial" w:cs="Arial"/>
          <w:bCs/>
          <w:szCs w:val="24"/>
          <w:lang w:val="es-MX" w:eastAsia="es-ES_tradnl" w:bidi="es-ES"/>
        </w:rPr>
        <w:t>Ahora bien, no existe ninguna restricción expresa para modificar los contratos estatales y los mismos principios antes referidos puede poner en evidencia la necesidad de suscribir documentos de modificación en los cuales se cambie parte de las estipulaciones pactadas en un comienzo. En el contexto antes descrito, la jurisprudencia ha fijado pautas generales conforme a las cuales la Administración Pública debe evaluar, teniendo cuenta las particularidades de cada caso, si resulta procedente suscribir documentos de modificación a los contratos que ha celebrado. Así, por ejemplo, la Corte Constitucional, mediante sentencia C-416 de 2012, expresó lo siguiente sobre la posibilidad de modificar los contratos estatales:</w:t>
      </w:r>
    </w:p>
    <w:p w14:paraId="10E97AED" w14:textId="77777777" w:rsidR="003A053B" w:rsidRPr="00A42C60" w:rsidRDefault="003A053B" w:rsidP="003A053B">
      <w:pPr>
        <w:spacing w:after="0" w:line="240" w:lineRule="auto"/>
        <w:jc w:val="both"/>
        <w:rPr>
          <w:rFonts w:ascii="Arial" w:hAnsi="Arial" w:cs="Arial"/>
          <w:bCs/>
          <w:szCs w:val="24"/>
          <w:lang w:val="es-MX" w:eastAsia="es-ES_tradnl" w:bidi="es-ES"/>
        </w:rPr>
      </w:pPr>
    </w:p>
    <w:p w14:paraId="681DA140" w14:textId="4A0819C3" w:rsidR="003A053B" w:rsidRPr="00A42C60" w:rsidRDefault="003A053B" w:rsidP="003A053B">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Por regla general, los contratos estatales pueden ser modificados cuando sea necesario para lograr su finalidad y en aras de la realización de los fines del Estado, a los cuales sirve el contrato.</w:t>
      </w:r>
      <w:r w:rsidRPr="00A42C60">
        <w:rPr>
          <w:rFonts w:ascii="Arial" w:hAnsi="Arial" w:cs="Arial"/>
          <w:sz w:val="21"/>
          <w:szCs w:val="21"/>
          <w:lang w:val="es-MX" w:eastAsia="es-ES_tradnl"/>
        </w:rPr>
        <w:footnoteReference w:id="21"/>
      </w:r>
      <w:r w:rsidRPr="00A42C60">
        <w:rPr>
          <w:rFonts w:ascii="Arial" w:hAnsi="Arial" w:cs="Arial"/>
          <w:sz w:val="21"/>
          <w:szCs w:val="21"/>
          <w:lang w:val="es-MX" w:eastAsia="es-ES_tradnl"/>
        </w:rPr>
        <w:t xml:space="preserve"> Así lo prevén por ejemplo los artículos 14 y 16 de la ley 80, los cuales facultan a la entidades contratantes a modificar los contratos de común acuerdo o de forma unilateral, para «[…] evitar la paralización o la afectación grave de los servicios públicos a su cargo y asegurar la inmediata, continua y adecuada prestación”, entre otros. En el mismo sentido, en la sentencia C-949 de 2001</w:t>
      </w:r>
      <w:r w:rsidRPr="00A42C60">
        <w:rPr>
          <w:rFonts w:ascii="Arial" w:hAnsi="Arial" w:cs="Arial"/>
          <w:sz w:val="21"/>
          <w:szCs w:val="21"/>
          <w:lang w:val="es-MX" w:eastAsia="es-ES_tradnl"/>
        </w:rPr>
        <w:footnoteReference w:id="22"/>
      </w:r>
      <w:r w:rsidRPr="00A42C60">
        <w:rPr>
          <w:rFonts w:ascii="Arial" w:hAnsi="Arial" w:cs="Arial"/>
          <w:sz w:val="21"/>
          <w:szCs w:val="21"/>
          <w:lang w:val="es-MX" w:eastAsia="es-ES_tradnl"/>
        </w:rPr>
        <w:t>, la Corte Constitucional señaló que las prórrogas de los contratos –como especie de modificación- pueden ser un instrumento útil para lograr los fines propios de la contratación estatal.</w:t>
      </w:r>
      <w:r w:rsidRPr="00A42C60">
        <w:rPr>
          <w:rFonts w:ascii="Arial" w:hAnsi="Arial" w:cs="Arial"/>
          <w:sz w:val="21"/>
          <w:szCs w:val="21"/>
          <w:vertAlign w:val="superscript"/>
          <w:lang w:val="es-MX" w:eastAsia="es-ES_tradnl"/>
        </w:rPr>
        <w:footnoteReference w:id="23"/>
      </w:r>
    </w:p>
    <w:p w14:paraId="53BFF535" w14:textId="23562197" w:rsidR="003A053B" w:rsidRPr="00A42C60" w:rsidRDefault="003A053B" w:rsidP="003A053B">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w:t>
      </w:r>
    </w:p>
    <w:p w14:paraId="3A5350A8"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p>
    <w:p w14:paraId="062ECDBF"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 xml:space="preserve">La modificación de los contratos estatales es especialmente importante en aquellos por naturaleza incompletos, es decir, (i) los afectados por asimetrías de información que impiden la previsión de todas las contingencias que pueden afectar su ejecución, y (ii) en el marco de los cuales, por esa misma razón, es difícil prever ex ante los remedios necesarios para afrontar tales contingencias, como ocurre por lo general con los contratos de largo plazo. En efecto, con el paso del tiempo, pueden surgir nuevas exigencias sociales, tecnológicas, culturales, etc. sobre la forma cómo el Estado debe cumplir sus fines y sobre cómo se deben prestar los servicios públicos, o simplemente pueden aparecer circunstancias extraordinarias e imprevisibles al momento del diseño del </w:t>
      </w:r>
      <w:r w:rsidRPr="00A42C60">
        <w:rPr>
          <w:rFonts w:ascii="Arial" w:hAnsi="Arial" w:cs="Arial"/>
          <w:sz w:val="21"/>
          <w:szCs w:val="21"/>
          <w:lang w:val="es-MX" w:eastAsia="es-ES_tradnl"/>
        </w:rPr>
        <w:lastRenderedPageBreak/>
        <w:t>negocio, para que las que tampoco era posible, en dicho momento, prever un remedio adecuado y específico. En este tipo de contratos es preciso entonces el diseño de reglas que permitan la adaptación y la resolución pacífica de las controversias para evitar el fracaso.</w:t>
      </w:r>
    </w:p>
    <w:p w14:paraId="4C97C38C"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p>
    <w:p w14:paraId="24E0DC88" w14:textId="33D123DC" w:rsidR="003A053B" w:rsidRPr="00A42C60" w:rsidRDefault="003A053B" w:rsidP="003A053B">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Ahora bien, el que la mutabilidad de los contratos estatales sea posible no significa que pueda llevarse a cabo por la mera voluntad de las partes o de la entidad contratante; por el contrario, la modificación del contrato debe ser excepcional en virtud de los principios de planeación y seguridad jurídica. Por ello la Corte concuerda con la Sala de Consulta y Servicio Civil en que la modificación debe obedecer a una causa real y cierta autorizada en la ley, sustentada y probada, y acorde con los fines estatales a los que sirve la contratación estatal.</w:t>
      </w:r>
    </w:p>
    <w:p w14:paraId="10EF5FA1" w14:textId="77777777" w:rsidR="003A053B" w:rsidRPr="00A42C60" w:rsidRDefault="003A053B" w:rsidP="003A053B">
      <w:pPr>
        <w:spacing w:after="0" w:line="276" w:lineRule="auto"/>
        <w:ind w:left="709" w:right="709"/>
        <w:jc w:val="both"/>
        <w:rPr>
          <w:rFonts w:ascii="Arial" w:hAnsi="Arial" w:cs="Arial"/>
          <w:sz w:val="21"/>
          <w:szCs w:val="21"/>
          <w:lang w:val="es-MX" w:eastAsia="es-ES_tradnl"/>
        </w:rPr>
      </w:pPr>
    </w:p>
    <w:p w14:paraId="6179188F" w14:textId="77777777" w:rsidR="003A053B" w:rsidRPr="00A42C60" w:rsidRDefault="003A053B" w:rsidP="003A053B">
      <w:pPr>
        <w:spacing w:before="120" w:after="0" w:line="276" w:lineRule="auto"/>
        <w:ind w:firstLine="709"/>
        <w:jc w:val="both"/>
        <w:rPr>
          <w:rFonts w:ascii="Arial" w:hAnsi="Arial" w:cs="Arial"/>
          <w:bCs/>
          <w:szCs w:val="24"/>
          <w:lang w:val="es-MX" w:eastAsia="es-ES_tradnl" w:bidi="es-ES"/>
        </w:rPr>
      </w:pPr>
      <w:r w:rsidRPr="00A42C60">
        <w:rPr>
          <w:rFonts w:ascii="Arial" w:hAnsi="Arial" w:cs="Arial"/>
          <w:bCs/>
          <w:szCs w:val="24"/>
          <w:lang w:val="es-MX" w:eastAsia="es-ES_tradnl" w:bidi="es-ES"/>
        </w:rPr>
        <w:t>A su turno, el Consejo de Estado</w:t>
      </w:r>
      <w:r w:rsidRPr="00A42C60">
        <w:rPr>
          <w:rFonts w:ascii="Arial" w:hAnsi="Arial" w:cs="Arial"/>
          <w:bCs/>
          <w:szCs w:val="24"/>
          <w:vertAlign w:val="superscript"/>
          <w:lang w:val="es-MX" w:eastAsia="es-ES_tradnl" w:bidi="es-ES"/>
        </w:rPr>
        <w:footnoteReference w:id="24"/>
      </w:r>
      <w:r w:rsidRPr="00A42C60">
        <w:rPr>
          <w:rFonts w:ascii="Arial" w:hAnsi="Arial" w:cs="Arial"/>
          <w:bCs/>
          <w:szCs w:val="24"/>
          <w:lang w:val="es-MX" w:eastAsia="es-ES_tradnl" w:bidi="es-ES"/>
        </w:rPr>
        <w:t>, ha expresado lo siguiente sobre el asunto:</w:t>
      </w:r>
    </w:p>
    <w:p w14:paraId="7DB006E7" w14:textId="77777777" w:rsidR="003A053B" w:rsidRPr="00A42C60" w:rsidRDefault="003A053B" w:rsidP="003A053B">
      <w:pPr>
        <w:spacing w:after="0" w:line="264" w:lineRule="auto"/>
        <w:jc w:val="both"/>
        <w:rPr>
          <w:rFonts w:ascii="Arial" w:hAnsi="Arial" w:cs="Arial"/>
          <w:bCs/>
          <w:szCs w:val="24"/>
          <w:lang w:val="es-MX" w:eastAsia="es-ES_tradnl" w:bidi="es-ES"/>
        </w:rPr>
      </w:pPr>
    </w:p>
    <w:p w14:paraId="6505CDC4" w14:textId="7959767A" w:rsidR="003A053B" w:rsidRPr="00A42C60" w:rsidRDefault="003A053B" w:rsidP="003A053B">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La contratación estatal responde de múltiples maneras a ese mandato y, en cuanto al concepto que se emite, se resalta que la posibilidad de modificar los contratos estatales es una especial forma de hacer prevalecer la finalidad del contrato sobre los restantes elementos del mismo. Por mutabilidad del contrato estatal se entiende el derecho que tiene la administración de variar, dadas ciertas condiciones, las obligaciones a cargo del contratista particular, cuando sea necesario para el cumplimiento del objeto y de los fines generales del Estado.</w:t>
      </w:r>
    </w:p>
    <w:p w14:paraId="5DF5C510" w14:textId="77777777" w:rsidR="00B94847" w:rsidRDefault="00B94847" w:rsidP="003A053B">
      <w:pPr>
        <w:spacing w:after="0" w:line="240" w:lineRule="auto"/>
        <w:ind w:left="709" w:right="709"/>
        <w:jc w:val="both"/>
        <w:rPr>
          <w:rFonts w:ascii="Arial" w:hAnsi="Arial" w:cs="Arial"/>
          <w:sz w:val="21"/>
          <w:szCs w:val="21"/>
          <w:lang w:val="es-MX" w:eastAsia="es-ES_tradnl"/>
        </w:rPr>
      </w:pPr>
    </w:p>
    <w:p w14:paraId="2AB3D02A" w14:textId="0D49A96F" w:rsidR="003A053B" w:rsidRPr="00A42C60" w:rsidRDefault="003A053B" w:rsidP="003A053B">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w:t>
      </w:r>
    </w:p>
    <w:p w14:paraId="58EEF7C1"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p>
    <w:p w14:paraId="4F45ADAE"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 xml:space="preserve">La ley permite una cierta discrecionalidad en la toma de las decisiones de modificar los contratos, pues es muy difícil regular detalladamente el tema, en especial ante la infinidad de situaciones que pueden presentarse durante la ejecución. Por esto utiliza locuciones relativamente amplias, a las que debe someterse la administración. A manera de ejemplo, se citan las siguientes tomadas del Estatuto General de Contratación de la Administración Pública: mantener las condiciones técnicas, económicas y financieras, (artículo 4.8), no sobrevenga mayor onerosidad, (artículo 4.9), acordarán los mecanismos y procedimientos pertinentes para precaver o solucionar … diferencias, (ibídem), evitar la paralización y la afectación grave de los servicios públicos a su cargo y asegurar la inmediata, continua y adecuada prestación, (artículo 14); etc. </w:t>
      </w:r>
      <w:r w:rsidRPr="00A42C60">
        <w:rPr>
          <w:rFonts w:ascii="Arial" w:hAnsi="Arial" w:cs="Arial"/>
          <w:sz w:val="21"/>
          <w:szCs w:val="21"/>
          <w:lang w:val="es-MX" w:eastAsia="es-ES_tradnl"/>
        </w:rPr>
        <w:lastRenderedPageBreak/>
        <w:t>Nótese que, sin embargo, en ellas van inmersas las ideas de una causa cierta y unos fines públicos que hay que salvaguardar.</w:t>
      </w:r>
    </w:p>
    <w:p w14:paraId="3F24BE8F"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p>
    <w:p w14:paraId="7FAF3F53"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 xml:space="preserve">Puede adicionarse una razón a las expuestas para justificar que la simple voluntad de las partes no es causa de modificación de los contratos estatales, la cual consiste en el respeto por el principio de igualdad de los oferentes. Si se acepta que los contratos pueden modificarse por el simple común acuerdo, fácilmente se podría licitar determinado objeto con el fin de adjudicárselo a cierta persona, a sabiendas de que se cambiarán las obligaciones, una vez celebrado. </w:t>
      </w:r>
    </w:p>
    <w:p w14:paraId="011D4905"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p>
    <w:p w14:paraId="6257F948" w14:textId="78231210" w:rsidR="003A053B" w:rsidRPr="00A42C60" w:rsidRDefault="003A053B" w:rsidP="003A053B">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De lo expuesto, y a manera de solución al interrogante planteado, surgen estas dos ideas que han servido de hilo conductor al análisis que aquí se hace: el mutuo acuerdo es una forma de modificación del contrato estatal, la más usada en la práctica y preferida por la legislación vigente; advirtiendo, y esta es la segunda idea, que toda modificación debe tener una causa real y cierta, contemplada en la ley, diferente de la mera voluntad de los contratantes.</w:t>
      </w:r>
    </w:p>
    <w:p w14:paraId="54D8B172" w14:textId="77777777" w:rsidR="003A053B" w:rsidRPr="00A42C60" w:rsidRDefault="003A053B" w:rsidP="00783687">
      <w:pPr>
        <w:spacing w:after="0" w:line="276" w:lineRule="auto"/>
        <w:ind w:left="709" w:right="709"/>
        <w:jc w:val="both"/>
        <w:rPr>
          <w:rFonts w:ascii="Arial" w:hAnsi="Arial" w:cs="Arial"/>
          <w:sz w:val="21"/>
          <w:szCs w:val="21"/>
          <w:lang w:val="es-MX" w:eastAsia="es-ES_tradnl"/>
        </w:rPr>
      </w:pPr>
    </w:p>
    <w:p w14:paraId="64032DC0" w14:textId="65B73202" w:rsidR="003A053B" w:rsidRPr="00A42C60" w:rsidRDefault="003A053B" w:rsidP="003A053B">
      <w:pPr>
        <w:spacing w:before="120" w:after="0" w:line="276" w:lineRule="auto"/>
        <w:ind w:firstLine="709"/>
        <w:jc w:val="both"/>
        <w:rPr>
          <w:rFonts w:ascii="Arial" w:hAnsi="Arial" w:cs="Arial"/>
          <w:bCs/>
          <w:szCs w:val="24"/>
          <w:lang w:val="es-MX" w:eastAsia="es-ES_tradnl"/>
        </w:rPr>
      </w:pPr>
      <w:r w:rsidRPr="00A42C60">
        <w:rPr>
          <w:rFonts w:ascii="Arial" w:hAnsi="Arial" w:cs="Arial"/>
          <w:bCs/>
          <w:szCs w:val="24"/>
          <w:lang w:val="es-MX" w:eastAsia="es-ES_tradnl" w:bidi="es-ES"/>
        </w:rPr>
        <w:t xml:space="preserve">En el mismo sentido, en el concepto 2263 del 17 de marzo del 2016, la Sala de Consulta y Servicio Civil del Consejo de Estado precisó que </w:t>
      </w:r>
      <w:r w:rsidRPr="00A42C60">
        <w:rPr>
          <w:rFonts w:ascii="Arial" w:hAnsi="Arial" w:cs="Arial"/>
          <w:bCs/>
          <w:szCs w:val="24"/>
          <w:lang w:val="es-MX" w:eastAsia="es-ES_tradnl"/>
        </w:rPr>
        <w:t>la regla general es la no modificación del contrato, y la vía excepcional su modificación, sometida a límites legales; límites que, en los términos definidos en el referido concepto, corresponden a los siguientes:</w:t>
      </w:r>
    </w:p>
    <w:p w14:paraId="400658BC" w14:textId="77777777" w:rsidR="007863A4" w:rsidRPr="00A42C60" w:rsidRDefault="007863A4" w:rsidP="007863A4">
      <w:pPr>
        <w:spacing w:after="0" w:line="276" w:lineRule="auto"/>
        <w:ind w:firstLine="709"/>
        <w:jc w:val="both"/>
        <w:rPr>
          <w:rFonts w:ascii="Arial" w:hAnsi="Arial" w:cs="Arial"/>
          <w:bCs/>
          <w:szCs w:val="24"/>
          <w:lang w:val="es-MX" w:eastAsia="es-ES_tradnl"/>
        </w:rPr>
      </w:pPr>
    </w:p>
    <w:p w14:paraId="68FEFC7C" w14:textId="7478F7CE" w:rsidR="003A053B" w:rsidRPr="00A42C60" w:rsidRDefault="003A053B" w:rsidP="003A053B">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 xml:space="preserve">1. La necesidad de preservar los principios de igualdad, transparencia y libertad de concurrencia, durante la fase de ejecución del contrato. </w:t>
      </w:r>
    </w:p>
    <w:p w14:paraId="192903CE"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p>
    <w:p w14:paraId="5583B8BF"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Este límite encuentra sustento en el hecho de que, para celebrar contratos estatales las entidades públicas eligen, dentro de un «régimen de concurrencia y de igualdad, las mejores condiciones de costo, calidad e idoneidad de la prestación requerida», lo que supone que la selección objetiva de la oferta más favorable, se dirige a salvaguardar el interés público y, por lo tanto, celebrado el contrato en esas condiciones,  su eventual modificación debe asegurar que lo adjudicado, y posteriormente alterado, consulte la mejor opción para el servicio público.</w:t>
      </w:r>
    </w:p>
    <w:p w14:paraId="39535918"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p>
    <w:p w14:paraId="4D8DC22A"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Así, según lo expuesto en el concepto en cuestión «la aplicación de los principios de transparencia, de libertad de concurrencia y de igualdad, consagrados en el Estatuto Contractual, y las reglas sustanciales del pliego de condiciones, que permitieron elegir la mejor oferta, previo cumplimiento de los requisitos habilitantes y de ponderación, deben ser de estricta observancia por la Administración y por el contratista, y sus efectos trascienden y se aplican durante la ejecución del contrato y en su liquidación, como garantía de inalterabilidad de lo pactado y de acatamiento a la legalidad de las reglas aplicadas en la actuación previa».</w:t>
      </w:r>
    </w:p>
    <w:p w14:paraId="525E93EF"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p>
    <w:p w14:paraId="115E0707" w14:textId="211E4702" w:rsidR="003A053B" w:rsidRPr="00A42C60" w:rsidRDefault="003A053B" w:rsidP="003A053B">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lastRenderedPageBreak/>
        <w:t>2.Límites de orden temporal, entre los que están comprendidos: i) la vigencia del contrato, pues no podría modificarse un contrato cuyo plazo ha culminado y ii) la prohibición de consagrar prórrogas automáticas, sucesivas o indefinidas, en tanto resultan contrarias al derecho esencial de la libertad de competencia.</w:t>
      </w:r>
    </w:p>
    <w:p w14:paraId="2196C9EE" w14:textId="77777777" w:rsidR="0039496D" w:rsidRPr="00A42C60" w:rsidRDefault="0039496D" w:rsidP="003A053B">
      <w:pPr>
        <w:spacing w:after="0" w:line="240" w:lineRule="auto"/>
        <w:ind w:left="709" w:right="709"/>
        <w:jc w:val="both"/>
        <w:rPr>
          <w:rFonts w:ascii="Arial" w:hAnsi="Arial" w:cs="Arial"/>
          <w:sz w:val="21"/>
          <w:szCs w:val="21"/>
          <w:lang w:val="es-MX" w:eastAsia="es-ES_tradnl"/>
        </w:rPr>
      </w:pPr>
    </w:p>
    <w:p w14:paraId="5F404ACB"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3. Límites de orden formal, que comprenden: i) La solemnidad del contrato de modificación, derivada del carácter solemne del contrato estatal, que exige que modificación de los contratos conste por escrito</w:t>
      </w:r>
      <w:r w:rsidRPr="00A42C60">
        <w:rPr>
          <w:rFonts w:ascii="Arial" w:hAnsi="Arial" w:cs="Arial"/>
          <w:sz w:val="21"/>
          <w:szCs w:val="21"/>
          <w:vertAlign w:val="superscript"/>
          <w:lang w:val="es-MX" w:eastAsia="es-ES_tradnl"/>
        </w:rPr>
        <w:footnoteReference w:id="25"/>
      </w:r>
      <w:r w:rsidRPr="00A42C60">
        <w:rPr>
          <w:rFonts w:ascii="Arial" w:hAnsi="Arial" w:cs="Arial"/>
          <w:sz w:val="21"/>
          <w:szCs w:val="21"/>
          <w:vertAlign w:val="superscript"/>
          <w:lang w:val="es-MX" w:eastAsia="es-ES_tradnl"/>
        </w:rPr>
        <w:t>;</w:t>
      </w:r>
      <w:r w:rsidRPr="00A42C60">
        <w:rPr>
          <w:rFonts w:ascii="Arial" w:hAnsi="Arial" w:cs="Arial"/>
          <w:sz w:val="21"/>
          <w:szCs w:val="21"/>
          <w:lang w:val="es-MX" w:eastAsia="es-ES_tradnl"/>
        </w:rPr>
        <w:t xml:space="preserve"> ii) la motivación y justificación de la modificación, la cual constituye un elemento esencial que permite determinar la juridicidad y la necesidad de una modificación determinada; así como su racionalidad y la proporcionalidad de su contenido.</w:t>
      </w:r>
    </w:p>
    <w:p w14:paraId="408230E0"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p>
    <w:p w14:paraId="5D99E720" w14:textId="5FC78DC0" w:rsidR="003A053B" w:rsidRPr="00A42C60" w:rsidRDefault="003A053B" w:rsidP="003A053B">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4. Límites de orden material, que corresponden a: i) la prohibición de modificar las condiciones sustanciales del contrato, que se presentará en los casos en que se incluyan elementos que, «habiendo figurado en el procedimiento inicial, hubiera permitido la participación de otros interesados aparte de los inicialmente admitidos, o seleccionar una oferta distinta de la inicialmente seleccionada.</w:t>
      </w:r>
    </w:p>
    <w:p w14:paraId="7444AA16"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p>
    <w:p w14:paraId="093E0AAD" w14:textId="77777777" w:rsidR="003A053B" w:rsidRPr="00A42C60" w:rsidRDefault="003A053B" w:rsidP="00A42C60">
      <w:pPr>
        <w:spacing w:after="0" w:line="240" w:lineRule="auto"/>
        <w:ind w:firstLine="708"/>
        <w:jc w:val="both"/>
        <w:rPr>
          <w:rFonts w:ascii="Arial" w:hAnsi="Arial" w:cs="Arial"/>
          <w:lang w:val="es-MX" w:eastAsia="es-ES_tradnl"/>
        </w:rPr>
      </w:pPr>
      <w:r w:rsidRPr="00A42C60">
        <w:rPr>
          <w:rFonts w:ascii="Arial" w:hAnsi="Arial" w:cs="Arial"/>
          <w:lang w:val="es-MX" w:eastAsia="es-ES_tradnl"/>
        </w:rPr>
        <w:t>Sobre el alcance de dicha prohibición, la Sala de Consulta y Servicio Civil expresó lo siguiente</w:t>
      </w:r>
      <w:r w:rsidRPr="00A42C60">
        <w:rPr>
          <w:rFonts w:ascii="Arial" w:hAnsi="Arial" w:cs="Arial"/>
          <w:vertAlign w:val="superscript"/>
          <w:lang w:val="es-MX" w:eastAsia="es-ES_tradnl"/>
        </w:rPr>
        <w:footnoteReference w:id="26"/>
      </w:r>
      <w:r w:rsidRPr="00A42C60">
        <w:rPr>
          <w:rFonts w:ascii="Arial" w:hAnsi="Arial" w:cs="Arial"/>
          <w:lang w:val="es-MX" w:eastAsia="es-ES_tradnl"/>
        </w:rPr>
        <w:t>:</w:t>
      </w:r>
    </w:p>
    <w:p w14:paraId="2C2C4BEA"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p>
    <w:p w14:paraId="3A692B45" w14:textId="0595D898" w:rsidR="003A053B" w:rsidRPr="00A42C60" w:rsidRDefault="003A053B" w:rsidP="003A053B">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Así, frente a circunstancias excepcionales la Administración podría usar su poder de modificación unilateral o realizar las modificaciones de mutuo acuerdo, con el cumplimiento de los requisitos de ley. Se trataría de la excepción a la regla general de intangibilidad del contrato. La doctrina y algunos pronunciamientos de la Sección Tercera del Consejo de Estado, aportan los elementos necesarios que permiten orientar a la Administración sobre esta vía excepcional y sus requisitos:</w:t>
      </w:r>
    </w:p>
    <w:p w14:paraId="6FADD90B"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p>
    <w:p w14:paraId="7B6C792C"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 No podría aceptarse un poder ilimitado o absoluto de modificación, aun frente a circunstancias excepcionales. Por ello la modificación no podrá afectar el núcleo esencial del objeto, o la naturaleza global del contrato. Con independencia de las razones y circunstancias imprevisibles que puedan presentarse, no es posible que el contrato mute o se transforme en un contrato sustancialmente distinto. Si se sustituyen las obras, los suministros o los servicios pactados por otros diferentes, o se modifica el tipo de contratación, o el núcleo esencial del objeto, se presentaría una novación del negocio jurídico y su objeto.</w:t>
      </w:r>
    </w:p>
    <w:p w14:paraId="0B7188B2"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p>
    <w:p w14:paraId="1D95C3F2"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lastRenderedPageBreak/>
        <w:t>[…]</w:t>
      </w:r>
    </w:p>
    <w:p w14:paraId="158AE5FF"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p>
    <w:p w14:paraId="0CA61B44"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-Las causas que justificarían la modificación del contrato deben obedecer al acaecimiento de situaciones o circunstancias imposibles de prever, con una diligencia debida, que hagan imperiosa o necesaria la modificación de algunas estipulaciones del contrato, como única manera de conjurarlas. Debe tratarse de la existencia de circunstancias surgidas de un riesgo imprevisible, no necesariamente de una situación no prevista, que pueda razonablemente considerarse en un futuro mediato o que debieron ser previstas en la etapa de planeación del contrato. Ello supone la existencia de circunstancias posteriores, externas a las partes y no agravadas por su acción u omisión, puestas de manifiesto o imposibles de advertir en la etapa precontractual, que, además, muestren la imposibilidad de cumplir lo pactado inicialmente, o su falta de idoneidad. Estas circunstancias pueden obedecer a razones de tipo geológico, medioambiental o de otra índole, que no pudieron ser razonablemente previstas. […]</w:t>
      </w:r>
    </w:p>
    <w:p w14:paraId="5B70B8F2"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p>
    <w:p w14:paraId="0E74136E"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 xml:space="preserve">-La existencia de una necesidad de servicio público que justifique la modificación, hasta el punto de conjurar la nueva necesidad. La acreditación de estas circunstancias estará a cargo de la entidad estatal, justificada en los estudios previos y en la debida motivación del contrato modificatorio </w:t>
      </w:r>
    </w:p>
    <w:p w14:paraId="161A0B93"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p>
    <w:p w14:paraId="003ACB1E"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-El cumplimiento del límite cuantitativo consagrado en la ley para los contratos adicionales. […]</w:t>
      </w:r>
    </w:p>
    <w:p w14:paraId="6A8EE0AA"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p>
    <w:p w14:paraId="064DBE64" w14:textId="60A2EA87" w:rsidR="003A053B" w:rsidRPr="00A42C60" w:rsidRDefault="003A053B" w:rsidP="003A053B">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-Debe tratarse de prestaciones necesarias e inseparables técnica o económicamente del contrato inicial, que no permitan su uso o aprovechamiento independiente La modificación de las condiciones de la prestación o del contrato debe presuponer que no pueda ser materia de un nuevo proceso de selección, o de su contratación con un tercero, en razón a que, por su naturaleza, resulte inseparable técnica o económicamente de la prestación pactada en el contrato inicial.</w:t>
      </w:r>
    </w:p>
    <w:p w14:paraId="6F8DC204"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p>
    <w:p w14:paraId="2C58FC6E" w14:textId="650C166E" w:rsidR="003A053B" w:rsidRPr="00A42C60" w:rsidRDefault="003A053B" w:rsidP="003A053B">
      <w:pPr>
        <w:spacing w:before="120" w:after="0" w:line="276" w:lineRule="auto"/>
        <w:ind w:firstLine="709"/>
        <w:jc w:val="both"/>
        <w:rPr>
          <w:rFonts w:ascii="Arial" w:hAnsi="Arial" w:cs="Arial"/>
          <w:bCs/>
          <w:szCs w:val="24"/>
          <w:lang w:val="es-MX" w:eastAsia="es-ES_tradnl" w:bidi="es-ES"/>
        </w:rPr>
      </w:pPr>
      <w:r w:rsidRPr="00A42C60">
        <w:rPr>
          <w:rFonts w:ascii="Arial" w:hAnsi="Arial" w:cs="Arial"/>
          <w:bCs/>
          <w:szCs w:val="24"/>
          <w:lang w:val="es-MX" w:eastAsia="es-ES_tradnl" w:bidi="es-ES"/>
        </w:rPr>
        <w:t xml:space="preserve">Es claro, entonces, que conforme a la regulación legal y a la interpretación que de la misma han hecho el Consejo de Estado y la Corte Constitucional, la cual se comparte por esta Agencia, es viable jurídicamente modificar los contratos estatales, pero esta medida tienen carácter excepcional y solo procede cuando con ella se pretenda garantizar el interés público, cuando la entidad haya verificado y así pueda constatarse por cualquier que la causa de la modificación es real y cierta, y cuando se deriva de previsiones legales, esto es, cuando la modificación encuentra sustento no solo en circunstancias fácticas propias de la ejecución del contrato, sino, además, cuando tales situaciones ponen de presente la necesidad de dar cumplimiento a previsiones establecidas por el legislador. </w:t>
      </w:r>
      <w:r w:rsidR="00B85636">
        <w:rPr>
          <w:rFonts w:ascii="Arial" w:hAnsi="Arial" w:cs="Arial"/>
          <w:bCs/>
          <w:szCs w:val="24"/>
          <w:lang w:val="es-MX" w:eastAsia="es-ES_tradnl" w:bidi="es-ES"/>
        </w:rPr>
        <w:t>De esta manera,</w:t>
      </w:r>
      <w:r w:rsidRPr="00A42C60">
        <w:rPr>
          <w:rFonts w:ascii="Arial" w:hAnsi="Arial" w:cs="Arial"/>
          <w:bCs/>
          <w:szCs w:val="24"/>
          <w:lang w:val="es-MX" w:eastAsia="es-ES_tradnl" w:bidi="es-ES"/>
        </w:rPr>
        <w:t xml:space="preserve"> para establecer si un contrato determinado puede ser susceptible de </w:t>
      </w:r>
      <w:r w:rsidRPr="00A42C60">
        <w:rPr>
          <w:rFonts w:ascii="Arial" w:hAnsi="Arial" w:cs="Arial"/>
          <w:bCs/>
          <w:szCs w:val="24"/>
          <w:lang w:val="es-MX" w:eastAsia="es-ES_tradnl" w:bidi="es-ES"/>
        </w:rPr>
        <w:lastRenderedPageBreak/>
        <w:t xml:space="preserve">modificación, se hace necesario que la Administración analice, en cada caso, la concurrencia de los aspectos antes referidos.  </w:t>
      </w:r>
    </w:p>
    <w:p w14:paraId="6CD8CDDE" w14:textId="77777777" w:rsidR="003A053B" w:rsidRPr="00A42C60" w:rsidRDefault="003A053B" w:rsidP="003A053B">
      <w:pPr>
        <w:spacing w:before="120" w:after="0" w:line="276" w:lineRule="auto"/>
        <w:ind w:firstLine="567"/>
        <w:jc w:val="both"/>
        <w:rPr>
          <w:rFonts w:ascii="Arial" w:hAnsi="Arial" w:cs="Arial"/>
          <w:bCs/>
          <w:szCs w:val="24"/>
          <w:lang w:val="es-MX" w:eastAsia="es-ES_tradnl" w:bidi="es-ES"/>
        </w:rPr>
      </w:pPr>
      <w:r w:rsidRPr="00A42C60">
        <w:rPr>
          <w:rFonts w:ascii="Arial" w:hAnsi="Arial" w:cs="Arial"/>
          <w:bCs/>
          <w:szCs w:val="24"/>
          <w:lang w:val="es-MX" w:eastAsia="es-ES_tradnl" w:bidi="es-ES"/>
        </w:rPr>
        <w:t>Además de lo anterior, las modificaciones no podrían suponer la variación del objeto de un contrato, pues ello supondría la alteración de su esencia y lo convertiría en otro tipo de negocio jurídico. Si se presentara esta situación lo indicado no sería modificar el contrato sino celebrar uno nuevo.</w:t>
      </w:r>
      <w:bookmarkStart w:id="3" w:name="_ftnref22"/>
      <w:r w:rsidRPr="00A42C60">
        <w:rPr>
          <w:rFonts w:ascii="Arial" w:hAnsi="Arial" w:cs="Arial"/>
          <w:bCs/>
          <w:szCs w:val="24"/>
          <w:lang w:val="es-MX" w:eastAsia="es-ES_tradnl" w:bidi="es-ES"/>
        </w:rPr>
        <w:t xml:space="preserve"> </w:t>
      </w:r>
    </w:p>
    <w:p w14:paraId="545EA98B" w14:textId="77777777" w:rsidR="003A053B" w:rsidRPr="00A42C60" w:rsidRDefault="003A053B" w:rsidP="003A053B">
      <w:pPr>
        <w:spacing w:before="120" w:after="0" w:line="276" w:lineRule="auto"/>
        <w:ind w:firstLine="709"/>
        <w:jc w:val="both"/>
        <w:rPr>
          <w:rFonts w:ascii="Arial" w:hAnsi="Arial" w:cs="Arial"/>
          <w:bCs/>
          <w:szCs w:val="24"/>
          <w:lang w:val="es-MX" w:eastAsia="es-ES_tradnl" w:bidi="es-ES"/>
        </w:rPr>
      </w:pPr>
      <w:r w:rsidRPr="00A42C60">
        <w:rPr>
          <w:rFonts w:ascii="Arial" w:hAnsi="Arial" w:cs="Arial"/>
          <w:bCs/>
          <w:szCs w:val="24"/>
          <w:lang w:val="es-MX" w:eastAsia="es-ES_tradnl" w:bidi="es-ES"/>
        </w:rPr>
        <w:t>Sobre este último punto, la doctrina</w:t>
      </w:r>
      <w:r w:rsidRPr="00A42C60">
        <w:rPr>
          <w:rFonts w:ascii="Arial" w:hAnsi="Arial" w:cs="Arial"/>
          <w:bCs/>
          <w:szCs w:val="24"/>
          <w:vertAlign w:val="superscript"/>
          <w:lang w:val="es-MX" w:eastAsia="es-ES_tradnl" w:bidi="es-ES"/>
        </w:rPr>
        <w:footnoteReference w:id="27"/>
      </w:r>
      <w:r w:rsidRPr="00A42C60">
        <w:rPr>
          <w:rFonts w:ascii="Arial" w:hAnsi="Arial" w:cs="Arial"/>
          <w:bCs/>
          <w:szCs w:val="24"/>
          <w:lang w:val="es-MX" w:eastAsia="es-ES_tradnl" w:bidi="es-ES"/>
        </w:rPr>
        <w:t xml:space="preserve"> ha precisado que cuando </w:t>
      </w:r>
      <w:r w:rsidRPr="00A42C60">
        <w:rPr>
          <w:rFonts w:ascii="Arial" w:hAnsi="Arial" w:cs="Arial"/>
          <w:bCs/>
          <w:szCs w:val="24"/>
          <w:lang w:val="es-MX" w:eastAsia="es-ES_tradnl"/>
        </w:rPr>
        <w:t>«</w:t>
      </w:r>
      <w:r w:rsidRPr="00A42C60">
        <w:rPr>
          <w:rFonts w:ascii="Arial" w:hAnsi="Arial" w:cs="Arial"/>
          <w:bCs/>
          <w:szCs w:val="24"/>
          <w:lang w:val="es-MX" w:eastAsia="es-ES_tradnl" w:bidi="es-ES"/>
        </w:rPr>
        <w:t>se alude a la modificación del contrato se lo hace para referirse a alteraciones, variaciones, sustituciones de calidad, componentes o número de obras, bienes o servicios. No implican la sustitución del género del contrato sino modificaciones que responden a necesidades sobrevivientes o a errores en la fase previa</w:t>
      </w:r>
      <w:r w:rsidRPr="00A42C60">
        <w:rPr>
          <w:rFonts w:ascii="Arial" w:hAnsi="Arial" w:cs="Arial"/>
          <w:bCs/>
          <w:szCs w:val="24"/>
          <w:lang w:val="es-MX" w:eastAsia="es-ES_tradnl"/>
        </w:rPr>
        <w:t>»</w:t>
      </w:r>
      <w:r w:rsidRPr="00A42C60">
        <w:rPr>
          <w:rFonts w:ascii="Arial" w:hAnsi="Arial" w:cs="Arial"/>
          <w:bCs/>
          <w:i/>
          <w:iCs/>
          <w:szCs w:val="24"/>
          <w:vertAlign w:val="superscript"/>
          <w:lang w:val="es-MX" w:eastAsia="es-ES_tradnl"/>
        </w:rPr>
        <w:footnoteReference w:id="28"/>
      </w:r>
      <w:r w:rsidRPr="00A42C60">
        <w:rPr>
          <w:rFonts w:ascii="Arial" w:hAnsi="Arial" w:cs="Arial"/>
          <w:bCs/>
          <w:szCs w:val="24"/>
          <w:lang w:val="es-MX" w:eastAsia="es-ES_tradnl" w:bidi="es-ES"/>
        </w:rPr>
        <w:t xml:space="preserve">. </w:t>
      </w:r>
      <w:bookmarkEnd w:id="3"/>
      <w:r w:rsidRPr="00A42C60">
        <w:rPr>
          <w:rFonts w:ascii="Arial" w:hAnsi="Arial" w:cs="Arial"/>
          <w:bCs/>
          <w:szCs w:val="24"/>
          <w:lang w:val="es-MX" w:eastAsia="es-ES_tradnl" w:bidi="es-ES"/>
        </w:rPr>
        <w:t xml:space="preserve">Para la determinación de los aspectos que no alteran la esencia del contrato estatal y que por ello al variarse no lo convierte en otro contrato, resulta útil remitirse a lo previsto en el artículo 1501 del Código Civil, que establece que los contratos tienen elementos de su esencia, de su naturaleza y accidentales. Las definiciones de cada uno de dichos conceptos efectuadas en el artículo en comento resultarán útiles para establecer, en un caso determinado, si una específica modificación altera la esencia del contrato. </w:t>
      </w:r>
    </w:p>
    <w:p w14:paraId="4E9B28EA" w14:textId="1CA813FF" w:rsidR="003A053B" w:rsidRPr="00A42C60" w:rsidRDefault="003A053B" w:rsidP="002E4DA4">
      <w:pPr>
        <w:spacing w:before="120" w:after="0" w:line="276" w:lineRule="auto"/>
        <w:ind w:firstLine="709"/>
        <w:jc w:val="both"/>
        <w:rPr>
          <w:rFonts w:ascii="Arial" w:hAnsi="Arial" w:cs="Arial"/>
          <w:bCs/>
          <w:szCs w:val="24"/>
          <w:lang w:val="es-MX" w:eastAsia="es-ES_tradnl" w:bidi="es-ES"/>
        </w:rPr>
      </w:pPr>
      <w:r w:rsidRPr="00A42C60">
        <w:rPr>
          <w:rFonts w:ascii="Arial" w:hAnsi="Arial" w:cs="Arial"/>
          <w:bCs/>
          <w:szCs w:val="24"/>
          <w:lang w:val="es-MX" w:eastAsia="es-ES_tradnl" w:bidi="es-ES"/>
        </w:rPr>
        <w:t xml:space="preserve">En todo caso, corresponderá a cada entidad estatal realizar el análisis respecto a la precedencia de modificar determinado contrato estatal, en el entendido que se respeten las reglas establecidas en el ordenamiento jurídico, de acuerdo con lo expuesto anteriormente, además de definir previamente su procedencia desde la perspectiva jurídica, técnica y financiera. </w:t>
      </w:r>
    </w:p>
    <w:p w14:paraId="7713EDCF" w14:textId="73DFCF20" w:rsidR="007863A4" w:rsidRPr="00A42C60" w:rsidRDefault="007863A4" w:rsidP="002E4DA4">
      <w:pPr>
        <w:spacing w:before="120" w:after="0" w:line="276" w:lineRule="auto"/>
        <w:ind w:firstLine="709"/>
        <w:jc w:val="both"/>
        <w:rPr>
          <w:rFonts w:ascii="Arial" w:hAnsi="Arial" w:cs="Arial"/>
          <w:bCs/>
          <w:szCs w:val="24"/>
          <w:lang w:val="es-MX" w:eastAsia="es-ES_tradnl" w:bidi="es-ES"/>
        </w:rPr>
      </w:pPr>
      <w:r w:rsidRPr="00A42C60">
        <w:rPr>
          <w:rFonts w:ascii="Arial" w:hAnsi="Arial" w:cs="Arial"/>
          <w:bCs/>
          <w:szCs w:val="24"/>
          <w:lang w:val="es-ES_tradnl" w:eastAsia="es-ES_tradnl" w:bidi="es-ES"/>
        </w:rPr>
        <w:t xml:space="preserve">En este contexto, </w:t>
      </w:r>
      <w:r w:rsidR="0039496D" w:rsidRPr="00A42C60">
        <w:rPr>
          <w:rFonts w:ascii="Arial" w:hAnsi="Arial" w:cs="Arial"/>
          <w:bCs/>
          <w:szCs w:val="24"/>
          <w:lang w:val="es-ES_tradnl" w:eastAsia="es-ES_tradnl" w:bidi="es-ES"/>
        </w:rPr>
        <w:t xml:space="preserve">en concordancia con lo expuesto en el numeral 2.1 de este concepto, </w:t>
      </w:r>
      <w:r w:rsidR="00A775EF" w:rsidRPr="00A42C60">
        <w:rPr>
          <w:rFonts w:ascii="Arial" w:hAnsi="Arial" w:cs="Arial"/>
          <w:bCs/>
          <w:szCs w:val="24"/>
          <w:lang w:val="es-ES_tradnl" w:eastAsia="es-ES_tradnl" w:bidi="es-ES"/>
        </w:rPr>
        <w:t xml:space="preserve">es claro que un </w:t>
      </w:r>
      <w:r w:rsidRPr="00A42C60">
        <w:rPr>
          <w:rFonts w:ascii="Arial" w:hAnsi="Arial" w:cs="Arial"/>
          <w:bCs/>
          <w:szCs w:val="24"/>
          <w:lang w:val="es-ES_tradnl" w:eastAsia="es-ES_tradnl" w:bidi="es-ES"/>
        </w:rPr>
        <w:t xml:space="preserve">contrato estatal puede modificarse en precio y en el alcance de su objeto para incluir actividades adicionales que no fueron comprendidas en el contrato inicial, </w:t>
      </w:r>
      <w:r w:rsidR="000F2930" w:rsidRPr="00A42C60">
        <w:rPr>
          <w:rFonts w:ascii="Arial" w:hAnsi="Arial" w:cs="Arial"/>
          <w:bCs/>
          <w:szCs w:val="24"/>
          <w:lang w:val="es-ES_tradnl" w:eastAsia="es-ES_tradnl" w:bidi="es-ES"/>
        </w:rPr>
        <w:t xml:space="preserve">esto es, para incluir ítems no previstos, </w:t>
      </w:r>
      <w:r w:rsidRPr="00A42C60">
        <w:rPr>
          <w:rFonts w:ascii="Arial" w:hAnsi="Arial" w:cs="Arial"/>
          <w:bCs/>
          <w:szCs w:val="24"/>
          <w:lang w:val="es-ES_tradnl" w:eastAsia="es-ES_tradnl" w:bidi="es-ES"/>
        </w:rPr>
        <w:t xml:space="preserve">siempre que se respete el límite fijado por el legislador para adicionar su valor y las demás disposiciones establecidas en el ordenamiento jurídico. Además, las modificaciones no podrían suponer la variación del objeto de un contrato, </w:t>
      </w:r>
      <w:r w:rsidR="0039496D" w:rsidRPr="00A42C60">
        <w:rPr>
          <w:rFonts w:ascii="Arial" w:hAnsi="Arial" w:cs="Arial"/>
          <w:bCs/>
          <w:szCs w:val="24"/>
          <w:lang w:val="es-ES_tradnl" w:eastAsia="es-ES_tradnl" w:bidi="es-ES"/>
        </w:rPr>
        <w:t xml:space="preserve">al punto que suponga </w:t>
      </w:r>
      <w:r w:rsidRPr="00A42C60">
        <w:rPr>
          <w:rFonts w:ascii="Arial" w:hAnsi="Arial" w:cs="Arial"/>
          <w:bCs/>
          <w:szCs w:val="24"/>
          <w:lang w:val="es-ES_tradnl" w:eastAsia="es-ES_tradnl" w:bidi="es-ES"/>
        </w:rPr>
        <w:t xml:space="preserve">la alteración de su esencia y </w:t>
      </w:r>
      <w:r w:rsidR="0039496D" w:rsidRPr="00A42C60">
        <w:rPr>
          <w:rFonts w:ascii="Arial" w:hAnsi="Arial" w:cs="Arial"/>
          <w:bCs/>
          <w:szCs w:val="24"/>
          <w:lang w:val="es-ES_tradnl" w:eastAsia="es-ES_tradnl" w:bidi="es-ES"/>
        </w:rPr>
        <w:t xml:space="preserve">se convierta </w:t>
      </w:r>
      <w:r w:rsidRPr="00A42C60">
        <w:rPr>
          <w:rFonts w:ascii="Arial" w:hAnsi="Arial" w:cs="Arial"/>
          <w:bCs/>
          <w:szCs w:val="24"/>
          <w:lang w:val="es-ES_tradnl" w:eastAsia="es-ES_tradnl" w:bidi="es-ES"/>
        </w:rPr>
        <w:t>en otro tipo de negocio jurídico. Si se presentara esta situación lo indicado no sería modificar el contrato sino celebrar uno nuevo. Esta</w:t>
      </w:r>
      <w:r w:rsidR="0039496D" w:rsidRPr="00A42C60">
        <w:rPr>
          <w:rFonts w:ascii="Arial" w:hAnsi="Arial" w:cs="Arial"/>
          <w:bCs/>
          <w:szCs w:val="24"/>
          <w:lang w:val="es-ES_tradnl" w:eastAsia="es-ES_tradnl" w:bidi="es-ES"/>
        </w:rPr>
        <w:t>s reglas proceden cuando la modificación sea</w:t>
      </w:r>
      <w:r w:rsidRPr="00A42C60">
        <w:rPr>
          <w:rFonts w:ascii="Arial" w:hAnsi="Arial" w:cs="Arial"/>
          <w:bCs/>
          <w:szCs w:val="24"/>
          <w:lang w:val="es-ES_tradnl" w:eastAsia="es-ES_tradnl" w:bidi="es-ES"/>
        </w:rPr>
        <w:t xml:space="preserve"> de manera bilateral</w:t>
      </w:r>
      <w:r w:rsidR="0039496D" w:rsidRPr="00A42C60">
        <w:rPr>
          <w:rFonts w:ascii="Arial" w:hAnsi="Arial" w:cs="Arial"/>
          <w:bCs/>
          <w:szCs w:val="24"/>
          <w:lang w:val="es-ES_tradnl" w:eastAsia="es-ES_tradnl" w:bidi="es-ES"/>
        </w:rPr>
        <w:t>, así como cuando se realice de forma</w:t>
      </w:r>
      <w:r w:rsidRPr="00A42C60">
        <w:rPr>
          <w:rFonts w:ascii="Arial" w:hAnsi="Arial" w:cs="Arial"/>
          <w:bCs/>
          <w:szCs w:val="24"/>
          <w:lang w:val="es-ES_tradnl" w:eastAsia="es-ES_tradnl" w:bidi="es-ES"/>
        </w:rPr>
        <w:t xml:space="preserve"> unilateral</w:t>
      </w:r>
      <w:r w:rsidR="0039496D" w:rsidRPr="00A42C60">
        <w:rPr>
          <w:rFonts w:ascii="Arial" w:hAnsi="Arial" w:cs="Arial"/>
          <w:bCs/>
          <w:szCs w:val="24"/>
          <w:lang w:val="es-ES_tradnl" w:eastAsia="es-ES_tradnl" w:bidi="es-ES"/>
        </w:rPr>
        <w:t xml:space="preserve"> por la entidad estatal</w:t>
      </w:r>
      <w:r w:rsidRPr="00A42C60">
        <w:rPr>
          <w:rFonts w:ascii="Arial" w:hAnsi="Arial" w:cs="Arial"/>
          <w:bCs/>
          <w:szCs w:val="24"/>
          <w:lang w:val="es-ES_tradnl" w:eastAsia="es-ES_tradnl" w:bidi="es-ES"/>
        </w:rPr>
        <w:t xml:space="preserve">, esta </w:t>
      </w:r>
      <w:r w:rsidRPr="00A42C60">
        <w:rPr>
          <w:rFonts w:ascii="Arial" w:hAnsi="Arial" w:cs="Arial"/>
          <w:bCs/>
          <w:szCs w:val="24"/>
          <w:lang w:val="es-ES_tradnl" w:eastAsia="es-ES_tradnl" w:bidi="es-ES"/>
        </w:rPr>
        <w:lastRenderedPageBreak/>
        <w:t>última teniendo en cuenta que el artículo 16 de la Ley 80 de 1993 señala que si las modificaciones alteran el valor del contrato en un veinte por ciento (20%) o más del valor inicial, el contratista podrá renunciar a la continuación de la ejecución</w:t>
      </w:r>
      <w:r w:rsidR="008B06D9" w:rsidRPr="00A42C60">
        <w:rPr>
          <w:rFonts w:ascii="Arial" w:hAnsi="Arial" w:cs="Arial"/>
          <w:bCs/>
          <w:szCs w:val="24"/>
          <w:lang w:val="es-ES_tradnl" w:eastAsia="es-ES_tradnl" w:bidi="es-ES"/>
        </w:rPr>
        <w:t xml:space="preserve">. </w:t>
      </w:r>
    </w:p>
    <w:p w14:paraId="18E02929" w14:textId="4E8948F8" w:rsidR="006D44EA" w:rsidRPr="00A42C60" w:rsidRDefault="006D44EA" w:rsidP="006D44EA">
      <w:pPr>
        <w:spacing w:before="120" w:after="0" w:line="276" w:lineRule="auto"/>
        <w:ind w:firstLine="709"/>
        <w:jc w:val="both"/>
        <w:rPr>
          <w:rFonts w:ascii="Arial" w:hAnsi="Arial" w:cs="Arial"/>
          <w:bCs/>
          <w:szCs w:val="24"/>
          <w:lang w:eastAsia="es-ES_tradnl" w:bidi="es-ES"/>
        </w:rPr>
      </w:pPr>
      <w:r w:rsidRPr="00A42C60">
        <w:rPr>
          <w:rFonts w:ascii="Arial" w:hAnsi="Arial" w:cs="Arial"/>
          <w:bCs/>
          <w:szCs w:val="24"/>
          <w:lang w:val="es-ES_tradnl" w:eastAsia="es-ES_tradnl" w:bidi="es-ES"/>
        </w:rPr>
        <w:t>Al respecto</w:t>
      </w:r>
      <w:r w:rsidR="002E4DA4" w:rsidRPr="00A42C60">
        <w:rPr>
          <w:rFonts w:ascii="Arial" w:hAnsi="Arial" w:cs="Arial"/>
          <w:bCs/>
          <w:szCs w:val="24"/>
          <w:lang w:val="es-ES_tradnl" w:eastAsia="es-ES_tradnl" w:bidi="es-ES"/>
        </w:rPr>
        <w:t>,</w:t>
      </w:r>
      <w:r w:rsidR="008B06D9" w:rsidRPr="00A42C60">
        <w:rPr>
          <w:rFonts w:ascii="Arial" w:hAnsi="Arial" w:cs="Arial"/>
          <w:bCs/>
          <w:szCs w:val="24"/>
          <w:lang w:val="es-ES_tradnl" w:eastAsia="es-ES_tradnl" w:bidi="es-ES"/>
        </w:rPr>
        <w:t xml:space="preserve"> es pertinente indicar</w:t>
      </w:r>
      <w:r w:rsidR="002E4DA4" w:rsidRPr="00A42C60">
        <w:rPr>
          <w:rFonts w:ascii="Arial" w:hAnsi="Arial" w:cs="Arial"/>
          <w:bCs/>
          <w:szCs w:val="24"/>
          <w:lang w:val="es-ES_tradnl" w:eastAsia="es-ES_tradnl" w:bidi="es-ES"/>
        </w:rPr>
        <w:t xml:space="preserve"> </w:t>
      </w:r>
      <w:r w:rsidR="008B06D9" w:rsidRPr="00A42C60">
        <w:rPr>
          <w:rFonts w:ascii="Arial" w:hAnsi="Arial" w:cs="Arial"/>
          <w:bCs/>
          <w:szCs w:val="24"/>
          <w:lang w:val="es-ES_tradnl" w:eastAsia="es-ES_tradnl" w:bidi="es-ES"/>
        </w:rPr>
        <w:t>en relación con la sentencia SU 214 de 2022 de la Corte Constitucional</w:t>
      </w:r>
      <w:r w:rsidRPr="00A42C60">
        <w:rPr>
          <w:rFonts w:ascii="Arial" w:hAnsi="Arial" w:cs="Arial"/>
          <w:bCs/>
          <w:szCs w:val="24"/>
          <w:lang w:val="es-ES_tradnl" w:eastAsia="es-ES_tradnl" w:bidi="es-ES"/>
        </w:rPr>
        <w:t xml:space="preserve"> </w:t>
      </w:r>
      <w:r w:rsidR="008B06D9" w:rsidRPr="00A42C60">
        <w:rPr>
          <w:rFonts w:ascii="Arial" w:hAnsi="Arial" w:cs="Arial"/>
          <w:bCs/>
          <w:szCs w:val="24"/>
          <w:lang w:val="es-ES_tradnl" w:eastAsia="es-ES_tradnl" w:bidi="es-ES"/>
        </w:rPr>
        <w:t>que</w:t>
      </w:r>
      <w:r w:rsidR="00191007">
        <w:rPr>
          <w:rFonts w:ascii="Arial" w:hAnsi="Arial" w:cs="Arial"/>
          <w:bCs/>
          <w:szCs w:val="24"/>
          <w:lang w:val="es-ES_tradnl" w:eastAsia="es-ES_tradnl" w:bidi="es-ES"/>
        </w:rPr>
        <w:t>,</w:t>
      </w:r>
      <w:r w:rsidR="008B06D9" w:rsidRPr="00A42C60">
        <w:rPr>
          <w:rFonts w:ascii="Arial" w:hAnsi="Arial" w:cs="Arial"/>
          <w:bCs/>
          <w:szCs w:val="24"/>
          <w:lang w:val="es-ES_tradnl" w:eastAsia="es-ES_tradnl" w:bidi="es-ES"/>
        </w:rPr>
        <w:t xml:space="preserve"> </w:t>
      </w:r>
      <w:r w:rsidR="002E4DA4" w:rsidRPr="00A42C60">
        <w:rPr>
          <w:rFonts w:ascii="Arial" w:hAnsi="Arial" w:cs="Arial"/>
          <w:bCs/>
          <w:szCs w:val="24"/>
          <w:lang w:val="es-ES_tradnl" w:eastAsia="es-ES_tradnl" w:bidi="es-ES"/>
        </w:rPr>
        <w:t xml:space="preserve">las consideraciones expuestas </w:t>
      </w:r>
      <w:r w:rsidR="00191007">
        <w:rPr>
          <w:rFonts w:ascii="Arial" w:hAnsi="Arial" w:cs="Arial"/>
          <w:bCs/>
          <w:szCs w:val="24"/>
          <w:lang w:val="es-ES_tradnl" w:eastAsia="es-ES_tradnl" w:bidi="es-ES"/>
        </w:rPr>
        <w:t xml:space="preserve">en dicha providencia </w:t>
      </w:r>
      <w:r w:rsidR="002E4DA4" w:rsidRPr="00A42C60">
        <w:rPr>
          <w:rFonts w:ascii="Arial" w:hAnsi="Arial" w:cs="Arial"/>
          <w:bCs/>
          <w:szCs w:val="24"/>
          <w:lang w:val="es-ES_tradnl" w:eastAsia="es-ES_tradnl" w:bidi="es-ES"/>
        </w:rPr>
        <w:t>para resolver el caso particular se fundamenta</w:t>
      </w:r>
      <w:r w:rsidR="008B06D9" w:rsidRPr="00A42C60">
        <w:rPr>
          <w:rFonts w:ascii="Arial" w:hAnsi="Arial" w:cs="Arial"/>
          <w:bCs/>
          <w:szCs w:val="24"/>
          <w:lang w:val="es-ES_tradnl" w:eastAsia="es-ES_tradnl" w:bidi="es-ES"/>
        </w:rPr>
        <w:t>n</w:t>
      </w:r>
      <w:r w:rsidR="002E4DA4" w:rsidRPr="00A42C60">
        <w:rPr>
          <w:rFonts w:ascii="Arial" w:hAnsi="Arial" w:cs="Arial"/>
          <w:bCs/>
          <w:szCs w:val="24"/>
          <w:lang w:val="es-ES_tradnl" w:eastAsia="es-ES_tradnl" w:bidi="es-ES"/>
        </w:rPr>
        <w:t xml:space="preserve"> en </w:t>
      </w:r>
      <w:r w:rsidR="002E4DA4" w:rsidRPr="00A42C60">
        <w:rPr>
          <w:rFonts w:ascii="Arial" w:hAnsi="Arial" w:cs="Arial"/>
          <w:bCs/>
          <w:szCs w:val="24"/>
          <w:lang w:eastAsia="es-ES_tradnl" w:bidi="es-ES"/>
        </w:rPr>
        <w:t>el análisis del alcance y contenido de</w:t>
      </w:r>
      <w:r w:rsidR="007638FC" w:rsidRPr="00A42C60">
        <w:rPr>
          <w:rFonts w:ascii="Arial" w:hAnsi="Arial" w:cs="Arial"/>
          <w:bCs/>
          <w:szCs w:val="24"/>
          <w:lang w:eastAsia="es-ES_tradnl" w:bidi="es-ES"/>
        </w:rPr>
        <w:t xml:space="preserve"> las definiciones de</w:t>
      </w:r>
      <w:r w:rsidR="002E4DA4" w:rsidRPr="00A42C60">
        <w:rPr>
          <w:rFonts w:ascii="Arial" w:hAnsi="Arial" w:cs="Arial"/>
          <w:bCs/>
          <w:szCs w:val="24"/>
          <w:lang w:eastAsia="es-ES_tradnl" w:bidi="es-ES"/>
        </w:rPr>
        <w:t xml:space="preserve"> </w:t>
      </w:r>
      <w:r w:rsidR="002E4DA4" w:rsidRPr="00A42C60">
        <w:rPr>
          <w:rFonts w:ascii="Arial" w:hAnsi="Arial" w:cs="Arial"/>
          <w:bCs/>
          <w:i/>
          <w:iCs/>
          <w:szCs w:val="24"/>
          <w:lang w:eastAsia="es-ES_tradnl" w:bidi="es-ES"/>
        </w:rPr>
        <w:t>adiciones contractuales</w:t>
      </w:r>
      <w:r w:rsidR="002E4DA4" w:rsidRPr="00A42C60">
        <w:rPr>
          <w:rFonts w:ascii="Arial" w:hAnsi="Arial" w:cs="Arial"/>
          <w:bCs/>
          <w:szCs w:val="24"/>
          <w:lang w:eastAsia="es-ES_tradnl" w:bidi="es-ES"/>
        </w:rPr>
        <w:t xml:space="preserve"> y  </w:t>
      </w:r>
      <w:r w:rsidR="002E4DA4" w:rsidRPr="00A42C60">
        <w:rPr>
          <w:rFonts w:ascii="Arial" w:hAnsi="Arial" w:cs="Arial"/>
          <w:bCs/>
          <w:i/>
          <w:iCs/>
          <w:szCs w:val="24"/>
          <w:lang w:eastAsia="es-ES_tradnl" w:bidi="es-ES"/>
        </w:rPr>
        <w:t>contratos adicionales</w:t>
      </w:r>
      <w:r w:rsidR="002E4DA4" w:rsidRPr="00A42C60">
        <w:rPr>
          <w:rFonts w:ascii="Arial" w:hAnsi="Arial" w:cs="Arial"/>
          <w:bCs/>
          <w:szCs w:val="24"/>
          <w:lang w:eastAsia="es-ES_tradnl" w:bidi="es-ES"/>
        </w:rPr>
        <w:t xml:space="preserve"> a la luz de la ley,</w:t>
      </w:r>
      <w:r w:rsidR="007638FC" w:rsidRPr="00A42C60">
        <w:rPr>
          <w:rFonts w:ascii="Arial" w:hAnsi="Arial" w:cs="Arial"/>
          <w:bCs/>
          <w:szCs w:val="24"/>
          <w:lang w:eastAsia="es-ES_tradnl" w:bidi="es-ES"/>
        </w:rPr>
        <w:t xml:space="preserve"> teniendo en cuenta la posición </w:t>
      </w:r>
      <w:r w:rsidR="002E4DA4" w:rsidRPr="00A42C60">
        <w:rPr>
          <w:rFonts w:ascii="Arial" w:hAnsi="Arial" w:cs="Arial"/>
          <w:bCs/>
          <w:szCs w:val="24"/>
          <w:lang w:eastAsia="es-ES_tradnl" w:bidi="es-ES"/>
        </w:rPr>
        <w:t>de la jurisprudencia del Consejo de Estado</w:t>
      </w:r>
      <w:r w:rsidR="008B06D9" w:rsidRPr="00A42C60">
        <w:rPr>
          <w:rFonts w:ascii="Arial" w:hAnsi="Arial" w:cs="Arial"/>
          <w:bCs/>
          <w:szCs w:val="24"/>
          <w:lang w:eastAsia="es-ES_tradnl" w:bidi="es-ES"/>
        </w:rPr>
        <w:t xml:space="preserve"> y </w:t>
      </w:r>
      <w:r w:rsidR="002E4DA4" w:rsidRPr="00A42C60">
        <w:rPr>
          <w:rFonts w:ascii="Arial" w:hAnsi="Arial" w:cs="Arial"/>
          <w:bCs/>
          <w:szCs w:val="24"/>
          <w:lang w:eastAsia="es-ES_tradnl" w:bidi="es-ES"/>
        </w:rPr>
        <w:t xml:space="preserve">de la Sala de Casación Penal de la Corte Suprema de Justicia </w:t>
      </w:r>
      <w:r w:rsidR="002E4DA4" w:rsidRPr="00A42C60">
        <w:rPr>
          <w:rFonts w:ascii="Arial" w:hAnsi="Arial" w:cs="Arial"/>
          <w:bCs/>
          <w:szCs w:val="24"/>
          <w:lang w:val="es-ES_tradnl" w:eastAsia="es-ES_tradnl" w:bidi="es-ES"/>
        </w:rPr>
        <w:t xml:space="preserve">vigente para el </w:t>
      </w:r>
      <w:r w:rsidR="002E4DA4" w:rsidRPr="00A42C60">
        <w:rPr>
          <w:rFonts w:ascii="Arial" w:hAnsi="Arial" w:cs="Arial"/>
          <w:szCs w:val="24"/>
          <w:lang w:val="es-ES_tradnl" w:eastAsia="es-ES_tradnl" w:bidi="es-ES"/>
        </w:rPr>
        <w:t>momento de los hechos</w:t>
      </w:r>
      <w:r w:rsidR="007638FC" w:rsidRPr="00A42C60">
        <w:rPr>
          <w:rFonts w:ascii="Arial" w:hAnsi="Arial" w:cs="Arial"/>
          <w:szCs w:val="24"/>
          <w:lang w:val="es-ES_tradnl" w:eastAsia="es-ES_tradnl" w:bidi="es-ES"/>
        </w:rPr>
        <w:t xml:space="preserve">, </w:t>
      </w:r>
      <w:r w:rsidR="002E4DA4" w:rsidRPr="00A42C60">
        <w:rPr>
          <w:rFonts w:ascii="Arial" w:hAnsi="Arial" w:cs="Arial"/>
          <w:bCs/>
          <w:szCs w:val="24"/>
          <w:lang w:val="es-ES_tradnl" w:eastAsia="es-ES_tradnl" w:bidi="es-ES"/>
        </w:rPr>
        <w:t>que se remiten al año 2004</w:t>
      </w:r>
      <w:r w:rsidR="008B06D9" w:rsidRPr="00A42C60">
        <w:rPr>
          <w:rFonts w:ascii="Arial" w:hAnsi="Arial" w:cs="Arial"/>
          <w:bCs/>
          <w:szCs w:val="24"/>
          <w:lang w:val="es-ES_tradnl" w:eastAsia="es-ES_tradnl" w:bidi="es-ES"/>
        </w:rPr>
        <w:t xml:space="preserve">. </w:t>
      </w:r>
      <w:r w:rsidR="007638FC" w:rsidRPr="00A42C60">
        <w:rPr>
          <w:rFonts w:ascii="Arial" w:hAnsi="Arial" w:cs="Arial"/>
          <w:bCs/>
          <w:szCs w:val="24"/>
          <w:lang w:val="es-ES_tradnl" w:eastAsia="es-ES_tradnl" w:bidi="es-ES"/>
        </w:rPr>
        <w:t xml:space="preserve">Según lo expuesto en dicha sentencia, </w:t>
      </w:r>
      <w:r w:rsidRPr="00A42C60">
        <w:rPr>
          <w:rFonts w:ascii="Arial" w:hAnsi="Arial" w:cs="Arial"/>
          <w:bCs/>
          <w:szCs w:val="24"/>
          <w:lang w:val="es-ES_tradnl" w:eastAsia="es-ES_tradnl" w:bidi="es-ES"/>
        </w:rPr>
        <w:t>la posición establecida para ese momento</w:t>
      </w:r>
      <w:r w:rsidR="007638FC" w:rsidRPr="00A42C60">
        <w:rPr>
          <w:rFonts w:ascii="Arial" w:hAnsi="Arial" w:cs="Arial"/>
          <w:bCs/>
          <w:szCs w:val="24"/>
          <w:lang w:val="es-ES_tradnl" w:eastAsia="es-ES_tradnl" w:bidi="es-ES"/>
        </w:rPr>
        <w:t xml:space="preserve"> indicaba que</w:t>
      </w:r>
      <w:r w:rsidRPr="00A42C60">
        <w:rPr>
          <w:rFonts w:ascii="Arial" w:hAnsi="Arial" w:cs="Arial"/>
          <w:bCs/>
          <w:szCs w:val="24"/>
          <w:lang w:val="es-ES_tradnl" w:eastAsia="es-ES_tradnl" w:bidi="es-ES"/>
        </w:rPr>
        <w:t xml:space="preserve"> para </w:t>
      </w:r>
      <w:r w:rsidRPr="00A42C60">
        <w:rPr>
          <w:rFonts w:ascii="Arial" w:hAnsi="Arial" w:cs="Arial"/>
          <w:bCs/>
          <w:szCs w:val="24"/>
          <w:lang w:eastAsia="es-ES_tradnl" w:bidi="es-ES"/>
        </w:rPr>
        <w:t>agregar ítems o actividades no pactadas en los contrato a precios unitarios</w:t>
      </w:r>
      <w:r w:rsidR="002E4DA4" w:rsidRPr="00A42C60">
        <w:rPr>
          <w:rFonts w:ascii="Arial" w:hAnsi="Arial" w:cs="Arial"/>
          <w:bCs/>
          <w:szCs w:val="24"/>
          <w:lang w:eastAsia="es-ES_tradnl" w:bidi="es-ES"/>
        </w:rPr>
        <w:t>, implicaba modificar el objeto del contrato</w:t>
      </w:r>
      <w:r w:rsidR="00B27975" w:rsidRPr="00A42C60">
        <w:rPr>
          <w:rFonts w:ascii="Arial" w:hAnsi="Arial" w:cs="Arial"/>
          <w:bCs/>
          <w:szCs w:val="24"/>
          <w:lang w:eastAsia="es-ES_tradnl" w:bidi="es-ES"/>
        </w:rPr>
        <w:t xml:space="preserve"> por lo que era necesario celebrar </w:t>
      </w:r>
      <w:r w:rsidR="002E4DA4" w:rsidRPr="00A42C60">
        <w:rPr>
          <w:rFonts w:ascii="Arial" w:hAnsi="Arial" w:cs="Arial"/>
          <w:bCs/>
          <w:szCs w:val="24"/>
          <w:lang w:eastAsia="es-ES_tradnl" w:bidi="es-ES"/>
        </w:rPr>
        <w:t xml:space="preserve">nuevo contrato denominado </w:t>
      </w:r>
      <w:r w:rsidR="002E4DA4" w:rsidRPr="00A42C60">
        <w:rPr>
          <w:rFonts w:ascii="Arial" w:hAnsi="Arial" w:cs="Arial"/>
          <w:bCs/>
          <w:i/>
          <w:iCs/>
          <w:szCs w:val="24"/>
          <w:lang w:eastAsia="es-ES_tradnl" w:bidi="es-ES"/>
        </w:rPr>
        <w:t>contrato adicional</w:t>
      </w:r>
      <w:r w:rsidRPr="00A42C60">
        <w:rPr>
          <w:rFonts w:ascii="Arial" w:hAnsi="Arial" w:cs="Arial"/>
          <w:bCs/>
          <w:szCs w:val="24"/>
          <w:lang w:eastAsia="es-ES_tradnl" w:bidi="es-ES"/>
        </w:rPr>
        <w:t>.</w:t>
      </w:r>
      <w:r w:rsidR="007638FC" w:rsidRPr="00A42C60">
        <w:rPr>
          <w:rFonts w:ascii="Arial" w:hAnsi="Arial" w:cs="Arial"/>
          <w:bCs/>
          <w:szCs w:val="24"/>
          <w:lang w:eastAsia="es-ES_tradnl" w:bidi="es-ES"/>
        </w:rPr>
        <w:t xml:space="preserve"> </w:t>
      </w:r>
    </w:p>
    <w:p w14:paraId="3B49E3AA" w14:textId="579C9238" w:rsidR="00E04EC1" w:rsidRPr="00A42C60" w:rsidRDefault="002E4DA4" w:rsidP="006D44EA">
      <w:pPr>
        <w:spacing w:before="120" w:after="0" w:line="276" w:lineRule="auto"/>
        <w:ind w:firstLine="709"/>
        <w:jc w:val="both"/>
        <w:rPr>
          <w:rFonts w:ascii="Arial" w:hAnsi="Arial" w:cs="Arial"/>
          <w:bCs/>
          <w:szCs w:val="24"/>
          <w:lang w:val="es-MX" w:eastAsia="es-ES_tradnl"/>
        </w:rPr>
      </w:pPr>
      <w:r w:rsidRPr="00A42C60">
        <w:rPr>
          <w:rFonts w:ascii="Arial" w:hAnsi="Arial" w:cs="Arial"/>
          <w:bCs/>
          <w:szCs w:val="24"/>
          <w:lang w:eastAsia="es-ES_tradnl" w:bidi="es-ES"/>
        </w:rPr>
        <w:t xml:space="preserve">Lo anterior se colige de varios </w:t>
      </w:r>
      <w:r w:rsidR="007638FC" w:rsidRPr="00A42C60">
        <w:rPr>
          <w:rFonts w:ascii="Arial" w:hAnsi="Arial" w:cs="Arial"/>
          <w:bCs/>
          <w:szCs w:val="24"/>
          <w:lang w:eastAsia="es-ES_tradnl" w:bidi="es-ES"/>
        </w:rPr>
        <w:t>apartes</w:t>
      </w:r>
      <w:r w:rsidRPr="00A42C60">
        <w:rPr>
          <w:rFonts w:ascii="Arial" w:hAnsi="Arial" w:cs="Arial"/>
          <w:bCs/>
          <w:szCs w:val="24"/>
          <w:lang w:eastAsia="es-ES_tradnl" w:bidi="es-ES"/>
        </w:rPr>
        <w:t xml:space="preserve"> de la sentencia, principalmente lo señalado en el </w:t>
      </w:r>
      <w:r w:rsidR="007638FC" w:rsidRPr="00A42C60">
        <w:rPr>
          <w:rFonts w:ascii="Arial" w:hAnsi="Arial" w:cs="Arial"/>
          <w:bCs/>
          <w:szCs w:val="24"/>
          <w:lang w:eastAsia="es-ES_tradnl" w:bidi="es-ES"/>
        </w:rPr>
        <w:t>numeral</w:t>
      </w:r>
      <w:r w:rsidRPr="00A42C60">
        <w:rPr>
          <w:rFonts w:ascii="Arial" w:hAnsi="Arial" w:cs="Arial"/>
          <w:bCs/>
          <w:szCs w:val="24"/>
          <w:lang w:eastAsia="es-ES_tradnl" w:bidi="es-ES"/>
        </w:rPr>
        <w:t xml:space="preserve"> 306 que indica que </w:t>
      </w:r>
      <w:r w:rsidR="007638FC" w:rsidRPr="00A42C60">
        <w:rPr>
          <w:rFonts w:ascii="Arial" w:hAnsi="Arial" w:cs="Arial"/>
          <w:bCs/>
          <w:szCs w:val="24"/>
          <w:lang w:val="es-MX" w:eastAsia="es-ES_tradnl"/>
        </w:rPr>
        <w:t>«</w:t>
      </w:r>
      <w:r w:rsidRPr="00A42C60">
        <w:rPr>
          <w:rFonts w:ascii="Arial" w:hAnsi="Arial" w:cs="Arial"/>
          <w:bCs/>
          <w:szCs w:val="24"/>
          <w:lang w:eastAsia="es-ES_tradnl" w:bidi="es-ES"/>
        </w:rPr>
        <w:t xml:space="preserve">La Sala reconoce que en la jurisprudencia y la doctrina han existido diferentes posturas sobre si el objeto de un contrato de obra puede o no ser reformado mediante una simple adición o si ello, por el contrato, exige la celebración de un nuevo contrato producto de un proceso de selección y contratación propio. Ello quedó evidenciado al hacer el recuento jurisprudencial y doctrinal en la materia, en el acápite K) de esta providencia. </w:t>
      </w:r>
      <w:r w:rsidRPr="00A42C60">
        <w:rPr>
          <w:rFonts w:ascii="Arial" w:hAnsi="Arial" w:cs="Arial"/>
          <w:bCs/>
          <w:i/>
          <w:iCs/>
          <w:szCs w:val="24"/>
          <w:lang w:eastAsia="es-ES_tradnl" w:bidi="es-ES"/>
        </w:rPr>
        <w:t>Sin embargo, la solución del caso sub examine, exige determinar cuál era el estado del arte, al momento de los hechos,</w:t>
      </w:r>
      <w:r w:rsidRPr="00A42C60">
        <w:rPr>
          <w:rFonts w:ascii="Arial" w:hAnsi="Arial" w:cs="Arial"/>
          <w:bCs/>
          <w:szCs w:val="24"/>
          <w:lang w:eastAsia="es-ES_tradnl" w:bidi="es-ES"/>
        </w:rPr>
        <w:t xml:space="preserve"> es decir, para el 30 de agosto de 2004, fecha en la que el demandante suscribió el adicional No.</w:t>
      </w:r>
      <w:r w:rsidR="00C82439">
        <w:rPr>
          <w:rFonts w:ascii="Arial" w:hAnsi="Arial" w:cs="Arial"/>
          <w:bCs/>
          <w:szCs w:val="24"/>
          <w:lang w:eastAsia="es-ES_tradnl" w:bidi="es-ES"/>
        </w:rPr>
        <w:t xml:space="preserve"> </w:t>
      </w:r>
      <w:r w:rsidRPr="00A42C60">
        <w:rPr>
          <w:rFonts w:ascii="Arial" w:hAnsi="Arial" w:cs="Arial"/>
          <w:bCs/>
          <w:szCs w:val="24"/>
          <w:lang w:eastAsia="es-ES_tradnl" w:bidi="es-ES"/>
        </w:rPr>
        <w:t>2</w:t>
      </w:r>
      <w:r w:rsidR="007638FC" w:rsidRPr="00A42C60">
        <w:rPr>
          <w:rFonts w:ascii="Arial" w:hAnsi="Arial" w:cs="Arial"/>
          <w:bCs/>
          <w:szCs w:val="24"/>
          <w:lang w:val="es-MX" w:eastAsia="es-ES_tradnl"/>
        </w:rPr>
        <w:t>»</w:t>
      </w:r>
      <w:r w:rsidR="000F2930" w:rsidRPr="00A42C60">
        <w:rPr>
          <w:rFonts w:ascii="Arial" w:hAnsi="Arial" w:cs="Arial"/>
          <w:bCs/>
          <w:szCs w:val="24"/>
          <w:lang w:val="es-MX" w:eastAsia="es-ES_tradnl"/>
        </w:rPr>
        <w:t xml:space="preserve"> (</w:t>
      </w:r>
      <w:r w:rsidR="00783687" w:rsidRPr="00A42C60">
        <w:rPr>
          <w:rFonts w:ascii="Arial" w:hAnsi="Arial" w:cs="Arial"/>
          <w:bCs/>
          <w:szCs w:val="24"/>
          <w:lang w:val="es-MX" w:eastAsia="es-ES_tradnl"/>
        </w:rPr>
        <w:t>Énfasis</w:t>
      </w:r>
      <w:r w:rsidR="000F2930" w:rsidRPr="00A42C60">
        <w:rPr>
          <w:rFonts w:ascii="Arial" w:hAnsi="Arial" w:cs="Arial"/>
          <w:bCs/>
          <w:szCs w:val="24"/>
          <w:lang w:val="es-MX" w:eastAsia="es-ES_tradnl"/>
        </w:rPr>
        <w:t xml:space="preserve"> p</w:t>
      </w:r>
      <w:r w:rsidR="00783687" w:rsidRPr="00A42C60">
        <w:rPr>
          <w:rFonts w:ascii="Arial" w:hAnsi="Arial" w:cs="Arial"/>
          <w:bCs/>
          <w:szCs w:val="24"/>
          <w:lang w:val="es-MX" w:eastAsia="es-ES_tradnl"/>
        </w:rPr>
        <w:t>or</w:t>
      </w:r>
      <w:r w:rsidR="000F2930" w:rsidRPr="00A42C60">
        <w:rPr>
          <w:rFonts w:ascii="Arial" w:hAnsi="Arial" w:cs="Arial"/>
          <w:bCs/>
          <w:szCs w:val="24"/>
          <w:lang w:val="es-MX" w:eastAsia="es-ES_tradnl"/>
        </w:rPr>
        <w:t xml:space="preserve"> fuera de texto)</w:t>
      </w:r>
      <w:r w:rsidR="007638FC" w:rsidRPr="00A42C60">
        <w:rPr>
          <w:rFonts w:ascii="Arial" w:hAnsi="Arial" w:cs="Arial"/>
          <w:bCs/>
          <w:szCs w:val="24"/>
          <w:lang w:val="es-MX" w:eastAsia="es-ES_tradnl"/>
        </w:rPr>
        <w:t xml:space="preserve">. </w:t>
      </w:r>
    </w:p>
    <w:p w14:paraId="17F675AA" w14:textId="2CA25B4A" w:rsidR="002E4DA4" w:rsidRPr="00A42C60" w:rsidRDefault="000F2930" w:rsidP="006D44EA">
      <w:pPr>
        <w:spacing w:before="120" w:after="0" w:line="276" w:lineRule="auto"/>
        <w:ind w:firstLine="709"/>
        <w:jc w:val="both"/>
        <w:rPr>
          <w:rFonts w:ascii="Arial" w:hAnsi="Arial" w:cs="Arial"/>
          <w:bCs/>
          <w:szCs w:val="24"/>
          <w:lang w:eastAsia="es-ES_tradnl" w:bidi="es-ES"/>
        </w:rPr>
      </w:pPr>
      <w:r w:rsidRPr="00A42C60">
        <w:rPr>
          <w:rFonts w:ascii="Arial" w:hAnsi="Arial" w:cs="Arial"/>
          <w:bCs/>
          <w:szCs w:val="24"/>
          <w:lang w:val="es-MX" w:eastAsia="es-ES_tradnl"/>
        </w:rPr>
        <w:t>Asimismo, en el numeral 307 de la sentencia se señala que «</w:t>
      </w:r>
      <w:r w:rsidRPr="00A42C60">
        <w:rPr>
          <w:rFonts w:ascii="Arial" w:hAnsi="Arial" w:cs="Arial"/>
          <w:bCs/>
          <w:i/>
          <w:iCs/>
          <w:szCs w:val="24"/>
          <w:lang w:val="es-MX" w:eastAsia="es-ES_tradnl"/>
        </w:rPr>
        <w:t>para el momento de los hechos,</w:t>
      </w:r>
      <w:r w:rsidRPr="00A42C60">
        <w:rPr>
          <w:rFonts w:ascii="Arial" w:hAnsi="Arial" w:cs="Arial"/>
          <w:bCs/>
          <w:szCs w:val="24"/>
          <w:lang w:val="es-MX" w:eastAsia="es-ES_tradnl"/>
        </w:rPr>
        <w:t xml:space="preserve"> en la jurisprudencia del Consejo de Estado ya existía claridad sobre que (i) pactar nuevos ítems, en los contratos a precios unitarios, representa una modificación del objeto contractual; (ii) la modificación del objeto es una modificación de fondo y, no accesoria, del contrato; por lo que (iii) debe formalizarse mediante un nuevo contrato» </w:t>
      </w:r>
      <w:r w:rsidR="00783687" w:rsidRPr="00A42C60">
        <w:rPr>
          <w:rFonts w:ascii="Arial" w:hAnsi="Arial" w:cs="Arial"/>
          <w:bCs/>
          <w:szCs w:val="24"/>
          <w:lang w:val="es-MX" w:eastAsia="es-ES_tradnl"/>
        </w:rPr>
        <w:t xml:space="preserve">(Énfasis por fuera de texto). </w:t>
      </w:r>
      <w:r w:rsidR="00B27975" w:rsidRPr="00A42C60">
        <w:rPr>
          <w:rFonts w:ascii="Arial" w:hAnsi="Arial" w:cs="Arial"/>
          <w:bCs/>
          <w:szCs w:val="24"/>
          <w:lang w:val="es-MX" w:eastAsia="es-ES_tradnl"/>
        </w:rPr>
        <w:t>De igual manera, el numeral 349 reitera que «</w:t>
      </w:r>
      <w:r w:rsidR="00B27975" w:rsidRPr="00A42C60">
        <w:rPr>
          <w:rFonts w:ascii="Arial" w:hAnsi="Arial" w:cs="Arial"/>
          <w:bCs/>
          <w:i/>
          <w:iCs/>
          <w:szCs w:val="24"/>
          <w:lang w:val="es-MX" w:eastAsia="es-ES_tradnl"/>
        </w:rPr>
        <w:t>para el mes de agosto de 2004</w:t>
      </w:r>
      <w:r w:rsidR="00B27975" w:rsidRPr="00A42C60">
        <w:rPr>
          <w:rFonts w:ascii="Arial" w:hAnsi="Arial" w:cs="Arial"/>
          <w:b/>
          <w:i/>
          <w:iCs/>
          <w:szCs w:val="24"/>
          <w:lang w:val="es-MX" w:eastAsia="es-ES_tradnl"/>
        </w:rPr>
        <w:t>,</w:t>
      </w:r>
      <w:r w:rsidR="00B27975" w:rsidRPr="00A42C60">
        <w:rPr>
          <w:rFonts w:ascii="Arial" w:hAnsi="Arial" w:cs="Arial"/>
          <w:bCs/>
          <w:szCs w:val="24"/>
          <w:lang w:val="es-MX" w:eastAsia="es-ES_tradnl"/>
        </w:rPr>
        <w:t xml:space="preserve"> fecha en la que el demandante suscribió el Adicional No. 2, la jurisprudencia del Consejo de Estado ya había señalado que, en los contratos pactados por el sistema de precios unitarios agregar ítems o actividades no pactados en el contrato, implica modificar el objeto del contrato, por lo que ello debía hacerse mediante nuevo contrato denominado “contrato adicional”».</w:t>
      </w:r>
      <w:r w:rsidR="00E04EC1" w:rsidRPr="00A42C60">
        <w:rPr>
          <w:rFonts w:ascii="Arial" w:hAnsi="Arial" w:cs="Arial"/>
          <w:bCs/>
          <w:szCs w:val="24"/>
          <w:lang w:val="es-MX" w:eastAsia="es-ES_tradnl"/>
        </w:rPr>
        <w:t xml:space="preserve"> </w:t>
      </w:r>
      <w:r w:rsidR="00783687" w:rsidRPr="00A42C60">
        <w:rPr>
          <w:rFonts w:ascii="Arial" w:hAnsi="Arial" w:cs="Arial"/>
          <w:bCs/>
          <w:szCs w:val="24"/>
          <w:lang w:val="es-MX" w:eastAsia="es-ES_tradnl"/>
        </w:rPr>
        <w:t>(Énfasis por fuera de texto).</w:t>
      </w:r>
    </w:p>
    <w:p w14:paraId="62C2CD26" w14:textId="7C394903" w:rsidR="00B27975" w:rsidRPr="00A42C60" w:rsidRDefault="002E4DA4" w:rsidP="00B27975">
      <w:pPr>
        <w:spacing w:before="120" w:after="0" w:line="276" w:lineRule="auto"/>
        <w:ind w:firstLine="709"/>
        <w:jc w:val="both"/>
        <w:rPr>
          <w:rFonts w:ascii="Arial" w:hAnsi="Arial" w:cs="Arial"/>
          <w:bCs/>
          <w:szCs w:val="24"/>
          <w:lang w:val="es-ES_tradnl" w:eastAsia="es-ES_tradnl" w:bidi="es-ES"/>
        </w:rPr>
      </w:pPr>
      <w:r w:rsidRPr="00A42C60">
        <w:rPr>
          <w:rFonts w:ascii="Arial" w:hAnsi="Arial" w:cs="Arial"/>
          <w:bCs/>
          <w:szCs w:val="24"/>
          <w:lang w:val="es-ES_tradnl" w:eastAsia="es-ES_tradnl" w:bidi="es-ES"/>
        </w:rPr>
        <w:t xml:space="preserve">Así las cosas, es posible </w:t>
      </w:r>
      <w:r w:rsidR="00B27975" w:rsidRPr="00A42C60">
        <w:rPr>
          <w:rFonts w:ascii="Arial" w:hAnsi="Arial" w:cs="Arial"/>
          <w:bCs/>
          <w:szCs w:val="24"/>
          <w:lang w:val="es-ES_tradnl" w:eastAsia="es-ES_tradnl" w:bidi="es-ES"/>
        </w:rPr>
        <w:t xml:space="preserve">colegir </w:t>
      </w:r>
      <w:r w:rsidRPr="00A42C60">
        <w:rPr>
          <w:rFonts w:ascii="Arial" w:hAnsi="Arial" w:cs="Arial"/>
          <w:bCs/>
          <w:szCs w:val="24"/>
          <w:lang w:val="es-ES_tradnl" w:eastAsia="es-ES_tradnl" w:bidi="es-ES"/>
        </w:rPr>
        <w:t xml:space="preserve">que la interpretación que realiza la </w:t>
      </w:r>
      <w:r w:rsidR="008E77AB">
        <w:rPr>
          <w:rFonts w:ascii="Arial" w:hAnsi="Arial" w:cs="Arial"/>
          <w:bCs/>
          <w:szCs w:val="24"/>
          <w:lang w:val="es-ES_tradnl" w:eastAsia="es-ES_tradnl" w:bidi="es-ES"/>
        </w:rPr>
        <w:t>S</w:t>
      </w:r>
      <w:r w:rsidRPr="00A42C60">
        <w:rPr>
          <w:rFonts w:ascii="Arial" w:hAnsi="Arial" w:cs="Arial"/>
          <w:bCs/>
          <w:szCs w:val="24"/>
          <w:lang w:val="es-ES_tradnl" w:eastAsia="es-ES_tradnl" w:bidi="es-ES"/>
        </w:rPr>
        <w:t>entencia</w:t>
      </w:r>
      <w:r w:rsidR="00B27975" w:rsidRPr="00A42C60">
        <w:rPr>
          <w:rFonts w:ascii="Arial" w:hAnsi="Arial" w:cs="Arial"/>
          <w:bCs/>
          <w:szCs w:val="24"/>
          <w:lang w:val="es-ES_tradnl" w:eastAsia="es-ES_tradnl" w:bidi="es-ES"/>
        </w:rPr>
        <w:t xml:space="preserve"> SU 214 de</w:t>
      </w:r>
      <w:r w:rsidR="008E77AB">
        <w:rPr>
          <w:rFonts w:ascii="Arial" w:hAnsi="Arial" w:cs="Arial"/>
          <w:bCs/>
          <w:szCs w:val="24"/>
          <w:lang w:val="es-ES_tradnl" w:eastAsia="es-ES_tradnl" w:bidi="es-ES"/>
        </w:rPr>
        <w:t>l 16 de junio de</w:t>
      </w:r>
      <w:r w:rsidR="00B27975" w:rsidRPr="00A42C60">
        <w:rPr>
          <w:rFonts w:ascii="Arial" w:hAnsi="Arial" w:cs="Arial"/>
          <w:bCs/>
          <w:szCs w:val="24"/>
          <w:lang w:val="es-ES_tradnl" w:eastAsia="es-ES_tradnl" w:bidi="es-ES"/>
        </w:rPr>
        <w:t xml:space="preserve"> 2022 </w:t>
      </w:r>
      <w:r w:rsidRPr="00A42C60">
        <w:rPr>
          <w:rFonts w:ascii="Arial" w:hAnsi="Arial" w:cs="Arial"/>
          <w:bCs/>
          <w:szCs w:val="24"/>
          <w:lang w:val="es-ES_tradnl" w:eastAsia="es-ES_tradnl" w:bidi="es-ES"/>
        </w:rPr>
        <w:t>en relación con la celebración de un contrato nuevo cuando se pretenda adicionar ítems o actividades al contrato, debe entenderse en el contexto histórico</w:t>
      </w:r>
      <w:r w:rsidR="00B27975" w:rsidRPr="00A42C60">
        <w:rPr>
          <w:rFonts w:ascii="Arial" w:hAnsi="Arial" w:cs="Arial"/>
          <w:bCs/>
          <w:szCs w:val="24"/>
          <w:lang w:val="es-ES_tradnl" w:eastAsia="es-ES_tradnl" w:bidi="es-ES"/>
        </w:rPr>
        <w:t xml:space="preserve"> del momento de los hechos</w:t>
      </w:r>
      <w:r w:rsidRPr="00A42C60">
        <w:rPr>
          <w:rFonts w:ascii="Arial" w:hAnsi="Arial" w:cs="Arial"/>
          <w:bCs/>
          <w:szCs w:val="24"/>
          <w:lang w:val="es-ES_tradnl" w:eastAsia="es-ES_tradnl" w:bidi="es-ES"/>
        </w:rPr>
        <w:t>, es</w:t>
      </w:r>
      <w:r w:rsidR="00B27975" w:rsidRPr="00A42C60">
        <w:rPr>
          <w:rFonts w:ascii="Arial" w:hAnsi="Arial" w:cs="Arial"/>
          <w:bCs/>
          <w:szCs w:val="24"/>
          <w:lang w:val="es-ES_tradnl" w:eastAsia="es-ES_tradnl" w:bidi="es-ES"/>
        </w:rPr>
        <w:t xml:space="preserve"> decir</w:t>
      </w:r>
      <w:r w:rsidR="00E04EC1" w:rsidRPr="00A42C60">
        <w:rPr>
          <w:rFonts w:ascii="Arial" w:hAnsi="Arial" w:cs="Arial"/>
          <w:bCs/>
          <w:szCs w:val="24"/>
          <w:lang w:val="es-ES_tradnl" w:eastAsia="es-ES_tradnl" w:bidi="es-ES"/>
        </w:rPr>
        <w:t>,</w:t>
      </w:r>
      <w:r w:rsidR="00B27975" w:rsidRPr="00A42C60">
        <w:rPr>
          <w:rFonts w:ascii="Arial" w:hAnsi="Arial" w:cs="Arial"/>
          <w:bCs/>
          <w:szCs w:val="24"/>
          <w:lang w:val="es-ES_tradnl" w:eastAsia="es-ES_tradnl" w:bidi="es-ES"/>
        </w:rPr>
        <w:t xml:space="preserve"> d</w:t>
      </w:r>
      <w:r w:rsidRPr="00A42C60">
        <w:rPr>
          <w:rFonts w:ascii="Arial" w:hAnsi="Arial" w:cs="Arial"/>
          <w:bCs/>
          <w:szCs w:val="24"/>
          <w:lang w:val="es-ES_tradnl" w:eastAsia="es-ES_tradnl" w:bidi="es-ES"/>
        </w:rPr>
        <w:t>el año 2004</w:t>
      </w:r>
      <w:r w:rsidR="00B27975" w:rsidRPr="00A42C60">
        <w:rPr>
          <w:rFonts w:ascii="Arial" w:hAnsi="Arial" w:cs="Arial"/>
          <w:bCs/>
          <w:szCs w:val="24"/>
          <w:lang w:val="es-ES_tradnl" w:eastAsia="es-ES_tradnl" w:bidi="es-ES"/>
        </w:rPr>
        <w:t>,</w:t>
      </w:r>
      <w:r w:rsidR="00E04EC1" w:rsidRPr="00A42C60">
        <w:rPr>
          <w:rFonts w:ascii="Arial" w:hAnsi="Arial" w:cs="Arial"/>
          <w:bCs/>
          <w:szCs w:val="24"/>
          <w:lang w:val="es-ES_tradnl" w:eastAsia="es-ES_tradnl" w:bidi="es-ES"/>
        </w:rPr>
        <w:t xml:space="preserve"> época </w:t>
      </w:r>
      <w:r w:rsidRPr="00A42C60">
        <w:rPr>
          <w:rFonts w:ascii="Arial" w:hAnsi="Arial" w:cs="Arial"/>
          <w:bCs/>
          <w:szCs w:val="24"/>
          <w:lang w:val="es-ES_tradnl" w:eastAsia="es-ES_tradnl" w:bidi="es-ES"/>
        </w:rPr>
        <w:t xml:space="preserve">en </w:t>
      </w:r>
      <w:r w:rsidR="00B27975" w:rsidRPr="00A42C60">
        <w:rPr>
          <w:rFonts w:ascii="Arial" w:hAnsi="Arial" w:cs="Arial"/>
          <w:bCs/>
          <w:szCs w:val="24"/>
          <w:lang w:val="es-ES_tradnl" w:eastAsia="es-ES_tradnl" w:bidi="es-ES"/>
        </w:rPr>
        <w:t>la</w:t>
      </w:r>
      <w:r w:rsidRPr="00A42C60">
        <w:rPr>
          <w:rFonts w:ascii="Arial" w:hAnsi="Arial" w:cs="Arial"/>
          <w:bCs/>
          <w:szCs w:val="24"/>
          <w:lang w:val="es-ES_tradnl" w:eastAsia="es-ES_tradnl" w:bidi="es-ES"/>
        </w:rPr>
        <w:t xml:space="preserve"> que la </w:t>
      </w:r>
      <w:r w:rsidRPr="00A42C60">
        <w:rPr>
          <w:rFonts w:ascii="Arial" w:hAnsi="Arial" w:cs="Arial"/>
          <w:bCs/>
          <w:szCs w:val="24"/>
          <w:lang w:val="es-ES_tradnl" w:eastAsia="es-ES_tradnl" w:bidi="es-ES"/>
        </w:rPr>
        <w:lastRenderedPageBreak/>
        <w:t>jurisprudencia del C</w:t>
      </w:r>
      <w:r w:rsidR="00B27975" w:rsidRPr="00A42C60">
        <w:rPr>
          <w:rFonts w:ascii="Arial" w:hAnsi="Arial" w:cs="Arial"/>
          <w:bCs/>
          <w:szCs w:val="24"/>
          <w:lang w:val="es-ES_tradnl" w:eastAsia="es-ES_tradnl" w:bidi="es-ES"/>
        </w:rPr>
        <w:t>onsejo de Estado</w:t>
      </w:r>
      <w:r w:rsidRPr="00A42C60">
        <w:rPr>
          <w:rFonts w:ascii="Arial" w:hAnsi="Arial" w:cs="Arial"/>
          <w:bCs/>
          <w:szCs w:val="24"/>
          <w:lang w:val="es-ES_tradnl" w:eastAsia="es-ES_tradnl" w:bidi="es-ES"/>
        </w:rPr>
        <w:t xml:space="preserve"> y de la</w:t>
      </w:r>
      <w:r w:rsidR="00B27975" w:rsidRPr="00A42C60">
        <w:rPr>
          <w:rFonts w:ascii="Arial" w:hAnsi="Arial" w:cs="Arial"/>
          <w:bCs/>
          <w:szCs w:val="24"/>
          <w:lang w:eastAsia="es-ES_tradnl" w:bidi="es-ES"/>
        </w:rPr>
        <w:t xml:space="preserve"> Corte Suprema de Justicia sostenían </w:t>
      </w:r>
      <w:r w:rsidRPr="00A42C60">
        <w:rPr>
          <w:rFonts w:ascii="Arial" w:hAnsi="Arial" w:cs="Arial"/>
          <w:bCs/>
          <w:szCs w:val="24"/>
          <w:lang w:val="es-ES_tradnl" w:eastAsia="es-ES_tradnl" w:bidi="es-ES"/>
        </w:rPr>
        <w:t>la necesidad de suscribir un contrato nuevo en estos casos</w:t>
      </w:r>
      <w:r w:rsidR="00E04EC1" w:rsidRPr="00A42C60">
        <w:rPr>
          <w:rFonts w:ascii="Arial" w:hAnsi="Arial" w:cs="Arial"/>
          <w:bCs/>
          <w:szCs w:val="24"/>
          <w:lang w:val="es-ES_tradnl" w:eastAsia="es-ES_tradnl" w:bidi="es-ES"/>
        </w:rPr>
        <w:t>. Lo anterior,</w:t>
      </w:r>
      <w:r w:rsidRPr="00A42C60">
        <w:rPr>
          <w:rFonts w:ascii="Arial" w:hAnsi="Arial" w:cs="Arial"/>
          <w:bCs/>
          <w:szCs w:val="24"/>
          <w:lang w:val="es-ES_tradnl" w:eastAsia="es-ES_tradnl" w:bidi="es-ES"/>
        </w:rPr>
        <w:t xml:space="preserve"> sin</w:t>
      </w:r>
      <w:r w:rsidR="00B27975" w:rsidRPr="00A42C60">
        <w:rPr>
          <w:rFonts w:ascii="Arial" w:hAnsi="Arial" w:cs="Arial"/>
          <w:bCs/>
          <w:szCs w:val="24"/>
          <w:lang w:val="es-ES_tradnl" w:eastAsia="es-ES_tradnl" w:bidi="es-ES"/>
        </w:rPr>
        <w:t xml:space="preserve"> </w:t>
      </w:r>
      <w:r w:rsidRPr="00A42C60">
        <w:rPr>
          <w:rFonts w:ascii="Arial" w:hAnsi="Arial" w:cs="Arial"/>
          <w:bCs/>
          <w:szCs w:val="24"/>
          <w:lang w:val="es-ES_tradnl" w:eastAsia="es-ES_tradnl" w:bidi="es-ES"/>
        </w:rPr>
        <w:t xml:space="preserve">desconocer la </w:t>
      </w:r>
      <w:r w:rsidR="00783687" w:rsidRPr="00A42C60">
        <w:rPr>
          <w:rFonts w:ascii="Arial" w:hAnsi="Arial" w:cs="Arial"/>
          <w:bCs/>
          <w:szCs w:val="24"/>
          <w:lang w:val="es-ES_tradnl" w:eastAsia="es-ES_tradnl" w:bidi="es-ES"/>
        </w:rPr>
        <w:t>posición</w:t>
      </w:r>
      <w:r w:rsidRPr="00A42C60">
        <w:rPr>
          <w:rFonts w:ascii="Arial" w:hAnsi="Arial" w:cs="Arial"/>
          <w:bCs/>
          <w:szCs w:val="24"/>
          <w:lang w:val="es-ES_tradnl" w:eastAsia="es-ES_tradnl" w:bidi="es-ES"/>
        </w:rPr>
        <w:t xml:space="preserve"> actual </w:t>
      </w:r>
      <w:r w:rsidR="00783687" w:rsidRPr="00A42C60">
        <w:rPr>
          <w:rFonts w:ascii="Arial" w:hAnsi="Arial" w:cs="Arial"/>
          <w:bCs/>
          <w:szCs w:val="24"/>
          <w:lang w:val="es-ES_tradnl" w:eastAsia="es-ES_tradnl" w:bidi="es-ES"/>
        </w:rPr>
        <w:t>de</w:t>
      </w:r>
      <w:r w:rsidRPr="00A42C60">
        <w:rPr>
          <w:rFonts w:ascii="Arial" w:hAnsi="Arial" w:cs="Arial"/>
          <w:bCs/>
          <w:szCs w:val="24"/>
          <w:lang w:val="es-ES_tradnl" w:eastAsia="es-ES_tradnl" w:bidi="es-ES"/>
        </w:rPr>
        <w:t xml:space="preserve"> la materia</w:t>
      </w:r>
      <w:r w:rsidR="00E04EC1" w:rsidRPr="00A42C60">
        <w:rPr>
          <w:rFonts w:ascii="Arial" w:hAnsi="Arial" w:cs="Arial"/>
          <w:bCs/>
          <w:szCs w:val="24"/>
          <w:lang w:val="es-ES_tradnl" w:eastAsia="es-ES_tradnl" w:bidi="es-ES"/>
        </w:rPr>
        <w:t xml:space="preserve"> </w:t>
      </w:r>
      <w:r w:rsidR="00783687" w:rsidRPr="00A42C60">
        <w:rPr>
          <w:rFonts w:ascii="Arial" w:hAnsi="Arial" w:cs="Arial"/>
          <w:bCs/>
          <w:szCs w:val="24"/>
          <w:lang w:val="es-ES_tradnl" w:eastAsia="es-ES_tradnl" w:bidi="es-ES"/>
        </w:rPr>
        <w:t>en la jurisprudencia según la cual</w:t>
      </w:r>
      <w:r w:rsidR="00AE6D58" w:rsidRPr="00A42C60">
        <w:rPr>
          <w:rFonts w:ascii="Arial" w:hAnsi="Arial" w:cs="Arial"/>
          <w:bCs/>
          <w:szCs w:val="24"/>
          <w:lang w:val="es-ES_tradnl" w:eastAsia="es-ES_tradnl" w:bidi="es-ES"/>
        </w:rPr>
        <w:t>, como se explicó,</w:t>
      </w:r>
      <w:r w:rsidR="00783687" w:rsidRPr="00A42C60">
        <w:rPr>
          <w:rFonts w:ascii="Arial" w:hAnsi="Arial" w:cs="Arial"/>
          <w:bCs/>
          <w:szCs w:val="24"/>
          <w:lang w:val="es-ES_tradnl" w:eastAsia="es-ES_tradnl" w:bidi="es-ES"/>
        </w:rPr>
        <w:t xml:space="preserve"> </w:t>
      </w:r>
      <w:r w:rsidR="00E04EC1" w:rsidRPr="00A42C60">
        <w:rPr>
          <w:rFonts w:ascii="Arial" w:hAnsi="Arial" w:cs="Arial"/>
          <w:bCs/>
          <w:szCs w:val="24"/>
          <w:lang w:val="es-ES_tradnl" w:eastAsia="es-ES_tradnl" w:bidi="es-ES"/>
        </w:rPr>
        <w:t xml:space="preserve">es procedente las modificaciones del contrato </w:t>
      </w:r>
      <w:r w:rsidR="00AE6D58" w:rsidRPr="00A42C60">
        <w:rPr>
          <w:rFonts w:ascii="Arial" w:hAnsi="Arial" w:cs="Arial"/>
          <w:szCs w:val="24"/>
          <w:lang w:val="es-ES_tradnl" w:eastAsia="es-ES_tradnl"/>
        </w:rPr>
        <w:t xml:space="preserve">para ampliar las prestaciones </w:t>
      </w:r>
      <w:r w:rsidR="00AE6D58" w:rsidRPr="00A42C60">
        <w:rPr>
          <w:rFonts w:ascii="Arial" w:hAnsi="Arial" w:cs="Arial"/>
          <w:bCs/>
          <w:szCs w:val="24"/>
          <w:lang w:val="es-ES_tradnl" w:eastAsia="es-ES_tradnl" w:bidi="es-ES"/>
        </w:rPr>
        <w:t xml:space="preserve">contractuales, mediante la ejecución de nuevos ítems o actividades </w:t>
      </w:r>
      <w:r w:rsidR="00E04EC1" w:rsidRPr="00A42C60">
        <w:rPr>
          <w:rFonts w:ascii="Arial" w:hAnsi="Arial" w:cs="Arial"/>
          <w:bCs/>
          <w:szCs w:val="24"/>
          <w:lang w:val="es-ES_tradnl" w:eastAsia="es-ES_tradnl" w:bidi="es-ES"/>
        </w:rPr>
        <w:t xml:space="preserve">siempre que </w:t>
      </w:r>
      <w:r w:rsidR="00783687" w:rsidRPr="00A42C60">
        <w:rPr>
          <w:rFonts w:ascii="Arial" w:hAnsi="Arial" w:cs="Arial"/>
          <w:bCs/>
          <w:szCs w:val="24"/>
          <w:lang w:val="es-ES_tradnl" w:eastAsia="es-ES_tradnl" w:bidi="es-ES"/>
        </w:rPr>
        <w:t>no se afecté el núcleo esencial del objeto</w:t>
      </w:r>
      <w:r w:rsidR="00AE6D58" w:rsidRPr="00A42C60">
        <w:rPr>
          <w:rFonts w:ascii="Arial" w:hAnsi="Arial" w:cs="Arial"/>
          <w:bCs/>
          <w:szCs w:val="24"/>
          <w:lang w:val="es-ES_tradnl" w:eastAsia="es-ES_tradnl" w:bidi="es-ES"/>
        </w:rPr>
        <w:t xml:space="preserve"> y teniendo en cuenta las limitaciones sobre el particular. </w:t>
      </w:r>
    </w:p>
    <w:p w14:paraId="7DE7A860" w14:textId="04E31085" w:rsidR="00F47023" w:rsidRDefault="002E4DA4" w:rsidP="00F47023">
      <w:pPr>
        <w:spacing w:before="120" w:after="0" w:line="276" w:lineRule="auto"/>
        <w:ind w:firstLine="709"/>
        <w:jc w:val="both"/>
        <w:rPr>
          <w:rFonts w:ascii="Arial" w:hAnsi="Arial" w:cs="Arial"/>
          <w:bCs/>
          <w:szCs w:val="24"/>
          <w:lang w:eastAsia="es-ES_tradnl" w:bidi="es-ES"/>
        </w:rPr>
      </w:pPr>
      <w:r w:rsidRPr="00A42C60">
        <w:rPr>
          <w:rFonts w:ascii="Arial" w:hAnsi="Arial" w:cs="Arial"/>
          <w:bCs/>
          <w:szCs w:val="24"/>
          <w:lang w:val="es-ES_tradnl" w:eastAsia="es-ES_tradnl" w:bidi="es-ES"/>
        </w:rPr>
        <w:t xml:space="preserve">Además, </w:t>
      </w:r>
      <w:r w:rsidR="00EC1532" w:rsidRPr="00A42C60">
        <w:rPr>
          <w:rFonts w:ascii="Arial" w:hAnsi="Arial" w:cs="Arial"/>
          <w:bCs/>
          <w:szCs w:val="24"/>
          <w:lang w:val="es-ES_tradnl" w:eastAsia="es-ES_tradnl" w:bidi="es-ES"/>
        </w:rPr>
        <w:t>sin perjuicio de otro análisis válido, se considera</w:t>
      </w:r>
      <w:r w:rsidR="00B27975" w:rsidRPr="00A42C60">
        <w:rPr>
          <w:rFonts w:ascii="Arial" w:hAnsi="Arial" w:cs="Arial"/>
          <w:bCs/>
          <w:szCs w:val="24"/>
          <w:lang w:val="es-ES_tradnl" w:eastAsia="es-ES_tradnl" w:bidi="es-ES"/>
        </w:rPr>
        <w:t xml:space="preserve"> que </w:t>
      </w:r>
      <w:r w:rsidRPr="00A42C60">
        <w:rPr>
          <w:rFonts w:ascii="Arial" w:hAnsi="Arial" w:cs="Arial"/>
          <w:bCs/>
          <w:szCs w:val="24"/>
          <w:lang w:val="es-ES_tradnl" w:eastAsia="es-ES_tradnl" w:bidi="es-ES"/>
        </w:rPr>
        <w:t xml:space="preserve">la unificación de la </w:t>
      </w:r>
      <w:r w:rsidR="008E77AB">
        <w:rPr>
          <w:rFonts w:ascii="Arial" w:hAnsi="Arial" w:cs="Arial"/>
          <w:bCs/>
          <w:szCs w:val="24"/>
          <w:lang w:val="es-ES_tradnl" w:eastAsia="es-ES_tradnl" w:bidi="es-ES"/>
        </w:rPr>
        <w:t>S</w:t>
      </w:r>
      <w:r w:rsidRPr="00A42C60">
        <w:rPr>
          <w:rFonts w:ascii="Arial" w:hAnsi="Arial" w:cs="Arial"/>
          <w:bCs/>
          <w:szCs w:val="24"/>
          <w:lang w:val="es-ES_tradnl" w:eastAsia="es-ES_tradnl" w:bidi="es-ES"/>
        </w:rPr>
        <w:t xml:space="preserve">entencia </w:t>
      </w:r>
      <w:r w:rsidR="00780B99" w:rsidRPr="00A42C60">
        <w:rPr>
          <w:rFonts w:ascii="Arial" w:hAnsi="Arial" w:cs="Arial"/>
          <w:bCs/>
          <w:szCs w:val="24"/>
          <w:lang w:val="es-ES_tradnl" w:eastAsia="es-ES_tradnl" w:bidi="es-ES"/>
        </w:rPr>
        <w:t>SU 214 de</w:t>
      </w:r>
      <w:r w:rsidR="00BF136A">
        <w:rPr>
          <w:rFonts w:ascii="Arial" w:hAnsi="Arial" w:cs="Arial"/>
          <w:bCs/>
          <w:szCs w:val="24"/>
          <w:lang w:val="es-ES_tradnl" w:eastAsia="es-ES_tradnl" w:bidi="es-ES"/>
        </w:rPr>
        <w:t>l 16 de junio de</w:t>
      </w:r>
      <w:r w:rsidR="00780B99" w:rsidRPr="00A42C60">
        <w:rPr>
          <w:rFonts w:ascii="Arial" w:hAnsi="Arial" w:cs="Arial"/>
          <w:bCs/>
          <w:szCs w:val="24"/>
          <w:lang w:val="es-ES_tradnl" w:eastAsia="es-ES_tradnl" w:bidi="es-ES"/>
        </w:rPr>
        <w:t xml:space="preserve"> 2022 </w:t>
      </w:r>
      <w:r w:rsidRPr="00A42C60">
        <w:rPr>
          <w:rFonts w:ascii="Arial" w:hAnsi="Arial" w:cs="Arial"/>
          <w:bCs/>
          <w:szCs w:val="24"/>
          <w:lang w:val="es-ES_tradnl" w:eastAsia="es-ES_tradnl" w:bidi="es-ES"/>
        </w:rPr>
        <w:t xml:space="preserve">está relacionada con el alcance de la acción de tutela contra providencia judicial en el que se analiza </w:t>
      </w:r>
      <w:r w:rsidRPr="00A42C60">
        <w:rPr>
          <w:rFonts w:ascii="Arial" w:hAnsi="Arial" w:cs="Arial"/>
          <w:bCs/>
          <w:szCs w:val="24"/>
          <w:lang w:eastAsia="es-ES_tradnl" w:bidi="es-ES"/>
        </w:rPr>
        <w:t xml:space="preserve">el </w:t>
      </w:r>
      <w:r w:rsidRPr="00A42C60">
        <w:rPr>
          <w:rFonts w:ascii="Arial" w:hAnsi="Arial" w:cs="Arial"/>
          <w:bCs/>
          <w:i/>
          <w:iCs/>
          <w:szCs w:val="24"/>
          <w:lang w:eastAsia="es-ES_tradnl" w:bidi="es-ES"/>
        </w:rPr>
        <w:t>defecto por violación directa a la Constitución por desconocer el principio de interpretación</w:t>
      </w:r>
      <w:r w:rsidR="00AD7D76" w:rsidRPr="00A42C60">
        <w:rPr>
          <w:rStyle w:val="Refdenotaalpie"/>
          <w:rFonts w:ascii="Arial" w:hAnsi="Arial" w:cs="Arial"/>
          <w:bCs/>
          <w:szCs w:val="24"/>
          <w:lang w:eastAsia="es-ES_tradnl" w:bidi="es-ES"/>
        </w:rPr>
        <w:footnoteReference w:id="29"/>
      </w:r>
      <w:r w:rsidRPr="00A42C60">
        <w:rPr>
          <w:rFonts w:ascii="Arial" w:hAnsi="Arial" w:cs="Arial"/>
          <w:bCs/>
          <w:szCs w:val="24"/>
          <w:lang w:eastAsia="es-ES_tradnl" w:bidi="es-ES"/>
        </w:rPr>
        <w:t xml:space="preserve">. Ello supone estudiar las posiciones interpretativas expresadas en la jurisprudencia del Consejo de Estado y de la Corte Suprema de Justicia sobre el contenido y alcance del concepto de </w:t>
      </w:r>
      <w:r w:rsidRPr="00A42C60">
        <w:rPr>
          <w:rFonts w:ascii="Arial" w:hAnsi="Arial" w:cs="Arial"/>
          <w:bCs/>
          <w:i/>
          <w:iCs/>
          <w:szCs w:val="24"/>
          <w:lang w:eastAsia="es-ES_tradnl" w:bidi="es-ES"/>
        </w:rPr>
        <w:t>contrato adicional</w:t>
      </w:r>
      <w:r w:rsidRPr="00A42C60">
        <w:rPr>
          <w:rFonts w:ascii="Arial" w:hAnsi="Arial" w:cs="Arial"/>
          <w:bCs/>
          <w:szCs w:val="24"/>
          <w:lang w:eastAsia="es-ES_tradnl" w:bidi="es-ES"/>
        </w:rPr>
        <w:t xml:space="preserve">, teniendo en cuenta los hechos </w:t>
      </w:r>
      <w:r w:rsidR="00E04EC1" w:rsidRPr="00A42C60">
        <w:rPr>
          <w:rFonts w:ascii="Arial" w:hAnsi="Arial" w:cs="Arial"/>
          <w:bCs/>
          <w:szCs w:val="24"/>
          <w:lang w:eastAsia="es-ES_tradnl" w:bidi="es-ES"/>
        </w:rPr>
        <w:t xml:space="preserve">que </w:t>
      </w:r>
      <w:r w:rsidRPr="00A42C60">
        <w:rPr>
          <w:rFonts w:ascii="Arial" w:hAnsi="Arial" w:cs="Arial"/>
          <w:bCs/>
          <w:szCs w:val="24"/>
          <w:lang w:eastAsia="es-ES_tradnl" w:bidi="es-ES"/>
        </w:rPr>
        <w:t>versan sobre esa materi</w:t>
      </w:r>
      <w:r w:rsidR="00E04EC1" w:rsidRPr="00A42C60">
        <w:rPr>
          <w:rFonts w:ascii="Arial" w:hAnsi="Arial" w:cs="Arial"/>
          <w:bCs/>
          <w:szCs w:val="24"/>
          <w:lang w:eastAsia="es-ES_tradnl" w:bidi="es-ES"/>
        </w:rPr>
        <w:t>a</w:t>
      </w:r>
      <w:r w:rsidR="00783687" w:rsidRPr="00A42C60">
        <w:rPr>
          <w:rFonts w:ascii="Arial" w:hAnsi="Arial" w:cs="Arial"/>
          <w:bCs/>
          <w:szCs w:val="24"/>
          <w:lang w:eastAsia="es-ES_tradnl" w:bidi="es-ES"/>
        </w:rPr>
        <w:t xml:space="preserve"> y en atención al momento en el cual ocurrieron los hechos. </w:t>
      </w:r>
    </w:p>
    <w:p w14:paraId="5AEB04EE" w14:textId="77777777" w:rsidR="00F47023" w:rsidRPr="00F47023" w:rsidRDefault="00F47023" w:rsidP="00F11873">
      <w:pPr>
        <w:spacing w:after="0" w:line="276" w:lineRule="auto"/>
        <w:ind w:firstLine="709"/>
        <w:jc w:val="both"/>
        <w:rPr>
          <w:rFonts w:ascii="Arial" w:hAnsi="Arial" w:cs="Arial"/>
          <w:bCs/>
          <w:szCs w:val="24"/>
          <w:lang w:eastAsia="es-ES_tradnl" w:bidi="es-ES"/>
        </w:rPr>
      </w:pPr>
    </w:p>
    <w:p w14:paraId="7B347961" w14:textId="0E75C06C" w:rsidR="00F47023" w:rsidRDefault="00F47023" w:rsidP="00F11873">
      <w:pPr>
        <w:spacing w:after="0" w:line="276" w:lineRule="auto"/>
        <w:jc w:val="both"/>
        <w:rPr>
          <w:rFonts w:ascii="Arial" w:hAnsi="Arial" w:cs="Arial"/>
          <w:b/>
          <w:lang w:val="es-ES_tradnl"/>
        </w:rPr>
      </w:pPr>
      <w:r>
        <w:rPr>
          <w:rFonts w:ascii="Arial" w:hAnsi="Arial" w:cs="Arial"/>
          <w:b/>
          <w:lang w:val="es-ES_tradnl"/>
        </w:rPr>
        <w:t>2.3 Excepciones al límite de adición de los contratos estatales</w:t>
      </w:r>
    </w:p>
    <w:p w14:paraId="5663B6DD" w14:textId="77777777" w:rsidR="00F47023" w:rsidRDefault="00F47023" w:rsidP="00F11873">
      <w:pPr>
        <w:spacing w:after="0" w:line="276" w:lineRule="auto"/>
        <w:jc w:val="both"/>
        <w:rPr>
          <w:rFonts w:ascii="Arial" w:hAnsi="Arial" w:cs="Arial"/>
          <w:b/>
          <w:color w:val="000000" w:themeColor="text1"/>
          <w:lang w:val="es-ES_tradnl"/>
        </w:rPr>
      </w:pPr>
    </w:p>
    <w:p w14:paraId="27218AE1" w14:textId="0257FD60" w:rsidR="00F47023" w:rsidRDefault="00F47023" w:rsidP="00F47023">
      <w:pPr>
        <w:spacing w:after="0" w:line="276" w:lineRule="auto"/>
        <w:jc w:val="both"/>
        <w:rPr>
          <w:rFonts w:ascii="Arial" w:hAnsi="Arial" w:cs="Arial"/>
        </w:rPr>
      </w:pPr>
      <w:r>
        <w:rPr>
          <w:rFonts w:ascii="Arial" w:hAnsi="Arial" w:cs="Arial"/>
        </w:rPr>
        <w:t>Actualmente existe una posibilidad para adicionar contratos estatales en más del 50%, que es la contenida en el artículo 85 de la Ley 1474 de 2011 para los contratos de interventoría que, por su naturaleza de seguimiento técnico a otro contrato estatal, podrá prorrogarse por el plazo en que haya sido prorrogado el contrato objeto de vigilancia, sin que resulte aplicable el tope establecido en el parágrafo del artículo 40 de la Ley 80 de 1993, en relación con el monto de las eventuales adiciones. La disposición de la Ley 1474 de 2011 pretende fortalecer la figura de la interventoría, como una herramienta integral, para proteger los intereses públicos y evitar que se cause un eventual daño antijurídico al abandonar la vigilancia del contrato principal, por limitaciones en cuanto al monto de sus posibles adiciones.</w:t>
      </w:r>
    </w:p>
    <w:p w14:paraId="5056780A" w14:textId="08171BD2" w:rsidR="002F6E70" w:rsidRDefault="002F6E70" w:rsidP="00F11873">
      <w:pPr>
        <w:spacing w:before="120" w:after="0" w:line="276" w:lineRule="auto"/>
        <w:ind w:firstLine="709"/>
        <w:jc w:val="both"/>
        <w:rPr>
          <w:rFonts w:ascii="Arial" w:hAnsi="Arial" w:cs="Arial"/>
          <w:lang w:val="es-ES_tradnl"/>
        </w:rPr>
      </w:pPr>
      <w:r>
        <w:rPr>
          <w:rFonts w:ascii="Arial" w:hAnsi="Arial" w:cs="Arial"/>
          <w:lang w:val="es-ES_tradnl"/>
        </w:rPr>
        <w:t xml:space="preserve">En </w:t>
      </w:r>
      <w:r w:rsidR="00370308">
        <w:rPr>
          <w:rFonts w:ascii="Arial" w:hAnsi="Arial" w:cs="Arial"/>
          <w:lang w:val="es-ES_tradnl"/>
        </w:rPr>
        <w:t>este sentido</w:t>
      </w:r>
      <w:r>
        <w:rPr>
          <w:rFonts w:ascii="Arial" w:hAnsi="Arial" w:cs="Arial"/>
          <w:lang w:val="es-ES_tradnl"/>
        </w:rPr>
        <w:t xml:space="preserve">, </w:t>
      </w:r>
      <w:r w:rsidRPr="002F6E70">
        <w:rPr>
          <w:rFonts w:ascii="Arial" w:hAnsi="Arial" w:cs="Arial"/>
          <w:lang w:val="es-ES_tradnl"/>
        </w:rPr>
        <w:t xml:space="preserve">en los casos en que se requiera adicionar un contrato que tenga por objeto la interventoría de otro contrato, por cuanto el contrato objeto de vigilancia no ha concluido, ya sea porque fue suspendido el plazo o porque se amplió el plazo de ejecución, la situación se regirá por una norma especial, contenida en el artículo 85 de la Ley 1474 de 2011. Dicha norma establece: </w:t>
      </w:r>
    </w:p>
    <w:p w14:paraId="2AC1CBEF" w14:textId="77777777" w:rsidR="00E04440" w:rsidRPr="002F6E70" w:rsidRDefault="00E04440" w:rsidP="00841829">
      <w:pPr>
        <w:spacing w:after="0" w:line="276" w:lineRule="auto"/>
        <w:ind w:firstLine="709"/>
        <w:jc w:val="both"/>
        <w:rPr>
          <w:rFonts w:ascii="Arial" w:hAnsi="Arial" w:cs="Arial"/>
          <w:lang w:val="es-ES_tradnl"/>
        </w:rPr>
      </w:pPr>
    </w:p>
    <w:p w14:paraId="2047EA95" w14:textId="67B9665D" w:rsidR="002F6E70" w:rsidRDefault="002F6E70" w:rsidP="00E04440">
      <w:pPr>
        <w:spacing w:after="0" w:line="240" w:lineRule="auto"/>
        <w:ind w:left="709" w:right="709"/>
        <w:jc w:val="both"/>
        <w:rPr>
          <w:rFonts w:ascii="Arial" w:hAnsi="Arial" w:cs="Arial"/>
          <w:sz w:val="21"/>
          <w:szCs w:val="21"/>
          <w:lang w:val="es-MX" w:eastAsia="es-ES_tradnl"/>
        </w:rPr>
      </w:pPr>
      <w:r w:rsidRPr="002F6E70">
        <w:rPr>
          <w:rFonts w:ascii="Arial" w:hAnsi="Arial" w:cs="Arial"/>
          <w:sz w:val="21"/>
          <w:szCs w:val="21"/>
          <w:lang w:val="es-MX" w:eastAsia="es-ES_tradnl"/>
        </w:rPr>
        <w:t>Artículo 85. Continuidad de la interventoría. Los contratos de interventoría podrán prorrogarse por el mismo plazo que se haya prorrogado el contrato objeto de vigilancia. En tal caso el valor podrá ajustarse en atención a las obligaciones del objeto de interventoría, sin que resulte aplicable lo dispuesto en el parágrafo del artículo 40 de la Ley 80 de 1993.</w:t>
      </w:r>
    </w:p>
    <w:p w14:paraId="4E98F61F" w14:textId="77777777" w:rsidR="00E04440" w:rsidRPr="002F6E70" w:rsidRDefault="00E04440" w:rsidP="00E04440">
      <w:pPr>
        <w:spacing w:after="0" w:line="240" w:lineRule="auto"/>
        <w:ind w:left="709" w:right="709"/>
        <w:jc w:val="both"/>
        <w:rPr>
          <w:rFonts w:ascii="Arial" w:hAnsi="Arial" w:cs="Arial"/>
          <w:sz w:val="21"/>
          <w:szCs w:val="21"/>
          <w:lang w:val="es-MX" w:eastAsia="es-ES_tradnl"/>
        </w:rPr>
      </w:pPr>
    </w:p>
    <w:p w14:paraId="01FF0C88" w14:textId="5D26D229" w:rsidR="002F6E70" w:rsidRDefault="002F6E70" w:rsidP="00E04440">
      <w:pPr>
        <w:spacing w:after="0" w:line="240" w:lineRule="auto"/>
        <w:ind w:left="709" w:right="709"/>
        <w:jc w:val="both"/>
        <w:rPr>
          <w:rFonts w:ascii="Arial" w:hAnsi="Arial" w:cs="Arial"/>
          <w:sz w:val="21"/>
          <w:szCs w:val="21"/>
          <w:lang w:val="es-MX" w:eastAsia="es-ES_tradnl"/>
        </w:rPr>
      </w:pPr>
      <w:r w:rsidRPr="002F6E70">
        <w:rPr>
          <w:rFonts w:ascii="Arial" w:hAnsi="Arial" w:cs="Arial"/>
          <w:sz w:val="21"/>
          <w:szCs w:val="21"/>
          <w:lang w:val="es-MX" w:eastAsia="es-ES_tradnl"/>
        </w:rPr>
        <w:t xml:space="preserve">Parágrafo. Para la ejecución de los contratos de interventoría es obligatoria la constitución y aprobación de la garantía de cumplimiento hasta por el mismo término de la garantía de estabilidad del contrato principal; el Gobierno Nacional regulará la materia. En este evento podrá darse aplicación al artículo 7° de la Ley 1150, en cuanto a la posibilidad de que la garantía pueda ser dividida teniendo en cuenta las etapas o riesgos relativos a la ejecución del respectivo contrato» (Cursiva fuera de texto). </w:t>
      </w:r>
    </w:p>
    <w:p w14:paraId="35595300" w14:textId="77777777" w:rsidR="00E04440" w:rsidRPr="002F6E70" w:rsidRDefault="00E04440" w:rsidP="005B47FE">
      <w:pPr>
        <w:spacing w:after="0" w:line="276" w:lineRule="auto"/>
        <w:ind w:left="709" w:right="709"/>
        <w:jc w:val="both"/>
        <w:rPr>
          <w:rFonts w:ascii="Arial" w:hAnsi="Arial" w:cs="Arial"/>
          <w:sz w:val="21"/>
          <w:szCs w:val="21"/>
          <w:lang w:val="es-MX" w:eastAsia="es-ES_tradnl"/>
        </w:rPr>
      </w:pPr>
    </w:p>
    <w:p w14:paraId="17941F82" w14:textId="344FFA62" w:rsidR="00E04440" w:rsidRPr="002F6E70" w:rsidRDefault="002F6E70" w:rsidP="000020E9">
      <w:pPr>
        <w:spacing w:after="0" w:line="276" w:lineRule="auto"/>
        <w:ind w:firstLine="709"/>
        <w:jc w:val="both"/>
        <w:rPr>
          <w:rFonts w:ascii="Arial" w:hAnsi="Arial" w:cs="Arial"/>
          <w:lang w:val="es-ES_tradnl"/>
        </w:rPr>
      </w:pPr>
      <w:r w:rsidRPr="002F6E70">
        <w:rPr>
          <w:rFonts w:ascii="Arial" w:hAnsi="Arial" w:cs="Arial"/>
          <w:lang w:val="es-ES_tradnl"/>
        </w:rPr>
        <w:t xml:space="preserve">Este supuesto normativo, que materializa la «continuidad de la interventoría», establece una excepción a la regla general de adición de los contratos estatales, en la medida en que no se tendrá en cuenta el límite del 50% del valor inicial del contrato, siempre que se trate de adicionar un contrato cuyo objeto corresponda al de interventoría, en los términos explicados. </w:t>
      </w:r>
      <w:r w:rsidR="00370308">
        <w:rPr>
          <w:rFonts w:ascii="Arial" w:hAnsi="Arial" w:cs="Arial"/>
          <w:lang w:val="es-ES_tradnl"/>
        </w:rPr>
        <w:t>De esta manera</w:t>
      </w:r>
      <w:r w:rsidRPr="002F6E70">
        <w:rPr>
          <w:rFonts w:ascii="Arial" w:hAnsi="Arial" w:cs="Arial"/>
          <w:lang w:val="es-ES_tradnl"/>
        </w:rPr>
        <w:t>, la doctrina ha manifestado sobre esta disposición que «el artículo 85 no contiene impedimento para adicionar sin límite el contrato de interventoría, con una ventaja adicional: que puede ser para cualquier objeto de contrato que haya requerido contratar externamente la interventoría»</w:t>
      </w:r>
      <w:r w:rsidRPr="002F6E70">
        <w:rPr>
          <w:rFonts w:ascii="Arial" w:hAnsi="Arial" w:cs="Arial"/>
          <w:vertAlign w:val="superscript"/>
          <w:lang w:val="es-ES_tradnl"/>
        </w:rPr>
        <w:footnoteReference w:id="30"/>
      </w:r>
      <w:r w:rsidRPr="002F6E70">
        <w:rPr>
          <w:rFonts w:ascii="Arial" w:hAnsi="Arial" w:cs="Arial"/>
          <w:lang w:val="es-ES_tradnl"/>
        </w:rPr>
        <w:t xml:space="preserve">. </w:t>
      </w:r>
    </w:p>
    <w:p w14:paraId="7A23155E" w14:textId="5DC814E9" w:rsidR="002F6E70" w:rsidRPr="000020E9" w:rsidRDefault="002F6E70" w:rsidP="000020E9">
      <w:pPr>
        <w:spacing w:before="120" w:after="0" w:line="276" w:lineRule="auto"/>
        <w:ind w:firstLine="709"/>
        <w:jc w:val="both"/>
        <w:rPr>
          <w:rFonts w:ascii="Arial" w:hAnsi="Arial" w:cs="Arial"/>
          <w:bCs/>
          <w:lang w:val="es-ES_tradnl"/>
        </w:rPr>
      </w:pPr>
      <w:r w:rsidRPr="002F6E70">
        <w:rPr>
          <w:rFonts w:ascii="Arial" w:hAnsi="Arial" w:cs="Arial"/>
          <w:lang w:val="es-ES_tradnl"/>
        </w:rPr>
        <w:t>La disposición anterior tiene como finalidad que se mantenga la vigilancia frente a la ejecución de los contratos estatales, mediante el mecanismo especializado de la interventoría, sin que este seguimiento sea afectado por el tope establecido en el inciso segundo del parágrafo del artículo 40 de la Ley 80 de 1993. En tal sentido, la excepción se establece de forma especial frente a un objeto contractual específico, que hace parte de la tipología contractual de la consultoría, consistente en que se trate de un contrato de interventoría. De esta manera, independientemente de la modalidad de selección o del sujeto con quien se celebre el contrato de interventoría aplica la norma especial del artículo 85 de la Ley 1474 de 2011</w:t>
      </w:r>
      <w:r w:rsidR="000020E9">
        <w:rPr>
          <w:rFonts w:ascii="Arial" w:hAnsi="Arial" w:cs="Arial"/>
          <w:lang w:val="es-ES_tradnl"/>
        </w:rPr>
        <w:t>. En todo caso,</w:t>
      </w:r>
      <w:r w:rsidRPr="002F6E70">
        <w:rPr>
          <w:rFonts w:ascii="Arial" w:hAnsi="Arial" w:cs="Arial"/>
          <w:bCs/>
          <w:lang w:val="es-ES_tradnl"/>
        </w:rPr>
        <w:t xml:space="preserve"> la entidad estatal debe garantizar los principios de la función administrativa y de la gestión fiscal al momento de autorizar las adiciones de los contratos de interventoría. </w:t>
      </w:r>
    </w:p>
    <w:p w14:paraId="614B7348" w14:textId="7B4550CC" w:rsidR="005B47FE" w:rsidRDefault="00F47023" w:rsidP="005B47FE">
      <w:pPr>
        <w:spacing w:before="120" w:after="0" w:line="276" w:lineRule="auto"/>
        <w:ind w:firstLine="709"/>
        <w:jc w:val="both"/>
        <w:rPr>
          <w:rFonts w:ascii="Arial" w:hAnsi="Arial" w:cs="Arial"/>
          <w:szCs w:val="24"/>
          <w:lang w:val="es-MX" w:eastAsia="es-ES_tradnl"/>
        </w:rPr>
      </w:pPr>
      <w:r>
        <w:rPr>
          <w:rFonts w:ascii="Arial" w:hAnsi="Arial" w:cs="Arial"/>
        </w:rPr>
        <w:t>Por otra parte,</w:t>
      </w:r>
      <w:r w:rsidR="005B47FE">
        <w:rPr>
          <w:rFonts w:ascii="Arial" w:hAnsi="Arial" w:cs="Arial"/>
        </w:rPr>
        <w:t xml:space="preserve"> en relación con la excepción al límite de la adición de los contratos estatales</w:t>
      </w:r>
      <w:r w:rsidR="00CE0E9B">
        <w:rPr>
          <w:rFonts w:ascii="Arial" w:hAnsi="Arial" w:cs="Arial"/>
        </w:rPr>
        <w:t>,</w:t>
      </w:r>
      <w:r w:rsidR="005B47FE">
        <w:rPr>
          <w:rFonts w:ascii="Arial" w:hAnsi="Arial" w:cs="Arial"/>
        </w:rPr>
        <w:t xml:space="preserve"> </w:t>
      </w:r>
      <w:r w:rsidR="005B47FE">
        <w:rPr>
          <w:rFonts w:ascii="Arial" w:hAnsi="Arial" w:cs="Arial"/>
          <w:szCs w:val="24"/>
          <w:lang w:val="es-MX" w:eastAsia="es-ES_tradnl"/>
        </w:rPr>
        <w:t xml:space="preserve">la </w:t>
      </w:r>
      <w:r w:rsidR="005B47FE" w:rsidRPr="00A42C60">
        <w:rPr>
          <w:rFonts w:ascii="Arial" w:hAnsi="Arial" w:cs="Arial"/>
          <w:szCs w:val="24"/>
          <w:lang w:val="es-MX" w:eastAsia="es-ES_tradnl"/>
        </w:rPr>
        <w:t>Sala de Consulta y Servicio Civil</w:t>
      </w:r>
      <w:r w:rsidR="005B47FE" w:rsidRPr="005B47FE">
        <w:rPr>
          <w:rFonts w:ascii="Arial" w:hAnsi="Arial" w:cs="Arial"/>
        </w:rPr>
        <w:t xml:space="preserve"> </w:t>
      </w:r>
      <w:r w:rsidR="00CE0E9B">
        <w:rPr>
          <w:rFonts w:ascii="Arial" w:hAnsi="Arial" w:cs="Arial"/>
        </w:rPr>
        <w:t xml:space="preserve">del Consejo de Estado </w:t>
      </w:r>
      <w:r w:rsidR="005B47FE">
        <w:rPr>
          <w:rFonts w:ascii="Arial" w:hAnsi="Arial" w:cs="Arial"/>
        </w:rPr>
        <w:t xml:space="preserve">mediante concepto del </w:t>
      </w:r>
      <w:r w:rsidR="005B47FE" w:rsidRPr="00E80527">
        <w:rPr>
          <w:rFonts w:ascii="Arial" w:hAnsi="Arial" w:cs="Arial"/>
          <w:szCs w:val="24"/>
          <w:lang w:val="es-MX" w:eastAsia="es-ES_tradnl"/>
        </w:rPr>
        <w:t>6 de ju</w:t>
      </w:r>
      <w:r w:rsidR="005B47FE">
        <w:rPr>
          <w:rFonts w:ascii="Arial" w:hAnsi="Arial" w:cs="Arial"/>
          <w:szCs w:val="24"/>
          <w:lang w:val="es-MX" w:eastAsia="es-ES_tradnl"/>
        </w:rPr>
        <w:t>n</w:t>
      </w:r>
      <w:r w:rsidR="005B47FE" w:rsidRPr="00E80527">
        <w:rPr>
          <w:rFonts w:ascii="Arial" w:hAnsi="Arial" w:cs="Arial"/>
          <w:szCs w:val="24"/>
          <w:lang w:val="es-MX" w:eastAsia="es-ES_tradnl"/>
        </w:rPr>
        <w:t>io de 2018</w:t>
      </w:r>
      <w:r w:rsidR="005B47FE">
        <w:rPr>
          <w:rFonts w:ascii="Arial" w:hAnsi="Arial" w:cs="Arial"/>
          <w:szCs w:val="24"/>
          <w:lang w:val="es-MX" w:eastAsia="es-ES_tradnl"/>
        </w:rPr>
        <w:t xml:space="preserve"> señaló que además de los contratos de interventoría, también podrán </w:t>
      </w:r>
      <w:r w:rsidR="005B47FE">
        <w:rPr>
          <w:rFonts w:ascii="Arial" w:hAnsi="Arial" w:cs="Arial"/>
          <w:szCs w:val="24"/>
          <w:lang w:val="es-MX" w:eastAsia="es-ES_tradnl"/>
        </w:rPr>
        <w:lastRenderedPageBreak/>
        <w:t>adicionarse en m</w:t>
      </w:r>
      <w:r w:rsidR="00CE0E9B">
        <w:rPr>
          <w:rFonts w:ascii="Arial" w:hAnsi="Arial" w:cs="Arial"/>
          <w:szCs w:val="24"/>
          <w:lang w:val="es-MX" w:eastAsia="es-ES_tradnl"/>
        </w:rPr>
        <w:t>á</w:t>
      </w:r>
      <w:r w:rsidR="005B47FE">
        <w:rPr>
          <w:rFonts w:ascii="Arial" w:hAnsi="Arial" w:cs="Arial"/>
          <w:szCs w:val="24"/>
          <w:lang w:val="es-MX" w:eastAsia="es-ES_tradnl"/>
        </w:rPr>
        <w:t>s del 50%</w:t>
      </w:r>
      <w:r w:rsidR="00902539">
        <w:rPr>
          <w:rFonts w:ascii="Arial" w:hAnsi="Arial" w:cs="Arial"/>
          <w:szCs w:val="24"/>
          <w:lang w:val="es-MX" w:eastAsia="es-ES_tradnl"/>
        </w:rPr>
        <w:t xml:space="preserve"> en estos dos eventos</w:t>
      </w:r>
      <w:r w:rsidR="00370308">
        <w:rPr>
          <w:rFonts w:ascii="Arial" w:hAnsi="Arial" w:cs="Arial"/>
          <w:szCs w:val="24"/>
          <w:lang w:val="es-MX" w:eastAsia="es-ES_tradnl"/>
        </w:rPr>
        <w:t>:</w:t>
      </w:r>
      <w:r w:rsidR="00902539">
        <w:rPr>
          <w:rFonts w:ascii="Arial" w:hAnsi="Arial" w:cs="Arial"/>
          <w:szCs w:val="24"/>
          <w:lang w:val="es-MX" w:eastAsia="es-ES_tradnl"/>
        </w:rPr>
        <w:t xml:space="preserve"> i)</w:t>
      </w:r>
      <w:r w:rsidR="00A31C35">
        <w:rPr>
          <w:rFonts w:ascii="Arial" w:hAnsi="Arial" w:cs="Arial"/>
          <w:szCs w:val="24"/>
          <w:lang w:val="es-MX" w:eastAsia="es-ES_tradnl"/>
        </w:rPr>
        <w:t xml:space="preserve"> </w:t>
      </w:r>
      <w:r w:rsidR="005B47FE">
        <w:rPr>
          <w:rFonts w:ascii="Arial" w:hAnsi="Arial" w:cs="Arial"/>
          <w:szCs w:val="24"/>
          <w:lang w:val="es-MX" w:eastAsia="es-ES_tradnl"/>
        </w:rPr>
        <w:t xml:space="preserve">cuando en un contrato de obra se pacte el mecanismo de ajuste de precios y </w:t>
      </w:r>
      <w:r w:rsidR="00902539">
        <w:rPr>
          <w:rFonts w:ascii="Arial" w:hAnsi="Arial" w:cs="Arial"/>
          <w:szCs w:val="24"/>
          <w:lang w:val="es-MX" w:eastAsia="es-ES_tradnl"/>
        </w:rPr>
        <w:t xml:space="preserve">ii) </w:t>
      </w:r>
      <w:r w:rsidR="005B47FE">
        <w:rPr>
          <w:rFonts w:ascii="Arial" w:hAnsi="Arial" w:cs="Arial"/>
          <w:szCs w:val="24"/>
          <w:lang w:val="es-MX" w:eastAsia="es-ES_tradnl"/>
        </w:rPr>
        <w:t xml:space="preserve">por el restablecimiento del equilibrio económico del contrato. </w:t>
      </w:r>
      <w:r w:rsidR="00CE0E9B">
        <w:rPr>
          <w:rFonts w:ascii="Arial" w:hAnsi="Arial" w:cs="Arial"/>
          <w:szCs w:val="24"/>
          <w:lang w:val="es-MX" w:eastAsia="es-ES_tradnl"/>
        </w:rPr>
        <w:t xml:space="preserve">Al respecto </w:t>
      </w:r>
      <w:r w:rsidR="00AD5229">
        <w:rPr>
          <w:rFonts w:ascii="Arial" w:hAnsi="Arial" w:cs="Arial"/>
          <w:szCs w:val="24"/>
          <w:lang w:val="es-MX" w:eastAsia="es-ES_tradnl"/>
        </w:rPr>
        <w:t>manifestó</w:t>
      </w:r>
      <w:r w:rsidR="00CE0E9B">
        <w:rPr>
          <w:rFonts w:ascii="Arial" w:hAnsi="Arial" w:cs="Arial"/>
          <w:szCs w:val="24"/>
          <w:lang w:val="es-MX" w:eastAsia="es-ES_tradnl"/>
        </w:rPr>
        <w:t xml:space="preserve"> lo siguiente: </w:t>
      </w:r>
    </w:p>
    <w:p w14:paraId="5C0C6F9F" w14:textId="77777777" w:rsidR="00CE0E9B" w:rsidRDefault="00CE0E9B" w:rsidP="003572C3">
      <w:pPr>
        <w:spacing w:after="0" w:line="276" w:lineRule="auto"/>
        <w:ind w:firstLine="709"/>
        <w:jc w:val="both"/>
        <w:rPr>
          <w:rFonts w:ascii="Arial" w:hAnsi="Arial" w:cs="Arial"/>
          <w:szCs w:val="24"/>
          <w:lang w:val="es-MX" w:eastAsia="es-ES_tradnl"/>
        </w:rPr>
      </w:pPr>
    </w:p>
    <w:p w14:paraId="6DEC407C" w14:textId="170C0920" w:rsidR="00E04440" w:rsidRDefault="00CE0E9B" w:rsidP="003572C3">
      <w:pPr>
        <w:spacing w:after="0" w:line="240" w:lineRule="auto"/>
        <w:ind w:left="709" w:right="709"/>
        <w:jc w:val="both"/>
        <w:rPr>
          <w:rFonts w:ascii="Arial" w:hAnsi="Arial" w:cs="Arial"/>
          <w:sz w:val="21"/>
          <w:szCs w:val="21"/>
          <w:lang w:val="es-MX" w:eastAsia="es-ES_tradnl"/>
        </w:rPr>
      </w:pPr>
      <w:r w:rsidRPr="00CE0E9B">
        <w:rPr>
          <w:rFonts w:ascii="Arial" w:hAnsi="Arial" w:cs="Arial"/>
          <w:sz w:val="21"/>
          <w:szCs w:val="21"/>
          <w:lang w:val="es-MX" w:eastAsia="es-ES_tradnl"/>
        </w:rPr>
        <w:t xml:space="preserve">Existen, además, otras situaciones jurídicas que se presenta en materia contractual y que afectan el valor del contrato, pero que de conformidad con la Ley y la jurisprudencia tampoco están sujetas al limite cuantitativo del 50% del valor inicial del contrato. </w:t>
      </w:r>
      <w:r w:rsidR="00370308">
        <w:rPr>
          <w:rFonts w:ascii="Arial" w:hAnsi="Arial" w:cs="Arial"/>
          <w:sz w:val="21"/>
          <w:szCs w:val="21"/>
          <w:lang w:val="es-MX" w:eastAsia="es-ES_tradnl"/>
        </w:rPr>
        <w:t>E</w:t>
      </w:r>
      <w:r w:rsidRPr="00CE0E9B">
        <w:rPr>
          <w:rFonts w:ascii="Arial" w:hAnsi="Arial" w:cs="Arial"/>
          <w:sz w:val="21"/>
          <w:szCs w:val="21"/>
          <w:lang w:val="es-MX" w:eastAsia="es-ES_tradnl"/>
        </w:rPr>
        <w:t>stas son: i) cuando en un contrato de obra pública se pactaron mecanismos de ajustes de precios, (ii) por restablecimiento del equilibrio económico del contrato, siempre y cuando exista plena prueba que acredite los requisitos para proceder al restablecimiento y (iii) en los contratos de interventoría, cuando se den las situaciones previstas en la ley</w:t>
      </w:r>
      <w:r>
        <w:rPr>
          <w:rStyle w:val="Refdenotaalpie"/>
          <w:rFonts w:ascii="Arial" w:hAnsi="Arial" w:cs="Arial"/>
          <w:sz w:val="21"/>
          <w:szCs w:val="21"/>
          <w:lang w:val="es-MX" w:eastAsia="es-ES_tradnl"/>
        </w:rPr>
        <w:footnoteReference w:id="31"/>
      </w:r>
      <w:r w:rsidRPr="00CE0E9B">
        <w:rPr>
          <w:rFonts w:ascii="Arial" w:hAnsi="Arial" w:cs="Arial"/>
          <w:sz w:val="21"/>
          <w:szCs w:val="21"/>
          <w:lang w:val="es-MX" w:eastAsia="es-ES_tradnl"/>
        </w:rPr>
        <w:t xml:space="preserve">. </w:t>
      </w:r>
    </w:p>
    <w:p w14:paraId="6AC38BDF" w14:textId="77777777" w:rsidR="003572C3" w:rsidRPr="003572C3" w:rsidRDefault="003572C3" w:rsidP="003572C3">
      <w:pPr>
        <w:spacing w:after="0" w:line="276" w:lineRule="auto"/>
        <w:ind w:left="709" w:right="709"/>
        <w:jc w:val="both"/>
        <w:rPr>
          <w:rFonts w:ascii="Arial" w:hAnsi="Arial" w:cs="Arial"/>
          <w:sz w:val="21"/>
          <w:szCs w:val="21"/>
          <w:lang w:val="es-MX" w:eastAsia="es-ES_tradnl"/>
        </w:rPr>
      </w:pPr>
    </w:p>
    <w:p w14:paraId="12982D27" w14:textId="77777777" w:rsidR="00AD5229" w:rsidRDefault="00902539" w:rsidP="00AD5229">
      <w:pPr>
        <w:spacing w:before="120" w:after="0" w:line="276" w:lineRule="auto"/>
        <w:ind w:firstLine="709"/>
        <w:jc w:val="both"/>
        <w:rPr>
          <w:rFonts w:ascii="Arial" w:hAnsi="Arial" w:cs="Arial"/>
        </w:rPr>
      </w:pPr>
      <w:r>
        <w:rPr>
          <w:rFonts w:ascii="Arial" w:hAnsi="Arial" w:cs="Arial"/>
        </w:rPr>
        <w:t xml:space="preserve">En línea con lo anterior, la doctrina ha indicado que el </w:t>
      </w:r>
      <w:r w:rsidR="003126D5">
        <w:rPr>
          <w:rFonts w:ascii="Arial" w:hAnsi="Arial" w:cs="Arial"/>
        </w:rPr>
        <w:t xml:space="preserve">reajuste de precios no </w:t>
      </w:r>
      <w:r w:rsidR="003572C3" w:rsidRPr="002F6E70">
        <w:rPr>
          <w:rFonts w:ascii="Arial" w:hAnsi="Arial" w:cs="Arial"/>
          <w:lang w:val="es-ES_tradnl"/>
        </w:rPr>
        <w:t>«</w:t>
      </w:r>
      <w:r w:rsidR="003126D5">
        <w:rPr>
          <w:rFonts w:ascii="Arial" w:hAnsi="Arial" w:cs="Arial"/>
        </w:rPr>
        <w:t>busca una modificación del contrato, como es propio de los contratos adicionales, sino su preservación</w:t>
      </w:r>
      <w:r w:rsidR="003572C3">
        <w:rPr>
          <w:rFonts w:ascii="Arial" w:hAnsi="Arial" w:cs="Arial"/>
        </w:rPr>
        <w:t xml:space="preserve"> en las condiciones iniciales, frente a las fluctuaciones que pueden tener lo valores de los insumos del objeto contractual</w:t>
      </w:r>
      <w:r w:rsidR="003572C3" w:rsidRPr="002F6E70">
        <w:rPr>
          <w:rFonts w:ascii="Arial" w:hAnsi="Arial" w:cs="Arial"/>
          <w:lang w:val="es-ES_tradnl"/>
        </w:rPr>
        <w:t>»</w:t>
      </w:r>
      <w:r w:rsidR="00FB46C0">
        <w:rPr>
          <w:rStyle w:val="Refdenotaalpie"/>
          <w:rFonts w:ascii="Arial" w:hAnsi="Arial" w:cs="Arial"/>
          <w:lang w:val="es-ES_tradnl"/>
        </w:rPr>
        <w:footnoteReference w:id="32"/>
      </w:r>
      <w:r w:rsidR="003572C3">
        <w:rPr>
          <w:rFonts w:ascii="Arial" w:hAnsi="Arial" w:cs="Arial"/>
        </w:rPr>
        <w:t xml:space="preserve">. </w:t>
      </w:r>
      <w:r w:rsidR="002E0B5F">
        <w:rPr>
          <w:rFonts w:ascii="Arial" w:hAnsi="Arial" w:cs="Arial"/>
        </w:rPr>
        <w:t>A</w:t>
      </w:r>
      <w:r w:rsidR="003572C3">
        <w:rPr>
          <w:rFonts w:ascii="Arial" w:hAnsi="Arial" w:cs="Arial"/>
        </w:rPr>
        <w:t xml:space="preserve">sí, en este evento no se </w:t>
      </w:r>
      <w:r w:rsidR="003126D5">
        <w:rPr>
          <w:rFonts w:ascii="Arial" w:hAnsi="Arial" w:cs="Arial"/>
        </w:rPr>
        <w:t>produce modificaciones sino la aplicación de</w:t>
      </w:r>
      <w:r w:rsidR="003572C3">
        <w:rPr>
          <w:rFonts w:ascii="Arial" w:hAnsi="Arial" w:cs="Arial"/>
        </w:rPr>
        <w:t xml:space="preserve">l mecanismos de reajuste pactado en el contrato. </w:t>
      </w:r>
    </w:p>
    <w:p w14:paraId="4C717731" w14:textId="7E846712" w:rsidR="00902539" w:rsidRDefault="00BD48F0" w:rsidP="00AD5229">
      <w:pPr>
        <w:spacing w:before="120" w:after="0" w:line="276" w:lineRule="auto"/>
        <w:ind w:firstLine="709"/>
        <w:jc w:val="both"/>
        <w:rPr>
          <w:rFonts w:ascii="Arial" w:hAnsi="Arial" w:cs="Arial"/>
        </w:rPr>
      </w:pPr>
      <w:r>
        <w:rPr>
          <w:rFonts w:ascii="Arial" w:hAnsi="Arial" w:cs="Arial"/>
        </w:rPr>
        <w:t>E</w:t>
      </w:r>
      <w:r w:rsidR="003572C3">
        <w:rPr>
          <w:rFonts w:ascii="Arial" w:hAnsi="Arial" w:cs="Arial"/>
        </w:rPr>
        <w:t>n relación con el restablecimiento del equilibrio económico del contrato</w:t>
      </w:r>
      <w:r w:rsidR="00FC3783">
        <w:rPr>
          <w:rFonts w:ascii="Arial" w:hAnsi="Arial" w:cs="Arial"/>
        </w:rPr>
        <w:t xml:space="preserve"> señala</w:t>
      </w:r>
      <w:r w:rsidR="00AD5229">
        <w:rPr>
          <w:rFonts w:ascii="Arial" w:hAnsi="Arial" w:cs="Arial"/>
        </w:rPr>
        <w:t xml:space="preserve"> la doctrina</w:t>
      </w:r>
      <w:r w:rsidR="00FC3783">
        <w:rPr>
          <w:rFonts w:ascii="Arial" w:hAnsi="Arial" w:cs="Arial"/>
        </w:rPr>
        <w:t xml:space="preserve"> que</w:t>
      </w:r>
      <w:r w:rsidR="00374922">
        <w:rPr>
          <w:rFonts w:ascii="Arial" w:hAnsi="Arial" w:cs="Arial"/>
        </w:rPr>
        <w:t>,</w:t>
      </w:r>
      <w:r w:rsidR="00AD5229">
        <w:rPr>
          <w:rFonts w:ascii="Arial" w:hAnsi="Arial" w:cs="Arial"/>
        </w:rPr>
        <w:t xml:space="preserve"> a diferencia de los contratos adicionales que suponen </w:t>
      </w:r>
      <w:r w:rsidR="006F535E">
        <w:rPr>
          <w:rFonts w:ascii="Arial" w:hAnsi="Arial" w:cs="Arial"/>
        </w:rPr>
        <w:t xml:space="preserve">previsiones </w:t>
      </w:r>
      <w:r w:rsidR="00AD5229">
        <w:rPr>
          <w:rFonts w:ascii="Arial" w:hAnsi="Arial" w:cs="Arial"/>
        </w:rPr>
        <w:t xml:space="preserve">presupuestal </w:t>
      </w:r>
      <w:r w:rsidR="006F535E">
        <w:rPr>
          <w:rFonts w:ascii="Arial" w:hAnsi="Arial" w:cs="Arial"/>
        </w:rPr>
        <w:t>para su perfeccionamiento</w:t>
      </w:r>
      <w:r w:rsidR="00AD5229">
        <w:rPr>
          <w:rFonts w:ascii="Arial" w:hAnsi="Arial" w:cs="Arial"/>
        </w:rPr>
        <w:t xml:space="preserve">, </w:t>
      </w:r>
      <w:r w:rsidR="00FC3783">
        <w:rPr>
          <w:rFonts w:ascii="Arial" w:hAnsi="Arial" w:cs="Arial"/>
        </w:rPr>
        <w:t xml:space="preserve">de conformidad con el artículo 25.4 de la Ley 80 de 1993, ante los eventos de alteración sobreviniente </w:t>
      </w:r>
      <w:r w:rsidR="00FB46C0">
        <w:rPr>
          <w:rFonts w:ascii="Arial" w:hAnsi="Arial" w:cs="Arial"/>
        </w:rPr>
        <w:t xml:space="preserve">de la ecuación contractual inicial </w:t>
      </w:r>
      <w:r w:rsidR="00FB46C0" w:rsidRPr="002F6E70">
        <w:rPr>
          <w:rFonts w:ascii="Arial" w:hAnsi="Arial" w:cs="Arial"/>
          <w:lang w:val="es-ES_tradnl"/>
        </w:rPr>
        <w:t>«</w:t>
      </w:r>
      <w:r w:rsidR="00FB46C0">
        <w:rPr>
          <w:rFonts w:ascii="Arial" w:hAnsi="Arial" w:cs="Arial"/>
        </w:rPr>
        <w:t>el mismo artículo prevé utilizar las apropiaciones presupuestales globales que debe incluir las entidades en sus presupuestos anuales para hacer frente a los costos contractuales imprevistos (art. 25.4) y, si ello no es suficiente, las entidades debe adoptar las medidas necesarias para asegurar la efectividad de los pagos en la misma vigencia fiscal o la siguiente</w:t>
      </w:r>
      <w:r w:rsidR="00FB46C0" w:rsidRPr="002F6E70">
        <w:rPr>
          <w:rFonts w:ascii="Arial" w:hAnsi="Arial" w:cs="Arial"/>
          <w:lang w:val="es-ES_tradnl"/>
        </w:rPr>
        <w:t>»</w:t>
      </w:r>
      <w:r w:rsidR="00FB46C0">
        <w:rPr>
          <w:rStyle w:val="Refdenotaalpie"/>
          <w:rFonts w:ascii="Arial" w:hAnsi="Arial" w:cs="Arial"/>
          <w:lang w:val="es-ES_tradnl"/>
        </w:rPr>
        <w:footnoteReference w:id="33"/>
      </w:r>
      <w:r w:rsidR="00FB46C0">
        <w:rPr>
          <w:rFonts w:ascii="Arial" w:hAnsi="Arial" w:cs="Arial"/>
          <w:lang w:val="es-ES_tradnl"/>
        </w:rPr>
        <w:t>.</w:t>
      </w:r>
      <w:r w:rsidR="006F535E">
        <w:rPr>
          <w:rFonts w:ascii="Arial" w:hAnsi="Arial" w:cs="Arial"/>
          <w:lang w:val="es-ES_tradnl"/>
        </w:rPr>
        <w:t xml:space="preserve"> Y agrega que este reconocimiento podrá realizarse en la liquidación del contrato que no constituye una adición a este. </w:t>
      </w:r>
    </w:p>
    <w:p w14:paraId="5A59D7A4" w14:textId="01513757" w:rsidR="00CE0E9B" w:rsidRDefault="00374922" w:rsidP="00F47023">
      <w:pPr>
        <w:spacing w:before="120" w:after="0" w:line="276" w:lineRule="auto"/>
        <w:ind w:firstLine="709"/>
        <w:jc w:val="both"/>
        <w:rPr>
          <w:rFonts w:ascii="Arial" w:hAnsi="Arial" w:cs="Arial"/>
        </w:rPr>
      </w:pPr>
      <w:r>
        <w:rPr>
          <w:rFonts w:ascii="Arial" w:hAnsi="Arial" w:cs="Arial"/>
        </w:rPr>
        <w:t xml:space="preserve">En </w:t>
      </w:r>
      <w:r w:rsidR="00370308">
        <w:rPr>
          <w:rFonts w:ascii="Arial" w:hAnsi="Arial" w:cs="Arial"/>
        </w:rPr>
        <w:t>conclusión</w:t>
      </w:r>
      <w:r>
        <w:rPr>
          <w:rFonts w:ascii="Arial" w:hAnsi="Arial" w:cs="Arial"/>
        </w:rPr>
        <w:t xml:space="preserve">, </w:t>
      </w:r>
      <w:r w:rsidR="00370308">
        <w:rPr>
          <w:rFonts w:ascii="Arial" w:hAnsi="Arial" w:cs="Arial"/>
        </w:rPr>
        <w:t xml:space="preserve">en la actualidad </w:t>
      </w:r>
      <w:r>
        <w:rPr>
          <w:rFonts w:ascii="Arial" w:hAnsi="Arial" w:cs="Arial"/>
        </w:rPr>
        <w:t>solo se encuentra establecida una excepción</w:t>
      </w:r>
      <w:r w:rsidR="00370308">
        <w:rPr>
          <w:rFonts w:ascii="Arial" w:hAnsi="Arial" w:cs="Arial"/>
        </w:rPr>
        <w:t xml:space="preserve"> legal</w:t>
      </w:r>
      <w:r>
        <w:rPr>
          <w:rFonts w:ascii="Arial" w:hAnsi="Arial" w:cs="Arial"/>
        </w:rPr>
        <w:t xml:space="preserve"> expresa para adicionar contratos estatales en más del 50%, que es la contenida en el artículo 85 de la Ley 1474 de 2011 para los contratos de interventoría</w:t>
      </w:r>
      <w:r w:rsidR="00370308">
        <w:rPr>
          <w:rFonts w:ascii="Arial" w:hAnsi="Arial" w:cs="Arial"/>
        </w:rPr>
        <w:t>, como se explicó en los párrafos precedentes</w:t>
      </w:r>
      <w:r>
        <w:rPr>
          <w:rFonts w:ascii="Arial" w:hAnsi="Arial" w:cs="Arial"/>
        </w:rPr>
        <w:t>. Por otro lado, la Sala de Consulta y Servicio Civil del Consejo de Estado y la doctrina indican que esta excepción también procede</w:t>
      </w:r>
      <w:r w:rsidR="00370308">
        <w:rPr>
          <w:rFonts w:ascii="Arial" w:hAnsi="Arial" w:cs="Arial"/>
        </w:rPr>
        <w:t xml:space="preserve"> en el contrato de obra</w:t>
      </w:r>
      <w:r>
        <w:rPr>
          <w:rFonts w:ascii="Arial" w:hAnsi="Arial" w:cs="Arial"/>
        </w:rPr>
        <w:t xml:space="preserve"> </w:t>
      </w:r>
      <w:r>
        <w:rPr>
          <w:rFonts w:ascii="Arial" w:hAnsi="Arial" w:cs="Arial"/>
        </w:rPr>
        <w:lastRenderedPageBreak/>
        <w:t xml:space="preserve">cuando </w:t>
      </w:r>
      <w:r w:rsidR="00370308">
        <w:rPr>
          <w:rFonts w:ascii="Arial" w:hAnsi="Arial" w:cs="Arial"/>
        </w:rPr>
        <w:t xml:space="preserve">se </w:t>
      </w:r>
      <w:r>
        <w:rPr>
          <w:rFonts w:ascii="Arial" w:hAnsi="Arial" w:cs="Arial"/>
        </w:rPr>
        <w:t xml:space="preserve">aplique el mecanismo de reajustes pactado y en el evento de </w:t>
      </w:r>
      <w:r w:rsidRPr="00374922">
        <w:rPr>
          <w:rFonts w:ascii="Arial" w:hAnsi="Arial" w:cs="Arial"/>
        </w:rPr>
        <w:t>restablecimiento del equilibrio económico del contrato</w:t>
      </w:r>
      <w:r>
        <w:rPr>
          <w:rFonts w:ascii="Arial" w:hAnsi="Arial" w:cs="Arial"/>
        </w:rPr>
        <w:t xml:space="preserve">. </w:t>
      </w:r>
    </w:p>
    <w:p w14:paraId="5BD56556" w14:textId="77777777" w:rsidR="006D44EA" w:rsidRPr="00A42C60" w:rsidRDefault="006D44EA" w:rsidP="00E41229">
      <w:pPr>
        <w:tabs>
          <w:tab w:val="left" w:pos="0"/>
          <w:tab w:val="left" w:pos="6645"/>
        </w:tabs>
        <w:spacing w:after="0" w:line="276" w:lineRule="auto"/>
        <w:jc w:val="both"/>
        <w:rPr>
          <w:rFonts w:ascii="Arial" w:hAnsi="Arial" w:cs="Arial"/>
          <w:bCs/>
          <w:lang w:val="es-ES_tradnl"/>
        </w:rPr>
      </w:pPr>
    </w:p>
    <w:p w14:paraId="01C0F502" w14:textId="5CEEEEEC" w:rsidR="00F9574A" w:rsidRPr="00A42C60" w:rsidRDefault="004177A6" w:rsidP="00E41229">
      <w:pPr>
        <w:tabs>
          <w:tab w:val="left" w:pos="0"/>
        </w:tabs>
        <w:spacing w:after="0" w:line="276" w:lineRule="auto"/>
        <w:jc w:val="both"/>
        <w:rPr>
          <w:rFonts w:ascii="Arial" w:hAnsi="Arial" w:cs="Arial"/>
          <w:b/>
          <w:color w:val="000000" w:themeColor="text1"/>
          <w:lang w:val="es-ES_tradnl"/>
        </w:rPr>
      </w:pPr>
      <w:r w:rsidRPr="00A42C60">
        <w:rPr>
          <w:rFonts w:ascii="Arial" w:hAnsi="Arial" w:cs="Arial"/>
          <w:b/>
          <w:color w:val="000000" w:themeColor="text1"/>
          <w:lang w:val="es-ES_tradnl"/>
        </w:rPr>
        <w:t>3</w:t>
      </w:r>
      <w:r w:rsidR="00B011A9" w:rsidRPr="00A42C60">
        <w:rPr>
          <w:rFonts w:ascii="Arial" w:hAnsi="Arial" w:cs="Arial"/>
          <w:b/>
          <w:color w:val="000000" w:themeColor="text1"/>
          <w:lang w:val="es-ES_tradnl"/>
        </w:rPr>
        <w:t xml:space="preserve">. </w:t>
      </w:r>
      <w:r w:rsidR="00DD5B04" w:rsidRPr="00A42C60">
        <w:rPr>
          <w:rFonts w:ascii="Arial" w:hAnsi="Arial" w:cs="Arial"/>
          <w:b/>
          <w:color w:val="000000" w:themeColor="text1"/>
          <w:lang w:val="es-ES_tradnl"/>
        </w:rPr>
        <w:t>Respuesta</w:t>
      </w:r>
    </w:p>
    <w:p w14:paraId="5550B511" w14:textId="77777777" w:rsidR="00E41229" w:rsidRPr="00A42C60" w:rsidRDefault="00E41229" w:rsidP="00AD54D1">
      <w:pPr>
        <w:tabs>
          <w:tab w:val="left" w:pos="0"/>
        </w:tabs>
        <w:spacing w:after="0" w:line="276" w:lineRule="auto"/>
        <w:jc w:val="both"/>
        <w:rPr>
          <w:rFonts w:ascii="Arial" w:hAnsi="Arial" w:cs="Arial"/>
          <w:b/>
          <w:color w:val="000000" w:themeColor="text1"/>
          <w:lang w:val="es-ES_tradnl"/>
        </w:rPr>
      </w:pPr>
    </w:p>
    <w:p w14:paraId="18F5E308" w14:textId="50FD14D8" w:rsidR="00A31C35" w:rsidRPr="00BD7469" w:rsidRDefault="00D11A96" w:rsidP="00AD54D1">
      <w:pPr>
        <w:spacing w:after="0" w:line="276" w:lineRule="auto"/>
        <w:ind w:left="709" w:right="709"/>
        <w:jc w:val="both"/>
        <w:rPr>
          <w:rFonts w:ascii="Arial" w:hAnsi="Arial" w:cs="Arial"/>
          <w:bCs/>
          <w:sz w:val="21"/>
          <w:szCs w:val="21"/>
        </w:rPr>
      </w:pPr>
      <w:r w:rsidRPr="00BD7469">
        <w:rPr>
          <w:rFonts w:ascii="Arial" w:hAnsi="Arial" w:cs="Arial"/>
          <w:bCs/>
          <w:sz w:val="21"/>
          <w:szCs w:val="21"/>
        </w:rPr>
        <w:t xml:space="preserve">i) </w:t>
      </w:r>
      <w:r w:rsidR="00A31C35" w:rsidRPr="00BD7469">
        <w:rPr>
          <w:rFonts w:ascii="Arial" w:hAnsi="Arial" w:cs="Arial"/>
          <w:bCs/>
          <w:sz w:val="21"/>
          <w:szCs w:val="21"/>
        </w:rPr>
        <w:t>«</w:t>
      </w:r>
      <w:r w:rsidR="00A31C35" w:rsidRPr="00841829">
        <w:rPr>
          <w:rFonts w:ascii="Arial" w:hAnsi="Arial" w:cs="Arial"/>
          <w:bCs/>
          <w:sz w:val="21"/>
          <w:szCs w:val="21"/>
        </w:rPr>
        <w:t>¿es procedente adicionar un contrato o se debe celebrar un contrato nuevo para la inclusión de un ítem o actividad no prevista en el contrato inicial?</w:t>
      </w:r>
      <w:r w:rsidR="00A31C35" w:rsidRPr="00BD7469">
        <w:rPr>
          <w:rFonts w:ascii="Arial" w:hAnsi="Arial" w:cs="Arial"/>
          <w:bCs/>
          <w:sz w:val="21"/>
          <w:szCs w:val="21"/>
        </w:rPr>
        <w:t>»</w:t>
      </w:r>
    </w:p>
    <w:p w14:paraId="7B1FAB70" w14:textId="77777777" w:rsidR="00AD54D1" w:rsidRDefault="00AD54D1" w:rsidP="00AD54D1">
      <w:pPr>
        <w:spacing w:after="0" w:line="276" w:lineRule="auto"/>
        <w:jc w:val="both"/>
        <w:rPr>
          <w:rFonts w:ascii="Arial" w:hAnsi="Arial" w:cs="Arial"/>
          <w:bCs/>
          <w:lang w:val="es-MX"/>
        </w:rPr>
      </w:pPr>
    </w:p>
    <w:p w14:paraId="49DB2D8D" w14:textId="357F990F" w:rsidR="00A31C35" w:rsidRPr="00A31C35" w:rsidRDefault="00A31C35" w:rsidP="00AD54D1">
      <w:pPr>
        <w:spacing w:after="0" w:line="276" w:lineRule="auto"/>
        <w:jc w:val="both"/>
        <w:rPr>
          <w:rFonts w:ascii="Arial" w:hAnsi="Arial" w:cs="Arial"/>
          <w:bCs/>
          <w:lang w:val="es-MX"/>
        </w:rPr>
      </w:pPr>
      <w:r w:rsidRPr="00A31C35">
        <w:rPr>
          <w:rFonts w:ascii="Arial" w:hAnsi="Arial" w:cs="Arial"/>
          <w:bCs/>
          <w:lang w:val="es-MX"/>
        </w:rPr>
        <w:t xml:space="preserve">Conforme a la regulación legal y a la interpretación actual que de la misma han hecho el Consejo de Estado y la Corte Constitucional, la cual se comparte por esta Agencia, es viable jurídicamente modificar los contratos estatales, pero esta medida tienen carácter excepcional y solo procede cuando con ella se pretenda garantizar el interés público, cuando la entidad haya verificado y así pueda constatarse por cualquier que la causa de la modificación es real y cierta, y cuando se deriva de previsiones legales, esto es, cuando la modificación encuentra sustento no solo en circunstancias fácticas propias de la ejecución del contrato, sino, además, cuando tales situaciones ponen de presente la necesidad de dar cumplimiento a previsiones establecidas por el legislador. Así las cosas, para establecer si un contrato determinado puede ser susceptible de modificación, se hace necesario que la Administración analice, en cada caso, la concurrencia de los aspectos antes referidos.  </w:t>
      </w:r>
    </w:p>
    <w:p w14:paraId="40B3AA84" w14:textId="66647EBD" w:rsidR="00A31C35" w:rsidRDefault="00A31C35" w:rsidP="00D11A96">
      <w:pPr>
        <w:spacing w:before="120" w:after="0" w:line="276" w:lineRule="auto"/>
        <w:ind w:firstLine="709"/>
        <w:jc w:val="both"/>
        <w:rPr>
          <w:rFonts w:ascii="Arial" w:hAnsi="Arial" w:cs="Arial"/>
          <w:bCs/>
          <w:lang w:val="es-ES_tradnl"/>
        </w:rPr>
      </w:pPr>
      <w:r w:rsidRPr="00A31C35">
        <w:rPr>
          <w:rFonts w:ascii="Arial" w:hAnsi="Arial" w:cs="Arial"/>
          <w:bCs/>
          <w:lang w:val="es-ES_tradnl"/>
        </w:rPr>
        <w:t>En este contexto, en concordancia con lo expuesto en el numeral 2.1 de este concepto, es claro que un contrato estatal puede modificarse en precio y en el alcance de su objeto para incluir actividades adicionales que no fueron comprendidas en el contrato inicial, esto es, para incluir ítems no previstos, siempre que se respete el límite fijado por el legislador para adicionar su valor y las demás disposiciones establecidas en el ordenamiento jurídico. Además, las modificaciones no podrían suponer la variación del objeto de un contrato, al punto que suponga la alteración de su esencia y se convierta en otro tipo de negocio jurídico. Si se presentara esta situación lo indicado no sería modificar el contrato sino celebrar uno nuevo. Estas reglas proceden cuando la modificación sea de manera bilateral, así como cuando se realice de forma unilateral por la entidad estatal, esta última teniendo en cuenta que el artículo 16 de la Ley 80 de 1993 señala que si las modificaciones alteran el valor del contrato en un veinte por ciento (20%) o más del valor inicial, el contratista podrá renunciar a la continuación de la ejecución</w:t>
      </w:r>
      <w:r w:rsidR="004859FF">
        <w:rPr>
          <w:rFonts w:ascii="Arial" w:hAnsi="Arial" w:cs="Arial"/>
          <w:bCs/>
          <w:lang w:val="es-ES_tradnl"/>
        </w:rPr>
        <w:t>.</w:t>
      </w:r>
    </w:p>
    <w:p w14:paraId="385F0A41" w14:textId="2C50C014" w:rsidR="004859FF" w:rsidRDefault="004859FF" w:rsidP="00D11A96">
      <w:pPr>
        <w:spacing w:before="120" w:after="0" w:line="276" w:lineRule="auto"/>
        <w:ind w:firstLine="709"/>
        <w:jc w:val="both"/>
        <w:rPr>
          <w:rFonts w:ascii="Arial" w:hAnsi="Arial" w:cs="Arial"/>
          <w:bCs/>
          <w:szCs w:val="24"/>
          <w:lang w:val="es-ES_tradnl" w:eastAsia="es-ES_tradnl" w:bidi="es-ES"/>
        </w:rPr>
      </w:pPr>
      <w:r>
        <w:rPr>
          <w:rFonts w:ascii="Arial" w:hAnsi="Arial" w:cs="Arial"/>
          <w:bCs/>
          <w:lang w:val="es-ES_tradnl"/>
        </w:rPr>
        <w:t xml:space="preserve">Debe precisarse que, conforme se explicó en el numeral 2.2 de este concepto, </w:t>
      </w:r>
      <w:r w:rsidRPr="00A42C60">
        <w:rPr>
          <w:rFonts w:ascii="Arial" w:hAnsi="Arial" w:cs="Arial"/>
          <w:bCs/>
          <w:szCs w:val="24"/>
          <w:lang w:val="es-ES_tradnl" w:eastAsia="es-ES_tradnl" w:bidi="es-ES"/>
        </w:rPr>
        <w:t xml:space="preserve">la interpretación que realiza la </w:t>
      </w:r>
      <w:r>
        <w:rPr>
          <w:rFonts w:ascii="Arial" w:hAnsi="Arial" w:cs="Arial"/>
          <w:bCs/>
          <w:szCs w:val="24"/>
          <w:lang w:val="es-ES_tradnl" w:eastAsia="es-ES_tradnl" w:bidi="es-ES"/>
        </w:rPr>
        <w:t>S</w:t>
      </w:r>
      <w:r w:rsidRPr="00A42C60">
        <w:rPr>
          <w:rFonts w:ascii="Arial" w:hAnsi="Arial" w:cs="Arial"/>
          <w:bCs/>
          <w:szCs w:val="24"/>
          <w:lang w:val="es-ES_tradnl" w:eastAsia="es-ES_tradnl" w:bidi="es-ES"/>
        </w:rPr>
        <w:t>entencia SU 214 de</w:t>
      </w:r>
      <w:r>
        <w:rPr>
          <w:rFonts w:ascii="Arial" w:hAnsi="Arial" w:cs="Arial"/>
          <w:bCs/>
          <w:szCs w:val="24"/>
          <w:lang w:val="es-ES_tradnl" w:eastAsia="es-ES_tradnl" w:bidi="es-ES"/>
        </w:rPr>
        <w:t>l 16 de junio de</w:t>
      </w:r>
      <w:r w:rsidRPr="00A42C60">
        <w:rPr>
          <w:rFonts w:ascii="Arial" w:hAnsi="Arial" w:cs="Arial"/>
          <w:bCs/>
          <w:szCs w:val="24"/>
          <w:lang w:val="es-ES_tradnl" w:eastAsia="es-ES_tradnl" w:bidi="es-ES"/>
        </w:rPr>
        <w:t xml:space="preserve"> 2022 en relación con la celebración de un contrato nuevo cuando se pretenda adicionar ítems o actividades al contrato, debe entenderse en el contexto histórico del momento de los hechos, es decir, del año 2004, época en la que la jurisprudencia del Consejo de Estado y de la</w:t>
      </w:r>
      <w:r w:rsidRPr="00A42C60">
        <w:rPr>
          <w:rFonts w:ascii="Arial" w:hAnsi="Arial" w:cs="Arial"/>
          <w:bCs/>
          <w:szCs w:val="24"/>
          <w:lang w:eastAsia="es-ES_tradnl" w:bidi="es-ES"/>
        </w:rPr>
        <w:t xml:space="preserve"> Corte </w:t>
      </w:r>
      <w:r w:rsidRPr="00A42C60">
        <w:rPr>
          <w:rFonts w:ascii="Arial" w:hAnsi="Arial" w:cs="Arial"/>
          <w:bCs/>
          <w:szCs w:val="24"/>
          <w:lang w:eastAsia="es-ES_tradnl" w:bidi="es-ES"/>
        </w:rPr>
        <w:lastRenderedPageBreak/>
        <w:t xml:space="preserve">Suprema de Justicia sostenían </w:t>
      </w:r>
      <w:r w:rsidRPr="00A42C60">
        <w:rPr>
          <w:rFonts w:ascii="Arial" w:hAnsi="Arial" w:cs="Arial"/>
          <w:bCs/>
          <w:szCs w:val="24"/>
          <w:lang w:val="es-ES_tradnl" w:eastAsia="es-ES_tradnl" w:bidi="es-ES"/>
        </w:rPr>
        <w:t xml:space="preserve">la necesidad de suscribir un contrato nuevo en estos casos. Lo anterior, sin desconocer la posición actual de la materia en la jurisprudencia según la cual, como se explicó, es procedente las modificaciones del contrato </w:t>
      </w:r>
      <w:r w:rsidRPr="00A42C60">
        <w:rPr>
          <w:rFonts w:ascii="Arial" w:hAnsi="Arial" w:cs="Arial"/>
          <w:szCs w:val="24"/>
          <w:lang w:val="es-ES_tradnl" w:eastAsia="es-ES_tradnl"/>
        </w:rPr>
        <w:t xml:space="preserve">para ampliar las prestaciones </w:t>
      </w:r>
      <w:r w:rsidRPr="00A42C60">
        <w:rPr>
          <w:rFonts w:ascii="Arial" w:hAnsi="Arial" w:cs="Arial"/>
          <w:bCs/>
          <w:szCs w:val="24"/>
          <w:lang w:val="es-ES_tradnl" w:eastAsia="es-ES_tradnl" w:bidi="es-ES"/>
        </w:rPr>
        <w:t>contractuales, mediante la ejecución de nuevos ítems o actividades siempre que no se afecté el núcleo esencial del objeto y teniendo en cuenta las limitaciones sobre el particular</w:t>
      </w:r>
      <w:r>
        <w:rPr>
          <w:rFonts w:ascii="Arial" w:hAnsi="Arial" w:cs="Arial"/>
          <w:bCs/>
          <w:szCs w:val="24"/>
          <w:lang w:val="es-ES_tradnl" w:eastAsia="es-ES_tradnl" w:bidi="es-ES"/>
        </w:rPr>
        <w:t xml:space="preserve">. </w:t>
      </w:r>
    </w:p>
    <w:p w14:paraId="30E58493" w14:textId="77777777" w:rsidR="00D11A96" w:rsidRPr="00A31C35" w:rsidRDefault="00D11A96" w:rsidP="00BD48F0">
      <w:pPr>
        <w:spacing w:after="0" w:line="276" w:lineRule="auto"/>
        <w:ind w:firstLine="709"/>
        <w:jc w:val="both"/>
        <w:rPr>
          <w:rFonts w:ascii="Arial" w:hAnsi="Arial" w:cs="Arial"/>
        </w:rPr>
      </w:pPr>
    </w:p>
    <w:p w14:paraId="1BBDE5CB" w14:textId="0923C4FC" w:rsidR="00A31C35" w:rsidRPr="00CF0DFF" w:rsidRDefault="00A31C35" w:rsidP="00BD48F0">
      <w:pPr>
        <w:spacing w:after="0" w:line="276" w:lineRule="auto"/>
        <w:ind w:left="709" w:right="709"/>
        <w:jc w:val="both"/>
        <w:rPr>
          <w:rFonts w:ascii="Arial" w:hAnsi="Arial" w:cs="Arial"/>
          <w:bCs/>
          <w:sz w:val="21"/>
          <w:szCs w:val="21"/>
        </w:rPr>
      </w:pPr>
      <w:r w:rsidRPr="00841829">
        <w:rPr>
          <w:rFonts w:ascii="Arial" w:hAnsi="Arial" w:cs="Arial"/>
          <w:bCs/>
          <w:sz w:val="21"/>
          <w:szCs w:val="21"/>
        </w:rPr>
        <w:t xml:space="preserve">ii) </w:t>
      </w:r>
      <w:r w:rsidRPr="00CF0DFF">
        <w:rPr>
          <w:rFonts w:ascii="Arial" w:hAnsi="Arial" w:cs="Arial"/>
          <w:bCs/>
          <w:sz w:val="21"/>
          <w:szCs w:val="21"/>
        </w:rPr>
        <w:t>«</w:t>
      </w:r>
      <w:r w:rsidRPr="00841829">
        <w:rPr>
          <w:rFonts w:ascii="Arial" w:hAnsi="Arial" w:cs="Arial"/>
          <w:bCs/>
          <w:sz w:val="21"/>
          <w:szCs w:val="21"/>
        </w:rPr>
        <w:t>¿el límite de adición del 50% previsto en la Ley 80/1993 aplica a los contratos de obra a precios unitarios?</w:t>
      </w:r>
      <w:r w:rsidRPr="00CF0DFF">
        <w:rPr>
          <w:rFonts w:ascii="Arial" w:hAnsi="Arial" w:cs="Arial"/>
          <w:bCs/>
          <w:sz w:val="21"/>
          <w:szCs w:val="21"/>
        </w:rPr>
        <w:t>»</w:t>
      </w:r>
    </w:p>
    <w:p w14:paraId="09703484" w14:textId="77777777" w:rsidR="00BD48F0" w:rsidRDefault="00BD48F0" w:rsidP="00BD48F0">
      <w:pPr>
        <w:spacing w:after="0" w:line="276" w:lineRule="auto"/>
        <w:jc w:val="both"/>
        <w:rPr>
          <w:rFonts w:ascii="Arial" w:hAnsi="Arial" w:cs="Arial"/>
          <w:szCs w:val="24"/>
          <w:lang w:val="es-MX" w:eastAsia="es-ES_tradnl"/>
        </w:rPr>
      </w:pPr>
    </w:p>
    <w:p w14:paraId="1B399906" w14:textId="10B4F6E4" w:rsidR="00D11A96" w:rsidRPr="00A42C60" w:rsidRDefault="00D11A96" w:rsidP="00841829">
      <w:pPr>
        <w:spacing w:after="0" w:line="276" w:lineRule="auto"/>
        <w:ind w:firstLine="708"/>
        <w:jc w:val="both"/>
        <w:rPr>
          <w:rFonts w:ascii="Arial" w:hAnsi="Arial" w:cs="Arial"/>
          <w:szCs w:val="24"/>
          <w:lang w:val="es-MX" w:eastAsia="es-ES_tradnl"/>
        </w:rPr>
      </w:pPr>
      <w:r>
        <w:rPr>
          <w:rFonts w:ascii="Arial" w:hAnsi="Arial" w:cs="Arial"/>
          <w:szCs w:val="24"/>
          <w:lang w:val="es-MX" w:eastAsia="es-ES_tradnl"/>
        </w:rPr>
        <w:t>T</w:t>
      </w:r>
      <w:r w:rsidRPr="00A42C60">
        <w:rPr>
          <w:rFonts w:ascii="Arial" w:hAnsi="Arial" w:cs="Arial"/>
          <w:szCs w:val="24"/>
          <w:lang w:val="es-MX" w:eastAsia="es-ES_tradnl"/>
        </w:rPr>
        <w:t>al como se ha resaltado por esta Agencia en oportunidades anteriores, frente a cualquier incremento del valor inicial del contrato, que implica una adición po</w:t>
      </w:r>
      <w:r>
        <w:rPr>
          <w:rFonts w:ascii="Arial" w:hAnsi="Arial" w:cs="Arial"/>
          <w:szCs w:val="24"/>
          <w:lang w:val="es-MX" w:eastAsia="es-ES_tradnl"/>
        </w:rPr>
        <w:t>r mayores cantidades o ítems no previstos</w:t>
      </w:r>
      <w:r w:rsidRPr="00A42C60">
        <w:rPr>
          <w:rFonts w:ascii="Arial" w:hAnsi="Arial" w:cs="Arial"/>
          <w:szCs w:val="24"/>
          <w:lang w:val="es-MX" w:eastAsia="es-ES_tradnl"/>
        </w:rPr>
        <w:t>, aplica el límite previsto en el parágrafo del artículo 40 de la Ley 80 de 1993</w:t>
      </w:r>
      <w:r w:rsidRPr="00A42C60">
        <w:rPr>
          <w:rFonts w:ascii="Arial" w:hAnsi="Arial" w:cs="Arial"/>
          <w:szCs w:val="24"/>
          <w:lang w:val="es-ES_tradnl" w:eastAsia="es-ES_tradnl"/>
        </w:rPr>
        <w:t>: «Los contratos no podrán adicionarse en más del cincuenta por ciento (50%) de su valor inicial, expresado éste en salarios mínimos legales mensuales». De manera que, aunque es posible celebrar todos los tipos de acuerdos indicados, siempre se debe observar esta última disposición.</w:t>
      </w:r>
    </w:p>
    <w:p w14:paraId="0BB03A93" w14:textId="77777777" w:rsidR="00D11A96" w:rsidRPr="00A42C60" w:rsidRDefault="00D11A96" w:rsidP="00BD48F0">
      <w:pPr>
        <w:spacing w:before="120" w:after="0" w:line="276" w:lineRule="auto"/>
        <w:ind w:firstLine="709"/>
        <w:jc w:val="both"/>
        <w:rPr>
          <w:rFonts w:ascii="Arial" w:hAnsi="Arial" w:cs="Arial"/>
          <w:szCs w:val="24"/>
          <w:lang w:val="es-MX" w:eastAsia="es-ES_tradnl"/>
        </w:rPr>
      </w:pPr>
      <w:r w:rsidRPr="00A42C60">
        <w:rPr>
          <w:rFonts w:ascii="Arial" w:hAnsi="Arial" w:cs="Arial"/>
          <w:szCs w:val="24"/>
          <w:lang w:val="es-MX" w:eastAsia="es-ES_tradnl"/>
        </w:rPr>
        <w:t xml:space="preserve">Esta postura es la que mejor garantiza el principio de legalidad, pues la norma es clara en señalar que los contratos no podrán adicionarse en más del cincuenta por ciento (50%) de su valor inicial, y valga la redundancia, el valor inicial es el contemplado en el contrato originario y cualquier alteración a ese valor constituirá, técnicamente, una adición, independientemente de cuál sea su causa; lo otro implicaría una fuga a la prohibición fijada por el legislador, sin perjuicio de las excepciones contempladas por Ley. </w:t>
      </w:r>
    </w:p>
    <w:p w14:paraId="4634AB60" w14:textId="7C4C4B82" w:rsidR="00BD48F0" w:rsidRDefault="00D11A96" w:rsidP="00BD48F0">
      <w:pPr>
        <w:spacing w:before="120" w:after="0" w:line="276" w:lineRule="auto"/>
        <w:ind w:firstLine="709"/>
        <w:jc w:val="both"/>
        <w:rPr>
          <w:rFonts w:ascii="Arial" w:hAnsi="Arial" w:cs="Arial"/>
          <w:bCs/>
        </w:rPr>
      </w:pPr>
      <w:r w:rsidRPr="00A42C60">
        <w:rPr>
          <w:rFonts w:ascii="Arial" w:hAnsi="Arial" w:cs="Arial"/>
          <w:bCs/>
        </w:rPr>
        <w:t xml:space="preserve">Al respecto, es pertinente indicar que </w:t>
      </w:r>
      <w:r w:rsidRPr="00A42C60">
        <w:rPr>
          <w:rFonts w:ascii="Arial" w:hAnsi="Arial" w:cs="Arial"/>
          <w:bCs/>
          <w:szCs w:val="24"/>
          <w:lang w:val="es-MX" w:eastAsia="es-ES_tradnl"/>
        </w:rPr>
        <w:t>recientemente la Corte Constitucional se pronunció sobre la adición de l</w:t>
      </w:r>
      <w:r w:rsidRPr="00A42C60">
        <w:rPr>
          <w:rFonts w:ascii="Arial" w:hAnsi="Arial" w:cs="Arial"/>
          <w:bCs/>
          <w:lang w:val="es-MX" w:eastAsia="es-ES_tradnl"/>
        </w:rPr>
        <w:t xml:space="preserve">os contratos por mayores cantidades de obra en la Sentencia SU214 de 2022, en la cual se señaló que en estos eventos la restricción del cincuenta por </w:t>
      </w:r>
      <w:r w:rsidRPr="00A42C60">
        <w:rPr>
          <w:rFonts w:ascii="Arial" w:hAnsi="Arial" w:cs="Arial"/>
          <w:lang w:val="es-MX" w:eastAsia="es-ES_tradnl"/>
        </w:rPr>
        <w:t xml:space="preserve">ciento (50%) de su valor inicial aplica con independencia de la modalidad contractual de que se trate y del sistema de precios pactado. </w:t>
      </w:r>
      <w:r w:rsidRPr="00A42C60">
        <w:rPr>
          <w:rFonts w:ascii="Arial" w:hAnsi="Arial" w:cs="Arial"/>
          <w:bCs/>
          <w:lang w:val="es-MX" w:eastAsia="es-ES_tradnl"/>
        </w:rPr>
        <w:t>En este sentido, en todos los contratos estatales independientemente de la modalidad de selección o del sistema de precios pactados se deberá respetar el límite de adición señalado en el parágrafo del artículo 40 de la Ley 80 de 1993 tanto para las mayores cantidades de obra como para los ítems no previstos.</w:t>
      </w:r>
    </w:p>
    <w:p w14:paraId="15F9A800" w14:textId="77777777" w:rsidR="00BD48F0" w:rsidRPr="00BD48F0" w:rsidRDefault="00BD48F0" w:rsidP="00BD48F0">
      <w:pPr>
        <w:spacing w:after="0" w:line="276" w:lineRule="auto"/>
        <w:ind w:firstLine="709"/>
        <w:jc w:val="both"/>
        <w:rPr>
          <w:rFonts w:ascii="Arial" w:hAnsi="Arial" w:cs="Arial"/>
          <w:bCs/>
        </w:rPr>
      </w:pPr>
    </w:p>
    <w:p w14:paraId="417F68DA" w14:textId="1A84297E" w:rsidR="00A31C35" w:rsidRPr="00CF0DFF" w:rsidRDefault="00A31C35" w:rsidP="00BD48F0">
      <w:pPr>
        <w:spacing w:after="0" w:line="276" w:lineRule="auto"/>
        <w:ind w:left="709" w:right="709"/>
        <w:jc w:val="both"/>
        <w:rPr>
          <w:rFonts w:ascii="Arial" w:hAnsi="Arial" w:cs="Arial"/>
          <w:bCs/>
          <w:sz w:val="21"/>
          <w:szCs w:val="21"/>
        </w:rPr>
      </w:pPr>
      <w:r w:rsidRPr="00841829">
        <w:rPr>
          <w:rFonts w:ascii="Arial" w:hAnsi="Arial" w:cs="Arial"/>
          <w:bCs/>
          <w:sz w:val="21"/>
          <w:szCs w:val="21"/>
        </w:rPr>
        <w:t xml:space="preserve">iii) </w:t>
      </w:r>
      <w:r w:rsidRPr="00CF0DFF">
        <w:rPr>
          <w:rFonts w:ascii="Arial" w:hAnsi="Arial" w:cs="Arial"/>
          <w:bCs/>
          <w:sz w:val="21"/>
          <w:szCs w:val="21"/>
        </w:rPr>
        <w:t>«</w:t>
      </w:r>
      <w:r w:rsidRPr="00841829">
        <w:rPr>
          <w:rFonts w:ascii="Arial" w:hAnsi="Arial" w:cs="Arial"/>
          <w:bCs/>
          <w:sz w:val="21"/>
          <w:szCs w:val="21"/>
        </w:rPr>
        <w:t>¿Qué excepciones existen para la no aplicación del límite del 50% de adición previsto en la Ley 80/1993?</w:t>
      </w:r>
      <w:r w:rsidRPr="00CF0DFF">
        <w:rPr>
          <w:rFonts w:ascii="Arial" w:hAnsi="Arial" w:cs="Arial"/>
          <w:bCs/>
          <w:sz w:val="21"/>
          <w:szCs w:val="21"/>
        </w:rPr>
        <w:t>»</w:t>
      </w:r>
    </w:p>
    <w:p w14:paraId="5B388051" w14:textId="77777777" w:rsidR="00BD48F0" w:rsidRPr="00A42C60" w:rsidRDefault="00BD48F0" w:rsidP="00BD48F0">
      <w:pPr>
        <w:spacing w:after="0" w:line="276" w:lineRule="auto"/>
        <w:ind w:left="709" w:right="709"/>
        <w:jc w:val="both"/>
        <w:rPr>
          <w:rFonts w:ascii="Arial" w:hAnsi="Arial" w:cs="Arial"/>
          <w:bCs/>
          <w:sz w:val="21"/>
          <w:szCs w:val="21"/>
        </w:rPr>
      </w:pPr>
    </w:p>
    <w:p w14:paraId="581FFE66" w14:textId="734E6819" w:rsidR="00025065" w:rsidRDefault="00BD48F0" w:rsidP="00841829">
      <w:pPr>
        <w:spacing w:after="0" w:line="276" w:lineRule="auto"/>
        <w:ind w:firstLine="708"/>
        <w:jc w:val="both"/>
        <w:rPr>
          <w:rFonts w:ascii="Arial" w:hAnsi="Arial" w:cs="Arial"/>
          <w:bCs/>
          <w:szCs w:val="24"/>
          <w:lang w:val="es-ES_tradnl" w:eastAsia="es-ES_tradnl" w:bidi="es-ES"/>
        </w:rPr>
      </w:pPr>
      <w:r>
        <w:rPr>
          <w:rFonts w:ascii="Arial" w:hAnsi="Arial" w:cs="Arial"/>
        </w:rPr>
        <w:t xml:space="preserve">De conformidad con las consideraciones expuestas, en la actualidad solo se encuentra establecida una excepción legal expresa para adicionar contratos estatales en </w:t>
      </w:r>
      <w:r>
        <w:rPr>
          <w:rFonts w:ascii="Arial" w:hAnsi="Arial" w:cs="Arial"/>
        </w:rPr>
        <w:lastRenderedPageBreak/>
        <w:t xml:space="preserve">más del 50%, que es la contenida en el artículo 85 de la Ley 1474 de 2011 para los contratos de interventoría. Por otro lado, la Sala de Consulta y Servicio Civil del Consejo de Estado y la doctrina indican que esta excepción también procede en el contrato de obra cuando se aplique el mecanismo de reajustes pactado y en el evento de </w:t>
      </w:r>
      <w:r w:rsidRPr="00374922">
        <w:rPr>
          <w:rFonts w:ascii="Arial" w:hAnsi="Arial" w:cs="Arial"/>
        </w:rPr>
        <w:t>restablecimiento del equilibrio económico del contrato</w:t>
      </w:r>
      <w:r>
        <w:rPr>
          <w:rFonts w:ascii="Arial" w:hAnsi="Arial" w:cs="Arial"/>
        </w:rPr>
        <w:t>.</w:t>
      </w:r>
    </w:p>
    <w:p w14:paraId="0A930861" w14:textId="77777777" w:rsidR="004859FF" w:rsidRPr="00A42C60" w:rsidRDefault="004859FF" w:rsidP="00841829">
      <w:pPr>
        <w:spacing w:after="0" w:line="276" w:lineRule="auto"/>
        <w:jc w:val="both"/>
        <w:rPr>
          <w:rFonts w:ascii="Arial" w:hAnsi="Arial" w:cs="Arial"/>
          <w:lang w:val="es-MX"/>
        </w:rPr>
      </w:pPr>
    </w:p>
    <w:p w14:paraId="056816F7" w14:textId="36C087E7" w:rsidR="00D40F8B" w:rsidRPr="00A42C60" w:rsidRDefault="00DD5B04" w:rsidP="00B21AD4">
      <w:pPr>
        <w:widowControl w:val="0"/>
        <w:autoSpaceDE w:val="0"/>
        <w:autoSpaceDN w:val="0"/>
        <w:spacing w:line="276" w:lineRule="auto"/>
        <w:jc w:val="both"/>
        <w:rPr>
          <w:rFonts w:ascii="Arial" w:hAnsi="Arial" w:cs="Arial"/>
          <w:lang w:val="es-ES_tradnl" w:bidi="es-ES"/>
        </w:rPr>
      </w:pPr>
      <w:r w:rsidRPr="00A42C60">
        <w:rPr>
          <w:rFonts w:ascii="Arial" w:hAnsi="Arial" w:cs="Arial"/>
          <w:color w:val="000000" w:themeColor="text1"/>
          <w:lang w:val="es-ES_tradnl"/>
        </w:rPr>
        <w:t>Este concepto tiene el alcance previsto en el artículo 28 del Código de Procedimiento Administrativo y de</w:t>
      </w:r>
      <w:r w:rsidR="00D40F8B" w:rsidRPr="00A42C60">
        <w:rPr>
          <w:rFonts w:ascii="Arial" w:hAnsi="Arial" w:cs="Arial"/>
          <w:color w:val="000000" w:themeColor="text1"/>
          <w:lang w:val="es-ES_tradnl"/>
        </w:rPr>
        <w:t xml:space="preserve"> lo Contencioso Administrativo.</w:t>
      </w:r>
    </w:p>
    <w:p w14:paraId="6F54E9C9" w14:textId="77777777" w:rsidR="00003233" w:rsidRPr="00A42C60" w:rsidRDefault="00003233" w:rsidP="00D40F8B">
      <w:pPr>
        <w:spacing w:before="120" w:line="276" w:lineRule="auto"/>
        <w:jc w:val="both"/>
        <w:rPr>
          <w:rFonts w:ascii="Arial" w:hAnsi="Arial" w:cs="Arial"/>
          <w:color w:val="000000" w:themeColor="text1"/>
          <w:lang w:val="es-ES_tradnl"/>
        </w:rPr>
      </w:pPr>
    </w:p>
    <w:p w14:paraId="349855C9" w14:textId="4E2C915B" w:rsidR="00D40F8B" w:rsidRPr="00A42C6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42C60">
        <w:rPr>
          <w:rFonts w:ascii="Arial" w:hAnsi="Arial" w:cs="Arial"/>
          <w:color w:val="000000" w:themeColor="text1"/>
          <w:sz w:val="22"/>
          <w:szCs w:val="22"/>
          <w:lang w:val="es-ES_tradnl"/>
        </w:rPr>
        <w:t>Atentamente,</w:t>
      </w:r>
    </w:p>
    <w:p w14:paraId="10A1E411" w14:textId="7A30C515" w:rsidR="00D40F8B" w:rsidRPr="00A42C60" w:rsidRDefault="00F14FFE"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3C05BE06" wp14:editId="4357CEB6">
            <wp:extent cx="2774950" cy="106426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pic:cNvPicPr>
                  </pic:nvPicPr>
                  <pic:blipFill>
                    <a:blip r:embed="rId12"/>
                    <a:stretch>
                      <a:fillRect/>
                    </a:stretch>
                  </pic:blipFill>
                  <pic:spPr>
                    <a:xfrm>
                      <a:off x="0" y="0"/>
                      <a:ext cx="2774950" cy="1064260"/>
                    </a:xfrm>
                    <a:prstGeom prst="rect">
                      <a:avLst/>
                    </a:prstGeom>
                  </pic:spPr>
                </pic:pic>
              </a:graphicData>
            </a:graphic>
          </wp:inline>
        </w:drawing>
      </w:r>
    </w:p>
    <w:p w14:paraId="1ED13883" w14:textId="77777777" w:rsidR="00003233" w:rsidRPr="00A42C60" w:rsidRDefault="00003233" w:rsidP="00AD4A51">
      <w:pPr>
        <w:pStyle w:val="NormalWeb"/>
        <w:spacing w:before="0" w:beforeAutospacing="0" w:after="0" w:afterAutospacing="0"/>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1242D2" w14:paraId="0C7DC5F7" w14:textId="77777777" w:rsidTr="00D40F8B">
        <w:trPr>
          <w:trHeight w:val="160"/>
        </w:trPr>
        <w:tc>
          <w:tcPr>
            <w:tcW w:w="812" w:type="dxa"/>
            <w:vAlign w:val="center"/>
            <w:hideMark/>
          </w:tcPr>
          <w:p w14:paraId="5BDB1AC9" w14:textId="77777777" w:rsidR="00DD5B04" w:rsidRPr="00A42C60" w:rsidRDefault="00DD5B04" w:rsidP="00AD4A51">
            <w:pPr>
              <w:spacing w:after="0" w:line="240" w:lineRule="auto"/>
              <w:jc w:val="both"/>
              <w:rPr>
                <w:rFonts w:ascii="Arial" w:hAnsi="Arial" w:cs="Arial"/>
                <w:color w:val="000000" w:themeColor="text1"/>
                <w:sz w:val="16"/>
                <w:szCs w:val="16"/>
                <w:lang w:val="es-ES_tradnl" w:eastAsia="es-ES"/>
              </w:rPr>
            </w:pPr>
            <w:r w:rsidRPr="00A42C60">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A42C60" w:rsidRDefault="00F412DF" w:rsidP="00AD4A51">
            <w:pPr>
              <w:spacing w:after="0" w:line="240" w:lineRule="auto"/>
              <w:jc w:val="both"/>
              <w:rPr>
                <w:rFonts w:ascii="Arial" w:hAnsi="Arial" w:cs="Arial"/>
                <w:color w:val="000000" w:themeColor="text1"/>
                <w:sz w:val="16"/>
                <w:szCs w:val="16"/>
                <w:lang w:val="es-ES_tradnl" w:eastAsia="es-ES"/>
              </w:rPr>
            </w:pPr>
            <w:r w:rsidRPr="00A42C60">
              <w:rPr>
                <w:rFonts w:ascii="Arial" w:hAnsi="Arial" w:cs="Arial"/>
                <w:color w:val="000000" w:themeColor="text1"/>
                <w:sz w:val="16"/>
                <w:szCs w:val="16"/>
                <w:lang w:val="es-ES_tradnl" w:eastAsia="es-ES"/>
              </w:rPr>
              <w:t>Tatiana Baquero Iguarán</w:t>
            </w:r>
          </w:p>
          <w:p w14:paraId="240C71FD" w14:textId="31312C95" w:rsidR="00DD5B04" w:rsidRPr="00A42C60" w:rsidRDefault="00DD5B04" w:rsidP="00AD4A51">
            <w:pPr>
              <w:spacing w:after="0" w:line="240" w:lineRule="auto"/>
              <w:jc w:val="both"/>
              <w:rPr>
                <w:rFonts w:ascii="Arial" w:hAnsi="Arial" w:cs="Arial"/>
                <w:color w:val="000000" w:themeColor="text1"/>
                <w:sz w:val="16"/>
                <w:szCs w:val="16"/>
                <w:lang w:val="es-ES_tradnl" w:eastAsia="es-ES"/>
              </w:rPr>
            </w:pPr>
            <w:r w:rsidRPr="00A42C60">
              <w:rPr>
                <w:rFonts w:ascii="Arial" w:hAnsi="Arial" w:cs="Arial"/>
                <w:color w:val="000000" w:themeColor="text1"/>
                <w:sz w:val="16"/>
                <w:szCs w:val="16"/>
                <w:lang w:val="es-ES_tradnl" w:eastAsia="es-ES"/>
              </w:rPr>
              <w:t>Contratista</w:t>
            </w:r>
            <w:r w:rsidR="00FF0050" w:rsidRPr="00A42C60">
              <w:rPr>
                <w:rFonts w:ascii="Arial" w:hAnsi="Arial" w:cs="Arial"/>
                <w:color w:val="000000" w:themeColor="text1"/>
                <w:sz w:val="16"/>
                <w:szCs w:val="16"/>
                <w:lang w:val="es-ES_tradnl" w:eastAsia="es-ES"/>
              </w:rPr>
              <w:t xml:space="preserve"> de la </w:t>
            </w:r>
            <w:r w:rsidRPr="00A42C60">
              <w:rPr>
                <w:rFonts w:ascii="Arial" w:hAnsi="Arial" w:cs="Arial"/>
                <w:color w:val="000000" w:themeColor="text1"/>
                <w:sz w:val="16"/>
                <w:szCs w:val="16"/>
                <w:lang w:val="es-ES_tradnl" w:eastAsia="es-ES"/>
              </w:rPr>
              <w:t>Subdirección de Gestión Contractual</w:t>
            </w:r>
          </w:p>
        </w:tc>
      </w:tr>
      <w:tr w:rsidR="00DD5B04" w:rsidRPr="001242D2" w14:paraId="2F8FD650" w14:textId="77777777" w:rsidTr="00D15356">
        <w:trPr>
          <w:trHeight w:val="330"/>
        </w:trPr>
        <w:tc>
          <w:tcPr>
            <w:tcW w:w="812" w:type="dxa"/>
            <w:vAlign w:val="center"/>
            <w:hideMark/>
          </w:tcPr>
          <w:p w14:paraId="50203A0B" w14:textId="77777777" w:rsidR="00DD5B04" w:rsidRPr="00A42C60" w:rsidRDefault="00DD5B04" w:rsidP="00AD4A51">
            <w:pPr>
              <w:spacing w:after="0" w:line="240" w:lineRule="auto"/>
              <w:jc w:val="both"/>
              <w:rPr>
                <w:rFonts w:ascii="Arial" w:hAnsi="Arial" w:cs="Arial"/>
                <w:color w:val="000000" w:themeColor="text1"/>
                <w:sz w:val="16"/>
                <w:szCs w:val="16"/>
                <w:lang w:val="es-ES_tradnl" w:eastAsia="es-ES"/>
              </w:rPr>
            </w:pPr>
            <w:r w:rsidRPr="00A42C60">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1A4DC18" w14:textId="7A62242E" w:rsidR="003A07D9" w:rsidRPr="00A42C60" w:rsidRDefault="0037195B" w:rsidP="00AD4A51">
            <w:pPr>
              <w:spacing w:after="0" w:line="240" w:lineRule="auto"/>
              <w:jc w:val="both"/>
              <w:rPr>
                <w:rFonts w:ascii="Arial" w:hAnsi="Arial" w:cs="Arial"/>
                <w:color w:val="000000" w:themeColor="text1"/>
                <w:sz w:val="16"/>
                <w:szCs w:val="16"/>
                <w:lang w:eastAsia="es-ES"/>
              </w:rPr>
            </w:pPr>
            <w:r w:rsidRPr="00A42C60">
              <w:rPr>
                <w:rFonts w:ascii="Arial" w:hAnsi="Arial" w:cs="Arial"/>
                <w:color w:val="000000" w:themeColor="text1"/>
                <w:sz w:val="16"/>
                <w:szCs w:val="16"/>
                <w:lang w:eastAsia="es-ES"/>
              </w:rPr>
              <w:t xml:space="preserve">Alejandro Sarmiento Cantillo </w:t>
            </w:r>
          </w:p>
          <w:p w14:paraId="130B3228" w14:textId="7B765391" w:rsidR="00DD5B04" w:rsidRPr="00A42C60" w:rsidRDefault="003A07D9" w:rsidP="00AD4A51">
            <w:pPr>
              <w:spacing w:after="0" w:line="240" w:lineRule="auto"/>
              <w:jc w:val="both"/>
              <w:rPr>
                <w:rFonts w:ascii="Arial" w:hAnsi="Arial" w:cs="Arial"/>
                <w:color w:val="000000" w:themeColor="text1"/>
                <w:sz w:val="16"/>
                <w:szCs w:val="16"/>
                <w:lang w:eastAsia="es-ES"/>
              </w:rPr>
            </w:pPr>
            <w:r w:rsidRPr="00A42C60">
              <w:rPr>
                <w:rFonts w:ascii="Arial" w:hAnsi="Arial" w:cs="Arial"/>
                <w:color w:val="000000" w:themeColor="text1"/>
                <w:sz w:val="16"/>
                <w:szCs w:val="16"/>
                <w:lang w:eastAsia="es-ES"/>
              </w:rPr>
              <w:t>Gestor T1-15 de la Subdirección de Gestión Contractual</w:t>
            </w:r>
          </w:p>
        </w:tc>
      </w:tr>
      <w:tr w:rsidR="00DD5B04" w:rsidRPr="001242D2" w14:paraId="0FCBCA4A" w14:textId="77777777" w:rsidTr="00D15356">
        <w:trPr>
          <w:trHeight w:val="300"/>
        </w:trPr>
        <w:tc>
          <w:tcPr>
            <w:tcW w:w="812" w:type="dxa"/>
            <w:vAlign w:val="center"/>
            <w:hideMark/>
          </w:tcPr>
          <w:p w14:paraId="3C1D943A" w14:textId="77777777" w:rsidR="00DD5B04" w:rsidRPr="00A42C60" w:rsidRDefault="00DD5B04" w:rsidP="00AD4A51">
            <w:pPr>
              <w:spacing w:after="0" w:line="240" w:lineRule="auto"/>
              <w:jc w:val="both"/>
              <w:rPr>
                <w:rFonts w:ascii="Arial" w:hAnsi="Arial" w:cs="Arial"/>
                <w:color w:val="000000" w:themeColor="text1"/>
                <w:sz w:val="16"/>
                <w:szCs w:val="16"/>
                <w:lang w:val="es-ES_tradnl" w:eastAsia="es-ES"/>
              </w:rPr>
            </w:pPr>
            <w:r w:rsidRPr="00A42C60">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741BE79" w14:textId="77777777" w:rsidR="000D4F49" w:rsidRPr="00A42C60" w:rsidRDefault="000D4F49" w:rsidP="000D4F49">
            <w:pPr>
              <w:spacing w:after="0" w:line="240" w:lineRule="auto"/>
              <w:rPr>
                <w:rFonts w:ascii="Arial" w:hAnsi="Arial" w:cs="Arial"/>
                <w:color w:val="000000" w:themeColor="text1"/>
                <w:sz w:val="16"/>
                <w:szCs w:val="16"/>
                <w:lang w:eastAsia="es-ES"/>
              </w:rPr>
            </w:pPr>
            <w:r w:rsidRPr="00A42C60">
              <w:rPr>
                <w:rFonts w:ascii="Arial" w:hAnsi="Arial" w:cs="Arial"/>
                <w:color w:val="000000" w:themeColor="text1"/>
                <w:sz w:val="16"/>
                <w:szCs w:val="16"/>
                <w:lang w:eastAsia="es-ES"/>
              </w:rPr>
              <w:t>Nohelia del Carmen Zawady Palacio</w:t>
            </w:r>
          </w:p>
          <w:p w14:paraId="1ADC483B" w14:textId="10351E46" w:rsidR="00DD5B04" w:rsidRPr="00A42C60" w:rsidRDefault="000D4F49" w:rsidP="000D4F49">
            <w:pPr>
              <w:spacing w:after="0" w:line="240" w:lineRule="auto"/>
              <w:jc w:val="both"/>
              <w:rPr>
                <w:rFonts w:ascii="Arial" w:hAnsi="Arial" w:cs="Arial"/>
                <w:color w:val="000000" w:themeColor="text1"/>
                <w:sz w:val="16"/>
                <w:szCs w:val="16"/>
                <w:lang w:val="es-ES_tradnl" w:eastAsia="es-ES"/>
              </w:rPr>
            </w:pPr>
            <w:r w:rsidRPr="00A42C60">
              <w:rPr>
                <w:rFonts w:ascii="Arial" w:eastAsia="Arial" w:hAnsi="Arial" w:cs="Arial"/>
                <w:color w:val="000000"/>
                <w:sz w:val="16"/>
                <w:szCs w:val="16"/>
              </w:rPr>
              <w:t>Subdirectora de Gestión Contractual</w:t>
            </w:r>
          </w:p>
        </w:tc>
      </w:tr>
      <w:bookmarkEnd w:id="0"/>
      <w:bookmarkEnd w:id="1"/>
    </w:tbl>
    <w:p w14:paraId="575AF8D6" w14:textId="503E82EC" w:rsidR="003A07D9" w:rsidRPr="00A42C60" w:rsidRDefault="003A07D9" w:rsidP="003A07D9">
      <w:pPr>
        <w:tabs>
          <w:tab w:val="left" w:pos="3570"/>
        </w:tabs>
        <w:rPr>
          <w:rFonts w:ascii="Arial" w:hAnsi="Arial" w:cs="Arial"/>
          <w:lang w:val="es-ES_tradnl"/>
        </w:rPr>
      </w:pPr>
    </w:p>
    <w:sectPr w:rsidR="003A07D9" w:rsidRPr="00A42C60" w:rsidSect="00A42C60">
      <w:headerReference w:type="default" r:id="rId13"/>
      <w:footerReference w:type="even" r:id="rId14"/>
      <w:footerReference w:type="default" r:id="rId15"/>
      <w:pgSz w:w="12240" w:h="15840"/>
      <w:pgMar w:top="2041" w:right="1750" w:bottom="1418" w:left="1701" w:header="340" w:footer="22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9481E" w14:textId="77777777" w:rsidR="00711F81" w:rsidRDefault="00711F81">
      <w:r>
        <w:separator/>
      </w:r>
    </w:p>
  </w:endnote>
  <w:endnote w:type="continuationSeparator" w:id="0">
    <w:p w14:paraId="43CEC8BB" w14:textId="77777777" w:rsidR="00711F81" w:rsidRDefault="00711F81">
      <w:r>
        <w:continuationSeparator/>
      </w:r>
    </w:p>
  </w:endnote>
  <w:endnote w:type="continuationNotice" w:id="1">
    <w:p w14:paraId="2A2BDC93" w14:textId="77777777" w:rsidR="00711F81" w:rsidRDefault="00711F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7420" w14:textId="77777777" w:rsidR="000F3E85" w:rsidRDefault="000F3E85">
    <w:pPr>
      <w:pStyle w:val="Piedepgina"/>
    </w:pPr>
  </w:p>
  <w:p w14:paraId="7D637190" w14:textId="77777777" w:rsidR="00A61A89" w:rsidRDefault="00A61A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6A04" w14:textId="7C6D95CC" w:rsidR="00E2520A" w:rsidRPr="0020796E" w:rsidRDefault="0020796E" w:rsidP="0020796E">
    <w:pPr>
      <w:pStyle w:val="Piedepgina"/>
      <w:rPr>
        <w:rFonts w:ascii="Arial" w:hAnsi="Arial" w:cs="Arial"/>
        <w:color w:val="7F7F7F"/>
        <w:sz w:val="16"/>
        <w:szCs w:val="16"/>
      </w:rPr>
    </w:pPr>
    <w:r>
      <w:rPr>
        <w:noProof/>
      </w:rPr>
      <w:drawing>
        <wp:inline distT="0" distB="0" distL="0" distR="0" wp14:anchorId="4EE241A6" wp14:editId="327EECCF">
          <wp:extent cx="5553075" cy="866719"/>
          <wp:effectExtent l="0" t="0" r="0" b="0"/>
          <wp:docPr id="12" name="Imagen 12"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595787" cy="873385"/>
                  </a:xfrm>
                  <a:prstGeom prst="rect">
                    <a:avLst/>
                  </a:prstGeom>
                </pic:spPr>
              </pic:pic>
            </a:graphicData>
          </a:graphic>
        </wp:inline>
      </w:drawing>
    </w:r>
  </w:p>
  <w:tbl>
    <w:tblPr>
      <w:tblStyle w:val="Tablaconcuadrcula"/>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36"/>
      <w:gridCol w:w="844"/>
      <w:gridCol w:w="1653"/>
      <w:gridCol w:w="720"/>
      <w:gridCol w:w="2250"/>
      <w:gridCol w:w="1706"/>
    </w:tblGrid>
    <w:tr w:rsidR="0020796E" w:rsidRPr="00080DA3" w14:paraId="68BC7901" w14:textId="77777777" w:rsidTr="00A42C60">
      <w:trPr>
        <w:trHeight w:val="198"/>
        <w:jc w:val="center"/>
      </w:trPr>
      <w:tc>
        <w:tcPr>
          <w:tcW w:w="838"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708FF6F4"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36"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5E01DE96"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08C4F949"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653"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vAlign w:val="center"/>
        </w:tcPr>
        <w:p w14:paraId="079C225D" w14:textId="77777777" w:rsidR="0020796E" w:rsidRPr="004B6B0E" w:rsidRDefault="0020796E" w:rsidP="0020796E">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0BDF1025"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Fecha:</w:t>
          </w:r>
        </w:p>
      </w:tc>
      <w:tc>
        <w:tcPr>
          <w:tcW w:w="2250"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077B246D" w14:textId="77777777" w:rsidR="0020796E" w:rsidRPr="00080DA3" w:rsidRDefault="0020796E" w:rsidP="0020796E">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706" w:type="dxa"/>
          <w:tcBorders>
            <w:top w:val="dotted" w:sz="4" w:space="0" w:color="6D6D6D" w:themeColor="background1" w:themeShade="80"/>
            <w:left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1A3119EE" w14:textId="77777777" w:rsidR="0020796E" w:rsidRPr="00080DA3" w:rsidRDefault="0020796E" w:rsidP="00A42C60">
          <w:pPr>
            <w:pStyle w:val="Piedepgina"/>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01945" w14:textId="77777777" w:rsidR="00711F81" w:rsidRDefault="00711F81">
      <w:r>
        <w:separator/>
      </w:r>
    </w:p>
  </w:footnote>
  <w:footnote w:type="continuationSeparator" w:id="0">
    <w:p w14:paraId="1E09AE41" w14:textId="77777777" w:rsidR="00711F81" w:rsidRDefault="00711F81">
      <w:r>
        <w:continuationSeparator/>
      </w:r>
    </w:p>
  </w:footnote>
  <w:footnote w:type="continuationNotice" w:id="1">
    <w:p w14:paraId="56C48FBB" w14:textId="77777777" w:rsidR="00711F81" w:rsidRDefault="00711F81"/>
  </w:footnote>
  <w:footnote w:id="2">
    <w:p w14:paraId="37E3855F" w14:textId="245C9DAC" w:rsidR="00FF56A3" w:rsidRPr="00F14FFE" w:rsidRDefault="00FF56A3" w:rsidP="00FF56A3">
      <w:pPr>
        <w:pStyle w:val="Textonotapie"/>
        <w:ind w:firstLine="709"/>
        <w:jc w:val="both"/>
        <w:rPr>
          <w:rFonts w:ascii="Arial" w:hAnsi="Arial" w:cs="Arial"/>
          <w:color w:val="000000" w:themeColor="text1"/>
          <w:sz w:val="16"/>
          <w:szCs w:val="16"/>
          <w:lang w:val="es-CO"/>
        </w:rPr>
      </w:pPr>
      <w:r w:rsidRPr="00F14FFE">
        <w:rPr>
          <w:rStyle w:val="Refdenotaalpie"/>
          <w:rFonts w:ascii="Arial" w:hAnsi="Arial" w:cs="Arial"/>
          <w:sz w:val="16"/>
          <w:szCs w:val="16"/>
        </w:rPr>
        <w:footnoteRef/>
      </w:r>
      <w:r w:rsidRPr="00F14FFE">
        <w:rPr>
          <w:rFonts w:ascii="Arial" w:hAnsi="Arial" w:cs="Arial"/>
          <w:sz w:val="16"/>
          <w:szCs w:val="16"/>
        </w:rPr>
        <w:t xml:space="preserve"> </w:t>
      </w:r>
      <w:r w:rsidRPr="00F14FFE">
        <w:rPr>
          <w:rFonts w:ascii="Arial" w:hAnsi="Arial" w:cs="Arial"/>
          <w:color w:val="000000" w:themeColor="text1"/>
          <w:sz w:val="16"/>
          <w:szCs w:val="16"/>
        </w:rPr>
        <w:t>Est</w:t>
      </w:r>
      <w:r w:rsidR="00501285" w:rsidRPr="00F14FFE">
        <w:rPr>
          <w:rFonts w:ascii="Arial" w:hAnsi="Arial" w:cs="Arial"/>
          <w:color w:val="000000" w:themeColor="text1"/>
          <w:sz w:val="16"/>
          <w:szCs w:val="16"/>
        </w:rPr>
        <w:t>os</w:t>
      </w:r>
      <w:r w:rsidRPr="00F14FFE">
        <w:rPr>
          <w:rFonts w:ascii="Arial" w:hAnsi="Arial" w:cs="Arial"/>
          <w:color w:val="000000" w:themeColor="text1"/>
          <w:sz w:val="16"/>
          <w:szCs w:val="16"/>
        </w:rPr>
        <w:t xml:space="preserve"> concept</w:t>
      </w:r>
      <w:r w:rsidR="00501285" w:rsidRPr="00F14FFE">
        <w:rPr>
          <w:rFonts w:ascii="Arial" w:hAnsi="Arial" w:cs="Arial"/>
          <w:color w:val="000000" w:themeColor="text1"/>
          <w:sz w:val="16"/>
          <w:szCs w:val="16"/>
        </w:rPr>
        <w:t>os</w:t>
      </w:r>
      <w:r w:rsidRPr="00F14FFE">
        <w:rPr>
          <w:rFonts w:ascii="Arial" w:hAnsi="Arial" w:cs="Arial"/>
          <w:color w:val="000000" w:themeColor="text1"/>
          <w:sz w:val="16"/>
          <w:szCs w:val="16"/>
        </w:rPr>
        <w:t xml:space="preserve"> puede</w:t>
      </w:r>
      <w:r w:rsidR="00501285" w:rsidRPr="00F14FFE">
        <w:rPr>
          <w:rFonts w:ascii="Arial" w:hAnsi="Arial" w:cs="Arial"/>
          <w:color w:val="000000" w:themeColor="text1"/>
          <w:sz w:val="16"/>
          <w:szCs w:val="16"/>
        </w:rPr>
        <w:t>n</w:t>
      </w:r>
      <w:r w:rsidRPr="00F14FFE">
        <w:rPr>
          <w:rFonts w:ascii="Arial" w:hAnsi="Arial" w:cs="Arial"/>
          <w:color w:val="000000" w:themeColor="text1"/>
          <w:sz w:val="16"/>
          <w:szCs w:val="16"/>
        </w:rPr>
        <w:t xml:space="preserve"> ser consultado en la relatoría de la Agencia en el siguiente enlace: </w:t>
      </w:r>
      <w:hyperlink r:id="rId1" w:history="1">
        <w:r w:rsidRPr="00F14FFE">
          <w:rPr>
            <w:rFonts w:ascii="Arial" w:hAnsi="Arial" w:cs="Arial"/>
            <w:sz w:val="16"/>
            <w:szCs w:val="16"/>
          </w:rPr>
          <w:t>https://relatoria.colombiacompra.gov.co/busqueda/conceptos#</w:t>
        </w:r>
      </w:hyperlink>
      <w:r w:rsidRPr="00F14FFE">
        <w:rPr>
          <w:rFonts w:ascii="Arial" w:hAnsi="Arial" w:cs="Arial"/>
          <w:color w:val="000000" w:themeColor="text1"/>
          <w:sz w:val="16"/>
          <w:szCs w:val="16"/>
          <w:lang w:val="es-CO"/>
        </w:rPr>
        <w:t xml:space="preserve"> </w:t>
      </w:r>
    </w:p>
    <w:p w14:paraId="2057B5AF" w14:textId="77777777" w:rsidR="008E7AAA" w:rsidRPr="00F14FFE" w:rsidRDefault="008E7AAA" w:rsidP="00FF56A3">
      <w:pPr>
        <w:pStyle w:val="Textonotapie"/>
        <w:ind w:firstLine="709"/>
        <w:jc w:val="both"/>
        <w:rPr>
          <w:rFonts w:ascii="Arial" w:hAnsi="Arial" w:cs="Arial"/>
          <w:sz w:val="16"/>
          <w:szCs w:val="16"/>
          <w:lang w:val="es-CO"/>
        </w:rPr>
      </w:pPr>
    </w:p>
  </w:footnote>
  <w:footnote w:id="3">
    <w:p w14:paraId="5139A302" w14:textId="77777777" w:rsidR="006F3909" w:rsidRPr="00F14FFE" w:rsidRDefault="006F3909" w:rsidP="006F3909">
      <w:pPr>
        <w:pStyle w:val="Textonotapie"/>
        <w:ind w:firstLine="709"/>
        <w:jc w:val="both"/>
        <w:rPr>
          <w:rFonts w:ascii="Arial" w:hAnsi="Arial" w:cs="Arial"/>
          <w:color w:val="000000" w:themeColor="text1"/>
          <w:sz w:val="16"/>
          <w:szCs w:val="16"/>
        </w:rPr>
      </w:pPr>
      <w:r w:rsidRPr="00F14FFE">
        <w:rPr>
          <w:rStyle w:val="Refdenotaalpie"/>
          <w:rFonts w:ascii="Arial" w:hAnsi="Arial" w:cs="Arial"/>
          <w:sz w:val="16"/>
          <w:szCs w:val="16"/>
        </w:rPr>
        <w:footnoteRef/>
      </w:r>
      <w:r w:rsidRPr="00F14FFE">
        <w:rPr>
          <w:rFonts w:ascii="Arial" w:hAnsi="Arial" w:cs="Arial"/>
          <w:sz w:val="16"/>
          <w:szCs w:val="16"/>
        </w:rPr>
        <w:t xml:space="preserve"> </w:t>
      </w:r>
      <w:r w:rsidRPr="00F14FFE">
        <w:rPr>
          <w:rFonts w:ascii="Arial" w:hAnsi="Arial" w:cs="Arial"/>
          <w:sz w:val="16"/>
          <w:szCs w:val="16"/>
          <w:lang w:val="es-ES"/>
        </w:rPr>
        <w:t>«</w:t>
      </w:r>
      <w:r w:rsidRPr="00F14FFE">
        <w:rPr>
          <w:rFonts w:ascii="Arial" w:hAnsi="Arial" w:cs="Arial"/>
          <w:color w:val="000000" w:themeColor="text1"/>
          <w:sz w:val="16"/>
          <w:szCs w:val="16"/>
        </w:rPr>
        <w:t>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w14:paraId="2B2F61FD" w14:textId="77777777" w:rsidR="006F3909" w:rsidRPr="00F14FFE" w:rsidRDefault="006F3909" w:rsidP="006F3909">
      <w:pPr>
        <w:pStyle w:val="Textonotapie"/>
        <w:ind w:firstLine="709"/>
        <w:jc w:val="both"/>
        <w:rPr>
          <w:rFonts w:ascii="Arial" w:hAnsi="Arial" w:cs="Arial"/>
          <w:color w:val="000000" w:themeColor="text1"/>
          <w:sz w:val="16"/>
          <w:szCs w:val="16"/>
        </w:rPr>
      </w:pPr>
      <w:proofErr w:type="gramStart"/>
      <w:r w:rsidRPr="00F14FFE">
        <w:rPr>
          <w:rFonts w:ascii="Arial" w:hAnsi="Arial" w:cs="Arial"/>
          <w:color w:val="000000" w:themeColor="text1"/>
          <w:sz w:val="16"/>
          <w:szCs w:val="16"/>
        </w:rPr>
        <w:t>»Sin</w:t>
      </w:r>
      <w:proofErr w:type="gramEnd"/>
      <w:r w:rsidRPr="00F14FFE">
        <w:rPr>
          <w:rFonts w:ascii="Arial" w:hAnsi="Arial" w:cs="Arial"/>
          <w:color w:val="000000" w:themeColor="text1"/>
          <w:sz w:val="16"/>
          <w:szCs w:val="16"/>
        </w:rPr>
        <w:t xml:space="preserve"> embargo, en otros negocios, como la obra pública, la concesión y la consultoría, el Estado está acostumbrado a que se desglosen intensamente los costos, exigiendo no sólo el precio total sino una distinción entre los costos directos y los costos indirectos.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ítems que componen el contrato–. Los costos indirectos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El precio. Serie: Las cláusulas del contrato estatal. Medellín: Librería Jurídica Sánchez y Centro de Estudios de Derecho Administrativo –CEDA–, 2012. pp. 63-64).</w:t>
      </w:r>
    </w:p>
    <w:p w14:paraId="7835E9C9" w14:textId="77777777" w:rsidR="008E7AAA" w:rsidRPr="00F14FFE" w:rsidRDefault="008E7AAA" w:rsidP="006F3909">
      <w:pPr>
        <w:pStyle w:val="Textonotapie"/>
        <w:ind w:firstLine="709"/>
        <w:jc w:val="both"/>
        <w:rPr>
          <w:rFonts w:ascii="Arial" w:hAnsi="Arial" w:cs="Arial"/>
          <w:sz w:val="16"/>
          <w:szCs w:val="16"/>
          <w:lang w:val="es-ES"/>
        </w:rPr>
      </w:pPr>
    </w:p>
  </w:footnote>
  <w:footnote w:id="4">
    <w:p w14:paraId="53CEEDB7" w14:textId="77777777" w:rsidR="006F3909" w:rsidRPr="00F14FFE" w:rsidRDefault="006F3909" w:rsidP="006F3909">
      <w:pPr>
        <w:pStyle w:val="Textonotapie"/>
        <w:ind w:firstLine="709"/>
        <w:jc w:val="both"/>
        <w:rPr>
          <w:rFonts w:ascii="Arial" w:hAnsi="Arial" w:cs="Arial"/>
          <w:color w:val="000000" w:themeColor="text1"/>
          <w:sz w:val="16"/>
          <w:szCs w:val="16"/>
        </w:rPr>
      </w:pPr>
      <w:r w:rsidRPr="00F14FFE">
        <w:rPr>
          <w:rStyle w:val="Refdenotaalpie"/>
          <w:rFonts w:ascii="Arial" w:hAnsi="Arial" w:cs="Arial"/>
          <w:sz w:val="16"/>
          <w:szCs w:val="16"/>
        </w:rPr>
        <w:footnoteRef/>
      </w:r>
      <w:r w:rsidRPr="00F14FFE">
        <w:rPr>
          <w:rFonts w:ascii="Arial" w:hAnsi="Arial" w:cs="Arial"/>
          <w:sz w:val="16"/>
          <w:szCs w:val="16"/>
        </w:rPr>
        <w:t xml:space="preserve"> </w:t>
      </w:r>
      <w:r w:rsidRPr="00F14FFE">
        <w:rPr>
          <w:rFonts w:ascii="Arial" w:hAnsi="Arial" w:cs="Arial"/>
          <w:color w:val="000000" w:themeColor="text1"/>
          <w:sz w:val="16"/>
          <w:szCs w:val="16"/>
        </w:rPr>
        <w:t>Consejo de Estado. Sección Tercera. Subsección B. Sentencia del 14 de octubre de 2011. Exp. 20811, C.P. Ruth Stella Correa Palacio.</w:t>
      </w:r>
    </w:p>
    <w:p w14:paraId="44827845" w14:textId="77777777" w:rsidR="006F3909" w:rsidRPr="00F14FFE" w:rsidRDefault="006F3909" w:rsidP="006F3909">
      <w:pPr>
        <w:pStyle w:val="Textonotapie"/>
        <w:ind w:firstLine="709"/>
        <w:jc w:val="both"/>
        <w:rPr>
          <w:rFonts w:ascii="Arial" w:hAnsi="Arial" w:cs="Arial"/>
          <w:sz w:val="16"/>
          <w:szCs w:val="16"/>
          <w:lang w:val="es-ES"/>
        </w:rPr>
      </w:pPr>
    </w:p>
  </w:footnote>
  <w:footnote w:id="5">
    <w:p w14:paraId="502B1ABE" w14:textId="6689A149" w:rsidR="007F068B" w:rsidRPr="00F14FFE" w:rsidRDefault="001E67AB" w:rsidP="00A42C60">
      <w:pPr>
        <w:pStyle w:val="Textonotapie"/>
        <w:spacing w:after="60"/>
        <w:ind w:firstLine="709"/>
        <w:jc w:val="both"/>
        <w:rPr>
          <w:rFonts w:ascii="Arial" w:hAnsi="Arial" w:cs="Arial"/>
          <w:sz w:val="16"/>
          <w:szCs w:val="16"/>
        </w:rPr>
      </w:pPr>
      <w:r w:rsidRPr="00F14FFE">
        <w:rPr>
          <w:rStyle w:val="Refdenotaalpie"/>
          <w:rFonts w:ascii="Arial" w:hAnsi="Arial" w:cs="Arial"/>
          <w:sz w:val="16"/>
          <w:szCs w:val="16"/>
        </w:rPr>
        <w:footnoteRef/>
      </w:r>
      <w:r w:rsidRPr="00F14FFE">
        <w:rPr>
          <w:rFonts w:ascii="Arial" w:hAnsi="Arial" w:cs="Arial"/>
          <w:sz w:val="16"/>
          <w:szCs w:val="16"/>
        </w:rPr>
        <w:t xml:space="preserve"> Decreto ley 222</w:t>
      </w:r>
      <w:r w:rsidR="007F068B" w:rsidRPr="00F14FFE">
        <w:rPr>
          <w:rFonts w:ascii="Arial" w:hAnsi="Arial" w:cs="Arial"/>
          <w:sz w:val="16"/>
          <w:szCs w:val="16"/>
        </w:rPr>
        <w:t xml:space="preserve"> de 1983: «Artículo 58. De los contratos adicionales. Salvo lo dispuesto en el título IV, cuando haya necesidad de modificar el plazo o el valor convenido y no se tratare de la revisión de precios prevista en este estatuto, se suscribirá un contrato adicional que no podrá exceder la cifra resultante de sumar la mitad de la cuantía originalmente pactada más el valor de los reajustes que se hubieren efectuado a la fecha de acordarse la suscripción del contrato adicional. </w:t>
      </w:r>
    </w:p>
    <w:p w14:paraId="1AB08F67" w14:textId="0F05F9CA" w:rsidR="007F068B" w:rsidRPr="00F14FFE" w:rsidRDefault="007F068B" w:rsidP="00A42C60">
      <w:pPr>
        <w:pStyle w:val="Textonotapie"/>
        <w:spacing w:after="60"/>
        <w:ind w:firstLine="709"/>
        <w:jc w:val="both"/>
        <w:rPr>
          <w:rFonts w:ascii="Arial" w:hAnsi="Arial" w:cs="Arial"/>
          <w:sz w:val="16"/>
          <w:szCs w:val="16"/>
        </w:rPr>
      </w:pPr>
      <w:proofErr w:type="gramStart"/>
      <w:r w:rsidRPr="00F14FFE">
        <w:rPr>
          <w:rFonts w:ascii="Arial" w:hAnsi="Arial" w:cs="Arial"/>
          <w:sz w:val="16"/>
          <w:szCs w:val="16"/>
        </w:rPr>
        <w:t>»Las</w:t>
      </w:r>
      <w:proofErr w:type="gramEnd"/>
      <w:r w:rsidRPr="00F14FFE">
        <w:rPr>
          <w:rFonts w:ascii="Arial" w:hAnsi="Arial" w:cs="Arial"/>
          <w:sz w:val="16"/>
          <w:szCs w:val="16"/>
        </w:rPr>
        <w:t xml:space="preserve"> adiciones relacionadas con el valor quedarán perfeccionadas una vez suscrito el contrato y efectuado el registro presupuestal. Las relaciones con el plazo sólo requerirán firma del jefe de la entidad contratante y prórroga de las garantías. </w:t>
      </w:r>
    </w:p>
    <w:p w14:paraId="4B28D315" w14:textId="03DEEA30" w:rsidR="007F068B" w:rsidRPr="00F14FFE" w:rsidRDefault="007F068B" w:rsidP="00A42C60">
      <w:pPr>
        <w:pStyle w:val="Textonotapie"/>
        <w:spacing w:after="60"/>
        <w:ind w:firstLine="709"/>
        <w:jc w:val="both"/>
        <w:rPr>
          <w:rFonts w:ascii="Arial" w:hAnsi="Arial" w:cs="Arial"/>
          <w:sz w:val="16"/>
          <w:szCs w:val="16"/>
        </w:rPr>
      </w:pPr>
      <w:proofErr w:type="gramStart"/>
      <w:r w:rsidRPr="00F14FFE">
        <w:rPr>
          <w:rFonts w:ascii="Arial" w:hAnsi="Arial" w:cs="Arial"/>
          <w:sz w:val="16"/>
          <w:szCs w:val="16"/>
        </w:rPr>
        <w:t>»Serán</w:t>
      </w:r>
      <w:proofErr w:type="gramEnd"/>
      <w:r w:rsidRPr="00F14FFE">
        <w:rPr>
          <w:rFonts w:ascii="Arial" w:hAnsi="Arial" w:cs="Arial"/>
          <w:sz w:val="16"/>
          <w:szCs w:val="16"/>
        </w:rPr>
        <w:t xml:space="preserve"> requisitos para que pueda iniciarse la ejecución del contrato, la adición y prórroga de las garantías y el pago de los impuestos correspondientes. </w:t>
      </w:r>
    </w:p>
    <w:p w14:paraId="1FE97B19" w14:textId="6F3E71D6" w:rsidR="007F068B" w:rsidRPr="00F14FFE" w:rsidRDefault="007F068B" w:rsidP="00A42C60">
      <w:pPr>
        <w:pStyle w:val="Textonotapie"/>
        <w:spacing w:after="60"/>
        <w:ind w:firstLine="709"/>
        <w:jc w:val="both"/>
        <w:rPr>
          <w:rFonts w:ascii="Arial" w:hAnsi="Arial" w:cs="Arial"/>
          <w:sz w:val="16"/>
          <w:szCs w:val="16"/>
        </w:rPr>
      </w:pPr>
      <w:proofErr w:type="gramStart"/>
      <w:r w:rsidRPr="00F14FFE">
        <w:rPr>
          <w:rFonts w:ascii="Arial" w:hAnsi="Arial" w:cs="Arial"/>
          <w:sz w:val="16"/>
          <w:szCs w:val="16"/>
        </w:rPr>
        <w:t>»Los</w:t>
      </w:r>
      <w:proofErr w:type="gramEnd"/>
      <w:r w:rsidRPr="00F14FFE">
        <w:rPr>
          <w:rFonts w:ascii="Arial" w:hAnsi="Arial" w:cs="Arial"/>
          <w:sz w:val="16"/>
          <w:szCs w:val="16"/>
        </w:rPr>
        <w:t xml:space="preserve"> contratos de interventoría, administración delegada, y consultoría previstos en este estatuto, podrán adicionarse sin el límite fijado en el presente artículo. </w:t>
      </w:r>
    </w:p>
    <w:p w14:paraId="07DF6FB6" w14:textId="2FF01C68" w:rsidR="007F068B" w:rsidRPr="00F14FFE" w:rsidRDefault="007F068B" w:rsidP="00A42C60">
      <w:pPr>
        <w:pStyle w:val="Textonotapie"/>
        <w:spacing w:after="60"/>
        <w:ind w:firstLine="709"/>
        <w:jc w:val="both"/>
        <w:rPr>
          <w:rFonts w:ascii="Arial" w:hAnsi="Arial" w:cs="Arial"/>
          <w:sz w:val="16"/>
          <w:szCs w:val="16"/>
        </w:rPr>
      </w:pPr>
      <w:proofErr w:type="gramStart"/>
      <w:r w:rsidRPr="00F14FFE">
        <w:rPr>
          <w:rFonts w:ascii="Arial" w:hAnsi="Arial" w:cs="Arial"/>
          <w:sz w:val="16"/>
          <w:szCs w:val="16"/>
        </w:rPr>
        <w:t>»Las</w:t>
      </w:r>
      <w:proofErr w:type="gramEnd"/>
      <w:r w:rsidRPr="00F14FFE">
        <w:rPr>
          <w:rFonts w:ascii="Arial" w:hAnsi="Arial" w:cs="Arial"/>
          <w:sz w:val="16"/>
          <w:szCs w:val="16"/>
        </w:rPr>
        <w:t xml:space="preserve"> adiciones deberán publicarse en el Diario oficial. </w:t>
      </w:r>
    </w:p>
    <w:p w14:paraId="4E8E554C" w14:textId="60049C22" w:rsidR="007F068B" w:rsidRPr="00F14FFE" w:rsidRDefault="007F068B" w:rsidP="00A42C60">
      <w:pPr>
        <w:pStyle w:val="Textonotapie"/>
        <w:spacing w:after="60"/>
        <w:ind w:firstLine="709"/>
        <w:jc w:val="both"/>
        <w:rPr>
          <w:rFonts w:ascii="Arial" w:hAnsi="Arial" w:cs="Arial"/>
          <w:sz w:val="16"/>
          <w:szCs w:val="16"/>
        </w:rPr>
      </w:pPr>
      <w:proofErr w:type="gramStart"/>
      <w:r w:rsidRPr="00F14FFE">
        <w:rPr>
          <w:rFonts w:ascii="Arial" w:hAnsi="Arial" w:cs="Arial"/>
          <w:sz w:val="16"/>
          <w:szCs w:val="16"/>
        </w:rPr>
        <w:t>»En</w:t>
      </w:r>
      <w:proofErr w:type="gramEnd"/>
      <w:r w:rsidRPr="00F14FFE">
        <w:rPr>
          <w:rFonts w:ascii="Arial" w:hAnsi="Arial" w:cs="Arial"/>
          <w:sz w:val="16"/>
          <w:szCs w:val="16"/>
        </w:rPr>
        <w:t xml:space="preserve"> ningún caso podrá modificarse el objeto de los contratos, ni prorrogarse su plazo si estuviere vencido, so pretexto de la celebración de contratos adicionales, ni pactarse prórrogas automáticas. </w:t>
      </w:r>
    </w:p>
    <w:p w14:paraId="55CC9CBE" w14:textId="77777777" w:rsidR="007F068B" w:rsidRPr="00F14FFE" w:rsidRDefault="007F068B" w:rsidP="007F068B">
      <w:pPr>
        <w:pStyle w:val="Textonotapie"/>
        <w:ind w:firstLine="708"/>
        <w:jc w:val="both"/>
        <w:rPr>
          <w:rFonts w:ascii="Arial" w:hAnsi="Arial" w:cs="Arial"/>
          <w:sz w:val="16"/>
          <w:szCs w:val="16"/>
        </w:rPr>
      </w:pPr>
      <w:proofErr w:type="gramStart"/>
      <w:r w:rsidRPr="00F14FFE">
        <w:rPr>
          <w:rFonts w:ascii="Arial" w:hAnsi="Arial" w:cs="Arial"/>
          <w:sz w:val="16"/>
          <w:szCs w:val="16"/>
        </w:rPr>
        <w:t>»Parágrafo</w:t>
      </w:r>
      <w:proofErr w:type="gramEnd"/>
      <w:r w:rsidRPr="00F14FFE">
        <w:rPr>
          <w:rFonts w:ascii="Arial" w:hAnsi="Arial" w:cs="Arial"/>
          <w:sz w:val="16"/>
          <w:szCs w:val="16"/>
        </w:rPr>
        <w:t>. Los contratos de empréstito distintos a los créditos de proveedores, no se someterán a lo dispuesto en este artículo».</w:t>
      </w:r>
    </w:p>
    <w:p w14:paraId="5BE593B0" w14:textId="2A81EF78" w:rsidR="001E67AB" w:rsidRPr="00F14FFE" w:rsidRDefault="007F068B" w:rsidP="00A42C60">
      <w:pPr>
        <w:pStyle w:val="Textonotapie"/>
        <w:ind w:firstLine="708"/>
        <w:jc w:val="both"/>
        <w:rPr>
          <w:sz w:val="16"/>
          <w:szCs w:val="16"/>
        </w:rPr>
      </w:pPr>
      <w:r w:rsidRPr="00F14FFE">
        <w:rPr>
          <w:sz w:val="16"/>
          <w:szCs w:val="16"/>
        </w:rPr>
        <w:t xml:space="preserve"> </w:t>
      </w:r>
      <w:r w:rsidR="001E67AB" w:rsidRPr="00F14FFE">
        <w:rPr>
          <w:sz w:val="16"/>
          <w:szCs w:val="16"/>
        </w:rPr>
        <w:t xml:space="preserve"> </w:t>
      </w:r>
    </w:p>
  </w:footnote>
  <w:footnote w:id="6">
    <w:p w14:paraId="21C6BE16" w14:textId="6A075DD3" w:rsidR="00A6369A" w:rsidRPr="00F14FFE" w:rsidRDefault="00ED5C48" w:rsidP="00A42C60">
      <w:pPr>
        <w:pStyle w:val="Textonotapie"/>
        <w:ind w:firstLine="708"/>
        <w:jc w:val="both"/>
        <w:rPr>
          <w:rFonts w:ascii="Arial" w:hAnsi="Arial" w:cs="Arial"/>
          <w:sz w:val="16"/>
          <w:szCs w:val="16"/>
        </w:rPr>
      </w:pPr>
      <w:r w:rsidRPr="00F14FFE">
        <w:rPr>
          <w:rStyle w:val="Refdenotaalpie"/>
          <w:rFonts w:ascii="Arial" w:hAnsi="Arial" w:cs="Arial"/>
          <w:sz w:val="16"/>
          <w:szCs w:val="16"/>
        </w:rPr>
        <w:footnoteRef/>
      </w:r>
      <w:r w:rsidRPr="00F14FFE">
        <w:rPr>
          <w:rFonts w:ascii="Arial" w:hAnsi="Arial" w:cs="Arial"/>
          <w:sz w:val="16"/>
          <w:szCs w:val="16"/>
        </w:rPr>
        <w:t xml:space="preserve"> </w:t>
      </w:r>
      <w:r w:rsidR="005F30A1" w:rsidRPr="00F14FFE">
        <w:rPr>
          <w:rFonts w:ascii="Arial" w:hAnsi="Arial" w:cs="Arial"/>
          <w:sz w:val="16"/>
          <w:szCs w:val="16"/>
        </w:rPr>
        <w:t>La Sala de Consulta y Servicio Civil del Consejo de Estado ha explicado que</w:t>
      </w:r>
      <w:r w:rsidR="00CB1D6B" w:rsidRPr="00F14FFE">
        <w:rPr>
          <w:rFonts w:ascii="Arial" w:hAnsi="Arial" w:cs="Arial"/>
          <w:sz w:val="16"/>
          <w:szCs w:val="16"/>
        </w:rPr>
        <w:t xml:space="preserve">: «[…] son diferentes el contrato adicional y la adición de </w:t>
      </w:r>
      <w:r w:rsidR="00831AD6" w:rsidRPr="00F14FFE">
        <w:rPr>
          <w:rFonts w:ascii="Arial" w:hAnsi="Arial" w:cs="Arial"/>
          <w:sz w:val="16"/>
          <w:szCs w:val="16"/>
        </w:rPr>
        <w:t>contratos. Aquel es un nuevo contrato</w:t>
      </w:r>
      <w:r w:rsidR="00E50F9A" w:rsidRPr="00F14FFE">
        <w:rPr>
          <w:rFonts w:ascii="Arial" w:hAnsi="Arial" w:cs="Arial"/>
          <w:sz w:val="16"/>
          <w:szCs w:val="16"/>
        </w:rPr>
        <w:t xml:space="preserve">, mientras esta es una modificación de un contrato en ejecución. </w:t>
      </w:r>
      <w:r w:rsidR="00224D01" w:rsidRPr="00F14FFE">
        <w:rPr>
          <w:rFonts w:ascii="Arial" w:hAnsi="Arial" w:cs="Arial"/>
          <w:sz w:val="16"/>
          <w:szCs w:val="16"/>
        </w:rPr>
        <w:t>La Ley 80 de 1993 abandonó el concepto de contrato adicional e introdujo el de «</w:t>
      </w:r>
      <w:r w:rsidR="00A6369A" w:rsidRPr="00F14FFE">
        <w:rPr>
          <w:rFonts w:ascii="Arial" w:hAnsi="Arial" w:cs="Arial"/>
          <w:sz w:val="16"/>
          <w:szCs w:val="16"/>
        </w:rPr>
        <w:t>adición de los contratos», sin especificar</w:t>
      </w:r>
      <w:r w:rsidR="00333D20" w:rsidRPr="00F14FFE">
        <w:rPr>
          <w:rFonts w:ascii="Arial" w:hAnsi="Arial" w:cs="Arial"/>
          <w:sz w:val="16"/>
          <w:szCs w:val="16"/>
        </w:rPr>
        <w:t xml:space="preserve"> los elementos sobre los cuales puede hacerse la adición, mantuvo sí un limite</w:t>
      </w:r>
      <w:r w:rsidR="00DC7D4B" w:rsidRPr="00F14FFE">
        <w:rPr>
          <w:rFonts w:ascii="Arial" w:hAnsi="Arial" w:cs="Arial"/>
          <w:sz w:val="16"/>
          <w:szCs w:val="16"/>
        </w:rPr>
        <w:t>: no más del cincuenta por ciento (50%) de su valor inicial</w:t>
      </w:r>
      <w:r w:rsidR="001A5028" w:rsidRPr="00F14FFE">
        <w:rPr>
          <w:rFonts w:ascii="Arial" w:hAnsi="Arial" w:cs="Arial"/>
          <w:sz w:val="16"/>
          <w:szCs w:val="16"/>
        </w:rPr>
        <w:t>, expresado este en salarios mínimos legales mensuales</w:t>
      </w:r>
      <w:r w:rsidR="0077227E" w:rsidRPr="00F14FFE">
        <w:rPr>
          <w:rFonts w:ascii="Arial" w:hAnsi="Arial" w:cs="Arial"/>
          <w:sz w:val="16"/>
          <w:szCs w:val="16"/>
        </w:rPr>
        <w:t xml:space="preserve"> […]</w:t>
      </w:r>
      <w:r w:rsidR="001A5028" w:rsidRPr="00F14FFE">
        <w:rPr>
          <w:rFonts w:ascii="Arial" w:hAnsi="Arial" w:cs="Arial"/>
          <w:sz w:val="16"/>
          <w:szCs w:val="16"/>
        </w:rPr>
        <w:t>»</w:t>
      </w:r>
      <w:r w:rsidR="0077227E" w:rsidRPr="00F14FFE">
        <w:rPr>
          <w:rFonts w:ascii="Arial" w:hAnsi="Arial" w:cs="Arial"/>
          <w:sz w:val="16"/>
          <w:szCs w:val="16"/>
        </w:rPr>
        <w:t xml:space="preserve">.  </w:t>
      </w:r>
      <w:r w:rsidR="00FD5A41" w:rsidRPr="00F14FFE">
        <w:rPr>
          <w:rFonts w:ascii="Arial" w:hAnsi="Arial" w:cs="Arial"/>
          <w:sz w:val="16"/>
          <w:szCs w:val="16"/>
        </w:rPr>
        <w:t xml:space="preserve">Concepto 1128 del 26 de agosto de 1998, C.P. César Hoyos Salazar. </w:t>
      </w:r>
    </w:p>
    <w:p w14:paraId="301C7818" w14:textId="50DF4E2C" w:rsidR="00ED5C48" w:rsidRPr="00F14FFE" w:rsidRDefault="00CB1D6B" w:rsidP="00A42C60">
      <w:pPr>
        <w:pStyle w:val="Textonotapie"/>
        <w:ind w:firstLine="708"/>
        <w:rPr>
          <w:sz w:val="16"/>
          <w:szCs w:val="16"/>
        </w:rPr>
      </w:pPr>
      <w:r w:rsidRPr="00F14FFE">
        <w:rPr>
          <w:sz w:val="16"/>
          <w:szCs w:val="16"/>
        </w:rPr>
        <w:t xml:space="preserve"> </w:t>
      </w:r>
      <w:r w:rsidR="00ED5C48" w:rsidRPr="00F14FFE">
        <w:rPr>
          <w:sz w:val="16"/>
          <w:szCs w:val="16"/>
        </w:rPr>
        <w:t xml:space="preserve"> </w:t>
      </w:r>
    </w:p>
  </w:footnote>
  <w:footnote w:id="7">
    <w:p w14:paraId="5C4CD365" w14:textId="77777777" w:rsidR="006F3909" w:rsidRPr="00F14FFE" w:rsidRDefault="006F3909" w:rsidP="006F3909">
      <w:pPr>
        <w:pStyle w:val="Textonotapie"/>
        <w:ind w:firstLine="708"/>
        <w:jc w:val="both"/>
        <w:rPr>
          <w:rFonts w:ascii="Arial" w:hAnsi="Arial" w:cs="Arial"/>
          <w:color w:val="000000" w:themeColor="text1"/>
          <w:sz w:val="16"/>
          <w:szCs w:val="16"/>
          <w:lang w:val="es-CO"/>
        </w:rPr>
      </w:pPr>
      <w:r w:rsidRPr="00F14FFE">
        <w:rPr>
          <w:rStyle w:val="Refdenotaalpie"/>
          <w:rFonts w:ascii="Arial" w:hAnsi="Arial" w:cs="Arial"/>
          <w:color w:val="000000" w:themeColor="text1"/>
          <w:sz w:val="16"/>
          <w:szCs w:val="16"/>
        </w:rPr>
        <w:footnoteRef/>
      </w:r>
      <w:r w:rsidRPr="00F14FFE">
        <w:rPr>
          <w:rFonts w:ascii="Arial" w:hAnsi="Arial" w:cs="Arial"/>
          <w:color w:val="000000" w:themeColor="text1"/>
          <w:sz w:val="16"/>
          <w:szCs w:val="16"/>
        </w:rPr>
        <w:t xml:space="preserve"> Lo anterior, sin perjuicio de lo prescrito por la Ley 1474 de 2011, que en su artículo 85, en relación con los contratos de interventoría, excepciona la aplicación de la restricción analizada, de manera que podrán adicionarse sin importar su monto: «Artículo 85. Continuidad de la interventoría. Los contratos de interventoría podrán prorrogarse por el mismo plazo que se haya prorrogado el contrato objeto de vigilancia. En tal caso el valor podrá ajustarse en atención a las obligaciones del objeto de interventoría, sin que resulte aplicable lo dispuesto en el parágrafo del artículo 40 de la Ley 80 de 1993».</w:t>
      </w:r>
    </w:p>
  </w:footnote>
  <w:footnote w:id="8">
    <w:p w14:paraId="3F886BC9" w14:textId="77777777" w:rsidR="0083037E" w:rsidRPr="00F14FFE" w:rsidRDefault="0083037E" w:rsidP="0083037E">
      <w:pPr>
        <w:pStyle w:val="Textonotapie"/>
        <w:ind w:firstLine="708"/>
        <w:jc w:val="both"/>
        <w:rPr>
          <w:rFonts w:ascii="Arial" w:hAnsi="Arial" w:cs="Arial"/>
          <w:color w:val="000000" w:themeColor="text1"/>
          <w:sz w:val="16"/>
          <w:szCs w:val="16"/>
        </w:rPr>
      </w:pPr>
      <w:r w:rsidRPr="00F14FFE">
        <w:rPr>
          <w:rStyle w:val="Refdenotaalpie"/>
          <w:rFonts w:ascii="Arial" w:hAnsi="Arial" w:cs="Arial"/>
          <w:color w:val="000000" w:themeColor="text1"/>
          <w:sz w:val="16"/>
          <w:szCs w:val="16"/>
        </w:rPr>
        <w:footnoteRef/>
      </w:r>
      <w:r w:rsidRPr="00F14FFE">
        <w:rPr>
          <w:rFonts w:ascii="Arial" w:hAnsi="Arial" w:cs="Arial"/>
          <w:color w:val="000000" w:themeColor="text1"/>
          <w:sz w:val="16"/>
          <w:szCs w:val="16"/>
        </w:rPr>
        <w:t xml:space="preserve"> Consejo de Estado. Sala de Consulta y Servicio Civil. Concepto del 18 de julio de 2002. Exp. 1.439 C.P. Susana Montes Echeverri.</w:t>
      </w:r>
    </w:p>
  </w:footnote>
  <w:footnote w:id="9">
    <w:p w14:paraId="6F9BE15F" w14:textId="013B479A" w:rsidR="0083037E" w:rsidRPr="00F14FFE" w:rsidRDefault="0083037E" w:rsidP="0083037E">
      <w:pPr>
        <w:pStyle w:val="Textonotapie"/>
        <w:ind w:firstLine="708"/>
        <w:jc w:val="both"/>
        <w:rPr>
          <w:rFonts w:ascii="Arial" w:hAnsi="Arial" w:cs="Arial"/>
          <w:color w:val="000000" w:themeColor="text1"/>
          <w:sz w:val="16"/>
          <w:szCs w:val="16"/>
        </w:rPr>
      </w:pPr>
      <w:r w:rsidRPr="00F14FFE">
        <w:rPr>
          <w:rStyle w:val="Refdenotaalpie"/>
          <w:rFonts w:ascii="Arial" w:hAnsi="Arial" w:cs="Arial"/>
          <w:color w:val="000000" w:themeColor="text1"/>
          <w:sz w:val="16"/>
          <w:szCs w:val="16"/>
        </w:rPr>
        <w:footnoteRef/>
      </w:r>
      <w:r w:rsidRPr="00F14FFE">
        <w:rPr>
          <w:rFonts w:ascii="Arial" w:hAnsi="Arial" w:cs="Arial"/>
          <w:color w:val="000000" w:themeColor="text1"/>
          <w:sz w:val="16"/>
          <w:szCs w:val="16"/>
        </w:rPr>
        <w:t xml:space="preserve"> Ibíd.</w:t>
      </w:r>
      <w:r w:rsidR="00E451BA" w:rsidRPr="00F14FFE">
        <w:rPr>
          <w:rFonts w:ascii="Arial" w:hAnsi="Arial" w:cs="Arial"/>
          <w:color w:val="000000" w:themeColor="text1"/>
          <w:sz w:val="16"/>
          <w:szCs w:val="16"/>
        </w:rPr>
        <w:t xml:space="preserve"> </w:t>
      </w:r>
    </w:p>
    <w:p w14:paraId="4A21F42B" w14:textId="77777777" w:rsidR="0083037E" w:rsidRPr="00F14FFE" w:rsidRDefault="0083037E" w:rsidP="0083037E">
      <w:pPr>
        <w:pStyle w:val="Textonotapie"/>
        <w:ind w:firstLine="708"/>
        <w:jc w:val="both"/>
        <w:rPr>
          <w:rFonts w:ascii="Arial" w:hAnsi="Arial" w:cs="Arial"/>
          <w:color w:val="000000" w:themeColor="text1"/>
          <w:sz w:val="16"/>
          <w:szCs w:val="16"/>
          <w:lang w:val="es-CO"/>
        </w:rPr>
      </w:pPr>
    </w:p>
  </w:footnote>
  <w:footnote w:id="10">
    <w:p w14:paraId="220EFC85" w14:textId="3143BBD4" w:rsidR="0083037E" w:rsidRPr="00F14FFE" w:rsidRDefault="0083037E" w:rsidP="00F31F88">
      <w:pPr>
        <w:pStyle w:val="Textonotapie"/>
        <w:ind w:firstLine="708"/>
        <w:jc w:val="both"/>
        <w:rPr>
          <w:rFonts w:ascii="Arial" w:hAnsi="Arial" w:cs="Arial"/>
          <w:color w:val="000000" w:themeColor="text1"/>
          <w:sz w:val="16"/>
          <w:szCs w:val="16"/>
        </w:rPr>
      </w:pPr>
      <w:r w:rsidRPr="00F14FFE">
        <w:rPr>
          <w:rStyle w:val="Refdenotaalpie"/>
          <w:rFonts w:ascii="Arial" w:hAnsi="Arial" w:cs="Arial"/>
          <w:color w:val="000000" w:themeColor="text1"/>
          <w:sz w:val="16"/>
          <w:szCs w:val="16"/>
        </w:rPr>
        <w:footnoteRef/>
      </w:r>
      <w:r w:rsidRPr="00F14FFE">
        <w:rPr>
          <w:rFonts w:ascii="Arial" w:hAnsi="Arial" w:cs="Arial"/>
          <w:color w:val="000000" w:themeColor="text1"/>
          <w:sz w:val="16"/>
          <w:szCs w:val="16"/>
        </w:rPr>
        <w:t xml:space="preserve"> DÁVILA VINUEZA, Luis Guillermo. Régimen jurídico de la contratación estatal. Tercera edición, Bogotá: Legis, 2016, p. 635 y 636.</w:t>
      </w:r>
    </w:p>
  </w:footnote>
  <w:footnote w:id="11">
    <w:p w14:paraId="33FA4F10" w14:textId="77777777" w:rsidR="0083037E" w:rsidRPr="00F14FFE" w:rsidRDefault="0083037E" w:rsidP="0083037E">
      <w:pPr>
        <w:pStyle w:val="Textonotapie"/>
        <w:ind w:firstLine="708"/>
        <w:jc w:val="both"/>
        <w:rPr>
          <w:rFonts w:ascii="Arial" w:hAnsi="Arial" w:cs="Arial"/>
          <w:color w:val="000000" w:themeColor="text1"/>
          <w:sz w:val="16"/>
          <w:szCs w:val="16"/>
        </w:rPr>
      </w:pPr>
      <w:r w:rsidRPr="00F14FFE">
        <w:rPr>
          <w:rStyle w:val="Refdenotaalpie"/>
          <w:rFonts w:ascii="Arial" w:hAnsi="Arial" w:cs="Arial"/>
          <w:color w:val="000000" w:themeColor="text1"/>
          <w:sz w:val="16"/>
          <w:szCs w:val="16"/>
        </w:rPr>
        <w:footnoteRef/>
      </w:r>
      <w:r w:rsidRPr="00F14FFE">
        <w:rPr>
          <w:rFonts w:ascii="Arial" w:hAnsi="Arial" w:cs="Arial"/>
          <w:color w:val="000000" w:themeColor="text1"/>
          <w:sz w:val="16"/>
          <w:szCs w:val="16"/>
        </w:rPr>
        <w:t xml:space="preserve"> Ibíd. p. 592</w:t>
      </w:r>
    </w:p>
    <w:p w14:paraId="24B7DD00" w14:textId="77777777" w:rsidR="0083037E" w:rsidRPr="00F14FFE" w:rsidRDefault="0083037E" w:rsidP="0083037E">
      <w:pPr>
        <w:pStyle w:val="Textonotapie"/>
        <w:ind w:firstLine="708"/>
        <w:jc w:val="both"/>
        <w:rPr>
          <w:rFonts w:ascii="Arial" w:hAnsi="Arial" w:cs="Arial"/>
          <w:color w:val="000000" w:themeColor="text1"/>
          <w:sz w:val="16"/>
          <w:szCs w:val="16"/>
        </w:rPr>
      </w:pPr>
    </w:p>
  </w:footnote>
  <w:footnote w:id="12">
    <w:p w14:paraId="0EF0399F" w14:textId="4EFA565F" w:rsidR="00C115A3" w:rsidRPr="00F14FFE" w:rsidRDefault="00C115A3" w:rsidP="00C115A3">
      <w:pPr>
        <w:pStyle w:val="Textonotapie"/>
        <w:ind w:firstLine="709"/>
        <w:rPr>
          <w:rFonts w:ascii="Arial" w:hAnsi="Arial" w:cs="Arial"/>
          <w:color w:val="000000" w:themeColor="text1"/>
          <w:sz w:val="16"/>
          <w:szCs w:val="16"/>
        </w:rPr>
      </w:pPr>
      <w:r w:rsidRPr="00F14FFE">
        <w:rPr>
          <w:rStyle w:val="Refdenotaalpie"/>
          <w:sz w:val="16"/>
          <w:szCs w:val="16"/>
        </w:rPr>
        <w:footnoteRef/>
      </w:r>
      <w:r w:rsidRPr="00F14FFE">
        <w:rPr>
          <w:sz w:val="16"/>
          <w:szCs w:val="16"/>
        </w:rPr>
        <w:t xml:space="preserve"> </w:t>
      </w:r>
      <w:r w:rsidRPr="00F14FFE">
        <w:rPr>
          <w:rFonts w:ascii="Arial" w:hAnsi="Arial" w:cs="Arial"/>
          <w:color w:val="000000" w:themeColor="text1"/>
          <w:sz w:val="16"/>
          <w:szCs w:val="16"/>
        </w:rPr>
        <w:t>Cfr. Consejo de Estado. Sección Tercera. Sentencia del 22 de abril de 2004. Exp. 22.178 y en la Sentencia de la misma Sección del 15 de julio de 2004. Exp. AP-1164-02</w:t>
      </w:r>
    </w:p>
    <w:p w14:paraId="74D04FA1" w14:textId="77777777" w:rsidR="00C115A3" w:rsidRPr="00F14FFE" w:rsidRDefault="00C115A3" w:rsidP="00C115A3">
      <w:pPr>
        <w:pStyle w:val="Textonotapie"/>
        <w:ind w:firstLine="709"/>
        <w:rPr>
          <w:sz w:val="16"/>
          <w:szCs w:val="16"/>
          <w:lang w:val="es-CO"/>
        </w:rPr>
      </w:pPr>
    </w:p>
  </w:footnote>
  <w:footnote w:id="13">
    <w:p w14:paraId="3CA607B7" w14:textId="19289AEB" w:rsidR="0083037E" w:rsidRPr="00F14FFE" w:rsidRDefault="0083037E" w:rsidP="0080066A">
      <w:pPr>
        <w:pStyle w:val="Textonotapie"/>
        <w:ind w:firstLine="708"/>
        <w:jc w:val="both"/>
        <w:rPr>
          <w:rFonts w:ascii="Arial" w:hAnsi="Arial" w:cs="Arial"/>
          <w:color w:val="000000" w:themeColor="text1"/>
          <w:sz w:val="16"/>
          <w:szCs w:val="16"/>
        </w:rPr>
      </w:pPr>
      <w:r w:rsidRPr="00F14FFE">
        <w:rPr>
          <w:rStyle w:val="Refdenotaalpie"/>
          <w:rFonts w:ascii="Arial" w:hAnsi="Arial" w:cs="Arial"/>
          <w:color w:val="000000" w:themeColor="text1"/>
          <w:sz w:val="16"/>
          <w:szCs w:val="16"/>
        </w:rPr>
        <w:footnoteRef/>
      </w:r>
      <w:r w:rsidR="0080066A" w:rsidRPr="00F14FFE">
        <w:rPr>
          <w:rFonts w:ascii="Arial" w:hAnsi="Arial" w:cs="Arial"/>
          <w:color w:val="000000" w:themeColor="text1"/>
          <w:sz w:val="16"/>
          <w:szCs w:val="16"/>
        </w:rPr>
        <w:t>Concepto del 6 de julio de 2018</w:t>
      </w:r>
      <w:r w:rsidR="00CE0E9B" w:rsidRPr="00F14FFE">
        <w:rPr>
          <w:rFonts w:ascii="Arial" w:hAnsi="Arial" w:cs="Arial"/>
          <w:color w:val="000000" w:themeColor="text1"/>
          <w:sz w:val="16"/>
          <w:szCs w:val="16"/>
        </w:rPr>
        <w:t xml:space="preserve">. </w:t>
      </w:r>
      <w:r w:rsidR="0080066A" w:rsidRPr="00F14FFE">
        <w:rPr>
          <w:rFonts w:ascii="Arial" w:hAnsi="Arial" w:cs="Arial"/>
          <w:color w:val="000000" w:themeColor="text1"/>
          <w:sz w:val="16"/>
          <w:szCs w:val="16"/>
        </w:rPr>
        <w:t>Radicación Nro. 23</w:t>
      </w:r>
      <w:r w:rsidR="00E80527" w:rsidRPr="00F14FFE">
        <w:rPr>
          <w:rFonts w:ascii="Arial" w:hAnsi="Arial" w:cs="Arial"/>
          <w:color w:val="000000" w:themeColor="text1"/>
          <w:sz w:val="16"/>
          <w:szCs w:val="16"/>
        </w:rPr>
        <w:t>6</w:t>
      </w:r>
      <w:r w:rsidR="0080066A" w:rsidRPr="00F14FFE">
        <w:rPr>
          <w:rFonts w:ascii="Arial" w:hAnsi="Arial" w:cs="Arial"/>
          <w:color w:val="000000" w:themeColor="text1"/>
          <w:sz w:val="16"/>
          <w:szCs w:val="16"/>
        </w:rPr>
        <w:t xml:space="preserve">9. C.P.: Osar Darío Amaya Navas. </w:t>
      </w:r>
    </w:p>
    <w:p w14:paraId="45CBFB0B" w14:textId="77777777" w:rsidR="00AD54D1" w:rsidRPr="00F14FFE" w:rsidRDefault="00AD54D1" w:rsidP="0080066A">
      <w:pPr>
        <w:pStyle w:val="Textonotapie"/>
        <w:ind w:firstLine="708"/>
        <w:jc w:val="both"/>
        <w:rPr>
          <w:rFonts w:ascii="Arial" w:hAnsi="Arial" w:cs="Arial"/>
          <w:color w:val="000000" w:themeColor="text1"/>
          <w:sz w:val="16"/>
          <w:szCs w:val="16"/>
        </w:rPr>
      </w:pPr>
    </w:p>
  </w:footnote>
  <w:footnote w:id="14">
    <w:p w14:paraId="4882D298" w14:textId="3DCB43E1" w:rsidR="0083037E" w:rsidRPr="00F14FFE" w:rsidRDefault="0083037E" w:rsidP="0083037E">
      <w:pPr>
        <w:pStyle w:val="Textonotapie"/>
        <w:ind w:firstLine="708"/>
        <w:jc w:val="both"/>
        <w:rPr>
          <w:rFonts w:ascii="Arial" w:hAnsi="Arial" w:cs="Arial"/>
          <w:color w:val="000000" w:themeColor="text1"/>
          <w:sz w:val="16"/>
          <w:szCs w:val="16"/>
        </w:rPr>
      </w:pPr>
      <w:r w:rsidRPr="00F14FFE">
        <w:rPr>
          <w:rStyle w:val="Refdenotaalpie"/>
          <w:rFonts w:ascii="Arial" w:hAnsi="Arial" w:cs="Arial"/>
          <w:color w:val="000000" w:themeColor="text1"/>
          <w:sz w:val="16"/>
          <w:szCs w:val="16"/>
        </w:rPr>
        <w:footnoteRef/>
      </w:r>
      <w:r w:rsidRPr="00F14FFE">
        <w:rPr>
          <w:rFonts w:ascii="Arial" w:hAnsi="Arial" w:cs="Arial"/>
          <w:color w:val="000000" w:themeColor="text1"/>
          <w:sz w:val="16"/>
          <w:szCs w:val="16"/>
        </w:rPr>
        <w:t xml:space="preserve"> MARÍN CORTÉS. Fabián G. El precio. Serie: Las Cláusulas del Contrato Estatal. Medellín: Centro de Estudios de Derecho Administrativo </w:t>
      </w:r>
      <w:r w:rsidRPr="00F14FFE">
        <w:rPr>
          <w:rFonts w:ascii="Arial" w:hAnsi="Arial" w:cs="Arial" w:hint="eastAsia"/>
          <w:color w:val="000000" w:themeColor="text1"/>
          <w:sz w:val="16"/>
          <w:szCs w:val="16"/>
        </w:rPr>
        <w:t>―</w:t>
      </w:r>
      <w:r w:rsidRPr="00F14FFE">
        <w:rPr>
          <w:rFonts w:ascii="Arial" w:hAnsi="Arial" w:cs="Arial"/>
          <w:color w:val="000000" w:themeColor="text1"/>
          <w:sz w:val="16"/>
          <w:szCs w:val="16"/>
        </w:rPr>
        <w:t xml:space="preserve"> CEDA y Librería Jurídica Sánchez, 2012. p. 220 y 221.</w:t>
      </w:r>
    </w:p>
    <w:p w14:paraId="0DACEC29" w14:textId="77777777" w:rsidR="00FC1ED2" w:rsidRPr="00F14FFE" w:rsidRDefault="00FC1ED2" w:rsidP="0083037E">
      <w:pPr>
        <w:pStyle w:val="Textonotapie"/>
        <w:ind w:firstLine="708"/>
        <w:jc w:val="both"/>
        <w:rPr>
          <w:rFonts w:ascii="Arial" w:hAnsi="Arial" w:cs="Arial"/>
          <w:color w:val="000000" w:themeColor="text1"/>
          <w:sz w:val="16"/>
          <w:szCs w:val="16"/>
          <w:lang w:val="es-CO"/>
        </w:rPr>
      </w:pPr>
    </w:p>
  </w:footnote>
  <w:footnote w:id="15">
    <w:p w14:paraId="748E4583" w14:textId="5B2FB7EF" w:rsidR="00E04658" w:rsidRPr="00F14FFE" w:rsidRDefault="00E04658" w:rsidP="0046775B">
      <w:pPr>
        <w:pStyle w:val="Textonotapie"/>
        <w:ind w:firstLine="709"/>
        <w:rPr>
          <w:rFonts w:ascii="Arial" w:hAnsi="Arial" w:cs="Arial"/>
          <w:sz w:val="16"/>
          <w:szCs w:val="16"/>
          <w:lang w:val="es-CO"/>
        </w:rPr>
      </w:pPr>
      <w:r w:rsidRPr="00F14FFE">
        <w:rPr>
          <w:rStyle w:val="Refdenotaalpie"/>
          <w:rFonts w:ascii="Arial" w:hAnsi="Arial" w:cs="Arial"/>
          <w:sz w:val="16"/>
          <w:szCs w:val="16"/>
        </w:rPr>
        <w:footnoteRef/>
      </w:r>
      <w:r w:rsidRPr="00F14FFE">
        <w:rPr>
          <w:rFonts w:ascii="Arial" w:hAnsi="Arial" w:cs="Arial"/>
          <w:sz w:val="16"/>
          <w:szCs w:val="16"/>
        </w:rPr>
        <w:t xml:space="preserve"> </w:t>
      </w:r>
      <w:r w:rsidR="0046775B" w:rsidRPr="00F14FFE">
        <w:rPr>
          <w:rFonts w:ascii="Arial" w:hAnsi="Arial" w:cs="Arial"/>
          <w:color w:val="000000" w:themeColor="text1"/>
          <w:sz w:val="16"/>
          <w:szCs w:val="16"/>
        </w:rPr>
        <w:t>BENAVIDES, José Luis. Contratos Públicos: Estudios. Primera edición. Bogotá: Universidad Externado de Colombia, 2014. p. 386</w:t>
      </w:r>
    </w:p>
  </w:footnote>
  <w:footnote w:id="16">
    <w:p w14:paraId="5DD5E643" w14:textId="0F7BBA7C" w:rsidR="0083037E" w:rsidRPr="00F14FFE" w:rsidRDefault="0083037E" w:rsidP="0083037E">
      <w:pPr>
        <w:pStyle w:val="Textonotapie"/>
        <w:ind w:firstLine="708"/>
        <w:jc w:val="both"/>
        <w:rPr>
          <w:rFonts w:ascii="Arial" w:hAnsi="Arial" w:cs="Arial"/>
          <w:color w:val="000000" w:themeColor="text1"/>
          <w:sz w:val="16"/>
          <w:szCs w:val="16"/>
          <w:lang w:val="es-CO"/>
        </w:rPr>
      </w:pPr>
      <w:r w:rsidRPr="00F14FFE">
        <w:rPr>
          <w:rStyle w:val="Refdenotaalpie"/>
          <w:rFonts w:ascii="Arial" w:hAnsi="Arial" w:cs="Arial"/>
          <w:color w:val="000000" w:themeColor="text1"/>
          <w:sz w:val="16"/>
          <w:szCs w:val="16"/>
        </w:rPr>
        <w:footnoteRef/>
      </w:r>
      <w:r w:rsidRPr="00F14FFE">
        <w:rPr>
          <w:rFonts w:ascii="Arial" w:hAnsi="Arial" w:cs="Arial"/>
          <w:color w:val="000000" w:themeColor="text1"/>
          <w:sz w:val="16"/>
          <w:szCs w:val="16"/>
        </w:rPr>
        <w:t xml:space="preserve"> Consejo de Estado. Sección Tercera. Sentencia del 14 de abril de 2010. Exp. 36.054. </w:t>
      </w:r>
      <w:r w:rsidR="00BB2CAA" w:rsidRPr="00F14FFE">
        <w:rPr>
          <w:rFonts w:ascii="Arial" w:hAnsi="Arial" w:cs="Arial"/>
          <w:color w:val="000000" w:themeColor="text1"/>
          <w:sz w:val="16"/>
          <w:szCs w:val="16"/>
        </w:rPr>
        <w:t xml:space="preserve">C.P.: </w:t>
      </w:r>
      <w:r w:rsidRPr="00F14FFE">
        <w:rPr>
          <w:rFonts w:ascii="Arial" w:hAnsi="Arial" w:cs="Arial"/>
          <w:color w:val="000000" w:themeColor="text1"/>
          <w:sz w:val="16"/>
          <w:szCs w:val="16"/>
        </w:rPr>
        <w:t>Enrique Gil Botero.</w:t>
      </w:r>
    </w:p>
  </w:footnote>
  <w:footnote w:id="17">
    <w:p w14:paraId="790DBE9F" w14:textId="555E937A" w:rsidR="0017199E" w:rsidRPr="00F14FFE" w:rsidRDefault="0017199E" w:rsidP="0017199E">
      <w:pPr>
        <w:pStyle w:val="Textonotapie"/>
        <w:ind w:firstLine="709"/>
        <w:rPr>
          <w:rFonts w:ascii="Arial" w:hAnsi="Arial" w:cs="Arial"/>
          <w:color w:val="000000" w:themeColor="text1"/>
          <w:sz w:val="16"/>
          <w:szCs w:val="16"/>
        </w:rPr>
      </w:pPr>
      <w:r w:rsidRPr="00F14FFE">
        <w:rPr>
          <w:rStyle w:val="Refdenotaalpie"/>
          <w:rFonts w:ascii="Arial" w:hAnsi="Arial" w:cs="Arial"/>
          <w:sz w:val="16"/>
          <w:szCs w:val="16"/>
        </w:rPr>
        <w:footnoteRef/>
      </w:r>
      <w:r w:rsidRPr="00F14FFE">
        <w:rPr>
          <w:rFonts w:ascii="Arial" w:hAnsi="Arial" w:cs="Arial"/>
          <w:sz w:val="16"/>
          <w:szCs w:val="16"/>
        </w:rPr>
        <w:t xml:space="preserve"> </w:t>
      </w:r>
      <w:r w:rsidRPr="00F14FFE">
        <w:rPr>
          <w:rFonts w:ascii="Arial" w:hAnsi="Arial" w:cs="Arial"/>
          <w:color w:val="000000" w:themeColor="text1"/>
          <w:sz w:val="16"/>
          <w:szCs w:val="16"/>
        </w:rPr>
        <w:t xml:space="preserve">Consejo de Estado. Sección Tercera. Sentencia del </w:t>
      </w:r>
      <w:r w:rsidR="00BB2CAA" w:rsidRPr="00F14FFE">
        <w:rPr>
          <w:rFonts w:ascii="Arial" w:hAnsi="Arial" w:cs="Arial"/>
          <w:color w:val="000000" w:themeColor="text1"/>
          <w:sz w:val="16"/>
          <w:szCs w:val="16"/>
        </w:rPr>
        <w:t>20</w:t>
      </w:r>
      <w:r w:rsidRPr="00F14FFE">
        <w:rPr>
          <w:rFonts w:ascii="Arial" w:hAnsi="Arial" w:cs="Arial"/>
          <w:color w:val="000000" w:themeColor="text1"/>
          <w:sz w:val="16"/>
          <w:szCs w:val="16"/>
        </w:rPr>
        <w:t xml:space="preserve"> de </w:t>
      </w:r>
      <w:r w:rsidR="00BB2CAA" w:rsidRPr="00F14FFE">
        <w:rPr>
          <w:rFonts w:ascii="Arial" w:hAnsi="Arial" w:cs="Arial"/>
          <w:color w:val="000000" w:themeColor="text1"/>
          <w:sz w:val="16"/>
          <w:szCs w:val="16"/>
        </w:rPr>
        <w:t>noviembre</w:t>
      </w:r>
      <w:r w:rsidRPr="00F14FFE">
        <w:rPr>
          <w:rFonts w:ascii="Arial" w:hAnsi="Arial" w:cs="Arial"/>
          <w:color w:val="000000" w:themeColor="text1"/>
          <w:sz w:val="16"/>
          <w:szCs w:val="16"/>
        </w:rPr>
        <w:t xml:space="preserve"> de 20</w:t>
      </w:r>
      <w:r w:rsidR="00BB2CAA" w:rsidRPr="00F14FFE">
        <w:rPr>
          <w:rFonts w:ascii="Arial" w:hAnsi="Arial" w:cs="Arial"/>
          <w:color w:val="000000" w:themeColor="text1"/>
          <w:sz w:val="16"/>
          <w:szCs w:val="16"/>
        </w:rPr>
        <w:t>08</w:t>
      </w:r>
      <w:r w:rsidRPr="00F14FFE">
        <w:rPr>
          <w:rFonts w:ascii="Arial" w:hAnsi="Arial" w:cs="Arial"/>
          <w:color w:val="000000" w:themeColor="text1"/>
          <w:sz w:val="16"/>
          <w:szCs w:val="16"/>
        </w:rPr>
        <w:t xml:space="preserve">. Exp. </w:t>
      </w:r>
      <w:r w:rsidR="00BB2CAA" w:rsidRPr="00F14FFE">
        <w:rPr>
          <w:rFonts w:ascii="Arial" w:hAnsi="Arial" w:cs="Arial"/>
          <w:color w:val="000000" w:themeColor="text1"/>
          <w:sz w:val="16"/>
          <w:szCs w:val="16"/>
        </w:rPr>
        <w:t>17.031</w:t>
      </w:r>
      <w:r w:rsidRPr="00F14FFE">
        <w:rPr>
          <w:rFonts w:ascii="Arial" w:hAnsi="Arial" w:cs="Arial"/>
          <w:color w:val="000000" w:themeColor="text1"/>
          <w:sz w:val="16"/>
          <w:szCs w:val="16"/>
        </w:rPr>
        <w:t xml:space="preserve">. </w:t>
      </w:r>
      <w:proofErr w:type="gramStart"/>
      <w:r w:rsidR="00BB2CAA" w:rsidRPr="00F14FFE">
        <w:rPr>
          <w:rFonts w:ascii="Arial" w:hAnsi="Arial" w:cs="Arial"/>
          <w:color w:val="000000" w:themeColor="text1"/>
          <w:sz w:val="16"/>
          <w:szCs w:val="16"/>
        </w:rPr>
        <w:t>C.P:,</w:t>
      </w:r>
      <w:proofErr w:type="gramEnd"/>
      <w:r w:rsidR="00BB2CAA" w:rsidRPr="00F14FFE">
        <w:rPr>
          <w:rFonts w:ascii="Arial" w:hAnsi="Arial" w:cs="Arial"/>
          <w:color w:val="000000" w:themeColor="text1"/>
          <w:sz w:val="16"/>
          <w:szCs w:val="16"/>
        </w:rPr>
        <w:t xml:space="preserve"> Ruth Stella Correa Palacio. </w:t>
      </w:r>
      <w:r w:rsidR="00604FBF" w:rsidRPr="00F14FFE">
        <w:rPr>
          <w:rFonts w:ascii="Arial" w:hAnsi="Arial" w:cs="Arial"/>
          <w:color w:val="000000" w:themeColor="text1"/>
          <w:sz w:val="16"/>
          <w:szCs w:val="16"/>
        </w:rPr>
        <w:t xml:space="preserve">Ver también: Consejo de Estado, Sección Tercera, sentencia 18 de septiembre de 2003, </w:t>
      </w:r>
      <w:r w:rsidR="004B424F" w:rsidRPr="00F14FFE">
        <w:rPr>
          <w:rFonts w:ascii="Arial" w:hAnsi="Arial" w:cs="Arial"/>
          <w:color w:val="000000" w:themeColor="text1"/>
          <w:sz w:val="16"/>
          <w:szCs w:val="16"/>
        </w:rPr>
        <w:t>E</w:t>
      </w:r>
      <w:r w:rsidR="00604FBF" w:rsidRPr="00F14FFE">
        <w:rPr>
          <w:rFonts w:ascii="Arial" w:hAnsi="Arial" w:cs="Arial"/>
          <w:color w:val="000000" w:themeColor="text1"/>
          <w:sz w:val="16"/>
          <w:szCs w:val="16"/>
        </w:rPr>
        <w:t>xp. 15.119, C.P. Ramiro Saavedra Becerra.</w:t>
      </w:r>
    </w:p>
    <w:p w14:paraId="36DB0955" w14:textId="77777777" w:rsidR="00E514C9" w:rsidRPr="00F14FFE" w:rsidRDefault="00E514C9" w:rsidP="0017199E">
      <w:pPr>
        <w:pStyle w:val="Textonotapie"/>
        <w:ind w:firstLine="709"/>
        <w:rPr>
          <w:rFonts w:ascii="Arial" w:hAnsi="Arial" w:cs="Arial"/>
          <w:sz w:val="16"/>
          <w:szCs w:val="16"/>
          <w:lang w:val="es-CO"/>
        </w:rPr>
      </w:pPr>
    </w:p>
  </w:footnote>
  <w:footnote w:id="18">
    <w:p w14:paraId="4F78D462" w14:textId="45474431" w:rsidR="002E7732" w:rsidRPr="00F14FFE" w:rsidRDefault="002E7732" w:rsidP="004B424F">
      <w:pPr>
        <w:pStyle w:val="Textonotapie"/>
        <w:ind w:firstLine="709"/>
        <w:jc w:val="both"/>
        <w:rPr>
          <w:rFonts w:ascii="Arial" w:hAnsi="Arial" w:cs="Arial"/>
          <w:sz w:val="16"/>
          <w:szCs w:val="16"/>
          <w:lang w:val="es-CO"/>
        </w:rPr>
      </w:pPr>
      <w:r w:rsidRPr="00F14FFE">
        <w:rPr>
          <w:rStyle w:val="Refdenotaalpie"/>
          <w:rFonts w:ascii="Arial" w:hAnsi="Arial" w:cs="Arial"/>
          <w:sz w:val="16"/>
          <w:szCs w:val="16"/>
        </w:rPr>
        <w:footnoteRef/>
      </w:r>
      <w:r w:rsidRPr="00F14FFE">
        <w:rPr>
          <w:rFonts w:ascii="Arial" w:hAnsi="Arial" w:cs="Arial"/>
          <w:sz w:val="16"/>
          <w:szCs w:val="16"/>
        </w:rPr>
        <w:t xml:space="preserve"> </w:t>
      </w:r>
      <w:r w:rsidRPr="00F14FFE">
        <w:rPr>
          <w:rFonts w:ascii="Arial" w:hAnsi="Arial" w:cs="Arial"/>
          <w:color w:val="000000" w:themeColor="text1"/>
          <w:sz w:val="16"/>
          <w:szCs w:val="16"/>
        </w:rPr>
        <w:t>Consejo de Estado. Sección tercera. Sentencia del 9 de julio de 2021. Radicación Nro. 52045.C.P.; Alberto Montaña Plata. Aclaración de voto: Alexander Jojoa Bolaños.</w:t>
      </w:r>
    </w:p>
  </w:footnote>
  <w:footnote w:id="19">
    <w:p w14:paraId="7EA44305" w14:textId="7B271033" w:rsidR="00140314" w:rsidRPr="00F14FFE" w:rsidRDefault="00140314" w:rsidP="004B424F">
      <w:pPr>
        <w:pStyle w:val="Textonotapie"/>
        <w:ind w:firstLine="709"/>
        <w:jc w:val="both"/>
        <w:rPr>
          <w:rFonts w:ascii="Arial" w:hAnsi="Arial" w:cs="Arial"/>
          <w:sz w:val="16"/>
          <w:szCs w:val="16"/>
          <w:lang w:val="es-CO"/>
        </w:rPr>
      </w:pPr>
      <w:r w:rsidRPr="00F14FFE">
        <w:rPr>
          <w:rStyle w:val="Refdenotaalpie"/>
          <w:rFonts w:ascii="Arial" w:hAnsi="Arial" w:cs="Arial"/>
          <w:sz w:val="16"/>
          <w:szCs w:val="16"/>
        </w:rPr>
        <w:footnoteRef/>
      </w:r>
      <w:r w:rsidRPr="00F14FFE">
        <w:rPr>
          <w:rFonts w:ascii="Arial" w:hAnsi="Arial" w:cs="Arial"/>
          <w:sz w:val="16"/>
          <w:szCs w:val="16"/>
        </w:rPr>
        <w:t xml:space="preserve"> </w:t>
      </w:r>
      <w:r w:rsidRPr="00F14FFE">
        <w:rPr>
          <w:rFonts w:ascii="Arial" w:hAnsi="Arial" w:cs="Arial"/>
          <w:color w:val="000000" w:themeColor="text1"/>
          <w:sz w:val="16"/>
          <w:szCs w:val="16"/>
        </w:rPr>
        <w:t>BENAVIDES, José Luis. Contratos Públicos: Estudios. Primera edición. Bogotá: Universidad Externado de Colombia, 2014. p. 386</w:t>
      </w:r>
    </w:p>
  </w:footnote>
  <w:footnote w:id="20">
    <w:p w14:paraId="340C06AD" w14:textId="77777777" w:rsidR="003A053B" w:rsidRPr="00F14FFE" w:rsidRDefault="003A053B" w:rsidP="003A053B">
      <w:pPr>
        <w:pStyle w:val="Textonotapie"/>
        <w:ind w:firstLine="708"/>
        <w:jc w:val="both"/>
        <w:rPr>
          <w:rFonts w:ascii="Arial" w:hAnsi="Arial" w:cs="Arial"/>
          <w:sz w:val="16"/>
          <w:szCs w:val="16"/>
          <w:lang w:val="es-CO"/>
        </w:rPr>
      </w:pPr>
      <w:r w:rsidRPr="00F14FFE">
        <w:rPr>
          <w:rStyle w:val="Refdenotaalpie"/>
          <w:rFonts w:ascii="Arial" w:hAnsi="Arial" w:cs="Arial"/>
          <w:sz w:val="16"/>
          <w:szCs w:val="16"/>
        </w:rPr>
        <w:footnoteRef/>
      </w:r>
      <w:r w:rsidRPr="00F14FFE">
        <w:rPr>
          <w:rFonts w:ascii="Arial" w:hAnsi="Arial" w:cs="Arial"/>
          <w:sz w:val="16"/>
          <w:szCs w:val="16"/>
        </w:rPr>
        <w:t xml:space="preserve"> </w:t>
      </w:r>
      <w:r w:rsidRPr="00F14FFE">
        <w:rPr>
          <w:rFonts w:ascii="Arial" w:hAnsi="Arial" w:cs="Arial"/>
          <w:color w:val="000000" w:themeColor="text1"/>
          <w:sz w:val="16"/>
          <w:szCs w:val="16"/>
        </w:rPr>
        <w:t>El artículo 40 de la Ley 80 de 1993 dispone que los contratos no podrán adicionarse en más del 50% de su valor inicial, expresado en SMLMV.</w:t>
      </w:r>
    </w:p>
    <w:p w14:paraId="4C68FC2E" w14:textId="77777777" w:rsidR="003A053B" w:rsidRPr="00F14FFE" w:rsidRDefault="003A053B" w:rsidP="003A053B">
      <w:pPr>
        <w:pStyle w:val="Textonotapie"/>
        <w:ind w:firstLine="708"/>
        <w:jc w:val="both"/>
        <w:rPr>
          <w:rFonts w:ascii="Arial" w:hAnsi="Arial" w:cs="Arial"/>
          <w:sz w:val="16"/>
          <w:szCs w:val="16"/>
          <w:lang w:val="es-CO"/>
        </w:rPr>
      </w:pPr>
    </w:p>
  </w:footnote>
  <w:footnote w:id="21">
    <w:p w14:paraId="729F48AD" w14:textId="77777777" w:rsidR="003A053B" w:rsidRPr="00F14FFE" w:rsidRDefault="003A053B" w:rsidP="003A053B">
      <w:pPr>
        <w:pStyle w:val="Textonotapie"/>
        <w:ind w:firstLine="708"/>
        <w:jc w:val="both"/>
        <w:rPr>
          <w:rFonts w:ascii="Arial" w:hAnsi="Arial" w:cs="Arial"/>
          <w:color w:val="000000" w:themeColor="text1"/>
          <w:sz w:val="16"/>
          <w:szCs w:val="16"/>
        </w:rPr>
      </w:pPr>
      <w:r w:rsidRPr="00F14FFE">
        <w:rPr>
          <w:rStyle w:val="Refdenotaalpie"/>
          <w:rFonts w:ascii="Arial" w:hAnsi="Arial" w:cs="Arial"/>
          <w:sz w:val="16"/>
          <w:szCs w:val="16"/>
        </w:rPr>
        <w:footnoteRef/>
      </w:r>
      <w:r w:rsidRPr="00F14FFE">
        <w:rPr>
          <w:rFonts w:ascii="Arial" w:hAnsi="Arial" w:cs="Arial"/>
          <w:sz w:val="16"/>
          <w:szCs w:val="16"/>
        </w:rPr>
        <w:t xml:space="preserve"> </w:t>
      </w:r>
      <w:r w:rsidRPr="00F14FFE">
        <w:rPr>
          <w:rFonts w:ascii="Arial" w:hAnsi="Arial" w:cs="Arial"/>
          <w:color w:val="000000" w:themeColor="text1"/>
          <w:sz w:val="16"/>
          <w:szCs w:val="16"/>
        </w:rPr>
        <w:t xml:space="preserve">Sobre la naturaleza instrumental del contrato para alcanzar los fines propios del estado social de derecho, ver la sentencia C-932 de </w:t>
      </w:r>
      <w:smartTag w:uri="urn:schemas-microsoft-com:office:smarttags" w:element="metricconverter">
        <w:smartTagPr>
          <w:attr w:name="ProductID" w:val="2007, M"/>
        </w:smartTagPr>
        <w:r w:rsidRPr="00F14FFE">
          <w:rPr>
            <w:rFonts w:ascii="Arial" w:hAnsi="Arial" w:cs="Arial"/>
            <w:color w:val="000000" w:themeColor="text1"/>
            <w:sz w:val="16"/>
            <w:szCs w:val="16"/>
          </w:rPr>
          <w:t>2007, M</w:t>
        </w:r>
      </w:smartTag>
      <w:r w:rsidRPr="00F14FFE">
        <w:rPr>
          <w:rFonts w:ascii="Arial" w:hAnsi="Arial" w:cs="Arial"/>
          <w:color w:val="000000" w:themeColor="text1"/>
          <w:sz w:val="16"/>
          <w:szCs w:val="16"/>
        </w:rPr>
        <w:t>.P. Marco Gerardo Monroy Cabra.</w:t>
      </w:r>
    </w:p>
    <w:p w14:paraId="63B3F820" w14:textId="77777777" w:rsidR="003A053B" w:rsidRPr="00F14FFE" w:rsidRDefault="003A053B" w:rsidP="003A053B">
      <w:pPr>
        <w:pStyle w:val="Textonotapie"/>
        <w:ind w:firstLine="708"/>
        <w:jc w:val="both"/>
        <w:rPr>
          <w:rFonts w:ascii="Arial" w:hAnsi="Arial" w:cs="Arial"/>
          <w:sz w:val="16"/>
          <w:szCs w:val="16"/>
        </w:rPr>
      </w:pPr>
    </w:p>
  </w:footnote>
  <w:footnote w:id="22">
    <w:p w14:paraId="0A42D765" w14:textId="77777777" w:rsidR="003A053B" w:rsidRPr="00F14FFE" w:rsidRDefault="003A053B" w:rsidP="003A053B">
      <w:pPr>
        <w:pStyle w:val="Textonotapie"/>
        <w:ind w:firstLine="708"/>
        <w:jc w:val="both"/>
        <w:rPr>
          <w:rFonts w:ascii="Arial" w:hAnsi="Arial" w:cs="Arial"/>
          <w:sz w:val="16"/>
          <w:szCs w:val="16"/>
        </w:rPr>
      </w:pPr>
      <w:r w:rsidRPr="00F14FFE">
        <w:rPr>
          <w:rStyle w:val="Refdenotaalpie"/>
          <w:rFonts w:ascii="Arial" w:hAnsi="Arial" w:cs="Arial"/>
          <w:sz w:val="16"/>
          <w:szCs w:val="16"/>
        </w:rPr>
        <w:footnoteRef/>
      </w:r>
      <w:r w:rsidRPr="00F14FFE">
        <w:rPr>
          <w:rFonts w:ascii="Arial" w:hAnsi="Arial" w:cs="Arial"/>
          <w:sz w:val="16"/>
          <w:szCs w:val="16"/>
        </w:rPr>
        <w:t xml:space="preserve"> M.P. Clara Inés Vargas Hernández.</w:t>
      </w:r>
    </w:p>
    <w:p w14:paraId="414DE328" w14:textId="77777777" w:rsidR="003A053B" w:rsidRPr="00F14FFE" w:rsidRDefault="003A053B" w:rsidP="003A053B">
      <w:pPr>
        <w:pStyle w:val="Textonotapie"/>
        <w:ind w:firstLine="708"/>
        <w:jc w:val="both"/>
        <w:rPr>
          <w:rFonts w:ascii="Arial" w:hAnsi="Arial" w:cs="Arial"/>
          <w:sz w:val="16"/>
          <w:szCs w:val="16"/>
        </w:rPr>
      </w:pPr>
    </w:p>
  </w:footnote>
  <w:footnote w:id="23">
    <w:p w14:paraId="6410487A" w14:textId="77777777" w:rsidR="003A053B" w:rsidRPr="00F14FFE" w:rsidRDefault="003A053B" w:rsidP="003A053B">
      <w:pPr>
        <w:pStyle w:val="Textonotapie"/>
        <w:ind w:firstLine="708"/>
        <w:jc w:val="both"/>
        <w:rPr>
          <w:rFonts w:ascii="Arial" w:hAnsi="Arial" w:cs="Arial"/>
          <w:sz w:val="16"/>
          <w:szCs w:val="16"/>
        </w:rPr>
      </w:pPr>
      <w:r w:rsidRPr="00F14FFE">
        <w:rPr>
          <w:rStyle w:val="Refdenotaalpie"/>
          <w:rFonts w:ascii="Arial" w:hAnsi="Arial" w:cs="Arial"/>
          <w:sz w:val="16"/>
          <w:szCs w:val="16"/>
        </w:rPr>
        <w:footnoteRef/>
      </w:r>
      <w:r w:rsidRPr="00F14FFE">
        <w:rPr>
          <w:rFonts w:ascii="Arial" w:hAnsi="Arial" w:cs="Arial"/>
          <w:sz w:val="16"/>
          <w:szCs w:val="16"/>
        </w:rPr>
        <w:t xml:space="preserve"> </w:t>
      </w:r>
      <w:r w:rsidRPr="00F14FFE">
        <w:rPr>
          <w:rFonts w:ascii="Arial" w:hAnsi="Arial" w:cs="Arial"/>
          <w:color w:val="000000" w:themeColor="text1"/>
          <w:sz w:val="16"/>
          <w:szCs w:val="16"/>
        </w:rPr>
        <w:t xml:space="preserve">Ver también la sentencia C-068 de </w:t>
      </w:r>
      <w:smartTag w:uri="urn:schemas-microsoft-com:office:smarttags" w:element="metricconverter">
        <w:smartTagPr>
          <w:attr w:name="ProductID" w:val="2009, M"/>
        </w:smartTagPr>
        <w:r w:rsidRPr="00F14FFE">
          <w:rPr>
            <w:rFonts w:ascii="Arial" w:hAnsi="Arial" w:cs="Arial"/>
            <w:color w:val="000000" w:themeColor="text1"/>
            <w:sz w:val="16"/>
            <w:szCs w:val="16"/>
          </w:rPr>
          <w:t>2009, M</w:t>
        </w:r>
      </w:smartTag>
      <w:r w:rsidRPr="00F14FFE">
        <w:rPr>
          <w:rFonts w:ascii="Arial" w:hAnsi="Arial" w:cs="Arial"/>
          <w:color w:val="000000" w:themeColor="text1"/>
          <w:sz w:val="16"/>
          <w:szCs w:val="16"/>
        </w:rPr>
        <w:t xml:space="preserve">.P. Mauricio González Cuervo, sobre la constitucional de la posibilidad de prorrogar los contratos de concesión portuaria (artículo </w:t>
      </w:r>
      <w:proofErr w:type="gramStart"/>
      <w:r w:rsidRPr="00F14FFE">
        <w:rPr>
          <w:rFonts w:ascii="Arial" w:hAnsi="Arial" w:cs="Arial"/>
          <w:color w:val="000000" w:themeColor="text1"/>
          <w:sz w:val="16"/>
          <w:szCs w:val="16"/>
        </w:rPr>
        <w:t>8º  de</w:t>
      </w:r>
      <w:proofErr w:type="gramEnd"/>
      <w:r w:rsidRPr="00F14FFE">
        <w:rPr>
          <w:rFonts w:ascii="Arial" w:hAnsi="Arial" w:cs="Arial"/>
          <w:color w:val="000000" w:themeColor="text1"/>
          <w:sz w:val="16"/>
          <w:szCs w:val="16"/>
        </w:rPr>
        <w:t xml:space="preserve"> la ley 1º de 1991).</w:t>
      </w:r>
    </w:p>
  </w:footnote>
  <w:footnote w:id="24">
    <w:p w14:paraId="5FB94D14" w14:textId="77777777" w:rsidR="003A053B" w:rsidRPr="00F14FFE" w:rsidRDefault="003A053B" w:rsidP="003A053B">
      <w:pPr>
        <w:pStyle w:val="Textonotapie"/>
        <w:ind w:firstLine="708"/>
        <w:jc w:val="both"/>
        <w:rPr>
          <w:rFonts w:ascii="Arial" w:hAnsi="Arial" w:cs="Arial"/>
          <w:sz w:val="16"/>
          <w:szCs w:val="16"/>
        </w:rPr>
      </w:pPr>
      <w:r w:rsidRPr="00F14FFE">
        <w:rPr>
          <w:rStyle w:val="Refdenotaalpie"/>
          <w:rFonts w:ascii="Arial" w:hAnsi="Arial" w:cs="Arial"/>
          <w:sz w:val="16"/>
          <w:szCs w:val="16"/>
        </w:rPr>
        <w:footnoteRef/>
      </w:r>
      <w:r w:rsidRPr="00F14FFE">
        <w:rPr>
          <w:rFonts w:ascii="Arial" w:hAnsi="Arial" w:cs="Arial"/>
          <w:sz w:val="16"/>
          <w:szCs w:val="16"/>
        </w:rPr>
        <w:t xml:space="preserve"> </w:t>
      </w:r>
      <w:r w:rsidRPr="00F14FFE">
        <w:rPr>
          <w:rFonts w:ascii="Arial" w:hAnsi="Arial" w:cs="Arial"/>
          <w:color w:val="000000" w:themeColor="text1"/>
          <w:sz w:val="16"/>
          <w:szCs w:val="16"/>
        </w:rPr>
        <w:t xml:space="preserve">Cfr. Consejo de Estado, Sala de Consulta y Servicio Civil, concepto del 13 de agosto de 2009, rad. </w:t>
      </w:r>
      <w:smartTag w:uri="urn:schemas-microsoft-com:office:smarttags" w:element="metricconverter">
        <w:smartTagPr>
          <w:attr w:name="ProductID" w:val="1.952, C"/>
        </w:smartTagPr>
        <w:r w:rsidRPr="00F14FFE">
          <w:rPr>
            <w:rFonts w:ascii="Arial" w:hAnsi="Arial" w:cs="Arial"/>
            <w:color w:val="000000" w:themeColor="text1"/>
            <w:sz w:val="16"/>
            <w:szCs w:val="16"/>
          </w:rPr>
          <w:t>1.952, C</w:t>
        </w:r>
      </w:smartTag>
      <w:r w:rsidRPr="00F14FFE">
        <w:rPr>
          <w:rFonts w:ascii="Arial" w:hAnsi="Arial" w:cs="Arial"/>
          <w:color w:val="000000" w:themeColor="text1"/>
          <w:sz w:val="16"/>
          <w:szCs w:val="16"/>
        </w:rPr>
        <w:t>.P. Enrique José Arboleda Perdomo. En este concepto la Sala de Consulta se ocupó, entre otras preguntas, de la siguiente formulada por el Ministerio de Transporte: «1. ¿Bajo el supuesto que en un contrato de concesión existan razones de conveniencia que permitan una mejora del objeto contratado y una mejor prestación del servicio público encomendado a la entidad estatal contratante, es posible, por fuera de lo dispuesto en el artículo 16 de la Ley 80 de 1993 y en caso de que las partes hubieran pactado una modificación de común acuerdo desde la licitación, acudir a tal previsión y modificar el contrato, teniendo en cuenta, además, que con la modificación se busca un efectivo cumplimiento de los fines estatales y una eficiente prestación de los servicios públicos?».</w:t>
      </w:r>
    </w:p>
  </w:footnote>
  <w:footnote w:id="25">
    <w:p w14:paraId="62CEF385" w14:textId="77777777" w:rsidR="003A053B" w:rsidRPr="00F14FFE" w:rsidRDefault="003A053B" w:rsidP="003A053B">
      <w:pPr>
        <w:pStyle w:val="Textonotapie"/>
        <w:ind w:firstLine="708"/>
        <w:jc w:val="both"/>
        <w:rPr>
          <w:rFonts w:ascii="Arial" w:hAnsi="Arial" w:cs="Arial"/>
          <w:bCs/>
          <w:iCs/>
          <w:sz w:val="16"/>
          <w:szCs w:val="16"/>
          <w:lang w:val="es-ES_tradnl"/>
        </w:rPr>
      </w:pPr>
      <w:r w:rsidRPr="00F14FFE">
        <w:rPr>
          <w:rStyle w:val="Refdenotaalpie"/>
          <w:rFonts w:ascii="Arial" w:hAnsi="Arial" w:cs="Arial"/>
          <w:sz w:val="16"/>
          <w:szCs w:val="16"/>
        </w:rPr>
        <w:footnoteRef/>
      </w:r>
      <w:r w:rsidRPr="00F14FFE">
        <w:rPr>
          <w:rFonts w:ascii="Arial" w:hAnsi="Arial" w:cs="Arial"/>
          <w:sz w:val="16"/>
          <w:szCs w:val="16"/>
        </w:rPr>
        <w:t xml:space="preserve"> </w:t>
      </w:r>
      <w:r w:rsidRPr="00F14FFE">
        <w:rPr>
          <w:rFonts w:ascii="Arial" w:hAnsi="Arial" w:cs="Arial"/>
          <w:color w:val="000000" w:themeColor="text1"/>
          <w:sz w:val="16"/>
          <w:szCs w:val="16"/>
        </w:rPr>
        <w:t>Los acuerdos de voluntades que no cumplan con esta formalidad se consideran inexistentes, por lo tanto, tal como lo ha planteado el Consejo de Estado en el Concepto 2263 del 17 de marzo del 2017,  «las eventuales reclamaciones contractuales que pueda presentar un particular sobre prestaciones realizadas, sin la previa modificación del mismo, están llamadas al fracaso, pues la Administración no puede reconocer situaciones de hecho u obligaciones dinerarias con cargo a un contrato que estipula obligaciones distintas».</w:t>
      </w:r>
    </w:p>
    <w:p w14:paraId="38612DCD" w14:textId="77777777" w:rsidR="003A053B" w:rsidRPr="00F14FFE" w:rsidRDefault="003A053B" w:rsidP="003A053B">
      <w:pPr>
        <w:pStyle w:val="Textonotapie"/>
        <w:ind w:firstLine="708"/>
        <w:jc w:val="both"/>
        <w:rPr>
          <w:rFonts w:ascii="Arial" w:hAnsi="Arial" w:cs="Arial"/>
          <w:sz w:val="16"/>
          <w:szCs w:val="16"/>
          <w:lang w:val="es-CO"/>
        </w:rPr>
      </w:pPr>
    </w:p>
  </w:footnote>
  <w:footnote w:id="26">
    <w:p w14:paraId="0326EE50" w14:textId="77777777" w:rsidR="003A053B" w:rsidRPr="00F14FFE" w:rsidRDefault="003A053B" w:rsidP="003A053B">
      <w:pPr>
        <w:pStyle w:val="Textonotapie"/>
        <w:ind w:firstLine="708"/>
        <w:jc w:val="both"/>
        <w:rPr>
          <w:rFonts w:ascii="Arial" w:hAnsi="Arial" w:cs="Arial"/>
          <w:sz w:val="16"/>
          <w:szCs w:val="16"/>
          <w:lang w:val="es-CO"/>
        </w:rPr>
      </w:pPr>
      <w:r w:rsidRPr="00F14FFE">
        <w:rPr>
          <w:rStyle w:val="Refdenotaalpie"/>
          <w:rFonts w:ascii="Arial" w:hAnsi="Arial" w:cs="Arial"/>
          <w:sz w:val="16"/>
          <w:szCs w:val="16"/>
        </w:rPr>
        <w:footnoteRef/>
      </w:r>
      <w:r w:rsidRPr="00F14FFE">
        <w:rPr>
          <w:rFonts w:ascii="Arial" w:hAnsi="Arial" w:cs="Arial"/>
          <w:sz w:val="16"/>
          <w:szCs w:val="16"/>
        </w:rPr>
        <w:t xml:space="preserve"> Ibí</w:t>
      </w:r>
      <w:r w:rsidRPr="00F14FFE">
        <w:rPr>
          <w:rFonts w:ascii="Arial" w:hAnsi="Arial" w:cs="Arial"/>
          <w:color w:val="000000" w:themeColor="text1"/>
          <w:sz w:val="16"/>
          <w:szCs w:val="16"/>
        </w:rPr>
        <w:t>dem</w:t>
      </w:r>
    </w:p>
  </w:footnote>
  <w:footnote w:id="27">
    <w:p w14:paraId="07912891" w14:textId="77777777" w:rsidR="003A053B" w:rsidRPr="00F14FFE" w:rsidRDefault="003A053B" w:rsidP="003A053B">
      <w:pPr>
        <w:pStyle w:val="Textonotapie"/>
        <w:ind w:firstLine="708"/>
        <w:jc w:val="both"/>
        <w:rPr>
          <w:rFonts w:ascii="Arial" w:hAnsi="Arial" w:cs="Arial"/>
          <w:sz w:val="16"/>
          <w:szCs w:val="16"/>
        </w:rPr>
      </w:pPr>
      <w:r w:rsidRPr="00F14FFE">
        <w:rPr>
          <w:rStyle w:val="Refdenotaalpie"/>
          <w:rFonts w:ascii="Arial" w:hAnsi="Arial" w:cs="Arial"/>
          <w:sz w:val="16"/>
          <w:szCs w:val="16"/>
        </w:rPr>
        <w:footnoteRef/>
      </w:r>
      <w:r w:rsidRPr="00F14FFE">
        <w:rPr>
          <w:rFonts w:ascii="Arial" w:hAnsi="Arial" w:cs="Arial"/>
          <w:sz w:val="16"/>
          <w:szCs w:val="16"/>
        </w:rPr>
        <w:t xml:space="preserve"> </w:t>
      </w:r>
      <w:r w:rsidRPr="00F14FFE">
        <w:rPr>
          <w:rFonts w:ascii="Arial" w:hAnsi="Arial" w:cs="Arial"/>
          <w:color w:val="000000" w:themeColor="text1"/>
          <w:sz w:val="16"/>
          <w:szCs w:val="16"/>
        </w:rPr>
        <w:t>Cfr. DAVILA VINUEZA Luis Guillermo. Régimen Jurídico de la contratación estatal. Bogotá: Editorial Legis, 2001, p. 387.</w:t>
      </w:r>
    </w:p>
    <w:p w14:paraId="66CDEA50" w14:textId="77777777" w:rsidR="003A053B" w:rsidRPr="00F14FFE" w:rsidRDefault="003A053B" w:rsidP="003A053B">
      <w:pPr>
        <w:pStyle w:val="Textonotapie"/>
        <w:ind w:firstLine="708"/>
        <w:jc w:val="both"/>
        <w:rPr>
          <w:rFonts w:ascii="Arial" w:hAnsi="Arial" w:cs="Arial"/>
          <w:sz w:val="16"/>
          <w:szCs w:val="16"/>
          <w:lang w:val="es-CO"/>
        </w:rPr>
      </w:pPr>
    </w:p>
  </w:footnote>
  <w:footnote w:id="28">
    <w:p w14:paraId="04A2F345" w14:textId="77777777" w:rsidR="003A053B" w:rsidRPr="00F14FFE" w:rsidRDefault="003A053B" w:rsidP="003A053B">
      <w:pPr>
        <w:pStyle w:val="Textonotapie"/>
        <w:ind w:firstLine="708"/>
        <w:jc w:val="both"/>
        <w:rPr>
          <w:rFonts w:ascii="Arial" w:hAnsi="Arial" w:cs="Arial"/>
          <w:sz w:val="16"/>
          <w:szCs w:val="16"/>
          <w:lang w:val="es-CO"/>
        </w:rPr>
      </w:pPr>
      <w:r w:rsidRPr="00F14FFE">
        <w:rPr>
          <w:rStyle w:val="Refdenotaalpie"/>
          <w:rFonts w:ascii="Arial" w:hAnsi="Arial" w:cs="Arial"/>
          <w:sz w:val="16"/>
          <w:szCs w:val="16"/>
        </w:rPr>
        <w:footnoteRef/>
      </w:r>
      <w:r w:rsidRPr="00F14FFE">
        <w:rPr>
          <w:rFonts w:ascii="Arial" w:hAnsi="Arial" w:cs="Arial"/>
          <w:sz w:val="16"/>
          <w:szCs w:val="16"/>
        </w:rPr>
        <w:t xml:space="preserve"> </w:t>
      </w:r>
      <w:r w:rsidRPr="00F14FFE">
        <w:rPr>
          <w:rFonts w:ascii="Arial" w:hAnsi="Arial" w:cs="Arial"/>
          <w:color w:val="000000" w:themeColor="text1"/>
          <w:sz w:val="16"/>
          <w:szCs w:val="16"/>
        </w:rPr>
        <w:t xml:space="preserve">Sobre el particular resultan pertinentes las consideraciones efectuadas en el mismo sentido por la Sala de Consulta y Servicio Civil del Consejo de Estado en el concepto del 13 de agosto de 2009, rad. </w:t>
      </w:r>
      <w:smartTag w:uri="urn:schemas-microsoft-com:office:smarttags" w:element="metricconverter">
        <w:smartTagPr>
          <w:attr w:name="ProductID" w:val="1.952, C"/>
        </w:smartTagPr>
        <w:r w:rsidRPr="00F14FFE">
          <w:rPr>
            <w:rFonts w:ascii="Arial" w:hAnsi="Arial" w:cs="Arial"/>
            <w:color w:val="000000" w:themeColor="text1"/>
            <w:sz w:val="16"/>
            <w:szCs w:val="16"/>
          </w:rPr>
          <w:t>1.952, C</w:t>
        </w:r>
      </w:smartTag>
      <w:r w:rsidRPr="00F14FFE">
        <w:rPr>
          <w:rFonts w:ascii="Arial" w:hAnsi="Arial" w:cs="Arial"/>
          <w:color w:val="000000" w:themeColor="text1"/>
          <w:sz w:val="16"/>
          <w:szCs w:val="16"/>
        </w:rPr>
        <w:t>.P. Enrique José Arboleda Perdomo y por la Corte Constitucional en la sentencia C-300 de 2012.</w:t>
      </w:r>
      <w:r w:rsidRPr="00F14FFE">
        <w:rPr>
          <w:rFonts w:ascii="Arial" w:eastAsia="Times New Roman" w:hAnsi="Arial" w:cs="Arial"/>
          <w:bCs/>
          <w:sz w:val="16"/>
          <w:szCs w:val="16"/>
          <w:lang w:val="es-ES" w:eastAsia="es-ES"/>
        </w:rPr>
        <w:t xml:space="preserve"> </w:t>
      </w:r>
    </w:p>
  </w:footnote>
  <w:footnote w:id="29">
    <w:p w14:paraId="5734DB3E" w14:textId="41991D2F" w:rsidR="00AD7D76" w:rsidRPr="00F14FFE" w:rsidRDefault="00AD7D76" w:rsidP="00AD7D76">
      <w:pPr>
        <w:pStyle w:val="Textonotapie"/>
        <w:ind w:firstLine="709"/>
        <w:jc w:val="both"/>
        <w:rPr>
          <w:rFonts w:ascii="Arial" w:hAnsi="Arial" w:cs="Arial"/>
          <w:sz w:val="16"/>
          <w:szCs w:val="16"/>
          <w:lang w:val="es-CO"/>
        </w:rPr>
      </w:pPr>
      <w:r w:rsidRPr="00F14FFE">
        <w:rPr>
          <w:rStyle w:val="Refdenotaalpie"/>
          <w:rFonts w:ascii="Arial" w:hAnsi="Arial" w:cs="Arial"/>
          <w:sz w:val="16"/>
          <w:szCs w:val="16"/>
        </w:rPr>
        <w:footnoteRef/>
      </w:r>
      <w:r w:rsidRPr="00F14FFE">
        <w:rPr>
          <w:rFonts w:ascii="Arial" w:hAnsi="Arial" w:cs="Arial"/>
          <w:sz w:val="16"/>
          <w:szCs w:val="16"/>
        </w:rPr>
        <w:t xml:space="preserve"> </w:t>
      </w:r>
      <w:r w:rsidRPr="00F14FFE">
        <w:rPr>
          <w:rFonts w:ascii="Arial" w:hAnsi="Arial" w:cs="Arial"/>
          <w:color w:val="000000" w:themeColor="text1"/>
          <w:sz w:val="16"/>
          <w:szCs w:val="16"/>
        </w:rPr>
        <w:t>En efecto, en el numeral 67 de la sentencia se indica que «El 25 de febrero de 2022, se presentó informe a la Sala Plena de la Corte Constitucional, para que decidiera si asumía o no el conocimiento del proceso. Esto, habida cuenta que (i) se trata de una tutela que busca dejar sin efectos una sentencia de la Sala de Casación Penal de la Corte Suprema de Justicia; y que (ii) podría exigir de una sentencia de unificación para decidir sobre la posible configuración del defecto que el apoderado del accionante denominó “violación directa de la Constitución por desconocimiento del principio de interpretación conforme a la Constitución”, puesto que en la jurisprudencia de las Cortes existe disparidad de criterios sobre el contenido y alcance de una adición contractual en los términos del parágrafo del artículo 40 de la Ley 80 de 1993».</w:t>
      </w:r>
    </w:p>
  </w:footnote>
  <w:footnote w:id="30">
    <w:p w14:paraId="6D3BCAED" w14:textId="77777777" w:rsidR="002F6E70" w:rsidRPr="00F14FFE" w:rsidRDefault="002F6E70" w:rsidP="002F6E70">
      <w:pPr>
        <w:pStyle w:val="Textonotapie"/>
        <w:ind w:firstLine="708"/>
        <w:jc w:val="both"/>
        <w:rPr>
          <w:rFonts w:ascii="Arial" w:hAnsi="Arial" w:cs="Arial"/>
          <w:sz w:val="16"/>
          <w:szCs w:val="16"/>
          <w:lang w:val="es-ES"/>
        </w:rPr>
      </w:pPr>
      <w:r w:rsidRPr="00F14FFE">
        <w:rPr>
          <w:rStyle w:val="Refdenotaalpie"/>
          <w:rFonts w:ascii="Arial" w:hAnsi="Arial" w:cs="Arial"/>
          <w:sz w:val="16"/>
          <w:szCs w:val="16"/>
        </w:rPr>
        <w:footnoteRef/>
      </w:r>
      <w:r w:rsidRPr="00F14FFE">
        <w:rPr>
          <w:rFonts w:ascii="Arial" w:hAnsi="Arial" w:cs="Arial"/>
          <w:sz w:val="16"/>
          <w:szCs w:val="16"/>
        </w:rPr>
        <w:t xml:space="preserve"> </w:t>
      </w:r>
      <w:r w:rsidRPr="00F14FFE">
        <w:rPr>
          <w:rFonts w:ascii="Arial" w:hAnsi="Arial" w:cs="Arial"/>
          <w:sz w:val="16"/>
          <w:szCs w:val="16"/>
          <w:lang w:val="es-ES"/>
        </w:rPr>
        <w:t xml:space="preserve">MATALLANA CAMACHO, Ernesto. Manual de contratación de la administración pública: reforma de la Ley 80 de 1993. 4ª edición. Bogotá: Universidad Externado de Colombia, 2015. p. 971 </w:t>
      </w:r>
    </w:p>
    <w:p w14:paraId="29E4DB4A" w14:textId="77777777" w:rsidR="002F6E70" w:rsidRPr="00F14FFE" w:rsidRDefault="002F6E70" w:rsidP="002F6E70">
      <w:pPr>
        <w:pStyle w:val="Textonotapie"/>
        <w:ind w:firstLine="708"/>
        <w:rPr>
          <w:rFonts w:ascii="Arial" w:hAnsi="Arial" w:cs="Arial"/>
          <w:sz w:val="16"/>
          <w:szCs w:val="16"/>
          <w:lang w:val="es-ES"/>
        </w:rPr>
      </w:pPr>
    </w:p>
  </w:footnote>
  <w:footnote w:id="31">
    <w:p w14:paraId="7532FC94" w14:textId="649D1B9B" w:rsidR="005977B1" w:rsidRPr="00F14FFE" w:rsidRDefault="00CE0E9B" w:rsidP="00F14FFE">
      <w:pPr>
        <w:pStyle w:val="Textonotapie"/>
        <w:ind w:firstLine="709"/>
        <w:rPr>
          <w:rFonts w:ascii="Arial" w:hAnsi="Arial" w:cs="Arial"/>
          <w:color w:val="000000" w:themeColor="text1"/>
          <w:sz w:val="16"/>
          <w:szCs w:val="16"/>
        </w:rPr>
      </w:pPr>
      <w:r w:rsidRPr="00F14FFE">
        <w:rPr>
          <w:rStyle w:val="Refdenotaalpie"/>
          <w:sz w:val="16"/>
          <w:szCs w:val="16"/>
        </w:rPr>
        <w:footnoteRef/>
      </w:r>
      <w:r w:rsidRPr="00F14FFE">
        <w:rPr>
          <w:sz w:val="16"/>
          <w:szCs w:val="16"/>
        </w:rPr>
        <w:t xml:space="preserve"> </w:t>
      </w:r>
      <w:r w:rsidRPr="00F14FFE">
        <w:rPr>
          <w:rFonts w:ascii="Arial" w:hAnsi="Arial" w:cs="Arial"/>
          <w:color w:val="000000" w:themeColor="text1"/>
          <w:sz w:val="16"/>
          <w:szCs w:val="16"/>
        </w:rPr>
        <w:t>Concepto del 6 de julio de 2018. Radicación Nro. 2369. C.P.: Osar Darío Amaya Navas.</w:t>
      </w:r>
    </w:p>
  </w:footnote>
  <w:footnote w:id="32">
    <w:p w14:paraId="632F78EE" w14:textId="4FCBDF07" w:rsidR="00FB46C0" w:rsidRPr="00F14FFE" w:rsidRDefault="00FB46C0" w:rsidP="00FB46C0">
      <w:pPr>
        <w:pStyle w:val="Textonotapie"/>
        <w:ind w:firstLine="709"/>
        <w:jc w:val="both"/>
        <w:rPr>
          <w:rFonts w:ascii="Arial" w:hAnsi="Arial" w:cs="Arial"/>
          <w:color w:val="000000" w:themeColor="text1"/>
          <w:sz w:val="16"/>
          <w:szCs w:val="16"/>
        </w:rPr>
      </w:pPr>
      <w:r w:rsidRPr="00F14FFE">
        <w:rPr>
          <w:rStyle w:val="Refdenotaalpie"/>
          <w:sz w:val="16"/>
          <w:szCs w:val="16"/>
        </w:rPr>
        <w:footnoteRef/>
      </w:r>
      <w:r w:rsidRPr="00F14FFE">
        <w:rPr>
          <w:sz w:val="16"/>
          <w:szCs w:val="16"/>
        </w:rPr>
        <w:t xml:space="preserve"> </w:t>
      </w:r>
      <w:r w:rsidRPr="00F14FFE">
        <w:rPr>
          <w:rFonts w:ascii="Arial" w:hAnsi="Arial" w:cs="Arial"/>
          <w:color w:val="000000" w:themeColor="text1"/>
          <w:sz w:val="16"/>
          <w:szCs w:val="16"/>
        </w:rPr>
        <w:t>BENAVIDES, José Luis. Contratos Públicos: Estudios. Primera edición. Bogotá: Universidad Externado de Colombia, 2014. p. 362</w:t>
      </w:r>
    </w:p>
    <w:p w14:paraId="5B37FCC9" w14:textId="77777777" w:rsidR="00FB46C0" w:rsidRPr="00F14FFE" w:rsidRDefault="00FB46C0" w:rsidP="00FB46C0">
      <w:pPr>
        <w:pStyle w:val="Textonotapie"/>
        <w:ind w:firstLine="709"/>
        <w:jc w:val="both"/>
        <w:rPr>
          <w:sz w:val="16"/>
          <w:szCs w:val="16"/>
          <w:lang w:val="es-CO"/>
        </w:rPr>
      </w:pPr>
    </w:p>
  </w:footnote>
  <w:footnote w:id="33">
    <w:p w14:paraId="5A6739AA" w14:textId="0016FD9F" w:rsidR="00FB46C0" w:rsidRPr="00F14FFE" w:rsidRDefault="00FB46C0" w:rsidP="00FB46C0">
      <w:pPr>
        <w:pStyle w:val="Textonotapie"/>
        <w:ind w:firstLine="709"/>
        <w:rPr>
          <w:sz w:val="16"/>
          <w:szCs w:val="16"/>
          <w:lang w:val="es-CO"/>
        </w:rPr>
      </w:pPr>
      <w:r w:rsidRPr="00F14FFE">
        <w:rPr>
          <w:rStyle w:val="Refdenotaalpie"/>
          <w:sz w:val="16"/>
          <w:szCs w:val="16"/>
        </w:rPr>
        <w:footnoteRef/>
      </w:r>
      <w:r w:rsidRPr="00F14FFE">
        <w:rPr>
          <w:sz w:val="16"/>
          <w:szCs w:val="16"/>
        </w:rPr>
        <w:t xml:space="preserve"> </w:t>
      </w:r>
      <w:r w:rsidRPr="00F14FFE">
        <w:rPr>
          <w:rFonts w:ascii="Arial" w:hAnsi="Arial" w:cs="Arial"/>
          <w:color w:val="000000" w:themeColor="text1"/>
          <w:sz w:val="16"/>
          <w:szCs w:val="16"/>
        </w:rPr>
        <w:t>Ibíd. P. 364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E31D" w14:textId="6E2810A5" w:rsidR="00E2520A" w:rsidRDefault="00E2520A" w:rsidP="006A3704">
    <w:pPr>
      <w:spacing w:after="0" w:line="240" w:lineRule="auto"/>
    </w:pPr>
  </w:p>
  <w:p w14:paraId="603D9E86" w14:textId="61607A32" w:rsidR="0020796E" w:rsidRDefault="0020796E" w:rsidP="006A3704">
    <w:pPr>
      <w:spacing w:after="0" w:line="240" w:lineRule="auto"/>
      <w:rPr>
        <w:rFonts w:ascii="Geomanist Bold" w:hAnsi="Geomanist Bold"/>
        <w:color w:val="002060"/>
      </w:rPr>
    </w:pPr>
    <w:r>
      <w:rPr>
        <w:noProof/>
      </w:rPr>
      <w:drawing>
        <wp:anchor distT="0" distB="0" distL="0" distR="0" simplePos="0" relativeHeight="251659264" behindDoc="1" locked="0" layoutInCell="1" allowOverlap="1" wp14:anchorId="2298F00B" wp14:editId="691EE5BD">
          <wp:simplePos x="0" y="0"/>
          <wp:positionH relativeFrom="margin">
            <wp:align>right</wp:align>
          </wp:positionH>
          <wp:positionV relativeFrom="paragraph">
            <wp:posOffset>6985</wp:posOffset>
          </wp:positionV>
          <wp:extent cx="1657350" cy="676275"/>
          <wp:effectExtent l="0" t="0" r="0" b="9525"/>
          <wp:wrapNone/>
          <wp:docPr id="10" name="Imagen 1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76275"/>
                  </a:xfrm>
                  <a:prstGeom prst="rect">
                    <a:avLst/>
                  </a:prstGeom>
                  <a:noFill/>
                </pic:spPr>
              </pic:pic>
            </a:graphicData>
          </a:graphic>
          <wp14:sizeRelH relativeFrom="margin">
            <wp14:pctWidth>0</wp14:pctWidth>
          </wp14:sizeRelH>
          <wp14:sizeRelV relativeFrom="margin">
            <wp14:pctHeight>0</wp14:pctHeight>
          </wp14:sizeRelV>
        </wp:anchor>
      </w:drawing>
    </w:r>
    <w:r>
      <w:rPr>
        <w:rFonts w:ascii="Geomanist Bold" w:hAnsi="Geomanist Bold"/>
        <w:color w:val="002060"/>
      </w:rPr>
      <w:t xml:space="preserve">FORMATO PQRSD </w:t>
    </w:r>
  </w:p>
  <w:tbl>
    <w:tblPr>
      <w:tblW w:w="9405" w:type="dxa"/>
      <w:tblBorders>
        <w:insideH w:val="nil"/>
        <w:insideV w:val="nil"/>
      </w:tblBorders>
      <w:tblLayout w:type="fixed"/>
      <w:tblLook w:val="0400" w:firstRow="0" w:lastRow="0" w:firstColumn="0" w:lastColumn="0" w:noHBand="0" w:noVBand="1"/>
    </w:tblPr>
    <w:tblGrid>
      <w:gridCol w:w="6757"/>
      <w:gridCol w:w="1324"/>
      <w:gridCol w:w="1324"/>
    </w:tblGrid>
    <w:tr w:rsidR="0020796E" w14:paraId="48C686BC" w14:textId="77777777" w:rsidTr="0020796E">
      <w:tc>
        <w:tcPr>
          <w:tcW w:w="6757" w:type="dxa"/>
          <w:tcBorders>
            <w:top w:val="nil"/>
            <w:left w:val="nil"/>
            <w:bottom w:val="nil"/>
            <w:right w:val="nil"/>
          </w:tcBorders>
          <w:hideMark/>
        </w:tcPr>
        <w:p w14:paraId="36F7744A" w14:textId="77777777" w:rsidR="0020796E" w:rsidRDefault="0020796E" w:rsidP="006A3704">
          <w:pPr>
            <w:tabs>
              <w:tab w:val="center" w:pos="4419"/>
              <w:tab w:val="center" w:pos="5400"/>
              <w:tab w:val="right" w:pos="8838"/>
            </w:tabs>
            <w:spacing w:after="0" w:line="240" w:lineRule="auto"/>
            <w:rPr>
              <w:rFonts w:ascii="Geomanist Bold" w:eastAsia="Geo" w:hAnsi="Geomanist Bold" w:cs="Geo"/>
              <w:b/>
              <w:color w:val="002060"/>
              <w:lang w:eastAsia="es-CO"/>
            </w:rPr>
          </w:pPr>
          <w:r>
            <w:rPr>
              <w:rFonts w:ascii="Geomanist Bold" w:eastAsia="Geo" w:hAnsi="Geomanist Bold" w:cs="Geo"/>
              <w:b/>
              <w:color w:val="000000"/>
              <w:sz w:val="20"/>
              <w:szCs w:val="20"/>
              <w:lang w:eastAsia="es-CO"/>
            </w:rPr>
            <w:t xml:space="preserve">Código: </w:t>
          </w:r>
          <w:r>
            <w:rPr>
              <w:rFonts w:ascii="Geomanist Light" w:eastAsia="Geo" w:hAnsi="Geomanist Light" w:cs="Geo"/>
              <w:b/>
              <w:color w:val="000000"/>
              <w:sz w:val="18"/>
              <w:szCs w:val="18"/>
              <w:lang w:eastAsia="es-CO"/>
            </w:rPr>
            <w:t>CCE-PQRSD-FM-08</w:t>
          </w:r>
        </w:p>
        <w:p w14:paraId="4E350D27" w14:textId="77777777" w:rsidR="0020796E" w:rsidRDefault="0020796E" w:rsidP="006A3704">
          <w:pPr>
            <w:tabs>
              <w:tab w:val="center" w:pos="4419"/>
              <w:tab w:val="center" w:pos="5400"/>
              <w:tab w:val="right" w:pos="8838"/>
            </w:tabs>
            <w:spacing w:after="0" w:line="240" w:lineRule="auto"/>
            <w:rPr>
              <w:rFonts w:asciiTheme="minorHAnsi" w:eastAsia="Arial Nova" w:hAnsiTheme="minorHAnsi" w:cs="Arial Nova"/>
              <w:color w:val="000000"/>
              <w:sz w:val="18"/>
              <w:szCs w:val="18"/>
              <w:lang w:eastAsia="es-CO"/>
            </w:rPr>
          </w:pPr>
          <w:r>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Pr>
              <w:rFonts w:ascii="Geomanist Light" w:eastAsia="Geo" w:hAnsi="Geomanist Light" w:cs="Geo"/>
              <w:sz w:val="18"/>
              <w:szCs w:val="18"/>
              <w:lang w:eastAsia="es-CO"/>
            </w:rPr>
            <w:t>01 DEL 30 DE AGOSTO DE 2022</w:t>
          </w:r>
        </w:p>
      </w:tc>
      <w:tc>
        <w:tcPr>
          <w:tcW w:w="1324" w:type="dxa"/>
          <w:tcBorders>
            <w:top w:val="nil"/>
            <w:left w:val="nil"/>
            <w:bottom w:val="nil"/>
            <w:right w:val="nil"/>
          </w:tcBorders>
        </w:tcPr>
        <w:p w14:paraId="64467BF0" w14:textId="77777777" w:rsidR="0020796E" w:rsidRDefault="0020796E" w:rsidP="006A3704">
          <w:pPr>
            <w:spacing w:after="0" w:line="240" w:lineRule="auto"/>
            <w:jc w:val="right"/>
            <w:rPr>
              <w:rFonts w:eastAsia="Arial Nova" w:cs="Arial Nova"/>
              <w:lang w:eastAsia="es-CO"/>
            </w:rPr>
          </w:pPr>
        </w:p>
      </w:tc>
      <w:tc>
        <w:tcPr>
          <w:tcW w:w="1324" w:type="dxa"/>
          <w:tcBorders>
            <w:top w:val="nil"/>
            <w:left w:val="nil"/>
            <w:bottom w:val="nil"/>
            <w:right w:val="nil"/>
          </w:tcBorders>
        </w:tcPr>
        <w:p w14:paraId="7F0DA02B" w14:textId="77777777" w:rsidR="0020796E" w:rsidRDefault="0020796E" w:rsidP="006A3704">
          <w:pPr>
            <w:spacing w:after="0" w:line="240" w:lineRule="auto"/>
            <w:jc w:val="right"/>
            <w:rPr>
              <w:rFonts w:eastAsia="Arial Nova" w:cs="Arial Nova"/>
              <w:lang w:eastAsia="es-CO"/>
            </w:rPr>
          </w:pPr>
        </w:p>
      </w:tc>
    </w:tr>
  </w:tbl>
  <w:p w14:paraId="5DBE9C96" w14:textId="263A9DAC" w:rsidR="00E2520A" w:rsidRDefault="0020796E" w:rsidP="0020796E">
    <w:r>
      <w:rPr>
        <w:noProof/>
      </w:rPr>
      <w:drawing>
        <wp:inline distT="0" distB="0" distL="0" distR="0" wp14:anchorId="31BFA4E7" wp14:editId="20260E75">
          <wp:extent cx="3238500" cy="7620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1008755670">
    <w:abstractNumId w:val="1"/>
  </w:num>
  <w:num w:numId="2" w16cid:durableId="16839716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B1"/>
    <w:rsid w:val="00000559"/>
    <w:rsid w:val="0000162E"/>
    <w:rsid w:val="00001A1C"/>
    <w:rsid w:val="00001FFD"/>
    <w:rsid w:val="00002027"/>
    <w:rsid w:val="000020E9"/>
    <w:rsid w:val="000020FE"/>
    <w:rsid w:val="00002AA7"/>
    <w:rsid w:val="000031A8"/>
    <w:rsid w:val="00003233"/>
    <w:rsid w:val="000037D0"/>
    <w:rsid w:val="00003C5C"/>
    <w:rsid w:val="000040D7"/>
    <w:rsid w:val="00004556"/>
    <w:rsid w:val="000051AF"/>
    <w:rsid w:val="00005958"/>
    <w:rsid w:val="000059D3"/>
    <w:rsid w:val="0000600A"/>
    <w:rsid w:val="00006081"/>
    <w:rsid w:val="000060D0"/>
    <w:rsid w:val="00006D78"/>
    <w:rsid w:val="000075EA"/>
    <w:rsid w:val="00007750"/>
    <w:rsid w:val="000077FD"/>
    <w:rsid w:val="00007E37"/>
    <w:rsid w:val="00010408"/>
    <w:rsid w:val="00010C40"/>
    <w:rsid w:val="000112B4"/>
    <w:rsid w:val="00011DCC"/>
    <w:rsid w:val="00012532"/>
    <w:rsid w:val="00012B9E"/>
    <w:rsid w:val="00012FBA"/>
    <w:rsid w:val="000134A4"/>
    <w:rsid w:val="00013C6B"/>
    <w:rsid w:val="0001406B"/>
    <w:rsid w:val="000143F8"/>
    <w:rsid w:val="00014624"/>
    <w:rsid w:val="000147ED"/>
    <w:rsid w:val="000159D5"/>
    <w:rsid w:val="00015B44"/>
    <w:rsid w:val="00015CEF"/>
    <w:rsid w:val="00016081"/>
    <w:rsid w:val="000165AC"/>
    <w:rsid w:val="00016651"/>
    <w:rsid w:val="00016881"/>
    <w:rsid w:val="000171A2"/>
    <w:rsid w:val="00017B65"/>
    <w:rsid w:val="00020158"/>
    <w:rsid w:val="000204EA"/>
    <w:rsid w:val="000207E0"/>
    <w:rsid w:val="00020D41"/>
    <w:rsid w:val="00020D87"/>
    <w:rsid w:val="00020F8F"/>
    <w:rsid w:val="00021A95"/>
    <w:rsid w:val="00021C0A"/>
    <w:rsid w:val="00021F62"/>
    <w:rsid w:val="0002256F"/>
    <w:rsid w:val="0002296A"/>
    <w:rsid w:val="00023DAE"/>
    <w:rsid w:val="00023FA5"/>
    <w:rsid w:val="00024592"/>
    <w:rsid w:val="00024896"/>
    <w:rsid w:val="00025065"/>
    <w:rsid w:val="000258A6"/>
    <w:rsid w:val="00026092"/>
    <w:rsid w:val="000263F0"/>
    <w:rsid w:val="00026407"/>
    <w:rsid w:val="000264F6"/>
    <w:rsid w:val="00026608"/>
    <w:rsid w:val="00026B36"/>
    <w:rsid w:val="00026DEB"/>
    <w:rsid w:val="0002738B"/>
    <w:rsid w:val="00027545"/>
    <w:rsid w:val="00027787"/>
    <w:rsid w:val="000277A2"/>
    <w:rsid w:val="000278D2"/>
    <w:rsid w:val="00030747"/>
    <w:rsid w:val="00031384"/>
    <w:rsid w:val="000315E1"/>
    <w:rsid w:val="00031AD9"/>
    <w:rsid w:val="0003236E"/>
    <w:rsid w:val="000323E9"/>
    <w:rsid w:val="00033295"/>
    <w:rsid w:val="00033358"/>
    <w:rsid w:val="0003339A"/>
    <w:rsid w:val="00034134"/>
    <w:rsid w:val="000341F2"/>
    <w:rsid w:val="00034651"/>
    <w:rsid w:val="000351F2"/>
    <w:rsid w:val="00035224"/>
    <w:rsid w:val="00036E03"/>
    <w:rsid w:val="00037ED1"/>
    <w:rsid w:val="000406DB"/>
    <w:rsid w:val="0004094D"/>
    <w:rsid w:val="00040A5E"/>
    <w:rsid w:val="00041029"/>
    <w:rsid w:val="0004149B"/>
    <w:rsid w:val="00041717"/>
    <w:rsid w:val="00041CA0"/>
    <w:rsid w:val="000427F7"/>
    <w:rsid w:val="00042961"/>
    <w:rsid w:val="00042C25"/>
    <w:rsid w:val="00042D03"/>
    <w:rsid w:val="00043086"/>
    <w:rsid w:val="000430A0"/>
    <w:rsid w:val="0004376B"/>
    <w:rsid w:val="00043A33"/>
    <w:rsid w:val="00043D3B"/>
    <w:rsid w:val="00043D4D"/>
    <w:rsid w:val="00043F5D"/>
    <w:rsid w:val="0004418C"/>
    <w:rsid w:val="00044204"/>
    <w:rsid w:val="00044797"/>
    <w:rsid w:val="000449D4"/>
    <w:rsid w:val="00045F55"/>
    <w:rsid w:val="000466E8"/>
    <w:rsid w:val="00046717"/>
    <w:rsid w:val="00046A63"/>
    <w:rsid w:val="00046B8D"/>
    <w:rsid w:val="00046C09"/>
    <w:rsid w:val="00046EDB"/>
    <w:rsid w:val="0004716A"/>
    <w:rsid w:val="00047316"/>
    <w:rsid w:val="00047385"/>
    <w:rsid w:val="000473E8"/>
    <w:rsid w:val="00050021"/>
    <w:rsid w:val="000500CF"/>
    <w:rsid w:val="000500E1"/>
    <w:rsid w:val="00050460"/>
    <w:rsid w:val="000504DE"/>
    <w:rsid w:val="00051074"/>
    <w:rsid w:val="0005211A"/>
    <w:rsid w:val="000528C3"/>
    <w:rsid w:val="00052B79"/>
    <w:rsid w:val="00052B86"/>
    <w:rsid w:val="00052EA0"/>
    <w:rsid w:val="000536E3"/>
    <w:rsid w:val="00053EDA"/>
    <w:rsid w:val="00053F84"/>
    <w:rsid w:val="0005419F"/>
    <w:rsid w:val="00054252"/>
    <w:rsid w:val="0005474D"/>
    <w:rsid w:val="00055CB9"/>
    <w:rsid w:val="00056F66"/>
    <w:rsid w:val="0005702F"/>
    <w:rsid w:val="00057661"/>
    <w:rsid w:val="0005779C"/>
    <w:rsid w:val="00057848"/>
    <w:rsid w:val="00057B4F"/>
    <w:rsid w:val="00061D06"/>
    <w:rsid w:val="00062289"/>
    <w:rsid w:val="0006294B"/>
    <w:rsid w:val="00062CDD"/>
    <w:rsid w:val="00063FA5"/>
    <w:rsid w:val="000640AF"/>
    <w:rsid w:val="00064940"/>
    <w:rsid w:val="00064CAE"/>
    <w:rsid w:val="00064D5B"/>
    <w:rsid w:val="00064DB7"/>
    <w:rsid w:val="00064FA7"/>
    <w:rsid w:val="00065195"/>
    <w:rsid w:val="00065A18"/>
    <w:rsid w:val="000703DE"/>
    <w:rsid w:val="00070AF1"/>
    <w:rsid w:val="00070B59"/>
    <w:rsid w:val="000714DE"/>
    <w:rsid w:val="0007254F"/>
    <w:rsid w:val="000726D1"/>
    <w:rsid w:val="00073C30"/>
    <w:rsid w:val="00074305"/>
    <w:rsid w:val="000743A3"/>
    <w:rsid w:val="00074B2A"/>
    <w:rsid w:val="00075057"/>
    <w:rsid w:val="00075108"/>
    <w:rsid w:val="00075B3E"/>
    <w:rsid w:val="00075F7D"/>
    <w:rsid w:val="00076240"/>
    <w:rsid w:val="00076456"/>
    <w:rsid w:val="00076604"/>
    <w:rsid w:val="0007779B"/>
    <w:rsid w:val="000777E7"/>
    <w:rsid w:val="0007790A"/>
    <w:rsid w:val="0008017B"/>
    <w:rsid w:val="00080287"/>
    <w:rsid w:val="00080ACD"/>
    <w:rsid w:val="000811ED"/>
    <w:rsid w:val="00081284"/>
    <w:rsid w:val="0008191B"/>
    <w:rsid w:val="00081D62"/>
    <w:rsid w:val="00081E36"/>
    <w:rsid w:val="000820A1"/>
    <w:rsid w:val="000820CE"/>
    <w:rsid w:val="00082B74"/>
    <w:rsid w:val="00083099"/>
    <w:rsid w:val="00083EDC"/>
    <w:rsid w:val="00083EE6"/>
    <w:rsid w:val="00084571"/>
    <w:rsid w:val="000847C0"/>
    <w:rsid w:val="00084873"/>
    <w:rsid w:val="00084B97"/>
    <w:rsid w:val="0008508B"/>
    <w:rsid w:val="0008510E"/>
    <w:rsid w:val="000856DE"/>
    <w:rsid w:val="00085F17"/>
    <w:rsid w:val="00085FB3"/>
    <w:rsid w:val="0008686B"/>
    <w:rsid w:val="00086B2A"/>
    <w:rsid w:val="00086ED2"/>
    <w:rsid w:val="00090CAE"/>
    <w:rsid w:val="000914D6"/>
    <w:rsid w:val="00091569"/>
    <w:rsid w:val="00091D07"/>
    <w:rsid w:val="00091E55"/>
    <w:rsid w:val="00091FBB"/>
    <w:rsid w:val="00092DCA"/>
    <w:rsid w:val="000935F8"/>
    <w:rsid w:val="00093C51"/>
    <w:rsid w:val="000942EB"/>
    <w:rsid w:val="00095B70"/>
    <w:rsid w:val="00095C0D"/>
    <w:rsid w:val="00095EB2"/>
    <w:rsid w:val="0009617E"/>
    <w:rsid w:val="00096489"/>
    <w:rsid w:val="000979CF"/>
    <w:rsid w:val="00097A00"/>
    <w:rsid w:val="000A03C8"/>
    <w:rsid w:val="000A05F2"/>
    <w:rsid w:val="000A06C4"/>
    <w:rsid w:val="000A0861"/>
    <w:rsid w:val="000A0ED1"/>
    <w:rsid w:val="000A1139"/>
    <w:rsid w:val="000A126D"/>
    <w:rsid w:val="000A12DB"/>
    <w:rsid w:val="000A17C8"/>
    <w:rsid w:val="000A18E3"/>
    <w:rsid w:val="000A1AEE"/>
    <w:rsid w:val="000A20D7"/>
    <w:rsid w:val="000A2128"/>
    <w:rsid w:val="000A362F"/>
    <w:rsid w:val="000A367A"/>
    <w:rsid w:val="000A3B49"/>
    <w:rsid w:val="000A41BA"/>
    <w:rsid w:val="000A446A"/>
    <w:rsid w:val="000A5AAF"/>
    <w:rsid w:val="000A5F97"/>
    <w:rsid w:val="000A648E"/>
    <w:rsid w:val="000A73BB"/>
    <w:rsid w:val="000A7EF4"/>
    <w:rsid w:val="000B0779"/>
    <w:rsid w:val="000B0A15"/>
    <w:rsid w:val="000B0DF3"/>
    <w:rsid w:val="000B103F"/>
    <w:rsid w:val="000B10D0"/>
    <w:rsid w:val="000B1437"/>
    <w:rsid w:val="000B1470"/>
    <w:rsid w:val="000B2B86"/>
    <w:rsid w:val="000B3051"/>
    <w:rsid w:val="000B419B"/>
    <w:rsid w:val="000B4716"/>
    <w:rsid w:val="000B5781"/>
    <w:rsid w:val="000B5891"/>
    <w:rsid w:val="000B6E4B"/>
    <w:rsid w:val="000B7122"/>
    <w:rsid w:val="000B78F1"/>
    <w:rsid w:val="000C0185"/>
    <w:rsid w:val="000C0444"/>
    <w:rsid w:val="000C0960"/>
    <w:rsid w:val="000C0F81"/>
    <w:rsid w:val="000C128D"/>
    <w:rsid w:val="000C17A3"/>
    <w:rsid w:val="000C1D4B"/>
    <w:rsid w:val="000C3260"/>
    <w:rsid w:val="000C3616"/>
    <w:rsid w:val="000C3803"/>
    <w:rsid w:val="000C3B77"/>
    <w:rsid w:val="000C4F49"/>
    <w:rsid w:val="000C5533"/>
    <w:rsid w:val="000C5861"/>
    <w:rsid w:val="000C5F6D"/>
    <w:rsid w:val="000C639D"/>
    <w:rsid w:val="000C67BB"/>
    <w:rsid w:val="000C6C31"/>
    <w:rsid w:val="000C6DBC"/>
    <w:rsid w:val="000C6F79"/>
    <w:rsid w:val="000C7211"/>
    <w:rsid w:val="000C7476"/>
    <w:rsid w:val="000C7683"/>
    <w:rsid w:val="000C7711"/>
    <w:rsid w:val="000C7AA2"/>
    <w:rsid w:val="000C7F0B"/>
    <w:rsid w:val="000D0462"/>
    <w:rsid w:val="000D053D"/>
    <w:rsid w:val="000D0CC7"/>
    <w:rsid w:val="000D0CD9"/>
    <w:rsid w:val="000D0ED2"/>
    <w:rsid w:val="000D1CEB"/>
    <w:rsid w:val="000D2563"/>
    <w:rsid w:val="000D25BF"/>
    <w:rsid w:val="000D3FDC"/>
    <w:rsid w:val="000D4E38"/>
    <w:rsid w:val="000D4F49"/>
    <w:rsid w:val="000D50DB"/>
    <w:rsid w:val="000D5ABA"/>
    <w:rsid w:val="000D6288"/>
    <w:rsid w:val="000D6CAF"/>
    <w:rsid w:val="000D7541"/>
    <w:rsid w:val="000D75E1"/>
    <w:rsid w:val="000D776B"/>
    <w:rsid w:val="000E0B3C"/>
    <w:rsid w:val="000E1AC9"/>
    <w:rsid w:val="000E1CEB"/>
    <w:rsid w:val="000E22CF"/>
    <w:rsid w:val="000E2977"/>
    <w:rsid w:val="000E2B36"/>
    <w:rsid w:val="000E300F"/>
    <w:rsid w:val="000E30AC"/>
    <w:rsid w:val="000E3B46"/>
    <w:rsid w:val="000E3E11"/>
    <w:rsid w:val="000E4596"/>
    <w:rsid w:val="000E5399"/>
    <w:rsid w:val="000E5768"/>
    <w:rsid w:val="000E5843"/>
    <w:rsid w:val="000E5C89"/>
    <w:rsid w:val="000E6139"/>
    <w:rsid w:val="000E6B73"/>
    <w:rsid w:val="000E6BE1"/>
    <w:rsid w:val="000E7E0B"/>
    <w:rsid w:val="000F078A"/>
    <w:rsid w:val="000F122D"/>
    <w:rsid w:val="000F1450"/>
    <w:rsid w:val="000F14E8"/>
    <w:rsid w:val="000F1BBD"/>
    <w:rsid w:val="000F2739"/>
    <w:rsid w:val="000F2928"/>
    <w:rsid w:val="000F2930"/>
    <w:rsid w:val="000F3138"/>
    <w:rsid w:val="000F3D39"/>
    <w:rsid w:val="000F3E85"/>
    <w:rsid w:val="000F4403"/>
    <w:rsid w:val="000F4C3F"/>
    <w:rsid w:val="000F4E17"/>
    <w:rsid w:val="000F5A94"/>
    <w:rsid w:val="000F636A"/>
    <w:rsid w:val="000F6578"/>
    <w:rsid w:val="000F70CD"/>
    <w:rsid w:val="000F7239"/>
    <w:rsid w:val="000F79F9"/>
    <w:rsid w:val="000F7ABD"/>
    <w:rsid w:val="000F7E8F"/>
    <w:rsid w:val="000F7FBB"/>
    <w:rsid w:val="001000FB"/>
    <w:rsid w:val="00101134"/>
    <w:rsid w:val="00102605"/>
    <w:rsid w:val="00102686"/>
    <w:rsid w:val="00102745"/>
    <w:rsid w:val="001032E3"/>
    <w:rsid w:val="00103361"/>
    <w:rsid w:val="00103855"/>
    <w:rsid w:val="00103915"/>
    <w:rsid w:val="00103EA0"/>
    <w:rsid w:val="001046B8"/>
    <w:rsid w:val="00104F1C"/>
    <w:rsid w:val="001051E5"/>
    <w:rsid w:val="00105A74"/>
    <w:rsid w:val="00105ACB"/>
    <w:rsid w:val="00105AEF"/>
    <w:rsid w:val="00106259"/>
    <w:rsid w:val="001062F0"/>
    <w:rsid w:val="001065E4"/>
    <w:rsid w:val="001068EB"/>
    <w:rsid w:val="001078CE"/>
    <w:rsid w:val="00110CEB"/>
    <w:rsid w:val="00110F61"/>
    <w:rsid w:val="001111BD"/>
    <w:rsid w:val="0011165A"/>
    <w:rsid w:val="00111B2B"/>
    <w:rsid w:val="00111ED9"/>
    <w:rsid w:val="00112609"/>
    <w:rsid w:val="00112774"/>
    <w:rsid w:val="00112B2E"/>
    <w:rsid w:val="00112EFA"/>
    <w:rsid w:val="00113003"/>
    <w:rsid w:val="00113062"/>
    <w:rsid w:val="00113705"/>
    <w:rsid w:val="00113952"/>
    <w:rsid w:val="00113975"/>
    <w:rsid w:val="00113CFC"/>
    <w:rsid w:val="00113FEA"/>
    <w:rsid w:val="00113FF2"/>
    <w:rsid w:val="00114324"/>
    <w:rsid w:val="0011452E"/>
    <w:rsid w:val="00114A22"/>
    <w:rsid w:val="00114E9D"/>
    <w:rsid w:val="0011507B"/>
    <w:rsid w:val="001155EE"/>
    <w:rsid w:val="00115715"/>
    <w:rsid w:val="00115D13"/>
    <w:rsid w:val="00116328"/>
    <w:rsid w:val="001169FD"/>
    <w:rsid w:val="001174C9"/>
    <w:rsid w:val="00117C82"/>
    <w:rsid w:val="00117E69"/>
    <w:rsid w:val="00121103"/>
    <w:rsid w:val="0012156A"/>
    <w:rsid w:val="00121BAB"/>
    <w:rsid w:val="00121E3C"/>
    <w:rsid w:val="00122490"/>
    <w:rsid w:val="00122B23"/>
    <w:rsid w:val="00122B7E"/>
    <w:rsid w:val="00123D64"/>
    <w:rsid w:val="00123FB5"/>
    <w:rsid w:val="0012400F"/>
    <w:rsid w:val="001242D2"/>
    <w:rsid w:val="001246C9"/>
    <w:rsid w:val="001249DC"/>
    <w:rsid w:val="00125340"/>
    <w:rsid w:val="0012572D"/>
    <w:rsid w:val="00125BED"/>
    <w:rsid w:val="00125C59"/>
    <w:rsid w:val="00125D4F"/>
    <w:rsid w:val="00126F9B"/>
    <w:rsid w:val="00127004"/>
    <w:rsid w:val="00127AF2"/>
    <w:rsid w:val="00127EDC"/>
    <w:rsid w:val="00127F6D"/>
    <w:rsid w:val="00130355"/>
    <w:rsid w:val="00131B5A"/>
    <w:rsid w:val="00132C30"/>
    <w:rsid w:val="00132EFD"/>
    <w:rsid w:val="00133AED"/>
    <w:rsid w:val="00134FF9"/>
    <w:rsid w:val="00135E88"/>
    <w:rsid w:val="0013695C"/>
    <w:rsid w:val="00136BF7"/>
    <w:rsid w:val="001373B5"/>
    <w:rsid w:val="001378B9"/>
    <w:rsid w:val="00137FD1"/>
    <w:rsid w:val="00137FFA"/>
    <w:rsid w:val="00140109"/>
    <w:rsid w:val="0014029B"/>
    <w:rsid w:val="00140314"/>
    <w:rsid w:val="00140A4F"/>
    <w:rsid w:val="001413AB"/>
    <w:rsid w:val="00141A94"/>
    <w:rsid w:val="001432AF"/>
    <w:rsid w:val="00144335"/>
    <w:rsid w:val="0014502F"/>
    <w:rsid w:val="00145282"/>
    <w:rsid w:val="001453B0"/>
    <w:rsid w:val="001454D9"/>
    <w:rsid w:val="00145D8E"/>
    <w:rsid w:val="00146083"/>
    <w:rsid w:val="001462F7"/>
    <w:rsid w:val="001466F0"/>
    <w:rsid w:val="00146B60"/>
    <w:rsid w:val="00147798"/>
    <w:rsid w:val="00150005"/>
    <w:rsid w:val="00150A17"/>
    <w:rsid w:val="00151B99"/>
    <w:rsid w:val="001521B2"/>
    <w:rsid w:val="00152288"/>
    <w:rsid w:val="00152EDD"/>
    <w:rsid w:val="00153491"/>
    <w:rsid w:val="0015361C"/>
    <w:rsid w:val="0015372F"/>
    <w:rsid w:val="00153A05"/>
    <w:rsid w:val="00153A18"/>
    <w:rsid w:val="00153A87"/>
    <w:rsid w:val="00153BFB"/>
    <w:rsid w:val="0015407E"/>
    <w:rsid w:val="0015448E"/>
    <w:rsid w:val="00154A6F"/>
    <w:rsid w:val="00155D08"/>
    <w:rsid w:val="00156BE5"/>
    <w:rsid w:val="00156FDB"/>
    <w:rsid w:val="00157232"/>
    <w:rsid w:val="00160401"/>
    <w:rsid w:val="00160D4E"/>
    <w:rsid w:val="00161E62"/>
    <w:rsid w:val="00161F1C"/>
    <w:rsid w:val="0016200B"/>
    <w:rsid w:val="00162AEC"/>
    <w:rsid w:val="00163D7A"/>
    <w:rsid w:val="00164281"/>
    <w:rsid w:val="00164AF1"/>
    <w:rsid w:val="001654DF"/>
    <w:rsid w:val="00166900"/>
    <w:rsid w:val="00167503"/>
    <w:rsid w:val="001676A9"/>
    <w:rsid w:val="0016789B"/>
    <w:rsid w:val="00167A15"/>
    <w:rsid w:val="00167A50"/>
    <w:rsid w:val="00167D66"/>
    <w:rsid w:val="00167DF5"/>
    <w:rsid w:val="00170001"/>
    <w:rsid w:val="0017145A"/>
    <w:rsid w:val="0017199E"/>
    <w:rsid w:val="00171EE0"/>
    <w:rsid w:val="00172198"/>
    <w:rsid w:val="00172612"/>
    <w:rsid w:val="001726C0"/>
    <w:rsid w:val="00172817"/>
    <w:rsid w:val="001734E3"/>
    <w:rsid w:val="0017350E"/>
    <w:rsid w:val="00173754"/>
    <w:rsid w:val="0017391B"/>
    <w:rsid w:val="001742BF"/>
    <w:rsid w:val="001749DF"/>
    <w:rsid w:val="00175E49"/>
    <w:rsid w:val="00176431"/>
    <w:rsid w:val="00176470"/>
    <w:rsid w:val="0017659F"/>
    <w:rsid w:val="00177076"/>
    <w:rsid w:val="001805C1"/>
    <w:rsid w:val="00180A2E"/>
    <w:rsid w:val="001813AF"/>
    <w:rsid w:val="001829CD"/>
    <w:rsid w:val="00182F01"/>
    <w:rsid w:val="00184F27"/>
    <w:rsid w:val="001850E6"/>
    <w:rsid w:val="0018519B"/>
    <w:rsid w:val="001858F3"/>
    <w:rsid w:val="00185AFE"/>
    <w:rsid w:val="00185E78"/>
    <w:rsid w:val="00186984"/>
    <w:rsid w:val="00187177"/>
    <w:rsid w:val="00187443"/>
    <w:rsid w:val="00187ABD"/>
    <w:rsid w:val="001904E3"/>
    <w:rsid w:val="0019087A"/>
    <w:rsid w:val="00191007"/>
    <w:rsid w:val="00191395"/>
    <w:rsid w:val="00191C5A"/>
    <w:rsid w:val="00191CEB"/>
    <w:rsid w:val="00191E63"/>
    <w:rsid w:val="00192D68"/>
    <w:rsid w:val="0019388B"/>
    <w:rsid w:val="00193B9A"/>
    <w:rsid w:val="00193F7E"/>
    <w:rsid w:val="00194458"/>
    <w:rsid w:val="001946AE"/>
    <w:rsid w:val="001946D5"/>
    <w:rsid w:val="00194E8C"/>
    <w:rsid w:val="00194EF3"/>
    <w:rsid w:val="001962EC"/>
    <w:rsid w:val="001963DD"/>
    <w:rsid w:val="001965DB"/>
    <w:rsid w:val="00196647"/>
    <w:rsid w:val="00196DC9"/>
    <w:rsid w:val="001A0236"/>
    <w:rsid w:val="001A0AF8"/>
    <w:rsid w:val="001A18D5"/>
    <w:rsid w:val="001A1D4A"/>
    <w:rsid w:val="001A2BDB"/>
    <w:rsid w:val="001A3011"/>
    <w:rsid w:val="001A325B"/>
    <w:rsid w:val="001A3FC3"/>
    <w:rsid w:val="001A42FB"/>
    <w:rsid w:val="001A43C6"/>
    <w:rsid w:val="001A4A08"/>
    <w:rsid w:val="001A4DAF"/>
    <w:rsid w:val="001A5028"/>
    <w:rsid w:val="001A525F"/>
    <w:rsid w:val="001A652F"/>
    <w:rsid w:val="001A66DF"/>
    <w:rsid w:val="001A67D0"/>
    <w:rsid w:val="001A687E"/>
    <w:rsid w:val="001A6BF1"/>
    <w:rsid w:val="001A7313"/>
    <w:rsid w:val="001A7591"/>
    <w:rsid w:val="001A75B1"/>
    <w:rsid w:val="001A7FBE"/>
    <w:rsid w:val="001B0366"/>
    <w:rsid w:val="001B0444"/>
    <w:rsid w:val="001B096B"/>
    <w:rsid w:val="001B0F9F"/>
    <w:rsid w:val="001B123C"/>
    <w:rsid w:val="001B1A0D"/>
    <w:rsid w:val="001B1BF1"/>
    <w:rsid w:val="001B2456"/>
    <w:rsid w:val="001B2890"/>
    <w:rsid w:val="001B40C7"/>
    <w:rsid w:val="001B449C"/>
    <w:rsid w:val="001B4AA2"/>
    <w:rsid w:val="001B4ADE"/>
    <w:rsid w:val="001B5C86"/>
    <w:rsid w:val="001B5EF8"/>
    <w:rsid w:val="001C027C"/>
    <w:rsid w:val="001C037A"/>
    <w:rsid w:val="001C07C6"/>
    <w:rsid w:val="001C08B2"/>
    <w:rsid w:val="001C19CD"/>
    <w:rsid w:val="001C22D5"/>
    <w:rsid w:val="001C2515"/>
    <w:rsid w:val="001C2550"/>
    <w:rsid w:val="001C26FB"/>
    <w:rsid w:val="001C33C1"/>
    <w:rsid w:val="001C33F5"/>
    <w:rsid w:val="001C3E30"/>
    <w:rsid w:val="001C3E5C"/>
    <w:rsid w:val="001C5072"/>
    <w:rsid w:val="001C5B2A"/>
    <w:rsid w:val="001C600B"/>
    <w:rsid w:val="001C6407"/>
    <w:rsid w:val="001C6898"/>
    <w:rsid w:val="001C6DD8"/>
    <w:rsid w:val="001C7515"/>
    <w:rsid w:val="001C7C7B"/>
    <w:rsid w:val="001D068D"/>
    <w:rsid w:val="001D0A71"/>
    <w:rsid w:val="001D0C08"/>
    <w:rsid w:val="001D12D1"/>
    <w:rsid w:val="001D15DF"/>
    <w:rsid w:val="001D2970"/>
    <w:rsid w:val="001D30F3"/>
    <w:rsid w:val="001D31A0"/>
    <w:rsid w:val="001D338E"/>
    <w:rsid w:val="001D3D3F"/>
    <w:rsid w:val="001D408D"/>
    <w:rsid w:val="001D4141"/>
    <w:rsid w:val="001D56E9"/>
    <w:rsid w:val="001D7923"/>
    <w:rsid w:val="001D796A"/>
    <w:rsid w:val="001D7A84"/>
    <w:rsid w:val="001D7C79"/>
    <w:rsid w:val="001E0E15"/>
    <w:rsid w:val="001E15F0"/>
    <w:rsid w:val="001E1CC4"/>
    <w:rsid w:val="001E1D38"/>
    <w:rsid w:val="001E1DEE"/>
    <w:rsid w:val="001E250D"/>
    <w:rsid w:val="001E4258"/>
    <w:rsid w:val="001E442F"/>
    <w:rsid w:val="001E4587"/>
    <w:rsid w:val="001E56FF"/>
    <w:rsid w:val="001E5A69"/>
    <w:rsid w:val="001E5B84"/>
    <w:rsid w:val="001E5D6A"/>
    <w:rsid w:val="001E62E9"/>
    <w:rsid w:val="001E67AB"/>
    <w:rsid w:val="001E70FB"/>
    <w:rsid w:val="001E780A"/>
    <w:rsid w:val="001F07D6"/>
    <w:rsid w:val="001F0FA0"/>
    <w:rsid w:val="001F1349"/>
    <w:rsid w:val="001F1863"/>
    <w:rsid w:val="001F232D"/>
    <w:rsid w:val="001F2356"/>
    <w:rsid w:val="001F2A68"/>
    <w:rsid w:val="001F35AE"/>
    <w:rsid w:val="001F39EA"/>
    <w:rsid w:val="001F4773"/>
    <w:rsid w:val="001F5008"/>
    <w:rsid w:val="001F512D"/>
    <w:rsid w:val="001F56AA"/>
    <w:rsid w:val="001F58AA"/>
    <w:rsid w:val="001F5EF6"/>
    <w:rsid w:val="001F657F"/>
    <w:rsid w:val="001F6BD5"/>
    <w:rsid w:val="001F6FB6"/>
    <w:rsid w:val="001F7978"/>
    <w:rsid w:val="001F7A0E"/>
    <w:rsid w:val="0020022E"/>
    <w:rsid w:val="002004AC"/>
    <w:rsid w:val="0020054E"/>
    <w:rsid w:val="00200B51"/>
    <w:rsid w:val="0020106C"/>
    <w:rsid w:val="00201F1E"/>
    <w:rsid w:val="0020299B"/>
    <w:rsid w:val="00202E44"/>
    <w:rsid w:val="002037AA"/>
    <w:rsid w:val="00203FE3"/>
    <w:rsid w:val="002042D8"/>
    <w:rsid w:val="00204515"/>
    <w:rsid w:val="00204BF5"/>
    <w:rsid w:val="00204D91"/>
    <w:rsid w:val="00204D9B"/>
    <w:rsid w:val="00204E6B"/>
    <w:rsid w:val="002058D4"/>
    <w:rsid w:val="00205BAA"/>
    <w:rsid w:val="0020632A"/>
    <w:rsid w:val="002064A6"/>
    <w:rsid w:val="0020697F"/>
    <w:rsid w:val="002077FA"/>
    <w:rsid w:val="0020796E"/>
    <w:rsid w:val="00210430"/>
    <w:rsid w:val="0021096F"/>
    <w:rsid w:val="002110EB"/>
    <w:rsid w:val="00211338"/>
    <w:rsid w:val="00211342"/>
    <w:rsid w:val="00211388"/>
    <w:rsid w:val="0021148C"/>
    <w:rsid w:val="00211694"/>
    <w:rsid w:val="0021201A"/>
    <w:rsid w:val="00213592"/>
    <w:rsid w:val="00213A1F"/>
    <w:rsid w:val="00213C63"/>
    <w:rsid w:val="00214502"/>
    <w:rsid w:val="00214741"/>
    <w:rsid w:val="0021539A"/>
    <w:rsid w:val="00215743"/>
    <w:rsid w:val="00215793"/>
    <w:rsid w:val="00215852"/>
    <w:rsid w:val="00215AC4"/>
    <w:rsid w:val="00215B8E"/>
    <w:rsid w:val="00216208"/>
    <w:rsid w:val="00216264"/>
    <w:rsid w:val="002168B8"/>
    <w:rsid w:val="002176B6"/>
    <w:rsid w:val="0021792D"/>
    <w:rsid w:val="00217DB8"/>
    <w:rsid w:val="0022032A"/>
    <w:rsid w:val="002221CE"/>
    <w:rsid w:val="00222BE8"/>
    <w:rsid w:val="00223102"/>
    <w:rsid w:val="002232CB"/>
    <w:rsid w:val="00223EFE"/>
    <w:rsid w:val="00224022"/>
    <w:rsid w:val="00224D01"/>
    <w:rsid w:val="00225C7E"/>
    <w:rsid w:val="00226055"/>
    <w:rsid w:val="0022613F"/>
    <w:rsid w:val="00226236"/>
    <w:rsid w:val="00226287"/>
    <w:rsid w:val="00226DF9"/>
    <w:rsid w:val="002270C9"/>
    <w:rsid w:val="00227710"/>
    <w:rsid w:val="00227A8B"/>
    <w:rsid w:val="0023146B"/>
    <w:rsid w:val="002315A0"/>
    <w:rsid w:val="00231CE0"/>
    <w:rsid w:val="00231DBA"/>
    <w:rsid w:val="00231EC7"/>
    <w:rsid w:val="00232354"/>
    <w:rsid w:val="00232A6C"/>
    <w:rsid w:val="00232E15"/>
    <w:rsid w:val="00233079"/>
    <w:rsid w:val="0023382C"/>
    <w:rsid w:val="00233977"/>
    <w:rsid w:val="00233C58"/>
    <w:rsid w:val="00233C71"/>
    <w:rsid w:val="002345B6"/>
    <w:rsid w:val="00234B84"/>
    <w:rsid w:val="00235D5E"/>
    <w:rsid w:val="00236016"/>
    <w:rsid w:val="00236E95"/>
    <w:rsid w:val="00237065"/>
    <w:rsid w:val="00237589"/>
    <w:rsid w:val="0023758D"/>
    <w:rsid w:val="002375A7"/>
    <w:rsid w:val="0024016B"/>
    <w:rsid w:val="0024019A"/>
    <w:rsid w:val="002402A8"/>
    <w:rsid w:val="00240695"/>
    <w:rsid w:val="002411DE"/>
    <w:rsid w:val="0024131D"/>
    <w:rsid w:val="002413B5"/>
    <w:rsid w:val="002414D3"/>
    <w:rsid w:val="002415B8"/>
    <w:rsid w:val="00241618"/>
    <w:rsid w:val="00242D62"/>
    <w:rsid w:val="00243057"/>
    <w:rsid w:val="002431D7"/>
    <w:rsid w:val="00243257"/>
    <w:rsid w:val="00243434"/>
    <w:rsid w:val="00244058"/>
    <w:rsid w:val="00244F9A"/>
    <w:rsid w:val="00245718"/>
    <w:rsid w:val="00245E07"/>
    <w:rsid w:val="00246A5D"/>
    <w:rsid w:val="0024729C"/>
    <w:rsid w:val="00247712"/>
    <w:rsid w:val="00250C45"/>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57C83"/>
    <w:rsid w:val="002604AA"/>
    <w:rsid w:val="0026059D"/>
    <w:rsid w:val="0026129B"/>
    <w:rsid w:val="00261560"/>
    <w:rsid w:val="00261715"/>
    <w:rsid w:val="00261CF9"/>
    <w:rsid w:val="00261EC0"/>
    <w:rsid w:val="0026231B"/>
    <w:rsid w:val="00262A26"/>
    <w:rsid w:val="0026306A"/>
    <w:rsid w:val="00263101"/>
    <w:rsid w:val="00263201"/>
    <w:rsid w:val="00263336"/>
    <w:rsid w:val="00263A37"/>
    <w:rsid w:val="00263EAE"/>
    <w:rsid w:val="00264409"/>
    <w:rsid w:val="002648AB"/>
    <w:rsid w:val="002653A6"/>
    <w:rsid w:val="002655A1"/>
    <w:rsid w:val="00265663"/>
    <w:rsid w:val="0026608D"/>
    <w:rsid w:val="002661F1"/>
    <w:rsid w:val="002663BA"/>
    <w:rsid w:val="002664B7"/>
    <w:rsid w:val="00266CB5"/>
    <w:rsid w:val="00267D66"/>
    <w:rsid w:val="002711A4"/>
    <w:rsid w:val="00271F13"/>
    <w:rsid w:val="002721E2"/>
    <w:rsid w:val="00274DB5"/>
    <w:rsid w:val="00275BB1"/>
    <w:rsid w:val="00275FBF"/>
    <w:rsid w:val="00276373"/>
    <w:rsid w:val="00277933"/>
    <w:rsid w:val="00277F13"/>
    <w:rsid w:val="00277F8D"/>
    <w:rsid w:val="00277FA7"/>
    <w:rsid w:val="00280F3D"/>
    <w:rsid w:val="0028106A"/>
    <w:rsid w:val="00281EB4"/>
    <w:rsid w:val="00282C21"/>
    <w:rsid w:val="0028308E"/>
    <w:rsid w:val="002830FE"/>
    <w:rsid w:val="002831B9"/>
    <w:rsid w:val="002834E9"/>
    <w:rsid w:val="0028396F"/>
    <w:rsid w:val="00283A52"/>
    <w:rsid w:val="00283C5E"/>
    <w:rsid w:val="00283E26"/>
    <w:rsid w:val="0028428F"/>
    <w:rsid w:val="00284CFC"/>
    <w:rsid w:val="00285624"/>
    <w:rsid w:val="0028565E"/>
    <w:rsid w:val="00285832"/>
    <w:rsid w:val="00285969"/>
    <w:rsid w:val="0028663B"/>
    <w:rsid w:val="00286CEC"/>
    <w:rsid w:val="002871A9"/>
    <w:rsid w:val="00287B7E"/>
    <w:rsid w:val="00290781"/>
    <w:rsid w:val="00290929"/>
    <w:rsid w:val="002912D3"/>
    <w:rsid w:val="00291784"/>
    <w:rsid w:val="002929BB"/>
    <w:rsid w:val="00292E64"/>
    <w:rsid w:val="002932BA"/>
    <w:rsid w:val="00293669"/>
    <w:rsid w:val="00294368"/>
    <w:rsid w:val="00294B78"/>
    <w:rsid w:val="00295646"/>
    <w:rsid w:val="00295820"/>
    <w:rsid w:val="00295949"/>
    <w:rsid w:val="0029624A"/>
    <w:rsid w:val="00296922"/>
    <w:rsid w:val="0029697C"/>
    <w:rsid w:val="00296EAF"/>
    <w:rsid w:val="00296F71"/>
    <w:rsid w:val="00297098"/>
    <w:rsid w:val="00297251"/>
    <w:rsid w:val="002A05D4"/>
    <w:rsid w:val="002A09FF"/>
    <w:rsid w:val="002A0C01"/>
    <w:rsid w:val="002A0E60"/>
    <w:rsid w:val="002A1A58"/>
    <w:rsid w:val="002A1B02"/>
    <w:rsid w:val="002A1C53"/>
    <w:rsid w:val="002A28FC"/>
    <w:rsid w:val="002A2B44"/>
    <w:rsid w:val="002A2EA5"/>
    <w:rsid w:val="002A3842"/>
    <w:rsid w:val="002A3D94"/>
    <w:rsid w:val="002A4736"/>
    <w:rsid w:val="002A4B1C"/>
    <w:rsid w:val="002A4BDD"/>
    <w:rsid w:val="002A4CC8"/>
    <w:rsid w:val="002A4DBB"/>
    <w:rsid w:val="002A5A80"/>
    <w:rsid w:val="002A6AFB"/>
    <w:rsid w:val="002A6E3A"/>
    <w:rsid w:val="002A733D"/>
    <w:rsid w:val="002A774A"/>
    <w:rsid w:val="002A7AFB"/>
    <w:rsid w:val="002A7E5C"/>
    <w:rsid w:val="002A7F6D"/>
    <w:rsid w:val="002B020D"/>
    <w:rsid w:val="002B1342"/>
    <w:rsid w:val="002B27C8"/>
    <w:rsid w:val="002B2A7F"/>
    <w:rsid w:val="002B330B"/>
    <w:rsid w:val="002B39BE"/>
    <w:rsid w:val="002B4039"/>
    <w:rsid w:val="002B438C"/>
    <w:rsid w:val="002B48DB"/>
    <w:rsid w:val="002B4B34"/>
    <w:rsid w:val="002B508E"/>
    <w:rsid w:val="002B541A"/>
    <w:rsid w:val="002B6407"/>
    <w:rsid w:val="002B6416"/>
    <w:rsid w:val="002B6459"/>
    <w:rsid w:val="002B64D2"/>
    <w:rsid w:val="002B6A75"/>
    <w:rsid w:val="002B73B0"/>
    <w:rsid w:val="002B7F7A"/>
    <w:rsid w:val="002C078F"/>
    <w:rsid w:val="002C1143"/>
    <w:rsid w:val="002C24B4"/>
    <w:rsid w:val="002C2739"/>
    <w:rsid w:val="002C2B3A"/>
    <w:rsid w:val="002C2B87"/>
    <w:rsid w:val="002C3CF4"/>
    <w:rsid w:val="002C441A"/>
    <w:rsid w:val="002C4A73"/>
    <w:rsid w:val="002C4B84"/>
    <w:rsid w:val="002C4C0C"/>
    <w:rsid w:val="002C5016"/>
    <w:rsid w:val="002C5570"/>
    <w:rsid w:val="002C5C2F"/>
    <w:rsid w:val="002C5D0F"/>
    <w:rsid w:val="002C5E87"/>
    <w:rsid w:val="002C60B9"/>
    <w:rsid w:val="002C6A1D"/>
    <w:rsid w:val="002C6A6F"/>
    <w:rsid w:val="002C6F77"/>
    <w:rsid w:val="002C6F94"/>
    <w:rsid w:val="002C704D"/>
    <w:rsid w:val="002C77DD"/>
    <w:rsid w:val="002D0845"/>
    <w:rsid w:val="002D0933"/>
    <w:rsid w:val="002D0F58"/>
    <w:rsid w:val="002D1866"/>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0B5F"/>
    <w:rsid w:val="002E1050"/>
    <w:rsid w:val="002E18E5"/>
    <w:rsid w:val="002E1953"/>
    <w:rsid w:val="002E2D7D"/>
    <w:rsid w:val="002E3AB5"/>
    <w:rsid w:val="002E3D76"/>
    <w:rsid w:val="002E40A1"/>
    <w:rsid w:val="002E43A9"/>
    <w:rsid w:val="002E48EC"/>
    <w:rsid w:val="002E4B44"/>
    <w:rsid w:val="002E4DA4"/>
    <w:rsid w:val="002E4ECB"/>
    <w:rsid w:val="002E4F23"/>
    <w:rsid w:val="002E5B53"/>
    <w:rsid w:val="002E74C4"/>
    <w:rsid w:val="002E7732"/>
    <w:rsid w:val="002E7847"/>
    <w:rsid w:val="002E7FCF"/>
    <w:rsid w:val="002F0073"/>
    <w:rsid w:val="002F0618"/>
    <w:rsid w:val="002F1D41"/>
    <w:rsid w:val="002F240B"/>
    <w:rsid w:val="002F2F50"/>
    <w:rsid w:val="002F3601"/>
    <w:rsid w:val="002F45F6"/>
    <w:rsid w:val="002F692F"/>
    <w:rsid w:val="002F69BE"/>
    <w:rsid w:val="002F6E70"/>
    <w:rsid w:val="002F70D9"/>
    <w:rsid w:val="002F7B66"/>
    <w:rsid w:val="00300AC1"/>
    <w:rsid w:val="00300CB4"/>
    <w:rsid w:val="00300DE7"/>
    <w:rsid w:val="00300E24"/>
    <w:rsid w:val="0030101C"/>
    <w:rsid w:val="003033BA"/>
    <w:rsid w:val="003043A3"/>
    <w:rsid w:val="00304B96"/>
    <w:rsid w:val="00304BD4"/>
    <w:rsid w:val="0030500A"/>
    <w:rsid w:val="0030517B"/>
    <w:rsid w:val="003052EB"/>
    <w:rsid w:val="00305FCB"/>
    <w:rsid w:val="0030600C"/>
    <w:rsid w:val="003063C3"/>
    <w:rsid w:val="003066D1"/>
    <w:rsid w:val="00306B44"/>
    <w:rsid w:val="00307C44"/>
    <w:rsid w:val="0031088E"/>
    <w:rsid w:val="00310A35"/>
    <w:rsid w:val="00310CAF"/>
    <w:rsid w:val="00310D01"/>
    <w:rsid w:val="00311376"/>
    <w:rsid w:val="003118E7"/>
    <w:rsid w:val="00311A1F"/>
    <w:rsid w:val="00311B47"/>
    <w:rsid w:val="00311D52"/>
    <w:rsid w:val="00312190"/>
    <w:rsid w:val="003125E0"/>
    <w:rsid w:val="00312606"/>
    <w:rsid w:val="003126D5"/>
    <w:rsid w:val="0031271D"/>
    <w:rsid w:val="0031336A"/>
    <w:rsid w:val="00313447"/>
    <w:rsid w:val="00313748"/>
    <w:rsid w:val="003138A4"/>
    <w:rsid w:val="00313EA3"/>
    <w:rsid w:val="0031447D"/>
    <w:rsid w:val="003147DC"/>
    <w:rsid w:val="0031496A"/>
    <w:rsid w:val="00315457"/>
    <w:rsid w:val="003161A4"/>
    <w:rsid w:val="00316955"/>
    <w:rsid w:val="0031720A"/>
    <w:rsid w:val="0031749B"/>
    <w:rsid w:val="003174E5"/>
    <w:rsid w:val="00317C9D"/>
    <w:rsid w:val="00317CD2"/>
    <w:rsid w:val="00317D99"/>
    <w:rsid w:val="00317EA2"/>
    <w:rsid w:val="0032078D"/>
    <w:rsid w:val="003209BE"/>
    <w:rsid w:val="00320A6E"/>
    <w:rsid w:val="00320F34"/>
    <w:rsid w:val="0032137B"/>
    <w:rsid w:val="003214F7"/>
    <w:rsid w:val="00321BD6"/>
    <w:rsid w:val="00321FA3"/>
    <w:rsid w:val="003227D3"/>
    <w:rsid w:val="003228EB"/>
    <w:rsid w:val="00322937"/>
    <w:rsid w:val="00322A46"/>
    <w:rsid w:val="00322A84"/>
    <w:rsid w:val="00323881"/>
    <w:rsid w:val="00323B73"/>
    <w:rsid w:val="00325141"/>
    <w:rsid w:val="003254F5"/>
    <w:rsid w:val="00325D98"/>
    <w:rsid w:val="0032682A"/>
    <w:rsid w:val="00327A5C"/>
    <w:rsid w:val="0033092C"/>
    <w:rsid w:val="0033122A"/>
    <w:rsid w:val="003315AC"/>
    <w:rsid w:val="00331932"/>
    <w:rsid w:val="00331A60"/>
    <w:rsid w:val="0033245D"/>
    <w:rsid w:val="00332F46"/>
    <w:rsid w:val="00333873"/>
    <w:rsid w:val="00333A88"/>
    <w:rsid w:val="00333D20"/>
    <w:rsid w:val="00333FFB"/>
    <w:rsid w:val="00335B15"/>
    <w:rsid w:val="00335B21"/>
    <w:rsid w:val="00335D3F"/>
    <w:rsid w:val="00336104"/>
    <w:rsid w:val="00336729"/>
    <w:rsid w:val="00336AB1"/>
    <w:rsid w:val="0033726D"/>
    <w:rsid w:val="00337362"/>
    <w:rsid w:val="00337807"/>
    <w:rsid w:val="00337CA8"/>
    <w:rsid w:val="00337EAD"/>
    <w:rsid w:val="0034125B"/>
    <w:rsid w:val="0034177C"/>
    <w:rsid w:val="00341ECD"/>
    <w:rsid w:val="00342345"/>
    <w:rsid w:val="00342B56"/>
    <w:rsid w:val="00342C27"/>
    <w:rsid w:val="003430C8"/>
    <w:rsid w:val="003432C8"/>
    <w:rsid w:val="003434B3"/>
    <w:rsid w:val="00343536"/>
    <w:rsid w:val="00343EFB"/>
    <w:rsid w:val="00344014"/>
    <w:rsid w:val="003443DF"/>
    <w:rsid w:val="00344760"/>
    <w:rsid w:val="00344A64"/>
    <w:rsid w:val="0034680A"/>
    <w:rsid w:val="00346C62"/>
    <w:rsid w:val="0034740F"/>
    <w:rsid w:val="0034778E"/>
    <w:rsid w:val="003501E2"/>
    <w:rsid w:val="003507D0"/>
    <w:rsid w:val="00350A59"/>
    <w:rsid w:val="00351E10"/>
    <w:rsid w:val="0035254F"/>
    <w:rsid w:val="003525E7"/>
    <w:rsid w:val="0035273A"/>
    <w:rsid w:val="00352D59"/>
    <w:rsid w:val="003533F4"/>
    <w:rsid w:val="003536F6"/>
    <w:rsid w:val="00353DD5"/>
    <w:rsid w:val="00353EDF"/>
    <w:rsid w:val="00354A64"/>
    <w:rsid w:val="00355131"/>
    <w:rsid w:val="00355462"/>
    <w:rsid w:val="00356438"/>
    <w:rsid w:val="00356687"/>
    <w:rsid w:val="00357107"/>
    <w:rsid w:val="003572C3"/>
    <w:rsid w:val="0036098D"/>
    <w:rsid w:val="003609C4"/>
    <w:rsid w:val="00361A59"/>
    <w:rsid w:val="003631CC"/>
    <w:rsid w:val="00363348"/>
    <w:rsid w:val="00363857"/>
    <w:rsid w:val="00363D59"/>
    <w:rsid w:val="003640F7"/>
    <w:rsid w:val="00364300"/>
    <w:rsid w:val="00365D3A"/>
    <w:rsid w:val="00365F2A"/>
    <w:rsid w:val="003661DD"/>
    <w:rsid w:val="003664FF"/>
    <w:rsid w:val="00366B70"/>
    <w:rsid w:val="00366BD2"/>
    <w:rsid w:val="003670B8"/>
    <w:rsid w:val="0036776E"/>
    <w:rsid w:val="00370308"/>
    <w:rsid w:val="003704A3"/>
    <w:rsid w:val="003706F2"/>
    <w:rsid w:val="0037124F"/>
    <w:rsid w:val="0037195B"/>
    <w:rsid w:val="00373827"/>
    <w:rsid w:val="00373971"/>
    <w:rsid w:val="00373F04"/>
    <w:rsid w:val="0037401C"/>
    <w:rsid w:val="00374922"/>
    <w:rsid w:val="00374A1E"/>
    <w:rsid w:val="0037507B"/>
    <w:rsid w:val="003759D1"/>
    <w:rsid w:val="00375C7C"/>
    <w:rsid w:val="003762F6"/>
    <w:rsid w:val="00376A1F"/>
    <w:rsid w:val="00377027"/>
    <w:rsid w:val="00377135"/>
    <w:rsid w:val="00380272"/>
    <w:rsid w:val="00380355"/>
    <w:rsid w:val="00380576"/>
    <w:rsid w:val="003805DB"/>
    <w:rsid w:val="003813F4"/>
    <w:rsid w:val="0038152A"/>
    <w:rsid w:val="00382BAD"/>
    <w:rsid w:val="00383A8D"/>
    <w:rsid w:val="00383B2B"/>
    <w:rsid w:val="00384CD6"/>
    <w:rsid w:val="00384DF1"/>
    <w:rsid w:val="00384FF3"/>
    <w:rsid w:val="003852D5"/>
    <w:rsid w:val="003859DA"/>
    <w:rsid w:val="00386456"/>
    <w:rsid w:val="003865A9"/>
    <w:rsid w:val="00387642"/>
    <w:rsid w:val="00390088"/>
    <w:rsid w:val="003902B1"/>
    <w:rsid w:val="003903B6"/>
    <w:rsid w:val="00390CD3"/>
    <w:rsid w:val="00390F32"/>
    <w:rsid w:val="0039130D"/>
    <w:rsid w:val="0039135E"/>
    <w:rsid w:val="0039200F"/>
    <w:rsid w:val="00392333"/>
    <w:rsid w:val="00392FFF"/>
    <w:rsid w:val="0039319C"/>
    <w:rsid w:val="003938CD"/>
    <w:rsid w:val="00393CAE"/>
    <w:rsid w:val="003945DC"/>
    <w:rsid w:val="003945F4"/>
    <w:rsid w:val="0039496D"/>
    <w:rsid w:val="00394EB5"/>
    <w:rsid w:val="0039539A"/>
    <w:rsid w:val="003953B4"/>
    <w:rsid w:val="0039615F"/>
    <w:rsid w:val="003965C8"/>
    <w:rsid w:val="00396675"/>
    <w:rsid w:val="00396A29"/>
    <w:rsid w:val="00397FF0"/>
    <w:rsid w:val="003A053B"/>
    <w:rsid w:val="003A07D9"/>
    <w:rsid w:val="003A0878"/>
    <w:rsid w:val="003A10DE"/>
    <w:rsid w:val="003A1561"/>
    <w:rsid w:val="003A1D25"/>
    <w:rsid w:val="003A22A2"/>
    <w:rsid w:val="003A2447"/>
    <w:rsid w:val="003A2AA1"/>
    <w:rsid w:val="003A31A5"/>
    <w:rsid w:val="003A3851"/>
    <w:rsid w:val="003A39DD"/>
    <w:rsid w:val="003A3E9C"/>
    <w:rsid w:val="003A4A8E"/>
    <w:rsid w:val="003A563C"/>
    <w:rsid w:val="003A581E"/>
    <w:rsid w:val="003A6160"/>
    <w:rsid w:val="003A65A5"/>
    <w:rsid w:val="003A72F5"/>
    <w:rsid w:val="003A78E5"/>
    <w:rsid w:val="003B0341"/>
    <w:rsid w:val="003B120F"/>
    <w:rsid w:val="003B1E57"/>
    <w:rsid w:val="003B1F7F"/>
    <w:rsid w:val="003B2885"/>
    <w:rsid w:val="003B2E6C"/>
    <w:rsid w:val="003B2EF3"/>
    <w:rsid w:val="003B3676"/>
    <w:rsid w:val="003B4B1C"/>
    <w:rsid w:val="003B4CB2"/>
    <w:rsid w:val="003B534F"/>
    <w:rsid w:val="003B5391"/>
    <w:rsid w:val="003B5952"/>
    <w:rsid w:val="003B65D7"/>
    <w:rsid w:val="003B65E0"/>
    <w:rsid w:val="003B6BD4"/>
    <w:rsid w:val="003B6E93"/>
    <w:rsid w:val="003B6F4D"/>
    <w:rsid w:val="003B6FE7"/>
    <w:rsid w:val="003B7234"/>
    <w:rsid w:val="003B7413"/>
    <w:rsid w:val="003B7B6B"/>
    <w:rsid w:val="003C0791"/>
    <w:rsid w:val="003C0D1F"/>
    <w:rsid w:val="003C116A"/>
    <w:rsid w:val="003C1AF4"/>
    <w:rsid w:val="003C1B63"/>
    <w:rsid w:val="003C1CB8"/>
    <w:rsid w:val="003C2550"/>
    <w:rsid w:val="003C287F"/>
    <w:rsid w:val="003C3339"/>
    <w:rsid w:val="003C375A"/>
    <w:rsid w:val="003C43F6"/>
    <w:rsid w:val="003C4D9F"/>
    <w:rsid w:val="003C5118"/>
    <w:rsid w:val="003C622C"/>
    <w:rsid w:val="003C6D53"/>
    <w:rsid w:val="003C6DE8"/>
    <w:rsid w:val="003C73C7"/>
    <w:rsid w:val="003D0195"/>
    <w:rsid w:val="003D03F3"/>
    <w:rsid w:val="003D050B"/>
    <w:rsid w:val="003D0B98"/>
    <w:rsid w:val="003D0C3C"/>
    <w:rsid w:val="003D0DE5"/>
    <w:rsid w:val="003D1351"/>
    <w:rsid w:val="003D21C1"/>
    <w:rsid w:val="003D3707"/>
    <w:rsid w:val="003D3B15"/>
    <w:rsid w:val="003D3B2E"/>
    <w:rsid w:val="003D484D"/>
    <w:rsid w:val="003D49CB"/>
    <w:rsid w:val="003D4BD6"/>
    <w:rsid w:val="003D5960"/>
    <w:rsid w:val="003D6412"/>
    <w:rsid w:val="003D6B8F"/>
    <w:rsid w:val="003D7067"/>
    <w:rsid w:val="003D7566"/>
    <w:rsid w:val="003D7708"/>
    <w:rsid w:val="003D79E4"/>
    <w:rsid w:val="003D7C2F"/>
    <w:rsid w:val="003E08B3"/>
    <w:rsid w:val="003E09BB"/>
    <w:rsid w:val="003E159D"/>
    <w:rsid w:val="003E20EA"/>
    <w:rsid w:val="003E210C"/>
    <w:rsid w:val="003E27ED"/>
    <w:rsid w:val="003E2913"/>
    <w:rsid w:val="003E2F55"/>
    <w:rsid w:val="003E317C"/>
    <w:rsid w:val="003E34DB"/>
    <w:rsid w:val="003E3833"/>
    <w:rsid w:val="003E3902"/>
    <w:rsid w:val="003E3AF9"/>
    <w:rsid w:val="003E4047"/>
    <w:rsid w:val="003E412A"/>
    <w:rsid w:val="003E4A70"/>
    <w:rsid w:val="003E4C48"/>
    <w:rsid w:val="003E4CD9"/>
    <w:rsid w:val="003E54B3"/>
    <w:rsid w:val="003E5780"/>
    <w:rsid w:val="003E5B9F"/>
    <w:rsid w:val="003E6072"/>
    <w:rsid w:val="003E611E"/>
    <w:rsid w:val="003E62C1"/>
    <w:rsid w:val="003E6AB6"/>
    <w:rsid w:val="003E6E0B"/>
    <w:rsid w:val="003E6F27"/>
    <w:rsid w:val="003E71CD"/>
    <w:rsid w:val="003E74E5"/>
    <w:rsid w:val="003E76DF"/>
    <w:rsid w:val="003E78DA"/>
    <w:rsid w:val="003E7A8B"/>
    <w:rsid w:val="003F04B0"/>
    <w:rsid w:val="003F0F7F"/>
    <w:rsid w:val="003F300D"/>
    <w:rsid w:val="003F391F"/>
    <w:rsid w:val="003F40D6"/>
    <w:rsid w:val="003F4599"/>
    <w:rsid w:val="003F45E1"/>
    <w:rsid w:val="003F4F6C"/>
    <w:rsid w:val="003F516A"/>
    <w:rsid w:val="003F559E"/>
    <w:rsid w:val="003F5DB7"/>
    <w:rsid w:val="003F6181"/>
    <w:rsid w:val="003F63DF"/>
    <w:rsid w:val="003F7343"/>
    <w:rsid w:val="003F7FCA"/>
    <w:rsid w:val="00400002"/>
    <w:rsid w:val="00400054"/>
    <w:rsid w:val="004016A3"/>
    <w:rsid w:val="00401B31"/>
    <w:rsid w:val="0040202B"/>
    <w:rsid w:val="00402DE1"/>
    <w:rsid w:val="00402EEB"/>
    <w:rsid w:val="004035B9"/>
    <w:rsid w:val="004037C2"/>
    <w:rsid w:val="00404041"/>
    <w:rsid w:val="00404B43"/>
    <w:rsid w:val="00404C61"/>
    <w:rsid w:val="00405487"/>
    <w:rsid w:val="004054B1"/>
    <w:rsid w:val="0040550C"/>
    <w:rsid w:val="00405792"/>
    <w:rsid w:val="0040602B"/>
    <w:rsid w:val="00407A7A"/>
    <w:rsid w:val="00407ABC"/>
    <w:rsid w:val="00407BFD"/>
    <w:rsid w:val="00407F1E"/>
    <w:rsid w:val="004106C5"/>
    <w:rsid w:val="00410A88"/>
    <w:rsid w:val="004112B5"/>
    <w:rsid w:val="00411317"/>
    <w:rsid w:val="00411A9E"/>
    <w:rsid w:val="00411D88"/>
    <w:rsid w:val="0041214C"/>
    <w:rsid w:val="0041259F"/>
    <w:rsid w:val="00412B4D"/>
    <w:rsid w:val="00412BBF"/>
    <w:rsid w:val="00412C51"/>
    <w:rsid w:val="00413262"/>
    <w:rsid w:val="0041329C"/>
    <w:rsid w:val="004139F4"/>
    <w:rsid w:val="00413FFA"/>
    <w:rsid w:val="00414246"/>
    <w:rsid w:val="0041475B"/>
    <w:rsid w:val="00414760"/>
    <w:rsid w:val="00414C2F"/>
    <w:rsid w:val="00414D9A"/>
    <w:rsid w:val="00415194"/>
    <w:rsid w:val="00415816"/>
    <w:rsid w:val="00415B88"/>
    <w:rsid w:val="00415D32"/>
    <w:rsid w:val="004160A2"/>
    <w:rsid w:val="004166CB"/>
    <w:rsid w:val="00416879"/>
    <w:rsid w:val="00417089"/>
    <w:rsid w:val="004170D7"/>
    <w:rsid w:val="004177A6"/>
    <w:rsid w:val="00417EFD"/>
    <w:rsid w:val="004200EE"/>
    <w:rsid w:val="004209D2"/>
    <w:rsid w:val="00420D6E"/>
    <w:rsid w:val="00421BD2"/>
    <w:rsid w:val="00421E00"/>
    <w:rsid w:val="00421FCB"/>
    <w:rsid w:val="00421FF6"/>
    <w:rsid w:val="0042261B"/>
    <w:rsid w:val="00422DCA"/>
    <w:rsid w:val="00423F9F"/>
    <w:rsid w:val="0042499B"/>
    <w:rsid w:val="00424FEC"/>
    <w:rsid w:val="0042540A"/>
    <w:rsid w:val="00425444"/>
    <w:rsid w:val="00425C43"/>
    <w:rsid w:val="00426C69"/>
    <w:rsid w:val="004273FA"/>
    <w:rsid w:val="004277B4"/>
    <w:rsid w:val="00430186"/>
    <w:rsid w:val="00430730"/>
    <w:rsid w:val="0043269A"/>
    <w:rsid w:val="00432E14"/>
    <w:rsid w:val="004333C2"/>
    <w:rsid w:val="00433ACB"/>
    <w:rsid w:val="00434787"/>
    <w:rsid w:val="004347DA"/>
    <w:rsid w:val="00434C13"/>
    <w:rsid w:val="00435F8A"/>
    <w:rsid w:val="00436323"/>
    <w:rsid w:val="0043683F"/>
    <w:rsid w:val="00436D66"/>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945"/>
    <w:rsid w:val="00443B55"/>
    <w:rsid w:val="00443D27"/>
    <w:rsid w:val="00445AC2"/>
    <w:rsid w:val="00446037"/>
    <w:rsid w:val="0044642F"/>
    <w:rsid w:val="004468C3"/>
    <w:rsid w:val="00447021"/>
    <w:rsid w:val="0044772C"/>
    <w:rsid w:val="004502AA"/>
    <w:rsid w:val="004507BD"/>
    <w:rsid w:val="00450846"/>
    <w:rsid w:val="00450B1A"/>
    <w:rsid w:val="004510BD"/>
    <w:rsid w:val="0045159C"/>
    <w:rsid w:val="00451A52"/>
    <w:rsid w:val="00451FC8"/>
    <w:rsid w:val="0045271D"/>
    <w:rsid w:val="00452755"/>
    <w:rsid w:val="00452803"/>
    <w:rsid w:val="004529C6"/>
    <w:rsid w:val="00452EAD"/>
    <w:rsid w:val="004531D5"/>
    <w:rsid w:val="004533D1"/>
    <w:rsid w:val="004534D1"/>
    <w:rsid w:val="00453A53"/>
    <w:rsid w:val="004544CA"/>
    <w:rsid w:val="00454548"/>
    <w:rsid w:val="00454582"/>
    <w:rsid w:val="00454717"/>
    <w:rsid w:val="00455047"/>
    <w:rsid w:val="00455354"/>
    <w:rsid w:val="0045558D"/>
    <w:rsid w:val="00455811"/>
    <w:rsid w:val="00455DEE"/>
    <w:rsid w:val="00456970"/>
    <w:rsid w:val="00456BB1"/>
    <w:rsid w:val="00456DDB"/>
    <w:rsid w:val="0046080F"/>
    <w:rsid w:val="00460915"/>
    <w:rsid w:val="00460946"/>
    <w:rsid w:val="004613D2"/>
    <w:rsid w:val="004614A9"/>
    <w:rsid w:val="00461B6F"/>
    <w:rsid w:val="00461E97"/>
    <w:rsid w:val="00462452"/>
    <w:rsid w:val="0046268F"/>
    <w:rsid w:val="0046284F"/>
    <w:rsid w:val="00462B10"/>
    <w:rsid w:val="00462C04"/>
    <w:rsid w:val="0046320A"/>
    <w:rsid w:val="004633CF"/>
    <w:rsid w:val="0046361D"/>
    <w:rsid w:val="004638E2"/>
    <w:rsid w:val="00463E31"/>
    <w:rsid w:val="00464030"/>
    <w:rsid w:val="004647F8"/>
    <w:rsid w:val="004647FB"/>
    <w:rsid w:val="00464B49"/>
    <w:rsid w:val="00465456"/>
    <w:rsid w:val="00465677"/>
    <w:rsid w:val="00465AC3"/>
    <w:rsid w:val="00466616"/>
    <w:rsid w:val="00466A0C"/>
    <w:rsid w:val="0046775B"/>
    <w:rsid w:val="00470A6A"/>
    <w:rsid w:val="00470D92"/>
    <w:rsid w:val="004712D1"/>
    <w:rsid w:val="00471DF7"/>
    <w:rsid w:val="00471F6B"/>
    <w:rsid w:val="00472056"/>
    <w:rsid w:val="0047295C"/>
    <w:rsid w:val="00472D8E"/>
    <w:rsid w:val="004734CF"/>
    <w:rsid w:val="00474158"/>
    <w:rsid w:val="00474889"/>
    <w:rsid w:val="00474C31"/>
    <w:rsid w:val="00475C5A"/>
    <w:rsid w:val="00475C9C"/>
    <w:rsid w:val="0047676B"/>
    <w:rsid w:val="0047773C"/>
    <w:rsid w:val="00477C5F"/>
    <w:rsid w:val="00480050"/>
    <w:rsid w:val="004808DE"/>
    <w:rsid w:val="00481AC4"/>
    <w:rsid w:val="00481DC1"/>
    <w:rsid w:val="00482507"/>
    <w:rsid w:val="0048268A"/>
    <w:rsid w:val="00482BB3"/>
    <w:rsid w:val="00483356"/>
    <w:rsid w:val="004835CA"/>
    <w:rsid w:val="004836F8"/>
    <w:rsid w:val="004836FE"/>
    <w:rsid w:val="00483D20"/>
    <w:rsid w:val="00484074"/>
    <w:rsid w:val="004843F9"/>
    <w:rsid w:val="00484F0F"/>
    <w:rsid w:val="00484F40"/>
    <w:rsid w:val="0048540C"/>
    <w:rsid w:val="004854E5"/>
    <w:rsid w:val="0048592F"/>
    <w:rsid w:val="004859FF"/>
    <w:rsid w:val="0048605E"/>
    <w:rsid w:val="004861B4"/>
    <w:rsid w:val="00486741"/>
    <w:rsid w:val="00486AB4"/>
    <w:rsid w:val="00486BD0"/>
    <w:rsid w:val="00486D00"/>
    <w:rsid w:val="00487263"/>
    <w:rsid w:val="0048734F"/>
    <w:rsid w:val="0049029D"/>
    <w:rsid w:val="0049030C"/>
    <w:rsid w:val="004903C0"/>
    <w:rsid w:val="0049105E"/>
    <w:rsid w:val="0049114B"/>
    <w:rsid w:val="004912A8"/>
    <w:rsid w:val="00491577"/>
    <w:rsid w:val="0049196E"/>
    <w:rsid w:val="0049241A"/>
    <w:rsid w:val="00492C1F"/>
    <w:rsid w:val="00492E4C"/>
    <w:rsid w:val="00493B2C"/>
    <w:rsid w:val="00493E04"/>
    <w:rsid w:val="004940E3"/>
    <w:rsid w:val="004942DE"/>
    <w:rsid w:val="0049530F"/>
    <w:rsid w:val="00495980"/>
    <w:rsid w:val="00496664"/>
    <w:rsid w:val="00496786"/>
    <w:rsid w:val="0049695B"/>
    <w:rsid w:val="00496D8F"/>
    <w:rsid w:val="00497463"/>
    <w:rsid w:val="00497B15"/>
    <w:rsid w:val="00497BA8"/>
    <w:rsid w:val="004A054C"/>
    <w:rsid w:val="004A08D1"/>
    <w:rsid w:val="004A16C1"/>
    <w:rsid w:val="004A188D"/>
    <w:rsid w:val="004A1CE2"/>
    <w:rsid w:val="004A2069"/>
    <w:rsid w:val="004A2800"/>
    <w:rsid w:val="004A34D2"/>
    <w:rsid w:val="004A41BA"/>
    <w:rsid w:val="004A4301"/>
    <w:rsid w:val="004A4E65"/>
    <w:rsid w:val="004A58EE"/>
    <w:rsid w:val="004A59B7"/>
    <w:rsid w:val="004A623B"/>
    <w:rsid w:val="004A6A04"/>
    <w:rsid w:val="004A6A52"/>
    <w:rsid w:val="004A6C78"/>
    <w:rsid w:val="004A79F2"/>
    <w:rsid w:val="004B0F0B"/>
    <w:rsid w:val="004B1501"/>
    <w:rsid w:val="004B1560"/>
    <w:rsid w:val="004B163F"/>
    <w:rsid w:val="004B2197"/>
    <w:rsid w:val="004B298A"/>
    <w:rsid w:val="004B424F"/>
    <w:rsid w:val="004B459F"/>
    <w:rsid w:val="004B4BB5"/>
    <w:rsid w:val="004B578D"/>
    <w:rsid w:val="004B5BE7"/>
    <w:rsid w:val="004B5E2D"/>
    <w:rsid w:val="004B5ED5"/>
    <w:rsid w:val="004B6793"/>
    <w:rsid w:val="004B6C07"/>
    <w:rsid w:val="004B72BB"/>
    <w:rsid w:val="004B74D3"/>
    <w:rsid w:val="004B76D3"/>
    <w:rsid w:val="004B7773"/>
    <w:rsid w:val="004B788E"/>
    <w:rsid w:val="004B79B3"/>
    <w:rsid w:val="004B7E5D"/>
    <w:rsid w:val="004C0DD8"/>
    <w:rsid w:val="004C22F7"/>
    <w:rsid w:val="004C2B27"/>
    <w:rsid w:val="004C3929"/>
    <w:rsid w:val="004C3D09"/>
    <w:rsid w:val="004C4DCB"/>
    <w:rsid w:val="004C5212"/>
    <w:rsid w:val="004C5464"/>
    <w:rsid w:val="004C5B3B"/>
    <w:rsid w:val="004C5BAC"/>
    <w:rsid w:val="004C5EF0"/>
    <w:rsid w:val="004C7226"/>
    <w:rsid w:val="004C74C9"/>
    <w:rsid w:val="004C7D70"/>
    <w:rsid w:val="004D02F9"/>
    <w:rsid w:val="004D03FE"/>
    <w:rsid w:val="004D0446"/>
    <w:rsid w:val="004D0A4F"/>
    <w:rsid w:val="004D0E03"/>
    <w:rsid w:val="004D0F95"/>
    <w:rsid w:val="004D106A"/>
    <w:rsid w:val="004D31EE"/>
    <w:rsid w:val="004D36AF"/>
    <w:rsid w:val="004D3BD1"/>
    <w:rsid w:val="004D4BA1"/>
    <w:rsid w:val="004D5451"/>
    <w:rsid w:val="004D584D"/>
    <w:rsid w:val="004D58DE"/>
    <w:rsid w:val="004D6041"/>
    <w:rsid w:val="004D61E1"/>
    <w:rsid w:val="004D6826"/>
    <w:rsid w:val="004D6D5E"/>
    <w:rsid w:val="004E023F"/>
    <w:rsid w:val="004E02DB"/>
    <w:rsid w:val="004E0742"/>
    <w:rsid w:val="004E0C64"/>
    <w:rsid w:val="004E0F6B"/>
    <w:rsid w:val="004E1545"/>
    <w:rsid w:val="004E1F1C"/>
    <w:rsid w:val="004E2A35"/>
    <w:rsid w:val="004E40CE"/>
    <w:rsid w:val="004E4465"/>
    <w:rsid w:val="004E518D"/>
    <w:rsid w:val="004E5736"/>
    <w:rsid w:val="004E5B36"/>
    <w:rsid w:val="004E6045"/>
    <w:rsid w:val="004E6758"/>
    <w:rsid w:val="004E6F43"/>
    <w:rsid w:val="004E7200"/>
    <w:rsid w:val="004F034D"/>
    <w:rsid w:val="004F0538"/>
    <w:rsid w:val="004F091D"/>
    <w:rsid w:val="004F0960"/>
    <w:rsid w:val="004F0A5C"/>
    <w:rsid w:val="004F163F"/>
    <w:rsid w:val="004F18A0"/>
    <w:rsid w:val="004F1A08"/>
    <w:rsid w:val="004F2B64"/>
    <w:rsid w:val="004F3764"/>
    <w:rsid w:val="004F3EEF"/>
    <w:rsid w:val="004F47D0"/>
    <w:rsid w:val="004F4B65"/>
    <w:rsid w:val="004F4DA2"/>
    <w:rsid w:val="004F5159"/>
    <w:rsid w:val="004F548C"/>
    <w:rsid w:val="004F5930"/>
    <w:rsid w:val="004F5970"/>
    <w:rsid w:val="004F5F0C"/>
    <w:rsid w:val="004F6121"/>
    <w:rsid w:val="004F6161"/>
    <w:rsid w:val="004F66BC"/>
    <w:rsid w:val="004F67B2"/>
    <w:rsid w:val="004F6C26"/>
    <w:rsid w:val="004F7AC9"/>
    <w:rsid w:val="004F7B81"/>
    <w:rsid w:val="005004B0"/>
    <w:rsid w:val="0050062F"/>
    <w:rsid w:val="00501285"/>
    <w:rsid w:val="005012E2"/>
    <w:rsid w:val="00501481"/>
    <w:rsid w:val="0050160F"/>
    <w:rsid w:val="005016C7"/>
    <w:rsid w:val="0050284E"/>
    <w:rsid w:val="0050332C"/>
    <w:rsid w:val="00504F88"/>
    <w:rsid w:val="00505DCB"/>
    <w:rsid w:val="005075CA"/>
    <w:rsid w:val="00507D10"/>
    <w:rsid w:val="0051074C"/>
    <w:rsid w:val="00510DE9"/>
    <w:rsid w:val="00511142"/>
    <w:rsid w:val="005111E2"/>
    <w:rsid w:val="00511231"/>
    <w:rsid w:val="005122F2"/>
    <w:rsid w:val="00512779"/>
    <w:rsid w:val="00512986"/>
    <w:rsid w:val="00512C4F"/>
    <w:rsid w:val="00512D8C"/>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065"/>
    <w:rsid w:val="00520899"/>
    <w:rsid w:val="00520922"/>
    <w:rsid w:val="005209FC"/>
    <w:rsid w:val="00520E50"/>
    <w:rsid w:val="00521153"/>
    <w:rsid w:val="005224E5"/>
    <w:rsid w:val="005226BE"/>
    <w:rsid w:val="005235ED"/>
    <w:rsid w:val="005236D9"/>
    <w:rsid w:val="00523903"/>
    <w:rsid w:val="005239B6"/>
    <w:rsid w:val="00523C45"/>
    <w:rsid w:val="00524165"/>
    <w:rsid w:val="005242BA"/>
    <w:rsid w:val="005246E7"/>
    <w:rsid w:val="00524FD2"/>
    <w:rsid w:val="00525621"/>
    <w:rsid w:val="00525B2E"/>
    <w:rsid w:val="00525E61"/>
    <w:rsid w:val="00526431"/>
    <w:rsid w:val="005265D8"/>
    <w:rsid w:val="005272AC"/>
    <w:rsid w:val="00527440"/>
    <w:rsid w:val="00527C6B"/>
    <w:rsid w:val="00527E57"/>
    <w:rsid w:val="00530405"/>
    <w:rsid w:val="00530522"/>
    <w:rsid w:val="005305E5"/>
    <w:rsid w:val="00530F38"/>
    <w:rsid w:val="00531F26"/>
    <w:rsid w:val="0053277C"/>
    <w:rsid w:val="005327C0"/>
    <w:rsid w:val="00533101"/>
    <w:rsid w:val="005336C5"/>
    <w:rsid w:val="00533CA9"/>
    <w:rsid w:val="00533DA7"/>
    <w:rsid w:val="005342A3"/>
    <w:rsid w:val="005346AD"/>
    <w:rsid w:val="00534C25"/>
    <w:rsid w:val="00534C80"/>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BFC"/>
    <w:rsid w:val="00546C9B"/>
    <w:rsid w:val="00547BF6"/>
    <w:rsid w:val="005502F9"/>
    <w:rsid w:val="00551098"/>
    <w:rsid w:val="00551581"/>
    <w:rsid w:val="00551598"/>
    <w:rsid w:val="00551610"/>
    <w:rsid w:val="0055162B"/>
    <w:rsid w:val="00551BFF"/>
    <w:rsid w:val="00551D68"/>
    <w:rsid w:val="00552B3E"/>
    <w:rsid w:val="00554254"/>
    <w:rsid w:val="00554F3F"/>
    <w:rsid w:val="005551AA"/>
    <w:rsid w:val="0055629A"/>
    <w:rsid w:val="005564CA"/>
    <w:rsid w:val="005568EA"/>
    <w:rsid w:val="00557140"/>
    <w:rsid w:val="00557DE4"/>
    <w:rsid w:val="0056058C"/>
    <w:rsid w:val="0056087A"/>
    <w:rsid w:val="00560C87"/>
    <w:rsid w:val="00560EF9"/>
    <w:rsid w:val="00560F51"/>
    <w:rsid w:val="005611CF"/>
    <w:rsid w:val="00561249"/>
    <w:rsid w:val="0056182B"/>
    <w:rsid w:val="00561AF3"/>
    <w:rsid w:val="00561E0B"/>
    <w:rsid w:val="00562141"/>
    <w:rsid w:val="00562D86"/>
    <w:rsid w:val="005642EC"/>
    <w:rsid w:val="0056451D"/>
    <w:rsid w:val="00564704"/>
    <w:rsid w:val="00564712"/>
    <w:rsid w:val="00564ED5"/>
    <w:rsid w:val="005657A8"/>
    <w:rsid w:val="00565952"/>
    <w:rsid w:val="00565D27"/>
    <w:rsid w:val="00566866"/>
    <w:rsid w:val="005670A5"/>
    <w:rsid w:val="00567106"/>
    <w:rsid w:val="005675E0"/>
    <w:rsid w:val="00567723"/>
    <w:rsid w:val="00567AB8"/>
    <w:rsid w:val="00567C02"/>
    <w:rsid w:val="005707F7"/>
    <w:rsid w:val="00570A26"/>
    <w:rsid w:val="00571301"/>
    <w:rsid w:val="0057170B"/>
    <w:rsid w:val="0057221F"/>
    <w:rsid w:val="00572539"/>
    <w:rsid w:val="005726FB"/>
    <w:rsid w:val="0057337D"/>
    <w:rsid w:val="00573504"/>
    <w:rsid w:val="00574708"/>
    <w:rsid w:val="00574D81"/>
    <w:rsid w:val="005756AA"/>
    <w:rsid w:val="00575FB1"/>
    <w:rsid w:val="00576043"/>
    <w:rsid w:val="0057614A"/>
    <w:rsid w:val="00576233"/>
    <w:rsid w:val="0057696F"/>
    <w:rsid w:val="005771B1"/>
    <w:rsid w:val="005774FE"/>
    <w:rsid w:val="0058040C"/>
    <w:rsid w:val="00580918"/>
    <w:rsid w:val="00580A56"/>
    <w:rsid w:val="00580D6D"/>
    <w:rsid w:val="005813DE"/>
    <w:rsid w:val="00581796"/>
    <w:rsid w:val="00581B45"/>
    <w:rsid w:val="00582480"/>
    <w:rsid w:val="00582763"/>
    <w:rsid w:val="0058290E"/>
    <w:rsid w:val="00582CAB"/>
    <w:rsid w:val="00582F4E"/>
    <w:rsid w:val="00583121"/>
    <w:rsid w:val="0058375E"/>
    <w:rsid w:val="00583AC8"/>
    <w:rsid w:val="00584233"/>
    <w:rsid w:val="005842D0"/>
    <w:rsid w:val="0058457E"/>
    <w:rsid w:val="005855AE"/>
    <w:rsid w:val="00585829"/>
    <w:rsid w:val="00585CA8"/>
    <w:rsid w:val="00586412"/>
    <w:rsid w:val="005864B9"/>
    <w:rsid w:val="005866C4"/>
    <w:rsid w:val="00586BDB"/>
    <w:rsid w:val="00590123"/>
    <w:rsid w:val="00590F1A"/>
    <w:rsid w:val="00591C03"/>
    <w:rsid w:val="00591E2A"/>
    <w:rsid w:val="005923C4"/>
    <w:rsid w:val="00592B56"/>
    <w:rsid w:val="00593F75"/>
    <w:rsid w:val="005940A0"/>
    <w:rsid w:val="00594257"/>
    <w:rsid w:val="0059429A"/>
    <w:rsid w:val="005948B5"/>
    <w:rsid w:val="00595FDD"/>
    <w:rsid w:val="00596AF7"/>
    <w:rsid w:val="00596CCE"/>
    <w:rsid w:val="00596E4A"/>
    <w:rsid w:val="00597096"/>
    <w:rsid w:val="005977B1"/>
    <w:rsid w:val="00597E38"/>
    <w:rsid w:val="005A1976"/>
    <w:rsid w:val="005A1D75"/>
    <w:rsid w:val="005A2120"/>
    <w:rsid w:val="005A2501"/>
    <w:rsid w:val="005A2C80"/>
    <w:rsid w:val="005A3066"/>
    <w:rsid w:val="005A3457"/>
    <w:rsid w:val="005A3B35"/>
    <w:rsid w:val="005A3C4B"/>
    <w:rsid w:val="005A3E5A"/>
    <w:rsid w:val="005A43F3"/>
    <w:rsid w:val="005A496F"/>
    <w:rsid w:val="005A4A56"/>
    <w:rsid w:val="005A4F02"/>
    <w:rsid w:val="005A5A3D"/>
    <w:rsid w:val="005A5C25"/>
    <w:rsid w:val="005A6035"/>
    <w:rsid w:val="005A6B75"/>
    <w:rsid w:val="005A6E00"/>
    <w:rsid w:val="005A718A"/>
    <w:rsid w:val="005B0891"/>
    <w:rsid w:val="005B09BE"/>
    <w:rsid w:val="005B12B2"/>
    <w:rsid w:val="005B143B"/>
    <w:rsid w:val="005B1504"/>
    <w:rsid w:val="005B1E45"/>
    <w:rsid w:val="005B21C4"/>
    <w:rsid w:val="005B2A28"/>
    <w:rsid w:val="005B3621"/>
    <w:rsid w:val="005B47FE"/>
    <w:rsid w:val="005B4948"/>
    <w:rsid w:val="005B501D"/>
    <w:rsid w:val="005B54CC"/>
    <w:rsid w:val="005B6AE8"/>
    <w:rsid w:val="005B74AD"/>
    <w:rsid w:val="005B7E96"/>
    <w:rsid w:val="005C0429"/>
    <w:rsid w:val="005C084F"/>
    <w:rsid w:val="005C0EE9"/>
    <w:rsid w:val="005C1575"/>
    <w:rsid w:val="005C1716"/>
    <w:rsid w:val="005C1954"/>
    <w:rsid w:val="005C1C0B"/>
    <w:rsid w:val="005C1D53"/>
    <w:rsid w:val="005C2011"/>
    <w:rsid w:val="005C2614"/>
    <w:rsid w:val="005C36CF"/>
    <w:rsid w:val="005C3EA3"/>
    <w:rsid w:val="005C5011"/>
    <w:rsid w:val="005C529E"/>
    <w:rsid w:val="005C57BA"/>
    <w:rsid w:val="005C5C52"/>
    <w:rsid w:val="005C5D3D"/>
    <w:rsid w:val="005C5F05"/>
    <w:rsid w:val="005C7497"/>
    <w:rsid w:val="005C7F3E"/>
    <w:rsid w:val="005D0E1C"/>
    <w:rsid w:val="005D1051"/>
    <w:rsid w:val="005D2044"/>
    <w:rsid w:val="005D27DC"/>
    <w:rsid w:val="005D2917"/>
    <w:rsid w:val="005D2EB2"/>
    <w:rsid w:val="005D2F48"/>
    <w:rsid w:val="005D41F2"/>
    <w:rsid w:val="005D4613"/>
    <w:rsid w:val="005D464B"/>
    <w:rsid w:val="005D466F"/>
    <w:rsid w:val="005D49F0"/>
    <w:rsid w:val="005D50BA"/>
    <w:rsid w:val="005D51FA"/>
    <w:rsid w:val="005D53E8"/>
    <w:rsid w:val="005D5A26"/>
    <w:rsid w:val="005D5A9D"/>
    <w:rsid w:val="005D60D4"/>
    <w:rsid w:val="005D6651"/>
    <w:rsid w:val="005D691D"/>
    <w:rsid w:val="005D6A72"/>
    <w:rsid w:val="005D7035"/>
    <w:rsid w:val="005D7147"/>
    <w:rsid w:val="005D749F"/>
    <w:rsid w:val="005D791B"/>
    <w:rsid w:val="005D7CF2"/>
    <w:rsid w:val="005D7F92"/>
    <w:rsid w:val="005E05AB"/>
    <w:rsid w:val="005E0D7B"/>
    <w:rsid w:val="005E1595"/>
    <w:rsid w:val="005E181F"/>
    <w:rsid w:val="005E1F1D"/>
    <w:rsid w:val="005E273D"/>
    <w:rsid w:val="005E3278"/>
    <w:rsid w:val="005E363B"/>
    <w:rsid w:val="005E3760"/>
    <w:rsid w:val="005E3B0D"/>
    <w:rsid w:val="005E6EA5"/>
    <w:rsid w:val="005E773C"/>
    <w:rsid w:val="005E7BED"/>
    <w:rsid w:val="005F041F"/>
    <w:rsid w:val="005F1216"/>
    <w:rsid w:val="005F1819"/>
    <w:rsid w:val="005F1D7D"/>
    <w:rsid w:val="005F1D89"/>
    <w:rsid w:val="005F22AB"/>
    <w:rsid w:val="005F305B"/>
    <w:rsid w:val="005F30A1"/>
    <w:rsid w:val="005F3361"/>
    <w:rsid w:val="005F3B1E"/>
    <w:rsid w:val="005F3B47"/>
    <w:rsid w:val="005F4481"/>
    <w:rsid w:val="005F49AF"/>
    <w:rsid w:val="005F4A58"/>
    <w:rsid w:val="005F54DF"/>
    <w:rsid w:val="005F5888"/>
    <w:rsid w:val="005F5984"/>
    <w:rsid w:val="005F5F37"/>
    <w:rsid w:val="005F63B1"/>
    <w:rsid w:val="005F6CE2"/>
    <w:rsid w:val="005F7111"/>
    <w:rsid w:val="005F72E9"/>
    <w:rsid w:val="005F730E"/>
    <w:rsid w:val="005F780B"/>
    <w:rsid w:val="005F7B0D"/>
    <w:rsid w:val="00600195"/>
    <w:rsid w:val="00600473"/>
    <w:rsid w:val="006013C9"/>
    <w:rsid w:val="006016EA"/>
    <w:rsid w:val="00602B45"/>
    <w:rsid w:val="00603499"/>
    <w:rsid w:val="006035F5"/>
    <w:rsid w:val="00603CC2"/>
    <w:rsid w:val="006047D1"/>
    <w:rsid w:val="00604A55"/>
    <w:rsid w:val="00604BC7"/>
    <w:rsid w:val="00604D3F"/>
    <w:rsid w:val="00604FBF"/>
    <w:rsid w:val="00605278"/>
    <w:rsid w:val="0060580F"/>
    <w:rsid w:val="00605AC3"/>
    <w:rsid w:val="00606908"/>
    <w:rsid w:val="00607996"/>
    <w:rsid w:val="00607A37"/>
    <w:rsid w:val="00607E9F"/>
    <w:rsid w:val="0061085E"/>
    <w:rsid w:val="00610DAF"/>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8D1"/>
    <w:rsid w:val="00620719"/>
    <w:rsid w:val="00621207"/>
    <w:rsid w:val="006212C9"/>
    <w:rsid w:val="00621981"/>
    <w:rsid w:val="00621D0C"/>
    <w:rsid w:val="00622470"/>
    <w:rsid w:val="00622725"/>
    <w:rsid w:val="006231AA"/>
    <w:rsid w:val="00623482"/>
    <w:rsid w:val="00623AC2"/>
    <w:rsid w:val="00623E9C"/>
    <w:rsid w:val="00623FF7"/>
    <w:rsid w:val="006240EF"/>
    <w:rsid w:val="0062471F"/>
    <w:rsid w:val="00624C21"/>
    <w:rsid w:val="00625A26"/>
    <w:rsid w:val="00625F38"/>
    <w:rsid w:val="006266D7"/>
    <w:rsid w:val="00626D42"/>
    <w:rsid w:val="00626EE3"/>
    <w:rsid w:val="00626F62"/>
    <w:rsid w:val="006274AD"/>
    <w:rsid w:val="00627532"/>
    <w:rsid w:val="006302AA"/>
    <w:rsid w:val="00630921"/>
    <w:rsid w:val="006310C3"/>
    <w:rsid w:val="0063161E"/>
    <w:rsid w:val="0063167C"/>
    <w:rsid w:val="00631A31"/>
    <w:rsid w:val="00631BB5"/>
    <w:rsid w:val="00631DD0"/>
    <w:rsid w:val="0063295C"/>
    <w:rsid w:val="00633367"/>
    <w:rsid w:val="00633DBF"/>
    <w:rsid w:val="00634122"/>
    <w:rsid w:val="00634477"/>
    <w:rsid w:val="00634504"/>
    <w:rsid w:val="00634C03"/>
    <w:rsid w:val="006355B6"/>
    <w:rsid w:val="00635E32"/>
    <w:rsid w:val="006365DE"/>
    <w:rsid w:val="00636BE4"/>
    <w:rsid w:val="0063746C"/>
    <w:rsid w:val="00637802"/>
    <w:rsid w:val="00637836"/>
    <w:rsid w:val="00637C26"/>
    <w:rsid w:val="00637F44"/>
    <w:rsid w:val="00640659"/>
    <w:rsid w:val="00641078"/>
    <w:rsid w:val="00641242"/>
    <w:rsid w:val="00641C4E"/>
    <w:rsid w:val="00642A32"/>
    <w:rsid w:val="006433D5"/>
    <w:rsid w:val="006438A1"/>
    <w:rsid w:val="00646B20"/>
    <w:rsid w:val="00646D0F"/>
    <w:rsid w:val="0064708F"/>
    <w:rsid w:val="00647936"/>
    <w:rsid w:val="00647A36"/>
    <w:rsid w:val="00647DCC"/>
    <w:rsid w:val="00647EFA"/>
    <w:rsid w:val="00647F14"/>
    <w:rsid w:val="00650027"/>
    <w:rsid w:val="006504EC"/>
    <w:rsid w:val="00650533"/>
    <w:rsid w:val="00650DE0"/>
    <w:rsid w:val="006513FF"/>
    <w:rsid w:val="00651B9C"/>
    <w:rsid w:val="00651C47"/>
    <w:rsid w:val="00651D98"/>
    <w:rsid w:val="00652854"/>
    <w:rsid w:val="00652D2C"/>
    <w:rsid w:val="00652E70"/>
    <w:rsid w:val="0065303A"/>
    <w:rsid w:val="00653091"/>
    <w:rsid w:val="0065339A"/>
    <w:rsid w:val="00653469"/>
    <w:rsid w:val="00653AB0"/>
    <w:rsid w:val="00653FD4"/>
    <w:rsid w:val="00654A38"/>
    <w:rsid w:val="00654B4B"/>
    <w:rsid w:val="00654B63"/>
    <w:rsid w:val="00655301"/>
    <w:rsid w:val="00655371"/>
    <w:rsid w:val="00655876"/>
    <w:rsid w:val="00656C4B"/>
    <w:rsid w:val="006573EA"/>
    <w:rsid w:val="00661029"/>
    <w:rsid w:val="00661042"/>
    <w:rsid w:val="0066135A"/>
    <w:rsid w:val="00661639"/>
    <w:rsid w:val="0066272D"/>
    <w:rsid w:val="00662E58"/>
    <w:rsid w:val="00662F39"/>
    <w:rsid w:val="006635A0"/>
    <w:rsid w:val="00664351"/>
    <w:rsid w:val="00665968"/>
    <w:rsid w:val="00665BF7"/>
    <w:rsid w:val="00666178"/>
    <w:rsid w:val="0066639E"/>
    <w:rsid w:val="00666473"/>
    <w:rsid w:val="00666555"/>
    <w:rsid w:val="00666C72"/>
    <w:rsid w:val="00666E6C"/>
    <w:rsid w:val="0066707F"/>
    <w:rsid w:val="00667781"/>
    <w:rsid w:val="00667ED8"/>
    <w:rsid w:val="0067060F"/>
    <w:rsid w:val="0067064C"/>
    <w:rsid w:val="00670B20"/>
    <w:rsid w:val="00670E12"/>
    <w:rsid w:val="0067160D"/>
    <w:rsid w:val="00672971"/>
    <w:rsid w:val="00672DE7"/>
    <w:rsid w:val="00672E80"/>
    <w:rsid w:val="006739E4"/>
    <w:rsid w:val="00673ECF"/>
    <w:rsid w:val="0067426B"/>
    <w:rsid w:val="00674A1B"/>
    <w:rsid w:val="006754F8"/>
    <w:rsid w:val="006758BE"/>
    <w:rsid w:val="00676127"/>
    <w:rsid w:val="00676AED"/>
    <w:rsid w:val="006776AC"/>
    <w:rsid w:val="00677981"/>
    <w:rsid w:val="006779B2"/>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2E0"/>
    <w:rsid w:val="00693772"/>
    <w:rsid w:val="00694160"/>
    <w:rsid w:val="006959A5"/>
    <w:rsid w:val="00695C0C"/>
    <w:rsid w:val="006965F9"/>
    <w:rsid w:val="00696736"/>
    <w:rsid w:val="00696A05"/>
    <w:rsid w:val="00696DCD"/>
    <w:rsid w:val="00697665"/>
    <w:rsid w:val="00697C9A"/>
    <w:rsid w:val="00697E68"/>
    <w:rsid w:val="006A0274"/>
    <w:rsid w:val="006A24B9"/>
    <w:rsid w:val="006A2A43"/>
    <w:rsid w:val="006A2BF1"/>
    <w:rsid w:val="006A2F9A"/>
    <w:rsid w:val="006A34E4"/>
    <w:rsid w:val="006A3704"/>
    <w:rsid w:val="006A3A5A"/>
    <w:rsid w:val="006A44CF"/>
    <w:rsid w:val="006A457D"/>
    <w:rsid w:val="006A4749"/>
    <w:rsid w:val="006A55EE"/>
    <w:rsid w:val="006A575B"/>
    <w:rsid w:val="006A59DE"/>
    <w:rsid w:val="006A63EB"/>
    <w:rsid w:val="006A6655"/>
    <w:rsid w:val="006A6803"/>
    <w:rsid w:val="006A687C"/>
    <w:rsid w:val="006A6B0B"/>
    <w:rsid w:val="006A6BF9"/>
    <w:rsid w:val="006A6F85"/>
    <w:rsid w:val="006A7CB5"/>
    <w:rsid w:val="006A7FD0"/>
    <w:rsid w:val="006B025C"/>
    <w:rsid w:val="006B16D3"/>
    <w:rsid w:val="006B2534"/>
    <w:rsid w:val="006B2CB2"/>
    <w:rsid w:val="006B347D"/>
    <w:rsid w:val="006B39F7"/>
    <w:rsid w:val="006B3E19"/>
    <w:rsid w:val="006B4488"/>
    <w:rsid w:val="006B671C"/>
    <w:rsid w:val="006B67AC"/>
    <w:rsid w:val="006B6A25"/>
    <w:rsid w:val="006B7285"/>
    <w:rsid w:val="006B786A"/>
    <w:rsid w:val="006B7E4E"/>
    <w:rsid w:val="006C003A"/>
    <w:rsid w:val="006C1C1B"/>
    <w:rsid w:val="006C2454"/>
    <w:rsid w:val="006C2551"/>
    <w:rsid w:val="006C3746"/>
    <w:rsid w:val="006C37CA"/>
    <w:rsid w:val="006C3889"/>
    <w:rsid w:val="006C40B7"/>
    <w:rsid w:val="006C40D2"/>
    <w:rsid w:val="006C5B15"/>
    <w:rsid w:val="006C5D32"/>
    <w:rsid w:val="006C5DCB"/>
    <w:rsid w:val="006C649B"/>
    <w:rsid w:val="006C70C4"/>
    <w:rsid w:val="006C775C"/>
    <w:rsid w:val="006D04DA"/>
    <w:rsid w:val="006D10F6"/>
    <w:rsid w:val="006D1475"/>
    <w:rsid w:val="006D1544"/>
    <w:rsid w:val="006D1688"/>
    <w:rsid w:val="006D1FF3"/>
    <w:rsid w:val="006D2C65"/>
    <w:rsid w:val="006D32C6"/>
    <w:rsid w:val="006D360E"/>
    <w:rsid w:val="006D3697"/>
    <w:rsid w:val="006D39D2"/>
    <w:rsid w:val="006D3F2A"/>
    <w:rsid w:val="006D4370"/>
    <w:rsid w:val="006D44EA"/>
    <w:rsid w:val="006D46A3"/>
    <w:rsid w:val="006D658F"/>
    <w:rsid w:val="006D69FA"/>
    <w:rsid w:val="006D6A12"/>
    <w:rsid w:val="006D712D"/>
    <w:rsid w:val="006D7687"/>
    <w:rsid w:val="006D7A60"/>
    <w:rsid w:val="006D7D1F"/>
    <w:rsid w:val="006D7D8A"/>
    <w:rsid w:val="006E0572"/>
    <w:rsid w:val="006E05D8"/>
    <w:rsid w:val="006E08EE"/>
    <w:rsid w:val="006E0DFD"/>
    <w:rsid w:val="006E1130"/>
    <w:rsid w:val="006E155A"/>
    <w:rsid w:val="006E3452"/>
    <w:rsid w:val="006E39D1"/>
    <w:rsid w:val="006E437F"/>
    <w:rsid w:val="006E4D5B"/>
    <w:rsid w:val="006E5195"/>
    <w:rsid w:val="006E602F"/>
    <w:rsid w:val="006E6720"/>
    <w:rsid w:val="006E68FA"/>
    <w:rsid w:val="006E7275"/>
    <w:rsid w:val="006E77B8"/>
    <w:rsid w:val="006E7824"/>
    <w:rsid w:val="006F15CC"/>
    <w:rsid w:val="006F1EED"/>
    <w:rsid w:val="006F3909"/>
    <w:rsid w:val="006F3BDD"/>
    <w:rsid w:val="006F4147"/>
    <w:rsid w:val="006F4315"/>
    <w:rsid w:val="006F4478"/>
    <w:rsid w:val="006F458D"/>
    <w:rsid w:val="006F4A6D"/>
    <w:rsid w:val="006F4CB0"/>
    <w:rsid w:val="006F4F78"/>
    <w:rsid w:val="006F535E"/>
    <w:rsid w:val="006F547E"/>
    <w:rsid w:val="006F5656"/>
    <w:rsid w:val="006F5CA8"/>
    <w:rsid w:val="006F5CCF"/>
    <w:rsid w:val="006F6A47"/>
    <w:rsid w:val="006F772B"/>
    <w:rsid w:val="006F78DC"/>
    <w:rsid w:val="006F7E39"/>
    <w:rsid w:val="00700D5F"/>
    <w:rsid w:val="0070138A"/>
    <w:rsid w:val="0070157E"/>
    <w:rsid w:val="007030D4"/>
    <w:rsid w:val="0070317C"/>
    <w:rsid w:val="00703279"/>
    <w:rsid w:val="007032BF"/>
    <w:rsid w:val="00703B61"/>
    <w:rsid w:val="00703B97"/>
    <w:rsid w:val="00703E11"/>
    <w:rsid w:val="00704102"/>
    <w:rsid w:val="0070461C"/>
    <w:rsid w:val="00705631"/>
    <w:rsid w:val="00705818"/>
    <w:rsid w:val="00705F62"/>
    <w:rsid w:val="0070773F"/>
    <w:rsid w:val="00707903"/>
    <w:rsid w:val="00707ED3"/>
    <w:rsid w:val="00710091"/>
    <w:rsid w:val="007101B7"/>
    <w:rsid w:val="00710668"/>
    <w:rsid w:val="007110F4"/>
    <w:rsid w:val="007112B1"/>
    <w:rsid w:val="0071130F"/>
    <w:rsid w:val="007119BD"/>
    <w:rsid w:val="00711EE1"/>
    <w:rsid w:val="00711F81"/>
    <w:rsid w:val="00712714"/>
    <w:rsid w:val="007128E3"/>
    <w:rsid w:val="007129AB"/>
    <w:rsid w:val="00712B63"/>
    <w:rsid w:val="007130E7"/>
    <w:rsid w:val="00713526"/>
    <w:rsid w:val="00713D6A"/>
    <w:rsid w:val="00713FC5"/>
    <w:rsid w:val="00715BBF"/>
    <w:rsid w:val="00715C29"/>
    <w:rsid w:val="00715CBD"/>
    <w:rsid w:val="00715E86"/>
    <w:rsid w:val="00715EAA"/>
    <w:rsid w:val="00716CAD"/>
    <w:rsid w:val="00716F18"/>
    <w:rsid w:val="0071716D"/>
    <w:rsid w:val="0071718F"/>
    <w:rsid w:val="00717363"/>
    <w:rsid w:val="0071745E"/>
    <w:rsid w:val="00717786"/>
    <w:rsid w:val="00717ACB"/>
    <w:rsid w:val="00717D81"/>
    <w:rsid w:val="007210A9"/>
    <w:rsid w:val="00721BFF"/>
    <w:rsid w:val="00722376"/>
    <w:rsid w:val="00722FD8"/>
    <w:rsid w:val="007236C4"/>
    <w:rsid w:val="00723B59"/>
    <w:rsid w:val="00724635"/>
    <w:rsid w:val="0072554B"/>
    <w:rsid w:val="00725AFD"/>
    <w:rsid w:val="00725F81"/>
    <w:rsid w:val="00725FE4"/>
    <w:rsid w:val="00726603"/>
    <w:rsid w:val="00727DDC"/>
    <w:rsid w:val="0073000A"/>
    <w:rsid w:val="00730CD6"/>
    <w:rsid w:val="00730F74"/>
    <w:rsid w:val="0073114B"/>
    <w:rsid w:val="00734414"/>
    <w:rsid w:val="00734952"/>
    <w:rsid w:val="00734990"/>
    <w:rsid w:val="00734FF5"/>
    <w:rsid w:val="00735761"/>
    <w:rsid w:val="00735B78"/>
    <w:rsid w:val="00735DA7"/>
    <w:rsid w:val="007367B7"/>
    <w:rsid w:val="007368B4"/>
    <w:rsid w:val="00736CDF"/>
    <w:rsid w:val="007378E0"/>
    <w:rsid w:val="00737C5C"/>
    <w:rsid w:val="0074026F"/>
    <w:rsid w:val="00740529"/>
    <w:rsid w:val="00740A6C"/>
    <w:rsid w:val="00741358"/>
    <w:rsid w:val="00741626"/>
    <w:rsid w:val="00742332"/>
    <w:rsid w:val="00742886"/>
    <w:rsid w:val="00742DD2"/>
    <w:rsid w:val="007437C6"/>
    <w:rsid w:val="007439EE"/>
    <w:rsid w:val="007441A2"/>
    <w:rsid w:val="00744B15"/>
    <w:rsid w:val="00744E80"/>
    <w:rsid w:val="00745035"/>
    <w:rsid w:val="0074531C"/>
    <w:rsid w:val="00745547"/>
    <w:rsid w:val="007459D0"/>
    <w:rsid w:val="0074623A"/>
    <w:rsid w:val="00746420"/>
    <w:rsid w:val="00746E04"/>
    <w:rsid w:val="00746E08"/>
    <w:rsid w:val="00746E3D"/>
    <w:rsid w:val="007472B2"/>
    <w:rsid w:val="007473B9"/>
    <w:rsid w:val="007474ED"/>
    <w:rsid w:val="00747529"/>
    <w:rsid w:val="007476EE"/>
    <w:rsid w:val="00747C96"/>
    <w:rsid w:val="00750075"/>
    <w:rsid w:val="007502EC"/>
    <w:rsid w:val="00750382"/>
    <w:rsid w:val="0075094E"/>
    <w:rsid w:val="00750FA8"/>
    <w:rsid w:val="00750FB5"/>
    <w:rsid w:val="00751B4C"/>
    <w:rsid w:val="007522E8"/>
    <w:rsid w:val="00752ABF"/>
    <w:rsid w:val="007537BD"/>
    <w:rsid w:val="00753BAC"/>
    <w:rsid w:val="00754A0B"/>
    <w:rsid w:val="007552DB"/>
    <w:rsid w:val="00755B08"/>
    <w:rsid w:val="00755DD0"/>
    <w:rsid w:val="0075647A"/>
    <w:rsid w:val="007566BE"/>
    <w:rsid w:val="00756A2F"/>
    <w:rsid w:val="007573E1"/>
    <w:rsid w:val="0075749E"/>
    <w:rsid w:val="007577DA"/>
    <w:rsid w:val="00757B2D"/>
    <w:rsid w:val="00757BAD"/>
    <w:rsid w:val="00757D62"/>
    <w:rsid w:val="00760844"/>
    <w:rsid w:val="00760867"/>
    <w:rsid w:val="00760EB6"/>
    <w:rsid w:val="0076105F"/>
    <w:rsid w:val="0076167B"/>
    <w:rsid w:val="007616DB"/>
    <w:rsid w:val="0076200D"/>
    <w:rsid w:val="0076228A"/>
    <w:rsid w:val="00762440"/>
    <w:rsid w:val="0076260A"/>
    <w:rsid w:val="007629B7"/>
    <w:rsid w:val="00762E60"/>
    <w:rsid w:val="007634AD"/>
    <w:rsid w:val="00763527"/>
    <w:rsid w:val="0076387E"/>
    <w:rsid w:val="007638FC"/>
    <w:rsid w:val="00764996"/>
    <w:rsid w:val="0076522C"/>
    <w:rsid w:val="00766ECC"/>
    <w:rsid w:val="007672F3"/>
    <w:rsid w:val="007676A9"/>
    <w:rsid w:val="007677B5"/>
    <w:rsid w:val="007678B1"/>
    <w:rsid w:val="00770317"/>
    <w:rsid w:val="007708A8"/>
    <w:rsid w:val="007720F7"/>
    <w:rsid w:val="00772275"/>
    <w:rsid w:val="0077227E"/>
    <w:rsid w:val="00773350"/>
    <w:rsid w:val="00773484"/>
    <w:rsid w:val="007734E4"/>
    <w:rsid w:val="0077380D"/>
    <w:rsid w:val="0077393F"/>
    <w:rsid w:val="00773BC8"/>
    <w:rsid w:val="0077466F"/>
    <w:rsid w:val="007752B7"/>
    <w:rsid w:val="007759A8"/>
    <w:rsid w:val="00775D98"/>
    <w:rsid w:val="00776FE5"/>
    <w:rsid w:val="00777101"/>
    <w:rsid w:val="007774E7"/>
    <w:rsid w:val="0077768C"/>
    <w:rsid w:val="00777696"/>
    <w:rsid w:val="00777E63"/>
    <w:rsid w:val="00777F46"/>
    <w:rsid w:val="00777FF4"/>
    <w:rsid w:val="00780251"/>
    <w:rsid w:val="007804FE"/>
    <w:rsid w:val="00780B99"/>
    <w:rsid w:val="00780F32"/>
    <w:rsid w:val="0078122E"/>
    <w:rsid w:val="00781939"/>
    <w:rsid w:val="00781D29"/>
    <w:rsid w:val="00782354"/>
    <w:rsid w:val="007825EF"/>
    <w:rsid w:val="007827B0"/>
    <w:rsid w:val="0078286B"/>
    <w:rsid w:val="00782D2C"/>
    <w:rsid w:val="00782FC2"/>
    <w:rsid w:val="00783687"/>
    <w:rsid w:val="007838B5"/>
    <w:rsid w:val="00784FC4"/>
    <w:rsid w:val="00785BBB"/>
    <w:rsid w:val="007863A4"/>
    <w:rsid w:val="00786FAD"/>
    <w:rsid w:val="007873C9"/>
    <w:rsid w:val="00787D90"/>
    <w:rsid w:val="00787F5E"/>
    <w:rsid w:val="00790164"/>
    <w:rsid w:val="007906E2"/>
    <w:rsid w:val="00790A24"/>
    <w:rsid w:val="00790A37"/>
    <w:rsid w:val="00790A60"/>
    <w:rsid w:val="00790CE2"/>
    <w:rsid w:val="0079146D"/>
    <w:rsid w:val="007917AD"/>
    <w:rsid w:val="00791C32"/>
    <w:rsid w:val="00791E08"/>
    <w:rsid w:val="00791FF0"/>
    <w:rsid w:val="007923D0"/>
    <w:rsid w:val="0079302C"/>
    <w:rsid w:val="007930D3"/>
    <w:rsid w:val="0079381F"/>
    <w:rsid w:val="00793B2E"/>
    <w:rsid w:val="007942C3"/>
    <w:rsid w:val="007943FC"/>
    <w:rsid w:val="007948F5"/>
    <w:rsid w:val="00795647"/>
    <w:rsid w:val="007963F6"/>
    <w:rsid w:val="00796418"/>
    <w:rsid w:val="00796485"/>
    <w:rsid w:val="00796576"/>
    <w:rsid w:val="00796E80"/>
    <w:rsid w:val="007977F1"/>
    <w:rsid w:val="007979AD"/>
    <w:rsid w:val="00797A9C"/>
    <w:rsid w:val="007A0EAB"/>
    <w:rsid w:val="007A2159"/>
    <w:rsid w:val="007A2341"/>
    <w:rsid w:val="007A31F6"/>
    <w:rsid w:val="007A38A1"/>
    <w:rsid w:val="007A3967"/>
    <w:rsid w:val="007A3BBE"/>
    <w:rsid w:val="007A4629"/>
    <w:rsid w:val="007A4766"/>
    <w:rsid w:val="007A5816"/>
    <w:rsid w:val="007A5947"/>
    <w:rsid w:val="007A6D9B"/>
    <w:rsid w:val="007B00D8"/>
    <w:rsid w:val="007B0313"/>
    <w:rsid w:val="007B05FB"/>
    <w:rsid w:val="007B0854"/>
    <w:rsid w:val="007B0E48"/>
    <w:rsid w:val="007B18FD"/>
    <w:rsid w:val="007B1D1B"/>
    <w:rsid w:val="007B1D1E"/>
    <w:rsid w:val="007B303E"/>
    <w:rsid w:val="007B32C0"/>
    <w:rsid w:val="007B32F7"/>
    <w:rsid w:val="007B3659"/>
    <w:rsid w:val="007B4558"/>
    <w:rsid w:val="007B4632"/>
    <w:rsid w:val="007B46A2"/>
    <w:rsid w:val="007B4828"/>
    <w:rsid w:val="007B4B2D"/>
    <w:rsid w:val="007B4D4A"/>
    <w:rsid w:val="007B5428"/>
    <w:rsid w:val="007B54FE"/>
    <w:rsid w:val="007B57A5"/>
    <w:rsid w:val="007B699E"/>
    <w:rsid w:val="007B6C64"/>
    <w:rsid w:val="007B6EC8"/>
    <w:rsid w:val="007B6F81"/>
    <w:rsid w:val="007B700B"/>
    <w:rsid w:val="007B7992"/>
    <w:rsid w:val="007B7EA2"/>
    <w:rsid w:val="007C025A"/>
    <w:rsid w:val="007C081B"/>
    <w:rsid w:val="007C097D"/>
    <w:rsid w:val="007C0C17"/>
    <w:rsid w:val="007C12D0"/>
    <w:rsid w:val="007C13FA"/>
    <w:rsid w:val="007C1672"/>
    <w:rsid w:val="007C2AD3"/>
    <w:rsid w:val="007C312A"/>
    <w:rsid w:val="007C3570"/>
    <w:rsid w:val="007C3F3B"/>
    <w:rsid w:val="007C4241"/>
    <w:rsid w:val="007C4630"/>
    <w:rsid w:val="007C54E5"/>
    <w:rsid w:val="007C55FF"/>
    <w:rsid w:val="007C6339"/>
    <w:rsid w:val="007C6EC5"/>
    <w:rsid w:val="007C7C43"/>
    <w:rsid w:val="007C7F0D"/>
    <w:rsid w:val="007D0D03"/>
    <w:rsid w:val="007D1134"/>
    <w:rsid w:val="007D20CF"/>
    <w:rsid w:val="007D23F7"/>
    <w:rsid w:val="007D247D"/>
    <w:rsid w:val="007D2566"/>
    <w:rsid w:val="007D2C18"/>
    <w:rsid w:val="007D2D74"/>
    <w:rsid w:val="007D333D"/>
    <w:rsid w:val="007D3395"/>
    <w:rsid w:val="007D33A0"/>
    <w:rsid w:val="007D3693"/>
    <w:rsid w:val="007D3C6D"/>
    <w:rsid w:val="007D409B"/>
    <w:rsid w:val="007D481A"/>
    <w:rsid w:val="007D5402"/>
    <w:rsid w:val="007D5648"/>
    <w:rsid w:val="007D58C5"/>
    <w:rsid w:val="007D5DE8"/>
    <w:rsid w:val="007D7503"/>
    <w:rsid w:val="007D7C53"/>
    <w:rsid w:val="007D7CFC"/>
    <w:rsid w:val="007D7FFC"/>
    <w:rsid w:val="007E0812"/>
    <w:rsid w:val="007E16A4"/>
    <w:rsid w:val="007E18DF"/>
    <w:rsid w:val="007E2A04"/>
    <w:rsid w:val="007E2C36"/>
    <w:rsid w:val="007E2F33"/>
    <w:rsid w:val="007E342A"/>
    <w:rsid w:val="007E350D"/>
    <w:rsid w:val="007E5C4A"/>
    <w:rsid w:val="007E64D4"/>
    <w:rsid w:val="007E66E9"/>
    <w:rsid w:val="007E69F2"/>
    <w:rsid w:val="007E7432"/>
    <w:rsid w:val="007E74BF"/>
    <w:rsid w:val="007E79BA"/>
    <w:rsid w:val="007F068B"/>
    <w:rsid w:val="007F14D3"/>
    <w:rsid w:val="007F1C15"/>
    <w:rsid w:val="007F1C42"/>
    <w:rsid w:val="007F1D9D"/>
    <w:rsid w:val="007F1E28"/>
    <w:rsid w:val="007F1F63"/>
    <w:rsid w:val="007F21D8"/>
    <w:rsid w:val="007F22A0"/>
    <w:rsid w:val="007F28FB"/>
    <w:rsid w:val="007F2F90"/>
    <w:rsid w:val="007F3320"/>
    <w:rsid w:val="007F392A"/>
    <w:rsid w:val="007F3AC1"/>
    <w:rsid w:val="007F48FA"/>
    <w:rsid w:val="007F4976"/>
    <w:rsid w:val="007F5A56"/>
    <w:rsid w:val="007F5F90"/>
    <w:rsid w:val="007F616E"/>
    <w:rsid w:val="007F665F"/>
    <w:rsid w:val="007F6B46"/>
    <w:rsid w:val="007F72CB"/>
    <w:rsid w:val="007F736A"/>
    <w:rsid w:val="007F75F1"/>
    <w:rsid w:val="007F7635"/>
    <w:rsid w:val="007F785F"/>
    <w:rsid w:val="007F7AF6"/>
    <w:rsid w:val="007F7E36"/>
    <w:rsid w:val="0080066A"/>
    <w:rsid w:val="00800681"/>
    <w:rsid w:val="00800E6D"/>
    <w:rsid w:val="008014D9"/>
    <w:rsid w:val="0080150F"/>
    <w:rsid w:val="0080153A"/>
    <w:rsid w:val="00801A2A"/>
    <w:rsid w:val="00802041"/>
    <w:rsid w:val="008022C9"/>
    <w:rsid w:val="00802C0C"/>
    <w:rsid w:val="00802F9E"/>
    <w:rsid w:val="00803700"/>
    <w:rsid w:val="00803D9D"/>
    <w:rsid w:val="008059C6"/>
    <w:rsid w:val="00805AD7"/>
    <w:rsid w:val="00805BD6"/>
    <w:rsid w:val="00805DE3"/>
    <w:rsid w:val="00807666"/>
    <w:rsid w:val="00807C35"/>
    <w:rsid w:val="00807F69"/>
    <w:rsid w:val="00807FF6"/>
    <w:rsid w:val="008100EC"/>
    <w:rsid w:val="008100F7"/>
    <w:rsid w:val="00810206"/>
    <w:rsid w:val="008104E6"/>
    <w:rsid w:val="00810DA0"/>
    <w:rsid w:val="00811898"/>
    <w:rsid w:val="008120C4"/>
    <w:rsid w:val="008124D8"/>
    <w:rsid w:val="0081323E"/>
    <w:rsid w:val="00813A7B"/>
    <w:rsid w:val="00813F04"/>
    <w:rsid w:val="00814B72"/>
    <w:rsid w:val="00814D88"/>
    <w:rsid w:val="008150B1"/>
    <w:rsid w:val="00815251"/>
    <w:rsid w:val="00815A07"/>
    <w:rsid w:val="00815C82"/>
    <w:rsid w:val="00815DA5"/>
    <w:rsid w:val="00816221"/>
    <w:rsid w:val="0081766B"/>
    <w:rsid w:val="00820406"/>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3A46"/>
    <w:rsid w:val="008241CE"/>
    <w:rsid w:val="00824BF3"/>
    <w:rsid w:val="00825240"/>
    <w:rsid w:val="00825B43"/>
    <w:rsid w:val="0082629D"/>
    <w:rsid w:val="008264B1"/>
    <w:rsid w:val="00827203"/>
    <w:rsid w:val="0082767A"/>
    <w:rsid w:val="00827CC0"/>
    <w:rsid w:val="0083037E"/>
    <w:rsid w:val="008309D9"/>
    <w:rsid w:val="00831026"/>
    <w:rsid w:val="0083119B"/>
    <w:rsid w:val="00831654"/>
    <w:rsid w:val="00831AD6"/>
    <w:rsid w:val="00831BAE"/>
    <w:rsid w:val="00832216"/>
    <w:rsid w:val="00832CD0"/>
    <w:rsid w:val="00832FDC"/>
    <w:rsid w:val="00833430"/>
    <w:rsid w:val="00834128"/>
    <w:rsid w:val="0083417F"/>
    <w:rsid w:val="00835143"/>
    <w:rsid w:val="008351F8"/>
    <w:rsid w:val="00835741"/>
    <w:rsid w:val="00836404"/>
    <w:rsid w:val="00836E74"/>
    <w:rsid w:val="00836EAB"/>
    <w:rsid w:val="00837673"/>
    <w:rsid w:val="00837937"/>
    <w:rsid w:val="00837D82"/>
    <w:rsid w:val="00840893"/>
    <w:rsid w:val="008409EC"/>
    <w:rsid w:val="00840E88"/>
    <w:rsid w:val="00841829"/>
    <w:rsid w:val="0084195A"/>
    <w:rsid w:val="008423EC"/>
    <w:rsid w:val="0084332E"/>
    <w:rsid w:val="00843615"/>
    <w:rsid w:val="00843698"/>
    <w:rsid w:val="00843A4B"/>
    <w:rsid w:val="00843B57"/>
    <w:rsid w:val="00843B60"/>
    <w:rsid w:val="00843D33"/>
    <w:rsid w:val="00844D4F"/>
    <w:rsid w:val="00845AE3"/>
    <w:rsid w:val="008466A0"/>
    <w:rsid w:val="00846D1D"/>
    <w:rsid w:val="00847535"/>
    <w:rsid w:val="00847744"/>
    <w:rsid w:val="00847804"/>
    <w:rsid w:val="00847B6D"/>
    <w:rsid w:val="00847FFA"/>
    <w:rsid w:val="0085092D"/>
    <w:rsid w:val="00850D82"/>
    <w:rsid w:val="00850F79"/>
    <w:rsid w:val="0085100B"/>
    <w:rsid w:val="0085304C"/>
    <w:rsid w:val="00853973"/>
    <w:rsid w:val="00853B5D"/>
    <w:rsid w:val="00853C4A"/>
    <w:rsid w:val="00854713"/>
    <w:rsid w:val="00854853"/>
    <w:rsid w:val="008548CA"/>
    <w:rsid w:val="00856C06"/>
    <w:rsid w:val="0085790B"/>
    <w:rsid w:val="00857AAC"/>
    <w:rsid w:val="00857C95"/>
    <w:rsid w:val="00857E78"/>
    <w:rsid w:val="00860AEF"/>
    <w:rsid w:val="0086122C"/>
    <w:rsid w:val="00861310"/>
    <w:rsid w:val="00861B7B"/>
    <w:rsid w:val="00861F0F"/>
    <w:rsid w:val="00861F53"/>
    <w:rsid w:val="0086289E"/>
    <w:rsid w:val="008633D3"/>
    <w:rsid w:val="008633D8"/>
    <w:rsid w:val="00863413"/>
    <w:rsid w:val="0086394E"/>
    <w:rsid w:val="00863F8A"/>
    <w:rsid w:val="00863FE3"/>
    <w:rsid w:val="00864241"/>
    <w:rsid w:val="0086468A"/>
    <w:rsid w:val="00864CD5"/>
    <w:rsid w:val="008650BE"/>
    <w:rsid w:val="00865127"/>
    <w:rsid w:val="008657C6"/>
    <w:rsid w:val="0086633B"/>
    <w:rsid w:val="00866495"/>
    <w:rsid w:val="00866931"/>
    <w:rsid w:val="00866FEF"/>
    <w:rsid w:val="00867326"/>
    <w:rsid w:val="0086737F"/>
    <w:rsid w:val="00867512"/>
    <w:rsid w:val="00867624"/>
    <w:rsid w:val="0087033C"/>
    <w:rsid w:val="00870B44"/>
    <w:rsid w:val="008712E8"/>
    <w:rsid w:val="008715ED"/>
    <w:rsid w:val="008717D8"/>
    <w:rsid w:val="00871E3C"/>
    <w:rsid w:val="0087213A"/>
    <w:rsid w:val="00872B54"/>
    <w:rsid w:val="00872F97"/>
    <w:rsid w:val="00873863"/>
    <w:rsid w:val="0087392A"/>
    <w:rsid w:val="00873D61"/>
    <w:rsid w:val="00874607"/>
    <w:rsid w:val="00874915"/>
    <w:rsid w:val="00874B89"/>
    <w:rsid w:val="008752DA"/>
    <w:rsid w:val="00875403"/>
    <w:rsid w:val="00875434"/>
    <w:rsid w:val="00875C2F"/>
    <w:rsid w:val="00875E7C"/>
    <w:rsid w:val="00876215"/>
    <w:rsid w:val="0087646C"/>
    <w:rsid w:val="00876815"/>
    <w:rsid w:val="00877932"/>
    <w:rsid w:val="008807F0"/>
    <w:rsid w:val="008808C7"/>
    <w:rsid w:val="0088106B"/>
    <w:rsid w:val="0088107D"/>
    <w:rsid w:val="008812E2"/>
    <w:rsid w:val="00881596"/>
    <w:rsid w:val="0088168A"/>
    <w:rsid w:val="00881E64"/>
    <w:rsid w:val="00882A3F"/>
    <w:rsid w:val="00882BB5"/>
    <w:rsid w:val="00882E39"/>
    <w:rsid w:val="0088497E"/>
    <w:rsid w:val="008850E3"/>
    <w:rsid w:val="008850EB"/>
    <w:rsid w:val="00885D6C"/>
    <w:rsid w:val="00886DF2"/>
    <w:rsid w:val="00886FB9"/>
    <w:rsid w:val="00887080"/>
    <w:rsid w:val="00887281"/>
    <w:rsid w:val="00887BC5"/>
    <w:rsid w:val="00887C79"/>
    <w:rsid w:val="008907CC"/>
    <w:rsid w:val="00890F8E"/>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72F"/>
    <w:rsid w:val="0089582D"/>
    <w:rsid w:val="008959C6"/>
    <w:rsid w:val="00895C08"/>
    <w:rsid w:val="00895FD3"/>
    <w:rsid w:val="0089606D"/>
    <w:rsid w:val="00896129"/>
    <w:rsid w:val="008965DF"/>
    <w:rsid w:val="0089774F"/>
    <w:rsid w:val="00897875"/>
    <w:rsid w:val="00897B2E"/>
    <w:rsid w:val="00897B8F"/>
    <w:rsid w:val="008A00D8"/>
    <w:rsid w:val="008A00D9"/>
    <w:rsid w:val="008A07D5"/>
    <w:rsid w:val="008A20C5"/>
    <w:rsid w:val="008A2527"/>
    <w:rsid w:val="008A295B"/>
    <w:rsid w:val="008A2A0D"/>
    <w:rsid w:val="008A2A23"/>
    <w:rsid w:val="008A2AF5"/>
    <w:rsid w:val="008A2B5A"/>
    <w:rsid w:val="008A2DD1"/>
    <w:rsid w:val="008A3F9D"/>
    <w:rsid w:val="008A5474"/>
    <w:rsid w:val="008A5C9A"/>
    <w:rsid w:val="008A6A55"/>
    <w:rsid w:val="008A6C5C"/>
    <w:rsid w:val="008A6DF0"/>
    <w:rsid w:val="008A6F6E"/>
    <w:rsid w:val="008A7888"/>
    <w:rsid w:val="008A796E"/>
    <w:rsid w:val="008A7EA1"/>
    <w:rsid w:val="008B03D8"/>
    <w:rsid w:val="008B06D9"/>
    <w:rsid w:val="008B0862"/>
    <w:rsid w:val="008B088C"/>
    <w:rsid w:val="008B1BF5"/>
    <w:rsid w:val="008B2268"/>
    <w:rsid w:val="008B263F"/>
    <w:rsid w:val="008B3A08"/>
    <w:rsid w:val="008B47A6"/>
    <w:rsid w:val="008B6649"/>
    <w:rsid w:val="008B672C"/>
    <w:rsid w:val="008B7611"/>
    <w:rsid w:val="008C036D"/>
    <w:rsid w:val="008C0743"/>
    <w:rsid w:val="008C0B4C"/>
    <w:rsid w:val="008C0FD1"/>
    <w:rsid w:val="008C11F0"/>
    <w:rsid w:val="008C1DBA"/>
    <w:rsid w:val="008C20B8"/>
    <w:rsid w:val="008C24E7"/>
    <w:rsid w:val="008C2500"/>
    <w:rsid w:val="008C2792"/>
    <w:rsid w:val="008C2CAC"/>
    <w:rsid w:val="008C3E2A"/>
    <w:rsid w:val="008C3FFC"/>
    <w:rsid w:val="008C45BD"/>
    <w:rsid w:val="008C4B19"/>
    <w:rsid w:val="008C5295"/>
    <w:rsid w:val="008C5485"/>
    <w:rsid w:val="008C568F"/>
    <w:rsid w:val="008C62D4"/>
    <w:rsid w:val="008C6644"/>
    <w:rsid w:val="008C6924"/>
    <w:rsid w:val="008C6B89"/>
    <w:rsid w:val="008C6DE3"/>
    <w:rsid w:val="008D09E3"/>
    <w:rsid w:val="008D18AA"/>
    <w:rsid w:val="008D1A16"/>
    <w:rsid w:val="008D1A2A"/>
    <w:rsid w:val="008D29B1"/>
    <w:rsid w:val="008D2EB5"/>
    <w:rsid w:val="008D30D2"/>
    <w:rsid w:val="008D35D9"/>
    <w:rsid w:val="008D3B85"/>
    <w:rsid w:val="008D4527"/>
    <w:rsid w:val="008D462D"/>
    <w:rsid w:val="008D51F2"/>
    <w:rsid w:val="008D66CA"/>
    <w:rsid w:val="008D69B1"/>
    <w:rsid w:val="008D7338"/>
    <w:rsid w:val="008E0012"/>
    <w:rsid w:val="008E0DF7"/>
    <w:rsid w:val="008E0FAD"/>
    <w:rsid w:val="008E1347"/>
    <w:rsid w:val="008E16E0"/>
    <w:rsid w:val="008E1836"/>
    <w:rsid w:val="008E1C15"/>
    <w:rsid w:val="008E1C9A"/>
    <w:rsid w:val="008E23C7"/>
    <w:rsid w:val="008E28BD"/>
    <w:rsid w:val="008E38B4"/>
    <w:rsid w:val="008E3BA4"/>
    <w:rsid w:val="008E41C4"/>
    <w:rsid w:val="008E44AB"/>
    <w:rsid w:val="008E5179"/>
    <w:rsid w:val="008E6598"/>
    <w:rsid w:val="008E6A17"/>
    <w:rsid w:val="008E71A8"/>
    <w:rsid w:val="008E7214"/>
    <w:rsid w:val="008E7348"/>
    <w:rsid w:val="008E77AB"/>
    <w:rsid w:val="008E7884"/>
    <w:rsid w:val="008E7AAA"/>
    <w:rsid w:val="008E7D6E"/>
    <w:rsid w:val="008F0737"/>
    <w:rsid w:val="008F1056"/>
    <w:rsid w:val="008F293D"/>
    <w:rsid w:val="008F2A43"/>
    <w:rsid w:val="008F2E8D"/>
    <w:rsid w:val="008F3374"/>
    <w:rsid w:val="008F387B"/>
    <w:rsid w:val="008F3DD9"/>
    <w:rsid w:val="008F4814"/>
    <w:rsid w:val="008F4B91"/>
    <w:rsid w:val="008F4DA6"/>
    <w:rsid w:val="008F538E"/>
    <w:rsid w:val="008F59B4"/>
    <w:rsid w:val="008F5A20"/>
    <w:rsid w:val="008F5ABA"/>
    <w:rsid w:val="008F6CF9"/>
    <w:rsid w:val="008F78EC"/>
    <w:rsid w:val="008F7905"/>
    <w:rsid w:val="008F7989"/>
    <w:rsid w:val="00901768"/>
    <w:rsid w:val="00901EEF"/>
    <w:rsid w:val="00902539"/>
    <w:rsid w:val="009026AF"/>
    <w:rsid w:val="009028E8"/>
    <w:rsid w:val="00902E5C"/>
    <w:rsid w:val="0090350D"/>
    <w:rsid w:val="009039EB"/>
    <w:rsid w:val="00903E8D"/>
    <w:rsid w:val="009046E5"/>
    <w:rsid w:val="009047C5"/>
    <w:rsid w:val="009058D1"/>
    <w:rsid w:val="00905C04"/>
    <w:rsid w:val="00905C5E"/>
    <w:rsid w:val="00906BE2"/>
    <w:rsid w:val="009070AA"/>
    <w:rsid w:val="00907203"/>
    <w:rsid w:val="00910683"/>
    <w:rsid w:val="00910AB1"/>
    <w:rsid w:val="00910E00"/>
    <w:rsid w:val="009111AE"/>
    <w:rsid w:val="009116CE"/>
    <w:rsid w:val="00911714"/>
    <w:rsid w:val="00911A5B"/>
    <w:rsid w:val="0091244B"/>
    <w:rsid w:val="009132CE"/>
    <w:rsid w:val="009136D4"/>
    <w:rsid w:val="00913857"/>
    <w:rsid w:val="00914B9A"/>
    <w:rsid w:val="00914C3F"/>
    <w:rsid w:val="00914DEF"/>
    <w:rsid w:val="00914EEF"/>
    <w:rsid w:val="00914F33"/>
    <w:rsid w:val="009153F6"/>
    <w:rsid w:val="00915FCE"/>
    <w:rsid w:val="00916847"/>
    <w:rsid w:val="00916AFE"/>
    <w:rsid w:val="00916FC8"/>
    <w:rsid w:val="009170D3"/>
    <w:rsid w:val="0091759C"/>
    <w:rsid w:val="00917910"/>
    <w:rsid w:val="00920026"/>
    <w:rsid w:val="0092032F"/>
    <w:rsid w:val="009203E2"/>
    <w:rsid w:val="00921304"/>
    <w:rsid w:val="00921805"/>
    <w:rsid w:val="00921BA7"/>
    <w:rsid w:val="0092269A"/>
    <w:rsid w:val="00923396"/>
    <w:rsid w:val="00923F56"/>
    <w:rsid w:val="00923FA6"/>
    <w:rsid w:val="009246C4"/>
    <w:rsid w:val="00925743"/>
    <w:rsid w:val="0092579F"/>
    <w:rsid w:val="00927E8D"/>
    <w:rsid w:val="00927F23"/>
    <w:rsid w:val="00930698"/>
    <w:rsid w:val="00930727"/>
    <w:rsid w:val="009307CD"/>
    <w:rsid w:val="00930C81"/>
    <w:rsid w:val="00931059"/>
    <w:rsid w:val="009311D1"/>
    <w:rsid w:val="00931451"/>
    <w:rsid w:val="009314FA"/>
    <w:rsid w:val="0093194F"/>
    <w:rsid w:val="00931BF3"/>
    <w:rsid w:val="00931C55"/>
    <w:rsid w:val="009330BE"/>
    <w:rsid w:val="00933333"/>
    <w:rsid w:val="0093349A"/>
    <w:rsid w:val="009337B2"/>
    <w:rsid w:val="00933FCB"/>
    <w:rsid w:val="0093408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47E6"/>
    <w:rsid w:val="009449F9"/>
    <w:rsid w:val="00945006"/>
    <w:rsid w:val="009451CE"/>
    <w:rsid w:val="00945812"/>
    <w:rsid w:val="00945C38"/>
    <w:rsid w:val="00945E18"/>
    <w:rsid w:val="009460F9"/>
    <w:rsid w:val="00946A24"/>
    <w:rsid w:val="009470D4"/>
    <w:rsid w:val="00947337"/>
    <w:rsid w:val="00947AA9"/>
    <w:rsid w:val="009512FA"/>
    <w:rsid w:val="00951E57"/>
    <w:rsid w:val="0095252F"/>
    <w:rsid w:val="00953018"/>
    <w:rsid w:val="009533E2"/>
    <w:rsid w:val="00953554"/>
    <w:rsid w:val="0095385A"/>
    <w:rsid w:val="00953928"/>
    <w:rsid w:val="009540F0"/>
    <w:rsid w:val="00955163"/>
    <w:rsid w:val="00955463"/>
    <w:rsid w:val="00955906"/>
    <w:rsid w:val="00955978"/>
    <w:rsid w:val="00957010"/>
    <w:rsid w:val="009574FE"/>
    <w:rsid w:val="0095780A"/>
    <w:rsid w:val="009579E4"/>
    <w:rsid w:val="00957AA4"/>
    <w:rsid w:val="00957ACB"/>
    <w:rsid w:val="00957E21"/>
    <w:rsid w:val="00957F27"/>
    <w:rsid w:val="009609F0"/>
    <w:rsid w:val="00960BDB"/>
    <w:rsid w:val="0096147D"/>
    <w:rsid w:val="00961E5F"/>
    <w:rsid w:val="009625C6"/>
    <w:rsid w:val="009629B5"/>
    <w:rsid w:val="00962A50"/>
    <w:rsid w:val="00962E25"/>
    <w:rsid w:val="00962F47"/>
    <w:rsid w:val="009631BD"/>
    <w:rsid w:val="00964138"/>
    <w:rsid w:val="00964B3F"/>
    <w:rsid w:val="00964C98"/>
    <w:rsid w:val="00964D5B"/>
    <w:rsid w:val="00964E0A"/>
    <w:rsid w:val="00965FF8"/>
    <w:rsid w:val="00966214"/>
    <w:rsid w:val="00971441"/>
    <w:rsid w:val="009715D4"/>
    <w:rsid w:val="00971AC8"/>
    <w:rsid w:val="00972470"/>
    <w:rsid w:val="009739A9"/>
    <w:rsid w:val="00973AA2"/>
    <w:rsid w:val="00973DF6"/>
    <w:rsid w:val="0097494E"/>
    <w:rsid w:val="00974B58"/>
    <w:rsid w:val="00974CE3"/>
    <w:rsid w:val="00975140"/>
    <w:rsid w:val="00975DA3"/>
    <w:rsid w:val="009761ED"/>
    <w:rsid w:val="009801E7"/>
    <w:rsid w:val="0098022F"/>
    <w:rsid w:val="009810CC"/>
    <w:rsid w:val="009810DE"/>
    <w:rsid w:val="009816A2"/>
    <w:rsid w:val="00981D3C"/>
    <w:rsid w:val="009822D7"/>
    <w:rsid w:val="009827E6"/>
    <w:rsid w:val="00982E70"/>
    <w:rsid w:val="00982F84"/>
    <w:rsid w:val="0098427D"/>
    <w:rsid w:val="00984567"/>
    <w:rsid w:val="00985102"/>
    <w:rsid w:val="009865D5"/>
    <w:rsid w:val="009876F2"/>
    <w:rsid w:val="00987716"/>
    <w:rsid w:val="00987C77"/>
    <w:rsid w:val="00990345"/>
    <w:rsid w:val="00990701"/>
    <w:rsid w:val="0099090B"/>
    <w:rsid w:val="00990BC7"/>
    <w:rsid w:val="0099119C"/>
    <w:rsid w:val="0099137A"/>
    <w:rsid w:val="00991805"/>
    <w:rsid w:val="0099211C"/>
    <w:rsid w:val="00993158"/>
    <w:rsid w:val="00993B78"/>
    <w:rsid w:val="0099483A"/>
    <w:rsid w:val="00994DC6"/>
    <w:rsid w:val="00995119"/>
    <w:rsid w:val="009953AD"/>
    <w:rsid w:val="00995503"/>
    <w:rsid w:val="0099583D"/>
    <w:rsid w:val="00995B7C"/>
    <w:rsid w:val="00996992"/>
    <w:rsid w:val="00996E1E"/>
    <w:rsid w:val="00997392"/>
    <w:rsid w:val="0099747C"/>
    <w:rsid w:val="0099771C"/>
    <w:rsid w:val="009A01E4"/>
    <w:rsid w:val="009A0917"/>
    <w:rsid w:val="009A0A33"/>
    <w:rsid w:val="009A0A35"/>
    <w:rsid w:val="009A1351"/>
    <w:rsid w:val="009A2435"/>
    <w:rsid w:val="009A3253"/>
    <w:rsid w:val="009A35DC"/>
    <w:rsid w:val="009A38AB"/>
    <w:rsid w:val="009A3920"/>
    <w:rsid w:val="009A3CFB"/>
    <w:rsid w:val="009A3D47"/>
    <w:rsid w:val="009A4D63"/>
    <w:rsid w:val="009A5356"/>
    <w:rsid w:val="009A5468"/>
    <w:rsid w:val="009A5D99"/>
    <w:rsid w:val="009A608C"/>
    <w:rsid w:val="009A60D1"/>
    <w:rsid w:val="009A6CA7"/>
    <w:rsid w:val="009A6FDF"/>
    <w:rsid w:val="009A76D6"/>
    <w:rsid w:val="009B01D3"/>
    <w:rsid w:val="009B0522"/>
    <w:rsid w:val="009B103A"/>
    <w:rsid w:val="009B199E"/>
    <w:rsid w:val="009B1F35"/>
    <w:rsid w:val="009B257D"/>
    <w:rsid w:val="009B27AC"/>
    <w:rsid w:val="009B2E29"/>
    <w:rsid w:val="009B3163"/>
    <w:rsid w:val="009B422F"/>
    <w:rsid w:val="009B46BC"/>
    <w:rsid w:val="009B4D1A"/>
    <w:rsid w:val="009B527F"/>
    <w:rsid w:val="009B558B"/>
    <w:rsid w:val="009B6801"/>
    <w:rsid w:val="009B68DD"/>
    <w:rsid w:val="009B6D21"/>
    <w:rsid w:val="009B7266"/>
    <w:rsid w:val="009B78ED"/>
    <w:rsid w:val="009C181C"/>
    <w:rsid w:val="009C1C7F"/>
    <w:rsid w:val="009C28A2"/>
    <w:rsid w:val="009C3239"/>
    <w:rsid w:val="009C3828"/>
    <w:rsid w:val="009C3D2C"/>
    <w:rsid w:val="009C4987"/>
    <w:rsid w:val="009C523F"/>
    <w:rsid w:val="009C59BF"/>
    <w:rsid w:val="009C5E4F"/>
    <w:rsid w:val="009C5F64"/>
    <w:rsid w:val="009C5F82"/>
    <w:rsid w:val="009C70F8"/>
    <w:rsid w:val="009C756F"/>
    <w:rsid w:val="009C78A3"/>
    <w:rsid w:val="009D0156"/>
    <w:rsid w:val="009D05DA"/>
    <w:rsid w:val="009D0872"/>
    <w:rsid w:val="009D11F6"/>
    <w:rsid w:val="009D13B9"/>
    <w:rsid w:val="009D1A14"/>
    <w:rsid w:val="009D1E2A"/>
    <w:rsid w:val="009D1FA0"/>
    <w:rsid w:val="009D2BDF"/>
    <w:rsid w:val="009D3736"/>
    <w:rsid w:val="009D3964"/>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E0703"/>
    <w:rsid w:val="009E0E95"/>
    <w:rsid w:val="009E1501"/>
    <w:rsid w:val="009E16DA"/>
    <w:rsid w:val="009E1CD4"/>
    <w:rsid w:val="009E20DC"/>
    <w:rsid w:val="009E2391"/>
    <w:rsid w:val="009E476A"/>
    <w:rsid w:val="009E4E05"/>
    <w:rsid w:val="009E52D9"/>
    <w:rsid w:val="009E53D7"/>
    <w:rsid w:val="009E56FF"/>
    <w:rsid w:val="009E5CB1"/>
    <w:rsid w:val="009E5E56"/>
    <w:rsid w:val="009E61EA"/>
    <w:rsid w:val="009E6990"/>
    <w:rsid w:val="009E6FEE"/>
    <w:rsid w:val="009F060F"/>
    <w:rsid w:val="009F0781"/>
    <w:rsid w:val="009F0850"/>
    <w:rsid w:val="009F0D40"/>
    <w:rsid w:val="009F11B2"/>
    <w:rsid w:val="009F1BDF"/>
    <w:rsid w:val="009F1EAE"/>
    <w:rsid w:val="009F29A5"/>
    <w:rsid w:val="009F369D"/>
    <w:rsid w:val="009F36FE"/>
    <w:rsid w:val="009F46A9"/>
    <w:rsid w:val="009F4F25"/>
    <w:rsid w:val="009F507A"/>
    <w:rsid w:val="009F59C2"/>
    <w:rsid w:val="009F61DE"/>
    <w:rsid w:val="009F7263"/>
    <w:rsid w:val="009F74FA"/>
    <w:rsid w:val="009F76EA"/>
    <w:rsid w:val="009F78EB"/>
    <w:rsid w:val="009F7D10"/>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2091"/>
    <w:rsid w:val="00A12355"/>
    <w:rsid w:val="00A12384"/>
    <w:rsid w:val="00A127A3"/>
    <w:rsid w:val="00A127D2"/>
    <w:rsid w:val="00A12ADA"/>
    <w:rsid w:val="00A12E91"/>
    <w:rsid w:val="00A143EC"/>
    <w:rsid w:val="00A14A60"/>
    <w:rsid w:val="00A1500F"/>
    <w:rsid w:val="00A15621"/>
    <w:rsid w:val="00A15670"/>
    <w:rsid w:val="00A157A0"/>
    <w:rsid w:val="00A1585B"/>
    <w:rsid w:val="00A15BBC"/>
    <w:rsid w:val="00A15C19"/>
    <w:rsid w:val="00A1656E"/>
    <w:rsid w:val="00A165DD"/>
    <w:rsid w:val="00A16809"/>
    <w:rsid w:val="00A17769"/>
    <w:rsid w:val="00A17EA2"/>
    <w:rsid w:val="00A20264"/>
    <w:rsid w:val="00A20997"/>
    <w:rsid w:val="00A21454"/>
    <w:rsid w:val="00A22025"/>
    <w:rsid w:val="00A220AB"/>
    <w:rsid w:val="00A22498"/>
    <w:rsid w:val="00A22571"/>
    <w:rsid w:val="00A23023"/>
    <w:rsid w:val="00A23A08"/>
    <w:rsid w:val="00A24560"/>
    <w:rsid w:val="00A25B0F"/>
    <w:rsid w:val="00A25BBB"/>
    <w:rsid w:val="00A25F8E"/>
    <w:rsid w:val="00A27F18"/>
    <w:rsid w:val="00A27FB6"/>
    <w:rsid w:val="00A30121"/>
    <w:rsid w:val="00A30368"/>
    <w:rsid w:val="00A3043A"/>
    <w:rsid w:val="00A30E02"/>
    <w:rsid w:val="00A30F6A"/>
    <w:rsid w:val="00A31BA2"/>
    <w:rsid w:val="00A31C35"/>
    <w:rsid w:val="00A31C3E"/>
    <w:rsid w:val="00A34538"/>
    <w:rsid w:val="00A34677"/>
    <w:rsid w:val="00A34BA0"/>
    <w:rsid w:val="00A3540F"/>
    <w:rsid w:val="00A35630"/>
    <w:rsid w:val="00A35914"/>
    <w:rsid w:val="00A36189"/>
    <w:rsid w:val="00A3622F"/>
    <w:rsid w:val="00A36DDC"/>
    <w:rsid w:val="00A37E73"/>
    <w:rsid w:val="00A37FB6"/>
    <w:rsid w:val="00A4006F"/>
    <w:rsid w:val="00A4104A"/>
    <w:rsid w:val="00A41081"/>
    <w:rsid w:val="00A411CA"/>
    <w:rsid w:val="00A413AD"/>
    <w:rsid w:val="00A4169F"/>
    <w:rsid w:val="00A42096"/>
    <w:rsid w:val="00A421E7"/>
    <w:rsid w:val="00A426F3"/>
    <w:rsid w:val="00A42C60"/>
    <w:rsid w:val="00A42FDF"/>
    <w:rsid w:val="00A430A9"/>
    <w:rsid w:val="00A431A2"/>
    <w:rsid w:val="00A431FE"/>
    <w:rsid w:val="00A439E5"/>
    <w:rsid w:val="00A43D1B"/>
    <w:rsid w:val="00A4497A"/>
    <w:rsid w:val="00A44BE8"/>
    <w:rsid w:val="00A44C96"/>
    <w:rsid w:val="00A44F54"/>
    <w:rsid w:val="00A45F9B"/>
    <w:rsid w:val="00A461BF"/>
    <w:rsid w:val="00A46574"/>
    <w:rsid w:val="00A4657A"/>
    <w:rsid w:val="00A467C4"/>
    <w:rsid w:val="00A4777D"/>
    <w:rsid w:val="00A500B1"/>
    <w:rsid w:val="00A500F3"/>
    <w:rsid w:val="00A51520"/>
    <w:rsid w:val="00A5292D"/>
    <w:rsid w:val="00A52CC5"/>
    <w:rsid w:val="00A52D3F"/>
    <w:rsid w:val="00A52EE5"/>
    <w:rsid w:val="00A53037"/>
    <w:rsid w:val="00A532B9"/>
    <w:rsid w:val="00A5351D"/>
    <w:rsid w:val="00A53A2B"/>
    <w:rsid w:val="00A53D84"/>
    <w:rsid w:val="00A53E79"/>
    <w:rsid w:val="00A54031"/>
    <w:rsid w:val="00A5426D"/>
    <w:rsid w:val="00A54FC2"/>
    <w:rsid w:val="00A55122"/>
    <w:rsid w:val="00A5696C"/>
    <w:rsid w:val="00A56DE7"/>
    <w:rsid w:val="00A571DD"/>
    <w:rsid w:val="00A57714"/>
    <w:rsid w:val="00A57EB2"/>
    <w:rsid w:val="00A6009E"/>
    <w:rsid w:val="00A60762"/>
    <w:rsid w:val="00A60B1F"/>
    <w:rsid w:val="00A61A89"/>
    <w:rsid w:val="00A61C60"/>
    <w:rsid w:val="00A61F10"/>
    <w:rsid w:val="00A62589"/>
    <w:rsid w:val="00A62C3A"/>
    <w:rsid w:val="00A6369A"/>
    <w:rsid w:val="00A63812"/>
    <w:rsid w:val="00A63DF7"/>
    <w:rsid w:val="00A64505"/>
    <w:rsid w:val="00A65CC5"/>
    <w:rsid w:val="00A668BA"/>
    <w:rsid w:val="00A66FA7"/>
    <w:rsid w:val="00A677F6"/>
    <w:rsid w:val="00A67E16"/>
    <w:rsid w:val="00A703CC"/>
    <w:rsid w:val="00A70C5C"/>
    <w:rsid w:val="00A71E4C"/>
    <w:rsid w:val="00A71EA7"/>
    <w:rsid w:val="00A72849"/>
    <w:rsid w:val="00A730AD"/>
    <w:rsid w:val="00A733D2"/>
    <w:rsid w:val="00A73855"/>
    <w:rsid w:val="00A73D64"/>
    <w:rsid w:val="00A73FEA"/>
    <w:rsid w:val="00A74216"/>
    <w:rsid w:val="00A744B4"/>
    <w:rsid w:val="00A74D61"/>
    <w:rsid w:val="00A751E3"/>
    <w:rsid w:val="00A75504"/>
    <w:rsid w:val="00A75CD9"/>
    <w:rsid w:val="00A76438"/>
    <w:rsid w:val="00A77168"/>
    <w:rsid w:val="00A7723B"/>
    <w:rsid w:val="00A77525"/>
    <w:rsid w:val="00A775EF"/>
    <w:rsid w:val="00A7793C"/>
    <w:rsid w:val="00A77D21"/>
    <w:rsid w:val="00A80085"/>
    <w:rsid w:val="00A8043B"/>
    <w:rsid w:val="00A81323"/>
    <w:rsid w:val="00A81AC0"/>
    <w:rsid w:val="00A820CB"/>
    <w:rsid w:val="00A82342"/>
    <w:rsid w:val="00A83BEF"/>
    <w:rsid w:val="00A841E1"/>
    <w:rsid w:val="00A84443"/>
    <w:rsid w:val="00A8487F"/>
    <w:rsid w:val="00A848FC"/>
    <w:rsid w:val="00A849A3"/>
    <w:rsid w:val="00A84A0E"/>
    <w:rsid w:val="00A84D7C"/>
    <w:rsid w:val="00A851FD"/>
    <w:rsid w:val="00A8651E"/>
    <w:rsid w:val="00A86B64"/>
    <w:rsid w:val="00A86E0B"/>
    <w:rsid w:val="00A9069B"/>
    <w:rsid w:val="00A90F12"/>
    <w:rsid w:val="00A9106F"/>
    <w:rsid w:val="00A93101"/>
    <w:rsid w:val="00A93518"/>
    <w:rsid w:val="00A94293"/>
    <w:rsid w:val="00A94760"/>
    <w:rsid w:val="00A9496E"/>
    <w:rsid w:val="00A949F0"/>
    <w:rsid w:val="00A94BDE"/>
    <w:rsid w:val="00A94FCA"/>
    <w:rsid w:val="00A95E4C"/>
    <w:rsid w:val="00A96C60"/>
    <w:rsid w:val="00A97223"/>
    <w:rsid w:val="00A9740B"/>
    <w:rsid w:val="00A9766C"/>
    <w:rsid w:val="00A977F8"/>
    <w:rsid w:val="00A97C93"/>
    <w:rsid w:val="00AA08E7"/>
    <w:rsid w:val="00AA0A06"/>
    <w:rsid w:val="00AA1351"/>
    <w:rsid w:val="00AA1859"/>
    <w:rsid w:val="00AA1C84"/>
    <w:rsid w:val="00AA24FD"/>
    <w:rsid w:val="00AA3D7B"/>
    <w:rsid w:val="00AA42A0"/>
    <w:rsid w:val="00AA42E3"/>
    <w:rsid w:val="00AA442B"/>
    <w:rsid w:val="00AA46A4"/>
    <w:rsid w:val="00AA4F3D"/>
    <w:rsid w:val="00AA5687"/>
    <w:rsid w:val="00AA5779"/>
    <w:rsid w:val="00AA58A1"/>
    <w:rsid w:val="00AA61C7"/>
    <w:rsid w:val="00AA669D"/>
    <w:rsid w:val="00AA66ED"/>
    <w:rsid w:val="00AA6BE1"/>
    <w:rsid w:val="00AA7416"/>
    <w:rsid w:val="00AA7619"/>
    <w:rsid w:val="00AA7A60"/>
    <w:rsid w:val="00AA7B42"/>
    <w:rsid w:val="00AB041C"/>
    <w:rsid w:val="00AB0486"/>
    <w:rsid w:val="00AB04D6"/>
    <w:rsid w:val="00AB14E8"/>
    <w:rsid w:val="00AB17EC"/>
    <w:rsid w:val="00AB19AF"/>
    <w:rsid w:val="00AB1B1D"/>
    <w:rsid w:val="00AB2080"/>
    <w:rsid w:val="00AB2216"/>
    <w:rsid w:val="00AB2C0A"/>
    <w:rsid w:val="00AB358D"/>
    <w:rsid w:val="00AB37A1"/>
    <w:rsid w:val="00AB3BAD"/>
    <w:rsid w:val="00AB3CFD"/>
    <w:rsid w:val="00AB40C6"/>
    <w:rsid w:val="00AB49BC"/>
    <w:rsid w:val="00AB4DEE"/>
    <w:rsid w:val="00AB4E32"/>
    <w:rsid w:val="00AB579A"/>
    <w:rsid w:val="00AB5BC4"/>
    <w:rsid w:val="00AB5DB2"/>
    <w:rsid w:val="00AB64FE"/>
    <w:rsid w:val="00AB724B"/>
    <w:rsid w:val="00AB726C"/>
    <w:rsid w:val="00AB72B4"/>
    <w:rsid w:val="00AC01FD"/>
    <w:rsid w:val="00AC02AA"/>
    <w:rsid w:val="00AC0537"/>
    <w:rsid w:val="00AC0A84"/>
    <w:rsid w:val="00AC264D"/>
    <w:rsid w:val="00AC2A0B"/>
    <w:rsid w:val="00AC2BEC"/>
    <w:rsid w:val="00AC2BEE"/>
    <w:rsid w:val="00AC2E53"/>
    <w:rsid w:val="00AC2F8F"/>
    <w:rsid w:val="00AC484F"/>
    <w:rsid w:val="00AC4A42"/>
    <w:rsid w:val="00AC4B20"/>
    <w:rsid w:val="00AC4D8F"/>
    <w:rsid w:val="00AC56F2"/>
    <w:rsid w:val="00AC5B83"/>
    <w:rsid w:val="00AC6886"/>
    <w:rsid w:val="00AC717C"/>
    <w:rsid w:val="00AC71C3"/>
    <w:rsid w:val="00AD0DA5"/>
    <w:rsid w:val="00AD1499"/>
    <w:rsid w:val="00AD1EFA"/>
    <w:rsid w:val="00AD2072"/>
    <w:rsid w:val="00AD2808"/>
    <w:rsid w:val="00AD2DBD"/>
    <w:rsid w:val="00AD2FBF"/>
    <w:rsid w:val="00AD416B"/>
    <w:rsid w:val="00AD455D"/>
    <w:rsid w:val="00AD463C"/>
    <w:rsid w:val="00AD46A2"/>
    <w:rsid w:val="00AD47E8"/>
    <w:rsid w:val="00AD4A51"/>
    <w:rsid w:val="00AD4F60"/>
    <w:rsid w:val="00AD5044"/>
    <w:rsid w:val="00AD5114"/>
    <w:rsid w:val="00AD5229"/>
    <w:rsid w:val="00AD54D1"/>
    <w:rsid w:val="00AD5977"/>
    <w:rsid w:val="00AD6236"/>
    <w:rsid w:val="00AD67E6"/>
    <w:rsid w:val="00AD7619"/>
    <w:rsid w:val="00AD7770"/>
    <w:rsid w:val="00AD7D76"/>
    <w:rsid w:val="00AE04A1"/>
    <w:rsid w:val="00AE0D1C"/>
    <w:rsid w:val="00AE1772"/>
    <w:rsid w:val="00AE1990"/>
    <w:rsid w:val="00AE1BBA"/>
    <w:rsid w:val="00AE1E15"/>
    <w:rsid w:val="00AE2523"/>
    <w:rsid w:val="00AE25E8"/>
    <w:rsid w:val="00AE2631"/>
    <w:rsid w:val="00AE2AD4"/>
    <w:rsid w:val="00AE2BD9"/>
    <w:rsid w:val="00AE2CA7"/>
    <w:rsid w:val="00AE2F1D"/>
    <w:rsid w:val="00AE4B2B"/>
    <w:rsid w:val="00AE586F"/>
    <w:rsid w:val="00AE5A78"/>
    <w:rsid w:val="00AE6582"/>
    <w:rsid w:val="00AE6D58"/>
    <w:rsid w:val="00AE6DC5"/>
    <w:rsid w:val="00AE73D7"/>
    <w:rsid w:val="00AE7686"/>
    <w:rsid w:val="00AE799A"/>
    <w:rsid w:val="00AF042B"/>
    <w:rsid w:val="00AF0514"/>
    <w:rsid w:val="00AF078E"/>
    <w:rsid w:val="00AF0E81"/>
    <w:rsid w:val="00AF117A"/>
    <w:rsid w:val="00AF186E"/>
    <w:rsid w:val="00AF19C6"/>
    <w:rsid w:val="00AF19DF"/>
    <w:rsid w:val="00AF1F4F"/>
    <w:rsid w:val="00AF26CF"/>
    <w:rsid w:val="00AF47D5"/>
    <w:rsid w:val="00AF4E92"/>
    <w:rsid w:val="00AF554B"/>
    <w:rsid w:val="00AF5C9B"/>
    <w:rsid w:val="00AF5D53"/>
    <w:rsid w:val="00AF5E2D"/>
    <w:rsid w:val="00AF644B"/>
    <w:rsid w:val="00AF6934"/>
    <w:rsid w:val="00AF6CA6"/>
    <w:rsid w:val="00AF6EB6"/>
    <w:rsid w:val="00AF7796"/>
    <w:rsid w:val="00B011A9"/>
    <w:rsid w:val="00B024ED"/>
    <w:rsid w:val="00B02C4A"/>
    <w:rsid w:val="00B02EB3"/>
    <w:rsid w:val="00B02FCB"/>
    <w:rsid w:val="00B033F8"/>
    <w:rsid w:val="00B039BE"/>
    <w:rsid w:val="00B03C1E"/>
    <w:rsid w:val="00B04400"/>
    <w:rsid w:val="00B04835"/>
    <w:rsid w:val="00B05A55"/>
    <w:rsid w:val="00B05DE1"/>
    <w:rsid w:val="00B06595"/>
    <w:rsid w:val="00B10109"/>
    <w:rsid w:val="00B1053C"/>
    <w:rsid w:val="00B1085E"/>
    <w:rsid w:val="00B10FD0"/>
    <w:rsid w:val="00B10FD1"/>
    <w:rsid w:val="00B11896"/>
    <w:rsid w:val="00B11CE3"/>
    <w:rsid w:val="00B12735"/>
    <w:rsid w:val="00B129C6"/>
    <w:rsid w:val="00B131C4"/>
    <w:rsid w:val="00B13386"/>
    <w:rsid w:val="00B13533"/>
    <w:rsid w:val="00B13C48"/>
    <w:rsid w:val="00B13E35"/>
    <w:rsid w:val="00B13EC0"/>
    <w:rsid w:val="00B14102"/>
    <w:rsid w:val="00B14BFB"/>
    <w:rsid w:val="00B14D32"/>
    <w:rsid w:val="00B1557C"/>
    <w:rsid w:val="00B155DC"/>
    <w:rsid w:val="00B15766"/>
    <w:rsid w:val="00B1577D"/>
    <w:rsid w:val="00B158F6"/>
    <w:rsid w:val="00B159AA"/>
    <w:rsid w:val="00B15DB1"/>
    <w:rsid w:val="00B1666A"/>
    <w:rsid w:val="00B1686D"/>
    <w:rsid w:val="00B17037"/>
    <w:rsid w:val="00B1741D"/>
    <w:rsid w:val="00B17447"/>
    <w:rsid w:val="00B17563"/>
    <w:rsid w:val="00B1771D"/>
    <w:rsid w:val="00B17B91"/>
    <w:rsid w:val="00B20209"/>
    <w:rsid w:val="00B203AF"/>
    <w:rsid w:val="00B203C9"/>
    <w:rsid w:val="00B2088D"/>
    <w:rsid w:val="00B208FF"/>
    <w:rsid w:val="00B20F47"/>
    <w:rsid w:val="00B21AD4"/>
    <w:rsid w:val="00B21C18"/>
    <w:rsid w:val="00B228D1"/>
    <w:rsid w:val="00B22C58"/>
    <w:rsid w:val="00B22E22"/>
    <w:rsid w:val="00B22F5F"/>
    <w:rsid w:val="00B23813"/>
    <w:rsid w:val="00B23FD9"/>
    <w:rsid w:val="00B2450F"/>
    <w:rsid w:val="00B24591"/>
    <w:rsid w:val="00B245D5"/>
    <w:rsid w:val="00B24C36"/>
    <w:rsid w:val="00B24D49"/>
    <w:rsid w:val="00B24F94"/>
    <w:rsid w:val="00B25126"/>
    <w:rsid w:val="00B25A52"/>
    <w:rsid w:val="00B25B0A"/>
    <w:rsid w:val="00B25FC3"/>
    <w:rsid w:val="00B26CC4"/>
    <w:rsid w:val="00B27026"/>
    <w:rsid w:val="00B27763"/>
    <w:rsid w:val="00B27875"/>
    <w:rsid w:val="00B27975"/>
    <w:rsid w:val="00B3008D"/>
    <w:rsid w:val="00B309C9"/>
    <w:rsid w:val="00B30E11"/>
    <w:rsid w:val="00B30EEB"/>
    <w:rsid w:val="00B30FD0"/>
    <w:rsid w:val="00B31423"/>
    <w:rsid w:val="00B31710"/>
    <w:rsid w:val="00B323E0"/>
    <w:rsid w:val="00B32DC0"/>
    <w:rsid w:val="00B3346C"/>
    <w:rsid w:val="00B335E4"/>
    <w:rsid w:val="00B33C23"/>
    <w:rsid w:val="00B345B4"/>
    <w:rsid w:val="00B348B1"/>
    <w:rsid w:val="00B34A28"/>
    <w:rsid w:val="00B34C35"/>
    <w:rsid w:val="00B34EB2"/>
    <w:rsid w:val="00B35046"/>
    <w:rsid w:val="00B35B6A"/>
    <w:rsid w:val="00B36D46"/>
    <w:rsid w:val="00B37657"/>
    <w:rsid w:val="00B37AFD"/>
    <w:rsid w:val="00B37B07"/>
    <w:rsid w:val="00B4046F"/>
    <w:rsid w:val="00B40B47"/>
    <w:rsid w:val="00B41D39"/>
    <w:rsid w:val="00B422C0"/>
    <w:rsid w:val="00B426CA"/>
    <w:rsid w:val="00B426E1"/>
    <w:rsid w:val="00B4298E"/>
    <w:rsid w:val="00B42B61"/>
    <w:rsid w:val="00B437F8"/>
    <w:rsid w:val="00B4387A"/>
    <w:rsid w:val="00B44196"/>
    <w:rsid w:val="00B44260"/>
    <w:rsid w:val="00B44746"/>
    <w:rsid w:val="00B44854"/>
    <w:rsid w:val="00B44E8C"/>
    <w:rsid w:val="00B453FE"/>
    <w:rsid w:val="00B458D0"/>
    <w:rsid w:val="00B46120"/>
    <w:rsid w:val="00B47040"/>
    <w:rsid w:val="00B47694"/>
    <w:rsid w:val="00B4792C"/>
    <w:rsid w:val="00B50A13"/>
    <w:rsid w:val="00B50CAE"/>
    <w:rsid w:val="00B512AD"/>
    <w:rsid w:val="00B5196C"/>
    <w:rsid w:val="00B51C17"/>
    <w:rsid w:val="00B525CB"/>
    <w:rsid w:val="00B52697"/>
    <w:rsid w:val="00B53E7C"/>
    <w:rsid w:val="00B5400D"/>
    <w:rsid w:val="00B54D8F"/>
    <w:rsid w:val="00B55857"/>
    <w:rsid w:val="00B55C69"/>
    <w:rsid w:val="00B56851"/>
    <w:rsid w:val="00B56A6A"/>
    <w:rsid w:val="00B56D6E"/>
    <w:rsid w:val="00B572F7"/>
    <w:rsid w:val="00B57B9D"/>
    <w:rsid w:val="00B57DAF"/>
    <w:rsid w:val="00B60094"/>
    <w:rsid w:val="00B6022C"/>
    <w:rsid w:val="00B60867"/>
    <w:rsid w:val="00B614F8"/>
    <w:rsid w:val="00B61994"/>
    <w:rsid w:val="00B61FD4"/>
    <w:rsid w:val="00B62880"/>
    <w:rsid w:val="00B63872"/>
    <w:rsid w:val="00B63B64"/>
    <w:rsid w:val="00B63CB2"/>
    <w:rsid w:val="00B63F51"/>
    <w:rsid w:val="00B6416D"/>
    <w:rsid w:val="00B64246"/>
    <w:rsid w:val="00B64EDB"/>
    <w:rsid w:val="00B65379"/>
    <w:rsid w:val="00B654D3"/>
    <w:rsid w:val="00B65938"/>
    <w:rsid w:val="00B65BBE"/>
    <w:rsid w:val="00B65C8A"/>
    <w:rsid w:val="00B65CE2"/>
    <w:rsid w:val="00B65CED"/>
    <w:rsid w:val="00B660AD"/>
    <w:rsid w:val="00B66109"/>
    <w:rsid w:val="00B66349"/>
    <w:rsid w:val="00B67630"/>
    <w:rsid w:val="00B67FBF"/>
    <w:rsid w:val="00B7024E"/>
    <w:rsid w:val="00B71FA7"/>
    <w:rsid w:val="00B72110"/>
    <w:rsid w:val="00B7240D"/>
    <w:rsid w:val="00B72983"/>
    <w:rsid w:val="00B72B91"/>
    <w:rsid w:val="00B73019"/>
    <w:rsid w:val="00B7315F"/>
    <w:rsid w:val="00B7323A"/>
    <w:rsid w:val="00B73356"/>
    <w:rsid w:val="00B7353B"/>
    <w:rsid w:val="00B7358A"/>
    <w:rsid w:val="00B737FB"/>
    <w:rsid w:val="00B7423D"/>
    <w:rsid w:val="00B74605"/>
    <w:rsid w:val="00B74A8A"/>
    <w:rsid w:val="00B74D05"/>
    <w:rsid w:val="00B777FA"/>
    <w:rsid w:val="00B77850"/>
    <w:rsid w:val="00B7796B"/>
    <w:rsid w:val="00B77A14"/>
    <w:rsid w:val="00B80C72"/>
    <w:rsid w:val="00B81964"/>
    <w:rsid w:val="00B81E0A"/>
    <w:rsid w:val="00B81E6F"/>
    <w:rsid w:val="00B82123"/>
    <w:rsid w:val="00B8225B"/>
    <w:rsid w:val="00B82BB5"/>
    <w:rsid w:val="00B83182"/>
    <w:rsid w:val="00B83811"/>
    <w:rsid w:val="00B83B09"/>
    <w:rsid w:val="00B84684"/>
    <w:rsid w:val="00B84866"/>
    <w:rsid w:val="00B848DF"/>
    <w:rsid w:val="00B84F1B"/>
    <w:rsid w:val="00B851E4"/>
    <w:rsid w:val="00B854CE"/>
    <w:rsid w:val="00B85636"/>
    <w:rsid w:val="00B85681"/>
    <w:rsid w:val="00B857EB"/>
    <w:rsid w:val="00B86162"/>
    <w:rsid w:val="00B86877"/>
    <w:rsid w:val="00B8695D"/>
    <w:rsid w:val="00B86D58"/>
    <w:rsid w:val="00B86E66"/>
    <w:rsid w:val="00B873BA"/>
    <w:rsid w:val="00B8746F"/>
    <w:rsid w:val="00B8760D"/>
    <w:rsid w:val="00B87706"/>
    <w:rsid w:val="00B87F98"/>
    <w:rsid w:val="00B900BD"/>
    <w:rsid w:val="00B90A49"/>
    <w:rsid w:val="00B90C2B"/>
    <w:rsid w:val="00B90E5C"/>
    <w:rsid w:val="00B910A5"/>
    <w:rsid w:val="00B91B8E"/>
    <w:rsid w:val="00B91E13"/>
    <w:rsid w:val="00B92531"/>
    <w:rsid w:val="00B92618"/>
    <w:rsid w:val="00B92751"/>
    <w:rsid w:val="00B92B69"/>
    <w:rsid w:val="00B92CC6"/>
    <w:rsid w:val="00B935C9"/>
    <w:rsid w:val="00B93E3D"/>
    <w:rsid w:val="00B94033"/>
    <w:rsid w:val="00B94847"/>
    <w:rsid w:val="00B95018"/>
    <w:rsid w:val="00B95464"/>
    <w:rsid w:val="00B956DC"/>
    <w:rsid w:val="00B95C30"/>
    <w:rsid w:val="00B95D38"/>
    <w:rsid w:val="00B95E3D"/>
    <w:rsid w:val="00B95F7F"/>
    <w:rsid w:val="00B9691F"/>
    <w:rsid w:val="00B969E0"/>
    <w:rsid w:val="00B96EEC"/>
    <w:rsid w:val="00B9710A"/>
    <w:rsid w:val="00B97392"/>
    <w:rsid w:val="00B973C6"/>
    <w:rsid w:val="00B97691"/>
    <w:rsid w:val="00B976C7"/>
    <w:rsid w:val="00BA0C54"/>
    <w:rsid w:val="00BA1382"/>
    <w:rsid w:val="00BA1D64"/>
    <w:rsid w:val="00BA1EFD"/>
    <w:rsid w:val="00BA20D8"/>
    <w:rsid w:val="00BA22FC"/>
    <w:rsid w:val="00BA2D78"/>
    <w:rsid w:val="00BA2F30"/>
    <w:rsid w:val="00BA4771"/>
    <w:rsid w:val="00BA4DA4"/>
    <w:rsid w:val="00BA5027"/>
    <w:rsid w:val="00BA665B"/>
    <w:rsid w:val="00BA7370"/>
    <w:rsid w:val="00BA778B"/>
    <w:rsid w:val="00BB0888"/>
    <w:rsid w:val="00BB0DF1"/>
    <w:rsid w:val="00BB0E9B"/>
    <w:rsid w:val="00BB2729"/>
    <w:rsid w:val="00BB2841"/>
    <w:rsid w:val="00BB2CAA"/>
    <w:rsid w:val="00BB2F3D"/>
    <w:rsid w:val="00BB300F"/>
    <w:rsid w:val="00BB32C9"/>
    <w:rsid w:val="00BB35C5"/>
    <w:rsid w:val="00BB3D17"/>
    <w:rsid w:val="00BB43A7"/>
    <w:rsid w:val="00BB47D0"/>
    <w:rsid w:val="00BB4C8E"/>
    <w:rsid w:val="00BB57ED"/>
    <w:rsid w:val="00BB65C3"/>
    <w:rsid w:val="00BB662E"/>
    <w:rsid w:val="00BB67A9"/>
    <w:rsid w:val="00BB6C01"/>
    <w:rsid w:val="00BB6C4C"/>
    <w:rsid w:val="00BB7942"/>
    <w:rsid w:val="00BB7CD1"/>
    <w:rsid w:val="00BB7D1F"/>
    <w:rsid w:val="00BC0F33"/>
    <w:rsid w:val="00BC14A7"/>
    <w:rsid w:val="00BC1611"/>
    <w:rsid w:val="00BC1632"/>
    <w:rsid w:val="00BC17CC"/>
    <w:rsid w:val="00BC1862"/>
    <w:rsid w:val="00BC229E"/>
    <w:rsid w:val="00BC23C0"/>
    <w:rsid w:val="00BC2898"/>
    <w:rsid w:val="00BC2928"/>
    <w:rsid w:val="00BC2AA9"/>
    <w:rsid w:val="00BC2BB1"/>
    <w:rsid w:val="00BC34A3"/>
    <w:rsid w:val="00BC3ED5"/>
    <w:rsid w:val="00BC3FF9"/>
    <w:rsid w:val="00BC4834"/>
    <w:rsid w:val="00BC4A97"/>
    <w:rsid w:val="00BC5A25"/>
    <w:rsid w:val="00BC5FDD"/>
    <w:rsid w:val="00BC68B4"/>
    <w:rsid w:val="00BC6C2D"/>
    <w:rsid w:val="00BC762B"/>
    <w:rsid w:val="00BC7B9A"/>
    <w:rsid w:val="00BD00A9"/>
    <w:rsid w:val="00BD0140"/>
    <w:rsid w:val="00BD02CC"/>
    <w:rsid w:val="00BD1675"/>
    <w:rsid w:val="00BD2063"/>
    <w:rsid w:val="00BD33D9"/>
    <w:rsid w:val="00BD38C5"/>
    <w:rsid w:val="00BD3A59"/>
    <w:rsid w:val="00BD3C11"/>
    <w:rsid w:val="00BD3CF1"/>
    <w:rsid w:val="00BD3DEA"/>
    <w:rsid w:val="00BD3E97"/>
    <w:rsid w:val="00BD40E4"/>
    <w:rsid w:val="00BD4563"/>
    <w:rsid w:val="00BD48F0"/>
    <w:rsid w:val="00BD52FE"/>
    <w:rsid w:val="00BD5491"/>
    <w:rsid w:val="00BD62CF"/>
    <w:rsid w:val="00BD67B2"/>
    <w:rsid w:val="00BD6A07"/>
    <w:rsid w:val="00BD7469"/>
    <w:rsid w:val="00BD78AB"/>
    <w:rsid w:val="00BD78FE"/>
    <w:rsid w:val="00BD7A91"/>
    <w:rsid w:val="00BE0149"/>
    <w:rsid w:val="00BE0767"/>
    <w:rsid w:val="00BE12D7"/>
    <w:rsid w:val="00BE1372"/>
    <w:rsid w:val="00BE1775"/>
    <w:rsid w:val="00BE17A2"/>
    <w:rsid w:val="00BE18DA"/>
    <w:rsid w:val="00BE26C0"/>
    <w:rsid w:val="00BE3442"/>
    <w:rsid w:val="00BE45DF"/>
    <w:rsid w:val="00BE47B2"/>
    <w:rsid w:val="00BE48C7"/>
    <w:rsid w:val="00BE4F66"/>
    <w:rsid w:val="00BE4F8C"/>
    <w:rsid w:val="00BE5238"/>
    <w:rsid w:val="00BE5D35"/>
    <w:rsid w:val="00BE6074"/>
    <w:rsid w:val="00BE67A2"/>
    <w:rsid w:val="00BE7257"/>
    <w:rsid w:val="00BF020D"/>
    <w:rsid w:val="00BF136A"/>
    <w:rsid w:val="00BF1D44"/>
    <w:rsid w:val="00BF1DD2"/>
    <w:rsid w:val="00BF1FDE"/>
    <w:rsid w:val="00BF23A3"/>
    <w:rsid w:val="00BF28DB"/>
    <w:rsid w:val="00BF2A7E"/>
    <w:rsid w:val="00BF3331"/>
    <w:rsid w:val="00BF3356"/>
    <w:rsid w:val="00BF37EC"/>
    <w:rsid w:val="00BF3A45"/>
    <w:rsid w:val="00BF436F"/>
    <w:rsid w:val="00BF4EC5"/>
    <w:rsid w:val="00BF5723"/>
    <w:rsid w:val="00BF5C05"/>
    <w:rsid w:val="00BF60C8"/>
    <w:rsid w:val="00BF6A78"/>
    <w:rsid w:val="00BF6FC6"/>
    <w:rsid w:val="00BF73E1"/>
    <w:rsid w:val="00BF7C52"/>
    <w:rsid w:val="00BF7F99"/>
    <w:rsid w:val="00C00704"/>
    <w:rsid w:val="00C00713"/>
    <w:rsid w:val="00C009A0"/>
    <w:rsid w:val="00C01F74"/>
    <w:rsid w:val="00C02558"/>
    <w:rsid w:val="00C0285F"/>
    <w:rsid w:val="00C02F35"/>
    <w:rsid w:val="00C03305"/>
    <w:rsid w:val="00C03515"/>
    <w:rsid w:val="00C03738"/>
    <w:rsid w:val="00C037A6"/>
    <w:rsid w:val="00C040D6"/>
    <w:rsid w:val="00C043F5"/>
    <w:rsid w:val="00C044E3"/>
    <w:rsid w:val="00C047A8"/>
    <w:rsid w:val="00C04BDB"/>
    <w:rsid w:val="00C052C6"/>
    <w:rsid w:val="00C059D4"/>
    <w:rsid w:val="00C05A61"/>
    <w:rsid w:val="00C06845"/>
    <w:rsid w:val="00C06955"/>
    <w:rsid w:val="00C06CCF"/>
    <w:rsid w:val="00C07B7C"/>
    <w:rsid w:val="00C108B8"/>
    <w:rsid w:val="00C109C0"/>
    <w:rsid w:val="00C10C0B"/>
    <w:rsid w:val="00C11503"/>
    <w:rsid w:val="00C1159D"/>
    <w:rsid w:val="00C115A3"/>
    <w:rsid w:val="00C11683"/>
    <w:rsid w:val="00C11798"/>
    <w:rsid w:val="00C118DB"/>
    <w:rsid w:val="00C1233E"/>
    <w:rsid w:val="00C12408"/>
    <w:rsid w:val="00C125C1"/>
    <w:rsid w:val="00C1299A"/>
    <w:rsid w:val="00C12F05"/>
    <w:rsid w:val="00C12FB3"/>
    <w:rsid w:val="00C1304A"/>
    <w:rsid w:val="00C138BC"/>
    <w:rsid w:val="00C13D85"/>
    <w:rsid w:val="00C14639"/>
    <w:rsid w:val="00C14E82"/>
    <w:rsid w:val="00C14FF6"/>
    <w:rsid w:val="00C150A6"/>
    <w:rsid w:val="00C15A85"/>
    <w:rsid w:val="00C1641B"/>
    <w:rsid w:val="00C165FC"/>
    <w:rsid w:val="00C1680E"/>
    <w:rsid w:val="00C16E9D"/>
    <w:rsid w:val="00C176D5"/>
    <w:rsid w:val="00C17B6C"/>
    <w:rsid w:val="00C2082C"/>
    <w:rsid w:val="00C20832"/>
    <w:rsid w:val="00C209F7"/>
    <w:rsid w:val="00C20EB0"/>
    <w:rsid w:val="00C21005"/>
    <w:rsid w:val="00C2183B"/>
    <w:rsid w:val="00C21B56"/>
    <w:rsid w:val="00C220B6"/>
    <w:rsid w:val="00C22492"/>
    <w:rsid w:val="00C229E0"/>
    <w:rsid w:val="00C22D7C"/>
    <w:rsid w:val="00C22DDE"/>
    <w:rsid w:val="00C22EA9"/>
    <w:rsid w:val="00C2338B"/>
    <w:rsid w:val="00C233CE"/>
    <w:rsid w:val="00C23661"/>
    <w:rsid w:val="00C236AE"/>
    <w:rsid w:val="00C237DD"/>
    <w:rsid w:val="00C238F4"/>
    <w:rsid w:val="00C23924"/>
    <w:rsid w:val="00C23A99"/>
    <w:rsid w:val="00C245EE"/>
    <w:rsid w:val="00C2475A"/>
    <w:rsid w:val="00C24AE1"/>
    <w:rsid w:val="00C24B8D"/>
    <w:rsid w:val="00C24BD7"/>
    <w:rsid w:val="00C252CC"/>
    <w:rsid w:val="00C25813"/>
    <w:rsid w:val="00C27143"/>
    <w:rsid w:val="00C27490"/>
    <w:rsid w:val="00C27A55"/>
    <w:rsid w:val="00C27D37"/>
    <w:rsid w:val="00C27FB2"/>
    <w:rsid w:val="00C302E5"/>
    <w:rsid w:val="00C309E8"/>
    <w:rsid w:val="00C31846"/>
    <w:rsid w:val="00C32017"/>
    <w:rsid w:val="00C325CD"/>
    <w:rsid w:val="00C3322E"/>
    <w:rsid w:val="00C332B4"/>
    <w:rsid w:val="00C337F5"/>
    <w:rsid w:val="00C33B90"/>
    <w:rsid w:val="00C34350"/>
    <w:rsid w:val="00C34B5F"/>
    <w:rsid w:val="00C3543E"/>
    <w:rsid w:val="00C358D4"/>
    <w:rsid w:val="00C36785"/>
    <w:rsid w:val="00C36845"/>
    <w:rsid w:val="00C3711C"/>
    <w:rsid w:val="00C37256"/>
    <w:rsid w:val="00C37A7B"/>
    <w:rsid w:val="00C37CFF"/>
    <w:rsid w:val="00C37FFE"/>
    <w:rsid w:val="00C407E4"/>
    <w:rsid w:val="00C40B50"/>
    <w:rsid w:val="00C41457"/>
    <w:rsid w:val="00C41858"/>
    <w:rsid w:val="00C419E3"/>
    <w:rsid w:val="00C419F4"/>
    <w:rsid w:val="00C41E6A"/>
    <w:rsid w:val="00C41F7F"/>
    <w:rsid w:val="00C421A3"/>
    <w:rsid w:val="00C42247"/>
    <w:rsid w:val="00C439BE"/>
    <w:rsid w:val="00C443CC"/>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1E32"/>
    <w:rsid w:val="00C52273"/>
    <w:rsid w:val="00C52428"/>
    <w:rsid w:val="00C52C68"/>
    <w:rsid w:val="00C52D98"/>
    <w:rsid w:val="00C5325C"/>
    <w:rsid w:val="00C53D24"/>
    <w:rsid w:val="00C54640"/>
    <w:rsid w:val="00C547A6"/>
    <w:rsid w:val="00C54A3A"/>
    <w:rsid w:val="00C5503F"/>
    <w:rsid w:val="00C55C32"/>
    <w:rsid w:val="00C56A67"/>
    <w:rsid w:val="00C56CC2"/>
    <w:rsid w:val="00C56EB3"/>
    <w:rsid w:val="00C5717C"/>
    <w:rsid w:val="00C57498"/>
    <w:rsid w:val="00C5763C"/>
    <w:rsid w:val="00C577CA"/>
    <w:rsid w:val="00C5780C"/>
    <w:rsid w:val="00C5796B"/>
    <w:rsid w:val="00C619A1"/>
    <w:rsid w:val="00C62370"/>
    <w:rsid w:val="00C62545"/>
    <w:rsid w:val="00C62A11"/>
    <w:rsid w:val="00C62BBB"/>
    <w:rsid w:val="00C6305F"/>
    <w:rsid w:val="00C6325B"/>
    <w:rsid w:val="00C63DBF"/>
    <w:rsid w:val="00C63E99"/>
    <w:rsid w:val="00C64161"/>
    <w:rsid w:val="00C641BD"/>
    <w:rsid w:val="00C649B8"/>
    <w:rsid w:val="00C64A64"/>
    <w:rsid w:val="00C64AA2"/>
    <w:rsid w:val="00C65151"/>
    <w:rsid w:val="00C653B9"/>
    <w:rsid w:val="00C657F4"/>
    <w:rsid w:val="00C66119"/>
    <w:rsid w:val="00C66292"/>
    <w:rsid w:val="00C66EA4"/>
    <w:rsid w:val="00C672A3"/>
    <w:rsid w:val="00C672F1"/>
    <w:rsid w:val="00C673D0"/>
    <w:rsid w:val="00C6742E"/>
    <w:rsid w:val="00C677BE"/>
    <w:rsid w:val="00C70012"/>
    <w:rsid w:val="00C70321"/>
    <w:rsid w:val="00C71CBB"/>
    <w:rsid w:val="00C71E2A"/>
    <w:rsid w:val="00C72571"/>
    <w:rsid w:val="00C733BA"/>
    <w:rsid w:val="00C734F3"/>
    <w:rsid w:val="00C74F3F"/>
    <w:rsid w:val="00C760DC"/>
    <w:rsid w:val="00C764E2"/>
    <w:rsid w:val="00C76E2D"/>
    <w:rsid w:val="00C800AB"/>
    <w:rsid w:val="00C8082B"/>
    <w:rsid w:val="00C81A88"/>
    <w:rsid w:val="00C81AEC"/>
    <w:rsid w:val="00C81D46"/>
    <w:rsid w:val="00C820AD"/>
    <w:rsid w:val="00C82298"/>
    <w:rsid w:val="00C82439"/>
    <w:rsid w:val="00C82F91"/>
    <w:rsid w:val="00C82F97"/>
    <w:rsid w:val="00C833B4"/>
    <w:rsid w:val="00C84284"/>
    <w:rsid w:val="00C84E33"/>
    <w:rsid w:val="00C853E0"/>
    <w:rsid w:val="00C856D1"/>
    <w:rsid w:val="00C85897"/>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3154"/>
    <w:rsid w:val="00C93765"/>
    <w:rsid w:val="00C937BF"/>
    <w:rsid w:val="00C93877"/>
    <w:rsid w:val="00C93D8C"/>
    <w:rsid w:val="00C946CC"/>
    <w:rsid w:val="00C94763"/>
    <w:rsid w:val="00C959BD"/>
    <w:rsid w:val="00C95E49"/>
    <w:rsid w:val="00C95F44"/>
    <w:rsid w:val="00C96D1B"/>
    <w:rsid w:val="00C97106"/>
    <w:rsid w:val="00C97684"/>
    <w:rsid w:val="00CA0031"/>
    <w:rsid w:val="00CA0413"/>
    <w:rsid w:val="00CA043A"/>
    <w:rsid w:val="00CA04F8"/>
    <w:rsid w:val="00CA0A96"/>
    <w:rsid w:val="00CA0D61"/>
    <w:rsid w:val="00CA0DBA"/>
    <w:rsid w:val="00CA1691"/>
    <w:rsid w:val="00CA2314"/>
    <w:rsid w:val="00CA2E65"/>
    <w:rsid w:val="00CA2EA1"/>
    <w:rsid w:val="00CA41E7"/>
    <w:rsid w:val="00CA4B2B"/>
    <w:rsid w:val="00CA5520"/>
    <w:rsid w:val="00CA5812"/>
    <w:rsid w:val="00CA5BD4"/>
    <w:rsid w:val="00CA5C14"/>
    <w:rsid w:val="00CA76FC"/>
    <w:rsid w:val="00CA7E7B"/>
    <w:rsid w:val="00CB0236"/>
    <w:rsid w:val="00CB1324"/>
    <w:rsid w:val="00CB19E3"/>
    <w:rsid w:val="00CB1D6B"/>
    <w:rsid w:val="00CB2C3A"/>
    <w:rsid w:val="00CB2D38"/>
    <w:rsid w:val="00CB353F"/>
    <w:rsid w:val="00CB365A"/>
    <w:rsid w:val="00CB4137"/>
    <w:rsid w:val="00CB52D0"/>
    <w:rsid w:val="00CB5578"/>
    <w:rsid w:val="00CB5671"/>
    <w:rsid w:val="00CB591C"/>
    <w:rsid w:val="00CB5943"/>
    <w:rsid w:val="00CB61B3"/>
    <w:rsid w:val="00CB65D4"/>
    <w:rsid w:val="00CB6F83"/>
    <w:rsid w:val="00CB72AE"/>
    <w:rsid w:val="00CB72B1"/>
    <w:rsid w:val="00CB78AD"/>
    <w:rsid w:val="00CC00CD"/>
    <w:rsid w:val="00CC0579"/>
    <w:rsid w:val="00CC0AF3"/>
    <w:rsid w:val="00CC0BC6"/>
    <w:rsid w:val="00CC0E68"/>
    <w:rsid w:val="00CC21AC"/>
    <w:rsid w:val="00CC2514"/>
    <w:rsid w:val="00CC2756"/>
    <w:rsid w:val="00CC2CBD"/>
    <w:rsid w:val="00CC2F69"/>
    <w:rsid w:val="00CC315F"/>
    <w:rsid w:val="00CC3D38"/>
    <w:rsid w:val="00CC404B"/>
    <w:rsid w:val="00CC40C3"/>
    <w:rsid w:val="00CC4E5D"/>
    <w:rsid w:val="00CC50AE"/>
    <w:rsid w:val="00CC5864"/>
    <w:rsid w:val="00CC61B7"/>
    <w:rsid w:val="00CC61CA"/>
    <w:rsid w:val="00CC6668"/>
    <w:rsid w:val="00CC69EC"/>
    <w:rsid w:val="00CC71D3"/>
    <w:rsid w:val="00CC743D"/>
    <w:rsid w:val="00CC7E86"/>
    <w:rsid w:val="00CD050A"/>
    <w:rsid w:val="00CD0D1F"/>
    <w:rsid w:val="00CD205D"/>
    <w:rsid w:val="00CD2A22"/>
    <w:rsid w:val="00CD2B50"/>
    <w:rsid w:val="00CD3AD3"/>
    <w:rsid w:val="00CD41FE"/>
    <w:rsid w:val="00CD4506"/>
    <w:rsid w:val="00CD520B"/>
    <w:rsid w:val="00CD592E"/>
    <w:rsid w:val="00CD5982"/>
    <w:rsid w:val="00CD5A1A"/>
    <w:rsid w:val="00CD6054"/>
    <w:rsid w:val="00CD71E9"/>
    <w:rsid w:val="00CD7EFA"/>
    <w:rsid w:val="00CE01A5"/>
    <w:rsid w:val="00CE020E"/>
    <w:rsid w:val="00CE0566"/>
    <w:rsid w:val="00CE0E9B"/>
    <w:rsid w:val="00CE16A9"/>
    <w:rsid w:val="00CE1CD4"/>
    <w:rsid w:val="00CE23FE"/>
    <w:rsid w:val="00CE2761"/>
    <w:rsid w:val="00CE2B49"/>
    <w:rsid w:val="00CE314E"/>
    <w:rsid w:val="00CE3A86"/>
    <w:rsid w:val="00CE3D5C"/>
    <w:rsid w:val="00CE3E14"/>
    <w:rsid w:val="00CE44C7"/>
    <w:rsid w:val="00CE53CC"/>
    <w:rsid w:val="00CE65A7"/>
    <w:rsid w:val="00CE68FE"/>
    <w:rsid w:val="00CE69CC"/>
    <w:rsid w:val="00CE6EC4"/>
    <w:rsid w:val="00CE7A77"/>
    <w:rsid w:val="00CE7F26"/>
    <w:rsid w:val="00CE7FBF"/>
    <w:rsid w:val="00CF0DFF"/>
    <w:rsid w:val="00CF1066"/>
    <w:rsid w:val="00CF1226"/>
    <w:rsid w:val="00CF16C0"/>
    <w:rsid w:val="00CF1ABB"/>
    <w:rsid w:val="00CF1E1D"/>
    <w:rsid w:val="00CF24FE"/>
    <w:rsid w:val="00CF35D0"/>
    <w:rsid w:val="00CF3DD5"/>
    <w:rsid w:val="00CF41D5"/>
    <w:rsid w:val="00CF4897"/>
    <w:rsid w:val="00CF4AF7"/>
    <w:rsid w:val="00CF4D20"/>
    <w:rsid w:val="00CF539C"/>
    <w:rsid w:val="00CF55DF"/>
    <w:rsid w:val="00CF6180"/>
    <w:rsid w:val="00CF64F6"/>
    <w:rsid w:val="00CF665F"/>
    <w:rsid w:val="00CF73F8"/>
    <w:rsid w:val="00CF7928"/>
    <w:rsid w:val="00CF7CA2"/>
    <w:rsid w:val="00D00A8E"/>
    <w:rsid w:val="00D00DE0"/>
    <w:rsid w:val="00D00F79"/>
    <w:rsid w:val="00D012BF"/>
    <w:rsid w:val="00D01760"/>
    <w:rsid w:val="00D0368E"/>
    <w:rsid w:val="00D03D2D"/>
    <w:rsid w:val="00D03E7B"/>
    <w:rsid w:val="00D0401A"/>
    <w:rsid w:val="00D04750"/>
    <w:rsid w:val="00D047E0"/>
    <w:rsid w:val="00D04B9F"/>
    <w:rsid w:val="00D04BC9"/>
    <w:rsid w:val="00D04FFB"/>
    <w:rsid w:val="00D05153"/>
    <w:rsid w:val="00D058E9"/>
    <w:rsid w:val="00D0612A"/>
    <w:rsid w:val="00D068E3"/>
    <w:rsid w:val="00D06A0E"/>
    <w:rsid w:val="00D06D40"/>
    <w:rsid w:val="00D07DC9"/>
    <w:rsid w:val="00D1060D"/>
    <w:rsid w:val="00D10E7C"/>
    <w:rsid w:val="00D11182"/>
    <w:rsid w:val="00D1137B"/>
    <w:rsid w:val="00D11807"/>
    <w:rsid w:val="00D11A96"/>
    <w:rsid w:val="00D11DB3"/>
    <w:rsid w:val="00D11E0B"/>
    <w:rsid w:val="00D12D82"/>
    <w:rsid w:val="00D1306E"/>
    <w:rsid w:val="00D134CD"/>
    <w:rsid w:val="00D13CE5"/>
    <w:rsid w:val="00D13D98"/>
    <w:rsid w:val="00D14B5F"/>
    <w:rsid w:val="00D14E13"/>
    <w:rsid w:val="00D14F23"/>
    <w:rsid w:val="00D15356"/>
    <w:rsid w:val="00D16054"/>
    <w:rsid w:val="00D160AA"/>
    <w:rsid w:val="00D160CC"/>
    <w:rsid w:val="00D16740"/>
    <w:rsid w:val="00D16A8B"/>
    <w:rsid w:val="00D16B5C"/>
    <w:rsid w:val="00D16E39"/>
    <w:rsid w:val="00D17951"/>
    <w:rsid w:val="00D17AD8"/>
    <w:rsid w:val="00D17B53"/>
    <w:rsid w:val="00D2104A"/>
    <w:rsid w:val="00D21302"/>
    <w:rsid w:val="00D213F1"/>
    <w:rsid w:val="00D21BB5"/>
    <w:rsid w:val="00D21FFC"/>
    <w:rsid w:val="00D223A3"/>
    <w:rsid w:val="00D223B6"/>
    <w:rsid w:val="00D223E8"/>
    <w:rsid w:val="00D22CB5"/>
    <w:rsid w:val="00D22DC8"/>
    <w:rsid w:val="00D24ECD"/>
    <w:rsid w:val="00D2522A"/>
    <w:rsid w:val="00D2531C"/>
    <w:rsid w:val="00D255F3"/>
    <w:rsid w:val="00D25FC7"/>
    <w:rsid w:val="00D26C21"/>
    <w:rsid w:val="00D2742F"/>
    <w:rsid w:val="00D2754F"/>
    <w:rsid w:val="00D27793"/>
    <w:rsid w:val="00D27912"/>
    <w:rsid w:val="00D279D9"/>
    <w:rsid w:val="00D30418"/>
    <w:rsid w:val="00D312DC"/>
    <w:rsid w:val="00D31B84"/>
    <w:rsid w:val="00D31C6A"/>
    <w:rsid w:val="00D31EDF"/>
    <w:rsid w:val="00D31FF9"/>
    <w:rsid w:val="00D32149"/>
    <w:rsid w:val="00D32256"/>
    <w:rsid w:val="00D32A27"/>
    <w:rsid w:val="00D32ABC"/>
    <w:rsid w:val="00D33010"/>
    <w:rsid w:val="00D34B25"/>
    <w:rsid w:val="00D34F4E"/>
    <w:rsid w:val="00D35753"/>
    <w:rsid w:val="00D357F3"/>
    <w:rsid w:val="00D35C0E"/>
    <w:rsid w:val="00D373A8"/>
    <w:rsid w:val="00D375FF"/>
    <w:rsid w:val="00D379A5"/>
    <w:rsid w:val="00D4017C"/>
    <w:rsid w:val="00D401BE"/>
    <w:rsid w:val="00D4043A"/>
    <w:rsid w:val="00D40A8E"/>
    <w:rsid w:val="00D40AB0"/>
    <w:rsid w:val="00D40DB0"/>
    <w:rsid w:val="00D40F8B"/>
    <w:rsid w:val="00D41858"/>
    <w:rsid w:val="00D422DB"/>
    <w:rsid w:val="00D42A83"/>
    <w:rsid w:val="00D42AC2"/>
    <w:rsid w:val="00D43988"/>
    <w:rsid w:val="00D4498E"/>
    <w:rsid w:val="00D4515F"/>
    <w:rsid w:val="00D451E8"/>
    <w:rsid w:val="00D4636B"/>
    <w:rsid w:val="00D466C9"/>
    <w:rsid w:val="00D467D8"/>
    <w:rsid w:val="00D47275"/>
    <w:rsid w:val="00D4750C"/>
    <w:rsid w:val="00D4767B"/>
    <w:rsid w:val="00D50AEF"/>
    <w:rsid w:val="00D50C39"/>
    <w:rsid w:val="00D51E15"/>
    <w:rsid w:val="00D52B7E"/>
    <w:rsid w:val="00D52E2F"/>
    <w:rsid w:val="00D52F59"/>
    <w:rsid w:val="00D53E3E"/>
    <w:rsid w:val="00D55279"/>
    <w:rsid w:val="00D55904"/>
    <w:rsid w:val="00D55C94"/>
    <w:rsid w:val="00D5616F"/>
    <w:rsid w:val="00D56828"/>
    <w:rsid w:val="00D568BA"/>
    <w:rsid w:val="00D57940"/>
    <w:rsid w:val="00D60327"/>
    <w:rsid w:val="00D61526"/>
    <w:rsid w:val="00D61F81"/>
    <w:rsid w:val="00D623A9"/>
    <w:rsid w:val="00D62BE6"/>
    <w:rsid w:val="00D630E3"/>
    <w:rsid w:val="00D633AC"/>
    <w:rsid w:val="00D63766"/>
    <w:rsid w:val="00D63912"/>
    <w:rsid w:val="00D63923"/>
    <w:rsid w:val="00D63F05"/>
    <w:rsid w:val="00D6451B"/>
    <w:rsid w:val="00D64A49"/>
    <w:rsid w:val="00D64B57"/>
    <w:rsid w:val="00D64C97"/>
    <w:rsid w:val="00D65A92"/>
    <w:rsid w:val="00D65DEA"/>
    <w:rsid w:val="00D65DFE"/>
    <w:rsid w:val="00D660DF"/>
    <w:rsid w:val="00D67BC7"/>
    <w:rsid w:val="00D701F1"/>
    <w:rsid w:val="00D705D3"/>
    <w:rsid w:val="00D7088A"/>
    <w:rsid w:val="00D70E00"/>
    <w:rsid w:val="00D71014"/>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01"/>
    <w:rsid w:val="00D7692B"/>
    <w:rsid w:val="00D76A19"/>
    <w:rsid w:val="00D76CBD"/>
    <w:rsid w:val="00D7734F"/>
    <w:rsid w:val="00D8044C"/>
    <w:rsid w:val="00D805D6"/>
    <w:rsid w:val="00D8075E"/>
    <w:rsid w:val="00D80860"/>
    <w:rsid w:val="00D80D4C"/>
    <w:rsid w:val="00D80E21"/>
    <w:rsid w:val="00D8166D"/>
    <w:rsid w:val="00D81718"/>
    <w:rsid w:val="00D8184D"/>
    <w:rsid w:val="00D81A7B"/>
    <w:rsid w:val="00D81B74"/>
    <w:rsid w:val="00D8223C"/>
    <w:rsid w:val="00D82B57"/>
    <w:rsid w:val="00D82CE5"/>
    <w:rsid w:val="00D8342C"/>
    <w:rsid w:val="00D85494"/>
    <w:rsid w:val="00D8582C"/>
    <w:rsid w:val="00D85D61"/>
    <w:rsid w:val="00D8616D"/>
    <w:rsid w:val="00D8711B"/>
    <w:rsid w:val="00D87384"/>
    <w:rsid w:val="00D90683"/>
    <w:rsid w:val="00D915C8"/>
    <w:rsid w:val="00D92251"/>
    <w:rsid w:val="00D9261C"/>
    <w:rsid w:val="00D92856"/>
    <w:rsid w:val="00D9310B"/>
    <w:rsid w:val="00D93299"/>
    <w:rsid w:val="00D93726"/>
    <w:rsid w:val="00D93DD3"/>
    <w:rsid w:val="00D93F3E"/>
    <w:rsid w:val="00D9405B"/>
    <w:rsid w:val="00D94942"/>
    <w:rsid w:val="00D95145"/>
    <w:rsid w:val="00D96418"/>
    <w:rsid w:val="00D967CB"/>
    <w:rsid w:val="00D96EE0"/>
    <w:rsid w:val="00D97BD1"/>
    <w:rsid w:val="00DA0051"/>
    <w:rsid w:val="00DA06B8"/>
    <w:rsid w:val="00DA286D"/>
    <w:rsid w:val="00DA2969"/>
    <w:rsid w:val="00DA29B7"/>
    <w:rsid w:val="00DA371B"/>
    <w:rsid w:val="00DA3BC0"/>
    <w:rsid w:val="00DA4842"/>
    <w:rsid w:val="00DA49EF"/>
    <w:rsid w:val="00DA5989"/>
    <w:rsid w:val="00DA5AB1"/>
    <w:rsid w:val="00DA5F9D"/>
    <w:rsid w:val="00DA69B2"/>
    <w:rsid w:val="00DA6A7B"/>
    <w:rsid w:val="00DA735F"/>
    <w:rsid w:val="00DA7462"/>
    <w:rsid w:val="00DA777E"/>
    <w:rsid w:val="00DA7AD0"/>
    <w:rsid w:val="00DA7C08"/>
    <w:rsid w:val="00DB02D7"/>
    <w:rsid w:val="00DB03CC"/>
    <w:rsid w:val="00DB12D4"/>
    <w:rsid w:val="00DB13DD"/>
    <w:rsid w:val="00DB14F0"/>
    <w:rsid w:val="00DB1745"/>
    <w:rsid w:val="00DB1AFF"/>
    <w:rsid w:val="00DB219A"/>
    <w:rsid w:val="00DB3165"/>
    <w:rsid w:val="00DB350B"/>
    <w:rsid w:val="00DB40A0"/>
    <w:rsid w:val="00DB4292"/>
    <w:rsid w:val="00DB495A"/>
    <w:rsid w:val="00DB5196"/>
    <w:rsid w:val="00DB5C03"/>
    <w:rsid w:val="00DB68BB"/>
    <w:rsid w:val="00DB6E46"/>
    <w:rsid w:val="00DB7117"/>
    <w:rsid w:val="00DB7760"/>
    <w:rsid w:val="00DB7DD4"/>
    <w:rsid w:val="00DB7E44"/>
    <w:rsid w:val="00DC00B4"/>
    <w:rsid w:val="00DC037A"/>
    <w:rsid w:val="00DC0954"/>
    <w:rsid w:val="00DC15BA"/>
    <w:rsid w:val="00DC18CD"/>
    <w:rsid w:val="00DC1A68"/>
    <w:rsid w:val="00DC2848"/>
    <w:rsid w:val="00DC30B8"/>
    <w:rsid w:val="00DC32C6"/>
    <w:rsid w:val="00DC3720"/>
    <w:rsid w:val="00DC406B"/>
    <w:rsid w:val="00DC478F"/>
    <w:rsid w:val="00DC5DFB"/>
    <w:rsid w:val="00DC62E5"/>
    <w:rsid w:val="00DC6312"/>
    <w:rsid w:val="00DC6AB9"/>
    <w:rsid w:val="00DC6F33"/>
    <w:rsid w:val="00DC729E"/>
    <w:rsid w:val="00DC7349"/>
    <w:rsid w:val="00DC7456"/>
    <w:rsid w:val="00DC7D4B"/>
    <w:rsid w:val="00DD0246"/>
    <w:rsid w:val="00DD118B"/>
    <w:rsid w:val="00DD14D8"/>
    <w:rsid w:val="00DD1599"/>
    <w:rsid w:val="00DD177F"/>
    <w:rsid w:val="00DD1B03"/>
    <w:rsid w:val="00DD2772"/>
    <w:rsid w:val="00DD2A62"/>
    <w:rsid w:val="00DD2F2F"/>
    <w:rsid w:val="00DD2F7A"/>
    <w:rsid w:val="00DD3885"/>
    <w:rsid w:val="00DD5056"/>
    <w:rsid w:val="00DD5808"/>
    <w:rsid w:val="00DD5946"/>
    <w:rsid w:val="00DD5B04"/>
    <w:rsid w:val="00DD5DAE"/>
    <w:rsid w:val="00DD5EC6"/>
    <w:rsid w:val="00DD605F"/>
    <w:rsid w:val="00DD6657"/>
    <w:rsid w:val="00DD6D71"/>
    <w:rsid w:val="00DD7236"/>
    <w:rsid w:val="00DD72A0"/>
    <w:rsid w:val="00DD735D"/>
    <w:rsid w:val="00DE0159"/>
    <w:rsid w:val="00DE04C7"/>
    <w:rsid w:val="00DE064A"/>
    <w:rsid w:val="00DE0755"/>
    <w:rsid w:val="00DE082D"/>
    <w:rsid w:val="00DE1410"/>
    <w:rsid w:val="00DE1ED0"/>
    <w:rsid w:val="00DE3119"/>
    <w:rsid w:val="00DE3B48"/>
    <w:rsid w:val="00DE3F23"/>
    <w:rsid w:val="00DE3FF0"/>
    <w:rsid w:val="00DE4105"/>
    <w:rsid w:val="00DE5189"/>
    <w:rsid w:val="00DE6230"/>
    <w:rsid w:val="00DE7108"/>
    <w:rsid w:val="00DE78D1"/>
    <w:rsid w:val="00DF0263"/>
    <w:rsid w:val="00DF06D2"/>
    <w:rsid w:val="00DF0EB4"/>
    <w:rsid w:val="00DF1412"/>
    <w:rsid w:val="00DF1E36"/>
    <w:rsid w:val="00DF1FDB"/>
    <w:rsid w:val="00DF236B"/>
    <w:rsid w:val="00DF2A91"/>
    <w:rsid w:val="00DF2F82"/>
    <w:rsid w:val="00DF3131"/>
    <w:rsid w:val="00DF3747"/>
    <w:rsid w:val="00DF3889"/>
    <w:rsid w:val="00DF3CC9"/>
    <w:rsid w:val="00DF4451"/>
    <w:rsid w:val="00DF49FF"/>
    <w:rsid w:val="00DF4FFB"/>
    <w:rsid w:val="00DF5236"/>
    <w:rsid w:val="00DF5D32"/>
    <w:rsid w:val="00DF651F"/>
    <w:rsid w:val="00DF6E10"/>
    <w:rsid w:val="00DF6F43"/>
    <w:rsid w:val="00DF752F"/>
    <w:rsid w:val="00DF76A2"/>
    <w:rsid w:val="00DF7B33"/>
    <w:rsid w:val="00E00B7A"/>
    <w:rsid w:val="00E01D90"/>
    <w:rsid w:val="00E02186"/>
    <w:rsid w:val="00E026BB"/>
    <w:rsid w:val="00E027C5"/>
    <w:rsid w:val="00E03124"/>
    <w:rsid w:val="00E03148"/>
    <w:rsid w:val="00E031EB"/>
    <w:rsid w:val="00E03951"/>
    <w:rsid w:val="00E03DB8"/>
    <w:rsid w:val="00E04440"/>
    <w:rsid w:val="00E04658"/>
    <w:rsid w:val="00E0466B"/>
    <w:rsid w:val="00E04EC1"/>
    <w:rsid w:val="00E0573A"/>
    <w:rsid w:val="00E057BA"/>
    <w:rsid w:val="00E057C0"/>
    <w:rsid w:val="00E05E70"/>
    <w:rsid w:val="00E0631A"/>
    <w:rsid w:val="00E064BC"/>
    <w:rsid w:val="00E07225"/>
    <w:rsid w:val="00E079FF"/>
    <w:rsid w:val="00E07AAA"/>
    <w:rsid w:val="00E07B7A"/>
    <w:rsid w:val="00E1002B"/>
    <w:rsid w:val="00E1079C"/>
    <w:rsid w:val="00E109DD"/>
    <w:rsid w:val="00E11229"/>
    <w:rsid w:val="00E114CA"/>
    <w:rsid w:val="00E11CF0"/>
    <w:rsid w:val="00E12A54"/>
    <w:rsid w:val="00E12E62"/>
    <w:rsid w:val="00E132D5"/>
    <w:rsid w:val="00E1397F"/>
    <w:rsid w:val="00E13AB8"/>
    <w:rsid w:val="00E13D8F"/>
    <w:rsid w:val="00E1482E"/>
    <w:rsid w:val="00E14835"/>
    <w:rsid w:val="00E155D3"/>
    <w:rsid w:val="00E16382"/>
    <w:rsid w:val="00E16572"/>
    <w:rsid w:val="00E1699C"/>
    <w:rsid w:val="00E16E75"/>
    <w:rsid w:val="00E1746D"/>
    <w:rsid w:val="00E2012A"/>
    <w:rsid w:val="00E205A2"/>
    <w:rsid w:val="00E20BA4"/>
    <w:rsid w:val="00E20C24"/>
    <w:rsid w:val="00E23137"/>
    <w:rsid w:val="00E231B0"/>
    <w:rsid w:val="00E23980"/>
    <w:rsid w:val="00E241E9"/>
    <w:rsid w:val="00E2510E"/>
    <w:rsid w:val="00E2520A"/>
    <w:rsid w:val="00E253EB"/>
    <w:rsid w:val="00E257C3"/>
    <w:rsid w:val="00E25CB3"/>
    <w:rsid w:val="00E25DA4"/>
    <w:rsid w:val="00E25DBC"/>
    <w:rsid w:val="00E26CB8"/>
    <w:rsid w:val="00E26F43"/>
    <w:rsid w:val="00E26FCF"/>
    <w:rsid w:val="00E27165"/>
    <w:rsid w:val="00E27226"/>
    <w:rsid w:val="00E3044A"/>
    <w:rsid w:val="00E3189C"/>
    <w:rsid w:val="00E318E0"/>
    <w:rsid w:val="00E31A4A"/>
    <w:rsid w:val="00E31C43"/>
    <w:rsid w:val="00E321D8"/>
    <w:rsid w:val="00E32206"/>
    <w:rsid w:val="00E32DD5"/>
    <w:rsid w:val="00E32FA8"/>
    <w:rsid w:val="00E3344A"/>
    <w:rsid w:val="00E33B29"/>
    <w:rsid w:val="00E33B62"/>
    <w:rsid w:val="00E3403D"/>
    <w:rsid w:val="00E34E6C"/>
    <w:rsid w:val="00E350D8"/>
    <w:rsid w:val="00E353E2"/>
    <w:rsid w:val="00E36345"/>
    <w:rsid w:val="00E367A6"/>
    <w:rsid w:val="00E36C86"/>
    <w:rsid w:val="00E36CEB"/>
    <w:rsid w:val="00E37A28"/>
    <w:rsid w:val="00E37CD3"/>
    <w:rsid w:val="00E40430"/>
    <w:rsid w:val="00E40690"/>
    <w:rsid w:val="00E40AEB"/>
    <w:rsid w:val="00E41229"/>
    <w:rsid w:val="00E4143A"/>
    <w:rsid w:val="00E41A5D"/>
    <w:rsid w:val="00E424C8"/>
    <w:rsid w:val="00E4251D"/>
    <w:rsid w:val="00E42F41"/>
    <w:rsid w:val="00E43D00"/>
    <w:rsid w:val="00E44128"/>
    <w:rsid w:val="00E445E4"/>
    <w:rsid w:val="00E451BA"/>
    <w:rsid w:val="00E457CB"/>
    <w:rsid w:val="00E45D47"/>
    <w:rsid w:val="00E45DE4"/>
    <w:rsid w:val="00E45E63"/>
    <w:rsid w:val="00E46D10"/>
    <w:rsid w:val="00E5002A"/>
    <w:rsid w:val="00E50A7B"/>
    <w:rsid w:val="00E50B0B"/>
    <w:rsid w:val="00E50F9A"/>
    <w:rsid w:val="00E510D0"/>
    <w:rsid w:val="00E510FE"/>
    <w:rsid w:val="00E5142F"/>
    <w:rsid w:val="00E514C9"/>
    <w:rsid w:val="00E51E25"/>
    <w:rsid w:val="00E5205B"/>
    <w:rsid w:val="00E521AE"/>
    <w:rsid w:val="00E52C99"/>
    <w:rsid w:val="00E53BCA"/>
    <w:rsid w:val="00E53F02"/>
    <w:rsid w:val="00E54534"/>
    <w:rsid w:val="00E548C3"/>
    <w:rsid w:val="00E54DA0"/>
    <w:rsid w:val="00E54F27"/>
    <w:rsid w:val="00E556F5"/>
    <w:rsid w:val="00E55FF1"/>
    <w:rsid w:val="00E56090"/>
    <w:rsid w:val="00E565B9"/>
    <w:rsid w:val="00E5733B"/>
    <w:rsid w:val="00E5756C"/>
    <w:rsid w:val="00E601BE"/>
    <w:rsid w:val="00E60B5F"/>
    <w:rsid w:val="00E613AE"/>
    <w:rsid w:val="00E61429"/>
    <w:rsid w:val="00E61ABB"/>
    <w:rsid w:val="00E61FD7"/>
    <w:rsid w:val="00E623E6"/>
    <w:rsid w:val="00E624EC"/>
    <w:rsid w:val="00E630C0"/>
    <w:rsid w:val="00E63107"/>
    <w:rsid w:val="00E634E6"/>
    <w:rsid w:val="00E63DCE"/>
    <w:rsid w:val="00E64700"/>
    <w:rsid w:val="00E64E0B"/>
    <w:rsid w:val="00E65074"/>
    <w:rsid w:val="00E655E2"/>
    <w:rsid w:val="00E65E70"/>
    <w:rsid w:val="00E65EE9"/>
    <w:rsid w:val="00E66087"/>
    <w:rsid w:val="00E6685F"/>
    <w:rsid w:val="00E66D79"/>
    <w:rsid w:val="00E66FF9"/>
    <w:rsid w:val="00E67856"/>
    <w:rsid w:val="00E679C8"/>
    <w:rsid w:val="00E70314"/>
    <w:rsid w:val="00E704AC"/>
    <w:rsid w:val="00E70FCD"/>
    <w:rsid w:val="00E724E7"/>
    <w:rsid w:val="00E729DC"/>
    <w:rsid w:val="00E72B41"/>
    <w:rsid w:val="00E7343E"/>
    <w:rsid w:val="00E7347B"/>
    <w:rsid w:val="00E73D03"/>
    <w:rsid w:val="00E7471C"/>
    <w:rsid w:val="00E7498A"/>
    <w:rsid w:val="00E7514E"/>
    <w:rsid w:val="00E75B34"/>
    <w:rsid w:val="00E77AF5"/>
    <w:rsid w:val="00E77D4E"/>
    <w:rsid w:val="00E8029A"/>
    <w:rsid w:val="00E803A6"/>
    <w:rsid w:val="00E80527"/>
    <w:rsid w:val="00E81653"/>
    <w:rsid w:val="00E823F9"/>
    <w:rsid w:val="00E82C1F"/>
    <w:rsid w:val="00E82EEA"/>
    <w:rsid w:val="00E83671"/>
    <w:rsid w:val="00E8414B"/>
    <w:rsid w:val="00E84793"/>
    <w:rsid w:val="00E84A71"/>
    <w:rsid w:val="00E8544B"/>
    <w:rsid w:val="00E8554E"/>
    <w:rsid w:val="00E86556"/>
    <w:rsid w:val="00E86798"/>
    <w:rsid w:val="00E86D35"/>
    <w:rsid w:val="00E86DC2"/>
    <w:rsid w:val="00E86E32"/>
    <w:rsid w:val="00E8732E"/>
    <w:rsid w:val="00E9011F"/>
    <w:rsid w:val="00E906EB"/>
    <w:rsid w:val="00E913F9"/>
    <w:rsid w:val="00E9241E"/>
    <w:rsid w:val="00E92460"/>
    <w:rsid w:val="00E92E62"/>
    <w:rsid w:val="00E92E8B"/>
    <w:rsid w:val="00E93804"/>
    <w:rsid w:val="00E93A86"/>
    <w:rsid w:val="00E941AA"/>
    <w:rsid w:val="00E94420"/>
    <w:rsid w:val="00E950D0"/>
    <w:rsid w:val="00E95434"/>
    <w:rsid w:val="00E96467"/>
    <w:rsid w:val="00E966DA"/>
    <w:rsid w:val="00E96948"/>
    <w:rsid w:val="00E9737B"/>
    <w:rsid w:val="00E97A3F"/>
    <w:rsid w:val="00E97F0A"/>
    <w:rsid w:val="00EA0100"/>
    <w:rsid w:val="00EA010D"/>
    <w:rsid w:val="00EA04DC"/>
    <w:rsid w:val="00EA0886"/>
    <w:rsid w:val="00EA0BCE"/>
    <w:rsid w:val="00EA2726"/>
    <w:rsid w:val="00EA2744"/>
    <w:rsid w:val="00EA2937"/>
    <w:rsid w:val="00EA37B9"/>
    <w:rsid w:val="00EA39F7"/>
    <w:rsid w:val="00EA3B27"/>
    <w:rsid w:val="00EA3DC2"/>
    <w:rsid w:val="00EA434E"/>
    <w:rsid w:val="00EA4757"/>
    <w:rsid w:val="00EA51FF"/>
    <w:rsid w:val="00EA53D3"/>
    <w:rsid w:val="00EA560B"/>
    <w:rsid w:val="00EA5669"/>
    <w:rsid w:val="00EA5C05"/>
    <w:rsid w:val="00EA63EF"/>
    <w:rsid w:val="00EA6750"/>
    <w:rsid w:val="00EB0A89"/>
    <w:rsid w:val="00EB0B22"/>
    <w:rsid w:val="00EB151B"/>
    <w:rsid w:val="00EB1573"/>
    <w:rsid w:val="00EB1650"/>
    <w:rsid w:val="00EB17CA"/>
    <w:rsid w:val="00EB1910"/>
    <w:rsid w:val="00EB1D24"/>
    <w:rsid w:val="00EB209B"/>
    <w:rsid w:val="00EB26F2"/>
    <w:rsid w:val="00EB2E97"/>
    <w:rsid w:val="00EB3416"/>
    <w:rsid w:val="00EB4AE1"/>
    <w:rsid w:val="00EB52F4"/>
    <w:rsid w:val="00EB5694"/>
    <w:rsid w:val="00EB5779"/>
    <w:rsid w:val="00EB6098"/>
    <w:rsid w:val="00EB6199"/>
    <w:rsid w:val="00EB65ED"/>
    <w:rsid w:val="00EB67F1"/>
    <w:rsid w:val="00EB72CD"/>
    <w:rsid w:val="00EB749A"/>
    <w:rsid w:val="00EB76B6"/>
    <w:rsid w:val="00EB7D8A"/>
    <w:rsid w:val="00EB7EA7"/>
    <w:rsid w:val="00EC05E2"/>
    <w:rsid w:val="00EC08AF"/>
    <w:rsid w:val="00EC0B29"/>
    <w:rsid w:val="00EC0E84"/>
    <w:rsid w:val="00EC1532"/>
    <w:rsid w:val="00EC16E2"/>
    <w:rsid w:val="00EC1CE7"/>
    <w:rsid w:val="00EC2497"/>
    <w:rsid w:val="00EC26F1"/>
    <w:rsid w:val="00EC346B"/>
    <w:rsid w:val="00EC36B1"/>
    <w:rsid w:val="00EC3C94"/>
    <w:rsid w:val="00EC44DF"/>
    <w:rsid w:val="00EC4AB1"/>
    <w:rsid w:val="00EC4EFB"/>
    <w:rsid w:val="00EC4FB9"/>
    <w:rsid w:val="00EC5310"/>
    <w:rsid w:val="00EC5393"/>
    <w:rsid w:val="00EC5741"/>
    <w:rsid w:val="00EC5ACE"/>
    <w:rsid w:val="00EC5DA3"/>
    <w:rsid w:val="00EC6014"/>
    <w:rsid w:val="00EC6B3E"/>
    <w:rsid w:val="00EC6D8D"/>
    <w:rsid w:val="00EC71C7"/>
    <w:rsid w:val="00EC73DE"/>
    <w:rsid w:val="00EC7637"/>
    <w:rsid w:val="00EC7B63"/>
    <w:rsid w:val="00EC7CF2"/>
    <w:rsid w:val="00ED046B"/>
    <w:rsid w:val="00ED046C"/>
    <w:rsid w:val="00ED053A"/>
    <w:rsid w:val="00ED17E3"/>
    <w:rsid w:val="00ED1F03"/>
    <w:rsid w:val="00ED2D27"/>
    <w:rsid w:val="00ED3347"/>
    <w:rsid w:val="00ED38FD"/>
    <w:rsid w:val="00ED3954"/>
    <w:rsid w:val="00ED4048"/>
    <w:rsid w:val="00ED43A2"/>
    <w:rsid w:val="00ED4967"/>
    <w:rsid w:val="00ED4EC8"/>
    <w:rsid w:val="00ED510D"/>
    <w:rsid w:val="00ED5140"/>
    <w:rsid w:val="00ED522A"/>
    <w:rsid w:val="00ED538C"/>
    <w:rsid w:val="00ED5771"/>
    <w:rsid w:val="00ED587F"/>
    <w:rsid w:val="00ED5964"/>
    <w:rsid w:val="00ED5C48"/>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1CE5"/>
    <w:rsid w:val="00EE366D"/>
    <w:rsid w:val="00EE3F96"/>
    <w:rsid w:val="00EE5350"/>
    <w:rsid w:val="00EE5454"/>
    <w:rsid w:val="00EE58B8"/>
    <w:rsid w:val="00EE59B5"/>
    <w:rsid w:val="00EE5CF6"/>
    <w:rsid w:val="00EE5D1D"/>
    <w:rsid w:val="00EE5FB7"/>
    <w:rsid w:val="00EE666A"/>
    <w:rsid w:val="00EE6A1A"/>
    <w:rsid w:val="00EE7B54"/>
    <w:rsid w:val="00EE7C88"/>
    <w:rsid w:val="00EE7C8B"/>
    <w:rsid w:val="00EF0209"/>
    <w:rsid w:val="00EF0EA4"/>
    <w:rsid w:val="00EF1E97"/>
    <w:rsid w:val="00EF2436"/>
    <w:rsid w:val="00EF2547"/>
    <w:rsid w:val="00EF2B2B"/>
    <w:rsid w:val="00EF2E1C"/>
    <w:rsid w:val="00EF2FD6"/>
    <w:rsid w:val="00EF3217"/>
    <w:rsid w:val="00EF326A"/>
    <w:rsid w:val="00EF3A5D"/>
    <w:rsid w:val="00EF3F02"/>
    <w:rsid w:val="00EF427A"/>
    <w:rsid w:val="00EF45DF"/>
    <w:rsid w:val="00EF4952"/>
    <w:rsid w:val="00EF498F"/>
    <w:rsid w:val="00EF4A42"/>
    <w:rsid w:val="00EF510C"/>
    <w:rsid w:val="00EF55C4"/>
    <w:rsid w:val="00EF57BC"/>
    <w:rsid w:val="00EF5FD2"/>
    <w:rsid w:val="00EF61F5"/>
    <w:rsid w:val="00EF65B3"/>
    <w:rsid w:val="00EF6784"/>
    <w:rsid w:val="00EF688A"/>
    <w:rsid w:val="00EF6A03"/>
    <w:rsid w:val="00EF6DC2"/>
    <w:rsid w:val="00EF7BF4"/>
    <w:rsid w:val="00F0030F"/>
    <w:rsid w:val="00F00674"/>
    <w:rsid w:val="00F0141B"/>
    <w:rsid w:val="00F01657"/>
    <w:rsid w:val="00F01E67"/>
    <w:rsid w:val="00F021B7"/>
    <w:rsid w:val="00F02744"/>
    <w:rsid w:val="00F02BFD"/>
    <w:rsid w:val="00F02D25"/>
    <w:rsid w:val="00F0435D"/>
    <w:rsid w:val="00F04580"/>
    <w:rsid w:val="00F047E7"/>
    <w:rsid w:val="00F04ECA"/>
    <w:rsid w:val="00F04EDA"/>
    <w:rsid w:val="00F05876"/>
    <w:rsid w:val="00F05DC2"/>
    <w:rsid w:val="00F06E19"/>
    <w:rsid w:val="00F06F84"/>
    <w:rsid w:val="00F076E7"/>
    <w:rsid w:val="00F07AA1"/>
    <w:rsid w:val="00F10003"/>
    <w:rsid w:val="00F105AE"/>
    <w:rsid w:val="00F10618"/>
    <w:rsid w:val="00F10FC4"/>
    <w:rsid w:val="00F1108B"/>
    <w:rsid w:val="00F11768"/>
    <w:rsid w:val="00F11873"/>
    <w:rsid w:val="00F11951"/>
    <w:rsid w:val="00F11BA8"/>
    <w:rsid w:val="00F12259"/>
    <w:rsid w:val="00F12262"/>
    <w:rsid w:val="00F12AF8"/>
    <w:rsid w:val="00F12C52"/>
    <w:rsid w:val="00F12EAB"/>
    <w:rsid w:val="00F142B5"/>
    <w:rsid w:val="00F14352"/>
    <w:rsid w:val="00F144BA"/>
    <w:rsid w:val="00F14618"/>
    <w:rsid w:val="00F148B7"/>
    <w:rsid w:val="00F14BE9"/>
    <w:rsid w:val="00F14EA9"/>
    <w:rsid w:val="00F14FFE"/>
    <w:rsid w:val="00F15505"/>
    <w:rsid w:val="00F15BFF"/>
    <w:rsid w:val="00F15D14"/>
    <w:rsid w:val="00F17105"/>
    <w:rsid w:val="00F20953"/>
    <w:rsid w:val="00F20A0B"/>
    <w:rsid w:val="00F213A0"/>
    <w:rsid w:val="00F217AB"/>
    <w:rsid w:val="00F21A51"/>
    <w:rsid w:val="00F21D54"/>
    <w:rsid w:val="00F21D6D"/>
    <w:rsid w:val="00F21EF4"/>
    <w:rsid w:val="00F227B8"/>
    <w:rsid w:val="00F23113"/>
    <w:rsid w:val="00F23255"/>
    <w:rsid w:val="00F23393"/>
    <w:rsid w:val="00F23759"/>
    <w:rsid w:val="00F239D4"/>
    <w:rsid w:val="00F23CB5"/>
    <w:rsid w:val="00F245A1"/>
    <w:rsid w:val="00F24644"/>
    <w:rsid w:val="00F24ABF"/>
    <w:rsid w:val="00F256FD"/>
    <w:rsid w:val="00F259F1"/>
    <w:rsid w:val="00F268A6"/>
    <w:rsid w:val="00F26F33"/>
    <w:rsid w:val="00F27E74"/>
    <w:rsid w:val="00F300A8"/>
    <w:rsid w:val="00F30265"/>
    <w:rsid w:val="00F30400"/>
    <w:rsid w:val="00F3079E"/>
    <w:rsid w:val="00F31F88"/>
    <w:rsid w:val="00F32C50"/>
    <w:rsid w:val="00F33980"/>
    <w:rsid w:val="00F3399B"/>
    <w:rsid w:val="00F33C1A"/>
    <w:rsid w:val="00F3461B"/>
    <w:rsid w:val="00F346ED"/>
    <w:rsid w:val="00F34945"/>
    <w:rsid w:val="00F34E1E"/>
    <w:rsid w:val="00F351E8"/>
    <w:rsid w:val="00F353FF"/>
    <w:rsid w:val="00F3570C"/>
    <w:rsid w:val="00F368FF"/>
    <w:rsid w:val="00F37068"/>
    <w:rsid w:val="00F37F3F"/>
    <w:rsid w:val="00F40201"/>
    <w:rsid w:val="00F404A9"/>
    <w:rsid w:val="00F40992"/>
    <w:rsid w:val="00F40A99"/>
    <w:rsid w:val="00F40AEC"/>
    <w:rsid w:val="00F412DF"/>
    <w:rsid w:val="00F41596"/>
    <w:rsid w:val="00F416C3"/>
    <w:rsid w:val="00F41D8B"/>
    <w:rsid w:val="00F42121"/>
    <w:rsid w:val="00F424B3"/>
    <w:rsid w:val="00F428B1"/>
    <w:rsid w:val="00F428B4"/>
    <w:rsid w:val="00F43222"/>
    <w:rsid w:val="00F4345D"/>
    <w:rsid w:val="00F4387B"/>
    <w:rsid w:val="00F4425D"/>
    <w:rsid w:val="00F4518D"/>
    <w:rsid w:val="00F45B91"/>
    <w:rsid w:val="00F46285"/>
    <w:rsid w:val="00F4630A"/>
    <w:rsid w:val="00F46639"/>
    <w:rsid w:val="00F46692"/>
    <w:rsid w:val="00F47023"/>
    <w:rsid w:val="00F47AAA"/>
    <w:rsid w:val="00F47B3B"/>
    <w:rsid w:val="00F50183"/>
    <w:rsid w:val="00F50D92"/>
    <w:rsid w:val="00F50E0B"/>
    <w:rsid w:val="00F51765"/>
    <w:rsid w:val="00F51A51"/>
    <w:rsid w:val="00F51CB4"/>
    <w:rsid w:val="00F52324"/>
    <w:rsid w:val="00F52950"/>
    <w:rsid w:val="00F52C9D"/>
    <w:rsid w:val="00F52E39"/>
    <w:rsid w:val="00F5308B"/>
    <w:rsid w:val="00F533F1"/>
    <w:rsid w:val="00F53ADC"/>
    <w:rsid w:val="00F55679"/>
    <w:rsid w:val="00F561E3"/>
    <w:rsid w:val="00F565E6"/>
    <w:rsid w:val="00F56AFA"/>
    <w:rsid w:val="00F575E2"/>
    <w:rsid w:val="00F579FF"/>
    <w:rsid w:val="00F600E0"/>
    <w:rsid w:val="00F600FD"/>
    <w:rsid w:val="00F605EC"/>
    <w:rsid w:val="00F60F60"/>
    <w:rsid w:val="00F612CE"/>
    <w:rsid w:val="00F624A7"/>
    <w:rsid w:val="00F62AB6"/>
    <w:rsid w:val="00F63984"/>
    <w:rsid w:val="00F650A2"/>
    <w:rsid w:val="00F65A3C"/>
    <w:rsid w:val="00F66282"/>
    <w:rsid w:val="00F67D8B"/>
    <w:rsid w:val="00F70961"/>
    <w:rsid w:val="00F70A8F"/>
    <w:rsid w:val="00F70F18"/>
    <w:rsid w:val="00F71397"/>
    <w:rsid w:val="00F72389"/>
    <w:rsid w:val="00F72516"/>
    <w:rsid w:val="00F72FB4"/>
    <w:rsid w:val="00F732C4"/>
    <w:rsid w:val="00F73433"/>
    <w:rsid w:val="00F735E5"/>
    <w:rsid w:val="00F739B4"/>
    <w:rsid w:val="00F73C77"/>
    <w:rsid w:val="00F73DD9"/>
    <w:rsid w:val="00F73E80"/>
    <w:rsid w:val="00F7469C"/>
    <w:rsid w:val="00F747E9"/>
    <w:rsid w:val="00F7492E"/>
    <w:rsid w:val="00F74945"/>
    <w:rsid w:val="00F749A3"/>
    <w:rsid w:val="00F74A04"/>
    <w:rsid w:val="00F74AE8"/>
    <w:rsid w:val="00F74DC7"/>
    <w:rsid w:val="00F75A86"/>
    <w:rsid w:val="00F7603E"/>
    <w:rsid w:val="00F76C11"/>
    <w:rsid w:val="00F77021"/>
    <w:rsid w:val="00F775CB"/>
    <w:rsid w:val="00F77E61"/>
    <w:rsid w:val="00F814B2"/>
    <w:rsid w:val="00F815AC"/>
    <w:rsid w:val="00F82CA5"/>
    <w:rsid w:val="00F83200"/>
    <w:rsid w:val="00F83B33"/>
    <w:rsid w:val="00F83CAE"/>
    <w:rsid w:val="00F840BF"/>
    <w:rsid w:val="00F8415D"/>
    <w:rsid w:val="00F8427A"/>
    <w:rsid w:val="00F843DF"/>
    <w:rsid w:val="00F84899"/>
    <w:rsid w:val="00F848AB"/>
    <w:rsid w:val="00F84A0A"/>
    <w:rsid w:val="00F84D13"/>
    <w:rsid w:val="00F853A5"/>
    <w:rsid w:val="00F85585"/>
    <w:rsid w:val="00F856EE"/>
    <w:rsid w:val="00F859F0"/>
    <w:rsid w:val="00F85CC1"/>
    <w:rsid w:val="00F86A41"/>
    <w:rsid w:val="00F86B5D"/>
    <w:rsid w:val="00F87464"/>
    <w:rsid w:val="00F87634"/>
    <w:rsid w:val="00F87C13"/>
    <w:rsid w:val="00F87C5A"/>
    <w:rsid w:val="00F87E29"/>
    <w:rsid w:val="00F87F18"/>
    <w:rsid w:val="00F87F68"/>
    <w:rsid w:val="00F90C4D"/>
    <w:rsid w:val="00F90F7A"/>
    <w:rsid w:val="00F90FA8"/>
    <w:rsid w:val="00F9167D"/>
    <w:rsid w:val="00F91CB2"/>
    <w:rsid w:val="00F9289C"/>
    <w:rsid w:val="00F93DBC"/>
    <w:rsid w:val="00F93E41"/>
    <w:rsid w:val="00F94600"/>
    <w:rsid w:val="00F94644"/>
    <w:rsid w:val="00F95075"/>
    <w:rsid w:val="00F9537B"/>
    <w:rsid w:val="00F95467"/>
    <w:rsid w:val="00F954BA"/>
    <w:rsid w:val="00F95567"/>
    <w:rsid w:val="00F9574A"/>
    <w:rsid w:val="00F963FC"/>
    <w:rsid w:val="00F96F06"/>
    <w:rsid w:val="00F96FD6"/>
    <w:rsid w:val="00FA015F"/>
    <w:rsid w:val="00FA0FAC"/>
    <w:rsid w:val="00FA1DA2"/>
    <w:rsid w:val="00FA3414"/>
    <w:rsid w:val="00FA347A"/>
    <w:rsid w:val="00FA39D7"/>
    <w:rsid w:val="00FA3CDE"/>
    <w:rsid w:val="00FA49B7"/>
    <w:rsid w:val="00FA5043"/>
    <w:rsid w:val="00FA5ECF"/>
    <w:rsid w:val="00FA6179"/>
    <w:rsid w:val="00FA6F8B"/>
    <w:rsid w:val="00FA7A30"/>
    <w:rsid w:val="00FA7F7F"/>
    <w:rsid w:val="00FB033F"/>
    <w:rsid w:val="00FB12E3"/>
    <w:rsid w:val="00FB1570"/>
    <w:rsid w:val="00FB186E"/>
    <w:rsid w:val="00FB193B"/>
    <w:rsid w:val="00FB1FBC"/>
    <w:rsid w:val="00FB27B7"/>
    <w:rsid w:val="00FB2C36"/>
    <w:rsid w:val="00FB3444"/>
    <w:rsid w:val="00FB3483"/>
    <w:rsid w:val="00FB35E3"/>
    <w:rsid w:val="00FB46C0"/>
    <w:rsid w:val="00FB48A1"/>
    <w:rsid w:val="00FB4D3F"/>
    <w:rsid w:val="00FB583C"/>
    <w:rsid w:val="00FB61D1"/>
    <w:rsid w:val="00FB630E"/>
    <w:rsid w:val="00FB6738"/>
    <w:rsid w:val="00FB691B"/>
    <w:rsid w:val="00FB731C"/>
    <w:rsid w:val="00FB7DF8"/>
    <w:rsid w:val="00FC05A0"/>
    <w:rsid w:val="00FC0811"/>
    <w:rsid w:val="00FC1196"/>
    <w:rsid w:val="00FC15EB"/>
    <w:rsid w:val="00FC18DC"/>
    <w:rsid w:val="00FC1ED2"/>
    <w:rsid w:val="00FC2AC4"/>
    <w:rsid w:val="00FC2D6D"/>
    <w:rsid w:val="00FC2F73"/>
    <w:rsid w:val="00FC3783"/>
    <w:rsid w:val="00FC3A9B"/>
    <w:rsid w:val="00FC3AE1"/>
    <w:rsid w:val="00FC3DFC"/>
    <w:rsid w:val="00FC3EF4"/>
    <w:rsid w:val="00FC431B"/>
    <w:rsid w:val="00FC434C"/>
    <w:rsid w:val="00FC4FDF"/>
    <w:rsid w:val="00FC5CF4"/>
    <w:rsid w:val="00FC6A39"/>
    <w:rsid w:val="00FC6E50"/>
    <w:rsid w:val="00FC710F"/>
    <w:rsid w:val="00FC79AB"/>
    <w:rsid w:val="00FC7BE7"/>
    <w:rsid w:val="00FC7DAC"/>
    <w:rsid w:val="00FD04AE"/>
    <w:rsid w:val="00FD086B"/>
    <w:rsid w:val="00FD1890"/>
    <w:rsid w:val="00FD1994"/>
    <w:rsid w:val="00FD1B08"/>
    <w:rsid w:val="00FD21A9"/>
    <w:rsid w:val="00FD2AC8"/>
    <w:rsid w:val="00FD2CA6"/>
    <w:rsid w:val="00FD3508"/>
    <w:rsid w:val="00FD393C"/>
    <w:rsid w:val="00FD3D53"/>
    <w:rsid w:val="00FD43BB"/>
    <w:rsid w:val="00FD4AF3"/>
    <w:rsid w:val="00FD4E0F"/>
    <w:rsid w:val="00FD556A"/>
    <w:rsid w:val="00FD5A41"/>
    <w:rsid w:val="00FD5A69"/>
    <w:rsid w:val="00FD6F3C"/>
    <w:rsid w:val="00FD798D"/>
    <w:rsid w:val="00FD7BD8"/>
    <w:rsid w:val="00FD7FB9"/>
    <w:rsid w:val="00FE100E"/>
    <w:rsid w:val="00FE141E"/>
    <w:rsid w:val="00FE144E"/>
    <w:rsid w:val="00FE1689"/>
    <w:rsid w:val="00FE1768"/>
    <w:rsid w:val="00FE24F4"/>
    <w:rsid w:val="00FE2560"/>
    <w:rsid w:val="00FE35D0"/>
    <w:rsid w:val="00FE3EBB"/>
    <w:rsid w:val="00FE4058"/>
    <w:rsid w:val="00FE41AC"/>
    <w:rsid w:val="00FE42E2"/>
    <w:rsid w:val="00FE42ED"/>
    <w:rsid w:val="00FE4C6D"/>
    <w:rsid w:val="00FE55A7"/>
    <w:rsid w:val="00FE55E6"/>
    <w:rsid w:val="00FE56D5"/>
    <w:rsid w:val="00FE576D"/>
    <w:rsid w:val="00FE5C5A"/>
    <w:rsid w:val="00FE6432"/>
    <w:rsid w:val="00FE6517"/>
    <w:rsid w:val="00FE72A0"/>
    <w:rsid w:val="00FF0050"/>
    <w:rsid w:val="00FF015D"/>
    <w:rsid w:val="00FF045F"/>
    <w:rsid w:val="00FF0679"/>
    <w:rsid w:val="00FF0712"/>
    <w:rsid w:val="00FF0976"/>
    <w:rsid w:val="00FF13D4"/>
    <w:rsid w:val="00FF2053"/>
    <w:rsid w:val="00FF2F4E"/>
    <w:rsid w:val="00FF3B37"/>
    <w:rsid w:val="00FF3D6F"/>
    <w:rsid w:val="00FF4BD8"/>
    <w:rsid w:val="00FF4D11"/>
    <w:rsid w:val="00FF5214"/>
    <w:rsid w:val="00FF53A5"/>
    <w:rsid w:val="00FF56A3"/>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C35"/>
    <w:pPr>
      <w:spacing w:after="160" w:line="256" w:lineRule="auto"/>
    </w:pPr>
    <w:rPr>
      <w:rFonts w:ascii="Calibri" w:eastAsia="Calibri" w:hAnsi="Calibri" w:cs="Times New Roman"/>
    </w:rPr>
  </w:style>
  <w:style w:type="paragraph" w:styleId="Ttulo1">
    <w:name w:val="heading 1"/>
    <w:basedOn w:val="Normal"/>
    <w:link w:val="Ttulo1Car"/>
    <w:uiPriority w:val="1"/>
    <w:qFormat/>
    <w:rsid w:val="006D712D"/>
    <w:pPr>
      <w:widowControl w:val="0"/>
      <w:autoSpaceDE w:val="0"/>
      <w:autoSpaceDN w:val="0"/>
      <w:spacing w:after="0" w:line="240" w:lineRule="auto"/>
      <w:ind w:left="660" w:hanging="366"/>
      <w:outlineLvl w:val="0"/>
    </w:pPr>
    <w:rPr>
      <w:rFonts w:ascii="Arial" w:eastAsia="Arial" w:hAnsi="Arial" w:cs="Arial"/>
      <w:b/>
      <w:bCs/>
      <w:lang w:val="es-ES"/>
    </w:rPr>
  </w:style>
  <w:style w:type="paragraph" w:styleId="Ttulo2">
    <w:name w:val="heading 2"/>
    <w:basedOn w:val="Normal"/>
    <w:next w:val="Normal"/>
    <w:link w:val="Ttulo2Car"/>
    <w:uiPriority w:val="9"/>
    <w:semiHidden/>
    <w:unhideWhenUsed/>
    <w:qFormat/>
    <w:rsid w:val="00965FF8"/>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after="0" w:line="240" w:lineRule="auto"/>
    </w:pPr>
    <w:rPr>
      <w:rFonts w:asciiTheme="minorHAnsi" w:eastAsiaTheme="minorHAnsi" w:hAnsiTheme="minorHAnsi" w:cstheme="minorBidi"/>
      <w:sz w:val="24"/>
      <w:lang w:val="es-MX"/>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after="0" w:line="240" w:lineRule="auto"/>
    </w:pPr>
    <w:rPr>
      <w:rFonts w:asciiTheme="minorHAnsi" w:eastAsiaTheme="minorHAnsi" w:hAnsiTheme="minorHAnsi" w:cstheme="minorBidi"/>
      <w:sz w:val="24"/>
      <w:lang w:val="es-MX"/>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Ha"/>
    <w:basedOn w:val="Normal"/>
    <w:link w:val="PrrafodelistaCar"/>
    <w:uiPriority w:val="34"/>
    <w:qFormat/>
    <w:rsid w:val="009047C5"/>
    <w:pPr>
      <w:spacing w:after="0" w:line="240" w:lineRule="auto"/>
      <w:ind w:left="720"/>
      <w:contextualSpacing/>
    </w:pPr>
    <w:rPr>
      <w:rFonts w:asciiTheme="minorHAnsi" w:eastAsiaTheme="minorHAnsi" w:hAnsiTheme="minorHAnsi" w:cstheme="minorBidi"/>
      <w:sz w:val="24"/>
      <w:lang w:val="es-MX"/>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pPr>
      <w:spacing w:after="0" w:line="240" w:lineRule="auto"/>
    </w:pPr>
    <w:rPr>
      <w:rFonts w:asciiTheme="minorHAnsi" w:eastAsiaTheme="minorHAnsi" w:hAnsiTheme="minorHAnsi" w:cstheme="minorBidi"/>
      <w:sz w:val="20"/>
      <w:szCs w:val="20"/>
      <w:lang w:val="es-MX"/>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40" w:lineRule="auto"/>
    </w:pPr>
    <w:rPr>
      <w:rFonts w:ascii="Times New Roman" w:eastAsia="Times New Roman" w:hAnsi="Times New Roman"/>
      <w:sz w:val="24"/>
      <w:szCs w:val="24"/>
      <w:lang w:eastAsia="es-CO"/>
    </w:rPr>
  </w:style>
  <w:style w:type="paragraph" w:styleId="Sinespaciado">
    <w:name w:val="No Spacing"/>
    <w:aliases w:val="No Indent"/>
    <w:link w:val="SinespaciadoCar"/>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7B0854"/>
    <w:pPr>
      <w:spacing w:after="0" w:line="240" w:lineRule="auto"/>
    </w:pPr>
    <w:rPr>
      <w:rFonts w:asciiTheme="minorHAnsi" w:eastAsiaTheme="minorHAnsi" w:hAnsiTheme="minorHAnsi" w:cstheme="minorBidi"/>
      <w:sz w:val="20"/>
      <w:szCs w:val="20"/>
      <w:lang w:val="es-MX"/>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line="240" w:lineRule="exact"/>
    </w:pPr>
    <w:rPr>
      <w:rFonts w:asciiTheme="minorHAnsi" w:eastAsiaTheme="minorHAnsi" w:hAnsiTheme="minorHAnsi" w:cstheme="minorBidi"/>
      <w:vertAlign w:val="superscript"/>
    </w:rPr>
  </w:style>
  <w:style w:type="paragraph" w:styleId="Sangradetextonormal">
    <w:name w:val="Body Text Indent"/>
    <w:basedOn w:val="Normal"/>
    <w:link w:val="SangradetextonormalCar"/>
    <w:uiPriority w:val="99"/>
    <w:semiHidden/>
    <w:unhideWhenUsed/>
    <w:rsid w:val="006B7E4E"/>
    <w:pPr>
      <w:spacing w:after="120" w:line="240" w:lineRule="auto"/>
      <w:ind w:left="283"/>
    </w:pPr>
    <w:rPr>
      <w:rFonts w:asciiTheme="minorHAnsi" w:eastAsiaTheme="minorHAnsi" w:hAnsiTheme="minorHAnsi" w:cstheme="minorBidi"/>
      <w:sz w:val="24"/>
      <w:lang w:val="es-MX"/>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line="240" w:lineRule="auto"/>
      <w:jc w:val="both"/>
    </w:pPr>
    <w:rPr>
      <w:rFonts w:ascii="Arial Narrow" w:eastAsia="Times New Roman" w:hAnsi="Arial Narrow"/>
      <w:color w:val="3C3C3C" w:themeColor="background2" w:themeShade="40"/>
      <w:sz w:val="24"/>
      <w:szCs w:val="24"/>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Capitulo8">
    <w:name w:val="Capitulo 8"/>
    <w:basedOn w:val="Normal"/>
    <w:qFormat/>
    <w:rsid w:val="00DB5196"/>
    <w:pPr>
      <w:numPr>
        <w:numId w:val="2"/>
      </w:numPr>
      <w:spacing w:after="200" w:line="276" w:lineRule="auto"/>
      <w:ind w:left="1020" w:hanging="680"/>
      <w:contextualSpacing/>
      <w:jc w:val="both"/>
    </w:pPr>
    <w:rPr>
      <w:rFonts w:ascii="Arial" w:hAnsi="Arial" w:cs="Arial"/>
      <w:b/>
      <w:bCs/>
      <w:color w:val="1C1C1C"/>
      <w:sz w:val="20"/>
      <w:szCs w:val="20"/>
    </w:rPr>
  </w:style>
  <w:style w:type="paragraph" w:customStyle="1" w:styleId="Normal11pt">
    <w:name w:val="Normal + 11 pt"/>
    <w:aliases w:val="Negro,Justificado,Izquierda:  -0,95 cm,Derecha:  0,04 cm"/>
    <w:basedOn w:val="Normal"/>
    <w:uiPriority w:val="99"/>
    <w:rsid w:val="008A2527"/>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E100E"/>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2B4039"/>
    <w:rPr>
      <w:color w:val="605E5C"/>
      <w:shd w:val="clear" w:color="auto" w:fill="E1DFDD"/>
    </w:rPr>
  </w:style>
  <w:style w:type="character" w:customStyle="1" w:styleId="baj">
    <w:name w:val="b_aj"/>
    <w:basedOn w:val="Fuentedeprrafopredeter"/>
    <w:rsid w:val="008F293D"/>
  </w:style>
  <w:style w:type="character" w:customStyle="1" w:styleId="SinespaciadoCar">
    <w:name w:val="Sin espaciado Car"/>
    <w:aliases w:val="No Indent Car"/>
    <w:link w:val="Sinespaciado"/>
    <w:uiPriority w:val="3"/>
    <w:rsid w:val="00B44E8C"/>
    <w:rPr>
      <w:sz w:val="24"/>
      <w:lang w:val="es-MX"/>
    </w:rPr>
  </w:style>
  <w:style w:type="character" w:customStyle="1" w:styleId="apple-converted-space">
    <w:name w:val="apple-converted-space"/>
    <w:basedOn w:val="Fuentedeprrafopredeter"/>
    <w:rsid w:val="00B65BBE"/>
  </w:style>
  <w:style w:type="character" w:customStyle="1" w:styleId="Ttulo2Car">
    <w:name w:val="Título 2 Car"/>
    <w:basedOn w:val="Fuentedeprrafopredeter"/>
    <w:link w:val="Ttulo2"/>
    <w:uiPriority w:val="9"/>
    <w:semiHidden/>
    <w:rsid w:val="00965FF8"/>
    <w:rPr>
      <w:rFonts w:asciiTheme="majorHAnsi" w:eastAsiaTheme="majorEastAsia" w:hAnsiTheme="majorHAnsi" w:cstheme="majorBidi"/>
      <w:color w:val="365F91" w:themeColor="accent1" w:themeShade="BF"/>
      <w:sz w:val="26"/>
      <w:szCs w:val="2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37151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150232">
      <w:bodyDiv w:val="1"/>
      <w:marLeft w:val="0"/>
      <w:marRight w:val="0"/>
      <w:marTop w:val="0"/>
      <w:marBottom w:val="0"/>
      <w:divBdr>
        <w:top w:val="none" w:sz="0" w:space="0" w:color="auto"/>
        <w:left w:val="none" w:sz="0" w:space="0" w:color="auto"/>
        <w:bottom w:val="none" w:sz="0" w:space="0" w:color="auto"/>
        <w:right w:val="none" w:sz="0" w:space="0" w:color="auto"/>
      </w:divBdr>
    </w:div>
    <w:div w:id="181166487">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9094643">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73847752">
      <w:bodyDiv w:val="1"/>
      <w:marLeft w:val="0"/>
      <w:marRight w:val="0"/>
      <w:marTop w:val="0"/>
      <w:marBottom w:val="0"/>
      <w:divBdr>
        <w:top w:val="none" w:sz="0" w:space="0" w:color="auto"/>
        <w:left w:val="none" w:sz="0" w:space="0" w:color="auto"/>
        <w:bottom w:val="none" w:sz="0" w:space="0" w:color="auto"/>
        <w:right w:val="none" w:sz="0" w:space="0" w:color="auto"/>
      </w:divBdr>
      <w:divsChild>
        <w:div w:id="250747312">
          <w:marLeft w:val="0"/>
          <w:marRight w:val="0"/>
          <w:marTop w:val="0"/>
          <w:marBottom w:val="0"/>
          <w:divBdr>
            <w:top w:val="none" w:sz="0" w:space="0" w:color="auto"/>
            <w:left w:val="none" w:sz="0" w:space="0" w:color="auto"/>
            <w:bottom w:val="none" w:sz="0" w:space="0" w:color="auto"/>
            <w:right w:val="none" w:sz="0" w:space="0" w:color="auto"/>
          </w:divBdr>
        </w:div>
        <w:div w:id="2067101779">
          <w:marLeft w:val="0"/>
          <w:marRight w:val="0"/>
          <w:marTop w:val="0"/>
          <w:marBottom w:val="0"/>
          <w:divBdr>
            <w:top w:val="none" w:sz="0" w:space="0" w:color="auto"/>
            <w:left w:val="none" w:sz="0" w:space="0" w:color="auto"/>
            <w:bottom w:val="none" w:sz="0" w:space="0" w:color="auto"/>
            <w:right w:val="none" w:sz="0" w:space="0" w:color="auto"/>
          </w:divBdr>
        </w:div>
        <w:div w:id="856118546">
          <w:marLeft w:val="0"/>
          <w:marRight w:val="0"/>
          <w:marTop w:val="0"/>
          <w:marBottom w:val="0"/>
          <w:divBdr>
            <w:top w:val="none" w:sz="0" w:space="0" w:color="auto"/>
            <w:left w:val="none" w:sz="0" w:space="0" w:color="auto"/>
            <w:bottom w:val="none" w:sz="0" w:space="0" w:color="auto"/>
            <w:right w:val="none" w:sz="0" w:space="0" w:color="auto"/>
          </w:divBdr>
        </w:div>
        <w:div w:id="701177010">
          <w:marLeft w:val="0"/>
          <w:marRight w:val="0"/>
          <w:marTop w:val="0"/>
          <w:marBottom w:val="0"/>
          <w:divBdr>
            <w:top w:val="none" w:sz="0" w:space="0" w:color="auto"/>
            <w:left w:val="none" w:sz="0" w:space="0" w:color="auto"/>
            <w:bottom w:val="none" w:sz="0" w:space="0" w:color="auto"/>
            <w:right w:val="none" w:sz="0" w:space="0" w:color="auto"/>
          </w:divBdr>
        </w:div>
        <w:div w:id="1979995553">
          <w:marLeft w:val="0"/>
          <w:marRight w:val="0"/>
          <w:marTop w:val="0"/>
          <w:marBottom w:val="0"/>
          <w:divBdr>
            <w:top w:val="none" w:sz="0" w:space="0" w:color="auto"/>
            <w:left w:val="none" w:sz="0" w:space="0" w:color="auto"/>
            <w:bottom w:val="none" w:sz="0" w:space="0" w:color="auto"/>
            <w:right w:val="none" w:sz="0" w:space="0" w:color="auto"/>
          </w:divBdr>
        </w:div>
        <w:div w:id="386532194">
          <w:marLeft w:val="0"/>
          <w:marRight w:val="0"/>
          <w:marTop w:val="0"/>
          <w:marBottom w:val="0"/>
          <w:divBdr>
            <w:top w:val="none" w:sz="0" w:space="0" w:color="auto"/>
            <w:left w:val="none" w:sz="0" w:space="0" w:color="auto"/>
            <w:bottom w:val="none" w:sz="0" w:space="0" w:color="auto"/>
            <w:right w:val="none" w:sz="0" w:space="0" w:color="auto"/>
          </w:divBdr>
        </w:div>
        <w:div w:id="1443916966">
          <w:marLeft w:val="0"/>
          <w:marRight w:val="0"/>
          <w:marTop w:val="0"/>
          <w:marBottom w:val="0"/>
          <w:divBdr>
            <w:top w:val="none" w:sz="0" w:space="0" w:color="auto"/>
            <w:left w:val="none" w:sz="0" w:space="0" w:color="auto"/>
            <w:bottom w:val="none" w:sz="0" w:space="0" w:color="auto"/>
            <w:right w:val="none" w:sz="0" w:space="0" w:color="auto"/>
          </w:divBdr>
        </w:div>
        <w:div w:id="1463428840">
          <w:marLeft w:val="0"/>
          <w:marRight w:val="0"/>
          <w:marTop w:val="0"/>
          <w:marBottom w:val="0"/>
          <w:divBdr>
            <w:top w:val="none" w:sz="0" w:space="0" w:color="auto"/>
            <w:left w:val="none" w:sz="0" w:space="0" w:color="auto"/>
            <w:bottom w:val="none" w:sz="0" w:space="0" w:color="auto"/>
            <w:right w:val="none" w:sz="0" w:space="0" w:color="auto"/>
          </w:divBdr>
        </w:div>
        <w:div w:id="340739953">
          <w:marLeft w:val="0"/>
          <w:marRight w:val="0"/>
          <w:marTop w:val="0"/>
          <w:marBottom w:val="0"/>
          <w:divBdr>
            <w:top w:val="none" w:sz="0" w:space="0" w:color="auto"/>
            <w:left w:val="none" w:sz="0" w:space="0" w:color="auto"/>
            <w:bottom w:val="none" w:sz="0" w:space="0" w:color="auto"/>
            <w:right w:val="none" w:sz="0" w:space="0" w:color="auto"/>
          </w:divBdr>
        </w:div>
        <w:div w:id="1214005837">
          <w:marLeft w:val="0"/>
          <w:marRight w:val="0"/>
          <w:marTop w:val="0"/>
          <w:marBottom w:val="0"/>
          <w:divBdr>
            <w:top w:val="none" w:sz="0" w:space="0" w:color="auto"/>
            <w:left w:val="none" w:sz="0" w:space="0" w:color="auto"/>
            <w:bottom w:val="none" w:sz="0" w:space="0" w:color="auto"/>
            <w:right w:val="none" w:sz="0" w:space="0" w:color="auto"/>
          </w:divBdr>
        </w:div>
        <w:div w:id="689572277">
          <w:marLeft w:val="0"/>
          <w:marRight w:val="0"/>
          <w:marTop w:val="0"/>
          <w:marBottom w:val="0"/>
          <w:divBdr>
            <w:top w:val="none" w:sz="0" w:space="0" w:color="auto"/>
            <w:left w:val="none" w:sz="0" w:space="0" w:color="auto"/>
            <w:bottom w:val="none" w:sz="0" w:space="0" w:color="auto"/>
            <w:right w:val="none" w:sz="0" w:space="0" w:color="auto"/>
          </w:divBdr>
        </w:div>
        <w:div w:id="1848668085">
          <w:marLeft w:val="0"/>
          <w:marRight w:val="0"/>
          <w:marTop w:val="0"/>
          <w:marBottom w:val="0"/>
          <w:divBdr>
            <w:top w:val="none" w:sz="0" w:space="0" w:color="auto"/>
            <w:left w:val="none" w:sz="0" w:space="0" w:color="auto"/>
            <w:bottom w:val="none" w:sz="0" w:space="0" w:color="auto"/>
            <w:right w:val="none" w:sz="0" w:space="0" w:color="auto"/>
          </w:divBdr>
        </w:div>
        <w:div w:id="355351056">
          <w:marLeft w:val="0"/>
          <w:marRight w:val="0"/>
          <w:marTop w:val="0"/>
          <w:marBottom w:val="0"/>
          <w:divBdr>
            <w:top w:val="none" w:sz="0" w:space="0" w:color="auto"/>
            <w:left w:val="none" w:sz="0" w:space="0" w:color="auto"/>
            <w:bottom w:val="none" w:sz="0" w:space="0" w:color="auto"/>
            <w:right w:val="none" w:sz="0" w:space="0" w:color="auto"/>
          </w:divBdr>
        </w:div>
        <w:div w:id="185019911">
          <w:marLeft w:val="0"/>
          <w:marRight w:val="0"/>
          <w:marTop w:val="0"/>
          <w:marBottom w:val="0"/>
          <w:divBdr>
            <w:top w:val="none" w:sz="0" w:space="0" w:color="auto"/>
            <w:left w:val="none" w:sz="0" w:space="0" w:color="auto"/>
            <w:bottom w:val="none" w:sz="0" w:space="0" w:color="auto"/>
            <w:right w:val="none" w:sz="0" w:space="0" w:color="auto"/>
          </w:divBdr>
        </w:div>
        <w:div w:id="1409376571">
          <w:marLeft w:val="0"/>
          <w:marRight w:val="0"/>
          <w:marTop w:val="0"/>
          <w:marBottom w:val="0"/>
          <w:divBdr>
            <w:top w:val="none" w:sz="0" w:space="0" w:color="auto"/>
            <w:left w:val="none" w:sz="0" w:space="0" w:color="auto"/>
            <w:bottom w:val="none" w:sz="0" w:space="0" w:color="auto"/>
            <w:right w:val="none" w:sz="0" w:space="0" w:color="auto"/>
          </w:divBdr>
        </w:div>
        <w:div w:id="1153715860">
          <w:marLeft w:val="0"/>
          <w:marRight w:val="0"/>
          <w:marTop w:val="0"/>
          <w:marBottom w:val="0"/>
          <w:divBdr>
            <w:top w:val="none" w:sz="0" w:space="0" w:color="auto"/>
            <w:left w:val="none" w:sz="0" w:space="0" w:color="auto"/>
            <w:bottom w:val="none" w:sz="0" w:space="0" w:color="auto"/>
            <w:right w:val="none" w:sz="0" w:space="0" w:color="auto"/>
          </w:divBdr>
        </w:div>
        <w:div w:id="878051417">
          <w:marLeft w:val="0"/>
          <w:marRight w:val="0"/>
          <w:marTop w:val="0"/>
          <w:marBottom w:val="0"/>
          <w:divBdr>
            <w:top w:val="none" w:sz="0" w:space="0" w:color="auto"/>
            <w:left w:val="none" w:sz="0" w:space="0" w:color="auto"/>
            <w:bottom w:val="none" w:sz="0" w:space="0" w:color="auto"/>
            <w:right w:val="none" w:sz="0" w:space="0" w:color="auto"/>
          </w:divBdr>
        </w:div>
        <w:div w:id="1340767783">
          <w:marLeft w:val="0"/>
          <w:marRight w:val="0"/>
          <w:marTop w:val="0"/>
          <w:marBottom w:val="0"/>
          <w:divBdr>
            <w:top w:val="none" w:sz="0" w:space="0" w:color="auto"/>
            <w:left w:val="none" w:sz="0" w:space="0" w:color="auto"/>
            <w:bottom w:val="none" w:sz="0" w:space="0" w:color="auto"/>
            <w:right w:val="none" w:sz="0" w:space="0" w:color="auto"/>
          </w:divBdr>
        </w:div>
        <w:div w:id="1389064509">
          <w:marLeft w:val="0"/>
          <w:marRight w:val="0"/>
          <w:marTop w:val="0"/>
          <w:marBottom w:val="0"/>
          <w:divBdr>
            <w:top w:val="none" w:sz="0" w:space="0" w:color="auto"/>
            <w:left w:val="none" w:sz="0" w:space="0" w:color="auto"/>
            <w:bottom w:val="none" w:sz="0" w:space="0" w:color="auto"/>
            <w:right w:val="none" w:sz="0" w:space="0" w:color="auto"/>
          </w:divBdr>
        </w:div>
        <w:div w:id="1237981306">
          <w:marLeft w:val="0"/>
          <w:marRight w:val="0"/>
          <w:marTop w:val="0"/>
          <w:marBottom w:val="0"/>
          <w:divBdr>
            <w:top w:val="none" w:sz="0" w:space="0" w:color="auto"/>
            <w:left w:val="none" w:sz="0" w:space="0" w:color="auto"/>
            <w:bottom w:val="none" w:sz="0" w:space="0" w:color="auto"/>
            <w:right w:val="none" w:sz="0" w:space="0" w:color="auto"/>
          </w:divBdr>
        </w:div>
        <w:div w:id="497230276">
          <w:marLeft w:val="0"/>
          <w:marRight w:val="0"/>
          <w:marTop w:val="0"/>
          <w:marBottom w:val="0"/>
          <w:divBdr>
            <w:top w:val="none" w:sz="0" w:space="0" w:color="auto"/>
            <w:left w:val="none" w:sz="0" w:space="0" w:color="auto"/>
            <w:bottom w:val="none" w:sz="0" w:space="0" w:color="auto"/>
            <w:right w:val="none" w:sz="0" w:space="0" w:color="auto"/>
          </w:divBdr>
        </w:div>
        <w:div w:id="1948077385">
          <w:marLeft w:val="0"/>
          <w:marRight w:val="0"/>
          <w:marTop w:val="0"/>
          <w:marBottom w:val="0"/>
          <w:divBdr>
            <w:top w:val="none" w:sz="0" w:space="0" w:color="auto"/>
            <w:left w:val="none" w:sz="0" w:space="0" w:color="auto"/>
            <w:bottom w:val="none" w:sz="0" w:space="0" w:color="auto"/>
            <w:right w:val="none" w:sz="0" w:space="0" w:color="auto"/>
          </w:divBdr>
        </w:div>
        <w:div w:id="2077436875">
          <w:marLeft w:val="0"/>
          <w:marRight w:val="0"/>
          <w:marTop w:val="0"/>
          <w:marBottom w:val="0"/>
          <w:divBdr>
            <w:top w:val="none" w:sz="0" w:space="0" w:color="auto"/>
            <w:left w:val="none" w:sz="0" w:space="0" w:color="auto"/>
            <w:bottom w:val="none" w:sz="0" w:space="0" w:color="auto"/>
            <w:right w:val="none" w:sz="0" w:space="0" w:color="auto"/>
          </w:divBdr>
        </w:div>
        <w:div w:id="375393709">
          <w:marLeft w:val="0"/>
          <w:marRight w:val="0"/>
          <w:marTop w:val="0"/>
          <w:marBottom w:val="0"/>
          <w:divBdr>
            <w:top w:val="none" w:sz="0" w:space="0" w:color="auto"/>
            <w:left w:val="none" w:sz="0" w:space="0" w:color="auto"/>
            <w:bottom w:val="none" w:sz="0" w:space="0" w:color="auto"/>
            <w:right w:val="none" w:sz="0" w:space="0" w:color="auto"/>
          </w:divBdr>
        </w:div>
        <w:div w:id="1116949506">
          <w:marLeft w:val="0"/>
          <w:marRight w:val="0"/>
          <w:marTop w:val="0"/>
          <w:marBottom w:val="0"/>
          <w:divBdr>
            <w:top w:val="none" w:sz="0" w:space="0" w:color="auto"/>
            <w:left w:val="none" w:sz="0" w:space="0" w:color="auto"/>
            <w:bottom w:val="none" w:sz="0" w:space="0" w:color="auto"/>
            <w:right w:val="none" w:sz="0" w:space="0" w:color="auto"/>
          </w:divBdr>
        </w:div>
        <w:div w:id="2063670069">
          <w:marLeft w:val="0"/>
          <w:marRight w:val="0"/>
          <w:marTop w:val="0"/>
          <w:marBottom w:val="0"/>
          <w:divBdr>
            <w:top w:val="none" w:sz="0" w:space="0" w:color="auto"/>
            <w:left w:val="none" w:sz="0" w:space="0" w:color="auto"/>
            <w:bottom w:val="none" w:sz="0" w:space="0" w:color="auto"/>
            <w:right w:val="none" w:sz="0" w:space="0" w:color="auto"/>
          </w:divBdr>
        </w:div>
        <w:div w:id="1385788235">
          <w:marLeft w:val="0"/>
          <w:marRight w:val="0"/>
          <w:marTop w:val="0"/>
          <w:marBottom w:val="0"/>
          <w:divBdr>
            <w:top w:val="none" w:sz="0" w:space="0" w:color="auto"/>
            <w:left w:val="none" w:sz="0" w:space="0" w:color="auto"/>
            <w:bottom w:val="none" w:sz="0" w:space="0" w:color="auto"/>
            <w:right w:val="none" w:sz="0" w:space="0" w:color="auto"/>
          </w:divBdr>
        </w:div>
        <w:div w:id="774130227">
          <w:marLeft w:val="0"/>
          <w:marRight w:val="0"/>
          <w:marTop w:val="0"/>
          <w:marBottom w:val="0"/>
          <w:divBdr>
            <w:top w:val="none" w:sz="0" w:space="0" w:color="auto"/>
            <w:left w:val="none" w:sz="0" w:space="0" w:color="auto"/>
            <w:bottom w:val="none" w:sz="0" w:space="0" w:color="auto"/>
            <w:right w:val="none" w:sz="0" w:space="0" w:color="auto"/>
          </w:divBdr>
        </w:div>
        <w:div w:id="356153059">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6549578">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009">
      <w:bodyDiv w:val="1"/>
      <w:marLeft w:val="0"/>
      <w:marRight w:val="0"/>
      <w:marTop w:val="0"/>
      <w:marBottom w:val="0"/>
      <w:divBdr>
        <w:top w:val="none" w:sz="0" w:space="0" w:color="auto"/>
        <w:left w:val="none" w:sz="0" w:space="0" w:color="auto"/>
        <w:bottom w:val="none" w:sz="0" w:space="0" w:color="auto"/>
        <w:right w:val="none" w:sz="0" w:space="0" w:color="auto"/>
      </w:divBdr>
      <w:divsChild>
        <w:div w:id="137571566">
          <w:marLeft w:val="0"/>
          <w:marRight w:val="0"/>
          <w:marTop w:val="0"/>
          <w:marBottom w:val="0"/>
          <w:divBdr>
            <w:top w:val="none" w:sz="0" w:space="0" w:color="auto"/>
            <w:left w:val="none" w:sz="0" w:space="0" w:color="auto"/>
            <w:bottom w:val="none" w:sz="0" w:space="0" w:color="auto"/>
            <w:right w:val="none" w:sz="0" w:space="0" w:color="auto"/>
          </w:divBdr>
        </w:div>
        <w:div w:id="776950387">
          <w:marLeft w:val="0"/>
          <w:marRight w:val="0"/>
          <w:marTop w:val="0"/>
          <w:marBottom w:val="0"/>
          <w:divBdr>
            <w:top w:val="none" w:sz="0" w:space="0" w:color="auto"/>
            <w:left w:val="none" w:sz="0" w:space="0" w:color="auto"/>
            <w:bottom w:val="none" w:sz="0" w:space="0" w:color="auto"/>
            <w:right w:val="none" w:sz="0" w:space="0" w:color="auto"/>
          </w:divBdr>
        </w:div>
        <w:div w:id="910965516">
          <w:marLeft w:val="0"/>
          <w:marRight w:val="0"/>
          <w:marTop w:val="0"/>
          <w:marBottom w:val="0"/>
          <w:divBdr>
            <w:top w:val="none" w:sz="0" w:space="0" w:color="auto"/>
            <w:left w:val="none" w:sz="0" w:space="0" w:color="auto"/>
            <w:bottom w:val="none" w:sz="0" w:space="0" w:color="auto"/>
            <w:right w:val="none" w:sz="0" w:space="0" w:color="auto"/>
          </w:divBdr>
        </w:div>
        <w:div w:id="1321274061">
          <w:marLeft w:val="0"/>
          <w:marRight w:val="0"/>
          <w:marTop w:val="0"/>
          <w:marBottom w:val="0"/>
          <w:divBdr>
            <w:top w:val="none" w:sz="0" w:space="0" w:color="auto"/>
            <w:left w:val="none" w:sz="0" w:space="0" w:color="auto"/>
            <w:bottom w:val="none" w:sz="0" w:space="0" w:color="auto"/>
            <w:right w:val="none" w:sz="0" w:space="0" w:color="auto"/>
          </w:divBdr>
        </w:div>
        <w:div w:id="1897934208">
          <w:marLeft w:val="0"/>
          <w:marRight w:val="0"/>
          <w:marTop w:val="0"/>
          <w:marBottom w:val="0"/>
          <w:divBdr>
            <w:top w:val="none" w:sz="0" w:space="0" w:color="auto"/>
            <w:left w:val="none" w:sz="0" w:space="0" w:color="auto"/>
            <w:bottom w:val="none" w:sz="0" w:space="0" w:color="auto"/>
            <w:right w:val="none" w:sz="0" w:space="0" w:color="auto"/>
          </w:divBdr>
        </w:div>
        <w:div w:id="326787748">
          <w:marLeft w:val="0"/>
          <w:marRight w:val="0"/>
          <w:marTop w:val="0"/>
          <w:marBottom w:val="0"/>
          <w:divBdr>
            <w:top w:val="none" w:sz="0" w:space="0" w:color="auto"/>
            <w:left w:val="none" w:sz="0" w:space="0" w:color="auto"/>
            <w:bottom w:val="none" w:sz="0" w:space="0" w:color="auto"/>
            <w:right w:val="none" w:sz="0" w:space="0" w:color="auto"/>
          </w:divBdr>
        </w:div>
        <w:div w:id="1145732085">
          <w:marLeft w:val="0"/>
          <w:marRight w:val="0"/>
          <w:marTop w:val="0"/>
          <w:marBottom w:val="0"/>
          <w:divBdr>
            <w:top w:val="none" w:sz="0" w:space="0" w:color="auto"/>
            <w:left w:val="none" w:sz="0" w:space="0" w:color="auto"/>
            <w:bottom w:val="none" w:sz="0" w:space="0" w:color="auto"/>
            <w:right w:val="none" w:sz="0" w:space="0" w:color="auto"/>
          </w:divBdr>
        </w:div>
        <w:div w:id="469977109">
          <w:marLeft w:val="0"/>
          <w:marRight w:val="0"/>
          <w:marTop w:val="0"/>
          <w:marBottom w:val="0"/>
          <w:divBdr>
            <w:top w:val="none" w:sz="0" w:space="0" w:color="auto"/>
            <w:left w:val="none" w:sz="0" w:space="0" w:color="auto"/>
            <w:bottom w:val="none" w:sz="0" w:space="0" w:color="auto"/>
            <w:right w:val="none" w:sz="0" w:space="0" w:color="auto"/>
          </w:divBdr>
        </w:div>
        <w:div w:id="1847742798">
          <w:marLeft w:val="0"/>
          <w:marRight w:val="0"/>
          <w:marTop w:val="0"/>
          <w:marBottom w:val="0"/>
          <w:divBdr>
            <w:top w:val="none" w:sz="0" w:space="0" w:color="auto"/>
            <w:left w:val="none" w:sz="0" w:space="0" w:color="auto"/>
            <w:bottom w:val="none" w:sz="0" w:space="0" w:color="auto"/>
            <w:right w:val="none" w:sz="0" w:space="0" w:color="auto"/>
          </w:divBdr>
        </w:div>
        <w:div w:id="754977389">
          <w:marLeft w:val="0"/>
          <w:marRight w:val="0"/>
          <w:marTop w:val="0"/>
          <w:marBottom w:val="0"/>
          <w:divBdr>
            <w:top w:val="none" w:sz="0" w:space="0" w:color="auto"/>
            <w:left w:val="none" w:sz="0" w:space="0" w:color="auto"/>
            <w:bottom w:val="none" w:sz="0" w:space="0" w:color="auto"/>
            <w:right w:val="none" w:sz="0" w:space="0" w:color="auto"/>
          </w:divBdr>
        </w:div>
        <w:div w:id="237255211">
          <w:marLeft w:val="0"/>
          <w:marRight w:val="0"/>
          <w:marTop w:val="0"/>
          <w:marBottom w:val="0"/>
          <w:divBdr>
            <w:top w:val="none" w:sz="0" w:space="0" w:color="auto"/>
            <w:left w:val="none" w:sz="0" w:space="0" w:color="auto"/>
            <w:bottom w:val="none" w:sz="0" w:space="0" w:color="auto"/>
            <w:right w:val="none" w:sz="0" w:space="0" w:color="auto"/>
          </w:divBdr>
        </w:div>
        <w:div w:id="218594642">
          <w:marLeft w:val="0"/>
          <w:marRight w:val="0"/>
          <w:marTop w:val="0"/>
          <w:marBottom w:val="0"/>
          <w:divBdr>
            <w:top w:val="none" w:sz="0" w:space="0" w:color="auto"/>
            <w:left w:val="none" w:sz="0" w:space="0" w:color="auto"/>
            <w:bottom w:val="none" w:sz="0" w:space="0" w:color="auto"/>
            <w:right w:val="none" w:sz="0" w:space="0" w:color="auto"/>
          </w:divBdr>
        </w:div>
        <w:div w:id="1396783654">
          <w:marLeft w:val="0"/>
          <w:marRight w:val="0"/>
          <w:marTop w:val="0"/>
          <w:marBottom w:val="0"/>
          <w:divBdr>
            <w:top w:val="none" w:sz="0" w:space="0" w:color="auto"/>
            <w:left w:val="none" w:sz="0" w:space="0" w:color="auto"/>
            <w:bottom w:val="none" w:sz="0" w:space="0" w:color="auto"/>
            <w:right w:val="none" w:sz="0" w:space="0" w:color="auto"/>
          </w:divBdr>
        </w:div>
        <w:div w:id="1592926720">
          <w:marLeft w:val="0"/>
          <w:marRight w:val="0"/>
          <w:marTop w:val="0"/>
          <w:marBottom w:val="0"/>
          <w:divBdr>
            <w:top w:val="none" w:sz="0" w:space="0" w:color="auto"/>
            <w:left w:val="none" w:sz="0" w:space="0" w:color="auto"/>
            <w:bottom w:val="none" w:sz="0" w:space="0" w:color="auto"/>
            <w:right w:val="none" w:sz="0" w:space="0" w:color="auto"/>
          </w:divBdr>
        </w:div>
        <w:div w:id="1953172906">
          <w:marLeft w:val="0"/>
          <w:marRight w:val="0"/>
          <w:marTop w:val="0"/>
          <w:marBottom w:val="0"/>
          <w:divBdr>
            <w:top w:val="none" w:sz="0" w:space="0" w:color="auto"/>
            <w:left w:val="none" w:sz="0" w:space="0" w:color="auto"/>
            <w:bottom w:val="none" w:sz="0" w:space="0" w:color="auto"/>
            <w:right w:val="none" w:sz="0" w:space="0" w:color="auto"/>
          </w:divBdr>
        </w:div>
        <w:div w:id="797845415">
          <w:marLeft w:val="0"/>
          <w:marRight w:val="0"/>
          <w:marTop w:val="0"/>
          <w:marBottom w:val="0"/>
          <w:divBdr>
            <w:top w:val="none" w:sz="0" w:space="0" w:color="auto"/>
            <w:left w:val="none" w:sz="0" w:space="0" w:color="auto"/>
            <w:bottom w:val="none" w:sz="0" w:space="0" w:color="auto"/>
            <w:right w:val="none" w:sz="0" w:space="0" w:color="auto"/>
          </w:divBdr>
        </w:div>
        <w:div w:id="1252548912">
          <w:marLeft w:val="0"/>
          <w:marRight w:val="0"/>
          <w:marTop w:val="0"/>
          <w:marBottom w:val="0"/>
          <w:divBdr>
            <w:top w:val="none" w:sz="0" w:space="0" w:color="auto"/>
            <w:left w:val="none" w:sz="0" w:space="0" w:color="auto"/>
            <w:bottom w:val="none" w:sz="0" w:space="0" w:color="auto"/>
            <w:right w:val="none" w:sz="0" w:space="0" w:color="auto"/>
          </w:divBdr>
        </w:div>
        <w:div w:id="132909867">
          <w:marLeft w:val="0"/>
          <w:marRight w:val="0"/>
          <w:marTop w:val="0"/>
          <w:marBottom w:val="0"/>
          <w:divBdr>
            <w:top w:val="none" w:sz="0" w:space="0" w:color="auto"/>
            <w:left w:val="none" w:sz="0" w:space="0" w:color="auto"/>
            <w:bottom w:val="none" w:sz="0" w:space="0" w:color="auto"/>
            <w:right w:val="none" w:sz="0" w:space="0" w:color="auto"/>
          </w:divBdr>
        </w:div>
        <w:div w:id="2121073037">
          <w:marLeft w:val="0"/>
          <w:marRight w:val="0"/>
          <w:marTop w:val="0"/>
          <w:marBottom w:val="0"/>
          <w:divBdr>
            <w:top w:val="none" w:sz="0" w:space="0" w:color="auto"/>
            <w:left w:val="none" w:sz="0" w:space="0" w:color="auto"/>
            <w:bottom w:val="none" w:sz="0" w:space="0" w:color="auto"/>
            <w:right w:val="none" w:sz="0" w:space="0" w:color="auto"/>
          </w:divBdr>
        </w:div>
        <w:div w:id="1987784308">
          <w:marLeft w:val="0"/>
          <w:marRight w:val="0"/>
          <w:marTop w:val="0"/>
          <w:marBottom w:val="0"/>
          <w:divBdr>
            <w:top w:val="none" w:sz="0" w:space="0" w:color="auto"/>
            <w:left w:val="none" w:sz="0" w:space="0" w:color="auto"/>
            <w:bottom w:val="none" w:sz="0" w:space="0" w:color="auto"/>
            <w:right w:val="none" w:sz="0" w:space="0" w:color="auto"/>
          </w:divBdr>
        </w:div>
        <w:div w:id="454369506">
          <w:marLeft w:val="0"/>
          <w:marRight w:val="0"/>
          <w:marTop w:val="0"/>
          <w:marBottom w:val="0"/>
          <w:divBdr>
            <w:top w:val="none" w:sz="0" w:space="0" w:color="auto"/>
            <w:left w:val="none" w:sz="0" w:space="0" w:color="auto"/>
            <w:bottom w:val="none" w:sz="0" w:space="0" w:color="auto"/>
            <w:right w:val="none" w:sz="0" w:space="0" w:color="auto"/>
          </w:divBdr>
        </w:div>
        <w:div w:id="217324288">
          <w:marLeft w:val="0"/>
          <w:marRight w:val="0"/>
          <w:marTop w:val="0"/>
          <w:marBottom w:val="0"/>
          <w:divBdr>
            <w:top w:val="none" w:sz="0" w:space="0" w:color="auto"/>
            <w:left w:val="none" w:sz="0" w:space="0" w:color="auto"/>
            <w:bottom w:val="none" w:sz="0" w:space="0" w:color="auto"/>
            <w:right w:val="none" w:sz="0" w:space="0" w:color="auto"/>
          </w:divBdr>
        </w:div>
        <w:div w:id="1636056527">
          <w:marLeft w:val="0"/>
          <w:marRight w:val="0"/>
          <w:marTop w:val="0"/>
          <w:marBottom w:val="0"/>
          <w:divBdr>
            <w:top w:val="none" w:sz="0" w:space="0" w:color="auto"/>
            <w:left w:val="none" w:sz="0" w:space="0" w:color="auto"/>
            <w:bottom w:val="none" w:sz="0" w:space="0" w:color="auto"/>
            <w:right w:val="none" w:sz="0" w:space="0" w:color="auto"/>
          </w:divBdr>
        </w:div>
        <w:div w:id="1275019623">
          <w:marLeft w:val="0"/>
          <w:marRight w:val="0"/>
          <w:marTop w:val="0"/>
          <w:marBottom w:val="0"/>
          <w:divBdr>
            <w:top w:val="none" w:sz="0" w:space="0" w:color="auto"/>
            <w:left w:val="none" w:sz="0" w:space="0" w:color="auto"/>
            <w:bottom w:val="none" w:sz="0" w:space="0" w:color="auto"/>
            <w:right w:val="none" w:sz="0" w:space="0" w:color="auto"/>
          </w:divBdr>
        </w:div>
        <w:div w:id="852885648">
          <w:marLeft w:val="0"/>
          <w:marRight w:val="0"/>
          <w:marTop w:val="0"/>
          <w:marBottom w:val="0"/>
          <w:divBdr>
            <w:top w:val="none" w:sz="0" w:space="0" w:color="auto"/>
            <w:left w:val="none" w:sz="0" w:space="0" w:color="auto"/>
            <w:bottom w:val="none" w:sz="0" w:space="0" w:color="auto"/>
            <w:right w:val="none" w:sz="0" w:space="0" w:color="auto"/>
          </w:divBdr>
        </w:div>
        <w:div w:id="207229013">
          <w:marLeft w:val="0"/>
          <w:marRight w:val="0"/>
          <w:marTop w:val="0"/>
          <w:marBottom w:val="0"/>
          <w:divBdr>
            <w:top w:val="none" w:sz="0" w:space="0" w:color="auto"/>
            <w:left w:val="none" w:sz="0" w:space="0" w:color="auto"/>
            <w:bottom w:val="none" w:sz="0" w:space="0" w:color="auto"/>
            <w:right w:val="none" w:sz="0" w:space="0" w:color="auto"/>
          </w:divBdr>
        </w:div>
        <w:div w:id="137576350">
          <w:marLeft w:val="0"/>
          <w:marRight w:val="0"/>
          <w:marTop w:val="0"/>
          <w:marBottom w:val="0"/>
          <w:divBdr>
            <w:top w:val="none" w:sz="0" w:space="0" w:color="auto"/>
            <w:left w:val="none" w:sz="0" w:space="0" w:color="auto"/>
            <w:bottom w:val="none" w:sz="0" w:space="0" w:color="auto"/>
            <w:right w:val="none" w:sz="0" w:space="0" w:color="auto"/>
          </w:divBdr>
        </w:div>
        <w:div w:id="473987455">
          <w:marLeft w:val="0"/>
          <w:marRight w:val="0"/>
          <w:marTop w:val="0"/>
          <w:marBottom w:val="0"/>
          <w:divBdr>
            <w:top w:val="none" w:sz="0" w:space="0" w:color="auto"/>
            <w:left w:val="none" w:sz="0" w:space="0" w:color="auto"/>
            <w:bottom w:val="none" w:sz="0" w:space="0" w:color="auto"/>
            <w:right w:val="none" w:sz="0" w:space="0" w:color="auto"/>
          </w:divBdr>
        </w:div>
        <w:div w:id="598680142">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4132913">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1511602">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87046079">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1298459">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78676523">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5702031">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6510106">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42374592">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3186906">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553150">
      <w:bodyDiv w:val="1"/>
      <w:marLeft w:val="0"/>
      <w:marRight w:val="0"/>
      <w:marTop w:val="0"/>
      <w:marBottom w:val="0"/>
      <w:divBdr>
        <w:top w:val="none" w:sz="0" w:space="0" w:color="auto"/>
        <w:left w:val="none" w:sz="0" w:space="0" w:color="auto"/>
        <w:bottom w:val="none" w:sz="0" w:space="0" w:color="auto"/>
        <w:right w:val="none" w:sz="0" w:space="0" w:color="auto"/>
      </w:divBdr>
    </w:div>
    <w:div w:id="1429808959">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068452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9355292">
      <w:bodyDiv w:val="1"/>
      <w:marLeft w:val="0"/>
      <w:marRight w:val="0"/>
      <w:marTop w:val="0"/>
      <w:marBottom w:val="0"/>
      <w:divBdr>
        <w:top w:val="none" w:sz="0" w:space="0" w:color="auto"/>
        <w:left w:val="none" w:sz="0" w:space="0" w:color="auto"/>
        <w:bottom w:val="none" w:sz="0" w:space="0" w:color="auto"/>
        <w:right w:val="none" w:sz="0" w:space="0" w:color="auto"/>
      </w:divBdr>
    </w:div>
    <w:div w:id="1721325717">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6019032">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713233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42409">
      <w:bodyDiv w:val="1"/>
      <w:marLeft w:val="0"/>
      <w:marRight w:val="0"/>
      <w:marTop w:val="0"/>
      <w:marBottom w:val="0"/>
      <w:divBdr>
        <w:top w:val="none" w:sz="0" w:space="0" w:color="auto"/>
        <w:left w:val="none" w:sz="0" w:space="0" w:color="auto"/>
        <w:bottom w:val="none" w:sz="0" w:space="0" w:color="auto"/>
        <w:right w:val="none" w:sz="0" w:space="0" w:color="auto"/>
      </w:divBdr>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1654730">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2.xml><?xml version="1.0" encoding="utf-8"?>
<ds:datastoreItem xmlns:ds="http://schemas.openxmlformats.org/officeDocument/2006/customXml" ds:itemID="{2B2CC3BA-73A6-456D-8804-DA0E8371647E}"/>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7</TotalTime>
  <Pages>29</Pages>
  <Words>10934</Words>
  <Characters>60139</Characters>
  <Application>Microsoft Office Word</Application>
  <DocSecurity>0</DocSecurity>
  <Lines>501</Lines>
  <Paragraphs>141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70932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4</cp:revision>
  <cp:lastPrinted>2020-01-30T15:05:00Z</cp:lastPrinted>
  <dcterms:created xsi:type="dcterms:W3CDTF">2022-11-30T22:37:00Z</dcterms:created>
  <dcterms:modified xsi:type="dcterms:W3CDTF">2022-11-30T22:44:00Z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