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2FA0" w14:textId="77777777" w:rsidR="00636121" w:rsidRPr="009663EE" w:rsidRDefault="00636121" w:rsidP="00636121">
      <w:pPr>
        <w:spacing w:after="0" w:line="240" w:lineRule="auto"/>
        <w:jc w:val="both"/>
        <w:rPr>
          <w:rFonts w:ascii="Arial" w:eastAsia="Calibri" w:hAnsi="Arial" w:cs="Arial"/>
          <w:b/>
          <w:szCs w:val="24"/>
          <w:lang w:val="es-ES_tradnl" w:eastAsia="es-ES_tradnl"/>
        </w:rPr>
      </w:pPr>
      <w:bookmarkStart w:id="0" w:name="_Hlk103947551"/>
      <w:r w:rsidRPr="009663EE">
        <w:rPr>
          <w:rFonts w:ascii="Arial" w:eastAsia="Calibri" w:hAnsi="Arial" w:cs="Arial"/>
          <w:b/>
          <w:szCs w:val="24"/>
          <w:lang w:val="es-ES_tradnl" w:eastAsia="es-ES_tradnl"/>
        </w:rPr>
        <w:t>CLÁUSULAS EXCEPCIONALES – Multas – Cláusula penal – Imposición unilateral</w:t>
      </w:r>
    </w:p>
    <w:p w14:paraId="1B40CA92" w14:textId="77777777" w:rsidR="00636121" w:rsidRPr="009663EE" w:rsidRDefault="00636121" w:rsidP="00636121">
      <w:pPr>
        <w:spacing w:after="0" w:line="240" w:lineRule="auto"/>
        <w:rPr>
          <w:rFonts w:ascii="Arial" w:eastAsia="Times New Roman" w:hAnsi="Arial" w:cs="Arial"/>
          <w:sz w:val="20"/>
          <w:szCs w:val="20"/>
          <w:lang w:val="es-ES_tradnl" w:eastAsia="es-ES_tradnl"/>
        </w:rPr>
      </w:pPr>
    </w:p>
    <w:p w14:paraId="1FA7F46B" w14:textId="77777777" w:rsidR="00636121" w:rsidRPr="009663EE" w:rsidRDefault="00636121" w:rsidP="00636121">
      <w:pPr>
        <w:spacing w:after="0" w:line="240" w:lineRule="auto"/>
        <w:jc w:val="both"/>
        <w:rPr>
          <w:rFonts w:ascii="Arial" w:eastAsia="Calibri" w:hAnsi="Arial" w:cs="Arial"/>
          <w:b/>
          <w:szCs w:val="24"/>
          <w:lang w:val="es-ES_tradnl" w:eastAsia="es-ES_tradnl"/>
        </w:rPr>
      </w:pPr>
      <w:r w:rsidRPr="009663EE">
        <w:rPr>
          <w:rFonts w:ascii="Arial" w:eastAsia="Times New Roman" w:hAnsi="Arial" w:cs="Arial"/>
          <w:iCs/>
          <w:color w:val="000000"/>
          <w:sz w:val="20"/>
          <w:szCs w:val="20"/>
          <w:lang w:val="es-ES_tradnl" w:eastAsia="es-ES_tradnl"/>
        </w:rPr>
        <w:t>El último grupo de potestades excepcionales –imposición unilateral de la multa o la cláusula penal–por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09587B40" w14:textId="77777777" w:rsidR="00636121" w:rsidRPr="009663EE" w:rsidRDefault="00636121" w:rsidP="00636121">
      <w:pPr>
        <w:spacing w:after="0" w:line="240" w:lineRule="auto"/>
        <w:jc w:val="both"/>
        <w:rPr>
          <w:rFonts w:ascii="Arial" w:eastAsia="Times New Roman" w:hAnsi="Arial" w:cs="Arial"/>
          <w:iCs/>
          <w:color w:val="000000"/>
          <w:sz w:val="20"/>
          <w:szCs w:val="20"/>
          <w:lang w:val="es-ES_tradnl" w:eastAsia="es-ES_tradnl"/>
        </w:rPr>
      </w:pPr>
    </w:p>
    <w:p w14:paraId="227CF994" w14:textId="77777777" w:rsidR="00636121" w:rsidRPr="009663EE" w:rsidRDefault="00636121" w:rsidP="00636121">
      <w:pPr>
        <w:spacing w:after="0" w:line="240" w:lineRule="auto"/>
        <w:jc w:val="both"/>
        <w:rPr>
          <w:rFonts w:ascii="Arial" w:eastAsia="Calibri" w:hAnsi="Arial" w:cs="Arial"/>
          <w:b/>
          <w:szCs w:val="24"/>
          <w:lang w:val="es-ES_tradnl" w:eastAsia="es-ES_tradnl"/>
        </w:rPr>
      </w:pPr>
      <w:r w:rsidRPr="009663EE">
        <w:rPr>
          <w:rFonts w:ascii="Arial" w:eastAsia="Calibri" w:hAnsi="Arial" w:cs="Arial"/>
          <w:b/>
          <w:szCs w:val="24"/>
          <w:lang w:val="es-ES_tradnl" w:eastAsia="es-ES_tradnl"/>
        </w:rPr>
        <w:t>PROCEDIMIENTO SANCIONATORIO CONTRACTUAL – Citación a audiencia – Contenido – Ley 1474 de 2011 – Artículo 86</w:t>
      </w:r>
    </w:p>
    <w:p w14:paraId="2F7F6681" w14:textId="77777777" w:rsidR="00636121" w:rsidRPr="009663EE" w:rsidRDefault="00636121" w:rsidP="00636121">
      <w:pPr>
        <w:spacing w:after="0" w:line="240" w:lineRule="auto"/>
        <w:jc w:val="both"/>
        <w:rPr>
          <w:rFonts w:ascii="Arial" w:eastAsia="Calibri" w:hAnsi="Arial" w:cs="Arial"/>
          <w:b/>
          <w:color w:val="000000"/>
          <w:sz w:val="20"/>
          <w:szCs w:val="20"/>
          <w:lang w:val="es-ES_tradnl" w:eastAsia="es-ES_tradnl"/>
        </w:rPr>
      </w:pPr>
    </w:p>
    <w:p w14:paraId="458C1E22" w14:textId="77777777" w:rsidR="00636121" w:rsidRPr="009663EE" w:rsidRDefault="00636121" w:rsidP="00636121">
      <w:pPr>
        <w:spacing w:after="0" w:line="240" w:lineRule="auto"/>
        <w:jc w:val="both"/>
        <w:rPr>
          <w:rFonts w:ascii="Arial" w:eastAsia="Calibri" w:hAnsi="Arial" w:cs="Arial"/>
          <w:color w:val="000000"/>
          <w:sz w:val="20"/>
          <w:szCs w:val="20"/>
          <w:lang w:val="es-ES" w:eastAsia="es-ES_tradnl"/>
        </w:rPr>
      </w:pPr>
      <w:r w:rsidRPr="009663EE">
        <w:rPr>
          <w:rFonts w:ascii="Arial" w:eastAsia="Calibri" w:hAnsi="Arial" w:cs="Arial"/>
          <w:color w:val="000000"/>
          <w:sz w:val="20"/>
          <w:szCs w:val="20"/>
          <w:lang w:val="es-ES" w:eastAsia="es-ES_tradnl"/>
        </w:rPr>
        <w:t xml:space="preserve">Como se observa, la citación a la audiencia debe cumplir mínimamente los siguientes aspectos: i) señalar los </w:t>
      </w:r>
      <w:r w:rsidRPr="009663EE">
        <w:rPr>
          <w:rFonts w:ascii="Arial" w:eastAsia="Calibri" w:hAnsi="Arial" w:cs="Arial"/>
          <w:i/>
          <w:iCs/>
          <w:color w:val="000000"/>
          <w:sz w:val="20"/>
          <w:szCs w:val="20"/>
          <w:lang w:val="es-ES" w:eastAsia="es-ES_tradnl"/>
        </w:rPr>
        <w:t>hechos</w:t>
      </w:r>
      <w:r w:rsidRPr="009663EE">
        <w:rPr>
          <w:rFonts w:ascii="Arial" w:eastAsia="Calibri" w:hAnsi="Arial" w:cs="Arial"/>
          <w:color w:val="000000"/>
          <w:sz w:val="20"/>
          <w:szCs w:val="20"/>
          <w:lang w:val="es-ES" w:eastAsia="es-ES_tradnl"/>
        </w:rPr>
        <w:t xml:space="preserve"> que soportan la actuación, en particular la descripción detallada de cuáles son las actuaciones u omisiones del contratista que materializan el incumplimiento de las obligaciones. Además, se deben </w:t>
      </w:r>
      <w:proofErr w:type="spellStart"/>
      <w:r w:rsidRPr="009663EE">
        <w:rPr>
          <w:rFonts w:ascii="Arial" w:eastAsia="Calibri" w:hAnsi="Arial" w:cs="Arial"/>
          <w:color w:val="000000"/>
          <w:sz w:val="20"/>
          <w:szCs w:val="20"/>
          <w:lang w:val="es-ES" w:eastAsia="es-ES_tradnl"/>
        </w:rPr>
        <w:t>ii</w:t>
      </w:r>
      <w:proofErr w:type="spellEnd"/>
      <w:r w:rsidRPr="009663EE">
        <w:rPr>
          <w:rFonts w:ascii="Arial" w:eastAsia="Calibri" w:hAnsi="Arial" w:cs="Arial"/>
          <w:color w:val="000000"/>
          <w:sz w:val="20"/>
          <w:szCs w:val="20"/>
          <w:lang w:val="es-ES" w:eastAsia="es-ES_tradnl"/>
        </w:rPr>
        <w:t xml:space="preserve">) adjuntar los informes de supervisión o de interventoría que soportan la actuación, donde la entidad fundamenta su decisión de iniciar el procedimiento sancionatorio. Asimismo, </w:t>
      </w:r>
      <w:proofErr w:type="spellStart"/>
      <w:r w:rsidRPr="009663EE">
        <w:rPr>
          <w:rFonts w:ascii="Arial" w:eastAsia="Calibri" w:hAnsi="Arial" w:cs="Arial"/>
          <w:color w:val="000000"/>
          <w:sz w:val="20"/>
          <w:szCs w:val="20"/>
          <w:lang w:val="es-ES" w:eastAsia="es-ES_tradnl"/>
        </w:rPr>
        <w:t>iii</w:t>
      </w:r>
      <w:proofErr w:type="spellEnd"/>
      <w:r w:rsidRPr="009663EE">
        <w:rPr>
          <w:rFonts w:ascii="Arial" w:eastAsia="Calibri" w:hAnsi="Arial" w:cs="Arial"/>
          <w:color w:val="000000"/>
          <w:sz w:val="20"/>
          <w:szCs w:val="20"/>
          <w:lang w:val="es-ES" w:eastAsia="es-ES_tradnl"/>
        </w:rPr>
        <w:t xml:space="preserve">) lo anterior debe acompañarse de las pruebas adicionales con que cuente la entidad y que sirven para acreditar el incumplimiento. </w:t>
      </w:r>
      <w:proofErr w:type="spellStart"/>
      <w:r w:rsidRPr="009663EE">
        <w:rPr>
          <w:rFonts w:ascii="Arial" w:eastAsia="Calibri" w:hAnsi="Arial" w:cs="Arial"/>
          <w:color w:val="000000"/>
          <w:sz w:val="20"/>
          <w:szCs w:val="20"/>
          <w:lang w:val="es-ES" w:eastAsia="es-ES_tradnl"/>
        </w:rPr>
        <w:t>iv</w:t>
      </w:r>
      <w:proofErr w:type="spellEnd"/>
      <w:r w:rsidRPr="009663EE">
        <w:rPr>
          <w:rFonts w:ascii="Arial" w:eastAsia="Calibri" w:hAnsi="Arial" w:cs="Arial"/>
          <w:color w:val="000000"/>
          <w:sz w:val="20"/>
          <w:szCs w:val="20"/>
          <w:lang w:val="es-ES" w:eastAsia="es-ES_tradn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9663EE">
        <w:rPr>
          <w:rFonts w:ascii="Arial" w:eastAsia="Calibri" w:hAnsi="Arial" w:cs="Arial"/>
          <w:color w:val="000000"/>
          <w:sz w:val="20"/>
          <w:szCs w:val="20"/>
          <w:lang w:val="es-ES" w:eastAsia="es-ES_tradnl"/>
        </w:rPr>
        <w:t>vii</w:t>
      </w:r>
      <w:proofErr w:type="spellEnd"/>
      <w:r w:rsidRPr="009663EE">
        <w:rPr>
          <w:rFonts w:ascii="Arial" w:eastAsia="Calibri" w:hAnsi="Arial" w:cs="Arial"/>
          <w:color w:val="000000"/>
          <w:sz w:val="20"/>
          <w:szCs w:val="20"/>
          <w:lang w:val="es-ES" w:eastAsia="es-ES_tradnl"/>
        </w:rPr>
        <w:t xml:space="preserve">) deben indicar el lugar, fecha y hora para la realización de la audiencia, sin perjuicio de que esta se pueda efectuar por medios electrónicos. </w:t>
      </w:r>
    </w:p>
    <w:p w14:paraId="2B6CCBD4" w14:textId="77777777" w:rsidR="00636121" w:rsidRDefault="00636121" w:rsidP="00636121">
      <w:pPr>
        <w:spacing w:after="0" w:line="276" w:lineRule="auto"/>
        <w:jc w:val="both"/>
        <w:rPr>
          <w:rFonts w:ascii="Arial" w:eastAsia="Times New Roman" w:hAnsi="Arial" w:cs="Arial"/>
          <w:noProof/>
          <w:color w:val="000000" w:themeColor="text1"/>
          <w:szCs w:val="24"/>
          <w:lang w:val="es-ES_tradnl" w:eastAsia="es-ES_tradnl"/>
        </w:rPr>
      </w:pPr>
    </w:p>
    <w:p w14:paraId="07D456D1" w14:textId="77777777" w:rsidR="00636121" w:rsidRPr="009663EE" w:rsidRDefault="00636121" w:rsidP="00636121">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ACUERDOS DE NIVELES DE SERVICIO</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Concepto</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Fundamento</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Atipicidad</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Autonomía de la voluntad</w:t>
      </w:r>
    </w:p>
    <w:p w14:paraId="78133862" w14:textId="77777777" w:rsidR="00636121" w:rsidRPr="002A150C" w:rsidRDefault="00636121" w:rsidP="00636121">
      <w:pPr>
        <w:spacing w:after="0" w:line="276" w:lineRule="auto"/>
        <w:jc w:val="both"/>
        <w:rPr>
          <w:rFonts w:ascii="Arial" w:eastAsia="Times New Roman" w:hAnsi="Arial" w:cs="Arial"/>
          <w:noProof/>
          <w:color w:val="000000" w:themeColor="text1"/>
          <w:szCs w:val="24"/>
          <w:lang w:val="es-ES_tradnl" w:eastAsia="es-ES_tradnl"/>
        </w:rPr>
      </w:pPr>
    </w:p>
    <w:p w14:paraId="14670B1B" w14:textId="77777777" w:rsidR="00636121" w:rsidRPr="000402F4" w:rsidRDefault="00636121" w:rsidP="00636121">
      <w:pPr>
        <w:tabs>
          <w:tab w:val="left" w:pos="0"/>
        </w:tabs>
        <w:spacing w:after="0" w:line="240" w:lineRule="auto"/>
        <w:jc w:val="both"/>
        <w:rPr>
          <w:rFonts w:ascii="Arial" w:eastAsia="Calibri" w:hAnsi="Arial" w:cs="Arial"/>
          <w:color w:val="000000"/>
          <w:sz w:val="21"/>
          <w:szCs w:val="21"/>
          <w:lang w:val="es-ES_tradnl" w:eastAsia="es-ES_tradnl"/>
        </w:rPr>
      </w:pPr>
      <w:r w:rsidRPr="000402F4">
        <w:rPr>
          <w:rFonts w:ascii="Arial" w:eastAsia="Calibri" w:hAnsi="Arial" w:cs="Arial"/>
          <w:color w:val="000000"/>
          <w:sz w:val="21"/>
          <w:szCs w:val="21"/>
          <w:lang w:val="es-ES_tradnl" w:eastAsia="es-ES_tradnl"/>
        </w:rPr>
        <w:t xml:space="preserve">Para la mayoría de los contratos estatales, ni el Estatuto General de Contratación de la Administración Pública ni sus normas complementarias y reglamentarias regulan expresamente los «acuerdos de niveles de servicio», ni brindan a las entidades estatales la competencia para efectuar un descuento, </w:t>
      </w:r>
      <w:r w:rsidRPr="000402F4">
        <w:rPr>
          <w:rFonts w:ascii="Arial" w:eastAsia="Calibri" w:hAnsi="Arial" w:cs="Arial"/>
          <w:i/>
          <w:iCs/>
          <w:color w:val="000000"/>
          <w:sz w:val="21"/>
          <w:szCs w:val="21"/>
          <w:lang w:val="es-ES_tradnl" w:eastAsia="es-ES_tradnl"/>
        </w:rPr>
        <w:t>de plano</w:t>
      </w:r>
      <w:r w:rsidRPr="000402F4">
        <w:rPr>
          <w:rFonts w:ascii="Arial" w:eastAsia="Calibri" w:hAnsi="Arial" w:cs="Arial"/>
          <w:color w:val="000000"/>
          <w:sz w:val="21"/>
          <w:szCs w:val="21"/>
          <w:lang w:val="es-ES_tradnl" w:eastAsia="es-ES_tradnl"/>
        </w:rPr>
        <w:t xml:space="preserve">, de sumas de dinero al contratista por el incumplimiento de los hitos contractuales o compromisos acordados en el contrato. La referencia más cercana a la expresión se encuentra en el régimen de las asociaciones </w:t>
      </w:r>
      <w:proofErr w:type="gramStart"/>
      <w:r w:rsidRPr="000402F4">
        <w:rPr>
          <w:rFonts w:ascii="Arial" w:eastAsia="Calibri" w:hAnsi="Arial" w:cs="Arial"/>
          <w:color w:val="000000"/>
          <w:sz w:val="21"/>
          <w:szCs w:val="21"/>
          <w:lang w:val="es-ES_tradnl" w:eastAsia="es-ES_tradnl"/>
        </w:rPr>
        <w:t>público privadas</w:t>
      </w:r>
      <w:proofErr w:type="gramEnd"/>
      <w:r w:rsidRPr="000402F4">
        <w:rPr>
          <w:rFonts w:ascii="Arial" w:eastAsia="Calibri" w:hAnsi="Arial" w:cs="Arial"/>
          <w:color w:val="000000"/>
          <w:sz w:val="21"/>
          <w:szCs w:val="21"/>
          <w:lang w:val="es-ES_tradnl" w:eastAsia="es-ES_tradnl"/>
        </w:rPr>
        <w:t xml:space="preserve"> (APP), que sí establece los «niveles de servicio» como una condición de retribución e incluso permite efectuar ciertos descuentos por este concepto. Pero, como se sabe, este es un régimen que aplica solo a los contratos de APP. Por tanto, para los demás contratos estatales los acuerdos de niveles de servicios constituyen una figura </w:t>
      </w:r>
      <w:r w:rsidRPr="000402F4">
        <w:rPr>
          <w:rFonts w:ascii="Arial" w:eastAsia="Calibri" w:hAnsi="Arial" w:cs="Arial"/>
          <w:i/>
          <w:iCs/>
          <w:color w:val="000000"/>
          <w:sz w:val="21"/>
          <w:szCs w:val="21"/>
          <w:lang w:val="es-ES_tradnl" w:eastAsia="es-ES_tradnl"/>
        </w:rPr>
        <w:t>atípica</w:t>
      </w:r>
      <w:r w:rsidRPr="000402F4">
        <w:rPr>
          <w:rFonts w:ascii="Arial" w:eastAsia="Calibri" w:hAnsi="Arial" w:cs="Arial"/>
          <w:color w:val="000000"/>
          <w:sz w:val="21"/>
          <w:szCs w:val="21"/>
          <w:lang w:val="es-ES_tradnl" w:eastAsia="es-ES_tradnl"/>
        </w:rPr>
        <w:t>, pues no se encuentra tipificada ni regulada.</w:t>
      </w:r>
    </w:p>
    <w:p w14:paraId="5021B5E4" w14:textId="77777777" w:rsidR="00636121" w:rsidRDefault="00636121" w:rsidP="00636121">
      <w:pPr>
        <w:tabs>
          <w:tab w:val="left" w:pos="0"/>
        </w:tabs>
        <w:spacing w:after="0" w:line="240" w:lineRule="auto"/>
        <w:jc w:val="both"/>
        <w:rPr>
          <w:rFonts w:ascii="Arial" w:eastAsia="Calibri" w:hAnsi="Arial" w:cs="Arial"/>
          <w:color w:val="000000"/>
          <w:sz w:val="21"/>
          <w:szCs w:val="21"/>
          <w:lang w:val="es-ES_tradnl" w:eastAsia="es-ES_tradnl"/>
        </w:rPr>
      </w:pPr>
    </w:p>
    <w:p w14:paraId="384BD6AD" w14:textId="77777777" w:rsidR="00636121" w:rsidRPr="000402F4" w:rsidRDefault="00636121" w:rsidP="00636121">
      <w:pPr>
        <w:tabs>
          <w:tab w:val="left" w:pos="0"/>
        </w:tabs>
        <w:spacing w:after="0" w:line="240" w:lineRule="auto"/>
        <w:jc w:val="both"/>
        <w:rPr>
          <w:rFonts w:ascii="Arial" w:eastAsia="Calibri" w:hAnsi="Arial" w:cs="Arial"/>
          <w:color w:val="000000"/>
          <w:sz w:val="21"/>
          <w:szCs w:val="21"/>
          <w:lang w:val="es-ES_tradnl" w:eastAsia="es-ES_tradnl"/>
        </w:rPr>
      </w:pPr>
      <w:r w:rsidRPr="000402F4">
        <w:rPr>
          <w:rFonts w:ascii="Arial" w:eastAsia="Calibri" w:hAnsi="Arial" w:cs="Arial"/>
          <w:color w:val="000000"/>
          <w:sz w:val="21"/>
          <w:szCs w:val="21"/>
          <w:lang w:val="es-ES_tradnl" w:eastAsia="es-ES_tradnl"/>
        </w:rPr>
        <w:t xml:space="preserve">Ahora, sin perjuicio de lo expuesto, el segundo inciso del artículo 40 de la Ley 80 de 1993 dispone que «Las entidades podrán celebrar los contratos y acuerdos que permitan la autonomía de la voluntad y requieran el cumplimiento de los fines estatales». Esto significa que las entidades pueden acordar </w:t>
      </w:r>
      <w:r w:rsidRPr="000402F4">
        <w:rPr>
          <w:rFonts w:ascii="Arial" w:eastAsia="Calibri" w:hAnsi="Arial" w:cs="Arial"/>
          <w:color w:val="000000"/>
          <w:sz w:val="21"/>
          <w:szCs w:val="21"/>
          <w:lang w:val="es-ES_tradnl" w:eastAsia="es-ES_tradnl"/>
        </w:rPr>
        <w:lastRenderedPageBreak/>
        <w:t>con el contratista incluir estipulaciones que propendan por el cumplimiento efectivo del objeto contractual, siempre que estas cláusulas sean acordes con los límites consagrados en las normas de orden público, es decir, que no incurran en causales de nulidad. Por ende, nada obsta para que, dentro de estas estipulaciones, las partes, por ejemplo, acuerden estándares o hitos de cumplimiento. Más aún, el artículo 17 de la Ley 1150 de 2007, como se indicó, permite pactar multas y cláusulas penales pecuniarias y faculta a las entidades estatales para hacerlas efectivas unilateralmente.</w:t>
      </w:r>
    </w:p>
    <w:p w14:paraId="5077856F" w14:textId="77777777" w:rsidR="00636121" w:rsidRDefault="00636121" w:rsidP="00636121">
      <w:pPr>
        <w:spacing w:after="0" w:line="276" w:lineRule="auto"/>
        <w:jc w:val="both"/>
        <w:rPr>
          <w:rFonts w:ascii="Arial" w:eastAsia="Times New Roman" w:hAnsi="Arial" w:cs="Arial"/>
          <w:noProof/>
          <w:color w:val="000000" w:themeColor="text1"/>
          <w:szCs w:val="24"/>
          <w:lang w:val="es-ES_tradnl" w:eastAsia="es-ES_tradnl"/>
        </w:rPr>
      </w:pPr>
    </w:p>
    <w:p w14:paraId="1446E452" w14:textId="77777777" w:rsidR="00636121" w:rsidRPr="009663EE" w:rsidRDefault="00636121" w:rsidP="00636121">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ACUERDOS DE NIVELES DE SERVICIO</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Sanciones</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Procedimiento</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Aplicación</w:t>
      </w:r>
      <w:r w:rsidRPr="009663EE">
        <w:rPr>
          <w:rFonts w:ascii="Arial" w:eastAsia="Calibri" w:hAnsi="Arial" w:cs="Arial"/>
          <w:b/>
          <w:szCs w:val="24"/>
          <w:lang w:val="es-ES_tradnl" w:eastAsia="es-ES_tradnl"/>
        </w:rPr>
        <w:t xml:space="preserve"> – </w:t>
      </w:r>
      <w:r>
        <w:rPr>
          <w:rFonts w:ascii="Arial" w:eastAsia="Calibri" w:hAnsi="Arial" w:cs="Arial"/>
          <w:b/>
          <w:szCs w:val="24"/>
          <w:lang w:val="es-ES_tradnl" w:eastAsia="es-ES_tradnl"/>
        </w:rPr>
        <w:t>Debido proceso</w:t>
      </w:r>
    </w:p>
    <w:p w14:paraId="7EB1CDF7" w14:textId="77777777" w:rsidR="00636121" w:rsidRDefault="00636121" w:rsidP="00636121">
      <w:pPr>
        <w:spacing w:after="0" w:line="276" w:lineRule="auto"/>
        <w:jc w:val="both"/>
        <w:rPr>
          <w:rFonts w:ascii="Arial" w:eastAsia="Times New Roman" w:hAnsi="Arial" w:cs="Arial"/>
          <w:noProof/>
          <w:color w:val="000000" w:themeColor="text1"/>
          <w:szCs w:val="24"/>
          <w:lang w:val="es-ES_tradnl" w:eastAsia="es-ES_tradnl"/>
        </w:rPr>
      </w:pPr>
    </w:p>
    <w:p w14:paraId="06377512" w14:textId="77777777" w:rsidR="00636121" w:rsidRPr="000402F4" w:rsidRDefault="00636121" w:rsidP="00636121">
      <w:pPr>
        <w:tabs>
          <w:tab w:val="left" w:pos="0"/>
        </w:tabs>
        <w:spacing w:after="0" w:line="240" w:lineRule="auto"/>
        <w:jc w:val="both"/>
        <w:rPr>
          <w:rFonts w:ascii="Arial" w:eastAsia="Calibri" w:hAnsi="Arial" w:cs="Arial"/>
          <w:color w:val="000000"/>
          <w:sz w:val="20"/>
          <w:szCs w:val="20"/>
          <w:lang w:val="es-ES_tradnl" w:eastAsia="es-ES_tradnl"/>
        </w:rPr>
      </w:pPr>
      <w:r w:rsidRPr="000402F4">
        <w:rPr>
          <w:rFonts w:ascii="Arial" w:eastAsia="Calibri" w:hAnsi="Arial" w:cs="Arial"/>
          <w:color w:val="000000"/>
          <w:sz w:val="20"/>
          <w:szCs w:val="20"/>
          <w:lang w:val="es-ES_tradnl" w:eastAsia="es-ES_tradnl"/>
        </w:rPr>
        <w:t>[…], el debido proceso, como principio rector de las actuaciones contractuales, impide que tales descuentos por la inobservancia de los niveles de servicio acordados se practiquen automáticamente, es decir, sin un trámite previo en el cual el contratista tenga la oportunidad de ejercer sus derechos de audiencia, defensa y los demás que integran dicho derecho fundamental. En efecto, como indicó recientemente el Consejo de Estado:</w:t>
      </w:r>
    </w:p>
    <w:p w14:paraId="1892DC3A" w14:textId="77777777" w:rsidR="00636121" w:rsidRPr="000402F4" w:rsidRDefault="00636121" w:rsidP="00636121">
      <w:pPr>
        <w:tabs>
          <w:tab w:val="left" w:pos="0"/>
        </w:tabs>
        <w:spacing w:after="0" w:line="240" w:lineRule="auto"/>
        <w:jc w:val="both"/>
        <w:rPr>
          <w:rFonts w:ascii="Arial" w:eastAsia="Calibri" w:hAnsi="Arial" w:cs="Arial"/>
          <w:color w:val="000000"/>
          <w:sz w:val="20"/>
          <w:szCs w:val="20"/>
          <w:lang w:val="es-ES_tradnl" w:eastAsia="es-ES_tradnl"/>
        </w:rPr>
      </w:pPr>
    </w:p>
    <w:p w14:paraId="551768BF" w14:textId="77777777" w:rsidR="00636121" w:rsidRPr="000402F4" w:rsidRDefault="00636121" w:rsidP="00636121">
      <w:pPr>
        <w:tabs>
          <w:tab w:val="left" w:pos="0"/>
        </w:tabs>
        <w:spacing w:after="0" w:line="240" w:lineRule="auto"/>
        <w:jc w:val="both"/>
        <w:rPr>
          <w:rFonts w:ascii="Arial" w:hAnsi="Arial" w:cs="Arial"/>
          <w:sz w:val="20"/>
          <w:szCs w:val="20"/>
        </w:rPr>
      </w:pPr>
      <w:r w:rsidRPr="000402F4">
        <w:rPr>
          <w:rFonts w:ascii="Arial" w:hAnsi="Arial" w:cs="Arial"/>
          <w:sz w:val="20"/>
          <w:szCs w:val="20"/>
        </w:rPr>
        <w:t>«En las actuaciones administrativas contractuales el debido proceso tiene papel preponderante, en tanto que, como resultado de éstas se pueden generar afectaciones a variados derechos de los contratistas, motivo por el cual, cuando en pro de la continua y eficiente prestación de los servicios y bienes objeto de la contratación estatal se haga necesario adoptar una decisión en contra de los intereses del administrado, ello debe ser el resultado de la observancia de un procedimiento que preserve la realización de las garantías del debido proceso; en tal virtud, el respeto de ese derecho torna en improcedente la imposición de plano de dichas decisiones».</w:t>
      </w:r>
    </w:p>
    <w:p w14:paraId="7E1A52C1" w14:textId="77777777" w:rsidR="00636121" w:rsidRPr="000402F4" w:rsidRDefault="00636121" w:rsidP="00636121">
      <w:pPr>
        <w:tabs>
          <w:tab w:val="left" w:pos="0"/>
        </w:tabs>
        <w:spacing w:after="0" w:line="240" w:lineRule="auto"/>
        <w:jc w:val="both"/>
        <w:rPr>
          <w:rFonts w:ascii="Arial" w:eastAsia="Calibri" w:hAnsi="Arial" w:cs="Arial"/>
          <w:color w:val="000000"/>
          <w:sz w:val="20"/>
          <w:szCs w:val="20"/>
          <w:lang w:val="es-ES_tradnl" w:eastAsia="es-ES_tradnl"/>
        </w:rPr>
      </w:pPr>
    </w:p>
    <w:p w14:paraId="52E5C17B" w14:textId="77777777" w:rsidR="00636121" w:rsidRPr="000402F4" w:rsidRDefault="00636121" w:rsidP="00636121">
      <w:pPr>
        <w:tabs>
          <w:tab w:val="left" w:pos="0"/>
        </w:tabs>
        <w:spacing w:after="0" w:line="240" w:lineRule="auto"/>
        <w:jc w:val="both"/>
        <w:rPr>
          <w:rFonts w:ascii="Arial" w:eastAsia="Calibri" w:hAnsi="Arial" w:cs="Arial"/>
          <w:color w:val="000000"/>
          <w:sz w:val="20"/>
          <w:szCs w:val="20"/>
          <w:lang w:val="es-ES_tradnl" w:eastAsia="es-ES_tradnl"/>
        </w:rPr>
      </w:pPr>
      <w:r w:rsidRPr="000402F4">
        <w:rPr>
          <w:rFonts w:ascii="Arial" w:eastAsia="Calibri" w:hAnsi="Arial" w:cs="Arial"/>
          <w:color w:val="000000"/>
          <w:sz w:val="20"/>
          <w:szCs w:val="20"/>
          <w:lang w:val="es-ES_tradnl" w:eastAsia="es-ES_tradnl"/>
        </w:rPr>
        <w:t xml:space="preserve">En suma, si una entidad estatal sometida al Estatuto General de Contratación de la Administración pública estipula acuerdos de niveles de servicio en el contrato, pactándolos como multas o cláusulas penales por el incumplimiento de los estándares de calidad o servicio por parte del contratista, debe cumplir con lo establecido en el artículo 17 de la Ley 1150 de 2007, que, a su vez, se concreta en el procedimiento administrativo sancionatorio regulado en el artículo 86 de la Ley 1474 de 2011. Si aplicado el procedimiento se decreta el incumplimiento y se procede con el descuento, ese mismo hecho y fundamento no podría dar lugar a la imposición de otra sanción que tenga la misma naturaleza jurídica –por ejemplo, de otra multa, si el acuerdo de nivel de servicio pactado tiene la misma naturaleza de aquella–, porque se menoscabaría el principio </w:t>
      </w:r>
      <w:proofErr w:type="spellStart"/>
      <w:r w:rsidRPr="000402F4">
        <w:rPr>
          <w:rFonts w:ascii="Arial" w:eastAsia="Calibri" w:hAnsi="Arial" w:cs="Arial"/>
          <w:i/>
          <w:iCs/>
          <w:color w:val="000000"/>
          <w:sz w:val="20"/>
          <w:szCs w:val="20"/>
          <w:lang w:val="es-ES_tradnl" w:eastAsia="es-ES_tradnl"/>
        </w:rPr>
        <w:t>nom</w:t>
      </w:r>
      <w:proofErr w:type="spellEnd"/>
      <w:r w:rsidRPr="000402F4">
        <w:rPr>
          <w:rFonts w:ascii="Arial" w:eastAsia="Calibri" w:hAnsi="Arial" w:cs="Arial"/>
          <w:i/>
          <w:iCs/>
          <w:color w:val="000000"/>
          <w:sz w:val="20"/>
          <w:szCs w:val="20"/>
          <w:lang w:val="es-ES_tradnl" w:eastAsia="es-ES_tradnl"/>
        </w:rPr>
        <w:t xml:space="preserve"> bis in </w:t>
      </w:r>
      <w:proofErr w:type="spellStart"/>
      <w:r w:rsidRPr="000402F4">
        <w:rPr>
          <w:rFonts w:ascii="Arial" w:eastAsia="Calibri" w:hAnsi="Arial" w:cs="Arial"/>
          <w:i/>
          <w:iCs/>
          <w:color w:val="000000"/>
          <w:sz w:val="20"/>
          <w:szCs w:val="20"/>
          <w:lang w:val="es-ES_tradnl" w:eastAsia="es-ES_tradnl"/>
        </w:rPr>
        <w:t>idem</w:t>
      </w:r>
      <w:proofErr w:type="spellEnd"/>
      <w:r w:rsidRPr="000402F4">
        <w:rPr>
          <w:rFonts w:ascii="Arial" w:eastAsia="Calibri" w:hAnsi="Arial" w:cs="Arial"/>
          <w:color w:val="000000"/>
          <w:sz w:val="20"/>
          <w:szCs w:val="20"/>
          <w:lang w:val="es-ES_tradnl" w:eastAsia="es-ES_tradnl"/>
        </w:rPr>
        <w:t>, que también integra el derecho fundamental al debido proceso y que prohíbe sancionar dos o más veces por el mismo hecho. En definitiva, los acuerdos de niveles de servicio se pueden pactar, en ejercicio de la autonomía de la voluntad, pero, si su naturaleza se determina como sancionatoria en el contrato, su aplicación debe estar precedida por la garantía del debido proceso.</w:t>
      </w:r>
    </w:p>
    <w:p w14:paraId="533C5FD4" w14:textId="77777777" w:rsidR="00636121" w:rsidRPr="002A150C" w:rsidRDefault="00636121" w:rsidP="00636121">
      <w:pPr>
        <w:spacing w:after="0" w:line="276" w:lineRule="auto"/>
        <w:jc w:val="both"/>
        <w:rPr>
          <w:rFonts w:ascii="Arial" w:eastAsia="Times New Roman" w:hAnsi="Arial" w:cs="Arial"/>
          <w:noProof/>
          <w:color w:val="000000" w:themeColor="text1"/>
          <w:szCs w:val="24"/>
          <w:lang w:val="es-ES_tradnl" w:eastAsia="es-ES_tradnl"/>
        </w:rPr>
      </w:pPr>
    </w:p>
    <w:p w14:paraId="4E35212E" w14:textId="77777777" w:rsidR="00636121" w:rsidRDefault="00636121" w:rsidP="00636121">
      <w:pPr>
        <w:spacing w:after="0" w:line="276" w:lineRule="auto"/>
        <w:jc w:val="both"/>
        <w:rPr>
          <w:rFonts w:ascii="Arial" w:eastAsia="Times New Roman" w:hAnsi="Arial" w:cs="Arial"/>
          <w:noProof/>
          <w:color w:val="000000" w:themeColor="text1"/>
          <w:szCs w:val="24"/>
          <w:lang w:val="es-ES_tradnl" w:eastAsia="es-ES_tradnl"/>
        </w:rPr>
      </w:pPr>
    </w:p>
    <w:p w14:paraId="5C3AD94E" w14:textId="77777777" w:rsidR="00636121" w:rsidRDefault="00636121" w:rsidP="00636121">
      <w:pPr>
        <w:spacing w:after="0" w:line="240" w:lineRule="auto"/>
        <w:jc w:val="both"/>
        <w:rPr>
          <w:rFonts w:ascii="Arial" w:eastAsia="Times New Roman" w:hAnsi="Arial" w:cs="Arial"/>
          <w:noProof/>
          <w:color w:val="000000" w:themeColor="text1"/>
          <w:szCs w:val="24"/>
          <w:lang w:val="es-ES_tradnl" w:eastAsia="es-ES_tradnl"/>
        </w:rPr>
      </w:pPr>
    </w:p>
    <w:p w14:paraId="1028F34D" w14:textId="77777777" w:rsidR="00636121" w:rsidRPr="002A150C" w:rsidRDefault="00636121" w:rsidP="00636121">
      <w:pPr>
        <w:spacing w:after="0" w:line="240" w:lineRule="auto"/>
        <w:jc w:val="both"/>
        <w:rPr>
          <w:rFonts w:ascii="Arial" w:eastAsia="Times New Roman" w:hAnsi="Arial" w:cs="Arial"/>
          <w:b/>
          <w:color w:val="000000" w:themeColor="text1"/>
          <w:szCs w:val="24"/>
          <w:lang w:val="es-ES_tradnl" w:eastAsia="es-ES_tradnl"/>
        </w:rPr>
      </w:pPr>
    </w:p>
    <w:p w14:paraId="19C0F5E8"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bookmarkStart w:id="1" w:name="_Hlk100051121"/>
    </w:p>
    <w:p w14:paraId="7FE676F9"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p>
    <w:p w14:paraId="0D97AF94"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p>
    <w:p w14:paraId="5E4516C1"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p>
    <w:p w14:paraId="1CEFCF9E"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p>
    <w:p w14:paraId="125D2E94"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p>
    <w:p w14:paraId="2AD427E1" w14:textId="77777777" w:rsidR="00721FF1" w:rsidRDefault="00721FF1" w:rsidP="00636121">
      <w:pPr>
        <w:spacing w:after="0" w:line="240" w:lineRule="auto"/>
        <w:jc w:val="both"/>
        <w:rPr>
          <w:rFonts w:ascii="Arial" w:eastAsia="Calibri" w:hAnsi="Arial" w:cs="Arial"/>
          <w:color w:val="000000" w:themeColor="text1"/>
          <w:szCs w:val="24"/>
          <w:lang w:val="es-ES_tradnl" w:eastAsia="es-ES_tradnl"/>
        </w:rPr>
      </w:pPr>
    </w:p>
    <w:p w14:paraId="35822C48" w14:textId="3926841B" w:rsidR="00974AA4" w:rsidRDefault="002842C9" w:rsidP="00974AA4">
      <w:pPr>
        <w:pStyle w:val="NormalWeb"/>
      </w:pPr>
      <w:r>
        <w:rPr>
          <w:rFonts w:ascii="Calibri" w:hAnsi="Calibri" w:cs="Calibri"/>
          <w:sz w:val="22"/>
          <w:szCs w:val="22"/>
        </w:rPr>
        <w:lastRenderedPageBreak/>
        <w:t>Bogotá</w:t>
      </w:r>
      <w:r w:rsidR="00974AA4">
        <w:rPr>
          <w:rFonts w:ascii="Calibri" w:hAnsi="Calibri" w:cs="Calibri"/>
          <w:sz w:val="22"/>
          <w:szCs w:val="22"/>
        </w:rPr>
        <w:t xml:space="preserve"> D.C., </w:t>
      </w:r>
      <w:r w:rsidR="00974AA4">
        <w:rPr>
          <w:rFonts w:ascii="Calibri" w:hAnsi="Calibri" w:cs="Calibri"/>
          <w:color w:val="1E1E1C"/>
          <w:sz w:val="22"/>
          <w:szCs w:val="22"/>
        </w:rPr>
        <w:t xml:space="preserve">20 de Diciembre de 2022 </w:t>
      </w:r>
    </w:p>
    <w:p w14:paraId="66A96C64" w14:textId="75CC46C1" w:rsidR="00974AA4" w:rsidRDefault="002842C9" w:rsidP="002842C9">
      <w:pPr>
        <w:spacing w:after="0" w:line="240" w:lineRule="auto"/>
        <w:jc w:val="right"/>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sidRPr="002842C9">
        <w:rPr>
          <w:rFonts w:ascii="Arial" w:eastAsia="Calibri" w:hAnsi="Arial" w:cs="Arial"/>
          <w:noProof/>
          <w:color w:val="000000" w:themeColor="text1"/>
          <w:szCs w:val="24"/>
          <w:lang w:val="es-ES_tradnl" w:eastAsia="es-ES_tradnl"/>
        </w:rPr>
        <w:drawing>
          <wp:inline distT="0" distB="0" distL="0" distR="0" wp14:anchorId="38C35645" wp14:editId="38D16E28">
            <wp:extent cx="2463800" cy="749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3800" cy="749300"/>
                    </a:xfrm>
                    <a:prstGeom prst="rect">
                      <a:avLst/>
                    </a:prstGeom>
                  </pic:spPr>
                </pic:pic>
              </a:graphicData>
            </a:graphic>
          </wp:inline>
        </w:drawing>
      </w:r>
    </w:p>
    <w:p w14:paraId="5B557C9B" w14:textId="54DE13C6" w:rsidR="0017797D" w:rsidRPr="00974AA4" w:rsidRDefault="00974AA4" w:rsidP="00974AA4">
      <w:pPr>
        <w:spacing w:after="0" w:line="240"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Señora</w:t>
      </w:r>
    </w:p>
    <w:p w14:paraId="5BF426BB" w14:textId="53105C14" w:rsidR="00636121" w:rsidRPr="002A150C" w:rsidRDefault="00636121" w:rsidP="00636121">
      <w:pPr>
        <w:tabs>
          <w:tab w:val="center" w:pos="4394"/>
        </w:tabs>
        <w:spacing w:after="0" w:line="240" w:lineRule="auto"/>
        <w:jc w:val="both"/>
        <w:rPr>
          <w:rFonts w:ascii="Arial" w:eastAsia="Calibri" w:hAnsi="Arial" w:cs="Arial"/>
          <w:b/>
          <w:color w:val="000000" w:themeColor="text1"/>
          <w:szCs w:val="24"/>
          <w:lang w:val="es-ES_tradnl" w:eastAsia="es-ES_tradnl"/>
        </w:rPr>
      </w:pPr>
      <w:r>
        <w:rPr>
          <w:rFonts w:ascii="Arial" w:eastAsia="Calibri" w:hAnsi="Arial" w:cs="Arial"/>
          <w:b/>
          <w:color w:val="000000" w:themeColor="text1"/>
          <w:szCs w:val="24"/>
          <w:lang w:val="es-ES_tradnl" w:eastAsia="es-ES_tradnl"/>
        </w:rPr>
        <w:t>Angie Andrea Segura Torres</w:t>
      </w:r>
    </w:p>
    <w:p w14:paraId="407ECBD2" w14:textId="77777777" w:rsidR="00636121" w:rsidRPr="002A150C" w:rsidRDefault="00636121" w:rsidP="00636121">
      <w:pPr>
        <w:spacing w:after="0" w:line="240" w:lineRule="auto"/>
        <w:rPr>
          <w:rFonts w:ascii="Arial" w:eastAsia="Calibri" w:hAnsi="Arial" w:cs="Arial"/>
          <w:b/>
          <w:bCs/>
          <w:color w:val="000000" w:themeColor="text1"/>
          <w:szCs w:val="24"/>
          <w:lang w:val="es-ES_tradnl" w:eastAsia="es-ES_tradnl"/>
        </w:rPr>
      </w:pPr>
      <w:r w:rsidRPr="002A150C">
        <w:rPr>
          <w:rFonts w:ascii="Arial" w:eastAsia="Calibri" w:hAnsi="Arial" w:cs="Arial"/>
          <w:bCs/>
          <w:color w:val="000000" w:themeColor="text1"/>
          <w:szCs w:val="24"/>
          <w:lang w:val="es-ES_tradnl" w:eastAsia="es-ES_tradnl"/>
        </w:rPr>
        <w:t>Bogotá, D.C.</w:t>
      </w:r>
    </w:p>
    <w:p w14:paraId="5B5E02BE" w14:textId="77777777" w:rsidR="00636121" w:rsidRPr="002A150C" w:rsidRDefault="00636121" w:rsidP="00636121">
      <w:pPr>
        <w:spacing w:after="0" w:line="240" w:lineRule="auto"/>
        <w:rPr>
          <w:rFonts w:ascii="Arial" w:eastAsia="Calibri" w:hAnsi="Arial" w:cs="Arial"/>
          <w:b/>
          <w:bCs/>
          <w:color w:val="000000" w:themeColor="text1"/>
          <w:szCs w:val="24"/>
          <w:lang w:val="es-ES_tradnl" w:eastAsia="es-ES_tradnl"/>
        </w:rPr>
      </w:pPr>
    </w:p>
    <w:p w14:paraId="409C097E" w14:textId="77777777" w:rsidR="00636121" w:rsidRPr="002A150C" w:rsidRDefault="00636121" w:rsidP="00636121">
      <w:pPr>
        <w:spacing w:after="0" w:line="240" w:lineRule="auto"/>
        <w:rPr>
          <w:rFonts w:ascii="Arial" w:eastAsia="Calibri" w:hAnsi="Arial" w:cs="Arial"/>
          <w:b/>
          <w:bCs/>
          <w:color w:val="000000" w:themeColor="text1"/>
          <w:szCs w:val="24"/>
          <w:lang w:val="es-ES_tradnl" w:eastAsia="es-ES_tradnl"/>
        </w:rPr>
      </w:pPr>
      <w:r w:rsidRPr="002A150C">
        <w:rPr>
          <w:rFonts w:ascii="Arial" w:eastAsia="Calibri" w:hAnsi="Arial" w:cs="Arial"/>
          <w:b/>
          <w:bCs/>
          <w:color w:val="000000" w:themeColor="text1"/>
          <w:szCs w:val="24"/>
          <w:lang w:val="es-ES_tradnl" w:eastAsia="es-ES_tradnl"/>
        </w:rPr>
        <w:t xml:space="preserve">                                            Concepto C ‒ </w:t>
      </w:r>
      <w:r>
        <w:rPr>
          <w:rFonts w:ascii="Arial" w:eastAsia="Calibri" w:hAnsi="Arial" w:cs="Arial"/>
          <w:b/>
          <w:bCs/>
          <w:color w:val="000000" w:themeColor="text1"/>
          <w:szCs w:val="24"/>
          <w:lang w:val="es-ES_tradnl" w:eastAsia="es-ES_tradnl"/>
        </w:rPr>
        <w:t>866</w:t>
      </w:r>
      <w:r w:rsidRPr="002A150C">
        <w:rPr>
          <w:rFonts w:ascii="Arial" w:eastAsia="Calibri" w:hAnsi="Arial" w:cs="Arial"/>
          <w:b/>
          <w:bCs/>
          <w:color w:val="000000" w:themeColor="text1"/>
          <w:szCs w:val="24"/>
          <w:lang w:val="es-ES_tradnl" w:eastAsia="es-ES_tradnl"/>
        </w:rPr>
        <w:t xml:space="preserve"> de 2022</w:t>
      </w:r>
    </w:p>
    <w:p w14:paraId="3D24F1C7" w14:textId="77777777" w:rsidR="00636121" w:rsidRPr="002A150C" w:rsidRDefault="00636121" w:rsidP="00636121">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36121" w:rsidRPr="002A150C" w14:paraId="40C1DE85" w14:textId="77777777" w:rsidTr="0051464C">
        <w:trPr>
          <w:trHeight w:val="884"/>
        </w:trPr>
        <w:tc>
          <w:tcPr>
            <w:tcW w:w="2689" w:type="dxa"/>
          </w:tcPr>
          <w:p w14:paraId="4D5C3250" w14:textId="77777777" w:rsidR="00636121" w:rsidRPr="002A150C" w:rsidRDefault="00636121" w:rsidP="0051464C">
            <w:pPr>
              <w:jc w:val="both"/>
              <w:rPr>
                <w:rFonts w:ascii="Arial" w:eastAsia="Calibri" w:hAnsi="Arial" w:cs="Arial"/>
                <w:color w:val="000000" w:themeColor="text1"/>
                <w:szCs w:val="24"/>
                <w:lang w:val="es-ES_tradnl" w:eastAsia="es-ES_tradnl"/>
              </w:rPr>
            </w:pPr>
            <w:r w:rsidRPr="002A150C">
              <w:rPr>
                <w:rFonts w:ascii="Arial" w:eastAsia="Calibri" w:hAnsi="Arial" w:cs="Arial"/>
                <w:b/>
                <w:color w:val="000000" w:themeColor="text1"/>
                <w:szCs w:val="24"/>
                <w:lang w:val="es-ES_tradnl" w:eastAsia="es-ES_tradnl"/>
              </w:rPr>
              <w:t>Temas:</w:t>
            </w:r>
            <w:r w:rsidRPr="002A150C">
              <w:rPr>
                <w:rFonts w:ascii="Arial" w:eastAsia="Calibri" w:hAnsi="Arial" w:cs="Arial"/>
                <w:color w:val="000000" w:themeColor="text1"/>
                <w:szCs w:val="24"/>
                <w:lang w:val="es-ES_tradnl" w:eastAsia="es-ES_tradnl"/>
              </w:rPr>
              <w:t xml:space="preserve">                   </w:t>
            </w:r>
          </w:p>
        </w:tc>
        <w:tc>
          <w:tcPr>
            <w:tcW w:w="6237" w:type="dxa"/>
          </w:tcPr>
          <w:p w14:paraId="65030ACA" w14:textId="77777777" w:rsidR="00636121" w:rsidRPr="002A150C" w:rsidRDefault="00636121" w:rsidP="0051464C">
            <w:pPr>
              <w:jc w:val="both"/>
              <w:rPr>
                <w:rFonts w:ascii="Arial" w:eastAsia="Calibri" w:hAnsi="Arial" w:cs="Arial"/>
                <w:bCs/>
                <w:color w:val="000000" w:themeColor="text1"/>
                <w:szCs w:val="24"/>
                <w:lang w:val="es-ES_tradnl" w:eastAsia="es-ES_tradnl"/>
              </w:rPr>
            </w:pPr>
            <w:r w:rsidRPr="000402F4">
              <w:rPr>
                <w:rFonts w:ascii="Arial" w:eastAsia="Calibri" w:hAnsi="Arial" w:cs="Arial"/>
                <w:color w:val="000000" w:themeColor="text1"/>
                <w:lang w:val="es-ES"/>
              </w:rPr>
              <w:t>CLÁUSULAS EXCEPCIONALES – Multas – Cláusula penal – Imposición unilateral</w:t>
            </w:r>
            <w:r>
              <w:rPr>
                <w:rFonts w:ascii="Arial" w:eastAsia="Calibri" w:hAnsi="Arial" w:cs="Arial"/>
                <w:color w:val="000000" w:themeColor="text1"/>
                <w:lang w:val="es-ES"/>
              </w:rPr>
              <w:t xml:space="preserve"> / </w:t>
            </w:r>
            <w:r w:rsidRPr="000402F4">
              <w:rPr>
                <w:rFonts w:ascii="Arial" w:eastAsia="Calibri" w:hAnsi="Arial" w:cs="Arial"/>
                <w:color w:val="000000" w:themeColor="text1"/>
                <w:lang w:val="es-ES"/>
              </w:rPr>
              <w:t>PROCEDIMIENTO SANCIONATORIO CONTRACTUAL – Citación a audiencia – Contenido – Ley 1474 de 2011 – Artículo 86</w:t>
            </w:r>
            <w:r>
              <w:rPr>
                <w:rFonts w:ascii="Arial" w:eastAsia="Calibri" w:hAnsi="Arial" w:cs="Arial"/>
                <w:color w:val="000000" w:themeColor="text1"/>
                <w:lang w:val="es-ES"/>
              </w:rPr>
              <w:t xml:space="preserve"> / </w:t>
            </w:r>
            <w:r w:rsidRPr="000402F4">
              <w:rPr>
                <w:rFonts w:ascii="Arial" w:eastAsia="Calibri" w:hAnsi="Arial" w:cs="Arial"/>
                <w:color w:val="000000" w:themeColor="text1"/>
                <w:lang w:val="es-ES"/>
              </w:rPr>
              <w:t>ACUERDOS DE NIVELES DE SERVICIO – Concepto – Fundamento – Atipicidad – Autonomía de la voluntad</w:t>
            </w:r>
            <w:r>
              <w:rPr>
                <w:rFonts w:ascii="Arial" w:eastAsia="Calibri" w:hAnsi="Arial" w:cs="Arial"/>
                <w:color w:val="000000" w:themeColor="text1"/>
                <w:lang w:val="es-ES"/>
              </w:rPr>
              <w:t xml:space="preserve"> / </w:t>
            </w:r>
            <w:r w:rsidRPr="000402F4">
              <w:rPr>
                <w:rFonts w:ascii="Arial" w:eastAsia="Calibri" w:hAnsi="Arial" w:cs="Arial"/>
                <w:color w:val="000000" w:themeColor="text1"/>
                <w:lang w:val="es-ES"/>
              </w:rPr>
              <w:t>ACUERDOS DE NIVELES DE SERVICIO – Sanciones – Procedimiento – Aplicación – Debido proceso</w:t>
            </w:r>
          </w:p>
        </w:tc>
      </w:tr>
      <w:tr w:rsidR="00636121" w:rsidRPr="002A150C" w14:paraId="707408FE" w14:textId="77777777" w:rsidTr="0051464C">
        <w:tc>
          <w:tcPr>
            <w:tcW w:w="2689" w:type="dxa"/>
          </w:tcPr>
          <w:p w14:paraId="688266CF" w14:textId="77777777" w:rsidR="00636121" w:rsidRPr="002A150C" w:rsidRDefault="00636121" w:rsidP="0051464C">
            <w:pPr>
              <w:spacing w:before="120"/>
              <w:jc w:val="both"/>
              <w:rPr>
                <w:rFonts w:ascii="Arial" w:eastAsia="Calibri" w:hAnsi="Arial" w:cs="Arial"/>
                <w:b/>
                <w:color w:val="000000" w:themeColor="text1"/>
                <w:szCs w:val="24"/>
                <w:lang w:val="es-ES_tradnl" w:eastAsia="es-ES_tradnl"/>
              </w:rPr>
            </w:pPr>
            <w:r w:rsidRPr="002A150C">
              <w:rPr>
                <w:rFonts w:ascii="Arial" w:eastAsia="Calibri" w:hAnsi="Arial" w:cs="Arial"/>
                <w:b/>
                <w:color w:val="000000" w:themeColor="text1"/>
                <w:szCs w:val="24"/>
                <w:lang w:val="es-ES_tradnl" w:eastAsia="es-ES_tradnl"/>
              </w:rPr>
              <w:t>Radicación:</w:t>
            </w:r>
            <w:r w:rsidRPr="002A150C">
              <w:rPr>
                <w:rFonts w:ascii="Arial" w:eastAsia="Calibri" w:hAnsi="Arial" w:cs="Arial"/>
                <w:color w:val="000000" w:themeColor="text1"/>
                <w:szCs w:val="24"/>
                <w:lang w:val="es-ES_tradnl" w:eastAsia="es-ES_tradnl"/>
              </w:rPr>
              <w:t xml:space="preserve">               </w:t>
            </w:r>
          </w:p>
        </w:tc>
        <w:tc>
          <w:tcPr>
            <w:tcW w:w="6237" w:type="dxa"/>
          </w:tcPr>
          <w:p w14:paraId="6DAF12E0" w14:textId="77777777" w:rsidR="00636121" w:rsidRPr="002A150C" w:rsidRDefault="00636121" w:rsidP="0051464C">
            <w:pPr>
              <w:spacing w:before="120"/>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 xml:space="preserve">Respuesta a consulta </w:t>
            </w:r>
            <w:r w:rsidRPr="001B269C">
              <w:rPr>
                <w:rFonts w:ascii="Arial" w:eastAsia="Calibri" w:hAnsi="Arial" w:cs="Arial"/>
                <w:color w:val="000000" w:themeColor="text1"/>
                <w:szCs w:val="24"/>
                <w:lang w:val="es-ES_tradnl" w:eastAsia="es-ES_tradnl"/>
              </w:rPr>
              <w:t>P20221103011089</w:t>
            </w:r>
          </w:p>
        </w:tc>
      </w:tr>
    </w:tbl>
    <w:p w14:paraId="2E89EE96" w14:textId="77777777" w:rsidR="00636121" w:rsidRPr="002A150C" w:rsidRDefault="00636121" w:rsidP="00636121">
      <w:pPr>
        <w:spacing w:after="0" w:line="240" w:lineRule="auto"/>
        <w:jc w:val="both"/>
        <w:rPr>
          <w:rFonts w:ascii="Arial" w:eastAsia="Calibri" w:hAnsi="Arial" w:cs="Arial"/>
          <w:color w:val="000000" w:themeColor="text1"/>
          <w:szCs w:val="24"/>
          <w:lang w:val="es-ES_tradnl" w:eastAsia="es-ES_tradnl"/>
        </w:rPr>
      </w:pPr>
    </w:p>
    <w:p w14:paraId="7C92C322" w14:textId="77777777" w:rsidR="00636121" w:rsidRPr="002A150C" w:rsidRDefault="00636121" w:rsidP="00636121">
      <w:pPr>
        <w:spacing w:after="0" w:line="240" w:lineRule="auto"/>
        <w:jc w:val="both"/>
        <w:rPr>
          <w:rFonts w:ascii="Arial" w:eastAsia="Calibri" w:hAnsi="Arial" w:cs="Arial"/>
          <w:color w:val="000000" w:themeColor="text1"/>
          <w:szCs w:val="24"/>
          <w:lang w:val="es-ES_tradnl" w:eastAsia="es-ES_tradnl"/>
        </w:rPr>
      </w:pPr>
    </w:p>
    <w:p w14:paraId="2554FCF8" w14:textId="77777777" w:rsidR="00636121" w:rsidRPr="002A150C" w:rsidRDefault="00636121" w:rsidP="00636121">
      <w:pPr>
        <w:spacing w:after="0" w:line="240"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 xml:space="preserve">Estimada señora </w:t>
      </w:r>
      <w:r>
        <w:rPr>
          <w:rFonts w:ascii="Arial" w:eastAsia="Calibri" w:hAnsi="Arial" w:cs="Arial"/>
          <w:color w:val="000000" w:themeColor="text1"/>
          <w:szCs w:val="24"/>
          <w:lang w:val="es-ES_tradnl" w:eastAsia="es-ES_tradnl"/>
        </w:rPr>
        <w:t>Segura</w:t>
      </w:r>
      <w:r w:rsidRPr="002A150C">
        <w:rPr>
          <w:rFonts w:ascii="Arial" w:eastAsia="Calibri" w:hAnsi="Arial" w:cs="Arial"/>
          <w:color w:val="000000" w:themeColor="text1"/>
          <w:szCs w:val="24"/>
          <w:lang w:val="es-ES_tradnl" w:eastAsia="es-ES_tradnl"/>
        </w:rPr>
        <w:t xml:space="preserve">: </w:t>
      </w:r>
    </w:p>
    <w:p w14:paraId="48797542" w14:textId="77777777" w:rsidR="00636121" w:rsidRPr="002A150C" w:rsidRDefault="00636121" w:rsidP="00636121">
      <w:pPr>
        <w:spacing w:after="0" w:line="240" w:lineRule="auto"/>
        <w:jc w:val="both"/>
        <w:rPr>
          <w:rFonts w:ascii="Arial" w:eastAsia="Calibri" w:hAnsi="Arial" w:cs="Arial"/>
          <w:color w:val="000000" w:themeColor="text1"/>
          <w:szCs w:val="24"/>
          <w:lang w:val="es-ES_tradnl" w:eastAsia="es-ES_tradnl"/>
        </w:rPr>
      </w:pPr>
    </w:p>
    <w:p w14:paraId="76944388" w14:textId="77777777" w:rsidR="00636121" w:rsidRPr="002A150C" w:rsidRDefault="00636121" w:rsidP="00636121">
      <w:pPr>
        <w:spacing w:after="0" w:line="276"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2A150C">
        <w:rPr>
          <w:rFonts w:ascii="Arial" w:eastAsia="Arial MT" w:hAnsi="Arial" w:cs="Arial"/>
          <w:color w:val="000000" w:themeColor="text1"/>
          <w:szCs w:val="24"/>
          <w:lang w:val="es-ES_tradnl" w:eastAsia="es-ES_tradnl"/>
        </w:rPr>
        <w:t xml:space="preserve"> </w:t>
      </w:r>
      <w:r w:rsidRPr="002A150C">
        <w:rPr>
          <w:rFonts w:ascii="Arial" w:eastAsia="Calibri" w:hAnsi="Arial" w:cs="Arial"/>
          <w:color w:val="000000" w:themeColor="text1"/>
          <w:szCs w:val="24"/>
          <w:lang w:val="es-ES_tradnl" w:eastAsia="es-ES_tradnl"/>
        </w:rPr>
        <w:t xml:space="preserve">la Agencia Nacional de Contratación Pública – Colombia Compra Eficiente, responde su consulta </w:t>
      </w:r>
      <w:r>
        <w:rPr>
          <w:rFonts w:ascii="Arial" w:eastAsia="Calibri" w:hAnsi="Arial" w:cs="Arial"/>
          <w:color w:val="000000" w:themeColor="text1"/>
          <w:szCs w:val="24"/>
          <w:lang w:val="es-ES_tradnl" w:eastAsia="es-ES_tradnl"/>
        </w:rPr>
        <w:t>del 2 de noviembre de 2022</w:t>
      </w:r>
      <w:r w:rsidRPr="002A150C">
        <w:rPr>
          <w:rFonts w:ascii="Arial" w:eastAsia="Calibri" w:hAnsi="Arial" w:cs="Arial"/>
          <w:color w:val="000000" w:themeColor="text1"/>
          <w:szCs w:val="24"/>
          <w:lang w:val="es-ES_tradnl" w:eastAsia="es-ES_tradnl"/>
        </w:rPr>
        <w:t>.</w:t>
      </w:r>
    </w:p>
    <w:p w14:paraId="30EFC174" w14:textId="77777777" w:rsidR="00636121" w:rsidRPr="002A150C" w:rsidRDefault="00636121" w:rsidP="00636121">
      <w:pPr>
        <w:tabs>
          <w:tab w:val="left" w:pos="426"/>
        </w:tabs>
        <w:spacing w:after="0" w:line="276" w:lineRule="auto"/>
        <w:jc w:val="both"/>
        <w:rPr>
          <w:rFonts w:ascii="Arial" w:eastAsia="Calibri" w:hAnsi="Arial" w:cs="Arial"/>
          <w:color w:val="000000" w:themeColor="text1"/>
          <w:lang w:val="es-ES_tradnl"/>
        </w:rPr>
      </w:pPr>
    </w:p>
    <w:p w14:paraId="78DD3B28" w14:textId="77777777" w:rsidR="00636121" w:rsidRPr="002A150C" w:rsidRDefault="00636121" w:rsidP="00636121">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2A150C">
        <w:rPr>
          <w:rFonts w:ascii="Arial" w:eastAsia="Calibri" w:hAnsi="Arial" w:cs="Arial"/>
          <w:b/>
          <w:color w:val="000000" w:themeColor="text1"/>
          <w:lang w:val="es-ES_tradnl"/>
        </w:rPr>
        <w:t xml:space="preserve">Problemas planteados </w:t>
      </w:r>
    </w:p>
    <w:p w14:paraId="5A335A53" w14:textId="77777777" w:rsidR="00636121" w:rsidRPr="002A150C" w:rsidRDefault="00636121" w:rsidP="00636121">
      <w:pPr>
        <w:tabs>
          <w:tab w:val="left" w:pos="426"/>
        </w:tabs>
        <w:spacing w:after="0" w:line="276" w:lineRule="auto"/>
        <w:jc w:val="both"/>
        <w:rPr>
          <w:rFonts w:ascii="Arial" w:eastAsia="Calibri" w:hAnsi="Arial" w:cs="Arial"/>
          <w:b/>
          <w:color w:val="000000" w:themeColor="text1"/>
          <w:lang w:val="es-ES_tradnl"/>
        </w:rPr>
      </w:pPr>
    </w:p>
    <w:p w14:paraId="7F1D1876" w14:textId="77777777" w:rsidR="00636121" w:rsidRPr="002A150C" w:rsidRDefault="00636121" w:rsidP="00636121">
      <w:pPr>
        <w:tabs>
          <w:tab w:val="left" w:pos="426"/>
        </w:tabs>
        <w:spacing w:after="0" w:line="276" w:lineRule="auto"/>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 xml:space="preserve">Usted realiza la siguiente consulta: </w:t>
      </w:r>
    </w:p>
    <w:p w14:paraId="1A405FCE" w14:textId="77777777" w:rsidR="00636121" w:rsidRPr="002A150C" w:rsidRDefault="00636121" w:rsidP="00636121">
      <w:pPr>
        <w:tabs>
          <w:tab w:val="left" w:pos="426"/>
        </w:tabs>
        <w:spacing w:after="0" w:line="276" w:lineRule="auto"/>
        <w:jc w:val="both"/>
        <w:rPr>
          <w:rFonts w:ascii="Arial" w:eastAsia="Calibri" w:hAnsi="Arial" w:cs="Arial"/>
          <w:color w:val="000000" w:themeColor="text1"/>
          <w:lang w:val="es-ES_tradnl"/>
        </w:rPr>
      </w:pPr>
    </w:p>
    <w:p w14:paraId="32A81BE8" w14:textId="77777777" w:rsidR="00636121" w:rsidRPr="007E3047" w:rsidRDefault="00636121" w:rsidP="0063612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w:t>
      </w:r>
      <w:r w:rsidRPr="007E3047">
        <w:rPr>
          <w:rFonts w:ascii="Arial" w:eastAsia="Calibri" w:hAnsi="Arial" w:cs="Arial"/>
          <w:color w:val="000000" w:themeColor="text1"/>
          <w:sz w:val="21"/>
          <w:szCs w:val="21"/>
          <w:lang w:val="es-ES_tradnl"/>
        </w:rPr>
        <w:t>de manera respetuosa me permito elevar a esa entidad, los interrogantes que planteo a continuación, relacionados con los acuerdos de niveles de servicio.</w:t>
      </w:r>
    </w:p>
    <w:p w14:paraId="7643645A"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1. En el marco de la compra pública, ¿qué se entiende por acuerdos de niveles de servicio?</w:t>
      </w:r>
    </w:p>
    <w:p w14:paraId="126DBF11"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2. En el marco de la compra pública, ¿los acuerdos de niveles de servicio pueden ser</w:t>
      </w:r>
      <w:r>
        <w:rPr>
          <w:rFonts w:ascii="Arial" w:eastAsia="Calibri" w:hAnsi="Arial" w:cs="Arial"/>
          <w:color w:val="000000" w:themeColor="text1"/>
          <w:sz w:val="21"/>
          <w:szCs w:val="21"/>
          <w:lang w:val="es-ES_tradnl"/>
        </w:rPr>
        <w:t xml:space="preserve"> </w:t>
      </w:r>
      <w:r w:rsidRPr="007E3047">
        <w:rPr>
          <w:rFonts w:ascii="Arial" w:eastAsia="Calibri" w:hAnsi="Arial" w:cs="Arial"/>
          <w:color w:val="000000" w:themeColor="text1"/>
          <w:sz w:val="21"/>
          <w:szCs w:val="21"/>
          <w:lang w:val="es-ES_tradnl"/>
        </w:rPr>
        <w:t>considerados como sanciones?</w:t>
      </w:r>
    </w:p>
    <w:p w14:paraId="1747B815"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3.</w:t>
      </w:r>
      <w:r>
        <w:rPr>
          <w:rFonts w:ascii="Arial" w:eastAsia="Calibri" w:hAnsi="Arial" w:cs="Arial"/>
          <w:color w:val="000000" w:themeColor="text1"/>
          <w:sz w:val="21"/>
          <w:szCs w:val="21"/>
          <w:lang w:val="es-ES_tradnl"/>
        </w:rPr>
        <w:t xml:space="preserve"> </w:t>
      </w:r>
      <w:r w:rsidRPr="007E3047">
        <w:rPr>
          <w:rFonts w:ascii="Arial" w:eastAsia="Calibri" w:hAnsi="Arial" w:cs="Arial"/>
          <w:color w:val="000000" w:themeColor="text1"/>
          <w:sz w:val="21"/>
          <w:szCs w:val="21"/>
          <w:lang w:val="es-ES_tradnl"/>
        </w:rPr>
        <w:t>En el marco de la compra pública, ¿es posible aplicar acuerdos de niveles de servicio y posteriormente bajo los mismos hechos iniciar una actuación administrativa sancionatoria que conlleve a una sanción?</w:t>
      </w:r>
    </w:p>
    <w:p w14:paraId="356DCD5B"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lastRenderedPageBreak/>
        <w:t>»</w:t>
      </w:r>
      <w:r w:rsidRPr="007E3047">
        <w:rPr>
          <w:rFonts w:ascii="Arial" w:eastAsia="Calibri" w:hAnsi="Arial" w:cs="Arial"/>
          <w:color w:val="000000" w:themeColor="text1"/>
          <w:sz w:val="21"/>
          <w:szCs w:val="21"/>
          <w:lang w:val="es-ES_tradnl"/>
        </w:rPr>
        <w:t>4. En el marco de la compra pública, ¿se pueden pactar acuerdos de niveles de servicio en los contratos estatales para definir estándares de calidad en la prestación del servicio?</w:t>
      </w:r>
    </w:p>
    <w:p w14:paraId="506BD9B9"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5. En este sentido, frente a un incumplimiento de un acuerdo de nivel de servicio ¿se pueden pactar cláusulas que incorporen consecuencias económicas como lo son los descuentos?</w:t>
      </w:r>
    </w:p>
    <w:p w14:paraId="548C7ADA"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6. En el marco de la compra pública ¿existe un procedimiento para aplicar descuentos por acuerdos de niveles de servicio?, de ser el caso, ¿esta incorporado en la implementación de los documentos tipo?</w:t>
      </w:r>
    </w:p>
    <w:p w14:paraId="2C51E592"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7. ¿Cuál es el fundamento normativo para dar aplicación a los acuerdos de niveles de servicio?</w:t>
      </w:r>
    </w:p>
    <w:p w14:paraId="5CE0ECDA"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8. ¿Las cláusulas de descuento por indicadores de calidad son aplicables a todos contratos estatales o deben contar con condiciones específicas para su incorporación?</w:t>
      </w:r>
    </w:p>
    <w:p w14:paraId="3BEB46BB" w14:textId="77777777" w:rsidR="00636121" w:rsidRPr="00484418"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9. ¿Cómo se realiza la medición del cumplimiento de los niveles de servicio en la contratación pública?</w:t>
      </w:r>
      <w:r>
        <w:rPr>
          <w:rFonts w:ascii="Arial" w:eastAsia="Calibri" w:hAnsi="Arial" w:cs="Arial"/>
          <w:color w:val="000000" w:themeColor="text1"/>
          <w:sz w:val="21"/>
          <w:szCs w:val="21"/>
          <w:lang w:val="es-ES_tradnl"/>
        </w:rPr>
        <w:t>»</w:t>
      </w:r>
    </w:p>
    <w:p w14:paraId="4C053E1D" w14:textId="77777777" w:rsidR="00636121" w:rsidRPr="002A150C" w:rsidRDefault="00636121" w:rsidP="00636121">
      <w:pPr>
        <w:tabs>
          <w:tab w:val="left" w:pos="426"/>
        </w:tabs>
        <w:spacing w:after="0" w:line="276" w:lineRule="auto"/>
        <w:jc w:val="both"/>
        <w:rPr>
          <w:rFonts w:ascii="Arial" w:eastAsia="Calibri" w:hAnsi="Arial" w:cs="Arial"/>
          <w:color w:val="000000" w:themeColor="text1"/>
          <w:lang w:val="es-ES_tradnl"/>
        </w:rPr>
      </w:pPr>
    </w:p>
    <w:p w14:paraId="002CB1A3" w14:textId="77777777" w:rsidR="00636121" w:rsidRPr="002A150C" w:rsidRDefault="00636121" w:rsidP="00636121">
      <w:pPr>
        <w:tabs>
          <w:tab w:val="left" w:pos="426"/>
        </w:tabs>
        <w:spacing w:after="0" w:line="276" w:lineRule="auto"/>
        <w:jc w:val="both"/>
        <w:rPr>
          <w:rFonts w:ascii="Arial" w:eastAsia="Calibri" w:hAnsi="Arial" w:cs="Arial"/>
          <w:b/>
          <w:color w:val="000000" w:themeColor="text1"/>
          <w:lang w:val="es-ES_tradnl"/>
        </w:rPr>
      </w:pPr>
      <w:r w:rsidRPr="002A150C">
        <w:rPr>
          <w:rFonts w:ascii="Arial" w:eastAsia="Calibri" w:hAnsi="Arial" w:cs="Arial"/>
          <w:b/>
          <w:color w:val="000000" w:themeColor="text1"/>
          <w:lang w:val="es-ES_tradnl"/>
        </w:rPr>
        <w:t>2. Consideraciones</w:t>
      </w:r>
    </w:p>
    <w:p w14:paraId="4DA75830" w14:textId="77777777" w:rsidR="00636121" w:rsidRPr="002A150C" w:rsidRDefault="00636121" w:rsidP="00636121">
      <w:pPr>
        <w:spacing w:after="0" w:line="276" w:lineRule="auto"/>
        <w:jc w:val="both"/>
        <w:rPr>
          <w:rFonts w:ascii="Arial" w:eastAsia="Calibri" w:hAnsi="Arial" w:cs="Arial"/>
          <w:color w:val="000000" w:themeColor="text1"/>
          <w:lang w:val="es-ES_tradnl"/>
        </w:rPr>
      </w:pPr>
    </w:p>
    <w:p w14:paraId="27EEF618" w14:textId="77777777" w:rsidR="00636121" w:rsidRPr="007B6CA5" w:rsidRDefault="00636121" w:rsidP="00636121">
      <w:pPr>
        <w:spacing w:after="0" w:line="276" w:lineRule="auto"/>
        <w:jc w:val="both"/>
        <w:rPr>
          <w:rFonts w:ascii="Arial" w:eastAsia="Times New Roman" w:hAnsi="Arial" w:cs="Arial"/>
          <w:szCs w:val="24"/>
          <w:lang w:val="es-ES_tradnl" w:eastAsia="es-ES_tradnl"/>
        </w:rPr>
      </w:pPr>
      <w:r w:rsidRPr="007B6CA5">
        <w:rPr>
          <w:rFonts w:ascii="Arial" w:eastAsia="Times New Roman" w:hAnsi="Arial" w:cs="Arial"/>
          <w:szCs w:val="24"/>
          <w:lang w:val="es-ES_tradnl" w:eastAsia="es-ES_tradnl"/>
        </w:rPr>
        <w:t xml:space="preserve">Para resolver su consulta, se analizarán los siguientes temas: i) régimen sancionatorio en el Estatuto General de Contratación de la Administración Pública, </w:t>
      </w:r>
      <w:proofErr w:type="spellStart"/>
      <w:r w:rsidRPr="007B6CA5">
        <w:rPr>
          <w:rFonts w:ascii="Arial" w:eastAsia="Times New Roman" w:hAnsi="Arial" w:cs="Arial"/>
          <w:szCs w:val="24"/>
          <w:lang w:val="es-ES_tradnl" w:eastAsia="es-ES_tradnl"/>
        </w:rPr>
        <w:t>ii</w:t>
      </w:r>
      <w:proofErr w:type="spellEnd"/>
      <w:r w:rsidRPr="007B6CA5">
        <w:rPr>
          <w:rFonts w:ascii="Arial" w:eastAsia="Times New Roman" w:hAnsi="Arial" w:cs="Arial"/>
          <w:szCs w:val="24"/>
          <w:lang w:val="es-ES_tradnl" w:eastAsia="es-ES_tradnl"/>
        </w:rPr>
        <w:t xml:space="preserve">) procedimiento administrativo sancionatorio contractual previsto en el artículo 86 de la Ley 1474 de 2011 y </w:t>
      </w:r>
      <w:proofErr w:type="spellStart"/>
      <w:r w:rsidRPr="007B6CA5">
        <w:rPr>
          <w:rFonts w:ascii="Arial" w:eastAsia="Times New Roman" w:hAnsi="Arial" w:cs="Arial"/>
          <w:szCs w:val="24"/>
          <w:lang w:val="es-ES_tradnl" w:eastAsia="es-ES_tradnl"/>
        </w:rPr>
        <w:t>iii</w:t>
      </w:r>
      <w:proofErr w:type="spellEnd"/>
      <w:r w:rsidRPr="007B6CA5">
        <w:rPr>
          <w:rFonts w:ascii="Arial" w:eastAsia="Times New Roman" w:hAnsi="Arial" w:cs="Arial"/>
          <w:szCs w:val="24"/>
          <w:lang w:val="es-ES_tradnl" w:eastAsia="es-ES_tradnl"/>
        </w:rPr>
        <w:t xml:space="preserve">) </w:t>
      </w:r>
      <w:r w:rsidRPr="00EF1D6C">
        <w:rPr>
          <w:rFonts w:ascii="Arial" w:eastAsia="Times New Roman" w:hAnsi="Arial" w:cs="Arial"/>
          <w:szCs w:val="24"/>
          <w:lang w:val="es-ES_tradnl" w:eastAsia="es-ES_tradnl"/>
        </w:rPr>
        <w:t>condiciones para la aplicación de los «acuerdos de niveles de servicio» en la contratación estatal.</w:t>
      </w:r>
    </w:p>
    <w:p w14:paraId="1563B19E" w14:textId="77777777" w:rsidR="00636121" w:rsidRPr="007B6CA5" w:rsidRDefault="00636121" w:rsidP="00636121">
      <w:pPr>
        <w:spacing w:before="120" w:after="0" w:line="276" w:lineRule="auto"/>
        <w:ind w:firstLine="709"/>
        <w:jc w:val="both"/>
        <w:rPr>
          <w:rFonts w:ascii="Arial" w:eastAsia="Times New Roman" w:hAnsi="Arial" w:cs="Arial"/>
          <w:szCs w:val="24"/>
          <w:lang w:val="es-ES_tradnl" w:eastAsia="es-ES_tradnl"/>
        </w:rPr>
      </w:pPr>
      <w:r w:rsidRPr="007B6CA5">
        <w:rPr>
          <w:rFonts w:ascii="Arial" w:eastAsia="Times New Roman" w:hAnsi="Arial" w:cs="Arial"/>
          <w:szCs w:val="24"/>
          <w:lang w:val="es-ES_tradnl" w:eastAsia="es-ES_tradnl"/>
        </w:rPr>
        <w:t xml:space="preserve">La Agencia Nacional de Contratación Pública – Colombia Compra Eficiente, en los conceptos C-147 del 17 de marzo de 2020, C-219 del 29 de abril de 2020, </w:t>
      </w:r>
      <w:r w:rsidRPr="007B6CA5">
        <w:rPr>
          <w:rFonts w:ascii="Arial" w:eastAsia="Times New Roman" w:hAnsi="Arial" w:cs="Arial"/>
          <w:iCs/>
          <w:color w:val="000000"/>
          <w:szCs w:val="24"/>
          <w:lang w:val="es-ES_tradnl" w:eastAsia="es-ES_tradnl"/>
        </w:rPr>
        <w:t>C-434 del 29 de julio de 2020, C-569 del 31 de agosto de 2020, C-641 del 4 de noviembre de 2020, C-060 del 8 de marzo de 2021</w:t>
      </w:r>
      <w:r>
        <w:rPr>
          <w:rFonts w:ascii="Arial" w:eastAsia="Times New Roman" w:hAnsi="Arial" w:cs="Arial"/>
          <w:iCs/>
          <w:color w:val="000000"/>
          <w:szCs w:val="24"/>
          <w:lang w:val="es-ES_tradnl" w:eastAsia="es-ES_tradnl"/>
        </w:rPr>
        <w:t xml:space="preserve">, </w:t>
      </w:r>
      <w:r w:rsidRPr="007B6CA5">
        <w:rPr>
          <w:rFonts w:ascii="Arial" w:eastAsia="Times New Roman" w:hAnsi="Arial" w:cs="Arial"/>
          <w:iCs/>
          <w:color w:val="000000"/>
          <w:szCs w:val="24"/>
          <w:lang w:val="es-ES_tradnl" w:eastAsia="es-ES_tradnl"/>
        </w:rPr>
        <w:t>C-528 del 5 de abril de 2021</w:t>
      </w:r>
      <w:r>
        <w:rPr>
          <w:rFonts w:ascii="Arial" w:eastAsia="Times New Roman" w:hAnsi="Arial" w:cs="Arial"/>
          <w:iCs/>
          <w:color w:val="000000"/>
          <w:szCs w:val="24"/>
          <w:lang w:val="es-ES_tradnl" w:eastAsia="es-ES_tradnl"/>
        </w:rPr>
        <w:t xml:space="preserve"> y C-040 del 2 de marzo de 2022</w:t>
      </w:r>
      <w:r w:rsidRPr="007B6CA5">
        <w:rPr>
          <w:rFonts w:ascii="Arial" w:eastAsia="Times New Roman" w:hAnsi="Arial" w:cs="Arial"/>
          <w:iCs/>
          <w:color w:val="000000"/>
          <w:szCs w:val="24"/>
          <w:lang w:val="es-ES_tradnl" w:eastAsia="es-ES_tradnl"/>
        </w:rPr>
        <w:t>,</w:t>
      </w:r>
      <w:r>
        <w:rPr>
          <w:rFonts w:ascii="Arial" w:eastAsia="Times New Roman" w:hAnsi="Arial" w:cs="Arial"/>
          <w:iCs/>
          <w:color w:val="000000"/>
          <w:szCs w:val="24"/>
          <w:lang w:val="es-ES_tradnl" w:eastAsia="es-ES_tradnl"/>
        </w:rPr>
        <w:t xml:space="preserve"> entre otros pronunciamientos,</w:t>
      </w:r>
      <w:r w:rsidRPr="007B6CA5">
        <w:rPr>
          <w:rFonts w:ascii="Arial" w:eastAsia="Times New Roman" w:hAnsi="Arial" w:cs="Arial"/>
          <w:szCs w:val="24"/>
          <w:lang w:val="es-ES_tradnl" w:eastAsia="es-ES_tradnl"/>
        </w:rPr>
        <w:t xml:space="preserve"> estudió la potestad sancionatoria de las entidades estatales y el procedimiento administrativo que deben efectuar para declarar el incumplimiento y aplicar las sanciones correspondientes, destacando la necesidad de garantizar el debido proceso. Las ideas expuestas en dichas oportunidades se reiteran a continuación, complementándolas </w:t>
      </w:r>
      <w:r>
        <w:rPr>
          <w:rFonts w:ascii="Arial" w:eastAsia="Times New Roman" w:hAnsi="Arial" w:cs="Arial"/>
          <w:szCs w:val="24"/>
          <w:lang w:val="es-ES_tradnl" w:eastAsia="es-ES_tradnl"/>
        </w:rPr>
        <w:t>con algunas consideraciones relativas a la consulta bajo análisis</w:t>
      </w:r>
      <w:r w:rsidRPr="007B6CA5">
        <w:rPr>
          <w:rFonts w:ascii="Arial" w:eastAsia="Times New Roman" w:hAnsi="Arial" w:cs="Arial"/>
          <w:szCs w:val="24"/>
          <w:lang w:val="es-ES_tradnl" w:eastAsia="es-ES_tradnl"/>
        </w:rPr>
        <w:t>.</w:t>
      </w:r>
    </w:p>
    <w:p w14:paraId="2CA1A509" w14:textId="77777777" w:rsidR="00636121" w:rsidRPr="007B6CA5" w:rsidRDefault="00636121" w:rsidP="00636121">
      <w:pPr>
        <w:spacing w:after="0" w:line="276" w:lineRule="auto"/>
        <w:jc w:val="both"/>
        <w:rPr>
          <w:rFonts w:ascii="Arial" w:eastAsia="Calibri" w:hAnsi="Arial" w:cs="Arial"/>
          <w:b/>
          <w:color w:val="000000"/>
          <w:szCs w:val="24"/>
          <w:lang w:val="es-ES_tradnl" w:eastAsia="es-ES_tradnl"/>
        </w:rPr>
      </w:pPr>
    </w:p>
    <w:p w14:paraId="50450B4E" w14:textId="77777777" w:rsidR="00636121" w:rsidRPr="007B6CA5" w:rsidRDefault="00636121" w:rsidP="00636121">
      <w:pPr>
        <w:spacing w:after="0" w:line="276" w:lineRule="auto"/>
        <w:jc w:val="both"/>
        <w:rPr>
          <w:rFonts w:ascii="Arial" w:eastAsia="Calibri" w:hAnsi="Arial" w:cs="Arial"/>
          <w:b/>
          <w:bCs/>
          <w:color w:val="000000"/>
          <w:szCs w:val="24"/>
          <w:lang w:val="es-ES_tradnl" w:eastAsia="es-ES_tradnl"/>
        </w:rPr>
      </w:pPr>
      <w:r w:rsidRPr="007B6CA5">
        <w:rPr>
          <w:rFonts w:ascii="Arial" w:eastAsia="Calibri" w:hAnsi="Arial" w:cs="Arial"/>
          <w:b/>
          <w:bCs/>
          <w:color w:val="000000"/>
          <w:szCs w:val="24"/>
          <w:lang w:val="es-ES_tradnl" w:eastAsia="es-ES_tradnl"/>
        </w:rPr>
        <w:t>2.1. Régimen sancionatorio en el Estatuto General de Contratación de la Administración Pública</w:t>
      </w:r>
    </w:p>
    <w:p w14:paraId="03CFA2A8" w14:textId="77777777" w:rsidR="00636121" w:rsidRPr="007B6CA5" w:rsidRDefault="00636121" w:rsidP="00636121">
      <w:pPr>
        <w:spacing w:after="0" w:line="276" w:lineRule="auto"/>
        <w:jc w:val="both"/>
        <w:rPr>
          <w:rFonts w:ascii="Arial" w:eastAsia="Calibri" w:hAnsi="Arial" w:cs="Arial"/>
          <w:b/>
          <w:bCs/>
          <w:color w:val="000000"/>
          <w:szCs w:val="24"/>
          <w:lang w:val="es-ES_tradnl" w:eastAsia="es-ES_tradnl"/>
        </w:rPr>
      </w:pPr>
    </w:p>
    <w:p w14:paraId="4F9FA90C" w14:textId="77777777" w:rsidR="00636121" w:rsidRPr="007B6CA5" w:rsidRDefault="00636121" w:rsidP="00636121">
      <w:pPr>
        <w:spacing w:after="0" w:line="276" w:lineRule="auto"/>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w:t>
      </w:r>
      <w:r w:rsidRPr="007B6CA5">
        <w:rPr>
          <w:rFonts w:ascii="Arial" w:eastAsia="Times New Roman" w:hAnsi="Arial" w:cs="Arial"/>
          <w:iCs/>
          <w:color w:val="000000"/>
          <w:szCs w:val="24"/>
          <w:lang w:val="es-ES_tradnl" w:eastAsia="es-ES_tradnl"/>
        </w:rPr>
        <w:lastRenderedPageBreak/>
        <w:t xml:space="preserve">terminación unilateral, la interpretación unilateral, la modificación unilateral, la caducidad y la reversión. Dichas prerrogativas se desarrollan en los artículos 15 a 19 </w:t>
      </w:r>
      <w:r w:rsidRPr="007B6CA5">
        <w:rPr>
          <w:rFonts w:ascii="Arial" w:eastAsia="Times New Roman" w:hAnsi="Arial" w:cs="Arial"/>
          <w:i/>
          <w:color w:val="000000"/>
          <w:szCs w:val="24"/>
          <w:lang w:val="es-ES_tradnl" w:eastAsia="es-ES_tradnl"/>
        </w:rPr>
        <w:t>ibidem</w:t>
      </w:r>
      <w:r w:rsidRPr="007B6CA5">
        <w:rPr>
          <w:rFonts w:ascii="Arial" w:eastAsia="Times New Roman" w:hAnsi="Arial" w:cs="Arial"/>
          <w:iCs/>
          <w:color w:val="000000"/>
          <w:szCs w:val="24"/>
          <w:lang w:val="es-ES_tradnl" w:eastAsia="es-ES_tradnl"/>
        </w:rPr>
        <w:t xml:space="preserve">. </w:t>
      </w:r>
      <w:proofErr w:type="spellStart"/>
      <w:r w:rsidRPr="007B6CA5">
        <w:rPr>
          <w:rFonts w:ascii="Arial" w:eastAsia="Times New Roman" w:hAnsi="Arial" w:cs="Arial"/>
          <w:iCs/>
          <w:color w:val="000000"/>
          <w:szCs w:val="24"/>
          <w:lang w:val="es-ES_tradnl" w:eastAsia="es-ES_tradnl"/>
        </w:rPr>
        <w:t>ii</w:t>
      </w:r>
      <w:proofErr w:type="spellEnd"/>
      <w:r w:rsidRPr="007B6CA5">
        <w:rPr>
          <w:rFonts w:ascii="Arial" w:eastAsia="Times New Roman" w:hAnsi="Arial" w:cs="Arial"/>
          <w:iCs/>
          <w:color w:val="000000"/>
          <w:szCs w:val="24"/>
          <w:lang w:val="es-ES_tradnl" w:eastAsia="es-ES_tradnl"/>
        </w:rPr>
        <w:t xml:space="preserve">)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7B6CA5">
        <w:rPr>
          <w:rFonts w:ascii="Arial" w:eastAsia="Times New Roman" w:hAnsi="Arial" w:cs="Arial"/>
          <w:iCs/>
          <w:color w:val="000000"/>
          <w:szCs w:val="24"/>
          <w:lang w:val="es-ES_tradnl" w:eastAsia="es-ES_tradnl"/>
        </w:rPr>
        <w:t>iii</w:t>
      </w:r>
      <w:proofErr w:type="spellEnd"/>
      <w:r w:rsidRPr="007B6CA5">
        <w:rPr>
          <w:rFonts w:ascii="Arial" w:eastAsia="Times New Roman" w:hAnsi="Arial" w:cs="Arial"/>
          <w:iCs/>
          <w:color w:val="000000"/>
          <w:szCs w:val="24"/>
          <w:lang w:val="es-ES_tradnl" w:eastAsia="es-ES_tradnl"/>
        </w:rPr>
        <w:t xml:space="preserve">) las cláusulas excepcionales de </w:t>
      </w:r>
      <w:r w:rsidRPr="007B6CA5">
        <w:rPr>
          <w:rFonts w:ascii="Arial" w:eastAsia="Times New Roman" w:hAnsi="Arial" w:cs="Arial"/>
          <w:i/>
          <w:color w:val="000000"/>
          <w:szCs w:val="24"/>
          <w:lang w:val="es-ES_tradnl" w:eastAsia="es-ES_tradnl"/>
        </w:rPr>
        <w:t>imposición unilateral</w:t>
      </w:r>
      <w:r w:rsidRPr="007B6CA5">
        <w:rPr>
          <w:rFonts w:ascii="Arial" w:eastAsia="Times New Roman" w:hAnsi="Arial" w:cs="Arial"/>
          <w:iCs/>
          <w:color w:val="000000"/>
          <w:szCs w:val="24"/>
          <w:lang w:val="es-ES_tradnl" w:eastAsia="es-ES_tradnl"/>
        </w:rPr>
        <w:t xml:space="preserve"> de las cláusulas penales y de multas –artículo 17 de la Ley 1150 de 2007–, aclarando que su exorbitancia se refiere a su imposición unilateral, no a su pacto, que es posible en virtud de las normas civiles y comerciales.</w:t>
      </w:r>
    </w:p>
    <w:p w14:paraId="3B251D08" w14:textId="77777777" w:rsidR="00636121" w:rsidRPr="007B6CA5" w:rsidRDefault="00636121" w:rsidP="00636121">
      <w:pPr>
        <w:spacing w:before="120" w:after="0" w:line="276" w:lineRule="auto"/>
        <w:ind w:firstLine="708"/>
        <w:jc w:val="both"/>
        <w:rPr>
          <w:rFonts w:ascii="Arial" w:eastAsia="Times New Roman" w:hAnsi="Arial" w:cs="Arial"/>
          <w:color w:val="000000"/>
          <w:lang w:val="es-ES" w:eastAsia="es-ES_tradnl"/>
        </w:rPr>
      </w:pPr>
      <w:r w:rsidRPr="007B6CA5">
        <w:rPr>
          <w:rFonts w:ascii="Arial" w:eastAsia="Times New Roman" w:hAnsi="Arial" w:cs="Arial"/>
          <w:color w:val="000000"/>
          <w:lang w:val="es-ES" w:eastAsia="es-ES_tradnl"/>
        </w:rPr>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7B6CA5">
        <w:rPr>
          <w:rFonts w:ascii="Arial" w:eastAsia="Calibri" w:hAnsi="Arial" w:cs="Arial"/>
          <w:color w:val="000000"/>
          <w:lang w:eastAsia="es-ES_tradnl"/>
        </w:rPr>
        <w:t>y los relacionados con el programa de alimentación escolar –según lo dispuso la modificación realizada por el artículo 52 de la Ley 2195 de 2022–</w:t>
      </w:r>
      <w:r w:rsidRPr="007B6CA5">
        <w:rPr>
          <w:rFonts w:ascii="Arial" w:eastAsia="Times New Roman" w:hAnsi="Arial" w:cs="Arial"/>
          <w:color w:val="000000"/>
          <w:lang w:val="es-ES" w:eastAsia="es-ES_tradnl"/>
        </w:rPr>
        <w:t>. En tales contratos, sin importar si se incorporaron o no dentro de estos, las exorbitancias se entienden incluidas por el ministerio de la ley, como lo dispone el artículo 14 de la Ley 80 de 1993.</w:t>
      </w:r>
    </w:p>
    <w:p w14:paraId="19D7966C" w14:textId="77777777" w:rsidR="00636121" w:rsidRPr="007B6CA5" w:rsidRDefault="00636121" w:rsidP="00636121">
      <w:pPr>
        <w:spacing w:before="120" w:after="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7EB270E4" w14:textId="77777777" w:rsidR="00636121" w:rsidRPr="007B6CA5" w:rsidRDefault="00636121" w:rsidP="00636121">
      <w:pPr>
        <w:spacing w:after="0" w:line="276" w:lineRule="auto"/>
        <w:jc w:val="both"/>
        <w:rPr>
          <w:rFonts w:ascii="Arial" w:eastAsia="Times New Roman" w:hAnsi="Arial" w:cs="Arial"/>
          <w:iCs/>
          <w:color w:val="000000"/>
          <w:szCs w:val="24"/>
          <w:lang w:val="es-ES_tradnl" w:eastAsia="es-ES_tradnl"/>
        </w:rPr>
      </w:pPr>
    </w:p>
    <w:p w14:paraId="1EA1DBDB" w14:textId="77777777" w:rsidR="00636121" w:rsidRPr="007B6CA5" w:rsidRDefault="00636121" w:rsidP="00636121">
      <w:pPr>
        <w:spacing w:after="0" w:line="240" w:lineRule="auto"/>
        <w:ind w:left="709" w:right="709"/>
        <w:jc w:val="both"/>
        <w:rPr>
          <w:rFonts w:ascii="Arial" w:eastAsia="Times New Roman" w:hAnsi="Arial" w:cs="Arial"/>
          <w:iCs/>
          <w:color w:val="000000"/>
          <w:sz w:val="21"/>
          <w:szCs w:val="21"/>
          <w:lang w:val="es-ES_tradnl" w:eastAsia="es-ES_tradnl"/>
        </w:rPr>
      </w:pPr>
      <w:r w:rsidRPr="007B6CA5">
        <w:rPr>
          <w:rFonts w:ascii="Arial" w:eastAsia="Times New Roman" w:hAnsi="Arial" w:cs="Arial"/>
          <w:iCs/>
          <w:color w:val="000000"/>
          <w:sz w:val="21"/>
          <w:szCs w:val="21"/>
          <w:lang w:val="es-ES_tradnl" w:eastAsia="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7B6CA5">
        <w:rPr>
          <w:rFonts w:ascii="Arial" w:eastAsia="Times New Roman" w:hAnsi="Arial" w:cs="Arial"/>
          <w:sz w:val="24"/>
          <w:szCs w:val="24"/>
          <w:vertAlign w:val="superscript"/>
          <w:lang w:eastAsia="es-ES_tradnl"/>
        </w:rPr>
        <w:footnoteReference w:id="2"/>
      </w:r>
      <w:r w:rsidRPr="007B6CA5">
        <w:rPr>
          <w:rFonts w:ascii="Arial" w:eastAsia="Times New Roman" w:hAnsi="Arial" w:cs="Arial"/>
          <w:iCs/>
          <w:color w:val="000000"/>
          <w:sz w:val="21"/>
          <w:szCs w:val="21"/>
          <w:lang w:val="es-ES_tradnl" w:eastAsia="es-ES_tradnl"/>
        </w:rPr>
        <w:t xml:space="preserve">. </w:t>
      </w:r>
    </w:p>
    <w:p w14:paraId="427C324E" w14:textId="77777777" w:rsidR="00636121" w:rsidRPr="007B6CA5" w:rsidRDefault="00636121" w:rsidP="00636121">
      <w:pPr>
        <w:spacing w:after="0" w:line="276" w:lineRule="auto"/>
        <w:jc w:val="both"/>
        <w:rPr>
          <w:rFonts w:ascii="Arial" w:eastAsia="Times New Roman" w:hAnsi="Arial" w:cs="Arial"/>
          <w:iCs/>
          <w:color w:val="000000"/>
          <w:szCs w:val="24"/>
          <w:lang w:val="es-ES_tradnl" w:eastAsia="es-ES_tradnl"/>
        </w:rPr>
      </w:pPr>
    </w:p>
    <w:p w14:paraId="31A2BAB2" w14:textId="77777777" w:rsidR="00636121" w:rsidRPr="007B6CA5" w:rsidRDefault="00636121" w:rsidP="00636121">
      <w:pPr>
        <w:spacing w:after="12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 xml:space="preserve">Las consecuencias jurídicas que se generan con la caducidad son: i) la terminación del contrato, </w:t>
      </w:r>
      <w:proofErr w:type="spellStart"/>
      <w:r w:rsidRPr="007B6CA5">
        <w:rPr>
          <w:rFonts w:ascii="Arial" w:eastAsia="Times New Roman" w:hAnsi="Arial" w:cs="Arial"/>
          <w:iCs/>
          <w:color w:val="000000"/>
          <w:szCs w:val="24"/>
          <w:lang w:val="es-ES_tradnl" w:eastAsia="es-ES_tradnl"/>
        </w:rPr>
        <w:t>ii</w:t>
      </w:r>
      <w:proofErr w:type="spellEnd"/>
      <w:r w:rsidRPr="007B6CA5">
        <w:rPr>
          <w:rFonts w:ascii="Arial" w:eastAsia="Times New Roman" w:hAnsi="Arial" w:cs="Arial"/>
          <w:iCs/>
          <w:color w:val="000000"/>
          <w:szCs w:val="24"/>
          <w:lang w:val="es-ES_tradnl" w:eastAsia="es-ES_tradnl"/>
        </w:rPr>
        <w:t xml:space="preserve">) la iniciación del trámite de liquidación bilateral –y unilateral, si fracasa la bilateral–, </w:t>
      </w:r>
      <w:proofErr w:type="spellStart"/>
      <w:r w:rsidRPr="007B6CA5">
        <w:rPr>
          <w:rFonts w:ascii="Arial" w:eastAsia="Times New Roman" w:hAnsi="Arial" w:cs="Arial"/>
          <w:iCs/>
          <w:color w:val="000000"/>
          <w:szCs w:val="24"/>
          <w:lang w:val="es-ES_tradnl" w:eastAsia="es-ES_tradnl"/>
        </w:rPr>
        <w:t>iii</w:t>
      </w:r>
      <w:proofErr w:type="spellEnd"/>
      <w:r w:rsidRPr="007B6CA5">
        <w:rPr>
          <w:rFonts w:ascii="Arial" w:eastAsia="Times New Roman" w:hAnsi="Arial" w:cs="Arial"/>
          <w:iCs/>
          <w:color w:val="000000"/>
          <w:szCs w:val="24"/>
          <w:lang w:val="es-ES_tradnl" w:eastAsia="es-ES_tradnl"/>
        </w:rPr>
        <w:t xml:space="preserve">) </w:t>
      </w:r>
      <w:r w:rsidRPr="007B6CA5">
        <w:rPr>
          <w:rFonts w:ascii="Arial" w:eastAsia="Times New Roman" w:hAnsi="Arial" w:cs="Arial"/>
          <w:iCs/>
          <w:color w:val="000000"/>
          <w:szCs w:val="24"/>
          <w:lang w:val="es-ES_tradnl" w:eastAsia="es-ES_tradnl"/>
        </w:rPr>
        <w:lastRenderedPageBreak/>
        <w:t xml:space="preserve">la inhabilidad sobreviniente por cinco años, </w:t>
      </w:r>
      <w:proofErr w:type="spellStart"/>
      <w:r w:rsidRPr="007B6CA5">
        <w:rPr>
          <w:rFonts w:ascii="Arial" w:eastAsia="Times New Roman" w:hAnsi="Arial" w:cs="Arial"/>
          <w:iCs/>
          <w:color w:val="000000"/>
          <w:szCs w:val="24"/>
          <w:lang w:val="es-ES_tradnl" w:eastAsia="es-ES_tradnl"/>
        </w:rPr>
        <w:t>iv</w:t>
      </w:r>
      <w:proofErr w:type="spellEnd"/>
      <w:r w:rsidRPr="007B6CA5">
        <w:rPr>
          <w:rFonts w:ascii="Arial" w:eastAsia="Times New Roman" w:hAnsi="Arial" w:cs="Arial"/>
          <w:iCs/>
          <w:color w:val="000000"/>
          <w:szCs w:val="24"/>
          <w:lang w:val="es-ES_tradnl" w:eastAsia="es-ES_tradnl"/>
        </w:rPr>
        <w:t>)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4AE108C5" w14:textId="77777777" w:rsidR="00636121" w:rsidRPr="007B6CA5" w:rsidRDefault="00636121" w:rsidP="00636121">
      <w:pPr>
        <w:spacing w:after="12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 xml:space="preserve">Los presupuestos para declarar la caducidad están establecidos en los artículos 14 y 18 de la Ley 80 de 1993. En primer lugar, el artículo 18 establece los siguientes requisitos para su procedencia: i) debe acreditarse el </w:t>
      </w:r>
      <w:r w:rsidRPr="007B6CA5">
        <w:rPr>
          <w:rFonts w:ascii="Arial" w:eastAsia="Times New Roman" w:hAnsi="Arial" w:cs="Arial"/>
          <w:i/>
          <w:color w:val="000000"/>
          <w:szCs w:val="24"/>
          <w:lang w:val="es-ES_tradnl" w:eastAsia="es-ES_tradnl"/>
        </w:rPr>
        <w:t>incumplimiento</w:t>
      </w:r>
      <w:r w:rsidRPr="007B6CA5">
        <w:rPr>
          <w:rFonts w:ascii="Arial" w:eastAsia="Times New Roman" w:hAnsi="Arial" w:cs="Arial"/>
          <w:iCs/>
          <w:color w:val="000000"/>
          <w:szCs w:val="24"/>
          <w:lang w:val="es-ES_tradnl" w:eastAsia="es-ES_tradnl"/>
        </w:rPr>
        <w:t xml:space="preserve"> de alguna o algunas de las obligaciones del contratista, con todos los elementos que configuran el «incumplimiento», </w:t>
      </w:r>
      <w:proofErr w:type="spellStart"/>
      <w:r w:rsidRPr="007B6CA5">
        <w:rPr>
          <w:rFonts w:ascii="Arial" w:eastAsia="Times New Roman" w:hAnsi="Arial" w:cs="Arial"/>
          <w:iCs/>
          <w:color w:val="000000"/>
          <w:szCs w:val="24"/>
          <w:lang w:val="es-ES_tradnl" w:eastAsia="es-ES_tradnl"/>
        </w:rPr>
        <w:t>ii</w:t>
      </w:r>
      <w:proofErr w:type="spellEnd"/>
      <w:r w:rsidRPr="007B6CA5">
        <w:rPr>
          <w:rFonts w:ascii="Arial" w:eastAsia="Times New Roman" w:hAnsi="Arial" w:cs="Arial"/>
          <w:iCs/>
          <w:color w:val="000000"/>
          <w:szCs w:val="24"/>
          <w:lang w:val="es-ES_tradnl" w:eastAsia="es-ES_tradnl"/>
        </w:rPr>
        <w:t xml:space="preserve">) dicho incumplimiento debe afectar de manera </w:t>
      </w:r>
      <w:r w:rsidRPr="007B6CA5">
        <w:rPr>
          <w:rFonts w:ascii="Arial" w:eastAsia="Times New Roman" w:hAnsi="Arial" w:cs="Arial"/>
          <w:i/>
          <w:color w:val="000000"/>
          <w:szCs w:val="24"/>
          <w:lang w:val="es-ES_tradnl" w:eastAsia="es-ES_tradnl"/>
        </w:rPr>
        <w:t xml:space="preserve">grave </w:t>
      </w:r>
      <w:r w:rsidRPr="007B6CA5">
        <w:rPr>
          <w:rFonts w:ascii="Arial" w:eastAsia="Times New Roman" w:hAnsi="Arial" w:cs="Arial"/>
          <w:iCs/>
          <w:color w:val="000000"/>
          <w:szCs w:val="24"/>
          <w:lang w:val="es-ES_tradnl" w:eastAsia="es-ES_tradnl"/>
        </w:rPr>
        <w:t xml:space="preserve">y </w:t>
      </w:r>
      <w:r w:rsidRPr="007B6CA5">
        <w:rPr>
          <w:rFonts w:ascii="Arial" w:eastAsia="Times New Roman" w:hAnsi="Arial" w:cs="Arial"/>
          <w:i/>
          <w:color w:val="000000"/>
          <w:szCs w:val="24"/>
          <w:lang w:val="es-ES_tradnl" w:eastAsia="es-ES_tradnl"/>
        </w:rPr>
        <w:t xml:space="preserve">directa </w:t>
      </w:r>
      <w:r w:rsidRPr="007B6CA5">
        <w:rPr>
          <w:rFonts w:ascii="Arial" w:eastAsia="Times New Roman" w:hAnsi="Arial" w:cs="Arial"/>
          <w:iCs/>
          <w:color w:val="000000"/>
          <w:szCs w:val="24"/>
          <w:lang w:val="es-ES_tradnl" w:eastAsia="es-ES_tradnl"/>
        </w:rPr>
        <w:t xml:space="preserve">la ejecución del contrato, y </w:t>
      </w:r>
      <w:proofErr w:type="spellStart"/>
      <w:r w:rsidRPr="007B6CA5">
        <w:rPr>
          <w:rFonts w:ascii="Arial" w:eastAsia="Times New Roman" w:hAnsi="Arial" w:cs="Arial"/>
          <w:iCs/>
          <w:color w:val="000000"/>
          <w:szCs w:val="24"/>
          <w:lang w:val="es-ES_tradnl" w:eastAsia="es-ES_tradnl"/>
        </w:rPr>
        <w:t>iii</w:t>
      </w:r>
      <w:proofErr w:type="spellEnd"/>
      <w:r w:rsidRPr="007B6CA5">
        <w:rPr>
          <w:rFonts w:ascii="Arial" w:eastAsia="Times New Roman" w:hAnsi="Arial" w:cs="Arial"/>
          <w:iCs/>
          <w:color w:val="000000"/>
          <w:szCs w:val="24"/>
          <w:lang w:val="es-ES_tradnl" w:eastAsia="es-ES_tradnl"/>
        </w:rPr>
        <w:t>)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361A39B2" w14:textId="77777777" w:rsidR="00636121" w:rsidRPr="007B6CA5" w:rsidRDefault="00636121" w:rsidP="00636121">
      <w:pPr>
        <w:spacing w:after="0" w:line="276" w:lineRule="auto"/>
        <w:ind w:firstLine="709"/>
        <w:jc w:val="both"/>
        <w:rPr>
          <w:rFonts w:ascii="Arial" w:eastAsia="Times New Roman" w:hAnsi="Arial" w:cs="Arial"/>
          <w:color w:val="000000"/>
          <w:lang w:val="es-ES" w:eastAsia="es-ES_tradnl"/>
        </w:rPr>
      </w:pPr>
      <w:r w:rsidRPr="007B6CA5">
        <w:rPr>
          <w:rFonts w:ascii="Arial" w:eastAsia="Times New Roman" w:hAnsi="Arial" w:cs="Arial"/>
          <w:color w:val="000000"/>
          <w:lang w:val="es-ES" w:eastAsia="es-ES_tradnl"/>
        </w:rPr>
        <w:t xml:space="preserve">Así, dentro de los requisitos de orden legal que deben cumplirse para decretar la caducidad no hay uno que exija a las entidades estatales imponer multas previas al contratista, como condición </w:t>
      </w:r>
      <w:r w:rsidRPr="007B6CA5">
        <w:rPr>
          <w:rFonts w:ascii="Arial" w:eastAsia="Times New Roman" w:hAnsi="Arial" w:cs="Arial"/>
          <w:i/>
          <w:iCs/>
          <w:color w:val="000000"/>
          <w:lang w:val="es-ES" w:eastAsia="es-ES_tradnl"/>
        </w:rPr>
        <w:t>sine qua non</w:t>
      </w:r>
      <w:r w:rsidRPr="007B6CA5">
        <w:rPr>
          <w:rFonts w:ascii="Arial" w:eastAsia="Times New Roman" w:hAnsi="Arial" w:cs="Arial"/>
          <w:color w:val="000000"/>
          <w:lang w:val="es-ES" w:eastAsia="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7B6CA5">
        <w:rPr>
          <w:rFonts w:ascii="Arial" w:eastAsia="Times New Roman" w:hAnsi="Arial" w:cs="Arial"/>
          <w:i/>
          <w:iCs/>
          <w:color w:val="000000"/>
          <w:lang w:val="es-ES" w:eastAsia="es-ES_tradnl"/>
        </w:rPr>
        <w:t>ipso facto</w:t>
      </w:r>
      <w:r w:rsidRPr="007B6CA5">
        <w:rPr>
          <w:rFonts w:ascii="Arial" w:eastAsia="Times New Roman" w:hAnsi="Arial" w:cs="Arial"/>
          <w:color w:val="000000"/>
          <w:lang w:val="es-ES" w:eastAsia="es-ES_tradnl"/>
        </w:rPr>
        <w:t>, es decir, sin que se evidencien antecedentes de incumplimientos parciales, el Estatuto General de Contratación de la Administración Pública permite decretar directamente esta cláusula excepcional, respetando el debido proceso.</w:t>
      </w:r>
    </w:p>
    <w:p w14:paraId="27242A1F" w14:textId="77777777" w:rsidR="00636121" w:rsidRPr="007B6CA5" w:rsidRDefault="00636121" w:rsidP="00636121">
      <w:pPr>
        <w:spacing w:before="120" w:after="0" w:line="276" w:lineRule="auto"/>
        <w:ind w:firstLine="708"/>
        <w:jc w:val="both"/>
        <w:rPr>
          <w:rFonts w:ascii="Arial" w:eastAsia="Times New Roman" w:hAnsi="Arial" w:cs="Arial"/>
          <w:color w:val="000000"/>
          <w:lang w:val="es-ES" w:eastAsia="es-ES_tradnl"/>
        </w:rPr>
      </w:pPr>
      <w:r w:rsidRPr="007B6CA5">
        <w:rPr>
          <w:rFonts w:ascii="Arial" w:eastAsia="Times New Roman" w:hAnsi="Arial" w:cs="Arial"/>
          <w:color w:val="000000"/>
          <w:lang w:val="es-ES" w:eastAsia="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7B6CA5">
        <w:rPr>
          <w:rFonts w:ascii="Arial" w:eastAsia="Times New Roman" w:hAnsi="Arial" w:cs="Arial"/>
          <w:i/>
          <w:iCs/>
          <w:color w:val="000000"/>
          <w:lang w:val="es-ES" w:eastAsia="es-ES_tradnl"/>
        </w:rPr>
        <w:t>sanción</w:t>
      </w:r>
      <w:r w:rsidRPr="007B6CA5">
        <w:rPr>
          <w:rFonts w:ascii="Arial" w:eastAsia="Times New Roman" w:hAnsi="Arial" w:cs="Arial"/>
          <w:color w:val="000000"/>
          <w:lang w:val="es-ES" w:eastAsia="es-ES_tradnl"/>
        </w:rPr>
        <w:t xml:space="preserve"> que solo procede «</w:t>
      </w:r>
      <w:r w:rsidRPr="007B6CA5">
        <w:rPr>
          <w:rFonts w:ascii="Arial" w:eastAsia="Times New Roman" w:hAnsi="Arial" w:cs="Arial"/>
          <w:lang w:val="es-ES" w:eastAsia="es-ES_tradnl"/>
        </w:rPr>
        <w:t xml:space="preserve">[…] </w:t>
      </w:r>
      <w:r w:rsidRPr="007B6CA5">
        <w:rPr>
          <w:rFonts w:ascii="Arial" w:eastAsia="Times New Roman" w:hAnsi="Arial" w:cs="Arial"/>
          <w:color w:val="000000"/>
          <w:lang w:val="es-ES" w:eastAsia="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w:t>
      </w:r>
      <w:proofErr w:type="spellStart"/>
      <w:r w:rsidRPr="007B6CA5">
        <w:rPr>
          <w:rFonts w:ascii="Arial" w:eastAsia="Times New Roman" w:hAnsi="Arial" w:cs="Arial"/>
          <w:color w:val="000000"/>
          <w:lang w:val="es-ES" w:eastAsia="es-ES_tradnl"/>
        </w:rPr>
        <w:t>ii</w:t>
      </w:r>
      <w:proofErr w:type="spellEnd"/>
      <w:r w:rsidRPr="007B6CA5">
        <w:rPr>
          <w:rFonts w:ascii="Arial" w:eastAsia="Times New Roman" w:hAnsi="Arial" w:cs="Arial"/>
          <w:color w:val="000000"/>
          <w:lang w:val="es-ES" w:eastAsia="es-ES_tradnl"/>
        </w:rPr>
        <w:t xml:space="preserve">) muerte </w:t>
      </w:r>
      <w:r w:rsidRPr="007B6CA5">
        <w:rPr>
          <w:rFonts w:ascii="Arial" w:eastAsia="Times New Roman" w:hAnsi="Arial" w:cs="Arial"/>
          <w:color w:val="000000"/>
          <w:lang w:val="es-ES" w:eastAsia="es-ES_tradnl"/>
        </w:rPr>
        <w:lastRenderedPageBreak/>
        <w:t xml:space="preserve">o incapacidad física permanente del contratista –persona natural– o disolución de la persona jurídica, </w:t>
      </w:r>
      <w:proofErr w:type="spellStart"/>
      <w:r w:rsidRPr="007B6CA5">
        <w:rPr>
          <w:rFonts w:ascii="Arial" w:eastAsia="Times New Roman" w:hAnsi="Arial" w:cs="Arial"/>
          <w:color w:val="000000"/>
          <w:lang w:val="es-ES" w:eastAsia="es-ES_tradnl"/>
        </w:rPr>
        <w:t>iii</w:t>
      </w:r>
      <w:proofErr w:type="spellEnd"/>
      <w:r w:rsidRPr="007B6CA5">
        <w:rPr>
          <w:rFonts w:ascii="Arial" w:eastAsia="Times New Roman" w:hAnsi="Arial" w:cs="Arial"/>
          <w:color w:val="000000"/>
          <w:lang w:val="es-ES" w:eastAsia="es-ES_tradnl"/>
        </w:rPr>
        <w:t xml:space="preserve">) interdicción judicial o declaratoria de quiebra del contratista y </w:t>
      </w:r>
      <w:proofErr w:type="spellStart"/>
      <w:r w:rsidRPr="007B6CA5">
        <w:rPr>
          <w:rFonts w:ascii="Arial" w:eastAsia="Times New Roman" w:hAnsi="Arial" w:cs="Arial"/>
          <w:color w:val="000000"/>
          <w:lang w:val="es-ES" w:eastAsia="es-ES_tradnl"/>
        </w:rPr>
        <w:t>iv</w:t>
      </w:r>
      <w:proofErr w:type="spellEnd"/>
      <w:r w:rsidRPr="007B6CA5">
        <w:rPr>
          <w:rFonts w:ascii="Arial" w:eastAsia="Times New Roman" w:hAnsi="Arial" w:cs="Arial"/>
          <w:color w:val="000000"/>
          <w:lang w:val="es-ES" w:eastAsia="es-ES_tradnl"/>
        </w:rPr>
        <w:t>) cesación de pagos, concurso de acreedores o embargos judiciales del contratista, que afecten gravemente la ejecución del contrato.</w:t>
      </w:r>
    </w:p>
    <w:p w14:paraId="3170B38A" w14:textId="77777777" w:rsidR="00636121" w:rsidRPr="007B6CA5" w:rsidRDefault="00636121" w:rsidP="00636121">
      <w:pPr>
        <w:spacing w:before="120" w:after="0" w:line="276" w:lineRule="auto"/>
        <w:ind w:firstLine="708"/>
        <w:jc w:val="both"/>
        <w:rPr>
          <w:rFonts w:ascii="Arial" w:eastAsia="Times New Roman" w:hAnsi="Arial" w:cs="Arial"/>
          <w:color w:val="000000"/>
          <w:lang w:val="es-ES" w:eastAsia="es-ES_tradnl"/>
        </w:rPr>
      </w:pPr>
      <w:r w:rsidRPr="007B6CA5">
        <w:rPr>
          <w:rFonts w:ascii="Arial" w:eastAsia="Times New Roman" w:hAnsi="Arial" w:cs="Arial"/>
          <w:color w:val="000000"/>
          <w:lang w:val="es-ES" w:eastAsia="es-ES_tradnl"/>
        </w:rPr>
        <w:t xml:space="preserve">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w:t>
      </w:r>
      <w:proofErr w:type="spellStart"/>
      <w:r w:rsidRPr="007B6CA5">
        <w:rPr>
          <w:rFonts w:ascii="Arial" w:eastAsia="Times New Roman" w:hAnsi="Arial" w:cs="Arial"/>
          <w:color w:val="000000"/>
          <w:lang w:val="es-ES" w:eastAsia="es-ES_tradnl"/>
        </w:rPr>
        <w:t>ii</w:t>
      </w:r>
      <w:proofErr w:type="spellEnd"/>
      <w:r w:rsidRPr="007B6CA5">
        <w:rPr>
          <w:rFonts w:ascii="Arial" w:eastAsia="Times New Roman" w:hAnsi="Arial" w:cs="Arial"/>
          <w:color w:val="000000"/>
          <w:lang w:val="es-ES" w:eastAsia="es-ES_tradnl"/>
        </w:rPr>
        <w:t xml:space="preserve">) cuando el contrato se haya perfeccionado contraviniendo una prohibición legal o con desviación de poder y </w:t>
      </w:r>
      <w:proofErr w:type="spellStart"/>
      <w:r w:rsidRPr="007B6CA5">
        <w:rPr>
          <w:rFonts w:ascii="Arial" w:eastAsia="Times New Roman" w:hAnsi="Arial" w:cs="Arial"/>
          <w:color w:val="000000"/>
          <w:lang w:val="es-ES" w:eastAsia="es-ES_tradnl"/>
        </w:rPr>
        <w:t>iii</w:t>
      </w:r>
      <w:proofErr w:type="spellEnd"/>
      <w:r w:rsidRPr="007B6CA5">
        <w:rPr>
          <w:rFonts w:ascii="Arial" w:eastAsia="Times New Roman" w:hAnsi="Arial" w:cs="Arial"/>
          <w:color w:val="000000"/>
          <w:lang w:val="es-ES" w:eastAsia="es-ES_tradnl"/>
        </w:rPr>
        <w:t>) cuando se declare la nulidad de los actos administrativos en los que se fundamente la celebración del contrato.</w:t>
      </w:r>
    </w:p>
    <w:p w14:paraId="4BA48B86" w14:textId="77777777" w:rsidR="00636121" w:rsidRPr="007B6CA5" w:rsidRDefault="00636121" w:rsidP="00636121">
      <w:pPr>
        <w:spacing w:before="120" w:after="0" w:line="276" w:lineRule="auto"/>
        <w:ind w:firstLine="709"/>
        <w:jc w:val="both"/>
        <w:rPr>
          <w:rFonts w:ascii="Arial" w:eastAsia="Times New Roman" w:hAnsi="Arial" w:cs="Arial"/>
          <w:iCs/>
          <w:color w:val="000000"/>
          <w:lang w:val="es-ES_tradnl" w:eastAsia="es-ES_tradnl"/>
        </w:rPr>
      </w:pPr>
      <w:r w:rsidRPr="007B6CA5">
        <w:rPr>
          <w:rFonts w:ascii="Arial" w:eastAsia="Times New Roman" w:hAnsi="Arial" w:cs="Arial"/>
          <w:iCs/>
          <w:color w:val="000000"/>
          <w:lang w:val="es-ES_tradnl" w:eastAsia="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w:t>
      </w:r>
      <w:proofErr w:type="gramStart"/>
      <w:r w:rsidRPr="007B6CA5">
        <w:rPr>
          <w:rFonts w:ascii="Arial" w:eastAsia="Times New Roman" w:hAnsi="Arial" w:cs="Arial"/>
          <w:iCs/>
          <w:color w:val="000000"/>
          <w:lang w:val="es-ES_tradnl" w:eastAsia="es-ES_tradnl"/>
        </w:rPr>
        <w:t>le</w:t>
      </w:r>
      <w:proofErr w:type="gramEnd"/>
      <w:r w:rsidRPr="007B6CA5">
        <w:rPr>
          <w:rFonts w:ascii="Arial" w:eastAsia="Times New Roman" w:hAnsi="Arial" w:cs="Arial"/>
          <w:iCs/>
          <w:color w:val="000000"/>
          <w:lang w:val="es-ES_tradnl" w:eastAsia="es-ES_tradnl"/>
        </w:rPr>
        <w:t xml:space="preserv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02897E15" w14:textId="77777777" w:rsidR="00636121" w:rsidRPr="007B6CA5" w:rsidRDefault="00636121" w:rsidP="00636121">
      <w:pPr>
        <w:spacing w:before="120" w:after="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lang w:val="es-ES_tradnl" w:eastAsia="es-ES_tradnl"/>
        </w:rPr>
        <w:t>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7B6CA5">
        <w:rPr>
          <w:rFonts w:ascii="Arial" w:eastAsia="Times New Roman" w:hAnsi="Arial" w:cs="Arial"/>
          <w:lang w:val="es-ES_tradnl" w:eastAsia="es-ES_tradnl"/>
        </w:rPr>
        <w:t xml:space="preserve">[…] </w:t>
      </w:r>
      <w:r w:rsidRPr="007B6CA5">
        <w:rPr>
          <w:rFonts w:ascii="Arial" w:eastAsia="Times New Roman" w:hAnsi="Arial" w:cs="Arial"/>
          <w:iCs/>
          <w:color w:val="000000"/>
          <w:lang w:val="es-ES_tradnl" w:eastAsia="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7B6CA5">
        <w:rPr>
          <w:rFonts w:ascii="Arial" w:eastAsia="Times New Roman" w:hAnsi="Arial" w:cs="Arial"/>
          <w:iCs/>
          <w:color w:val="000000"/>
          <w:szCs w:val="24"/>
          <w:lang w:val="es-ES_tradnl" w:eastAsia="es-ES_tradnl"/>
        </w:rPr>
        <w:t xml:space="preserve"> </w:t>
      </w:r>
    </w:p>
    <w:p w14:paraId="6FB69C68" w14:textId="77777777" w:rsidR="00636121" w:rsidRPr="007B6CA5" w:rsidRDefault="00636121" w:rsidP="00636121">
      <w:pPr>
        <w:spacing w:before="120" w:after="120" w:line="276" w:lineRule="auto"/>
        <w:ind w:firstLine="709"/>
        <w:jc w:val="both"/>
        <w:rPr>
          <w:rFonts w:ascii="Arial" w:eastAsia="Times New Roman" w:hAnsi="Arial" w:cs="Arial"/>
          <w:color w:val="000000"/>
          <w:lang w:val="es-ES" w:eastAsia="es-ES_tradnl"/>
        </w:rPr>
      </w:pPr>
      <w:r w:rsidRPr="007B6CA5">
        <w:rPr>
          <w:rFonts w:ascii="Arial" w:eastAsia="Times New Roman" w:hAnsi="Arial" w:cs="Arial"/>
          <w:color w:val="000000"/>
          <w:lang w:val="es-ES" w:eastAsia="es-ES_tradnl"/>
        </w:rPr>
        <w:t xml:space="preserve">El último grupo de potestades excepcionales –imposición unilateral de la multa o la cláusula penal–, por el contrario, cuentan con una particular combinación entre el principio de legalidad y la autonomía de la voluntad, de tal suerte que si bien el legislador autorizó a las </w:t>
      </w:r>
      <w:r w:rsidRPr="007B6CA5">
        <w:rPr>
          <w:rFonts w:ascii="Arial" w:eastAsia="Times New Roman" w:hAnsi="Arial" w:cs="Arial"/>
          <w:color w:val="000000"/>
          <w:lang w:val="es-ES" w:eastAsia="es-ES_tradnl"/>
        </w:rPr>
        <w:lastRenderedPageBreak/>
        <w:t>entidades para declarar el incumplimiento con la intención de multar al contratista para conminarlo al cumplimiento o para hacer efectiva la cláusula penal, es indispensable que uno u otro caso se hayan pactado en el contrato</w:t>
      </w:r>
      <w:r w:rsidRPr="007B6CA5">
        <w:rPr>
          <w:rFonts w:ascii="Arial" w:eastAsia="Times New Roman" w:hAnsi="Arial" w:cs="Arial"/>
          <w:sz w:val="24"/>
          <w:szCs w:val="24"/>
          <w:vertAlign w:val="superscript"/>
          <w:lang w:eastAsia="es-ES_tradnl"/>
        </w:rPr>
        <w:footnoteReference w:id="3"/>
      </w:r>
      <w:r w:rsidRPr="007B6CA5">
        <w:rPr>
          <w:rFonts w:ascii="Arial" w:eastAsia="Times New Roman" w:hAnsi="Arial" w:cs="Arial"/>
          <w:color w:val="000000"/>
          <w:lang w:val="es-ES" w:eastAsia="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B9B2523" w14:textId="77777777" w:rsidR="00636121" w:rsidRPr="007B6CA5" w:rsidRDefault="00636121" w:rsidP="00636121">
      <w:pPr>
        <w:spacing w:before="120" w:after="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19EC9B17" w14:textId="77777777" w:rsidR="00636121" w:rsidRPr="007B6CA5" w:rsidRDefault="00636121" w:rsidP="00636121">
      <w:pPr>
        <w:spacing w:after="0" w:line="276" w:lineRule="auto"/>
        <w:ind w:left="720" w:right="-425"/>
        <w:contextualSpacing/>
        <w:jc w:val="both"/>
        <w:rPr>
          <w:rFonts w:ascii="Arial" w:eastAsia="Calibri" w:hAnsi="Arial" w:cs="Arial"/>
          <w:iCs/>
          <w:color w:val="000000"/>
          <w:lang w:val="es-ES_tradnl"/>
        </w:rPr>
      </w:pPr>
    </w:p>
    <w:p w14:paraId="25067FFF"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r w:rsidRPr="007B6CA5">
        <w:rPr>
          <w:rFonts w:ascii="Arial" w:eastAsia="Calibri" w:hAnsi="Arial" w:cs="Arial"/>
          <w:iCs/>
          <w:color w:val="000000"/>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7B6CA5">
        <w:rPr>
          <w:rFonts w:ascii="Arial" w:eastAsia="Calibri" w:hAnsi="Arial" w:cs="Arial"/>
          <w:sz w:val="24"/>
          <w:vertAlign w:val="superscript"/>
          <w:lang w:val="es-MX"/>
        </w:rPr>
        <w:footnoteReference w:id="4"/>
      </w:r>
      <w:r w:rsidRPr="007B6CA5">
        <w:rPr>
          <w:rFonts w:ascii="Arial" w:eastAsia="Calibri" w:hAnsi="Arial" w:cs="Arial"/>
          <w:iCs/>
          <w:color w:val="000000"/>
          <w:sz w:val="21"/>
          <w:szCs w:val="21"/>
          <w:lang w:val="es-ES_tradnl"/>
        </w:rPr>
        <w:t xml:space="preserve">. </w:t>
      </w:r>
    </w:p>
    <w:p w14:paraId="05692DC9" w14:textId="77777777" w:rsidR="00636121" w:rsidRPr="007B6CA5" w:rsidRDefault="00636121" w:rsidP="00636121">
      <w:pPr>
        <w:spacing w:after="0" w:line="240" w:lineRule="auto"/>
        <w:ind w:left="709" w:right="758"/>
        <w:jc w:val="both"/>
        <w:rPr>
          <w:rFonts w:ascii="Arial" w:eastAsia="Times New Roman" w:hAnsi="Arial" w:cs="Arial"/>
          <w:iCs/>
          <w:color w:val="000000"/>
          <w:sz w:val="21"/>
          <w:szCs w:val="21"/>
          <w:lang w:val="es-ES_tradnl" w:eastAsia="es-ES_tradnl"/>
        </w:rPr>
      </w:pPr>
    </w:p>
    <w:p w14:paraId="2F0E2AD3" w14:textId="77777777" w:rsidR="00636121" w:rsidRPr="007B6CA5" w:rsidRDefault="00636121" w:rsidP="00636121">
      <w:pPr>
        <w:spacing w:after="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7B6CA5">
        <w:rPr>
          <w:rFonts w:ascii="Arial" w:eastAsia="Times New Roman" w:hAnsi="Arial" w:cs="Arial"/>
          <w:sz w:val="24"/>
          <w:szCs w:val="24"/>
          <w:vertAlign w:val="superscript"/>
          <w:lang w:eastAsia="es-ES_tradnl"/>
        </w:rPr>
        <w:footnoteReference w:id="5"/>
      </w:r>
      <w:r w:rsidRPr="007B6CA5">
        <w:rPr>
          <w:rFonts w:ascii="Arial" w:eastAsia="Times New Roman" w:hAnsi="Arial" w:cs="Arial"/>
          <w:iCs/>
          <w:color w:val="000000"/>
          <w:szCs w:val="24"/>
          <w:lang w:val="es-ES_tradnl" w:eastAsia="es-ES_tradnl"/>
        </w:rPr>
        <w:t>. De otro lado, la Corte Constitucional</w:t>
      </w:r>
      <w:r w:rsidRPr="007B6CA5">
        <w:rPr>
          <w:rFonts w:ascii="Arial" w:eastAsia="Times New Roman" w:hAnsi="Arial" w:cs="Arial"/>
          <w:sz w:val="24"/>
          <w:szCs w:val="24"/>
          <w:vertAlign w:val="superscript"/>
          <w:lang w:eastAsia="es-ES_tradnl"/>
        </w:rPr>
        <w:footnoteReference w:id="6"/>
      </w:r>
      <w:r w:rsidRPr="007B6CA5">
        <w:rPr>
          <w:rFonts w:ascii="Arial" w:eastAsia="Times New Roman" w:hAnsi="Arial" w:cs="Arial"/>
          <w:iCs/>
          <w:color w:val="000000"/>
          <w:szCs w:val="24"/>
          <w:lang w:val="es-ES_tradnl" w:eastAsia="es-ES_tradnl"/>
        </w:rPr>
        <w:t xml:space="preserve"> precisó que la tipicidad hacía referencia a «la exigencia de descripción específica y precisa por la norma creadora de las infracciones y de las sanciones, de las conductas que pueden ser sancionadas y del contenido material de las </w:t>
      </w:r>
      <w:r w:rsidRPr="007B6CA5">
        <w:rPr>
          <w:rFonts w:ascii="Arial" w:eastAsia="Times New Roman" w:hAnsi="Arial" w:cs="Arial"/>
          <w:iCs/>
          <w:color w:val="000000"/>
          <w:szCs w:val="24"/>
          <w:lang w:val="es-ES_tradnl" w:eastAsia="es-ES_tradnl"/>
        </w:rPr>
        <w:lastRenderedPageBreak/>
        <w:t xml:space="preserve">sanciones que puede imponerse por la comisión de cada conducta, así como la correlación entre unas y otras». </w:t>
      </w:r>
    </w:p>
    <w:p w14:paraId="4D8D99F9" w14:textId="77777777" w:rsidR="00636121" w:rsidRPr="007B6CA5" w:rsidRDefault="00636121" w:rsidP="00636121">
      <w:pPr>
        <w:spacing w:before="120" w:after="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7B6CA5">
        <w:rPr>
          <w:rFonts w:ascii="Arial" w:eastAsia="Times New Roman" w:hAnsi="Arial" w:cs="Arial"/>
          <w:sz w:val="24"/>
          <w:szCs w:val="24"/>
          <w:vertAlign w:val="superscript"/>
          <w:lang w:eastAsia="es-ES_tradnl"/>
        </w:rPr>
        <w:footnoteReference w:id="7"/>
      </w:r>
      <w:r w:rsidRPr="007B6CA5">
        <w:rPr>
          <w:rFonts w:ascii="Arial" w:eastAsia="Times New Roman" w:hAnsi="Arial" w:cs="Arial"/>
          <w:iCs/>
          <w:color w:val="000000"/>
          <w:szCs w:val="24"/>
          <w:lang w:val="es-ES_tradnl" w:eastAsia="es-ES_tradnl"/>
        </w:rPr>
        <w:t>, en relación con las diferencias entre las multas y la cláusula penal, esto es: «[a]</w:t>
      </w:r>
      <w:proofErr w:type="spellStart"/>
      <w:r w:rsidRPr="007B6CA5">
        <w:rPr>
          <w:rFonts w:ascii="Arial" w:eastAsia="Times New Roman" w:hAnsi="Arial" w:cs="Arial"/>
          <w:iCs/>
          <w:color w:val="000000"/>
          <w:szCs w:val="24"/>
          <w:lang w:val="es-ES_tradnl" w:eastAsia="es-ES_tradnl"/>
        </w:rPr>
        <w:t>unque</w:t>
      </w:r>
      <w:proofErr w:type="spellEnd"/>
      <w:r w:rsidRPr="007B6CA5">
        <w:rPr>
          <w:rFonts w:ascii="Arial" w:eastAsia="Times New Roman" w:hAnsi="Arial" w:cs="Arial"/>
          <w:iCs/>
          <w:color w:val="000000"/>
          <w:szCs w:val="24"/>
          <w:lang w:val="es-ES_tradnl" w:eastAsia="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7B6CA5">
        <w:rPr>
          <w:rFonts w:ascii="Arial" w:eastAsia="Times New Roman" w:hAnsi="Arial" w:cs="Arial"/>
          <w:sz w:val="24"/>
          <w:szCs w:val="24"/>
          <w:vertAlign w:val="superscript"/>
          <w:lang w:eastAsia="es-ES_tradnl"/>
        </w:rPr>
        <w:footnoteReference w:id="8"/>
      </w:r>
      <w:r w:rsidRPr="007B6CA5">
        <w:rPr>
          <w:rFonts w:ascii="Arial" w:eastAsia="Times New Roman" w:hAnsi="Arial" w:cs="Arial"/>
          <w:iCs/>
          <w:color w:val="000000"/>
          <w:szCs w:val="24"/>
          <w:lang w:val="es-ES_tradnl" w:eastAsia="es-ES_tradnl"/>
        </w:rPr>
        <w:t>.</w:t>
      </w:r>
    </w:p>
    <w:p w14:paraId="4C58BD93" w14:textId="77777777" w:rsidR="00636121" w:rsidRPr="007B6CA5" w:rsidRDefault="00636121" w:rsidP="00636121">
      <w:pPr>
        <w:spacing w:before="120" w:after="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color w:val="000000"/>
          <w:lang w:val="es-ES" w:eastAsia="es-ES_tradnl"/>
        </w:rPr>
        <w:t xml:space="preserve">Estudiadas las cláusulas excepcionales de caducidad y terminación unilateral, así como la potestad de </w:t>
      </w:r>
      <w:r w:rsidRPr="007B6CA5">
        <w:rPr>
          <w:rFonts w:ascii="Arial" w:eastAsia="Times New Roman" w:hAnsi="Arial" w:cs="Arial"/>
          <w:i/>
          <w:iCs/>
          <w:color w:val="000000"/>
          <w:lang w:val="es-ES" w:eastAsia="es-ES_tradnl"/>
        </w:rPr>
        <w:t xml:space="preserve">imposición unilateral </w:t>
      </w:r>
      <w:r w:rsidRPr="007B6CA5">
        <w:rPr>
          <w:rFonts w:ascii="Arial" w:eastAsia="Times New Roman" w:hAnsi="Arial" w:cs="Arial"/>
          <w:color w:val="000000"/>
          <w:lang w:val="es-ES" w:eastAsia="es-ES_tradnl"/>
        </w:rPr>
        <w:t>de multas y la cláusula penal, corresponde analizar algunos aspectos del procedimiento administrativo sancionatorio contractual establecido en el artículo 86 de la Ley 1474 de 2011, con la finalidad de resolver la consulta.</w:t>
      </w:r>
    </w:p>
    <w:p w14:paraId="036D7B42" w14:textId="77777777" w:rsidR="00636121" w:rsidRPr="007B6CA5" w:rsidRDefault="00636121" w:rsidP="00636121">
      <w:pPr>
        <w:spacing w:after="0" w:line="276" w:lineRule="auto"/>
        <w:jc w:val="both"/>
        <w:rPr>
          <w:rFonts w:ascii="Arial" w:eastAsia="Times New Roman" w:hAnsi="Arial" w:cs="Arial"/>
          <w:b/>
          <w:bCs/>
          <w:color w:val="000000"/>
          <w:lang w:val="es-ES" w:eastAsia="es-ES_tradnl"/>
        </w:rPr>
      </w:pPr>
    </w:p>
    <w:p w14:paraId="1A1E5810" w14:textId="77777777" w:rsidR="00636121" w:rsidRPr="007B6CA5" w:rsidRDefault="00636121" w:rsidP="00636121">
      <w:pPr>
        <w:spacing w:after="0" w:line="276" w:lineRule="auto"/>
        <w:jc w:val="both"/>
        <w:rPr>
          <w:rFonts w:ascii="Arial" w:eastAsia="Times New Roman" w:hAnsi="Arial" w:cs="Arial"/>
          <w:b/>
          <w:bCs/>
          <w:iCs/>
          <w:color w:val="000000"/>
          <w:szCs w:val="24"/>
          <w:lang w:val="es-ES_tradnl" w:eastAsia="es-ES_tradnl"/>
        </w:rPr>
      </w:pPr>
      <w:r w:rsidRPr="007B6CA5">
        <w:rPr>
          <w:rFonts w:ascii="Arial" w:eastAsia="Times New Roman" w:hAnsi="Arial" w:cs="Arial"/>
          <w:b/>
          <w:bCs/>
          <w:iCs/>
          <w:color w:val="000000"/>
          <w:szCs w:val="24"/>
          <w:lang w:val="es-ES_tradnl" w:eastAsia="es-ES_tradnl"/>
        </w:rPr>
        <w:t>2.2. Procedimiento administrativo sancionatorio contractual: artículo 86 de la Ley 1474 de 2011</w:t>
      </w:r>
    </w:p>
    <w:p w14:paraId="1925236C" w14:textId="77777777" w:rsidR="00636121" w:rsidRPr="007B6CA5" w:rsidRDefault="00636121" w:rsidP="00636121">
      <w:pPr>
        <w:spacing w:after="0" w:line="276" w:lineRule="auto"/>
        <w:ind w:firstLine="709"/>
        <w:jc w:val="both"/>
        <w:rPr>
          <w:rFonts w:ascii="Arial" w:eastAsia="Times New Roman" w:hAnsi="Arial" w:cs="Arial"/>
          <w:b/>
          <w:bCs/>
          <w:iCs/>
          <w:color w:val="000000"/>
          <w:szCs w:val="24"/>
          <w:lang w:val="es-ES_tradnl" w:eastAsia="es-ES_tradnl"/>
        </w:rPr>
      </w:pPr>
    </w:p>
    <w:p w14:paraId="40CCB642" w14:textId="77777777" w:rsidR="00636121" w:rsidRPr="007B6CA5" w:rsidRDefault="00636121" w:rsidP="00636121">
      <w:pPr>
        <w:spacing w:after="120" w:line="276" w:lineRule="auto"/>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0878DB85" w14:textId="77777777" w:rsidR="00636121" w:rsidRPr="007B6CA5" w:rsidRDefault="00636121" w:rsidP="00636121">
      <w:pPr>
        <w:spacing w:after="12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7B6CA5">
        <w:rPr>
          <w:rFonts w:ascii="Arial" w:eastAsia="Times New Roman" w:hAnsi="Arial" w:cs="Arial"/>
          <w:sz w:val="24"/>
          <w:szCs w:val="24"/>
          <w:vertAlign w:val="superscript"/>
          <w:lang w:eastAsia="es-ES_tradnl"/>
        </w:rPr>
        <w:footnoteReference w:id="9"/>
      </w:r>
      <w:r w:rsidRPr="007B6CA5">
        <w:rPr>
          <w:rFonts w:ascii="Arial" w:eastAsia="Times New Roman" w:hAnsi="Arial" w:cs="Arial"/>
          <w:iCs/>
          <w:color w:val="000000"/>
          <w:szCs w:val="24"/>
          <w:lang w:val="es-ES_tradnl" w:eastAsia="es-ES_tradnl"/>
        </w:rPr>
        <w:t xml:space="preserve">. A la misma conclusión se llega si se tiene en consideración </w:t>
      </w:r>
      <w:r w:rsidRPr="007B6CA5">
        <w:rPr>
          <w:rFonts w:ascii="Arial" w:eastAsia="Times New Roman" w:hAnsi="Arial" w:cs="Arial"/>
          <w:iCs/>
          <w:color w:val="000000"/>
          <w:szCs w:val="24"/>
          <w:lang w:val="es-ES_tradnl" w:eastAsia="es-ES_tradnl"/>
        </w:rPr>
        <w:lastRenderedPageBreak/>
        <w:t xml:space="preserve">la necesidad de respetar el debido proceso en «todas las actuaciones administrativas» como lo ordena el artículo 29 superior. </w:t>
      </w:r>
    </w:p>
    <w:p w14:paraId="1F8A331E" w14:textId="77777777" w:rsidR="00636121" w:rsidRPr="007B6CA5" w:rsidRDefault="00636121" w:rsidP="00636121">
      <w:pPr>
        <w:spacing w:after="120" w:line="276" w:lineRule="auto"/>
        <w:ind w:firstLine="709"/>
        <w:jc w:val="both"/>
        <w:rPr>
          <w:rFonts w:ascii="Arial" w:eastAsia="Times New Roman" w:hAnsi="Arial" w:cs="Arial"/>
          <w:iCs/>
          <w:color w:val="000000"/>
          <w:szCs w:val="24"/>
          <w:lang w:val="es-ES_tradnl" w:eastAsia="es-ES_tradnl"/>
        </w:rPr>
      </w:pPr>
      <w:r w:rsidRPr="007B6CA5">
        <w:rPr>
          <w:rFonts w:ascii="Arial" w:eastAsia="Times New Roman" w:hAnsi="Arial" w:cs="Arial"/>
          <w:iCs/>
          <w:color w:val="000000"/>
          <w:szCs w:val="24"/>
          <w:lang w:val="es-ES_tradnl" w:eastAsia="es-ES_tradnl"/>
        </w:rPr>
        <w:t>De conformidad con lo anterior, el artículo 86 de la Ley 1474 de 2011 establece las etapas del procedimiento que se deben seguir, las cuales se sintetizan, de forma esquemática, así:  i) c</w:t>
      </w:r>
      <w:r w:rsidRPr="007B6CA5">
        <w:rPr>
          <w:rFonts w:ascii="Arial" w:eastAsia="Times New Roman" w:hAnsi="Arial" w:cs="Arial"/>
          <w:i/>
          <w:iCs/>
          <w:color w:val="000000"/>
          <w:szCs w:val="24"/>
          <w:lang w:val="es-ES_tradnl" w:eastAsia="es-ES_tradnl"/>
        </w:rPr>
        <w:t>itación a audiencia</w:t>
      </w:r>
      <w:r w:rsidRPr="007B6CA5">
        <w:rPr>
          <w:rFonts w:ascii="Arial" w:eastAsia="Times New Roman" w:hAnsi="Arial" w:cs="Arial"/>
          <w:iCs/>
          <w:color w:val="000000"/>
          <w:szCs w:val="24"/>
          <w:lang w:val="es-ES_tradnl" w:eastAsia="es-ES_tradnl"/>
        </w:rPr>
        <w:t xml:space="preserve">. Es necesario remitir una citación a audiencia al contratista y al garante –cuando proceda–, cuyo contenido de señalará más adelante. </w:t>
      </w:r>
      <w:proofErr w:type="spellStart"/>
      <w:r w:rsidRPr="007B6CA5">
        <w:rPr>
          <w:rFonts w:ascii="Arial" w:eastAsia="Times New Roman" w:hAnsi="Arial" w:cs="Arial"/>
          <w:iCs/>
          <w:color w:val="000000"/>
          <w:szCs w:val="24"/>
          <w:lang w:val="es-ES_tradnl" w:eastAsia="es-ES_tradnl"/>
        </w:rPr>
        <w:t>ii</w:t>
      </w:r>
      <w:proofErr w:type="spellEnd"/>
      <w:r w:rsidRPr="007B6CA5">
        <w:rPr>
          <w:rFonts w:ascii="Arial" w:eastAsia="Times New Roman" w:hAnsi="Arial" w:cs="Arial"/>
          <w:iCs/>
          <w:color w:val="000000"/>
          <w:szCs w:val="24"/>
          <w:lang w:val="es-ES_tradnl" w:eastAsia="es-ES_tradnl"/>
        </w:rPr>
        <w:t xml:space="preserve">) </w:t>
      </w:r>
      <w:r w:rsidRPr="007B6CA5">
        <w:rPr>
          <w:rFonts w:ascii="Arial" w:eastAsia="Times New Roman" w:hAnsi="Arial" w:cs="Arial"/>
          <w:i/>
          <w:iCs/>
          <w:color w:val="000000"/>
          <w:szCs w:val="24"/>
          <w:lang w:val="es-ES_tradnl" w:eastAsia="es-ES_tradnl"/>
        </w:rPr>
        <w:t>Audiencia</w:t>
      </w:r>
      <w:r w:rsidRPr="007B6CA5">
        <w:rPr>
          <w:rFonts w:ascii="Arial" w:eastAsia="Times New Roman" w:hAnsi="Arial" w:cs="Arial"/>
          <w:iCs/>
          <w:color w:val="000000"/>
          <w:szCs w:val="24"/>
          <w:lang w:val="es-ES_tradnl" w:eastAsia="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7B6CA5">
        <w:rPr>
          <w:rFonts w:ascii="Arial" w:eastAsia="Times New Roman" w:hAnsi="Arial" w:cs="Arial"/>
          <w:iCs/>
          <w:color w:val="000000"/>
          <w:szCs w:val="24"/>
          <w:lang w:val="es-ES_tradnl" w:eastAsia="es-ES_tradnl"/>
        </w:rPr>
        <w:t>iii</w:t>
      </w:r>
      <w:proofErr w:type="spellEnd"/>
      <w:r w:rsidRPr="007B6CA5">
        <w:rPr>
          <w:rFonts w:ascii="Arial" w:eastAsia="Times New Roman" w:hAnsi="Arial" w:cs="Arial"/>
          <w:iCs/>
          <w:color w:val="000000"/>
          <w:szCs w:val="24"/>
          <w:lang w:val="es-ES_tradnl" w:eastAsia="es-ES_tradnl"/>
        </w:rPr>
        <w:t xml:space="preserve">) </w:t>
      </w:r>
      <w:r w:rsidRPr="007B6CA5">
        <w:rPr>
          <w:rFonts w:ascii="Arial" w:eastAsia="Times New Roman" w:hAnsi="Arial" w:cs="Arial"/>
          <w:i/>
          <w:iCs/>
          <w:color w:val="000000"/>
          <w:szCs w:val="24"/>
          <w:lang w:val="es-ES_tradnl" w:eastAsia="es-ES_tradnl"/>
        </w:rPr>
        <w:t>Decisión</w:t>
      </w:r>
      <w:r w:rsidRPr="007B6CA5">
        <w:rPr>
          <w:rFonts w:ascii="Arial" w:eastAsia="Times New Roman" w:hAnsi="Arial" w:cs="Arial"/>
          <w:iCs/>
          <w:color w:val="000000"/>
          <w:szCs w:val="24"/>
          <w:lang w:val="es-ES_tradnl" w:eastAsia="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13D7C969" w14:textId="77777777" w:rsidR="00636121" w:rsidRPr="007B6CA5" w:rsidRDefault="00636121" w:rsidP="00636121">
      <w:pPr>
        <w:spacing w:after="0" w:line="276" w:lineRule="auto"/>
        <w:ind w:firstLine="709"/>
        <w:jc w:val="both"/>
        <w:rPr>
          <w:rFonts w:ascii="Arial" w:eastAsia="Calibri" w:hAnsi="Arial" w:cs="Arial"/>
          <w:color w:val="000000"/>
          <w:szCs w:val="24"/>
          <w:lang w:val="es-ES_tradnl" w:eastAsia="es-ES_tradnl"/>
        </w:rPr>
      </w:pPr>
      <w:r w:rsidRPr="007B6CA5">
        <w:rPr>
          <w:rFonts w:ascii="Arial" w:eastAsia="Times New Roman" w:hAnsi="Arial" w:cs="Arial"/>
          <w:iCs/>
          <w:color w:val="000000"/>
          <w:szCs w:val="24"/>
          <w:lang w:val="es-ES_tradnl" w:eastAsia="es-ES_tradnl"/>
        </w:rPr>
        <w:t>Como precisión previa, vale la pena aclarar que e</w:t>
      </w:r>
      <w:r w:rsidRPr="007B6CA5">
        <w:rPr>
          <w:rFonts w:ascii="Arial" w:eastAsia="Calibri" w:hAnsi="Arial" w:cs="Arial"/>
          <w:color w:val="000000"/>
          <w:szCs w:val="24"/>
          <w:lang w:val="es-ES_tradnl" w:eastAsia="es-ES_tradnl"/>
        </w:rPr>
        <w:t>l artículo 86 de la Ley 1474 de 2011 regula un procedimiento administrativo sancionatorio dirigido a sujetos específicos: las entidades sometidas al Estatuto General de Contratación de la Administración Pública</w:t>
      </w:r>
      <w:r w:rsidRPr="007B6CA5">
        <w:rPr>
          <w:rFonts w:ascii="Arial" w:eastAsia="Calibri" w:hAnsi="Arial" w:cs="Arial"/>
          <w:sz w:val="24"/>
          <w:szCs w:val="24"/>
          <w:vertAlign w:val="superscript"/>
          <w:lang w:eastAsia="es-ES_tradnl"/>
        </w:rPr>
        <w:footnoteReference w:id="10"/>
      </w:r>
      <w:r w:rsidRPr="007B6CA5">
        <w:rPr>
          <w:rFonts w:ascii="Arial" w:eastAsia="Calibri" w:hAnsi="Arial" w:cs="Arial"/>
          <w:color w:val="000000"/>
          <w:szCs w:val="24"/>
          <w:lang w:val="es-ES_tradnl" w:eastAsia="es-ES_tradnl"/>
        </w:rPr>
        <w:t xml:space="preserve">. De ahí que las entidades de </w:t>
      </w:r>
      <w:r w:rsidRPr="007B6CA5">
        <w:rPr>
          <w:rFonts w:ascii="Arial" w:eastAsia="Calibri" w:hAnsi="Arial" w:cs="Arial"/>
          <w:i/>
          <w:iCs/>
          <w:color w:val="000000"/>
          <w:szCs w:val="24"/>
          <w:lang w:val="es-ES_tradnl" w:eastAsia="es-ES_tradnl"/>
        </w:rPr>
        <w:t>régimen especial</w:t>
      </w:r>
      <w:r w:rsidRPr="007B6CA5">
        <w:rPr>
          <w:rFonts w:ascii="Arial" w:eastAsia="Calibri" w:hAnsi="Arial" w:cs="Arial"/>
          <w:sz w:val="24"/>
          <w:szCs w:val="24"/>
          <w:vertAlign w:val="superscript"/>
          <w:lang w:eastAsia="es-ES_tradnl"/>
        </w:rPr>
        <w:footnoteReference w:id="11"/>
      </w:r>
      <w:r w:rsidRPr="007B6CA5">
        <w:rPr>
          <w:rFonts w:ascii="Arial" w:eastAsia="Calibri" w:hAnsi="Arial" w:cs="Arial"/>
          <w:color w:val="000000"/>
          <w:szCs w:val="24"/>
          <w:lang w:val="es-ES_tradnl" w:eastAsia="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7B6CA5">
        <w:rPr>
          <w:rFonts w:ascii="Arial" w:eastAsia="Calibri" w:hAnsi="Arial" w:cs="Arial"/>
          <w:sz w:val="24"/>
          <w:szCs w:val="24"/>
          <w:vertAlign w:val="superscript"/>
          <w:lang w:eastAsia="es-ES_tradnl"/>
        </w:rPr>
        <w:footnoteReference w:id="12"/>
      </w:r>
      <w:r w:rsidRPr="007B6CA5">
        <w:rPr>
          <w:rFonts w:ascii="Arial" w:eastAsia="Calibri" w:hAnsi="Arial" w:cs="Arial"/>
          <w:color w:val="000000"/>
          <w:szCs w:val="24"/>
          <w:lang w:val="es-ES_tradnl" w:eastAsia="es-ES_tradnl"/>
        </w:rPr>
        <w:t>. La norma indicada desarrolla el procedimiento de la siguiente manera:</w:t>
      </w:r>
    </w:p>
    <w:p w14:paraId="58568DDF" w14:textId="77777777" w:rsidR="00636121" w:rsidRPr="007B6CA5" w:rsidRDefault="00636121" w:rsidP="00636121">
      <w:pPr>
        <w:spacing w:after="0" w:line="276" w:lineRule="auto"/>
        <w:ind w:right="142" w:firstLine="709"/>
        <w:jc w:val="both"/>
        <w:rPr>
          <w:rFonts w:ascii="Arial" w:eastAsia="Calibri" w:hAnsi="Arial" w:cs="Arial"/>
          <w:color w:val="000000"/>
          <w:szCs w:val="24"/>
          <w:lang w:val="es-ES_tradnl" w:eastAsia="es-ES_tradnl"/>
        </w:rPr>
      </w:pPr>
    </w:p>
    <w:p w14:paraId="0B8D7DDB"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bookmarkStart w:id="2" w:name="86"/>
      <w:r w:rsidRPr="007B6CA5">
        <w:rPr>
          <w:rFonts w:ascii="Arial" w:eastAsia="Calibri" w:hAnsi="Arial" w:cs="Arial"/>
          <w:iCs/>
          <w:color w:val="000000"/>
          <w:sz w:val="21"/>
          <w:szCs w:val="21"/>
          <w:lang w:val="es-ES_tradnl"/>
        </w:rPr>
        <w:t>Artículo 86. Imposición de multas, sanciones y declaratorias de incumplimiento.</w:t>
      </w:r>
      <w:bookmarkEnd w:id="2"/>
      <w:r w:rsidRPr="007B6CA5">
        <w:rPr>
          <w:rFonts w:ascii="Arial" w:eastAsia="Calibri" w:hAnsi="Arial" w:cs="Arial"/>
          <w:iCs/>
          <w:color w:val="000000"/>
          <w:sz w:val="21"/>
          <w:szCs w:val="21"/>
          <w:lang w:val="es-ES_tradnl"/>
        </w:rPr>
        <w:t xml:space="preserve"> Las entidades sometidas al Estatuto General de Contratación de la Administración Pública podrán declarar el incumplimiento, cuantificando los perjuicios </w:t>
      </w:r>
      <w:proofErr w:type="gramStart"/>
      <w:r w:rsidRPr="007B6CA5">
        <w:rPr>
          <w:rFonts w:ascii="Arial" w:eastAsia="Calibri" w:hAnsi="Arial" w:cs="Arial"/>
          <w:iCs/>
          <w:color w:val="000000"/>
          <w:sz w:val="21"/>
          <w:szCs w:val="21"/>
          <w:lang w:val="es-ES_tradnl"/>
        </w:rPr>
        <w:t>del mismo</w:t>
      </w:r>
      <w:proofErr w:type="gramEnd"/>
      <w:r w:rsidRPr="007B6CA5">
        <w:rPr>
          <w:rFonts w:ascii="Arial" w:eastAsia="Calibri" w:hAnsi="Arial" w:cs="Arial"/>
          <w:iCs/>
          <w:color w:val="000000"/>
          <w:sz w:val="21"/>
          <w:szCs w:val="21"/>
          <w:lang w:val="es-ES_tradnl"/>
        </w:rPr>
        <w:t>, imponer las multas y sanciones pactadas en el contrato, y hacer efectiva la cláusula penal. Para tal efecto observarán el siguiente procedimiento:</w:t>
      </w:r>
    </w:p>
    <w:p w14:paraId="4E21E5DE"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p>
    <w:p w14:paraId="057C4F0B"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r w:rsidRPr="007B6CA5">
        <w:rPr>
          <w:rFonts w:ascii="Arial" w:eastAsia="Calibri" w:hAnsi="Arial" w:cs="Arial"/>
          <w:iCs/>
          <w:color w:val="000000"/>
          <w:sz w:val="21"/>
          <w:szCs w:val="21"/>
          <w:lang w:val="es-ES_tradnl"/>
        </w:rPr>
        <w:lastRenderedPageBreak/>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0CF100DD" w14:textId="77777777" w:rsidR="00636121" w:rsidRPr="007B6CA5" w:rsidRDefault="00636121" w:rsidP="00636121">
      <w:pPr>
        <w:spacing w:after="0" w:line="240" w:lineRule="auto"/>
        <w:ind w:left="709" w:right="709"/>
        <w:contextualSpacing/>
        <w:jc w:val="both"/>
        <w:rPr>
          <w:rFonts w:ascii="Arial" w:eastAsia="Calibri" w:hAnsi="Arial" w:cs="Arial"/>
          <w:sz w:val="24"/>
          <w:lang w:val="es-ES_tradnl"/>
        </w:rPr>
      </w:pPr>
    </w:p>
    <w:p w14:paraId="14BAC3AD"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r w:rsidRPr="007B6CA5">
        <w:rPr>
          <w:rFonts w:ascii="Arial" w:eastAsia="Calibri" w:hAnsi="Arial" w:cs="Arial"/>
          <w:iCs/>
          <w:color w:val="000000"/>
          <w:sz w:val="21"/>
          <w:szCs w:val="21"/>
          <w:lang w:val="es-ES_tradnl"/>
        </w:rPr>
        <w:t xml:space="preserve">b) En desarrollo de la audiencia, el jefe de la entidad o su </w:t>
      </w:r>
      <w:proofErr w:type="gramStart"/>
      <w:r w:rsidRPr="007B6CA5">
        <w:rPr>
          <w:rFonts w:ascii="Arial" w:eastAsia="Calibri" w:hAnsi="Arial" w:cs="Arial"/>
          <w:iCs/>
          <w:color w:val="000000"/>
          <w:sz w:val="21"/>
          <w:szCs w:val="21"/>
          <w:lang w:val="es-ES_tradnl"/>
        </w:rPr>
        <w:t>delegado,</w:t>
      </w:r>
      <w:proofErr w:type="gramEnd"/>
      <w:r w:rsidRPr="007B6CA5">
        <w:rPr>
          <w:rFonts w:ascii="Arial" w:eastAsia="Calibri" w:hAnsi="Arial" w:cs="Arial"/>
          <w:iCs/>
          <w:color w:val="000000"/>
          <w:sz w:val="21"/>
          <w:szCs w:val="21"/>
          <w:lang w:val="es-ES_tradnl"/>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5BF18FD3"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p>
    <w:p w14:paraId="5D277288"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r w:rsidRPr="007B6CA5">
        <w:rPr>
          <w:rFonts w:ascii="Arial" w:eastAsia="Calibri" w:hAnsi="Arial" w:cs="Arial"/>
          <w:iCs/>
          <w:color w:val="000000"/>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4D61C64A"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p>
    <w:p w14:paraId="3B00DA87" w14:textId="77777777" w:rsidR="00636121" w:rsidRPr="007B6CA5" w:rsidRDefault="00636121" w:rsidP="00636121">
      <w:pPr>
        <w:spacing w:after="0" w:line="240" w:lineRule="auto"/>
        <w:ind w:left="709" w:right="709"/>
        <w:contextualSpacing/>
        <w:jc w:val="both"/>
        <w:rPr>
          <w:rFonts w:ascii="Arial" w:eastAsia="Calibri" w:hAnsi="Arial" w:cs="Arial"/>
          <w:iCs/>
          <w:color w:val="000000"/>
          <w:sz w:val="21"/>
          <w:szCs w:val="21"/>
          <w:lang w:val="es-ES_tradnl"/>
        </w:rPr>
      </w:pPr>
      <w:r w:rsidRPr="007B6CA5">
        <w:rPr>
          <w:rFonts w:ascii="Arial" w:eastAsia="Calibri" w:hAnsi="Arial" w:cs="Arial"/>
          <w:iCs/>
          <w:color w:val="000000"/>
          <w:sz w:val="21"/>
          <w:szCs w:val="21"/>
          <w:lang w:val="es-ES_tradnl"/>
        </w:rPr>
        <w:t xml:space="preserve">d) En cualquier momento del desarrollo de la audiencia, el jefe de la entidad o su </w:t>
      </w:r>
      <w:proofErr w:type="gramStart"/>
      <w:r w:rsidRPr="007B6CA5">
        <w:rPr>
          <w:rFonts w:ascii="Arial" w:eastAsia="Calibri" w:hAnsi="Arial" w:cs="Arial"/>
          <w:iCs/>
          <w:color w:val="000000"/>
          <w:sz w:val="21"/>
          <w:szCs w:val="21"/>
          <w:lang w:val="es-ES_tradnl"/>
        </w:rPr>
        <w:t>delegado,</w:t>
      </w:r>
      <w:proofErr w:type="gramEnd"/>
      <w:r w:rsidRPr="007B6CA5">
        <w:rPr>
          <w:rFonts w:ascii="Arial" w:eastAsia="Calibri" w:hAnsi="Arial" w:cs="Arial"/>
          <w:iCs/>
          <w:color w:val="000000"/>
          <w:sz w:val="21"/>
          <w:szCs w:val="21"/>
          <w:lang w:val="es-ES_tradn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2ACC381F" w14:textId="77777777" w:rsidR="00636121" w:rsidRPr="007B6CA5" w:rsidRDefault="00636121" w:rsidP="00636121">
      <w:pPr>
        <w:spacing w:after="0" w:line="276" w:lineRule="auto"/>
        <w:ind w:right="142"/>
        <w:jc w:val="both"/>
        <w:rPr>
          <w:rFonts w:ascii="Arial" w:eastAsia="Calibri" w:hAnsi="Arial" w:cs="Arial"/>
          <w:color w:val="000000"/>
          <w:szCs w:val="24"/>
          <w:lang w:val="es-ES_tradnl" w:eastAsia="es-ES_tradnl"/>
        </w:rPr>
      </w:pPr>
    </w:p>
    <w:p w14:paraId="7791D73F" w14:textId="77777777" w:rsidR="00636121" w:rsidRPr="007B6CA5" w:rsidRDefault="00636121" w:rsidP="00636121">
      <w:pPr>
        <w:spacing w:after="120" w:line="276" w:lineRule="auto"/>
        <w:ind w:firstLine="709"/>
        <w:jc w:val="both"/>
        <w:rPr>
          <w:rFonts w:ascii="Arial" w:eastAsia="Calibri" w:hAnsi="Arial" w:cs="Arial"/>
          <w:color w:val="000000"/>
          <w:szCs w:val="24"/>
          <w:lang w:val="es-ES_tradnl" w:eastAsia="es-ES_tradnl"/>
        </w:rPr>
      </w:pPr>
      <w:r w:rsidRPr="007B6CA5">
        <w:rPr>
          <w:rFonts w:ascii="Arial" w:eastAsia="Calibri" w:hAnsi="Arial" w:cs="Arial"/>
          <w:color w:val="000000"/>
          <w:szCs w:val="24"/>
          <w:lang w:val="es-ES_tradnl" w:eastAsia="es-ES_tradnl"/>
        </w:rPr>
        <w:t xml:space="preserve">Como se observa, la citación a la audiencia debe cumplir mínimamente los siguientes aspectos: i) señalar los </w:t>
      </w:r>
      <w:r w:rsidRPr="007B6CA5">
        <w:rPr>
          <w:rFonts w:ascii="Arial" w:eastAsia="Calibri" w:hAnsi="Arial" w:cs="Arial"/>
          <w:i/>
          <w:iCs/>
          <w:color w:val="000000"/>
          <w:szCs w:val="24"/>
          <w:lang w:val="es-ES_tradnl" w:eastAsia="es-ES_tradnl"/>
        </w:rPr>
        <w:t>hechos</w:t>
      </w:r>
      <w:r w:rsidRPr="007B6CA5">
        <w:rPr>
          <w:rFonts w:ascii="Arial" w:eastAsia="Calibri" w:hAnsi="Arial" w:cs="Arial"/>
          <w:color w:val="000000"/>
          <w:szCs w:val="24"/>
          <w:lang w:val="es-ES_tradnl" w:eastAsia="es-ES_tradnl"/>
        </w:rPr>
        <w:t xml:space="preserve"> que soportan la actuación, en particular la descripción detallada de cuáles son las actuaciones u omisiones del contratista que materializan el incumplimiento de las obligaciones. Además, se deben </w:t>
      </w:r>
      <w:proofErr w:type="spellStart"/>
      <w:r w:rsidRPr="007B6CA5">
        <w:rPr>
          <w:rFonts w:ascii="Arial" w:eastAsia="Calibri" w:hAnsi="Arial" w:cs="Arial"/>
          <w:color w:val="000000"/>
          <w:szCs w:val="24"/>
          <w:lang w:val="es-ES_tradnl" w:eastAsia="es-ES_tradnl"/>
        </w:rPr>
        <w:t>ii</w:t>
      </w:r>
      <w:proofErr w:type="spellEnd"/>
      <w:r w:rsidRPr="007B6CA5">
        <w:rPr>
          <w:rFonts w:ascii="Arial" w:eastAsia="Calibri" w:hAnsi="Arial" w:cs="Arial"/>
          <w:color w:val="000000"/>
          <w:szCs w:val="24"/>
          <w:lang w:val="es-ES_tradnl" w:eastAsia="es-ES_tradnl"/>
        </w:rPr>
        <w:t xml:space="preserve">) adjuntar los informes de supervisión o de interventoría que soportan la actuación, donde la entidad fundamenta su decisión de iniciar el procedimiento sancionatorio. Asimismo, </w:t>
      </w:r>
      <w:proofErr w:type="spellStart"/>
      <w:r w:rsidRPr="007B6CA5">
        <w:rPr>
          <w:rFonts w:ascii="Arial" w:eastAsia="Calibri" w:hAnsi="Arial" w:cs="Arial"/>
          <w:color w:val="000000"/>
          <w:szCs w:val="24"/>
          <w:lang w:val="es-ES_tradnl" w:eastAsia="es-ES_tradnl"/>
        </w:rPr>
        <w:t>iii</w:t>
      </w:r>
      <w:proofErr w:type="spellEnd"/>
      <w:r w:rsidRPr="007B6CA5">
        <w:rPr>
          <w:rFonts w:ascii="Arial" w:eastAsia="Calibri" w:hAnsi="Arial" w:cs="Arial"/>
          <w:color w:val="000000"/>
          <w:szCs w:val="24"/>
          <w:lang w:val="es-ES_tradnl" w:eastAsia="es-ES_tradnl"/>
        </w:rPr>
        <w:t xml:space="preserve">) lo anterior debe acompañarse de las pruebas adicionales con que cuente la entidad y que sirven para acreditar el incumplimiento. </w:t>
      </w:r>
      <w:proofErr w:type="spellStart"/>
      <w:r w:rsidRPr="007B6CA5">
        <w:rPr>
          <w:rFonts w:ascii="Arial" w:eastAsia="Calibri" w:hAnsi="Arial" w:cs="Arial"/>
          <w:color w:val="000000"/>
          <w:szCs w:val="24"/>
          <w:lang w:val="es-ES_tradnl" w:eastAsia="es-ES_tradnl"/>
        </w:rPr>
        <w:t>iv</w:t>
      </w:r>
      <w:proofErr w:type="spellEnd"/>
      <w:r w:rsidRPr="007B6CA5">
        <w:rPr>
          <w:rFonts w:ascii="Arial" w:eastAsia="Calibri" w:hAnsi="Arial" w:cs="Arial"/>
          <w:color w:val="000000"/>
          <w:szCs w:val="24"/>
          <w:lang w:val="es-ES_tradnl" w:eastAsia="es-ES_tradnl"/>
        </w:rPr>
        <w:t xml:space="preserve">) La citación debe contener también las normas, cláusulas u obligaciones posiblemente violadas o incumplidas por el contratista. Igualmente, v) debe indicar cuáles consecuencias podrían generarse para el </w:t>
      </w:r>
      <w:r w:rsidRPr="007B6CA5">
        <w:rPr>
          <w:rFonts w:ascii="Arial" w:eastAsia="Calibri" w:hAnsi="Arial" w:cs="Arial"/>
          <w:color w:val="000000"/>
          <w:szCs w:val="24"/>
          <w:lang w:val="es-ES_tradnl" w:eastAsia="es-ES_tradnl"/>
        </w:rPr>
        <w:lastRenderedPageBreak/>
        <w:t xml:space="preserve">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7B6CA5">
        <w:rPr>
          <w:rFonts w:ascii="Arial" w:eastAsia="Calibri" w:hAnsi="Arial" w:cs="Arial"/>
          <w:color w:val="000000"/>
          <w:szCs w:val="24"/>
          <w:lang w:val="es-ES_tradnl" w:eastAsia="es-ES_tradnl"/>
        </w:rPr>
        <w:t>vii</w:t>
      </w:r>
      <w:proofErr w:type="spellEnd"/>
      <w:r w:rsidRPr="007B6CA5">
        <w:rPr>
          <w:rFonts w:ascii="Arial" w:eastAsia="Calibri" w:hAnsi="Arial" w:cs="Arial"/>
          <w:color w:val="000000"/>
          <w:szCs w:val="24"/>
          <w:lang w:val="es-ES_tradnl" w:eastAsia="es-ES_tradnl"/>
        </w:rPr>
        <w:t>) deben indicar el lugar, fecha y hora para la realización de la audiencia, sin perjuicio de que esta se pueda efectuar por medios electrónicos</w:t>
      </w:r>
      <w:r w:rsidRPr="007B6CA5">
        <w:rPr>
          <w:rFonts w:ascii="Arial" w:eastAsia="Calibri" w:hAnsi="Arial" w:cs="Arial"/>
          <w:sz w:val="24"/>
          <w:szCs w:val="24"/>
          <w:vertAlign w:val="superscript"/>
          <w:lang w:eastAsia="es-ES_tradnl"/>
        </w:rPr>
        <w:footnoteReference w:id="13"/>
      </w:r>
      <w:r w:rsidRPr="007B6CA5">
        <w:rPr>
          <w:rFonts w:ascii="Arial" w:eastAsia="Calibri" w:hAnsi="Arial" w:cs="Arial"/>
          <w:color w:val="000000"/>
          <w:szCs w:val="24"/>
          <w:lang w:val="es-ES_tradnl" w:eastAsia="es-ES_tradnl"/>
        </w:rPr>
        <w:t>.</w:t>
      </w:r>
    </w:p>
    <w:p w14:paraId="30FB91DC" w14:textId="77777777" w:rsidR="00636121" w:rsidRPr="007B6CA5" w:rsidRDefault="00636121" w:rsidP="00636121">
      <w:pPr>
        <w:spacing w:after="0" w:line="276" w:lineRule="auto"/>
        <w:ind w:firstLine="709"/>
        <w:jc w:val="both"/>
        <w:rPr>
          <w:rFonts w:ascii="Arial" w:eastAsia="Calibri" w:hAnsi="Arial" w:cs="Arial"/>
          <w:color w:val="000000"/>
          <w:szCs w:val="24"/>
          <w:lang w:val="es-ES_tradnl" w:eastAsia="es-ES_tradnl"/>
        </w:rPr>
      </w:pPr>
      <w:r w:rsidRPr="007B6CA5">
        <w:rPr>
          <w:rFonts w:ascii="Arial" w:eastAsia="Calibri" w:hAnsi="Arial" w:cs="Arial"/>
          <w:color w:val="000000"/>
          <w:szCs w:val="24"/>
          <w:lang w:val="es-ES_tradnl" w:eastAsia="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7B6CA5">
        <w:rPr>
          <w:rFonts w:ascii="Arial" w:eastAsia="Calibri" w:hAnsi="Arial" w:cs="Arial"/>
          <w:sz w:val="24"/>
          <w:szCs w:val="24"/>
          <w:vertAlign w:val="superscript"/>
          <w:lang w:eastAsia="es-ES_tradnl"/>
        </w:rPr>
        <w:footnoteReference w:id="14"/>
      </w:r>
      <w:r w:rsidRPr="007B6CA5">
        <w:rPr>
          <w:rFonts w:ascii="Arial" w:eastAsia="Calibri" w:hAnsi="Arial" w:cs="Arial"/>
          <w:color w:val="000000"/>
          <w:szCs w:val="24"/>
          <w:lang w:val="es-ES_tradnl" w:eastAsia="es-ES_tradnl"/>
        </w:rPr>
        <w:t>.</w:t>
      </w:r>
    </w:p>
    <w:p w14:paraId="3E177612" w14:textId="77777777" w:rsidR="00636121" w:rsidRPr="007B6CA5" w:rsidRDefault="00636121" w:rsidP="00636121">
      <w:pPr>
        <w:spacing w:after="0" w:line="276" w:lineRule="auto"/>
        <w:jc w:val="both"/>
        <w:rPr>
          <w:rFonts w:ascii="Arial" w:eastAsia="Calibri" w:hAnsi="Arial" w:cs="Arial"/>
          <w:color w:val="000000"/>
          <w:szCs w:val="24"/>
          <w:lang w:val="es-ES_tradnl" w:eastAsia="es-ES_tradnl"/>
        </w:rPr>
      </w:pPr>
    </w:p>
    <w:p w14:paraId="25195F84" w14:textId="77777777" w:rsidR="00636121" w:rsidRPr="007B6CA5" w:rsidRDefault="00636121" w:rsidP="00636121">
      <w:pPr>
        <w:spacing w:after="0" w:line="276" w:lineRule="auto"/>
        <w:jc w:val="both"/>
        <w:rPr>
          <w:rFonts w:ascii="Arial" w:eastAsia="Times New Roman" w:hAnsi="Arial" w:cs="Arial"/>
          <w:b/>
          <w:bCs/>
          <w:iCs/>
          <w:color w:val="000000"/>
          <w:szCs w:val="24"/>
          <w:lang w:val="es-ES_tradnl" w:eastAsia="es-ES_tradnl"/>
        </w:rPr>
      </w:pPr>
      <w:r w:rsidRPr="007B6CA5">
        <w:rPr>
          <w:rFonts w:ascii="Arial" w:eastAsia="Times New Roman" w:hAnsi="Arial" w:cs="Arial"/>
          <w:b/>
          <w:bCs/>
          <w:iCs/>
          <w:color w:val="000000"/>
          <w:szCs w:val="24"/>
          <w:lang w:val="es-ES_tradnl" w:eastAsia="es-ES_tradnl"/>
        </w:rPr>
        <w:t>2.</w:t>
      </w:r>
      <w:r>
        <w:rPr>
          <w:rFonts w:ascii="Arial" w:eastAsia="Times New Roman" w:hAnsi="Arial" w:cs="Arial"/>
          <w:b/>
          <w:bCs/>
          <w:iCs/>
          <w:color w:val="000000"/>
          <w:szCs w:val="24"/>
          <w:lang w:val="es-ES_tradnl" w:eastAsia="es-ES_tradnl"/>
        </w:rPr>
        <w:t>3</w:t>
      </w:r>
      <w:r w:rsidRPr="007B6CA5">
        <w:rPr>
          <w:rFonts w:ascii="Arial" w:eastAsia="Times New Roman" w:hAnsi="Arial" w:cs="Arial"/>
          <w:b/>
          <w:bCs/>
          <w:iCs/>
          <w:color w:val="000000"/>
          <w:szCs w:val="24"/>
          <w:lang w:val="es-ES_tradnl" w:eastAsia="es-ES_tradnl"/>
        </w:rPr>
        <w:t xml:space="preserve">. </w:t>
      </w:r>
      <w:r>
        <w:rPr>
          <w:rFonts w:ascii="Arial" w:eastAsia="Times New Roman" w:hAnsi="Arial" w:cs="Arial"/>
          <w:b/>
          <w:bCs/>
          <w:iCs/>
          <w:color w:val="000000"/>
          <w:szCs w:val="24"/>
          <w:lang w:val="es-ES_tradnl" w:eastAsia="es-ES_tradnl"/>
        </w:rPr>
        <w:t>Condiciones para aplicar los «acuerdos de niveles de servicio» como tipo de sanción en la contratación estatal</w:t>
      </w:r>
    </w:p>
    <w:p w14:paraId="59720FA9" w14:textId="77777777" w:rsidR="00636121" w:rsidRPr="007B6CA5" w:rsidRDefault="00636121" w:rsidP="00636121">
      <w:pPr>
        <w:spacing w:after="0" w:line="276" w:lineRule="auto"/>
        <w:jc w:val="both"/>
        <w:rPr>
          <w:rFonts w:ascii="Arial" w:eastAsia="Calibri" w:hAnsi="Arial" w:cs="Arial"/>
          <w:color w:val="000000"/>
          <w:szCs w:val="24"/>
          <w:lang w:val="es-ES_tradnl" w:eastAsia="es-ES_tradnl"/>
        </w:rPr>
      </w:pPr>
    </w:p>
    <w:p w14:paraId="07CFB5E4" w14:textId="77777777" w:rsidR="00636121" w:rsidRDefault="00636121" w:rsidP="00636121">
      <w:pPr>
        <w:tabs>
          <w:tab w:val="left" w:pos="0"/>
        </w:tabs>
        <w:spacing w:after="0" w:line="276" w:lineRule="auto"/>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En la consulta que se analiza, la peticionaria formula una serie de preguntas mediante las cuales, en síntesis, indaga si en la contratación estatal se pueden pactar y aplicar los «acuerdos de niveles de servicio», su definición, su naturaleza jurídica, su fundamento normativo y el procedimiento que debe adelantarse para hacerlos efectivos, es decir, si pueden aplicarse por descuento directo por parte de la entidad estatal o requieren de algún tipo de trámite previo.</w:t>
      </w:r>
    </w:p>
    <w:p w14:paraId="4681AA18" w14:textId="77777777" w:rsidR="00636121" w:rsidRPr="0090644D"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lastRenderedPageBreak/>
        <w:t xml:space="preserve">Para la mayoría de los contratos estatales, ni el Estatuto General de Contratación de la Administración Pública ni sus normas complementarias y reglamentarias regulan expresamente los «acuerdos de niveles de servicio», ni brindan a las entidades estatales la competencia para efectuar un descuento, </w:t>
      </w:r>
      <w:r w:rsidRPr="002B30C3">
        <w:rPr>
          <w:rFonts w:ascii="Arial" w:eastAsia="Calibri" w:hAnsi="Arial" w:cs="Arial"/>
          <w:i/>
          <w:iCs/>
          <w:color w:val="000000"/>
          <w:lang w:val="es-ES_tradnl" w:eastAsia="es-ES_tradnl"/>
        </w:rPr>
        <w:t>de plano</w:t>
      </w:r>
      <w:r>
        <w:rPr>
          <w:rFonts w:ascii="Arial" w:eastAsia="Calibri" w:hAnsi="Arial" w:cs="Arial"/>
          <w:color w:val="000000"/>
          <w:lang w:val="es-ES_tradnl" w:eastAsia="es-ES_tradnl"/>
        </w:rPr>
        <w:t xml:space="preserve">, de sumas de dinero al contratista por el incumplimiento de los hitos contractuales o compromisos acordados en el contrato. La referencia más cercana a la expresión se encuentra en el régimen de las asociaciones </w:t>
      </w:r>
      <w:proofErr w:type="gramStart"/>
      <w:r>
        <w:rPr>
          <w:rFonts w:ascii="Arial" w:eastAsia="Calibri" w:hAnsi="Arial" w:cs="Arial"/>
          <w:color w:val="000000"/>
          <w:lang w:val="es-ES_tradnl" w:eastAsia="es-ES_tradnl"/>
        </w:rPr>
        <w:t>público privadas</w:t>
      </w:r>
      <w:proofErr w:type="gramEnd"/>
      <w:r>
        <w:rPr>
          <w:rFonts w:ascii="Arial" w:eastAsia="Calibri" w:hAnsi="Arial" w:cs="Arial"/>
          <w:color w:val="000000"/>
          <w:lang w:val="es-ES_tradnl" w:eastAsia="es-ES_tradnl"/>
        </w:rPr>
        <w:t xml:space="preserve"> (APP), que sí establece los «niveles de servicio» como una condición de retribución</w:t>
      </w:r>
      <w:r>
        <w:rPr>
          <w:rStyle w:val="Refdenotaalpie"/>
          <w:rFonts w:ascii="Arial" w:eastAsia="Calibri" w:hAnsi="Arial" w:cs="Arial"/>
          <w:color w:val="000000"/>
          <w:lang w:val="es-ES_tradnl" w:eastAsia="es-ES_tradnl"/>
        </w:rPr>
        <w:footnoteReference w:id="15"/>
      </w:r>
      <w:r>
        <w:rPr>
          <w:rFonts w:ascii="Arial" w:eastAsia="Calibri" w:hAnsi="Arial" w:cs="Arial"/>
          <w:color w:val="000000"/>
          <w:lang w:val="es-ES_tradnl" w:eastAsia="es-ES_tradnl"/>
        </w:rPr>
        <w:t xml:space="preserve"> e incluso permite efectuar ciertos descuentos por este concepto</w:t>
      </w:r>
      <w:r>
        <w:rPr>
          <w:rStyle w:val="Refdenotaalpie"/>
          <w:rFonts w:ascii="Arial" w:eastAsia="Calibri" w:hAnsi="Arial" w:cs="Arial"/>
          <w:color w:val="000000"/>
          <w:lang w:val="es-ES_tradnl" w:eastAsia="es-ES_tradnl"/>
        </w:rPr>
        <w:footnoteReference w:id="16"/>
      </w:r>
      <w:r>
        <w:rPr>
          <w:rFonts w:ascii="Arial" w:eastAsia="Calibri" w:hAnsi="Arial" w:cs="Arial"/>
          <w:color w:val="000000"/>
          <w:lang w:val="es-ES_tradnl" w:eastAsia="es-ES_tradnl"/>
        </w:rPr>
        <w:t xml:space="preserve">. Pero, como se sabe, este es un régimen que aplica solo a los contratos de APP. Por tanto, para los demás contratos estatales los acuerdos de niveles de servicios constituyen una figura </w:t>
      </w:r>
      <w:r>
        <w:rPr>
          <w:rFonts w:ascii="Arial" w:eastAsia="Calibri" w:hAnsi="Arial" w:cs="Arial"/>
          <w:i/>
          <w:iCs/>
          <w:color w:val="000000"/>
          <w:lang w:val="es-ES_tradnl" w:eastAsia="es-ES_tradnl"/>
        </w:rPr>
        <w:t>atípica</w:t>
      </w:r>
      <w:r>
        <w:rPr>
          <w:rFonts w:ascii="Arial" w:eastAsia="Calibri" w:hAnsi="Arial" w:cs="Arial"/>
          <w:color w:val="000000"/>
          <w:lang w:val="es-ES_tradnl" w:eastAsia="es-ES_tradnl"/>
        </w:rPr>
        <w:t>, pues no se encuentra tipificada ni regulada.</w:t>
      </w:r>
    </w:p>
    <w:p w14:paraId="77673262"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Ahora, sin perjuicio de lo expuesto, el segundo inciso del artículo 40 de la Ley 80 de 1993 dispone que «</w:t>
      </w:r>
      <w:r w:rsidRPr="000231C8">
        <w:rPr>
          <w:rFonts w:ascii="Arial" w:eastAsia="Calibri" w:hAnsi="Arial" w:cs="Arial"/>
          <w:color w:val="000000"/>
          <w:lang w:val="es-ES_tradnl" w:eastAsia="es-ES_tradnl"/>
        </w:rPr>
        <w:t>Las entidades podrán celebrar los contratos y acuerdos que permitan la autonomía de la voluntad y requieran el cumplimiento de los fines estatales</w:t>
      </w:r>
      <w:r>
        <w:rPr>
          <w:rFonts w:ascii="Arial" w:eastAsia="Calibri" w:hAnsi="Arial" w:cs="Arial"/>
          <w:color w:val="000000"/>
          <w:lang w:val="es-ES_tradnl" w:eastAsia="es-ES_tradnl"/>
        </w:rPr>
        <w:t>»</w:t>
      </w:r>
      <w:r w:rsidRPr="000231C8">
        <w:rPr>
          <w:rFonts w:ascii="Arial" w:eastAsia="Calibri" w:hAnsi="Arial" w:cs="Arial"/>
          <w:color w:val="000000"/>
          <w:lang w:val="es-ES_tradnl" w:eastAsia="es-ES_tradnl"/>
        </w:rPr>
        <w:t>.</w:t>
      </w:r>
      <w:r>
        <w:rPr>
          <w:rFonts w:ascii="Arial" w:eastAsia="Calibri" w:hAnsi="Arial" w:cs="Arial"/>
          <w:color w:val="000000"/>
          <w:lang w:val="es-ES_tradnl" w:eastAsia="es-ES_tradnl"/>
        </w:rPr>
        <w:t xml:space="preserve"> Esto significa que las entidades pueden acordar con el contratista incluir estipulaciones que propendan por el cumplimiento efectivo del objeto contractual, siempre que estas cláusulas sean acordes con los límites consagrados en las normas de orden público, es decir, que no incurran en causales de nulidad</w:t>
      </w:r>
      <w:r>
        <w:rPr>
          <w:rStyle w:val="Refdenotaalpie"/>
          <w:rFonts w:ascii="Arial" w:eastAsia="Calibri" w:hAnsi="Arial" w:cs="Arial"/>
          <w:color w:val="000000"/>
          <w:lang w:val="es-ES_tradnl" w:eastAsia="es-ES_tradnl"/>
        </w:rPr>
        <w:footnoteReference w:id="17"/>
      </w:r>
      <w:r>
        <w:rPr>
          <w:rFonts w:ascii="Arial" w:eastAsia="Calibri" w:hAnsi="Arial" w:cs="Arial"/>
          <w:color w:val="000000"/>
          <w:lang w:val="es-ES_tradnl" w:eastAsia="es-ES_tradnl"/>
        </w:rPr>
        <w:t xml:space="preserve">. </w:t>
      </w:r>
      <w:r>
        <w:rPr>
          <w:rFonts w:ascii="Arial" w:eastAsia="Calibri" w:hAnsi="Arial" w:cs="Arial"/>
          <w:color w:val="000000"/>
          <w:lang w:val="es-ES_tradnl" w:eastAsia="es-ES_tradnl"/>
        </w:rPr>
        <w:lastRenderedPageBreak/>
        <w:t>Por ende, nada obsta para que, dentro de estas estipulaciones, las partes, por ejemplo, acuerden estándares o hitos de cumplimiento. Más aún, el artículo 17 de la Ley 1150 de 2007, como se indicó, permite pactar multas y cláusulas penales pecuniarias y faculta a las entidades estatales para hacerlas efectivas unilateralmente.</w:t>
      </w:r>
    </w:p>
    <w:p w14:paraId="4D04C75F"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Sin embargo, como también se señaló, el referido artículo 17 establece que independientemente de que estas medidas sancionatorias hayan sido acordadas por las partes, su imposición por la entidad estatal debe estar precedida de la garantía del debido proceso, derecho fundamental que se concreta en el trámite del procedimiento administrativo sancionatorio regulado en el artículo 86 de la Ley 1474 de 2011, cuyas etapas fueron expuestas en el acápite anterior. Esto permite señalar que cualquiera sea la denominación que en el contrato tengan las sanciones por incumplimiento parcial, su efectividad debe cumplir con la garantía del debido proceso. Dicho de otra manera, así las multas o cláusulas penales se nombren en el contrato como «acuerdos de niveles de servicio», no pueden aplicarse de plano, sino garantizando el debido proceso.</w:t>
      </w:r>
    </w:p>
    <w:p w14:paraId="4B616566"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Según se indicó, los «acuerdos de niveles de servicio» no se encuentran regulados en el Estatuto General de Contratación de la Administración Pública, ni en sus normas complementarias y reglamentarias, sino solo para los contratos de APP. Esto dificulta señalar con carácter definitivo o absoluto cuál es su naturaleza jurídica y, concretamente, si es sancionatoria o no. Justamente, por su carácter </w:t>
      </w:r>
      <w:r>
        <w:rPr>
          <w:rFonts w:ascii="Arial" w:eastAsia="Calibri" w:hAnsi="Arial" w:cs="Arial"/>
          <w:i/>
          <w:iCs/>
          <w:color w:val="000000"/>
          <w:lang w:val="es-ES_tradnl" w:eastAsia="es-ES_tradnl"/>
        </w:rPr>
        <w:t>atípico</w:t>
      </w:r>
      <w:r>
        <w:rPr>
          <w:rFonts w:ascii="Arial" w:eastAsia="Calibri" w:hAnsi="Arial" w:cs="Arial"/>
          <w:color w:val="000000"/>
          <w:lang w:val="es-ES_tradnl" w:eastAsia="es-ES_tradnl"/>
        </w:rPr>
        <w:t xml:space="preserve">, la determinación de su naturaleza depende de la forma como las partes hayan pactado dichos </w:t>
      </w:r>
      <w:r>
        <w:rPr>
          <w:rFonts w:ascii="Arial" w:eastAsia="Calibri" w:hAnsi="Arial" w:cs="Arial"/>
          <w:i/>
          <w:iCs/>
          <w:color w:val="000000"/>
          <w:lang w:val="es-ES_tradnl" w:eastAsia="es-ES_tradnl"/>
        </w:rPr>
        <w:t>acuerdos</w:t>
      </w:r>
      <w:r>
        <w:rPr>
          <w:rFonts w:ascii="Arial" w:eastAsia="Calibri" w:hAnsi="Arial" w:cs="Arial"/>
          <w:color w:val="000000"/>
          <w:lang w:val="es-ES_tradnl" w:eastAsia="es-ES_tradnl"/>
        </w:rPr>
        <w:t xml:space="preserve"> en el contrato en cada caso. Ahora bien, la costumbre negocial refleja que, usualmente, estos </w:t>
      </w:r>
      <w:r>
        <w:rPr>
          <w:rFonts w:ascii="Arial" w:eastAsia="Calibri" w:hAnsi="Arial" w:cs="Arial"/>
          <w:i/>
          <w:iCs/>
          <w:color w:val="000000"/>
          <w:lang w:val="es-ES_tradnl" w:eastAsia="es-ES_tradnl"/>
        </w:rPr>
        <w:t>acuerdos</w:t>
      </w:r>
      <w:r>
        <w:rPr>
          <w:rFonts w:ascii="Arial" w:eastAsia="Calibri" w:hAnsi="Arial" w:cs="Arial"/>
          <w:color w:val="000000"/>
          <w:lang w:val="es-ES_tradnl" w:eastAsia="es-ES_tradnl"/>
        </w:rPr>
        <w:t xml:space="preserve"> son estipulaciones mediante las cuales el contratista se compromete a ejecutar sus obligaciones con un determinado grado de calidad o eficiencia</w:t>
      </w:r>
      <w:r>
        <w:rPr>
          <w:rStyle w:val="Refdenotaalpie"/>
          <w:rFonts w:ascii="Arial" w:eastAsia="Calibri" w:hAnsi="Arial" w:cs="Arial"/>
          <w:color w:val="000000"/>
          <w:lang w:val="es-ES_tradnl" w:eastAsia="es-ES_tradnl"/>
        </w:rPr>
        <w:footnoteReference w:id="18"/>
      </w:r>
      <w:r>
        <w:rPr>
          <w:rFonts w:ascii="Arial" w:eastAsia="Calibri" w:hAnsi="Arial" w:cs="Arial"/>
          <w:color w:val="000000"/>
          <w:lang w:val="es-ES_tradnl" w:eastAsia="es-ES_tradnl"/>
        </w:rPr>
        <w:t>, para, en caso de no cumplir con tal nivel de satisfacción, ver disminuida en parte su remuneración en virtud del descuento que le realiza el contratante.</w:t>
      </w:r>
    </w:p>
    <w:p w14:paraId="727BC461"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Sin embargo, el debido proceso, como principio rector de las actuaciones contractuales, impide que tales descuentos por la inobservancia de los niveles de servicio acordados se practiquen automáticamente, es decir, sin un trámite previo en el cual el contratista tenga la oportunidad de ejercer sus derechos de audiencia, defensa y los demás que integran dicho derecho fundamental. En efecto, como indicó recientemente el Consejo de Estado:</w:t>
      </w:r>
    </w:p>
    <w:p w14:paraId="1129C4A3" w14:textId="77777777" w:rsidR="00636121"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p>
    <w:p w14:paraId="0A695D63" w14:textId="77777777" w:rsidR="00636121" w:rsidRPr="006E09DE" w:rsidRDefault="00636121" w:rsidP="00636121">
      <w:pPr>
        <w:tabs>
          <w:tab w:val="left" w:pos="0"/>
        </w:tabs>
        <w:spacing w:after="0" w:line="240" w:lineRule="auto"/>
        <w:ind w:left="709" w:right="709"/>
        <w:jc w:val="both"/>
        <w:rPr>
          <w:rFonts w:ascii="Arial" w:hAnsi="Arial" w:cs="Arial"/>
          <w:sz w:val="21"/>
          <w:szCs w:val="21"/>
        </w:rPr>
      </w:pPr>
      <w:r w:rsidRPr="00EC02D6">
        <w:rPr>
          <w:rFonts w:ascii="Arial" w:hAnsi="Arial" w:cs="Arial"/>
          <w:sz w:val="21"/>
          <w:szCs w:val="21"/>
        </w:rPr>
        <w:lastRenderedPageBreak/>
        <w:t>En las actuaciones administrativas contractuales el debido proceso tiene papel preponderante, en tanto que, como resultado de éstas se pueden generar afectaciones a variados derechos de los contratistas, motivo por el cual, cuando en pro de la continua y eficiente prestación de los servicios y bienes objeto de la contratación estatal se haga necesario adoptar una decisión en contra de los intereses del administrado, ello debe ser el resultado de la observancia de un procedimiento que preserve la realización de las garantías del debido proceso; en tal</w:t>
      </w:r>
      <w:r>
        <w:rPr>
          <w:rFonts w:ascii="Arial" w:hAnsi="Arial" w:cs="Arial"/>
          <w:sz w:val="21"/>
          <w:szCs w:val="21"/>
        </w:rPr>
        <w:t xml:space="preserve"> </w:t>
      </w:r>
      <w:r w:rsidRPr="006E09DE">
        <w:rPr>
          <w:rFonts w:ascii="Arial" w:hAnsi="Arial" w:cs="Arial"/>
          <w:sz w:val="21"/>
          <w:szCs w:val="21"/>
        </w:rPr>
        <w:t>virtud, el respeto de ese derecho torna en improcedente la imposición de plano de</w:t>
      </w:r>
      <w:r>
        <w:rPr>
          <w:rFonts w:ascii="Arial" w:hAnsi="Arial" w:cs="Arial"/>
          <w:sz w:val="21"/>
          <w:szCs w:val="21"/>
        </w:rPr>
        <w:t xml:space="preserve"> </w:t>
      </w:r>
      <w:r w:rsidRPr="006E09DE">
        <w:rPr>
          <w:rFonts w:ascii="Arial" w:hAnsi="Arial" w:cs="Arial"/>
          <w:sz w:val="21"/>
          <w:szCs w:val="21"/>
        </w:rPr>
        <w:t>dichas decisiones</w:t>
      </w:r>
      <w:r>
        <w:rPr>
          <w:rStyle w:val="Refdenotaalpie"/>
          <w:rFonts w:ascii="Arial" w:hAnsi="Arial" w:cs="Arial"/>
          <w:sz w:val="21"/>
          <w:szCs w:val="21"/>
        </w:rPr>
        <w:footnoteReference w:id="19"/>
      </w:r>
      <w:r>
        <w:rPr>
          <w:rFonts w:ascii="Arial" w:hAnsi="Arial" w:cs="Arial"/>
          <w:sz w:val="21"/>
          <w:szCs w:val="21"/>
        </w:rPr>
        <w:t>.</w:t>
      </w:r>
    </w:p>
    <w:p w14:paraId="07304CFA" w14:textId="77777777" w:rsidR="00636121"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p>
    <w:p w14:paraId="6305B429" w14:textId="77777777" w:rsidR="00636121"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En suma, si una entidad estatal sometida al Estatuto General de Contratación de la Administración pública estipula acuerdos de niveles de servicio en el contrato, pactándolos como multas o cláusulas penales por el incumplimiento de los estándares de calidad o servicio por parte del contratista, debe cumplir con lo establecido en el artículo 17 de la Ley 1150 de 2007, que, a su vez, se concreta en el procedimiento administrativo sancionatorio regulado en el artículo 86 de la Ley 1474 de 2011. Si aplicado el procedimiento se decreta el incumplimiento y se procede con el descuento, ese mismo hecho y fundamento no podría dar lugar a la imposición de otra sanción que tenga la misma naturaleza jurídica –por ejemplo, de otra multa, si el acuerdo de nivel de servicio pactado tiene la misma naturaleza de aquella–, porque se menoscabaría el principio </w:t>
      </w:r>
      <w:proofErr w:type="spellStart"/>
      <w:r>
        <w:rPr>
          <w:rFonts w:ascii="Arial" w:eastAsia="Calibri" w:hAnsi="Arial" w:cs="Arial"/>
          <w:i/>
          <w:iCs/>
          <w:color w:val="000000"/>
          <w:lang w:val="es-ES_tradnl" w:eastAsia="es-ES_tradnl"/>
        </w:rPr>
        <w:t>nom</w:t>
      </w:r>
      <w:proofErr w:type="spellEnd"/>
      <w:r>
        <w:rPr>
          <w:rFonts w:ascii="Arial" w:eastAsia="Calibri" w:hAnsi="Arial" w:cs="Arial"/>
          <w:i/>
          <w:iCs/>
          <w:color w:val="000000"/>
          <w:lang w:val="es-ES_tradnl" w:eastAsia="es-ES_tradnl"/>
        </w:rPr>
        <w:t xml:space="preserve"> bis in </w:t>
      </w:r>
      <w:proofErr w:type="spellStart"/>
      <w:r>
        <w:rPr>
          <w:rFonts w:ascii="Arial" w:eastAsia="Calibri" w:hAnsi="Arial" w:cs="Arial"/>
          <w:i/>
          <w:iCs/>
          <w:color w:val="000000"/>
          <w:lang w:val="es-ES_tradnl" w:eastAsia="es-ES_tradnl"/>
        </w:rPr>
        <w:t>idem</w:t>
      </w:r>
      <w:proofErr w:type="spellEnd"/>
      <w:r>
        <w:rPr>
          <w:rFonts w:ascii="Arial" w:eastAsia="Calibri" w:hAnsi="Arial" w:cs="Arial"/>
          <w:color w:val="000000"/>
          <w:lang w:val="es-ES_tradnl" w:eastAsia="es-ES_tradnl"/>
        </w:rPr>
        <w:t>, que también integra el derecho fundamental al debido proceso y que prohíbe sancionar dos o más veces por el mismo hecho. En definitiva, los acuerdos de niveles de servicio se pueden pactar, en ejercicio de la autonomía de la voluntad, pero, si su naturaleza se determina como sancionatoria en el contrato, su aplicación debe estar precedida por la garantía del debido proceso.</w:t>
      </w:r>
    </w:p>
    <w:p w14:paraId="6CDD8293" w14:textId="77777777" w:rsidR="00636121" w:rsidRPr="00F96A28"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   </w:t>
      </w:r>
    </w:p>
    <w:p w14:paraId="08E74102" w14:textId="77777777" w:rsidR="00636121" w:rsidRPr="002A150C" w:rsidRDefault="00636121" w:rsidP="00636121">
      <w:pPr>
        <w:tabs>
          <w:tab w:val="left" w:pos="284"/>
        </w:tabs>
        <w:spacing w:after="0" w:line="276" w:lineRule="auto"/>
        <w:contextualSpacing/>
        <w:jc w:val="both"/>
        <w:rPr>
          <w:rFonts w:ascii="Arial" w:eastAsia="Calibri" w:hAnsi="Arial" w:cs="Arial"/>
          <w:color w:val="000000" w:themeColor="text1"/>
          <w:lang w:val="es-ES_tradnl"/>
        </w:rPr>
      </w:pPr>
      <w:r w:rsidRPr="002A150C">
        <w:rPr>
          <w:rFonts w:ascii="Arial" w:eastAsia="Calibri" w:hAnsi="Arial" w:cs="Arial"/>
          <w:b/>
          <w:color w:val="000000" w:themeColor="text1"/>
          <w:lang w:val="es-ES_tradnl"/>
        </w:rPr>
        <w:t>3. Respuesta</w:t>
      </w:r>
    </w:p>
    <w:p w14:paraId="2AB5AA17" w14:textId="77777777" w:rsidR="00636121" w:rsidRPr="002A150C" w:rsidRDefault="00636121" w:rsidP="00636121">
      <w:pPr>
        <w:spacing w:after="0" w:line="276" w:lineRule="auto"/>
        <w:ind w:left="709" w:right="709"/>
        <w:jc w:val="both"/>
        <w:rPr>
          <w:rFonts w:ascii="Arial" w:eastAsia="Calibri" w:hAnsi="Arial" w:cs="Arial"/>
          <w:i/>
          <w:color w:val="000000" w:themeColor="text1"/>
          <w:lang w:val="es-ES_tradnl"/>
        </w:rPr>
      </w:pPr>
    </w:p>
    <w:p w14:paraId="164B0F52" w14:textId="77777777" w:rsidR="00636121" w:rsidRPr="007E3047" w:rsidRDefault="00636121" w:rsidP="0063612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w:t>
      </w:r>
      <w:r w:rsidRPr="007E3047">
        <w:rPr>
          <w:rFonts w:ascii="Arial" w:eastAsia="Calibri" w:hAnsi="Arial" w:cs="Arial"/>
          <w:color w:val="000000" w:themeColor="text1"/>
          <w:sz w:val="21"/>
          <w:szCs w:val="21"/>
          <w:lang w:val="es-ES_tradnl"/>
        </w:rPr>
        <w:t>de manera respetuosa me permito elevar a esa entidad, los interrogantes que planteo a continuación, relacionados con los acuerdos de niveles de servicio.</w:t>
      </w:r>
    </w:p>
    <w:p w14:paraId="589783E5"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1. En el marco de la compra pública, ¿qué se entiende por acuerdos de niveles de servicio?</w:t>
      </w:r>
    </w:p>
    <w:p w14:paraId="47ABD07E"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2. En el marco de la compra pública, ¿los acuerdos de niveles de servicio pueden ser</w:t>
      </w:r>
      <w:r>
        <w:rPr>
          <w:rFonts w:ascii="Arial" w:eastAsia="Calibri" w:hAnsi="Arial" w:cs="Arial"/>
          <w:color w:val="000000" w:themeColor="text1"/>
          <w:sz w:val="21"/>
          <w:szCs w:val="21"/>
          <w:lang w:val="es-ES_tradnl"/>
        </w:rPr>
        <w:t xml:space="preserve"> </w:t>
      </w:r>
      <w:r w:rsidRPr="007E3047">
        <w:rPr>
          <w:rFonts w:ascii="Arial" w:eastAsia="Calibri" w:hAnsi="Arial" w:cs="Arial"/>
          <w:color w:val="000000" w:themeColor="text1"/>
          <w:sz w:val="21"/>
          <w:szCs w:val="21"/>
          <w:lang w:val="es-ES_tradnl"/>
        </w:rPr>
        <w:t>considerados como sanciones?</w:t>
      </w:r>
    </w:p>
    <w:p w14:paraId="256A459F"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3.</w:t>
      </w:r>
      <w:r>
        <w:rPr>
          <w:rFonts w:ascii="Arial" w:eastAsia="Calibri" w:hAnsi="Arial" w:cs="Arial"/>
          <w:color w:val="000000" w:themeColor="text1"/>
          <w:sz w:val="21"/>
          <w:szCs w:val="21"/>
          <w:lang w:val="es-ES_tradnl"/>
        </w:rPr>
        <w:t xml:space="preserve"> </w:t>
      </w:r>
      <w:r w:rsidRPr="007E3047">
        <w:rPr>
          <w:rFonts w:ascii="Arial" w:eastAsia="Calibri" w:hAnsi="Arial" w:cs="Arial"/>
          <w:color w:val="000000" w:themeColor="text1"/>
          <w:sz w:val="21"/>
          <w:szCs w:val="21"/>
          <w:lang w:val="es-ES_tradnl"/>
        </w:rPr>
        <w:t>En el marco de la compra pública, ¿es posible aplicar acuerdos de niveles de servicio y posteriormente bajo los mismos hechos iniciar una actuación administrativa sancionatoria que conlleve a una sanción?</w:t>
      </w:r>
    </w:p>
    <w:p w14:paraId="78FDA20D"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4. En el marco de la compra pública, ¿se pueden pactar acuerdos de niveles de servicio en los contratos estatales para definir estándares de calidad en la prestación del servicio?</w:t>
      </w:r>
    </w:p>
    <w:p w14:paraId="353EBCE4"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lastRenderedPageBreak/>
        <w:t>»</w:t>
      </w:r>
      <w:r w:rsidRPr="007E3047">
        <w:rPr>
          <w:rFonts w:ascii="Arial" w:eastAsia="Calibri" w:hAnsi="Arial" w:cs="Arial"/>
          <w:color w:val="000000" w:themeColor="text1"/>
          <w:sz w:val="21"/>
          <w:szCs w:val="21"/>
          <w:lang w:val="es-ES_tradnl"/>
        </w:rPr>
        <w:t>5. En este sentido, frente a un incumplimiento de un acuerdo de nivel de servicio ¿se pueden pactar cláusulas que incorporen consecuencias económicas como lo son los descuentos?</w:t>
      </w:r>
    </w:p>
    <w:p w14:paraId="42E14D85"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6. En el marco de la compra pública ¿existe un procedimiento para aplicar descuentos por acuerdos de niveles de servicio?, de ser el caso, ¿esta incorporado en la implementación de los documentos tipo?</w:t>
      </w:r>
    </w:p>
    <w:p w14:paraId="5867C739"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7. ¿Cuál es el fundamento normativo para dar aplicación a los acuerdos de niveles de servicio?</w:t>
      </w:r>
    </w:p>
    <w:p w14:paraId="2052C2BB" w14:textId="77777777" w:rsidR="00636121" w:rsidRPr="007E3047"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8. ¿Las cláusulas de descuento por indicadores de calidad son aplicables a todos contratos estatales o deben contar con condiciones específicas para su incorporación?</w:t>
      </w:r>
    </w:p>
    <w:p w14:paraId="22053E6D" w14:textId="77777777" w:rsidR="00636121" w:rsidRPr="00484418" w:rsidRDefault="00636121" w:rsidP="00636121">
      <w:pPr>
        <w:tabs>
          <w:tab w:val="left" w:pos="426"/>
        </w:tabs>
        <w:spacing w:before="120"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E3047">
        <w:rPr>
          <w:rFonts w:ascii="Arial" w:eastAsia="Calibri" w:hAnsi="Arial" w:cs="Arial"/>
          <w:color w:val="000000" w:themeColor="text1"/>
          <w:sz w:val="21"/>
          <w:szCs w:val="21"/>
          <w:lang w:val="es-ES_tradnl"/>
        </w:rPr>
        <w:t>9. ¿Cómo se realiza la medición del cumplimiento de los niveles de servicio en la contratación pública?</w:t>
      </w:r>
      <w:r>
        <w:rPr>
          <w:rFonts w:ascii="Arial" w:eastAsia="Calibri" w:hAnsi="Arial" w:cs="Arial"/>
          <w:color w:val="000000" w:themeColor="text1"/>
          <w:sz w:val="21"/>
          <w:szCs w:val="21"/>
          <w:lang w:val="es-ES_tradnl"/>
        </w:rPr>
        <w:t>»</w:t>
      </w:r>
    </w:p>
    <w:p w14:paraId="3E38A1CE" w14:textId="77777777" w:rsidR="00636121" w:rsidRPr="002A150C" w:rsidRDefault="00636121" w:rsidP="00636121">
      <w:pPr>
        <w:spacing w:after="0" w:line="276" w:lineRule="auto"/>
        <w:jc w:val="both"/>
        <w:rPr>
          <w:rFonts w:ascii="Arial" w:eastAsia="Calibri" w:hAnsi="Arial" w:cs="Arial"/>
          <w:color w:val="000000" w:themeColor="text1"/>
          <w:lang w:val="es-ES_tradnl"/>
        </w:rPr>
      </w:pPr>
    </w:p>
    <w:p w14:paraId="1DA43D3F" w14:textId="77777777" w:rsidR="00636121" w:rsidRPr="0090644D" w:rsidRDefault="00636121" w:rsidP="00636121">
      <w:pPr>
        <w:tabs>
          <w:tab w:val="left" w:pos="0"/>
        </w:tabs>
        <w:spacing w:after="0" w:line="276" w:lineRule="auto"/>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Para la mayoría de los contratos estatales, ni el Estatuto General de Contratación de la Administración Pública ni sus normas complementarias y reglamentarias regulan expresamente los «acuerdos de niveles de servicio», ni brindan a las entidades estatales la competencia para efectuar un descuento, </w:t>
      </w:r>
      <w:r w:rsidRPr="002B30C3">
        <w:rPr>
          <w:rFonts w:ascii="Arial" w:eastAsia="Calibri" w:hAnsi="Arial" w:cs="Arial"/>
          <w:i/>
          <w:iCs/>
          <w:color w:val="000000"/>
          <w:lang w:val="es-ES_tradnl" w:eastAsia="es-ES_tradnl"/>
        </w:rPr>
        <w:t>de plano</w:t>
      </w:r>
      <w:r>
        <w:rPr>
          <w:rFonts w:ascii="Arial" w:eastAsia="Calibri" w:hAnsi="Arial" w:cs="Arial"/>
          <w:color w:val="000000"/>
          <w:lang w:val="es-ES_tradnl" w:eastAsia="es-ES_tradnl"/>
        </w:rPr>
        <w:t xml:space="preserve">, de sumas de dinero al contratista por el incumplimiento de los hitos contractuales o compromisos acordados en el contrato. La referencia más cercana a la expresión se encuentra en el régimen de las asociaciones </w:t>
      </w:r>
      <w:proofErr w:type="gramStart"/>
      <w:r>
        <w:rPr>
          <w:rFonts w:ascii="Arial" w:eastAsia="Calibri" w:hAnsi="Arial" w:cs="Arial"/>
          <w:color w:val="000000"/>
          <w:lang w:val="es-ES_tradnl" w:eastAsia="es-ES_tradnl"/>
        </w:rPr>
        <w:t>público privadas</w:t>
      </w:r>
      <w:proofErr w:type="gramEnd"/>
      <w:r>
        <w:rPr>
          <w:rFonts w:ascii="Arial" w:eastAsia="Calibri" w:hAnsi="Arial" w:cs="Arial"/>
          <w:color w:val="000000"/>
          <w:lang w:val="es-ES_tradnl" w:eastAsia="es-ES_tradnl"/>
        </w:rPr>
        <w:t xml:space="preserve"> (APP), que sí establece los «niveles de servicio» como una condición de retribución e incluso permite efectuar ciertos descuentos por este concepto. Pero, como se sabe, este es un régimen que aplica solo a los contratos de APP. Por tanto, para los demás contratos estatales los acuerdos de niveles de servicios constituyen una figura </w:t>
      </w:r>
      <w:r>
        <w:rPr>
          <w:rFonts w:ascii="Arial" w:eastAsia="Calibri" w:hAnsi="Arial" w:cs="Arial"/>
          <w:i/>
          <w:iCs/>
          <w:color w:val="000000"/>
          <w:lang w:val="es-ES_tradnl" w:eastAsia="es-ES_tradnl"/>
        </w:rPr>
        <w:t>atípica</w:t>
      </w:r>
      <w:r>
        <w:rPr>
          <w:rFonts w:ascii="Arial" w:eastAsia="Calibri" w:hAnsi="Arial" w:cs="Arial"/>
          <w:color w:val="000000"/>
          <w:lang w:val="es-ES_tradnl" w:eastAsia="es-ES_tradnl"/>
        </w:rPr>
        <w:t>, pues no se encuentra tipificada ni regulada.</w:t>
      </w:r>
    </w:p>
    <w:p w14:paraId="40CE5275"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Ahora, sin perjuicio de lo expuesto, el segundo inciso del artículo 40 de la Ley 80 de 1993 dispone que «</w:t>
      </w:r>
      <w:r w:rsidRPr="000231C8">
        <w:rPr>
          <w:rFonts w:ascii="Arial" w:eastAsia="Calibri" w:hAnsi="Arial" w:cs="Arial"/>
          <w:color w:val="000000"/>
          <w:lang w:val="es-ES_tradnl" w:eastAsia="es-ES_tradnl"/>
        </w:rPr>
        <w:t>Las entidades podrán celebrar los contratos y acuerdos que permitan la autonomía de la voluntad y requieran el cumplimiento de los fines estatales</w:t>
      </w:r>
      <w:r>
        <w:rPr>
          <w:rFonts w:ascii="Arial" w:eastAsia="Calibri" w:hAnsi="Arial" w:cs="Arial"/>
          <w:color w:val="000000"/>
          <w:lang w:val="es-ES_tradnl" w:eastAsia="es-ES_tradnl"/>
        </w:rPr>
        <w:t>»</w:t>
      </w:r>
      <w:r w:rsidRPr="000231C8">
        <w:rPr>
          <w:rFonts w:ascii="Arial" w:eastAsia="Calibri" w:hAnsi="Arial" w:cs="Arial"/>
          <w:color w:val="000000"/>
          <w:lang w:val="es-ES_tradnl" w:eastAsia="es-ES_tradnl"/>
        </w:rPr>
        <w:t>.</w:t>
      </w:r>
      <w:r>
        <w:rPr>
          <w:rFonts w:ascii="Arial" w:eastAsia="Calibri" w:hAnsi="Arial" w:cs="Arial"/>
          <w:color w:val="000000"/>
          <w:lang w:val="es-ES_tradnl" w:eastAsia="es-ES_tradnl"/>
        </w:rPr>
        <w:t xml:space="preserve"> Esto significa que las entidades pueden acordar con el contratista incluir estipulaciones que propendan por el cumplimiento efectivo del objeto contractual, siempre que estas cláusulas sean acordes con los límites consagrados en las normas de orden público, es decir, que no incurran en causales de nulidad. Por ende, nada obsta para que, dentro de estas estipulaciones, las partes, por ejemplo, acuerden estándares o hitos de cumplimiento. Más aún, el artículo 17 de la Ley 1150 de 2007, como se indicó, permite pactar multas y cláusulas penales pecuniarias y faculta a las entidades estatales para hacerlas efectivas unilateralmente.</w:t>
      </w:r>
    </w:p>
    <w:p w14:paraId="463E31AA"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Sin embargo, como también se señaló, el referido artículo 17 establece que independientemente de que estas medidas sancionatorias hayan sido acordadas por las partes, su imposición por la entidad estatal debe estar precedida de la garantía del debido proceso, derecho fundamental que se concreta en el trámite del procedimiento administrativo sancionatorio regulado en el artículo 86 de la Ley 1474 de 2011, cuyas etapas fueron expuestas en el acápite anterior. Esto permite señalar que cualquiera sea la denominación que en el contrato tengan las </w:t>
      </w:r>
      <w:r>
        <w:rPr>
          <w:rFonts w:ascii="Arial" w:eastAsia="Calibri" w:hAnsi="Arial" w:cs="Arial"/>
          <w:color w:val="000000"/>
          <w:lang w:val="es-ES_tradnl" w:eastAsia="es-ES_tradnl"/>
        </w:rPr>
        <w:lastRenderedPageBreak/>
        <w:t>sanciones por incumplimiento parcial, su efectividad debe cumplir con la garantía del debido proceso. Dicho de otra manera, así las multas o cláusulas penales se nombren en el contrato como «acuerdos de niveles de servicio», no pueden aplicarse de plano, sino garantizando el debido proceso.</w:t>
      </w:r>
    </w:p>
    <w:p w14:paraId="5B041475"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Según se indicó, los «acuerdos de niveles de servicio» no se encuentran regulados en el Estatuto General de Contratación de la Administración Pública, ni en sus normas complementarias y reglamentarias, sino solo para los contratos de APP. Esto dificulta señalar con carácter definitivo o absoluto cuál es su naturaleza jurídica y, concretamente, si es sancionatoria o no. Justamente, por su carácter </w:t>
      </w:r>
      <w:r>
        <w:rPr>
          <w:rFonts w:ascii="Arial" w:eastAsia="Calibri" w:hAnsi="Arial" w:cs="Arial"/>
          <w:i/>
          <w:iCs/>
          <w:color w:val="000000"/>
          <w:lang w:val="es-ES_tradnl" w:eastAsia="es-ES_tradnl"/>
        </w:rPr>
        <w:t>atípico</w:t>
      </w:r>
      <w:r>
        <w:rPr>
          <w:rFonts w:ascii="Arial" w:eastAsia="Calibri" w:hAnsi="Arial" w:cs="Arial"/>
          <w:color w:val="000000"/>
          <w:lang w:val="es-ES_tradnl" w:eastAsia="es-ES_tradnl"/>
        </w:rPr>
        <w:t xml:space="preserve">, la determinación de su naturaleza depende de la forma como las partes hayan pactado dichos </w:t>
      </w:r>
      <w:r>
        <w:rPr>
          <w:rFonts w:ascii="Arial" w:eastAsia="Calibri" w:hAnsi="Arial" w:cs="Arial"/>
          <w:i/>
          <w:iCs/>
          <w:color w:val="000000"/>
          <w:lang w:val="es-ES_tradnl" w:eastAsia="es-ES_tradnl"/>
        </w:rPr>
        <w:t>acuerdos</w:t>
      </w:r>
      <w:r>
        <w:rPr>
          <w:rFonts w:ascii="Arial" w:eastAsia="Calibri" w:hAnsi="Arial" w:cs="Arial"/>
          <w:color w:val="000000"/>
          <w:lang w:val="es-ES_tradnl" w:eastAsia="es-ES_tradnl"/>
        </w:rPr>
        <w:t xml:space="preserve"> en el contrato en cada caso. Ahora bien, la costumbre negocial refleja que, usualmente, estos </w:t>
      </w:r>
      <w:r>
        <w:rPr>
          <w:rFonts w:ascii="Arial" w:eastAsia="Calibri" w:hAnsi="Arial" w:cs="Arial"/>
          <w:i/>
          <w:iCs/>
          <w:color w:val="000000"/>
          <w:lang w:val="es-ES_tradnl" w:eastAsia="es-ES_tradnl"/>
        </w:rPr>
        <w:t>acuerdos</w:t>
      </w:r>
      <w:r>
        <w:rPr>
          <w:rFonts w:ascii="Arial" w:eastAsia="Calibri" w:hAnsi="Arial" w:cs="Arial"/>
          <w:color w:val="000000"/>
          <w:lang w:val="es-ES_tradnl" w:eastAsia="es-ES_tradnl"/>
        </w:rPr>
        <w:t xml:space="preserve"> son estipulaciones mediante las cuales el contratista se compromete a ejecutar sus obligaciones con un determinado grado de calidad o eficiencia, para, en caso de no cumplir con tal nivel de satisfacción, ver disminuida en parte su remuneración en virtud del descuento que le realiza el contratante.</w:t>
      </w:r>
    </w:p>
    <w:p w14:paraId="4691B434" w14:textId="77777777" w:rsidR="00636121" w:rsidRDefault="00636121" w:rsidP="00636121">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Sin embargo, el debido proceso, como principio rector de las actuaciones contractuales, impide que tales descuentos por la inobservancia de los niveles de servicio acordados se practiquen automáticamente, es decir, sin un trámite previo en el cual el contratista tenga la oportunidad de ejercer sus derechos de audiencia, defensa y los demás que integran dicho derecho fundamental. En efecto, como indicó recientemente el Consejo de Estado:</w:t>
      </w:r>
    </w:p>
    <w:p w14:paraId="5EBB17B7" w14:textId="77777777" w:rsidR="00636121"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p>
    <w:p w14:paraId="4A89A5BD" w14:textId="77777777" w:rsidR="00636121" w:rsidRPr="006E09DE" w:rsidRDefault="00636121" w:rsidP="00636121">
      <w:pPr>
        <w:tabs>
          <w:tab w:val="left" w:pos="0"/>
        </w:tabs>
        <w:spacing w:after="0" w:line="240" w:lineRule="auto"/>
        <w:ind w:left="709" w:right="709"/>
        <w:jc w:val="both"/>
        <w:rPr>
          <w:rFonts w:ascii="Arial" w:hAnsi="Arial" w:cs="Arial"/>
          <w:sz w:val="21"/>
          <w:szCs w:val="21"/>
        </w:rPr>
      </w:pPr>
      <w:r w:rsidRPr="00EC02D6">
        <w:rPr>
          <w:rFonts w:ascii="Arial" w:hAnsi="Arial" w:cs="Arial"/>
          <w:sz w:val="21"/>
          <w:szCs w:val="21"/>
        </w:rPr>
        <w:t>En las actuaciones administrativas contractuales el debido proceso tiene papel preponderante, en tanto que, como resultado de éstas se pueden generar afectaciones a variados derechos de los contratistas, motivo por el cual, cuando en pro de la continua y eficiente prestación de los servicios y bienes objeto de la contratación estatal se haga necesario adoptar una decisión en contra de los intereses del administrado, ello debe ser el resultado de la observancia de un procedimiento que preserve la realización de las garantías del debido proceso; en tal</w:t>
      </w:r>
      <w:r>
        <w:rPr>
          <w:rFonts w:ascii="Arial" w:hAnsi="Arial" w:cs="Arial"/>
          <w:sz w:val="21"/>
          <w:szCs w:val="21"/>
        </w:rPr>
        <w:t xml:space="preserve"> </w:t>
      </w:r>
      <w:r w:rsidRPr="006E09DE">
        <w:rPr>
          <w:rFonts w:ascii="Arial" w:hAnsi="Arial" w:cs="Arial"/>
          <w:sz w:val="21"/>
          <w:szCs w:val="21"/>
        </w:rPr>
        <w:t>virtud, el respeto de ese derecho torna en improcedente la imposición de plano de</w:t>
      </w:r>
      <w:r>
        <w:rPr>
          <w:rFonts w:ascii="Arial" w:hAnsi="Arial" w:cs="Arial"/>
          <w:sz w:val="21"/>
          <w:szCs w:val="21"/>
        </w:rPr>
        <w:t xml:space="preserve"> </w:t>
      </w:r>
      <w:r w:rsidRPr="006E09DE">
        <w:rPr>
          <w:rFonts w:ascii="Arial" w:hAnsi="Arial" w:cs="Arial"/>
          <w:sz w:val="21"/>
          <w:szCs w:val="21"/>
        </w:rPr>
        <w:t>dichas decisiones</w:t>
      </w:r>
      <w:r>
        <w:rPr>
          <w:rStyle w:val="Refdenotaalpie"/>
          <w:rFonts w:ascii="Arial" w:hAnsi="Arial" w:cs="Arial"/>
          <w:sz w:val="21"/>
          <w:szCs w:val="21"/>
        </w:rPr>
        <w:footnoteReference w:id="20"/>
      </w:r>
      <w:r>
        <w:rPr>
          <w:rFonts w:ascii="Arial" w:hAnsi="Arial" w:cs="Arial"/>
          <w:sz w:val="21"/>
          <w:szCs w:val="21"/>
        </w:rPr>
        <w:t>.</w:t>
      </w:r>
    </w:p>
    <w:p w14:paraId="1DA830D5" w14:textId="77777777" w:rsidR="00636121"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p>
    <w:p w14:paraId="586627CE" w14:textId="77777777" w:rsidR="00636121" w:rsidRDefault="00636121" w:rsidP="00636121">
      <w:pPr>
        <w:tabs>
          <w:tab w:val="left" w:pos="0"/>
        </w:tabs>
        <w:spacing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En suma, si una entidad estatal sometida al Estatuto General de Contratación de la Administración pública estipula acuerdos de niveles de servicio en el contrato, pactándolos como multas o cláusulas penales por el incumplimiento de los estándares de calidad o servicio por parte del contratista, debe cumplir con lo establecido en el artículo 17 de la Ley 1150 de 2007, que, a su vez, se concreta en el procedimiento administrativo sancionatorio regulado en el artículo 86 de la Ley 1474 de 2011. Si aplicado el procedimiento se decreta el incumplimiento y se procede con el descuento, ese mismo hecho y fundamento no podría dar lugar a la imposición de otra sanción que tenga la misma naturaleza jurídica –por ejemplo, de otra multa, si el acuerdo de nivel de servicio pactado tiene la misma naturaleza de aquella–, porque se menoscabaría el principio </w:t>
      </w:r>
      <w:proofErr w:type="spellStart"/>
      <w:r>
        <w:rPr>
          <w:rFonts w:ascii="Arial" w:eastAsia="Calibri" w:hAnsi="Arial" w:cs="Arial"/>
          <w:i/>
          <w:iCs/>
          <w:color w:val="000000"/>
          <w:lang w:val="es-ES_tradnl" w:eastAsia="es-ES_tradnl"/>
        </w:rPr>
        <w:lastRenderedPageBreak/>
        <w:t>nom</w:t>
      </w:r>
      <w:proofErr w:type="spellEnd"/>
      <w:r>
        <w:rPr>
          <w:rFonts w:ascii="Arial" w:eastAsia="Calibri" w:hAnsi="Arial" w:cs="Arial"/>
          <w:i/>
          <w:iCs/>
          <w:color w:val="000000"/>
          <w:lang w:val="es-ES_tradnl" w:eastAsia="es-ES_tradnl"/>
        </w:rPr>
        <w:t xml:space="preserve"> bis in </w:t>
      </w:r>
      <w:proofErr w:type="spellStart"/>
      <w:r>
        <w:rPr>
          <w:rFonts w:ascii="Arial" w:eastAsia="Calibri" w:hAnsi="Arial" w:cs="Arial"/>
          <w:i/>
          <w:iCs/>
          <w:color w:val="000000"/>
          <w:lang w:val="es-ES_tradnl" w:eastAsia="es-ES_tradnl"/>
        </w:rPr>
        <w:t>idem</w:t>
      </w:r>
      <w:proofErr w:type="spellEnd"/>
      <w:r>
        <w:rPr>
          <w:rFonts w:ascii="Arial" w:eastAsia="Calibri" w:hAnsi="Arial" w:cs="Arial"/>
          <w:color w:val="000000"/>
          <w:lang w:val="es-ES_tradnl" w:eastAsia="es-ES_tradnl"/>
        </w:rPr>
        <w:t>, que también integra el derecho fundamental al debido proceso y que prohíbe sancionar dos o más veces por el mismo hecho. En definitiva, los acuerdos de niveles de servicio se pueden pactar, en ejercicio de la autonomía de la voluntad, pero, si su naturaleza se determina como sancionatoria en el contrato, su aplicación debe estar precedida por la garantía del debido proceso.</w:t>
      </w:r>
    </w:p>
    <w:p w14:paraId="6211EE2A" w14:textId="77777777" w:rsidR="00636121" w:rsidRPr="00FF0EEA" w:rsidRDefault="00636121" w:rsidP="00636121">
      <w:pPr>
        <w:snapToGrid w:val="0"/>
        <w:spacing w:before="120" w:after="0" w:line="276" w:lineRule="auto"/>
        <w:ind w:firstLine="709"/>
        <w:jc w:val="both"/>
        <w:rPr>
          <w:rFonts w:ascii="Arial" w:eastAsia="Calibri" w:hAnsi="Arial" w:cs="Arial"/>
          <w:bCs/>
          <w:color w:val="000000" w:themeColor="text1"/>
          <w:lang w:val="es-ES_tradnl"/>
        </w:rPr>
      </w:pPr>
    </w:p>
    <w:p w14:paraId="64EAA369" w14:textId="77777777" w:rsidR="00636121" w:rsidRPr="002A150C" w:rsidRDefault="00636121" w:rsidP="00636121">
      <w:pPr>
        <w:spacing w:after="0" w:line="276" w:lineRule="auto"/>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Este concepto tiene el alcance previsto en el artículo 28 del Código de Procedimiento Administrativo y de lo Contencioso Administrativo.</w:t>
      </w:r>
    </w:p>
    <w:p w14:paraId="188BF167" w14:textId="77777777" w:rsidR="00636121" w:rsidRPr="002A150C" w:rsidRDefault="00636121" w:rsidP="00636121">
      <w:pPr>
        <w:spacing w:before="120" w:after="0" w:line="276" w:lineRule="auto"/>
        <w:jc w:val="both"/>
        <w:rPr>
          <w:rFonts w:ascii="Arial" w:eastAsia="Times New Roman" w:hAnsi="Arial" w:cs="Arial"/>
          <w:color w:val="000000" w:themeColor="text1"/>
          <w:szCs w:val="24"/>
          <w:lang w:val="es-ES_tradnl" w:eastAsia="es-ES_tradnl"/>
        </w:rPr>
      </w:pPr>
    </w:p>
    <w:p w14:paraId="4BB8B25E" w14:textId="77777777" w:rsidR="00636121" w:rsidRPr="002A150C" w:rsidRDefault="00636121" w:rsidP="00636121">
      <w:pPr>
        <w:spacing w:after="0" w:line="276" w:lineRule="auto"/>
        <w:jc w:val="both"/>
        <w:rPr>
          <w:rFonts w:ascii="Arial" w:eastAsia="Times New Roman" w:hAnsi="Arial" w:cs="Arial"/>
          <w:color w:val="000000" w:themeColor="text1"/>
          <w:lang w:val="es-ES_tradnl" w:eastAsia="es-CO"/>
        </w:rPr>
      </w:pPr>
      <w:r w:rsidRPr="002A150C">
        <w:rPr>
          <w:rFonts w:ascii="Arial" w:eastAsia="Times New Roman" w:hAnsi="Arial" w:cs="Arial"/>
          <w:color w:val="000000" w:themeColor="text1"/>
          <w:lang w:val="es-ES_tradnl" w:eastAsia="es-CO"/>
        </w:rPr>
        <w:t>Atentamente,</w:t>
      </w:r>
      <w:bookmarkEnd w:id="0"/>
      <w:bookmarkEnd w:id="1"/>
    </w:p>
    <w:p w14:paraId="079F9199" w14:textId="77777777" w:rsidR="00636121" w:rsidRPr="002A150C" w:rsidRDefault="00636121" w:rsidP="00636121">
      <w:pPr>
        <w:pStyle w:val="Sinespaciado"/>
        <w:rPr>
          <w:rFonts w:ascii="Arial" w:hAnsi="Arial" w:cs="Arial"/>
          <w:color w:val="000000" w:themeColor="text1"/>
          <w:sz w:val="18"/>
          <w:szCs w:val="18"/>
        </w:rPr>
      </w:pPr>
    </w:p>
    <w:p w14:paraId="0FA15F12" w14:textId="3A6E2A8E" w:rsidR="00636121" w:rsidRPr="002A150C" w:rsidRDefault="005337DC" w:rsidP="00636121">
      <w:pPr>
        <w:pStyle w:val="Sinespaciado"/>
        <w:jc w:val="center"/>
        <w:rPr>
          <w:rFonts w:ascii="Arial" w:hAnsi="Arial" w:cs="Arial"/>
          <w:color w:val="000000" w:themeColor="text1"/>
          <w:sz w:val="18"/>
          <w:szCs w:val="18"/>
        </w:rPr>
      </w:pPr>
      <w:r>
        <w:rPr>
          <w:noProof/>
        </w:rPr>
        <w:drawing>
          <wp:inline distT="0" distB="0" distL="0" distR="0" wp14:anchorId="2F636C4E" wp14:editId="143EBEE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CC8E9C4" w14:textId="77777777" w:rsidR="00636121" w:rsidRPr="002A150C" w:rsidRDefault="00636121" w:rsidP="00636121">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36121" w:rsidRPr="002A150C" w14:paraId="5AE3A7A8" w14:textId="77777777" w:rsidTr="0051464C">
        <w:trPr>
          <w:trHeight w:val="160"/>
        </w:trPr>
        <w:tc>
          <w:tcPr>
            <w:tcW w:w="812" w:type="dxa"/>
            <w:vAlign w:val="center"/>
            <w:hideMark/>
          </w:tcPr>
          <w:p w14:paraId="02BCCED6"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205797EC"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 xml:space="preserve">Cristian Andrés Díaz Díez </w:t>
            </w:r>
          </w:p>
          <w:p w14:paraId="5B6C0AB5"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Contratista de la Subdirección de Gestión Contractual</w:t>
            </w:r>
          </w:p>
        </w:tc>
      </w:tr>
      <w:tr w:rsidR="00636121" w:rsidRPr="002A150C" w14:paraId="11E7F034" w14:textId="77777777" w:rsidTr="0051464C">
        <w:trPr>
          <w:trHeight w:val="330"/>
        </w:trPr>
        <w:tc>
          <w:tcPr>
            <w:tcW w:w="812" w:type="dxa"/>
            <w:vAlign w:val="center"/>
            <w:hideMark/>
          </w:tcPr>
          <w:p w14:paraId="6AA3B311"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519879E"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Diana Carolina Armenta Celis</w:t>
            </w:r>
          </w:p>
          <w:p w14:paraId="5F747636"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Contratista</w:t>
            </w:r>
            <w:r w:rsidRPr="002A150C">
              <w:rPr>
                <w:rFonts w:ascii="Arial" w:eastAsia="Times New Roman" w:hAnsi="Arial" w:cs="Arial"/>
                <w:color w:val="000000" w:themeColor="text1"/>
                <w:sz w:val="16"/>
                <w:szCs w:val="16"/>
                <w:lang w:val="es-ES_tradnl" w:eastAsia="es-ES"/>
              </w:rPr>
              <w:t xml:space="preserve"> de la Subdirección de Gestión Contractual</w:t>
            </w:r>
          </w:p>
        </w:tc>
      </w:tr>
      <w:tr w:rsidR="00636121" w:rsidRPr="002A150C" w14:paraId="74BC6477" w14:textId="77777777" w:rsidTr="0051464C">
        <w:trPr>
          <w:trHeight w:val="300"/>
        </w:trPr>
        <w:tc>
          <w:tcPr>
            <w:tcW w:w="812" w:type="dxa"/>
            <w:vAlign w:val="center"/>
            <w:hideMark/>
          </w:tcPr>
          <w:p w14:paraId="09F6B4AA"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587D92F5" w14:textId="77777777" w:rsidR="00636121" w:rsidRPr="002A150C" w:rsidRDefault="00636121" w:rsidP="0051464C">
            <w:pPr>
              <w:rPr>
                <w:rFonts w:ascii="Arial" w:eastAsia="Times New Roman" w:hAnsi="Arial" w:cs="Arial"/>
                <w:color w:val="000000" w:themeColor="text1"/>
                <w:sz w:val="24"/>
                <w:szCs w:val="24"/>
                <w:lang w:val="es-ES_tradnl" w:eastAsia="es-ES_tradnl"/>
              </w:rPr>
            </w:pPr>
            <w:r w:rsidRPr="002A150C">
              <w:rPr>
                <w:rFonts w:ascii="Arial" w:eastAsia="Arial" w:hAnsi="Arial" w:cs="Arial"/>
                <w:color w:val="000000" w:themeColor="text1"/>
                <w:sz w:val="16"/>
                <w:szCs w:val="16"/>
                <w:lang w:val="es-ES_tradnl" w:eastAsia="es-ES_tradnl"/>
              </w:rPr>
              <w:t xml:space="preserve">Nohelia del Carmen </w:t>
            </w:r>
            <w:proofErr w:type="spellStart"/>
            <w:r w:rsidRPr="002A150C">
              <w:rPr>
                <w:rFonts w:ascii="Arial" w:eastAsia="Arial" w:hAnsi="Arial" w:cs="Arial"/>
                <w:color w:val="000000" w:themeColor="text1"/>
                <w:sz w:val="16"/>
                <w:szCs w:val="16"/>
                <w:lang w:val="es-ES_tradnl" w:eastAsia="es-ES_tradnl"/>
              </w:rPr>
              <w:t>Zawady</w:t>
            </w:r>
            <w:proofErr w:type="spellEnd"/>
            <w:r w:rsidRPr="002A150C">
              <w:rPr>
                <w:rFonts w:ascii="Arial" w:eastAsia="Arial" w:hAnsi="Arial" w:cs="Arial"/>
                <w:color w:val="000000" w:themeColor="text1"/>
                <w:sz w:val="16"/>
                <w:szCs w:val="16"/>
                <w:lang w:val="es-ES_tradnl" w:eastAsia="es-ES_tradnl"/>
              </w:rPr>
              <w:t xml:space="preserve"> Palacio</w:t>
            </w:r>
          </w:p>
          <w:p w14:paraId="647B997E" w14:textId="77777777" w:rsidR="00636121" w:rsidRPr="002A150C" w:rsidRDefault="00636121" w:rsidP="0051464C">
            <w:pPr>
              <w:jc w:val="both"/>
              <w:rPr>
                <w:rFonts w:ascii="Arial" w:eastAsia="Times New Roman" w:hAnsi="Arial" w:cs="Arial"/>
                <w:color w:val="000000" w:themeColor="text1"/>
                <w:sz w:val="16"/>
                <w:szCs w:val="16"/>
                <w:lang w:val="es-ES_tradnl" w:eastAsia="es-ES"/>
              </w:rPr>
            </w:pPr>
            <w:r w:rsidRPr="002A150C">
              <w:rPr>
                <w:rFonts w:ascii="Arial" w:eastAsia="Arial" w:hAnsi="Arial" w:cs="Arial"/>
                <w:color w:val="000000" w:themeColor="text1"/>
                <w:sz w:val="16"/>
                <w:szCs w:val="16"/>
                <w:lang w:val="es-ES_tradnl" w:eastAsia="es-ES_tradnl"/>
              </w:rPr>
              <w:t>Subdirectora de Gestión Contractual</w:t>
            </w:r>
          </w:p>
        </w:tc>
      </w:tr>
    </w:tbl>
    <w:p w14:paraId="7A67266F" w14:textId="77777777" w:rsidR="00636121" w:rsidRPr="002A150C" w:rsidRDefault="00636121" w:rsidP="00636121">
      <w:pPr>
        <w:rPr>
          <w:rFonts w:ascii="Arial" w:hAnsi="Arial" w:cs="Arial"/>
          <w:color w:val="000000" w:themeColor="text1"/>
          <w:lang w:val="es-ES_tradnl"/>
        </w:rPr>
      </w:pPr>
    </w:p>
    <w:p w14:paraId="623A5E3E" w14:textId="77777777" w:rsidR="00636121" w:rsidRPr="002A150C" w:rsidRDefault="00636121" w:rsidP="00636121">
      <w:pPr>
        <w:spacing w:after="0" w:line="276" w:lineRule="auto"/>
        <w:jc w:val="both"/>
        <w:rPr>
          <w:rFonts w:ascii="Arial" w:eastAsia="Times New Roman" w:hAnsi="Arial" w:cs="Arial"/>
          <w:color w:val="000000" w:themeColor="text1"/>
          <w:sz w:val="24"/>
          <w:szCs w:val="24"/>
          <w:lang w:val="es-ES_tradnl" w:eastAsia="es-ES_tradnl"/>
        </w:rPr>
      </w:pPr>
      <w:r w:rsidRPr="002A150C">
        <w:rPr>
          <w:rFonts w:ascii="Arial" w:eastAsia="Times New Roman" w:hAnsi="Arial" w:cs="Arial"/>
          <w:color w:val="000000" w:themeColor="text1"/>
          <w:sz w:val="24"/>
          <w:szCs w:val="24"/>
          <w:lang w:val="es-ES_tradnl" w:eastAsia="es-ES_tradnl"/>
        </w:rPr>
        <w:t xml:space="preserve"> </w:t>
      </w:r>
    </w:p>
    <w:p w14:paraId="743E5C58" w14:textId="77777777" w:rsidR="00636121" w:rsidRPr="002A150C" w:rsidRDefault="00636121" w:rsidP="00636121">
      <w:pPr>
        <w:rPr>
          <w:rFonts w:ascii="Arial" w:hAnsi="Arial" w:cs="Arial"/>
          <w:color w:val="000000" w:themeColor="text1"/>
        </w:rPr>
      </w:pPr>
    </w:p>
    <w:p w14:paraId="0F293BF4" w14:textId="0F6FB6C1" w:rsidR="00127233" w:rsidRPr="006219F8" w:rsidRDefault="00127233" w:rsidP="00636121">
      <w:pPr>
        <w:spacing w:after="0" w:line="240" w:lineRule="auto"/>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172B" w14:textId="77777777" w:rsidR="003C013B" w:rsidRDefault="003C013B" w:rsidP="004A1847">
      <w:pPr>
        <w:spacing w:after="0" w:line="240" w:lineRule="auto"/>
      </w:pPr>
      <w:r>
        <w:separator/>
      </w:r>
    </w:p>
  </w:endnote>
  <w:endnote w:type="continuationSeparator" w:id="0">
    <w:p w14:paraId="1B3583D3" w14:textId="77777777" w:rsidR="003C013B" w:rsidRDefault="003C013B" w:rsidP="004A1847">
      <w:pPr>
        <w:spacing w:after="0" w:line="240" w:lineRule="auto"/>
      </w:pPr>
      <w:r>
        <w:continuationSeparator/>
      </w:r>
    </w:p>
  </w:endnote>
  <w:endnote w:type="continuationNotice" w:id="1">
    <w:p w14:paraId="2B7C985E"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altName w:val="Arial"/>
    <w:panose1 w:val="020B0504020202020204"/>
    <w:charset w:val="00"/>
    <w:family w:val="swiss"/>
    <w:pitch w:val="variable"/>
    <w:sig w:usb0="2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1391" w14:textId="77777777" w:rsidR="003C013B" w:rsidRDefault="003C013B" w:rsidP="004A1847">
      <w:pPr>
        <w:spacing w:after="0" w:line="240" w:lineRule="auto"/>
      </w:pPr>
      <w:r>
        <w:separator/>
      </w:r>
    </w:p>
  </w:footnote>
  <w:footnote w:type="continuationSeparator" w:id="0">
    <w:p w14:paraId="523A5E78" w14:textId="77777777" w:rsidR="003C013B" w:rsidRDefault="003C013B" w:rsidP="004A1847">
      <w:pPr>
        <w:spacing w:after="0" w:line="240" w:lineRule="auto"/>
      </w:pPr>
      <w:r>
        <w:continuationSeparator/>
      </w:r>
    </w:p>
  </w:footnote>
  <w:footnote w:type="continuationNotice" w:id="1">
    <w:p w14:paraId="55647DC0" w14:textId="77777777" w:rsidR="00DF1E43" w:rsidRDefault="00DF1E43">
      <w:pPr>
        <w:spacing w:after="0" w:line="240" w:lineRule="auto"/>
      </w:pPr>
    </w:p>
  </w:footnote>
  <w:footnote w:id="2">
    <w:p w14:paraId="03B547D3" w14:textId="77777777" w:rsidR="00636121" w:rsidRPr="005A1DAE" w:rsidRDefault="00636121" w:rsidP="00636121">
      <w:pPr>
        <w:pStyle w:val="Textonotapie"/>
        <w:ind w:firstLine="709"/>
        <w:jc w:val="both"/>
        <w:rPr>
          <w:rFonts w:ascii="Arial" w:hAnsi="Arial" w:cs="Arial"/>
          <w:iCs/>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iCs/>
          <w:color w:val="000000" w:themeColor="text1"/>
          <w:sz w:val="19"/>
          <w:szCs w:val="19"/>
        </w:rPr>
        <w:t xml:space="preserve"> CONSEJO DE ESTADO. Sección Tercera. Sentencia del 12 de julio de 2012. Danilo Rojas Betancourth. Exp. 15.024. C.P. </w:t>
      </w:r>
    </w:p>
    <w:p w14:paraId="5C912BF6" w14:textId="77777777" w:rsidR="00636121" w:rsidRPr="005A1DAE" w:rsidRDefault="00636121" w:rsidP="00636121">
      <w:pPr>
        <w:pStyle w:val="Textonotapie"/>
        <w:ind w:firstLine="709"/>
        <w:jc w:val="both"/>
        <w:rPr>
          <w:rFonts w:ascii="Arial" w:hAnsi="Arial" w:cs="Arial"/>
          <w:color w:val="000000" w:themeColor="text1"/>
          <w:sz w:val="19"/>
          <w:szCs w:val="19"/>
        </w:rPr>
      </w:pPr>
    </w:p>
  </w:footnote>
  <w:footnote w:id="3">
    <w:p w14:paraId="4850730E" w14:textId="77777777" w:rsidR="00636121" w:rsidRPr="005A1DAE" w:rsidRDefault="00636121" w:rsidP="00636121">
      <w:pPr>
        <w:pStyle w:val="Textonotapie"/>
        <w:ind w:firstLine="709"/>
        <w:jc w:val="both"/>
        <w:rPr>
          <w:rFonts w:ascii="Arial" w:hAnsi="Arial" w:cs="Arial"/>
          <w:iCs/>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515AAF22" w14:textId="77777777" w:rsidR="00636121" w:rsidRPr="005A1DAE" w:rsidRDefault="00636121" w:rsidP="00636121">
      <w:pPr>
        <w:pStyle w:val="Textonotapie"/>
        <w:ind w:firstLine="709"/>
        <w:jc w:val="both"/>
        <w:rPr>
          <w:rFonts w:ascii="Arial" w:hAnsi="Arial" w:cs="Arial"/>
          <w:color w:val="000000" w:themeColor="text1"/>
          <w:sz w:val="19"/>
          <w:szCs w:val="19"/>
        </w:rPr>
      </w:pPr>
    </w:p>
  </w:footnote>
  <w:footnote w:id="4">
    <w:p w14:paraId="1EFD9D65"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CONSEJO DE ESTADO. Sección Tercera. Sentencia del 15 de noviembre de 2011. Consejera Ponente: Olga Mélida Valle de De La Hoz. Expediente: 20.916.</w:t>
      </w:r>
    </w:p>
    <w:p w14:paraId="028BF0B4"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p>
  </w:footnote>
  <w:footnote w:id="5">
    <w:p w14:paraId="4D9DE808"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w:t>
      </w:r>
      <w:r w:rsidRPr="005A1DAE">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5A1DAE">
        <w:rPr>
          <w:rFonts w:ascii="Arial" w:hAnsi="Arial" w:cs="Arial"/>
          <w:color w:val="000000" w:themeColor="text1"/>
          <w:sz w:val="19"/>
          <w:szCs w:val="19"/>
        </w:rPr>
        <w:t>CONSEJO DE ESTADO. Sección Tercera. Sentencia del 13 de noviembre de 2008. Consejero Ponente: Enrique Gil Botero.Expediente: 17.009.</w:t>
      </w:r>
    </w:p>
    <w:p w14:paraId="3DDB4F0E" w14:textId="77777777" w:rsidR="00636121" w:rsidRPr="005A1DAE" w:rsidRDefault="00636121" w:rsidP="00636121">
      <w:pPr>
        <w:pStyle w:val="Textonotapie"/>
        <w:ind w:firstLine="709"/>
        <w:jc w:val="both"/>
        <w:rPr>
          <w:rFonts w:ascii="Arial" w:hAnsi="Arial" w:cs="Arial"/>
          <w:iCs/>
          <w:color w:val="000000" w:themeColor="text1"/>
          <w:sz w:val="19"/>
          <w:szCs w:val="19"/>
          <w:lang w:val="es-ES_tradnl"/>
        </w:rPr>
      </w:pPr>
    </w:p>
  </w:footnote>
  <w:footnote w:id="6">
    <w:p w14:paraId="217495E4"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CORTE CONSTITUCIONAL. Sentencia C-827 de 2001. M.P. Álvaro Tafur Galvis.</w:t>
      </w:r>
    </w:p>
    <w:p w14:paraId="10A72273" w14:textId="77777777" w:rsidR="00636121" w:rsidRPr="005A1DAE" w:rsidRDefault="00636121" w:rsidP="00636121">
      <w:pPr>
        <w:pStyle w:val="Textonotapie"/>
        <w:ind w:firstLine="709"/>
        <w:jc w:val="both"/>
        <w:rPr>
          <w:rFonts w:ascii="Arial" w:hAnsi="Arial" w:cs="Arial"/>
          <w:color w:val="000000" w:themeColor="text1"/>
          <w:sz w:val="19"/>
          <w:szCs w:val="19"/>
        </w:rPr>
      </w:pPr>
    </w:p>
  </w:footnote>
  <w:footnote w:id="7">
    <w:p w14:paraId="76E1485A"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vertAlign w:val="superscript"/>
        </w:rPr>
        <w:t xml:space="preserve"> </w:t>
      </w:r>
      <w:r w:rsidRPr="005A1DAE">
        <w:rPr>
          <w:rFonts w:ascii="Arial" w:hAnsi="Arial" w:cs="Arial"/>
          <w:color w:val="000000" w:themeColor="text1"/>
          <w:sz w:val="19"/>
          <w:szCs w:val="19"/>
        </w:rPr>
        <w:t>CONSEJO DE ESTADO. Sección Tercera. Sentencia del 13 de noviembre de 2008. Exp. 17.009. C.P. Enrique Gil Botero.</w:t>
      </w:r>
    </w:p>
    <w:p w14:paraId="3BA195D6" w14:textId="77777777" w:rsidR="00636121" w:rsidRPr="005A1DAE" w:rsidRDefault="00636121" w:rsidP="00636121">
      <w:pPr>
        <w:pStyle w:val="Textonotapie"/>
        <w:ind w:firstLine="709"/>
        <w:jc w:val="both"/>
        <w:rPr>
          <w:rFonts w:ascii="Arial" w:hAnsi="Arial" w:cs="Arial"/>
          <w:color w:val="000000" w:themeColor="text1"/>
          <w:sz w:val="19"/>
          <w:szCs w:val="19"/>
        </w:rPr>
      </w:pPr>
    </w:p>
  </w:footnote>
  <w:footnote w:id="8">
    <w:p w14:paraId="40FE175F"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Ibídem.</w:t>
      </w:r>
    </w:p>
  </w:footnote>
  <w:footnote w:id="9">
    <w:p w14:paraId="6ED36F2D"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Corte Constitucional. Sentencia C-317 de 2012. M.P. María Victoria Calle Correa. </w:t>
      </w:r>
    </w:p>
    <w:p w14:paraId="405CFF1E" w14:textId="77777777" w:rsidR="00636121" w:rsidRPr="005A1DAE" w:rsidRDefault="00636121" w:rsidP="00636121">
      <w:pPr>
        <w:pStyle w:val="Textonotapie"/>
        <w:ind w:firstLine="709"/>
        <w:jc w:val="both"/>
        <w:rPr>
          <w:rFonts w:ascii="Arial" w:hAnsi="Arial" w:cs="Arial"/>
          <w:color w:val="000000" w:themeColor="text1"/>
          <w:sz w:val="19"/>
          <w:szCs w:val="19"/>
        </w:rPr>
      </w:pPr>
    </w:p>
  </w:footnote>
  <w:footnote w:id="10">
    <w:p w14:paraId="4AB3FFC9"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76688C58" w14:textId="77777777" w:rsidR="00636121" w:rsidRPr="005A1DAE" w:rsidRDefault="00636121" w:rsidP="00636121">
      <w:pPr>
        <w:pStyle w:val="Textonotapie"/>
        <w:ind w:firstLine="709"/>
        <w:jc w:val="both"/>
        <w:rPr>
          <w:rFonts w:ascii="Arial" w:hAnsi="Arial" w:cs="Arial"/>
          <w:color w:val="000000" w:themeColor="text1"/>
          <w:sz w:val="19"/>
          <w:szCs w:val="19"/>
        </w:rPr>
      </w:pPr>
    </w:p>
  </w:footnote>
  <w:footnote w:id="11">
    <w:p w14:paraId="23DD135E"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Se entiende por entidades de </w:t>
      </w:r>
      <w:r w:rsidRPr="005A1DAE">
        <w:rPr>
          <w:rFonts w:ascii="Arial" w:hAnsi="Arial" w:cs="Arial"/>
          <w:i/>
          <w:iCs/>
          <w:color w:val="000000" w:themeColor="text1"/>
          <w:sz w:val="19"/>
          <w:szCs w:val="19"/>
        </w:rPr>
        <w:t xml:space="preserve">régimen especial </w:t>
      </w:r>
      <w:r w:rsidRPr="005A1DAE">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733CB950" w14:textId="77777777" w:rsidR="00636121" w:rsidRPr="005A1DAE" w:rsidRDefault="00636121" w:rsidP="00636121">
      <w:pPr>
        <w:pStyle w:val="Textonotapie"/>
        <w:ind w:firstLine="709"/>
        <w:jc w:val="both"/>
        <w:rPr>
          <w:rFonts w:ascii="Arial" w:hAnsi="Arial" w:cs="Arial"/>
          <w:color w:val="000000" w:themeColor="text1"/>
          <w:sz w:val="19"/>
          <w:szCs w:val="19"/>
          <w:lang w:val="es-CO"/>
        </w:rPr>
      </w:pPr>
    </w:p>
  </w:footnote>
  <w:footnote w:id="12">
    <w:p w14:paraId="7B9E2CCB" w14:textId="77777777" w:rsidR="00636121" w:rsidRPr="005A1DAE" w:rsidRDefault="00636121" w:rsidP="00636121">
      <w:pPr>
        <w:pStyle w:val="Textonotapie"/>
        <w:ind w:firstLine="709"/>
        <w:jc w:val="both"/>
        <w:rPr>
          <w:rFonts w:ascii="Arial" w:hAnsi="Arial" w:cs="Arial"/>
          <w:color w:val="000000" w:themeColor="text1"/>
          <w:sz w:val="19"/>
          <w:szCs w:val="19"/>
          <w:lang w:val="es-CO"/>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Esto se ha señalado en distintos conceptos de esta Subdirección, como el C-219 del 29 de abril de 2020, el C-280 del 6 de julio de 2020 y el C–434 del 29 de julio de 2020.</w:t>
      </w:r>
    </w:p>
  </w:footnote>
  <w:footnote w:id="13">
    <w:p w14:paraId="7E2955F6"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12D3C611"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Fonts w:ascii="Arial" w:hAnsi="Arial" w:cs="Arial"/>
          <w:color w:val="000000" w:themeColor="text1"/>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61622BDA"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Fonts w:ascii="Arial" w:hAnsi="Arial" w:cs="Arial"/>
          <w:color w:val="000000" w:themeColor="text1"/>
          <w:sz w:val="19"/>
          <w:szCs w:val="19"/>
        </w:rPr>
        <w:t>»La entidad estatal debe elegir y garantizar los medios electrónicos y de comunicación que utilizará, así como los mecanismos para el registro de la Información generada.</w:t>
      </w:r>
    </w:p>
    <w:p w14:paraId="0E393472" w14:textId="77777777" w:rsidR="00636121" w:rsidRPr="005A1DAE" w:rsidRDefault="00636121" w:rsidP="00636121">
      <w:pPr>
        <w:pStyle w:val="Textonotapie"/>
        <w:ind w:firstLine="709"/>
        <w:jc w:val="both"/>
        <w:rPr>
          <w:rFonts w:ascii="Arial" w:hAnsi="Arial" w:cs="Arial"/>
          <w:color w:val="000000" w:themeColor="text1"/>
          <w:sz w:val="19"/>
          <w:szCs w:val="19"/>
        </w:rPr>
      </w:pPr>
      <w:r w:rsidRPr="005A1DAE">
        <w:rPr>
          <w:rFonts w:ascii="Arial" w:hAnsi="Arial" w:cs="Arial"/>
          <w:color w:val="000000" w:themeColor="text1"/>
          <w:sz w:val="19"/>
          <w:szCs w:val="19"/>
        </w:rPr>
        <w:t>»Sin perjuicio de lo anterior, el ordenador del gasto o funcionario competente podrá decretar la suspensión de términos, inclusive los iniciados con anterioridad a la vigencia de este Decreto».</w:t>
      </w:r>
    </w:p>
    <w:p w14:paraId="439DC29E" w14:textId="77777777" w:rsidR="00636121" w:rsidRPr="005A1DAE" w:rsidRDefault="00636121" w:rsidP="00636121">
      <w:pPr>
        <w:pStyle w:val="Textonotapie"/>
        <w:ind w:firstLine="709"/>
        <w:jc w:val="both"/>
        <w:rPr>
          <w:rFonts w:ascii="Arial" w:hAnsi="Arial" w:cs="Arial"/>
          <w:color w:val="000000" w:themeColor="text1"/>
          <w:sz w:val="19"/>
          <w:szCs w:val="19"/>
          <w:lang w:val="es-CO"/>
        </w:rPr>
      </w:pPr>
      <w:r w:rsidRPr="005A1DAE">
        <w:rPr>
          <w:rFonts w:ascii="Arial" w:hAnsi="Arial" w:cs="Arial"/>
          <w:color w:val="000000" w:themeColor="text1"/>
          <w:sz w:val="19"/>
          <w:szCs w:val="19"/>
        </w:rPr>
        <w:t xml:space="preserve"> </w:t>
      </w:r>
    </w:p>
  </w:footnote>
  <w:footnote w:id="14">
    <w:p w14:paraId="16401300" w14:textId="77777777" w:rsidR="00636121" w:rsidRPr="005A1DAE" w:rsidRDefault="00636121" w:rsidP="00636121">
      <w:pPr>
        <w:pStyle w:val="Textonotapie"/>
        <w:ind w:firstLine="709"/>
        <w:jc w:val="both"/>
        <w:rPr>
          <w:rFonts w:ascii="Arial" w:hAnsi="Arial" w:cs="Arial"/>
          <w:color w:val="000000" w:themeColor="text1"/>
          <w:sz w:val="19"/>
          <w:szCs w:val="19"/>
          <w:lang w:val="es-CO"/>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5">
    <w:p w14:paraId="3325942F"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w:t>
      </w:r>
      <w:r w:rsidRPr="005A1DAE">
        <w:rPr>
          <w:rFonts w:ascii="Arial" w:hAnsi="Arial" w:cs="Arial"/>
          <w:color w:val="000000" w:themeColor="text1"/>
          <w:sz w:val="19"/>
          <w:szCs w:val="19"/>
          <w:lang w:val="es-ES"/>
        </w:rPr>
        <w:t>En efecto, el primer inciso del artículo 5 de la Ley 1508 de 2012 establece que «</w:t>
      </w:r>
      <w:r w:rsidRPr="005A1DAE">
        <w:rPr>
          <w:rFonts w:ascii="Arial" w:hAnsi="Arial" w:cs="Arial"/>
          <w:color w:val="000000" w:themeColor="text1"/>
          <w:sz w:val="19"/>
          <w:szCs w:val="19"/>
          <w:shd w:val="clear" w:color="auto" w:fill="FFFFFF"/>
        </w:rPr>
        <w:t>El derecho al recaudo de recursos por la explotación económica del proyecto, a recibir desembolsos de recursos públicos o a cualquier otra retribución, en proyectos de asociación público-privada, estará condicionado a la disponibilidad de la infraestructura, al cumplimiento de niveles de servicio, y estándares de calidad en las distintas unidades funcionales o etapas del proyecto, y los demás requisitos que determine el reglamento».</w:t>
      </w:r>
    </w:p>
  </w:footnote>
  <w:footnote w:id="16">
    <w:p w14:paraId="43B296DB" w14:textId="77777777" w:rsidR="00636121" w:rsidRPr="005A1DAE" w:rsidRDefault="00636121" w:rsidP="00636121">
      <w:pPr>
        <w:pStyle w:val="Textonotapie"/>
        <w:ind w:firstLine="709"/>
        <w:jc w:val="both"/>
        <w:rPr>
          <w:rFonts w:ascii="Arial" w:hAnsi="Arial" w:cs="Arial"/>
          <w:sz w:val="19"/>
          <w:szCs w:val="19"/>
          <w:lang w:val="es-ES"/>
        </w:rPr>
      </w:pPr>
      <w:r w:rsidRPr="005A1DAE">
        <w:rPr>
          <w:rStyle w:val="Refdenotaalpie"/>
          <w:rFonts w:ascii="Arial" w:hAnsi="Arial" w:cs="Arial"/>
          <w:sz w:val="19"/>
          <w:szCs w:val="19"/>
        </w:rPr>
        <w:footnoteRef/>
      </w:r>
      <w:r w:rsidRPr="005A1DAE">
        <w:rPr>
          <w:rFonts w:ascii="Arial" w:hAnsi="Arial" w:cs="Arial"/>
          <w:sz w:val="19"/>
          <w:szCs w:val="19"/>
        </w:rPr>
        <w:t xml:space="preserve"> </w:t>
      </w:r>
      <w:r w:rsidRPr="005A1DAE">
        <w:rPr>
          <w:rFonts w:ascii="Arial" w:hAnsi="Arial" w:cs="Arial"/>
          <w:sz w:val="19"/>
          <w:szCs w:val="19"/>
          <w:lang w:val="es-ES"/>
        </w:rPr>
        <w:t>Al respecto, el artículo 2.2.2.1.2.5. del Decreto 1082 de 2015 dispone: «Mecanismos de deducciones graduales por Niveles de Servicio y Estándares de Calidad. Los Niveles de Servicio y los Estándares de Calidad, estarán expresamente establecidos en el contrato, y podrán contemplar un esquema de gradualidad, en virtud del cual se efectuarán deducciones proporcionales sobre las retribuciones previstas.</w:t>
      </w:r>
    </w:p>
    <w:p w14:paraId="355229D9" w14:textId="77777777" w:rsidR="00636121" w:rsidRPr="005A1DAE" w:rsidRDefault="00636121" w:rsidP="00636121">
      <w:pPr>
        <w:pStyle w:val="Textonotapie"/>
        <w:ind w:firstLine="709"/>
        <w:jc w:val="both"/>
        <w:rPr>
          <w:rFonts w:ascii="Arial" w:hAnsi="Arial" w:cs="Arial"/>
          <w:sz w:val="19"/>
          <w:szCs w:val="19"/>
          <w:lang w:val="es-ES"/>
        </w:rPr>
      </w:pPr>
      <w:r w:rsidRPr="005A1DAE">
        <w:rPr>
          <w:rFonts w:ascii="Arial" w:hAnsi="Arial" w:cs="Arial"/>
          <w:sz w:val="19"/>
          <w:szCs w:val="19"/>
          <w:lang w:val="es-ES"/>
        </w:rPr>
        <w:t>»En los contratos podrá establecerse la posibilidad de no aplicar las deducciones a las que hace referencia el presente artículo, cuando el Nivel de Servicio y Estándar de Calidad afectado fuere restablecido a los parámetros contemplados en el contrato en el plazo definido para dicho efecto.</w:t>
      </w:r>
    </w:p>
    <w:p w14:paraId="2C1C3EF4" w14:textId="77777777" w:rsidR="00636121" w:rsidRPr="005A1DAE" w:rsidRDefault="00636121" w:rsidP="00636121">
      <w:pPr>
        <w:pStyle w:val="Textonotapie"/>
        <w:ind w:firstLine="709"/>
        <w:jc w:val="both"/>
        <w:rPr>
          <w:rFonts w:ascii="Arial" w:hAnsi="Arial" w:cs="Arial"/>
          <w:sz w:val="19"/>
          <w:szCs w:val="19"/>
          <w:lang w:val="es-ES"/>
        </w:rPr>
      </w:pPr>
      <w:r w:rsidRPr="005A1DAE">
        <w:rPr>
          <w:rFonts w:ascii="Arial" w:hAnsi="Arial" w:cs="Arial"/>
          <w:sz w:val="19"/>
          <w:szCs w:val="19"/>
          <w:lang w:val="es-ES"/>
        </w:rPr>
        <w:t>»Los valores a descontar estarán sujetos a mecanismos de actualización de la retribución.</w:t>
      </w:r>
    </w:p>
    <w:p w14:paraId="52A7D74E" w14:textId="77777777" w:rsidR="00636121" w:rsidRPr="005A1DAE" w:rsidRDefault="00636121" w:rsidP="00636121">
      <w:pPr>
        <w:pStyle w:val="Textonotapie"/>
        <w:ind w:firstLine="709"/>
        <w:jc w:val="both"/>
        <w:rPr>
          <w:rFonts w:ascii="Arial" w:hAnsi="Arial" w:cs="Arial"/>
          <w:sz w:val="19"/>
          <w:szCs w:val="19"/>
          <w:lang w:val="es-ES"/>
        </w:rPr>
      </w:pPr>
      <w:r w:rsidRPr="005A1DAE">
        <w:rPr>
          <w:rFonts w:ascii="Arial" w:hAnsi="Arial" w:cs="Arial"/>
          <w:sz w:val="19"/>
          <w:szCs w:val="19"/>
          <w:lang w:val="es-ES"/>
        </w:rPr>
        <w:t>»En todo caso, en el respectivo contrato deberá definirse claramente aquellos eventos constitutivos de incumplimiento del contrato como consecuencia de no alcanzar el Nivel de Servicio y Estándar de Calidad previsto para el efecto.</w:t>
      </w:r>
    </w:p>
    <w:p w14:paraId="0BFB9BD0" w14:textId="77777777" w:rsidR="00636121" w:rsidRPr="005A1DAE" w:rsidRDefault="00636121" w:rsidP="00636121">
      <w:pPr>
        <w:pStyle w:val="Textonotapie"/>
        <w:ind w:firstLine="709"/>
        <w:jc w:val="both"/>
        <w:rPr>
          <w:rFonts w:ascii="Arial" w:hAnsi="Arial" w:cs="Arial"/>
          <w:sz w:val="19"/>
          <w:szCs w:val="19"/>
          <w:lang w:val="es-ES"/>
        </w:rPr>
      </w:pPr>
      <w:r w:rsidRPr="005A1DAE">
        <w:rPr>
          <w:rFonts w:ascii="Arial" w:hAnsi="Arial" w:cs="Arial"/>
          <w:sz w:val="19"/>
          <w:szCs w:val="19"/>
          <w:lang w:val="es-ES"/>
        </w:rPr>
        <w:t>»En los contratos se establecerá expresamente el procedimiento para programar aquellas actividades o trabajos preventivos y rutinarios que sean contemplados previamente como necesarios para lograr un adecuado nivel de operación y mantenimiento de la infraestructura, que puedan alterar la prestación de servicios, sin que ello implique la realización de descuentos por no alcanzar Niveles de Servicio y Estándares de Calidad.</w:t>
      </w:r>
    </w:p>
    <w:p w14:paraId="4E95312F" w14:textId="77777777" w:rsidR="00636121" w:rsidRPr="005A1DAE" w:rsidRDefault="00636121" w:rsidP="00636121">
      <w:pPr>
        <w:pStyle w:val="Textonotapie"/>
        <w:ind w:firstLine="709"/>
        <w:jc w:val="both"/>
        <w:rPr>
          <w:rFonts w:ascii="Arial" w:hAnsi="Arial" w:cs="Arial"/>
          <w:sz w:val="19"/>
          <w:szCs w:val="19"/>
          <w:lang w:val="es-ES"/>
        </w:rPr>
      </w:pPr>
      <w:r w:rsidRPr="005A1DAE">
        <w:rPr>
          <w:rFonts w:ascii="Arial" w:hAnsi="Arial" w:cs="Arial"/>
          <w:sz w:val="19"/>
          <w:szCs w:val="19"/>
          <w:lang w:val="es-ES"/>
        </w:rPr>
        <w:t>»La entidad estatal competente exigirá la adopción de medidas, por parte del contratista, para minimizar las interferencias en el funcionamiento normal del servicio».</w:t>
      </w:r>
    </w:p>
  </w:footnote>
  <w:footnote w:id="17">
    <w:p w14:paraId="4C8CC1DF"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w:t>
      </w:r>
      <w:r w:rsidRPr="005A1DAE">
        <w:rPr>
          <w:rFonts w:ascii="Arial" w:hAnsi="Arial" w:cs="Arial"/>
          <w:color w:val="000000" w:themeColor="text1"/>
          <w:sz w:val="19"/>
          <w:szCs w:val="19"/>
          <w:lang w:val="es-ES"/>
        </w:rPr>
        <w:t>Recuérdese que el artículo 44 de la Ley 80 de 1993 establece: «Los contratos del Estado son absolutamente nulos en los casos previstos en el derecho común y además cuando:</w:t>
      </w:r>
    </w:p>
    <w:p w14:paraId="4EF67422"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Fonts w:ascii="Arial" w:hAnsi="Arial" w:cs="Arial"/>
          <w:color w:val="000000" w:themeColor="text1"/>
          <w:sz w:val="19"/>
          <w:szCs w:val="19"/>
          <w:lang w:val="es-ES"/>
        </w:rPr>
        <w:t>»1o. Se celebren con personas incurras en causales de inhabilidad o incompatibilidad previstas en la Constitución y la ley;</w:t>
      </w:r>
    </w:p>
    <w:p w14:paraId="5FD21A4F"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Fonts w:ascii="Arial" w:hAnsi="Arial" w:cs="Arial"/>
          <w:color w:val="000000" w:themeColor="text1"/>
          <w:sz w:val="19"/>
          <w:szCs w:val="19"/>
          <w:lang w:val="es-ES"/>
        </w:rPr>
        <w:t>»2o. Se celebren contra expresa prohibición constitucional o legal.</w:t>
      </w:r>
    </w:p>
    <w:p w14:paraId="1A48405D"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Fonts w:ascii="Arial" w:hAnsi="Arial" w:cs="Arial"/>
          <w:color w:val="000000" w:themeColor="text1"/>
          <w:sz w:val="19"/>
          <w:szCs w:val="19"/>
          <w:lang w:val="es-ES"/>
        </w:rPr>
        <w:t>»3o. Se celebren con abuso o desviación de poder.</w:t>
      </w:r>
    </w:p>
    <w:p w14:paraId="60D9E655"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Fonts w:ascii="Arial" w:hAnsi="Arial" w:cs="Arial"/>
          <w:color w:val="000000" w:themeColor="text1"/>
          <w:sz w:val="19"/>
          <w:szCs w:val="19"/>
          <w:lang w:val="es-ES"/>
        </w:rPr>
        <w:t>»4o. Se declaren nulos los actos administrativos en que se fundamenten; y</w:t>
      </w:r>
    </w:p>
    <w:p w14:paraId="22662DB6"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r w:rsidRPr="005A1DAE">
        <w:rPr>
          <w:rFonts w:ascii="Arial" w:hAnsi="Arial" w:cs="Arial"/>
          <w:color w:val="000000" w:themeColor="text1"/>
          <w:sz w:val="19"/>
          <w:szCs w:val="19"/>
          <w:lang w:val="es-ES"/>
        </w:rPr>
        <w:t>»5o. Se hubieren celebrado con desconocimiento de los criterios previstos en el artículo 21 sobre tratamiento de ofertas nacionales y extranjeras o con violación de la reciprocidad de que trata esta Ley».</w:t>
      </w:r>
    </w:p>
  </w:footnote>
  <w:footnote w:id="18">
    <w:p w14:paraId="44F468FF" w14:textId="77777777" w:rsidR="00636121" w:rsidRPr="005A1DAE" w:rsidRDefault="00636121" w:rsidP="00636121">
      <w:pPr>
        <w:spacing w:after="0" w:line="240" w:lineRule="auto"/>
        <w:ind w:firstLine="709"/>
        <w:jc w:val="both"/>
        <w:rPr>
          <w:rFonts w:ascii="Arial" w:hAnsi="Arial" w:cs="Arial"/>
          <w:color w:val="000000" w:themeColor="text1"/>
          <w:sz w:val="19"/>
          <w:szCs w:val="19"/>
          <w:lang w:val="es-ES"/>
        </w:rPr>
      </w:pPr>
      <w:r w:rsidRPr="005A1DAE">
        <w:rPr>
          <w:rStyle w:val="Refdenotaalpie"/>
          <w:rFonts w:ascii="Arial" w:hAnsi="Arial" w:cs="Arial"/>
          <w:color w:val="000000" w:themeColor="text1"/>
          <w:sz w:val="19"/>
          <w:szCs w:val="19"/>
        </w:rPr>
        <w:footnoteRef/>
      </w:r>
      <w:r w:rsidRPr="005A1DAE">
        <w:rPr>
          <w:rFonts w:ascii="Arial" w:hAnsi="Arial" w:cs="Arial"/>
          <w:color w:val="000000" w:themeColor="text1"/>
          <w:sz w:val="19"/>
          <w:szCs w:val="19"/>
        </w:rPr>
        <w:t xml:space="preserve"> </w:t>
      </w:r>
      <w:r w:rsidRPr="005A1DAE">
        <w:rPr>
          <w:rFonts w:ascii="Arial" w:hAnsi="Arial" w:cs="Arial"/>
          <w:color w:val="000000" w:themeColor="text1"/>
          <w:sz w:val="19"/>
          <w:szCs w:val="19"/>
          <w:lang w:val="es-ES"/>
        </w:rPr>
        <w:t xml:space="preserve">El Departamento Administrativo de la Función Pública define los acuerdos de niveles de servicio de la siguiente manera: «Los Acuerdos de Niveles de Servicio (ANS), son parámetros, tiempos y requisitos establecidos para la entrega de productos o servicios de un proceso a los usuarios internos y externos, con los cuales se medirá la oportunidad </w:t>
      </w:r>
      <w:r w:rsidRPr="005A1DAE">
        <w:rPr>
          <w:rFonts w:ascii="Arial" w:hAnsi="Arial" w:cs="Arial"/>
          <w:color w:val="000000" w:themeColor="text1"/>
          <w:sz w:val="19"/>
          <w:szCs w:val="19"/>
          <w:lang w:val="es-ES"/>
        </w:rPr>
        <w:t>del mismo». En: https://www.funcionpublica.gov.co/glosario/-/wiki/26415658/Acuerdo%20de%20Nivel%20de%20Servicio%20(ANS)</w:t>
      </w:r>
    </w:p>
    <w:p w14:paraId="6F6CDC38" w14:textId="77777777" w:rsidR="00636121" w:rsidRPr="005A1DAE" w:rsidRDefault="00636121" w:rsidP="00636121">
      <w:pPr>
        <w:pStyle w:val="Textonotapie"/>
        <w:ind w:firstLine="709"/>
        <w:jc w:val="both"/>
        <w:rPr>
          <w:rFonts w:ascii="Arial" w:hAnsi="Arial" w:cs="Arial"/>
          <w:color w:val="000000" w:themeColor="text1"/>
          <w:sz w:val="19"/>
          <w:szCs w:val="19"/>
          <w:lang w:val="es-ES"/>
        </w:rPr>
      </w:pPr>
    </w:p>
  </w:footnote>
  <w:footnote w:id="19">
    <w:p w14:paraId="3E494B87" w14:textId="77777777" w:rsidR="00636121" w:rsidRPr="005A1DAE" w:rsidRDefault="00636121" w:rsidP="00636121">
      <w:pPr>
        <w:pStyle w:val="Textonotapie"/>
        <w:ind w:firstLine="709"/>
        <w:jc w:val="both"/>
        <w:rPr>
          <w:rFonts w:ascii="Arial" w:hAnsi="Arial" w:cs="Arial"/>
          <w:sz w:val="19"/>
          <w:szCs w:val="19"/>
          <w:lang w:val="es-ES"/>
        </w:rPr>
      </w:pPr>
      <w:r w:rsidRPr="005A1DAE">
        <w:rPr>
          <w:rStyle w:val="Refdenotaalpie"/>
          <w:rFonts w:ascii="Arial" w:hAnsi="Arial" w:cs="Arial"/>
          <w:sz w:val="19"/>
          <w:szCs w:val="19"/>
        </w:rPr>
        <w:footnoteRef/>
      </w:r>
      <w:r w:rsidRPr="005A1DAE">
        <w:rPr>
          <w:rFonts w:ascii="Arial" w:hAnsi="Arial" w:cs="Arial"/>
          <w:sz w:val="19"/>
          <w:szCs w:val="19"/>
        </w:rPr>
        <w:t xml:space="preserve"> </w:t>
      </w:r>
      <w:r w:rsidRPr="005A1DAE">
        <w:rPr>
          <w:rFonts w:ascii="Arial" w:hAnsi="Arial" w:cs="Arial"/>
          <w:sz w:val="19"/>
          <w:szCs w:val="19"/>
          <w:lang w:val="es-ES"/>
        </w:rPr>
        <w:t xml:space="preserve">Consejo de Estado. Sección Tercera. Subsección A. Sentencia del 18 de febrero de 2022. Expediente: </w:t>
      </w:r>
      <w:r w:rsidRPr="005A1DAE">
        <w:rPr>
          <w:rFonts w:ascii="Arial" w:hAnsi="Arial" w:cs="Arial"/>
          <w:sz w:val="19"/>
          <w:szCs w:val="19"/>
        </w:rPr>
        <w:t>53.318. Consejero Ponente: José Roberto Sáchica Méndez.</w:t>
      </w:r>
    </w:p>
  </w:footnote>
  <w:footnote w:id="20">
    <w:p w14:paraId="1CE34533" w14:textId="77777777" w:rsidR="00636121" w:rsidRPr="005A1DAE" w:rsidRDefault="00636121" w:rsidP="00636121">
      <w:pPr>
        <w:pStyle w:val="Textonotapie"/>
        <w:ind w:firstLine="709"/>
        <w:jc w:val="both"/>
        <w:rPr>
          <w:rFonts w:ascii="Arial" w:hAnsi="Arial" w:cs="Arial"/>
          <w:sz w:val="19"/>
          <w:szCs w:val="19"/>
          <w:lang w:val="es-ES"/>
        </w:rPr>
      </w:pPr>
      <w:r w:rsidRPr="005A1DAE">
        <w:rPr>
          <w:rStyle w:val="Refdenotaalpie"/>
          <w:rFonts w:ascii="Arial" w:hAnsi="Arial" w:cs="Arial"/>
          <w:sz w:val="19"/>
          <w:szCs w:val="19"/>
        </w:rPr>
        <w:footnoteRef/>
      </w:r>
      <w:r w:rsidRPr="005A1DAE">
        <w:rPr>
          <w:rFonts w:ascii="Arial" w:hAnsi="Arial" w:cs="Arial"/>
          <w:sz w:val="19"/>
          <w:szCs w:val="19"/>
        </w:rPr>
        <w:t xml:space="preserve"> </w:t>
      </w:r>
      <w:r w:rsidRPr="005A1DAE">
        <w:rPr>
          <w:rFonts w:ascii="Arial" w:hAnsi="Arial" w:cs="Arial"/>
          <w:sz w:val="19"/>
          <w:szCs w:val="19"/>
          <w:lang w:val="es-ES"/>
        </w:rPr>
        <w:t xml:space="preserve">Consejo de Estado. Sección Tercera. Subsección A. Sentencia del 18 de febrero de 2022. Expediente: </w:t>
      </w:r>
      <w:r w:rsidRPr="005A1DAE">
        <w:rPr>
          <w:rFonts w:ascii="Arial" w:hAnsi="Arial" w:cs="Arial"/>
          <w:sz w:val="19"/>
          <w:szCs w:val="19"/>
        </w:rPr>
        <w:t>53.318. Consejero Ponente: José Roberto Sáchica Méndez.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0690F"/>
    <w:rsid w:val="0011595A"/>
    <w:rsid w:val="001220C5"/>
    <w:rsid w:val="001267F7"/>
    <w:rsid w:val="00127233"/>
    <w:rsid w:val="00130999"/>
    <w:rsid w:val="00164D81"/>
    <w:rsid w:val="0017797D"/>
    <w:rsid w:val="001A1011"/>
    <w:rsid w:val="001A48D0"/>
    <w:rsid w:val="001B6FA7"/>
    <w:rsid w:val="0020034E"/>
    <w:rsid w:val="002653C1"/>
    <w:rsid w:val="0026611D"/>
    <w:rsid w:val="002842C9"/>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337DC"/>
    <w:rsid w:val="00547856"/>
    <w:rsid w:val="00547A74"/>
    <w:rsid w:val="005566E8"/>
    <w:rsid w:val="005746AB"/>
    <w:rsid w:val="0059357F"/>
    <w:rsid w:val="005A1130"/>
    <w:rsid w:val="005D65C8"/>
    <w:rsid w:val="006219F8"/>
    <w:rsid w:val="00636121"/>
    <w:rsid w:val="00681FDB"/>
    <w:rsid w:val="006A7DAD"/>
    <w:rsid w:val="006D70BA"/>
    <w:rsid w:val="00721FF1"/>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40B95"/>
    <w:rsid w:val="0095342C"/>
    <w:rsid w:val="00974AA4"/>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54BE"/>
    <w:rsid w:val="00C87572"/>
    <w:rsid w:val="00C9405D"/>
    <w:rsid w:val="00CC1B26"/>
    <w:rsid w:val="00CD284F"/>
    <w:rsid w:val="00CF23AA"/>
    <w:rsid w:val="00D01921"/>
    <w:rsid w:val="00D20193"/>
    <w:rsid w:val="00D71219"/>
    <w:rsid w:val="00D752B7"/>
    <w:rsid w:val="00DA1854"/>
    <w:rsid w:val="00DB0887"/>
    <w:rsid w:val="00DF1E43"/>
    <w:rsid w:val="00E20894"/>
    <w:rsid w:val="00E26B7C"/>
    <w:rsid w:val="00EA3003"/>
    <w:rsid w:val="00EB3C91"/>
    <w:rsid w:val="00EB66DA"/>
    <w:rsid w:val="00F605F2"/>
    <w:rsid w:val="00F76AFC"/>
    <w:rsid w:val="00F8319B"/>
    <w:rsid w:val="00FA5516"/>
    <w:rsid w:val="00FD6F73"/>
    <w:rsid w:val="00FF4735"/>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636121"/>
    <w:pPr>
      <w:spacing w:line="240" w:lineRule="exact"/>
    </w:pPr>
    <w:rPr>
      <w:vertAlign w:val="superscript"/>
    </w:rPr>
  </w:style>
  <w:style w:type="paragraph" w:styleId="Sinespaciado">
    <w:name w:val="No Spacing"/>
    <w:uiPriority w:val="1"/>
    <w:qFormat/>
    <w:rsid w:val="00636121"/>
    <w:pPr>
      <w:spacing w:after="0" w:line="240" w:lineRule="auto"/>
    </w:pPr>
    <w:rPr>
      <w:lang w:val="es-ES"/>
    </w:rPr>
  </w:style>
  <w:style w:type="paragraph" w:styleId="NormalWeb">
    <w:name w:val="Normal (Web)"/>
    <w:basedOn w:val="Normal"/>
    <w:uiPriority w:val="99"/>
    <w:semiHidden/>
    <w:unhideWhenUsed/>
    <w:rsid w:val="00974AA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4640">
      <w:bodyDiv w:val="1"/>
      <w:marLeft w:val="0"/>
      <w:marRight w:val="0"/>
      <w:marTop w:val="0"/>
      <w:marBottom w:val="0"/>
      <w:divBdr>
        <w:top w:val="none" w:sz="0" w:space="0" w:color="auto"/>
        <w:left w:val="none" w:sz="0" w:space="0" w:color="auto"/>
        <w:bottom w:val="none" w:sz="0" w:space="0" w:color="auto"/>
        <w:right w:val="none" w:sz="0" w:space="0" w:color="auto"/>
      </w:divBdr>
      <w:divsChild>
        <w:div w:id="1627272130">
          <w:marLeft w:val="0"/>
          <w:marRight w:val="0"/>
          <w:marTop w:val="0"/>
          <w:marBottom w:val="0"/>
          <w:divBdr>
            <w:top w:val="none" w:sz="0" w:space="0" w:color="auto"/>
            <w:left w:val="none" w:sz="0" w:space="0" w:color="auto"/>
            <w:bottom w:val="none" w:sz="0" w:space="0" w:color="auto"/>
            <w:right w:val="none" w:sz="0" w:space="0" w:color="auto"/>
          </w:divBdr>
          <w:divsChild>
            <w:div w:id="1245722624">
              <w:marLeft w:val="0"/>
              <w:marRight w:val="0"/>
              <w:marTop w:val="0"/>
              <w:marBottom w:val="0"/>
              <w:divBdr>
                <w:top w:val="none" w:sz="0" w:space="0" w:color="auto"/>
                <w:left w:val="none" w:sz="0" w:space="0" w:color="auto"/>
                <w:bottom w:val="none" w:sz="0" w:space="0" w:color="auto"/>
                <w:right w:val="none" w:sz="0" w:space="0" w:color="auto"/>
              </w:divBdr>
              <w:divsChild>
                <w:div w:id="20946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78d6b7f-86fb-47aa-a5fb-45a141d09143"/>
    <ds:schemaRef ds:uri="3e82ca5b-96cf-4758-bde1-7c773396b7ec"/>
    <ds:schemaRef ds:uri="8ae15d26-076e-464e-81a7-6f76a0fb3917"/>
    <ds:schemaRef ds:uri="cabc2350-70b2-4dba-bb42-96a3175f4d5a"/>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DAE1956-8A75-42D1-B4E5-0851C7D0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7284</Words>
  <Characters>40064</Characters>
  <Application>Microsoft Office Word</Application>
  <DocSecurity>0</DocSecurity>
  <Lines>333</Lines>
  <Paragraphs>94</Paragraphs>
  <ScaleCrop>false</ScaleCrop>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2022-12-23T14:34:00Z</dcterms:created>
  <dcterms:modified xsi:type="dcterms:W3CDTF">2022-12-23T14:34:00Z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