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6B0E" w14:textId="77777777" w:rsidR="008E788B" w:rsidRDefault="008E788B">
      <w:pPr>
        <w:spacing w:after="0" w:line="240" w:lineRule="auto"/>
        <w:contextualSpacing/>
        <w:rPr>
          <w:rFonts w:ascii="Arial" w:eastAsia="Times New Roman" w:hAnsi="Arial" w:cs="Arial"/>
          <w:b/>
          <w:bCs/>
          <w:lang w:val="es-MX" w:eastAsia="es-CO"/>
        </w:rPr>
      </w:pPr>
    </w:p>
    <w:p w14:paraId="76530914" w14:textId="77777777" w:rsidR="008E788B" w:rsidRDefault="008E788B">
      <w:pPr>
        <w:spacing w:after="0" w:line="240" w:lineRule="auto"/>
        <w:contextualSpacing/>
        <w:rPr>
          <w:rFonts w:ascii="Arial" w:eastAsia="Times New Roman" w:hAnsi="Arial" w:cs="Arial"/>
          <w:b/>
          <w:bCs/>
          <w:lang w:val="es-MX" w:eastAsia="es-CO"/>
        </w:rPr>
      </w:pPr>
    </w:p>
    <w:p w14:paraId="76006CB8" w14:textId="77777777" w:rsidR="008E788B" w:rsidRDefault="008E788B">
      <w:pPr>
        <w:spacing w:after="0" w:line="240" w:lineRule="auto"/>
        <w:contextualSpacing/>
        <w:rPr>
          <w:rFonts w:ascii="Arial" w:eastAsia="Times New Roman" w:hAnsi="Arial" w:cs="Arial"/>
          <w:b/>
          <w:bCs/>
          <w:lang w:val="es-MX" w:eastAsia="es-CO"/>
        </w:rPr>
      </w:pPr>
    </w:p>
    <w:p w14:paraId="3F9B6DC0" w14:textId="77777777" w:rsidR="008E788B" w:rsidRPr="00F3020D" w:rsidRDefault="008E788B" w:rsidP="00F3020D">
      <w:pPr>
        <w:spacing w:after="0" w:line="240" w:lineRule="auto"/>
        <w:contextualSpacing/>
        <w:rPr>
          <w:rFonts w:ascii="Arial" w:eastAsia="Times New Roman" w:hAnsi="Arial" w:cs="Arial"/>
          <w:b/>
          <w:bCs/>
          <w:lang w:val="es-MX" w:eastAsia="es-CO"/>
        </w:rPr>
      </w:pPr>
    </w:p>
    <w:p w14:paraId="18436851" w14:textId="7518FC0D" w:rsidR="00F14B81" w:rsidRDefault="008D108E" w:rsidP="00B25217">
      <w:pPr>
        <w:spacing w:after="0" w:line="240" w:lineRule="auto"/>
        <w:contextualSpacing/>
        <w:jc w:val="right"/>
        <w:rPr>
          <w:rFonts w:ascii="Arial" w:eastAsia="Calibri" w:hAnsi="Arial" w:cs="Arial"/>
          <w:lang w:val="es-ES_tradnl" w:eastAsia="es-ES_tradnl"/>
        </w:rPr>
      </w:pPr>
      <w:bookmarkStart w:id="0" w:name="_Hlk34951122"/>
      <w:r w:rsidRPr="008D108E">
        <w:rPr>
          <w:rFonts w:ascii="Arial" w:eastAsia="Calibri" w:hAnsi="Arial" w:cs="Arial"/>
          <w:noProof/>
          <w:lang w:val="es-ES_tradnl" w:eastAsia="es-ES_tradnl"/>
        </w:rPr>
        <w:drawing>
          <wp:inline distT="0" distB="0" distL="0" distR="0" wp14:anchorId="76E80FB8" wp14:editId="4CC54EBD">
            <wp:extent cx="3821723" cy="796925"/>
            <wp:effectExtent l="0" t="0" r="762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0765" cy="798810"/>
                    </a:xfrm>
                    <a:prstGeom prst="rect">
                      <a:avLst/>
                    </a:prstGeom>
                    <a:noFill/>
                    <a:ln>
                      <a:noFill/>
                    </a:ln>
                  </pic:spPr>
                </pic:pic>
              </a:graphicData>
            </a:graphic>
          </wp:inline>
        </w:drawing>
      </w:r>
    </w:p>
    <w:p w14:paraId="31DF57AF" w14:textId="77777777" w:rsidR="00F14B81" w:rsidRDefault="00F14B81" w:rsidP="00F14B81">
      <w:pPr>
        <w:spacing w:after="0" w:line="240" w:lineRule="auto"/>
        <w:contextualSpacing/>
        <w:jc w:val="both"/>
        <w:rPr>
          <w:rFonts w:ascii="Arial" w:eastAsia="Calibri" w:hAnsi="Arial" w:cs="Arial"/>
          <w:lang w:val="es-ES_tradnl" w:eastAsia="es-ES_tradnl"/>
        </w:rPr>
      </w:pPr>
    </w:p>
    <w:p w14:paraId="790A65F1" w14:textId="1A831593" w:rsidR="00362B16" w:rsidRPr="00F14B81" w:rsidRDefault="00362B16" w:rsidP="00F3020D">
      <w:pPr>
        <w:spacing w:after="0" w:line="240" w:lineRule="auto"/>
        <w:contextualSpacing/>
        <w:jc w:val="both"/>
        <w:rPr>
          <w:rFonts w:ascii="Arial" w:eastAsia="Calibri" w:hAnsi="Arial" w:cs="Arial"/>
          <w:lang w:val="es-ES_tradnl" w:eastAsia="es-ES_tradnl"/>
        </w:rPr>
      </w:pPr>
      <w:r w:rsidRPr="00F14B81">
        <w:rPr>
          <w:rFonts w:ascii="Arial" w:eastAsia="Calibri" w:hAnsi="Arial" w:cs="Arial"/>
          <w:lang w:val="es-ES_tradnl" w:eastAsia="es-ES_tradnl"/>
        </w:rPr>
        <w:t>Señor</w:t>
      </w:r>
    </w:p>
    <w:p w14:paraId="1EF5D7F9" w14:textId="77777777" w:rsidR="00362B16" w:rsidRPr="00F14B81" w:rsidRDefault="00362B16" w:rsidP="00F3020D">
      <w:pPr>
        <w:spacing w:after="0" w:line="240" w:lineRule="auto"/>
        <w:contextualSpacing/>
        <w:jc w:val="both"/>
        <w:rPr>
          <w:rFonts w:ascii="Arial" w:eastAsia="Calibri" w:hAnsi="Arial" w:cs="Arial"/>
          <w:b/>
          <w:lang w:val="es-ES_tradnl" w:eastAsia="es-ES_tradnl"/>
        </w:rPr>
      </w:pPr>
      <w:r w:rsidRPr="00F14B81">
        <w:rPr>
          <w:rFonts w:ascii="Arial" w:eastAsia="Calibri" w:hAnsi="Arial" w:cs="Arial"/>
          <w:b/>
          <w:lang w:val="es-ES_tradnl" w:eastAsia="es-ES_tradnl"/>
        </w:rPr>
        <w:t>Andrés Mauricio Rosero Riascos</w:t>
      </w:r>
    </w:p>
    <w:p w14:paraId="586B2407" w14:textId="77777777" w:rsidR="00362B16" w:rsidRPr="00F14B81" w:rsidRDefault="00362B16" w:rsidP="00F3020D">
      <w:pPr>
        <w:spacing w:after="0" w:line="240" w:lineRule="auto"/>
        <w:contextualSpacing/>
        <w:jc w:val="both"/>
        <w:rPr>
          <w:rFonts w:ascii="Arial" w:eastAsia="Calibri" w:hAnsi="Arial" w:cs="Arial"/>
          <w:lang w:val="es-ES_tradnl" w:eastAsia="es-ES_tradnl"/>
        </w:rPr>
      </w:pPr>
      <w:r w:rsidRPr="00F14B81">
        <w:rPr>
          <w:rFonts w:ascii="Arial" w:eastAsia="Calibri" w:hAnsi="Arial" w:cs="Arial"/>
          <w:lang w:val="es-ES_tradnl" w:eastAsia="es-ES_tradnl"/>
        </w:rPr>
        <w:t xml:space="preserve">La Estrella, Antioquia </w:t>
      </w:r>
    </w:p>
    <w:p w14:paraId="2151FFB4" w14:textId="77777777" w:rsidR="00362B16" w:rsidRPr="00F14B81" w:rsidRDefault="00362B16" w:rsidP="00F3020D">
      <w:pPr>
        <w:spacing w:after="0" w:line="240" w:lineRule="auto"/>
        <w:contextualSpacing/>
        <w:jc w:val="both"/>
        <w:rPr>
          <w:rFonts w:ascii="Arial" w:eastAsia="Calibri" w:hAnsi="Arial" w:cs="Arial"/>
          <w:lang w:val="es-ES_tradnl" w:eastAsia="es-ES_tradnl"/>
        </w:rPr>
      </w:pPr>
    </w:p>
    <w:p w14:paraId="61CB6A17" w14:textId="77777777" w:rsidR="00362B16" w:rsidRPr="00F14B81" w:rsidRDefault="00362B16" w:rsidP="00F3020D">
      <w:pPr>
        <w:spacing w:after="0" w:line="240" w:lineRule="auto"/>
        <w:contextualSpacing/>
        <w:jc w:val="both"/>
        <w:rPr>
          <w:rFonts w:ascii="Arial" w:eastAsia="Calibri" w:hAnsi="Arial" w:cs="Arial"/>
          <w:lang w:val="es-ES_tradnl" w:eastAsia="es-ES_tradnl"/>
        </w:rPr>
      </w:pPr>
    </w:p>
    <w:p w14:paraId="53B1DC0E" w14:textId="77777777" w:rsidR="00362B16" w:rsidRPr="00F14B81" w:rsidRDefault="00362B16" w:rsidP="00F3020D">
      <w:pPr>
        <w:spacing w:after="0" w:line="240" w:lineRule="auto"/>
        <w:contextualSpacing/>
        <w:rPr>
          <w:rFonts w:ascii="Arial" w:eastAsia="Calibri" w:hAnsi="Arial" w:cs="Arial"/>
          <w:b/>
          <w:bCs/>
          <w:lang w:val="es-ES_tradnl" w:eastAsia="es-ES_tradnl"/>
        </w:rPr>
      </w:pPr>
      <w:r w:rsidRPr="00F14B81">
        <w:rPr>
          <w:rFonts w:ascii="Arial" w:eastAsia="Calibri" w:hAnsi="Arial" w:cs="Arial"/>
          <w:b/>
          <w:bCs/>
          <w:lang w:val="es-ES_tradnl" w:eastAsia="es-ES_tradnl"/>
        </w:rPr>
        <w:t xml:space="preserve">                                            Concepto C ‒ 861 de 2022</w:t>
      </w:r>
    </w:p>
    <w:p w14:paraId="6953EDE9" w14:textId="77777777" w:rsidR="00362B16" w:rsidRPr="00F14B81" w:rsidRDefault="00362B16" w:rsidP="00F3020D">
      <w:pPr>
        <w:spacing w:after="0" w:line="240" w:lineRule="auto"/>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62B16" w:rsidRPr="00F14B81" w14:paraId="57EF66C8" w14:textId="77777777" w:rsidTr="00C50E24">
        <w:trPr>
          <w:trHeight w:val="1099"/>
        </w:trPr>
        <w:tc>
          <w:tcPr>
            <w:tcW w:w="2689" w:type="dxa"/>
          </w:tcPr>
          <w:p w14:paraId="53DAE1E7" w14:textId="77777777" w:rsidR="00362B16" w:rsidRPr="00F14B81" w:rsidRDefault="00362B16" w:rsidP="00F3020D">
            <w:pPr>
              <w:contextualSpacing/>
              <w:jc w:val="both"/>
              <w:rPr>
                <w:rFonts w:ascii="Arial" w:eastAsia="Calibri" w:hAnsi="Arial" w:cs="Arial"/>
                <w:lang w:val="es-ES_tradnl" w:eastAsia="es-ES_tradnl"/>
              </w:rPr>
            </w:pPr>
            <w:r w:rsidRPr="00F14B81">
              <w:rPr>
                <w:rFonts w:ascii="Arial" w:eastAsia="Calibri" w:hAnsi="Arial" w:cs="Arial"/>
                <w:b/>
                <w:lang w:val="es-ES_tradnl" w:eastAsia="es-ES_tradnl"/>
              </w:rPr>
              <w:t>Temas:</w:t>
            </w:r>
            <w:r w:rsidRPr="00F14B81">
              <w:rPr>
                <w:rFonts w:ascii="Arial" w:eastAsia="Calibri" w:hAnsi="Arial" w:cs="Arial"/>
                <w:lang w:val="es-ES_tradnl" w:eastAsia="es-ES_tradnl"/>
              </w:rPr>
              <w:t xml:space="preserve">                                      </w:t>
            </w:r>
          </w:p>
        </w:tc>
        <w:tc>
          <w:tcPr>
            <w:tcW w:w="6237" w:type="dxa"/>
          </w:tcPr>
          <w:p w14:paraId="6D7007B3" w14:textId="07964278" w:rsidR="00362B16" w:rsidRDefault="00362B16" w:rsidP="00F14B81">
            <w:pPr>
              <w:contextualSpacing/>
              <w:jc w:val="both"/>
              <w:rPr>
                <w:rFonts w:ascii="Arial" w:eastAsia="Calibri" w:hAnsi="Arial" w:cs="Arial"/>
                <w:bCs/>
                <w:lang w:val="es-ES_tradnl" w:eastAsia="es-ES_tradnl"/>
              </w:rPr>
            </w:pPr>
            <w:r w:rsidRPr="00F14B81">
              <w:rPr>
                <w:rFonts w:ascii="Arial" w:eastAsia="Calibri" w:hAnsi="Arial" w:cs="Arial"/>
                <w:bCs/>
                <w:lang w:val="es-ES_tradnl" w:eastAsia="es-ES_tradnl"/>
              </w:rPr>
              <w:t xml:space="preserve">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w:t>
            </w:r>
            <w:r w:rsidRPr="00071557">
              <w:rPr>
                <w:rFonts w:ascii="Arial" w:eastAsia="Calibri" w:hAnsi="Arial" w:cs="Arial"/>
                <w:bCs/>
                <w:lang w:val="es-ES_tradnl" w:eastAsia="es-ES_tradnl"/>
              </w:rPr>
              <w:t xml:space="preserve">Numeral </w:t>
            </w:r>
            <w:r w:rsidR="0072545C" w:rsidRPr="00071557">
              <w:rPr>
                <w:rFonts w:ascii="Arial" w:eastAsia="Calibri" w:hAnsi="Arial" w:cs="Arial"/>
                <w:bCs/>
                <w:lang w:val="es-ES_tradnl" w:eastAsia="es-ES_tradnl"/>
              </w:rPr>
              <w:t>2</w:t>
            </w:r>
            <w:r w:rsidRPr="00071557">
              <w:rPr>
                <w:rFonts w:ascii="Arial" w:eastAsia="Calibri" w:hAnsi="Arial" w:cs="Arial"/>
                <w:bCs/>
                <w:lang w:val="es-ES_tradnl" w:eastAsia="es-ES_tradnl"/>
              </w:rPr>
              <w:t xml:space="preserve"> – P</w:t>
            </w:r>
            <w:r w:rsidR="0092130A" w:rsidRPr="00071557">
              <w:rPr>
                <w:rFonts w:ascii="Arial" w:eastAsia="Calibri" w:hAnsi="Arial" w:cs="Arial"/>
                <w:bCs/>
                <w:lang w:val="es-ES_tradnl" w:eastAsia="es-ES_tradnl"/>
              </w:rPr>
              <w:t>ersona jurídica</w:t>
            </w:r>
            <w:r w:rsidRPr="00071557">
              <w:rPr>
                <w:rFonts w:ascii="Arial" w:eastAsia="Calibri" w:hAnsi="Arial" w:cs="Arial"/>
                <w:bCs/>
                <w:lang w:val="es-ES_tradnl" w:eastAsia="es-ES_tradnl"/>
              </w:rPr>
              <w:t>–</w:t>
            </w:r>
            <w:r w:rsidR="00E96DBC" w:rsidRPr="00071557">
              <w:rPr>
                <w:rFonts w:ascii="Arial" w:eastAsia="Calibri" w:hAnsi="Arial" w:cs="Arial"/>
                <w:bCs/>
                <w:lang w:val="es-ES_tradnl" w:eastAsia="es-ES_tradnl"/>
              </w:rPr>
              <w:t xml:space="preserve"> Cargos Directivos</w:t>
            </w:r>
            <w:r w:rsidRPr="00071557">
              <w:rPr>
                <w:rFonts w:ascii="Arial" w:eastAsia="Calibri" w:hAnsi="Arial" w:cs="Arial"/>
                <w:bCs/>
                <w:lang w:val="es-ES_tradnl" w:eastAsia="es-ES_tradnl"/>
              </w:rPr>
              <w:t xml:space="preserve"> Antigüedad / DECRETO 1860 DE 2021 – Emprendimientos y empresas de mujeres – Definición – Artículo 2.2.1.2.4.2.14 – Numeral </w:t>
            </w:r>
            <w:r w:rsidR="004D3107" w:rsidRPr="00071557">
              <w:rPr>
                <w:rFonts w:ascii="Arial" w:eastAsia="Calibri" w:hAnsi="Arial" w:cs="Arial"/>
                <w:bCs/>
                <w:lang w:val="es-ES_tradnl" w:eastAsia="es-ES_tradnl"/>
              </w:rPr>
              <w:t>3</w:t>
            </w:r>
            <w:r w:rsidRPr="00071557">
              <w:rPr>
                <w:rFonts w:ascii="Arial" w:eastAsia="Calibri" w:hAnsi="Arial" w:cs="Arial"/>
                <w:bCs/>
                <w:lang w:val="es-ES_tradnl" w:eastAsia="es-ES_tradnl"/>
              </w:rPr>
              <w:t xml:space="preserve"> –</w:t>
            </w:r>
            <w:r w:rsidR="00F3369E">
              <w:rPr>
                <w:rFonts w:ascii="Arial" w:eastAsia="Calibri" w:hAnsi="Arial" w:cs="Arial"/>
                <w:bCs/>
                <w:lang w:val="es-ES_tradnl" w:eastAsia="es-ES_tradnl"/>
              </w:rPr>
              <w:t>Persona natural</w:t>
            </w:r>
            <w:r w:rsidR="00E96DBC">
              <w:rPr>
                <w:rFonts w:ascii="Arial" w:eastAsia="Calibri" w:hAnsi="Arial" w:cs="Arial"/>
                <w:bCs/>
                <w:lang w:val="es-ES_tradnl" w:eastAsia="es-ES_tradnl"/>
              </w:rPr>
              <w:t xml:space="preserve"> </w:t>
            </w:r>
            <w:r w:rsidR="00E96DBC" w:rsidRPr="00F14B81">
              <w:rPr>
                <w:rFonts w:ascii="Arial" w:eastAsia="Calibri" w:hAnsi="Arial" w:cs="Arial"/>
                <w:bCs/>
                <w:lang w:val="es-ES_tradnl" w:eastAsia="es-ES_tradnl"/>
              </w:rPr>
              <w:t>/ DECRETO 1860 DE 2021 – Emprendimientos y empresas de mujeres – Definición – Artículo 2.2.1.2.4.2.14 –</w:t>
            </w:r>
            <w:r w:rsidR="00E96DBC">
              <w:rPr>
                <w:rFonts w:ascii="Arial" w:eastAsia="Calibri" w:hAnsi="Arial" w:cs="Arial"/>
                <w:bCs/>
                <w:lang w:val="es-ES_tradnl" w:eastAsia="es-ES_tradnl"/>
              </w:rPr>
              <w:t xml:space="preserve"> Interpretación restrictiva</w:t>
            </w:r>
          </w:p>
          <w:p w14:paraId="0F194818" w14:textId="7216BD7B" w:rsidR="00F14B81" w:rsidRPr="00F14B81" w:rsidRDefault="00F14B81" w:rsidP="00F3020D">
            <w:pPr>
              <w:contextualSpacing/>
              <w:jc w:val="both"/>
              <w:rPr>
                <w:rFonts w:ascii="Arial" w:eastAsia="Times New Roman" w:hAnsi="Arial" w:cs="Arial"/>
                <w:b/>
                <w:bCs/>
                <w:noProof/>
                <w:lang w:val="es-ES_tradnl" w:eastAsia="es-ES_tradnl"/>
              </w:rPr>
            </w:pPr>
          </w:p>
        </w:tc>
      </w:tr>
      <w:tr w:rsidR="00362B16" w:rsidRPr="00F14B81" w14:paraId="6F7B7C47" w14:textId="77777777" w:rsidTr="00C50E24">
        <w:tc>
          <w:tcPr>
            <w:tcW w:w="2689" w:type="dxa"/>
          </w:tcPr>
          <w:p w14:paraId="1646EAFD" w14:textId="77777777" w:rsidR="00362B16" w:rsidRPr="00F14B81" w:rsidRDefault="00362B16" w:rsidP="00F3020D">
            <w:pPr>
              <w:contextualSpacing/>
              <w:jc w:val="both"/>
              <w:rPr>
                <w:rFonts w:ascii="Arial" w:eastAsia="Calibri" w:hAnsi="Arial" w:cs="Arial"/>
                <w:b/>
                <w:lang w:val="es-ES_tradnl" w:eastAsia="es-ES_tradnl"/>
              </w:rPr>
            </w:pPr>
            <w:r w:rsidRPr="00F14B81">
              <w:rPr>
                <w:rFonts w:ascii="Arial" w:eastAsia="Calibri" w:hAnsi="Arial" w:cs="Arial"/>
                <w:b/>
                <w:lang w:val="es-ES_tradnl" w:eastAsia="es-ES_tradnl"/>
              </w:rPr>
              <w:t>Radicación:</w:t>
            </w:r>
            <w:r w:rsidRPr="00F14B81">
              <w:rPr>
                <w:rFonts w:ascii="Arial" w:eastAsia="Calibri" w:hAnsi="Arial" w:cs="Arial"/>
                <w:lang w:val="es-ES_tradnl" w:eastAsia="es-ES_tradnl"/>
              </w:rPr>
              <w:t xml:space="preserve">                              </w:t>
            </w:r>
          </w:p>
        </w:tc>
        <w:tc>
          <w:tcPr>
            <w:tcW w:w="6237" w:type="dxa"/>
          </w:tcPr>
          <w:p w14:paraId="39B1A7B4" w14:textId="77777777" w:rsidR="00362B16" w:rsidRPr="00F14B81" w:rsidRDefault="00362B16" w:rsidP="00F3020D">
            <w:pPr>
              <w:contextualSpacing/>
              <w:jc w:val="both"/>
              <w:rPr>
                <w:rFonts w:ascii="Arial" w:eastAsia="Calibri" w:hAnsi="Arial" w:cs="Arial"/>
                <w:lang w:val="es-ES_tradnl" w:eastAsia="es-ES_tradnl"/>
              </w:rPr>
            </w:pPr>
            <w:r w:rsidRPr="00F14B81">
              <w:rPr>
                <w:rFonts w:ascii="Arial" w:eastAsia="Calibri" w:hAnsi="Arial" w:cs="Arial"/>
                <w:lang w:val="es-ES_tradnl" w:eastAsia="es-ES_tradnl"/>
              </w:rPr>
              <w:t>Respuesta a consulta P20221101010983</w:t>
            </w:r>
          </w:p>
        </w:tc>
      </w:tr>
    </w:tbl>
    <w:p w14:paraId="6F5BB277" w14:textId="77777777" w:rsidR="00362B16" w:rsidRPr="00F14B81" w:rsidRDefault="00362B16" w:rsidP="00F3020D">
      <w:pPr>
        <w:spacing w:after="0" w:line="276" w:lineRule="auto"/>
        <w:contextualSpacing/>
        <w:jc w:val="both"/>
        <w:rPr>
          <w:rFonts w:ascii="Arial" w:eastAsia="Calibri" w:hAnsi="Arial" w:cs="Arial"/>
          <w:lang w:val="es-ES_tradnl" w:eastAsia="es-ES_tradnl"/>
        </w:rPr>
      </w:pPr>
    </w:p>
    <w:p w14:paraId="2BDA770B" w14:textId="77777777" w:rsidR="00362B16" w:rsidRPr="00F14B81" w:rsidRDefault="00362B16" w:rsidP="00F3020D">
      <w:pPr>
        <w:spacing w:after="0" w:line="276" w:lineRule="auto"/>
        <w:contextualSpacing/>
        <w:jc w:val="both"/>
        <w:rPr>
          <w:rFonts w:ascii="Arial" w:eastAsia="Calibri" w:hAnsi="Arial" w:cs="Arial"/>
          <w:lang w:val="es-ES_tradnl" w:eastAsia="es-ES_tradnl"/>
        </w:rPr>
      </w:pPr>
    </w:p>
    <w:p w14:paraId="7715A58D" w14:textId="46EA36F6" w:rsidR="00362B16" w:rsidRPr="00362B16" w:rsidRDefault="00362B16" w:rsidP="00F3020D">
      <w:pPr>
        <w:spacing w:after="0" w:line="276" w:lineRule="auto"/>
        <w:contextualSpacing/>
        <w:jc w:val="both"/>
        <w:rPr>
          <w:rFonts w:ascii="Arial" w:eastAsia="Calibri" w:hAnsi="Arial" w:cs="Arial"/>
          <w:szCs w:val="24"/>
          <w:lang w:val="es-ES_tradnl" w:eastAsia="es-ES_tradnl"/>
        </w:rPr>
      </w:pPr>
      <w:r w:rsidRPr="00362B16">
        <w:rPr>
          <w:rFonts w:ascii="Arial" w:eastAsia="Calibri" w:hAnsi="Arial" w:cs="Arial"/>
          <w:szCs w:val="24"/>
          <w:lang w:val="es-ES_tradnl" w:eastAsia="es-ES_tradnl"/>
        </w:rPr>
        <w:t>Estimado señor Rose</w:t>
      </w:r>
      <w:r>
        <w:rPr>
          <w:rFonts w:ascii="Arial" w:eastAsia="Calibri" w:hAnsi="Arial" w:cs="Arial"/>
          <w:szCs w:val="24"/>
          <w:lang w:val="es-ES_tradnl" w:eastAsia="es-ES_tradnl"/>
        </w:rPr>
        <w:t>r</w:t>
      </w:r>
      <w:r w:rsidRPr="00362B16">
        <w:rPr>
          <w:rFonts w:ascii="Arial" w:eastAsia="Calibri" w:hAnsi="Arial" w:cs="Arial"/>
          <w:szCs w:val="24"/>
          <w:lang w:val="es-ES_tradnl" w:eastAsia="es-ES_tradnl"/>
        </w:rPr>
        <w:t xml:space="preserve">o Riascos: </w:t>
      </w:r>
    </w:p>
    <w:p w14:paraId="147D1A25" w14:textId="77777777" w:rsidR="00362B16" w:rsidRPr="00362B16" w:rsidRDefault="00362B16" w:rsidP="00F3020D">
      <w:pPr>
        <w:spacing w:after="0" w:line="276" w:lineRule="auto"/>
        <w:contextualSpacing/>
        <w:jc w:val="both"/>
        <w:rPr>
          <w:rFonts w:ascii="Arial" w:eastAsia="Calibri" w:hAnsi="Arial" w:cs="Arial"/>
          <w:szCs w:val="24"/>
          <w:lang w:val="es-ES_tradnl" w:eastAsia="es-ES_tradnl"/>
        </w:rPr>
      </w:pPr>
    </w:p>
    <w:p w14:paraId="1E60C41A" w14:textId="77777777" w:rsidR="00362B16" w:rsidRPr="00362B16" w:rsidRDefault="00362B16" w:rsidP="008256D3">
      <w:pPr>
        <w:spacing w:after="0" w:line="276" w:lineRule="auto"/>
        <w:contextualSpacing/>
        <w:jc w:val="both"/>
        <w:rPr>
          <w:rFonts w:ascii="Arial" w:eastAsia="Calibri" w:hAnsi="Arial" w:cs="Arial"/>
          <w:szCs w:val="24"/>
          <w:lang w:val="es-ES_tradnl" w:eastAsia="es-ES_tradnl"/>
        </w:rPr>
      </w:pPr>
      <w:r w:rsidRPr="00362B16">
        <w:rPr>
          <w:rFonts w:ascii="Arial" w:eastAsia="Calibri" w:hAnsi="Arial" w:cs="Arial"/>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31 de octubre de 2022.</w:t>
      </w:r>
    </w:p>
    <w:p w14:paraId="014FD7F1" w14:textId="77777777" w:rsidR="00362B16" w:rsidRPr="00362B16" w:rsidRDefault="00362B16" w:rsidP="008256D3">
      <w:pPr>
        <w:spacing w:after="0" w:line="276" w:lineRule="auto"/>
        <w:contextualSpacing/>
        <w:jc w:val="both"/>
        <w:rPr>
          <w:rFonts w:ascii="Arial" w:eastAsia="Calibri" w:hAnsi="Arial" w:cs="Arial"/>
          <w:b/>
          <w:szCs w:val="24"/>
          <w:lang w:val="es-ES_tradnl" w:eastAsia="es-ES_tradnl"/>
        </w:rPr>
      </w:pPr>
    </w:p>
    <w:p w14:paraId="6F1BD865" w14:textId="217304B0" w:rsidR="00362B16" w:rsidRPr="00C27A6E" w:rsidRDefault="00C27A6E" w:rsidP="008256D3">
      <w:pPr>
        <w:pStyle w:val="Prrafodelista"/>
        <w:numPr>
          <w:ilvl w:val="0"/>
          <w:numId w:val="5"/>
        </w:numPr>
        <w:tabs>
          <w:tab w:val="left" w:pos="0"/>
          <w:tab w:val="left" w:pos="142"/>
          <w:tab w:val="left" w:pos="284"/>
        </w:tabs>
        <w:spacing w:after="0" w:line="276" w:lineRule="auto"/>
        <w:ind w:hanging="720"/>
        <w:jc w:val="both"/>
        <w:rPr>
          <w:rFonts w:ascii="Arial" w:eastAsia="Calibri" w:hAnsi="Arial" w:cs="Arial"/>
          <w:b/>
          <w:lang w:val="es-ES_tradnl"/>
        </w:rPr>
      </w:pPr>
      <w:r>
        <w:rPr>
          <w:rFonts w:ascii="Arial" w:eastAsia="Calibri" w:hAnsi="Arial" w:cs="Arial"/>
          <w:b/>
          <w:lang w:val="es-ES_tradnl"/>
        </w:rPr>
        <w:t xml:space="preserve">Problema planteado </w:t>
      </w:r>
      <w:r w:rsidR="00362B16" w:rsidRPr="00C27A6E">
        <w:rPr>
          <w:rFonts w:ascii="Arial" w:eastAsia="Calibri" w:hAnsi="Arial" w:cs="Arial"/>
          <w:b/>
          <w:lang w:val="es-ES_tradnl"/>
        </w:rPr>
        <w:t xml:space="preserve"> </w:t>
      </w:r>
    </w:p>
    <w:p w14:paraId="1A497C1A" w14:textId="77777777" w:rsidR="00362B16" w:rsidRPr="00362B16" w:rsidRDefault="00362B16" w:rsidP="008256D3">
      <w:pPr>
        <w:tabs>
          <w:tab w:val="left" w:pos="426"/>
        </w:tabs>
        <w:spacing w:after="0" w:line="276" w:lineRule="auto"/>
        <w:contextualSpacing/>
        <w:jc w:val="both"/>
        <w:rPr>
          <w:rFonts w:ascii="Arial" w:eastAsia="Calibri" w:hAnsi="Arial" w:cs="Arial"/>
          <w:b/>
          <w:szCs w:val="24"/>
          <w:lang w:val="es-ES_tradnl" w:eastAsia="es-ES_tradnl"/>
        </w:rPr>
      </w:pPr>
    </w:p>
    <w:p w14:paraId="2185316A" w14:textId="2583E1F8" w:rsidR="003F2A31" w:rsidRDefault="00096F2D" w:rsidP="00362B16">
      <w:pPr>
        <w:autoSpaceDE w:val="0"/>
        <w:autoSpaceDN w:val="0"/>
        <w:adjustRightInd w:val="0"/>
        <w:spacing w:after="0" w:line="276" w:lineRule="auto"/>
        <w:contextualSpacing/>
        <w:jc w:val="both"/>
        <w:rPr>
          <w:rFonts w:ascii="Arial" w:eastAsia="Times New Roman" w:hAnsi="Arial" w:cs="Arial"/>
          <w:lang w:val="es-ES_tradnl" w:eastAsia="es-ES_tradnl"/>
        </w:rPr>
      </w:pPr>
      <w:r>
        <w:rPr>
          <w:rFonts w:ascii="Arial" w:eastAsia="Times New Roman" w:hAnsi="Arial" w:cs="Arial"/>
          <w:lang w:val="es-ES_tradnl" w:eastAsia="es-ES_tradnl"/>
        </w:rPr>
        <w:t>R</w:t>
      </w:r>
      <w:r w:rsidR="00362B16" w:rsidRPr="00362B16">
        <w:rPr>
          <w:rFonts w:ascii="Arial" w:eastAsia="Times New Roman" w:hAnsi="Arial" w:cs="Arial"/>
          <w:lang w:val="es-ES_tradnl" w:eastAsia="es-ES_tradnl"/>
        </w:rPr>
        <w:t xml:space="preserve">especto al contenido del artículo 2.2.1.2.4.2.14 del Decreto 1082 de 2015, adicionado por el Decreto 1860 de 2021, norma que regula criterios para identificar emprendimientos y empresas </w:t>
      </w:r>
      <w:r w:rsidR="00362B16" w:rsidRPr="00362B16">
        <w:rPr>
          <w:rFonts w:ascii="Arial" w:eastAsia="Times New Roman" w:hAnsi="Arial" w:cs="Arial"/>
          <w:lang w:val="es-ES_tradnl" w:eastAsia="es-ES_tradnl"/>
        </w:rPr>
        <w:lastRenderedPageBreak/>
        <w:t xml:space="preserve">de mujeres para los criterios diferenciales del artículo 32 de la Ley 2069 de 2020, usted realiza la siguiente pregunta: </w:t>
      </w:r>
      <w:bookmarkStart w:id="1" w:name="_Hlk79503570"/>
      <w:bookmarkStart w:id="2" w:name="_Hlk79651438"/>
    </w:p>
    <w:p w14:paraId="76E96992" w14:textId="77777777" w:rsidR="003F2A31" w:rsidRDefault="003F2A31" w:rsidP="00362B16">
      <w:pPr>
        <w:autoSpaceDE w:val="0"/>
        <w:autoSpaceDN w:val="0"/>
        <w:adjustRightInd w:val="0"/>
        <w:spacing w:after="0" w:line="276" w:lineRule="auto"/>
        <w:contextualSpacing/>
        <w:jc w:val="both"/>
        <w:rPr>
          <w:rFonts w:ascii="Arial" w:eastAsia="Times New Roman" w:hAnsi="Arial" w:cs="Arial"/>
          <w:lang w:val="es-ES_tradnl" w:eastAsia="es-ES_tradnl"/>
        </w:rPr>
      </w:pPr>
    </w:p>
    <w:p w14:paraId="5183E6B2" w14:textId="76A633A6" w:rsidR="00362B16" w:rsidRPr="00F3020D" w:rsidRDefault="00362B16" w:rsidP="00F3020D">
      <w:pPr>
        <w:autoSpaceDE w:val="0"/>
        <w:autoSpaceDN w:val="0"/>
        <w:adjustRightInd w:val="0"/>
        <w:spacing w:after="0" w:line="240" w:lineRule="auto"/>
        <w:ind w:left="709" w:right="709"/>
        <w:contextualSpacing/>
        <w:jc w:val="both"/>
        <w:rPr>
          <w:rFonts w:ascii="Arial" w:eastAsia="Calibri" w:hAnsi="Arial" w:cs="Arial"/>
          <w:sz w:val="21"/>
          <w:szCs w:val="21"/>
        </w:rPr>
      </w:pPr>
      <w:r w:rsidRPr="00F3020D">
        <w:rPr>
          <w:rFonts w:ascii="Arial" w:eastAsia="Calibri" w:hAnsi="Arial" w:cs="Arial"/>
          <w:sz w:val="21"/>
          <w:szCs w:val="21"/>
        </w:rPr>
        <w:t>«</w:t>
      </w:r>
      <w:r w:rsidR="00917338">
        <w:rPr>
          <w:rFonts w:ascii="Arial" w:eastAsia="Calibri" w:hAnsi="Arial" w:cs="Arial"/>
          <w:sz w:val="21"/>
          <w:szCs w:val="21"/>
        </w:rPr>
        <w:t xml:space="preserve">La presente es con el fin de elevar una inquietud con respecto al Artículo 2.2.1.2.4.2.14 </w:t>
      </w:r>
      <w:r w:rsidRPr="00F3020D">
        <w:rPr>
          <w:rFonts w:ascii="Arial" w:eastAsia="Calibri" w:hAnsi="Arial" w:cs="Arial"/>
          <w:sz w:val="21"/>
          <w:szCs w:val="21"/>
        </w:rPr>
        <w:t>Definición de emprendimientos y empresas de mujeres puntualmente queremos saber</w:t>
      </w:r>
      <w:r w:rsidR="00C36AE6">
        <w:rPr>
          <w:rFonts w:ascii="Arial" w:eastAsia="Calibri" w:hAnsi="Arial" w:cs="Arial"/>
          <w:sz w:val="21"/>
          <w:szCs w:val="21"/>
        </w:rPr>
        <w:t xml:space="preserve"> </w:t>
      </w:r>
      <w:r w:rsidRPr="00F3020D">
        <w:rPr>
          <w:rFonts w:ascii="Arial" w:eastAsia="Calibri" w:hAnsi="Arial" w:cs="Arial"/>
          <w:sz w:val="21"/>
          <w:szCs w:val="21"/>
        </w:rPr>
        <w:t>si las personas naturales se pueden acoger al numeral 2 del articulo (sic) 2.2.1.2.4.2.14el (sic) cual dice: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lo anterior teniendo en cuenta que las personas naturales dentro de su estructura organizacional para el desarrollo de las actividades o servicios prestados también cuentan con un organigrama, y por ende, con personal directivo en caminado a realizar labores misionales y la toma de decisiones de carácter estratégico que conlleven al progreso de la persona natural»</w:t>
      </w:r>
      <w:r w:rsidRPr="00F3020D">
        <w:rPr>
          <w:rFonts w:ascii="Arial" w:eastAsia="Times New Roman" w:hAnsi="Arial" w:cs="Arial"/>
          <w:sz w:val="21"/>
          <w:szCs w:val="21"/>
          <w:lang w:eastAsia="es-ES_tradnl"/>
        </w:rPr>
        <w:t>.</w:t>
      </w:r>
      <w:r w:rsidR="00967060">
        <w:rPr>
          <w:rFonts w:ascii="Arial" w:eastAsia="Times New Roman" w:hAnsi="Arial" w:cs="Arial"/>
          <w:sz w:val="21"/>
          <w:szCs w:val="21"/>
          <w:lang w:eastAsia="es-ES_tradnl"/>
        </w:rPr>
        <w:t xml:space="preserve"> [SIC]</w:t>
      </w:r>
    </w:p>
    <w:bookmarkEnd w:id="1"/>
    <w:bookmarkEnd w:id="2"/>
    <w:p w14:paraId="4C3619E6" w14:textId="77777777" w:rsidR="00362B16" w:rsidRPr="00362B16" w:rsidRDefault="00362B16" w:rsidP="00F3020D">
      <w:pPr>
        <w:spacing w:after="0" w:line="276" w:lineRule="auto"/>
        <w:ind w:right="709"/>
        <w:contextualSpacing/>
        <w:jc w:val="both"/>
        <w:rPr>
          <w:rFonts w:ascii="Arial" w:eastAsia="Times New Roman" w:hAnsi="Arial" w:cs="Arial"/>
          <w:sz w:val="21"/>
          <w:szCs w:val="21"/>
          <w:lang w:val="es-ES_tradnl" w:eastAsia="es-ES_tradnl"/>
        </w:rPr>
      </w:pPr>
    </w:p>
    <w:p w14:paraId="528C6139" w14:textId="77777777" w:rsidR="00362B16" w:rsidRPr="00362B16" w:rsidRDefault="00362B16" w:rsidP="007D2682">
      <w:pPr>
        <w:pStyle w:val="Prrafodelista"/>
        <w:numPr>
          <w:ilvl w:val="0"/>
          <w:numId w:val="5"/>
        </w:numPr>
        <w:tabs>
          <w:tab w:val="left" w:pos="0"/>
          <w:tab w:val="left" w:pos="142"/>
          <w:tab w:val="left" w:pos="284"/>
        </w:tabs>
        <w:spacing w:after="0" w:line="276" w:lineRule="auto"/>
        <w:ind w:hanging="720"/>
        <w:jc w:val="both"/>
        <w:rPr>
          <w:rFonts w:ascii="Arial" w:eastAsia="Calibri" w:hAnsi="Arial" w:cs="Arial"/>
          <w:b/>
          <w:lang w:val="es-ES_tradnl"/>
        </w:rPr>
      </w:pPr>
      <w:r w:rsidRPr="00362B16">
        <w:rPr>
          <w:rFonts w:ascii="Arial" w:eastAsia="Calibri" w:hAnsi="Arial" w:cs="Arial"/>
          <w:b/>
          <w:lang w:val="es-ES_tradnl"/>
        </w:rPr>
        <w:t>Consideraciones</w:t>
      </w:r>
    </w:p>
    <w:p w14:paraId="6E7AAB49" w14:textId="77777777" w:rsidR="00362B16" w:rsidRPr="00362B16" w:rsidRDefault="00362B16" w:rsidP="007D2682">
      <w:pPr>
        <w:spacing w:after="0" w:line="276" w:lineRule="auto"/>
        <w:contextualSpacing/>
        <w:jc w:val="both"/>
        <w:rPr>
          <w:rFonts w:ascii="Arial" w:eastAsia="Calibri" w:hAnsi="Arial" w:cs="Arial"/>
          <w:lang w:val="es-ES_tradnl" w:eastAsia="es-ES_tradnl"/>
        </w:rPr>
      </w:pPr>
    </w:p>
    <w:p w14:paraId="7309F8B7" w14:textId="310A4E2F" w:rsidR="00362B16" w:rsidRPr="00362B16" w:rsidRDefault="00362B16" w:rsidP="00362B16">
      <w:pPr>
        <w:spacing w:after="0" w:line="276" w:lineRule="auto"/>
        <w:jc w:val="both"/>
        <w:rPr>
          <w:rFonts w:ascii="Arial" w:eastAsia="Calibri" w:hAnsi="Arial" w:cs="Arial"/>
          <w:color w:val="000000"/>
          <w:szCs w:val="24"/>
          <w:lang w:eastAsia="es-ES_tradnl"/>
        </w:rPr>
      </w:pPr>
      <w:r w:rsidRPr="00362B16">
        <w:rPr>
          <w:rFonts w:ascii="Arial" w:eastAsia="Calibri" w:hAnsi="Arial" w:cs="Arial"/>
          <w:color w:val="000000"/>
          <w:szCs w:val="24"/>
          <w:lang w:eastAsia="es-ES_tradnl"/>
        </w:rPr>
        <w:t xml:space="preserve">En ejercicio de las competencias establecidas en </w:t>
      </w:r>
      <w:r w:rsidR="009C4440">
        <w:rPr>
          <w:rFonts w:ascii="Arial" w:eastAsia="Calibri" w:hAnsi="Arial" w:cs="Arial"/>
          <w:color w:val="000000"/>
          <w:szCs w:val="24"/>
          <w:lang w:eastAsia="es-ES_tradnl"/>
        </w:rPr>
        <w:t xml:space="preserve">el numeral </w:t>
      </w:r>
      <w:r w:rsidR="00EE5976">
        <w:rPr>
          <w:rFonts w:ascii="Arial" w:eastAsia="Calibri" w:hAnsi="Arial" w:cs="Arial"/>
          <w:color w:val="000000"/>
          <w:szCs w:val="24"/>
          <w:lang w:eastAsia="es-ES_tradnl"/>
        </w:rPr>
        <w:t>5</w:t>
      </w:r>
      <w:r w:rsidR="009C4440">
        <w:rPr>
          <w:rFonts w:ascii="Arial" w:eastAsia="Calibri" w:hAnsi="Arial" w:cs="Arial"/>
          <w:color w:val="000000"/>
          <w:szCs w:val="24"/>
          <w:lang w:eastAsia="es-ES_tradnl"/>
        </w:rPr>
        <w:t xml:space="preserve"> del </w:t>
      </w:r>
      <w:r w:rsidRPr="00362B16">
        <w:rPr>
          <w:rFonts w:ascii="Arial" w:eastAsia="Calibri" w:hAnsi="Arial" w:cs="Arial"/>
          <w:color w:val="000000"/>
          <w:szCs w:val="24"/>
          <w:lang w:eastAsia="es-ES_tradnl"/>
        </w:rPr>
        <w:t>artículo 3 y</w:t>
      </w:r>
      <w:r w:rsidR="00EE5976">
        <w:rPr>
          <w:rFonts w:ascii="Arial" w:eastAsia="Calibri" w:hAnsi="Arial" w:cs="Arial"/>
          <w:color w:val="000000"/>
          <w:szCs w:val="24"/>
          <w:lang w:eastAsia="es-ES_tradnl"/>
        </w:rPr>
        <w:t xml:space="preserve"> el numeral 8 del artículo </w:t>
      </w:r>
      <w:r w:rsidRPr="00362B16">
        <w:rPr>
          <w:rFonts w:ascii="Arial" w:eastAsia="Calibri" w:hAnsi="Arial" w:cs="Arial"/>
          <w:color w:val="000000"/>
          <w:szCs w:val="24"/>
          <w:lang w:eastAsia="es-ES_tradnl"/>
        </w:rPr>
        <w:t>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362B16">
        <w:rPr>
          <w:rFonts w:ascii="Arial" w:eastAsia="Calibri" w:hAnsi="Arial" w:cs="Arial"/>
          <w:color w:val="000000"/>
          <w:szCs w:val="24"/>
          <w:vertAlign w:val="superscript"/>
          <w:lang w:eastAsia="es-ES_tradnl"/>
        </w:rPr>
        <w:footnoteReference w:id="2"/>
      </w:r>
      <w:r w:rsidRPr="00362B16">
        <w:rPr>
          <w:rFonts w:ascii="Arial" w:eastAsia="Calibri" w:hAnsi="Arial" w:cs="Arial"/>
          <w:color w:val="000000"/>
          <w:szCs w:val="24"/>
          <w:lang w:eastAsia="es-ES_tradnl"/>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60978595" w14:textId="77777777" w:rsidR="00362B16" w:rsidRPr="00362B16" w:rsidRDefault="00362B16" w:rsidP="00362B16">
      <w:pPr>
        <w:spacing w:before="120" w:after="120" w:line="276" w:lineRule="auto"/>
        <w:ind w:firstLine="709"/>
        <w:jc w:val="both"/>
        <w:rPr>
          <w:rFonts w:ascii="Arial" w:eastAsia="Calibri" w:hAnsi="Arial" w:cs="Arial"/>
          <w:color w:val="000000"/>
          <w:szCs w:val="24"/>
          <w:lang w:eastAsia="es-ES_tradnl"/>
        </w:rPr>
      </w:pPr>
      <w:r w:rsidRPr="00362B16">
        <w:rPr>
          <w:rFonts w:ascii="Arial" w:eastAsia="Calibri" w:hAnsi="Arial" w:cs="Arial"/>
          <w:color w:val="000000"/>
          <w:szCs w:val="24"/>
          <w:lang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w:t>
      </w:r>
      <w:r w:rsidRPr="00362B16">
        <w:rPr>
          <w:rFonts w:ascii="Arial" w:eastAsia="Calibri" w:hAnsi="Arial" w:cs="Arial"/>
          <w:color w:val="000000"/>
          <w:szCs w:val="24"/>
          <w:lang w:eastAsia="es-ES_tradnl"/>
        </w:rPr>
        <w:lastRenderedPageBreak/>
        <w:t>procedimiento de selección y, en caso de conflicto, a las autoridades judiciales, fiscales y disciplinarias.</w:t>
      </w:r>
    </w:p>
    <w:p w14:paraId="5447191C" w14:textId="736637FD" w:rsidR="002E4DF3" w:rsidRDefault="000B02DB" w:rsidP="00F3020D">
      <w:pPr>
        <w:spacing w:after="120" w:line="276" w:lineRule="auto"/>
        <w:ind w:firstLine="709"/>
        <w:jc w:val="both"/>
        <w:rPr>
          <w:rFonts w:ascii="Arial" w:eastAsia="Calibri" w:hAnsi="Arial" w:cs="Arial"/>
          <w:lang w:val="es-ES_tradnl" w:eastAsia="es-ES_tradnl"/>
        </w:rPr>
      </w:pPr>
      <w:r>
        <w:rPr>
          <w:rFonts w:ascii="Arial" w:eastAsia="Calibri" w:hAnsi="Arial" w:cs="Arial"/>
          <w:color w:val="000000"/>
        </w:rPr>
        <w:t>Teniendo en cuenta</w:t>
      </w:r>
      <w:r w:rsidR="00362B16" w:rsidRPr="00362B16">
        <w:rPr>
          <w:rFonts w:ascii="Arial" w:eastAsia="Calibri" w:hAnsi="Arial" w:cs="Arial"/>
          <w:color w:val="000000"/>
        </w:rPr>
        <w:t xml:space="preserve"> lo anterior, dentro de los límites de la competencia consultiva atribuida a esta entidad, se resolverán sus preguntas, previo análisis de los siguientes temas:</w:t>
      </w:r>
      <w:r w:rsidR="00362B16" w:rsidRPr="00362B16">
        <w:rPr>
          <w:rFonts w:ascii="Arial" w:eastAsia="Calibri" w:hAnsi="Arial" w:cs="Arial"/>
          <w:lang w:val="es-ES_tradnl" w:eastAsia="es-ES_tradnl"/>
        </w:rPr>
        <w:t xml:space="preserve"> i) vigencia y reglamentación de los criterios diferenciales de la Ley 2069 de 2020 y</w:t>
      </w:r>
      <w:r w:rsidR="002E4DF3">
        <w:rPr>
          <w:rFonts w:ascii="Arial" w:eastAsia="Calibri" w:hAnsi="Arial" w:cs="Arial"/>
          <w:lang w:val="es-ES_tradnl" w:eastAsia="es-ES_tradnl"/>
        </w:rPr>
        <w:t>;</w:t>
      </w:r>
      <w:r w:rsidR="00362B16" w:rsidRPr="00362B16">
        <w:rPr>
          <w:rFonts w:ascii="Arial" w:eastAsia="Calibri" w:hAnsi="Arial" w:cs="Arial"/>
          <w:lang w:val="es-ES_tradnl" w:eastAsia="es-ES_tradnl"/>
        </w:rPr>
        <w:t xml:space="preserve"> ii) definición de emprendimientos y empresas de mujeres en el Decreto 1860 de 2021. </w:t>
      </w:r>
    </w:p>
    <w:p w14:paraId="2FEC7DC5" w14:textId="337ED9B9" w:rsidR="00362B16" w:rsidRPr="00362B16" w:rsidRDefault="00362B16" w:rsidP="00362B16">
      <w:pPr>
        <w:spacing w:after="0" w:line="276" w:lineRule="auto"/>
        <w:ind w:firstLine="708"/>
        <w:jc w:val="both"/>
        <w:rPr>
          <w:rFonts w:ascii="Arial" w:eastAsia="Calibri" w:hAnsi="Arial" w:cs="Arial"/>
          <w:lang w:val="es-ES_tradnl" w:eastAsia="es-ES_tradnl"/>
        </w:rPr>
      </w:pPr>
      <w:r w:rsidRPr="00362B16">
        <w:rPr>
          <w:rFonts w:ascii="Arial" w:eastAsia="Calibri" w:hAnsi="Arial" w:cs="Arial"/>
          <w:lang w:val="es-ES_tradnl" w:eastAsia="es-ES_tradnl"/>
        </w:rPr>
        <w:t>La Agencia Nacional de Contratación Pública – Colombia Compra Eficiente se ha pronunciado, en términos generales, sobre el contenido de la Ley de Emprendimiento en diferentes conceptos</w:t>
      </w:r>
      <w:r w:rsidRPr="00362B16">
        <w:rPr>
          <w:rFonts w:ascii="Arial" w:eastAsia="Calibri" w:hAnsi="Arial" w:cs="Arial"/>
          <w:vertAlign w:val="superscript"/>
          <w:lang w:val="es-ES_tradnl" w:eastAsia="es-ES_tradnl"/>
        </w:rPr>
        <w:footnoteReference w:id="3"/>
      </w:r>
      <w:r w:rsidRPr="00362B16">
        <w:rPr>
          <w:rFonts w:ascii="Arial" w:eastAsia="Calibri" w:hAnsi="Arial" w:cs="Arial"/>
          <w:lang w:val="es-ES_tradnl" w:eastAsia="es-ES_tradnl"/>
        </w:rPr>
        <w:t xml:space="preserve">, refiriéndose, especialmente, a lo dispuesto en el artículo 32 de dicha ley, alusivo a los criterios diferenciales para emprendimientos y empresas de mujeres, en los conceptos </w:t>
      </w:r>
      <w:r w:rsidRPr="00362B16">
        <w:rPr>
          <w:rFonts w:ascii="Arial" w:eastAsia="Times New Roman" w:hAnsi="Arial" w:cs="Arial"/>
          <w:shd w:val="clear" w:color="auto" w:fill="FFFFFF"/>
          <w:lang w:eastAsia="es-ES_tradnl"/>
        </w:rPr>
        <w:t>C-029 de 21 de febrero de 2021, C-037 del 26 de febrero de 2021, C-141 del 8 de abril de 2021, C-114 del 13 de abril de 2015, C-031 del 1 de marzo de 2022, C-476 del 21 de junio de 2022</w:t>
      </w:r>
      <w:r w:rsidR="00251FB2">
        <w:rPr>
          <w:rFonts w:ascii="Arial" w:eastAsia="Times New Roman" w:hAnsi="Arial" w:cs="Arial"/>
          <w:shd w:val="clear" w:color="auto" w:fill="FFFFFF"/>
          <w:lang w:eastAsia="es-ES_tradnl"/>
        </w:rPr>
        <w:t xml:space="preserve">, </w:t>
      </w:r>
      <w:r w:rsidRPr="00362B16">
        <w:rPr>
          <w:rFonts w:ascii="Arial" w:eastAsia="Times New Roman" w:hAnsi="Arial" w:cs="Arial"/>
          <w:shd w:val="clear" w:color="auto" w:fill="FFFFFF"/>
          <w:lang w:eastAsia="es-ES_tradnl"/>
        </w:rPr>
        <w:t>C-429 del 18 de julio de 2022</w:t>
      </w:r>
      <w:r w:rsidR="00251FB2">
        <w:rPr>
          <w:rFonts w:ascii="Arial" w:eastAsia="Times New Roman" w:hAnsi="Arial" w:cs="Arial"/>
          <w:shd w:val="clear" w:color="auto" w:fill="FFFFFF"/>
          <w:lang w:eastAsia="es-ES_tradnl"/>
        </w:rPr>
        <w:t xml:space="preserve">, </w:t>
      </w:r>
      <w:r w:rsidR="00251FB2" w:rsidRPr="003E6F28">
        <w:rPr>
          <w:rFonts w:ascii="Arial" w:hAnsi="Arial" w:cs="Arial"/>
          <w:shd w:val="clear" w:color="auto" w:fill="FFFFFF"/>
        </w:rPr>
        <w:t>C-438 del 11 de julio de 2022, C-454 del 13 de julio de 2022, C-476 del 21 de junio de 2022, C-479 del 26 de julio de 2022, C-504 del 8 de agosto de 2022, C-522 del 16 de agosto de 2022,</w:t>
      </w:r>
      <w:r w:rsidR="00251FB2">
        <w:rPr>
          <w:rFonts w:ascii="Arial" w:hAnsi="Arial" w:cs="Arial"/>
          <w:shd w:val="clear" w:color="auto" w:fill="FFFFFF"/>
        </w:rPr>
        <w:t xml:space="preserve"> C-533 de 25 de agosto de 2022, C-587 del 21 de septiembre de 2022, C-715 del 4 de noviembre de 2022,</w:t>
      </w:r>
      <w:r w:rsidRPr="00362B16">
        <w:rPr>
          <w:rFonts w:ascii="Arial" w:eastAsia="Times New Roman" w:hAnsi="Arial" w:cs="Arial"/>
          <w:shd w:val="clear" w:color="auto" w:fill="FFFFFF"/>
          <w:lang w:eastAsia="es-ES_tradnl"/>
        </w:rPr>
        <w:t xml:space="preserve"> entre otros</w:t>
      </w:r>
      <w:r w:rsidR="00251FB2" w:rsidRPr="00C046D8">
        <w:rPr>
          <w:rFonts w:ascii="Arial" w:eastAsia="Arial" w:hAnsi="Arial" w:cs="Arial"/>
          <w:vertAlign w:val="superscript"/>
          <w:lang w:val="es-ES_tradnl" w:eastAsia="es-ES_tradnl"/>
        </w:rPr>
        <w:footnoteReference w:id="4"/>
      </w:r>
      <w:r w:rsidRPr="00362B16">
        <w:rPr>
          <w:rFonts w:ascii="Arial" w:eastAsia="Times New Roman" w:hAnsi="Arial" w:cs="Arial"/>
          <w:shd w:val="clear" w:color="auto" w:fill="FFFFFF"/>
          <w:lang w:eastAsia="es-ES_tradnl"/>
        </w:rPr>
        <w:t>.</w:t>
      </w:r>
      <w:r w:rsidRPr="00362B16">
        <w:rPr>
          <w:rFonts w:ascii="Arial" w:eastAsia="Calibri" w:hAnsi="Arial" w:cs="Arial"/>
          <w:lang w:val="es-ES_tradnl" w:eastAsia="es-ES_tradnl"/>
        </w:rPr>
        <w:t xml:space="preserve"> Algunas de las consideraciones de estos conceptos se reiteran y complementan a continuación.</w:t>
      </w:r>
    </w:p>
    <w:p w14:paraId="1EA1C3D6" w14:textId="77777777" w:rsidR="00362B16" w:rsidRPr="00362B16" w:rsidRDefault="00362B16" w:rsidP="00F3020D">
      <w:pPr>
        <w:spacing w:after="0" w:line="276" w:lineRule="auto"/>
        <w:contextualSpacing/>
        <w:textAlignment w:val="baseline"/>
        <w:rPr>
          <w:rFonts w:ascii="Arial" w:eastAsia="Calibri" w:hAnsi="Arial" w:cs="Arial"/>
          <w:lang w:val="es-ES_tradnl" w:eastAsia="es-ES_tradnl"/>
        </w:rPr>
      </w:pPr>
    </w:p>
    <w:p w14:paraId="3EE2B758" w14:textId="77777777" w:rsidR="00362B16" w:rsidRPr="00362B16" w:rsidRDefault="00362B16" w:rsidP="00251FB2">
      <w:pPr>
        <w:spacing w:after="0" w:line="276" w:lineRule="auto"/>
        <w:contextualSpacing/>
        <w:jc w:val="both"/>
        <w:rPr>
          <w:rFonts w:ascii="Arial" w:eastAsia="Calibri" w:hAnsi="Arial" w:cs="Arial"/>
          <w:b/>
          <w:bCs/>
          <w:lang w:val="es-ES_tradnl" w:eastAsia="es-ES_tradnl"/>
        </w:rPr>
      </w:pPr>
      <w:r w:rsidRPr="00362B16">
        <w:rPr>
          <w:rFonts w:ascii="Arial" w:eastAsia="Calibri" w:hAnsi="Arial" w:cs="Arial"/>
          <w:b/>
          <w:bCs/>
          <w:lang w:val="es-ES_tradnl" w:eastAsia="es-ES_tradnl"/>
        </w:rPr>
        <w:t xml:space="preserve">2.1. </w:t>
      </w:r>
      <w:bookmarkStart w:id="3" w:name="_Hlk94018153"/>
      <w:r w:rsidRPr="00362B16">
        <w:rPr>
          <w:rFonts w:ascii="Arial" w:eastAsia="Calibri" w:hAnsi="Arial" w:cs="Arial"/>
          <w:b/>
          <w:bCs/>
          <w:lang w:val="es-ES_tradnl" w:eastAsia="es-ES_tradnl"/>
        </w:rPr>
        <w:t xml:space="preserve">Vigencia y reglamentación de los criterios diferenciales de la Ley 2069 de 2020 </w:t>
      </w:r>
      <w:bookmarkEnd w:id="3"/>
    </w:p>
    <w:p w14:paraId="1AA07334" w14:textId="77777777" w:rsidR="00362B16" w:rsidRPr="00362B16" w:rsidRDefault="00362B16" w:rsidP="00251FB2">
      <w:pPr>
        <w:spacing w:after="0" w:line="276" w:lineRule="auto"/>
        <w:contextualSpacing/>
        <w:jc w:val="both"/>
        <w:rPr>
          <w:rFonts w:ascii="Arial" w:eastAsia="Calibri" w:hAnsi="Arial" w:cs="Arial"/>
          <w:lang w:val="es-ES_tradnl" w:eastAsia="es-ES_tradnl"/>
        </w:rPr>
      </w:pPr>
    </w:p>
    <w:p w14:paraId="18704944" w14:textId="03327610" w:rsidR="00362B16" w:rsidRPr="00362B16" w:rsidRDefault="00362B16" w:rsidP="00362B16">
      <w:pPr>
        <w:spacing w:after="0" w:line="276" w:lineRule="auto"/>
        <w:jc w:val="both"/>
        <w:rPr>
          <w:rFonts w:ascii="Arial" w:eastAsia="Calibri" w:hAnsi="Arial" w:cs="Arial"/>
          <w:lang w:val="es-ES_tradnl" w:eastAsia="es-ES_tradnl"/>
        </w:rPr>
      </w:pPr>
      <w:r w:rsidRPr="00362B16">
        <w:rPr>
          <w:rFonts w:ascii="Arial" w:eastAsia="Calibri" w:hAnsi="Arial" w:cs="Arial"/>
          <w:lang w:val="es-ES_tradnl" w:eastAsia="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w:t>
      </w:r>
      <w:r w:rsidR="0059527C" w:rsidRPr="00362B16">
        <w:rPr>
          <w:rFonts w:ascii="Arial" w:eastAsia="Calibri" w:hAnsi="Arial" w:cs="Arial"/>
          <w:lang w:val="es-ES_tradnl" w:eastAsia="es-ES_tradnl"/>
        </w:rPr>
        <w:t>Gobierno Nacional</w:t>
      </w:r>
      <w:r w:rsidRPr="00362B16">
        <w:rPr>
          <w:rFonts w:ascii="Arial" w:eastAsia="Calibri" w:hAnsi="Arial" w:cs="Arial"/>
          <w:lang w:val="es-ES_tradnl" w:eastAsia="es-ES_tradnl"/>
        </w:rPr>
        <w:t xml:space="preserve">, en ejercicio de la potestad reglamentaria que le confiere el artículo 189, numeral 11, de la Constitución Política, expida los decretos correspondientes que permitan la cumplida ejecución </w:t>
      </w:r>
      <w:r w:rsidRPr="00362B16">
        <w:rPr>
          <w:rFonts w:ascii="Arial" w:eastAsia="Calibri" w:hAnsi="Arial" w:cs="Arial"/>
          <w:lang w:val="es-ES_tradnl" w:eastAsia="es-ES_tradnl"/>
        </w:rPr>
        <w:lastRenderedPageBreak/>
        <w:t>de esta Ley</w:t>
      </w:r>
      <w:r w:rsidR="004C7336" w:rsidRPr="00881977">
        <w:rPr>
          <w:rFonts w:ascii="Arial" w:eastAsia="Calibri" w:hAnsi="Arial" w:cs="Arial"/>
          <w:color w:val="000000" w:themeColor="text1"/>
          <w:lang w:val="es-ES_tradnl"/>
        </w:rPr>
        <w:t>, potestad que fue ejercida mediante la expedición del Decreto 1860 de 2021, al cual se hará referencia más adelante</w:t>
      </w:r>
      <w:r w:rsidRPr="00362B16">
        <w:rPr>
          <w:rFonts w:ascii="Arial" w:eastAsia="Calibri" w:hAnsi="Arial" w:cs="Arial"/>
          <w:lang w:val="es-ES_tradnl" w:eastAsia="es-ES_tradnl"/>
        </w:rPr>
        <w:t>.</w:t>
      </w:r>
    </w:p>
    <w:p w14:paraId="26B77219" w14:textId="31294E4C" w:rsidR="00362B16" w:rsidRPr="00362B16" w:rsidRDefault="00362B16" w:rsidP="00362B16">
      <w:pPr>
        <w:spacing w:before="120" w:after="0" w:line="276" w:lineRule="auto"/>
        <w:ind w:firstLine="709"/>
        <w:jc w:val="both"/>
        <w:rPr>
          <w:rFonts w:ascii="Arial" w:eastAsia="Calibri" w:hAnsi="Arial" w:cs="Arial"/>
          <w:lang w:val="es-ES_tradnl" w:eastAsia="es-ES_tradnl"/>
        </w:rPr>
      </w:pPr>
      <w:r w:rsidRPr="00362B16">
        <w:rPr>
          <w:rFonts w:ascii="Arial" w:eastAsia="Calibri" w:hAnsi="Arial" w:cs="Arial"/>
          <w:lang w:val="es-ES_tradnl" w:eastAsia="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362B16">
        <w:rPr>
          <w:rFonts w:ascii="Arial" w:eastAsia="Calibri" w:hAnsi="Arial" w:cs="Arial"/>
          <w:sz w:val="24"/>
          <w:szCs w:val="24"/>
          <w:vertAlign w:val="superscript"/>
          <w:lang w:val="es-ES_tradnl" w:eastAsia="es-ES_tradnl"/>
        </w:rPr>
        <w:footnoteReference w:id="5"/>
      </w:r>
      <w:r w:rsidRPr="00362B16">
        <w:rPr>
          <w:rFonts w:ascii="Arial" w:eastAsia="Calibri" w:hAnsi="Arial" w:cs="Arial"/>
          <w:lang w:val="es-ES_tradnl" w:eastAsia="es-ES_tradnl"/>
        </w:rPr>
        <w:t>. Esto, a partir de «[…] un enfoque regionalizado de acuerdo a las realidades socioeconómicas de cada región». En desarrollo de esta finalidad, se establecen medidas de apoyo para las micro, pequeñas y medianas empresas –</w:t>
      </w:r>
      <w:r w:rsidR="00AB5281" w:rsidRPr="00362B16">
        <w:rPr>
          <w:rFonts w:ascii="Arial" w:eastAsia="Calibri" w:hAnsi="Arial" w:cs="Arial"/>
          <w:lang w:val="es-ES_tradnl" w:eastAsia="es-ES_tradnl"/>
        </w:rPr>
        <w:t>Mipymes</w:t>
      </w:r>
      <w:r w:rsidRPr="00362B16">
        <w:rPr>
          <w:rFonts w:ascii="Arial" w:eastAsia="Calibri" w:hAnsi="Arial" w:cs="Arial"/>
          <w:lang w:val="es-ES_tradnl" w:eastAsia="es-ES_tradnl"/>
        </w:rPr>
        <w:t>–, mediante la racionalización y simplificación de los trámites y tarifas</w:t>
      </w:r>
      <w:r w:rsidRPr="00362B16">
        <w:rPr>
          <w:rFonts w:ascii="Arial" w:eastAsia="Calibri" w:hAnsi="Arial" w:cs="Arial"/>
          <w:vertAlign w:val="superscript"/>
          <w:lang w:val="es-ES_tradnl" w:eastAsia="es-ES_tradnl"/>
        </w:rPr>
        <w:footnoteReference w:id="6"/>
      </w:r>
      <w:r w:rsidRPr="00362B16">
        <w:rPr>
          <w:rFonts w:ascii="Arial" w:eastAsia="Calibri" w:hAnsi="Arial" w:cs="Arial"/>
          <w:lang w:val="es-ES_tradnl" w:eastAsia="es-ES_tradnl"/>
        </w:rPr>
        <w:t>, así como incentivos a favor de aquellas dentro del sistema de compras y contratación pública</w:t>
      </w:r>
      <w:r w:rsidRPr="00362B16">
        <w:rPr>
          <w:rFonts w:ascii="Arial" w:eastAsia="Calibri" w:hAnsi="Arial" w:cs="Arial"/>
          <w:vertAlign w:val="superscript"/>
          <w:lang w:val="es-ES_tradnl" w:eastAsia="es-ES_tradnl"/>
        </w:rPr>
        <w:footnoteReference w:id="7"/>
      </w:r>
      <w:r w:rsidRPr="00362B16">
        <w:rPr>
          <w:rFonts w:ascii="Arial" w:eastAsia="Calibri" w:hAnsi="Arial" w:cs="Arial"/>
          <w:lang w:val="es-ES_tradnl" w:eastAsia="es-ES_tradnl"/>
        </w:rPr>
        <w:t>. También se consagran mecanismos de acceso al financiamiento</w:t>
      </w:r>
      <w:r w:rsidRPr="00362B16">
        <w:rPr>
          <w:rFonts w:ascii="Arial" w:eastAsia="Calibri" w:hAnsi="Arial" w:cs="Arial"/>
          <w:vertAlign w:val="superscript"/>
          <w:lang w:val="es-ES_tradnl" w:eastAsia="es-ES_tradnl"/>
        </w:rPr>
        <w:footnoteReference w:id="8"/>
      </w:r>
      <w:r w:rsidRPr="00362B16">
        <w:rPr>
          <w:rFonts w:ascii="Arial" w:eastAsia="Calibri" w:hAnsi="Arial" w:cs="Arial"/>
          <w:lang w:val="es-ES_tradnl" w:eastAsia="es-ES_tradnl"/>
        </w:rPr>
        <w:t>, se unifican las fuentes de emprendimiento y de desarrollo empresarial, para fortalecer y promover los distintos sectores de la economía</w:t>
      </w:r>
      <w:r w:rsidRPr="00362B16">
        <w:rPr>
          <w:rFonts w:ascii="Arial" w:eastAsia="Calibri" w:hAnsi="Arial" w:cs="Arial"/>
          <w:vertAlign w:val="superscript"/>
          <w:lang w:val="es-ES_tradnl" w:eastAsia="es-ES_tradnl"/>
        </w:rPr>
        <w:footnoteReference w:id="9"/>
      </w:r>
      <w:r w:rsidRPr="00362B16">
        <w:rPr>
          <w:rFonts w:ascii="Arial" w:eastAsia="Calibri" w:hAnsi="Arial" w:cs="Arial"/>
          <w:lang w:val="es-ES_tradnl" w:eastAsia="es-ES_tradnl"/>
        </w:rPr>
        <w:t xml:space="preserve"> y se prevén medidas de educación para el emprendimiento y la innovación</w:t>
      </w:r>
      <w:r w:rsidRPr="00362B16">
        <w:rPr>
          <w:rFonts w:ascii="Arial" w:eastAsia="Calibri" w:hAnsi="Arial" w:cs="Arial"/>
          <w:vertAlign w:val="superscript"/>
          <w:lang w:val="es-ES_tradnl" w:eastAsia="es-ES_tradnl"/>
        </w:rPr>
        <w:footnoteReference w:id="10"/>
      </w:r>
      <w:r w:rsidRPr="00362B16">
        <w:rPr>
          <w:rFonts w:ascii="Arial" w:eastAsia="Calibri" w:hAnsi="Arial" w:cs="Arial"/>
          <w:lang w:val="es-ES_tradnl" w:eastAsia="es-ES_tradnl"/>
        </w:rPr>
        <w:t>.</w:t>
      </w:r>
    </w:p>
    <w:p w14:paraId="66A0EBFE" w14:textId="2684283D" w:rsidR="00362B16" w:rsidRPr="00362B16" w:rsidRDefault="00362B16" w:rsidP="00362B16">
      <w:pPr>
        <w:spacing w:before="120" w:after="120" w:line="276" w:lineRule="auto"/>
        <w:ind w:firstLine="709"/>
        <w:jc w:val="both"/>
        <w:rPr>
          <w:rFonts w:ascii="Arial" w:eastAsia="Calibri" w:hAnsi="Arial" w:cs="Arial"/>
          <w:lang w:val="es-ES_tradnl" w:eastAsia="es-ES_tradnl"/>
        </w:rPr>
      </w:pPr>
      <w:r w:rsidRPr="00362B16">
        <w:rPr>
          <w:rFonts w:ascii="Arial" w:eastAsia="Calibri" w:hAnsi="Arial"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r w:rsidR="00D57CFD" w:rsidRPr="00362B16">
        <w:rPr>
          <w:rFonts w:ascii="Arial" w:eastAsia="Calibri" w:hAnsi="Arial" w:cs="Arial"/>
          <w:lang w:val="es-ES_tradnl" w:eastAsia="es-ES_tradnl"/>
        </w:rPr>
        <w:t xml:space="preserve">Mipyme </w:t>
      </w:r>
      <w:r w:rsidRPr="00362B16">
        <w:rPr>
          <w:rFonts w:ascii="Arial" w:eastAsia="Calibri" w:hAnsi="Arial" w:cs="Arial"/>
          <w:lang w:val="es-ES_tradnl" w:eastAsia="es-ES_tradnl"/>
        </w:rPr>
        <w:t xml:space="preserve">en el procedimiento de mínima cuantía, ii) criterios diferenciales para </w:t>
      </w:r>
      <w:r w:rsidR="00D57CFD" w:rsidRPr="00362B16">
        <w:rPr>
          <w:rFonts w:ascii="Arial" w:eastAsia="Calibri" w:hAnsi="Arial" w:cs="Arial"/>
          <w:lang w:val="es-ES_tradnl" w:eastAsia="es-ES_tradnl"/>
        </w:rPr>
        <w:t xml:space="preserve">Mipyme </w:t>
      </w:r>
      <w:r w:rsidRPr="00362B16">
        <w:rPr>
          <w:rFonts w:ascii="Arial" w:eastAsia="Calibri" w:hAnsi="Arial" w:cs="Arial"/>
          <w:lang w:val="es-ES_tradnl" w:eastAsia="es-ES_tradnl"/>
        </w:rPr>
        <w:t>en el sistema de compras públicas</w:t>
      </w:r>
      <w:r w:rsidRPr="00F3020D">
        <w:rPr>
          <w:rFonts w:ascii="Arial" w:eastAsia="Calibri" w:hAnsi="Arial" w:cs="Arial"/>
          <w:lang w:val="es-ES_tradnl" w:eastAsia="es-ES_tradnl"/>
        </w:rPr>
        <w:t xml:space="preserve">, iii) </w:t>
      </w:r>
      <w:r w:rsidRPr="00362B16">
        <w:rPr>
          <w:rFonts w:ascii="Arial" w:eastAsia="Calibri" w:hAnsi="Arial" w:cs="Arial"/>
          <w:lang w:val="es-ES_tradnl" w:eastAsia="es-ES_tradnl"/>
        </w:rPr>
        <w:t xml:space="preserve">criterios diferenciales para emprendimientos y empresas de mujeres en el sistema de compras públicas, iv) promoción del acceso de las </w:t>
      </w:r>
      <w:r w:rsidR="00D57CFD" w:rsidRPr="00362B16">
        <w:rPr>
          <w:rFonts w:ascii="Arial" w:eastAsia="Calibri" w:hAnsi="Arial" w:cs="Arial"/>
          <w:lang w:val="es-ES_tradnl" w:eastAsia="es-ES_tradnl"/>
        </w:rPr>
        <w:t xml:space="preserve">Mipyme </w:t>
      </w:r>
      <w:r w:rsidRPr="00362B16">
        <w:rPr>
          <w:rFonts w:ascii="Arial" w:eastAsia="Calibri" w:hAnsi="Arial" w:cs="Arial"/>
          <w:lang w:val="es-ES_tradnl" w:eastAsia="es-ES_tradnl"/>
        </w:rPr>
        <w:t>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32 y el numeral 2 del artículo 35 de la referida ley, a continuación, se estudiará el contenido y alcance de dicha norma</w:t>
      </w:r>
      <w:r w:rsidRPr="00362B16">
        <w:rPr>
          <w:rFonts w:ascii="Arial" w:eastAsia="Calibri" w:hAnsi="Arial" w:cs="Arial"/>
          <w:bCs/>
          <w:sz w:val="24"/>
          <w:szCs w:val="24"/>
          <w:vertAlign w:val="superscript"/>
          <w:lang w:val="es-MX" w:eastAsia="es-ES_tradnl"/>
        </w:rPr>
        <w:footnoteReference w:id="11"/>
      </w:r>
      <w:r w:rsidRPr="00362B16">
        <w:rPr>
          <w:rFonts w:ascii="Arial" w:eastAsia="Calibri" w:hAnsi="Arial" w:cs="Arial"/>
          <w:lang w:val="es-ES_tradnl" w:eastAsia="es-ES_tradnl"/>
        </w:rPr>
        <w:t xml:space="preserve">.  </w:t>
      </w:r>
    </w:p>
    <w:p w14:paraId="468A50FB" w14:textId="37087691" w:rsidR="00362B16" w:rsidRPr="00362B16" w:rsidRDefault="00362B16" w:rsidP="00362B16">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t xml:space="preserve">Dentro del referido capítulo se encuentran </w:t>
      </w:r>
      <w:bookmarkStart w:id="5" w:name="_Hlk63848566"/>
      <w:r w:rsidRPr="00362B16">
        <w:rPr>
          <w:rFonts w:ascii="Arial" w:eastAsia="Calibri" w:hAnsi="Arial" w:cs="Arial"/>
          <w:bCs/>
          <w:szCs w:val="24"/>
          <w:lang w:eastAsia="es-ES_tradnl"/>
        </w:rPr>
        <w:t>los artículos 31 y 32 de la Ley 2069 de 2020</w:t>
      </w:r>
      <w:bookmarkEnd w:id="5"/>
      <w:r w:rsidRPr="00362B16">
        <w:rPr>
          <w:rFonts w:ascii="Arial" w:eastAsia="Calibri" w:hAnsi="Arial" w:cs="Arial"/>
          <w:bCs/>
          <w:szCs w:val="24"/>
          <w:lang w:eastAsia="es-ES_tradnl"/>
        </w:rPr>
        <w:t xml:space="preserve">, </w:t>
      </w:r>
      <w:r w:rsidR="00B14C87">
        <w:rPr>
          <w:rFonts w:ascii="Arial" w:eastAsia="Calibri" w:hAnsi="Arial" w:cs="Arial"/>
          <w:bCs/>
          <w:szCs w:val="24"/>
          <w:lang w:eastAsia="es-ES_tradnl"/>
        </w:rPr>
        <w:t xml:space="preserve">a través de </w:t>
      </w:r>
      <w:r w:rsidRPr="00362B16">
        <w:rPr>
          <w:rFonts w:ascii="Arial" w:eastAsia="Calibri" w:hAnsi="Arial" w:cs="Arial"/>
          <w:bCs/>
          <w:szCs w:val="24"/>
          <w:lang w:eastAsia="es-ES_tradnl"/>
        </w:rPr>
        <w:t xml:space="preserve">los cuales </w:t>
      </w:r>
      <w:r w:rsidR="00B14C87">
        <w:rPr>
          <w:rFonts w:ascii="Arial" w:eastAsia="Calibri" w:hAnsi="Arial" w:cs="Arial"/>
          <w:bCs/>
          <w:szCs w:val="24"/>
          <w:lang w:eastAsia="es-ES_tradnl"/>
        </w:rPr>
        <w:t xml:space="preserve">se </w:t>
      </w:r>
      <w:r w:rsidRPr="00362B16">
        <w:rPr>
          <w:rFonts w:ascii="Arial" w:eastAsia="Calibri" w:hAnsi="Arial" w:cs="Arial"/>
          <w:bCs/>
          <w:szCs w:val="24"/>
          <w:lang w:eastAsia="es-ES_tradnl"/>
        </w:rPr>
        <w:t xml:space="preserve">crean una serie de incentivos para las personas interesadas en celebrar </w:t>
      </w:r>
      <w:r w:rsidRPr="00362B16">
        <w:rPr>
          <w:rFonts w:ascii="Arial" w:eastAsia="Calibri" w:hAnsi="Arial" w:cs="Arial"/>
          <w:bCs/>
          <w:szCs w:val="24"/>
          <w:lang w:eastAsia="es-ES_tradnl"/>
        </w:rPr>
        <w:lastRenderedPageBreak/>
        <w:t xml:space="preserve">contratos con el Estado. </w:t>
      </w:r>
      <w:r w:rsidRPr="00362B16">
        <w:rPr>
          <w:rFonts w:ascii="Arial" w:eastAsia="Calibri" w:hAnsi="Arial" w:cs="Arial"/>
          <w:bCs/>
          <w:szCs w:val="24"/>
          <w:lang w:val="es-ES_tradnl" w:eastAsia="es-ES_tradnl"/>
        </w:rPr>
        <w:t xml:space="preserve">Por un lado, el artículo 31 </w:t>
      </w:r>
      <w:r w:rsidRPr="00362B16">
        <w:rPr>
          <w:rFonts w:ascii="Arial" w:eastAsia="Calibri" w:hAnsi="Arial" w:cs="Arial"/>
          <w:bCs/>
          <w:szCs w:val="24"/>
          <w:lang w:eastAsia="es-ES_tradnl"/>
        </w:rPr>
        <w:t xml:space="preserve">introduce criterios diferenciales para el acceso de las </w:t>
      </w:r>
      <w:r w:rsidR="00B14C87" w:rsidRPr="00362B16">
        <w:rPr>
          <w:rFonts w:ascii="Arial" w:eastAsia="Calibri" w:hAnsi="Arial" w:cs="Arial"/>
          <w:bCs/>
          <w:szCs w:val="24"/>
          <w:lang w:eastAsia="es-ES_tradnl"/>
        </w:rPr>
        <w:t xml:space="preserve">Mipyme </w:t>
      </w:r>
      <w:r w:rsidRPr="00362B16">
        <w:rPr>
          <w:rFonts w:ascii="Arial" w:eastAsia="Calibri" w:hAnsi="Arial" w:cs="Arial"/>
          <w:bCs/>
          <w:szCs w:val="24"/>
          <w:lang w:eastAsia="es-ES_tradnl"/>
        </w:rPr>
        <w:t xml:space="preserve">al sistema de compras y contratación pública, estableciendo que «Las Entidades Estatales de acuerdo con el análisis de Sector </w:t>
      </w:r>
      <w:bookmarkStart w:id="6" w:name="_Hlk63767562"/>
      <w:r w:rsidRPr="00362B16">
        <w:rPr>
          <w:rFonts w:ascii="Arial" w:eastAsia="Calibri" w:hAnsi="Arial" w:cs="Arial"/>
          <w:bCs/>
          <w:szCs w:val="24"/>
          <w:lang w:eastAsia="es-ES_tradnl"/>
        </w:rPr>
        <w:t>podrán incluir, en los Documentos del Proceso, requisitos diferenciales y puntajes adicionales</w:t>
      </w:r>
      <w:bookmarkEnd w:id="6"/>
      <w:r w:rsidRPr="00362B16">
        <w:rPr>
          <w:rFonts w:ascii="Arial" w:eastAsia="Calibri" w:hAnsi="Arial" w:cs="Arial"/>
          <w:bCs/>
          <w:szCs w:val="24"/>
          <w:lang w:eastAsia="es-ES_tradnl"/>
        </w:rPr>
        <w:t xml:space="preserve">, en función del tamaño empresarial para la promoción del acceso de las MIPYMES al mercado de Compras Públicas».  </w:t>
      </w:r>
    </w:p>
    <w:p w14:paraId="435181A1" w14:textId="5C9F4FD4" w:rsidR="00362B16" w:rsidRPr="00362B16" w:rsidRDefault="00362B16" w:rsidP="00362B16">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t xml:space="preserve">Además, el inciso segundo y el parágrafo del </w:t>
      </w:r>
      <w:r w:rsidRPr="00362B16">
        <w:rPr>
          <w:rFonts w:ascii="Arial" w:eastAsia="Calibri" w:hAnsi="Arial" w:cs="Arial"/>
          <w:bCs/>
          <w:szCs w:val="24"/>
          <w:lang w:val="es-ES_tradnl" w:eastAsia="es-ES_tradnl"/>
        </w:rPr>
        <w:t xml:space="preserve">artículo 31 </w:t>
      </w:r>
      <w:r w:rsidRPr="00362B16">
        <w:rPr>
          <w:rFonts w:ascii="Arial" w:eastAsia="Calibri" w:hAnsi="Arial" w:cs="Arial"/>
          <w:bCs/>
          <w:szCs w:val="24"/>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28E6CC2A" w14:textId="77777777" w:rsidR="00362B16" w:rsidRPr="00362B16" w:rsidRDefault="00362B16" w:rsidP="00362B16">
      <w:pPr>
        <w:tabs>
          <w:tab w:val="left" w:pos="709"/>
        </w:tabs>
        <w:spacing w:after="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r>
      <w:r w:rsidRPr="00071557">
        <w:rPr>
          <w:rFonts w:ascii="Arial" w:eastAsia="Calibri" w:hAnsi="Arial" w:cs="Arial"/>
          <w:bCs/>
          <w:szCs w:val="24"/>
          <w:lang w:eastAsia="es-ES_tradnl"/>
        </w:rPr>
        <w:t>Por otra parte, el artículo 32 de la Ley 2069 de 2020</w:t>
      </w:r>
      <w:r w:rsidRPr="00071557">
        <w:rPr>
          <w:rFonts w:ascii="Arial" w:eastAsia="Calibri" w:hAnsi="Arial" w:cs="Arial"/>
          <w:bCs/>
          <w:szCs w:val="24"/>
          <w:vertAlign w:val="superscript"/>
          <w:lang w:eastAsia="es-ES_tradnl"/>
        </w:rPr>
        <w:footnoteReference w:id="12"/>
      </w:r>
      <w:r w:rsidRPr="00071557">
        <w:rPr>
          <w:rFonts w:ascii="Arial" w:eastAsia="Calibri" w:hAnsi="Arial" w:cs="Arial"/>
          <w:bCs/>
          <w:szCs w:val="24"/>
          <w:lang w:eastAsia="es-ES_tradnl"/>
        </w:rPr>
        <w:t xml:space="preserve"> regula criterios diferenciales para los «emprendimientos y empresas de mujeres» en el sistema de compras y contratación pública. En relación con este aspecto, el inciso primero de la norma citada prescribe lo siguiente:</w:t>
      </w:r>
      <w:r w:rsidRPr="00362B16">
        <w:rPr>
          <w:rFonts w:ascii="Arial" w:eastAsia="Calibri" w:hAnsi="Arial" w:cs="Arial"/>
          <w:bCs/>
          <w:szCs w:val="24"/>
          <w:lang w:eastAsia="es-ES_tradnl"/>
        </w:rPr>
        <w:t xml:space="preserve"> </w:t>
      </w:r>
    </w:p>
    <w:p w14:paraId="39333675" w14:textId="77777777" w:rsidR="00362B16" w:rsidRPr="00362B16" w:rsidRDefault="00362B16" w:rsidP="00362B16">
      <w:pPr>
        <w:tabs>
          <w:tab w:val="left" w:pos="709"/>
        </w:tabs>
        <w:spacing w:after="0" w:line="276" w:lineRule="auto"/>
        <w:contextualSpacing/>
        <w:jc w:val="both"/>
        <w:rPr>
          <w:rFonts w:ascii="Arial" w:eastAsia="Calibri" w:hAnsi="Arial" w:cs="Arial"/>
          <w:bCs/>
          <w:szCs w:val="24"/>
          <w:lang w:eastAsia="es-ES_tradnl"/>
        </w:rPr>
      </w:pPr>
    </w:p>
    <w:p w14:paraId="7CBD001D" w14:textId="26DABDA8" w:rsidR="00362B16" w:rsidRPr="00F3020D" w:rsidRDefault="006B41F1" w:rsidP="00362B16">
      <w:pPr>
        <w:tabs>
          <w:tab w:val="left" w:pos="709"/>
        </w:tabs>
        <w:spacing w:after="0" w:line="240" w:lineRule="auto"/>
        <w:ind w:left="709" w:right="709"/>
        <w:contextualSpacing/>
        <w:jc w:val="both"/>
        <w:rPr>
          <w:rFonts w:ascii="Arial" w:eastAsia="Calibri" w:hAnsi="Arial" w:cs="Arial"/>
          <w:bCs/>
          <w:sz w:val="21"/>
          <w:szCs w:val="21"/>
          <w:lang w:eastAsia="es-ES_tradnl"/>
        </w:rPr>
      </w:pPr>
      <w:r w:rsidRPr="003E6F28">
        <w:rPr>
          <w:rFonts w:ascii="Arial" w:hAnsi="Arial" w:cs="Arial"/>
          <w:sz w:val="21"/>
          <w:szCs w:val="21"/>
        </w:rPr>
        <w:t>«</w:t>
      </w:r>
      <w:r w:rsidR="00362B16" w:rsidRPr="00F3020D">
        <w:rPr>
          <w:rFonts w:ascii="Arial" w:eastAsia="Calibri" w:hAnsi="Arial" w:cs="Arial"/>
          <w:bCs/>
          <w:sz w:val="21"/>
          <w:szCs w:val="21"/>
          <w:lang w:eastAsia="es-ES_tradnl"/>
        </w:rPr>
        <w:t xml:space="preserve">De acuerdo con el resultado del análisis del sector, las entidades estatales incluirán requisitos diferenciales y puntajes adicionales en los procesos de </w:t>
      </w:r>
      <w:bookmarkStart w:id="7" w:name="_Hlk63770487"/>
      <w:r w:rsidR="00362B16" w:rsidRPr="00F3020D">
        <w:rPr>
          <w:rFonts w:ascii="Arial" w:eastAsia="Calibri" w:hAnsi="Arial" w:cs="Arial"/>
          <w:bCs/>
          <w:sz w:val="21"/>
          <w:szCs w:val="21"/>
          <w:lang w:eastAsia="es-ES_tradnl"/>
        </w:rPr>
        <w:t>licitación pública, selección abreviada de menor cuantía y concurso de méritos</w:t>
      </w:r>
      <w:bookmarkEnd w:id="7"/>
      <w:r w:rsidR="00362B16" w:rsidRPr="00F3020D">
        <w:rPr>
          <w:rFonts w:ascii="Arial" w:eastAsia="Calibri" w:hAnsi="Arial" w:cs="Arial"/>
          <w:bCs/>
          <w:sz w:val="21"/>
          <w:szCs w:val="21"/>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00E35F99" w:rsidRPr="003E6F28">
        <w:rPr>
          <w:rFonts w:ascii="Arial" w:hAnsi="Arial" w:cs="Arial"/>
          <w:sz w:val="21"/>
          <w:szCs w:val="21"/>
        </w:rPr>
        <w:t>»</w:t>
      </w:r>
      <w:r w:rsidR="00362B16" w:rsidRPr="00F3020D">
        <w:rPr>
          <w:rFonts w:ascii="Arial" w:eastAsia="Calibri" w:hAnsi="Arial" w:cs="Arial"/>
          <w:bCs/>
          <w:sz w:val="21"/>
          <w:szCs w:val="21"/>
          <w:lang w:eastAsia="es-ES_tradnl"/>
        </w:rPr>
        <w:t>.</w:t>
      </w:r>
    </w:p>
    <w:p w14:paraId="79BA6206" w14:textId="77777777" w:rsidR="00362B16" w:rsidRPr="00362B16" w:rsidRDefault="00362B16" w:rsidP="00F3020D">
      <w:pPr>
        <w:tabs>
          <w:tab w:val="left" w:pos="709"/>
        </w:tabs>
        <w:spacing w:after="0" w:line="276" w:lineRule="auto"/>
        <w:ind w:left="709" w:right="709"/>
        <w:contextualSpacing/>
        <w:jc w:val="both"/>
        <w:rPr>
          <w:rFonts w:ascii="Arial" w:eastAsia="Calibri" w:hAnsi="Arial" w:cs="Arial"/>
          <w:bCs/>
          <w:szCs w:val="24"/>
          <w:lang w:eastAsia="es-ES_tradnl"/>
        </w:rPr>
      </w:pPr>
    </w:p>
    <w:p w14:paraId="7E4F8C5E" w14:textId="645E2C47" w:rsidR="00362B16" w:rsidRPr="00362B16" w:rsidRDefault="00362B16" w:rsidP="00362B16">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r>
      <w:r w:rsidR="00507F3A">
        <w:rPr>
          <w:rFonts w:ascii="Arial" w:eastAsia="Calibri" w:hAnsi="Arial" w:cs="Arial"/>
          <w:bCs/>
          <w:szCs w:val="24"/>
          <w:lang w:eastAsia="es-ES_tradnl"/>
        </w:rPr>
        <w:t>De esta manera,</w:t>
      </w:r>
      <w:r w:rsidRPr="00362B16">
        <w:rPr>
          <w:rFonts w:ascii="Arial" w:eastAsia="Calibri" w:hAnsi="Arial" w:cs="Arial"/>
          <w:bCs/>
          <w:szCs w:val="24"/>
          <w:lang w:eastAsia="es-ES_tradnl"/>
        </w:rPr>
        <w:t xml:space="preserve"> los «criterios diferenciales» del artículo 32 </w:t>
      </w:r>
      <w:r w:rsidRPr="00362B16">
        <w:rPr>
          <w:rFonts w:ascii="Arial" w:eastAsia="Calibri" w:hAnsi="Arial" w:cs="Arial"/>
          <w:bCs/>
          <w:i/>
          <w:iCs/>
          <w:szCs w:val="24"/>
          <w:lang w:eastAsia="es-ES_tradnl"/>
        </w:rPr>
        <w:t>ibidem</w:t>
      </w:r>
      <w:r w:rsidRPr="00362B16">
        <w:rPr>
          <w:rFonts w:ascii="Arial" w:eastAsia="Calibri" w:hAnsi="Arial" w:cs="Arial"/>
          <w:bCs/>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w:t>
      </w:r>
      <w:r w:rsidR="007226D8">
        <w:rPr>
          <w:rFonts w:ascii="Arial" w:eastAsia="Calibri" w:hAnsi="Arial" w:cs="Arial"/>
          <w:bCs/>
          <w:szCs w:val="24"/>
          <w:lang w:eastAsia="es-ES_tradnl"/>
        </w:rPr>
        <w:t>Asimismo</w:t>
      </w:r>
      <w:r w:rsidRPr="00362B16">
        <w:rPr>
          <w:rFonts w:ascii="Arial" w:eastAsia="Calibri" w:hAnsi="Arial" w:cs="Arial"/>
          <w:bCs/>
          <w:szCs w:val="24"/>
          <w:lang w:eastAsia="es-ES_tradnl"/>
        </w:rPr>
        <w:t xml:space="preserve">, sin distinciones ulteriores, la norma en comento también se extiende a todos los procedimientos que realicen las entidades estatales excluidas de la Ley 80 de 1993.     </w:t>
      </w:r>
    </w:p>
    <w:p w14:paraId="4CC8ECA8" w14:textId="77777777" w:rsidR="00362B16" w:rsidRPr="00362B16" w:rsidRDefault="00362B16" w:rsidP="00362B16">
      <w:pPr>
        <w:spacing w:before="120" w:after="120" w:line="276" w:lineRule="auto"/>
        <w:ind w:firstLine="709"/>
        <w:jc w:val="both"/>
        <w:rPr>
          <w:rFonts w:ascii="Arial" w:eastAsia="Calibri" w:hAnsi="Arial" w:cs="Arial"/>
          <w:lang w:val="es-ES_tradnl" w:eastAsia="es-ES_tradnl"/>
        </w:rPr>
      </w:pPr>
      <w:r w:rsidRPr="00362B16">
        <w:rPr>
          <w:rFonts w:ascii="Arial" w:eastAsia="Calibri" w:hAnsi="Arial" w:cs="Arial"/>
          <w:bCs/>
          <w:szCs w:val="24"/>
          <w:lang w:eastAsia="es-ES_tradnl"/>
        </w:rPr>
        <w:t xml:space="preserve">No obstante, el artículo 32 de la Ley 2069 de 2020 –al igual que el artículo 31– también alude a la necesidad del desarrollo normativo posterior. Al respecto, el parágrafo dispone que «La </w:t>
      </w:r>
      <w:r w:rsidRPr="00362B16">
        <w:rPr>
          <w:rFonts w:ascii="Arial" w:eastAsia="Calibri" w:hAnsi="Arial" w:cs="Arial"/>
          <w:bCs/>
          <w:szCs w:val="24"/>
          <w:lang w:eastAsia="es-ES_tradnl"/>
        </w:rPr>
        <w:lastRenderedPageBreak/>
        <w:t xml:space="preserve">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532BC245" w14:textId="2261282E" w:rsidR="00362B16" w:rsidRPr="00362B16" w:rsidRDefault="00362B16" w:rsidP="00362B16">
      <w:pPr>
        <w:spacing w:after="120" w:line="276" w:lineRule="auto"/>
        <w:jc w:val="both"/>
        <w:rPr>
          <w:rFonts w:ascii="Arial" w:eastAsia="Calibri" w:hAnsi="Arial" w:cs="Arial"/>
          <w:lang w:val="es-ES_tradnl" w:eastAsia="es-ES_tradnl"/>
        </w:rPr>
      </w:pPr>
      <w:r w:rsidRPr="00362B16">
        <w:rPr>
          <w:rFonts w:ascii="Arial" w:eastAsia="Calibri" w:hAnsi="Arial" w:cs="Arial"/>
          <w:b/>
          <w:bCs/>
          <w:lang w:val="es-ES_tradnl" w:eastAsia="es-ES_tradnl"/>
        </w:rPr>
        <w:tab/>
      </w:r>
      <w:r w:rsidRPr="00362B16">
        <w:rPr>
          <w:rFonts w:ascii="Arial" w:eastAsia="Calibri" w:hAnsi="Arial" w:cs="Arial"/>
          <w:lang w:val="es-ES_tradnl" w:eastAsia="es-ES_tradnl"/>
        </w:rPr>
        <w:t xml:space="preserve">En este contexto, el </w:t>
      </w:r>
      <w:r w:rsidR="004B30CD" w:rsidRPr="00362B16">
        <w:rPr>
          <w:rFonts w:ascii="Arial" w:eastAsia="Calibri" w:hAnsi="Arial" w:cs="Arial"/>
          <w:lang w:val="es-ES_tradnl" w:eastAsia="es-ES_tradnl"/>
        </w:rPr>
        <w:t xml:space="preserve">Gobierno Nacional </w:t>
      </w:r>
      <w:r w:rsidRPr="00362B16">
        <w:rPr>
          <w:rFonts w:ascii="Arial" w:eastAsia="Calibri" w:hAnsi="Arial" w:cs="Arial"/>
          <w:lang w:val="es-ES_tradnl" w:eastAsia="es-ES_tradnl"/>
        </w:rPr>
        <w:t>expidió el Decreto 1860 de 2021,</w:t>
      </w:r>
      <w:r w:rsidRPr="00362B16">
        <w:rPr>
          <w:rFonts w:ascii="Times New Roman" w:eastAsia="Times New Roman" w:hAnsi="Times New Roman" w:cs="Times New Roman"/>
          <w:sz w:val="24"/>
          <w:szCs w:val="24"/>
          <w:lang w:eastAsia="es-ES_tradnl"/>
        </w:rPr>
        <w:t xml:space="preserve"> </w:t>
      </w:r>
      <w:r w:rsidRPr="00362B16">
        <w:rPr>
          <w:rFonts w:ascii="Arial" w:eastAsia="Calibri" w:hAnsi="Arial" w:cs="Arial"/>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62B16">
        <w:rPr>
          <w:rFonts w:ascii="Arial" w:eastAsia="Calibri" w:hAnsi="Arial" w:cs="Arial"/>
          <w:vertAlign w:val="superscript"/>
          <w:lang w:val="es-ES_tradnl" w:eastAsia="es-ES_tradnl"/>
        </w:rPr>
        <w:footnoteReference w:id="13"/>
      </w:r>
      <w:r w:rsidRPr="00362B16">
        <w:rPr>
          <w:rFonts w:ascii="Arial" w:eastAsia="Calibri" w:hAnsi="Arial" w:cs="Arial"/>
          <w:lang w:val="es-ES_tradnl" w:eastAsia="es-ES_tradnl"/>
        </w:rPr>
        <w:t xml:space="preserve">.  </w:t>
      </w:r>
    </w:p>
    <w:p w14:paraId="50C8B7B8" w14:textId="77777777" w:rsidR="00362B16" w:rsidRPr="00362B16" w:rsidRDefault="00362B16" w:rsidP="00362B16">
      <w:pPr>
        <w:spacing w:after="120" w:line="276" w:lineRule="auto"/>
        <w:jc w:val="both"/>
        <w:rPr>
          <w:rFonts w:ascii="Arial" w:eastAsia="Times New Roman" w:hAnsi="Arial" w:cs="Arial"/>
          <w:lang w:eastAsia="es-CO"/>
        </w:rPr>
      </w:pPr>
      <w:r w:rsidRPr="00362B16">
        <w:rPr>
          <w:rFonts w:ascii="Arial" w:eastAsia="Calibri" w:hAnsi="Arial" w:cs="Arial"/>
          <w:lang w:val="es-ES_tradnl" w:eastAsia="es-ES_tradnl"/>
        </w:rPr>
        <w:tab/>
      </w:r>
      <w:r w:rsidRPr="00071557">
        <w:rPr>
          <w:rFonts w:ascii="Arial" w:eastAsia="Calibri" w:hAnsi="Arial" w:cs="Arial"/>
          <w:lang w:val="es-ES_tradnl" w:eastAsia="es-ES_tradnl"/>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r w:rsidRPr="00362B16">
        <w:rPr>
          <w:rFonts w:ascii="Arial" w:eastAsia="Calibri" w:hAnsi="Arial" w:cs="Arial"/>
          <w:lang w:val="es-ES_tradnl" w:eastAsia="es-ES_tradnl"/>
        </w:rPr>
        <w:t xml:space="preserve"> </w:t>
      </w:r>
    </w:p>
    <w:p w14:paraId="3F3CE1D7" w14:textId="77777777" w:rsidR="00362B16" w:rsidRPr="00362B16" w:rsidRDefault="00362B16" w:rsidP="00362B16">
      <w:pPr>
        <w:widowControl w:val="0"/>
        <w:autoSpaceDE w:val="0"/>
        <w:autoSpaceDN w:val="0"/>
        <w:spacing w:before="120" w:after="120" w:line="276" w:lineRule="auto"/>
        <w:ind w:firstLine="709"/>
        <w:jc w:val="both"/>
        <w:rPr>
          <w:rFonts w:ascii="Arial" w:eastAsia="Arial MT" w:hAnsi="Arial" w:cs="Arial"/>
          <w:lang w:val="es-ES"/>
        </w:rPr>
      </w:pPr>
      <w:r w:rsidRPr="00362B16">
        <w:rPr>
          <w:rFonts w:ascii="Arial" w:eastAsia="Times New Roman" w:hAnsi="Arial" w:cs="Arial"/>
          <w:lang w:eastAsia="es-CO"/>
        </w:rPr>
        <w:t xml:space="preserve">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w:t>
      </w:r>
      <w:r w:rsidRPr="00362B16">
        <w:rPr>
          <w:rFonts w:ascii="Arial" w:eastAsia="Arial MT" w:hAnsi="Arial" w:cs="Arial"/>
          <w:lang w:val="es-ES"/>
        </w:rPr>
        <w:t>es decir, a</w:t>
      </w:r>
      <w:r w:rsidRPr="00362B16">
        <w:rPr>
          <w:rFonts w:ascii="Arial" w:eastAsia="Arial MT" w:hAnsi="Arial" w:cs="Arial"/>
          <w:spacing w:val="1"/>
          <w:lang w:val="es-ES"/>
        </w:rPr>
        <w:t xml:space="preserve"> </w:t>
      </w:r>
      <w:r w:rsidRPr="00362B16">
        <w:rPr>
          <w:rFonts w:ascii="Arial" w:eastAsia="Arial MT" w:hAnsi="Arial" w:cs="Arial"/>
          <w:spacing w:val="-1"/>
          <w:lang w:val="es-ES"/>
        </w:rPr>
        <w:t>partir</w:t>
      </w:r>
      <w:r w:rsidRPr="00362B16">
        <w:rPr>
          <w:rFonts w:ascii="Arial" w:eastAsia="Arial MT" w:hAnsi="Arial" w:cs="Arial"/>
          <w:spacing w:val="-15"/>
          <w:lang w:val="es-ES"/>
        </w:rPr>
        <w:t xml:space="preserve"> </w:t>
      </w:r>
      <w:r w:rsidRPr="00362B16">
        <w:rPr>
          <w:rFonts w:ascii="Arial" w:eastAsia="Arial MT" w:hAnsi="Arial" w:cs="Arial"/>
          <w:spacing w:val="-1"/>
          <w:lang w:val="es-ES"/>
        </w:rPr>
        <w:t>del</w:t>
      </w:r>
      <w:r w:rsidRPr="00362B16">
        <w:rPr>
          <w:rFonts w:ascii="Arial" w:eastAsia="Arial MT" w:hAnsi="Arial" w:cs="Arial"/>
          <w:spacing w:val="-14"/>
          <w:lang w:val="es-ES"/>
        </w:rPr>
        <w:t xml:space="preserve"> </w:t>
      </w:r>
      <w:r w:rsidRPr="00362B16">
        <w:rPr>
          <w:rFonts w:ascii="Arial" w:eastAsia="Arial MT" w:hAnsi="Arial" w:cs="Arial"/>
          <w:spacing w:val="-1"/>
          <w:lang w:val="es-ES"/>
        </w:rPr>
        <w:t>24</w:t>
      </w:r>
      <w:r w:rsidRPr="00362B16">
        <w:rPr>
          <w:rFonts w:ascii="Arial" w:eastAsia="Arial MT" w:hAnsi="Arial" w:cs="Arial"/>
          <w:spacing w:val="-14"/>
          <w:lang w:val="es-ES"/>
        </w:rPr>
        <w:t xml:space="preserve"> </w:t>
      </w:r>
      <w:r w:rsidRPr="00362B16">
        <w:rPr>
          <w:rFonts w:ascii="Arial" w:eastAsia="Arial MT" w:hAnsi="Arial" w:cs="Arial"/>
          <w:spacing w:val="-1"/>
          <w:lang w:val="es-ES"/>
        </w:rPr>
        <w:t>de</w:t>
      </w:r>
      <w:r w:rsidRPr="00362B16">
        <w:rPr>
          <w:rFonts w:ascii="Arial" w:eastAsia="Arial MT" w:hAnsi="Arial" w:cs="Arial"/>
          <w:spacing w:val="-14"/>
          <w:lang w:val="es-ES"/>
        </w:rPr>
        <w:t xml:space="preserve"> </w:t>
      </w:r>
      <w:r w:rsidRPr="00362B16">
        <w:rPr>
          <w:rFonts w:ascii="Arial" w:eastAsia="Arial MT" w:hAnsi="Arial" w:cs="Arial"/>
          <w:spacing w:val="-1"/>
          <w:lang w:val="es-ES"/>
        </w:rPr>
        <w:t>marzo</w:t>
      </w:r>
      <w:r w:rsidRPr="00362B16">
        <w:rPr>
          <w:rFonts w:ascii="Arial" w:eastAsia="Arial MT" w:hAnsi="Arial" w:cs="Arial"/>
          <w:spacing w:val="-14"/>
          <w:lang w:val="es-ES"/>
        </w:rPr>
        <w:t xml:space="preserve"> </w:t>
      </w:r>
      <w:r w:rsidRPr="00362B16">
        <w:rPr>
          <w:rFonts w:ascii="Arial" w:eastAsia="Arial MT" w:hAnsi="Arial" w:cs="Arial"/>
          <w:spacing w:val="-1"/>
          <w:lang w:val="es-ES"/>
        </w:rPr>
        <w:t>de</w:t>
      </w:r>
      <w:r w:rsidRPr="00362B16">
        <w:rPr>
          <w:rFonts w:ascii="Arial" w:eastAsia="Arial MT" w:hAnsi="Arial" w:cs="Arial"/>
          <w:spacing w:val="-14"/>
          <w:lang w:val="es-ES"/>
        </w:rPr>
        <w:t xml:space="preserve"> </w:t>
      </w:r>
      <w:r w:rsidRPr="00362B16">
        <w:rPr>
          <w:rFonts w:ascii="Arial" w:eastAsia="Arial MT" w:hAnsi="Arial" w:cs="Arial"/>
          <w:spacing w:val="-1"/>
          <w:lang w:val="es-ES"/>
        </w:rPr>
        <w:t xml:space="preserve">2022, </w:t>
      </w:r>
      <w:r w:rsidRPr="00362B16">
        <w:rPr>
          <w:rFonts w:ascii="Arial MT" w:eastAsia="Arial MT" w:hAnsi="Arial MT" w:cs="Arial MT"/>
          <w:lang w:val="es-ES"/>
        </w:rPr>
        <w:t>por lo que actualmente esta es la regulación vigente</w:t>
      </w:r>
      <w:r w:rsidRPr="00362B16">
        <w:rPr>
          <w:rFonts w:ascii="Arial" w:eastAsia="Times New Roman" w:hAnsi="Arial" w:cs="Arial"/>
          <w:vertAlign w:val="superscript"/>
          <w:lang w:eastAsia="es-CO"/>
        </w:rPr>
        <w:footnoteReference w:id="14"/>
      </w:r>
      <w:r w:rsidRPr="00362B16">
        <w:rPr>
          <w:rFonts w:ascii="Arial" w:eastAsia="Times New Roman" w:hAnsi="Arial" w:cs="Arial"/>
          <w:lang w:eastAsia="es-CO"/>
        </w:rPr>
        <w:t xml:space="preserve">. </w:t>
      </w:r>
    </w:p>
    <w:p w14:paraId="1DB0C056" w14:textId="77777777" w:rsidR="00362B16" w:rsidRPr="00362B16" w:rsidRDefault="00362B16" w:rsidP="00F3020D">
      <w:pPr>
        <w:spacing w:after="0" w:line="276" w:lineRule="auto"/>
        <w:jc w:val="both"/>
        <w:rPr>
          <w:rFonts w:ascii="Arial" w:eastAsia="Times New Roman" w:hAnsi="Arial" w:cs="Arial"/>
          <w:lang w:eastAsia="es-CO"/>
        </w:rPr>
      </w:pPr>
    </w:p>
    <w:p w14:paraId="20CF64CF" w14:textId="77777777" w:rsidR="00362B16" w:rsidRPr="00362B16" w:rsidRDefault="00362B16" w:rsidP="009C7D6C">
      <w:pPr>
        <w:spacing w:after="0" w:line="276" w:lineRule="auto"/>
        <w:jc w:val="both"/>
        <w:rPr>
          <w:rFonts w:ascii="Arial" w:eastAsia="Calibri" w:hAnsi="Arial" w:cs="Arial"/>
          <w:b/>
          <w:bCs/>
          <w:lang w:val="es-ES_tradnl" w:eastAsia="es-ES_tradnl"/>
        </w:rPr>
      </w:pPr>
      <w:r w:rsidRPr="00362B16">
        <w:rPr>
          <w:rFonts w:ascii="Arial" w:eastAsia="Calibri" w:hAnsi="Arial" w:cs="Arial"/>
          <w:b/>
          <w:bCs/>
          <w:lang w:val="es-ES_tradnl" w:eastAsia="es-ES_tradnl"/>
        </w:rPr>
        <w:t xml:space="preserve">2.2. Definición de emprendimientos y empresas de mujeres en el Decreto 1860 de 2021 </w:t>
      </w:r>
    </w:p>
    <w:p w14:paraId="4F5B0A34" w14:textId="77777777" w:rsidR="00362B16" w:rsidRPr="00362B16" w:rsidRDefault="00362B16" w:rsidP="00F3020D">
      <w:pPr>
        <w:spacing w:after="0" w:line="276" w:lineRule="auto"/>
        <w:jc w:val="both"/>
        <w:rPr>
          <w:rFonts w:ascii="Arial" w:eastAsia="Calibri" w:hAnsi="Arial" w:cs="Arial"/>
          <w:b/>
          <w:bCs/>
          <w:lang w:val="es-ES_tradnl" w:eastAsia="es-ES_tradnl"/>
        </w:rPr>
      </w:pPr>
    </w:p>
    <w:p w14:paraId="72A33EC9" w14:textId="72DD7277" w:rsidR="00362B16" w:rsidRPr="00362B16" w:rsidRDefault="00362B16" w:rsidP="00362B16">
      <w:pPr>
        <w:spacing w:after="120" w:line="276" w:lineRule="auto"/>
        <w:jc w:val="both"/>
        <w:rPr>
          <w:rFonts w:ascii="Arial" w:eastAsia="Calibri" w:hAnsi="Arial" w:cs="Arial"/>
          <w:lang w:val="es-ES_tradnl" w:eastAsia="es-ES_tradnl"/>
        </w:rPr>
      </w:pPr>
      <w:r w:rsidRPr="00362B16">
        <w:rPr>
          <w:rFonts w:ascii="Arial" w:eastAsia="Calibri" w:hAnsi="Arial" w:cs="Arial"/>
          <w:lang w:val="es-ES_tradnl" w:eastAsia="es-ES_tradnl"/>
        </w:rPr>
        <w:t xml:space="preserve">Conforme se viene explicando, el artículo 32 de la Ley 2069 de 2021 introduce el deber de las Entidades Estatales de incluir </w:t>
      </w:r>
      <w:r w:rsidRPr="00362B16">
        <w:rPr>
          <w:rFonts w:ascii="Arial" w:eastAsia="Times New Roman" w:hAnsi="Arial" w:cs="Arial"/>
          <w:shd w:val="clear" w:color="auto" w:fill="FFFFFF"/>
          <w:lang w:val="es-ES" w:eastAsia="es-ES_tradnl"/>
        </w:rPr>
        <w:t>en los procesos de licitación pública, selección abreviada de menor cuantía y concurso de méritos, así como en los procesos competitivos que adelanten las entidades estatales exceptuadas de aplicar el Estatuto General de Contratación de la Administración Pública</w:t>
      </w:r>
      <w:r w:rsidR="008B4D79">
        <w:rPr>
          <w:rFonts w:ascii="Arial" w:eastAsia="Times New Roman" w:hAnsi="Arial" w:cs="Arial"/>
          <w:shd w:val="clear" w:color="auto" w:fill="FFFFFF"/>
          <w:lang w:val="es-ES" w:eastAsia="es-ES_tradnl"/>
        </w:rPr>
        <w:t xml:space="preserve"> –en adelante EGCAP–</w:t>
      </w:r>
      <w:r w:rsidRPr="00362B16">
        <w:rPr>
          <w:rFonts w:ascii="Arial" w:eastAsia="Times New Roman" w:hAnsi="Arial" w:cs="Arial"/>
          <w:shd w:val="clear" w:color="auto" w:fill="FFFFFF"/>
          <w:lang w:val="es-ES" w:eastAsia="es-ES_tradnl"/>
        </w:rPr>
        <w:t>, requisitos diferenciales y puntajes adicionales para emprendimientos y empresas de mujeres. Esto</w:t>
      </w:r>
      <w:r w:rsidR="008646EA">
        <w:rPr>
          <w:rFonts w:ascii="Arial" w:eastAsia="Times New Roman" w:hAnsi="Arial" w:cs="Arial"/>
          <w:shd w:val="clear" w:color="auto" w:fill="FFFFFF"/>
          <w:lang w:val="es-ES" w:eastAsia="es-ES_tradnl"/>
        </w:rPr>
        <w:t>,</w:t>
      </w:r>
      <w:r w:rsidRPr="00362B16">
        <w:rPr>
          <w:rFonts w:ascii="Arial" w:eastAsia="Times New Roman" w:hAnsi="Arial" w:cs="Arial"/>
          <w:shd w:val="clear" w:color="auto" w:fill="FFFFFF"/>
          <w:lang w:val="es-ES" w:eastAsia="es-ES_tradnl"/>
        </w:rPr>
        <w:t xml:space="preserve"> a título de medidas de acción afirmativa para incentivar la participación de emprendimientos y empresas de mujeres en el sistema de compras públicas, sin perjuicio de los compromisos adquiridos por Colombia en los acuerdos comerciales en vigor.</w:t>
      </w:r>
      <w:r w:rsidRPr="00362B16">
        <w:rPr>
          <w:rFonts w:ascii="Arial" w:eastAsia="Times New Roman" w:hAnsi="Arial" w:cs="Arial"/>
          <w:shd w:val="clear" w:color="auto" w:fill="FFFFFF"/>
          <w:lang w:eastAsia="es-ES_tradnl"/>
        </w:rPr>
        <w:t> </w:t>
      </w:r>
    </w:p>
    <w:p w14:paraId="7BAC9350" w14:textId="03F938BF" w:rsidR="00362B16" w:rsidRPr="00362B16" w:rsidRDefault="00362B16" w:rsidP="00362B16">
      <w:pPr>
        <w:spacing w:after="0" w:line="276" w:lineRule="auto"/>
        <w:jc w:val="both"/>
        <w:rPr>
          <w:rFonts w:ascii="Arial" w:eastAsia="Calibri" w:hAnsi="Arial" w:cs="Arial"/>
          <w:lang w:val="es-ES_tradnl" w:eastAsia="es-ES_tradnl"/>
        </w:rPr>
      </w:pPr>
      <w:r w:rsidRPr="00362B16">
        <w:rPr>
          <w:rFonts w:ascii="Arial" w:eastAsia="Calibri" w:hAnsi="Arial" w:cs="Arial"/>
          <w:lang w:val="es-ES_tradnl" w:eastAsia="es-ES_tradnl"/>
        </w:rPr>
        <w:tab/>
        <w:t>En desarrollo de lo dispuesto en el parágrafo del artículo 32 de la Ley 2069 de 2020, el Decreto 1860 de 2021 adicionó el artículo 2.2.1.2.4.2.14 al Decreto 1082 de 2015. Esta norma establece las condiciones y requisitos en atención a los cuales se definen los empre</w:t>
      </w:r>
      <w:r w:rsidR="00C30C5B">
        <w:rPr>
          <w:rFonts w:ascii="Arial" w:eastAsia="Calibri" w:hAnsi="Arial" w:cs="Arial"/>
          <w:lang w:val="es-ES_tradnl" w:eastAsia="es-ES_tradnl"/>
        </w:rPr>
        <w:t>ndimientos</w:t>
      </w:r>
      <w:r w:rsidRPr="00362B16">
        <w:rPr>
          <w:rFonts w:ascii="Arial" w:eastAsia="Calibri" w:hAnsi="Arial" w:cs="Arial"/>
          <w:lang w:val="es-ES_tradnl" w:eastAsia="es-ES_tradnl"/>
        </w:rPr>
        <w:t xml:space="preserve"> y empre</w:t>
      </w:r>
      <w:r w:rsidR="00C30C5B">
        <w:rPr>
          <w:rFonts w:ascii="Arial" w:eastAsia="Calibri" w:hAnsi="Arial" w:cs="Arial"/>
          <w:lang w:val="es-ES_tradnl" w:eastAsia="es-ES_tradnl"/>
        </w:rPr>
        <w:t xml:space="preserve">sas </w:t>
      </w:r>
      <w:r w:rsidRPr="00362B16">
        <w:rPr>
          <w:rFonts w:ascii="Arial" w:eastAsia="Calibri" w:hAnsi="Arial" w:cs="Arial"/>
          <w:lang w:val="es-ES_tradnl" w:eastAsia="es-ES_tradnl"/>
        </w:rPr>
        <w:t>de mujeres, a las que les aplican los criterios diferenciales. Para estos efectos, cada uno de los cuatro</w:t>
      </w:r>
      <w:r w:rsidR="00915DBE">
        <w:rPr>
          <w:rFonts w:ascii="Arial" w:eastAsia="Calibri" w:hAnsi="Arial" w:cs="Arial"/>
          <w:lang w:val="es-ES_tradnl" w:eastAsia="es-ES_tradnl"/>
        </w:rPr>
        <w:t xml:space="preserve"> (4)</w:t>
      </w:r>
      <w:r w:rsidRPr="00362B16">
        <w:rPr>
          <w:rFonts w:ascii="Arial" w:eastAsia="Calibri" w:hAnsi="Arial" w:cs="Arial"/>
          <w:lang w:val="es-ES_tradnl" w:eastAsia="es-ES_tradnl"/>
        </w:rPr>
        <w:t xml:space="preserve"> numerales de la norma establecen unas condiciones alternativas que definen los emprendimientos y empresas de mujeres, a efectos de aplicar los criterios diferenciales, siendo relevante para la consulta el </w:t>
      </w:r>
      <w:r w:rsidR="00196521">
        <w:rPr>
          <w:rFonts w:ascii="Arial" w:eastAsia="Calibri" w:hAnsi="Arial" w:cs="Arial"/>
          <w:lang w:val="es-ES_tradnl" w:eastAsia="es-ES_tradnl"/>
        </w:rPr>
        <w:t>segundo</w:t>
      </w:r>
      <w:r w:rsidRPr="00362B16">
        <w:rPr>
          <w:rFonts w:ascii="Arial" w:eastAsia="Calibri" w:hAnsi="Arial" w:cs="Arial"/>
          <w:lang w:val="es-ES_tradnl" w:eastAsia="es-ES_tradnl"/>
        </w:rPr>
        <w:t xml:space="preserve"> y el tercero de dicho numerales, cuyo tenor literal indica:   </w:t>
      </w:r>
    </w:p>
    <w:p w14:paraId="269C4C4A" w14:textId="77777777" w:rsidR="00362B16" w:rsidRPr="00362B16" w:rsidRDefault="00362B16" w:rsidP="00362B16">
      <w:pPr>
        <w:spacing w:after="0" w:line="276" w:lineRule="auto"/>
        <w:jc w:val="both"/>
        <w:rPr>
          <w:rFonts w:ascii="Arial" w:eastAsia="Calibri" w:hAnsi="Arial" w:cs="Arial"/>
          <w:lang w:val="es-ES_tradnl" w:eastAsia="es-ES_tradnl"/>
        </w:rPr>
      </w:pPr>
    </w:p>
    <w:p w14:paraId="55277FD5" w14:textId="77777777" w:rsidR="00362B16" w:rsidRPr="00362B16" w:rsidRDefault="00362B16" w:rsidP="00362B16">
      <w:pPr>
        <w:shd w:val="clear" w:color="auto" w:fill="FFFFFF"/>
        <w:spacing w:after="0" w:line="240" w:lineRule="auto"/>
        <w:ind w:left="709" w:right="709"/>
        <w:jc w:val="both"/>
        <w:textAlignment w:val="baseline"/>
        <w:rPr>
          <w:rFonts w:ascii="Arial" w:eastAsia="Times New Roman" w:hAnsi="Arial" w:cs="Arial"/>
          <w:sz w:val="21"/>
          <w:szCs w:val="21"/>
          <w:lang w:eastAsia="es-CO"/>
        </w:rPr>
      </w:pPr>
      <w:r w:rsidRPr="00362B16">
        <w:rPr>
          <w:rFonts w:ascii="Arial" w:eastAsia="Times New Roman" w:hAnsi="Arial" w:cs="Arial"/>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10054EBD" w14:textId="7607FFFD" w:rsidR="00196521" w:rsidRPr="00362B16" w:rsidRDefault="00196521" w:rsidP="00362B16">
      <w:pPr>
        <w:shd w:val="clear" w:color="auto" w:fill="FFFFFF"/>
        <w:spacing w:after="0" w:line="240" w:lineRule="auto"/>
        <w:ind w:left="709" w:right="709"/>
        <w:jc w:val="both"/>
        <w:textAlignment w:val="baseline"/>
        <w:rPr>
          <w:rFonts w:ascii="Arial" w:eastAsia="Times New Roman" w:hAnsi="Arial" w:cs="Arial"/>
          <w:sz w:val="21"/>
          <w:szCs w:val="21"/>
          <w:lang w:eastAsia="es-CO"/>
        </w:rPr>
      </w:pPr>
    </w:p>
    <w:p w14:paraId="5718A056" w14:textId="77777777" w:rsidR="00362B16" w:rsidRPr="00362B16" w:rsidRDefault="00362B16" w:rsidP="00362B16">
      <w:pPr>
        <w:shd w:val="clear" w:color="auto" w:fill="FFFFFF"/>
        <w:spacing w:after="0" w:line="240" w:lineRule="auto"/>
        <w:ind w:left="709" w:right="709"/>
        <w:jc w:val="both"/>
        <w:textAlignment w:val="baseline"/>
        <w:rPr>
          <w:rFonts w:ascii="Arial" w:eastAsia="Times New Roman" w:hAnsi="Arial" w:cs="Arial"/>
          <w:sz w:val="21"/>
          <w:szCs w:val="21"/>
          <w:lang w:eastAsia="es-CO"/>
        </w:rPr>
      </w:pPr>
      <w:r w:rsidRPr="00362B16">
        <w:rPr>
          <w:rFonts w:ascii="Arial" w:eastAsia="Times New Roman" w:hAnsi="Arial" w:cs="Arial"/>
          <w:sz w:val="21"/>
          <w:szCs w:val="21"/>
          <w:lang w:eastAsia="es-CO"/>
        </w:rPr>
        <w:t>[…]</w:t>
      </w:r>
    </w:p>
    <w:p w14:paraId="58EE63F4" w14:textId="77777777" w:rsidR="00045BFE" w:rsidRPr="003E6F28" w:rsidRDefault="00045BFE" w:rsidP="00045BFE">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4C7D6407" w14:textId="77777777" w:rsidR="00045BFE" w:rsidRPr="003E6F28" w:rsidRDefault="00045BFE" w:rsidP="00045BFE">
      <w:pPr>
        <w:shd w:val="clear" w:color="auto" w:fill="FFFFFF"/>
        <w:ind w:left="709" w:right="709"/>
        <w:contextualSpacing/>
        <w:jc w:val="both"/>
        <w:textAlignment w:val="baseline"/>
        <w:rPr>
          <w:rFonts w:ascii="Arial" w:hAnsi="Arial" w:cs="Arial"/>
          <w:color w:val="000000" w:themeColor="text1"/>
          <w:sz w:val="21"/>
          <w:szCs w:val="21"/>
          <w:lang w:eastAsia="es-CO"/>
        </w:rPr>
      </w:pPr>
    </w:p>
    <w:p w14:paraId="017338F6" w14:textId="77777777" w:rsidR="00045BFE" w:rsidRPr="003E6F28" w:rsidRDefault="00045BFE" w:rsidP="00045BFE">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3C5CF5BB" w14:textId="77777777" w:rsidR="00045BFE" w:rsidRPr="003E6F28" w:rsidRDefault="00045BFE" w:rsidP="00045BFE">
      <w:pPr>
        <w:shd w:val="clear" w:color="auto" w:fill="FFFFFF"/>
        <w:ind w:left="709" w:right="709"/>
        <w:contextualSpacing/>
        <w:jc w:val="both"/>
        <w:textAlignment w:val="baseline"/>
        <w:rPr>
          <w:rFonts w:ascii="Arial" w:hAnsi="Arial" w:cs="Arial"/>
          <w:color w:val="000000" w:themeColor="text1"/>
          <w:sz w:val="21"/>
          <w:szCs w:val="21"/>
          <w:lang w:eastAsia="es-CO"/>
        </w:rPr>
      </w:pPr>
    </w:p>
    <w:p w14:paraId="554BE1E6" w14:textId="77777777" w:rsidR="00045BFE" w:rsidRPr="003E6F28" w:rsidRDefault="00045BFE" w:rsidP="00045BFE">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5B260720" w14:textId="77777777" w:rsidR="00045BFE" w:rsidRPr="003E6F28" w:rsidRDefault="00045BFE" w:rsidP="00045BFE">
      <w:pPr>
        <w:shd w:val="clear" w:color="auto" w:fill="FFFFFF"/>
        <w:ind w:left="709" w:right="709"/>
        <w:contextualSpacing/>
        <w:jc w:val="both"/>
        <w:textAlignment w:val="baseline"/>
        <w:rPr>
          <w:rFonts w:ascii="Arial" w:hAnsi="Arial" w:cs="Arial"/>
          <w:color w:val="000000" w:themeColor="text1"/>
          <w:sz w:val="21"/>
          <w:szCs w:val="21"/>
          <w:lang w:eastAsia="es-CO"/>
        </w:rPr>
      </w:pPr>
    </w:p>
    <w:p w14:paraId="6990D71A" w14:textId="69F89833" w:rsidR="0089770E" w:rsidRPr="00F3020D" w:rsidRDefault="00045BFE" w:rsidP="00F3020D">
      <w:pPr>
        <w:shd w:val="clear" w:color="auto" w:fill="FFFFFF"/>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7531FBBE" w14:textId="77777777" w:rsidR="00362B16" w:rsidRPr="00362B16" w:rsidRDefault="00362B16" w:rsidP="00362B16">
      <w:pPr>
        <w:shd w:val="clear" w:color="auto" w:fill="FFFFFF"/>
        <w:spacing w:after="0" w:line="240" w:lineRule="auto"/>
        <w:ind w:left="709" w:right="709"/>
        <w:jc w:val="both"/>
        <w:textAlignment w:val="baseline"/>
        <w:rPr>
          <w:rFonts w:ascii="Arial" w:eastAsia="Times New Roman" w:hAnsi="Arial" w:cs="Arial"/>
          <w:sz w:val="21"/>
          <w:szCs w:val="21"/>
          <w:lang w:eastAsia="es-CO"/>
        </w:rPr>
      </w:pPr>
      <w:r w:rsidRPr="00362B16">
        <w:rPr>
          <w:rFonts w:ascii="Arial" w:eastAsia="Times New Roman" w:hAnsi="Arial" w:cs="Arial"/>
          <w:sz w:val="21"/>
          <w:szCs w:val="21"/>
          <w:lang w:eastAsia="es-CO"/>
        </w:rPr>
        <w:t>[…]</w:t>
      </w:r>
    </w:p>
    <w:p w14:paraId="1993A0CF" w14:textId="77777777" w:rsidR="00362B16" w:rsidRPr="00362B16" w:rsidRDefault="00362B16" w:rsidP="00362B16">
      <w:pPr>
        <w:shd w:val="clear" w:color="auto" w:fill="FFFFFF"/>
        <w:spacing w:after="0" w:line="240" w:lineRule="auto"/>
        <w:ind w:left="709" w:right="709"/>
        <w:jc w:val="both"/>
        <w:textAlignment w:val="baseline"/>
        <w:rPr>
          <w:rFonts w:ascii="Arial" w:eastAsia="Times New Roman" w:hAnsi="Arial" w:cs="Arial"/>
          <w:sz w:val="21"/>
          <w:szCs w:val="21"/>
          <w:lang w:eastAsia="es-CO"/>
        </w:rPr>
      </w:pPr>
    </w:p>
    <w:p w14:paraId="4F8CF78B" w14:textId="77777777" w:rsidR="00362B16" w:rsidRPr="00362B16" w:rsidRDefault="00362B16" w:rsidP="00362B16">
      <w:pPr>
        <w:shd w:val="clear" w:color="auto" w:fill="FFFFFF"/>
        <w:spacing w:after="0" w:line="240" w:lineRule="auto"/>
        <w:ind w:left="709" w:right="709"/>
        <w:jc w:val="both"/>
        <w:textAlignment w:val="baseline"/>
        <w:rPr>
          <w:rFonts w:ascii="Arial" w:eastAsia="Times New Roman" w:hAnsi="Arial" w:cs="Arial"/>
          <w:sz w:val="21"/>
          <w:szCs w:val="21"/>
          <w:lang w:eastAsia="es-CO"/>
        </w:rPr>
      </w:pPr>
      <w:r w:rsidRPr="00362B16">
        <w:rPr>
          <w:rFonts w:ascii="Arial" w:eastAsia="Times New Roman" w:hAnsi="Arial" w:cs="Arial"/>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6E01813C" w14:textId="77777777" w:rsidR="00362B16" w:rsidRPr="00362B16" w:rsidRDefault="00362B16" w:rsidP="00362B16">
      <w:pPr>
        <w:spacing w:after="0" w:line="276" w:lineRule="auto"/>
        <w:jc w:val="both"/>
        <w:rPr>
          <w:rFonts w:ascii="Arial" w:eastAsia="Calibri" w:hAnsi="Arial" w:cs="Arial"/>
          <w:lang w:val="es-ES_tradnl" w:eastAsia="es-ES_tradnl"/>
        </w:rPr>
      </w:pPr>
    </w:p>
    <w:p w14:paraId="571CE533" w14:textId="6B9C3451" w:rsidR="00782C25" w:rsidRPr="00F3020D" w:rsidRDefault="006D4F2A" w:rsidP="0068335E">
      <w:pPr>
        <w:spacing w:after="120" w:line="276" w:lineRule="auto"/>
        <w:ind w:firstLine="709"/>
        <w:jc w:val="both"/>
        <w:rPr>
          <w:rFonts w:ascii="Arial" w:eastAsia="Calibri" w:hAnsi="Arial" w:cs="Arial"/>
          <w:bCs/>
          <w:color w:val="000000"/>
          <w:szCs w:val="24"/>
          <w:lang w:val="es-ES" w:eastAsia="es-ES_tradnl" w:bidi="es-ES"/>
        </w:rPr>
      </w:pPr>
      <w:r w:rsidRPr="00F3020D">
        <w:rPr>
          <w:rFonts w:ascii="Arial" w:eastAsia="Calibri" w:hAnsi="Arial" w:cs="Arial"/>
          <w:bCs/>
          <w:color w:val="000000"/>
          <w:szCs w:val="24"/>
          <w:lang w:eastAsia="es-ES_tradnl" w:bidi="es-ES"/>
        </w:rPr>
        <w:t xml:space="preserve">Conforme a lo anterior, el artículo </w:t>
      </w:r>
      <w:r w:rsidRPr="00F3020D">
        <w:rPr>
          <w:rFonts w:ascii="Arial" w:eastAsia="Calibri" w:hAnsi="Arial" w:cs="Arial"/>
          <w:bCs/>
          <w:color w:val="000000"/>
          <w:szCs w:val="24"/>
          <w:lang w:val="es-ES" w:eastAsia="es-ES_tradnl" w:bidi="es-ES"/>
        </w:rPr>
        <w:t>2.2.1.2.4.2.14 del Decreto 1082 de 2015 define cuatro alternativas distintas que definen los requisitos de las empresas y emprendimientos de mujeres, a las que les aplican los criterios diferenciales.</w:t>
      </w:r>
    </w:p>
    <w:p w14:paraId="040723F6" w14:textId="7057D077" w:rsidR="0068335E" w:rsidRPr="00F3020D" w:rsidRDefault="00986D42" w:rsidP="00F3020D">
      <w:pPr>
        <w:spacing w:before="120" w:after="120"/>
        <w:ind w:firstLine="709"/>
        <w:jc w:val="both"/>
        <w:rPr>
          <w:rFonts w:ascii="Arial" w:eastAsia="Calibri" w:hAnsi="Arial" w:cs="Arial"/>
          <w:bCs/>
          <w:color w:val="000000"/>
          <w:szCs w:val="24"/>
          <w:lang w:eastAsia="es-ES_tradnl" w:bidi="es-ES"/>
        </w:rPr>
      </w:pPr>
      <w:r w:rsidRPr="00F3020D">
        <w:rPr>
          <w:rFonts w:ascii="Arial" w:eastAsia="Calibri" w:hAnsi="Arial" w:cs="Arial"/>
          <w:bCs/>
          <w:color w:val="000000"/>
          <w:szCs w:val="24"/>
          <w:lang w:eastAsia="es-ES_tradnl" w:bidi="es-ES"/>
        </w:rPr>
        <w:t xml:space="preserve">Por </w:t>
      </w:r>
      <w:r w:rsidR="0068335E" w:rsidRPr="00F3020D">
        <w:rPr>
          <w:rFonts w:ascii="Arial" w:eastAsia="Calibri" w:hAnsi="Arial" w:cs="Arial"/>
          <w:bCs/>
          <w:color w:val="000000"/>
          <w:szCs w:val="24"/>
          <w:lang w:eastAsia="es-ES_tradnl" w:bidi="es-ES"/>
        </w:rPr>
        <w:t>una</w:t>
      </w:r>
      <w:r w:rsidRPr="00F3020D">
        <w:rPr>
          <w:rFonts w:ascii="Arial" w:eastAsia="Calibri" w:hAnsi="Arial" w:cs="Arial"/>
          <w:bCs/>
          <w:color w:val="000000"/>
          <w:szCs w:val="24"/>
          <w:lang w:eastAsia="es-ES_tradnl" w:bidi="es-ES"/>
        </w:rPr>
        <w:t xml:space="preserve"> parte, el proponente persona jurídica podrá acreditar la condición de empresa y emprendimiento de mujeres teniendo en cuenta las siguientes opciones: 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y/o ii) si por lo menos el cincuenta por ciento (50%) de los empleos del nivel directivo de la persona jurídica son ejercidos por mujeres y estas han estado vinculadas laboralmente durante al menos el último año anterior a la fecha del cierre del proceso de selección. Tratándose de asociaciones y cooperativas, deberán probar que más del cincuenta por ciento (50%) de los asociados son mujeres y la participación haya correspondido a estas durante al menos el último año anterior a la fecha de cierre del proceso de selección.</w:t>
      </w:r>
      <w:r w:rsidR="0068335E" w:rsidRPr="00F3020D">
        <w:rPr>
          <w:rFonts w:ascii="Arial" w:eastAsia="Calibri" w:hAnsi="Arial" w:cs="Arial"/>
          <w:bCs/>
          <w:color w:val="000000"/>
          <w:szCs w:val="24"/>
          <w:lang w:eastAsia="es-ES_tradnl" w:bidi="es-ES"/>
        </w:rPr>
        <w:t xml:space="preserve"> Por otra parte, el proponente persona natural deberá demostrar, mediante la copia del registro mercantil y de la cédula de ciudadanía, la cédula de extranjería o el pasaporte, que es una mujer y que ha ejercido actividades comerciales a través de un establecimiento de comercio durante al menos el último año anterior a la fecha de cierre del proceso de selección. </w:t>
      </w:r>
    </w:p>
    <w:p w14:paraId="08F42FE0" w14:textId="1ECE3957" w:rsidR="00C94ED0" w:rsidRPr="00ED7E96" w:rsidRDefault="00C94ED0" w:rsidP="00C94ED0">
      <w:pPr>
        <w:spacing w:after="120" w:line="276" w:lineRule="auto"/>
        <w:ind w:firstLine="709"/>
        <w:jc w:val="both"/>
        <w:rPr>
          <w:rFonts w:ascii="Arial" w:hAnsi="Arial" w:cs="Arial"/>
          <w:lang w:eastAsia="es-CO"/>
        </w:rPr>
      </w:pPr>
      <w:r w:rsidRPr="00ED7E96">
        <w:rPr>
          <w:rFonts w:ascii="Arial" w:eastAsia="Calibri" w:hAnsi="Arial" w:cs="Arial"/>
          <w:lang w:val="es-ES_tradnl"/>
        </w:rPr>
        <w:t>De acuerdo con el numeral</w:t>
      </w:r>
      <w:r w:rsidR="00AE1B48">
        <w:rPr>
          <w:rFonts w:ascii="Arial" w:eastAsia="Calibri" w:hAnsi="Arial" w:cs="Arial"/>
          <w:lang w:val="es-ES_tradnl"/>
        </w:rPr>
        <w:t xml:space="preserve"> 2 del artículo pre</w:t>
      </w:r>
      <w:r w:rsidRPr="00ED7E96">
        <w:rPr>
          <w:rFonts w:ascii="Arial" w:eastAsia="Calibri" w:hAnsi="Arial" w:cs="Arial"/>
          <w:lang w:val="es-ES_tradnl"/>
        </w:rPr>
        <w:t xml:space="preserve">citado, una persona jurídica podrá ser considerada como un emprendimiento o empresa de mujeres cuando más del </w:t>
      </w:r>
      <w:r w:rsidR="008753C7">
        <w:rPr>
          <w:rFonts w:ascii="Arial" w:eastAsia="Calibri" w:hAnsi="Arial" w:cs="Arial"/>
          <w:lang w:val="es-ES_tradnl"/>
        </w:rPr>
        <w:t>cincuenta por ciento (</w:t>
      </w:r>
      <w:r w:rsidRPr="00ED7E96">
        <w:rPr>
          <w:rFonts w:ascii="Arial" w:eastAsia="Calibri" w:hAnsi="Arial" w:cs="Arial"/>
          <w:lang w:val="es-ES_tradnl"/>
        </w:rPr>
        <w:t>50%</w:t>
      </w:r>
      <w:r w:rsidR="008753C7">
        <w:rPr>
          <w:rFonts w:ascii="Arial" w:eastAsia="Calibri" w:hAnsi="Arial" w:cs="Arial"/>
          <w:lang w:val="es-ES_tradnl"/>
        </w:rPr>
        <w:t>)</w:t>
      </w:r>
      <w:r w:rsidRPr="00ED7E96">
        <w:rPr>
          <w:rFonts w:ascii="Arial" w:eastAsia="Calibri" w:hAnsi="Arial" w:cs="Arial"/>
          <w:lang w:val="es-ES_tradnl"/>
        </w:rPr>
        <w:t xml:space="preserve"> de los empleos del nivel directivo de la persona jurídica sean ejercidos por mujeres. </w:t>
      </w:r>
      <w:r w:rsidRPr="00ED7E96">
        <w:rPr>
          <w:rFonts w:ascii="Arial" w:hAnsi="Arial" w:cs="Arial"/>
          <w:lang w:eastAsia="es-CO"/>
        </w:rPr>
        <w:lastRenderedPageBreak/>
        <w:t>Tales empleos son aquellos relacionados con la dirección de áreas misionales y las decisiones de nivel estratégico de la respectiva empresa, De esta manera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de acuerdo a su jerarquía, representan al empleador en los términos del artículo 32 del Código Sustantivo del Trabajo</w:t>
      </w:r>
      <w:r w:rsidRPr="00ED7E96">
        <w:rPr>
          <w:rStyle w:val="Refdenotaalpie"/>
          <w:rFonts w:ascii="Arial" w:hAnsi="Arial" w:cs="Arial"/>
          <w:lang w:eastAsia="es-CO"/>
        </w:rPr>
        <w:footnoteReference w:id="15"/>
      </w:r>
      <w:r w:rsidRPr="00ED7E96">
        <w:rPr>
          <w:rFonts w:ascii="Arial" w:hAnsi="Arial" w:cs="Arial"/>
          <w:lang w:eastAsia="es-CO"/>
        </w:rPr>
        <w:t xml:space="preserve">. </w:t>
      </w:r>
    </w:p>
    <w:p w14:paraId="1ADD46EB" w14:textId="77777777" w:rsidR="00C94ED0" w:rsidRPr="00ED7E96" w:rsidRDefault="00C94ED0" w:rsidP="00C94ED0">
      <w:pPr>
        <w:spacing w:after="120" w:line="276" w:lineRule="auto"/>
        <w:ind w:firstLine="708"/>
        <w:jc w:val="both"/>
        <w:rPr>
          <w:rFonts w:ascii="Arial" w:eastAsia="Calibri" w:hAnsi="Arial" w:cs="Arial"/>
          <w:lang w:val="es-ES_tradnl"/>
        </w:rPr>
      </w:pPr>
      <w:bookmarkStart w:id="8" w:name="_Hlk110603413"/>
      <w:r w:rsidRPr="00ED7E96">
        <w:rPr>
          <w:rFonts w:ascii="Arial" w:eastAsia="Calibri" w:hAnsi="Arial" w:cs="Arial"/>
          <w:lang w:val="es-ES_tradnl"/>
        </w:rPr>
        <w:t>Para la aplicación de la definición en comento debe tenerse en cuenta únicamente a los empleos del nivel directivo, lo que excluye a los demás empleos de la planta de personal, como por ejemplo los operativos. En segundo lugar, no basta con que los cargos directivos en una sociedad sean mayoritariamente de mujeres para que sea considerada como un empresa o emprendimiento a los que se refiere la norma, sino que además es necesario que dicha vinculación mayoritaria de mujeres en los empleos del nivel directivo de la empresa se haya mantenido como mínimo durante el periodo de un año, contado a partir de la fecha de cierre del proceso de selección</w:t>
      </w:r>
      <w:bookmarkEnd w:id="8"/>
      <w:r w:rsidRPr="00ED7E96">
        <w:rPr>
          <w:rFonts w:ascii="Arial" w:eastAsia="Calibri" w:hAnsi="Arial" w:cs="Arial"/>
          <w:lang w:val="es-ES_tradnl"/>
        </w:rPr>
        <w:t>.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año.</w:t>
      </w:r>
    </w:p>
    <w:p w14:paraId="35F67519" w14:textId="77777777" w:rsidR="00C94ED0" w:rsidRPr="00ED7E96" w:rsidRDefault="00C94ED0" w:rsidP="00C94ED0">
      <w:pPr>
        <w:spacing w:after="120" w:line="276" w:lineRule="auto"/>
        <w:ind w:firstLine="708"/>
        <w:jc w:val="both"/>
        <w:rPr>
          <w:rFonts w:ascii="Arial" w:eastAsia="Calibri" w:hAnsi="Arial" w:cs="Arial"/>
          <w:lang w:val="es-ES_tradnl"/>
        </w:rPr>
      </w:pPr>
      <w:r w:rsidRPr="00ED7E96">
        <w:rPr>
          <w:rFonts w:ascii="Arial" w:eastAsia="Calibri" w:hAnsi="Arial" w:cs="Arial"/>
          <w:lang w:val="es-ES_tradnl"/>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p>
    <w:p w14:paraId="4AF6FDBF" w14:textId="77777777" w:rsidR="00C94ED0" w:rsidRPr="00ED7E96" w:rsidRDefault="00C94ED0" w:rsidP="00C94ED0">
      <w:pPr>
        <w:spacing w:after="120" w:line="276" w:lineRule="auto"/>
        <w:ind w:firstLine="708"/>
        <w:jc w:val="both"/>
        <w:rPr>
          <w:rFonts w:ascii="Arial" w:eastAsia="Calibri" w:hAnsi="Arial" w:cs="Arial"/>
          <w:lang w:val="es-ES_tradnl"/>
        </w:rPr>
      </w:pPr>
      <w:r w:rsidRPr="00ED7E96">
        <w:rPr>
          <w:rFonts w:ascii="Arial" w:eastAsia="Calibri" w:hAnsi="Arial" w:cs="Arial"/>
          <w:lang w:val="es-ES_tradnl"/>
        </w:rPr>
        <w:t xml:space="preserve">Los documentos a los que se refieren los distintos numerales del artículo 2.2.1.2.4.2.14 constituyen una tarifa legal probatoria para demostrar que los proponentes son emprendimientos o empresas de mujeres, y que, por lo tanto, tienen derecho a la aplicación de los criterios </w:t>
      </w:r>
      <w:r w:rsidRPr="00ED7E96">
        <w:rPr>
          <w:rFonts w:ascii="Arial" w:eastAsia="Calibri" w:hAnsi="Arial" w:cs="Arial"/>
          <w:lang w:val="es-ES_tradnl"/>
        </w:rPr>
        <w:lastRenderedPageBreak/>
        <w:t>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14:paraId="00717509" w14:textId="77777777" w:rsidR="00C94ED0" w:rsidRPr="00ED7E96" w:rsidRDefault="00C94ED0" w:rsidP="00C94ED0">
      <w:pPr>
        <w:spacing w:after="120" w:line="276" w:lineRule="auto"/>
        <w:ind w:firstLine="708"/>
        <w:jc w:val="both"/>
        <w:rPr>
          <w:rFonts w:ascii="Arial" w:eastAsia="Calibri" w:hAnsi="Arial" w:cs="Arial"/>
          <w:lang w:val="es-ES_tradnl"/>
        </w:rPr>
      </w:pPr>
      <w:r w:rsidRPr="00ED7E96">
        <w:rPr>
          <w:rFonts w:ascii="Arial" w:eastAsia="Calibri" w:hAnsi="Arial" w:cs="Arial"/>
          <w:lang w:val="es-ES_tradnl"/>
        </w:rPr>
        <w:t xml:space="preserve">Sin perjuicio de lo anterior, la sola presentación de la certificación con las copias de los documentos de identidad, de los contratos laborales y los certificados de aportes a seguridad social no confiere automáticamente el acceso a los criterios diferenciales. Esto por cuanto es deber de la entidad verificar que los documentos presentados acrediten las condiciones descritas en el primer y segundo inciso del numeral 2 del artículo 2.2.1.2.4.2.14 del Decreto 1082 de 2015, </w:t>
      </w:r>
    </w:p>
    <w:p w14:paraId="1BA39C49" w14:textId="77777777" w:rsidR="00C94ED0" w:rsidRPr="00ED7E96" w:rsidRDefault="00C94ED0" w:rsidP="00C94ED0">
      <w:pPr>
        <w:spacing w:after="120" w:line="276" w:lineRule="auto"/>
        <w:ind w:firstLine="708"/>
        <w:jc w:val="both"/>
        <w:rPr>
          <w:rFonts w:ascii="Arial" w:eastAsia="Calibri" w:hAnsi="Arial" w:cs="Arial"/>
          <w:lang w:val="es-ES_tradnl"/>
        </w:rPr>
      </w:pPr>
      <w:r w:rsidRPr="00ED7E96">
        <w:rPr>
          <w:rFonts w:ascii="Arial" w:eastAsia="Calibri" w:hAnsi="Arial" w:cs="Arial"/>
          <w:lang w:val="es-ES_tradnl"/>
        </w:rPr>
        <w:t xml:space="preserve">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 las personas relacionadas en la certificación efectivamente son del nivel directivo, para lo que deberá analizarse si las funciones descritas en el contrato o certificación aportada se subsumen en la noción establecida en el segundo inciso del numeral 2 del artículo 2.2.1.2.4.2.14 del Decreto 1082 de 2015.  </w:t>
      </w:r>
    </w:p>
    <w:p w14:paraId="6EAF50F8" w14:textId="77777777" w:rsidR="00C94ED0" w:rsidRPr="00ED7E96" w:rsidRDefault="00C94ED0" w:rsidP="00C94ED0">
      <w:pPr>
        <w:spacing w:after="120" w:line="276" w:lineRule="auto"/>
        <w:ind w:firstLine="708"/>
        <w:jc w:val="both"/>
        <w:rPr>
          <w:rFonts w:ascii="Arial" w:eastAsia="Calibri" w:hAnsi="Arial" w:cs="Arial"/>
          <w:lang w:val="es-ES_tradnl"/>
        </w:rPr>
      </w:pPr>
      <w:r w:rsidRPr="00ED7E96">
        <w:rPr>
          <w:rFonts w:ascii="Arial" w:eastAsia="Calibri" w:hAnsi="Arial" w:cs="Arial"/>
          <w:lang w:val="es-ES_tradnl"/>
        </w:rPr>
        <w:t xml:space="preserve">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igual o superior al cincuenta por ciento (50%) de mujeres en empleos del nivel directivo no se ha mantenido durante al menos el año anterior a la fecha de cierre del proceso de selección, no sería viable aplicar la mencionada definición. La misma consecuencia aplica al supuesto en el que se determine que las funciones de las trabajadoras presuntamente vinculadas a empleos del nivel directivo no corresponden con las atribuidas a ese tipo de cargos de conformidad con lo señalado en la norma. </w:t>
      </w:r>
    </w:p>
    <w:p w14:paraId="56C22521" w14:textId="77777777" w:rsidR="00C94ED0" w:rsidRPr="00ED7E96" w:rsidRDefault="00C94ED0" w:rsidP="00C94ED0">
      <w:pPr>
        <w:spacing w:after="120" w:line="276" w:lineRule="auto"/>
        <w:jc w:val="both"/>
        <w:rPr>
          <w:rFonts w:ascii="Arial" w:eastAsia="Calibri" w:hAnsi="Arial" w:cs="Arial"/>
          <w:lang w:val="es-ES_tradnl"/>
        </w:rPr>
      </w:pPr>
      <w:r w:rsidRPr="00ED7E96">
        <w:rPr>
          <w:rFonts w:ascii="Arial" w:eastAsia="Calibri" w:hAnsi="Arial" w:cs="Arial"/>
          <w:lang w:val="es-ES_tradnl"/>
        </w:rPr>
        <w:tab/>
        <w:t>Debe destacarse que, la noción de empleo del nivel directivo establecida en el inciso segundo del numeral 2 del artículo 2.2.1.2.4.2.14 se refiere exclusivamente a aquellos empleos «[…</w:t>
      </w:r>
      <w:r w:rsidRPr="00ED7E96">
        <w:rPr>
          <w:rFonts w:ascii="Arial" w:hAnsi="Arial" w:cs="Arial"/>
        </w:rPr>
        <w:t xml:space="preserve">] </w:t>
      </w:r>
      <w:r w:rsidRPr="00ED7E96">
        <w:rPr>
          <w:rFonts w:ascii="Arial" w:eastAsia="Calibri" w:hAnsi="Arial" w:cs="Arial"/>
          <w:lang w:val="es-ES_tradnl"/>
        </w:rPr>
        <w:t xml:space="preserve">cuyas funciones están relacionadas con la dirección de áreas misionales de la empresa y la toma de decisiones a nivel estratégico». En ese orden, resulta claro que la norma no establece el monto de la remuneración como un criterio para determinar si un empleo es o no del nivel directivo, por cuanto solo se refiere a la de manera cualitativa a un tipo de funciones asociadas a estos empleos.  </w:t>
      </w:r>
    </w:p>
    <w:p w14:paraId="71173BED" w14:textId="77777777" w:rsidR="00C94ED0" w:rsidRDefault="00C94ED0" w:rsidP="00C94ED0">
      <w:pPr>
        <w:spacing w:after="120" w:line="276" w:lineRule="auto"/>
        <w:ind w:firstLine="708"/>
        <w:jc w:val="both"/>
        <w:rPr>
          <w:rFonts w:ascii="Arial" w:eastAsia="Calibri" w:hAnsi="Arial" w:cs="Arial"/>
          <w:lang w:val="es-ES_tradnl"/>
        </w:rPr>
      </w:pPr>
      <w:r w:rsidRPr="00ED7E96">
        <w:rPr>
          <w:rFonts w:ascii="Arial" w:eastAsia="Calibri" w:hAnsi="Arial" w:cs="Arial"/>
          <w:lang w:val="es-ES_tradnl"/>
        </w:rPr>
        <w:lastRenderedPageBreak/>
        <w:t xml:space="preserve">Esto implica que el hecho de que los empleos tengan una remuneración que pueda considerarse baja, </w:t>
      </w:r>
      <w:r w:rsidRPr="00ED7E96">
        <w:rPr>
          <w:rFonts w:ascii="Arial" w:eastAsia="Calibri" w:hAnsi="Arial" w:cs="Arial"/>
          <w:i/>
          <w:iCs/>
          <w:lang w:val="es-ES_tradnl"/>
        </w:rPr>
        <w:t>per se</w:t>
      </w:r>
      <w:r w:rsidRPr="00ED7E96">
        <w:rPr>
          <w:rFonts w:ascii="Arial" w:eastAsia="Calibri" w:hAnsi="Arial" w:cs="Arial"/>
          <w:lang w:val="es-ES_tradnl"/>
        </w:rPr>
        <w:t>, no es una razón suficiente para no aplicar la definición del numeral 2 del artículo 2.2.1.2.4.2.14, siempre que se encuentren acreditadas las demás condiciones a las que se refiere la norma. No obstante, si además de la baja remuneración si se advierte que las funciones asignadas a las trabajadoras certificadas no tienen que ver con la dirección de áreas misionales, ni con la toma de decisiones a nivel estratégico, ni supongan representación del empleador, tales empleos no serán susceptibles de ser tenidos en cuenta para la aplicación de la definición bajo estudio.</w:t>
      </w:r>
    </w:p>
    <w:p w14:paraId="3489BBE0" w14:textId="77777777" w:rsidR="005761EF" w:rsidRPr="003E6F28" w:rsidRDefault="005761EF" w:rsidP="005761EF">
      <w:pPr>
        <w:spacing w:after="120" w:line="276" w:lineRule="auto"/>
        <w:ind w:firstLine="708"/>
        <w:jc w:val="both"/>
        <w:rPr>
          <w:rFonts w:ascii="Arial" w:eastAsia="Calibri" w:hAnsi="Arial" w:cs="Arial"/>
          <w:lang w:val="es-ES_tradnl"/>
        </w:rPr>
      </w:pPr>
      <w:r w:rsidRPr="003E6F28">
        <w:rPr>
          <w:rFonts w:ascii="Arial" w:eastAsia="Calibri" w:hAnsi="Arial" w:cs="Arial"/>
          <w:lang w:val="es-ES_tradnl"/>
        </w:rPr>
        <w:t xml:space="preserve">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22F9618F" w14:textId="77777777" w:rsidR="005761EF" w:rsidRPr="003E6F28" w:rsidRDefault="005761EF" w:rsidP="005761EF">
      <w:pPr>
        <w:spacing w:after="120" w:line="276" w:lineRule="auto"/>
        <w:jc w:val="both"/>
        <w:rPr>
          <w:rFonts w:ascii="Arial" w:eastAsia="Calibri" w:hAnsi="Arial" w:cs="Arial"/>
          <w:lang w:val="es-ES_tradnl"/>
        </w:rPr>
      </w:pPr>
      <w:r w:rsidRPr="003E6F28">
        <w:rPr>
          <w:rFonts w:ascii="Arial" w:eastAsia="Calibri" w:hAnsi="Arial" w:cs="Arial"/>
          <w:lang w:val="es-ES_tradnl"/>
        </w:rPr>
        <w:tab/>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w:t>
      </w:r>
      <w:r w:rsidRPr="003E6F28">
        <w:rPr>
          <w:rFonts w:ascii="Arial" w:eastAsia="Calibri" w:hAnsi="Arial" w:cs="Arial"/>
          <w:b/>
          <w:bCs/>
          <w:lang w:val="es-ES_tradnl"/>
        </w:rPr>
        <w:t xml:space="preserve"> </w:t>
      </w:r>
      <w:r w:rsidRPr="003E6F28">
        <w:rPr>
          <w:rFonts w:ascii="Arial" w:hAnsi="Arial" w:cs="Arial"/>
          <w:shd w:val="clear" w:color="auto" w:fill="FFFFFF"/>
        </w:rPr>
        <w:t xml:space="preserve">2.2.1.2.4.2.14. del Decreto 1082 de 2015 </w:t>
      </w:r>
      <w:r w:rsidRPr="003E6F28">
        <w:rPr>
          <w:rFonts w:ascii="Arial" w:eastAsia="Calibri" w:hAnsi="Arial" w:cs="Arial"/>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p w14:paraId="542074FA" w14:textId="77777777" w:rsidR="005761EF" w:rsidRPr="003E6F28" w:rsidRDefault="005761EF" w:rsidP="005761EF">
      <w:pPr>
        <w:spacing w:line="276" w:lineRule="auto"/>
        <w:jc w:val="both"/>
        <w:rPr>
          <w:rFonts w:ascii="Arial" w:eastAsia="Calibri" w:hAnsi="Arial" w:cs="Arial"/>
          <w:bCs/>
          <w:lang w:val="es-ES_tradnl"/>
        </w:rPr>
      </w:pPr>
      <w:r w:rsidRPr="003E6F28">
        <w:rPr>
          <w:rFonts w:ascii="Arial" w:eastAsia="Calibri" w:hAnsi="Arial" w:cs="Arial"/>
          <w:bCs/>
          <w:lang w:val="es-ES_tradnl"/>
        </w:rPr>
        <w:tab/>
        <w:t xml:space="preserve">Dado que una de las condiciones para ser considerada emprendimiento y empresa de mujeres está relacionada con que la persona natural haya ejercido actividades comerciales a través de establecimiento de comercio, para efectos de la consulta, es indispensable referirse a qué se entiende por actividad comercial y el desarrollo de la misma a través de un establecimiento de comercio. </w:t>
      </w:r>
    </w:p>
    <w:p w14:paraId="7C348657" w14:textId="77777777" w:rsidR="005761EF" w:rsidRPr="003E6F28" w:rsidRDefault="005761EF" w:rsidP="005761EF">
      <w:pPr>
        <w:spacing w:line="276" w:lineRule="auto"/>
        <w:contextualSpacing/>
        <w:jc w:val="both"/>
        <w:rPr>
          <w:rFonts w:ascii="Arial" w:eastAsia="Calibri" w:hAnsi="Arial" w:cs="Arial"/>
          <w:bCs/>
          <w:i/>
          <w:iCs/>
          <w:lang w:val="es-ES_tradnl"/>
        </w:rPr>
      </w:pPr>
    </w:p>
    <w:p w14:paraId="0612AA8D" w14:textId="77777777" w:rsidR="005761EF" w:rsidRPr="003E6F28" w:rsidRDefault="005761EF" w:rsidP="005761EF">
      <w:pPr>
        <w:spacing w:after="120" w:line="276" w:lineRule="auto"/>
        <w:ind w:firstLine="708"/>
        <w:jc w:val="both"/>
        <w:rPr>
          <w:rFonts w:ascii="Arial" w:eastAsia="Calibri" w:hAnsi="Arial" w:cs="Arial"/>
          <w:bCs/>
          <w:lang w:val="es-ES_tradnl"/>
        </w:rPr>
      </w:pPr>
      <w:r w:rsidRPr="003E6F28">
        <w:rPr>
          <w:rFonts w:ascii="Arial" w:eastAsia="Calibri" w:hAnsi="Arial" w:cs="Arial"/>
          <w:bCs/>
          <w:lang w:val="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En ese sentido, el artículo 20 del Código de Comercio agrupa una gran variedad de actividades bajo la categoría de «acto de comercio», sin que dicha enumeración sea taxativa en </w:t>
      </w:r>
      <w:r w:rsidRPr="003E6F28">
        <w:rPr>
          <w:rFonts w:ascii="Arial" w:hAnsi="Arial" w:cs="Arial"/>
        </w:rPr>
        <w:lastRenderedPageBreak/>
        <w:t>nuestro sistema jurídico. Así las cosas, no se define estáticamente el acto de comercio, permitiendo mediante la analogía realizar la ampliación dinámica del derecho mercantil facilitando su adaptación a un cambiante mundo de negocios</w:t>
      </w:r>
      <w:r w:rsidRPr="003E6F28">
        <w:rPr>
          <w:rFonts w:ascii="Arial" w:hAnsi="Arial" w:cs="Arial"/>
          <w:vertAlign w:val="superscript"/>
        </w:rPr>
        <w:footnoteReference w:id="16"/>
      </w:r>
      <w:r w:rsidRPr="003E6F28">
        <w:rPr>
          <w:rFonts w:ascii="Arial" w:hAnsi="Arial" w:cs="Arial"/>
        </w:rPr>
        <w:t>. 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w:t>
      </w:r>
      <w:r w:rsidRPr="003E6F28">
        <w:rPr>
          <w:rFonts w:ascii="Arial" w:hAnsi="Arial" w:cs="Arial"/>
          <w:vertAlign w:val="superscript"/>
        </w:rPr>
        <w:footnoteReference w:id="17"/>
      </w:r>
      <w:r w:rsidRPr="003E6F28">
        <w:rPr>
          <w:rFonts w:ascii="Arial" w:hAnsi="Arial" w:cs="Arial"/>
        </w:rPr>
        <w:t xml:space="preserve">. </w:t>
      </w:r>
    </w:p>
    <w:p w14:paraId="152588EA" w14:textId="77777777" w:rsidR="005761EF" w:rsidRPr="003E6F28" w:rsidRDefault="005761EF" w:rsidP="005761EF">
      <w:pPr>
        <w:spacing w:after="120" w:line="276" w:lineRule="auto"/>
        <w:ind w:firstLine="708"/>
        <w:jc w:val="both"/>
        <w:rPr>
          <w:rFonts w:ascii="Arial" w:eastAsia="Calibri" w:hAnsi="Arial" w:cs="Arial"/>
          <w:bCs/>
          <w:lang w:val="es-ES_tradnl"/>
        </w:rPr>
      </w:pPr>
      <w:r w:rsidRPr="003E6F28">
        <w:rPr>
          <w:rFonts w:ascii="Arial" w:eastAsia="Calibri" w:hAnsi="Arial" w:cs="Arial"/>
          <w:bCs/>
          <w:lang w:val="es-ES_tradnl"/>
        </w:rPr>
        <w:t xml:space="preserve">Respecto del requisito del establecimiento de comercio, debe señalarse que la actividad comercial se realiza a través de establecimientos de comercio sujetos al registro mercantil. En efecto, de conformidad con el artículo 25 del Código de Comercio, «Se entenderá por empresa toda actividad económica organizada para la producción, transformación, circulación, administración o custodia de bienes, o para la prestación de servicios. </w:t>
      </w:r>
      <w:r w:rsidRPr="003E6F28">
        <w:rPr>
          <w:rFonts w:ascii="Arial" w:eastAsia="Calibri" w:hAnsi="Arial" w:cs="Arial"/>
          <w:bCs/>
          <w:i/>
          <w:iCs/>
          <w:lang w:val="es-ES_tradnl"/>
        </w:rPr>
        <w:t>Dicha actividad se realizará a través de uno o más establecimientos de comercio</w:t>
      </w:r>
      <w:r w:rsidRPr="003E6F28">
        <w:rPr>
          <w:rFonts w:ascii="Arial" w:eastAsia="Calibri" w:hAnsi="Arial" w:cs="Arial"/>
          <w:bCs/>
          <w:lang w:val="es-ES_tradnl"/>
        </w:rPr>
        <w:t xml:space="preserve">» </w:t>
      </w:r>
      <w:r w:rsidRPr="003E6F28">
        <w:rPr>
          <w:rFonts w:ascii="Arial" w:hAnsi="Arial" w:cs="Arial"/>
          <w:lang w:eastAsia="es-CO"/>
        </w:rPr>
        <w:t>(Énfasis fuera de texto)</w:t>
      </w:r>
      <w:r w:rsidRPr="003E6F28">
        <w:rPr>
          <w:rFonts w:ascii="Arial" w:eastAsia="Calibri" w:hAnsi="Arial" w:cs="Arial"/>
          <w:bCs/>
          <w:lang w:val="es-ES_tradnl"/>
        </w:rPr>
        <w:t xml:space="preserve">. </w:t>
      </w:r>
      <w:r w:rsidRPr="003E6F28">
        <w:rPr>
          <w:rFonts w:ascii="Arial" w:hAnsi="Arial" w:cs="Arial"/>
        </w:rPr>
        <w:t>El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están destinados todos: la producción o distribución de bienes y servicios en el mercado</w:t>
      </w:r>
      <w:r w:rsidRPr="003E6F28">
        <w:rPr>
          <w:rFonts w:ascii="Arial" w:eastAsia="Calibri" w:hAnsi="Arial" w:cs="Arial"/>
          <w:bCs/>
          <w:vertAlign w:val="superscript"/>
          <w:lang w:val="es-ES_tradnl"/>
        </w:rPr>
        <w:footnoteReference w:id="18"/>
      </w:r>
      <w:r w:rsidRPr="003E6F28">
        <w:rPr>
          <w:rFonts w:ascii="Arial" w:eastAsia="Calibri" w:hAnsi="Arial" w:cs="Arial"/>
          <w:bCs/>
          <w:lang w:val="es-ES_tradnl"/>
        </w:rPr>
        <w:t xml:space="preserve">. </w:t>
      </w:r>
    </w:p>
    <w:p w14:paraId="5C023A7E" w14:textId="77777777" w:rsidR="005761EF" w:rsidRPr="003E6F28" w:rsidRDefault="005761EF" w:rsidP="005761EF">
      <w:pPr>
        <w:spacing w:after="120" w:line="276" w:lineRule="auto"/>
        <w:ind w:firstLine="708"/>
        <w:jc w:val="both"/>
        <w:rPr>
          <w:rFonts w:ascii="Arial" w:eastAsia="Calibri" w:hAnsi="Arial" w:cs="Arial"/>
          <w:bCs/>
          <w:lang w:val="es-ES_tradnl"/>
        </w:rPr>
      </w:pPr>
      <w:r w:rsidRPr="003E6F28">
        <w:rPr>
          <w:rFonts w:ascii="Arial" w:eastAsia="Calibri" w:hAnsi="Arial" w:cs="Arial"/>
          <w:bCs/>
          <w:lang w:val="es-ES_tradnl"/>
        </w:rPr>
        <w:t xml:space="preserve">Ahora bien, frente al requisito del registro mercantil, el artículo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w:t>
      </w:r>
      <w:r w:rsidRPr="003E6F28">
        <w:rPr>
          <w:rFonts w:ascii="Arial" w:eastAsia="Calibri" w:hAnsi="Arial" w:cs="Arial"/>
          <w:bCs/>
          <w:i/>
          <w:iCs/>
          <w:lang w:val="es-ES_tradnl"/>
        </w:rPr>
        <w:t>ibidem</w:t>
      </w:r>
      <w:r w:rsidRPr="003E6F28">
        <w:rPr>
          <w:rFonts w:ascii="Arial" w:eastAsia="Calibri" w:hAnsi="Arial" w:cs="Arial"/>
          <w:bCs/>
          <w:lang w:val="es-ES_tradnl"/>
        </w:rPr>
        <w:t xml:space="preserve"> señalan que cuando </w:t>
      </w:r>
      <w:r w:rsidRPr="003E6F28">
        <w:rPr>
          <w:rFonts w:ascii="Arial" w:hAnsi="Arial" w:cs="Arial"/>
        </w:rPr>
        <w:t xml:space="preserve">un empresario abre su establecimiento de comercio debe cumplir con el deber profesional de matricularlo en el registro mercantil dentro del mes siguiente a su </w:t>
      </w:r>
      <w:r w:rsidRPr="003E6F28">
        <w:rPr>
          <w:rFonts w:ascii="Arial" w:hAnsi="Arial" w:cs="Arial"/>
        </w:rPr>
        <w:lastRenderedPageBreak/>
        <w:t xml:space="preserve">apertura y la información de dicha matricula debe actualizarse periódicamente mediante la renovación anual dentro de los tres (3) primeros meses de cada año. </w:t>
      </w:r>
    </w:p>
    <w:p w14:paraId="5C8AEA89" w14:textId="77777777" w:rsidR="005761EF" w:rsidRPr="003E6F28" w:rsidRDefault="005761EF" w:rsidP="005761EF">
      <w:pPr>
        <w:spacing w:after="120" w:line="276" w:lineRule="auto"/>
        <w:ind w:firstLine="709"/>
        <w:jc w:val="both"/>
        <w:rPr>
          <w:rFonts w:ascii="Arial" w:hAnsi="Arial" w:cs="Arial"/>
        </w:rPr>
      </w:pPr>
      <w:bookmarkStart w:id="9" w:name="_Hlk112034643"/>
      <w:bookmarkStart w:id="10" w:name="_Hlk112310294"/>
      <w:r w:rsidRPr="003E6F28">
        <w:rPr>
          <w:rFonts w:ascii="Arial" w:hAnsi="Arial" w:cs="Arial"/>
        </w:rPr>
        <w:t xml:space="preserve">De esta manera, se concluye que el numeral tercero del </w:t>
      </w:r>
      <w:r w:rsidRPr="003E6F28">
        <w:rPr>
          <w:rFonts w:ascii="Arial" w:eastAsia="Calibri" w:hAnsi="Arial" w:cs="Arial"/>
          <w:lang w:val="es-ES_tradnl"/>
        </w:rPr>
        <w:t>artículo</w:t>
      </w:r>
      <w:r w:rsidRPr="003E6F28">
        <w:rPr>
          <w:rFonts w:ascii="Arial" w:eastAsia="Calibri" w:hAnsi="Arial" w:cs="Arial"/>
          <w:b/>
          <w:bCs/>
          <w:lang w:val="es-ES_tradnl"/>
        </w:rPr>
        <w:t xml:space="preserve"> </w:t>
      </w:r>
      <w:r w:rsidRPr="003E6F28">
        <w:rPr>
          <w:rFonts w:ascii="Arial" w:hAnsi="Arial" w:cs="Arial"/>
          <w:color w:val="333333"/>
          <w:shd w:val="clear" w:color="auto" w:fill="FFFFFF"/>
        </w:rPr>
        <w:t>2.2.1.2.4.2.14</w:t>
      </w:r>
      <w:r w:rsidRPr="003E6F28">
        <w:rPr>
          <w:rFonts w:ascii="Arial" w:hAnsi="Arial" w:cs="Arial"/>
          <w:b/>
          <w:bCs/>
          <w:color w:val="333333"/>
          <w:shd w:val="clear" w:color="auto" w:fill="FFFFFF"/>
        </w:rPr>
        <w:t xml:space="preserve"> </w:t>
      </w:r>
      <w:r w:rsidRPr="003E6F28">
        <w:rPr>
          <w:rFonts w:ascii="Arial" w:hAnsi="Arial" w:cs="Arial"/>
          <w:color w:val="333333"/>
          <w:shd w:val="clear" w:color="auto" w:fill="FFFFFF"/>
        </w:rPr>
        <w:t xml:space="preserve">del Decreto 1082 de 2015 </w:t>
      </w:r>
      <w:r w:rsidRPr="003E6F28">
        <w:rPr>
          <w:rFonts w:ascii="Arial" w:eastAsia="Calibri" w:hAnsi="Arial" w:cs="Arial"/>
          <w:lang w:val="es-ES_tradnl"/>
        </w:rPr>
        <w:t xml:space="preserve">–adicionado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Pr="003E6F28">
        <w:rPr>
          <w:rFonts w:ascii="Arial" w:hAnsi="Arial" w:cs="Arial"/>
        </w:rPr>
        <w:t xml:space="preserve">Así las cosas, </w:t>
      </w:r>
      <w:r w:rsidRPr="003E6F28">
        <w:rPr>
          <w:rFonts w:ascii="Arial" w:eastAsia="Calibri" w:hAnsi="Arial" w:cs="Arial"/>
          <w:bCs/>
          <w:lang w:val="es-ES_tradnl"/>
        </w:rPr>
        <w:t>es necesario que la persona natural que realiza actividades de comercio a través de un establecimiento acredite dicho registro de acuerdo con lo dispuesto por la ley comercial.</w:t>
      </w:r>
    </w:p>
    <w:p w14:paraId="58545FC9" w14:textId="77777777" w:rsidR="005761EF" w:rsidRPr="003E6F28" w:rsidRDefault="005761EF" w:rsidP="005761EF">
      <w:pPr>
        <w:spacing w:before="120" w:after="120" w:line="276" w:lineRule="auto"/>
        <w:ind w:firstLine="709"/>
        <w:jc w:val="both"/>
        <w:rPr>
          <w:rFonts w:ascii="Arial" w:eastAsia="Calibri" w:hAnsi="Arial" w:cs="Arial"/>
          <w:bCs/>
        </w:rPr>
      </w:pPr>
      <w:bookmarkStart w:id="11" w:name="_Hlk106013026"/>
      <w:bookmarkEnd w:id="9"/>
      <w:r w:rsidRPr="003E6F28">
        <w:rPr>
          <w:rFonts w:ascii="Arial" w:eastAsia="Calibri" w:hAnsi="Arial" w:cs="Arial"/>
          <w:bCs/>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3E6F28">
        <w:rPr>
          <w:rFonts w:ascii="Arial" w:eastAsia="Calibri" w:hAnsi="Arial" w:cs="Arial"/>
          <w:bCs/>
          <w:lang w:val="es-ES_tradnl"/>
        </w:rPr>
        <w:t xml:space="preserve">artículo </w:t>
      </w:r>
      <w:r w:rsidRPr="003E6F28">
        <w:rPr>
          <w:rFonts w:ascii="Arial" w:hAnsi="Arial" w:cs="Arial"/>
          <w:lang w:val="es-ES" w:eastAsia="es-CO"/>
        </w:rPr>
        <w:t xml:space="preserve">2.2.1.2.4.2.14 </w:t>
      </w:r>
      <w:r w:rsidRPr="003E6F28">
        <w:rPr>
          <w:rFonts w:ascii="Arial" w:eastAsia="Calibri" w:hAnsi="Arial" w:cs="Arial"/>
          <w:bCs/>
        </w:rPr>
        <w:t xml:space="preserve">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w:t>
      </w:r>
      <w:r w:rsidRPr="003E6F28">
        <w:rPr>
          <w:rFonts w:ascii="Arial" w:eastAsia="Calibri" w:hAnsi="Arial" w:cs="Arial"/>
          <w:lang w:val="es-ES_tradnl"/>
        </w:rPr>
        <w:t>adjuntando copia de la cédula de ciudadanía, cédula de extranjería o pasaporte y copia del registro mercantil</w:t>
      </w:r>
      <w:r w:rsidRPr="003E6F28">
        <w:rPr>
          <w:rFonts w:ascii="Arial" w:hAnsi="Arial" w:cs="Arial"/>
        </w:rPr>
        <w:t xml:space="preserve">. </w:t>
      </w:r>
    </w:p>
    <w:bookmarkEnd w:id="10"/>
    <w:bookmarkEnd w:id="11"/>
    <w:p w14:paraId="00B423A1" w14:textId="2195CB21" w:rsidR="00C94ED0" w:rsidRDefault="00C94ED0" w:rsidP="00362B16">
      <w:pPr>
        <w:spacing w:after="120" w:line="276" w:lineRule="auto"/>
        <w:jc w:val="both"/>
        <w:rPr>
          <w:rFonts w:ascii="Arial" w:eastAsia="Calibri" w:hAnsi="Arial" w:cs="Arial"/>
          <w:lang w:val="es-ES_tradnl" w:eastAsia="es-ES_tradnl"/>
        </w:rPr>
      </w:pPr>
    </w:p>
    <w:p w14:paraId="36B67A49" w14:textId="40B7465D" w:rsidR="00362B16" w:rsidRPr="00362B16" w:rsidRDefault="00362B16" w:rsidP="00362B16">
      <w:pPr>
        <w:spacing w:after="120" w:line="276" w:lineRule="auto"/>
        <w:jc w:val="both"/>
        <w:rPr>
          <w:rFonts w:ascii="Arial" w:eastAsia="Times New Roman" w:hAnsi="Arial" w:cs="Arial"/>
          <w:lang w:eastAsia="es-CO"/>
        </w:rPr>
      </w:pPr>
    </w:p>
    <w:p w14:paraId="2D8BAD2C" w14:textId="31275850" w:rsidR="00362B16" w:rsidRPr="00362B16" w:rsidRDefault="00362B16" w:rsidP="00F3020D">
      <w:pPr>
        <w:spacing w:after="120" w:line="276" w:lineRule="auto"/>
        <w:jc w:val="both"/>
        <w:rPr>
          <w:rFonts w:ascii="Arial" w:eastAsia="Calibri" w:hAnsi="Arial" w:cs="Arial"/>
          <w:bCs/>
          <w:color w:val="000000"/>
          <w:lang w:val="es-ES_tradnl"/>
        </w:rPr>
      </w:pPr>
      <w:r w:rsidRPr="00362B16">
        <w:rPr>
          <w:rFonts w:ascii="Arial" w:eastAsia="Times New Roman" w:hAnsi="Arial" w:cs="Arial"/>
          <w:lang w:eastAsia="es-CO"/>
        </w:rPr>
        <w:tab/>
      </w:r>
      <w:bookmarkStart w:id="12" w:name="_Hlk108537388"/>
    </w:p>
    <w:p w14:paraId="627F4C3F" w14:textId="77777777" w:rsidR="00362B16" w:rsidRPr="00362B16" w:rsidRDefault="00362B16" w:rsidP="00362B16">
      <w:pPr>
        <w:spacing w:before="120" w:after="120" w:line="276" w:lineRule="auto"/>
        <w:ind w:firstLine="709"/>
        <w:jc w:val="both"/>
        <w:rPr>
          <w:rFonts w:ascii="Arial" w:eastAsia="Calibri" w:hAnsi="Arial" w:cs="Arial"/>
          <w:bCs/>
          <w:color w:val="000000"/>
          <w:lang w:val="es-ES_tradnl"/>
        </w:rPr>
      </w:pPr>
      <w:r w:rsidRPr="00362B16">
        <w:rPr>
          <w:rFonts w:ascii="Arial" w:eastAsia="Calibri" w:hAnsi="Arial" w:cs="Arial"/>
          <w:bCs/>
          <w:color w:val="000000"/>
          <w:lang w:val="es-ES_tradnl"/>
        </w:rPr>
        <w:t xml:space="preserve">Debe agregarse a las consideraciones sobre la regulación de los criterios diferenciales a favor de las empresas y los emprendimientos de mujeres que el cuarto inciso del artículo 2.2.1.2.4.2.15. del Decreto 1082 de 2015, adicionado por el artículo 3 del Decreto 1860 de 2021,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considerar las distintas variables 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solo brinda algunas pautas al respecto. </w:t>
      </w:r>
    </w:p>
    <w:bookmarkEnd w:id="12"/>
    <w:p w14:paraId="489CEFDE" w14:textId="77777777" w:rsidR="00362B16" w:rsidRDefault="00362B16" w:rsidP="00362B16">
      <w:pPr>
        <w:spacing w:after="120" w:line="276" w:lineRule="auto"/>
        <w:ind w:firstLine="708"/>
        <w:jc w:val="both"/>
        <w:rPr>
          <w:rFonts w:ascii="Arial" w:eastAsia="Times New Roman" w:hAnsi="Arial" w:cs="Arial"/>
          <w:lang w:eastAsia="es-CO"/>
        </w:rPr>
      </w:pPr>
      <w:r w:rsidRPr="00071557">
        <w:rPr>
          <w:rFonts w:ascii="Arial" w:eastAsia="Times New Roman" w:hAnsi="Arial" w:cs="Arial"/>
          <w:lang w:eastAsia="es-CO"/>
        </w:rPr>
        <w:lastRenderedPageBreak/>
        <w:t>Finalmente, debe agregarse que el artículo 2.2.1.2.4.2.15 del Decreto 1082 de 2015</w:t>
      </w:r>
      <w:r w:rsidRPr="00071557">
        <w:rPr>
          <w:rFonts w:ascii="Arial" w:eastAsia="Times New Roman" w:hAnsi="Arial" w:cs="Arial"/>
          <w:vertAlign w:val="superscript"/>
          <w:lang w:eastAsia="es-CO"/>
        </w:rPr>
        <w:footnoteReference w:id="19"/>
      </w:r>
      <w:r w:rsidRPr="00071557">
        <w:rPr>
          <w:rFonts w:ascii="Arial" w:eastAsia="Times New Roman" w:hAnsi="Arial" w:cs="Arial"/>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071557">
        <w:rPr>
          <w:rFonts w:ascii="Times New Roman" w:eastAsia="Times New Roman" w:hAnsi="Times New Roman" w:cs="Times New Roman"/>
          <w:lang w:eastAsia="es-ES_tradnl"/>
        </w:rPr>
        <w:t xml:space="preserve"> </w:t>
      </w:r>
      <w:r w:rsidRPr="00071557">
        <w:rPr>
          <w:rFonts w:ascii="Arial" w:eastAsia="Times New Roman" w:hAnsi="Arial" w:cs="Arial"/>
          <w:lang w:eastAsia="es-CO"/>
        </w:rPr>
        <w:t>de hasta el 0,25% del valor total de los puntos establecidos en los pliegos de condiciones o documentos equivalentes, para los proponentes que acrediten alguno de los supuestos del artículo 2.2.1.2.4.2.14. En ultimas, frente a las personas naturales es claro que la norma dispuso, en el numeral 3 del artículo 2.2.1.2.4.2.14. las condiciones para que esta sea catalogada como acreedora de un emprendimiento o empresa de mujeres, bajo el entendido en que «sea una mujer y haya ejercido actividades comerciales a través de un establecimiento de comercio durante al menos el último año anterior a la fecha de cierre del proceso de selección</w:t>
      </w:r>
      <w:r w:rsidRPr="00071557">
        <w:rPr>
          <w:rFonts w:ascii="Arial" w:eastAsia="Calibri" w:hAnsi="Arial" w:cs="Arial"/>
        </w:rPr>
        <w:t xml:space="preserve">» y acreditando esta circunstancia </w:t>
      </w:r>
      <w:r w:rsidRPr="00071557">
        <w:rPr>
          <w:rFonts w:ascii="Arial" w:eastAsia="Times New Roman" w:hAnsi="Arial" w:cs="Arial"/>
          <w:lang w:eastAsia="es-CO"/>
        </w:rPr>
        <w:t>«mediante la copia de cédula de ciudadanía, la cédula de extranjería o el pasaporte, así como la copia del registro mercantil.». Los demás numerales del mencionado artículo corresponden a la acreditación de circunstancias, que por sus particularidades jurídicas, deben acreditar exclusivamente las personas jurídicas, sociedades o asociaciones y cooperativas.</w:t>
      </w:r>
      <w:r w:rsidRPr="00362B16">
        <w:rPr>
          <w:rFonts w:ascii="Arial" w:eastAsia="Times New Roman" w:hAnsi="Arial" w:cs="Arial"/>
          <w:lang w:eastAsia="es-CO"/>
        </w:rPr>
        <w:t xml:space="preserve"> </w:t>
      </w:r>
    </w:p>
    <w:p w14:paraId="3FC8CE01" w14:textId="77777777" w:rsidR="008D3934" w:rsidRPr="00362B16" w:rsidRDefault="008D3934" w:rsidP="00F3020D">
      <w:pPr>
        <w:spacing w:after="120" w:line="276" w:lineRule="auto"/>
        <w:ind w:firstLine="708"/>
        <w:jc w:val="both"/>
        <w:rPr>
          <w:rFonts w:ascii="Arial" w:eastAsia="Times New Roman" w:hAnsi="Arial" w:cs="Arial"/>
          <w:lang w:eastAsia="es-CO"/>
        </w:rPr>
      </w:pPr>
      <w:r>
        <w:rPr>
          <w:rFonts w:ascii="Arial" w:eastAsia="Times New Roman" w:hAnsi="Arial" w:cs="Arial"/>
          <w:lang w:eastAsia="es-CO"/>
        </w:rPr>
        <w:t>Conforme lo expuesto, el artículo citado</w:t>
      </w:r>
      <w:r w:rsidRPr="003E6F28">
        <w:rPr>
          <w:rFonts w:ascii="Arial" w:eastAsia="Calibri" w:hAnsi="Arial" w:cs="Arial"/>
          <w:lang w:val="es-ES_tradnl"/>
        </w:rPr>
        <w:t xml:space="preserve">, para efectos de la aplicación de los criterios diferenciales en el sistema de compras públicas en los términos del artículo 32 de la Ley 2069 de 2020, se considerarán emprendimientos o empresas de mujeres las personas jurídicas o </w:t>
      </w:r>
      <w:r w:rsidRPr="003E6F28">
        <w:rPr>
          <w:rFonts w:ascii="Arial" w:eastAsia="Calibri" w:hAnsi="Arial" w:cs="Arial"/>
          <w:lang w:val="es-ES_tradnl"/>
        </w:rPr>
        <w:lastRenderedPageBreak/>
        <w:t xml:space="preserve">naturales que cumplan alguno de los cuatro supuestos de hecho previstos en la norma citada y acrediten estos supuestos de hecho con los documentos previstos para ello en la misma. </w:t>
      </w:r>
      <w:r>
        <w:rPr>
          <w:rFonts w:ascii="Arial" w:eastAsia="Calibri" w:hAnsi="Arial" w:cs="Arial"/>
          <w:lang w:val="es-ES_tradnl"/>
        </w:rPr>
        <w:t xml:space="preserve">Nótese que la disposición estudiada señala de forma taxativa los requisitos que se exigen cuando se trata de persona natural y cuando se trata de persona jurídica, pero no se dice que uno de los numerales sea extensivo frente a otros supuestos. </w:t>
      </w:r>
      <w:r w:rsidRPr="00362B16">
        <w:rPr>
          <w:rFonts w:ascii="Arial" w:eastAsia="Times New Roman" w:hAnsi="Arial" w:cs="Arial"/>
          <w:lang w:eastAsia="es-CO"/>
        </w:rPr>
        <w:t>Por lo tanto, la presente interpretación además se impone en virtud de aquella regla según la cual «cuando el sentido de la ley sea claro, no se desatenderá su tenor literal a pretexto de consultar su espíritu»</w:t>
      </w:r>
      <w:r w:rsidRPr="00362B16">
        <w:rPr>
          <w:rFonts w:ascii="Arial" w:eastAsia="Times New Roman" w:hAnsi="Arial" w:cs="Arial"/>
          <w:vertAlign w:val="superscript"/>
          <w:lang w:eastAsia="es-CO"/>
        </w:rPr>
        <w:footnoteReference w:id="20"/>
      </w:r>
      <w:r w:rsidRPr="00362B16">
        <w:rPr>
          <w:rFonts w:ascii="Arial" w:eastAsia="Times New Roman" w:hAnsi="Arial" w:cs="Arial"/>
          <w:lang w:eastAsia="es-CO"/>
        </w:rPr>
        <w:t xml:space="preserve">. </w:t>
      </w:r>
    </w:p>
    <w:p w14:paraId="47AAEF77" w14:textId="77777777" w:rsidR="00362B16" w:rsidRPr="00362B16" w:rsidRDefault="00362B16" w:rsidP="00362B16">
      <w:pPr>
        <w:spacing w:after="0" w:line="276" w:lineRule="auto"/>
        <w:jc w:val="both"/>
        <w:rPr>
          <w:rFonts w:ascii="Arial" w:eastAsia="Times New Roman" w:hAnsi="Arial" w:cs="Arial"/>
          <w:color w:val="FF0000"/>
          <w:lang w:eastAsia="es-CO"/>
        </w:rPr>
      </w:pPr>
      <w:r w:rsidRPr="00362B16">
        <w:rPr>
          <w:rFonts w:ascii="Arial" w:eastAsia="Times New Roman" w:hAnsi="Arial" w:cs="Arial"/>
          <w:lang w:eastAsia="es-CO"/>
        </w:rPr>
        <w:tab/>
      </w:r>
    </w:p>
    <w:p w14:paraId="03B17D94" w14:textId="77777777" w:rsidR="00362B16" w:rsidRPr="00362B16" w:rsidRDefault="00362B16" w:rsidP="00362B16">
      <w:pPr>
        <w:tabs>
          <w:tab w:val="left" w:pos="0"/>
        </w:tabs>
        <w:spacing w:after="0" w:line="240" w:lineRule="auto"/>
        <w:jc w:val="both"/>
        <w:rPr>
          <w:rFonts w:ascii="Arial" w:eastAsia="Calibri" w:hAnsi="Arial" w:cs="Arial"/>
          <w:b/>
          <w:szCs w:val="24"/>
          <w:lang w:val="es-ES_tradnl" w:eastAsia="es-ES_tradnl"/>
        </w:rPr>
      </w:pPr>
      <w:r w:rsidRPr="00362B16">
        <w:rPr>
          <w:rFonts w:ascii="Arial" w:eastAsia="Calibri" w:hAnsi="Arial" w:cs="Arial"/>
          <w:b/>
          <w:szCs w:val="24"/>
          <w:lang w:val="es-ES_tradnl" w:eastAsia="es-ES_tradnl"/>
        </w:rPr>
        <w:t>3. Respuestas</w:t>
      </w:r>
    </w:p>
    <w:p w14:paraId="4B2B45F8" w14:textId="77777777" w:rsidR="00362B16" w:rsidRPr="00362B16" w:rsidRDefault="00362B16" w:rsidP="00362B16">
      <w:pPr>
        <w:tabs>
          <w:tab w:val="left" w:pos="0"/>
        </w:tabs>
        <w:spacing w:after="0" w:line="240" w:lineRule="auto"/>
        <w:jc w:val="both"/>
        <w:rPr>
          <w:rFonts w:ascii="Arial" w:eastAsia="Calibri" w:hAnsi="Arial" w:cs="Arial"/>
          <w:szCs w:val="24"/>
          <w:lang w:val="es-ES_tradnl" w:eastAsia="es-ES_tradnl"/>
        </w:rPr>
      </w:pPr>
    </w:p>
    <w:p w14:paraId="56282591" w14:textId="77777777" w:rsidR="00362B16" w:rsidRPr="00362B16" w:rsidRDefault="00362B16" w:rsidP="00362B16">
      <w:pPr>
        <w:autoSpaceDE w:val="0"/>
        <w:autoSpaceDN w:val="0"/>
        <w:adjustRightInd w:val="0"/>
        <w:spacing w:after="0" w:line="240" w:lineRule="auto"/>
        <w:ind w:left="709" w:right="709"/>
        <w:jc w:val="both"/>
        <w:rPr>
          <w:rFonts w:ascii="Arial" w:eastAsia="Calibri" w:hAnsi="Arial" w:cs="Arial"/>
          <w:sz w:val="21"/>
          <w:szCs w:val="21"/>
        </w:rPr>
      </w:pPr>
      <w:r w:rsidRPr="00362B16">
        <w:rPr>
          <w:rFonts w:ascii="Arial" w:eastAsia="Calibri" w:hAnsi="Arial" w:cs="Arial"/>
          <w:sz w:val="21"/>
          <w:szCs w:val="21"/>
        </w:rPr>
        <w:t xml:space="preserve">«[…]Definición de emprendimientos y empresas de mujeres puntualmente queremos saber si las personas naturales se pueden acoger al numeral 2 del articulo 2.2.1.2.4.2.14el cual dice: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lo anterior teniendo en cuenta que las personas naturales dentro de su estructura organizacional para el desarrollo de las actividades o servicios prestados también cuentan con un organigrama, y por ende, con personal directivo en caminado a realizar labores misionales y la toma de decisiones de carácter estratégico que conlleven al progreso de la persona natural.». </w:t>
      </w:r>
    </w:p>
    <w:p w14:paraId="5D3609C9" w14:textId="77777777" w:rsidR="00362B16" w:rsidRPr="00362B16" w:rsidRDefault="00362B16" w:rsidP="00362B16">
      <w:pPr>
        <w:autoSpaceDE w:val="0"/>
        <w:autoSpaceDN w:val="0"/>
        <w:adjustRightInd w:val="0"/>
        <w:spacing w:after="0" w:line="240" w:lineRule="auto"/>
        <w:ind w:left="709" w:right="709"/>
        <w:jc w:val="both"/>
        <w:rPr>
          <w:rFonts w:ascii="Arial" w:eastAsia="Calibri" w:hAnsi="Arial" w:cs="Arial"/>
          <w:sz w:val="21"/>
          <w:szCs w:val="21"/>
        </w:rPr>
      </w:pPr>
    </w:p>
    <w:p w14:paraId="7D224340" w14:textId="77777777" w:rsidR="00362B16" w:rsidRPr="00362B16" w:rsidRDefault="00362B16" w:rsidP="00362B16">
      <w:pPr>
        <w:spacing w:after="120" w:line="276" w:lineRule="auto"/>
        <w:jc w:val="both"/>
        <w:rPr>
          <w:rFonts w:ascii="Arial" w:eastAsia="Times New Roman" w:hAnsi="Arial" w:cs="Arial"/>
          <w:bdr w:val="none" w:sz="0" w:space="0" w:color="auto" w:frame="1"/>
          <w:lang w:eastAsia="es-ES_tradnl"/>
        </w:rPr>
      </w:pPr>
      <w:r w:rsidRPr="00362B16">
        <w:rPr>
          <w:rFonts w:ascii="Arial" w:eastAsia="Times New Roman" w:hAnsi="Arial" w:cs="Arial"/>
          <w:bCs/>
          <w:lang w:eastAsia="es-ES_tradnl"/>
        </w:rPr>
        <w:t xml:space="preserve">Conforme a lo expuesto, el artículo </w:t>
      </w:r>
      <w:bookmarkStart w:id="13" w:name="_Hlk111037928"/>
      <w:r w:rsidRPr="00362B16">
        <w:rPr>
          <w:rFonts w:ascii="Arial" w:eastAsia="Calibri" w:hAnsi="Arial" w:cs="Arial"/>
        </w:rPr>
        <w:t>2.2.1.2.4.2.14</w:t>
      </w:r>
      <w:bookmarkEnd w:id="13"/>
      <w:r w:rsidRPr="00362B16">
        <w:rPr>
          <w:rFonts w:ascii="Arial" w:eastAsia="Calibri" w:hAnsi="Arial" w:cs="Arial"/>
        </w:rPr>
        <w:t xml:space="preserve"> del Decreto 1082 de 2015, adicionado por el Decreto 1860 de 2021, establece diferentes definiciones de emprendimientos y empresas de mujeres, a efectos de la aplicación de los criterios diferenciales a los que se refiere el artículo 32 de la Ley 2069 de 2020. De acuerdo con lo establecido por el numeral 1 de dicha norma, son definidos como emprendimientos o empresas de mujeres, aquellas personas jurídicas en las que el </w:t>
      </w:r>
      <w:r w:rsidRPr="00362B16">
        <w:rPr>
          <w:rFonts w:ascii="Arial" w:eastAsia="Times New Roman" w:hAnsi="Arial" w:cs="Arial"/>
          <w:bdr w:val="none" w:sz="0" w:space="0" w:color="auto" w:frame="1"/>
          <w:lang w:eastAsia="es-ES_tradnl"/>
        </w:rPr>
        <w:t xml:space="preserve">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sea considerada un emprendimiento o empresa de mujeres, a luz de este numeral, además de contar con la participación mayoritaria de mujeres, debe demostrar que la misma tiene una antigüedad mínima de un año, para poder cumplir con los requisitos exigidos por la norma analizada. </w:t>
      </w:r>
    </w:p>
    <w:p w14:paraId="267AE949" w14:textId="77777777" w:rsidR="00362B16" w:rsidRPr="00362B16" w:rsidRDefault="00362B16" w:rsidP="00362B16">
      <w:pPr>
        <w:spacing w:before="120" w:after="0" w:line="276" w:lineRule="auto"/>
        <w:ind w:firstLine="709"/>
        <w:jc w:val="both"/>
        <w:rPr>
          <w:rFonts w:ascii="Arial" w:eastAsia="Calibri" w:hAnsi="Arial" w:cs="Arial"/>
          <w:bCs/>
          <w:color w:val="000000"/>
          <w:lang w:val="es-ES_tradnl"/>
        </w:rPr>
      </w:pPr>
      <w:r w:rsidRPr="00362B16">
        <w:rPr>
          <w:rFonts w:ascii="Arial" w:eastAsia="Calibri" w:hAnsi="Arial" w:cs="Arial"/>
          <w:bCs/>
          <w:color w:val="000000"/>
          <w:lang w:val="es-ES_tradnl"/>
        </w:rPr>
        <w:t xml:space="preserve">De igual forma, el referido artículo 2.2.1.2.4.2.14 establece los documentos que acreditan cada una de las circunstancias por las cuales se puede demostrar que alguien tiene la calidad de emprendimiento y empresa de mujeres. Los documentos a los que se refiere la norma son, por </w:t>
      </w:r>
      <w:r w:rsidRPr="00362B16">
        <w:rPr>
          <w:rFonts w:ascii="Arial" w:eastAsia="Calibri" w:hAnsi="Arial" w:cs="Arial"/>
          <w:bCs/>
          <w:color w:val="000000"/>
          <w:lang w:val="es-ES_tradnl"/>
        </w:rPr>
        <w:lastRenderedPageBreak/>
        <w:t xml:space="preserve">regla general, certificaciones emitidas bajo la gravedad del juramento. Se reitera que, en el supuesto del numeral 1 del artículo 2.2.1.2.4.2.14 es claro que se entenderá que una sociedad se subsume a la definición de emprendimiento y/o empresa de mujer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p w14:paraId="545452E3" w14:textId="77777777" w:rsidR="00362B16" w:rsidRPr="00362B16" w:rsidRDefault="00362B16" w:rsidP="00362B16">
      <w:pPr>
        <w:spacing w:before="120" w:after="0" w:line="276" w:lineRule="auto"/>
        <w:ind w:firstLine="709"/>
        <w:jc w:val="both"/>
        <w:rPr>
          <w:rFonts w:ascii="Arial" w:eastAsia="Calibri" w:hAnsi="Arial" w:cs="Arial"/>
          <w:bCs/>
          <w:color w:val="000000"/>
          <w:lang w:val="es-ES_tradnl"/>
        </w:rPr>
      </w:pPr>
      <w:r w:rsidRPr="00362B16">
        <w:rPr>
          <w:rFonts w:ascii="Arial" w:eastAsia="Calibri" w:hAnsi="Arial" w:cs="Arial"/>
          <w:bCs/>
          <w:color w:val="000000"/>
          <w:lang w:val="es-ES_tradnl"/>
        </w:rPr>
        <w:t xml:space="preserve">Frente a las personas naturales la norma dispuso, en el numeral 3 del artículo 2.2.1.2.4.2.14. las condiciones para que esta sea catalogada como acreedora de un emprendimiento o empresa de mujeres, bajo el entendido en que «sea una mujer y haya ejercido actividades comerciales a través de un establecimiento de comercio durante al menos el último año anterior a la fecha de cierre del proceso de selección» y acreditando esta circunstancia «mediante la copia de cédula de ciudadanía, la cédula de extranjería o el pasaporte, así como la copia del registro mercantil.». Los demás numerales del mencionado artículo corresponden a la acreditación de circunstancias, que por sus particularidades jurídicas, deben acreditar exclusivamente las personas jurídicas, sociedades o asociaciones y cooperativas. </w:t>
      </w:r>
    </w:p>
    <w:p w14:paraId="41FC9F3D" w14:textId="77777777" w:rsidR="00362B16" w:rsidRPr="00362B16" w:rsidRDefault="00362B16" w:rsidP="00362B16">
      <w:pPr>
        <w:spacing w:after="0" w:line="276" w:lineRule="auto"/>
        <w:ind w:firstLine="709"/>
        <w:jc w:val="both"/>
        <w:rPr>
          <w:rFonts w:ascii="Arial" w:eastAsia="Calibri" w:hAnsi="Arial" w:cs="Arial"/>
          <w:bCs/>
          <w:color w:val="000000"/>
          <w:lang w:val="es-ES_tradnl"/>
        </w:rPr>
      </w:pPr>
    </w:p>
    <w:p w14:paraId="1375B9A9" w14:textId="77777777" w:rsidR="00362B16" w:rsidRPr="00362B16" w:rsidRDefault="00362B16" w:rsidP="00362B16">
      <w:pPr>
        <w:widowControl w:val="0"/>
        <w:autoSpaceDE w:val="0"/>
        <w:autoSpaceDN w:val="0"/>
        <w:spacing w:after="120" w:line="276" w:lineRule="auto"/>
        <w:jc w:val="both"/>
        <w:rPr>
          <w:rFonts w:ascii="Arial" w:eastAsia="Times New Roman" w:hAnsi="Arial" w:cs="Arial"/>
          <w:lang w:val="es-ES_tradnl" w:eastAsia="es-ES_tradnl" w:bidi="es-ES"/>
        </w:rPr>
      </w:pPr>
      <w:r w:rsidRPr="00362B16">
        <w:rPr>
          <w:rFonts w:ascii="Arial" w:eastAsia="Times New Roman" w:hAnsi="Arial" w:cs="Arial"/>
          <w:color w:val="000000"/>
          <w:lang w:val="es-ES_tradnl" w:eastAsia="es-ES_tradnl"/>
        </w:rPr>
        <w:t xml:space="preserve">Este concepto tiene el alcance previsto en el artículo 28 del Código de Procedimiento Administrativo y de lo Contencioso Administrativo </w:t>
      </w:r>
      <w:r w:rsidRPr="00362B16">
        <w:rPr>
          <w:rFonts w:ascii="Arial" w:eastAsia="Times New Roman" w:hAnsi="Arial" w:cs="Arial"/>
          <w:bCs/>
          <w:color w:val="000000"/>
          <w:lang w:eastAsia="es-ES_tradnl"/>
        </w:rPr>
        <w:t xml:space="preserve">y </w:t>
      </w:r>
      <w:r w:rsidRPr="00362B16">
        <w:rPr>
          <w:rFonts w:ascii="Arial" w:eastAsia="Times New Roman" w:hAnsi="Arial" w:cs="Arial"/>
          <w:lang w:eastAsia="es-ES_tradnl"/>
        </w:rPr>
        <w:t>las expresiones aquí utilizadas con mayúscula inicial deben ser entendidas con el significado que les otorga el artículo 2.2.1.1.1.3.1. del Decreto 1082 de 2015</w:t>
      </w:r>
      <w:r w:rsidRPr="00362B16">
        <w:rPr>
          <w:rFonts w:ascii="Arial" w:eastAsia="Times New Roman" w:hAnsi="Arial" w:cs="Arial"/>
          <w:color w:val="000000"/>
          <w:lang w:val="es-ES_tradnl" w:eastAsia="es-ES_tradnl"/>
        </w:rPr>
        <w:t>.</w:t>
      </w:r>
    </w:p>
    <w:p w14:paraId="26603B59" w14:textId="77777777" w:rsidR="00362B16" w:rsidRPr="00362B16" w:rsidRDefault="00362B16" w:rsidP="00362B16">
      <w:pPr>
        <w:spacing w:after="0" w:line="276" w:lineRule="auto"/>
        <w:jc w:val="both"/>
        <w:rPr>
          <w:rFonts w:ascii="Arial" w:eastAsia="Times New Roman" w:hAnsi="Arial" w:cs="Arial"/>
          <w:szCs w:val="24"/>
          <w:lang w:val="es-ES_tradnl" w:eastAsia="es-ES_tradnl"/>
        </w:rPr>
      </w:pPr>
    </w:p>
    <w:p w14:paraId="54D18C97" w14:textId="77777777" w:rsidR="00362B16" w:rsidRPr="00362B16" w:rsidRDefault="00362B16" w:rsidP="00362B16">
      <w:pPr>
        <w:spacing w:after="0" w:line="276" w:lineRule="auto"/>
        <w:jc w:val="both"/>
        <w:rPr>
          <w:rFonts w:ascii="Arial" w:eastAsia="Times New Roman" w:hAnsi="Arial" w:cs="Arial"/>
          <w:lang w:val="es-ES_tradnl" w:eastAsia="es-CO"/>
        </w:rPr>
      </w:pPr>
    </w:p>
    <w:p w14:paraId="060B4CBC" w14:textId="77777777" w:rsidR="00362B16" w:rsidRPr="00362B16" w:rsidRDefault="00362B16" w:rsidP="00362B16">
      <w:pPr>
        <w:spacing w:after="0" w:line="276" w:lineRule="auto"/>
        <w:jc w:val="both"/>
        <w:rPr>
          <w:rFonts w:ascii="Arial" w:eastAsia="Times New Roman" w:hAnsi="Arial" w:cs="Arial"/>
          <w:lang w:val="es-ES_tradnl" w:eastAsia="es-CO"/>
        </w:rPr>
      </w:pPr>
      <w:r w:rsidRPr="00362B16">
        <w:rPr>
          <w:rFonts w:ascii="Arial" w:eastAsia="Times New Roman" w:hAnsi="Arial" w:cs="Arial"/>
          <w:lang w:val="es-ES_tradnl" w:eastAsia="es-CO"/>
        </w:rPr>
        <w:t>Atentamente,</w:t>
      </w:r>
    </w:p>
    <w:p w14:paraId="7A8B6D88" w14:textId="2B17D88A" w:rsidR="00362B16" w:rsidRPr="00362B16" w:rsidRDefault="00362B16" w:rsidP="00362B16">
      <w:pPr>
        <w:spacing w:after="0" w:line="276" w:lineRule="auto"/>
        <w:jc w:val="center"/>
        <w:rPr>
          <w:rFonts w:ascii="Arial" w:eastAsia="Times New Roman" w:hAnsi="Arial" w:cs="Arial"/>
          <w:lang w:val="es-ES_tradnl" w:eastAsia="es-CO"/>
        </w:rPr>
      </w:pPr>
      <w:r w:rsidRPr="00362B16">
        <w:rPr>
          <w:rFonts w:ascii="Times New Roman" w:eastAsia="Times New Roman" w:hAnsi="Times New Roman" w:cs="Times New Roman"/>
          <w:noProof/>
          <w:sz w:val="24"/>
          <w:szCs w:val="24"/>
          <w:lang w:eastAsia="es-CO"/>
        </w:rPr>
        <w:t xml:space="preserve"> </w:t>
      </w:r>
      <w:r w:rsidR="00B25217" w:rsidRPr="00B25217">
        <w:rPr>
          <w:rFonts w:ascii="Calibri" w:eastAsia="Calibri" w:hAnsi="Calibri" w:cs="Times New Roman"/>
          <w:noProof/>
          <w:lang w:val="es-ES"/>
        </w:rPr>
        <w:drawing>
          <wp:inline distT="0" distB="0" distL="0" distR="0" wp14:anchorId="7F61D7E8" wp14:editId="67A4D3C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51F6052C" w14:textId="77777777" w:rsidR="00362B16" w:rsidRPr="00362B16" w:rsidRDefault="00362B16" w:rsidP="00362B16">
      <w:pPr>
        <w:spacing w:after="0" w:line="276" w:lineRule="auto"/>
        <w:jc w:val="center"/>
        <w:rPr>
          <w:rFonts w:ascii="Arial" w:eastAsia="Times New Roman" w:hAnsi="Arial" w:cs="Arial"/>
          <w:lang w:val="es-ES_tradnl" w:eastAsia="es-CO"/>
        </w:rPr>
      </w:pP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5102"/>
      </w:tblGrid>
      <w:tr w:rsidR="00362B16" w:rsidRPr="00362B16" w14:paraId="6A114B15" w14:textId="77777777" w:rsidTr="00C50E24">
        <w:trPr>
          <w:trHeight w:val="305"/>
        </w:trPr>
        <w:tc>
          <w:tcPr>
            <w:tcW w:w="1025" w:type="dxa"/>
            <w:vAlign w:val="center"/>
            <w:hideMark/>
          </w:tcPr>
          <w:p w14:paraId="6631521B"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Elaboró:</w:t>
            </w:r>
          </w:p>
        </w:tc>
        <w:tc>
          <w:tcPr>
            <w:tcW w:w="5102" w:type="dxa"/>
            <w:tcBorders>
              <w:top w:val="nil"/>
              <w:left w:val="nil"/>
              <w:bottom w:val="dotted" w:sz="4" w:space="0" w:color="7F7F7F"/>
              <w:right w:val="nil"/>
            </w:tcBorders>
            <w:vAlign w:val="center"/>
            <w:hideMark/>
          </w:tcPr>
          <w:p w14:paraId="0D27CFF2"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Gabriel Alejandro Murcia Taboada</w:t>
            </w:r>
          </w:p>
          <w:p w14:paraId="4B612D3D"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Contratista de la Subdirección de Gestión Contractual</w:t>
            </w:r>
          </w:p>
        </w:tc>
      </w:tr>
      <w:tr w:rsidR="00362B16" w:rsidRPr="00362B16" w14:paraId="74979206" w14:textId="77777777" w:rsidTr="00C50E24">
        <w:trPr>
          <w:trHeight w:val="319"/>
        </w:trPr>
        <w:tc>
          <w:tcPr>
            <w:tcW w:w="1025" w:type="dxa"/>
            <w:vAlign w:val="center"/>
            <w:hideMark/>
          </w:tcPr>
          <w:p w14:paraId="347A613C"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Revisó:</w:t>
            </w:r>
          </w:p>
        </w:tc>
        <w:tc>
          <w:tcPr>
            <w:tcW w:w="5102" w:type="dxa"/>
            <w:tcBorders>
              <w:top w:val="dotted" w:sz="4" w:space="0" w:color="7F7F7F"/>
              <w:left w:val="nil"/>
              <w:bottom w:val="dotted" w:sz="4" w:space="0" w:color="7F7F7F"/>
              <w:right w:val="nil"/>
            </w:tcBorders>
            <w:vAlign w:val="center"/>
            <w:hideMark/>
          </w:tcPr>
          <w:p w14:paraId="55F11742"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Diana Lucia Saavedra Castañeda</w:t>
            </w:r>
          </w:p>
          <w:p w14:paraId="1D161E5D"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 xml:space="preserve">Contratista de la Subdirección de Gestión Contractual  </w:t>
            </w:r>
          </w:p>
        </w:tc>
      </w:tr>
      <w:tr w:rsidR="00362B16" w:rsidRPr="00362B16" w14:paraId="4FF10B55" w14:textId="77777777" w:rsidTr="00C50E24">
        <w:trPr>
          <w:trHeight w:val="290"/>
        </w:trPr>
        <w:tc>
          <w:tcPr>
            <w:tcW w:w="1025" w:type="dxa"/>
            <w:vAlign w:val="center"/>
            <w:hideMark/>
          </w:tcPr>
          <w:p w14:paraId="75C9F1E1"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Aprobó:</w:t>
            </w:r>
          </w:p>
        </w:tc>
        <w:tc>
          <w:tcPr>
            <w:tcW w:w="5102" w:type="dxa"/>
            <w:tcBorders>
              <w:top w:val="dotted" w:sz="4" w:space="0" w:color="7F7F7F"/>
              <w:left w:val="nil"/>
              <w:bottom w:val="dotted" w:sz="4" w:space="0" w:color="7F7F7F"/>
              <w:right w:val="nil"/>
            </w:tcBorders>
            <w:vAlign w:val="center"/>
            <w:hideMark/>
          </w:tcPr>
          <w:p w14:paraId="5F512EC3"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Nohelia del Carmen Zawady Palacio</w:t>
            </w:r>
          </w:p>
          <w:p w14:paraId="487BC994" w14:textId="77777777" w:rsidR="00362B16" w:rsidRPr="00362B16" w:rsidRDefault="00362B16" w:rsidP="00362B16">
            <w:pPr>
              <w:spacing w:line="276" w:lineRule="auto"/>
              <w:jc w:val="both"/>
              <w:rPr>
                <w:rFonts w:ascii="Arial" w:eastAsia="Calibri" w:hAnsi="Arial" w:cs="Arial"/>
                <w:sz w:val="16"/>
                <w:szCs w:val="16"/>
                <w:lang w:val="es-ES_tradnl" w:eastAsia="es-ES"/>
              </w:rPr>
            </w:pPr>
            <w:r w:rsidRPr="00362B16">
              <w:rPr>
                <w:rFonts w:ascii="Arial" w:eastAsia="Calibri" w:hAnsi="Arial" w:cs="Arial"/>
                <w:sz w:val="16"/>
                <w:szCs w:val="16"/>
                <w:lang w:val="es-ES_tradnl" w:eastAsia="es-ES"/>
              </w:rPr>
              <w:t xml:space="preserve">Subdirectora de Gestión Contractual </w:t>
            </w:r>
          </w:p>
        </w:tc>
      </w:tr>
    </w:tbl>
    <w:p w14:paraId="6D4C8A2D" w14:textId="77777777" w:rsidR="00362B16" w:rsidRPr="00362B16" w:rsidRDefault="00362B16" w:rsidP="00362B16">
      <w:pPr>
        <w:spacing w:after="0" w:line="276" w:lineRule="auto"/>
        <w:rPr>
          <w:rFonts w:ascii="Arial" w:eastAsia="Times New Roman" w:hAnsi="Arial" w:cs="Arial"/>
          <w:color w:val="000000"/>
          <w:lang w:val="es-ES_tradnl" w:eastAsia="es-CO"/>
        </w:rPr>
      </w:pPr>
    </w:p>
    <w:p w14:paraId="2C5DD96F" w14:textId="77777777" w:rsidR="00362B16" w:rsidRPr="00362B16" w:rsidRDefault="00362B16" w:rsidP="00362B16">
      <w:pPr>
        <w:spacing w:after="0" w:line="240" w:lineRule="auto"/>
        <w:jc w:val="both"/>
        <w:rPr>
          <w:rFonts w:ascii="Arial" w:eastAsia="Times New Roman" w:hAnsi="Arial" w:cs="Arial"/>
          <w:sz w:val="24"/>
          <w:szCs w:val="24"/>
          <w:lang w:val="es-ES_tradnl" w:eastAsia="es-ES_tradnl"/>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bookmarkEnd w:id="0"/>
    <w:p w14:paraId="0F293BF4" w14:textId="0F6FB6C1" w:rsidR="00127233" w:rsidRPr="006219F8" w:rsidRDefault="00127233" w:rsidP="00071557">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DFF7" w14:textId="77777777" w:rsidR="002B77CB" w:rsidRDefault="002B77CB" w:rsidP="004A1847">
      <w:pPr>
        <w:spacing w:after="0" w:line="240" w:lineRule="auto"/>
      </w:pPr>
      <w:r>
        <w:separator/>
      </w:r>
    </w:p>
  </w:endnote>
  <w:endnote w:type="continuationSeparator" w:id="0">
    <w:p w14:paraId="4A753402" w14:textId="77777777" w:rsidR="002B77CB" w:rsidRDefault="002B77CB" w:rsidP="004A1847">
      <w:pPr>
        <w:spacing w:after="0" w:line="240" w:lineRule="auto"/>
      </w:pPr>
      <w:r>
        <w:continuationSeparator/>
      </w:r>
    </w:p>
  </w:endnote>
  <w:endnote w:type="continuationNotice" w:id="1">
    <w:p w14:paraId="29AFA89A" w14:textId="77777777" w:rsidR="002B77CB" w:rsidRDefault="002B7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Arial Nova">
    <w:altName w:val="Arial"/>
    <w:panose1 w:val="020B0504020202020204"/>
    <w:charset w:val="00"/>
    <w:family w:val="swiss"/>
    <w:pitch w:val="variable"/>
    <w:sig w:usb0="2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5B0F" w14:textId="77777777" w:rsidR="002B77CB" w:rsidRDefault="002B77CB" w:rsidP="004A1847">
      <w:pPr>
        <w:spacing w:after="0" w:line="240" w:lineRule="auto"/>
      </w:pPr>
      <w:r>
        <w:separator/>
      </w:r>
    </w:p>
  </w:footnote>
  <w:footnote w:type="continuationSeparator" w:id="0">
    <w:p w14:paraId="34F18F98" w14:textId="77777777" w:rsidR="002B77CB" w:rsidRDefault="002B77CB" w:rsidP="004A1847">
      <w:pPr>
        <w:spacing w:after="0" w:line="240" w:lineRule="auto"/>
      </w:pPr>
      <w:r>
        <w:continuationSeparator/>
      </w:r>
    </w:p>
  </w:footnote>
  <w:footnote w:type="continuationNotice" w:id="1">
    <w:p w14:paraId="58CFA461" w14:textId="77777777" w:rsidR="002B77CB" w:rsidRDefault="002B77CB">
      <w:pPr>
        <w:spacing w:after="0" w:line="240" w:lineRule="auto"/>
      </w:pPr>
    </w:p>
  </w:footnote>
  <w:footnote w:id="2">
    <w:p w14:paraId="02560318" w14:textId="77777777" w:rsidR="00362B16" w:rsidRPr="00362B16" w:rsidRDefault="00362B16" w:rsidP="00362B16">
      <w:pPr>
        <w:pStyle w:val="Textonotapie"/>
        <w:ind w:firstLine="708"/>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«Artículo 3°. Funciones. La Agencia Nacional de Contratación Pública –Colombia Compra Eficiente– ejercerá las siguientes funciones: </w:t>
      </w:r>
    </w:p>
    <w:p w14:paraId="38C170C2" w14:textId="77777777" w:rsidR="00362B16" w:rsidRPr="00362B16" w:rsidRDefault="00362B16" w:rsidP="00362B16">
      <w:pPr>
        <w:pStyle w:val="Textonotapie"/>
        <w:ind w:firstLine="709"/>
        <w:jc w:val="both"/>
        <w:rPr>
          <w:rFonts w:ascii="Arial" w:hAnsi="Arial" w:cs="Arial"/>
          <w:sz w:val="16"/>
          <w:szCs w:val="16"/>
          <w:lang w:val="es-ES"/>
        </w:rPr>
      </w:pPr>
      <w:r w:rsidRPr="00362B16">
        <w:rPr>
          <w:rFonts w:ascii="Arial" w:hAnsi="Arial" w:cs="Arial"/>
          <w:sz w:val="16"/>
          <w:szCs w:val="16"/>
          <w:lang w:val="es-ES"/>
        </w:rPr>
        <w:t xml:space="preserve">»[...] </w:t>
      </w:r>
    </w:p>
    <w:p w14:paraId="700F8F6D" w14:textId="77777777" w:rsidR="00362B16" w:rsidRPr="00362B16" w:rsidRDefault="00362B16" w:rsidP="00362B16">
      <w:pPr>
        <w:pStyle w:val="Textonotapie"/>
        <w:ind w:firstLine="709"/>
        <w:jc w:val="both"/>
        <w:rPr>
          <w:rFonts w:ascii="Arial" w:hAnsi="Arial" w:cs="Arial"/>
          <w:sz w:val="16"/>
          <w:szCs w:val="16"/>
          <w:lang w:val="es-ES"/>
        </w:rPr>
      </w:pPr>
      <w:r w:rsidRPr="00362B16">
        <w:rPr>
          <w:rFonts w:ascii="Arial" w:hAnsi="Arial" w:cs="Arial"/>
          <w:sz w:val="16"/>
          <w:szCs w:val="16"/>
          <w:lang w:val="es-ES"/>
        </w:rPr>
        <w:t>»5. Absolver consultas sobre la aplicación de normas de carácter general y expedir circulares externas en materia de compras y contratación pública».</w:t>
      </w:r>
    </w:p>
    <w:p w14:paraId="1FFE4E59" w14:textId="77777777" w:rsidR="00362B16" w:rsidRPr="00362B16" w:rsidRDefault="00362B16" w:rsidP="00362B16">
      <w:pPr>
        <w:pStyle w:val="Textonotapie"/>
        <w:ind w:firstLine="709"/>
        <w:jc w:val="both"/>
        <w:rPr>
          <w:rFonts w:ascii="Arial" w:hAnsi="Arial" w:cs="Arial"/>
          <w:sz w:val="16"/>
          <w:szCs w:val="16"/>
          <w:lang w:val="es-ES"/>
        </w:rPr>
      </w:pPr>
      <w:r w:rsidRPr="00362B16">
        <w:rPr>
          <w:rFonts w:ascii="Arial" w:eastAsia="Times New Roman" w:hAnsi="Arial" w:cs="Arial"/>
          <w:sz w:val="16"/>
          <w:szCs w:val="16"/>
          <w:lang w:val="es-CO" w:eastAsia="es-ES_tradnl"/>
        </w:rPr>
        <w:t>«</w:t>
      </w:r>
      <w:r w:rsidRPr="00362B16">
        <w:rPr>
          <w:rFonts w:ascii="Arial" w:hAnsi="Arial" w:cs="Arial"/>
          <w:sz w:val="16"/>
          <w:szCs w:val="16"/>
          <w:lang w:val="es-ES"/>
        </w:rPr>
        <w:t xml:space="preserve">Artículo 11. Subdirección de Gestión Contractual. Son funciones de la Subdirección de Gestión Contractual las siguientes: </w:t>
      </w:r>
    </w:p>
    <w:p w14:paraId="7A1068A5" w14:textId="77777777" w:rsidR="00362B16" w:rsidRPr="00362B16" w:rsidRDefault="00362B16" w:rsidP="00362B16">
      <w:pPr>
        <w:pStyle w:val="Textonotapie"/>
        <w:ind w:firstLine="709"/>
        <w:jc w:val="both"/>
        <w:rPr>
          <w:rFonts w:ascii="Arial" w:hAnsi="Arial" w:cs="Arial"/>
          <w:sz w:val="16"/>
          <w:szCs w:val="16"/>
          <w:lang w:val="es-ES"/>
        </w:rPr>
      </w:pPr>
      <w:r w:rsidRPr="00362B16">
        <w:rPr>
          <w:rFonts w:ascii="Arial" w:hAnsi="Arial" w:cs="Arial"/>
          <w:sz w:val="16"/>
          <w:szCs w:val="16"/>
          <w:lang w:val="es-ES"/>
        </w:rPr>
        <w:t xml:space="preserve">»[...] </w:t>
      </w:r>
    </w:p>
    <w:p w14:paraId="628B8A9C" w14:textId="77777777" w:rsidR="00362B16" w:rsidRPr="00362B16" w:rsidRDefault="00362B16" w:rsidP="00362B16">
      <w:pPr>
        <w:pStyle w:val="Textonotapie"/>
        <w:ind w:firstLine="708"/>
        <w:jc w:val="both"/>
        <w:rPr>
          <w:rFonts w:ascii="Arial" w:hAnsi="Arial" w:cs="Arial"/>
          <w:sz w:val="16"/>
          <w:szCs w:val="16"/>
          <w:lang w:val="es-ES"/>
        </w:rPr>
      </w:pPr>
      <w:r w:rsidRPr="00362B16">
        <w:rPr>
          <w:rFonts w:ascii="Arial" w:eastAsia="Times New Roman" w:hAnsi="Arial" w:cs="Arial"/>
          <w:sz w:val="16"/>
          <w:szCs w:val="16"/>
          <w:lang w:val="es-CO" w:eastAsia="es-ES_tradnl"/>
        </w:rPr>
        <w:t>»</w:t>
      </w:r>
      <w:r w:rsidRPr="00362B16">
        <w:rPr>
          <w:rFonts w:ascii="Arial" w:hAnsi="Arial" w:cs="Arial"/>
          <w:sz w:val="16"/>
          <w:szCs w:val="16"/>
          <w:lang w:val="es-ES"/>
        </w:rPr>
        <w:t>8. Absolver consultas sobre la aplicación de normas de carácter general».</w:t>
      </w:r>
    </w:p>
    <w:p w14:paraId="1E516880" w14:textId="77777777" w:rsidR="00362B16" w:rsidRPr="00362B16" w:rsidRDefault="00362B16" w:rsidP="00362B16">
      <w:pPr>
        <w:pStyle w:val="Textonotapie"/>
        <w:ind w:firstLine="708"/>
        <w:jc w:val="both"/>
        <w:rPr>
          <w:rFonts w:ascii="Arial" w:hAnsi="Arial" w:cs="Arial"/>
          <w:sz w:val="16"/>
          <w:szCs w:val="16"/>
        </w:rPr>
      </w:pPr>
    </w:p>
  </w:footnote>
  <w:footnote w:id="3">
    <w:p w14:paraId="3422CA92" w14:textId="77777777" w:rsidR="00362B16" w:rsidRPr="00362B16" w:rsidRDefault="00362B16" w:rsidP="00362B16">
      <w:pPr>
        <w:pStyle w:val="Textonotapie"/>
        <w:ind w:firstLine="708"/>
        <w:jc w:val="both"/>
        <w:rPr>
          <w:rFonts w:ascii="Arial" w:hAnsi="Arial" w:cs="Arial"/>
          <w:sz w:val="16"/>
          <w:szCs w:val="16"/>
          <w:lang w:val="es-CO"/>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p w14:paraId="35C2153D" w14:textId="77777777" w:rsidR="00362B16" w:rsidRPr="00362B16" w:rsidRDefault="00362B16" w:rsidP="00362B16">
      <w:pPr>
        <w:pStyle w:val="Textonotapie"/>
        <w:ind w:firstLine="708"/>
        <w:jc w:val="both"/>
        <w:rPr>
          <w:rFonts w:ascii="Arial" w:hAnsi="Arial" w:cs="Arial"/>
          <w:sz w:val="16"/>
          <w:szCs w:val="16"/>
        </w:rPr>
      </w:pPr>
    </w:p>
  </w:footnote>
  <w:footnote w:id="4">
    <w:p w14:paraId="718F6CFE" w14:textId="77777777" w:rsidR="00251FB2" w:rsidRPr="00725BCA" w:rsidRDefault="00251FB2" w:rsidP="00251FB2">
      <w:pPr>
        <w:pStyle w:val="Textonotapie"/>
        <w:ind w:firstLine="708"/>
        <w:contextualSpacing/>
        <w:jc w:val="both"/>
        <w:rPr>
          <w:rFonts w:ascii="Arial" w:hAnsi="Arial" w:cs="Arial"/>
          <w:sz w:val="19"/>
          <w:szCs w:val="19"/>
        </w:rPr>
      </w:pPr>
      <w:r w:rsidRPr="00725BCA">
        <w:rPr>
          <w:rStyle w:val="Refdenotaalpie"/>
          <w:rFonts w:ascii="Arial" w:hAnsi="Arial" w:cs="Arial"/>
          <w:sz w:val="19"/>
          <w:szCs w:val="19"/>
        </w:rPr>
        <w:footnoteRef/>
      </w:r>
      <w:r w:rsidRPr="00725BCA">
        <w:rPr>
          <w:rFonts w:ascii="Arial" w:hAnsi="Arial" w:cs="Arial"/>
          <w:sz w:val="19"/>
          <w:szCs w:val="19"/>
        </w:rPr>
        <w:t xml:space="preserve"> Los conceptos indicados pueden consultarse en el siguiente enlace: </w:t>
      </w:r>
      <w:hyperlink r:id="rId1" w:history="1">
        <w:r w:rsidRPr="00725BCA">
          <w:rPr>
            <w:rStyle w:val="Hipervnculo"/>
            <w:rFonts w:ascii="Arial" w:hAnsi="Arial" w:cs="Arial"/>
            <w:sz w:val="19"/>
            <w:szCs w:val="19"/>
          </w:rPr>
          <w:t>https://relatoria.colombiacompra.gov.co/busqueda/conceptos</w:t>
        </w:r>
      </w:hyperlink>
      <w:r w:rsidRPr="00725BCA">
        <w:rPr>
          <w:rFonts w:ascii="Arial" w:hAnsi="Arial" w:cs="Arial"/>
          <w:sz w:val="19"/>
          <w:szCs w:val="19"/>
        </w:rPr>
        <w:t>.</w:t>
      </w:r>
    </w:p>
    <w:p w14:paraId="26553BFE" w14:textId="77777777" w:rsidR="00251FB2" w:rsidRPr="00725BCA" w:rsidRDefault="00251FB2" w:rsidP="00251FB2">
      <w:pPr>
        <w:pStyle w:val="Textonotapie"/>
        <w:ind w:firstLine="708"/>
        <w:contextualSpacing/>
        <w:jc w:val="both"/>
        <w:rPr>
          <w:rFonts w:ascii="Arial" w:hAnsi="Arial" w:cs="Arial"/>
          <w:sz w:val="19"/>
          <w:szCs w:val="19"/>
        </w:rPr>
      </w:pPr>
    </w:p>
  </w:footnote>
  <w:footnote w:id="5">
    <w:p w14:paraId="71B58299" w14:textId="77777777" w:rsidR="00362B16" w:rsidRPr="00362B16" w:rsidRDefault="00362B16" w:rsidP="00362B16">
      <w:pPr>
        <w:pStyle w:val="Textonotapie"/>
        <w:ind w:firstLine="708"/>
        <w:jc w:val="both"/>
        <w:rPr>
          <w:rStyle w:val="Hipervnculo1"/>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Texto del Proyecto de Ley 122 de 2020 Cámara. Exposición de motivos. Consultado el 29 de diciembre de 2021 en la página web: </w:t>
      </w:r>
      <w:hyperlink r:id="rId2" w:history="1">
        <w:r w:rsidRPr="00362B16">
          <w:rPr>
            <w:rStyle w:val="Hipervnculo1"/>
            <w:rFonts w:ascii="Arial" w:hAnsi="Arial" w:cs="Arial"/>
            <w:sz w:val="16"/>
            <w:szCs w:val="16"/>
          </w:rPr>
          <w:t>http://leyes.senado.gov.co/proyectos/index.php/textos-radicados-senado/p-ley-2020-2021/1957-proyecto-de-ley-161-de-2020</w:t>
        </w:r>
      </w:hyperlink>
    </w:p>
    <w:p w14:paraId="5B6025AF" w14:textId="77777777" w:rsidR="00362B16" w:rsidRPr="00362B16" w:rsidRDefault="00362B16" w:rsidP="00362B16">
      <w:pPr>
        <w:pStyle w:val="Textonotapie"/>
        <w:ind w:firstLine="708"/>
        <w:jc w:val="both"/>
        <w:rPr>
          <w:rFonts w:ascii="Arial" w:hAnsi="Arial" w:cs="Arial"/>
          <w:sz w:val="16"/>
          <w:szCs w:val="16"/>
        </w:rPr>
      </w:pPr>
    </w:p>
  </w:footnote>
  <w:footnote w:id="6">
    <w:p w14:paraId="12929F64" w14:textId="77777777" w:rsidR="00362B16" w:rsidRPr="00362B16" w:rsidRDefault="00362B16" w:rsidP="00362B16">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2 al 29.</w:t>
      </w:r>
    </w:p>
    <w:p w14:paraId="1DF979A0" w14:textId="77777777" w:rsidR="00362B16" w:rsidRPr="00362B16" w:rsidRDefault="00362B16" w:rsidP="00362B16">
      <w:pPr>
        <w:pStyle w:val="Textonotapie"/>
        <w:ind w:firstLine="709"/>
        <w:jc w:val="both"/>
        <w:rPr>
          <w:rFonts w:ascii="Arial" w:hAnsi="Arial" w:cs="Arial"/>
          <w:sz w:val="16"/>
          <w:szCs w:val="16"/>
          <w:lang w:val="es-ES"/>
        </w:rPr>
      </w:pPr>
    </w:p>
  </w:footnote>
  <w:footnote w:id="7">
    <w:p w14:paraId="06BBAEBE" w14:textId="77777777" w:rsidR="00362B16" w:rsidRPr="00362B16" w:rsidRDefault="00362B16" w:rsidP="00362B16">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30 al 36.</w:t>
      </w:r>
    </w:p>
    <w:p w14:paraId="692B6AAA" w14:textId="77777777" w:rsidR="00362B16" w:rsidRPr="00362B16" w:rsidRDefault="00362B16" w:rsidP="00362B16">
      <w:pPr>
        <w:pStyle w:val="Textonotapie"/>
        <w:ind w:firstLine="709"/>
        <w:jc w:val="both"/>
        <w:rPr>
          <w:rFonts w:ascii="Arial" w:hAnsi="Arial" w:cs="Arial"/>
          <w:sz w:val="16"/>
          <w:szCs w:val="16"/>
          <w:lang w:val="es-ES"/>
        </w:rPr>
      </w:pPr>
    </w:p>
  </w:footnote>
  <w:footnote w:id="8">
    <w:p w14:paraId="41A7EC13" w14:textId="77777777" w:rsidR="00362B16" w:rsidRPr="00362B16" w:rsidRDefault="00362B16" w:rsidP="00362B16">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37 al 45.</w:t>
      </w:r>
    </w:p>
    <w:p w14:paraId="62187974" w14:textId="77777777" w:rsidR="00362B16" w:rsidRPr="00362B16" w:rsidRDefault="00362B16" w:rsidP="00362B16">
      <w:pPr>
        <w:pStyle w:val="Textonotapie"/>
        <w:ind w:firstLine="709"/>
        <w:jc w:val="both"/>
        <w:rPr>
          <w:rFonts w:ascii="Arial" w:hAnsi="Arial" w:cs="Arial"/>
          <w:sz w:val="16"/>
          <w:szCs w:val="16"/>
          <w:lang w:val="es-ES"/>
        </w:rPr>
      </w:pPr>
    </w:p>
  </w:footnote>
  <w:footnote w:id="9">
    <w:p w14:paraId="5FF84E33" w14:textId="77777777" w:rsidR="00362B16" w:rsidRPr="00362B16" w:rsidRDefault="00362B16" w:rsidP="00362B16">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46 al 73.</w:t>
      </w:r>
    </w:p>
    <w:p w14:paraId="53DCEC6B" w14:textId="77777777" w:rsidR="00362B16" w:rsidRPr="00362B16" w:rsidRDefault="00362B16" w:rsidP="00362B16">
      <w:pPr>
        <w:pStyle w:val="Textonotapie"/>
        <w:ind w:firstLine="709"/>
        <w:jc w:val="both"/>
        <w:rPr>
          <w:rFonts w:ascii="Arial" w:hAnsi="Arial" w:cs="Arial"/>
          <w:sz w:val="16"/>
          <w:szCs w:val="16"/>
          <w:lang w:val="es-ES"/>
        </w:rPr>
      </w:pPr>
    </w:p>
  </w:footnote>
  <w:footnote w:id="10">
    <w:p w14:paraId="5D66A24E" w14:textId="77777777" w:rsidR="00362B16" w:rsidRPr="00362B16" w:rsidRDefault="00362B16" w:rsidP="00362B16">
      <w:pPr>
        <w:pStyle w:val="Textonotapie"/>
        <w:ind w:firstLine="709"/>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r w:rsidRPr="00362B16">
        <w:rPr>
          <w:rFonts w:ascii="Arial" w:hAnsi="Arial" w:cs="Arial"/>
          <w:sz w:val="16"/>
          <w:szCs w:val="16"/>
          <w:lang w:val="es-ES"/>
        </w:rPr>
        <w:t>Artículos 74 al 83.</w:t>
      </w:r>
    </w:p>
    <w:p w14:paraId="456D7795" w14:textId="77777777" w:rsidR="00362B16" w:rsidRPr="00362B16" w:rsidRDefault="00362B16" w:rsidP="00362B16">
      <w:pPr>
        <w:pStyle w:val="Textonotapie"/>
        <w:ind w:firstLine="709"/>
        <w:jc w:val="both"/>
        <w:rPr>
          <w:rFonts w:ascii="Arial" w:hAnsi="Arial" w:cs="Arial"/>
          <w:sz w:val="16"/>
          <w:szCs w:val="16"/>
          <w:lang w:val="es-ES"/>
        </w:rPr>
      </w:pPr>
    </w:p>
  </w:footnote>
  <w:footnote w:id="11">
    <w:p w14:paraId="13916287" w14:textId="77777777" w:rsidR="00362B16" w:rsidRPr="00362B16" w:rsidRDefault="00362B16" w:rsidP="00362B16">
      <w:pPr>
        <w:pStyle w:val="Textonotapie"/>
        <w:ind w:firstLine="708"/>
        <w:jc w:val="both"/>
        <w:rPr>
          <w:rFonts w:ascii="Arial" w:hAnsi="Arial" w:cs="Arial"/>
          <w:sz w:val="16"/>
          <w:szCs w:val="16"/>
          <w:lang w:val="es-ES"/>
        </w:rPr>
      </w:pPr>
      <w:r w:rsidRPr="00362B16">
        <w:rPr>
          <w:rStyle w:val="Refdenotaalpie"/>
          <w:rFonts w:ascii="Arial" w:hAnsi="Arial" w:cs="Arial"/>
          <w:sz w:val="16"/>
          <w:szCs w:val="16"/>
        </w:rPr>
        <w:footnoteRef/>
      </w:r>
      <w:r w:rsidRPr="00362B16">
        <w:rPr>
          <w:rFonts w:ascii="Arial" w:hAnsi="Arial" w:cs="Arial"/>
          <w:sz w:val="16"/>
          <w:szCs w:val="16"/>
        </w:rPr>
        <w:t xml:space="preserve"> </w:t>
      </w:r>
      <w:bookmarkStart w:id="4" w:name="_Hlk63862868"/>
      <w:r w:rsidRPr="00362B16">
        <w:rPr>
          <w:rFonts w:ascii="Arial" w:hAnsi="Arial" w:cs="Arial"/>
          <w:sz w:val="16"/>
          <w:szCs w:val="16"/>
        </w:rPr>
        <w:t xml:space="preserve">CONGRESO DE LA REPÚBLICA. Gaceta No. 670 del 11 de agosto de 2020. Exposición de motivos del Proyecto de Ley No. 122 de 2020 Cámara. p. 13. </w:t>
      </w:r>
      <w:bookmarkEnd w:id="4"/>
    </w:p>
  </w:footnote>
  <w:footnote w:id="12">
    <w:p w14:paraId="4B7D8EE3" w14:textId="77777777" w:rsidR="00362B16" w:rsidRPr="00362B16" w:rsidRDefault="00362B16" w:rsidP="00362B16">
      <w:pPr>
        <w:pStyle w:val="Textonotapie"/>
        <w:ind w:firstLine="709"/>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2ADF7CFF" w14:textId="77777777" w:rsidR="00362B16" w:rsidRPr="00362B16" w:rsidRDefault="00362B16" w:rsidP="00362B16">
      <w:pPr>
        <w:pStyle w:val="Textonotapie"/>
        <w:ind w:firstLine="708"/>
        <w:jc w:val="both"/>
        <w:rPr>
          <w:rFonts w:ascii="Arial" w:hAnsi="Arial" w:cs="Arial"/>
          <w:sz w:val="16"/>
          <w:szCs w:val="16"/>
        </w:rPr>
      </w:pPr>
      <w:r w:rsidRPr="00362B16">
        <w:rPr>
          <w:rFonts w:ascii="Arial" w:hAnsi="Arial" w:cs="Arial"/>
          <w:sz w:val="16"/>
          <w:szCs w:val="16"/>
        </w:rPr>
        <w:t xml:space="preserve">»Parágrafo primero. La definición de emprendimientos y empresas de mujeres se reglamentará por el gobierno nacional».  </w:t>
      </w:r>
    </w:p>
  </w:footnote>
  <w:footnote w:id="13">
    <w:p w14:paraId="5ACB1701" w14:textId="77777777" w:rsidR="00362B16" w:rsidRPr="00362B16" w:rsidRDefault="00362B16" w:rsidP="00362B16">
      <w:pPr>
        <w:pStyle w:val="Textonotapie"/>
        <w:ind w:firstLine="709"/>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3C3E6F6F" w14:textId="77777777" w:rsidR="00362B16" w:rsidRPr="00362B16" w:rsidRDefault="00362B16" w:rsidP="00362B16">
      <w:pPr>
        <w:pStyle w:val="Textonotapie"/>
        <w:ind w:firstLine="709"/>
        <w:jc w:val="both"/>
        <w:rPr>
          <w:rFonts w:ascii="Arial" w:hAnsi="Arial" w:cs="Arial"/>
          <w:sz w:val="16"/>
          <w:szCs w:val="16"/>
        </w:rPr>
      </w:pPr>
    </w:p>
  </w:footnote>
  <w:footnote w:id="14">
    <w:p w14:paraId="4245C8A5" w14:textId="77777777" w:rsidR="00362B16" w:rsidRPr="00362B16" w:rsidRDefault="00362B16" w:rsidP="00362B16">
      <w:pPr>
        <w:pStyle w:val="NormalWeb"/>
        <w:shd w:val="clear" w:color="auto" w:fill="FFFFFF"/>
        <w:spacing w:after="0"/>
        <w:ind w:firstLine="709"/>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3" w:anchor="2.2.1.2.1.5.1" w:history="1">
        <w:r w:rsidRPr="00362B16">
          <w:rPr>
            <w:rStyle w:val="Hipervnculo1"/>
            <w:rFonts w:ascii="Arial" w:hAnsi="Arial" w:cs="Arial"/>
            <w:sz w:val="16"/>
            <w:szCs w:val="16"/>
          </w:rPr>
          <w:t>5 </w:t>
        </w:r>
      </w:hyperlink>
      <w:r w:rsidRPr="00362B16">
        <w:rPr>
          <w:rFonts w:ascii="Arial" w:hAnsi="Arial" w:cs="Arial"/>
          <w:sz w:val="16"/>
          <w:szCs w:val="16"/>
        </w:rPr>
        <w:t>de la Sección 1 del Capítulo 2 del Título 1 de la Parte 2 del Libro 2, así como los artículos </w:t>
      </w:r>
      <w:hyperlink r:id="rId4" w:anchor="2.2.1.2.4.2.2" w:history="1">
        <w:r w:rsidRPr="00362B16">
          <w:rPr>
            <w:rStyle w:val="Hipervnculo1"/>
            <w:rFonts w:ascii="Arial" w:hAnsi="Arial" w:cs="Arial"/>
            <w:sz w:val="16"/>
            <w:szCs w:val="16"/>
          </w:rPr>
          <w:t>2.2.1.2.4.2.2</w:t>
        </w:r>
      </w:hyperlink>
      <w:r w:rsidRPr="00362B16">
        <w:rPr>
          <w:rFonts w:ascii="Arial" w:hAnsi="Arial" w:cs="Arial"/>
          <w:sz w:val="16"/>
          <w:szCs w:val="16"/>
        </w:rPr>
        <w:t>., </w:t>
      </w:r>
      <w:hyperlink r:id="rId5" w:anchor="2.2.1.2.4.2.3" w:history="1">
        <w:r w:rsidRPr="00362B16">
          <w:rPr>
            <w:rStyle w:val="Hipervnculo1"/>
            <w:rFonts w:ascii="Arial" w:hAnsi="Arial" w:cs="Arial"/>
            <w:sz w:val="16"/>
            <w:szCs w:val="16"/>
          </w:rPr>
          <w:t>2.2.1.2.4.2.3</w:t>
        </w:r>
      </w:hyperlink>
      <w:r w:rsidRPr="00362B16">
        <w:rPr>
          <w:rFonts w:ascii="Arial" w:hAnsi="Arial" w:cs="Arial"/>
          <w:sz w:val="16"/>
          <w:szCs w:val="16"/>
        </w:rPr>
        <w:t>., </w:t>
      </w:r>
      <w:hyperlink r:id="rId6" w:anchor="2.2.1.2.4.2.4" w:history="1">
        <w:r w:rsidRPr="00362B16">
          <w:rPr>
            <w:rStyle w:val="Hipervnculo1"/>
            <w:rFonts w:ascii="Arial" w:hAnsi="Arial" w:cs="Arial"/>
            <w:sz w:val="16"/>
            <w:szCs w:val="16"/>
          </w:rPr>
          <w:t>2.2.1.2.4.2.4</w:t>
        </w:r>
      </w:hyperlink>
      <w:r w:rsidRPr="00362B16">
        <w:rPr>
          <w:rFonts w:ascii="Arial" w:hAnsi="Arial" w:cs="Arial"/>
          <w:sz w:val="16"/>
          <w:szCs w:val="16"/>
        </w:rPr>
        <w:t>., </w:t>
      </w:r>
      <w:hyperlink r:id="rId7" w:anchor="2.2.1.2.1.2.2" w:history="1">
        <w:r w:rsidRPr="00362B16">
          <w:rPr>
            <w:rStyle w:val="Hipervnculo1"/>
            <w:rFonts w:ascii="Arial" w:hAnsi="Arial" w:cs="Arial"/>
            <w:sz w:val="16"/>
            <w:szCs w:val="16"/>
          </w:rPr>
          <w:t>2.2.1.2.1.2.2</w:t>
        </w:r>
      </w:hyperlink>
      <w:r w:rsidRPr="00362B16">
        <w:rPr>
          <w:rFonts w:ascii="Arial" w:hAnsi="Arial" w:cs="Arial"/>
          <w:sz w:val="16"/>
          <w:szCs w:val="16"/>
        </w:rPr>
        <w:t xml:space="preserve"> y </w:t>
      </w:r>
      <w:hyperlink r:id="rId8" w:anchor="2.2.1.2.4.2.8" w:history="1">
        <w:r w:rsidRPr="00362B16">
          <w:rPr>
            <w:rStyle w:val="Hipervnculo1"/>
            <w:rFonts w:ascii="Arial" w:hAnsi="Arial" w:cs="Arial"/>
            <w:sz w:val="16"/>
            <w:szCs w:val="16"/>
          </w:rPr>
          <w:t>2.2.1.2.4.2.8</w:t>
        </w:r>
      </w:hyperlink>
      <w:r w:rsidRPr="00362B16">
        <w:rPr>
          <w:rFonts w:ascii="Arial" w:hAnsi="Arial" w:cs="Arial"/>
          <w:sz w:val="16"/>
          <w:szCs w:val="16"/>
        </w:rPr>
        <w:t>.; adiciona los artículos </w:t>
      </w:r>
      <w:hyperlink r:id="rId9" w:anchor="2.2.1.2.4.2.14" w:history="1">
        <w:r w:rsidRPr="00362B16">
          <w:rPr>
            <w:rStyle w:val="Hipervnculo1"/>
            <w:rFonts w:ascii="Arial" w:hAnsi="Arial" w:cs="Arial"/>
            <w:sz w:val="16"/>
            <w:szCs w:val="16"/>
          </w:rPr>
          <w:t>2.2.1.2.4.2.14</w:t>
        </w:r>
      </w:hyperlink>
      <w:r w:rsidRPr="00362B16">
        <w:rPr>
          <w:rFonts w:ascii="Arial" w:hAnsi="Arial" w:cs="Arial"/>
          <w:sz w:val="16"/>
          <w:szCs w:val="16"/>
        </w:rPr>
        <w:t>., </w:t>
      </w:r>
      <w:hyperlink r:id="rId10" w:anchor="2.2.1.2.4.2.15" w:history="1">
        <w:r w:rsidRPr="00362B16">
          <w:rPr>
            <w:rStyle w:val="Hipervnculo1"/>
            <w:rFonts w:ascii="Arial" w:hAnsi="Arial" w:cs="Arial"/>
            <w:sz w:val="16"/>
            <w:szCs w:val="16"/>
          </w:rPr>
          <w:t>2.2.1.2.4.2.15</w:t>
        </w:r>
      </w:hyperlink>
      <w:r w:rsidRPr="00362B16">
        <w:rPr>
          <w:rFonts w:ascii="Arial" w:hAnsi="Arial" w:cs="Arial"/>
          <w:sz w:val="16"/>
          <w:szCs w:val="16"/>
        </w:rPr>
        <w:t>., </w:t>
      </w:r>
      <w:hyperlink r:id="rId11" w:anchor="2.2.1.2.4.2.16" w:history="1">
        <w:r w:rsidRPr="00362B16">
          <w:rPr>
            <w:rStyle w:val="Hipervnculo1"/>
            <w:rFonts w:ascii="Arial" w:hAnsi="Arial" w:cs="Arial"/>
            <w:sz w:val="16"/>
            <w:szCs w:val="16"/>
          </w:rPr>
          <w:t>2.2.1.2.4.2.16</w:t>
        </w:r>
      </w:hyperlink>
      <w:r w:rsidRPr="00362B16">
        <w:rPr>
          <w:rFonts w:ascii="Arial" w:hAnsi="Arial" w:cs="Arial"/>
          <w:sz w:val="16"/>
          <w:szCs w:val="16"/>
        </w:rPr>
        <w:t>., </w:t>
      </w:r>
      <w:hyperlink r:id="rId12" w:anchor="2.2.1.2.4.2.17" w:history="1">
        <w:r w:rsidRPr="00362B16">
          <w:rPr>
            <w:rStyle w:val="Hipervnculo1"/>
            <w:rFonts w:ascii="Arial" w:hAnsi="Arial" w:cs="Arial"/>
            <w:sz w:val="16"/>
            <w:szCs w:val="16"/>
          </w:rPr>
          <w:t>2.2.1.2.4.2.17</w:t>
        </w:r>
      </w:hyperlink>
      <w:r w:rsidRPr="00362B16">
        <w:rPr>
          <w:rFonts w:ascii="Arial" w:hAnsi="Arial" w:cs="Arial"/>
          <w:sz w:val="16"/>
          <w:szCs w:val="16"/>
        </w:rPr>
        <w:t>. y </w:t>
      </w:r>
      <w:hyperlink r:id="rId13" w:anchor="2.2.1.2.4.2.18" w:history="1">
        <w:r w:rsidRPr="00362B16">
          <w:rPr>
            <w:rStyle w:val="Hipervnculo1"/>
            <w:rFonts w:ascii="Arial" w:hAnsi="Arial" w:cs="Arial"/>
            <w:sz w:val="16"/>
            <w:szCs w:val="16"/>
          </w:rPr>
          <w:t>2.2.1.2.4.2.18</w:t>
        </w:r>
      </w:hyperlink>
      <w:r w:rsidRPr="00362B16">
        <w:rPr>
          <w:rFonts w:ascii="Arial" w:hAnsi="Arial" w:cs="Arial"/>
          <w:sz w:val="16"/>
          <w:szCs w:val="16"/>
        </w:rPr>
        <w:t>.; adiciona un </w:t>
      </w:r>
      <w:hyperlink r:id="rId14" w:anchor="2.2.1.2.3.1.9.p" w:history="1">
        <w:r w:rsidRPr="00362B16">
          <w:rPr>
            <w:rStyle w:val="Hipervnculo1"/>
            <w:rFonts w:ascii="Arial" w:hAnsi="Arial" w:cs="Arial"/>
            <w:sz w:val="16"/>
            <w:szCs w:val="16"/>
          </w:rPr>
          <w:t>parágrafo </w:t>
        </w:r>
      </w:hyperlink>
      <w:r w:rsidRPr="00362B16">
        <w:rPr>
          <w:rFonts w:ascii="Arial" w:hAnsi="Arial" w:cs="Arial"/>
          <w:sz w:val="16"/>
          <w:szCs w:val="16"/>
        </w:rPr>
        <w:t>al artículo </w:t>
      </w:r>
      <w:hyperlink r:id="rId15" w:anchor="2.2.1.2.3.1.9" w:history="1">
        <w:r w:rsidRPr="00362B16">
          <w:rPr>
            <w:rStyle w:val="Hipervnculo1"/>
            <w:rFonts w:ascii="Arial" w:hAnsi="Arial" w:cs="Arial"/>
            <w:sz w:val="16"/>
            <w:szCs w:val="16"/>
          </w:rPr>
          <w:t>2.2.1.2.3.1.9</w:t>
        </w:r>
      </w:hyperlink>
      <w:r w:rsidRPr="00362B16">
        <w:rPr>
          <w:rFonts w:ascii="Arial" w:hAnsi="Arial" w:cs="Arial"/>
          <w:sz w:val="16"/>
          <w:szCs w:val="16"/>
        </w:rPr>
        <w:t>; y deroga el artículo </w:t>
      </w:r>
      <w:hyperlink r:id="rId16" w:anchor="2.2.1.1.2.2.9" w:history="1">
        <w:r w:rsidRPr="00362B16">
          <w:rPr>
            <w:rStyle w:val="Hipervnculo1"/>
            <w:rFonts w:ascii="Arial" w:hAnsi="Arial" w:cs="Arial"/>
            <w:sz w:val="16"/>
            <w:szCs w:val="16"/>
          </w:rPr>
          <w:t>2.2.1.1.2.2.9</w:t>
        </w:r>
      </w:hyperlink>
      <w:r w:rsidRPr="00362B16">
        <w:rPr>
          <w:rFonts w:ascii="Arial" w:hAnsi="Arial" w:cs="Arial"/>
          <w:sz w:val="16"/>
          <w:szCs w:val="16"/>
        </w:rPr>
        <w:t>. del Decreto 1082 de 2015, Único Reglamentario del Sector Administrativo de Planeación Nacional.</w:t>
      </w:r>
    </w:p>
    <w:p w14:paraId="0A2F3B2F" w14:textId="77777777" w:rsidR="00362B16" w:rsidRPr="00362B16" w:rsidRDefault="00362B16" w:rsidP="00362B16">
      <w:pPr>
        <w:pStyle w:val="NormalWeb"/>
        <w:shd w:val="clear" w:color="auto" w:fill="FFFFFF"/>
        <w:spacing w:after="0"/>
        <w:jc w:val="both"/>
        <w:rPr>
          <w:rFonts w:ascii="Arial" w:hAnsi="Arial" w:cs="Arial"/>
          <w:sz w:val="16"/>
          <w:szCs w:val="16"/>
        </w:rPr>
      </w:pPr>
      <w:r w:rsidRPr="00362B16">
        <w:rPr>
          <w:rFonts w:ascii="Arial" w:hAnsi="Arial" w:cs="Arial"/>
          <w:b/>
          <w:bCs/>
          <w:sz w:val="16"/>
          <w:szCs w:val="16"/>
        </w:rPr>
        <w:t> </w:t>
      </w:r>
      <w:r w:rsidRPr="00362B16">
        <w:rPr>
          <w:rFonts w:ascii="Arial" w:hAnsi="Arial" w:cs="Arial"/>
          <w:b/>
          <w:bCs/>
          <w:sz w:val="16"/>
          <w:szCs w:val="16"/>
        </w:rPr>
        <w:tab/>
        <w:t>»</w:t>
      </w:r>
      <w:r w:rsidRPr="00362B16">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50FE3A5D" w14:textId="77777777" w:rsidR="00362B16" w:rsidRPr="00362B16" w:rsidRDefault="00362B16" w:rsidP="00362B16">
      <w:pPr>
        <w:pStyle w:val="NormalWeb"/>
        <w:shd w:val="clear" w:color="auto" w:fill="FFFFFF"/>
        <w:spacing w:after="0"/>
        <w:jc w:val="both"/>
        <w:rPr>
          <w:rFonts w:ascii="Arial" w:hAnsi="Arial" w:cs="Arial"/>
          <w:sz w:val="16"/>
          <w:szCs w:val="16"/>
        </w:rPr>
      </w:pPr>
      <w:r w:rsidRPr="00362B16">
        <w:rPr>
          <w:rFonts w:ascii="Arial" w:hAnsi="Arial" w:cs="Arial"/>
          <w:sz w:val="16"/>
          <w:szCs w:val="16"/>
        </w:rPr>
        <w:t> </w:t>
      </w:r>
      <w:r w:rsidRPr="00362B16">
        <w:rPr>
          <w:rFonts w:ascii="Arial" w:hAnsi="Arial" w:cs="Arial"/>
          <w:sz w:val="16"/>
          <w:szCs w:val="16"/>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5">
    <w:p w14:paraId="2362E43E" w14:textId="77777777" w:rsidR="00C94ED0" w:rsidRPr="004F34AA" w:rsidRDefault="00C94ED0" w:rsidP="00C94ED0">
      <w:pPr>
        <w:pStyle w:val="NormalWeb"/>
        <w:spacing w:after="0"/>
        <w:ind w:firstLine="708"/>
        <w:jc w:val="both"/>
        <w:rPr>
          <w:rFonts w:ascii="Arial" w:hAnsi="Arial" w:cs="Arial"/>
          <w:sz w:val="19"/>
          <w:szCs w:val="19"/>
          <w:lang w:val="es-MX"/>
        </w:rPr>
      </w:pPr>
      <w:r w:rsidRPr="004F34AA">
        <w:rPr>
          <w:rStyle w:val="Refdenotaalpie"/>
          <w:rFonts w:ascii="Arial" w:hAnsi="Arial" w:cs="Arial"/>
          <w:sz w:val="19"/>
          <w:szCs w:val="19"/>
          <w:lang w:val="es-MX"/>
        </w:rPr>
        <w:footnoteRef/>
      </w:r>
      <w:r w:rsidRPr="004F34AA">
        <w:rPr>
          <w:rStyle w:val="Refdenotaalpie"/>
          <w:rFonts w:ascii="Arial" w:hAnsi="Arial" w:cs="Arial"/>
          <w:sz w:val="19"/>
          <w:szCs w:val="19"/>
          <w:lang w:val="es-MX"/>
        </w:rPr>
        <w:t xml:space="preserve"> </w:t>
      </w:r>
      <w:r w:rsidRPr="004F34AA">
        <w:rPr>
          <w:rFonts w:ascii="Arial" w:hAnsi="Arial" w:cs="Arial"/>
          <w:sz w:val="19"/>
          <w:szCs w:val="19"/>
          <w:lang w:val="es-MX"/>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23DADCCA" w14:textId="77777777" w:rsidR="00C94ED0" w:rsidRPr="004F34AA" w:rsidRDefault="00C94ED0" w:rsidP="00C94ED0">
      <w:pPr>
        <w:ind w:left="709"/>
        <w:jc w:val="both"/>
        <w:rPr>
          <w:rFonts w:ascii="Arial" w:hAnsi="Arial" w:cs="Arial"/>
          <w:sz w:val="19"/>
          <w:szCs w:val="19"/>
          <w:lang w:val="es-MX"/>
        </w:rPr>
      </w:pPr>
      <w:r w:rsidRPr="004F34AA">
        <w:rPr>
          <w:rFonts w:ascii="Arial" w:hAnsi="Arial" w:cs="Arial"/>
          <w:sz w:val="19"/>
          <w:szCs w:val="19"/>
          <w:lang w:val="es-MX"/>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1E55090D" w14:textId="77777777" w:rsidR="00C94ED0" w:rsidRPr="004F34AA" w:rsidRDefault="00C94ED0" w:rsidP="00C94ED0">
      <w:pPr>
        <w:ind w:left="709"/>
        <w:jc w:val="both"/>
        <w:rPr>
          <w:rFonts w:ascii="Arial" w:hAnsi="Arial" w:cs="Arial"/>
          <w:sz w:val="19"/>
          <w:szCs w:val="19"/>
          <w:lang w:val="es-MX"/>
        </w:rPr>
      </w:pPr>
      <w:r w:rsidRPr="004F34AA">
        <w:rPr>
          <w:rFonts w:ascii="Arial" w:hAnsi="Arial" w:cs="Arial"/>
          <w:sz w:val="19"/>
          <w:szCs w:val="19"/>
          <w:lang w:val="es-MX"/>
        </w:rPr>
        <w:t>»b) Los intermediarios».</w:t>
      </w:r>
    </w:p>
    <w:p w14:paraId="3F48FF21" w14:textId="77777777" w:rsidR="00C94ED0" w:rsidRPr="004F34AA" w:rsidRDefault="00C94ED0" w:rsidP="00C94ED0">
      <w:pPr>
        <w:pStyle w:val="Textonotapie"/>
        <w:rPr>
          <w:rFonts w:ascii="Arial" w:hAnsi="Arial" w:cs="Arial"/>
          <w:lang w:val="es-ES"/>
        </w:rPr>
      </w:pPr>
    </w:p>
  </w:footnote>
  <w:footnote w:id="16">
    <w:p w14:paraId="37EB8FF1" w14:textId="77777777" w:rsidR="005761EF" w:rsidRPr="00DC7F39" w:rsidRDefault="005761EF" w:rsidP="005761EF">
      <w:pPr>
        <w:pStyle w:val="Textonotapie"/>
        <w:ind w:firstLine="708"/>
        <w:contextualSpacing/>
        <w:jc w:val="both"/>
        <w:rPr>
          <w:rFonts w:ascii="Arial" w:hAnsi="Arial" w:cs="Arial"/>
          <w:sz w:val="19"/>
          <w:szCs w:val="19"/>
          <w:lang w:val="es-ES"/>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w:t>
      </w:r>
      <w:r w:rsidRPr="00DC7F39">
        <w:rPr>
          <w:rFonts w:ascii="Arial" w:hAnsi="Arial" w:cs="Arial"/>
          <w:bCs/>
          <w:sz w:val="19"/>
          <w:szCs w:val="19"/>
          <w:lang w:val="es-ES_tradnl"/>
        </w:rPr>
        <w:t xml:space="preserve">CASTRO DE CIFUENTES, Marcela. Derecho Comercial. Actos de comercio, empresas comerciantes y empresarios. Universidad de los Andes. 2016. </w:t>
      </w:r>
      <w:r w:rsidRPr="00DC7F39">
        <w:rPr>
          <w:rFonts w:ascii="Arial" w:hAnsi="Arial" w:cs="Arial"/>
          <w:sz w:val="19"/>
          <w:szCs w:val="19"/>
          <w:lang w:val="es-ES"/>
        </w:rPr>
        <w:t>Página 18.</w:t>
      </w:r>
    </w:p>
    <w:p w14:paraId="62FDD5EF" w14:textId="77777777" w:rsidR="005761EF" w:rsidRPr="00DC7F39" w:rsidRDefault="005761EF" w:rsidP="005761EF">
      <w:pPr>
        <w:pStyle w:val="Textonotapie"/>
        <w:ind w:firstLine="708"/>
        <w:contextualSpacing/>
        <w:jc w:val="both"/>
        <w:rPr>
          <w:rFonts w:ascii="Arial" w:hAnsi="Arial" w:cs="Arial"/>
          <w:sz w:val="19"/>
          <w:szCs w:val="19"/>
          <w:lang w:val="es-ES"/>
        </w:rPr>
      </w:pPr>
    </w:p>
  </w:footnote>
  <w:footnote w:id="17">
    <w:p w14:paraId="3F05134E" w14:textId="77777777" w:rsidR="005761EF" w:rsidRPr="00DC7F39" w:rsidRDefault="005761EF" w:rsidP="005761EF">
      <w:pPr>
        <w:pStyle w:val="Textonotapie"/>
        <w:ind w:firstLine="708"/>
        <w:contextualSpacing/>
        <w:jc w:val="both"/>
        <w:rPr>
          <w:rFonts w:ascii="Arial" w:hAnsi="Arial" w:cs="Arial"/>
          <w:sz w:val="19"/>
          <w:szCs w:val="19"/>
        </w:rPr>
      </w:pPr>
      <w:r w:rsidRPr="00DC7F39">
        <w:rPr>
          <w:rStyle w:val="Refdenotaalpie"/>
          <w:rFonts w:ascii="Arial" w:eastAsiaTheme="majorEastAsia" w:hAnsi="Arial" w:cs="Arial"/>
          <w:sz w:val="19"/>
          <w:szCs w:val="19"/>
        </w:rPr>
        <w:footnoteRef/>
      </w:r>
      <w:r w:rsidRPr="00DC7F39">
        <w:rPr>
          <w:rFonts w:ascii="Arial" w:hAnsi="Arial" w:cs="Arial"/>
          <w:sz w:val="19"/>
          <w:szCs w:val="19"/>
        </w:rPr>
        <w:t xml:space="preserve"> Ibidem. Página 45.</w:t>
      </w:r>
    </w:p>
  </w:footnote>
  <w:footnote w:id="18">
    <w:p w14:paraId="40C27D3D" w14:textId="77777777" w:rsidR="005761EF" w:rsidRPr="00DC7F39" w:rsidRDefault="005761EF" w:rsidP="005761EF">
      <w:pPr>
        <w:pStyle w:val="Car1"/>
        <w:ind w:firstLine="709"/>
        <w:contextualSpacing/>
        <w:jc w:val="both"/>
        <w:rPr>
          <w:rFonts w:ascii="Arial" w:hAnsi="Arial" w:cs="Arial"/>
          <w:sz w:val="19"/>
          <w:szCs w:val="19"/>
        </w:rPr>
      </w:pPr>
    </w:p>
    <w:p w14:paraId="004B6834" w14:textId="77777777" w:rsidR="005761EF" w:rsidRPr="00DC7F39" w:rsidRDefault="005761EF" w:rsidP="005761EF">
      <w:pPr>
        <w:pStyle w:val="Car1"/>
        <w:ind w:firstLine="709"/>
        <w:contextualSpacing/>
        <w:jc w:val="both"/>
        <w:rPr>
          <w:rFonts w:ascii="Arial" w:hAnsi="Arial" w:cs="Arial"/>
          <w:bCs/>
          <w:sz w:val="19"/>
          <w:szCs w:val="19"/>
          <w:lang w:val="es-ES_tradnl"/>
        </w:rPr>
      </w:pPr>
      <w:r w:rsidRPr="00DC7F39">
        <w:rPr>
          <w:rStyle w:val="Refdenotaalpie"/>
          <w:rFonts w:ascii="Arial" w:hAnsi="Arial" w:cs="Arial"/>
          <w:sz w:val="19"/>
          <w:szCs w:val="19"/>
        </w:rPr>
        <w:footnoteRef/>
      </w:r>
      <w:r w:rsidRPr="00DC7F39">
        <w:rPr>
          <w:rFonts w:ascii="Arial" w:hAnsi="Arial" w:cs="Arial"/>
          <w:sz w:val="19"/>
          <w:szCs w:val="19"/>
        </w:rPr>
        <w:t xml:space="preserve"> </w:t>
      </w:r>
      <w:r w:rsidRPr="00DC7F39">
        <w:rPr>
          <w:rFonts w:ascii="Arial" w:hAnsi="Arial" w:cs="Arial"/>
          <w:sz w:val="19"/>
          <w:szCs w:val="19"/>
          <w:lang w:val="es-CO"/>
        </w:rPr>
        <w:t xml:space="preserve">Al respecto, la doctrina ha señalado que </w:t>
      </w:r>
      <w:r w:rsidRPr="00DC7F39">
        <w:rPr>
          <w:rFonts w:ascii="Arial" w:eastAsia="Calibri" w:hAnsi="Arial" w:cs="Arial"/>
          <w:bCs/>
          <w:sz w:val="19"/>
          <w:szCs w:val="19"/>
          <w:lang w:val="es-ES_tradnl"/>
        </w:rPr>
        <w:t xml:space="preserve">«inseparable del elemento objetivo – actividad económica organizada- y del subjetivo – empresario mercantil - </w:t>
      </w:r>
      <w:r w:rsidRPr="00DC7F39">
        <w:rPr>
          <w:rFonts w:ascii="Arial" w:hAnsi="Arial" w:cs="Arial"/>
          <w:sz w:val="19"/>
          <w:szCs w:val="19"/>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DC7F39">
        <w:rPr>
          <w:rFonts w:ascii="Arial" w:hAnsi="Arial" w:cs="Arial"/>
          <w:bCs/>
          <w:sz w:val="19"/>
          <w:szCs w:val="19"/>
          <w:lang w:val="es-ES_tradnl"/>
        </w:rPr>
        <w:t>actividad se realizará a través de uno o más establecimientos de comercio”</w:t>
      </w:r>
      <w:r w:rsidRPr="00DC7F39">
        <w:rPr>
          <w:rFonts w:ascii="Arial" w:eastAsia="Calibri" w:hAnsi="Arial" w:cs="Arial"/>
          <w:bCs/>
          <w:sz w:val="19"/>
          <w:szCs w:val="19"/>
          <w:lang w:val="es-ES_tradnl"/>
        </w:rPr>
        <w:t>»</w:t>
      </w:r>
      <w:r w:rsidRPr="00DC7F39">
        <w:rPr>
          <w:rFonts w:ascii="Arial" w:hAnsi="Arial" w:cs="Arial"/>
          <w:bCs/>
          <w:sz w:val="19"/>
          <w:szCs w:val="19"/>
          <w:lang w:val="es-ES_tradnl"/>
        </w:rPr>
        <w:t>. (CASTRO DE CIFUENTES, Marcela. Derecho Comercial. Actos de comercio, empresas comerciantes y empresarios. Universidad de los Andes. 2016. Pág. 109).</w:t>
      </w:r>
    </w:p>
    <w:p w14:paraId="67E93A9A" w14:textId="77777777" w:rsidR="005761EF" w:rsidRPr="00DC7F39" w:rsidRDefault="005761EF" w:rsidP="005761EF">
      <w:pPr>
        <w:pStyle w:val="Textonotapie"/>
        <w:contextualSpacing/>
        <w:jc w:val="both"/>
        <w:rPr>
          <w:rFonts w:ascii="Arial" w:hAnsi="Arial" w:cs="Arial"/>
          <w:sz w:val="19"/>
          <w:szCs w:val="19"/>
          <w:lang w:val="es-ES_tradnl"/>
        </w:rPr>
      </w:pPr>
    </w:p>
  </w:footnote>
  <w:footnote w:id="19">
    <w:p w14:paraId="450BCF51" w14:textId="77777777" w:rsidR="00362B16" w:rsidRPr="00362B16" w:rsidRDefault="00362B16" w:rsidP="00362B16">
      <w:pPr>
        <w:pStyle w:val="Textonotapie"/>
        <w:ind w:firstLine="709"/>
        <w:jc w:val="both"/>
        <w:rPr>
          <w:rFonts w:ascii="Arial" w:hAnsi="Arial" w:cs="Arial"/>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711D3F06"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»1. Tiempo de experiencia. </w:t>
      </w:r>
    </w:p>
    <w:p w14:paraId="0A07B8E7"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»2. Número de contratos para la acreditación de la experiencia. </w:t>
      </w:r>
    </w:p>
    <w:p w14:paraId="654D22CC"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»3. Índices de capacidad financiera. </w:t>
      </w:r>
    </w:p>
    <w:p w14:paraId="5B3CE4BE"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»4. Índices de capacidad organizacional. </w:t>
      </w:r>
    </w:p>
    <w:p w14:paraId="4A2037CC"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»5. Valor de la garantía de seriedad de la oferta. </w:t>
      </w:r>
    </w:p>
    <w:p w14:paraId="510960BB"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6FD0B4AE"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34B073BE"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705515AA"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B2D0C34" w14:textId="77777777" w:rsidR="00362B16" w:rsidRPr="00362B16" w:rsidRDefault="00362B16" w:rsidP="00362B16">
      <w:pPr>
        <w:pStyle w:val="Textonotapie"/>
        <w:ind w:firstLine="709"/>
        <w:jc w:val="both"/>
        <w:rPr>
          <w:rFonts w:ascii="Arial" w:hAnsi="Arial" w:cs="Arial"/>
          <w:sz w:val="16"/>
          <w:szCs w:val="16"/>
        </w:rPr>
      </w:pPr>
      <w:r w:rsidRPr="00362B16">
        <w:rPr>
          <w:rFonts w:ascii="Arial" w:hAnsi="Arial" w:cs="Arial"/>
          <w:sz w:val="16"/>
          <w:szCs w:val="16"/>
        </w:rPr>
        <w:t xml:space="preserve">»Parágrafo 2. Los incentivos contractuales para las empresas y emprendimientos de mujeres no excluyen la aplicación de los criterios diferenciales para Mipyme en el sistema de compras públicas».  </w:t>
      </w:r>
    </w:p>
  </w:footnote>
  <w:footnote w:id="20">
    <w:p w14:paraId="1593C9B1" w14:textId="77777777" w:rsidR="008D3934" w:rsidRPr="00362B16" w:rsidRDefault="008D3934" w:rsidP="008D3934">
      <w:pPr>
        <w:pStyle w:val="NormalWeb"/>
        <w:spacing w:after="0"/>
        <w:ind w:firstLine="709"/>
        <w:jc w:val="both"/>
        <w:rPr>
          <w:rFonts w:ascii="Arial" w:hAnsi="Arial" w:cs="Arial"/>
          <w:color w:val="000000"/>
          <w:sz w:val="16"/>
          <w:szCs w:val="16"/>
        </w:rPr>
      </w:pPr>
      <w:r w:rsidRPr="00362B16">
        <w:rPr>
          <w:rStyle w:val="Refdenotaalpie"/>
          <w:rFonts w:ascii="Arial" w:hAnsi="Arial" w:cs="Arial"/>
          <w:sz w:val="16"/>
          <w:szCs w:val="16"/>
        </w:rPr>
        <w:footnoteRef/>
      </w:r>
      <w:r w:rsidRPr="00362B16">
        <w:rPr>
          <w:rFonts w:ascii="Arial" w:hAnsi="Arial" w:cs="Arial"/>
          <w:sz w:val="16"/>
          <w:szCs w:val="16"/>
        </w:rPr>
        <w:t xml:space="preserve"> Código Civil Colombiano «</w:t>
      </w:r>
      <w:r w:rsidRPr="00362B16">
        <w:rPr>
          <w:rFonts w:ascii="Arial" w:hAnsi="Arial" w:cs="Arial"/>
          <w:color w:val="000000"/>
          <w:sz w:val="16"/>
          <w:szCs w:val="16"/>
        </w:rPr>
        <w:t>Artículo 27. Cuando el sentido de la ley sea claro, no se desatenderá su tenor literal a pretexto de consultar su espíritu. </w:t>
      </w:r>
    </w:p>
    <w:p w14:paraId="61AD5028" w14:textId="77777777" w:rsidR="008D3934" w:rsidRPr="00362B16" w:rsidRDefault="008D3934" w:rsidP="008D3934">
      <w:pPr>
        <w:jc w:val="both"/>
        <w:rPr>
          <w:rFonts w:ascii="Arial" w:hAnsi="Arial" w:cs="Arial"/>
          <w:color w:val="000000"/>
          <w:sz w:val="16"/>
          <w:szCs w:val="16"/>
          <w:lang w:eastAsia="es-CO"/>
        </w:rPr>
      </w:pPr>
      <w:r w:rsidRPr="00362B16">
        <w:rPr>
          <w:rFonts w:ascii="Arial" w:hAnsi="Arial" w:cs="Arial"/>
          <w:color w:val="000000"/>
          <w:sz w:val="16"/>
          <w:szCs w:val="16"/>
          <w:lang w:eastAsia="es-CO"/>
        </w:rPr>
        <w:t>  </w:t>
      </w:r>
      <w:r w:rsidRPr="00362B16">
        <w:rPr>
          <w:rFonts w:ascii="Arial" w:hAnsi="Arial" w:cs="Arial"/>
          <w:color w:val="000000"/>
          <w:sz w:val="16"/>
          <w:szCs w:val="16"/>
          <w:lang w:eastAsia="es-CO"/>
        </w:rPr>
        <w:tab/>
        <w:t>»Pero bien se puede, para interpretar una expresión </w:t>
      </w:r>
      <w:r w:rsidRPr="00362B16">
        <w:rPr>
          <w:rFonts w:ascii="Arial" w:hAnsi="Arial" w:cs="Arial"/>
          <w:i/>
          <w:iCs/>
          <w:color w:val="000000"/>
          <w:sz w:val="16"/>
          <w:szCs w:val="16"/>
          <w:lang w:eastAsia="es-CO"/>
        </w:rPr>
        <w:t>oscura</w:t>
      </w:r>
      <w:r w:rsidRPr="00362B16">
        <w:rPr>
          <w:rFonts w:ascii="Arial" w:hAnsi="Arial" w:cs="Arial"/>
          <w:color w:val="000000"/>
          <w:sz w:val="16"/>
          <w:szCs w:val="16"/>
          <w:lang w:eastAsia="es-CO"/>
        </w:rPr>
        <w:t> de la ley, recurrir a su intención o espíritu, claramente manifestados en ella misma o en la historia fidedigna de su establecimiento». </w:t>
      </w:r>
    </w:p>
    <w:p w14:paraId="50E90BF6" w14:textId="77777777" w:rsidR="008D3934" w:rsidRPr="00362B16" w:rsidRDefault="008D3934" w:rsidP="008D3934">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50E2F3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DE7A46"/>
    <w:multiLevelType w:val="hybridMultilevel"/>
    <w:tmpl w:val="6C3A8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819424152">
    <w:abstractNumId w:val="0"/>
  </w:num>
  <w:num w:numId="5" w16cid:durableId="432287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0633"/>
    <w:rsid w:val="00045BFE"/>
    <w:rsid w:val="00071557"/>
    <w:rsid w:val="0007441F"/>
    <w:rsid w:val="00083334"/>
    <w:rsid w:val="000956CF"/>
    <w:rsid w:val="00096F2D"/>
    <w:rsid w:val="000A683E"/>
    <w:rsid w:val="000B02DB"/>
    <w:rsid w:val="001058B5"/>
    <w:rsid w:val="0011595A"/>
    <w:rsid w:val="001220C5"/>
    <w:rsid w:val="001267F7"/>
    <w:rsid w:val="00127233"/>
    <w:rsid w:val="00130999"/>
    <w:rsid w:val="00164D81"/>
    <w:rsid w:val="00196521"/>
    <w:rsid w:val="001A1011"/>
    <w:rsid w:val="001A48D0"/>
    <w:rsid w:val="001F5480"/>
    <w:rsid w:val="00203F3A"/>
    <w:rsid w:val="00251FB2"/>
    <w:rsid w:val="002653C1"/>
    <w:rsid w:val="0026611D"/>
    <w:rsid w:val="00274E73"/>
    <w:rsid w:val="002951A0"/>
    <w:rsid w:val="002A64FD"/>
    <w:rsid w:val="002B77CB"/>
    <w:rsid w:val="002E4DF3"/>
    <w:rsid w:val="002F0839"/>
    <w:rsid w:val="00300843"/>
    <w:rsid w:val="00301469"/>
    <w:rsid w:val="00306EE1"/>
    <w:rsid w:val="00310B9B"/>
    <w:rsid w:val="00362B16"/>
    <w:rsid w:val="0036461C"/>
    <w:rsid w:val="00367884"/>
    <w:rsid w:val="00386698"/>
    <w:rsid w:val="0039439C"/>
    <w:rsid w:val="003B69E7"/>
    <w:rsid w:val="003C013B"/>
    <w:rsid w:val="003D0F4D"/>
    <w:rsid w:val="003F2A31"/>
    <w:rsid w:val="003F58A1"/>
    <w:rsid w:val="00410DD6"/>
    <w:rsid w:val="004134C9"/>
    <w:rsid w:val="0043138C"/>
    <w:rsid w:val="00434806"/>
    <w:rsid w:val="004552C3"/>
    <w:rsid w:val="00462A59"/>
    <w:rsid w:val="004A1847"/>
    <w:rsid w:val="004B30CD"/>
    <w:rsid w:val="004B603A"/>
    <w:rsid w:val="004B6B0E"/>
    <w:rsid w:val="004C7336"/>
    <w:rsid w:val="004D25B3"/>
    <w:rsid w:val="004D3107"/>
    <w:rsid w:val="00507F3A"/>
    <w:rsid w:val="00511405"/>
    <w:rsid w:val="00513B26"/>
    <w:rsid w:val="00526E9D"/>
    <w:rsid w:val="00547856"/>
    <w:rsid w:val="00547A74"/>
    <w:rsid w:val="005566E8"/>
    <w:rsid w:val="005746AB"/>
    <w:rsid w:val="005761EF"/>
    <w:rsid w:val="0059357F"/>
    <w:rsid w:val="0059527C"/>
    <w:rsid w:val="005A1130"/>
    <w:rsid w:val="005D65C8"/>
    <w:rsid w:val="006219F8"/>
    <w:rsid w:val="00681FDB"/>
    <w:rsid w:val="0068335E"/>
    <w:rsid w:val="006A7DAD"/>
    <w:rsid w:val="006B41F1"/>
    <w:rsid w:val="006D4F2A"/>
    <w:rsid w:val="006D70BA"/>
    <w:rsid w:val="006D72FF"/>
    <w:rsid w:val="007226D8"/>
    <w:rsid w:val="0072545C"/>
    <w:rsid w:val="007566FE"/>
    <w:rsid w:val="0076726F"/>
    <w:rsid w:val="0077144B"/>
    <w:rsid w:val="00782C25"/>
    <w:rsid w:val="00793403"/>
    <w:rsid w:val="007A5E25"/>
    <w:rsid w:val="007C0CDF"/>
    <w:rsid w:val="007D2682"/>
    <w:rsid w:val="007E2A2F"/>
    <w:rsid w:val="007F2B7C"/>
    <w:rsid w:val="00811651"/>
    <w:rsid w:val="00820F5B"/>
    <w:rsid w:val="008256D3"/>
    <w:rsid w:val="00833452"/>
    <w:rsid w:val="008614E5"/>
    <w:rsid w:val="008646EA"/>
    <w:rsid w:val="008678EB"/>
    <w:rsid w:val="008753C7"/>
    <w:rsid w:val="00875894"/>
    <w:rsid w:val="00881C10"/>
    <w:rsid w:val="00890411"/>
    <w:rsid w:val="0089770E"/>
    <w:rsid w:val="008B4D79"/>
    <w:rsid w:val="008D108E"/>
    <w:rsid w:val="008D3934"/>
    <w:rsid w:val="008D5C70"/>
    <w:rsid w:val="008E49CA"/>
    <w:rsid w:val="008E788B"/>
    <w:rsid w:val="009025AF"/>
    <w:rsid w:val="00904F23"/>
    <w:rsid w:val="00906B3C"/>
    <w:rsid w:val="00915DBE"/>
    <w:rsid w:val="00917338"/>
    <w:rsid w:val="0092130A"/>
    <w:rsid w:val="0095342C"/>
    <w:rsid w:val="00967060"/>
    <w:rsid w:val="00986D42"/>
    <w:rsid w:val="00992803"/>
    <w:rsid w:val="009C4440"/>
    <w:rsid w:val="009C7D6C"/>
    <w:rsid w:val="009F33F2"/>
    <w:rsid w:val="009F6C77"/>
    <w:rsid w:val="00A07532"/>
    <w:rsid w:val="00A1085C"/>
    <w:rsid w:val="00A309E2"/>
    <w:rsid w:val="00A640D0"/>
    <w:rsid w:val="00A8066E"/>
    <w:rsid w:val="00AA4B8A"/>
    <w:rsid w:val="00AA6BF7"/>
    <w:rsid w:val="00AB5281"/>
    <w:rsid w:val="00AD5355"/>
    <w:rsid w:val="00AE1B48"/>
    <w:rsid w:val="00B01ED6"/>
    <w:rsid w:val="00B06D09"/>
    <w:rsid w:val="00B14C87"/>
    <w:rsid w:val="00B25217"/>
    <w:rsid w:val="00B76291"/>
    <w:rsid w:val="00B771A9"/>
    <w:rsid w:val="00B809BB"/>
    <w:rsid w:val="00B8248A"/>
    <w:rsid w:val="00BB7726"/>
    <w:rsid w:val="00C2329E"/>
    <w:rsid w:val="00C27A6E"/>
    <w:rsid w:val="00C30461"/>
    <w:rsid w:val="00C30C5B"/>
    <w:rsid w:val="00C36AE6"/>
    <w:rsid w:val="00C754BE"/>
    <w:rsid w:val="00C87572"/>
    <w:rsid w:val="00C9405D"/>
    <w:rsid w:val="00C94ED0"/>
    <w:rsid w:val="00CC1B26"/>
    <w:rsid w:val="00CD284F"/>
    <w:rsid w:val="00CE2CF8"/>
    <w:rsid w:val="00CF23AA"/>
    <w:rsid w:val="00D01921"/>
    <w:rsid w:val="00D57CFD"/>
    <w:rsid w:val="00D752B7"/>
    <w:rsid w:val="00D9637E"/>
    <w:rsid w:val="00DA1854"/>
    <w:rsid w:val="00DB0887"/>
    <w:rsid w:val="00DF1E43"/>
    <w:rsid w:val="00E20894"/>
    <w:rsid w:val="00E26B7C"/>
    <w:rsid w:val="00E35F99"/>
    <w:rsid w:val="00E71609"/>
    <w:rsid w:val="00E96DBC"/>
    <w:rsid w:val="00EA3003"/>
    <w:rsid w:val="00EB3C91"/>
    <w:rsid w:val="00EB66DA"/>
    <w:rsid w:val="00EE5976"/>
    <w:rsid w:val="00F14B81"/>
    <w:rsid w:val="00F3020D"/>
    <w:rsid w:val="00F3369E"/>
    <w:rsid w:val="00F5469B"/>
    <w:rsid w:val="00F605F2"/>
    <w:rsid w:val="00F76AFC"/>
    <w:rsid w:val="00F8319B"/>
    <w:rsid w:val="00FA5516"/>
    <w:rsid w:val="00FB77BD"/>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362B16"/>
    <w:rPr>
      <w:rFonts w:ascii="Times New Roman" w:hAnsi="Times New Roman" w:cs="Times New Roman"/>
      <w:sz w:val="24"/>
      <w:szCs w:val="24"/>
    </w:rPr>
  </w:style>
  <w:style w:type="character" w:customStyle="1" w:styleId="Hipervnculo1">
    <w:name w:val="Hipervínculo1"/>
    <w:basedOn w:val="Fuentedeprrafopredeter"/>
    <w:uiPriority w:val="99"/>
    <w:unhideWhenUsed/>
    <w:rsid w:val="00362B16"/>
    <w:rPr>
      <w:color w:val="F2F2F2"/>
      <w:u w:val="single"/>
    </w:rPr>
  </w:style>
  <w:style w:type="paragraph" w:customStyle="1" w:styleId="Appelnotedebasde">
    <w:name w:val="Appel note de bas de..."/>
    <w:basedOn w:val="Normal"/>
    <w:link w:val="Refdenotaalpie"/>
    <w:uiPriority w:val="99"/>
    <w:rsid w:val="00362B16"/>
    <w:pPr>
      <w:spacing w:line="240" w:lineRule="exact"/>
    </w:pPr>
    <w:rPr>
      <w:vertAlign w:val="superscript"/>
    </w:rPr>
  </w:style>
  <w:style w:type="table" w:customStyle="1" w:styleId="Tablaconcuadrcula3">
    <w:name w:val="Tabla con cuadrícula3"/>
    <w:basedOn w:val="Tablanormal"/>
    <w:next w:val="Tablaconcuadrcula"/>
    <w:uiPriority w:val="59"/>
    <w:qFormat/>
    <w:rsid w:val="0036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2B16"/>
    <w:rPr>
      <w:color w:val="0563C1" w:themeColor="hyperlink"/>
      <w:u w:val="single"/>
    </w:rPr>
  </w:style>
  <w:style w:type="character" w:customStyle="1" w:styleId="NormalWebCar">
    <w:name w:val="Normal (Web) Car"/>
    <w:link w:val="NormalWeb"/>
    <w:uiPriority w:val="99"/>
    <w:rsid w:val="00C94ED0"/>
    <w:rPr>
      <w:rFonts w:ascii="Times New Roman" w:hAnsi="Times New Roman" w:cs="Times New Roman"/>
      <w:sz w:val="24"/>
      <w:szCs w:val="24"/>
    </w:rPr>
  </w:style>
  <w:style w:type="paragraph" w:customStyle="1" w:styleId="Car1">
    <w:name w:val="Car1"/>
    <w:basedOn w:val="Normal"/>
    <w:next w:val="Textonotapie"/>
    <w:uiPriority w:val="99"/>
    <w:unhideWhenUsed/>
    <w:qFormat/>
    <w:rsid w:val="005761EF"/>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leyes.senado.gov.co/proyectos/index.php/textos-radicados-senado/p-ley-2020-2021/1957-proyecto-de-ley-161-de-2020" TargetMode="External"/><Relationship Id="rId16" Type="http://schemas.openxmlformats.org/officeDocument/2006/relationships/hyperlink" Target="https://www.funcionpublica.gov.co/eva/gestornormativo/norma.php?i=77653"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cabc2350-70b2-4dba-bb42-96a3175f4d5a"/>
    <ds:schemaRef ds:uri="http://purl.org/dc/elements/1.1/"/>
    <ds:schemaRef ds:uri="http://schemas.microsoft.com/office/2006/metadata/properties"/>
    <ds:schemaRef ds:uri="http://schemas.microsoft.com/office/2006/documentManagement/types"/>
    <ds:schemaRef ds:uri="8ae15d26-076e-464e-81a7-6f76a0fb3917"/>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430E829-0000-44A0-9928-1DC3215A3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6177</Words>
  <Characters>33974</Characters>
  <Application>Microsoft Office Word</Application>
  <DocSecurity>0</DocSecurity>
  <Lines>283</Lines>
  <Paragraphs>80</Paragraphs>
  <ScaleCrop>false</ScaleCrop>
  <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2022-12-23T17:19:00Z</dcterms:created>
  <dcterms:modified xsi:type="dcterms:W3CDTF">2022-12-23T17:19:00Z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