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AE78" w14:textId="6444BAC2" w:rsidR="005F2C99" w:rsidRPr="00A7652F" w:rsidRDefault="005F2C99" w:rsidP="002006F4">
      <w:pPr>
        <w:spacing w:after="0" w:line="240" w:lineRule="auto"/>
        <w:jc w:val="both"/>
        <w:rPr>
          <w:rFonts w:ascii="Arial" w:eastAsia="Times New Roman" w:hAnsi="Arial" w:cs="Arial"/>
          <w:sz w:val="16"/>
          <w:szCs w:val="16"/>
          <w:lang w:eastAsia="es-ES"/>
        </w:rPr>
      </w:pPr>
    </w:p>
    <w:p w14:paraId="592D1D3D" w14:textId="1CD8E855" w:rsidR="00836118" w:rsidRPr="00A7652F" w:rsidRDefault="00836118" w:rsidP="002006F4">
      <w:pPr>
        <w:spacing w:after="0" w:line="240" w:lineRule="auto"/>
        <w:jc w:val="both"/>
        <w:rPr>
          <w:rFonts w:ascii="Arial" w:eastAsia="Calibri" w:hAnsi="Arial" w:cs="Arial"/>
          <w:b/>
          <w:bCs/>
        </w:rPr>
      </w:pPr>
      <w:r w:rsidRPr="00A7652F">
        <w:rPr>
          <w:rFonts w:ascii="Arial" w:eastAsia="Calibri" w:hAnsi="Arial" w:cs="Arial"/>
          <w:b/>
          <w:bCs/>
        </w:rPr>
        <w:t>CONTRATO DE PRESTACIÓN DE SERVICIOS</w:t>
      </w:r>
      <w:r w:rsidR="002006F4" w:rsidRPr="00A7652F">
        <w:rPr>
          <w:rFonts w:ascii="Arial" w:eastAsia="Calibri" w:hAnsi="Arial" w:cs="Arial"/>
          <w:b/>
          <w:bCs/>
        </w:rPr>
        <w:t xml:space="preserve"> – Concepto – </w:t>
      </w:r>
      <w:r w:rsidR="000B6F91" w:rsidRPr="00A7652F">
        <w:rPr>
          <w:rFonts w:ascii="Arial" w:eastAsia="Calibri" w:hAnsi="Arial" w:cs="Arial"/>
          <w:b/>
          <w:bCs/>
        </w:rPr>
        <w:t xml:space="preserve">Modalidad de selección – </w:t>
      </w:r>
      <w:r w:rsidR="002006F4" w:rsidRPr="00A7652F">
        <w:rPr>
          <w:rFonts w:ascii="Arial" w:eastAsia="Calibri" w:hAnsi="Arial" w:cs="Arial"/>
          <w:b/>
          <w:bCs/>
        </w:rPr>
        <w:t xml:space="preserve">Características </w:t>
      </w:r>
    </w:p>
    <w:p w14:paraId="2E337E69" w14:textId="77777777" w:rsidR="00836118" w:rsidRPr="00A7652F" w:rsidRDefault="00836118" w:rsidP="004544D9">
      <w:pPr>
        <w:spacing w:after="0" w:line="240" w:lineRule="auto"/>
        <w:rPr>
          <w:rFonts w:ascii="Arial" w:eastAsia="Calibri" w:hAnsi="Arial" w:cs="Arial"/>
        </w:rPr>
      </w:pPr>
    </w:p>
    <w:p w14:paraId="7E4C2E0B" w14:textId="603E3AB8" w:rsidR="00836118" w:rsidRPr="00A7652F" w:rsidRDefault="00A7129C" w:rsidP="00A7129C">
      <w:pPr>
        <w:spacing w:after="0" w:line="240" w:lineRule="auto"/>
        <w:jc w:val="both"/>
        <w:rPr>
          <w:rFonts w:ascii="Arial" w:eastAsia="Calibri" w:hAnsi="Arial" w:cs="Arial"/>
          <w:sz w:val="20"/>
          <w:szCs w:val="20"/>
        </w:rPr>
      </w:pPr>
      <w:r w:rsidRPr="00A7652F">
        <w:rPr>
          <w:rFonts w:ascii="Arial" w:hAnsi="Arial" w:cs="Arial"/>
          <w:color w:val="000000" w:themeColor="text1"/>
          <w:sz w:val="20"/>
          <w:szCs w:val="20"/>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A7652F">
        <w:rPr>
          <w:rFonts w:ascii="Arial" w:eastAsia="Calibri" w:hAnsi="Arial" w:cs="Arial"/>
          <w:color w:val="000000" w:themeColor="text1"/>
          <w:sz w:val="20"/>
          <w:szCs w:val="20"/>
          <w:lang w:val="es-ES_tradnl"/>
        </w:rPr>
        <w:t xml:space="preserve"> La celebración de dicho contrato debe efectuarse a través de la modalidad de contratación directa.</w:t>
      </w:r>
    </w:p>
    <w:p w14:paraId="56B11830" w14:textId="12B63F88" w:rsidR="00836118" w:rsidRPr="00A7652F" w:rsidRDefault="003C6F9E" w:rsidP="004544D9">
      <w:pPr>
        <w:spacing w:after="0" w:line="240" w:lineRule="auto"/>
        <w:rPr>
          <w:rFonts w:ascii="Arial" w:eastAsia="Calibri" w:hAnsi="Arial" w:cs="Arial"/>
          <w:sz w:val="20"/>
          <w:szCs w:val="20"/>
        </w:rPr>
      </w:pPr>
      <w:r w:rsidRPr="00A7652F">
        <w:rPr>
          <w:rFonts w:ascii="Arial" w:eastAsia="Calibri" w:hAnsi="Arial" w:cs="Arial"/>
          <w:sz w:val="20"/>
          <w:szCs w:val="20"/>
        </w:rPr>
        <w:t>[…]</w:t>
      </w:r>
    </w:p>
    <w:p w14:paraId="649A4AF3" w14:textId="77777777" w:rsidR="00260A72" w:rsidRPr="00A7652F" w:rsidRDefault="003C6F9E" w:rsidP="00260A72">
      <w:pPr>
        <w:spacing w:after="0" w:line="240" w:lineRule="auto"/>
        <w:jc w:val="both"/>
        <w:rPr>
          <w:rFonts w:ascii="Arial" w:eastAsia="Calibri" w:hAnsi="Arial" w:cs="Arial"/>
          <w:sz w:val="20"/>
          <w:szCs w:val="20"/>
        </w:rPr>
      </w:pPr>
      <w:r w:rsidRPr="00A7652F">
        <w:rPr>
          <w:rFonts w:ascii="Arial" w:eastAsia="Calibri" w:hAnsi="Arial" w:cs="Arial"/>
          <w:sz w:val="20"/>
          <w:szCs w:val="20"/>
        </w:rPr>
        <w:t>[…] de la reciente Sentencia de Unificación Jurisprudencial del 9 de septiembre de 2021, proferida por el Consejo de Estado, es posible señalar las siguientes características del contrato de prestación de servicios:</w:t>
      </w:r>
      <w:r w:rsidR="00DF7210" w:rsidRPr="00A7652F">
        <w:rPr>
          <w:rFonts w:ascii="Arial" w:eastAsia="Calibri" w:hAnsi="Arial" w:cs="Arial"/>
          <w:sz w:val="20"/>
          <w:szCs w:val="20"/>
        </w:rPr>
        <w:t xml:space="preserve"> </w:t>
      </w:r>
      <w:r w:rsidR="00260A72" w:rsidRPr="00A7652F">
        <w:rPr>
          <w:rFonts w:ascii="Arial" w:eastAsia="Calibri" w:hAnsi="Arial" w:cs="Arial"/>
          <w:sz w:val="20"/>
          <w:szCs w:val="20"/>
        </w:rPr>
        <w:t>i)</w:t>
      </w:r>
      <w:r w:rsidR="00260A72" w:rsidRPr="00A7652F">
        <w:rPr>
          <w:rFonts w:ascii="Arial" w:hAnsi="Arial" w:cs="Arial"/>
          <w:noProof/>
          <w:sz w:val="20"/>
          <w:szCs w:val="20"/>
          <w:lang w:val="es-ES_tradnl"/>
        </w:rPr>
        <w:t xml:space="preserve"> Solo puede celebrarse para realizar «actividades relacionadas con la administración o funcionamiento de la entidad» […]. ii) Respecto del tipo de personas que pueden ser contratadas, admite que se suscriba con personas naturales o jurídicas.iii) Si bien se celebran para obtener la prestación personal de un servicio, se diferencian del contrato de trabajo en que quien celebra el contrato de prestación de servicios debe mantener autonomía e independencia en la ejecución de la labor […]; iv) Deben ser temporales. v) Se celebran a través de la modalidad de contratación directa, independientemente de la cuantía y del tipo de servicio profesional, siempre que su objeto no sea la consultoría. vi) Para su celebración no se requiere expedir un acto administrativo de justificación de la contratación directa. vii) El contrato admite la inclusión de cláusulas excepcionales.viii) No es obligatoria la liquidación de estos contratos, como lo establece el artículo 217 del Decreto 019 de 2012, que modificó el artículo 60 de la Ley 80 de 1993. ix) Para su celebración el contratista no requiere estar inscrito en el Registro Único de Proponentes –RUP–, como lo señala el artículo 6 de la Ley 1150 de 2007. x) No es obligtoria la exigencia de garantías. xi) Como los demás contratos estatales, se trata de un contrato solemne que debe constar por escrito y debe ser publicado en el SECOP. xii)</w:t>
      </w:r>
      <w:r w:rsidR="00260A72" w:rsidRPr="00A7652F">
        <w:rPr>
          <w:rFonts w:ascii="Arial" w:hAnsi="Arial" w:cs="Arial"/>
          <w:color w:val="000000" w:themeColor="text1"/>
          <w:sz w:val="20"/>
          <w:szCs w:val="20"/>
          <w:lang w:val="es-ES"/>
        </w:rPr>
        <w:t xml:space="preserve"> C</w:t>
      </w:r>
      <w:r w:rsidR="00260A72" w:rsidRPr="00A7652F">
        <w:rPr>
          <w:rFonts w:ascii="Arial" w:hAnsi="Arial" w:cs="Arial"/>
          <w:color w:val="000000" w:themeColor="text1"/>
          <w:sz w:val="20"/>
          <w:szCs w:val="20"/>
          <w:lang w:val="es-MX"/>
        </w:rPr>
        <w:t xml:space="preserve">omo especies del género prestación de servicios, se incluyen </w:t>
      </w:r>
      <w:r w:rsidR="00260A72" w:rsidRPr="00A7652F">
        <w:rPr>
          <w:rFonts w:ascii="Arial" w:hAnsi="Arial" w:cs="Arial"/>
          <w:color w:val="000000" w:themeColor="text1"/>
          <w:sz w:val="20"/>
          <w:szCs w:val="20"/>
          <w:lang w:val="es-ES_tradnl"/>
        </w:rPr>
        <w:t>los contratos de prestación de servicios profesionales, los contratos de prestación de servicios de apoyo a la gestión y los contratos de prestación de servicios artísticos que solo pueden encomendarse a determinadas personas naturales.</w:t>
      </w:r>
    </w:p>
    <w:p w14:paraId="2191BA4E" w14:textId="0E3A455D" w:rsidR="00836118" w:rsidRPr="00A7652F" w:rsidRDefault="00836118" w:rsidP="003C6F9E">
      <w:pPr>
        <w:spacing w:after="0" w:line="240" w:lineRule="auto"/>
        <w:jc w:val="both"/>
        <w:rPr>
          <w:rFonts w:ascii="Arial" w:eastAsia="Calibri" w:hAnsi="Arial" w:cs="Arial"/>
          <w:sz w:val="20"/>
          <w:szCs w:val="20"/>
        </w:rPr>
      </w:pPr>
    </w:p>
    <w:p w14:paraId="1D3BB28E" w14:textId="77777777" w:rsidR="003A7C0C" w:rsidRPr="00A7652F" w:rsidRDefault="003A7C0C" w:rsidP="003A7C0C">
      <w:pPr>
        <w:spacing w:after="0"/>
        <w:rPr>
          <w:rFonts w:ascii="Arial" w:eastAsia="Calibri" w:hAnsi="Arial" w:cs="Arial"/>
          <w:b/>
          <w:bCs/>
          <w:lang w:val="es-MX"/>
        </w:rPr>
      </w:pPr>
      <w:r w:rsidRPr="00A7652F">
        <w:rPr>
          <w:rFonts w:ascii="Arial" w:eastAsia="Calibri" w:hAnsi="Arial" w:cs="Arial"/>
          <w:b/>
          <w:bCs/>
          <w:lang w:val="es-MX"/>
        </w:rPr>
        <w:t>MODIFICACIÓN DEL CONTRATO – Adición, prórroga y renovación</w:t>
      </w:r>
    </w:p>
    <w:p w14:paraId="163DA105" w14:textId="77777777" w:rsidR="003A7C0C" w:rsidRPr="00A7652F" w:rsidRDefault="003A7C0C" w:rsidP="003A7C0C">
      <w:pPr>
        <w:spacing w:after="0"/>
        <w:rPr>
          <w:rFonts w:ascii="Arial" w:hAnsi="Arial" w:cs="Arial"/>
          <w:sz w:val="20"/>
          <w:szCs w:val="20"/>
          <w:lang w:val="es-MX"/>
        </w:rPr>
      </w:pPr>
    </w:p>
    <w:p w14:paraId="5556EF78" w14:textId="77777777" w:rsidR="003A7C0C" w:rsidRPr="00A7652F" w:rsidRDefault="003A7C0C" w:rsidP="00E21D61">
      <w:pPr>
        <w:spacing w:after="0" w:line="240" w:lineRule="auto"/>
        <w:jc w:val="both"/>
        <w:rPr>
          <w:rFonts w:ascii="Arial" w:hAnsi="Arial" w:cs="Arial"/>
          <w:sz w:val="20"/>
          <w:szCs w:val="20"/>
          <w:lang w:val="es-MX"/>
        </w:rPr>
      </w:pPr>
      <w:r w:rsidRPr="00A7652F">
        <w:rPr>
          <w:rFonts w:ascii="Arial" w:hAnsi="Arial" w:cs="Arial"/>
          <w:sz w:val="20"/>
          <w:szCs w:val="20"/>
          <w:lang w:val="es-MX"/>
        </w:rPr>
        <w:t>[…] el concepto prórroga está particularmente ligado con la modificación ―ampliación― del plazo de los contratos; las adiciones con el incremento del valor, debido a la inclusión de nuevas obligaciones, sea por la introducción de nuevas actividades o por la ejecución de una mayor cantidad de las pactadas inicialmente; y la renovación con el nacimiento de un nuevo contrato, con condiciones similares o idénticas al contrato inicial.</w:t>
      </w:r>
    </w:p>
    <w:p w14:paraId="032DA058" w14:textId="77777777" w:rsidR="003A7C0C" w:rsidRPr="00A7652F" w:rsidRDefault="003A7C0C" w:rsidP="00E21D61">
      <w:pPr>
        <w:spacing w:after="0" w:line="240" w:lineRule="auto"/>
        <w:jc w:val="both"/>
        <w:rPr>
          <w:rFonts w:ascii="Arial" w:hAnsi="Arial" w:cs="Arial"/>
          <w:sz w:val="20"/>
          <w:szCs w:val="20"/>
          <w:lang w:val="es-MX"/>
        </w:rPr>
      </w:pPr>
      <w:r w:rsidRPr="00A7652F">
        <w:rPr>
          <w:rFonts w:ascii="Arial" w:hAnsi="Arial" w:cs="Arial"/>
          <w:sz w:val="20"/>
          <w:szCs w:val="20"/>
          <w:lang w:val="es-MX"/>
        </w:rPr>
        <w:t>[…]</w:t>
      </w:r>
    </w:p>
    <w:p w14:paraId="086D09F8" w14:textId="77777777" w:rsidR="003A7C0C" w:rsidRPr="00A7652F" w:rsidRDefault="003A7C0C" w:rsidP="00E21D61">
      <w:pPr>
        <w:spacing w:after="0" w:line="240" w:lineRule="auto"/>
        <w:jc w:val="both"/>
        <w:rPr>
          <w:rFonts w:ascii="Arial" w:hAnsi="Arial" w:cs="Arial"/>
          <w:sz w:val="18"/>
          <w:szCs w:val="18"/>
          <w:lang w:val="es-MX"/>
        </w:rPr>
      </w:pPr>
      <w:r w:rsidRPr="00A7652F">
        <w:rPr>
          <w:rFonts w:ascii="Arial" w:eastAsia="Arial" w:hAnsi="Arial" w:cs="Arial"/>
          <w:sz w:val="20"/>
          <w:szCs w:val="20"/>
          <w:lang w:val="es-ES"/>
        </w:rPr>
        <w:lastRenderedPageBreak/>
        <w:t>Algunos doctrinantes del contrato estatal se han esforzado en señalar las diferencias entre los conceptos de adición y prórroga, que son comúnmente utilizados en estos contratos; no así en relación con el concepto de renovación,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w:t>
      </w:r>
    </w:p>
    <w:p w14:paraId="4C3CFE4A" w14:textId="77777777" w:rsidR="00836118" w:rsidRPr="00A7652F" w:rsidRDefault="00836118" w:rsidP="004544D9">
      <w:pPr>
        <w:spacing w:after="0" w:line="240" w:lineRule="auto"/>
        <w:rPr>
          <w:rFonts w:ascii="Arial" w:eastAsia="Calibri" w:hAnsi="Arial" w:cs="Arial"/>
        </w:rPr>
      </w:pPr>
    </w:p>
    <w:p w14:paraId="1A0D638D" w14:textId="77777777" w:rsidR="00F34A03" w:rsidRPr="00A7652F" w:rsidRDefault="00F34A03" w:rsidP="00F34A03">
      <w:pPr>
        <w:spacing w:after="0"/>
        <w:jc w:val="both"/>
        <w:rPr>
          <w:rFonts w:ascii="Arial" w:eastAsia="Calibri" w:hAnsi="Arial" w:cs="Arial"/>
          <w:b/>
          <w:bCs/>
          <w:lang w:val="es-MX"/>
        </w:rPr>
      </w:pPr>
      <w:r w:rsidRPr="00A7652F">
        <w:rPr>
          <w:rFonts w:ascii="Arial" w:eastAsia="Calibri" w:hAnsi="Arial" w:cs="Arial"/>
          <w:b/>
          <w:bCs/>
          <w:lang w:val="es-MX"/>
        </w:rPr>
        <w:t>FUERO DE MATERNIDAD – Aplicabilidad – Contratos de prestación de servicios – Postura corte constitucional – Estabilidad laboral de la contratista</w:t>
      </w:r>
    </w:p>
    <w:p w14:paraId="0EB0DCEF" w14:textId="77777777" w:rsidR="00F34A03" w:rsidRPr="00A7652F" w:rsidRDefault="00F34A03" w:rsidP="00F34A03">
      <w:pPr>
        <w:spacing w:after="0"/>
        <w:rPr>
          <w:rFonts w:ascii="Arial" w:hAnsi="Arial" w:cs="Arial"/>
          <w:sz w:val="20"/>
          <w:szCs w:val="20"/>
          <w:lang w:val="es-MX"/>
        </w:rPr>
      </w:pPr>
    </w:p>
    <w:p w14:paraId="321885F5" w14:textId="77777777" w:rsidR="00F34A03" w:rsidRPr="00A7652F" w:rsidRDefault="00F34A03" w:rsidP="00F34A03">
      <w:pPr>
        <w:spacing w:after="0" w:line="240" w:lineRule="auto"/>
        <w:jc w:val="both"/>
        <w:rPr>
          <w:rFonts w:ascii="Arial" w:eastAsia="Calibri" w:hAnsi="Arial" w:cs="Arial"/>
          <w:bCs/>
          <w:sz w:val="20"/>
          <w:szCs w:val="20"/>
          <w:lang w:val="es-MX" w:eastAsia="es-ES_tradnl"/>
        </w:rPr>
      </w:pPr>
      <w:r w:rsidRPr="00A7652F">
        <w:rPr>
          <w:rFonts w:ascii="Arial" w:eastAsia="Calibri" w:hAnsi="Arial" w:cs="Arial"/>
          <w:bCs/>
          <w:sz w:val="20"/>
          <w:szCs w:val="20"/>
          <w:lang w:val="es-MX" w:eastAsia="es-ES_tradnl"/>
        </w:rPr>
        <w:t>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w:t>
      </w:r>
    </w:p>
    <w:p w14:paraId="71D7C644" w14:textId="77777777" w:rsidR="00F34A03" w:rsidRPr="00A7652F" w:rsidRDefault="00F34A03" w:rsidP="00F34A03">
      <w:pPr>
        <w:spacing w:after="0" w:line="240" w:lineRule="auto"/>
        <w:jc w:val="both"/>
        <w:rPr>
          <w:rFonts w:ascii="Arial" w:eastAsia="Calibri" w:hAnsi="Arial" w:cs="Arial"/>
          <w:bCs/>
          <w:sz w:val="20"/>
          <w:szCs w:val="20"/>
          <w:lang w:val="es-MX" w:eastAsia="es-ES_tradnl"/>
        </w:rPr>
      </w:pPr>
      <w:r w:rsidRPr="00A7652F">
        <w:rPr>
          <w:rFonts w:ascii="Arial" w:eastAsia="Calibri" w:hAnsi="Arial" w:cs="Arial"/>
          <w:bCs/>
          <w:sz w:val="20"/>
          <w:szCs w:val="20"/>
          <w:lang w:val="es-MX" w:eastAsia="es-ES_tradnl"/>
        </w:rPr>
        <w:t>[…]</w:t>
      </w:r>
    </w:p>
    <w:p w14:paraId="7DDE1CBB" w14:textId="77777777" w:rsidR="00F34A03" w:rsidRPr="00A7652F" w:rsidRDefault="00F34A03" w:rsidP="00F34A03">
      <w:pPr>
        <w:spacing w:after="0" w:line="240" w:lineRule="auto"/>
        <w:jc w:val="both"/>
        <w:rPr>
          <w:rFonts w:ascii="Arial" w:eastAsia="Calibri" w:hAnsi="Arial" w:cs="Arial"/>
          <w:bCs/>
          <w:sz w:val="20"/>
          <w:szCs w:val="20"/>
          <w:lang w:val="es-MX" w:eastAsia="es-ES_tradnl"/>
        </w:rPr>
      </w:pPr>
      <w:r w:rsidRPr="00A7652F">
        <w:rPr>
          <w:rFonts w:ascii="Arial" w:eastAsia="Calibri" w:hAnsi="Arial" w:cs="Arial"/>
          <w:bCs/>
          <w:sz w:val="20"/>
          <w:szCs w:val="20"/>
          <w:lang w:val="es-MX" w:eastAsia="es-ES_tradnl"/>
        </w:rPr>
        <w:t>[…] la Corte Constitucional ha expuesto dos posiciones para proteger el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4D011FDA" w14:textId="77777777" w:rsidR="00F34A03" w:rsidRPr="00A7652F" w:rsidRDefault="00F34A03" w:rsidP="00F34A03">
      <w:pPr>
        <w:spacing w:after="0" w:line="240" w:lineRule="auto"/>
        <w:jc w:val="both"/>
        <w:rPr>
          <w:rFonts w:ascii="Arial" w:eastAsia="Calibri" w:hAnsi="Arial" w:cs="Arial"/>
          <w:bCs/>
          <w:lang w:val="es-MX" w:eastAsia="es-ES_tradnl"/>
        </w:rPr>
      </w:pPr>
    </w:p>
    <w:p w14:paraId="3F2FDA04" w14:textId="77777777" w:rsidR="00F34A03" w:rsidRPr="00A7652F" w:rsidRDefault="00F34A03" w:rsidP="00F34A03">
      <w:pPr>
        <w:spacing w:after="0" w:line="240" w:lineRule="auto"/>
        <w:jc w:val="both"/>
        <w:rPr>
          <w:rFonts w:ascii="Arial" w:hAnsi="Arial" w:cs="Arial"/>
          <w:sz w:val="20"/>
          <w:szCs w:val="20"/>
          <w:lang w:val="es-MX"/>
        </w:rPr>
      </w:pPr>
      <w:r w:rsidRPr="00A7652F">
        <w:rPr>
          <w:rFonts w:ascii="Arial" w:hAnsi="Arial" w:cs="Arial"/>
          <w:sz w:val="20"/>
          <w:szCs w:val="20"/>
          <w:lang w:val="es-MX"/>
        </w:rPr>
        <w:t>Asimismo se resalta, que el Alto Tribunal Constitucional en la sentencia T-743 de 2017, reiteró que la protección a la mujer en estado de embarazo y en periodo de lactancia, está sustentada en cuatro presupuestos de origen constitucional: (i) el deber de protección especial a la mujer gestante; (ii) la contención de prácticas discriminatorias en el escenario laboral contra la mujer, con ocasión del estado de embarazo; (iii) la protección a la vida y a la mujer como su gestora; y (iv) la relevancia de la familia en el ordenamiento social colombiano.</w:t>
      </w:r>
    </w:p>
    <w:p w14:paraId="6884CA9D" w14:textId="77777777" w:rsidR="00836118" w:rsidRPr="00A7652F" w:rsidRDefault="00836118" w:rsidP="004544D9">
      <w:pPr>
        <w:spacing w:after="0" w:line="240" w:lineRule="auto"/>
        <w:rPr>
          <w:rFonts w:ascii="Arial" w:eastAsia="Calibri" w:hAnsi="Arial" w:cs="Arial"/>
        </w:rPr>
      </w:pPr>
    </w:p>
    <w:p w14:paraId="31EF24A9" w14:textId="77777777" w:rsidR="00836118" w:rsidRPr="00A7652F" w:rsidRDefault="00836118" w:rsidP="004544D9">
      <w:pPr>
        <w:spacing w:after="0" w:line="240" w:lineRule="auto"/>
        <w:rPr>
          <w:rFonts w:ascii="Arial" w:eastAsia="Calibri" w:hAnsi="Arial" w:cs="Arial"/>
        </w:rPr>
      </w:pPr>
    </w:p>
    <w:p w14:paraId="41D9A262" w14:textId="77777777" w:rsidR="00836118" w:rsidRPr="00A7652F" w:rsidRDefault="00836118" w:rsidP="004544D9">
      <w:pPr>
        <w:spacing w:after="0" w:line="240" w:lineRule="auto"/>
        <w:rPr>
          <w:rFonts w:ascii="Arial" w:eastAsia="Calibri" w:hAnsi="Arial" w:cs="Arial"/>
        </w:rPr>
      </w:pPr>
    </w:p>
    <w:p w14:paraId="46AFD196" w14:textId="77777777" w:rsidR="00836118" w:rsidRPr="00A7652F" w:rsidRDefault="00836118" w:rsidP="004544D9">
      <w:pPr>
        <w:spacing w:after="0" w:line="240" w:lineRule="auto"/>
        <w:rPr>
          <w:rFonts w:ascii="Arial" w:eastAsia="Calibri" w:hAnsi="Arial" w:cs="Arial"/>
        </w:rPr>
      </w:pPr>
    </w:p>
    <w:p w14:paraId="7476CC40" w14:textId="77777777" w:rsidR="00836118" w:rsidRPr="00A7652F" w:rsidRDefault="00836118" w:rsidP="004544D9">
      <w:pPr>
        <w:spacing w:after="0" w:line="240" w:lineRule="auto"/>
        <w:rPr>
          <w:rFonts w:ascii="Arial" w:eastAsia="Calibri" w:hAnsi="Arial" w:cs="Arial"/>
        </w:rPr>
      </w:pPr>
    </w:p>
    <w:p w14:paraId="2693BB68" w14:textId="183F9428" w:rsidR="00836118" w:rsidRPr="00A7652F" w:rsidRDefault="00836118" w:rsidP="00FB57C3">
      <w:pPr>
        <w:spacing w:after="0" w:line="240" w:lineRule="auto"/>
        <w:ind w:left="5664"/>
        <w:rPr>
          <w:rFonts w:ascii="Arial" w:hAnsi="Arial" w:cs="Arial"/>
        </w:rPr>
      </w:pPr>
    </w:p>
    <w:p w14:paraId="0AB285F3" w14:textId="77777777" w:rsidR="00836118" w:rsidRPr="00A7652F" w:rsidRDefault="00836118" w:rsidP="004544D9">
      <w:pPr>
        <w:spacing w:after="0" w:line="240" w:lineRule="auto"/>
        <w:rPr>
          <w:rFonts w:ascii="Arial" w:eastAsia="Calibri" w:hAnsi="Arial" w:cs="Arial"/>
        </w:rPr>
      </w:pPr>
    </w:p>
    <w:p w14:paraId="33B91324" w14:textId="77777777" w:rsidR="00836118" w:rsidRPr="00A7652F" w:rsidRDefault="00836118" w:rsidP="004544D9">
      <w:pPr>
        <w:spacing w:after="0" w:line="240" w:lineRule="auto"/>
        <w:rPr>
          <w:rFonts w:ascii="Arial" w:eastAsia="Calibri" w:hAnsi="Arial" w:cs="Arial"/>
        </w:rPr>
      </w:pPr>
    </w:p>
    <w:p w14:paraId="679543F3" w14:textId="77777777" w:rsidR="00836118" w:rsidRPr="00A7652F" w:rsidRDefault="00836118" w:rsidP="004544D9">
      <w:pPr>
        <w:spacing w:after="0" w:line="240" w:lineRule="auto"/>
        <w:rPr>
          <w:rFonts w:ascii="Arial" w:eastAsia="Calibri" w:hAnsi="Arial" w:cs="Arial"/>
        </w:rPr>
      </w:pPr>
    </w:p>
    <w:p w14:paraId="17EA347C" w14:textId="77777777" w:rsidR="00CB4F8E" w:rsidRPr="00A7652F" w:rsidRDefault="00CB4F8E" w:rsidP="004544D9">
      <w:pPr>
        <w:spacing w:after="0" w:line="240" w:lineRule="auto"/>
        <w:rPr>
          <w:rFonts w:ascii="Arial" w:eastAsia="Calibri" w:hAnsi="Arial" w:cs="Arial"/>
        </w:rPr>
      </w:pPr>
    </w:p>
    <w:p w14:paraId="14FF07A8" w14:textId="77777777" w:rsidR="00CB4F8E" w:rsidRPr="00A7652F" w:rsidRDefault="00CB4F8E" w:rsidP="004544D9">
      <w:pPr>
        <w:spacing w:after="0" w:line="240" w:lineRule="auto"/>
        <w:rPr>
          <w:rFonts w:ascii="Arial" w:eastAsia="Calibri" w:hAnsi="Arial" w:cs="Arial"/>
        </w:rPr>
      </w:pPr>
    </w:p>
    <w:p w14:paraId="26755564" w14:textId="77777777" w:rsidR="00A7652F" w:rsidRDefault="00A7652F" w:rsidP="004544D9">
      <w:pPr>
        <w:spacing w:after="0" w:line="240" w:lineRule="auto"/>
        <w:rPr>
          <w:rFonts w:ascii="Arial" w:eastAsia="Calibri" w:hAnsi="Arial" w:cs="Arial"/>
        </w:rPr>
      </w:pPr>
    </w:p>
    <w:p w14:paraId="52D4BE4B" w14:textId="77777777" w:rsidR="00A7652F" w:rsidRDefault="00A7652F" w:rsidP="004544D9">
      <w:pPr>
        <w:spacing w:after="0" w:line="240" w:lineRule="auto"/>
        <w:rPr>
          <w:rFonts w:ascii="Arial" w:eastAsia="Calibri" w:hAnsi="Arial" w:cs="Arial"/>
        </w:rPr>
      </w:pPr>
    </w:p>
    <w:p w14:paraId="228A0D85" w14:textId="7E59B72A" w:rsidR="004B5310" w:rsidRPr="00A7652F" w:rsidRDefault="002C3290" w:rsidP="004544D9">
      <w:pPr>
        <w:spacing w:after="0" w:line="240" w:lineRule="auto"/>
        <w:rPr>
          <w:rFonts w:ascii="Arial" w:eastAsia="Calibri" w:hAnsi="Arial" w:cs="Arial"/>
        </w:rPr>
      </w:pPr>
      <w:r w:rsidRPr="00A7652F">
        <w:rPr>
          <w:rFonts w:ascii="Arial" w:hAnsi="Arial" w:cs="Arial"/>
          <w:noProof/>
        </w:rPr>
        <w:drawing>
          <wp:anchor distT="0" distB="0" distL="114300" distR="114300" simplePos="0" relativeHeight="251660288" behindDoc="1" locked="0" layoutInCell="1" allowOverlap="1" wp14:anchorId="5C8A1734" wp14:editId="4CF284CF">
            <wp:simplePos x="0" y="0"/>
            <wp:positionH relativeFrom="column">
              <wp:posOffset>3292786</wp:posOffset>
            </wp:positionH>
            <wp:positionV relativeFrom="paragraph">
              <wp:posOffset>8627</wp:posOffset>
            </wp:positionV>
            <wp:extent cx="2423795" cy="676275"/>
            <wp:effectExtent l="0" t="0" r="0" b="9525"/>
            <wp:wrapTight wrapText="bothSides">
              <wp:wrapPolygon edited="0">
                <wp:start x="0" y="0"/>
                <wp:lineTo x="0" y="21296"/>
                <wp:lineTo x="21391" y="21296"/>
                <wp:lineTo x="21391" y="0"/>
                <wp:lineTo x="0" y="0"/>
              </wp:wrapPolygon>
            </wp:wrapTight>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423795" cy="676275"/>
                    </a:xfrm>
                    <a:prstGeom prst="rect">
                      <a:avLst/>
                    </a:prstGeom>
                  </pic:spPr>
                </pic:pic>
              </a:graphicData>
            </a:graphic>
            <wp14:sizeRelH relativeFrom="margin">
              <wp14:pctWidth>0</wp14:pctWidth>
            </wp14:sizeRelH>
            <wp14:sizeRelV relativeFrom="margin">
              <wp14:pctHeight>0</wp14:pctHeight>
            </wp14:sizeRelV>
          </wp:anchor>
        </w:drawing>
      </w:r>
      <w:r w:rsidR="002117EB" w:rsidRPr="00A7652F">
        <w:rPr>
          <w:rFonts w:ascii="Arial" w:eastAsia="Calibri" w:hAnsi="Arial" w:cs="Arial"/>
        </w:rPr>
        <w:t>Bogotá D.C., 22 de noviembre de 2022</w:t>
      </w:r>
    </w:p>
    <w:p w14:paraId="2568C8E7" w14:textId="65588F05" w:rsidR="008C065A" w:rsidRDefault="008C065A" w:rsidP="002117EB">
      <w:pPr>
        <w:tabs>
          <w:tab w:val="left" w:pos="3374"/>
        </w:tabs>
        <w:spacing w:after="0" w:line="240" w:lineRule="auto"/>
        <w:contextualSpacing/>
        <w:jc w:val="right"/>
        <w:rPr>
          <w:rFonts w:ascii="Arial" w:eastAsia="Calibri" w:hAnsi="Arial" w:cs="Arial"/>
          <w:lang w:val="es-MX"/>
        </w:rPr>
      </w:pPr>
    </w:p>
    <w:p w14:paraId="617E272E" w14:textId="77777777" w:rsidR="00A7652F" w:rsidRPr="00A7652F" w:rsidRDefault="00A7652F" w:rsidP="002117EB">
      <w:pPr>
        <w:tabs>
          <w:tab w:val="left" w:pos="3374"/>
        </w:tabs>
        <w:spacing w:after="0" w:line="240" w:lineRule="auto"/>
        <w:contextualSpacing/>
        <w:jc w:val="right"/>
        <w:rPr>
          <w:rFonts w:ascii="Arial" w:eastAsia="Calibri" w:hAnsi="Arial" w:cs="Arial"/>
          <w:lang w:val="es-MX"/>
        </w:rPr>
      </w:pPr>
    </w:p>
    <w:p w14:paraId="74E341FD" w14:textId="3C7D0707" w:rsidR="008C065A" w:rsidRPr="00A7652F" w:rsidRDefault="008C065A" w:rsidP="002117EB">
      <w:pPr>
        <w:tabs>
          <w:tab w:val="left" w:pos="3374"/>
        </w:tabs>
        <w:spacing w:after="0" w:line="240" w:lineRule="auto"/>
        <w:contextualSpacing/>
        <w:jc w:val="right"/>
        <w:rPr>
          <w:rFonts w:ascii="Arial" w:eastAsia="Calibri" w:hAnsi="Arial" w:cs="Arial"/>
          <w:lang w:val="es-MX"/>
        </w:rPr>
      </w:pPr>
      <w:bookmarkStart w:id="0" w:name="_Hlk120036210"/>
    </w:p>
    <w:p w14:paraId="16CBF1E8" w14:textId="77777777" w:rsidR="00CB4F8E" w:rsidRPr="00A7652F" w:rsidRDefault="00CB4F8E" w:rsidP="002117EB">
      <w:pPr>
        <w:spacing w:after="0" w:line="240" w:lineRule="auto"/>
        <w:contextualSpacing/>
        <w:jc w:val="both"/>
        <w:rPr>
          <w:rFonts w:ascii="Arial" w:eastAsia="Calibri" w:hAnsi="Arial" w:cs="Arial"/>
        </w:rPr>
      </w:pPr>
      <w:bookmarkStart w:id="1" w:name="_Hlk96417464"/>
      <w:bookmarkStart w:id="2" w:name="_Hlk98867631"/>
      <w:bookmarkStart w:id="3" w:name="_Hlk99546921"/>
    </w:p>
    <w:p w14:paraId="5E1CC0E0" w14:textId="16D57A92" w:rsidR="005F2C99" w:rsidRPr="00A7652F" w:rsidRDefault="005F2C99" w:rsidP="002117EB">
      <w:pPr>
        <w:spacing w:after="0" w:line="240" w:lineRule="auto"/>
        <w:contextualSpacing/>
        <w:jc w:val="both"/>
        <w:rPr>
          <w:rFonts w:ascii="Arial" w:eastAsia="Calibri" w:hAnsi="Arial" w:cs="Arial"/>
        </w:rPr>
      </w:pPr>
      <w:r w:rsidRPr="00A7652F">
        <w:rPr>
          <w:rFonts w:ascii="Arial" w:eastAsia="Calibri" w:hAnsi="Arial" w:cs="Arial"/>
        </w:rPr>
        <w:t>Señor</w:t>
      </w:r>
      <w:r w:rsidR="00331539" w:rsidRPr="00A7652F">
        <w:rPr>
          <w:rFonts w:ascii="Arial" w:eastAsia="Calibri" w:hAnsi="Arial" w:cs="Arial"/>
        </w:rPr>
        <w:t>a</w:t>
      </w:r>
    </w:p>
    <w:p w14:paraId="4F266A58" w14:textId="58D13612" w:rsidR="00A67673" w:rsidRPr="00A7652F" w:rsidRDefault="00331539" w:rsidP="002117EB">
      <w:pPr>
        <w:spacing w:after="0" w:line="240" w:lineRule="auto"/>
        <w:contextualSpacing/>
        <w:jc w:val="both"/>
        <w:rPr>
          <w:rFonts w:ascii="Arial" w:eastAsia="Calibri" w:hAnsi="Arial" w:cs="Arial"/>
          <w:b/>
          <w:bCs/>
        </w:rPr>
      </w:pPr>
      <w:r w:rsidRPr="00A7652F">
        <w:rPr>
          <w:rFonts w:ascii="Arial" w:eastAsia="Calibri" w:hAnsi="Arial" w:cs="Arial"/>
          <w:b/>
          <w:bCs/>
        </w:rPr>
        <w:t>Rosa Morales</w:t>
      </w:r>
    </w:p>
    <w:p w14:paraId="414B5EEE" w14:textId="4C7211EC" w:rsidR="005F2C99" w:rsidRPr="00A7652F" w:rsidRDefault="005F2C99" w:rsidP="002117EB">
      <w:pPr>
        <w:spacing w:after="0" w:line="240" w:lineRule="auto"/>
        <w:contextualSpacing/>
        <w:jc w:val="both"/>
        <w:rPr>
          <w:rFonts w:ascii="Arial" w:eastAsia="Calibri" w:hAnsi="Arial" w:cs="Arial"/>
        </w:rPr>
      </w:pPr>
      <w:r w:rsidRPr="00A7652F">
        <w:rPr>
          <w:rFonts w:ascii="Arial" w:eastAsia="Calibri" w:hAnsi="Arial" w:cs="Arial"/>
        </w:rPr>
        <w:t>Bogotá D.C.</w:t>
      </w:r>
    </w:p>
    <w:p w14:paraId="3BE5A67F" w14:textId="77777777" w:rsidR="005F2C99" w:rsidRDefault="005F2C99" w:rsidP="002117EB">
      <w:pPr>
        <w:spacing w:after="0" w:line="240" w:lineRule="auto"/>
        <w:contextualSpacing/>
        <w:jc w:val="both"/>
        <w:rPr>
          <w:rFonts w:ascii="Arial" w:eastAsia="Calibri" w:hAnsi="Arial" w:cs="Arial"/>
        </w:rPr>
      </w:pPr>
    </w:p>
    <w:p w14:paraId="6DDC44FA" w14:textId="77777777" w:rsidR="00A7652F" w:rsidRDefault="00A7652F" w:rsidP="002117EB">
      <w:pPr>
        <w:spacing w:after="0" w:line="240" w:lineRule="auto"/>
        <w:contextualSpacing/>
        <w:jc w:val="both"/>
        <w:rPr>
          <w:rFonts w:ascii="Arial" w:eastAsia="Calibri" w:hAnsi="Arial" w:cs="Arial"/>
        </w:rPr>
      </w:pPr>
    </w:p>
    <w:p w14:paraId="39A07A53" w14:textId="77777777" w:rsidR="00A7652F" w:rsidRPr="00A7652F" w:rsidRDefault="00A7652F" w:rsidP="002117EB">
      <w:pPr>
        <w:spacing w:after="0" w:line="240" w:lineRule="auto"/>
        <w:contextualSpacing/>
        <w:jc w:val="both"/>
        <w:rPr>
          <w:rFonts w:ascii="Arial" w:eastAsia="Calibri" w:hAnsi="Arial" w:cs="Arial"/>
        </w:rPr>
      </w:pPr>
    </w:p>
    <w:p w14:paraId="743126C2" w14:textId="3A571527" w:rsidR="005F2C99" w:rsidRDefault="005F2C99" w:rsidP="002117EB">
      <w:pPr>
        <w:spacing w:after="0" w:line="240" w:lineRule="auto"/>
        <w:contextualSpacing/>
        <w:jc w:val="both"/>
        <w:rPr>
          <w:rFonts w:ascii="Arial" w:eastAsia="Calibri" w:hAnsi="Arial" w:cs="Arial"/>
          <w:b/>
          <w:bCs/>
        </w:rPr>
      </w:pPr>
      <w:r w:rsidRPr="00A7652F">
        <w:rPr>
          <w:rFonts w:ascii="Arial" w:eastAsia="Calibri" w:hAnsi="Arial" w:cs="Arial"/>
        </w:rPr>
        <w:t xml:space="preserve">                                            </w:t>
      </w:r>
      <w:r w:rsidRPr="00A7652F">
        <w:rPr>
          <w:rFonts w:ascii="Arial" w:eastAsia="Calibri" w:hAnsi="Arial" w:cs="Arial"/>
          <w:b/>
          <w:bCs/>
        </w:rPr>
        <w:t>Concepto C</w:t>
      </w:r>
      <w:r w:rsidR="00A67673" w:rsidRPr="00A7652F">
        <w:rPr>
          <w:rFonts w:ascii="Arial" w:eastAsia="Calibri" w:hAnsi="Arial" w:cs="Arial"/>
          <w:b/>
          <w:bCs/>
        </w:rPr>
        <w:t>-</w:t>
      </w:r>
      <w:r w:rsidR="00432399" w:rsidRPr="00A7652F">
        <w:rPr>
          <w:rFonts w:ascii="Arial" w:eastAsia="Calibri" w:hAnsi="Arial" w:cs="Arial"/>
          <w:b/>
          <w:bCs/>
        </w:rPr>
        <w:t>7</w:t>
      </w:r>
      <w:r w:rsidR="00331539" w:rsidRPr="00A7652F">
        <w:rPr>
          <w:rFonts w:ascii="Arial" w:eastAsia="Calibri" w:hAnsi="Arial" w:cs="Arial"/>
          <w:b/>
          <w:bCs/>
        </w:rPr>
        <w:t>8</w:t>
      </w:r>
      <w:r w:rsidR="00432399" w:rsidRPr="00A7652F">
        <w:rPr>
          <w:rFonts w:ascii="Arial" w:eastAsia="Calibri" w:hAnsi="Arial" w:cs="Arial"/>
          <w:b/>
          <w:bCs/>
        </w:rPr>
        <w:t>9</w:t>
      </w:r>
      <w:r w:rsidR="0021751F" w:rsidRPr="00A7652F">
        <w:rPr>
          <w:rFonts w:ascii="Arial" w:eastAsia="Calibri" w:hAnsi="Arial" w:cs="Arial"/>
          <w:b/>
          <w:bCs/>
        </w:rPr>
        <w:t xml:space="preserve"> de 2022</w:t>
      </w:r>
    </w:p>
    <w:p w14:paraId="286A9414" w14:textId="77777777" w:rsidR="00A7652F" w:rsidRPr="00A7652F" w:rsidRDefault="00A7652F" w:rsidP="002117EB">
      <w:pPr>
        <w:spacing w:after="0" w:line="240" w:lineRule="auto"/>
        <w:contextualSpacing/>
        <w:jc w:val="both"/>
        <w:rPr>
          <w:rFonts w:ascii="Arial" w:eastAsia="Calibri" w:hAnsi="Arial" w:cs="Arial"/>
        </w:rPr>
      </w:pPr>
    </w:p>
    <w:p w14:paraId="1CA8CB67" w14:textId="77777777" w:rsidR="005F2C99" w:rsidRPr="00A7652F" w:rsidRDefault="005F2C99" w:rsidP="002117EB">
      <w:pPr>
        <w:spacing w:after="0" w:line="240" w:lineRule="auto"/>
        <w:contextualSpacing/>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31FA" w:rsidRPr="00A7652F" w14:paraId="04265C09" w14:textId="77777777" w:rsidTr="12FCEE74">
        <w:trPr>
          <w:trHeight w:val="485"/>
        </w:trPr>
        <w:tc>
          <w:tcPr>
            <w:tcW w:w="2689" w:type="dxa"/>
            <w:hideMark/>
          </w:tcPr>
          <w:p w14:paraId="128FE9B0" w14:textId="77777777" w:rsidR="005F2C99" w:rsidRPr="00A7652F" w:rsidRDefault="005F2C99" w:rsidP="002117EB">
            <w:pPr>
              <w:contextualSpacing/>
              <w:rPr>
                <w:rFonts w:ascii="Arial" w:eastAsia="Calibri" w:hAnsi="Arial" w:cs="Arial"/>
                <w:noProof/>
                <w:lang w:val="es-ES_tradnl"/>
              </w:rPr>
            </w:pPr>
            <w:r w:rsidRPr="00A7652F">
              <w:rPr>
                <w:rFonts w:ascii="Arial" w:eastAsia="Calibri" w:hAnsi="Arial" w:cs="Arial"/>
                <w:b/>
                <w:noProof/>
                <w:lang w:val="es-ES_tradnl"/>
              </w:rPr>
              <w:t>Temas:</w:t>
            </w:r>
            <w:r w:rsidRPr="00A7652F">
              <w:rPr>
                <w:rFonts w:ascii="Arial" w:eastAsia="Calibri" w:hAnsi="Arial" w:cs="Arial"/>
                <w:noProof/>
                <w:lang w:val="es-ES_tradnl"/>
              </w:rPr>
              <w:t xml:space="preserve">        </w:t>
            </w:r>
          </w:p>
        </w:tc>
        <w:tc>
          <w:tcPr>
            <w:tcW w:w="6237" w:type="dxa"/>
            <w:hideMark/>
          </w:tcPr>
          <w:p w14:paraId="5907F557" w14:textId="15FD2454" w:rsidR="003D3689" w:rsidRPr="00A7652F" w:rsidRDefault="006E178A" w:rsidP="002117EB">
            <w:pPr>
              <w:contextualSpacing/>
              <w:jc w:val="both"/>
              <w:rPr>
                <w:rFonts w:ascii="Arial" w:eastAsia="Times New Roman" w:hAnsi="Arial" w:cs="Arial"/>
                <w:color w:val="000000"/>
                <w:lang w:val="es-ES_tradnl" w:eastAsia="es-ES_tradnl"/>
              </w:rPr>
            </w:pPr>
            <w:r w:rsidRPr="00A7652F">
              <w:rPr>
                <w:rFonts w:ascii="Arial" w:eastAsia="Times New Roman" w:hAnsi="Arial" w:cs="Arial"/>
                <w:color w:val="000000"/>
                <w:lang w:val="es-ES_tradnl" w:eastAsia="es-ES_tradnl"/>
              </w:rPr>
              <w:t>CONTRATO DE PRESTACIÓN DE SERVICIOS</w:t>
            </w:r>
            <w:r w:rsidR="00AD735D" w:rsidRPr="00A7652F">
              <w:rPr>
                <w:rFonts w:ascii="Arial" w:eastAsia="Times New Roman" w:hAnsi="Arial" w:cs="Arial"/>
                <w:color w:val="000000"/>
                <w:lang w:val="es-ES_tradnl" w:eastAsia="es-ES_tradnl"/>
              </w:rPr>
              <w:t xml:space="preserve"> </w:t>
            </w:r>
            <w:r w:rsidR="000C4AB4" w:rsidRPr="00A7652F">
              <w:rPr>
                <w:rFonts w:ascii="Arial" w:eastAsia="Times New Roman" w:hAnsi="Arial" w:cs="Arial"/>
                <w:color w:val="000000"/>
                <w:lang w:val="es-ES_tradnl" w:eastAsia="es-ES_tradnl"/>
              </w:rPr>
              <w:t>– Concepto</w:t>
            </w:r>
            <w:r w:rsidR="001F18B8" w:rsidRPr="00A7652F">
              <w:rPr>
                <w:rFonts w:ascii="Arial" w:eastAsia="Times New Roman" w:hAnsi="Arial" w:cs="Arial"/>
                <w:color w:val="000000"/>
                <w:lang w:val="es-ES_tradnl" w:eastAsia="es-ES_tradnl"/>
              </w:rPr>
              <w:t xml:space="preserve"> </w:t>
            </w:r>
            <w:r w:rsidR="00433451" w:rsidRPr="00A7652F">
              <w:rPr>
                <w:rFonts w:ascii="Arial" w:eastAsia="Times New Roman" w:hAnsi="Arial" w:cs="Arial"/>
                <w:color w:val="000000"/>
                <w:lang w:val="es-ES_tradnl" w:eastAsia="es-ES_tradnl"/>
              </w:rPr>
              <w:t xml:space="preserve">– </w:t>
            </w:r>
            <w:r w:rsidRPr="00A7652F">
              <w:rPr>
                <w:rFonts w:ascii="Arial" w:eastAsia="Times New Roman" w:hAnsi="Arial" w:cs="Arial"/>
                <w:color w:val="000000"/>
                <w:lang w:val="es-ES_tradnl" w:eastAsia="es-ES_tradnl"/>
              </w:rPr>
              <w:t>Características</w:t>
            </w:r>
            <w:r w:rsidR="001F18B8" w:rsidRPr="00A7652F">
              <w:rPr>
                <w:rFonts w:ascii="Arial" w:eastAsia="Times New Roman" w:hAnsi="Arial" w:cs="Arial"/>
                <w:color w:val="000000"/>
                <w:lang w:val="es-ES_tradnl" w:eastAsia="es-ES_tradnl"/>
              </w:rPr>
              <w:t xml:space="preserve"> –</w:t>
            </w:r>
            <w:r w:rsidRPr="00A7652F">
              <w:rPr>
                <w:rFonts w:ascii="Arial" w:eastAsia="Times New Roman" w:hAnsi="Arial" w:cs="Arial"/>
                <w:color w:val="000000"/>
                <w:lang w:val="es-ES_tradnl" w:eastAsia="es-ES_tradnl"/>
              </w:rPr>
              <w:t xml:space="preserve"> Modalidad de selección </w:t>
            </w:r>
            <w:r w:rsidR="00433451" w:rsidRPr="00A7652F">
              <w:rPr>
                <w:rFonts w:ascii="Arial" w:eastAsia="Times New Roman" w:hAnsi="Arial" w:cs="Arial"/>
                <w:color w:val="000000"/>
                <w:lang w:val="es-ES_tradnl" w:eastAsia="es-ES_tradnl"/>
              </w:rPr>
              <w:t>/</w:t>
            </w:r>
            <w:r w:rsidR="001F18B8" w:rsidRPr="00A7652F">
              <w:rPr>
                <w:rFonts w:ascii="Arial" w:eastAsia="Times New Roman" w:hAnsi="Arial" w:cs="Arial"/>
                <w:color w:val="000000"/>
                <w:lang w:val="es-ES_tradnl" w:eastAsia="es-ES_tradnl"/>
              </w:rPr>
              <w:t xml:space="preserve"> </w:t>
            </w:r>
            <w:r w:rsidR="006A5A54" w:rsidRPr="00A7652F">
              <w:rPr>
                <w:rFonts w:ascii="Arial" w:eastAsia="Times New Roman" w:hAnsi="Arial" w:cs="Arial"/>
                <w:color w:val="000000"/>
                <w:lang w:val="es-ES_tradnl" w:eastAsia="es-ES_tradnl"/>
              </w:rPr>
              <w:t xml:space="preserve">MODIFICACIÓN DEL CONTRATO – Adición, prórroga y renovación / </w:t>
            </w:r>
            <w:r w:rsidRPr="00A7652F">
              <w:rPr>
                <w:rFonts w:ascii="Arial" w:eastAsia="Times New Roman" w:hAnsi="Arial" w:cs="Arial"/>
                <w:color w:val="000000"/>
                <w:lang w:val="es-ES_tradnl" w:eastAsia="es-ES_tradnl"/>
              </w:rPr>
              <w:t>FUERO DE MATERNIDAD</w:t>
            </w:r>
            <w:r w:rsidR="00585113" w:rsidRPr="00A7652F">
              <w:rPr>
                <w:rFonts w:ascii="Arial" w:eastAsia="Times New Roman" w:hAnsi="Arial" w:cs="Arial"/>
                <w:color w:val="000000"/>
                <w:lang w:val="es-ES_tradnl" w:eastAsia="es-ES_tradnl"/>
              </w:rPr>
              <w:t xml:space="preserve"> </w:t>
            </w:r>
            <w:r w:rsidR="00CF5A6B" w:rsidRPr="00A7652F">
              <w:rPr>
                <w:rFonts w:ascii="Arial" w:eastAsia="Times New Roman" w:hAnsi="Arial" w:cs="Arial"/>
                <w:color w:val="000000"/>
                <w:lang w:val="es-ES_tradnl" w:eastAsia="es-ES_tradnl"/>
              </w:rPr>
              <w:t>–</w:t>
            </w:r>
            <w:r w:rsidR="00585113" w:rsidRPr="00A7652F">
              <w:rPr>
                <w:rFonts w:ascii="Arial" w:eastAsia="Times New Roman" w:hAnsi="Arial" w:cs="Arial"/>
                <w:color w:val="000000"/>
                <w:lang w:val="es-ES_tradnl" w:eastAsia="es-ES_tradnl"/>
              </w:rPr>
              <w:t xml:space="preserve"> </w:t>
            </w:r>
            <w:r w:rsidRPr="00A7652F">
              <w:rPr>
                <w:rFonts w:ascii="Arial" w:eastAsia="Times New Roman" w:hAnsi="Arial" w:cs="Arial"/>
                <w:color w:val="000000"/>
                <w:lang w:val="es-ES_tradnl" w:eastAsia="es-ES_tradnl"/>
              </w:rPr>
              <w:t>Aplicabilidad</w:t>
            </w:r>
            <w:r w:rsidR="00585113" w:rsidRPr="00A7652F">
              <w:rPr>
                <w:rFonts w:ascii="Arial" w:eastAsia="Times New Roman" w:hAnsi="Arial" w:cs="Arial"/>
                <w:color w:val="000000"/>
                <w:lang w:val="es-ES_tradnl" w:eastAsia="es-ES_tradnl"/>
              </w:rPr>
              <w:t xml:space="preserve"> </w:t>
            </w:r>
            <w:r w:rsidR="00B6051C" w:rsidRPr="00A7652F">
              <w:rPr>
                <w:rFonts w:ascii="Arial" w:eastAsia="Times New Roman" w:hAnsi="Arial" w:cs="Arial"/>
                <w:color w:val="000000"/>
                <w:lang w:val="es-ES_tradnl" w:eastAsia="es-ES_tradnl"/>
              </w:rPr>
              <w:t>–</w:t>
            </w:r>
            <w:r w:rsidR="00585113" w:rsidRPr="00A7652F">
              <w:rPr>
                <w:rFonts w:ascii="Arial" w:eastAsia="Times New Roman" w:hAnsi="Arial" w:cs="Arial"/>
                <w:color w:val="000000"/>
                <w:lang w:val="es-ES_tradnl" w:eastAsia="es-ES_tradnl"/>
              </w:rPr>
              <w:t xml:space="preserve"> </w:t>
            </w:r>
            <w:r w:rsidRPr="00A7652F">
              <w:rPr>
                <w:rFonts w:ascii="Arial" w:eastAsia="Times New Roman" w:hAnsi="Arial" w:cs="Arial"/>
                <w:color w:val="000000"/>
                <w:lang w:val="es-ES_tradnl" w:eastAsia="es-ES_tradnl"/>
              </w:rPr>
              <w:t>Contratos de prestación de servicios</w:t>
            </w:r>
            <w:r w:rsidR="007A36F3" w:rsidRPr="00A7652F">
              <w:rPr>
                <w:rFonts w:ascii="Arial" w:eastAsia="Times New Roman" w:hAnsi="Arial" w:cs="Arial"/>
                <w:color w:val="000000"/>
                <w:lang w:val="es-ES_tradnl" w:eastAsia="es-ES_tradnl"/>
              </w:rPr>
              <w:t xml:space="preserve"> – </w:t>
            </w:r>
            <w:r w:rsidRPr="00A7652F">
              <w:rPr>
                <w:rFonts w:ascii="Arial" w:eastAsia="Times New Roman" w:hAnsi="Arial" w:cs="Arial"/>
                <w:color w:val="000000"/>
                <w:lang w:val="es-ES_tradnl" w:eastAsia="es-ES_tradnl"/>
              </w:rPr>
              <w:t>Postura corte constitucional – Estabilidad laboral de</w:t>
            </w:r>
            <w:r w:rsidR="00583D2C" w:rsidRPr="00A7652F">
              <w:rPr>
                <w:rFonts w:ascii="Arial" w:eastAsia="Times New Roman" w:hAnsi="Arial" w:cs="Arial"/>
                <w:color w:val="000000"/>
                <w:lang w:val="es-ES_tradnl" w:eastAsia="es-ES_tradnl"/>
              </w:rPr>
              <w:t xml:space="preserve"> </w:t>
            </w:r>
            <w:r w:rsidRPr="00A7652F">
              <w:rPr>
                <w:rFonts w:ascii="Arial" w:eastAsia="Times New Roman" w:hAnsi="Arial" w:cs="Arial"/>
                <w:color w:val="000000"/>
                <w:lang w:val="es-ES_tradnl" w:eastAsia="es-ES_tradnl"/>
              </w:rPr>
              <w:t>l</w:t>
            </w:r>
            <w:r w:rsidR="00583D2C" w:rsidRPr="00A7652F">
              <w:rPr>
                <w:rFonts w:ascii="Arial" w:eastAsia="Times New Roman" w:hAnsi="Arial" w:cs="Arial"/>
                <w:color w:val="000000"/>
                <w:lang w:val="es-ES_tradnl" w:eastAsia="es-ES_tradnl"/>
              </w:rPr>
              <w:t>a</w:t>
            </w:r>
            <w:r w:rsidRPr="00A7652F">
              <w:rPr>
                <w:rFonts w:ascii="Arial" w:eastAsia="Times New Roman" w:hAnsi="Arial" w:cs="Arial"/>
                <w:color w:val="000000"/>
                <w:lang w:val="es-ES_tradnl" w:eastAsia="es-ES_tradnl"/>
              </w:rPr>
              <w:t xml:space="preserve"> contratista</w:t>
            </w:r>
          </w:p>
          <w:p w14:paraId="7208FF4D" w14:textId="77777777" w:rsidR="005F2C99" w:rsidRPr="00A7652F" w:rsidRDefault="005F2C99" w:rsidP="002117EB">
            <w:pPr>
              <w:contextualSpacing/>
              <w:jc w:val="both"/>
              <w:rPr>
                <w:rFonts w:ascii="Arial" w:eastAsia="Calibri" w:hAnsi="Arial" w:cs="Arial"/>
                <w:b/>
                <w:bCs/>
                <w:lang w:val="es-MX"/>
              </w:rPr>
            </w:pPr>
          </w:p>
          <w:p w14:paraId="5E372229" w14:textId="77777777" w:rsidR="005F2C99" w:rsidRPr="00A7652F" w:rsidRDefault="005F2C99" w:rsidP="002117EB">
            <w:pPr>
              <w:ind w:right="703"/>
              <w:contextualSpacing/>
              <w:jc w:val="both"/>
              <w:rPr>
                <w:rFonts w:ascii="Arial" w:eastAsia="Calibri" w:hAnsi="Arial" w:cs="Arial"/>
                <w:bCs/>
                <w:lang w:val="es-MX"/>
              </w:rPr>
            </w:pPr>
          </w:p>
        </w:tc>
      </w:tr>
      <w:tr w:rsidR="000031FA" w:rsidRPr="00A7652F" w14:paraId="6451A031" w14:textId="77777777" w:rsidTr="12FCEE74">
        <w:tc>
          <w:tcPr>
            <w:tcW w:w="2689" w:type="dxa"/>
          </w:tcPr>
          <w:p w14:paraId="4EA57047" w14:textId="4E1F11B9" w:rsidR="005F2C99" w:rsidRPr="00A7652F" w:rsidRDefault="005F2C99" w:rsidP="002117EB">
            <w:pPr>
              <w:contextualSpacing/>
              <w:rPr>
                <w:rFonts w:ascii="Arial" w:eastAsia="Calibri" w:hAnsi="Arial" w:cs="Arial"/>
                <w:b/>
                <w:noProof/>
                <w:lang w:val="es-ES_tradnl"/>
              </w:rPr>
            </w:pPr>
            <w:r w:rsidRPr="00A7652F">
              <w:rPr>
                <w:rFonts w:ascii="Arial" w:eastAsia="Calibri" w:hAnsi="Arial" w:cs="Arial"/>
                <w:b/>
                <w:noProof/>
                <w:lang w:val="es-ES_tradnl"/>
              </w:rPr>
              <w:t>Radicación:</w:t>
            </w:r>
            <w:r w:rsidRPr="00A7652F">
              <w:rPr>
                <w:rFonts w:ascii="Arial" w:eastAsia="Calibri" w:hAnsi="Arial" w:cs="Arial"/>
                <w:noProof/>
                <w:lang w:val="es-ES_tradnl"/>
              </w:rPr>
              <w:t xml:space="preserve">                              </w:t>
            </w:r>
          </w:p>
        </w:tc>
        <w:tc>
          <w:tcPr>
            <w:tcW w:w="6237" w:type="dxa"/>
          </w:tcPr>
          <w:p w14:paraId="3BD137AC" w14:textId="739D50EE" w:rsidR="005F2C99" w:rsidRPr="00A7652F" w:rsidRDefault="005F2C99" w:rsidP="12FCEE74">
            <w:pPr>
              <w:contextualSpacing/>
              <w:jc w:val="both"/>
              <w:rPr>
                <w:rFonts w:ascii="Arial" w:eastAsia="Calibri" w:hAnsi="Arial" w:cs="Arial"/>
                <w:noProof/>
                <w:lang w:val="es-ES"/>
              </w:rPr>
            </w:pPr>
            <w:r w:rsidRPr="00A7652F">
              <w:rPr>
                <w:rFonts w:ascii="Arial" w:eastAsia="Calibri" w:hAnsi="Arial" w:cs="Arial"/>
                <w:noProof/>
                <w:lang w:val="es-ES"/>
              </w:rPr>
              <w:t xml:space="preserve">Respuesta a consulta </w:t>
            </w:r>
            <w:r w:rsidR="00331539" w:rsidRPr="00A7652F">
              <w:rPr>
                <w:rFonts w:ascii="Arial" w:eastAsia="Calibri" w:hAnsi="Arial" w:cs="Arial"/>
                <w:noProof/>
                <w:lang w:val="es-ES"/>
              </w:rPr>
              <w:t>P20221006010087</w:t>
            </w:r>
            <w:r w:rsidRPr="00A7652F">
              <w:rPr>
                <w:rFonts w:ascii="Arial" w:hAnsi="Arial" w:cs="Arial"/>
              </w:rPr>
              <w:tab/>
            </w:r>
            <w:r w:rsidRPr="00A7652F">
              <w:rPr>
                <w:rFonts w:ascii="Arial" w:hAnsi="Arial" w:cs="Arial"/>
              </w:rPr>
              <w:tab/>
            </w:r>
          </w:p>
        </w:tc>
      </w:tr>
    </w:tbl>
    <w:p w14:paraId="2A7B686B" w14:textId="77777777" w:rsidR="005F2C99" w:rsidRPr="00A7652F" w:rsidRDefault="005F2C99" w:rsidP="002117EB">
      <w:pPr>
        <w:spacing w:after="0" w:line="240" w:lineRule="auto"/>
        <w:contextualSpacing/>
        <w:jc w:val="both"/>
        <w:rPr>
          <w:rFonts w:ascii="Arial" w:eastAsia="Calibri" w:hAnsi="Arial" w:cs="Arial"/>
        </w:rPr>
      </w:pPr>
    </w:p>
    <w:p w14:paraId="5B61AAEF" w14:textId="77777777" w:rsidR="005F2C99" w:rsidRDefault="005F2C99" w:rsidP="004544D9">
      <w:pPr>
        <w:spacing w:after="0" w:line="240" w:lineRule="auto"/>
        <w:contextualSpacing/>
        <w:jc w:val="both"/>
        <w:rPr>
          <w:rFonts w:ascii="Arial" w:eastAsia="Calibri" w:hAnsi="Arial" w:cs="Arial"/>
        </w:rPr>
      </w:pPr>
    </w:p>
    <w:p w14:paraId="1BA2A40B" w14:textId="77777777" w:rsidR="00A7652F" w:rsidRPr="00A7652F" w:rsidRDefault="00A7652F" w:rsidP="004544D9">
      <w:pPr>
        <w:spacing w:after="0" w:line="240" w:lineRule="auto"/>
        <w:contextualSpacing/>
        <w:jc w:val="both"/>
        <w:rPr>
          <w:rFonts w:ascii="Arial" w:eastAsia="Calibri" w:hAnsi="Arial" w:cs="Arial"/>
        </w:rPr>
      </w:pPr>
    </w:p>
    <w:p w14:paraId="4CE77967" w14:textId="52EA8121" w:rsidR="005F2C99" w:rsidRPr="00A7652F" w:rsidRDefault="005F2C99" w:rsidP="0023670C">
      <w:pPr>
        <w:spacing w:after="0" w:line="276" w:lineRule="auto"/>
        <w:contextualSpacing/>
        <w:jc w:val="both"/>
        <w:rPr>
          <w:rFonts w:ascii="Arial" w:eastAsia="Calibri" w:hAnsi="Arial" w:cs="Arial"/>
        </w:rPr>
      </w:pPr>
      <w:r w:rsidRPr="00A7652F">
        <w:rPr>
          <w:rFonts w:ascii="Arial" w:eastAsia="Calibri" w:hAnsi="Arial" w:cs="Arial"/>
        </w:rPr>
        <w:t>Estimad</w:t>
      </w:r>
      <w:r w:rsidR="00331539" w:rsidRPr="00A7652F">
        <w:rPr>
          <w:rFonts w:ascii="Arial" w:eastAsia="Calibri" w:hAnsi="Arial" w:cs="Arial"/>
        </w:rPr>
        <w:t>a</w:t>
      </w:r>
      <w:r w:rsidRPr="00A7652F">
        <w:rPr>
          <w:rFonts w:ascii="Arial" w:eastAsia="Calibri" w:hAnsi="Arial" w:cs="Arial"/>
        </w:rPr>
        <w:t xml:space="preserve"> señor</w:t>
      </w:r>
      <w:r w:rsidR="00331539" w:rsidRPr="00A7652F">
        <w:rPr>
          <w:rFonts w:ascii="Arial" w:eastAsia="Calibri" w:hAnsi="Arial" w:cs="Arial"/>
        </w:rPr>
        <w:t>a</w:t>
      </w:r>
      <w:r w:rsidRPr="00A7652F">
        <w:rPr>
          <w:rFonts w:ascii="Arial" w:eastAsia="Calibri" w:hAnsi="Arial" w:cs="Arial"/>
        </w:rPr>
        <w:t xml:space="preserve"> </w:t>
      </w:r>
      <w:r w:rsidR="00331539" w:rsidRPr="00A7652F">
        <w:rPr>
          <w:rFonts w:ascii="Arial" w:eastAsia="Calibri" w:hAnsi="Arial" w:cs="Arial"/>
        </w:rPr>
        <w:t>Morales</w:t>
      </w:r>
      <w:r w:rsidRPr="00A7652F">
        <w:rPr>
          <w:rFonts w:ascii="Arial" w:eastAsia="Calibri" w:hAnsi="Arial" w:cs="Arial"/>
        </w:rPr>
        <w:t>:</w:t>
      </w:r>
    </w:p>
    <w:p w14:paraId="67293171" w14:textId="77777777" w:rsidR="005F2C99" w:rsidRDefault="005F2C99" w:rsidP="0023670C">
      <w:pPr>
        <w:spacing w:after="0" w:line="276" w:lineRule="auto"/>
        <w:ind w:firstLine="709"/>
        <w:contextualSpacing/>
        <w:jc w:val="both"/>
        <w:rPr>
          <w:rFonts w:ascii="Arial" w:eastAsia="Calibri" w:hAnsi="Arial" w:cs="Arial"/>
        </w:rPr>
      </w:pPr>
    </w:p>
    <w:p w14:paraId="3304449D" w14:textId="77777777" w:rsidR="00A7652F" w:rsidRPr="00A7652F" w:rsidRDefault="00A7652F" w:rsidP="0023670C">
      <w:pPr>
        <w:spacing w:after="0" w:line="276" w:lineRule="auto"/>
        <w:ind w:firstLine="709"/>
        <w:contextualSpacing/>
        <w:jc w:val="both"/>
        <w:rPr>
          <w:rFonts w:ascii="Arial" w:eastAsia="Calibri" w:hAnsi="Arial" w:cs="Arial"/>
        </w:rPr>
      </w:pPr>
    </w:p>
    <w:p w14:paraId="325AB1C4" w14:textId="2CDC395F" w:rsidR="005F2C99" w:rsidRPr="00A7652F" w:rsidRDefault="005F2C99" w:rsidP="0023670C">
      <w:pPr>
        <w:spacing w:after="0" w:line="276" w:lineRule="auto"/>
        <w:ind w:right="51"/>
        <w:contextualSpacing/>
        <w:jc w:val="both"/>
        <w:rPr>
          <w:rFonts w:ascii="Arial" w:eastAsia="Calibri" w:hAnsi="Arial" w:cs="Arial"/>
        </w:rPr>
      </w:pPr>
      <w:r w:rsidRPr="00A7652F">
        <w:rPr>
          <w:rFonts w:ascii="Arial" w:eastAsia="Calibri" w:hAnsi="Arial" w:cs="Arial"/>
        </w:rPr>
        <w:t>En ejercicio de la competencia otorgada por el numeral 8 del artículo 11 y el numeral 5</w:t>
      </w:r>
      <w:r w:rsidR="0009513D" w:rsidRPr="00A7652F">
        <w:rPr>
          <w:rFonts w:ascii="Arial" w:eastAsia="Calibri" w:hAnsi="Arial" w:cs="Arial"/>
        </w:rPr>
        <w:t xml:space="preserve"> </w:t>
      </w:r>
      <w:r w:rsidRPr="00A7652F">
        <w:rPr>
          <w:rFonts w:ascii="Arial" w:eastAsia="Calibri" w:hAnsi="Arial" w:cs="Arial"/>
        </w:rPr>
        <w:t xml:space="preserve">del artículo 3 del Decreto Ley 4170 de 2011, la Agencia Nacional de Contratación Pública – Colombia Compra Eficiente responde la consulta radicada el </w:t>
      </w:r>
      <w:r w:rsidR="00331539" w:rsidRPr="00A7652F">
        <w:rPr>
          <w:rFonts w:ascii="Arial" w:eastAsia="Calibri" w:hAnsi="Arial" w:cs="Arial"/>
        </w:rPr>
        <w:t>06</w:t>
      </w:r>
      <w:r w:rsidR="003B7BF1" w:rsidRPr="00A7652F">
        <w:rPr>
          <w:rFonts w:ascii="Arial" w:eastAsia="Calibri" w:hAnsi="Arial" w:cs="Arial"/>
        </w:rPr>
        <w:t xml:space="preserve"> de </w:t>
      </w:r>
      <w:r w:rsidR="00331539" w:rsidRPr="00A7652F">
        <w:rPr>
          <w:rFonts w:ascii="Arial" w:eastAsia="Calibri" w:hAnsi="Arial" w:cs="Arial"/>
        </w:rPr>
        <w:t>octubre</w:t>
      </w:r>
      <w:r w:rsidRPr="00A7652F">
        <w:rPr>
          <w:rFonts w:ascii="Arial" w:eastAsia="Calibri" w:hAnsi="Arial" w:cs="Arial"/>
        </w:rPr>
        <w:t xml:space="preserve"> de 2022. </w:t>
      </w:r>
      <w:r w:rsidR="00331539" w:rsidRPr="00A7652F">
        <w:rPr>
          <w:rFonts w:ascii="Arial" w:eastAsia="Calibri" w:hAnsi="Arial" w:cs="Arial"/>
        </w:rPr>
        <w:t>Esta consulta fue remitida por el Departamento Administrativo de la Función Pública, mediante oficio con radicado No. 20229000515492 del mismo mes y año.</w:t>
      </w:r>
    </w:p>
    <w:p w14:paraId="5C626D64" w14:textId="77777777" w:rsidR="005F2C99" w:rsidRPr="00A7652F" w:rsidRDefault="005F2C99" w:rsidP="0023670C">
      <w:pPr>
        <w:spacing w:after="0" w:line="276" w:lineRule="auto"/>
        <w:contextualSpacing/>
        <w:jc w:val="both"/>
        <w:rPr>
          <w:rFonts w:ascii="Arial" w:eastAsia="Calibri" w:hAnsi="Arial" w:cs="Arial"/>
        </w:rPr>
      </w:pPr>
    </w:p>
    <w:p w14:paraId="470B7037" w14:textId="77777777" w:rsidR="005F2C99" w:rsidRPr="00A7652F" w:rsidRDefault="005F2C99" w:rsidP="0023670C">
      <w:pPr>
        <w:tabs>
          <w:tab w:val="left" w:pos="284"/>
        </w:tabs>
        <w:spacing w:after="0" w:line="276" w:lineRule="auto"/>
        <w:contextualSpacing/>
        <w:jc w:val="both"/>
        <w:rPr>
          <w:rFonts w:ascii="Arial" w:eastAsia="Calibri" w:hAnsi="Arial" w:cs="Arial"/>
          <w:b/>
        </w:rPr>
      </w:pPr>
      <w:r w:rsidRPr="00A7652F">
        <w:rPr>
          <w:rFonts w:ascii="Arial" w:eastAsia="Calibri" w:hAnsi="Arial" w:cs="Arial"/>
          <w:b/>
        </w:rPr>
        <w:t xml:space="preserve">1. Problema planteado </w:t>
      </w:r>
    </w:p>
    <w:p w14:paraId="1CDCD47C" w14:textId="77777777" w:rsidR="005F2C99" w:rsidRPr="00A7652F" w:rsidRDefault="005F2C99" w:rsidP="0023670C">
      <w:pPr>
        <w:tabs>
          <w:tab w:val="left" w:pos="284"/>
        </w:tabs>
        <w:spacing w:after="0" w:line="276" w:lineRule="auto"/>
        <w:ind w:firstLine="709"/>
        <w:contextualSpacing/>
        <w:jc w:val="both"/>
        <w:rPr>
          <w:rFonts w:ascii="Arial" w:eastAsia="Calibri" w:hAnsi="Arial" w:cs="Arial"/>
          <w:b/>
        </w:rPr>
      </w:pPr>
    </w:p>
    <w:p w14:paraId="264129B1" w14:textId="6130549A" w:rsidR="0068556D" w:rsidRPr="00A7652F" w:rsidRDefault="005F2C99" w:rsidP="0023670C">
      <w:pPr>
        <w:spacing w:after="0" w:line="276" w:lineRule="auto"/>
        <w:ind w:right="51"/>
        <w:contextualSpacing/>
        <w:jc w:val="both"/>
        <w:rPr>
          <w:rFonts w:ascii="Arial" w:eastAsia="Calibri" w:hAnsi="Arial" w:cs="Arial"/>
        </w:rPr>
      </w:pPr>
      <w:bookmarkStart w:id="4" w:name="_Hlk58917991"/>
      <w:bookmarkStart w:id="5" w:name="_Hlk56103000"/>
      <w:r w:rsidRPr="00A7652F">
        <w:rPr>
          <w:rFonts w:ascii="Arial" w:eastAsia="Calibri" w:hAnsi="Arial" w:cs="Arial"/>
        </w:rPr>
        <w:t xml:space="preserve">Usted plantea la siguiente </w:t>
      </w:r>
      <w:r w:rsidR="0068556D" w:rsidRPr="00A7652F">
        <w:rPr>
          <w:rFonts w:ascii="Arial" w:eastAsia="Calibri" w:hAnsi="Arial" w:cs="Arial"/>
        </w:rPr>
        <w:t>consulta</w:t>
      </w:r>
      <w:r w:rsidRPr="00A7652F">
        <w:rPr>
          <w:rFonts w:ascii="Arial" w:eastAsia="Calibri" w:hAnsi="Arial" w:cs="Arial"/>
        </w:rPr>
        <w:t xml:space="preserve">: </w:t>
      </w:r>
    </w:p>
    <w:p w14:paraId="08E0CC5A" w14:textId="77777777" w:rsidR="0068556D" w:rsidRPr="00A7652F" w:rsidRDefault="0068556D" w:rsidP="00F20372">
      <w:pPr>
        <w:spacing w:after="0"/>
        <w:ind w:left="709" w:right="709"/>
        <w:contextualSpacing/>
        <w:jc w:val="both"/>
        <w:rPr>
          <w:rFonts w:ascii="Arial" w:eastAsia="Calibri" w:hAnsi="Arial" w:cs="Arial"/>
        </w:rPr>
      </w:pPr>
    </w:p>
    <w:p w14:paraId="6EA0C700" w14:textId="0995A2C1" w:rsidR="00331539" w:rsidRPr="00A7652F" w:rsidRDefault="00331539" w:rsidP="004544D9">
      <w:pPr>
        <w:spacing w:after="0" w:line="240" w:lineRule="auto"/>
        <w:ind w:left="709" w:right="709"/>
        <w:jc w:val="both"/>
        <w:rPr>
          <w:rFonts w:ascii="Arial" w:eastAsia="Calibri" w:hAnsi="Arial" w:cs="Arial"/>
          <w:color w:val="000000" w:themeColor="text1"/>
          <w:sz w:val="21"/>
          <w:szCs w:val="21"/>
          <w:lang w:val="es-MX"/>
        </w:rPr>
      </w:pPr>
      <w:bookmarkStart w:id="6" w:name="_Hlk116284008"/>
      <w:r w:rsidRPr="00A7652F">
        <w:rPr>
          <w:rFonts w:ascii="Arial" w:eastAsia="Calibri" w:hAnsi="Arial" w:cs="Arial"/>
          <w:color w:val="000000" w:themeColor="text1"/>
          <w:sz w:val="21"/>
          <w:szCs w:val="21"/>
          <w:lang w:val="es-MX"/>
        </w:rPr>
        <w:lastRenderedPageBreak/>
        <w:t>«[…] quisiera consultar si una contratista en estado de embarazo vinculada por medio de contrato de prestación de servicios, se le debe renovar el contrato que se le vence en el mismo día que inicia su licencia de maternidad, con el mismo objeto o puede la entidad acorda</w:t>
      </w:r>
      <w:r w:rsidR="000C32BA" w:rsidRPr="00A7652F">
        <w:rPr>
          <w:rFonts w:ascii="Arial" w:eastAsia="Calibri" w:hAnsi="Arial" w:cs="Arial"/>
          <w:color w:val="000000" w:themeColor="text1"/>
          <w:sz w:val="21"/>
          <w:szCs w:val="21"/>
          <w:lang w:val="es-MX"/>
        </w:rPr>
        <w:t>r</w:t>
      </w:r>
      <w:r w:rsidRPr="00A7652F">
        <w:rPr>
          <w:rFonts w:ascii="Arial" w:eastAsia="Calibri" w:hAnsi="Arial" w:cs="Arial"/>
          <w:color w:val="000000" w:themeColor="text1"/>
          <w:sz w:val="21"/>
          <w:szCs w:val="21"/>
          <w:lang w:val="es-MX"/>
        </w:rPr>
        <w:t xml:space="preserve"> con la contratista la celebración de un contrato nuevo con objeto contractual diferente pero con las mismas condiciones respecto de valor y actividades similares?»</w:t>
      </w:r>
    </w:p>
    <w:bookmarkEnd w:id="6"/>
    <w:p w14:paraId="7ADD6247" w14:textId="77777777" w:rsidR="005F2C99" w:rsidRPr="00A7652F" w:rsidRDefault="005F2C99" w:rsidP="00974E0A">
      <w:pPr>
        <w:tabs>
          <w:tab w:val="left" w:pos="426"/>
        </w:tabs>
        <w:spacing w:after="0" w:line="240" w:lineRule="auto"/>
        <w:contextualSpacing/>
        <w:jc w:val="both"/>
        <w:rPr>
          <w:rFonts w:ascii="Arial" w:eastAsia="Calibri" w:hAnsi="Arial" w:cs="Arial"/>
        </w:rPr>
      </w:pPr>
    </w:p>
    <w:bookmarkEnd w:id="4"/>
    <w:bookmarkEnd w:id="5"/>
    <w:p w14:paraId="1A1024F9" w14:textId="0E320740" w:rsidR="005F2C99" w:rsidRPr="00A7652F" w:rsidRDefault="005F2C99" w:rsidP="00FE62E6">
      <w:pPr>
        <w:tabs>
          <w:tab w:val="left" w:pos="284"/>
        </w:tabs>
        <w:spacing w:after="0" w:line="276" w:lineRule="auto"/>
        <w:contextualSpacing/>
        <w:jc w:val="both"/>
        <w:rPr>
          <w:rFonts w:ascii="Arial" w:eastAsia="Calibri" w:hAnsi="Arial" w:cs="Arial"/>
          <w:b/>
        </w:rPr>
      </w:pPr>
      <w:r w:rsidRPr="00A7652F">
        <w:rPr>
          <w:rFonts w:ascii="Arial" w:eastAsia="Calibri" w:hAnsi="Arial" w:cs="Arial"/>
          <w:b/>
        </w:rPr>
        <w:t>2. Consideraciones</w:t>
      </w:r>
    </w:p>
    <w:p w14:paraId="304CEADB" w14:textId="74377B36" w:rsidR="00751D36" w:rsidRPr="00A7652F" w:rsidRDefault="00751D36" w:rsidP="00FE62E6">
      <w:pPr>
        <w:tabs>
          <w:tab w:val="left" w:pos="284"/>
        </w:tabs>
        <w:spacing w:after="0" w:line="276" w:lineRule="auto"/>
        <w:contextualSpacing/>
        <w:jc w:val="both"/>
        <w:rPr>
          <w:rFonts w:ascii="Arial" w:eastAsia="Calibri" w:hAnsi="Arial" w:cs="Arial"/>
          <w:b/>
        </w:rPr>
      </w:pPr>
    </w:p>
    <w:p w14:paraId="743B3288" w14:textId="6E8AB839" w:rsidR="00BF3588" w:rsidRPr="00A7652F" w:rsidRDefault="00BF3588" w:rsidP="004544D9">
      <w:pPr>
        <w:spacing w:after="120" w:line="276" w:lineRule="auto"/>
        <w:jc w:val="both"/>
        <w:rPr>
          <w:rFonts w:ascii="Arial" w:eastAsia="Calibri" w:hAnsi="Arial" w:cs="Arial"/>
          <w:lang w:val="es-ES"/>
        </w:rPr>
      </w:pPr>
      <w:r w:rsidRPr="00A7652F">
        <w:rPr>
          <w:rFonts w:ascii="Arial" w:eastAsia="Calibri" w:hAnsi="Arial" w:cs="Arial"/>
          <w:bCs/>
          <w:lang w:val="es-MX"/>
        </w:rPr>
        <w:t>En ejercicio de las competencias establecidas en los artículos 3.5 y 11.8 del Decreto 4170 de 2011, la Agencia Nacional de Contratación Pública – Colombia Compra Eficiente resuelve la consulta sobre los asuntos de su competencia, esto es, sobre las temáticas de la contratación estatal relacionad</w:t>
      </w:r>
      <w:r w:rsidR="00331539" w:rsidRPr="00A7652F">
        <w:rPr>
          <w:rFonts w:ascii="Arial" w:eastAsia="Calibri" w:hAnsi="Arial" w:cs="Arial"/>
          <w:bCs/>
          <w:lang w:val="es-MX"/>
        </w:rPr>
        <w:t>o</w:t>
      </w:r>
      <w:r w:rsidRPr="00A7652F">
        <w:rPr>
          <w:rFonts w:ascii="Arial" w:eastAsia="Calibri" w:hAnsi="Arial" w:cs="Arial"/>
          <w:bCs/>
          <w:lang w:val="es-MX"/>
        </w:rPr>
        <w:t>s en los artículos citados.</w:t>
      </w:r>
      <w:r w:rsidR="00D11E6F" w:rsidRPr="00A7652F">
        <w:rPr>
          <w:rFonts w:ascii="Arial" w:eastAsia="Calibri" w:hAnsi="Arial" w:cs="Arial"/>
          <w:lang w:val="es-ES"/>
        </w:rPr>
        <w:t xml:space="preserve"> </w:t>
      </w:r>
      <w:bookmarkStart w:id="7" w:name="_Hlk61701014"/>
      <w:bookmarkStart w:id="8" w:name="_Hlk62136649"/>
      <w:r w:rsidRPr="00A7652F">
        <w:rPr>
          <w:rFonts w:ascii="Arial" w:eastAsia="Calibri" w:hAnsi="Arial" w:cs="Arial"/>
          <w:lang w:val="es-ES"/>
        </w:rPr>
        <w:t xml:space="preserve">Es necesario tener en cuenta que </w:t>
      </w:r>
      <w:bookmarkStart w:id="9" w:name="_Hlk61026958"/>
      <w:r w:rsidRPr="00A7652F">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7652F">
        <w:rPr>
          <w:rFonts w:ascii="Arial" w:eastAsia="Calibri" w:hAnsi="Arial" w:cs="Arial"/>
          <w:bCs/>
          <w:lang w:val="es-MX"/>
        </w:rPr>
        <w:t xml:space="preserve"> de todos los partícipes de la contratación estatal.</w:t>
      </w:r>
    </w:p>
    <w:p w14:paraId="1E0E8218" w14:textId="38D6DA9F" w:rsidR="00BF3588" w:rsidRPr="00A7652F" w:rsidRDefault="00BF3588" w:rsidP="00BF3588">
      <w:pPr>
        <w:spacing w:after="120" w:line="276" w:lineRule="auto"/>
        <w:ind w:firstLine="708"/>
        <w:jc w:val="both"/>
        <w:rPr>
          <w:rFonts w:ascii="Arial" w:eastAsia="Calibri" w:hAnsi="Arial" w:cs="Arial"/>
          <w:lang w:val="es-ES"/>
        </w:rPr>
      </w:pPr>
      <w:r w:rsidRPr="00A7652F">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7652F">
        <w:rPr>
          <w:rFonts w:ascii="Arial" w:eastAsia="Calibri" w:hAnsi="Arial" w:cs="Arial"/>
          <w:vertAlign w:val="superscript"/>
          <w:lang w:val="es-ES"/>
        </w:rPr>
        <w:footnoteReference w:id="1"/>
      </w:r>
      <w:r w:rsidRPr="00A7652F">
        <w:rPr>
          <w:rFonts w:ascii="Arial" w:eastAsia="Calibri" w:hAnsi="Arial" w:cs="Arial"/>
          <w:lang w:val="es-ES"/>
        </w:rPr>
        <w:t xml:space="preserve">. Esta competencia de interpretación de normas generales, por definición, no puede extenderse a la resolución de controversias, ni a brindar </w:t>
      </w:r>
      <w:r w:rsidRPr="00A7652F">
        <w:rPr>
          <w:rFonts w:ascii="Arial" w:eastAsia="Calibri" w:hAnsi="Arial" w:cs="Arial"/>
          <w:lang w:val="es-ES"/>
        </w:rPr>
        <w:lastRenderedPageBreak/>
        <w:t xml:space="preserve">asesorías sobre casos puntuales. Esto en la medida en que, para resolver una consulta de carácter particular, además de conocer un sinnúmero de detalles de la actuación administrativa, es necesario acceder al expediente y a los documentos </w:t>
      </w:r>
      <w:r w:rsidR="000F40BA" w:rsidRPr="00A7652F">
        <w:rPr>
          <w:rFonts w:ascii="Arial" w:eastAsia="Calibri" w:hAnsi="Arial" w:cs="Arial"/>
          <w:lang w:val="es-ES"/>
        </w:rPr>
        <w:t>contractuales de</w:t>
      </w:r>
      <w:r w:rsidRPr="00A7652F">
        <w:rPr>
          <w:rFonts w:ascii="Arial" w:eastAsia="Calibri" w:hAnsi="Arial" w:cs="Arial"/>
          <w:lang w:val="es-ES"/>
        </w:rPr>
        <w:t xml:space="preserve"> donde surge la inquietud</w:t>
      </w:r>
      <w:bookmarkEnd w:id="9"/>
      <w:r w:rsidRPr="00A7652F">
        <w:rPr>
          <w:rFonts w:ascii="Arial" w:eastAsia="Calibri" w:hAnsi="Arial" w:cs="Arial"/>
          <w:lang w:val="es-ES"/>
        </w:rPr>
        <w:t xml:space="preserve">. Por lo anterior, previo concepto de sus órganos asesores, la solución de estos temas corresponde a la entidad que </w:t>
      </w:r>
      <w:r w:rsidR="000F40BA" w:rsidRPr="00A7652F">
        <w:rPr>
          <w:rFonts w:ascii="Arial" w:eastAsia="Calibri" w:hAnsi="Arial" w:cs="Arial"/>
          <w:lang w:val="es-ES"/>
        </w:rPr>
        <w:t>suscribió el contrato</w:t>
      </w:r>
      <w:r w:rsidRPr="00A7652F">
        <w:rPr>
          <w:rFonts w:ascii="Arial" w:eastAsia="Calibri" w:hAnsi="Arial" w:cs="Arial"/>
          <w:lang w:val="es-ES"/>
        </w:rPr>
        <w:t xml:space="preserve"> y, en caso de conflicto, a las autoridades judiciales, fiscales y disciplinarias. </w:t>
      </w:r>
      <w:bookmarkEnd w:id="7"/>
    </w:p>
    <w:bookmarkEnd w:id="8"/>
    <w:p w14:paraId="35346D3F" w14:textId="35A92073" w:rsidR="0016704E" w:rsidRPr="00A7652F" w:rsidRDefault="00D11E6F" w:rsidP="00904A4D">
      <w:pPr>
        <w:spacing w:after="120" w:line="276" w:lineRule="auto"/>
        <w:ind w:firstLine="708"/>
        <w:jc w:val="both"/>
        <w:rPr>
          <w:rFonts w:ascii="Arial" w:eastAsia="Calibri" w:hAnsi="Arial" w:cs="Arial"/>
          <w:lang w:val="es-ES"/>
        </w:rPr>
      </w:pPr>
      <w:r w:rsidRPr="00A7652F">
        <w:rPr>
          <w:rFonts w:ascii="Arial" w:eastAsia="Calibri" w:hAnsi="Arial" w:cs="Arial"/>
          <w:color w:val="000000"/>
          <w:lang w:val="es-MX"/>
        </w:rPr>
        <w:t>En atención</w:t>
      </w:r>
      <w:r w:rsidR="00BF3588" w:rsidRPr="00A7652F">
        <w:rPr>
          <w:rFonts w:ascii="Arial" w:eastAsia="Calibri" w:hAnsi="Arial" w:cs="Arial"/>
          <w:color w:val="000000"/>
          <w:lang w:val="es-MX"/>
        </w:rPr>
        <w:t xml:space="preserve"> </w:t>
      </w:r>
      <w:r w:rsidRPr="00A7652F">
        <w:rPr>
          <w:rFonts w:ascii="Arial" w:eastAsia="Calibri" w:hAnsi="Arial" w:cs="Arial"/>
          <w:color w:val="000000"/>
          <w:lang w:val="es-MX"/>
        </w:rPr>
        <w:t xml:space="preserve">a </w:t>
      </w:r>
      <w:r w:rsidR="00BF3588" w:rsidRPr="00A7652F">
        <w:rPr>
          <w:rFonts w:ascii="Arial" w:eastAsia="Calibri" w:hAnsi="Arial" w:cs="Arial"/>
          <w:color w:val="000000"/>
          <w:lang w:val="es-MX"/>
        </w:rPr>
        <w:t xml:space="preserve">lo anterior, </w:t>
      </w:r>
      <w:r w:rsidR="00BF3588" w:rsidRPr="00A7652F">
        <w:rPr>
          <w:rFonts w:ascii="Arial" w:eastAsia="Calibri" w:hAnsi="Arial" w:cs="Arial"/>
          <w:color w:val="000000"/>
          <w:lang w:val="es-ES"/>
        </w:rPr>
        <w:t xml:space="preserve">la Subdirección </w:t>
      </w:r>
      <w:r w:rsidR="00D73FCB" w:rsidRPr="00A7652F">
        <w:rPr>
          <w:rFonts w:ascii="Arial" w:eastAsia="Calibri" w:hAnsi="Arial" w:cs="Arial"/>
          <w:color w:val="000000"/>
          <w:lang w:val="es-ES"/>
        </w:rPr>
        <w:t>de Gestión Contractual</w:t>
      </w:r>
      <w:r w:rsidR="00904A4D" w:rsidRPr="00A7652F">
        <w:rPr>
          <w:rFonts w:ascii="Arial" w:eastAsia="Calibri" w:hAnsi="Arial" w:cs="Arial"/>
          <w:color w:val="000000"/>
          <w:lang w:val="es-ES"/>
        </w:rPr>
        <w:t xml:space="preserve"> </w:t>
      </w:r>
      <w:r w:rsidR="00BF3588" w:rsidRPr="00A7652F">
        <w:rPr>
          <w:rFonts w:ascii="Arial" w:eastAsia="Calibri" w:hAnsi="Arial" w:cs="Arial"/>
          <w:color w:val="000000"/>
          <w:lang w:val="es-ES"/>
        </w:rPr>
        <w:t xml:space="preserve">–dentro de los límites de sus atribuciones, esto es, </w:t>
      </w:r>
      <w:bookmarkStart w:id="10" w:name="_Hlk61025408"/>
      <w:r w:rsidR="00BF3588" w:rsidRPr="00A7652F">
        <w:rPr>
          <w:rFonts w:ascii="Arial" w:eastAsia="Calibri" w:hAnsi="Arial" w:cs="Arial"/>
          <w:color w:val="000000"/>
          <w:lang w:val="es-ES"/>
        </w:rPr>
        <w:t xml:space="preserve">haciendo abstracción del caso particular expuesto por </w:t>
      </w:r>
      <w:r w:rsidR="00331539" w:rsidRPr="00A7652F">
        <w:rPr>
          <w:rFonts w:ascii="Arial" w:eastAsia="Calibri" w:hAnsi="Arial" w:cs="Arial"/>
          <w:color w:val="000000"/>
          <w:lang w:val="es-ES"/>
        </w:rPr>
        <w:t>la</w:t>
      </w:r>
      <w:r w:rsidR="00BF3588" w:rsidRPr="00A7652F">
        <w:rPr>
          <w:rFonts w:ascii="Arial" w:eastAsia="Calibri" w:hAnsi="Arial" w:cs="Arial"/>
          <w:color w:val="000000"/>
          <w:lang w:val="es-ES"/>
        </w:rPr>
        <w:t xml:space="preserve"> peticionari</w:t>
      </w:r>
      <w:bookmarkEnd w:id="10"/>
      <w:r w:rsidR="00331539" w:rsidRPr="00A7652F">
        <w:rPr>
          <w:rFonts w:ascii="Arial" w:eastAsia="Calibri" w:hAnsi="Arial" w:cs="Arial"/>
          <w:color w:val="000000"/>
          <w:lang w:val="es-ES"/>
        </w:rPr>
        <w:t>a</w:t>
      </w:r>
      <w:r w:rsidR="00BF3588" w:rsidRPr="00A7652F">
        <w:rPr>
          <w:rFonts w:ascii="Arial" w:eastAsia="Calibri" w:hAnsi="Arial" w:cs="Arial"/>
          <w:color w:val="000000"/>
          <w:lang w:val="es-ES"/>
        </w:rPr>
        <w:t>– resolverá la consulta conforme a las normas generales en materia de contratación estatal</w:t>
      </w:r>
      <w:r w:rsidR="005F2C99" w:rsidRPr="00A7652F">
        <w:rPr>
          <w:rFonts w:ascii="Arial" w:eastAsia="Calibri" w:hAnsi="Arial" w:cs="Arial"/>
          <w:lang w:val="es-ES_tradnl" w:eastAsia="es-MX"/>
        </w:rPr>
        <w:t>, luego de analizar los siguientes temas: i)</w:t>
      </w:r>
      <w:r w:rsidR="00331539" w:rsidRPr="00A7652F">
        <w:rPr>
          <w:rFonts w:ascii="Arial" w:eastAsia="Calibri" w:hAnsi="Arial" w:cs="Arial"/>
          <w:lang w:val="es-ES_tradnl" w:eastAsia="es-MX"/>
        </w:rPr>
        <w:t xml:space="preserve"> Características generales del contrato de prestación de servicios</w:t>
      </w:r>
      <w:r w:rsidR="00C126B4" w:rsidRPr="00A7652F">
        <w:rPr>
          <w:rFonts w:ascii="Arial" w:eastAsia="Calibri" w:hAnsi="Arial" w:cs="Arial"/>
          <w:lang w:val="es-ES_tradnl" w:eastAsia="es-MX"/>
        </w:rPr>
        <w:t xml:space="preserve">; ii) </w:t>
      </w:r>
      <w:r w:rsidRPr="00A7652F">
        <w:rPr>
          <w:rFonts w:ascii="Arial" w:eastAsia="Calibri" w:hAnsi="Arial" w:cs="Arial"/>
          <w:lang w:val="es-ES_tradnl" w:eastAsia="es-MX"/>
        </w:rPr>
        <w:t>Diferencia entre prórroga, adición y renovación de los contratos estatales</w:t>
      </w:r>
      <w:r w:rsidRPr="00A7652F">
        <w:rPr>
          <w:rFonts w:ascii="Arial" w:eastAsia="Calibri" w:hAnsi="Arial" w:cs="Arial"/>
          <w:lang w:val="es-ES"/>
        </w:rPr>
        <w:t xml:space="preserve"> </w:t>
      </w:r>
      <w:r w:rsidR="00331539" w:rsidRPr="00A7652F">
        <w:rPr>
          <w:rFonts w:ascii="Arial" w:eastAsia="Calibri" w:hAnsi="Arial" w:cs="Arial"/>
          <w:lang w:val="es-ES_tradnl" w:eastAsia="es-MX"/>
        </w:rPr>
        <w:t>y</w:t>
      </w:r>
      <w:r w:rsidR="001D6B27" w:rsidRPr="00A7652F">
        <w:rPr>
          <w:rFonts w:ascii="Arial" w:eastAsia="Calibri" w:hAnsi="Arial" w:cs="Arial"/>
          <w:lang w:val="es-ES_tradnl" w:eastAsia="es-MX"/>
        </w:rPr>
        <w:t xml:space="preserve">; iii) </w:t>
      </w:r>
      <w:r w:rsidRPr="00A7652F">
        <w:rPr>
          <w:rFonts w:ascii="Arial" w:eastAsia="Calibri" w:hAnsi="Arial" w:cs="Arial"/>
          <w:lang w:val="es-ES_tradnl" w:eastAsia="es-MX"/>
        </w:rPr>
        <w:t xml:space="preserve">Análisis sobre la aplicabilidad del fuero de maternidad en los contratos de prestación de servicios </w:t>
      </w:r>
    </w:p>
    <w:p w14:paraId="755BD7D6" w14:textId="449A7016" w:rsidR="005F2C99" w:rsidRPr="00A7652F" w:rsidRDefault="005F2C99" w:rsidP="004544D9">
      <w:pPr>
        <w:spacing w:after="0" w:line="276" w:lineRule="auto"/>
        <w:ind w:firstLine="709"/>
        <w:jc w:val="both"/>
        <w:rPr>
          <w:rFonts w:ascii="Arial" w:eastAsia="Calibri" w:hAnsi="Arial" w:cs="Arial"/>
          <w:lang w:val="es-ES" w:eastAsia="es-MX"/>
        </w:rPr>
      </w:pPr>
      <w:r w:rsidRPr="00A7652F">
        <w:rPr>
          <w:rFonts w:ascii="Arial" w:eastAsia="Calibri" w:hAnsi="Arial" w:cs="Arial"/>
          <w:lang w:val="es-ES"/>
        </w:rPr>
        <w:t>La</w:t>
      </w:r>
      <w:r w:rsidRPr="00A7652F">
        <w:rPr>
          <w:rFonts w:ascii="Arial" w:eastAsia="Calibri" w:hAnsi="Arial" w:cs="Arial"/>
          <w:lang w:val="es-ES_tradnl" w:eastAsia="es-MX"/>
        </w:rPr>
        <w:t xml:space="preserve"> Agencia Nacional de Contratación Pública – Colombia Compra Eficiente, en los conceptos C-00</w:t>
      </w:r>
      <w:r w:rsidR="00D72B60" w:rsidRPr="00A7652F">
        <w:rPr>
          <w:rFonts w:ascii="Arial" w:eastAsia="Calibri" w:hAnsi="Arial" w:cs="Arial"/>
          <w:lang w:val="es-ES_tradnl" w:eastAsia="es-MX"/>
        </w:rPr>
        <w:t>5</w:t>
      </w:r>
      <w:r w:rsidRPr="00A7652F">
        <w:rPr>
          <w:rFonts w:ascii="Arial" w:eastAsia="Calibri" w:hAnsi="Arial" w:cs="Arial"/>
          <w:lang w:val="es-ES_tradnl" w:eastAsia="es-MX"/>
        </w:rPr>
        <w:t xml:space="preserve"> del </w:t>
      </w:r>
      <w:r w:rsidR="00D72B60" w:rsidRPr="00A7652F">
        <w:rPr>
          <w:rFonts w:ascii="Arial" w:eastAsia="Calibri" w:hAnsi="Arial" w:cs="Arial"/>
          <w:lang w:val="es-ES_tradnl" w:eastAsia="es-MX"/>
        </w:rPr>
        <w:t>11 de mayo</w:t>
      </w:r>
      <w:r w:rsidRPr="00A7652F">
        <w:rPr>
          <w:rFonts w:ascii="Arial" w:eastAsia="Calibri" w:hAnsi="Arial" w:cs="Arial"/>
          <w:lang w:val="es-ES_tradnl" w:eastAsia="es-MX"/>
        </w:rPr>
        <w:t xml:space="preserve"> de 2020, C-</w:t>
      </w:r>
      <w:r w:rsidR="00D72B60" w:rsidRPr="00A7652F">
        <w:rPr>
          <w:rFonts w:ascii="Arial" w:eastAsia="Calibri" w:hAnsi="Arial" w:cs="Arial"/>
          <w:lang w:val="es-ES_tradnl" w:eastAsia="es-MX"/>
        </w:rPr>
        <w:t>231</w:t>
      </w:r>
      <w:r w:rsidRPr="00A7652F">
        <w:rPr>
          <w:rFonts w:ascii="Arial" w:eastAsia="Calibri" w:hAnsi="Arial" w:cs="Arial"/>
          <w:lang w:val="es-ES_tradnl" w:eastAsia="es-MX"/>
        </w:rPr>
        <w:t xml:space="preserve"> del </w:t>
      </w:r>
      <w:r w:rsidR="00D72B60" w:rsidRPr="00A7652F">
        <w:rPr>
          <w:rFonts w:ascii="Arial" w:eastAsia="Calibri" w:hAnsi="Arial" w:cs="Arial"/>
          <w:lang w:val="es-ES_tradnl" w:eastAsia="es-MX"/>
        </w:rPr>
        <w:t xml:space="preserve">13 de abril </w:t>
      </w:r>
      <w:r w:rsidRPr="00A7652F">
        <w:rPr>
          <w:rFonts w:ascii="Arial" w:eastAsia="Calibri" w:hAnsi="Arial" w:cs="Arial"/>
          <w:lang w:val="es-ES_tradnl" w:eastAsia="es-MX"/>
        </w:rPr>
        <w:t>de 2020, C-</w:t>
      </w:r>
      <w:r w:rsidR="00D72B60" w:rsidRPr="00A7652F">
        <w:rPr>
          <w:rFonts w:ascii="Arial" w:eastAsia="Calibri" w:hAnsi="Arial" w:cs="Arial"/>
          <w:lang w:val="es-ES_tradnl" w:eastAsia="es-MX"/>
        </w:rPr>
        <w:t>685</w:t>
      </w:r>
      <w:r w:rsidRPr="00A7652F">
        <w:rPr>
          <w:rFonts w:ascii="Arial" w:eastAsia="Calibri" w:hAnsi="Arial" w:cs="Arial"/>
          <w:lang w:val="es-ES_tradnl" w:eastAsia="es-MX"/>
        </w:rPr>
        <w:t xml:space="preserve"> del </w:t>
      </w:r>
      <w:r w:rsidR="00D72B60" w:rsidRPr="00A7652F">
        <w:rPr>
          <w:rFonts w:ascii="Arial" w:eastAsia="Calibri" w:hAnsi="Arial" w:cs="Arial"/>
          <w:lang w:val="es-ES_tradnl" w:eastAsia="es-MX"/>
        </w:rPr>
        <w:t>18</w:t>
      </w:r>
      <w:r w:rsidRPr="00A7652F">
        <w:rPr>
          <w:rFonts w:ascii="Arial" w:eastAsia="Calibri" w:hAnsi="Arial" w:cs="Arial"/>
          <w:lang w:val="es-ES_tradnl" w:eastAsia="es-MX"/>
        </w:rPr>
        <w:t xml:space="preserve"> de diciembre de 2020, C-</w:t>
      </w:r>
      <w:r w:rsidR="00D72B60" w:rsidRPr="00A7652F">
        <w:rPr>
          <w:rFonts w:ascii="Arial" w:eastAsia="Calibri" w:hAnsi="Arial" w:cs="Arial"/>
          <w:lang w:val="es-ES_tradnl" w:eastAsia="es-MX"/>
        </w:rPr>
        <w:t>004</w:t>
      </w:r>
      <w:r w:rsidRPr="00A7652F">
        <w:rPr>
          <w:rFonts w:ascii="Arial" w:eastAsia="Calibri" w:hAnsi="Arial" w:cs="Arial"/>
          <w:lang w:val="es-ES_tradnl" w:eastAsia="es-MX"/>
        </w:rPr>
        <w:t xml:space="preserve"> de</w:t>
      </w:r>
      <w:r w:rsidR="00D72B60" w:rsidRPr="00A7652F">
        <w:rPr>
          <w:rFonts w:ascii="Arial" w:eastAsia="Calibri" w:hAnsi="Arial" w:cs="Arial"/>
          <w:lang w:val="es-ES_tradnl" w:eastAsia="es-MX"/>
        </w:rPr>
        <w:t>l</w:t>
      </w:r>
      <w:r w:rsidRPr="00A7652F">
        <w:rPr>
          <w:rFonts w:ascii="Arial" w:eastAsia="Calibri" w:hAnsi="Arial" w:cs="Arial"/>
          <w:lang w:val="es-ES_tradnl" w:eastAsia="es-MX"/>
        </w:rPr>
        <w:t xml:space="preserve"> </w:t>
      </w:r>
      <w:r w:rsidR="00D72B60" w:rsidRPr="00A7652F">
        <w:rPr>
          <w:rFonts w:ascii="Arial" w:eastAsia="Calibri" w:hAnsi="Arial" w:cs="Arial"/>
          <w:lang w:val="es-ES_tradnl" w:eastAsia="es-MX"/>
        </w:rPr>
        <w:t>12</w:t>
      </w:r>
      <w:r w:rsidRPr="00A7652F">
        <w:rPr>
          <w:rFonts w:ascii="Arial" w:eastAsia="Calibri" w:hAnsi="Arial" w:cs="Arial"/>
          <w:lang w:val="es-ES_tradnl" w:eastAsia="es-MX"/>
        </w:rPr>
        <w:t xml:space="preserve"> de </w:t>
      </w:r>
      <w:r w:rsidR="00D72B60" w:rsidRPr="00A7652F">
        <w:rPr>
          <w:rFonts w:ascii="Arial" w:eastAsia="Calibri" w:hAnsi="Arial" w:cs="Arial"/>
          <w:lang w:val="es-ES_tradnl" w:eastAsia="es-MX"/>
        </w:rPr>
        <w:t>febrero</w:t>
      </w:r>
      <w:r w:rsidRPr="00A7652F">
        <w:rPr>
          <w:rFonts w:ascii="Arial" w:eastAsia="Calibri" w:hAnsi="Arial" w:cs="Arial"/>
          <w:lang w:val="es-ES_tradnl" w:eastAsia="es-MX"/>
        </w:rPr>
        <w:t xml:space="preserve"> de 2021, C-</w:t>
      </w:r>
      <w:r w:rsidR="00D72B60" w:rsidRPr="00A7652F">
        <w:rPr>
          <w:rFonts w:ascii="Arial" w:eastAsia="Calibri" w:hAnsi="Arial" w:cs="Arial"/>
          <w:lang w:val="es-ES_tradnl" w:eastAsia="es-MX"/>
        </w:rPr>
        <w:t xml:space="preserve">145 </w:t>
      </w:r>
      <w:r w:rsidRPr="00A7652F">
        <w:rPr>
          <w:rFonts w:ascii="Arial" w:eastAsia="Calibri" w:hAnsi="Arial" w:cs="Arial"/>
          <w:lang w:val="es-ES_tradnl" w:eastAsia="es-MX"/>
        </w:rPr>
        <w:t xml:space="preserve">del </w:t>
      </w:r>
      <w:r w:rsidR="00D72B60" w:rsidRPr="00A7652F">
        <w:rPr>
          <w:rFonts w:ascii="Arial" w:eastAsia="Calibri" w:hAnsi="Arial" w:cs="Arial"/>
          <w:lang w:val="es-ES_tradnl" w:eastAsia="es-MX"/>
        </w:rPr>
        <w:t>08</w:t>
      </w:r>
      <w:r w:rsidRPr="00A7652F">
        <w:rPr>
          <w:rFonts w:ascii="Arial" w:eastAsia="Calibri" w:hAnsi="Arial" w:cs="Arial"/>
          <w:lang w:val="es-ES_tradnl" w:eastAsia="es-MX"/>
        </w:rPr>
        <w:t xml:space="preserve"> de </w:t>
      </w:r>
      <w:r w:rsidR="00D72B60" w:rsidRPr="00A7652F">
        <w:rPr>
          <w:rFonts w:ascii="Arial" w:eastAsia="Calibri" w:hAnsi="Arial" w:cs="Arial"/>
          <w:lang w:val="es-ES_tradnl" w:eastAsia="es-MX"/>
        </w:rPr>
        <w:t>abril</w:t>
      </w:r>
      <w:r w:rsidRPr="00A7652F">
        <w:rPr>
          <w:rFonts w:ascii="Arial" w:eastAsia="Calibri" w:hAnsi="Arial" w:cs="Arial"/>
          <w:lang w:val="es-ES_tradnl" w:eastAsia="es-MX"/>
        </w:rPr>
        <w:t xml:space="preserve"> de 202</w:t>
      </w:r>
      <w:r w:rsidR="00D72B60" w:rsidRPr="00A7652F">
        <w:rPr>
          <w:rFonts w:ascii="Arial" w:eastAsia="Calibri" w:hAnsi="Arial" w:cs="Arial"/>
          <w:lang w:val="es-ES_tradnl" w:eastAsia="es-MX"/>
        </w:rPr>
        <w:t>1</w:t>
      </w:r>
      <w:r w:rsidRPr="00A7652F">
        <w:rPr>
          <w:rFonts w:ascii="Arial" w:eastAsia="Calibri" w:hAnsi="Arial" w:cs="Arial"/>
          <w:lang w:val="es-ES_tradnl" w:eastAsia="es-MX"/>
        </w:rPr>
        <w:t xml:space="preserve">, </w:t>
      </w:r>
      <w:r w:rsidR="00803B65" w:rsidRPr="00A7652F">
        <w:rPr>
          <w:rFonts w:ascii="Arial" w:eastAsia="Calibri" w:hAnsi="Arial" w:cs="Arial"/>
          <w:lang w:val="es-ES_tradnl" w:eastAsia="es-MX"/>
        </w:rPr>
        <w:t>C-</w:t>
      </w:r>
      <w:r w:rsidR="00D72B60" w:rsidRPr="00A7652F">
        <w:rPr>
          <w:rFonts w:ascii="Arial" w:eastAsia="Calibri" w:hAnsi="Arial" w:cs="Arial"/>
          <w:lang w:val="es-ES_tradnl" w:eastAsia="es-MX"/>
        </w:rPr>
        <w:t>654</w:t>
      </w:r>
      <w:r w:rsidR="00AA35FA" w:rsidRPr="00A7652F">
        <w:rPr>
          <w:rFonts w:ascii="Arial" w:eastAsia="Calibri" w:hAnsi="Arial" w:cs="Arial"/>
          <w:lang w:val="es-ES_tradnl" w:eastAsia="es-MX"/>
        </w:rPr>
        <w:t xml:space="preserve"> del </w:t>
      </w:r>
      <w:r w:rsidR="00D72B60" w:rsidRPr="00A7652F">
        <w:rPr>
          <w:rFonts w:ascii="Arial" w:eastAsia="Calibri" w:hAnsi="Arial" w:cs="Arial"/>
          <w:lang w:val="es-ES_tradnl" w:eastAsia="es-MX"/>
        </w:rPr>
        <w:t>22</w:t>
      </w:r>
      <w:r w:rsidR="00AA35FA" w:rsidRPr="00A7652F">
        <w:rPr>
          <w:rFonts w:ascii="Arial" w:eastAsia="Calibri" w:hAnsi="Arial" w:cs="Arial"/>
          <w:lang w:val="es-ES_tradnl" w:eastAsia="es-MX"/>
        </w:rPr>
        <w:t xml:space="preserve"> de </w:t>
      </w:r>
      <w:r w:rsidR="00D72B60" w:rsidRPr="00A7652F">
        <w:rPr>
          <w:rFonts w:ascii="Arial" w:eastAsia="Calibri" w:hAnsi="Arial" w:cs="Arial"/>
          <w:lang w:val="es-ES_tradnl" w:eastAsia="es-MX"/>
        </w:rPr>
        <w:t>noviembre</w:t>
      </w:r>
      <w:r w:rsidR="00AA35FA" w:rsidRPr="00A7652F">
        <w:rPr>
          <w:rFonts w:ascii="Arial" w:eastAsia="Calibri" w:hAnsi="Arial" w:cs="Arial"/>
          <w:lang w:val="es-ES_tradnl" w:eastAsia="es-MX"/>
        </w:rPr>
        <w:t xml:space="preserve"> de 202</w:t>
      </w:r>
      <w:r w:rsidR="00D72B60" w:rsidRPr="00A7652F">
        <w:rPr>
          <w:rFonts w:ascii="Arial" w:eastAsia="Calibri" w:hAnsi="Arial" w:cs="Arial"/>
          <w:lang w:val="es-ES_tradnl" w:eastAsia="es-MX"/>
        </w:rPr>
        <w:t>1</w:t>
      </w:r>
      <w:r w:rsidR="00803B65" w:rsidRPr="00A7652F">
        <w:rPr>
          <w:rFonts w:ascii="Arial" w:eastAsia="Calibri" w:hAnsi="Arial" w:cs="Arial"/>
          <w:lang w:val="es-ES_tradnl" w:eastAsia="es-MX"/>
        </w:rPr>
        <w:t>, C-</w:t>
      </w:r>
      <w:r w:rsidR="00D72B60" w:rsidRPr="00A7652F">
        <w:rPr>
          <w:rFonts w:ascii="Arial" w:eastAsia="Calibri" w:hAnsi="Arial" w:cs="Arial"/>
          <w:lang w:val="es-ES_tradnl" w:eastAsia="es-MX"/>
        </w:rPr>
        <w:t>019</w:t>
      </w:r>
      <w:r w:rsidR="00AA35FA" w:rsidRPr="00A7652F">
        <w:rPr>
          <w:rFonts w:ascii="Arial" w:eastAsia="Calibri" w:hAnsi="Arial" w:cs="Arial"/>
          <w:lang w:val="es-ES_tradnl" w:eastAsia="es-MX"/>
        </w:rPr>
        <w:t xml:space="preserve"> del 2</w:t>
      </w:r>
      <w:r w:rsidR="00D72B60" w:rsidRPr="00A7652F">
        <w:rPr>
          <w:rFonts w:ascii="Arial" w:eastAsia="Calibri" w:hAnsi="Arial" w:cs="Arial"/>
          <w:lang w:val="es-ES_tradnl" w:eastAsia="es-MX"/>
        </w:rPr>
        <w:t>1</w:t>
      </w:r>
      <w:r w:rsidR="00AA35FA" w:rsidRPr="00A7652F">
        <w:rPr>
          <w:rFonts w:ascii="Arial" w:eastAsia="Calibri" w:hAnsi="Arial" w:cs="Arial"/>
          <w:lang w:val="es-ES_tradnl" w:eastAsia="es-MX"/>
        </w:rPr>
        <w:t xml:space="preserve"> de febrero de 2022</w:t>
      </w:r>
      <w:r w:rsidR="00803B65" w:rsidRPr="00A7652F">
        <w:rPr>
          <w:rFonts w:ascii="Arial" w:eastAsia="Calibri" w:hAnsi="Arial" w:cs="Arial"/>
          <w:lang w:val="es-ES_tradnl" w:eastAsia="es-MX"/>
        </w:rPr>
        <w:t>, C-</w:t>
      </w:r>
      <w:r w:rsidR="00A04E07" w:rsidRPr="00A7652F">
        <w:rPr>
          <w:rFonts w:ascii="Arial" w:eastAsia="Calibri" w:hAnsi="Arial" w:cs="Arial"/>
          <w:lang w:val="es-ES_tradnl" w:eastAsia="es-MX"/>
        </w:rPr>
        <w:t>0</w:t>
      </w:r>
      <w:r w:rsidR="002B750D" w:rsidRPr="00A7652F">
        <w:rPr>
          <w:rFonts w:ascii="Arial" w:eastAsia="Calibri" w:hAnsi="Arial" w:cs="Arial"/>
          <w:lang w:val="es-ES_tradnl" w:eastAsia="es-MX"/>
        </w:rPr>
        <w:t>2</w:t>
      </w:r>
      <w:r w:rsidR="00A04E07" w:rsidRPr="00A7652F">
        <w:rPr>
          <w:rFonts w:ascii="Arial" w:eastAsia="Calibri" w:hAnsi="Arial" w:cs="Arial"/>
          <w:lang w:val="es-ES_tradnl" w:eastAsia="es-MX"/>
        </w:rPr>
        <w:t>4</w:t>
      </w:r>
      <w:r w:rsidR="00AA35FA" w:rsidRPr="00A7652F">
        <w:rPr>
          <w:rFonts w:ascii="Arial" w:eastAsia="Calibri" w:hAnsi="Arial" w:cs="Arial"/>
          <w:lang w:val="es-ES_tradnl" w:eastAsia="es-MX"/>
        </w:rPr>
        <w:t xml:space="preserve"> del </w:t>
      </w:r>
      <w:r w:rsidR="002B750D" w:rsidRPr="00A7652F">
        <w:rPr>
          <w:rFonts w:ascii="Arial" w:eastAsia="Calibri" w:hAnsi="Arial" w:cs="Arial"/>
          <w:lang w:val="es-ES_tradnl" w:eastAsia="es-MX"/>
        </w:rPr>
        <w:t>4</w:t>
      </w:r>
      <w:r w:rsidR="00AA35FA" w:rsidRPr="00A7652F">
        <w:rPr>
          <w:rFonts w:ascii="Arial" w:eastAsia="Calibri" w:hAnsi="Arial" w:cs="Arial"/>
          <w:lang w:val="es-ES_tradnl" w:eastAsia="es-MX"/>
        </w:rPr>
        <w:t xml:space="preserve"> de marzo de 2022</w:t>
      </w:r>
      <w:r w:rsidR="00A04E07" w:rsidRPr="00A7652F">
        <w:rPr>
          <w:rFonts w:ascii="Arial" w:eastAsia="Calibri" w:hAnsi="Arial" w:cs="Arial"/>
          <w:lang w:val="es-ES_tradnl" w:eastAsia="es-MX"/>
        </w:rPr>
        <w:t>, C-</w:t>
      </w:r>
      <w:r w:rsidR="002B750D" w:rsidRPr="00A7652F">
        <w:rPr>
          <w:rFonts w:ascii="Arial" w:eastAsia="Calibri" w:hAnsi="Arial" w:cs="Arial"/>
          <w:lang w:val="es-ES_tradnl" w:eastAsia="es-MX"/>
        </w:rPr>
        <w:t>181</w:t>
      </w:r>
      <w:r w:rsidR="00AA35FA" w:rsidRPr="00A7652F">
        <w:rPr>
          <w:rFonts w:ascii="Arial" w:eastAsia="Calibri" w:hAnsi="Arial" w:cs="Arial"/>
          <w:lang w:val="es-ES_tradnl" w:eastAsia="es-MX"/>
        </w:rPr>
        <w:t xml:space="preserve"> del </w:t>
      </w:r>
      <w:r w:rsidR="002B750D" w:rsidRPr="00A7652F">
        <w:rPr>
          <w:rFonts w:ascii="Arial" w:eastAsia="Calibri" w:hAnsi="Arial" w:cs="Arial"/>
          <w:lang w:val="es-ES_tradnl" w:eastAsia="es-MX"/>
        </w:rPr>
        <w:t>8</w:t>
      </w:r>
      <w:r w:rsidR="00AA35FA" w:rsidRPr="00A7652F">
        <w:rPr>
          <w:rFonts w:ascii="Arial" w:eastAsia="Calibri" w:hAnsi="Arial" w:cs="Arial"/>
          <w:lang w:val="es-ES_tradnl" w:eastAsia="es-MX"/>
        </w:rPr>
        <w:t xml:space="preserve"> de </w:t>
      </w:r>
      <w:r w:rsidR="002B750D" w:rsidRPr="00A7652F">
        <w:rPr>
          <w:rFonts w:ascii="Arial" w:eastAsia="Calibri" w:hAnsi="Arial" w:cs="Arial"/>
          <w:lang w:val="es-ES_tradnl" w:eastAsia="es-MX"/>
        </w:rPr>
        <w:t>abril</w:t>
      </w:r>
      <w:r w:rsidR="00AA35FA" w:rsidRPr="00A7652F">
        <w:rPr>
          <w:rFonts w:ascii="Arial" w:eastAsia="Calibri" w:hAnsi="Arial" w:cs="Arial"/>
          <w:lang w:val="es-ES_tradnl" w:eastAsia="es-MX"/>
        </w:rPr>
        <w:t xml:space="preserve"> de 2022</w:t>
      </w:r>
      <w:r w:rsidR="00A04E07" w:rsidRPr="00A7652F">
        <w:rPr>
          <w:rFonts w:ascii="Arial" w:eastAsia="Calibri" w:hAnsi="Arial" w:cs="Arial"/>
          <w:lang w:val="es-ES_tradnl" w:eastAsia="es-MX"/>
        </w:rPr>
        <w:t>, C-</w:t>
      </w:r>
      <w:r w:rsidR="002B750D" w:rsidRPr="00A7652F">
        <w:rPr>
          <w:rFonts w:ascii="Arial" w:eastAsia="Calibri" w:hAnsi="Arial" w:cs="Arial"/>
          <w:lang w:val="es-ES_tradnl" w:eastAsia="es-MX"/>
        </w:rPr>
        <w:t>491</w:t>
      </w:r>
      <w:r w:rsidR="006528E9" w:rsidRPr="00A7652F">
        <w:rPr>
          <w:rFonts w:ascii="Arial" w:eastAsia="Calibri" w:hAnsi="Arial" w:cs="Arial"/>
          <w:lang w:val="es-ES_tradnl" w:eastAsia="es-MX"/>
        </w:rPr>
        <w:t xml:space="preserve"> del </w:t>
      </w:r>
      <w:r w:rsidR="002B750D" w:rsidRPr="00A7652F">
        <w:rPr>
          <w:rFonts w:ascii="Arial" w:eastAsia="Calibri" w:hAnsi="Arial" w:cs="Arial"/>
          <w:lang w:val="es-ES_tradnl" w:eastAsia="es-MX"/>
        </w:rPr>
        <w:t>01</w:t>
      </w:r>
      <w:r w:rsidR="006528E9" w:rsidRPr="00A7652F">
        <w:rPr>
          <w:rFonts w:ascii="Arial" w:eastAsia="Calibri" w:hAnsi="Arial" w:cs="Arial"/>
          <w:lang w:val="es-ES_tradnl" w:eastAsia="es-MX"/>
        </w:rPr>
        <w:t xml:space="preserve"> de </w:t>
      </w:r>
      <w:r w:rsidR="002B750D" w:rsidRPr="00A7652F">
        <w:rPr>
          <w:rFonts w:ascii="Arial" w:eastAsia="Calibri" w:hAnsi="Arial" w:cs="Arial"/>
          <w:lang w:val="es-ES_tradnl" w:eastAsia="es-MX"/>
        </w:rPr>
        <w:t>agosto</w:t>
      </w:r>
      <w:r w:rsidR="006528E9" w:rsidRPr="00A7652F">
        <w:rPr>
          <w:rFonts w:ascii="Arial" w:eastAsia="Calibri" w:hAnsi="Arial" w:cs="Arial"/>
          <w:lang w:val="es-ES_tradnl" w:eastAsia="es-MX"/>
        </w:rPr>
        <w:t xml:space="preserve"> de 2022</w:t>
      </w:r>
      <w:r w:rsidR="002B750D" w:rsidRPr="00A7652F">
        <w:rPr>
          <w:rStyle w:val="Refdenotaalpie"/>
          <w:rFonts w:ascii="Arial" w:eastAsia="Calibri" w:hAnsi="Arial" w:cs="Arial"/>
          <w:lang w:val="es-ES_tradnl" w:eastAsia="es-MX"/>
        </w:rPr>
        <w:footnoteReference w:id="2"/>
      </w:r>
      <w:r w:rsidR="005124D4" w:rsidRPr="00A7652F">
        <w:rPr>
          <w:rFonts w:ascii="Arial" w:eastAsia="Calibri" w:hAnsi="Arial" w:cs="Arial"/>
          <w:lang w:val="es-ES_tradnl" w:eastAsia="es-MX"/>
        </w:rPr>
        <w:t xml:space="preserve">, </w:t>
      </w:r>
      <w:r w:rsidRPr="00A7652F">
        <w:rPr>
          <w:rFonts w:ascii="Arial" w:eastAsia="Calibri" w:hAnsi="Arial" w:cs="Arial"/>
          <w:lang w:val="es-ES_tradnl" w:eastAsia="es-MX"/>
        </w:rPr>
        <w:t xml:space="preserve">se pronunció </w:t>
      </w:r>
      <w:r w:rsidR="000F40BA" w:rsidRPr="00A7652F">
        <w:rPr>
          <w:rFonts w:ascii="Arial" w:eastAsia="Calibri" w:hAnsi="Arial" w:cs="Arial"/>
          <w:lang w:val="es-ES_tradnl" w:eastAsia="es-MX"/>
        </w:rPr>
        <w:t xml:space="preserve">sobre </w:t>
      </w:r>
      <w:r w:rsidRPr="00A7652F">
        <w:rPr>
          <w:rFonts w:ascii="Arial" w:eastAsia="Calibri" w:hAnsi="Arial" w:cs="Arial"/>
          <w:lang w:val="es-ES_tradnl" w:eastAsia="es-MX"/>
        </w:rPr>
        <w:t>diferentes aspectos relativos a l</w:t>
      </w:r>
      <w:r w:rsidR="00331539" w:rsidRPr="00A7652F">
        <w:rPr>
          <w:rFonts w:ascii="Arial" w:eastAsia="Calibri" w:hAnsi="Arial" w:cs="Arial"/>
          <w:lang w:val="es-ES_tradnl" w:eastAsia="es-MX"/>
        </w:rPr>
        <w:t>os</w:t>
      </w:r>
      <w:r w:rsidRPr="00A7652F">
        <w:rPr>
          <w:rFonts w:ascii="Arial" w:eastAsia="Calibri" w:hAnsi="Arial" w:cs="Arial"/>
          <w:lang w:val="es-ES_tradnl" w:eastAsia="es-MX"/>
        </w:rPr>
        <w:t xml:space="preserve"> </w:t>
      </w:r>
      <w:r w:rsidR="00331539" w:rsidRPr="00A7652F">
        <w:rPr>
          <w:rFonts w:ascii="Arial" w:eastAsia="Calibri" w:hAnsi="Arial" w:cs="Arial"/>
          <w:lang w:val="es-ES_tradnl" w:eastAsia="es-MX"/>
        </w:rPr>
        <w:t>contratos de prestación de servicios.</w:t>
      </w:r>
      <w:r w:rsidRPr="00A7652F">
        <w:rPr>
          <w:rFonts w:ascii="Arial" w:eastAsia="Calibri" w:hAnsi="Arial" w:cs="Arial"/>
          <w:lang w:val="es-ES_tradnl" w:eastAsia="es-MX"/>
        </w:rPr>
        <w:t xml:space="preserve"> </w:t>
      </w:r>
      <w:r w:rsidR="00AF5977" w:rsidRPr="00A7652F">
        <w:rPr>
          <w:rFonts w:ascii="Arial" w:eastAsia="Times New Roman" w:hAnsi="Arial" w:cs="Arial"/>
          <w:color w:val="000000"/>
          <w:szCs w:val="24"/>
          <w:lang w:eastAsia="es-ES_tradnl"/>
        </w:rPr>
        <w:t>Asimismo</w:t>
      </w:r>
      <w:r w:rsidR="00AF5977" w:rsidRPr="00A7652F">
        <w:rPr>
          <w:rFonts w:ascii="Arial" w:eastAsia="Calibri" w:hAnsi="Arial" w:cs="Arial"/>
          <w:lang w:val="es-ES_tradnl" w:eastAsia="es-MX"/>
        </w:rPr>
        <w:t>, esta Agencia</w:t>
      </w:r>
      <w:r w:rsidR="00D11E6F" w:rsidRPr="00A7652F">
        <w:rPr>
          <w:rFonts w:ascii="Arial" w:eastAsia="Calibri" w:hAnsi="Arial" w:cs="Arial"/>
          <w:lang w:val="es-ES_tradnl" w:eastAsia="es-MX"/>
        </w:rPr>
        <w:t>,</w:t>
      </w:r>
      <w:r w:rsidR="00AF5977" w:rsidRPr="00A7652F">
        <w:rPr>
          <w:rFonts w:ascii="Arial" w:eastAsia="Calibri" w:hAnsi="Arial" w:cs="Arial"/>
          <w:lang w:val="es-ES_tradnl" w:eastAsia="es-MX"/>
        </w:rPr>
        <w:t xml:space="preserve"> </w:t>
      </w:r>
      <w:r w:rsidR="00680E6D" w:rsidRPr="00A7652F">
        <w:rPr>
          <w:rFonts w:ascii="Arial" w:eastAsia="Calibri" w:hAnsi="Arial" w:cs="Arial"/>
          <w:lang w:val="es-ES_tradnl" w:eastAsia="es-MX"/>
        </w:rPr>
        <w:t>en los conceptos C-0</w:t>
      </w:r>
      <w:r w:rsidR="00763C96" w:rsidRPr="00A7652F">
        <w:rPr>
          <w:rFonts w:ascii="Arial" w:eastAsia="Calibri" w:hAnsi="Arial" w:cs="Arial"/>
          <w:lang w:val="es-ES_tradnl" w:eastAsia="es-MX"/>
        </w:rPr>
        <w:t>62</w:t>
      </w:r>
      <w:r w:rsidR="00680E6D" w:rsidRPr="00A7652F">
        <w:rPr>
          <w:rFonts w:ascii="Arial" w:eastAsia="Calibri" w:hAnsi="Arial" w:cs="Arial"/>
          <w:lang w:val="es-ES_tradnl" w:eastAsia="es-MX"/>
        </w:rPr>
        <w:t xml:space="preserve"> del </w:t>
      </w:r>
      <w:r w:rsidR="00763C96" w:rsidRPr="00A7652F">
        <w:rPr>
          <w:rFonts w:ascii="Arial" w:eastAsia="Calibri" w:hAnsi="Arial" w:cs="Arial"/>
          <w:lang w:val="es-ES_tradnl" w:eastAsia="es-MX"/>
        </w:rPr>
        <w:t>25</w:t>
      </w:r>
      <w:r w:rsidR="00680E6D" w:rsidRPr="00A7652F">
        <w:rPr>
          <w:rFonts w:ascii="Arial" w:eastAsia="Calibri" w:hAnsi="Arial" w:cs="Arial"/>
          <w:lang w:val="es-ES_tradnl" w:eastAsia="es-MX"/>
        </w:rPr>
        <w:t xml:space="preserve"> de marzo de 2020, C-</w:t>
      </w:r>
      <w:r w:rsidR="00763C96" w:rsidRPr="00A7652F">
        <w:rPr>
          <w:rFonts w:ascii="Arial" w:eastAsia="Calibri" w:hAnsi="Arial" w:cs="Arial"/>
          <w:lang w:val="es-ES_tradnl" w:eastAsia="es-MX"/>
        </w:rPr>
        <w:t>100</w:t>
      </w:r>
      <w:r w:rsidR="00680E6D" w:rsidRPr="00A7652F">
        <w:rPr>
          <w:rFonts w:ascii="Arial" w:eastAsia="Calibri" w:hAnsi="Arial" w:cs="Arial"/>
          <w:lang w:val="es-ES_tradnl" w:eastAsia="es-MX"/>
        </w:rPr>
        <w:t xml:space="preserve"> del </w:t>
      </w:r>
      <w:r w:rsidR="00763C96" w:rsidRPr="00A7652F">
        <w:rPr>
          <w:rFonts w:ascii="Arial" w:eastAsia="Calibri" w:hAnsi="Arial" w:cs="Arial"/>
          <w:lang w:val="es-ES_tradnl" w:eastAsia="es-MX"/>
        </w:rPr>
        <w:t>27</w:t>
      </w:r>
      <w:r w:rsidR="00680E6D" w:rsidRPr="00A7652F">
        <w:rPr>
          <w:rFonts w:ascii="Arial" w:eastAsia="Calibri" w:hAnsi="Arial" w:cs="Arial"/>
          <w:lang w:val="es-ES_tradnl" w:eastAsia="es-MX"/>
        </w:rPr>
        <w:t xml:space="preserve"> de marzo de 2020</w:t>
      </w:r>
      <w:r w:rsidR="000F40BA" w:rsidRPr="00A7652F">
        <w:rPr>
          <w:rFonts w:ascii="Arial" w:eastAsia="Calibri" w:hAnsi="Arial" w:cs="Arial"/>
          <w:lang w:val="es-ES_tradnl" w:eastAsia="es-MX"/>
        </w:rPr>
        <w:t xml:space="preserve"> y</w:t>
      </w:r>
      <w:r w:rsidR="00680E6D" w:rsidRPr="00A7652F">
        <w:rPr>
          <w:rFonts w:ascii="Arial" w:eastAsia="Calibri" w:hAnsi="Arial" w:cs="Arial"/>
          <w:lang w:val="es-ES_tradnl" w:eastAsia="es-MX"/>
        </w:rPr>
        <w:t xml:space="preserve"> C-</w:t>
      </w:r>
      <w:r w:rsidR="00763C96" w:rsidRPr="00A7652F">
        <w:rPr>
          <w:rFonts w:ascii="Arial" w:eastAsia="Calibri" w:hAnsi="Arial" w:cs="Arial"/>
          <w:lang w:val="es-ES_tradnl" w:eastAsia="es-MX"/>
        </w:rPr>
        <w:t>073</w:t>
      </w:r>
      <w:r w:rsidR="00680E6D" w:rsidRPr="00A7652F">
        <w:rPr>
          <w:rFonts w:ascii="Arial" w:eastAsia="Calibri" w:hAnsi="Arial" w:cs="Arial"/>
          <w:lang w:val="es-ES_tradnl" w:eastAsia="es-MX"/>
        </w:rPr>
        <w:t xml:space="preserve"> del 1</w:t>
      </w:r>
      <w:r w:rsidR="00763C96" w:rsidRPr="00A7652F">
        <w:rPr>
          <w:rFonts w:ascii="Arial" w:eastAsia="Calibri" w:hAnsi="Arial" w:cs="Arial"/>
          <w:lang w:val="es-ES_tradnl" w:eastAsia="es-MX"/>
        </w:rPr>
        <w:t>6</w:t>
      </w:r>
      <w:r w:rsidR="00680E6D" w:rsidRPr="00A7652F">
        <w:rPr>
          <w:rFonts w:ascii="Arial" w:eastAsia="Calibri" w:hAnsi="Arial" w:cs="Arial"/>
          <w:lang w:val="es-ES_tradnl" w:eastAsia="es-MX"/>
        </w:rPr>
        <w:t xml:space="preserve"> de </w:t>
      </w:r>
      <w:r w:rsidR="00763C96" w:rsidRPr="00A7652F">
        <w:rPr>
          <w:rFonts w:ascii="Arial" w:eastAsia="Calibri" w:hAnsi="Arial" w:cs="Arial"/>
          <w:lang w:val="es-ES_tradnl" w:eastAsia="es-MX"/>
        </w:rPr>
        <w:t>marzo</w:t>
      </w:r>
      <w:r w:rsidR="00680E6D" w:rsidRPr="00A7652F">
        <w:rPr>
          <w:rFonts w:ascii="Arial" w:eastAsia="Calibri" w:hAnsi="Arial" w:cs="Arial"/>
          <w:lang w:val="es-ES_tradnl" w:eastAsia="es-MX"/>
        </w:rPr>
        <w:t xml:space="preserve"> de 202</w:t>
      </w:r>
      <w:r w:rsidR="00763C96" w:rsidRPr="00A7652F">
        <w:rPr>
          <w:rFonts w:ascii="Arial" w:eastAsia="Calibri" w:hAnsi="Arial" w:cs="Arial"/>
          <w:lang w:val="es-ES_tradnl" w:eastAsia="es-MX"/>
        </w:rPr>
        <w:t>1</w:t>
      </w:r>
      <w:r w:rsidR="00680E6D" w:rsidRPr="00A7652F">
        <w:rPr>
          <w:rFonts w:ascii="Arial" w:eastAsia="Calibri" w:hAnsi="Arial" w:cs="Arial"/>
          <w:lang w:val="es-ES_tradnl" w:eastAsia="es-MX"/>
        </w:rPr>
        <w:t>,</w:t>
      </w:r>
      <w:r w:rsidR="0066751E" w:rsidRPr="00A7652F">
        <w:rPr>
          <w:rFonts w:ascii="Arial" w:eastAsia="Calibri" w:hAnsi="Arial" w:cs="Arial"/>
          <w:lang w:val="es-ES_tradnl" w:eastAsia="es-MX"/>
        </w:rPr>
        <w:t xml:space="preserve"> </w:t>
      </w:r>
      <w:r w:rsidR="00331539" w:rsidRPr="00A7652F">
        <w:rPr>
          <w:rFonts w:ascii="Arial" w:eastAsia="Calibri" w:hAnsi="Arial" w:cs="Arial"/>
          <w:lang w:val="es-ES_tradnl" w:eastAsia="es-MX"/>
        </w:rPr>
        <w:t xml:space="preserve">estudió lo concerniente a </w:t>
      </w:r>
      <w:r w:rsidR="00763C96" w:rsidRPr="00A7652F">
        <w:rPr>
          <w:rFonts w:ascii="Arial" w:eastAsia="Calibri" w:hAnsi="Arial" w:cs="Arial"/>
          <w:lang w:val="es-ES_tradnl" w:eastAsia="es-MX"/>
        </w:rPr>
        <w:t xml:space="preserve">la modificación </w:t>
      </w:r>
      <w:r w:rsidR="00331539" w:rsidRPr="00A7652F">
        <w:rPr>
          <w:rFonts w:ascii="Arial" w:eastAsia="Calibri" w:hAnsi="Arial" w:cs="Arial"/>
          <w:lang w:val="es-ES_tradnl" w:eastAsia="es-MX"/>
        </w:rPr>
        <w:t>de los contratos estatales</w:t>
      </w:r>
      <w:r w:rsidR="00680E6D" w:rsidRPr="00A7652F">
        <w:rPr>
          <w:rFonts w:ascii="Arial" w:eastAsia="Calibri" w:hAnsi="Arial" w:cs="Arial"/>
          <w:lang w:val="es-ES"/>
        </w:rPr>
        <w:t>.</w:t>
      </w:r>
      <w:r w:rsidR="00763C96" w:rsidRPr="00A7652F">
        <w:rPr>
          <w:rFonts w:ascii="Arial" w:eastAsia="Calibri" w:hAnsi="Arial" w:cs="Arial"/>
          <w:lang w:val="es-ES"/>
        </w:rPr>
        <w:t xml:space="preserve"> </w:t>
      </w:r>
      <w:r w:rsidR="00D11E6F" w:rsidRPr="00A7652F">
        <w:rPr>
          <w:rFonts w:ascii="Arial" w:eastAsia="Calibri" w:hAnsi="Arial" w:cs="Arial"/>
          <w:lang w:val="es-ES"/>
        </w:rPr>
        <w:t xml:space="preserve">Finalmente, </w:t>
      </w:r>
      <w:r w:rsidR="00D11E6F" w:rsidRPr="00A7652F">
        <w:rPr>
          <w:rFonts w:ascii="Arial" w:eastAsia="Yu Gothic UI Semibold" w:hAnsi="Arial" w:cs="Arial"/>
        </w:rPr>
        <w:t xml:space="preserve">se ha pronunciado sobre la estabilidad ocupacional reforzada en mujer embarazada en los conceptos con radicados números </w:t>
      </w:r>
      <w:r w:rsidR="00D11E6F" w:rsidRPr="00A7652F">
        <w:rPr>
          <w:rFonts w:ascii="Arial" w:hAnsi="Arial" w:cs="Arial"/>
        </w:rPr>
        <w:t>2201913000009150 del 11 de diciembre de 2021 y 2201913000009571 del 24 de diciembre de 2019</w:t>
      </w:r>
      <w:r w:rsidR="00D11E6F" w:rsidRPr="00A7652F">
        <w:rPr>
          <w:rFonts w:ascii="Arial" w:eastAsia="Yu Gothic UI Semibold" w:hAnsi="Arial" w:cs="Arial"/>
        </w:rPr>
        <w:t xml:space="preserve">.  </w:t>
      </w:r>
      <w:r w:rsidRPr="00A7652F">
        <w:rPr>
          <w:rFonts w:ascii="Arial" w:eastAsia="Times New Roman" w:hAnsi="Arial" w:cs="Arial"/>
          <w:lang w:val="es-ES_tradnl" w:eastAsia="es-MX"/>
        </w:rPr>
        <w:t xml:space="preserve">Algunos de los argumentos </w:t>
      </w:r>
      <w:r w:rsidRPr="00A7652F">
        <w:rPr>
          <w:rFonts w:ascii="Arial" w:eastAsia="Times New Roman" w:hAnsi="Arial" w:cs="Arial"/>
          <w:lang w:val="es-ES_tradnl" w:eastAsia="es-MX"/>
        </w:rPr>
        <w:lastRenderedPageBreak/>
        <w:t xml:space="preserve">expuestos </w:t>
      </w:r>
      <w:r w:rsidR="004E2B12" w:rsidRPr="00A7652F">
        <w:rPr>
          <w:rFonts w:ascii="Arial" w:eastAsia="Times New Roman" w:hAnsi="Arial" w:cs="Arial"/>
          <w:lang w:val="es-ES_tradnl" w:eastAsia="es-MX"/>
        </w:rPr>
        <w:t>en los mencionados</w:t>
      </w:r>
      <w:r w:rsidRPr="00A7652F">
        <w:rPr>
          <w:rFonts w:ascii="Arial" w:eastAsia="Times New Roman" w:hAnsi="Arial" w:cs="Arial"/>
          <w:lang w:val="es-ES_tradnl" w:eastAsia="es-MX"/>
        </w:rPr>
        <w:t xml:space="preserve"> conceptos se reiteran y complementan</w:t>
      </w:r>
      <w:r w:rsidR="002F7301" w:rsidRPr="00A7652F">
        <w:rPr>
          <w:rFonts w:ascii="Arial" w:eastAsia="Times New Roman" w:hAnsi="Arial" w:cs="Arial"/>
          <w:lang w:val="es-ES_tradnl" w:eastAsia="es-MX"/>
        </w:rPr>
        <w:t xml:space="preserve"> en lo pertinente</w:t>
      </w:r>
      <w:r w:rsidRPr="00A7652F">
        <w:rPr>
          <w:rFonts w:ascii="Arial" w:eastAsia="Times New Roman" w:hAnsi="Arial" w:cs="Arial"/>
          <w:lang w:val="es-ES_tradnl" w:eastAsia="es-MX"/>
        </w:rPr>
        <w:t xml:space="preserve"> a continuación</w:t>
      </w:r>
      <w:r w:rsidRPr="00A7652F">
        <w:rPr>
          <w:rFonts w:ascii="Arial" w:eastAsia="Calibri" w:hAnsi="Arial" w:cs="Arial"/>
          <w:lang w:val="es-ES" w:eastAsia="es-MX"/>
        </w:rPr>
        <w:t>.</w:t>
      </w:r>
    </w:p>
    <w:p w14:paraId="5F742AB2" w14:textId="1AA64941" w:rsidR="005F2C99" w:rsidRPr="00A7652F" w:rsidRDefault="005F2C99" w:rsidP="004544D9">
      <w:pPr>
        <w:widowControl w:val="0"/>
        <w:autoSpaceDE w:val="0"/>
        <w:autoSpaceDN w:val="0"/>
        <w:spacing w:after="0" w:line="276" w:lineRule="auto"/>
        <w:contextualSpacing/>
        <w:jc w:val="both"/>
        <w:rPr>
          <w:rFonts w:ascii="Arial" w:eastAsia="Times New Roman" w:hAnsi="Arial" w:cs="Arial"/>
          <w:bCs/>
          <w:lang w:val="es-MX" w:eastAsia="x-none"/>
        </w:rPr>
      </w:pPr>
    </w:p>
    <w:p w14:paraId="5741EA5D" w14:textId="61336059" w:rsidR="0066787D" w:rsidRPr="00A7652F" w:rsidRDefault="0066787D" w:rsidP="00085F0E">
      <w:pPr>
        <w:spacing w:after="0" w:line="276" w:lineRule="auto"/>
        <w:contextualSpacing/>
        <w:jc w:val="both"/>
        <w:rPr>
          <w:rFonts w:ascii="Arial" w:eastAsia="Times New Roman" w:hAnsi="Arial" w:cs="Arial"/>
          <w:b/>
          <w:bCs/>
          <w:color w:val="000000"/>
          <w:szCs w:val="24"/>
          <w:lang w:val="es-ES_tradnl" w:eastAsia="es-ES_tradnl"/>
        </w:rPr>
      </w:pPr>
      <w:r w:rsidRPr="00A7652F">
        <w:rPr>
          <w:rFonts w:ascii="Arial" w:eastAsia="Times New Roman" w:hAnsi="Arial" w:cs="Arial"/>
          <w:b/>
          <w:bCs/>
          <w:color w:val="000000"/>
          <w:szCs w:val="24"/>
          <w:lang w:val="es-ES_tradnl" w:eastAsia="es-ES_tradnl"/>
        </w:rPr>
        <w:t xml:space="preserve">2.1. </w:t>
      </w:r>
      <w:r w:rsidR="00172805" w:rsidRPr="00A7652F">
        <w:rPr>
          <w:rFonts w:ascii="Arial" w:eastAsia="Times New Roman" w:hAnsi="Arial" w:cs="Arial"/>
          <w:b/>
          <w:bCs/>
          <w:color w:val="000000"/>
          <w:szCs w:val="24"/>
          <w:lang w:val="es-ES_tradnl" w:eastAsia="es-ES_tradnl"/>
        </w:rPr>
        <w:t>Características generales del contrato de prestación de servicios</w:t>
      </w:r>
      <w:r w:rsidR="005846EF" w:rsidRPr="00A7652F">
        <w:rPr>
          <w:rFonts w:ascii="Arial" w:eastAsia="Times New Roman" w:hAnsi="Arial" w:cs="Arial"/>
          <w:b/>
          <w:bCs/>
          <w:color w:val="000000"/>
          <w:szCs w:val="24"/>
          <w:lang w:val="es-ES_tradnl" w:eastAsia="es-ES_tradnl"/>
        </w:rPr>
        <w:t>.</w:t>
      </w:r>
    </w:p>
    <w:p w14:paraId="16C8D06C" w14:textId="77777777" w:rsidR="0066787D" w:rsidRPr="00A7652F" w:rsidRDefault="0066787D" w:rsidP="00085F0E">
      <w:pPr>
        <w:spacing w:after="0" w:line="276" w:lineRule="auto"/>
        <w:contextualSpacing/>
        <w:jc w:val="both"/>
        <w:rPr>
          <w:rFonts w:ascii="Arial" w:eastAsia="Calibri" w:hAnsi="Arial" w:cs="Arial"/>
          <w:b/>
          <w:bCs/>
          <w:sz w:val="20"/>
          <w:szCs w:val="20"/>
          <w:lang w:val="es-ES_tradnl" w:eastAsia="es-ES_tradnl"/>
        </w:rPr>
      </w:pPr>
    </w:p>
    <w:p w14:paraId="32D70F5A" w14:textId="77777777" w:rsidR="00172805" w:rsidRPr="00A7652F" w:rsidRDefault="00172805" w:rsidP="004544D9">
      <w:pPr>
        <w:tabs>
          <w:tab w:val="left" w:pos="0"/>
        </w:tabs>
        <w:spacing w:after="0" w:line="276" w:lineRule="auto"/>
        <w:contextualSpacing/>
        <w:jc w:val="both"/>
        <w:rPr>
          <w:rFonts w:ascii="Arial" w:eastAsia="Calibri" w:hAnsi="Arial" w:cs="Arial"/>
          <w:color w:val="000000" w:themeColor="text1"/>
          <w:lang w:val="es-ES_tradnl"/>
        </w:rPr>
      </w:pPr>
      <w:r w:rsidRPr="00A7652F">
        <w:rPr>
          <w:rFonts w:ascii="Arial" w:hAnsi="Arial" w:cs="Arial"/>
          <w:color w:val="000000" w:themeColor="text1"/>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A7652F">
        <w:rPr>
          <w:rFonts w:ascii="Arial" w:eastAsia="Calibri" w:hAnsi="Arial"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7F74B141" w14:textId="77777777" w:rsidR="00172805" w:rsidRPr="00A7652F" w:rsidRDefault="00172805" w:rsidP="004544D9">
      <w:pPr>
        <w:spacing w:after="0" w:line="276" w:lineRule="auto"/>
        <w:ind w:right="709"/>
        <w:contextualSpacing/>
        <w:jc w:val="both"/>
        <w:rPr>
          <w:rFonts w:ascii="Arial" w:eastAsia="Calibri" w:hAnsi="Arial" w:cs="Arial"/>
          <w:color w:val="000000" w:themeColor="text1"/>
          <w:sz w:val="21"/>
          <w:szCs w:val="21"/>
          <w:lang w:val="es-ES_tradnl"/>
        </w:rPr>
      </w:pPr>
    </w:p>
    <w:p w14:paraId="5FC85894" w14:textId="583F68A5" w:rsidR="00085F0E" w:rsidRPr="00A7652F" w:rsidRDefault="00172805" w:rsidP="000B6F91">
      <w:pPr>
        <w:spacing w:after="0" w:line="240" w:lineRule="auto"/>
        <w:ind w:left="709" w:right="758"/>
        <w:contextualSpacing/>
        <w:jc w:val="both"/>
        <w:rPr>
          <w:rFonts w:ascii="Arial" w:eastAsia="Calibri" w:hAnsi="Arial" w:cs="Arial"/>
          <w:color w:val="000000" w:themeColor="text1"/>
          <w:sz w:val="21"/>
          <w:szCs w:val="21"/>
          <w:lang w:val="es-MX"/>
        </w:rPr>
      </w:pPr>
      <w:r w:rsidRPr="00A7652F">
        <w:rPr>
          <w:rFonts w:ascii="Arial" w:eastAsia="Calibri" w:hAnsi="Arial" w:cs="Arial"/>
          <w:color w:val="000000" w:themeColor="text1"/>
          <w:sz w:val="21"/>
          <w:szCs w:val="21"/>
          <w:lang w:val="es-MX"/>
        </w:rPr>
        <w:t>La escogencia del contratista se efectuará con arreglo a las modalidades de selección de licitación pública, selección abreviada, concurso de méritos y contratación directa, con base en las siguientes reglas:</w:t>
      </w:r>
    </w:p>
    <w:p w14:paraId="1A69EA05" w14:textId="514F06E5" w:rsidR="00172805" w:rsidRPr="00A7652F" w:rsidRDefault="00172805" w:rsidP="004544D9">
      <w:pPr>
        <w:spacing w:after="0" w:line="240" w:lineRule="auto"/>
        <w:ind w:left="709" w:right="760"/>
        <w:contextualSpacing/>
        <w:jc w:val="both"/>
        <w:rPr>
          <w:rFonts w:ascii="Arial" w:eastAsia="Calibri" w:hAnsi="Arial" w:cs="Arial"/>
          <w:color w:val="000000" w:themeColor="text1"/>
          <w:sz w:val="21"/>
          <w:szCs w:val="21"/>
          <w:lang w:val="es-MX"/>
        </w:rPr>
      </w:pPr>
      <w:r w:rsidRPr="00A7652F">
        <w:rPr>
          <w:rFonts w:ascii="Arial" w:eastAsia="Calibri" w:hAnsi="Arial" w:cs="Arial"/>
          <w:color w:val="000000" w:themeColor="text1"/>
          <w:sz w:val="21"/>
          <w:szCs w:val="21"/>
          <w:lang w:val="es-MX"/>
        </w:rPr>
        <w:t>[…]</w:t>
      </w:r>
    </w:p>
    <w:p w14:paraId="6C437152" w14:textId="5C1BF095" w:rsidR="00172805" w:rsidRPr="00A7652F" w:rsidRDefault="00172805" w:rsidP="004544D9">
      <w:pPr>
        <w:spacing w:after="0" w:line="240" w:lineRule="auto"/>
        <w:ind w:left="709" w:right="758"/>
        <w:contextualSpacing/>
        <w:jc w:val="both"/>
        <w:rPr>
          <w:rFonts w:ascii="Arial" w:eastAsia="Calibri" w:hAnsi="Arial" w:cs="Arial"/>
          <w:color w:val="000000" w:themeColor="text1"/>
          <w:sz w:val="21"/>
          <w:szCs w:val="21"/>
          <w:lang w:val="es-MX"/>
        </w:rPr>
      </w:pPr>
      <w:r w:rsidRPr="00A7652F">
        <w:rPr>
          <w:rFonts w:ascii="Arial" w:eastAsia="Calibri" w:hAnsi="Arial" w:cs="Arial"/>
          <w:color w:val="000000" w:themeColor="text1"/>
          <w:sz w:val="21"/>
          <w:szCs w:val="21"/>
          <w:lang w:val="es-MX"/>
        </w:rPr>
        <w:t>4. Contratación directa. La modalidad de selección de contratación directa, solamente procederá en los siguientes casos:</w:t>
      </w:r>
    </w:p>
    <w:p w14:paraId="725F36C5" w14:textId="0E76FED1" w:rsidR="00172805" w:rsidRPr="00A7652F" w:rsidRDefault="00172805" w:rsidP="004544D9">
      <w:pPr>
        <w:spacing w:after="0" w:line="240" w:lineRule="auto"/>
        <w:ind w:left="709" w:right="760"/>
        <w:contextualSpacing/>
        <w:jc w:val="both"/>
        <w:rPr>
          <w:rFonts w:ascii="Arial" w:eastAsia="Calibri" w:hAnsi="Arial" w:cs="Arial"/>
          <w:color w:val="000000" w:themeColor="text1"/>
          <w:sz w:val="21"/>
          <w:szCs w:val="21"/>
          <w:lang w:val="es-MX"/>
        </w:rPr>
      </w:pPr>
      <w:r w:rsidRPr="00A7652F">
        <w:rPr>
          <w:rFonts w:ascii="Arial" w:eastAsia="Calibri" w:hAnsi="Arial" w:cs="Arial"/>
          <w:color w:val="000000" w:themeColor="text1"/>
          <w:sz w:val="21"/>
          <w:szCs w:val="21"/>
          <w:lang w:val="es-MX"/>
        </w:rPr>
        <w:t>[…]</w:t>
      </w:r>
    </w:p>
    <w:p w14:paraId="2ACD403B" w14:textId="77777777" w:rsidR="00085F0E" w:rsidRPr="00A7652F" w:rsidRDefault="00085F0E" w:rsidP="00085F0E">
      <w:pPr>
        <w:spacing w:after="0" w:line="240" w:lineRule="auto"/>
        <w:ind w:left="709" w:right="758"/>
        <w:contextualSpacing/>
        <w:jc w:val="both"/>
        <w:rPr>
          <w:rFonts w:ascii="Arial" w:eastAsia="Calibri" w:hAnsi="Arial" w:cs="Arial"/>
          <w:color w:val="000000" w:themeColor="text1"/>
          <w:sz w:val="21"/>
          <w:szCs w:val="21"/>
          <w:lang w:val="es-MX"/>
        </w:rPr>
      </w:pPr>
    </w:p>
    <w:p w14:paraId="49C517A1" w14:textId="16DCAC5E" w:rsidR="00172805" w:rsidRPr="00A7652F" w:rsidRDefault="00172805" w:rsidP="004544D9">
      <w:pPr>
        <w:spacing w:after="0" w:line="240" w:lineRule="auto"/>
        <w:ind w:left="709" w:right="758"/>
        <w:contextualSpacing/>
        <w:jc w:val="both"/>
        <w:rPr>
          <w:rFonts w:ascii="Arial" w:eastAsia="Calibri" w:hAnsi="Arial" w:cs="Arial"/>
          <w:color w:val="000000" w:themeColor="text1"/>
          <w:sz w:val="21"/>
          <w:szCs w:val="21"/>
          <w:lang w:val="es-MX"/>
        </w:rPr>
      </w:pPr>
      <w:r w:rsidRPr="00A7652F">
        <w:rPr>
          <w:rFonts w:ascii="Arial" w:eastAsia="Calibri" w:hAnsi="Arial" w:cs="Arial"/>
          <w:color w:val="000000" w:themeColor="text1"/>
          <w:sz w:val="21"/>
          <w:szCs w:val="21"/>
          <w:lang w:val="es-MX"/>
        </w:rPr>
        <w:t>h) Para la prestación de servicios profesionales y de apoyo a la gestión, o para la ejecución de trabajos artísticos que sólo puedan encomendarse a determinadas personas naturales.</w:t>
      </w:r>
    </w:p>
    <w:p w14:paraId="29286344" w14:textId="77777777" w:rsidR="00172805" w:rsidRPr="00A7652F" w:rsidRDefault="00172805" w:rsidP="004544D9">
      <w:pPr>
        <w:tabs>
          <w:tab w:val="left" w:pos="0"/>
        </w:tabs>
        <w:spacing w:after="0" w:line="276" w:lineRule="auto"/>
        <w:contextualSpacing/>
        <w:jc w:val="both"/>
        <w:rPr>
          <w:rFonts w:ascii="Arial" w:hAnsi="Arial" w:cs="Arial"/>
          <w:noProof/>
          <w:lang w:val="es-ES_tradnl"/>
        </w:rPr>
      </w:pPr>
      <w:r w:rsidRPr="00A7652F">
        <w:rPr>
          <w:rFonts w:ascii="Arial" w:hAnsi="Arial" w:cs="Arial"/>
          <w:noProof/>
          <w:lang w:val="es-ES_tradnl"/>
        </w:rPr>
        <w:tab/>
      </w:r>
    </w:p>
    <w:p w14:paraId="0D74F123" w14:textId="2704D96B" w:rsidR="00172805" w:rsidRPr="00A7652F" w:rsidRDefault="00B40EBD" w:rsidP="004544D9">
      <w:pPr>
        <w:tabs>
          <w:tab w:val="left" w:pos="0"/>
        </w:tabs>
        <w:spacing w:after="0" w:line="276" w:lineRule="auto"/>
        <w:contextualSpacing/>
        <w:jc w:val="both"/>
        <w:rPr>
          <w:rFonts w:ascii="Arial" w:hAnsi="Arial" w:cs="Arial"/>
          <w:noProof/>
          <w:lang w:val="es-ES_tradnl"/>
        </w:rPr>
      </w:pPr>
      <w:r w:rsidRPr="00A7652F">
        <w:rPr>
          <w:rFonts w:ascii="Arial" w:hAnsi="Arial" w:cs="Arial"/>
          <w:noProof/>
          <w:lang w:val="es-ES_tradnl"/>
        </w:rPr>
        <w:tab/>
      </w:r>
      <w:r w:rsidR="00172805" w:rsidRPr="00A7652F">
        <w:rPr>
          <w:rFonts w:ascii="Arial" w:hAnsi="Arial" w:cs="Arial"/>
          <w:noProof/>
          <w:lang w:val="es-ES_tradnl"/>
        </w:rPr>
        <w:t>En tal sentido, 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5A537F7D" w14:textId="77777777" w:rsidR="00172805" w:rsidRPr="00A7652F" w:rsidRDefault="00172805" w:rsidP="004544D9">
      <w:pPr>
        <w:tabs>
          <w:tab w:val="left" w:pos="0"/>
        </w:tabs>
        <w:spacing w:after="0" w:line="276" w:lineRule="auto"/>
        <w:contextualSpacing/>
        <w:jc w:val="both"/>
        <w:rPr>
          <w:rFonts w:ascii="Arial" w:hAnsi="Arial" w:cs="Arial"/>
          <w:noProof/>
          <w:lang w:val="es-ES_tradnl"/>
        </w:rPr>
      </w:pPr>
    </w:p>
    <w:p w14:paraId="504ECBF4" w14:textId="77777777" w:rsidR="00172805" w:rsidRPr="00A7652F" w:rsidRDefault="00172805" w:rsidP="004544D9">
      <w:pPr>
        <w:spacing w:after="0" w:line="240" w:lineRule="auto"/>
        <w:ind w:left="709" w:right="760"/>
        <w:contextualSpacing/>
        <w:jc w:val="both"/>
        <w:rPr>
          <w:rFonts w:ascii="Arial" w:hAnsi="Arial" w:cs="Arial"/>
          <w:sz w:val="21"/>
          <w:szCs w:val="21"/>
          <w:lang w:val="es-MX"/>
        </w:rPr>
      </w:pPr>
      <w:r w:rsidRPr="00A7652F">
        <w:rPr>
          <w:rFonts w:ascii="Arial" w:hAnsi="Arial" w:cs="Arial"/>
          <w:sz w:val="21"/>
          <w:szCs w:val="21"/>
          <w:lang w:val="es-MX"/>
        </w:rPr>
        <w:t xml:space="preserve">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w:t>
      </w:r>
      <w:r w:rsidRPr="00A7652F">
        <w:rPr>
          <w:rFonts w:ascii="Arial" w:hAnsi="Arial" w:cs="Arial"/>
          <w:sz w:val="21"/>
          <w:szCs w:val="21"/>
          <w:lang w:val="es-MX"/>
        </w:rPr>
        <w:lastRenderedPageBreak/>
        <w:t>de que se trate. En este caso, no es necesario que la Entidad Estatal haya obtenido previamente varias ofertas, de lo cual el ordenador del gasto debe dejar constancia escrita.</w:t>
      </w:r>
    </w:p>
    <w:p w14:paraId="79F33EE8" w14:textId="77777777" w:rsidR="00172805" w:rsidRPr="00A7652F" w:rsidRDefault="00172805" w:rsidP="004544D9">
      <w:pPr>
        <w:spacing w:after="0" w:line="240" w:lineRule="auto"/>
        <w:ind w:left="709" w:right="760"/>
        <w:contextualSpacing/>
        <w:jc w:val="both"/>
        <w:rPr>
          <w:rFonts w:ascii="Arial" w:hAnsi="Arial" w:cs="Arial"/>
          <w:sz w:val="21"/>
          <w:szCs w:val="21"/>
        </w:rPr>
      </w:pPr>
    </w:p>
    <w:p w14:paraId="03C1405F" w14:textId="77777777" w:rsidR="00172805" w:rsidRPr="00A7652F" w:rsidRDefault="00172805" w:rsidP="004544D9">
      <w:pPr>
        <w:spacing w:after="0" w:line="240" w:lineRule="auto"/>
        <w:ind w:left="709" w:right="760"/>
        <w:contextualSpacing/>
        <w:jc w:val="both"/>
        <w:rPr>
          <w:rFonts w:ascii="Arial" w:hAnsi="Arial" w:cs="Arial"/>
          <w:sz w:val="21"/>
          <w:szCs w:val="21"/>
          <w:lang w:val="es-MX"/>
        </w:rPr>
      </w:pPr>
      <w:r w:rsidRPr="00A7652F">
        <w:rPr>
          <w:rFonts w:ascii="Arial" w:hAnsi="Arial" w:cs="Arial"/>
          <w:sz w:val="21"/>
          <w:szCs w:val="21"/>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7CF3A2E" w14:textId="77777777" w:rsidR="00172805" w:rsidRPr="00A7652F" w:rsidRDefault="00172805" w:rsidP="004544D9">
      <w:pPr>
        <w:spacing w:after="0" w:line="240" w:lineRule="auto"/>
        <w:ind w:left="709" w:right="760"/>
        <w:contextualSpacing/>
        <w:jc w:val="both"/>
        <w:rPr>
          <w:rFonts w:ascii="Arial" w:hAnsi="Arial" w:cs="Arial"/>
          <w:sz w:val="21"/>
          <w:szCs w:val="21"/>
          <w:lang w:val="es-MX"/>
        </w:rPr>
      </w:pPr>
    </w:p>
    <w:p w14:paraId="53F7BCFE" w14:textId="77777777" w:rsidR="00172805" w:rsidRPr="00A7652F" w:rsidRDefault="00172805" w:rsidP="004544D9">
      <w:pPr>
        <w:spacing w:after="0" w:line="240" w:lineRule="auto"/>
        <w:ind w:left="709" w:right="760"/>
        <w:contextualSpacing/>
        <w:jc w:val="both"/>
        <w:rPr>
          <w:rFonts w:ascii="Arial" w:hAnsi="Arial" w:cs="Arial"/>
          <w:sz w:val="21"/>
          <w:szCs w:val="21"/>
          <w:lang w:val="es-MX"/>
        </w:rPr>
      </w:pPr>
      <w:r w:rsidRPr="00A7652F">
        <w:rPr>
          <w:rFonts w:ascii="Arial" w:hAnsi="Arial" w:cs="Arial"/>
          <w:sz w:val="21"/>
          <w:szCs w:val="21"/>
          <w:lang w:val="es-MX"/>
        </w:rPr>
        <w:t>La Entidad Estatal, para la contratación de trabajos artísticos que solamente puedan en</w:t>
      </w:r>
      <w:r w:rsidRPr="00A7652F">
        <w:rPr>
          <w:rFonts w:ascii="Arial" w:hAnsi="Arial" w:cs="Arial"/>
          <w:sz w:val="21"/>
          <w:szCs w:val="21"/>
          <w:lang w:val="es-MX"/>
        </w:rPr>
        <w:softHyphen/>
        <w:t>comendarse a determinadas personas naturales, debe justificar esta situación en los estudios y documentos previos.</w:t>
      </w:r>
    </w:p>
    <w:p w14:paraId="621A44A6" w14:textId="77777777" w:rsidR="00172805" w:rsidRPr="00A7652F" w:rsidRDefault="00172805" w:rsidP="00172805">
      <w:pPr>
        <w:tabs>
          <w:tab w:val="left" w:pos="0"/>
        </w:tabs>
        <w:spacing w:after="0" w:line="276" w:lineRule="auto"/>
        <w:jc w:val="both"/>
        <w:rPr>
          <w:rFonts w:ascii="Arial" w:hAnsi="Arial" w:cs="Arial"/>
          <w:noProof/>
          <w:sz w:val="21"/>
          <w:szCs w:val="21"/>
        </w:rPr>
      </w:pPr>
    </w:p>
    <w:p w14:paraId="24C86F1F" w14:textId="6AFF9E91" w:rsidR="00172805" w:rsidRPr="00A7652F" w:rsidRDefault="00172805" w:rsidP="004544D9">
      <w:pPr>
        <w:tabs>
          <w:tab w:val="left" w:pos="0"/>
        </w:tabs>
        <w:spacing w:after="120" w:line="276" w:lineRule="auto"/>
        <w:jc w:val="both"/>
        <w:rPr>
          <w:rFonts w:ascii="Arial" w:hAnsi="Arial" w:cs="Arial"/>
          <w:color w:val="000000" w:themeColor="text1"/>
          <w:lang w:val="es-ES_tradnl"/>
        </w:rPr>
      </w:pPr>
      <w:r w:rsidRPr="00A7652F">
        <w:rPr>
          <w:rFonts w:ascii="Arial" w:hAnsi="Arial" w:cs="Arial"/>
          <w:color w:val="000000" w:themeColor="text1"/>
          <w:lang w:val="es-ES_tradnl"/>
        </w:rPr>
        <w:tab/>
        <w:t>A partir de las disposiciones citadas, así como de la reciente Sentencia de Unificación Jurisprudencial del 9 de septiembre de 2021, proferida por el Consejo de Estado</w:t>
      </w:r>
      <w:r w:rsidRPr="00A7652F">
        <w:rPr>
          <w:rFonts w:ascii="Arial" w:hAnsi="Arial" w:cs="Arial"/>
          <w:bCs/>
          <w:vertAlign w:val="superscript"/>
          <w:lang w:val="es-ES"/>
        </w:rPr>
        <w:footnoteReference w:id="3"/>
      </w:r>
      <w:r w:rsidRPr="00A7652F">
        <w:rPr>
          <w:rFonts w:ascii="Arial" w:hAnsi="Arial" w:cs="Arial"/>
          <w:color w:val="000000" w:themeColor="text1"/>
          <w:lang w:val="es-ES_tradnl"/>
        </w:rPr>
        <w:t>, es posible señalar las siguientes características del contrato de prestación de servicios</w:t>
      </w:r>
      <w:r w:rsidRPr="00A7652F">
        <w:rPr>
          <w:rFonts w:ascii="Arial" w:hAnsi="Arial" w:cs="Arial"/>
          <w:noProof/>
          <w:lang w:val="es-ES_tradnl"/>
        </w:rPr>
        <w:t>:</w:t>
      </w:r>
    </w:p>
    <w:p w14:paraId="385BB16F" w14:textId="77777777" w:rsidR="00172805" w:rsidRPr="00A7652F" w:rsidRDefault="00172805" w:rsidP="004544D9">
      <w:pPr>
        <w:spacing w:before="120" w:after="120" w:line="276" w:lineRule="auto"/>
        <w:ind w:firstLine="709"/>
        <w:jc w:val="both"/>
        <w:rPr>
          <w:rFonts w:ascii="Arial" w:hAnsi="Arial" w:cs="Arial"/>
          <w:noProof/>
          <w:lang w:val="es-ES_tradnl"/>
        </w:rPr>
      </w:pPr>
      <w:r w:rsidRPr="00A7652F">
        <w:rPr>
          <w:rFonts w:ascii="Arial" w:hAnsi="Arial" w:cs="Arial"/>
          <w:noProof/>
          <w:lang w:val="es-ES_tradnl"/>
        </w:rPr>
        <w:t>i) Solo puede celebrarse para realizar «actividades relacionadas con la administración o funcionamiento de la entidad», es decir, que hagan parte de su giro ordinario o quehacer cotidiano</w:t>
      </w:r>
      <w:r w:rsidRPr="00A7652F">
        <w:rPr>
          <w:rFonts w:ascii="Arial" w:hAnsi="Arial" w:cs="Arial"/>
          <w:noProof/>
          <w:vertAlign w:val="superscript"/>
          <w:lang w:val="es-ES_tradnl"/>
        </w:rPr>
        <w:footnoteReference w:id="4"/>
      </w:r>
      <w:r w:rsidRPr="00A7652F">
        <w:rPr>
          <w:rFonts w:ascii="Arial" w:hAnsi="Arial" w:cs="Arial"/>
          <w:noProof/>
          <w:lang w:val="es-ES_tradnl"/>
        </w:rPr>
        <w:t>.</w:t>
      </w:r>
    </w:p>
    <w:p w14:paraId="30B2B981" w14:textId="77777777" w:rsidR="00172805" w:rsidRPr="00A7652F" w:rsidRDefault="00172805" w:rsidP="004544D9">
      <w:pPr>
        <w:spacing w:before="120" w:after="120" w:line="276" w:lineRule="auto"/>
        <w:ind w:firstLine="709"/>
        <w:jc w:val="both"/>
        <w:rPr>
          <w:rFonts w:ascii="Arial" w:hAnsi="Arial" w:cs="Arial"/>
          <w:noProof/>
          <w:lang w:val="es-ES_tradnl"/>
        </w:rPr>
      </w:pPr>
      <w:r w:rsidRPr="00A7652F">
        <w:rPr>
          <w:rFonts w:ascii="Arial" w:hAnsi="Arial" w:cs="Arial"/>
          <w:noProof/>
          <w:lang w:val="es-ES_tradnl"/>
        </w:rPr>
        <w:t xml:space="preserve">ii) Respecto del tipo de personas que pueden ser contratadas, admite que se suscriba con personas naturales o jurídicas. Sin embargo, cuando se celebre con aquellas, la entidad estatal debe justificar, en los estudios previos, que las actividades «no puedan realizarse con personal de planta o requieran conocimientos especializados». </w:t>
      </w:r>
    </w:p>
    <w:p w14:paraId="53835CF5" w14:textId="77777777" w:rsidR="00172805" w:rsidRPr="00A7652F" w:rsidRDefault="00172805" w:rsidP="004544D9">
      <w:pPr>
        <w:spacing w:before="120" w:after="120" w:line="276" w:lineRule="auto"/>
        <w:ind w:firstLine="709"/>
        <w:jc w:val="both"/>
        <w:rPr>
          <w:rFonts w:ascii="Arial" w:hAnsi="Arial" w:cs="Arial"/>
          <w:noProof/>
          <w:lang w:val="es-ES_tradnl"/>
        </w:rPr>
      </w:pPr>
      <w:r w:rsidRPr="00A7652F">
        <w:rPr>
          <w:rFonts w:ascii="Arial" w:hAnsi="Arial"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A7652F">
        <w:rPr>
          <w:rFonts w:ascii="Arial" w:hAnsi="Arial" w:cs="Arial"/>
          <w:i/>
          <w:noProof/>
          <w:lang w:val="es-ES_tradnl"/>
        </w:rPr>
        <w:t xml:space="preserve">subordinación </w:t>
      </w:r>
      <w:r w:rsidRPr="00A7652F">
        <w:rPr>
          <w:rFonts w:ascii="Arial" w:hAnsi="Arial" w:cs="Arial"/>
          <w:iCs/>
          <w:noProof/>
          <w:lang w:val="es-ES_tradnl"/>
        </w:rPr>
        <w:t>ni</w:t>
      </w:r>
      <w:r w:rsidRPr="00A7652F">
        <w:rPr>
          <w:rFonts w:ascii="Arial" w:hAnsi="Arial" w:cs="Arial"/>
          <w:i/>
          <w:noProof/>
          <w:lang w:val="es-ES_tradnl"/>
        </w:rPr>
        <w:t xml:space="preserve"> dependencia</w:t>
      </w:r>
      <w:r w:rsidRPr="00A7652F">
        <w:rPr>
          <w:rFonts w:ascii="Arial" w:hAnsi="Arial" w:cs="Arial"/>
          <w:iCs/>
          <w:noProof/>
          <w:lang w:val="es-ES_tradnl"/>
        </w:rPr>
        <w:t>,</w:t>
      </w:r>
      <w:r w:rsidRPr="00A7652F">
        <w:rPr>
          <w:rFonts w:ascii="Arial" w:hAnsi="Arial" w:cs="Arial"/>
          <w:noProof/>
          <w:lang w:val="es-ES_tradnl"/>
        </w:rPr>
        <w:t xml:space="preserve"> que es uno de los </w:t>
      </w:r>
      <w:r w:rsidRPr="00A7652F">
        <w:rPr>
          <w:rFonts w:ascii="Arial" w:hAnsi="Arial" w:cs="Arial"/>
          <w:noProof/>
          <w:lang w:val="es-ES_tradnl"/>
        </w:rPr>
        <w:lastRenderedPageBreak/>
        <w:t>elementos constitutivos del vínculo laboral</w:t>
      </w:r>
      <w:r w:rsidRPr="00A7652F">
        <w:rPr>
          <w:rFonts w:ascii="Arial" w:hAnsi="Arial" w:cs="Arial"/>
          <w:noProof/>
          <w:vertAlign w:val="superscript"/>
          <w:lang w:val="es-ES_tradnl"/>
        </w:rPr>
        <w:footnoteReference w:id="5"/>
      </w:r>
      <w:r w:rsidRPr="00A7652F">
        <w:rPr>
          <w:rFonts w:ascii="Arial" w:hAnsi="Arial"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A7652F">
        <w:rPr>
          <w:rFonts w:ascii="Arial" w:hAnsi="Arial" w:cs="Arial"/>
          <w:i/>
          <w:noProof/>
          <w:lang w:val="es-ES_tradnl"/>
        </w:rPr>
        <w:t>no pueden</w:t>
      </w:r>
      <w:r w:rsidRPr="00A7652F">
        <w:rPr>
          <w:rFonts w:ascii="Arial" w:hAnsi="Arial"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A7652F">
        <w:rPr>
          <w:rFonts w:ascii="Arial" w:hAnsi="Arial" w:cs="Arial"/>
          <w:noProof/>
          <w:vertAlign w:val="superscript"/>
          <w:lang w:val="es-ES_tradnl"/>
        </w:rPr>
        <w:footnoteReference w:id="6"/>
      </w:r>
      <w:r w:rsidRPr="00A7652F">
        <w:rPr>
          <w:rFonts w:ascii="Arial" w:hAnsi="Arial" w:cs="Arial"/>
          <w:noProof/>
          <w:lang w:val="es-ES_tradnl"/>
        </w:rPr>
        <w:t xml:space="preserve">. </w:t>
      </w:r>
    </w:p>
    <w:p w14:paraId="71920DB3" w14:textId="73CAE0EB" w:rsidR="00172805" w:rsidRPr="00A7652F" w:rsidRDefault="00172805" w:rsidP="004544D9">
      <w:pPr>
        <w:spacing w:before="120" w:after="120" w:line="276" w:lineRule="auto"/>
        <w:ind w:firstLine="709"/>
        <w:jc w:val="both"/>
        <w:rPr>
          <w:rFonts w:ascii="Arial" w:hAnsi="Arial" w:cs="Arial"/>
          <w:noProof/>
          <w:lang w:val="es-ES_tradnl"/>
        </w:rPr>
      </w:pPr>
      <w:r w:rsidRPr="00A7652F">
        <w:rPr>
          <w:rFonts w:ascii="Arial" w:hAnsi="Arial" w:cs="Arial"/>
          <w:noProof/>
          <w:lang w:val="es-ES_tradnl"/>
        </w:rPr>
        <w:t xml:space="preserve">A pesar de este mandato deontológico, es posible que en la práctica se configure una relación laboral, pues el contrato de trabajo es </w:t>
      </w:r>
      <w:r w:rsidRPr="00A7652F">
        <w:rPr>
          <w:rFonts w:ascii="Arial" w:hAnsi="Arial" w:cs="Arial"/>
          <w:i/>
          <w:iCs/>
          <w:noProof/>
          <w:lang w:val="es-ES_tradnl"/>
        </w:rPr>
        <w:t xml:space="preserve">de </w:t>
      </w:r>
      <w:r w:rsidRPr="00A7652F">
        <w:rPr>
          <w:rFonts w:ascii="Arial" w:hAnsi="Arial" w:cs="Arial"/>
          <w:i/>
          <w:noProof/>
          <w:lang w:val="es-ES_tradnl"/>
        </w:rPr>
        <w:t>realidad</w:t>
      </w:r>
      <w:r w:rsidRPr="00A7652F">
        <w:rPr>
          <w:rFonts w:ascii="Arial" w:hAnsi="Arial" w:cs="Arial"/>
          <w:noProof/>
          <w:lang w:val="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«las expresiones </w:t>
      </w:r>
      <w:r w:rsidRPr="00A7652F">
        <w:rPr>
          <w:rFonts w:ascii="Arial" w:hAnsi="Arial" w:cs="Arial"/>
          <w:noProof/>
          <w:lang w:val="es-ES_tradnl"/>
        </w:rPr>
        <w:lastRenderedPageBreak/>
        <w:t>acusadas del numeral 3º del artículo 32 de la Ley 80 de 1993, no vulneran los preceptos constitucionales, razón por la cual deberán ser declaradas exequibles, salvo que se acredite por parte del contratista la existencia de una relación laboral subordinada»</w:t>
      </w:r>
      <w:r w:rsidRPr="00A7652F">
        <w:rPr>
          <w:rFonts w:ascii="Arial" w:hAnsi="Arial" w:cs="Arial"/>
          <w:noProof/>
          <w:vertAlign w:val="superscript"/>
          <w:lang w:val="es-ES_tradnl"/>
        </w:rPr>
        <w:footnoteReference w:id="7"/>
      </w:r>
      <w:r w:rsidRPr="00A7652F">
        <w:rPr>
          <w:rFonts w:ascii="Arial" w:hAnsi="Arial" w:cs="Arial"/>
          <w:noProof/>
          <w:lang w:val="es-ES_tradnl"/>
        </w:rPr>
        <w:t>.</w:t>
      </w:r>
    </w:p>
    <w:p w14:paraId="0B247F0C" w14:textId="4DF84014" w:rsidR="00172805" w:rsidRPr="00A7652F" w:rsidRDefault="00172805" w:rsidP="004544D9">
      <w:pPr>
        <w:spacing w:before="120" w:after="120" w:line="276" w:lineRule="auto"/>
        <w:ind w:firstLine="709"/>
        <w:jc w:val="both"/>
        <w:rPr>
          <w:rFonts w:ascii="Arial" w:hAnsi="Arial" w:cs="Arial"/>
          <w:noProof/>
          <w:lang w:val="es-ES_tradnl"/>
        </w:rPr>
      </w:pPr>
      <w:r w:rsidRPr="00A7652F">
        <w:rPr>
          <w:rFonts w:ascii="Arial" w:hAnsi="Arial" w:cs="Arial"/>
          <w:noProof/>
          <w:lang w:val="es-ES_tradnl"/>
        </w:rPr>
        <w:t xml:space="preserve">iv) Deben ser temporales. La </w:t>
      </w:r>
      <w:r w:rsidR="00CC09AF" w:rsidRPr="00A7652F">
        <w:rPr>
          <w:rFonts w:ascii="Arial" w:hAnsi="Arial" w:cs="Arial"/>
          <w:noProof/>
          <w:lang w:val="es-ES_tradnl"/>
        </w:rPr>
        <w:t xml:space="preserve">mencionada </w:t>
      </w:r>
      <w:r w:rsidRPr="00A7652F">
        <w:rPr>
          <w:rFonts w:ascii="Arial" w:hAnsi="Arial" w:cs="Arial"/>
          <w:noProof/>
          <w:lang w:val="es-ES_tradnl"/>
        </w:rPr>
        <w:t>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07AD4951" w14:textId="77777777" w:rsidR="00172805" w:rsidRPr="00A7652F" w:rsidRDefault="00172805" w:rsidP="004544D9">
      <w:pPr>
        <w:spacing w:after="0" w:line="276" w:lineRule="auto"/>
        <w:ind w:firstLine="709"/>
        <w:jc w:val="both"/>
        <w:rPr>
          <w:rFonts w:ascii="Arial" w:hAnsi="Arial" w:cs="Arial"/>
          <w:noProof/>
          <w:lang w:val="es-ES_tradnl"/>
        </w:rPr>
      </w:pPr>
      <w:r w:rsidRPr="00A7652F">
        <w:rPr>
          <w:rFonts w:ascii="Arial" w:hAnsi="Arial" w:cs="Arial"/>
          <w:lang w:val="es-MX"/>
        </w:rPr>
        <w:t xml:space="preserve">De igual manera, señaló que «no cabe su empleo para la cobertura indefinida de necesidades permanentes o recurrentes». </w:t>
      </w:r>
      <w:r w:rsidRPr="00A7652F">
        <w:rPr>
          <w:rFonts w:ascii="Arial" w:hAnsi="Arial" w:cs="Arial"/>
          <w:noProof/>
          <w:lang w:val="es-ES_tradnl"/>
        </w:rPr>
        <w:t>En sentido similar se manifestó la Corte Constitucional en la sentencia C-154 de 1997, expresando que:</w:t>
      </w:r>
    </w:p>
    <w:p w14:paraId="1DE256F5" w14:textId="77777777" w:rsidR="00172805" w:rsidRPr="00A7652F" w:rsidRDefault="00172805" w:rsidP="004544D9">
      <w:pPr>
        <w:spacing w:after="0" w:line="276" w:lineRule="auto"/>
        <w:contextualSpacing/>
        <w:jc w:val="both"/>
        <w:rPr>
          <w:rFonts w:ascii="Arial" w:hAnsi="Arial" w:cs="Arial"/>
          <w:noProof/>
          <w:lang w:val="es-ES_tradnl"/>
        </w:rPr>
      </w:pPr>
    </w:p>
    <w:p w14:paraId="0F2EC721" w14:textId="77777777" w:rsidR="00172805" w:rsidRPr="00A7652F" w:rsidRDefault="00172805" w:rsidP="004544D9">
      <w:pPr>
        <w:spacing w:after="0" w:line="240" w:lineRule="auto"/>
        <w:ind w:left="709" w:right="709"/>
        <w:contextualSpacing/>
        <w:jc w:val="both"/>
        <w:rPr>
          <w:rFonts w:ascii="Arial" w:hAnsi="Arial" w:cs="Arial"/>
          <w:noProof/>
          <w:sz w:val="21"/>
          <w:szCs w:val="21"/>
          <w:lang w:val="es-ES_tradnl"/>
        </w:rPr>
      </w:pPr>
      <w:r w:rsidRPr="00A7652F">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A7652F">
        <w:rPr>
          <w:rFonts w:ascii="Arial" w:hAnsi="Arial" w:cs="Arial"/>
          <w:noProof/>
          <w:sz w:val="21"/>
          <w:szCs w:val="21"/>
          <w:vertAlign w:val="superscript"/>
          <w:lang w:val="es-ES_tradnl"/>
        </w:rPr>
        <w:footnoteReference w:id="8"/>
      </w:r>
      <w:r w:rsidRPr="00A7652F">
        <w:rPr>
          <w:rFonts w:ascii="Arial" w:hAnsi="Arial" w:cs="Arial"/>
          <w:noProof/>
          <w:sz w:val="21"/>
          <w:szCs w:val="21"/>
          <w:lang w:val="es-ES_tradnl"/>
        </w:rPr>
        <w:t>.</w:t>
      </w:r>
    </w:p>
    <w:p w14:paraId="1099F377" w14:textId="77777777" w:rsidR="00172805" w:rsidRPr="00A7652F" w:rsidRDefault="00172805" w:rsidP="004544D9">
      <w:pPr>
        <w:spacing w:after="0" w:line="240" w:lineRule="auto"/>
        <w:ind w:left="709" w:right="709"/>
        <w:contextualSpacing/>
        <w:jc w:val="both"/>
        <w:rPr>
          <w:rFonts w:ascii="Arial" w:hAnsi="Arial" w:cs="Arial"/>
          <w:noProof/>
          <w:sz w:val="21"/>
          <w:szCs w:val="21"/>
          <w:lang w:val="es-ES_tradnl"/>
        </w:rPr>
      </w:pPr>
    </w:p>
    <w:p w14:paraId="7D1DD1BA" w14:textId="49238AE9" w:rsidR="00172805" w:rsidRPr="00A7652F" w:rsidRDefault="00172805" w:rsidP="00085F0E">
      <w:pPr>
        <w:spacing w:after="120" w:line="276" w:lineRule="auto"/>
        <w:ind w:firstLine="709"/>
        <w:jc w:val="both"/>
        <w:rPr>
          <w:rFonts w:ascii="Arial" w:hAnsi="Arial" w:cs="Arial"/>
          <w:noProof/>
          <w:lang w:val="es-ES_tradnl"/>
        </w:rPr>
      </w:pPr>
      <w:r w:rsidRPr="00A7652F">
        <w:rPr>
          <w:rFonts w:ascii="Arial" w:hAnsi="Arial" w:cs="Arial"/>
          <w:noProof/>
          <w:lang w:val="es-ES_tradnl"/>
        </w:rPr>
        <w:t xml:space="preserve">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w:t>
      </w:r>
      <w:r w:rsidRPr="00A7652F">
        <w:rPr>
          <w:rFonts w:ascii="Arial" w:hAnsi="Arial" w:cs="Arial"/>
          <w:noProof/>
          <w:lang w:val="es-ES_tradnl"/>
        </w:rPr>
        <w:lastRenderedPageBreak/>
        <w:t>un componente intelectual y profesional, el objeto del contrato de consultoría es especial y debe celebrarse, por regla general, mediante un concurso de méritos</w:t>
      </w:r>
      <w:r w:rsidRPr="00A7652F">
        <w:rPr>
          <w:rFonts w:ascii="Arial" w:hAnsi="Arial" w:cs="Arial"/>
          <w:noProof/>
          <w:vertAlign w:val="superscript"/>
          <w:lang w:val="es-ES_tradnl"/>
        </w:rPr>
        <w:footnoteReference w:id="9"/>
      </w:r>
      <w:r w:rsidRPr="00A7652F">
        <w:rPr>
          <w:rFonts w:ascii="Arial" w:hAnsi="Arial" w:cs="Arial"/>
          <w:noProof/>
          <w:lang w:val="es-ES_tradnl"/>
        </w:rPr>
        <w:t>. Esto también se deriva d</w:t>
      </w:r>
      <w:r w:rsidRPr="00A7652F">
        <w:rPr>
          <w:rFonts w:ascii="Arial" w:eastAsia="Calibri" w:hAnsi="Arial"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7C03C0EE" w14:textId="77777777" w:rsidR="00172805" w:rsidRPr="00A7652F" w:rsidRDefault="00172805" w:rsidP="00085F0E">
      <w:pPr>
        <w:spacing w:after="120" w:line="276" w:lineRule="auto"/>
        <w:ind w:firstLine="709"/>
        <w:jc w:val="both"/>
        <w:rPr>
          <w:rFonts w:ascii="Arial" w:hAnsi="Arial" w:cs="Arial"/>
          <w:noProof/>
          <w:lang w:val="es-ES_tradnl"/>
        </w:rPr>
      </w:pPr>
      <w:r w:rsidRPr="00A7652F">
        <w:rPr>
          <w:rFonts w:ascii="Arial" w:hAnsi="Arial" w:cs="Arial"/>
          <w:noProof/>
          <w:lang w:val="es-ES_tradnl"/>
        </w:rPr>
        <w:t>vi) Para su celebración no se requiere expedir un acto administrativo de justificación de la contratación directa</w:t>
      </w:r>
      <w:r w:rsidRPr="00A7652F">
        <w:rPr>
          <w:rFonts w:ascii="Arial" w:hAnsi="Arial" w:cs="Arial"/>
          <w:noProof/>
          <w:vertAlign w:val="superscript"/>
          <w:lang w:val="es-ES_tradnl"/>
        </w:rPr>
        <w:footnoteReference w:id="10"/>
      </w:r>
      <w:r w:rsidRPr="00A7652F">
        <w:rPr>
          <w:rFonts w:ascii="Arial" w:hAnsi="Arial" w:cs="Arial"/>
          <w:noProof/>
          <w:lang w:val="es-ES_tradnl"/>
        </w:rPr>
        <w:t>.</w:t>
      </w:r>
    </w:p>
    <w:p w14:paraId="370D6E1C" w14:textId="77777777" w:rsidR="00172805" w:rsidRPr="00A7652F" w:rsidRDefault="00172805" w:rsidP="004544D9">
      <w:pPr>
        <w:spacing w:before="120" w:after="120" w:line="276" w:lineRule="auto"/>
        <w:ind w:firstLine="709"/>
        <w:jc w:val="both"/>
        <w:rPr>
          <w:rFonts w:ascii="Arial" w:hAnsi="Arial" w:cs="Arial"/>
          <w:noProof/>
          <w:lang w:val="es-ES_tradnl"/>
        </w:rPr>
      </w:pPr>
      <w:r w:rsidRPr="00A7652F">
        <w:rPr>
          <w:rFonts w:ascii="Arial" w:hAnsi="Arial" w:cs="Arial"/>
          <w:noProof/>
          <w:lang w:val="es-ES_tradnl"/>
        </w:rPr>
        <w:t xml:space="preserve">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w:t>
      </w:r>
      <w:r w:rsidRPr="00A7652F">
        <w:rPr>
          <w:rFonts w:ascii="Arial" w:hAnsi="Arial" w:cs="Arial"/>
          <w:noProof/>
          <w:lang w:val="es-ES_tradnl"/>
        </w:rPr>
        <w:lastRenderedPageBreak/>
        <w:t>entienden pactadas como cláusula de la naturaleza. Así se infiere del artículo 14, numeral 2º, de la Ley 80 de 1993</w:t>
      </w:r>
      <w:r w:rsidRPr="00A7652F">
        <w:rPr>
          <w:rFonts w:ascii="Arial" w:hAnsi="Arial" w:cs="Arial"/>
          <w:noProof/>
          <w:vertAlign w:val="superscript"/>
          <w:lang w:val="es-ES_tradnl"/>
        </w:rPr>
        <w:footnoteReference w:id="11"/>
      </w:r>
      <w:r w:rsidRPr="00A7652F">
        <w:rPr>
          <w:rFonts w:ascii="Arial" w:hAnsi="Arial" w:cs="Arial"/>
          <w:noProof/>
          <w:lang w:val="es-ES_tradnl"/>
        </w:rPr>
        <w:t>.</w:t>
      </w:r>
    </w:p>
    <w:p w14:paraId="1946078F" w14:textId="77777777" w:rsidR="00172805" w:rsidRPr="00A7652F" w:rsidRDefault="00172805" w:rsidP="004544D9">
      <w:pPr>
        <w:spacing w:before="120" w:after="120" w:line="276" w:lineRule="auto"/>
        <w:ind w:firstLine="709"/>
        <w:jc w:val="both"/>
        <w:rPr>
          <w:rFonts w:ascii="Arial" w:hAnsi="Arial" w:cs="Arial"/>
          <w:noProof/>
          <w:lang w:val="es-ES_tradnl"/>
        </w:rPr>
      </w:pPr>
      <w:r w:rsidRPr="00A7652F">
        <w:rPr>
          <w:rFonts w:ascii="Arial" w:hAnsi="Arial" w:cs="Arial"/>
          <w:noProof/>
          <w:lang w:val="es-ES_tradnl"/>
        </w:rPr>
        <w:t>viii) No es obligatoria la liquidación de estos contratos, como lo establece el artículo 217 del Decreto 019 de 2012, que modificó el artículo 60 de la Ley 80 de 1993</w:t>
      </w:r>
      <w:r w:rsidRPr="00A7652F">
        <w:rPr>
          <w:rFonts w:ascii="Arial" w:hAnsi="Arial" w:cs="Arial"/>
          <w:noProof/>
          <w:vertAlign w:val="superscript"/>
          <w:lang w:val="es-ES_tradnl"/>
        </w:rPr>
        <w:footnoteReference w:id="12"/>
      </w:r>
      <w:r w:rsidRPr="00A7652F">
        <w:rPr>
          <w:rFonts w:ascii="Arial" w:hAnsi="Arial" w:cs="Arial"/>
          <w:noProof/>
          <w:lang w:val="es-ES_tradnl"/>
        </w:rPr>
        <w:t>.</w:t>
      </w:r>
    </w:p>
    <w:p w14:paraId="2E9CB531" w14:textId="77777777" w:rsidR="00172805" w:rsidRPr="00A7652F" w:rsidRDefault="00172805" w:rsidP="004544D9">
      <w:pPr>
        <w:spacing w:before="120" w:after="120" w:line="276" w:lineRule="auto"/>
        <w:ind w:firstLine="709"/>
        <w:jc w:val="both"/>
        <w:rPr>
          <w:rFonts w:ascii="Arial" w:hAnsi="Arial" w:cs="Arial"/>
          <w:noProof/>
          <w:lang w:val="es-ES_tradnl"/>
        </w:rPr>
      </w:pPr>
      <w:r w:rsidRPr="00A7652F">
        <w:rPr>
          <w:rFonts w:ascii="Arial" w:hAnsi="Arial" w:cs="Arial"/>
          <w:noProof/>
          <w:lang w:val="es-ES_tradnl"/>
        </w:rPr>
        <w:t>ix) Para su celebración el contratista no requiere estar inscrito en el Registro Único de Proponentes –RUP–, como lo señala el artículo 6 de la Ley 1150 de 2007</w:t>
      </w:r>
      <w:r w:rsidRPr="00A7652F">
        <w:rPr>
          <w:rFonts w:ascii="Arial" w:hAnsi="Arial" w:cs="Arial"/>
          <w:noProof/>
          <w:vertAlign w:val="superscript"/>
          <w:lang w:val="es-ES_tradnl"/>
        </w:rPr>
        <w:footnoteReference w:id="13"/>
      </w:r>
      <w:r w:rsidRPr="00A7652F">
        <w:rPr>
          <w:rFonts w:ascii="Arial" w:hAnsi="Arial" w:cs="Arial"/>
          <w:noProof/>
          <w:lang w:val="es-ES_tradnl"/>
        </w:rPr>
        <w:t>.</w:t>
      </w:r>
    </w:p>
    <w:p w14:paraId="4CDFF423" w14:textId="77777777" w:rsidR="00172805" w:rsidRPr="00A7652F" w:rsidRDefault="00172805" w:rsidP="004544D9">
      <w:pPr>
        <w:spacing w:before="120" w:after="120" w:line="276" w:lineRule="auto"/>
        <w:ind w:firstLine="708"/>
        <w:jc w:val="both"/>
        <w:rPr>
          <w:rFonts w:ascii="Arial" w:hAnsi="Arial" w:cs="Arial"/>
          <w:noProof/>
          <w:lang w:val="es-ES_tradnl"/>
        </w:rPr>
      </w:pPr>
      <w:r w:rsidRPr="00A7652F">
        <w:rPr>
          <w:rFonts w:ascii="Arial" w:hAnsi="Arial" w:cs="Arial"/>
          <w:noProof/>
          <w:lang w:val="es-ES_tradnl"/>
        </w:rPr>
        <w:lastRenderedPageBreak/>
        <w:t>x) No es obligtoria la exigencia de garantías</w:t>
      </w:r>
      <w:r w:rsidRPr="00A7652F">
        <w:rPr>
          <w:rFonts w:ascii="Arial" w:hAnsi="Arial" w:cs="Arial"/>
          <w:noProof/>
          <w:vertAlign w:val="superscript"/>
          <w:lang w:val="es-ES_tradnl"/>
        </w:rPr>
        <w:footnoteReference w:id="14"/>
      </w:r>
      <w:r w:rsidRPr="00A7652F">
        <w:rPr>
          <w:rFonts w:ascii="Arial" w:hAnsi="Arial" w:cs="Arial"/>
          <w:noProof/>
          <w:lang w:val="es-ES_tradnl"/>
        </w:rPr>
        <w:t>.</w:t>
      </w:r>
    </w:p>
    <w:p w14:paraId="46A5CCAA" w14:textId="77777777" w:rsidR="00172805" w:rsidRPr="00A7652F" w:rsidRDefault="00172805" w:rsidP="004544D9">
      <w:pPr>
        <w:spacing w:before="120" w:after="120" w:line="276" w:lineRule="auto"/>
        <w:ind w:firstLine="708"/>
        <w:jc w:val="both"/>
        <w:rPr>
          <w:rFonts w:ascii="Arial" w:hAnsi="Arial" w:cs="Arial"/>
          <w:noProof/>
          <w:lang w:val="es-ES"/>
        </w:rPr>
      </w:pPr>
      <w:r w:rsidRPr="00A7652F">
        <w:rPr>
          <w:rFonts w:ascii="Arial" w:hAnsi="Arial" w:cs="Arial"/>
          <w:noProof/>
          <w:lang w:val="es-ES_tradnl"/>
        </w:rPr>
        <w:t>xi) Como los demás contratos estatales, se trata de un contrato solemne que debe constar por escrito y debe ser publicado en el SECOP.</w:t>
      </w:r>
    </w:p>
    <w:p w14:paraId="61A96973" w14:textId="77777777" w:rsidR="00172805" w:rsidRPr="00A7652F" w:rsidRDefault="00172805" w:rsidP="00172805">
      <w:pPr>
        <w:tabs>
          <w:tab w:val="left" w:pos="0"/>
        </w:tabs>
        <w:spacing w:before="120" w:after="0" w:line="276" w:lineRule="auto"/>
        <w:ind w:firstLine="709"/>
        <w:jc w:val="both"/>
        <w:rPr>
          <w:rFonts w:ascii="Arial" w:hAnsi="Arial" w:cs="Arial"/>
          <w:color w:val="000000" w:themeColor="text1"/>
          <w:sz w:val="21"/>
          <w:szCs w:val="21"/>
          <w:lang w:val="es-MX"/>
        </w:rPr>
      </w:pPr>
      <w:r w:rsidRPr="00A7652F">
        <w:rPr>
          <w:rFonts w:ascii="Arial" w:hAnsi="Arial" w:cs="Arial"/>
          <w:color w:val="000000" w:themeColor="text1"/>
          <w:lang w:val="es-ES"/>
        </w:rPr>
        <w:t>xii) C</w:t>
      </w:r>
      <w:r w:rsidRPr="00A7652F">
        <w:rPr>
          <w:rFonts w:ascii="Arial" w:hAnsi="Arial" w:cs="Arial"/>
          <w:color w:val="000000" w:themeColor="text1"/>
          <w:lang w:val="es-MX"/>
        </w:rPr>
        <w:t xml:space="preserve">omo especies del género </w:t>
      </w:r>
      <w:r w:rsidRPr="00A7652F">
        <w:rPr>
          <w:rFonts w:ascii="Arial" w:hAnsi="Arial" w:cs="Arial"/>
          <w:i/>
          <w:color w:val="000000" w:themeColor="text1"/>
          <w:lang w:val="es-MX"/>
        </w:rPr>
        <w:t>prestación de servicios,</w:t>
      </w:r>
      <w:r w:rsidRPr="00A7652F">
        <w:rPr>
          <w:rFonts w:ascii="Arial" w:hAnsi="Arial" w:cs="Arial"/>
          <w:color w:val="000000" w:themeColor="text1"/>
          <w:lang w:val="es-MX"/>
        </w:rPr>
        <w:t xml:space="preserve"> se incluyen </w:t>
      </w:r>
      <w:r w:rsidRPr="00A7652F">
        <w:rPr>
          <w:rFonts w:ascii="Arial" w:hAnsi="Arial" w:cs="Arial"/>
          <w:color w:val="000000" w:themeColor="text1"/>
          <w:lang w:val="es-ES_tradnl"/>
        </w:rPr>
        <w:t xml:space="preserve">los </w:t>
      </w:r>
      <w:r w:rsidRPr="00A7652F">
        <w:rPr>
          <w:rFonts w:ascii="Arial" w:hAnsi="Arial" w:cs="Arial"/>
          <w:i/>
          <w:iCs/>
          <w:color w:val="000000" w:themeColor="text1"/>
          <w:lang w:val="es-ES_tradnl"/>
        </w:rPr>
        <w:t>contratos de prestación de servicios profesionales, los contratos de prestación de servicios de apoyo a la gestión</w:t>
      </w:r>
      <w:r w:rsidRPr="00A7652F">
        <w:rPr>
          <w:rFonts w:ascii="Arial" w:hAnsi="Arial" w:cs="Arial"/>
          <w:color w:val="000000" w:themeColor="text1"/>
          <w:lang w:val="es-ES_tradnl"/>
        </w:rPr>
        <w:t xml:space="preserve"> y los </w:t>
      </w:r>
      <w:r w:rsidRPr="00A7652F">
        <w:rPr>
          <w:rFonts w:ascii="Arial" w:hAnsi="Arial" w:cs="Arial"/>
          <w:i/>
          <w:iCs/>
          <w:color w:val="000000" w:themeColor="text1"/>
          <w:lang w:val="es-ES_tradnl"/>
        </w:rPr>
        <w:t>contratos de prestación de servicios artísticos que solo pueden encomendarse a determinadas personas naturales</w:t>
      </w:r>
      <w:r w:rsidRPr="00A7652F">
        <w:rPr>
          <w:rFonts w:ascii="Arial" w:hAnsi="Arial" w:cs="Arial"/>
          <w:color w:val="000000" w:themeColor="text1"/>
          <w:vertAlign w:val="superscript"/>
          <w:lang w:val="es-ES_tradnl"/>
        </w:rPr>
        <w:footnoteReference w:id="15"/>
      </w:r>
      <w:r w:rsidRPr="00A7652F">
        <w:rPr>
          <w:rFonts w:ascii="Arial" w:hAnsi="Arial" w:cs="Arial"/>
          <w:color w:val="000000" w:themeColor="text1"/>
          <w:lang w:val="es-MX"/>
        </w:rPr>
        <w:t xml:space="preserve">. </w:t>
      </w:r>
      <w:r w:rsidRPr="00A7652F">
        <w:rPr>
          <w:rFonts w:ascii="Arial" w:hAnsi="Arial" w:cs="Arial"/>
          <w:color w:val="000000" w:themeColor="text1"/>
          <w:lang w:val="es-ES_tradnl"/>
        </w:rPr>
        <w:t xml:space="preserve">La diferencia entre el contrato de prestación de servicios </w:t>
      </w:r>
      <w:r w:rsidRPr="00A7652F">
        <w:rPr>
          <w:rFonts w:ascii="Arial" w:hAnsi="Arial" w:cs="Arial"/>
          <w:i/>
          <w:color w:val="000000" w:themeColor="text1"/>
          <w:lang w:val="es-ES_tradnl"/>
        </w:rPr>
        <w:t>profesionales</w:t>
      </w:r>
      <w:r w:rsidRPr="00A7652F">
        <w:rPr>
          <w:rFonts w:ascii="Arial" w:hAnsi="Arial"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3B3F5CDC" w14:textId="77777777" w:rsidR="00172805" w:rsidRPr="00A7652F" w:rsidRDefault="00172805" w:rsidP="004544D9">
      <w:pPr>
        <w:spacing w:after="0" w:line="276" w:lineRule="auto"/>
        <w:ind w:firstLine="709"/>
        <w:contextualSpacing/>
        <w:jc w:val="both"/>
        <w:rPr>
          <w:rFonts w:ascii="Arial" w:hAnsi="Arial" w:cs="Arial"/>
          <w:color w:val="000000" w:themeColor="text1"/>
          <w:lang w:val="es-ES_tradnl"/>
        </w:rPr>
      </w:pPr>
    </w:p>
    <w:p w14:paraId="08DA35F9" w14:textId="77777777" w:rsidR="00172805" w:rsidRPr="00A7652F" w:rsidRDefault="00172805" w:rsidP="004544D9">
      <w:pPr>
        <w:spacing w:after="0" w:line="240" w:lineRule="auto"/>
        <w:ind w:left="709" w:right="709"/>
        <w:contextualSpacing/>
        <w:jc w:val="both"/>
        <w:rPr>
          <w:rFonts w:ascii="Arial" w:hAnsi="Arial" w:cs="Arial"/>
          <w:color w:val="000000" w:themeColor="text1"/>
          <w:sz w:val="21"/>
          <w:szCs w:val="21"/>
          <w:lang w:val="es-ES_tradnl"/>
        </w:rPr>
      </w:pPr>
      <w:r w:rsidRPr="00A7652F">
        <w:rPr>
          <w:rFonts w:ascii="Arial" w:hAnsi="Arial" w:cs="Arial"/>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w:t>
      </w:r>
      <w:r w:rsidRPr="00A7652F">
        <w:rPr>
          <w:rFonts w:ascii="Arial" w:hAnsi="Arial" w:cs="Arial"/>
          <w:color w:val="000000" w:themeColor="text1"/>
          <w:sz w:val="21"/>
          <w:szCs w:val="21"/>
          <w:lang w:val="es-ES_tradnl"/>
        </w:rPr>
        <w:lastRenderedPageBreak/>
        <w:t>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A7652F">
        <w:rPr>
          <w:rFonts w:ascii="Arial" w:hAnsi="Arial" w:cs="Arial"/>
          <w:color w:val="000000" w:themeColor="text1"/>
          <w:sz w:val="21"/>
          <w:szCs w:val="21"/>
          <w:vertAlign w:val="superscript"/>
          <w:lang w:val="es-ES_tradnl"/>
        </w:rPr>
        <w:footnoteReference w:id="16"/>
      </w:r>
      <w:r w:rsidRPr="00A7652F">
        <w:rPr>
          <w:rFonts w:ascii="Arial" w:hAnsi="Arial" w:cs="Arial"/>
          <w:color w:val="000000" w:themeColor="text1"/>
          <w:sz w:val="21"/>
          <w:szCs w:val="21"/>
          <w:lang w:val="es-ES_tradnl"/>
        </w:rPr>
        <w:t>.</w:t>
      </w:r>
    </w:p>
    <w:p w14:paraId="365540F6" w14:textId="77777777" w:rsidR="00172805" w:rsidRPr="00A7652F" w:rsidRDefault="00172805" w:rsidP="004544D9">
      <w:pPr>
        <w:spacing w:after="0" w:line="240" w:lineRule="auto"/>
        <w:ind w:firstLine="709"/>
        <w:contextualSpacing/>
        <w:jc w:val="both"/>
        <w:rPr>
          <w:rFonts w:ascii="Arial" w:hAnsi="Arial" w:cs="Arial"/>
          <w:color w:val="000000" w:themeColor="text1"/>
          <w:lang w:val="es-ES_tradnl"/>
        </w:rPr>
      </w:pPr>
    </w:p>
    <w:p w14:paraId="7FA9FD59" w14:textId="77777777" w:rsidR="00172805" w:rsidRPr="00A7652F" w:rsidRDefault="00172805" w:rsidP="004544D9">
      <w:pPr>
        <w:spacing w:after="0" w:line="276" w:lineRule="auto"/>
        <w:ind w:firstLine="709"/>
        <w:contextualSpacing/>
        <w:jc w:val="both"/>
        <w:rPr>
          <w:rFonts w:ascii="Arial" w:hAnsi="Arial" w:cs="Arial"/>
          <w:color w:val="000000" w:themeColor="text1"/>
          <w:lang w:val="es-ES_tradnl"/>
        </w:rPr>
      </w:pPr>
      <w:r w:rsidRPr="00A7652F">
        <w:rPr>
          <w:rFonts w:ascii="Arial" w:hAnsi="Arial" w:cs="Arial"/>
          <w:color w:val="000000" w:themeColor="text1"/>
          <w:lang w:val="es-ES_tradnl"/>
        </w:rPr>
        <w:t xml:space="preserve">Lo expuesto, según la jurisprudencia citada, se diferencia del objeto del </w:t>
      </w:r>
      <w:r w:rsidRPr="00A7652F">
        <w:rPr>
          <w:rFonts w:ascii="Arial" w:hAnsi="Arial" w:cs="Arial"/>
          <w:i/>
          <w:iCs/>
          <w:color w:val="000000" w:themeColor="text1"/>
          <w:lang w:val="es-ES_tradnl"/>
        </w:rPr>
        <w:t>contrato de prestación de servicios de apoyo a la gestión</w:t>
      </w:r>
      <w:r w:rsidRPr="00A7652F">
        <w:rPr>
          <w:rFonts w:ascii="Arial" w:hAnsi="Arial" w:cs="Arial"/>
          <w:color w:val="000000" w:themeColor="text1"/>
          <w:lang w:val="es-ES_tradnl"/>
        </w:rPr>
        <w:t>, en los siguientes aspectos:</w:t>
      </w:r>
    </w:p>
    <w:p w14:paraId="37693352" w14:textId="77777777" w:rsidR="00172805" w:rsidRPr="00A7652F" w:rsidRDefault="00172805" w:rsidP="004544D9">
      <w:pPr>
        <w:spacing w:after="0" w:line="276" w:lineRule="auto"/>
        <w:ind w:firstLine="709"/>
        <w:contextualSpacing/>
        <w:jc w:val="both"/>
        <w:rPr>
          <w:rFonts w:ascii="Arial" w:hAnsi="Arial" w:cs="Arial"/>
          <w:color w:val="000000" w:themeColor="text1"/>
          <w:lang w:val="es-ES_tradnl"/>
        </w:rPr>
      </w:pPr>
    </w:p>
    <w:p w14:paraId="59E2B185" w14:textId="1902C36A" w:rsidR="00172805" w:rsidRPr="00A7652F" w:rsidRDefault="00172805" w:rsidP="00EF1055">
      <w:pPr>
        <w:spacing w:after="0" w:line="240" w:lineRule="auto"/>
        <w:ind w:left="709" w:right="709"/>
        <w:jc w:val="both"/>
        <w:rPr>
          <w:rFonts w:ascii="Arial" w:hAnsi="Arial" w:cs="Arial"/>
          <w:color w:val="000000" w:themeColor="text1"/>
          <w:sz w:val="21"/>
          <w:szCs w:val="21"/>
          <w:lang w:val="es-ES_tradnl"/>
        </w:rPr>
      </w:pPr>
      <w:r w:rsidRPr="00A7652F">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A0F8B8F" w14:textId="77777777" w:rsidR="00EF1055" w:rsidRPr="00A7652F" w:rsidRDefault="00EF1055" w:rsidP="00EF1055">
      <w:pPr>
        <w:spacing w:after="0" w:line="240" w:lineRule="auto"/>
        <w:ind w:left="709" w:right="709"/>
        <w:jc w:val="both"/>
        <w:rPr>
          <w:rFonts w:ascii="Arial" w:hAnsi="Arial" w:cs="Arial"/>
          <w:color w:val="000000" w:themeColor="text1"/>
          <w:sz w:val="21"/>
          <w:szCs w:val="21"/>
          <w:lang w:val="es-ES_tradnl"/>
        </w:rPr>
      </w:pPr>
    </w:p>
    <w:p w14:paraId="68C12843" w14:textId="3E7E0DB1" w:rsidR="00172805" w:rsidRPr="00A7652F" w:rsidRDefault="00172805" w:rsidP="00EF1055">
      <w:pPr>
        <w:spacing w:after="0" w:line="240" w:lineRule="auto"/>
        <w:ind w:left="709" w:right="709"/>
        <w:jc w:val="both"/>
        <w:rPr>
          <w:rFonts w:ascii="Arial" w:hAnsi="Arial" w:cs="Arial"/>
          <w:color w:val="000000" w:themeColor="text1"/>
          <w:sz w:val="21"/>
          <w:szCs w:val="21"/>
          <w:lang w:val="es-ES_tradnl"/>
        </w:rPr>
      </w:pPr>
      <w:r w:rsidRPr="00A7652F">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04E00CB5" w14:textId="77777777" w:rsidR="00EF1055" w:rsidRPr="00A7652F" w:rsidRDefault="00EF1055" w:rsidP="00EF1055">
      <w:pPr>
        <w:spacing w:after="0" w:line="240" w:lineRule="auto"/>
        <w:ind w:left="709" w:right="709"/>
        <w:jc w:val="both"/>
        <w:rPr>
          <w:rFonts w:ascii="Arial" w:hAnsi="Arial" w:cs="Arial"/>
          <w:color w:val="000000" w:themeColor="text1"/>
          <w:sz w:val="21"/>
          <w:szCs w:val="21"/>
          <w:lang w:val="es-ES_tradnl"/>
        </w:rPr>
      </w:pPr>
    </w:p>
    <w:p w14:paraId="55327039" w14:textId="77777777" w:rsidR="00172805" w:rsidRPr="00A7652F" w:rsidRDefault="00172805" w:rsidP="00172805">
      <w:pPr>
        <w:spacing w:after="0" w:line="240" w:lineRule="auto"/>
        <w:ind w:left="709" w:right="709"/>
        <w:jc w:val="both"/>
        <w:rPr>
          <w:rFonts w:ascii="Arial" w:hAnsi="Arial" w:cs="Arial"/>
          <w:color w:val="000000" w:themeColor="text1"/>
          <w:sz w:val="21"/>
          <w:szCs w:val="21"/>
          <w:lang w:val="es-ES_tradnl"/>
        </w:rPr>
      </w:pPr>
      <w:r w:rsidRPr="00A7652F">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A7652F">
        <w:rPr>
          <w:rFonts w:ascii="Arial" w:hAnsi="Arial" w:cs="Arial"/>
          <w:color w:val="000000" w:themeColor="text1"/>
          <w:sz w:val="21"/>
          <w:szCs w:val="21"/>
          <w:vertAlign w:val="superscript"/>
          <w:lang w:val="es-ES_tradnl"/>
        </w:rPr>
        <w:footnoteReference w:id="17"/>
      </w:r>
      <w:r w:rsidRPr="00A7652F">
        <w:rPr>
          <w:rFonts w:ascii="Arial" w:hAnsi="Arial" w:cs="Arial"/>
          <w:color w:val="000000" w:themeColor="text1"/>
          <w:sz w:val="21"/>
          <w:szCs w:val="21"/>
          <w:lang w:val="es-ES_tradnl"/>
        </w:rPr>
        <w:t>.</w:t>
      </w:r>
    </w:p>
    <w:p w14:paraId="0B082B67" w14:textId="77777777" w:rsidR="00172805" w:rsidRPr="00A7652F" w:rsidRDefault="00172805" w:rsidP="00172805">
      <w:pPr>
        <w:spacing w:after="0" w:line="276" w:lineRule="auto"/>
        <w:ind w:firstLine="709"/>
        <w:jc w:val="both"/>
        <w:rPr>
          <w:rFonts w:ascii="Arial" w:hAnsi="Arial" w:cs="Arial"/>
          <w:color w:val="000000" w:themeColor="text1"/>
          <w:lang w:val="es-ES_tradnl"/>
        </w:rPr>
      </w:pPr>
    </w:p>
    <w:p w14:paraId="5375C916" w14:textId="77777777" w:rsidR="00172805" w:rsidRPr="00A7652F" w:rsidRDefault="00172805" w:rsidP="00172805">
      <w:pPr>
        <w:spacing w:after="0" w:line="276" w:lineRule="auto"/>
        <w:ind w:firstLine="709"/>
        <w:jc w:val="both"/>
        <w:rPr>
          <w:rFonts w:ascii="Arial" w:hAnsi="Arial" w:cs="Arial"/>
          <w:color w:val="000000" w:themeColor="text1"/>
          <w:lang w:val="es-ES_tradnl"/>
        </w:rPr>
      </w:pPr>
      <w:r w:rsidRPr="00A7652F">
        <w:rPr>
          <w:rFonts w:ascii="Arial" w:hAnsi="Arial" w:cs="Arial"/>
          <w:color w:val="000000" w:themeColor="text1"/>
          <w:lang w:val="es-ES_tradnl"/>
        </w:rPr>
        <w:t xml:space="preserve">En relación con el </w:t>
      </w:r>
      <w:r w:rsidRPr="00A7652F">
        <w:rPr>
          <w:rFonts w:ascii="Arial" w:hAnsi="Arial" w:cs="Arial"/>
          <w:i/>
          <w:iCs/>
          <w:color w:val="000000" w:themeColor="text1"/>
          <w:lang w:val="es-ES_tradnl"/>
        </w:rPr>
        <w:t>contrato de prestación de servicios artísticos que solo pueden encomendarse a determinadas personas naturales</w:t>
      </w:r>
      <w:r w:rsidRPr="00A7652F">
        <w:rPr>
          <w:rFonts w:ascii="Arial" w:hAnsi="Arial" w:cs="Arial"/>
          <w:color w:val="000000" w:themeColor="text1"/>
          <w:lang w:val="es-ES_tradnl"/>
        </w:rPr>
        <w:t>, señala la mencionada decisión judicial lo siguiente:</w:t>
      </w:r>
    </w:p>
    <w:p w14:paraId="68B03372" w14:textId="77777777" w:rsidR="00172805" w:rsidRPr="00A7652F" w:rsidRDefault="00172805" w:rsidP="00172805">
      <w:pPr>
        <w:spacing w:after="0" w:line="240" w:lineRule="auto"/>
        <w:ind w:left="709" w:right="709"/>
        <w:jc w:val="both"/>
        <w:rPr>
          <w:rFonts w:ascii="Arial" w:hAnsi="Arial" w:cs="Arial"/>
          <w:color w:val="000000" w:themeColor="text1"/>
          <w:sz w:val="21"/>
          <w:szCs w:val="21"/>
          <w:lang w:val="es-ES_tradnl"/>
        </w:rPr>
      </w:pPr>
    </w:p>
    <w:p w14:paraId="4AB2902E" w14:textId="77777777" w:rsidR="00172805" w:rsidRPr="00A7652F" w:rsidRDefault="00172805" w:rsidP="00172805">
      <w:pPr>
        <w:spacing w:after="0" w:line="240" w:lineRule="auto"/>
        <w:ind w:left="709" w:right="709"/>
        <w:jc w:val="both"/>
        <w:rPr>
          <w:rFonts w:ascii="Arial" w:hAnsi="Arial" w:cs="Arial"/>
          <w:color w:val="000000" w:themeColor="text1"/>
          <w:sz w:val="21"/>
          <w:szCs w:val="21"/>
          <w:lang w:val="es-ES_tradnl"/>
        </w:rPr>
      </w:pPr>
      <w:r w:rsidRPr="00A7652F">
        <w:rPr>
          <w:rFonts w:ascii="Arial" w:hAnsi="Arial" w:cs="Arial"/>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w:t>
      </w:r>
      <w:r w:rsidRPr="00A7652F">
        <w:rPr>
          <w:rFonts w:ascii="Arial" w:hAnsi="Arial" w:cs="Arial"/>
          <w:color w:val="000000" w:themeColor="text1"/>
          <w:sz w:val="21"/>
          <w:szCs w:val="21"/>
          <w:lang w:val="es-ES_tradnl"/>
        </w:rPr>
        <w:lastRenderedPageBreak/>
        <w:t>implica que el contratista debe ser un artista, esto es, una persona reconocida como realizador o productor de arte o trabajos artísticos</w:t>
      </w:r>
      <w:r w:rsidRPr="00A7652F">
        <w:rPr>
          <w:rFonts w:ascii="Arial" w:hAnsi="Arial" w:cs="Arial"/>
          <w:color w:val="000000" w:themeColor="text1"/>
          <w:sz w:val="21"/>
          <w:szCs w:val="21"/>
          <w:vertAlign w:val="superscript"/>
          <w:lang w:val="es-ES_tradnl"/>
        </w:rPr>
        <w:footnoteReference w:id="18"/>
      </w:r>
      <w:r w:rsidRPr="00A7652F">
        <w:rPr>
          <w:rFonts w:ascii="Arial" w:hAnsi="Arial" w:cs="Arial"/>
          <w:color w:val="000000" w:themeColor="text1"/>
          <w:sz w:val="21"/>
          <w:szCs w:val="21"/>
          <w:lang w:val="es-ES_tradnl"/>
        </w:rPr>
        <w:t>.</w:t>
      </w:r>
    </w:p>
    <w:p w14:paraId="3F52008A" w14:textId="77777777" w:rsidR="00172805" w:rsidRPr="00A7652F" w:rsidRDefault="00172805" w:rsidP="00172805">
      <w:pPr>
        <w:spacing w:after="0" w:line="240" w:lineRule="auto"/>
        <w:ind w:left="709" w:right="709"/>
        <w:jc w:val="both"/>
        <w:rPr>
          <w:rFonts w:ascii="Arial" w:hAnsi="Arial" w:cs="Arial"/>
          <w:color w:val="000000" w:themeColor="text1"/>
          <w:sz w:val="21"/>
          <w:szCs w:val="21"/>
          <w:lang w:val="es-ES_tradnl"/>
        </w:rPr>
      </w:pPr>
    </w:p>
    <w:p w14:paraId="47EB8114" w14:textId="77777777" w:rsidR="00172805" w:rsidRPr="00A7652F" w:rsidRDefault="00172805" w:rsidP="00E72479">
      <w:pPr>
        <w:spacing w:after="0" w:line="276" w:lineRule="auto"/>
        <w:ind w:firstLine="709"/>
        <w:jc w:val="both"/>
        <w:rPr>
          <w:rFonts w:ascii="Arial" w:hAnsi="Arial" w:cs="Arial"/>
          <w:color w:val="000000" w:themeColor="text1"/>
          <w:lang w:val="es-MX"/>
        </w:rPr>
      </w:pPr>
      <w:r w:rsidRPr="00A7652F">
        <w:rPr>
          <w:rFonts w:ascii="Arial" w:hAnsi="Arial" w:cs="Arial"/>
          <w:color w:val="000000" w:themeColor="text1"/>
          <w:lang w:val="es-ES_tradnl"/>
        </w:rPr>
        <w:t xml:space="preserve">En este sentido, el contrato de prestación de servicios </w:t>
      </w:r>
      <w:r w:rsidRPr="00A7652F">
        <w:rPr>
          <w:rFonts w:ascii="Arial" w:hAnsi="Arial" w:cs="Arial"/>
          <w:i/>
          <w:iCs/>
          <w:color w:val="000000" w:themeColor="text1"/>
          <w:lang w:val="es-ES_tradnl"/>
        </w:rPr>
        <w:t>profesionales</w:t>
      </w:r>
      <w:r w:rsidRPr="00A7652F">
        <w:rPr>
          <w:rFonts w:ascii="Arial" w:hAnsi="Arial"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A7652F">
        <w:rPr>
          <w:rFonts w:ascii="Arial" w:hAnsi="Arial" w:cs="Arial"/>
          <w:i/>
          <w:iCs/>
          <w:color w:val="000000" w:themeColor="text1"/>
          <w:lang w:val="es-ES_tradnl"/>
        </w:rPr>
        <w:t>saber intelectivo cualificado.</w:t>
      </w:r>
      <w:r w:rsidRPr="00A7652F">
        <w:rPr>
          <w:rFonts w:ascii="Arial" w:hAnsi="Arial" w:cs="Arial"/>
          <w:color w:val="000000" w:themeColor="text1"/>
          <w:lang w:val="es-ES_tradnl"/>
        </w:rPr>
        <w:t xml:space="preserve"> En cambio, los contratos de prestación de servicios de </w:t>
      </w:r>
      <w:r w:rsidRPr="00A7652F">
        <w:rPr>
          <w:rFonts w:ascii="Arial" w:hAnsi="Arial" w:cs="Arial"/>
          <w:i/>
          <w:iCs/>
          <w:color w:val="000000" w:themeColor="text1"/>
          <w:lang w:val="es-ES_tradnl"/>
        </w:rPr>
        <w:t>apoyo a la gestión</w:t>
      </w:r>
      <w:r w:rsidRPr="00A7652F">
        <w:rPr>
          <w:rFonts w:ascii="Arial" w:hAnsi="Arial" w:cs="Arial"/>
          <w:color w:val="000000" w:themeColor="text1"/>
          <w:lang w:val="es-ES_tradnl"/>
        </w:rPr>
        <w:t xml:space="preserve"> y de </w:t>
      </w:r>
      <w:r w:rsidRPr="00A7652F">
        <w:rPr>
          <w:rFonts w:ascii="Arial" w:hAnsi="Arial" w:cs="Arial"/>
          <w:i/>
          <w:iCs/>
          <w:color w:val="000000" w:themeColor="text1"/>
          <w:lang w:val="es-ES_tradnl"/>
        </w:rPr>
        <w:t>servicios artísticos</w:t>
      </w:r>
      <w:r w:rsidRPr="00A7652F">
        <w:rPr>
          <w:rFonts w:ascii="Arial" w:hAnsi="Arial" w:cs="Arial"/>
          <w:color w:val="000000" w:themeColor="text1"/>
          <w:lang w:val="es-ES_tradnl"/>
        </w:rPr>
        <w:t xml:space="preserve"> no involucran ese conocimiento profesional </w:t>
      </w:r>
      <w:r w:rsidRPr="00A7652F">
        <w:rPr>
          <w:rFonts w:ascii="Arial" w:hAnsi="Arial" w:cs="Arial"/>
          <w:color w:val="000000" w:themeColor="text1"/>
          <w:lang w:val="es-MX"/>
        </w:rPr>
        <w:t xml:space="preserve">o especializados para su ejecución. En los contratos de apoyo a la gestión </w:t>
      </w:r>
      <w:r w:rsidRPr="00A7652F">
        <w:rPr>
          <w:rFonts w:ascii="Arial" w:hAnsi="Arial" w:cs="Arial"/>
          <w:color w:val="000000" w:themeColor="text1"/>
          <w:lang w:val="es-ES_tradnl"/>
        </w:rPr>
        <w:t xml:space="preserve">el contratista desempeña un esfuerzo o actividad de apoyo, acompañamiento, o soporte, </w:t>
      </w:r>
      <w:r w:rsidRPr="00A7652F">
        <w:rPr>
          <w:rFonts w:ascii="Arial" w:hAnsi="Arial" w:cs="Arial"/>
          <w:color w:val="000000" w:themeColor="text1"/>
          <w:lang w:val="es-MX"/>
        </w:rPr>
        <w:t xml:space="preserve">donde </w:t>
      </w:r>
      <w:r w:rsidRPr="00A7652F">
        <w:rPr>
          <w:rFonts w:ascii="Arial" w:hAnsi="Arial" w:cs="Arial"/>
          <w:color w:val="000000" w:themeColor="text1"/>
          <w:lang w:val="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w:t>
      </w:r>
      <w:bookmarkStart w:id="11" w:name="_Hlk80118732"/>
      <w:r w:rsidRPr="00A7652F">
        <w:rPr>
          <w:rFonts w:ascii="Arial" w:hAnsi="Arial" w:cs="Arial"/>
          <w:color w:val="000000" w:themeColor="text1"/>
          <w:lang w:val="es-ES_tradnl"/>
        </w:rPr>
        <w:t>»</w:t>
      </w:r>
      <w:bookmarkEnd w:id="11"/>
      <w:r w:rsidRPr="00A7652F">
        <w:rPr>
          <w:rFonts w:ascii="Arial" w:hAnsi="Arial" w:cs="Arial"/>
          <w:color w:val="000000" w:themeColor="text1"/>
          <w:lang w:val="es-ES_tradnl"/>
        </w:rPr>
        <w:t>, para lo cual es indiferente el carácter de profesional.</w:t>
      </w:r>
    </w:p>
    <w:p w14:paraId="12CBB332" w14:textId="77777777" w:rsidR="00EF1288" w:rsidRPr="00A7652F" w:rsidRDefault="00EF1288" w:rsidP="004544D9">
      <w:pPr>
        <w:widowControl w:val="0"/>
        <w:autoSpaceDE w:val="0"/>
        <w:autoSpaceDN w:val="0"/>
        <w:spacing w:before="8" w:after="0" w:line="276" w:lineRule="auto"/>
        <w:rPr>
          <w:rFonts w:ascii="Arial" w:eastAsia="Arial" w:hAnsi="Arial" w:cs="Arial"/>
          <w:b/>
          <w:lang w:val="es-ES"/>
        </w:rPr>
      </w:pPr>
    </w:p>
    <w:p w14:paraId="00E9A4DB" w14:textId="32E4EE83" w:rsidR="006A5A54" w:rsidRPr="00A7652F" w:rsidRDefault="0066787D" w:rsidP="00085F0E">
      <w:pPr>
        <w:spacing w:after="0" w:line="276" w:lineRule="auto"/>
        <w:jc w:val="both"/>
        <w:rPr>
          <w:rFonts w:ascii="Arial" w:eastAsia="Calibri" w:hAnsi="Arial" w:cs="Arial"/>
          <w:b/>
          <w:bCs/>
          <w:lang w:val="es-MX" w:eastAsia="es-ES_tradnl"/>
        </w:rPr>
      </w:pPr>
      <w:r w:rsidRPr="00A7652F">
        <w:rPr>
          <w:rFonts w:ascii="Arial" w:eastAsia="Calibri" w:hAnsi="Arial" w:cs="Arial"/>
          <w:b/>
          <w:lang w:val="es-MX" w:eastAsia="es-ES_tradnl"/>
        </w:rPr>
        <w:t>2.2.</w:t>
      </w:r>
      <w:r w:rsidR="00085F0E" w:rsidRPr="00A7652F">
        <w:rPr>
          <w:rFonts w:ascii="Arial" w:eastAsia="Calibri" w:hAnsi="Arial" w:cs="Arial"/>
          <w:b/>
          <w:bCs/>
          <w:lang w:val="es-MX" w:eastAsia="es-ES_tradnl"/>
        </w:rPr>
        <w:t xml:space="preserve"> </w:t>
      </w:r>
      <w:r w:rsidR="006A5A54" w:rsidRPr="00A7652F">
        <w:rPr>
          <w:rFonts w:ascii="Arial" w:eastAsia="Calibri" w:hAnsi="Arial" w:cs="Arial"/>
          <w:b/>
          <w:bCs/>
          <w:lang w:val="es-MX" w:eastAsia="es-ES_tradnl"/>
        </w:rPr>
        <w:t>Diferencia entre prórroga, adición y renovación de los contratos estales</w:t>
      </w:r>
    </w:p>
    <w:p w14:paraId="1E66161D" w14:textId="77777777" w:rsidR="006A5A54" w:rsidRPr="00A7652F" w:rsidRDefault="006A5A54" w:rsidP="004544D9">
      <w:pPr>
        <w:spacing w:after="0" w:line="276" w:lineRule="auto"/>
        <w:jc w:val="both"/>
        <w:rPr>
          <w:rFonts w:ascii="Arial" w:eastAsia="Calibri" w:hAnsi="Arial" w:cs="Arial"/>
          <w:b/>
          <w:bCs/>
          <w:lang w:val="es-MX" w:eastAsia="es-ES_tradnl"/>
        </w:rPr>
      </w:pPr>
    </w:p>
    <w:p w14:paraId="4D6B24FC" w14:textId="6E14EC15" w:rsidR="006A5A54" w:rsidRPr="00A7652F" w:rsidRDefault="006A5A54" w:rsidP="006A5A54">
      <w:pPr>
        <w:tabs>
          <w:tab w:val="left" w:pos="709"/>
        </w:tabs>
        <w:spacing w:after="120" w:line="276" w:lineRule="auto"/>
        <w:jc w:val="both"/>
        <w:rPr>
          <w:rFonts w:ascii="Arial" w:eastAsia="Times New Roman" w:hAnsi="Arial" w:cs="Arial"/>
          <w:color w:val="000000"/>
          <w:lang w:val="es-MX" w:eastAsia="es-ES"/>
        </w:rPr>
      </w:pPr>
      <w:r w:rsidRPr="00A7652F">
        <w:rPr>
          <w:rFonts w:ascii="Arial" w:eastAsia="Times New Roman" w:hAnsi="Arial" w:cs="Arial"/>
          <w:color w:val="000000"/>
          <w:lang w:val="es-MX" w:eastAsia="es-ES"/>
        </w:rPr>
        <w:t>El Estatuto General de Contratación para la Administración Pública – EGCAP</w:t>
      </w:r>
      <w:r w:rsidR="00085F0E" w:rsidRPr="00A7652F">
        <w:rPr>
          <w:rFonts w:ascii="Arial" w:eastAsia="Times New Roman" w:hAnsi="Arial" w:cs="Arial"/>
          <w:color w:val="000000"/>
          <w:lang w:val="es-MX" w:eastAsia="es-ES"/>
        </w:rPr>
        <w:t>–</w:t>
      </w:r>
      <w:r w:rsidRPr="00A7652F">
        <w:rPr>
          <w:rFonts w:ascii="Arial" w:eastAsia="Times New Roman" w:hAnsi="Arial" w:cs="Arial"/>
          <w:color w:val="000000"/>
          <w:lang w:val="es-MX" w:eastAsia="es-ES"/>
        </w:rPr>
        <w:t xml:space="preserve"> no establece una diferencia entre los conceptos de prórroga, adición y renovación de los contratos estatales, por ello resulta necesario recurrir a otras disposiciones y aportes doctrinarios para distinguirlos. Como distinción inicial, se tiene que el concepto </w:t>
      </w:r>
      <w:r w:rsidRPr="00A7652F">
        <w:rPr>
          <w:rFonts w:ascii="Arial" w:eastAsia="Times New Roman" w:hAnsi="Arial" w:cs="Arial"/>
          <w:i/>
          <w:color w:val="000000"/>
          <w:lang w:val="es-MX" w:eastAsia="es-ES"/>
        </w:rPr>
        <w:t>prórroga</w:t>
      </w:r>
      <w:r w:rsidRPr="00A7652F">
        <w:rPr>
          <w:rFonts w:ascii="Arial" w:eastAsia="Times New Roman" w:hAnsi="Arial" w:cs="Arial"/>
          <w:color w:val="000000"/>
          <w:lang w:val="es-MX" w:eastAsia="es-ES"/>
        </w:rPr>
        <w:t xml:space="preserve"> está particularmente ligado con la modificación ―ampliación― del plazo de los contratos; las </w:t>
      </w:r>
      <w:r w:rsidRPr="00A7652F">
        <w:rPr>
          <w:rFonts w:ascii="Arial" w:eastAsia="Times New Roman" w:hAnsi="Arial" w:cs="Arial"/>
          <w:i/>
          <w:color w:val="000000"/>
          <w:lang w:val="es-MX" w:eastAsia="es-ES"/>
        </w:rPr>
        <w:t>adiciones</w:t>
      </w:r>
      <w:r w:rsidRPr="00A7652F">
        <w:rPr>
          <w:rFonts w:ascii="Arial" w:eastAsia="Times New Roman" w:hAnsi="Arial" w:cs="Arial"/>
          <w:color w:val="000000"/>
          <w:lang w:val="es-MX" w:eastAsia="es-ES"/>
        </w:rPr>
        <w:t xml:space="preserve"> con el incremento del valor, debido a la inclusión de nuevas obligaciones, sea por la introducción de nuevas actividades o por la ejecución de una mayor cantidad de las pactadas inicialmente; y la </w:t>
      </w:r>
      <w:r w:rsidRPr="00A7652F">
        <w:rPr>
          <w:rFonts w:ascii="Arial" w:eastAsia="Times New Roman" w:hAnsi="Arial" w:cs="Arial"/>
          <w:i/>
          <w:color w:val="000000"/>
          <w:lang w:val="es-MX" w:eastAsia="es-ES"/>
        </w:rPr>
        <w:t>renovación</w:t>
      </w:r>
      <w:r w:rsidRPr="00A7652F">
        <w:rPr>
          <w:rFonts w:ascii="Arial" w:eastAsia="Times New Roman" w:hAnsi="Arial" w:cs="Arial"/>
          <w:color w:val="000000"/>
          <w:lang w:val="es-MX" w:eastAsia="es-ES"/>
        </w:rPr>
        <w:t xml:space="preserve"> con el nacimiento de un nuevo contrato, con condiciones similares o idénticas al contrato inicial.</w:t>
      </w:r>
    </w:p>
    <w:p w14:paraId="2276C3B5" w14:textId="77777777" w:rsidR="006A5A54" w:rsidRPr="00A7652F" w:rsidRDefault="006A5A54" w:rsidP="006A5A54">
      <w:pPr>
        <w:tabs>
          <w:tab w:val="left" w:pos="709"/>
        </w:tabs>
        <w:spacing w:after="120" w:line="276" w:lineRule="auto"/>
        <w:jc w:val="both"/>
        <w:rPr>
          <w:rFonts w:ascii="Arial" w:eastAsia="Arial" w:hAnsi="Arial" w:cs="Arial"/>
          <w:lang w:val="es-ES"/>
        </w:rPr>
      </w:pPr>
      <w:r w:rsidRPr="00A7652F">
        <w:rPr>
          <w:rFonts w:ascii="Arial" w:eastAsia="Arial" w:hAnsi="Arial" w:cs="Arial"/>
          <w:lang w:val="es-ES"/>
        </w:rPr>
        <w:tab/>
        <w:t xml:space="preserve">Estas distinciones guardan relación con el uso común de los conceptos, es decir, no reducido a su significación jurídica. En efecto, el Diccionario de la Lengua </w:t>
      </w:r>
      <w:r w:rsidRPr="00A7652F">
        <w:rPr>
          <w:rFonts w:ascii="Arial" w:eastAsia="Arial" w:hAnsi="Arial" w:cs="Arial"/>
          <w:lang w:val="es-ES"/>
        </w:rPr>
        <w:lastRenderedPageBreak/>
        <w:t>Española ―DLE― define la prórroga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adición,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renovación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413EC4FB" w14:textId="77777777" w:rsidR="006A5A54" w:rsidRPr="00A7652F" w:rsidRDefault="006A5A54" w:rsidP="006A5A54">
      <w:pPr>
        <w:tabs>
          <w:tab w:val="left" w:pos="709"/>
        </w:tabs>
        <w:spacing w:after="0" w:line="276" w:lineRule="auto"/>
        <w:jc w:val="both"/>
        <w:rPr>
          <w:rFonts w:ascii="Arial" w:eastAsia="Arial" w:hAnsi="Arial" w:cs="Arial"/>
          <w:lang w:val="es-ES"/>
        </w:rPr>
      </w:pPr>
      <w:r w:rsidRPr="00A7652F">
        <w:rPr>
          <w:rFonts w:ascii="Arial" w:eastAsia="Arial" w:hAnsi="Arial" w:cs="Arial"/>
          <w:lang w:val="es-ES"/>
        </w:rPr>
        <w:tab/>
        <w:t xml:space="preserve">Algunos doctrinantes del contrato estatal se han esforzado en señalar las diferencias entre los conceptos de adición y prórroga, que son comúnmente utilizados en estos contratos; no así en relación con el concepto de renovación,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 En efecto, la Corte Suprema de Justicia, en sentencia del 8 de octubre de 1997, Exp. 4.818 (M.P. Pedro Lafont Pianetta), indicó: </w:t>
      </w:r>
    </w:p>
    <w:p w14:paraId="20179CF0" w14:textId="77777777" w:rsidR="006A5A54" w:rsidRPr="00A7652F" w:rsidRDefault="006A5A54" w:rsidP="006A5A54">
      <w:pPr>
        <w:spacing w:after="0" w:line="240" w:lineRule="auto"/>
        <w:jc w:val="both"/>
        <w:rPr>
          <w:rFonts w:ascii="Arial" w:eastAsia="Times New Roman" w:hAnsi="Arial" w:cs="Arial"/>
          <w:color w:val="000000"/>
          <w:lang w:val="es-MX" w:eastAsia="es-ES"/>
        </w:rPr>
      </w:pPr>
    </w:p>
    <w:p w14:paraId="44EC6F2A" w14:textId="77777777" w:rsidR="006A5A54" w:rsidRPr="00A7652F" w:rsidRDefault="006A5A54" w:rsidP="006A5A54">
      <w:pPr>
        <w:spacing w:after="0" w:line="240" w:lineRule="auto"/>
        <w:ind w:left="709" w:right="709"/>
        <w:jc w:val="both"/>
        <w:rPr>
          <w:rFonts w:ascii="Arial" w:eastAsia="Calibri" w:hAnsi="Arial" w:cs="Arial"/>
          <w:color w:val="000000"/>
          <w:sz w:val="21"/>
          <w:szCs w:val="21"/>
          <w:lang w:val="es-ES"/>
        </w:rPr>
      </w:pPr>
      <w:r w:rsidRPr="00A7652F">
        <w:rPr>
          <w:rFonts w:ascii="Arial" w:eastAsia="Calibri" w:hAnsi="Arial" w:cs="Arial"/>
          <w:color w:val="000000"/>
          <w:sz w:val="21"/>
          <w:szCs w:val="21"/>
          <w:lang w:val="es-ES"/>
        </w:rPr>
        <w:t xml:space="preserve">El derecho a la </w:t>
      </w:r>
      <w:r w:rsidRPr="00A7652F">
        <w:rPr>
          <w:rFonts w:ascii="Arial" w:eastAsia="Calibri" w:hAnsi="Arial" w:cs="Arial"/>
          <w:i/>
          <w:color w:val="000000"/>
          <w:sz w:val="21"/>
          <w:szCs w:val="21"/>
          <w:lang w:val="es-ES"/>
        </w:rPr>
        <w:t>renovación</w:t>
      </w:r>
      <w:r w:rsidRPr="00A7652F">
        <w:rPr>
          <w:rFonts w:ascii="Arial" w:eastAsia="Calibri" w:hAnsi="Arial" w:cs="Arial"/>
          <w:color w:val="000000"/>
          <w:sz w:val="21"/>
          <w:szCs w:val="21"/>
          <w:lang w:val="es-ES"/>
        </w:rPr>
        <w:t xml:space="preserve"> del contrato para el </w:t>
      </w:r>
      <w:hyperlink r:id="rId11" w:history="1">
        <w:r w:rsidRPr="00A7652F">
          <w:rPr>
            <w:rFonts w:ascii="Arial" w:eastAsia="Calibri" w:hAnsi="Arial" w:cs="Arial"/>
            <w:color w:val="000000"/>
            <w:sz w:val="21"/>
            <w:szCs w:val="21"/>
            <w:lang w:val="es-ES"/>
          </w:rPr>
          <w:t>comerciante</w:t>
        </w:r>
      </w:hyperlink>
      <w:r w:rsidRPr="00A7652F">
        <w:rPr>
          <w:rFonts w:ascii="Arial" w:eastAsia="Calibri" w:hAnsi="Arial" w:cs="Arial"/>
          <w:color w:val="000000"/>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A7652F">
        <w:rPr>
          <w:rFonts w:ascii="Arial" w:eastAsia="Calibri" w:hAnsi="Arial" w:cs="Arial"/>
          <w:i/>
          <w:color w:val="000000"/>
          <w:sz w:val="21"/>
          <w:szCs w:val="21"/>
          <w:lang w:val="es-ES"/>
        </w:rPr>
        <w:t>el renovado es uno nuevo, que puede acordarse o celebrarse con sujeción a las circunstancias especialmente en cuanto a </w:t>
      </w:r>
      <w:hyperlink r:id="rId12" w:history="1">
        <w:r w:rsidRPr="00A7652F">
          <w:rPr>
            <w:rFonts w:ascii="Arial" w:eastAsia="Calibri" w:hAnsi="Arial" w:cs="Arial"/>
            <w:i/>
            <w:color w:val="000000"/>
            <w:sz w:val="21"/>
            <w:szCs w:val="21"/>
            <w:lang w:val="es-ES"/>
          </w:rPr>
          <w:t>precio</w:t>
        </w:r>
      </w:hyperlink>
      <w:r w:rsidRPr="00A7652F">
        <w:rPr>
          <w:rFonts w:ascii="Arial" w:eastAsia="Calibri" w:hAnsi="Arial" w:cs="Arial"/>
          <w:i/>
          <w:color w:val="000000"/>
          <w:sz w:val="21"/>
          <w:szCs w:val="21"/>
          <w:lang w:val="es-ES"/>
        </w:rPr>
        <w:t> y utilización de la cosa arrendada</w:t>
      </w:r>
      <w:r w:rsidRPr="00A7652F">
        <w:rPr>
          <w:rFonts w:ascii="Arial" w:eastAsia="Calibri" w:hAnsi="Arial" w:cs="Arial"/>
          <w:color w:val="000000"/>
          <w:sz w:val="21"/>
          <w:szCs w:val="21"/>
          <w:vertAlign w:val="superscript"/>
          <w:lang w:val="es-ES"/>
        </w:rPr>
        <w:footnoteReference w:id="19"/>
      </w:r>
      <w:r w:rsidRPr="00A7652F">
        <w:rPr>
          <w:rFonts w:ascii="Arial" w:eastAsia="Calibri" w:hAnsi="Arial" w:cs="Arial"/>
          <w:color w:val="000000"/>
          <w:sz w:val="21"/>
          <w:szCs w:val="21"/>
          <w:lang w:val="es-ES"/>
        </w:rPr>
        <w:t>. [Cursiva fuera de texto]</w:t>
      </w:r>
    </w:p>
    <w:p w14:paraId="02C0DED8" w14:textId="77777777" w:rsidR="006A5A54" w:rsidRPr="00A7652F" w:rsidRDefault="006A5A54" w:rsidP="006A5A54">
      <w:pPr>
        <w:tabs>
          <w:tab w:val="left" w:pos="709"/>
        </w:tabs>
        <w:spacing w:after="0" w:line="276" w:lineRule="auto"/>
        <w:jc w:val="both"/>
        <w:rPr>
          <w:rFonts w:ascii="Arial" w:eastAsia="Arial" w:hAnsi="Arial" w:cs="Arial"/>
          <w:lang w:val="es-ES"/>
        </w:rPr>
      </w:pPr>
      <w:r w:rsidRPr="00A7652F">
        <w:rPr>
          <w:rFonts w:ascii="Arial" w:eastAsia="Arial" w:hAnsi="Arial" w:cs="Arial"/>
          <w:lang w:val="es-ES"/>
        </w:rPr>
        <w:lastRenderedPageBreak/>
        <w:tab/>
      </w:r>
    </w:p>
    <w:p w14:paraId="3D717F24" w14:textId="59FA96B6" w:rsidR="006A5A54" w:rsidRPr="00A7652F" w:rsidRDefault="006A5A54" w:rsidP="006A5A54">
      <w:pPr>
        <w:tabs>
          <w:tab w:val="left" w:pos="709"/>
        </w:tabs>
        <w:spacing w:after="0" w:line="276" w:lineRule="auto"/>
        <w:jc w:val="both"/>
        <w:rPr>
          <w:rFonts w:ascii="Arial" w:eastAsia="Arial" w:hAnsi="Arial" w:cs="Arial"/>
          <w:lang w:val="es-ES"/>
        </w:rPr>
      </w:pPr>
      <w:r w:rsidRPr="00A7652F">
        <w:rPr>
          <w:rFonts w:ascii="Arial" w:eastAsia="Arial" w:hAnsi="Arial" w:cs="Arial"/>
          <w:lang w:val="es-ES"/>
        </w:rPr>
        <w:tab/>
        <w:t>Con base en lo anterior, puede colegirse la renovación de los contratos estatales como la suscripción de uno nuevo con características similares al anterior, con un mismo objeto pero, bajo condiciones diferentes atinentes a su valor y plazo.</w:t>
      </w:r>
    </w:p>
    <w:p w14:paraId="77C7B1CD" w14:textId="6F182F39" w:rsidR="006A5A54" w:rsidRPr="00A7652F" w:rsidRDefault="006A5A54" w:rsidP="0066787D">
      <w:pPr>
        <w:spacing w:after="0" w:line="240" w:lineRule="auto"/>
        <w:jc w:val="both"/>
        <w:rPr>
          <w:rFonts w:ascii="Arial" w:eastAsia="Calibri" w:hAnsi="Arial" w:cs="Arial"/>
          <w:b/>
          <w:lang w:val="es-MX" w:eastAsia="es-ES_tradnl"/>
        </w:rPr>
      </w:pPr>
    </w:p>
    <w:p w14:paraId="2AE7D00F" w14:textId="139EEB23" w:rsidR="0066787D" w:rsidRPr="00A7652F" w:rsidRDefault="006A5A54" w:rsidP="0066787D">
      <w:pPr>
        <w:spacing w:after="0" w:line="240" w:lineRule="auto"/>
        <w:jc w:val="both"/>
        <w:rPr>
          <w:rFonts w:ascii="Arial" w:eastAsia="Calibri" w:hAnsi="Arial" w:cs="Arial"/>
          <w:b/>
          <w:lang w:val="es-MX" w:eastAsia="es-ES_tradnl"/>
        </w:rPr>
      </w:pPr>
      <w:r w:rsidRPr="00A7652F">
        <w:rPr>
          <w:rFonts w:ascii="Arial" w:eastAsia="Calibri" w:hAnsi="Arial" w:cs="Arial"/>
          <w:b/>
          <w:lang w:val="es-MX" w:eastAsia="es-ES_tradnl"/>
        </w:rPr>
        <w:t xml:space="preserve">2.3. </w:t>
      </w:r>
      <w:r w:rsidR="00172805" w:rsidRPr="00A7652F">
        <w:rPr>
          <w:rFonts w:ascii="Arial" w:eastAsia="Calibri" w:hAnsi="Arial" w:cs="Arial"/>
          <w:b/>
          <w:lang w:val="es-MX" w:eastAsia="es-ES_tradnl"/>
        </w:rPr>
        <w:t>Análisis sobre la aplicabilidad del fuero de maternidad en los contratos de prestación de servicios</w:t>
      </w:r>
    </w:p>
    <w:p w14:paraId="1A25A120" w14:textId="166D10AC" w:rsidR="0066787D" w:rsidRPr="00A7652F" w:rsidRDefault="0066787D" w:rsidP="00974E0A">
      <w:pPr>
        <w:spacing w:after="0" w:line="276" w:lineRule="auto"/>
        <w:jc w:val="both"/>
        <w:rPr>
          <w:rFonts w:ascii="Arial" w:eastAsia="Calibri" w:hAnsi="Arial" w:cs="Arial"/>
          <w:b/>
          <w:lang w:val="es-MX" w:eastAsia="es-ES_tradnl"/>
        </w:rPr>
      </w:pPr>
    </w:p>
    <w:p w14:paraId="712548E9" w14:textId="66636905" w:rsidR="00071B4D" w:rsidRPr="00A7652F" w:rsidRDefault="00752139" w:rsidP="004544D9">
      <w:pPr>
        <w:spacing w:after="120" w:line="276" w:lineRule="auto"/>
        <w:jc w:val="both"/>
        <w:rPr>
          <w:rFonts w:ascii="Arial" w:eastAsia="Calibri" w:hAnsi="Arial" w:cs="Arial"/>
          <w:bCs/>
          <w:lang w:val="es-MX" w:eastAsia="es-ES_tradnl"/>
        </w:rPr>
      </w:pPr>
      <w:r w:rsidRPr="00A7652F">
        <w:rPr>
          <w:rFonts w:ascii="Arial" w:eastAsia="Calibri" w:hAnsi="Arial" w:cs="Arial"/>
          <w:bCs/>
          <w:lang w:val="es-MX" w:eastAsia="es-ES_tradnl"/>
        </w:rPr>
        <w:t>El fuero de maternidad es una figura que otorga una protección reforzada a la futura madre y a la que acaba de serlo, es decir</w:t>
      </w:r>
      <w:r w:rsidR="002F7301" w:rsidRPr="00A7652F">
        <w:rPr>
          <w:rFonts w:ascii="Arial" w:eastAsia="Calibri" w:hAnsi="Arial" w:cs="Arial"/>
          <w:bCs/>
          <w:lang w:val="es-MX" w:eastAsia="es-ES_tradnl"/>
        </w:rPr>
        <w:t>,</w:t>
      </w:r>
      <w:r w:rsidRPr="00A7652F">
        <w:rPr>
          <w:rFonts w:ascii="Arial" w:eastAsia="Calibri" w:hAnsi="Arial" w:cs="Arial"/>
          <w:bCs/>
          <w:lang w:val="es-MX" w:eastAsia="es-ES_tradnl"/>
        </w:rPr>
        <w:t xml:space="preserve"> a la mujer que se encuentra en estado de </w:t>
      </w:r>
      <w:r w:rsidR="004107C0" w:rsidRPr="00A7652F">
        <w:rPr>
          <w:rFonts w:ascii="Arial" w:eastAsia="Calibri" w:hAnsi="Arial" w:cs="Arial"/>
          <w:bCs/>
          <w:lang w:val="es-MX" w:eastAsia="es-ES_tradnl"/>
        </w:rPr>
        <w:t xml:space="preserve">embarazo y en periodo de lactancia, con el fin de que el proceso de </w:t>
      </w:r>
      <w:r w:rsidR="002C0E6E" w:rsidRPr="00A7652F">
        <w:rPr>
          <w:rFonts w:ascii="Arial" w:eastAsia="Calibri" w:hAnsi="Arial" w:cs="Arial"/>
          <w:bCs/>
          <w:lang w:val="es-MX" w:eastAsia="es-ES_tradnl"/>
        </w:rPr>
        <w:t>gestación no interfiera en la estabilidad labora</w:t>
      </w:r>
      <w:r w:rsidR="00A343BD" w:rsidRPr="00A7652F">
        <w:rPr>
          <w:rFonts w:ascii="Arial" w:eastAsia="Calibri" w:hAnsi="Arial" w:cs="Arial"/>
          <w:bCs/>
          <w:lang w:val="es-MX" w:eastAsia="es-ES_tradnl"/>
        </w:rPr>
        <w:t>l</w:t>
      </w:r>
      <w:r w:rsidR="002C0E6E" w:rsidRPr="00A7652F">
        <w:rPr>
          <w:rFonts w:ascii="Arial" w:eastAsia="Calibri" w:hAnsi="Arial" w:cs="Arial"/>
          <w:bCs/>
          <w:lang w:val="es-MX" w:eastAsia="es-ES_tradnl"/>
        </w:rPr>
        <w:t xml:space="preserve"> que, como trabajadora</w:t>
      </w:r>
      <w:r w:rsidR="00A343BD" w:rsidRPr="00A7652F">
        <w:rPr>
          <w:rFonts w:ascii="Arial" w:eastAsia="Calibri" w:hAnsi="Arial" w:cs="Arial"/>
          <w:bCs/>
          <w:lang w:val="es-MX" w:eastAsia="es-ES_tradnl"/>
        </w:rPr>
        <w:t xml:space="preserve"> </w:t>
      </w:r>
      <w:r w:rsidR="002C0E6E" w:rsidRPr="00A7652F">
        <w:rPr>
          <w:rFonts w:ascii="Arial" w:eastAsia="Calibri" w:hAnsi="Arial" w:cs="Arial"/>
          <w:bCs/>
          <w:lang w:val="es-MX" w:eastAsia="es-ES_tradnl"/>
        </w:rPr>
        <w:t>le asiste.</w:t>
      </w:r>
      <w:r w:rsidR="00A343BD" w:rsidRPr="00A7652F">
        <w:rPr>
          <w:rFonts w:ascii="Arial" w:eastAsia="Calibri" w:hAnsi="Arial" w:cs="Arial"/>
          <w:bCs/>
          <w:lang w:val="es-MX" w:eastAsia="es-ES_tradnl"/>
        </w:rPr>
        <w:t xml:space="preserve"> El propósito es que la aspiraciones familiares y profesionales de la mujer, no se excluyan y puedan armonizarse, al punto de desarrollar su proyecto de vida y s</w:t>
      </w:r>
      <w:r w:rsidR="00153885" w:rsidRPr="00A7652F">
        <w:rPr>
          <w:rFonts w:ascii="Arial" w:eastAsia="Calibri" w:hAnsi="Arial" w:cs="Arial"/>
          <w:bCs/>
          <w:lang w:val="es-MX" w:eastAsia="es-ES_tradnl"/>
        </w:rPr>
        <w:t>u personalidad en condiciones de dignidad y libertad, pues históricamen</w:t>
      </w:r>
      <w:r w:rsidR="00DC67EC" w:rsidRPr="00A7652F">
        <w:rPr>
          <w:rFonts w:ascii="Arial" w:eastAsia="Calibri" w:hAnsi="Arial" w:cs="Arial"/>
          <w:bCs/>
          <w:lang w:val="es-MX" w:eastAsia="es-ES_tradnl"/>
        </w:rPr>
        <w:t xml:space="preserve">te el estado </w:t>
      </w:r>
      <w:r w:rsidR="00AC71BE" w:rsidRPr="00A7652F">
        <w:rPr>
          <w:rFonts w:ascii="Arial" w:eastAsia="Calibri" w:hAnsi="Arial" w:cs="Arial"/>
          <w:bCs/>
          <w:lang w:val="es-MX" w:eastAsia="es-ES_tradnl"/>
        </w:rPr>
        <w:t>de gravidez (embarazo)</w:t>
      </w:r>
      <w:r w:rsidR="00070CCD" w:rsidRPr="00A7652F">
        <w:rPr>
          <w:rFonts w:ascii="Arial" w:eastAsia="Calibri" w:hAnsi="Arial" w:cs="Arial"/>
          <w:bCs/>
          <w:lang w:val="es-MX" w:eastAsia="es-ES_tradnl"/>
        </w:rPr>
        <w:t xml:space="preserve"> ha constituido un motivo de exclusión de la mujer en el trabaj</w:t>
      </w:r>
      <w:r w:rsidR="002F2F7C" w:rsidRPr="00A7652F">
        <w:rPr>
          <w:rFonts w:ascii="Arial" w:eastAsia="Calibri" w:hAnsi="Arial" w:cs="Arial"/>
          <w:bCs/>
          <w:lang w:val="es-MX" w:eastAsia="es-ES_tradnl"/>
        </w:rPr>
        <w:t>o, en el que es preciso «impedir la discriminación constituida por el despido, la terminación o la no renovación del contrato por causa o con ocasión del embarazo o la la</w:t>
      </w:r>
      <w:r w:rsidR="00BC359D" w:rsidRPr="00A7652F">
        <w:rPr>
          <w:rFonts w:ascii="Arial" w:eastAsia="Calibri" w:hAnsi="Arial" w:cs="Arial"/>
          <w:bCs/>
          <w:lang w:val="es-MX" w:eastAsia="es-ES_tradnl"/>
        </w:rPr>
        <w:t>ctancia».</w:t>
      </w:r>
      <w:r w:rsidR="00BC359D" w:rsidRPr="00A7652F">
        <w:rPr>
          <w:rStyle w:val="Refdenotaalpie"/>
          <w:rFonts w:ascii="Arial" w:eastAsia="Calibri" w:hAnsi="Arial" w:cs="Arial"/>
          <w:bCs/>
          <w:lang w:val="es-MX" w:eastAsia="es-ES_tradnl"/>
        </w:rPr>
        <w:footnoteReference w:id="20"/>
      </w:r>
    </w:p>
    <w:p w14:paraId="7288C88C" w14:textId="2693FEA7" w:rsidR="005846EF" w:rsidRPr="00A7652F" w:rsidRDefault="00172805" w:rsidP="00E95221">
      <w:pPr>
        <w:spacing w:after="0" w:line="276" w:lineRule="auto"/>
        <w:ind w:firstLine="708"/>
        <w:jc w:val="both"/>
        <w:rPr>
          <w:rFonts w:ascii="Arial" w:hAnsi="Arial" w:cs="Arial"/>
          <w:lang w:val="es-MX"/>
        </w:rPr>
      </w:pPr>
      <w:r w:rsidRPr="00A7652F">
        <w:rPr>
          <w:rFonts w:ascii="Arial" w:hAnsi="Arial" w:cs="Arial"/>
          <w:lang w:val="es-MX"/>
        </w:rPr>
        <w:t xml:space="preserve">La Corte Constitucional ha definido dos posiciones para proteger el fuero de maternidad a las mujeres que se encuentren vinculadas mediante un contrato de prestación de servicios. Así pues, </w:t>
      </w:r>
      <w:r w:rsidRPr="00A7652F">
        <w:rPr>
          <w:rFonts w:ascii="Arial" w:eastAsia="Arial" w:hAnsi="Arial" w:cs="Arial"/>
          <w:lang w:val="es-ES"/>
        </w:rPr>
        <w:t xml:space="preserve">en la Sentencia de Unificación 070 de 2013, Magistrada Ponente Gloria Stella Ortiz Delgado, fijó la primera posición frente el tema, indicando que la protección al fuero de maternidad excluye a las trabajadoras </w:t>
      </w:r>
      <w:r w:rsidRPr="00A7652F">
        <w:rPr>
          <w:rFonts w:ascii="Arial" w:eastAsia="Arial" w:hAnsi="Arial" w:cs="Arial"/>
          <w:lang w:val="es-ES"/>
        </w:rPr>
        <w:lastRenderedPageBreak/>
        <w:t>que laboran de manera independiente, y sólo procede su protección si el juez de tutela, al analizar las condiciones propias del contrato de prestación de servicios, comprueba que las partes están vinculadas a través de un contrato de trabajo</w:t>
      </w:r>
      <w:r w:rsidRPr="00A7652F">
        <w:rPr>
          <w:rFonts w:ascii="Arial" w:eastAsia="Arial" w:hAnsi="Arial" w:cs="Arial"/>
          <w:vertAlign w:val="superscript"/>
          <w:lang w:val="es-ES"/>
        </w:rPr>
        <w:footnoteReference w:id="21"/>
      </w:r>
      <w:r w:rsidRPr="00A7652F">
        <w:rPr>
          <w:rFonts w:ascii="Arial" w:eastAsia="Arial" w:hAnsi="Arial" w:cs="Arial"/>
          <w:lang w:val="es-ES"/>
        </w:rPr>
        <w:t xml:space="preserve">. De esta forma, la protección a la estabilidad laboral reforzada de mujeres vinculadas a través de un contrato de prestación de servicios sólo procede frente aquellos casos donde se verifique la concurrencia de los </w:t>
      </w:r>
      <w:r w:rsidR="002F7301" w:rsidRPr="00A7652F">
        <w:rPr>
          <w:rFonts w:ascii="Arial" w:eastAsia="Arial" w:hAnsi="Arial" w:cs="Arial"/>
          <w:lang w:val="es-ES"/>
        </w:rPr>
        <w:t>tres (</w:t>
      </w:r>
      <w:r w:rsidRPr="00A7652F">
        <w:rPr>
          <w:rFonts w:ascii="Arial" w:eastAsia="Arial" w:hAnsi="Arial" w:cs="Arial"/>
          <w:lang w:val="es-ES"/>
        </w:rPr>
        <w:t>3</w:t>
      </w:r>
      <w:r w:rsidR="002F7301" w:rsidRPr="00A7652F">
        <w:rPr>
          <w:rFonts w:ascii="Arial" w:eastAsia="Arial" w:hAnsi="Arial" w:cs="Arial"/>
          <w:lang w:val="es-ES"/>
        </w:rPr>
        <w:t>)</w:t>
      </w:r>
      <w:r w:rsidRPr="00A7652F">
        <w:rPr>
          <w:rFonts w:ascii="Arial" w:eastAsia="Arial" w:hAnsi="Arial" w:cs="Arial"/>
          <w:lang w:val="es-ES"/>
        </w:rPr>
        <w:t xml:space="preserve"> elementos del contrato de trabajo.</w:t>
      </w:r>
    </w:p>
    <w:p w14:paraId="4A3A3622" w14:textId="2DD5936D" w:rsidR="00172805" w:rsidRPr="00A7652F" w:rsidRDefault="002F7301" w:rsidP="00107DC8">
      <w:pPr>
        <w:widowControl w:val="0"/>
        <w:autoSpaceDE w:val="0"/>
        <w:autoSpaceDN w:val="0"/>
        <w:spacing w:before="120" w:after="120" w:line="276" w:lineRule="auto"/>
        <w:ind w:right="306" w:firstLine="708"/>
        <w:jc w:val="both"/>
        <w:rPr>
          <w:rFonts w:ascii="Arial" w:eastAsia="Arial" w:hAnsi="Arial" w:cs="Arial"/>
          <w:lang w:val="es-ES"/>
        </w:rPr>
      </w:pPr>
      <w:r w:rsidRPr="00A7652F">
        <w:rPr>
          <w:rFonts w:ascii="Arial" w:eastAsia="Arial" w:hAnsi="Arial" w:cs="Arial"/>
          <w:lang w:val="es-ES"/>
        </w:rPr>
        <w:t xml:space="preserve">Ahora bien, </w:t>
      </w:r>
      <w:r w:rsidR="00172805" w:rsidRPr="00A7652F">
        <w:rPr>
          <w:rFonts w:ascii="Arial" w:eastAsia="Arial" w:hAnsi="Arial" w:cs="Arial"/>
          <w:lang w:val="es-ES"/>
        </w:rPr>
        <w:t xml:space="preserve">el </w:t>
      </w:r>
      <w:r w:rsidRPr="00A7652F">
        <w:rPr>
          <w:rFonts w:ascii="Arial" w:eastAsia="Arial" w:hAnsi="Arial" w:cs="Arial"/>
          <w:lang w:val="es-ES"/>
        </w:rPr>
        <w:t xml:space="preserve">Alto Tribunal </w:t>
      </w:r>
      <w:r w:rsidR="00172805" w:rsidRPr="00A7652F">
        <w:rPr>
          <w:rFonts w:ascii="Arial" w:eastAsia="Arial" w:hAnsi="Arial" w:cs="Arial"/>
          <w:lang w:val="es-ES"/>
        </w:rPr>
        <w:t>Constitucional en las sentencias T-102 de 2016</w:t>
      </w:r>
      <w:r w:rsidR="00172805" w:rsidRPr="00A7652F">
        <w:rPr>
          <w:rFonts w:ascii="Arial" w:eastAsia="Arial" w:hAnsi="Arial" w:cs="Arial"/>
          <w:vertAlign w:val="superscript"/>
          <w:lang w:val="es-ES"/>
        </w:rPr>
        <w:footnoteReference w:id="22"/>
      </w:r>
      <w:r w:rsidR="00172805" w:rsidRPr="00A7652F">
        <w:rPr>
          <w:rFonts w:ascii="Arial" w:eastAsia="Arial" w:hAnsi="Arial" w:cs="Arial"/>
          <w:lang w:val="es-ES"/>
        </w:rPr>
        <w:t xml:space="preserve"> y T-564 de 2017</w:t>
      </w:r>
      <w:r w:rsidR="00172805" w:rsidRPr="00A7652F">
        <w:rPr>
          <w:rFonts w:ascii="Arial" w:eastAsia="Arial" w:hAnsi="Arial" w:cs="Arial"/>
          <w:vertAlign w:val="superscript"/>
          <w:lang w:val="es-ES"/>
        </w:rPr>
        <w:footnoteReference w:id="23"/>
      </w:r>
      <w:r w:rsidR="00172805" w:rsidRPr="00A7652F">
        <w:rPr>
          <w:rFonts w:ascii="Arial" w:eastAsia="Arial" w:hAnsi="Arial" w:cs="Arial"/>
          <w:lang w:val="es-ES"/>
        </w:rPr>
        <w:t xml:space="preserve"> estableció otra posición, determinando que en los </w:t>
      </w:r>
      <w:r w:rsidR="00172805" w:rsidRPr="00A7652F">
        <w:rPr>
          <w:rFonts w:ascii="Arial" w:eastAsia="Arial" w:hAnsi="Arial" w:cs="Arial"/>
          <w:lang w:val="es-ES"/>
        </w:rPr>
        <w:lastRenderedPageBreak/>
        <w:t>eventos donde no se prueba la configuración del contrato realidad en el contrato de prestación de servicios, este no es un motivo suficiente para desproteger los derechos de la estabilidad laboral reforzada de la mujer embarazada, si se comprueba que la terminación del contrato es discriminatoria y no atiende a un motivo objetivo.</w:t>
      </w:r>
    </w:p>
    <w:p w14:paraId="24EF66CC" w14:textId="4C3FAA9B" w:rsidR="00172805" w:rsidRPr="00A7652F" w:rsidRDefault="00172805" w:rsidP="00E95221">
      <w:pPr>
        <w:widowControl w:val="0"/>
        <w:autoSpaceDE w:val="0"/>
        <w:autoSpaceDN w:val="0"/>
        <w:spacing w:before="120" w:after="120" w:line="276" w:lineRule="auto"/>
        <w:ind w:right="306" w:firstLine="708"/>
        <w:jc w:val="both"/>
        <w:rPr>
          <w:rFonts w:ascii="Arial" w:eastAsia="Arial" w:hAnsi="Arial" w:cs="Arial"/>
          <w:lang w:val="es-ES"/>
        </w:rPr>
      </w:pPr>
      <w:r w:rsidRPr="00A7652F">
        <w:rPr>
          <w:rFonts w:ascii="Arial" w:eastAsia="Arial" w:hAnsi="Arial" w:cs="Arial"/>
          <w:lang w:val="es-ES"/>
        </w:rPr>
        <w:t>De acuerdo con la sentencia T-564 de 2017, a pesar de no probarse la configuración del contrato realidad se debe proteger a la mujer en estado de embarazo vinculada a través de un contrato de prestación de servicios, pues pese a que la trabajadora informó al empleador su estado de gestación, éste terminó anticipadamente su contrato, configurándose una terminación por motivos discriminatorios. Por su parte, la sentencia T-102 de 2016, si bien reconoce la existencia del contrato realidad, reitera que el empleador no demostró ningún motivo objetivo que justificar</w:t>
      </w:r>
      <w:r w:rsidR="0040144E" w:rsidRPr="00A7652F">
        <w:rPr>
          <w:rFonts w:ascii="Arial" w:eastAsia="Arial" w:hAnsi="Arial" w:cs="Arial"/>
          <w:lang w:val="es-ES"/>
        </w:rPr>
        <w:t>a</w:t>
      </w:r>
      <w:r w:rsidRPr="00A7652F">
        <w:rPr>
          <w:rFonts w:ascii="Arial" w:eastAsia="Arial" w:hAnsi="Arial" w:cs="Arial"/>
          <w:lang w:val="es-ES"/>
        </w:rPr>
        <w:t xml:space="preserve"> la terminación del contrato, ya sea porque la actividad que venía realizando ya no era necesaria, o porque no probó que las causas que originaron la contratación desaparecieron, entre otros.</w:t>
      </w:r>
    </w:p>
    <w:p w14:paraId="3EAC0FAC" w14:textId="77777777" w:rsidR="00172805" w:rsidRPr="00A7652F" w:rsidRDefault="00172805" w:rsidP="004544D9">
      <w:pPr>
        <w:widowControl w:val="0"/>
        <w:autoSpaceDE w:val="0"/>
        <w:autoSpaceDN w:val="0"/>
        <w:spacing w:before="120" w:after="0" w:line="276" w:lineRule="auto"/>
        <w:ind w:right="306" w:firstLine="709"/>
        <w:jc w:val="both"/>
        <w:rPr>
          <w:rFonts w:ascii="Arial" w:eastAsia="Arial" w:hAnsi="Arial" w:cs="Arial"/>
          <w:lang w:val="es-ES"/>
        </w:rPr>
      </w:pPr>
      <w:r w:rsidRPr="00A7652F">
        <w:rPr>
          <w:rFonts w:ascii="Arial" w:eastAsia="Arial" w:hAnsi="Arial" w:cs="Arial"/>
          <w:lang w:val="es-ES"/>
        </w:rPr>
        <w:t xml:space="preserve">En el mismo sentido, en el salvamento de voto a la sentencia T-743 de 2017, se reiteró que la protección a la mujer en estado de embarazo, vinculada por un contrato de prestación de servicios, no sólo se realiza cuando se prueba la configuración del contrato realidad, sino, además, cuando se demuestre que la </w:t>
      </w:r>
      <w:r w:rsidRPr="00A7652F">
        <w:rPr>
          <w:rFonts w:ascii="Arial" w:eastAsia="Arial" w:hAnsi="Arial" w:cs="Arial"/>
          <w:lang w:val="es-ES"/>
        </w:rPr>
        <w:lastRenderedPageBreak/>
        <w:t>decisión de la terminación es discriminatoria, y no atiende a un motivo objetivo:</w:t>
      </w:r>
    </w:p>
    <w:p w14:paraId="69E216B1" w14:textId="77777777" w:rsidR="00172805" w:rsidRPr="00A7652F" w:rsidRDefault="00172805" w:rsidP="00172805">
      <w:pPr>
        <w:widowControl w:val="0"/>
        <w:autoSpaceDE w:val="0"/>
        <w:autoSpaceDN w:val="0"/>
        <w:spacing w:before="2" w:after="0" w:line="240" w:lineRule="auto"/>
        <w:rPr>
          <w:rFonts w:ascii="Arial" w:eastAsia="Arial" w:hAnsi="Arial" w:cs="Arial"/>
          <w:sz w:val="25"/>
          <w:lang w:val="es-ES"/>
        </w:rPr>
      </w:pPr>
    </w:p>
    <w:p w14:paraId="218D8302" w14:textId="2153CC33" w:rsidR="00172805" w:rsidRPr="00A7652F" w:rsidRDefault="00172805" w:rsidP="00172805">
      <w:pPr>
        <w:widowControl w:val="0"/>
        <w:autoSpaceDE w:val="0"/>
        <w:autoSpaceDN w:val="0"/>
        <w:spacing w:before="1" w:after="0" w:line="240" w:lineRule="auto"/>
        <w:ind w:left="1005" w:right="1298"/>
        <w:jc w:val="both"/>
        <w:rPr>
          <w:rFonts w:ascii="Arial" w:eastAsia="Arial" w:hAnsi="Arial" w:cs="Arial"/>
          <w:i/>
          <w:sz w:val="21"/>
          <w:lang w:val="es-ES"/>
        </w:rPr>
      </w:pPr>
      <w:r w:rsidRPr="00A7652F">
        <w:rPr>
          <w:rFonts w:ascii="Arial" w:eastAsia="Arial" w:hAnsi="Arial" w:cs="Arial"/>
          <w:sz w:val="21"/>
          <w:lang w:val="es-ES"/>
        </w:rPr>
        <w:t xml:space="preserve">Pues bien, el objeto de la aclaración que presento es la necesidad de subrayar la línea jurisprudencial vigente en materia estabilidad laboral reforzada de mujer embarazada en el marco de un contrato de prestación de servicios. A diferencia de las consideraciones de la sentencia, en las cuales se concluye que si no se comprueban los elementos del contrato laboral en la relación contractual no es posible alegar la violación del derecho a la estabilidad laboral reforzada, considero que existen sentencias recientes de las diferentes Salas de Revisión que han establecido que en el marco de relaciones de prestación de servicios, el juez de tutela, </w:t>
      </w:r>
      <w:r w:rsidRPr="00A7652F">
        <w:rPr>
          <w:rFonts w:ascii="Arial" w:eastAsia="Arial" w:hAnsi="Arial" w:cs="Arial"/>
          <w:i/>
          <w:sz w:val="21"/>
          <w:lang w:val="es-ES"/>
        </w:rPr>
        <w:t>a pesar de no encontrar probados los elementos del contrato realidad, sí puede garantizar la estabilidad laboral reforzada de la mujer embarazada, siempre y cuando se demuestre que la decisión de la desvinculación es discriminatoria y no atiende a un motivo</w:t>
      </w:r>
      <w:r w:rsidRPr="00A7652F">
        <w:rPr>
          <w:rFonts w:ascii="Arial" w:eastAsia="Arial" w:hAnsi="Arial" w:cs="Arial"/>
          <w:i/>
          <w:spacing w:val="-5"/>
          <w:sz w:val="21"/>
          <w:lang w:val="es-ES"/>
        </w:rPr>
        <w:t xml:space="preserve"> </w:t>
      </w:r>
      <w:r w:rsidRPr="00A7652F">
        <w:rPr>
          <w:rFonts w:ascii="Arial" w:eastAsia="Arial" w:hAnsi="Arial" w:cs="Arial"/>
          <w:i/>
          <w:sz w:val="21"/>
          <w:lang w:val="es-ES"/>
        </w:rPr>
        <w:t>objetivo.</w:t>
      </w:r>
      <w:r w:rsidR="009D5E28" w:rsidRPr="00A7652F">
        <w:rPr>
          <w:rFonts w:ascii="Arial" w:eastAsia="Arial" w:hAnsi="Arial" w:cs="Arial"/>
          <w:i/>
          <w:sz w:val="21"/>
          <w:lang w:val="es-ES"/>
        </w:rPr>
        <w:t xml:space="preserve"> </w:t>
      </w:r>
    </w:p>
    <w:p w14:paraId="4CE79D1F" w14:textId="77777777" w:rsidR="00172805" w:rsidRPr="00A7652F" w:rsidRDefault="00172805" w:rsidP="00172805">
      <w:pPr>
        <w:widowControl w:val="0"/>
        <w:autoSpaceDE w:val="0"/>
        <w:autoSpaceDN w:val="0"/>
        <w:spacing w:before="1" w:after="0" w:line="240" w:lineRule="auto"/>
        <w:rPr>
          <w:rFonts w:ascii="Arial" w:eastAsia="Arial" w:hAnsi="Arial" w:cs="Arial"/>
          <w:i/>
          <w:sz w:val="21"/>
          <w:lang w:val="es-ES"/>
        </w:rPr>
      </w:pPr>
    </w:p>
    <w:p w14:paraId="6C838D58" w14:textId="663D3A19" w:rsidR="00172805" w:rsidRPr="00A7652F" w:rsidRDefault="00172805" w:rsidP="00172805">
      <w:pPr>
        <w:widowControl w:val="0"/>
        <w:autoSpaceDE w:val="0"/>
        <w:autoSpaceDN w:val="0"/>
        <w:spacing w:after="0" w:line="240" w:lineRule="auto"/>
        <w:ind w:left="1005" w:right="1296"/>
        <w:jc w:val="both"/>
        <w:rPr>
          <w:rFonts w:ascii="Arial" w:eastAsia="Arial" w:hAnsi="Arial" w:cs="Arial"/>
          <w:sz w:val="21"/>
          <w:lang w:val="es-ES"/>
        </w:rPr>
      </w:pPr>
      <w:r w:rsidRPr="00A7652F">
        <w:rPr>
          <w:rFonts w:ascii="Arial" w:eastAsia="Arial" w:hAnsi="Arial" w:cs="Arial"/>
          <w:sz w:val="21"/>
          <w:lang w:val="es-ES"/>
        </w:rPr>
        <w:t xml:space="preserve">Son un ejemplo de esta tesis jurisprudencial las sentencias T-102 de 2016, T-350 de 2016 y T-564 de 2017, que sostienen que en el marco de relaciones de contratos de prestación de servicios independientemente de la prueba sobre los elementos del contrato realidad, si se demuestra la necesidad de la función o continuidad del objeto del contrato, se presume que la desvinculación fue en razón del estado de embarazo, y en consecuencia, procede con todos sus efectos el numeral 2º del artículo 239 del Código Sustantivo de Trabajo. </w:t>
      </w:r>
      <w:r w:rsidR="009D5E28" w:rsidRPr="00A7652F">
        <w:rPr>
          <w:rFonts w:ascii="Arial" w:eastAsia="Arial" w:hAnsi="Arial" w:cs="Arial"/>
          <w:sz w:val="21"/>
          <w:lang w:val="es-ES"/>
        </w:rPr>
        <w:t>[</w:t>
      </w:r>
      <w:r w:rsidRPr="00A7652F">
        <w:rPr>
          <w:rFonts w:ascii="Arial" w:eastAsia="Arial" w:hAnsi="Arial" w:cs="Arial"/>
          <w:sz w:val="21"/>
          <w:lang w:val="es-ES"/>
        </w:rPr>
        <w:t>Cursiva</w:t>
      </w:r>
      <w:r w:rsidR="0057331A" w:rsidRPr="00A7652F">
        <w:rPr>
          <w:rFonts w:ascii="Arial" w:eastAsia="Arial" w:hAnsi="Arial" w:cs="Arial"/>
          <w:sz w:val="21"/>
          <w:lang w:val="es-ES"/>
        </w:rPr>
        <w:t>s</w:t>
      </w:r>
      <w:r w:rsidRPr="00A7652F">
        <w:rPr>
          <w:rFonts w:ascii="Arial" w:eastAsia="Arial" w:hAnsi="Arial" w:cs="Arial"/>
          <w:sz w:val="21"/>
          <w:lang w:val="es-ES"/>
        </w:rPr>
        <w:t xml:space="preserve"> fuera del</w:t>
      </w:r>
      <w:r w:rsidRPr="00A7652F">
        <w:rPr>
          <w:rFonts w:ascii="Arial" w:eastAsia="Arial" w:hAnsi="Arial" w:cs="Arial"/>
          <w:spacing w:val="-16"/>
          <w:sz w:val="21"/>
          <w:lang w:val="es-ES"/>
        </w:rPr>
        <w:t xml:space="preserve"> </w:t>
      </w:r>
      <w:r w:rsidRPr="00A7652F">
        <w:rPr>
          <w:rFonts w:ascii="Arial" w:eastAsia="Arial" w:hAnsi="Arial" w:cs="Arial"/>
          <w:sz w:val="21"/>
          <w:lang w:val="es-ES"/>
        </w:rPr>
        <w:t>texto</w:t>
      </w:r>
      <w:r w:rsidR="009D5E28" w:rsidRPr="00A7652F">
        <w:rPr>
          <w:rFonts w:ascii="Arial" w:eastAsia="Arial" w:hAnsi="Arial" w:cs="Arial"/>
          <w:sz w:val="21"/>
          <w:lang w:val="es-ES"/>
        </w:rPr>
        <w:t>]</w:t>
      </w:r>
    </w:p>
    <w:p w14:paraId="55EAC645" w14:textId="77777777" w:rsidR="00107DC8" w:rsidRPr="00A7652F" w:rsidRDefault="00107DC8" w:rsidP="00172805">
      <w:pPr>
        <w:widowControl w:val="0"/>
        <w:autoSpaceDE w:val="0"/>
        <w:autoSpaceDN w:val="0"/>
        <w:spacing w:after="0" w:line="240" w:lineRule="auto"/>
        <w:ind w:left="1005" w:right="1296"/>
        <w:jc w:val="both"/>
        <w:rPr>
          <w:rFonts w:ascii="Arial" w:eastAsia="Arial" w:hAnsi="Arial" w:cs="Arial"/>
          <w:sz w:val="21"/>
          <w:lang w:val="es-ES"/>
        </w:rPr>
      </w:pPr>
    </w:p>
    <w:p w14:paraId="311ACBBC" w14:textId="77777777" w:rsidR="006A5A54" w:rsidRPr="00A7652F" w:rsidRDefault="006A5A54" w:rsidP="004544D9">
      <w:pPr>
        <w:pStyle w:val="Textoindependiente"/>
        <w:spacing w:after="120" w:line="276" w:lineRule="auto"/>
        <w:ind w:right="108"/>
        <w:jc w:val="both"/>
        <w:rPr>
          <w:rFonts w:ascii="Arial" w:eastAsia="Yu Gothic UI Semibold" w:hAnsi="Arial" w:cs="Arial"/>
        </w:rPr>
      </w:pPr>
      <w:r w:rsidRPr="00A7652F">
        <w:rPr>
          <w:rFonts w:ascii="Arial" w:eastAsia="Yu Gothic UI Semibold" w:hAnsi="Arial" w:cs="Arial"/>
        </w:rPr>
        <w:t>Finalmente, en el año 2018 la Corte Constitucional profirió la sentencia de unificación SU-075 de 2018, en la cual recoge, entre otras, las sentencias citadas por la peticionaria –las sentencias T-030/2018 y T-350/2016.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A7652F">
        <w:rPr>
          <w:rFonts w:ascii="Arial" w:eastAsia="Yu Gothic UI Semibold" w:hAnsi="Arial" w:cs="Arial"/>
          <w:i/>
        </w:rPr>
        <w:t xml:space="preserve"> </w:t>
      </w:r>
      <w:r w:rsidRPr="00A7652F">
        <w:rPr>
          <w:rFonts w:ascii="Arial" w:eastAsia="Yu Gothic UI Semibold" w:hAnsi="Arial" w:cs="Arial"/>
          <w:i/>
          <w:lang w:eastAsia="es-MX"/>
        </w:rPr>
        <w:t>«</w:t>
      </w:r>
      <w:r w:rsidRPr="00A7652F">
        <w:rPr>
          <w:rFonts w:ascii="Arial" w:eastAsia="Yu Gothic UI Semibold" w:hAnsi="Arial" w:cs="Arial"/>
          <w:i/>
        </w:rPr>
        <w:t>fuero de maternidad</w:t>
      </w:r>
      <w:r w:rsidRPr="00A7652F">
        <w:rPr>
          <w:rFonts w:ascii="Arial" w:eastAsia="Yu Gothic UI Semibold" w:hAnsi="Arial" w:cs="Arial"/>
          <w:i/>
          <w:lang w:eastAsia="es-MX"/>
        </w:rPr>
        <w:t>»</w:t>
      </w:r>
      <w:r w:rsidRPr="00A7652F">
        <w:rPr>
          <w:rFonts w:ascii="Arial" w:eastAsia="Yu Gothic UI Semibold" w:hAnsi="Arial" w:cs="Arial"/>
          <w:i/>
        </w:rPr>
        <w:t>,</w:t>
      </w:r>
      <w:r w:rsidRPr="00A7652F">
        <w:rPr>
          <w:rFonts w:ascii="Arial" w:eastAsia="Yu Gothic UI Semibold" w:hAnsi="Arial" w:cs="Arial"/>
        </w:rPr>
        <w:t xml:space="preserve"> encuentra también su sustento en la cláusula general de igualdad de la Constitución </w:t>
      </w:r>
      <w:r w:rsidRPr="00A7652F">
        <w:rPr>
          <w:rFonts w:ascii="Arial" w:eastAsia="Yu Gothic UI Semibold" w:hAnsi="Arial" w:cs="Arial"/>
          <w:i/>
          <w:lang w:eastAsia="es-MX"/>
        </w:rPr>
        <w:t>«</w:t>
      </w:r>
      <w:r w:rsidRPr="00A7652F">
        <w:rPr>
          <w:rFonts w:ascii="Arial" w:eastAsia="Yu Gothic UI Semibold" w:hAnsi="Arial" w:cs="Arial"/>
          <w:i/>
        </w:rPr>
        <w:t xml:space="preserve">que proscribe la discriminación por razones de sexo, así como en el ya mencionado artículo 43 Superior, que dispone la igualdad de derechos y oportunidades entre hombres y </w:t>
      </w:r>
      <w:r w:rsidRPr="00A7652F">
        <w:rPr>
          <w:rFonts w:ascii="Arial" w:eastAsia="Yu Gothic UI Semibold" w:hAnsi="Arial" w:cs="Arial"/>
          <w:i/>
        </w:rPr>
        <w:lastRenderedPageBreak/>
        <w:t>mujeres</w:t>
      </w:r>
      <w:r w:rsidRPr="00A7652F">
        <w:rPr>
          <w:rFonts w:ascii="Arial" w:eastAsia="Yu Gothic UI Semibold" w:hAnsi="Arial" w:cs="Arial"/>
          <w:i/>
          <w:lang w:eastAsia="es-MX"/>
        </w:rPr>
        <w:t>»</w:t>
      </w:r>
      <w:r w:rsidRPr="00A7652F">
        <w:rPr>
          <w:rStyle w:val="Refdenotaalpie"/>
          <w:rFonts w:ascii="Arial" w:eastAsia="Yu Gothic UI Semibold" w:hAnsi="Arial" w:cs="Arial"/>
          <w:i/>
          <w:lang w:eastAsia="es-MX"/>
        </w:rPr>
        <w:footnoteReference w:id="24"/>
      </w:r>
      <w:r w:rsidRPr="00A7652F">
        <w:rPr>
          <w:rFonts w:ascii="Arial" w:eastAsia="Yu Gothic UI Semibold" w:hAnsi="Arial" w:cs="Arial"/>
          <w:i/>
          <w:lang w:eastAsia="es-MX"/>
        </w:rPr>
        <w:t>.</w:t>
      </w:r>
    </w:p>
    <w:p w14:paraId="6C06CA01" w14:textId="77777777" w:rsidR="006A5A54" w:rsidRPr="00A7652F" w:rsidRDefault="006A5A54" w:rsidP="006A5A54">
      <w:pPr>
        <w:shd w:val="clear" w:color="auto" w:fill="FFFFFF"/>
        <w:spacing w:line="276" w:lineRule="auto"/>
        <w:ind w:firstLine="709"/>
        <w:contextualSpacing/>
        <w:jc w:val="both"/>
        <w:rPr>
          <w:rFonts w:ascii="Arial" w:eastAsia="Yu Gothic UI Semibold" w:hAnsi="Arial" w:cs="Arial"/>
          <w:lang w:eastAsia="es-CO"/>
        </w:rPr>
      </w:pPr>
      <w:r w:rsidRPr="00A7652F">
        <w:rPr>
          <w:rFonts w:ascii="Arial" w:eastAsia="Yu Gothic UI Semibold" w:hAnsi="Arial" w:cs="Arial"/>
          <w:lang w:eastAsia="es-CO"/>
        </w:rPr>
        <w:t xml:space="preserve">La sentencia citada determina el tratamiento que deberían darles las entidades a sus trabajadoras o contratistas en los casos previstos, cuando se encuentren en estado de embarazo o lactancia, estableciendo su procedencia en los siguientes términos: </w:t>
      </w:r>
    </w:p>
    <w:p w14:paraId="5B8078FB" w14:textId="77777777" w:rsidR="006A5A54" w:rsidRPr="00A7652F" w:rsidRDefault="006A5A54" w:rsidP="006A5A54">
      <w:pPr>
        <w:shd w:val="clear" w:color="auto" w:fill="FFFFFF"/>
        <w:spacing w:after="120"/>
        <w:ind w:left="709" w:right="709"/>
        <w:contextualSpacing/>
        <w:jc w:val="both"/>
        <w:rPr>
          <w:rFonts w:ascii="Arial" w:eastAsia="Yu Gothic UI Semibold" w:hAnsi="Arial" w:cs="Arial"/>
          <w:sz w:val="21"/>
          <w:szCs w:val="21"/>
          <w:highlight w:val="red"/>
          <w:lang w:eastAsia="es-CO"/>
        </w:rPr>
      </w:pPr>
    </w:p>
    <w:p w14:paraId="6AAE0F52"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La protección reforzada a la maternidad y la lactancia en el ámbito del trabajo procede cuando se demuestre, sin ninguna otra exigencia adicional, lo siguiente: </w:t>
      </w:r>
    </w:p>
    <w:p w14:paraId="328EAA56"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 </w:t>
      </w:r>
    </w:p>
    <w:p w14:paraId="26296E26"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(a) La existencia de una relación laboral o de prestación y; </w:t>
      </w:r>
    </w:p>
    <w:p w14:paraId="1E737788"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 </w:t>
      </w:r>
    </w:p>
    <w:p w14:paraId="4EBD5A12"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(b) Que la mujer se encuentra en estado de embarazo o dentro de los tres meses siguientes al parto, en vigencia de dicha relación laboral o de prestación.</w:t>
      </w:r>
    </w:p>
    <w:p w14:paraId="5135512F"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 </w:t>
      </w:r>
    </w:p>
    <w:p w14:paraId="05786074"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No obstante, el alcance de la protección se debe determinar a partir de dos factores:</w:t>
      </w:r>
    </w:p>
    <w:p w14:paraId="7618F696"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 </w:t>
      </w:r>
    </w:p>
    <w:p w14:paraId="36B8DE64"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(a) El conocimiento del embarazo por parte del empleador; y</w:t>
      </w:r>
    </w:p>
    <w:p w14:paraId="6D386C94"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 </w:t>
      </w:r>
    </w:p>
    <w:p w14:paraId="28AA6A32"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t>(b) La alternativa laboral mediante la cual se encontraba vinculada la mujer embarazada</w:t>
      </w:r>
    </w:p>
    <w:p w14:paraId="2CB8C087" w14:textId="77777777" w:rsidR="006A5A54" w:rsidRPr="00A7652F" w:rsidRDefault="006A5A54" w:rsidP="006A5A54">
      <w:pPr>
        <w:shd w:val="clear" w:color="auto" w:fill="FFFFFF"/>
        <w:ind w:right="49" w:firstLine="708"/>
        <w:jc w:val="both"/>
        <w:rPr>
          <w:rFonts w:ascii="Arial" w:eastAsia="Yu Gothic UI Semibold" w:hAnsi="Arial" w:cs="Arial"/>
          <w:lang w:eastAsia="es-CO"/>
        </w:rPr>
      </w:pPr>
    </w:p>
    <w:p w14:paraId="46BED601" w14:textId="77777777" w:rsidR="006A5A54" w:rsidRPr="00A7652F" w:rsidRDefault="006A5A54" w:rsidP="006A5A54">
      <w:pPr>
        <w:shd w:val="clear" w:color="auto" w:fill="FFFFFF"/>
        <w:spacing w:after="120" w:line="276" w:lineRule="auto"/>
        <w:ind w:right="51" w:firstLine="709"/>
        <w:jc w:val="both"/>
        <w:rPr>
          <w:rFonts w:ascii="Arial" w:eastAsia="Yu Gothic UI Semibold" w:hAnsi="Arial" w:cs="Arial"/>
          <w:lang w:eastAsia="es-CO"/>
        </w:rPr>
      </w:pPr>
      <w:r w:rsidRPr="00A7652F">
        <w:rPr>
          <w:rFonts w:ascii="Arial" w:eastAsia="Yu Gothic UI Semibold" w:hAnsi="Arial" w:cs="Arial"/>
          <w:lang w:eastAsia="es-CO"/>
        </w:rPr>
        <w:t xml:space="preserve">Como se evidencia en el texto referido, el criterio de la Corte establece que solo se requiere acreditar la relación laboral y el estado de embarazo o lactancia para acceder a la jurisprudencialmente denominada estabilidad laboral reforzada de mujer embarazada y en periodo de lactancia estabilidad laboral reforzada de mujer embarazada y en periodo de lactancia. </w:t>
      </w:r>
    </w:p>
    <w:p w14:paraId="2224D1D6" w14:textId="77777777" w:rsidR="006A5A54" w:rsidRPr="00A7652F" w:rsidRDefault="006A5A54" w:rsidP="006A5A54">
      <w:pPr>
        <w:shd w:val="clear" w:color="auto" w:fill="FFFFFF"/>
        <w:ind w:right="49" w:firstLine="708"/>
        <w:jc w:val="both"/>
        <w:rPr>
          <w:rFonts w:ascii="Arial" w:eastAsia="Yu Gothic UI Semibold" w:hAnsi="Arial" w:cs="Arial"/>
          <w:lang w:eastAsia="es-CO"/>
        </w:rPr>
      </w:pPr>
      <w:r w:rsidRPr="00A7652F">
        <w:rPr>
          <w:rFonts w:ascii="Arial" w:eastAsia="Yu Gothic UI Semibold" w:hAnsi="Arial" w:cs="Arial"/>
          <w:lang w:eastAsia="es-CO"/>
        </w:rPr>
        <w:t xml:space="preserve">Para el caso concreto de los contratos de prestación de servicios, la sentencia en mención determina:   </w:t>
      </w:r>
    </w:p>
    <w:p w14:paraId="7992C0AD" w14:textId="77777777" w:rsidR="006A5A54" w:rsidRPr="00A7652F" w:rsidRDefault="006A5A54" w:rsidP="006A5A54">
      <w:pPr>
        <w:shd w:val="clear" w:color="auto" w:fill="FFFFFF"/>
        <w:ind w:left="709" w:right="49"/>
        <w:jc w:val="both"/>
        <w:rPr>
          <w:rFonts w:ascii="Arial" w:eastAsia="Yu Gothic UI Semibold" w:hAnsi="Arial" w:cs="Arial"/>
          <w:lang w:eastAsia="es-CO"/>
        </w:rPr>
      </w:pPr>
    </w:p>
    <w:p w14:paraId="0DF6A70F" w14:textId="77777777" w:rsidR="006A5A54" w:rsidRPr="00A7652F" w:rsidRDefault="006A5A54" w:rsidP="006A5A54">
      <w:pPr>
        <w:shd w:val="clear" w:color="auto" w:fill="FFFFFF"/>
        <w:ind w:left="709" w:right="709"/>
        <w:contextualSpacing/>
        <w:jc w:val="both"/>
        <w:rPr>
          <w:rFonts w:ascii="Arial" w:eastAsia="Yu Gothic UI Semibold" w:hAnsi="Arial" w:cs="Arial"/>
          <w:sz w:val="21"/>
          <w:szCs w:val="21"/>
          <w:lang w:eastAsia="es-CO"/>
        </w:rPr>
      </w:pPr>
      <w:r w:rsidRPr="00A7652F">
        <w:rPr>
          <w:rFonts w:ascii="Arial" w:eastAsia="Yu Gothic UI Semibold" w:hAnsi="Arial" w:cs="Arial"/>
          <w:sz w:val="21"/>
          <w:szCs w:val="21"/>
          <w:lang w:eastAsia="es-CO"/>
        </w:rPr>
        <w:lastRenderedPageBreak/>
        <w:t xml:space="preserve">[…]  en el supuesto en que la trabajadora gestante o lactante haya estado vinculada mediante un contrato de prestación de servicios </w:t>
      </w:r>
      <w:r w:rsidRPr="00A7652F">
        <w:rPr>
          <w:rFonts w:ascii="Arial" w:eastAsia="Yu Gothic UI Semibold" w:hAnsi="Arial" w:cs="Arial"/>
          <w:sz w:val="21"/>
          <w:szCs w:val="21"/>
          <w:u w:val="single"/>
          <w:lang w:eastAsia="es-CO"/>
        </w:rPr>
        <w:t>y logre demostrar la existencia de un contrato realidad, se deberán aplicar las reglas propuestas para los contratos a término fijo</w:t>
      </w:r>
      <w:r w:rsidRPr="00A7652F">
        <w:rPr>
          <w:rFonts w:ascii="Arial" w:eastAsia="Yu Gothic UI Semibold" w:hAnsi="Arial" w:cs="Arial"/>
          <w:sz w:val="21"/>
          <w:szCs w:val="21"/>
          <w:lang w:eastAsia="es-CO"/>
        </w:rPr>
        <w:t>, toda vez que, “dentro las características del contrato de prestación de servicios, según lo ha entendido esta Corporación, se encuentran que se trata de un contrato temporal, cuya duración es por un tiempo limitado, que es además el indispensable para ejecutar el objeto contractual convenido[…]</w:t>
      </w:r>
    </w:p>
    <w:p w14:paraId="4A73A7D1" w14:textId="77777777" w:rsidR="006A5A54" w:rsidRPr="00A7652F" w:rsidRDefault="006A5A54" w:rsidP="006A5A54">
      <w:pPr>
        <w:shd w:val="clear" w:color="auto" w:fill="FFFFFF"/>
        <w:ind w:right="49" w:firstLine="708"/>
        <w:jc w:val="both"/>
        <w:rPr>
          <w:rFonts w:ascii="Arial" w:eastAsia="Yu Gothic UI Semibold" w:hAnsi="Arial" w:cs="Arial"/>
          <w:lang w:eastAsia="es-CO"/>
        </w:rPr>
      </w:pPr>
    </w:p>
    <w:p w14:paraId="0DD25611" w14:textId="77777777" w:rsidR="00172805" w:rsidRPr="00A7652F" w:rsidRDefault="00172805" w:rsidP="00172805">
      <w:pPr>
        <w:widowControl w:val="0"/>
        <w:autoSpaceDE w:val="0"/>
        <w:autoSpaceDN w:val="0"/>
        <w:spacing w:before="5" w:after="0" w:line="240" w:lineRule="auto"/>
        <w:rPr>
          <w:rFonts w:ascii="Arial" w:eastAsia="Arial" w:hAnsi="Arial" w:cs="Arial"/>
          <w:sz w:val="25"/>
          <w:lang w:val="es-ES"/>
        </w:rPr>
      </w:pPr>
    </w:p>
    <w:p w14:paraId="3063D0FA" w14:textId="7A7D4877" w:rsidR="00A65D4C" w:rsidRPr="00A7652F" w:rsidRDefault="00172805" w:rsidP="00E95221">
      <w:pPr>
        <w:widowControl w:val="0"/>
        <w:autoSpaceDE w:val="0"/>
        <w:autoSpaceDN w:val="0"/>
        <w:spacing w:before="120" w:after="120" w:line="276" w:lineRule="auto"/>
        <w:ind w:right="306" w:firstLine="708"/>
        <w:jc w:val="both"/>
        <w:rPr>
          <w:rFonts w:ascii="Arial" w:eastAsia="Arial" w:hAnsi="Arial" w:cs="Arial"/>
          <w:lang w:val="es-ES"/>
        </w:rPr>
      </w:pPr>
      <w:r w:rsidRPr="00A7652F">
        <w:rPr>
          <w:rFonts w:ascii="Arial" w:eastAsia="Arial" w:hAnsi="Arial" w:cs="Arial"/>
          <w:lang w:val="es-ES"/>
        </w:rPr>
        <w:t>Conforme a lo anterior, la Corte Constitucional ha expuesto dos posiciones para proteger el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52896416" w14:textId="54F49302" w:rsidR="00A65D4C" w:rsidRPr="00A7652F" w:rsidRDefault="00285C06" w:rsidP="00E95221">
      <w:pPr>
        <w:widowControl w:val="0"/>
        <w:autoSpaceDE w:val="0"/>
        <w:autoSpaceDN w:val="0"/>
        <w:spacing w:before="120" w:after="120" w:line="276" w:lineRule="auto"/>
        <w:ind w:right="306" w:firstLine="708"/>
        <w:jc w:val="both"/>
        <w:rPr>
          <w:rFonts w:ascii="Arial" w:eastAsia="Arial" w:hAnsi="Arial" w:cs="Arial"/>
          <w:lang w:val="es-ES"/>
        </w:rPr>
      </w:pPr>
      <w:r w:rsidRPr="00A7652F">
        <w:rPr>
          <w:rFonts w:ascii="Arial" w:eastAsia="Arial" w:hAnsi="Arial" w:cs="Arial"/>
          <w:lang w:val="es-ES"/>
        </w:rPr>
        <w:t xml:space="preserve">Asimismo </w:t>
      </w:r>
      <w:r w:rsidR="00751DF1" w:rsidRPr="00A7652F">
        <w:rPr>
          <w:rFonts w:ascii="Arial" w:eastAsia="Arial" w:hAnsi="Arial" w:cs="Arial"/>
          <w:lang w:val="es-ES"/>
        </w:rPr>
        <w:t>se</w:t>
      </w:r>
      <w:r w:rsidRPr="00A7652F">
        <w:rPr>
          <w:rFonts w:ascii="Arial" w:eastAsia="Arial" w:hAnsi="Arial" w:cs="Arial"/>
          <w:lang w:val="es-ES"/>
        </w:rPr>
        <w:t xml:space="preserve"> </w:t>
      </w:r>
      <w:r w:rsidR="00751DF1" w:rsidRPr="00A7652F">
        <w:rPr>
          <w:rFonts w:ascii="Arial" w:eastAsia="Arial" w:hAnsi="Arial" w:cs="Arial"/>
          <w:lang w:val="es-ES"/>
        </w:rPr>
        <w:t>resalta</w:t>
      </w:r>
      <w:r w:rsidR="00A65D4C" w:rsidRPr="00A7652F">
        <w:rPr>
          <w:rFonts w:ascii="Arial" w:eastAsia="Arial" w:hAnsi="Arial" w:cs="Arial"/>
          <w:lang w:val="es-ES"/>
        </w:rPr>
        <w:t>,</w:t>
      </w:r>
      <w:r w:rsidR="00751DF1" w:rsidRPr="00A7652F">
        <w:rPr>
          <w:rFonts w:ascii="Arial" w:eastAsia="Arial" w:hAnsi="Arial" w:cs="Arial"/>
          <w:lang w:val="es-ES"/>
        </w:rPr>
        <w:t xml:space="preserve"> que</w:t>
      </w:r>
      <w:r w:rsidR="00A65D4C" w:rsidRPr="00A7652F">
        <w:rPr>
          <w:rFonts w:ascii="Arial" w:eastAsia="Arial" w:hAnsi="Arial" w:cs="Arial"/>
          <w:lang w:val="es-ES"/>
        </w:rPr>
        <w:t xml:space="preserve"> el Alto Tribunal Constitucional </w:t>
      </w:r>
      <w:r w:rsidR="00702931" w:rsidRPr="00A7652F">
        <w:rPr>
          <w:rFonts w:ascii="Arial" w:eastAsia="Arial" w:hAnsi="Arial" w:cs="Arial"/>
          <w:lang w:val="es-ES"/>
        </w:rPr>
        <w:t xml:space="preserve">en la sentencia T-743 de 2017, </w:t>
      </w:r>
      <w:r w:rsidR="003A183C" w:rsidRPr="00A7652F">
        <w:rPr>
          <w:rFonts w:ascii="Arial" w:eastAsia="Arial" w:hAnsi="Arial" w:cs="Arial"/>
          <w:lang w:val="es-ES"/>
        </w:rPr>
        <w:t xml:space="preserve">reiteró que </w:t>
      </w:r>
      <w:r w:rsidRPr="00A7652F">
        <w:rPr>
          <w:rFonts w:ascii="Arial" w:eastAsia="Arial" w:hAnsi="Arial" w:cs="Arial"/>
          <w:lang w:val="es-ES"/>
        </w:rPr>
        <w:t>la protección a la mujer en estado de embarazo y en periodo de lactancia, está sustentada en cuatro presupuestos de origen constitucional: (i) el deber de protección especial a la mujer gestante; (ii) la contención de prácticas discriminatorias en el escenario laboral contra la mujer, con ocasión del estado de embarazo; (iii) la protección a la vida y a la mujer como su gestora; y (iv) la relevancia de la familia en el ordenamiento social colombiano.</w:t>
      </w:r>
    </w:p>
    <w:p w14:paraId="73B3C5C0" w14:textId="7D3AEA5A" w:rsidR="00172805" w:rsidRPr="00A7652F" w:rsidRDefault="00172805" w:rsidP="00E95221">
      <w:pPr>
        <w:widowControl w:val="0"/>
        <w:autoSpaceDE w:val="0"/>
        <w:autoSpaceDN w:val="0"/>
        <w:spacing w:after="0" w:line="276" w:lineRule="auto"/>
        <w:ind w:right="306" w:firstLine="708"/>
        <w:jc w:val="both"/>
        <w:rPr>
          <w:rFonts w:ascii="Arial" w:eastAsia="Arial" w:hAnsi="Arial" w:cs="Arial"/>
          <w:lang w:val="es-ES"/>
        </w:rPr>
      </w:pPr>
      <w:r w:rsidRPr="00A7652F">
        <w:rPr>
          <w:rFonts w:ascii="Arial" w:eastAsia="Arial" w:hAnsi="Arial" w:cs="Arial"/>
          <w:lang w:val="es-ES"/>
        </w:rPr>
        <w:t xml:space="preserve">En este sentido, les corresponde a las entidades estatales, en virtud de su autonomía, y de acuerdo con los lineamientos de la Corte Constitucional, determinar la mejor forma para garantizar la estabilidad laboral reforzada de las mujeres embarazadas </w:t>
      </w:r>
      <w:r w:rsidR="009D5E28" w:rsidRPr="00A7652F">
        <w:rPr>
          <w:rFonts w:ascii="Arial" w:eastAsia="Arial" w:hAnsi="Arial" w:cs="Arial"/>
          <w:lang w:val="es-ES"/>
        </w:rPr>
        <w:t xml:space="preserve">y en periodo de lactancia </w:t>
      </w:r>
      <w:r w:rsidRPr="00A7652F">
        <w:rPr>
          <w:rFonts w:ascii="Arial" w:eastAsia="Arial" w:hAnsi="Arial" w:cs="Arial"/>
          <w:lang w:val="es-ES"/>
        </w:rPr>
        <w:t>vinculadas mediante contratos de prestación de servicios.</w:t>
      </w:r>
    </w:p>
    <w:p w14:paraId="0BF496F8" w14:textId="77777777" w:rsidR="0066787D" w:rsidRPr="00A7652F" w:rsidRDefault="0066787D" w:rsidP="00974E0A">
      <w:pPr>
        <w:widowControl w:val="0"/>
        <w:autoSpaceDE w:val="0"/>
        <w:autoSpaceDN w:val="0"/>
        <w:spacing w:after="0" w:line="276" w:lineRule="auto"/>
        <w:ind w:right="306" w:firstLine="301"/>
        <w:jc w:val="both"/>
        <w:rPr>
          <w:rFonts w:ascii="Arial" w:eastAsia="Arial" w:hAnsi="Arial" w:cs="Arial"/>
          <w:lang w:val="es-ES"/>
        </w:rPr>
      </w:pPr>
    </w:p>
    <w:p w14:paraId="3C12FBFC" w14:textId="77777777" w:rsidR="005F2C99" w:rsidRPr="00A7652F" w:rsidRDefault="005F2C99" w:rsidP="00206D37">
      <w:pPr>
        <w:spacing w:after="0" w:line="276" w:lineRule="auto"/>
        <w:contextualSpacing/>
        <w:jc w:val="both"/>
        <w:rPr>
          <w:rFonts w:ascii="Arial" w:eastAsia="Calibri" w:hAnsi="Arial" w:cs="Arial"/>
          <w:b/>
        </w:rPr>
      </w:pPr>
      <w:r w:rsidRPr="00A7652F">
        <w:rPr>
          <w:rFonts w:ascii="Arial" w:eastAsia="Calibri" w:hAnsi="Arial" w:cs="Arial"/>
          <w:b/>
        </w:rPr>
        <w:t>3. Respuesta</w:t>
      </w:r>
    </w:p>
    <w:p w14:paraId="3F59CF76" w14:textId="77777777" w:rsidR="005F2C99" w:rsidRPr="00A7652F" w:rsidRDefault="005F2C99" w:rsidP="00206D37">
      <w:pPr>
        <w:tabs>
          <w:tab w:val="left" w:pos="709"/>
        </w:tabs>
        <w:spacing w:after="0" w:line="240" w:lineRule="auto"/>
        <w:ind w:left="709" w:right="709"/>
        <w:contextualSpacing/>
        <w:jc w:val="both"/>
        <w:rPr>
          <w:rFonts w:ascii="Arial" w:eastAsia="Calibri" w:hAnsi="Arial" w:cs="Arial"/>
          <w:sz w:val="21"/>
          <w:szCs w:val="21"/>
          <w:lang w:val="es-ES" w:eastAsia="es-MX"/>
        </w:rPr>
      </w:pPr>
    </w:p>
    <w:p w14:paraId="7B90C019" w14:textId="6F8B7A93" w:rsidR="00172805" w:rsidRPr="00A7652F" w:rsidRDefault="00172805" w:rsidP="00172805">
      <w:pPr>
        <w:spacing w:after="0" w:line="240" w:lineRule="auto"/>
        <w:ind w:left="709" w:right="758"/>
        <w:jc w:val="both"/>
        <w:rPr>
          <w:rFonts w:ascii="Arial" w:eastAsia="Calibri" w:hAnsi="Arial" w:cs="Arial"/>
          <w:color w:val="000000" w:themeColor="text1"/>
          <w:sz w:val="21"/>
          <w:szCs w:val="21"/>
          <w:lang w:val="es-MX"/>
        </w:rPr>
      </w:pPr>
      <w:bookmarkStart w:id="12" w:name="_Hlk57650395"/>
      <w:r w:rsidRPr="00A7652F">
        <w:rPr>
          <w:rFonts w:ascii="Arial" w:eastAsia="Calibri" w:hAnsi="Arial" w:cs="Arial"/>
          <w:color w:val="000000" w:themeColor="text1"/>
          <w:sz w:val="21"/>
          <w:szCs w:val="21"/>
          <w:lang w:val="es-MX"/>
        </w:rPr>
        <w:lastRenderedPageBreak/>
        <w:t>«[…] quisiera consultar si una contratista en estado de embarazo vinculada por medio de contrato de prestación de servicios, se le debe renovar el contrato que se le vence en el mismo día que inicia su licencia de maternidad, con el mismo objeto o puede la entidad acorda</w:t>
      </w:r>
      <w:r w:rsidR="00464E24" w:rsidRPr="00A7652F">
        <w:rPr>
          <w:rFonts w:ascii="Arial" w:eastAsia="Calibri" w:hAnsi="Arial" w:cs="Arial"/>
          <w:color w:val="000000" w:themeColor="text1"/>
          <w:sz w:val="21"/>
          <w:szCs w:val="21"/>
          <w:lang w:val="es-MX"/>
        </w:rPr>
        <w:t>r</w:t>
      </w:r>
      <w:r w:rsidRPr="00A7652F">
        <w:rPr>
          <w:rFonts w:ascii="Arial" w:eastAsia="Calibri" w:hAnsi="Arial" w:cs="Arial"/>
          <w:color w:val="000000" w:themeColor="text1"/>
          <w:sz w:val="21"/>
          <w:szCs w:val="21"/>
          <w:lang w:val="es-MX"/>
        </w:rPr>
        <w:t xml:space="preserve"> con la contratista la celebración de un contrato nuevo con objeto contractual diferente pero con las mismas condiciones respecto de valor y actividades similares?»</w:t>
      </w:r>
    </w:p>
    <w:p w14:paraId="5BA3C2A6" w14:textId="43B599B8" w:rsidR="007D135B" w:rsidRPr="00A7652F" w:rsidRDefault="007D135B" w:rsidP="004B5310">
      <w:pPr>
        <w:spacing w:after="0" w:line="276" w:lineRule="auto"/>
        <w:jc w:val="both"/>
        <w:rPr>
          <w:rFonts w:ascii="Arial" w:hAnsi="Arial" w:cs="Arial"/>
        </w:rPr>
      </w:pPr>
    </w:p>
    <w:p w14:paraId="6542D6D2" w14:textId="54D226B1" w:rsidR="00172805" w:rsidRPr="00A7652F" w:rsidRDefault="00107DC8" w:rsidP="00464E24">
      <w:pPr>
        <w:spacing w:after="120" w:line="276" w:lineRule="auto"/>
        <w:jc w:val="both"/>
        <w:rPr>
          <w:rFonts w:ascii="Arial" w:eastAsia="Calibri" w:hAnsi="Arial" w:cs="Arial"/>
          <w:color w:val="000000" w:themeColor="text1"/>
          <w:lang w:val="es-MX"/>
        </w:rPr>
      </w:pPr>
      <w:r w:rsidRPr="00A7652F">
        <w:rPr>
          <w:rFonts w:ascii="Arial" w:eastAsia="Calibri" w:hAnsi="Arial" w:cs="Arial"/>
          <w:color w:val="000000" w:themeColor="text1"/>
          <w:lang w:val="es-MX"/>
        </w:rPr>
        <w:t xml:space="preserve">Conforme lo expuesto a lo largo de este concepto, la Corte Constitucional </w:t>
      </w:r>
      <w:r w:rsidR="00172805" w:rsidRPr="00A7652F">
        <w:rPr>
          <w:rFonts w:ascii="Arial" w:eastAsia="Calibri" w:hAnsi="Arial" w:cs="Arial"/>
          <w:color w:val="000000" w:themeColor="text1"/>
          <w:lang w:val="es-MX"/>
        </w:rPr>
        <w:t>ha expuesto dos posiciones para proteger el fuero de maternidad de las mujeres vinculadas mediante un contrato de prestación de servicios</w:t>
      </w:r>
      <w:r w:rsidR="00B041E0" w:rsidRPr="00A7652F">
        <w:rPr>
          <w:rFonts w:ascii="Arial" w:eastAsia="Calibri" w:hAnsi="Arial" w:cs="Arial"/>
          <w:color w:val="000000" w:themeColor="text1"/>
          <w:lang w:val="es-MX"/>
        </w:rPr>
        <w:t xml:space="preserve"> y que se encu</w:t>
      </w:r>
      <w:r w:rsidR="00611778" w:rsidRPr="00A7652F">
        <w:rPr>
          <w:rFonts w:ascii="Arial" w:eastAsia="Calibri" w:hAnsi="Arial" w:cs="Arial"/>
          <w:color w:val="000000" w:themeColor="text1"/>
          <w:lang w:val="es-MX"/>
        </w:rPr>
        <w:t>entren en estado de embarazo y/o en periodo de lactan</w:t>
      </w:r>
      <w:r w:rsidR="005F0F9D" w:rsidRPr="00A7652F">
        <w:rPr>
          <w:rFonts w:ascii="Arial" w:eastAsia="Calibri" w:hAnsi="Arial" w:cs="Arial"/>
          <w:color w:val="000000" w:themeColor="text1"/>
          <w:lang w:val="es-MX"/>
        </w:rPr>
        <w:t>cia</w:t>
      </w:r>
      <w:r w:rsidR="00172805" w:rsidRPr="00A7652F">
        <w:rPr>
          <w:rFonts w:ascii="Arial" w:eastAsia="Calibri" w:hAnsi="Arial" w:cs="Arial"/>
          <w:color w:val="000000" w:themeColor="text1"/>
          <w:lang w:val="es-MX"/>
        </w:rPr>
        <w:t>: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w:t>
      </w:r>
      <w:r w:rsidR="001C0FA4" w:rsidRPr="00A7652F">
        <w:rPr>
          <w:rFonts w:ascii="Arial" w:eastAsia="Calibri" w:hAnsi="Arial" w:cs="Arial"/>
          <w:color w:val="000000" w:themeColor="text1"/>
          <w:lang w:val="es-MX"/>
        </w:rPr>
        <w:t>,</w:t>
      </w:r>
      <w:r w:rsidR="00172805" w:rsidRPr="00A7652F">
        <w:rPr>
          <w:rFonts w:ascii="Arial" w:eastAsia="Calibri" w:hAnsi="Arial" w:cs="Arial"/>
          <w:color w:val="000000" w:themeColor="text1"/>
          <w:lang w:val="es-MX"/>
        </w:rPr>
        <w:t xml:space="preserve"> la terminación del contrato de prestación de servicios se fundament</w:t>
      </w:r>
      <w:r w:rsidR="001C0FA4" w:rsidRPr="00A7652F">
        <w:rPr>
          <w:rFonts w:ascii="Arial" w:eastAsia="Calibri" w:hAnsi="Arial" w:cs="Arial"/>
          <w:color w:val="000000" w:themeColor="text1"/>
          <w:lang w:val="es-MX"/>
        </w:rPr>
        <w:t>e</w:t>
      </w:r>
      <w:r w:rsidR="00172805" w:rsidRPr="00A7652F">
        <w:rPr>
          <w:rFonts w:ascii="Arial" w:eastAsia="Calibri" w:hAnsi="Arial" w:cs="Arial"/>
          <w:color w:val="000000" w:themeColor="text1"/>
          <w:lang w:val="es-MX"/>
        </w:rPr>
        <w:t xml:space="preserve"> en criterios discriminatorios y no</w:t>
      </w:r>
      <w:r w:rsidR="001C0FA4" w:rsidRPr="00A7652F">
        <w:rPr>
          <w:rFonts w:ascii="Arial" w:eastAsia="Calibri" w:hAnsi="Arial" w:cs="Arial"/>
          <w:color w:val="000000" w:themeColor="text1"/>
          <w:lang w:val="es-MX"/>
        </w:rPr>
        <w:t>,</w:t>
      </w:r>
      <w:r w:rsidR="00172805" w:rsidRPr="00A7652F">
        <w:rPr>
          <w:rFonts w:ascii="Arial" w:eastAsia="Calibri" w:hAnsi="Arial" w:cs="Arial"/>
          <w:color w:val="000000" w:themeColor="text1"/>
          <w:lang w:val="es-MX"/>
        </w:rPr>
        <w:t xml:space="preserve"> en motivos objetivos.</w:t>
      </w:r>
    </w:p>
    <w:p w14:paraId="13C6A522" w14:textId="7156C4AC" w:rsidR="00172805" w:rsidRPr="00A7652F" w:rsidRDefault="00172805" w:rsidP="00E95221">
      <w:pPr>
        <w:spacing w:before="120" w:after="0" w:line="276" w:lineRule="auto"/>
        <w:ind w:firstLine="708"/>
        <w:jc w:val="both"/>
        <w:rPr>
          <w:rFonts w:ascii="Arial" w:eastAsia="Calibri" w:hAnsi="Arial" w:cs="Arial"/>
          <w:strike/>
          <w:color w:val="000000" w:themeColor="text1"/>
          <w:lang w:val="es-MX"/>
        </w:rPr>
      </w:pPr>
      <w:r w:rsidRPr="00A7652F">
        <w:rPr>
          <w:rFonts w:ascii="Arial" w:hAnsi="Arial" w:cs="Arial"/>
        </w:rPr>
        <w:t>En este sentido, la Corte Constitucional reconoce la protección al derecho a la estabilidad laboral reforzada a las mujeres que celebr</w:t>
      </w:r>
      <w:r w:rsidR="001C0FA4" w:rsidRPr="00A7652F">
        <w:rPr>
          <w:rFonts w:ascii="Arial" w:hAnsi="Arial" w:cs="Arial"/>
        </w:rPr>
        <w:t>e</w:t>
      </w:r>
      <w:r w:rsidRPr="00A7652F">
        <w:rPr>
          <w:rFonts w:ascii="Arial" w:hAnsi="Arial" w:cs="Arial"/>
        </w:rPr>
        <w:t>n contrato</w:t>
      </w:r>
      <w:r w:rsidR="005F0F9D" w:rsidRPr="00A7652F">
        <w:rPr>
          <w:rFonts w:ascii="Arial" w:hAnsi="Arial" w:cs="Arial"/>
        </w:rPr>
        <w:t>s</w:t>
      </w:r>
      <w:r w:rsidRPr="00A7652F">
        <w:rPr>
          <w:rFonts w:ascii="Arial" w:hAnsi="Arial" w:cs="Arial"/>
        </w:rPr>
        <w:t xml:space="preserve"> de prestación de servicios. </w:t>
      </w:r>
      <w:r w:rsidR="001C0FA4" w:rsidRPr="00A7652F">
        <w:rPr>
          <w:rFonts w:ascii="Arial" w:eastAsia="Calibri" w:hAnsi="Arial" w:cs="Arial"/>
          <w:color w:val="000000" w:themeColor="text1"/>
          <w:lang w:val="es-MX"/>
        </w:rPr>
        <w:t>Así pues, si</w:t>
      </w:r>
      <w:r w:rsidRPr="00A7652F">
        <w:rPr>
          <w:rFonts w:ascii="Arial" w:eastAsia="Calibri" w:hAnsi="Arial" w:cs="Arial"/>
          <w:color w:val="000000" w:themeColor="text1"/>
          <w:lang w:val="es-MX"/>
        </w:rPr>
        <w:t xml:space="preserve"> se</w:t>
      </w:r>
      <w:r w:rsidRPr="00A7652F">
        <w:rPr>
          <w:rFonts w:ascii="Arial" w:hAnsi="Arial" w:cs="Arial"/>
        </w:rPr>
        <w:t xml:space="preserve"> configura alguna de las dos posiciones</w:t>
      </w:r>
      <w:r w:rsidR="005F0F9D" w:rsidRPr="00A7652F">
        <w:rPr>
          <w:rFonts w:ascii="Arial" w:hAnsi="Arial" w:cs="Arial"/>
        </w:rPr>
        <w:t xml:space="preserve"> desarrolladas por el Alto Tribunal Constitucional</w:t>
      </w:r>
      <w:r w:rsidRPr="00A7652F">
        <w:rPr>
          <w:rFonts w:ascii="Arial" w:hAnsi="Arial" w:cs="Arial"/>
        </w:rPr>
        <w:t xml:space="preserve"> para la protección del derecho a la estabilidad laboral reforzada, la entidad</w:t>
      </w:r>
      <w:r w:rsidR="005F0F9D" w:rsidRPr="00A7652F">
        <w:rPr>
          <w:rFonts w:ascii="Arial" w:hAnsi="Arial" w:cs="Arial"/>
        </w:rPr>
        <w:t xml:space="preserve"> estatal</w:t>
      </w:r>
      <w:r w:rsidRPr="00A7652F">
        <w:rPr>
          <w:rFonts w:ascii="Arial" w:hAnsi="Arial" w:cs="Arial"/>
        </w:rPr>
        <w:t xml:space="preserve"> debe</w:t>
      </w:r>
      <w:r w:rsidR="001C0FA4" w:rsidRPr="00A7652F">
        <w:rPr>
          <w:rFonts w:ascii="Arial" w:hAnsi="Arial" w:cs="Arial"/>
        </w:rPr>
        <w:t>rá</w:t>
      </w:r>
      <w:r w:rsidRPr="00A7652F">
        <w:rPr>
          <w:rFonts w:ascii="Arial" w:hAnsi="Arial" w:cs="Arial"/>
        </w:rPr>
        <w:t xml:space="preserve"> </w:t>
      </w:r>
      <w:r w:rsidR="002B5604" w:rsidRPr="00A7652F">
        <w:rPr>
          <w:rFonts w:ascii="Arial" w:hAnsi="Arial" w:cs="Arial"/>
        </w:rPr>
        <w:t>dilucidar</w:t>
      </w:r>
      <w:r w:rsidRPr="00A7652F">
        <w:rPr>
          <w:rFonts w:ascii="Arial" w:hAnsi="Arial" w:cs="Arial"/>
        </w:rPr>
        <w:t xml:space="preserve"> la forma más adecuada para </w:t>
      </w:r>
      <w:r w:rsidR="001C0FA4" w:rsidRPr="00A7652F">
        <w:rPr>
          <w:rFonts w:ascii="Arial" w:hAnsi="Arial" w:cs="Arial"/>
        </w:rPr>
        <w:t>garantizar dicho</w:t>
      </w:r>
      <w:r w:rsidRPr="00A7652F">
        <w:rPr>
          <w:rFonts w:ascii="Arial" w:hAnsi="Arial" w:cs="Arial"/>
        </w:rPr>
        <w:t xml:space="preserve"> derecho a la contratista</w:t>
      </w:r>
      <w:r w:rsidR="00DE22E7" w:rsidRPr="00A7652F">
        <w:rPr>
          <w:rFonts w:ascii="Arial" w:hAnsi="Arial" w:cs="Arial"/>
        </w:rPr>
        <w:t xml:space="preserve">, </w:t>
      </w:r>
      <w:r w:rsidR="00CF7603" w:rsidRPr="00A7652F">
        <w:rPr>
          <w:rFonts w:ascii="Arial" w:hAnsi="Arial" w:cs="Arial"/>
        </w:rPr>
        <w:t xml:space="preserve">pues lo que se pretende es </w:t>
      </w:r>
      <w:r w:rsidR="00CF7603" w:rsidRPr="00A7652F">
        <w:rPr>
          <w:rFonts w:ascii="Arial" w:eastAsia="Calibri" w:hAnsi="Arial" w:cs="Arial"/>
          <w:bCs/>
          <w:lang w:val="es-MX" w:eastAsia="es-ES_tradnl"/>
        </w:rPr>
        <w:t xml:space="preserve">impedir la discriminación </w:t>
      </w:r>
      <w:r w:rsidR="001B6597" w:rsidRPr="00A7652F">
        <w:rPr>
          <w:rFonts w:ascii="Arial" w:eastAsia="Calibri" w:hAnsi="Arial" w:cs="Arial"/>
          <w:bCs/>
          <w:lang w:val="es-MX" w:eastAsia="es-ES_tradnl"/>
        </w:rPr>
        <w:t xml:space="preserve">materializada </w:t>
      </w:r>
      <w:r w:rsidR="00A629FE" w:rsidRPr="00A7652F">
        <w:rPr>
          <w:rFonts w:ascii="Arial" w:eastAsia="Calibri" w:hAnsi="Arial" w:cs="Arial"/>
          <w:bCs/>
          <w:lang w:val="es-MX" w:eastAsia="es-ES_tradnl"/>
        </w:rPr>
        <w:t xml:space="preserve">por </w:t>
      </w:r>
      <w:r w:rsidR="00CF7603" w:rsidRPr="00A7652F">
        <w:rPr>
          <w:rFonts w:ascii="Arial" w:eastAsia="Calibri" w:hAnsi="Arial" w:cs="Arial"/>
          <w:bCs/>
          <w:lang w:val="es-MX" w:eastAsia="es-ES_tradnl"/>
        </w:rPr>
        <w:t>la terminación o la no renovación del contrato por causa o con ocasión del embarazo o la lactancia</w:t>
      </w:r>
      <w:r w:rsidR="00974E0A" w:rsidRPr="00A7652F">
        <w:rPr>
          <w:rFonts w:ascii="Arial" w:eastAsia="Calibri" w:hAnsi="Arial" w:cs="Arial"/>
          <w:bCs/>
          <w:lang w:val="es-MX" w:eastAsia="es-ES_tradnl"/>
        </w:rPr>
        <w:t>.</w:t>
      </w:r>
    </w:p>
    <w:p w14:paraId="44CB1DF8" w14:textId="77777777" w:rsidR="0010131C" w:rsidRPr="00A7652F" w:rsidRDefault="0010131C" w:rsidP="00E95221">
      <w:pPr>
        <w:shd w:val="clear" w:color="auto" w:fill="FFFFFF"/>
        <w:spacing w:after="0" w:line="276" w:lineRule="auto"/>
        <w:ind w:firstLine="709"/>
        <w:jc w:val="both"/>
        <w:rPr>
          <w:rFonts w:ascii="Arial" w:eastAsia="Times New Roman" w:hAnsi="Arial" w:cs="Arial"/>
          <w:lang w:eastAsia="es-ES_tradnl"/>
        </w:rPr>
      </w:pPr>
    </w:p>
    <w:p w14:paraId="5F9F2A9E" w14:textId="6EA829FA" w:rsidR="005F2C99" w:rsidRPr="00A7652F" w:rsidRDefault="005F2C99" w:rsidP="00107DC8">
      <w:pPr>
        <w:widowControl w:val="0"/>
        <w:autoSpaceDE w:val="0"/>
        <w:autoSpaceDN w:val="0"/>
        <w:spacing w:after="0" w:line="276" w:lineRule="auto"/>
        <w:contextualSpacing/>
        <w:jc w:val="both"/>
        <w:rPr>
          <w:rFonts w:ascii="Arial" w:eastAsia="Times New Roman" w:hAnsi="Arial" w:cs="Arial"/>
          <w:lang w:eastAsia="es-ES_tradnl"/>
        </w:rPr>
      </w:pPr>
      <w:r w:rsidRPr="00A7652F">
        <w:rPr>
          <w:rFonts w:ascii="Arial" w:eastAsia="Calibri" w:hAnsi="Arial" w:cs="Arial"/>
        </w:rPr>
        <w:t>Este concepto tiene el alcance previsto en el artículo 28 del Código de Procedimiento Administrativo y de lo Contencioso Administrativo.</w:t>
      </w:r>
    </w:p>
    <w:p w14:paraId="693839C2" w14:textId="77777777" w:rsidR="00107DC8" w:rsidRPr="00A7652F" w:rsidRDefault="00107DC8" w:rsidP="005F2C99">
      <w:pPr>
        <w:spacing w:after="120" w:line="276" w:lineRule="auto"/>
        <w:jc w:val="both"/>
        <w:rPr>
          <w:rFonts w:ascii="Arial" w:eastAsia="Times New Roman" w:hAnsi="Arial" w:cs="Arial"/>
          <w:lang w:eastAsia="es-ES_tradnl"/>
        </w:rPr>
      </w:pPr>
    </w:p>
    <w:p w14:paraId="4F19FDEF" w14:textId="0B66ADEC" w:rsidR="005F2C99" w:rsidRPr="00A7652F" w:rsidRDefault="005F2C99" w:rsidP="005F2C99">
      <w:pPr>
        <w:spacing w:after="200" w:line="276" w:lineRule="auto"/>
        <w:jc w:val="both"/>
        <w:rPr>
          <w:rFonts w:ascii="Arial" w:eastAsia="Times New Roman" w:hAnsi="Arial" w:cs="Arial"/>
          <w:lang w:eastAsia="es-CO"/>
        </w:rPr>
      </w:pPr>
      <w:r w:rsidRPr="00A7652F">
        <w:rPr>
          <w:rFonts w:ascii="Arial" w:eastAsia="Times New Roman" w:hAnsi="Arial" w:cs="Arial"/>
          <w:lang w:eastAsia="es-CO"/>
        </w:rPr>
        <w:t>Atentamente,</w:t>
      </w:r>
    </w:p>
    <w:bookmarkEnd w:id="1"/>
    <w:bookmarkEnd w:id="12"/>
    <w:p w14:paraId="332FA98B" w14:textId="45EE7629" w:rsidR="005F2C99" w:rsidRPr="00A7652F" w:rsidRDefault="00F91C4E" w:rsidP="005F2C99">
      <w:pPr>
        <w:spacing w:after="200" w:line="276" w:lineRule="auto"/>
        <w:jc w:val="center"/>
        <w:rPr>
          <w:rFonts w:ascii="Arial" w:eastAsia="Calibri" w:hAnsi="Arial" w:cs="Arial"/>
          <w:b/>
          <w:bCs/>
          <w:sz w:val="20"/>
          <w:szCs w:val="20"/>
          <w:lang w:val="es-MX"/>
        </w:rPr>
      </w:pPr>
      <w:r w:rsidRPr="00A7652F">
        <w:rPr>
          <w:rFonts w:ascii="Arial" w:hAnsi="Arial" w:cs="Arial"/>
          <w:noProof/>
          <w:color w:val="3B3838"/>
          <w:sz w:val="18"/>
          <w:szCs w:val="18"/>
          <w:shd w:val="clear" w:color="auto" w:fill="FFFFFF"/>
          <w:lang w:val="es-ES"/>
        </w:rPr>
        <w:lastRenderedPageBreak/>
        <w:drawing>
          <wp:inline distT="0" distB="0" distL="0" distR="0" wp14:anchorId="4493EAFD" wp14:editId="40C8B93B">
            <wp:extent cx="3152775" cy="120967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sidRPr="00A7652F">
        <w:rPr>
          <w:rFonts w:ascii="Arial" w:hAnsi="Arial" w:cs="Arial"/>
          <w:b/>
          <w:bCs/>
          <w:color w:val="000000"/>
          <w:sz w:val="18"/>
          <w:szCs w:val="18"/>
          <w:shd w:val="clear" w:color="auto" w:fill="FFFFFF"/>
          <w:lang w:val="es-ES"/>
        </w:rPr>
        <w:br/>
      </w:r>
      <w:r w:rsidR="006C0B11" w:rsidRPr="00A7652F">
        <w:rPr>
          <w:rFonts w:ascii="Arial" w:hAnsi="Arial" w:cs="Arial"/>
          <w:color w:val="3B3838"/>
          <w:sz w:val="18"/>
          <w:szCs w:val="18"/>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9018FF" w:rsidRPr="00A7652F" w14:paraId="584AEA3C" w14:textId="77777777" w:rsidTr="00970536">
        <w:trPr>
          <w:trHeight w:val="315"/>
        </w:trPr>
        <w:tc>
          <w:tcPr>
            <w:tcW w:w="812" w:type="dxa"/>
            <w:vAlign w:val="center"/>
            <w:hideMark/>
          </w:tcPr>
          <w:p w14:paraId="46880CAB" w14:textId="77777777" w:rsidR="005F2C99" w:rsidRPr="00A7652F" w:rsidRDefault="005F2C99" w:rsidP="00970536">
            <w:pPr>
              <w:rPr>
                <w:rFonts w:ascii="Arial" w:eastAsia="Times New Roman" w:hAnsi="Arial" w:cs="Arial"/>
                <w:sz w:val="16"/>
                <w:szCs w:val="16"/>
                <w:lang w:eastAsia="es-ES"/>
              </w:rPr>
            </w:pPr>
            <w:r w:rsidRPr="00A7652F">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6C5AC76C" w14:textId="0E4421D9" w:rsidR="005F2C99" w:rsidRPr="00A7652F" w:rsidRDefault="00B808EE" w:rsidP="00970536">
            <w:pPr>
              <w:rPr>
                <w:rFonts w:ascii="Arial" w:eastAsia="Times New Roman" w:hAnsi="Arial" w:cs="Arial"/>
                <w:sz w:val="16"/>
                <w:szCs w:val="16"/>
                <w:lang w:eastAsia="es-ES"/>
              </w:rPr>
            </w:pPr>
            <w:r w:rsidRPr="00A7652F">
              <w:rPr>
                <w:rFonts w:ascii="Arial" w:eastAsia="Times New Roman" w:hAnsi="Arial" w:cs="Arial"/>
                <w:sz w:val="16"/>
                <w:szCs w:val="16"/>
                <w:lang w:eastAsia="es-ES"/>
              </w:rPr>
              <w:t>Nasly Yeana Mosquera Rivas</w:t>
            </w:r>
          </w:p>
          <w:p w14:paraId="71A16920" w14:textId="10797DF3" w:rsidR="005F2C99" w:rsidRPr="00A7652F" w:rsidRDefault="00B808EE" w:rsidP="00970536">
            <w:pPr>
              <w:rPr>
                <w:rFonts w:ascii="Arial" w:eastAsia="Times New Roman" w:hAnsi="Arial" w:cs="Arial"/>
                <w:sz w:val="16"/>
                <w:szCs w:val="16"/>
                <w:lang w:eastAsia="es-ES"/>
              </w:rPr>
            </w:pPr>
            <w:r w:rsidRPr="00A7652F">
              <w:rPr>
                <w:rFonts w:ascii="Arial" w:eastAsia="Times New Roman" w:hAnsi="Arial" w:cs="Arial"/>
                <w:sz w:val="16"/>
                <w:szCs w:val="16"/>
                <w:lang w:eastAsia="es-ES"/>
              </w:rPr>
              <w:t>Analista T2</w:t>
            </w:r>
            <w:r w:rsidR="004544D9" w:rsidRPr="00A7652F">
              <w:rPr>
                <w:rFonts w:ascii="Arial" w:eastAsia="Times New Roman" w:hAnsi="Arial" w:cs="Arial"/>
                <w:sz w:val="16"/>
                <w:szCs w:val="16"/>
                <w:lang w:eastAsia="es-ES"/>
              </w:rPr>
              <w:t>–06</w:t>
            </w:r>
            <w:r w:rsidR="005F2C99" w:rsidRPr="00A7652F">
              <w:rPr>
                <w:rFonts w:ascii="Arial" w:eastAsia="Times New Roman" w:hAnsi="Arial" w:cs="Arial"/>
                <w:sz w:val="16"/>
                <w:szCs w:val="16"/>
                <w:lang w:eastAsia="es-ES"/>
              </w:rPr>
              <w:t xml:space="preserve"> de la Subdirección de Gestión Contractual</w:t>
            </w:r>
          </w:p>
        </w:tc>
      </w:tr>
      <w:tr w:rsidR="009018FF" w:rsidRPr="00A7652F" w14:paraId="7CEA7F81" w14:textId="77777777" w:rsidTr="00970536">
        <w:trPr>
          <w:trHeight w:val="330"/>
        </w:trPr>
        <w:tc>
          <w:tcPr>
            <w:tcW w:w="812" w:type="dxa"/>
            <w:vAlign w:val="center"/>
            <w:hideMark/>
          </w:tcPr>
          <w:p w14:paraId="4D08D225" w14:textId="77777777" w:rsidR="005F2C99" w:rsidRPr="00A7652F" w:rsidRDefault="005F2C99" w:rsidP="00970536">
            <w:pPr>
              <w:rPr>
                <w:rFonts w:ascii="Arial" w:eastAsia="Times New Roman" w:hAnsi="Arial" w:cs="Arial"/>
                <w:sz w:val="16"/>
                <w:szCs w:val="16"/>
                <w:lang w:eastAsia="es-ES"/>
              </w:rPr>
            </w:pPr>
            <w:r w:rsidRPr="00A7652F">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6672A0D1" w14:textId="32B44371" w:rsidR="005F2C99" w:rsidRPr="00A7652F" w:rsidRDefault="006C0B11" w:rsidP="00970536">
            <w:pPr>
              <w:rPr>
                <w:rFonts w:ascii="Arial" w:eastAsia="Times New Roman" w:hAnsi="Arial" w:cs="Arial"/>
                <w:sz w:val="16"/>
                <w:szCs w:val="16"/>
                <w:lang w:eastAsia="es-ES"/>
              </w:rPr>
            </w:pPr>
            <w:r w:rsidRPr="00A7652F">
              <w:rPr>
                <w:rFonts w:ascii="Arial" w:eastAsia="Times New Roman" w:hAnsi="Arial" w:cs="Arial"/>
                <w:sz w:val="16"/>
                <w:szCs w:val="16"/>
                <w:lang w:eastAsia="es-ES"/>
              </w:rPr>
              <w:t>Diana Lucía Saavedra</w:t>
            </w:r>
          </w:p>
          <w:p w14:paraId="569067C9" w14:textId="5E39F07B" w:rsidR="005F2C99" w:rsidRPr="00A7652F" w:rsidRDefault="006C0B11" w:rsidP="00970536">
            <w:pPr>
              <w:rPr>
                <w:rFonts w:ascii="Arial" w:eastAsia="Times New Roman" w:hAnsi="Arial" w:cs="Arial"/>
                <w:sz w:val="16"/>
                <w:szCs w:val="16"/>
                <w:lang w:eastAsia="es-ES"/>
              </w:rPr>
            </w:pPr>
            <w:r w:rsidRPr="00A7652F">
              <w:rPr>
                <w:rFonts w:ascii="Arial" w:eastAsia="Times New Roman" w:hAnsi="Arial" w:cs="Arial"/>
                <w:sz w:val="16"/>
                <w:szCs w:val="16"/>
                <w:lang w:eastAsia="es-ES"/>
              </w:rPr>
              <w:t>Contratista</w:t>
            </w:r>
            <w:r w:rsidR="005F2C99" w:rsidRPr="00A7652F">
              <w:rPr>
                <w:rFonts w:ascii="Arial" w:eastAsia="Times New Roman" w:hAnsi="Arial" w:cs="Arial"/>
                <w:sz w:val="16"/>
                <w:szCs w:val="16"/>
                <w:lang w:eastAsia="es-ES"/>
              </w:rPr>
              <w:t xml:space="preserve"> de la Subdirección de Gestión Contractual</w:t>
            </w:r>
          </w:p>
        </w:tc>
      </w:tr>
      <w:tr w:rsidR="009018FF" w:rsidRPr="00A7652F" w14:paraId="6F7A325B" w14:textId="77777777" w:rsidTr="00970536">
        <w:trPr>
          <w:trHeight w:val="300"/>
        </w:trPr>
        <w:tc>
          <w:tcPr>
            <w:tcW w:w="812" w:type="dxa"/>
            <w:vAlign w:val="center"/>
            <w:hideMark/>
          </w:tcPr>
          <w:p w14:paraId="4B2A70DF" w14:textId="77777777" w:rsidR="005F2C99" w:rsidRPr="00A7652F" w:rsidRDefault="005F2C99" w:rsidP="00970536">
            <w:pPr>
              <w:rPr>
                <w:rFonts w:ascii="Arial" w:eastAsia="Times New Roman" w:hAnsi="Arial" w:cs="Arial"/>
                <w:sz w:val="16"/>
                <w:szCs w:val="16"/>
                <w:lang w:eastAsia="es-ES"/>
              </w:rPr>
            </w:pPr>
            <w:r w:rsidRPr="00A7652F">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36390257" w14:textId="25F28895" w:rsidR="005F2C99" w:rsidRPr="00A7652F" w:rsidRDefault="006C0B11" w:rsidP="00970536">
            <w:pPr>
              <w:rPr>
                <w:rFonts w:ascii="Arial" w:eastAsia="Times New Roman" w:hAnsi="Arial" w:cs="Arial"/>
                <w:sz w:val="16"/>
                <w:szCs w:val="16"/>
                <w:lang w:eastAsia="es-ES"/>
              </w:rPr>
            </w:pPr>
            <w:r w:rsidRPr="00A7652F">
              <w:rPr>
                <w:rFonts w:ascii="Arial" w:eastAsia="Times New Roman" w:hAnsi="Arial" w:cs="Arial"/>
                <w:sz w:val="16"/>
                <w:szCs w:val="16"/>
                <w:lang w:eastAsia="es-ES"/>
              </w:rPr>
              <w:t>Nohelia del Carme</w:t>
            </w:r>
            <w:r w:rsidR="00107DC8" w:rsidRPr="00A7652F">
              <w:rPr>
                <w:rFonts w:ascii="Arial" w:eastAsia="Times New Roman" w:hAnsi="Arial" w:cs="Arial"/>
                <w:sz w:val="16"/>
                <w:szCs w:val="16"/>
                <w:lang w:eastAsia="es-ES"/>
              </w:rPr>
              <w:t>n</w:t>
            </w:r>
            <w:r w:rsidRPr="00A7652F">
              <w:rPr>
                <w:rFonts w:ascii="Arial" w:eastAsia="Times New Roman" w:hAnsi="Arial" w:cs="Arial"/>
                <w:sz w:val="16"/>
                <w:szCs w:val="16"/>
                <w:lang w:eastAsia="es-ES"/>
              </w:rPr>
              <w:t xml:space="preserve"> Zawady Palacio</w:t>
            </w:r>
          </w:p>
          <w:p w14:paraId="441B8997" w14:textId="1B24DA80" w:rsidR="005F2C99" w:rsidRPr="00A7652F" w:rsidRDefault="005F2C99" w:rsidP="00970536">
            <w:pPr>
              <w:rPr>
                <w:rFonts w:ascii="Arial" w:eastAsia="Times New Roman" w:hAnsi="Arial" w:cs="Arial"/>
                <w:sz w:val="16"/>
                <w:szCs w:val="16"/>
                <w:lang w:eastAsia="es-ES"/>
              </w:rPr>
            </w:pPr>
            <w:r w:rsidRPr="00A7652F">
              <w:rPr>
                <w:rFonts w:ascii="Arial" w:eastAsia="Times New Roman" w:hAnsi="Arial" w:cs="Arial"/>
                <w:sz w:val="16"/>
                <w:szCs w:val="16"/>
                <w:lang w:eastAsia="es-ES"/>
              </w:rPr>
              <w:t>Subdirector</w:t>
            </w:r>
            <w:r w:rsidR="006C0B11" w:rsidRPr="00A7652F">
              <w:rPr>
                <w:rFonts w:ascii="Arial" w:eastAsia="Times New Roman" w:hAnsi="Arial" w:cs="Arial"/>
                <w:sz w:val="16"/>
                <w:szCs w:val="16"/>
                <w:lang w:eastAsia="es-ES"/>
              </w:rPr>
              <w:t>a</w:t>
            </w:r>
            <w:r w:rsidR="00B808EE" w:rsidRPr="00A7652F">
              <w:rPr>
                <w:rFonts w:ascii="Arial" w:eastAsia="Times New Roman" w:hAnsi="Arial" w:cs="Arial"/>
                <w:sz w:val="16"/>
                <w:szCs w:val="16"/>
                <w:lang w:eastAsia="es-ES"/>
              </w:rPr>
              <w:t xml:space="preserve"> </w:t>
            </w:r>
            <w:r w:rsidRPr="00A7652F">
              <w:rPr>
                <w:rFonts w:ascii="Arial" w:eastAsia="Times New Roman" w:hAnsi="Arial" w:cs="Arial"/>
                <w:sz w:val="16"/>
                <w:szCs w:val="16"/>
                <w:lang w:eastAsia="es-ES"/>
              </w:rPr>
              <w:t>de Gestión Contractual</w:t>
            </w:r>
            <w:r w:rsidR="001C0FA4" w:rsidRPr="00A7652F">
              <w:rPr>
                <w:rFonts w:ascii="Arial" w:eastAsia="Times New Roman" w:hAnsi="Arial" w:cs="Arial"/>
                <w:sz w:val="16"/>
                <w:szCs w:val="16"/>
                <w:lang w:eastAsia="es-ES"/>
              </w:rPr>
              <w:t xml:space="preserve"> </w:t>
            </w:r>
            <w:r w:rsidRPr="00A7652F">
              <w:rPr>
                <w:rFonts w:ascii="Arial" w:eastAsia="Times New Roman" w:hAnsi="Arial" w:cs="Arial"/>
                <w:sz w:val="16"/>
                <w:szCs w:val="16"/>
                <w:lang w:eastAsia="es-ES"/>
              </w:rPr>
              <w:t>ANCP – CCE</w:t>
            </w:r>
          </w:p>
        </w:tc>
      </w:tr>
      <w:bookmarkEnd w:id="0"/>
      <w:bookmarkEnd w:id="2"/>
      <w:bookmarkEnd w:id="3"/>
    </w:tbl>
    <w:p w14:paraId="127622CE" w14:textId="77777777" w:rsidR="001A0166" w:rsidRPr="00A7652F" w:rsidRDefault="001A0166" w:rsidP="004B5310">
      <w:pPr>
        <w:rPr>
          <w:rFonts w:ascii="Arial" w:hAnsi="Arial" w:cs="Arial"/>
        </w:rPr>
      </w:pPr>
    </w:p>
    <w:sectPr w:rsidR="001A0166" w:rsidRPr="00A7652F" w:rsidSect="002C3290">
      <w:headerReference w:type="default" r:id="rId14"/>
      <w:footerReference w:type="default" r:id="rId15"/>
      <w:pgSz w:w="12240" w:h="15840"/>
      <w:pgMar w:top="411" w:right="2317" w:bottom="1276"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2C48" w14:textId="77777777" w:rsidR="00161A21" w:rsidRDefault="00161A21" w:rsidP="005F2C99">
      <w:pPr>
        <w:spacing w:after="0" w:line="240" w:lineRule="auto"/>
      </w:pPr>
      <w:r>
        <w:separator/>
      </w:r>
    </w:p>
  </w:endnote>
  <w:endnote w:type="continuationSeparator" w:id="0">
    <w:p w14:paraId="79DA056A" w14:textId="77777777" w:rsidR="00161A21" w:rsidRDefault="00161A21" w:rsidP="005F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Geomanist Ligh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FB49" w14:textId="77777777" w:rsidR="00412132" w:rsidRDefault="008557EB" w:rsidP="00B6444C">
    <w:pPr>
      <w:pStyle w:val="Sinespaciado"/>
      <w:rPr>
        <w:rFonts w:ascii="Arial" w:hAnsi="Arial" w:cs="Arial"/>
        <w:sz w:val="18"/>
        <w:szCs w:val="18"/>
      </w:rPr>
    </w:pPr>
  </w:p>
  <w:p w14:paraId="606F09B1" w14:textId="77777777" w:rsidR="00412132" w:rsidRDefault="008557EB" w:rsidP="00B6444C">
    <w:pPr>
      <w:pStyle w:val="Sinespaciado"/>
      <w:rPr>
        <w:rFonts w:ascii="Arial" w:hAnsi="Arial" w:cs="Arial"/>
        <w:sz w:val="18"/>
        <w:szCs w:val="18"/>
      </w:rPr>
    </w:pPr>
  </w:p>
  <w:p w14:paraId="1ED3B3FA" w14:textId="77777777" w:rsidR="00412132" w:rsidRPr="00921225" w:rsidRDefault="003D3689" w:rsidP="005A79FE">
    <w:pPr>
      <w:pStyle w:val="Piedepgina"/>
      <w:jc w:val="right"/>
      <w:rPr>
        <w:rFonts w:ascii="Arial" w:hAnsi="Arial" w:cs="Arial"/>
        <w:color w:val="7F7F7F"/>
        <w:sz w:val="16"/>
        <w:szCs w:val="16"/>
      </w:rPr>
    </w:pPr>
    <w:r w:rsidRPr="00921225">
      <w:rPr>
        <w:rFonts w:ascii="Arial" w:hAnsi="Arial" w:cs="Arial"/>
        <w:bCs/>
        <w:color w:val="7F7F7F"/>
        <w:sz w:val="16"/>
        <w:szCs w:val="16"/>
      </w:rPr>
      <w:t xml:space="preserve">Página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PAGE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r w:rsidRPr="00921225">
      <w:rPr>
        <w:rFonts w:ascii="Arial" w:hAnsi="Arial" w:cs="Arial"/>
        <w:color w:val="7F7F7F"/>
        <w:sz w:val="16"/>
        <w:szCs w:val="16"/>
      </w:rPr>
      <w:t xml:space="preserve"> de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NUMPAGES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p>
  <w:p w14:paraId="3AAC4E25" w14:textId="1B3DE0B6" w:rsidR="00412132" w:rsidRDefault="00A67673" w:rsidP="007B0854">
    <w:pPr>
      <w:pStyle w:val="Piedepgina"/>
      <w:jc w:val="center"/>
      <w:rPr>
        <w:lang w:val="es-ES"/>
      </w:rPr>
    </w:pPr>
    <w:r w:rsidRPr="0043608C">
      <w:rPr>
        <w:rFonts w:ascii="Arial" w:hAnsi="Arial" w:cs="Arial"/>
        <w:bCs/>
        <w:noProof/>
        <w:color w:val="7F7F7F" w:themeColor="text1" w:themeTint="80"/>
        <w:sz w:val="16"/>
        <w:szCs w:val="16"/>
      </w:rPr>
      <w:drawing>
        <wp:inline distT="0" distB="0" distL="0" distR="0" wp14:anchorId="2FE26B81" wp14:editId="58C9DF7F">
          <wp:extent cx="5220970" cy="827038"/>
          <wp:effectExtent l="0" t="0" r="0" b="0"/>
          <wp:docPr id="24" name="Imagen 2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Texto&#10;&#10;Descripción generada automáticamente"/>
                  <pic:cNvPicPr/>
                </pic:nvPicPr>
                <pic:blipFill>
                  <a:blip r:embed="rId1"/>
                  <a:stretch>
                    <a:fillRect/>
                  </a:stretch>
                </pic:blipFill>
                <pic:spPr>
                  <a:xfrm>
                    <a:off x="0" y="0"/>
                    <a:ext cx="5220970" cy="827038"/>
                  </a:xfrm>
                  <a:prstGeom prst="rect">
                    <a:avLst/>
                  </a:prstGeom>
                </pic:spPr>
              </pic:pic>
            </a:graphicData>
          </a:graphic>
        </wp:inline>
      </w:drawing>
    </w:r>
  </w:p>
  <w:p w14:paraId="7F3EB07D" w14:textId="77777777" w:rsidR="00412132" w:rsidRDefault="008557EB" w:rsidP="007B0854">
    <w:pPr>
      <w:pStyle w:val="Piedepgina"/>
      <w:jc w:val="center"/>
      <w:rPr>
        <w:lang w:val="es-ES"/>
      </w:rPr>
    </w:pPr>
  </w:p>
  <w:p w14:paraId="23059D74" w14:textId="77777777" w:rsidR="00412132" w:rsidRPr="007B0854" w:rsidRDefault="008557EB"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465E" w14:textId="77777777" w:rsidR="00161A21" w:rsidRDefault="00161A21" w:rsidP="005F2C99">
      <w:pPr>
        <w:spacing w:after="0" w:line="240" w:lineRule="auto"/>
      </w:pPr>
      <w:r>
        <w:separator/>
      </w:r>
    </w:p>
  </w:footnote>
  <w:footnote w:type="continuationSeparator" w:id="0">
    <w:p w14:paraId="2D9E7D2C" w14:textId="77777777" w:rsidR="00161A21" w:rsidRDefault="00161A21" w:rsidP="005F2C99">
      <w:pPr>
        <w:spacing w:after="0" w:line="240" w:lineRule="auto"/>
      </w:pPr>
      <w:r>
        <w:continuationSeparator/>
      </w:r>
    </w:p>
  </w:footnote>
  <w:footnote w:id="1">
    <w:p w14:paraId="2CC7CE3F" w14:textId="77777777" w:rsidR="00BF3588" w:rsidRDefault="00BF3588" w:rsidP="00BF3588">
      <w:pPr>
        <w:pStyle w:val="Textonotapie"/>
        <w:ind w:firstLine="708"/>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69499F5" w14:textId="13681B76" w:rsidR="002B750D" w:rsidRPr="00A7652F" w:rsidRDefault="002B750D" w:rsidP="00B82F94">
      <w:pPr>
        <w:pStyle w:val="Textonotapie"/>
        <w:spacing w:line="240" w:lineRule="auto"/>
        <w:rPr>
          <w:rFonts w:ascii="Arial" w:hAnsi="Arial" w:cs="Arial"/>
        </w:rPr>
      </w:pPr>
      <w:r w:rsidRPr="00A7652F">
        <w:rPr>
          <w:rStyle w:val="Refdenotaalpie"/>
          <w:rFonts w:ascii="Arial" w:hAnsi="Arial" w:cs="Arial"/>
        </w:rPr>
        <w:footnoteRef/>
      </w:r>
      <w:r w:rsidRPr="00A7652F">
        <w:rPr>
          <w:rFonts w:ascii="Arial" w:hAnsi="Arial" w:cs="Arial"/>
        </w:rPr>
        <w:t xml:space="preserve"> </w:t>
      </w:r>
      <w:r w:rsidRPr="00A7652F">
        <w:rPr>
          <w:rFonts w:ascii="Arial" w:hAnsi="Arial" w:cs="Arial"/>
          <w:sz w:val="18"/>
          <w:szCs w:val="18"/>
        </w:rPr>
        <w:t>De igual forma la Agencia de Nacional de Contratación Pública -Colombia Compra Eficiente- trat</w:t>
      </w:r>
      <w:r w:rsidR="00C33B67" w:rsidRPr="00A7652F">
        <w:rPr>
          <w:rFonts w:ascii="Arial" w:hAnsi="Arial" w:cs="Arial"/>
          <w:sz w:val="18"/>
          <w:szCs w:val="18"/>
        </w:rPr>
        <w:t>ó</w:t>
      </w:r>
      <w:r w:rsidRPr="00A7652F">
        <w:rPr>
          <w:rFonts w:ascii="Arial" w:hAnsi="Arial" w:cs="Arial"/>
          <w:sz w:val="18"/>
          <w:szCs w:val="18"/>
        </w:rPr>
        <w:t xml:space="preserve"> el tema objeto de estudio en conceptos del año 2019, identificados con los radicados </w:t>
      </w:r>
      <w:r w:rsidRPr="00A7652F">
        <w:rPr>
          <w:rFonts w:ascii="Arial" w:eastAsia="Calibri" w:hAnsi="Arial" w:cs="Arial"/>
          <w:sz w:val="18"/>
          <w:szCs w:val="18"/>
        </w:rPr>
        <w:t>No. 4201913000004738 del 28 de agosto de 2019, 4201913000004742</w:t>
      </w:r>
      <w:r w:rsidR="00B82F94" w:rsidRPr="00A7652F">
        <w:rPr>
          <w:rFonts w:ascii="Arial" w:eastAsia="Calibri" w:hAnsi="Arial" w:cs="Arial"/>
          <w:sz w:val="18"/>
          <w:szCs w:val="18"/>
        </w:rPr>
        <w:t xml:space="preserve"> del 28 de agosto de 2019</w:t>
      </w:r>
      <w:r w:rsidRPr="00A7652F">
        <w:rPr>
          <w:rFonts w:ascii="Arial" w:eastAsia="Calibri" w:hAnsi="Arial" w:cs="Arial"/>
          <w:sz w:val="18"/>
          <w:szCs w:val="18"/>
        </w:rPr>
        <w:t>, 4201913000005174</w:t>
      </w:r>
      <w:r w:rsidR="00B82F94" w:rsidRPr="00A7652F">
        <w:rPr>
          <w:rFonts w:ascii="Arial" w:eastAsia="Calibri" w:hAnsi="Arial" w:cs="Arial"/>
          <w:sz w:val="18"/>
          <w:szCs w:val="18"/>
        </w:rPr>
        <w:t xml:space="preserve"> del 21 de agosto de 2019</w:t>
      </w:r>
      <w:r w:rsidRPr="00A7652F">
        <w:rPr>
          <w:rFonts w:ascii="Arial" w:eastAsia="Calibri" w:hAnsi="Arial" w:cs="Arial"/>
          <w:sz w:val="18"/>
          <w:szCs w:val="18"/>
        </w:rPr>
        <w:t>, 4201913000005216</w:t>
      </w:r>
      <w:r w:rsidR="00B82F94" w:rsidRPr="00A7652F">
        <w:rPr>
          <w:rFonts w:ascii="Arial" w:eastAsia="Calibri" w:hAnsi="Arial" w:cs="Arial"/>
          <w:sz w:val="18"/>
          <w:szCs w:val="18"/>
        </w:rPr>
        <w:t xml:space="preserve"> del 13 de agosto de 2019</w:t>
      </w:r>
      <w:r w:rsidRPr="00A7652F">
        <w:rPr>
          <w:rFonts w:ascii="Arial" w:eastAsia="Calibri" w:hAnsi="Arial" w:cs="Arial"/>
          <w:sz w:val="18"/>
          <w:szCs w:val="18"/>
        </w:rPr>
        <w:t>, 4201913000005230</w:t>
      </w:r>
      <w:r w:rsidR="00B82F94" w:rsidRPr="00A7652F">
        <w:rPr>
          <w:rFonts w:ascii="Arial" w:eastAsia="Calibri" w:hAnsi="Arial" w:cs="Arial"/>
          <w:sz w:val="18"/>
          <w:szCs w:val="18"/>
        </w:rPr>
        <w:t xml:space="preserve"> del 21 de agosto de 2019</w:t>
      </w:r>
      <w:r w:rsidRPr="00A7652F">
        <w:rPr>
          <w:rFonts w:ascii="Arial" w:eastAsia="Calibri" w:hAnsi="Arial" w:cs="Arial"/>
          <w:sz w:val="18"/>
          <w:szCs w:val="18"/>
        </w:rPr>
        <w:t>, 4201912000005860</w:t>
      </w:r>
      <w:r w:rsidR="00B82F94" w:rsidRPr="00A7652F">
        <w:rPr>
          <w:rFonts w:ascii="Arial" w:eastAsia="Calibri" w:hAnsi="Arial" w:cs="Arial"/>
          <w:sz w:val="18"/>
          <w:szCs w:val="18"/>
        </w:rPr>
        <w:t xml:space="preserve"> del 30 de septiembre de 2019</w:t>
      </w:r>
      <w:r w:rsidRPr="00A7652F">
        <w:rPr>
          <w:rFonts w:ascii="Arial" w:eastAsia="Calibri" w:hAnsi="Arial" w:cs="Arial"/>
          <w:sz w:val="18"/>
          <w:szCs w:val="18"/>
        </w:rPr>
        <w:t>, 4201912000005902</w:t>
      </w:r>
      <w:r w:rsidR="00B82F94" w:rsidRPr="00A7652F">
        <w:rPr>
          <w:rFonts w:ascii="Arial" w:eastAsia="Calibri" w:hAnsi="Arial" w:cs="Arial"/>
          <w:sz w:val="18"/>
          <w:szCs w:val="18"/>
        </w:rPr>
        <w:t xml:space="preserve"> del 16 de octubre de 2019</w:t>
      </w:r>
      <w:r w:rsidRPr="00A7652F">
        <w:rPr>
          <w:rFonts w:ascii="Arial" w:eastAsia="Calibri" w:hAnsi="Arial" w:cs="Arial"/>
          <w:sz w:val="18"/>
          <w:szCs w:val="18"/>
        </w:rPr>
        <w:t>, 4201913000005944</w:t>
      </w:r>
      <w:r w:rsidR="00B82F94" w:rsidRPr="00A7652F">
        <w:rPr>
          <w:rFonts w:ascii="Arial" w:eastAsia="Calibri" w:hAnsi="Arial" w:cs="Arial"/>
          <w:sz w:val="18"/>
          <w:szCs w:val="18"/>
        </w:rPr>
        <w:t xml:space="preserve"> del 7 de octubre de 2019</w:t>
      </w:r>
      <w:r w:rsidRPr="00A7652F">
        <w:rPr>
          <w:rFonts w:ascii="Arial" w:eastAsia="Calibri" w:hAnsi="Arial" w:cs="Arial"/>
          <w:sz w:val="18"/>
          <w:szCs w:val="18"/>
        </w:rPr>
        <w:t>, 4201913000006018</w:t>
      </w:r>
      <w:r w:rsidR="00B82F94" w:rsidRPr="00A7652F">
        <w:rPr>
          <w:rFonts w:ascii="Arial" w:eastAsia="Calibri" w:hAnsi="Arial" w:cs="Arial"/>
          <w:sz w:val="18"/>
          <w:szCs w:val="18"/>
        </w:rPr>
        <w:t xml:space="preserve"> del 10 de octubre de 2019</w:t>
      </w:r>
      <w:r w:rsidRPr="00A7652F">
        <w:rPr>
          <w:rFonts w:ascii="Arial" w:eastAsia="Calibri" w:hAnsi="Arial" w:cs="Arial"/>
          <w:sz w:val="18"/>
          <w:szCs w:val="18"/>
        </w:rPr>
        <w:t xml:space="preserve">, </w:t>
      </w:r>
      <w:r w:rsidR="00B82F94" w:rsidRPr="00A7652F">
        <w:rPr>
          <w:rFonts w:ascii="Arial" w:eastAsia="Calibri" w:hAnsi="Arial" w:cs="Arial"/>
          <w:sz w:val="18"/>
          <w:szCs w:val="18"/>
        </w:rPr>
        <w:t>4201912000005902 del 16 de octubre de  2019</w:t>
      </w:r>
      <w:r w:rsidRPr="00A7652F">
        <w:rPr>
          <w:rFonts w:ascii="Arial" w:eastAsia="Calibri" w:hAnsi="Arial" w:cs="Arial"/>
          <w:sz w:val="18"/>
          <w:szCs w:val="18"/>
        </w:rPr>
        <w:t xml:space="preserve">, </w:t>
      </w:r>
      <w:r w:rsidR="00B82F94" w:rsidRPr="00A7652F">
        <w:rPr>
          <w:rFonts w:ascii="Arial" w:eastAsia="Calibri" w:hAnsi="Arial" w:cs="Arial"/>
          <w:sz w:val="18"/>
          <w:szCs w:val="18"/>
        </w:rPr>
        <w:t>4201913000006444 del 1 de noviembre de 2019</w:t>
      </w:r>
      <w:r w:rsidRPr="00A7652F">
        <w:rPr>
          <w:rFonts w:ascii="Arial" w:eastAsia="Calibri" w:hAnsi="Arial" w:cs="Arial"/>
          <w:sz w:val="18"/>
          <w:szCs w:val="18"/>
        </w:rPr>
        <w:t xml:space="preserve">, </w:t>
      </w:r>
      <w:r w:rsidR="00B82F94" w:rsidRPr="00A7652F">
        <w:rPr>
          <w:rFonts w:ascii="Arial" w:eastAsia="Calibri" w:hAnsi="Arial" w:cs="Arial"/>
          <w:sz w:val="18"/>
          <w:szCs w:val="18"/>
        </w:rPr>
        <w:t>4201912000006692 del 12 de noviembre de 2019</w:t>
      </w:r>
      <w:r w:rsidRPr="00A7652F">
        <w:rPr>
          <w:rFonts w:ascii="Arial" w:eastAsia="Calibri" w:hAnsi="Arial" w:cs="Arial"/>
          <w:sz w:val="18"/>
          <w:szCs w:val="18"/>
        </w:rPr>
        <w:t xml:space="preserve">, </w:t>
      </w:r>
      <w:r w:rsidR="00B82F94" w:rsidRPr="00A7652F">
        <w:rPr>
          <w:rFonts w:ascii="Arial" w:eastAsia="Calibri" w:hAnsi="Arial" w:cs="Arial"/>
          <w:sz w:val="18"/>
          <w:szCs w:val="18"/>
        </w:rPr>
        <w:t>4201912000007378 del 11 de noviembre de 2019 y 4201912000007781 del 26 de diciembre de 2019.</w:t>
      </w:r>
    </w:p>
  </w:footnote>
  <w:footnote w:id="3">
    <w:p w14:paraId="30C3B907" w14:textId="77777777" w:rsidR="00172805" w:rsidRPr="00A7652F" w:rsidRDefault="00172805" w:rsidP="00172805">
      <w:pPr>
        <w:pStyle w:val="Textonotapie"/>
        <w:ind w:firstLine="708"/>
        <w:rPr>
          <w:rFonts w:ascii="Arial" w:hAnsi="Arial" w:cs="Arial"/>
          <w:sz w:val="19"/>
          <w:szCs w:val="19"/>
        </w:rPr>
      </w:pPr>
      <w:r w:rsidRPr="00A7652F">
        <w:rPr>
          <w:rStyle w:val="Refdenotaalpie"/>
          <w:rFonts w:ascii="Arial" w:hAnsi="Arial" w:cs="Arial"/>
          <w:sz w:val="19"/>
          <w:szCs w:val="19"/>
        </w:rPr>
        <w:footnoteRef/>
      </w:r>
      <w:r w:rsidRPr="00A7652F">
        <w:rPr>
          <w:rFonts w:ascii="Arial" w:hAnsi="Arial" w:cs="Arial"/>
          <w:sz w:val="19"/>
          <w:szCs w:val="19"/>
        </w:rPr>
        <w:t xml:space="preserve"> Consejo de Estado. Sección Segunda. Sentencia del 9 de septiembre de 2021. Expediente No. 05001-23-33-000-2013-01143-01(1317-16). M.P. Dra. Sandra Lisset Ibarra Vélez.</w:t>
      </w:r>
    </w:p>
  </w:footnote>
  <w:footnote w:id="4">
    <w:p w14:paraId="5F9E166F" w14:textId="77777777" w:rsidR="00172805" w:rsidRPr="00A7652F" w:rsidRDefault="00172805" w:rsidP="00172805">
      <w:pPr>
        <w:pStyle w:val="Textonotapie"/>
        <w:ind w:firstLine="708"/>
        <w:rPr>
          <w:rFonts w:ascii="Arial" w:hAnsi="Arial" w:cs="Arial"/>
          <w:sz w:val="19"/>
          <w:szCs w:val="19"/>
          <w:lang w:val="es-ES_tradnl"/>
        </w:rPr>
      </w:pPr>
      <w:r w:rsidRPr="00A7652F">
        <w:rPr>
          <w:rStyle w:val="Refdenotaalpie"/>
          <w:rFonts w:ascii="Arial" w:hAnsi="Arial" w:cs="Arial"/>
          <w:sz w:val="19"/>
          <w:szCs w:val="19"/>
        </w:rPr>
        <w:footnoteRef/>
      </w:r>
      <w:r w:rsidRPr="00A7652F">
        <w:rPr>
          <w:rFonts w:ascii="Arial" w:hAnsi="Arial" w:cs="Arial"/>
          <w:sz w:val="19"/>
          <w:szCs w:val="19"/>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footnote>
  <w:footnote w:id="5">
    <w:p w14:paraId="4ECF98CF" w14:textId="77777777" w:rsidR="00172805" w:rsidRPr="00A7652F" w:rsidRDefault="00172805" w:rsidP="00CC09AF">
      <w:pPr>
        <w:pStyle w:val="Textonotapie"/>
        <w:spacing w:after="0" w:line="240" w:lineRule="auto"/>
        <w:ind w:firstLine="708"/>
        <w:rPr>
          <w:rFonts w:ascii="Arial" w:hAnsi="Arial" w:cs="Arial"/>
          <w:sz w:val="19"/>
          <w:szCs w:val="19"/>
          <w:lang w:val="es-ES"/>
        </w:rPr>
      </w:pPr>
      <w:r w:rsidRPr="00A7652F">
        <w:rPr>
          <w:rStyle w:val="Refdenotaalpie"/>
          <w:rFonts w:ascii="Arial" w:hAnsi="Arial" w:cs="Arial"/>
          <w:sz w:val="19"/>
          <w:szCs w:val="19"/>
        </w:rPr>
        <w:footnoteRef/>
      </w:r>
      <w:r w:rsidRPr="00A7652F">
        <w:rPr>
          <w:rFonts w:ascii="Arial" w:hAnsi="Arial" w:cs="Arial"/>
          <w:sz w:val="19"/>
          <w:szCs w:val="19"/>
        </w:rPr>
        <w:t xml:space="preserve"> </w:t>
      </w:r>
      <w:r w:rsidRPr="00A7652F">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0D261A0A" w14:textId="77777777" w:rsidR="00172805" w:rsidRPr="00CB4F8E" w:rsidRDefault="00172805" w:rsidP="00CC09AF">
      <w:pPr>
        <w:pStyle w:val="Textonotapie"/>
        <w:spacing w:after="0" w:line="240" w:lineRule="auto"/>
        <w:ind w:firstLine="709"/>
        <w:rPr>
          <w:rFonts w:ascii="Geomanist Light" w:hAnsi="Geomanist Light" w:cs="Arial"/>
          <w:sz w:val="19"/>
          <w:szCs w:val="19"/>
          <w:lang w:val="es-ES"/>
        </w:rPr>
      </w:pPr>
    </w:p>
  </w:footnote>
  <w:footnote w:id="6">
    <w:p w14:paraId="09C1A723" w14:textId="185DF5C1" w:rsidR="00172805" w:rsidRPr="00A7652F" w:rsidRDefault="00172805" w:rsidP="00CC09AF">
      <w:pPr>
        <w:pStyle w:val="Textonotapie"/>
        <w:spacing w:after="0" w:line="240" w:lineRule="auto"/>
        <w:ind w:firstLine="709"/>
        <w:rPr>
          <w:rFonts w:ascii="Arial" w:hAnsi="Arial" w:cs="Arial"/>
          <w:sz w:val="19"/>
          <w:szCs w:val="19"/>
          <w:lang w:val="es-ES"/>
        </w:rPr>
      </w:pPr>
      <w:r w:rsidRPr="00A7652F">
        <w:rPr>
          <w:rStyle w:val="Refdenotaalpie"/>
          <w:rFonts w:ascii="Arial" w:hAnsi="Arial" w:cs="Arial"/>
          <w:sz w:val="19"/>
          <w:szCs w:val="19"/>
        </w:rPr>
        <w:footnoteRef/>
      </w:r>
      <w:r w:rsidRPr="00A7652F">
        <w:rPr>
          <w:rFonts w:ascii="Arial" w:hAnsi="Arial" w:cs="Arial"/>
          <w:sz w:val="19"/>
          <w:szCs w:val="19"/>
        </w:rPr>
        <w:t xml:space="preserve"> </w:t>
      </w:r>
      <w:r w:rsidRPr="00A7652F">
        <w:rPr>
          <w:rFonts w:ascii="Arial" w:hAnsi="Arial" w:cs="Arial"/>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67A99ECA" w14:textId="77777777" w:rsidR="00CC09AF" w:rsidRPr="00A7652F" w:rsidRDefault="00CC09AF" w:rsidP="00CC09AF">
      <w:pPr>
        <w:pStyle w:val="Textonotapie"/>
        <w:spacing w:after="0" w:line="240" w:lineRule="auto"/>
        <w:ind w:firstLine="709"/>
        <w:rPr>
          <w:rFonts w:ascii="Arial" w:hAnsi="Arial" w:cs="Arial"/>
          <w:sz w:val="19"/>
          <w:szCs w:val="19"/>
          <w:lang w:val="es-ES"/>
        </w:rPr>
      </w:pPr>
    </w:p>
    <w:p w14:paraId="6535915A" w14:textId="713D95A1" w:rsidR="00172805" w:rsidRPr="00A7652F" w:rsidRDefault="00172805" w:rsidP="00CC09AF">
      <w:pPr>
        <w:pStyle w:val="Textonotapie"/>
        <w:spacing w:after="0" w:line="240" w:lineRule="auto"/>
        <w:ind w:firstLine="709"/>
        <w:rPr>
          <w:rFonts w:ascii="Arial" w:hAnsi="Arial" w:cs="Arial"/>
          <w:sz w:val="19"/>
          <w:szCs w:val="19"/>
          <w:lang w:val="es-ES"/>
        </w:rPr>
      </w:pPr>
      <w:r w:rsidRPr="00A7652F">
        <w:rPr>
          <w:rFonts w:ascii="Arial" w:hAnsi="Arial" w:cs="Arial"/>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62A2310E" w14:textId="77777777" w:rsidR="00CC09AF" w:rsidRPr="00A7652F" w:rsidRDefault="00CC09AF" w:rsidP="00CC09AF">
      <w:pPr>
        <w:pStyle w:val="Textonotapie"/>
        <w:spacing w:after="0" w:line="240" w:lineRule="auto"/>
        <w:ind w:firstLine="709"/>
        <w:rPr>
          <w:rFonts w:ascii="Arial" w:hAnsi="Arial" w:cs="Arial"/>
          <w:sz w:val="19"/>
          <w:szCs w:val="19"/>
          <w:lang w:val="es-ES"/>
        </w:rPr>
      </w:pPr>
    </w:p>
    <w:p w14:paraId="531606E8" w14:textId="77777777" w:rsidR="00172805" w:rsidRPr="00A7652F" w:rsidRDefault="00172805" w:rsidP="00CC09AF">
      <w:pPr>
        <w:pStyle w:val="Textonotapie"/>
        <w:spacing w:after="0"/>
        <w:ind w:firstLine="709"/>
        <w:rPr>
          <w:rFonts w:ascii="Arial" w:hAnsi="Arial" w:cs="Arial"/>
          <w:sz w:val="19"/>
          <w:szCs w:val="19"/>
          <w:lang w:val="es-ES"/>
        </w:rPr>
      </w:pPr>
      <w:r w:rsidRPr="00A7652F">
        <w:rPr>
          <w:rFonts w:ascii="Arial" w:hAnsi="Arial" w:cs="Arial"/>
          <w:sz w:val="19"/>
          <w:szCs w:val="19"/>
          <w:lang w:val="es-ES"/>
        </w:rPr>
        <w:t>El Gobierno nacional reglamentará el mecanismo para realizar la mensualización de que trata el presente artículo.</w:t>
      </w:r>
    </w:p>
    <w:p w14:paraId="0F13CAA0" w14:textId="77777777" w:rsidR="00172805" w:rsidRPr="008A5525" w:rsidRDefault="00172805" w:rsidP="00CC09AF">
      <w:pPr>
        <w:pStyle w:val="Textonotapie"/>
        <w:spacing w:after="0"/>
        <w:ind w:firstLine="709"/>
        <w:rPr>
          <w:rFonts w:ascii="Arial" w:hAnsi="Arial" w:cs="Arial"/>
          <w:sz w:val="19"/>
          <w:szCs w:val="19"/>
          <w:lang w:val="pt-BR"/>
        </w:rPr>
      </w:pPr>
      <w:r w:rsidRPr="00A7652F">
        <w:rPr>
          <w:rFonts w:ascii="Arial" w:hAnsi="Arial" w:cs="Arial"/>
          <w:sz w:val="19"/>
          <w:szCs w:val="19"/>
          <w:lang w:val="pt-BR"/>
        </w:rPr>
        <w:t>[…]».</w:t>
      </w:r>
    </w:p>
  </w:footnote>
  <w:footnote w:id="7">
    <w:p w14:paraId="12B36E67" w14:textId="1B147BB5" w:rsidR="00172805" w:rsidRPr="008A5525" w:rsidRDefault="00172805" w:rsidP="004544D9">
      <w:pPr>
        <w:pStyle w:val="Textonotapie"/>
        <w:spacing w:line="240" w:lineRule="auto"/>
        <w:ind w:firstLine="709"/>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lang w:val="pt-BR"/>
        </w:rPr>
        <w:t xml:space="preserve"> Corte Constitucional. Sentencia C-154 de 1997. </w:t>
      </w:r>
      <w:r w:rsidRPr="008A5525">
        <w:rPr>
          <w:rFonts w:ascii="Arial" w:hAnsi="Arial" w:cs="Arial"/>
          <w:sz w:val="19"/>
          <w:szCs w:val="19"/>
          <w:lang w:val="es-ES"/>
        </w:rPr>
        <w:t>MP: Hernando Herrera Vergara.</w:t>
      </w:r>
    </w:p>
  </w:footnote>
  <w:footnote w:id="8">
    <w:p w14:paraId="089F2C27" w14:textId="3ABD6202" w:rsidR="00172805" w:rsidRDefault="00172805" w:rsidP="00CC09AF">
      <w:pPr>
        <w:pStyle w:val="Textonotapie"/>
        <w:spacing w:after="0" w:line="240" w:lineRule="auto"/>
        <w:ind w:firstLine="709"/>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Ibíd.</w:t>
      </w:r>
    </w:p>
    <w:p w14:paraId="0E65CA03" w14:textId="77777777" w:rsidR="00CC09AF" w:rsidRPr="008A5525" w:rsidRDefault="00CC09AF" w:rsidP="00CC09AF">
      <w:pPr>
        <w:pStyle w:val="Textonotapie"/>
        <w:spacing w:after="0" w:line="240" w:lineRule="auto"/>
        <w:ind w:firstLine="709"/>
        <w:rPr>
          <w:rFonts w:ascii="Arial" w:hAnsi="Arial" w:cs="Arial"/>
          <w:sz w:val="19"/>
          <w:szCs w:val="19"/>
          <w:lang w:val="es-ES"/>
        </w:rPr>
      </w:pPr>
    </w:p>
  </w:footnote>
  <w:footnote w:id="9">
    <w:p w14:paraId="5D6D99A0" w14:textId="72037C0D" w:rsidR="00172805" w:rsidRDefault="00172805" w:rsidP="00CC09AF">
      <w:pPr>
        <w:pStyle w:val="Textonotapie"/>
        <w:spacing w:after="0" w:line="240" w:lineRule="auto"/>
        <w:ind w:firstLine="709"/>
        <w:rPr>
          <w:rFonts w:ascii="Arial" w:hAnsi="Arial" w:cs="Arial"/>
          <w:sz w:val="19"/>
          <w:szCs w:val="19"/>
        </w:rPr>
      </w:pPr>
      <w:r w:rsidRPr="00F46237">
        <w:rPr>
          <w:rStyle w:val="Refdenotaalpie"/>
          <w:rFonts w:ascii="Arial" w:hAnsi="Arial" w:cs="Arial"/>
          <w:sz w:val="19"/>
          <w:szCs w:val="19"/>
        </w:rPr>
        <w:footnoteRef/>
      </w:r>
      <w:r>
        <w:rPr>
          <w:rFonts w:ascii="Arial" w:hAnsi="Arial" w:cs="Arial"/>
          <w:sz w:val="19"/>
          <w:szCs w:val="19"/>
        </w:rPr>
        <w:t xml:space="preserve"> </w:t>
      </w:r>
      <w:r w:rsidRPr="008A5525">
        <w:rPr>
          <w:rFonts w:ascii="Arial" w:hAnsi="Arial" w:cs="Arial"/>
          <w:color w:val="000000" w:themeColor="text1"/>
          <w:sz w:val="19"/>
          <w:szCs w:val="19"/>
          <w:lang w:val="es-ES"/>
        </w:rPr>
        <w:t>CONSEJO DE ESTADO. Sección Tercera. Subsección C. Sentencia de Unificación del 2 de diciembre de 2013. Exp. 41.719. C.P. Jaime Orlando Santofimio Gamboa.</w:t>
      </w:r>
      <w:r w:rsidRPr="00F46237">
        <w:rPr>
          <w:rFonts w:ascii="Arial" w:hAnsi="Arial" w:cs="Arial"/>
          <w:sz w:val="19"/>
          <w:szCs w:val="19"/>
        </w:rPr>
        <w:t xml:space="preserve"> </w:t>
      </w:r>
    </w:p>
    <w:p w14:paraId="0ABAE9F3" w14:textId="77777777" w:rsidR="00CC09AF" w:rsidRDefault="00CC09AF" w:rsidP="00CC09AF">
      <w:pPr>
        <w:pStyle w:val="Textonotapie"/>
        <w:spacing w:after="0" w:line="240" w:lineRule="auto"/>
        <w:ind w:firstLine="709"/>
        <w:rPr>
          <w:rFonts w:ascii="Arial" w:hAnsi="Arial" w:cs="Arial"/>
          <w:sz w:val="19"/>
          <w:szCs w:val="19"/>
        </w:rPr>
      </w:pPr>
    </w:p>
    <w:p w14:paraId="50AB7793" w14:textId="3FADC00E" w:rsidR="00172805" w:rsidRDefault="00172805" w:rsidP="00CC09AF">
      <w:pPr>
        <w:pStyle w:val="Textonotapie"/>
        <w:spacing w:after="0" w:line="240" w:lineRule="auto"/>
        <w:ind w:firstLine="709"/>
        <w:rPr>
          <w:rFonts w:ascii="Arial" w:hAnsi="Arial" w:cs="Arial"/>
          <w:sz w:val="19"/>
          <w:szCs w:val="19"/>
          <w:lang w:val="es-ES"/>
        </w:rPr>
      </w:pPr>
      <w:r>
        <w:rPr>
          <w:rFonts w:ascii="Arial" w:hAnsi="Arial" w:cs="Arial"/>
          <w:sz w:val="19"/>
          <w:szCs w:val="19"/>
          <w:lang w:val="es-ES"/>
        </w:rPr>
        <w:t>Además</w:t>
      </w:r>
      <w:r w:rsidRPr="00F46237">
        <w:rPr>
          <w:rFonts w:ascii="Arial" w:hAnsi="Arial" w:cs="Arial"/>
          <w:sz w:val="19"/>
          <w:szCs w:val="19"/>
          <w:lang w:val="es-ES"/>
        </w:rPr>
        <w:t>,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7ADBC72" w14:textId="77777777" w:rsidR="00CC09AF" w:rsidRPr="00F46237" w:rsidRDefault="00CC09AF" w:rsidP="00CC09AF">
      <w:pPr>
        <w:pStyle w:val="Textonotapie"/>
        <w:spacing w:after="0" w:line="240" w:lineRule="auto"/>
        <w:ind w:firstLine="709"/>
        <w:rPr>
          <w:rFonts w:ascii="Arial" w:hAnsi="Arial" w:cs="Arial"/>
          <w:sz w:val="19"/>
          <w:szCs w:val="19"/>
          <w:lang w:val="es-ES"/>
        </w:rPr>
      </w:pPr>
    </w:p>
    <w:p w14:paraId="5D17242F" w14:textId="42D8BCD5" w:rsidR="00172805" w:rsidRDefault="00C02853" w:rsidP="00CC09AF">
      <w:pPr>
        <w:pStyle w:val="Textonotapie"/>
        <w:spacing w:after="0" w:line="240" w:lineRule="auto"/>
        <w:ind w:firstLine="709"/>
        <w:rPr>
          <w:rFonts w:ascii="Arial" w:hAnsi="Arial" w:cs="Arial"/>
          <w:sz w:val="19"/>
          <w:szCs w:val="19"/>
          <w:lang w:val="es-ES"/>
        </w:rPr>
      </w:pPr>
      <w:r w:rsidRPr="00F46237">
        <w:rPr>
          <w:rFonts w:ascii="Arial" w:hAnsi="Arial" w:cs="Arial"/>
          <w:sz w:val="19"/>
          <w:szCs w:val="19"/>
          <w:lang w:val="es-ES"/>
        </w:rPr>
        <w:t>» Son</w:t>
      </w:r>
      <w:r w:rsidR="00172805" w:rsidRPr="00F46237">
        <w:rPr>
          <w:rFonts w:ascii="Arial" w:hAnsi="Arial" w:cs="Arial"/>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6F108A11" w14:textId="77777777" w:rsidR="00CC09AF" w:rsidRPr="00F46237" w:rsidRDefault="00CC09AF" w:rsidP="00CC09AF">
      <w:pPr>
        <w:pStyle w:val="Textonotapie"/>
        <w:spacing w:after="0" w:line="240" w:lineRule="auto"/>
        <w:ind w:firstLine="709"/>
        <w:rPr>
          <w:rFonts w:ascii="Arial" w:hAnsi="Arial" w:cs="Arial"/>
          <w:sz w:val="19"/>
          <w:szCs w:val="19"/>
          <w:lang w:val="es-ES"/>
        </w:rPr>
      </w:pPr>
    </w:p>
    <w:p w14:paraId="5BD3FA7C" w14:textId="2D24CF1B" w:rsidR="00172805" w:rsidRDefault="00C02853" w:rsidP="00CC09AF">
      <w:pPr>
        <w:pStyle w:val="Textonotapie"/>
        <w:spacing w:after="0" w:line="240" w:lineRule="auto"/>
        <w:ind w:firstLine="709"/>
        <w:rPr>
          <w:rFonts w:ascii="Arial" w:hAnsi="Arial" w:cs="Arial"/>
          <w:sz w:val="19"/>
          <w:szCs w:val="19"/>
          <w:lang w:val="es-ES"/>
        </w:rPr>
      </w:pPr>
      <w:r w:rsidRPr="00F46237">
        <w:rPr>
          <w:rFonts w:ascii="Arial" w:hAnsi="Arial" w:cs="Arial"/>
          <w:sz w:val="19"/>
          <w:szCs w:val="19"/>
          <w:lang w:val="es-ES"/>
        </w:rPr>
        <w:t>» Ninguna</w:t>
      </w:r>
      <w:r w:rsidR="00172805" w:rsidRPr="00F46237">
        <w:rPr>
          <w:rFonts w:ascii="Arial" w:hAnsi="Arial" w:cs="Arial"/>
          <w:sz w:val="19"/>
          <w:szCs w:val="19"/>
          <w:lang w:val="es-ES"/>
        </w:rPr>
        <w:t xml:space="preserve"> orden del interventor de una obra podrá darse verbalmente. Es obligatorio para el interventor entregar por escrito sus órdenes o sugerencias y ellas deben enmarcarse dentro de los términos del respectivo contrato».</w:t>
      </w:r>
    </w:p>
    <w:p w14:paraId="1E0B9520" w14:textId="77777777" w:rsidR="00CC09AF" w:rsidRPr="00F46237" w:rsidRDefault="00CC09AF" w:rsidP="00CC09AF">
      <w:pPr>
        <w:pStyle w:val="Textonotapie"/>
        <w:spacing w:after="0" w:line="240" w:lineRule="auto"/>
        <w:ind w:firstLine="709"/>
        <w:rPr>
          <w:rFonts w:ascii="Arial" w:hAnsi="Arial" w:cs="Arial"/>
          <w:sz w:val="19"/>
          <w:szCs w:val="19"/>
          <w:lang w:val="es-ES"/>
        </w:rPr>
      </w:pPr>
    </w:p>
  </w:footnote>
  <w:footnote w:id="10">
    <w:p w14:paraId="6E3D57F6" w14:textId="77777777" w:rsidR="00172805" w:rsidRPr="008A5525" w:rsidRDefault="00172805" w:rsidP="00CC09AF">
      <w:pPr>
        <w:pStyle w:val="Textonotapie"/>
        <w:spacing w:line="240" w:lineRule="auto"/>
        <w:ind w:firstLine="709"/>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42646E4E"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lang w:val="es-ES"/>
        </w:rPr>
        <w:t>»1. La causal que invoca para contratar directamente.</w:t>
      </w:r>
    </w:p>
    <w:p w14:paraId="21E87C95"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lang w:val="es-ES"/>
        </w:rPr>
        <w:t>»2. El objeto del contrato.</w:t>
      </w:r>
    </w:p>
    <w:p w14:paraId="6F001639"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lang w:val="es-ES"/>
        </w:rPr>
        <w:t>»3. El presupuesto para la contratación y las condiciones que exigirá al contratista.</w:t>
      </w:r>
    </w:p>
    <w:p w14:paraId="71618E74"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lang w:val="es-ES"/>
        </w:rPr>
        <w:t>»4. El lugar en el cual los interesados pueden consultar los estudios y documentos previos.</w:t>
      </w:r>
    </w:p>
    <w:p w14:paraId="0C25CEC8" w14:textId="77777777" w:rsidR="00CC09AF" w:rsidRDefault="00CC09AF" w:rsidP="00CC09AF">
      <w:pPr>
        <w:pStyle w:val="Textonotapie"/>
        <w:spacing w:after="0" w:line="240" w:lineRule="auto"/>
        <w:ind w:firstLine="709"/>
        <w:rPr>
          <w:rFonts w:ascii="Arial" w:hAnsi="Arial" w:cs="Arial"/>
          <w:sz w:val="19"/>
          <w:szCs w:val="19"/>
          <w:lang w:val="es-ES"/>
        </w:rPr>
      </w:pPr>
    </w:p>
    <w:p w14:paraId="46A2DAD2" w14:textId="55791A7C" w:rsidR="00172805" w:rsidRPr="008A5525" w:rsidRDefault="00C02853"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lang w:val="es-ES"/>
        </w:rPr>
        <w:t>» Este</w:t>
      </w:r>
      <w:r w:rsidR="00172805" w:rsidRPr="008A5525">
        <w:rPr>
          <w:rFonts w:ascii="Arial" w:hAnsi="Arial" w:cs="Arial"/>
          <w:sz w:val="19"/>
          <w:szCs w:val="19"/>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70B18CAB" w14:textId="77777777" w:rsidR="00172805" w:rsidRPr="008A5525" w:rsidRDefault="00172805" w:rsidP="00CC09AF">
      <w:pPr>
        <w:pStyle w:val="Textonotapie"/>
        <w:spacing w:after="0" w:line="240" w:lineRule="auto"/>
        <w:rPr>
          <w:rFonts w:ascii="Arial" w:hAnsi="Arial" w:cs="Arial"/>
          <w:sz w:val="19"/>
          <w:szCs w:val="19"/>
        </w:rPr>
      </w:pPr>
    </w:p>
    <w:p w14:paraId="666E68EA"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 xml:space="preserve">La norma expresa: «Art. 14. </w:t>
      </w:r>
      <w:r w:rsidRPr="008A5525">
        <w:rPr>
          <w:rFonts w:ascii="Arial" w:hAnsi="Arial" w:cs="Arial"/>
          <w:sz w:val="19"/>
          <w:szCs w:val="19"/>
        </w:rPr>
        <w:t>P</w:t>
      </w:r>
      <w:r w:rsidRPr="008A5525">
        <w:rPr>
          <w:rFonts w:ascii="Arial" w:hAnsi="Arial" w:cs="Arial"/>
          <w:sz w:val="19"/>
          <w:szCs w:val="19"/>
          <w:lang w:val="es-ES"/>
        </w:rPr>
        <w:t>ara el cumplimiento de los fines de la contratación, las entidades estatales al celebrar un contrato:</w:t>
      </w:r>
    </w:p>
    <w:p w14:paraId="34BBCF52"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lang w:val="es-ES"/>
        </w:rPr>
        <w:t>[…]</w:t>
      </w:r>
    </w:p>
    <w:p w14:paraId="240D4F5D" w14:textId="217A91F2" w:rsidR="00172805" w:rsidRDefault="00172805"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63DA8BC" w14:textId="77777777" w:rsidR="00CC09AF" w:rsidRPr="008A5525" w:rsidRDefault="00CC09AF" w:rsidP="00CC09AF">
      <w:pPr>
        <w:pStyle w:val="Textonotapie"/>
        <w:spacing w:after="0" w:line="240" w:lineRule="auto"/>
        <w:ind w:firstLine="709"/>
        <w:rPr>
          <w:rFonts w:ascii="Arial" w:hAnsi="Arial" w:cs="Arial"/>
          <w:sz w:val="19"/>
          <w:szCs w:val="19"/>
          <w:lang w:val="es-ES"/>
        </w:rPr>
      </w:pPr>
    </w:p>
    <w:p w14:paraId="2DAA5CB5"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lang w:val="es-ES"/>
        </w:rPr>
        <w:t>Las entidades estatales podrán pactar estas cláusulas en los contratos de suministro y de prestación de servicios.</w:t>
      </w:r>
    </w:p>
    <w:p w14:paraId="7BB34EE3"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lang w:val="es-ES"/>
        </w:rPr>
        <w:t>[…]».</w:t>
      </w:r>
    </w:p>
  </w:footnote>
  <w:footnote w:id="12">
    <w:p w14:paraId="28E65114" w14:textId="3B85BD50" w:rsidR="00172805" w:rsidRDefault="00172805" w:rsidP="00CC09AF">
      <w:pPr>
        <w:pStyle w:val="Textonotapie"/>
        <w:spacing w:after="0"/>
        <w:ind w:firstLine="709"/>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La norma dispone: «La liquidación a que se refiere el presente artículo no será obligatoria en los contratos de prestación de servicios profesionales y de apoyo a la gestión».</w:t>
      </w:r>
    </w:p>
    <w:p w14:paraId="14BC8BBE" w14:textId="77777777" w:rsidR="00CC09AF" w:rsidRPr="008A5525" w:rsidRDefault="00CC09AF" w:rsidP="00CC09AF">
      <w:pPr>
        <w:pStyle w:val="Textonotapie"/>
        <w:spacing w:after="0"/>
        <w:ind w:firstLine="709"/>
        <w:rPr>
          <w:rFonts w:ascii="Arial" w:hAnsi="Arial" w:cs="Arial"/>
          <w:sz w:val="19"/>
          <w:szCs w:val="19"/>
          <w:lang w:val="es-ES"/>
        </w:rPr>
      </w:pPr>
    </w:p>
  </w:footnote>
  <w:footnote w:id="13">
    <w:p w14:paraId="26C1346C" w14:textId="77777777" w:rsidR="00172805" w:rsidRPr="008A5525" w:rsidRDefault="00172805" w:rsidP="00CC09AF">
      <w:pPr>
        <w:pStyle w:val="Textonotapie"/>
        <w:spacing w:after="0" w:line="240" w:lineRule="auto"/>
        <w:ind w:firstLine="709"/>
        <w:rPr>
          <w:rFonts w:ascii="Arial" w:hAnsi="Arial" w:cs="Arial"/>
          <w:sz w:val="19"/>
          <w:szCs w:val="19"/>
        </w:rPr>
      </w:pPr>
      <w:r w:rsidRPr="008A5525">
        <w:rPr>
          <w:rStyle w:val="Refdenotaalpie"/>
          <w:rFonts w:ascii="Arial" w:hAnsi="Arial" w:cs="Arial"/>
          <w:sz w:val="19"/>
          <w:szCs w:val="19"/>
        </w:rPr>
        <w:footnoteRef/>
      </w:r>
      <w:r w:rsidRPr="008A5525">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F37D480" w14:textId="77777777" w:rsidR="00CC09AF" w:rsidRDefault="00CC09AF" w:rsidP="00CC09AF">
      <w:pPr>
        <w:pStyle w:val="Textonotapie"/>
        <w:spacing w:after="0" w:line="240" w:lineRule="auto"/>
        <w:ind w:firstLine="709"/>
        <w:rPr>
          <w:rFonts w:ascii="Arial" w:hAnsi="Arial" w:cs="Arial"/>
          <w:sz w:val="19"/>
          <w:szCs w:val="19"/>
        </w:rPr>
      </w:pPr>
    </w:p>
    <w:p w14:paraId="5D04EA00" w14:textId="36EF23A9" w:rsidR="00172805" w:rsidRPr="008A5525" w:rsidRDefault="00172805" w:rsidP="00CC09AF">
      <w:pPr>
        <w:pStyle w:val="Textonotapie"/>
        <w:spacing w:after="0" w:line="240" w:lineRule="auto"/>
        <w:ind w:firstLine="709"/>
        <w:rPr>
          <w:rFonts w:ascii="Arial" w:hAnsi="Arial" w:cs="Arial"/>
          <w:sz w:val="19"/>
          <w:szCs w:val="19"/>
        </w:rPr>
      </w:pPr>
      <w:r w:rsidRPr="008A5525">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091E8E1"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Fonts w:ascii="Arial" w:hAnsi="Arial" w:cs="Arial"/>
          <w:sz w:val="19"/>
          <w:szCs w:val="19"/>
        </w:rPr>
        <w:t>[…]».</w:t>
      </w:r>
    </w:p>
  </w:footnote>
  <w:footnote w:id="14">
    <w:p w14:paraId="189FC247" w14:textId="77777777" w:rsidR="00172805" w:rsidRPr="008A5525" w:rsidRDefault="00172805" w:rsidP="00CC09AF">
      <w:pPr>
        <w:pStyle w:val="Textonotapie"/>
        <w:spacing w:after="0" w:line="240" w:lineRule="auto"/>
        <w:ind w:firstLine="709"/>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43ECDCA8" w14:textId="77777777" w:rsidR="00172805" w:rsidRPr="008A5525" w:rsidRDefault="00172805" w:rsidP="00CC09AF">
      <w:pPr>
        <w:pStyle w:val="Textonotapie"/>
        <w:spacing w:after="0" w:line="240" w:lineRule="auto"/>
        <w:ind w:firstLine="709"/>
        <w:rPr>
          <w:rFonts w:ascii="Arial" w:hAnsi="Arial" w:cs="Arial"/>
          <w:sz w:val="19"/>
          <w:szCs w:val="19"/>
          <w:lang w:val="es-ES"/>
        </w:rPr>
      </w:pPr>
    </w:p>
  </w:footnote>
  <w:footnote w:id="15">
    <w:p w14:paraId="70DA0214" w14:textId="1A466B33" w:rsidR="00172805" w:rsidRDefault="00172805" w:rsidP="00CC09AF">
      <w:pPr>
        <w:pStyle w:val="Textonotapie"/>
        <w:spacing w:after="0" w:line="240" w:lineRule="auto"/>
        <w:ind w:firstLine="709"/>
        <w:rPr>
          <w:rFonts w:ascii="Arial" w:hAnsi="Arial" w:cs="Arial"/>
          <w:color w:val="000000" w:themeColor="text1"/>
          <w:sz w:val="19"/>
          <w:szCs w:val="19"/>
          <w:lang w:val="es-ES"/>
        </w:rPr>
      </w:pPr>
      <w:r w:rsidRPr="008A5525">
        <w:rPr>
          <w:rStyle w:val="Refdenotaalpie"/>
          <w:rFonts w:ascii="Arial" w:hAnsi="Arial" w:cs="Arial"/>
          <w:color w:val="000000" w:themeColor="text1"/>
          <w:sz w:val="19"/>
          <w:szCs w:val="19"/>
        </w:rPr>
        <w:footnoteRef/>
      </w:r>
      <w:r w:rsidRPr="008A5525">
        <w:rPr>
          <w:rFonts w:ascii="Arial" w:hAnsi="Arial" w:cs="Arial"/>
          <w:color w:val="000000" w:themeColor="text1"/>
          <w:sz w:val="19"/>
          <w:szCs w:val="19"/>
        </w:rPr>
        <w:t xml:space="preserve"> </w:t>
      </w:r>
      <w:r w:rsidRPr="008A5525">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A8B34D5" w14:textId="77777777" w:rsidR="00CC09AF" w:rsidRPr="008A5525" w:rsidRDefault="00CC09AF" w:rsidP="00CC09AF">
      <w:pPr>
        <w:pStyle w:val="Textonotapie"/>
        <w:spacing w:after="0" w:line="240" w:lineRule="auto"/>
        <w:ind w:firstLine="709"/>
        <w:rPr>
          <w:rFonts w:ascii="Arial" w:hAnsi="Arial" w:cs="Arial"/>
          <w:color w:val="000000" w:themeColor="text1"/>
          <w:sz w:val="19"/>
          <w:szCs w:val="19"/>
          <w:lang w:val="es-ES"/>
        </w:rPr>
      </w:pPr>
    </w:p>
    <w:p w14:paraId="768EAC6D" w14:textId="77777777" w:rsidR="00172805" w:rsidRPr="008A5525" w:rsidRDefault="00172805" w:rsidP="00172805">
      <w:pPr>
        <w:pStyle w:val="Textonotapie"/>
        <w:ind w:firstLine="709"/>
        <w:rPr>
          <w:rFonts w:ascii="Arial" w:hAnsi="Arial" w:cs="Arial"/>
          <w:color w:val="000000" w:themeColor="text1"/>
          <w:sz w:val="19"/>
          <w:szCs w:val="19"/>
          <w:lang w:val="es-ES"/>
        </w:rPr>
      </w:pPr>
      <w:r w:rsidRPr="008A5525">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A79D8D8" w14:textId="77777777" w:rsidR="00172805" w:rsidRPr="008A5525" w:rsidRDefault="00172805" w:rsidP="00EF1055">
      <w:pPr>
        <w:pStyle w:val="Textonotapie"/>
        <w:spacing w:after="0" w:line="240" w:lineRule="auto"/>
        <w:ind w:firstLine="709"/>
        <w:rPr>
          <w:rFonts w:ascii="Arial" w:hAnsi="Arial" w:cs="Arial"/>
          <w:color w:val="000000" w:themeColor="text1"/>
          <w:sz w:val="19"/>
          <w:szCs w:val="19"/>
          <w:lang w:val="es-ES"/>
        </w:rPr>
      </w:pPr>
      <w:r w:rsidRPr="008A5525">
        <w:rPr>
          <w:rFonts w:ascii="Arial" w:hAnsi="Arial" w:cs="Arial"/>
          <w:color w:val="000000" w:themeColor="text1"/>
          <w:sz w:val="19"/>
          <w:szCs w:val="19"/>
          <w:lang w:val="es-ES"/>
        </w:rPr>
        <w:t>»La Entidad Estatal, para la contratación de trabajos artísticos que solamente puedan en</w:t>
      </w:r>
      <w:r w:rsidRPr="008A5525">
        <w:rPr>
          <w:rFonts w:ascii="Arial" w:hAnsi="Arial" w:cs="Arial"/>
          <w:color w:val="000000" w:themeColor="text1"/>
          <w:sz w:val="19"/>
          <w:szCs w:val="19"/>
          <w:lang w:val="es-ES"/>
        </w:rPr>
        <w:softHyphen/>
        <w:t>comendarse a determinadas personas naturales, debe justificar esta situación en los estudios y documentos previos».</w:t>
      </w:r>
    </w:p>
    <w:p w14:paraId="0F80AB11" w14:textId="77777777" w:rsidR="00172805" w:rsidRPr="008A5525" w:rsidRDefault="00172805" w:rsidP="00EF1055">
      <w:pPr>
        <w:pStyle w:val="Textonotapie"/>
        <w:spacing w:after="0" w:line="240" w:lineRule="auto"/>
        <w:ind w:firstLine="709"/>
        <w:rPr>
          <w:rFonts w:ascii="Arial" w:hAnsi="Arial" w:cs="Arial"/>
          <w:color w:val="000000" w:themeColor="text1"/>
          <w:sz w:val="19"/>
          <w:szCs w:val="19"/>
          <w:lang w:val="es-ES"/>
        </w:rPr>
      </w:pPr>
    </w:p>
  </w:footnote>
  <w:footnote w:id="16">
    <w:p w14:paraId="562F616C" w14:textId="77777777" w:rsidR="00172805" w:rsidRPr="008A5525" w:rsidRDefault="00172805" w:rsidP="00EF1055">
      <w:pPr>
        <w:pStyle w:val="Textonotapie"/>
        <w:spacing w:after="0" w:line="240" w:lineRule="auto"/>
        <w:ind w:firstLine="709"/>
        <w:rPr>
          <w:rFonts w:ascii="Arial" w:hAnsi="Arial" w:cs="Arial"/>
          <w:color w:val="000000" w:themeColor="text1"/>
          <w:sz w:val="19"/>
          <w:szCs w:val="19"/>
          <w:lang w:val="es-ES"/>
        </w:rPr>
      </w:pPr>
      <w:r w:rsidRPr="008A5525">
        <w:rPr>
          <w:rStyle w:val="Refdenotaalpie"/>
          <w:rFonts w:ascii="Arial" w:hAnsi="Arial" w:cs="Arial"/>
          <w:color w:val="000000" w:themeColor="text1"/>
          <w:sz w:val="19"/>
          <w:szCs w:val="19"/>
        </w:rPr>
        <w:footnoteRef/>
      </w:r>
      <w:r w:rsidRPr="008A5525">
        <w:rPr>
          <w:rFonts w:ascii="Arial" w:hAnsi="Arial" w:cs="Arial"/>
          <w:color w:val="000000" w:themeColor="text1"/>
          <w:sz w:val="19"/>
          <w:szCs w:val="19"/>
        </w:rPr>
        <w:t xml:space="preserve"> </w:t>
      </w:r>
      <w:r w:rsidRPr="008A5525">
        <w:rPr>
          <w:rFonts w:ascii="Arial" w:hAnsi="Arial" w:cs="Arial"/>
          <w:color w:val="000000" w:themeColor="text1"/>
          <w:sz w:val="19"/>
          <w:szCs w:val="19"/>
          <w:lang w:val="es-ES"/>
        </w:rPr>
        <w:t>CONSEJO DE ESTADO. Sección Tercera. Subsección C. Sentencia de Unificación del 2 de diciembre de 2013. Exp. 41.719. C.P. Jaime Orlando Santofimio Gamboa.</w:t>
      </w:r>
    </w:p>
    <w:p w14:paraId="72B9598D" w14:textId="77777777" w:rsidR="00172805" w:rsidRPr="008A5525" w:rsidRDefault="00172805" w:rsidP="00EF1055">
      <w:pPr>
        <w:pStyle w:val="Textonotapie"/>
        <w:spacing w:after="0" w:line="240" w:lineRule="auto"/>
        <w:ind w:firstLine="709"/>
        <w:rPr>
          <w:rFonts w:ascii="Arial" w:hAnsi="Arial" w:cs="Arial"/>
          <w:color w:val="000000" w:themeColor="text1"/>
          <w:sz w:val="19"/>
          <w:szCs w:val="19"/>
          <w:lang w:val="es-ES"/>
        </w:rPr>
      </w:pPr>
    </w:p>
  </w:footnote>
  <w:footnote w:id="17">
    <w:p w14:paraId="4BAD76F3" w14:textId="77777777" w:rsidR="00172805" w:rsidRPr="008A5525" w:rsidRDefault="00172805" w:rsidP="00EF1055">
      <w:pPr>
        <w:pStyle w:val="Textonotapie"/>
        <w:spacing w:after="0" w:line="240" w:lineRule="auto"/>
        <w:ind w:firstLine="709"/>
        <w:rPr>
          <w:rFonts w:ascii="Arial" w:hAnsi="Arial" w:cs="Arial"/>
          <w:color w:val="000000" w:themeColor="text1"/>
          <w:sz w:val="19"/>
          <w:szCs w:val="19"/>
          <w:lang w:val="es-ES"/>
        </w:rPr>
      </w:pPr>
      <w:r w:rsidRPr="008A5525">
        <w:rPr>
          <w:rStyle w:val="Refdenotaalpie"/>
          <w:rFonts w:ascii="Arial" w:hAnsi="Arial" w:cs="Arial"/>
          <w:color w:val="000000" w:themeColor="text1"/>
          <w:sz w:val="19"/>
          <w:szCs w:val="19"/>
        </w:rPr>
        <w:footnoteRef/>
      </w:r>
      <w:r w:rsidRPr="008A5525">
        <w:rPr>
          <w:rFonts w:ascii="Arial" w:hAnsi="Arial" w:cs="Arial"/>
          <w:color w:val="000000" w:themeColor="text1"/>
          <w:sz w:val="19"/>
          <w:szCs w:val="19"/>
        </w:rPr>
        <w:t xml:space="preserve"> </w:t>
      </w:r>
      <w:r w:rsidRPr="008A5525">
        <w:rPr>
          <w:rFonts w:ascii="Arial" w:hAnsi="Arial" w:cs="Arial"/>
          <w:i/>
          <w:iCs/>
          <w:color w:val="000000" w:themeColor="text1"/>
          <w:sz w:val="19"/>
          <w:szCs w:val="19"/>
          <w:lang w:val="es-ES"/>
        </w:rPr>
        <w:t>Ibíd</w:t>
      </w:r>
      <w:r w:rsidRPr="008A5525">
        <w:rPr>
          <w:rFonts w:ascii="Arial" w:hAnsi="Arial" w:cs="Arial"/>
          <w:color w:val="000000" w:themeColor="text1"/>
          <w:sz w:val="19"/>
          <w:szCs w:val="19"/>
          <w:lang w:val="es-ES"/>
        </w:rPr>
        <w:t>.</w:t>
      </w:r>
    </w:p>
    <w:p w14:paraId="58B92483" w14:textId="77777777" w:rsidR="00172805" w:rsidRPr="008A5525" w:rsidRDefault="00172805" w:rsidP="00EF1055">
      <w:pPr>
        <w:pStyle w:val="Textonotapie"/>
        <w:spacing w:after="0" w:line="240" w:lineRule="auto"/>
        <w:ind w:firstLine="709"/>
        <w:rPr>
          <w:rFonts w:ascii="Arial" w:hAnsi="Arial" w:cs="Arial"/>
          <w:color w:val="000000" w:themeColor="text1"/>
          <w:sz w:val="19"/>
          <w:szCs w:val="19"/>
          <w:lang w:val="es-ES"/>
        </w:rPr>
      </w:pPr>
    </w:p>
  </w:footnote>
  <w:footnote w:id="18">
    <w:p w14:paraId="008FB8EF" w14:textId="0544B3FA" w:rsidR="00172805" w:rsidRPr="008A5525" w:rsidRDefault="00172805" w:rsidP="001C7B52">
      <w:pPr>
        <w:pStyle w:val="Textonotapie"/>
        <w:spacing w:after="0" w:line="240" w:lineRule="auto"/>
        <w:ind w:firstLine="709"/>
        <w:rPr>
          <w:rFonts w:ascii="Arial" w:hAnsi="Arial" w:cs="Arial"/>
          <w:color w:val="000000" w:themeColor="text1"/>
          <w:sz w:val="19"/>
          <w:szCs w:val="19"/>
          <w:lang w:val="es-ES"/>
        </w:rPr>
      </w:pPr>
      <w:r w:rsidRPr="008A5525">
        <w:rPr>
          <w:rStyle w:val="Refdenotaalpie"/>
          <w:rFonts w:ascii="Arial" w:hAnsi="Arial" w:cs="Arial"/>
          <w:color w:val="000000" w:themeColor="text1"/>
          <w:sz w:val="19"/>
          <w:szCs w:val="19"/>
        </w:rPr>
        <w:footnoteRef/>
      </w:r>
      <w:r w:rsidRPr="008A5525">
        <w:rPr>
          <w:rFonts w:ascii="Arial" w:hAnsi="Arial" w:cs="Arial"/>
          <w:color w:val="000000" w:themeColor="text1"/>
          <w:sz w:val="19"/>
          <w:szCs w:val="19"/>
        </w:rPr>
        <w:t xml:space="preserve"> </w:t>
      </w:r>
      <w:r w:rsidRPr="008A5525">
        <w:rPr>
          <w:rFonts w:ascii="Arial" w:hAnsi="Arial" w:cs="Arial"/>
          <w:i/>
          <w:iCs/>
          <w:color w:val="000000" w:themeColor="text1"/>
          <w:sz w:val="19"/>
          <w:szCs w:val="19"/>
          <w:lang w:val="es-ES"/>
        </w:rPr>
        <w:t>Ibíd</w:t>
      </w:r>
      <w:r w:rsidRPr="008A5525">
        <w:rPr>
          <w:rFonts w:ascii="Arial" w:hAnsi="Arial" w:cs="Arial"/>
          <w:color w:val="000000" w:themeColor="text1"/>
          <w:sz w:val="19"/>
          <w:szCs w:val="19"/>
          <w:lang w:val="es-ES"/>
        </w:rPr>
        <w:t>.</w:t>
      </w:r>
    </w:p>
  </w:footnote>
  <w:footnote w:id="19">
    <w:p w14:paraId="0DD88F27" w14:textId="77777777" w:rsidR="006A5A54" w:rsidRPr="00C152B9" w:rsidRDefault="006A5A54" w:rsidP="006A5A54">
      <w:pPr>
        <w:pStyle w:val="Textonotapie"/>
        <w:spacing w:line="240" w:lineRule="auto"/>
        <w:ind w:firstLine="709"/>
        <w:rPr>
          <w:rFonts w:ascii="Arial" w:hAnsi="Arial" w:cs="Arial"/>
          <w:color w:val="000000"/>
          <w:sz w:val="19"/>
          <w:szCs w:val="19"/>
        </w:rPr>
      </w:pPr>
      <w:r w:rsidRPr="00C152B9">
        <w:rPr>
          <w:rStyle w:val="Refdenotaalpie"/>
          <w:rFonts w:ascii="Arial" w:hAnsi="Arial" w:cs="Arial"/>
          <w:color w:val="000000"/>
          <w:sz w:val="19"/>
          <w:szCs w:val="19"/>
        </w:rPr>
        <w:footnoteRef/>
      </w:r>
      <w:r w:rsidRPr="00C152B9">
        <w:rPr>
          <w:rFonts w:ascii="Arial" w:hAnsi="Arial" w:cs="Arial"/>
          <w:color w:val="000000"/>
          <w:sz w:val="19"/>
          <w:szCs w:val="19"/>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47F87EF1" w14:textId="77777777" w:rsidR="006A5A54" w:rsidRPr="00C152B9" w:rsidRDefault="006A5A54" w:rsidP="006A5A54">
      <w:pPr>
        <w:pStyle w:val="Textonotapie"/>
        <w:ind w:firstLine="709"/>
        <w:rPr>
          <w:rFonts w:ascii="Arial" w:hAnsi="Arial" w:cs="Arial"/>
          <w:color w:val="000000"/>
          <w:sz w:val="19"/>
          <w:szCs w:val="19"/>
        </w:rPr>
      </w:pPr>
    </w:p>
  </w:footnote>
  <w:footnote w:id="20">
    <w:p w14:paraId="67408C7D" w14:textId="2635441C" w:rsidR="00BC359D" w:rsidRPr="00C66C84" w:rsidRDefault="00BC359D" w:rsidP="0072749E">
      <w:pPr>
        <w:pStyle w:val="Textonotapie"/>
        <w:spacing w:line="240" w:lineRule="auto"/>
        <w:ind w:left="300" w:firstLine="408"/>
        <w:rPr>
          <w:rFonts w:ascii="Arial" w:hAnsi="Arial" w:cs="Arial"/>
          <w:sz w:val="19"/>
          <w:szCs w:val="19"/>
        </w:rPr>
      </w:pPr>
      <w:r w:rsidRPr="00C66C84">
        <w:rPr>
          <w:rStyle w:val="Refdenotaalpie"/>
          <w:rFonts w:ascii="Arial" w:hAnsi="Arial" w:cs="Arial"/>
          <w:sz w:val="19"/>
          <w:szCs w:val="19"/>
        </w:rPr>
        <w:footnoteRef/>
      </w:r>
      <w:r w:rsidRPr="00C66C84">
        <w:rPr>
          <w:rFonts w:ascii="Arial" w:hAnsi="Arial" w:cs="Arial"/>
          <w:sz w:val="19"/>
          <w:szCs w:val="19"/>
        </w:rPr>
        <w:t xml:space="preserve"> Cort</w:t>
      </w:r>
      <w:r w:rsidR="007F0AC8" w:rsidRPr="00C66C84">
        <w:rPr>
          <w:rFonts w:ascii="Arial" w:hAnsi="Arial" w:cs="Arial"/>
          <w:sz w:val="19"/>
          <w:szCs w:val="19"/>
        </w:rPr>
        <w:t>e Constitucional, sentencia T-743 de 2017,</w:t>
      </w:r>
      <w:r w:rsidR="002F0E1A" w:rsidRPr="00C66C84">
        <w:rPr>
          <w:rFonts w:ascii="Arial" w:hAnsi="Arial" w:cs="Arial"/>
          <w:sz w:val="19"/>
          <w:szCs w:val="19"/>
        </w:rPr>
        <w:t xml:space="preserve"> Exp.</w:t>
      </w:r>
      <w:r w:rsidR="0055472C" w:rsidRPr="00C66C84">
        <w:rPr>
          <w:rFonts w:ascii="Arial" w:hAnsi="Arial" w:cs="Arial"/>
          <w:sz w:val="19"/>
          <w:szCs w:val="19"/>
        </w:rPr>
        <w:t xml:space="preserve"> T-6.366.648</w:t>
      </w:r>
      <w:r w:rsidR="007F0AC8" w:rsidRPr="00C66C84">
        <w:rPr>
          <w:rFonts w:ascii="Arial" w:hAnsi="Arial" w:cs="Arial"/>
          <w:sz w:val="19"/>
          <w:szCs w:val="19"/>
        </w:rPr>
        <w:t xml:space="preserve"> Magistrad</w:t>
      </w:r>
      <w:r w:rsidR="00311A93" w:rsidRPr="00C66C84">
        <w:rPr>
          <w:rFonts w:ascii="Arial" w:hAnsi="Arial" w:cs="Arial"/>
          <w:sz w:val="19"/>
          <w:szCs w:val="19"/>
        </w:rPr>
        <w:t xml:space="preserve">a </w:t>
      </w:r>
      <w:r w:rsidR="007F0AC8" w:rsidRPr="00C66C84">
        <w:rPr>
          <w:rFonts w:ascii="Arial" w:hAnsi="Arial" w:cs="Arial"/>
          <w:sz w:val="19"/>
          <w:szCs w:val="19"/>
        </w:rPr>
        <w:t>Ponente</w:t>
      </w:r>
      <w:r w:rsidR="00311A93" w:rsidRPr="00C66C84">
        <w:rPr>
          <w:rFonts w:ascii="Arial" w:hAnsi="Arial" w:cs="Arial"/>
          <w:sz w:val="19"/>
          <w:szCs w:val="19"/>
        </w:rPr>
        <w:t xml:space="preserve"> Cri</w:t>
      </w:r>
      <w:r w:rsidR="002F0E1A" w:rsidRPr="00C66C84">
        <w:rPr>
          <w:rFonts w:ascii="Arial" w:hAnsi="Arial" w:cs="Arial"/>
          <w:sz w:val="19"/>
          <w:szCs w:val="19"/>
        </w:rPr>
        <w:t>stina Pardo Schlesinger</w:t>
      </w:r>
      <w:r w:rsidR="0072749E">
        <w:rPr>
          <w:rFonts w:ascii="Arial" w:hAnsi="Arial" w:cs="Arial"/>
          <w:sz w:val="19"/>
          <w:szCs w:val="19"/>
        </w:rPr>
        <w:t>.</w:t>
      </w:r>
    </w:p>
  </w:footnote>
  <w:footnote w:id="21">
    <w:p w14:paraId="52B65886" w14:textId="4C72FB4E" w:rsidR="00172805" w:rsidRPr="00EF1055" w:rsidRDefault="00172805" w:rsidP="00BC359D">
      <w:pPr>
        <w:spacing w:after="0" w:line="240" w:lineRule="auto"/>
        <w:ind w:left="300" w:right="306" w:firstLine="408"/>
        <w:jc w:val="both"/>
        <w:rPr>
          <w:rFonts w:ascii="Arial" w:hAnsi="Arial" w:cs="Arial"/>
          <w:sz w:val="19"/>
          <w:szCs w:val="19"/>
        </w:rPr>
      </w:pPr>
      <w:r w:rsidRPr="00EF1055">
        <w:rPr>
          <w:rStyle w:val="Refdenotaalpie"/>
          <w:rFonts w:ascii="Arial" w:hAnsi="Arial" w:cs="Arial"/>
          <w:sz w:val="19"/>
          <w:szCs w:val="19"/>
        </w:rPr>
        <w:footnoteRef/>
      </w:r>
      <w:r w:rsidRPr="00EF1055">
        <w:rPr>
          <w:rFonts w:ascii="Arial" w:hAnsi="Arial" w:cs="Arial"/>
          <w:sz w:val="19"/>
          <w:szCs w:val="19"/>
        </w:rPr>
        <w:t xml:space="preserve"> </w:t>
      </w:r>
      <w:r w:rsidR="00EF1055">
        <w:rPr>
          <w:rFonts w:ascii="Arial" w:hAnsi="Arial" w:cs="Arial"/>
          <w:sz w:val="19"/>
          <w:szCs w:val="19"/>
        </w:rPr>
        <w:t>«</w:t>
      </w:r>
      <w:r w:rsidRPr="00EF1055">
        <w:rPr>
          <w:rFonts w:ascii="Arial" w:hAnsi="Arial" w:cs="Arial"/>
          <w:sz w:val="19"/>
          <w:szCs w:val="19"/>
        </w:rPr>
        <w:t>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w:t>
      </w:r>
    </w:p>
    <w:p w14:paraId="386EFD99" w14:textId="58EE21AB" w:rsidR="00172805" w:rsidRPr="00EF1055" w:rsidRDefault="00EF1055" w:rsidP="00EF1055">
      <w:pPr>
        <w:spacing w:after="0" w:line="240" w:lineRule="auto"/>
        <w:ind w:left="300" w:right="306"/>
        <w:rPr>
          <w:rFonts w:ascii="Arial" w:hAnsi="Arial" w:cs="Arial"/>
          <w:sz w:val="19"/>
          <w:szCs w:val="19"/>
        </w:rPr>
      </w:pPr>
      <w:r>
        <w:rPr>
          <w:rFonts w:ascii="Arial" w:hAnsi="Arial" w:cs="Arial"/>
          <w:sz w:val="19"/>
          <w:szCs w:val="19"/>
        </w:rPr>
        <w:t>[</w:t>
      </w:r>
      <w:r w:rsidR="00172805" w:rsidRPr="00EF1055">
        <w:rPr>
          <w:rFonts w:ascii="Arial" w:hAnsi="Arial" w:cs="Arial"/>
          <w:sz w:val="19"/>
          <w:szCs w:val="19"/>
        </w:rPr>
        <w:t>…</w:t>
      </w:r>
      <w:r>
        <w:rPr>
          <w:rFonts w:ascii="Arial" w:hAnsi="Arial" w:cs="Arial"/>
          <w:sz w:val="19"/>
          <w:szCs w:val="19"/>
        </w:rPr>
        <w:t>]</w:t>
      </w:r>
    </w:p>
    <w:p w14:paraId="1503A629" w14:textId="77777777" w:rsidR="00172805" w:rsidRPr="00EF1055" w:rsidRDefault="00172805" w:rsidP="00EF1055">
      <w:pPr>
        <w:pStyle w:val="Textoindependiente"/>
        <w:ind w:left="300" w:right="306"/>
        <w:rPr>
          <w:rFonts w:ascii="Arial" w:hAnsi="Arial" w:cs="Arial"/>
          <w:sz w:val="19"/>
          <w:szCs w:val="19"/>
        </w:rPr>
      </w:pPr>
    </w:p>
    <w:p w14:paraId="480A22A0" w14:textId="5E94417A" w:rsidR="00172805" w:rsidRPr="00EF1055" w:rsidRDefault="00EF1055" w:rsidP="00EF1055">
      <w:pPr>
        <w:spacing w:after="0" w:line="240" w:lineRule="auto"/>
        <w:ind w:left="300" w:right="306"/>
        <w:jc w:val="both"/>
        <w:rPr>
          <w:rFonts w:ascii="Arial" w:hAnsi="Arial" w:cs="Arial"/>
          <w:sz w:val="19"/>
          <w:szCs w:val="19"/>
        </w:rPr>
      </w:pPr>
      <w:r>
        <w:rPr>
          <w:rFonts w:ascii="Arial" w:hAnsi="Arial" w:cs="Arial"/>
          <w:sz w:val="19"/>
          <w:szCs w:val="19"/>
        </w:rPr>
        <w:t>»</w:t>
      </w:r>
      <w:r w:rsidR="00172805" w:rsidRPr="00EF1055">
        <w:rPr>
          <w:rFonts w:ascii="Arial" w:hAnsi="Arial" w:cs="Arial"/>
          <w:sz w:val="19"/>
          <w:szCs w:val="19"/>
        </w:rPr>
        <w:t>Bajo esta lógica, deberá verificarse la estructuración material de los elementos fundamentales de un contrato de trabajo, ‘independientemente de la vinculación o denominación que el empleador adopte para el tipo de contrato que suscriba con el trabajador´. Así, la jurisprudencia de la Corte ha reconocido que los elementos que configuran la existencia de un contrato de trabajo son (i) el salario, (ii) la continua subordinación o dependencia y (iii) la prestación personal del servicio. Por lo tanto, si el juez de tutela concluye la concurrencia de estos tres elementos en una vinculación mediante contrato de prestación de servicios de una trabajadora gestante o lactante, podrá concluirse que se está en presencia de un verdadero contrato de</w:t>
      </w:r>
      <w:r w:rsidR="00172805" w:rsidRPr="00EF1055">
        <w:rPr>
          <w:rFonts w:ascii="Arial" w:hAnsi="Arial" w:cs="Arial"/>
          <w:spacing w:val="-17"/>
          <w:sz w:val="19"/>
          <w:szCs w:val="19"/>
        </w:rPr>
        <w:t xml:space="preserve"> </w:t>
      </w:r>
      <w:r w:rsidR="00172805" w:rsidRPr="00EF1055">
        <w:rPr>
          <w:rFonts w:ascii="Arial" w:hAnsi="Arial" w:cs="Arial"/>
          <w:sz w:val="19"/>
          <w:szCs w:val="19"/>
        </w:rPr>
        <w:t>trabajo</w:t>
      </w:r>
      <w:r>
        <w:rPr>
          <w:rFonts w:ascii="Arial" w:hAnsi="Arial" w:cs="Arial"/>
          <w:sz w:val="19"/>
          <w:szCs w:val="19"/>
        </w:rPr>
        <w:t>»</w:t>
      </w:r>
      <w:r w:rsidR="00172805" w:rsidRPr="00EF1055">
        <w:rPr>
          <w:rFonts w:ascii="Arial" w:hAnsi="Arial" w:cs="Arial"/>
          <w:sz w:val="19"/>
          <w:szCs w:val="19"/>
        </w:rPr>
        <w:t>.</w:t>
      </w:r>
    </w:p>
    <w:p w14:paraId="47DF22A6" w14:textId="77777777" w:rsidR="00172805" w:rsidRPr="001E48ED" w:rsidRDefault="00172805" w:rsidP="00172805">
      <w:pPr>
        <w:pStyle w:val="Textonotapie"/>
        <w:ind w:left="300" w:right="306"/>
        <w:rPr>
          <w:sz w:val="18"/>
          <w:szCs w:val="18"/>
        </w:rPr>
      </w:pPr>
    </w:p>
  </w:footnote>
  <w:footnote w:id="22">
    <w:p w14:paraId="564121EE" w14:textId="06767967" w:rsidR="00172805" w:rsidRPr="00EF1055" w:rsidRDefault="00172805" w:rsidP="00EF1055">
      <w:pPr>
        <w:spacing w:after="0" w:line="240" w:lineRule="auto"/>
        <w:ind w:left="300" w:right="306" w:firstLine="709"/>
        <w:jc w:val="both"/>
        <w:rPr>
          <w:rFonts w:ascii="Arial" w:hAnsi="Arial" w:cs="Arial"/>
          <w:sz w:val="19"/>
          <w:szCs w:val="19"/>
        </w:rPr>
      </w:pPr>
      <w:r w:rsidRPr="00EF1055">
        <w:rPr>
          <w:rStyle w:val="Refdenotaalpie"/>
          <w:rFonts w:ascii="Arial" w:hAnsi="Arial" w:cs="Arial"/>
          <w:sz w:val="19"/>
          <w:szCs w:val="19"/>
        </w:rPr>
        <w:footnoteRef/>
      </w:r>
      <w:r w:rsidRPr="00EF1055">
        <w:rPr>
          <w:rFonts w:ascii="Arial" w:hAnsi="Arial" w:cs="Arial"/>
          <w:sz w:val="19"/>
          <w:szCs w:val="19"/>
        </w:rPr>
        <w:t xml:space="preserve"> La Corte Constitucional en la sentencia T-102 del 1 de marzo de 2016 (M.P: María Victoria Calle Correa) protegió el derecho a la estabilidad laboral reforzada a dos mujeres que se encontraban en fuero de maternidad por demostrarse la existencia de un contrato realidad. En el expediente T-5.208.798 la Sala asumió la existencia de un contrato laboral de cara a la subordinación, pues estaba demostrado que la accionante, entre otras, cumplía un horario establecido por el contratante: </w:t>
      </w:r>
      <w:r w:rsidR="00EF1055">
        <w:rPr>
          <w:rFonts w:ascii="Arial" w:hAnsi="Arial" w:cs="Arial"/>
          <w:sz w:val="19"/>
          <w:szCs w:val="19"/>
        </w:rPr>
        <w:t>«</w:t>
      </w:r>
      <w:r w:rsidRPr="00EF1055">
        <w:rPr>
          <w:rFonts w:ascii="Arial" w:hAnsi="Arial" w:cs="Arial"/>
          <w:sz w:val="19"/>
          <w:szCs w:val="19"/>
        </w:rPr>
        <w:t>Obsérvese que el empleador no demostró, por ningún medio, la existencia de una causal objetiva relevante que justificara la terminación del contrato, por ejemplo, que la actividad que venía realizando la trabajadora ya no fuera necesaria para la asociación sindical, o de una justa causa de terminación de la relación laboral. Por el contrario, la labor asignada como asistente administrativa hace parte de las tareas cotidianas del sindicato</w:t>
      </w:r>
      <w:r w:rsidR="00EF1055">
        <w:rPr>
          <w:rFonts w:ascii="Arial" w:hAnsi="Arial" w:cs="Arial"/>
          <w:sz w:val="19"/>
          <w:szCs w:val="19"/>
        </w:rPr>
        <w:t>»</w:t>
      </w:r>
      <w:r w:rsidRPr="00EF1055">
        <w:rPr>
          <w:rFonts w:ascii="Arial" w:hAnsi="Arial" w:cs="Arial"/>
          <w:sz w:val="19"/>
          <w:szCs w:val="19"/>
        </w:rPr>
        <w:t>.</w:t>
      </w:r>
    </w:p>
    <w:p w14:paraId="1BBF8952" w14:textId="77777777" w:rsidR="00172805" w:rsidRPr="00EF1055" w:rsidRDefault="00172805" w:rsidP="00EF1055">
      <w:pPr>
        <w:pStyle w:val="Textonotapie"/>
        <w:spacing w:after="0" w:line="240" w:lineRule="auto"/>
        <w:ind w:left="300" w:right="306"/>
        <w:rPr>
          <w:rFonts w:ascii="Arial" w:hAnsi="Arial" w:cs="Arial"/>
          <w:sz w:val="19"/>
          <w:szCs w:val="19"/>
        </w:rPr>
      </w:pPr>
    </w:p>
  </w:footnote>
  <w:footnote w:id="23">
    <w:p w14:paraId="1E03CACF" w14:textId="0177D95E" w:rsidR="00172805" w:rsidRPr="00EF1055" w:rsidRDefault="00172805" w:rsidP="00EF1055">
      <w:pPr>
        <w:spacing w:before="78" w:after="0" w:line="240" w:lineRule="auto"/>
        <w:ind w:left="300" w:right="306" w:firstLine="562"/>
        <w:jc w:val="both"/>
        <w:rPr>
          <w:rFonts w:ascii="Arial" w:hAnsi="Arial" w:cs="Arial"/>
          <w:sz w:val="19"/>
          <w:szCs w:val="19"/>
        </w:rPr>
      </w:pPr>
      <w:r w:rsidRPr="00EF1055">
        <w:rPr>
          <w:rFonts w:ascii="Arial" w:hAnsi="Arial" w:cs="Arial"/>
          <w:sz w:val="19"/>
          <w:szCs w:val="19"/>
        </w:rPr>
        <w:t xml:space="preserve">  </w:t>
      </w:r>
      <w:r w:rsidRPr="00EF1055">
        <w:rPr>
          <w:rStyle w:val="Refdenotaalpie"/>
          <w:rFonts w:ascii="Arial" w:hAnsi="Arial" w:cs="Arial"/>
          <w:sz w:val="19"/>
          <w:szCs w:val="19"/>
        </w:rPr>
        <w:footnoteRef/>
      </w:r>
      <w:r w:rsidRPr="00EF1055">
        <w:rPr>
          <w:rFonts w:ascii="Arial" w:hAnsi="Arial" w:cs="Arial"/>
          <w:sz w:val="19"/>
          <w:szCs w:val="19"/>
        </w:rPr>
        <w:t xml:space="preserve"> Corte Constitucional, sentencia T-564 del 6 de septiembre de 2017, M.P: Cristina Pardo Schlesinger: </w:t>
      </w:r>
      <w:r w:rsidR="00EF1055">
        <w:rPr>
          <w:rFonts w:ascii="Arial" w:hAnsi="Arial" w:cs="Arial"/>
          <w:sz w:val="19"/>
          <w:szCs w:val="19"/>
        </w:rPr>
        <w:t>«</w:t>
      </w:r>
      <w:r w:rsidRPr="00EF1055">
        <w:rPr>
          <w:rFonts w:ascii="Arial" w:hAnsi="Arial" w:cs="Arial"/>
          <w:sz w:val="19"/>
          <w:szCs w:val="19"/>
        </w:rPr>
        <w:t>La Sala advierte, que ante las contradicciones respecto a los hechos en las cuales incurren las partes involucradas en el asunto de la referencia, en el presente caso no existen suficientes elementos de juicio para la demostración de la relación de trabajo afirmada por la accionante en el escrito de impugnación. La precariedad de las pruebas, los indicios sobre un contrato realidad encubierto y la validez de los documentos aportados al proceso, son asuntos que necesariamente deben ser estudiados por el juez ordinario</w:t>
      </w:r>
      <w:r w:rsidRPr="00EF1055">
        <w:rPr>
          <w:rFonts w:ascii="Arial" w:hAnsi="Arial" w:cs="Arial"/>
          <w:spacing w:val="-6"/>
          <w:sz w:val="19"/>
          <w:szCs w:val="19"/>
        </w:rPr>
        <w:t xml:space="preserve"> </w:t>
      </w:r>
      <w:r w:rsidRPr="00EF1055">
        <w:rPr>
          <w:rFonts w:ascii="Arial" w:hAnsi="Arial" w:cs="Arial"/>
          <w:sz w:val="19"/>
          <w:szCs w:val="19"/>
        </w:rPr>
        <w:t>laboral.</w:t>
      </w:r>
    </w:p>
    <w:p w14:paraId="0D4B6FCE" w14:textId="5DFF721C" w:rsidR="00172805" w:rsidRPr="00EF1055" w:rsidRDefault="00EF1055" w:rsidP="00EF1055">
      <w:pPr>
        <w:spacing w:after="0" w:line="240" w:lineRule="auto"/>
        <w:ind w:left="300" w:right="306"/>
        <w:rPr>
          <w:rFonts w:ascii="Arial" w:hAnsi="Arial" w:cs="Arial"/>
          <w:sz w:val="19"/>
          <w:szCs w:val="19"/>
        </w:rPr>
      </w:pPr>
      <w:r>
        <w:rPr>
          <w:rFonts w:ascii="Arial" w:hAnsi="Arial" w:cs="Arial"/>
          <w:sz w:val="19"/>
          <w:szCs w:val="19"/>
        </w:rPr>
        <w:t>[</w:t>
      </w:r>
      <w:r w:rsidR="00172805" w:rsidRPr="00EF1055">
        <w:rPr>
          <w:rFonts w:ascii="Arial" w:hAnsi="Arial" w:cs="Arial"/>
          <w:sz w:val="19"/>
          <w:szCs w:val="19"/>
        </w:rPr>
        <w:t>…</w:t>
      </w:r>
      <w:r>
        <w:rPr>
          <w:rFonts w:ascii="Arial" w:hAnsi="Arial" w:cs="Arial"/>
          <w:sz w:val="19"/>
          <w:szCs w:val="19"/>
        </w:rPr>
        <w:t>]</w:t>
      </w:r>
    </w:p>
    <w:p w14:paraId="220CDE0C" w14:textId="045A4551" w:rsidR="00172805" w:rsidRPr="00EF1055" w:rsidRDefault="00EF1055" w:rsidP="00EF1055">
      <w:pPr>
        <w:spacing w:after="0" w:line="240" w:lineRule="auto"/>
        <w:ind w:left="300" w:right="306"/>
        <w:jc w:val="both"/>
        <w:rPr>
          <w:rFonts w:ascii="Arial" w:hAnsi="Arial" w:cs="Arial"/>
          <w:sz w:val="19"/>
          <w:szCs w:val="19"/>
        </w:rPr>
      </w:pPr>
      <w:r>
        <w:rPr>
          <w:rFonts w:ascii="Arial" w:hAnsi="Arial" w:cs="Arial"/>
          <w:sz w:val="19"/>
          <w:szCs w:val="19"/>
        </w:rPr>
        <w:t>»</w:t>
      </w:r>
      <w:r w:rsidR="00172805" w:rsidRPr="00EF1055">
        <w:rPr>
          <w:rFonts w:ascii="Arial" w:hAnsi="Arial" w:cs="Arial"/>
          <w:sz w:val="19"/>
          <w:szCs w:val="19"/>
        </w:rPr>
        <w:t>Así las cosas, encuentra la Sala que se cumplen los criterios determinados por la Corporación para proceder al amparo de los derechos fundamentales de la contratista: (i) existió una relación de prestación de servicios entre las partes; (ii) la accionante se encontraba en estado de embarazo y dicha situación fue informada a la accionada en el mes de noviembre de 2016, y (iii) a pocos días de conocerse el estado de gestación de la peticionaria, la relación contractual que había sido continua durante ocho (8) meses aproximadamente, se terminó por decisión de la parte contratante y sin que mediara autorización del inspector del trabajo, requisito necesario  en el  presente  caso concreto,  aun cuando se trate de un contrato de prestación de servicios, pues el amparo constitucional de la estabilidad laboral reforzada de las mujeres embarazadas también es aplicable a este tipo de vinculación contractual, acudiendo a la asimilación de estas alternativas a una relación laboral sin condiciones específicas de</w:t>
      </w:r>
      <w:r w:rsidR="00172805" w:rsidRPr="00EF1055">
        <w:rPr>
          <w:rFonts w:ascii="Arial" w:hAnsi="Arial" w:cs="Arial"/>
          <w:spacing w:val="2"/>
          <w:sz w:val="19"/>
          <w:szCs w:val="19"/>
        </w:rPr>
        <w:t xml:space="preserve"> </w:t>
      </w:r>
      <w:r w:rsidR="00172805" w:rsidRPr="00EF1055">
        <w:rPr>
          <w:rFonts w:ascii="Arial" w:hAnsi="Arial" w:cs="Arial"/>
          <w:sz w:val="19"/>
          <w:szCs w:val="19"/>
        </w:rPr>
        <w:t>terminación</w:t>
      </w:r>
      <w:r w:rsidR="009D5E28">
        <w:rPr>
          <w:rFonts w:ascii="Arial" w:hAnsi="Arial" w:cs="Arial"/>
          <w:sz w:val="19"/>
          <w:szCs w:val="19"/>
        </w:rPr>
        <w:t>»</w:t>
      </w:r>
      <w:r w:rsidR="00172805" w:rsidRPr="00EF1055">
        <w:rPr>
          <w:rFonts w:ascii="Arial" w:hAnsi="Arial" w:cs="Arial"/>
          <w:sz w:val="19"/>
          <w:szCs w:val="19"/>
        </w:rPr>
        <w:t>.</w:t>
      </w:r>
    </w:p>
    <w:p w14:paraId="62AF2C47" w14:textId="77777777" w:rsidR="00172805" w:rsidRPr="001E48ED" w:rsidRDefault="00172805" w:rsidP="00172805">
      <w:pPr>
        <w:spacing w:line="249" w:lineRule="auto"/>
        <w:ind w:left="300" w:right="306" w:firstLine="850"/>
        <w:jc w:val="both"/>
        <w:rPr>
          <w:sz w:val="18"/>
          <w:szCs w:val="18"/>
        </w:rPr>
      </w:pPr>
    </w:p>
    <w:p w14:paraId="7542894A" w14:textId="77777777" w:rsidR="00172805" w:rsidRPr="001E48ED" w:rsidRDefault="00172805" w:rsidP="00172805">
      <w:pPr>
        <w:pStyle w:val="Textonotapie"/>
        <w:ind w:left="300" w:right="306"/>
        <w:rPr>
          <w:sz w:val="18"/>
          <w:szCs w:val="18"/>
        </w:rPr>
      </w:pPr>
    </w:p>
  </w:footnote>
  <w:footnote w:id="24">
    <w:p w14:paraId="51F9CDB3" w14:textId="77777777" w:rsidR="006A5A54" w:rsidRPr="00D00707" w:rsidRDefault="006A5A54" w:rsidP="006A5A54">
      <w:pPr>
        <w:pStyle w:val="Textonotapie"/>
        <w:rPr>
          <w:lang w:val="es-CO"/>
        </w:rPr>
      </w:pPr>
      <w:r>
        <w:rPr>
          <w:rStyle w:val="Refdenotaalpie"/>
        </w:rPr>
        <w:footnoteRef/>
      </w:r>
      <w:r>
        <w:t xml:space="preserve"> </w:t>
      </w:r>
      <w:r w:rsidRPr="001B065E">
        <w:rPr>
          <w:rFonts w:ascii="Arial" w:hAnsi="Arial" w:cs="Arial"/>
          <w:color w:val="000000"/>
          <w:sz w:val="19"/>
          <w:szCs w:val="19"/>
          <w:lang w:val="es-ES"/>
        </w:rPr>
        <w:t>Corte Constitucional. Se</w:t>
      </w:r>
      <w:r>
        <w:rPr>
          <w:rFonts w:ascii="Arial" w:hAnsi="Arial" w:cs="Arial"/>
          <w:color w:val="000000"/>
          <w:sz w:val="19"/>
          <w:szCs w:val="19"/>
          <w:lang w:val="es-ES"/>
        </w:rPr>
        <w:t>ntencia SU 075-</w:t>
      </w:r>
      <w:r w:rsidRPr="001B065E">
        <w:rPr>
          <w:rFonts w:ascii="Arial" w:hAnsi="Arial" w:cs="Arial"/>
          <w:color w:val="000000"/>
          <w:sz w:val="19"/>
          <w:szCs w:val="19"/>
          <w:lang w:val="es-ES"/>
        </w:rPr>
        <w:t xml:space="preserve"> de </w:t>
      </w:r>
      <w:r>
        <w:rPr>
          <w:rFonts w:ascii="Arial" w:hAnsi="Arial" w:cs="Arial"/>
          <w:color w:val="000000"/>
          <w:sz w:val="19"/>
          <w:szCs w:val="19"/>
          <w:lang w:val="es-ES"/>
        </w:rPr>
        <w:t>2018</w:t>
      </w:r>
      <w:r w:rsidRPr="001B065E">
        <w:rPr>
          <w:rFonts w:ascii="Arial" w:hAnsi="Arial" w:cs="Arial"/>
          <w:color w:val="000000"/>
          <w:sz w:val="19"/>
          <w:szCs w:val="19"/>
          <w:lang w:val="es-ES"/>
        </w:rPr>
        <w:t xml:space="preserve">. Magistrado Ponente: </w:t>
      </w:r>
      <w:r w:rsidRPr="00D00707">
        <w:rPr>
          <w:rFonts w:ascii="Arial" w:hAnsi="Arial" w:cs="Arial"/>
          <w:color w:val="000000"/>
          <w:sz w:val="19"/>
          <w:szCs w:val="19"/>
          <w:lang w:val="es-ES"/>
        </w:rPr>
        <w:t>Gloria Stella Ortiz Delgado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43C8" w14:textId="77777777" w:rsidR="002C3290" w:rsidRDefault="002C3290" w:rsidP="002C3290">
    <w:pPr>
      <w:spacing w:after="0"/>
      <w:rPr>
        <w:rFonts w:ascii="Geomanist Light" w:hAnsi="Geomanist Light"/>
        <w:color w:val="002060"/>
        <w:sz w:val="16"/>
        <w:szCs w:val="16"/>
      </w:rPr>
    </w:pPr>
  </w:p>
  <w:p w14:paraId="04F7EB9A" w14:textId="77777777" w:rsidR="002C3290" w:rsidRDefault="002C3290" w:rsidP="002C3290">
    <w:pPr>
      <w:spacing w:after="0"/>
      <w:rPr>
        <w:rFonts w:ascii="Geomanist Light" w:hAnsi="Geomanist Light"/>
        <w:color w:val="002060"/>
        <w:sz w:val="16"/>
        <w:szCs w:val="16"/>
      </w:rPr>
    </w:pPr>
  </w:p>
  <w:p w14:paraId="50EAE0C4" w14:textId="16D859C0" w:rsidR="002C3290" w:rsidRPr="007566FE" w:rsidRDefault="002C3290" w:rsidP="002C3290">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7076F06D" wp14:editId="59593593">
          <wp:simplePos x="0" y="0"/>
          <wp:positionH relativeFrom="margin">
            <wp:posOffset>4038073</wp:posOffset>
          </wp:positionH>
          <wp:positionV relativeFrom="paragraph">
            <wp:posOffset>-45505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5DBD9ECF" w14:textId="77777777" w:rsidR="002C3290" w:rsidRPr="007566FE" w:rsidRDefault="002C3290" w:rsidP="002C3290">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4E8262B6" w14:textId="77777777" w:rsidR="002C3290" w:rsidRDefault="002C3290" w:rsidP="002C3290">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7985B7ED" wp14:editId="19EDFFFA">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7B11AF17" w14:textId="77777777" w:rsidR="002C3290" w:rsidRPr="007566FE" w:rsidRDefault="002C3290" w:rsidP="002C3290">
    <w:pPr>
      <w:spacing w:after="0"/>
      <w:rPr>
        <w:rFonts w:ascii="Geomanist Light" w:hAnsi="Geomanist Light"/>
        <w:color w:val="002060"/>
        <w:sz w:val="16"/>
        <w:szCs w:val="16"/>
      </w:rPr>
    </w:pPr>
  </w:p>
  <w:p w14:paraId="5103A231" w14:textId="77777777" w:rsidR="00FE0395" w:rsidRDefault="008557EB" w:rsidP="00FE0395">
    <w:pPr>
      <w:pStyle w:val="Encabezado"/>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99"/>
    <w:rsid w:val="000031FA"/>
    <w:rsid w:val="000156B4"/>
    <w:rsid w:val="000175B9"/>
    <w:rsid w:val="00023873"/>
    <w:rsid w:val="00023B56"/>
    <w:rsid w:val="00035099"/>
    <w:rsid w:val="0004101C"/>
    <w:rsid w:val="00047FB1"/>
    <w:rsid w:val="000701F2"/>
    <w:rsid w:val="00070CCD"/>
    <w:rsid w:val="00071B4D"/>
    <w:rsid w:val="000750C1"/>
    <w:rsid w:val="00080E8C"/>
    <w:rsid w:val="00085F0E"/>
    <w:rsid w:val="0009513D"/>
    <w:rsid w:val="000A19E8"/>
    <w:rsid w:val="000A1D5B"/>
    <w:rsid w:val="000A262E"/>
    <w:rsid w:val="000B249A"/>
    <w:rsid w:val="000B343C"/>
    <w:rsid w:val="000B3FD9"/>
    <w:rsid w:val="000B6F91"/>
    <w:rsid w:val="000B731C"/>
    <w:rsid w:val="000C0E39"/>
    <w:rsid w:val="000C32BA"/>
    <w:rsid w:val="000C4AB4"/>
    <w:rsid w:val="000C6BFA"/>
    <w:rsid w:val="000D198C"/>
    <w:rsid w:val="000D33C8"/>
    <w:rsid w:val="000E2A5F"/>
    <w:rsid w:val="000E6BB8"/>
    <w:rsid w:val="000F0E9B"/>
    <w:rsid w:val="000F0F8B"/>
    <w:rsid w:val="000F40BA"/>
    <w:rsid w:val="0010131C"/>
    <w:rsid w:val="00105013"/>
    <w:rsid w:val="00107DC8"/>
    <w:rsid w:val="00110A41"/>
    <w:rsid w:val="00110DA3"/>
    <w:rsid w:val="0011362A"/>
    <w:rsid w:val="00116BCF"/>
    <w:rsid w:val="00122911"/>
    <w:rsid w:val="00141285"/>
    <w:rsid w:val="00145526"/>
    <w:rsid w:val="00147F01"/>
    <w:rsid w:val="001500F3"/>
    <w:rsid w:val="00152BC5"/>
    <w:rsid w:val="00153885"/>
    <w:rsid w:val="0015624F"/>
    <w:rsid w:val="00160D0C"/>
    <w:rsid w:val="00161A21"/>
    <w:rsid w:val="00161F75"/>
    <w:rsid w:val="00166BEE"/>
    <w:rsid w:val="0016704E"/>
    <w:rsid w:val="001674E8"/>
    <w:rsid w:val="00171EA4"/>
    <w:rsid w:val="00172805"/>
    <w:rsid w:val="00177512"/>
    <w:rsid w:val="001803F7"/>
    <w:rsid w:val="00183B0F"/>
    <w:rsid w:val="00190BF0"/>
    <w:rsid w:val="00194F8C"/>
    <w:rsid w:val="001A0166"/>
    <w:rsid w:val="001B6597"/>
    <w:rsid w:val="001B70E3"/>
    <w:rsid w:val="001C0FA4"/>
    <w:rsid w:val="001C7B52"/>
    <w:rsid w:val="001D0C2E"/>
    <w:rsid w:val="001D559D"/>
    <w:rsid w:val="001D6B27"/>
    <w:rsid w:val="001E5064"/>
    <w:rsid w:val="001E6948"/>
    <w:rsid w:val="001F18B8"/>
    <w:rsid w:val="002006F4"/>
    <w:rsid w:val="00206D37"/>
    <w:rsid w:val="002117EB"/>
    <w:rsid w:val="00213A0D"/>
    <w:rsid w:val="0021751F"/>
    <w:rsid w:val="00224DDA"/>
    <w:rsid w:val="002311D8"/>
    <w:rsid w:val="0023670C"/>
    <w:rsid w:val="00240437"/>
    <w:rsid w:val="00241269"/>
    <w:rsid w:val="002447F4"/>
    <w:rsid w:val="00260A72"/>
    <w:rsid w:val="002731C0"/>
    <w:rsid w:val="00275698"/>
    <w:rsid w:val="00280E45"/>
    <w:rsid w:val="00281706"/>
    <w:rsid w:val="00285C06"/>
    <w:rsid w:val="0029376C"/>
    <w:rsid w:val="00294179"/>
    <w:rsid w:val="00297ED1"/>
    <w:rsid w:val="002A2F3A"/>
    <w:rsid w:val="002A6871"/>
    <w:rsid w:val="002B32F4"/>
    <w:rsid w:val="002B5604"/>
    <w:rsid w:val="002B750D"/>
    <w:rsid w:val="002C0E6E"/>
    <w:rsid w:val="002C3290"/>
    <w:rsid w:val="002C79E0"/>
    <w:rsid w:val="002C7B24"/>
    <w:rsid w:val="002D3F28"/>
    <w:rsid w:val="002D5519"/>
    <w:rsid w:val="002D5737"/>
    <w:rsid w:val="002E6784"/>
    <w:rsid w:val="002F0E1A"/>
    <w:rsid w:val="002F115C"/>
    <w:rsid w:val="002F2F7C"/>
    <w:rsid w:val="002F6743"/>
    <w:rsid w:val="002F6D4F"/>
    <w:rsid w:val="002F7301"/>
    <w:rsid w:val="003033D9"/>
    <w:rsid w:val="00311A93"/>
    <w:rsid w:val="00324262"/>
    <w:rsid w:val="00331539"/>
    <w:rsid w:val="00332E66"/>
    <w:rsid w:val="00333773"/>
    <w:rsid w:val="0034343F"/>
    <w:rsid w:val="003503FE"/>
    <w:rsid w:val="00351602"/>
    <w:rsid w:val="00351C2A"/>
    <w:rsid w:val="003559D0"/>
    <w:rsid w:val="0036202D"/>
    <w:rsid w:val="00362289"/>
    <w:rsid w:val="0036374F"/>
    <w:rsid w:val="00363F3F"/>
    <w:rsid w:val="00364DB9"/>
    <w:rsid w:val="00365DCF"/>
    <w:rsid w:val="003715DE"/>
    <w:rsid w:val="0038130B"/>
    <w:rsid w:val="003833CA"/>
    <w:rsid w:val="00383DE8"/>
    <w:rsid w:val="00396579"/>
    <w:rsid w:val="003A0671"/>
    <w:rsid w:val="003A183C"/>
    <w:rsid w:val="003A2789"/>
    <w:rsid w:val="003A498D"/>
    <w:rsid w:val="003A6241"/>
    <w:rsid w:val="003A73E5"/>
    <w:rsid w:val="003A7C0C"/>
    <w:rsid w:val="003B16E8"/>
    <w:rsid w:val="003B7BF1"/>
    <w:rsid w:val="003C6F9E"/>
    <w:rsid w:val="003D3689"/>
    <w:rsid w:val="003E0AC0"/>
    <w:rsid w:val="003F63F1"/>
    <w:rsid w:val="0040011A"/>
    <w:rsid w:val="0040144E"/>
    <w:rsid w:val="004107C0"/>
    <w:rsid w:val="00412C45"/>
    <w:rsid w:val="00414EB1"/>
    <w:rsid w:val="00417918"/>
    <w:rsid w:val="004262B0"/>
    <w:rsid w:val="00426BCB"/>
    <w:rsid w:val="00432399"/>
    <w:rsid w:val="00432EF2"/>
    <w:rsid w:val="00433451"/>
    <w:rsid w:val="0043434B"/>
    <w:rsid w:val="00437A88"/>
    <w:rsid w:val="00437E6A"/>
    <w:rsid w:val="004544D9"/>
    <w:rsid w:val="00455972"/>
    <w:rsid w:val="00457987"/>
    <w:rsid w:val="00464E24"/>
    <w:rsid w:val="00467048"/>
    <w:rsid w:val="004673D7"/>
    <w:rsid w:val="00475FEF"/>
    <w:rsid w:val="0048217E"/>
    <w:rsid w:val="00485574"/>
    <w:rsid w:val="00492CE8"/>
    <w:rsid w:val="00497692"/>
    <w:rsid w:val="004A6A92"/>
    <w:rsid w:val="004B07B6"/>
    <w:rsid w:val="004B5310"/>
    <w:rsid w:val="004B604C"/>
    <w:rsid w:val="004C3673"/>
    <w:rsid w:val="004C4DD6"/>
    <w:rsid w:val="004C53AD"/>
    <w:rsid w:val="004C7034"/>
    <w:rsid w:val="004D003A"/>
    <w:rsid w:val="004D0891"/>
    <w:rsid w:val="004D3246"/>
    <w:rsid w:val="004D7CB6"/>
    <w:rsid w:val="004D7F50"/>
    <w:rsid w:val="004E2B12"/>
    <w:rsid w:val="004E4E8B"/>
    <w:rsid w:val="004E5D5E"/>
    <w:rsid w:val="004F075B"/>
    <w:rsid w:val="005041CF"/>
    <w:rsid w:val="005124D4"/>
    <w:rsid w:val="00517D50"/>
    <w:rsid w:val="0052728C"/>
    <w:rsid w:val="00530A94"/>
    <w:rsid w:val="00530B58"/>
    <w:rsid w:val="005319F2"/>
    <w:rsid w:val="00541C1E"/>
    <w:rsid w:val="00552CAC"/>
    <w:rsid w:val="00553986"/>
    <w:rsid w:val="0055472C"/>
    <w:rsid w:val="005613F0"/>
    <w:rsid w:val="00562BD5"/>
    <w:rsid w:val="00565665"/>
    <w:rsid w:val="0057263D"/>
    <w:rsid w:val="0057331A"/>
    <w:rsid w:val="0057544E"/>
    <w:rsid w:val="00583D2C"/>
    <w:rsid w:val="005846EF"/>
    <w:rsid w:val="00585113"/>
    <w:rsid w:val="00591DA8"/>
    <w:rsid w:val="00593B60"/>
    <w:rsid w:val="00596DF5"/>
    <w:rsid w:val="005A0CEA"/>
    <w:rsid w:val="005A3C8C"/>
    <w:rsid w:val="005C0676"/>
    <w:rsid w:val="005C1E08"/>
    <w:rsid w:val="005C5D4C"/>
    <w:rsid w:val="005D62F1"/>
    <w:rsid w:val="005E07C0"/>
    <w:rsid w:val="005E614D"/>
    <w:rsid w:val="005F0F9D"/>
    <w:rsid w:val="005F20AC"/>
    <w:rsid w:val="005F2692"/>
    <w:rsid w:val="005F2C99"/>
    <w:rsid w:val="005F3460"/>
    <w:rsid w:val="005F7ABF"/>
    <w:rsid w:val="0060398B"/>
    <w:rsid w:val="00611778"/>
    <w:rsid w:val="0061603E"/>
    <w:rsid w:val="006205FA"/>
    <w:rsid w:val="006219C2"/>
    <w:rsid w:val="00625049"/>
    <w:rsid w:val="006313A1"/>
    <w:rsid w:val="006471DA"/>
    <w:rsid w:val="00647F2C"/>
    <w:rsid w:val="0065175E"/>
    <w:rsid w:val="006528E9"/>
    <w:rsid w:val="006610BD"/>
    <w:rsid w:val="0066751E"/>
    <w:rsid w:val="0066787D"/>
    <w:rsid w:val="0067721F"/>
    <w:rsid w:val="00680E6D"/>
    <w:rsid w:val="00681057"/>
    <w:rsid w:val="00681DDB"/>
    <w:rsid w:val="0068556D"/>
    <w:rsid w:val="006878D2"/>
    <w:rsid w:val="00695504"/>
    <w:rsid w:val="006967C0"/>
    <w:rsid w:val="006A169B"/>
    <w:rsid w:val="006A5A54"/>
    <w:rsid w:val="006B04FE"/>
    <w:rsid w:val="006B2283"/>
    <w:rsid w:val="006B503D"/>
    <w:rsid w:val="006C0B11"/>
    <w:rsid w:val="006E178A"/>
    <w:rsid w:val="006F1331"/>
    <w:rsid w:val="006F2C58"/>
    <w:rsid w:val="00702931"/>
    <w:rsid w:val="00702ECE"/>
    <w:rsid w:val="00705840"/>
    <w:rsid w:val="0071095F"/>
    <w:rsid w:val="00722082"/>
    <w:rsid w:val="0072349A"/>
    <w:rsid w:val="00723E23"/>
    <w:rsid w:val="007258D9"/>
    <w:rsid w:val="0072749E"/>
    <w:rsid w:val="0073185C"/>
    <w:rsid w:val="00731B57"/>
    <w:rsid w:val="0073406A"/>
    <w:rsid w:val="00734189"/>
    <w:rsid w:val="00734827"/>
    <w:rsid w:val="00734B22"/>
    <w:rsid w:val="00735997"/>
    <w:rsid w:val="00746F0D"/>
    <w:rsid w:val="00750E39"/>
    <w:rsid w:val="00751D36"/>
    <w:rsid w:val="00751DF1"/>
    <w:rsid w:val="00752139"/>
    <w:rsid w:val="007527D5"/>
    <w:rsid w:val="0075621F"/>
    <w:rsid w:val="00762D8E"/>
    <w:rsid w:val="00763C96"/>
    <w:rsid w:val="00766DE9"/>
    <w:rsid w:val="007755CC"/>
    <w:rsid w:val="007762A0"/>
    <w:rsid w:val="00776DCA"/>
    <w:rsid w:val="00780F66"/>
    <w:rsid w:val="0078198D"/>
    <w:rsid w:val="007838D7"/>
    <w:rsid w:val="00794719"/>
    <w:rsid w:val="007A0103"/>
    <w:rsid w:val="007A0C4E"/>
    <w:rsid w:val="007A0F7B"/>
    <w:rsid w:val="007A36F3"/>
    <w:rsid w:val="007A38D0"/>
    <w:rsid w:val="007A7734"/>
    <w:rsid w:val="007C587A"/>
    <w:rsid w:val="007D135B"/>
    <w:rsid w:val="007D35CB"/>
    <w:rsid w:val="007E1DE0"/>
    <w:rsid w:val="007E283D"/>
    <w:rsid w:val="007E73C0"/>
    <w:rsid w:val="007F0AC8"/>
    <w:rsid w:val="007F207C"/>
    <w:rsid w:val="00801D7F"/>
    <w:rsid w:val="00803B65"/>
    <w:rsid w:val="008128F8"/>
    <w:rsid w:val="00812E59"/>
    <w:rsid w:val="00816141"/>
    <w:rsid w:val="00824164"/>
    <w:rsid w:val="0083002C"/>
    <w:rsid w:val="00833DC7"/>
    <w:rsid w:val="00836118"/>
    <w:rsid w:val="00844E0B"/>
    <w:rsid w:val="008557EB"/>
    <w:rsid w:val="00857532"/>
    <w:rsid w:val="00861F1F"/>
    <w:rsid w:val="008640E6"/>
    <w:rsid w:val="008642DB"/>
    <w:rsid w:val="00867DDC"/>
    <w:rsid w:val="00872349"/>
    <w:rsid w:val="008763A4"/>
    <w:rsid w:val="0088271D"/>
    <w:rsid w:val="0088348D"/>
    <w:rsid w:val="00885D4D"/>
    <w:rsid w:val="00886FBD"/>
    <w:rsid w:val="00893E8C"/>
    <w:rsid w:val="0089793A"/>
    <w:rsid w:val="008B5B8D"/>
    <w:rsid w:val="008B6FBE"/>
    <w:rsid w:val="008B73FF"/>
    <w:rsid w:val="008C065A"/>
    <w:rsid w:val="008C45FD"/>
    <w:rsid w:val="008D17E9"/>
    <w:rsid w:val="008D33F5"/>
    <w:rsid w:val="008E0224"/>
    <w:rsid w:val="008E18CD"/>
    <w:rsid w:val="008E5619"/>
    <w:rsid w:val="008E6128"/>
    <w:rsid w:val="008F0B8A"/>
    <w:rsid w:val="009018FF"/>
    <w:rsid w:val="00904A4D"/>
    <w:rsid w:val="00910A07"/>
    <w:rsid w:val="00923E59"/>
    <w:rsid w:val="009252F3"/>
    <w:rsid w:val="0092684E"/>
    <w:rsid w:val="00927783"/>
    <w:rsid w:val="00934D51"/>
    <w:rsid w:val="00935747"/>
    <w:rsid w:val="009364A3"/>
    <w:rsid w:val="009364AA"/>
    <w:rsid w:val="00936CBC"/>
    <w:rsid w:val="0093794C"/>
    <w:rsid w:val="009408F6"/>
    <w:rsid w:val="00955BA1"/>
    <w:rsid w:val="009561C9"/>
    <w:rsid w:val="0096144D"/>
    <w:rsid w:val="00963999"/>
    <w:rsid w:val="0096585D"/>
    <w:rsid w:val="00967660"/>
    <w:rsid w:val="00967B65"/>
    <w:rsid w:val="00970023"/>
    <w:rsid w:val="0097196E"/>
    <w:rsid w:val="009738B3"/>
    <w:rsid w:val="009742E0"/>
    <w:rsid w:val="009749BD"/>
    <w:rsid w:val="00974E0A"/>
    <w:rsid w:val="009762BE"/>
    <w:rsid w:val="00976CBC"/>
    <w:rsid w:val="00983A82"/>
    <w:rsid w:val="00986AE1"/>
    <w:rsid w:val="00994E87"/>
    <w:rsid w:val="00997BFD"/>
    <w:rsid w:val="009B0828"/>
    <w:rsid w:val="009C1545"/>
    <w:rsid w:val="009D0083"/>
    <w:rsid w:val="009D5E28"/>
    <w:rsid w:val="009D5F58"/>
    <w:rsid w:val="00A0219D"/>
    <w:rsid w:val="00A02976"/>
    <w:rsid w:val="00A04E07"/>
    <w:rsid w:val="00A10372"/>
    <w:rsid w:val="00A14FE6"/>
    <w:rsid w:val="00A164A5"/>
    <w:rsid w:val="00A176A7"/>
    <w:rsid w:val="00A22FC2"/>
    <w:rsid w:val="00A32BE6"/>
    <w:rsid w:val="00A343BD"/>
    <w:rsid w:val="00A34E16"/>
    <w:rsid w:val="00A57597"/>
    <w:rsid w:val="00A629FE"/>
    <w:rsid w:val="00A65D4C"/>
    <w:rsid w:val="00A67673"/>
    <w:rsid w:val="00A708FF"/>
    <w:rsid w:val="00A7129C"/>
    <w:rsid w:val="00A7652F"/>
    <w:rsid w:val="00A82B39"/>
    <w:rsid w:val="00A84DDD"/>
    <w:rsid w:val="00A86D4D"/>
    <w:rsid w:val="00A87DFC"/>
    <w:rsid w:val="00A940D2"/>
    <w:rsid w:val="00A96409"/>
    <w:rsid w:val="00AA19B2"/>
    <w:rsid w:val="00AA35FA"/>
    <w:rsid w:val="00AA7E1B"/>
    <w:rsid w:val="00AB0ADA"/>
    <w:rsid w:val="00AB129C"/>
    <w:rsid w:val="00AC71BE"/>
    <w:rsid w:val="00AD0217"/>
    <w:rsid w:val="00AD489E"/>
    <w:rsid w:val="00AD5A5C"/>
    <w:rsid w:val="00AD64D0"/>
    <w:rsid w:val="00AD735D"/>
    <w:rsid w:val="00AE01E8"/>
    <w:rsid w:val="00AE6812"/>
    <w:rsid w:val="00AF16BF"/>
    <w:rsid w:val="00AF1BF4"/>
    <w:rsid w:val="00AF3EFA"/>
    <w:rsid w:val="00AF439A"/>
    <w:rsid w:val="00AF5977"/>
    <w:rsid w:val="00B03590"/>
    <w:rsid w:val="00B041E0"/>
    <w:rsid w:val="00B06E8B"/>
    <w:rsid w:val="00B07E2D"/>
    <w:rsid w:val="00B10C57"/>
    <w:rsid w:val="00B11487"/>
    <w:rsid w:val="00B1254B"/>
    <w:rsid w:val="00B12EBB"/>
    <w:rsid w:val="00B14FD2"/>
    <w:rsid w:val="00B17D25"/>
    <w:rsid w:val="00B40041"/>
    <w:rsid w:val="00B40EBD"/>
    <w:rsid w:val="00B41D2C"/>
    <w:rsid w:val="00B4402A"/>
    <w:rsid w:val="00B55882"/>
    <w:rsid w:val="00B6051C"/>
    <w:rsid w:val="00B61DED"/>
    <w:rsid w:val="00B61F7C"/>
    <w:rsid w:val="00B63AA2"/>
    <w:rsid w:val="00B667C3"/>
    <w:rsid w:val="00B67295"/>
    <w:rsid w:val="00B71ED8"/>
    <w:rsid w:val="00B73371"/>
    <w:rsid w:val="00B808EE"/>
    <w:rsid w:val="00B820E5"/>
    <w:rsid w:val="00B82F94"/>
    <w:rsid w:val="00B83910"/>
    <w:rsid w:val="00B86CE9"/>
    <w:rsid w:val="00B970EA"/>
    <w:rsid w:val="00BB25ED"/>
    <w:rsid w:val="00BB4B8A"/>
    <w:rsid w:val="00BB52E0"/>
    <w:rsid w:val="00BC1EF4"/>
    <w:rsid w:val="00BC359D"/>
    <w:rsid w:val="00BC399C"/>
    <w:rsid w:val="00BC6501"/>
    <w:rsid w:val="00BD35A8"/>
    <w:rsid w:val="00BD4BD5"/>
    <w:rsid w:val="00BF3588"/>
    <w:rsid w:val="00BF61E0"/>
    <w:rsid w:val="00C002A8"/>
    <w:rsid w:val="00C010A6"/>
    <w:rsid w:val="00C02853"/>
    <w:rsid w:val="00C06488"/>
    <w:rsid w:val="00C116DC"/>
    <w:rsid w:val="00C12063"/>
    <w:rsid w:val="00C12134"/>
    <w:rsid w:val="00C126B4"/>
    <w:rsid w:val="00C17F72"/>
    <w:rsid w:val="00C22D19"/>
    <w:rsid w:val="00C335D3"/>
    <w:rsid w:val="00C33B67"/>
    <w:rsid w:val="00C41A3D"/>
    <w:rsid w:val="00C526FB"/>
    <w:rsid w:val="00C55853"/>
    <w:rsid w:val="00C66C84"/>
    <w:rsid w:val="00C72B7E"/>
    <w:rsid w:val="00C764F8"/>
    <w:rsid w:val="00C85F9E"/>
    <w:rsid w:val="00C861B1"/>
    <w:rsid w:val="00CA1022"/>
    <w:rsid w:val="00CA5CA6"/>
    <w:rsid w:val="00CB1191"/>
    <w:rsid w:val="00CB1B80"/>
    <w:rsid w:val="00CB4F8E"/>
    <w:rsid w:val="00CB5E00"/>
    <w:rsid w:val="00CC09AF"/>
    <w:rsid w:val="00CC4A6B"/>
    <w:rsid w:val="00CC7B57"/>
    <w:rsid w:val="00CD6043"/>
    <w:rsid w:val="00CD61B5"/>
    <w:rsid w:val="00CD71A9"/>
    <w:rsid w:val="00CE38FA"/>
    <w:rsid w:val="00CF1010"/>
    <w:rsid w:val="00CF1C17"/>
    <w:rsid w:val="00CF5A6B"/>
    <w:rsid w:val="00CF7151"/>
    <w:rsid w:val="00CF7603"/>
    <w:rsid w:val="00D050A8"/>
    <w:rsid w:val="00D05E3B"/>
    <w:rsid w:val="00D11E6F"/>
    <w:rsid w:val="00D129C3"/>
    <w:rsid w:val="00D13500"/>
    <w:rsid w:val="00D167E0"/>
    <w:rsid w:val="00D33EAF"/>
    <w:rsid w:val="00D3762F"/>
    <w:rsid w:val="00D40CEA"/>
    <w:rsid w:val="00D44693"/>
    <w:rsid w:val="00D53743"/>
    <w:rsid w:val="00D56F57"/>
    <w:rsid w:val="00D5791D"/>
    <w:rsid w:val="00D6040A"/>
    <w:rsid w:val="00D61084"/>
    <w:rsid w:val="00D648BD"/>
    <w:rsid w:val="00D71C51"/>
    <w:rsid w:val="00D72B60"/>
    <w:rsid w:val="00D738BD"/>
    <w:rsid w:val="00D73FCB"/>
    <w:rsid w:val="00D958B0"/>
    <w:rsid w:val="00DA0848"/>
    <w:rsid w:val="00DB7D20"/>
    <w:rsid w:val="00DB7EBF"/>
    <w:rsid w:val="00DC67EC"/>
    <w:rsid w:val="00DD0EC5"/>
    <w:rsid w:val="00DD19B7"/>
    <w:rsid w:val="00DD6E39"/>
    <w:rsid w:val="00DE1171"/>
    <w:rsid w:val="00DE140E"/>
    <w:rsid w:val="00DE22E7"/>
    <w:rsid w:val="00DE374D"/>
    <w:rsid w:val="00DF09C2"/>
    <w:rsid w:val="00DF6A9E"/>
    <w:rsid w:val="00DF7210"/>
    <w:rsid w:val="00E00169"/>
    <w:rsid w:val="00E0313D"/>
    <w:rsid w:val="00E05BA6"/>
    <w:rsid w:val="00E11BD3"/>
    <w:rsid w:val="00E20C9D"/>
    <w:rsid w:val="00E21D61"/>
    <w:rsid w:val="00E23174"/>
    <w:rsid w:val="00E268D8"/>
    <w:rsid w:val="00E33537"/>
    <w:rsid w:val="00E41CCF"/>
    <w:rsid w:val="00E462A8"/>
    <w:rsid w:val="00E54A57"/>
    <w:rsid w:val="00E629B4"/>
    <w:rsid w:val="00E65CA4"/>
    <w:rsid w:val="00E6662E"/>
    <w:rsid w:val="00E72479"/>
    <w:rsid w:val="00E8089A"/>
    <w:rsid w:val="00E95221"/>
    <w:rsid w:val="00EA0092"/>
    <w:rsid w:val="00EB41F7"/>
    <w:rsid w:val="00EB5B91"/>
    <w:rsid w:val="00EB5E5C"/>
    <w:rsid w:val="00EC4EBA"/>
    <w:rsid w:val="00EC62F0"/>
    <w:rsid w:val="00EC6452"/>
    <w:rsid w:val="00EE25B2"/>
    <w:rsid w:val="00EE4D80"/>
    <w:rsid w:val="00EF06F2"/>
    <w:rsid w:val="00EF1055"/>
    <w:rsid w:val="00EF1288"/>
    <w:rsid w:val="00EF219E"/>
    <w:rsid w:val="00EF5988"/>
    <w:rsid w:val="00F00F58"/>
    <w:rsid w:val="00F04A10"/>
    <w:rsid w:val="00F20372"/>
    <w:rsid w:val="00F30717"/>
    <w:rsid w:val="00F34A03"/>
    <w:rsid w:val="00F34DB7"/>
    <w:rsid w:val="00F43980"/>
    <w:rsid w:val="00F451D5"/>
    <w:rsid w:val="00F46939"/>
    <w:rsid w:val="00F514B6"/>
    <w:rsid w:val="00F62C12"/>
    <w:rsid w:val="00F63A92"/>
    <w:rsid w:val="00F70766"/>
    <w:rsid w:val="00F72842"/>
    <w:rsid w:val="00F7580B"/>
    <w:rsid w:val="00F805F1"/>
    <w:rsid w:val="00F83172"/>
    <w:rsid w:val="00F878A1"/>
    <w:rsid w:val="00F91C4E"/>
    <w:rsid w:val="00F92107"/>
    <w:rsid w:val="00F94453"/>
    <w:rsid w:val="00F96A55"/>
    <w:rsid w:val="00FA2E8F"/>
    <w:rsid w:val="00FB57C3"/>
    <w:rsid w:val="00FC137E"/>
    <w:rsid w:val="00FC3458"/>
    <w:rsid w:val="00FC3EB8"/>
    <w:rsid w:val="00FE3EC8"/>
    <w:rsid w:val="00FE43B8"/>
    <w:rsid w:val="00FE55FC"/>
    <w:rsid w:val="00FE5822"/>
    <w:rsid w:val="00FE62E6"/>
    <w:rsid w:val="00FF0636"/>
    <w:rsid w:val="00FF0DAA"/>
    <w:rsid w:val="00FF38C1"/>
    <w:rsid w:val="12FCEE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31A6"/>
  <w15:chartTrackingRefBased/>
  <w15:docId w15:val="{E2E90ACD-BA17-4951-B6A0-CA7F3C0A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3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F2C99"/>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5F2C99"/>
    <w:rPr>
      <w:sz w:val="24"/>
      <w:lang w:val="es-MX"/>
    </w:rPr>
  </w:style>
  <w:style w:type="paragraph" w:styleId="Encabezado">
    <w:name w:val="header"/>
    <w:basedOn w:val="Normal"/>
    <w:link w:val="EncabezadoCar"/>
    <w:uiPriority w:val="99"/>
    <w:unhideWhenUsed/>
    <w:rsid w:val="005F2C99"/>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5F2C99"/>
    <w:rPr>
      <w:sz w:val="24"/>
      <w:lang w:val="es-MX"/>
    </w:rPr>
  </w:style>
  <w:style w:type="table" w:styleId="Tablaconcuadrcula">
    <w:name w:val="Table Grid"/>
    <w:basedOn w:val="Tablanormal"/>
    <w:uiPriority w:val="39"/>
    <w:rsid w:val="005F2C9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5F2C99"/>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uiPriority w:val="1"/>
    <w:qFormat/>
    <w:rsid w:val="005F2C99"/>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F2C9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5F2C99"/>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5F2C9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5F2C99"/>
    <w:rPr>
      <w:vertAlign w:val="superscript"/>
    </w:rPr>
  </w:style>
  <w:style w:type="paragraph" w:customStyle="1" w:styleId="Appelnotedebasde">
    <w:name w:val="Appel note de bas de..."/>
    <w:basedOn w:val="Normal"/>
    <w:link w:val="Refdenotaalpie"/>
    <w:uiPriority w:val="99"/>
    <w:rsid w:val="005F2C99"/>
    <w:pPr>
      <w:spacing w:line="240" w:lineRule="exact"/>
      <w:jc w:val="both"/>
    </w:pPr>
    <w:rPr>
      <w:vertAlign w:val="superscript"/>
    </w:rPr>
  </w:style>
  <w:style w:type="character" w:customStyle="1" w:styleId="NormalWebCar">
    <w:name w:val="Normal (Web) Car"/>
    <w:link w:val="NormalWeb"/>
    <w:uiPriority w:val="99"/>
    <w:locked/>
    <w:rsid w:val="005F2C99"/>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5F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F7151"/>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rsid w:val="00CF7151"/>
    <w:rPr>
      <w:sz w:val="20"/>
      <w:szCs w:val="20"/>
      <w:lang w:val="es-MX"/>
    </w:rPr>
  </w:style>
  <w:style w:type="paragraph" w:customStyle="1" w:styleId="InviasNormal">
    <w:name w:val="Invias Normal"/>
    <w:basedOn w:val="Normal"/>
    <w:link w:val="InviasNormalCar"/>
    <w:qFormat/>
    <w:rsid w:val="00CF7151"/>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CF7151"/>
    <w:rPr>
      <w:rFonts w:ascii="Arial Narrow" w:eastAsia="Times New Roman" w:hAnsi="Arial Narrow" w:cs="Times New Roman"/>
      <w:sz w:val="24"/>
      <w:szCs w:val="24"/>
      <w:lang w:val="x-none" w:eastAsia="es-ES"/>
    </w:rPr>
  </w:style>
  <w:style w:type="character" w:styleId="Textoennegrita">
    <w:name w:val="Strong"/>
    <w:basedOn w:val="Fuentedeprrafopredeter"/>
    <w:uiPriority w:val="22"/>
    <w:qFormat/>
    <w:rsid w:val="0066787D"/>
    <w:rPr>
      <w:b/>
      <w:bCs/>
    </w:rPr>
  </w:style>
  <w:style w:type="character" w:styleId="nfasis">
    <w:name w:val="Emphasis"/>
    <w:basedOn w:val="Fuentedeprrafopredeter"/>
    <w:uiPriority w:val="20"/>
    <w:qFormat/>
    <w:rsid w:val="0066787D"/>
    <w:rPr>
      <w:i/>
      <w:iCs/>
    </w:rPr>
  </w:style>
  <w:style w:type="paragraph" w:styleId="Textoindependiente">
    <w:name w:val="Body Text"/>
    <w:basedOn w:val="Normal"/>
    <w:link w:val="TextoindependienteCar"/>
    <w:uiPriority w:val="1"/>
    <w:qFormat/>
    <w:rsid w:val="00FA2E8F"/>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A2E8F"/>
    <w:rPr>
      <w:rFonts w:ascii="Arial MT" w:eastAsia="Arial MT" w:hAnsi="Arial MT" w:cs="Arial MT"/>
      <w:lang w:val="es-ES"/>
    </w:rPr>
  </w:style>
  <w:style w:type="character" w:customStyle="1" w:styleId="Hipervnculo1">
    <w:name w:val="Hipervínculo1"/>
    <w:basedOn w:val="Fuentedeprrafopredeter"/>
    <w:uiPriority w:val="99"/>
    <w:unhideWhenUsed/>
    <w:rsid w:val="00D56F57"/>
    <w:rPr>
      <w:color w:val="F2F2F2"/>
      <w:u w:val="single"/>
    </w:rPr>
  </w:style>
  <w:style w:type="character" w:styleId="Hipervnculo">
    <w:name w:val="Hyperlink"/>
    <w:basedOn w:val="Fuentedeprrafopredeter"/>
    <w:uiPriority w:val="99"/>
    <w:semiHidden/>
    <w:unhideWhenUsed/>
    <w:rsid w:val="00D56F57"/>
    <w:rPr>
      <w:color w:val="0563C1" w:themeColor="hyperlink"/>
      <w:u w:val="single"/>
    </w:rPr>
  </w:style>
  <w:style w:type="paragraph" w:styleId="Revisin">
    <w:name w:val="Revision"/>
    <w:hidden/>
    <w:uiPriority w:val="99"/>
    <w:semiHidden/>
    <w:rsid w:val="00FC3EB8"/>
    <w:pPr>
      <w:spacing w:after="0" w:line="240" w:lineRule="auto"/>
    </w:pPr>
  </w:style>
  <w:style w:type="character" w:customStyle="1" w:styleId="font491">
    <w:name w:val="font491"/>
    <w:basedOn w:val="Fuentedeprrafopredeter"/>
    <w:rsid w:val="00F72842"/>
    <w:rPr>
      <w:rFonts w:ascii="Arial" w:hAnsi="Arial" w:cs="Arial" w:hint="default"/>
      <w:b w:val="0"/>
      <w:bCs w:val="0"/>
      <w:i w:val="0"/>
      <w:iCs w:val="0"/>
      <w:strike w:val="0"/>
      <w:dstrike w:val="0"/>
      <w:color w:val="000000"/>
      <w:sz w:val="24"/>
      <w:szCs w:val="24"/>
      <w:u w:val="none"/>
      <w:effect w:val="none"/>
    </w:rPr>
  </w:style>
  <w:style w:type="character" w:customStyle="1" w:styleId="font501">
    <w:name w:val="font501"/>
    <w:basedOn w:val="Fuentedeprrafopredeter"/>
    <w:rsid w:val="00F72842"/>
    <w:rPr>
      <w:rFonts w:ascii="Arial" w:hAnsi="Arial" w:cs="Arial" w:hint="default"/>
      <w:b w:val="0"/>
      <w:bCs w:val="0"/>
      <w:i/>
      <w:iCs/>
      <w:strike w:val="0"/>
      <w:dstrike w:val="0"/>
      <w:color w:val="000000"/>
      <w:sz w:val="24"/>
      <w:szCs w:val="24"/>
      <w:u w:val="none"/>
      <w:effect w:val="none"/>
    </w:rPr>
  </w:style>
  <w:style w:type="character" w:styleId="Refdecomentario">
    <w:name w:val="annotation reference"/>
    <w:basedOn w:val="Fuentedeprrafopredeter"/>
    <w:uiPriority w:val="99"/>
    <w:semiHidden/>
    <w:unhideWhenUsed/>
    <w:rsid w:val="002117EB"/>
    <w:rPr>
      <w:sz w:val="16"/>
      <w:szCs w:val="16"/>
    </w:rPr>
  </w:style>
  <w:style w:type="paragraph" w:styleId="Asuntodelcomentario">
    <w:name w:val="annotation subject"/>
    <w:basedOn w:val="Textocomentario"/>
    <w:next w:val="Textocomentario"/>
    <w:link w:val="AsuntodelcomentarioCar"/>
    <w:uiPriority w:val="99"/>
    <w:semiHidden/>
    <w:unhideWhenUsed/>
    <w:rsid w:val="002117EB"/>
    <w:pPr>
      <w:spacing w:after="160"/>
    </w:pPr>
    <w:rPr>
      <w:b/>
      <w:bCs/>
      <w:lang w:val="es-CO"/>
    </w:rPr>
  </w:style>
  <w:style w:type="character" w:customStyle="1" w:styleId="AsuntodelcomentarioCar">
    <w:name w:val="Asunto del comentario Car"/>
    <w:basedOn w:val="TextocomentarioCar"/>
    <w:link w:val="Asuntodelcomentario"/>
    <w:uiPriority w:val="99"/>
    <w:semiHidden/>
    <w:rsid w:val="002117EB"/>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7049">
      <w:bodyDiv w:val="1"/>
      <w:marLeft w:val="0"/>
      <w:marRight w:val="0"/>
      <w:marTop w:val="0"/>
      <w:marBottom w:val="0"/>
      <w:divBdr>
        <w:top w:val="none" w:sz="0" w:space="0" w:color="auto"/>
        <w:left w:val="none" w:sz="0" w:space="0" w:color="auto"/>
        <w:bottom w:val="none" w:sz="0" w:space="0" w:color="auto"/>
        <w:right w:val="none" w:sz="0" w:space="0" w:color="auto"/>
      </w:divBdr>
    </w:div>
    <w:div w:id="1849098398">
      <w:bodyDiv w:val="1"/>
      <w:marLeft w:val="0"/>
      <w:marRight w:val="0"/>
      <w:marTop w:val="0"/>
      <w:marBottom w:val="0"/>
      <w:divBdr>
        <w:top w:val="none" w:sz="0" w:space="0" w:color="auto"/>
        <w:left w:val="none" w:sz="0" w:space="0" w:color="auto"/>
        <w:bottom w:val="none" w:sz="0" w:space="0" w:color="auto"/>
        <w:right w:val="none" w:sz="0" w:space="0" w:color="auto"/>
      </w:divBdr>
      <w:divsChild>
        <w:div w:id="132004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erencie.com/preci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rencie.com/quienes-son-comerciante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f60366-659b-49ff-8fd4-65ed4a8313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CAA8A2CE48B3B4297B565DA1C7A1B39" ma:contentTypeVersion="3" ma:contentTypeDescription="Crear nuevo documento." ma:contentTypeScope="" ma:versionID="665fff753f2fee634cb60cfe77b405c7">
  <xsd:schema xmlns:xsd="http://www.w3.org/2001/XMLSchema" xmlns:xs="http://www.w3.org/2001/XMLSchema" xmlns:p="http://schemas.microsoft.com/office/2006/metadata/properties" xmlns:ns3="c4f60366-659b-49ff-8fd4-65ed4a8313ee" targetNamespace="http://schemas.microsoft.com/office/2006/metadata/properties" ma:root="true" ma:fieldsID="838ba99c45ed4199c67e2a636f06cb5e" ns3:_="">
    <xsd:import namespace="c4f60366-659b-49ff-8fd4-65ed4a8313ee"/>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60366-659b-49ff-8fd4-65ed4a83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371EF-F1D2-42EF-88F0-9ED677075DB5}">
  <ds:schemaRefs>
    <ds:schemaRef ds:uri="http://purl.org/dc/dcmitype/"/>
    <ds:schemaRef ds:uri="http://schemas.microsoft.com/office/2006/metadata/properties"/>
    <ds:schemaRef ds:uri="http://purl.org/dc/elements/1.1/"/>
    <ds:schemaRef ds:uri="http://purl.org/dc/terms/"/>
    <ds:schemaRef ds:uri="c4f60366-659b-49ff-8fd4-65ed4a8313e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78C2E6F-17F0-4506-A1C3-CF8BF7DF87BF}">
  <ds:schemaRefs>
    <ds:schemaRef ds:uri="http://schemas.openxmlformats.org/officeDocument/2006/bibliography"/>
  </ds:schemaRefs>
</ds:datastoreItem>
</file>

<file path=customXml/itemProps3.xml><?xml version="1.0" encoding="utf-8"?>
<ds:datastoreItem xmlns:ds="http://schemas.openxmlformats.org/officeDocument/2006/customXml" ds:itemID="{7E7166B1-D65C-4D61-A054-9416E61CDAC4}">
  <ds:schemaRefs>
    <ds:schemaRef ds:uri="http://schemas.microsoft.com/sharepoint/v3/contenttype/forms"/>
  </ds:schemaRefs>
</ds:datastoreItem>
</file>

<file path=customXml/itemProps4.xml><?xml version="1.0" encoding="utf-8"?>
<ds:datastoreItem xmlns:ds="http://schemas.openxmlformats.org/officeDocument/2006/customXml" ds:itemID="{E516F9CA-CF8E-4CF5-823F-0E498E7A4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60366-659b-49ff-8fd4-65ed4a831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5966</Words>
  <Characters>32814</Characters>
  <Application>Microsoft Office Word</Application>
  <DocSecurity>0</DocSecurity>
  <Lines>273</Lines>
  <Paragraphs>77</Paragraphs>
  <ScaleCrop>false</ScaleCrop>
  <Company/>
  <LinksUpToDate>false</LinksUpToDate>
  <CharactersWithSpaces>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Ana Maria Velez Arteaga</cp:lastModifiedBy>
  <cp:revision>2</cp:revision>
  <dcterms:created xsi:type="dcterms:W3CDTF">2023-02-15T20:09:00Z</dcterms:created>
  <dcterms:modified xsi:type="dcterms:W3CDTF">2023-02-15T20:09:00Z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0x0101004CAA8A2CE48B3B4297B565DA1C7A1B39</vt:lpwstr>
  </property>
  <property fmtid="{D5CDD505-2E9C-101B-9397-08002B2CF9AE}" pid="3" name="MediaServiceImageTags">
    <vt:lpwstr/>
  </property>
</Properties>
</file>