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2337" w14:textId="77777777" w:rsidR="007004DE" w:rsidRPr="00241239" w:rsidRDefault="007004DE" w:rsidP="007004DE">
      <w:pPr>
        <w:spacing w:after="0" w:line="240" w:lineRule="auto"/>
        <w:rPr>
          <w:rFonts w:ascii="Arial" w:hAnsi="Arial" w:cs="Arial"/>
          <w:b/>
          <w:sz w:val="20"/>
          <w:szCs w:val="20"/>
          <w:lang w:eastAsia="en-US"/>
        </w:rPr>
      </w:pPr>
      <w:r w:rsidRPr="00241239">
        <w:rPr>
          <w:rFonts w:ascii="Arial" w:hAnsi="Arial" w:cs="Arial"/>
          <w:b/>
          <w:sz w:val="20"/>
          <w:szCs w:val="20"/>
          <w:lang w:eastAsia="en-US"/>
        </w:rPr>
        <w:t xml:space="preserve">SUBSANABILIDAD – Alcance – procedencia </w:t>
      </w:r>
    </w:p>
    <w:p w14:paraId="503BB259" w14:textId="77777777" w:rsidR="007004DE" w:rsidRPr="00241239" w:rsidRDefault="007004DE" w:rsidP="007004DE">
      <w:pPr>
        <w:spacing w:after="0" w:line="240" w:lineRule="auto"/>
        <w:rPr>
          <w:rFonts w:ascii="Arial" w:hAnsi="Arial" w:cs="Arial"/>
          <w:sz w:val="20"/>
          <w:szCs w:val="20"/>
          <w:lang w:val="es-ES_tradnl" w:eastAsia="en-US"/>
        </w:rPr>
      </w:pPr>
    </w:p>
    <w:p w14:paraId="1D35D11B" w14:textId="77777777" w:rsidR="007004DE" w:rsidRPr="00241239" w:rsidRDefault="007004DE" w:rsidP="007004DE">
      <w:pPr>
        <w:spacing w:after="0" w:line="240" w:lineRule="auto"/>
        <w:rPr>
          <w:rFonts w:ascii="Arial" w:hAnsi="Arial" w:cs="Arial"/>
          <w:bCs/>
          <w:sz w:val="20"/>
          <w:szCs w:val="20"/>
          <w:lang w:eastAsia="en-US"/>
        </w:rPr>
      </w:pPr>
      <w:r w:rsidRPr="00241239">
        <w:rPr>
          <w:rFonts w:ascii="Arial" w:hAnsi="Arial" w:cs="Arial"/>
          <w:bCs/>
          <w:sz w:val="20"/>
          <w:szCs w:val="20"/>
          <w:lang w:eastAsia="en-US"/>
        </w:rPr>
        <w:t xml:space="preserve">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De modo que, el límite para el ejercicio del derecho a subsanar los requisitos habilitantes y para el deber de las entidades públicas de permitir su ejercicio está definido en la ley, lo que indica que las situaciones en las cuales está restringido fueron previstas por el legislador de forma expresa. […]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w:t>
      </w:r>
    </w:p>
    <w:p w14:paraId="34A3CB4E" w14:textId="77777777" w:rsidR="007004DE" w:rsidRPr="00241239" w:rsidRDefault="007004DE" w:rsidP="007004DE">
      <w:pPr>
        <w:spacing w:after="0" w:line="240" w:lineRule="auto"/>
        <w:rPr>
          <w:rFonts w:ascii="Arial" w:hAnsi="Arial" w:cs="Arial"/>
          <w:bCs/>
          <w:sz w:val="20"/>
          <w:szCs w:val="20"/>
          <w:lang w:eastAsia="en-US"/>
        </w:rPr>
      </w:pPr>
    </w:p>
    <w:p w14:paraId="0ABB48A7" w14:textId="77777777" w:rsidR="007004DE" w:rsidRPr="00241239" w:rsidRDefault="007004DE" w:rsidP="007004DE">
      <w:pPr>
        <w:spacing w:after="0" w:line="240" w:lineRule="auto"/>
        <w:rPr>
          <w:rFonts w:ascii="Arial" w:hAnsi="Arial" w:cs="Arial"/>
          <w:b/>
          <w:sz w:val="20"/>
          <w:szCs w:val="20"/>
          <w:lang w:eastAsia="en-US"/>
        </w:rPr>
      </w:pPr>
      <w:r w:rsidRPr="00241239">
        <w:rPr>
          <w:rFonts w:ascii="Arial" w:hAnsi="Arial" w:cs="Arial"/>
          <w:b/>
          <w:sz w:val="20"/>
          <w:szCs w:val="20"/>
          <w:lang w:eastAsia="en-US"/>
        </w:rPr>
        <w:t xml:space="preserve">ACLARACIÓN DE OFERTAS – Concepto – Alcance </w:t>
      </w:r>
    </w:p>
    <w:p w14:paraId="4DDEF5ED" w14:textId="77777777" w:rsidR="007004DE" w:rsidRPr="00241239" w:rsidRDefault="007004DE" w:rsidP="007004DE">
      <w:pPr>
        <w:spacing w:after="0" w:line="240" w:lineRule="auto"/>
        <w:rPr>
          <w:rFonts w:ascii="Arial" w:hAnsi="Arial" w:cs="Arial"/>
          <w:b/>
          <w:sz w:val="20"/>
          <w:szCs w:val="20"/>
          <w:lang w:eastAsia="en-US"/>
        </w:rPr>
      </w:pPr>
    </w:p>
    <w:p w14:paraId="7D8D54F8" w14:textId="77777777" w:rsidR="007004DE" w:rsidRPr="00241239" w:rsidRDefault="007004DE" w:rsidP="007004DE">
      <w:pPr>
        <w:spacing w:after="0" w:line="240" w:lineRule="auto"/>
        <w:rPr>
          <w:rFonts w:ascii="Arial" w:hAnsi="Arial" w:cs="Arial"/>
          <w:b/>
          <w:sz w:val="20"/>
          <w:szCs w:val="20"/>
          <w:lang w:eastAsia="en-US"/>
        </w:rPr>
      </w:pPr>
      <w:r w:rsidRPr="00241239">
        <w:rPr>
          <w:rFonts w:ascii="Arial" w:hAnsi="Arial" w:cs="Arial"/>
          <w:bCs/>
          <w:sz w:val="20"/>
          <w:szCs w:val="20"/>
          <w:lang w:eastAsia="en-US"/>
        </w:rPr>
        <w:t xml:space="preserve">La solicitud de aclaraciones permite que las 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Pr="00241239">
        <w:rPr>
          <w:rFonts w:ascii="Arial" w:hAnsi="Arial" w:cs="Arial"/>
          <w:bCs/>
          <w:i/>
          <w:iCs/>
          <w:sz w:val="20"/>
          <w:szCs w:val="20"/>
          <w:lang w:eastAsia="en-US"/>
        </w:rPr>
        <w:t xml:space="preserve">es posible aclarar los requisitos que asignan puntaj. […]  </w:t>
      </w:r>
      <w:r w:rsidRPr="00241239">
        <w:rPr>
          <w:rFonts w:ascii="Arial" w:hAnsi="Arial" w:cs="Arial"/>
          <w:bCs/>
          <w:sz w:val="20"/>
          <w:szCs w:val="20"/>
          <w:lang w:eastAsia="en-US"/>
        </w:rPr>
        <w:t>aclarar una oferta no puede implicar su alteración sustancial o mejoría de sus componentes, sino limitarse a disipar lo que resulta borroso u otorgar claridad a lo que resulta oscuro o ininteligible.</w:t>
      </w:r>
    </w:p>
    <w:p w14:paraId="3201A010" w14:textId="77777777" w:rsidR="007004DE" w:rsidRPr="00241239" w:rsidRDefault="007004DE" w:rsidP="007004DE">
      <w:pPr>
        <w:spacing w:after="0" w:line="240" w:lineRule="auto"/>
        <w:rPr>
          <w:rFonts w:ascii="Arial" w:hAnsi="Arial" w:cs="Arial"/>
          <w:bCs/>
          <w:sz w:val="20"/>
          <w:szCs w:val="20"/>
          <w:lang w:eastAsia="en-US"/>
        </w:rPr>
      </w:pPr>
    </w:p>
    <w:p w14:paraId="036643EF" w14:textId="77777777" w:rsidR="007004DE" w:rsidRPr="00241239" w:rsidRDefault="007004DE" w:rsidP="007004DE">
      <w:pPr>
        <w:spacing w:after="0" w:line="240" w:lineRule="auto"/>
        <w:rPr>
          <w:rFonts w:ascii="Arial" w:hAnsi="Arial" w:cs="Arial"/>
          <w:b/>
          <w:sz w:val="20"/>
          <w:szCs w:val="20"/>
          <w:lang w:eastAsia="en-US"/>
        </w:rPr>
      </w:pPr>
      <w:r w:rsidRPr="00241239">
        <w:rPr>
          <w:rFonts w:ascii="Arial" w:hAnsi="Arial" w:cs="Arial"/>
          <w:b/>
          <w:sz w:val="20"/>
          <w:szCs w:val="20"/>
          <w:lang w:eastAsia="en-US"/>
        </w:rPr>
        <w:t xml:space="preserve">SUBSANABILIDAD Y ACLARACIÓN DE OFERTAS – Diferencias </w:t>
      </w:r>
    </w:p>
    <w:p w14:paraId="0548CB32" w14:textId="77777777" w:rsidR="007004DE" w:rsidRPr="00241239" w:rsidRDefault="007004DE" w:rsidP="007004DE">
      <w:pPr>
        <w:spacing w:after="0" w:line="240" w:lineRule="auto"/>
        <w:rPr>
          <w:rFonts w:ascii="Arial" w:hAnsi="Arial" w:cs="Arial"/>
          <w:b/>
          <w:sz w:val="20"/>
          <w:szCs w:val="20"/>
          <w:lang w:eastAsia="en-US"/>
        </w:rPr>
      </w:pPr>
    </w:p>
    <w:p w14:paraId="54A7E673" w14:textId="77777777" w:rsidR="007004DE" w:rsidRPr="00241239" w:rsidRDefault="007004DE" w:rsidP="007004DE">
      <w:pPr>
        <w:spacing w:after="0" w:line="240" w:lineRule="auto"/>
        <w:rPr>
          <w:rFonts w:ascii="Arial" w:hAnsi="Arial" w:cs="Arial"/>
          <w:bCs/>
          <w:sz w:val="20"/>
          <w:szCs w:val="20"/>
          <w:lang w:eastAsia="en-US"/>
        </w:rPr>
      </w:pPr>
      <w:r w:rsidRPr="00241239">
        <w:rPr>
          <w:rFonts w:ascii="Arial" w:hAnsi="Arial" w:cs="Arial"/>
          <w:bCs/>
          <w:sz w:val="20"/>
          <w:szCs w:val="20"/>
          <w:lang w:eastAsia="en-US"/>
        </w:rPr>
        <w:t xml:space="preserv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Finalmente, como dispone el artículo 30.7 de la Ley 80 de 1993, la aclaración de las propuestas se realiza durante la evaluación de estas, pues es necesario esclarecer los aspectos dudosos de las ofertas antes de la adjudicación. Por ello, la jurisprudencia también explica que «[…] el proponente debe acogerse al tiempo que le otorga la administración para subsanar o aclarar la oferta, lapso que la entidad no puede extender más allá de la adjudicación […]». De esta manera, «lo ideal en un proceso de selección es que las </w:t>
      </w:r>
      <w:r w:rsidRPr="00241239">
        <w:rPr>
          <w:rFonts w:ascii="Arial" w:hAnsi="Arial" w:cs="Arial"/>
          <w:bCs/>
          <w:i/>
          <w:sz w:val="20"/>
          <w:szCs w:val="20"/>
          <w:lang w:eastAsia="en-US"/>
        </w:rPr>
        <w:t xml:space="preserve">aclaraciones </w:t>
      </w:r>
      <w:r w:rsidRPr="00241239">
        <w:rPr>
          <w:rFonts w:ascii="Arial" w:hAnsi="Arial" w:cs="Arial"/>
          <w:bCs/>
          <w:sz w:val="20"/>
          <w:szCs w:val="20"/>
          <w:lang w:eastAsia="en-US"/>
        </w:rPr>
        <w:t xml:space="preserve">y </w:t>
      </w:r>
      <w:r w:rsidRPr="00241239">
        <w:rPr>
          <w:rFonts w:ascii="Arial" w:hAnsi="Arial" w:cs="Arial"/>
          <w:bCs/>
          <w:i/>
          <w:sz w:val="20"/>
          <w:szCs w:val="20"/>
          <w:lang w:eastAsia="en-US"/>
        </w:rPr>
        <w:t xml:space="preserve">explicaciones </w:t>
      </w:r>
      <w:r w:rsidRPr="00241239">
        <w:rPr>
          <w:rFonts w:ascii="Arial" w:hAnsi="Arial" w:cs="Arial"/>
          <w:bCs/>
          <w:sz w:val="20"/>
          <w:szCs w:val="20"/>
          <w:lang w:eastAsia="en-US"/>
        </w:rPr>
        <w:t xml:space="preserve">se anticipen y soliciten durante la etapa de </w:t>
      </w:r>
      <w:r w:rsidRPr="00241239">
        <w:rPr>
          <w:rFonts w:ascii="Arial" w:hAnsi="Arial" w:cs="Arial"/>
          <w:bCs/>
          <w:i/>
          <w:sz w:val="20"/>
          <w:szCs w:val="20"/>
          <w:lang w:eastAsia="en-US"/>
        </w:rPr>
        <w:t>evaluación</w:t>
      </w:r>
      <w:r w:rsidRPr="00241239">
        <w:rPr>
          <w:rFonts w:ascii="Arial" w:hAnsi="Arial" w:cs="Arial"/>
          <w:bCs/>
          <w:sz w:val="20"/>
          <w:szCs w:val="20"/>
          <w:lang w:eastAsia="en-US"/>
        </w:rPr>
        <w:t>, lo más pronto posible, es decir, antes de que la entidad elabore el informe respectivo, de tal manera que las tenga en cuenta para producir ese acto administrativo».</w:t>
      </w:r>
    </w:p>
    <w:p w14:paraId="4840A6D7" w14:textId="77777777" w:rsidR="007004DE" w:rsidRPr="00241239" w:rsidRDefault="007004DE" w:rsidP="007004DE">
      <w:pPr>
        <w:spacing w:after="0" w:line="240" w:lineRule="auto"/>
        <w:rPr>
          <w:rFonts w:ascii="Arial" w:hAnsi="Arial" w:cs="Arial"/>
          <w:bCs/>
          <w:sz w:val="20"/>
          <w:szCs w:val="20"/>
          <w:lang w:eastAsia="en-US"/>
        </w:rPr>
      </w:pPr>
    </w:p>
    <w:p w14:paraId="734D5082" w14:textId="77777777" w:rsidR="007004DE" w:rsidRPr="00241239" w:rsidRDefault="007004DE" w:rsidP="007004DE">
      <w:pPr>
        <w:shd w:val="clear" w:color="auto" w:fill="FFFFFF"/>
        <w:spacing w:after="0" w:line="240" w:lineRule="auto"/>
        <w:ind w:right="51"/>
        <w:rPr>
          <w:rFonts w:ascii="Arial" w:hAnsi="Arial" w:cs="Arial"/>
          <w:bCs/>
          <w:sz w:val="20"/>
          <w:szCs w:val="20"/>
          <w:lang w:val="es-ES_tradnl" w:eastAsia="en-US"/>
        </w:rPr>
      </w:pPr>
      <w:r w:rsidRPr="00241239">
        <w:rPr>
          <w:rFonts w:ascii="Arial" w:eastAsia="Times New Roman" w:hAnsi="Arial" w:cs="Arial"/>
          <w:b/>
          <w:bCs/>
          <w:sz w:val="20"/>
          <w:szCs w:val="20"/>
          <w:shd w:val="clear" w:color="auto" w:fill="FFFFFF"/>
          <w:lang w:val="es-CO"/>
        </w:rPr>
        <w:t>INCENTIVO CONTRACTUAL - Puntaje adicional - Empresas de vigilancia y seguridad privada o cooperativas de vigilancia y seguridad privada – Condiciones para su acreditación</w:t>
      </w:r>
    </w:p>
    <w:p w14:paraId="78167339" w14:textId="77777777" w:rsidR="007004DE" w:rsidRPr="00241239" w:rsidRDefault="007004DE" w:rsidP="007004DE">
      <w:pPr>
        <w:shd w:val="clear" w:color="auto" w:fill="FFFFFF"/>
        <w:spacing w:after="0" w:line="240" w:lineRule="auto"/>
        <w:ind w:right="51"/>
        <w:rPr>
          <w:rFonts w:ascii="Arial" w:hAnsi="Arial" w:cs="Arial"/>
          <w:bCs/>
          <w:sz w:val="20"/>
          <w:szCs w:val="20"/>
          <w:lang w:val="es-ES_tradnl" w:eastAsia="en-US"/>
        </w:rPr>
      </w:pPr>
    </w:p>
    <w:p w14:paraId="104F5669" w14:textId="77777777" w:rsidR="007004DE" w:rsidRPr="00241239" w:rsidRDefault="007004DE" w:rsidP="007004DE">
      <w:pPr>
        <w:widowControl w:val="0"/>
        <w:autoSpaceDE w:val="0"/>
        <w:autoSpaceDN w:val="0"/>
        <w:spacing w:after="0" w:line="240" w:lineRule="auto"/>
        <w:rPr>
          <w:rFonts w:ascii="Arial" w:eastAsia="Times New Roman" w:hAnsi="Arial" w:cs="Arial"/>
          <w:sz w:val="20"/>
          <w:szCs w:val="20"/>
          <w:lang w:val="es-CO" w:eastAsia="es-CO"/>
        </w:rPr>
      </w:pPr>
      <w:r w:rsidRPr="00241239">
        <w:rPr>
          <w:rFonts w:ascii="Arial" w:eastAsia="Times New Roman" w:hAnsi="Arial" w:cs="Arial"/>
          <w:sz w:val="20"/>
          <w:szCs w:val="20"/>
          <w:lang w:val="es-CO" w:eastAsia="es-CO"/>
        </w:rPr>
        <w:t xml:space="preserve">El parágrafo primero del artículo </w:t>
      </w:r>
      <w:r w:rsidRPr="00241239">
        <w:rPr>
          <w:rFonts w:ascii="Arial" w:eastAsia="Times New Roman" w:hAnsi="Arial" w:cs="Arial"/>
          <w:bCs/>
          <w:sz w:val="20"/>
          <w:szCs w:val="20"/>
          <w:lang w:val="es-CO" w:eastAsia="es-CO"/>
        </w:rPr>
        <w:t>2.1.2.4.2.10 que fue adicionado en el Decreto 1082 de 2015 regula las condiciones que deben acreditar los proponentes para acceder al puntaje adicional en los procesos de licitación pública</w:t>
      </w:r>
      <w:r w:rsidRPr="00241239">
        <w:rPr>
          <w:rFonts w:ascii="Arial" w:eastAsia="Times New Roman" w:hAnsi="Arial" w:cs="Arial"/>
          <w:sz w:val="20"/>
          <w:szCs w:val="20"/>
          <w:lang w:val="es-CO" w:eastAsia="es-CO"/>
        </w:rPr>
        <w:t xml:space="preserve">. Al respecto, existen dos (2) elementos que deben ser acreditados por el oferente y verificados por la entidad contratante para asignar el puntaje adicional. </w:t>
      </w:r>
      <w:r w:rsidRPr="00241239">
        <w:rPr>
          <w:rFonts w:ascii="Arial" w:eastAsia="Times New Roman" w:hAnsi="Arial" w:cs="Arial"/>
          <w:i/>
          <w:iCs/>
          <w:sz w:val="20"/>
          <w:szCs w:val="20"/>
          <w:lang w:val="es-CO" w:eastAsia="es-CO"/>
        </w:rPr>
        <w:t>Por un lado</w:t>
      </w:r>
      <w:r w:rsidRPr="00241239">
        <w:rPr>
          <w:rFonts w:ascii="Arial" w:eastAsia="Times New Roman" w:hAnsi="Arial" w:cs="Arial"/>
          <w:sz w:val="20"/>
          <w:szCs w:val="20"/>
          <w:lang w:val="es-CO" w:eastAsia="es-CO"/>
        </w:rPr>
        <w:t xml:space="preserve">, las condiciones subjetivas de las personas vinculadas a la empresa de vigilancia y seguridad privada –esto es, que se trate de mujeres, personas con discapacidad y/o mayores de 45 años– y, </w:t>
      </w:r>
      <w:r w:rsidRPr="00241239">
        <w:rPr>
          <w:rFonts w:ascii="Arial" w:eastAsia="Times New Roman" w:hAnsi="Arial" w:cs="Arial"/>
          <w:i/>
          <w:iCs/>
          <w:sz w:val="20"/>
          <w:szCs w:val="20"/>
          <w:lang w:val="es-CO" w:eastAsia="es-CO"/>
        </w:rPr>
        <w:t>por otro</w:t>
      </w:r>
      <w:r w:rsidRPr="00241239">
        <w:rPr>
          <w:rFonts w:ascii="Arial" w:eastAsia="Times New Roman" w:hAnsi="Arial" w:cs="Arial"/>
          <w:sz w:val="20"/>
          <w:szCs w:val="20"/>
          <w:lang w:val="es-CO" w:eastAsia="es-CO"/>
        </w:rPr>
        <w:t xml:space="preserve">, su inclusión en la planta de personal operativo de la empresa. Por ello, las condiciones para otorgar el puntaje son constatadas por la </w:t>
      </w:r>
      <w:r w:rsidRPr="00241239">
        <w:rPr>
          <w:rFonts w:ascii="Arial" w:eastAsia="Times New Roman" w:hAnsi="Arial" w:cs="Arial"/>
          <w:sz w:val="20"/>
          <w:szCs w:val="20"/>
          <w:lang w:val="es-CO" w:eastAsia="es-CO"/>
        </w:rPr>
        <w:lastRenderedPageBreak/>
        <w:t xml:space="preserve">entidad contratante mediante los siguientes documentos aportados por el proponente con su oferta de manera física o digital: </w:t>
      </w:r>
    </w:p>
    <w:p w14:paraId="4EB2A1A2" w14:textId="77777777" w:rsidR="007004DE" w:rsidRPr="00241239" w:rsidRDefault="007004DE" w:rsidP="007004DE">
      <w:pPr>
        <w:widowControl w:val="0"/>
        <w:autoSpaceDE w:val="0"/>
        <w:autoSpaceDN w:val="0"/>
        <w:spacing w:after="0" w:line="240" w:lineRule="auto"/>
        <w:rPr>
          <w:rFonts w:ascii="Arial" w:eastAsia="Times New Roman" w:hAnsi="Arial" w:cs="Arial"/>
          <w:sz w:val="20"/>
          <w:szCs w:val="20"/>
          <w:lang w:val="es-CO" w:eastAsia="es-CO"/>
        </w:rPr>
      </w:pPr>
    </w:p>
    <w:p w14:paraId="35EF9320" w14:textId="77777777" w:rsidR="007004DE" w:rsidRPr="00241239" w:rsidRDefault="007004DE" w:rsidP="007004DE">
      <w:pPr>
        <w:widowControl w:val="0"/>
        <w:autoSpaceDE w:val="0"/>
        <w:autoSpaceDN w:val="0"/>
        <w:spacing w:after="0" w:line="240" w:lineRule="auto"/>
        <w:rPr>
          <w:rFonts w:ascii="Arial" w:eastAsia="Times New Roman" w:hAnsi="Arial" w:cs="Arial"/>
          <w:sz w:val="20"/>
          <w:szCs w:val="20"/>
          <w:lang w:val="es-CO" w:eastAsia="es-CO"/>
        </w:rPr>
      </w:pPr>
      <w:r w:rsidRPr="00241239">
        <w:rPr>
          <w:rFonts w:ascii="Arial" w:eastAsia="Times New Roman" w:hAnsi="Arial" w:cs="Arial"/>
          <w:sz w:val="20"/>
          <w:szCs w:val="20"/>
          <w:lang w:val="es-CO" w:eastAsia="es-CO"/>
        </w:rPr>
        <w:t>i) 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42EC1335" w14:textId="77777777" w:rsidR="007004DE" w:rsidRPr="00241239" w:rsidRDefault="007004DE" w:rsidP="007004DE">
      <w:pPr>
        <w:widowControl w:val="0"/>
        <w:autoSpaceDE w:val="0"/>
        <w:autoSpaceDN w:val="0"/>
        <w:spacing w:after="0" w:line="240" w:lineRule="auto"/>
        <w:rPr>
          <w:rFonts w:ascii="Arial" w:eastAsia="Times New Roman" w:hAnsi="Arial" w:cs="Arial"/>
          <w:sz w:val="20"/>
          <w:szCs w:val="20"/>
          <w:lang w:val="es-CO" w:eastAsia="es-CO"/>
        </w:rPr>
      </w:pPr>
    </w:p>
    <w:p w14:paraId="75A9B743" w14:textId="77777777" w:rsidR="007004DE" w:rsidRPr="00241239" w:rsidRDefault="007004DE" w:rsidP="007004DE">
      <w:pPr>
        <w:widowControl w:val="0"/>
        <w:autoSpaceDE w:val="0"/>
        <w:autoSpaceDN w:val="0"/>
        <w:spacing w:after="0" w:line="240" w:lineRule="auto"/>
        <w:rPr>
          <w:rFonts w:ascii="Arial" w:eastAsia="Times New Roman" w:hAnsi="Arial" w:cs="Arial"/>
          <w:sz w:val="20"/>
          <w:szCs w:val="20"/>
          <w:lang w:val="es-CO" w:eastAsia="es-CO"/>
        </w:rPr>
      </w:pPr>
      <w:r w:rsidRPr="00241239">
        <w:rPr>
          <w:rFonts w:ascii="Arial" w:eastAsia="Times New Roman" w:hAnsi="Arial" w:cs="Arial"/>
          <w:sz w:val="20"/>
          <w:szCs w:val="20"/>
          <w:lang w:val="es-CO" w:eastAsia="es-CO"/>
        </w:rPr>
        <w:t>ii) Certificado con una fecha no superior a treinta (30) días calendario anteriores a la presentación de la oferta, suscrito por el representante legal de la empresa o cooperativa de vigilancia y seguridad privada, que debe señalar el número de mujeres, de personas mayores de cuarenta y cinco (45) años cumplidos máximo a la fecha de presentación de la oferta y de personas con discapacidad que conforman su personal operativo. Para tal efecto, debe relacionarse junto con la certificación, el nombre completo, el número de documento de identidad, género, fecha de nacimiento y condición de discapacidad del personal operativo.</w:t>
      </w:r>
    </w:p>
    <w:p w14:paraId="0AE86B78" w14:textId="77777777" w:rsidR="007004DE" w:rsidRPr="00241239" w:rsidRDefault="007004DE" w:rsidP="007004DE">
      <w:pPr>
        <w:widowControl w:val="0"/>
        <w:autoSpaceDE w:val="0"/>
        <w:autoSpaceDN w:val="0"/>
        <w:spacing w:after="0" w:line="240" w:lineRule="auto"/>
        <w:rPr>
          <w:rFonts w:ascii="Arial" w:eastAsia="Times New Roman" w:hAnsi="Arial" w:cs="Arial"/>
          <w:sz w:val="20"/>
          <w:szCs w:val="20"/>
          <w:lang w:val="es-CO" w:eastAsia="es-CO"/>
        </w:rPr>
      </w:pPr>
    </w:p>
    <w:p w14:paraId="116FA440" w14:textId="77777777" w:rsidR="007004DE" w:rsidRPr="00241239" w:rsidRDefault="007004DE" w:rsidP="007004DE">
      <w:pPr>
        <w:widowControl w:val="0"/>
        <w:autoSpaceDE w:val="0"/>
        <w:autoSpaceDN w:val="0"/>
        <w:spacing w:after="0" w:line="240" w:lineRule="auto"/>
        <w:rPr>
          <w:rFonts w:ascii="Arial" w:eastAsia="Times New Roman" w:hAnsi="Arial" w:cs="Arial"/>
          <w:sz w:val="20"/>
          <w:szCs w:val="20"/>
          <w:lang w:val="es-CO" w:eastAsia="es-CO"/>
        </w:rPr>
      </w:pPr>
      <w:r w:rsidRPr="00241239">
        <w:rPr>
          <w:rFonts w:ascii="Arial" w:eastAsia="Times New Roman" w:hAnsi="Arial" w:cs="Arial"/>
          <w:sz w:val="20"/>
          <w:szCs w:val="20"/>
          <w:lang w:val="es-CO" w:eastAsia="es-CO"/>
        </w:rPr>
        <w:t xml:space="preserve">iii) La certificación del representante legal debe estar acompañada de la copia de los respectivos documentos de identidad y, para acreditar la condición de discapacidad, del certificado de discapacidad de cada uno de los trabajadores, de conformidad con la Resolución No. 113 de 2020 del Ministerio de Salud y Protección Social o aquellas normas que la complementen, desarrollen, modifiquen o sustituyan. De este modo, en el evento que sean personas en condiciones de discapacidad, se requiere que el proponente </w:t>
      </w:r>
      <w:r w:rsidRPr="00241239">
        <w:rPr>
          <w:rFonts w:ascii="Arial" w:eastAsia="Times New Roman" w:hAnsi="Arial" w:cs="Arial"/>
          <w:i/>
          <w:iCs/>
          <w:sz w:val="20"/>
          <w:szCs w:val="20"/>
          <w:lang w:val="es-CO" w:eastAsia="es-CO"/>
        </w:rPr>
        <w:t>anexe</w:t>
      </w:r>
      <w:r w:rsidRPr="00241239">
        <w:rPr>
          <w:rFonts w:ascii="Arial" w:eastAsia="Times New Roman" w:hAnsi="Arial" w:cs="Arial"/>
          <w:sz w:val="20"/>
          <w:szCs w:val="20"/>
          <w:lang w:val="es-CO" w:eastAsia="es-CO"/>
        </w:rPr>
        <w:t xml:space="preserve"> los documentos de identidad, así como los certificados que acreditan la condición de discapacidad, según la referida Resolución.</w:t>
      </w:r>
    </w:p>
    <w:p w14:paraId="02FCF3EF" w14:textId="77777777" w:rsidR="007004DE" w:rsidRPr="00241239" w:rsidRDefault="007004DE" w:rsidP="007004DE">
      <w:pPr>
        <w:widowControl w:val="0"/>
        <w:autoSpaceDE w:val="0"/>
        <w:autoSpaceDN w:val="0"/>
        <w:spacing w:after="0" w:line="240" w:lineRule="auto"/>
        <w:rPr>
          <w:rFonts w:ascii="Arial" w:eastAsia="Times New Roman" w:hAnsi="Arial" w:cs="Arial"/>
          <w:sz w:val="20"/>
          <w:szCs w:val="20"/>
          <w:lang w:val="es-CO" w:eastAsia="es-CO"/>
        </w:rPr>
      </w:pPr>
      <w:r w:rsidRPr="00241239">
        <w:rPr>
          <w:rFonts w:ascii="Arial" w:eastAsia="Times New Roman" w:hAnsi="Arial" w:cs="Arial"/>
          <w:sz w:val="20"/>
          <w:szCs w:val="20"/>
          <w:lang w:val="es-CO" w:eastAsia="es-CO"/>
        </w:rPr>
        <w:t xml:space="preserve"> </w:t>
      </w:r>
    </w:p>
    <w:p w14:paraId="3D26D2A5" w14:textId="77777777" w:rsidR="007004DE" w:rsidRPr="00241239" w:rsidRDefault="007004DE" w:rsidP="007004DE">
      <w:pPr>
        <w:widowControl w:val="0"/>
        <w:autoSpaceDE w:val="0"/>
        <w:autoSpaceDN w:val="0"/>
        <w:spacing w:after="0" w:line="240" w:lineRule="auto"/>
        <w:rPr>
          <w:rFonts w:ascii="Arial" w:eastAsia="Arial MT" w:hAnsi="Arial" w:cs="Arial"/>
          <w:noProof/>
          <w:sz w:val="20"/>
          <w:szCs w:val="20"/>
          <w:lang w:val="es-ES" w:eastAsia="en-US"/>
        </w:rPr>
      </w:pPr>
      <w:r w:rsidRPr="00241239">
        <w:rPr>
          <w:rFonts w:ascii="Arial" w:eastAsia="Times New Roman" w:hAnsi="Arial" w:cs="Arial"/>
          <w:sz w:val="20"/>
          <w:szCs w:val="20"/>
          <w:lang w:val="es-CO" w:eastAsia="es-CO"/>
        </w:rPr>
        <w:t xml:space="preserve">De acuerdo con el parágrafo primero del artículo </w:t>
      </w:r>
      <w:r w:rsidRPr="00241239">
        <w:rPr>
          <w:rFonts w:ascii="Arial" w:eastAsia="Times New Roman" w:hAnsi="Arial" w:cs="Arial"/>
          <w:bCs/>
          <w:sz w:val="20"/>
          <w:szCs w:val="20"/>
          <w:lang w:val="es-CO" w:eastAsia="es-CO"/>
        </w:rPr>
        <w:t>2.1.2.4.2.10 del Decreto 1082 de 2015, el otorgamiento del incentivo</w:t>
      </w:r>
      <w:r w:rsidRPr="00241239">
        <w:rPr>
          <w:rFonts w:ascii="Arial" w:eastAsia="Times New Roman" w:hAnsi="Arial" w:cs="Arial"/>
          <w:bCs/>
          <w:sz w:val="20"/>
          <w:szCs w:val="20"/>
          <w:lang w:eastAsia="es-CO"/>
        </w:rPr>
        <w:t xml:space="preserve"> requiere la concurrencia de los documentos descritos.</w:t>
      </w:r>
      <w:r w:rsidRPr="00241239">
        <w:rPr>
          <w:rFonts w:ascii="Arial" w:eastAsia="Times New Roman" w:hAnsi="Arial" w:cs="Arial"/>
          <w:sz w:val="20"/>
          <w:szCs w:val="20"/>
          <w:lang w:val="es-CO"/>
        </w:rPr>
        <w:t xml:space="preserve"> </w:t>
      </w:r>
    </w:p>
    <w:p w14:paraId="156BCDFA" w14:textId="77777777" w:rsidR="007004DE" w:rsidRDefault="007004DE" w:rsidP="007004DE">
      <w:pPr>
        <w:spacing w:after="0" w:line="240" w:lineRule="auto"/>
        <w:rPr>
          <w:rFonts w:ascii="Arial" w:hAnsi="Arial" w:cs="Arial"/>
          <w:bCs/>
          <w:sz w:val="22"/>
          <w:szCs w:val="22"/>
          <w:lang w:val="es-ES" w:eastAsia="en-US"/>
        </w:rPr>
      </w:pPr>
    </w:p>
    <w:p w14:paraId="63C9A59E" w14:textId="77777777" w:rsidR="007004DE" w:rsidRDefault="007004DE" w:rsidP="007004DE">
      <w:pPr>
        <w:spacing w:after="0" w:line="240" w:lineRule="auto"/>
        <w:rPr>
          <w:rFonts w:ascii="Arial" w:hAnsi="Arial" w:cs="Arial"/>
          <w:bCs/>
          <w:sz w:val="22"/>
          <w:szCs w:val="22"/>
          <w:lang w:val="es-ES" w:eastAsia="en-US"/>
        </w:rPr>
      </w:pPr>
    </w:p>
    <w:p w14:paraId="49E38846" w14:textId="77777777" w:rsidR="007004DE" w:rsidRDefault="007004DE" w:rsidP="007004DE">
      <w:pPr>
        <w:spacing w:after="0" w:line="240" w:lineRule="auto"/>
        <w:rPr>
          <w:rFonts w:ascii="Arial" w:hAnsi="Arial" w:cs="Arial"/>
          <w:bCs/>
          <w:sz w:val="22"/>
          <w:szCs w:val="22"/>
          <w:lang w:val="es-ES" w:eastAsia="en-US"/>
        </w:rPr>
      </w:pPr>
    </w:p>
    <w:p w14:paraId="38EFB228" w14:textId="77777777" w:rsidR="007004DE" w:rsidRDefault="007004DE" w:rsidP="007004DE">
      <w:pPr>
        <w:spacing w:after="0" w:line="240" w:lineRule="auto"/>
        <w:rPr>
          <w:rFonts w:ascii="Arial" w:hAnsi="Arial" w:cs="Arial"/>
          <w:bCs/>
          <w:sz w:val="22"/>
          <w:szCs w:val="22"/>
          <w:lang w:val="es-ES" w:eastAsia="en-US"/>
        </w:rPr>
      </w:pPr>
    </w:p>
    <w:p w14:paraId="5E92825E" w14:textId="77777777" w:rsidR="007004DE" w:rsidRDefault="007004DE" w:rsidP="007004DE">
      <w:pPr>
        <w:spacing w:after="0" w:line="240" w:lineRule="auto"/>
        <w:rPr>
          <w:rFonts w:ascii="Arial" w:hAnsi="Arial" w:cs="Arial"/>
          <w:bCs/>
          <w:sz w:val="22"/>
          <w:szCs w:val="22"/>
          <w:lang w:val="es-ES" w:eastAsia="en-US"/>
        </w:rPr>
      </w:pPr>
    </w:p>
    <w:p w14:paraId="35A0482F" w14:textId="77777777" w:rsidR="007004DE" w:rsidRDefault="007004DE" w:rsidP="007004DE">
      <w:pPr>
        <w:spacing w:after="0" w:line="240" w:lineRule="auto"/>
        <w:rPr>
          <w:rFonts w:ascii="Arial" w:hAnsi="Arial" w:cs="Arial"/>
          <w:bCs/>
          <w:sz w:val="22"/>
          <w:szCs w:val="22"/>
          <w:lang w:val="es-ES" w:eastAsia="en-US"/>
        </w:rPr>
      </w:pPr>
    </w:p>
    <w:p w14:paraId="60FE0C76" w14:textId="77777777" w:rsidR="007004DE" w:rsidRDefault="007004DE" w:rsidP="007004DE">
      <w:pPr>
        <w:spacing w:after="0" w:line="240" w:lineRule="auto"/>
        <w:rPr>
          <w:rFonts w:ascii="Arial" w:hAnsi="Arial" w:cs="Arial"/>
          <w:bCs/>
          <w:sz w:val="22"/>
          <w:szCs w:val="22"/>
          <w:lang w:val="es-ES" w:eastAsia="en-US"/>
        </w:rPr>
      </w:pPr>
    </w:p>
    <w:p w14:paraId="0D30FF76" w14:textId="77777777" w:rsidR="007004DE" w:rsidRDefault="007004DE" w:rsidP="007004DE">
      <w:pPr>
        <w:spacing w:after="0" w:line="240" w:lineRule="auto"/>
        <w:rPr>
          <w:rFonts w:ascii="Arial" w:hAnsi="Arial" w:cs="Arial"/>
          <w:bCs/>
          <w:sz w:val="22"/>
          <w:szCs w:val="22"/>
          <w:lang w:val="es-ES" w:eastAsia="en-US"/>
        </w:rPr>
      </w:pPr>
    </w:p>
    <w:p w14:paraId="2BC4F742" w14:textId="77777777" w:rsidR="007004DE" w:rsidRPr="005A640C" w:rsidRDefault="007004DE" w:rsidP="007004DE">
      <w:pPr>
        <w:spacing w:after="0" w:line="240" w:lineRule="auto"/>
        <w:rPr>
          <w:rFonts w:ascii="Arial" w:hAnsi="Arial" w:cs="Arial"/>
          <w:bCs/>
          <w:sz w:val="22"/>
          <w:szCs w:val="22"/>
          <w:lang w:val="es-ES" w:eastAsia="en-US"/>
        </w:rPr>
      </w:pPr>
    </w:p>
    <w:p w14:paraId="3E4E6AF4" w14:textId="77777777" w:rsidR="007004DE" w:rsidRDefault="007004DE" w:rsidP="007004DE">
      <w:pPr>
        <w:spacing w:after="0"/>
        <w:rPr>
          <w:rFonts w:ascii="Arial" w:hAnsi="Arial" w:cs="Arial"/>
          <w:bCs/>
          <w:sz w:val="20"/>
          <w:szCs w:val="20"/>
          <w:lang w:eastAsia="en-US"/>
        </w:rPr>
      </w:pPr>
    </w:p>
    <w:p w14:paraId="6169F385" w14:textId="77777777" w:rsidR="007004DE" w:rsidRDefault="007004DE" w:rsidP="007004DE">
      <w:pPr>
        <w:spacing w:after="0"/>
        <w:rPr>
          <w:rFonts w:ascii="Arial" w:hAnsi="Arial" w:cs="Arial"/>
          <w:bCs/>
          <w:sz w:val="20"/>
          <w:szCs w:val="20"/>
          <w:lang w:eastAsia="en-US"/>
        </w:rPr>
      </w:pPr>
    </w:p>
    <w:p w14:paraId="38B03033" w14:textId="670A3774" w:rsidR="007004DE" w:rsidRDefault="007004DE" w:rsidP="007004DE">
      <w:pPr>
        <w:spacing w:after="0"/>
        <w:rPr>
          <w:rFonts w:ascii="Arial" w:hAnsi="Arial" w:cs="Arial"/>
          <w:bCs/>
          <w:sz w:val="20"/>
          <w:szCs w:val="20"/>
          <w:lang w:eastAsia="en-US"/>
        </w:rPr>
      </w:pPr>
    </w:p>
    <w:p w14:paraId="0DFE564E" w14:textId="714196CB" w:rsidR="0079049F" w:rsidRDefault="0079049F" w:rsidP="007004DE">
      <w:pPr>
        <w:spacing w:after="0"/>
        <w:rPr>
          <w:rFonts w:ascii="Arial" w:hAnsi="Arial" w:cs="Arial"/>
          <w:bCs/>
          <w:sz w:val="20"/>
          <w:szCs w:val="20"/>
          <w:lang w:eastAsia="en-US"/>
        </w:rPr>
      </w:pPr>
    </w:p>
    <w:p w14:paraId="7C42ED3E" w14:textId="2E945B56" w:rsidR="0079049F" w:rsidRDefault="0079049F" w:rsidP="007004DE">
      <w:pPr>
        <w:spacing w:after="0"/>
        <w:rPr>
          <w:rFonts w:ascii="Arial" w:hAnsi="Arial" w:cs="Arial"/>
          <w:bCs/>
          <w:sz w:val="20"/>
          <w:szCs w:val="20"/>
          <w:lang w:eastAsia="en-US"/>
        </w:rPr>
      </w:pPr>
    </w:p>
    <w:p w14:paraId="5A35EA2B" w14:textId="77777777" w:rsidR="007004DE" w:rsidRDefault="007004DE" w:rsidP="007004DE">
      <w:pPr>
        <w:spacing w:after="0"/>
        <w:rPr>
          <w:rFonts w:ascii="Arial" w:hAnsi="Arial" w:cs="Arial"/>
          <w:bCs/>
          <w:sz w:val="20"/>
          <w:szCs w:val="20"/>
          <w:lang w:eastAsia="en-US"/>
        </w:rPr>
      </w:pPr>
    </w:p>
    <w:p w14:paraId="61656510" w14:textId="77777777" w:rsidR="007004DE" w:rsidRDefault="007004DE" w:rsidP="007004DE">
      <w:pPr>
        <w:spacing w:after="0"/>
        <w:rPr>
          <w:rFonts w:ascii="Arial" w:hAnsi="Arial" w:cs="Arial"/>
          <w:bCs/>
          <w:sz w:val="20"/>
          <w:szCs w:val="20"/>
          <w:lang w:eastAsia="en-US"/>
        </w:rPr>
      </w:pPr>
    </w:p>
    <w:p w14:paraId="09E2F0CE" w14:textId="77777777" w:rsidR="007004DE" w:rsidRDefault="007004DE" w:rsidP="007004DE">
      <w:pPr>
        <w:spacing w:after="0"/>
        <w:rPr>
          <w:rFonts w:ascii="Arial" w:hAnsi="Arial" w:cs="Arial"/>
          <w:bCs/>
          <w:sz w:val="20"/>
          <w:szCs w:val="20"/>
          <w:lang w:eastAsia="en-US"/>
        </w:rPr>
      </w:pPr>
    </w:p>
    <w:p w14:paraId="623CC814" w14:textId="77777777" w:rsidR="007004DE" w:rsidRDefault="007004DE" w:rsidP="007004DE">
      <w:pPr>
        <w:spacing w:after="0"/>
        <w:rPr>
          <w:rFonts w:ascii="Arial" w:hAnsi="Arial" w:cs="Arial"/>
          <w:bCs/>
          <w:sz w:val="20"/>
          <w:szCs w:val="20"/>
          <w:lang w:eastAsia="en-US"/>
        </w:rPr>
      </w:pPr>
    </w:p>
    <w:p w14:paraId="50D49EC7" w14:textId="77777777" w:rsidR="007004DE" w:rsidRDefault="007004DE" w:rsidP="007004DE">
      <w:pPr>
        <w:spacing w:after="0"/>
        <w:rPr>
          <w:rFonts w:ascii="Arial" w:hAnsi="Arial" w:cs="Arial"/>
          <w:bCs/>
          <w:sz w:val="20"/>
          <w:szCs w:val="20"/>
          <w:lang w:eastAsia="en-US"/>
        </w:rPr>
      </w:pPr>
    </w:p>
    <w:p w14:paraId="07DC0745" w14:textId="77777777" w:rsidR="007004DE" w:rsidRPr="00F536D4" w:rsidRDefault="007004DE" w:rsidP="007004DE">
      <w:pPr>
        <w:spacing w:after="0"/>
        <w:rPr>
          <w:rFonts w:ascii="Arial" w:hAnsi="Arial" w:cs="Arial"/>
          <w:bCs/>
          <w:sz w:val="20"/>
          <w:szCs w:val="20"/>
          <w:lang w:eastAsia="en-US"/>
        </w:rPr>
      </w:pPr>
    </w:p>
    <w:p w14:paraId="1F0FA6C7" w14:textId="77777777" w:rsidR="007004DE" w:rsidRDefault="007004DE" w:rsidP="007004DE">
      <w:pPr>
        <w:spacing w:after="0"/>
        <w:rPr>
          <w:rFonts w:ascii="Arial" w:eastAsia="Arial" w:hAnsi="Arial" w:cs="Arial"/>
          <w:color w:val="000000"/>
          <w:sz w:val="22"/>
          <w:szCs w:val="22"/>
        </w:rPr>
      </w:pPr>
    </w:p>
    <w:p w14:paraId="367DE96D" w14:textId="77777777" w:rsidR="007004DE" w:rsidRDefault="007004DE" w:rsidP="007004DE">
      <w:pPr>
        <w:spacing w:after="0"/>
        <w:rPr>
          <w:rFonts w:ascii="Arial" w:eastAsia="Arial" w:hAnsi="Arial" w:cs="Arial"/>
          <w:color w:val="000000"/>
          <w:sz w:val="22"/>
          <w:szCs w:val="22"/>
        </w:rPr>
      </w:pPr>
    </w:p>
    <w:p w14:paraId="142DD16B" w14:textId="2E28642D" w:rsidR="0079049F" w:rsidRDefault="0079049F" w:rsidP="007004DE">
      <w:pPr>
        <w:spacing w:after="0"/>
        <w:rPr>
          <w:rFonts w:ascii="Arial" w:eastAsia="Arial" w:hAnsi="Arial" w:cs="Arial"/>
          <w:color w:val="000000"/>
          <w:sz w:val="22"/>
          <w:szCs w:val="22"/>
        </w:rPr>
      </w:pPr>
      <w:r>
        <w:rPr>
          <w:rFonts w:ascii="Arial" w:eastAsia="Arial" w:hAnsi="Arial" w:cs="Arial"/>
          <w:color w:val="000000"/>
          <w:sz w:val="22"/>
          <w:szCs w:val="22"/>
        </w:rPr>
        <w:lastRenderedPageBreak/>
        <w:t xml:space="preserve">Bogotá, D.C., </w:t>
      </w:r>
      <w:r w:rsidR="00662D3E">
        <w:rPr>
          <w:rFonts w:ascii="Arial" w:eastAsia="Arial" w:hAnsi="Arial" w:cs="Arial"/>
          <w:color w:val="000000"/>
          <w:sz w:val="22"/>
          <w:szCs w:val="22"/>
        </w:rPr>
        <w:t xml:space="preserve">24 de noviembre de 2022                      </w:t>
      </w:r>
      <w:r w:rsidR="00662D3E" w:rsidRPr="00662D3E">
        <w:rPr>
          <w:rFonts w:ascii="Arial" w:eastAsia="Arial" w:hAnsi="Arial" w:cs="Arial"/>
          <w:noProof/>
          <w:color w:val="000000"/>
          <w:sz w:val="22"/>
          <w:szCs w:val="22"/>
        </w:rPr>
        <w:drawing>
          <wp:inline distT="0" distB="0" distL="0" distR="0" wp14:anchorId="5E97E883" wp14:editId="63A80387">
            <wp:extent cx="2534907" cy="48704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9715" cy="489890"/>
                    </a:xfrm>
                    <a:prstGeom prst="rect">
                      <a:avLst/>
                    </a:prstGeom>
                  </pic:spPr>
                </pic:pic>
              </a:graphicData>
            </a:graphic>
          </wp:inline>
        </w:drawing>
      </w:r>
    </w:p>
    <w:p w14:paraId="52F4BBC1" w14:textId="77777777" w:rsidR="0079049F" w:rsidRDefault="0079049F" w:rsidP="007004DE">
      <w:pPr>
        <w:spacing w:after="0"/>
        <w:rPr>
          <w:rFonts w:ascii="Arial" w:eastAsia="Arial" w:hAnsi="Arial" w:cs="Arial"/>
          <w:color w:val="000000"/>
          <w:sz w:val="22"/>
          <w:szCs w:val="22"/>
        </w:rPr>
      </w:pPr>
    </w:p>
    <w:p w14:paraId="008FD4CD" w14:textId="77777777" w:rsidR="0079049F" w:rsidRDefault="0079049F" w:rsidP="007004DE">
      <w:pPr>
        <w:spacing w:after="0"/>
        <w:rPr>
          <w:rFonts w:ascii="Arial" w:eastAsia="Arial" w:hAnsi="Arial" w:cs="Arial"/>
          <w:color w:val="000000"/>
          <w:sz w:val="22"/>
          <w:szCs w:val="22"/>
        </w:rPr>
      </w:pPr>
    </w:p>
    <w:p w14:paraId="1770B8DE" w14:textId="11D3AC90" w:rsidR="007004DE" w:rsidRPr="006A06F2" w:rsidRDefault="007004DE" w:rsidP="007004DE">
      <w:pPr>
        <w:spacing w:after="0"/>
        <w:rPr>
          <w:rFonts w:ascii="Arial" w:eastAsia="Arial" w:hAnsi="Arial" w:cs="Arial"/>
          <w:color w:val="000000"/>
          <w:sz w:val="22"/>
          <w:szCs w:val="22"/>
        </w:rPr>
      </w:pPr>
      <w:r w:rsidRPr="006A06F2">
        <w:rPr>
          <w:rFonts w:ascii="Arial" w:eastAsia="Arial" w:hAnsi="Arial" w:cs="Arial"/>
          <w:color w:val="000000"/>
          <w:sz w:val="22"/>
          <w:szCs w:val="22"/>
        </w:rPr>
        <w:t>Señor</w:t>
      </w:r>
    </w:p>
    <w:p w14:paraId="5A70CDF3" w14:textId="77777777" w:rsidR="007004DE" w:rsidRDefault="007004DE" w:rsidP="007004DE">
      <w:pPr>
        <w:spacing w:after="0"/>
        <w:rPr>
          <w:rFonts w:ascii="Arial" w:eastAsia="Arial" w:hAnsi="Arial" w:cs="Arial"/>
          <w:b/>
          <w:color w:val="000000"/>
          <w:sz w:val="22"/>
          <w:szCs w:val="22"/>
        </w:rPr>
      </w:pPr>
      <w:r>
        <w:rPr>
          <w:rFonts w:ascii="Arial" w:eastAsia="Arial" w:hAnsi="Arial" w:cs="Arial"/>
          <w:b/>
          <w:color w:val="000000"/>
          <w:sz w:val="22"/>
          <w:szCs w:val="22"/>
        </w:rPr>
        <w:t>Oliver Tellez</w:t>
      </w:r>
    </w:p>
    <w:p w14:paraId="3499D10C" w14:textId="77777777" w:rsidR="007004DE" w:rsidRPr="006A06F2" w:rsidRDefault="007004DE" w:rsidP="007004DE">
      <w:pPr>
        <w:spacing w:after="0"/>
        <w:rPr>
          <w:rFonts w:ascii="Arial" w:eastAsia="Arial" w:hAnsi="Arial" w:cs="Arial"/>
          <w:color w:val="000000"/>
          <w:sz w:val="22"/>
          <w:szCs w:val="22"/>
        </w:rPr>
      </w:pPr>
      <w:r>
        <w:rPr>
          <w:rFonts w:ascii="Arial" w:eastAsia="Arial" w:hAnsi="Arial" w:cs="Arial"/>
          <w:color w:val="000000"/>
          <w:sz w:val="22"/>
          <w:szCs w:val="22"/>
        </w:rPr>
        <w:t>Ciudad</w:t>
      </w:r>
    </w:p>
    <w:p w14:paraId="0BF5972C" w14:textId="77777777" w:rsidR="007004DE" w:rsidRPr="006A06F2" w:rsidRDefault="007004DE" w:rsidP="007004DE">
      <w:pPr>
        <w:spacing w:after="0"/>
        <w:rPr>
          <w:rFonts w:ascii="Arial" w:eastAsia="Arial" w:hAnsi="Arial" w:cs="Arial"/>
          <w:color w:val="000000"/>
          <w:sz w:val="22"/>
          <w:szCs w:val="22"/>
        </w:rPr>
      </w:pPr>
    </w:p>
    <w:p w14:paraId="67B53658" w14:textId="77777777" w:rsidR="007004DE" w:rsidRPr="0072596A" w:rsidRDefault="007004DE" w:rsidP="007004DE">
      <w:pPr>
        <w:spacing w:after="0"/>
        <w:ind w:left="2160" w:firstLine="720"/>
        <w:rPr>
          <w:rFonts w:ascii="Arial" w:eastAsia="Arial" w:hAnsi="Arial" w:cs="Arial"/>
          <w:color w:val="000000"/>
          <w:sz w:val="20"/>
          <w:szCs w:val="20"/>
        </w:rPr>
      </w:pPr>
      <w:r w:rsidRPr="0072596A">
        <w:rPr>
          <w:rFonts w:ascii="Arial" w:hAnsi="Arial" w:cs="Arial"/>
          <w:b/>
          <w:sz w:val="22"/>
          <w:szCs w:val="22"/>
        </w:rPr>
        <w:t xml:space="preserve">Concepto C – </w:t>
      </w:r>
      <w:r>
        <w:rPr>
          <w:rFonts w:ascii="Arial" w:hAnsi="Arial" w:cs="Arial"/>
          <w:b/>
          <w:sz w:val="22"/>
          <w:szCs w:val="22"/>
        </w:rPr>
        <w:t>791</w:t>
      </w:r>
      <w:r w:rsidRPr="0072596A">
        <w:rPr>
          <w:rFonts w:ascii="Arial" w:hAnsi="Arial" w:cs="Arial"/>
          <w:b/>
          <w:sz w:val="22"/>
          <w:szCs w:val="22"/>
        </w:rPr>
        <w:t xml:space="preserve"> de 2022</w:t>
      </w:r>
    </w:p>
    <w:p w14:paraId="2DF2B320" w14:textId="77777777" w:rsidR="007004DE" w:rsidRPr="006A06F2" w:rsidRDefault="007004DE" w:rsidP="007004DE">
      <w:pPr>
        <w:spacing w:after="0"/>
        <w:rPr>
          <w:rFonts w:ascii="Arial" w:eastAsia="Arial" w:hAnsi="Arial" w:cs="Arial"/>
          <w:color w:val="000000"/>
          <w:sz w:val="22"/>
          <w:szCs w:val="22"/>
        </w:rPr>
      </w:pPr>
      <w:r w:rsidRPr="006A06F2">
        <w:rPr>
          <w:rFonts w:ascii="Arial" w:eastAsia="Arial" w:hAnsi="Arial" w:cs="Arial"/>
          <w:color w:val="000000"/>
          <w:sz w:val="22"/>
          <w:szCs w:val="22"/>
        </w:rPr>
        <w:t xml:space="preserve">                                            </w:t>
      </w:r>
    </w:p>
    <w:tbl>
      <w:tblPr>
        <w:tblStyle w:val="2"/>
        <w:tblW w:w="8926" w:type="dxa"/>
        <w:tblInd w:w="0" w:type="dxa"/>
        <w:tblLayout w:type="fixed"/>
        <w:tblLook w:val="0400" w:firstRow="0" w:lastRow="0" w:firstColumn="0" w:lastColumn="0" w:noHBand="0" w:noVBand="1"/>
      </w:tblPr>
      <w:tblGrid>
        <w:gridCol w:w="2689"/>
        <w:gridCol w:w="6237"/>
      </w:tblGrid>
      <w:tr w:rsidR="007004DE" w:rsidRPr="004528B4" w14:paraId="7732A069" w14:textId="77777777" w:rsidTr="00A8565E">
        <w:trPr>
          <w:trHeight w:val="1038"/>
        </w:trPr>
        <w:tc>
          <w:tcPr>
            <w:tcW w:w="2689" w:type="dxa"/>
          </w:tcPr>
          <w:p w14:paraId="52CE8E58" w14:textId="77777777" w:rsidR="007004DE" w:rsidRPr="0079049F" w:rsidRDefault="007004DE" w:rsidP="00A8565E">
            <w:pPr>
              <w:spacing w:before="0"/>
              <w:rPr>
                <w:rFonts w:ascii="Arial" w:eastAsia="Arial" w:hAnsi="Arial" w:cs="Arial"/>
                <w:b/>
                <w:bCs/>
                <w:color w:val="000000"/>
              </w:rPr>
            </w:pPr>
            <w:r w:rsidRPr="0079049F">
              <w:rPr>
                <w:rFonts w:ascii="Arial" w:eastAsia="Arial" w:hAnsi="Arial" w:cs="Arial"/>
                <w:b/>
                <w:bCs/>
                <w:color w:val="000000"/>
              </w:rPr>
              <w:t>Temas:</w:t>
            </w:r>
          </w:p>
        </w:tc>
        <w:tc>
          <w:tcPr>
            <w:tcW w:w="6237" w:type="dxa"/>
          </w:tcPr>
          <w:p w14:paraId="44A48943" w14:textId="072858AC" w:rsidR="007004DE" w:rsidRPr="00D03C25" w:rsidRDefault="007004DE" w:rsidP="0079049F">
            <w:pPr>
              <w:rPr>
                <w:rFonts w:ascii="Arial" w:eastAsia="Arial" w:hAnsi="Arial" w:cs="Arial"/>
                <w:bCs/>
                <w:color w:val="000000"/>
                <w:lang w:val="es-ES_tradnl"/>
              </w:rPr>
            </w:pPr>
            <w:r w:rsidRPr="00D03C25">
              <w:rPr>
                <w:rFonts w:ascii="Arial" w:hAnsi="Arial" w:cs="Arial"/>
                <w:bCs/>
                <w:sz w:val="22"/>
                <w:szCs w:val="22"/>
                <w:lang w:eastAsia="en-US"/>
              </w:rPr>
              <w:t>SUBSANABILIDAD – Alcance – procedencia / ACLARACIÓN DE OFERTAS – Concepto – Alcance / SUBSANABILIDAD Y ACLARACIÓN DE OFERTAS – Diferencias</w:t>
            </w:r>
            <w:r>
              <w:rPr>
                <w:rFonts w:ascii="Arial" w:hAnsi="Arial" w:cs="Arial"/>
                <w:bCs/>
                <w:sz w:val="22"/>
                <w:szCs w:val="22"/>
                <w:lang w:eastAsia="en-US"/>
              </w:rPr>
              <w:t xml:space="preserve"> / </w:t>
            </w:r>
            <w:r w:rsidRPr="0015675B">
              <w:rPr>
                <w:rFonts w:ascii="Arial" w:eastAsia="Times New Roman" w:hAnsi="Arial" w:cs="Arial"/>
                <w:bCs/>
                <w:sz w:val="22"/>
                <w:szCs w:val="22"/>
                <w:shd w:val="clear" w:color="auto" w:fill="FFFFFF"/>
                <w:lang w:val="es-CO"/>
              </w:rPr>
              <w:t>INCENTIVO CONTRACTUAL - Puntaje adicional - empresas de vigilancia y seguridad privada o cooperativas de vigilancia y seguridad privada – Condiciones para su acreditación</w:t>
            </w:r>
            <w:r w:rsidRPr="00D03C25">
              <w:rPr>
                <w:rFonts w:ascii="Arial" w:hAnsi="Arial" w:cs="Arial"/>
                <w:bCs/>
                <w:sz w:val="22"/>
                <w:szCs w:val="22"/>
                <w:lang w:eastAsia="en-US"/>
              </w:rPr>
              <w:t xml:space="preserve"> </w:t>
            </w:r>
          </w:p>
        </w:tc>
      </w:tr>
      <w:tr w:rsidR="007004DE" w:rsidRPr="006A06F2" w14:paraId="5562B1B8" w14:textId="77777777" w:rsidTr="00A8565E">
        <w:tc>
          <w:tcPr>
            <w:tcW w:w="2689" w:type="dxa"/>
          </w:tcPr>
          <w:p w14:paraId="6C40CA83" w14:textId="560B3620" w:rsidR="007004DE" w:rsidRPr="006A06F2" w:rsidRDefault="0079049F" w:rsidP="00A8565E">
            <w:pPr>
              <w:spacing w:before="0"/>
              <w:rPr>
                <w:rFonts w:ascii="Arial" w:eastAsia="Arial" w:hAnsi="Arial" w:cs="Arial"/>
                <w:b/>
                <w:color w:val="000000"/>
                <w:sz w:val="22"/>
                <w:szCs w:val="22"/>
              </w:rPr>
            </w:pPr>
            <w:r>
              <w:rPr>
                <w:rFonts w:ascii="Arial" w:eastAsia="Arial" w:hAnsi="Arial" w:cs="Arial"/>
                <w:b/>
                <w:color w:val="000000"/>
                <w:sz w:val="22"/>
                <w:szCs w:val="22"/>
              </w:rPr>
              <w:t>Radicado:</w:t>
            </w:r>
          </w:p>
        </w:tc>
        <w:tc>
          <w:tcPr>
            <w:tcW w:w="6237" w:type="dxa"/>
          </w:tcPr>
          <w:p w14:paraId="0CA5F2DD" w14:textId="77777777" w:rsidR="007004DE" w:rsidRPr="00A43805" w:rsidRDefault="007004DE" w:rsidP="00A8565E">
            <w:pPr>
              <w:spacing w:before="0"/>
              <w:rPr>
                <w:rFonts w:ascii="Arial" w:eastAsia="Arial" w:hAnsi="Arial" w:cs="Arial"/>
                <w:color w:val="000000"/>
                <w:sz w:val="22"/>
                <w:szCs w:val="22"/>
                <w:highlight w:val="yellow"/>
              </w:rPr>
            </w:pPr>
            <w:r w:rsidRPr="00561AEA">
              <w:rPr>
                <w:rFonts w:ascii="Arial" w:eastAsia="Arial" w:hAnsi="Arial" w:cs="Arial"/>
                <w:color w:val="000000"/>
                <w:sz w:val="22"/>
                <w:szCs w:val="22"/>
              </w:rPr>
              <w:t xml:space="preserve">Respuesta a consulta </w:t>
            </w:r>
            <w:r w:rsidRPr="00EC07C1">
              <w:rPr>
                <w:rFonts w:ascii="Arial" w:eastAsia="Arial" w:hAnsi="Arial" w:cs="Arial"/>
                <w:color w:val="000000"/>
                <w:sz w:val="22"/>
                <w:szCs w:val="22"/>
              </w:rPr>
              <w:t>P20220919009410</w:t>
            </w:r>
          </w:p>
        </w:tc>
      </w:tr>
      <w:tr w:rsidR="007004DE" w:rsidRPr="006A06F2" w14:paraId="4F92433D" w14:textId="77777777" w:rsidTr="00A8565E">
        <w:tc>
          <w:tcPr>
            <w:tcW w:w="2689" w:type="dxa"/>
          </w:tcPr>
          <w:p w14:paraId="4648CAD7" w14:textId="77777777" w:rsidR="007004DE" w:rsidRPr="006A06F2" w:rsidRDefault="007004DE" w:rsidP="00A8565E">
            <w:pPr>
              <w:spacing w:before="0"/>
              <w:rPr>
                <w:rFonts w:ascii="Arial" w:eastAsia="Arial" w:hAnsi="Arial" w:cs="Arial"/>
                <w:b/>
                <w:color w:val="000000"/>
                <w:sz w:val="22"/>
                <w:szCs w:val="22"/>
              </w:rPr>
            </w:pPr>
          </w:p>
        </w:tc>
        <w:tc>
          <w:tcPr>
            <w:tcW w:w="6237" w:type="dxa"/>
          </w:tcPr>
          <w:p w14:paraId="719A82A1" w14:textId="77777777" w:rsidR="007004DE" w:rsidRPr="00561AEA" w:rsidRDefault="007004DE" w:rsidP="00A8565E">
            <w:pPr>
              <w:spacing w:before="0"/>
              <w:rPr>
                <w:rFonts w:ascii="Arial" w:eastAsia="Arial" w:hAnsi="Arial" w:cs="Arial"/>
                <w:color w:val="000000"/>
                <w:sz w:val="22"/>
                <w:szCs w:val="22"/>
              </w:rPr>
            </w:pPr>
          </w:p>
        </w:tc>
      </w:tr>
    </w:tbl>
    <w:p w14:paraId="1B050D60" w14:textId="77777777" w:rsidR="007004DE" w:rsidRPr="006A06F2" w:rsidRDefault="007004DE" w:rsidP="007004DE">
      <w:pPr>
        <w:spacing w:after="0"/>
        <w:rPr>
          <w:rFonts w:ascii="Arial" w:eastAsia="Arial" w:hAnsi="Arial" w:cs="Arial"/>
          <w:color w:val="000000"/>
          <w:sz w:val="22"/>
          <w:szCs w:val="22"/>
        </w:rPr>
      </w:pPr>
      <w:r w:rsidRPr="006A06F2">
        <w:rPr>
          <w:rFonts w:ascii="Arial" w:eastAsia="Arial" w:hAnsi="Arial" w:cs="Arial"/>
          <w:color w:val="000000"/>
          <w:sz w:val="22"/>
          <w:szCs w:val="22"/>
        </w:rPr>
        <w:t>Estimad</w:t>
      </w:r>
      <w:r>
        <w:rPr>
          <w:rFonts w:ascii="Arial" w:eastAsia="Arial" w:hAnsi="Arial" w:cs="Arial"/>
          <w:color w:val="000000"/>
          <w:sz w:val="22"/>
          <w:szCs w:val="22"/>
        </w:rPr>
        <w:t>o</w:t>
      </w:r>
      <w:r w:rsidRPr="006A06F2">
        <w:rPr>
          <w:rFonts w:ascii="Arial" w:eastAsia="Arial" w:hAnsi="Arial" w:cs="Arial"/>
          <w:color w:val="000000"/>
          <w:sz w:val="22"/>
          <w:szCs w:val="22"/>
        </w:rPr>
        <w:t xml:space="preserve"> señor</w:t>
      </w:r>
      <w:r>
        <w:rPr>
          <w:rFonts w:ascii="Arial" w:eastAsia="Arial" w:hAnsi="Arial" w:cs="Arial"/>
          <w:color w:val="000000"/>
          <w:sz w:val="22"/>
          <w:szCs w:val="22"/>
        </w:rPr>
        <w:t xml:space="preserve"> Tellez:</w:t>
      </w:r>
    </w:p>
    <w:p w14:paraId="2BDEDE1D" w14:textId="77777777" w:rsidR="007004DE" w:rsidRPr="006A06F2" w:rsidRDefault="007004DE" w:rsidP="007004DE">
      <w:pPr>
        <w:spacing w:after="0"/>
        <w:ind w:firstLine="709"/>
        <w:rPr>
          <w:rFonts w:ascii="Arial" w:eastAsia="Arial" w:hAnsi="Arial" w:cs="Arial"/>
          <w:color w:val="000000"/>
          <w:sz w:val="22"/>
          <w:szCs w:val="22"/>
        </w:rPr>
      </w:pPr>
    </w:p>
    <w:p w14:paraId="1FFBC7E4" w14:textId="77777777" w:rsidR="007004DE" w:rsidRPr="006A06F2" w:rsidRDefault="007004DE" w:rsidP="007004DE">
      <w:pPr>
        <w:spacing w:after="0"/>
        <w:ind w:right="51"/>
        <w:rPr>
          <w:rFonts w:ascii="Arial" w:eastAsia="Arial" w:hAnsi="Arial" w:cs="Arial"/>
          <w:color w:val="000000"/>
          <w:sz w:val="22"/>
          <w:szCs w:val="22"/>
        </w:rPr>
      </w:pPr>
      <w:r w:rsidRPr="006A06F2">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w:t>
      </w:r>
      <w:r>
        <w:rPr>
          <w:rFonts w:ascii="Arial" w:eastAsia="Arial" w:hAnsi="Arial" w:cs="Arial"/>
          <w:color w:val="000000"/>
          <w:sz w:val="22"/>
          <w:szCs w:val="22"/>
        </w:rPr>
        <w:t>19 de septiembre</w:t>
      </w:r>
      <w:r w:rsidRPr="006A06F2">
        <w:rPr>
          <w:rFonts w:ascii="Arial" w:eastAsia="Arial" w:hAnsi="Arial" w:cs="Arial"/>
          <w:color w:val="000000"/>
          <w:sz w:val="22"/>
          <w:szCs w:val="22"/>
        </w:rPr>
        <w:t xml:space="preserve"> de 202</w:t>
      </w:r>
      <w:r>
        <w:rPr>
          <w:rFonts w:ascii="Arial" w:eastAsia="Arial" w:hAnsi="Arial" w:cs="Arial"/>
          <w:color w:val="000000"/>
          <w:sz w:val="22"/>
          <w:szCs w:val="22"/>
        </w:rPr>
        <w:t>2</w:t>
      </w:r>
      <w:r w:rsidRPr="006A06F2">
        <w:rPr>
          <w:rFonts w:ascii="Arial" w:eastAsia="Arial" w:hAnsi="Arial" w:cs="Arial"/>
          <w:color w:val="000000"/>
          <w:sz w:val="22"/>
          <w:szCs w:val="22"/>
        </w:rPr>
        <w:t xml:space="preserve">. </w:t>
      </w:r>
    </w:p>
    <w:p w14:paraId="19304900" w14:textId="77777777" w:rsidR="007004DE" w:rsidRPr="006A06F2" w:rsidRDefault="007004DE" w:rsidP="007004DE">
      <w:pPr>
        <w:spacing w:after="0"/>
        <w:rPr>
          <w:rFonts w:ascii="Arial" w:eastAsia="Arial" w:hAnsi="Arial" w:cs="Arial"/>
          <w:color w:val="000000"/>
          <w:sz w:val="22"/>
          <w:szCs w:val="22"/>
        </w:rPr>
      </w:pPr>
    </w:p>
    <w:p w14:paraId="6C6D504D" w14:textId="77777777" w:rsidR="007004DE" w:rsidRPr="006A06F2" w:rsidRDefault="007004DE" w:rsidP="007004DE">
      <w:pPr>
        <w:tabs>
          <w:tab w:val="left" w:pos="284"/>
        </w:tabs>
        <w:spacing w:after="0"/>
        <w:rPr>
          <w:rFonts w:ascii="Arial" w:eastAsia="Arial" w:hAnsi="Arial" w:cs="Arial"/>
          <w:b/>
          <w:color w:val="000000"/>
          <w:sz w:val="22"/>
          <w:szCs w:val="22"/>
        </w:rPr>
      </w:pPr>
      <w:r w:rsidRPr="006A06F2">
        <w:rPr>
          <w:rFonts w:ascii="Arial" w:eastAsia="Arial" w:hAnsi="Arial" w:cs="Arial"/>
          <w:b/>
          <w:color w:val="000000"/>
          <w:sz w:val="22"/>
          <w:szCs w:val="22"/>
        </w:rPr>
        <w:t xml:space="preserve">1. Problema planteado </w:t>
      </w:r>
    </w:p>
    <w:p w14:paraId="38AE88DE" w14:textId="77777777" w:rsidR="007004DE" w:rsidRDefault="007004DE" w:rsidP="007004DE">
      <w:pPr>
        <w:pBdr>
          <w:top w:val="nil"/>
          <w:left w:val="nil"/>
          <w:bottom w:val="nil"/>
          <w:right w:val="nil"/>
          <w:between w:val="nil"/>
        </w:pBdr>
        <w:spacing w:after="0"/>
        <w:rPr>
          <w:rFonts w:ascii="Arial" w:eastAsia="Arial" w:hAnsi="Arial" w:cs="Arial"/>
          <w:color w:val="000000"/>
          <w:sz w:val="22"/>
          <w:szCs w:val="22"/>
        </w:rPr>
      </w:pPr>
      <w:bookmarkStart w:id="0" w:name="_17dp8vu" w:colFirst="0" w:colLast="0"/>
      <w:bookmarkEnd w:id="0"/>
    </w:p>
    <w:p w14:paraId="1AC57FE5" w14:textId="52A5330D" w:rsidR="007004DE" w:rsidRPr="00FB1764" w:rsidRDefault="007004DE" w:rsidP="007004DE">
      <w:pPr>
        <w:pBdr>
          <w:top w:val="nil"/>
          <w:left w:val="nil"/>
          <w:bottom w:val="nil"/>
          <w:right w:val="nil"/>
          <w:between w:val="nil"/>
        </w:pBdr>
        <w:spacing w:after="0"/>
        <w:rPr>
          <w:rFonts w:ascii="Arial" w:eastAsia="Arial" w:hAnsi="Arial" w:cs="Arial"/>
          <w:i/>
          <w:iCs/>
          <w:color w:val="000000"/>
          <w:sz w:val="22"/>
          <w:szCs w:val="22"/>
        </w:rPr>
      </w:pPr>
      <w:r>
        <w:rPr>
          <w:rFonts w:ascii="Arial" w:eastAsia="Arial" w:hAnsi="Arial" w:cs="Arial"/>
          <w:color w:val="000000"/>
          <w:sz w:val="22"/>
          <w:szCs w:val="22"/>
        </w:rPr>
        <w:t>En la consulta se hizo alusión a temas tratados en los Conceptos C-418 de 8 de julio de 2022 y C-424 del 5 de julio de 2022, que absolvieron consultas relacionadas con la aplicación del incentivo de puntaje adicional en procesos de licitación pública de entidades estatales para proponentes que acrediten la vinculación de mujeres, personas mayores o en condición de discapacidad en empresas y cooperativas de vigilancia y seguridad privada, reglamentado por el Decreto 1279 de 2021. A juicio del peticionario existe una eventual contradicción en lo dicho</w:t>
      </w:r>
      <w:r w:rsidR="00B1278B">
        <w:rPr>
          <w:rFonts w:ascii="Arial" w:eastAsia="Arial" w:hAnsi="Arial" w:cs="Arial"/>
          <w:color w:val="000000"/>
          <w:sz w:val="22"/>
          <w:szCs w:val="22"/>
        </w:rPr>
        <w:t xml:space="preserve"> por esta Agencia</w:t>
      </w:r>
      <w:r>
        <w:rPr>
          <w:rFonts w:ascii="Arial" w:eastAsia="Arial" w:hAnsi="Arial" w:cs="Arial"/>
          <w:color w:val="000000"/>
          <w:sz w:val="22"/>
          <w:szCs w:val="22"/>
        </w:rPr>
        <w:t xml:space="preserve"> frente a la aplicación de la regla de subsanabilidad en relación con los documentos exigidos por el artículo 2.2.1.2.4.2.10 del Decreto 1082 de 2015, adicionado por el artículo 2 del Decreto 1279 de 2021, para la acreditación de los requisitos que permiten </w:t>
      </w:r>
      <w:r w:rsidR="00B1278B">
        <w:rPr>
          <w:rFonts w:ascii="Arial" w:eastAsia="Arial" w:hAnsi="Arial" w:cs="Arial"/>
          <w:color w:val="000000"/>
          <w:sz w:val="22"/>
          <w:szCs w:val="22"/>
        </w:rPr>
        <w:t>otorgar</w:t>
      </w:r>
      <w:r>
        <w:rPr>
          <w:rFonts w:ascii="Arial" w:eastAsia="Arial" w:hAnsi="Arial" w:cs="Arial"/>
          <w:color w:val="000000"/>
          <w:sz w:val="22"/>
          <w:szCs w:val="22"/>
        </w:rPr>
        <w:t xml:space="preserve"> los puntajes </w:t>
      </w:r>
      <w:r>
        <w:rPr>
          <w:rFonts w:ascii="Arial" w:eastAsia="Arial" w:hAnsi="Arial" w:cs="Arial"/>
          <w:color w:val="000000"/>
          <w:sz w:val="22"/>
          <w:szCs w:val="22"/>
        </w:rPr>
        <w:lastRenderedPageBreak/>
        <w:t xml:space="preserve">adicionales. Por lo anterior, </w:t>
      </w:r>
      <w:r w:rsidR="00B1278B">
        <w:rPr>
          <w:rFonts w:ascii="Arial" w:eastAsia="Arial" w:hAnsi="Arial" w:cs="Arial"/>
          <w:color w:val="000000"/>
          <w:sz w:val="22"/>
          <w:szCs w:val="22"/>
        </w:rPr>
        <w:t>solicitan</w:t>
      </w:r>
      <w:r w:rsidR="00B1278B" w:rsidRPr="00B1278B">
        <w:rPr>
          <w:rFonts w:ascii="Arial" w:eastAsia="Arial" w:hAnsi="Arial" w:cs="Arial"/>
          <w:i/>
          <w:iCs/>
          <w:color w:val="000000"/>
          <w:sz w:val="22"/>
          <w:szCs w:val="22"/>
        </w:rPr>
        <w:t>: «</w:t>
      </w:r>
      <w:r w:rsidRPr="00FB1764">
        <w:rPr>
          <w:rFonts w:ascii="Arial" w:eastAsia="Arial" w:hAnsi="Arial" w:cs="Arial"/>
          <w:i/>
          <w:iCs/>
          <w:color w:val="000000"/>
          <w:sz w:val="22"/>
          <w:szCs w:val="22"/>
        </w:rPr>
        <w:t>[…] unificar un solo pronunciamiento en relación al incentivo contractual establecido por la Ley 1920 de 2018, reglamentado por el Decreto 1279 de 2021.»</w:t>
      </w:r>
    </w:p>
    <w:p w14:paraId="25C84677" w14:textId="6439C1C9" w:rsidR="007004DE" w:rsidRDefault="007004DE" w:rsidP="007004DE">
      <w:pPr>
        <w:pBdr>
          <w:top w:val="nil"/>
          <w:left w:val="nil"/>
          <w:bottom w:val="nil"/>
          <w:right w:val="nil"/>
          <w:between w:val="nil"/>
        </w:pBdr>
        <w:spacing w:before="120" w:after="0"/>
        <w:ind w:firstLine="709"/>
        <w:rPr>
          <w:rFonts w:ascii="Arial" w:eastAsia="Arial" w:hAnsi="Arial" w:cs="Arial"/>
          <w:color w:val="000000"/>
          <w:sz w:val="22"/>
          <w:szCs w:val="22"/>
        </w:rPr>
      </w:pPr>
      <w:r>
        <w:rPr>
          <w:rFonts w:ascii="Arial" w:eastAsia="Arial" w:hAnsi="Arial" w:cs="Arial"/>
          <w:color w:val="000000"/>
          <w:sz w:val="22"/>
          <w:szCs w:val="22"/>
        </w:rPr>
        <w:t xml:space="preserve">Como contexto se trae a colación que en la consulta se señaló </w:t>
      </w:r>
      <w:r w:rsidR="00B1278B">
        <w:rPr>
          <w:rFonts w:ascii="Arial" w:eastAsia="Arial" w:hAnsi="Arial" w:cs="Arial"/>
          <w:color w:val="000000"/>
          <w:sz w:val="22"/>
          <w:szCs w:val="22"/>
        </w:rPr>
        <w:t>a</w:t>
      </w:r>
      <w:r>
        <w:rPr>
          <w:rFonts w:ascii="Arial" w:eastAsia="Arial" w:hAnsi="Arial" w:cs="Arial"/>
          <w:color w:val="000000"/>
          <w:sz w:val="22"/>
          <w:szCs w:val="22"/>
        </w:rPr>
        <w:t xml:space="preserve"> </w:t>
      </w:r>
      <w:r w:rsidRPr="00D10104">
        <w:rPr>
          <w:rFonts w:ascii="Arial" w:eastAsia="Arial" w:hAnsi="Arial" w:cs="Arial"/>
          <w:i/>
          <w:iCs/>
          <w:color w:val="000000"/>
          <w:sz w:val="22"/>
          <w:szCs w:val="22"/>
        </w:rPr>
        <w:t>grosso modo</w:t>
      </w:r>
      <w:r>
        <w:rPr>
          <w:rFonts w:ascii="Arial" w:eastAsia="Arial" w:hAnsi="Arial" w:cs="Arial"/>
          <w:color w:val="000000"/>
          <w:sz w:val="22"/>
          <w:szCs w:val="22"/>
        </w:rPr>
        <w:t xml:space="preserve"> que en el Concepto C-424 de 2022</w:t>
      </w:r>
      <w:r>
        <w:rPr>
          <w:rStyle w:val="Refdenotaalpie"/>
          <w:color w:val="000000"/>
          <w:sz w:val="22"/>
          <w:szCs w:val="22"/>
        </w:rPr>
        <w:footnoteReference w:id="2"/>
      </w:r>
      <w:r>
        <w:rPr>
          <w:rFonts w:ascii="Arial" w:eastAsia="Arial" w:hAnsi="Arial" w:cs="Arial"/>
          <w:color w:val="000000"/>
          <w:sz w:val="22"/>
          <w:szCs w:val="22"/>
        </w:rPr>
        <w:t xml:space="preserve"> esta Agencia concluyó que «</w:t>
      </w:r>
      <w:r w:rsidRPr="00FB1764">
        <w:rPr>
          <w:rFonts w:ascii="Arial" w:eastAsia="Arial" w:hAnsi="Arial" w:cs="Arial"/>
          <w:i/>
          <w:iCs/>
          <w:color w:val="000000"/>
          <w:sz w:val="22"/>
          <w:szCs w:val="22"/>
        </w:rPr>
        <w:t>los proponentes deben presentar todos los documentos establecidos en el parágrafo primero del Decreto 1279 de 2021 para acceder al puntaje adicional»,</w:t>
      </w:r>
      <w:r>
        <w:rPr>
          <w:rFonts w:ascii="Arial" w:eastAsia="Arial" w:hAnsi="Arial" w:cs="Arial"/>
          <w:color w:val="000000"/>
          <w:sz w:val="22"/>
          <w:szCs w:val="22"/>
        </w:rPr>
        <w:t xml:space="preserve"> mientras que en el Concepto C-418 de 2022</w:t>
      </w:r>
      <w:r>
        <w:rPr>
          <w:rStyle w:val="Refdenotaalpie"/>
          <w:color w:val="000000"/>
          <w:sz w:val="22"/>
          <w:szCs w:val="22"/>
        </w:rPr>
        <w:footnoteReference w:id="3"/>
      </w:r>
      <w:r>
        <w:rPr>
          <w:rFonts w:ascii="Arial" w:eastAsia="Arial" w:hAnsi="Arial" w:cs="Arial"/>
          <w:color w:val="000000"/>
          <w:sz w:val="22"/>
          <w:szCs w:val="22"/>
        </w:rPr>
        <w:t xml:space="preserve">, a juicio del peticionario </w:t>
      </w:r>
      <w:r w:rsidRPr="00FB1764">
        <w:rPr>
          <w:rFonts w:ascii="Arial" w:eastAsia="Arial" w:hAnsi="Arial" w:cs="Arial"/>
          <w:i/>
          <w:iCs/>
          <w:color w:val="000000"/>
          <w:sz w:val="22"/>
          <w:szCs w:val="22"/>
        </w:rPr>
        <w:t>«responden que puede asignarse puntaje a propuestas que no presenten todos los documentos anexos exigidos (específicamente los documentos de identidad y/o los certificados de discapacidad)».</w:t>
      </w:r>
      <w:r>
        <w:rPr>
          <w:rFonts w:ascii="Arial" w:eastAsia="Arial" w:hAnsi="Arial" w:cs="Arial"/>
          <w:color w:val="000000"/>
          <w:sz w:val="22"/>
          <w:szCs w:val="22"/>
        </w:rPr>
        <w:t xml:space="preserve">  </w:t>
      </w:r>
    </w:p>
    <w:p w14:paraId="0F4407A5" w14:textId="77777777" w:rsidR="007004DE" w:rsidRDefault="007004DE" w:rsidP="007004DE">
      <w:pPr>
        <w:spacing w:after="0"/>
        <w:rPr>
          <w:rFonts w:ascii="Arial" w:hAnsi="Arial" w:cs="Arial"/>
          <w:b/>
          <w:bCs/>
          <w:sz w:val="22"/>
          <w:szCs w:val="22"/>
          <w:lang w:eastAsia="en-US"/>
        </w:rPr>
      </w:pPr>
    </w:p>
    <w:p w14:paraId="3FE5F233" w14:textId="77777777" w:rsidR="007004DE" w:rsidRPr="003150EF" w:rsidRDefault="007004DE" w:rsidP="007004DE">
      <w:pPr>
        <w:spacing w:after="0"/>
        <w:rPr>
          <w:rFonts w:ascii="Arial" w:hAnsi="Arial" w:cs="Arial"/>
          <w:b/>
          <w:bCs/>
          <w:sz w:val="22"/>
          <w:szCs w:val="22"/>
          <w:lang w:eastAsia="en-US"/>
        </w:rPr>
      </w:pPr>
      <w:r w:rsidRPr="003150EF">
        <w:rPr>
          <w:rFonts w:ascii="Arial" w:hAnsi="Arial" w:cs="Arial"/>
          <w:b/>
          <w:bCs/>
          <w:sz w:val="22"/>
          <w:szCs w:val="22"/>
          <w:lang w:eastAsia="en-US"/>
        </w:rPr>
        <w:t>2. Consideraciones</w:t>
      </w:r>
    </w:p>
    <w:p w14:paraId="73895D46" w14:textId="77777777" w:rsidR="007004DE" w:rsidRPr="003150EF" w:rsidRDefault="007004DE" w:rsidP="007004DE">
      <w:pPr>
        <w:spacing w:after="0"/>
        <w:rPr>
          <w:rFonts w:ascii="Arial" w:hAnsi="Arial" w:cs="Arial"/>
          <w:b/>
          <w:bCs/>
          <w:sz w:val="22"/>
          <w:szCs w:val="22"/>
          <w:lang w:eastAsia="en-US"/>
        </w:rPr>
      </w:pPr>
    </w:p>
    <w:p w14:paraId="77CC42F5" w14:textId="77777777" w:rsidR="007004DE" w:rsidRPr="00506955" w:rsidRDefault="007004DE" w:rsidP="007004DE">
      <w:pPr>
        <w:spacing w:before="120" w:after="0"/>
        <w:rPr>
          <w:rFonts w:ascii="Arial" w:hAnsi="Arial" w:cs="Arial"/>
          <w:color w:val="000000"/>
          <w:sz w:val="22"/>
          <w:szCs w:val="22"/>
          <w:lang w:val="es-ES_tradnl" w:eastAsia="en-US"/>
        </w:rPr>
      </w:pPr>
      <w:r w:rsidRPr="00506955">
        <w:rPr>
          <w:rFonts w:ascii="Arial" w:hAnsi="Arial" w:cs="Arial"/>
          <w:color w:val="000000"/>
          <w:sz w:val="22"/>
          <w:szCs w:val="22"/>
          <w:lang w:val="es-ES_tradnl" w:eastAsia="en-US"/>
        </w:rPr>
        <w:t>En primer lugar,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w:t>
      </w:r>
      <w:r w:rsidRPr="00506955">
        <w:rPr>
          <w:rFonts w:ascii="Arial" w:hAnsi="Arial" w:cs="Arial"/>
          <w:bCs/>
          <w:color w:val="000000"/>
          <w:sz w:val="22"/>
          <w:szCs w:val="22"/>
          <w:lang w:val="es-ES_tradnl" w:eastAsia="en-US"/>
        </w:rPr>
        <w:t xml:space="preserve">. </w:t>
      </w:r>
      <w:r w:rsidRPr="00506955">
        <w:rPr>
          <w:rFonts w:ascii="Arial" w:hAnsi="Arial" w:cs="Arial"/>
          <w:color w:val="000000"/>
          <w:sz w:val="22"/>
          <w:szCs w:val="22"/>
          <w:lang w:val="es-ES_tradnl" w:eastAsia="en-U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7231AD02" w14:textId="77777777" w:rsidR="007004DE" w:rsidRDefault="007004DE" w:rsidP="007004DE">
      <w:pPr>
        <w:tabs>
          <w:tab w:val="left" w:pos="426"/>
        </w:tabs>
        <w:spacing w:after="0"/>
        <w:rPr>
          <w:rFonts w:ascii="Arial" w:hAnsi="Arial" w:cs="Arial"/>
          <w:color w:val="000000"/>
          <w:sz w:val="22"/>
          <w:szCs w:val="22"/>
          <w:lang w:val="es-ES_tradnl" w:eastAsia="en-US"/>
        </w:rPr>
      </w:pPr>
      <w:r>
        <w:rPr>
          <w:rFonts w:ascii="Arial" w:hAnsi="Arial" w:cs="Arial"/>
          <w:color w:val="000000"/>
          <w:sz w:val="22"/>
          <w:szCs w:val="22"/>
          <w:lang w:val="es-ES_tradnl" w:eastAsia="en-US"/>
        </w:rPr>
        <w:tab/>
      </w:r>
    </w:p>
    <w:p w14:paraId="76C7173D" w14:textId="77777777" w:rsidR="007004DE" w:rsidRDefault="007004DE" w:rsidP="007004DE">
      <w:pPr>
        <w:tabs>
          <w:tab w:val="left" w:pos="426"/>
        </w:tabs>
        <w:spacing w:after="0"/>
        <w:rPr>
          <w:rFonts w:ascii="Arial" w:eastAsia="Arial" w:hAnsi="Arial" w:cs="Arial"/>
          <w:color w:val="000000"/>
          <w:sz w:val="22"/>
          <w:szCs w:val="22"/>
          <w:lang w:val="es-ES_tradnl" w:eastAsia="en-US"/>
        </w:rPr>
      </w:pPr>
      <w:r>
        <w:rPr>
          <w:rFonts w:ascii="Arial" w:hAnsi="Arial" w:cs="Arial"/>
          <w:color w:val="000000"/>
          <w:sz w:val="22"/>
          <w:szCs w:val="22"/>
          <w:lang w:val="es-ES_tradnl" w:eastAsia="en-US"/>
        </w:rPr>
        <w:tab/>
      </w:r>
      <w:r w:rsidRPr="00506955">
        <w:rPr>
          <w:rFonts w:ascii="Arial" w:hAnsi="Arial" w:cs="Arial"/>
          <w:color w:val="000000"/>
          <w:sz w:val="22"/>
          <w:szCs w:val="22"/>
          <w:lang w:val="es-ES_tradnl" w:eastAsia="en-US"/>
        </w:rPr>
        <w:t xml:space="preserve">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w:t>
      </w:r>
      <w:r w:rsidRPr="00506955">
        <w:rPr>
          <w:rFonts w:ascii="Arial" w:hAnsi="Arial" w:cs="Arial"/>
          <w:color w:val="000000"/>
          <w:sz w:val="22"/>
          <w:szCs w:val="22"/>
          <w:lang w:val="es-ES_tradnl" w:eastAsia="en-US"/>
        </w:rPr>
        <w:lastRenderedPageBreak/>
        <w:t xml:space="preserve">consultiva a esta Subdirección. Además, no son vinculantes o </w:t>
      </w:r>
      <w:r w:rsidRPr="00506955">
        <w:rPr>
          <w:rFonts w:ascii="Arial" w:eastAsia="Arial" w:hAnsi="Arial" w:cs="Arial"/>
          <w:color w:val="000000"/>
          <w:sz w:val="22"/>
          <w:szCs w:val="22"/>
          <w:lang w:val="es-ES_tradnl" w:eastAsia="en-US"/>
        </w:rPr>
        <w:t>de obligatorio cumplimiento para el destinatario, sino que expresan la posición interpretativa del ente que elabora el concepto.</w:t>
      </w:r>
      <w:r>
        <w:rPr>
          <w:rFonts w:ascii="Arial" w:eastAsia="Arial" w:hAnsi="Arial" w:cs="Arial"/>
          <w:color w:val="000000"/>
          <w:sz w:val="22"/>
          <w:szCs w:val="22"/>
          <w:lang w:val="es-ES_tradnl" w:eastAsia="en-US"/>
        </w:rPr>
        <w:t xml:space="preserve"> </w:t>
      </w:r>
    </w:p>
    <w:p w14:paraId="4ED3868E" w14:textId="77777777" w:rsidR="007004DE" w:rsidRDefault="007004DE" w:rsidP="007004DE">
      <w:pPr>
        <w:tabs>
          <w:tab w:val="left" w:pos="426"/>
        </w:tabs>
        <w:spacing w:after="0"/>
        <w:rPr>
          <w:rFonts w:ascii="Arial" w:eastAsia="Arial" w:hAnsi="Arial" w:cs="Arial"/>
          <w:color w:val="000000"/>
          <w:sz w:val="22"/>
          <w:szCs w:val="22"/>
          <w:lang w:val="es-ES_tradnl" w:eastAsia="en-US"/>
        </w:rPr>
      </w:pPr>
    </w:p>
    <w:p w14:paraId="23DDD81E" w14:textId="77777777" w:rsidR="007004DE" w:rsidRDefault="007004DE" w:rsidP="007004DE">
      <w:pPr>
        <w:tabs>
          <w:tab w:val="left" w:pos="426"/>
        </w:tabs>
        <w:spacing w:after="0"/>
        <w:rPr>
          <w:rFonts w:ascii="Arial" w:hAnsi="Arial" w:cs="Arial"/>
          <w:bCs/>
          <w:sz w:val="22"/>
          <w:szCs w:val="22"/>
          <w:lang w:val="es-ES_tradnl" w:eastAsia="en-US"/>
        </w:rPr>
      </w:pPr>
      <w:r>
        <w:rPr>
          <w:rFonts w:ascii="Arial" w:eastAsia="Arial" w:hAnsi="Arial" w:cs="Arial"/>
          <w:color w:val="000000"/>
          <w:sz w:val="22"/>
          <w:szCs w:val="22"/>
          <w:lang w:val="es-ES_tradnl" w:eastAsia="en-US"/>
        </w:rPr>
        <w:t xml:space="preserve">De otra parte, </w:t>
      </w:r>
      <w:r>
        <w:rPr>
          <w:rFonts w:ascii="Arial" w:hAnsi="Arial" w:cs="Arial"/>
          <w:bCs/>
          <w:sz w:val="22"/>
          <w:szCs w:val="22"/>
          <w:lang w:val="es-ES_tradnl" w:eastAsia="en-US"/>
        </w:rPr>
        <w:t>p</w:t>
      </w:r>
      <w:r w:rsidRPr="00400E27">
        <w:rPr>
          <w:rFonts w:ascii="Arial" w:hAnsi="Arial" w:cs="Arial"/>
          <w:bCs/>
          <w:sz w:val="22"/>
          <w:szCs w:val="22"/>
          <w:lang w:val="es-ES_tradnl" w:eastAsia="en-US"/>
        </w:rPr>
        <w:t>ara resolver la inquietud planteada, se analizarán los siguientes</w:t>
      </w:r>
      <w:r>
        <w:rPr>
          <w:rFonts w:ascii="Arial" w:hAnsi="Arial" w:cs="Arial"/>
          <w:bCs/>
          <w:sz w:val="22"/>
          <w:szCs w:val="22"/>
          <w:lang w:val="es-ES_tradnl" w:eastAsia="en-US"/>
        </w:rPr>
        <w:t xml:space="preserve"> temas: </w:t>
      </w:r>
      <w:r w:rsidRPr="00270801">
        <w:rPr>
          <w:rFonts w:ascii="Arial" w:hAnsi="Arial" w:cs="Arial"/>
          <w:sz w:val="22"/>
          <w:szCs w:val="22"/>
          <w:lang w:val="es-ES_tradnl" w:eastAsia="en-US"/>
        </w:rPr>
        <w:t xml:space="preserve">i) </w:t>
      </w:r>
      <w:r>
        <w:rPr>
          <w:rFonts w:ascii="Arial" w:hAnsi="Arial" w:cs="Arial"/>
          <w:sz w:val="22"/>
          <w:szCs w:val="22"/>
          <w:lang w:val="es-ES_tradnl" w:eastAsia="en-US"/>
        </w:rPr>
        <w:t>Alcance de la regla de subsanabilidad de la oferta y diferencia con la aclaración de ofertas</w:t>
      </w:r>
      <w:r w:rsidRPr="00270801">
        <w:rPr>
          <w:rFonts w:ascii="Arial" w:hAnsi="Arial" w:cs="Arial"/>
          <w:sz w:val="22"/>
          <w:szCs w:val="22"/>
          <w:lang w:val="es-ES_tradnl" w:eastAsia="en-US"/>
        </w:rPr>
        <w:t>,</w:t>
      </w:r>
      <w:r>
        <w:rPr>
          <w:rFonts w:ascii="Arial" w:hAnsi="Arial" w:cs="Arial"/>
          <w:sz w:val="22"/>
          <w:szCs w:val="22"/>
          <w:lang w:val="es-ES_tradnl" w:eastAsia="en-US"/>
        </w:rPr>
        <w:t xml:space="preserve"> y</w:t>
      </w:r>
      <w:r w:rsidRPr="00270801">
        <w:rPr>
          <w:rFonts w:ascii="Arial" w:hAnsi="Arial" w:cs="Arial"/>
          <w:sz w:val="22"/>
          <w:szCs w:val="22"/>
          <w:lang w:val="es-ES_tradnl" w:eastAsia="en-US"/>
        </w:rPr>
        <w:t xml:space="preserve"> ii) </w:t>
      </w:r>
      <w:r>
        <w:rPr>
          <w:rFonts w:ascii="Arial" w:hAnsi="Arial" w:cs="Arial"/>
          <w:sz w:val="22"/>
          <w:szCs w:val="22"/>
          <w:lang w:val="es-ES_tradnl" w:eastAsia="en-US"/>
        </w:rPr>
        <w:t>a</w:t>
      </w:r>
      <w:r w:rsidRPr="00DE4A94">
        <w:rPr>
          <w:rFonts w:ascii="Arial" w:hAnsi="Arial" w:cs="Arial"/>
          <w:sz w:val="22"/>
          <w:szCs w:val="22"/>
          <w:lang w:val="es-ES_tradnl" w:eastAsia="en-US"/>
        </w:rPr>
        <w:t>nálisis de las tesis planteadas en los conceptos C-418 y 424 de 2022 sobre los criterios y condiciones para la acreditación de los incentivos en los términos del artículo 2.2.1.2.4.2.10 del Decreto 1279 de 202</w:t>
      </w:r>
      <w:r>
        <w:rPr>
          <w:rFonts w:ascii="Arial" w:hAnsi="Arial" w:cs="Arial"/>
          <w:sz w:val="22"/>
          <w:szCs w:val="22"/>
          <w:lang w:val="es-ES_tradnl" w:eastAsia="en-US"/>
        </w:rPr>
        <w:t>1</w:t>
      </w:r>
      <w:r w:rsidRPr="002C52E8">
        <w:rPr>
          <w:rFonts w:ascii="Arial" w:hAnsi="Arial" w:cs="Arial"/>
          <w:bCs/>
          <w:sz w:val="22"/>
          <w:szCs w:val="22"/>
          <w:lang w:val="es-ES_tradnl" w:eastAsia="en-US"/>
        </w:rPr>
        <w:t>:</w:t>
      </w:r>
    </w:p>
    <w:p w14:paraId="10B8CB45" w14:textId="77777777" w:rsidR="007004DE" w:rsidRDefault="007004DE" w:rsidP="007004DE">
      <w:pPr>
        <w:spacing w:after="0"/>
        <w:rPr>
          <w:rFonts w:ascii="Arial" w:hAnsi="Arial" w:cs="Arial"/>
          <w:bCs/>
          <w:sz w:val="22"/>
          <w:szCs w:val="22"/>
          <w:lang w:val="es-ES_tradnl" w:eastAsia="en-US"/>
        </w:rPr>
      </w:pPr>
    </w:p>
    <w:p w14:paraId="1C5ADDC6" w14:textId="77777777" w:rsidR="007004DE" w:rsidRPr="00506955" w:rsidRDefault="007004DE" w:rsidP="007004DE">
      <w:pPr>
        <w:spacing w:after="0"/>
        <w:ind w:right="49"/>
        <w:rPr>
          <w:rFonts w:ascii="Arial" w:hAnsi="Arial" w:cs="Arial"/>
          <w:bCs/>
          <w:sz w:val="22"/>
          <w:szCs w:val="22"/>
          <w:lang w:eastAsia="en-US"/>
        </w:rPr>
      </w:pPr>
      <w:r w:rsidRPr="006D38B2">
        <w:rPr>
          <w:rFonts w:ascii="Arial" w:hAnsi="Arial" w:cs="Arial"/>
          <w:b/>
          <w:bCs/>
          <w:sz w:val="22"/>
          <w:szCs w:val="22"/>
          <w:lang w:eastAsia="en-US"/>
        </w:rPr>
        <w:t xml:space="preserve">2.1. </w:t>
      </w:r>
      <w:r w:rsidRPr="00DA2194">
        <w:rPr>
          <w:rFonts w:ascii="Arial" w:hAnsi="Arial" w:cs="Arial"/>
          <w:b/>
          <w:bCs/>
          <w:sz w:val="22"/>
          <w:szCs w:val="22"/>
          <w:lang w:eastAsia="en-US"/>
        </w:rPr>
        <w:t>Alcance de la regla de la subsanabilidad de las ofertas en los procedimientos de selección y su diferencia con la figura de la aclaración de ofertas</w:t>
      </w:r>
    </w:p>
    <w:p w14:paraId="64FAC83F" w14:textId="77777777" w:rsidR="007004DE" w:rsidRPr="00DA2194" w:rsidRDefault="007004DE" w:rsidP="007004DE">
      <w:pPr>
        <w:spacing w:after="0"/>
        <w:ind w:right="49"/>
        <w:rPr>
          <w:rFonts w:ascii="Arial" w:hAnsi="Arial" w:cs="Arial"/>
          <w:b/>
          <w:bCs/>
          <w:sz w:val="22"/>
          <w:szCs w:val="22"/>
          <w:lang w:eastAsia="en-US"/>
        </w:rPr>
      </w:pPr>
    </w:p>
    <w:p w14:paraId="03E1187E" w14:textId="6F2CCC62" w:rsidR="007004DE" w:rsidRDefault="007004DE" w:rsidP="007004DE">
      <w:pPr>
        <w:spacing w:after="0"/>
        <w:rPr>
          <w:rFonts w:ascii="Arial" w:hAnsi="Arial" w:cs="Arial"/>
          <w:sz w:val="22"/>
        </w:rPr>
      </w:pPr>
      <w:r>
        <w:rPr>
          <w:rFonts w:ascii="Arial" w:hAnsi="Arial" w:cs="Arial"/>
          <w:bCs/>
          <w:sz w:val="22"/>
          <w:szCs w:val="22"/>
          <w:lang w:eastAsia="en-US"/>
        </w:rPr>
        <w:t>En</w:t>
      </w:r>
      <w:r w:rsidRPr="00F530E3">
        <w:rPr>
          <w:rFonts w:ascii="Arial" w:hAnsi="Arial" w:cs="Arial"/>
          <w:bCs/>
          <w:sz w:val="22"/>
          <w:szCs w:val="22"/>
          <w:lang w:eastAsia="en-US"/>
        </w:rPr>
        <w:t xml:space="preserve"> el concepto CU — 060 de 16 de enero de 2020, </w:t>
      </w:r>
      <w:r>
        <w:rPr>
          <w:rFonts w:ascii="Arial" w:hAnsi="Arial" w:cs="Arial"/>
          <w:bCs/>
          <w:sz w:val="22"/>
          <w:szCs w:val="22"/>
          <w:lang w:eastAsia="en-US"/>
        </w:rPr>
        <w:t xml:space="preserve">se </w:t>
      </w:r>
      <w:r w:rsidRPr="00F530E3">
        <w:rPr>
          <w:rFonts w:ascii="Arial" w:hAnsi="Arial" w:cs="Arial"/>
          <w:bCs/>
          <w:sz w:val="22"/>
          <w:szCs w:val="22"/>
          <w:lang w:eastAsia="en-US"/>
        </w:rPr>
        <w:t>unificó el concepto de la Agencia Nacional de Contratación Pública – Colombia Compra Eficiente en torno al alcance de la regla de la subsanabilidad,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w:t>
      </w:r>
      <w:r>
        <w:rPr>
          <w:rFonts w:ascii="Arial" w:hAnsi="Arial" w:cs="Arial"/>
          <w:bCs/>
          <w:sz w:val="22"/>
          <w:szCs w:val="22"/>
          <w:lang w:eastAsia="en-US"/>
        </w:rPr>
        <w:t>,</w:t>
      </w:r>
      <w:r w:rsidRPr="00F530E3">
        <w:rPr>
          <w:rFonts w:ascii="Arial" w:hAnsi="Arial" w:cs="Arial"/>
          <w:bCs/>
          <w:sz w:val="22"/>
          <w:szCs w:val="22"/>
          <w:lang w:eastAsia="en-US"/>
        </w:rPr>
        <w:t xml:space="preserve"> C-250 del 2 de junio de 2021</w:t>
      </w:r>
      <w:r>
        <w:rPr>
          <w:rFonts w:ascii="Arial" w:hAnsi="Arial" w:cs="Arial"/>
          <w:bCs/>
          <w:sz w:val="22"/>
          <w:szCs w:val="22"/>
          <w:lang w:eastAsia="en-US"/>
        </w:rPr>
        <w:t xml:space="preserve"> </w:t>
      </w:r>
      <w:r w:rsidRPr="007C4DB5">
        <w:rPr>
          <w:rFonts w:ascii="Arial" w:hAnsi="Arial" w:cs="Arial"/>
          <w:sz w:val="22"/>
        </w:rPr>
        <w:t>C-568 del 11 de octubre de 2021</w:t>
      </w:r>
      <w:r>
        <w:rPr>
          <w:rFonts w:ascii="Arial" w:hAnsi="Arial" w:cs="Arial"/>
          <w:sz w:val="22"/>
        </w:rPr>
        <w:t>, C-728 del 25 de enero de 2022, C-140 del 28 de marzo de 2022, C-285 del 20 de mayo de 2022, C-416 del 30 de junio de 2022, C-431 del 7 de julio de 2022, C-470 del 25 de julio de 2022</w:t>
      </w:r>
      <w:r w:rsidR="00AA0362">
        <w:rPr>
          <w:rFonts w:ascii="Arial" w:hAnsi="Arial" w:cs="Arial"/>
          <w:sz w:val="22"/>
        </w:rPr>
        <w:t>,</w:t>
      </w:r>
      <w:r>
        <w:rPr>
          <w:rFonts w:ascii="Arial" w:hAnsi="Arial" w:cs="Arial"/>
          <w:sz w:val="22"/>
        </w:rPr>
        <w:t xml:space="preserve"> C-505 de 8 de agosto de 2022</w:t>
      </w:r>
      <w:r w:rsidR="00AA0362">
        <w:rPr>
          <w:rFonts w:ascii="Arial" w:hAnsi="Arial" w:cs="Arial"/>
          <w:sz w:val="22"/>
        </w:rPr>
        <w:t xml:space="preserve"> y C-681 de 19 de octubre de 2022.</w:t>
      </w:r>
    </w:p>
    <w:p w14:paraId="6D755A0F" w14:textId="77777777" w:rsidR="007004DE" w:rsidRDefault="007004DE" w:rsidP="007004DE">
      <w:pPr>
        <w:spacing w:after="0"/>
        <w:rPr>
          <w:rFonts w:ascii="Arial" w:hAnsi="Arial" w:cs="Arial"/>
          <w:sz w:val="22"/>
        </w:rPr>
      </w:pPr>
    </w:p>
    <w:p w14:paraId="4A0CEBCF" w14:textId="77777777" w:rsidR="007004DE" w:rsidRPr="00267E8F" w:rsidRDefault="007004DE" w:rsidP="007004DE">
      <w:pPr>
        <w:ind w:firstLine="708"/>
        <w:rPr>
          <w:rFonts w:ascii="Arial" w:hAnsi="Arial" w:cs="Arial"/>
          <w:sz w:val="22"/>
          <w:lang w:val="es-ES_tradnl"/>
        </w:rPr>
      </w:pPr>
      <w:r w:rsidRPr="00F530E3">
        <w:rPr>
          <w:rFonts w:ascii="Arial" w:hAnsi="Arial" w:cs="Arial"/>
          <w:bCs/>
          <w:sz w:val="22"/>
          <w:szCs w:val="22"/>
          <w:lang w:eastAsia="en-US"/>
        </w:rPr>
        <w:t xml:space="preserve"> </w:t>
      </w:r>
      <w:r>
        <w:rPr>
          <w:rFonts w:ascii="Arial" w:hAnsi="Arial" w:cs="Arial"/>
          <w:sz w:val="22"/>
          <w:lang w:val="es-ES_tradnl"/>
        </w:rPr>
        <w:t>L</w:t>
      </w:r>
      <w:r w:rsidRPr="00267E8F">
        <w:rPr>
          <w:rFonts w:ascii="Arial" w:hAnsi="Arial" w:cs="Arial"/>
          <w:sz w:val="22"/>
          <w:lang w:val="es-ES_tradnl"/>
        </w:rPr>
        <w:t xml:space="preserve">a </w:t>
      </w:r>
      <w:r>
        <w:rPr>
          <w:rFonts w:ascii="Arial" w:hAnsi="Arial" w:cs="Arial"/>
          <w:sz w:val="22"/>
          <w:lang w:val="es-ES_tradnl"/>
        </w:rPr>
        <w:t xml:space="preserve">referida </w:t>
      </w:r>
      <w:r w:rsidRPr="00267E8F">
        <w:rPr>
          <w:rFonts w:ascii="Arial" w:hAnsi="Arial" w:cs="Arial"/>
          <w:sz w:val="22"/>
          <w:lang w:val="es-ES_tradnl"/>
        </w:rPr>
        <w:t xml:space="preserve">postura </w:t>
      </w:r>
      <w:r>
        <w:rPr>
          <w:rFonts w:ascii="Arial" w:hAnsi="Arial" w:cs="Arial"/>
          <w:sz w:val="22"/>
          <w:lang w:val="es-ES_tradnl"/>
        </w:rPr>
        <w:t>indica</w:t>
      </w:r>
      <w:r w:rsidRPr="00267E8F">
        <w:rPr>
          <w:rFonts w:ascii="Arial" w:hAnsi="Arial" w:cs="Arial"/>
          <w:sz w:val="22"/>
          <w:lang w:val="es-ES_tradnl"/>
        </w:rPr>
        <w:t xml:space="preserve"> </w:t>
      </w:r>
      <w:r>
        <w:rPr>
          <w:rFonts w:ascii="Arial" w:hAnsi="Arial" w:cs="Arial"/>
          <w:sz w:val="22"/>
          <w:lang w:val="es-ES_tradnl"/>
        </w:rPr>
        <w:t>que,</w:t>
      </w:r>
      <w:r w:rsidRPr="00267E8F">
        <w:rPr>
          <w:rFonts w:ascii="Arial" w:hAnsi="Arial" w:cs="Arial"/>
          <w:sz w:val="22"/>
          <w:lang w:val="es-ES_tradnl"/>
        </w:rPr>
        <w:t xml:space="preserve"> por regla general</w:t>
      </w:r>
      <w:r>
        <w:rPr>
          <w:rFonts w:ascii="Arial" w:hAnsi="Arial" w:cs="Arial"/>
          <w:sz w:val="22"/>
          <w:lang w:val="es-ES_tradnl"/>
        </w:rPr>
        <w:t>,</w:t>
      </w:r>
      <w:r w:rsidRPr="00267E8F">
        <w:rPr>
          <w:rFonts w:ascii="Arial" w:hAnsi="Arial" w:cs="Arial"/>
          <w:sz w:val="22"/>
          <w:lang w:val="es-ES_tradnl"/>
        </w:rPr>
        <w:t xml:space="preserve"> la falta de entrega </w:t>
      </w:r>
      <w:r>
        <w:rPr>
          <w:rFonts w:ascii="Arial" w:hAnsi="Arial" w:cs="Arial"/>
          <w:sz w:val="22"/>
          <w:lang w:val="es-ES_tradnl"/>
        </w:rPr>
        <w:t>y</w:t>
      </w:r>
      <w:r w:rsidRPr="00267E8F">
        <w:rPr>
          <w:rFonts w:ascii="Arial" w:hAnsi="Arial" w:cs="Arial"/>
          <w:sz w:val="22"/>
          <w:lang w:val="es-ES_tradnl"/>
        </w:rPr>
        <w:t xml:space="preserve"> los defectos, </w:t>
      </w:r>
      <w:r>
        <w:rPr>
          <w:rFonts w:ascii="Arial" w:hAnsi="Arial" w:cs="Arial"/>
          <w:sz w:val="22"/>
          <w:lang w:val="es-ES_tradnl"/>
        </w:rPr>
        <w:t>en la acreditación de</w:t>
      </w:r>
      <w:r w:rsidRPr="00267E8F">
        <w:rPr>
          <w:rFonts w:ascii="Arial" w:hAnsi="Arial" w:cs="Arial"/>
          <w:sz w:val="22"/>
          <w:lang w:val="es-ES_tradnl"/>
        </w:rPr>
        <w:t xml:space="preserve"> los requisitos habilitantes son</w:t>
      </w:r>
      <w:r>
        <w:rPr>
          <w:rFonts w:ascii="Arial" w:hAnsi="Arial" w:cs="Arial"/>
          <w:sz w:val="22"/>
          <w:lang w:val="es-ES_tradnl"/>
        </w:rPr>
        <w:t xml:space="preserve"> aspectos</w:t>
      </w:r>
      <w:r w:rsidRPr="00267E8F">
        <w:rPr>
          <w:rFonts w:ascii="Arial" w:hAnsi="Arial" w:cs="Arial"/>
          <w:sz w:val="22"/>
          <w:lang w:val="es-ES_tradnl"/>
        </w:rPr>
        <w:t xml:space="preserve">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w:t>
      </w:r>
    </w:p>
    <w:p w14:paraId="6CBF2F80" w14:textId="24A9BDDF"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 xml:space="preserve">En un </w:t>
      </w:r>
      <w:r w:rsidRPr="00267E8F">
        <w:rPr>
          <w:rFonts w:ascii="Arial" w:hAnsi="Arial" w:cs="Arial"/>
          <w:i/>
          <w:sz w:val="22"/>
          <w:lang w:val="es-ES_tradnl"/>
        </w:rPr>
        <w:t>primer momento</w:t>
      </w:r>
      <w:r w:rsidRPr="00267E8F">
        <w:rPr>
          <w:rFonts w:ascii="Arial" w:hAnsi="Arial" w:cs="Arial"/>
          <w:sz w:val="22"/>
          <w:lang w:val="es-ES_tradnl"/>
        </w:rPr>
        <w:t xml:space="preserve">, antes de la </w:t>
      </w:r>
      <w:r w:rsidR="00450703" w:rsidRPr="00267E8F">
        <w:rPr>
          <w:rFonts w:ascii="Arial" w:hAnsi="Arial" w:cs="Arial"/>
          <w:sz w:val="22"/>
          <w:lang w:val="es-ES_tradnl"/>
        </w:rPr>
        <w:t>entrada en vigor</w:t>
      </w:r>
      <w:r w:rsidRPr="00267E8F">
        <w:rPr>
          <w:rFonts w:ascii="Arial" w:hAnsi="Arial" w:cs="Arial"/>
          <w:sz w:val="22"/>
          <w:lang w:val="es-ES_tradnl"/>
        </w:rPr>
        <w:t xml:space="preserve"> de la Constitución Política de 1991, el régimen jurídico de la subsanabilidad de las ofertas estaba compuesto por el Decreto-ley 150 de 1976 y el Decreto-ley 222 de 1983. Bajo el imperio de estas normas, la posibilidad de subsanar </w:t>
      </w:r>
      <w:r w:rsidRPr="00267E8F">
        <w:rPr>
          <w:rFonts w:ascii="Arial" w:hAnsi="Arial" w:cs="Arial"/>
          <w:sz w:val="22"/>
          <w:lang w:val="es-ES_tradnl"/>
        </w:rPr>
        <w:lastRenderedPageBreak/>
        <w:t xml:space="preserve">errores era prácticamente inexistente, debido al excesivo formalismo procedimental que irradiaba la actuación administrativa. En este contexto, por ejemplo, no era extraordinario que una oferta fuera rechazada por no aportar una copia de esta. </w:t>
      </w:r>
    </w:p>
    <w:p w14:paraId="7D8E3064" w14:textId="77777777" w:rsidR="007004DE" w:rsidRPr="00267E8F" w:rsidRDefault="007004DE" w:rsidP="007004DE">
      <w:pPr>
        <w:spacing w:before="120"/>
        <w:ind w:firstLine="709"/>
        <w:rPr>
          <w:rFonts w:ascii="Arial" w:hAnsi="Arial" w:cs="Arial"/>
          <w:sz w:val="22"/>
          <w:lang w:val="es-ES_tradnl"/>
        </w:rPr>
      </w:pPr>
      <w:r w:rsidRPr="00267E8F">
        <w:rPr>
          <w:rFonts w:ascii="Arial" w:hAnsi="Arial" w:cs="Arial"/>
          <w:sz w:val="22"/>
          <w:lang w:val="es-ES_tradnl"/>
        </w:rPr>
        <w:t xml:space="preserve">En un </w:t>
      </w:r>
      <w:r w:rsidRPr="00267E8F">
        <w:rPr>
          <w:rFonts w:ascii="Arial" w:hAnsi="Arial" w:cs="Arial"/>
          <w:i/>
          <w:sz w:val="22"/>
          <w:lang w:val="es-ES_tradnl"/>
        </w:rPr>
        <w:t>segundo momento</w:t>
      </w:r>
      <w:r w:rsidRPr="00267E8F">
        <w:rPr>
          <w:rFonts w:ascii="Arial" w:hAnsi="Arial" w:cs="Arial"/>
          <w:sz w:val="22"/>
          <w:lang w:val="es-ES_tradnl"/>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 En este nuevo escenario constitucional, el numeral 15 del artículo 25 de la Ley 80 de 1993 dispuso lo siguiente: </w:t>
      </w:r>
    </w:p>
    <w:p w14:paraId="52E365F0" w14:textId="4B6F476B" w:rsidR="007004DE" w:rsidRPr="00FB1764" w:rsidRDefault="00273083" w:rsidP="007004DE">
      <w:pPr>
        <w:spacing w:after="120"/>
        <w:ind w:left="709" w:right="709"/>
        <w:rPr>
          <w:rFonts w:ascii="Arial" w:hAnsi="Arial" w:cs="Arial"/>
          <w:sz w:val="22"/>
          <w:lang w:val="es-ES_tradnl"/>
        </w:rPr>
      </w:pPr>
      <w:r w:rsidRPr="00FB1764">
        <w:rPr>
          <w:rFonts w:ascii="Arial" w:hAnsi="Arial" w:cs="Arial"/>
          <w:sz w:val="22"/>
          <w:lang w:val="es-ES_tradnl"/>
        </w:rPr>
        <w:t>«</w:t>
      </w:r>
      <w:r w:rsidR="007004DE" w:rsidRPr="00FB1764">
        <w:rPr>
          <w:rFonts w:ascii="Arial" w:hAnsi="Arial" w:cs="Arial"/>
          <w:sz w:val="22"/>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78CA7A88" w14:textId="79E13CF2" w:rsidR="007004DE" w:rsidRPr="00FB1764" w:rsidRDefault="007004DE" w:rsidP="007004DE">
      <w:pPr>
        <w:spacing w:before="120"/>
        <w:ind w:left="709" w:right="709"/>
        <w:rPr>
          <w:rFonts w:ascii="Arial" w:hAnsi="Arial" w:cs="Arial"/>
          <w:sz w:val="22"/>
          <w:lang w:val="es-ES_tradnl"/>
        </w:rPr>
      </w:pPr>
      <w:r w:rsidRPr="00FB1764">
        <w:rPr>
          <w:rFonts w:ascii="Arial" w:hAnsi="Arial" w:cs="Arial"/>
          <w:sz w:val="22"/>
          <w:lang w:val="es-ES_tradnl"/>
        </w:rPr>
        <w:t>La ausencia de requisitos o la falta de documentos referentes a la futura contratación o al proponente, no necesarios para la comparación de propuestas, no servirá de título suficiente para el rechazo de los ofrecimientos hechos.</w:t>
      </w:r>
      <w:r w:rsidR="00273083" w:rsidRPr="00FB1764">
        <w:rPr>
          <w:rFonts w:ascii="Arial" w:hAnsi="Arial" w:cs="Arial"/>
          <w:sz w:val="22"/>
          <w:lang w:val="es-ES_tradnl"/>
        </w:rPr>
        <w:t>»</w:t>
      </w:r>
      <w:r w:rsidRPr="00FB1764">
        <w:rPr>
          <w:rFonts w:ascii="Arial" w:hAnsi="Arial" w:cs="Arial"/>
          <w:sz w:val="22"/>
          <w:lang w:val="es-ES_tradnl"/>
        </w:rPr>
        <w:t xml:space="preserve"> </w:t>
      </w:r>
    </w:p>
    <w:p w14:paraId="0ACBA527" w14:textId="77777777" w:rsidR="007004DE" w:rsidRPr="00267E8F" w:rsidRDefault="007004DE" w:rsidP="007004DE">
      <w:pPr>
        <w:spacing w:after="120"/>
        <w:ind w:firstLine="709"/>
        <w:rPr>
          <w:rFonts w:ascii="Arial" w:hAnsi="Arial" w:cs="Arial"/>
          <w:sz w:val="22"/>
          <w:lang w:val="es-ES_tradnl"/>
        </w:rPr>
      </w:pPr>
      <w:r w:rsidRPr="00267E8F">
        <w:rPr>
          <w:rFonts w:ascii="Arial" w:hAnsi="Arial" w:cs="Arial"/>
          <w:sz w:val="22"/>
          <w:lang w:val="es-ES_tradnl"/>
        </w:rPr>
        <w:t>Bajo el amparo de esta norma, el régimen jurídico de subsanabilidad de las ofertas sufre un cambio fundamental, pues ya no era posible rechazar las ofertas por falta de requisitos o documentos que no fueran «</w:t>
      </w:r>
      <w:r w:rsidRPr="00FB1764">
        <w:rPr>
          <w:rFonts w:ascii="Arial" w:hAnsi="Arial" w:cs="Arial"/>
          <w:i/>
          <w:iCs/>
          <w:sz w:val="22"/>
          <w:lang w:val="es-ES_tradnl"/>
        </w:rPr>
        <w:t>necesarios para la comparación de propuestas».</w:t>
      </w:r>
      <w:r w:rsidRPr="00267E8F">
        <w:rPr>
          <w:rFonts w:ascii="Arial" w:hAnsi="Arial" w:cs="Arial"/>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418B7274" w14:textId="77777777"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Esta norma debía leerse en conjunto con otras de la Ley 80 de 1993, particularmente con el artículo 30.7</w:t>
      </w:r>
      <w:r w:rsidRPr="00267E8F">
        <w:rPr>
          <w:rFonts w:ascii="Arial" w:hAnsi="Arial" w:cs="Arial"/>
          <w:sz w:val="22"/>
          <w:vertAlign w:val="superscript"/>
          <w:lang w:val="es-ES_tradnl"/>
        </w:rPr>
        <w:footnoteReference w:id="4"/>
      </w:r>
      <w:r w:rsidRPr="00267E8F">
        <w:rPr>
          <w:rFonts w:ascii="Arial" w:hAnsi="Arial" w:cs="Arial"/>
          <w:sz w:val="22"/>
          <w:lang w:val="es-ES_tradnl"/>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267E8F">
        <w:rPr>
          <w:rFonts w:ascii="Arial" w:hAnsi="Arial" w:cs="Arial"/>
          <w:sz w:val="22"/>
          <w:vertAlign w:val="superscript"/>
          <w:lang w:val="es-ES_tradnl"/>
        </w:rPr>
        <w:footnoteReference w:id="5"/>
      </w:r>
      <w:r w:rsidRPr="00267E8F">
        <w:rPr>
          <w:rFonts w:ascii="Arial" w:hAnsi="Arial" w:cs="Arial"/>
          <w:sz w:val="22"/>
          <w:lang w:val="es-ES_tradnl"/>
        </w:rPr>
        <w:t xml:space="preserve">, que </w:t>
      </w:r>
      <w:r w:rsidRPr="00267E8F">
        <w:rPr>
          <w:rFonts w:ascii="Arial" w:hAnsi="Arial" w:cs="Arial"/>
          <w:sz w:val="22"/>
          <w:lang w:val="es-ES_tradnl"/>
        </w:rPr>
        <w:lastRenderedPageBreak/>
        <w:t xml:space="preserve">consagró el término de 5 días hábiles para que los oferentes presenten observaciones al informe de evaluación de las propuestas, sin que sea posible completar, adicionar, modificar o mejorar su oferta.  </w:t>
      </w:r>
    </w:p>
    <w:p w14:paraId="1DB2A934" w14:textId="1EE5C7A4"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 xml:space="preserve">A partir de la lectura integrada de estas tres normas debía concluirse que con la Ley 80 de 1993 era posible subsanar las propuestas, y la omisión o el error en algún aspecto de </w:t>
      </w:r>
      <w:r w:rsidR="00273083" w:rsidRPr="00267E8F">
        <w:rPr>
          <w:rFonts w:ascii="Arial" w:hAnsi="Arial" w:cs="Arial"/>
          <w:sz w:val="22"/>
          <w:lang w:val="es-ES_tradnl"/>
        </w:rPr>
        <w:t>esta</w:t>
      </w:r>
      <w:r w:rsidRPr="00267E8F">
        <w:rPr>
          <w:rFonts w:ascii="Arial" w:hAnsi="Arial" w:cs="Arial"/>
          <w:sz w:val="22"/>
          <w:lang w:val="es-ES_tradnl"/>
        </w:rPr>
        <w:t xml:space="preserve"> no podía llevar a su rechazo, sin antes verificar que lo omitido fuera un aspecto necesario para la comparación. </w:t>
      </w:r>
    </w:p>
    <w:p w14:paraId="6A11FA4B" w14:textId="77777777" w:rsidR="007004DE" w:rsidRPr="00267E8F" w:rsidRDefault="007004DE" w:rsidP="007004DE">
      <w:pPr>
        <w:ind w:firstLine="709"/>
        <w:rPr>
          <w:rFonts w:ascii="Arial" w:hAnsi="Arial" w:cs="Arial"/>
          <w:sz w:val="22"/>
          <w:lang w:val="es-ES_tradnl"/>
        </w:rPr>
      </w:pPr>
      <w:r w:rsidRPr="00267E8F">
        <w:rPr>
          <w:rFonts w:ascii="Arial" w:hAnsi="Arial" w:cs="Arial"/>
          <w:sz w:val="22"/>
          <w:lang w:val="es-ES_tradnl"/>
        </w:rPr>
        <w:t xml:space="preserve">En un </w:t>
      </w:r>
      <w:r w:rsidRPr="00267E8F">
        <w:rPr>
          <w:rFonts w:ascii="Arial" w:hAnsi="Arial" w:cs="Arial"/>
          <w:i/>
          <w:sz w:val="22"/>
          <w:lang w:val="es-ES_tradnl"/>
        </w:rPr>
        <w:t>tercer momento</w:t>
      </w:r>
      <w:r w:rsidRPr="00267E8F">
        <w:rPr>
          <w:rFonts w:ascii="Arial" w:hAnsi="Arial" w:cs="Arial"/>
          <w:sz w:val="22"/>
          <w:lang w:val="es-ES_tradnl"/>
        </w:rPr>
        <w:t xml:space="preserve">, siguiendo la línea trazada por la Ley 80 de 1993, el legislador expidió la Ley 1150 de 2007, que, en el parágrafo 1º del artículo 5, determinó lo siguiente: </w:t>
      </w:r>
    </w:p>
    <w:p w14:paraId="4EBBF73F" w14:textId="1FC0A044" w:rsidR="007004DE" w:rsidRPr="00DE4A94" w:rsidRDefault="00273083" w:rsidP="007004DE">
      <w:pPr>
        <w:ind w:left="709" w:right="709"/>
        <w:rPr>
          <w:rFonts w:ascii="Arial" w:hAnsi="Arial" w:cs="Arial"/>
          <w:sz w:val="21"/>
          <w:szCs w:val="21"/>
          <w:lang w:val="es-ES_tradnl"/>
        </w:rPr>
      </w:pPr>
      <w:r>
        <w:rPr>
          <w:rFonts w:ascii="Arial" w:eastAsia="Arial" w:hAnsi="Arial" w:cs="Arial"/>
          <w:color w:val="000000"/>
          <w:sz w:val="22"/>
          <w:szCs w:val="22"/>
        </w:rPr>
        <w:t>«</w:t>
      </w:r>
      <w:r w:rsidR="007004DE" w:rsidRPr="00FB1764">
        <w:rPr>
          <w:rFonts w:ascii="Arial" w:hAnsi="Arial" w:cs="Arial"/>
          <w:sz w:val="22"/>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r w:rsidR="007004DE" w:rsidRPr="00267E8F">
        <w:rPr>
          <w:rFonts w:ascii="Arial" w:hAnsi="Arial" w:cs="Arial"/>
          <w:sz w:val="21"/>
          <w:szCs w:val="21"/>
          <w:lang w:val="es-ES_tradnl"/>
        </w:rPr>
        <w:t>.</w:t>
      </w:r>
      <w:r w:rsidRPr="00A8565E">
        <w:rPr>
          <w:rFonts w:ascii="Arial" w:eastAsia="Arial" w:hAnsi="Arial" w:cs="Arial"/>
          <w:i/>
          <w:iCs/>
          <w:color w:val="000000"/>
          <w:sz w:val="22"/>
          <w:szCs w:val="22"/>
        </w:rPr>
        <w:t>»</w:t>
      </w:r>
      <w:r w:rsidR="007004DE" w:rsidRPr="00267E8F">
        <w:rPr>
          <w:rFonts w:ascii="Arial" w:hAnsi="Arial" w:cs="Arial"/>
          <w:sz w:val="21"/>
          <w:szCs w:val="21"/>
          <w:lang w:val="es-ES_tradnl"/>
        </w:rPr>
        <w:t xml:space="preserve"> </w:t>
      </w:r>
    </w:p>
    <w:p w14:paraId="1C090A39" w14:textId="77777777" w:rsidR="007004DE" w:rsidRPr="00267E8F" w:rsidRDefault="007004DE" w:rsidP="007004DE">
      <w:pPr>
        <w:spacing w:after="120"/>
        <w:ind w:firstLine="709"/>
        <w:rPr>
          <w:rFonts w:ascii="Arial" w:hAnsi="Arial" w:cs="Arial"/>
          <w:sz w:val="22"/>
          <w:lang w:val="es-ES_tradnl"/>
        </w:rPr>
      </w:pPr>
      <w:r w:rsidRPr="00267E8F">
        <w:rPr>
          <w:rFonts w:ascii="Arial" w:hAnsi="Arial" w:cs="Arial"/>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21D9FA7C" w14:textId="77777777"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426B2F5A" w14:textId="77777777" w:rsidR="007004DE" w:rsidRPr="00267E8F" w:rsidRDefault="007004DE" w:rsidP="007004DE">
      <w:pPr>
        <w:spacing w:before="120"/>
        <w:ind w:firstLine="709"/>
        <w:rPr>
          <w:rFonts w:ascii="Arial" w:hAnsi="Arial" w:cs="Arial"/>
          <w:sz w:val="22"/>
          <w:lang w:val="es-ES_tradnl"/>
        </w:rPr>
      </w:pPr>
      <w:r w:rsidRPr="00267E8F">
        <w:rPr>
          <w:rFonts w:ascii="Arial" w:hAnsi="Arial" w:cs="Arial"/>
          <w:sz w:val="22"/>
          <w:lang w:val="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25047467" w14:textId="1942E14D" w:rsidR="007004DE" w:rsidRPr="00267E8F" w:rsidRDefault="00273083" w:rsidP="007004DE">
      <w:pPr>
        <w:ind w:left="709" w:right="709"/>
        <w:rPr>
          <w:rFonts w:ascii="Arial" w:hAnsi="Arial" w:cs="Arial"/>
          <w:sz w:val="21"/>
          <w:szCs w:val="21"/>
          <w:lang w:val="es-ES_tradnl"/>
        </w:rPr>
      </w:pPr>
      <w:r>
        <w:rPr>
          <w:rFonts w:ascii="Arial" w:eastAsia="Arial" w:hAnsi="Arial" w:cs="Arial"/>
          <w:color w:val="000000"/>
          <w:sz w:val="22"/>
          <w:szCs w:val="22"/>
        </w:rPr>
        <w:lastRenderedPageBreak/>
        <w:t>«</w:t>
      </w:r>
      <w:r w:rsidR="007004DE" w:rsidRPr="00267E8F">
        <w:rPr>
          <w:rFonts w:ascii="Arial" w:hAnsi="Arial" w:cs="Arial"/>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007004DE" w:rsidRPr="00267E8F">
        <w:rPr>
          <w:rFonts w:ascii="Arial" w:hAnsi="Arial" w:cs="Arial"/>
          <w:sz w:val="21"/>
          <w:szCs w:val="21"/>
          <w:vertAlign w:val="superscript"/>
          <w:lang w:val="es-ES_tradnl"/>
        </w:rPr>
        <w:footnoteReference w:id="6"/>
      </w:r>
      <w:r w:rsidR="007004DE" w:rsidRPr="00267E8F">
        <w:rPr>
          <w:rFonts w:ascii="Arial" w:hAnsi="Arial" w:cs="Arial"/>
          <w:sz w:val="21"/>
          <w:szCs w:val="21"/>
          <w:lang w:val="es-ES_tradnl"/>
        </w:rPr>
        <w:t>.</w:t>
      </w:r>
      <w:r w:rsidRPr="00A8565E">
        <w:rPr>
          <w:rFonts w:ascii="Arial" w:eastAsia="Arial" w:hAnsi="Arial" w:cs="Arial"/>
          <w:i/>
          <w:iCs/>
          <w:color w:val="000000"/>
          <w:sz w:val="22"/>
          <w:szCs w:val="22"/>
        </w:rPr>
        <w:t>»</w:t>
      </w:r>
    </w:p>
    <w:p w14:paraId="36F24BB1" w14:textId="4094055C" w:rsidR="007004DE" w:rsidRPr="00267E8F" w:rsidRDefault="007004DE" w:rsidP="007004DE">
      <w:pPr>
        <w:tabs>
          <w:tab w:val="left" w:pos="284"/>
        </w:tabs>
        <w:spacing w:before="120" w:after="120"/>
        <w:ind w:firstLine="709"/>
        <w:rPr>
          <w:rFonts w:ascii="Arial" w:hAnsi="Arial" w:cs="Arial"/>
          <w:sz w:val="22"/>
          <w:lang w:val="es-ES_tradnl"/>
        </w:rPr>
      </w:pPr>
      <w:r w:rsidRPr="00267E8F">
        <w:rPr>
          <w:rFonts w:ascii="Arial" w:hAnsi="Arial" w:cs="Arial"/>
          <w:sz w:val="22"/>
          <w:lang w:val="es-ES_tradnl"/>
        </w:rPr>
        <w:t xml:space="preserve">Esa interpretación fue compartida por la </w:t>
      </w:r>
      <w:r w:rsidRPr="00267E8F">
        <w:rPr>
          <w:rFonts w:ascii="Arial" w:eastAsia="Times New Roman" w:hAnsi="Arial" w:cs="Arial"/>
          <w:sz w:val="22"/>
          <w:lang w:val="es-ES_tradnl" w:eastAsia="es-CO"/>
        </w:rPr>
        <w:t>Agencia Nacional de Contratación Pública – Colombia Compra Eficiente</w:t>
      </w:r>
      <w:r w:rsidRPr="00267E8F">
        <w:rPr>
          <w:rFonts w:ascii="Arial" w:hAnsi="Arial" w:cs="Arial"/>
          <w:sz w:val="22"/>
          <w:lang w:val="es-ES_tradnl"/>
        </w:rPr>
        <w:t xml:space="preserve">, pues en la Circular Externa Única se precisó que si durante un </w:t>
      </w:r>
      <w:r w:rsidR="002C4F7C">
        <w:rPr>
          <w:rFonts w:ascii="Arial" w:hAnsi="Arial" w:cs="Arial"/>
          <w:sz w:val="22"/>
          <w:lang w:val="es-ES_tradnl"/>
        </w:rPr>
        <w:t>Proceso de Contratación</w:t>
      </w:r>
      <w:r w:rsidRPr="00267E8F">
        <w:rPr>
          <w:rFonts w:ascii="Arial" w:hAnsi="Arial" w:cs="Arial"/>
          <w:sz w:val="22"/>
          <w:lang w:val="es-ES_tradnl"/>
        </w:rPr>
        <w:t xml:space="preserve"> hay proponentes que no acreditaron en sus ofertas requisitos que no afectan la asignación de puntaje o la comparación de las mismas, la </w:t>
      </w:r>
      <w:r w:rsidR="00450703">
        <w:rPr>
          <w:rFonts w:ascii="Arial" w:hAnsi="Arial" w:cs="Arial"/>
          <w:sz w:val="22"/>
          <w:lang w:val="es-ES_tradnl"/>
        </w:rPr>
        <w:t>Entidad Estatal</w:t>
      </w:r>
      <w:r w:rsidRPr="00267E8F">
        <w:rPr>
          <w:rFonts w:ascii="Arial" w:hAnsi="Arial" w:cs="Arial"/>
          <w:sz w:val="22"/>
          <w:lang w:val="es-ES_tradnl"/>
        </w:rPr>
        <w:t xml:space="preserve"> deberá indicarlo en el informe de evaluación y advertir que la correspondiente oferta </w:t>
      </w:r>
      <w:r w:rsidR="00273083">
        <w:rPr>
          <w:rFonts w:ascii="Arial" w:hAnsi="Arial" w:cs="Arial"/>
          <w:sz w:val="22"/>
          <w:lang w:val="es-ES_tradnl"/>
        </w:rPr>
        <w:t>puede ser subsanada</w:t>
      </w:r>
      <w:r w:rsidRPr="00267E8F">
        <w:rPr>
          <w:rFonts w:ascii="Arial" w:hAnsi="Arial" w:cs="Arial"/>
          <w:sz w:val="22"/>
          <w:lang w:val="es-ES_tradnl"/>
        </w:rPr>
        <w:t>.</w:t>
      </w:r>
    </w:p>
    <w:p w14:paraId="084E8897" w14:textId="77777777" w:rsidR="007004DE" w:rsidRPr="00DE4A94" w:rsidRDefault="007004DE" w:rsidP="007004DE">
      <w:pPr>
        <w:tabs>
          <w:tab w:val="left" w:pos="284"/>
        </w:tabs>
        <w:ind w:firstLine="709"/>
        <w:rPr>
          <w:rFonts w:ascii="Arial" w:eastAsia="Times New Roman" w:hAnsi="Arial" w:cs="Arial"/>
          <w:sz w:val="22"/>
          <w:lang w:val="es-ES_tradnl" w:eastAsia="es-CO"/>
        </w:rPr>
      </w:pPr>
      <w:r w:rsidRPr="00267E8F">
        <w:rPr>
          <w:rFonts w:ascii="Arial" w:eastAsia="Times New Roman" w:hAnsi="Arial" w:cs="Arial"/>
          <w:sz w:val="22"/>
          <w:lang w:val="es-ES_tradnl" w:eastAsia="es-CO"/>
        </w:rPr>
        <w:t xml:space="preserve">Finalmente, en un </w:t>
      </w:r>
      <w:r w:rsidRPr="00267E8F">
        <w:rPr>
          <w:rFonts w:ascii="Arial" w:eastAsia="Times New Roman" w:hAnsi="Arial" w:cs="Arial"/>
          <w:i/>
          <w:sz w:val="22"/>
          <w:lang w:val="es-ES_tradnl" w:eastAsia="es-CO"/>
        </w:rPr>
        <w:t>cuarto momento</w:t>
      </w:r>
      <w:r w:rsidRPr="00267E8F">
        <w:rPr>
          <w:rFonts w:ascii="Arial" w:eastAsia="Times New Roman" w:hAnsi="Arial" w:cs="Arial"/>
          <w:sz w:val="22"/>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47DAC0AD" w14:textId="79FE773F" w:rsidR="007004DE" w:rsidRPr="00FB1764" w:rsidRDefault="00273083" w:rsidP="007004DE">
      <w:pPr>
        <w:ind w:left="709" w:right="709"/>
        <w:rPr>
          <w:rFonts w:ascii="Arial" w:eastAsia="Times New Roman" w:hAnsi="Arial" w:cs="Arial"/>
          <w:sz w:val="22"/>
          <w:lang w:val="es-ES_tradnl" w:eastAsia="es-CO"/>
        </w:rPr>
      </w:pPr>
      <w:r>
        <w:rPr>
          <w:rFonts w:ascii="Arial" w:eastAsia="Arial" w:hAnsi="Arial" w:cs="Arial"/>
          <w:color w:val="000000"/>
          <w:sz w:val="22"/>
          <w:szCs w:val="22"/>
        </w:rPr>
        <w:t>«</w:t>
      </w:r>
      <w:r w:rsidR="007004DE" w:rsidRPr="00FB1764">
        <w:rPr>
          <w:rFonts w:ascii="Arial" w:eastAsia="Times New Roman" w:hAnsi="Arial" w:cs="Arial"/>
          <w:sz w:val="22"/>
          <w:lang w:val="es-ES_tradnl" w:eastAsia="es-CO"/>
        </w:rPr>
        <w:t xml:space="preserve">Artículo 5°. De la selección objetiva. </w:t>
      </w:r>
    </w:p>
    <w:p w14:paraId="2E1E930D" w14:textId="77777777" w:rsidR="007004DE" w:rsidRPr="00FB1764" w:rsidRDefault="007004DE" w:rsidP="007004DE">
      <w:pPr>
        <w:spacing w:before="120" w:after="120"/>
        <w:ind w:left="709" w:right="709"/>
        <w:rPr>
          <w:rFonts w:ascii="Arial" w:eastAsia="Times New Roman" w:hAnsi="Arial" w:cs="Arial"/>
          <w:sz w:val="22"/>
          <w:lang w:val="es-ES_tradnl" w:eastAsia="es-CO"/>
        </w:rPr>
      </w:pPr>
      <w:r w:rsidRPr="00FB1764">
        <w:rPr>
          <w:rFonts w:ascii="Arial" w:eastAsia="Times New Roman" w:hAnsi="Arial" w:cs="Arial"/>
          <w:sz w:val="22"/>
          <w:lang w:val="es-ES_tradnl" w:eastAsia="es-CO"/>
        </w:rPr>
        <w:t>[... ]</w:t>
      </w:r>
    </w:p>
    <w:p w14:paraId="65FC2A45" w14:textId="36FEDCF4" w:rsidR="007004DE" w:rsidRPr="00FB1764" w:rsidRDefault="007004DE" w:rsidP="007004DE">
      <w:pPr>
        <w:ind w:left="709" w:right="709"/>
        <w:rPr>
          <w:rFonts w:ascii="Arial" w:eastAsia="Times New Roman" w:hAnsi="Arial" w:cs="Arial"/>
          <w:sz w:val="22"/>
          <w:lang w:val="es-ES_tradnl" w:eastAsia="es-CO"/>
        </w:rPr>
      </w:pPr>
      <w:r w:rsidRPr="00FB1764">
        <w:rPr>
          <w:rFonts w:ascii="Arial" w:eastAsia="Times New Roman" w:hAnsi="Arial" w:cs="Arial"/>
          <w:sz w:val="22"/>
          <w:lang w:val="es-ES_tradnl" w:eastAsia="es-CO"/>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w:t>
      </w:r>
      <w:r w:rsidRPr="00FB1764">
        <w:rPr>
          <w:rFonts w:ascii="Arial" w:eastAsia="Times New Roman" w:hAnsi="Arial" w:cs="Arial"/>
          <w:sz w:val="22"/>
          <w:lang w:val="es-ES_tradnl" w:eastAsia="es-CO"/>
        </w:rPr>
        <w:lastRenderedPageBreak/>
        <w:t>otorgado para subsanar las ofertas, los proponentes no podrán acreditar circunstancias ocurridas con posterioridad al cierre del proceso.</w:t>
      </w:r>
      <w:r w:rsidR="00273083" w:rsidRPr="00FB1764">
        <w:rPr>
          <w:rFonts w:ascii="Arial" w:eastAsia="Times New Roman" w:hAnsi="Arial" w:cs="Arial"/>
          <w:sz w:val="22"/>
          <w:lang w:val="es-ES_tradnl" w:eastAsia="es-CO"/>
        </w:rPr>
        <w:t>»</w:t>
      </w:r>
      <w:r w:rsidRPr="00FB1764">
        <w:rPr>
          <w:rFonts w:ascii="Arial" w:eastAsia="Times New Roman" w:hAnsi="Arial" w:cs="Arial"/>
          <w:sz w:val="22"/>
          <w:lang w:val="es-ES_tradnl" w:eastAsia="es-CO"/>
        </w:rPr>
        <w:t xml:space="preserve"> </w:t>
      </w:r>
    </w:p>
    <w:p w14:paraId="15EE7D06" w14:textId="67C6366A"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w:t>
      </w:r>
      <w:r w:rsidR="002C4F7C">
        <w:rPr>
          <w:rFonts w:ascii="Arial" w:hAnsi="Arial" w:cs="Arial"/>
          <w:sz w:val="22"/>
          <w:lang w:val="es-ES_tradnl"/>
        </w:rPr>
        <w:t>;</w:t>
      </w:r>
      <w:r w:rsidRPr="00267E8F">
        <w:rPr>
          <w:rFonts w:ascii="Arial" w:hAnsi="Arial" w:cs="Arial"/>
          <w:sz w:val="22"/>
          <w:lang w:val="es-ES_tradnl"/>
        </w:rPr>
        <w:t xml:space="preserve"> y, iii) introduce modificaciones en relación con algunos aspectos que se analizarán a continuación. </w:t>
      </w:r>
    </w:p>
    <w:p w14:paraId="793F0E7E" w14:textId="099E5F6F" w:rsidR="007004DE" w:rsidRPr="00267E8F" w:rsidRDefault="007004DE" w:rsidP="007004DE">
      <w:pPr>
        <w:spacing w:after="120"/>
        <w:ind w:right="51" w:firstLine="709"/>
        <w:rPr>
          <w:rFonts w:ascii="Arial" w:hAnsi="Arial" w:cs="Arial"/>
          <w:sz w:val="22"/>
          <w:lang w:val="es-ES_tradnl"/>
        </w:rPr>
      </w:pPr>
      <w:r w:rsidRPr="00267E8F">
        <w:rPr>
          <w:rFonts w:ascii="Arial" w:hAnsi="Arial" w:cs="Arial"/>
          <w:i/>
          <w:iCs/>
          <w:sz w:val="22"/>
          <w:lang w:val="es-ES_tradnl"/>
        </w:rPr>
        <w:t>El primero</w:t>
      </w:r>
      <w:r w:rsidRPr="00267E8F">
        <w:rPr>
          <w:rFonts w:ascii="Arial" w:hAnsi="Arial" w:cs="Arial"/>
          <w:sz w:val="22"/>
          <w:lang w:val="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267E8F">
        <w:rPr>
          <w:rFonts w:ascii="Arial" w:hAnsi="Arial" w:cs="Arial"/>
          <w:sz w:val="22"/>
          <w:vertAlign w:val="superscript"/>
          <w:lang w:val="es-ES_tradnl"/>
        </w:rPr>
        <w:footnoteReference w:id="7"/>
      </w:r>
      <w:r w:rsidRPr="00267E8F">
        <w:rPr>
          <w:rFonts w:ascii="Arial" w:hAnsi="Arial" w:cs="Arial"/>
          <w:sz w:val="22"/>
          <w:lang w:val="es-ES_tradnl"/>
        </w:rPr>
        <w:t xml:space="preserve">;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w:t>
      </w:r>
      <w:r w:rsidR="002C4F7C" w:rsidRPr="00267E8F">
        <w:rPr>
          <w:rFonts w:ascii="Arial" w:hAnsi="Arial" w:cs="Arial"/>
          <w:sz w:val="22"/>
          <w:lang w:val="es-ES_tradnl"/>
        </w:rPr>
        <w:t>de acuerdo con el</w:t>
      </w:r>
      <w:r w:rsidRPr="00267E8F">
        <w:rPr>
          <w:rFonts w:ascii="Arial" w:hAnsi="Arial" w:cs="Arial"/>
          <w:sz w:val="22"/>
          <w:lang w:val="es-ES_tradnl"/>
        </w:rPr>
        <w:t xml:space="preserve">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267E8F">
        <w:rPr>
          <w:rFonts w:ascii="Arial" w:hAnsi="Arial" w:cs="Arial"/>
          <w:sz w:val="22"/>
          <w:vertAlign w:val="superscript"/>
          <w:lang w:val="es-ES_tradnl"/>
        </w:rPr>
        <w:footnoteReference w:id="8"/>
      </w:r>
      <w:r w:rsidRPr="00267E8F">
        <w:rPr>
          <w:rFonts w:ascii="Arial" w:hAnsi="Arial" w:cs="Arial"/>
          <w:sz w:val="22"/>
          <w:lang w:val="es-ES_tradnl"/>
        </w:rPr>
        <w:t xml:space="preserve">. </w:t>
      </w:r>
    </w:p>
    <w:p w14:paraId="031BE446" w14:textId="77777777"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lastRenderedPageBreak/>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FB1764">
        <w:rPr>
          <w:rFonts w:ascii="Arial" w:hAnsi="Arial" w:cs="Arial"/>
          <w:i/>
          <w:iCs/>
          <w:sz w:val="22"/>
          <w:lang w:val="es-ES_tradnl"/>
        </w:rPr>
        <w:t>deberán ser solicitados por las entidades estatales y deberán ser entregados por los proponentes hasta el término de traslado del informe de evaluación que corresponda a cada modalidad de selección».</w:t>
      </w:r>
      <w:r w:rsidRPr="00267E8F">
        <w:rPr>
          <w:rFonts w:ascii="Arial" w:hAnsi="Arial" w:cs="Arial"/>
          <w:sz w:val="22"/>
          <w:lang w:val="es-ES_tradnl"/>
        </w:rPr>
        <w:t xml:space="preserve"> </w:t>
      </w:r>
    </w:p>
    <w:p w14:paraId="60110581" w14:textId="77777777"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267E8F">
        <w:rPr>
          <w:rFonts w:ascii="Arial" w:hAnsi="Arial" w:cs="Arial"/>
          <w:i/>
          <w:iCs/>
          <w:sz w:val="22"/>
          <w:lang w:val="es-ES_tradnl"/>
        </w:rPr>
        <w:t>límite</w:t>
      </w:r>
      <w:r w:rsidRPr="00267E8F">
        <w:rPr>
          <w:rFonts w:ascii="Arial" w:hAnsi="Arial" w:cs="Arial"/>
          <w:sz w:val="22"/>
          <w:lang w:val="es-ES_tradnl"/>
        </w:rPr>
        <w:t xml:space="preserve"> para la subsanación de ofertas, pero no el único momento para hacerlo. </w:t>
      </w:r>
    </w:p>
    <w:p w14:paraId="080D08ED" w14:textId="77777777"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771C1528" w14:textId="77777777"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2BAA5F91" w14:textId="7AAE4DD0"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42210528" w14:textId="7D0927D9" w:rsidR="007004DE" w:rsidRPr="00267E8F" w:rsidRDefault="00AA0362" w:rsidP="007004DE">
      <w:pPr>
        <w:spacing w:before="120" w:after="120"/>
        <w:ind w:firstLine="709"/>
        <w:rPr>
          <w:rFonts w:ascii="Arial" w:hAnsi="Arial" w:cs="Arial"/>
          <w:sz w:val="22"/>
          <w:lang w:val="es-ES_tradnl"/>
        </w:rPr>
      </w:pPr>
      <w:r w:rsidRPr="00FB1764">
        <w:rPr>
          <w:rFonts w:ascii="Arial" w:hAnsi="Arial" w:cs="Arial"/>
          <w:sz w:val="22"/>
          <w:lang w:val="es-ES_tradnl"/>
        </w:rPr>
        <w:lastRenderedPageBreak/>
        <w:t>E</w:t>
      </w:r>
      <w:r w:rsidR="007004DE" w:rsidRPr="00FB1764">
        <w:rPr>
          <w:rFonts w:ascii="Arial" w:hAnsi="Arial" w:cs="Arial"/>
          <w:sz w:val="22"/>
          <w:lang w:val="es-ES_tradnl"/>
        </w:rPr>
        <w:t>l segundo</w:t>
      </w:r>
      <w:r w:rsidR="007004DE" w:rsidRPr="00AA0362">
        <w:rPr>
          <w:rFonts w:ascii="Arial" w:hAnsi="Arial" w:cs="Arial"/>
          <w:sz w:val="22"/>
          <w:lang w:val="es-ES_tradnl"/>
        </w:rPr>
        <w:t xml:space="preserve"> cambio</w:t>
      </w:r>
      <w:r w:rsidR="007004DE" w:rsidRPr="00267E8F">
        <w:rPr>
          <w:rFonts w:ascii="Arial" w:hAnsi="Arial" w:cs="Arial"/>
          <w:sz w:val="22"/>
          <w:lang w:val="es-ES_tradnl"/>
        </w:rPr>
        <w:t xml:space="preserve"> importante de la Ley 1882 de 2018 fue la introducción de un criterio material, directamente relacionado con los aspectos subsanables: </w:t>
      </w:r>
      <w:r w:rsidR="007004DE" w:rsidRPr="00FB1764">
        <w:rPr>
          <w:rFonts w:ascii="Arial" w:hAnsi="Arial" w:cs="Arial"/>
          <w:i/>
          <w:iCs/>
          <w:sz w:val="22"/>
          <w:lang w:val="es-ES_tradnl"/>
        </w:rPr>
        <w:t>«los proponentes no podrán acreditar circunstancias ocurridas con posterioridad al cierre del proceso».</w:t>
      </w:r>
      <w:r w:rsidR="007004DE" w:rsidRPr="00267E8F">
        <w:rPr>
          <w:rFonts w:ascii="Arial" w:hAnsi="Arial" w:cs="Arial"/>
          <w:sz w:val="22"/>
          <w:lang w:val="es-ES_tradnl"/>
        </w:rPr>
        <w:t xml:space="preserve"> Lo anterior ofrece dos aspectos que merecen clarificación; primero, qué debe entenderse por circunstancias ocurridas con posterioridad; y segundo, qué es el cierre del proceso. </w:t>
      </w:r>
    </w:p>
    <w:p w14:paraId="07CFB450" w14:textId="77777777"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267E8F">
        <w:rPr>
          <w:rFonts w:ascii="Arial" w:hAnsi="Arial" w:cs="Arial"/>
          <w:sz w:val="22"/>
          <w:vertAlign w:val="superscript"/>
          <w:lang w:val="es-ES_tradnl"/>
        </w:rPr>
        <w:footnoteReference w:id="9"/>
      </w:r>
      <w:r w:rsidRPr="00267E8F">
        <w:rPr>
          <w:rFonts w:ascii="Arial" w:hAnsi="Arial" w:cs="Arial"/>
          <w:sz w:val="22"/>
          <w:lang w:val="es-ES_tradnl"/>
        </w:rPr>
        <w:t>.</w:t>
      </w:r>
    </w:p>
    <w:p w14:paraId="4645204D" w14:textId="77777777"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64F50F80" w14:textId="77777777"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 xml:space="preserve">Un mejor entendimiento del significado de la expresión </w:t>
      </w:r>
      <w:r w:rsidRPr="00FB1764">
        <w:rPr>
          <w:rFonts w:ascii="Arial" w:hAnsi="Arial" w:cs="Arial"/>
          <w:i/>
          <w:iCs/>
          <w:sz w:val="22"/>
          <w:lang w:val="es-ES_tradnl"/>
        </w:rPr>
        <w:t>«circunstancias ocurridas con posterioridad al cierre del proceso»</w:t>
      </w:r>
      <w:r w:rsidRPr="00267E8F">
        <w:rPr>
          <w:rFonts w:ascii="Arial" w:hAnsi="Arial" w:cs="Arial"/>
          <w:sz w:val="22"/>
          <w:lang w:val="es-ES_tradnl"/>
        </w:rPr>
        <w:t xml:space="preserve"> implica distinguir entre la prueba de un hecho y el hecho mismo. En el caso de la subsanabilidad de las ofertas, una cosa es el requisito habilitante o el elemento de la propuesta y otra su prueba. Lo que prohíbe la norma es que se subsanen </w:t>
      </w:r>
      <w:r w:rsidRPr="00267E8F">
        <w:rPr>
          <w:rFonts w:ascii="Arial" w:hAnsi="Arial" w:cs="Arial"/>
          <w:sz w:val="22"/>
          <w:lang w:val="es-ES_tradnl"/>
        </w:rPr>
        <w:lastRenderedPageBreak/>
        <w:t>requisitos que no estaban materialmente cumplidos al momento de presentación de la oferta, o en palabras de la ley, que se acrediten hechos que ocurrieron después del cierre del proceso</w:t>
      </w:r>
      <w:r w:rsidRPr="00267E8F">
        <w:rPr>
          <w:rFonts w:ascii="Arial" w:hAnsi="Arial" w:cs="Arial"/>
          <w:sz w:val="22"/>
          <w:vertAlign w:val="superscript"/>
          <w:lang w:val="es-ES_tradnl"/>
        </w:rPr>
        <w:footnoteReference w:id="10"/>
      </w:r>
      <w:r w:rsidRPr="00267E8F">
        <w:rPr>
          <w:rFonts w:ascii="Arial" w:hAnsi="Arial" w:cs="Arial"/>
          <w:sz w:val="22"/>
          <w:lang w:val="es-ES_tradnl"/>
        </w:rPr>
        <w:t xml:space="preserve">. </w:t>
      </w:r>
    </w:p>
    <w:p w14:paraId="28608010" w14:textId="634A9B47" w:rsidR="007004DE" w:rsidRPr="00267E8F" w:rsidRDefault="007004DE" w:rsidP="007004DE">
      <w:pPr>
        <w:spacing w:before="120" w:after="120"/>
        <w:ind w:firstLine="709"/>
        <w:rPr>
          <w:rFonts w:ascii="Arial" w:hAnsi="Arial" w:cs="Arial"/>
          <w:sz w:val="22"/>
          <w:lang w:val="es-ES_tradnl"/>
        </w:rPr>
      </w:pPr>
      <w:r w:rsidRPr="00267E8F">
        <w:rPr>
          <w:rFonts w:ascii="Arial" w:hAnsi="Arial" w:cs="Arial"/>
          <w:sz w:val="22"/>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w:t>
      </w:r>
      <w:r w:rsidR="002C4F7C" w:rsidRPr="00267E8F">
        <w:rPr>
          <w:rFonts w:ascii="Arial" w:hAnsi="Arial" w:cs="Arial"/>
          <w:sz w:val="22"/>
          <w:lang w:val="es-ES_tradnl"/>
        </w:rPr>
        <w:t>está</w:t>
      </w:r>
      <w:r w:rsidRPr="00267E8F">
        <w:rPr>
          <w:rFonts w:ascii="Arial" w:hAnsi="Arial" w:cs="Arial"/>
          <w:sz w:val="22"/>
          <w:lang w:val="es-ES_tradnl"/>
        </w:rPr>
        <w:t xml:space="preserve">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267E8F">
        <w:rPr>
          <w:rFonts w:ascii="Arial" w:hAnsi="Arial" w:cs="Arial"/>
          <w:sz w:val="22"/>
          <w:vertAlign w:val="superscript"/>
          <w:lang w:val="es-ES_tradnl"/>
        </w:rPr>
        <w:footnoteReference w:id="11"/>
      </w:r>
      <w:r w:rsidRPr="00267E8F">
        <w:rPr>
          <w:rFonts w:ascii="Arial" w:hAnsi="Arial" w:cs="Arial"/>
          <w:sz w:val="22"/>
          <w:lang w:val="es-ES_tradnl"/>
        </w:rPr>
        <w:t>; iii) si un oferente no anexó el Certificado de existencia y representación legal, el documento aportado con posterioridad debe dar cuenta de que la sociedad existía antes del cierre del proceso</w:t>
      </w:r>
      <w:r w:rsidRPr="00267E8F">
        <w:rPr>
          <w:rFonts w:ascii="Arial" w:hAnsi="Arial" w:cs="Arial"/>
          <w:sz w:val="22"/>
          <w:vertAlign w:val="superscript"/>
          <w:lang w:val="es-ES_tradnl"/>
        </w:rPr>
        <w:footnoteReference w:id="12"/>
      </w:r>
      <w:r w:rsidRPr="00267E8F">
        <w:rPr>
          <w:rFonts w:ascii="Arial" w:hAnsi="Arial" w:cs="Arial"/>
          <w:sz w:val="22"/>
          <w:lang w:val="es-ES_tradnl"/>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191DA222" w14:textId="4033DEEA" w:rsidR="007004DE" w:rsidRPr="00FB1764" w:rsidRDefault="007004DE" w:rsidP="007004DE">
      <w:pPr>
        <w:spacing w:before="120" w:after="120"/>
        <w:ind w:firstLine="709"/>
        <w:rPr>
          <w:rFonts w:ascii="Arial" w:hAnsi="Arial" w:cs="Arial"/>
          <w:i/>
          <w:iCs/>
          <w:sz w:val="22"/>
          <w:lang w:val="es-ES_tradnl"/>
        </w:rPr>
      </w:pPr>
      <w:r w:rsidRPr="00267E8F">
        <w:rPr>
          <w:rFonts w:ascii="Arial" w:hAnsi="Arial" w:cs="Arial"/>
          <w:sz w:val="22"/>
          <w:lang w:val="es-ES_tradnl"/>
        </w:rPr>
        <w:lastRenderedPageBreak/>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w:t>
      </w:r>
      <w:r w:rsidR="002C4F7C">
        <w:rPr>
          <w:rFonts w:ascii="Arial" w:hAnsi="Arial" w:cs="Arial"/>
          <w:sz w:val="22"/>
          <w:lang w:val="es-ES_tradnl"/>
        </w:rPr>
        <w:t>sto</w:t>
      </w:r>
      <w:r w:rsidRPr="00267E8F">
        <w:rPr>
          <w:rFonts w:ascii="Arial" w:hAnsi="Arial" w:cs="Arial"/>
          <w:sz w:val="22"/>
          <w:lang w:val="es-ES_tradnl"/>
        </w:rPr>
        <w:t xml:space="preserve"> que el Consejo de Estado sostiene que «</w:t>
      </w:r>
      <w:r w:rsidRPr="00FB1764">
        <w:rPr>
          <w:rFonts w:ascii="Arial" w:hAnsi="Arial" w:cs="Arial"/>
          <w:i/>
          <w:iCs/>
          <w:sz w:val="22"/>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FB1764">
        <w:rPr>
          <w:rFonts w:ascii="Arial" w:hAnsi="Arial" w:cs="Arial"/>
          <w:i/>
          <w:iCs/>
          <w:sz w:val="22"/>
          <w:vertAlign w:val="superscript"/>
          <w:lang w:val="es-ES_tradnl"/>
        </w:rPr>
        <w:footnoteReference w:id="13"/>
      </w:r>
      <w:r w:rsidRPr="00FB1764">
        <w:rPr>
          <w:rFonts w:ascii="Arial" w:hAnsi="Arial" w:cs="Arial"/>
          <w:i/>
          <w:iCs/>
          <w:sz w:val="22"/>
          <w:lang w:val="es-ES_tradnl"/>
        </w:rPr>
        <w:t xml:space="preserve">. </w:t>
      </w:r>
    </w:p>
    <w:p w14:paraId="20E1AE4C" w14:textId="77777777" w:rsidR="007004DE" w:rsidRPr="00267E8F" w:rsidRDefault="007004DE" w:rsidP="007004DE">
      <w:pPr>
        <w:spacing w:before="120"/>
        <w:ind w:firstLine="709"/>
        <w:rPr>
          <w:rFonts w:ascii="Arial" w:hAnsi="Arial" w:cs="Arial"/>
          <w:sz w:val="22"/>
          <w:lang w:val="es-ES_tradnl"/>
        </w:rPr>
      </w:pPr>
      <w:r w:rsidRPr="00267E8F">
        <w:rPr>
          <w:rFonts w:ascii="Arial" w:hAnsi="Arial" w:cs="Arial"/>
          <w:sz w:val="22"/>
          <w:lang w:val="es-ES_tradnl"/>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0CE85914" w14:textId="75513C3C" w:rsidR="007004DE" w:rsidRDefault="007004DE" w:rsidP="007004DE">
      <w:pPr>
        <w:spacing w:after="0"/>
        <w:ind w:firstLine="709"/>
        <w:rPr>
          <w:rFonts w:ascii="Arial" w:hAnsi="Arial" w:cs="Arial"/>
          <w:bCs/>
          <w:sz w:val="22"/>
          <w:szCs w:val="22"/>
          <w:lang w:eastAsia="en-US"/>
        </w:rPr>
      </w:pPr>
      <w:r w:rsidRPr="00F530E3">
        <w:rPr>
          <w:rFonts w:ascii="Arial" w:hAnsi="Arial" w:cs="Arial"/>
          <w:bCs/>
          <w:sz w:val="22"/>
          <w:szCs w:val="22"/>
          <w:lang w:eastAsia="en-US"/>
        </w:rPr>
        <w:t>Ahora bien, la Agencia debe diferenciar entre la regla sobre subsanación de ofertas en los procedimientos de selección</w:t>
      </w:r>
      <w:r>
        <w:rPr>
          <w:rFonts w:ascii="Arial" w:hAnsi="Arial" w:cs="Arial"/>
          <w:bCs/>
          <w:sz w:val="22"/>
          <w:szCs w:val="22"/>
          <w:lang w:eastAsia="en-US"/>
        </w:rPr>
        <w:t>,</w:t>
      </w:r>
      <w:r w:rsidRPr="00F530E3">
        <w:rPr>
          <w:rFonts w:ascii="Arial" w:hAnsi="Arial" w:cs="Arial"/>
          <w:bCs/>
          <w:sz w:val="22"/>
          <w:szCs w:val="22"/>
          <w:lang w:eastAsia="en-US"/>
        </w:rPr>
        <w:t xml:space="preserve"> que acaba de explicarse, por un lado, y por el otro lo referido a la </w:t>
      </w:r>
      <w:r w:rsidRPr="00030F0F">
        <w:rPr>
          <w:rFonts w:ascii="Arial" w:hAnsi="Arial" w:cs="Arial"/>
          <w:bCs/>
          <w:i/>
          <w:iCs/>
          <w:sz w:val="22"/>
          <w:szCs w:val="22"/>
          <w:lang w:eastAsia="en-US"/>
        </w:rPr>
        <w:t>aclaración de las ofertas</w:t>
      </w:r>
      <w:r w:rsidRPr="00F530E3">
        <w:rPr>
          <w:rFonts w:ascii="Arial" w:hAnsi="Arial" w:cs="Arial"/>
          <w:bCs/>
          <w:sz w:val="22"/>
          <w:szCs w:val="22"/>
          <w:lang w:eastAsia="en-US"/>
        </w:rPr>
        <w:t>, cuestiones que resultan ser distintas, sin perjuicio de que ambas puedan ser considerados como elementos propios del principio de selección objetiva.</w:t>
      </w:r>
      <w:r>
        <w:rPr>
          <w:rFonts w:ascii="Arial" w:hAnsi="Arial" w:cs="Arial"/>
          <w:bCs/>
          <w:sz w:val="22"/>
          <w:szCs w:val="22"/>
          <w:lang w:eastAsia="en-US"/>
        </w:rPr>
        <w:t xml:space="preserve"> </w:t>
      </w:r>
      <w:r w:rsidRPr="00F530E3">
        <w:rPr>
          <w:rFonts w:ascii="Arial" w:hAnsi="Arial" w:cs="Arial"/>
          <w:bCs/>
          <w:sz w:val="22"/>
          <w:szCs w:val="22"/>
          <w:lang w:eastAsia="en-US"/>
        </w:rPr>
        <w:t>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w:t>
      </w:r>
      <w:r w:rsidRPr="00FB1764">
        <w:rPr>
          <w:rFonts w:ascii="Arial" w:hAnsi="Arial" w:cs="Arial"/>
          <w:bCs/>
          <w:i/>
          <w:iCs/>
          <w:sz w:val="22"/>
          <w:szCs w:val="22"/>
          <w:lang w:eastAsia="en-US"/>
        </w:rPr>
        <w:t xml:space="preserve">plazo razonable dentro del cual la entidad deberá elaborar los estudios técnicos, económicos y jurídicos necesarios para la evaluación de las propuestas y </w:t>
      </w:r>
      <w:r w:rsidRPr="00AA0362">
        <w:rPr>
          <w:rFonts w:ascii="Arial" w:hAnsi="Arial" w:cs="Arial"/>
          <w:bCs/>
          <w:i/>
          <w:iCs/>
          <w:sz w:val="22"/>
          <w:szCs w:val="22"/>
          <w:lang w:eastAsia="en-US"/>
        </w:rPr>
        <w:t>para solicitar a los proponentes las aclaraciones y explicaciones</w:t>
      </w:r>
      <w:r w:rsidRPr="00FB1764">
        <w:rPr>
          <w:rFonts w:ascii="Arial" w:hAnsi="Arial" w:cs="Arial"/>
          <w:bCs/>
          <w:i/>
          <w:iCs/>
          <w:sz w:val="22"/>
          <w:szCs w:val="22"/>
          <w:lang w:eastAsia="en-US"/>
        </w:rPr>
        <w:t xml:space="preserve"> que se estimen indispensables»</w:t>
      </w:r>
      <w:r w:rsidR="00AA0362">
        <w:rPr>
          <w:rFonts w:ascii="Arial" w:hAnsi="Arial" w:cs="Arial"/>
          <w:bCs/>
          <w:i/>
          <w:iCs/>
          <w:sz w:val="22"/>
          <w:szCs w:val="22"/>
          <w:lang w:eastAsia="en-US"/>
        </w:rPr>
        <w:t>.</w:t>
      </w:r>
      <w:r w:rsidRPr="00F530E3">
        <w:rPr>
          <w:rFonts w:ascii="Arial" w:hAnsi="Arial" w:cs="Arial"/>
          <w:bCs/>
          <w:sz w:val="22"/>
          <w:szCs w:val="22"/>
          <w:lang w:eastAsia="en-US"/>
        </w:rPr>
        <w:t xml:space="preserve"> </w:t>
      </w:r>
    </w:p>
    <w:p w14:paraId="48AE01F9" w14:textId="3F19A9A0" w:rsidR="007004DE" w:rsidRDefault="007004DE" w:rsidP="007004DE">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La misma facultad en cabeza de la </w:t>
      </w:r>
      <w:r>
        <w:rPr>
          <w:rFonts w:ascii="Arial" w:hAnsi="Arial" w:cs="Arial"/>
          <w:bCs/>
          <w:sz w:val="22"/>
          <w:szCs w:val="22"/>
          <w:lang w:eastAsia="en-US"/>
        </w:rPr>
        <w:t>A</w:t>
      </w:r>
      <w:r w:rsidRPr="00F530E3">
        <w:rPr>
          <w:rFonts w:ascii="Arial" w:hAnsi="Arial" w:cs="Arial"/>
          <w:bCs/>
          <w:sz w:val="22"/>
          <w:szCs w:val="22"/>
          <w:lang w:eastAsia="en-US"/>
        </w:rPr>
        <w:t>dministración se establece, entre otras, en el artículo 2.2.1.1.2.2.4. del Decreto 1082 de 2015</w:t>
      </w:r>
      <w:r>
        <w:rPr>
          <w:rFonts w:ascii="Arial" w:hAnsi="Arial" w:cs="Arial"/>
          <w:bCs/>
          <w:sz w:val="22"/>
          <w:szCs w:val="22"/>
          <w:lang w:eastAsia="en-US"/>
        </w:rPr>
        <w:t>,</w:t>
      </w:r>
      <w:r w:rsidRPr="00F530E3">
        <w:rPr>
          <w:rFonts w:ascii="Arial" w:hAnsi="Arial" w:cs="Arial"/>
          <w:bCs/>
          <w:sz w:val="22"/>
          <w:szCs w:val="22"/>
          <w:lang w:eastAsia="en-US"/>
        </w:rPr>
        <w:t xml:space="preserve"> referido a las explicaciones que la </w:t>
      </w:r>
      <w:r w:rsidR="00450703">
        <w:rPr>
          <w:rFonts w:ascii="Arial" w:hAnsi="Arial" w:cs="Arial"/>
          <w:bCs/>
          <w:sz w:val="22"/>
          <w:szCs w:val="22"/>
          <w:lang w:eastAsia="en-US"/>
        </w:rPr>
        <w:t>Entidad Estatal</w:t>
      </w:r>
      <w:r w:rsidRPr="00F530E3">
        <w:rPr>
          <w:rFonts w:ascii="Arial" w:hAnsi="Arial" w:cs="Arial"/>
          <w:bCs/>
          <w:sz w:val="22"/>
          <w:szCs w:val="22"/>
          <w:lang w:eastAsia="en-US"/>
        </w:rPr>
        <w:t xml:space="preserve"> deberá pedir al oferente</w:t>
      </w:r>
      <w:r>
        <w:rPr>
          <w:rFonts w:ascii="Arial" w:hAnsi="Arial" w:cs="Arial"/>
          <w:bCs/>
          <w:sz w:val="22"/>
          <w:szCs w:val="22"/>
          <w:lang w:eastAsia="en-US"/>
        </w:rPr>
        <w:t>,</w:t>
      </w:r>
      <w:r w:rsidRPr="00F530E3">
        <w:rPr>
          <w:rFonts w:ascii="Arial" w:hAnsi="Arial" w:cs="Arial"/>
          <w:bCs/>
          <w:sz w:val="22"/>
          <w:szCs w:val="22"/>
          <w:lang w:eastAsia="en-US"/>
        </w:rPr>
        <w:t xml:space="preserve"> cuando advierta que su oferta contiene un precio artificialmente bajo. En similar </w:t>
      </w:r>
      <w:r w:rsidRPr="00F530E3">
        <w:rPr>
          <w:rFonts w:ascii="Arial" w:hAnsi="Arial" w:cs="Arial"/>
          <w:bCs/>
          <w:sz w:val="22"/>
          <w:szCs w:val="22"/>
          <w:lang w:eastAsia="en-US"/>
        </w:rPr>
        <w:lastRenderedPageBreak/>
        <w:t>sentido, el numeral 3 del artículo 2.2.1.2.1.3.12 incluye el deber de aclaración</w:t>
      </w:r>
      <w:r>
        <w:rPr>
          <w:rFonts w:ascii="Arial" w:hAnsi="Arial" w:cs="Arial"/>
          <w:bCs/>
          <w:sz w:val="22"/>
          <w:szCs w:val="22"/>
          <w:lang w:eastAsia="en-US"/>
        </w:rPr>
        <w:t>,</w:t>
      </w:r>
      <w:r w:rsidRPr="00F530E3">
        <w:rPr>
          <w:rFonts w:ascii="Arial" w:hAnsi="Arial" w:cs="Arial"/>
          <w:bCs/>
          <w:sz w:val="22"/>
          <w:szCs w:val="22"/>
          <w:lang w:eastAsia="en-US"/>
        </w:rPr>
        <w:t xml:space="preserve"> en cabeza del organismo asesor dentro del </w:t>
      </w:r>
      <w:r>
        <w:rPr>
          <w:rFonts w:ascii="Arial" w:hAnsi="Arial" w:cs="Arial"/>
          <w:bCs/>
          <w:sz w:val="22"/>
          <w:szCs w:val="22"/>
          <w:lang w:eastAsia="en-US"/>
        </w:rPr>
        <w:t>c</w:t>
      </w:r>
      <w:r w:rsidRPr="00F530E3">
        <w:rPr>
          <w:rFonts w:ascii="Arial" w:hAnsi="Arial" w:cs="Arial"/>
          <w:bCs/>
          <w:sz w:val="22"/>
          <w:szCs w:val="22"/>
          <w:lang w:eastAsia="en-US"/>
        </w:rPr>
        <w:t xml:space="preserve">oncurso de </w:t>
      </w:r>
      <w:r>
        <w:rPr>
          <w:rFonts w:ascii="Arial" w:hAnsi="Arial" w:cs="Arial"/>
          <w:bCs/>
          <w:sz w:val="22"/>
          <w:szCs w:val="22"/>
          <w:lang w:eastAsia="en-US"/>
        </w:rPr>
        <w:t>a</w:t>
      </w:r>
      <w:r w:rsidRPr="00F530E3">
        <w:rPr>
          <w:rFonts w:ascii="Arial" w:hAnsi="Arial" w:cs="Arial"/>
          <w:bCs/>
          <w:sz w:val="22"/>
          <w:szCs w:val="22"/>
          <w:lang w:eastAsia="en-US"/>
        </w:rPr>
        <w:t xml:space="preserve">rquitectura o la posibilidad con la que cuenta la </w:t>
      </w:r>
      <w:r w:rsidR="00450703">
        <w:rPr>
          <w:rFonts w:ascii="Arial" w:hAnsi="Arial" w:cs="Arial"/>
          <w:bCs/>
          <w:sz w:val="22"/>
          <w:szCs w:val="22"/>
          <w:lang w:eastAsia="en-US"/>
        </w:rPr>
        <w:t>Entidad Estatal</w:t>
      </w:r>
      <w:r w:rsidRPr="00F530E3">
        <w:rPr>
          <w:rFonts w:ascii="Arial" w:hAnsi="Arial" w:cs="Arial"/>
          <w:bCs/>
          <w:sz w:val="22"/>
          <w:szCs w:val="22"/>
          <w:lang w:eastAsia="en-US"/>
        </w:rPr>
        <w:t xml:space="preserve"> para solicitar aclaraciones al originador del proyecto al tratarse de asociaciones </w:t>
      </w:r>
      <w:r w:rsidR="002C4F7C" w:rsidRPr="00F530E3">
        <w:rPr>
          <w:rFonts w:ascii="Arial" w:hAnsi="Arial" w:cs="Arial"/>
          <w:bCs/>
          <w:sz w:val="22"/>
          <w:szCs w:val="22"/>
          <w:lang w:eastAsia="en-US"/>
        </w:rPr>
        <w:t>público-privadas</w:t>
      </w:r>
      <w:r w:rsidRPr="00F530E3">
        <w:rPr>
          <w:rFonts w:ascii="Arial" w:hAnsi="Arial" w:cs="Arial"/>
          <w:bCs/>
          <w:sz w:val="22"/>
          <w:szCs w:val="22"/>
          <w:lang w:eastAsia="en-US"/>
        </w:rPr>
        <w:t xml:space="preserve">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568E7FA7" w14:textId="77777777" w:rsidR="007004DE" w:rsidRPr="00F530E3" w:rsidRDefault="007004DE" w:rsidP="007004DE">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w:t>
      </w:r>
      <w:r>
        <w:rPr>
          <w:rFonts w:ascii="Arial" w:hAnsi="Arial" w:cs="Arial"/>
          <w:bCs/>
          <w:sz w:val="22"/>
          <w:szCs w:val="22"/>
          <w:lang w:eastAsia="en-US"/>
        </w:rPr>
        <w:t>resado por el Consejo de Estado.</w:t>
      </w:r>
    </w:p>
    <w:p w14:paraId="33C40D79" w14:textId="568D2FD2" w:rsidR="007004DE" w:rsidRDefault="007004DE" w:rsidP="007004DE">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Ahora bien, lo anterior no impide que se puedan hacer aclaraciones a las propuestas bien porque la </w:t>
      </w:r>
      <w:r w:rsidR="00450703">
        <w:rPr>
          <w:rFonts w:ascii="Arial" w:hAnsi="Arial" w:cs="Arial"/>
          <w:bCs/>
          <w:sz w:val="22"/>
          <w:szCs w:val="22"/>
          <w:lang w:eastAsia="en-US"/>
        </w:rPr>
        <w:t>Entidad Estatal</w:t>
      </w:r>
      <w:r w:rsidRPr="00F530E3">
        <w:rPr>
          <w:rFonts w:ascii="Arial" w:hAnsi="Arial" w:cs="Arial"/>
          <w:bCs/>
          <w:sz w:val="22"/>
          <w:szCs w:val="22"/>
          <w:lang w:eastAsia="en-US"/>
        </w:rPr>
        <w:t xml:space="preserve"> las solicite en la etapa de evaluación de las mismas, ora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w:t>
      </w:r>
      <w:r>
        <w:rPr>
          <w:rFonts w:ascii="Arial" w:hAnsi="Arial" w:cs="Arial"/>
          <w:bCs/>
          <w:sz w:val="22"/>
          <w:szCs w:val="22"/>
          <w:lang w:eastAsia="en-US"/>
        </w:rPr>
        <w:t>,</w:t>
      </w:r>
      <w:r w:rsidRPr="00F530E3">
        <w:rPr>
          <w:rFonts w:ascii="Arial" w:hAnsi="Arial" w:cs="Arial"/>
          <w:bCs/>
          <w:sz w:val="22"/>
          <w:szCs w:val="22"/>
          <w:lang w:eastAsia="en-US"/>
        </w:rPr>
        <w:t xml:space="preserve"> precisamente</w:t>
      </w:r>
      <w:r>
        <w:rPr>
          <w:rFonts w:ascii="Arial" w:hAnsi="Arial" w:cs="Arial"/>
          <w:bCs/>
          <w:sz w:val="22"/>
          <w:szCs w:val="22"/>
          <w:lang w:eastAsia="en-US"/>
        </w:rPr>
        <w:t>,</w:t>
      </w:r>
      <w:r w:rsidRPr="00F530E3">
        <w:rPr>
          <w:rFonts w:ascii="Arial" w:hAnsi="Arial" w:cs="Arial"/>
          <w:bCs/>
          <w:sz w:val="22"/>
          <w:szCs w:val="22"/>
          <w:lang w:eastAsia="en-US"/>
        </w:rPr>
        <w:t xml:space="preserve"> en lo que consisten las segundas.</w:t>
      </w:r>
    </w:p>
    <w:p w14:paraId="0345B2B4" w14:textId="77777777" w:rsidR="007004DE" w:rsidRPr="00F530E3" w:rsidRDefault="007004DE" w:rsidP="007004DE">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La solicitud de aclaraciones permite que las entidades requieran a los proponentes esclarecer aspectos de su</w:t>
      </w:r>
      <w:r>
        <w:rPr>
          <w:rFonts w:ascii="Arial" w:hAnsi="Arial" w:cs="Arial"/>
          <w:bCs/>
          <w:sz w:val="22"/>
          <w:szCs w:val="22"/>
          <w:lang w:eastAsia="en-US"/>
        </w:rPr>
        <w:t>s</w:t>
      </w:r>
      <w:r w:rsidRPr="00F530E3">
        <w:rPr>
          <w:rFonts w:ascii="Arial" w:hAnsi="Arial" w:cs="Arial"/>
          <w:bCs/>
          <w:sz w:val="22"/>
          <w:szCs w:val="22"/>
          <w:lang w:eastAsia="en-US"/>
        </w:rPr>
        <w:t xml:space="preserve"> propuesta</w:t>
      </w:r>
      <w:r>
        <w:rPr>
          <w:rFonts w:ascii="Arial" w:hAnsi="Arial" w:cs="Arial"/>
          <w:bCs/>
          <w:sz w:val="22"/>
          <w:szCs w:val="22"/>
          <w:lang w:eastAsia="en-US"/>
        </w:rPr>
        <w:t>s</w:t>
      </w:r>
      <w:r w:rsidRPr="00F530E3">
        <w:rPr>
          <w:rFonts w:ascii="Arial" w:hAnsi="Arial" w:cs="Arial"/>
          <w:bCs/>
          <w:sz w:val="22"/>
          <w:szCs w:val="22"/>
          <w:lang w:eastAsia="en-US"/>
        </w:rPr>
        <w:t xml:space="preserve"> que</w:t>
      </w:r>
      <w:r>
        <w:rPr>
          <w:rFonts w:ascii="Arial" w:hAnsi="Arial" w:cs="Arial"/>
          <w:bCs/>
          <w:sz w:val="22"/>
          <w:szCs w:val="22"/>
          <w:lang w:eastAsia="en-US"/>
        </w:rPr>
        <w:t>,</w:t>
      </w:r>
      <w:r w:rsidRPr="00F530E3">
        <w:rPr>
          <w:rFonts w:ascii="Arial" w:hAnsi="Arial" w:cs="Arial"/>
          <w:bCs/>
          <w:sz w:val="22"/>
          <w:szCs w:val="22"/>
          <w:lang w:eastAsia="en-US"/>
        </w:rPr>
        <w:t xml:space="preserve"> en principio</w:t>
      </w:r>
      <w:r>
        <w:rPr>
          <w:rFonts w:ascii="Arial" w:hAnsi="Arial" w:cs="Arial"/>
          <w:bCs/>
          <w:sz w:val="22"/>
          <w:szCs w:val="22"/>
          <w:lang w:eastAsia="en-US"/>
        </w:rPr>
        <w:t>,</w:t>
      </w:r>
      <w:r w:rsidRPr="00F530E3">
        <w:rPr>
          <w:rFonts w:ascii="Arial" w:hAnsi="Arial" w:cs="Arial"/>
          <w:bCs/>
          <w:sz w:val="22"/>
          <w:szCs w:val="22"/>
          <w:lang w:eastAsia="en-US"/>
        </w:rPr>
        <w:t xml:space="preserve"> resultan confusos para efectos de la evaluación, diferenciándose de la subsanabilidad, pues no parte del supuesto de la ausencia de requisitos de la oferta sino de la existencia de </w:t>
      </w:r>
      <w:r>
        <w:rPr>
          <w:rFonts w:ascii="Arial" w:hAnsi="Arial" w:cs="Arial"/>
          <w:bCs/>
          <w:sz w:val="22"/>
          <w:szCs w:val="22"/>
          <w:lang w:eastAsia="en-US"/>
        </w:rPr>
        <w:t>dudas</w:t>
      </w:r>
      <w:r w:rsidRPr="00F530E3">
        <w:rPr>
          <w:rFonts w:ascii="Arial" w:hAnsi="Arial" w:cs="Arial"/>
          <w:bCs/>
          <w:sz w:val="22"/>
          <w:szCs w:val="22"/>
          <w:lang w:eastAsia="en-US"/>
        </w:rPr>
        <w:t xml:space="preserve"> en la misma, cuya explicación se requiere para la evaluar la propuesta. Esta diferencia es importante, pues </w:t>
      </w:r>
      <w:r w:rsidRPr="00030F0F">
        <w:rPr>
          <w:rFonts w:ascii="Arial" w:hAnsi="Arial" w:cs="Arial"/>
          <w:bCs/>
          <w:i/>
          <w:iCs/>
          <w:sz w:val="22"/>
          <w:szCs w:val="22"/>
          <w:lang w:eastAsia="en-US"/>
        </w:rPr>
        <w:t>es posible aclarar los requisitos que asignan puntaje</w:t>
      </w:r>
      <w:r w:rsidRPr="00F530E3">
        <w:rPr>
          <w:rFonts w:ascii="Arial" w:hAnsi="Arial" w:cs="Arial"/>
          <w:bCs/>
          <w:sz w:val="22"/>
          <w:szCs w:val="22"/>
          <w:lang w:eastAsia="en-US"/>
        </w:rPr>
        <w:t>, tal como lo ha señalado la jurisprudencia en los siguientes términos:</w:t>
      </w:r>
    </w:p>
    <w:p w14:paraId="23E54B68" w14:textId="77777777" w:rsidR="007004DE" w:rsidRPr="00FB1764" w:rsidRDefault="007004DE" w:rsidP="007004DE">
      <w:pPr>
        <w:spacing w:after="0"/>
        <w:ind w:left="709" w:right="709"/>
        <w:rPr>
          <w:rFonts w:ascii="Arial" w:hAnsi="Arial" w:cs="Arial"/>
          <w:bCs/>
          <w:sz w:val="22"/>
          <w:szCs w:val="22"/>
          <w:lang w:eastAsia="en-US"/>
        </w:rPr>
      </w:pPr>
    </w:p>
    <w:p w14:paraId="2E8A881C" w14:textId="4F4B61E8" w:rsidR="007004DE" w:rsidRPr="00FB1764" w:rsidRDefault="00AA0362" w:rsidP="007004DE">
      <w:pPr>
        <w:spacing w:after="0" w:line="240" w:lineRule="auto"/>
        <w:ind w:left="709" w:right="709"/>
        <w:rPr>
          <w:rFonts w:ascii="Arial" w:hAnsi="Arial" w:cs="Arial"/>
          <w:bCs/>
          <w:sz w:val="22"/>
          <w:szCs w:val="22"/>
          <w:lang w:eastAsia="en-US"/>
        </w:rPr>
      </w:pPr>
      <w:bookmarkStart w:id="1" w:name="_3znysh7" w:colFirst="0" w:colLast="0"/>
      <w:bookmarkEnd w:id="1"/>
      <w:r w:rsidRPr="00F530E3">
        <w:rPr>
          <w:rFonts w:ascii="Arial" w:hAnsi="Arial" w:cs="Arial"/>
          <w:bCs/>
          <w:sz w:val="22"/>
          <w:szCs w:val="22"/>
          <w:lang w:eastAsia="en-US"/>
        </w:rPr>
        <w:t>«</w:t>
      </w:r>
      <w:r w:rsidR="007004DE" w:rsidRPr="00FB1764">
        <w:rPr>
          <w:rFonts w:ascii="Arial" w:hAnsi="Arial" w:cs="Arial"/>
          <w:bCs/>
          <w:sz w:val="22"/>
          <w:szCs w:val="22"/>
          <w:lang w:eastAsia="en-US"/>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w:t>
      </w:r>
      <w:r w:rsidR="007004DE" w:rsidRPr="00FB1764">
        <w:rPr>
          <w:rFonts w:ascii="Arial" w:hAnsi="Arial" w:cs="Arial"/>
          <w:bCs/>
          <w:sz w:val="22"/>
          <w:szCs w:val="22"/>
          <w:lang w:eastAsia="en-US"/>
        </w:rPr>
        <w:lastRenderedPageBreak/>
        <w:t>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007004DE" w:rsidRPr="00FB1764">
        <w:rPr>
          <w:rFonts w:ascii="Arial" w:hAnsi="Arial" w:cs="Arial"/>
          <w:bCs/>
          <w:sz w:val="22"/>
          <w:szCs w:val="22"/>
          <w:lang w:eastAsia="en-US"/>
        </w:rPr>
        <w:footnoteReference w:id="14"/>
      </w:r>
      <w:r w:rsidRPr="00FB1764">
        <w:rPr>
          <w:rFonts w:ascii="Arial" w:hAnsi="Arial" w:cs="Arial"/>
          <w:bCs/>
          <w:sz w:val="22"/>
          <w:szCs w:val="22"/>
          <w:lang w:eastAsia="en-US"/>
        </w:rPr>
        <w:t>»</w:t>
      </w:r>
    </w:p>
    <w:p w14:paraId="139474EA" w14:textId="77777777" w:rsidR="007004DE" w:rsidRPr="003850B6" w:rsidRDefault="007004DE" w:rsidP="007004DE">
      <w:pPr>
        <w:spacing w:after="0"/>
        <w:ind w:left="709" w:right="709"/>
        <w:rPr>
          <w:rFonts w:ascii="Arial" w:hAnsi="Arial" w:cs="Arial"/>
          <w:bCs/>
          <w:sz w:val="21"/>
          <w:szCs w:val="21"/>
          <w:lang w:eastAsia="en-US"/>
        </w:rPr>
      </w:pPr>
    </w:p>
    <w:p w14:paraId="4155E736" w14:textId="77777777" w:rsidR="007004DE" w:rsidRDefault="007004DE" w:rsidP="007004DE">
      <w:pPr>
        <w:spacing w:after="0"/>
        <w:ind w:firstLine="709"/>
        <w:rPr>
          <w:rFonts w:ascii="Arial" w:hAnsi="Arial" w:cs="Arial"/>
          <w:bCs/>
          <w:sz w:val="22"/>
          <w:szCs w:val="22"/>
          <w:lang w:eastAsia="en-US"/>
        </w:rPr>
      </w:pPr>
      <w:r w:rsidRPr="00F530E3">
        <w:rPr>
          <w:rFonts w:ascii="Arial" w:hAnsi="Arial" w:cs="Arial"/>
          <w:bCs/>
          <w:sz w:val="22"/>
          <w:szCs w:val="22"/>
          <w:lang w:eastAsia="en-US"/>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w:t>
      </w:r>
      <w:r>
        <w:rPr>
          <w:rFonts w:ascii="Arial" w:hAnsi="Arial" w:cs="Arial"/>
          <w:bCs/>
          <w:sz w:val="22"/>
          <w:szCs w:val="22"/>
          <w:lang w:eastAsia="en-US"/>
        </w:rPr>
        <w:t xml:space="preserve">el </w:t>
      </w:r>
      <w:r w:rsidRPr="00F530E3">
        <w:rPr>
          <w:rFonts w:ascii="Arial" w:hAnsi="Arial" w:cs="Arial"/>
          <w:bCs/>
          <w:sz w:val="22"/>
          <w:szCs w:val="22"/>
          <w:lang w:eastAsia="en-US"/>
        </w:rPr>
        <w:t xml:space="preserve">entendimiento de los elementos de la oferta, sean o no subsanables, para la correcta verificación y evaluación de los mismos por parte de la entidad pública. </w:t>
      </w:r>
      <w:r>
        <w:rPr>
          <w:rFonts w:ascii="Arial" w:hAnsi="Arial" w:cs="Arial"/>
          <w:bCs/>
          <w:sz w:val="22"/>
          <w:szCs w:val="22"/>
          <w:lang w:eastAsia="en-US"/>
        </w:rPr>
        <w:t xml:space="preserve"> </w:t>
      </w:r>
    </w:p>
    <w:p w14:paraId="1793D0EC" w14:textId="77777777" w:rsidR="007004DE" w:rsidRPr="00FB1764" w:rsidRDefault="007004DE" w:rsidP="007004DE">
      <w:pPr>
        <w:spacing w:before="120" w:after="0"/>
        <w:ind w:firstLine="709"/>
        <w:rPr>
          <w:rFonts w:ascii="Arial" w:hAnsi="Arial" w:cs="Arial"/>
          <w:bCs/>
          <w:i/>
          <w:iCs/>
          <w:sz w:val="22"/>
          <w:szCs w:val="22"/>
          <w:lang w:eastAsia="en-US"/>
        </w:rPr>
      </w:pPr>
      <w:r w:rsidRPr="00F530E3">
        <w:rPr>
          <w:rFonts w:ascii="Arial" w:hAnsi="Arial" w:cs="Arial"/>
          <w:bCs/>
          <w:sz w:val="22"/>
          <w:szCs w:val="22"/>
          <w:lang w:eastAsia="en-US"/>
        </w:rPr>
        <w:t>Finalmente, como dispone el artículo 30.7 de la Ley 80 de 1993, la aclaración de las propuestas se realiza durante la evaluación de estas, pues es necesario esclarecer los aspectos dudosos de las ofertas antes de la adjudicación</w:t>
      </w:r>
      <w:r>
        <w:rPr>
          <w:rStyle w:val="Refdenotaalpie"/>
          <w:sz w:val="22"/>
          <w:szCs w:val="22"/>
          <w:lang w:eastAsia="en-US"/>
        </w:rPr>
        <w:footnoteReference w:id="15"/>
      </w:r>
      <w:r w:rsidRPr="00F530E3">
        <w:rPr>
          <w:rFonts w:ascii="Arial" w:hAnsi="Arial" w:cs="Arial"/>
          <w:bCs/>
          <w:sz w:val="22"/>
          <w:szCs w:val="22"/>
          <w:lang w:eastAsia="en-US"/>
        </w:rPr>
        <w:t xml:space="preserve">. Por ello, la jurisprudencia también explica que </w:t>
      </w:r>
      <w:r w:rsidRPr="00FB1764">
        <w:rPr>
          <w:rFonts w:ascii="Arial" w:hAnsi="Arial" w:cs="Arial"/>
          <w:bCs/>
          <w:i/>
          <w:iCs/>
          <w:sz w:val="22"/>
          <w:szCs w:val="22"/>
          <w:lang w:eastAsia="en-US"/>
        </w:rPr>
        <w:t>«[…] el proponente debe acogerse al tiempo que le otorga la administración para subsanar o aclarar la oferta, lapso que la entidad no puede extender más allá de la adjudicación […]</w:t>
      </w:r>
      <w:bookmarkStart w:id="2" w:name="_Hlk120182778"/>
      <w:r w:rsidRPr="00FB1764">
        <w:rPr>
          <w:rFonts w:ascii="Arial" w:hAnsi="Arial" w:cs="Arial"/>
          <w:bCs/>
          <w:i/>
          <w:iCs/>
          <w:sz w:val="22"/>
          <w:szCs w:val="22"/>
          <w:lang w:eastAsia="en-US"/>
        </w:rPr>
        <w:t>»</w:t>
      </w:r>
      <w:bookmarkEnd w:id="2"/>
      <w:r w:rsidRPr="00FB1764">
        <w:rPr>
          <w:rFonts w:ascii="Arial" w:hAnsi="Arial" w:cs="Arial"/>
          <w:bCs/>
          <w:i/>
          <w:iCs/>
          <w:sz w:val="22"/>
          <w:szCs w:val="22"/>
          <w:vertAlign w:val="superscript"/>
          <w:lang w:eastAsia="en-US"/>
        </w:rPr>
        <w:footnoteReference w:id="16"/>
      </w:r>
      <w:r w:rsidRPr="00FB1764">
        <w:rPr>
          <w:rFonts w:ascii="Arial" w:hAnsi="Arial" w:cs="Arial"/>
          <w:bCs/>
          <w:i/>
          <w:iCs/>
          <w:sz w:val="22"/>
          <w:szCs w:val="22"/>
          <w:lang w:eastAsia="en-US"/>
        </w:rPr>
        <w:t>.</w:t>
      </w:r>
      <w:r w:rsidRPr="00F530E3">
        <w:rPr>
          <w:rFonts w:ascii="Arial" w:hAnsi="Arial" w:cs="Arial"/>
          <w:bCs/>
          <w:sz w:val="22"/>
          <w:szCs w:val="22"/>
          <w:lang w:eastAsia="en-US"/>
        </w:rPr>
        <w:t xml:space="preserve"> De esta manera, «</w:t>
      </w:r>
      <w:r w:rsidRPr="00FB1764">
        <w:rPr>
          <w:rFonts w:ascii="Arial" w:hAnsi="Arial" w:cs="Arial"/>
          <w:bCs/>
          <w:i/>
          <w:iCs/>
          <w:sz w:val="22"/>
          <w:szCs w:val="22"/>
          <w:lang w:eastAsia="en-US"/>
        </w:rPr>
        <w:t xml:space="preserve">lo ideal en un proceso de selección es que las </w:t>
      </w:r>
      <w:r w:rsidRPr="00AA0362">
        <w:rPr>
          <w:rFonts w:ascii="Arial" w:hAnsi="Arial" w:cs="Arial"/>
          <w:bCs/>
          <w:i/>
          <w:iCs/>
          <w:sz w:val="22"/>
          <w:szCs w:val="22"/>
          <w:lang w:eastAsia="en-US"/>
        </w:rPr>
        <w:t xml:space="preserve">aclaraciones </w:t>
      </w:r>
      <w:r w:rsidRPr="00FB1764">
        <w:rPr>
          <w:rFonts w:ascii="Arial" w:hAnsi="Arial" w:cs="Arial"/>
          <w:bCs/>
          <w:i/>
          <w:iCs/>
          <w:sz w:val="22"/>
          <w:szCs w:val="22"/>
          <w:lang w:eastAsia="en-US"/>
        </w:rPr>
        <w:t xml:space="preserve">y </w:t>
      </w:r>
      <w:r w:rsidRPr="00AA0362">
        <w:rPr>
          <w:rFonts w:ascii="Arial" w:hAnsi="Arial" w:cs="Arial"/>
          <w:bCs/>
          <w:i/>
          <w:iCs/>
          <w:sz w:val="22"/>
          <w:szCs w:val="22"/>
          <w:lang w:eastAsia="en-US"/>
        </w:rPr>
        <w:t xml:space="preserve">explicaciones </w:t>
      </w:r>
      <w:r w:rsidRPr="00FB1764">
        <w:rPr>
          <w:rFonts w:ascii="Arial" w:hAnsi="Arial" w:cs="Arial"/>
          <w:bCs/>
          <w:i/>
          <w:iCs/>
          <w:sz w:val="22"/>
          <w:szCs w:val="22"/>
          <w:lang w:eastAsia="en-US"/>
        </w:rPr>
        <w:t xml:space="preserve">se anticipen y soliciten durante la etapa de </w:t>
      </w:r>
      <w:r w:rsidRPr="00AA0362">
        <w:rPr>
          <w:rFonts w:ascii="Arial" w:hAnsi="Arial" w:cs="Arial"/>
          <w:bCs/>
          <w:i/>
          <w:iCs/>
          <w:sz w:val="22"/>
          <w:szCs w:val="22"/>
          <w:lang w:eastAsia="en-US"/>
        </w:rPr>
        <w:t>evaluación</w:t>
      </w:r>
      <w:r w:rsidRPr="00FB1764">
        <w:rPr>
          <w:rFonts w:ascii="Arial" w:hAnsi="Arial" w:cs="Arial"/>
          <w:bCs/>
          <w:i/>
          <w:iCs/>
          <w:sz w:val="22"/>
          <w:szCs w:val="22"/>
          <w:lang w:eastAsia="en-US"/>
        </w:rPr>
        <w:t xml:space="preserve">, lo más pronto posible, es decir, antes de que </w:t>
      </w:r>
      <w:r w:rsidRPr="00FB1764">
        <w:rPr>
          <w:rFonts w:ascii="Arial" w:hAnsi="Arial" w:cs="Arial"/>
          <w:bCs/>
          <w:i/>
          <w:iCs/>
          <w:sz w:val="22"/>
          <w:szCs w:val="22"/>
          <w:lang w:eastAsia="en-US"/>
        </w:rPr>
        <w:lastRenderedPageBreak/>
        <w:t>la entidad elabore el informe respectivo, de tal manera que las tenga en cuenta para producir ese acto administrativo».</w:t>
      </w:r>
      <w:r w:rsidRPr="00FB1764">
        <w:rPr>
          <w:rFonts w:ascii="Arial" w:hAnsi="Arial" w:cs="Arial"/>
          <w:bCs/>
          <w:i/>
          <w:iCs/>
          <w:sz w:val="22"/>
          <w:szCs w:val="22"/>
          <w:vertAlign w:val="superscript"/>
          <w:lang w:eastAsia="en-US"/>
        </w:rPr>
        <w:footnoteReference w:id="17"/>
      </w:r>
      <w:r w:rsidRPr="00FB1764">
        <w:rPr>
          <w:rFonts w:ascii="Arial" w:hAnsi="Arial" w:cs="Arial"/>
          <w:bCs/>
          <w:i/>
          <w:iCs/>
          <w:sz w:val="22"/>
          <w:szCs w:val="22"/>
          <w:lang w:eastAsia="en-US"/>
        </w:rPr>
        <w:t xml:space="preserve"> </w:t>
      </w:r>
    </w:p>
    <w:p w14:paraId="1CC29A18" w14:textId="77777777" w:rsidR="007004DE" w:rsidRDefault="007004DE" w:rsidP="007004DE">
      <w:pPr>
        <w:spacing w:after="0"/>
        <w:ind w:right="49"/>
        <w:rPr>
          <w:rFonts w:ascii="Arial" w:hAnsi="Arial" w:cs="Arial"/>
          <w:bCs/>
          <w:sz w:val="22"/>
          <w:szCs w:val="22"/>
          <w:lang w:eastAsia="en-US"/>
        </w:rPr>
      </w:pPr>
    </w:p>
    <w:p w14:paraId="709E5293" w14:textId="77777777" w:rsidR="007004DE" w:rsidRPr="002E0BEF" w:rsidRDefault="007004DE" w:rsidP="007004DE">
      <w:pPr>
        <w:spacing w:after="0"/>
        <w:rPr>
          <w:rFonts w:ascii="Arial" w:hAnsi="Arial" w:cs="Arial"/>
          <w:b/>
          <w:bCs/>
          <w:sz w:val="22"/>
          <w:szCs w:val="22"/>
          <w:lang w:eastAsia="en-US"/>
        </w:rPr>
      </w:pPr>
      <w:r w:rsidRPr="002E0BEF">
        <w:rPr>
          <w:rFonts w:ascii="Arial" w:hAnsi="Arial" w:cs="Arial"/>
          <w:b/>
          <w:bCs/>
          <w:sz w:val="22"/>
          <w:szCs w:val="22"/>
          <w:lang w:eastAsia="en-US"/>
        </w:rPr>
        <w:t>2.</w:t>
      </w:r>
      <w:r>
        <w:rPr>
          <w:rFonts w:ascii="Arial" w:hAnsi="Arial" w:cs="Arial"/>
          <w:b/>
          <w:bCs/>
          <w:sz w:val="22"/>
          <w:szCs w:val="22"/>
          <w:lang w:eastAsia="en-US"/>
        </w:rPr>
        <w:t>2</w:t>
      </w:r>
      <w:r w:rsidRPr="002E0BEF">
        <w:rPr>
          <w:rFonts w:ascii="Arial" w:hAnsi="Arial" w:cs="Arial"/>
          <w:b/>
          <w:bCs/>
          <w:sz w:val="22"/>
          <w:szCs w:val="22"/>
          <w:lang w:eastAsia="en-US"/>
        </w:rPr>
        <w:t>.</w:t>
      </w:r>
      <w:r>
        <w:rPr>
          <w:rFonts w:ascii="Arial" w:hAnsi="Arial" w:cs="Arial"/>
          <w:b/>
          <w:bCs/>
          <w:sz w:val="22"/>
          <w:szCs w:val="22"/>
          <w:lang w:eastAsia="en-US"/>
        </w:rPr>
        <w:t xml:space="preserve"> Análisis de las tesis planteadas en los conceptos C-418 y 424 de 2022 sobre los criterios y condiciones para la acreditación de los incentivos en los términos del </w:t>
      </w:r>
      <w:r w:rsidRPr="00CE3B18">
        <w:rPr>
          <w:rFonts w:ascii="Arial" w:hAnsi="Arial" w:cs="Arial"/>
          <w:b/>
          <w:bCs/>
          <w:sz w:val="22"/>
          <w:szCs w:val="22"/>
          <w:lang w:eastAsia="en-US"/>
        </w:rPr>
        <w:t xml:space="preserve">artículo 2.2.1.2.4.2.10 </w:t>
      </w:r>
      <w:r>
        <w:rPr>
          <w:rFonts w:ascii="Arial" w:hAnsi="Arial" w:cs="Arial"/>
          <w:b/>
          <w:bCs/>
          <w:sz w:val="22"/>
          <w:szCs w:val="22"/>
          <w:lang w:eastAsia="en-US"/>
        </w:rPr>
        <w:t xml:space="preserve">del Decreto 1279 de 2021 </w:t>
      </w:r>
    </w:p>
    <w:p w14:paraId="04D2B2AA" w14:textId="77777777" w:rsidR="007004DE" w:rsidRDefault="007004DE" w:rsidP="007004DE">
      <w:pPr>
        <w:spacing w:after="0"/>
        <w:rPr>
          <w:rFonts w:ascii="Arial" w:hAnsi="Arial" w:cs="Arial"/>
          <w:bCs/>
          <w:sz w:val="22"/>
          <w:szCs w:val="22"/>
          <w:lang w:eastAsia="en-US"/>
        </w:rPr>
      </w:pPr>
    </w:p>
    <w:p w14:paraId="221CCE8B" w14:textId="77777777" w:rsidR="007004DE" w:rsidRDefault="007004DE" w:rsidP="007004DE">
      <w:pPr>
        <w:spacing w:after="0"/>
        <w:rPr>
          <w:rFonts w:ascii="Arial" w:hAnsi="Arial" w:cs="Arial"/>
          <w:bCs/>
          <w:sz w:val="22"/>
          <w:szCs w:val="22"/>
          <w:lang w:eastAsia="en-US"/>
        </w:rPr>
      </w:pPr>
      <w:r>
        <w:rPr>
          <w:rFonts w:ascii="Arial" w:hAnsi="Arial" w:cs="Arial"/>
          <w:bCs/>
          <w:sz w:val="22"/>
          <w:szCs w:val="22"/>
          <w:lang w:eastAsia="en-US"/>
        </w:rPr>
        <w:t>En ambos conceptos se analizó lo siguiente sobre los criterios y condiciones para la acreditación de los incentivos dispuestos en el Decreto 1279 de 2021</w:t>
      </w:r>
      <w:r>
        <w:rPr>
          <w:rStyle w:val="Refdenotaalpie"/>
          <w:sz w:val="22"/>
          <w:szCs w:val="22"/>
          <w:lang w:eastAsia="en-US"/>
        </w:rPr>
        <w:footnoteReference w:id="18"/>
      </w:r>
      <w:r>
        <w:rPr>
          <w:rFonts w:ascii="Arial" w:hAnsi="Arial" w:cs="Arial"/>
          <w:bCs/>
          <w:sz w:val="22"/>
          <w:szCs w:val="22"/>
          <w:lang w:eastAsia="en-US"/>
        </w:rPr>
        <w:t>:</w:t>
      </w:r>
    </w:p>
    <w:p w14:paraId="462C7978" w14:textId="77777777" w:rsidR="007004DE" w:rsidRDefault="007004DE" w:rsidP="007004DE">
      <w:pPr>
        <w:spacing w:after="0"/>
        <w:rPr>
          <w:rFonts w:ascii="Arial" w:hAnsi="Arial" w:cs="Arial"/>
          <w:bCs/>
          <w:sz w:val="22"/>
          <w:szCs w:val="22"/>
          <w:lang w:eastAsia="en-US"/>
        </w:rPr>
      </w:pPr>
    </w:p>
    <w:p w14:paraId="333CDBAB" w14:textId="5B333ABD" w:rsidR="007004DE" w:rsidRPr="00FB1764" w:rsidRDefault="007D46CB" w:rsidP="007004DE">
      <w:pPr>
        <w:shd w:val="clear" w:color="auto" w:fill="FFFFFF"/>
        <w:spacing w:after="120" w:line="240" w:lineRule="auto"/>
        <w:ind w:left="709" w:right="616"/>
        <w:rPr>
          <w:rFonts w:ascii="Arial" w:hAnsi="Arial" w:cs="Arial"/>
          <w:bCs/>
          <w:sz w:val="22"/>
          <w:szCs w:val="22"/>
          <w:lang w:eastAsia="en-US"/>
        </w:rPr>
      </w:pPr>
      <w:r w:rsidRPr="00A8565E">
        <w:rPr>
          <w:rFonts w:ascii="Arial" w:hAnsi="Arial" w:cs="Arial"/>
          <w:bCs/>
          <w:i/>
          <w:iCs/>
          <w:sz w:val="22"/>
          <w:szCs w:val="22"/>
          <w:lang w:eastAsia="en-US"/>
        </w:rPr>
        <w:t>«</w:t>
      </w:r>
      <w:r w:rsidR="007004DE" w:rsidRPr="00FB1764">
        <w:rPr>
          <w:rFonts w:ascii="Arial" w:hAnsi="Arial" w:cs="Arial"/>
          <w:bCs/>
          <w:sz w:val="22"/>
          <w:szCs w:val="22"/>
          <w:lang w:eastAsia="en-US"/>
        </w:rPr>
        <w:t xml:space="preserve">El Decreto 1279 de 2021, «Por el cual se reglamenta el artículo 6° de la Ley 1920 de 2018 y se adicionan unos artículos a la Subsección 2 de la Sección 4 del Capítulo 2 del Título 1 de la Parte 2 del Libro 2 del Decreto 1082 de 2015, Único Reglamentario del Sector Administrativo de Planeación Nacional», establece la regulación de un puntaje adicional para los procesos de licitación pública para las empresas y las cooperativas de vigilancia y seguridad privada, que en su personal operativo tengan contratados con todas las exigencias y garantías legalmente establecidas a mujeres, personas con discapacidad y personas mayores de 45 años. En este sentido, el artículo 2.2.1.2.4.2.10 que fue adicionado en el Decreto 1082 de 2015 dispone que se otorga hasta el tres por ciento (3%) del total de los puntos establecidos en el pliego de condiciones, de acuerdo con los siguientes criterios: </w:t>
      </w:r>
    </w:p>
    <w:p w14:paraId="40C3F840"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 xml:space="preserve">i) Se otorga hasta un uno por ciento (1%) al proponente o los proponentes que acrediten tener dentro de su personal operativo mujeres vinculadas, de la siguiente forma: a) El cero punto cinco por ciento (0,5%) se le brinda al proponente o proponentes que acrediten el mayor porcentaje de mujeres vinculadas dentro de su personal operativo. A los demás proponentes se les otorgará un puntaje proporcional de acuerdo con la siguiente fórmula: </w:t>
      </w:r>
    </w:p>
    <w:p w14:paraId="391793E1" w14:textId="77777777" w:rsidR="007004DE" w:rsidRPr="00012B37" w:rsidRDefault="007004DE" w:rsidP="007004DE">
      <w:pPr>
        <w:shd w:val="clear" w:color="auto" w:fill="FFFFFF"/>
        <w:spacing w:after="120" w:line="240" w:lineRule="auto"/>
        <w:ind w:left="709" w:right="616"/>
        <w:rPr>
          <w:rFonts w:ascii="Arial" w:eastAsia="Times New Roman" w:hAnsi="Arial" w:cs="Arial"/>
          <w:sz w:val="21"/>
          <w:szCs w:val="21"/>
          <w:lang w:val="es-CO" w:eastAsia="es-CO"/>
        </w:rPr>
      </w:pPr>
      <w:r w:rsidRPr="00012B37">
        <w:rPr>
          <w:rFonts w:ascii="Times New Roman" w:eastAsia="Times New Roman" w:hAnsi="Times New Roman" w:cs="Times New Roman"/>
          <w:noProof/>
          <w:sz w:val="21"/>
          <w:szCs w:val="21"/>
          <w:lang w:val="es-CO" w:eastAsia="es-CO"/>
        </w:rPr>
        <w:drawing>
          <wp:inline distT="0" distB="0" distL="0" distR="0" wp14:anchorId="1EBE8118" wp14:editId="0D6B4825">
            <wp:extent cx="4038600" cy="430455"/>
            <wp:effectExtent l="0" t="0" r="0" b="8255"/>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Text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9551" cy="439083"/>
                    </a:xfrm>
                    <a:prstGeom prst="rect">
                      <a:avLst/>
                    </a:prstGeom>
                    <a:noFill/>
                    <a:ln>
                      <a:noFill/>
                    </a:ln>
                  </pic:spPr>
                </pic:pic>
              </a:graphicData>
            </a:graphic>
          </wp:inline>
        </w:drawing>
      </w:r>
    </w:p>
    <w:p w14:paraId="5890F667" w14:textId="77777777" w:rsidR="007004DE" w:rsidRPr="00012B37" w:rsidRDefault="007004DE" w:rsidP="007004DE">
      <w:pPr>
        <w:shd w:val="clear" w:color="auto" w:fill="FFFFFF"/>
        <w:spacing w:after="120" w:line="240" w:lineRule="auto"/>
        <w:ind w:left="709" w:right="616"/>
        <w:rPr>
          <w:rFonts w:ascii="Arial" w:eastAsia="Times New Roman" w:hAnsi="Arial" w:cs="Arial"/>
          <w:sz w:val="21"/>
          <w:szCs w:val="21"/>
          <w:lang w:val="es-CO" w:eastAsia="en-US"/>
        </w:rPr>
      </w:pPr>
      <w:r w:rsidRPr="00012B37">
        <w:rPr>
          <w:rFonts w:ascii="Arial" w:eastAsia="Times New Roman" w:hAnsi="Arial" w:cs="Arial"/>
          <w:sz w:val="21"/>
          <w:szCs w:val="21"/>
          <w:lang w:val="es-CO" w:eastAsia="es-CO"/>
        </w:rPr>
        <w:t xml:space="preserve">b) El cero punto cinco por ciento (0,5%) se le otorga al proponente o los proponentes que acrediten el mayor </w:t>
      </w:r>
      <w:r w:rsidRPr="00012B37">
        <w:rPr>
          <w:rFonts w:ascii="Arial" w:eastAsia="Times New Roman" w:hAnsi="Arial" w:cs="Arial"/>
          <w:i/>
          <w:iCs/>
          <w:sz w:val="21"/>
          <w:szCs w:val="21"/>
          <w:lang w:val="es-CO" w:eastAsia="es-CO"/>
        </w:rPr>
        <w:t>número de mujeres vinculadas</w:t>
      </w:r>
      <w:r w:rsidRPr="00012B37">
        <w:rPr>
          <w:rFonts w:ascii="Arial" w:eastAsia="Times New Roman" w:hAnsi="Arial" w:cs="Arial"/>
          <w:sz w:val="21"/>
          <w:szCs w:val="21"/>
          <w:lang w:val="es-CO" w:eastAsia="es-CO"/>
        </w:rPr>
        <w:t xml:space="preserve"> dentro de su personal operativo. A los demás proponentes se les brinda un puntaje proporcional de acuerdo con la siguiente fórmula:</w:t>
      </w:r>
      <w:r w:rsidRPr="00012B37">
        <w:rPr>
          <w:rFonts w:ascii="Arial" w:eastAsia="Times New Roman" w:hAnsi="Arial" w:cs="Arial"/>
          <w:sz w:val="21"/>
          <w:szCs w:val="21"/>
          <w:lang w:val="es-CO" w:eastAsia="en-US"/>
        </w:rPr>
        <w:t xml:space="preserve"> </w:t>
      </w:r>
    </w:p>
    <w:p w14:paraId="4C49BB30" w14:textId="77777777" w:rsidR="007004DE" w:rsidRPr="00012B37" w:rsidRDefault="007004DE" w:rsidP="007004DE">
      <w:pPr>
        <w:shd w:val="clear" w:color="auto" w:fill="FFFFFF"/>
        <w:spacing w:after="120" w:line="240" w:lineRule="auto"/>
        <w:ind w:left="709" w:right="616"/>
        <w:rPr>
          <w:rFonts w:ascii="Arial" w:eastAsia="Times New Roman" w:hAnsi="Arial" w:cs="Arial"/>
          <w:sz w:val="21"/>
          <w:szCs w:val="21"/>
          <w:lang w:val="es-CO" w:eastAsia="es-CO"/>
        </w:rPr>
      </w:pPr>
      <w:r w:rsidRPr="00012B37">
        <w:rPr>
          <w:rFonts w:ascii="Times New Roman" w:eastAsia="Times New Roman" w:hAnsi="Times New Roman" w:cs="Times New Roman"/>
          <w:noProof/>
          <w:sz w:val="21"/>
          <w:szCs w:val="21"/>
          <w:lang w:val="es-CO" w:eastAsia="es-CO"/>
        </w:rPr>
        <w:lastRenderedPageBreak/>
        <w:drawing>
          <wp:inline distT="0" distB="0" distL="0" distR="0" wp14:anchorId="67BB5F6C" wp14:editId="1A48A3FA">
            <wp:extent cx="4290646" cy="432560"/>
            <wp:effectExtent l="0" t="0" r="0" b="5715"/>
            <wp:docPr id="13" name="Imagen 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Texto&#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7467" cy="443329"/>
                    </a:xfrm>
                    <a:prstGeom prst="rect">
                      <a:avLst/>
                    </a:prstGeom>
                    <a:noFill/>
                    <a:ln>
                      <a:noFill/>
                    </a:ln>
                  </pic:spPr>
                </pic:pic>
              </a:graphicData>
            </a:graphic>
          </wp:inline>
        </w:drawing>
      </w:r>
    </w:p>
    <w:p w14:paraId="439EFE3F"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012B37">
        <w:rPr>
          <w:rFonts w:ascii="Arial" w:eastAsia="Times New Roman" w:hAnsi="Arial" w:cs="Arial"/>
          <w:sz w:val="21"/>
          <w:szCs w:val="21"/>
          <w:lang w:val="es-CO" w:eastAsia="es-CO"/>
        </w:rPr>
        <w:tab/>
      </w:r>
      <w:r w:rsidRPr="00FB1764">
        <w:rPr>
          <w:rFonts w:ascii="Arial" w:hAnsi="Arial" w:cs="Arial"/>
          <w:bCs/>
          <w:sz w:val="22"/>
          <w:szCs w:val="22"/>
          <w:lang w:eastAsia="en-US"/>
        </w:rPr>
        <w:t xml:space="preserve">Como se nota, el Decreto 1279 de 2021 determina dos supuestos de hecho que deben ser valorados por la entidad contratante para determinar a cuál o cuáles de los proponentes debe beneficiar con el otorgamiento de los puntajes adicionales. Así, por una parte, determinará cuál o cuáles de las empresas proponentes cuenta con el mayor porcentaje de mujeres vinculadas a su personal operativo. En este caso, lo que se analiza es la proporción porcentual entre el total de trabajadores operativos y la cantidad de mujeres, lo cual permita deducir un determinado porcentaje que luego será comparado con el porcentaje de cada uno de los demás proponentes. De esta manera, el beneficio del otorgamiento del puntaje máximo adicional será otorgado a la empresa que cuente con el mayor porcentaje. Pero no solo accede a dicho beneficio la empresa que cuente con el mayor porcentaje de mujeres vinculadas al personal operativo, sino que, además, les será otorgado al proponente que cuente con el mayor número de mujeres vinculadas al personal operativo. </w:t>
      </w:r>
    </w:p>
    <w:p w14:paraId="458CA09C"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 xml:space="preserve">Nótese como los criterios para asignar el puntaje adicional son distintos en uno y otro caso, ya que mientras en el primero, lo determinante a efectos de otorgar el beneficio será el porcentaje, en el segundo evento no importa el valor porcentual o la proporción sino el total de mujeres vinculadas. De tal manera que el análisis que la entidad contratante debe realizar es doble, ya que por un lado deberá revisar el porcentaje que en cada empresa está conformado por mujeres en el personal operativo y, por otro, el número total de mujeres vinculadas a dicho personal. </w:t>
      </w:r>
    </w:p>
    <w:p w14:paraId="3EFA65D3"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En ese sentido, podría suceder que la misma empresa proponente cumpla con los dos requisitos y, por ende, acceda al 1% total de puntos adicionales, por cuanto, por un lado, cuenta con el mayor porcentaje de mujeres en su planta operativa y, además, la cantidad de mujeres vinculadas al personal operativo es mayor que las cantidades acreditadas por los demás proponentes. Pero también podría pasar que los beneficios por la proporción o porcentaje, por un lado, y por el número total de mujeres vinculadas, por el otro, sean otorgados a distintos proponentes, porque, por ejemplo, pese a que cierta  empresa cuenta con mayor número total de mujeres vinculadas al personal operativo, la comparación con el número total de sus trabajadores arroje un porcentaje menor al que sea acreditado por una empresa con un número total de mujeres menor, pero con una proporción mayor. Lo anterior, sin perjuicio de que a los demás proponentes que no obtengan el máximo puntaje se les asignen los puntos respectivos, de acuerdo con las fórmulas establecidas en el artículo 2.2.1.2.4.2.10. del Decreto 1082 de 2015.</w:t>
      </w:r>
    </w:p>
    <w:p w14:paraId="272131BC"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 xml:space="preserve">ii) Se otorga hasta un uno por ciento (1%) al proponente o proponentes que acrediten tener dentro de su personal operativo personas con discapacidad vinculadas, de la siguiente manera: a) El cero punto cinco por ciento (0,5%) se le brinda al proponente o proponentes que acrediten el mayor porcentaje de personas con discapacidad vinculadas dentro de su personal operativo. A los demás </w:t>
      </w:r>
      <w:r w:rsidRPr="00FB1764">
        <w:rPr>
          <w:rFonts w:ascii="Arial" w:hAnsi="Arial" w:cs="Arial"/>
          <w:bCs/>
          <w:sz w:val="22"/>
          <w:szCs w:val="22"/>
          <w:lang w:eastAsia="en-US"/>
        </w:rPr>
        <w:lastRenderedPageBreak/>
        <w:t xml:space="preserve">proponentes se les otorga un puntaje proporcional de acuerdo con la siguiente fórmula: </w:t>
      </w:r>
    </w:p>
    <w:p w14:paraId="3F7DCA38"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noProof/>
          <w:sz w:val="22"/>
          <w:szCs w:val="22"/>
          <w:lang w:eastAsia="en-US"/>
        </w:rPr>
        <w:drawing>
          <wp:inline distT="0" distB="0" distL="0" distR="0" wp14:anchorId="6FC77D51" wp14:editId="531F81EA">
            <wp:extent cx="4085492" cy="441000"/>
            <wp:effectExtent l="0" t="0" r="0" b="0"/>
            <wp:docPr id="14" name="Imagen 1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03125" cy="442903"/>
                    </a:xfrm>
                    <a:prstGeom prst="rect">
                      <a:avLst/>
                    </a:prstGeom>
                    <a:noFill/>
                    <a:ln>
                      <a:noFill/>
                    </a:ln>
                  </pic:spPr>
                </pic:pic>
              </a:graphicData>
            </a:graphic>
          </wp:inline>
        </w:drawing>
      </w:r>
    </w:p>
    <w:p w14:paraId="57C3A6C6"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 xml:space="preserve">B) El cero punto cinco por ciento (0,5%) se brinda al proponente o proponentes que acrediten mayor número de personas con discapacidad vinculadas dentro de su personal operativo. A los demás proponentes se les otorga un puntaje proporcional de acuerdo con la siguiente fórmula: </w:t>
      </w:r>
    </w:p>
    <w:p w14:paraId="07E1F15E"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noProof/>
          <w:sz w:val="22"/>
          <w:szCs w:val="22"/>
          <w:lang w:eastAsia="en-US"/>
        </w:rPr>
        <w:drawing>
          <wp:inline distT="0" distB="0" distL="0" distR="0" wp14:anchorId="7AC7C0A7" wp14:editId="5C36ADEB">
            <wp:extent cx="4032738" cy="459033"/>
            <wp:effectExtent l="0" t="0" r="0" b="0"/>
            <wp:docPr id="15" name="Imagen 15"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con confianza me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1925" cy="463493"/>
                    </a:xfrm>
                    <a:prstGeom prst="rect">
                      <a:avLst/>
                    </a:prstGeom>
                    <a:noFill/>
                    <a:ln>
                      <a:noFill/>
                    </a:ln>
                  </pic:spPr>
                </pic:pic>
              </a:graphicData>
            </a:graphic>
          </wp:inline>
        </w:drawing>
      </w:r>
    </w:p>
    <w:p w14:paraId="01F56B29"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 xml:space="preserve">iii) Se otorga hasta un uno por ciento (1%) al proponente o los proponentes que acrediten tener dentro de su personal operativo personas que al momento de presentar oferta sean mayores de 45 años vinculadas, de la siguiente manera: a) El cero punto cinco por ciento (0,5%) se le brinda al proponente o los proponentes que acrediten el mayor porcentaje de personas mayores de 45 años vinculadas dentro de su personal operativo. A los demás proponentes se les otorga un puntaje proporcional de acuerdo con la siguiente fórmula: </w:t>
      </w:r>
    </w:p>
    <w:p w14:paraId="3F1CA65D"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noProof/>
          <w:sz w:val="22"/>
          <w:szCs w:val="22"/>
          <w:lang w:eastAsia="en-US"/>
        </w:rPr>
        <w:drawing>
          <wp:inline distT="0" distB="0" distL="0" distR="0" wp14:anchorId="38BAF5E6" wp14:editId="7778571C">
            <wp:extent cx="4003430" cy="408587"/>
            <wp:effectExtent l="0" t="0" r="0" b="0"/>
            <wp:docPr id="16" name="Imagen 16" descr="Texto, Ca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exto, Carta&#10;&#10;Descripción generada automáticamente con confianza me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31413" cy="411443"/>
                    </a:xfrm>
                    <a:prstGeom prst="rect">
                      <a:avLst/>
                    </a:prstGeom>
                    <a:noFill/>
                    <a:ln>
                      <a:noFill/>
                    </a:ln>
                  </pic:spPr>
                </pic:pic>
              </a:graphicData>
            </a:graphic>
          </wp:inline>
        </w:drawing>
      </w:r>
    </w:p>
    <w:p w14:paraId="4927068B"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 xml:space="preserve">B)  El cero punto cinco por ciento (0,5%) se otorga al proponente o proponentes que acrediten mayor número de personas mayores de 45 años vinculadas dentro de su personal operativo. A los demás proponentes se les brinda un puntaje proporcional de acuerdo con la siguiente fórmula: </w:t>
      </w:r>
    </w:p>
    <w:p w14:paraId="7932DB48"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noProof/>
          <w:sz w:val="22"/>
          <w:szCs w:val="22"/>
          <w:lang w:eastAsia="en-US"/>
        </w:rPr>
        <w:drawing>
          <wp:inline distT="0" distB="0" distL="0" distR="0" wp14:anchorId="5EB2D637" wp14:editId="0DD0DE5D">
            <wp:extent cx="4003040" cy="465164"/>
            <wp:effectExtent l="0" t="0" r="0" b="0"/>
            <wp:docPr id="17" name="Imagen 17"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Texto&#10;&#10;Descripción generada automáticamente con confianza baj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2925" cy="467475"/>
                    </a:xfrm>
                    <a:prstGeom prst="rect">
                      <a:avLst/>
                    </a:prstGeom>
                    <a:noFill/>
                    <a:ln>
                      <a:noFill/>
                    </a:ln>
                  </pic:spPr>
                </pic:pic>
              </a:graphicData>
            </a:graphic>
          </wp:inline>
        </w:drawing>
      </w:r>
    </w:p>
    <w:p w14:paraId="2F1362BA"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Ahora bien, el parágrafo segundo del artículo 2.2.1.2.4.2.10. regula específicamente lo relacionado frente a ofertas presentadas por un consorcio o unión temporal, estableciendo que se tendrá en cuenta la sumatoria ponderada del personal operativo del proponente plural para cada uno de los criterios, de acuerdo con el porcentaje de participación de sus integrantes.</w:t>
      </w:r>
    </w:p>
    <w:p w14:paraId="15BF3FEE"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ab/>
        <w:t xml:space="preserve">De otro lado, el parágrafo primero del artículo 2.2.1.2.4.2.10 que fue adicionado en el Decreto 1082 de 2015 regula las condiciones para acreditar el puntaje adicional para estos procesos de licitación pública. Al respecto, existen dos (2) elementos que deben ser acreditados por el oferente y verificados por la entidad contratante para asignar el puntaje adicional. Por un lado, las condiciones subjetivas de las personas vinculadas a la empresa de vigilancia y seguridad privada –esto es, que se trate de mujeres, personas con discapacidad y/o mayores de 45 años– y, </w:t>
      </w:r>
      <w:r w:rsidRPr="00FB1764">
        <w:rPr>
          <w:rFonts w:ascii="Arial" w:hAnsi="Arial" w:cs="Arial"/>
          <w:bCs/>
          <w:sz w:val="22"/>
          <w:szCs w:val="22"/>
          <w:lang w:eastAsia="en-US"/>
        </w:rPr>
        <w:lastRenderedPageBreak/>
        <w:t xml:space="preserve">por otro, su inclusión en la planta de personal operativo de la empresa. Por ello, las condiciones para otorgar el puntaje son constatadas por la entidad contratante mediante los siguientes documentos aportados por el proponente con su oferta de manera física o digital: </w:t>
      </w:r>
    </w:p>
    <w:p w14:paraId="65045670"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i) 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r w:rsidRPr="00FB1764">
        <w:rPr>
          <w:rFonts w:ascii="Arial" w:hAnsi="Arial" w:cs="Arial"/>
          <w:bCs/>
          <w:sz w:val="22"/>
          <w:szCs w:val="22"/>
          <w:lang w:eastAsia="en-US"/>
        </w:rPr>
        <w:footnoteReference w:id="19"/>
      </w:r>
      <w:r w:rsidRPr="00FB1764">
        <w:rPr>
          <w:rFonts w:ascii="Arial" w:hAnsi="Arial" w:cs="Arial"/>
          <w:bCs/>
          <w:sz w:val="22"/>
          <w:szCs w:val="22"/>
          <w:lang w:eastAsia="en-US"/>
        </w:rPr>
        <w:t>.</w:t>
      </w:r>
    </w:p>
    <w:p w14:paraId="727503BD"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ii) Certificado con una fecha no superior a treinta (30) días calendario anteriores a la presentación de la oferta, suscrito por el representante legal de la empresa o cooperativa de vigilancia y seguridad privada, que debe señalar el número de mujeres, de personas mayores de cuarenta y cinco (45) años cumplidos máximo a la fecha de presentación de la oferta y de personas con discapacidad que conforman su personal operativo. Para tal efecto, debe relacionarse junto con la certificación, el nombre completo, el número de documento de identidad, género, fecha de nacimiento y condición de discapacidad del personal operativo.</w:t>
      </w:r>
    </w:p>
    <w:p w14:paraId="0E1D6FEF" w14:textId="7A7F0D62"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iii) La certificación del representante legal debe estar acompañada de la copia de los respectivos documentos de identidad y, para acreditar la condición de discapacidad, del certificado de discapacidad de cada uno de los trabajadores, de conformidad con la Resolución No. 113 de 2020 del Ministerio de Salud y Protección Social o aquellas normas que la complementen, desarrollen, modifiquen o sustituyan. De este modo, en el evento que sean personas en condición de discapacidad, se requiere que el proponente anexe los documentos de identidad</w:t>
      </w:r>
      <w:r w:rsidR="007D46CB" w:rsidRPr="00FB1764">
        <w:rPr>
          <w:rFonts w:ascii="Arial" w:hAnsi="Arial" w:cs="Arial"/>
          <w:bCs/>
          <w:sz w:val="22"/>
          <w:szCs w:val="22"/>
          <w:lang w:eastAsia="en-US"/>
        </w:rPr>
        <w:t>,</w:t>
      </w:r>
      <w:r w:rsidRPr="00FB1764">
        <w:rPr>
          <w:rFonts w:ascii="Arial" w:hAnsi="Arial" w:cs="Arial"/>
          <w:bCs/>
          <w:sz w:val="22"/>
          <w:szCs w:val="22"/>
          <w:lang w:eastAsia="en-US"/>
        </w:rPr>
        <w:t xml:space="preserve"> así como los certificados que acreditan la condición de discapacidad, según la Resolución No. 113 del Ministerio de Salud y Protección Social. </w:t>
      </w:r>
    </w:p>
    <w:p w14:paraId="1A5BEA7C"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 xml:space="preserve">De acuerdo con el parágrafo primero del artículo 2.1.2.4.2.10 del Decreto 1082 de 2015, el otorgamiento del incentivo requiere la concurrencia de los documentos descritos. Es decir, conforme al tenor literal de la norma, no podrá asignarse puntaje en relación con personas respecto de las cuales no se pruebe el cumplimiento de todos los requisitos exigidos la disposición. De esta manera, el representante legal de la empresa o cooperativa de vigilancia y seguridad privada indicará el número de mujeres, de personas mayores de cuarenta y cinco (45) años cumplidos máximo a la fecha de presentación de la oferta y de personas con discapacidad que conform1an su personal operativo. Junto con la certificación, también relacionará el </w:t>
      </w:r>
      <w:r w:rsidRPr="00FB1764">
        <w:rPr>
          <w:rFonts w:ascii="Arial" w:hAnsi="Arial" w:cs="Arial"/>
          <w:bCs/>
          <w:sz w:val="22"/>
          <w:szCs w:val="22"/>
          <w:lang w:eastAsia="en-US"/>
        </w:rPr>
        <w:lastRenderedPageBreak/>
        <w:t xml:space="preserve">nombre completo, el número de documento de identidad, género, fecha de nacimiento y condición de discapacidad del personal operativo. </w:t>
      </w:r>
    </w:p>
    <w:p w14:paraId="533F5589" w14:textId="77777777" w:rsidR="007004DE" w:rsidRPr="00FB1764" w:rsidRDefault="007004DE" w:rsidP="007004DE">
      <w:pPr>
        <w:shd w:val="clear" w:color="auto" w:fill="FFFFFF"/>
        <w:spacing w:after="120" w:line="240" w:lineRule="auto"/>
        <w:ind w:left="709" w:right="616"/>
        <w:rPr>
          <w:rFonts w:ascii="Arial" w:hAnsi="Arial" w:cs="Arial"/>
          <w:bCs/>
          <w:sz w:val="22"/>
          <w:szCs w:val="22"/>
          <w:lang w:eastAsia="en-US"/>
        </w:rPr>
      </w:pPr>
      <w:r w:rsidRPr="00FB1764">
        <w:rPr>
          <w:rFonts w:ascii="Arial" w:hAnsi="Arial" w:cs="Arial"/>
          <w:bCs/>
          <w:sz w:val="22"/>
          <w:szCs w:val="22"/>
          <w:lang w:eastAsia="en-US"/>
        </w:rPr>
        <w:t xml:space="preserve">Ahora bien, respecto a los documentos anexos, si no están los soportes que acreditan la calidad de algunas de las personas relacionadas en la certificación, la asignación del puntaje se realizará únicamente con aquellos que cumplan las condiciones explicadas anteriormente. Por ejemplo, si el proponente certifica que tiene diez (10) personas en condición de discapacidad, pero solo aporta la cédula y el certificado de discapacidad de seis (6) de ellas, la asignación del puntaje se realizará excluyendo el número de personas cuya calidad no se acreditó a través de los anexos correspondientes. Lo anterior considerando que la norma analizada no dispone expresamente que el derecho a obtener puntaje adicional por la vinculación de estos grupos poblacionales se pierda totalmente cuando los documentos referidos a una o varias de las personas, cuya vinculación quiere demostrarse, no se anexen a la certificación del representante legal. </w:t>
      </w:r>
    </w:p>
    <w:p w14:paraId="3FC15557" w14:textId="77777777" w:rsidR="007004DE" w:rsidRPr="00FB1764" w:rsidRDefault="007004DE" w:rsidP="007004DE">
      <w:pPr>
        <w:spacing w:after="0" w:line="240" w:lineRule="auto"/>
        <w:ind w:left="709" w:right="616"/>
        <w:rPr>
          <w:rFonts w:ascii="Arial" w:hAnsi="Arial" w:cs="Arial"/>
          <w:bCs/>
          <w:sz w:val="22"/>
          <w:szCs w:val="22"/>
          <w:lang w:eastAsia="en-US"/>
        </w:rPr>
      </w:pPr>
      <w:r w:rsidRPr="00FB1764">
        <w:rPr>
          <w:rFonts w:ascii="Arial" w:hAnsi="Arial" w:cs="Arial"/>
          <w:bCs/>
          <w:sz w:val="22"/>
          <w:szCs w:val="22"/>
          <w:lang w:eastAsia="en-US"/>
        </w:rPr>
        <w:t>Conforme al parágrafo 1 del artículo 5 de la Ley 1150 de 2007, los requisitos de la oferta que afecten la asignación de puntaje son insubsanables, por lo que la documentación faltante no podría entregarse posteriormente</w:t>
      </w:r>
      <w:r w:rsidRPr="00FB1764">
        <w:rPr>
          <w:rFonts w:ascii="Arial" w:hAnsi="Arial" w:cs="Arial"/>
          <w:bCs/>
          <w:sz w:val="22"/>
          <w:szCs w:val="22"/>
          <w:lang w:eastAsia="en-US"/>
        </w:rPr>
        <w:footnoteReference w:id="20"/>
      </w:r>
      <w:r w:rsidRPr="00FB1764">
        <w:rPr>
          <w:rFonts w:ascii="Arial" w:hAnsi="Arial" w:cs="Arial"/>
          <w:bCs/>
          <w:sz w:val="22"/>
          <w:szCs w:val="22"/>
          <w:lang w:eastAsia="en-US"/>
        </w:rPr>
        <w:t>. Por ello, teniendo en cuenta que los incentivos contractuales a los que se ha hecho referencia se expresan en puntos en el procedimiento de selección, la ausencia de los documentos que los soportan es insubsanable. No obstante, es necesario distinguir entre la ausencia del anexo correspondiente y los defectos del documento que, en función de las particularidades de cada caso concreto, impidan comprender el alcance de su contenido. Así las cosas, es necesario distinguir entre el régimen de subsanación y aclaración de las ofertas.</w:t>
      </w:r>
    </w:p>
    <w:p w14:paraId="76F3CC02" w14:textId="77777777" w:rsidR="007004DE" w:rsidRPr="00FB1764" w:rsidRDefault="007004DE" w:rsidP="007004DE">
      <w:pPr>
        <w:spacing w:after="0" w:line="240" w:lineRule="auto"/>
        <w:ind w:left="709" w:right="616"/>
        <w:rPr>
          <w:rFonts w:ascii="Arial" w:hAnsi="Arial" w:cs="Arial"/>
          <w:bCs/>
          <w:sz w:val="22"/>
          <w:szCs w:val="22"/>
          <w:lang w:eastAsia="en-US"/>
        </w:rPr>
      </w:pPr>
    </w:p>
    <w:p w14:paraId="01E66E07" w14:textId="77777777" w:rsidR="007004DE" w:rsidRPr="00FB1764" w:rsidRDefault="007004DE" w:rsidP="007004DE">
      <w:pPr>
        <w:spacing w:after="0" w:line="240" w:lineRule="auto"/>
        <w:ind w:left="709" w:right="616"/>
        <w:rPr>
          <w:rFonts w:ascii="Arial" w:hAnsi="Arial" w:cs="Arial"/>
          <w:bCs/>
          <w:sz w:val="22"/>
          <w:szCs w:val="22"/>
          <w:lang w:eastAsia="en-US"/>
        </w:rPr>
      </w:pPr>
      <w:r w:rsidRPr="00FB1764">
        <w:rPr>
          <w:rFonts w:ascii="Arial" w:hAnsi="Arial" w:cs="Arial"/>
          <w:bCs/>
          <w:sz w:val="22"/>
          <w:szCs w:val="22"/>
          <w:lang w:eastAsia="en-US"/>
        </w:rPr>
        <w:t>[…]</w:t>
      </w:r>
    </w:p>
    <w:p w14:paraId="0017BB6B" w14:textId="77777777" w:rsidR="007004DE" w:rsidRDefault="007004DE" w:rsidP="007004DE">
      <w:pPr>
        <w:spacing w:after="0" w:line="240" w:lineRule="auto"/>
        <w:ind w:left="709" w:right="616"/>
        <w:rPr>
          <w:rFonts w:ascii="Arial" w:hAnsi="Arial" w:cs="Arial"/>
          <w:bCs/>
          <w:sz w:val="22"/>
          <w:szCs w:val="22"/>
          <w:lang w:eastAsia="en-US"/>
        </w:rPr>
      </w:pPr>
    </w:p>
    <w:p w14:paraId="297DA62E" w14:textId="32894E2C" w:rsidR="007004DE" w:rsidRPr="00FB1764" w:rsidRDefault="007004DE" w:rsidP="007004DE">
      <w:pPr>
        <w:spacing w:after="0" w:line="240" w:lineRule="auto"/>
        <w:ind w:left="709" w:right="616"/>
        <w:rPr>
          <w:rFonts w:ascii="Arial" w:hAnsi="Arial" w:cs="Arial"/>
          <w:bCs/>
          <w:sz w:val="22"/>
          <w:szCs w:val="22"/>
          <w:lang w:eastAsia="en-US"/>
        </w:rPr>
      </w:pPr>
      <w:r w:rsidRPr="00FB1764">
        <w:rPr>
          <w:rFonts w:ascii="Arial" w:hAnsi="Arial" w:cs="Arial"/>
          <w:bCs/>
          <w:sz w:val="22"/>
          <w:szCs w:val="22"/>
          <w:lang w:eastAsia="en-US"/>
        </w:rPr>
        <w:t xml:space="preserve">En este contexto, procederá la asignación de puntaje respecto al personal cuya calidad se acredite efectivamente en la oferta o como resultado de la aclaración que la entidad estime satisfactoria en cada caso particular. Por el contrario, cuando alguno de los anexos ofrezca dudas sobre la acreditación de la calidad exigida y la entidad no considere válida la aclaración ofrecida sobre la documentación aportada, dicho personal tampoco podrá tenerse en cuenta para el incentivo. En este caso, la norma analizada no dispone expresamente que el derecho a obtener el puntaje </w:t>
      </w:r>
      <w:r w:rsidRPr="00FB1764">
        <w:rPr>
          <w:rFonts w:ascii="Arial" w:hAnsi="Arial" w:cs="Arial"/>
          <w:bCs/>
          <w:sz w:val="22"/>
          <w:szCs w:val="22"/>
          <w:lang w:eastAsia="en-US"/>
        </w:rPr>
        <w:lastRenderedPageBreak/>
        <w:t>adicional por la vinculación de estos grupos poblacionales se pierda totalmente cuando los documentos referidos a una o varias de las personas, cuya vinculación quiere demostrarse, se anexen a la certificación del representante legal con defectos que impidan comprender el alcance de su contenido.</w:t>
      </w:r>
      <w:r w:rsidR="007D46CB" w:rsidRPr="00FB1764">
        <w:rPr>
          <w:rFonts w:ascii="Arial" w:hAnsi="Arial" w:cs="Arial"/>
          <w:bCs/>
          <w:sz w:val="22"/>
          <w:szCs w:val="22"/>
          <w:lang w:eastAsia="en-US"/>
        </w:rPr>
        <w:t>»</w:t>
      </w:r>
    </w:p>
    <w:p w14:paraId="545D06EC" w14:textId="77777777" w:rsidR="007004DE" w:rsidRDefault="007004DE" w:rsidP="007004DE">
      <w:pPr>
        <w:spacing w:after="0"/>
        <w:rPr>
          <w:rFonts w:ascii="Arial" w:hAnsi="Arial" w:cs="Arial"/>
          <w:bCs/>
          <w:sz w:val="22"/>
          <w:szCs w:val="22"/>
          <w:lang w:eastAsia="en-US"/>
        </w:rPr>
      </w:pPr>
    </w:p>
    <w:p w14:paraId="0FDF8143" w14:textId="77777777" w:rsidR="007004DE" w:rsidRDefault="007004DE" w:rsidP="007004DE">
      <w:pPr>
        <w:spacing w:after="0"/>
        <w:rPr>
          <w:rFonts w:ascii="Arial" w:hAnsi="Arial" w:cs="Arial"/>
          <w:bCs/>
          <w:sz w:val="22"/>
          <w:szCs w:val="22"/>
          <w:lang w:eastAsia="en-US"/>
        </w:rPr>
      </w:pPr>
      <w:r>
        <w:rPr>
          <w:rFonts w:ascii="Arial" w:hAnsi="Arial" w:cs="Arial"/>
          <w:bCs/>
          <w:sz w:val="22"/>
          <w:szCs w:val="22"/>
          <w:lang w:eastAsia="en-US"/>
        </w:rPr>
        <w:t xml:space="preserve">Como puede observarse, tanto las consideraciones del Concepto C-418 de 2022 como las consideraciones del Concepto C-424 de 2022 coinciden, textualmente, en el análisis realizado respecto de la aplicación del </w:t>
      </w:r>
      <w:r w:rsidRPr="00B53EFA">
        <w:rPr>
          <w:rFonts w:ascii="Arial" w:hAnsi="Arial" w:cs="Arial"/>
          <w:sz w:val="22"/>
          <w:szCs w:val="22"/>
        </w:rPr>
        <w:t xml:space="preserve">parágrafo primero del artículo </w:t>
      </w:r>
      <w:r w:rsidRPr="00B53EFA">
        <w:rPr>
          <w:rFonts w:ascii="Arial" w:hAnsi="Arial" w:cs="Arial"/>
          <w:bCs/>
          <w:sz w:val="22"/>
          <w:szCs w:val="22"/>
          <w:shd w:val="clear" w:color="auto" w:fill="FFFFFF"/>
        </w:rPr>
        <w:t>2.1.2.4.2.10 del Decreto 1082 de 2015</w:t>
      </w:r>
      <w:r>
        <w:rPr>
          <w:rFonts w:ascii="Arial" w:hAnsi="Arial" w:cs="Arial"/>
          <w:bCs/>
          <w:sz w:val="22"/>
          <w:szCs w:val="22"/>
          <w:shd w:val="clear" w:color="auto" w:fill="FFFFFF"/>
        </w:rPr>
        <w:t>, adicionado por el artículo 2 del Decreto 1279 de 2021, respecto de los criterios y condiciones para acreditar los supuestos de hecho que permiten acceder al incentivo previsto en la Ley 1920 de 2018 que permite a las entidades contratantes otorgar puntajes adicionales en</w:t>
      </w:r>
      <w:r w:rsidRPr="00B53EFA">
        <w:rPr>
          <w:rFonts w:ascii="Arial" w:hAnsi="Arial" w:cs="Arial"/>
          <w:sz w:val="22"/>
          <w:szCs w:val="22"/>
          <w:shd w:val="clear" w:color="auto" w:fill="FFFFFF"/>
        </w:rPr>
        <w:t xml:space="preserve"> procesos de licitación pública </w:t>
      </w:r>
      <w:r>
        <w:rPr>
          <w:rFonts w:ascii="Arial" w:hAnsi="Arial" w:cs="Arial"/>
          <w:sz w:val="22"/>
          <w:szCs w:val="22"/>
          <w:shd w:val="clear" w:color="auto" w:fill="FFFFFF"/>
        </w:rPr>
        <w:t xml:space="preserve">en los que participen </w:t>
      </w:r>
      <w:r w:rsidRPr="00B53EFA">
        <w:rPr>
          <w:rFonts w:ascii="Arial" w:hAnsi="Arial" w:cs="Arial"/>
          <w:sz w:val="22"/>
          <w:szCs w:val="22"/>
          <w:shd w:val="clear" w:color="auto" w:fill="FFFFFF"/>
        </w:rPr>
        <w:t>empresas y cooperativas de vigilancia y seguridad privada, que en su personal operativo tengan contratados</w:t>
      </w:r>
      <w:r>
        <w:rPr>
          <w:rFonts w:ascii="Arial" w:hAnsi="Arial" w:cs="Arial"/>
          <w:sz w:val="22"/>
          <w:szCs w:val="22"/>
          <w:shd w:val="clear" w:color="auto" w:fill="FFFFFF"/>
        </w:rPr>
        <w:t>,</w:t>
      </w:r>
      <w:r w:rsidRPr="00B53EFA">
        <w:rPr>
          <w:rFonts w:ascii="Arial" w:hAnsi="Arial" w:cs="Arial"/>
          <w:sz w:val="22"/>
          <w:szCs w:val="22"/>
          <w:shd w:val="clear" w:color="auto" w:fill="FFFFFF"/>
        </w:rPr>
        <w:t xml:space="preserve"> con todas las exigencias y garantías legalmente establecidas</w:t>
      </w:r>
      <w:r>
        <w:rPr>
          <w:rFonts w:ascii="Arial" w:hAnsi="Arial" w:cs="Arial"/>
          <w:sz w:val="22"/>
          <w:szCs w:val="22"/>
          <w:shd w:val="clear" w:color="auto" w:fill="FFFFFF"/>
        </w:rPr>
        <w:t>,</w:t>
      </w:r>
      <w:r w:rsidRPr="00B53EFA">
        <w:rPr>
          <w:rFonts w:ascii="Arial" w:hAnsi="Arial" w:cs="Arial"/>
          <w:sz w:val="22"/>
          <w:szCs w:val="22"/>
          <w:shd w:val="clear" w:color="auto" w:fill="FFFFFF"/>
        </w:rPr>
        <w:t xml:space="preserve"> a mujeres, personas con discapacidad y personas mayores de 45 años</w:t>
      </w:r>
      <w:r>
        <w:rPr>
          <w:rFonts w:ascii="Arial" w:hAnsi="Arial" w:cs="Arial"/>
          <w:sz w:val="22"/>
          <w:szCs w:val="22"/>
          <w:shd w:val="clear" w:color="auto" w:fill="FFFFFF"/>
        </w:rPr>
        <w:t xml:space="preserve">. </w:t>
      </w:r>
    </w:p>
    <w:p w14:paraId="0C6EAA54" w14:textId="77777777" w:rsidR="007004DE" w:rsidRDefault="007004DE" w:rsidP="007004DE">
      <w:pPr>
        <w:spacing w:after="0"/>
        <w:rPr>
          <w:rFonts w:ascii="Arial" w:hAnsi="Arial" w:cs="Arial"/>
          <w:bCs/>
          <w:sz w:val="22"/>
          <w:szCs w:val="22"/>
          <w:lang w:eastAsia="en-US"/>
        </w:rPr>
      </w:pPr>
    </w:p>
    <w:p w14:paraId="0C891AD5" w14:textId="63EB2644" w:rsidR="007004DE" w:rsidRDefault="007004DE" w:rsidP="007004DE">
      <w:pPr>
        <w:spacing w:after="0"/>
        <w:ind w:firstLine="720"/>
        <w:rPr>
          <w:rFonts w:ascii="Arial" w:hAnsi="Arial" w:cs="Arial"/>
          <w:bCs/>
          <w:sz w:val="22"/>
          <w:szCs w:val="22"/>
          <w:shd w:val="clear" w:color="auto" w:fill="FFFFFF"/>
        </w:rPr>
      </w:pPr>
      <w:r>
        <w:rPr>
          <w:rFonts w:ascii="Arial" w:hAnsi="Arial" w:cs="Arial"/>
          <w:bCs/>
          <w:sz w:val="22"/>
          <w:szCs w:val="22"/>
          <w:lang w:eastAsia="en-US"/>
        </w:rPr>
        <w:t>Igualmente</w:t>
      </w:r>
      <w:r w:rsidR="007D46CB">
        <w:rPr>
          <w:rFonts w:ascii="Arial" w:hAnsi="Arial" w:cs="Arial"/>
          <w:bCs/>
          <w:sz w:val="22"/>
          <w:szCs w:val="22"/>
          <w:lang w:eastAsia="en-US"/>
        </w:rPr>
        <w:t>,</w:t>
      </w:r>
      <w:r>
        <w:rPr>
          <w:rFonts w:ascii="Arial" w:hAnsi="Arial" w:cs="Arial"/>
          <w:bCs/>
          <w:sz w:val="22"/>
          <w:szCs w:val="22"/>
          <w:lang w:eastAsia="en-US"/>
        </w:rPr>
        <w:t xml:space="preserve"> en ambos pronunciamientos se concluyó que </w:t>
      </w:r>
      <w:r w:rsidRPr="00B53EFA">
        <w:rPr>
          <w:rFonts w:ascii="Arial" w:hAnsi="Arial" w:cs="Arial"/>
          <w:bCs/>
          <w:sz w:val="22"/>
          <w:szCs w:val="22"/>
          <w:shd w:val="clear" w:color="auto" w:fill="FFFFFF"/>
        </w:rPr>
        <w:t>«</w:t>
      </w:r>
      <w:r w:rsidRPr="00FB1764">
        <w:rPr>
          <w:rFonts w:ascii="Arial" w:hAnsi="Arial" w:cs="Arial"/>
          <w:bCs/>
          <w:i/>
          <w:iCs/>
          <w:sz w:val="22"/>
          <w:szCs w:val="22"/>
          <w:shd w:val="clear" w:color="auto" w:fill="FFFFFF"/>
        </w:rPr>
        <w:t>sobre la base del criterio hermenéutico de acuerdo con el cual «el sentido en que una norma produce algún efecto se prefiere sobre aquel en que no produzca efecto alguno»,</w:t>
      </w:r>
      <w:r w:rsidRPr="00B53EFA">
        <w:rPr>
          <w:rFonts w:ascii="Arial" w:hAnsi="Arial" w:cs="Arial"/>
          <w:bCs/>
          <w:sz w:val="22"/>
          <w:szCs w:val="22"/>
          <w:shd w:val="clear" w:color="auto" w:fill="FFFFFF"/>
        </w:rPr>
        <w:t xml:space="preserve"> el </w:t>
      </w:r>
      <w:r w:rsidR="007D46CB">
        <w:rPr>
          <w:rFonts w:ascii="Arial" w:hAnsi="Arial" w:cs="Arial"/>
          <w:bCs/>
          <w:sz w:val="22"/>
          <w:szCs w:val="22"/>
          <w:shd w:val="clear" w:color="auto" w:fill="FFFFFF"/>
        </w:rPr>
        <w:t>D</w:t>
      </w:r>
      <w:r w:rsidRPr="00B53EFA">
        <w:rPr>
          <w:rFonts w:ascii="Arial" w:hAnsi="Arial" w:cs="Arial"/>
          <w:bCs/>
          <w:sz w:val="22"/>
          <w:szCs w:val="22"/>
          <w:shd w:val="clear" w:color="auto" w:fill="FFFFFF"/>
        </w:rPr>
        <w:t xml:space="preserve">ecreto reglamentario exige una simetría entre el número de personas certificadas y la relación del personal operativo, por un lado, y los anexos que acreditan las condiciones dispuestas en la norma, por otro. </w:t>
      </w:r>
    </w:p>
    <w:p w14:paraId="02D70758" w14:textId="77777777" w:rsidR="007004DE" w:rsidRDefault="007004DE" w:rsidP="007004DE">
      <w:pPr>
        <w:spacing w:after="0"/>
        <w:ind w:firstLine="720"/>
        <w:rPr>
          <w:rFonts w:ascii="Arial" w:hAnsi="Arial" w:cs="Arial"/>
          <w:bCs/>
          <w:sz w:val="22"/>
          <w:szCs w:val="22"/>
          <w:shd w:val="clear" w:color="auto" w:fill="FFFFFF"/>
        </w:rPr>
      </w:pPr>
    </w:p>
    <w:p w14:paraId="0E4163A8" w14:textId="4F27E9B3" w:rsidR="007004DE" w:rsidRDefault="007004DE" w:rsidP="007004DE">
      <w:pPr>
        <w:spacing w:after="0"/>
        <w:ind w:firstLine="720"/>
        <w:rPr>
          <w:rFonts w:ascii="Arial" w:hAnsi="Arial" w:cs="Arial"/>
          <w:bCs/>
          <w:sz w:val="22"/>
          <w:szCs w:val="22"/>
          <w:shd w:val="clear" w:color="auto" w:fill="FFFFFF"/>
        </w:rPr>
      </w:pPr>
      <w:r w:rsidRPr="00B53EFA">
        <w:rPr>
          <w:rFonts w:ascii="Arial" w:hAnsi="Arial" w:cs="Arial"/>
          <w:sz w:val="22"/>
          <w:szCs w:val="22"/>
        </w:rPr>
        <w:t xml:space="preserve">De acuerdo con el parágrafo primero del artículo </w:t>
      </w:r>
      <w:r w:rsidRPr="00B53EFA">
        <w:rPr>
          <w:rFonts w:ascii="Arial" w:hAnsi="Arial" w:cs="Arial"/>
          <w:bCs/>
          <w:sz w:val="22"/>
          <w:szCs w:val="22"/>
          <w:shd w:val="clear" w:color="auto" w:fill="FFFFFF"/>
        </w:rPr>
        <w:t>2.1.2.4.2.10 del Decreto 1082 de 2015, el otorgamiento del incentivo requiere la concurrencia de los documentos descritos</w:t>
      </w:r>
      <w:r>
        <w:rPr>
          <w:rFonts w:ascii="Arial" w:hAnsi="Arial" w:cs="Arial"/>
          <w:bCs/>
          <w:sz w:val="22"/>
          <w:szCs w:val="22"/>
          <w:shd w:val="clear" w:color="auto" w:fill="FFFFFF"/>
        </w:rPr>
        <w:t xml:space="preserve">, por lo que ambos conceptos son coincidentes en afirmar que </w:t>
      </w:r>
      <w:r w:rsidRPr="00B53EFA">
        <w:rPr>
          <w:rFonts w:ascii="Arial" w:hAnsi="Arial" w:cs="Arial"/>
          <w:bCs/>
          <w:sz w:val="22"/>
          <w:szCs w:val="22"/>
          <w:shd w:val="clear" w:color="auto" w:fill="FFFFFF"/>
        </w:rPr>
        <w:t xml:space="preserve">no podrá asignarse puntaje en relación con personas respecto de las cuales no se pruebe el cumplimiento de todos los requisitos exigidos en </w:t>
      </w:r>
      <w:r>
        <w:rPr>
          <w:rFonts w:ascii="Arial" w:hAnsi="Arial" w:cs="Arial"/>
          <w:bCs/>
          <w:sz w:val="22"/>
          <w:szCs w:val="22"/>
          <w:shd w:val="clear" w:color="auto" w:fill="FFFFFF"/>
        </w:rPr>
        <w:t>el referido parágrafo, es decir, que</w:t>
      </w:r>
      <w:r w:rsidRPr="00B53EFA">
        <w:rPr>
          <w:rFonts w:ascii="Arial" w:hAnsi="Arial" w:cs="Arial"/>
          <w:bCs/>
          <w:sz w:val="22"/>
          <w:szCs w:val="22"/>
          <w:shd w:val="clear" w:color="auto" w:fill="FFFFFF"/>
        </w:rPr>
        <w:t xml:space="preserve"> solo es posible validar los anexos en la cantidad y respecto </w:t>
      </w:r>
      <w:r>
        <w:rPr>
          <w:rFonts w:ascii="Arial" w:hAnsi="Arial" w:cs="Arial"/>
          <w:bCs/>
          <w:sz w:val="22"/>
          <w:szCs w:val="22"/>
          <w:shd w:val="clear" w:color="auto" w:fill="FFFFFF"/>
        </w:rPr>
        <w:t>de</w:t>
      </w:r>
      <w:r w:rsidRPr="00B53EFA">
        <w:rPr>
          <w:rFonts w:ascii="Arial" w:hAnsi="Arial" w:cs="Arial"/>
          <w:bCs/>
          <w:sz w:val="22"/>
          <w:szCs w:val="22"/>
          <w:shd w:val="clear" w:color="auto" w:fill="FFFFFF"/>
        </w:rPr>
        <w:t xml:space="preserve"> las personas que se relacionaron en la certificación del representante legal</w:t>
      </w:r>
      <w:r>
        <w:rPr>
          <w:rFonts w:ascii="Arial" w:hAnsi="Arial" w:cs="Arial"/>
          <w:bCs/>
          <w:sz w:val="22"/>
          <w:szCs w:val="22"/>
          <w:shd w:val="clear" w:color="auto" w:fill="FFFFFF"/>
        </w:rPr>
        <w:t>, para efectos de que haya coincidencia entre este último documento y los documentos anexos que le sirven de complemento, tal y como lo dispone el menado parágrafo.</w:t>
      </w:r>
    </w:p>
    <w:p w14:paraId="7D98EFB5" w14:textId="77777777" w:rsidR="007004DE" w:rsidRDefault="007004DE" w:rsidP="007004DE">
      <w:pPr>
        <w:spacing w:after="0"/>
        <w:rPr>
          <w:rFonts w:ascii="Arial" w:hAnsi="Arial" w:cs="Arial"/>
          <w:bCs/>
          <w:sz w:val="22"/>
          <w:szCs w:val="22"/>
          <w:shd w:val="clear" w:color="auto" w:fill="FFFFFF"/>
        </w:rPr>
      </w:pPr>
    </w:p>
    <w:p w14:paraId="6F30F520" w14:textId="77777777" w:rsidR="007004DE" w:rsidRPr="00DE4A94" w:rsidRDefault="007004DE" w:rsidP="007004DE">
      <w:pPr>
        <w:spacing w:after="0"/>
        <w:rPr>
          <w:rFonts w:ascii="Arial" w:hAnsi="Arial" w:cs="Arial"/>
          <w:bCs/>
          <w:sz w:val="22"/>
          <w:szCs w:val="22"/>
          <w:lang w:eastAsia="en-US"/>
        </w:rPr>
      </w:pPr>
      <w:r>
        <w:rPr>
          <w:rFonts w:ascii="Arial" w:hAnsi="Arial" w:cs="Arial"/>
          <w:bCs/>
          <w:sz w:val="22"/>
          <w:szCs w:val="22"/>
          <w:shd w:val="clear" w:color="auto" w:fill="FFFFFF"/>
        </w:rPr>
        <w:t xml:space="preserve">Por lo anterior, esta Subdirección no encuentra justificada la alegada contraposición deducida por el peticionario de la consulta, en vista de que las tesis expuestas en los referidos conceptos sobre el mismo tema son totalmente coincidentes  </w:t>
      </w:r>
      <w:r>
        <w:rPr>
          <w:rFonts w:ascii="Arial" w:hAnsi="Arial" w:cs="Arial"/>
          <w:bCs/>
          <w:sz w:val="22"/>
          <w:szCs w:val="22"/>
          <w:lang w:eastAsia="en-US"/>
        </w:rPr>
        <w:t xml:space="preserve">   </w:t>
      </w:r>
    </w:p>
    <w:p w14:paraId="4438CEED" w14:textId="77777777" w:rsidR="007004DE" w:rsidRPr="003C2788" w:rsidRDefault="007004DE" w:rsidP="007004DE">
      <w:pPr>
        <w:tabs>
          <w:tab w:val="left" w:pos="0"/>
          <w:tab w:val="left" w:pos="8577"/>
        </w:tabs>
        <w:spacing w:after="0"/>
        <w:ind w:firstLine="709"/>
        <w:rPr>
          <w:rFonts w:ascii="Arial" w:eastAsia="Arial" w:hAnsi="Arial" w:cs="Arial"/>
          <w:color w:val="FFFFFF" w:themeColor="background1"/>
          <w:sz w:val="22"/>
          <w:szCs w:val="22"/>
        </w:rPr>
      </w:pPr>
    </w:p>
    <w:p w14:paraId="52672F24" w14:textId="77777777" w:rsidR="007004DE" w:rsidRPr="003C2788" w:rsidRDefault="007004DE" w:rsidP="007004DE">
      <w:pPr>
        <w:tabs>
          <w:tab w:val="left" w:pos="0"/>
          <w:tab w:val="left" w:pos="8577"/>
        </w:tabs>
        <w:spacing w:after="0"/>
        <w:rPr>
          <w:rFonts w:ascii="Arial" w:eastAsia="Arial" w:hAnsi="Arial" w:cs="Arial"/>
          <w:b/>
          <w:color w:val="000000"/>
          <w:sz w:val="22"/>
          <w:szCs w:val="22"/>
        </w:rPr>
      </w:pPr>
      <w:r>
        <w:rPr>
          <w:rFonts w:ascii="Arial" w:eastAsia="Arial" w:hAnsi="Arial" w:cs="Arial"/>
          <w:b/>
          <w:color w:val="000000"/>
          <w:sz w:val="22"/>
          <w:szCs w:val="22"/>
        </w:rPr>
        <w:t xml:space="preserve">3. </w:t>
      </w:r>
      <w:r w:rsidRPr="003C2788">
        <w:rPr>
          <w:rFonts w:ascii="Arial" w:eastAsia="Arial" w:hAnsi="Arial" w:cs="Arial"/>
          <w:b/>
          <w:color w:val="000000"/>
          <w:sz w:val="22"/>
          <w:szCs w:val="22"/>
        </w:rPr>
        <w:t>Respuesta</w:t>
      </w:r>
    </w:p>
    <w:p w14:paraId="5B885823" w14:textId="77777777" w:rsidR="007004DE" w:rsidRPr="003C2788" w:rsidRDefault="007004DE" w:rsidP="007004DE">
      <w:pPr>
        <w:spacing w:after="0"/>
        <w:ind w:left="709" w:right="709"/>
        <w:rPr>
          <w:rFonts w:ascii="Arial" w:eastAsia="Arial" w:hAnsi="Arial" w:cs="Arial"/>
          <w:color w:val="000000"/>
          <w:sz w:val="21"/>
          <w:szCs w:val="21"/>
        </w:rPr>
      </w:pPr>
    </w:p>
    <w:p w14:paraId="18AA0B50" w14:textId="77777777" w:rsidR="007004DE" w:rsidRPr="00FB1764" w:rsidRDefault="007004DE" w:rsidP="007004DE">
      <w:pPr>
        <w:spacing w:after="0"/>
        <w:ind w:left="709"/>
        <w:rPr>
          <w:rFonts w:ascii="Arial" w:eastAsia="Arial" w:hAnsi="Arial" w:cs="Arial"/>
          <w:i/>
          <w:iCs/>
          <w:color w:val="000000"/>
          <w:sz w:val="21"/>
          <w:szCs w:val="21"/>
        </w:rPr>
      </w:pPr>
      <w:bookmarkStart w:id="3" w:name="_2grqrue" w:colFirst="0" w:colLast="0"/>
      <w:bookmarkEnd w:id="3"/>
      <w:r w:rsidRPr="006554E3">
        <w:rPr>
          <w:rFonts w:ascii="Arial" w:eastAsia="Arial" w:hAnsi="Arial" w:cs="Arial"/>
          <w:color w:val="000000"/>
          <w:sz w:val="21"/>
          <w:szCs w:val="21"/>
        </w:rPr>
        <w:t>«</w:t>
      </w:r>
      <w:r w:rsidRPr="00FB1764">
        <w:rPr>
          <w:rFonts w:ascii="Arial" w:eastAsia="Arial" w:hAnsi="Arial" w:cs="Arial"/>
          <w:i/>
          <w:iCs/>
          <w:color w:val="000000"/>
          <w:sz w:val="21"/>
          <w:szCs w:val="21"/>
        </w:rPr>
        <w:t>[...] Pero para que al menos haya unidad de criterio en relación con sus pronunciamientos de manera respetuosa se solicita unificar un solo pronunciamiento en relación al incentivo contractual establecido por la Ley 1920 de 2018, reglamentado por el Decreto 1279 de 2021.»</w:t>
      </w:r>
    </w:p>
    <w:p w14:paraId="4E80B24F" w14:textId="77777777" w:rsidR="007004DE" w:rsidRPr="003C2788" w:rsidRDefault="007004DE" w:rsidP="007004DE">
      <w:pPr>
        <w:spacing w:after="0"/>
        <w:rPr>
          <w:rFonts w:ascii="Arial" w:eastAsia="Arial" w:hAnsi="Arial" w:cs="Arial"/>
          <w:color w:val="000000"/>
          <w:sz w:val="21"/>
          <w:szCs w:val="21"/>
        </w:rPr>
      </w:pPr>
    </w:p>
    <w:p w14:paraId="3A456E05" w14:textId="493D608D" w:rsidR="007004DE" w:rsidRPr="006554E3" w:rsidRDefault="007004DE" w:rsidP="007004DE">
      <w:pPr>
        <w:spacing w:after="0"/>
        <w:rPr>
          <w:rFonts w:ascii="Arial" w:eastAsia="Arial" w:hAnsi="Arial" w:cs="Arial"/>
          <w:color w:val="000000"/>
          <w:sz w:val="22"/>
          <w:szCs w:val="22"/>
        </w:rPr>
      </w:pPr>
      <w:r>
        <w:rPr>
          <w:rFonts w:ascii="Arial" w:eastAsia="Arial" w:hAnsi="Arial" w:cs="Arial"/>
          <w:color w:val="000000"/>
          <w:sz w:val="22"/>
          <w:szCs w:val="22"/>
        </w:rPr>
        <w:t>Una vez revisado el contenido de los conceptos referidos en la consulta, se concluye que t</w:t>
      </w:r>
      <w:r w:rsidRPr="006554E3">
        <w:rPr>
          <w:rFonts w:ascii="Arial" w:eastAsia="Arial" w:hAnsi="Arial" w:cs="Arial"/>
          <w:color w:val="000000"/>
          <w:sz w:val="22"/>
          <w:szCs w:val="22"/>
        </w:rPr>
        <w:t xml:space="preserve">anto las consideraciones del Concepto C-418 de 2022 como del Concepto C-424 de 2022 coinciden, textualmente, en el análisis realizado respecto de la aplicación del parágrafo primero del artículo 2.1.2.4.2.10 del Decreto 1082 de 2015, adicionado por el artículo 2 del Decreto 1279 de 2021, respecto de los criterios y condiciones para acreditar los supuestos de hecho que permiten acceder al incentivo previsto en la Ley 1920 de 2018 que permite a las entidades contratantes otorgar puntajes adicionales en procesos de licitación pública en los que participen empresas y cooperativas de vigilancia y seguridad privada, que en su personal operativo tengan contratados, con todas las exigencias y garantías legalmente establecidas, a mujeres, personas con discapacidad y personas mayores de 45 años. </w:t>
      </w:r>
    </w:p>
    <w:p w14:paraId="149A902F" w14:textId="77777777" w:rsidR="007004DE" w:rsidRPr="006554E3" w:rsidRDefault="007004DE" w:rsidP="007004DE">
      <w:pPr>
        <w:spacing w:after="0"/>
        <w:rPr>
          <w:rFonts w:ascii="Arial" w:eastAsia="Arial" w:hAnsi="Arial" w:cs="Arial"/>
          <w:color w:val="000000"/>
          <w:sz w:val="22"/>
          <w:szCs w:val="22"/>
        </w:rPr>
      </w:pPr>
    </w:p>
    <w:p w14:paraId="089A10CD" w14:textId="14BCACAE" w:rsidR="007004DE" w:rsidRPr="006554E3" w:rsidRDefault="007004DE" w:rsidP="007004DE">
      <w:pPr>
        <w:spacing w:after="0"/>
        <w:ind w:firstLine="720"/>
        <w:rPr>
          <w:rFonts w:ascii="Arial" w:eastAsia="Arial" w:hAnsi="Arial" w:cs="Arial"/>
          <w:color w:val="000000"/>
          <w:sz w:val="22"/>
          <w:szCs w:val="22"/>
        </w:rPr>
      </w:pPr>
      <w:r w:rsidRPr="006554E3">
        <w:rPr>
          <w:rFonts w:ascii="Arial" w:eastAsia="Arial" w:hAnsi="Arial" w:cs="Arial"/>
          <w:color w:val="000000"/>
          <w:sz w:val="22"/>
          <w:szCs w:val="22"/>
        </w:rPr>
        <w:t>Igualmente</w:t>
      </w:r>
      <w:r w:rsidR="007D46CB">
        <w:rPr>
          <w:rFonts w:ascii="Arial" w:eastAsia="Arial" w:hAnsi="Arial" w:cs="Arial"/>
          <w:color w:val="000000"/>
          <w:sz w:val="22"/>
          <w:szCs w:val="22"/>
        </w:rPr>
        <w:t>,</w:t>
      </w:r>
      <w:r w:rsidRPr="006554E3">
        <w:rPr>
          <w:rFonts w:ascii="Arial" w:eastAsia="Arial" w:hAnsi="Arial" w:cs="Arial"/>
          <w:color w:val="000000"/>
          <w:sz w:val="22"/>
          <w:szCs w:val="22"/>
        </w:rPr>
        <w:t xml:space="preserve"> en ambos pronunciamientos se concluyó sobre la base del criterio hermenéutico de acuerdo con el cual «el sentido en que una norma produce algún efecto se prefiere sobre aquel en que no produzca efecto alguno, </w:t>
      </w:r>
      <w:r w:rsidR="007D46CB">
        <w:rPr>
          <w:rFonts w:ascii="Arial" w:eastAsia="Arial" w:hAnsi="Arial" w:cs="Arial"/>
          <w:color w:val="000000"/>
          <w:sz w:val="22"/>
          <w:szCs w:val="22"/>
        </w:rPr>
        <w:t xml:space="preserve">por lo tanto, si </w:t>
      </w:r>
      <w:r w:rsidRPr="006554E3">
        <w:rPr>
          <w:rFonts w:ascii="Arial" w:eastAsia="Arial" w:hAnsi="Arial" w:cs="Arial"/>
          <w:color w:val="000000"/>
          <w:sz w:val="22"/>
          <w:szCs w:val="22"/>
        </w:rPr>
        <w:t xml:space="preserve">el </w:t>
      </w:r>
      <w:r w:rsidR="007D46CB">
        <w:rPr>
          <w:rFonts w:ascii="Arial" w:eastAsia="Arial" w:hAnsi="Arial" w:cs="Arial"/>
          <w:color w:val="000000"/>
          <w:sz w:val="22"/>
          <w:szCs w:val="22"/>
        </w:rPr>
        <w:t>D</w:t>
      </w:r>
      <w:r w:rsidRPr="006554E3">
        <w:rPr>
          <w:rFonts w:ascii="Arial" w:eastAsia="Arial" w:hAnsi="Arial" w:cs="Arial"/>
          <w:color w:val="000000"/>
          <w:sz w:val="22"/>
          <w:szCs w:val="22"/>
        </w:rPr>
        <w:t>ecreto reglamentario exige una simetría entre el número de personas certificadas y la relación del personal operativo, por un lado, y los anexos que acreditan las condiciones dispuestas en la norma, por otro</w:t>
      </w:r>
      <w:r w:rsidR="007D46CB">
        <w:rPr>
          <w:rFonts w:ascii="Arial" w:eastAsia="Arial" w:hAnsi="Arial" w:cs="Arial"/>
          <w:color w:val="000000"/>
          <w:sz w:val="22"/>
          <w:szCs w:val="22"/>
        </w:rPr>
        <w:t>, estos se deben acreditar al momento de la presentación de la oferta</w:t>
      </w:r>
      <w:r w:rsidRPr="006554E3">
        <w:rPr>
          <w:rFonts w:ascii="Arial" w:eastAsia="Arial" w:hAnsi="Arial" w:cs="Arial"/>
          <w:color w:val="000000"/>
          <w:sz w:val="22"/>
          <w:szCs w:val="22"/>
        </w:rPr>
        <w:t xml:space="preserve">. </w:t>
      </w:r>
    </w:p>
    <w:p w14:paraId="19834504" w14:textId="77777777" w:rsidR="007004DE" w:rsidRPr="006554E3" w:rsidRDefault="007004DE" w:rsidP="007004DE">
      <w:pPr>
        <w:spacing w:after="0"/>
        <w:rPr>
          <w:rFonts w:ascii="Arial" w:eastAsia="Arial" w:hAnsi="Arial" w:cs="Arial"/>
          <w:color w:val="000000"/>
          <w:sz w:val="22"/>
          <w:szCs w:val="22"/>
        </w:rPr>
      </w:pPr>
    </w:p>
    <w:p w14:paraId="5BFB7B4D" w14:textId="246F0131" w:rsidR="007004DE" w:rsidRPr="006554E3" w:rsidRDefault="007D46CB" w:rsidP="007004DE">
      <w:pPr>
        <w:spacing w:after="0"/>
        <w:ind w:firstLine="720"/>
        <w:rPr>
          <w:rFonts w:ascii="Arial" w:eastAsia="Arial" w:hAnsi="Arial" w:cs="Arial"/>
          <w:color w:val="000000"/>
          <w:sz w:val="22"/>
          <w:szCs w:val="22"/>
        </w:rPr>
      </w:pPr>
      <w:r>
        <w:rPr>
          <w:rFonts w:ascii="Arial" w:eastAsia="Arial" w:hAnsi="Arial" w:cs="Arial"/>
          <w:color w:val="000000"/>
          <w:sz w:val="22"/>
          <w:szCs w:val="22"/>
        </w:rPr>
        <w:t xml:space="preserve">Lo anterior, teniendo en cuenta que </w:t>
      </w:r>
      <w:r w:rsidR="007004DE" w:rsidRPr="006554E3">
        <w:rPr>
          <w:rFonts w:ascii="Arial" w:eastAsia="Arial" w:hAnsi="Arial" w:cs="Arial"/>
          <w:color w:val="000000"/>
          <w:sz w:val="22"/>
          <w:szCs w:val="22"/>
        </w:rPr>
        <w:t xml:space="preserve">el parágrafo primero del artículo 2.1.2.4.2.10 del Decreto 1082 de 2015, </w:t>
      </w:r>
      <w:r>
        <w:rPr>
          <w:rFonts w:ascii="Arial" w:eastAsia="Arial" w:hAnsi="Arial" w:cs="Arial"/>
          <w:color w:val="000000"/>
          <w:sz w:val="22"/>
          <w:szCs w:val="22"/>
        </w:rPr>
        <w:t xml:space="preserve">indicó que </w:t>
      </w:r>
      <w:r w:rsidR="007004DE" w:rsidRPr="006554E3">
        <w:rPr>
          <w:rFonts w:ascii="Arial" w:eastAsia="Arial" w:hAnsi="Arial" w:cs="Arial"/>
          <w:color w:val="000000"/>
          <w:sz w:val="22"/>
          <w:szCs w:val="22"/>
        </w:rPr>
        <w:t>el otorgamiento del incentivo requiere la concurrencia de los documentos descritos, por lo que ambos conceptos son coincidentes en afirmar que no podrá asignarse puntaje en relación con personas respecto de las cuales no se pruebe el cumplimiento de todos los requisitos exigidos en el referido parágrafo, es decir, que solo es posible validar los anexos en la cantidad y respecto de las personas que se relacionaron en la certificación del representante legal, para efectos de que haya coincidencia entre este último documento y los documentos anexos que le sirven de complemento, tal y como lo dispone el menado parágrafo.</w:t>
      </w:r>
    </w:p>
    <w:p w14:paraId="59B61270" w14:textId="77777777" w:rsidR="007004DE" w:rsidRPr="006554E3" w:rsidRDefault="007004DE" w:rsidP="007004DE">
      <w:pPr>
        <w:spacing w:after="0"/>
        <w:rPr>
          <w:rFonts w:ascii="Arial" w:eastAsia="Arial" w:hAnsi="Arial" w:cs="Arial"/>
          <w:color w:val="000000"/>
          <w:sz w:val="22"/>
          <w:szCs w:val="22"/>
        </w:rPr>
      </w:pPr>
    </w:p>
    <w:p w14:paraId="38EE27E2" w14:textId="77777777" w:rsidR="007004DE" w:rsidRDefault="007004DE" w:rsidP="007004DE">
      <w:pPr>
        <w:spacing w:after="0"/>
        <w:ind w:firstLine="720"/>
        <w:rPr>
          <w:rFonts w:ascii="Arial" w:eastAsia="Arial" w:hAnsi="Arial" w:cs="Arial"/>
          <w:color w:val="000000"/>
          <w:sz w:val="22"/>
          <w:szCs w:val="22"/>
        </w:rPr>
      </w:pPr>
      <w:r w:rsidRPr="006554E3">
        <w:rPr>
          <w:rFonts w:ascii="Arial" w:eastAsia="Arial" w:hAnsi="Arial" w:cs="Arial"/>
          <w:color w:val="000000"/>
          <w:sz w:val="22"/>
          <w:szCs w:val="22"/>
        </w:rPr>
        <w:t>Por lo anterior, esta Subdirección no encuentra justificada la alegada contraposición deducida por el peticionario de la consulta, en vista de que las tesis expuestas en los referidos conceptos sobre el mismo tema son totalmente coincidentes</w:t>
      </w:r>
      <w:r>
        <w:rPr>
          <w:rFonts w:ascii="Arial" w:eastAsia="Arial" w:hAnsi="Arial" w:cs="Arial"/>
          <w:color w:val="000000"/>
          <w:sz w:val="22"/>
          <w:szCs w:val="22"/>
        </w:rPr>
        <w:t>.</w:t>
      </w:r>
    </w:p>
    <w:p w14:paraId="237CD0BC" w14:textId="77777777" w:rsidR="007004DE" w:rsidRDefault="007004DE" w:rsidP="007004DE">
      <w:pPr>
        <w:spacing w:after="0"/>
        <w:ind w:firstLine="720"/>
        <w:rPr>
          <w:rFonts w:ascii="Arial" w:eastAsia="Arial" w:hAnsi="Arial" w:cs="Arial"/>
          <w:color w:val="000000"/>
          <w:sz w:val="22"/>
          <w:szCs w:val="22"/>
        </w:rPr>
      </w:pPr>
      <w:r w:rsidRPr="006554E3">
        <w:rPr>
          <w:rFonts w:ascii="Arial" w:eastAsia="Arial" w:hAnsi="Arial" w:cs="Arial"/>
          <w:color w:val="000000"/>
          <w:sz w:val="22"/>
          <w:szCs w:val="22"/>
        </w:rPr>
        <w:t xml:space="preserve">     </w:t>
      </w:r>
    </w:p>
    <w:p w14:paraId="066088A7" w14:textId="518D8533" w:rsidR="007004DE" w:rsidRPr="006A06F2" w:rsidRDefault="007004DE" w:rsidP="007004DE">
      <w:pPr>
        <w:spacing w:after="0"/>
        <w:rPr>
          <w:rFonts w:ascii="Arial" w:eastAsia="Arial" w:hAnsi="Arial" w:cs="Arial"/>
          <w:color w:val="000000"/>
          <w:sz w:val="22"/>
          <w:szCs w:val="22"/>
        </w:rPr>
      </w:pPr>
      <w:r w:rsidRPr="006A06F2">
        <w:rPr>
          <w:rFonts w:ascii="Arial" w:eastAsia="Arial" w:hAnsi="Arial" w:cs="Arial"/>
          <w:color w:val="000000"/>
          <w:sz w:val="22"/>
          <w:szCs w:val="22"/>
        </w:rPr>
        <w:t>Este concepto tiene el alcance previsto en el artículo 28 del Código de Procedimiento Administrativo y de lo Contencioso Administrativo</w:t>
      </w:r>
      <w:r w:rsidR="007D46CB">
        <w:rPr>
          <w:rFonts w:ascii="Arial" w:eastAsia="Arial" w:hAnsi="Arial" w:cs="Arial"/>
          <w:color w:val="000000"/>
          <w:sz w:val="22"/>
          <w:szCs w:val="22"/>
        </w:rPr>
        <w:t xml:space="preserve"> </w:t>
      </w:r>
      <w:r w:rsidR="007D46CB">
        <w:rPr>
          <w:rFonts w:ascii="Arial" w:hAnsi="Arial" w:cs="Arial"/>
          <w:bCs/>
          <w:color w:val="000000" w:themeColor="text1"/>
          <w:sz w:val="22"/>
          <w:szCs w:val="22"/>
          <w:lang w:eastAsia="en-US"/>
        </w:rPr>
        <w:t xml:space="preserve">y </w:t>
      </w:r>
      <w:r w:rsidR="007D46CB">
        <w:rPr>
          <w:rFonts w:ascii="Arial" w:hAnsi="Arial" w:cs="Arial"/>
          <w:sz w:val="22"/>
          <w:szCs w:val="22"/>
          <w:lang w:eastAsia="en-US"/>
        </w:rPr>
        <w:t>l</w:t>
      </w:r>
      <w:r w:rsidR="007D46CB" w:rsidRPr="00301C53">
        <w:rPr>
          <w:rFonts w:ascii="Arial" w:hAnsi="Arial" w:cs="Arial"/>
          <w:sz w:val="22"/>
          <w:szCs w:val="22"/>
          <w:lang w:eastAsia="en-US"/>
        </w:rPr>
        <w:t xml:space="preserve">as expresiones aquí utilizadas con mayúscula inicial deben ser entendidas con el significado que </w:t>
      </w:r>
      <w:r w:rsidR="007D46CB">
        <w:rPr>
          <w:rFonts w:ascii="Arial" w:hAnsi="Arial" w:cs="Arial"/>
          <w:sz w:val="22"/>
          <w:szCs w:val="22"/>
          <w:lang w:eastAsia="en-US"/>
        </w:rPr>
        <w:t xml:space="preserve">les otorga el artículo </w:t>
      </w:r>
      <w:r w:rsidR="007D46CB" w:rsidRPr="00301C53">
        <w:rPr>
          <w:rFonts w:ascii="Arial" w:hAnsi="Arial" w:cs="Arial"/>
          <w:sz w:val="22"/>
          <w:szCs w:val="22"/>
          <w:lang w:eastAsia="en-US"/>
        </w:rPr>
        <w:t>2.2.1.1.1.3.1.</w:t>
      </w:r>
      <w:r w:rsidR="007D46CB">
        <w:rPr>
          <w:rFonts w:ascii="Arial" w:hAnsi="Arial" w:cs="Arial"/>
          <w:sz w:val="22"/>
          <w:szCs w:val="22"/>
          <w:lang w:eastAsia="en-US"/>
        </w:rPr>
        <w:t xml:space="preserve"> del Decreto 1082 de 2015</w:t>
      </w:r>
    </w:p>
    <w:p w14:paraId="406725AA" w14:textId="77777777" w:rsidR="007004DE" w:rsidRDefault="007004DE" w:rsidP="007004DE">
      <w:pPr>
        <w:spacing w:after="0"/>
        <w:rPr>
          <w:rFonts w:ascii="Arial" w:eastAsia="Arial" w:hAnsi="Arial" w:cs="Arial"/>
          <w:color w:val="000000"/>
          <w:sz w:val="22"/>
          <w:szCs w:val="22"/>
        </w:rPr>
      </w:pPr>
    </w:p>
    <w:p w14:paraId="501CD109" w14:textId="77777777" w:rsidR="007004DE" w:rsidRPr="00C479B0" w:rsidRDefault="007004DE" w:rsidP="007004DE">
      <w:pPr>
        <w:spacing w:after="0"/>
        <w:rPr>
          <w:rFonts w:ascii="Arial" w:eastAsia="Arial" w:hAnsi="Arial" w:cs="Arial"/>
          <w:color w:val="000000"/>
          <w:sz w:val="22"/>
          <w:szCs w:val="22"/>
        </w:rPr>
      </w:pPr>
      <w:r w:rsidRPr="00C479B0">
        <w:rPr>
          <w:rFonts w:ascii="Arial" w:eastAsia="Arial" w:hAnsi="Arial" w:cs="Arial"/>
          <w:color w:val="000000"/>
          <w:sz w:val="22"/>
          <w:szCs w:val="22"/>
        </w:rPr>
        <w:t>Atentamente,</w:t>
      </w:r>
    </w:p>
    <w:p w14:paraId="7C8C1DC8" w14:textId="17C297DE" w:rsidR="007004DE" w:rsidRDefault="00662D3E" w:rsidP="007004DE">
      <w:pPr>
        <w:spacing w:after="0"/>
        <w:jc w:val="center"/>
        <w:rPr>
          <w:rFonts w:ascii="Arial" w:eastAsia="Arial" w:hAnsi="Arial" w:cs="Arial"/>
          <w:color w:val="000000"/>
          <w:sz w:val="22"/>
          <w:szCs w:val="22"/>
        </w:rPr>
      </w:pPr>
      <w:r>
        <w:rPr>
          <w:noProof/>
        </w:rPr>
        <w:lastRenderedPageBreak/>
        <w:drawing>
          <wp:inline distT="0" distB="0" distL="0" distR="0" wp14:anchorId="1F48E855" wp14:editId="4B05BFB3">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8"/>
                    <a:stretch>
                      <a:fillRect/>
                    </a:stretch>
                  </pic:blipFill>
                  <pic:spPr>
                    <a:xfrm>
                      <a:off x="0" y="0"/>
                      <a:ext cx="2785707" cy="1068836"/>
                    </a:xfrm>
                    <a:prstGeom prst="rect">
                      <a:avLst/>
                    </a:prstGeom>
                  </pic:spPr>
                </pic:pic>
              </a:graphicData>
            </a:graphic>
          </wp:inline>
        </w:drawing>
      </w:r>
    </w:p>
    <w:p w14:paraId="1ED8E5BC" w14:textId="77777777" w:rsidR="007004DE" w:rsidRPr="00CB3615" w:rsidRDefault="007004DE" w:rsidP="00662D3E">
      <w:pPr>
        <w:rPr>
          <w:rFonts w:ascii="Arial" w:eastAsia="Times New Roman" w:hAnsi="Arial" w:cs="Arial"/>
          <w:sz w:val="22"/>
          <w:lang w:val="es-CO"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7004DE" w:rsidRPr="007D46CB" w14:paraId="0AD7DD00" w14:textId="77777777" w:rsidTr="00A8565E">
        <w:trPr>
          <w:trHeight w:val="291"/>
        </w:trPr>
        <w:tc>
          <w:tcPr>
            <w:tcW w:w="1266" w:type="dxa"/>
            <w:vAlign w:val="center"/>
            <w:hideMark/>
          </w:tcPr>
          <w:p w14:paraId="01F21F03" w14:textId="77777777" w:rsidR="007004DE" w:rsidRPr="00FB1764" w:rsidRDefault="007004DE" w:rsidP="00FB1764">
            <w:pPr>
              <w:spacing w:after="0"/>
              <w:rPr>
                <w:rFonts w:ascii="Arial" w:eastAsia="Times New Roman" w:hAnsi="Arial" w:cs="Arial"/>
                <w:sz w:val="14"/>
                <w:szCs w:val="14"/>
                <w:lang w:eastAsia="es-ES"/>
              </w:rPr>
            </w:pPr>
            <w:r w:rsidRPr="00FB1764">
              <w:rPr>
                <w:rFonts w:ascii="Arial" w:eastAsia="Times New Roman" w:hAnsi="Arial" w:cs="Arial"/>
                <w:sz w:val="14"/>
                <w:szCs w:val="14"/>
                <w:lang w:eastAsia="es-ES"/>
              </w:rPr>
              <w:t>Elaboró:</w:t>
            </w:r>
          </w:p>
        </w:tc>
        <w:tc>
          <w:tcPr>
            <w:tcW w:w="5276" w:type="dxa"/>
            <w:tcBorders>
              <w:top w:val="nil"/>
              <w:left w:val="nil"/>
              <w:bottom w:val="dotted" w:sz="4" w:space="0" w:color="7F7F7F"/>
              <w:right w:val="nil"/>
            </w:tcBorders>
            <w:vAlign w:val="center"/>
            <w:hideMark/>
          </w:tcPr>
          <w:p w14:paraId="409C7508" w14:textId="77777777" w:rsidR="007004DE" w:rsidRPr="00FB1764" w:rsidRDefault="007004DE" w:rsidP="00FB1764">
            <w:pPr>
              <w:spacing w:after="0"/>
              <w:rPr>
                <w:rFonts w:ascii="Arial" w:eastAsia="Times New Roman" w:hAnsi="Arial" w:cs="Arial"/>
                <w:sz w:val="14"/>
                <w:szCs w:val="14"/>
                <w:lang w:eastAsia="es-ES"/>
              </w:rPr>
            </w:pPr>
            <w:r w:rsidRPr="00FB1764">
              <w:rPr>
                <w:rFonts w:ascii="Arial" w:eastAsia="Times New Roman" w:hAnsi="Arial" w:cs="Arial"/>
                <w:sz w:val="14"/>
                <w:szCs w:val="14"/>
                <w:lang w:eastAsia="es-ES"/>
              </w:rPr>
              <w:t>Felipe Bastidas Paredes</w:t>
            </w:r>
          </w:p>
          <w:p w14:paraId="4D427D90" w14:textId="77777777" w:rsidR="007004DE" w:rsidRPr="00FB1764" w:rsidRDefault="007004DE" w:rsidP="00FB1764">
            <w:pPr>
              <w:spacing w:after="0"/>
              <w:rPr>
                <w:rFonts w:ascii="Arial" w:eastAsia="Times New Roman" w:hAnsi="Arial" w:cs="Arial"/>
                <w:sz w:val="14"/>
                <w:szCs w:val="14"/>
                <w:lang w:eastAsia="es-ES"/>
              </w:rPr>
            </w:pPr>
            <w:r w:rsidRPr="00FB1764">
              <w:rPr>
                <w:rFonts w:ascii="Arial" w:eastAsia="Times New Roman" w:hAnsi="Arial" w:cs="Arial"/>
                <w:sz w:val="14"/>
                <w:szCs w:val="14"/>
                <w:lang w:eastAsia="es-ES"/>
              </w:rPr>
              <w:t>Contratista de la Subdirección de Gestión Contractual</w:t>
            </w:r>
          </w:p>
        </w:tc>
      </w:tr>
      <w:tr w:rsidR="007004DE" w:rsidRPr="007D46CB" w14:paraId="777D4551" w14:textId="77777777" w:rsidTr="00A8565E">
        <w:trPr>
          <w:trHeight w:val="304"/>
        </w:trPr>
        <w:tc>
          <w:tcPr>
            <w:tcW w:w="1266" w:type="dxa"/>
            <w:vAlign w:val="center"/>
          </w:tcPr>
          <w:p w14:paraId="1645FAC1" w14:textId="77777777" w:rsidR="007004DE" w:rsidRPr="00FB1764" w:rsidRDefault="007004DE" w:rsidP="00FB1764">
            <w:pPr>
              <w:spacing w:after="0"/>
              <w:rPr>
                <w:rFonts w:ascii="Arial" w:eastAsia="Times New Roman" w:hAnsi="Arial" w:cs="Arial"/>
                <w:sz w:val="14"/>
                <w:szCs w:val="14"/>
                <w:lang w:eastAsia="es-ES"/>
              </w:rPr>
            </w:pPr>
            <w:r w:rsidRPr="00FB1764">
              <w:rPr>
                <w:rFonts w:ascii="Arial" w:eastAsia="Times New Roman" w:hAnsi="Arial" w:cs="Arial"/>
                <w:sz w:val="14"/>
                <w:szCs w:val="14"/>
                <w:lang w:eastAsia="es-ES"/>
              </w:rPr>
              <w:t>Revisó:</w:t>
            </w:r>
          </w:p>
        </w:tc>
        <w:tc>
          <w:tcPr>
            <w:tcW w:w="5276" w:type="dxa"/>
            <w:tcBorders>
              <w:top w:val="dotted" w:sz="4" w:space="0" w:color="7F7F7F"/>
              <w:left w:val="nil"/>
              <w:bottom w:val="dotted" w:sz="4" w:space="0" w:color="7F7F7F"/>
              <w:right w:val="nil"/>
            </w:tcBorders>
            <w:vAlign w:val="center"/>
          </w:tcPr>
          <w:p w14:paraId="15B188F8" w14:textId="77777777" w:rsidR="007004DE" w:rsidRPr="00FB1764" w:rsidRDefault="007004DE" w:rsidP="00FB1764">
            <w:pPr>
              <w:spacing w:after="0"/>
              <w:rPr>
                <w:rFonts w:ascii="Arial" w:eastAsia="Times New Roman" w:hAnsi="Arial" w:cs="Arial"/>
                <w:sz w:val="14"/>
                <w:szCs w:val="14"/>
                <w:lang w:eastAsia="es-ES"/>
              </w:rPr>
            </w:pPr>
            <w:r w:rsidRPr="00FB1764">
              <w:rPr>
                <w:rFonts w:ascii="Arial" w:eastAsia="Times New Roman" w:hAnsi="Arial" w:cs="Arial"/>
                <w:sz w:val="14"/>
                <w:szCs w:val="14"/>
                <w:lang w:eastAsia="es-ES"/>
              </w:rPr>
              <w:t xml:space="preserve">Any Alejandra Tovar Castillo </w:t>
            </w:r>
          </w:p>
          <w:p w14:paraId="4A2BA479" w14:textId="77777777" w:rsidR="007004DE" w:rsidRDefault="007004DE">
            <w:pPr>
              <w:spacing w:after="0"/>
              <w:rPr>
                <w:rFonts w:ascii="Arial" w:eastAsia="Times New Roman" w:hAnsi="Arial" w:cs="Arial"/>
                <w:sz w:val="14"/>
                <w:szCs w:val="14"/>
                <w:lang w:eastAsia="es-ES"/>
              </w:rPr>
            </w:pPr>
            <w:r w:rsidRPr="00FB1764">
              <w:rPr>
                <w:rFonts w:ascii="Arial" w:eastAsia="Times New Roman" w:hAnsi="Arial" w:cs="Arial"/>
                <w:sz w:val="14"/>
                <w:szCs w:val="14"/>
                <w:lang w:eastAsia="es-ES"/>
              </w:rPr>
              <w:t xml:space="preserve">Contratista de la Subdirección de Gestión Contractual </w:t>
            </w:r>
          </w:p>
          <w:p w14:paraId="45E0A1DD" w14:textId="77777777" w:rsidR="009F20FE" w:rsidRDefault="009F20FE">
            <w:pPr>
              <w:spacing w:after="0"/>
              <w:rPr>
                <w:rFonts w:ascii="Arial" w:eastAsia="Times New Roman" w:hAnsi="Arial" w:cs="Arial"/>
                <w:sz w:val="14"/>
                <w:szCs w:val="14"/>
                <w:lang w:eastAsia="es-ES"/>
              </w:rPr>
            </w:pPr>
            <w:r>
              <w:rPr>
                <w:rFonts w:ascii="Arial" w:eastAsia="Times New Roman" w:hAnsi="Arial" w:cs="Arial"/>
                <w:sz w:val="14"/>
                <w:szCs w:val="14"/>
                <w:lang w:eastAsia="es-ES"/>
              </w:rPr>
              <w:t xml:space="preserve">Martha Alicia Romero Vargas </w:t>
            </w:r>
          </w:p>
          <w:p w14:paraId="56E0572D" w14:textId="51A17EE9" w:rsidR="009F20FE" w:rsidRPr="00FB1764" w:rsidRDefault="009F20FE" w:rsidP="00FB1764">
            <w:pPr>
              <w:spacing w:after="0"/>
              <w:rPr>
                <w:rFonts w:ascii="Arial" w:eastAsia="Times New Roman" w:hAnsi="Arial" w:cs="Arial"/>
                <w:sz w:val="14"/>
                <w:szCs w:val="14"/>
                <w:lang w:eastAsia="es-ES"/>
              </w:rPr>
            </w:pPr>
            <w:r>
              <w:rPr>
                <w:rFonts w:ascii="Arial" w:eastAsia="Times New Roman" w:hAnsi="Arial" w:cs="Arial"/>
                <w:sz w:val="14"/>
                <w:szCs w:val="14"/>
                <w:lang w:eastAsia="es-ES"/>
              </w:rPr>
              <w:t xml:space="preserve">Gestor T1-15 Subdirección de Gestión Contractual. </w:t>
            </w:r>
          </w:p>
        </w:tc>
      </w:tr>
      <w:tr w:rsidR="007004DE" w:rsidRPr="007D46CB" w14:paraId="4F2F0055" w14:textId="77777777" w:rsidTr="00A8565E">
        <w:trPr>
          <w:trHeight w:val="277"/>
        </w:trPr>
        <w:tc>
          <w:tcPr>
            <w:tcW w:w="1266" w:type="dxa"/>
            <w:vAlign w:val="center"/>
            <w:hideMark/>
          </w:tcPr>
          <w:p w14:paraId="1BD92AD1" w14:textId="77777777" w:rsidR="007004DE" w:rsidRPr="00FB1764" w:rsidRDefault="007004DE" w:rsidP="00FB1764">
            <w:pPr>
              <w:spacing w:after="0"/>
              <w:rPr>
                <w:rFonts w:ascii="Arial" w:eastAsia="Times New Roman" w:hAnsi="Arial" w:cs="Arial"/>
                <w:sz w:val="14"/>
                <w:szCs w:val="14"/>
                <w:lang w:eastAsia="es-ES"/>
              </w:rPr>
            </w:pPr>
            <w:r w:rsidRPr="00FB1764">
              <w:rPr>
                <w:rFonts w:ascii="Arial" w:eastAsia="Times New Roman" w:hAnsi="Arial" w:cs="Arial"/>
                <w:sz w:val="14"/>
                <w:szCs w:val="14"/>
                <w:lang w:eastAsia="es-ES"/>
              </w:rPr>
              <w:t>Aprobó:</w:t>
            </w:r>
          </w:p>
        </w:tc>
        <w:tc>
          <w:tcPr>
            <w:tcW w:w="5276" w:type="dxa"/>
            <w:tcBorders>
              <w:top w:val="dotted" w:sz="4" w:space="0" w:color="7F7F7F"/>
              <w:left w:val="nil"/>
              <w:bottom w:val="dotted" w:sz="4" w:space="0" w:color="7F7F7F"/>
              <w:right w:val="nil"/>
            </w:tcBorders>
            <w:vAlign w:val="center"/>
            <w:hideMark/>
          </w:tcPr>
          <w:p w14:paraId="6FDB56BB" w14:textId="77777777" w:rsidR="007D46CB" w:rsidRPr="007D46CB" w:rsidRDefault="007D46CB" w:rsidP="007D46CB">
            <w:pPr>
              <w:spacing w:after="0"/>
              <w:rPr>
                <w:rFonts w:ascii="Arial" w:eastAsia="Times New Roman" w:hAnsi="Arial" w:cs="Arial"/>
                <w:sz w:val="14"/>
                <w:szCs w:val="14"/>
                <w:lang w:eastAsia="es-ES"/>
              </w:rPr>
            </w:pPr>
            <w:r w:rsidRPr="007D46CB">
              <w:rPr>
                <w:rFonts w:ascii="Arial" w:eastAsia="Times New Roman" w:hAnsi="Arial" w:cs="Arial"/>
                <w:sz w:val="14"/>
                <w:szCs w:val="14"/>
                <w:lang w:eastAsia="es-ES"/>
              </w:rPr>
              <w:t>Nohelia del Carmen Zawady Palacio</w:t>
            </w:r>
          </w:p>
          <w:p w14:paraId="0A508C9C" w14:textId="0D60DE18" w:rsidR="007004DE" w:rsidRPr="00FB1764" w:rsidRDefault="007D46CB" w:rsidP="00FB1764">
            <w:pPr>
              <w:spacing w:after="0"/>
              <w:rPr>
                <w:rFonts w:ascii="Arial" w:eastAsia="Times New Roman" w:hAnsi="Arial" w:cs="Arial"/>
                <w:sz w:val="14"/>
                <w:szCs w:val="14"/>
                <w:lang w:eastAsia="es-ES"/>
              </w:rPr>
            </w:pPr>
            <w:r w:rsidRPr="007D46CB">
              <w:rPr>
                <w:rFonts w:ascii="Arial" w:eastAsia="Times New Roman" w:hAnsi="Arial" w:cs="Arial"/>
                <w:sz w:val="14"/>
                <w:szCs w:val="14"/>
                <w:lang w:eastAsia="es-ES"/>
              </w:rPr>
              <w:t>Subdirectora de Gestión Contractual ANCP – CCE</w:t>
            </w:r>
          </w:p>
        </w:tc>
      </w:tr>
    </w:tbl>
    <w:p w14:paraId="592C978A" w14:textId="77777777" w:rsidR="007004DE" w:rsidRDefault="007004DE" w:rsidP="007004DE">
      <w:pPr>
        <w:spacing w:after="0"/>
        <w:rPr>
          <w:rFonts w:ascii="Arial" w:eastAsia="Arial" w:hAnsi="Arial" w:cs="Arial"/>
          <w:b/>
          <w:color w:val="000000"/>
          <w:sz w:val="20"/>
          <w:szCs w:val="20"/>
        </w:rPr>
      </w:pPr>
    </w:p>
    <w:p w14:paraId="0F293BF4" w14:textId="0F6FB6C1" w:rsidR="00127233" w:rsidRPr="007004DE" w:rsidRDefault="00127233" w:rsidP="007004DE"/>
    <w:sectPr w:rsidR="00127233" w:rsidRPr="007004DE" w:rsidSect="0039439C">
      <w:headerReference w:type="default" r:id="rId19"/>
      <w:footerReference w:type="default" r:id="rId20"/>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1E78" w14:textId="77777777" w:rsidR="008A056E" w:rsidRDefault="008A056E" w:rsidP="004A1847">
      <w:pPr>
        <w:spacing w:after="0" w:line="240" w:lineRule="auto"/>
      </w:pPr>
      <w:r>
        <w:separator/>
      </w:r>
    </w:p>
  </w:endnote>
  <w:endnote w:type="continuationSeparator" w:id="0">
    <w:p w14:paraId="481ACFBE" w14:textId="77777777" w:rsidR="008A056E" w:rsidRDefault="008A056E" w:rsidP="004A1847">
      <w:pPr>
        <w:spacing w:after="0" w:line="240" w:lineRule="auto"/>
      </w:pPr>
      <w:r>
        <w:continuationSeparator/>
      </w:r>
    </w:p>
  </w:endnote>
  <w:endnote w:type="continuationNotice" w:id="1">
    <w:p w14:paraId="7522369C" w14:textId="77777777" w:rsidR="008A056E" w:rsidRDefault="008A0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F9A0" w14:textId="77777777" w:rsidR="008A056E" w:rsidRDefault="008A056E" w:rsidP="004A1847">
      <w:pPr>
        <w:spacing w:after="0" w:line="240" w:lineRule="auto"/>
      </w:pPr>
      <w:r>
        <w:separator/>
      </w:r>
    </w:p>
  </w:footnote>
  <w:footnote w:type="continuationSeparator" w:id="0">
    <w:p w14:paraId="0B35503B" w14:textId="77777777" w:rsidR="008A056E" w:rsidRDefault="008A056E" w:rsidP="004A1847">
      <w:pPr>
        <w:spacing w:after="0" w:line="240" w:lineRule="auto"/>
      </w:pPr>
      <w:r>
        <w:continuationSeparator/>
      </w:r>
    </w:p>
  </w:footnote>
  <w:footnote w:type="continuationNotice" w:id="1">
    <w:p w14:paraId="00504CF4" w14:textId="77777777" w:rsidR="008A056E" w:rsidRDefault="008A056E">
      <w:pPr>
        <w:spacing w:after="0" w:line="240" w:lineRule="auto"/>
      </w:pPr>
    </w:p>
  </w:footnote>
  <w:footnote w:id="2">
    <w:p w14:paraId="4E5F2FD1" w14:textId="05CA4F60" w:rsidR="007004DE" w:rsidRDefault="007004DE" w:rsidP="007004DE">
      <w:pPr>
        <w:pStyle w:val="Textonotapie"/>
        <w:ind w:firstLine="720"/>
      </w:pPr>
      <w:r>
        <w:rPr>
          <w:rStyle w:val="Refdenotaalpie"/>
        </w:rPr>
        <w:footnoteRef/>
      </w:r>
      <w:r>
        <w:t xml:space="preserve"> Que absolvió la consulta rad. </w:t>
      </w:r>
      <w:r w:rsidRPr="00000FBD">
        <w:t xml:space="preserve">P20220518004945 de 18/05/2022 presentada por el mismo peticionario, señor Oliver </w:t>
      </w:r>
      <w:r w:rsidR="002C4F7C" w:rsidRPr="00000FBD">
        <w:t>Téllez</w:t>
      </w:r>
      <w:r w:rsidRPr="00000FBD">
        <w:t>.</w:t>
      </w:r>
    </w:p>
    <w:p w14:paraId="34BA4536" w14:textId="77777777" w:rsidR="007004DE" w:rsidRPr="00000FBD" w:rsidRDefault="007004DE" w:rsidP="007004DE">
      <w:pPr>
        <w:pStyle w:val="Textonotapie"/>
        <w:ind w:firstLine="720"/>
      </w:pPr>
    </w:p>
  </w:footnote>
  <w:footnote w:id="3">
    <w:p w14:paraId="68FDEBC0" w14:textId="77777777" w:rsidR="007004DE" w:rsidRPr="00000FBD" w:rsidRDefault="007004DE" w:rsidP="007004DE">
      <w:pPr>
        <w:pStyle w:val="Textonotapie"/>
        <w:ind w:firstLine="709"/>
      </w:pPr>
      <w:r>
        <w:rPr>
          <w:rStyle w:val="Refdenotaalpie"/>
        </w:rPr>
        <w:footnoteRef/>
      </w:r>
      <w:r>
        <w:t xml:space="preserve"> Que absolvió la consulta rad. </w:t>
      </w:r>
      <w:r w:rsidRPr="00507BE8">
        <w:t>P20220516004831</w:t>
      </w:r>
      <w:r w:rsidRPr="00000FBD">
        <w:t xml:space="preserve"> de </w:t>
      </w:r>
      <w:r>
        <w:t>31</w:t>
      </w:r>
      <w:r w:rsidRPr="00000FBD">
        <w:t>/0</w:t>
      </w:r>
      <w:r>
        <w:t>3</w:t>
      </w:r>
      <w:r w:rsidRPr="00000FBD">
        <w:t xml:space="preserve">/2022 presentada por </w:t>
      </w:r>
      <w:r>
        <w:t>un tercero.</w:t>
      </w:r>
    </w:p>
    <w:p w14:paraId="704A1B5C" w14:textId="77777777" w:rsidR="007004DE" w:rsidRPr="00507BE8" w:rsidRDefault="007004DE" w:rsidP="007004DE">
      <w:pPr>
        <w:pStyle w:val="Textonotapie"/>
      </w:pPr>
    </w:p>
  </w:footnote>
  <w:footnote w:id="4">
    <w:p w14:paraId="660886DD" w14:textId="77777777" w:rsidR="007004DE" w:rsidRPr="000E75FF" w:rsidRDefault="007004DE" w:rsidP="007004DE">
      <w:pPr>
        <w:pStyle w:val="Textonotapie"/>
        <w:ind w:firstLine="709"/>
        <w:rPr>
          <w:rFonts w:ascii="Arial" w:hAnsi="Arial" w:cs="Arial"/>
          <w:color w:val="000000"/>
          <w:sz w:val="18"/>
          <w:szCs w:val="18"/>
        </w:rPr>
      </w:pPr>
      <w:r w:rsidRPr="000E75FF">
        <w:rPr>
          <w:rStyle w:val="Refdenotaalpie"/>
          <w:color w:val="000000"/>
          <w:sz w:val="18"/>
          <w:szCs w:val="18"/>
        </w:rPr>
        <w:footnoteRef/>
      </w:r>
      <w:r w:rsidRPr="000E75FF">
        <w:rPr>
          <w:rFonts w:ascii="Arial" w:hAnsi="Arial" w:cs="Arial"/>
          <w:color w:val="000000"/>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702AC298" w14:textId="77777777" w:rsidR="007004DE" w:rsidRPr="000E75FF" w:rsidRDefault="007004DE" w:rsidP="007004DE">
      <w:pPr>
        <w:pStyle w:val="Textonotapie"/>
        <w:ind w:firstLine="709"/>
        <w:rPr>
          <w:rFonts w:ascii="Arial" w:hAnsi="Arial" w:cs="Arial"/>
          <w:color w:val="000000"/>
          <w:sz w:val="18"/>
          <w:szCs w:val="18"/>
        </w:rPr>
      </w:pPr>
    </w:p>
  </w:footnote>
  <w:footnote w:id="5">
    <w:p w14:paraId="33783A27" w14:textId="77777777" w:rsidR="007004DE" w:rsidRPr="000E75FF" w:rsidRDefault="007004DE" w:rsidP="007004DE">
      <w:pPr>
        <w:pStyle w:val="Textonotapie"/>
        <w:ind w:firstLine="709"/>
        <w:rPr>
          <w:rFonts w:ascii="Arial" w:hAnsi="Arial" w:cs="Arial"/>
          <w:color w:val="000000"/>
          <w:sz w:val="18"/>
          <w:szCs w:val="18"/>
        </w:rPr>
      </w:pPr>
      <w:r w:rsidRPr="000E75FF">
        <w:rPr>
          <w:rStyle w:val="Refdenotaalpie"/>
          <w:color w:val="000000"/>
          <w:sz w:val="18"/>
          <w:szCs w:val="18"/>
        </w:rPr>
        <w:footnoteRef/>
      </w:r>
      <w:r w:rsidRPr="000E75FF">
        <w:rPr>
          <w:rFonts w:ascii="Arial" w:hAnsi="Arial" w:cs="Arial"/>
          <w:color w:val="000000"/>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14:paraId="265BCA9A" w14:textId="77777777" w:rsidR="007004DE" w:rsidRPr="000E75FF" w:rsidRDefault="007004DE" w:rsidP="007004DE">
      <w:pPr>
        <w:pStyle w:val="Textonotapie"/>
        <w:ind w:firstLine="709"/>
        <w:rPr>
          <w:rFonts w:ascii="Arial" w:hAnsi="Arial" w:cs="Arial"/>
          <w:color w:val="000000"/>
          <w:sz w:val="18"/>
          <w:szCs w:val="18"/>
        </w:rPr>
      </w:pPr>
      <w:r w:rsidRPr="000E75FF">
        <w:rPr>
          <w:rStyle w:val="Refdenotaalpie"/>
          <w:color w:val="000000"/>
          <w:sz w:val="18"/>
          <w:szCs w:val="18"/>
        </w:rPr>
        <w:footnoteRef/>
      </w:r>
      <w:r w:rsidRPr="000E75FF">
        <w:rPr>
          <w:rFonts w:ascii="Arial" w:hAnsi="Arial" w:cs="Arial"/>
          <w:color w:val="000000"/>
          <w:sz w:val="18"/>
          <w:szCs w:val="18"/>
        </w:rPr>
        <w:t xml:space="preserve"> </w:t>
      </w:r>
      <w:r w:rsidRPr="002A28B0">
        <w:rPr>
          <w:rFonts w:ascii="Arial" w:hAnsi="Arial" w:cs="Arial"/>
          <w:color w:val="000000"/>
          <w:sz w:val="18"/>
          <w:szCs w:val="18"/>
        </w:rPr>
        <w:t xml:space="preserve">CONSEJO DE ESTADO. </w:t>
      </w:r>
      <w:r w:rsidRPr="000E75FF">
        <w:rPr>
          <w:rFonts w:ascii="Arial" w:hAnsi="Arial" w:cs="Arial"/>
          <w:color w:val="000000"/>
          <w:sz w:val="18"/>
          <w:szCs w:val="18"/>
        </w:rPr>
        <w:t>Sección Tercera. Subsección C. Sentencia del 26 de febrero de 2014. Expediente: 25.804. Consejero Ponente: Enrique Gil Botero.</w:t>
      </w:r>
    </w:p>
  </w:footnote>
  <w:footnote w:id="7">
    <w:p w14:paraId="2A784705" w14:textId="77777777" w:rsidR="007004DE" w:rsidRPr="000E75FF" w:rsidRDefault="007004DE" w:rsidP="007004DE">
      <w:pPr>
        <w:pStyle w:val="Textonotapie"/>
        <w:ind w:firstLine="709"/>
        <w:rPr>
          <w:rFonts w:ascii="Arial" w:hAnsi="Arial" w:cs="Arial"/>
          <w:color w:val="000000"/>
          <w:sz w:val="18"/>
          <w:szCs w:val="18"/>
        </w:rPr>
      </w:pPr>
      <w:r w:rsidRPr="000E75FF">
        <w:rPr>
          <w:rStyle w:val="Refdenotaalpie"/>
          <w:color w:val="000000"/>
          <w:sz w:val="18"/>
          <w:szCs w:val="18"/>
        </w:rPr>
        <w:footnoteRef/>
      </w:r>
      <w:r w:rsidRPr="000E75FF">
        <w:rPr>
          <w:rStyle w:val="Refdenotaalpie"/>
          <w:color w:val="000000"/>
          <w:sz w:val="18"/>
          <w:szCs w:val="18"/>
        </w:rPr>
        <w:t xml:space="preserve"> </w:t>
      </w:r>
      <w:r w:rsidRPr="000E75FF">
        <w:rPr>
          <w:rFonts w:ascii="Arial" w:hAnsi="Arial" w:cs="Arial"/>
          <w:color w:val="000000"/>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634952D2" w14:textId="77777777" w:rsidR="007004DE" w:rsidRPr="000E75FF" w:rsidRDefault="007004DE" w:rsidP="007004DE">
      <w:pPr>
        <w:pStyle w:val="Textonotapie"/>
        <w:ind w:firstLine="709"/>
        <w:rPr>
          <w:rFonts w:ascii="Arial" w:hAnsi="Arial" w:cs="Arial"/>
          <w:color w:val="000000"/>
          <w:sz w:val="18"/>
          <w:szCs w:val="18"/>
        </w:rPr>
      </w:pPr>
    </w:p>
  </w:footnote>
  <w:footnote w:id="8">
    <w:p w14:paraId="0EFB317C" w14:textId="77777777" w:rsidR="007004DE" w:rsidRPr="000E75FF" w:rsidRDefault="007004DE" w:rsidP="007004DE">
      <w:pPr>
        <w:pStyle w:val="NormalWeb"/>
        <w:shd w:val="clear" w:color="auto" w:fill="FFFFFF"/>
        <w:ind w:firstLine="708"/>
        <w:rPr>
          <w:rFonts w:ascii="Arial" w:hAnsi="Arial" w:cs="Arial"/>
          <w:sz w:val="18"/>
          <w:szCs w:val="18"/>
          <w:lang w:val="es-ES"/>
        </w:rPr>
      </w:pPr>
      <w:r w:rsidRPr="000E75FF">
        <w:rPr>
          <w:rStyle w:val="Refdenotaalpie"/>
          <w:rFonts w:eastAsia="Arial"/>
          <w:sz w:val="18"/>
          <w:szCs w:val="18"/>
        </w:rPr>
        <w:footnoteRef/>
      </w:r>
      <w:r w:rsidRPr="000E75FF">
        <w:rPr>
          <w:rFonts w:ascii="Arial" w:hAnsi="Arial" w:cs="Arial"/>
          <w:sz w:val="18"/>
          <w:szCs w:val="18"/>
        </w:rPr>
        <w:t xml:space="preserve"> «</w:t>
      </w:r>
      <w:r w:rsidRPr="000E75FF">
        <w:rPr>
          <w:rFonts w:ascii="Arial" w:hAnsi="Arial" w:cs="Arial"/>
          <w:bCs/>
          <w:sz w:val="18"/>
          <w:szCs w:val="18"/>
          <w:shd w:val="clear" w:color="auto" w:fill="FFFFFF"/>
        </w:rPr>
        <w:t>2.2.1.2.1.5.2</w:t>
      </w:r>
      <w:r w:rsidRPr="000E75FF">
        <w:rPr>
          <w:rFonts w:ascii="Arial" w:hAnsi="Arial" w:cs="Arial"/>
          <w:sz w:val="18"/>
          <w:szCs w:val="18"/>
          <w:lang w:val="es-ES"/>
        </w:rPr>
        <w:t xml:space="preserve">5. </w:t>
      </w:r>
      <w:r w:rsidRPr="000E75FF">
        <w:rPr>
          <w:rFonts w:ascii="Arial" w:hAnsi="Arial" w:cs="Arial"/>
          <w:bCs/>
          <w:sz w:val="18"/>
          <w:szCs w:val="18"/>
          <w:lang w:val="es-ES"/>
        </w:rPr>
        <w:t>Procedimiento para la contratación de mínima cuantía.</w:t>
      </w:r>
      <w:r w:rsidRPr="000E75FF">
        <w:rPr>
          <w:rFonts w:ascii="Arial" w:hAnsi="Arial" w:cs="Arial"/>
          <w:sz w:val="18"/>
          <w:szCs w:val="18"/>
          <w:lang w:val="es-ES"/>
        </w:rPr>
        <w:t> Las siguientes reglas son aplicables a la contratación cuyo valor no excede del diez por ciento (10%) de la menor cuantía de la Entidad Estatal, independientemente de su objeto:</w:t>
      </w:r>
    </w:p>
    <w:p w14:paraId="55A62ACD" w14:textId="77777777" w:rsidR="007004DE" w:rsidRPr="000E75FF" w:rsidRDefault="007004DE" w:rsidP="007004DE">
      <w:pPr>
        <w:pStyle w:val="NormalWeb"/>
        <w:shd w:val="clear" w:color="auto" w:fill="FFFFFF"/>
        <w:ind w:firstLine="708"/>
        <w:rPr>
          <w:rFonts w:ascii="Arial" w:hAnsi="Arial" w:cs="Arial"/>
          <w:sz w:val="18"/>
          <w:szCs w:val="18"/>
          <w:lang w:val="es-ES"/>
        </w:rPr>
      </w:pPr>
      <w:r w:rsidRPr="000E75FF">
        <w:rPr>
          <w:rFonts w:ascii="Arial" w:hAnsi="Arial" w:cs="Arial"/>
          <w:sz w:val="18"/>
          <w:szCs w:val="18"/>
          <w:lang w:val="es-ES"/>
        </w:rPr>
        <w:t>[…]</w:t>
      </w:r>
    </w:p>
    <w:p w14:paraId="62C4E29F" w14:textId="77777777" w:rsidR="007004DE" w:rsidRPr="000E75FF" w:rsidRDefault="007004DE" w:rsidP="007004DE">
      <w:pPr>
        <w:pStyle w:val="NormalWeb"/>
        <w:shd w:val="clear" w:color="auto" w:fill="FFFFFF"/>
        <w:ind w:firstLine="708"/>
        <w:rPr>
          <w:rFonts w:ascii="Arial" w:hAnsi="Arial" w:cs="Arial"/>
          <w:sz w:val="18"/>
          <w:szCs w:val="18"/>
          <w:lang w:val="es-ES"/>
        </w:rPr>
      </w:pPr>
      <w:r w:rsidRPr="000E75FF">
        <w:rPr>
          <w:rFonts w:ascii="Arial" w:hAnsi="Arial" w:cs="Arial"/>
          <w:sz w:val="18"/>
          <w:szCs w:val="18"/>
        </w:rPr>
        <w:t>»</w:t>
      </w:r>
      <w:r w:rsidRPr="000E75FF">
        <w:rPr>
          <w:rFonts w:ascii="Arial" w:hAnsi="Arial" w:cs="Arial"/>
          <w:sz w:val="18"/>
          <w:szCs w:val="18"/>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1" w:anchor="5" w:history="1">
        <w:r w:rsidRPr="000E75FF">
          <w:rPr>
            <w:rFonts w:ascii="Arial" w:hAnsi="Arial" w:cs="Arial"/>
            <w:sz w:val="18"/>
            <w:szCs w:val="18"/>
            <w:u w:val="single"/>
            <w:lang w:val="es-ES"/>
          </w:rPr>
          <w:t>5 </w:t>
        </w:r>
      </w:hyperlink>
      <w:r w:rsidRPr="000E75FF">
        <w:rPr>
          <w:rFonts w:ascii="Arial" w:hAnsi="Arial" w:cs="Arial"/>
          <w:sz w:val="18"/>
          <w:szCs w:val="18"/>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0E75FF">
        <w:rPr>
          <w:rFonts w:ascii="Arial" w:hAnsi="Arial" w:cs="Arial"/>
          <w:sz w:val="18"/>
          <w:szCs w:val="18"/>
        </w:rPr>
        <w:t>»</w:t>
      </w:r>
      <w:r w:rsidRPr="000E75FF">
        <w:rPr>
          <w:rFonts w:ascii="Arial" w:hAnsi="Arial" w:cs="Arial"/>
          <w:sz w:val="18"/>
          <w:szCs w:val="18"/>
          <w:lang w:val="es-ES"/>
        </w:rPr>
        <w:t>.</w:t>
      </w:r>
    </w:p>
    <w:p w14:paraId="3636DA09" w14:textId="77777777" w:rsidR="007004DE" w:rsidRPr="000E75FF" w:rsidRDefault="007004DE" w:rsidP="007004DE">
      <w:pPr>
        <w:pStyle w:val="Textonotapie"/>
        <w:rPr>
          <w:rFonts w:ascii="Arial" w:hAnsi="Arial" w:cs="Arial"/>
          <w:sz w:val="18"/>
          <w:szCs w:val="18"/>
          <w:lang w:val="es-ES"/>
        </w:rPr>
      </w:pPr>
    </w:p>
  </w:footnote>
  <w:footnote w:id="9">
    <w:p w14:paraId="715750CD" w14:textId="77777777" w:rsidR="007004DE" w:rsidRPr="000E75FF" w:rsidRDefault="007004DE" w:rsidP="007004DE">
      <w:pPr>
        <w:pStyle w:val="Textonotapie"/>
        <w:ind w:firstLine="709"/>
        <w:rPr>
          <w:rFonts w:ascii="Arial" w:hAnsi="Arial" w:cs="Arial"/>
          <w:color w:val="000000"/>
          <w:sz w:val="18"/>
          <w:szCs w:val="18"/>
        </w:rPr>
      </w:pPr>
      <w:r w:rsidRPr="000E75FF">
        <w:rPr>
          <w:rStyle w:val="Refdenotaalpie"/>
          <w:color w:val="000000"/>
          <w:sz w:val="18"/>
          <w:szCs w:val="18"/>
        </w:rPr>
        <w:footnoteRef/>
      </w:r>
      <w:r w:rsidRPr="000E75FF">
        <w:rPr>
          <w:rFonts w:ascii="Arial" w:hAnsi="Arial" w:cs="Arial"/>
          <w:color w:val="000000"/>
          <w:sz w:val="18"/>
          <w:szCs w:val="18"/>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3DC3B7E4" w14:textId="3D53B69F" w:rsidR="007004DE" w:rsidRPr="000E75FF" w:rsidRDefault="002C4F7C" w:rsidP="007004DE">
      <w:pPr>
        <w:pStyle w:val="Textonotapie"/>
        <w:ind w:firstLine="709"/>
        <w:rPr>
          <w:rFonts w:ascii="Arial" w:hAnsi="Arial" w:cs="Arial"/>
          <w:color w:val="000000"/>
          <w:sz w:val="18"/>
          <w:szCs w:val="18"/>
        </w:rPr>
      </w:pPr>
      <w:r w:rsidRPr="000E75FF">
        <w:rPr>
          <w:rFonts w:ascii="Arial" w:hAnsi="Arial" w:cs="Arial"/>
          <w:color w:val="000000"/>
          <w:sz w:val="18"/>
          <w:szCs w:val="18"/>
        </w:rPr>
        <w:t>» De</w:t>
      </w:r>
      <w:r w:rsidR="007004DE" w:rsidRPr="000E75FF">
        <w:rPr>
          <w:rFonts w:ascii="Arial" w:hAnsi="Arial" w:cs="Arial"/>
          <w:color w:val="000000"/>
          <w:sz w:val="18"/>
          <w:szCs w:val="18"/>
        </w:rPr>
        <w:t xml:space="preserv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p w14:paraId="18728391" w14:textId="77777777" w:rsidR="007004DE" w:rsidRPr="000E75FF" w:rsidRDefault="007004DE" w:rsidP="007004DE">
      <w:pPr>
        <w:pStyle w:val="Textonotapie"/>
        <w:ind w:firstLine="709"/>
        <w:rPr>
          <w:rFonts w:ascii="Arial" w:hAnsi="Arial" w:cs="Arial"/>
          <w:color w:val="000000"/>
          <w:sz w:val="18"/>
          <w:szCs w:val="18"/>
        </w:rPr>
      </w:pPr>
    </w:p>
  </w:footnote>
  <w:footnote w:id="10">
    <w:p w14:paraId="7C2E0E11" w14:textId="77777777" w:rsidR="007004DE" w:rsidRPr="000E75FF" w:rsidRDefault="007004DE" w:rsidP="007004DE">
      <w:pPr>
        <w:pStyle w:val="Textonotapie"/>
        <w:spacing w:after="120"/>
        <w:ind w:firstLine="709"/>
        <w:rPr>
          <w:rFonts w:ascii="Arial" w:hAnsi="Arial" w:cs="Arial"/>
          <w:color w:val="000000"/>
          <w:sz w:val="18"/>
          <w:szCs w:val="18"/>
        </w:rPr>
      </w:pPr>
      <w:r w:rsidRPr="000E75FF">
        <w:rPr>
          <w:rStyle w:val="Refdenotaalpie"/>
          <w:sz w:val="18"/>
          <w:szCs w:val="18"/>
        </w:rPr>
        <w:footnoteRef/>
      </w:r>
      <w:r w:rsidRPr="000E75FF">
        <w:rPr>
          <w:rFonts w:ascii="Arial" w:hAnsi="Arial" w:cs="Arial"/>
          <w:sz w:val="18"/>
          <w:szCs w:val="18"/>
        </w:rPr>
        <w:t xml:space="preserve"> </w:t>
      </w:r>
      <w:r w:rsidRPr="000E75FF">
        <w:rPr>
          <w:rFonts w:ascii="Arial" w:hAnsi="Arial" w:cs="Arial"/>
          <w:color w:val="000000"/>
          <w:sz w:val="18"/>
          <w:szCs w:val="18"/>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0DDE8B74" w14:textId="4F91B3B3" w:rsidR="007004DE" w:rsidRPr="000E75FF" w:rsidRDefault="00273083" w:rsidP="007004DE">
      <w:pPr>
        <w:pStyle w:val="Textonotapie"/>
        <w:ind w:firstLine="709"/>
        <w:rPr>
          <w:rFonts w:ascii="Arial" w:hAnsi="Arial" w:cs="Arial"/>
          <w:sz w:val="18"/>
          <w:szCs w:val="18"/>
        </w:rPr>
      </w:pPr>
      <w:r w:rsidRPr="000E75FF">
        <w:rPr>
          <w:rFonts w:ascii="Arial" w:hAnsi="Arial" w:cs="Arial"/>
          <w:color w:val="000000"/>
          <w:sz w:val="18"/>
          <w:szCs w:val="18"/>
        </w:rPr>
        <w:t>» Lo</w:t>
      </w:r>
      <w:r w:rsidR="007004DE" w:rsidRPr="000E75FF">
        <w:rPr>
          <w:rFonts w:ascii="Arial" w:hAnsi="Arial" w:cs="Arial"/>
          <w:color w:val="000000"/>
          <w:sz w:val="18"/>
          <w:szCs w:val="18"/>
        </w:rPr>
        <w:t xml:space="preserve">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2" w:history="1">
        <w:r w:rsidR="007004DE" w:rsidRPr="000E75FF">
          <w:rPr>
            <w:rStyle w:val="Hipervnculo"/>
            <w:rFonts w:ascii="Arial" w:hAnsi="Arial" w:cs="Arial"/>
            <w:color w:val="000000"/>
            <w:sz w:val="18"/>
            <w:szCs w:val="18"/>
          </w:rPr>
          <w:t>https://www.colombiacompra.gov.co/content/circular-unica-externa</w:t>
        </w:r>
      </w:hyperlink>
      <w:r w:rsidR="007004DE" w:rsidRPr="000E75FF">
        <w:rPr>
          <w:rFonts w:ascii="Arial" w:hAnsi="Arial" w:cs="Arial"/>
          <w:color w:val="000000"/>
          <w:sz w:val="18"/>
          <w:szCs w:val="18"/>
        </w:rPr>
        <w:t>.</w:t>
      </w:r>
    </w:p>
  </w:footnote>
  <w:footnote w:id="11">
    <w:p w14:paraId="2D989C8F" w14:textId="77777777" w:rsidR="007004DE" w:rsidRPr="000E75FF" w:rsidRDefault="007004DE" w:rsidP="007004DE">
      <w:pPr>
        <w:pStyle w:val="Textonotapie"/>
        <w:ind w:firstLine="709"/>
        <w:rPr>
          <w:rFonts w:ascii="Arial" w:hAnsi="Arial" w:cs="Arial"/>
          <w:color w:val="000000"/>
          <w:sz w:val="18"/>
          <w:szCs w:val="18"/>
        </w:rPr>
      </w:pPr>
      <w:r w:rsidRPr="000E75FF">
        <w:rPr>
          <w:rStyle w:val="Refdenotaalpie"/>
          <w:color w:val="000000"/>
          <w:sz w:val="18"/>
          <w:szCs w:val="18"/>
        </w:rPr>
        <w:footnoteRef/>
      </w:r>
      <w:r w:rsidRPr="000E75FF">
        <w:rPr>
          <w:rFonts w:ascii="Arial" w:hAnsi="Arial" w:cs="Arial"/>
          <w:color w:val="000000"/>
          <w:sz w:val="18"/>
          <w:szCs w:val="18"/>
        </w:rPr>
        <w:t xml:space="preserve"> Ver CONSEJO DE ESTADO, Sección Tercera, Subsección C. Sentencia del 26 de febrero de 2011. C.P. Jaime Orlando Santofimio. Rad. 36.408. </w:t>
      </w:r>
    </w:p>
    <w:p w14:paraId="52BAF55C" w14:textId="77777777" w:rsidR="007004DE" w:rsidRPr="000E75FF" w:rsidRDefault="007004DE" w:rsidP="007004DE">
      <w:pPr>
        <w:pStyle w:val="Textonotapie"/>
        <w:ind w:firstLine="709"/>
        <w:rPr>
          <w:rFonts w:ascii="Arial" w:hAnsi="Arial" w:cs="Arial"/>
          <w:color w:val="000000"/>
          <w:sz w:val="18"/>
          <w:szCs w:val="18"/>
        </w:rPr>
      </w:pPr>
    </w:p>
  </w:footnote>
  <w:footnote w:id="12">
    <w:p w14:paraId="6963BB56" w14:textId="77777777" w:rsidR="007004DE" w:rsidRPr="000E75FF" w:rsidRDefault="007004DE" w:rsidP="007004DE">
      <w:pPr>
        <w:pStyle w:val="Textonotapie"/>
        <w:ind w:firstLine="709"/>
        <w:rPr>
          <w:rFonts w:ascii="Arial" w:hAnsi="Arial" w:cs="Arial"/>
          <w:color w:val="000000"/>
          <w:sz w:val="18"/>
          <w:szCs w:val="18"/>
        </w:rPr>
      </w:pPr>
      <w:r w:rsidRPr="000E75FF">
        <w:rPr>
          <w:rStyle w:val="Refdenotaalpie"/>
          <w:color w:val="000000"/>
          <w:sz w:val="18"/>
          <w:szCs w:val="18"/>
        </w:rPr>
        <w:footnoteRef/>
      </w:r>
      <w:r w:rsidRPr="000E75FF">
        <w:rPr>
          <w:rFonts w:ascii="Arial" w:hAnsi="Arial" w:cs="Arial"/>
          <w:color w:val="000000"/>
          <w:sz w:val="18"/>
          <w:szCs w:val="18"/>
        </w:rPr>
        <w:t xml:space="preserve"> Ver CONSEJO DE ESTADO, Sección Tercera, Subsección C. Sentencia del 26 de febrero de 2014. C.P. Enrique Gil Botero. Rad. 25.804. </w:t>
      </w:r>
    </w:p>
    <w:p w14:paraId="3216C82E" w14:textId="77777777" w:rsidR="007004DE" w:rsidRPr="000E75FF" w:rsidRDefault="007004DE" w:rsidP="007004DE">
      <w:pPr>
        <w:pStyle w:val="Textonotapie"/>
        <w:ind w:firstLine="709"/>
        <w:rPr>
          <w:rFonts w:ascii="Arial" w:hAnsi="Arial" w:cs="Arial"/>
          <w:color w:val="000000"/>
          <w:sz w:val="18"/>
          <w:szCs w:val="18"/>
        </w:rPr>
      </w:pPr>
    </w:p>
  </w:footnote>
  <w:footnote w:id="13">
    <w:p w14:paraId="2F0A62CE" w14:textId="77777777" w:rsidR="007004DE" w:rsidRPr="000E75FF" w:rsidRDefault="007004DE" w:rsidP="007004DE">
      <w:pPr>
        <w:pStyle w:val="Textonotapie"/>
        <w:ind w:firstLine="709"/>
        <w:rPr>
          <w:rFonts w:ascii="Arial" w:hAnsi="Arial" w:cs="Arial"/>
          <w:color w:val="000000"/>
          <w:sz w:val="18"/>
          <w:szCs w:val="18"/>
        </w:rPr>
      </w:pPr>
      <w:r w:rsidRPr="000E75FF">
        <w:rPr>
          <w:rStyle w:val="Refdenotaalpie"/>
          <w:color w:val="000000"/>
          <w:sz w:val="18"/>
          <w:szCs w:val="18"/>
        </w:rPr>
        <w:footnoteRef/>
      </w:r>
      <w:r w:rsidRPr="000E75FF">
        <w:rPr>
          <w:rFonts w:ascii="Arial" w:hAnsi="Arial" w:cs="Arial"/>
          <w:color w:val="000000"/>
          <w:sz w:val="18"/>
          <w:szCs w:val="18"/>
        </w:rPr>
        <w:t xml:space="preserve"> CONSEJO DE ESTADO. Sala de Consulta y Servicio Civil. Concepto del 20 de mayo de 2010. Expediente: 1992. Consejero Ponente: Enrique José Arboleda Perdomo.</w:t>
      </w:r>
    </w:p>
  </w:footnote>
  <w:footnote w:id="14">
    <w:p w14:paraId="3C7D475D" w14:textId="77777777" w:rsidR="007004DE" w:rsidRPr="00AF6C31" w:rsidRDefault="007004DE" w:rsidP="007004DE">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CONSEJO DE ESTADO. Sección Tercera. Subsección C. Sentencia del 12 de noviembre de 2014. Exp. 27.986. C.P. Enrique Gil Botero.</w:t>
      </w:r>
    </w:p>
    <w:p w14:paraId="2D277C0D" w14:textId="77777777" w:rsidR="007004DE" w:rsidRPr="00AF6C31" w:rsidRDefault="007004DE" w:rsidP="007004D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5">
    <w:p w14:paraId="5ECEBA37" w14:textId="77777777" w:rsidR="007004DE" w:rsidRPr="00AF6C31" w:rsidRDefault="007004DE" w:rsidP="007004DE">
      <w:pPr>
        <w:pStyle w:val="Textonotapie"/>
        <w:ind w:firstLine="709"/>
        <w:rPr>
          <w:rFonts w:ascii="Arial" w:hAnsi="Arial" w:cs="Arial"/>
          <w:sz w:val="19"/>
          <w:szCs w:val="19"/>
          <w:lang w:val="es-CO"/>
        </w:rPr>
      </w:pPr>
      <w:r w:rsidRPr="00AF6C31">
        <w:rPr>
          <w:rStyle w:val="Refdenotaalpie"/>
          <w:sz w:val="19"/>
          <w:szCs w:val="19"/>
        </w:rPr>
        <w:footnoteRef/>
      </w:r>
      <w:r w:rsidRPr="00AF6C31">
        <w:rPr>
          <w:rFonts w:ascii="Arial" w:hAnsi="Arial" w:cs="Arial"/>
          <w:sz w:val="19"/>
          <w:szCs w:val="19"/>
        </w:rPr>
        <w:t xml:space="preserve"> </w:t>
      </w:r>
      <w:r w:rsidRPr="00AF6C31">
        <w:rPr>
          <w:rFonts w:ascii="Arial" w:hAnsi="Arial" w:cs="Arial"/>
          <w:bCs/>
          <w:sz w:val="19"/>
          <w:szCs w:val="19"/>
        </w:rPr>
        <w:t>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Pr>
          <w:rFonts w:ascii="Arial" w:hAnsi="Arial" w:cs="Arial"/>
          <w:bCs/>
          <w:sz w:val="19"/>
          <w:szCs w:val="19"/>
        </w:rPr>
        <w:t>.</w:t>
      </w:r>
      <w:r w:rsidRPr="00AF6C31">
        <w:rPr>
          <w:rFonts w:ascii="Arial" w:hAnsi="Arial" w:cs="Arial"/>
          <w:bCs/>
          <w:sz w:val="19"/>
          <w:szCs w:val="19"/>
        </w:rPr>
        <w:t xml:space="preserve"> </w:t>
      </w:r>
    </w:p>
  </w:footnote>
  <w:footnote w:id="16">
    <w:p w14:paraId="3BCAB25D" w14:textId="77777777" w:rsidR="007004DE" w:rsidRPr="00030F0F" w:rsidRDefault="007004DE" w:rsidP="007004DE">
      <w:pPr>
        <w:pBdr>
          <w:top w:val="nil"/>
          <w:left w:val="nil"/>
          <w:bottom w:val="nil"/>
          <w:right w:val="nil"/>
          <w:between w:val="nil"/>
        </w:pBdr>
        <w:spacing w:after="0" w:line="240" w:lineRule="auto"/>
        <w:ind w:firstLine="709"/>
        <w:rPr>
          <w:rFonts w:ascii="Arial" w:hAnsi="Arial" w:cs="Arial"/>
          <w:color w:val="000000"/>
          <w:sz w:val="19"/>
          <w:szCs w:val="19"/>
        </w:rPr>
      </w:pPr>
      <w:r w:rsidRPr="00030F0F">
        <w:rPr>
          <w:rFonts w:ascii="Arial" w:hAnsi="Arial" w:cs="Arial"/>
          <w:sz w:val="19"/>
          <w:szCs w:val="19"/>
          <w:vertAlign w:val="superscript"/>
        </w:rPr>
        <w:footnoteRef/>
      </w:r>
      <w:r w:rsidRPr="00030F0F">
        <w:rPr>
          <w:rFonts w:ascii="Arial" w:hAnsi="Arial" w:cs="Arial"/>
          <w:color w:val="000000"/>
          <w:sz w:val="19"/>
          <w:szCs w:val="19"/>
        </w:rPr>
        <w:t xml:space="preserve"> </w:t>
      </w:r>
      <w:r w:rsidRPr="00AF6C31">
        <w:rPr>
          <w:rFonts w:ascii="Arial" w:eastAsia="Arial" w:hAnsi="Arial" w:cs="Arial"/>
          <w:color w:val="000000"/>
          <w:sz w:val="19"/>
          <w:szCs w:val="19"/>
        </w:rPr>
        <w:t>Ibídem</w:t>
      </w:r>
      <w:r w:rsidRPr="00AF6C31">
        <w:rPr>
          <w:rFonts w:ascii="Arial" w:eastAsia="Arial" w:hAnsi="Arial" w:cs="Arial"/>
          <w:i/>
          <w:color w:val="000000"/>
          <w:sz w:val="19"/>
          <w:szCs w:val="19"/>
        </w:rPr>
        <w:t>.</w:t>
      </w:r>
    </w:p>
  </w:footnote>
  <w:footnote w:id="17">
    <w:p w14:paraId="6A296037" w14:textId="77777777" w:rsidR="007004DE" w:rsidRDefault="007004DE" w:rsidP="007004DE">
      <w:pPr>
        <w:pBdr>
          <w:top w:val="nil"/>
          <w:left w:val="nil"/>
          <w:bottom w:val="nil"/>
          <w:right w:val="nil"/>
          <w:between w:val="nil"/>
        </w:pBdr>
        <w:spacing w:after="0" w:line="240" w:lineRule="auto"/>
        <w:ind w:firstLine="709"/>
        <w:rPr>
          <w:rFonts w:ascii="Arial" w:hAnsi="Arial" w:cs="Arial"/>
          <w:color w:val="000000"/>
          <w:sz w:val="19"/>
          <w:szCs w:val="19"/>
        </w:rPr>
      </w:pPr>
      <w:r w:rsidRPr="00030F0F">
        <w:rPr>
          <w:rFonts w:ascii="Arial" w:hAnsi="Arial" w:cs="Arial"/>
          <w:sz w:val="19"/>
          <w:szCs w:val="19"/>
          <w:vertAlign w:val="superscript"/>
        </w:rPr>
        <w:footnoteRef/>
      </w:r>
      <w:r w:rsidRPr="00030F0F">
        <w:rPr>
          <w:rFonts w:ascii="Arial" w:hAnsi="Arial" w:cs="Arial"/>
          <w:color w:val="000000"/>
          <w:sz w:val="19"/>
          <w:szCs w:val="19"/>
        </w:rPr>
        <w:t xml:space="preserve"> Ibídem</w:t>
      </w:r>
    </w:p>
    <w:p w14:paraId="505D144B" w14:textId="77777777" w:rsidR="007004DE" w:rsidRPr="00030F0F" w:rsidRDefault="007004DE" w:rsidP="007004DE">
      <w:pPr>
        <w:pBdr>
          <w:top w:val="nil"/>
          <w:left w:val="nil"/>
          <w:bottom w:val="nil"/>
          <w:right w:val="nil"/>
          <w:between w:val="nil"/>
        </w:pBdr>
        <w:spacing w:after="0" w:line="240" w:lineRule="auto"/>
        <w:ind w:firstLine="709"/>
        <w:rPr>
          <w:rFonts w:ascii="Arial" w:hAnsi="Arial" w:cs="Arial"/>
          <w:color w:val="000000"/>
          <w:sz w:val="19"/>
          <w:szCs w:val="19"/>
        </w:rPr>
      </w:pPr>
    </w:p>
  </w:footnote>
  <w:footnote w:id="18">
    <w:p w14:paraId="1DE053D2" w14:textId="77777777" w:rsidR="007004DE" w:rsidRPr="00012B37" w:rsidRDefault="007004DE" w:rsidP="007004DE">
      <w:pPr>
        <w:pStyle w:val="Textonotapie"/>
        <w:ind w:firstLine="708"/>
      </w:pPr>
      <w:r>
        <w:rPr>
          <w:rStyle w:val="Refdenotaalpie"/>
        </w:rPr>
        <w:footnoteRef/>
      </w:r>
      <w:r>
        <w:t xml:space="preserve"> Numeral 2.3. de los considerandos de ambos conceptos que coinciden textualmente.</w:t>
      </w:r>
    </w:p>
  </w:footnote>
  <w:footnote w:id="19">
    <w:p w14:paraId="41FC5935" w14:textId="77777777" w:rsidR="007004DE" w:rsidRPr="003642F2" w:rsidRDefault="007004DE" w:rsidP="007004DE">
      <w:pPr>
        <w:pStyle w:val="Textonotapie"/>
        <w:ind w:firstLine="708"/>
        <w:rPr>
          <w:rFonts w:ascii="Arial" w:hAnsi="Arial" w:cs="Arial"/>
          <w:sz w:val="19"/>
          <w:szCs w:val="19"/>
          <w:lang w:val="es-ES_tradnl"/>
        </w:rPr>
      </w:pPr>
      <w:r w:rsidRPr="003642F2">
        <w:rPr>
          <w:rStyle w:val="Refdenotaalpie"/>
          <w:sz w:val="19"/>
          <w:szCs w:val="19"/>
        </w:rPr>
        <w:footnoteRef/>
      </w:r>
      <w:r w:rsidRPr="003642F2">
        <w:rPr>
          <w:rFonts w:ascii="Arial" w:hAnsi="Arial" w:cs="Arial"/>
          <w:sz w:val="19"/>
          <w:szCs w:val="19"/>
        </w:rPr>
        <w:t xml:space="preserve"> </w:t>
      </w:r>
      <w:r w:rsidRPr="003642F2">
        <w:rPr>
          <w:rFonts w:ascii="Arial" w:hAnsi="Arial" w:cs="Arial"/>
          <w:sz w:val="19"/>
          <w:szCs w:val="19"/>
          <w:lang w:val="es-ES_tradnl"/>
        </w:rPr>
        <w:t xml:space="preserve">Este documento debe comprenderse en concordancia con el parágrafo 1 del artículo 87 de la Ley 356 de 1994, modificado por el artículo 103 del Decreto 019 de 2012, en el sentido que las empresas de seguridad y vigilancia privada «[…] estarán en la obligación de hacer el registro de todo su personal, </w:t>
      </w:r>
      <w:r w:rsidRPr="003642F2">
        <w:rPr>
          <w:rFonts w:ascii="Arial" w:hAnsi="Arial" w:cs="Arial"/>
          <w:sz w:val="19"/>
          <w:szCs w:val="19"/>
          <w:lang w:val="es-CO"/>
        </w:rPr>
        <w:t>para lo cual se utilizarán las herramientas tecnológicas que permitan la verificación de dicha información en cualquier tiempo que incluya el registro fotográfico y reseña dactiloscópica,</w:t>
      </w:r>
      <w:r w:rsidRPr="003642F2">
        <w:rPr>
          <w:rFonts w:ascii="Arial" w:hAnsi="Arial" w:cs="Arial"/>
          <w:sz w:val="19"/>
          <w:szCs w:val="19"/>
          <w:lang w:val="es-ES_tradnl"/>
        </w:rPr>
        <w:t xml:space="preserve"> el cual estará a disposición de la Superintendencia de Vigilancia y Seguridad Privada. Con el objeto de hacer dicha verificación, con base en la información suministrada por parte de las empresas, la Superintendencia de Vigilancia y Seguridad Privada mantendrá un registro actualizado del personal operativo de los servicios de vigilancia y seguridad privada».</w:t>
      </w:r>
    </w:p>
  </w:footnote>
  <w:footnote w:id="20">
    <w:p w14:paraId="08F72FC2" w14:textId="77777777" w:rsidR="007004DE" w:rsidRPr="003642F2" w:rsidRDefault="007004DE" w:rsidP="007004DE">
      <w:pPr>
        <w:pStyle w:val="Textonotapie"/>
        <w:ind w:firstLine="708"/>
        <w:rPr>
          <w:rFonts w:ascii="Arial" w:hAnsi="Arial" w:cs="Arial"/>
          <w:sz w:val="19"/>
          <w:szCs w:val="19"/>
        </w:rPr>
      </w:pPr>
      <w:r w:rsidRPr="003642F2">
        <w:rPr>
          <w:rStyle w:val="Refdenotaalpie"/>
          <w:sz w:val="19"/>
          <w:szCs w:val="19"/>
        </w:rPr>
        <w:footnoteRef/>
      </w:r>
      <w:r w:rsidRPr="003642F2">
        <w:rPr>
          <w:rFonts w:ascii="Arial" w:hAnsi="Arial" w:cs="Arial"/>
          <w:sz w:val="19"/>
          <w:szCs w:val="19"/>
        </w:rPr>
        <w:t xml:space="preserve"> En lo pertinente, la norma citada dispone que «</w:t>
      </w:r>
      <w:r w:rsidRPr="003642F2">
        <w:rPr>
          <w:rFonts w:ascii="Arial" w:hAnsi="Arial" w:cs="Arial"/>
          <w:sz w:val="19"/>
          <w:szCs w:val="19"/>
          <w:lang w:val="es-CO"/>
        </w:rPr>
        <w:t xml:space="preserve">La ausencia de requisitos o la falta de documentos referentes a la futura contratación o al proponente, no necesarios para la comparación de las propuestas no servirán de título suficiente para el rechazo de los ofrecimientos hechos. En consecuencia, </w:t>
      </w:r>
      <w:r w:rsidRPr="003642F2">
        <w:rPr>
          <w:rFonts w:ascii="Arial" w:hAnsi="Arial" w:cs="Arial"/>
          <w:i/>
          <w:iCs/>
          <w:sz w:val="19"/>
          <w:szCs w:val="19"/>
          <w:lang w:val="es-CO"/>
        </w:rPr>
        <w:t>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w:t>
      </w:r>
      <w:r w:rsidRPr="003642F2">
        <w:rPr>
          <w:rFonts w:ascii="Arial" w:hAnsi="Arial" w:cs="Arial"/>
          <w:sz w:val="19"/>
          <w:szCs w:val="19"/>
          <w:lang w:val="es-CO"/>
        </w:rPr>
        <w:t>,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(Énfasis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719414B"/>
    <w:multiLevelType w:val="hybridMultilevel"/>
    <w:tmpl w:val="150A82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538717">
    <w:abstractNumId w:val="2"/>
  </w:num>
  <w:num w:numId="2" w16cid:durableId="278100749">
    <w:abstractNumId w:val="0"/>
  </w:num>
  <w:num w:numId="3" w16cid:durableId="1371952515">
    <w:abstractNumId w:val="1"/>
  </w:num>
  <w:num w:numId="4" w16cid:durableId="1624077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3B63"/>
    <w:rsid w:val="00083334"/>
    <w:rsid w:val="000956CF"/>
    <w:rsid w:val="000A683E"/>
    <w:rsid w:val="000B492F"/>
    <w:rsid w:val="0011595A"/>
    <w:rsid w:val="001220C5"/>
    <w:rsid w:val="001267F7"/>
    <w:rsid w:val="00127233"/>
    <w:rsid w:val="00130999"/>
    <w:rsid w:val="00164D81"/>
    <w:rsid w:val="00180DA2"/>
    <w:rsid w:val="001A1011"/>
    <w:rsid w:val="001A48D0"/>
    <w:rsid w:val="001B0E9B"/>
    <w:rsid w:val="001E1F26"/>
    <w:rsid w:val="002653C1"/>
    <w:rsid w:val="0026611D"/>
    <w:rsid w:val="00273083"/>
    <w:rsid w:val="002951A0"/>
    <w:rsid w:val="002A64FD"/>
    <w:rsid w:val="002B5C17"/>
    <w:rsid w:val="002C4F7C"/>
    <w:rsid w:val="002F0839"/>
    <w:rsid w:val="00301469"/>
    <w:rsid w:val="00306EE1"/>
    <w:rsid w:val="00310B9B"/>
    <w:rsid w:val="0036461C"/>
    <w:rsid w:val="00367884"/>
    <w:rsid w:val="0039439C"/>
    <w:rsid w:val="003B69E7"/>
    <w:rsid w:val="003C013B"/>
    <w:rsid w:val="003D0F4D"/>
    <w:rsid w:val="003D47BD"/>
    <w:rsid w:val="003E5184"/>
    <w:rsid w:val="003F58A1"/>
    <w:rsid w:val="00410DD6"/>
    <w:rsid w:val="004134C9"/>
    <w:rsid w:val="00416B75"/>
    <w:rsid w:val="0043138C"/>
    <w:rsid w:val="00450703"/>
    <w:rsid w:val="00462A59"/>
    <w:rsid w:val="004A1847"/>
    <w:rsid w:val="004B6B0E"/>
    <w:rsid w:val="004D25B3"/>
    <w:rsid w:val="004E0A06"/>
    <w:rsid w:val="00511405"/>
    <w:rsid w:val="00526E9D"/>
    <w:rsid w:val="00547856"/>
    <w:rsid w:val="00547A74"/>
    <w:rsid w:val="00554F8C"/>
    <w:rsid w:val="005566E8"/>
    <w:rsid w:val="005746AB"/>
    <w:rsid w:val="005875C6"/>
    <w:rsid w:val="0059357F"/>
    <w:rsid w:val="005A1130"/>
    <w:rsid w:val="005D0305"/>
    <w:rsid w:val="005D65C8"/>
    <w:rsid w:val="005F117F"/>
    <w:rsid w:val="006219F8"/>
    <w:rsid w:val="00662D3E"/>
    <w:rsid w:val="00681FDB"/>
    <w:rsid w:val="006A0B04"/>
    <w:rsid w:val="006A51F9"/>
    <w:rsid w:val="006A7DAD"/>
    <w:rsid w:val="006D70BA"/>
    <w:rsid w:val="006F3884"/>
    <w:rsid w:val="007004DE"/>
    <w:rsid w:val="007262F0"/>
    <w:rsid w:val="007566FE"/>
    <w:rsid w:val="0076726F"/>
    <w:rsid w:val="0077144B"/>
    <w:rsid w:val="007778FE"/>
    <w:rsid w:val="0079049F"/>
    <w:rsid w:val="00793403"/>
    <w:rsid w:val="007C0CDF"/>
    <w:rsid w:val="007D46CB"/>
    <w:rsid w:val="007E2A2F"/>
    <w:rsid w:val="007F2B7C"/>
    <w:rsid w:val="007F657F"/>
    <w:rsid w:val="00811651"/>
    <w:rsid w:val="00820F5B"/>
    <w:rsid w:val="00833452"/>
    <w:rsid w:val="008614E5"/>
    <w:rsid w:val="008678EB"/>
    <w:rsid w:val="00871A09"/>
    <w:rsid w:val="00875894"/>
    <w:rsid w:val="00881C10"/>
    <w:rsid w:val="00890411"/>
    <w:rsid w:val="008A056E"/>
    <w:rsid w:val="008D5C70"/>
    <w:rsid w:val="009025AF"/>
    <w:rsid w:val="00904F23"/>
    <w:rsid w:val="00906B3C"/>
    <w:rsid w:val="0095342C"/>
    <w:rsid w:val="0098628D"/>
    <w:rsid w:val="009F20FE"/>
    <w:rsid w:val="009F33F2"/>
    <w:rsid w:val="009F6C77"/>
    <w:rsid w:val="00A07532"/>
    <w:rsid w:val="00A1085C"/>
    <w:rsid w:val="00A309E2"/>
    <w:rsid w:val="00A8066E"/>
    <w:rsid w:val="00A87D25"/>
    <w:rsid w:val="00AA0362"/>
    <w:rsid w:val="00AA4B8A"/>
    <w:rsid w:val="00AA6BF7"/>
    <w:rsid w:val="00B01ED6"/>
    <w:rsid w:val="00B06D09"/>
    <w:rsid w:val="00B1278B"/>
    <w:rsid w:val="00B267B9"/>
    <w:rsid w:val="00B771A9"/>
    <w:rsid w:val="00B809BB"/>
    <w:rsid w:val="00B8248A"/>
    <w:rsid w:val="00BB7726"/>
    <w:rsid w:val="00C211FF"/>
    <w:rsid w:val="00C2329E"/>
    <w:rsid w:val="00C30461"/>
    <w:rsid w:val="00C754BE"/>
    <w:rsid w:val="00C87572"/>
    <w:rsid w:val="00C9405D"/>
    <w:rsid w:val="00CC1B26"/>
    <w:rsid w:val="00CC5761"/>
    <w:rsid w:val="00CD284F"/>
    <w:rsid w:val="00CF23AA"/>
    <w:rsid w:val="00D01921"/>
    <w:rsid w:val="00D44BF2"/>
    <w:rsid w:val="00D66E64"/>
    <w:rsid w:val="00D752B7"/>
    <w:rsid w:val="00DA1854"/>
    <w:rsid w:val="00DB0887"/>
    <w:rsid w:val="00DD52F3"/>
    <w:rsid w:val="00DF1E43"/>
    <w:rsid w:val="00E20894"/>
    <w:rsid w:val="00E264E0"/>
    <w:rsid w:val="00E26B7C"/>
    <w:rsid w:val="00E57BAA"/>
    <w:rsid w:val="00EA3003"/>
    <w:rsid w:val="00EB3C91"/>
    <w:rsid w:val="00EB66DA"/>
    <w:rsid w:val="00F605F2"/>
    <w:rsid w:val="00F76AFC"/>
    <w:rsid w:val="00F8319B"/>
    <w:rsid w:val="00F97B56"/>
    <w:rsid w:val="00FA5516"/>
    <w:rsid w:val="00FB1764"/>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DE"/>
    <w:pPr>
      <w:spacing w:after="200" w:line="276" w:lineRule="auto"/>
      <w:jc w:val="both"/>
    </w:pPr>
    <w:rPr>
      <w:rFonts w:ascii="Calibri" w:eastAsia="Calibri" w:hAnsi="Calibri" w:cs="Calibri"/>
      <w:sz w:val="24"/>
      <w:szCs w:val="24"/>
      <w:lang w:val="es-MX" w:eastAsia="es-ES_tradnl"/>
    </w:rPr>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jc w:val="left"/>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jc w:val="left"/>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jc w:val="left"/>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jc w:val="left"/>
    </w:pPr>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spacing w:after="160" w:line="259" w:lineRule="auto"/>
      <w:ind w:left="720"/>
      <w:contextualSpacing/>
      <w:jc w:val="left"/>
    </w:pPr>
    <w:rPr>
      <w:rFonts w:ascii="Geomanist Light" w:eastAsiaTheme="minorHAnsi" w:hAnsi="Geomanist Light" w:cstheme="minorBidi"/>
      <w:sz w:val="22"/>
      <w:szCs w:val="22"/>
      <w:lang w:val="es-ES" w:eastAsia="en-US"/>
    </w:rPr>
  </w:style>
  <w:style w:type="paragraph" w:styleId="Ttulo">
    <w:name w:val="Title"/>
    <w:basedOn w:val="Normal"/>
    <w:next w:val="Normal"/>
    <w:link w:val="TtuloCar"/>
    <w:uiPriority w:val="10"/>
    <w:qFormat/>
    <w:rsid w:val="005566E8"/>
    <w:pPr>
      <w:spacing w:after="0" w:line="240" w:lineRule="auto"/>
      <w:contextualSpacing/>
      <w:jc w:val="left"/>
    </w:pPr>
    <w:rPr>
      <w:rFonts w:ascii="Geomanist" w:eastAsiaTheme="majorEastAsia" w:hAnsi="Geomanist" w:cstheme="majorBidi"/>
      <w:spacing w:val="-10"/>
      <w:kern w:val="28"/>
      <w:sz w:val="22"/>
      <w:szCs w:val="56"/>
      <w:lang w:val="es-ES" w:eastAsia="en-U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after="160" w:line="240" w:lineRule="auto"/>
      <w:jc w:val="left"/>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3D47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D47BD"/>
    <w:rPr>
      <w:color w:val="F2F2F2"/>
      <w:u w:val="single"/>
    </w:rPr>
  </w:style>
  <w:style w:type="paragraph" w:customStyle="1" w:styleId="Appelnotedebasde">
    <w:name w:val="Appel note de bas de..."/>
    <w:basedOn w:val="Normal"/>
    <w:link w:val="Refdenotaalpie"/>
    <w:rsid w:val="003D47BD"/>
    <w:pPr>
      <w:spacing w:after="160" w:line="240" w:lineRule="exact"/>
    </w:pPr>
    <w:rPr>
      <w:rFonts w:asciiTheme="minorHAnsi" w:eastAsiaTheme="minorHAnsi" w:hAnsiTheme="minorHAnsi" w:cstheme="minorBidi"/>
      <w:sz w:val="22"/>
      <w:szCs w:val="22"/>
      <w:vertAlign w:val="superscript"/>
      <w:lang w:val="es-CO" w:eastAsia="en-US"/>
    </w:rPr>
  </w:style>
  <w:style w:type="table" w:customStyle="1" w:styleId="Tablaconcuadrcula11">
    <w:name w:val="Tabla con cuadrícula11"/>
    <w:basedOn w:val="Tablanormal"/>
    <w:next w:val="Tablaconcuadrcula"/>
    <w:uiPriority w:val="59"/>
    <w:rsid w:val="003D4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47BD"/>
    <w:rPr>
      <w:color w:val="0563C1" w:themeColor="hyperlink"/>
      <w:u w:val="single"/>
    </w:rPr>
  </w:style>
  <w:style w:type="paragraph" w:styleId="Textoindependiente">
    <w:name w:val="Body Text"/>
    <w:basedOn w:val="Normal"/>
    <w:link w:val="TextoindependienteCar"/>
    <w:uiPriority w:val="99"/>
    <w:semiHidden/>
    <w:unhideWhenUsed/>
    <w:rsid w:val="005875C6"/>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TextoindependienteCar">
    <w:name w:val="Texto independiente Car"/>
    <w:basedOn w:val="Fuentedeprrafopredeter"/>
    <w:link w:val="Textoindependiente"/>
    <w:uiPriority w:val="99"/>
    <w:semiHidden/>
    <w:rsid w:val="005875C6"/>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5875C6"/>
    <w:pPr>
      <w:spacing w:before="100" w:beforeAutospacing="1" w:after="100" w:afterAutospacing="1" w:line="240" w:lineRule="auto"/>
      <w:jc w:val="left"/>
    </w:pPr>
    <w:rPr>
      <w:rFonts w:ascii="Times New Roman" w:eastAsia="Times New Roman" w:hAnsi="Times New Roman" w:cs="Times New Roman"/>
      <w:lang w:val="es-CO" w:eastAsia="es-CO"/>
    </w:rPr>
  </w:style>
  <w:style w:type="character" w:customStyle="1" w:styleId="NormalWebCar">
    <w:name w:val="Normal (Web) Car"/>
    <w:link w:val="NormalWeb"/>
    <w:uiPriority w:val="99"/>
    <w:rsid w:val="005875C6"/>
    <w:rPr>
      <w:rFonts w:ascii="Times New Roman" w:eastAsia="Times New Roman" w:hAnsi="Times New Roman" w:cs="Times New Roman"/>
      <w:sz w:val="24"/>
      <w:szCs w:val="24"/>
      <w:lang w:eastAsia="es-CO"/>
    </w:rPr>
  </w:style>
  <w:style w:type="paragraph" w:customStyle="1" w:styleId="Car1">
    <w:name w:val="Car1"/>
    <w:basedOn w:val="Normal"/>
    <w:next w:val="Textonotapie"/>
    <w:uiPriority w:val="99"/>
    <w:unhideWhenUsed/>
    <w:qFormat/>
    <w:rsid w:val="005875C6"/>
    <w:pPr>
      <w:spacing w:after="0" w:line="240" w:lineRule="auto"/>
      <w:jc w:val="left"/>
    </w:pPr>
    <w:rPr>
      <w:rFonts w:asciiTheme="minorHAnsi" w:eastAsiaTheme="minorHAnsi" w:hAnsiTheme="minorHAnsi" w:cstheme="minorBidi"/>
      <w:sz w:val="20"/>
      <w:szCs w:val="20"/>
      <w:lang w:eastAsia="en-US"/>
    </w:rPr>
  </w:style>
  <w:style w:type="character" w:styleId="Mencinsinresolver">
    <w:name w:val="Unresolved Mention"/>
    <w:basedOn w:val="Fuentedeprrafopredeter"/>
    <w:uiPriority w:val="99"/>
    <w:semiHidden/>
    <w:unhideWhenUsed/>
    <w:rsid w:val="00F97B56"/>
    <w:rPr>
      <w:color w:val="605E5C"/>
      <w:shd w:val="clear" w:color="auto" w:fill="E1DFDD"/>
    </w:rPr>
  </w:style>
  <w:style w:type="character" w:styleId="Hipervnculovisitado">
    <w:name w:val="FollowedHyperlink"/>
    <w:basedOn w:val="Fuentedeprrafopredeter"/>
    <w:uiPriority w:val="99"/>
    <w:semiHidden/>
    <w:unhideWhenUsed/>
    <w:rsid w:val="00554F8C"/>
    <w:rPr>
      <w:color w:val="954F72" w:themeColor="followedHyperlink"/>
      <w:u w:val="single"/>
    </w:rPr>
  </w:style>
  <w:style w:type="table" w:customStyle="1" w:styleId="2">
    <w:name w:val="2"/>
    <w:basedOn w:val="Tablanormal"/>
    <w:rsid w:val="007004DE"/>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circular-unica-externa" TargetMode="External"/><Relationship Id="rId1" Type="http://schemas.openxmlformats.org/officeDocument/2006/relationships/hyperlink" Target="https://www.funcionpublica.gov.co/eva/gestornormativo/norma.php?i=2567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f60366-659b-49ff-8fd4-65ed4a8313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CAA8A2CE48B3B4297B565DA1C7A1B39" ma:contentTypeVersion="3" ma:contentTypeDescription="Crear nuevo documento." ma:contentTypeScope="" ma:versionID="665fff753f2fee634cb60cfe77b405c7">
  <xsd:schema xmlns:xsd="http://www.w3.org/2001/XMLSchema" xmlns:xs="http://www.w3.org/2001/XMLSchema" xmlns:p="http://schemas.microsoft.com/office/2006/metadata/properties" xmlns:ns3="c4f60366-659b-49ff-8fd4-65ed4a8313ee" targetNamespace="http://schemas.microsoft.com/office/2006/metadata/properties" ma:root="true" ma:fieldsID="838ba99c45ed4199c67e2a636f06cb5e" ns3:_="">
    <xsd:import namespace="c4f60366-659b-49ff-8fd4-65ed4a8313ee"/>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60366-659b-49ff-8fd4-65ed4a83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c4f60366-659b-49ff-8fd4-65ed4a8313ee"/>
  </ds:schemaRefs>
</ds:datastoreItem>
</file>

<file path=customXml/itemProps4.xml><?xml version="1.0" encoding="utf-8"?>
<ds:datastoreItem xmlns:ds="http://schemas.openxmlformats.org/officeDocument/2006/customXml" ds:itemID="{AEB41232-6CB1-4E9A-A0C5-2CE698AFD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60366-659b-49ff-8fd4-65ed4a831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8643</Words>
  <Characters>47539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56070</CharactersWithSpaces>
  <SharedDoc>false</SharedDoc>
  <HLinks>
    <vt:vector size="6" baseType="variant">
      <vt:variant>
        <vt:i4>6094936</vt:i4>
      </vt:variant>
      <vt:variant>
        <vt:i4>0</vt:i4>
      </vt:variant>
      <vt:variant>
        <vt:i4>0</vt:i4>
      </vt:variant>
      <vt:variant>
        <vt:i4>5</vt:i4>
      </vt:variant>
      <vt:variant>
        <vt:lpwstr>https://dapre.presidencia.gov.co/normativa/leyes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2023-02-16T13:25:00Z</dcterms:created>
  <dcterms:modified xsi:type="dcterms:W3CDTF">2023-02-16T13:25:00Z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0x0101004CAA8A2CE48B3B4297B565DA1C7A1B39</vt:lpwstr>
  </property>
  <property fmtid="{D5CDD505-2E9C-101B-9397-08002B2CF9AE}" pid="3" name="MediaServiceImageTags">
    <vt:lpwstr/>
  </property>
</Properties>
</file>