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B9A0" w14:textId="7E51D8B6" w:rsidR="00C1012C" w:rsidRPr="00C1012C" w:rsidRDefault="00C1012C" w:rsidP="00C1012C">
      <w:pPr>
        <w:spacing w:after="0" w:line="240" w:lineRule="auto"/>
        <w:contextualSpacing/>
        <w:rPr>
          <w:rFonts w:ascii="Geomanist Light" w:eastAsia="Calibri" w:hAnsi="Geomanist Light" w:cs="Arial"/>
          <w:b/>
          <w:bCs/>
          <w:sz w:val="21"/>
          <w:szCs w:val="21"/>
        </w:rPr>
      </w:pPr>
      <w:bookmarkStart w:id="0" w:name="_Hlk96417464"/>
      <w:r w:rsidRPr="00C1012C">
        <w:rPr>
          <w:rFonts w:ascii="Geomanist Light" w:eastAsia="Calibri" w:hAnsi="Geomanist Light" w:cs="Arial"/>
          <w:b/>
          <w:bCs/>
          <w:sz w:val="21"/>
          <w:szCs w:val="21"/>
          <w:lang w:val="es-ES_tradnl"/>
        </w:rPr>
        <w:t>SUBASTA INVERSA</w:t>
      </w:r>
      <w:r w:rsidRPr="00C1012C">
        <w:rPr>
          <w:rFonts w:ascii="Geomanist Light" w:eastAsia="Calibri" w:hAnsi="Geomanist Light" w:cs="Arial"/>
          <w:b/>
          <w:bCs/>
          <w:sz w:val="21"/>
          <w:szCs w:val="21"/>
        </w:rPr>
        <w:t xml:space="preserve"> – Nociones generales – Régimen jurídico </w:t>
      </w:r>
    </w:p>
    <w:p w14:paraId="24F3C836" w14:textId="37549077" w:rsidR="00C1012C" w:rsidRPr="00C1012C" w:rsidRDefault="00C1012C" w:rsidP="00C1012C">
      <w:pPr>
        <w:spacing w:after="0" w:line="240" w:lineRule="auto"/>
        <w:contextualSpacing/>
        <w:rPr>
          <w:rFonts w:ascii="Geomanist Light" w:eastAsia="Calibri" w:hAnsi="Geomanist Light" w:cs="Arial"/>
          <w:sz w:val="21"/>
          <w:szCs w:val="21"/>
        </w:rPr>
      </w:pPr>
    </w:p>
    <w:p w14:paraId="52D5C7DB" w14:textId="173B7A3B" w:rsidR="00C1012C" w:rsidRPr="00C1012C" w:rsidRDefault="00C1012C" w:rsidP="00C1012C">
      <w:pPr>
        <w:spacing w:after="0" w:line="240" w:lineRule="auto"/>
        <w:contextualSpacing/>
        <w:rPr>
          <w:rFonts w:ascii="Geomanist Light" w:eastAsia="Calibri" w:hAnsi="Geomanist Light" w:cs="Arial"/>
          <w:sz w:val="21"/>
          <w:szCs w:val="21"/>
          <w:lang w:val="es-ES"/>
        </w:rPr>
      </w:pPr>
      <w:r w:rsidRPr="00C1012C">
        <w:rPr>
          <w:rFonts w:ascii="Geomanist Light" w:eastAsia="Calibri" w:hAnsi="Geomanist Light" w:cs="Arial"/>
          <w:sz w:val="21"/>
          <w:szCs w:val="21"/>
          <w:lang w:val="es-ES"/>
        </w:rPr>
        <w:t>La subasta inversa es un mecanismo que se concibió con la finalidad de introducir una metodología alternativa para el proceso de negociación y perfeccionamiento del contrato estatal. Su regulación se encuentra en el artículo 2 de la Ley 1150 de 2007, en donde se indica que la figura tiene como finalidad confrontar, de manera dinámica, las distintas ofertas que pueden presentarse para los procesos de licitación pública, para los procesos de selección abreviada que tienen por finalidad la adquisición de bienes y servicios de características técnicas uniformes y de común utilización, y en los procesos de enajenación de bienes del Estado.  </w:t>
      </w:r>
    </w:p>
    <w:p w14:paraId="6E610A8D" w14:textId="5FCCF496" w:rsidR="00C1012C" w:rsidRPr="00C1012C" w:rsidRDefault="00C1012C" w:rsidP="00C1012C">
      <w:pPr>
        <w:spacing w:after="0" w:line="240" w:lineRule="auto"/>
        <w:contextualSpacing/>
        <w:rPr>
          <w:rFonts w:ascii="Geomanist Light" w:eastAsia="Calibri" w:hAnsi="Geomanist Light" w:cs="Arial"/>
          <w:sz w:val="21"/>
          <w:szCs w:val="21"/>
          <w:lang w:val="es-ES"/>
        </w:rPr>
      </w:pPr>
      <w:r w:rsidRPr="00C1012C">
        <w:rPr>
          <w:rFonts w:ascii="Geomanist Light" w:eastAsia="Calibri" w:hAnsi="Geomanist Light" w:cs="Arial"/>
          <w:sz w:val="21"/>
          <w:szCs w:val="21"/>
          <w:lang w:val="es-ES"/>
        </w:rPr>
        <w:t>En este contexto, la doctrina ha señalado que «se entiende por 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 En igual sentido, la doctrina especializada destaca de este mecanismo que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   </w:t>
      </w:r>
    </w:p>
    <w:p w14:paraId="1BDEB5F1" w14:textId="09B8F27E" w:rsidR="00C1012C" w:rsidRPr="00C1012C" w:rsidRDefault="00C1012C" w:rsidP="00C1012C">
      <w:pPr>
        <w:spacing w:after="0" w:line="240" w:lineRule="auto"/>
        <w:contextualSpacing/>
        <w:rPr>
          <w:rFonts w:ascii="Geomanist Light" w:eastAsia="Calibri" w:hAnsi="Geomanist Light" w:cs="Arial"/>
          <w:sz w:val="21"/>
          <w:szCs w:val="21"/>
        </w:rPr>
      </w:pPr>
      <w:r w:rsidRPr="00C1012C">
        <w:rPr>
          <w:rFonts w:ascii="Geomanist Light" w:eastAsia="Calibri" w:hAnsi="Geomanist Light" w:cs="Arial"/>
          <w:sz w:val="21"/>
          <w:szCs w:val="21"/>
        </w:rPr>
        <w:t>De este modo, la subasta inversa constituye una metodología alternativa para la configuración de la oferta por parte de los proponentes, que se presenta como un mecanismo eficiente para que las entidades públicas obtengan el mejor valor en dinero de los bienes y servicios que pretenden adquirir, derivado de un procedimiento de contratación de carácter competitivo guiado, precisamente, por los factores de puja y dinamismo.</w:t>
      </w:r>
      <w:r w:rsidRPr="00C1012C">
        <w:rPr>
          <w:rFonts w:ascii="Geomanist Light" w:eastAsia="Calibri" w:hAnsi="Geomanist Light" w:cs="Arial"/>
          <w:sz w:val="21"/>
          <w:szCs w:val="21"/>
        </w:rPr>
        <w:tab/>
      </w:r>
    </w:p>
    <w:p w14:paraId="22B791D7" w14:textId="77777777" w:rsidR="00C1012C" w:rsidRPr="00C1012C" w:rsidRDefault="00C1012C" w:rsidP="00C1012C">
      <w:pPr>
        <w:spacing w:after="0" w:line="240" w:lineRule="auto"/>
        <w:contextualSpacing/>
        <w:rPr>
          <w:rFonts w:ascii="Geomanist Light" w:eastAsia="Calibri" w:hAnsi="Geomanist Light" w:cs="Arial"/>
          <w:sz w:val="21"/>
          <w:szCs w:val="21"/>
        </w:rPr>
      </w:pPr>
    </w:p>
    <w:p w14:paraId="7F8F1532" w14:textId="26B6C394" w:rsidR="00C1012C" w:rsidRPr="00C1012C" w:rsidRDefault="00C1012C" w:rsidP="00C1012C">
      <w:pPr>
        <w:spacing w:after="0" w:line="240" w:lineRule="auto"/>
        <w:contextualSpacing/>
        <w:rPr>
          <w:rFonts w:ascii="Geomanist Light" w:eastAsia="Calibri" w:hAnsi="Geomanist Light" w:cs="Arial"/>
          <w:b/>
          <w:bCs/>
          <w:sz w:val="21"/>
          <w:szCs w:val="21"/>
        </w:rPr>
      </w:pPr>
      <w:r w:rsidRPr="00C1012C">
        <w:rPr>
          <w:rFonts w:ascii="Geomanist Light" w:eastAsia="Calibri" w:hAnsi="Geomanist Light" w:cs="Arial"/>
          <w:b/>
          <w:bCs/>
          <w:sz w:val="21"/>
          <w:szCs w:val="21"/>
          <w:lang w:val="es-ES_tradnl"/>
        </w:rPr>
        <w:t>SUBASTA INVERSA</w:t>
      </w:r>
      <w:r w:rsidRPr="00C1012C">
        <w:rPr>
          <w:rFonts w:ascii="Geomanist Light" w:eastAsia="Calibri" w:hAnsi="Geomanist Light" w:cs="Arial"/>
          <w:b/>
          <w:bCs/>
          <w:sz w:val="21"/>
          <w:szCs w:val="21"/>
        </w:rPr>
        <w:t xml:space="preserve"> – Procedimiento – adjudicación </w:t>
      </w:r>
    </w:p>
    <w:p w14:paraId="4C79DF47" w14:textId="7A7790D0" w:rsidR="00C1012C" w:rsidRPr="00C1012C" w:rsidRDefault="00C1012C" w:rsidP="00C1012C">
      <w:pPr>
        <w:spacing w:after="0" w:line="240" w:lineRule="auto"/>
        <w:contextualSpacing/>
        <w:rPr>
          <w:rFonts w:ascii="Geomanist Light" w:eastAsia="Calibri" w:hAnsi="Geomanist Light" w:cs="Arial"/>
          <w:sz w:val="21"/>
          <w:szCs w:val="21"/>
        </w:rPr>
      </w:pPr>
    </w:p>
    <w:p w14:paraId="70E0B3A5" w14:textId="4EC28D06" w:rsidR="00C1012C" w:rsidRPr="00C1012C" w:rsidRDefault="00C1012C" w:rsidP="00C1012C">
      <w:pPr>
        <w:spacing w:after="0" w:line="240" w:lineRule="auto"/>
        <w:contextualSpacing/>
        <w:rPr>
          <w:rFonts w:ascii="Geomanist Light" w:eastAsia="Calibri" w:hAnsi="Geomanist Light" w:cs="Arial"/>
          <w:sz w:val="21"/>
          <w:szCs w:val="21"/>
        </w:rPr>
      </w:pPr>
      <w:r w:rsidRPr="00C1012C">
        <w:rPr>
          <w:rFonts w:ascii="Geomanist Light" w:eastAsia="Calibri" w:hAnsi="Geomanist Light" w:cs="Arial"/>
          <w:sz w:val="21"/>
          <w:szCs w:val="21"/>
        </w:rPr>
        <w:t>La normativa que contiene los lineamientos sobre el procedimiento de la subasta inversa es el artículo 2.2.1.2.1.2.2 del Decreto 1082 de 2015 […]. [L]</w:t>
      </w:r>
      <w:r w:rsidRPr="00C1012C">
        <w:rPr>
          <w:rFonts w:ascii="Geomanist Light" w:eastAsia="Calibri" w:hAnsi="Geomanist Light" w:cs="Arial"/>
          <w:sz w:val="21"/>
          <w:szCs w:val="21"/>
          <w:lang w:val="es-ES"/>
        </w:rPr>
        <w:t>a subasta funciona mediante lances que realizan los oferentes en un período de tiempo, los cuales se basan en mejoras del precio, es decir, se comienza con el precio más bajo ofertado y, posteriormente se realizan los lances, los cuales corresponden al precio estimado que cada proponente ofrece y en el que ha valorado el bien, obra o servicio que ofrece. Teniendo en cuenta el presupuesto oficial definido por la entidad en el pliego de condiciones, durante la subasta los proponentes mejoran el precio, disminuyéndolo según el margen mínimo, es decir, que este margen mínimo es un valor que el proponente debe tener en cuenta para bajar el precio, y que es un límite inferior respecto del cual el oferente solo puede cumplirlo o ampliarlo</w:t>
      </w:r>
      <w:r w:rsidRPr="00C1012C">
        <w:rPr>
          <w:rFonts w:ascii="Geomanist Light" w:eastAsia="Calibri" w:hAnsi="Geomanist Light" w:cs="Arial"/>
          <w:b/>
          <w:bCs/>
          <w:sz w:val="21"/>
          <w:szCs w:val="21"/>
          <w:lang w:val="es-ES"/>
        </w:rPr>
        <w:t xml:space="preserve">. </w:t>
      </w:r>
      <w:r w:rsidRPr="00C1012C">
        <w:rPr>
          <w:rFonts w:ascii="Geomanist Light" w:eastAsia="Calibri" w:hAnsi="Geomanist Light" w:cs="Arial"/>
          <w:sz w:val="21"/>
          <w:szCs w:val="21"/>
          <w:lang w:val="es-ES"/>
        </w:rPr>
        <w:t xml:space="preserve">Como lo explica la norma, la subasta inicia con el precio más bajo indicado por los oferentes y sólo son válidos aquellos lances que mejoran la oferta en por lo menos el margen mínimo establecido. </w:t>
      </w:r>
    </w:p>
    <w:p w14:paraId="7758AB56" w14:textId="0F4C8779" w:rsidR="00C1012C" w:rsidRPr="00C1012C" w:rsidRDefault="00C1012C" w:rsidP="00C1012C">
      <w:pPr>
        <w:spacing w:after="0" w:line="240" w:lineRule="auto"/>
        <w:contextualSpacing/>
        <w:rPr>
          <w:rFonts w:ascii="Geomanist Light" w:eastAsia="Calibri" w:hAnsi="Geomanist Light" w:cs="Arial"/>
          <w:sz w:val="21"/>
          <w:szCs w:val="21"/>
          <w:lang w:val="es-ES"/>
        </w:rPr>
      </w:pPr>
      <w:r w:rsidRPr="00C1012C">
        <w:rPr>
          <w:rFonts w:ascii="Geomanist Light" w:eastAsia="Calibri" w:hAnsi="Geomanist Light" w:cs="Arial"/>
          <w:sz w:val="21"/>
          <w:szCs w:val="21"/>
          <w:lang w:val="es-ES"/>
        </w:rPr>
        <w:t>El artículo 2.2.1.2.2.4 del Decreto 1082 de 2015 establece que la subasta finaliza cuando los oferentes no hagan lances adicionales durante el periodo determinado para la presentación de estos. El contrato es adjudicado a aquel oferente que disponga el precio más bajo en la subasta, siendo este el único criterio de comparación de las propuestas en esta modalidad de selección. En caso de empate</w:t>
      </w:r>
      <w:r w:rsidRPr="00C1012C">
        <w:rPr>
          <w:rFonts w:ascii="Geomanist Light" w:eastAsia="Calibri" w:hAnsi="Geomanist Light" w:cs="Arial"/>
          <w:sz w:val="21"/>
          <w:szCs w:val="21"/>
        </w:rPr>
        <w:t xml:space="preserve">, la entidad estatal debe seleccionar al oferente que presentó el menor precio inicial. En caso de persistir el empate la entidad estatal debe aplicar los criterios del artículo 35 de la Ley </w:t>
      </w:r>
      <w:r w:rsidRPr="00C1012C">
        <w:rPr>
          <w:rFonts w:ascii="Geomanist Light" w:eastAsia="Calibri" w:hAnsi="Geomanist Light" w:cs="Arial"/>
          <w:sz w:val="21"/>
          <w:szCs w:val="21"/>
        </w:rPr>
        <w:lastRenderedPageBreak/>
        <w:t>2069 de 2020 conforme con los medios de acreditación del artículo 2.2. 1.2.4.2 17 del Decreto 1860 del 2021.</w:t>
      </w:r>
    </w:p>
    <w:p w14:paraId="7052D3E4" w14:textId="77777777" w:rsidR="00C1012C" w:rsidRPr="00C1012C" w:rsidRDefault="00C1012C" w:rsidP="00C1012C">
      <w:pPr>
        <w:spacing w:after="0" w:line="240" w:lineRule="auto"/>
        <w:contextualSpacing/>
        <w:rPr>
          <w:rFonts w:ascii="Geomanist Light" w:eastAsia="Calibri" w:hAnsi="Geomanist Light" w:cs="Arial"/>
          <w:sz w:val="21"/>
          <w:szCs w:val="21"/>
        </w:rPr>
      </w:pPr>
    </w:p>
    <w:p w14:paraId="60952124" w14:textId="3497C8F7" w:rsidR="00C1012C" w:rsidRPr="00C1012C" w:rsidRDefault="00C1012C" w:rsidP="00C1012C">
      <w:pPr>
        <w:spacing w:after="0" w:line="240" w:lineRule="auto"/>
        <w:contextualSpacing/>
        <w:rPr>
          <w:rFonts w:ascii="Geomanist Light" w:eastAsia="Calibri" w:hAnsi="Geomanist Light" w:cs="Arial"/>
          <w:b/>
          <w:bCs/>
          <w:sz w:val="21"/>
          <w:szCs w:val="21"/>
        </w:rPr>
      </w:pPr>
      <w:r w:rsidRPr="00C1012C">
        <w:rPr>
          <w:rFonts w:ascii="Geomanist Light" w:eastAsia="Calibri" w:hAnsi="Geomanist Light" w:cs="Arial"/>
          <w:b/>
          <w:bCs/>
          <w:sz w:val="21"/>
          <w:szCs w:val="21"/>
        </w:rPr>
        <w:t>OFERTA ARTIFICIALMENTE BAJA – Límites a la cuantía de la subasta inversa</w:t>
      </w:r>
    </w:p>
    <w:p w14:paraId="20B7E834" w14:textId="4A53DEB8" w:rsidR="00C1012C" w:rsidRPr="00C1012C" w:rsidRDefault="00C1012C" w:rsidP="00C1012C">
      <w:pPr>
        <w:spacing w:after="0" w:line="240" w:lineRule="auto"/>
        <w:contextualSpacing/>
        <w:rPr>
          <w:rFonts w:ascii="Geomanist Light" w:eastAsia="Calibri" w:hAnsi="Geomanist Light" w:cs="Arial"/>
          <w:sz w:val="21"/>
          <w:szCs w:val="21"/>
        </w:rPr>
      </w:pPr>
    </w:p>
    <w:p w14:paraId="1DFF6E59" w14:textId="30F73675" w:rsidR="00C1012C" w:rsidRPr="00C1012C" w:rsidRDefault="00C1012C" w:rsidP="00C1012C">
      <w:pPr>
        <w:spacing w:after="0" w:line="240" w:lineRule="auto"/>
        <w:contextualSpacing/>
        <w:rPr>
          <w:rFonts w:ascii="Geomanist Light" w:eastAsia="Calibri" w:hAnsi="Geomanist Light" w:cs="Arial"/>
          <w:sz w:val="21"/>
          <w:szCs w:val="21"/>
          <w:lang w:val="es-ES"/>
        </w:rPr>
      </w:pPr>
      <w:r w:rsidRPr="00C1012C">
        <w:rPr>
          <w:rFonts w:ascii="Geomanist Light" w:eastAsia="Calibri" w:hAnsi="Geomanist Light" w:cs="Arial"/>
          <w:sz w:val="21"/>
          <w:szCs w:val="21"/>
          <w:lang w:val="es-ES"/>
        </w:rPr>
        <w:t>Considerando el funcionamiento de la subasta y las características que la ley establece para la adjudicación en este proceso, se llega a la conclusión de que la oferta adjudicada será aquella que presente el precio más bajo. Si bien la ley no establece expresamente si la entidad estatal debe considerar un límite en los precios ofertados en los lances de la subasta, para adjudicar o rechazar una oferta, esta determina que en caso de presentarse un precio que, de acuerdo con la información obtenida por la entidad en el análisis del sector del bien o servicio objeto de la contratación, se considere que no corresponde al valor del mercado, debe la entidad requerir al oferente para que sustente el precio ofrecido. Esto es conocido como el precio artificialmente bajo. […]</w:t>
      </w:r>
    </w:p>
    <w:p w14:paraId="6668F5F8" w14:textId="08C30105" w:rsidR="00C1012C" w:rsidRPr="00C1012C" w:rsidRDefault="00C1012C" w:rsidP="00C1012C">
      <w:pPr>
        <w:spacing w:after="0" w:line="240" w:lineRule="auto"/>
        <w:contextualSpacing/>
        <w:rPr>
          <w:rFonts w:ascii="Geomanist Light" w:eastAsia="Calibri" w:hAnsi="Geomanist Light" w:cs="Arial"/>
          <w:sz w:val="21"/>
          <w:szCs w:val="21"/>
        </w:rPr>
      </w:pPr>
      <w:r w:rsidRPr="00C1012C">
        <w:rPr>
          <w:rFonts w:ascii="Geomanist Light" w:eastAsia="Calibri" w:hAnsi="Geomanist Light" w:cs="Arial"/>
          <w:sz w:val="21"/>
          <w:szCs w:val="21"/>
          <w:lang w:val="es-ES"/>
        </w:rPr>
        <w:t>El decreto 1082 de 2015, en su artículo 2.2.1.1.2.2.4. define a la oferta artificialmente baja como aquella en donde, en criterio de la entidad estatal, el precio no parece suficiente para garantizar una correcta ejecución del contrato, de acuerdo con la información recogida durante la etapa de planeación y particularmente durante el estudio del sector. […]</w:t>
      </w:r>
    </w:p>
    <w:p w14:paraId="63B1065B" w14:textId="3C0AE4F9" w:rsidR="00C1012C" w:rsidRPr="00C1012C" w:rsidRDefault="00C1012C" w:rsidP="00C1012C">
      <w:pPr>
        <w:spacing w:after="0" w:line="240" w:lineRule="auto"/>
        <w:contextualSpacing/>
        <w:rPr>
          <w:rFonts w:ascii="Geomanist Light" w:eastAsia="Calibri" w:hAnsi="Geomanist Light" w:cs="Arial"/>
          <w:sz w:val="21"/>
          <w:szCs w:val="21"/>
          <w:lang w:val="es-ES"/>
        </w:rPr>
      </w:pPr>
      <w:r w:rsidRPr="00C1012C">
        <w:rPr>
          <w:rFonts w:ascii="Geomanist Light" w:eastAsia="Calibri" w:hAnsi="Geomanist Light" w:cs="Arial"/>
          <w:sz w:val="21"/>
          <w:szCs w:val="21"/>
          <w:lang w:val="es-ES"/>
        </w:rPr>
        <w:t xml:space="preserve">Para determinar si se trata de una «oferta artificialmente baja», la Guía para el manejo de ofertas artificialmente bajas en procesos de Contratación, sugiere a la entidad recurrir a la siguiente información: i) promedio del valor de las ofertas; </w:t>
      </w:r>
      <w:proofErr w:type="spellStart"/>
      <w:r w:rsidRPr="00C1012C">
        <w:rPr>
          <w:rFonts w:ascii="Geomanist Light" w:eastAsia="Calibri" w:hAnsi="Geomanist Light" w:cs="Arial"/>
          <w:sz w:val="21"/>
          <w:szCs w:val="21"/>
          <w:lang w:val="es-ES"/>
        </w:rPr>
        <w:t>ii</w:t>
      </w:r>
      <w:proofErr w:type="spellEnd"/>
      <w:r w:rsidRPr="00C1012C">
        <w:rPr>
          <w:rFonts w:ascii="Geomanist Light" w:eastAsia="Calibri" w:hAnsi="Geomanist Light" w:cs="Arial"/>
          <w:sz w:val="21"/>
          <w:szCs w:val="21"/>
          <w:lang w:val="es-ES"/>
        </w:rPr>
        <w:t xml:space="preserve">) mediana del valor las ofertas ; </w:t>
      </w:r>
      <w:proofErr w:type="spellStart"/>
      <w:r w:rsidRPr="00C1012C">
        <w:rPr>
          <w:rFonts w:ascii="Geomanist Light" w:eastAsia="Calibri" w:hAnsi="Geomanist Light" w:cs="Arial"/>
          <w:sz w:val="21"/>
          <w:szCs w:val="21"/>
          <w:lang w:val="es-ES"/>
        </w:rPr>
        <w:t>iii</w:t>
      </w:r>
      <w:proofErr w:type="spellEnd"/>
      <w:r w:rsidRPr="00C1012C">
        <w:rPr>
          <w:rFonts w:ascii="Geomanist Light" w:eastAsia="Calibri" w:hAnsi="Geomanist Light" w:cs="Arial"/>
          <w:sz w:val="21"/>
          <w:szCs w:val="21"/>
          <w:lang w:val="es-ES"/>
        </w:rPr>
        <w:t xml:space="preserve">) desviación estándar del valor de las ofertas; </w:t>
      </w:r>
      <w:proofErr w:type="spellStart"/>
      <w:r w:rsidRPr="00C1012C">
        <w:rPr>
          <w:rFonts w:ascii="Geomanist Light" w:eastAsia="Calibri" w:hAnsi="Geomanist Light" w:cs="Arial"/>
          <w:sz w:val="21"/>
          <w:szCs w:val="21"/>
          <w:lang w:val="es-ES"/>
        </w:rPr>
        <w:t>iv</w:t>
      </w:r>
      <w:proofErr w:type="spellEnd"/>
      <w:r w:rsidRPr="00C1012C">
        <w:rPr>
          <w:rFonts w:ascii="Geomanist Light" w:eastAsia="Calibri" w:hAnsi="Geomanist Light" w:cs="Arial"/>
          <w:sz w:val="21"/>
          <w:szCs w:val="21"/>
          <w:lang w:val="es-ES"/>
        </w:rPr>
        <w:t xml:space="preserve">)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Pr="00C1012C">
        <w:rPr>
          <w:rFonts w:ascii="Geomanist Light" w:eastAsia="Calibri" w:hAnsi="Geomanist Light" w:cs="Arial"/>
          <w:sz w:val="21"/>
          <w:szCs w:val="21"/>
          <w:lang w:val="es-ES"/>
        </w:rPr>
        <w:t>vii</w:t>
      </w:r>
      <w:proofErr w:type="spellEnd"/>
      <w:r w:rsidRPr="00C1012C">
        <w:rPr>
          <w:rFonts w:ascii="Geomanist Light" w:eastAsia="Calibri" w:hAnsi="Geomanist Light" w:cs="Arial"/>
          <w:sz w:val="21"/>
          <w:szCs w:val="21"/>
          <w:lang w:val="es-ES"/>
        </w:rPr>
        <w:t>) la información histórica de ofertas y contratos del objeto del proceso de contratación.</w:t>
      </w:r>
    </w:p>
    <w:p w14:paraId="0E940BCB" w14:textId="485C936D" w:rsidR="00C1012C" w:rsidRPr="00C1012C" w:rsidRDefault="00C1012C" w:rsidP="003D069D">
      <w:pPr>
        <w:spacing w:after="0" w:line="240" w:lineRule="auto"/>
        <w:contextualSpacing/>
        <w:rPr>
          <w:rFonts w:ascii="Geomanist Light" w:eastAsia="Calibri" w:hAnsi="Geomanist Light" w:cs="Arial"/>
          <w:sz w:val="22"/>
          <w:lang w:val="es-ES"/>
        </w:rPr>
      </w:pPr>
    </w:p>
    <w:p w14:paraId="229089B3" w14:textId="08FEFB3A" w:rsidR="00C1012C" w:rsidRDefault="00C1012C" w:rsidP="003D069D">
      <w:pPr>
        <w:spacing w:after="0" w:line="240" w:lineRule="auto"/>
        <w:contextualSpacing/>
        <w:rPr>
          <w:rFonts w:ascii="Geomanist Light" w:eastAsia="Calibri" w:hAnsi="Geomanist Light" w:cs="Arial"/>
          <w:sz w:val="22"/>
        </w:rPr>
      </w:pPr>
    </w:p>
    <w:p w14:paraId="38F8A096" w14:textId="35355D08" w:rsidR="00C1012C" w:rsidRDefault="00C1012C" w:rsidP="003D069D">
      <w:pPr>
        <w:spacing w:after="0" w:line="240" w:lineRule="auto"/>
        <w:contextualSpacing/>
        <w:rPr>
          <w:rFonts w:ascii="Geomanist Light" w:eastAsia="Calibri" w:hAnsi="Geomanist Light" w:cs="Arial"/>
          <w:sz w:val="22"/>
        </w:rPr>
      </w:pPr>
    </w:p>
    <w:p w14:paraId="5B3EBAC5" w14:textId="1090009E" w:rsidR="00C1012C" w:rsidRDefault="00C1012C" w:rsidP="003D069D">
      <w:pPr>
        <w:spacing w:after="0" w:line="240" w:lineRule="auto"/>
        <w:contextualSpacing/>
        <w:rPr>
          <w:rFonts w:ascii="Geomanist Light" w:eastAsia="Calibri" w:hAnsi="Geomanist Light" w:cs="Arial"/>
          <w:sz w:val="22"/>
        </w:rPr>
      </w:pPr>
    </w:p>
    <w:p w14:paraId="7F747A32" w14:textId="3280D756" w:rsidR="00C1012C" w:rsidRDefault="00C1012C" w:rsidP="003D069D">
      <w:pPr>
        <w:spacing w:after="0" w:line="240" w:lineRule="auto"/>
        <w:contextualSpacing/>
        <w:rPr>
          <w:rFonts w:ascii="Geomanist Light" w:eastAsia="Calibri" w:hAnsi="Geomanist Light" w:cs="Arial"/>
          <w:sz w:val="22"/>
        </w:rPr>
      </w:pPr>
    </w:p>
    <w:p w14:paraId="13D1CBCC" w14:textId="72840482" w:rsidR="00C1012C" w:rsidRDefault="00C1012C" w:rsidP="003D069D">
      <w:pPr>
        <w:spacing w:after="0" w:line="240" w:lineRule="auto"/>
        <w:contextualSpacing/>
        <w:rPr>
          <w:rFonts w:ascii="Geomanist Light" w:eastAsia="Calibri" w:hAnsi="Geomanist Light" w:cs="Arial"/>
          <w:sz w:val="22"/>
        </w:rPr>
      </w:pPr>
    </w:p>
    <w:p w14:paraId="4DADE04B" w14:textId="22827AD5" w:rsidR="00C1012C" w:rsidRDefault="00C1012C" w:rsidP="003D069D">
      <w:pPr>
        <w:spacing w:after="0" w:line="240" w:lineRule="auto"/>
        <w:contextualSpacing/>
        <w:rPr>
          <w:rFonts w:ascii="Geomanist Light" w:eastAsia="Calibri" w:hAnsi="Geomanist Light" w:cs="Arial"/>
          <w:sz w:val="22"/>
        </w:rPr>
      </w:pPr>
    </w:p>
    <w:p w14:paraId="02AF1234" w14:textId="1159F9AF" w:rsidR="00C1012C" w:rsidRDefault="00C1012C" w:rsidP="003D069D">
      <w:pPr>
        <w:spacing w:after="0" w:line="240" w:lineRule="auto"/>
        <w:contextualSpacing/>
        <w:rPr>
          <w:rFonts w:ascii="Geomanist Light" w:eastAsia="Calibri" w:hAnsi="Geomanist Light" w:cs="Arial"/>
          <w:sz w:val="22"/>
        </w:rPr>
      </w:pPr>
    </w:p>
    <w:p w14:paraId="43CC692C" w14:textId="13EB891D" w:rsidR="00C1012C" w:rsidRDefault="00C1012C" w:rsidP="003D069D">
      <w:pPr>
        <w:spacing w:after="0" w:line="240" w:lineRule="auto"/>
        <w:contextualSpacing/>
        <w:rPr>
          <w:rFonts w:ascii="Geomanist Light" w:eastAsia="Calibri" w:hAnsi="Geomanist Light" w:cs="Arial"/>
          <w:sz w:val="22"/>
        </w:rPr>
      </w:pPr>
    </w:p>
    <w:p w14:paraId="4DF7E5FE" w14:textId="3A3F0D8D" w:rsidR="00C1012C" w:rsidRDefault="00C1012C" w:rsidP="003D069D">
      <w:pPr>
        <w:spacing w:after="0" w:line="240" w:lineRule="auto"/>
        <w:contextualSpacing/>
        <w:rPr>
          <w:rFonts w:ascii="Geomanist Light" w:eastAsia="Calibri" w:hAnsi="Geomanist Light" w:cs="Arial"/>
          <w:sz w:val="22"/>
        </w:rPr>
      </w:pPr>
    </w:p>
    <w:p w14:paraId="1FF7B09E" w14:textId="7C3F616E" w:rsidR="00C1012C" w:rsidRDefault="00C1012C" w:rsidP="003D069D">
      <w:pPr>
        <w:spacing w:after="0" w:line="240" w:lineRule="auto"/>
        <w:contextualSpacing/>
        <w:rPr>
          <w:rFonts w:ascii="Geomanist Light" w:eastAsia="Calibri" w:hAnsi="Geomanist Light" w:cs="Arial"/>
          <w:sz w:val="22"/>
        </w:rPr>
      </w:pPr>
    </w:p>
    <w:p w14:paraId="2689B678" w14:textId="0C29D6AA" w:rsidR="00C1012C" w:rsidRDefault="00C1012C" w:rsidP="003D069D">
      <w:pPr>
        <w:spacing w:after="0" w:line="240" w:lineRule="auto"/>
        <w:contextualSpacing/>
        <w:rPr>
          <w:rFonts w:ascii="Geomanist Light" w:eastAsia="Calibri" w:hAnsi="Geomanist Light" w:cs="Arial"/>
          <w:sz w:val="22"/>
        </w:rPr>
      </w:pPr>
    </w:p>
    <w:p w14:paraId="3C1CECA8" w14:textId="3CAFCC03" w:rsidR="00C1012C" w:rsidRDefault="00C1012C" w:rsidP="003D069D">
      <w:pPr>
        <w:spacing w:after="0" w:line="240" w:lineRule="auto"/>
        <w:contextualSpacing/>
        <w:rPr>
          <w:rFonts w:ascii="Geomanist Light" w:eastAsia="Calibri" w:hAnsi="Geomanist Light" w:cs="Arial"/>
          <w:sz w:val="22"/>
        </w:rPr>
      </w:pPr>
    </w:p>
    <w:p w14:paraId="3F3266E8" w14:textId="0BA2A7A1" w:rsidR="00C1012C" w:rsidRDefault="00C1012C" w:rsidP="003D069D">
      <w:pPr>
        <w:spacing w:after="0" w:line="240" w:lineRule="auto"/>
        <w:contextualSpacing/>
        <w:rPr>
          <w:rFonts w:ascii="Geomanist Light" w:eastAsia="Calibri" w:hAnsi="Geomanist Light" w:cs="Arial"/>
          <w:sz w:val="22"/>
        </w:rPr>
      </w:pPr>
    </w:p>
    <w:p w14:paraId="7A057AB1" w14:textId="3F40C2C6" w:rsidR="00C1012C" w:rsidRDefault="00C1012C" w:rsidP="003D069D">
      <w:pPr>
        <w:spacing w:after="0" w:line="240" w:lineRule="auto"/>
        <w:contextualSpacing/>
        <w:rPr>
          <w:rFonts w:ascii="Geomanist Light" w:eastAsia="Calibri" w:hAnsi="Geomanist Light" w:cs="Arial"/>
          <w:sz w:val="22"/>
        </w:rPr>
      </w:pPr>
    </w:p>
    <w:p w14:paraId="327D041E" w14:textId="0113B2BE" w:rsidR="00C1012C" w:rsidRDefault="00C1012C" w:rsidP="003D069D">
      <w:pPr>
        <w:spacing w:after="0" w:line="240" w:lineRule="auto"/>
        <w:contextualSpacing/>
        <w:rPr>
          <w:rFonts w:ascii="Geomanist Light" w:eastAsia="Calibri" w:hAnsi="Geomanist Light" w:cs="Arial"/>
          <w:sz w:val="22"/>
        </w:rPr>
      </w:pPr>
    </w:p>
    <w:p w14:paraId="6BBCCD35" w14:textId="45194E36" w:rsidR="00C1012C" w:rsidRDefault="00C1012C" w:rsidP="003D069D">
      <w:pPr>
        <w:spacing w:after="0" w:line="240" w:lineRule="auto"/>
        <w:contextualSpacing/>
        <w:rPr>
          <w:rFonts w:ascii="Geomanist Light" w:eastAsia="Calibri" w:hAnsi="Geomanist Light" w:cs="Arial"/>
          <w:sz w:val="22"/>
        </w:rPr>
      </w:pPr>
    </w:p>
    <w:p w14:paraId="76DA3878" w14:textId="2CB53F0B" w:rsidR="00C1012C" w:rsidRDefault="00C1012C" w:rsidP="003D069D">
      <w:pPr>
        <w:spacing w:after="0" w:line="240" w:lineRule="auto"/>
        <w:contextualSpacing/>
        <w:rPr>
          <w:rFonts w:ascii="Geomanist Light" w:eastAsia="Calibri" w:hAnsi="Geomanist Light" w:cs="Arial"/>
          <w:sz w:val="22"/>
        </w:rPr>
      </w:pPr>
    </w:p>
    <w:p w14:paraId="40404EC1" w14:textId="7E1A2012" w:rsidR="00C1012C" w:rsidRDefault="00C1012C" w:rsidP="003D069D">
      <w:pPr>
        <w:spacing w:after="0" w:line="240" w:lineRule="auto"/>
        <w:contextualSpacing/>
        <w:rPr>
          <w:rFonts w:ascii="Geomanist Light" w:eastAsia="Calibri" w:hAnsi="Geomanist Light" w:cs="Arial"/>
          <w:sz w:val="22"/>
        </w:rPr>
      </w:pPr>
    </w:p>
    <w:p w14:paraId="4B4D4A33" w14:textId="6F246383" w:rsidR="00C1012C" w:rsidRDefault="00C1012C" w:rsidP="003D069D">
      <w:pPr>
        <w:spacing w:after="0" w:line="240" w:lineRule="auto"/>
        <w:contextualSpacing/>
        <w:rPr>
          <w:rFonts w:ascii="Geomanist Light" w:eastAsia="Calibri" w:hAnsi="Geomanist Light" w:cs="Arial"/>
          <w:sz w:val="22"/>
        </w:rPr>
      </w:pPr>
    </w:p>
    <w:p w14:paraId="620A8263" w14:textId="4838FC16" w:rsidR="00C1012C" w:rsidRDefault="00C1012C" w:rsidP="003D069D">
      <w:pPr>
        <w:spacing w:after="0" w:line="240" w:lineRule="auto"/>
        <w:contextualSpacing/>
        <w:rPr>
          <w:rFonts w:ascii="Geomanist Light" w:eastAsia="Calibri" w:hAnsi="Geomanist Light" w:cs="Arial"/>
          <w:sz w:val="22"/>
        </w:rPr>
      </w:pPr>
    </w:p>
    <w:p w14:paraId="4D2BB5F4" w14:textId="20F022F1" w:rsidR="00C1012C" w:rsidRDefault="00C1012C" w:rsidP="003D069D">
      <w:pPr>
        <w:spacing w:after="0" w:line="240" w:lineRule="auto"/>
        <w:contextualSpacing/>
        <w:rPr>
          <w:rFonts w:ascii="Geomanist Light" w:eastAsia="Calibri" w:hAnsi="Geomanist Light" w:cs="Arial"/>
          <w:sz w:val="22"/>
        </w:rPr>
      </w:pPr>
    </w:p>
    <w:p w14:paraId="37792E19" w14:textId="3EEA57EA" w:rsidR="00C1012C" w:rsidRDefault="00C1012C" w:rsidP="003D069D">
      <w:pPr>
        <w:spacing w:after="0" w:line="240" w:lineRule="auto"/>
        <w:contextualSpacing/>
        <w:rPr>
          <w:rFonts w:ascii="Geomanist Light" w:eastAsia="Calibri" w:hAnsi="Geomanist Light" w:cs="Arial"/>
          <w:sz w:val="22"/>
        </w:rPr>
      </w:pPr>
    </w:p>
    <w:p w14:paraId="3F3B75E3" w14:textId="77777777" w:rsidR="00C1012C" w:rsidRPr="00C1012C" w:rsidRDefault="00C1012C" w:rsidP="003D069D">
      <w:pPr>
        <w:spacing w:after="0" w:line="240" w:lineRule="auto"/>
        <w:contextualSpacing/>
        <w:rPr>
          <w:rFonts w:ascii="Geomanist Light" w:eastAsia="Calibri" w:hAnsi="Geomanist Light" w:cs="Arial"/>
          <w:sz w:val="22"/>
        </w:rPr>
      </w:pPr>
    </w:p>
    <w:p w14:paraId="450B38C7" w14:textId="1B06B471" w:rsidR="003D069D" w:rsidRDefault="0092462D" w:rsidP="003D069D">
      <w:pPr>
        <w:spacing w:after="0" w:line="240" w:lineRule="auto"/>
        <w:contextualSpacing/>
        <w:rPr>
          <w:rFonts w:ascii="Geomanist Light" w:eastAsia="Calibri" w:hAnsi="Geomanist Light" w:cs="Arial"/>
          <w:sz w:val="22"/>
          <w:lang w:val="es-CO"/>
        </w:rPr>
      </w:pPr>
      <w:r>
        <w:rPr>
          <w:rFonts w:ascii="Geomanist Light" w:eastAsia="Calibri" w:hAnsi="Geomanist Light" w:cs="Arial"/>
          <w:noProof/>
          <w:sz w:val="22"/>
          <w:lang w:val="es-CO"/>
        </w:rPr>
        <w:drawing>
          <wp:anchor distT="0" distB="0" distL="114300" distR="114300" simplePos="0" relativeHeight="251658240" behindDoc="0" locked="0" layoutInCell="1" allowOverlap="1" wp14:anchorId="2A0EEAAF" wp14:editId="48918EB0">
            <wp:simplePos x="0" y="0"/>
            <wp:positionH relativeFrom="column">
              <wp:posOffset>2858953</wp:posOffset>
            </wp:positionH>
            <wp:positionV relativeFrom="paragraph">
              <wp:posOffset>-77323</wp:posOffset>
            </wp:positionV>
            <wp:extent cx="2747949" cy="73855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0883" cy="760843"/>
                    </a:xfrm>
                    <a:prstGeom prst="rect">
                      <a:avLst/>
                    </a:prstGeom>
                  </pic:spPr>
                </pic:pic>
              </a:graphicData>
            </a:graphic>
            <wp14:sizeRelH relativeFrom="page">
              <wp14:pctWidth>0</wp14:pctWidth>
            </wp14:sizeRelH>
            <wp14:sizeRelV relativeFrom="page">
              <wp14:pctHeight>0</wp14:pctHeight>
            </wp14:sizeRelV>
          </wp:anchor>
        </w:drawing>
      </w:r>
      <w:r w:rsidR="003D069D">
        <w:rPr>
          <w:rFonts w:ascii="Geomanist Light" w:eastAsia="Calibri" w:hAnsi="Geomanist Light" w:cs="Arial"/>
          <w:sz w:val="22"/>
          <w:lang w:val="es-CO"/>
        </w:rPr>
        <w:t>Bogotá D.C., 21 de noviembre de 2022</w:t>
      </w:r>
    </w:p>
    <w:p w14:paraId="129AFC8C" w14:textId="77777777" w:rsidR="003D069D" w:rsidRDefault="003D069D" w:rsidP="003D069D">
      <w:pPr>
        <w:spacing w:after="0" w:line="240" w:lineRule="auto"/>
        <w:contextualSpacing/>
        <w:rPr>
          <w:rFonts w:ascii="Geomanist Light" w:eastAsia="Calibri" w:hAnsi="Geomanist Light" w:cs="Arial"/>
          <w:sz w:val="22"/>
          <w:lang w:val="es-CO"/>
        </w:rPr>
      </w:pPr>
    </w:p>
    <w:p w14:paraId="58539B4D" w14:textId="5A8DF273" w:rsidR="00656E4E" w:rsidRPr="00565DA8" w:rsidRDefault="00656E4E" w:rsidP="003D069D">
      <w:pPr>
        <w:spacing w:after="0" w:line="240" w:lineRule="auto"/>
        <w:contextualSpacing/>
        <w:rPr>
          <w:rFonts w:ascii="Geomanist Light" w:eastAsia="Calibri" w:hAnsi="Geomanist Light" w:cs="Arial"/>
          <w:sz w:val="22"/>
          <w:lang w:val="es-CO"/>
        </w:rPr>
      </w:pPr>
      <w:r w:rsidRPr="00565DA8">
        <w:rPr>
          <w:rFonts w:ascii="Geomanist Light" w:eastAsia="Calibri" w:hAnsi="Geomanist Light" w:cs="Arial"/>
          <w:sz w:val="22"/>
          <w:lang w:val="es-CO"/>
        </w:rPr>
        <w:t>Señor</w:t>
      </w:r>
      <w:r w:rsidR="005C3192">
        <w:rPr>
          <w:rFonts w:ascii="Geomanist Light" w:eastAsia="Calibri" w:hAnsi="Geomanist Light" w:cs="Arial"/>
          <w:sz w:val="22"/>
          <w:lang w:val="es-CO"/>
        </w:rPr>
        <w:t>a</w:t>
      </w:r>
    </w:p>
    <w:p w14:paraId="48400BE6" w14:textId="44F21C7F" w:rsidR="008D3DC2" w:rsidRDefault="008D3DC2" w:rsidP="003D069D">
      <w:pPr>
        <w:spacing w:after="0" w:line="240" w:lineRule="auto"/>
        <w:contextualSpacing/>
        <w:rPr>
          <w:rFonts w:ascii="Geomanist Light" w:eastAsia="Calibri" w:hAnsi="Geomanist Light" w:cs="Arial"/>
          <w:b/>
          <w:bCs/>
          <w:sz w:val="22"/>
          <w:lang w:val="es-CO"/>
        </w:rPr>
      </w:pPr>
      <w:r w:rsidRPr="008D3DC2">
        <w:rPr>
          <w:rFonts w:ascii="Geomanist Light" w:eastAsia="Calibri" w:hAnsi="Geomanist Light" w:cs="Arial"/>
          <w:b/>
          <w:bCs/>
          <w:sz w:val="22"/>
        </w:rPr>
        <w:t>Karen Lizet Acevedo Ruiz</w:t>
      </w:r>
    </w:p>
    <w:p w14:paraId="0877615A" w14:textId="2E93B243" w:rsidR="00656E4E" w:rsidRPr="00565DA8" w:rsidRDefault="00565DA8" w:rsidP="003D069D">
      <w:pPr>
        <w:spacing w:after="0" w:line="240" w:lineRule="auto"/>
        <w:contextualSpacing/>
        <w:rPr>
          <w:rFonts w:ascii="Geomanist Light" w:eastAsia="Calibri" w:hAnsi="Geomanist Light" w:cs="Arial"/>
          <w:sz w:val="22"/>
          <w:lang w:val="es-CO"/>
        </w:rPr>
      </w:pPr>
      <w:r w:rsidRPr="00565DA8">
        <w:rPr>
          <w:rFonts w:ascii="Geomanist Light" w:eastAsia="Calibri" w:hAnsi="Geomanist Light" w:cs="Arial"/>
          <w:sz w:val="22"/>
          <w:lang w:val="es-CO"/>
        </w:rPr>
        <w:t>Bogotá D.C.</w:t>
      </w:r>
    </w:p>
    <w:p w14:paraId="66DE7C61" w14:textId="2C9B3E0F" w:rsidR="00656E4E" w:rsidRPr="00565DA8" w:rsidRDefault="00656E4E" w:rsidP="003D069D">
      <w:pPr>
        <w:spacing w:after="0" w:line="240" w:lineRule="auto"/>
        <w:contextualSpacing/>
        <w:rPr>
          <w:rFonts w:ascii="Geomanist Light" w:hAnsi="Geomanist Light" w:cs="Arial"/>
          <w:sz w:val="22"/>
          <w:lang w:val="es-CO"/>
        </w:rPr>
      </w:pPr>
      <w:r w:rsidRPr="00565DA8">
        <w:rPr>
          <w:rFonts w:ascii="Geomanist Light" w:eastAsia="Calibri" w:hAnsi="Geomanist Light" w:cs="Arial"/>
          <w:sz w:val="22"/>
          <w:lang w:val="es-CO"/>
        </w:rPr>
        <w:t xml:space="preserve">                      </w:t>
      </w:r>
      <w:r w:rsidRPr="00565DA8">
        <w:rPr>
          <w:rFonts w:ascii="Geomanist Light" w:eastAsia="Calibri" w:hAnsi="Geomanist Light" w:cs="Arial"/>
          <w:sz w:val="22"/>
          <w:lang w:val="es-CO"/>
        </w:rPr>
        <w:tab/>
      </w:r>
      <w:r w:rsidRPr="00565DA8">
        <w:rPr>
          <w:rFonts w:ascii="Geomanist Light" w:eastAsia="Calibri" w:hAnsi="Geomanist Light" w:cs="Arial"/>
          <w:sz w:val="22"/>
          <w:lang w:val="es-CO"/>
        </w:rPr>
        <w:tab/>
      </w:r>
      <w:r w:rsidRPr="00565DA8">
        <w:rPr>
          <w:rFonts w:ascii="Geomanist Light" w:eastAsia="Calibri" w:hAnsi="Geomanist Light" w:cs="Arial"/>
          <w:sz w:val="22"/>
          <w:lang w:val="es-CO"/>
        </w:rPr>
        <w:tab/>
      </w:r>
      <w:r w:rsidRPr="00565DA8">
        <w:rPr>
          <w:rFonts w:ascii="Geomanist Light" w:eastAsia="Calibri" w:hAnsi="Geomanist Light" w:cs="Arial"/>
          <w:b/>
          <w:sz w:val="22"/>
          <w:lang w:val="es-CO"/>
        </w:rPr>
        <w:t>Concepto C – 7</w:t>
      </w:r>
      <w:r w:rsidR="008D3DC2">
        <w:rPr>
          <w:rFonts w:ascii="Geomanist Light" w:eastAsia="Calibri" w:hAnsi="Geomanist Light" w:cs="Arial"/>
          <w:b/>
          <w:sz w:val="22"/>
          <w:lang w:val="es-CO"/>
        </w:rPr>
        <w:t>98</w:t>
      </w:r>
      <w:r w:rsidRPr="00565DA8">
        <w:rPr>
          <w:rFonts w:ascii="Geomanist Light" w:eastAsia="Calibri" w:hAnsi="Geomanist Light" w:cs="Arial"/>
          <w:b/>
          <w:sz w:val="22"/>
          <w:lang w:val="es-CO"/>
        </w:rPr>
        <w:t xml:space="preserve"> de 2022</w:t>
      </w:r>
      <w:r w:rsidRPr="00565DA8">
        <w:rPr>
          <w:rFonts w:ascii="Geomanist Light" w:hAnsi="Geomanist Light" w:cs="Arial"/>
          <w:sz w:val="22"/>
          <w:lang w:val="es-CO"/>
        </w:rPr>
        <w:t xml:space="preserve"> </w:t>
      </w:r>
    </w:p>
    <w:p w14:paraId="00568868" w14:textId="77777777" w:rsidR="00656E4E" w:rsidRPr="00565DA8" w:rsidRDefault="00656E4E" w:rsidP="003D069D">
      <w:pPr>
        <w:spacing w:after="0" w:line="240" w:lineRule="auto"/>
        <w:contextualSpacing/>
        <w:rPr>
          <w:rFonts w:ascii="Geomanist Light" w:eastAsia="Calibri" w:hAnsi="Geomanist Light"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56E4E" w:rsidRPr="00565DA8" w14:paraId="3C9993F8" w14:textId="77777777" w:rsidTr="0019336A">
        <w:trPr>
          <w:trHeight w:val="485"/>
        </w:trPr>
        <w:tc>
          <w:tcPr>
            <w:tcW w:w="2689" w:type="dxa"/>
            <w:hideMark/>
          </w:tcPr>
          <w:p w14:paraId="12BBB83A" w14:textId="77777777" w:rsidR="00656E4E" w:rsidRPr="00565DA8" w:rsidRDefault="00656E4E" w:rsidP="003D069D">
            <w:pPr>
              <w:spacing w:after="0" w:line="240" w:lineRule="auto"/>
              <w:contextualSpacing/>
              <w:rPr>
                <w:rFonts w:ascii="Geomanist Light" w:eastAsia="Calibri" w:hAnsi="Geomanist Light" w:cs="Arial"/>
                <w:noProof/>
                <w:lang w:val="es-ES_tradnl"/>
              </w:rPr>
            </w:pPr>
            <w:r w:rsidRPr="00565DA8">
              <w:rPr>
                <w:rFonts w:ascii="Geomanist Light" w:eastAsia="Calibri" w:hAnsi="Geomanist Light" w:cs="Arial"/>
                <w:b/>
                <w:noProof/>
                <w:lang w:val="es-ES_tradnl"/>
              </w:rPr>
              <w:t>Temas:</w:t>
            </w:r>
            <w:r w:rsidRPr="00565DA8">
              <w:rPr>
                <w:rFonts w:ascii="Geomanist Light" w:eastAsia="Calibri" w:hAnsi="Geomanist Light" w:cs="Arial"/>
                <w:noProof/>
                <w:lang w:val="es-ES_tradnl"/>
              </w:rPr>
              <w:t xml:space="preserve">    </w:t>
            </w:r>
          </w:p>
        </w:tc>
        <w:tc>
          <w:tcPr>
            <w:tcW w:w="6237" w:type="dxa"/>
            <w:hideMark/>
          </w:tcPr>
          <w:p w14:paraId="4697569F" w14:textId="746871A5" w:rsidR="00656E4E" w:rsidRDefault="008D3DC2" w:rsidP="003D069D">
            <w:pPr>
              <w:spacing w:after="0" w:line="240" w:lineRule="auto"/>
              <w:ind w:right="703"/>
              <w:contextualSpacing/>
              <w:rPr>
                <w:rFonts w:ascii="Geomanist Light" w:eastAsia="Calibri" w:hAnsi="Geomanist Light" w:cs="Arial"/>
              </w:rPr>
            </w:pPr>
            <w:r>
              <w:rPr>
                <w:rFonts w:ascii="Geomanist Light" w:eastAsia="Calibri" w:hAnsi="Geomanist Light" w:cs="Arial"/>
                <w:lang w:val="es-ES_tradnl"/>
              </w:rPr>
              <w:t>SUBASTA INVERSA</w:t>
            </w:r>
            <w:r w:rsidR="00656E4E" w:rsidRPr="00565DA8">
              <w:rPr>
                <w:rFonts w:ascii="Geomanist Light" w:eastAsia="Calibri" w:hAnsi="Geomanist Light" w:cs="Arial"/>
              </w:rPr>
              <w:t xml:space="preserve"> –</w:t>
            </w:r>
            <w:r w:rsidR="00806EBD">
              <w:rPr>
                <w:rFonts w:ascii="Geomanist Light" w:eastAsia="Calibri" w:hAnsi="Geomanist Light" w:cs="Arial"/>
              </w:rPr>
              <w:t xml:space="preserve"> Nociones generales </w:t>
            </w:r>
            <w:r w:rsidR="00806EBD" w:rsidRPr="00565DA8">
              <w:rPr>
                <w:rFonts w:ascii="Geomanist Light" w:eastAsia="Calibri" w:hAnsi="Geomanist Light" w:cs="Arial"/>
              </w:rPr>
              <w:t>–</w:t>
            </w:r>
            <w:r w:rsidR="00806EBD">
              <w:rPr>
                <w:rFonts w:ascii="Geomanist Light" w:eastAsia="Calibri" w:hAnsi="Geomanist Light" w:cs="Arial"/>
              </w:rPr>
              <w:t xml:space="preserve"> Régimen jurídico </w:t>
            </w:r>
            <w:r w:rsidR="00806EBD" w:rsidRPr="00565DA8">
              <w:rPr>
                <w:rFonts w:ascii="Geomanist Light" w:eastAsia="Calibri" w:hAnsi="Geomanist Light" w:cs="Arial"/>
              </w:rPr>
              <w:t>–</w:t>
            </w:r>
            <w:r w:rsidR="00806EBD">
              <w:rPr>
                <w:rFonts w:ascii="Geomanist Light" w:eastAsia="Calibri" w:hAnsi="Geomanist Light" w:cs="Arial"/>
              </w:rPr>
              <w:t xml:space="preserve"> P</w:t>
            </w:r>
            <w:r>
              <w:rPr>
                <w:rFonts w:ascii="Geomanist Light" w:eastAsia="Calibri" w:hAnsi="Geomanist Light" w:cs="Arial"/>
              </w:rPr>
              <w:t>rocedimiento</w:t>
            </w:r>
            <w:r w:rsidR="00806EBD">
              <w:rPr>
                <w:rFonts w:ascii="Geomanist Light" w:eastAsia="Calibri" w:hAnsi="Geomanist Light" w:cs="Arial"/>
              </w:rPr>
              <w:t xml:space="preserve"> </w:t>
            </w:r>
            <w:r w:rsidR="00806EBD" w:rsidRPr="00565DA8">
              <w:rPr>
                <w:rFonts w:ascii="Geomanist Light" w:eastAsia="Calibri" w:hAnsi="Geomanist Light" w:cs="Arial"/>
              </w:rPr>
              <w:t>–</w:t>
            </w:r>
            <w:r>
              <w:rPr>
                <w:rFonts w:ascii="Geomanist Light" w:eastAsia="Calibri" w:hAnsi="Geomanist Light" w:cs="Arial"/>
              </w:rPr>
              <w:t xml:space="preserve"> adjudicación</w:t>
            </w:r>
            <w:r w:rsidR="00806EBD">
              <w:rPr>
                <w:rFonts w:ascii="Geomanist Light" w:eastAsia="Calibri" w:hAnsi="Geomanist Light" w:cs="Arial"/>
              </w:rPr>
              <w:t xml:space="preserve"> </w:t>
            </w:r>
            <w:r w:rsidR="00656E4E" w:rsidRPr="00565DA8">
              <w:rPr>
                <w:rFonts w:ascii="Geomanist Light" w:eastAsia="Calibri" w:hAnsi="Geomanist Light" w:cs="Arial"/>
              </w:rPr>
              <w:t>/</w:t>
            </w:r>
            <w:r w:rsidR="00806EBD">
              <w:rPr>
                <w:rFonts w:ascii="Geomanist Light" w:eastAsia="Calibri" w:hAnsi="Geomanist Light" w:cs="Arial"/>
              </w:rPr>
              <w:t xml:space="preserve"> </w:t>
            </w:r>
            <w:r>
              <w:rPr>
                <w:rFonts w:ascii="Geomanist Light" w:eastAsia="Calibri" w:hAnsi="Geomanist Light" w:cs="Arial"/>
              </w:rPr>
              <w:t>OFERTA ARTIFICIALMENTE BAJA</w:t>
            </w:r>
            <w:r w:rsidR="00806EBD">
              <w:rPr>
                <w:rFonts w:ascii="Geomanist Light" w:eastAsia="Calibri" w:hAnsi="Geomanist Light" w:cs="Arial"/>
              </w:rPr>
              <w:t xml:space="preserve"> </w:t>
            </w:r>
            <w:r w:rsidR="00806EBD" w:rsidRPr="00565DA8">
              <w:rPr>
                <w:rFonts w:ascii="Geomanist Light" w:eastAsia="Calibri" w:hAnsi="Geomanist Light" w:cs="Arial"/>
              </w:rPr>
              <w:t>–</w:t>
            </w:r>
            <w:r>
              <w:rPr>
                <w:rFonts w:ascii="Geomanist Light" w:eastAsia="Calibri" w:hAnsi="Geomanist Light" w:cs="Arial"/>
              </w:rPr>
              <w:t xml:space="preserve"> </w:t>
            </w:r>
            <w:r w:rsidR="00806EBD">
              <w:rPr>
                <w:rFonts w:ascii="Geomanist Light" w:eastAsia="Calibri" w:hAnsi="Geomanist Light" w:cs="Arial"/>
              </w:rPr>
              <w:t>L</w:t>
            </w:r>
            <w:r>
              <w:rPr>
                <w:rFonts w:ascii="Geomanist Light" w:eastAsia="Calibri" w:hAnsi="Geomanist Light" w:cs="Arial"/>
              </w:rPr>
              <w:t>ímites a la cuantía de la subasta inversa</w:t>
            </w:r>
          </w:p>
          <w:p w14:paraId="23E694EA" w14:textId="77777777" w:rsidR="008D3DC2" w:rsidRPr="00565DA8" w:rsidRDefault="008D3DC2" w:rsidP="003D069D">
            <w:pPr>
              <w:spacing w:after="0" w:line="240" w:lineRule="auto"/>
              <w:ind w:right="703"/>
              <w:contextualSpacing/>
              <w:rPr>
                <w:rFonts w:ascii="Geomanist Light" w:eastAsia="Calibri" w:hAnsi="Geomanist Light" w:cs="Arial"/>
                <w:bCs/>
              </w:rPr>
            </w:pPr>
          </w:p>
          <w:p w14:paraId="36E2F9E5" w14:textId="77777777" w:rsidR="00656E4E" w:rsidRPr="00565DA8" w:rsidRDefault="00656E4E" w:rsidP="003D069D">
            <w:pPr>
              <w:spacing w:after="0" w:line="240" w:lineRule="auto"/>
              <w:ind w:right="703"/>
              <w:contextualSpacing/>
              <w:rPr>
                <w:rFonts w:ascii="Geomanist Light" w:eastAsia="Calibri" w:hAnsi="Geomanist Light" w:cs="Arial"/>
                <w:bCs/>
              </w:rPr>
            </w:pPr>
          </w:p>
        </w:tc>
      </w:tr>
      <w:tr w:rsidR="00656E4E" w:rsidRPr="00565DA8" w14:paraId="02FBBAD3" w14:textId="77777777" w:rsidTr="0019336A">
        <w:tc>
          <w:tcPr>
            <w:tcW w:w="2689" w:type="dxa"/>
          </w:tcPr>
          <w:p w14:paraId="6ACE5966" w14:textId="5244A5A6" w:rsidR="00656E4E" w:rsidRPr="00565DA8" w:rsidRDefault="00656E4E" w:rsidP="003D069D">
            <w:pPr>
              <w:spacing w:after="0" w:line="240" w:lineRule="auto"/>
              <w:contextualSpacing/>
              <w:rPr>
                <w:rFonts w:ascii="Geomanist Light" w:eastAsia="Calibri" w:hAnsi="Geomanist Light" w:cs="Arial"/>
                <w:b/>
                <w:noProof/>
                <w:lang w:val="es-ES_tradnl"/>
              </w:rPr>
            </w:pPr>
            <w:r w:rsidRPr="00565DA8">
              <w:rPr>
                <w:rFonts w:ascii="Geomanist Light" w:eastAsia="Calibri" w:hAnsi="Geomanist Light" w:cs="Arial"/>
                <w:b/>
                <w:noProof/>
                <w:lang w:val="es-ES_tradnl"/>
              </w:rPr>
              <w:t>Radicación:</w:t>
            </w:r>
            <w:r w:rsidRPr="00565DA8">
              <w:rPr>
                <w:rFonts w:ascii="Geomanist Light" w:eastAsia="Calibri" w:hAnsi="Geomanist Light" w:cs="Arial"/>
                <w:noProof/>
                <w:lang w:val="es-ES_tradnl"/>
              </w:rPr>
              <w:t xml:space="preserve">               </w:t>
            </w:r>
          </w:p>
        </w:tc>
        <w:tc>
          <w:tcPr>
            <w:tcW w:w="6237" w:type="dxa"/>
          </w:tcPr>
          <w:p w14:paraId="094882C3" w14:textId="70E5B1DB" w:rsidR="00656E4E" w:rsidRPr="00565DA8" w:rsidRDefault="00656E4E" w:rsidP="003D069D">
            <w:pPr>
              <w:spacing w:after="0" w:line="240" w:lineRule="auto"/>
              <w:contextualSpacing/>
              <w:rPr>
                <w:rFonts w:ascii="Geomanist Light" w:eastAsia="Calibri" w:hAnsi="Geomanist Light" w:cs="Arial"/>
                <w:noProof/>
                <w:lang w:val="es-ES_tradnl"/>
              </w:rPr>
            </w:pPr>
            <w:r w:rsidRPr="00565DA8">
              <w:rPr>
                <w:rFonts w:ascii="Geomanist Light" w:eastAsia="Calibri" w:hAnsi="Geomanist Light" w:cs="Arial"/>
                <w:noProof/>
                <w:lang w:val="es-ES_tradnl"/>
              </w:rPr>
              <w:t xml:space="preserve">Respuesta a consulta </w:t>
            </w:r>
            <w:r w:rsidR="008D3DC2" w:rsidRPr="008D3DC2">
              <w:rPr>
                <w:rFonts w:ascii="Geomanist Light" w:eastAsia="Calibri" w:hAnsi="Geomanist Light" w:cs="Arial"/>
                <w:noProof/>
                <w:lang w:val="es-ES_tradnl"/>
              </w:rPr>
              <w:t>P20221007010160</w:t>
            </w:r>
          </w:p>
          <w:p w14:paraId="3DCD2B1D" w14:textId="77777777" w:rsidR="00656E4E" w:rsidRPr="00565DA8" w:rsidRDefault="00656E4E" w:rsidP="003D069D">
            <w:pPr>
              <w:spacing w:after="0" w:line="240" w:lineRule="auto"/>
              <w:contextualSpacing/>
              <w:rPr>
                <w:rFonts w:ascii="Geomanist Light" w:eastAsia="Calibri" w:hAnsi="Geomanist Light" w:cs="Arial"/>
                <w:noProof/>
                <w:lang w:val="es-ES_tradnl"/>
              </w:rPr>
            </w:pPr>
            <w:r w:rsidRPr="00565DA8">
              <w:rPr>
                <w:rFonts w:ascii="Geomanist Light" w:eastAsia="Calibri" w:hAnsi="Geomanist Light" w:cs="Arial"/>
                <w:noProof/>
                <w:lang w:val="es-ES_tradnl"/>
              </w:rPr>
              <w:t xml:space="preserve">                  </w:t>
            </w:r>
          </w:p>
        </w:tc>
      </w:tr>
    </w:tbl>
    <w:p w14:paraId="0B8F9392" w14:textId="77777777" w:rsidR="00565DA8" w:rsidRPr="00565DA8" w:rsidRDefault="00565DA8" w:rsidP="00C1012C">
      <w:pPr>
        <w:spacing w:after="0" w:line="240" w:lineRule="auto"/>
        <w:contextualSpacing/>
        <w:rPr>
          <w:rFonts w:ascii="Geomanist Light" w:eastAsia="Calibri" w:hAnsi="Geomanist Light" w:cs="Arial"/>
          <w:sz w:val="22"/>
          <w:lang w:val="es-CO"/>
        </w:rPr>
      </w:pPr>
    </w:p>
    <w:p w14:paraId="04F5502A" w14:textId="40FEF4A8" w:rsidR="00656E4E" w:rsidRPr="00565DA8" w:rsidRDefault="00656E4E" w:rsidP="00656E4E">
      <w:pPr>
        <w:spacing w:after="0"/>
        <w:contextualSpacing/>
        <w:rPr>
          <w:rFonts w:ascii="Geomanist Light" w:eastAsia="Calibri" w:hAnsi="Geomanist Light" w:cs="Arial"/>
          <w:sz w:val="22"/>
          <w:lang w:val="es-CO"/>
        </w:rPr>
      </w:pPr>
      <w:r w:rsidRPr="00565DA8">
        <w:rPr>
          <w:rFonts w:ascii="Geomanist Light" w:eastAsia="Calibri" w:hAnsi="Geomanist Light" w:cs="Arial"/>
          <w:sz w:val="22"/>
          <w:lang w:val="es-CO"/>
        </w:rPr>
        <w:t>Estimad</w:t>
      </w:r>
      <w:r w:rsidR="005C3192">
        <w:rPr>
          <w:rFonts w:ascii="Geomanist Light" w:eastAsia="Calibri" w:hAnsi="Geomanist Light" w:cs="Arial"/>
          <w:sz w:val="22"/>
          <w:lang w:val="es-CO"/>
        </w:rPr>
        <w:t>a</w:t>
      </w:r>
      <w:r w:rsidRPr="00565DA8">
        <w:rPr>
          <w:rFonts w:ascii="Geomanist Light" w:eastAsia="Calibri" w:hAnsi="Geomanist Light" w:cs="Arial"/>
          <w:sz w:val="22"/>
          <w:lang w:val="es-CO"/>
        </w:rPr>
        <w:t xml:space="preserve"> </w:t>
      </w:r>
      <w:r w:rsidR="008D3DC2">
        <w:rPr>
          <w:rFonts w:ascii="Geomanist Light" w:eastAsia="Calibri" w:hAnsi="Geomanist Light" w:cs="Arial"/>
          <w:sz w:val="22"/>
          <w:lang w:val="es-CO"/>
        </w:rPr>
        <w:t xml:space="preserve">Señora Acevedo </w:t>
      </w:r>
    </w:p>
    <w:p w14:paraId="52111C72" w14:textId="77777777" w:rsidR="00656E4E" w:rsidRPr="00565DA8" w:rsidRDefault="00656E4E" w:rsidP="00656E4E">
      <w:pPr>
        <w:spacing w:after="0"/>
        <w:ind w:firstLine="709"/>
        <w:contextualSpacing/>
        <w:rPr>
          <w:rFonts w:ascii="Geomanist Light" w:eastAsia="Calibri" w:hAnsi="Geomanist Light" w:cs="Arial"/>
          <w:sz w:val="22"/>
          <w:lang w:val="es-CO"/>
        </w:rPr>
      </w:pPr>
    </w:p>
    <w:p w14:paraId="757D1C4D" w14:textId="0BC09449" w:rsidR="00656E4E" w:rsidRPr="003C281F" w:rsidRDefault="00656E4E" w:rsidP="00656E4E">
      <w:pPr>
        <w:spacing w:after="0"/>
        <w:ind w:right="51"/>
        <w:contextualSpacing/>
        <w:rPr>
          <w:rFonts w:ascii="Geomanist Light" w:eastAsia="Calibri" w:hAnsi="Geomanist Light" w:cs="Arial"/>
          <w:sz w:val="22"/>
          <w:lang w:val="es-CO"/>
        </w:rPr>
      </w:pPr>
      <w:r w:rsidRPr="00565DA8">
        <w:rPr>
          <w:rFonts w:ascii="Geomanist Light" w:eastAsia="Calibri" w:hAnsi="Geomanist Light"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8D3DC2">
        <w:rPr>
          <w:rFonts w:ascii="Geomanist Light" w:eastAsia="Calibri" w:hAnsi="Geomanist Light" w:cs="Arial"/>
          <w:sz w:val="22"/>
          <w:lang w:val="es-CO"/>
        </w:rPr>
        <w:t>7</w:t>
      </w:r>
      <w:r w:rsidRPr="00565DA8">
        <w:rPr>
          <w:rFonts w:ascii="Geomanist Light" w:eastAsia="Calibri" w:hAnsi="Geomanist Light" w:cs="Arial"/>
          <w:sz w:val="22"/>
          <w:lang w:val="es-CO"/>
        </w:rPr>
        <w:t xml:space="preserve"> de octubre de 2022.</w:t>
      </w:r>
      <w:r w:rsidRPr="003C281F">
        <w:rPr>
          <w:rFonts w:ascii="Geomanist Light" w:eastAsia="Calibri" w:hAnsi="Geomanist Light" w:cs="Arial"/>
          <w:sz w:val="22"/>
          <w:lang w:val="es-CO"/>
        </w:rPr>
        <w:t xml:space="preserve"> </w:t>
      </w:r>
    </w:p>
    <w:p w14:paraId="5BB39C79" w14:textId="77777777" w:rsidR="00656E4E" w:rsidRPr="003C281F" w:rsidRDefault="00656E4E" w:rsidP="003D069D">
      <w:pPr>
        <w:spacing w:after="0"/>
        <w:ind w:right="51"/>
        <w:contextualSpacing/>
        <w:rPr>
          <w:rFonts w:ascii="Geomanist Light" w:eastAsia="Calibri" w:hAnsi="Geomanist Light" w:cs="Arial"/>
          <w:sz w:val="22"/>
          <w:lang w:val="es-CO"/>
        </w:rPr>
      </w:pPr>
    </w:p>
    <w:p w14:paraId="1486BA62" w14:textId="77777777" w:rsidR="00656E4E" w:rsidRPr="003C281F" w:rsidRDefault="00656E4E" w:rsidP="003D069D">
      <w:pPr>
        <w:pStyle w:val="Prrafodelista"/>
        <w:numPr>
          <w:ilvl w:val="0"/>
          <w:numId w:val="1"/>
        </w:numPr>
        <w:tabs>
          <w:tab w:val="left" w:pos="284"/>
        </w:tabs>
        <w:spacing w:line="276" w:lineRule="auto"/>
        <w:ind w:left="426"/>
        <w:rPr>
          <w:rFonts w:ascii="Geomanist Light" w:eastAsia="Calibri" w:hAnsi="Geomanist Light" w:cs="Arial"/>
          <w:b/>
          <w:sz w:val="22"/>
          <w:szCs w:val="22"/>
        </w:rPr>
      </w:pPr>
      <w:r w:rsidRPr="003C281F">
        <w:rPr>
          <w:rFonts w:ascii="Geomanist Light" w:eastAsia="Calibri" w:hAnsi="Geomanist Light" w:cs="Arial"/>
          <w:b/>
          <w:sz w:val="22"/>
          <w:szCs w:val="22"/>
        </w:rPr>
        <w:t xml:space="preserve">Problema planteado </w:t>
      </w:r>
    </w:p>
    <w:p w14:paraId="0FA8EEB6" w14:textId="77777777" w:rsidR="00656E4E" w:rsidRPr="003C281F" w:rsidRDefault="00656E4E" w:rsidP="003D069D">
      <w:pPr>
        <w:pStyle w:val="Prrafodelista"/>
        <w:tabs>
          <w:tab w:val="left" w:pos="284"/>
        </w:tabs>
        <w:spacing w:line="276" w:lineRule="auto"/>
        <w:rPr>
          <w:rFonts w:ascii="Geomanist Light" w:eastAsia="Calibri" w:hAnsi="Geomanist Light" w:cs="Arial"/>
          <w:b/>
          <w:sz w:val="22"/>
          <w:szCs w:val="22"/>
        </w:rPr>
      </w:pPr>
    </w:p>
    <w:p w14:paraId="5EDA7CEE" w14:textId="77777777" w:rsidR="00656E4E" w:rsidRDefault="00656E4E" w:rsidP="003D069D">
      <w:pPr>
        <w:spacing w:after="0"/>
        <w:contextualSpacing/>
        <w:rPr>
          <w:rFonts w:ascii="Geomanist Light" w:hAnsi="Geomanist Light" w:cs="Arial"/>
          <w:color w:val="000000" w:themeColor="text1"/>
          <w:sz w:val="22"/>
          <w:lang w:val="es-ES_tradnl"/>
        </w:rPr>
      </w:pPr>
      <w:bookmarkStart w:id="1" w:name="_Hlk103091300"/>
      <w:r w:rsidRPr="003C281F">
        <w:rPr>
          <w:rFonts w:ascii="Geomanist Light" w:eastAsia="Times New Roman" w:hAnsi="Geomanist Light" w:cs="Arial"/>
          <w:sz w:val="22"/>
          <w:lang w:val="es-CO" w:eastAsia="es-CO"/>
        </w:rPr>
        <w:t>Usted formula la siguiente consulta:</w:t>
      </w:r>
      <w:bookmarkStart w:id="2" w:name="_Hlk78966613"/>
      <w:bookmarkStart w:id="3" w:name="_Hlk100226189"/>
      <w:bookmarkEnd w:id="1"/>
      <w:r w:rsidRPr="003C281F">
        <w:rPr>
          <w:rFonts w:ascii="Geomanist Light" w:hAnsi="Geomanist Light" w:cs="Arial"/>
          <w:color w:val="000000" w:themeColor="text1"/>
          <w:sz w:val="22"/>
          <w:lang w:val="es-ES_tradnl"/>
        </w:rPr>
        <w:t xml:space="preserve"> </w:t>
      </w:r>
    </w:p>
    <w:p w14:paraId="7EF794DE" w14:textId="77777777" w:rsidR="00656E4E" w:rsidRPr="008D3DC2" w:rsidRDefault="00656E4E" w:rsidP="00C1012C">
      <w:pPr>
        <w:spacing w:after="0"/>
        <w:contextualSpacing/>
        <w:rPr>
          <w:rFonts w:ascii="Geomanist Light" w:hAnsi="Geomanist Light" w:cs="Arial"/>
          <w:color w:val="000000" w:themeColor="text1"/>
          <w:sz w:val="20"/>
          <w:szCs w:val="20"/>
          <w:lang w:val="es-ES_tradnl"/>
        </w:rPr>
      </w:pPr>
    </w:p>
    <w:bookmarkEnd w:id="2"/>
    <w:bookmarkEnd w:id="3"/>
    <w:p w14:paraId="4E3CB3D5" w14:textId="372FE24E" w:rsidR="00656E4E" w:rsidRPr="008D3DC2" w:rsidRDefault="005C3192" w:rsidP="00C1012C">
      <w:pPr>
        <w:spacing w:after="0" w:line="240" w:lineRule="auto"/>
        <w:ind w:left="709" w:right="709"/>
        <w:rPr>
          <w:rFonts w:ascii="Geomanist Light" w:hAnsi="Geomanist Light" w:cs="Arial"/>
          <w:color w:val="000000" w:themeColor="text1"/>
          <w:sz w:val="20"/>
          <w:szCs w:val="20"/>
        </w:rPr>
      </w:pPr>
      <w:r w:rsidRPr="00933DD8">
        <w:rPr>
          <w:rFonts w:ascii="Geomanist Light" w:hAnsi="Geomanist Light"/>
          <w:sz w:val="21"/>
          <w:szCs w:val="21"/>
        </w:rPr>
        <w:t>«</w:t>
      </w:r>
      <w:r w:rsidR="008D3DC2" w:rsidRPr="00933DD8">
        <w:rPr>
          <w:rFonts w:ascii="Geomanist Light" w:hAnsi="Geomanist Light"/>
          <w:i/>
          <w:iCs/>
          <w:sz w:val="21"/>
          <w:szCs w:val="21"/>
        </w:rPr>
        <w:t>De conformidad con lo establecido en la Ley 1150 de 2007, ¿se entiende que respecto de la subasta inversa no aplica un límite de cuantía para efectuar el proceso de contratación?</w:t>
      </w:r>
      <w:r w:rsidRPr="00933DD8">
        <w:rPr>
          <w:rFonts w:ascii="Geomanist Light" w:hAnsi="Geomanist Light"/>
          <w:sz w:val="21"/>
          <w:szCs w:val="21"/>
        </w:rPr>
        <w:t>»</w:t>
      </w:r>
    </w:p>
    <w:p w14:paraId="1D8FD269" w14:textId="77777777" w:rsidR="003D069D" w:rsidRPr="00C1012C" w:rsidRDefault="003D069D" w:rsidP="00C1012C">
      <w:pPr>
        <w:spacing w:after="0"/>
        <w:contextualSpacing/>
        <w:rPr>
          <w:rFonts w:ascii="Geomanist Light" w:eastAsia="Calibri" w:hAnsi="Geomanist Light" w:cs="Arial"/>
          <w:b/>
          <w:sz w:val="22"/>
        </w:rPr>
      </w:pPr>
    </w:p>
    <w:p w14:paraId="2A98DE63" w14:textId="6CA5C03F" w:rsidR="00744E11" w:rsidRPr="003D069D" w:rsidRDefault="00656E4E" w:rsidP="003D069D">
      <w:pPr>
        <w:spacing w:after="0"/>
        <w:contextualSpacing/>
        <w:rPr>
          <w:rFonts w:ascii="Geomanist Light" w:eastAsia="Calibri" w:hAnsi="Geomanist Light" w:cs="Arial"/>
          <w:b/>
          <w:sz w:val="22"/>
        </w:rPr>
      </w:pPr>
      <w:r w:rsidRPr="00C1012C">
        <w:rPr>
          <w:rFonts w:ascii="Geomanist Light" w:eastAsia="Calibri" w:hAnsi="Geomanist Light" w:cs="Arial"/>
          <w:b/>
          <w:sz w:val="22"/>
        </w:rPr>
        <w:t>2</w:t>
      </w:r>
      <w:r w:rsidRPr="003D069D">
        <w:rPr>
          <w:rFonts w:ascii="Geomanist Light" w:eastAsia="Calibri" w:hAnsi="Geomanist Light" w:cs="Arial"/>
          <w:b/>
          <w:sz w:val="22"/>
        </w:rPr>
        <w:t>. Consideraciones</w:t>
      </w:r>
      <w:bookmarkEnd w:id="0"/>
    </w:p>
    <w:p w14:paraId="32B155F0" w14:textId="77777777" w:rsidR="003D069D" w:rsidRPr="003D069D" w:rsidRDefault="003D069D" w:rsidP="00C1012C">
      <w:pPr>
        <w:spacing w:after="0"/>
        <w:contextualSpacing/>
        <w:rPr>
          <w:rFonts w:ascii="Geomanist Light" w:hAnsi="Geomanist Light"/>
          <w:sz w:val="22"/>
        </w:rPr>
      </w:pPr>
    </w:p>
    <w:p w14:paraId="3A0B3300" w14:textId="45567A56" w:rsidR="008D3DC2" w:rsidRPr="008D3DC2" w:rsidRDefault="008D3DC2" w:rsidP="00C1012C">
      <w:pPr>
        <w:spacing w:after="120"/>
        <w:ind w:firstLine="708"/>
        <w:rPr>
          <w:rFonts w:ascii="Geomanist Light" w:hAnsi="Geomanist Light"/>
          <w:sz w:val="22"/>
          <w:szCs w:val="20"/>
          <w:lang w:val="es-ES"/>
        </w:rPr>
      </w:pPr>
      <w:r w:rsidRPr="008D3DC2">
        <w:rPr>
          <w:rFonts w:ascii="Geomanist Light" w:hAnsi="Geomanist Light"/>
          <w:sz w:val="22"/>
          <w:szCs w:val="20"/>
          <w:lang w:val="es-ES"/>
        </w:rPr>
        <w:t>La contratación pública comprende, entre otros aspectos, la toma de decisiones del gasto que las entidades realizan para adquirir bienes, obras o servicios que satisfacen sus necesidades y</w:t>
      </w:r>
      <w:r w:rsidR="003D069D">
        <w:rPr>
          <w:rFonts w:ascii="Geomanist Light" w:hAnsi="Geomanist Light"/>
          <w:sz w:val="22"/>
          <w:szCs w:val="20"/>
          <w:lang w:val="es-ES"/>
        </w:rPr>
        <w:t>,</w:t>
      </w:r>
      <w:r w:rsidRPr="008D3DC2">
        <w:rPr>
          <w:rFonts w:ascii="Geomanist Light" w:hAnsi="Geomanist Light"/>
          <w:sz w:val="22"/>
          <w:szCs w:val="20"/>
          <w:lang w:val="es-ES"/>
        </w:rPr>
        <w:t xml:space="preserve"> en esa medida</w:t>
      </w:r>
      <w:r w:rsidR="003D069D">
        <w:rPr>
          <w:rFonts w:ascii="Geomanist Light" w:hAnsi="Geomanist Light"/>
          <w:sz w:val="22"/>
          <w:szCs w:val="20"/>
          <w:lang w:val="es-ES"/>
        </w:rPr>
        <w:t>,</w:t>
      </w:r>
      <w:r w:rsidRPr="008D3DC2">
        <w:rPr>
          <w:rFonts w:ascii="Geomanist Light" w:hAnsi="Geomanist Light"/>
          <w:sz w:val="22"/>
          <w:szCs w:val="20"/>
          <w:lang w:val="es-ES"/>
        </w:rPr>
        <w:t xml:space="preserve"> cumplen el interés general, ejecutando los recursos públicos </w:t>
      </w:r>
      <w:r w:rsidRPr="008D3DC2">
        <w:rPr>
          <w:rFonts w:ascii="Geomanist Light" w:hAnsi="Geomanist Light"/>
          <w:sz w:val="22"/>
          <w:szCs w:val="20"/>
          <w:lang w:val="es-ES"/>
        </w:rPr>
        <w:lastRenderedPageBreak/>
        <w:t>que le fueron asignados. Para las adquisiciones, las entidades deben estructurar un procedimiento de contratación que es reglado</w:t>
      </w:r>
      <w:r w:rsidRPr="008D3DC2">
        <w:rPr>
          <w:rStyle w:val="Refdenotaalpie"/>
          <w:rFonts w:ascii="Geomanist Light" w:hAnsi="Geomanist Light"/>
          <w:sz w:val="22"/>
          <w:szCs w:val="20"/>
          <w:lang w:val="es-ES"/>
        </w:rPr>
        <w:footnoteReference w:id="1"/>
      </w:r>
      <w:r w:rsidRPr="008D3DC2">
        <w:rPr>
          <w:rFonts w:ascii="Geomanist Light" w:hAnsi="Geomanist Light"/>
          <w:sz w:val="22"/>
          <w:szCs w:val="20"/>
          <w:lang w:val="es-ES"/>
        </w:rPr>
        <w:t xml:space="preserve">. </w:t>
      </w:r>
    </w:p>
    <w:p w14:paraId="5AB0633C" w14:textId="77777777" w:rsidR="008D3DC2" w:rsidRPr="008D3DC2" w:rsidRDefault="008D3DC2" w:rsidP="00C1012C">
      <w:pPr>
        <w:spacing w:after="120"/>
        <w:ind w:firstLine="709"/>
        <w:rPr>
          <w:rFonts w:ascii="Geomanist Light" w:hAnsi="Geomanist Light"/>
          <w:sz w:val="22"/>
          <w:szCs w:val="20"/>
          <w:lang w:val="es-ES"/>
        </w:rPr>
      </w:pPr>
      <w:r w:rsidRPr="008D3DC2">
        <w:rPr>
          <w:rFonts w:ascii="Geomanist Light" w:hAnsi="Geomanist Light"/>
          <w:sz w:val="22"/>
          <w:szCs w:val="20"/>
          <w:lang w:val="es-ES"/>
        </w:rPr>
        <w:t>El proceso de contratación está compuesto por las etapas que realiza la entidad para adquirir los bienes que satisfacen una determinada necesidad. Cada entidad es responsable de sus procedimientos de contratación y tienen autonomía para estructurarlos, siempre que se respete el principio de legalidad. Estos procedimientos se estructuran a partir de las modalidades de selección que son: licitación pública, selección abreviada, concurso de méritos, contratación directa y mínima cuantía. Modalidades que a su vez cuentan con procedimientos específicos, cuyas causales se encuentran reguladas en la ley.</w:t>
      </w:r>
      <w:r w:rsidRPr="008D3DC2">
        <w:rPr>
          <w:rStyle w:val="Refdenotaalpie"/>
          <w:rFonts w:ascii="Geomanist Light" w:hAnsi="Geomanist Light"/>
          <w:sz w:val="22"/>
          <w:szCs w:val="20"/>
          <w:lang w:val="es-ES"/>
        </w:rPr>
        <w:footnoteReference w:id="2"/>
      </w:r>
    </w:p>
    <w:p w14:paraId="3BDBE5A4" w14:textId="77777777" w:rsidR="008D3DC2" w:rsidRPr="008D3DC2" w:rsidRDefault="008D3DC2" w:rsidP="00C1012C">
      <w:pPr>
        <w:spacing w:after="120"/>
        <w:ind w:firstLine="709"/>
        <w:rPr>
          <w:rFonts w:ascii="Geomanist Light" w:hAnsi="Geomanist Light"/>
          <w:sz w:val="22"/>
          <w:szCs w:val="20"/>
          <w:lang w:val="es-ES"/>
        </w:rPr>
      </w:pPr>
      <w:r w:rsidRPr="008D3DC2">
        <w:rPr>
          <w:rFonts w:ascii="Geomanist Light" w:hAnsi="Geomanist Light"/>
          <w:sz w:val="22"/>
          <w:szCs w:val="20"/>
          <w:lang w:val="es-ES"/>
        </w:rPr>
        <w:t xml:space="preserve">Dentro de las causales de la selección abreviada se encuentra la adquisición de bienes de características técnicas uniformes y de común utilización. La ley establece que estos bienes pueden adquirirse por medio de tres procedimientos: i) subasta inversa, ii) acuerdos marco de precios y iii) bolsa de productos. </w:t>
      </w:r>
    </w:p>
    <w:p w14:paraId="36061E4A" w14:textId="12DFDC48" w:rsidR="008D3DC2" w:rsidRDefault="008D3DC2" w:rsidP="003D069D">
      <w:pPr>
        <w:spacing w:after="0"/>
        <w:ind w:firstLine="709"/>
        <w:rPr>
          <w:rFonts w:ascii="Geomanist Light" w:hAnsi="Geomanist Light"/>
          <w:sz w:val="22"/>
          <w:szCs w:val="20"/>
          <w:lang w:val="es-ES"/>
        </w:rPr>
      </w:pPr>
      <w:r w:rsidRPr="008D3DC2">
        <w:rPr>
          <w:rFonts w:ascii="Geomanist Light" w:hAnsi="Geomanist Light"/>
          <w:sz w:val="22"/>
          <w:szCs w:val="20"/>
          <w:lang w:val="es-ES"/>
        </w:rPr>
        <w:t>Por tanto, para resolver su consulta relacionada con el procedimiento de subasta inversa, se hará referencia a: i) el funcionamiento del procedimiento y adjudicación</w:t>
      </w:r>
      <w:r w:rsidR="003D069D">
        <w:rPr>
          <w:rFonts w:ascii="Geomanist Light" w:hAnsi="Geomanist Light"/>
          <w:sz w:val="22"/>
          <w:szCs w:val="20"/>
          <w:lang w:val="es-ES"/>
        </w:rPr>
        <w:t>;</w:t>
      </w:r>
      <w:r w:rsidRPr="008D3DC2">
        <w:rPr>
          <w:rFonts w:ascii="Geomanist Light" w:hAnsi="Geomanist Light"/>
          <w:sz w:val="22"/>
          <w:szCs w:val="20"/>
          <w:lang w:val="es-ES"/>
        </w:rPr>
        <w:t xml:space="preserve"> </w:t>
      </w:r>
      <w:proofErr w:type="spellStart"/>
      <w:r w:rsidRPr="008D3DC2">
        <w:rPr>
          <w:rFonts w:ascii="Geomanist Light" w:hAnsi="Geomanist Light"/>
          <w:sz w:val="22"/>
          <w:szCs w:val="20"/>
          <w:lang w:val="es-ES"/>
        </w:rPr>
        <w:t>ii</w:t>
      </w:r>
      <w:proofErr w:type="spellEnd"/>
      <w:r w:rsidRPr="008D3DC2">
        <w:rPr>
          <w:rFonts w:ascii="Geomanist Light" w:hAnsi="Geomanist Light"/>
          <w:sz w:val="22"/>
          <w:szCs w:val="20"/>
          <w:lang w:val="es-ES"/>
        </w:rPr>
        <w:t>) los límites de cuantía para en este proceso de contratación</w:t>
      </w:r>
      <w:r w:rsidR="003D069D">
        <w:rPr>
          <w:rFonts w:ascii="Geomanist Light" w:hAnsi="Geomanist Light"/>
          <w:sz w:val="22"/>
          <w:szCs w:val="20"/>
          <w:lang w:val="es-ES"/>
        </w:rPr>
        <w:t xml:space="preserve"> y; </w:t>
      </w:r>
      <w:proofErr w:type="spellStart"/>
      <w:r w:rsidR="003D069D">
        <w:rPr>
          <w:rFonts w:ascii="Geomanist Light" w:hAnsi="Geomanist Light"/>
          <w:sz w:val="22"/>
          <w:szCs w:val="20"/>
          <w:lang w:val="es-ES"/>
        </w:rPr>
        <w:t>iii</w:t>
      </w:r>
      <w:proofErr w:type="spellEnd"/>
      <w:r w:rsidR="003D069D">
        <w:rPr>
          <w:rFonts w:ascii="Geomanist Light" w:hAnsi="Geomanist Light"/>
          <w:sz w:val="22"/>
          <w:szCs w:val="20"/>
          <w:lang w:val="es-ES"/>
        </w:rPr>
        <w:t>) finalmente, se hará mención del régimen jurídico de los precios artificialmente bajos</w:t>
      </w:r>
      <w:r w:rsidRPr="008D3DC2">
        <w:rPr>
          <w:rFonts w:ascii="Geomanist Light" w:hAnsi="Geomanist Light"/>
          <w:sz w:val="22"/>
          <w:szCs w:val="20"/>
          <w:lang w:val="es-ES"/>
        </w:rPr>
        <w:t xml:space="preserve">. </w:t>
      </w:r>
    </w:p>
    <w:p w14:paraId="5D8902C0" w14:textId="77777777" w:rsidR="003D069D" w:rsidRPr="008D3DC2" w:rsidRDefault="003D069D" w:rsidP="00C1012C">
      <w:pPr>
        <w:spacing w:after="0"/>
        <w:ind w:firstLine="709"/>
        <w:contextualSpacing/>
        <w:rPr>
          <w:rFonts w:ascii="Geomanist Light" w:hAnsi="Geomanist Light"/>
          <w:b/>
          <w:bCs/>
          <w:sz w:val="22"/>
          <w:szCs w:val="20"/>
          <w:lang w:val="es-ES"/>
        </w:rPr>
      </w:pPr>
    </w:p>
    <w:p w14:paraId="23C4CB09" w14:textId="31126690" w:rsidR="008D3DC2" w:rsidRDefault="003D069D" w:rsidP="003D069D">
      <w:pPr>
        <w:spacing w:after="0"/>
        <w:contextualSpacing/>
        <w:rPr>
          <w:rFonts w:ascii="Geomanist Light" w:hAnsi="Geomanist Light"/>
          <w:b/>
          <w:bCs/>
          <w:sz w:val="22"/>
          <w:lang w:val="es-ES"/>
        </w:rPr>
      </w:pPr>
      <w:r>
        <w:rPr>
          <w:rFonts w:ascii="Geomanist Light" w:hAnsi="Geomanist Light"/>
          <w:b/>
          <w:bCs/>
          <w:sz w:val="22"/>
          <w:lang w:val="es-ES"/>
        </w:rPr>
        <w:t>2.1.</w:t>
      </w:r>
      <w:r w:rsidR="008D3DC2" w:rsidRPr="00C1012C">
        <w:rPr>
          <w:rFonts w:ascii="Geomanist Light" w:hAnsi="Geomanist Light"/>
          <w:b/>
          <w:bCs/>
          <w:sz w:val="22"/>
          <w:lang w:val="es-ES"/>
        </w:rPr>
        <w:t xml:space="preserve"> </w:t>
      </w:r>
      <w:r w:rsidR="003A74FD">
        <w:rPr>
          <w:rFonts w:ascii="Geomanist Light" w:hAnsi="Geomanist Light"/>
          <w:b/>
          <w:bCs/>
          <w:sz w:val="22"/>
          <w:lang w:val="es-ES"/>
        </w:rPr>
        <w:t>L</w:t>
      </w:r>
      <w:r w:rsidR="008D3DC2" w:rsidRPr="00C1012C">
        <w:rPr>
          <w:rFonts w:ascii="Geomanist Light" w:hAnsi="Geomanist Light"/>
          <w:b/>
          <w:bCs/>
          <w:sz w:val="22"/>
          <w:lang w:val="es-ES"/>
        </w:rPr>
        <w:t xml:space="preserve">a subasta inversa </w:t>
      </w:r>
      <w:r w:rsidR="003A74FD">
        <w:rPr>
          <w:rFonts w:ascii="Geomanist Light" w:hAnsi="Geomanist Light"/>
          <w:b/>
          <w:bCs/>
          <w:sz w:val="22"/>
          <w:lang w:val="es-ES"/>
        </w:rPr>
        <w:t>en la contratación estatal: Funcionamiento</w:t>
      </w:r>
    </w:p>
    <w:p w14:paraId="1CD02263" w14:textId="77777777" w:rsidR="003D069D" w:rsidRPr="00C1012C" w:rsidRDefault="003D069D" w:rsidP="00C1012C">
      <w:pPr>
        <w:spacing w:after="0"/>
        <w:contextualSpacing/>
        <w:rPr>
          <w:rFonts w:ascii="Geomanist Light" w:hAnsi="Geomanist Light"/>
          <w:b/>
          <w:bCs/>
          <w:sz w:val="22"/>
          <w:lang w:val="es-ES"/>
        </w:rPr>
      </w:pPr>
    </w:p>
    <w:p w14:paraId="58D3A0FA" w14:textId="26B600D2" w:rsidR="003A74FD" w:rsidRDefault="008D3DC2" w:rsidP="00C1012C">
      <w:pPr>
        <w:spacing w:after="120"/>
        <w:ind w:firstLine="708"/>
        <w:rPr>
          <w:rFonts w:ascii="Geomanist Light" w:hAnsi="Geomanist Light"/>
          <w:sz w:val="22"/>
          <w:szCs w:val="20"/>
          <w:lang w:val="es-ES"/>
        </w:rPr>
      </w:pPr>
      <w:r w:rsidRPr="008D3DC2">
        <w:rPr>
          <w:rFonts w:ascii="Geomanist Light" w:hAnsi="Geomanist Light"/>
          <w:sz w:val="22"/>
          <w:szCs w:val="20"/>
          <w:lang w:val="es-ES"/>
        </w:rPr>
        <w:t xml:space="preserve">La Agencia Nacional de Contratación Pública -Colombia Compra Eficiente- se pronunció en conceptos como el del 16 de diciembre de 2019 N° Radicado: 2201913000009291 y el del 26 de diciembre del 2019, </w:t>
      </w:r>
      <w:proofErr w:type="spellStart"/>
      <w:r w:rsidRPr="008D3DC2">
        <w:rPr>
          <w:rFonts w:ascii="Geomanist Light" w:hAnsi="Geomanist Light"/>
          <w:sz w:val="22"/>
          <w:szCs w:val="20"/>
          <w:lang w:val="es-ES"/>
        </w:rPr>
        <w:t>N°</w:t>
      </w:r>
      <w:proofErr w:type="spellEnd"/>
      <w:r w:rsidRPr="008D3DC2">
        <w:rPr>
          <w:rFonts w:ascii="Geomanist Light" w:hAnsi="Geomanist Light"/>
          <w:sz w:val="22"/>
          <w:szCs w:val="20"/>
          <w:lang w:val="es-ES"/>
        </w:rPr>
        <w:t xml:space="preserve"> Radicado: 2201913000009634</w:t>
      </w:r>
      <w:r w:rsidR="003A74FD">
        <w:rPr>
          <w:rFonts w:ascii="Geomanist Light" w:hAnsi="Geomanist Light"/>
          <w:sz w:val="22"/>
          <w:szCs w:val="20"/>
          <w:lang w:val="es-ES"/>
        </w:rPr>
        <w:t xml:space="preserve">, radicado </w:t>
      </w:r>
      <w:r w:rsidR="003A74FD" w:rsidRPr="00C1012C">
        <w:rPr>
          <w:rFonts w:ascii="Geomanist Light" w:hAnsi="Geomanist Light"/>
          <w:sz w:val="22"/>
          <w:szCs w:val="20"/>
          <w:lang w:val="es-ES"/>
        </w:rPr>
        <w:t xml:space="preserve">4201913000004928 del 20 de agosto de 2019, 4201912000004846 del 3 de </w:t>
      </w:r>
      <w:r w:rsidR="003A74FD" w:rsidRPr="00C1012C">
        <w:rPr>
          <w:rFonts w:ascii="Geomanist Light" w:hAnsi="Geomanist Light"/>
          <w:sz w:val="22"/>
          <w:szCs w:val="20"/>
          <w:lang w:val="es-ES"/>
        </w:rPr>
        <w:lastRenderedPageBreak/>
        <w:t>septiembre de 2019, en el C-008 del 14 de mayo de 2020, C-024 del 24 de febrero de 2021 y</w:t>
      </w:r>
      <w:r w:rsidR="003A74FD">
        <w:rPr>
          <w:rFonts w:ascii="Geomanist Light" w:hAnsi="Geomanist Light"/>
          <w:sz w:val="22"/>
          <w:szCs w:val="20"/>
          <w:lang w:val="es-ES"/>
        </w:rPr>
        <w:t xml:space="preserve"> C-123 del 5 de abril de 2021</w:t>
      </w:r>
      <w:proofErr w:type="gramStart"/>
      <w:r w:rsidR="003A74FD">
        <w:rPr>
          <w:rFonts w:ascii="Geomanist Light" w:hAnsi="Geomanist Light"/>
          <w:sz w:val="22"/>
          <w:szCs w:val="20"/>
          <w:lang w:val="es-ES"/>
        </w:rPr>
        <w:t>,</w:t>
      </w:r>
      <w:r w:rsidRPr="008D3DC2">
        <w:rPr>
          <w:rFonts w:ascii="Geomanist Light" w:hAnsi="Geomanist Light"/>
          <w:sz w:val="22"/>
          <w:szCs w:val="20"/>
          <w:lang w:val="es-ES"/>
        </w:rPr>
        <w:t xml:space="preserve"> ,</w:t>
      </w:r>
      <w:proofErr w:type="gramEnd"/>
      <w:r w:rsidRPr="008D3DC2">
        <w:rPr>
          <w:rFonts w:ascii="Geomanist Light" w:hAnsi="Geomanist Light"/>
          <w:sz w:val="22"/>
          <w:szCs w:val="20"/>
          <w:lang w:val="es-ES"/>
        </w:rPr>
        <w:t xml:space="preserve"> sobre el funcionamiento de la subasta inversa.</w:t>
      </w:r>
    </w:p>
    <w:p w14:paraId="21C81461" w14:textId="77777777" w:rsidR="003A74FD" w:rsidRPr="00C1012C" w:rsidRDefault="003A74FD" w:rsidP="00C1012C">
      <w:pPr>
        <w:spacing w:after="120"/>
        <w:ind w:firstLine="708"/>
        <w:rPr>
          <w:rFonts w:ascii="Geomanist Light" w:hAnsi="Geomanist Light"/>
          <w:sz w:val="22"/>
          <w:lang w:val="es-ES"/>
        </w:rPr>
      </w:pPr>
      <w:r w:rsidRPr="00C1012C">
        <w:rPr>
          <w:rFonts w:ascii="Geomanist Light" w:hAnsi="Geomanist Light"/>
          <w:sz w:val="22"/>
          <w:lang w:val="es-ES"/>
        </w:rPr>
        <w:t>La subasta inversa es un mecanismo que se concibió con la finalidad de introducir una metodología alternativa para el proceso de negociación y perfeccionamiento del contrato estatal. Su regulación se encuentra en el artículo 2 de la Ley 1150 de 2007, en donde se indica que la figura tiene como finalidad confrontar, de manera dinámica, las distintas ofertas que pueden presentarse para los procesos de licitación pública, para los procesos de selección abreviada que tienen por finalidad la adquisición de bienes y servicios de características técnicas uniformes y de común utilización, y en los procesos de enajenación de bienes del Estado</w:t>
      </w:r>
      <w:r w:rsidRPr="00C1012C">
        <w:rPr>
          <w:rFonts w:ascii="Geomanist Light" w:hAnsi="Geomanist Light"/>
          <w:lang w:val="es-ES"/>
        </w:rPr>
        <w:footnoteReference w:id="3"/>
      </w:r>
      <w:r w:rsidRPr="00C1012C">
        <w:rPr>
          <w:rFonts w:ascii="Geomanist Light" w:hAnsi="Geomanist Light"/>
          <w:sz w:val="22"/>
          <w:lang w:val="es-ES"/>
        </w:rPr>
        <w:t>.  </w:t>
      </w:r>
    </w:p>
    <w:p w14:paraId="13C2903A" w14:textId="77777777" w:rsidR="003A74FD" w:rsidRPr="00C1012C" w:rsidRDefault="003A74FD" w:rsidP="00C1012C">
      <w:pPr>
        <w:spacing w:after="120"/>
        <w:ind w:firstLine="708"/>
        <w:rPr>
          <w:rFonts w:ascii="Geomanist Light" w:hAnsi="Geomanist Light"/>
          <w:sz w:val="22"/>
          <w:lang w:val="es-ES"/>
        </w:rPr>
      </w:pPr>
      <w:r w:rsidRPr="00C1012C">
        <w:rPr>
          <w:rFonts w:ascii="Geomanist Light" w:hAnsi="Geomanist Light"/>
          <w:sz w:val="22"/>
          <w:lang w:val="es-ES"/>
        </w:rPr>
        <w:lastRenderedPageBreak/>
        <w:t>En este contexto, la doctrina ha señalado que «se entiende por 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r w:rsidRPr="00C1012C">
        <w:rPr>
          <w:rFonts w:ascii="Geomanist Light" w:hAnsi="Geomanist Light"/>
          <w:lang w:val="es-ES"/>
        </w:rPr>
        <w:footnoteReference w:id="4"/>
      </w:r>
      <w:r w:rsidRPr="00C1012C">
        <w:rPr>
          <w:rFonts w:ascii="Geomanist Light" w:hAnsi="Geomanist Light"/>
          <w:sz w:val="22"/>
          <w:lang w:val="es-ES"/>
        </w:rPr>
        <w:t>. En igual sentido, la doctrina especializada destaca de este mecanismo que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w:t>
      </w:r>
      <w:r w:rsidRPr="00C1012C">
        <w:rPr>
          <w:rFonts w:ascii="Geomanist Light" w:hAnsi="Geomanist Light"/>
          <w:lang w:val="es-ES"/>
        </w:rPr>
        <w:footnoteReference w:id="5"/>
      </w:r>
      <w:r w:rsidRPr="00C1012C">
        <w:rPr>
          <w:rFonts w:ascii="Geomanist Light" w:hAnsi="Geomanist Light"/>
          <w:sz w:val="22"/>
          <w:lang w:val="es-ES"/>
        </w:rPr>
        <w:t>.   </w:t>
      </w:r>
    </w:p>
    <w:p w14:paraId="2A23C362" w14:textId="061BCD64" w:rsidR="003A74FD" w:rsidRDefault="003A74FD" w:rsidP="003A74FD">
      <w:pPr>
        <w:spacing w:after="120"/>
        <w:ind w:firstLine="708"/>
        <w:rPr>
          <w:rFonts w:ascii="Geomanist Light" w:hAnsi="Geomanist Light"/>
          <w:sz w:val="22"/>
        </w:rPr>
      </w:pPr>
      <w:r w:rsidRPr="00C1012C">
        <w:rPr>
          <w:rFonts w:ascii="Geomanist Light" w:hAnsi="Geomanist Light"/>
        </w:rPr>
        <w:t>De este modo, la subasta inversa constituye una metodología alternativa para la configuración de la oferta por parte de los proponentes, que se presenta como un mecanismo eficiente para que las entidades públicas obtengan el mejor valor en dinero de los bienes y servicios que pretenden adquirir, derivado de un procedimiento de contratación de carácter competitivo guiado, precisamente, por los factores de puja y dinamismo</w:t>
      </w:r>
      <w:r w:rsidRPr="00C1012C">
        <w:rPr>
          <w:rFonts w:ascii="Geomanist Light" w:hAnsi="Geomanist Light"/>
        </w:rPr>
        <w:footnoteReference w:id="6"/>
      </w:r>
      <w:r w:rsidRPr="00C1012C">
        <w:rPr>
          <w:rFonts w:ascii="Geomanist Light" w:hAnsi="Geomanist Light"/>
        </w:rPr>
        <w:t>.</w:t>
      </w:r>
      <w:r w:rsidR="00EC047F">
        <w:rPr>
          <w:rFonts w:ascii="Geomanist Light" w:hAnsi="Geomanist Light"/>
          <w:sz w:val="22"/>
        </w:rPr>
        <w:tab/>
      </w:r>
    </w:p>
    <w:p w14:paraId="0756D441" w14:textId="77777777" w:rsidR="000A5946" w:rsidRPr="00C1012C" w:rsidRDefault="000A5946" w:rsidP="00C1012C">
      <w:pPr>
        <w:pStyle w:val="xmsonospacing"/>
        <w:spacing w:before="0" w:beforeAutospacing="0" w:after="0" w:afterAutospacing="0" w:line="276" w:lineRule="auto"/>
        <w:ind w:firstLine="709"/>
        <w:jc w:val="both"/>
        <w:rPr>
          <w:rFonts w:ascii="Geomanist Light" w:eastAsiaTheme="minorHAnsi" w:hAnsi="Geomanist Light" w:cstheme="minorBidi"/>
        </w:rPr>
      </w:pPr>
      <w:r w:rsidRPr="00C1012C">
        <w:rPr>
          <w:rFonts w:ascii="Geomanist Light" w:eastAsiaTheme="minorHAnsi" w:hAnsi="Geomanist Light" w:cstheme="minorBidi"/>
          <w:lang w:val="es-MX" w:eastAsia="en-US"/>
        </w:rPr>
        <w:t>La normativa que contiene los lineamientos sobre el procedimiento de la subasta inversa es el artículo 2.2.1.2.1.2.2 del Decreto 1082 de 2015, el cual dispone lo siguiente:</w:t>
      </w:r>
    </w:p>
    <w:p w14:paraId="29197E15" w14:textId="77777777" w:rsidR="000A5946" w:rsidRPr="00C1012C" w:rsidRDefault="000A5946" w:rsidP="000A5946">
      <w:pPr>
        <w:pStyle w:val="xmsonospacing"/>
        <w:spacing w:before="0" w:beforeAutospacing="0" w:after="0" w:afterAutospacing="0" w:line="276" w:lineRule="auto"/>
        <w:jc w:val="both"/>
        <w:rPr>
          <w:rFonts w:ascii="Geomanist Light" w:eastAsiaTheme="minorHAnsi" w:hAnsi="Geomanist Light" w:cstheme="minorBidi"/>
          <w:sz w:val="22"/>
          <w:szCs w:val="22"/>
          <w:lang w:val="es-MX" w:eastAsia="en-US"/>
        </w:rPr>
      </w:pPr>
    </w:p>
    <w:p w14:paraId="5206B582"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r w:rsidRPr="00C1012C">
        <w:rPr>
          <w:rFonts w:ascii="Geomanist Light" w:eastAsiaTheme="minorHAnsi" w:hAnsi="Geomanist Light" w:cstheme="minorBidi"/>
          <w:lang w:val="es-MX" w:eastAsia="en-US"/>
        </w:rPr>
        <w:t xml:space="preserve">[…] </w:t>
      </w:r>
      <w:r w:rsidRPr="00C1012C">
        <w:rPr>
          <w:rFonts w:ascii="Geomanist Light" w:eastAsiaTheme="minorHAnsi" w:hAnsi="Geomanist Light" w:cstheme="minorBidi"/>
          <w:sz w:val="21"/>
          <w:szCs w:val="21"/>
          <w:lang w:val="es-MX" w:eastAsia="en-US"/>
        </w:rPr>
        <w:t>Además de las reglas generales previstas en la ley y en el presente título, las siguientes reglas son aplicables a la subasta inversa: </w:t>
      </w:r>
    </w:p>
    <w:p w14:paraId="666E19CF"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p>
    <w:p w14:paraId="28E11562"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r w:rsidRPr="00C1012C">
        <w:rPr>
          <w:rFonts w:ascii="Geomanist Light" w:eastAsiaTheme="minorHAnsi" w:hAnsi="Geomanist Light" w:cstheme="minorBidi"/>
          <w:sz w:val="21"/>
          <w:szCs w:val="21"/>
          <w:lang w:val="es-MX" w:eastAsia="en-US"/>
        </w:rPr>
        <w:t>1. Los pliegos de condiciones deben indicar: a) la fecha y hora de inicio de la subasta; b) la periodicidad de los Lances; y c) el Margen Mínimo para mejorar la oferta durante la subasta inversa. </w:t>
      </w:r>
    </w:p>
    <w:p w14:paraId="5DFE1BC1"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p>
    <w:p w14:paraId="787B9C11"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r w:rsidRPr="00C1012C">
        <w:rPr>
          <w:rFonts w:ascii="Geomanist Light" w:eastAsiaTheme="minorHAnsi" w:hAnsi="Geomanist Light" w:cstheme="minorBidi"/>
          <w:sz w:val="21"/>
          <w:szCs w:val="21"/>
          <w:lang w:val="es-MX" w:eastAsia="en-US"/>
        </w:rPr>
        <w:t xml:space="preserve">2. La oferta debe contener dos partes, la primera en la cual el interesado acredite su capacidad de participar en el Proceso de Contratación y acredite el </w:t>
      </w:r>
      <w:r w:rsidRPr="00C1012C">
        <w:rPr>
          <w:rFonts w:ascii="Geomanist Light" w:eastAsiaTheme="minorHAnsi" w:hAnsi="Geomanist Light" w:cstheme="minorBidi"/>
          <w:sz w:val="21"/>
          <w:szCs w:val="21"/>
          <w:lang w:val="es-MX" w:eastAsia="en-US"/>
        </w:rPr>
        <w:lastRenderedPageBreak/>
        <w:t>cumplimiento de la ficha técnica; y la segunda parte debe contener el precio inicial propuesto por el oferente. </w:t>
      </w:r>
    </w:p>
    <w:p w14:paraId="391F3A07"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p>
    <w:p w14:paraId="7E01F023"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r w:rsidRPr="00C1012C">
        <w:rPr>
          <w:rFonts w:ascii="Geomanist Light" w:eastAsiaTheme="minorHAnsi" w:hAnsi="Geomanist Light" w:cstheme="minorBidi"/>
          <w:sz w:val="21"/>
          <w:szCs w:val="21"/>
          <w:lang w:val="es-MX" w:eastAsia="en-US"/>
        </w:rPr>
        <w:t>3. La Entidad Estatal debe publicar un informe de habilitación de los oferentes, en el cual debe indicar si los bienes o servicios ofrecidos por el interesado cumplen con la ficha técnica y si el oferente se encuentra habilitado. </w:t>
      </w:r>
    </w:p>
    <w:p w14:paraId="2B666780"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p>
    <w:p w14:paraId="129D6BD9"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r w:rsidRPr="00C1012C">
        <w:rPr>
          <w:rFonts w:ascii="Geomanist Light" w:eastAsiaTheme="minorHAnsi" w:hAnsi="Geomanist Light" w:cstheme="minorBidi"/>
          <w:sz w:val="21"/>
          <w:szCs w:val="21"/>
          <w:lang w:val="es-MX" w:eastAsia="en-US"/>
        </w:rPr>
        <w:t>4. Hay subasta inversa siempre que haya como mínimo dos oferentes habilitados cuyos bienes o servicios cumplen con la ficha técnica. </w:t>
      </w:r>
    </w:p>
    <w:p w14:paraId="3C3F2F36"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p>
    <w:p w14:paraId="5F02FA1D"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r w:rsidRPr="00C1012C">
        <w:rPr>
          <w:rFonts w:ascii="Geomanist Light" w:eastAsiaTheme="minorHAnsi" w:hAnsi="Geomanist Light" w:cstheme="minorBidi"/>
          <w:sz w:val="21"/>
          <w:szCs w:val="21"/>
          <w:lang w:val="es-MX" w:eastAsia="en-US"/>
        </w:rPr>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 </w:t>
      </w:r>
    </w:p>
    <w:p w14:paraId="10422007"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p>
    <w:p w14:paraId="53D358D3"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r w:rsidRPr="00C1012C">
        <w:rPr>
          <w:rFonts w:ascii="Geomanist Light" w:eastAsiaTheme="minorHAnsi" w:hAnsi="Geomanist Light" w:cstheme="minorBidi"/>
          <w:sz w:val="21"/>
          <w:szCs w:val="21"/>
          <w:lang w:val="es-MX" w:eastAsia="en-US"/>
        </w:rPr>
        <w:t>6. La subasta debe iniciar con el precio más bajo indicado por los oferentes y en consecuencia, solamente serán válidos los Lances efectuados durante la subasta inversa en los cuales la oferta sea mejorada en por lo menos el Margen Mínimo establecido. </w:t>
      </w:r>
    </w:p>
    <w:p w14:paraId="6E037DE7"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sz w:val="21"/>
          <w:szCs w:val="21"/>
          <w:lang w:val="es-MX" w:eastAsia="en-US"/>
        </w:rPr>
      </w:pPr>
    </w:p>
    <w:p w14:paraId="1701EC4C" w14:textId="77777777" w:rsidR="000A5946" w:rsidRPr="00C1012C" w:rsidRDefault="000A5946" w:rsidP="00EC047F">
      <w:pPr>
        <w:pStyle w:val="xmsonospacing"/>
        <w:spacing w:before="0" w:beforeAutospacing="0" w:after="0" w:afterAutospacing="0"/>
        <w:ind w:left="709" w:right="709"/>
        <w:jc w:val="both"/>
        <w:rPr>
          <w:rFonts w:ascii="Geomanist Light" w:eastAsiaTheme="minorHAnsi" w:hAnsi="Geomanist Light" w:cstheme="minorBidi"/>
          <w:lang w:val="es-MX" w:eastAsia="en-US"/>
        </w:rPr>
      </w:pPr>
      <w:r w:rsidRPr="00C1012C">
        <w:rPr>
          <w:rFonts w:ascii="Geomanist Light" w:eastAsiaTheme="minorHAnsi" w:hAnsi="Geomanist Light" w:cstheme="minorBidi"/>
          <w:sz w:val="21"/>
          <w:szCs w:val="21"/>
          <w:lang w:val="es-MX" w:eastAsia="en-US"/>
        </w:rPr>
        <w:t xml:space="preserve">7. Si los oferentes no presentan Lances durante la subasta, la Entidad Estatal debe adjudicar el contrato al oferente que haya presentado el precio inicial más bajo […] </w:t>
      </w:r>
    </w:p>
    <w:p w14:paraId="3FD2F04F" w14:textId="77777777" w:rsidR="000A5946" w:rsidRPr="00C1012C" w:rsidRDefault="000A5946" w:rsidP="000A5946">
      <w:pPr>
        <w:pStyle w:val="xmsonospacing"/>
        <w:spacing w:before="0" w:beforeAutospacing="0" w:after="0" w:afterAutospacing="0" w:line="276" w:lineRule="auto"/>
        <w:ind w:firstLine="709"/>
        <w:jc w:val="both"/>
        <w:rPr>
          <w:rFonts w:ascii="Geomanist Light" w:eastAsiaTheme="minorHAnsi" w:hAnsi="Geomanist Light" w:cstheme="minorBidi"/>
          <w:lang w:val="es-MX" w:eastAsia="en-US"/>
        </w:rPr>
      </w:pPr>
    </w:p>
    <w:p w14:paraId="74C01594" w14:textId="6D88B7C1" w:rsidR="008D3DC2" w:rsidRPr="008D3DC2" w:rsidRDefault="000A5946" w:rsidP="00C1012C">
      <w:pPr>
        <w:spacing w:after="120"/>
        <w:ind w:firstLine="708"/>
        <w:rPr>
          <w:rFonts w:ascii="Geomanist Light" w:hAnsi="Geomanist Light"/>
          <w:sz w:val="22"/>
          <w:szCs w:val="20"/>
          <w:lang w:val="es-ES"/>
        </w:rPr>
      </w:pPr>
      <w:r>
        <w:rPr>
          <w:rFonts w:ascii="Geomanist Light" w:hAnsi="Geomanist Light"/>
          <w:sz w:val="22"/>
          <w:szCs w:val="20"/>
          <w:lang w:val="es-ES"/>
        </w:rPr>
        <w:t>Conforme lo anterior, l</w:t>
      </w:r>
      <w:r w:rsidR="008D3DC2" w:rsidRPr="008D3DC2">
        <w:rPr>
          <w:rFonts w:ascii="Geomanist Light" w:hAnsi="Geomanist Light"/>
          <w:sz w:val="22"/>
          <w:szCs w:val="20"/>
          <w:lang w:val="es-ES"/>
        </w:rPr>
        <w:t>a subasta funciona mediante lances que realizan los oferentes en un período de tiempo, los cuales se basan en mejoras del precio, es decir, se comienza con el precio más bajo ofertado y</w:t>
      </w:r>
      <w:r w:rsidR="00EC047F">
        <w:rPr>
          <w:rFonts w:ascii="Geomanist Light" w:hAnsi="Geomanist Light"/>
          <w:sz w:val="22"/>
          <w:szCs w:val="20"/>
          <w:lang w:val="es-ES"/>
        </w:rPr>
        <w:t xml:space="preserve">, posteriormente se realizan los </w:t>
      </w:r>
      <w:r w:rsidR="008D3DC2" w:rsidRPr="008D3DC2">
        <w:rPr>
          <w:rFonts w:ascii="Geomanist Light" w:hAnsi="Geomanist Light"/>
          <w:sz w:val="22"/>
          <w:szCs w:val="20"/>
          <w:lang w:val="es-ES"/>
        </w:rPr>
        <w:t>lances</w:t>
      </w:r>
      <w:r w:rsidR="00EC047F">
        <w:rPr>
          <w:rFonts w:ascii="Geomanist Light" w:hAnsi="Geomanist Light"/>
          <w:sz w:val="22"/>
          <w:szCs w:val="20"/>
          <w:lang w:val="es-ES"/>
        </w:rPr>
        <w:t>,</w:t>
      </w:r>
      <w:r w:rsidR="008D3DC2" w:rsidRPr="008D3DC2">
        <w:rPr>
          <w:rFonts w:ascii="Geomanist Light" w:hAnsi="Geomanist Light"/>
          <w:sz w:val="22"/>
          <w:szCs w:val="20"/>
          <w:lang w:val="es-ES"/>
        </w:rPr>
        <w:t xml:space="preserve"> </w:t>
      </w:r>
      <w:r w:rsidR="00EC047F">
        <w:rPr>
          <w:rFonts w:ascii="Geomanist Light" w:hAnsi="Geomanist Light"/>
          <w:sz w:val="22"/>
          <w:szCs w:val="20"/>
          <w:lang w:val="es-ES"/>
        </w:rPr>
        <w:t>los cuales corresponden al</w:t>
      </w:r>
      <w:r w:rsidR="008D3DC2" w:rsidRPr="008D3DC2">
        <w:rPr>
          <w:rFonts w:ascii="Geomanist Light" w:hAnsi="Geomanist Light"/>
          <w:sz w:val="22"/>
          <w:szCs w:val="20"/>
          <w:lang w:val="es-ES"/>
        </w:rPr>
        <w:t xml:space="preserve"> precio estimado </w:t>
      </w:r>
      <w:r w:rsidR="00EC047F">
        <w:rPr>
          <w:rFonts w:ascii="Geomanist Light" w:hAnsi="Geomanist Light"/>
          <w:sz w:val="22"/>
          <w:szCs w:val="20"/>
          <w:lang w:val="es-ES"/>
        </w:rPr>
        <w:t>que</w:t>
      </w:r>
      <w:r w:rsidR="008D3DC2" w:rsidRPr="008D3DC2">
        <w:rPr>
          <w:rFonts w:ascii="Geomanist Light" w:hAnsi="Geomanist Light"/>
          <w:sz w:val="22"/>
          <w:szCs w:val="20"/>
          <w:lang w:val="es-ES"/>
        </w:rPr>
        <w:t xml:space="preserve"> cada proponente </w:t>
      </w:r>
      <w:r w:rsidR="00EC047F">
        <w:rPr>
          <w:rFonts w:ascii="Geomanist Light" w:hAnsi="Geomanist Light"/>
          <w:sz w:val="22"/>
          <w:szCs w:val="20"/>
          <w:lang w:val="es-ES"/>
        </w:rPr>
        <w:t xml:space="preserve">ofrece y </w:t>
      </w:r>
      <w:r w:rsidR="008D3DC2" w:rsidRPr="008D3DC2">
        <w:rPr>
          <w:rFonts w:ascii="Geomanist Light" w:hAnsi="Geomanist Light"/>
          <w:sz w:val="22"/>
          <w:szCs w:val="20"/>
          <w:lang w:val="es-ES"/>
        </w:rPr>
        <w:t xml:space="preserve">en el que ha valorado el bien, obra o servicio que ofrece. </w:t>
      </w:r>
    </w:p>
    <w:p w14:paraId="0808CD2C" w14:textId="30FE5CC1" w:rsidR="008D3DC2" w:rsidRPr="008D3DC2" w:rsidRDefault="008D3DC2" w:rsidP="00C1012C">
      <w:pPr>
        <w:spacing w:after="120"/>
        <w:ind w:firstLine="708"/>
        <w:rPr>
          <w:rFonts w:ascii="Geomanist Light" w:hAnsi="Geomanist Light"/>
          <w:sz w:val="22"/>
          <w:szCs w:val="20"/>
          <w:lang w:val="es-ES"/>
        </w:rPr>
      </w:pPr>
      <w:r w:rsidRPr="008D3DC2">
        <w:rPr>
          <w:rFonts w:ascii="Geomanist Light" w:hAnsi="Geomanist Light"/>
          <w:sz w:val="22"/>
          <w:szCs w:val="20"/>
          <w:lang w:val="es-ES"/>
        </w:rPr>
        <w:t>Teniendo en cuenta el presupuesto oficial definido por la entidad en el pliego de condiciones, durante la subasta los proponentes mejoran el precio, disminuyéndolo según el margen mínimo</w:t>
      </w:r>
      <w:r w:rsidRPr="008D3DC2">
        <w:rPr>
          <w:rFonts w:ascii="Geomanist Light" w:hAnsi="Geomanist Light"/>
          <w:sz w:val="22"/>
          <w:szCs w:val="20"/>
          <w:vertAlign w:val="superscript"/>
          <w:lang w:val="es-ES"/>
        </w:rPr>
        <w:footnoteReference w:id="7"/>
      </w:r>
      <w:r w:rsidRPr="008D3DC2">
        <w:rPr>
          <w:rFonts w:ascii="Geomanist Light" w:hAnsi="Geomanist Light"/>
          <w:sz w:val="22"/>
          <w:szCs w:val="20"/>
          <w:lang w:val="es-ES"/>
        </w:rPr>
        <w:t>, es decir,</w:t>
      </w:r>
      <w:r w:rsidR="00EC047F">
        <w:rPr>
          <w:rFonts w:ascii="Geomanist Light" w:hAnsi="Geomanist Light"/>
          <w:sz w:val="22"/>
          <w:szCs w:val="20"/>
          <w:lang w:val="es-ES"/>
        </w:rPr>
        <w:t xml:space="preserve"> que este margen mínimo es</w:t>
      </w:r>
      <w:r w:rsidRPr="008D3DC2">
        <w:rPr>
          <w:rFonts w:ascii="Geomanist Light" w:hAnsi="Geomanist Light"/>
          <w:sz w:val="22"/>
          <w:szCs w:val="20"/>
          <w:lang w:val="es-ES"/>
        </w:rPr>
        <w:t xml:space="preserve"> un valor que el proponente debe tener en cuenta para bajar el precio, y que es un límite inferior respecto del cual el oferente </w:t>
      </w:r>
      <w:r w:rsidRPr="008D3DC2">
        <w:rPr>
          <w:rFonts w:ascii="Geomanist Light" w:hAnsi="Geomanist Light"/>
          <w:sz w:val="22"/>
          <w:szCs w:val="20"/>
          <w:lang w:val="es-ES"/>
        </w:rPr>
        <w:lastRenderedPageBreak/>
        <w:t>solo puede cumplirlo o ampliarlo</w:t>
      </w:r>
      <w:r w:rsidRPr="008D3DC2">
        <w:rPr>
          <w:rFonts w:ascii="Geomanist Light" w:hAnsi="Geomanist Light"/>
          <w:b/>
          <w:bCs/>
          <w:sz w:val="22"/>
          <w:szCs w:val="20"/>
          <w:vertAlign w:val="superscript"/>
          <w:lang w:val="es-ES"/>
        </w:rPr>
        <w:footnoteReference w:id="8"/>
      </w:r>
      <w:r w:rsidRPr="008D3DC2">
        <w:rPr>
          <w:rFonts w:ascii="Geomanist Light" w:hAnsi="Geomanist Light"/>
          <w:b/>
          <w:bCs/>
          <w:sz w:val="22"/>
          <w:szCs w:val="20"/>
          <w:lang w:val="es-ES"/>
        </w:rPr>
        <w:t xml:space="preserve">. </w:t>
      </w:r>
      <w:r w:rsidRPr="008D3DC2">
        <w:rPr>
          <w:rFonts w:ascii="Geomanist Light" w:hAnsi="Geomanist Light"/>
          <w:sz w:val="22"/>
          <w:szCs w:val="20"/>
          <w:lang w:val="es-ES"/>
        </w:rPr>
        <w:t xml:space="preserve">Como lo explica la norma, la subasta inicia con el precio más bajo indicado por los oferentes y sólo son válidos aquellos lances que mejoran la oferta en por lo menos el margen mínimo establecido. </w:t>
      </w:r>
    </w:p>
    <w:p w14:paraId="11FD1817" w14:textId="2939127C" w:rsidR="008D3DC2" w:rsidRPr="008D3DC2" w:rsidRDefault="008D3DC2" w:rsidP="00C1012C">
      <w:pPr>
        <w:spacing w:after="0"/>
        <w:ind w:firstLine="708"/>
        <w:contextualSpacing/>
        <w:rPr>
          <w:rFonts w:ascii="Geomanist Light" w:hAnsi="Geomanist Light"/>
          <w:sz w:val="22"/>
          <w:szCs w:val="20"/>
          <w:lang w:val="es-ES"/>
        </w:rPr>
      </w:pPr>
      <w:r w:rsidRPr="008D3DC2">
        <w:rPr>
          <w:rFonts w:ascii="Geomanist Light" w:hAnsi="Geomanist Light"/>
          <w:sz w:val="22"/>
          <w:szCs w:val="20"/>
          <w:lang w:val="es-ES"/>
        </w:rPr>
        <w:t>El artículo 2.2.1.2.2.4 del Decreto 1082 de 2015 establece que la subasta finaliza cuando los oferentes no hagan lances adicionales durante el periodo determinado para la presentación de estos.</w:t>
      </w:r>
      <w:r w:rsidRPr="008D3DC2">
        <w:rPr>
          <w:rStyle w:val="Refdenotaalpie"/>
          <w:rFonts w:ascii="Geomanist Light" w:hAnsi="Geomanist Light"/>
          <w:sz w:val="22"/>
          <w:szCs w:val="20"/>
          <w:lang w:val="es-ES"/>
        </w:rPr>
        <w:footnoteReference w:id="9"/>
      </w:r>
      <w:r w:rsidRPr="008D3DC2">
        <w:rPr>
          <w:rFonts w:ascii="Geomanist Light" w:hAnsi="Geomanist Light"/>
          <w:sz w:val="22"/>
          <w:szCs w:val="20"/>
          <w:lang w:val="es-ES"/>
        </w:rPr>
        <w:t>. El contrato es adjudicado a aquel oferente que disponga el precio más bajo en la subasta, siendo este el único criterio de comparación de las propuestas</w:t>
      </w:r>
      <w:r w:rsidR="00EC047F">
        <w:rPr>
          <w:rFonts w:ascii="Geomanist Light" w:hAnsi="Geomanist Light"/>
          <w:sz w:val="22"/>
          <w:szCs w:val="20"/>
          <w:lang w:val="es-ES"/>
        </w:rPr>
        <w:t xml:space="preserve"> en esta modalidad de selección</w:t>
      </w:r>
      <w:r w:rsidRPr="008D3DC2">
        <w:rPr>
          <w:rStyle w:val="Refdenotaalpie"/>
          <w:rFonts w:ascii="Geomanist Light" w:hAnsi="Geomanist Light"/>
          <w:sz w:val="22"/>
          <w:szCs w:val="20"/>
          <w:lang w:val="es-ES"/>
        </w:rPr>
        <w:footnoteReference w:id="10"/>
      </w:r>
      <w:r w:rsidRPr="008D3DC2">
        <w:rPr>
          <w:rFonts w:ascii="Geomanist Light" w:hAnsi="Geomanist Light"/>
          <w:sz w:val="22"/>
          <w:szCs w:val="20"/>
          <w:lang w:val="es-ES"/>
        </w:rPr>
        <w:t xml:space="preserve">. </w:t>
      </w:r>
      <w:r w:rsidR="00EC047F">
        <w:rPr>
          <w:rFonts w:ascii="Geomanist Light" w:hAnsi="Geomanist Light"/>
          <w:sz w:val="22"/>
          <w:szCs w:val="20"/>
          <w:lang w:val="es-ES"/>
        </w:rPr>
        <w:t>E</w:t>
      </w:r>
      <w:r w:rsidRPr="008D3DC2">
        <w:rPr>
          <w:rFonts w:ascii="Geomanist Light" w:hAnsi="Geomanist Light"/>
          <w:sz w:val="22"/>
          <w:szCs w:val="20"/>
          <w:lang w:val="es-ES"/>
        </w:rPr>
        <w:t>n caso de empate</w:t>
      </w:r>
      <w:r w:rsidRPr="008D3DC2">
        <w:rPr>
          <w:rFonts w:ascii="Geomanist Light" w:hAnsi="Geomanist Light"/>
          <w:sz w:val="22"/>
          <w:szCs w:val="20"/>
        </w:rPr>
        <w:t xml:space="preserve">, la </w:t>
      </w:r>
      <w:r w:rsidR="00EC047F" w:rsidRPr="008D3DC2">
        <w:rPr>
          <w:rFonts w:ascii="Geomanist Light" w:hAnsi="Geomanist Light"/>
          <w:sz w:val="22"/>
          <w:szCs w:val="20"/>
        </w:rPr>
        <w:t>entidad estatal</w:t>
      </w:r>
      <w:r w:rsidRPr="008D3DC2">
        <w:rPr>
          <w:rFonts w:ascii="Geomanist Light" w:hAnsi="Geomanist Light"/>
          <w:sz w:val="22"/>
          <w:szCs w:val="20"/>
        </w:rPr>
        <w:t xml:space="preserve"> debe seleccionar al oferente que presentó el menor precio inicial. En caso de persistir el empate la </w:t>
      </w:r>
      <w:r w:rsidR="00EC047F" w:rsidRPr="008D3DC2">
        <w:rPr>
          <w:rFonts w:ascii="Geomanist Light" w:hAnsi="Geomanist Light"/>
          <w:sz w:val="22"/>
          <w:szCs w:val="20"/>
        </w:rPr>
        <w:t>entidad estatal</w:t>
      </w:r>
      <w:r w:rsidRPr="008D3DC2">
        <w:rPr>
          <w:rFonts w:ascii="Geomanist Light" w:hAnsi="Geomanist Light"/>
          <w:sz w:val="22"/>
          <w:szCs w:val="20"/>
        </w:rPr>
        <w:t xml:space="preserve"> </w:t>
      </w:r>
      <w:r w:rsidRPr="008D3DC2">
        <w:rPr>
          <w:rFonts w:ascii="Geomanist Light" w:hAnsi="Geomanist Light"/>
          <w:sz w:val="22"/>
          <w:szCs w:val="20"/>
        </w:rPr>
        <w:lastRenderedPageBreak/>
        <w:t xml:space="preserve">debe aplicar los criterios del artículo 35 de la Ley 2069 de 2020 conforme con los medios de acreditación del artículo 2.2. 1.2.4.2 17 del </w:t>
      </w:r>
      <w:r w:rsidR="00EC047F" w:rsidRPr="008D3DC2">
        <w:rPr>
          <w:rFonts w:ascii="Geomanist Light" w:hAnsi="Geomanist Light"/>
          <w:sz w:val="22"/>
          <w:szCs w:val="20"/>
        </w:rPr>
        <w:t xml:space="preserve">Decreto </w:t>
      </w:r>
      <w:r w:rsidRPr="008D3DC2">
        <w:rPr>
          <w:rFonts w:ascii="Geomanist Light" w:hAnsi="Geomanist Light"/>
          <w:sz w:val="22"/>
          <w:szCs w:val="20"/>
        </w:rPr>
        <w:t>1860 del 2021.</w:t>
      </w:r>
    </w:p>
    <w:p w14:paraId="68081584" w14:textId="77777777" w:rsidR="007A5B5C" w:rsidRDefault="007A5B5C" w:rsidP="007A5B5C">
      <w:pPr>
        <w:spacing w:after="0"/>
        <w:contextualSpacing/>
        <w:rPr>
          <w:rFonts w:ascii="Geomanist Light" w:hAnsi="Geomanist Light"/>
          <w:b/>
          <w:bCs/>
          <w:sz w:val="22"/>
          <w:lang w:val="es-ES"/>
        </w:rPr>
      </w:pPr>
    </w:p>
    <w:p w14:paraId="3A032E84" w14:textId="0D86E5A2" w:rsidR="008D3DC2" w:rsidRPr="008D3DC2" w:rsidRDefault="007A5B5C" w:rsidP="00C1012C">
      <w:pPr>
        <w:spacing w:after="0"/>
        <w:contextualSpacing/>
        <w:rPr>
          <w:rFonts w:ascii="Geomanist Light" w:hAnsi="Geomanist Light"/>
          <w:b/>
          <w:bCs/>
          <w:sz w:val="22"/>
          <w:lang w:val="es-ES"/>
        </w:rPr>
      </w:pPr>
      <w:r>
        <w:rPr>
          <w:rFonts w:ascii="Geomanist Light" w:hAnsi="Geomanist Light"/>
          <w:b/>
          <w:bCs/>
          <w:sz w:val="22"/>
          <w:lang w:val="es-ES"/>
        </w:rPr>
        <w:t xml:space="preserve">2.2. </w:t>
      </w:r>
      <w:r w:rsidR="008D3DC2" w:rsidRPr="008D3DC2">
        <w:rPr>
          <w:rFonts w:ascii="Geomanist Light" w:hAnsi="Geomanist Light"/>
          <w:b/>
          <w:bCs/>
          <w:sz w:val="22"/>
          <w:lang w:val="es-ES"/>
        </w:rPr>
        <w:t>Límites de cuantía para efectuar la subasta inversa</w:t>
      </w:r>
      <w:r w:rsidR="00FE07BF">
        <w:rPr>
          <w:rFonts w:ascii="Geomanist Light" w:hAnsi="Geomanist Light"/>
          <w:b/>
          <w:bCs/>
          <w:sz w:val="22"/>
          <w:lang w:val="es-ES"/>
        </w:rPr>
        <w:t>: Análisis frente a los precios artificialmente bajos</w:t>
      </w:r>
    </w:p>
    <w:p w14:paraId="0C71CBA0" w14:textId="77777777" w:rsidR="00EC047F" w:rsidRDefault="00EC047F" w:rsidP="00C1012C">
      <w:pPr>
        <w:spacing w:after="0"/>
        <w:contextualSpacing/>
        <w:rPr>
          <w:rFonts w:ascii="Geomanist Light" w:hAnsi="Geomanist Light"/>
          <w:sz w:val="22"/>
          <w:szCs w:val="20"/>
          <w:lang w:val="es-ES"/>
        </w:rPr>
      </w:pPr>
    </w:p>
    <w:p w14:paraId="271C4237" w14:textId="62EA9D5F" w:rsidR="008D3DC2" w:rsidRPr="008D3DC2" w:rsidRDefault="008D3DC2" w:rsidP="00C1012C">
      <w:pPr>
        <w:spacing w:after="120"/>
        <w:rPr>
          <w:rFonts w:ascii="Geomanist Light" w:hAnsi="Geomanist Light"/>
          <w:sz w:val="22"/>
          <w:szCs w:val="20"/>
          <w:lang w:val="es-ES"/>
        </w:rPr>
      </w:pPr>
      <w:r w:rsidRPr="008D3DC2">
        <w:rPr>
          <w:rFonts w:ascii="Geomanist Light" w:hAnsi="Geomanist Light"/>
          <w:sz w:val="22"/>
          <w:szCs w:val="20"/>
          <w:lang w:val="es-ES"/>
        </w:rPr>
        <w:t xml:space="preserve">Considerando el funcionamiento de la subasta y las características que la ley establece para la adjudicación en este proceso, se llega a la conclusión de que la oferta adjudicada será aquella que presente el precio más bajo. Si bien la ley no establece expresamente si la </w:t>
      </w:r>
      <w:r w:rsidR="00FE07BF" w:rsidRPr="008D3DC2">
        <w:rPr>
          <w:rFonts w:ascii="Geomanist Light" w:hAnsi="Geomanist Light"/>
          <w:sz w:val="22"/>
          <w:szCs w:val="20"/>
          <w:lang w:val="es-ES"/>
        </w:rPr>
        <w:t xml:space="preserve">entidad estatal </w:t>
      </w:r>
      <w:r w:rsidRPr="008D3DC2">
        <w:rPr>
          <w:rFonts w:ascii="Geomanist Light" w:hAnsi="Geomanist Light"/>
          <w:sz w:val="22"/>
          <w:szCs w:val="20"/>
          <w:lang w:val="es-ES"/>
        </w:rPr>
        <w:t xml:space="preserve">debe considerar un límite en los precios ofertados en los lances de la subasta, para adjudicar o rechazar una oferta, esta determina que en caso de presentarse un precio que, de acuerdo con la información obtenida por la entidad en el análisis del sector del bien o servicio objeto de la contratación, </w:t>
      </w:r>
      <w:r w:rsidR="00FE07BF">
        <w:rPr>
          <w:rFonts w:ascii="Geomanist Light" w:hAnsi="Geomanist Light"/>
          <w:sz w:val="22"/>
          <w:szCs w:val="20"/>
          <w:lang w:val="es-ES"/>
        </w:rPr>
        <w:t xml:space="preserve">se </w:t>
      </w:r>
      <w:r w:rsidRPr="008D3DC2">
        <w:rPr>
          <w:rFonts w:ascii="Geomanist Light" w:hAnsi="Geomanist Light"/>
          <w:sz w:val="22"/>
          <w:szCs w:val="20"/>
          <w:lang w:val="es-ES"/>
        </w:rPr>
        <w:t xml:space="preserve">considere que no corresponde al valor del mercado, debe la entidad requerir al oferente para que sustente el precio ofrecido. Esto es conocido como </w:t>
      </w:r>
      <w:r w:rsidRPr="00C1012C">
        <w:rPr>
          <w:rFonts w:ascii="Geomanist Light" w:hAnsi="Geomanist Light"/>
          <w:sz w:val="22"/>
          <w:szCs w:val="20"/>
          <w:lang w:val="es-ES"/>
        </w:rPr>
        <w:t>el precio artificialmente bajo</w:t>
      </w:r>
      <w:r w:rsidRPr="00E60391">
        <w:rPr>
          <w:rFonts w:ascii="Geomanist Light" w:hAnsi="Geomanist Light"/>
          <w:sz w:val="22"/>
          <w:szCs w:val="20"/>
          <w:lang w:val="es-ES"/>
        </w:rPr>
        <w:t>.</w:t>
      </w:r>
      <w:r w:rsidRPr="008D3DC2">
        <w:rPr>
          <w:rFonts w:ascii="Geomanist Light" w:hAnsi="Geomanist Light"/>
          <w:sz w:val="22"/>
          <w:szCs w:val="20"/>
          <w:lang w:val="es-ES"/>
        </w:rPr>
        <w:t xml:space="preserve"> </w:t>
      </w:r>
    </w:p>
    <w:p w14:paraId="0224FDAB" w14:textId="77777777" w:rsidR="008D3DC2" w:rsidRPr="008D3DC2" w:rsidRDefault="008D3DC2" w:rsidP="00C1012C">
      <w:pPr>
        <w:spacing w:after="120"/>
        <w:ind w:firstLine="709"/>
        <w:rPr>
          <w:rFonts w:ascii="Geomanist Light" w:hAnsi="Geomanist Light"/>
          <w:sz w:val="22"/>
          <w:szCs w:val="20"/>
          <w:lang w:val="es-ES"/>
        </w:rPr>
      </w:pPr>
      <w:r w:rsidRPr="008D3DC2">
        <w:rPr>
          <w:rFonts w:ascii="Geomanist Light" w:hAnsi="Geomanist Light"/>
          <w:sz w:val="22"/>
          <w:szCs w:val="20"/>
        </w:rPr>
        <w:t xml:space="preserve">La Agencia Nacional de Contratación Pública ― Colombia Compra Eficiente, en el concepto C-012 del 28 de enero de 2020 –radicado No. 2202013000000496–, así como en los conceptos del 21 y 28 de octubre, 7 de noviembre, 11 y 20 de diciembre de 2019 y el 7 de enero de 2020 -radicados Nos. 2201913000007853, 2201913000008058, 2201913000008288, 2201913000009110, 2201913000009489 y 2202013000000038–, analizó la noción y alcance de los «precios artificialmente bajos» y las normas y jurisprudencia sobre la materia. Esta noción servirá para darle respuesta a su inquietud, como se expondrá a continuación. </w:t>
      </w:r>
    </w:p>
    <w:p w14:paraId="09414BD2" w14:textId="42DC898A" w:rsidR="00381190" w:rsidRPr="008D3DC2" w:rsidRDefault="008D3DC2" w:rsidP="00C1012C">
      <w:pPr>
        <w:spacing w:after="0"/>
        <w:ind w:firstLine="709"/>
        <w:rPr>
          <w:rFonts w:ascii="Geomanist Light" w:hAnsi="Geomanist Light"/>
          <w:sz w:val="22"/>
          <w:szCs w:val="20"/>
          <w:lang w:val="es-ES"/>
        </w:rPr>
      </w:pPr>
      <w:r w:rsidRPr="008D3DC2">
        <w:rPr>
          <w:rFonts w:ascii="Geomanist Light" w:hAnsi="Geomanist Light"/>
          <w:sz w:val="22"/>
          <w:szCs w:val="20"/>
          <w:lang w:val="es-ES"/>
        </w:rPr>
        <w:t>El decreto 1082 de 2015, en su artículo 2.2.1.1.2.2.4. define a la oferta artificialmente baja como aquella en donde, en criterio de la entidad estatal, el precio no parece suficiente para garantizar una correcta ejecución del contrato, de acuerdo con la información recogida durante la etapa de planeación y particularmente durante el estudio del sector. En palabras del Consejo de Estado</w:t>
      </w:r>
      <w:r w:rsidRPr="008D3DC2">
        <w:rPr>
          <w:rStyle w:val="Refdenotaalpie"/>
          <w:rFonts w:ascii="Geomanist Light" w:hAnsi="Geomanist Light"/>
          <w:sz w:val="22"/>
          <w:szCs w:val="20"/>
          <w:lang w:val="es-ES"/>
        </w:rPr>
        <w:footnoteReference w:id="11"/>
      </w:r>
      <w:r w:rsidRPr="008D3DC2">
        <w:rPr>
          <w:rFonts w:ascii="Geomanist Light" w:hAnsi="Geomanist Light"/>
          <w:sz w:val="22"/>
          <w:szCs w:val="20"/>
          <w:lang w:val="es-ES"/>
        </w:rPr>
        <w:t xml:space="preserve">: </w:t>
      </w:r>
    </w:p>
    <w:p w14:paraId="67B87529" w14:textId="19635033" w:rsidR="008D3DC2" w:rsidRDefault="008D3DC2" w:rsidP="00381190">
      <w:pPr>
        <w:spacing w:after="0"/>
        <w:ind w:left="709" w:right="709"/>
        <w:contextualSpacing/>
        <w:rPr>
          <w:rFonts w:ascii="Geomanist Light" w:hAnsi="Geomanist Light"/>
          <w:sz w:val="21"/>
          <w:szCs w:val="21"/>
        </w:rPr>
      </w:pPr>
      <w:r w:rsidRPr="00933DD8">
        <w:rPr>
          <w:rFonts w:ascii="Geomanist Light" w:hAnsi="Geomanist Light"/>
          <w:sz w:val="21"/>
          <w:szCs w:val="21"/>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w:t>
      </w:r>
      <w:r w:rsidRPr="00933DD8">
        <w:rPr>
          <w:rFonts w:ascii="Geomanist Light" w:hAnsi="Geomanist Light"/>
          <w:spacing w:val="57"/>
          <w:sz w:val="21"/>
          <w:szCs w:val="21"/>
        </w:rPr>
        <w:t xml:space="preserve"> </w:t>
      </w:r>
      <w:r w:rsidRPr="00933DD8">
        <w:rPr>
          <w:rFonts w:ascii="Geomanist Light" w:hAnsi="Geomanist Light"/>
          <w:sz w:val="21"/>
          <w:szCs w:val="21"/>
        </w:rPr>
        <w:t>transparencia, equilibrio e imparcialidad que gobiernan la actividad contractual y como parte de ella, el procedimiento de la licitación.</w:t>
      </w:r>
    </w:p>
    <w:p w14:paraId="12086C21" w14:textId="77777777" w:rsidR="00381190" w:rsidRPr="00933DD8" w:rsidRDefault="00381190" w:rsidP="00C1012C">
      <w:pPr>
        <w:spacing w:after="0"/>
        <w:ind w:left="709" w:right="709"/>
        <w:contextualSpacing/>
        <w:rPr>
          <w:sz w:val="21"/>
          <w:szCs w:val="21"/>
        </w:rPr>
      </w:pPr>
    </w:p>
    <w:p w14:paraId="3C77FB90" w14:textId="21953E96" w:rsidR="00381190" w:rsidRPr="00C1012C" w:rsidRDefault="008D3DC2" w:rsidP="00C1012C">
      <w:pPr>
        <w:spacing w:after="0"/>
        <w:ind w:left="709" w:right="709"/>
        <w:contextualSpacing/>
        <w:rPr>
          <w:rFonts w:ascii="Geomanist Light" w:hAnsi="Geomanist Light"/>
          <w:sz w:val="21"/>
          <w:szCs w:val="21"/>
        </w:rPr>
      </w:pPr>
      <w:r w:rsidRPr="00933DD8">
        <w:rPr>
          <w:rFonts w:ascii="Geomanist Light" w:hAnsi="Geomanist Light"/>
          <w:sz w:val="21"/>
          <w:szCs w:val="21"/>
        </w:rPr>
        <w:lastRenderedPageBreak/>
        <w:t>Pero puede suceder que el precio aunque bajo, encuentre razonabilidad y justificación por circunstancias especiales que tienen suficiente explicación, las cuales deberán ser evaluadas por la Administración en su contexto, para determinar si la oferta puede o no ser</w:t>
      </w:r>
      <w:r w:rsidRPr="00933DD8">
        <w:rPr>
          <w:rFonts w:ascii="Geomanist Light" w:hAnsi="Geomanist Light"/>
          <w:spacing w:val="-10"/>
          <w:sz w:val="21"/>
          <w:szCs w:val="21"/>
        </w:rPr>
        <w:t xml:space="preserve"> </w:t>
      </w:r>
      <w:r w:rsidRPr="00933DD8">
        <w:rPr>
          <w:rFonts w:ascii="Geomanist Light" w:hAnsi="Geomanist Light"/>
          <w:sz w:val="21"/>
          <w:szCs w:val="21"/>
        </w:rPr>
        <w:t>admitida</w:t>
      </w:r>
      <w:r w:rsidRPr="00933DD8">
        <w:rPr>
          <w:rStyle w:val="Refdenotaalpie"/>
          <w:rFonts w:ascii="Geomanist Light" w:hAnsi="Geomanist Light"/>
          <w:sz w:val="21"/>
          <w:szCs w:val="21"/>
        </w:rPr>
        <w:footnoteReference w:id="12"/>
      </w:r>
      <w:r w:rsidRPr="00933DD8">
        <w:rPr>
          <w:rFonts w:ascii="Geomanist Light" w:hAnsi="Geomanist Light"/>
          <w:sz w:val="21"/>
          <w:szCs w:val="21"/>
        </w:rPr>
        <w:t>.</w:t>
      </w:r>
    </w:p>
    <w:p w14:paraId="39BCAA74" w14:textId="77777777" w:rsidR="008D3DC2" w:rsidRPr="008D3DC2" w:rsidRDefault="008D3DC2" w:rsidP="00933DD8">
      <w:pPr>
        <w:ind w:firstLine="708"/>
        <w:rPr>
          <w:rFonts w:ascii="Geomanist Light" w:hAnsi="Geomanist Light"/>
          <w:sz w:val="22"/>
          <w:szCs w:val="20"/>
          <w:lang w:val="es-ES"/>
        </w:rPr>
      </w:pPr>
      <w:r w:rsidRPr="008D3DC2">
        <w:rPr>
          <w:rFonts w:ascii="Geomanist Light" w:hAnsi="Geomanist Light"/>
          <w:sz w:val="22"/>
          <w:szCs w:val="20"/>
          <w:lang w:val="es-ES"/>
        </w:rPr>
        <w:t>Para determinar si se trata de una «oferta artificialmente baja», la Guía para el manejo de ofertas artificialmente bajas en procesos de Contratación, sugiere a la entidad recurrir a la siguiente información: i) promedio del valor de las ofertas; ii) mediana del valor las ofertas ; iii)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vii) la información histórica de ofertas y contratos del objeto del proceso de contratación</w:t>
      </w:r>
      <w:r w:rsidRPr="008D3DC2">
        <w:rPr>
          <w:rStyle w:val="Refdenotaalpie"/>
          <w:rFonts w:ascii="Geomanist Light" w:hAnsi="Geomanist Light"/>
          <w:sz w:val="22"/>
          <w:szCs w:val="20"/>
          <w:lang w:val="es-ES"/>
        </w:rPr>
        <w:footnoteReference w:id="13"/>
      </w:r>
      <w:r w:rsidRPr="008D3DC2">
        <w:rPr>
          <w:rFonts w:ascii="Geomanist Light" w:hAnsi="Geomanist Light"/>
          <w:sz w:val="22"/>
          <w:szCs w:val="20"/>
          <w:lang w:val="es-ES"/>
        </w:rPr>
        <w:t>.</w:t>
      </w:r>
    </w:p>
    <w:p w14:paraId="5B4489BC" w14:textId="090A838A" w:rsidR="008D3DC2" w:rsidRPr="008D3DC2" w:rsidRDefault="008D3DC2" w:rsidP="00933DD8">
      <w:pPr>
        <w:ind w:firstLine="360"/>
        <w:rPr>
          <w:rFonts w:ascii="Geomanist Light" w:hAnsi="Geomanist Light"/>
          <w:sz w:val="22"/>
          <w:szCs w:val="20"/>
          <w:lang w:val="es-ES"/>
        </w:rPr>
      </w:pPr>
      <w:r w:rsidRPr="008D3DC2">
        <w:rPr>
          <w:rFonts w:ascii="Geomanist Light" w:hAnsi="Geomanist Light"/>
          <w:sz w:val="22"/>
          <w:szCs w:val="20"/>
          <w:lang w:val="es-ES"/>
        </w:rPr>
        <w:t xml:space="preserve">El artículo 2.2.1.2.2.4. establece que una vez se requiera al oferente y se analizan las explicaciones dadas por este, el comité evaluador o quien haga la evaluación de las ofertas, debe recomendar rechazar la oferta o seguir con su análisis. En caso de que el valor responda a las circunstancias objetivas del oferente y no se ponga en riesgo el cumplimiento del contrato, la </w:t>
      </w:r>
      <w:r w:rsidR="00381190" w:rsidRPr="008D3DC2">
        <w:rPr>
          <w:rFonts w:ascii="Geomanist Light" w:hAnsi="Geomanist Light"/>
          <w:sz w:val="22"/>
          <w:szCs w:val="20"/>
          <w:lang w:val="es-ES"/>
        </w:rPr>
        <w:t xml:space="preserve">entidad </w:t>
      </w:r>
      <w:r w:rsidRPr="008D3DC2">
        <w:rPr>
          <w:rFonts w:ascii="Geomanist Light" w:hAnsi="Geomanist Light"/>
          <w:sz w:val="22"/>
          <w:szCs w:val="20"/>
          <w:lang w:val="es-ES"/>
        </w:rPr>
        <w:t xml:space="preserve">debe continuar con el proceso. El mismo artículo plantea que este análisis debe hacerse con el precio obtenido al final de la subasta, es decir, el menor precio ofertado en los lances. </w:t>
      </w:r>
    </w:p>
    <w:p w14:paraId="0C3F4BC0" w14:textId="3B28EBF4" w:rsidR="008D3DC2" w:rsidRPr="008D3DC2" w:rsidRDefault="008D3DC2" w:rsidP="008D3DC2">
      <w:pPr>
        <w:pStyle w:val="Prrafodelista"/>
        <w:numPr>
          <w:ilvl w:val="0"/>
          <w:numId w:val="5"/>
        </w:numPr>
        <w:spacing w:after="160" w:line="259" w:lineRule="auto"/>
        <w:rPr>
          <w:rFonts w:ascii="Geomanist Light" w:hAnsi="Geomanist Light"/>
          <w:b/>
          <w:bCs/>
          <w:sz w:val="22"/>
          <w:lang w:val="es-ES"/>
        </w:rPr>
      </w:pPr>
      <w:r w:rsidRPr="008D3DC2">
        <w:rPr>
          <w:rFonts w:ascii="Geomanist Light" w:hAnsi="Geomanist Light"/>
          <w:b/>
          <w:bCs/>
          <w:sz w:val="22"/>
          <w:lang w:val="es-ES"/>
        </w:rPr>
        <w:t>Respuesta:</w:t>
      </w:r>
    </w:p>
    <w:p w14:paraId="7349C8B5" w14:textId="1606BF1D" w:rsidR="008D3DC2" w:rsidRPr="008D3DC2" w:rsidRDefault="008D3DC2" w:rsidP="00933DD8">
      <w:pPr>
        <w:ind w:left="709" w:right="709"/>
        <w:rPr>
          <w:rFonts w:ascii="Geomanist Light" w:hAnsi="Geomanist Light"/>
          <w:sz w:val="22"/>
          <w:szCs w:val="20"/>
          <w:lang w:val="es-ES"/>
        </w:rPr>
      </w:pPr>
      <w:r w:rsidRPr="008D3DC2">
        <w:rPr>
          <w:rFonts w:ascii="Geomanist Light" w:hAnsi="Geomanist Light"/>
          <w:sz w:val="22"/>
          <w:szCs w:val="20"/>
          <w:lang w:val="es-ES"/>
        </w:rPr>
        <w:t xml:space="preserve"> </w:t>
      </w:r>
      <w:r w:rsidR="005C3192" w:rsidRPr="0019336A">
        <w:rPr>
          <w:rFonts w:ascii="Geomanist Light" w:hAnsi="Geomanist Light"/>
          <w:sz w:val="21"/>
          <w:szCs w:val="21"/>
        </w:rPr>
        <w:t>«</w:t>
      </w:r>
      <w:r w:rsidR="005C3192" w:rsidRPr="0019336A">
        <w:rPr>
          <w:rFonts w:ascii="Geomanist Light" w:hAnsi="Geomanist Light"/>
          <w:i/>
          <w:iCs/>
          <w:sz w:val="21"/>
          <w:szCs w:val="21"/>
        </w:rPr>
        <w:t>De conformidad con lo establecido en la Ley 1150 de 2007, ¿se entiende que respecto de la subasta inversa no aplica un límite de cuantía para efectuar el proceso de contratación?</w:t>
      </w:r>
      <w:r w:rsidR="005C3192" w:rsidRPr="0019336A">
        <w:rPr>
          <w:rFonts w:ascii="Geomanist Light" w:hAnsi="Geomanist Light"/>
          <w:sz w:val="21"/>
          <w:szCs w:val="21"/>
        </w:rPr>
        <w:t>»</w:t>
      </w:r>
    </w:p>
    <w:p w14:paraId="6216F32B" w14:textId="75DFD670" w:rsidR="005C3192" w:rsidRPr="00031146" w:rsidRDefault="008D3DC2" w:rsidP="00933DD8">
      <w:pPr>
        <w:ind w:firstLine="708"/>
        <w:rPr>
          <w:rFonts w:ascii="Geomanist Light" w:hAnsi="Geomanist Light" w:cs="Arial"/>
          <w:sz w:val="22"/>
          <w:lang w:val="es-CO"/>
        </w:rPr>
      </w:pPr>
      <w:r w:rsidRPr="008D3DC2">
        <w:rPr>
          <w:rFonts w:ascii="Geomanist Light" w:hAnsi="Geomanist Light"/>
          <w:sz w:val="22"/>
          <w:szCs w:val="20"/>
          <w:lang w:val="es-ES"/>
        </w:rPr>
        <w:t xml:space="preserve">La normativa de la subasta inversa no establece ningún </w:t>
      </w:r>
      <w:r w:rsidR="005C3192" w:rsidRPr="008D3DC2">
        <w:rPr>
          <w:rFonts w:ascii="Geomanist Light" w:hAnsi="Geomanist Light"/>
          <w:sz w:val="22"/>
          <w:szCs w:val="20"/>
          <w:lang w:val="es-ES"/>
        </w:rPr>
        <w:t>límite</w:t>
      </w:r>
      <w:r w:rsidRPr="008D3DC2">
        <w:rPr>
          <w:rFonts w:ascii="Geomanist Light" w:hAnsi="Geomanist Light"/>
          <w:sz w:val="22"/>
          <w:szCs w:val="20"/>
          <w:lang w:val="es-ES"/>
        </w:rPr>
        <w:t xml:space="preserve"> de cuantía que deba considerar la </w:t>
      </w:r>
      <w:r w:rsidR="008C26C4" w:rsidRPr="008D3DC2">
        <w:rPr>
          <w:rFonts w:ascii="Geomanist Light" w:hAnsi="Geomanist Light"/>
          <w:sz w:val="22"/>
          <w:szCs w:val="20"/>
          <w:lang w:val="es-ES"/>
        </w:rPr>
        <w:t xml:space="preserve">entidad estatal </w:t>
      </w:r>
      <w:r w:rsidRPr="008D3DC2">
        <w:rPr>
          <w:rFonts w:ascii="Geomanist Light" w:hAnsi="Geomanist Light"/>
          <w:sz w:val="22"/>
          <w:szCs w:val="20"/>
          <w:lang w:val="es-ES"/>
        </w:rPr>
        <w:t xml:space="preserve">al momento de adjudicar el contrato al oferente que presentó el menor precio en la subasta. Sin embargo, el decreto 1082 del 2015 establece la obligación que tiene esta en caso de que considere que este precio sea artificialmente bajo. Por lo tanto, la Entidad estatal debe requerir al oferente ganador de la subasta para que este </w:t>
      </w:r>
      <w:r w:rsidRPr="008D3DC2">
        <w:rPr>
          <w:rFonts w:ascii="Geomanist Light" w:hAnsi="Geomanist Light"/>
          <w:sz w:val="22"/>
          <w:szCs w:val="20"/>
        </w:rPr>
        <w:t xml:space="preserve">explique las </w:t>
      </w:r>
      <w:r w:rsidRPr="008D3DC2">
        <w:rPr>
          <w:rFonts w:ascii="Geomanist Light" w:hAnsi="Geomanist Light"/>
          <w:sz w:val="22"/>
          <w:szCs w:val="20"/>
        </w:rPr>
        <w:lastRenderedPageBreak/>
        <w:t xml:space="preserve">razones que sustentan el valor ofrecido y de esta forma se garantice </w:t>
      </w:r>
      <w:r w:rsidRPr="008D3DC2">
        <w:rPr>
          <w:rFonts w:ascii="Geomanist Light" w:hAnsi="Geomanist Light"/>
          <w:sz w:val="22"/>
          <w:szCs w:val="20"/>
          <w:lang w:val="es-ES"/>
        </w:rPr>
        <w:t>una correcta ejecución del contrato.</w:t>
      </w:r>
    </w:p>
    <w:p w14:paraId="21E1E839" w14:textId="732A8FD3" w:rsidR="005C3192" w:rsidRPr="00C1012C" w:rsidRDefault="005C3192" w:rsidP="00933DD8">
      <w:pPr>
        <w:spacing w:after="0"/>
        <w:rPr>
          <w:rFonts w:ascii="Geomanist Light" w:eastAsia="Calibri" w:hAnsi="Geomanist Light" w:cs="Arial"/>
          <w:sz w:val="22"/>
          <w:lang w:val="es-CO"/>
        </w:rPr>
      </w:pPr>
      <w:r w:rsidRPr="00031146">
        <w:rPr>
          <w:rFonts w:ascii="Geomanist Light" w:eastAsia="Calibri" w:hAnsi="Geomanist Light" w:cs="Arial"/>
          <w:sz w:val="22"/>
          <w:lang w:val="es-CO"/>
        </w:rPr>
        <w:t>Este concepto tiene el alcance previsto en el artículo 28 del Código de Procedimiento Administrativo y de lo Contencioso Administrativo.</w:t>
      </w:r>
    </w:p>
    <w:p w14:paraId="03D96660" w14:textId="77777777" w:rsidR="00C1012C" w:rsidRDefault="00C1012C" w:rsidP="00C1012C">
      <w:pPr>
        <w:rPr>
          <w:rFonts w:ascii="Geomanist Light" w:eastAsia="Calibri" w:hAnsi="Geomanist Light" w:cs="Arial"/>
          <w:bCs/>
          <w:color w:val="000000" w:themeColor="text1"/>
          <w:sz w:val="22"/>
          <w:szCs w:val="21"/>
          <w:lang w:val="es-ES"/>
        </w:rPr>
      </w:pPr>
    </w:p>
    <w:p w14:paraId="723E8CFB" w14:textId="758ED6F5" w:rsidR="008D3DC2" w:rsidRPr="00C1012C" w:rsidRDefault="008D3DC2" w:rsidP="00C1012C">
      <w:pPr>
        <w:rPr>
          <w:rFonts w:ascii="Geomanist Light" w:eastAsia="Calibri" w:hAnsi="Geomanist Light" w:cs="Arial"/>
          <w:bCs/>
          <w:color w:val="000000" w:themeColor="text1"/>
          <w:sz w:val="22"/>
          <w:szCs w:val="21"/>
          <w:lang w:val="es-ES"/>
        </w:rPr>
      </w:pPr>
      <w:r w:rsidRPr="00933DD8">
        <w:rPr>
          <w:rFonts w:ascii="Geomanist Light" w:eastAsia="Calibri" w:hAnsi="Geomanist Light" w:cs="Arial"/>
          <w:bCs/>
          <w:color w:val="000000" w:themeColor="text1"/>
          <w:sz w:val="22"/>
          <w:szCs w:val="21"/>
          <w:lang w:val="es-ES"/>
        </w:rPr>
        <w:t xml:space="preserve">Atentamente, </w:t>
      </w:r>
    </w:p>
    <w:p w14:paraId="5069112B" w14:textId="205BFEA9" w:rsidR="00656E4E" w:rsidRPr="003C281F" w:rsidRDefault="0092462D" w:rsidP="00656E4E">
      <w:pPr>
        <w:jc w:val="center"/>
        <w:rPr>
          <w:rFonts w:ascii="Geomanist Light" w:eastAsia="Times New Roman" w:hAnsi="Geomanist Light" w:cs="Arial"/>
          <w:sz w:val="22"/>
          <w:lang w:val="es-CO" w:eastAsia="es-CO"/>
        </w:rPr>
      </w:pPr>
      <w:r>
        <w:rPr>
          <w:noProof/>
        </w:rPr>
        <w:drawing>
          <wp:inline distT="0" distB="0" distL="0" distR="0" wp14:anchorId="044565C0" wp14:editId="755D2DB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56E4E" w:rsidRPr="000829C1" w14:paraId="50990EDD" w14:textId="77777777" w:rsidTr="0019336A">
        <w:trPr>
          <w:trHeight w:val="315"/>
        </w:trPr>
        <w:tc>
          <w:tcPr>
            <w:tcW w:w="812" w:type="dxa"/>
            <w:vAlign w:val="center"/>
          </w:tcPr>
          <w:p w14:paraId="69C48798" w14:textId="77777777" w:rsidR="00656E4E" w:rsidRPr="003C281F" w:rsidRDefault="00656E4E" w:rsidP="0019336A">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Elaboró:</w:t>
            </w:r>
          </w:p>
        </w:tc>
        <w:tc>
          <w:tcPr>
            <w:tcW w:w="4413" w:type="dxa"/>
            <w:tcBorders>
              <w:bottom w:val="dotted" w:sz="4" w:space="0" w:color="7F7F7F" w:themeColor="text1" w:themeTint="80"/>
            </w:tcBorders>
            <w:vAlign w:val="center"/>
          </w:tcPr>
          <w:p w14:paraId="3392BE6B" w14:textId="77777777" w:rsidR="00656E4E" w:rsidRPr="003C281F" w:rsidRDefault="00656E4E" w:rsidP="0019336A">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Juan Carlos Covilla Martínez</w:t>
            </w:r>
          </w:p>
          <w:p w14:paraId="1F9FCD70" w14:textId="77777777" w:rsidR="00656E4E" w:rsidRPr="003C281F" w:rsidRDefault="00656E4E" w:rsidP="0019336A">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 xml:space="preserve">Contratista de la Subdirección de Gestión Contractual </w:t>
            </w:r>
          </w:p>
        </w:tc>
      </w:tr>
      <w:tr w:rsidR="00656E4E" w:rsidRPr="000829C1" w14:paraId="0398EB8E" w14:textId="77777777" w:rsidTr="0019336A">
        <w:trPr>
          <w:trHeight w:val="330"/>
        </w:trPr>
        <w:tc>
          <w:tcPr>
            <w:tcW w:w="812" w:type="dxa"/>
            <w:vAlign w:val="center"/>
          </w:tcPr>
          <w:p w14:paraId="1ADC1193" w14:textId="77777777" w:rsidR="00656E4E" w:rsidRPr="003C281F" w:rsidRDefault="00656E4E" w:rsidP="0019336A">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BD9A3F8" w14:textId="77777777" w:rsidR="00806EBD" w:rsidRPr="003C281F" w:rsidRDefault="00806EBD" w:rsidP="00806EBD">
            <w:pPr>
              <w:spacing w:after="0"/>
              <w:rPr>
                <w:rFonts w:ascii="Geomanist Light" w:hAnsi="Geomanist Light" w:cs="Arial"/>
                <w:sz w:val="16"/>
                <w:szCs w:val="16"/>
                <w:lang w:eastAsia="es-ES"/>
              </w:rPr>
            </w:pPr>
            <w:r>
              <w:rPr>
                <w:rFonts w:ascii="Geomanist Light" w:hAnsi="Geomanist Light" w:cs="Arial"/>
                <w:sz w:val="16"/>
                <w:szCs w:val="16"/>
                <w:lang w:eastAsia="es-ES"/>
              </w:rPr>
              <w:t>Diana Lucía Saavedra Castañeda</w:t>
            </w:r>
          </w:p>
          <w:p w14:paraId="5D904AF8" w14:textId="563C1215" w:rsidR="00656E4E" w:rsidRPr="003C281F" w:rsidRDefault="00806EBD" w:rsidP="0019336A">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 xml:space="preserve">Contratista de la </w:t>
            </w:r>
            <w:r w:rsidRPr="003C281F">
              <w:rPr>
                <w:rFonts w:ascii="Geomanist Light" w:hAnsi="Geomanist Light" w:cs="Arial"/>
                <w:sz w:val="16"/>
                <w:szCs w:val="16"/>
                <w:lang w:eastAsia="es-ES"/>
              </w:rPr>
              <w:t>Subdirección de Gestión Contractual</w:t>
            </w:r>
          </w:p>
        </w:tc>
      </w:tr>
      <w:tr w:rsidR="00656E4E" w:rsidRPr="000829C1" w14:paraId="232A487F" w14:textId="77777777" w:rsidTr="0019336A">
        <w:trPr>
          <w:trHeight w:val="300"/>
        </w:trPr>
        <w:tc>
          <w:tcPr>
            <w:tcW w:w="812" w:type="dxa"/>
            <w:vAlign w:val="center"/>
          </w:tcPr>
          <w:p w14:paraId="1C9169CD" w14:textId="77777777" w:rsidR="00656E4E" w:rsidRPr="003C281F" w:rsidRDefault="00656E4E" w:rsidP="0019336A">
            <w:pPr>
              <w:spacing w:after="0"/>
              <w:rPr>
                <w:rFonts w:ascii="Geomanist Light" w:eastAsia="Times New Roman" w:hAnsi="Geomanist Light" w:cs="Arial"/>
                <w:sz w:val="16"/>
                <w:szCs w:val="16"/>
                <w:lang w:eastAsia="es-ES"/>
              </w:rPr>
            </w:pPr>
            <w:r w:rsidRPr="003C281F">
              <w:rPr>
                <w:rFonts w:ascii="Geomanist Light" w:eastAsia="Times New Roman" w:hAnsi="Geomanist Light"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1948E54" w14:textId="77777777" w:rsidR="00656E4E" w:rsidRPr="008D3DC2" w:rsidRDefault="00656E4E" w:rsidP="0019336A">
            <w:pPr>
              <w:spacing w:after="0"/>
              <w:rPr>
                <w:rFonts w:ascii="Geomanist Light" w:eastAsia="Calibri" w:hAnsi="Geomanist Light" w:cs="Arial"/>
                <w:sz w:val="16"/>
                <w:szCs w:val="16"/>
                <w:lang w:val="es-CO" w:eastAsia="es-ES"/>
              </w:rPr>
            </w:pPr>
            <w:r w:rsidRPr="008D3DC2">
              <w:rPr>
                <w:rFonts w:ascii="Geomanist Light" w:eastAsia="Calibri" w:hAnsi="Geomanist Light" w:cs="Arial"/>
                <w:sz w:val="16"/>
                <w:szCs w:val="16"/>
                <w:lang w:val="es-CO" w:eastAsia="es-ES"/>
              </w:rPr>
              <w:t>Nohelia del Carmen Zawady Palacio</w:t>
            </w:r>
          </w:p>
          <w:p w14:paraId="0B24F07B" w14:textId="77777777" w:rsidR="00656E4E" w:rsidRPr="003C281F" w:rsidRDefault="00656E4E" w:rsidP="0019336A">
            <w:pPr>
              <w:spacing w:after="0"/>
              <w:rPr>
                <w:rFonts w:ascii="Geomanist Light" w:eastAsia="Times New Roman" w:hAnsi="Geomanist Light" w:cs="Arial"/>
                <w:sz w:val="16"/>
                <w:szCs w:val="16"/>
                <w:lang w:eastAsia="es-ES"/>
              </w:rPr>
            </w:pPr>
            <w:r w:rsidRPr="003C281F">
              <w:rPr>
                <w:rFonts w:ascii="Geomanist Light" w:eastAsia="Calibri" w:hAnsi="Geomanist Light" w:cs="Arial"/>
                <w:sz w:val="16"/>
                <w:szCs w:val="16"/>
                <w:lang w:eastAsia="es-ES"/>
              </w:rPr>
              <w:t xml:space="preserve">Subdirectora de Gestión Contractual </w:t>
            </w:r>
          </w:p>
        </w:tc>
      </w:tr>
    </w:tbl>
    <w:p w14:paraId="77496B74" w14:textId="77777777" w:rsidR="00651A7A" w:rsidRDefault="00651A7A"/>
    <w:sectPr w:rsidR="00651A7A" w:rsidSect="00491E2D">
      <w:headerReference w:type="default" r:id="rId13"/>
      <w:footerReference w:type="default" r:id="rId14"/>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4A5E" w14:textId="77777777" w:rsidR="009072DB" w:rsidRDefault="009072DB" w:rsidP="00656E4E">
      <w:pPr>
        <w:spacing w:after="0" w:line="240" w:lineRule="auto"/>
      </w:pPr>
      <w:r>
        <w:separator/>
      </w:r>
    </w:p>
  </w:endnote>
  <w:endnote w:type="continuationSeparator" w:id="0">
    <w:p w14:paraId="649F6A56" w14:textId="77777777" w:rsidR="009072DB" w:rsidRDefault="009072DB" w:rsidP="0065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F17E" w14:textId="77777777" w:rsidR="00993A2A" w:rsidRDefault="00744E11" w:rsidP="00993A2A">
    <w:pPr>
      <w:pStyle w:val="Piedepgina"/>
      <w:spacing w:after="0"/>
    </w:pPr>
    <w:r>
      <w:rPr>
        <w:noProof/>
        <w:lang w:val="en-US"/>
      </w:rPr>
      <w:drawing>
        <wp:inline distT="0" distB="0" distL="0" distR="0" wp14:anchorId="437A387F" wp14:editId="42D626A5">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1C1D9CBB"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DA81E5B" w14:textId="77777777" w:rsidR="00993A2A" w:rsidRPr="00080DA3" w:rsidRDefault="00744E11"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5A149A6" w14:textId="77777777" w:rsidR="00993A2A" w:rsidRPr="00080DA3" w:rsidRDefault="00744E11"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7932ECF" w14:textId="77777777" w:rsidR="00993A2A" w:rsidRPr="00080DA3" w:rsidRDefault="00744E11"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4779C4F" w14:textId="77777777" w:rsidR="00993A2A" w:rsidRPr="004B6B0E" w:rsidRDefault="00744E11"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BB445C3" w14:textId="77777777" w:rsidR="00993A2A" w:rsidRPr="00080DA3" w:rsidRDefault="00744E11"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DE5131E" w14:textId="77777777" w:rsidR="00993A2A" w:rsidRPr="00080DA3" w:rsidRDefault="00744E11"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81B5878" w14:textId="77777777" w:rsidR="00993A2A" w:rsidRPr="00080DA3" w:rsidRDefault="00744E11"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3712810F" w14:textId="77777777" w:rsidR="00412132" w:rsidRPr="007B0854" w:rsidRDefault="00AB23AD"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95F9" w14:textId="77777777" w:rsidR="009072DB" w:rsidRDefault="009072DB" w:rsidP="00656E4E">
      <w:pPr>
        <w:spacing w:after="0" w:line="240" w:lineRule="auto"/>
      </w:pPr>
      <w:r>
        <w:separator/>
      </w:r>
    </w:p>
  </w:footnote>
  <w:footnote w:type="continuationSeparator" w:id="0">
    <w:p w14:paraId="711843BA" w14:textId="77777777" w:rsidR="009072DB" w:rsidRDefault="009072DB" w:rsidP="00656E4E">
      <w:pPr>
        <w:spacing w:after="0" w:line="240" w:lineRule="auto"/>
      </w:pPr>
      <w:r>
        <w:continuationSeparator/>
      </w:r>
    </w:p>
  </w:footnote>
  <w:footnote w:id="1">
    <w:p w14:paraId="21820483" w14:textId="0B242F61" w:rsidR="008D3DC2" w:rsidRPr="00EC18B9" w:rsidRDefault="008D3DC2" w:rsidP="00C1012C">
      <w:pPr>
        <w:pStyle w:val="Textonotapie"/>
        <w:ind w:firstLine="708"/>
        <w:jc w:val="both"/>
        <w:rPr>
          <w:rFonts w:ascii="Geomanist Light" w:hAnsi="Geomanist Light" w:cs="Calibri"/>
          <w:sz w:val="18"/>
          <w:szCs w:val="18"/>
        </w:rPr>
      </w:pPr>
      <w:r w:rsidRPr="00EC18B9">
        <w:rPr>
          <w:rStyle w:val="Refdenotaalpie"/>
          <w:rFonts w:ascii="Geomanist Light" w:hAnsi="Geomanist Light" w:cs="Calibri"/>
          <w:sz w:val="18"/>
          <w:szCs w:val="18"/>
        </w:rPr>
        <w:footnoteRef/>
      </w:r>
      <w:r w:rsidRPr="00EC18B9">
        <w:rPr>
          <w:rFonts w:ascii="Geomanist Light" w:hAnsi="Geomanist Light" w:cs="Calibri"/>
          <w:sz w:val="18"/>
          <w:szCs w:val="18"/>
        </w:rPr>
        <w:t xml:space="preserve"> Agencia Nacional de Contratación Pública</w:t>
      </w:r>
      <w:r w:rsidR="003D069D">
        <w:rPr>
          <w:rFonts w:ascii="Geomanist Light" w:hAnsi="Geomanist Light" w:cs="Calibri"/>
          <w:sz w:val="18"/>
          <w:szCs w:val="18"/>
        </w:rPr>
        <w:t xml:space="preserve"> -</w:t>
      </w:r>
      <w:r w:rsidRPr="00EC18B9">
        <w:rPr>
          <w:rFonts w:ascii="Geomanist Light" w:hAnsi="Geomanist Light" w:cs="Calibri"/>
          <w:sz w:val="18"/>
          <w:szCs w:val="18"/>
        </w:rPr>
        <w:t xml:space="preserve"> Colombia Compra Eficiente, N° Radicado: 2201913000009634, 26/12/2019</w:t>
      </w:r>
    </w:p>
  </w:footnote>
  <w:footnote w:id="2">
    <w:p w14:paraId="13F3D129" w14:textId="77777777" w:rsidR="008D3DC2" w:rsidRPr="00EC18B9" w:rsidRDefault="008D3DC2" w:rsidP="00381190">
      <w:pPr>
        <w:spacing w:after="0" w:line="240" w:lineRule="auto"/>
        <w:ind w:right="108"/>
        <w:rPr>
          <w:rFonts w:ascii="Geomanist Light" w:hAnsi="Geomanist Light" w:cs="Calibri"/>
          <w:sz w:val="18"/>
          <w:szCs w:val="18"/>
        </w:rPr>
      </w:pPr>
      <w:r w:rsidRPr="00EC18B9">
        <w:rPr>
          <w:rStyle w:val="Refdenotaalpie"/>
          <w:rFonts w:ascii="Geomanist Light" w:hAnsi="Geomanist Light" w:cs="Calibri"/>
          <w:sz w:val="18"/>
          <w:szCs w:val="18"/>
        </w:rPr>
        <w:footnoteRef/>
      </w:r>
      <w:r w:rsidRPr="00EC18B9">
        <w:rPr>
          <w:rFonts w:ascii="Geomanist Light" w:hAnsi="Geomanist Light" w:cs="Calibri"/>
          <w:sz w:val="18"/>
          <w:szCs w:val="18"/>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0BABD4E2" w14:textId="77777777" w:rsidR="008D3DC2" w:rsidRPr="00EC18B9" w:rsidRDefault="008D3DC2" w:rsidP="00381190">
      <w:pPr>
        <w:spacing w:after="0" w:line="240" w:lineRule="auto"/>
        <w:rPr>
          <w:rFonts w:ascii="Geomanist Light" w:hAnsi="Geomanist Light" w:cs="Calibri"/>
          <w:sz w:val="18"/>
          <w:szCs w:val="18"/>
        </w:rPr>
      </w:pPr>
      <w:r w:rsidRPr="00EC18B9">
        <w:rPr>
          <w:rFonts w:ascii="Geomanist Light" w:hAnsi="Geomanist Light" w:cs="Calibri"/>
          <w:sz w:val="18"/>
          <w:szCs w:val="18"/>
        </w:rPr>
        <w:t>“(...)</w:t>
      </w:r>
    </w:p>
    <w:p w14:paraId="5A12A469" w14:textId="77777777" w:rsidR="008D3DC2" w:rsidRPr="00EC18B9" w:rsidRDefault="008D3DC2" w:rsidP="00381190">
      <w:pPr>
        <w:spacing w:after="0" w:line="240" w:lineRule="auto"/>
        <w:ind w:right="112"/>
        <w:rPr>
          <w:rFonts w:ascii="Geomanist Light" w:hAnsi="Geomanist Light" w:cs="Calibri"/>
          <w:sz w:val="18"/>
          <w:szCs w:val="18"/>
        </w:rPr>
      </w:pPr>
      <w:r w:rsidRPr="00EC18B9">
        <w:rPr>
          <w:rFonts w:ascii="Geomanist Light" w:hAnsi="Geomanist Light" w:cs="Calibri"/>
          <w:sz w:val="18"/>
          <w:szCs w:val="18"/>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183A46D5" w14:textId="77777777" w:rsidR="008D3DC2" w:rsidRPr="00B550EC" w:rsidRDefault="008D3DC2" w:rsidP="00381190">
      <w:pPr>
        <w:spacing w:after="0" w:line="240" w:lineRule="auto"/>
        <w:ind w:right="109"/>
        <w:rPr>
          <w:rFonts w:ascii="Calibri" w:hAnsi="Calibri" w:cs="Calibri"/>
          <w:sz w:val="18"/>
          <w:szCs w:val="18"/>
        </w:rPr>
      </w:pPr>
      <w:r w:rsidRPr="00EC18B9">
        <w:rPr>
          <w:rFonts w:ascii="Geomanist Light" w:hAnsi="Geomanist Light" w:cs="Calibri"/>
          <w:sz w:val="18"/>
          <w:szCs w:val="18"/>
        </w:rPr>
        <w:t>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EC18B9">
        <w:rPr>
          <w:rFonts w:ascii="Geomanist Light" w:hAnsi="Geomanist Light" w:cs="Calibri"/>
          <w:spacing w:val="-17"/>
          <w:sz w:val="18"/>
          <w:szCs w:val="18"/>
        </w:rPr>
        <w:t xml:space="preserve"> </w:t>
      </w:r>
      <w:r w:rsidRPr="00EC18B9">
        <w:rPr>
          <w:rFonts w:ascii="Geomanist Light" w:hAnsi="Geomanist Light" w:cs="Calibri"/>
          <w:sz w:val="18"/>
          <w:szCs w:val="18"/>
        </w:rPr>
        <w:t>utilizados.</w:t>
      </w:r>
    </w:p>
  </w:footnote>
  <w:footnote w:id="3">
    <w:p w14:paraId="390B56ED" w14:textId="77777777" w:rsidR="003A74FD" w:rsidRPr="003B0802" w:rsidRDefault="003A74FD" w:rsidP="00381190">
      <w:pPr>
        <w:pStyle w:val="Textonotapie"/>
        <w:ind w:firstLine="708"/>
        <w:jc w:val="both"/>
        <w:rPr>
          <w:color w:val="000000" w:themeColor="text1"/>
          <w:sz w:val="19"/>
          <w:szCs w:val="19"/>
          <w:lang w:val="es-CO"/>
        </w:rPr>
      </w:pPr>
      <w:r w:rsidRPr="003B0802">
        <w:rPr>
          <w:rStyle w:val="Refdenotaalpie"/>
          <w:color w:val="000000" w:themeColor="text1"/>
          <w:sz w:val="19"/>
          <w:szCs w:val="19"/>
        </w:rPr>
        <w:footnoteRef/>
      </w:r>
      <w:r w:rsidRPr="003B0802">
        <w:rPr>
          <w:color w:val="000000" w:themeColor="text1"/>
          <w:sz w:val="19"/>
          <w:szCs w:val="19"/>
        </w:rPr>
        <w:t xml:space="preserve"> Ley 1150 de 2007 </w:t>
      </w:r>
      <w:r w:rsidRPr="003B0802">
        <w:rPr>
          <w:color w:val="000000" w:themeColor="text1"/>
          <w:sz w:val="19"/>
          <w:szCs w:val="19"/>
          <w:lang w:val="es-CO"/>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03129127"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»1. Licitación pública. La escogencia del contratista se efectuará por regla general a través de licitación pública, con las excepciones que se señalan en los numerales 2, 3 y 4 del presente artículo.</w:t>
      </w:r>
    </w:p>
    <w:p w14:paraId="7A572A7B" w14:textId="77777777" w:rsidR="003A74FD" w:rsidRPr="003B0802" w:rsidRDefault="003A74FD" w:rsidP="00381190">
      <w:pPr>
        <w:pStyle w:val="Textonotapie"/>
        <w:ind w:firstLine="708"/>
        <w:jc w:val="both"/>
        <w:rPr>
          <w:color w:val="000000" w:themeColor="text1"/>
          <w:sz w:val="19"/>
          <w:szCs w:val="19"/>
          <w:lang w:val="es-CO"/>
        </w:rPr>
      </w:pPr>
      <w:r w:rsidRPr="000170B8">
        <w:rPr>
          <w:i/>
          <w:iCs/>
          <w:color w:val="000000" w:themeColor="text1"/>
          <w:sz w:val="19"/>
          <w:szCs w:val="19"/>
          <w:lang w:val="es-CO"/>
        </w:rPr>
        <w:t>Cuando la entidad estatal así lo determine, la oferta en un proceso de la licitación pública podrá ser presentada total o parcialmente de manera dinámica mediante subasta inversa, en las condiciones que fije el reglamento</w:t>
      </w:r>
      <w:r w:rsidRPr="003B0802">
        <w:rPr>
          <w:color w:val="000000" w:themeColor="text1"/>
          <w:sz w:val="19"/>
          <w:szCs w:val="19"/>
          <w:lang w:val="es-CO"/>
        </w:rPr>
        <w:t>.</w:t>
      </w:r>
    </w:p>
    <w:p w14:paraId="7D059C0E"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5B40C117"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»El Gobierno Nacional reglamentará la materia.</w:t>
      </w:r>
    </w:p>
    <w:p w14:paraId="5E3C80DF"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»Serán causales de selección abreviada las siguientes:</w:t>
      </w:r>
    </w:p>
    <w:p w14:paraId="5228CBF8"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0225C496" w14:textId="77777777" w:rsidR="003A74FD" w:rsidRPr="003B0802" w:rsidRDefault="003A74FD" w:rsidP="00381190">
      <w:pPr>
        <w:pStyle w:val="Textonotapie"/>
        <w:ind w:firstLine="705"/>
        <w:jc w:val="both"/>
        <w:rPr>
          <w:color w:val="000000" w:themeColor="text1"/>
          <w:sz w:val="19"/>
          <w:szCs w:val="19"/>
          <w:lang w:val="es-CO"/>
        </w:rPr>
      </w:pPr>
      <w:r w:rsidRPr="003B0802">
        <w:rPr>
          <w:color w:val="000000" w:themeColor="text1"/>
          <w:sz w:val="19"/>
          <w:szCs w:val="19"/>
          <w:lang w:val="es-CO"/>
        </w:rPr>
        <w:t>»</w:t>
      </w:r>
      <w:r w:rsidRPr="000170B8">
        <w:rPr>
          <w:i/>
          <w:iCs/>
          <w:color w:val="000000" w:themeColor="text1"/>
          <w:sz w:val="19"/>
          <w:szCs w:val="19"/>
          <w:lang w:val="es-CO"/>
        </w:rPr>
        <w:t>Para la adquisición de estos bienes y servicios las entidades deberán, siempre que el reglamento así lo señale, hacer uso de procedimientos de subasta inversa</w:t>
      </w:r>
      <w:r w:rsidRPr="003B0802">
        <w:rPr>
          <w:color w:val="000000" w:themeColor="text1"/>
          <w:sz w:val="19"/>
          <w:szCs w:val="19"/>
          <w:lang w:val="es-CO"/>
        </w:rPr>
        <w:t xml:space="preserve"> o de instrumentos de compra por catálogo derivados de la celebración de acuerdos marco de precios o de procedimientos de adquisición en bolsas de productos; </w:t>
      </w:r>
    </w:p>
    <w:p w14:paraId="7DF359A6" w14:textId="77777777" w:rsidR="003A74FD" w:rsidRPr="003B0802" w:rsidRDefault="003A74FD" w:rsidP="00381190">
      <w:pPr>
        <w:pStyle w:val="Textonotapie"/>
        <w:ind w:left="705"/>
        <w:jc w:val="both"/>
        <w:rPr>
          <w:color w:val="000000" w:themeColor="text1"/>
          <w:sz w:val="19"/>
          <w:szCs w:val="19"/>
          <w:lang w:val="es-CO"/>
        </w:rPr>
      </w:pPr>
      <w:r w:rsidRPr="003B0802">
        <w:rPr>
          <w:color w:val="000000" w:themeColor="text1"/>
          <w:sz w:val="19"/>
          <w:szCs w:val="19"/>
          <w:lang w:val="es-CO"/>
        </w:rPr>
        <w:t>[…]</w:t>
      </w:r>
    </w:p>
    <w:p w14:paraId="7BC3271F"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»e) La enajenación de bienes del Estado, con excepción de aquellos a que se refiere la Ley 226 de 1995.</w:t>
      </w:r>
    </w:p>
    <w:p w14:paraId="08C0BDBC"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w:t>
      </w:r>
      <w:r w:rsidRPr="000170B8">
        <w:rPr>
          <w:i/>
          <w:iCs/>
          <w:color w:val="000000" w:themeColor="text1"/>
          <w:sz w:val="19"/>
          <w:szCs w:val="19"/>
          <w:lang w:val="es-CO"/>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r w:rsidRPr="003B0802">
        <w:rPr>
          <w:color w:val="000000" w:themeColor="text1"/>
          <w:sz w:val="19"/>
          <w:szCs w:val="19"/>
          <w:lang w:val="es-CO"/>
        </w:rPr>
        <w:t>.</w:t>
      </w:r>
    </w:p>
    <w:p w14:paraId="653B974F"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w:t>
      </w:r>
    </w:p>
    <w:p w14:paraId="3A288C83"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»Las reglas y procedimientos que deberán atender la administración y los promotores y la publicidad del proceso deberán garantizar la libre concurrencia y oportunidad de quienes participen en el mismo.</w:t>
      </w:r>
    </w:p>
    <w:p w14:paraId="40A35D20"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w:t>
      </w:r>
      <w:r w:rsidRPr="000170B8">
        <w:rPr>
          <w:i/>
          <w:iCs/>
          <w:color w:val="000000" w:themeColor="text1"/>
          <w:sz w:val="19"/>
          <w:szCs w:val="19"/>
          <w:lang w:val="es-CO"/>
        </w:rPr>
        <w:t>Los bienes serán enajenados a través de venta directa en sobre cerrado o en pública subasta</w:t>
      </w:r>
      <w:r w:rsidRPr="003B0802">
        <w:rPr>
          <w:color w:val="000000" w:themeColor="text1"/>
          <w:sz w:val="19"/>
          <w:szCs w:val="19"/>
          <w:lang w:val="es-CO"/>
        </w:rPr>
        <w:t xml:space="preserve">. La adjudicación para la venta directa deberá hacerse en audiencia pública, en donde se conozcan las ofertas iniciales y se efectúe un segundo ofrecimiento, frente al cual se adjudicará el bien a quien oferte el mejor precio. </w:t>
      </w:r>
      <w:r w:rsidRPr="000170B8">
        <w:rPr>
          <w:i/>
          <w:iCs/>
          <w:color w:val="000000" w:themeColor="text1"/>
          <w:sz w:val="19"/>
          <w:szCs w:val="19"/>
          <w:lang w:val="es-CO"/>
        </w:rPr>
        <w:t>En la subasta pública, de acuerdo con el reglamento definido para su realización, el bien será adjudicado al mejor postor</w:t>
      </w:r>
      <w:r w:rsidRPr="003B0802">
        <w:rPr>
          <w:color w:val="000000" w:themeColor="text1"/>
          <w:sz w:val="19"/>
          <w:szCs w:val="19"/>
          <w:lang w:val="es-CO"/>
        </w:rPr>
        <w:t>.</w:t>
      </w:r>
    </w:p>
    <w:p w14:paraId="56385ECE" w14:textId="77777777" w:rsidR="003A74FD" w:rsidRPr="003B0802" w:rsidRDefault="003A74FD" w:rsidP="00381190">
      <w:pPr>
        <w:pStyle w:val="Textonotapie"/>
        <w:ind w:firstLine="708"/>
        <w:jc w:val="both"/>
        <w:rPr>
          <w:color w:val="000000" w:themeColor="text1"/>
          <w:sz w:val="19"/>
          <w:szCs w:val="19"/>
          <w:lang w:val="es-CO"/>
        </w:rPr>
      </w:pPr>
      <w:r w:rsidRPr="003B0802">
        <w:rPr>
          <w:color w:val="000000" w:themeColor="text1"/>
          <w:sz w:val="19"/>
          <w:szCs w:val="19"/>
          <w:lang w:val="es-CO"/>
        </w:rPr>
        <w:t>»La venta implica la publicación previa de los bienes en un diario de amplia circulación nacional, con la determinación del precio base. El interesado en adquirir bienes deberá consignar al menos el 20% del valor base de venta para participar en la oferta […]»</w:t>
      </w:r>
      <w:r>
        <w:rPr>
          <w:color w:val="000000" w:themeColor="text1"/>
          <w:sz w:val="19"/>
          <w:szCs w:val="19"/>
          <w:lang w:val="es-CO"/>
        </w:rPr>
        <w:t>.</w:t>
      </w:r>
      <w:r w:rsidRPr="003B0802">
        <w:rPr>
          <w:color w:val="000000" w:themeColor="text1"/>
          <w:sz w:val="19"/>
          <w:szCs w:val="19"/>
          <w:lang w:val="es-CO"/>
        </w:rPr>
        <w:t xml:space="preserve"> (Cursivas fuera del original).</w:t>
      </w:r>
    </w:p>
    <w:p w14:paraId="4B99D7EE" w14:textId="77777777" w:rsidR="003A74FD" w:rsidRPr="003B0802" w:rsidRDefault="003A74FD" w:rsidP="00381190">
      <w:pPr>
        <w:pStyle w:val="Textonotapie"/>
        <w:jc w:val="both"/>
        <w:rPr>
          <w:sz w:val="19"/>
          <w:szCs w:val="19"/>
        </w:rPr>
      </w:pPr>
    </w:p>
  </w:footnote>
  <w:footnote w:id="4">
    <w:p w14:paraId="67FDB028" w14:textId="77777777" w:rsidR="003A74FD" w:rsidRPr="003B0802" w:rsidRDefault="003A74FD" w:rsidP="00381190">
      <w:pPr>
        <w:pStyle w:val="Textonotapie"/>
        <w:ind w:firstLine="708"/>
        <w:jc w:val="both"/>
        <w:rPr>
          <w:color w:val="000000" w:themeColor="text1"/>
          <w:sz w:val="19"/>
          <w:szCs w:val="19"/>
          <w:lang w:val="es-CO"/>
        </w:rPr>
      </w:pPr>
      <w:r w:rsidRPr="003B0802">
        <w:rPr>
          <w:rStyle w:val="Refdenotaalpie"/>
          <w:sz w:val="19"/>
          <w:szCs w:val="19"/>
        </w:rPr>
        <w:footnoteRef/>
      </w:r>
      <w:r w:rsidRPr="003B0802">
        <w:rPr>
          <w:sz w:val="19"/>
          <w:szCs w:val="19"/>
        </w:rPr>
        <w:t xml:space="preserve"> </w:t>
      </w:r>
      <w:r w:rsidRPr="003B0802">
        <w:rPr>
          <w:color w:val="000000" w:themeColor="text1"/>
          <w:sz w:val="19"/>
          <w:szCs w:val="19"/>
        </w:rPr>
        <w:t>MATALLANA CAMACHO, Ernesto. Manual de Contratación de la Administración Pública. 3a ed. Bogotá D. C. Editorial Universidad externado de Colombia, 2013. p. 579.</w:t>
      </w:r>
    </w:p>
    <w:p w14:paraId="0A5BE18D" w14:textId="77777777" w:rsidR="003A74FD" w:rsidRPr="003B0802" w:rsidRDefault="003A74FD" w:rsidP="00381190">
      <w:pPr>
        <w:pStyle w:val="Textonotapie"/>
        <w:jc w:val="both"/>
        <w:rPr>
          <w:sz w:val="19"/>
          <w:szCs w:val="19"/>
        </w:rPr>
      </w:pPr>
    </w:p>
  </w:footnote>
  <w:footnote w:id="5">
    <w:p w14:paraId="01E88ABC" w14:textId="77777777" w:rsidR="003A74FD" w:rsidRPr="003B0802" w:rsidRDefault="003A74FD" w:rsidP="00381190">
      <w:pPr>
        <w:pStyle w:val="Textonotapie"/>
        <w:ind w:firstLine="708"/>
        <w:jc w:val="both"/>
        <w:rPr>
          <w:color w:val="000000" w:themeColor="text1"/>
          <w:sz w:val="19"/>
          <w:szCs w:val="19"/>
        </w:rPr>
      </w:pPr>
      <w:r w:rsidRPr="003B0802">
        <w:rPr>
          <w:rStyle w:val="Refdenotaalpie"/>
          <w:sz w:val="19"/>
          <w:szCs w:val="19"/>
        </w:rPr>
        <w:footnoteRef/>
      </w:r>
      <w:r w:rsidRPr="003B0802">
        <w:rPr>
          <w:sz w:val="19"/>
          <w:szCs w:val="19"/>
        </w:rPr>
        <w:t xml:space="preserve"> </w:t>
      </w:r>
      <w:r w:rsidRPr="003B0802">
        <w:rPr>
          <w:color w:val="000000" w:themeColor="text1"/>
          <w:sz w:val="19"/>
          <w:szCs w:val="19"/>
        </w:rPr>
        <w:t>SOLANO SIERRA, Jairo E. Contratación Administrativa, Modalidades de selección del Contratista. 4a. ed. Bogotá D.C.: Editorial Doctrina y Ley Ltda., 2010. p. 283.</w:t>
      </w:r>
    </w:p>
    <w:p w14:paraId="511EFDBA" w14:textId="77777777" w:rsidR="003A74FD" w:rsidRPr="003B0802" w:rsidRDefault="003A74FD" w:rsidP="00381190">
      <w:pPr>
        <w:pStyle w:val="Textonotapie"/>
        <w:jc w:val="both"/>
        <w:rPr>
          <w:sz w:val="19"/>
          <w:szCs w:val="19"/>
        </w:rPr>
      </w:pPr>
    </w:p>
  </w:footnote>
  <w:footnote w:id="6">
    <w:p w14:paraId="2CF8A197" w14:textId="77777777" w:rsidR="003A74FD" w:rsidRPr="003B0802" w:rsidRDefault="003A74FD" w:rsidP="00381190">
      <w:pPr>
        <w:pStyle w:val="Textonotapie"/>
        <w:ind w:firstLine="708"/>
        <w:jc w:val="both"/>
        <w:rPr>
          <w:sz w:val="19"/>
          <w:szCs w:val="19"/>
        </w:rPr>
      </w:pPr>
      <w:r w:rsidRPr="003B0802">
        <w:rPr>
          <w:rStyle w:val="Refdenotaalpie"/>
          <w:sz w:val="19"/>
          <w:szCs w:val="19"/>
        </w:rPr>
        <w:footnoteRef/>
      </w:r>
      <w:r w:rsidRPr="003B0802">
        <w:rPr>
          <w:sz w:val="19"/>
          <w:szCs w:val="19"/>
        </w:rPr>
        <w:t xml:space="preserve"> SAFAR, Mónica. ¿Hay ventajas en el mecanismo de subasta para la contratación pública en </w:t>
      </w:r>
      <w:r w:rsidRPr="003B0802">
        <w:rPr>
          <w:sz w:val="19"/>
          <w:szCs w:val="19"/>
        </w:rPr>
        <w:t>Colombia?. Revista Digital de Derecho Administrativo. Universidad Externado de Colombia, 2016.</w:t>
      </w:r>
    </w:p>
  </w:footnote>
  <w:footnote w:id="7">
    <w:p w14:paraId="0EBC286E" w14:textId="77777777" w:rsidR="008D3DC2" w:rsidRPr="00EC18B9" w:rsidRDefault="008D3DC2" w:rsidP="00381190">
      <w:pPr>
        <w:spacing w:after="0" w:line="240" w:lineRule="auto"/>
        <w:rPr>
          <w:rFonts w:ascii="Geomanist Light" w:hAnsi="Geomanist Light" w:cs="Calibri"/>
          <w:sz w:val="18"/>
          <w:szCs w:val="18"/>
        </w:rPr>
      </w:pPr>
      <w:r w:rsidRPr="00EC18B9">
        <w:rPr>
          <w:rStyle w:val="Refdenotaalpie"/>
          <w:rFonts w:ascii="Geomanist Light" w:hAnsi="Geomanist Light" w:cs="Calibri"/>
          <w:sz w:val="18"/>
          <w:szCs w:val="18"/>
        </w:rPr>
        <w:footnoteRef/>
      </w:r>
      <w:r w:rsidRPr="00EC18B9">
        <w:rPr>
          <w:rFonts w:ascii="Geomanist Light" w:hAnsi="Geomanist Light" w:cs="Calibri"/>
          <w:sz w:val="18"/>
          <w:szCs w:val="18"/>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6367CFA3" w14:textId="77777777" w:rsidR="008D3DC2" w:rsidRPr="00EC18B9" w:rsidRDefault="008D3DC2" w:rsidP="00381190">
      <w:pPr>
        <w:spacing w:after="0" w:line="240" w:lineRule="auto"/>
        <w:rPr>
          <w:rFonts w:ascii="Geomanist Light" w:hAnsi="Geomanist Light"/>
        </w:rPr>
      </w:pPr>
      <w:r w:rsidRPr="00EC18B9">
        <w:rPr>
          <w:rFonts w:ascii="Geomanist Light" w:hAnsi="Geomanist Light" w:cs="Calibri"/>
          <w:sz w:val="18"/>
          <w:szCs w:val="18"/>
        </w:rPr>
        <w:t>“(...)</w:t>
      </w:r>
    </w:p>
    <w:p w14:paraId="20958B97" w14:textId="77777777" w:rsidR="008D3DC2" w:rsidRPr="00EC18B9" w:rsidRDefault="008D3DC2" w:rsidP="00381190">
      <w:pPr>
        <w:pStyle w:val="Textoindependiente"/>
        <w:jc w:val="both"/>
        <w:rPr>
          <w:rFonts w:ascii="Geomanist Light" w:hAnsi="Geomanist Light" w:cs="Calibri"/>
          <w:sz w:val="18"/>
          <w:szCs w:val="18"/>
        </w:rPr>
      </w:pPr>
      <w:r w:rsidRPr="00EC18B9">
        <w:rPr>
          <w:rFonts w:ascii="Geomanist Light" w:hAnsi="Geomanist Light" w:cs="Calibri"/>
          <w:sz w:val="18"/>
          <w:szCs w:val="18"/>
        </w:rPr>
        <w:t xml:space="preserve">“Lance: Cada una de las posturas que hacen los oferentes en el marco de una subasta. </w:t>
      </w:r>
    </w:p>
    <w:p w14:paraId="2418DE7F" w14:textId="77777777" w:rsidR="008D3DC2" w:rsidRPr="00EC18B9" w:rsidRDefault="008D3DC2" w:rsidP="00381190">
      <w:pPr>
        <w:spacing w:after="0" w:line="240" w:lineRule="auto"/>
        <w:rPr>
          <w:rFonts w:ascii="Geomanist Light" w:hAnsi="Geomanist Light" w:cs="Calibri"/>
          <w:sz w:val="18"/>
          <w:szCs w:val="18"/>
        </w:rPr>
      </w:pPr>
      <w:r w:rsidRPr="00EC18B9">
        <w:rPr>
          <w:rFonts w:ascii="Geomanist Light" w:hAnsi="Geomanist Light" w:cs="Calibri"/>
          <w:sz w:val="18"/>
          <w:szCs w:val="18"/>
        </w:rPr>
        <w:t>“Margen Mínimo: Valor mínimo en el cual el oferente en una subasta inversa debe reducir el valor del Lance o en una subasta de enajenación debe incrementar el valor del Lance, el cual puede ser expresado en dinero o en un porcentaje del precio de inicio de la</w:t>
      </w:r>
      <w:r w:rsidRPr="00EC18B9">
        <w:rPr>
          <w:rFonts w:ascii="Geomanist Light" w:hAnsi="Geomanist Light" w:cs="Calibri"/>
          <w:spacing w:val="-10"/>
          <w:sz w:val="18"/>
          <w:szCs w:val="18"/>
        </w:rPr>
        <w:t xml:space="preserve"> </w:t>
      </w:r>
      <w:r w:rsidRPr="00EC18B9">
        <w:rPr>
          <w:rFonts w:ascii="Geomanist Light" w:hAnsi="Geomanist Light" w:cs="Calibri"/>
          <w:sz w:val="18"/>
          <w:szCs w:val="18"/>
        </w:rPr>
        <w:t>subasta. “(...).”</w:t>
      </w:r>
    </w:p>
  </w:footnote>
  <w:footnote w:id="8">
    <w:p w14:paraId="691C8247" w14:textId="77777777" w:rsidR="008D3DC2" w:rsidRPr="00EC18B9" w:rsidRDefault="008D3DC2" w:rsidP="00381190">
      <w:pPr>
        <w:spacing w:after="0" w:line="240" w:lineRule="auto"/>
        <w:rPr>
          <w:rFonts w:ascii="Geomanist Light" w:hAnsi="Geomanist Light"/>
        </w:rPr>
      </w:pPr>
      <w:r w:rsidRPr="00EC18B9">
        <w:rPr>
          <w:rStyle w:val="Refdenotaalpie"/>
          <w:rFonts w:ascii="Geomanist Light" w:hAnsi="Geomanist Light" w:cs="Calibri"/>
          <w:sz w:val="18"/>
          <w:szCs w:val="18"/>
        </w:rPr>
        <w:footnoteRef/>
      </w:r>
      <w:r w:rsidRPr="00EC18B9">
        <w:rPr>
          <w:rFonts w:ascii="Geomanist Light" w:hAnsi="Geomanist Light" w:cs="Calibri"/>
          <w:sz w:val="18"/>
          <w:szCs w:val="18"/>
        </w:rPr>
        <w:t xml:space="preserve"> Agencia Nacional de Contratación Pública, Colombia Compra Eficiente, Concepto Número de Radicado 2201913000009291, Bogotá 6/1/2019  </w:t>
      </w:r>
    </w:p>
  </w:footnote>
  <w:footnote w:id="9">
    <w:p w14:paraId="05BEDD53" w14:textId="77777777" w:rsidR="008D3DC2" w:rsidRPr="00EC18B9" w:rsidRDefault="008D3DC2" w:rsidP="00C1012C">
      <w:pPr>
        <w:pStyle w:val="Textonotapie"/>
        <w:jc w:val="both"/>
        <w:rPr>
          <w:rFonts w:ascii="Geomanist Light" w:hAnsi="Geomanist Light" w:cs="Calibri"/>
          <w:sz w:val="18"/>
          <w:szCs w:val="18"/>
        </w:rPr>
      </w:pPr>
      <w:r w:rsidRPr="00EC18B9">
        <w:rPr>
          <w:rStyle w:val="Refdenotaalpie"/>
          <w:rFonts w:ascii="Geomanist Light" w:hAnsi="Geomanist Light" w:cs="Calibri"/>
          <w:sz w:val="18"/>
          <w:szCs w:val="18"/>
        </w:rPr>
        <w:footnoteRef/>
      </w:r>
      <w:r w:rsidRPr="00EC18B9">
        <w:rPr>
          <w:rFonts w:ascii="Geomanist Light" w:hAnsi="Geomanist Light" w:cs="Calibri"/>
          <w:sz w:val="18"/>
          <w:szCs w:val="18"/>
        </w:rPr>
        <w:t xml:space="preserve">  Decreto 1082 de 2015: “Artículo 2.2.1.2.1.2.2. Procedimiento para la subasta inversa. Además de las reglas generales previstas en la ley y en el presente título, las siguientes reglas son aplicables a la subasta inversa:</w:t>
      </w:r>
    </w:p>
    <w:p w14:paraId="063D727A" w14:textId="77777777" w:rsidR="008D3DC2" w:rsidRPr="00EC18B9" w:rsidRDefault="008D3DC2" w:rsidP="00C1012C">
      <w:pPr>
        <w:pStyle w:val="Textonotapie"/>
        <w:jc w:val="both"/>
        <w:rPr>
          <w:rFonts w:ascii="Geomanist Light" w:hAnsi="Geomanist Light" w:cs="Calibri"/>
          <w:sz w:val="18"/>
          <w:szCs w:val="18"/>
        </w:rPr>
      </w:pPr>
      <w:r w:rsidRPr="00EC18B9">
        <w:rPr>
          <w:rFonts w:ascii="Geomanist Light" w:hAnsi="Geomanist Light" w:cs="Calibri"/>
          <w:sz w:val="18"/>
          <w:szCs w:val="18"/>
        </w:rPr>
        <w:t>“1. Los pliegos de condiciones deben indicar: a) la fecha y hora de inicio de la subasta; b) la periodicidad de los Lances; y c) el Margen Mínimo para mejorar la oferta durante la subasta inversa.</w:t>
      </w:r>
    </w:p>
    <w:p w14:paraId="7E5D6412" w14:textId="77777777" w:rsidR="008D3DC2" w:rsidRPr="00EC18B9" w:rsidRDefault="008D3DC2" w:rsidP="00C1012C">
      <w:pPr>
        <w:pStyle w:val="Textonotapie"/>
        <w:jc w:val="both"/>
        <w:rPr>
          <w:rFonts w:ascii="Geomanist Light" w:hAnsi="Geomanist Light" w:cs="Calibri"/>
          <w:sz w:val="18"/>
          <w:szCs w:val="18"/>
        </w:rPr>
      </w:pPr>
    </w:p>
    <w:p w14:paraId="5FD4F7C1" w14:textId="77777777" w:rsidR="008D3DC2" w:rsidRPr="00EC18B9" w:rsidRDefault="008D3DC2" w:rsidP="00C1012C">
      <w:pPr>
        <w:pStyle w:val="Textonotapie"/>
        <w:jc w:val="both"/>
        <w:rPr>
          <w:rFonts w:ascii="Geomanist Light" w:hAnsi="Geomanist Light" w:cs="Calibri"/>
          <w:sz w:val="18"/>
          <w:szCs w:val="18"/>
        </w:rPr>
      </w:pPr>
      <w:r w:rsidRPr="00EC18B9">
        <w:rPr>
          <w:rFonts w:ascii="Geomanist Light" w:hAnsi="Geomanist Light" w:cs="Calibri"/>
          <w:sz w:val="18"/>
          <w:szCs w:val="18"/>
        </w:rPr>
        <w:t>“2. La oferta debe contener dos partes, la primera en la cual el interesado acredite su capacidad de participar en el Proceso de Contratación y acredite el cumplimiento de la ficha técnica; y la segunda parte debe contener el precio inicial propuesto por el oferente.</w:t>
      </w:r>
    </w:p>
    <w:p w14:paraId="083192A4" w14:textId="77777777" w:rsidR="008D3DC2" w:rsidRPr="00EC18B9" w:rsidRDefault="008D3DC2" w:rsidP="00C1012C">
      <w:pPr>
        <w:pStyle w:val="Textonotapie"/>
        <w:jc w:val="both"/>
        <w:rPr>
          <w:rFonts w:ascii="Geomanist Light" w:hAnsi="Geomanist Light" w:cs="Calibri"/>
          <w:sz w:val="18"/>
          <w:szCs w:val="18"/>
        </w:rPr>
      </w:pPr>
    </w:p>
    <w:p w14:paraId="70D343CA" w14:textId="77777777" w:rsidR="008D3DC2" w:rsidRPr="00EC18B9" w:rsidRDefault="008D3DC2" w:rsidP="00C1012C">
      <w:pPr>
        <w:pStyle w:val="Textonotapie"/>
        <w:jc w:val="both"/>
        <w:rPr>
          <w:rFonts w:ascii="Geomanist Light" w:hAnsi="Geomanist Light" w:cs="Calibri"/>
          <w:sz w:val="18"/>
          <w:szCs w:val="18"/>
        </w:rPr>
      </w:pPr>
      <w:r w:rsidRPr="00EC18B9">
        <w:rPr>
          <w:rFonts w:ascii="Geomanist Light" w:hAnsi="Geomanist Light" w:cs="Calibri"/>
          <w:sz w:val="18"/>
          <w:szCs w:val="18"/>
        </w:rPr>
        <w:t>“3. La Entidad Estatal debe publicar un informe de habilitación de los oferentes, en el cual debe indicar si los bienes o servicios ofrecidos por el interesado cumplen con la ficha técnica y si el oferente se encuentra habilitado.</w:t>
      </w:r>
    </w:p>
    <w:p w14:paraId="73DC8EA5" w14:textId="77777777" w:rsidR="008D3DC2" w:rsidRPr="00EC18B9" w:rsidRDefault="008D3DC2" w:rsidP="00C1012C">
      <w:pPr>
        <w:pStyle w:val="Textonotapie"/>
        <w:jc w:val="both"/>
        <w:rPr>
          <w:rFonts w:ascii="Geomanist Light" w:hAnsi="Geomanist Light" w:cs="Calibri"/>
          <w:sz w:val="18"/>
          <w:szCs w:val="18"/>
        </w:rPr>
      </w:pPr>
    </w:p>
    <w:p w14:paraId="6F59504A" w14:textId="77777777" w:rsidR="008D3DC2" w:rsidRPr="00EC18B9" w:rsidRDefault="008D3DC2" w:rsidP="00C1012C">
      <w:pPr>
        <w:pStyle w:val="Textonotapie"/>
        <w:jc w:val="both"/>
        <w:rPr>
          <w:rFonts w:ascii="Geomanist Light" w:hAnsi="Geomanist Light" w:cs="Calibri"/>
          <w:sz w:val="18"/>
          <w:szCs w:val="18"/>
        </w:rPr>
      </w:pPr>
      <w:r w:rsidRPr="00EC18B9">
        <w:rPr>
          <w:rFonts w:ascii="Geomanist Light" w:hAnsi="Geomanist Light" w:cs="Calibri"/>
          <w:sz w:val="18"/>
          <w:szCs w:val="18"/>
        </w:rPr>
        <w:t>“4. Hay subasta inversa siempre que haya como mínimo dos oferentes habilitados cuyos bienes o servicios cumplen con la ficha técnica.</w:t>
      </w:r>
    </w:p>
    <w:p w14:paraId="506A2CEE" w14:textId="77777777" w:rsidR="008D3DC2" w:rsidRPr="00EC18B9" w:rsidRDefault="008D3DC2" w:rsidP="00C1012C">
      <w:pPr>
        <w:pStyle w:val="Textonotapie"/>
        <w:jc w:val="both"/>
        <w:rPr>
          <w:rFonts w:ascii="Geomanist Light" w:hAnsi="Geomanist Light" w:cs="Calibri"/>
          <w:sz w:val="18"/>
          <w:szCs w:val="18"/>
        </w:rPr>
      </w:pPr>
    </w:p>
    <w:p w14:paraId="144A7EA8" w14:textId="77777777" w:rsidR="008D3DC2" w:rsidRPr="00EC18B9" w:rsidRDefault="008D3DC2" w:rsidP="00C1012C">
      <w:pPr>
        <w:pStyle w:val="Textonotapie"/>
        <w:jc w:val="both"/>
        <w:rPr>
          <w:rFonts w:ascii="Geomanist Light" w:hAnsi="Geomanist Light" w:cs="Calibri"/>
          <w:sz w:val="18"/>
          <w:szCs w:val="18"/>
        </w:rPr>
      </w:pPr>
      <w:r w:rsidRPr="00EC18B9">
        <w:rPr>
          <w:rFonts w:ascii="Geomanist Light" w:hAnsi="Geomanist Light" w:cs="Calibri"/>
          <w:sz w:val="18"/>
          <w:szCs w:val="18"/>
        </w:rPr>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w:t>
      </w:r>
    </w:p>
    <w:p w14:paraId="08E99E7E" w14:textId="77777777" w:rsidR="008D3DC2" w:rsidRPr="00EC18B9" w:rsidRDefault="008D3DC2" w:rsidP="00C1012C">
      <w:pPr>
        <w:pStyle w:val="Textonotapie"/>
        <w:jc w:val="both"/>
        <w:rPr>
          <w:rFonts w:ascii="Geomanist Light" w:hAnsi="Geomanist Light" w:cs="Calibri"/>
          <w:sz w:val="18"/>
          <w:szCs w:val="18"/>
        </w:rPr>
      </w:pPr>
    </w:p>
    <w:p w14:paraId="057208BD" w14:textId="77777777" w:rsidR="008D3DC2" w:rsidRPr="00EC18B9" w:rsidRDefault="008D3DC2" w:rsidP="00C1012C">
      <w:pPr>
        <w:pStyle w:val="Textonotapie"/>
        <w:jc w:val="both"/>
        <w:rPr>
          <w:rFonts w:ascii="Geomanist Light" w:hAnsi="Geomanist Light" w:cs="Calibri"/>
          <w:sz w:val="18"/>
          <w:szCs w:val="18"/>
        </w:rPr>
      </w:pPr>
      <w:r w:rsidRPr="00EC18B9">
        <w:rPr>
          <w:rFonts w:ascii="Geomanist Light" w:hAnsi="Geomanist Light" w:cs="Calibri"/>
          <w:sz w:val="18"/>
          <w:szCs w:val="18"/>
        </w:rPr>
        <w:t>“6. La subasta debe iniciar con el precio más bajo indicado por los oferentes y en consecuencia, solamente serán válidos los Lances efectuados durante la subasta inversa en los cuales la oferta sea mejorada en por lo menos el Margen Mínimo establecido.</w:t>
      </w:r>
    </w:p>
    <w:p w14:paraId="02C600A6" w14:textId="77777777" w:rsidR="008D3DC2" w:rsidRPr="00EC18B9" w:rsidRDefault="008D3DC2" w:rsidP="00C1012C">
      <w:pPr>
        <w:pStyle w:val="Textonotapie"/>
        <w:jc w:val="both"/>
        <w:rPr>
          <w:rFonts w:ascii="Geomanist Light" w:hAnsi="Geomanist Light" w:cs="Calibri"/>
          <w:sz w:val="18"/>
          <w:szCs w:val="18"/>
        </w:rPr>
      </w:pPr>
    </w:p>
    <w:p w14:paraId="01138673" w14:textId="77777777" w:rsidR="008D3DC2" w:rsidRPr="00EC18B9" w:rsidRDefault="008D3DC2" w:rsidP="00C1012C">
      <w:pPr>
        <w:pStyle w:val="Textonotapie"/>
        <w:jc w:val="both"/>
        <w:rPr>
          <w:rFonts w:ascii="Geomanist Light" w:hAnsi="Geomanist Light" w:cs="Calibri"/>
          <w:sz w:val="18"/>
          <w:szCs w:val="18"/>
        </w:rPr>
      </w:pPr>
      <w:r w:rsidRPr="00EC18B9">
        <w:rPr>
          <w:rFonts w:ascii="Geomanist Light" w:hAnsi="Geomanist Light" w:cs="Calibri"/>
          <w:sz w:val="18"/>
          <w:szCs w:val="18"/>
        </w:rPr>
        <w:t>“7. Si los oferentes no presentan Lances durante la subasta, la Entidad Estatal debe adjudicar el contrato al oferente que haya presentado el precio inicial más bajo.</w:t>
      </w:r>
    </w:p>
    <w:p w14:paraId="65198859" w14:textId="77777777" w:rsidR="008D3DC2" w:rsidRPr="00EC18B9" w:rsidRDefault="008D3DC2" w:rsidP="00C1012C">
      <w:pPr>
        <w:pStyle w:val="Textonotapie"/>
        <w:jc w:val="both"/>
        <w:rPr>
          <w:rFonts w:ascii="Geomanist Light" w:hAnsi="Geomanist Light" w:cs="Calibri"/>
          <w:sz w:val="18"/>
          <w:szCs w:val="18"/>
        </w:rPr>
      </w:pPr>
    </w:p>
    <w:p w14:paraId="1F90B35E" w14:textId="77777777" w:rsidR="008D3DC2" w:rsidRPr="00EC18B9" w:rsidRDefault="008D3DC2" w:rsidP="00C1012C">
      <w:pPr>
        <w:pStyle w:val="Textonotapie"/>
        <w:jc w:val="both"/>
        <w:rPr>
          <w:rFonts w:ascii="Geomanist Light" w:hAnsi="Geomanist Light" w:cs="Calibri"/>
          <w:sz w:val="18"/>
          <w:szCs w:val="18"/>
        </w:rPr>
      </w:pPr>
      <w:r w:rsidRPr="00EC18B9">
        <w:rPr>
          <w:rFonts w:ascii="Geomanist Light" w:hAnsi="Geomanist Light" w:cs="Calibri"/>
          <w:sz w:val="18"/>
          <w:szCs w:val="18"/>
        </w:rPr>
        <w:t>“8. Al terminar la presentación de cada Lance, la Entidad Estatal debe informar el valor del Lance más bajo.</w:t>
      </w:r>
    </w:p>
    <w:p w14:paraId="0D3DD93F" w14:textId="77777777" w:rsidR="008D3DC2" w:rsidRPr="00EC18B9" w:rsidRDefault="008D3DC2" w:rsidP="00C1012C">
      <w:pPr>
        <w:pStyle w:val="Textonotapie"/>
        <w:jc w:val="both"/>
        <w:rPr>
          <w:rFonts w:ascii="Geomanist Light" w:hAnsi="Geomanist Light" w:cs="Calibri"/>
          <w:sz w:val="18"/>
          <w:szCs w:val="18"/>
        </w:rPr>
      </w:pPr>
    </w:p>
    <w:p w14:paraId="18C3ECED" w14:textId="77777777" w:rsidR="008D3DC2" w:rsidRPr="00EC18B9" w:rsidRDefault="008D3DC2" w:rsidP="00C1012C">
      <w:pPr>
        <w:pStyle w:val="Textonotapie"/>
        <w:jc w:val="both"/>
        <w:rPr>
          <w:rFonts w:ascii="Geomanist Light" w:hAnsi="Geomanist Light" w:cs="Calibri"/>
          <w:sz w:val="18"/>
          <w:szCs w:val="18"/>
        </w:rPr>
      </w:pPr>
      <w:r w:rsidRPr="00EC18B9">
        <w:rPr>
          <w:rFonts w:ascii="Geomanist Light" w:hAnsi="Geomanist Light" w:cs="Calibri"/>
          <w:sz w:val="18"/>
          <w:szCs w:val="18"/>
        </w:rPr>
        <w:t>“9. Si al terminar la subasta inversa hay empate, la Entidad Estatal debe seleccionar al oferente que presentó el menor precio inicial. En caso de persistir el empate la Entidad Estatal debe aplicar las reglas del numeral 1 al 5 del artículo 2.2.1.1.2.2.9 del presente decreto”.</w:t>
      </w:r>
    </w:p>
    <w:p w14:paraId="2F650BED" w14:textId="77777777" w:rsidR="008D3DC2" w:rsidRPr="00EC18B9" w:rsidRDefault="008D3DC2" w:rsidP="00C1012C">
      <w:pPr>
        <w:pStyle w:val="Textonotapie"/>
        <w:jc w:val="both"/>
        <w:rPr>
          <w:rFonts w:ascii="Geomanist Light" w:hAnsi="Geomanist Light" w:cs="Calibri"/>
          <w:sz w:val="18"/>
          <w:szCs w:val="18"/>
        </w:rPr>
      </w:pPr>
    </w:p>
  </w:footnote>
  <w:footnote w:id="10">
    <w:p w14:paraId="5287560B" w14:textId="77777777" w:rsidR="008D3DC2" w:rsidRPr="00EC18B9" w:rsidRDefault="008D3DC2" w:rsidP="00C1012C">
      <w:pPr>
        <w:pStyle w:val="Textonotapie"/>
        <w:jc w:val="both"/>
        <w:rPr>
          <w:rFonts w:ascii="Geomanist Light" w:hAnsi="Geomanist Light" w:cs="Calibri"/>
          <w:sz w:val="18"/>
          <w:szCs w:val="18"/>
        </w:rPr>
      </w:pPr>
      <w:r w:rsidRPr="00EC18B9">
        <w:rPr>
          <w:rStyle w:val="Refdenotaalpie"/>
          <w:rFonts w:ascii="Geomanist Light" w:hAnsi="Geomanist Light" w:cs="Calibri"/>
          <w:sz w:val="18"/>
          <w:szCs w:val="18"/>
        </w:rPr>
        <w:footnoteRef/>
      </w:r>
      <w:r w:rsidRPr="00EC18B9">
        <w:rPr>
          <w:rFonts w:ascii="Geomanist Light" w:hAnsi="Geomanist Light" w:cs="Calibri"/>
          <w:sz w:val="18"/>
          <w:szCs w:val="18"/>
        </w:rPr>
        <w:t xml:space="preserve"> </w:t>
      </w:r>
      <w:r w:rsidRPr="00EC18B9">
        <w:rPr>
          <w:rFonts w:ascii="Geomanist Light" w:hAnsi="Geomanist Light" w:cs="Calibri"/>
          <w:b/>
          <w:bCs/>
          <w:sz w:val="18"/>
          <w:szCs w:val="18"/>
        </w:rPr>
        <w:t>Artículo 2.2.1.2.1.2.4. </w:t>
      </w:r>
      <w:r w:rsidRPr="00EC18B9">
        <w:rPr>
          <w:rFonts w:ascii="Geomanist Light" w:hAnsi="Geomanist Light" w:cs="Calibri"/>
          <w:b/>
          <w:bCs/>
          <w:i/>
          <w:iCs/>
          <w:sz w:val="18"/>
          <w:szCs w:val="18"/>
        </w:rPr>
        <w:t>Terminación de la subasta y adjudicación.</w:t>
      </w:r>
      <w:r w:rsidRPr="00EC18B9">
        <w:rPr>
          <w:rFonts w:ascii="Geomanist Light" w:hAnsi="Geomanist Light" w:cs="Calibri"/>
          <w:i/>
          <w:iCs/>
          <w:sz w:val="18"/>
          <w:szCs w:val="18"/>
        </w:rPr>
        <w:t> </w:t>
      </w:r>
      <w:r w:rsidRPr="00EC18B9">
        <w:rPr>
          <w:rFonts w:ascii="Geomanist Light" w:hAnsi="Geomanist Light" w:cs="Calibri"/>
          <w:sz w:val="18"/>
          <w:szCs w:val="18"/>
        </w:rPr>
        <w:t>La subasta termina cuando los oferentes no hagan Lances adicionales durante un período para la presentación de Lances. La Entidad Estatal debe adjudicar el contrato al oferente que haya presentado el Lance más bajo. En el acto de adjudicación, la Entidad Estatal indicará el nombre de los oferentes y el precio del último Lance presentado por cada uno de ellos.</w:t>
      </w:r>
    </w:p>
  </w:footnote>
  <w:footnote w:id="11">
    <w:p w14:paraId="2CFCC0C2" w14:textId="77777777" w:rsidR="008D3DC2" w:rsidRPr="00EC18B9" w:rsidRDefault="008D3DC2" w:rsidP="00C1012C">
      <w:pPr>
        <w:pStyle w:val="Textonotapie"/>
        <w:jc w:val="both"/>
        <w:rPr>
          <w:rFonts w:ascii="Geomanist Light" w:hAnsi="Geomanist Light" w:cs="Calibri"/>
          <w:sz w:val="18"/>
          <w:szCs w:val="18"/>
        </w:rPr>
      </w:pPr>
      <w:r w:rsidRPr="00EC18B9">
        <w:rPr>
          <w:rStyle w:val="Refdenotaalpie"/>
          <w:rFonts w:ascii="Geomanist Light" w:hAnsi="Geomanist Light" w:cs="Calibri"/>
          <w:sz w:val="18"/>
          <w:szCs w:val="18"/>
        </w:rPr>
        <w:footnoteRef/>
      </w:r>
      <w:r w:rsidRPr="00EC18B9">
        <w:rPr>
          <w:rFonts w:ascii="Geomanist Light" w:hAnsi="Geomanist Light" w:cs="Calibri"/>
          <w:sz w:val="18"/>
          <w:szCs w:val="18"/>
        </w:rPr>
        <w:t xml:space="preserve"> Agencia Nacional de Contratación Pública, Colombia Compra Eficiente, C-163 del 2020</w:t>
      </w:r>
    </w:p>
  </w:footnote>
  <w:footnote w:id="12">
    <w:p w14:paraId="777BA75E" w14:textId="77777777" w:rsidR="008D3DC2" w:rsidRPr="00EC18B9" w:rsidRDefault="008D3DC2" w:rsidP="00381190">
      <w:pPr>
        <w:spacing w:after="0" w:line="240" w:lineRule="auto"/>
        <w:ind w:left="100" w:right="103" w:firstLine="707"/>
        <w:rPr>
          <w:rFonts w:ascii="Geomanist Light" w:hAnsi="Geomanist Light" w:cs="Calibri"/>
          <w:sz w:val="18"/>
          <w:szCs w:val="18"/>
        </w:rPr>
      </w:pPr>
      <w:r w:rsidRPr="00EC18B9">
        <w:rPr>
          <w:rStyle w:val="Refdenotaalpie"/>
          <w:rFonts w:ascii="Geomanist Light" w:hAnsi="Geomanist Light" w:cs="Calibri"/>
          <w:sz w:val="18"/>
          <w:szCs w:val="18"/>
        </w:rPr>
        <w:footnoteRef/>
      </w:r>
      <w:r w:rsidRPr="00EC18B9">
        <w:rPr>
          <w:rFonts w:ascii="Geomanist Light" w:hAnsi="Geomanist Light" w:cs="Calibri"/>
          <w:sz w:val="18"/>
          <w:szCs w:val="18"/>
        </w:rPr>
        <w:t xml:space="preserve"> Consejo de Estado, Sala de lo Contencioso Administrativo, Sección Tercera, radicado No. 76001-23- 31-000-1997-05064-01(17.783), del 4 de junio de 2008. Consejera Ponente: Myriam Guerrero De Escobar.</w:t>
      </w:r>
    </w:p>
    <w:p w14:paraId="5DD0B9A2" w14:textId="77777777" w:rsidR="008D3DC2" w:rsidRPr="00EC18B9" w:rsidRDefault="008D3DC2" w:rsidP="00C1012C">
      <w:pPr>
        <w:pStyle w:val="Textonotapie"/>
        <w:jc w:val="both"/>
        <w:rPr>
          <w:rFonts w:ascii="Geomanist Light" w:hAnsi="Geomanist Light" w:cs="Calibri"/>
          <w:sz w:val="18"/>
          <w:szCs w:val="18"/>
          <w:lang w:val="es-MX"/>
        </w:rPr>
      </w:pPr>
    </w:p>
  </w:footnote>
  <w:footnote w:id="13">
    <w:p w14:paraId="2B6E58B0" w14:textId="77777777" w:rsidR="008D3DC2" w:rsidRPr="00EC18B9" w:rsidRDefault="008D3DC2" w:rsidP="00C1012C">
      <w:pPr>
        <w:pStyle w:val="Textonotapie"/>
        <w:jc w:val="both"/>
        <w:rPr>
          <w:rFonts w:ascii="Geomanist Light" w:hAnsi="Geomanist Light"/>
          <w:sz w:val="18"/>
          <w:szCs w:val="18"/>
        </w:rPr>
      </w:pPr>
      <w:r w:rsidRPr="00EC18B9">
        <w:rPr>
          <w:rStyle w:val="Refdenotaalpie"/>
          <w:rFonts w:ascii="Geomanist Light" w:hAnsi="Geomanist Light"/>
          <w:sz w:val="18"/>
          <w:szCs w:val="18"/>
        </w:rPr>
        <w:footnoteRef/>
      </w:r>
      <w:r w:rsidRPr="00EC18B9">
        <w:rPr>
          <w:rFonts w:ascii="Geomanist Light" w:hAnsi="Geomanist Light"/>
          <w:sz w:val="18"/>
          <w:szCs w:val="18"/>
        </w:rPr>
        <w:t xml:space="preserve"> Agencia Nacional de Contratación Pública -Colombia Compra Eficiente-, “Guía para el manejo de ofertas artificialmente bajas en procesos de contratación”, Bogotá, 31 de julio de 2017, en línea: </w:t>
      </w:r>
      <w:hyperlink r:id="rId1" w:history="1">
        <w:r w:rsidRPr="00EC18B9">
          <w:rPr>
            <w:rStyle w:val="Hipervnculo"/>
            <w:rFonts w:ascii="Geomanist Light" w:hAnsi="Geomanist Light"/>
            <w:sz w:val="18"/>
            <w:szCs w:val="18"/>
          </w:rPr>
          <w:t>https://colombiacompra.gov.co/manuales-guias-y-pliegos-tipo/manuales-y-guias/guia-para-el-manejo-de-ofertas-artificialmente-bajas</w:t>
        </w:r>
      </w:hyperlink>
    </w:p>
    <w:p w14:paraId="434D33CD" w14:textId="77777777" w:rsidR="008D3DC2" w:rsidRPr="00EC18B9" w:rsidRDefault="008D3DC2" w:rsidP="00C1012C">
      <w:pPr>
        <w:pStyle w:val="Textonotapie"/>
        <w:jc w:val="both"/>
        <w:rPr>
          <w:rFonts w:ascii="Geomanist Light" w:hAnsi="Geomanist Light"/>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5561" w14:textId="77777777" w:rsidR="00993A2A" w:rsidRPr="003F58A1" w:rsidRDefault="00744E11"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51FA52F8" wp14:editId="0B4DD97A">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3E7BCA2B" w14:textId="77777777" w:rsidTr="00B53489">
      <w:tc>
        <w:tcPr>
          <w:tcW w:w="6756" w:type="dxa"/>
        </w:tcPr>
        <w:p w14:paraId="3D583757" w14:textId="77777777" w:rsidR="00993A2A" w:rsidRPr="006478E3" w:rsidRDefault="00744E11"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7C4FDAEB" w14:textId="77777777" w:rsidR="00993A2A" w:rsidRPr="0057618A" w:rsidRDefault="00744E11"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E8E732B" w14:textId="77777777" w:rsidR="00993A2A" w:rsidRPr="00367110" w:rsidRDefault="00AB23AD" w:rsidP="00993A2A">
          <w:pPr>
            <w:jc w:val="right"/>
            <w:rPr>
              <w:rFonts w:eastAsia="Arial Nova" w:cs="Arial Nova"/>
              <w:lang w:eastAsia="es-CO"/>
            </w:rPr>
          </w:pPr>
        </w:p>
      </w:tc>
      <w:tc>
        <w:tcPr>
          <w:tcW w:w="1324" w:type="dxa"/>
        </w:tcPr>
        <w:p w14:paraId="59E4ED98" w14:textId="77777777" w:rsidR="00993A2A" w:rsidRPr="00367110" w:rsidRDefault="00AB23AD" w:rsidP="00993A2A">
          <w:pPr>
            <w:jc w:val="right"/>
            <w:rPr>
              <w:rFonts w:eastAsia="Arial Nova" w:cs="Arial Nova"/>
              <w:lang w:eastAsia="es-CO"/>
            </w:rPr>
          </w:pPr>
        </w:p>
      </w:tc>
    </w:tr>
  </w:tbl>
  <w:p w14:paraId="2E07A751" w14:textId="77777777" w:rsidR="00993A2A" w:rsidRPr="00906B3C" w:rsidRDefault="00744E11"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449CC794" wp14:editId="4DA163B0">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E7"/>
    <w:multiLevelType w:val="multilevel"/>
    <w:tmpl w:val="1EB8C77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655BB2"/>
    <w:multiLevelType w:val="multilevel"/>
    <w:tmpl w:val="F44A3A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331350"/>
    <w:multiLevelType w:val="multilevel"/>
    <w:tmpl w:val="147E6B72"/>
    <w:lvl w:ilvl="0">
      <w:start w:val="2"/>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C94578"/>
    <w:multiLevelType w:val="multilevel"/>
    <w:tmpl w:val="1BF25C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5D596E"/>
    <w:multiLevelType w:val="hybridMultilevel"/>
    <w:tmpl w:val="F402B642"/>
    <w:lvl w:ilvl="0" w:tplc="017C3FD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747993443">
    <w:abstractNumId w:val="1"/>
  </w:num>
  <w:num w:numId="2" w16cid:durableId="375933272">
    <w:abstractNumId w:val="5"/>
  </w:num>
  <w:num w:numId="3" w16cid:durableId="12533837">
    <w:abstractNumId w:val="3"/>
  </w:num>
  <w:num w:numId="4" w16cid:durableId="751051432">
    <w:abstractNumId w:val="4"/>
  </w:num>
  <w:num w:numId="5" w16cid:durableId="1627540544">
    <w:abstractNumId w:val="0"/>
  </w:num>
  <w:num w:numId="6" w16cid:durableId="459735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4E"/>
    <w:rsid w:val="000977EA"/>
    <w:rsid w:val="000A5946"/>
    <w:rsid w:val="00190001"/>
    <w:rsid w:val="002E4213"/>
    <w:rsid w:val="00381190"/>
    <w:rsid w:val="003A74FD"/>
    <w:rsid w:val="003D069D"/>
    <w:rsid w:val="004D1021"/>
    <w:rsid w:val="00565DA8"/>
    <w:rsid w:val="005C3192"/>
    <w:rsid w:val="00651A7A"/>
    <w:rsid w:val="00656E4E"/>
    <w:rsid w:val="006C24B8"/>
    <w:rsid w:val="00744E11"/>
    <w:rsid w:val="007A5B5C"/>
    <w:rsid w:val="007F5D03"/>
    <w:rsid w:val="00806EBD"/>
    <w:rsid w:val="008C26C4"/>
    <w:rsid w:val="008D3DC2"/>
    <w:rsid w:val="009072DB"/>
    <w:rsid w:val="0092462D"/>
    <w:rsid w:val="00933DD8"/>
    <w:rsid w:val="009633F9"/>
    <w:rsid w:val="00AB23AD"/>
    <w:rsid w:val="00C1012C"/>
    <w:rsid w:val="00CE04D9"/>
    <w:rsid w:val="00E60391"/>
    <w:rsid w:val="00EA54B1"/>
    <w:rsid w:val="00EC047F"/>
    <w:rsid w:val="00EC18B9"/>
    <w:rsid w:val="00ED2C50"/>
    <w:rsid w:val="00FE07B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22995"/>
  <w15:chartTrackingRefBased/>
  <w15:docId w15:val="{365B7230-9673-C34D-A951-912CD635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4E"/>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56E4E"/>
    <w:pPr>
      <w:tabs>
        <w:tab w:val="center" w:pos="4419"/>
        <w:tab w:val="right" w:pos="8838"/>
      </w:tabs>
    </w:pPr>
  </w:style>
  <w:style w:type="character" w:customStyle="1" w:styleId="PiedepginaCar">
    <w:name w:val="Pie de página Car"/>
    <w:basedOn w:val="Fuentedeprrafopredeter"/>
    <w:link w:val="Piedepgina"/>
    <w:uiPriority w:val="99"/>
    <w:rsid w:val="00656E4E"/>
    <w:rPr>
      <w:szCs w:val="22"/>
      <w:lang w:val="es-MX"/>
    </w:rPr>
  </w:style>
  <w:style w:type="paragraph" w:styleId="Encabezado">
    <w:name w:val="header"/>
    <w:basedOn w:val="Normal"/>
    <w:link w:val="EncabezadoCar"/>
    <w:uiPriority w:val="99"/>
    <w:unhideWhenUsed/>
    <w:rsid w:val="00656E4E"/>
    <w:pPr>
      <w:tabs>
        <w:tab w:val="center" w:pos="4252"/>
        <w:tab w:val="right" w:pos="8504"/>
      </w:tabs>
    </w:pPr>
  </w:style>
  <w:style w:type="character" w:customStyle="1" w:styleId="EncabezadoCar">
    <w:name w:val="Encabezado Car"/>
    <w:basedOn w:val="Fuentedeprrafopredeter"/>
    <w:link w:val="Encabezado"/>
    <w:uiPriority w:val="99"/>
    <w:rsid w:val="00656E4E"/>
    <w:rPr>
      <w:szCs w:val="22"/>
      <w:lang w:val="es-MX"/>
    </w:rPr>
  </w:style>
  <w:style w:type="table" w:styleId="Tablaconcuadrcula">
    <w:name w:val="Table Grid"/>
    <w:basedOn w:val="Tablanormal"/>
    <w:uiPriority w:val="59"/>
    <w:qFormat/>
    <w:rsid w:val="00656E4E"/>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656E4E"/>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56E4E"/>
    <w:rPr>
      <w:vertAlign w:val="superscript"/>
    </w:rPr>
  </w:style>
  <w:style w:type="paragraph" w:customStyle="1" w:styleId="Appelnotedebasde">
    <w:name w:val="Appel note de bas de..."/>
    <w:basedOn w:val="Normal"/>
    <w:link w:val="Refdenotaalpie"/>
    <w:uiPriority w:val="99"/>
    <w:rsid w:val="00656E4E"/>
    <w:pPr>
      <w:spacing w:after="160" w:line="240" w:lineRule="exact"/>
    </w:pPr>
    <w:rPr>
      <w:szCs w:val="24"/>
      <w:vertAlign w:val="superscript"/>
      <w:lang w:val="es-CO"/>
    </w:rPr>
  </w:style>
  <w:style w:type="character" w:customStyle="1" w:styleId="NormalWebCar">
    <w:name w:val="Normal (Web) Car"/>
    <w:link w:val="NormalWeb"/>
    <w:uiPriority w:val="99"/>
    <w:locked/>
    <w:rsid w:val="00656E4E"/>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656E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656E4E"/>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656E4E"/>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656E4E"/>
    <w:rPr>
      <w:rFonts w:ascii="Arial" w:eastAsia="Arial" w:hAnsi="Arial" w:cs="Arial"/>
      <w:sz w:val="20"/>
      <w:szCs w:val="20"/>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56E4E"/>
  </w:style>
  <w:style w:type="paragraph" w:styleId="Textoindependiente">
    <w:name w:val="Body Text"/>
    <w:basedOn w:val="Normal"/>
    <w:link w:val="TextoindependienteCar"/>
    <w:uiPriority w:val="1"/>
    <w:qFormat/>
    <w:rsid w:val="008D3DC2"/>
    <w:pPr>
      <w:widowControl w:val="0"/>
      <w:autoSpaceDE w:val="0"/>
      <w:autoSpaceDN w:val="0"/>
      <w:spacing w:after="0" w:line="240" w:lineRule="auto"/>
      <w:jc w:val="left"/>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D3DC2"/>
    <w:rPr>
      <w:rFonts w:ascii="Arial" w:eastAsia="Arial" w:hAnsi="Arial" w:cs="Arial"/>
      <w:sz w:val="22"/>
      <w:szCs w:val="22"/>
      <w:lang w:val="es-ES"/>
    </w:rPr>
  </w:style>
  <w:style w:type="character" w:styleId="Hipervnculo">
    <w:name w:val="Hyperlink"/>
    <w:basedOn w:val="Fuentedeprrafopredeter"/>
    <w:uiPriority w:val="99"/>
    <w:unhideWhenUsed/>
    <w:rsid w:val="008D3DC2"/>
    <w:rPr>
      <w:color w:val="0563C1" w:themeColor="hyperlink"/>
      <w:u w:val="single"/>
    </w:rPr>
  </w:style>
  <w:style w:type="paragraph" w:styleId="Revisin">
    <w:name w:val="Revision"/>
    <w:hidden/>
    <w:uiPriority w:val="99"/>
    <w:semiHidden/>
    <w:rsid w:val="005C3192"/>
    <w:rPr>
      <w:szCs w:val="22"/>
      <w:lang w:val="es-MX"/>
    </w:rPr>
  </w:style>
  <w:style w:type="character" w:customStyle="1" w:styleId="normaltextrun">
    <w:name w:val="normaltextrun"/>
    <w:basedOn w:val="Fuentedeprrafopredeter"/>
    <w:rsid w:val="003A74FD"/>
  </w:style>
  <w:style w:type="character" w:styleId="Refdecomentario">
    <w:name w:val="annotation reference"/>
    <w:basedOn w:val="Fuentedeprrafopredeter"/>
    <w:uiPriority w:val="99"/>
    <w:semiHidden/>
    <w:unhideWhenUsed/>
    <w:rsid w:val="003A74FD"/>
    <w:rPr>
      <w:sz w:val="16"/>
      <w:szCs w:val="16"/>
    </w:rPr>
  </w:style>
  <w:style w:type="paragraph" w:styleId="Textocomentario">
    <w:name w:val="annotation text"/>
    <w:basedOn w:val="Normal"/>
    <w:link w:val="TextocomentarioCar"/>
    <w:uiPriority w:val="99"/>
    <w:semiHidden/>
    <w:unhideWhenUsed/>
    <w:rsid w:val="003A74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74F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3A74FD"/>
    <w:rPr>
      <w:b/>
      <w:bCs/>
    </w:rPr>
  </w:style>
  <w:style w:type="character" w:customStyle="1" w:styleId="AsuntodelcomentarioCar">
    <w:name w:val="Asunto del comentario Car"/>
    <w:basedOn w:val="TextocomentarioCar"/>
    <w:link w:val="Asuntodelcomentario"/>
    <w:uiPriority w:val="99"/>
    <w:semiHidden/>
    <w:rsid w:val="003A74FD"/>
    <w:rPr>
      <w:b/>
      <w:bCs/>
      <w:sz w:val="20"/>
      <w:szCs w:val="20"/>
      <w:lang w:val="es-MX"/>
    </w:rPr>
  </w:style>
  <w:style w:type="paragraph" w:customStyle="1" w:styleId="xmsonospacing">
    <w:name w:val="x_msonospacing"/>
    <w:basedOn w:val="Normal"/>
    <w:rsid w:val="000A5946"/>
    <w:pPr>
      <w:spacing w:before="100" w:beforeAutospacing="1" w:after="100" w:afterAutospacing="1" w:line="240" w:lineRule="auto"/>
      <w:jc w:val="left"/>
    </w:pPr>
    <w:rPr>
      <w:rFonts w:ascii="Times New Roman" w:eastAsia="Times New Roman" w:hAnsi="Times New Roman" w:cs="Times New Roman"/>
      <w:szCs w:val="24"/>
      <w:lang w:val="es-CO" w:eastAsia="es-MX"/>
    </w:rPr>
  </w:style>
  <w:style w:type="character" w:customStyle="1" w:styleId="xnormaltextrun">
    <w:name w:val="x_normaltextrun"/>
    <w:basedOn w:val="Fuentedeprrafopredeter"/>
    <w:rsid w:val="000A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manuales-guias-y-pliegos-tipo/manuales-y-guias/guia-para-el-manejo-de-ofertas-artificialmente-baj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7F50F-370E-4FB0-BA03-3CE9A15E749B}">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9d85dbaf-23eb-4e57-a637-93dcacc8b1a1"/>
    <ds:schemaRef ds:uri="http://schemas.microsoft.com/office/infopath/2007/PartnerControls"/>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3AD99EC2-5361-4742-B400-D10C4E817ACF}">
  <ds:schemaRefs>
    <ds:schemaRef ds:uri="http://schemas.openxmlformats.org/officeDocument/2006/bibliography"/>
  </ds:schemaRefs>
</ds:datastoreItem>
</file>

<file path=customXml/itemProps3.xml><?xml version="1.0" encoding="utf-8"?>
<ds:datastoreItem xmlns:ds="http://schemas.openxmlformats.org/officeDocument/2006/customXml" ds:itemID="{A744D6D4-3A24-4929-BAD0-CCE75E7E575A}">
  <ds:schemaRefs>
    <ds:schemaRef ds:uri="http://schemas.microsoft.com/sharepoint/v3/contenttype/forms"/>
  </ds:schemaRefs>
</ds:datastoreItem>
</file>

<file path=customXml/itemProps4.xml><?xml version="1.0" encoding="utf-8"?>
<ds:datastoreItem xmlns:ds="http://schemas.openxmlformats.org/officeDocument/2006/customXml" ds:itemID="{F9A1879D-0107-406C-9756-83503BE3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3047</Words>
  <Characters>16763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Ana Maria Velez Arteaga</cp:lastModifiedBy>
  <cp:revision>2</cp:revision>
  <dcterms:created xsi:type="dcterms:W3CDTF">2023-02-16T14:21:00Z</dcterms:created>
  <dcterms:modified xsi:type="dcterms:W3CDTF">2023-02-16T14:21:00Z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