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5C14" w14:textId="77777777" w:rsidR="004D67EF" w:rsidRPr="00C161FB" w:rsidRDefault="004D67EF" w:rsidP="004D67EF">
      <w:pPr>
        <w:spacing w:after="0" w:line="240" w:lineRule="auto"/>
        <w:contextualSpacing/>
        <w:rPr>
          <w:rFonts w:ascii="Geomanist Light" w:eastAsia="Calibri" w:hAnsi="Geomanist Light" w:cs="Arial"/>
          <w:b/>
          <w:bCs/>
          <w:sz w:val="21"/>
          <w:szCs w:val="21"/>
          <w:lang w:val="es-CO"/>
        </w:rPr>
      </w:pPr>
      <w:bookmarkStart w:id="0" w:name="_Hlk96417464"/>
      <w:r w:rsidRPr="00C161FB">
        <w:rPr>
          <w:rFonts w:ascii="Geomanist Light" w:eastAsia="Calibri" w:hAnsi="Geomanist Light" w:cs="Arial"/>
          <w:b/>
          <w:bCs/>
          <w:sz w:val="21"/>
          <w:szCs w:val="21"/>
          <w:lang w:val="es-ES_tradnl"/>
        </w:rPr>
        <w:t xml:space="preserve">TERMINACIÓN UNILATERAL – Cláusula </w:t>
      </w:r>
      <w:r w:rsidRPr="00C161FB">
        <w:rPr>
          <w:rFonts w:ascii="Geomanist Light" w:eastAsia="Calibri" w:hAnsi="Geomanist Light" w:cs="Arial"/>
          <w:b/>
          <w:bCs/>
          <w:sz w:val="21"/>
          <w:szCs w:val="21"/>
          <w:lang w:val="es-CO"/>
        </w:rPr>
        <w:t xml:space="preserve">excepcional – Finalidad </w:t>
      </w:r>
    </w:p>
    <w:p w14:paraId="6A763A01" w14:textId="5BA5D699" w:rsidR="004D67EF" w:rsidRPr="00C161FB" w:rsidRDefault="004D67EF" w:rsidP="004D67EF">
      <w:pPr>
        <w:spacing w:after="0" w:line="240" w:lineRule="auto"/>
        <w:contextualSpacing/>
        <w:rPr>
          <w:rFonts w:ascii="Geomanist Light" w:eastAsia="Calibri" w:hAnsi="Geomanist Light" w:cs="Arial"/>
          <w:sz w:val="21"/>
          <w:szCs w:val="21"/>
          <w:lang w:val="es-CO"/>
        </w:rPr>
      </w:pPr>
    </w:p>
    <w:p w14:paraId="227AD168" w14:textId="05E9FE0D" w:rsidR="00C161FB" w:rsidRPr="00C161FB" w:rsidRDefault="00C161FB" w:rsidP="00C161FB">
      <w:pPr>
        <w:spacing w:after="0" w:line="240" w:lineRule="auto"/>
        <w:contextualSpacing/>
        <w:rPr>
          <w:rFonts w:ascii="Geomanist Light" w:eastAsia="Calibri" w:hAnsi="Geomanist Light" w:cs="Arial"/>
          <w:sz w:val="21"/>
          <w:szCs w:val="21"/>
          <w:lang w:val="es-CO"/>
        </w:rPr>
      </w:pPr>
      <w:r w:rsidRPr="00C161FB">
        <w:rPr>
          <w:rFonts w:ascii="Geomanist Light" w:eastAsia="Calibri" w:hAnsi="Geomanist Light" w:cs="Arial"/>
          <w:sz w:val="21"/>
          <w:szCs w:val="21"/>
          <w:lang w:val="es-CO"/>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Las entidades estatales pueden usar estas potestades «[…] como manifestación de su </w:t>
      </w:r>
      <w:proofErr w:type="spellStart"/>
      <w:r w:rsidRPr="00C161FB">
        <w:rPr>
          <w:rFonts w:ascii="Geomanist Light" w:eastAsia="Calibri" w:hAnsi="Geomanist Light" w:cs="Arial"/>
          <w:i/>
          <w:iCs/>
          <w:sz w:val="21"/>
          <w:szCs w:val="21"/>
          <w:lang w:val="es-CO"/>
        </w:rPr>
        <w:t>imperium</w:t>
      </w:r>
      <w:proofErr w:type="spellEnd"/>
      <w:r w:rsidRPr="00C161FB">
        <w:rPr>
          <w:rFonts w:ascii="Geomanist Light" w:eastAsia="Calibri" w:hAnsi="Geomanist Light" w:cs="Arial"/>
          <w:i/>
          <w:iCs/>
          <w:sz w:val="21"/>
          <w:szCs w:val="21"/>
          <w:lang w:val="es-CO"/>
        </w:rPr>
        <w:t xml:space="preserve"> </w:t>
      </w:r>
      <w:r w:rsidRPr="00C161FB">
        <w:rPr>
          <w:rFonts w:ascii="Geomanist Light" w:eastAsia="Calibri" w:hAnsi="Geomanist Light" w:cs="Arial"/>
          <w:sz w:val="21"/>
          <w:szCs w:val="21"/>
          <w:lang w:val="es-CO"/>
        </w:rPr>
        <w:t xml:space="preserve">o poder de Estado, que se 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  </w:t>
      </w:r>
    </w:p>
    <w:p w14:paraId="0426989B" w14:textId="0A5EF51C" w:rsidR="00C161FB" w:rsidRPr="00C161FB" w:rsidRDefault="00C161FB" w:rsidP="00C161FB">
      <w:pPr>
        <w:spacing w:after="0" w:line="240" w:lineRule="auto"/>
        <w:contextualSpacing/>
        <w:rPr>
          <w:rFonts w:ascii="Geomanist Light" w:eastAsia="Calibri" w:hAnsi="Geomanist Light" w:cs="Arial"/>
          <w:sz w:val="21"/>
          <w:szCs w:val="21"/>
          <w:lang w:val="es-CO"/>
        </w:rPr>
      </w:pPr>
      <w:r w:rsidRPr="00C161FB">
        <w:rPr>
          <w:rFonts w:ascii="Geomanist Light" w:eastAsia="Calibri" w:hAnsi="Geomanist Light" w:cs="Arial"/>
          <w:sz w:val="21"/>
          <w:szCs w:val="21"/>
          <w:lang w:val="es-CO"/>
        </w:rPr>
        <w:t xml:space="preserve">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 se establece que la administración debe estar dotada de mecanismos eficaces, así fueren excepcionales, que contribuyan a la adecuada realización de la finalidad contractual y de los fines estatales. Es por eso </w:t>
      </w:r>
      <w:proofErr w:type="gramStart"/>
      <w:r w:rsidRPr="00C161FB">
        <w:rPr>
          <w:rFonts w:ascii="Geomanist Light" w:eastAsia="Calibri" w:hAnsi="Geomanist Light" w:cs="Arial"/>
          <w:sz w:val="21"/>
          <w:szCs w:val="21"/>
          <w:lang w:val="es-CO"/>
        </w:rPr>
        <w:t>que</w:t>
      </w:r>
      <w:proofErr w:type="gramEnd"/>
      <w:r w:rsidRPr="00C161FB">
        <w:rPr>
          <w:rFonts w:ascii="Geomanist Light" w:eastAsia="Calibri" w:hAnsi="Geomanist Light" w:cs="Arial"/>
          <w:sz w:val="21"/>
          <w:szCs w:val="21"/>
          <w:lang w:val="es-CO"/>
        </w:rPr>
        <w:t xml:space="preserve"> cuando se presenten circunstancias que amenacen la paralización de los servicios, las entidades públicas pueden tomar medidas que conduzcan a garantizar la continua y adecuada prestación del servicio, con fundamento en la prevalencia del interés público sobre el particular. Esta figura no tiene como finalidad sancionar al contratista sino evitar la paralización del contrato estatal y garantizar su correcta ejecución. […]</w:t>
      </w:r>
    </w:p>
    <w:p w14:paraId="1B532712" w14:textId="77777777" w:rsidR="00C161FB" w:rsidRPr="00C161FB" w:rsidRDefault="00C161FB" w:rsidP="00C161FB">
      <w:pPr>
        <w:spacing w:after="0" w:line="240" w:lineRule="auto"/>
        <w:contextualSpacing/>
        <w:rPr>
          <w:rFonts w:ascii="Geomanist Light" w:eastAsia="Calibri" w:hAnsi="Geomanist Light" w:cs="Arial"/>
          <w:sz w:val="21"/>
          <w:szCs w:val="21"/>
          <w:lang w:val="es-CO"/>
        </w:rPr>
      </w:pPr>
      <w:r w:rsidRPr="00C161FB">
        <w:rPr>
          <w:rFonts w:ascii="Geomanist Light" w:eastAsia="Calibri" w:hAnsi="Geomanist Light" w:cs="Arial"/>
          <w:sz w:val="21"/>
          <w:szCs w:val="21"/>
          <w:lang w:val="es-CO"/>
        </w:rPr>
        <w:t xml:space="preserve">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w:t>
      </w:r>
      <w:proofErr w:type="spellStart"/>
      <w:r w:rsidRPr="00C161FB">
        <w:rPr>
          <w:rFonts w:ascii="Geomanist Light" w:eastAsia="Calibri" w:hAnsi="Geomanist Light" w:cs="Arial"/>
          <w:sz w:val="21"/>
          <w:szCs w:val="21"/>
          <w:lang w:val="es-CO"/>
        </w:rPr>
        <w:t>ii</w:t>
      </w:r>
      <w:proofErr w:type="spellEnd"/>
      <w:r w:rsidRPr="00C161FB">
        <w:rPr>
          <w:rFonts w:ascii="Geomanist Light" w:eastAsia="Calibri" w:hAnsi="Geomanist Light" w:cs="Arial"/>
          <w:sz w:val="21"/>
          <w:szCs w:val="21"/>
          <w:lang w:val="es-CO"/>
        </w:rPr>
        <w:t xml:space="preserve">) que dicho acto debe ser el resultado de un análisis soportado en la realidad del contrato, es decir, debe estar debidamente motivado y </w:t>
      </w:r>
      <w:proofErr w:type="spellStart"/>
      <w:r w:rsidRPr="00C161FB">
        <w:rPr>
          <w:rFonts w:ascii="Geomanist Light" w:eastAsia="Calibri" w:hAnsi="Geomanist Light" w:cs="Arial"/>
          <w:sz w:val="21"/>
          <w:szCs w:val="21"/>
          <w:lang w:val="es-CO"/>
        </w:rPr>
        <w:t>iii</w:t>
      </w:r>
      <w:proofErr w:type="spellEnd"/>
      <w:r w:rsidRPr="00C161FB">
        <w:rPr>
          <w:rFonts w:ascii="Geomanist Light" w:eastAsia="Calibri" w:hAnsi="Geomanist Light" w:cs="Arial"/>
          <w:sz w:val="21"/>
          <w:szCs w:val="21"/>
          <w:lang w:val="es-CO"/>
        </w:rPr>
        <w:t>) que la causal que se alegue en la decisión se encuentre enmarcada en los eventos que la ley ha dispuesto. </w:t>
      </w:r>
    </w:p>
    <w:p w14:paraId="6FEEBFAF" w14:textId="2582E89A" w:rsidR="00C161FB" w:rsidRPr="00C161FB" w:rsidRDefault="00C161FB" w:rsidP="00C161FB">
      <w:pPr>
        <w:spacing w:after="0" w:line="240" w:lineRule="auto"/>
        <w:contextualSpacing/>
        <w:rPr>
          <w:rFonts w:ascii="Geomanist Light" w:eastAsia="Calibri" w:hAnsi="Geomanist Light" w:cs="Arial"/>
          <w:sz w:val="21"/>
          <w:szCs w:val="21"/>
          <w:lang w:val="es-CO"/>
        </w:rPr>
      </w:pPr>
      <w:r w:rsidRPr="00C161FB">
        <w:rPr>
          <w:rFonts w:ascii="Geomanist Light" w:eastAsia="Calibri" w:hAnsi="Geomanist Light" w:cs="Arial"/>
          <w:sz w:val="21"/>
          <w:szCs w:val="21"/>
          <w:lang w:val="es-CO"/>
        </w:rPr>
        <w:t xml:space="preserve">El artículo 17 de la Ley 80 de 1993 establece expresamente en que eventos procede la terminación unilateral del contrato. Esta modalidad de terminación unilateral únicamente puede tener aplicación respecto de aquellos específicos contratos estatales señalados en el numeral 2 del artículo 14 de la Ley 80, esto es: </w:t>
      </w:r>
      <w:r w:rsidRPr="00C161FB">
        <w:rPr>
          <w:rFonts w:ascii="Geomanist Light" w:eastAsia="Calibri" w:hAnsi="Geomanist Light" w:cs="Arial"/>
          <w:i/>
          <w:iCs/>
          <w:sz w:val="21"/>
          <w:szCs w:val="21"/>
          <w:lang w:val="es-CO"/>
        </w:rPr>
        <w:t xml:space="preserve">a) “en los contratos que tengan por objeto el ejercicio de una actividad que constituya monopolio estatal”; b) </w:t>
      </w:r>
      <w:r w:rsidRPr="00C161FB">
        <w:rPr>
          <w:rFonts w:ascii="Geomanist Light" w:eastAsia="Calibri" w:hAnsi="Geomanist Light" w:cs="Arial"/>
          <w:sz w:val="21"/>
          <w:szCs w:val="21"/>
          <w:lang w:val="es-CO"/>
        </w:rPr>
        <w:t xml:space="preserve">en los contratos que tengan por objeto </w:t>
      </w:r>
      <w:r w:rsidRPr="00C161FB">
        <w:rPr>
          <w:rFonts w:ascii="Geomanist Light" w:eastAsia="Calibri" w:hAnsi="Geomanist Light" w:cs="Arial"/>
          <w:i/>
          <w:iCs/>
          <w:sz w:val="21"/>
          <w:szCs w:val="21"/>
          <w:lang w:val="es-CO"/>
        </w:rPr>
        <w:t xml:space="preserve">“la prestación de servicios públicos”; c) </w:t>
      </w:r>
      <w:r w:rsidRPr="00C161FB">
        <w:rPr>
          <w:rFonts w:ascii="Geomanist Light" w:eastAsia="Calibri" w:hAnsi="Geomanist Light" w:cs="Arial"/>
          <w:sz w:val="21"/>
          <w:szCs w:val="21"/>
          <w:lang w:val="es-CO"/>
        </w:rPr>
        <w:t xml:space="preserve">en los contratos que tengan por objeto </w:t>
      </w:r>
      <w:r w:rsidRPr="00C161FB">
        <w:rPr>
          <w:rFonts w:ascii="Geomanist Light" w:eastAsia="Calibri" w:hAnsi="Geomanist Light" w:cs="Arial"/>
          <w:i/>
          <w:iCs/>
          <w:sz w:val="21"/>
          <w:szCs w:val="21"/>
          <w:lang w:val="es-CO"/>
        </w:rPr>
        <w:t xml:space="preserve">“la explotación y concesión de bienes del Estado” </w:t>
      </w:r>
      <w:r w:rsidRPr="00C161FB">
        <w:rPr>
          <w:rFonts w:ascii="Geomanist Light" w:eastAsia="Calibri" w:hAnsi="Geomanist Light" w:cs="Arial"/>
          <w:sz w:val="21"/>
          <w:szCs w:val="21"/>
          <w:lang w:val="es-CO"/>
        </w:rPr>
        <w:t xml:space="preserve">y </w:t>
      </w:r>
      <w:r w:rsidRPr="00C161FB">
        <w:rPr>
          <w:rFonts w:ascii="Geomanist Light" w:eastAsia="Calibri" w:hAnsi="Geomanist Light" w:cs="Arial"/>
          <w:i/>
          <w:iCs/>
          <w:sz w:val="21"/>
          <w:szCs w:val="21"/>
          <w:lang w:val="es-CO"/>
        </w:rPr>
        <w:t>d) “en los contratos de obra”</w:t>
      </w:r>
      <w:r w:rsidRPr="00C161FB">
        <w:rPr>
          <w:rFonts w:ascii="Geomanist Light" w:eastAsia="Calibri" w:hAnsi="Geomanist Light" w:cs="Arial"/>
          <w:sz w:val="21"/>
          <w:szCs w:val="21"/>
          <w:lang w:val="es-CO"/>
        </w:rPr>
        <w:t xml:space="preserve">, en cuanto en todos ellos resulta imperativa la inclusión de la cláusula excepcional de terminación unilateral; así́ mismo podría aplicarse en aquellos </w:t>
      </w:r>
      <w:r w:rsidRPr="00C161FB">
        <w:rPr>
          <w:rFonts w:ascii="Geomanist Light" w:eastAsia="Calibri" w:hAnsi="Geomanist Light" w:cs="Arial"/>
          <w:i/>
          <w:iCs/>
          <w:sz w:val="21"/>
          <w:szCs w:val="21"/>
          <w:lang w:val="es-CO"/>
        </w:rPr>
        <w:t xml:space="preserve">f) “contratos de suministro” </w:t>
      </w:r>
      <w:r w:rsidRPr="00C161FB">
        <w:rPr>
          <w:rFonts w:ascii="Geomanist Light" w:eastAsia="Calibri" w:hAnsi="Geomanist Light" w:cs="Arial"/>
          <w:sz w:val="21"/>
          <w:szCs w:val="21"/>
          <w:lang w:val="es-CO"/>
        </w:rPr>
        <w:t xml:space="preserve">y </w:t>
      </w:r>
      <w:r w:rsidRPr="00C161FB">
        <w:rPr>
          <w:rFonts w:ascii="Geomanist Light" w:eastAsia="Calibri" w:hAnsi="Geomanist Light" w:cs="Arial"/>
          <w:i/>
          <w:iCs/>
          <w:sz w:val="21"/>
          <w:szCs w:val="21"/>
          <w:lang w:val="es-CO"/>
        </w:rPr>
        <w:t xml:space="preserve">g) </w:t>
      </w:r>
      <w:r w:rsidRPr="00C161FB">
        <w:rPr>
          <w:rFonts w:ascii="Geomanist Light" w:eastAsia="Calibri" w:hAnsi="Geomanist Light" w:cs="Arial"/>
          <w:sz w:val="21"/>
          <w:szCs w:val="21"/>
          <w:lang w:val="es-CO"/>
        </w:rPr>
        <w:t xml:space="preserve">contratos </w:t>
      </w:r>
      <w:r w:rsidRPr="00C161FB">
        <w:rPr>
          <w:rFonts w:ascii="Geomanist Light" w:eastAsia="Calibri" w:hAnsi="Geomanist Light" w:cs="Arial"/>
          <w:i/>
          <w:iCs/>
          <w:sz w:val="21"/>
          <w:szCs w:val="21"/>
          <w:lang w:val="es-CO"/>
        </w:rPr>
        <w:t xml:space="preserve">“de prestación de servicios”, </w:t>
      </w:r>
      <w:r w:rsidRPr="00C161FB">
        <w:rPr>
          <w:rFonts w:ascii="Geomanist Light" w:eastAsia="Calibri" w:hAnsi="Geomanist Light" w:cs="Arial"/>
          <w:sz w:val="21"/>
          <w:szCs w:val="21"/>
          <w:lang w:val="es-CO"/>
        </w:rPr>
        <w:t xml:space="preserve">en los cuales se hubiere incluido expresamente esa cláusula excepcional, comoquiera que en estos dos </w:t>
      </w:r>
      <w:r w:rsidRPr="00C161FB">
        <w:rPr>
          <w:rFonts w:ascii="Geomanist Light" w:eastAsia="Calibri" w:hAnsi="Geomanist Light" w:cs="Arial"/>
          <w:sz w:val="21"/>
          <w:szCs w:val="21"/>
          <w:lang w:val="es-CO"/>
        </w:rPr>
        <w:lastRenderedPageBreak/>
        <w:t xml:space="preserve">(2) últimos dicha estipulación resulta facultativa y, por tanto, se encuentra expresamente autorizada por la ley su inclusión. </w:t>
      </w:r>
    </w:p>
    <w:p w14:paraId="6468C691" w14:textId="77777777" w:rsidR="00C161FB" w:rsidRPr="00C161FB" w:rsidRDefault="00C161FB" w:rsidP="00C161FB">
      <w:pPr>
        <w:spacing w:after="0" w:line="240" w:lineRule="auto"/>
        <w:contextualSpacing/>
        <w:rPr>
          <w:rFonts w:ascii="Geomanist Light" w:eastAsia="Calibri" w:hAnsi="Geomanist Light" w:cs="Arial"/>
          <w:sz w:val="21"/>
          <w:szCs w:val="21"/>
          <w:lang w:val="es-CO"/>
        </w:rPr>
      </w:pPr>
    </w:p>
    <w:p w14:paraId="209A21A4" w14:textId="77777777" w:rsidR="004D67EF" w:rsidRPr="00C161FB" w:rsidRDefault="004D67EF" w:rsidP="004D67EF">
      <w:pPr>
        <w:spacing w:after="0" w:line="240" w:lineRule="auto"/>
        <w:contextualSpacing/>
        <w:rPr>
          <w:rFonts w:ascii="Geomanist Light" w:eastAsia="Calibri" w:hAnsi="Geomanist Light" w:cs="Arial"/>
          <w:sz w:val="21"/>
          <w:szCs w:val="21"/>
          <w:lang w:val="es-CO"/>
        </w:rPr>
      </w:pPr>
    </w:p>
    <w:p w14:paraId="29DEBCD3" w14:textId="7860473F" w:rsidR="004D67EF" w:rsidRPr="00C161FB" w:rsidRDefault="004D67EF" w:rsidP="004D67EF">
      <w:pPr>
        <w:spacing w:after="0" w:line="240" w:lineRule="auto"/>
        <w:contextualSpacing/>
        <w:rPr>
          <w:rFonts w:ascii="Geomanist Light" w:eastAsia="Calibri" w:hAnsi="Geomanist Light" w:cs="Arial"/>
          <w:b/>
          <w:bCs/>
          <w:sz w:val="21"/>
          <w:szCs w:val="21"/>
          <w:lang w:val="es-ES_tradnl"/>
        </w:rPr>
      </w:pPr>
      <w:r w:rsidRPr="00C161FB">
        <w:rPr>
          <w:rFonts w:ascii="Geomanist Light" w:eastAsia="Calibri" w:hAnsi="Geomanist Light" w:cs="Arial"/>
          <w:b/>
          <w:bCs/>
          <w:sz w:val="21"/>
          <w:szCs w:val="21"/>
          <w:lang w:val="es-ES_tradnl"/>
        </w:rPr>
        <w:t xml:space="preserve">MUERTE DEL CONTRATISTA – Causal de terminación unilateral del contrato </w:t>
      </w:r>
    </w:p>
    <w:p w14:paraId="725E568B" w14:textId="77777777" w:rsidR="004D67EF" w:rsidRPr="00C161FB" w:rsidRDefault="004D67EF" w:rsidP="00D10562">
      <w:pPr>
        <w:spacing w:after="0" w:line="240" w:lineRule="auto"/>
        <w:contextualSpacing/>
        <w:rPr>
          <w:rFonts w:ascii="Geomanist Light" w:eastAsia="Calibri" w:hAnsi="Geomanist Light" w:cs="Arial"/>
          <w:sz w:val="21"/>
          <w:szCs w:val="21"/>
          <w:lang w:val="es-ES_tradnl"/>
        </w:rPr>
      </w:pPr>
    </w:p>
    <w:p w14:paraId="77EDE9DE" w14:textId="0DACB828" w:rsidR="00C161FB" w:rsidRPr="00C161FB" w:rsidRDefault="00C161FB" w:rsidP="00C161FB">
      <w:pPr>
        <w:spacing w:after="0" w:line="240" w:lineRule="auto"/>
        <w:contextualSpacing/>
        <w:rPr>
          <w:rFonts w:ascii="Geomanist Light" w:eastAsia="Calibri" w:hAnsi="Geomanist Light" w:cs="Arial"/>
          <w:sz w:val="21"/>
          <w:szCs w:val="21"/>
          <w:lang w:val="es-CO"/>
        </w:rPr>
      </w:pPr>
      <w:r w:rsidRPr="00C161FB">
        <w:rPr>
          <w:rFonts w:ascii="Geomanist Light" w:eastAsia="Calibri" w:hAnsi="Geomanist Light" w:cs="Arial"/>
          <w:sz w:val="21"/>
          <w:szCs w:val="21"/>
          <w:lang w:val="es-CO"/>
        </w:rPr>
        <w:t xml:space="preserve">En relación con la causal de terminación unilateral consagrada en el numeral 2 del artículo 17 de la Ley 80 de 1993, para efectos de resolver la pregunta planteada, esta norma prevé como supuestos de hecho que ameritan la terminación unilateral y anticipada del contrato la «[…] muerte o incapacidad física permanente del contratista, si es persona natural, o por disolución de la persona jurídica del contratista». Esta causal se explica, tanto para la persona natural como para la persona jurídica, por la naturaleza </w:t>
      </w:r>
      <w:r w:rsidRPr="00C161FB">
        <w:rPr>
          <w:rFonts w:ascii="Geomanist Light" w:eastAsia="Calibri" w:hAnsi="Geomanist Light" w:cs="Arial"/>
          <w:i/>
          <w:iCs/>
          <w:sz w:val="21"/>
          <w:szCs w:val="21"/>
          <w:lang w:val="es-CO"/>
        </w:rPr>
        <w:t xml:space="preserve">intuito </w:t>
      </w:r>
      <w:proofErr w:type="spellStart"/>
      <w:r w:rsidRPr="00C161FB">
        <w:rPr>
          <w:rFonts w:ascii="Geomanist Light" w:eastAsia="Calibri" w:hAnsi="Geomanist Light" w:cs="Arial"/>
          <w:i/>
          <w:iCs/>
          <w:sz w:val="21"/>
          <w:szCs w:val="21"/>
          <w:lang w:val="es-CO"/>
        </w:rPr>
        <w:t>personae</w:t>
      </w:r>
      <w:proofErr w:type="spellEnd"/>
      <w:r w:rsidRPr="00C161FB">
        <w:rPr>
          <w:rFonts w:ascii="Geomanist Light" w:eastAsia="Calibri" w:hAnsi="Geomanist Light" w:cs="Arial"/>
          <w:sz w:val="21"/>
          <w:szCs w:val="21"/>
          <w:lang w:val="es-CO"/>
        </w:rPr>
        <w:t xml:space="preserve"> del contrato estatal, según lo previsto en el inciso tercero del artículo 41 de la Ley 80 de 1993. Por ello, la muerte o discapacidad permanente de la persona natural, así como la disolución de la persona jurídica, constituyen hechos que impiden que los sujetos que en virtud de sus calidades fueron escogidos para desarrollar el contrato puedan seguirlo haciendo, por lo que justifican la terminación del contrato, máxime aun considerando que tales calidades no se trasmiten a sus herederos o causahabientes.</w:t>
      </w:r>
    </w:p>
    <w:p w14:paraId="7D31DA6A" w14:textId="3621976C" w:rsidR="00C161FB" w:rsidRPr="00C161FB" w:rsidRDefault="00C161FB" w:rsidP="00C161FB">
      <w:pPr>
        <w:spacing w:after="0" w:line="240" w:lineRule="auto"/>
        <w:contextualSpacing/>
        <w:rPr>
          <w:rFonts w:ascii="Geomanist Light" w:eastAsia="Calibri" w:hAnsi="Geomanist Light" w:cs="Arial"/>
          <w:sz w:val="21"/>
          <w:szCs w:val="21"/>
          <w:lang w:val="es-ES_tradnl"/>
        </w:rPr>
      </w:pPr>
      <w:r w:rsidRPr="00C161FB">
        <w:rPr>
          <w:rFonts w:ascii="Geomanist Light" w:eastAsia="Calibri" w:hAnsi="Geomanist Light" w:cs="Arial"/>
          <w:sz w:val="21"/>
          <w:szCs w:val="21"/>
          <w:lang w:val="es-CO"/>
        </w:rPr>
        <w:t>Con todo, en aplicación del derecho civil, la muerte de una persona natural puede implicar la apertura de un proceso de sucesión, mediante el cual se transmiten todos los derechos y obligaciones que estaban a nombre del causante, es decir, si el causante tenía un contrato vigente al momento de fallecer, esta posición podría llegar a ser ocupada por sus herederos, si cumplen con las condiciones necesarias para ejecutar el contrato. Lo anterior ha sido reconocido por parte del Consejo de Estado, donde ha puesto de presente: «[…] 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C161FB">
        <w:rPr>
          <w:rFonts w:ascii="Geomanist Light" w:eastAsia="Calibri" w:hAnsi="Geomanist Light" w:cs="Arial"/>
          <w:sz w:val="21"/>
          <w:szCs w:val="21"/>
          <w:lang w:val="es-ES_tradnl"/>
        </w:rPr>
        <w:t>».</w:t>
      </w:r>
    </w:p>
    <w:p w14:paraId="7C94FC94" w14:textId="77777777" w:rsidR="00C161FB" w:rsidRPr="00C161FB" w:rsidRDefault="00C161FB" w:rsidP="00C161FB">
      <w:pPr>
        <w:spacing w:after="0" w:line="240" w:lineRule="auto"/>
        <w:contextualSpacing/>
        <w:rPr>
          <w:rFonts w:ascii="Geomanist Light" w:eastAsia="Calibri" w:hAnsi="Geomanist Light" w:cs="Arial"/>
          <w:sz w:val="21"/>
          <w:szCs w:val="21"/>
          <w:lang w:val="es-ES_tradnl"/>
        </w:rPr>
      </w:pPr>
      <w:r w:rsidRPr="00C161FB">
        <w:rPr>
          <w:rFonts w:ascii="Geomanist Light" w:eastAsia="Calibri" w:hAnsi="Geomanist Light" w:cs="Arial"/>
          <w:sz w:val="21"/>
          <w:szCs w:val="21"/>
          <w:lang w:val="es-CO"/>
        </w:rPr>
        <w:t>Además, sea para contratistas persona natural o persona jurídica, el inciso final del artículo 17 de la Ley 80 de 1993 dispone que «[…] en los casos a que se refieren los numerales 2o. y 3o. de este artículo podrá continuarse la ejecución con el garante de la obligación</w:t>
      </w:r>
      <w:r w:rsidRPr="00C161FB">
        <w:rPr>
          <w:rFonts w:ascii="Geomanist Light" w:eastAsia="Calibri" w:hAnsi="Geomanist Light" w:cs="Arial"/>
          <w:sz w:val="21"/>
          <w:szCs w:val="21"/>
          <w:lang w:val="es-ES_tradnl"/>
        </w:rPr>
        <w:t xml:space="preserve">». Es decir, si la persona natural muere o es declarada con incapacidad física permanente o si la persona jurídica se disuelve, la ejecución contractual puede continuar con el garante de la obligación.  </w:t>
      </w:r>
    </w:p>
    <w:p w14:paraId="7AAAC581" w14:textId="77777777" w:rsidR="00C161FB" w:rsidRPr="00C161FB" w:rsidRDefault="00C161FB" w:rsidP="00C161FB">
      <w:pPr>
        <w:spacing w:after="0" w:line="240" w:lineRule="auto"/>
        <w:contextualSpacing/>
        <w:rPr>
          <w:rFonts w:ascii="Geomanist Light" w:eastAsia="Calibri" w:hAnsi="Geomanist Light" w:cs="Arial"/>
          <w:sz w:val="22"/>
          <w:lang w:val="es-ES_tradnl"/>
        </w:rPr>
      </w:pPr>
    </w:p>
    <w:p w14:paraId="48F33F43" w14:textId="41BAC940" w:rsidR="004D67EF" w:rsidRDefault="004D67EF" w:rsidP="00D10562">
      <w:pPr>
        <w:spacing w:after="0" w:line="240" w:lineRule="auto"/>
        <w:contextualSpacing/>
        <w:rPr>
          <w:rFonts w:ascii="Geomanist Light" w:eastAsia="Calibri" w:hAnsi="Geomanist Light" w:cs="Arial"/>
          <w:sz w:val="22"/>
          <w:lang w:val="es-ES_tradnl"/>
        </w:rPr>
      </w:pPr>
    </w:p>
    <w:p w14:paraId="35C76CE0" w14:textId="3EA891EF" w:rsidR="00C161FB" w:rsidRDefault="00C161FB" w:rsidP="00D10562">
      <w:pPr>
        <w:spacing w:after="0" w:line="240" w:lineRule="auto"/>
        <w:contextualSpacing/>
        <w:rPr>
          <w:rFonts w:ascii="Geomanist Light" w:eastAsia="Calibri" w:hAnsi="Geomanist Light" w:cs="Arial"/>
          <w:sz w:val="22"/>
          <w:lang w:val="es-ES_tradnl"/>
        </w:rPr>
      </w:pPr>
    </w:p>
    <w:p w14:paraId="63F35F61" w14:textId="0A9EF91D" w:rsidR="00C161FB" w:rsidRDefault="00C161FB" w:rsidP="00D10562">
      <w:pPr>
        <w:spacing w:after="0" w:line="240" w:lineRule="auto"/>
        <w:contextualSpacing/>
        <w:rPr>
          <w:rFonts w:ascii="Geomanist Light" w:eastAsia="Calibri" w:hAnsi="Geomanist Light" w:cs="Arial"/>
          <w:sz w:val="22"/>
          <w:lang w:val="es-ES_tradnl"/>
        </w:rPr>
      </w:pPr>
    </w:p>
    <w:p w14:paraId="0FC77E18" w14:textId="733D06CD" w:rsidR="00C161FB" w:rsidRDefault="00C161FB" w:rsidP="00D10562">
      <w:pPr>
        <w:spacing w:after="0" w:line="240" w:lineRule="auto"/>
        <w:contextualSpacing/>
        <w:rPr>
          <w:rFonts w:ascii="Geomanist Light" w:eastAsia="Calibri" w:hAnsi="Geomanist Light" w:cs="Arial"/>
          <w:sz w:val="22"/>
          <w:lang w:val="es-ES_tradnl"/>
        </w:rPr>
      </w:pPr>
    </w:p>
    <w:p w14:paraId="073AED7F" w14:textId="7AB5E0E6" w:rsidR="00C161FB" w:rsidRDefault="00C161FB" w:rsidP="00D10562">
      <w:pPr>
        <w:spacing w:after="0" w:line="240" w:lineRule="auto"/>
        <w:contextualSpacing/>
        <w:rPr>
          <w:rFonts w:ascii="Geomanist Light" w:eastAsia="Calibri" w:hAnsi="Geomanist Light" w:cs="Arial"/>
          <w:sz w:val="22"/>
          <w:lang w:val="es-ES_tradnl"/>
        </w:rPr>
      </w:pPr>
    </w:p>
    <w:p w14:paraId="2E81C780" w14:textId="43CF3B5D" w:rsidR="00C161FB" w:rsidRDefault="00C161FB" w:rsidP="00D10562">
      <w:pPr>
        <w:spacing w:after="0" w:line="240" w:lineRule="auto"/>
        <w:contextualSpacing/>
        <w:rPr>
          <w:rFonts w:ascii="Geomanist Light" w:eastAsia="Calibri" w:hAnsi="Geomanist Light" w:cs="Arial"/>
          <w:sz w:val="22"/>
          <w:lang w:val="es-ES_tradnl"/>
        </w:rPr>
      </w:pPr>
    </w:p>
    <w:p w14:paraId="00252BAA" w14:textId="2D08DA2C" w:rsidR="00C161FB" w:rsidRDefault="00C161FB" w:rsidP="00D10562">
      <w:pPr>
        <w:spacing w:after="0" w:line="240" w:lineRule="auto"/>
        <w:contextualSpacing/>
        <w:rPr>
          <w:rFonts w:ascii="Geomanist Light" w:eastAsia="Calibri" w:hAnsi="Geomanist Light" w:cs="Arial"/>
          <w:sz w:val="22"/>
          <w:lang w:val="es-ES_tradnl"/>
        </w:rPr>
      </w:pPr>
    </w:p>
    <w:p w14:paraId="47A6936A" w14:textId="5C723208" w:rsidR="00C161FB" w:rsidRDefault="00C161FB" w:rsidP="00D10562">
      <w:pPr>
        <w:spacing w:after="0" w:line="240" w:lineRule="auto"/>
        <w:contextualSpacing/>
        <w:rPr>
          <w:rFonts w:ascii="Geomanist Light" w:eastAsia="Calibri" w:hAnsi="Geomanist Light" w:cs="Arial"/>
          <w:sz w:val="22"/>
          <w:lang w:val="es-ES_tradnl"/>
        </w:rPr>
      </w:pPr>
    </w:p>
    <w:p w14:paraId="23F645A8" w14:textId="39DB1553" w:rsidR="00C161FB" w:rsidRDefault="00C161FB" w:rsidP="00D10562">
      <w:pPr>
        <w:spacing w:after="0" w:line="240" w:lineRule="auto"/>
        <w:contextualSpacing/>
        <w:rPr>
          <w:rFonts w:ascii="Geomanist Light" w:eastAsia="Calibri" w:hAnsi="Geomanist Light" w:cs="Arial"/>
          <w:sz w:val="22"/>
          <w:lang w:val="es-ES_tradnl"/>
        </w:rPr>
      </w:pPr>
    </w:p>
    <w:p w14:paraId="24CDDC15" w14:textId="0880DDAF" w:rsidR="00C161FB" w:rsidRDefault="00C161FB" w:rsidP="00D10562">
      <w:pPr>
        <w:spacing w:after="0" w:line="240" w:lineRule="auto"/>
        <w:contextualSpacing/>
        <w:rPr>
          <w:rFonts w:ascii="Geomanist Light" w:eastAsia="Calibri" w:hAnsi="Geomanist Light" w:cs="Arial"/>
          <w:sz w:val="22"/>
          <w:lang w:val="es-ES_tradnl"/>
        </w:rPr>
      </w:pPr>
    </w:p>
    <w:p w14:paraId="52C54410" w14:textId="74D0EA35" w:rsidR="00C161FB" w:rsidRDefault="00C161FB" w:rsidP="00D10562">
      <w:pPr>
        <w:spacing w:after="0" w:line="240" w:lineRule="auto"/>
        <w:contextualSpacing/>
        <w:rPr>
          <w:rFonts w:ascii="Geomanist Light" w:eastAsia="Calibri" w:hAnsi="Geomanist Light" w:cs="Arial"/>
          <w:sz w:val="22"/>
          <w:lang w:val="es-ES_tradnl"/>
        </w:rPr>
      </w:pPr>
    </w:p>
    <w:p w14:paraId="0DB5EFA3" w14:textId="77777777" w:rsidR="00C161FB" w:rsidRPr="00C161FB" w:rsidRDefault="00C161FB" w:rsidP="00D10562">
      <w:pPr>
        <w:spacing w:after="0" w:line="240" w:lineRule="auto"/>
        <w:contextualSpacing/>
        <w:rPr>
          <w:rFonts w:ascii="Geomanist Light" w:eastAsia="Calibri" w:hAnsi="Geomanist Light" w:cs="Arial"/>
          <w:sz w:val="22"/>
          <w:lang w:val="es-ES_tradnl"/>
        </w:rPr>
      </w:pPr>
    </w:p>
    <w:p w14:paraId="37D2B7B7" w14:textId="77777777" w:rsidR="004D67EF" w:rsidRDefault="004D67EF" w:rsidP="00D10562">
      <w:pPr>
        <w:spacing w:after="0" w:line="240" w:lineRule="auto"/>
        <w:contextualSpacing/>
        <w:rPr>
          <w:rFonts w:ascii="Geomanist Light" w:eastAsia="Calibri" w:hAnsi="Geomanist Light" w:cs="Arial"/>
          <w:sz w:val="22"/>
          <w:lang w:val="es-CO"/>
        </w:rPr>
      </w:pPr>
    </w:p>
    <w:p w14:paraId="4E4A0A63" w14:textId="3B8FD175" w:rsidR="00135482" w:rsidRPr="00CB48C8" w:rsidRDefault="00C161FB" w:rsidP="00D10562">
      <w:pPr>
        <w:spacing w:after="0" w:line="240" w:lineRule="auto"/>
        <w:contextualSpacing/>
        <w:rPr>
          <w:rFonts w:ascii="Geomanist Light" w:eastAsia="Calibri" w:hAnsi="Geomanist Light" w:cs="Arial"/>
          <w:sz w:val="22"/>
          <w:lang w:val="es-CO"/>
        </w:rPr>
      </w:pPr>
      <w:r>
        <w:rPr>
          <w:rFonts w:ascii="Geomanist Light" w:eastAsia="Calibri" w:hAnsi="Geomanist Light" w:cs="Arial"/>
          <w:noProof/>
          <w:sz w:val="22"/>
          <w:lang w:val="es-CO"/>
        </w:rPr>
        <w:drawing>
          <wp:anchor distT="0" distB="0" distL="114300" distR="114300" simplePos="0" relativeHeight="251658240" behindDoc="0" locked="0" layoutInCell="1" allowOverlap="1" wp14:anchorId="3B0DC457" wp14:editId="50EBAC83">
            <wp:simplePos x="0" y="0"/>
            <wp:positionH relativeFrom="column">
              <wp:posOffset>2800203</wp:posOffset>
            </wp:positionH>
            <wp:positionV relativeFrom="paragraph">
              <wp:posOffset>-53877</wp:posOffset>
            </wp:positionV>
            <wp:extent cx="2806700" cy="75434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594" cy="772053"/>
                    </a:xfrm>
                    <a:prstGeom prst="rect">
                      <a:avLst/>
                    </a:prstGeom>
                  </pic:spPr>
                </pic:pic>
              </a:graphicData>
            </a:graphic>
            <wp14:sizeRelH relativeFrom="page">
              <wp14:pctWidth>0</wp14:pctWidth>
            </wp14:sizeRelH>
            <wp14:sizeRelV relativeFrom="page">
              <wp14:pctHeight>0</wp14:pctHeight>
            </wp14:sizeRelV>
          </wp:anchor>
        </w:drawing>
      </w:r>
      <w:r w:rsidR="00135482" w:rsidRPr="00CB48C8">
        <w:rPr>
          <w:rFonts w:ascii="Geomanist Light" w:eastAsia="Calibri" w:hAnsi="Geomanist Light" w:cs="Arial"/>
          <w:sz w:val="22"/>
          <w:lang w:val="es-CO"/>
        </w:rPr>
        <w:t>Bogotá D.C., 23 de noviembre de 2022</w:t>
      </w:r>
      <w:r w:rsidR="00ED5248" w:rsidRPr="00CB48C8">
        <w:rPr>
          <w:rFonts w:ascii="Geomanist Light" w:eastAsia="Calibri" w:hAnsi="Geomanist Light" w:cs="Arial"/>
          <w:sz w:val="22"/>
          <w:lang w:val="es-CO"/>
        </w:rPr>
        <w:t>.</w:t>
      </w:r>
    </w:p>
    <w:p w14:paraId="647B8CB7" w14:textId="221D04B3" w:rsidR="00135482" w:rsidRPr="00CB48C8" w:rsidRDefault="00135482" w:rsidP="00D10562">
      <w:pPr>
        <w:spacing w:after="0" w:line="240" w:lineRule="auto"/>
        <w:contextualSpacing/>
        <w:rPr>
          <w:rFonts w:ascii="Geomanist Light" w:eastAsia="Calibri" w:hAnsi="Geomanist Light" w:cs="Arial"/>
          <w:sz w:val="22"/>
          <w:lang w:val="es-CO"/>
        </w:rPr>
      </w:pPr>
      <w:r w:rsidRPr="00CB48C8">
        <w:rPr>
          <w:rFonts w:ascii="Geomanist Light" w:eastAsia="Calibri" w:hAnsi="Geomanist Light" w:cs="Arial"/>
          <w:sz w:val="22"/>
          <w:lang w:val="es-CO"/>
        </w:rPr>
        <w:t xml:space="preserve"> </w:t>
      </w:r>
    </w:p>
    <w:p w14:paraId="30272419" w14:textId="5548CA09" w:rsidR="00D10562" w:rsidRPr="00CB48C8" w:rsidRDefault="00D10562" w:rsidP="00D10562">
      <w:pPr>
        <w:spacing w:after="0" w:line="240" w:lineRule="auto"/>
        <w:contextualSpacing/>
        <w:rPr>
          <w:rFonts w:ascii="Geomanist Light" w:eastAsia="Calibri" w:hAnsi="Geomanist Light" w:cs="Arial"/>
          <w:sz w:val="22"/>
          <w:lang w:val="es-CO"/>
        </w:rPr>
      </w:pPr>
      <w:r w:rsidRPr="00CB48C8">
        <w:rPr>
          <w:rFonts w:ascii="Geomanist Light" w:eastAsia="Calibri" w:hAnsi="Geomanist Light" w:cs="Arial"/>
          <w:sz w:val="22"/>
          <w:lang w:val="es-CO"/>
        </w:rPr>
        <w:t>Señor</w:t>
      </w:r>
    </w:p>
    <w:p w14:paraId="68A08EA6" w14:textId="7C517198" w:rsidR="00D10562" w:rsidRPr="00CB48C8" w:rsidRDefault="00D10562" w:rsidP="00D10562">
      <w:pPr>
        <w:spacing w:after="0" w:line="240" w:lineRule="auto"/>
        <w:contextualSpacing/>
        <w:rPr>
          <w:rFonts w:ascii="Geomanist Light" w:eastAsia="Calibri" w:hAnsi="Geomanist Light" w:cs="Arial"/>
          <w:b/>
          <w:bCs/>
          <w:sz w:val="22"/>
          <w:lang w:val="es-CO"/>
        </w:rPr>
      </w:pPr>
      <w:r w:rsidRPr="00CB48C8">
        <w:rPr>
          <w:rFonts w:ascii="Geomanist Light" w:eastAsia="Calibri" w:hAnsi="Geomanist Light" w:cs="Arial"/>
          <w:b/>
          <w:bCs/>
          <w:sz w:val="22"/>
          <w:lang w:val="es-CO"/>
        </w:rPr>
        <w:t>Meyer Alexander Forero Silva</w:t>
      </w:r>
    </w:p>
    <w:p w14:paraId="349B7258" w14:textId="5AFD2C9B" w:rsidR="00D10562" w:rsidRPr="00CB48C8" w:rsidRDefault="00D10562" w:rsidP="00D10562">
      <w:pPr>
        <w:spacing w:after="0" w:line="240" w:lineRule="auto"/>
        <w:contextualSpacing/>
        <w:rPr>
          <w:rFonts w:ascii="Geomanist Light" w:eastAsia="Calibri" w:hAnsi="Geomanist Light" w:cs="Arial"/>
          <w:sz w:val="22"/>
          <w:lang w:val="es-CO"/>
        </w:rPr>
      </w:pPr>
      <w:r w:rsidRPr="00CB48C8">
        <w:rPr>
          <w:rFonts w:ascii="Geomanist Light" w:eastAsia="Calibri" w:hAnsi="Geomanist Light" w:cs="Arial"/>
          <w:sz w:val="22"/>
          <w:lang w:val="es-CO"/>
        </w:rPr>
        <w:t xml:space="preserve">Bogotá D.C. </w:t>
      </w:r>
    </w:p>
    <w:p w14:paraId="4A7E6A5E" w14:textId="77777777" w:rsidR="00D10562" w:rsidRPr="00CB48C8" w:rsidRDefault="00D10562" w:rsidP="00D10562">
      <w:pPr>
        <w:spacing w:after="0" w:line="240" w:lineRule="auto"/>
        <w:contextualSpacing/>
        <w:rPr>
          <w:rFonts w:ascii="Geomanist Light" w:eastAsia="Calibri" w:hAnsi="Geomanist Light" w:cs="Arial"/>
          <w:sz w:val="22"/>
          <w:lang w:val="es-CO"/>
        </w:rPr>
      </w:pPr>
    </w:p>
    <w:p w14:paraId="6EC36E2A" w14:textId="1F33D80A" w:rsidR="00D10562" w:rsidRPr="00CB48C8" w:rsidRDefault="00D10562" w:rsidP="00D10562">
      <w:pPr>
        <w:spacing w:after="0" w:line="240" w:lineRule="auto"/>
        <w:contextualSpacing/>
        <w:rPr>
          <w:rFonts w:ascii="Geomanist Light" w:hAnsi="Geomanist Light" w:cs="Arial"/>
          <w:sz w:val="22"/>
          <w:lang w:val="es-CO"/>
        </w:rPr>
      </w:pPr>
      <w:r w:rsidRPr="00CB48C8">
        <w:rPr>
          <w:rFonts w:ascii="Geomanist Light" w:eastAsia="Calibri" w:hAnsi="Geomanist Light" w:cs="Arial"/>
          <w:sz w:val="22"/>
          <w:lang w:val="es-CO"/>
        </w:rPr>
        <w:t xml:space="preserve">                      </w:t>
      </w:r>
      <w:r w:rsidRPr="00CB48C8">
        <w:rPr>
          <w:rFonts w:ascii="Geomanist Light" w:eastAsia="Calibri" w:hAnsi="Geomanist Light" w:cs="Arial"/>
          <w:sz w:val="22"/>
          <w:lang w:val="es-CO"/>
        </w:rPr>
        <w:tab/>
      </w:r>
      <w:r w:rsidRPr="00CB48C8">
        <w:rPr>
          <w:rFonts w:ascii="Geomanist Light" w:eastAsia="Calibri" w:hAnsi="Geomanist Light" w:cs="Arial"/>
          <w:sz w:val="22"/>
          <w:lang w:val="es-CO"/>
        </w:rPr>
        <w:tab/>
      </w:r>
      <w:r w:rsidRPr="00CB48C8">
        <w:rPr>
          <w:rFonts w:ascii="Geomanist Light" w:eastAsia="Calibri" w:hAnsi="Geomanist Light" w:cs="Arial"/>
          <w:sz w:val="22"/>
          <w:lang w:val="es-CO"/>
        </w:rPr>
        <w:tab/>
      </w:r>
      <w:r w:rsidRPr="00CB48C8">
        <w:rPr>
          <w:rFonts w:ascii="Geomanist Light" w:eastAsia="Calibri" w:hAnsi="Geomanist Light" w:cs="Arial"/>
          <w:b/>
          <w:sz w:val="22"/>
          <w:lang w:val="es-CO"/>
        </w:rPr>
        <w:t>Concepto C – 805 de 2022</w:t>
      </w:r>
      <w:r w:rsidRPr="00CB48C8">
        <w:rPr>
          <w:rFonts w:ascii="Geomanist Light" w:hAnsi="Geomanist Light" w:cs="Arial"/>
          <w:sz w:val="22"/>
          <w:lang w:val="es-CO"/>
        </w:rPr>
        <w:t xml:space="preserve"> </w:t>
      </w:r>
    </w:p>
    <w:p w14:paraId="5A662F2D" w14:textId="77777777" w:rsidR="00D10562" w:rsidRPr="00CB48C8" w:rsidRDefault="00D10562" w:rsidP="00D10562">
      <w:pPr>
        <w:spacing w:after="0" w:line="240" w:lineRule="auto"/>
        <w:contextualSpacing/>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0562" w:rsidRPr="00CB48C8" w14:paraId="3DE54434" w14:textId="77777777" w:rsidTr="00921DDD">
        <w:trPr>
          <w:trHeight w:val="485"/>
        </w:trPr>
        <w:tc>
          <w:tcPr>
            <w:tcW w:w="2689" w:type="dxa"/>
            <w:hideMark/>
          </w:tcPr>
          <w:p w14:paraId="1D2CBD2C" w14:textId="77777777" w:rsidR="00D10562" w:rsidRPr="00CB48C8" w:rsidRDefault="00D10562" w:rsidP="00921DDD">
            <w:pPr>
              <w:spacing w:after="0" w:line="240" w:lineRule="auto"/>
              <w:contextualSpacing/>
              <w:rPr>
                <w:rFonts w:ascii="Geomanist Light" w:eastAsia="Calibri" w:hAnsi="Geomanist Light" w:cs="Arial"/>
                <w:noProof/>
                <w:lang w:val="es-ES_tradnl"/>
              </w:rPr>
            </w:pPr>
            <w:r w:rsidRPr="00CB48C8">
              <w:rPr>
                <w:rFonts w:ascii="Geomanist Light" w:eastAsia="Calibri" w:hAnsi="Geomanist Light" w:cs="Arial"/>
                <w:b/>
                <w:noProof/>
                <w:lang w:val="es-ES_tradnl"/>
              </w:rPr>
              <w:t>Temas:</w:t>
            </w:r>
            <w:r w:rsidRPr="00CB48C8">
              <w:rPr>
                <w:rFonts w:ascii="Geomanist Light" w:eastAsia="Calibri" w:hAnsi="Geomanist Light" w:cs="Arial"/>
                <w:noProof/>
                <w:lang w:val="es-ES_tradnl"/>
              </w:rPr>
              <w:t xml:space="preserve">    </w:t>
            </w:r>
          </w:p>
        </w:tc>
        <w:tc>
          <w:tcPr>
            <w:tcW w:w="6237" w:type="dxa"/>
            <w:hideMark/>
          </w:tcPr>
          <w:p w14:paraId="5220CBC7" w14:textId="49D4D299" w:rsidR="00D10562" w:rsidRPr="00CB48C8" w:rsidRDefault="00D10562" w:rsidP="00921DDD">
            <w:pPr>
              <w:spacing w:after="0" w:line="240" w:lineRule="auto"/>
              <w:ind w:right="703"/>
              <w:contextualSpacing/>
              <w:rPr>
                <w:rFonts w:ascii="Geomanist Light" w:eastAsia="Calibri" w:hAnsi="Geomanist Light" w:cs="Arial"/>
                <w:lang w:val="es-ES_tradnl"/>
              </w:rPr>
            </w:pPr>
            <w:r w:rsidRPr="00CB48C8">
              <w:rPr>
                <w:rFonts w:ascii="Geomanist Light" w:eastAsia="Calibri" w:hAnsi="Geomanist Light" w:cs="Arial"/>
                <w:lang w:val="es-ES_tradnl"/>
              </w:rPr>
              <w:t xml:space="preserve">TERMINACIÓN UNILATERAL – Cláusula </w:t>
            </w:r>
            <w:r w:rsidRPr="00CB48C8">
              <w:rPr>
                <w:rFonts w:ascii="Geomanist Light" w:eastAsia="Calibri" w:hAnsi="Geomanist Light" w:cs="Arial"/>
                <w:lang w:val="es-CO"/>
              </w:rPr>
              <w:t xml:space="preserve">excepcional – Finalidad / </w:t>
            </w:r>
            <w:r w:rsidRPr="00CB48C8">
              <w:rPr>
                <w:rFonts w:ascii="Geomanist Light" w:eastAsia="Calibri" w:hAnsi="Geomanist Light" w:cs="Arial"/>
                <w:lang w:val="es-ES_tradnl"/>
              </w:rPr>
              <w:t xml:space="preserve">MUERTE DEL CONTRATISTA – Causal de terminación unilateral del contrato </w:t>
            </w:r>
          </w:p>
          <w:p w14:paraId="04A026EE" w14:textId="77777777" w:rsidR="00135482" w:rsidRPr="00CB48C8" w:rsidRDefault="00135482" w:rsidP="00921DDD">
            <w:pPr>
              <w:spacing w:after="0" w:line="240" w:lineRule="auto"/>
              <w:ind w:right="703"/>
              <w:contextualSpacing/>
              <w:rPr>
                <w:rFonts w:ascii="Geomanist Light" w:eastAsia="Calibri" w:hAnsi="Geomanist Light" w:cs="Arial"/>
                <w:lang w:val="es-ES_tradnl"/>
              </w:rPr>
            </w:pPr>
          </w:p>
          <w:p w14:paraId="431CAB52" w14:textId="4F42D637" w:rsidR="00D10562" w:rsidRPr="00CB48C8" w:rsidRDefault="00D10562" w:rsidP="00921DDD">
            <w:pPr>
              <w:spacing w:after="0" w:line="240" w:lineRule="auto"/>
              <w:ind w:right="703"/>
              <w:contextualSpacing/>
              <w:rPr>
                <w:rFonts w:ascii="Geomanist Light" w:eastAsia="Calibri" w:hAnsi="Geomanist Light" w:cs="Arial"/>
                <w:bCs/>
              </w:rPr>
            </w:pPr>
          </w:p>
        </w:tc>
      </w:tr>
      <w:tr w:rsidR="00D10562" w:rsidRPr="00CB48C8" w14:paraId="2E2025E4" w14:textId="77777777" w:rsidTr="00921DDD">
        <w:tc>
          <w:tcPr>
            <w:tcW w:w="2689" w:type="dxa"/>
          </w:tcPr>
          <w:p w14:paraId="1F764972" w14:textId="5DBE74F4" w:rsidR="00D10562" w:rsidRPr="00CB48C8" w:rsidRDefault="00D10562" w:rsidP="00921DDD">
            <w:pPr>
              <w:spacing w:after="0" w:line="240" w:lineRule="auto"/>
              <w:contextualSpacing/>
              <w:rPr>
                <w:rFonts w:ascii="Geomanist Light" w:eastAsia="Calibri" w:hAnsi="Geomanist Light" w:cs="Arial"/>
                <w:b/>
                <w:noProof/>
                <w:lang w:val="es-ES_tradnl"/>
              </w:rPr>
            </w:pPr>
            <w:r w:rsidRPr="00CB48C8">
              <w:rPr>
                <w:rFonts w:ascii="Geomanist Light" w:eastAsia="Calibri" w:hAnsi="Geomanist Light" w:cs="Arial"/>
                <w:b/>
                <w:noProof/>
                <w:lang w:val="es-ES_tradnl"/>
              </w:rPr>
              <w:t>Radicación:</w:t>
            </w:r>
            <w:r w:rsidRPr="00CB48C8">
              <w:rPr>
                <w:rFonts w:ascii="Geomanist Light" w:eastAsia="Calibri" w:hAnsi="Geomanist Light" w:cs="Arial"/>
                <w:noProof/>
                <w:lang w:val="es-ES_tradnl"/>
              </w:rPr>
              <w:t xml:space="preserve">               </w:t>
            </w:r>
          </w:p>
        </w:tc>
        <w:tc>
          <w:tcPr>
            <w:tcW w:w="6237" w:type="dxa"/>
          </w:tcPr>
          <w:p w14:paraId="63AAE500" w14:textId="74111449" w:rsidR="00D10562" w:rsidRPr="00CB48C8" w:rsidRDefault="00D10562" w:rsidP="00CB48C8">
            <w:pPr>
              <w:spacing w:after="0" w:line="240" w:lineRule="auto"/>
              <w:contextualSpacing/>
              <w:rPr>
                <w:rFonts w:ascii="Geomanist Light" w:eastAsia="Calibri" w:hAnsi="Geomanist Light" w:cs="Arial"/>
                <w:noProof/>
                <w:lang w:val="es-ES_tradnl"/>
              </w:rPr>
            </w:pPr>
            <w:r w:rsidRPr="00CB48C8">
              <w:rPr>
                <w:rFonts w:ascii="Geomanist Light" w:eastAsia="Calibri" w:hAnsi="Geomanist Light" w:cs="Arial"/>
                <w:noProof/>
                <w:lang w:val="es-ES_tradnl"/>
              </w:rPr>
              <w:t xml:space="preserve">Respuesta a consulta </w:t>
            </w:r>
            <w:r w:rsidR="00CB48C8">
              <w:rPr>
                <w:rFonts w:ascii="Geomanist Light" w:eastAsia="Calibri" w:hAnsi="Geomanist Light" w:cs="Arial"/>
                <w:noProof/>
                <w:lang w:val="es-ES_tradnl"/>
              </w:rPr>
              <w:t xml:space="preserve">con radicado </w:t>
            </w:r>
            <w:r w:rsidRPr="00CB48C8">
              <w:rPr>
                <w:rFonts w:ascii="Geomanist Light" w:eastAsia="Calibri" w:hAnsi="Geomanist Light" w:cs="Arial"/>
                <w:noProof/>
                <w:lang w:val="es-ES_tradnl"/>
              </w:rPr>
              <w:t>P20221011010227</w:t>
            </w:r>
          </w:p>
        </w:tc>
      </w:tr>
    </w:tbl>
    <w:p w14:paraId="225A5D18" w14:textId="77777777" w:rsidR="00D10562" w:rsidRPr="003C281F" w:rsidRDefault="00D10562" w:rsidP="00D10562">
      <w:pPr>
        <w:spacing w:after="0"/>
        <w:contextualSpacing/>
        <w:rPr>
          <w:rFonts w:ascii="Geomanist Light" w:eastAsia="Calibri" w:hAnsi="Geomanist Light" w:cs="Arial"/>
          <w:sz w:val="22"/>
          <w:lang w:val="es-CO"/>
        </w:rPr>
      </w:pPr>
    </w:p>
    <w:p w14:paraId="52F958D9" w14:textId="77777777" w:rsidR="00CB48C8" w:rsidRDefault="00CB48C8" w:rsidP="00D10562">
      <w:pPr>
        <w:spacing w:after="0"/>
        <w:contextualSpacing/>
        <w:rPr>
          <w:rFonts w:ascii="Geomanist Light" w:eastAsia="Calibri" w:hAnsi="Geomanist Light" w:cs="Arial"/>
          <w:sz w:val="22"/>
          <w:lang w:val="es-CO"/>
        </w:rPr>
      </w:pPr>
    </w:p>
    <w:p w14:paraId="7FB21D35" w14:textId="12D6BC0F" w:rsidR="00D10562" w:rsidRPr="003C281F" w:rsidRDefault="00D10562" w:rsidP="00D10562">
      <w:pPr>
        <w:spacing w:after="0"/>
        <w:contextualSpacing/>
        <w:rPr>
          <w:rFonts w:ascii="Geomanist Light" w:eastAsia="Calibri" w:hAnsi="Geomanist Light" w:cs="Arial"/>
          <w:sz w:val="22"/>
          <w:lang w:val="es-CO"/>
        </w:rPr>
      </w:pPr>
      <w:r w:rsidRPr="003C281F">
        <w:rPr>
          <w:rFonts w:ascii="Geomanist Light" w:eastAsia="Calibri" w:hAnsi="Geomanist Light" w:cs="Arial"/>
          <w:sz w:val="22"/>
          <w:lang w:val="es-CO"/>
        </w:rPr>
        <w:t>Estimad</w:t>
      </w:r>
      <w:r>
        <w:rPr>
          <w:rFonts w:ascii="Geomanist Light" w:eastAsia="Calibri" w:hAnsi="Geomanist Light" w:cs="Arial"/>
          <w:sz w:val="22"/>
          <w:lang w:val="es-CO"/>
        </w:rPr>
        <w:t>o</w:t>
      </w:r>
      <w:r w:rsidRPr="003C281F">
        <w:rPr>
          <w:rFonts w:ascii="Geomanist Light" w:eastAsia="Calibri" w:hAnsi="Geomanist Light" w:cs="Arial"/>
          <w:sz w:val="22"/>
          <w:lang w:val="es-CO"/>
        </w:rPr>
        <w:t xml:space="preserve"> Señor </w:t>
      </w:r>
      <w:r>
        <w:rPr>
          <w:rFonts w:ascii="Geomanist Light" w:eastAsia="Calibri" w:hAnsi="Geomanist Light" w:cs="Arial"/>
          <w:sz w:val="22"/>
          <w:lang w:val="es-CO"/>
        </w:rPr>
        <w:t>Forero</w:t>
      </w:r>
      <w:r w:rsidRPr="003C281F">
        <w:rPr>
          <w:rFonts w:ascii="Geomanist Light" w:eastAsia="Calibri" w:hAnsi="Geomanist Light" w:cs="Arial"/>
          <w:sz w:val="22"/>
          <w:lang w:val="es-CO"/>
        </w:rPr>
        <w:t xml:space="preserve">: </w:t>
      </w:r>
    </w:p>
    <w:p w14:paraId="6F1782FF" w14:textId="77777777" w:rsidR="00D10562" w:rsidRPr="003C281F" w:rsidRDefault="00D10562" w:rsidP="00D10562">
      <w:pPr>
        <w:spacing w:after="0"/>
        <w:ind w:firstLine="709"/>
        <w:contextualSpacing/>
        <w:rPr>
          <w:rFonts w:ascii="Geomanist Light" w:eastAsia="Calibri" w:hAnsi="Geomanist Light" w:cs="Arial"/>
          <w:sz w:val="22"/>
          <w:lang w:val="es-CO"/>
        </w:rPr>
      </w:pPr>
    </w:p>
    <w:p w14:paraId="26551B38" w14:textId="6E998A82" w:rsidR="00D10562" w:rsidRDefault="00D10562" w:rsidP="00D10562">
      <w:pPr>
        <w:spacing w:after="0"/>
        <w:ind w:right="51"/>
        <w:contextualSpacing/>
        <w:rPr>
          <w:rFonts w:ascii="Geomanist Light" w:eastAsia="Calibri" w:hAnsi="Geomanist Light" w:cs="Arial"/>
          <w:sz w:val="22"/>
          <w:lang w:val="es-CO"/>
        </w:rPr>
      </w:pPr>
      <w:r w:rsidRPr="003C281F">
        <w:rPr>
          <w:rFonts w:ascii="Geomanist Light" w:eastAsia="Calibri" w:hAnsi="Geomanist Light"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Pr>
          <w:rFonts w:ascii="Geomanist Light" w:eastAsia="Calibri" w:hAnsi="Geomanist Light" w:cs="Arial"/>
          <w:sz w:val="22"/>
          <w:lang w:val="es-CO"/>
        </w:rPr>
        <w:t>10</w:t>
      </w:r>
      <w:r w:rsidRPr="003C281F">
        <w:rPr>
          <w:rFonts w:ascii="Geomanist Light" w:eastAsia="Calibri" w:hAnsi="Geomanist Light" w:cs="Arial"/>
          <w:sz w:val="22"/>
          <w:lang w:val="es-CO"/>
        </w:rPr>
        <w:t xml:space="preserve"> de </w:t>
      </w:r>
      <w:r>
        <w:rPr>
          <w:rFonts w:ascii="Geomanist Light" w:eastAsia="Calibri" w:hAnsi="Geomanist Light" w:cs="Arial"/>
          <w:sz w:val="22"/>
          <w:lang w:val="es-CO"/>
        </w:rPr>
        <w:t>octubre</w:t>
      </w:r>
      <w:r w:rsidRPr="003C281F">
        <w:rPr>
          <w:rFonts w:ascii="Geomanist Light" w:eastAsia="Calibri" w:hAnsi="Geomanist Light" w:cs="Arial"/>
          <w:sz w:val="22"/>
          <w:lang w:val="es-CO"/>
        </w:rPr>
        <w:t xml:space="preserve"> de 2022. </w:t>
      </w:r>
    </w:p>
    <w:p w14:paraId="7F2E8D59" w14:textId="77777777" w:rsidR="002E3EE6" w:rsidRPr="003C281F" w:rsidRDefault="002E3EE6" w:rsidP="00D10562">
      <w:pPr>
        <w:spacing w:after="0"/>
        <w:ind w:right="51"/>
        <w:contextualSpacing/>
        <w:rPr>
          <w:rFonts w:ascii="Geomanist Light" w:eastAsia="Calibri" w:hAnsi="Geomanist Light" w:cs="Arial"/>
          <w:sz w:val="22"/>
          <w:lang w:val="es-CO"/>
        </w:rPr>
      </w:pPr>
    </w:p>
    <w:p w14:paraId="567A89AF" w14:textId="6F8863D9" w:rsidR="002E3EE6" w:rsidRPr="002E3EE6" w:rsidRDefault="00D10562" w:rsidP="002E3EE6">
      <w:pPr>
        <w:pStyle w:val="Prrafodelista"/>
        <w:numPr>
          <w:ilvl w:val="0"/>
          <w:numId w:val="1"/>
        </w:numPr>
        <w:tabs>
          <w:tab w:val="left" w:pos="284"/>
        </w:tabs>
        <w:spacing w:line="276" w:lineRule="auto"/>
        <w:ind w:left="426"/>
        <w:rPr>
          <w:rFonts w:ascii="Geomanist Light" w:eastAsia="Calibri" w:hAnsi="Geomanist Light" w:cs="Arial"/>
          <w:b/>
          <w:sz w:val="22"/>
          <w:szCs w:val="22"/>
        </w:rPr>
      </w:pPr>
      <w:r w:rsidRPr="003C281F">
        <w:rPr>
          <w:rFonts w:ascii="Geomanist Light" w:eastAsia="Calibri" w:hAnsi="Geomanist Light" w:cs="Arial"/>
          <w:b/>
          <w:sz w:val="22"/>
          <w:szCs w:val="22"/>
        </w:rPr>
        <w:t xml:space="preserve">Problema planteado </w:t>
      </w:r>
      <w:r w:rsidR="002E3EE6">
        <w:rPr>
          <w:rFonts w:ascii="Geomanist Light" w:eastAsia="Calibri" w:hAnsi="Geomanist Light" w:cs="Arial"/>
          <w:b/>
          <w:sz w:val="22"/>
          <w:szCs w:val="22"/>
        </w:rPr>
        <w:br/>
      </w:r>
    </w:p>
    <w:p w14:paraId="1A499C1F" w14:textId="77777777" w:rsidR="00D10562" w:rsidRDefault="00D10562" w:rsidP="00D10562">
      <w:pPr>
        <w:spacing w:after="0"/>
        <w:rPr>
          <w:rFonts w:ascii="Geomanist Light" w:hAnsi="Geomanist Light" w:cs="Arial"/>
          <w:color w:val="000000" w:themeColor="text1"/>
          <w:sz w:val="22"/>
          <w:lang w:val="es-ES_tradnl"/>
        </w:rPr>
      </w:pPr>
      <w:bookmarkStart w:id="1" w:name="_Hlk103091300"/>
      <w:r w:rsidRPr="003C281F">
        <w:rPr>
          <w:rFonts w:ascii="Geomanist Light" w:eastAsia="Times New Roman" w:hAnsi="Geomanist Light" w:cs="Arial"/>
          <w:sz w:val="22"/>
          <w:lang w:val="es-CO" w:eastAsia="es-CO"/>
        </w:rPr>
        <w:t>Usted formula la siguiente consulta:</w:t>
      </w:r>
      <w:bookmarkStart w:id="2" w:name="_Hlk78966613"/>
      <w:bookmarkStart w:id="3" w:name="_Hlk100226189"/>
      <w:bookmarkEnd w:id="1"/>
      <w:r w:rsidRPr="003C281F">
        <w:rPr>
          <w:rFonts w:ascii="Geomanist Light" w:hAnsi="Geomanist Light" w:cs="Arial"/>
          <w:color w:val="000000" w:themeColor="text1"/>
          <w:sz w:val="22"/>
          <w:lang w:val="es-ES_tradnl"/>
        </w:rPr>
        <w:t xml:space="preserve"> </w:t>
      </w:r>
    </w:p>
    <w:p w14:paraId="14F709C3" w14:textId="77777777" w:rsidR="00D10562" w:rsidRDefault="00D10562" w:rsidP="00D10562">
      <w:pPr>
        <w:spacing w:after="0" w:line="240" w:lineRule="auto"/>
        <w:rPr>
          <w:rFonts w:ascii="Geomanist Light" w:hAnsi="Geomanist Light" w:cs="Arial"/>
          <w:color w:val="000000" w:themeColor="text1"/>
          <w:sz w:val="22"/>
          <w:lang w:val="es-ES_tradnl"/>
        </w:rPr>
      </w:pPr>
    </w:p>
    <w:bookmarkEnd w:id="2"/>
    <w:bookmarkEnd w:id="3"/>
    <w:p w14:paraId="44769E24" w14:textId="175C3F45" w:rsidR="00D10562" w:rsidRPr="00D10562" w:rsidRDefault="00D10562" w:rsidP="00D10562">
      <w:pPr>
        <w:spacing w:after="0" w:line="240" w:lineRule="auto"/>
        <w:ind w:left="708" w:right="709"/>
        <w:rPr>
          <w:rFonts w:ascii="Geomanist Light" w:hAnsi="Geomanist Light" w:cs="Arial"/>
          <w:color w:val="000000" w:themeColor="text1"/>
          <w:sz w:val="20"/>
          <w:szCs w:val="21"/>
          <w:lang w:val="es-CO"/>
        </w:rPr>
      </w:pPr>
      <w:proofErr w:type="gramStart"/>
      <w:r w:rsidRPr="00031146">
        <w:rPr>
          <w:rFonts w:ascii="Geomanist Light" w:hAnsi="Geomanist Light" w:cs="Arial"/>
          <w:color w:val="000000" w:themeColor="text1"/>
          <w:sz w:val="20"/>
          <w:szCs w:val="21"/>
          <w:lang w:val="es-CO"/>
        </w:rPr>
        <w:t>«</w:t>
      </w:r>
      <w:r w:rsidRPr="00D10562">
        <w:t xml:space="preserve"> </w:t>
      </w:r>
      <w:r w:rsidRPr="00D10562">
        <w:rPr>
          <w:rFonts w:ascii="Geomanist Light" w:hAnsi="Geomanist Light" w:cs="Arial"/>
          <w:color w:val="000000" w:themeColor="text1"/>
          <w:sz w:val="20"/>
          <w:szCs w:val="21"/>
          <w:lang w:val="es-CO"/>
        </w:rPr>
        <w:t>1</w:t>
      </w:r>
      <w:proofErr w:type="gramEnd"/>
      <w:r w:rsidRPr="00D10562">
        <w:rPr>
          <w:rFonts w:ascii="Geomanist Light" w:hAnsi="Geomanist Light" w:cs="Arial"/>
          <w:color w:val="000000" w:themeColor="text1"/>
          <w:sz w:val="20"/>
          <w:szCs w:val="21"/>
          <w:lang w:val="es-CO"/>
        </w:rPr>
        <w:t>. Como se debe realizar el pago de los honorarios a un contratista (Contrato de prestación de servicios profesionales) que falleció, cuando existen saldos a favor.</w:t>
      </w:r>
    </w:p>
    <w:p w14:paraId="159DB1E2" w14:textId="77777777" w:rsidR="00D10562" w:rsidRPr="00D10562" w:rsidRDefault="00D10562" w:rsidP="00D10562">
      <w:pPr>
        <w:spacing w:after="0" w:line="240" w:lineRule="auto"/>
        <w:ind w:left="708" w:right="709"/>
        <w:rPr>
          <w:rFonts w:ascii="Geomanist Light" w:hAnsi="Geomanist Light" w:cs="Arial"/>
          <w:color w:val="000000" w:themeColor="text1"/>
          <w:sz w:val="20"/>
          <w:szCs w:val="21"/>
          <w:lang w:val="es-CO"/>
        </w:rPr>
      </w:pPr>
      <w:r w:rsidRPr="00D10562">
        <w:rPr>
          <w:rFonts w:ascii="Geomanist Light" w:hAnsi="Geomanist Light" w:cs="Arial"/>
          <w:color w:val="000000" w:themeColor="text1"/>
          <w:sz w:val="20"/>
          <w:szCs w:val="21"/>
          <w:lang w:val="es-CO"/>
        </w:rPr>
        <w:t>2. La entidad debe realizar el descuento a seguridad social?</w:t>
      </w:r>
    </w:p>
    <w:p w14:paraId="0B1F95BA" w14:textId="13637D36" w:rsidR="00D10562" w:rsidRPr="00F51D1B" w:rsidRDefault="00D10562" w:rsidP="00F51D1B">
      <w:pPr>
        <w:spacing w:after="0" w:line="240" w:lineRule="auto"/>
        <w:ind w:left="708" w:right="709"/>
        <w:rPr>
          <w:rFonts w:ascii="Geomanist Light" w:hAnsi="Geomanist Light" w:cs="Arial"/>
          <w:color w:val="000000" w:themeColor="text1"/>
          <w:sz w:val="22"/>
          <w:lang w:val="es-CO"/>
        </w:rPr>
      </w:pPr>
      <w:r w:rsidRPr="00D10562">
        <w:rPr>
          <w:rFonts w:ascii="Geomanist Light" w:hAnsi="Geomanist Light" w:cs="Arial"/>
          <w:color w:val="000000" w:themeColor="text1"/>
          <w:sz w:val="20"/>
          <w:szCs w:val="21"/>
          <w:lang w:val="es-CO"/>
        </w:rPr>
        <w:t>2. Tengo conocimiento que existe un concepto emitido por Colombia Compra: concepto 42018140000021084 del 06 de marzo de 2018, del cual agradecería remitir copia.</w:t>
      </w:r>
      <w:r w:rsidRPr="00031146">
        <w:rPr>
          <w:rFonts w:ascii="Geomanist Light" w:hAnsi="Geomanist Light" w:cs="Arial"/>
          <w:color w:val="000000" w:themeColor="text1"/>
          <w:sz w:val="20"/>
          <w:szCs w:val="21"/>
          <w:lang w:val="es-CO"/>
        </w:rPr>
        <w:t>».</w:t>
      </w:r>
    </w:p>
    <w:p w14:paraId="4A1F0C6A" w14:textId="77777777" w:rsidR="002E3EE6" w:rsidRPr="003C281F" w:rsidRDefault="002E3EE6" w:rsidP="00D10562">
      <w:pPr>
        <w:spacing w:after="0"/>
        <w:rPr>
          <w:rFonts w:ascii="Geomanist Light" w:hAnsi="Geomanist Light" w:cs="Arial"/>
          <w:color w:val="000000" w:themeColor="text1"/>
          <w:sz w:val="22"/>
          <w:lang w:val="es-ES_tradnl"/>
        </w:rPr>
      </w:pPr>
    </w:p>
    <w:p w14:paraId="55BFA6B5" w14:textId="77777777" w:rsidR="00D10562" w:rsidRPr="003C281F" w:rsidRDefault="00D10562" w:rsidP="00D10562">
      <w:pPr>
        <w:pStyle w:val="NormalWeb"/>
        <w:spacing w:before="0" w:beforeAutospacing="0" w:after="0" w:afterAutospacing="0"/>
        <w:ind w:right="709"/>
        <w:contextualSpacing/>
        <w:rPr>
          <w:rFonts w:ascii="Geomanist Light" w:eastAsia="Calibri" w:hAnsi="Geomanist Light" w:cs="Arial"/>
          <w:b/>
          <w:sz w:val="22"/>
          <w:szCs w:val="22"/>
        </w:rPr>
      </w:pPr>
      <w:r w:rsidRPr="003C281F">
        <w:rPr>
          <w:rFonts w:ascii="Geomanist Light" w:eastAsia="Calibri" w:hAnsi="Geomanist Light" w:cs="Arial"/>
          <w:b/>
          <w:sz w:val="22"/>
          <w:szCs w:val="22"/>
        </w:rPr>
        <w:t>2. Consideraciones</w:t>
      </w:r>
    </w:p>
    <w:p w14:paraId="346B590D" w14:textId="77777777" w:rsidR="00D10562" w:rsidRPr="00031146" w:rsidRDefault="00D10562" w:rsidP="00D10562">
      <w:pPr>
        <w:spacing w:before="120" w:after="0"/>
        <w:ind w:firstLine="708"/>
        <w:rPr>
          <w:rFonts w:ascii="Geomanist Light" w:eastAsia="Calibri" w:hAnsi="Geomanist Light" w:cs="Arial"/>
          <w:color w:val="000000" w:themeColor="text1"/>
          <w:sz w:val="22"/>
          <w:lang w:val="es-ES"/>
        </w:rPr>
      </w:pPr>
      <w:bookmarkStart w:id="4" w:name="_Hlk96420298"/>
      <w:bookmarkStart w:id="5" w:name="_Hlk57650395"/>
      <w:r w:rsidRPr="00031146">
        <w:rPr>
          <w:rFonts w:ascii="Geomanist Light" w:eastAsia="Calibri" w:hAnsi="Geomanist Light" w:cs="Arial"/>
          <w:bCs/>
          <w:color w:val="000000" w:themeColor="text1"/>
          <w:sz w:val="22"/>
        </w:rPr>
        <w:t xml:space="preserve">En ejercicio de las competencias establecidas en los artículos 3.5 y 11.8 del Decreto 4170 de 2011, la Agencia Nacional de Contratación Pública </w:t>
      </w:r>
      <w:bookmarkStart w:id="6" w:name="_Hlk99611965"/>
      <w:r w:rsidRPr="00031146">
        <w:rPr>
          <w:rFonts w:ascii="Geomanist Light" w:eastAsia="Calibri" w:hAnsi="Geomanist Light" w:cs="Arial"/>
          <w:bCs/>
          <w:color w:val="000000" w:themeColor="text1"/>
          <w:sz w:val="22"/>
        </w:rPr>
        <w:t>–</w:t>
      </w:r>
      <w:bookmarkEnd w:id="6"/>
      <w:r w:rsidRPr="00031146">
        <w:rPr>
          <w:rFonts w:ascii="Geomanist Light" w:eastAsia="Calibri" w:hAnsi="Geomanist Light" w:cs="Arial"/>
          <w:bCs/>
          <w:color w:val="000000" w:themeColor="text1"/>
          <w:sz w:val="22"/>
        </w:rPr>
        <w:t xml:space="preserve"> Colombia Compra Eficiente </w:t>
      </w:r>
      <w:r w:rsidRPr="00031146">
        <w:rPr>
          <w:rFonts w:ascii="Geomanist Light" w:eastAsia="Calibri" w:hAnsi="Geomanist Light" w:cs="Arial"/>
          <w:bCs/>
          <w:color w:val="000000" w:themeColor="text1"/>
          <w:sz w:val="22"/>
        </w:rPr>
        <w:lastRenderedPageBreak/>
        <w:t xml:space="preserve">resuelve consultas sobre </w:t>
      </w:r>
      <w:bookmarkStart w:id="7" w:name="_Hlk61026958"/>
      <w:bookmarkStart w:id="8" w:name="_Hlk61701014"/>
      <w:bookmarkStart w:id="9" w:name="_Hlk62136649"/>
      <w:r w:rsidRPr="00031146">
        <w:rPr>
          <w:rFonts w:ascii="Geomanist Light" w:eastAsia="Calibri" w:hAnsi="Geomanist Light" w:cs="Arial"/>
          <w:color w:val="000000" w:themeColor="text1"/>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31146">
        <w:rPr>
          <w:rFonts w:ascii="Geomanist Light" w:eastAsia="Calibri" w:hAnsi="Geomanist Light" w:cs="Arial"/>
          <w:bCs/>
          <w:color w:val="000000" w:themeColor="text1"/>
          <w:sz w:val="22"/>
        </w:rPr>
        <w:t xml:space="preserve"> de todos los partícipes de la contratación estatal ni para interpretar el alcance de cualquier norma vigente en el ordenamiento jurídico.</w:t>
      </w:r>
    </w:p>
    <w:bookmarkEnd w:id="7"/>
    <w:bookmarkEnd w:id="8"/>
    <w:bookmarkEnd w:id="9"/>
    <w:p w14:paraId="3E627F93" w14:textId="031DCC41" w:rsidR="00D10562" w:rsidRDefault="00CB48C8" w:rsidP="00D10562">
      <w:pPr>
        <w:spacing w:before="120" w:after="0"/>
        <w:ind w:firstLine="708"/>
        <w:rPr>
          <w:rFonts w:ascii="Geomanist Light" w:eastAsia="Calibri" w:hAnsi="Geomanist Light" w:cs="Arial"/>
          <w:color w:val="000000" w:themeColor="text1"/>
          <w:sz w:val="22"/>
        </w:rPr>
      </w:pPr>
      <w:r>
        <w:rPr>
          <w:rFonts w:ascii="Geomanist Light" w:eastAsia="Calibri" w:hAnsi="Geomanist Light" w:cs="Arial"/>
          <w:color w:val="000000" w:themeColor="text1"/>
          <w:sz w:val="22"/>
        </w:rPr>
        <w:t>Así las cosas</w:t>
      </w:r>
      <w:r w:rsidR="00D10562" w:rsidRPr="00D10562">
        <w:rPr>
          <w:rFonts w:ascii="Geomanist Light" w:eastAsia="Calibri" w:hAnsi="Geomanist Light" w:cs="Arial"/>
          <w:color w:val="000000" w:themeColor="text1"/>
          <w:sz w:val="22"/>
        </w:rPr>
        <w:t>, la Agencia –dentro de los límites de sus atribuciones– resolverá la consulta conforme a las normas generales en materia de contratación estatal. En este sentido, se analizará</w:t>
      </w:r>
      <w:r>
        <w:rPr>
          <w:rFonts w:ascii="Geomanist Light" w:eastAsia="Calibri" w:hAnsi="Geomanist Light" w:cs="Arial"/>
          <w:color w:val="000000" w:themeColor="text1"/>
          <w:sz w:val="22"/>
        </w:rPr>
        <w:t xml:space="preserve">n los siguientes temas: i) </w:t>
      </w:r>
      <w:r w:rsidR="00D10562">
        <w:rPr>
          <w:rFonts w:ascii="Geomanist Light" w:eastAsia="Calibri" w:hAnsi="Geomanist Light" w:cs="Arial"/>
          <w:color w:val="000000" w:themeColor="text1"/>
          <w:sz w:val="22"/>
        </w:rPr>
        <w:t>la</w:t>
      </w:r>
      <w:r w:rsidR="00D10562" w:rsidRPr="00D10562">
        <w:rPr>
          <w:rFonts w:ascii="Geomanist Light" w:eastAsia="Calibri" w:hAnsi="Geomanist Light" w:cs="Arial"/>
          <w:color w:val="000000" w:themeColor="text1"/>
          <w:sz w:val="22"/>
        </w:rPr>
        <w:t xml:space="preserve"> terminación unilateral del contrato estatal por muerte del contratista persona natural</w:t>
      </w:r>
      <w:r>
        <w:rPr>
          <w:rFonts w:ascii="Geomanist Light" w:eastAsia="Calibri" w:hAnsi="Geomanist Light" w:cs="Arial"/>
          <w:color w:val="000000" w:themeColor="text1"/>
          <w:sz w:val="22"/>
        </w:rPr>
        <w:t xml:space="preserve"> y ii) la liquidación del contrato</w:t>
      </w:r>
      <w:r w:rsidR="00D10562" w:rsidRPr="00D10562">
        <w:rPr>
          <w:rFonts w:ascii="Geomanist Light" w:eastAsia="Calibri" w:hAnsi="Geomanist Light" w:cs="Arial"/>
          <w:color w:val="000000" w:themeColor="text1"/>
          <w:sz w:val="22"/>
        </w:rPr>
        <w:t xml:space="preserve">. </w:t>
      </w:r>
    </w:p>
    <w:p w14:paraId="72695BBD" w14:textId="2F5E821C" w:rsidR="00D10562" w:rsidRDefault="00D10562" w:rsidP="00D10562">
      <w:pPr>
        <w:spacing w:before="120" w:after="0"/>
        <w:ind w:firstLine="708"/>
        <w:rPr>
          <w:rFonts w:ascii="Geomanist Light" w:eastAsia="Calibri" w:hAnsi="Geomanist Light" w:cs="Arial"/>
          <w:color w:val="000000" w:themeColor="text1"/>
          <w:sz w:val="22"/>
          <w:lang w:val="es-ES"/>
        </w:rPr>
      </w:pPr>
      <w:r w:rsidRPr="00031146">
        <w:rPr>
          <w:rFonts w:ascii="Geomanist Light" w:eastAsia="Calibri" w:hAnsi="Geomanist Light" w:cs="Arial"/>
          <w:color w:val="000000" w:themeColor="text1"/>
          <w:sz w:val="22"/>
          <w:lang w:val="es-ES_tradnl"/>
        </w:rPr>
        <w:t xml:space="preserve">La Agencia Nacional de Contratación Pública – Colombia Compra Eficiente </w:t>
      </w:r>
      <w:r w:rsidRPr="00031146">
        <w:rPr>
          <w:rFonts w:ascii="Geomanist Light" w:eastAsia="Calibri" w:hAnsi="Geomanist Light" w:cs="Arial"/>
          <w:color w:val="000000" w:themeColor="text1"/>
          <w:sz w:val="22"/>
        </w:rPr>
        <w:t xml:space="preserve">se ha pronunciado </w:t>
      </w:r>
      <w:r>
        <w:rPr>
          <w:rFonts w:ascii="Geomanist Light" w:eastAsia="Calibri" w:hAnsi="Geomanist Light" w:cs="Arial"/>
          <w:color w:val="000000" w:themeColor="text1"/>
          <w:sz w:val="22"/>
        </w:rPr>
        <w:t xml:space="preserve">sobre la terminación unilateral del contrato de prestación de servicios en los conceptos </w:t>
      </w:r>
      <w:r w:rsidRPr="00D10562">
        <w:rPr>
          <w:rFonts w:ascii="Geomanist Light" w:eastAsia="Calibri" w:hAnsi="Geomanist Light" w:cs="Arial"/>
          <w:color w:val="000000" w:themeColor="text1"/>
          <w:sz w:val="22"/>
        </w:rPr>
        <w:t>4201913000005733</w:t>
      </w:r>
      <w:r>
        <w:rPr>
          <w:rFonts w:ascii="Geomanist Light" w:eastAsia="Calibri" w:hAnsi="Geomanist Light" w:cs="Arial"/>
          <w:color w:val="000000" w:themeColor="text1"/>
          <w:sz w:val="22"/>
        </w:rPr>
        <w:t xml:space="preserve"> del 16 de septiembre de 2019, C-060 del 8 de marzo de 2021, C-286 del 10 de mayo de 2022 y C-514 del 10 de agosto de 2022</w:t>
      </w:r>
      <w:r w:rsidRPr="00031146">
        <w:rPr>
          <w:rFonts w:ascii="Geomanist Light" w:eastAsia="Calibri" w:hAnsi="Geomanist Light" w:cs="Arial"/>
          <w:color w:val="000000" w:themeColor="text1"/>
          <w:sz w:val="22"/>
          <w:lang w:val="es-ES"/>
        </w:rPr>
        <w:t xml:space="preserve">; por lo que se reiteran dichas consideraciones y se complementan en lo pertinente. </w:t>
      </w:r>
    </w:p>
    <w:p w14:paraId="57B24735" w14:textId="77777777" w:rsidR="00D10562" w:rsidRPr="00031146" w:rsidRDefault="00D10562" w:rsidP="004D67EF">
      <w:pPr>
        <w:spacing w:after="0"/>
        <w:ind w:firstLine="708"/>
        <w:contextualSpacing/>
        <w:rPr>
          <w:rFonts w:ascii="Geomanist Light" w:eastAsia="Calibri" w:hAnsi="Geomanist Light" w:cs="Arial"/>
          <w:color w:val="000000" w:themeColor="text1"/>
          <w:sz w:val="22"/>
          <w:lang w:val="es-ES_tradnl"/>
        </w:rPr>
      </w:pPr>
    </w:p>
    <w:bookmarkEnd w:id="4"/>
    <w:p w14:paraId="18EE9FE2" w14:textId="0ACDFD84" w:rsidR="00D10562" w:rsidRPr="00D10562" w:rsidRDefault="00D10562" w:rsidP="004D67EF">
      <w:pPr>
        <w:spacing w:after="0"/>
        <w:contextualSpacing/>
        <w:rPr>
          <w:rFonts w:ascii="Geomanist Light" w:eastAsia="Calibri" w:hAnsi="Geomanist Light" w:cs="Arial"/>
          <w:b/>
          <w:bCs/>
          <w:color w:val="000000" w:themeColor="text1"/>
          <w:sz w:val="22"/>
          <w:lang w:val="es-CO"/>
        </w:rPr>
      </w:pPr>
      <w:r w:rsidRPr="00D10562">
        <w:rPr>
          <w:rFonts w:ascii="Geomanist Light" w:eastAsia="Calibri" w:hAnsi="Geomanist Light" w:cs="Arial"/>
          <w:b/>
          <w:bCs/>
          <w:color w:val="000000" w:themeColor="text1"/>
          <w:sz w:val="22"/>
          <w:lang w:val="es-CO"/>
        </w:rPr>
        <w:t>2.</w:t>
      </w:r>
      <w:r w:rsidR="00C763A9">
        <w:rPr>
          <w:rFonts w:ascii="Geomanist Light" w:eastAsia="Calibri" w:hAnsi="Geomanist Light" w:cs="Arial"/>
          <w:b/>
          <w:bCs/>
          <w:color w:val="000000" w:themeColor="text1"/>
          <w:sz w:val="22"/>
          <w:lang w:val="es-CO"/>
        </w:rPr>
        <w:t>1</w:t>
      </w:r>
      <w:r w:rsidRPr="00D10562">
        <w:rPr>
          <w:rFonts w:ascii="Geomanist Light" w:eastAsia="Calibri" w:hAnsi="Geomanist Light" w:cs="Arial"/>
          <w:b/>
          <w:bCs/>
          <w:color w:val="000000" w:themeColor="text1"/>
          <w:sz w:val="22"/>
          <w:lang w:val="es-CO"/>
        </w:rPr>
        <w:t>. Terminación unilateral del contrato estatal por muerte del contratista persona natural</w:t>
      </w:r>
    </w:p>
    <w:p w14:paraId="157860A5" w14:textId="77777777" w:rsidR="00D10562" w:rsidRPr="00D10562" w:rsidRDefault="00D10562" w:rsidP="00D10562">
      <w:pPr>
        <w:spacing w:after="0"/>
        <w:ind w:firstLine="708"/>
        <w:rPr>
          <w:rFonts w:ascii="Geomanist Light" w:eastAsia="Calibri" w:hAnsi="Geomanist Light" w:cs="Arial"/>
          <w:b/>
          <w:bCs/>
          <w:color w:val="000000" w:themeColor="text1"/>
          <w:sz w:val="22"/>
          <w:lang w:val="es-CO"/>
        </w:rPr>
      </w:pPr>
    </w:p>
    <w:p w14:paraId="1D1E19CF" w14:textId="16515DE1" w:rsidR="007E3322" w:rsidRDefault="00D10562" w:rsidP="004D67EF">
      <w:pPr>
        <w:spacing w:after="120"/>
        <w:ind w:firstLine="708"/>
        <w:rPr>
          <w:rFonts w:ascii="Geomanist Light" w:eastAsia="Calibri" w:hAnsi="Geomanist Light" w:cs="Arial"/>
          <w:color w:val="000000" w:themeColor="text1"/>
          <w:sz w:val="22"/>
          <w:lang w:val="es-CO"/>
        </w:rPr>
      </w:pPr>
      <w:r w:rsidRPr="00D10562">
        <w:rPr>
          <w:rFonts w:ascii="Geomanist Light" w:eastAsia="Calibri" w:hAnsi="Geomanist Light" w:cs="Arial"/>
          <w:color w:val="000000" w:themeColor="text1"/>
          <w:sz w:val="22"/>
          <w:lang w:val="es-CO"/>
        </w:rPr>
        <w:t xml:space="preserve">El artículo 3 de la Ley 80 de 1993 dispone que en la celebración de los contratos y en la ejecución de </w:t>
      </w:r>
      <w:proofErr w:type="gramStart"/>
      <w:r w:rsidRPr="00D10562">
        <w:rPr>
          <w:rFonts w:ascii="Geomanist Light" w:eastAsia="Calibri" w:hAnsi="Geomanist Light" w:cs="Arial"/>
          <w:color w:val="000000" w:themeColor="text1"/>
          <w:sz w:val="22"/>
          <w:lang w:val="es-CO"/>
        </w:rPr>
        <w:t>los mismos</w:t>
      </w:r>
      <w:proofErr w:type="gramEnd"/>
      <w:r w:rsidRPr="00D10562">
        <w:rPr>
          <w:rFonts w:ascii="Geomanist Light" w:eastAsia="Calibri" w:hAnsi="Geomanist Light" w:cs="Arial"/>
          <w:color w:val="000000" w:themeColor="text1"/>
          <w:sz w:val="22"/>
          <w:lang w:val="es-CO"/>
        </w:rPr>
        <w:t>,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14:paraId="372F4C53" w14:textId="488EA86F" w:rsidR="007E3322" w:rsidRDefault="00D10562" w:rsidP="004D67EF">
      <w:pPr>
        <w:spacing w:after="120"/>
        <w:ind w:firstLine="708"/>
        <w:rPr>
          <w:rFonts w:ascii="Geomanist Light" w:eastAsia="Calibri" w:hAnsi="Geomanist Light" w:cs="Arial"/>
          <w:color w:val="000000" w:themeColor="text1"/>
          <w:sz w:val="22"/>
          <w:lang w:val="es-CO"/>
        </w:rPr>
      </w:pPr>
      <w:r w:rsidRPr="00D10562">
        <w:rPr>
          <w:rFonts w:ascii="Geomanist Light" w:eastAsia="Calibri" w:hAnsi="Geomanist Light" w:cs="Arial"/>
          <w:color w:val="000000" w:themeColor="text1"/>
          <w:sz w:val="22"/>
          <w:lang w:val="es-CO"/>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w:t>
      </w:r>
      <w:r w:rsidR="007E3322" w:rsidRPr="007E3322">
        <w:rPr>
          <w:rFonts w:ascii="Geomanist Light" w:eastAsia="Calibri" w:hAnsi="Geomanist Light" w:cs="Arial"/>
          <w:color w:val="000000" w:themeColor="text1"/>
          <w:sz w:val="22"/>
          <w:lang w:val="es-CO"/>
        </w:rPr>
        <w:t>L</w:t>
      </w:r>
      <w:r w:rsidRPr="00D10562">
        <w:rPr>
          <w:rFonts w:ascii="Geomanist Light" w:eastAsia="Calibri" w:hAnsi="Geomanist Light" w:cs="Arial"/>
          <w:color w:val="000000" w:themeColor="text1"/>
          <w:sz w:val="22"/>
          <w:lang w:val="es-CO"/>
        </w:rPr>
        <w:t xml:space="preserve">as entidades estatales pueden usar estas potestades «[…] como manifestación de su </w:t>
      </w:r>
      <w:proofErr w:type="spellStart"/>
      <w:r w:rsidRPr="00D10562">
        <w:rPr>
          <w:rFonts w:ascii="Geomanist Light" w:eastAsia="Calibri" w:hAnsi="Geomanist Light" w:cs="Arial"/>
          <w:i/>
          <w:iCs/>
          <w:color w:val="000000" w:themeColor="text1"/>
          <w:sz w:val="22"/>
          <w:lang w:val="es-CO"/>
        </w:rPr>
        <w:t>imperium</w:t>
      </w:r>
      <w:proofErr w:type="spellEnd"/>
      <w:r w:rsidRPr="00D10562">
        <w:rPr>
          <w:rFonts w:ascii="Geomanist Light" w:eastAsia="Calibri" w:hAnsi="Geomanist Light" w:cs="Arial"/>
          <w:i/>
          <w:iCs/>
          <w:color w:val="000000" w:themeColor="text1"/>
          <w:sz w:val="22"/>
          <w:lang w:val="es-CO"/>
        </w:rPr>
        <w:t xml:space="preserve"> </w:t>
      </w:r>
      <w:r w:rsidRPr="00D10562">
        <w:rPr>
          <w:rFonts w:ascii="Geomanist Light" w:eastAsia="Calibri" w:hAnsi="Geomanist Light" w:cs="Arial"/>
          <w:color w:val="000000" w:themeColor="text1"/>
          <w:sz w:val="22"/>
          <w:lang w:val="es-CO"/>
        </w:rPr>
        <w:t xml:space="preserve">o poder de Estado, que se </w:t>
      </w:r>
      <w:r w:rsidRPr="00D10562">
        <w:rPr>
          <w:rFonts w:ascii="Geomanist Light" w:eastAsia="Calibri" w:hAnsi="Geomanist Light" w:cs="Arial"/>
          <w:color w:val="000000" w:themeColor="text1"/>
          <w:sz w:val="22"/>
          <w:lang w:val="es-CO"/>
        </w:rPr>
        <w:lastRenderedPageBreak/>
        <w:t>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w:t>
      </w:r>
      <w:r w:rsidRPr="00D10562">
        <w:rPr>
          <w:rFonts w:ascii="Geomanist Light" w:eastAsia="Calibri" w:hAnsi="Geomanist Light" w:cs="Arial"/>
          <w:color w:val="000000" w:themeColor="text1"/>
          <w:sz w:val="22"/>
          <w:vertAlign w:val="superscript"/>
          <w:lang w:val="es-CO"/>
        </w:rPr>
        <w:footnoteReference w:id="1"/>
      </w:r>
      <w:r w:rsidRPr="00D10562">
        <w:rPr>
          <w:rFonts w:ascii="Geomanist Light" w:eastAsia="Calibri" w:hAnsi="Geomanist Light" w:cs="Arial"/>
          <w:color w:val="000000" w:themeColor="text1"/>
          <w:sz w:val="22"/>
          <w:lang w:val="es-CO"/>
        </w:rPr>
        <w:t xml:space="preserve">.  </w:t>
      </w:r>
    </w:p>
    <w:p w14:paraId="4B3133EE" w14:textId="29318094" w:rsidR="00C02107" w:rsidRDefault="00D10562" w:rsidP="004D67EF">
      <w:pPr>
        <w:spacing w:after="120"/>
        <w:ind w:firstLine="708"/>
        <w:rPr>
          <w:rFonts w:ascii="Geomanist Light" w:eastAsia="Calibri" w:hAnsi="Geomanist Light" w:cs="Arial"/>
          <w:color w:val="000000" w:themeColor="text1"/>
          <w:sz w:val="22"/>
          <w:lang w:val="es-CO"/>
        </w:rPr>
      </w:pPr>
      <w:r w:rsidRPr="00D10562">
        <w:rPr>
          <w:rFonts w:ascii="Geomanist Light" w:eastAsia="Calibri" w:hAnsi="Geomanist Light" w:cs="Arial"/>
          <w:color w:val="000000" w:themeColor="text1"/>
          <w:sz w:val="22"/>
          <w:lang w:val="es-CO"/>
        </w:rPr>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D10562">
        <w:rPr>
          <w:rFonts w:ascii="Geomanist Light" w:eastAsia="Calibri" w:hAnsi="Geomanist Light" w:cs="Arial"/>
          <w:color w:val="000000" w:themeColor="text1"/>
          <w:sz w:val="22"/>
          <w:vertAlign w:val="superscript"/>
          <w:lang w:val="es-CO"/>
        </w:rPr>
        <w:footnoteReference w:id="2"/>
      </w:r>
      <w:r w:rsidRPr="00D10562">
        <w:rPr>
          <w:rFonts w:ascii="Geomanist Light" w:eastAsia="Calibri" w:hAnsi="Geomanist Light" w:cs="Arial"/>
          <w:color w:val="000000" w:themeColor="text1"/>
          <w:sz w:val="22"/>
          <w:lang w:val="es-CO"/>
        </w:rPr>
        <w:t xml:space="preserve"> se establece que la administración debe estar dotada de mecanismos eficaces, así fueren excepcionales, que contribuyan a la adecuada realización de la finalidad contractual y de los fines estatales. Es por eso </w:t>
      </w:r>
      <w:proofErr w:type="gramStart"/>
      <w:r w:rsidRPr="00D10562">
        <w:rPr>
          <w:rFonts w:ascii="Geomanist Light" w:eastAsia="Calibri" w:hAnsi="Geomanist Light" w:cs="Arial"/>
          <w:color w:val="000000" w:themeColor="text1"/>
          <w:sz w:val="22"/>
          <w:lang w:val="es-CO"/>
        </w:rPr>
        <w:t>que</w:t>
      </w:r>
      <w:proofErr w:type="gramEnd"/>
      <w:r w:rsidRPr="00D10562">
        <w:rPr>
          <w:rFonts w:ascii="Geomanist Light" w:eastAsia="Calibri" w:hAnsi="Geomanist Light" w:cs="Arial"/>
          <w:color w:val="000000" w:themeColor="text1"/>
          <w:sz w:val="22"/>
          <w:lang w:val="es-CO"/>
        </w:rPr>
        <w:t xml:space="preserv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1A0D9475" w14:textId="004FD436" w:rsidR="00C02107" w:rsidRDefault="00C02107" w:rsidP="004D67EF">
      <w:pPr>
        <w:spacing w:after="120"/>
        <w:ind w:firstLine="708"/>
        <w:rPr>
          <w:rFonts w:ascii="Geomanist Light" w:eastAsia="Calibri" w:hAnsi="Geomanist Light" w:cs="Arial"/>
          <w:color w:val="000000" w:themeColor="text1"/>
          <w:sz w:val="22"/>
          <w:lang w:val="es-CO"/>
        </w:rPr>
      </w:pPr>
      <w:r w:rsidRPr="00D10562">
        <w:rPr>
          <w:rFonts w:ascii="Geomanist Light" w:eastAsia="Calibri" w:hAnsi="Geomanist Light" w:cs="Arial"/>
          <w:color w:val="000000" w:themeColor="text1"/>
          <w:sz w:val="22"/>
          <w:lang w:val="es-CO"/>
        </w:rPr>
        <w:t>Esta figura no tiene como finalidad sancionar al contratista sino evitar la paralización del contrato estatal y garantizar su correcta ejecución. La doctrina ha considerado que «[…] el artículo 17 de la Ley 80 de 1993 consagra, en virtud del principio de legalidad regente para toda la actividad administrativa, la potestad de las entidades estatales de finiquitar la relación contractual con su contratista a partir de la configuración de cualquiera de las causales expresadas en dicha norma […]»</w:t>
      </w:r>
      <w:r w:rsidRPr="00D10562">
        <w:rPr>
          <w:rFonts w:ascii="Geomanist Light" w:eastAsia="Calibri" w:hAnsi="Geomanist Light" w:cs="Arial"/>
          <w:color w:val="000000" w:themeColor="text1"/>
          <w:sz w:val="22"/>
          <w:vertAlign w:val="superscript"/>
          <w:lang w:val="es-CO"/>
        </w:rPr>
        <w:footnoteReference w:id="3"/>
      </w:r>
      <w:r w:rsidRPr="00D10562">
        <w:rPr>
          <w:rFonts w:ascii="Geomanist Light" w:eastAsia="Calibri" w:hAnsi="Geomanist Light" w:cs="Arial"/>
          <w:color w:val="000000" w:themeColor="text1"/>
          <w:sz w:val="22"/>
          <w:lang w:val="es-CO"/>
        </w:rPr>
        <w:t xml:space="preserve">. En igual sentido lo ha reconocido el Consejo de Estado al poner de presente que: «Según los explícitos dictados de la referida Ley 80, es claro que dicha forma de terminación unilateral tiene </w:t>
      </w:r>
      <w:r w:rsidRPr="00D10562">
        <w:rPr>
          <w:rFonts w:ascii="Geomanist Light" w:eastAsia="Calibri" w:hAnsi="Geomanist Light" w:cs="Arial"/>
          <w:i/>
          <w:iCs/>
          <w:color w:val="000000" w:themeColor="text1"/>
          <w:sz w:val="22"/>
          <w:lang w:val="es-CO"/>
        </w:rPr>
        <w:t xml:space="preserve">“(...) el exclusivo objeto de evitar la paralización o la afectación grave de los servicios públicos a su cargo </w:t>
      </w:r>
      <w:r w:rsidRPr="00D10562">
        <w:rPr>
          <w:rFonts w:ascii="Geomanist Light" w:eastAsia="Calibri" w:hAnsi="Geomanist Light" w:cs="Arial"/>
          <w:color w:val="000000" w:themeColor="text1"/>
          <w:sz w:val="22"/>
          <w:lang w:val="es-CO"/>
        </w:rPr>
        <w:t xml:space="preserve">[se refiere a la entidad estatal contratante] </w:t>
      </w:r>
      <w:r w:rsidRPr="00D10562">
        <w:rPr>
          <w:rFonts w:ascii="Geomanist Light" w:eastAsia="Calibri" w:hAnsi="Geomanist Light" w:cs="Arial"/>
          <w:i/>
          <w:iCs/>
          <w:color w:val="000000" w:themeColor="text1"/>
          <w:sz w:val="22"/>
          <w:lang w:val="es-CO"/>
        </w:rPr>
        <w:t xml:space="preserve">y asegurar la inmediata, continua y adecuada prestación (...)” </w:t>
      </w:r>
      <w:r w:rsidRPr="00D10562">
        <w:rPr>
          <w:rFonts w:ascii="Geomanist Light" w:eastAsia="Calibri" w:hAnsi="Geomanist Light" w:cs="Arial"/>
          <w:color w:val="000000" w:themeColor="text1"/>
          <w:sz w:val="22"/>
          <w:lang w:val="es-CO"/>
        </w:rPr>
        <w:t xml:space="preserve">de los mismos. </w:t>
      </w:r>
    </w:p>
    <w:p w14:paraId="0AE8A799" w14:textId="327AB157" w:rsidR="00352B59" w:rsidRPr="00C161FB" w:rsidRDefault="00352B59" w:rsidP="004D67EF">
      <w:pPr>
        <w:spacing w:after="120"/>
        <w:ind w:firstLine="708"/>
        <w:rPr>
          <w:rFonts w:ascii="Geomanist Light" w:eastAsia="Calibri" w:hAnsi="Geomanist Light"/>
          <w:color w:val="000000" w:themeColor="text1"/>
          <w:sz w:val="22"/>
          <w:lang w:val="es-CO"/>
        </w:rPr>
      </w:pPr>
      <w:r w:rsidRPr="00C161FB">
        <w:rPr>
          <w:rFonts w:ascii="Geomanist Light" w:eastAsia="Calibri" w:hAnsi="Geomanist Light"/>
          <w:color w:val="000000" w:themeColor="text1"/>
          <w:sz w:val="22"/>
          <w:lang w:val="es-CO"/>
        </w:rPr>
        <w:t xml:space="preserve">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w:t>
      </w:r>
      <w:r w:rsidRPr="00C161FB">
        <w:rPr>
          <w:rFonts w:ascii="Geomanist Light" w:eastAsia="Calibri" w:hAnsi="Geomanist Light"/>
          <w:color w:val="000000" w:themeColor="text1"/>
          <w:sz w:val="22"/>
          <w:highlight w:val="yellow"/>
          <w:lang w:val="es-CO"/>
        </w:rPr>
        <w:t xml:space="preserve">Efectivamente, para declarar la terminación unilateral se </w:t>
      </w:r>
      <w:r w:rsidRPr="00C161FB">
        <w:rPr>
          <w:rFonts w:ascii="Geomanist Light" w:eastAsia="Calibri" w:hAnsi="Geomanist Light"/>
          <w:color w:val="000000" w:themeColor="text1"/>
          <w:sz w:val="22"/>
          <w:highlight w:val="yellow"/>
          <w:lang w:val="es-CO"/>
        </w:rPr>
        <w:lastRenderedPageBreak/>
        <w:t xml:space="preserve">requiere i) que la manifestación de la voluntad de la administración se materialice en un acto administrativo, </w:t>
      </w:r>
      <w:proofErr w:type="spellStart"/>
      <w:r w:rsidRPr="00C161FB">
        <w:rPr>
          <w:rFonts w:ascii="Geomanist Light" w:eastAsia="Calibri" w:hAnsi="Geomanist Light"/>
          <w:color w:val="000000" w:themeColor="text1"/>
          <w:sz w:val="22"/>
          <w:highlight w:val="yellow"/>
          <w:lang w:val="es-CO"/>
        </w:rPr>
        <w:t>ii</w:t>
      </w:r>
      <w:proofErr w:type="spellEnd"/>
      <w:r w:rsidRPr="00C161FB">
        <w:rPr>
          <w:rFonts w:ascii="Geomanist Light" w:eastAsia="Calibri" w:hAnsi="Geomanist Light"/>
          <w:color w:val="000000" w:themeColor="text1"/>
          <w:sz w:val="22"/>
          <w:highlight w:val="yellow"/>
          <w:lang w:val="es-CO"/>
        </w:rPr>
        <w:t xml:space="preserve">) que dicho acto debe ser el resultado de un análisis soportado en la realidad del contrato, es decir, debe estar debidamente motivado y </w:t>
      </w:r>
      <w:proofErr w:type="spellStart"/>
      <w:r w:rsidRPr="00C161FB">
        <w:rPr>
          <w:rFonts w:ascii="Geomanist Light" w:eastAsia="Calibri" w:hAnsi="Geomanist Light"/>
          <w:color w:val="000000" w:themeColor="text1"/>
          <w:sz w:val="22"/>
          <w:highlight w:val="yellow"/>
          <w:lang w:val="es-CO"/>
        </w:rPr>
        <w:t>iii</w:t>
      </w:r>
      <w:proofErr w:type="spellEnd"/>
      <w:r w:rsidRPr="00C161FB">
        <w:rPr>
          <w:rFonts w:ascii="Geomanist Light" w:eastAsia="Calibri" w:hAnsi="Geomanist Light"/>
          <w:color w:val="000000" w:themeColor="text1"/>
          <w:sz w:val="22"/>
          <w:highlight w:val="yellow"/>
          <w:lang w:val="es-CO"/>
        </w:rPr>
        <w:t>) que la causal que se alegue en la decisión se encuentre enmarcada en los eventos que la ley ha dispuesto.</w:t>
      </w:r>
      <w:r w:rsidRPr="00C161FB">
        <w:rPr>
          <w:rFonts w:ascii="Geomanist Light" w:eastAsia="Calibri" w:hAnsi="Geomanist Light"/>
          <w:color w:val="000000" w:themeColor="text1"/>
          <w:sz w:val="22"/>
          <w:lang w:val="es-CO"/>
        </w:rPr>
        <w:t> </w:t>
      </w:r>
    </w:p>
    <w:p w14:paraId="71C76A09" w14:textId="3F997803" w:rsidR="00D10562" w:rsidRPr="00C161FB" w:rsidRDefault="00D10562" w:rsidP="007E3322">
      <w:pPr>
        <w:spacing w:after="0"/>
        <w:ind w:firstLine="708"/>
        <w:rPr>
          <w:rFonts w:ascii="Geomanist Light" w:eastAsia="Calibri" w:hAnsi="Geomanist Light" w:cs="Arial"/>
          <w:color w:val="000000" w:themeColor="text1"/>
          <w:sz w:val="22"/>
          <w:lang w:val="es-CO"/>
        </w:rPr>
      </w:pPr>
      <w:r w:rsidRPr="00C161FB">
        <w:rPr>
          <w:rFonts w:ascii="Geomanist Light" w:eastAsia="Calibri" w:hAnsi="Geomanist Light" w:cs="Arial"/>
          <w:color w:val="000000" w:themeColor="text1"/>
          <w:sz w:val="22"/>
          <w:lang w:val="es-CO"/>
        </w:rPr>
        <w:t> </w:t>
      </w:r>
      <w:r w:rsidRPr="00C161FB">
        <w:rPr>
          <w:rFonts w:ascii="Geomanist Light" w:eastAsia="Calibri" w:hAnsi="Geomanist Light" w:cs="Arial"/>
          <w:color w:val="000000" w:themeColor="text1"/>
          <w:sz w:val="22"/>
          <w:highlight w:val="yellow"/>
          <w:lang w:val="es-CO"/>
        </w:rPr>
        <w:t>El artículo 17 de la Ley 80 de 1993 establece expresamente en que eventos procede la terminación unilateral del contrato.</w:t>
      </w:r>
      <w:r w:rsidRPr="00C161FB">
        <w:rPr>
          <w:rFonts w:ascii="Geomanist Light" w:eastAsia="Calibri" w:hAnsi="Geomanist Light" w:cs="Arial"/>
          <w:color w:val="000000" w:themeColor="text1"/>
          <w:sz w:val="22"/>
          <w:lang w:val="es-CO"/>
        </w:rPr>
        <w:t xml:space="preserve"> Al efecto, la norma establece las siguientes causales:</w:t>
      </w:r>
    </w:p>
    <w:p w14:paraId="7D9DF470" w14:textId="77777777" w:rsidR="007E3322" w:rsidRPr="008428EF" w:rsidRDefault="007E3322" w:rsidP="007E3322">
      <w:pPr>
        <w:spacing w:after="0"/>
        <w:ind w:firstLine="708"/>
        <w:contextualSpacing/>
        <w:rPr>
          <w:rFonts w:ascii="Geomanist Light" w:eastAsia="Calibri" w:hAnsi="Geomanist Light" w:cs="Arial"/>
          <w:color w:val="000000" w:themeColor="text1"/>
          <w:sz w:val="22"/>
          <w:lang w:val="es-CO"/>
        </w:rPr>
      </w:pPr>
    </w:p>
    <w:p w14:paraId="7C97F2B6" w14:textId="17E35E56" w:rsidR="007E3322" w:rsidRDefault="00D10562" w:rsidP="007E3322">
      <w:pPr>
        <w:spacing w:after="0" w:line="240" w:lineRule="auto"/>
        <w:ind w:left="708" w:right="709"/>
        <w:contextualSpacing/>
        <w:rPr>
          <w:rFonts w:ascii="Geomanist Light" w:eastAsia="Calibri" w:hAnsi="Geomanist Light"/>
          <w:color w:val="000000" w:themeColor="text1"/>
          <w:sz w:val="21"/>
          <w:szCs w:val="21"/>
          <w:lang w:val="es-CO"/>
        </w:rPr>
      </w:pPr>
      <w:r w:rsidRPr="004D67EF">
        <w:rPr>
          <w:rFonts w:ascii="Geomanist Light" w:eastAsia="Calibri" w:hAnsi="Geomanist Light"/>
          <w:color w:val="000000" w:themeColor="text1"/>
          <w:sz w:val="21"/>
          <w:szCs w:val="21"/>
          <w:lang w:val="es-CO"/>
        </w:rPr>
        <w:t>«Artículo 17. De la terminación unilateral. La entidad en acto administrativo debidamente motivado dispondrá la terminación anticipada del contrato en los siguientes eventos: </w:t>
      </w:r>
    </w:p>
    <w:p w14:paraId="08A6BAA0" w14:textId="77777777" w:rsidR="003B6436" w:rsidRPr="004D67EF" w:rsidRDefault="003B6436" w:rsidP="007E3322">
      <w:pPr>
        <w:spacing w:after="0" w:line="240" w:lineRule="auto"/>
        <w:ind w:left="708" w:right="709"/>
        <w:contextualSpacing/>
        <w:rPr>
          <w:rFonts w:ascii="Geomanist Light" w:eastAsia="Calibri" w:hAnsi="Geomanist Light"/>
          <w:color w:val="000000" w:themeColor="text1"/>
          <w:sz w:val="21"/>
          <w:szCs w:val="21"/>
          <w:lang w:val="es-CO"/>
        </w:rPr>
      </w:pPr>
    </w:p>
    <w:p w14:paraId="79AF28DF" w14:textId="77777777" w:rsidR="007E3322" w:rsidRPr="004D67EF" w:rsidRDefault="00D10562" w:rsidP="007E3322">
      <w:pPr>
        <w:spacing w:after="0" w:line="240" w:lineRule="auto"/>
        <w:ind w:left="708" w:right="709"/>
        <w:contextualSpacing/>
        <w:rPr>
          <w:rFonts w:ascii="Geomanist Light" w:eastAsia="Calibri" w:hAnsi="Geomanist Light"/>
          <w:color w:val="000000" w:themeColor="text1"/>
          <w:sz w:val="21"/>
          <w:szCs w:val="21"/>
          <w:lang w:val="es-CO"/>
        </w:rPr>
      </w:pPr>
      <w:r w:rsidRPr="004D67EF">
        <w:rPr>
          <w:rFonts w:ascii="Geomanist Light" w:eastAsia="Calibri" w:hAnsi="Geomanist Light"/>
          <w:color w:val="000000" w:themeColor="text1"/>
          <w:sz w:val="21"/>
          <w:szCs w:val="21"/>
          <w:lang w:val="es-CO"/>
        </w:rPr>
        <w:t>1o. Cuando las exigencias del servicio público lo requieran o la situación de orden público lo imponga. </w:t>
      </w:r>
    </w:p>
    <w:p w14:paraId="5A4305C5" w14:textId="77777777" w:rsidR="007E3322" w:rsidRPr="004D67EF" w:rsidRDefault="00D10562" w:rsidP="007E3322">
      <w:pPr>
        <w:spacing w:after="0" w:line="240" w:lineRule="auto"/>
        <w:ind w:left="708" w:right="709"/>
        <w:contextualSpacing/>
        <w:rPr>
          <w:rFonts w:ascii="Geomanist Light" w:eastAsia="Calibri" w:hAnsi="Geomanist Light"/>
          <w:i/>
          <w:iCs/>
          <w:color w:val="000000" w:themeColor="text1"/>
          <w:sz w:val="21"/>
          <w:szCs w:val="21"/>
          <w:lang w:val="es-CO"/>
        </w:rPr>
      </w:pPr>
      <w:r w:rsidRPr="004D67EF">
        <w:rPr>
          <w:rFonts w:ascii="Geomanist Light" w:eastAsia="Calibri" w:hAnsi="Geomanist Light"/>
          <w:i/>
          <w:iCs/>
          <w:color w:val="000000" w:themeColor="text1"/>
          <w:sz w:val="21"/>
          <w:szCs w:val="21"/>
          <w:lang w:val="es-CO"/>
        </w:rPr>
        <w:t>2o. Por muerte o incapacidad física permanente del contratista, si es persona natural, o por disolución de la persona jurídica del contratista. </w:t>
      </w:r>
    </w:p>
    <w:p w14:paraId="55C65B52" w14:textId="1D8D8C10" w:rsidR="00D10562" w:rsidRPr="004D67EF" w:rsidRDefault="00D10562" w:rsidP="007E3322">
      <w:pPr>
        <w:spacing w:after="0" w:line="240" w:lineRule="auto"/>
        <w:ind w:left="708" w:right="709"/>
        <w:contextualSpacing/>
        <w:rPr>
          <w:rFonts w:ascii="Geomanist Light" w:eastAsia="Calibri" w:hAnsi="Geomanist Light"/>
          <w:color w:val="000000" w:themeColor="text1"/>
          <w:sz w:val="21"/>
          <w:szCs w:val="21"/>
          <w:lang w:val="es-CO"/>
        </w:rPr>
      </w:pPr>
      <w:r w:rsidRPr="004D67EF">
        <w:rPr>
          <w:rFonts w:ascii="Geomanist Light" w:eastAsia="Calibri" w:hAnsi="Geomanist Light"/>
          <w:color w:val="000000" w:themeColor="text1"/>
          <w:sz w:val="21"/>
          <w:szCs w:val="21"/>
          <w:lang w:val="es-CO"/>
        </w:rPr>
        <w:t>3o. Por interdicción judicial o declaración de quiebra del contratista. </w:t>
      </w:r>
    </w:p>
    <w:p w14:paraId="60677980" w14:textId="62B0C2A7" w:rsidR="00D10562" w:rsidRPr="004D67EF" w:rsidRDefault="00D10562" w:rsidP="007E3322">
      <w:pPr>
        <w:spacing w:after="0" w:line="240" w:lineRule="auto"/>
        <w:ind w:left="708" w:right="709"/>
        <w:contextualSpacing/>
        <w:rPr>
          <w:rFonts w:ascii="Geomanist Light" w:eastAsia="Calibri" w:hAnsi="Geomanist Light"/>
          <w:color w:val="000000" w:themeColor="text1"/>
          <w:sz w:val="21"/>
          <w:szCs w:val="21"/>
          <w:lang w:val="es-CO"/>
        </w:rPr>
      </w:pPr>
      <w:r w:rsidRPr="004D67EF">
        <w:rPr>
          <w:rFonts w:ascii="Geomanist Light" w:eastAsia="Calibri" w:hAnsi="Geomanist Light"/>
          <w:color w:val="000000" w:themeColor="text1"/>
          <w:sz w:val="21"/>
          <w:szCs w:val="21"/>
          <w:lang w:val="es-CO"/>
        </w:rPr>
        <w:t>4o. Por cesación de pagos, concurso de acreedores o embargos judiciales del contratista que afecten de manera grave el cumplimiento del contrato. </w:t>
      </w:r>
    </w:p>
    <w:p w14:paraId="50400A79" w14:textId="77777777" w:rsidR="003B6436" w:rsidRDefault="003B6436" w:rsidP="007E3322">
      <w:pPr>
        <w:spacing w:after="0" w:line="240" w:lineRule="auto"/>
        <w:ind w:left="708" w:right="709"/>
        <w:contextualSpacing/>
        <w:rPr>
          <w:rFonts w:ascii="Geomanist Light" w:eastAsia="Calibri" w:hAnsi="Geomanist Light"/>
          <w:color w:val="000000" w:themeColor="text1"/>
          <w:sz w:val="21"/>
          <w:szCs w:val="21"/>
          <w:lang w:val="es-CO"/>
        </w:rPr>
      </w:pPr>
    </w:p>
    <w:p w14:paraId="14A4F717" w14:textId="448227DC" w:rsidR="00D10562" w:rsidRPr="004D67EF" w:rsidRDefault="00D10562" w:rsidP="007E3322">
      <w:pPr>
        <w:spacing w:after="0" w:line="240" w:lineRule="auto"/>
        <w:ind w:left="708" w:right="709"/>
        <w:contextualSpacing/>
        <w:rPr>
          <w:rFonts w:ascii="Geomanist Light" w:eastAsia="Calibri" w:hAnsi="Geomanist Light"/>
          <w:color w:val="000000" w:themeColor="text1"/>
          <w:sz w:val="21"/>
          <w:szCs w:val="21"/>
          <w:lang w:val="es-CO"/>
        </w:rPr>
      </w:pPr>
      <w:r w:rsidRPr="004D67EF">
        <w:rPr>
          <w:rFonts w:ascii="Geomanist Light" w:eastAsia="Calibri" w:hAnsi="Geomanist Light"/>
          <w:color w:val="000000" w:themeColor="text1"/>
          <w:sz w:val="21"/>
          <w:szCs w:val="21"/>
          <w:lang w:val="es-CO"/>
        </w:rPr>
        <w:t>Sin embargo, en los casos a que se refieren los numerales 2o. y 3o. de este artículo podrá continuarse la ejecución con el garante de la obligación. </w:t>
      </w:r>
    </w:p>
    <w:p w14:paraId="5CE98C52" w14:textId="77777777" w:rsidR="003B6436" w:rsidRDefault="003B6436" w:rsidP="007E3322">
      <w:pPr>
        <w:spacing w:after="0" w:line="240" w:lineRule="auto"/>
        <w:ind w:left="708" w:right="709"/>
        <w:contextualSpacing/>
        <w:rPr>
          <w:rFonts w:ascii="Geomanist Light" w:eastAsia="Calibri" w:hAnsi="Geomanist Light"/>
          <w:color w:val="000000" w:themeColor="text1"/>
          <w:sz w:val="21"/>
          <w:szCs w:val="21"/>
          <w:lang w:val="es-CO"/>
        </w:rPr>
      </w:pPr>
    </w:p>
    <w:p w14:paraId="1E971AFC" w14:textId="731738C3" w:rsidR="00D10562" w:rsidRPr="004D67EF" w:rsidRDefault="00D10562" w:rsidP="007E3322">
      <w:pPr>
        <w:spacing w:after="0" w:line="240" w:lineRule="auto"/>
        <w:ind w:left="708" w:right="709"/>
        <w:contextualSpacing/>
        <w:rPr>
          <w:rFonts w:ascii="Geomanist Light" w:eastAsia="Calibri" w:hAnsi="Geomanist Light"/>
          <w:color w:val="000000" w:themeColor="text1"/>
          <w:sz w:val="21"/>
          <w:szCs w:val="21"/>
          <w:lang w:val="es-CO"/>
        </w:rPr>
      </w:pPr>
      <w:r w:rsidRPr="004D67EF">
        <w:rPr>
          <w:rFonts w:ascii="Geomanist Light" w:eastAsia="Calibri" w:hAnsi="Geomanist Light"/>
          <w:color w:val="000000" w:themeColor="text1"/>
          <w:sz w:val="21"/>
          <w:szCs w:val="21"/>
          <w:lang w:val="es-CO"/>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[Énfasis fuera de texto]</w:t>
      </w:r>
    </w:p>
    <w:p w14:paraId="2752A12F" w14:textId="600B8CD5" w:rsidR="007E3322" w:rsidRDefault="007E3322" w:rsidP="007E3322">
      <w:pPr>
        <w:spacing w:after="0" w:line="240" w:lineRule="auto"/>
        <w:ind w:left="708" w:right="709"/>
        <w:contextualSpacing/>
        <w:rPr>
          <w:rFonts w:ascii="Geomanist Light" w:eastAsia="Calibri" w:hAnsi="Geomanist Light" w:cs="Arial"/>
          <w:color w:val="000000" w:themeColor="text1"/>
          <w:sz w:val="22"/>
          <w:lang w:val="es-CO"/>
        </w:rPr>
      </w:pPr>
    </w:p>
    <w:p w14:paraId="3FD892B0" w14:textId="7F73DA3D" w:rsidR="00D10562" w:rsidRPr="00C161FB" w:rsidRDefault="00D10562" w:rsidP="004D67EF">
      <w:pPr>
        <w:spacing w:after="120"/>
        <w:ind w:firstLine="709"/>
        <w:rPr>
          <w:rFonts w:ascii="Geomanist Light" w:eastAsia="Calibri" w:hAnsi="Geomanist Light" w:cs="Arial"/>
          <w:color w:val="000000" w:themeColor="text1"/>
          <w:sz w:val="22"/>
          <w:lang w:val="es-CO"/>
        </w:rPr>
      </w:pPr>
      <w:r w:rsidRPr="00C161FB">
        <w:rPr>
          <w:rFonts w:ascii="Geomanist Light" w:eastAsia="Calibri" w:hAnsi="Geomanist Light" w:cs="Arial"/>
          <w:color w:val="000000" w:themeColor="text1"/>
          <w:sz w:val="22"/>
          <w:lang w:val="es-CO"/>
        </w:rPr>
        <w:t xml:space="preserve">Esta modalidad de terminación unilateral únicamente puede tener aplicación respecto de aquellos específicos contratos estatales señalados en el numeral 2 del artículo 14 de la Ley 80, esto es: </w:t>
      </w:r>
      <w:r w:rsidRPr="00C161FB">
        <w:rPr>
          <w:rFonts w:ascii="Geomanist Light" w:eastAsia="Calibri" w:hAnsi="Geomanist Light" w:cs="Arial"/>
          <w:i/>
          <w:iCs/>
          <w:color w:val="000000" w:themeColor="text1"/>
          <w:sz w:val="22"/>
          <w:lang w:val="es-CO"/>
        </w:rPr>
        <w:t xml:space="preserve">a) “en los contratos que tengan por objeto el ejercicio de una actividad que constituya monopolio estatal”; b) </w:t>
      </w:r>
      <w:r w:rsidRPr="00C161FB">
        <w:rPr>
          <w:rFonts w:ascii="Geomanist Light" w:eastAsia="Calibri" w:hAnsi="Geomanist Light" w:cs="Arial"/>
          <w:color w:val="000000" w:themeColor="text1"/>
          <w:sz w:val="22"/>
          <w:lang w:val="es-CO"/>
        </w:rPr>
        <w:t xml:space="preserve">en los contratos que tengan por objeto </w:t>
      </w:r>
      <w:r w:rsidRPr="00C161FB">
        <w:rPr>
          <w:rFonts w:ascii="Geomanist Light" w:eastAsia="Calibri" w:hAnsi="Geomanist Light" w:cs="Arial"/>
          <w:i/>
          <w:iCs/>
          <w:color w:val="000000" w:themeColor="text1"/>
          <w:sz w:val="22"/>
          <w:lang w:val="es-CO"/>
        </w:rPr>
        <w:t xml:space="preserve">“la prestación de servicios públicos”; c) </w:t>
      </w:r>
      <w:r w:rsidRPr="00C161FB">
        <w:rPr>
          <w:rFonts w:ascii="Geomanist Light" w:eastAsia="Calibri" w:hAnsi="Geomanist Light" w:cs="Arial"/>
          <w:color w:val="000000" w:themeColor="text1"/>
          <w:sz w:val="22"/>
          <w:lang w:val="es-CO"/>
        </w:rPr>
        <w:t xml:space="preserve">en los contratos que tengan por objeto </w:t>
      </w:r>
      <w:r w:rsidRPr="00C161FB">
        <w:rPr>
          <w:rFonts w:ascii="Geomanist Light" w:eastAsia="Calibri" w:hAnsi="Geomanist Light" w:cs="Arial"/>
          <w:i/>
          <w:iCs/>
          <w:color w:val="000000" w:themeColor="text1"/>
          <w:sz w:val="22"/>
          <w:lang w:val="es-CO"/>
        </w:rPr>
        <w:t xml:space="preserve">“la explotación y concesión de bienes del Estado” </w:t>
      </w:r>
      <w:r w:rsidRPr="00C161FB">
        <w:rPr>
          <w:rFonts w:ascii="Geomanist Light" w:eastAsia="Calibri" w:hAnsi="Geomanist Light" w:cs="Arial"/>
          <w:color w:val="000000" w:themeColor="text1"/>
          <w:sz w:val="22"/>
          <w:lang w:val="es-CO"/>
        </w:rPr>
        <w:t xml:space="preserve">y </w:t>
      </w:r>
      <w:r w:rsidRPr="00C161FB">
        <w:rPr>
          <w:rFonts w:ascii="Geomanist Light" w:eastAsia="Calibri" w:hAnsi="Geomanist Light" w:cs="Arial"/>
          <w:i/>
          <w:iCs/>
          <w:color w:val="000000" w:themeColor="text1"/>
          <w:sz w:val="22"/>
          <w:lang w:val="es-CO"/>
        </w:rPr>
        <w:t>d) “en los contratos de obra”</w:t>
      </w:r>
      <w:r w:rsidRPr="00C161FB">
        <w:rPr>
          <w:rFonts w:ascii="Geomanist Light" w:eastAsia="Calibri" w:hAnsi="Geomanist Light" w:cs="Arial"/>
          <w:color w:val="000000" w:themeColor="text1"/>
          <w:sz w:val="22"/>
          <w:lang w:val="es-CO"/>
        </w:rPr>
        <w:t xml:space="preserve">, en cuanto en todos ellos resulta imperativa la inclusión de la cláusula excepcional de terminación unilateral; así́ mismo podría aplicarse en aquellos </w:t>
      </w:r>
      <w:r w:rsidRPr="00C161FB">
        <w:rPr>
          <w:rFonts w:ascii="Geomanist Light" w:eastAsia="Calibri" w:hAnsi="Geomanist Light" w:cs="Arial"/>
          <w:i/>
          <w:iCs/>
          <w:color w:val="000000" w:themeColor="text1"/>
          <w:sz w:val="22"/>
          <w:lang w:val="es-CO"/>
        </w:rPr>
        <w:t xml:space="preserve">f) “contratos de suministro” </w:t>
      </w:r>
      <w:r w:rsidRPr="00C161FB">
        <w:rPr>
          <w:rFonts w:ascii="Geomanist Light" w:eastAsia="Calibri" w:hAnsi="Geomanist Light" w:cs="Arial"/>
          <w:color w:val="000000" w:themeColor="text1"/>
          <w:sz w:val="22"/>
          <w:lang w:val="es-CO"/>
        </w:rPr>
        <w:t xml:space="preserve">y </w:t>
      </w:r>
      <w:r w:rsidRPr="00C161FB">
        <w:rPr>
          <w:rFonts w:ascii="Geomanist Light" w:eastAsia="Calibri" w:hAnsi="Geomanist Light" w:cs="Arial"/>
          <w:i/>
          <w:iCs/>
          <w:color w:val="000000" w:themeColor="text1"/>
          <w:sz w:val="22"/>
          <w:lang w:val="es-CO"/>
        </w:rPr>
        <w:t xml:space="preserve">g) </w:t>
      </w:r>
      <w:r w:rsidRPr="00C161FB">
        <w:rPr>
          <w:rFonts w:ascii="Geomanist Light" w:eastAsia="Calibri" w:hAnsi="Geomanist Light" w:cs="Arial"/>
          <w:color w:val="000000" w:themeColor="text1"/>
          <w:sz w:val="22"/>
          <w:lang w:val="es-CO"/>
        </w:rPr>
        <w:t xml:space="preserve">contratos </w:t>
      </w:r>
      <w:r w:rsidRPr="00C161FB">
        <w:rPr>
          <w:rFonts w:ascii="Geomanist Light" w:eastAsia="Calibri" w:hAnsi="Geomanist Light" w:cs="Arial"/>
          <w:i/>
          <w:iCs/>
          <w:color w:val="000000" w:themeColor="text1"/>
          <w:sz w:val="22"/>
          <w:lang w:val="es-CO"/>
        </w:rPr>
        <w:t xml:space="preserve">“de prestación de servicios”, </w:t>
      </w:r>
      <w:r w:rsidRPr="00C161FB">
        <w:rPr>
          <w:rFonts w:ascii="Geomanist Light" w:eastAsia="Calibri" w:hAnsi="Geomanist Light" w:cs="Arial"/>
          <w:color w:val="000000" w:themeColor="text1"/>
          <w:sz w:val="22"/>
          <w:lang w:val="es-CO"/>
        </w:rPr>
        <w:t xml:space="preserve">en los cuales se hubiere incluido expresamente esa cláusula excepcional, comoquiera que en estos </w:t>
      </w:r>
      <w:r w:rsidRPr="00C161FB">
        <w:rPr>
          <w:rFonts w:ascii="Geomanist Light" w:eastAsia="Calibri" w:hAnsi="Geomanist Light" w:cs="Arial"/>
          <w:color w:val="000000" w:themeColor="text1"/>
          <w:sz w:val="22"/>
          <w:lang w:val="es-CO"/>
        </w:rPr>
        <w:lastRenderedPageBreak/>
        <w:t xml:space="preserve">dos (2) últimos dicha estipulación resulta facultativa y, por tanto, se encuentra expresamente autorizada por la ley su inclusión. </w:t>
      </w:r>
    </w:p>
    <w:p w14:paraId="64CB3D32" w14:textId="67341BDD" w:rsidR="00C02107" w:rsidRPr="00C161FB" w:rsidRDefault="00C02107" w:rsidP="004D67EF">
      <w:pPr>
        <w:spacing w:after="120"/>
        <w:ind w:firstLine="709"/>
        <w:rPr>
          <w:rFonts w:ascii="Geomanist Light" w:eastAsia="Calibri" w:hAnsi="Geomanist Light" w:cs="Arial"/>
          <w:color w:val="000000" w:themeColor="text1"/>
          <w:sz w:val="22"/>
          <w:lang w:val="es-CO"/>
        </w:rPr>
      </w:pPr>
      <w:r w:rsidRPr="00C161FB">
        <w:rPr>
          <w:rFonts w:ascii="Geomanist Light" w:eastAsia="Calibri" w:hAnsi="Geomanist Light" w:cs="Arial"/>
          <w:color w:val="000000" w:themeColor="text1"/>
          <w:sz w:val="22"/>
          <w:lang w:val="es-CO"/>
        </w:rPr>
        <w:t>En relación con la causal de terminación unilateral consagrada en el numeral 2 del artículo 17 de la Ley 80 de 1993</w:t>
      </w:r>
      <w:r w:rsidR="00C763A9" w:rsidRPr="00C161FB">
        <w:rPr>
          <w:rFonts w:ascii="Geomanist Light" w:eastAsia="Calibri" w:hAnsi="Geomanist Light" w:cs="Arial"/>
          <w:color w:val="000000" w:themeColor="text1"/>
          <w:sz w:val="22"/>
          <w:lang w:val="es-CO"/>
        </w:rPr>
        <w:t>,</w:t>
      </w:r>
      <w:r w:rsidR="00352B59" w:rsidRPr="00C161FB">
        <w:rPr>
          <w:rFonts w:ascii="Geomanist Light" w:eastAsia="Calibri" w:hAnsi="Geomanist Light" w:cs="Arial"/>
          <w:color w:val="000000" w:themeColor="text1"/>
          <w:sz w:val="22"/>
          <w:lang w:val="es-CO"/>
        </w:rPr>
        <w:t xml:space="preserve"> para efectos de resolver la pregunta </w:t>
      </w:r>
      <w:r w:rsidR="00ED5248" w:rsidRPr="00C161FB">
        <w:rPr>
          <w:rFonts w:ascii="Geomanist Light" w:eastAsia="Calibri" w:hAnsi="Geomanist Light" w:cs="Arial"/>
          <w:color w:val="000000" w:themeColor="text1"/>
          <w:sz w:val="22"/>
          <w:lang w:val="es-CO"/>
        </w:rPr>
        <w:t>planteada</w:t>
      </w:r>
      <w:r w:rsidR="00352B59" w:rsidRPr="00C161FB">
        <w:rPr>
          <w:rFonts w:ascii="Geomanist Light" w:eastAsia="Calibri" w:hAnsi="Geomanist Light" w:cs="Arial"/>
          <w:color w:val="000000" w:themeColor="text1"/>
          <w:sz w:val="22"/>
          <w:lang w:val="es-CO"/>
        </w:rPr>
        <w:t>,</w:t>
      </w:r>
      <w:r w:rsidRPr="00C161FB">
        <w:rPr>
          <w:rFonts w:ascii="Geomanist Light" w:eastAsia="Calibri" w:hAnsi="Geomanist Light" w:cs="Arial"/>
          <w:color w:val="000000" w:themeColor="text1"/>
          <w:sz w:val="22"/>
          <w:lang w:val="es-CO"/>
        </w:rPr>
        <w:t xml:space="preserve"> </w:t>
      </w:r>
      <w:r w:rsidR="00C763A9" w:rsidRPr="00C161FB">
        <w:rPr>
          <w:rFonts w:ascii="Geomanist Light" w:eastAsia="Calibri" w:hAnsi="Geomanist Light" w:cs="Arial"/>
          <w:color w:val="000000" w:themeColor="text1"/>
          <w:sz w:val="22"/>
          <w:lang w:val="es-CO"/>
        </w:rPr>
        <w:t>e</w:t>
      </w:r>
      <w:r w:rsidRPr="00C161FB">
        <w:rPr>
          <w:rFonts w:ascii="Geomanist Light" w:eastAsia="Calibri" w:hAnsi="Geomanist Light" w:cs="Arial"/>
          <w:color w:val="000000" w:themeColor="text1"/>
          <w:sz w:val="22"/>
          <w:lang w:val="es-CO"/>
        </w:rPr>
        <w:t xml:space="preserve">sta norma prevé como supuestos de hecho que ameritan la terminación unilateral y anticipada del contrato la «[…] muerte o incapacidad física permanente del contratista, si es persona natural, o por disolución de la persona jurídica del contratista». Esta causal se explica, tanto para la persona natural como para la persona jurídica, por la naturaleza </w:t>
      </w:r>
      <w:r w:rsidRPr="00C161FB">
        <w:rPr>
          <w:rFonts w:ascii="Geomanist Light" w:eastAsia="Calibri" w:hAnsi="Geomanist Light" w:cs="Arial"/>
          <w:i/>
          <w:iCs/>
          <w:color w:val="000000" w:themeColor="text1"/>
          <w:sz w:val="22"/>
          <w:lang w:val="es-CO"/>
        </w:rPr>
        <w:t xml:space="preserve">intuito </w:t>
      </w:r>
      <w:proofErr w:type="spellStart"/>
      <w:r w:rsidRPr="00C161FB">
        <w:rPr>
          <w:rFonts w:ascii="Geomanist Light" w:eastAsia="Calibri" w:hAnsi="Geomanist Light" w:cs="Arial"/>
          <w:i/>
          <w:iCs/>
          <w:color w:val="000000" w:themeColor="text1"/>
          <w:sz w:val="22"/>
          <w:lang w:val="es-CO"/>
        </w:rPr>
        <w:t>personae</w:t>
      </w:r>
      <w:proofErr w:type="spellEnd"/>
      <w:r w:rsidRPr="00C161FB">
        <w:rPr>
          <w:rFonts w:ascii="Geomanist Light" w:eastAsia="Calibri" w:hAnsi="Geomanist Light" w:cs="Arial"/>
          <w:color w:val="000000" w:themeColor="text1"/>
          <w:sz w:val="22"/>
          <w:lang w:val="es-CO"/>
        </w:rPr>
        <w:t xml:space="preserve"> del contrato estatal, según lo previsto en el inciso tercero del artículo 41 de la Ley 80 de 1993</w:t>
      </w:r>
      <w:r w:rsidRPr="00C161FB">
        <w:rPr>
          <w:rFonts w:ascii="Geomanist Light" w:eastAsia="Calibri" w:hAnsi="Geomanist Light" w:cs="Arial"/>
          <w:color w:val="000000" w:themeColor="text1"/>
          <w:sz w:val="22"/>
          <w:vertAlign w:val="superscript"/>
          <w:lang w:val="es-CO"/>
        </w:rPr>
        <w:footnoteReference w:id="4"/>
      </w:r>
      <w:r w:rsidRPr="00C161FB">
        <w:rPr>
          <w:rFonts w:ascii="Geomanist Light" w:eastAsia="Calibri" w:hAnsi="Geomanist Light" w:cs="Arial"/>
          <w:color w:val="000000" w:themeColor="text1"/>
          <w:sz w:val="22"/>
          <w:lang w:val="es-CO"/>
        </w:rPr>
        <w:t xml:space="preserve">. Por ello, la muerte o discapacidad permanente de la persona natural, así como la disolución de la persona jurídica, constituyen hechos que impiden que los sujetos que en virtud de sus calidades fueron escogidos para desarrollar el contrato puedan seguirlo </w:t>
      </w:r>
      <w:r w:rsidR="00ED5248" w:rsidRPr="00C161FB">
        <w:rPr>
          <w:rFonts w:ascii="Geomanist Light" w:eastAsia="Calibri" w:hAnsi="Geomanist Light" w:cs="Arial"/>
          <w:color w:val="000000" w:themeColor="text1"/>
          <w:sz w:val="22"/>
          <w:lang w:val="es-CO"/>
        </w:rPr>
        <w:t>haciendo, por</w:t>
      </w:r>
      <w:r w:rsidRPr="00C161FB">
        <w:rPr>
          <w:rFonts w:ascii="Geomanist Light" w:eastAsia="Calibri" w:hAnsi="Geomanist Light" w:cs="Arial"/>
          <w:color w:val="000000" w:themeColor="text1"/>
          <w:sz w:val="22"/>
          <w:lang w:val="es-CO"/>
        </w:rPr>
        <w:t xml:space="preserve"> lo que justifican la terminación del contrato, máxime aun considera</w:t>
      </w:r>
      <w:r w:rsidR="00C763A9" w:rsidRPr="00C161FB">
        <w:rPr>
          <w:rFonts w:ascii="Geomanist Light" w:eastAsia="Calibri" w:hAnsi="Geomanist Light" w:cs="Arial"/>
          <w:color w:val="000000" w:themeColor="text1"/>
          <w:sz w:val="22"/>
          <w:lang w:val="es-CO"/>
        </w:rPr>
        <w:t>n</w:t>
      </w:r>
      <w:r w:rsidRPr="00C161FB">
        <w:rPr>
          <w:rFonts w:ascii="Geomanist Light" w:eastAsia="Calibri" w:hAnsi="Geomanist Light" w:cs="Arial"/>
          <w:color w:val="000000" w:themeColor="text1"/>
          <w:sz w:val="22"/>
          <w:lang w:val="es-CO"/>
        </w:rPr>
        <w:t>do que tales calidades no se trasmiten a sus herederos o causahabientes</w:t>
      </w:r>
      <w:r w:rsidRPr="00C161FB">
        <w:rPr>
          <w:rFonts w:ascii="Geomanist Light" w:eastAsia="Calibri" w:hAnsi="Geomanist Light" w:cs="Arial"/>
          <w:color w:val="000000" w:themeColor="text1"/>
          <w:sz w:val="22"/>
          <w:vertAlign w:val="superscript"/>
          <w:lang w:val="es-CO"/>
        </w:rPr>
        <w:footnoteReference w:id="5"/>
      </w:r>
      <w:r w:rsidRPr="00C161FB">
        <w:rPr>
          <w:rFonts w:ascii="Geomanist Light" w:eastAsia="Calibri" w:hAnsi="Geomanist Light" w:cs="Arial"/>
          <w:color w:val="000000" w:themeColor="text1"/>
          <w:sz w:val="22"/>
          <w:lang w:val="es-CO"/>
        </w:rPr>
        <w:t>.</w:t>
      </w:r>
    </w:p>
    <w:p w14:paraId="49DE5E63" w14:textId="6DBDA4D9" w:rsidR="00C02107" w:rsidRPr="00C161FB" w:rsidRDefault="00C02107" w:rsidP="004D67EF">
      <w:pPr>
        <w:spacing w:after="120"/>
        <w:ind w:firstLine="709"/>
        <w:rPr>
          <w:rFonts w:ascii="Geomanist Light" w:eastAsia="Calibri" w:hAnsi="Geomanist Light" w:cs="Arial"/>
          <w:color w:val="000000" w:themeColor="text1"/>
          <w:sz w:val="22"/>
          <w:lang w:val="es-ES_tradnl"/>
        </w:rPr>
      </w:pPr>
      <w:r w:rsidRPr="00C161FB">
        <w:rPr>
          <w:rFonts w:ascii="Geomanist Light" w:eastAsia="Calibri" w:hAnsi="Geomanist Light" w:cs="Arial"/>
          <w:color w:val="000000" w:themeColor="text1"/>
          <w:sz w:val="22"/>
          <w:lang w:val="es-CO"/>
        </w:rPr>
        <w:t>Con todo, en aplicación del derecho civil, la muerte de una persona natural puede implicar la apertura de un proceso de sucesión, mediante el cual se transmiten todos los derechos y obligaciones que estaban a nombre del causante</w:t>
      </w:r>
      <w:r w:rsidRPr="00C161FB">
        <w:rPr>
          <w:rFonts w:ascii="Geomanist Light" w:eastAsia="Calibri" w:hAnsi="Geomanist Light" w:cs="Arial"/>
          <w:color w:val="000000" w:themeColor="text1"/>
          <w:sz w:val="22"/>
          <w:vertAlign w:val="superscript"/>
          <w:lang w:val="es-CO"/>
        </w:rPr>
        <w:footnoteReference w:id="6"/>
      </w:r>
      <w:r w:rsidRPr="00C161FB">
        <w:rPr>
          <w:rFonts w:ascii="Geomanist Light" w:eastAsia="Calibri" w:hAnsi="Geomanist Light" w:cs="Arial"/>
          <w:color w:val="000000" w:themeColor="text1"/>
          <w:sz w:val="22"/>
          <w:lang w:val="es-CO"/>
        </w:rPr>
        <w:t xml:space="preserve">, es decir, si el causante tenía un contrato vigente al momento de fallecer, esta posición podría llegar a ser ocupada por sus herederos, si cumplen con las condiciones necesarias para ejecutar el contrato. Lo anterior ha sido reconocido por parte del Consejo de Estado, donde ha puesto de presente: «[…] en </w:t>
      </w:r>
      <w:r w:rsidRPr="00C161FB">
        <w:rPr>
          <w:rFonts w:ascii="Geomanist Light" w:eastAsia="Calibri" w:hAnsi="Geomanist Light" w:cs="Arial"/>
          <w:color w:val="000000" w:themeColor="text1"/>
          <w:sz w:val="22"/>
          <w:lang w:val="es-CO"/>
        </w:rPr>
        <w:lastRenderedPageBreak/>
        <w:t>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C161FB">
        <w:rPr>
          <w:rFonts w:ascii="Geomanist Light" w:eastAsia="Calibri" w:hAnsi="Geomanist Light" w:cs="Arial"/>
          <w:color w:val="000000" w:themeColor="text1"/>
          <w:sz w:val="22"/>
          <w:lang w:val="es-ES_tradnl"/>
        </w:rPr>
        <w:t>».</w:t>
      </w:r>
      <w:r w:rsidRPr="00C161FB">
        <w:rPr>
          <w:rFonts w:ascii="Geomanist Light" w:eastAsia="Calibri" w:hAnsi="Geomanist Light" w:cs="Arial"/>
          <w:color w:val="000000" w:themeColor="text1"/>
          <w:sz w:val="22"/>
          <w:vertAlign w:val="superscript"/>
          <w:lang w:val="es-CO"/>
        </w:rPr>
        <w:footnoteReference w:id="7"/>
      </w:r>
    </w:p>
    <w:p w14:paraId="72D7D50D" w14:textId="77777777" w:rsidR="00C02107" w:rsidRPr="00D10562" w:rsidRDefault="00C02107" w:rsidP="00C02107">
      <w:pPr>
        <w:spacing w:after="0"/>
        <w:ind w:firstLine="708"/>
        <w:rPr>
          <w:rFonts w:ascii="Geomanist Light" w:eastAsia="Calibri" w:hAnsi="Geomanist Light" w:cs="Arial"/>
          <w:color w:val="000000" w:themeColor="text1"/>
          <w:sz w:val="22"/>
          <w:lang w:val="es-ES_tradnl"/>
        </w:rPr>
      </w:pPr>
      <w:r w:rsidRPr="00C161FB">
        <w:rPr>
          <w:rFonts w:ascii="Geomanist Light" w:eastAsia="Calibri" w:hAnsi="Geomanist Light" w:cs="Arial"/>
          <w:color w:val="000000" w:themeColor="text1"/>
          <w:sz w:val="22"/>
          <w:lang w:val="es-CO"/>
        </w:rPr>
        <w:t>Además, sea para contratistas persona natural o persona jurídica, el inciso final del artículo 17 de la Ley 80 de 1993 dispone que «[…] en los casos a que se refieren los numerales 2o. y 3o. de este artículo podrá continuarse la ejecución con el garante de la obligación</w:t>
      </w:r>
      <w:r w:rsidRPr="00C161FB">
        <w:rPr>
          <w:rFonts w:ascii="Geomanist Light" w:eastAsia="Calibri" w:hAnsi="Geomanist Light" w:cs="Arial"/>
          <w:color w:val="000000" w:themeColor="text1"/>
          <w:sz w:val="22"/>
          <w:lang w:val="es-ES_tradnl"/>
        </w:rPr>
        <w:t>». Es decir, si la persona natural muere o es declarada con incapacidad física permanente o si la persona jurídica se disuelve, la ejecución contractual puede continuar con el garante de la obligación.</w:t>
      </w:r>
      <w:r w:rsidRPr="00D10562">
        <w:rPr>
          <w:rFonts w:ascii="Geomanist Light" w:eastAsia="Calibri" w:hAnsi="Geomanist Light" w:cs="Arial"/>
          <w:color w:val="000000" w:themeColor="text1"/>
          <w:sz w:val="22"/>
          <w:lang w:val="es-ES_tradnl"/>
        </w:rPr>
        <w:t xml:space="preserve">  </w:t>
      </w:r>
    </w:p>
    <w:p w14:paraId="20F85DAE" w14:textId="77777777" w:rsidR="00C763A9" w:rsidRDefault="00C763A9" w:rsidP="00C763A9">
      <w:pPr>
        <w:spacing w:after="0"/>
        <w:ind w:firstLine="708"/>
        <w:rPr>
          <w:rFonts w:ascii="Geomanist Light" w:eastAsia="Calibri" w:hAnsi="Geomanist Light" w:cs="Arial"/>
          <w:b/>
          <w:bCs/>
          <w:color w:val="000000" w:themeColor="text1"/>
          <w:sz w:val="22"/>
          <w:lang w:val="es-CO"/>
        </w:rPr>
      </w:pPr>
    </w:p>
    <w:p w14:paraId="02873160" w14:textId="4B4D146E" w:rsidR="00C763A9" w:rsidRPr="00D10562" w:rsidRDefault="00C763A9" w:rsidP="004D67EF">
      <w:pPr>
        <w:spacing w:after="0"/>
        <w:contextualSpacing/>
        <w:rPr>
          <w:rFonts w:ascii="Geomanist Light" w:eastAsia="Calibri" w:hAnsi="Geomanist Light" w:cs="Arial"/>
          <w:b/>
          <w:bCs/>
          <w:color w:val="000000" w:themeColor="text1"/>
          <w:sz w:val="22"/>
          <w:lang w:val="es-CO"/>
        </w:rPr>
      </w:pPr>
      <w:r w:rsidRPr="00D10562">
        <w:rPr>
          <w:rFonts w:ascii="Geomanist Light" w:eastAsia="Calibri" w:hAnsi="Geomanist Light" w:cs="Arial"/>
          <w:b/>
          <w:bCs/>
          <w:color w:val="000000" w:themeColor="text1"/>
          <w:sz w:val="22"/>
          <w:lang w:val="es-CO"/>
        </w:rPr>
        <w:t>2.</w:t>
      </w:r>
      <w:r>
        <w:rPr>
          <w:rFonts w:ascii="Geomanist Light" w:eastAsia="Calibri" w:hAnsi="Geomanist Light" w:cs="Arial"/>
          <w:b/>
          <w:bCs/>
          <w:color w:val="000000" w:themeColor="text1"/>
          <w:sz w:val="22"/>
          <w:lang w:val="es-CO"/>
        </w:rPr>
        <w:t>2</w:t>
      </w:r>
      <w:r w:rsidRPr="00D10562">
        <w:rPr>
          <w:rFonts w:ascii="Geomanist Light" w:eastAsia="Calibri" w:hAnsi="Geomanist Light" w:cs="Arial"/>
          <w:b/>
          <w:bCs/>
          <w:color w:val="000000" w:themeColor="text1"/>
          <w:sz w:val="22"/>
          <w:lang w:val="es-CO"/>
        </w:rPr>
        <w:t xml:space="preserve">. </w:t>
      </w:r>
      <w:r>
        <w:rPr>
          <w:rFonts w:ascii="Geomanist Light" w:eastAsia="Calibri" w:hAnsi="Geomanist Light" w:cs="Arial"/>
          <w:b/>
          <w:bCs/>
          <w:color w:val="000000" w:themeColor="text1"/>
          <w:sz w:val="22"/>
          <w:lang w:val="es-CO"/>
        </w:rPr>
        <w:t>Liquidación del contrato</w:t>
      </w:r>
    </w:p>
    <w:p w14:paraId="69B5451B" w14:textId="77777777" w:rsidR="00C02107" w:rsidRPr="00D10562" w:rsidRDefault="00C02107" w:rsidP="00C02107">
      <w:pPr>
        <w:spacing w:after="0"/>
        <w:rPr>
          <w:rFonts w:ascii="Geomanist Light" w:eastAsia="Calibri" w:hAnsi="Geomanist Light" w:cs="Arial"/>
          <w:color w:val="000000" w:themeColor="text1"/>
          <w:sz w:val="22"/>
          <w:lang w:val="es-CO"/>
        </w:rPr>
      </w:pPr>
    </w:p>
    <w:p w14:paraId="528A9E69" w14:textId="78240678" w:rsidR="007A480B" w:rsidRDefault="00C02107" w:rsidP="004D67EF">
      <w:pPr>
        <w:spacing w:after="0"/>
        <w:rPr>
          <w:rFonts w:ascii="Geomanist Light" w:eastAsia="Calibri" w:hAnsi="Geomanist Light" w:cs="Arial"/>
          <w:color w:val="000000" w:themeColor="text1"/>
          <w:sz w:val="22"/>
          <w:lang w:val="es-CO"/>
        </w:rPr>
      </w:pPr>
      <w:r>
        <w:rPr>
          <w:rFonts w:ascii="Geomanist Light" w:eastAsia="Calibri" w:hAnsi="Geomanist Light" w:cs="Arial"/>
          <w:color w:val="000000" w:themeColor="text1"/>
          <w:sz w:val="22"/>
          <w:lang w:val="es-CO"/>
        </w:rPr>
        <w:t>Ahora bien, con relación a los efectos económicos de la terminación unilateral del contrato, tal</w:t>
      </w:r>
      <w:r w:rsidR="00D10562" w:rsidRPr="00D10562">
        <w:rPr>
          <w:rFonts w:ascii="Geomanist Light" w:eastAsia="Calibri" w:hAnsi="Geomanist Light" w:cs="Arial"/>
          <w:color w:val="000000" w:themeColor="text1"/>
          <w:sz w:val="22"/>
          <w:lang w:val="es-CO"/>
        </w:rPr>
        <w:t xml:space="preserve"> como lo ordena el inciso 2 del numeral 1 del citado artículo 14 de la Ley 80, cada vez que una entidad estatal ejerza esta potestad excepcional de terminación unilateral </w:t>
      </w:r>
      <w:r w:rsidR="00F57780" w:rsidRPr="00D10562">
        <w:rPr>
          <w:rFonts w:ascii="Geomanist Light" w:eastAsia="Calibri" w:hAnsi="Geomanist Light" w:cs="Arial"/>
          <w:color w:val="000000" w:themeColor="text1"/>
          <w:sz w:val="22"/>
          <w:lang w:val="es-CO"/>
        </w:rPr>
        <w:t>«[…]</w:t>
      </w:r>
      <w:r w:rsidR="00F57780" w:rsidRPr="00D10562" w:rsidDel="00F57780">
        <w:rPr>
          <w:rFonts w:ascii="Geomanist Light" w:eastAsia="Calibri" w:hAnsi="Geomanist Light" w:cs="Arial"/>
          <w:i/>
          <w:iCs/>
          <w:color w:val="000000" w:themeColor="text1"/>
          <w:sz w:val="22"/>
          <w:lang w:val="es-CO"/>
        </w:rPr>
        <w:t xml:space="preserve"> </w:t>
      </w:r>
      <w:r w:rsidR="00D10562" w:rsidRPr="00D10562">
        <w:rPr>
          <w:rFonts w:ascii="Geomanist Light" w:eastAsia="Calibri" w:hAnsi="Geomanist Light" w:cs="Arial"/>
          <w:i/>
          <w:iCs/>
          <w:color w:val="000000" w:themeColor="text1"/>
          <w:sz w:val="22"/>
          <w:lang w:val="es-CO"/>
        </w:rPr>
        <w:t>deberá́ procederse al reconocimiento y orden de pago de las compensación e indemnizaciones a que tengan derecho las personas objeto de tales medidas y se aplicarán los mecanismos de ajuste de las condiciones y términos contractuales a que haya lugar, todo ello con el fin de mantener la ecuación o equilibrio inicial</w:t>
      </w:r>
      <w:r w:rsidR="00F57780" w:rsidRPr="00D10562">
        <w:rPr>
          <w:rFonts w:ascii="Geomanist Light" w:eastAsia="Calibri" w:hAnsi="Geomanist Light" w:cs="Arial"/>
          <w:color w:val="000000" w:themeColor="text1"/>
          <w:sz w:val="22"/>
          <w:lang w:val="es-CO"/>
        </w:rPr>
        <w:t>[…]</w:t>
      </w:r>
      <w:r w:rsidR="00F57780" w:rsidRPr="00D10562">
        <w:rPr>
          <w:rFonts w:ascii="Geomanist Light" w:eastAsia="Calibri" w:hAnsi="Geomanist Light" w:cs="Arial"/>
          <w:color w:val="000000" w:themeColor="text1"/>
          <w:sz w:val="22"/>
          <w:lang w:val="es-ES_tradnl"/>
        </w:rPr>
        <w:t>».</w:t>
      </w:r>
      <w:r w:rsidR="00D10562" w:rsidRPr="00D10562">
        <w:rPr>
          <w:rFonts w:ascii="Geomanist Light" w:eastAsia="Calibri" w:hAnsi="Geomanist Light" w:cs="Arial"/>
          <w:i/>
          <w:iCs/>
          <w:color w:val="000000" w:themeColor="text1"/>
          <w:sz w:val="22"/>
          <w:lang w:val="es-CO"/>
        </w:rPr>
        <w:t xml:space="preserve"> </w:t>
      </w:r>
      <w:r w:rsidR="007A480B">
        <w:rPr>
          <w:rFonts w:ascii="Geomanist Light" w:eastAsia="Calibri" w:hAnsi="Geomanist Light" w:cs="Arial"/>
          <w:color w:val="000000" w:themeColor="text1"/>
          <w:sz w:val="22"/>
          <w:lang w:val="es-CO"/>
        </w:rPr>
        <w:t xml:space="preserve">De manera que se deberá proceder a la liquidación del contrato en los términos del </w:t>
      </w:r>
      <w:r w:rsidR="007A480B" w:rsidRPr="007A480B">
        <w:rPr>
          <w:rFonts w:ascii="Geomanist Light" w:eastAsia="Calibri" w:hAnsi="Geomanist Light" w:cs="Arial"/>
          <w:color w:val="000000" w:themeColor="text1"/>
          <w:sz w:val="22"/>
          <w:lang w:val="es-CO"/>
        </w:rPr>
        <w:t>artículo 60 de la Ley 80 de 1993, modificado por el artículo 32 de la Ley 1150 de 2017 y el artículo 217 del Decreto Ley 019 de 2017</w:t>
      </w:r>
      <w:r w:rsidR="007A480B">
        <w:rPr>
          <w:rFonts w:ascii="Geomanist Light" w:eastAsia="Calibri" w:hAnsi="Geomanist Light" w:cs="Arial"/>
          <w:color w:val="000000" w:themeColor="text1"/>
          <w:sz w:val="22"/>
          <w:lang w:val="es-CO"/>
        </w:rPr>
        <w:t>:</w:t>
      </w:r>
    </w:p>
    <w:p w14:paraId="2AEC09EC" w14:textId="77777777" w:rsidR="007A480B" w:rsidRDefault="007A480B" w:rsidP="004D67EF">
      <w:pPr>
        <w:spacing w:after="0"/>
        <w:ind w:firstLine="708"/>
        <w:contextualSpacing/>
        <w:rPr>
          <w:rFonts w:ascii="Geomanist Light" w:eastAsia="Calibri" w:hAnsi="Geomanist Light" w:cs="Arial"/>
          <w:color w:val="000000" w:themeColor="text1"/>
          <w:sz w:val="22"/>
          <w:lang w:val="es-CO"/>
        </w:rPr>
      </w:pPr>
    </w:p>
    <w:p w14:paraId="3C456C2A" w14:textId="24D0F268" w:rsidR="007A480B" w:rsidRDefault="007A480B" w:rsidP="004D67EF">
      <w:pPr>
        <w:spacing w:after="0" w:line="240" w:lineRule="auto"/>
        <w:ind w:left="708" w:right="709"/>
        <w:contextualSpacing/>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Artículo 60. De la ocurrencia y contenido de la liquidación. Los contratos de tracto sucesivo, aquellos cuya ejecución o cumplimiento se prolongue en el tiempo y los demás que lo requieran, serán objeto de liquidación.</w:t>
      </w:r>
    </w:p>
    <w:p w14:paraId="7EF05472" w14:textId="77777777" w:rsidR="00D23ADE" w:rsidRPr="007A480B" w:rsidRDefault="00D23ADE" w:rsidP="004D67EF">
      <w:pPr>
        <w:spacing w:after="0" w:line="240" w:lineRule="auto"/>
        <w:ind w:left="708" w:right="709"/>
        <w:contextualSpacing/>
        <w:rPr>
          <w:rFonts w:ascii="Geomanist Light" w:eastAsia="Calibri" w:hAnsi="Geomanist Light" w:cs="Arial"/>
          <w:color w:val="000000" w:themeColor="text1"/>
          <w:sz w:val="21"/>
          <w:szCs w:val="21"/>
          <w:lang w:val="es-ES"/>
        </w:rPr>
      </w:pPr>
    </w:p>
    <w:p w14:paraId="4E536165" w14:textId="77777777" w:rsidR="007A480B" w:rsidRPr="007A480B" w:rsidRDefault="007A480B" w:rsidP="004D67EF">
      <w:pPr>
        <w:spacing w:after="0" w:line="240" w:lineRule="auto"/>
        <w:ind w:left="708" w:right="709"/>
        <w:contextualSpacing/>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También en esta etapa las partes acordarán los ajustes, revisiones y reconocimientos a que haya lugar.</w:t>
      </w:r>
    </w:p>
    <w:p w14:paraId="43F95391" w14:textId="77777777" w:rsidR="00D23ADE" w:rsidRDefault="00D23ADE" w:rsidP="004D67EF">
      <w:pPr>
        <w:spacing w:after="0" w:line="240" w:lineRule="auto"/>
        <w:ind w:left="708" w:right="709"/>
        <w:contextualSpacing/>
        <w:rPr>
          <w:rFonts w:ascii="Geomanist Light" w:eastAsia="Calibri" w:hAnsi="Geomanist Light" w:cs="Arial"/>
          <w:color w:val="000000" w:themeColor="text1"/>
          <w:sz w:val="21"/>
          <w:szCs w:val="21"/>
          <w:lang w:val="es-ES"/>
        </w:rPr>
      </w:pPr>
    </w:p>
    <w:p w14:paraId="6FCC4D3C" w14:textId="4D221127" w:rsidR="007A480B" w:rsidRDefault="007A480B" w:rsidP="00F57780">
      <w:pPr>
        <w:spacing w:after="0" w:line="240" w:lineRule="auto"/>
        <w:ind w:left="708" w:right="709"/>
        <w:contextualSpacing/>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En el acta de liquidación constarán los acuerdos, conciliaciones y transacciones a que llegaren las partes para poner fin a las divergencias presentadas y poder declararse a paz y salvo.</w:t>
      </w:r>
    </w:p>
    <w:p w14:paraId="2EF8EB12" w14:textId="77777777" w:rsidR="00F57780" w:rsidRPr="007A480B" w:rsidRDefault="00F57780" w:rsidP="004D67EF">
      <w:pPr>
        <w:spacing w:after="0" w:line="240" w:lineRule="auto"/>
        <w:ind w:left="708" w:right="709"/>
        <w:contextualSpacing/>
        <w:rPr>
          <w:rFonts w:ascii="Geomanist Light" w:eastAsia="Calibri" w:hAnsi="Geomanist Light" w:cs="Arial"/>
          <w:color w:val="000000" w:themeColor="text1"/>
          <w:sz w:val="21"/>
          <w:szCs w:val="21"/>
          <w:lang w:val="es-ES"/>
        </w:rPr>
      </w:pPr>
    </w:p>
    <w:p w14:paraId="0BBBE612" w14:textId="6A748D78" w:rsidR="007A480B" w:rsidRDefault="007A480B" w:rsidP="004D67EF">
      <w:pPr>
        <w:spacing w:after="0" w:line="240" w:lineRule="auto"/>
        <w:ind w:left="708" w:right="709"/>
        <w:contextualSpacing/>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1464163A" w14:textId="77777777" w:rsidR="00D23ADE" w:rsidRPr="00D10562" w:rsidRDefault="00D23ADE" w:rsidP="004D67EF">
      <w:pPr>
        <w:spacing w:after="0" w:line="240" w:lineRule="auto"/>
        <w:ind w:left="708" w:right="709"/>
        <w:contextualSpacing/>
        <w:rPr>
          <w:rFonts w:ascii="Geomanist Light" w:eastAsia="Calibri" w:hAnsi="Geomanist Light" w:cs="Arial"/>
          <w:color w:val="000000" w:themeColor="text1"/>
          <w:sz w:val="21"/>
          <w:szCs w:val="21"/>
          <w:lang w:val="es-ES"/>
        </w:rPr>
      </w:pPr>
    </w:p>
    <w:p w14:paraId="4275E9F9" w14:textId="77777777" w:rsidR="007A480B" w:rsidRDefault="007A480B" w:rsidP="004D67EF">
      <w:pPr>
        <w:spacing w:after="0" w:line="240" w:lineRule="auto"/>
        <w:ind w:left="708" w:right="709"/>
        <w:contextualSpacing/>
        <w:rPr>
          <w:rFonts w:ascii="Geomanist Light" w:hAnsi="Geomanist Light" w:cs="Arial"/>
          <w:sz w:val="22"/>
          <w:lang w:val="es-CO"/>
        </w:rPr>
      </w:pPr>
      <w:r w:rsidRPr="007A480B">
        <w:rPr>
          <w:rFonts w:ascii="Geomanist Light" w:hAnsi="Geomanist Light" w:cs="Arial"/>
          <w:sz w:val="21"/>
          <w:szCs w:val="21"/>
          <w:lang w:val="es-CO"/>
        </w:rPr>
        <w:t>La liquidación a que se refiere el presente artículo no será obligatoria en los contratos de prestación de servicios profesionales y de apoyo a la gestión.</w:t>
      </w:r>
    </w:p>
    <w:p w14:paraId="3F670770" w14:textId="526FE5DB" w:rsidR="00D10562" w:rsidRDefault="00D10562" w:rsidP="004D67EF">
      <w:pPr>
        <w:spacing w:after="0"/>
        <w:ind w:firstLine="708"/>
        <w:contextualSpacing/>
        <w:rPr>
          <w:rFonts w:ascii="Geomanist Light" w:eastAsia="Calibri" w:hAnsi="Geomanist Light" w:cs="Arial"/>
          <w:color w:val="000000" w:themeColor="text1"/>
          <w:sz w:val="22"/>
          <w:lang w:val="es-CO"/>
        </w:rPr>
      </w:pPr>
    </w:p>
    <w:p w14:paraId="7528EDE5" w14:textId="77777777" w:rsidR="007A480B" w:rsidRPr="007A480B" w:rsidRDefault="007A480B" w:rsidP="007A480B">
      <w:pPr>
        <w:spacing w:after="0"/>
        <w:ind w:firstLine="708"/>
        <w:rPr>
          <w:rFonts w:ascii="Geomanist Light" w:eastAsia="Calibri" w:hAnsi="Geomanist Light" w:cs="Arial"/>
          <w:color w:val="000000" w:themeColor="text1"/>
          <w:sz w:val="22"/>
          <w:lang w:val="es-ES"/>
        </w:rPr>
      </w:pPr>
      <w:r w:rsidRPr="007A480B">
        <w:rPr>
          <w:rFonts w:ascii="Geomanist Light" w:eastAsia="Calibri" w:hAnsi="Geomanist Light" w:cs="Arial"/>
          <w:color w:val="000000" w:themeColor="text1"/>
          <w:sz w:val="22"/>
          <w:lang w:val="es-ES"/>
        </w:rPr>
        <w:t>A su turno, respecto a la manera de llevar a cabo la liquidación, y cuál es la oportunidad para ello, el artículo 11 de la ley 1150 de 2007 establece lo siguiente:</w:t>
      </w:r>
    </w:p>
    <w:p w14:paraId="3E3B51F8" w14:textId="77777777" w:rsidR="007A480B" w:rsidRPr="007A480B" w:rsidRDefault="007A480B" w:rsidP="007A480B">
      <w:pPr>
        <w:spacing w:after="0"/>
        <w:ind w:firstLine="708"/>
        <w:rPr>
          <w:rFonts w:ascii="Geomanist Light" w:eastAsia="Calibri" w:hAnsi="Geomanist Light" w:cs="Arial"/>
          <w:color w:val="000000" w:themeColor="text1"/>
          <w:sz w:val="22"/>
          <w:lang w:val="es-ES"/>
        </w:rPr>
      </w:pPr>
    </w:p>
    <w:p w14:paraId="7CBAAEB0" w14:textId="791E1244" w:rsidR="007A480B" w:rsidRDefault="007A480B" w:rsidP="007A480B">
      <w:pPr>
        <w:spacing w:after="0" w:line="240" w:lineRule="auto"/>
        <w:ind w:left="708" w:right="709"/>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11AFA0C2" w14:textId="77777777" w:rsidR="00F57780" w:rsidRPr="007A480B" w:rsidRDefault="00F57780" w:rsidP="007A480B">
      <w:pPr>
        <w:spacing w:after="0" w:line="240" w:lineRule="auto"/>
        <w:ind w:left="708" w:right="709"/>
        <w:rPr>
          <w:rFonts w:ascii="Geomanist Light" w:eastAsia="Calibri" w:hAnsi="Geomanist Light" w:cs="Arial"/>
          <w:color w:val="000000" w:themeColor="text1"/>
          <w:sz w:val="21"/>
          <w:szCs w:val="21"/>
          <w:lang w:val="es-ES"/>
        </w:rPr>
      </w:pPr>
    </w:p>
    <w:p w14:paraId="603EDC23" w14:textId="60704ADD" w:rsidR="007A480B" w:rsidRPr="007A480B" w:rsidRDefault="007A480B" w:rsidP="007A480B">
      <w:pPr>
        <w:spacing w:after="0" w:line="240" w:lineRule="auto"/>
        <w:ind w:left="708" w:right="709"/>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5CEAE006" w14:textId="27D78393" w:rsidR="007A480B" w:rsidRDefault="007A480B" w:rsidP="007A480B">
      <w:pPr>
        <w:spacing w:after="0" w:line="240" w:lineRule="auto"/>
        <w:ind w:left="708" w:right="709"/>
        <w:rPr>
          <w:rFonts w:ascii="Geomanist Light" w:eastAsia="Calibri" w:hAnsi="Geomanist Light" w:cs="Arial"/>
          <w:color w:val="000000" w:themeColor="text1"/>
          <w:sz w:val="21"/>
          <w:szCs w:val="21"/>
          <w:lang w:val="es-ES"/>
        </w:rPr>
      </w:pPr>
      <w:r w:rsidRPr="007A480B">
        <w:rPr>
          <w:rFonts w:ascii="Geomanist Light" w:eastAsia="Calibri" w:hAnsi="Geomanist Light" w:cs="Arial"/>
          <w:color w:val="000000" w:themeColor="text1"/>
          <w:sz w:val="21"/>
          <w:szCs w:val="21"/>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11DF6A15" w14:textId="77777777" w:rsidR="00F57780" w:rsidRDefault="00F57780" w:rsidP="007A480B">
      <w:pPr>
        <w:spacing w:after="0" w:line="240" w:lineRule="auto"/>
        <w:ind w:left="708" w:right="709"/>
        <w:rPr>
          <w:rFonts w:ascii="Geomanist Light" w:eastAsia="Calibri" w:hAnsi="Geomanist Light" w:cs="Arial"/>
          <w:color w:val="000000" w:themeColor="text1"/>
          <w:sz w:val="21"/>
          <w:szCs w:val="21"/>
          <w:lang w:val="es-ES"/>
        </w:rPr>
      </w:pPr>
    </w:p>
    <w:p w14:paraId="491BAEF1" w14:textId="39A13C0B" w:rsidR="007A480B" w:rsidRPr="007A480B" w:rsidRDefault="007A480B" w:rsidP="007A480B">
      <w:pPr>
        <w:spacing w:after="0" w:line="240" w:lineRule="auto"/>
        <w:ind w:left="708" w:right="709"/>
        <w:rPr>
          <w:rFonts w:ascii="Geomanist Light" w:eastAsia="Calibri" w:hAnsi="Geomanist Light" w:cs="Arial"/>
          <w:color w:val="000000" w:themeColor="text1"/>
          <w:sz w:val="21"/>
          <w:szCs w:val="21"/>
          <w:lang w:val="es-CO"/>
        </w:rPr>
      </w:pPr>
      <w:r w:rsidRPr="007A480B">
        <w:rPr>
          <w:rFonts w:ascii="Geomanist Light" w:eastAsia="Calibri" w:hAnsi="Geomanist Light" w:cs="Arial"/>
          <w:color w:val="000000" w:themeColor="text1"/>
          <w:sz w:val="21"/>
          <w:szCs w:val="21"/>
          <w:lang w:val="es-ES"/>
        </w:rPr>
        <w:t>Los contratistas tendrán derecho a efectuar salvedades a la liquidación por mutuo acuerdo, y en este evento la liquidación unilateral solo procederá en relación con los aspectos que no hayan sido objeto de acuerdo.</w:t>
      </w:r>
    </w:p>
    <w:p w14:paraId="461322C0" w14:textId="77777777" w:rsidR="007A480B" w:rsidRPr="007A480B" w:rsidRDefault="007A480B" w:rsidP="007A480B">
      <w:pPr>
        <w:spacing w:after="0"/>
        <w:ind w:firstLine="708"/>
        <w:rPr>
          <w:rFonts w:ascii="Geomanist Light" w:eastAsia="Calibri" w:hAnsi="Geomanist Light" w:cs="Arial"/>
          <w:color w:val="000000" w:themeColor="text1"/>
          <w:sz w:val="22"/>
          <w:lang w:val="es-ES"/>
        </w:rPr>
      </w:pPr>
    </w:p>
    <w:p w14:paraId="5B1124B0" w14:textId="19190F59" w:rsidR="00F57780" w:rsidRDefault="007A480B" w:rsidP="004D67EF">
      <w:pPr>
        <w:spacing w:after="120"/>
        <w:ind w:firstLine="709"/>
        <w:rPr>
          <w:rFonts w:ascii="Geomanist Light" w:eastAsia="Calibri" w:hAnsi="Geomanist Light" w:cs="Arial"/>
          <w:color w:val="000000" w:themeColor="text1"/>
          <w:sz w:val="22"/>
          <w:lang w:val="es-ES"/>
        </w:rPr>
      </w:pPr>
      <w:r w:rsidRPr="007A480B">
        <w:rPr>
          <w:rFonts w:ascii="Geomanist Light" w:eastAsia="Calibri" w:hAnsi="Geomanist Light" w:cs="Arial"/>
          <w:color w:val="000000" w:themeColor="text1"/>
          <w:sz w:val="22"/>
          <w:lang w:val="es-ES"/>
        </w:rPr>
        <w:t>De esta norma se infiere que la liquidación del contrato puede hacerse de tres</w:t>
      </w:r>
      <w:r w:rsidR="00F57780">
        <w:rPr>
          <w:rFonts w:ascii="Geomanist Light" w:eastAsia="Calibri" w:hAnsi="Geomanist Light" w:cs="Arial"/>
          <w:color w:val="000000" w:themeColor="text1"/>
          <w:sz w:val="22"/>
          <w:lang w:val="es-ES"/>
        </w:rPr>
        <w:t xml:space="preserve"> (3)</w:t>
      </w:r>
      <w:r w:rsidRPr="007A480B">
        <w:rPr>
          <w:rFonts w:ascii="Geomanist Light" w:eastAsia="Calibri" w:hAnsi="Geomanist Light" w:cs="Arial"/>
          <w:color w:val="000000" w:themeColor="text1"/>
          <w:sz w:val="22"/>
          <w:lang w:val="es-ES"/>
        </w:rPr>
        <w:t xml:space="preserve"> formas: </w:t>
      </w:r>
      <w:r w:rsidR="00F57780">
        <w:rPr>
          <w:rFonts w:ascii="Geomanist Light" w:eastAsia="Calibri" w:hAnsi="Geomanist Light" w:cs="Arial"/>
          <w:color w:val="000000" w:themeColor="text1"/>
          <w:sz w:val="22"/>
          <w:lang w:val="es-ES"/>
        </w:rPr>
        <w:t xml:space="preserve">i) </w:t>
      </w:r>
      <w:r w:rsidRPr="007A480B">
        <w:rPr>
          <w:rFonts w:ascii="Geomanist Light" w:eastAsia="Calibri" w:hAnsi="Geomanist Light" w:cs="Arial"/>
          <w:color w:val="000000" w:themeColor="text1"/>
          <w:sz w:val="22"/>
          <w:lang w:val="es-ES"/>
        </w:rPr>
        <w:t xml:space="preserve">De mutuo acuerdo; </w:t>
      </w:r>
      <w:proofErr w:type="spellStart"/>
      <w:r w:rsidR="00F57780">
        <w:rPr>
          <w:rFonts w:ascii="Geomanist Light" w:eastAsia="Calibri" w:hAnsi="Geomanist Light" w:cs="Arial"/>
          <w:color w:val="000000" w:themeColor="text1"/>
          <w:sz w:val="22"/>
          <w:lang w:val="es-ES"/>
        </w:rPr>
        <w:t>ii</w:t>
      </w:r>
      <w:proofErr w:type="spellEnd"/>
      <w:r w:rsidR="00F57780">
        <w:rPr>
          <w:rFonts w:ascii="Geomanist Light" w:eastAsia="Calibri" w:hAnsi="Geomanist Light" w:cs="Arial"/>
          <w:color w:val="000000" w:themeColor="text1"/>
          <w:sz w:val="22"/>
          <w:lang w:val="es-ES"/>
        </w:rPr>
        <w:t xml:space="preserve">) </w:t>
      </w:r>
      <w:r w:rsidRPr="007A480B">
        <w:rPr>
          <w:rFonts w:ascii="Geomanist Light" w:eastAsia="Calibri" w:hAnsi="Geomanist Light" w:cs="Arial"/>
          <w:color w:val="000000" w:themeColor="text1"/>
          <w:sz w:val="22"/>
          <w:lang w:val="es-ES"/>
        </w:rPr>
        <w:t>unilateralmente, por parte de la entidad contratante y</w:t>
      </w:r>
      <w:r w:rsidR="00F57780">
        <w:rPr>
          <w:rFonts w:ascii="Geomanist Light" w:eastAsia="Calibri" w:hAnsi="Geomanist Light" w:cs="Arial"/>
          <w:color w:val="000000" w:themeColor="text1"/>
          <w:sz w:val="22"/>
          <w:lang w:val="es-ES"/>
        </w:rPr>
        <w:t>;</w:t>
      </w:r>
      <w:r w:rsidRPr="007A480B">
        <w:rPr>
          <w:rFonts w:ascii="Geomanist Light" w:eastAsia="Calibri" w:hAnsi="Geomanist Light" w:cs="Arial"/>
          <w:color w:val="000000" w:themeColor="text1"/>
          <w:sz w:val="22"/>
          <w:lang w:val="es-ES"/>
        </w:rPr>
        <w:t xml:space="preserve"> </w:t>
      </w:r>
      <w:proofErr w:type="spellStart"/>
      <w:r w:rsidR="00F57780">
        <w:rPr>
          <w:rFonts w:ascii="Geomanist Light" w:eastAsia="Calibri" w:hAnsi="Geomanist Light" w:cs="Arial"/>
          <w:color w:val="000000" w:themeColor="text1"/>
          <w:sz w:val="22"/>
          <w:lang w:val="es-ES"/>
        </w:rPr>
        <w:t>iii</w:t>
      </w:r>
      <w:proofErr w:type="spellEnd"/>
      <w:r w:rsidR="00F57780">
        <w:rPr>
          <w:rFonts w:ascii="Geomanist Light" w:eastAsia="Calibri" w:hAnsi="Geomanist Light" w:cs="Arial"/>
          <w:color w:val="000000" w:themeColor="text1"/>
          <w:sz w:val="22"/>
          <w:lang w:val="es-ES"/>
        </w:rPr>
        <w:t xml:space="preserve">) </w:t>
      </w:r>
      <w:r w:rsidRPr="007A480B">
        <w:rPr>
          <w:rFonts w:ascii="Geomanist Light" w:eastAsia="Calibri" w:hAnsi="Geomanist Light" w:cs="Arial"/>
          <w:color w:val="000000" w:themeColor="text1"/>
          <w:sz w:val="22"/>
          <w:lang w:val="es-ES"/>
        </w:rPr>
        <w:t>judicialmente, previa formulación de la correspondiente pretensión ante el juez del contrato, antes de que se configure la caducidad del medio de control</w:t>
      </w:r>
      <w:r>
        <w:rPr>
          <w:rFonts w:ascii="Geomanist Light" w:eastAsia="Calibri" w:hAnsi="Geomanist Light" w:cs="Arial"/>
          <w:color w:val="000000" w:themeColor="text1"/>
          <w:sz w:val="22"/>
          <w:lang w:val="es-ES"/>
        </w:rPr>
        <w:t xml:space="preserve">. </w:t>
      </w:r>
    </w:p>
    <w:p w14:paraId="48F2EF9B" w14:textId="0E11C722" w:rsidR="007A480B" w:rsidRPr="00F51D1B" w:rsidRDefault="007A480B" w:rsidP="004D67EF">
      <w:pPr>
        <w:spacing w:after="120"/>
        <w:ind w:firstLine="708"/>
        <w:rPr>
          <w:rFonts w:ascii="Geomanist Light" w:eastAsia="Calibri" w:hAnsi="Geomanist Light" w:cs="Arial"/>
          <w:color w:val="000000" w:themeColor="text1"/>
          <w:sz w:val="22"/>
          <w:lang w:val="es-ES"/>
        </w:rPr>
      </w:pPr>
      <w:r w:rsidRPr="007A480B">
        <w:rPr>
          <w:rFonts w:ascii="Geomanist Light" w:eastAsia="Calibri" w:hAnsi="Geomanist Light" w:cs="Arial"/>
          <w:color w:val="000000" w:themeColor="text1"/>
          <w:sz w:val="22"/>
          <w:lang w:val="es-ES"/>
        </w:rPr>
        <w:lastRenderedPageBreak/>
        <w:t xml:space="preserve">Si se requiere conocer aspectos adicionales en relación con la liquidación de los contratos estatales, esta Subdirección pone en consideración la “Guía para la liquidación de los Procesos de Contratación”, que se encuentra publicada en la página web de Colombia Compra Eficiente, en el siguiente enlace: </w:t>
      </w:r>
      <w:hyperlink r:id="rId11" w:history="1">
        <w:r w:rsidR="00A05463" w:rsidRPr="00E0611D">
          <w:rPr>
            <w:rStyle w:val="Hipervnculo"/>
            <w:rFonts w:ascii="Geomanist Light" w:eastAsia="Calibri" w:hAnsi="Geomanist Light" w:cs="Arial"/>
            <w:sz w:val="22"/>
            <w:lang w:val="es-ES"/>
          </w:rPr>
          <w:t>https://www.colombiacompra.gov.co/manuales-guias-y-pliegos-tipo/manuales-y-guias</w:t>
        </w:r>
      </w:hyperlink>
      <w:r w:rsidR="00A05463">
        <w:rPr>
          <w:rFonts w:ascii="Geomanist Light" w:eastAsia="Calibri" w:hAnsi="Geomanist Light" w:cs="Arial"/>
          <w:color w:val="000000" w:themeColor="text1"/>
          <w:sz w:val="22"/>
          <w:lang w:val="es-ES"/>
        </w:rPr>
        <w:t xml:space="preserve"> </w:t>
      </w:r>
    </w:p>
    <w:p w14:paraId="51F31C72" w14:textId="3BAEEE51" w:rsidR="00C37B7B" w:rsidRPr="00D10562" w:rsidRDefault="00D10562" w:rsidP="00C763A9">
      <w:pPr>
        <w:spacing w:after="0"/>
        <w:ind w:firstLine="708"/>
        <w:rPr>
          <w:rFonts w:ascii="Geomanist Light" w:eastAsia="Calibri" w:hAnsi="Geomanist Light" w:cs="Arial"/>
          <w:color w:val="000000" w:themeColor="text1"/>
          <w:sz w:val="22"/>
          <w:lang w:val="es-CO"/>
        </w:rPr>
      </w:pPr>
      <w:r w:rsidRPr="00D10562">
        <w:rPr>
          <w:rFonts w:ascii="Geomanist Light" w:eastAsia="Calibri" w:hAnsi="Geomanist Light" w:cs="Arial"/>
          <w:color w:val="000000" w:themeColor="text1"/>
          <w:sz w:val="22"/>
          <w:lang w:val="es-CO"/>
        </w:rPr>
        <w:t xml:space="preserve">Conforme a lo anterior, la terminación unilateral del contrato es una prerrogativa excepcional que, lejos de fungir como un acto represivo contra el contratista o en contra de la ejecución del contrato mismo, constituye una herramienta cuyo fin exclusivo es el de lograr el cabal cumplimiento de los cometidos estatales. </w:t>
      </w:r>
      <w:r w:rsidR="00A05463">
        <w:rPr>
          <w:rFonts w:ascii="Geomanist Light" w:eastAsia="Calibri" w:hAnsi="Geomanist Light" w:cs="Arial"/>
          <w:color w:val="000000" w:themeColor="text1"/>
          <w:sz w:val="22"/>
          <w:lang w:val="es-CO"/>
        </w:rPr>
        <w:t>En ese sentido</w:t>
      </w:r>
      <w:r w:rsidRPr="00D10562">
        <w:rPr>
          <w:rFonts w:ascii="Geomanist Light" w:eastAsia="Calibri" w:hAnsi="Geomanist Light" w:cs="Arial"/>
          <w:color w:val="000000" w:themeColor="text1"/>
          <w:sz w:val="22"/>
          <w:lang w:val="es-CO"/>
        </w:rPr>
        <w:t xml:space="preserve">, </w:t>
      </w:r>
      <w:r w:rsidR="00A05463">
        <w:rPr>
          <w:rFonts w:ascii="Geomanist Light" w:eastAsia="Calibri" w:hAnsi="Geomanist Light" w:cs="Arial"/>
          <w:color w:val="000000" w:themeColor="text1"/>
          <w:sz w:val="22"/>
          <w:lang w:val="es-CO"/>
        </w:rPr>
        <w:t xml:space="preserve">para el caso bajo consulta </w:t>
      </w:r>
      <w:r w:rsidRPr="00D10562">
        <w:rPr>
          <w:rFonts w:ascii="Geomanist Light" w:eastAsia="Calibri" w:hAnsi="Geomanist Light" w:cs="Arial"/>
          <w:color w:val="000000" w:themeColor="text1"/>
          <w:sz w:val="22"/>
          <w:lang w:val="es-CO"/>
        </w:rPr>
        <w:t xml:space="preserve">el ejercicio de esta potestad </w:t>
      </w:r>
      <w:r w:rsidR="00A05463">
        <w:rPr>
          <w:rFonts w:ascii="Geomanist Light" w:eastAsia="Calibri" w:hAnsi="Geomanist Light" w:cs="Arial"/>
          <w:color w:val="000000" w:themeColor="text1"/>
          <w:sz w:val="22"/>
          <w:lang w:val="es-CO"/>
        </w:rPr>
        <w:t>supondrá</w:t>
      </w:r>
      <w:r w:rsidRPr="00D10562">
        <w:rPr>
          <w:rFonts w:ascii="Geomanist Light" w:eastAsia="Calibri" w:hAnsi="Geomanist Light" w:cs="Arial"/>
          <w:color w:val="000000" w:themeColor="text1"/>
          <w:sz w:val="22"/>
          <w:lang w:val="es-CO"/>
        </w:rPr>
        <w:t xml:space="preserve"> el reconocimiento y pago de las compensaciones e indemnizaciones a las que haya lugar, así como la aplicación de los mecanismos de reajuste. </w:t>
      </w:r>
    </w:p>
    <w:p w14:paraId="6D32657F" w14:textId="77777777" w:rsidR="00D10562" w:rsidRPr="00D10562" w:rsidRDefault="00D10562" w:rsidP="004D67EF">
      <w:pPr>
        <w:spacing w:after="0"/>
        <w:ind w:firstLine="708"/>
        <w:contextualSpacing/>
        <w:rPr>
          <w:rFonts w:ascii="Geomanist Light" w:eastAsia="Calibri" w:hAnsi="Geomanist Light" w:cs="Arial"/>
          <w:b/>
          <w:bCs/>
          <w:color w:val="000000" w:themeColor="text1"/>
          <w:sz w:val="22"/>
          <w:lang w:val="es-ES_tradnl"/>
        </w:rPr>
      </w:pPr>
    </w:p>
    <w:p w14:paraId="416CB3A5" w14:textId="77777777" w:rsidR="00D10562" w:rsidRPr="00D10562" w:rsidRDefault="00D10562" w:rsidP="004D67EF">
      <w:pPr>
        <w:spacing w:after="0"/>
        <w:contextualSpacing/>
        <w:rPr>
          <w:rFonts w:ascii="Geomanist Light" w:eastAsia="Calibri" w:hAnsi="Geomanist Light" w:cs="Arial"/>
          <w:b/>
          <w:bCs/>
          <w:color w:val="000000" w:themeColor="text1"/>
          <w:sz w:val="22"/>
          <w:lang w:val="es-ES_tradnl"/>
        </w:rPr>
      </w:pPr>
      <w:r w:rsidRPr="00D10562">
        <w:rPr>
          <w:rFonts w:ascii="Geomanist Light" w:eastAsia="Calibri" w:hAnsi="Geomanist Light" w:cs="Arial"/>
          <w:b/>
          <w:bCs/>
          <w:color w:val="000000" w:themeColor="text1"/>
          <w:sz w:val="22"/>
          <w:lang w:val="es-ES_tradnl"/>
        </w:rPr>
        <w:t>3. Respuesta</w:t>
      </w:r>
    </w:p>
    <w:p w14:paraId="02349A2F" w14:textId="77777777" w:rsidR="00D10562" w:rsidRPr="00D10562" w:rsidRDefault="00D10562" w:rsidP="004D67EF">
      <w:pPr>
        <w:spacing w:after="0"/>
        <w:ind w:firstLine="708"/>
        <w:contextualSpacing/>
        <w:rPr>
          <w:rFonts w:ascii="Geomanist Light" w:eastAsia="Calibri" w:hAnsi="Geomanist Light" w:cs="Arial"/>
          <w:b/>
          <w:bCs/>
          <w:color w:val="000000" w:themeColor="text1"/>
          <w:sz w:val="22"/>
          <w:lang w:val="es-ES_tradnl"/>
        </w:rPr>
      </w:pPr>
    </w:p>
    <w:p w14:paraId="1857BA82" w14:textId="716E9695" w:rsidR="007E3322" w:rsidRDefault="007E3322" w:rsidP="004D67EF">
      <w:pPr>
        <w:spacing w:after="0" w:line="240" w:lineRule="auto"/>
        <w:ind w:left="708" w:right="709"/>
        <w:contextualSpacing/>
        <w:rPr>
          <w:rFonts w:ascii="Geomanist Light" w:hAnsi="Geomanist Light" w:cs="Arial"/>
          <w:color w:val="000000" w:themeColor="text1"/>
          <w:sz w:val="21"/>
          <w:szCs w:val="21"/>
          <w:lang w:val="es-CO"/>
        </w:rPr>
      </w:pPr>
      <w:r w:rsidRPr="004D67EF">
        <w:rPr>
          <w:rFonts w:ascii="Geomanist Light" w:hAnsi="Geomanist Light" w:cs="Arial"/>
          <w:color w:val="000000" w:themeColor="text1"/>
          <w:sz w:val="21"/>
          <w:szCs w:val="21"/>
          <w:lang w:val="es-CO"/>
        </w:rPr>
        <w:t>«1. Como se debe realizar el pago de los honorarios a un contratista (Contrato de prestación de servicios profesionales) que falleció, cuando existen saldos a favor.</w:t>
      </w:r>
    </w:p>
    <w:p w14:paraId="67B452AF" w14:textId="77777777" w:rsidR="00F57780" w:rsidRPr="004D67EF" w:rsidRDefault="00F57780" w:rsidP="004D67EF">
      <w:pPr>
        <w:spacing w:after="0" w:line="240" w:lineRule="auto"/>
        <w:ind w:left="708" w:right="709"/>
        <w:contextualSpacing/>
        <w:rPr>
          <w:rFonts w:ascii="Geomanist Light" w:hAnsi="Geomanist Light" w:cs="Arial"/>
          <w:color w:val="000000" w:themeColor="text1"/>
          <w:sz w:val="21"/>
          <w:szCs w:val="21"/>
          <w:lang w:val="es-CO"/>
        </w:rPr>
      </w:pPr>
    </w:p>
    <w:p w14:paraId="789ADC59" w14:textId="3A93B662" w:rsidR="007E3322" w:rsidRPr="004D67EF" w:rsidRDefault="007E3322" w:rsidP="004D67EF">
      <w:pPr>
        <w:spacing w:after="0" w:line="240" w:lineRule="auto"/>
        <w:ind w:left="708" w:right="709"/>
        <w:contextualSpacing/>
        <w:rPr>
          <w:rFonts w:ascii="Geomanist Light" w:hAnsi="Geomanist Light" w:cs="Arial"/>
          <w:color w:val="000000" w:themeColor="text1"/>
          <w:sz w:val="21"/>
          <w:szCs w:val="21"/>
          <w:lang w:val="es-CO"/>
        </w:rPr>
      </w:pPr>
      <w:r w:rsidRPr="004D67EF">
        <w:rPr>
          <w:rFonts w:ascii="Geomanist Light" w:hAnsi="Geomanist Light" w:cs="Arial"/>
          <w:color w:val="000000" w:themeColor="text1"/>
          <w:sz w:val="21"/>
          <w:szCs w:val="21"/>
          <w:lang w:val="es-CO"/>
        </w:rPr>
        <w:t>2. La entidad debe realizar el descuento a seguridad social?</w:t>
      </w:r>
      <w:r w:rsidR="00F51D1B" w:rsidRPr="004D67EF">
        <w:rPr>
          <w:rFonts w:ascii="Geomanist Light" w:hAnsi="Geomanist Light" w:cs="Arial"/>
          <w:color w:val="000000" w:themeColor="text1"/>
          <w:sz w:val="21"/>
          <w:szCs w:val="21"/>
          <w:lang w:val="es-CO"/>
        </w:rPr>
        <w:t>»</w:t>
      </w:r>
    </w:p>
    <w:p w14:paraId="586C6CC8" w14:textId="77777777" w:rsidR="00D10562" w:rsidRPr="00D10562" w:rsidRDefault="00D10562" w:rsidP="004D67EF">
      <w:pPr>
        <w:spacing w:after="0"/>
        <w:ind w:firstLine="708"/>
        <w:contextualSpacing/>
        <w:rPr>
          <w:rFonts w:ascii="Geomanist Light" w:eastAsia="Calibri" w:hAnsi="Geomanist Light" w:cs="Arial"/>
          <w:b/>
          <w:bCs/>
          <w:color w:val="000000" w:themeColor="text1"/>
          <w:sz w:val="22"/>
          <w:lang w:val="es-CO"/>
        </w:rPr>
      </w:pPr>
    </w:p>
    <w:p w14:paraId="47385E9C" w14:textId="6005E922" w:rsidR="002E3EE6" w:rsidRDefault="00D10562" w:rsidP="004D67EF">
      <w:pPr>
        <w:spacing w:after="120"/>
        <w:ind w:firstLine="709"/>
        <w:rPr>
          <w:rFonts w:ascii="Geomanist Light" w:eastAsia="Calibri" w:hAnsi="Geomanist Light" w:cs="Arial"/>
          <w:color w:val="000000" w:themeColor="text1"/>
          <w:sz w:val="22"/>
          <w:lang w:val="es-CO"/>
        </w:rPr>
      </w:pPr>
      <w:r w:rsidRPr="00D10562">
        <w:rPr>
          <w:rFonts w:ascii="Geomanist Light" w:eastAsia="Calibri" w:hAnsi="Geomanist Light" w:cs="Arial"/>
          <w:color w:val="000000" w:themeColor="text1"/>
          <w:sz w:val="22"/>
          <w:lang w:val="es-CO"/>
        </w:rPr>
        <w:t>Conforme a lo expuesto, la causal de terminación unilateral consagrada en el numeral 2 del artículo 17 de la Ley 80 de 1993 prevé como supuestos de hecho que ameritan la terminación unilateral y anticipada del contrato la «[…] muerte o incapacidad física permanente del contratista, si es persona natural, o por disolución de la persona jurídica del contratista». Por ello, la muerte de la persona natural constituye</w:t>
      </w:r>
      <w:r w:rsidR="00C37B7B">
        <w:rPr>
          <w:rFonts w:ascii="Geomanist Light" w:eastAsia="Calibri" w:hAnsi="Geomanist Light" w:cs="Arial"/>
          <w:color w:val="000000" w:themeColor="text1"/>
          <w:sz w:val="22"/>
          <w:lang w:val="es-CO"/>
        </w:rPr>
        <w:t xml:space="preserve"> </w:t>
      </w:r>
      <w:r w:rsidR="00ED5248">
        <w:rPr>
          <w:rFonts w:ascii="Geomanist Light" w:eastAsia="Calibri" w:hAnsi="Geomanist Light" w:cs="Arial"/>
          <w:color w:val="000000" w:themeColor="text1"/>
          <w:sz w:val="22"/>
          <w:lang w:val="es-CO"/>
        </w:rPr>
        <w:t>un</w:t>
      </w:r>
      <w:r w:rsidR="00ED5248" w:rsidRPr="00D10562">
        <w:rPr>
          <w:rFonts w:ascii="Geomanist Light" w:eastAsia="Calibri" w:hAnsi="Geomanist Light" w:cs="Arial"/>
          <w:color w:val="000000" w:themeColor="text1"/>
          <w:sz w:val="22"/>
          <w:lang w:val="es-CO"/>
        </w:rPr>
        <w:t xml:space="preserve"> hecho</w:t>
      </w:r>
      <w:r w:rsidRPr="00D10562">
        <w:rPr>
          <w:rFonts w:ascii="Geomanist Light" w:eastAsia="Calibri" w:hAnsi="Geomanist Light" w:cs="Arial"/>
          <w:color w:val="000000" w:themeColor="text1"/>
          <w:sz w:val="22"/>
          <w:lang w:val="es-CO"/>
        </w:rPr>
        <w:t xml:space="preserve"> que impiden que los sujetos que en virtud de sus calidades fueron escogidos para desarrollar el contrato puedan seguirlo haciendo, por lo que justifican la terminación del contrato, máxime aun considerado que tales calidades no se trasmiten a sus herederos o causahabientes.</w:t>
      </w:r>
    </w:p>
    <w:p w14:paraId="00206F33" w14:textId="5DCDB769" w:rsidR="002E3EE6" w:rsidRPr="00F51D1B" w:rsidRDefault="00C763A9" w:rsidP="004D67EF">
      <w:pPr>
        <w:spacing w:after="120"/>
        <w:ind w:firstLine="709"/>
        <w:rPr>
          <w:rFonts w:ascii="Geomanist Light" w:eastAsia="Calibri" w:hAnsi="Geomanist Light" w:cs="Arial"/>
          <w:color w:val="000000" w:themeColor="text1"/>
          <w:sz w:val="22"/>
          <w:lang w:val="es-ES_tradnl"/>
        </w:rPr>
      </w:pPr>
      <w:r>
        <w:rPr>
          <w:rFonts w:ascii="Geomanist Light" w:eastAsia="Calibri" w:hAnsi="Geomanist Light" w:cs="Arial"/>
          <w:color w:val="000000" w:themeColor="text1"/>
          <w:sz w:val="22"/>
          <w:lang w:val="es-CO"/>
        </w:rPr>
        <w:t xml:space="preserve">El </w:t>
      </w:r>
      <w:r w:rsidRPr="00D10562">
        <w:rPr>
          <w:rFonts w:ascii="Geomanist Light" w:eastAsia="Calibri" w:hAnsi="Geomanist Light" w:cs="Arial"/>
          <w:color w:val="000000" w:themeColor="text1"/>
          <w:sz w:val="22"/>
          <w:lang w:val="es-CO"/>
        </w:rPr>
        <w:t>Consejo de Estado, ha puesto de presente: «[…] 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D10562">
        <w:rPr>
          <w:rFonts w:ascii="Geomanist Light" w:eastAsia="Calibri" w:hAnsi="Geomanist Light" w:cs="Arial"/>
          <w:color w:val="000000" w:themeColor="text1"/>
          <w:sz w:val="22"/>
          <w:lang w:val="es-ES_tradnl"/>
        </w:rPr>
        <w:t>».</w:t>
      </w:r>
    </w:p>
    <w:p w14:paraId="3F0E2815" w14:textId="41B44C55" w:rsidR="00C02107" w:rsidRDefault="00C02107" w:rsidP="004D67EF">
      <w:pPr>
        <w:spacing w:after="0"/>
        <w:ind w:firstLine="709"/>
        <w:rPr>
          <w:rFonts w:ascii="Geomanist Light" w:eastAsia="Calibri" w:hAnsi="Geomanist Light" w:cs="Arial"/>
          <w:color w:val="000000" w:themeColor="text1"/>
          <w:sz w:val="22"/>
          <w:lang w:val="es-ES"/>
        </w:rPr>
      </w:pPr>
      <w:r>
        <w:rPr>
          <w:rFonts w:ascii="Geomanist Light" w:eastAsia="Calibri" w:hAnsi="Geomanist Light" w:cs="Arial"/>
          <w:color w:val="000000" w:themeColor="text1"/>
          <w:sz w:val="22"/>
          <w:lang w:val="es-CO"/>
        </w:rPr>
        <w:t>Ahora bien, con relación a los efectos económicos de la terminación unilateral del contrato, tal</w:t>
      </w:r>
      <w:r w:rsidRPr="00D10562">
        <w:rPr>
          <w:rFonts w:ascii="Geomanist Light" w:eastAsia="Calibri" w:hAnsi="Geomanist Light" w:cs="Arial"/>
          <w:color w:val="000000" w:themeColor="text1"/>
          <w:sz w:val="22"/>
          <w:lang w:val="es-CO"/>
        </w:rPr>
        <w:t xml:space="preserve"> como lo ordena el inciso 2o del numeral 1o del citado artículo 14 de la Ley 80, cada vez que una entidad estatal ejerza esta potestad excepcional de terminación unilateral </w:t>
      </w:r>
      <w:r w:rsidR="00DD29F5" w:rsidRPr="00D10562">
        <w:rPr>
          <w:rFonts w:ascii="Geomanist Light" w:eastAsia="Calibri" w:hAnsi="Geomanist Light" w:cs="Arial"/>
          <w:color w:val="000000" w:themeColor="text1"/>
          <w:sz w:val="22"/>
          <w:lang w:val="es-CO"/>
        </w:rPr>
        <w:lastRenderedPageBreak/>
        <w:t>«[…]</w:t>
      </w:r>
      <w:r w:rsidR="00DD29F5" w:rsidRPr="00D10562" w:rsidDel="00DD29F5">
        <w:rPr>
          <w:rFonts w:ascii="Geomanist Light" w:eastAsia="Calibri" w:hAnsi="Geomanist Light" w:cs="Arial"/>
          <w:i/>
          <w:iCs/>
          <w:color w:val="000000" w:themeColor="text1"/>
          <w:sz w:val="22"/>
          <w:lang w:val="es-CO"/>
        </w:rPr>
        <w:t xml:space="preserve"> </w:t>
      </w:r>
      <w:r w:rsidRPr="00D10562">
        <w:rPr>
          <w:rFonts w:ascii="Geomanist Light" w:eastAsia="Calibri" w:hAnsi="Geomanist Light" w:cs="Arial"/>
          <w:i/>
          <w:iCs/>
          <w:color w:val="000000" w:themeColor="text1"/>
          <w:sz w:val="22"/>
          <w:lang w:val="es-CO"/>
        </w:rPr>
        <w:t>deberá́ procederse al reconocimiento y orden de pago de las compensación e indemnizaciones a que tengan derecho las personas objeto de tales medidas y se aplicarán los mecanismos de ajuste de las condiciones y términos contractuales a que haya lugar, todo ello con el fin de mantener la ecuación o equilibrio inicial</w:t>
      </w:r>
      <w:r w:rsidR="00DD29F5" w:rsidRPr="00D10562">
        <w:rPr>
          <w:rFonts w:ascii="Geomanist Light" w:eastAsia="Calibri" w:hAnsi="Geomanist Light" w:cs="Arial"/>
          <w:color w:val="000000" w:themeColor="text1"/>
          <w:sz w:val="22"/>
          <w:lang w:val="es-ES_tradnl"/>
        </w:rPr>
        <w:t>».</w:t>
      </w:r>
      <w:r w:rsidRPr="00D10562">
        <w:rPr>
          <w:rFonts w:ascii="Geomanist Light" w:eastAsia="Calibri" w:hAnsi="Geomanist Light" w:cs="Arial"/>
          <w:i/>
          <w:iCs/>
          <w:color w:val="000000" w:themeColor="text1"/>
          <w:sz w:val="22"/>
          <w:lang w:val="es-CO"/>
        </w:rPr>
        <w:t xml:space="preserve"> </w:t>
      </w:r>
      <w:r>
        <w:rPr>
          <w:rFonts w:ascii="Geomanist Light" w:eastAsia="Calibri" w:hAnsi="Geomanist Light" w:cs="Arial"/>
          <w:color w:val="000000" w:themeColor="text1"/>
          <w:sz w:val="22"/>
          <w:lang w:val="es-CO"/>
        </w:rPr>
        <w:t xml:space="preserve">De manera que se deberá proceder a la liquidación del contrato en los términos del </w:t>
      </w:r>
      <w:r w:rsidRPr="007A480B">
        <w:rPr>
          <w:rFonts w:ascii="Geomanist Light" w:eastAsia="Calibri" w:hAnsi="Geomanist Light" w:cs="Arial"/>
          <w:color w:val="000000" w:themeColor="text1"/>
          <w:sz w:val="22"/>
          <w:lang w:val="es-CO"/>
        </w:rPr>
        <w:t>artículo 60</w:t>
      </w:r>
      <w:r>
        <w:rPr>
          <w:rFonts w:ascii="Geomanist Light" w:eastAsia="Calibri" w:hAnsi="Geomanist Light" w:cs="Arial"/>
          <w:color w:val="000000" w:themeColor="text1"/>
          <w:sz w:val="22"/>
          <w:lang w:val="es-CO"/>
        </w:rPr>
        <w:t xml:space="preserve"> y 61</w:t>
      </w:r>
      <w:r w:rsidRPr="007A480B">
        <w:rPr>
          <w:rFonts w:ascii="Geomanist Light" w:eastAsia="Calibri" w:hAnsi="Geomanist Light" w:cs="Arial"/>
          <w:color w:val="000000" w:themeColor="text1"/>
          <w:sz w:val="22"/>
          <w:lang w:val="es-CO"/>
        </w:rPr>
        <w:t xml:space="preserve"> de la Ley 80 de 1993, modificado por el artículo 32 de la Ley 1150 de 2017 y el artículo 217 del Decreto Ley 019 de 2017</w:t>
      </w:r>
      <w:r>
        <w:rPr>
          <w:rFonts w:ascii="Geomanist Light" w:eastAsia="Calibri" w:hAnsi="Geomanist Light" w:cs="Arial"/>
          <w:color w:val="000000" w:themeColor="text1"/>
          <w:sz w:val="22"/>
          <w:lang w:val="es-CO"/>
        </w:rPr>
        <w:t xml:space="preserve">. Sobre este punto, </w:t>
      </w:r>
      <w:r>
        <w:rPr>
          <w:rFonts w:ascii="Geomanist Light" w:eastAsia="Calibri" w:hAnsi="Geomanist Light" w:cs="Arial"/>
          <w:color w:val="000000" w:themeColor="text1"/>
          <w:sz w:val="22"/>
          <w:lang w:val="es-ES"/>
        </w:rPr>
        <w:t>s</w:t>
      </w:r>
      <w:r w:rsidRPr="007A480B">
        <w:rPr>
          <w:rFonts w:ascii="Geomanist Light" w:eastAsia="Calibri" w:hAnsi="Geomanist Light" w:cs="Arial"/>
          <w:color w:val="000000" w:themeColor="text1"/>
          <w:sz w:val="22"/>
          <w:lang w:val="es-ES"/>
        </w:rPr>
        <w:t xml:space="preserve">i se requiere conocer aspectos adicionales </w:t>
      </w:r>
      <w:r>
        <w:rPr>
          <w:rFonts w:ascii="Geomanist Light" w:eastAsia="Calibri" w:hAnsi="Geomanist Light" w:cs="Arial"/>
          <w:color w:val="000000" w:themeColor="text1"/>
          <w:sz w:val="22"/>
          <w:lang w:val="es-ES"/>
        </w:rPr>
        <w:t>se recomienda acudir a</w:t>
      </w:r>
      <w:r w:rsidRPr="007A480B">
        <w:rPr>
          <w:rFonts w:ascii="Geomanist Light" w:eastAsia="Calibri" w:hAnsi="Geomanist Light" w:cs="Arial"/>
          <w:color w:val="000000" w:themeColor="text1"/>
          <w:sz w:val="22"/>
          <w:lang w:val="es-ES"/>
        </w:rPr>
        <w:t xml:space="preserve"> la “Guía para la liquidación de los Procesos de Contratación”, que se encuentra publicada en la página web de Colombia Compra Eficiente, en el siguiente enlace: </w:t>
      </w:r>
      <w:hyperlink r:id="rId12" w:history="1">
        <w:r w:rsidRPr="00E0611D">
          <w:rPr>
            <w:rStyle w:val="Hipervnculo"/>
            <w:rFonts w:ascii="Geomanist Light" w:eastAsia="Calibri" w:hAnsi="Geomanist Light" w:cs="Arial"/>
            <w:sz w:val="22"/>
            <w:lang w:val="es-ES"/>
          </w:rPr>
          <w:t>https://www.colombiacompra.gov.co/manuales-guias-y-pliegos-tipo/manuales-y-guias</w:t>
        </w:r>
      </w:hyperlink>
      <w:r>
        <w:rPr>
          <w:rFonts w:ascii="Geomanist Light" w:eastAsia="Calibri" w:hAnsi="Geomanist Light" w:cs="Arial"/>
          <w:color w:val="000000" w:themeColor="text1"/>
          <w:sz w:val="22"/>
          <w:lang w:val="es-ES"/>
        </w:rPr>
        <w:t xml:space="preserve"> </w:t>
      </w:r>
    </w:p>
    <w:p w14:paraId="3D3A17FD" w14:textId="78B70A97" w:rsidR="00F51D1B" w:rsidRPr="004D67EF" w:rsidRDefault="00F51D1B" w:rsidP="004D67EF">
      <w:pPr>
        <w:spacing w:after="0"/>
        <w:ind w:firstLine="708"/>
        <w:contextualSpacing/>
        <w:rPr>
          <w:rFonts w:ascii="Geomanist Light" w:eastAsia="Calibri" w:hAnsi="Geomanist Light" w:cs="Arial"/>
          <w:color w:val="000000" w:themeColor="text1"/>
          <w:sz w:val="21"/>
          <w:szCs w:val="21"/>
          <w:lang w:val="es-ES"/>
        </w:rPr>
      </w:pPr>
    </w:p>
    <w:p w14:paraId="20922D1D" w14:textId="2FD06F20" w:rsidR="00F51D1B" w:rsidRPr="004D67EF" w:rsidRDefault="00F51D1B" w:rsidP="004D67EF">
      <w:pPr>
        <w:spacing w:after="0" w:line="240" w:lineRule="auto"/>
        <w:ind w:left="708" w:right="709"/>
        <w:contextualSpacing/>
        <w:rPr>
          <w:rFonts w:ascii="Geomanist Light" w:hAnsi="Geomanist Light" w:cs="Arial"/>
          <w:color w:val="000000" w:themeColor="text1"/>
          <w:sz w:val="21"/>
          <w:szCs w:val="21"/>
          <w:lang w:val="es-CO"/>
        </w:rPr>
      </w:pPr>
      <w:r w:rsidRPr="004D67EF">
        <w:rPr>
          <w:rFonts w:ascii="Geomanist Light" w:hAnsi="Geomanist Light" w:cs="Arial"/>
          <w:color w:val="000000" w:themeColor="text1"/>
          <w:sz w:val="21"/>
          <w:szCs w:val="21"/>
          <w:lang w:val="es-CO"/>
        </w:rPr>
        <w:t>2. Tengo conocimiento que existe un concepto emitido por Colombia Compra: concepto 42018140000021084 del 06 de marzo de 2018, del cual agradecería remitir copia.»</w:t>
      </w:r>
    </w:p>
    <w:p w14:paraId="211E4036" w14:textId="77777777" w:rsidR="00F51D1B" w:rsidRPr="004D67EF" w:rsidRDefault="00F51D1B" w:rsidP="004D67EF">
      <w:pPr>
        <w:spacing w:after="0"/>
        <w:ind w:firstLine="708"/>
        <w:contextualSpacing/>
        <w:rPr>
          <w:rFonts w:ascii="Geomanist Light" w:eastAsia="Calibri" w:hAnsi="Geomanist Light" w:cs="Arial"/>
          <w:color w:val="000000" w:themeColor="text1"/>
          <w:sz w:val="21"/>
          <w:szCs w:val="21"/>
          <w:lang w:val="es-CO"/>
        </w:rPr>
      </w:pPr>
    </w:p>
    <w:p w14:paraId="33CAFBD0" w14:textId="3CE12EBF" w:rsidR="00F51D1B" w:rsidRDefault="00F51D1B" w:rsidP="004D67EF">
      <w:pPr>
        <w:spacing w:after="0"/>
        <w:contextualSpacing/>
        <w:rPr>
          <w:rFonts w:ascii="Geomanist Light" w:hAnsi="Geomanist Light"/>
          <w:color w:val="242424"/>
          <w:sz w:val="22"/>
          <w:shd w:val="clear" w:color="auto" w:fill="FFFFFF"/>
        </w:rPr>
      </w:pPr>
      <w:r>
        <w:rPr>
          <w:rFonts w:ascii="Geomanist Light" w:eastAsia="Calibri" w:hAnsi="Geomanist Light" w:cs="Arial"/>
          <w:color w:val="000000" w:themeColor="text1"/>
          <w:sz w:val="22"/>
          <w:lang w:val="es-CO"/>
        </w:rPr>
        <w:t xml:space="preserve">Sobre el particular, la Agencia se permite poner de presente que esta </w:t>
      </w:r>
      <w:r w:rsidR="00DD29F5">
        <w:rPr>
          <w:rFonts w:ascii="Geomanist Light" w:eastAsia="Calibri" w:hAnsi="Geomanist Light" w:cs="Arial"/>
          <w:color w:val="000000" w:themeColor="text1"/>
          <w:sz w:val="22"/>
          <w:lang w:val="es-CO"/>
        </w:rPr>
        <w:t xml:space="preserve">solicitud </w:t>
      </w:r>
      <w:r>
        <w:rPr>
          <w:rFonts w:ascii="Geomanist Light" w:eastAsia="Calibri" w:hAnsi="Geomanist Light" w:cs="Arial"/>
          <w:color w:val="000000" w:themeColor="text1"/>
          <w:sz w:val="22"/>
          <w:lang w:val="es-CO"/>
        </w:rPr>
        <w:t>fue resulta mediante radicado RS20221025012886 d</w:t>
      </w:r>
      <w:r>
        <w:rPr>
          <w:rFonts w:ascii="Geomanist Light" w:hAnsi="Geomanist Light"/>
          <w:color w:val="242424"/>
          <w:sz w:val="22"/>
          <w:shd w:val="clear" w:color="auto" w:fill="FFFFFF"/>
        </w:rPr>
        <w:t xml:space="preserve">el 25 de octubre de 2022, en el cual se adjuntó </w:t>
      </w:r>
      <w:r w:rsidRPr="00F51D1B">
        <w:rPr>
          <w:rFonts w:ascii="Geomanist Light" w:hAnsi="Geomanist Light"/>
          <w:color w:val="242424"/>
          <w:sz w:val="22"/>
          <w:shd w:val="clear" w:color="auto" w:fill="FFFFFF"/>
        </w:rPr>
        <w:t>el concepto 4201814000002108 del 18</w:t>
      </w:r>
      <w:r>
        <w:rPr>
          <w:rFonts w:ascii="Geomanist Light" w:hAnsi="Geomanist Light"/>
          <w:color w:val="242424"/>
          <w:sz w:val="22"/>
          <w:shd w:val="clear" w:color="auto" w:fill="FFFFFF"/>
        </w:rPr>
        <w:t xml:space="preserve"> </w:t>
      </w:r>
      <w:r w:rsidRPr="00F51D1B">
        <w:rPr>
          <w:rFonts w:ascii="Geomanist Light" w:hAnsi="Geomanist Light"/>
          <w:color w:val="242424"/>
          <w:sz w:val="22"/>
          <w:shd w:val="clear" w:color="auto" w:fill="FFFFFF"/>
        </w:rPr>
        <w:t>de abril de 2018, el cual responde una solicitud del 6 de marzo de ese mismo año</w:t>
      </w:r>
      <w:r>
        <w:rPr>
          <w:rFonts w:ascii="Geomanist Light" w:hAnsi="Geomanist Light"/>
          <w:color w:val="242424"/>
          <w:sz w:val="22"/>
          <w:shd w:val="clear" w:color="auto" w:fill="FFFFFF"/>
        </w:rPr>
        <w:t>.</w:t>
      </w:r>
    </w:p>
    <w:p w14:paraId="4A474FB8" w14:textId="77777777" w:rsidR="00F51D1B" w:rsidRPr="00F51D1B" w:rsidRDefault="00F51D1B" w:rsidP="004D67EF">
      <w:pPr>
        <w:spacing w:after="0"/>
        <w:ind w:firstLine="709"/>
        <w:contextualSpacing/>
        <w:rPr>
          <w:rFonts w:ascii="Geomanist Light" w:hAnsi="Geomanist Light"/>
          <w:color w:val="242424"/>
          <w:sz w:val="22"/>
          <w:shd w:val="clear" w:color="auto" w:fill="FFFFFF"/>
        </w:rPr>
      </w:pPr>
    </w:p>
    <w:p w14:paraId="04D379BB" w14:textId="77777777" w:rsidR="00D10562" w:rsidRPr="00031146" w:rsidRDefault="00D10562" w:rsidP="004D67EF">
      <w:pPr>
        <w:spacing w:after="0"/>
        <w:contextualSpacing/>
        <w:rPr>
          <w:rFonts w:ascii="Geomanist Light" w:eastAsia="Times New Roman" w:hAnsi="Geomanist Light" w:cs="Arial"/>
          <w:sz w:val="22"/>
          <w:lang w:val="es-CO" w:eastAsia="es-ES_tradnl"/>
        </w:rPr>
      </w:pPr>
      <w:r w:rsidRPr="00031146">
        <w:rPr>
          <w:rFonts w:ascii="Geomanist Light" w:eastAsia="Calibri" w:hAnsi="Geomanist Light" w:cs="Arial"/>
          <w:sz w:val="22"/>
          <w:lang w:val="es-CO"/>
        </w:rPr>
        <w:t>Este concepto tiene el alcance previsto en el artículo 28 del Código de Procedimiento Administrativo y de lo Contencioso Administrativo.</w:t>
      </w:r>
    </w:p>
    <w:p w14:paraId="3FF1A1BF" w14:textId="77777777" w:rsidR="00D10562" w:rsidRPr="00031146" w:rsidRDefault="00D10562" w:rsidP="004D67EF">
      <w:pPr>
        <w:spacing w:after="0"/>
        <w:contextualSpacing/>
        <w:rPr>
          <w:rFonts w:ascii="Geomanist Light" w:eastAsia="Times New Roman" w:hAnsi="Geomanist Light" w:cs="Arial"/>
          <w:sz w:val="22"/>
          <w:lang w:val="es-CO" w:eastAsia="es-ES_tradnl"/>
        </w:rPr>
      </w:pPr>
    </w:p>
    <w:p w14:paraId="624E3B11" w14:textId="77777777" w:rsidR="00F51D1B" w:rsidRDefault="00D10562" w:rsidP="004D67EF">
      <w:pPr>
        <w:spacing w:after="0"/>
        <w:contextualSpacing/>
        <w:rPr>
          <w:rFonts w:ascii="Geomanist Light" w:eastAsia="Times New Roman" w:hAnsi="Geomanist Light" w:cs="Arial"/>
          <w:sz w:val="22"/>
          <w:lang w:val="es-CO" w:eastAsia="es-CO"/>
        </w:rPr>
      </w:pPr>
      <w:r w:rsidRPr="78013C62">
        <w:rPr>
          <w:rFonts w:ascii="Geomanist Light" w:eastAsia="Times New Roman" w:hAnsi="Geomanist Light" w:cs="Arial"/>
          <w:sz w:val="22"/>
          <w:lang w:val="es-CO" w:eastAsia="es-CO"/>
        </w:rPr>
        <w:t>Atentamente,</w:t>
      </w:r>
      <w:bookmarkEnd w:id="0"/>
      <w:bookmarkEnd w:id="5"/>
    </w:p>
    <w:p w14:paraId="59351ACB" w14:textId="7899F41D" w:rsidR="00D10562" w:rsidRDefault="20D09313" w:rsidP="78013C62">
      <w:pPr>
        <w:spacing w:after="0"/>
        <w:contextualSpacing/>
        <w:jc w:val="center"/>
      </w:pPr>
      <w:r>
        <w:rPr>
          <w:noProof/>
        </w:rPr>
        <w:drawing>
          <wp:inline distT="0" distB="0" distL="0" distR="0" wp14:anchorId="1946409A" wp14:editId="25EE8F1B">
            <wp:extent cx="3076575" cy="1180056"/>
            <wp:effectExtent l="0" t="0" r="0" b="0"/>
            <wp:docPr id="1466865345" name="Imagen 146686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76575" cy="118005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10562" w:rsidRPr="000829C1" w14:paraId="4FFC8665" w14:textId="77777777" w:rsidTr="00921DDD">
        <w:trPr>
          <w:trHeight w:val="315"/>
        </w:trPr>
        <w:tc>
          <w:tcPr>
            <w:tcW w:w="812" w:type="dxa"/>
            <w:vAlign w:val="center"/>
          </w:tcPr>
          <w:p w14:paraId="6551B962"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0B41C410"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Juan Carlos Covilla Martínez</w:t>
            </w:r>
          </w:p>
          <w:p w14:paraId="750B5D05"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 xml:space="preserve">Contratista de la Subdirección de Gestión Contractual </w:t>
            </w:r>
          </w:p>
        </w:tc>
      </w:tr>
      <w:tr w:rsidR="00D10562" w:rsidRPr="000829C1" w14:paraId="3BC3BCDE" w14:textId="77777777" w:rsidTr="00921DDD">
        <w:trPr>
          <w:trHeight w:val="330"/>
        </w:trPr>
        <w:tc>
          <w:tcPr>
            <w:tcW w:w="812" w:type="dxa"/>
            <w:vAlign w:val="center"/>
          </w:tcPr>
          <w:p w14:paraId="25BCBB04"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45F58A0" w14:textId="77777777" w:rsidR="00D10562" w:rsidRPr="003C281F" w:rsidRDefault="00D10562" w:rsidP="004D67EF">
            <w:pPr>
              <w:spacing w:after="0"/>
              <w:contextualSpacing/>
              <w:rPr>
                <w:rFonts w:ascii="Geomanist Light" w:hAnsi="Geomanist Light" w:cs="Arial"/>
                <w:sz w:val="16"/>
                <w:szCs w:val="16"/>
                <w:lang w:eastAsia="es-ES"/>
              </w:rPr>
            </w:pPr>
            <w:r>
              <w:rPr>
                <w:rFonts w:ascii="Geomanist Light" w:hAnsi="Geomanist Light" w:cs="Arial"/>
                <w:sz w:val="16"/>
                <w:szCs w:val="16"/>
                <w:lang w:eastAsia="es-ES"/>
              </w:rPr>
              <w:t>Diana Lucía Saavedra Castañeda</w:t>
            </w:r>
          </w:p>
          <w:p w14:paraId="68D7D999"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 xml:space="preserve">Contratista de la </w:t>
            </w:r>
            <w:r w:rsidRPr="003C281F">
              <w:rPr>
                <w:rFonts w:ascii="Geomanist Light" w:hAnsi="Geomanist Light" w:cs="Arial"/>
                <w:sz w:val="16"/>
                <w:szCs w:val="16"/>
                <w:lang w:eastAsia="es-ES"/>
              </w:rPr>
              <w:t>Subdirección de Gestión Contractual</w:t>
            </w:r>
          </w:p>
        </w:tc>
      </w:tr>
      <w:tr w:rsidR="00D10562" w:rsidRPr="000829C1" w14:paraId="3882BDA6" w14:textId="77777777" w:rsidTr="00921DDD">
        <w:trPr>
          <w:trHeight w:val="300"/>
        </w:trPr>
        <w:tc>
          <w:tcPr>
            <w:tcW w:w="812" w:type="dxa"/>
            <w:vAlign w:val="center"/>
          </w:tcPr>
          <w:p w14:paraId="5F3154E8"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2933455" w14:textId="77777777" w:rsidR="00D10562" w:rsidRPr="003C281F" w:rsidRDefault="00D10562" w:rsidP="004D67EF">
            <w:pPr>
              <w:spacing w:after="0"/>
              <w:contextualSpacing/>
              <w:rPr>
                <w:rFonts w:ascii="Geomanist Light" w:eastAsia="Calibri" w:hAnsi="Geomanist Light" w:cs="Arial"/>
                <w:sz w:val="16"/>
                <w:szCs w:val="16"/>
                <w:lang w:val="pt-BR" w:eastAsia="es-ES"/>
              </w:rPr>
            </w:pPr>
            <w:r w:rsidRPr="003C281F">
              <w:rPr>
                <w:rFonts w:ascii="Geomanist Light" w:eastAsia="Calibri" w:hAnsi="Geomanist Light" w:cs="Arial"/>
                <w:sz w:val="16"/>
                <w:szCs w:val="16"/>
                <w:lang w:val="pt-BR" w:eastAsia="es-ES"/>
              </w:rPr>
              <w:t>Nohelia del Carmen Zawady Palacio</w:t>
            </w:r>
          </w:p>
          <w:p w14:paraId="644B5181" w14:textId="77777777" w:rsidR="00D10562" w:rsidRPr="003C281F" w:rsidRDefault="00D10562" w:rsidP="004D67EF">
            <w:pPr>
              <w:spacing w:after="0"/>
              <w:contextualSpacing/>
              <w:rPr>
                <w:rFonts w:ascii="Geomanist Light" w:eastAsia="Times New Roman" w:hAnsi="Geomanist Light" w:cs="Arial"/>
                <w:sz w:val="16"/>
                <w:szCs w:val="16"/>
                <w:lang w:eastAsia="es-ES"/>
              </w:rPr>
            </w:pPr>
            <w:r w:rsidRPr="003C281F">
              <w:rPr>
                <w:rFonts w:ascii="Geomanist Light" w:eastAsia="Calibri" w:hAnsi="Geomanist Light" w:cs="Arial"/>
                <w:sz w:val="16"/>
                <w:szCs w:val="16"/>
                <w:lang w:eastAsia="es-ES"/>
              </w:rPr>
              <w:t xml:space="preserve">Subdirectora de Gestión Contractual </w:t>
            </w:r>
          </w:p>
        </w:tc>
      </w:tr>
    </w:tbl>
    <w:p w14:paraId="2A87B1ED" w14:textId="77777777" w:rsidR="00651A7A" w:rsidRDefault="00651A7A"/>
    <w:sectPr w:rsidR="00651A7A" w:rsidSect="00491E2D">
      <w:headerReference w:type="default" r:id="rId14"/>
      <w:footerReference w:type="default" r:id="rId15"/>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E209" w14:textId="77777777" w:rsidR="000B12A1" w:rsidRDefault="000B12A1" w:rsidP="00D10562">
      <w:pPr>
        <w:spacing w:after="0" w:line="240" w:lineRule="auto"/>
      </w:pPr>
      <w:r>
        <w:separator/>
      </w:r>
    </w:p>
  </w:endnote>
  <w:endnote w:type="continuationSeparator" w:id="0">
    <w:p w14:paraId="2B78BFE1" w14:textId="77777777" w:rsidR="000B12A1" w:rsidRDefault="000B12A1" w:rsidP="00D1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8DB" w14:textId="77777777" w:rsidR="00993A2A" w:rsidRDefault="00B95FB9" w:rsidP="00993A2A">
    <w:pPr>
      <w:pStyle w:val="Piedepgina"/>
      <w:spacing w:after="0"/>
    </w:pPr>
    <w:r>
      <w:rPr>
        <w:noProof/>
        <w:lang w:val="en-US"/>
      </w:rPr>
      <w:drawing>
        <wp:inline distT="0" distB="0" distL="0" distR="0" wp14:anchorId="37EBC50A" wp14:editId="6AF2E7FF">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75B39976"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FA5F348" w14:textId="77777777" w:rsidR="00993A2A" w:rsidRPr="00080DA3" w:rsidRDefault="00B95FB9"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C72F64F" w14:textId="77777777" w:rsidR="00993A2A" w:rsidRPr="00080DA3" w:rsidRDefault="00B95FB9"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16016C8" w14:textId="77777777" w:rsidR="00993A2A" w:rsidRPr="00080DA3" w:rsidRDefault="00B95FB9"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E56C795" w14:textId="77777777" w:rsidR="00993A2A" w:rsidRPr="004B6B0E" w:rsidRDefault="00B95FB9"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2335934" w14:textId="77777777" w:rsidR="00993A2A" w:rsidRPr="00080DA3" w:rsidRDefault="00B95FB9"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6F1CA9B" w14:textId="77777777" w:rsidR="00993A2A" w:rsidRPr="00080DA3" w:rsidRDefault="00B95FB9"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4F63DF5" w14:textId="77777777" w:rsidR="00993A2A" w:rsidRPr="00080DA3" w:rsidRDefault="00B95FB9"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06134108" w14:textId="77777777" w:rsidR="00412132" w:rsidRPr="007B0854" w:rsidRDefault="004C4D74" w:rsidP="00993A2A">
    <w:pPr>
      <w:pStyle w:val="Piedepgina"/>
      <w:spacing w:after="0" w:line="120" w:lineRule="auto"/>
      <w:rPr>
        <w:lang w:val="es-ES"/>
      </w:rPr>
    </w:pPr>
  </w:p>
  <w:p w14:paraId="5D8CC6CF" w14:textId="77777777" w:rsidR="00F7361C" w:rsidRDefault="00F7361C"/>
  <w:p w14:paraId="390931C3" w14:textId="77777777" w:rsidR="00F7361C" w:rsidRDefault="00F736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ACBF" w14:textId="77777777" w:rsidR="000B12A1" w:rsidRDefault="000B12A1" w:rsidP="00D10562">
      <w:pPr>
        <w:spacing w:after="0" w:line="240" w:lineRule="auto"/>
      </w:pPr>
      <w:r>
        <w:separator/>
      </w:r>
    </w:p>
  </w:footnote>
  <w:footnote w:type="continuationSeparator" w:id="0">
    <w:p w14:paraId="613884F7" w14:textId="77777777" w:rsidR="000B12A1" w:rsidRDefault="000B12A1" w:rsidP="00D10562">
      <w:pPr>
        <w:spacing w:after="0" w:line="240" w:lineRule="auto"/>
      </w:pPr>
      <w:r>
        <w:continuationSeparator/>
      </w:r>
    </w:p>
  </w:footnote>
  <w:footnote w:id="1">
    <w:p w14:paraId="4AFBF599" w14:textId="77777777" w:rsidR="00D10562" w:rsidRPr="007E3322" w:rsidRDefault="00D10562" w:rsidP="00D10562">
      <w:pPr>
        <w:pStyle w:val="Textonotapie"/>
        <w:ind w:firstLine="708"/>
        <w:jc w:val="both"/>
        <w:rPr>
          <w:sz w:val="18"/>
          <w:szCs w:val="18"/>
        </w:rPr>
      </w:pPr>
      <w:r w:rsidRPr="007E3322">
        <w:rPr>
          <w:rStyle w:val="Refdenotaalpie"/>
          <w:sz w:val="18"/>
          <w:szCs w:val="18"/>
        </w:rPr>
        <w:footnoteRef/>
      </w:r>
      <w:r w:rsidRPr="007E3322">
        <w:rPr>
          <w:sz w:val="18"/>
          <w:szCs w:val="18"/>
        </w:rPr>
        <w:t xml:space="preserve"> EXPÓSITO VÉLEZ, Juan Carlos. Forma y contenido del contrato estatal, Bogotá: Universidad Externado de Colombia, 2013, p. 190. </w:t>
      </w:r>
    </w:p>
  </w:footnote>
  <w:footnote w:id="2">
    <w:p w14:paraId="3F09C221" w14:textId="77777777" w:rsidR="00D10562" w:rsidRPr="007E3322" w:rsidRDefault="00D10562" w:rsidP="00D10562">
      <w:pPr>
        <w:ind w:firstLine="708"/>
        <w:rPr>
          <w:rFonts w:ascii="Arial" w:hAnsi="Arial" w:cs="Arial"/>
          <w:color w:val="000000" w:themeColor="text1"/>
          <w:sz w:val="18"/>
          <w:szCs w:val="18"/>
        </w:rPr>
      </w:pPr>
      <w:r w:rsidRPr="007E3322">
        <w:rPr>
          <w:rStyle w:val="Refdenotaalpie"/>
          <w:rFonts w:ascii="Arial" w:hAnsi="Arial" w:cs="Arial"/>
          <w:color w:val="000000" w:themeColor="text1"/>
          <w:sz w:val="18"/>
          <w:szCs w:val="18"/>
        </w:rPr>
        <w:footnoteRef/>
      </w:r>
      <w:r w:rsidRPr="007E3322">
        <w:rPr>
          <w:rFonts w:ascii="Arial" w:hAnsi="Arial" w:cs="Arial"/>
          <w:color w:val="000000" w:themeColor="text1"/>
          <w:sz w:val="18"/>
          <w:szCs w:val="18"/>
        </w:rPr>
        <w:t xml:space="preserve"> Diario Oficial No. 41.094 de 28 de octubre de 1993</w:t>
      </w:r>
    </w:p>
    <w:p w14:paraId="746933C4" w14:textId="77777777" w:rsidR="00D10562" w:rsidRPr="007E3322" w:rsidRDefault="00D10562" w:rsidP="00D10562">
      <w:pPr>
        <w:pStyle w:val="Textonotapie"/>
        <w:jc w:val="both"/>
        <w:rPr>
          <w:sz w:val="18"/>
          <w:szCs w:val="18"/>
        </w:rPr>
      </w:pPr>
    </w:p>
  </w:footnote>
  <w:footnote w:id="3">
    <w:p w14:paraId="65F3589A" w14:textId="77777777" w:rsidR="00C02107" w:rsidRPr="007E3322" w:rsidRDefault="00C02107" w:rsidP="00C02107">
      <w:pPr>
        <w:pStyle w:val="Textonotapie"/>
        <w:ind w:firstLine="708"/>
        <w:jc w:val="both"/>
        <w:rPr>
          <w:sz w:val="18"/>
          <w:szCs w:val="18"/>
        </w:rPr>
      </w:pPr>
      <w:r w:rsidRPr="007E3322">
        <w:rPr>
          <w:rStyle w:val="Refdenotaalpie"/>
          <w:sz w:val="18"/>
          <w:szCs w:val="18"/>
        </w:rPr>
        <w:footnoteRef/>
      </w:r>
      <w:r w:rsidRPr="007E3322">
        <w:rPr>
          <w:sz w:val="18"/>
          <w:szCs w:val="18"/>
        </w:rPr>
        <w:t xml:space="preserve"> EXPÓSITO VÉLEZ, Juan Carlos. Forma y contenido del contrato estatal, Bogotá: Universidad Externado de Colombia, 2013, p. 202 y 203. </w:t>
      </w:r>
    </w:p>
    <w:p w14:paraId="439AEFE6" w14:textId="77777777" w:rsidR="00C02107" w:rsidRPr="007E3322" w:rsidRDefault="00C02107" w:rsidP="00C02107">
      <w:pPr>
        <w:pStyle w:val="Textonotapie"/>
        <w:ind w:firstLine="708"/>
        <w:jc w:val="both"/>
        <w:rPr>
          <w:sz w:val="18"/>
          <w:szCs w:val="18"/>
        </w:rPr>
      </w:pPr>
    </w:p>
  </w:footnote>
  <w:footnote w:id="4">
    <w:p w14:paraId="5D1552CD" w14:textId="77777777" w:rsidR="00C02107" w:rsidRPr="007E3322" w:rsidRDefault="00C02107" w:rsidP="00C02107">
      <w:pPr>
        <w:pStyle w:val="Textonotapie"/>
        <w:ind w:firstLine="708"/>
        <w:jc w:val="both"/>
        <w:rPr>
          <w:sz w:val="18"/>
          <w:szCs w:val="18"/>
        </w:rPr>
      </w:pPr>
    </w:p>
    <w:p w14:paraId="16165EB6" w14:textId="77777777" w:rsidR="00C02107" w:rsidRPr="007E3322" w:rsidRDefault="00C02107" w:rsidP="00C02107">
      <w:pPr>
        <w:pStyle w:val="Textonotapie"/>
        <w:ind w:firstLine="708"/>
        <w:jc w:val="both"/>
        <w:rPr>
          <w:sz w:val="18"/>
          <w:szCs w:val="18"/>
        </w:rPr>
      </w:pPr>
      <w:r w:rsidRPr="007E3322">
        <w:rPr>
          <w:rStyle w:val="Refdenotaalpie"/>
          <w:sz w:val="18"/>
          <w:szCs w:val="18"/>
        </w:rPr>
        <w:footnoteRef/>
      </w:r>
      <w:r w:rsidRPr="007E3322">
        <w:rPr>
          <w:sz w:val="18"/>
          <w:szCs w:val="18"/>
        </w:rPr>
        <w:t xml:space="preserve"> Artículo 41 de la Ley 80 de 1993. Del perfeccionamiento del contrato estatal: «[…]</w:t>
      </w:r>
    </w:p>
    <w:p w14:paraId="733C3698" w14:textId="77777777" w:rsidR="00C02107" w:rsidRPr="007E3322" w:rsidRDefault="00C02107" w:rsidP="00C02107">
      <w:pPr>
        <w:pStyle w:val="Textonotapie"/>
        <w:ind w:firstLine="708"/>
        <w:rPr>
          <w:sz w:val="18"/>
          <w:szCs w:val="18"/>
        </w:rPr>
      </w:pPr>
      <w:r w:rsidRPr="007E3322">
        <w:rPr>
          <w:sz w:val="18"/>
          <w:szCs w:val="18"/>
        </w:rPr>
        <w:t xml:space="preserve">Los contratos estatales son intuito </w:t>
      </w:r>
      <w:r w:rsidRPr="007E3322">
        <w:rPr>
          <w:sz w:val="18"/>
          <w:szCs w:val="18"/>
        </w:rPr>
        <w:t>personae y, en consecuencia, una vez celebrados no podrán cederse sin previa autorización escrita de la entidad contratante. […]».</w:t>
      </w:r>
    </w:p>
    <w:p w14:paraId="6807542F" w14:textId="77777777" w:rsidR="00C02107" w:rsidRPr="007E3322" w:rsidRDefault="00C02107" w:rsidP="00C02107">
      <w:pPr>
        <w:pStyle w:val="Textonotapie"/>
        <w:ind w:firstLine="708"/>
        <w:rPr>
          <w:sz w:val="18"/>
          <w:szCs w:val="18"/>
        </w:rPr>
      </w:pPr>
    </w:p>
  </w:footnote>
  <w:footnote w:id="5">
    <w:p w14:paraId="7C358FB9" w14:textId="77777777" w:rsidR="00C02107" w:rsidRPr="007E3322" w:rsidRDefault="00C02107" w:rsidP="00C02107">
      <w:pPr>
        <w:pStyle w:val="Textonotapie"/>
        <w:ind w:firstLine="708"/>
        <w:jc w:val="both"/>
        <w:rPr>
          <w:sz w:val="18"/>
          <w:szCs w:val="18"/>
        </w:rPr>
      </w:pPr>
      <w:r w:rsidRPr="007E3322">
        <w:rPr>
          <w:rStyle w:val="Refdenotaalpie"/>
          <w:sz w:val="18"/>
          <w:szCs w:val="18"/>
        </w:rPr>
        <w:footnoteRef/>
      </w:r>
      <w:r w:rsidRPr="007E3322">
        <w:rPr>
          <w:sz w:val="18"/>
          <w:szCs w:val="18"/>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2DD7A7B1" w14:textId="77777777" w:rsidR="00C02107" w:rsidRPr="007E3322" w:rsidRDefault="00C02107" w:rsidP="00C02107">
      <w:pPr>
        <w:pStyle w:val="Textonotapie"/>
        <w:ind w:firstLine="708"/>
        <w:jc w:val="both"/>
        <w:rPr>
          <w:sz w:val="18"/>
          <w:szCs w:val="18"/>
        </w:rPr>
      </w:pPr>
      <w:r w:rsidRPr="007E3322">
        <w:rPr>
          <w:sz w:val="18"/>
          <w:szCs w:val="18"/>
        </w:rPr>
        <w:t xml:space="preserve">»Respecto de la incapacidad física permanente del contratista, la misma se constituye en una causal de terminación unilateral del contrato por las mismas razones determinadas para la muerte del colaborador de la administración. </w:t>
      </w:r>
    </w:p>
    <w:p w14:paraId="4548F1F7" w14:textId="77777777" w:rsidR="00C02107" w:rsidRPr="007E3322" w:rsidRDefault="00C02107" w:rsidP="00C02107">
      <w:pPr>
        <w:pStyle w:val="Textonotapie"/>
        <w:ind w:firstLine="708"/>
        <w:jc w:val="both"/>
        <w:rPr>
          <w:sz w:val="18"/>
          <w:szCs w:val="18"/>
        </w:rPr>
      </w:pPr>
      <w:r w:rsidRPr="007E3322">
        <w:rPr>
          <w:sz w:val="18"/>
          <w:szCs w:val="18"/>
        </w:rPr>
        <w:t>»[E]n relación con la disolución de la persona jurídica contratista, su justificación como causal de terminación unilateral del contrato se hace evidente, toda vez que la misma, al comprender su desaparecimiento del mundo jurídico, equivale a la muerte de una persona natural […]». EXPÓSITO VÉLEZ, Juan Carlos. Forma y contenido del contrato estatal, Bogotá: Universidad Externado de Colombia, 2013, p. 207 a 210.</w:t>
      </w:r>
    </w:p>
  </w:footnote>
  <w:footnote w:id="6">
    <w:p w14:paraId="1A776135" w14:textId="77777777" w:rsidR="00C02107" w:rsidRPr="007E3322" w:rsidRDefault="00C02107" w:rsidP="00C02107">
      <w:pPr>
        <w:pStyle w:val="Textonotapie"/>
        <w:jc w:val="both"/>
        <w:rPr>
          <w:sz w:val="18"/>
          <w:szCs w:val="18"/>
        </w:rPr>
      </w:pPr>
    </w:p>
    <w:p w14:paraId="70D8E4E0" w14:textId="77777777" w:rsidR="00C02107" w:rsidRPr="007E3322" w:rsidRDefault="00C02107" w:rsidP="00C02107">
      <w:pPr>
        <w:pStyle w:val="Textonotapie"/>
        <w:ind w:firstLine="708"/>
        <w:jc w:val="both"/>
        <w:rPr>
          <w:sz w:val="18"/>
          <w:szCs w:val="18"/>
        </w:rPr>
      </w:pPr>
      <w:r w:rsidRPr="007E3322">
        <w:rPr>
          <w:rStyle w:val="Refdenotaalpie"/>
          <w:sz w:val="18"/>
          <w:szCs w:val="18"/>
        </w:rPr>
        <w:footnoteRef/>
      </w:r>
      <w:r w:rsidRPr="007E3322">
        <w:rPr>
          <w:sz w:val="18"/>
          <w:szCs w:val="18"/>
        </w:rPr>
        <w:t xml:space="preserve"> Artículo 1008 del Código Civil. </w:t>
      </w:r>
    </w:p>
  </w:footnote>
  <w:footnote w:id="7">
    <w:p w14:paraId="4BD14F2C" w14:textId="77777777" w:rsidR="00C02107" w:rsidRPr="007E3322" w:rsidRDefault="00C02107" w:rsidP="00C02107">
      <w:pPr>
        <w:pStyle w:val="Textonotapie"/>
        <w:ind w:firstLine="708"/>
        <w:jc w:val="both"/>
        <w:rPr>
          <w:sz w:val="18"/>
          <w:szCs w:val="18"/>
        </w:rPr>
      </w:pPr>
    </w:p>
    <w:p w14:paraId="37D7371B" w14:textId="77777777" w:rsidR="00C02107" w:rsidRPr="007E3322" w:rsidRDefault="00C02107" w:rsidP="00C02107">
      <w:pPr>
        <w:pStyle w:val="Textonotapie"/>
        <w:ind w:firstLine="708"/>
        <w:jc w:val="both"/>
        <w:rPr>
          <w:sz w:val="18"/>
          <w:szCs w:val="18"/>
        </w:rPr>
      </w:pPr>
      <w:r w:rsidRPr="007E3322">
        <w:rPr>
          <w:rStyle w:val="Refdenotaalpie"/>
          <w:sz w:val="18"/>
          <w:szCs w:val="18"/>
        </w:rPr>
        <w:footnoteRef/>
      </w:r>
      <w:r w:rsidRPr="007E3322">
        <w:rPr>
          <w:sz w:val="18"/>
          <w:szCs w:val="18"/>
        </w:rPr>
        <w:t xml:space="preserve"> Consejo de Estado. Sala de lo Contencioso Administrativo. Sección Tercera. Subsección B. Sentencia de 8 de mayo de 2019. </w:t>
      </w:r>
      <w:r w:rsidRPr="007E3322">
        <w:rPr>
          <w:sz w:val="18"/>
          <w:szCs w:val="18"/>
        </w:rPr>
        <w:t xml:space="preserve">Exp: 56343. MP: Martin Bermúdez Muñoz.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51FA" w14:textId="77777777" w:rsidR="00993A2A" w:rsidRPr="003F58A1" w:rsidRDefault="00B95FB9"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77BAF70D" wp14:editId="5AA49CD7">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3F1CD2CD" w14:textId="77777777" w:rsidTr="00B53489">
      <w:tc>
        <w:tcPr>
          <w:tcW w:w="6756" w:type="dxa"/>
        </w:tcPr>
        <w:p w14:paraId="01E1A816" w14:textId="77777777" w:rsidR="00993A2A" w:rsidRPr="006478E3" w:rsidRDefault="00B95FB9"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8F9FECF" w14:textId="77777777" w:rsidR="00993A2A" w:rsidRPr="0057618A" w:rsidRDefault="00B95FB9"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39B12937" w14:textId="77777777" w:rsidR="00993A2A" w:rsidRPr="00367110" w:rsidRDefault="004C4D74" w:rsidP="00993A2A">
          <w:pPr>
            <w:jc w:val="right"/>
            <w:rPr>
              <w:rFonts w:eastAsia="Arial Nova" w:cs="Arial Nova"/>
              <w:lang w:eastAsia="es-CO"/>
            </w:rPr>
          </w:pPr>
        </w:p>
      </w:tc>
      <w:tc>
        <w:tcPr>
          <w:tcW w:w="1324" w:type="dxa"/>
        </w:tcPr>
        <w:p w14:paraId="5C86EC1C" w14:textId="77777777" w:rsidR="00993A2A" w:rsidRPr="00367110" w:rsidRDefault="004C4D74" w:rsidP="00993A2A">
          <w:pPr>
            <w:jc w:val="right"/>
            <w:rPr>
              <w:rFonts w:eastAsia="Arial Nova" w:cs="Arial Nova"/>
              <w:lang w:eastAsia="es-CO"/>
            </w:rPr>
          </w:pPr>
        </w:p>
      </w:tc>
    </w:tr>
  </w:tbl>
  <w:p w14:paraId="134BF8BC" w14:textId="459F0349" w:rsidR="00F7361C" w:rsidRPr="004D67EF" w:rsidRDefault="00B95FB9" w:rsidP="004D67EF">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7821CC54" wp14:editId="43A8A5C1">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60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62"/>
    <w:rsid w:val="000B12A1"/>
    <w:rsid w:val="00135482"/>
    <w:rsid w:val="001E6E68"/>
    <w:rsid w:val="002E3EE6"/>
    <w:rsid w:val="00341520"/>
    <w:rsid w:val="00352B59"/>
    <w:rsid w:val="003B6436"/>
    <w:rsid w:val="00471FEE"/>
    <w:rsid w:val="004C4D74"/>
    <w:rsid w:val="004D67EF"/>
    <w:rsid w:val="00651A7A"/>
    <w:rsid w:val="00656D61"/>
    <w:rsid w:val="007A480B"/>
    <w:rsid w:val="007E3322"/>
    <w:rsid w:val="008428EF"/>
    <w:rsid w:val="009633F9"/>
    <w:rsid w:val="00A05463"/>
    <w:rsid w:val="00B92FD4"/>
    <w:rsid w:val="00B95FB9"/>
    <w:rsid w:val="00BB6A30"/>
    <w:rsid w:val="00C02107"/>
    <w:rsid w:val="00C161FB"/>
    <w:rsid w:val="00C37B7B"/>
    <w:rsid w:val="00C763A9"/>
    <w:rsid w:val="00CB48C8"/>
    <w:rsid w:val="00CC45CD"/>
    <w:rsid w:val="00CE04D9"/>
    <w:rsid w:val="00D10562"/>
    <w:rsid w:val="00D23ADE"/>
    <w:rsid w:val="00D81A72"/>
    <w:rsid w:val="00DD29F5"/>
    <w:rsid w:val="00E444A9"/>
    <w:rsid w:val="00ED2C50"/>
    <w:rsid w:val="00ED5248"/>
    <w:rsid w:val="00F51D1B"/>
    <w:rsid w:val="00F57780"/>
    <w:rsid w:val="00F7361C"/>
    <w:rsid w:val="20D09313"/>
    <w:rsid w:val="78013C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14A2"/>
  <w15:chartTrackingRefBased/>
  <w15:docId w15:val="{D2E2C835-F908-E44F-BAFA-DE554989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62"/>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0562"/>
    <w:pPr>
      <w:tabs>
        <w:tab w:val="center" w:pos="4419"/>
        <w:tab w:val="right" w:pos="8838"/>
      </w:tabs>
    </w:pPr>
  </w:style>
  <w:style w:type="character" w:customStyle="1" w:styleId="PiedepginaCar">
    <w:name w:val="Pie de página Car"/>
    <w:basedOn w:val="Fuentedeprrafopredeter"/>
    <w:link w:val="Piedepgina"/>
    <w:uiPriority w:val="99"/>
    <w:rsid w:val="00D10562"/>
    <w:rPr>
      <w:szCs w:val="22"/>
      <w:lang w:val="es-MX"/>
    </w:rPr>
  </w:style>
  <w:style w:type="paragraph" w:styleId="Encabezado">
    <w:name w:val="header"/>
    <w:basedOn w:val="Normal"/>
    <w:link w:val="EncabezadoCar"/>
    <w:uiPriority w:val="99"/>
    <w:unhideWhenUsed/>
    <w:rsid w:val="00D10562"/>
    <w:pPr>
      <w:tabs>
        <w:tab w:val="center" w:pos="4252"/>
        <w:tab w:val="right" w:pos="8504"/>
      </w:tabs>
    </w:pPr>
  </w:style>
  <w:style w:type="character" w:customStyle="1" w:styleId="EncabezadoCar">
    <w:name w:val="Encabezado Car"/>
    <w:basedOn w:val="Fuentedeprrafopredeter"/>
    <w:link w:val="Encabezado"/>
    <w:uiPriority w:val="99"/>
    <w:rsid w:val="00D10562"/>
    <w:rPr>
      <w:szCs w:val="22"/>
      <w:lang w:val="es-MX"/>
    </w:rPr>
  </w:style>
  <w:style w:type="table" w:styleId="Tablaconcuadrcula">
    <w:name w:val="Table Grid"/>
    <w:basedOn w:val="Tablanormal"/>
    <w:uiPriority w:val="59"/>
    <w:qFormat/>
    <w:rsid w:val="00D1056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D10562"/>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10562"/>
    <w:rPr>
      <w:vertAlign w:val="superscript"/>
    </w:rPr>
  </w:style>
  <w:style w:type="paragraph" w:customStyle="1" w:styleId="Appelnotedebasde">
    <w:name w:val="Appel note de bas de..."/>
    <w:basedOn w:val="Normal"/>
    <w:link w:val="Refdenotaalpie"/>
    <w:uiPriority w:val="99"/>
    <w:rsid w:val="00D10562"/>
    <w:pPr>
      <w:spacing w:after="160" w:line="240" w:lineRule="exact"/>
    </w:pPr>
    <w:rPr>
      <w:szCs w:val="24"/>
      <w:vertAlign w:val="superscript"/>
      <w:lang w:val="es-CO"/>
    </w:rPr>
  </w:style>
  <w:style w:type="character" w:customStyle="1" w:styleId="NormalWebCar">
    <w:name w:val="Normal (Web) Car"/>
    <w:link w:val="NormalWeb"/>
    <w:uiPriority w:val="99"/>
    <w:locked/>
    <w:rsid w:val="00D10562"/>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D105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10562"/>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10562"/>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D10562"/>
    <w:rPr>
      <w:rFonts w:ascii="Arial" w:eastAsia="Arial" w:hAnsi="Arial" w:cs="Arial"/>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0562"/>
  </w:style>
  <w:style w:type="character" w:styleId="Hipervnculo">
    <w:name w:val="Hyperlink"/>
    <w:basedOn w:val="Fuentedeprrafopredeter"/>
    <w:uiPriority w:val="99"/>
    <w:unhideWhenUsed/>
    <w:rsid w:val="00A05463"/>
    <w:rPr>
      <w:color w:val="0563C1" w:themeColor="hyperlink"/>
      <w:u w:val="single"/>
    </w:rPr>
  </w:style>
  <w:style w:type="character" w:styleId="Mencinsinresolver">
    <w:name w:val="Unresolved Mention"/>
    <w:basedOn w:val="Fuentedeprrafopredeter"/>
    <w:uiPriority w:val="99"/>
    <w:semiHidden/>
    <w:unhideWhenUsed/>
    <w:rsid w:val="00A05463"/>
    <w:rPr>
      <w:color w:val="605E5C"/>
      <w:shd w:val="clear" w:color="auto" w:fill="E1DFDD"/>
    </w:rPr>
  </w:style>
  <w:style w:type="paragraph" w:styleId="Revisin">
    <w:name w:val="Revision"/>
    <w:hidden/>
    <w:uiPriority w:val="99"/>
    <w:semiHidden/>
    <w:rsid w:val="00C763A9"/>
    <w:rPr>
      <w:szCs w:val="22"/>
      <w:lang w:val="es-MX"/>
    </w:rPr>
  </w:style>
  <w:style w:type="character" w:styleId="Refdecomentario">
    <w:name w:val="annotation reference"/>
    <w:basedOn w:val="Fuentedeprrafopredeter"/>
    <w:uiPriority w:val="99"/>
    <w:semiHidden/>
    <w:unhideWhenUsed/>
    <w:rsid w:val="00471FEE"/>
    <w:rPr>
      <w:sz w:val="16"/>
      <w:szCs w:val="16"/>
    </w:rPr>
  </w:style>
  <w:style w:type="paragraph" w:styleId="Textocomentario">
    <w:name w:val="annotation text"/>
    <w:basedOn w:val="Normal"/>
    <w:link w:val="TextocomentarioCar"/>
    <w:uiPriority w:val="99"/>
    <w:semiHidden/>
    <w:unhideWhenUsed/>
    <w:rsid w:val="00471F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1FE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471FEE"/>
    <w:rPr>
      <w:b/>
      <w:bCs/>
    </w:rPr>
  </w:style>
  <w:style w:type="character" w:customStyle="1" w:styleId="AsuntodelcomentarioCar">
    <w:name w:val="Asunto del comentario Car"/>
    <w:basedOn w:val="TextocomentarioCar"/>
    <w:link w:val="Asuntodelcomentario"/>
    <w:uiPriority w:val="99"/>
    <w:semiHidden/>
    <w:rsid w:val="00471FEE"/>
    <w:rPr>
      <w:b/>
      <w:bCs/>
      <w:sz w:val="20"/>
      <w:szCs w:val="20"/>
      <w:lang w:val="es-MX"/>
    </w:rPr>
  </w:style>
  <w:style w:type="character" w:customStyle="1" w:styleId="normaltextrun">
    <w:name w:val="normaltextrun"/>
    <w:basedOn w:val="Fuentedeprrafopredeter"/>
    <w:rsid w:val="00352B59"/>
  </w:style>
  <w:style w:type="character" w:customStyle="1" w:styleId="eop">
    <w:name w:val="eop"/>
    <w:basedOn w:val="Fuentedeprrafopredeter"/>
    <w:rsid w:val="0035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manuales-guias-y-pliegos-tipo/manuales-y-gui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C418-E117-42FC-A76D-236B4549E57F}">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30362285-A226-417A-B3D4-0F7E3A79ED13}">
  <ds:schemaRefs>
    <ds:schemaRef ds:uri="http://schemas.microsoft.com/sharepoint/v3/contenttype/forms"/>
  </ds:schemaRefs>
</ds:datastoreItem>
</file>

<file path=customXml/itemProps3.xml><?xml version="1.0" encoding="utf-8"?>
<ds:datastoreItem xmlns:ds="http://schemas.openxmlformats.org/officeDocument/2006/customXml" ds:itemID="{DB5602F5-1046-4309-BCDD-6CC86B14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4042</Words>
  <Characters>22232</Characters>
  <Application>Microsoft Office Word</Application>
  <DocSecurity>0</DocSecurity>
  <Lines>185</Lines>
  <Paragraphs>52</Paragraphs>
  <ScaleCrop>false</ScaleCrop>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Ana Maria Velez Arteaga</cp:lastModifiedBy>
  <cp:revision>2</cp:revision>
  <dcterms:created xsi:type="dcterms:W3CDTF">2023-02-16T16:45:00Z</dcterms:created>
  <dcterms:modified xsi:type="dcterms:W3CDTF">2023-02-16T16:45:00Z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