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ADC95" w14:textId="77777777" w:rsidR="00474929" w:rsidRPr="00F76E2D" w:rsidRDefault="00474929" w:rsidP="00D92B4A">
      <w:pPr>
        <w:spacing w:after="0" w:line="240" w:lineRule="auto"/>
        <w:rPr>
          <w:rFonts w:ascii="Geomanist Light" w:eastAsia="Calibri" w:hAnsi="Geomanist Light" w:cs="Arial"/>
          <w:b/>
          <w:bCs/>
          <w:color w:val="000000" w:themeColor="text1"/>
          <w:sz w:val="20"/>
          <w:szCs w:val="20"/>
          <w:lang w:val="es-ES" w:eastAsia="es-ES_tradnl"/>
        </w:rPr>
      </w:pPr>
      <w:bookmarkStart w:id="0" w:name="_Hlk78821436"/>
    </w:p>
    <w:p w14:paraId="7FB45475" w14:textId="260417C7" w:rsidR="00D92B4A" w:rsidRPr="00F76E2D" w:rsidRDefault="00D92B4A" w:rsidP="00D92B4A">
      <w:pPr>
        <w:spacing w:after="0"/>
        <w:rPr>
          <w:rFonts w:ascii="Geomanist Light" w:eastAsia="Calibri" w:hAnsi="Geomanist Light" w:cs="Arial"/>
          <w:b/>
          <w:sz w:val="20"/>
          <w:szCs w:val="20"/>
        </w:rPr>
      </w:pPr>
      <w:r w:rsidRPr="00F76E2D">
        <w:rPr>
          <w:rFonts w:ascii="Geomanist Light" w:eastAsia="Calibri" w:hAnsi="Geomanist Light" w:cs="Arial"/>
          <w:b/>
          <w:sz w:val="20"/>
          <w:szCs w:val="20"/>
        </w:rPr>
        <w:t xml:space="preserve">EXPERIENCIA – Noción – </w:t>
      </w:r>
      <w:r w:rsidRPr="00EA407F">
        <w:rPr>
          <w:rFonts w:ascii="Geomanist Light" w:eastAsia="Calibri" w:hAnsi="Geomanist Light" w:cs="Arial"/>
          <w:b/>
          <w:sz w:val="20"/>
          <w:szCs w:val="20"/>
        </w:rPr>
        <w:t>Concepto</w:t>
      </w:r>
    </w:p>
    <w:p w14:paraId="0610F228" w14:textId="77777777" w:rsidR="00976BAD" w:rsidRPr="00F76E2D" w:rsidRDefault="00976BAD" w:rsidP="00D92B4A">
      <w:pPr>
        <w:spacing w:after="0"/>
        <w:rPr>
          <w:rFonts w:ascii="Geomanist Light" w:eastAsia="Calibri" w:hAnsi="Geomanist Light" w:cs="Arial"/>
          <w:sz w:val="20"/>
          <w:szCs w:val="20"/>
        </w:rPr>
      </w:pPr>
    </w:p>
    <w:p w14:paraId="44190B6F" w14:textId="77777777" w:rsidR="00D92B4A" w:rsidRPr="00F76E2D" w:rsidRDefault="00D92B4A" w:rsidP="00F76E2D">
      <w:pPr>
        <w:spacing w:after="0" w:line="240" w:lineRule="auto"/>
        <w:rPr>
          <w:rFonts w:ascii="Geomanist Light" w:eastAsia="Calibri" w:hAnsi="Geomanist Light" w:cs="Arial"/>
          <w:sz w:val="20"/>
          <w:szCs w:val="20"/>
        </w:rPr>
      </w:pPr>
      <w:r w:rsidRPr="00F76E2D">
        <w:rPr>
          <w:rFonts w:ascii="Geomanist Light" w:eastAsia="Calibri" w:hAnsi="Geomanist Light" w:cs="Arial"/>
          <w:sz w:val="20"/>
          <w:szCs w:val="20"/>
        </w:rPr>
        <w:t xml:space="preserve">La Ley 1150 de 2007, en el artículo 5, dispone que la capacidad jurídica y las condiciones de experiencia, así como la capacidad financiera y de organización de los proponentes, serán objeto de verificación por parte de las entidades como requisitos habilitantes para participar en los procesos de selección y no otorgarán puntaje. </w:t>
      </w:r>
    </w:p>
    <w:p w14:paraId="77CC9B78" w14:textId="77777777" w:rsidR="00F76E2D" w:rsidRPr="00F76E2D" w:rsidRDefault="00F76E2D" w:rsidP="00F76E2D">
      <w:pPr>
        <w:spacing w:after="0" w:line="240" w:lineRule="auto"/>
        <w:rPr>
          <w:rFonts w:ascii="Geomanist Light" w:eastAsia="Calibri" w:hAnsi="Geomanist Light" w:cs="Arial"/>
          <w:sz w:val="20"/>
          <w:szCs w:val="20"/>
        </w:rPr>
      </w:pPr>
    </w:p>
    <w:p w14:paraId="0FD86FC7" w14:textId="77777777" w:rsidR="00D92B4A" w:rsidRPr="00F76E2D" w:rsidRDefault="00D92B4A" w:rsidP="00F76E2D">
      <w:pPr>
        <w:spacing w:after="0" w:line="240" w:lineRule="auto"/>
        <w:rPr>
          <w:rFonts w:ascii="Geomanist Light" w:eastAsia="Calibri" w:hAnsi="Geomanist Light" w:cs="Arial"/>
          <w:sz w:val="20"/>
          <w:szCs w:val="20"/>
        </w:rPr>
      </w:pPr>
      <w:r w:rsidRPr="00F76E2D">
        <w:rPr>
          <w:rFonts w:ascii="Geomanist Light" w:eastAsia="Calibri" w:hAnsi="Geomanist Light" w:cs="Arial"/>
          <w:sz w:val="20"/>
          <w:szCs w:val="20"/>
        </w:rPr>
        <w:t>Para ello, el artículo 6 de la Ley 1150 de 2007 señala que todas las personas naturales o jurídicas, nacionales o extranjeras, domiciliadas o con sucursal en Colombia, que aspiren celebrar contratos con las entidades estatales deberán estar inscritas en el Registro Único de Proponentes. En dicho registro constará la información relacionada con la experiencia, la capacidad jurídica, financiera y de organización del proponente y su clasificación. En este registro constan los requisitos habilitantes que se evalúan exclusivamente con este documento, que es plena prueba, sin que la entidad o el proponente puedan, en principio, solicitar o aportar otra documentación.</w:t>
      </w:r>
    </w:p>
    <w:p w14:paraId="20856863" w14:textId="77777777" w:rsidR="001E4F7D" w:rsidRPr="00F76E2D" w:rsidRDefault="001E4F7D" w:rsidP="00F76E2D">
      <w:pPr>
        <w:spacing w:after="0" w:line="240" w:lineRule="auto"/>
        <w:rPr>
          <w:rFonts w:ascii="Geomanist Light" w:eastAsia="Calibri" w:hAnsi="Geomanist Light" w:cs="Arial"/>
          <w:sz w:val="20"/>
          <w:szCs w:val="20"/>
        </w:rPr>
      </w:pPr>
    </w:p>
    <w:p w14:paraId="56426378" w14:textId="53008E60" w:rsidR="00D92B4A" w:rsidRPr="00F76E2D" w:rsidRDefault="001E4F7D" w:rsidP="00F76E2D">
      <w:pPr>
        <w:spacing w:after="0" w:line="240" w:lineRule="auto"/>
        <w:rPr>
          <w:rFonts w:ascii="Geomanist Light" w:eastAsia="Calibri" w:hAnsi="Geomanist Light" w:cs="Arial"/>
          <w:sz w:val="20"/>
          <w:szCs w:val="20"/>
        </w:rPr>
      </w:pPr>
      <w:r w:rsidRPr="00F76E2D">
        <w:rPr>
          <w:rFonts w:ascii="Geomanist Light" w:eastAsia="Calibri" w:hAnsi="Geomanist Light" w:cs="Arial"/>
          <w:sz w:val="20"/>
          <w:szCs w:val="20"/>
        </w:rPr>
        <w:t>En relación con el requisito habilitante de experiencia, la Agencia Nacional de Contratación Pública – Colombia Compra Eficiente puso a disposición de los interesados del Sistema de Compra Pública el «Manual para determinar y verificar requisitos habilitantes en los Procesos de Contratación». Allí se indica que la experiencia tiene un carácter personal, lo cual significa que esta se obtiene por la participación, con anterioridad, en actividades que le permitieron a alguien conocer cómo ejecutar determinado objeto contractual que la entidad ahora pretende desarrollar.</w:t>
      </w:r>
    </w:p>
    <w:p w14:paraId="139E1D33" w14:textId="77777777" w:rsidR="001E4F7D" w:rsidRPr="00F76E2D" w:rsidRDefault="001E4F7D" w:rsidP="00F76E2D">
      <w:pPr>
        <w:spacing w:after="0" w:line="240" w:lineRule="auto"/>
        <w:rPr>
          <w:rFonts w:ascii="Geomanist Light" w:eastAsia="Calibri" w:hAnsi="Geomanist Light" w:cs="Arial"/>
          <w:sz w:val="20"/>
          <w:szCs w:val="20"/>
        </w:rPr>
      </w:pPr>
    </w:p>
    <w:p w14:paraId="33D2D996" w14:textId="53B2854E" w:rsidR="001E4F7D" w:rsidRPr="00F76E2D" w:rsidRDefault="001E4F7D" w:rsidP="00F76E2D">
      <w:pPr>
        <w:spacing w:after="0" w:line="240" w:lineRule="auto"/>
        <w:rPr>
          <w:rFonts w:ascii="Geomanist Light" w:eastAsia="Calibri" w:hAnsi="Geomanist Light" w:cs="Arial"/>
          <w:sz w:val="20"/>
          <w:szCs w:val="20"/>
        </w:rPr>
      </w:pPr>
      <w:r w:rsidRPr="00F76E2D">
        <w:rPr>
          <w:rFonts w:ascii="Geomanist Light" w:eastAsia="Calibri" w:hAnsi="Geomanist Light" w:cs="Arial"/>
          <w:sz w:val="20"/>
          <w:szCs w:val="20"/>
        </w:rPr>
        <w:t xml:space="preserve">[…] no es posible adquirir la experiencia si en la práctica no se han ejecutado actividades previas. Precisamente, de la experiencia se deriva el conocimiento del proponente, lo cual es importante para la contratación pública, pues ello garantiza que no habrá improvisación ni mayores costos por errores o dificultades originadas en realizar una actividad por primera vez. </w:t>
      </w:r>
      <w:r w:rsidR="0010636B" w:rsidRPr="0010636B">
        <w:rPr>
          <w:rFonts w:ascii="Geomanist Light" w:eastAsia="Calibri" w:hAnsi="Geomanist Light" w:cs="Arial"/>
          <w:sz w:val="20"/>
          <w:szCs w:val="20"/>
        </w:rPr>
        <w:t>Adicionalmente, el Manual explica que la experiencia puede obtenerse directamente o por participar asociado con otra persona, como es el caso de los proponentes plurales. Por otra parte, la Agencia recomienda que la experiencia que se solicite sea proporcional y no igual al objeto que se va a contratar, ya que esto puede limitar la participación de los proveedores por no haber ejecutado un objeto igual pero sí similar, de manera que se ayude a que exista pluralidad de oferentes</w:t>
      </w:r>
      <w:r w:rsidRPr="00F76E2D">
        <w:rPr>
          <w:rFonts w:ascii="Geomanist Light" w:eastAsia="Calibri" w:hAnsi="Geomanist Light" w:cs="Arial"/>
          <w:sz w:val="20"/>
          <w:szCs w:val="20"/>
        </w:rPr>
        <w:t>.</w:t>
      </w:r>
    </w:p>
    <w:p w14:paraId="5367EBB1" w14:textId="54C9C030" w:rsidR="00732CE6" w:rsidRPr="00F76E2D" w:rsidRDefault="00732CE6" w:rsidP="00732CE6">
      <w:pPr>
        <w:spacing w:after="0" w:line="240" w:lineRule="auto"/>
        <w:rPr>
          <w:rFonts w:ascii="Geomanist Light" w:eastAsia="Calibri" w:hAnsi="Geomanist Light" w:cs="Arial"/>
          <w:sz w:val="20"/>
          <w:szCs w:val="20"/>
        </w:rPr>
      </w:pPr>
    </w:p>
    <w:p w14:paraId="320EFE9C" w14:textId="7830F6B5" w:rsidR="00732CE6" w:rsidRPr="00F76E2D" w:rsidRDefault="00732CE6" w:rsidP="00732CE6">
      <w:pPr>
        <w:spacing w:after="0" w:line="240" w:lineRule="auto"/>
        <w:rPr>
          <w:rFonts w:ascii="Geomanist Light" w:eastAsia="Calibri" w:hAnsi="Geomanist Light" w:cs="Arial"/>
          <w:b/>
          <w:bCs/>
          <w:sz w:val="20"/>
          <w:szCs w:val="20"/>
        </w:rPr>
      </w:pPr>
      <w:r w:rsidRPr="00F76E2D">
        <w:rPr>
          <w:rFonts w:ascii="Geomanist Light" w:eastAsia="Calibri" w:hAnsi="Geomanist Light" w:cs="Arial"/>
          <w:b/>
          <w:bCs/>
          <w:sz w:val="20"/>
          <w:szCs w:val="20"/>
        </w:rPr>
        <w:t xml:space="preserve">EXPERIENCIA – Transformación </w:t>
      </w:r>
    </w:p>
    <w:p w14:paraId="044A7A25" w14:textId="77777777" w:rsidR="00732CE6" w:rsidRPr="00F76E2D" w:rsidRDefault="00732CE6" w:rsidP="00732CE6">
      <w:pPr>
        <w:widowControl w:val="0"/>
        <w:autoSpaceDE w:val="0"/>
        <w:autoSpaceDN w:val="0"/>
        <w:spacing w:after="0" w:line="240" w:lineRule="auto"/>
        <w:rPr>
          <w:rFonts w:ascii="Geomanist Light" w:eastAsia="Calibri" w:hAnsi="Geomanist Light" w:cs="Arial"/>
          <w:sz w:val="20"/>
          <w:szCs w:val="20"/>
        </w:rPr>
      </w:pPr>
    </w:p>
    <w:p w14:paraId="383C9E41" w14:textId="77777777" w:rsidR="00732CE6" w:rsidRPr="00F76E2D" w:rsidRDefault="00732CE6" w:rsidP="00732CE6">
      <w:pPr>
        <w:autoSpaceDE w:val="0"/>
        <w:autoSpaceDN w:val="0"/>
        <w:adjustRightInd w:val="0"/>
        <w:spacing w:after="0" w:line="240" w:lineRule="auto"/>
        <w:rPr>
          <w:rFonts w:ascii="Geomanist Light" w:eastAsia="Calibri" w:hAnsi="Geomanist Light" w:cs="Arial"/>
          <w:sz w:val="20"/>
          <w:szCs w:val="20"/>
        </w:rPr>
      </w:pPr>
      <w:r w:rsidRPr="00F76E2D">
        <w:rPr>
          <w:rFonts w:ascii="Geomanist Light" w:eastAsia="Calibri" w:hAnsi="Geomanist Light" w:cs="Arial"/>
          <w:sz w:val="20"/>
          <w:szCs w:val="20"/>
        </w:rPr>
        <w:t xml:space="preserve">Respecto de la experiencia, teniendo en cuenta que la sociedad solo cambia su forma, lo cual, de acuerdo con el Código de Comercio, no afecta sus actividades, la sociedad continuará con la experiencia adquirida, ya que la misma es personal, y mientras la persona jurídica exista la experiencia sigue vigente y puede incrementarse, siempre que la empresa continúe ejecutando contratos que le permitan aumentar el conocimiento en su objeto social. Esto se reafirma teniendo en cuenta que en la transformación la norma señala expresamente que la sociedad no se «disuelve», y por ende tampoco se «liquida», porque, de acuerdo con el artículo 222 del Código de Comercio, para «liquidarse» necesita estar «disuelta». Solo cambia el tipo societario que había adoptado en su constitución, es decir, no sufre modificaciones o alteraciones, y por eso puede continuar adquiriendo experiencia y compartirla, pero no puede trasladarla, porque para ello tendría que «disolverse» o conformar un consorcio, como se verá en la fusión y en una de las modalidades de escisión.  </w:t>
      </w:r>
    </w:p>
    <w:p w14:paraId="08900207" w14:textId="77777777" w:rsidR="00732CE6" w:rsidRPr="00F76E2D" w:rsidRDefault="00732CE6" w:rsidP="00732CE6">
      <w:pPr>
        <w:autoSpaceDE w:val="0"/>
        <w:autoSpaceDN w:val="0"/>
        <w:adjustRightInd w:val="0"/>
        <w:spacing w:after="0" w:line="240" w:lineRule="auto"/>
        <w:rPr>
          <w:rFonts w:ascii="Geomanist Light" w:eastAsia="Calibri" w:hAnsi="Geomanist Light" w:cs="Arial"/>
          <w:sz w:val="20"/>
          <w:szCs w:val="20"/>
        </w:rPr>
      </w:pPr>
    </w:p>
    <w:p w14:paraId="17AA74ED" w14:textId="77777777" w:rsidR="00732CE6" w:rsidRPr="00F76E2D" w:rsidRDefault="00732CE6" w:rsidP="00732CE6">
      <w:pPr>
        <w:spacing w:after="0" w:line="240" w:lineRule="auto"/>
        <w:rPr>
          <w:rFonts w:ascii="Geomanist Light" w:eastAsia="Calibri" w:hAnsi="Geomanist Light" w:cs="Arial"/>
          <w:b/>
          <w:bCs/>
          <w:sz w:val="20"/>
          <w:szCs w:val="20"/>
        </w:rPr>
      </w:pPr>
      <w:r w:rsidRPr="00F76E2D">
        <w:rPr>
          <w:rFonts w:ascii="Geomanist Light" w:eastAsia="Calibri" w:hAnsi="Geomanist Light" w:cs="Arial"/>
          <w:b/>
          <w:bCs/>
          <w:sz w:val="20"/>
          <w:szCs w:val="20"/>
        </w:rPr>
        <w:t xml:space="preserve">EXPERIENCIA – </w:t>
      </w:r>
      <w:r w:rsidRPr="00123AEC">
        <w:rPr>
          <w:rFonts w:ascii="Geomanist Light" w:eastAsia="Calibri" w:hAnsi="Geomanist Light" w:cs="Arial"/>
          <w:b/>
          <w:bCs/>
          <w:sz w:val="20"/>
          <w:szCs w:val="20"/>
        </w:rPr>
        <w:t>Escisión</w:t>
      </w:r>
    </w:p>
    <w:p w14:paraId="01546C49" w14:textId="77777777" w:rsidR="00732CE6" w:rsidRPr="00F76E2D" w:rsidRDefault="00732CE6" w:rsidP="00732CE6">
      <w:pPr>
        <w:widowControl w:val="0"/>
        <w:autoSpaceDE w:val="0"/>
        <w:autoSpaceDN w:val="0"/>
        <w:spacing w:after="0" w:line="240" w:lineRule="auto"/>
        <w:rPr>
          <w:rFonts w:ascii="Geomanist Light" w:eastAsia="Calibri" w:hAnsi="Geomanist Light" w:cs="Arial"/>
          <w:sz w:val="20"/>
          <w:szCs w:val="20"/>
        </w:rPr>
      </w:pPr>
    </w:p>
    <w:p w14:paraId="1ECAEB3D" w14:textId="4154C8CE" w:rsidR="00732CE6" w:rsidRPr="00F76E2D" w:rsidRDefault="00732CE6" w:rsidP="00732CE6">
      <w:pPr>
        <w:spacing w:after="0" w:line="240" w:lineRule="auto"/>
        <w:rPr>
          <w:rFonts w:ascii="Geomanist Light" w:eastAsia="Calibri" w:hAnsi="Geomanist Light" w:cs="Arial"/>
          <w:sz w:val="20"/>
          <w:szCs w:val="20"/>
        </w:rPr>
      </w:pPr>
      <w:r w:rsidRPr="00F76E2D">
        <w:rPr>
          <w:rFonts w:ascii="Geomanist Light" w:eastAsia="Calibri" w:hAnsi="Geomanist Light" w:cs="Arial"/>
          <w:sz w:val="20"/>
          <w:szCs w:val="20"/>
        </w:rPr>
        <w:t xml:space="preserve">Para la primera modalidad de escisión, teniendo en cuenta que la sociedad continúa sin alteraciones, puede compartir la experiencia a través de esquemas asociativos, pero no la transfiere porque para ello tendría que «disolverse» pero no «liquidarse», puesto que la «liquidación» implicaría que desaparece la persona y así su experiencia. Para explicarlo hay que volver a la definición de «disolución», donde la persona jurídica no desaparece y solo puede hacer trámites para «liquidarse». Sin embargo, hay una excepción a esa regla y es, precisamente, la de las figuras y reformas estatutarias que aquí se explican, particularmente la fusión, ya que por esa excepción la persona tiene continuidad en otra persona, y sigue siendo quien era, lo cual no es el caso de la escisión, ya que en la primera modalidad no existe «disolución», lo que significa que la persona continúa por sí misma y puede adquirir experiencia, pero no puede transferirla, porque le pertenece, al ser quien la adquirió. </w:t>
      </w:r>
    </w:p>
    <w:p w14:paraId="6CA85343" w14:textId="77777777" w:rsidR="00732CE6" w:rsidRPr="00F76E2D" w:rsidRDefault="00732CE6" w:rsidP="00732CE6">
      <w:pPr>
        <w:spacing w:after="0" w:line="240" w:lineRule="auto"/>
        <w:rPr>
          <w:rFonts w:ascii="Geomanist Light" w:eastAsia="Calibri" w:hAnsi="Geomanist Light" w:cs="Arial"/>
          <w:sz w:val="20"/>
          <w:szCs w:val="20"/>
        </w:rPr>
      </w:pPr>
    </w:p>
    <w:p w14:paraId="69AF37E9" w14:textId="77777777" w:rsidR="00732CE6" w:rsidRPr="00F76E2D" w:rsidRDefault="00732CE6" w:rsidP="00732CE6">
      <w:pPr>
        <w:spacing w:after="0" w:line="240" w:lineRule="auto"/>
        <w:rPr>
          <w:rFonts w:ascii="Geomanist Light" w:eastAsia="Calibri" w:hAnsi="Geomanist Light" w:cs="Arial"/>
          <w:sz w:val="20"/>
          <w:szCs w:val="20"/>
        </w:rPr>
      </w:pPr>
      <w:r w:rsidRPr="00F76E2D">
        <w:rPr>
          <w:rFonts w:ascii="Geomanist Light" w:eastAsia="Calibri" w:hAnsi="Geomanist Light" w:cs="Arial"/>
          <w:sz w:val="20"/>
          <w:szCs w:val="20"/>
        </w:rPr>
        <w:t>Por otro lado, a pesar de que en la segunda modalidad existe «disolución», no hay transferencia de la experiencia, porque la persona jurídica fraccionada deja de ser quien es y desaparece, quedando dividida en varias sociedades nuevas o existentes que reciben su patrimonio, sin que sea posible determinar cuál de todas las sociedades que recibieron parte del patrimonio de la sociedad escindida tiene la experiencia. Tampoco es posible que todas las sociedades que recibieron el patrimonio acrediten la misma experiencia multiplicándola tantas veces sea necesario, porque la experiencia es de quien la adquirió y como esa persona jurídica no puede continuar en otra persona porque desapareció quedando fraccionada en 2 o más partes, esto no corresponde con la definición de experiencia personal ni de transferencia de experiencia, donde la persona jurídica sigue siendo quien es a través de otra, sin cambios como fraccionamientos que implican que la persona ya no sea quien era y desaparezca.</w:t>
      </w:r>
    </w:p>
    <w:p w14:paraId="0200C632" w14:textId="77777777" w:rsidR="00732CE6" w:rsidRPr="00F76E2D" w:rsidRDefault="00732CE6" w:rsidP="00732CE6">
      <w:pPr>
        <w:spacing w:after="0" w:line="240" w:lineRule="auto"/>
        <w:rPr>
          <w:rFonts w:ascii="Geomanist Light" w:eastAsia="Calibri" w:hAnsi="Geomanist Light" w:cs="Arial"/>
          <w:sz w:val="20"/>
          <w:szCs w:val="20"/>
        </w:rPr>
      </w:pPr>
    </w:p>
    <w:p w14:paraId="72C00E2E" w14:textId="77777777" w:rsidR="00732CE6" w:rsidRPr="00F76E2D" w:rsidRDefault="00732CE6" w:rsidP="00732CE6">
      <w:pPr>
        <w:widowControl w:val="0"/>
        <w:autoSpaceDE w:val="0"/>
        <w:autoSpaceDN w:val="0"/>
        <w:spacing w:after="0" w:line="240" w:lineRule="auto"/>
        <w:ind w:right="102"/>
        <w:rPr>
          <w:rFonts w:ascii="Geomanist Light" w:eastAsia="Calibri" w:hAnsi="Geomanist Light" w:cs="Arial"/>
          <w:b/>
          <w:bCs/>
          <w:sz w:val="20"/>
          <w:szCs w:val="20"/>
        </w:rPr>
      </w:pPr>
      <w:r w:rsidRPr="00F76E2D">
        <w:rPr>
          <w:rFonts w:ascii="Geomanist Light" w:eastAsia="Calibri" w:hAnsi="Geomanist Light" w:cs="Arial"/>
          <w:b/>
          <w:bCs/>
          <w:sz w:val="20"/>
          <w:szCs w:val="20"/>
        </w:rPr>
        <w:t xml:space="preserve">EXPERIENCIA – Fusión – Fusión por absorción </w:t>
      </w:r>
    </w:p>
    <w:p w14:paraId="4CECE663" w14:textId="77777777" w:rsidR="00732CE6" w:rsidRPr="00F76E2D" w:rsidRDefault="00732CE6" w:rsidP="00732CE6">
      <w:pPr>
        <w:widowControl w:val="0"/>
        <w:autoSpaceDE w:val="0"/>
        <w:autoSpaceDN w:val="0"/>
        <w:spacing w:after="0" w:line="240" w:lineRule="auto"/>
        <w:ind w:left="301" w:right="102"/>
        <w:rPr>
          <w:rFonts w:ascii="Geomanist Light" w:eastAsia="Calibri" w:hAnsi="Geomanist Light" w:cs="Arial"/>
          <w:sz w:val="20"/>
          <w:szCs w:val="20"/>
        </w:rPr>
      </w:pPr>
    </w:p>
    <w:p w14:paraId="374F2F1E" w14:textId="77777777" w:rsidR="00732CE6" w:rsidRPr="00F76E2D" w:rsidRDefault="00732CE6" w:rsidP="00732CE6">
      <w:pPr>
        <w:widowControl w:val="0"/>
        <w:autoSpaceDE w:val="0"/>
        <w:autoSpaceDN w:val="0"/>
        <w:spacing w:after="0" w:line="240" w:lineRule="auto"/>
        <w:rPr>
          <w:rFonts w:ascii="Geomanist Light" w:eastAsia="Calibri" w:hAnsi="Geomanist Light" w:cs="Arial"/>
          <w:sz w:val="20"/>
          <w:szCs w:val="20"/>
        </w:rPr>
      </w:pPr>
      <w:r w:rsidRPr="00F76E2D">
        <w:rPr>
          <w:rFonts w:ascii="Geomanist Light" w:eastAsia="Calibri" w:hAnsi="Geomanist Light" w:cs="Arial"/>
          <w:sz w:val="20"/>
          <w:szCs w:val="20"/>
        </w:rPr>
        <w:t>Para analizar la fusión y sus efectos respecto de la experiencia de la sociedad que se «disuelve» pero no se «liquida», es necesario reiterar la explicación dada respecto de la segunda modalidad de escisión, y es que siempre que la sociedad no se liquide, es decir, que no desaparezca, la experiencia puede ser trasladada y no compartida. Lo anterior, toda vez que la trasferencia ocurre porque la persona jurídica continúa a través de otra, esto es, deja de ser quien es, pero no desaparece porque otra sociedad se convierte en ella, ya sea una sociedad nueva cuando es fusión por creación, o una sociedad existente en la fusión por absorción. La experiencia no se comparte, porque para esto la sociedad debería continuar individualmente considerada, pero en este evento continúa a través de otra, a quien le transfiere su experiencia y todos sus derechos y obligaciones, de conformidad con el artículo 172 y siguientes del Código de Comercio.</w:t>
      </w:r>
    </w:p>
    <w:p w14:paraId="5C3F235A" w14:textId="77777777" w:rsidR="00732CE6" w:rsidRPr="00F76E2D" w:rsidRDefault="00732CE6" w:rsidP="00732CE6">
      <w:pPr>
        <w:widowControl w:val="0"/>
        <w:autoSpaceDE w:val="0"/>
        <w:autoSpaceDN w:val="0"/>
        <w:spacing w:after="0" w:line="240" w:lineRule="auto"/>
        <w:ind w:right="102"/>
        <w:rPr>
          <w:rFonts w:ascii="Geomanist Light" w:eastAsia="Calibri" w:hAnsi="Geomanist Light" w:cs="Arial"/>
          <w:sz w:val="20"/>
          <w:szCs w:val="20"/>
        </w:rPr>
      </w:pPr>
    </w:p>
    <w:p w14:paraId="73CF72DA" w14:textId="108F15AC" w:rsidR="00732CE6" w:rsidRPr="00F76E2D" w:rsidRDefault="00732CE6" w:rsidP="00732CE6">
      <w:pPr>
        <w:widowControl w:val="0"/>
        <w:autoSpaceDE w:val="0"/>
        <w:autoSpaceDN w:val="0"/>
        <w:spacing w:after="0" w:line="240" w:lineRule="auto"/>
        <w:ind w:right="102"/>
        <w:rPr>
          <w:rFonts w:ascii="Geomanist Light" w:eastAsia="Calibri" w:hAnsi="Geomanist Light" w:cs="Arial"/>
          <w:sz w:val="20"/>
          <w:szCs w:val="20"/>
        </w:rPr>
      </w:pPr>
      <w:r w:rsidRPr="00F76E2D">
        <w:rPr>
          <w:rFonts w:ascii="Geomanist Light" w:eastAsia="Calibri" w:hAnsi="Geomanist Light" w:cs="Arial"/>
          <w:sz w:val="20"/>
          <w:szCs w:val="20"/>
        </w:rPr>
        <w:t>[…]</w:t>
      </w:r>
    </w:p>
    <w:p w14:paraId="04A0A9C8" w14:textId="77777777" w:rsidR="00732CE6" w:rsidRPr="00F76E2D" w:rsidRDefault="00732CE6" w:rsidP="00732CE6">
      <w:pPr>
        <w:spacing w:after="0" w:line="240" w:lineRule="auto"/>
        <w:rPr>
          <w:rFonts w:ascii="Geomanist Light" w:eastAsia="Calibri" w:hAnsi="Geomanist Light" w:cs="Arial"/>
          <w:sz w:val="20"/>
          <w:szCs w:val="20"/>
        </w:rPr>
      </w:pPr>
    </w:p>
    <w:p w14:paraId="5ADED7F0" w14:textId="7D3C128D" w:rsidR="00732CE6" w:rsidRPr="00F76E2D" w:rsidRDefault="00732CE6" w:rsidP="00732CE6">
      <w:pPr>
        <w:spacing w:after="0" w:line="240" w:lineRule="auto"/>
        <w:rPr>
          <w:rFonts w:ascii="Geomanist Light" w:eastAsia="Calibri" w:hAnsi="Geomanist Light" w:cs="Arial"/>
          <w:sz w:val="20"/>
          <w:szCs w:val="20"/>
        </w:rPr>
      </w:pPr>
      <w:r w:rsidRPr="00F76E2D">
        <w:rPr>
          <w:rFonts w:ascii="Geomanist Light" w:eastAsia="Calibri" w:hAnsi="Geomanist Light" w:cs="Arial"/>
          <w:sz w:val="20"/>
          <w:szCs w:val="20"/>
        </w:rPr>
        <w:t>En consecuencia, en la fusión es posible que la sociedad absorbente tenga la experiencia de la sociedad absorbida, porque esta última continuó a través de la primera, y ello implica que transfirió su experiencia debido a que no se liquidó, es decir no desapareció, lo que haría imposible la transferencia de experiencia.</w:t>
      </w:r>
    </w:p>
    <w:p w14:paraId="687305AE" w14:textId="77777777" w:rsidR="001E4F7D" w:rsidRPr="00F76E2D" w:rsidRDefault="001E4F7D" w:rsidP="00D92B4A">
      <w:pPr>
        <w:spacing w:after="0"/>
        <w:rPr>
          <w:rFonts w:ascii="Geomanist Light" w:eastAsia="Calibri" w:hAnsi="Geomanist Light" w:cs="Arial"/>
          <w:sz w:val="20"/>
          <w:szCs w:val="20"/>
        </w:rPr>
      </w:pPr>
    </w:p>
    <w:bookmarkEnd w:id="0"/>
    <w:p w14:paraId="50E6E80E" w14:textId="530A17CE" w:rsidR="00732CE6" w:rsidRPr="00F76E2D" w:rsidRDefault="00F66826" w:rsidP="00732CE6">
      <w:pPr>
        <w:rPr>
          <w:rFonts w:ascii="Geomanist Light" w:eastAsia="Calibri" w:hAnsi="Geomanist Light" w:cs="Arial"/>
          <w:b/>
          <w:bCs/>
          <w:color w:val="000000" w:themeColor="text1"/>
          <w:sz w:val="20"/>
          <w:szCs w:val="20"/>
        </w:rPr>
      </w:pPr>
      <w:r w:rsidRPr="00F76E2D">
        <w:rPr>
          <w:rFonts w:ascii="Geomanist Light" w:eastAsia="Calibri" w:hAnsi="Geomanist Light" w:cs="Arial"/>
          <w:b/>
          <w:bCs/>
          <w:color w:val="000000" w:themeColor="text1"/>
          <w:sz w:val="20"/>
          <w:szCs w:val="20"/>
        </w:rPr>
        <w:t>MATRICES Y SUBORDINADAS</w:t>
      </w:r>
      <w:r w:rsidR="00732CE6" w:rsidRPr="00F76E2D">
        <w:rPr>
          <w:rFonts w:ascii="Geomanist Light" w:eastAsia="Calibri" w:hAnsi="Geomanist Light" w:cs="Arial"/>
          <w:b/>
          <w:bCs/>
          <w:color w:val="000000" w:themeColor="text1"/>
          <w:sz w:val="20"/>
          <w:szCs w:val="20"/>
        </w:rPr>
        <w:t xml:space="preserve"> </w:t>
      </w:r>
      <w:r w:rsidRPr="00F76E2D">
        <w:rPr>
          <w:rFonts w:ascii="Geomanist Light" w:eastAsia="Calibri" w:hAnsi="Geomanist Light" w:cs="Arial"/>
          <w:b/>
          <w:color w:val="000000" w:themeColor="text1"/>
          <w:sz w:val="20"/>
          <w:szCs w:val="20"/>
        </w:rPr>
        <w:t xml:space="preserve">– </w:t>
      </w:r>
      <w:r w:rsidRPr="00EA3887">
        <w:rPr>
          <w:rFonts w:ascii="Geomanist Light" w:eastAsia="Calibri" w:hAnsi="Geomanist Light" w:cs="Arial"/>
          <w:b/>
          <w:bCs/>
          <w:color w:val="000000" w:themeColor="text1"/>
          <w:sz w:val="20"/>
          <w:szCs w:val="20"/>
        </w:rPr>
        <w:t>Experiencia</w:t>
      </w:r>
      <w:r w:rsidRPr="00F76E2D">
        <w:rPr>
          <w:rFonts w:ascii="Geomanist Light" w:eastAsia="Calibri" w:hAnsi="Geomanist Light" w:cs="Arial"/>
          <w:b/>
          <w:bCs/>
          <w:color w:val="000000" w:themeColor="text1"/>
          <w:sz w:val="20"/>
          <w:szCs w:val="20"/>
        </w:rPr>
        <w:t xml:space="preserve"> </w:t>
      </w:r>
    </w:p>
    <w:p w14:paraId="5C4C45E9" w14:textId="45401C37" w:rsidR="00F66826" w:rsidRPr="00F76E2D" w:rsidRDefault="00F66826" w:rsidP="00F66826">
      <w:pPr>
        <w:spacing w:line="240" w:lineRule="auto"/>
        <w:rPr>
          <w:rFonts w:ascii="Geomanist Light" w:eastAsia="Calibri" w:hAnsi="Geomanist Light" w:cs="Arial"/>
          <w:color w:val="000000" w:themeColor="text1"/>
          <w:sz w:val="20"/>
          <w:szCs w:val="20"/>
        </w:rPr>
      </w:pPr>
      <w:r w:rsidRPr="00F76E2D">
        <w:rPr>
          <w:rFonts w:ascii="Geomanist Light" w:eastAsia="Calibri" w:hAnsi="Geomanist Light" w:cs="Arial"/>
          <w:color w:val="000000" w:themeColor="text1"/>
          <w:sz w:val="20"/>
          <w:szCs w:val="20"/>
        </w:rPr>
        <w:t xml:space="preserve">[…] el Código de Comercio, en el artículo 260, subrogado por el artículo 26 de la Ley 222 de 1995, regula las matrices y subordinadas. La norma citada contiene los siguientes conceptos: i) matriz, ii) subordinada o controlada, iii) filial y iv) subsidiaria. En primer lugar, una sociedad es i) matriz cuando </w:t>
      </w:r>
      <w:r w:rsidRPr="00F76E2D">
        <w:rPr>
          <w:rFonts w:ascii="Geomanist Light" w:eastAsia="Calibri" w:hAnsi="Geomanist Light" w:cs="Arial"/>
          <w:color w:val="000000" w:themeColor="text1"/>
          <w:sz w:val="20"/>
          <w:szCs w:val="20"/>
        </w:rPr>
        <w:lastRenderedPageBreak/>
        <w:t>tiene poder de decisión frente a otras personas, ii) la sociedad subordinada o controlada es la que no puede autodeterminarse porque sus decisiones se someten a la sociedad matriz, y esa subordinación cuando es directa se denomina iii) filial, y cuando es indirecta, esto es, la matriz toma decisiones con el concurso o por intermedio de otras de sus sociedades subordinadas o controladas, es una iv) sociedad subsidiaria.</w:t>
      </w:r>
    </w:p>
    <w:p w14:paraId="569B0E3E" w14:textId="080183C5" w:rsidR="00F66826" w:rsidRPr="00F76E2D" w:rsidRDefault="00F66826" w:rsidP="00F66826">
      <w:pPr>
        <w:spacing w:line="240" w:lineRule="auto"/>
        <w:rPr>
          <w:rFonts w:ascii="Geomanist Light" w:eastAsia="Calibri" w:hAnsi="Geomanist Light" w:cs="Arial"/>
          <w:color w:val="000000" w:themeColor="text1"/>
          <w:sz w:val="20"/>
          <w:szCs w:val="20"/>
        </w:rPr>
      </w:pPr>
      <w:r w:rsidRPr="00F76E2D">
        <w:rPr>
          <w:rFonts w:ascii="Geomanist Light" w:eastAsia="Calibri" w:hAnsi="Geomanist Light" w:cs="Arial"/>
          <w:color w:val="000000" w:themeColor="text1"/>
          <w:sz w:val="20"/>
          <w:szCs w:val="20"/>
        </w:rPr>
        <w:t>[…] una sociedad subordinada  ̶ filial o subsidiaria ̶ conserva su individualidad respecto de su matriz, y al ser personas jurídicas diferentes adquieren su experiencia de forma personal e independiente, la cual pueden compartir conformando un proponente plural  ̶ unión temporal o consorcio ̶, o transferir por fusión y escisión entre las sociedades comerciales, o por expresa disposición del pliego de condiciones que así lo autorice. Sin embargo, por la prohibición del artículo 262 del Código de Comercio, subrogado por el artículo 32 de la Ley 222 de 1995 citado, no es posible que entre una matriz y sus subordinadas se comparta la experiencia a través de la posibilidad que señala la ley para que los socios aporten su experiencia a las sociedades con menos de 3 años de constitución. Tampoco es posible transferir la experiencia por la transformación de la sociedad comercial, ya que esta reforma social del Código de Comercio involucra una persona jurídica y no varias como es el caso de la matriz y sus subordinadas.</w:t>
      </w:r>
    </w:p>
    <w:p w14:paraId="1B84C2FA" w14:textId="5E501FB7" w:rsidR="00732CE6" w:rsidRPr="00F76E2D" w:rsidRDefault="00732CE6" w:rsidP="00F66826">
      <w:pPr>
        <w:spacing w:after="0" w:line="240" w:lineRule="auto"/>
        <w:rPr>
          <w:rFonts w:ascii="Geomanist Light" w:eastAsia="Calibri" w:hAnsi="Geomanist Light" w:cs="Arial"/>
          <w:color w:val="000000" w:themeColor="text1"/>
          <w:sz w:val="20"/>
          <w:szCs w:val="20"/>
        </w:rPr>
      </w:pPr>
      <w:r w:rsidRPr="00F76E2D">
        <w:rPr>
          <w:rFonts w:ascii="Geomanist Light" w:eastAsia="Calibri" w:hAnsi="Geomanist Light" w:cs="Arial"/>
          <w:sz w:val="20"/>
          <w:szCs w:val="20"/>
        </w:rPr>
        <w:t>[…]</w:t>
      </w:r>
      <w:r w:rsidRPr="00F76E2D">
        <w:rPr>
          <w:rFonts w:ascii="Geomanist Light" w:eastAsia="Calibri" w:hAnsi="Geomanist Light" w:cs="Arial"/>
          <w:color w:val="000000" w:themeColor="text1"/>
          <w:sz w:val="20"/>
          <w:szCs w:val="20"/>
        </w:rPr>
        <w:t xml:space="preserve">se precisa que la figura de consorcio o la unión temporal establecida en el artículo 7 de la Ley 80 de 1993 tan solo exige que la propuesta debe ser presentada conjuntamente por dos o más «personas», sin hacer ninguna aclaración ulterior. En ese orden de ideas, como consecuencia del principio de interpretación de las normas jurídicas según el cual donde la ley no distingue no le es dado distinguir al intérprete, las dos o más personas que conforman el consorcio o la unión temporal pueden tener cualquier calidad o relación entre ellas, sin que exista limitación sobre su condición de matriz o controlante y subsidiaria o filial. </w:t>
      </w:r>
    </w:p>
    <w:p w14:paraId="0C06A940" w14:textId="77777777" w:rsidR="00F66826" w:rsidRPr="00F76E2D" w:rsidRDefault="00F66826" w:rsidP="00F66826">
      <w:pPr>
        <w:spacing w:after="0" w:line="240" w:lineRule="auto"/>
        <w:rPr>
          <w:rFonts w:ascii="Geomanist Light" w:eastAsia="Calibri" w:hAnsi="Geomanist Light" w:cs="Arial"/>
          <w:color w:val="000000" w:themeColor="text1"/>
          <w:sz w:val="20"/>
          <w:szCs w:val="20"/>
        </w:rPr>
      </w:pPr>
    </w:p>
    <w:p w14:paraId="258386BE" w14:textId="2338B83A" w:rsidR="000E6DE8" w:rsidRPr="00F76E2D" w:rsidRDefault="000E6DE8" w:rsidP="000E6DE8">
      <w:pPr>
        <w:spacing w:after="0" w:line="240" w:lineRule="auto"/>
        <w:rPr>
          <w:rFonts w:ascii="Geomanist Light" w:eastAsia="Calibri" w:hAnsi="Geomanist Light" w:cs="Arial"/>
          <w:b/>
          <w:bCs/>
          <w:color w:val="000000" w:themeColor="text1"/>
          <w:sz w:val="22"/>
          <w:lang w:val="es-ES"/>
        </w:rPr>
      </w:pPr>
    </w:p>
    <w:p w14:paraId="41D4FA7E" w14:textId="77777777" w:rsidR="000E6DE8" w:rsidRPr="00F76E2D" w:rsidRDefault="000E6DE8" w:rsidP="000E6DE8">
      <w:pPr>
        <w:spacing w:after="0" w:line="240" w:lineRule="auto"/>
        <w:rPr>
          <w:rFonts w:ascii="Geomanist Light" w:eastAsia="Calibri" w:hAnsi="Geomanist Light" w:cs="Arial"/>
          <w:sz w:val="20"/>
          <w:szCs w:val="20"/>
        </w:rPr>
      </w:pPr>
    </w:p>
    <w:p w14:paraId="0A50BCE8" w14:textId="77777777" w:rsidR="00474929" w:rsidRPr="00F76E2D" w:rsidRDefault="00474929" w:rsidP="00474929">
      <w:pPr>
        <w:spacing w:after="0"/>
        <w:rPr>
          <w:rFonts w:ascii="Geomanist Light" w:eastAsia="Calibri" w:hAnsi="Geomanist Light" w:cs="Arial"/>
          <w:b/>
          <w:bCs/>
          <w:color w:val="000000" w:themeColor="text1"/>
          <w:sz w:val="20"/>
          <w:szCs w:val="20"/>
        </w:rPr>
      </w:pPr>
    </w:p>
    <w:p w14:paraId="566BB4C5" w14:textId="77777777" w:rsidR="00474929" w:rsidRPr="00F76E2D" w:rsidRDefault="00474929" w:rsidP="00474929">
      <w:pPr>
        <w:spacing w:after="0"/>
        <w:rPr>
          <w:rFonts w:ascii="Geomanist Light" w:eastAsia="Calibri" w:hAnsi="Geomanist Light" w:cs="Arial"/>
          <w:b/>
          <w:bCs/>
          <w:color w:val="000000" w:themeColor="text1"/>
          <w:sz w:val="20"/>
          <w:szCs w:val="20"/>
        </w:rPr>
      </w:pPr>
    </w:p>
    <w:p w14:paraId="3F7A80F6" w14:textId="59B2407F" w:rsidR="002105A9" w:rsidRPr="00F76E2D" w:rsidRDefault="002105A9" w:rsidP="00474929">
      <w:pPr>
        <w:spacing w:after="0"/>
        <w:rPr>
          <w:rFonts w:ascii="Geomanist Light" w:eastAsia="Calibri" w:hAnsi="Geomanist Light" w:cs="Arial"/>
          <w:b/>
          <w:bCs/>
          <w:color w:val="000000" w:themeColor="text1"/>
          <w:sz w:val="20"/>
          <w:szCs w:val="20"/>
          <w:lang w:val="es-CO"/>
        </w:rPr>
      </w:pPr>
    </w:p>
    <w:p w14:paraId="26612DE4" w14:textId="4ECEEB3A" w:rsidR="00A67571" w:rsidRPr="00F76E2D" w:rsidRDefault="00A67571">
      <w:pPr>
        <w:spacing w:after="0" w:line="240" w:lineRule="auto"/>
        <w:jc w:val="left"/>
        <w:rPr>
          <w:rFonts w:ascii="Geomanist Light" w:eastAsia="Calibri" w:hAnsi="Geomanist Light" w:cs="Arial"/>
          <w:b/>
          <w:bCs/>
          <w:color w:val="000000" w:themeColor="text1"/>
          <w:sz w:val="20"/>
          <w:szCs w:val="20"/>
          <w:lang w:val="es-CO"/>
        </w:rPr>
      </w:pPr>
      <w:r w:rsidRPr="00F76E2D">
        <w:rPr>
          <w:rFonts w:ascii="Geomanist Light" w:eastAsia="Calibri" w:hAnsi="Geomanist Light" w:cs="Arial"/>
          <w:b/>
          <w:bCs/>
          <w:color w:val="000000" w:themeColor="text1"/>
          <w:sz w:val="20"/>
          <w:szCs w:val="20"/>
          <w:lang w:val="es-CO"/>
        </w:rPr>
        <w:br w:type="page"/>
      </w:r>
    </w:p>
    <w:p w14:paraId="7322F8BE" w14:textId="77777777" w:rsidR="002105A9" w:rsidRPr="00F76E2D" w:rsidRDefault="002105A9" w:rsidP="00474929">
      <w:pPr>
        <w:spacing w:after="0"/>
        <w:rPr>
          <w:rFonts w:ascii="Geomanist Light" w:eastAsia="Calibri" w:hAnsi="Geomanist Light" w:cs="Arial"/>
          <w:b/>
          <w:bCs/>
          <w:color w:val="000000" w:themeColor="text1"/>
          <w:sz w:val="20"/>
          <w:szCs w:val="20"/>
          <w:lang w:val="es-CO"/>
        </w:rPr>
      </w:pPr>
    </w:p>
    <w:p w14:paraId="0ADE2946" w14:textId="22DFFB45" w:rsidR="00474929" w:rsidRPr="00F76E2D" w:rsidRDefault="00474929" w:rsidP="00474929">
      <w:pPr>
        <w:spacing w:after="0"/>
        <w:jc w:val="right"/>
        <w:rPr>
          <w:rFonts w:ascii="Geomanist Light" w:eastAsia="Calibri" w:hAnsi="Geomanist Light" w:cs="Arial"/>
          <w:b/>
          <w:bCs/>
          <w:sz w:val="16"/>
          <w:szCs w:val="16"/>
          <w:lang w:val="es-CO"/>
        </w:rPr>
      </w:pPr>
      <w:r w:rsidRPr="00F76E2D">
        <w:rPr>
          <w:rFonts w:ascii="Geomanist Light" w:eastAsia="Times New Roman" w:hAnsi="Geomanist Light" w:cs="Arial"/>
          <w:b/>
          <w:bCs/>
          <w:sz w:val="16"/>
          <w:szCs w:val="16"/>
          <w:lang w:val="es-CO" w:eastAsia="es-ES"/>
        </w:rPr>
        <w:t>CCE-DES-FM-17</w:t>
      </w:r>
    </w:p>
    <w:p w14:paraId="07E22425" w14:textId="374CDB83" w:rsidR="00474929" w:rsidRDefault="009236A6" w:rsidP="009236A6">
      <w:pPr>
        <w:spacing w:after="0" w:line="240" w:lineRule="auto"/>
        <w:rPr>
          <w:rFonts w:ascii="Geomanist Light" w:eastAsia="Times New Roman" w:hAnsi="Geomanist Light" w:cs="Arial"/>
          <w:szCs w:val="24"/>
          <w:lang w:val="es-CO" w:eastAsia="es-MX"/>
        </w:rPr>
      </w:pPr>
      <w:r>
        <w:rPr>
          <w:rFonts w:ascii="Geomanist Light" w:eastAsia="Times New Roman" w:hAnsi="Geomanist Light" w:cs="Arial"/>
          <w:szCs w:val="24"/>
          <w:lang w:val="es-CO" w:eastAsia="es-MX"/>
        </w:rPr>
        <w:t>Bogotá D.C. 29 de noviembre de 2022</w:t>
      </w:r>
    </w:p>
    <w:p w14:paraId="1AA4ABBB" w14:textId="1910BDA3" w:rsidR="009236A6" w:rsidRDefault="009236A6" w:rsidP="009236A6">
      <w:pPr>
        <w:spacing w:after="0" w:line="240" w:lineRule="auto"/>
        <w:rPr>
          <w:rFonts w:ascii="Geomanist Light" w:eastAsia="Times New Roman" w:hAnsi="Geomanist Light" w:cs="Arial"/>
          <w:szCs w:val="24"/>
          <w:lang w:val="es-CO" w:eastAsia="es-MX"/>
        </w:rPr>
      </w:pPr>
    </w:p>
    <w:p w14:paraId="3247CA4B" w14:textId="4CA9A228" w:rsidR="009236A6" w:rsidRDefault="009236A6" w:rsidP="009236A6">
      <w:pPr>
        <w:spacing w:after="0" w:line="240" w:lineRule="auto"/>
        <w:jc w:val="right"/>
        <w:rPr>
          <w:rFonts w:ascii="Geomanist Light" w:eastAsia="Times New Roman" w:hAnsi="Geomanist Light" w:cs="Arial"/>
          <w:szCs w:val="24"/>
          <w:lang w:val="es-CO" w:eastAsia="es-MX"/>
        </w:rPr>
      </w:pPr>
      <w:r>
        <w:rPr>
          <w:noProof/>
          <w:lang w:val="en-US"/>
        </w:rPr>
        <w:drawing>
          <wp:inline distT="0" distB="0" distL="0" distR="0" wp14:anchorId="22BEC28F" wp14:editId="4A026800">
            <wp:extent cx="3137876" cy="83820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8839" t="35621" r="6823" b="29060"/>
                    <a:stretch/>
                  </pic:blipFill>
                  <pic:spPr bwMode="auto">
                    <a:xfrm>
                      <a:off x="0" y="0"/>
                      <a:ext cx="3181487" cy="849849"/>
                    </a:xfrm>
                    <a:prstGeom prst="rect">
                      <a:avLst/>
                    </a:prstGeom>
                    <a:ln>
                      <a:noFill/>
                    </a:ln>
                    <a:extLst>
                      <a:ext uri="{53640926-AAD7-44D8-BBD7-CCE9431645EC}">
                        <a14:shadowObscured xmlns:a14="http://schemas.microsoft.com/office/drawing/2010/main"/>
                      </a:ext>
                    </a:extLst>
                  </pic:spPr>
                </pic:pic>
              </a:graphicData>
            </a:graphic>
          </wp:inline>
        </w:drawing>
      </w:r>
    </w:p>
    <w:p w14:paraId="28DE9F42" w14:textId="429B40AD" w:rsidR="00474929" w:rsidRPr="00F76E2D" w:rsidRDefault="00474929" w:rsidP="00474929">
      <w:pPr>
        <w:spacing w:after="0" w:line="240" w:lineRule="auto"/>
        <w:rPr>
          <w:rFonts w:ascii="Geomanist Light" w:eastAsia="Calibri" w:hAnsi="Geomanist Light" w:cs="Arial"/>
          <w:sz w:val="22"/>
          <w:lang w:val="es-CO"/>
        </w:rPr>
      </w:pPr>
      <w:bookmarkStart w:id="1" w:name="_Hlk96417464"/>
      <w:r w:rsidRPr="00F76E2D">
        <w:rPr>
          <w:rFonts w:ascii="Geomanist Light" w:eastAsia="Calibri" w:hAnsi="Geomanist Light" w:cs="Arial"/>
          <w:sz w:val="22"/>
          <w:lang w:val="es-CO"/>
        </w:rPr>
        <w:t>Señor</w:t>
      </w:r>
      <w:r w:rsidR="00777192" w:rsidRPr="00F76E2D">
        <w:rPr>
          <w:rFonts w:ascii="Geomanist Light" w:eastAsia="Calibri" w:hAnsi="Geomanist Light" w:cs="Arial"/>
          <w:sz w:val="22"/>
          <w:lang w:val="es-CO"/>
        </w:rPr>
        <w:t>a</w:t>
      </w:r>
    </w:p>
    <w:p w14:paraId="7F906FA7" w14:textId="20A493F5" w:rsidR="00474929" w:rsidRPr="00F76E2D" w:rsidRDefault="00777192" w:rsidP="00474929">
      <w:pPr>
        <w:spacing w:after="0" w:line="240" w:lineRule="auto"/>
        <w:rPr>
          <w:rFonts w:ascii="Geomanist Light" w:eastAsia="Calibri" w:hAnsi="Geomanist Light" w:cs="Arial"/>
          <w:b/>
          <w:bCs/>
          <w:sz w:val="22"/>
          <w:lang w:val="es-CO"/>
        </w:rPr>
      </w:pPr>
      <w:r w:rsidRPr="00F76E2D">
        <w:rPr>
          <w:rFonts w:ascii="Geomanist Light" w:eastAsia="Calibri" w:hAnsi="Geomanist Light" w:cs="Arial"/>
          <w:b/>
          <w:bCs/>
          <w:sz w:val="22"/>
          <w:lang w:val="es-CO"/>
        </w:rPr>
        <w:t xml:space="preserve">Andrea Villate </w:t>
      </w:r>
    </w:p>
    <w:p w14:paraId="39564516" w14:textId="328C35D1" w:rsidR="00474929" w:rsidRPr="00F76E2D" w:rsidRDefault="00474929" w:rsidP="00474929">
      <w:pPr>
        <w:spacing w:after="0" w:line="240" w:lineRule="auto"/>
        <w:rPr>
          <w:rFonts w:ascii="Geomanist Light" w:eastAsia="Calibri" w:hAnsi="Geomanist Light" w:cs="Arial"/>
          <w:sz w:val="22"/>
          <w:lang w:val="es-CO"/>
        </w:rPr>
      </w:pPr>
      <w:r w:rsidRPr="00F76E2D">
        <w:rPr>
          <w:rFonts w:ascii="Geomanist Light" w:eastAsia="Calibri" w:hAnsi="Geomanist Light" w:cs="Arial"/>
          <w:sz w:val="22"/>
          <w:lang w:val="es-CO"/>
        </w:rPr>
        <w:t>Bogotá D.C.</w:t>
      </w:r>
    </w:p>
    <w:p w14:paraId="3DA5291F" w14:textId="77777777" w:rsidR="00474929" w:rsidRPr="00F76E2D" w:rsidRDefault="00474929" w:rsidP="00474929">
      <w:pPr>
        <w:spacing w:after="0" w:line="240" w:lineRule="auto"/>
        <w:rPr>
          <w:rFonts w:ascii="Geomanist Light" w:eastAsia="Calibri" w:hAnsi="Geomanist Light" w:cs="Arial"/>
          <w:sz w:val="22"/>
          <w:lang w:val="es-CO"/>
        </w:rPr>
      </w:pPr>
    </w:p>
    <w:p w14:paraId="042752B9" w14:textId="20A04B8C" w:rsidR="00474929" w:rsidRPr="00F76E2D" w:rsidRDefault="00474929" w:rsidP="00F368DD">
      <w:pPr>
        <w:spacing w:after="0" w:line="240" w:lineRule="auto"/>
        <w:ind w:left="2694"/>
        <w:rPr>
          <w:rFonts w:ascii="Geomanist Light" w:hAnsi="Geomanist Light" w:cs="Arial"/>
          <w:sz w:val="22"/>
          <w:lang w:val="es-CO"/>
        </w:rPr>
      </w:pPr>
      <w:r w:rsidRPr="00F76E2D">
        <w:rPr>
          <w:rFonts w:ascii="Geomanist Light" w:eastAsia="Calibri" w:hAnsi="Geomanist Light" w:cs="Arial"/>
          <w:b/>
          <w:sz w:val="22"/>
          <w:lang w:val="es-CO"/>
        </w:rPr>
        <w:t xml:space="preserve">Concepto C – </w:t>
      </w:r>
      <w:r w:rsidR="006C18F0" w:rsidRPr="00F76E2D">
        <w:rPr>
          <w:rFonts w:ascii="Geomanist Light" w:eastAsia="Calibri" w:hAnsi="Geomanist Light" w:cs="Arial"/>
          <w:b/>
          <w:sz w:val="22"/>
          <w:lang w:val="es-CO"/>
        </w:rPr>
        <w:t>820</w:t>
      </w:r>
      <w:r w:rsidRPr="00F76E2D">
        <w:rPr>
          <w:rFonts w:ascii="Geomanist Light" w:eastAsia="Calibri" w:hAnsi="Geomanist Light" w:cs="Arial"/>
          <w:b/>
          <w:sz w:val="22"/>
          <w:lang w:val="es-CO"/>
        </w:rPr>
        <w:t xml:space="preserve"> de 2022</w:t>
      </w:r>
      <w:r w:rsidRPr="00F76E2D">
        <w:rPr>
          <w:rFonts w:ascii="Geomanist Light" w:hAnsi="Geomanist Light" w:cs="Arial"/>
          <w:sz w:val="22"/>
          <w:lang w:val="es-CO"/>
        </w:rPr>
        <w:t xml:space="preserve"> </w:t>
      </w:r>
    </w:p>
    <w:p w14:paraId="739D291E" w14:textId="77777777" w:rsidR="00474929" w:rsidRPr="00F76E2D" w:rsidRDefault="00474929" w:rsidP="00474929">
      <w:pPr>
        <w:spacing w:after="0" w:line="240" w:lineRule="auto"/>
        <w:rPr>
          <w:rFonts w:ascii="Geomanist Light" w:eastAsia="Calibri" w:hAnsi="Geomanist Light"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74929" w:rsidRPr="00F76E2D" w14:paraId="189F609F" w14:textId="77777777" w:rsidTr="00DA0611">
        <w:trPr>
          <w:trHeight w:val="485"/>
        </w:trPr>
        <w:tc>
          <w:tcPr>
            <w:tcW w:w="2689" w:type="dxa"/>
            <w:hideMark/>
          </w:tcPr>
          <w:p w14:paraId="6F3F60A7" w14:textId="3C2980C2" w:rsidR="00474929" w:rsidRPr="00F76E2D" w:rsidRDefault="00474929" w:rsidP="00DA0611">
            <w:pPr>
              <w:contextualSpacing/>
              <w:rPr>
                <w:rFonts w:ascii="Geomanist Light" w:eastAsia="Calibri" w:hAnsi="Geomanist Light" w:cs="Arial"/>
                <w:noProof/>
                <w:lang w:val="es-ES_tradnl"/>
              </w:rPr>
            </w:pPr>
            <w:r w:rsidRPr="00F76E2D">
              <w:rPr>
                <w:rFonts w:ascii="Geomanist Light" w:eastAsia="Calibri" w:hAnsi="Geomanist Light" w:cs="Arial"/>
                <w:b/>
                <w:noProof/>
                <w:lang w:val="es-ES_tradnl"/>
              </w:rPr>
              <w:t>Temas:</w:t>
            </w:r>
            <w:r w:rsidR="004B1796" w:rsidRPr="00F76E2D">
              <w:rPr>
                <w:rFonts w:ascii="Geomanist Light" w:eastAsia="Calibri" w:hAnsi="Geomanist Light" w:cs="Arial"/>
                <w:noProof/>
                <w:lang w:val="es-ES_tradnl"/>
              </w:rPr>
              <w:t xml:space="preserve">    </w:t>
            </w:r>
          </w:p>
        </w:tc>
        <w:tc>
          <w:tcPr>
            <w:tcW w:w="6237" w:type="dxa"/>
            <w:hideMark/>
          </w:tcPr>
          <w:p w14:paraId="5C433043" w14:textId="239C289C" w:rsidR="00637CD8" w:rsidRPr="00F76E2D" w:rsidRDefault="00637CD8" w:rsidP="0010636B">
            <w:pPr>
              <w:spacing w:after="120"/>
              <w:ind w:right="703"/>
              <w:rPr>
                <w:rFonts w:ascii="Geomanist Light" w:eastAsia="Calibri" w:hAnsi="Geomanist Light" w:cs="Arial"/>
                <w:bCs/>
                <w:lang w:val="es-ES_tradnl"/>
              </w:rPr>
            </w:pPr>
            <w:r w:rsidRPr="00F76E2D">
              <w:rPr>
                <w:rFonts w:ascii="Geomanist Light" w:eastAsia="Calibri" w:hAnsi="Geomanist Light" w:cs="Arial"/>
                <w:bCs/>
              </w:rPr>
              <w:t xml:space="preserve">EXPERIENCIA – Noción – Concepto / EXPERIENCIA – Transformación / EXPERIENCIA – Escisión / EXPERIENCIA – Fusión – Fusión por absorción / </w:t>
            </w:r>
            <w:r w:rsidRPr="00F76E2D">
              <w:rPr>
                <w:rFonts w:ascii="Geomanist Light" w:eastAsia="Calibri" w:hAnsi="Geomanist Light" w:cs="Arial"/>
                <w:bCs/>
                <w:color w:val="000000" w:themeColor="text1"/>
              </w:rPr>
              <w:t>MATRICES Y SUBORDINADAS – Experiencia</w:t>
            </w:r>
          </w:p>
        </w:tc>
      </w:tr>
      <w:tr w:rsidR="00474929" w:rsidRPr="00F76E2D" w14:paraId="0E523183" w14:textId="77777777" w:rsidTr="00DA0611">
        <w:tc>
          <w:tcPr>
            <w:tcW w:w="2689" w:type="dxa"/>
          </w:tcPr>
          <w:p w14:paraId="354A64EA" w14:textId="20500256" w:rsidR="00474929" w:rsidRPr="00F76E2D" w:rsidRDefault="00474929" w:rsidP="00DA0611">
            <w:pPr>
              <w:contextualSpacing/>
              <w:rPr>
                <w:rFonts w:ascii="Geomanist Light" w:eastAsia="Calibri" w:hAnsi="Geomanist Light" w:cs="Arial"/>
                <w:b/>
                <w:noProof/>
                <w:lang w:val="es-ES_tradnl"/>
              </w:rPr>
            </w:pPr>
            <w:r w:rsidRPr="00F76E2D">
              <w:rPr>
                <w:rFonts w:ascii="Geomanist Light" w:eastAsia="Calibri" w:hAnsi="Geomanist Light" w:cs="Arial"/>
                <w:b/>
                <w:noProof/>
                <w:lang w:val="es-ES_tradnl"/>
              </w:rPr>
              <w:t xml:space="preserve"> Radicación:</w:t>
            </w:r>
            <w:r w:rsidR="004B1796" w:rsidRPr="00F76E2D">
              <w:rPr>
                <w:rFonts w:ascii="Geomanist Light" w:eastAsia="Calibri" w:hAnsi="Geomanist Light" w:cs="Arial"/>
                <w:noProof/>
                <w:lang w:val="es-ES_tradnl"/>
              </w:rPr>
              <w:t xml:space="preserve">               </w:t>
            </w:r>
          </w:p>
        </w:tc>
        <w:tc>
          <w:tcPr>
            <w:tcW w:w="6237" w:type="dxa"/>
          </w:tcPr>
          <w:p w14:paraId="020E44D8" w14:textId="3B982A70" w:rsidR="00474929" w:rsidRPr="00F76E2D" w:rsidRDefault="00474929" w:rsidP="00DA0611">
            <w:pPr>
              <w:contextualSpacing/>
              <w:rPr>
                <w:rFonts w:ascii="Geomanist Light" w:eastAsia="Calibri" w:hAnsi="Geomanist Light" w:cs="Arial"/>
                <w:noProof/>
                <w:lang w:val="es-ES_tradnl"/>
              </w:rPr>
            </w:pPr>
            <w:r w:rsidRPr="00F76E2D">
              <w:rPr>
                <w:rFonts w:ascii="Geomanist Light" w:eastAsia="Calibri" w:hAnsi="Geomanist Light" w:cs="Arial"/>
                <w:noProof/>
                <w:lang w:val="es-ES_tradnl"/>
              </w:rPr>
              <w:t>Respuesta a consulta</w:t>
            </w:r>
            <w:r w:rsidR="006C18F0" w:rsidRPr="00F76E2D">
              <w:rPr>
                <w:rFonts w:ascii="Geomanist Light" w:eastAsia="Calibri" w:hAnsi="Geomanist Light" w:cs="Arial"/>
                <w:noProof/>
                <w:lang w:val="es-ES_tradnl"/>
              </w:rPr>
              <w:t>s</w:t>
            </w:r>
            <w:r w:rsidRPr="00F76E2D">
              <w:rPr>
                <w:rFonts w:ascii="Geomanist Light" w:eastAsia="Calibri" w:hAnsi="Geomanist Light" w:cs="Arial"/>
                <w:noProof/>
                <w:lang w:val="es-ES_tradnl"/>
              </w:rPr>
              <w:t xml:space="preserve"> </w:t>
            </w:r>
            <w:r w:rsidR="006C18F0" w:rsidRPr="00F76E2D">
              <w:rPr>
                <w:rFonts w:ascii="Geomanist Light" w:eastAsia="Calibri" w:hAnsi="Geomanist Light" w:cs="Arial"/>
                <w:noProof/>
                <w:lang w:val="es-ES_tradnl"/>
              </w:rPr>
              <w:t>P20221013010364 y P20221013010375</w:t>
            </w:r>
          </w:p>
          <w:p w14:paraId="7873D228" w14:textId="7676E8AC" w:rsidR="00474929" w:rsidRPr="00F76E2D" w:rsidRDefault="004B1796" w:rsidP="00DA0611">
            <w:pPr>
              <w:contextualSpacing/>
              <w:rPr>
                <w:rFonts w:ascii="Geomanist Light" w:eastAsia="Calibri" w:hAnsi="Geomanist Light" w:cs="Arial"/>
                <w:noProof/>
                <w:lang w:val="es-ES_tradnl"/>
              </w:rPr>
            </w:pPr>
            <w:r w:rsidRPr="00F76E2D">
              <w:rPr>
                <w:rFonts w:ascii="Geomanist Light" w:eastAsia="Calibri" w:hAnsi="Geomanist Light" w:cs="Arial"/>
                <w:noProof/>
                <w:lang w:val="es-ES_tradnl"/>
              </w:rPr>
              <w:t xml:space="preserve">                  </w:t>
            </w:r>
          </w:p>
        </w:tc>
      </w:tr>
    </w:tbl>
    <w:p w14:paraId="3E94B2AD" w14:textId="7223FC8E" w:rsidR="00474929" w:rsidRPr="00F76E2D" w:rsidRDefault="00474929" w:rsidP="00474929">
      <w:pPr>
        <w:spacing w:after="0"/>
        <w:rPr>
          <w:rFonts w:ascii="Geomanist Light" w:eastAsia="Calibri" w:hAnsi="Geomanist Light" w:cs="Arial"/>
          <w:sz w:val="22"/>
          <w:lang w:val="es-CO"/>
        </w:rPr>
      </w:pPr>
      <w:r w:rsidRPr="00F76E2D">
        <w:rPr>
          <w:rFonts w:ascii="Geomanist Light" w:eastAsia="Calibri" w:hAnsi="Geomanist Light" w:cs="Arial"/>
          <w:sz w:val="22"/>
          <w:lang w:val="es-CO"/>
        </w:rPr>
        <w:t>Estimad</w:t>
      </w:r>
      <w:r w:rsidR="006C18F0" w:rsidRPr="00F76E2D">
        <w:rPr>
          <w:rFonts w:ascii="Geomanist Light" w:eastAsia="Calibri" w:hAnsi="Geomanist Light" w:cs="Arial"/>
          <w:sz w:val="22"/>
          <w:lang w:val="es-CO"/>
        </w:rPr>
        <w:t>a</w:t>
      </w:r>
      <w:r w:rsidRPr="00F76E2D">
        <w:rPr>
          <w:rFonts w:ascii="Geomanist Light" w:eastAsia="Calibri" w:hAnsi="Geomanist Light" w:cs="Arial"/>
          <w:sz w:val="22"/>
          <w:lang w:val="es-CO"/>
        </w:rPr>
        <w:t xml:space="preserve"> Señor</w:t>
      </w:r>
      <w:r w:rsidR="006C18F0" w:rsidRPr="00F76E2D">
        <w:rPr>
          <w:rFonts w:ascii="Geomanist Light" w:eastAsia="Calibri" w:hAnsi="Geomanist Light" w:cs="Arial"/>
          <w:sz w:val="22"/>
          <w:lang w:val="es-CO"/>
        </w:rPr>
        <w:t>a</w:t>
      </w:r>
      <w:r w:rsidRPr="00F76E2D">
        <w:rPr>
          <w:rFonts w:ascii="Geomanist Light" w:eastAsia="Calibri" w:hAnsi="Geomanist Light" w:cs="Arial"/>
          <w:sz w:val="22"/>
          <w:lang w:val="es-CO"/>
        </w:rPr>
        <w:t xml:space="preserve"> </w:t>
      </w:r>
      <w:r w:rsidR="006C18F0" w:rsidRPr="00F76E2D">
        <w:rPr>
          <w:rFonts w:ascii="Geomanist Light" w:eastAsia="Calibri" w:hAnsi="Geomanist Light" w:cs="Arial"/>
          <w:sz w:val="22"/>
          <w:lang w:val="es-CO"/>
        </w:rPr>
        <w:t>Villate</w:t>
      </w:r>
      <w:r w:rsidRPr="00F76E2D">
        <w:rPr>
          <w:rFonts w:ascii="Geomanist Light" w:eastAsia="Calibri" w:hAnsi="Geomanist Light" w:cs="Arial"/>
          <w:sz w:val="22"/>
          <w:lang w:val="es-CO"/>
        </w:rPr>
        <w:t xml:space="preserve">: </w:t>
      </w:r>
    </w:p>
    <w:p w14:paraId="699764D9" w14:textId="77777777" w:rsidR="00474929" w:rsidRPr="00F76E2D" w:rsidRDefault="00474929" w:rsidP="00474929">
      <w:pPr>
        <w:spacing w:after="0"/>
        <w:ind w:firstLine="709"/>
        <w:rPr>
          <w:rFonts w:ascii="Geomanist Light" w:eastAsia="Calibri" w:hAnsi="Geomanist Light" w:cs="Arial"/>
          <w:sz w:val="22"/>
          <w:lang w:val="es-CO"/>
        </w:rPr>
      </w:pPr>
    </w:p>
    <w:p w14:paraId="7004CD0B" w14:textId="7A2BB4C2" w:rsidR="00474929" w:rsidRPr="00F76E2D" w:rsidRDefault="00474929" w:rsidP="00474929">
      <w:pPr>
        <w:spacing w:after="0"/>
        <w:ind w:right="51"/>
        <w:rPr>
          <w:rFonts w:ascii="Geomanist Light" w:eastAsia="Calibri" w:hAnsi="Geomanist Light" w:cs="Arial"/>
          <w:sz w:val="22"/>
          <w:lang w:val="es-CO"/>
        </w:rPr>
      </w:pPr>
      <w:r w:rsidRPr="00F76E2D">
        <w:rPr>
          <w:rFonts w:ascii="Geomanist Light" w:eastAsia="Calibri" w:hAnsi="Geomanist Light" w:cs="Arial"/>
          <w:sz w:val="22"/>
          <w:lang w:val="es-CO"/>
        </w:rPr>
        <w:t xml:space="preserve">En ejercicio de la competencia otorgada por el numeral 8 del artículo 11 y el numeral 5 del artículo 3 del Decreto Ley 4170 de 2011, la Agencia Nacional de Contratación Pública – Colombia Compra Eficiente responde </w:t>
      </w:r>
      <w:r w:rsidR="0092402D" w:rsidRPr="00F76E2D">
        <w:rPr>
          <w:rFonts w:ascii="Geomanist Light" w:eastAsia="Calibri" w:hAnsi="Geomanist Light" w:cs="Arial"/>
          <w:sz w:val="22"/>
          <w:lang w:val="es-CO"/>
        </w:rPr>
        <w:t>sus</w:t>
      </w:r>
      <w:r w:rsidRPr="00F76E2D">
        <w:rPr>
          <w:rFonts w:ascii="Geomanist Light" w:eastAsia="Calibri" w:hAnsi="Geomanist Light" w:cs="Arial"/>
          <w:sz w:val="22"/>
          <w:lang w:val="es-CO"/>
        </w:rPr>
        <w:t xml:space="preserve"> consulta</w:t>
      </w:r>
      <w:r w:rsidR="00381B0F" w:rsidRPr="00F76E2D">
        <w:rPr>
          <w:rFonts w:ascii="Geomanist Light" w:eastAsia="Calibri" w:hAnsi="Geomanist Light" w:cs="Arial"/>
          <w:sz w:val="22"/>
          <w:lang w:val="es-CO"/>
        </w:rPr>
        <w:t>s</w:t>
      </w:r>
      <w:r w:rsidRPr="00F76E2D">
        <w:rPr>
          <w:rFonts w:ascii="Geomanist Light" w:eastAsia="Calibri" w:hAnsi="Geomanist Light" w:cs="Arial"/>
          <w:sz w:val="22"/>
          <w:lang w:val="es-CO"/>
        </w:rPr>
        <w:t xml:space="preserve"> radicada</w:t>
      </w:r>
      <w:r w:rsidR="00381B0F" w:rsidRPr="00F76E2D">
        <w:rPr>
          <w:rFonts w:ascii="Geomanist Light" w:eastAsia="Calibri" w:hAnsi="Geomanist Light" w:cs="Arial"/>
          <w:sz w:val="22"/>
          <w:lang w:val="es-CO"/>
        </w:rPr>
        <w:t>s</w:t>
      </w:r>
      <w:r w:rsidRPr="00F76E2D">
        <w:rPr>
          <w:rFonts w:ascii="Geomanist Light" w:eastAsia="Calibri" w:hAnsi="Geomanist Light" w:cs="Arial"/>
          <w:sz w:val="22"/>
          <w:lang w:val="es-CO"/>
        </w:rPr>
        <w:t xml:space="preserve"> el 1</w:t>
      </w:r>
      <w:r w:rsidR="00381B0F" w:rsidRPr="00F76E2D">
        <w:rPr>
          <w:rFonts w:ascii="Geomanist Light" w:eastAsia="Calibri" w:hAnsi="Geomanist Light" w:cs="Arial"/>
          <w:sz w:val="22"/>
          <w:lang w:val="es-CO"/>
        </w:rPr>
        <w:t xml:space="preserve">3 </w:t>
      </w:r>
      <w:r w:rsidRPr="00F76E2D">
        <w:rPr>
          <w:rFonts w:ascii="Geomanist Light" w:eastAsia="Calibri" w:hAnsi="Geomanist Light" w:cs="Arial"/>
          <w:sz w:val="22"/>
          <w:lang w:val="es-CO"/>
        </w:rPr>
        <w:t xml:space="preserve">de </w:t>
      </w:r>
      <w:r w:rsidR="00381B0F" w:rsidRPr="00F76E2D">
        <w:rPr>
          <w:rFonts w:ascii="Geomanist Light" w:eastAsia="Calibri" w:hAnsi="Geomanist Light" w:cs="Arial"/>
          <w:sz w:val="22"/>
          <w:lang w:val="es-CO"/>
        </w:rPr>
        <w:t>octubre</w:t>
      </w:r>
      <w:r w:rsidRPr="00F76E2D">
        <w:rPr>
          <w:rFonts w:ascii="Geomanist Light" w:eastAsia="Calibri" w:hAnsi="Geomanist Light" w:cs="Arial"/>
          <w:sz w:val="22"/>
          <w:lang w:val="es-CO"/>
        </w:rPr>
        <w:t xml:space="preserve"> de 2022. </w:t>
      </w:r>
    </w:p>
    <w:p w14:paraId="033B14A3" w14:textId="77777777" w:rsidR="00474929" w:rsidRPr="00F76E2D" w:rsidRDefault="00474929" w:rsidP="00474929">
      <w:pPr>
        <w:spacing w:after="0"/>
        <w:ind w:right="51"/>
        <w:rPr>
          <w:rFonts w:ascii="Geomanist Light" w:eastAsia="Calibri" w:hAnsi="Geomanist Light" w:cs="Arial"/>
          <w:sz w:val="22"/>
          <w:lang w:val="es-CO"/>
        </w:rPr>
      </w:pPr>
    </w:p>
    <w:p w14:paraId="0E932015" w14:textId="0EF7851C" w:rsidR="00474929" w:rsidRPr="00F76E2D" w:rsidRDefault="00474929" w:rsidP="00ED1C5C">
      <w:pPr>
        <w:pStyle w:val="Prrafodelista"/>
        <w:numPr>
          <w:ilvl w:val="0"/>
          <w:numId w:val="1"/>
        </w:numPr>
        <w:tabs>
          <w:tab w:val="left" w:pos="284"/>
        </w:tabs>
        <w:spacing w:after="240"/>
        <w:ind w:left="426"/>
        <w:rPr>
          <w:rFonts w:ascii="Geomanist Light" w:eastAsia="Calibri" w:hAnsi="Geomanist Light" w:cs="Arial"/>
          <w:b/>
          <w:sz w:val="22"/>
        </w:rPr>
      </w:pPr>
      <w:r w:rsidRPr="00F76E2D">
        <w:rPr>
          <w:rFonts w:ascii="Geomanist Light" w:eastAsia="Calibri" w:hAnsi="Geomanist Light" w:cs="Arial"/>
          <w:b/>
          <w:sz w:val="22"/>
        </w:rPr>
        <w:t xml:space="preserve">Problema planteado </w:t>
      </w:r>
    </w:p>
    <w:p w14:paraId="04BB06B3" w14:textId="48BA46D5" w:rsidR="00A51F0F" w:rsidRPr="00F76E2D" w:rsidRDefault="00474929" w:rsidP="00ED1C5C">
      <w:pPr>
        <w:pStyle w:val="NormalWeb"/>
        <w:spacing w:before="0" w:beforeAutospacing="0" w:after="240" w:afterAutospacing="0"/>
        <w:ind w:right="49"/>
        <w:rPr>
          <w:rFonts w:ascii="Geomanist Light" w:hAnsi="Geomanist Light" w:cs="Arial"/>
          <w:sz w:val="22"/>
          <w:szCs w:val="22"/>
        </w:rPr>
      </w:pPr>
      <w:bookmarkStart w:id="2" w:name="_Hlk103091300"/>
      <w:r w:rsidRPr="00F76E2D">
        <w:rPr>
          <w:rFonts w:ascii="Geomanist Light" w:hAnsi="Geomanist Light" w:cs="Arial"/>
          <w:sz w:val="22"/>
          <w:szCs w:val="22"/>
        </w:rPr>
        <w:t>Usted formula solicitud de consulta compuesta por los siguientes interrogantes:</w:t>
      </w:r>
    </w:p>
    <w:p w14:paraId="1494244D" w14:textId="2D3C340B" w:rsidR="00E06E35" w:rsidRPr="00F76E2D" w:rsidRDefault="00474929" w:rsidP="00ED1C5C">
      <w:pPr>
        <w:pStyle w:val="NormalWeb"/>
        <w:spacing w:before="0" w:beforeAutospacing="0" w:after="240" w:afterAutospacing="0" w:line="240" w:lineRule="auto"/>
        <w:ind w:left="709" w:right="900"/>
        <w:rPr>
          <w:rFonts w:ascii="Geomanist Light" w:hAnsi="Geomanist Light" w:cs="Arial"/>
          <w:sz w:val="21"/>
          <w:szCs w:val="21"/>
        </w:rPr>
      </w:pPr>
      <w:r w:rsidRPr="00F76E2D">
        <w:rPr>
          <w:rFonts w:ascii="Geomanist Light" w:hAnsi="Geomanist Light" w:cs="Arial"/>
          <w:sz w:val="21"/>
          <w:szCs w:val="21"/>
        </w:rPr>
        <w:t>«</w:t>
      </w:r>
      <w:r w:rsidR="00381B0F" w:rsidRPr="00F76E2D">
        <w:rPr>
          <w:rFonts w:ascii="Geomanist Light" w:hAnsi="Geomanist Light" w:cs="Arial"/>
          <w:sz w:val="21"/>
          <w:szCs w:val="21"/>
        </w:rPr>
        <w:t>En algunas licitaciones se ha permitido acreditar la experiencia a través de las certificaciones de experiencia presentadas por proveedores nominados o empresas del mismo grupo emp</w:t>
      </w:r>
      <w:r w:rsidR="00C11303" w:rsidRPr="00F76E2D">
        <w:rPr>
          <w:rFonts w:ascii="Geomanist Light" w:hAnsi="Geomanist Light" w:cs="Arial"/>
          <w:sz w:val="21"/>
          <w:szCs w:val="21"/>
        </w:rPr>
        <w:t>r</w:t>
      </w:r>
      <w:r w:rsidR="00381B0F" w:rsidRPr="00F76E2D">
        <w:rPr>
          <w:rFonts w:ascii="Geomanist Light" w:hAnsi="Geomanist Light" w:cs="Arial"/>
          <w:sz w:val="21"/>
          <w:szCs w:val="21"/>
        </w:rPr>
        <w:t xml:space="preserve">esarial, pero que NO hacen parte del proponente, como es el caso de los siguientes procesos licitatorios: </w:t>
      </w:r>
    </w:p>
    <w:p w14:paraId="6DB667C4" w14:textId="79A55B97" w:rsidR="00E06E35" w:rsidRPr="00F76E2D" w:rsidRDefault="00381B0F" w:rsidP="00ED1C5C">
      <w:pPr>
        <w:pStyle w:val="NormalWeb"/>
        <w:spacing w:before="0" w:beforeAutospacing="0" w:after="240" w:afterAutospacing="0" w:line="240" w:lineRule="auto"/>
        <w:ind w:left="709" w:right="900"/>
        <w:rPr>
          <w:rFonts w:ascii="Geomanist Light" w:hAnsi="Geomanist Light" w:cs="Arial"/>
          <w:sz w:val="21"/>
          <w:szCs w:val="21"/>
        </w:rPr>
      </w:pPr>
      <w:proofErr w:type="spellStart"/>
      <w:r w:rsidRPr="00F76E2D">
        <w:rPr>
          <w:rFonts w:ascii="Geomanist Light" w:hAnsi="Geomanist Light" w:cs="Arial"/>
          <w:sz w:val="21"/>
          <w:szCs w:val="21"/>
        </w:rPr>
        <w:t>Regiotram</w:t>
      </w:r>
      <w:proofErr w:type="spellEnd"/>
      <w:r w:rsidRPr="00F76E2D">
        <w:rPr>
          <w:rFonts w:ascii="Geomanist Light" w:hAnsi="Geomanist Light" w:cs="Arial"/>
          <w:sz w:val="21"/>
          <w:szCs w:val="21"/>
        </w:rPr>
        <w:t xml:space="preserve">: LP-EFR-009-2019 </w:t>
      </w:r>
    </w:p>
    <w:p w14:paraId="6B2A661C" w14:textId="57B7A8A4" w:rsidR="00E06E35" w:rsidRPr="00F76E2D" w:rsidRDefault="00381B0F" w:rsidP="00ED1C5C">
      <w:pPr>
        <w:pStyle w:val="NormalWeb"/>
        <w:spacing w:before="0" w:beforeAutospacing="0" w:after="240" w:afterAutospacing="0" w:line="240" w:lineRule="auto"/>
        <w:ind w:left="709" w:right="900"/>
        <w:rPr>
          <w:rFonts w:ascii="Geomanist Light" w:hAnsi="Geomanist Light" w:cs="Arial"/>
          <w:sz w:val="21"/>
          <w:szCs w:val="21"/>
        </w:rPr>
      </w:pPr>
      <w:r w:rsidRPr="00F76E2D">
        <w:rPr>
          <w:rFonts w:ascii="Geomanist Light" w:hAnsi="Geomanist Light" w:cs="Arial"/>
          <w:sz w:val="21"/>
          <w:szCs w:val="21"/>
        </w:rPr>
        <w:t xml:space="preserve">Metro de Bogotá: GT-LPI-001-2018 </w:t>
      </w:r>
    </w:p>
    <w:p w14:paraId="6E2CED20" w14:textId="09B7CC6F" w:rsidR="00E06E35" w:rsidRPr="00F76E2D" w:rsidRDefault="00381B0F" w:rsidP="00ED1C5C">
      <w:pPr>
        <w:pStyle w:val="NormalWeb"/>
        <w:spacing w:before="0" w:beforeAutospacing="0" w:after="240" w:afterAutospacing="0" w:line="240" w:lineRule="auto"/>
        <w:ind w:left="709" w:right="900"/>
        <w:rPr>
          <w:rFonts w:ascii="Geomanist Light" w:hAnsi="Geomanist Light" w:cs="Arial"/>
          <w:sz w:val="21"/>
          <w:szCs w:val="21"/>
        </w:rPr>
      </w:pPr>
      <w:proofErr w:type="gramStart"/>
      <w:r w:rsidRPr="00F76E2D">
        <w:rPr>
          <w:rFonts w:ascii="Geomanist Light" w:hAnsi="Geomanist Light" w:cs="Arial"/>
          <w:sz w:val="21"/>
          <w:szCs w:val="21"/>
        </w:rPr>
        <w:t>Me gustaría saber bajo qué condiciones la Ley permite acreditar experiencia de proveedores o terceros que no hacen parte del oferente?</w:t>
      </w:r>
      <w:proofErr w:type="gramEnd"/>
      <w:r w:rsidRPr="00F76E2D">
        <w:rPr>
          <w:rFonts w:ascii="Geomanist Light" w:hAnsi="Geomanist Light" w:cs="Arial"/>
          <w:sz w:val="21"/>
          <w:szCs w:val="21"/>
        </w:rPr>
        <w:t xml:space="preserve"> </w:t>
      </w:r>
    </w:p>
    <w:p w14:paraId="2FD4D30E" w14:textId="0DD7B6DE" w:rsidR="00474929" w:rsidRPr="00F76E2D" w:rsidRDefault="00381B0F" w:rsidP="00ED1C5C">
      <w:pPr>
        <w:pStyle w:val="NormalWeb"/>
        <w:spacing w:before="0" w:beforeAutospacing="0" w:after="240" w:afterAutospacing="0" w:line="240" w:lineRule="auto"/>
        <w:ind w:left="709" w:right="900"/>
        <w:rPr>
          <w:rFonts w:ascii="Geomanist Light" w:hAnsi="Geomanist Light" w:cs="Arial"/>
          <w:sz w:val="21"/>
          <w:szCs w:val="21"/>
        </w:rPr>
      </w:pPr>
      <w:proofErr w:type="gramStart"/>
      <w:r w:rsidRPr="00F76E2D">
        <w:rPr>
          <w:rFonts w:ascii="Geomanist Light" w:hAnsi="Geomanist Light" w:cs="Arial"/>
          <w:sz w:val="21"/>
          <w:szCs w:val="21"/>
        </w:rPr>
        <w:lastRenderedPageBreak/>
        <w:t>Es decir, si se demuestra que no hay suficientes empresas en Colombia que puedan acreditar esa experiencia, sería posible acreditar la misma a través de terceros (que no se presentan a la licitación como oferentes)?</w:t>
      </w:r>
      <w:proofErr w:type="gramEnd"/>
      <w:r w:rsidR="00474929" w:rsidRPr="00F76E2D">
        <w:rPr>
          <w:rFonts w:ascii="Geomanist Light" w:hAnsi="Geomanist Light" w:cs="Arial"/>
          <w:sz w:val="21"/>
          <w:szCs w:val="21"/>
        </w:rPr>
        <w:t>»</w:t>
      </w:r>
      <w:bookmarkEnd w:id="2"/>
    </w:p>
    <w:p w14:paraId="40937FFB" w14:textId="03578A08" w:rsidR="00474929" w:rsidRPr="00F76E2D" w:rsidRDefault="00474929" w:rsidP="00ED1C5C">
      <w:pPr>
        <w:pStyle w:val="NormalWeb"/>
        <w:spacing w:before="0" w:beforeAutospacing="0" w:after="240" w:afterAutospacing="0" w:line="240" w:lineRule="auto"/>
        <w:ind w:right="709"/>
        <w:rPr>
          <w:rFonts w:ascii="Geomanist Light" w:eastAsia="Calibri" w:hAnsi="Geomanist Light" w:cs="Arial"/>
          <w:b/>
          <w:sz w:val="22"/>
        </w:rPr>
      </w:pPr>
      <w:r w:rsidRPr="00F76E2D">
        <w:rPr>
          <w:rFonts w:ascii="Geomanist Light" w:eastAsia="Calibri" w:hAnsi="Geomanist Light" w:cs="Arial"/>
          <w:b/>
          <w:sz w:val="22"/>
        </w:rPr>
        <w:t>2. Consideraciones</w:t>
      </w:r>
      <w:bookmarkStart w:id="3" w:name="_Hlk96420298"/>
    </w:p>
    <w:p w14:paraId="19B2F6F8" w14:textId="256FB004" w:rsidR="00ED76CF" w:rsidRPr="0010636B" w:rsidRDefault="00ED76CF" w:rsidP="00ED76CF">
      <w:pPr>
        <w:rPr>
          <w:rFonts w:ascii="Geomanist Light" w:eastAsia="Calibri" w:hAnsi="Geomanist Light" w:cs="Arial"/>
          <w:color w:val="000000" w:themeColor="text1"/>
          <w:sz w:val="22"/>
        </w:rPr>
      </w:pPr>
      <w:r w:rsidRPr="0010636B">
        <w:rPr>
          <w:rFonts w:ascii="Geomanist Light" w:eastAsia="Calibri" w:hAnsi="Geomanist Light" w:cs="Arial"/>
          <w:color w:val="000000" w:themeColor="text1"/>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consultas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14:paraId="01B95426" w14:textId="77777777" w:rsidR="00ED76CF" w:rsidRPr="0010636B" w:rsidRDefault="00ED76CF" w:rsidP="00ED76CF">
      <w:pPr>
        <w:spacing w:before="120" w:after="120"/>
        <w:ind w:firstLine="709"/>
        <w:rPr>
          <w:rFonts w:ascii="Geomanist Light" w:eastAsia="Calibri" w:hAnsi="Geomanist Light" w:cs="Arial"/>
          <w:color w:val="000000" w:themeColor="text1"/>
          <w:sz w:val="22"/>
        </w:rPr>
      </w:pPr>
      <w:r w:rsidRPr="0010636B">
        <w:rPr>
          <w:rFonts w:ascii="Geomanist Light" w:eastAsia="Calibri" w:hAnsi="Geomanist Light" w:cs="Arial"/>
          <w:color w:val="000000" w:themeColor="text1"/>
          <w:sz w:val="22"/>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3DDDF74B" w14:textId="77777777" w:rsidR="00ED76CF" w:rsidRPr="0010636B" w:rsidRDefault="00ED76CF" w:rsidP="00ED76CF">
      <w:pPr>
        <w:spacing w:before="120" w:after="120"/>
        <w:ind w:firstLine="709"/>
        <w:rPr>
          <w:rFonts w:ascii="Geomanist Light" w:eastAsia="Calibri" w:hAnsi="Geomanist Light" w:cs="Arial"/>
          <w:color w:val="000000" w:themeColor="text1"/>
          <w:sz w:val="22"/>
        </w:rPr>
      </w:pPr>
      <w:r w:rsidRPr="0010636B">
        <w:rPr>
          <w:rFonts w:ascii="Geomanist Light" w:eastAsia="Calibri" w:hAnsi="Geomanist Light" w:cs="Arial"/>
          <w:color w:val="000000" w:themeColor="text1"/>
          <w:sz w:val="22"/>
        </w:rPr>
        <w:t>Bajo estas consideraciones, corresponde a cada entidad pública, en ejercicio de su competencia y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555F57DF" w14:textId="3B0A534B" w:rsidR="00730923" w:rsidRPr="00F76E2D" w:rsidRDefault="00CE2431" w:rsidP="00406C77">
      <w:pPr>
        <w:spacing w:after="240"/>
        <w:rPr>
          <w:rFonts w:ascii="Geomanist Light" w:eastAsia="Calibri" w:hAnsi="Geomanist Light" w:cs="Arial"/>
          <w:color w:val="000000" w:themeColor="text1"/>
          <w:sz w:val="22"/>
        </w:rPr>
      </w:pPr>
      <w:r w:rsidRPr="00F76E2D">
        <w:rPr>
          <w:rFonts w:ascii="Geomanist Light" w:eastAsia="Calibri" w:hAnsi="Geomanist Light" w:cs="Arial"/>
          <w:color w:val="000000" w:themeColor="text1"/>
          <w:sz w:val="22"/>
        </w:rPr>
        <w:t xml:space="preserve">Por ello, la Subdirección, dentro de los límites de sus atribuciones, resolverá la consulta conforme a las normas generales en materia de contratación estatal. Con este objetivo </w:t>
      </w:r>
      <w:r w:rsidR="00474929" w:rsidRPr="00F76E2D">
        <w:rPr>
          <w:rFonts w:ascii="Geomanist Light" w:eastAsia="Calibri" w:hAnsi="Geomanist Light" w:cs="Arial"/>
          <w:color w:val="000000" w:themeColor="text1"/>
          <w:sz w:val="22"/>
        </w:rPr>
        <w:t xml:space="preserve">se analizarán los siguientes temas: i) </w:t>
      </w:r>
      <w:r w:rsidR="0096477C" w:rsidRPr="00F76E2D">
        <w:rPr>
          <w:rFonts w:ascii="Geomanist Light" w:eastAsia="Calibri" w:hAnsi="Geomanist Light" w:cs="Arial"/>
          <w:color w:val="000000" w:themeColor="text1"/>
          <w:sz w:val="22"/>
        </w:rPr>
        <w:t>noción de experiencia</w:t>
      </w:r>
      <w:r w:rsidR="00474929" w:rsidRPr="00F76E2D">
        <w:rPr>
          <w:rFonts w:ascii="Geomanist Light" w:eastAsia="Calibri" w:hAnsi="Geomanist Light" w:cs="Arial"/>
          <w:color w:val="000000" w:themeColor="text1"/>
          <w:sz w:val="22"/>
        </w:rPr>
        <w:t xml:space="preserve">; ii) </w:t>
      </w:r>
      <w:r w:rsidR="0096477C" w:rsidRPr="00F76E2D">
        <w:rPr>
          <w:rFonts w:ascii="Geomanist Light" w:eastAsia="Calibri" w:hAnsi="Geomanist Light" w:cs="Arial"/>
          <w:color w:val="000000" w:themeColor="text1"/>
          <w:sz w:val="22"/>
        </w:rPr>
        <w:t>experiencia de los consorcios y uniones temporales</w:t>
      </w:r>
      <w:r w:rsidR="00474929" w:rsidRPr="00F76E2D">
        <w:rPr>
          <w:rFonts w:ascii="Geomanist Light" w:eastAsia="Calibri" w:hAnsi="Geomanist Light" w:cs="Arial"/>
          <w:color w:val="000000" w:themeColor="text1"/>
          <w:sz w:val="22"/>
        </w:rPr>
        <w:t>;</w:t>
      </w:r>
      <w:r w:rsidR="00730923" w:rsidRPr="00F76E2D">
        <w:rPr>
          <w:rFonts w:ascii="Geomanist Light" w:eastAsia="Calibri" w:hAnsi="Geomanist Light" w:cs="Arial"/>
          <w:color w:val="000000" w:themeColor="text1"/>
          <w:sz w:val="22"/>
        </w:rPr>
        <w:t xml:space="preserve"> y</w:t>
      </w:r>
      <w:r w:rsidR="00474929" w:rsidRPr="00F76E2D">
        <w:rPr>
          <w:rFonts w:ascii="Geomanist Light" w:eastAsia="Calibri" w:hAnsi="Geomanist Light" w:cs="Arial"/>
          <w:color w:val="000000" w:themeColor="text1"/>
          <w:sz w:val="22"/>
        </w:rPr>
        <w:t xml:space="preserve"> iii) </w:t>
      </w:r>
      <w:r w:rsidR="00ED6F0E" w:rsidRPr="00F76E2D">
        <w:rPr>
          <w:rFonts w:ascii="Geomanist Light" w:eastAsia="Calibri" w:hAnsi="Geomanist Light" w:cs="Arial"/>
          <w:color w:val="000000" w:themeColor="text1"/>
          <w:sz w:val="22"/>
        </w:rPr>
        <w:t>experiencia adquirida por matrices y subordinadas de una sociedad comercial</w:t>
      </w:r>
      <w:r w:rsidR="00AB3BE9" w:rsidRPr="00F76E2D">
        <w:rPr>
          <w:rFonts w:ascii="Geomanist Light" w:eastAsia="Calibri" w:hAnsi="Geomanist Light" w:cs="Arial"/>
          <w:color w:val="000000" w:themeColor="text1"/>
          <w:sz w:val="22"/>
        </w:rPr>
        <w:t>.</w:t>
      </w:r>
    </w:p>
    <w:p w14:paraId="6CAFE02B" w14:textId="67AC11B4" w:rsidR="006F1C20" w:rsidRPr="00F76E2D" w:rsidRDefault="00170719" w:rsidP="00ED1C5C">
      <w:pPr>
        <w:spacing w:after="240"/>
        <w:ind w:firstLine="709"/>
        <w:rPr>
          <w:rFonts w:ascii="Geomanist Light" w:eastAsia="Calibri" w:hAnsi="Geomanist Light" w:cs="Arial"/>
          <w:color w:val="000000" w:themeColor="text1"/>
          <w:sz w:val="22"/>
        </w:rPr>
      </w:pPr>
      <w:r w:rsidRPr="00F76E2D">
        <w:rPr>
          <w:rFonts w:ascii="Geomanist Light" w:eastAsia="Calibri" w:hAnsi="Geomanist Light" w:cs="Arial"/>
          <w:color w:val="000000" w:themeColor="text1"/>
          <w:sz w:val="22"/>
        </w:rPr>
        <w:t xml:space="preserve">La Agencia Nacional de Contratación Pública ‒ Colombia Compra Eficiente, en los conceptos C-025 del 16 de marzo de 2020, C-051 del 2 de marzo de 2020, C-165 del 1 de abril </w:t>
      </w:r>
      <w:r w:rsidRPr="00F76E2D">
        <w:rPr>
          <w:rFonts w:ascii="Geomanist Light" w:eastAsia="Calibri" w:hAnsi="Geomanist Light" w:cs="Arial"/>
          <w:color w:val="000000" w:themeColor="text1"/>
          <w:sz w:val="22"/>
        </w:rPr>
        <w:lastRenderedPageBreak/>
        <w:t xml:space="preserve">de 2020, C-233 del 16 de abril de 2020, C-407 de 12 de junio de 2020, C-398 de 30 de junio de 2020, C-470 del 14 de julio de 2020, C-511 del 18 de agosto de 2020, C-584 de 31 de agosto 2020, C-619 de 21 de septiembre 2020, C-710 del 9 de diciembre de 2020, C-717 del 10 de diciembre de 2020, C-729 del 11 de diciembre de 2020, C-103 del 24 de marzo del 2021, C-140 del 9 de abril del 2021, C-230 del 25 de mayo de 2021, C-316 del 29 de junio de 2021, C-318 del 29 de junio de 2021, C-326 del 2 de julio de 2021, C-725 del 25 de enero de 2022, C-084 del 16 de marzo de 2022 y C-517 del 11 de agosto de 2022, estudió </w:t>
      </w:r>
      <w:r w:rsidR="00FE2587" w:rsidRPr="00F76E2D">
        <w:rPr>
          <w:rFonts w:ascii="Geomanist Light" w:eastAsia="Calibri" w:hAnsi="Geomanist Light" w:cs="Arial"/>
          <w:color w:val="000000" w:themeColor="text1"/>
          <w:sz w:val="22"/>
        </w:rPr>
        <w:t>el tema de experiencia y su noción</w:t>
      </w:r>
      <w:r w:rsidRPr="00F76E2D">
        <w:rPr>
          <w:rFonts w:ascii="Geomanist Light" w:eastAsia="Calibri" w:hAnsi="Geomanist Light" w:cs="Arial"/>
          <w:color w:val="000000" w:themeColor="text1"/>
          <w:sz w:val="22"/>
        </w:rPr>
        <w:t>.</w:t>
      </w:r>
    </w:p>
    <w:p w14:paraId="5747076A" w14:textId="0897765A" w:rsidR="00FE2587" w:rsidRPr="00F76E2D" w:rsidRDefault="006F1C20" w:rsidP="009236A6">
      <w:pPr>
        <w:spacing w:after="240"/>
        <w:ind w:firstLine="709"/>
        <w:rPr>
          <w:rFonts w:ascii="Geomanist Light" w:eastAsia="Calibri" w:hAnsi="Geomanist Light" w:cs="Arial"/>
          <w:color w:val="000000" w:themeColor="text1"/>
          <w:sz w:val="22"/>
        </w:rPr>
      </w:pPr>
      <w:r w:rsidRPr="00F76E2D">
        <w:rPr>
          <w:rFonts w:ascii="Geomanist Light" w:eastAsia="Calibri" w:hAnsi="Geomanist Light" w:cs="Arial"/>
          <w:color w:val="000000" w:themeColor="text1"/>
          <w:sz w:val="22"/>
        </w:rPr>
        <w:t>Así mismo la Agencia en el concepto con radicado No. 4201913000006736 del 15 de noviembre de 2011, reiterado y desarrollado en los conceptos No. 4201912000006798 del 24 de octubre de 2019, C–002 del 12 de febrero de 2020, C–089 del 4 de marzo de 2020 y C-099 del 6 de abril de 2020 estudió la experiencia y los proponentes plurales.</w:t>
      </w:r>
      <w:r w:rsidR="00ED6F0E" w:rsidRPr="00F76E2D">
        <w:rPr>
          <w:rFonts w:ascii="Geomanist Light" w:eastAsia="Calibri" w:hAnsi="Geomanist Light" w:cs="Arial"/>
          <w:color w:val="000000" w:themeColor="text1"/>
          <w:sz w:val="22"/>
        </w:rPr>
        <w:t xml:space="preserve"> </w:t>
      </w:r>
      <w:r w:rsidR="001D3F4A" w:rsidRPr="00F76E2D">
        <w:rPr>
          <w:rFonts w:ascii="Geomanist Light" w:eastAsia="Calibri" w:hAnsi="Geomanist Light" w:cs="Arial"/>
          <w:color w:val="000000" w:themeColor="text1"/>
          <w:sz w:val="22"/>
        </w:rPr>
        <w:t xml:space="preserve">Del mismo modo, la Agencia en el concepto C-089 del 24 de marzo de 2020 analizó la experiencia adquirida por matrices y subordinadas de una sociedad comercial. </w:t>
      </w:r>
      <w:r w:rsidR="005D0BDE" w:rsidRPr="00F76E2D">
        <w:rPr>
          <w:rFonts w:ascii="Geomanist Light" w:eastAsia="Calibri" w:hAnsi="Geomanist Light" w:cs="Arial"/>
          <w:color w:val="000000" w:themeColor="text1"/>
          <w:sz w:val="22"/>
        </w:rPr>
        <w:t>Los argumentos y consideraciones expuestos en los conceptos mencionados se reiteran y se complementan en lo pertinente.</w:t>
      </w:r>
    </w:p>
    <w:p w14:paraId="35E12BE3" w14:textId="101A3210" w:rsidR="005E587A" w:rsidRPr="00F76E2D" w:rsidRDefault="005E587A" w:rsidP="00ED1C5C">
      <w:pPr>
        <w:spacing w:after="240"/>
        <w:rPr>
          <w:rFonts w:ascii="Geomanist Light" w:eastAsia="Calibri" w:hAnsi="Geomanist Light" w:cs="Arial"/>
          <w:b/>
          <w:sz w:val="22"/>
        </w:rPr>
      </w:pPr>
      <w:r w:rsidRPr="00F76E2D">
        <w:rPr>
          <w:rFonts w:ascii="Geomanist Light" w:eastAsia="Calibri" w:hAnsi="Geomanist Light" w:cs="Arial"/>
          <w:b/>
          <w:sz w:val="22"/>
        </w:rPr>
        <w:t>2.1. La noción de experiencia en la contratación pública</w:t>
      </w:r>
    </w:p>
    <w:p w14:paraId="0B755ADD" w14:textId="57FF568C" w:rsidR="005E587A" w:rsidRPr="00F76E2D" w:rsidRDefault="005E587A" w:rsidP="00ED1C5C">
      <w:pPr>
        <w:spacing w:after="240"/>
        <w:rPr>
          <w:rFonts w:ascii="Geomanist Light" w:eastAsia="Calibri" w:hAnsi="Geomanist Light" w:cs="Arial"/>
          <w:sz w:val="22"/>
        </w:rPr>
      </w:pPr>
      <w:bookmarkStart w:id="4" w:name="_Hlk91599456"/>
      <w:r w:rsidRPr="00F76E2D">
        <w:rPr>
          <w:rFonts w:ascii="Geomanist Light" w:eastAsia="Calibri" w:hAnsi="Geomanist Light" w:cs="Arial"/>
          <w:sz w:val="22"/>
        </w:rPr>
        <w:t xml:space="preserve">La Ley 1150 de 2007, en el artículo 5, </w:t>
      </w:r>
      <w:r w:rsidRPr="00F76E2D">
        <w:rPr>
          <w:rFonts w:ascii="Geomanist Light" w:hAnsi="Geomanist Light" w:cs="Arial"/>
          <w:sz w:val="22"/>
        </w:rPr>
        <w:t xml:space="preserve">dispone que </w:t>
      </w:r>
      <w:r w:rsidRPr="00F76E2D">
        <w:rPr>
          <w:rFonts w:ascii="Geomanist Light" w:eastAsia="Calibri" w:hAnsi="Geomanist Light" w:cs="Arial"/>
          <w:sz w:val="22"/>
        </w:rPr>
        <w:t xml:space="preserve">la capacidad jurídica y las condiciones de experiencia, así como la capacidad financiera y de organización de los proponentes, serán objeto de verificación por parte de las entidades como requisitos habilitantes para participar en los procesos de selección y no otorgarán puntaje. </w:t>
      </w:r>
    </w:p>
    <w:p w14:paraId="37FC4A4A" w14:textId="1A5D6195" w:rsidR="005E587A" w:rsidRPr="00F76E2D" w:rsidRDefault="005E587A" w:rsidP="00ED1C5C">
      <w:pPr>
        <w:spacing w:after="240"/>
        <w:ind w:firstLine="709"/>
        <w:rPr>
          <w:rFonts w:ascii="Geomanist Light" w:eastAsia="Calibri" w:hAnsi="Geomanist Light" w:cs="Arial"/>
          <w:sz w:val="22"/>
        </w:rPr>
      </w:pPr>
      <w:r w:rsidRPr="00F76E2D">
        <w:rPr>
          <w:rFonts w:ascii="Geomanist Light" w:eastAsia="Calibri" w:hAnsi="Geomanist Light" w:cs="Arial"/>
          <w:sz w:val="22"/>
        </w:rPr>
        <w:t xml:space="preserve">Para ello, </w:t>
      </w:r>
      <w:r w:rsidRPr="00F76E2D">
        <w:rPr>
          <w:rFonts w:ascii="Geomanist Light" w:hAnsi="Geomanist Light" w:cs="Arial"/>
          <w:sz w:val="22"/>
        </w:rPr>
        <w:t>el artículo 6 de la Ley 1150 de 2007 señala que todas las personas naturales o jurídicas, nacionales o extranjeras, domiciliadas o con sucursal en Colombia, que aspiren celebrar contratos con las entidades estatales deberán estar inscritas en el Registro Único de Proponentes. En dicho registro constará la información relacionada con la experiencia, la capacidad jurídica, financiera y de organización del proponente y su clasificación.</w:t>
      </w:r>
      <w:r w:rsidRPr="00F76E2D">
        <w:rPr>
          <w:rFonts w:ascii="Geomanist Light" w:eastAsia="Calibri" w:hAnsi="Geomanist Light" w:cs="Arial"/>
          <w:sz w:val="22"/>
        </w:rPr>
        <w:t xml:space="preserve"> </w:t>
      </w:r>
      <w:bookmarkEnd w:id="4"/>
      <w:r w:rsidRPr="00F76E2D">
        <w:rPr>
          <w:rFonts w:ascii="Geomanist Light" w:eastAsia="Calibri" w:hAnsi="Geomanist Light" w:cs="Arial"/>
          <w:sz w:val="22"/>
        </w:rPr>
        <w:t>En este registro constan los requisitos habilitantes que se evalúan exclusivamente con este documento, que es plena prueba, sin que la entidad o el proponente puedan, en principio, solicitar o aportar otra documentación</w:t>
      </w:r>
      <w:r w:rsidRPr="00F76E2D">
        <w:rPr>
          <w:rStyle w:val="Refdenotaalpie"/>
          <w:rFonts w:ascii="Geomanist Light" w:eastAsia="Calibri" w:hAnsi="Geomanist Light" w:cs="Arial"/>
        </w:rPr>
        <w:footnoteReference w:id="1"/>
      </w:r>
      <w:r w:rsidRPr="00F76E2D">
        <w:rPr>
          <w:rFonts w:ascii="Geomanist Light" w:eastAsia="Calibri" w:hAnsi="Geomanist Light" w:cs="Arial"/>
          <w:sz w:val="22"/>
        </w:rPr>
        <w:t>.</w:t>
      </w:r>
    </w:p>
    <w:p w14:paraId="64BADD23" w14:textId="77777777" w:rsidR="005E587A" w:rsidRPr="00F76E2D" w:rsidRDefault="005E587A" w:rsidP="00ED1C5C">
      <w:pPr>
        <w:spacing w:after="240"/>
        <w:ind w:firstLine="709"/>
        <w:rPr>
          <w:rFonts w:ascii="Geomanist Light" w:eastAsia="Calibri" w:hAnsi="Geomanist Light" w:cs="Arial"/>
          <w:sz w:val="22"/>
        </w:rPr>
      </w:pPr>
      <w:r w:rsidRPr="00F76E2D">
        <w:rPr>
          <w:rFonts w:ascii="Geomanist Light" w:eastAsia="Calibri" w:hAnsi="Geomanist Light" w:cs="Arial"/>
          <w:sz w:val="22"/>
        </w:rPr>
        <w:lastRenderedPageBreak/>
        <w:t>La experiencia debe inscribirse, renovarse o actualizarse en el RUP con copia de los contratos o con certificados de los contratos celebrados por el proponente con diferentes contratantes. Estos terceros expiden dichas certificaciones cuando el contrato fue ejecutado y recibieron los bienes, obras o servicios de parte del proponente</w:t>
      </w:r>
      <w:r w:rsidRPr="00F76E2D">
        <w:rPr>
          <w:rStyle w:val="Refdenotaalpie"/>
          <w:rFonts w:ascii="Geomanist Light" w:eastAsia="Calibri" w:hAnsi="Geomanist Light" w:cs="Arial"/>
        </w:rPr>
        <w:footnoteReference w:id="2"/>
      </w:r>
      <w:r w:rsidRPr="00F76E2D">
        <w:rPr>
          <w:rFonts w:ascii="Geomanist Light" w:eastAsia="Calibri" w:hAnsi="Geomanist Light" w:cs="Arial"/>
          <w:sz w:val="22"/>
        </w:rPr>
        <w:t xml:space="preserve">.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6FC262E6" w14:textId="505AB6D9" w:rsidR="005E587A" w:rsidRPr="00F76E2D" w:rsidRDefault="005E587A" w:rsidP="00ED1C5C">
      <w:pPr>
        <w:spacing w:after="240"/>
        <w:ind w:firstLine="709"/>
        <w:rPr>
          <w:rFonts w:ascii="Geomanist Light" w:eastAsia="Calibri" w:hAnsi="Geomanist Light" w:cs="Arial"/>
          <w:sz w:val="22"/>
        </w:rPr>
      </w:pPr>
      <w:r w:rsidRPr="00F76E2D">
        <w:rPr>
          <w:rFonts w:ascii="Geomanist Light" w:eastAsia="Calibri" w:hAnsi="Geomanist Light" w:cs="Arial"/>
          <w:sz w:val="22"/>
        </w:rPr>
        <w:t xml:space="preserve">Así mismo, de manera correlativa a este deber de los proponentes, la norma impuso a las cámaras de comercio la obligación de verificar los requisitos habilitantes de quienes se registren. El inciso 2 del numeral 6.1. le otorga carácter de plena prueba a la información contenida en el registro que haya sido verificada por las cámaras de comercio y, además, dispuso que la verificación de las condiciones de que trata el numeral 1 del artículo 5 de la Ley 1150 de 2007 se demostrará «exclusivamente con el respectivo certificado del RUP en donde deberán constar dichas condiciones». </w:t>
      </w:r>
    </w:p>
    <w:p w14:paraId="0F5913EF" w14:textId="77777777" w:rsidR="005E587A" w:rsidRPr="00F76E2D" w:rsidRDefault="005E587A" w:rsidP="00ED1C5C">
      <w:pPr>
        <w:spacing w:after="240"/>
        <w:ind w:firstLine="709"/>
        <w:rPr>
          <w:rFonts w:ascii="Geomanist Light" w:eastAsia="Calibri" w:hAnsi="Geomanist Light" w:cs="Arial"/>
          <w:sz w:val="22"/>
        </w:rPr>
      </w:pPr>
      <w:r w:rsidRPr="00F76E2D">
        <w:rPr>
          <w:rFonts w:ascii="Geomanist Light" w:eastAsia="Calibri" w:hAnsi="Geomanist Light" w:cs="Arial"/>
          <w:sz w:val="22"/>
        </w:rPr>
        <w:t xml:space="preserve">En consecuencia, la norma establece que a las entidades les está prohibido exigir otros documentos para efectuar la inscripción en el registro, salvo lo dispuesto en el inciso 3 del numeral 6.1. del artículo 6 de la Ley 1150 de 2007, en el que se prevé que la entidad podrá verificar requisitos adicionales a los contenidos en el registro cuando se requiera en virtud de la naturaleza del objeto a contratar. La norma señala que solo en este último evento la entidad podrá hacer la verificación en forma directa, es decir, cuando por el objeto del contrato se requieran verificar requisitos adicionales a los contenidos en el registro.  </w:t>
      </w:r>
    </w:p>
    <w:p w14:paraId="2C97B706" w14:textId="79A81551" w:rsidR="005E587A" w:rsidRPr="00F76E2D" w:rsidRDefault="005E587A" w:rsidP="00ED1C5C">
      <w:pPr>
        <w:spacing w:after="240"/>
        <w:ind w:firstLine="709"/>
        <w:rPr>
          <w:rFonts w:ascii="Geomanist Light" w:eastAsia="Calibri" w:hAnsi="Geomanist Light" w:cs="Arial"/>
          <w:sz w:val="22"/>
        </w:rPr>
      </w:pPr>
      <w:r w:rsidRPr="00F76E2D">
        <w:rPr>
          <w:rFonts w:ascii="Geomanist Light" w:eastAsia="Calibri" w:hAnsi="Geomanist Light" w:cs="Arial"/>
          <w:sz w:val="22"/>
        </w:rPr>
        <w:t xml:space="preserve">De lo anterior se concluye que la regla general es que la experiencia se acredite a través del RUP y, en consecuencia, la evaluación de la experiencia, como requisito habilitante, </w:t>
      </w:r>
      <w:r w:rsidRPr="00F76E2D">
        <w:rPr>
          <w:rFonts w:ascii="Geomanist Light" w:eastAsia="Calibri" w:hAnsi="Geomanist Light" w:cs="Arial"/>
          <w:sz w:val="22"/>
        </w:rPr>
        <w:lastRenderedPageBreak/>
        <w:t>no puede ser realizada nuevamente por la entidad pública a partir de otros criterios distintos a los contenidos en el Registro Único de Proponentes.</w:t>
      </w:r>
    </w:p>
    <w:p w14:paraId="53553A45" w14:textId="6F8B0D6B" w:rsidR="005E587A" w:rsidRPr="00F76E2D" w:rsidRDefault="005E587A" w:rsidP="00ED1C5C">
      <w:pPr>
        <w:spacing w:after="240"/>
        <w:rPr>
          <w:rFonts w:ascii="Geomanist Light" w:eastAsia="Calibri" w:hAnsi="Geomanist Light" w:cs="Arial"/>
          <w:b/>
          <w:bCs/>
          <w:sz w:val="22"/>
        </w:rPr>
      </w:pPr>
      <w:r w:rsidRPr="00F76E2D">
        <w:rPr>
          <w:rFonts w:ascii="Geomanist Light" w:eastAsia="Calibri" w:hAnsi="Geomanist Light" w:cs="Arial"/>
          <w:b/>
          <w:bCs/>
          <w:sz w:val="22"/>
        </w:rPr>
        <w:t xml:space="preserve">2.2. </w:t>
      </w:r>
      <w:r w:rsidR="00B05B7C" w:rsidRPr="00F76E2D">
        <w:rPr>
          <w:rFonts w:ascii="Geomanist Light" w:eastAsia="Calibri" w:hAnsi="Geomanist Light" w:cs="Arial"/>
          <w:b/>
          <w:bCs/>
          <w:sz w:val="22"/>
        </w:rPr>
        <w:t>Consideraciones de la Agencia respecto de la experiencia</w:t>
      </w:r>
    </w:p>
    <w:p w14:paraId="07A941C9" w14:textId="77777777" w:rsidR="005E587A" w:rsidRPr="00F76E2D" w:rsidRDefault="005E587A" w:rsidP="00ED1C5C">
      <w:pPr>
        <w:spacing w:after="240"/>
        <w:rPr>
          <w:rFonts w:ascii="Geomanist Light" w:eastAsia="Calibri" w:hAnsi="Geomanist Light" w:cs="Arial"/>
          <w:sz w:val="22"/>
        </w:rPr>
      </w:pPr>
      <w:r w:rsidRPr="00F76E2D">
        <w:rPr>
          <w:rFonts w:ascii="Geomanist Light" w:hAnsi="Geomanist Light" w:cs="Arial"/>
          <w:sz w:val="22"/>
        </w:rPr>
        <w:t>En relación con el requisito habilitante de experiencia, l</w:t>
      </w:r>
      <w:r w:rsidRPr="00F76E2D">
        <w:rPr>
          <w:rFonts w:ascii="Geomanist Light" w:eastAsia="Calibri" w:hAnsi="Geomanist Light" w:cs="Arial"/>
          <w:sz w:val="22"/>
        </w:rPr>
        <w:t>a Agencia Nacional de Contratación Pública – Colombia Compra Eficiente puso a disposición de los interesados del Sistema de Compra Pública el «Manual para determinar y verificar requisitos habilitantes en los Procesos de Contratación». Allí se indica que la experiencia tiene un carácter personal, lo cual significa que esta se obtiene por la participación, con anterioridad, en actividades que le permitieron a alguien conocer cómo ejecutar determinado objeto contractual que la entidad ahora pretende desarrollar</w:t>
      </w:r>
      <w:r w:rsidRPr="00F76E2D">
        <w:rPr>
          <w:rStyle w:val="Refdenotaalpie"/>
          <w:rFonts w:ascii="Geomanist Light" w:eastAsia="Calibri" w:hAnsi="Geomanist Light" w:cs="Arial"/>
        </w:rPr>
        <w:footnoteReference w:id="3"/>
      </w:r>
      <w:r w:rsidRPr="00F76E2D">
        <w:rPr>
          <w:rFonts w:ascii="Geomanist Light" w:eastAsia="Calibri" w:hAnsi="Geomanist Light" w:cs="Arial"/>
          <w:sz w:val="22"/>
        </w:rPr>
        <w:t>.</w:t>
      </w:r>
    </w:p>
    <w:p w14:paraId="41C3284B" w14:textId="022BD2C8" w:rsidR="00B05B7C" w:rsidRPr="0010636B" w:rsidRDefault="005E587A" w:rsidP="0010636B">
      <w:pPr>
        <w:spacing w:after="240"/>
        <w:ind w:firstLine="709"/>
        <w:rPr>
          <w:rFonts w:ascii="Geomanist Light" w:eastAsia="Calibri" w:hAnsi="Geomanist Light" w:cs="Arial"/>
          <w:sz w:val="22"/>
        </w:rPr>
      </w:pPr>
      <w:r w:rsidRPr="00F76E2D">
        <w:rPr>
          <w:rFonts w:ascii="Geomanist Light" w:eastAsia="Calibri" w:hAnsi="Geomanist Light" w:cs="Arial"/>
          <w:sz w:val="22"/>
        </w:rPr>
        <w:t>Lo anterior es determinante, porque no es posible adquirir la experiencia si en la práctica no se han ejecutado actividades previas. Precisamente, de la experiencia se deriva el conocimiento del proponente, lo cual es importante para la contratación pública, pues ello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w:t>
      </w:r>
      <w:r w:rsidR="003E5433" w:rsidRPr="00F76E2D">
        <w:rPr>
          <w:rFonts w:ascii="Geomanist Light" w:eastAsia="Calibri" w:hAnsi="Geomanist Light" w:cs="Arial"/>
          <w:sz w:val="22"/>
        </w:rPr>
        <w:t xml:space="preserve">. </w:t>
      </w:r>
      <w:r w:rsidRPr="00F76E2D">
        <w:rPr>
          <w:rFonts w:ascii="Geomanist Light" w:eastAsia="Calibri" w:hAnsi="Geomanist Light" w:cs="Arial"/>
          <w:sz w:val="22"/>
        </w:rPr>
        <w:t>Por otra parte, la Agencia recomienda que la experiencia que se solicite sea proporcional y no igual al objeto que se va a contratar, ya que esto puede limitar la participación de los proveedores por no haber ejecutado un objeto igual pero sí similar, de manera que se ayude a que exista pluralidad de oferentes.</w:t>
      </w:r>
      <w:r w:rsidR="00C92742" w:rsidRPr="00F76E2D">
        <w:rPr>
          <w:rFonts w:ascii="Geomanist Light" w:eastAsia="Calibri" w:hAnsi="Geomanist Light" w:cs="Arial"/>
          <w:sz w:val="22"/>
        </w:rPr>
        <w:t xml:space="preserve"> </w:t>
      </w:r>
      <w:r w:rsidR="00B05B7C" w:rsidRPr="0010636B">
        <w:rPr>
          <w:rFonts w:ascii="Geomanist Light" w:eastAsia="Calibri" w:hAnsi="Geomanist Light" w:cs="Arial"/>
          <w:sz w:val="22"/>
        </w:rPr>
        <w:t xml:space="preserve">Finalmente, pueden extraerse cuatro (4) conclusiones relevantes para evaluar las figuras y reformas estatutarias de las sociedades comerciales, respecto de la experiencia: </w:t>
      </w:r>
    </w:p>
    <w:p w14:paraId="76EDA620" w14:textId="77777777" w:rsidR="00B05B7C" w:rsidRPr="0010636B" w:rsidRDefault="00B05B7C" w:rsidP="00B05B7C">
      <w:pPr>
        <w:spacing w:before="120" w:after="120"/>
        <w:ind w:firstLine="708"/>
        <w:rPr>
          <w:rFonts w:ascii="Geomanist Light" w:eastAsia="Calibri" w:hAnsi="Geomanist Light" w:cs="Arial"/>
          <w:sz w:val="22"/>
        </w:rPr>
      </w:pPr>
      <w:r w:rsidRPr="0010636B">
        <w:rPr>
          <w:rFonts w:ascii="Geomanist Light" w:eastAsia="Calibri" w:hAnsi="Geomanist Light" w:cs="Arial"/>
          <w:sz w:val="22"/>
        </w:rPr>
        <w:lastRenderedPageBreak/>
        <w:t>i) La experiencia es personal, esto es, se adquiere participando, directa o indirectamente, sin que sea posible no hacerlo y tener experiencia.</w:t>
      </w:r>
    </w:p>
    <w:p w14:paraId="160B1483" w14:textId="77777777" w:rsidR="00B05B7C" w:rsidRPr="0010636B" w:rsidRDefault="00B05B7C" w:rsidP="00B05B7C">
      <w:pPr>
        <w:spacing w:before="120" w:after="120"/>
        <w:ind w:firstLine="708"/>
        <w:rPr>
          <w:rFonts w:ascii="Geomanist Light" w:eastAsia="Calibri" w:hAnsi="Geomanist Light" w:cs="Arial"/>
          <w:sz w:val="22"/>
        </w:rPr>
      </w:pPr>
      <w:r w:rsidRPr="0010636B">
        <w:rPr>
          <w:rFonts w:ascii="Geomanist Light" w:eastAsia="Calibri" w:hAnsi="Geomanist Light" w:cs="Arial"/>
          <w:sz w:val="22"/>
        </w:rPr>
        <w:t>ii) La experiencia se puede compartir, sin que implique que la compartida a una persona se entienda suya, ya que dentro del procedimiento contractual se reflejará que esa persona tiene la experiencia de otra, como es el caso de las figuras asociativas   ̶ consorcios y uniones temporales ̶   que se verificará en el documento privado de constitución</w:t>
      </w:r>
      <w:r w:rsidRPr="0010636B">
        <w:rPr>
          <w:rFonts w:ascii="Geomanist Light" w:eastAsia="Calibri" w:hAnsi="Geomanist Light" w:cs="Arial"/>
          <w:sz w:val="22"/>
        </w:rPr>
        <w:footnoteReference w:id="4"/>
      </w:r>
      <w:r w:rsidRPr="0010636B">
        <w:rPr>
          <w:rFonts w:ascii="Geomanist Light" w:eastAsia="Calibri" w:hAnsi="Geomanist Light" w:cs="Arial"/>
          <w:sz w:val="22"/>
        </w:rPr>
        <w:t>.</w:t>
      </w:r>
    </w:p>
    <w:p w14:paraId="421E94DF" w14:textId="77777777" w:rsidR="00B05B7C" w:rsidRPr="0010636B" w:rsidRDefault="00B05B7C" w:rsidP="00B05B7C">
      <w:pPr>
        <w:spacing w:before="120" w:after="120"/>
        <w:ind w:firstLine="708"/>
        <w:rPr>
          <w:rFonts w:ascii="Geomanist Light" w:eastAsia="Calibri" w:hAnsi="Geomanist Light" w:cs="Arial"/>
          <w:sz w:val="22"/>
        </w:rPr>
      </w:pPr>
      <w:r w:rsidRPr="0010636B">
        <w:rPr>
          <w:rFonts w:ascii="Geomanist Light" w:eastAsia="Calibri" w:hAnsi="Geomanist Light" w:cs="Arial"/>
          <w:sz w:val="22"/>
        </w:rPr>
        <w:t>iii) La experiencia se puede transferir, y esto es diferente a compartir, lo que implica que la experiencia de una persona se traslada a otra, y esta última acredita la experiencia como propia, como sucede con la figura que se explicará con más detalle en el numeral 2.3 de este concepto.</w:t>
      </w:r>
    </w:p>
    <w:p w14:paraId="2A41FA17" w14:textId="4EF69215" w:rsidR="00B05B7C" w:rsidRPr="0010636B" w:rsidRDefault="00B05B7C" w:rsidP="00B05B7C">
      <w:pPr>
        <w:ind w:firstLine="708"/>
        <w:rPr>
          <w:rFonts w:ascii="Geomanist Light" w:eastAsia="Calibri" w:hAnsi="Geomanist Light" w:cs="Arial"/>
          <w:sz w:val="22"/>
        </w:rPr>
      </w:pPr>
      <w:r w:rsidRPr="0010636B">
        <w:rPr>
          <w:rFonts w:ascii="Geomanist Light" w:eastAsia="Calibri" w:hAnsi="Geomanist Light" w:cs="Arial"/>
          <w:sz w:val="22"/>
        </w:rPr>
        <w:t>iv) Cuando la persona que adquirió la experiencia desaparece o se liquida no es posible que comparta o transfiera su experiencia, porque al ser personal sigue la suerte de quien la adquirió.</w:t>
      </w:r>
    </w:p>
    <w:bookmarkEnd w:id="3"/>
    <w:p w14:paraId="040F36AD" w14:textId="0829FB34" w:rsidR="00F66826" w:rsidRPr="00F76E2D" w:rsidRDefault="00474929" w:rsidP="00F66826">
      <w:pPr>
        <w:spacing w:after="240"/>
        <w:rPr>
          <w:rFonts w:ascii="Geomanist Light" w:eastAsia="Calibri" w:hAnsi="Geomanist Light" w:cs="Arial"/>
          <w:b/>
          <w:bCs/>
          <w:color w:val="000000"/>
          <w:sz w:val="22"/>
          <w:szCs w:val="24"/>
          <w:lang w:val="pt-BR" w:eastAsia="en-GB"/>
        </w:rPr>
      </w:pPr>
      <w:r w:rsidRPr="00F76E2D">
        <w:rPr>
          <w:rFonts w:ascii="Geomanist Light" w:eastAsia="Calibri" w:hAnsi="Geomanist Light" w:cs="Arial"/>
          <w:b/>
          <w:bCs/>
          <w:color w:val="000000"/>
          <w:sz w:val="22"/>
          <w:szCs w:val="24"/>
          <w:lang w:val="es-ES_tradnl" w:eastAsia="es-ES_tradnl"/>
        </w:rPr>
        <w:t>2.</w:t>
      </w:r>
      <w:r w:rsidR="00C92742" w:rsidRPr="00F76E2D">
        <w:rPr>
          <w:rFonts w:ascii="Geomanist Light" w:eastAsia="Calibri" w:hAnsi="Geomanist Light" w:cs="Arial"/>
          <w:b/>
          <w:bCs/>
          <w:color w:val="000000"/>
          <w:sz w:val="22"/>
          <w:szCs w:val="24"/>
          <w:lang w:val="es-ES_tradnl" w:eastAsia="es-ES_tradnl"/>
        </w:rPr>
        <w:t>3</w:t>
      </w:r>
      <w:r w:rsidRPr="00F76E2D">
        <w:rPr>
          <w:rFonts w:ascii="Geomanist Light" w:eastAsia="Calibri" w:hAnsi="Geomanist Light" w:cs="Arial"/>
          <w:b/>
          <w:bCs/>
          <w:color w:val="000000"/>
          <w:sz w:val="22"/>
          <w:szCs w:val="24"/>
          <w:lang w:val="es-ES_tradnl" w:eastAsia="es-ES_tradnl"/>
        </w:rPr>
        <w:t>.</w:t>
      </w:r>
      <w:r w:rsidRPr="00F76E2D">
        <w:rPr>
          <w:rFonts w:ascii="Geomanist Light" w:eastAsia="Calibri" w:hAnsi="Geomanist Light" w:cs="Arial"/>
          <w:b/>
          <w:bCs/>
          <w:color w:val="000000"/>
          <w:sz w:val="22"/>
          <w:szCs w:val="24"/>
          <w:lang w:val="pt-BR" w:eastAsia="en-GB"/>
        </w:rPr>
        <w:t xml:space="preserve"> </w:t>
      </w:r>
      <w:r w:rsidR="00F66826" w:rsidRPr="00F76E2D">
        <w:rPr>
          <w:rFonts w:ascii="Geomanist Light" w:eastAsia="Calibri" w:hAnsi="Geomanist Light" w:cs="Arial"/>
          <w:b/>
          <w:sz w:val="22"/>
          <w:lang w:eastAsia="es-ES_tradnl"/>
        </w:rPr>
        <w:t>Figuras y reformas estatutarias, y efectos sobre la experiencia de las sociedades comerciales</w:t>
      </w:r>
    </w:p>
    <w:p w14:paraId="56B15028" w14:textId="77777777" w:rsidR="00F66826" w:rsidRPr="00F76E2D" w:rsidRDefault="00F66826" w:rsidP="00F66826">
      <w:pPr>
        <w:rPr>
          <w:rFonts w:ascii="Geomanist Light" w:eastAsia="Calibri" w:hAnsi="Geomanist Light" w:cs="Arial"/>
          <w:bCs/>
          <w:sz w:val="22"/>
          <w:lang w:eastAsia="es-ES_tradnl"/>
        </w:rPr>
      </w:pPr>
      <w:r w:rsidRPr="00F76E2D">
        <w:rPr>
          <w:rFonts w:ascii="Geomanist Light" w:eastAsia="Calibri" w:hAnsi="Geomanist Light" w:cs="Arial"/>
          <w:bCs/>
          <w:sz w:val="22"/>
          <w:lang w:eastAsia="es-ES_tradnl"/>
        </w:rPr>
        <w:t xml:space="preserve">Por otra parte, y por resultar relevante para efecto de la consulta realizada, vale la pena analizar las figuras y reformas estatutarias, no obstante, previo a dicho análisis es necesario aclarar dos conceptos respecto de las sociedades comerciales: i) «disolución» y ii) «liquidación», ya que se aplican a las figuras y reformas estatutarias, y tienen incidencia en la posibilidad de transferir o no la experiencia de una sociedad. </w:t>
      </w:r>
    </w:p>
    <w:p w14:paraId="6B5CE90B" w14:textId="77777777" w:rsidR="00F66826" w:rsidRPr="00F76E2D" w:rsidRDefault="00F66826" w:rsidP="00F66826">
      <w:pPr>
        <w:ind w:firstLine="708"/>
        <w:rPr>
          <w:rFonts w:ascii="Geomanist Light" w:eastAsia="Calibri" w:hAnsi="Geomanist Light" w:cs="Arial"/>
          <w:bCs/>
          <w:sz w:val="22"/>
          <w:lang w:eastAsia="es-ES_tradnl"/>
        </w:rPr>
      </w:pPr>
      <w:r w:rsidRPr="00F76E2D">
        <w:rPr>
          <w:rFonts w:ascii="Geomanist Light" w:eastAsia="Calibri" w:hAnsi="Geomanist Light" w:cs="Arial"/>
          <w:bCs/>
          <w:sz w:val="22"/>
          <w:lang w:eastAsia="es-ES_tradnl"/>
        </w:rPr>
        <w:t>En primer lugar, el Código de Comercio señala, como efecto de la «disolución», que la persona jurídica no desaparece, sino que conserva su capacidad jurídica, únicamente para «liquidarse» y para las operaciones o actos autorizados por la ley</w:t>
      </w:r>
      <w:r w:rsidRPr="00F76E2D">
        <w:rPr>
          <w:rFonts w:ascii="Geomanist Light" w:eastAsia="Calibri" w:hAnsi="Geomanist Light" w:cs="Arial"/>
          <w:bCs/>
          <w:sz w:val="22"/>
          <w:vertAlign w:val="superscript"/>
          <w:lang w:eastAsia="es-ES_tradnl"/>
        </w:rPr>
        <w:footnoteReference w:id="5"/>
      </w:r>
      <w:r w:rsidRPr="00F76E2D">
        <w:rPr>
          <w:rFonts w:ascii="Geomanist Light" w:eastAsia="Calibri" w:hAnsi="Geomanist Light" w:cs="Arial"/>
          <w:bCs/>
          <w:sz w:val="22"/>
          <w:lang w:eastAsia="es-ES_tradnl"/>
        </w:rPr>
        <w:t xml:space="preserve">, como las figuras y reformas estatutarias que se verán a continuación. Con esto se anticipa, si la persona jurídica no desaparece, su experiencia se conserva y puede transferirse. Por el contrario, respecto de la «liquidación» de las sociedades comerciales, el Código de Comercio señala el procedimiento </w:t>
      </w:r>
      <w:r w:rsidRPr="00F76E2D">
        <w:rPr>
          <w:rFonts w:ascii="Geomanist Light" w:eastAsia="Calibri" w:hAnsi="Geomanist Light" w:cs="Arial"/>
          <w:bCs/>
          <w:sz w:val="22"/>
          <w:lang w:eastAsia="es-ES_tradnl"/>
        </w:rPr>
        <w:lastRenderedPageBreak/>
        <w:t>para realizar el inventario y distribución del patrimonio social, de lo cual se infiere que termina la persona jurídica</w:t>
      </w:r>
      <w:r w:rsidRPr="00F76E2D">
        <w:rPr>
          <w:rFonts w:ascii="Geomanist Light" w:eastAsia="Calibri" w:hAnsi="Geomanist Light" w:cs="Arial"/>
          <w:bCs/>
          <w:sz w:val="22"/>
          <w:vertAlign w:val="superscript"/>
          <w:lang w:eastAsia="es-ES_tradnl"/>
        </w:rPr>
        <w:footnoteReference w:id="6"/>
      </w:r>
      <w:r w:rsidRPr="00F76E2D">
        <w:rPr>
          <w:rFonts w:ascii="Geomanist Light" w:eastAsia="Calibri" w:hAnsi="Geomanist Light" w:cs="Arial"/>
          <w:bCs/>
          <w:sz w:val="22"/>
          <w:lang w:eastAsia="es-ES_tradnl"/>
        </w:rPr>
        <w:t xml:space="preserve"> y la experiencia desaparece junto con la sociedad que la adquirió.</w:t>
      </w:r>
    </w:p>
    <w:p w14:paraId="66653505" w14:textId="77777777" w:rsidR="00F66826" w:rsidRPr="00F76E2D" w:rsidRDefault="00F66826" w:rsidP="00F66826">
      <w:pPr>
        <w:rPr>
          <w:rFonts w:ascii="Geomanist Light" w:eastAsia="Calibri" w:hAnsi="Geomanist Light" w:cs="Arial"/>
          <w:b/>
          <w:bCs/>
          <w:sz w:val="22"/>
          <w:lang w:eastAsia="es-ES_tradnl"/>
        </w:rPr>
      </w:pPr>
      <w:r w:rsidRPr="00F76E2D">
        <w:rPr>
          <w:rFonts w:ascii="Geomanist Light" w:eastAsia="Calibri" w:hAnsi="Geomanist Light" w:cs="Arial"/>
          <w:b/>
          <w:bCs/>
          <w:sz w:val="22"/>
          <w:lang w:eastAsia="es-ES_tradnl"/>
        </w:rPr>
        <w:t>a) Transformación</w:t>
      </w:r>
    </w:p>
    <w:p w14:paraId="53AFDB8E" w14:textId="77777777" w:rsidR="00F66826" w:rsidRPr="00F76E2D" w:rsidRDefault="00F66826" w:rsidP="00F66826">
      <w:pPr>
        <w:rPr>
          <w:rFonts w:ascii="Geomanist Light" w:eastAsia="Calibri" w:hAnsi="Geomanist Light" w:cs="Arial"/>
          <w:sz w:val="22"/>
          <w:lang w:eastAsia="es-ES_tradnl"/>
        </w:rPr>
      </w:pPr>
      <w:r w:rsidRPr="00F76E2D">
        <w:rPr>
          <w:rFonts w:ascii="Geomanist Light" w:eastAsia="Calibri" w:hAnsi="Geomanist Light" w:cs="Arial"/>
          <w:sz w:val="22"/>
          <w:lang w:eastAsia="es-ES_tradnl"/>
        </w:rPr>
        <w:t>Es una reforma a los estatutos de una sociedad comercial, en la cual se detalla la naturaleza jurídica, composición, estructura, capital, entre otros, con el propósito de transformar o cambiar la forma o tipo societario que adoptó, como sociedad anónima, limitada, en comandita, etc. Es decir, si una sociedad se crea como sociedad de responsabilidad limitada, y, sin «disolverse», decide adoptar la figura de sociedad anónima, lo podrá hacer mediante una reforma estatutaria, sin que se interrumpa la continuidad de la sociedad comercial o persona jurídica</w:t>
      </w:r>
      <w:r w:rsidRPr="00F76E2D">
        <w:rPr>
          <w:rFonts w:ascii="Geomanist Light" w:eastAsia="Calibri" w:hAnsi="Geomanist Light" w:cs="Arial"/>
          <w:sz w:val="22"/>
          <w:vertAlign w:val="superscript"/>
          <w:lang w:eastAsia="es-ES_tradnl"/>
        </w:rPr>
        <w:footnoteReference w:id="7"/>
      </w:r>
      <w:r w:rsidRPr="00F76E2D">
        <w:rPr>
          <w:rFonts w:ascii="Geomanist Light" w:eastAsia="Calibri" w:hAnsi="Geomanist Light" w:cs="Arial"/>
          <w:sz w:val="22"/>
          <w:lang w:eastAsia="es-ES_tradnl"/>
        </w:rPr>
        <w:t>. Es importante destacar que en esta reforma estatutaria solo participa la sociedad involucrada, y no existen otras sociedades que se relacionen o intervengan, lo cual diferencia la transformación de otras reformas o figuras.</w:t>
      </w:r>
    </w:p>
    <w:p w14:paraId="1C86AF27" w14:textId="77777777" w:rsidR="00F66826" w:rsidRPr="00F76E2D" w:rsidRDefault="00F66826" w:rsidP="00F66826">
      <w:pPr>
        <w:ind w:firstLine="708"/>
        <w:rPr>
          <w:rFonts w:ascii="Geomanist Light" w:eastAsia="Calibri" w:hAnsi="Geomanist Light" w:cs="Arial"/>
          <w:sz w:val="22"/>
          <w:lang w:eastAsia="es-ES_tradnl"/>
        </w:rPr>
      </w:pPr>
      <w:r w:rsidRPr="00F76E2D">
        <w:rPr>
          <w:rFonts w:ascii="Geomanist Light" w:eastAsia="Calibri" w:hAnsi="Geomanist Light" w:cs="Arial"/>
          <w:sz w:val="22"/>
          <w:lang w:eastAsia="es-ES_tradnl"/>
        </w:rPr>
        <w:t xml:space="preserve">Respecto de la experiencia, teniendo en cuenta que la sociedad solo cambia su forma, lo cual, de acuerdo con el Código de Comercio, no afecta sus actividades, la sociedad continuará con la experiencia adquirida, ya que la misma es personal y mientras la persona jurídica exista la experiencia sigue vigente y puede incrementarse, siempre que la empresa continúe ejecutando contratos que le permitan aumentar el conocimiento en su objeto social. Esto se reafirma teniendo en cuenta que en la transformación la norma señala expresamente que la sociedad no se «disuelve», y por ende tampoco se «liquida», porque, de acuerdo con el artículo 222 del Código de Comercio, para «liquidarse» necesita estar «disuelta»; solo cambia el tipo societario que había adoptado en su constitución, es decir, no sufre modificaciones o alteraciones y por eso puede continuar adquiriendo experiencia y compartirla, pero no puede trasladarla, porque para ello tendría que «disolverse» o conformar un consorcio, como se verá en la fusión y en una de las modalidades de escisión.  </w:t>
      </w:r>
    </w:p>
    <w:p w14:paraId="75FA3977" w14:textId="77777777" w:rsidR="00F66826" w:rsidRPr="00F76E2D" w:rsidRDefault="00F66826" w:rsidP="00F66826">
      <w:pPr>
        <w:rPr>
          <w:rFonts w:ascii="Geomanist Light" w:eastAsia="Calibri" w:hAnsi="Geomanist Light" w:cs="Arial"/>
          <w:b/>
          <w:bCs/>
          <w:sz w:val="22"/>
          <w:lang w:eastAsia="es-ES_tradnl"/>
        </w:rPr>
      </w:pPr>
      <w:r w:rsidRPr="00F76E2D">
        <w:rPr>
          <w:rFonts w:ascii="Geomanist Light" w:eastAsia="Calibri" w:hAnsi="Geomanist Light" w:cs="Arial"/>
          <w:b/>
          <w:bCs/>
          <w:sz w:val="22"/>
          <w:lang w:eastAsia="es-ES_tradnl"/>
        </w:rPr>
        <w:t>b) Escisión</w:t>
      </w:r>
    </w:p>
    <w:p w14:paraId="1B7B8351" w14:textId="77777777" w:rsidR="00F66826" w:rsidRPr="00F76E2D" w:rsidRDefault="00F66826" w:rsidP="00F66826">
      <w:pPr>
        <w:rPr>
          <w:rFonts w:ascii="Geomanist Light" w:eastAsia="Calibri" w:hAnsi="Geomanist Light" w:cs="Arial"/>
          <w:sz w:val="22"/>
          <w:lang w:eastAsia="es-ES_tradnl"/>
        </w:rPr>
      </w:pPr>
      <w:r w:rsidRPr="00F76E2D">
        <w:rPr>
          <w:rFonts w:ascii="Geomanist Light" w:eastAsia="Calibri" w:hAnsi="Geomanist Light" w:cs="Arial"/>
          <w:sz w:val="22"/>
          <w:lang w:eastAsia="es-ES_tradnl"/>
        </w:rPr>
        <w:lastRenderedPageBreak/>
        <w:t xml:space="preserve">Es una figura con dos modalidades reguladas por la Ley 222 de 1995. La primera se refiere a una sociedad que no se «disuelve» ni se «liquida», es decir, permanece sin modificaciones ni reformas, pero fracciona su patrimonio para transferir una o varias partes, a una o varias sociedades existentes o por crearse. En este caso, la escisión se refiere al patrimonio de la sociedad sin incluir ningún otro aspecto, lo cual significa que la sociedad continúa con un patrimonio reducido debido al fraccionamiento, pero no existe ninguna otra implicación para la persona jurídica, como su desaparición por «disolverse» o «liquidarse», de acuerdo con lo mencionado sobre estos conceptos. En ese sentido, Colombia Compra Eficiente considera que las sociedades que reciben una parte del patrimonio de una sociedad que continúa existiendo, no reciben su experiencia, ya que no es posible que varias sociedades tengan la misma experiencia, duplicándola tantas veces se haya fraccionado el patrimonio, porque la experiencia pertenece a quien la adquirió ejecutando los contratos a su cargo. </w:t>
      </w:r>
    </w:p>
    <w:p w14:paraId="6C698248" w14:textId="77777777" w:rsidR="00F66826" w:rsidRPr="00F76E2D" w:rsidRDefault="00F66826" w:rsidP="00F66826">
      <w:pPr>
        <w:ind w:firstLine="708"/>
        <w:rPr>
          <w:rFonts w:ascii="Geomanist Light" w:eastAsia="Calibri" w:hAnsi="Geomanist Light" w:cs="Arial"/>
          <w:sz w:val="22"/>
          <w:lang w:eastAsia="es-ES_tradnl"/>
        </w:rPr>
      </w:pPr>
      <w:r w:rsidRPr="00F76E2D">
        <w:rPr>
          <w:rFonts w:ascii="Geomanist Light" w:eastAsia="Calibri" w:hAnsi="Geomanist Light" w:cs="Arial"/>
          <w:sz w:val="22"/>
          <w:lang w:eastAsia="es-ES_tradnl"/>
        </w:rPr>
        <w:t>La segunda modalidad se trata de una sociedad que se «disuelve» sin «liquidarse», esto es, que implica una reforma social, lo cual no ocurre con la primera modalidad, y también existe fraccionamiento del patrimonio con el mismo fin</w:t>
      </w:r>
      <w:r w:rsidRPr="00F76E2D">
        <w:rPr>
          <w:rFonts w:ascii="Geomanist Light" w:eastAsia="Calibri" w:hAnsi="Geomanist Light" w:cs="Arial"/>
          <w:sz w:val="22"/>
          <w:vertAlign w:val="superscript"/>
          <w:lang w:eastAsia="es-ES_tradnl"/>
        </w:rPr>
        <w:footnoteReference w:id="8"/>
      </w:r>
      <w:r w:rsidRPr="00F76E2D">
        <w:rPr>
          <w:rFonts w:ascii="Geomanist Light" w:eastAsia="Calibri" w:hAnsi="Geomanist Light" w:cs="Arial"/>
          <w:sz w:val="22"/>
          <w:lang w:eastAsia="es-ES_tradnl"/>
        </w:rPr>
        <w:t xml:space="preserve">. Como se observa, participa una sociedad y otra, u otras, que reciben la transferencia del patrimonio en bloque. </w:t>
      </w:r>
    </w:p>
    <w:p w14:paraId="26B7E56A" w14:textId="77777777" w:rsidR="00F66826" w:rsidRPr="00F76E2D" w:rsidRDefault="00F66826" w:rsidP="00F66826">
      <w:pPr>
        <w:ind w:firstLine="708"/>
        <w:rPr>
          <w:rFonts w:ascii="Geomanist Light" w:eastAsia="Calibri" w:hAnsi="Geomanist Light" w:cs="Arial"/>
          <w:sz w:val="22"/>
          <w:lang w:eastAsia="es-ES_tradnl"/>
        </w:rPr>
      </w:pPr>
      <w:r w:rsidRPr="00F76E2D">
        <w:rPr>
          <w:rFonts w:ascii="Geomanist Light" w:eastAsia="Calibri" w:hAnsi="Geomanist Light" w:cs="Arial"/>
          <w:sz w:val="22"/>
          <w:lang w:eastAsia="es-ES_tradnl"/>
        </w:rPr>
        <w:t xml:space="preserve">Para la primera modalidad de escisión, teniendo en cuenta que la sociedad continúa sin alteraciones, esta puede compartir la experiencia a través de esquemas asociativos, pero no la transfiere, porque para ello tendría que «disolverse» sin «liquidarse», puesto que la «liquidación» implicaría que desaparece la persona y así su experiencia. Para explicarlo, hay que volver a la definición de «disolución», donde la persona jurídica no desaparece y solo puede hacer trámites para «liquidarse». Sin embargo, hay una excepción a esa regla y es, precisamente, la de las figuras y reformas estatutarias que aquí se explican, particularmente la fusión, ya que por esa excepción la persona tiene continuidad en otra persona, y sigue siendo quien era, lo cual no es el caso de la escisión, ya que en la primera modalidad no existe </w:t>
      </w:r>
      <w:r w:rsidRPr="00F76E2D">
        <w:rPr>
          <w:rFonts w:ascii="Geomanist Light" w:eastAsia="Calibri" w:hAnsi="Geomanist Light" w:cs="Arial"/>
          <w:sz w:val="22"/>
          <w:lang w:eastAsia="es-ES_tradnl"/>
        </w:rPr>
        <w:lastRenderedPageBreak/>
        <w:t xml:space="preserve">«disolución». Esto significa que la persona continúa por sí misma y puede adquirir experiencia, pero no puede transferirla porque le pertenece, al ser quien la adquirió. </w:t>
      </w:r>
    </w:p>
    <w:p w14:paraId="77E8E4A7" w14:textId="77777777" w:rsidR="00F66826" w:rsidRPr="00F76E2D" w:rsidRDefault="00F66826" w:rsidP="00F66826">
      <w:pPr>
        <w:ind w:firstLine="708"/>
        <w:rPr>
          <w:rFonts w:ascii="Geomanist Light" w:eastAsia="Calibri" w:hAnsi="Geomanist Light" w:cs="Arial"/>
          <w:sz w:val="22"/>
          <w:lang w:eastAsia="es-ES_tradnl"/>
        </w:rPr>
      </w:pPr>
      <w:r w:rsidRPr="00F76E2D">
        <w:rPr>
          <w:rFonts w:ascii="Geomanist Light" w:eastAsia="Calibri" w:hAnsi="Geomanist Light" w:cs="Arial"/>
          <w:sz w:val="22"/>
          <w:lang w:eastAsia="es-ES_tradnl"/>
        </w:rPr>
        <w:t xml:space="preserve">Por otro lado, a pesar de que en la segunda modalidad existe «disolución», no hay transferencia de la experiencia porque la persona jurídica fraccionada deja de ser quien es y desaparece, quedando dividida en varias sociedades nuevas o existentes que reciben su patrimonio, sin que sea posible determinar cuál de todas las sociedades que recibieron parte del patrimonio de la sociedad escindida tiene la experiencia. Tampoco es posible que todas las sociedades que recibieron el patrimonio acrediten la misma experiencia multiplicándola tantas veces sea necesario, porque la experiencia es de quien la adquirió y como esa persona jurídica no puede continuar en otra persona, porque desapareció, quedando fraccionada en 2 o más partes, esto no corresponde con la definición de experiencia personal ni de transferencia de experiencia, donde la persona jurídica sigue siendo quien es a través de otra, sin cambios como fraccionamientos que implican que la persona ya no sea quien era y desaparezca. </w:t>
      </w:r>
    </w:p>
    <w:p w14:paraId="3C98D002" w14:textId="77777777" w:rsidR="00F66826" w:rsidRPr="00F76E2D" w:rsidRDefault="00F66826" w:rsidP="00F66826">
      <w:pPr>
        <w:ind w:firstLine="709"/>
        <w:rPr>
          <w:rFonts w:ascii="Geomanist Light" w:eastAsia="Calibri" w:hAnsi="Geomanist Light" w:cs="Arial"/>
          <w:sz w:val="22"/>
          <w:lang w:eastAsia="es-ES_tradnl"/>
        </w:rPr>
      </w:pPr>
      <w:r w:rsidRPr="00F76E2D">
        <w:rPr>
          <w:rFonts w:ascii="Geomanist Light" w:eastAsia="Calibri" w:hAnsi="Geomanist Light" w:cs="Arial"/>
          <w:sz w:val="22"/>
          <w:lang w:eastAsia="es-ES_tradnl"/>
        </w:rPr>
        <w:t>Pero en la fusión, como se verá, a pesar de que la sociedad está «disuelta» y debería «liquidarse», para desaparecer, la ley permite que no desaparezca y tenga continuidad convertida en otra sociedad, por lo que, por expresa disposición legal, la sociedad puede no «liquidarse», sino continuar a través de otra sociedad, porque así lo dispuso el legislador. Esto implica que se traslada la experiencia y no se comparte, porque compartir implica que siga existiendo como una persona individualmente considerada, pero como continúa a través de otra, lo que sucede es la transferencia de la experiencia.</w:t>
      </w:r>
    </w:p>
    <w:p w14:paraId="4D70A196" w14:textId="77777777" w:rsidR="00F66826" w:rsidRPr="00F76E2D" w:rsidRDefault="00F66826" w:rsidP="00F66826">
      <w:pPr>
        <w:rPr>
          <w:rFonts w:ascii="Geomanist Light" w:eastAsia="Calibri" w:hAnsi="Geomanist Light" w:cs="Arial"/>
          <w:b/>
          <w:bCs/>
          <w:sz w:val="22"/>
          <w:lang w:eastAsia="es-ES_tradnl"/>
        </w:rPr>
      </w:pPr>
      <w:r w:rsidRPr="00F76E2D">
        <w:rPr>
          <w:rFonts w:ascii="Geomanist Light" w:eastAsia="Calibri" w:hAnsi="Geomanist Light" w:cs="Arial"/>
          <w:b/>
          <w:bCs/>
          <w:sz w:val="22"/>
          <w:lang w:eastAsia="es-ES_tradnl"/>
        </w:rPr>
        <w:t>c) Fusión</w:t>
      </w:r>
    </w:p>
    <w:p w14:paraId="74F3CE8E" w14:textId="77777777" w:rsidR="00F66826" w:rsidRPr="00F76E2D" w:rsidRDefault="00F66826" w:rsidP="00F66826">
      <w:pPr>
        <w:rPr>
          <w:rFonts w:ascii="Geomanist Light" w:eastAsia="Calibri" w:hAnsi="Geomanist Light" w:cs="Arial"/>
          <w:sz w:val="22"/>
          <w:lang w:eastAsia="es-ES_tradnl"/>
        </w:rPr>
      </w:pPr>
      <w:r w:rsidRPr="00F76E2D">
        <w:rPr>
          <w:rFonts w:ascii="Geomanist Light" w:eastAsia="Calibri" w:hAnsi="Geomanist Light" w:cs="Arial"/>
          <w:sz w:val="22"/>
          <w:lang w:eastAsia="es-ES_tradnl"/>
        </w:rPr>
        <w:t>Es una figura con 4 tipologías: i) por absorción: una o más sociedades se «disuelven» sin «liquidarse» para ser absorbidas por otra existente; ii) por creación: una o más sociedades se «disuelven» sin «liquidarse» para ser absorbidas por otra nueva</w:t>
      </w:r>
      <w:r w:rsidRPr="00F76E2D">
        <w:rPr>
          <w:rFonts w:ascii="Geomanist Light" w:eastAsia="Calibri" w:hAnsi="Geomanist Light" w:cs="Arial"/>
          <w:sz w:val="22"/>
          <w:vertAlign w:val="superscript"/>
          <w:lang w:eastAsia="es-ES_tradnl"/>
        </w:rPr>
        <w:footnoteReference w:id="9"/>
      </w:r>
      <w:r w:rsidRPr="00F76E2D">
        <w:rPr>
          <w:rFonts w:ascii="Geomanist Light" w:eastAsia="Calibri" w:hAnsi="Geomanist Light" w:cs="Arial"/>
          <w:sz w:val="22"/>
          <w:lang w:eastAsia="es-ES_tradnl"/>
        </w:rPr>
        <w:t>; iii) impropia: una sociedad se «disuelve» sin el propósito de realizar una fusión sino de «liquidarse», y antes de la liquidación se toma la decisión de crear una sociedad</w:t>
      </w:r>
      <w:r w:rsidRPr="00F76E2D">
        <w:rPr>
          <w:rFonts w:ascii="Geomanist Light" w:eastAsia="Calibri" w:hAnsi="Geomanist Light" w:cs="Arial"/>
          <w:sz w:val="22"/>
          <w:vertAlign w:val="superscript"/>
          <w:lang w:eastAsia="es-ES_tradnl"/>
        </w:rPr>
        <w:footnoteReference w:id="10"/>
      </w:r>
      <w:r w:rsidRPr="00F76E2D">
        <w:rPr>
          <w:rFonts w:ascii="Geomanist Light" w:eastAsia="Calibri" w:hAnsi="Geomanist Light" w:cs="Arial"/>
          <w:sz w:val="22"/>
          <w:lang w:eastAsia="es-ES_tradnl"/>
        </w:rPr>
        <w:t xml:space="preserve">; iv) abreviada: solo aplica cuando una Sociedad </w:t>
      </w:r>
      <w:r w:rsidRPr="00F76E2D">
        <w:rPr>
          <w:rFonts w:ascii="Geomanist Light" w:eastAsia="Calibri" w:hAnsi="Geomanist Light" w:cs="Arial"/>
          <w:sz w:val="22"/>
          <w:lang w:eastAsia="es-ES_tradnl"/>
        </w:rPr>
        <w:lastRenderedPageBreak/>
        <w:t>por Acciones Simplificada (S.A.S.) pertenece a otra sociedad en más del 90% de sus acciones, y es posible que esa sociedad controlante absorba a la S.A.S, es decir, que ocurra una fusión por absorción</w:t>
      </w:r>
      <w:r w:rsidRPr="00F76E2D">
        <w:rPr>
          <w:rFonts w:ascii="Geomanist Light" w:eastAsia="Calibri" w:hAnsi="Geomanist Light" w:cs="Arial"/>
          <w:sz w:val="22"/>
          <w:vertAlign w:val="superscript"/>
          <w:lang w:eastAsia="es-ES_tradnl"/>
        </w:rPr>
        <w:footnoteReference w:id="11"/>
      </w:r>
      <w:r w:rsidRPr="00F76E2D">
        <w:rPr>
          <w:rFonts w:ascii="Geomanist Light" w:eastAsia="Calibri" w:hAnsi="Geomanist Light" w:cs="Arial"/>
          <w:sz w:val="22"/>
          <w:lang w:eastAsia="es-ES_tradnl"/>
        </w:rPr>
        <w:t>. La norma no se refiere a la «disolución de la S.A.S», lo cual no implica que no exista fusión, sino que es abreviada porque no se requiere configurar el estado de «disolución» de la sociedad.</w:t>
      </w:r>
    </w:p>
    <w:p w14:paraId="48482056" w14:textId="77777777" w:rsidR="00F66826" w:rsidRPr="00F76E2D" w:rsidRDefault="00F66826" w:rsidP="00F66826">
      <w:pPr>
        <w:ind w:firstLine="708"/>
        <w:rPr>
          <w:rFonts w:ascii="Geomanist Light" w:eastAsia="Calibri" w:hAnsi="Geomanist Light" w:cs="Arial"/>
          <w:bCs/>
          <w:sz w:val="22"/>
          <w:lang w:eastAsia="es-ES_tradnl"/>
        </w:rPr>
      </w:pPr>
      <w:bookmarkStart w:id="5" w:name="_Hlk77271644"/>
      <w:r w:rsidRPr="00F76E2D">
        <w:rPr>
          <w:rFonts w:ascii="Geomanist Light" w:eastAsia="Calibri" w:hAnsi="Geomanist Light" w:cs="Arial"/>
          <w:bCs/>
          <w:sz w:val="22"/>
          <w:lang w:eastAsia="es-ES_tradnl"/>
        </w:rPr>
        <w:t xml:space="preserve">Para analizar la fusión y sus efectos respecto de la experiencia de la sociedad que se </w:t>
      </w:r>
      <w:r w:rsidRPr="00F76E2D">
        <w:rPr>
          <w:rFonts w:ascii="Geomanist Light" w:eastAsia="Calibri" w:hAnsi="Geomanist Light" w:cs="Arial"/>
          <w:sz w:val="22"/>
          <w:lang w:eastAsia="es-ES_tradnl"/>
        </w:rPr>
        <w:t>«</w:t>
      </w:r>
      <w:r w:rsidRPr="00F76E2D">
        <w:rPr>
          <w:rFonts w:ascii="Geomanist Light" w:eastAsia="Calibri" w:hAnsi="Geomanist Light" w:cs="Arial"/>
          <w:bCs/>
          <w:sz w:val="22"/>
          <w:lang w:eastAsia="es-ES_tradnl"/>
        </w:rPr>
        <w:t xml:space="preserve">disuelve» pero no se </w:t>
      </w:r>
      <w:r w:rsidRPr="00F76E2D">
        <w:rPr>
          <w:rFonts w:ascii="Geomanist Light" w:eastAsia="Calibri" w:hAnsi="Geomanist Light" w:cs="Arial"/>
          <w:sz w:val="22"/>
          <w:lang w:eastAsia="es-ES_tradnl"/>
        </w:rPr>
        <w:t>«</w:t>
      </w:r>
      <w:r w:rsidRPr="00F76E2D">
        <w:rPr>
          <w:rFonts w:ascii="Geomanist Light" w:eastAsia="Calibri" w:hAnsi="Geomanist Light" w:cs="Arial"/>
          <w:bCs/>
          <w:sz w:val="22"/>
          <w:lang w:eastAsia="es-ES_tradnl"/>
        </w:rPr>
        <w:t>liquida», es necesario reiterar la explicación dada respecto de la segunda modalidad de escisión, y es que siempre que la sociedad no se liquide, es decir, que no desaparezca, la experiencia puede ser trasladada y no compartida. Lo anterior, toda vez que la trasferencia ocurre porque la persona jurídica continúa a través de otra, esto es, deja de ser quien es, pero no desaparece porque otra sociedad se convierte en ella, ya sea una sociedad nueva cuando es fusión por creación, o una sociedad existente en la fusión por absorción. La experiencia no se comparte, porque para esto la sociedad debería continuar individualmente considerada, pero en este evento continúa a través de otra, a quien le transfiere su experiencia y todos sus derechos y obligaciones, de conformidad con el artículo 172 y siguientes del Código de Comercio.</w:t>
      </w:r>
    </w:p>
    <w:bookmarkEnd w:id="5"/>
    <w:p w14:paraId="120D5BBC" w14:textId="77777777" w:rsidR="00F66826" w:rsidRPr="00F76E2D" w:rsidRDefault="00F66826" w:rsidP="00F66826">
      <w:pPr>
        <w:ind w:firstLine="708"/>
        <w:rPr>
          <w:rFonts w:ascii="Geomanist Light" w:eastAsia="Calibri" w:hAnsi="Geomanist Light" w:cs="Arial"/>
          <w:bCs/>
          <w:sz w:val="22"/>
          <w:lang w:eastAsia="es-ES_tradnl"/>
        </w:rPr>
      </w:pPr>
      <w:r w:rsidRPr="00F76E2D">
        <w:rPr>
          <w:rFonts w:ascii="Geomanist Light" w:eastAsia="Calibri" w:hAnsi="Geomanist Light" w:cs="Arial"/>
          <w:bCs/>
          <w:sz w:val="22"/>
          <w:lang w:eastAsia="es-ES_tradnl"/>
        </w:rPr>
        <w:t xml:space="preserve">La anterior conclusión es coherente con lo establecido en la Guía de Asuntos Corporativos en los Procesos de Contratación, expedida por la Agencia Nacional de Contratación Pública - Colombia Compra Eficiente, pues en ella se dice que «La experiencia de las personas jurídicas es de carácter personal y en principio es intransferible. Por lo tanto, no es posible trasladar la experiencia de un proponente a otro en eventos de escisión o liquidación de una persona jurídica, ni que la experiencia sea enajenada por una persona jurídica en favor de otra persona jurídica o natural». Obsérvese que la Guía no establece que la experiencia es «siempre» intransferible, sino que sostiene que ello es así «en principio». Además, precisa que no es posible transferir la experiencia en la escisión y en la liquidación, justamente porque esos casos la persona jurídica desaparece, lo que no sucede en la fusión. </w:t>
      </w:r>
      <w:r w:rsidRPr="00F76E2D">
        <w:rPr>
          <w:rFonts w:ascii="Geomanist Light" w:eastAsia="Calibri" w:hAnsi="Geomanist Light" w:cs="Arial"/>
          <w:bCs/>
          <w:sz w:val="22"/>
          <w:lang w:eastAsia="es-ES_tradnl"/>
        </w:rPr>
        <w:lastRenderedPageBreak/>
        <w:t xml:space="preserve">Es decir que en este supuesto sí es posible la transferencia de la experiencia de la sociedad fusionada a la resultante. </w:t>
      </w:r>
    </w:p>
    <w:p w14:paraId="258502A1" w14:textId="77777777" w:rsidR="00F66826" w:rsidRPr="00F76E2D" w:rsidRDefault="00F66826" w:rsidP="00F66826">
      <w:pPr>
        <w:ind w:firstLine="708"/>
        <w:rPr>
          <w:rFonts w:ascii="Geomanist Light" w:eastAsia="Calibri" w:hAnsi="Geomanist Light" w:cs="Arial"/>
          <w:bCs/>
          <w:sz w:val="22"/>
          <w:lang w:eastAsia="es-ES_tradnl"/>
        </w:rPr>
      </w:pPr>
      <w:r w:rsidRPr="00F76E2D">
        <w:rPr>
          <w:rFonts w:ascii="Geomanist Light" w:eastAsia="Calibri" w:hAnsi="Geomanist Light" w:cs="Arial"/>
          <w:bCs/>
          <w:sz w:val="22"/>
          <w:lang w:eastAsia="es-ES_tradnl"/>
        </w:rPr>
        <w:t>Esta postura en torno a la validez de la transferencia de experiencia de la sociedad absorbida a la absorbente es compartida por la Superintendencia de Sociedades. Dicha entidad en ejercicio de la función consultiva ha manifestado que esta figura es adecuada que la sociedad absorbida transfiera a la segunda sus atributos en lo relacionado con la experiencia</w:t>
      </w:r>
      <w:r w:rsidRPr="00F76E2D">
        <w:rPr>
          <w:rFonts w:ascii="Geomanist Light" w:eastAsia="Calibri" w:hAnsi="Geomanist Light" w:cs="Arial"/>
          <w:bCs/>
          <w:sz w:val="22"/>
          <w:vertAlign w:val="superscript"/>
          <w:lang w:eastAsia="es-ES_tradnl"/>
        </w:rPr>
        <w:footnoteReference w:id="12"/>
      </w:r>
      <w:r w:rsidRPr="00F76E2D">
        <w:rPr>
          <w:rFonts w:ascii="Geomanist Light" w:eastAsia="Calibri" w:hAnsi="Geomanist Light" w:cs="Arial"/>
          <w:bCs/>
          <w:sz w:val="22"/>
          <w:lang w:eastAsia="es-ES_tradnl"/>
        </w:rPr>
        <w:t xml:space="preserve">. Al respecto se ha manifestado: </w:t>
      </w:r>
    </w:p>
    <w:p w14:paraId="7AC2B154" w14:textId="77777777" w:rsidR="00F66826" w:rsidRPr="00F76E2D" w:rsidRDefault="00F66826" w:rsidP="00F66826">
      <w:pPr>
        <w:spacing w:line="240" w:lineRule="auto"/>
        <w:ind w:left="709" w:right="709"/>
        <w:rPr>
          <w:rFonts w:ascii="Geomanist Light" w:eastAsia="Times New Roman" w:hAnsi="Geomanist Light" w:cs="Arial"/>
          <w:sz w:val="21"/>
          <w:szCs w:val="21"/>
          <w:lang w:eastAsia="es-ES_tradnl"/>
        </w:rPr>
      </w:pPr>
      <w:r w:rsidRPr="00F76E2D">
        <w:rPr>
          <w:rFonts w:ascii="Geomanist Light" w:eastAsia="Times New Roman" w:hAnsi="Geomanist Light" w:cs="Arial"/>
          <w:sz w:val="21"/>
          <w:szCs w:val="21"/>
          <w:lang w:eastAsia="es-ES_tradnl"/>
        </w:rPr>
        <w:t xml:space="preserve">La fusión surge como el mecanismo pertinente para que los atributos de las compañías absorbidas sean aprovechados por la compañía que las absorbe, entre éstos, la experiencia derivada de las obras cumplidas, bienes suministrados o servicios prestados durante la vigencia de la absorbida.  Por supuesto, frente a la normatividad alusiva a la contratación estatal, considera este despacho que resulta discrecional para la entidad estatal contratante coincidir, o no, con esta oficina en el sentido anotado y habilitar como proponente, para considerar su propuesta, a aquellos quienes, en virtud de su calidad de absorbentes, aprovechan todos los recursos que le fueron transmitidos por las absorbidas, incluidos intangibles como su experiencia, </w:t>
      </w:r>
      <w:proofErr w:type="spellStart"/>
      <w:r w:rsidRPr="00F76E2D">
        <w:rPr>
          <w:rFonts w:ascii="Geomanist Light" w:eastAsia="Times New Roman" w:hAnsi="Geomanist Light" w:cs="Arial"/>
          <w:sz w:val="21"/>
          <w:szCs w:val="21"/>
          <w:lang w:eastAsia="es-ES_tradnl"/>
        </w:rPr>
        <w:t>Know</w:t>
      </w:r>
      <w:proofErr w:type="spellEnd"/>
      <w:r w:rsidRPr="00F76E2D">
        <w:rPr>
          <w:rFonts w:ascii="Geomanist Light" w:eastAsia="Times New Roman" w:hAnsi="Geomanist Light" w:cs="Arial"/>
          <w:sz w:val="21"/>
          <w:szCs w:val="21"/>
          <w:lang w:eastAsia="es-ES_tradnl"/>
        </w:rPr>
        <w:t xml:space="preserve"> </w:t>
      </w:r>
      <w:proofErr w:type="spellStart"/>
      <w:r w:rsidRPr="00F76E2D">
        <w:rPr>
          <w:rFonts w:ascii="Geomanist Light" w:eastAsia="Times New Roman" w:hAnsi="Geomanist Light" w:cs="Arial"/>
          <w:sz w:val="21"/>
          <w:szCs w:val="21"/>
          <w:lang w:eastAsia="es-ES_tradnl"/>
        </w:rPr>
        <w:t>How</w:t>
      </w:r>
      <w:proofErr w:type="spellEnd"/>
      <w:r w:rsidRPr="00F76E2D">
        <w:rPr>
          <w:rFonts w:ascii="Geomanist Light" w:eastAsia="Times New Roman" w:hAnsi="Geomanist Light" w:cs="Arial"/>
          <w:sz w:val="21"/>
          <w:szCs w:val="21"/>
          <w:lang w:eastAsia="es-ES_tradnl"/>
        </w:rPr>
        <w:t>, entre otros</w:t>
      </w:r>
    </w:p>
    <w:p w14:paraId="1A19D15D" w14:textId="77777777" w:rsidR="00F66826" w:rsidRPr="00F76E2D" w:rsidRDefault="00F66826" w:rsidP="00F66826">
      <w:pPr>
        <w:spacing w:line="240" w:lineRule="auto"/>
        <w:ind w:left="709" w:right="709"/>
        <w:rPr>
          <w:rFonts w:ascii="Geomanist Light" w:eastAsia="Times New Roman" w:hAnsi="Geomanist Light" w:cs="Arial"/>
          <w:sz w:val="21"/>
          <w:szCs w:val="21"/>
          <w:lang w:eastAsia="es-ES_tradnl"/>
        </w:rPr>
      </w:pPr>
      <w:r w:rsidRPr="00F76E2D">
        <w:rPr>
          <w:rFonts w:ascii="Geomanist Light" w:eastAsia="Times New Roman" w:hAnsi="Geomanist Light" w:cs="Arial"/>
          <w:sz w:val="21"/>
          <w:szCs w:val="21"/>
          <w:lang w:eastAsia="es-ES_tradnl"/>
        </w:rPr>
        <w:t>[…]</w:t>
      </w:r>
    </w:p>
    <w:p w14:paraId="6B819B59" w14:textId="77777777" w:rsidR="00F66826" w:rsidRPr="00F76E2D" w:rsidRDefault="00F66826" w:rsidP="00F66826">
      <w:pPr>
        <w:spacing w:line="240" w:lineRule="auto"/>
        <w:ind w:left="709" w:right="709"/>
        <w:rPr>
          <w:rFonts w:ascii="Geomanist Light" w:eastAsia="Times New Roman" w:hAnsi="Geomanist Light" w:cs="Arial"/>
          <w:sz w:val="21"/>
          <w:szCs w:val="21"/>
          <w:lang w:eastAsia="es-ES_tradnl"/>
        </w:rPr>
      </w:pPr>
      <w:r w:rsidRPr="00F76E2D">
        <w:rPr>
          <w:rFonts w:ascii="Geomanist Light" w:eastAsia="Times New Roman" w:hAnsi="Geomanist Light" w:cs="Arial"/>
          <w:sz w:val="21"/>
          <w:szCs w:val="21"/>
          <w:lang w:eastAsia="es-ES_tradnl"/>
        </w:rPr>
        <w:t xml:space="preserve">En cuanto refiere a </w:t>
      </w:r>
      <w:r w:rsidRPr="00F76E2D">
        <w:rPr>
          <w:rFonts w:ascii="Geomanist Light" w:eastAsia="Times New Roman" w:hAnsi="Geomanist Light" w:cs="Arial"/>
          <w:i/>
          <w:iCs/>
          <w:sz w:val="21"/>
          <w:szCs w:val="21"/>
          <w:u w:val="single"/>
          <w:lang w:eastAsia="es-ES_tradnl"/>
        </w:rPr>
        <w:t xml:space="preserve">la certificación que sobre la experiencia de un proponente, expiden las cámaras de comercio a través del Registro Único de Proponentes que administran, esta oficina considera que la normativa a que se ha venido aludiendo no reguló, pero tampoco prohibió, otras situaciones de transferencia de experiencia como la que se presenta con la fusión, </w:t>
      </w:r>
      <w:r w:rsidRPr="00F76E2D">
        <w:rPr>
          <w:rFonts w:ascii="Geomanist Light" w:eastAsia="Times New Roman" w:hAnsi="Geomanist Light" w:cs="Arial"/>
          <w:sz w:val="21"/>
          <w:szCs w:val="21"/>
          <w:lang w:eastAsia="es-ES_tradnl"/>
        </w:rPr>
        <w:t>por lo que la considera válida para efecto de ser invocada por la absorbente, a través del certificado que le expida la cámara de comercio con base en la información depositada en el Registro Único de Proponentes, RUP</w:t>
      </w:r>
      <w:r w:rsidRPr="00F76E2D">
        <w:rPr>
          <w:rFonts w:ascii="Geomanist Light" w:eastAsia="Times New Roman" w:hAnsi="Geomanist Light" w:cs="Arial"/>
          <w:sz w:val="21"/>
          <w:szCs w:val="21"/>
          <w:vertAlign w:val="superscript"/>
          <w:lang w:eastAsia="es-ES_tradnl"/>
        </w:rPr>
        <w:footnoteReference w:id="13"/>
      </w:r>
      <w:r w:rsidRPr="00F76E2D">
        <w:rPr>
          <w:rFonts w:ascii="Geomanist Light" w:eastAsia="Times New Roman" w:hAnsi="Geomanist Light" w:cs="Arial"/>
          <w:sz w:val="21"/>
          <w:szCs w:val="21"/>
          <w:lang w:eastAsia="es-ES_tradnl"/>
        </w:rPr>
        <w:t>. [Énfasis fuera de texto]</w:t>
      </w:r>
    </w:p>
    <w:p w14:paraId="663198DF" w14:textId="77777777" w:rsidR="00F66826" w:rsidRPr="00F76E2D" w:rsidRDefault="00F66826" w:rsidP="00F66826">
      <w:pPr>
        <w:ind w:firstLine="708"/>
        <w:rPr>
          <w:rFonts w:ascii="Geomanist Light" w:eastAsia="Times New Roman" w:hAnsi="Geomanist Light" w:cs="Arial"/>
          <w:color w:val="000000"/>
          <w:sz w:val="22"/>
          <w:lang w:eastAsia="es-ES_tradnl"/>
        </w:rPr>
      </w:pPr>
      <w:r w:rsidRPr="00F76E2D">
        <w:rPr>
          <w:rFonts w:ascii="Geomanist Light" w:eastAsia="Calibri" w:hAnsi="Geomanist Light" w:cs="Arial"/>
          <w:bCs/>
          <w:sz w:val="22"/>
          <w:lang w:eastAsia="es-ES_tradnl"/>
        </w:rPr>
        <w:t>En efecto, el artículo 2.2.1.1.1.5.3 del Decreto 1082 de 2015 hace referencia a que las cámaras de comercio deberán registrar la experiencia certificada con base en los «</w:t>
      </w:r>
      <w:r w:rsidRPr="00F76E2D">
        <w:rPr>
          <w:rFonts w:ascii="Geomanist Light" w:eastAsia="Times New Roman" w:hAnsi="Geomanist Light" w:cs="Arial"/>
          <w:color w:val="000000"/>
          <w:sz w:val="22"/>
          <w:lang w:eastAsia="es-ES_tradnl"/>
        </w:rPr>
        <w:t xml:space="preserve">Los contratos celebrados por el interesado» y «Los contratos celebrados por consorcios, uniones temporales y sociedades en las cuales el interesado tenga o haya tenido participación», sin hacer alusión a las diferentes reformas estatutarias que podrían amparar la transferencia de </w:t>
      </w:r>
      <w:r w:rsidRPr="00F76E2D">
        <w:rPr>
          <w:rFonts w:ascii="Geomanist Light" w:eastAsia="Times New Roman" w:hAnsi="Geomanist Light" w:cs="Arial"/>
          <w:color w:val="000000"/>
          <w:sz w:val="22"/>
          <w:lang w:eastAsia="es-ES_tradnl"/>
        </w:rPr>
        <w:lastRenderedPageBreak/>
        <w:t xml:space="preserve">experiencia conforme a lo explicado </w:t>
      </w:r>
      <w:r w:rsidRPr="00F76E2D">
        <w:rPr>
          <w:rFonts w:ascii="Geomanist Light" w:eastAsia="Times New Roman" w:hAnsi="Geomanist Light" w:cs="Arial"/>
          <w:i/>
          <w:iCs/>
          <w:color w:val="000000"/>
          <w:sz w:val="22"/>
          <w:lang w:eastAsia="es-ES_tradnl"/>
        </w:rPr>
        <w:t>supra</w:t>
      </w:r>
      <w:r w:rsidRPr="00F76E2D">
        <w:rPr>
          <w:rFonts w:ascii="Geomanist Light" w:eastAsia="Times New Roman" w:hAnsi="Geomanist Light" w:cs="Arial"/>
          <w:i/>
          <w:iCs/>
          <w:color w:val="000000"/>
          <w:sz w:val="22"/>
          <w:vertAlign w:val="superscript"/>
          <w:lang w:eastAsia="es-ES_tradnl"/>
        </w:rPr>
        <w:footnoteReference w:id="14"/>
      </w:r>
      <w:r w:rsidRPr="00F76E2D">
        <w:rPr>
          <w:rFonts w:ascii="Geomanist Light" w:eastAsia="Times New Roman" w:hAnsi="Geomanist Light" w:cs="Arial"/>
          <w:color w:val="000000"/>
          <w:sz w:val="22"/>
          <w:lang w:eastAsia="es-ES_tradnl"/>
        </w:rPr>
        <w:t xml:space="preserve">. Caso contario ocurre con la posibilidad de que una sociedad, durante los primeros tres (3) años de su constitución–e incluso después– pueda acreditar como suya la experiencia de socios, supuesto regulado por el numeral 2.5 del artículo 2.2.1.1.1.5.2 del Decreto 1082 de 2015. </w:t>
      </w:r>
    </w:p>
    <w:p w14:paraId="17C28073" w14:textId="77777777" w:rsidR="00F66826" w:rsidRPr="00F76E2D" w:rsidRDefault="00F66826" w:rsidP="00F66826">
      <w:pPr>
        <w:ind w:firstLine="708"/>
        <w:rPr>
          <w:rFonts w:ascii="Geomanist Light" w:eastAsia="Calibri" w:hAnsi="Geomanist Light" w:cs="Arial"/>
          <w:bCs/>
          <w:sz w:val="22"/>
          <w:lang w:eastAsia="es-ES_tradnl"/>
        </w:rPr>
      </w:pPr>
      <w:r w:rsidRPr="00F76E2D">
        <w:rPr>
          <w:rFonts w:ascii="Geomanist Light" w:eastAsia="Times New Roman" w:hAnsi="Geomanist Light" w:cs="Arial"/>
          <w:color w:val="000000"/>
          <w:sz w:val="22"/>
          <w:lang w:eastAsia="es-ES_tradnl"/>
        </w:rPr>
        <w:t xml:space="preserve">En ese sentido, considerando que el RUP es el documento que constituye plena prueba de la experiencia adquirida por el proponente, es necesario que la experiencia de la sociedad absorbida quedé incorporada en el RUP de la absorbente para que esta pueda acreditarla. Esto implica que la sociedad absorbente haya adelantado el respectivo trámite de actualización o renovación del RUP, en el marco del cual se haya consolidado la transferencia de experiencia. </w:t>
      </w:r>
    </w:p>
    <w:p w14:paraId="4AD2967F" w14:textId="6933666F" w:rsidR="004B7723" w:rsidRPr="00F76E2D" w:rsidRDefault="004B7723" w:rsidP="004B7723">
      <w:pPr>
        <w:rPr>
          <w:rFonts w:ascii="Geomanist Light" w:eastAsia="Calibri" w:hAnsi="Geomanist Light" w:cs="Arial"/>
          <w:b/>
          <w:bCs/>
          <w:color w:val="000000" w:themeColor="text1"/>
          <w:sz w:val="22"/>
        </w:rPr>
      </w:pPr>
      <w:r w:rsidRPr="00F76E2D">
        <w:rPr>
          <w:rFonts w:ascii="Geomanist Light" w:eastAsia="Calibri" w:hAnsi="Geomanist Light" w:cs="Arial"/>
          <w:b/>
          <w:color w:val="000000" w:themeColor="text1"/>
          <w:sz w:val="22"/>
        </w:rPr>
        <w:t>2.</w:t>
      </w:r>
      <w:r w:rsidR="00853165" w:rsidRPr="00F76E2D">
        <w:rPr>
          <w:rFonts w:ascii="Geomanist Light" w:eastAsia="Calibri" w:hAnsi="Geomanist Light" w:cs="Arial"/>
          <w:b/>
          <w:color w:val="000000" w:themeColor="text1"/>
          <w:sz w:val="22"/>
        </w:rPr>
        <w:t>4</w:t>
      </w:r>
      <w:r w:rsidRPr="00F76E2D">
        <w:rPr>
          <w:rFonts w:ascii="Geomanist Light" w:eastAsia="Calibri" w:hAnsi="Geomanist Light" w:cs="Arial"/>
          <w:b/>
          <w:color w:val="000000" w:themeColor="text1"/>
          <w:sz w:val="22"/>
        </w:rPr>
        <w:t xml:space="preserve">. </w:t>
      </w:r>
      <w:r w:rsidRPr="00F76E2D">
        <w:rPr>
          <w:rFonts w:ascii="Geomanist Light" w:eastAsia="Calibri" w:hAnsi="Geomanist Light" w:cs="Arial"/>
          <w:b/>
          <w:bCs/>
          <w:color w:val="000000" w:themeColor="text1"/>
          <w:sz w:val="22"/>
        </w:rPr>
        <w:t>Experiencia adquirida por matrices y subordinadas de una sociedad comercial</w:t>
      </w:r>
    </w:p>
    <w:p w14:paraId="0BE458B6" w14:textId="7BC31473" w:rsidR="004B7723" w:rsidRPr="00F76E2D" w:rsidRDefault="00C92742" w:rsidP="004B7723">
      <w:pPr>
        <w:rPr>
          <w:rFonts w:ascii="Geomanist Light" w:eastAsia="Calibri" w:hAnsi="Geomanist Light" w:cs="Arial"/>
          <w:color w:val="000000" w:themeColor="text1"/>
          <w:sz w:val="22"/>
        </w:rPr>
      </w:pPr>
      <w:r w:rsidRPr="00F76E2D">
        <w:rPr>
          <w:rFonts w:ascii="Geomanist Light" w:eastAsia="Calibri" w:hAnsi="Geomanist Light" w:cs="Arial"/>
          <w:color w:val="000000" w:themeColor="text1"/>
          <w:sz w:val="22"/>
        </w:rPr>
        <w:t>E</w:t>
      </w:r>
      <w:r w:rsidR="004B7723" w:rsidRPr="00F76E2D">
        <w:rPr>
          <w:rFonts w:ascii="Geomanist Light" w:eastAsia="Calibri" w:hAnsi="Geomanist Light" w:cs="Arial"/>
          <w:color w:val="000000" w:themeColor="text1"/>
          <w:sz w:val="22"/>
        </w:rPr>
        <w:t>l Código de Comercio, en el artículo 260, subrogado por el artículo 26 de la Ley 222 de 1995, regula las matrices y subordinadas. La norma citada contiene los siguientes conceptos: i) matriz, ii) subordinada o controlada, iii) filial y iv) subsidiaria</w:t>
      </w:r>
      <w:r w:rsidR="004B7723" w:rsidRPr="00F76E2D">
        <w:rPr>
          <w:rStyle w:val="Refdenotaalpie"/>
          <w:rFonts w:ascii="Geomanist Light" w:eastAsia="Calibri" w:hAnsi="Geomanist Light" w:cs="Arial"/>
          <w:color w:val="000000" w:themeColor="text1"/>
          <w:sz w:val="22"/>
        </w:rPr>
        <w:footnoteReference w:id="15"/>
      </w:r>
      <w:r w:rsidR="004B7723" w:rsidRPr="00F76E2D">
        <w:rPr>
          <w:rFonts w:ascii="Geomanist Light" w:eastAsia="Calibri" w:hAnsi="Geomanist Light" w:cs="Arial"/>
          <w:color w:val="000000" w:themeColor="text1"/>
          <w:sz w:val="22"/>
        </w:rPr>
        <w:t>. En primer lugar, una sociedad es i) matriz cuando tiene poder de decisión frente a otras personas, ii) la sociedad subordinada o controlada es la que no puede autodeterminarse porque sus decisiones se someten a la sociedad matriz, y esa subordinación cuando es directa se denomina iii) filial, y cuando es indirecta, esto es, la matriz toma decisiones con el concurso o por intermedio de otras de sus sociedades subordinadas o controladas, es una iv) sociedad subsidiaria.</w:t>
      </w:r>
    </w:p>
    <w:p w14:paraId="522BF809" w14:textId="77777777" w:rsidR="004B7723" w:rsidRPr="00F76E2D" w:rsidRDefault="004B7723" w:rsidP="004B7723">
      <w:pPr>
        <w:ind w:firstLine="709"/>
        <w:rPr>
          <w:rFonts w:ascii="Geomanist Light" w:eastAsia="Calibri" w:hAnsi="Geomanist Light" w:cs="Arial"/>
          <w:color w:val="000000" w:themeColor="text1"/>
          <w:sz w:val="22"/>
        </w:rPr>
      </w:pPr>
      <w:r w:rsidRPr="00F76E2D">
        <w:rPr>
          <w:rFonts w:ascii="Geomanist Light" w:eastAsia="Calibri" w:hAnsi="Geomanist Light" w:cs="Arial"/>
          <w:color w:val="000000" w:themeColor="text1"/>
          <w:sz w:val="22"/>
        </w:rPr>
        <w:t xml:space="preserve">De la norma analizada se destaca que la matriz subordina a otras personas, con lo cual se diferencian varias personas que se interrelacionan por su actividad comercial, a las que les aplica una prohibición y es que la sociedad subordinada no puede tener participación en el </w:t>
      </w:r>
      <w:r w:rsidRPr="00F76E2D">
        <w:rPr>
          <w:rFonts w:ascii="Geomanist Light" w:eastAsia="Calibri" w:hAnsi="Geomanist Light" w:cs="Arial"/>
          <w:color w:val="000000" w:themeColor="text1"/>
          <w:sz w:val="22"/>
        </w:rPr>
        <w:lastRenderedPageBreak/>
        <w:t>capital social de su matriz so pena de ineficacia de esos actos jurídicos</w:t>
      </w:r>
      <w:r w:rsidRPr="00F76E2D">
        <w:rPr>
          <w:rStyle w:val="Refdenotaalpie"/>
          <w:rFonts w:ascii="Geomanist Light" w:eastAsia="Calibri" w:hAnsi="Geomanist Light" w:cs="Arial"/>
          <w:color w:val="000000" w:themeColor="text1"/>
          <w:sz w:val="22"/>
        </w:rPr>
        <w:footnoteReference w:id="16"/>
      </w:r>
      <w:r w:rsidRPr="00F76E2D">
        <w:rPr>
          <w:rFonts w:ascii="Geomanist Light" w:eastAsia="Calibri" w:hAnsi="Geomanist Light" w:cs="Arial"/>
          <w:color w:val="000000" w:themeColor="text1"/>
          <w:sz w:val="22"/>
        </w:rPr>
        <w:t>. Esto es reafirmado por la Guía práctica régimen de matrices y subordinadas de la Superintendencia de Sociedades que señala que «Los sujetos vinculados en situación de control o grupo empresarial en los términos de la Ley 222 de 1995 conservan su individualidad; es decir, mantienen sus atributos y obligaciones propias</w:t>
      </w:r>
      <w:r w:rsidRPr="00F76E2D">
        <w:rPr>
          <w:rStyle w:val="Refdenotaalpie"/>
          <w:rFonts w:ascii="Geomanist Light" w:eastAsia="Calibri" w:hAnsi="Geomanist Light" w:cs="Arial"/>
          <w:color w:val="000000" w:themeColor="text1"/>
          <w:sz w:val="22"/>
        </w:rPr>
        <w:footnoteReference w:id="17"/>
      </w:r>
      <w:r w:rsidRPr="00F76E2D">
        <w:rPr>
          <w:rFonts w:ascii="Geomanist Light" w:eastAsia="Calibri" w:hAnsi="Geomanist Light" w:cs="Arial"/>
          <w:color w:val="000000" w:themeColor="text1"/>
          <w:sz w:val="22"/>
        </w:rPr>
        <w:t xml:space="preserve">». </w:t>
      </w:r>
    </w:p>
    <w:p w14:paraId="5D430746" w14:textId="09CD5728" w:rsidR="00DE6F7A" w:rsidRPr="00F76E2D" w:rsidRDefault="004B7723" w:rsidP="004B7723">
      <w:pPr>
        <w:ind w:firstLine="708"/>
        <w:rPr>
          <w:rFonts w:ascii="Geomanist Light" w:eastAsia="Calibri" w:hAnsi="Geomanist Light" w:cs="Arial"/>
          <w:color w:val="000000" w:themeColor="text1"/>
          <w:sz w:val="22"/>
        </w:rPr>
      </w:pPr>
      <w:r w:rsidRPr="00F76E2D">
        <w:rPr>
          <w:rFonts w:ascii="Geomanist Light" w:eastAsia="Calibri" w:hAnsi="Geomanist Light" w:cs="Arial"/>
          <w:color w:val="000000" w:themeColor="text1"/>
          <w:sz w:val="22"/>
        </w:rPr>
        <w:t>Por tanto, una sociedad subordinada  ̶ filial o subsidiaria ̶ conserva su individualidad respecto de su matriz, y al ser personas jurídicas diferentes adquieren su experiencia de forma personal e independiente, la cual pueden compartir conformando un proponente plural  ̶ unión temporal o consorcio ̶, o transferir por fusión y escisión entre las sociedades comerciales, o por expresa disposición del pliego de condiciones que así lo autorice. Sin embargo, por la prohibición del artículo 262 del Código de Comercio, subrogado por el artículo 32 de la Ley 222 de 1995 citado, no es posible que entre una matriz y sus subordinadas se comparta la experiencia a través de la posibilidad que señala la ley para que los socios aporten su experiencia a las sociedades con menos de 3 años de constitución. Tampoco es posible transferir la experiencia por la transformación de la sociedad comercial, ya que esta reforma social del Código de Comercio</w:t>
      </w:r>
      <w:r w:rsidRPr="00F76E2D">
        <w:rPr>
          <w:rStyle w:val="Refdenotaalpie"/>
          <w:rFonts w:ascii="Geomanist Light" w:eastAsia="Calibri" w:hAnsi="Geomanist Light" w:cs="Arial"/>
          <w:color w:val="000000" w:themeColor="text1"/>
          <w:sz w:val="22"/>
        </w:rPr>
        <w:footnoteReference w:id="18"/>
      </w:r>
      <w:r w:rsidRPr="00F76E2D">
        <w:rPr>
          <w:rFonts w:ascii="Geomanist Light" w:eastAsia="Calibri" w:hAnsi="Geomanist Light" w:cs="Arial"/>
          <w:color w:val="000000" w:themeColor="text1"/>
          <w:sz w:val="22"/>
        </w:rPr>
        <w:t xml:space="preserve"> involucra una persona jurídica y no varias como es el caso de la matriz y sus subordinadas</w:t>
      </w:r>
      <w:r w:rsidRPr="00F76E2D">
        <w:rPr>
          <w:rStyle w:val="Refdenotaalpie"/>
          <w:rFonts w:ascii="Geomanist Light" w:eastAsia="Calibri" w:hAnsi="Geomanist Light" w:cs="Arial"/>
          <w:color w:val="000000" w:themeColor="text1"/>
          <w:sz w:val="22"/>
        </w:rPr>
        <w:footnoteReference w:id="19"/>
      </w:r>
      <w:r w:rsidRPr="00F76E2D">
        <w:rPr>
          <w:rFonts w:ascii="Geomanist Light" w:eastAsia="Calibri" w:hAnsi="Geomanist Light" w:cs="Arial"/>
          <w:color w:val="000000" w:themeColor="text1"/>
          <w:sz w:val="22"/>
        </w:rPr>
        <w:t>.</w:t>
      </w:r>
    </w:p>
    <w:p w14:paraId="3370D223" w14:textId="7519F111" w:rsidR="00474929" w:rsidRPr="00F76E2D" w:rsidRDefault="00474929" w:rsidP="00ED1C5C">
      <w:pPr>
        <w:tabs>
          <w:tab w:val="left" w:pos="426"/>
        </w:tabs>
        <w:spacing w:after="240" w:line="240" w:lineRule="auto"/>
        <w:rPr>
          <w:rFonts w:ascii="Geomanist Light" w:eastAsia="Calibri" w:hAnsi="Geomanist Light" w:cs="Arial"/>
          <w:b/>
          <w:sz w:val="22"/>
          <w:lang w:val="es-CO"/>
        </w:rPr>
      </w:pPr>
      <w:r w:rsidRPr="00F76E2D">
        <w:rPr>
          <w:rFonts w:ascii="Geomanist Light" w:eastAsia="Calibri" w:hAnsi="Geomanist Light" w:cs="Arial"/>
          <w:b/>
          <w:sz w:val="22"/>
          <w:lang w:val="es-CO"/>
        </w:rPr>
        <w:t>3. Respuesta</w:t>
      </w:r>
      <w:bookmarkStart w:id="6" w:name="_Hlk57650395"/>
    </w:p>
    <w:p w14:paraId="236D4BAA" w14:textId="77777777" w:rsidR="00623802" w:rsidRPr="00F76E2D" w:rsidRDefault="00623802" w:rsidP="00623802">
      <w:pPr>
        <w:pStyle w:val="NormalWeb"/>
        <w:spacing w:before="0" w:beforeAutospacing="0" w:after="240" w:afterAutospacing="0" w:line="240" w:lineRule="auto"/>
        <w:ind w:left="709" w:right="900"/>
        <w:rPr>
          <w:rFonts w:ascii="Geomanist Light" w:hAnsi="Geomanist Light" w:cs="Arial"/>
          <w:sz w:val="21"/>
          <w:szCs w:val="21"/>
        </w:rPr>
      </w:pPr>
      <w:r w:rsidRPr="00F76E2D">
        <w:rPr>
          <w:rFonts w:ascii="Geomanist Light" w:hAnsi="Geomanist Light" w:cs="Arial"/>
          <w:sz w:val="21"/>
          <w:szCs w:val="21"/>
        </w:rPr>
        <w:t xml:space="preserve">«En algunas licitaciones se ha permitido acreditar la experiencia a través de las certificaciones de experiencia presentadas por proveedores nominados o </w:t>
      </w:r>
      <w:r w:rsidRPr="00F76E2D">
        <w:rPr>
          <w:rFonts w:ascii="Geomanist Light" w:hAnsi="Geomanist Light" w:cs="Arial"/>
          <w:sz w:val="21"/>
          <w:szCs w:val="21"/>
        </w:rPr>
        <w:lastRenderedPageBreak/>
        <w:t xml:space="preserve">empresas del mismo grupo empresarial, pero que NO hacen parte del proponente, como es el caso de los siguientes procesos licitatorios: </w:t>
      </w:r>
    </w:p>
    <w:p w14:paraId="32FC7261" w14:textId="77777777" w:rsidR="00623802" w:rsidRPr="00F76E2D" w:rsidRDefault="00623802" w:rsidP="00623802">
      <w:pPr>
        <w:pStyle w:val="NormalWeb"/>
        <w:spacing w:before="0" w:beforeAutospacing="0" w:after="240" w:afterAutospacing="0" w:line="240" w:lineRule="auto"/>
        <w:ind w:left="709" w:right="900"/>
        <w:rPr>
          <w:rFonts w:ascii="Geomanist Light" w:hAnsi="Geomanist Light" w:cs="Arial"/>
          <w:sz w:val="21"/>
          <w:szCs w:val="21"/>
        </w:rPr>
      </w:pPr>
      <w:proofErr w:type="spellStart"/>
      <w:r w:rsidRPr="00F76E2D">
        <w:rPr>
          <w:rFonts w:ascii="Geomanist Light" w:hAnsi="Geomanist Light" w:cs="Arial"/>
          <w:sz w:val="21"/>
          <w:szCs w:val="21"/>
        </w:rPr>
        <w:t>Regiotram</w:t>
      </w:r>
      <w:proofErr w:type="spellEnd"/>
      <w:r w:rsidRPr="00F76E2D">
        <w:rPr>
          <w:rFonts w:ascii="Geomanist Light" w:hAnsi="Geomanist Light" w:cs="Arial"/>
          <w:sz w:val="21"/>
          <w:szCs w:val="21"/>
        </w:rPr>
        <w:t xml:space="preserve">: LP-EFR-009-2019 </w:t>
      </w:r>
    </w:p>
    <w:p w14:paraId="19BCC0DE" w14:textId="77777777" w:rsidR="00623802" w:rsidRPr="00F76E2D" w:rsidRDefault="00623802" w:rsidP="00623802">
      <w:pPr>
        <w:pStyle w:val="NormalWeb"/>
        <w:spacing w:before="0" w:beforeAutospacing="0" w:after="240" w:afterAutospacing="0" w:line="240" w:lineRule="auto"/>
        <w:ind w:left="709" w:right="900"/>
        <w:rPr>
          <w:rFonts w:ascii="Geomanist Light" w:hAnsi="Geomanist Light" w:cs="Arial"/>
          <w:sz w:val="21"/>
          <w:szCs w:val="21"/>
        </w:rPr>
      </w:pPr>
      <w:r w:rsidRPr="00F76E2D">
        <w:rPr>
          <w:rFonts w:ascii="Geomanist Light" w:hAnsi="Geomanist Light" w:cs="Arial"/>
          <w:sz w:val="21"/>
          <w:szCs w:val="21"/>
        </w:rPr>
        <w:t xml:space="preserve">Metro de Bogotá: GT-LPI-001-2018 </w:t>
      </w:r>
    </w:p>
    <w:p w14:paraId="793FBF04" w14:textId="77777777" w:rsidR="00623802" w:rsidRPr="00F76E2D" w:rsidRDefault="00623802" w:rsidP="00623802">
      <w:pPr>
        <w:pStyle w:val="NormalWeb"/>
        <w:spacing w:before="0" w:beforeAutospacing="0" w:after="240" w:afterAutospacing="0" w:line="240" w:lineRule="auto"/>
        <w:ind w:left="709" w:right="900"/>
        <w:rPr>
          <w:rFonts w:ascii="Geomanist Light" w:hAnsi="Geomanist Light" w:cs="Arial"/>
          <w:sz w:val="21"/>
          <w:szCs w:val="21"/>
        </w:rPr>
      </w:pPr>
      <w:proofErr w:type="gramStart"/>
      <w:r w:rsidRPr="00F76E2D">
        <w:rPr>
          <w:rFonts w:ascii="Geomanist Light" w:hAnsi="Geomanist Light" w:cs="Arial"/>
          <w:sz w:val="21"/>
          <w:szCs w:val="21"/>
        </w:rPr>
        <w:t>Me gustaría saber bajo qué condiciones la Ley permite acreditar experiencia de proveedores o terceros que no hacen parte del oferente?</w:t>
      </w:r>
      <w:proofErr w:type="gramEnd"/>
      <w:r w:rsidRPr="00F76E2D">
        <w:rPr>
          <w:rFonts w:ascii="Geomanist Light" w:hAnsi="Geomanist Light" w:cs="Arial"/>
          <w:sz w:val="21"/>
          <w:szCs w:val="21"/>
        </w:rPr>
        <w:t xml:space="preserve"> </w:t>
      </w:r>
    </w:p>
    <w:p w14:paraId="316FFC23" w14:textId="1D8FE967" w:rsidR="00C760C7" w:rsidRPr="00F76E2D" w:rsidRDefault="00623802" w:rsidP="00623802">
      <w:pPr>
        <w:spacing w:after="240" w:line="240" w:lineRule="auto"/>
        <w:ind w:left="708" w:right="709"/>
        <w:rPr>
          <w:rFonts w:ascii="Geomanist Light" w:eastAsia="Times New Roman" w:hAnsi="Geomanist Light" w:cs="Arial"/>
          <w:i/>
          <w:iCs/>
          <w:sz w:val="21"/>
          <w:szCs w:val="21"/>
          <w:lang w:val="es-ES" w:eastAsia="es-MX" w:bidi="es-ES"/>
        </w:rPr>
      </w:pPr>
      <w:proofErr w:type="gramStart"/>
      <w:r w:rsidRPr="00F76E2D">
        <w:rPr>
          <w:rFonts w:ascii="Geomanist Light" w:hAnsi="Geomanist Light" w:cs="Arial"/>
          <w:sz w:val="21"/>
          <w:szCs w:val="21"/>
        </w:rPr>
        <w:t>Es decir, si se demuestra que no hay suficientes empresas en Colombia que puedan acreditar esa experiencia, sería posible acreditar la misma a través de terceros (que no se presentan a la licitación como oferentes)?</w:t>
      </w:r>
      <w:proofErr w:type="gramEnd"/>
      <w:r w:rsidRPr="00F76E2D">
        <w:rPr>
          <w:rFonts w:ascii="Geomanist Light" w:hAnsi="Geomanist Light" w:cs="Arial"/>
          <w:sz w:val="21"/>
          <w:szCs w:val="21"/>
        </w:rPr>
        <w:t>»</w:t>
      </w:r>
    </w:p>
    <w:p w14:paraId="5896A596" w14:textId="7110D2BC" w:rsidR="003C6558" w:rsidRPr="00F76E2D" w:rsidRDefault="003C6558" w:rsidP="0010636B">
      <w:pPr>
        <w:rPr>
          <w:rFonts w:ascii="Geomanist Light" w:eastAsia="Calibri" w:hAnsi="Geomanist Light" w:cs="Arial"/>
          <w:color w:val="000000" w:themeColor="text1"/>
          <w:sz w:val="22"/>
        </w:rPr>
      </w:pPr>
      <w:r w:rsidRPr="00F76E2D">
        <w:rPr>
          <w:rFonts w:ascii="Geomanist Light" w:eastAsia="Calibri" w:hAnsi="Geomanist Light" w:cs="Arial"/>
          <w:color w:val="000000" w:themeColor="text1"/>
          <w:sz w:val="22"/>
        </w:rPr>
        <w:t>Una sociedad subordinada  ̶ filial o subsidiaria ̶ conserva su individualidad respecto de su matriz, y al ser personas jurídicas diferentes adquieren su experiencia de forma personal e independiente, la cual pueden compartir conformando un proponente plural  ̶ unión temporal o consorcio ̶, o transferir por fusión y escisión entre las sociedades comerciales, o por expresa disposición del pliego de condiciones que así lo autorice. Sin embargo, por la prohibición del artículo 262 del Código de Comercio, subrogado por el artículo 32 de la Ley 222 de 1995 citado, no es posible que entre una matriz y sus subordinadas se comparta la experiencia a través de la posibilidad que señala la ley para que los socios aporten su experiencia a las sociedades con menos de 3 años de constitución. Tampoco es posible transferir la experiencia por la transformación de la sociedad comercial, ya que esta reforma social del Código de Comercio involucra una persona jurídica y no varias como es el caso de la matriz y sus subordinadas.</w:t>
      </w:r>
    </w:p>
    <w:p w14:paraId="197BB4E4" w14:textId="584BB350" w:rsidR="003902B4" w:rsidRPr="00F76E2D" w:rsidRDefault="003C6558" w:rsidP="00BB220A">
      <w:pPr>
        <w:rPr>
          <w:rFonts w:ascii="Geomanist Light" w:eastAsia="Times New Roman" w:hAnsi="Geomanist Light" w:cs="Arial"/>
          <w:color w:val="000000"/>
          <w:sz w:val="22"/>
          <w:lang w:eastAsia="es-ES_tradnl"/>
        </w:rPr>
      </w:pPr>
      <w:r w:rsidRPr="00F76E2D">
        <w:rPr>
          <w:rFonts w:ascii="Geomanist Light" w:eastAsia="Times New Roman" w:hAnsi="Geomanist Light" w:cs="Arial"/>
          <w:color w:val="000000"/>
          <w:sz w:val="22"/>
          <w:lang w:eastAsia="es-ES_tradnl"/>
        </w:rPr>
        <w:t>Así las cosas, debe resaltarse que l</w:t>
      </w:r>
      <w:r w:rsidR="00B05B7C" w:rsidRPr="00F76E2D">
        <w:rPr>
          <w:rFonts w:ascii="Geomanist Light" w:eastAsia="Times New Roman" w:hAnsi="Geomanist Light" w:cs="Arial"/>
          <w:color w:val="000000"/>
          <w:sz w:val="22"/>
          <w:lang w:eastAsia="es-ES_tradnl"/>
        </w:rPr>
        <w:t>a</w:t>
      </w:r>
      <w:r w:rsidR="00653118" w:rsidRPr="00F76E2D">
        <w:rPr>
          <w:rFonts w:ascii="Geomanist Light" w:eastAsia="Times New Roman" w:hAnsi="Geomanist Light" w:cs="Arial"/>
          <w:color w:val="000000"/>
          <w:sz w:val="22"/>
          <w:lang w:eastAsia="es-ES_tradnl"/>
        </w:rPr>
        <w:t xml:space="preserve"> experiencia tiene un carácter personal, lo cual significa que esta se obtiene por la participación, con anterioridad, en actividades que le permitieron a alguien conocer cómo ejecutar determinado objeto contractual que la entidad ahora pretende desarrollar</w:t>
      </w:r>
      <w:r w:rsidR="003902B4" w:rsidRPr="00F76E2D">
        <w:rPr>
          <w:rFonts w:ascii="Geomanist Light" w:eastAsia="Times New Roman" w:hAnsi="Geomanist Light" w:cs="Arial"/>
          <w:color w:val="000000"/>
          <w:sz w:val="22"/>
          <w:lang w:eastAsia="es-ES_tradnl"/>
        </w:rPr>
        <w:t xml:space="preserve">; por ende, </w:t>
      </w:r>
      <w:r w:rsidR="00653118" w:rsidRPr="00F76E2D">
        <w:rPr>
          <w:rFonts w:ascii="Geomanist Light" w:eastAsia="Times New Roman" w:hAnsi="Geomanist Light" w:cs="Arial"/>
          <w:color w:val="000000"/>
          <w:sz w:val="22"/>
          <w:lang w:eastAsia="es-ES_tradnl"/>
        </w:rPr>
        <w:t xml:space="preserve">no es posible adquirir la experiencia si en la práctica no se han ejecutado actividades previas. Precisamente, de la experiencia se deriva el conocimiento del proponente, lo cual es importante para la contratación pública, pues ello garantiza que no habrá improvisación ni mayores costos por errores o dificultades originadas en realizar una actividad por primera vez. </w:t>
      </w:r>
      <w:r w:rsidR="003902B4" w:rsidRPr="00F76E2D">
        <w:rPr>
          <w:rFonts w:ascii="Geomanist Light" w:eastAsia="Times New Roman" w:hAnsi="Geomanist Light" w:cs="Arial"/>
          <w:color w:val="000000"/>
          <w:sz w:val="22"/>
          <w:lang w:eastAsia="es-ES_tradnl"/>
        </w:rPr>
        <w:t xml:space="preserve">Lo anterior, significa que quien tiene la experiencia es en razón a su participación, con anterioridad, en actividades que le permitieron conocer directamente cómo ejecutar el objeto contractual, que la entidad pretende satisfacer ahora. </w:t>
      </w:r>
    </w:p>
    <w:p w14:paraId="545600B3" w14:textId="59ADE0A2" w:rsidR="00BB220A" w:rsidRPr="00F76E2D" w:rsidRDefault="003902B4" w:rsidP="0010636B">
      <w:pPr>
        <w:rPr>
          <w:rFonts w:ascii="Geomanist Light" w:eastAsia="Times New Roman" w:hAnsi="Geomanist Light" w:cs="Arial"/>
          <w:color w:val="000000"/>
          <w:sz w:val="22"/>
          <w:lang w:eastAsia="es-ES_tradnl"/>
        </w:rPr>
      </w:pPr>
      <w:r w:rsidRPr="00F76E2D">
        <w:rPr>
          <w:rFonts w:ascii="Geomanist Light" w:hAnsi="Geomanist Light" w:cs="Arial"/>
          <w:color w:val="000000" w:themeColor="text1"/>
          <w:sz w:val="22"/>
        </w:rPr>
        <w:tab/>
      </w:r>
      <w:r w:rsidR="00BB220A" w:rsidRPr="00F76E2D">
        <w:rPr>
          <w:rFonts w:ascii="Geomanist Light" w:eastAsia="Times New Roman" w:hAnsi="Geomanist Light" w:cs="Arial"/>
          <w:color w:val="000000"/>
          <w:sz w:val="22"/>
          <w:lang w:eastAsia="es-ES_tradnl"/>
        </w:rPr>
        <w:t xml:space="preserve">Ahora bien, sin perjuicio de lo anterior, el Manual explica que la experiencia puede obtenerse directamente o por participar asociado con otra persona, como es el caso de los proponentes plurales, en cuyo evento la experiencia no deja de ser personal, sino que es </w:t>
      </w:r>
      <w:r w:rsidR="00BB220A" w:rsidRPr="00F76E2D">
        <w:rPr>
          <w:rFonts w:ascii="Geomanist Light" w:eastAsia="Times New Roman" w:hAnsi="Geomanist Light" w:cs="Arial"/>
          <w:color w:val="000000"/>
          <w:sz w:val="22"/>
          <w:lang w:eastAsia="es-ES_tradnl"/>
        </w:rPr>
        <w:lastRenderedPageBreak/>
        <w:t>proporcional a la participación como miembro de un consorcio o unión temporal. Por tratarse de esquemas asociativos, en estos casos la experiencia es compartida.</w:t>
      </w:r>
    </w:p>
    <w:p w14:paraId="4A074CA0" w14:textId="1BD8E4B7" w:rsidR="00474929" w:rsidRPr="00F76E2D" w:rsidRDefault="00474929" w:rsidP="00ED1C5C">
      <w:pPr>
        <w:spacing w:after="240"/>
        <w:rPr>
          <w:rFonts w:ascii="Geomanist Light" w:eastAsia="Times New Roman" w:hAnsi="Geomanist Light" w:cs="Arial"/>
          <w:szCs w:val="24"/>
          <w:lang w:val="es-CO" w:eastAsia="es-ES_tradnl"/>
        </w:rPr>
      </w:pPr>
      <w:r w:rsidRPr="00F76E2D">
        <w:rPr>
          <w:rFonts w:ascii="Geomanist Light" w:eastAsia="Calibri" w:hAnsi="Geomanist Light" w:cs="Arial"/>
          <w:sz w:val="22"/>
          <w:lang w:val="es-CO"/>
        </w:rPr>
        <w:t>Este concepto tiene el alcance previsto en el artículo 28 del Código de Procedimiento Administrativo y de lo Contencioso Administrativo.</w:t>
      </w:r>
    </w:p>
    <w:p w14:paraId="151370CB" w14:textId="58F27063" w:rsidR="00474929" w:rsidRPr="00F76E2D" w:rsidRDefault="00474929" w:rsidP="00474929">
      <w:pPr>
        <w:rPr>
          <w:rFonts w:ascii="Geomanist Light" w:eastAsia="Times New Roman" w:hAnsi="Geomanist Light" w:cs="Arial"/>
          <w:sz w:val="22"/>
          <w:lang w:val="es-CO" w:eastAsia="es-CO"/>
        </w:rPr>
      </w:pPr>
      <w:r w:rsidRPr="00F76E2D">
        <w:rPr>
          <w:rFonts w:ascii="Geomanist Light" w:eastAsia="Times New Roman" w:hAnsi="Geomanist Light" w:cs="Arial"/>
          <w:sz w:val="22"/>
          <w:lang w:val="es-CO" w:eastAsia="es-CO"/>
        </w:rPr>
        <w:t>Atentamente,</w:t>
      </w:r>
      <w:bookmarkEnd w:id="1"/>
      <w:bookmarkEnd w:id="6"/>
    </w:p>
    <w:p w14:paraId="726F3CD1" w14:textId="19B18CCB" w:rsidR="00290391" w:rsidRPr="00F76E2D" w:rsidRDefault="00304AF4" w:rsidP="00290391">
      <w:pPr>
        <w:spacing w:before="120" w:after="120"/>
        <w:jc w:val="center"/>
        <w:rPr>
          <w:rFonts w:ascii="Geomanist Light" w:eastAsia="Calibri" w:hAnsi="Geomanist Light" w:cs="Arial"/>
        </w:rPr>
      </w:pPr>
      <w:r>
        <w:rPr>
          <w:noProof/>
          <w:lang w:val="en-US"/>
        </w:rPr>
        <w:drawing>
          <wp:inline distT="0" distB="0" distL="0" distR="0" wp14:anchorId="4B730E07" wp14:editId="17EE0AEC">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307D137D" w14:textId="77777777" w:rsidR="00290391" w:rsidRPr="00F76E2D" w:rsidRDefault="00290391" w:rsidP="00290391">
      <w:pPr>
        <w:spacing w:before="120" w:after="120"/>
        <w:jc w:val="center"/>
        <w:rPr>
          <w:rFonts w:ascii="Geomanist Light" w:eastAsia="Calibri" w:hAnsi="Geomanist Light" w:cs="Arial"/>
        </w:rPr>
      </w:pP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290391" w:rsidRPr="00F76E2D" w14:paraId="504E0872" w14:textId="77777777" w:rsidTr="0018008A">
        <w:trPr>
          <w:trHeight w:val="286"/>
        </w:trPr>
        <w:tc>
          <w:tcPr>
            <w:tcW w:w="817" w:type="dxa"/>
            <w:vAlign w:val="center"/>
          </w:tcPr>
          <w:p w14:paraId="49617C19" w14:textId="77777777" w:rsidR="00290391" w:rsidRPr="00F76E2D" w:rsidRDefault="00290391" w:rsidP="009236A6">
            <w:pPr>
              <w:spacing w:after="0" w:line="240" w:lineRule="auto"/>
              <w:rPr>
                <w:rFonts w:ascii="Geomanist Light" w:hAnsi="Geomanist Light" w:cs="Arial"/>
                <w:sz w:val="16"/>
                <w:szCs w:val="16"/>
              </w:rPr>
            </w:pPr>
            <w:r w:rsidRPr="00F76E2D">
              <w:rPr>
                <w:rFonts w:ascii="Geomanist Light" w:hAnsi="Geomanist Light" w:cs="Arial"/>
                <w:sz w:val="16"/>
                <w:szCs w:val="16"/>
              </w:rPr>
              <w:t>Elaboró:</w:t>
            </w:r>
          </w:p>
        </w:tc>
        <w:tc>
          <w:tcPr>
            <w:tcW w:w="4445" w:type="dxa"/>
            <w:tcBorders>
              <w:bottom w:val="dotted" w:sz="4" w:space="0" w:color="7F7F7F"/>
            </w:tcBorders>
            <w:vAlign w:val="center"/>
          </w:tcPr>
          <w:p w14:paraId="3BE2B52E" w14:textId="77777777" w:rsidR="00290391" w:rsidRPr="00F76E2D" w:rsidRDefault="00290391" w:rsidP="009236A6">
            <w:pPr>
              <w:spacing w:after="0" w:line="240" w:lineRule="auto"/>
              <w:rPr>
                <w:rFonts w:ascii="Geomanist Light" w:hAnsi="Geomanist Light" w:cs="Arial"/>
                <w:sz w:val="16"/>
                <w:szCs w:val="16"/>
              </w:rPr>
            </w:pPr>
            <w:r w:rsidRPr="00F76E2D">
              <w:rPr>
                <w:rFonts w:ascii="Geomanist Light" w:hAnsi="Geomanist Light" w:cs="Arial"/>
                <w:sz w:val="16"/>
                <w:szCs w:val="16"/>
              </w:rPr>
              <w:t xml:space="preserve">Diana Fabiola Herrera Hernández </w:t>
            </w:r>
          </w:p>
          <w:p w14:paraId="034D8759" w14:textId="77777777" w:rsidR="00290391" w:rsidRPr="00F76E2D" w:rsidRDefault="00290391" w:rsidP="009236A6">
            <w:pPr>
              <w:spacing w:after="0" w:line="240" w:lineRule="auto"/>
              <w:rPr>
                <w:rFonts w:ascii="Geomanist Light" w:hAnsi="Geomanist Light" w:cs="Arial"/>
                <w:sz w:val="16"/>
                <w:szCs w:val="16"/>
              </w:rPr>
            </w:pPr>
            <w:r w:rsidRPr="00F76E2D">
              <w:rPr>
                <w:rFonts w:ascii="Geomanist Light" w:hAnsi="Geomanist Light" w:cs="Arial"/>
                <w:sz w:val="16"/>
                <w:szCs w:val="16"/>
              </w:rPr>
              <w:t>Contratista de la Subdirección de Gestión Contractual</w:t>
            </w:r>
          </w:p>
        </w:tc>
      </w:tr>
      <w:tr w:rsidR="00290391" w:rsidRPr="00F76E2D" w14:paraId="7C98C13D" w14:textId="77777777" w:rsidTr="0018008A">
        <w:trPr>
          <w:trHeight w:val="286"/>
        </w:trPr>
        <w:tc>
          <w:tcPr>
            <w:tcW w:w="817" w:type="dxa"/>
            <w:vAlign w:val="center"/>
          </w:tcPr>
          <w:p w14:paraId="5CA6D036" w14:textId="77777777" w:rsidR="00290391" w:rsidRPr="00F76E2D" w:rsidRDefault="00290391" w:rsidP="009236A6">
            <w:pPr>
              <w:spacing w:after="0" w:line="240" w:lineRule="auto"/>
              <w:rPr>
                <w:rFonts w:ascii="Geomanist Light" w:hAnsi="Geomanist Light" w:cs="Arial"/>
                <w:sz w:val="16"/>
                <w:szCs w:val="16"/>
              </w:rPr>
            </w:pPr>
            <w:r w:rsidRPr="00F76E2D">
              <w:rPr>
                <w:rFonts w:ascii="Geomanist Light" w:hAnsi="Geomanist Light" w:cs="Arial"/>
                <w:sz w:val="16"/>
                <w:szCs w:val="16"/>
              </w:rPr>
              <w:t>Revisó:</w:t>
            </w:r>
          </w:p>
        </w:tc>
        <w:tc>
          <w:tcPr>
            <w:tcW w:w="4445" w:type="dxa"/>
            <w:tcBorders>
              <w:bottom w:val="dotted" w:sz="4" w:space="0" w:color="7F7F7F"/>
            </w:tcBorders>
            <w:vAlign w:val="center"/>
          </w:tcPr>
          <w:p w14:paraId="068E8D73" w14:textId="7BB936D4" w:rsidR="00290391" w:rsidRPr="00F76E2D" w:rsidRDefault="00290391" w:rsidP="009236A6">
            <w:pPr>
              <w:spacing w:after="0" w:line="240" w:lineRule="auto"/>
              <w:rPr>
                <w:rFonts w:ascii="Geomanist Light" w:hAnsi="Geomanist Light" w:cs="Arial"/>
                <w:sz w:val="16"/>
                <w:szCs w:val="16"/>
              </w:rPr>
            </w:pPr>
            <w:proofErr w:type="spellStart"/>
            <w:r w:rsidRPr="00F76E2D">
              <w:rPr>
                <w:rFonts w:ascii="Geomanist Light" w:hAnsi="Geomanist Light" w:cs="Arial"/>
                <w:sz w:val="16"/>
                <w:szCs w:val="16"/>
              </w:rPr>
              <w:t>Nathalia</w:t>
            </w:r>
            <w:proofErr w:type="spellEnd"/>
            <w:r w:rsidRPr="00F76E2D">
              <w:rPr>
                <w:rFonts w:ascii="Geomanist Light" w:hAnsi="Geomanist Light" w:cs="Arial"/>
                <w:sz w:val="16"/>
                <w:szCs w:val="16"/>
              </w:rPr>
              <w:t xml:space="preserve"> Andrea Urrego Jiménez </w:t>
            </w:r>
          </w:p>
          <w:p w14:paraId="25D5227C" w14:textId="77777777" w:rsidR="00290391" w:rsidRPr="00F76E2D" w:rsidRDefault="00290391" w:rsidP="009236A6">
            <w:pPr>
              <w:spacing w:after="0" w:line="240" w:lineRule="auto"/>
              <w:rPr>
                <w:rFonts w:ascii="Geomanist Light" w:hAnsi="Geomanist Light" w:cs="Arial"/>
                <w:sz w:val="16"/>
                <w:szCs w:val="16"/>
              </w:rPr>
            </w:pPr>
            <w:r w:rsidRPr="00F76E2D">
              <w:rPr>
                <w:rFonts w:ascii="Geomanist Light" w:hAnsi="Geomanist Light" w:cs="Arial"/>
                <w:sz w:val="16"/>
                <w:szCs w:val="16"/>
              </w:rPr>
              <w:t>Contratista de la Subdirección de Gestión Contractual</w:t>
            </w:r>
          </w:p>
        </w:tc>
      </w:tr>
      <w:tr w:rsidR="00290391" w:rsidRPr="00F76E2D" w14:paraId="03ADD563" w14:textId="77777777" w:rsidTr="0018008A">
        <w:trPr>
          <w:trHeight w:val="299"/>
        </w:trPr>
        <w:tc>
          <w:tcPr>
            <w:tcW w:w="817" w:type="dxa"/>
            <w:vAlign w:val="center"/>
          </w:tcPr>
          <w:p w14:paraId="0B3A4B55" w14:textId="77777777" w:rsidR="00290391" w:rsidRPr="00F76E2D" w:rsidRDefault="00290391" w:rsidP="009236A6">
            <w:pPr>
              <w:spacing w:after="0" w:line="240" w:lineRule="auto"/>
              <w:rPr>
                <w:rFonts w:ascii="Geomanist Light" w:hAnsi="Geomanist Light" w:cs="Arial"/>
                <w:sz w:val="16"/>
                <w:szCs w:val="16"/>
              </w:rPr>
            </w:pPr>
            <w:r w:rsidRPr="00F76E2D">
              <w:rPr>
                <w:rFonts w:ascii="Geomanist Light" w:hAnsi="Geomanist Light" w:cs="Arial"/>
                <w:sz w:val="16"/>
                <w:szCs w:val="16"/>
              </w:rPr>
              <w:t>Aprobó:</w:t>
            </w:r>
          </w:p>
        </w:tc>
        <w:tc>
          <w:tcPr>
            <w:tcW w:w="4445" w:type="dxa"/>
            <w:tcBorders>
              <w:top w:val="dotted" w:sz="4" w:space="0" w:color="7F7F7F"/>
              <w:bottom w:val="dotted" w:sz="4" w:space="0" w:color="7F7F7F"/>
            </w:tcBorders>
            <w:vAlign w:val="center"/>
          </w:tcPr>
          <w:p w14:paraId="5668AD41" w14:textId="77777777" w:rsidR="00290391" w:rsidRPr="00F76E2D" w:rsidRDefault="00290391" w:rsidP="009236A6">
            <w:pPr>
              <w:spacing w:after="0" w:line="240" w:lineRule="auto"/>
              <w:rPr>
                <w:rFonts w:ascii="Geomanist Light" w:hAnsi="Geomanist Light" w:cs="Arial"/>
                <w:sz w:val="16"/>
                <w:szCs w:val="16"/>
              </w:rPr>
            </w:pPr>
            <w:r w:rsidRPr="00F76E2D">
              <w:rPr>
                <w:rFonts w:ascii="Geomanist Light" w:hAnsi="Geomanist Light" w:cs="Arial"/>
                <w:sz w:val="16"/>
                <w:szCs w:val="16"/>
              </w:rPr>
              <w:t xml:space="preserve">Nohelia del Carmen </w:t>
            </w:r>
            <w:proofErr w:type="spellStart"/>
            <w:r w:rsidRPr="00F76E2D">
              <w:rPr>
                <w:rFonts w:ascii="Geomanist Light" w:hAnsi="Geomanist Light" w:cs="Arial"/>
                <w:sz w:val="16"/>
                <w:szCs w:val="16"/>
              </w:rPr>
              <w:t>Zawady</w:t>
            </w:r>
            <w:proofErr w:type="spellEnd"/>
            <w:r w:rsidRPr="00F76E2D">
              <w:rPr>
                <w:rFonts w:ascii="Geomanist Light" w:hAnsi="Geomanist Light" w:cs="Arial"/>
                <w:sz w:val="16"/>
                <w:szCs w:val="16"/>
              </w:rPr>
              <w:t xml:space="preserve"> Palacio</w:t>
            </w:r>
          </w:p>
          <w:p w14:paraId="08CB8B5B" w14:textId="77777777" w:rsidR="00290391" w:rsidRPr="00F76E2D" w:rsidRDefault="00290391" w:rsidP="009236A6">
            <w:pPr>
              <w:spacing w:after="0" w:line="240" w:lineRule="auto"/>
              <w:rPr>
                <w:rFonts w:ascii="Geomanist Light" w:hAnsi="Geomanist Light" w:cs="Arial"/>
                <w:sz w:val="16"/>
                <w:szCs w:val="16"/>
              </w:rPr>
            </w:pPr>
            <w:r w:rsidRPr="00F76E2D">
              <w:rPr>
                <w:rFonts w:ascii="Geomanist Light" w:hAnsi="Geomanist Light" w:cs="Arial"/>
                <w:sz w:val="16"/>
                <w:szCs w:val="16"/>
              </w:rPr>
              <w:t xml:space="preserve">Subdirectora de Gestión Contractual ANCP – CCE </w:t>
            </w:r>
          </w:p>
        </w:tc>
      </w:tr>
    </w:tbl>
    <w:p w14:paraId="67CE5A68" w14:textId="77777777" w:rsidR="00290391" w:rsidRPr="00F76E2D" w:rsidRDefault="00290391" w:rsidP="00474929">
      <w:pPr>
        <w:rPr>
          <w:rFonts w:ascii="Geomanist Light" w:eastAsia="Times New Roman" w:hAnsi="Geomanist Light" w:cs="Arial"/>
          <w:sz w:val="22"/>
          <w:lang w:val="es-CO" w:eastAsia="es-CO"/>
        </w:rPr>
      </w:pPr>
    </w:p>
    <w:p w14:paraId="25DAC6FB" w14:textId="39CBC286" w:rsidR="00474929" w:rsidRPr="00F76E2D" w:rsidRDefault="00474929" w:rsidP="00474929">
      <w:pPr>
        <w:jc w:val="center"/>
        <w:rPr>
          <w:rFonts w:ascii="Geomanist Light" w:eastAsia="Times New Roman" w:hAnsi="Geomanist Light" w:cs="Arial"/>
          <w:color w:val="000000"/>
          <w:lang w:val="es-ES_tradnl" w:eastAsia="es-CO"/>
        </w:rPr>
      </w:pPr>
    </w:p>
    <w:p w14:paraId="7635A2DF" w14:textId="77777777" w:rsidR="00651A7A" w:rsidRPr="00F76E2D" w:rsidRDefault="00651A7A">
      <w:pPr>
        <w:rPr>
          <w:rFonts w:ascii="Geomanist Light" w:hAnsi="Geomanist Light" w:cs="Arial"/>
        </w:rPr>
      </w:pPr>
    </w:p>
    <w:sectPr w:rsidR="00651A7A" w:rsidRPr="00F76E2D" w:rsidSect="00491E2D">
      <w:headerReference w:type="default" r:id="rId13"/>
      <w:footerReference w:type="default" r:id="rId14"/>
      <w:pgSz w:w="12240" w:h="15840"/>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DCCEA" w14:textId="77777777" w:rsidR="004358AB" w:rsidRDefault="004358AB" w:rsidP="00474929">
      <w:pPr>
        <w:spacing w:after="0" w:line="240" w:lineRule="auto"/>
      </w:pPr>
      <w:r>
        <w:separator/>
      </w:r>
    </w:p>
  </w:endnote>
  <w:endnote w:type="continuationSeparator" w:id="0">
    <w:p w14:paraId="0E490718" w14:textId="77777777" w:rsidR="004358AB" w:rsidRDefault="004358AB" w:rsidP="0047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Geomanist Bold">
    <w:altName w:val="Calibri"/>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7E42" w14:textId="77777777" w:rsidR="00993A2A" w:rsidRDefault="00993A2A" w:rsidP="00993A2A">
    <w:pPr>
      <w:pStyle w:val="Piedepgina"/>
      <w:spacing w:after="0"/>
    </w:pPr>
    <w:r>
      <w:rPr>
        <w:noProof/>
        <w:lang w:val="en-US"/>
      </w:rPr>
      <w:drawing>
        <wp:inline distT="0" distB="0" distL="0" distR="0" wp14:anchorId="10148073" wp14:editId="7D907C70">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993A2A" w:rsidRPr="00080DA3" w14:paraId="70127B63" w14:textId="77777777" w:rsidTr="00993A2A">
      <w:trPr>
        <w:trHeight w:val="274"/>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014F8086" w14:textId="77777777" w:rsidR="00993A2A" w:rsidRPr="00080DA3" w:rsidRDefault="00993A2A" w:rsidP="00993A2A">
          <w:pPr>
            <w:pStyle w:val="Piedepgina"/>
            <w:spacing w:after="0"/>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2024049" w14:textId="77777777" w:rsidR="00993A2A" w:rsidRPr="00080DA3" w:rsidRDefault="00993A2A" w:rsidP="00993A2A">
          <w:pPr>
            <w:pStyle w:val="Piedepgina"/>
            <w:spacing w:after="0"/>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0B6925C9" w14:textId="77777777" w:rsidR="00993A2A" w:rsidRPr="00080DA3" w:rsidRDefault="00993A2A" w:rsidP="00993A2A">
          <w:pPr>
            <w:pStyle w:val="Piedepgina"/>
            <w:spacing w:after="0"/>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5BDB5939" w14:textId="77777777" w:rsidR="00993A2A" w:rsidRPr="004B6B0E" w:rsidRDefault="00993A2A" w:rsidP="00993A2A">
          <w:pPr>
            <w:pBdr>
              <w:top w:val="nil"/>
              <w:left w:val="nil"/>
              <w:bottom w:val="nil"/>
              <w:right w:val="nil"/>
              <w:between w:val="nil"/>
            </w:pBdr>
            <w:tabs>
              <w:tab w:val="center" w:pos="4419"/>
              <w:tab w:val="right" w:pos="8838"/>
              <w:tab w:val="center" w:pos="5400"/>
            </w:tabs>
            <w:spacing w:after="0"/>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08FACB4F" w14:textId="77777777" w:rsidR="00993A2A" w:rsidRPr="00080DA3" w:rsidRDefault="00993A2A" w:rsidP="00993A2A">
          <w:pPr>
            <w:pStyle w:val="Piedepgina"/>
            <w:spacing w:after="0"/>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85642E2" w14:textId="77777777" w:rsidR="00993A2A" w:rsidRPr="00080DA3" w:rsidRDefault="00993A2A" w:rsidP="00993A2A">
          <w:pPr>
            <w:pStyle w:val="Piedepgina"/>
            <w:spacing w:after="0"/>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0509FE2" w14:textId="20315F4B" w:rsidR="00993A2A" w:rsidRPr="00080DA3" w:rsidRDefault="00993A2A" w:rsidP="00993A2A">
          <w:pPr>
            <w:pStyle w:val="Piedepgina"/>
            <w:spacing w:after="0"/>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304AF4">
            <w:rPr>
              <w:rFonts w:ascii="Geomanist Light" w:hAnsi="Geomanist Light"/>
              <w:b/>
              <w:bCs/>
              <w:noProof/>
              <w:sz w:val="18"/>
              <w:szCs w:val="18"/>
            </w:rPr>
            <w:t>16</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304AF4">
            <w:rPr>
              <w:rFonts w:ascii="Geomanist Light" w:hAnsi="Geomanist Light"/>
              <w:b/>
              <w:bCs/>
              <w:noProof/>
              <w:sz w:val="18"/>
              <w:szCs w:val="18"/>
            </w:rPr>
            <w:t>17</w:t>
          </w:r>
          <w:r w:rsidRPr="00080DA3">
            <w:rPr>
              <w:rFonts w:ascii="Geomanist Light" w:hAnsi="Geomanist Light"/>
              <w:b/>
              <w:bCs/>
              <w:sz w:val="18"/>
              <w:szCs w:val="18"/>
            </w:rPr>
            <w:fldChar w:fldCharType="end"/>
          </w:r>
        </w:p>
      </w:tc>
    </w:tr>
  </w:tbl>
  <w:p w14:paraId="2FFD125C" w14:textId="77777777" w:rsidR="00412132" w:rsidRPr="007B0854" w:rsidRDefault="00000000" w:rsidP="00993A2A">
    <w:pPr>
      <w:pStyle w:val="Piedepgina"/>
      <w:spacing w:after="0"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92131" w14:textId="77777777" w:rsidR="004358AB" w:rsidRDefault="004358AB" w:rsidP="00474929">
      <w:pPr>
        <w:spacing w:after="0" w:line="240" w:lineRule="auto"/>
      </w:pPr>
      <w:r>
        <w:separator/>
      </w:r>
    </w:p>
  </w:footnote>
  <w:footnote w:type="continuationSeparator" w:id="0">
    <w:p w14:paraId="1B5C1614" w14:textId="77777777" w:rsidR="004358AB" w:rsidRDefault="004358AB" w:rsidP="00474929">
      <w:pPr>
        <w:spacing w:after="0" w:line="240" w:lineRule="auto"/>
      </w:pPr>
      <w:r>
        <w:continuationSeparator/>
      </w:r>
    </w:p>
  </w:footnote>
  <w:footnote w:id="1">
    <w:p w14:paraId="4D1728AB" w14:textId="77777777" w:rsidR="005E587A" w:rsidRPr="0010636B" w:rsidRDefault="005E587A" w:rsidP="005E587A">
      <w:pPr>
        <w:pStyle w:val="Textonotapie"/>
        <w:spacing w:after="0" w:line="240" w:lineRule="auto"/>
        <w:ind w:firstLine="709"/>
        <w:rPr>
          <w:rFonts w:ascii="Geomanist Light" w:hAnsi="Geomanist Light" w:cs="Arial"/>
          <w:sz w:val="16"/>
          <w:szCs w:val="16"/>
        </w:rPr>
      </w:pPr>
      <w:r w:rsidRPr="0010636B">
        <w:rPr>
          <w:rStyle w:val="Refdenotaalpie"/>
          <w:rFonts w:ascii="Geomanist Light" w:hAnsi="Geomanist Light" w:cs="Arial"/>
          <w:sz w:val="16"/>
          <w:szCs w:val="16"/>
        </w:rPr>
        <w:footnoteRef/>
      </w:r>
      <w:r w:rsidRPr="0010636B">
        <w:rPr>
          <w:rFonts w:ascii="Geomanist Light" w:hAnsi="Geomanist Light" w:cs="Arial"/>
          <w:sz w:val="16"/>
          <w:szCs w:val="16"/>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0C801718" w14:textId="77777777" w:rsidR="005E587A" w:rsidRPr="0010636B" w:rsidRDefault="005E587A" w:rsidP="005E587A">
      <w:pPr>
        <w:pStyle w:val="Textonotapie"/>
        <w:spacing w:after="0" w:line="240" w:lineRule="auto"/>
        <w:ind w:firstLine="709"/>
        <w:rPr>
          <w:rFonts w:ascii="Geomanist Light" w:hAnsi="Geomanist Light" w:cs="Arial"/>
          <w:sz w:val="16"/>
          <w:szCs w:val="16"/>
        </w:rPr>
      </w:pPr>
      <w:r w:rsidRPr="0010636B">
        <w:rPr>
          <w:rFonts w:ascii="Geomanist Light" w:hAnsi="Geomanist Light" w:cs="Arial"/>
          <w:sz w:val="16"/>
          <w:szCs w:val="16"/>
        </w:rPr>
        <w:t>[...]</w:t>
      </w:r>
    </w:p>
    <w:p w14:paraId="2902BE93" w14:textId="77777777" w:rsidR="005E587A" w:rsidRPr="0010636B" w:rsidRDefault="005E587A" w:rsidP="005E587A">
      <w:pPr>
        <w:pStyle w:val="Textonotapie"/>
        <w:spacing w:after="0" w:line="240" w:lineRule="auto"/>
        <w:ind w:firstLine="709"/>
        <w:rPr>
          <w:rFonts w:ascii="Geomanist Light" w:hAnsi="Geomanist Light" w:cs="Arial"/>
          <w:sz w:val="16"/>
          <w:szCs w:val="16"/>
        </w:rPr>
      </w:pPr>
      <w:r w:rsidRPr="0010636B">
        <w:rPr>
          <w:rFonts w:ascii="Geomanist Light" w:hAnsi="Geomanist Light" w:cs="Arial"/>
          <w:sz w:val="16"/>
          <w:szCs w:val="16"/>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6955D27C" w14:textId="77777777" w:rsidR="005E587A" w:rsidRPr="0010636B" w:rsidRDefault="005E587A" w:rsidP="005E587A">
      <w:pPr>
        <w:pStyle w:val="Textonotapie"/>
        <w:spacing w:after="0" w:line="240" w:lineRule="auto"/>
        <w:ind w:firstLine="709"/>
        <w:rPr>
          <w:rFonts w:ascii="Geomanist Light" w:hAnsi="Geomanist Light" w:cs="Arial"/>
          <w:sz w:val="16"/>
          <w:szCs w:val="16"/>
        </w:rPr>
      </w:pPr>
      <w:r w:rsidRPr="0010636B">
        <w:rPr>
          <w:rFonts w:ascii="Geomanist Light" w:hAnsi="Geomanist Light" w:cs="Arial"/>
          <w:sz w:val="16"/>
          <w:szCs w:val="16"/>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1C78CB05" w14:textId="77777777" w:rsidR="005E587A" w:rsidRPr="0010636B" w:rsidRDefault="005E587A" w:rsidP="005E587A">
      <w:pPr>
        <w:pStyle w:val="Textonotapie"/>
        <w:spacing w:after="0" w:line="240" w:lineRule="auto"/>
        <w:ind w:firstLine="709"/>
        <w:rPr>
          <w:rFonts w:ascii="Geomanist Light" w:hAnsi="Geomanist Light" w:cs="Arial"/>
          <w:sz w:val="16"/>
          <w:szCs w:val="16"/>
          <w:lang w:val="es-ES"/>
        </w:rPr>
      </w:pPr>
    </w:p>
  </w:footnote>
  <w:footnote w:id="2">
    <w:p w14:paraId="61114ED7" w14:textId="77777777" w:rsidR="005E587A" w:rsidRPr="0010636B" w:rsidRDefault="005E587A" w:rsidP="005E587A">
      <w:pPr>
        <w:pStyle w:val="Textonotapie"/>
        <w:spacing w:after="0" w:line="240" w:lineRule="auto"/>
        <w:ind w:firstLine="709"/>
        <w:rPr>
          <w:rFonts w:ascii="Geomanist Light" w:hAnsi="Geomanist Light" w:cs="Arial"/>
          <w:sz w:val="16"/>
          <w:szCs w:val="16"/>
        </w:rPr>
      </w:pPr>
      <w:r w:rsidRPr="0010636B">
        <w:rPr>
          <w:rStyle w:val="Refdenotaalpie"/>
          <w:rFonts w:ascii="Geomanist Light" w:hAnsi="Geomanist Light" w:cs="Arial"/>
          <w:sz w:val="16"/>
          <w:szCs w:val="16"/>
        </w:rPr>
        <w:footnoteRef/>
      </w:r>
      <w:r w:rsidRPr="0010636B">
        <w:rPr>
          <w:rFonts w:ascii="Geomanist Light" w:hAnsi="Geomanist Light" w:cs="Arial"/>
          <w:sz w:val="16"/>
          <w:szCs w:val="16"/>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700A67A4" w14:textId="77777777" w:rsidR="005E587A" w:rsidRPr="0010636B" w:rsidRDefault="005E587A" w:rsidP="005E587A">
      <w:pPr>
        <w:pStyle w:val="Textonotapie"/>
        <w:spacing w:after="0" w:line="240" w:lineRule="auto"/>
        <w:ind w:firstLine="709"/>
        <w:rPr>
          <w:rFonts w:ascii="Geomanist Light" w:hAnsi="Geomanist Light" w:cs="Arial"/>
          <w:sz w:val="16"/>
          <w:szCs w:val="16"/>
        </w:rPr>
      </w:pPr>
      <w:r w:rsidRPr="0010636B">
        <w:rPr>
          <w:rFonts w:ascii="Geomanist Light" w:hAnsi="Geomanist Light" w:cs="Arial"/>
          <w:sz w:val="16"/>
          <w:szCs w:val="16"/>
        </w:rPr>
        <w:t>»1.    Si es una persona natural:</w:t>
      </w:r>
    </w:p>
    <w:p w14:paraId="5A37011A" w14:textId="77777777" w:rsidR="005E587A" w:rsidRPr="0010636B" w:rsidRDefault="005E587A" w:rsidP="005E587A">
      <w:pPr>
        <w:pStyle w:val="Textonotapie"/>
        <w:spacing w:after="0" w:line="240" w:lineRule="auto"/>
        <w:ind w:firstLine="709"/>
        <w:rPr>
          <w:rFonts w:ascii="Geomanist Light" w:hAnsi="Geomanist Light" w:cs="Arial"/>
          <w:sz w:val="16"/>
          <w:szCs w:val="16"/>
        </w:rPr>
      </w:pPr>
      <w:r w:rsidRPr="0010636B">
        <w:rPr>
          <w:rFonts w:ascii="Geomanist Light" w:hAnsi="Geomanist Light" w:cs="Arial"/>
          <w:sz w:val="16"/>
          <w:szCs w:val="16"/>
        </w:rPr>
        <w:t>»1.1. Bienes, obras y servicios que ofrecerá a las Entidades Estatales, identificados con el Clasificador de Bienes y Servicios en el tercer nivel.</w:t>
      </w:r>
    </w:p>
    <w:p w14:paraId="0B322C79" w14:textId="77777777" w:rsidR="005E587A" w:rsidRPr="0010636B" w:rsidRDefault="005E587A" w:rsidP="005E587A">
      <w:pPr>
        <w:pStyle w:val="Textonotapie"/>
        <w:spacing w:after="0" w:line="240" w:lineRule="auto"/>
        <w:ind w:firstLine="709"/>
        <w:rPr>
          <w:rFonts w:ascii="Geomanist Light" w:hAnsi="Geomanist Light" w:cs="Arial"/>
          <w:sz w:val="16"/>
          <w:szCs w:val="16"/>
        </w:rPr>
      </w:pPr>
      <w:r w:rsidRPr="0010636B">
        <w:rPr>
          <w:rFonts w:ascii="Geomanist Light" w:hAnsi="Geomanist Light" w:cs="Arial"/>
          <w:sz w:val="16"/>
          <w:szCs w:val="16"/>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1EE0D242" w14:textId="77777777" w:rsidR="005E587A" w:rsidRPr="0010636B" w:rsidRDefault="005E587A" w:rsidP="005E587A">
      <w:pPr>
        <w:pStyle w:val="Textonotapie"/>
        <w:spacing w:after="0" w:line="240" w:lineRule="auto"/>
        <w:ind w:firstLine="709"/>
        <w:rPr>
          <w:rFonts w:ascii="Geomanist Light" w:hAnsi="Geomanist Light" w:cs="Arial"/>
          <w:sz w:val="16"/>
          <w:szCs w:val="16"/>
          <w:lang w:val="es-ES"/>
        </w:rPr>
      </w:pPr>
    </w:p>
  </w:footnote>
  <w:footnote w:id="3">
    <w:p w14:paraId="31EEFF93" w14:textId="77777777" w:rsidR="005E587A" w:rsidRPr="0010636B" w:rsidRDefault="005E587A" w:rsidP="005E587A">
      <w:pPr>
        <w:pStyle w:val="Textonotapie"/>
        <w:spacing w:after="0" w:line="240" w:lineRule="auto"/>
        <w:ind w:firstLine="709"/>
        <w:rPr>
          <w:rFonts w:ascii="Geomanist Light" w:hAnsi="Geomanist Light" w:cs="Arial"/>
          <w:sz w:val="16"/>
          <w:szCs w:val="16"/>
        </w:rPr>
      </w:pPr>
      <w:r w:rsidRPr="0010636B">
        <w:rPr>
          <w:rStyle w:val="Refdenotaalpie"/>
          <w:rFonts w:ascii="Geomanist Light" w:hAnsi="Geomanist Light" w:cs="Arial"/>
          <w:sz w:val="16"/>
          <w:szCs w:val="16"/>
        </w:rPr>
        <w:footnoteRef/>
      </w:r>
      <w:r w:rsidRPr="0010636B">
        <w:rPr>
          <w:rFonts w:ascii="Geomanist Light" w:hAnsi="Geomanist Light" w:cs="Arial"/>
          <w:sz w:val="16"/>
          <w:szCs w:val="16"/>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38CF7CD3" w14:textId="77777777" w:rsidR="005E587A" w:rsidRPr="0010636B" w:rsidRDefault="005E587A" w:rsidP="005E587A">
      <w:pPr>
        <w:pStyle w:val="Textonotapie"/>
        <w:spacing w:after="0" w:line="240" w:lineRule="auto"/>
        <w:ind w:firstLine="709"/>
        <w:rPr>
          <w:rFonts w:ascii="Geomanist Light" w:hAnsi="Geomanist Light" w:cs="Arial"/>
          <w:sz w:val="16"/>
          <w:szCs w:val="16"/>
        </w:rPr>
      </w:pPr>
      <w:r w:rsidRPr="0010636B">
        <w:rPr>
          <w:rFonts w:ascii="Geomanist Light" w:hAnsi="Geomanist Light" w:cs="Arial"/>
          <w:sz w:val="16"/>
          <w:szCs w:val="16"/>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0AF47D01" w14:textId="77777777" w:rsidR="005E587A" w:rsidRPr="0010636B" w:rsidRDefault="005E587A" w:rsidP="005E587A">
      <w:pPr>
        <w:pStyle w:val="Textonotapie"/>
        <w:spacing w:after="0" w:line="240" w:lineRule="auto"/>
        <w:ind w:firstLine="709"/>
        <w:rPr>
          <w:rFonts w:ascii="Geomanist Light" w:hAnsi="Geomanist Light" w:cs="Arial"/>
          <w:sz w:val="16"/>
          <w:szCs w:val="16"/>
        </w:rPr>
      </w:pPr>
      <w:r w:rsidRPr="0010636B">
        <w:rPr>
          <w:rFonts w:ascii="Geomanist Light" w:hAnsi="Geomanist Light" w:cs="Arial"/>
          <w:sz w:val="16"/>
          <w:szCs w:val="16"/>
        </w:rPr>
        <w:t>[...]</w:t>
      </w:r>
    </w:p>
    <w:p w14:paraId="606C3460" w14:textId="77777777" w:rsidR="005E587A" w:rsidRPr="0010636B" w:rsidRDefault="005E587A" w:rsidP="005E587A">
      <w:pPr>
        <w:pStyle w:val="Textonotapie"/>
        <w:spacing w:after="0" w:line="240" w:lineRule="auto"/>
        <w:ind w:firstLine="709"/>
        <w:rPr>
          <w:rFonts w:ascii="Geomanist Light" w:hAnsi="Geomanist Light" w:cs="Arial"/>
          <w:sz w:val="16"/>
          <w:szCs w:val="16"/>
        </w:rPr>
      </w:pPr>
      <w:r w:rsidRPr="0010636B">
        <w:rPr>
          <w:rFonts w:ascii="Geomanist Light" w:hAnsi="Geomanist Light" w:cs="Arial"/>
          <w:sz w:val="16"/>
          <w:szCs w:val="16"/>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32223CBD" w14:textId="77777777" w:rsidR="005E587A" w:rsidRPr="0010636B" w:rsidRDefault="005E587A" w:rsidP="005E587A">
      <w:pPr>
        <w:pStyle w:val="Textonotapie"/>
        <w:spacing w:after="0" w:line="240" w:lineRule="auto"/>
        <w:ind w:firstLine="709"/>
        <w:rPr>
          <w:rFonts w:ascii="Geomanist Light" w:hAnsi="Geomanist Light" w:cs="Arial"/>
          <w:sz w:val="16"/>
          <w:szCs w:val="16"/>
        </w:rPr>
      </w:pPr>
      <w:r w:rsidRPr="0010636B">
        <w:rPr>
          <w:rFonts w:ascii="Geomanist Light" w:hAnsi="Geomanist Light" w:cs="Arial"/>
          <w:sz w:val="16"/>
          <w:szCs w:val="16"/>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6680EDC8" w14:textId="77777777" w:rsidR="005E587A" w:rsidRPr="0010636B" w:rsidRDefault="005E587A" w:rsidP="005E587A">
      <w:pPr>
        <w:pStyle w:val="Textonotapie"/>
        <w:spacing w:after="0" w:line="240" w:lineRule="auto"/>
        <w:ind w:firstLine="709"/>
        <w:rPr>
          <w:rFonts w:ascii="Geomanist Light" w:hAnsi="Geomanist Light" w:cs="Arial"/>
          <w:sz w:val="16"/>
          <w:szCs w:val="16"/>
        </w:rPr>
      </w:pPr>
      <w:r w:rsidRPr="0010636B">
        <w:rPr>
          <w:rFonts w:ascii="Geomanist Light" w:hAnsi="Geomanist Light" w:cs="Arial"/>
          <w:sz w:val="16"/>
          <w:szCs w:val="16"/>
        </w:rPr>
        <w:t>[...]».</w:t>
      </w:r>
    </w:p>
    <w:p w14:paraId="7B2F0AAA" w14:textId="77777777" w:rsidR="005E587A" w:rsidRPr="0010636B" w:rsidRDefault="005E587A" w:rsidP="005E587A">
      <w:pPr>
        <w:pStyle w:val="Textonotapie"/>
        <w:spacing w:after="0" w:line="240" w:lineRule="auto"/>
        <w:ind w:firstLine="709"/>
        <w:rPr>
          <w:rFonts w:ascii="Geomanist Light" w:hAnsi="Geomanist Light" w:cs="Arial"/>
          <w:sz w:val="16"/>
          <w:szCs w:val="16"/>
        </w:rPr>
      </w:pPr>
    </w:p>
  </w:footnote>
  <w:footnote w:id="4">
    <w:p w14:paraId="44ACF594" w14:textId="041F98D4" w:rsidR="00B05B7C" w:rsidRPr="0010636B" w:rsidRDefault="00B05B7C" w:rsidP="0098340F">
      <w:pPr>
        <w:pStyle w:val="Textonotapie"/>
        <w:ind w:firstLine="708"/>
        <w:rPr>
          <w:rFonts w:ascii="Geomanist Light" w:hAnsi="Geomanist Light" w:cs="Arial"/>
          <w:sz w:val="16"/>
          <w:szCs w:val="16"/>
        </w:rPr>
      </w:pPr>
      <w:r w:rsidRPr="0010636B">
        <w:rPr>
          <w:rStyle w:val="Refdenotaalpie"/>
          <w:rFonts w:ascii="Geomanist Light" w:hAnsi="Geomanist Light"/>
          <w:sz w:val="16"/>
          <w:szCs w:val="16"/>
        </w:rPr>
        <w:footnoteRef/>
      </w:r>
      <w:r w:rsidRPr="0010636B">
        <w:rPr>
          <w:rFonts w:ascii="Geomanist Light" w:hAnsi="Geomanist Light"/>
          <w:sz w:val="16"/>
          <w:szCs w:val="16"/>
        </w:rPr>
        <w:t xml:space="preserve"> </w:t>
      </w:r>
      <w:r w:rsidRPr="0010636B">
        <w:rPr>
          <w:rFonts w:ascii="Geomanist Light" w:hAnsi="Geomanist Light" w:cs="Arial"/>
          <w:sz w:val="16"/>
          <w:szCs w:val="16"/>
        </w:rPr>
        <w:t>Esta conclusión cambió respecto del concepto C – 002 del 20 de febrero de 2020, para adecuarla a un mejor entendimiento de las normas sobre la experiencia.</w:t>
      </w:r>
    </w:p>
  </w:footnote>
  <w:footnote w:id="5">
    <w:p w14:paraId="1BC682A9" w14:textId="77777777" w:rsidR="00F66826" w:rsidRPr="0010636B" w:rsidRDefault="00F66826" w:rsidP="00F66826">
      <w:pPr>
        <w:pStyle w:val="Textonotapie"/>
        <w:ind w:firstLine="708"/>
        <w:rPr>
          <w:rFonts w:ascii="Geomanist Light" w:hAnsi="Geomanist Light" w:cs="Arial"/>
          <w:sz w:val="16"/>
          <w:szCs w:val="16"/>
        </w:rPr>
      </w:pPr>
      <w:r w:rsidRPr="0010636B">
        <w:rPr>
          <w:rStyle w:val="Refdenotaalpie"/>
          <w:rFonts w:ascii="Geomanist Light" w:hAnsi="Geomanist Light" w:cs="Arial"/>
          <w:sz w:val="16"/>
          <w:szCs w:val="16"/>
        </w:rPr>
        <w:footnoteRef/>
      </w:r>
      <w:r w:rsidRPr="0010636B">
        <w:rPr>
          <w:rFonts w:ascii="Geomanist Light" w:hAnsi="Geomanist Light" w:cs="Arial"/>
          <w:sz w:val="16"/>
          <w:szCs w:val="16"/>
        </w:rPr>
        <w:t xml:space="preserve"> Código de Comercio: «Artículo 222. Efectos posteriores a la liquidación de la sociedad. Disuelta la sociedad se procederá de inmediato a su liquidación. En consecuencia, no podrá iniciar nuevas operaciones en desarrollo de su objeto y conservará su capacidad jurídica únicamente para los actos necesarios a la inmediata liquidación. Cualquier operación o acto ajeno a este fin, salvo los autorizados expresamente por la Ley, hará responsables frente a la sociedad, a los asociados y a terceros, en forma ilimitada y solidaria, al liquidador, y al revisor fiscal que no se hubiere opuesto.</w:t>
      </w:r>
    </w:p>
    <w:p w14:paraId="7C810596" w14:textId="4B369F8F" w:rsidR="00F66826" w:rsidRPr="0010636B" w:rsidRDefault="00F66826" w:rsidP="0098340F">
      <w:pPr>
        <w:pStyle w:val="Textonotapie"/>
        <w:ind w:firstLine="708"/>
        <w:rPr>
          <w:rFonts w:ascii="Geomanist Light" w:hAnsi="Geomanist Light" w:cs="Arial"/>
          <w:sz w:val="16"/>
          <w:szCs w:val="16"/>
        </w:rPr>
      </w:pPr>
      <w:r w:rsidRPr="0010636B">
        <w:rPr>
          <w:rFonts w:ascii="Geomanist Light" w:hAnsi="Geomanist Light" w:cs="Arial"/>
          <w:sz w:val="16"/>
          <w:szCs w:val="16"/>
        </w:rPr>
        <w:t>»El nombre de la sociedad disuelta deberá adicionarse siempre con la expresión ‘en liquidación’. Los encargados de realizarla responderán de los daños y perjuicios que se deriven por dicha omisión».</w:t>
      </w:r>
    </w:p>
  </w:footnote>
  <w:footnote w:id="6">
    <w:p w14:paraId="7CC05462" w14:textId="77777777" w:rsidR="00F66826" w:rsidRPr="0010636B" w:rsidRDefault="00F66826" w:rsidP="00F66826">
      <w:pPr>
        <w:pStyle w:val="Textonotapie"/>
        <w:ind w:firstLine="708"/>
        <w:rPr>
          <w:rFonts w:ascii="Geomanist Light" w:hAnsi="Geomanist Light" w:cs="Arial"/>
          <w:sz w:val="16"/>
          <w:szCs w:val="16"/>
        </w:rPr>
      </w:pPr>
      <w:r w:rsidRPr="0010636B">
        <w:rPr>
          <w:rStyle w:val="Refdenotaalpie"/>
          <w:rFonts w:ascii="Geomanist Light" w:hAnsi="Geomanist Light" w:cs="Arial"/>
          <w:sz w:val="16"/>
          <w:szCs w:val="16"/>
        </w:rPr>
        <w:footnoteRef/>
      </w:r>
      <w:r w:rsidRPr="0010636B">
        <w:rPr>
          <w:rFonts w:ascii="Geomanist Light" w:hAnsi="Geomanist Light" w:cs="Arial"/>
          <w:sz w:val="16"/>
          <w:szCs w:val="16"/>
        </w:rPr>
        <w:t xml:space="preserve"> Ver artículos 225 y ss. del Código de Comercio.</w:t>
      </w:r>
    </w:p>
    <w:p w14:paraId="79722E68" w14:textId="77777777" w:rsidR="00F66826" w:rsidRPr="0010636B" w:rsidRDefault="00F66826" w:rsidP="00F66826">
      <w:pPr>
        <w:pStyle w:val="Textonotapie"/>
        <w:ind w:firstLine="708"/>
        <w:rPr>
          <w:rFonts w:ascii="Geomanist Light" w:hAnsi="Geomanist Light" w:cs="Arial"/>
          <w:sz w:val="16"/>
          <w:szCs w:val="16"/>
          <w:lang w:val="es-CO"/>
        </w:rPr>
      </w:pPr>
      <w:r w:rsidRPr="0010636B">
        <w:rPr>
          <w:rFonts w:ascii="Geomanist Light" w:hAnsi="Geomanist Light" w:cs="Arial"/>
          <w:sz w:val="16"/>
          <w:szCs w:val="16"/>
        </w:rPr>
        <w:t xml:space="preserve"> </w:t>
      </w:r>
    </w:p>
  </w:footnote>
  <w:footnote w:id="7">
    <w:p w14:paraId="2C6B40E5" w14:textId="77777777" w:rsidR="00F66826" w:rsidRPr="0010636B" w:rsidRDefault="00F66826" w:rsidP="00F66826">
      <w:pPr>
        <w:pStyle w:val="Textonotapie"/>
        <w:ind w:firstLine="708"/>
        <w:rPr>
          <w:rFonts w:ascii="Geomanist Light" w:hAnsi="Geomanist Light" w:cs="Arial"/>
          <w:sz w:val="16"/>
          <w:szCs w:val="16"/>
        </w:rPr>
      </w:pPr>
      <w:r w:rsidRPr="0010636B">
        <w:rPr>
          <w:rStyle w:val="Refdenotaalpie"/>
          <w:rFonts w:ascii="Geomanist Light" w:hAnsi="Geomanist Light" w:cs="Arial"/>
          <w:sz w:val="16"/>
          <w:szCs w:val="16"/>
        </w:rPr>
        <w:footnoteRef/>
      </w:r>
      <w:r w:rsidRPr="0010636B">
        <w:rPr>
          <w:rFonts w:ascii="Geomanist Light" w:hAnsi="Geomanist Light" w:cs="Arial"/>
          <w:sz w:val="16"/>
          <w:szCs w:val="16"/>
        </w:rPr>
        <w:t xml:space="preserve"> Código de Comercio: «Artículo 167. Reforma de contrato social por transformación de sociedad. Una sociedad podrá, antes de su disolución, adoptar cualquiera otra de las formas de la sociedad comercial reguladas en este Código, mediante una reforma del contrato social.</w:t>
      </w:r>
    </w:p>
    <w:p w14:paraId="29A56770" w14:textId="77777777" w:rsidR="00F66826" w:rsidRPr="0010636B" w:rsidRDefault="00F66826" w:rsidP="00F66826">
      <w:pPr>
        <w:pStyle w:val="Textonotapie"/>
        <w:ind w:firstLine="708"/>
        <w:rPr>
          <w:rFonts w:ascii="Geomanist Light" w:hAnsi="Geomanist Light" w:cs="Arial"/>
          <w:sz w:val="16"/>
          <w:szCs w:val="16"/>
        </w:rPr>
      </w:pPr>
      <w:r w:rsidRPr="0010636B">
        <w:rPr>
          <w:rFonts w:ascii="Geomanist Light" w:hAnsi="Geomanist Light" w:cs="Arial"/>
          <w:sz w:val="16"/>
          <w:szCs w:val="16"/>
        </w:rPr>
        <w:t>»La transformación no producirá solución de continuidad en la existencia de la sociedad como persona jurídica, ni en sus actividades ni en su patrimonio».</w:t>
      </w:r>
    </w:p>
    <w:p w14:paraId="497DE9C9" w14:textId="77777777" w:rsidR="00F66826" w:rsidRPr="0010636B" w:rsidRDefault="00F66826" w:rsidP="00F66826">
      <w:pPr>
        <w:pStyle w:val="Textonotapie"/>
        <w:ind w:firstLine="708"/>
        <w:rPr>
          <w:rFonts w:ascii="Geomanist Light" w:hAnsi="Geomanist Light" w:cs="Arial"/>
          <w:sz w:val="16"/>
          <w:szCs w:val="16"/>
        </w:rPr>
      </w:pPr>
    </w:p>
  </w:footnote>
  <w:footnote w:id="8">
    <w:p w14:paraId="7E7EA366" w14:textId="77777777" w:rsidR="00F66826" w:rsidRPr="0010636B" w:rsidRDefault="00F66826" w:rsidP="00F66826">
      <w:pPr>
        <w:pStyle w:val="Textonotapie"/>
        <w:ind w:firstLine="708"/>
        <w:rPr>
          <w:rFonts w:ascii="Geomanist Light" w:hAnsi="Geomanist Light" w:cs="Arial"/>
          <w:sz w:val="16"/>
          <w:szCs w:val="16"/>
        </w:rPr>
      </w:pPr>
      <w:r w:rsidRPr="0010636B">
        <w:rPr>
          <w:rStyle w:val="Refdenotaalpie"/>
          <w:rFonts w:ascii="Geomanist Light" w:hAnsi="Geomanist Light" w:cs="Arial"/>
          <w:sz w:val="16"/>
          <w:szCs w:val="16"/>
        </w:rPr>
        <w:footnoteRef/>
      </w:r>
      <w:r w:rsidRPr="0010636B">
        <w:rPr>
          <w:rFonts w:ascii="Geomanist Light" w:hAnsi="Geomanist Light" w:cs="Arial"/>
          <w:sz w:val="16"/>
          <w:szCs w:val="16"/>
        </w:rPr>
        <w:t xml:space="preserve"> Ley 222 de 1995: «Artículo 3. Modalidades. Habrá escisión cuando:</w:t>
      </w:r>
    </w:p>
    <w:p w14:paraId="5B4F8906" w14:textId="77777777" w:rsidR="00F66826" w:rsidRPr="0010636B" w:rsidRDefault="00F66826" w:rsidP="00F66826">
      <w:pPr>
        <w:pStyle w:val="Textonotapie"/>
        <w:ind w:firstLine="708"/>
        <w:rPr>
          <w:rFonts w:ascii="Geomanist Light" w:hAnsi="Geomanist Light" w:cs="Arial"/>
          <w:sz w:val="16"/>
          <w:szCs w:val="16"/>
        </w:rPr>
      </w:pPr>
      <w:r w:rsidRPr="0010636B">
        <w:rPr>
          <w:rFonts w:ascii="Geomanist Light" w:hAnsi="Geomanist Light" w:cs="Arial"/>
          <w:sz w:val="16"/>
          <w:szCs w:val="16"/>
        </w:rPr>
        <w:t>»1. Una sociedad sin disolverse, transfiere en bloque una o varias partes de su patrimonio a una o más sociedades existentes o las destina a la creación de una o varias sociedades.</w:t>
      </w:r>
    </w:p>
    <w:p w14:paraId="15488685" w14:textId="77777777" w:rsidR="00F66826" w:rsidRPr="0010636B" w:rsidRDefault="00F66826" w:rsidP="00F66826">
      <w:pPr>
        <w:pStyle w:val="Textonotapie"/>
        <w:ind w:firstLine="708"/>
        <w:rPr>
          <w:rFonts w:ascii="Geomanist Light" w:hAnsi="Geomanist Light" w:cs="Arial"/>
          <w:sz w:val="16"/>
          <w:szCs w:val="16"/>
        </w:rPr>
      </w:pPr>
      <w:r w:rsidRPr="0010636B">
        <w:rPr>
          <w:rFonts w:ascii="Geomanist Light" w:hAnsi="Geomanist Light" w:cs="Arial"/>
          <w:sz w:val="16"/>
          <w:szCs w:val="16"/>
        </w:rPr>
        <w:t>»2. Una sociedad se disuelve sin liquidarse, dividiendo su patrimonio en dos o más partes, que se transfieren a varias sociedades existentes o se destinan a la creación de nuevas sociedades.</w:t>
      </w:r>
    </w:p>
    <w:p w14:paraId="1A5D5FE8" w14:textId="77777777" w:rsidR="00F66826" w:rsidRPr="0010636B" w:rsidRDefault="00F66826" w:rsidP="00F66826">
      <w:pPr>
        <w:pStyle w:val="Textonotapie"/>
        <w:ind w:firstLine="708"/>
        <w:rPr>
          <w:rFonts w:ascii="Geomanist Light" w:hAnsi="Geomanist Light" w:cs="Arial"/>
          <w:sz w:val="16"/>
          <w:szCs w:val="16"/>
        </w:rPr>
      </w:pPr>
      <w:r w:rsidRPr="0010636B">
        <w:rPr>
          <w:rFonts w:ascii="Geomanist Light" w:hAnsi="Geomanist Light" w:cs="Arial"/>
          <w:sz w:val="16"/>
          <w:szCs w:val="16"/>
        </w:rPr>
        <w:t>»La sociedad o sociedades destinatarias de las transferencias resultantes de la escisión, se denominarán sociedades beneficiarias.</w:t>
      </w:r>
    </w:p>
    <w:p w14:paraId="0B34F49E" w14:textId="77777777" w:rsidR="00F66826" w:rsidRPr="0010636B" w:rsidRDefault="00F66826" w:rsidP="00F66826">
      <w:pPr>
        <w:pStyle w:val="Textonotapie"/>
        <w:ind w:firstLine="708"/>
        <w:rPr>
          <w:rFonts w:ascii="Geomanist Light" w:hAnsi="Geomanist Light" w:cs="Arial"/>
          <w:sz w:val="16"/>
          <w:szCs w:val="16"/>
          <w:lang w:val="es-CO"/>
        </w:rPr>
      </w:pPr>
      <w:r w:rsidRPr="0010636B">
        <w:rPr>
          <w:rFonts w:ascii="Geomanist Light" w:hAnsi="Geomanist Light" w:cs="Arial"/>
          <w:sz w:val="16"/>
          <w:szCs w:val="16"/>
        </w:rPr>
        <w:t>»Los socios de la sociedad escindida participarán en el capital de las Sociedades beneficiarias en la misma proporción que tengan en aquélla, salvo que por unanimidad de las acciones, cuotas sociales o partes de interés representadas en la asamblea o junta de socios de la escindente, se apruebe una participación diferente».</w:t>
      </w:r>
    </w:p>
  </w:footnote>
  <w:footnote w:id="9">
    <w:p w14:paraId="099900C2" w14:textId="77777777" w:rsidR="00F66826" w:rsidRPr="0010636B" w:rsidRDefault="00F66826" w:rsidP="00F66826">
      <w:pPr>
        <w:pStyle w:val="Textonotapie"/>
        <w:ind w:firstLine="708"/>
        <w:rPr>
          <w:rFonts w:ascii="Geomanist Light" w:hAnsi="Geomanist Light" w:cs="Arial"/>
          <w:sz w:val="16"/>
          <w:szCs w:val="16"/>
        </w:rPr>
      </w:pPr>
      <w:r w:rsidRPr="0010636B">
        <w:rPr>
          <w:rStyle w:val="Refdenotaalpie"/>
          <w:rFonts w:ascii="Geomanist Light" w:hAnsi="Geomanist Light" w:cs="Arial"/>
          <w:sz w:val="16"/>
          <w:szCs w:val="16"/>
        </w:rPr>
        <w:footnoteRef/>
      </w:r>
      <w:r w:rsidRPr="0010636B">
        <w:rPr>
          <w:rFonts w:ascii="Geomanist Light" w:hAnsi="Geomanist Light" w:cs="Arial"/>
          <w:sz w:val="16"/>
          <w:szCs w:val="16"/>
        </w:rPr>
        <w:t xml:space="preserve"> Código de Comercio: «Artículo 172. Fusión de la sociedad-concepto. Habrá fusión cuando una o más sociedades se disuelvan, sin liquidarse, para ser absorbidas por otra o para crear una nueva.</w:t>
      </w:r>
    </w:p>
    <w:p w14:paraId="299200C4" w14:textId="099400AD" w:rsidR="00F66826" w:rsidRPr="0010636B" w:rsidRDefault="00F66826" w:rsidP="0098340F">
      <w:pPr>
        <w:pStyle w:val="Textonotapie"/>
        <w:ind w:firstLine="708"/>
        <w:rPr>
          <w:rFonts w:ascii="Geomanist Light" w:hAnsi="Geomanist Light" w:cs="Arial"/>
          <w:sz w:val="16"/>
          <w:szCs w:val="16"/>
        </w:rPr>
      </w:pPr>
      <w:r w:rsidRPr="0010636B">
        <w:rPr>
          <w:rFonts w:ascii="Geomanist Light" w:hAnsi="Geomanist Light" w:cs="Arial"/>
          <w:sz w:val="16"/>
          <w:szCs w:val="16"/>
        </w:rPr>
        <w:t>»La absorbente o la nueva compañía adquirirá los derechos y obligaciones de la sociedad o sociedades disueltas al formalizarse el acuerdo de fusión».</w:t>
      </w:r>
    </w:p>
  </w:footnote>
  <w:footnote w:id="10">
    <w:p w14:paraId="26A92448" w14:textId="0DEAAA84" w:rsidR="00F66826" w:rsidRPr="0010636B" w:rsidRDefault="00F66826" w:rsidP="0098340F">
      <w:pPr>
        <w:pStyle w:val="Textonotapie"/>
        <w:ind w:firstLine="708"/>
        <w:rPr>
          <w:rFonts w:ascii="Geomanist Light" w:hAnsi="Geomanist Light" w:cs="Arial"/>
          <w:sz w:val="16"/>
          <w:szCs w:val="16"/>
        </w:rPr>
      </w:pPr>
      <w:r w:rsidRPr="0010636B">
        <w:rPr>
          <w:rStyle w:val="Refdenotaalpie"/>
          <w:rFonts w:ascii="Geomanist Light" w:hAnsi="Geomanist Light" w:cs="Arial"/>
          <w:sz w:val="16"/>
          <w:szCs w:val="16"/>
        </w:rPr>
        <w:footnoteRef/>
      </w:r>
      <w:r w:rsidRPr="0010636B">
        <w:rPr>
          <w:rFonts w:ascii="Geomanist Light" w:hAnsi="Geomanist Light" w:cs="Arial"/>
          <w:sz w:val="16"/>
          <w:szCs w:val="16"/>
        </w:rPr>
        <w:t xml:space="preserve"> Código de Comercio: «Artículo 180. Formación de nueva sociedad que continua negocios de la disuelta. Lo dispuesto en esta Sección podrá aplicarse también al caso de la formación de una nueva sociedad para continuar los negocios de una sociedad disuelta, siempre que no haya variaciones en el giro de sus actividades o negocios y que la operación se celebre dentro de los seis meses siguientes a la fecha de disolución».</w:t>
      </w:r>
    </w:p>
  </w:footnote>
  <w:footnote w:id="11">
    <w:p w14:paraId="41E19887" w14:textId="77777777" w:rsidR="00F66826" w:rsidRPr="0010636B" w:rsidRDefault="00F66826" w:rsidP="00F66826">
      <w:pPr>
        <w:pStyle w:val="Textonotapie"/>
        <w:ind w:firstLine="708"/>
        <w:rPr>
          <w:rFonts w:ascii="Geomanist Light" w:hAnsi="Geomanist Light" w:cs="Arial"/>
          <w:sz w:val="16"/>
          <w:szCs w:val="16"/>
        </w:rPr>
      </w:pPr>
      <w:r w:rsidRPr="0010636B">
        <w:rPr>
          <w:rStyle w:val="Refdenotaalpie"/>
          <w:rFonts w:ascii="Geomanist Light" w:hAnsi="Geomanist Light" w:cs="Arial"/>
          <w:sz w:val="16"/>
          <w:szCs w:val="16"/>
        </w:rPr>
        <w:footnoteRef/>
      </w:r>
      <w:r w:rsidRPr="0010636B">
        <w:rPr>
          <w:rFonts w:ascii="Geomanist Light" w:hAnsi="Geomanist Light" w:cs="Arial"/>
          <w:sz w:val="16"/>
          <w:szCs w:val="16"/>
        </w:rPr>
        <w:t xml:space="preserve"> Ley 1258 de 2008: «Artículo 33. Fusión abreviada. En aquellos casos en que una sociedad detente más del noventa (90%) de las acciones de una sociedad por acciones simplificada, aquella podrá absorber a esta, mediante determinación adoptada por los representantes legales o por las juntas directivas de las sociedades participantes en el proceso de fusión.</w:t>
      </w:r>
    </w:p>
    <w:p w14:paraId="06A539A1" w14:textId="77777777" w:rsidR="00F66826" w:rsidRPr="0010636B" w:rsidRDefault="00F66826" w:rsidP="00F66826">
      <w:pPr>
        <w:pStyle w:val="Textonotapie"/>
        <w:ind w:firstLine="708"/>
        <w:rPr>
          <w:rFonts w:ascii="Geomanist Light" w:hAnsi="Geomanist Light" w:cs="Arial"/>
          <w:sz w:val="16"/>
          <w:szCs w:val="16"/>
        </w:rPr>
      </w:pPr>
      <w:r w:rsidRPr="0010636B">
        <w:rPr>
          <w:rFonts w:ascii="Geomanist Light" w:hAnsi="Geomanist Light" w:cs="Arial"/>
          <w:sz w:val="16"/>
          <w:szCs w:val="16"/>
        </w:rPr>
        <w:t>»El acuerdo de fusión podrá realizarse por documento privado inscrito en el Registro Mercantil, salvo que dentro de los activos transferidos se encuentren bienes cuya enajenación requiera escritura pública. La fusión podrá dar lugar al derecho de retiro a favor de los accionistas ausentes y disidentes en los términos de la Ley 222 de 1995, así como a la acción de oposición judicial prevista en el artículo 175 del Código de Comercio.</w:t>
      </w:r>
    </w:p>
    <w:p w14:paraId="294E766C" w14:textId="7E9C503B" w:rsidR="00F66826" w:rsidRPr="0010636B" w:rsidRDefault="00F66826" w:rsidP="0098340F">
      <w:pPr>
        <w:pStyle w:val="Textonotapie"/>
        <w:ind w:firstLine="708"/>
        <w:rPr>
          <w:rFonts w:ascii="Geomanist Light" w:hAnsi="Geomanist Light" w:cs="Arial"/>
          <w:sz w:val="16"/>
          <w:szCs w:val="16"/>
        </w:rPr>
      </w:pPr>
      <w:r w:rsidRPr="0010636B">
        <w:rPr>
          <w:rFonts w:ascii="Geomanist Light" w:hAnsi="Geomanist Light" w:cs="Arial"/>
          <w:sz w:val="16"/>
          <w:szCs w:val="16"/>
        </w:rPr>
        <w:t>»El texto del acuerdo de fusión abreviada tendrá que ser publicado en un diario de amplia circulación según lo establece la Ley 222 de 1995, dentro de ese mismo término habrá lugar a la oposición por parte de terceros interesados quienes podrán exigir garantías necesarias y/o suficientes».</w:t>
      </w:r>
    </w:p>
  </w:footnote>
  <w:footnote w:id="12">
    <w:p w14:paraId="4221C7E7" w14:textId="77777777" w:rsidR="00F66826" w:rsidRPr="0010636B" w:rsidRDefault="00F66826" w:rsidP="00F66826">
      <w:pPr>
        <w:pStyle w:val="Textonotapie"/>
        <w:ind w:firstLine="708"/>
        <w:rPr>
          <w:rFonts w:ascii="Geomanist Light" w:hAnsi="Geomanist Light" w:cs="Arial"/>
          <w:sz w:val="16"/>
          <w:szCs w:val="16"/>
        </w:rPr>
      </w:pPr>
      <w:r w:rsidRPr="0010636B">
        <w:rPr>
          <w:rStyle w:val="Refdenotaalpie"/>
          <w:rFonts w:ascii="Geomanist Light" w:hAnsi="Geomanist Light" w:cs="Arial"/>
          <w:sz w:val="16"/>
          <w:szCs w:val="16"/>
        </w:rPr>
        <w:footnoteRef/>
      </w:r>
      <w:r w:rsidRPr="0010636B">
        <w:rPr>
          <w:rFonts w:ascii="Geomanist Light" w:hAnsi="Geomanist Light" w:cs="Arial"/>
          <w:sz w:val="16"/>
          <w:szCs w:val="16"/>
        </w:rPr>
        <w:t xml:space="preserve"> Superintendencia de Sociedades. Oficios 220-072759 del 14 de mayo de 2014, 220-100613 del 14 de julio de 2015, 220-079814 del 31 de agosto de 2015,220-142284 del 15 de julio de 2016, 095721 del 16 de junio de 2020.</w:t>
      </w:r>
    </w:p>
    <w:p w14:paraId="24FECB60" w14:textId="77777777" w:rsidR="00F66826" w:rsidRPr="0010636B" w:rsidRDefault="00F66826" w:rsidP="00F66826">
      <w:pPr>
        <w:pStyle w:val="Textonotapie"/>
        <w:ind w:firstLine="708"/>
        <w:rPr>
          <w:rFonts w:ascii="Geomanist Light" w:hAnsi="Geomanist Light" w:cs="Arial"/>
          <w:sz w:val="16"/>
          <w:szCs w:val="16"/>
          <w:lang w:val="es-CO"/>
        </w:rPr>
      </w:pPr>
    </w:p>
  </w:footnote>
  <w:footnote w:id="13">
    <w:p w14:paraId="5DCCEF46" w14:textId="77777777" w:rsidR="00F66826" w:rsidRPr="0010636B" w:rsidRDefault="00F66826" w:rsidP="00F66826">
      <w:pPr>
        <w:pStyle w:val="Textonotapie"/>
        <w:ind w:firstLine="708"/>
        <w:rPr>
          <w:rFonts w:ascii="Geomanist Light" w:hAnsi="Geomanist Light"/>
          <w:sz w:val="16"/>
          <w:szCs w:val="16"/>
          <w:lang w:val="es-CO"/>
        </w:rPr>
      </w:pPr>
      <w:r w:rsidRPr="0010636B">
        <w:rPr>
          <w:rStyle w:val="Refdenotaalpie"/>
          <w:rFonts w:ascii="Geomanist Light" w:hAnsi="Geomanist Light" w:cs="Arial"/>
          <w:sz w:val="16"/>
          <w:szCs w:val="16"/>
        </w:rPr>
        <w:footnoteRef/>
      </w:r>
      <w:r w:rsidRPr="0010636B">
        <w:rPr>
          <w:rFonts w:ascii="Geomanist Light" w:hAnsi="Geomanist Light" w:cs="Arial"/>
          <w:sz w:val="16"/>
          <w:szCs w:val="16"/>
        </w:rPr>
        <w:t xml:space="preserve"> Superintendencia de Sociedades. Oficio 220- 063311 del 6 de abril de 2020.</w:t>
      </w:r>
    </w:p>
  </w:footnote>
  <w:footnote w:id="14">
    <w:p w14:paraId="1A04429F" w14:textId="77777777" w:rsidR="00F66826" w:rsidRPr="0010636B" w:rsidRDefault="00F66826" w:rsidP="00F66826">
      <w:pPr>
        <w:pStyle w:val="Textonotapie"/>
        <w:ind w:firstLine="708"/>
        <w:rPr>
          <w:rFonts w:ascii="Geomanist Light" w:hAnsi="Geomanist Light" w:cs="Arial"/>
          <w:sz w:val="16"/>
          <w:szCs w:val="16"/>
          <w:lang w:val="es-CO"/>
        </w:rPr>
      </w:pPr>
      <w:r w:rsidRPr="0010636B">
        <w:rPr>
          <w:rStyle w:val="Refdenotaalpie"/>
          <w:rFonts w:ascii="Geomanist Light" w:hAnsi="Geomanist Light" w:cs="Arial"/>
          <w:sz w:val="16"/>
          <w:szCs w:val="16"/>
        </w:rPr>
        <w:footnoteRef/>
      </w:r>
      <w:r w:rsidRPr="0010636B">
        <w:rPr>
          <w:rFonts w:ascii="Geomanist Light" w:hAnsi="Geomanist Light" w:cs="Arial"/>
          <w:sz w:val="16"/>
          <w:szCs w:val="16"/>
        </w:rPr>
        <w:t xml:space="preserve"> </w:t>
      </w:r>
      <w:r w:rsidRPr="0010636B">
        <w:rPr>
          <w:rFonts w:ascii="Geomanist Light" w:hAnsi="Geomanist Light" w:cs="Arial"/>
          <w:sz w:val="16"/>
          <w:szCs w:val="16"/>
          <w:lang w:val="es-CO"/>
        </w:rPr>
        <w:t xml:space="preserve">Decreto 1082 de 2015: «Artículo 2.2.1.1.1.5.3. Requisitos habilitantes contenidos en el RUP. Las cámaras de comercio, con base en la información a la que hace referencia el artículo anterior, deben verificar y certificar los siguientes requisitos habilitantes: </w:t>
      </w:r>
    </w:p>
    <w:p w14:paraId="307CA0B5" w14:textId="77777777" w:rsidR="00F66826" w:rsidRPr="0010636B" w:rsidRDefault="00F66826" w:rsidP="00F66826">
      <w:pPr>
        <w:pStyle w:val="Textonotapie"/>
        <w:ind w:firstLine="708"/>
        <w:rPr>
          <w:rFonts w:ascii="Geomanist Light" w:hAnsi="Geomanist Light" w:cs="Arial"/>
          <w:sz w:val="16"/>
          <w:szCs w:val="16"/>
          <w:lang w:val="es-CO"/>
        </w:rPr>
      </w:pPr>
      <w:r w:rsidRPr="0010636B">
        <w:rPr>
          <w:rFonts w:ascii="Geomanist Light" w:hAnsi="Geomanist Light" w:cs="Arial"/>
          <w:sz w:val="16"/>
          <w:szCs w:val="16"/>
          <w:lang w:val="es-CO"/>
        </w:rPr>
        <w:t xml:space="preserve">»1. Experiencia – Los contratos celebrados por el interesado para cada uno de los bienes, obras y servicios que ofrecerá a las Entidades Estatales, identificados con el Clasificador de Bienes y Servicios en el tercer nivel y su valor expresado en smmlv. </w:t>
      </w:r>
    </w:p>
    <w:p w14:paraId="382E1C84" w14:textId="77777777" w:rsidR="00F66826" w:rsidRPr="0010636B" w:rsidRDefault="00F66826" w:rsidP="00F66826">
      <w:pPr>
        <w:pStyle w:val="Textonotapie"/>
        <w:ind w:firstLine="708"/>
        <w:rPr>
          <w:rFonts w:ascii="Geomanist Light" w:hAnsi="Geomanist Light"/>
          <w:sz w:val="16"/>
          <w:szCs w:val="16"/>
          <w:lang w:val="es-CO"/>
        </w:rPr>
      </w:pPr>
      <w:r w:rsidRPr="0010636B">
        <w:rPr>
          <w:rFonts w:ascii="Geomanist Light" w:hAnsi="Geomanist Light" w:cs="Arial"/>
          <w:sz w:val="16"/>
          <w:szCs w:val="16"/>
          <w:lang w:val="es-CO"/>
        </w:rPr>
        <w:t>»Los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w:t>
      </w:r>
    </w:p>
  </w:footnote>
  <w:footnote w:id="15">
    <w:p w14:paraId="21B2A515" w14:textId="3B2135F4" w:rsidR="004B7723" w:rsidRPr="0010636B" w:rsidRDefault="004B7723" w:rsidP="0098340F">
      <w:pPr>
        <w:pStyle w:val="Textonotapie"/>
        <w:ind w:firstLine="708"/>
        <w:rPr>
          <w:rFonts w:ascii="Geomanist Light" w:hAnsi="Geomanist Light" w:cs="Arial"/>
          <w:color w:val="000000" w:themeColor="text1"/>
          <w:sz w:val="16"/>
          <w:szCs w:val="16"/>
        </w:rPr>
      </w:pPr>
      <w:r w:rsidRPr="0010636B">
        <w:rPr>
          <w:rStyle w:val="Refdenotaalpie"/>
          <w:rFonts w:ascii="Geomanist Light" w:hAnsi="Geomanist Light" w:cs="Arial"/>
          <w:color w:val="000000" w:themeColor="text1"/>
          <w:sz w:val="16"/>
          <w:szCs w:val="16"/>
        </w:rPr>
        <w:footnoteRef/>
      </w:r>
      <w:r w:rsidRPr="0010636B">
        <w:rPr>
          <w:rFonts w:ascii="Geomanist Light" w:hAnsi="Geomanist Light" w:cs="Arial"/>
          <w:color w:val="000000" w:themeColor="text1"/>
          <w:sz w:val="16"/>
          <w:szCs w:val="16"/>
        </w:rPr>
        <w:t xml:space="preserve"> Código de Comercio: «Artículo 260. Subordinación. Una sociedad será subordinada o controlada cuando su poder de decisión se encuentre sometido a la voluntad de otra u otras personas que serán su matriz o controlante, bien sea directamente, caso en el cual aquélla se denominará filial o con el concurso o por intermedio de las subordinadas de la matriz, en cuyo caso se llamará subsidiaria».</w:t>
      </w:r>
    </w:p>
  </w:footnote>
  <w:footnote w:id="16">
    <w:p w14:paraId="5D73ED65" w14:textId="77777777" w:rsidR="004B7723" w:rsidRPr="0010636B" w:rsidRDefault="004B7723" w:rsidP="004B7723">
      <w:pPr>
        <w:pStyle w:val="Textonotapie"/>
        <w:ind w:firstLine="708"/>
        <w:rPr>
          <w:rFonts w:ascii="Geomanist Light" w:hAnsi="Geomanist Light" w:cs="Arial"/>
          <w:color w:val="000000" w:themeColor="text1"/>
          <w:sz w:val="16"/>
          <w:szCs w:val="16"/>
          <w:lang w:val="es-ES"/>
        </w:rPr>
      </w:pPr>
      <w:r w:rsidRPr="0010636B">
        <w:rPr>
          <w:rStyle w:val="Refdenotaalpie"/>
          <w:rFonts w:ascii="Geomanist Light" w:hAnsi="Geomanist Light" w:cs="Arial"/>
          <w:color w:val="000000" w:themeColor="text1"/>
          <w:sz w:val="16"/>
          <w:szCs w:val="16"/>
        </w:rPr>
        <w:footnoteRef/>
      </w:r>
      <w:r w:rsidRPr="0010636B">
        <w:rPr>
          <w:rFonts w:ascii="Geomanist Light" w:hAnsi="Geomanist Light" w:cs="Arial"/>
          <w:color w:val="000000" w:themeColor="text1"/>
          <w:sz w:val="16"/>
          <w:szCs w:val="16"/>
        </w:rPr>
        <w:t xml:space="preserve"> Código de Comercio: «Artículo 262. Subordinación. Una sociedad será subordinada o controlada cuando su poder de decisión se encuentre sometido a la voluntad de otra u otras personas que serán su matriz o controlante, bien sea directamente, caso en el cual aquélla se denominará filial o con el concurso o por intermedio de las subordinadas de la matriz, en cuyo caso se llamará subsidiaria».</w:t>
      </w:r>
    </w:p>
  </w:footnote>
  <w:footnote w:id="17">
    <w:p w14:paraId="08FDD5A2" w14:textId="79B00D50" w:rsidR="004B7723" w:rsidRPr="0010636B" w:rsidRDefault="004B7723" w:rsidP="0098340F">
      <w:pPr>
        <w:pStyle w:val="Textonotapie"/>
        <w:ind w:firstLine="708"/>
        <w:rPr>
          <w:rFonts w:ascii="Geomanist Light" w:hAnsi="Geomanist Light" w:cs="Arial"/>
          <w:color w:val="000000" w:themeColor="text1"/>
          <w:sz w:val="16"/>
          <w:szCs w:val="16"/>
        </w:rPr>
      </w:pPr>
      <w:r w:rsidRPr="0010636B">
        <w:rPr>
          <w:rStyle w:val="Refdenotaalpie"/>
          <w:rFonts w:ascii="Geomanist Light" w:hAnsi="Geomanist Light" w:cs="Arial"/>
          <w:color w:val="000000" w:themeColor="text1"/>
          <w:sz w:val="16"/>
          <w:szCs w:val="16"/>
        </w:rPr>
        <w:footnoteRef/>
      </w:r>
      <w:r w:rsidRPr="0010636B">
        <w:rPr>
          <w:rFonts w:ascii="Geomanist Light" w:hAnsi="Geomanist Light" w:cs="Arial"/>
          <w:color w:val="000000" w:themeColor="text1"/>
          <w:sz w:val="16"/>
          <w:szCs w:val="16"/>
        </w:rPr>
        <w:t xml:space="preserve"> Superintendencia de Sociedades, Guía práctica régimen de matrices y subordinadas. Disponible en:  https://www.supersociedades.gov.co/delegatura_ivc/CartillasyGuias/Guia_Practica_RegimenMatricesySubordinadas.pdf</w:t>
      </w:r>
    </w:p>
  </w:footnote>
  <w:footnote w:id="18">
    <w:p w14:paraId="0CF96A8B" w14:textId="77777777" w:rsidR="004B7723" w:rsidRPr="0010636B" w:rsidRDefault="004B7723" w:rsidP="004B7723">
      <w:pPr>
        <w:pStyle w:val="Textonotapie"/>
        <w:ind w:firstLine="708"/>
        <w:rPr>
          <w:rFonts w:ascii="Geomanist Light" w:eastAsia="Calibri" w:hAnsi="Geomanist Light" w:cs="Arial"/>
          <w:color w:val="000000" w:themeColor="text1"/>
          <w:sz w:val="16"/>
          <w:szCs w:val="16"/>
        </w:rPr>
      </w:pPr>
      <w:r w:rsidRPr="0010636B">
        <w:rPr>
          <w:rStyle w:val="Refdenotaalpie"/>
          <w:rFonts w:ascii="Geomanist Light" w:hAnsi="Geomanist Light" w:cs="Arial"/>
          <w:color w:val="000000" w:themeColor="text1"/>
          <w:sz w:val="16"/>
          <w:szCs w:val="16"/>
        </w:rPr>
        <w:footnoteRef/>
      </w:r>
      <w:r w:rsidRPr="0010636B">
        <w:rPr>
          <w:rFonts w:ascii="Geomanist Light" w:hAnsi="Geomanist Light" w:cs="Arial"/>
          <w:color w:val="000000" w:themeColor="text1"/>
          <w:sz w:val="16"/>
          <w:szCs w:val="16"/>
        </w:rPr>
        <w:t xml:space="preserve"> </w:t>
      </w:r>
      <w:r w:rsidRPr="0010636B">
        <w:rPr>
          <w:rFonts w:ascii="Geomanist Light" w:eastAsia="Calibri" w:hAnsi="Geomanist Light" w:cs="Arial"/>
          <w:color w:val="000000" w:themeColor="text1"/>
          <w:sz w:val="16"/>
          <w:szCs w:val="16"/>
        </w:rPr>
        <w:t>Código de Comercio: «Artículo 167. Reforma de contrato social por transformación de sociedad. Una sociedad podrá, antes de su disolución, adoptar cualquiera otra de las formas de la sociedad comercial reguladas en este Código, mediante una reforma del contrato social.</w:t>
      </w:r>
    </w:p>
    <w:p w14:paraId="578C3DA1" w14:textId="688E6E0F" w:rsidR="004B7723" w:rsidRPr="0010636B" w:rsidRDefault="004B7723" w:rsidP="0098340F">
      <w:pPr>
        <w:pStyle w:val="Textonotapie"/>
        <w:ind w:firstLine="708"/>
        <w:rPr>
          <w:rFonts w:ascii="Geomanist Light" w:eastAsia="Calibri" w:hAnsi="Geomanist Light" w:cs="Arial"/>
          <w:color w:val="000000" w:themeColor="text1"/>
          <w:sz w:val="16"/>
          <w:szCs w:val="16"/>
        </w:rPr>
      </w:pPr>
      <w:r w:rsidRPr="0010636B">
        <w:rPr>
          <w:rFonts w:ascii="Geomanist Light" w:eastAsia="Calibri" w:hAnsi="Geomanist Light" w:cs="Arial"/>
          <w:color w:val="000000" w:themeColor="text1"/>
          <w:sz w:val="16"/>
          <w:szCs w:val="16"/>
        </w:rPr>
        <w:t>»La transformación no producirá solución de continuidad en la existencia de la sociedad como persona jurídica, ni en sus actividades ni en su patrimonio».</w:t>
      </w:r>
    </w:p>
  </w:footnote>
  <w:footnote w:id="19">
    <w:p w14:paraId="3A253D67" w14:textId="77777777" w:rsidR="004B7723" w:rsidRPr="0010636B" w:rsidRDefault="004B7723" w:rsidP="004B7723">
      <w:pPr>
        <w:pStyle w:val="Textonotapie"/>
        <w:ind w:firstLine="708"/>
        <w:rPr>
          <w:rFonts w:ascii="Geomanist Light" w:eastAsia="Calibri" w:hAnsi="Geomanist Light" w:cs="Arial"/>
          <w:color w:val="000000" w:themeColor="text1"/>
          <w:sz w:val="16"/>
          <w:szCs w:val="16"/>
        </w:rPr>
      </w:pPr>
      <w:r w:rsidRPr="0010636B">
        <w:rPr>
          <w:rStyle w:val="Refdenotaalpie"/>
          <w:rFonts w:ascii="Geomanist Light" w:hAnsi="Geomanist Light" w:cs="Arial"/>
          <w:color w:val="000000" w:themeColor="text1"/>
          <w:sz w:val="16"/>
          <w:szCs w:val="16"/>
        </w:rPr>
        <w:footnoteRef/>
      </w:r>
      <w:r w:rsidRPr="0010636B">
        <w:rPr>
          <w:rFonts w:ascii="Geomanist Light" w:eastAsia="Calibri" w:hAnsi="Geomanist Light" w:cs="Arial"/>
          <w:color w:val="000000" w:themeColor="text1"/>
          <w:sz w:val="16"/>
          <w:szCs w:val="16"/>
        </w:rPr>
        <w:t xml:space="preserve"> Colombia Compra Eficiente. Concepto C-002 de 2020: «[...] si una sociedad se crea como sociedad limitada, y sin “disolverse” decide adoptar la figura de sociedad anónima, lo podrá hacer mediante una reforma estatutaria, sin que se interrumpa la continuidad de la sociedad comercial o persona jurídica. Es importante destacar que en esta reforma estatutaria solo participa la sociedad involucrada, y no existen otras sociedades que se relacionen o intervengan, lo cual diferencia la transformación de otras reformas o figuras».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47D9" w14:textId="77777777" w:rsidR="00993A2A" w:rsidRPr="003F58A1" w:rsidRDefault="00993A2A" w:rsidP="00993A2A">
    <w:pPr>
      <w:spacing w:after="0"/>
      <w:rPr>
        <w:rFonts w:ascii="Geomanist Bold" w:hAnsi="Geomanist Bold"/>
        <w:color w:val="002060"/>
        <w:szCs w:val="24"/>
      </w:rPr>
    </w:pPr>
    <w:r w:rsidRPr="008614E5">
      <w:rPr>
        <w:rFonts w:eastAsia="Arial Nova" w:cs="Arial Nova"/>
        <w:noProof/>
        <w:szCs w:val="24"/>
        <w:lang w:val="en-US"/>
      </w:rPr>
      <w:drawing>
        <wp:anchor distT="0" distB="0" distL="0" distR="0" simplePos="0" relativeHeight="251659264" behindDoc="1" locked="0" layoutInCell="1" hidden="0" allowOverlap="1" wp14:anchorId="229A228A" wp14:editId="0E2BD34A">
          <wp:simplePos x="0" y="0"/>
          <wp:positionH relativeFrom="margin">
            <wp:align>right</wp:align>
          </wp:positionH>
          <wp:positionV relativeFrom="paragraph">
            <wp:posOffset>6985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szCs w:val="24"/>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93A2A" w:rsidRPr="00367110" w14:paraId="60AECD6A" w14:textId="77777777" w:rsidTr="00B53489">
      <w:tc>
        <w:tcPr>
          <w:tcW w:w="6756" w:type="dxa"/>
        </w:tcPr>
        <w:p w14:paraId="40862DCB" w14:textId="77777777" w:rsidR="00993A2A" w:rsidRPr="006478E3" w:rsidRDefault="00993A2A" w:rsidP="00993A2A">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7697960A" w14:textId="77777777" w:rsidR="00993A2A" w:rsidRPr="0057618A" w:rsidRDefault="00993A2A" w:rsidP="00993A2A">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306400E9" w14:textId="77777777" w:rsidR="00993A2A" w:rsidRPr="00367110" w:rsidRDefault="00993A2A" w:rsidP="00993A2A">
          <w:pPr>
            <w:jc w:val="right"/>
            <w:rPr>
              <w:rFonts w:eastAsia="Arial Nova" w:cs="Arial Nova"/>
              <w:lang w:eastAsia="es-CO"/>
            </w:rPr>
          </w:pPr>
        </w:p>
      </w:tc>
      <w:tc>
        <w:tcPr>
          <w:tcW w:w="1324" w:type="dxa"/>
        </w:tcPr>
        <w:p w14:paraId="0783A71E" w14:textId="77777777" w:rsidR="00993A2A" w:rsidRPr="00367110" w:rsidRDefault="00993A2A" w:rsidP="00993A2A">
          <w:pPr>
            <w:jc w:val="right"/>
            <w:rPr>
              <w:rFonts w:eastAsia="Arial Nova" w:cs="Arial Nova"/>
              <w:lang w:eastAsia="es-CO"/>
            </w:rPr>
          </w:pPr>
        </w:p>
      </w:tc>
    </w:tr>
  </w:tbl>
  <w:p w14:paraId="2D0B3918" w14:textId="77777777" w:rsidR="00993A2A" w:rsidRPr="00906B3C" w:rsidRDefault="00993A2A" w:rsidP="00993A2A">
    <w:pPr>
      <w:pStyle w:val="Encabezado"/>
      <w:ind w:left="3545" w:firstLine="709"/>
      <w:rPr>
        <w:b/>
        <w:bCs/>
        <w:color w:val="A5A5A5" w:themeColor="accent3"/>
        <w:sz w:val="18"/>
        <w:szCs w:val="18"/>
      </w:rPr>
    </w:pPr>
    <w:r w:rsidRPr="00367110">
      <w:rPr>
        <w:rFonts w:eastAsia="Arial Nova" w:cs="Arial Nova"/>
        <w:noProof/>
        <w:color w:val="000000"/>
        <w:lang w:val="en-US"/>
      </w:rPr>
      <w:drawing>
        <wp:anchor distT="0" distB="0" distL="114300" distR="114300" simplePos="0" relativeHeight="251660288" behindDoc="1" locked="0" layoutInCell="1" allowOverlap="1" wp14:anchorId="4255787A" wp14:editId="63FBBBCE">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522E"/>
    <w:multiLevelType w:val="hybridMultilevel"/>
    <w:tmpl w:val="4858EB3A"/>
    <w:lvl w:ilvl="0" w:tplc="FDD2E9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33782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1"/>
  <w:activeWritingStyle w:appName="MSWord" w:lang="es-CO" w:vendorID="64" w:dllVersion="6" w:nlCheck="1" w:checkStyle="0"/>
  <w:activeWritingStyle w:appName="MSWord" w:lang="es-MX" w:vendorID="64" w:dllVersion="0"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929"/>
    <w:rsid w:val="00033B78"/>
    <w:rsid w:val="00037D12"/>
    <w:rsid w:val="00093062"/>
    <w:rsid w:val="000B4E53"/>
    <w:rsid w:val="000E6DE8"/>
    <w:rsid w:val="000E6EC3"/>
    <w:rsid w:val="000E7E56"/>
    <w:rsid w:val="0010636B"/>
    <w:rsid w:val="001212F2"/>
    <w:rsid w:val="00123AEC"/>
    <w:rsid w:val="00144FE1"/>
    <w:rsid w:val="0016430A"/>
    <w:rsid w:val="00170719"/>
    <w:rsid w:val="00192E70"/>
    <w:rsid w:val="001955A1"/>
    <w:rsid w:val="001A6D2D"/>
    <w:rsid w:val="001D3F4A"/>
    <w:rsid w:val="001E4F7D"/>
    <w:rsid w:val="002105A9"/>
    <w:rsid w:val="0022636F"/>
    <w:rsid w:val="002328FE"/>
    <w:rsid w:val="00290391"/>
    <w:rsid w:val="002C6514"/>
    <w:rsid w:val="00304AF4"/>
    <w:rsid w:val="0030643A"/>
    <w:rsid w:val="00310337"/>
    <w:rsid w:val="00347874"/>
    <w:rsid w:val="00370DD4"/>
    <w:rsid w:val="003735A6"/>
    <w:rsid w:val="00381B0F"/>
    <w:rsid w:val="003902B4"/>
    <w:rsid w:val="003C6558"/>
    <w:rsid w:val="003E5433"/>
    <w:rsid w:val="00400E79"/>
    <w:rsid w:val="00406C77"/>
    <w:rsid w:val="004358AB"/>
    <w:rsid w:val="00447167"/>
    <w:rsid w:val="00455C67"/>
    <w:rsid w:val="00461F52"/>
    <w:rsid w:val="00467FF3"/>
    <w:rsid w:val="00474929"/>
    <w:rsid w:val="00496238"/>
    <w:rsid w:val="004A22F8"/>
    <w:rsid w:val="004B1796"/>
    <w:rsid w:val="004B7723"/>
    <w:rsid w:val="004F406A"/>
    <w:rsid w:val="00512A52"/>
    <w:rsid w:val="005449F3"/>
    <w:rsid w:val="00557E14"/>
    <w:rsid w:val="005A3D47"/>
    <w:rsid w:val="005D0BDE"/>
    <w:rsid w:val="005E587A"/>
    <w:rsid w:val="00613EDE"/>
    <w:rsid w:val="00623802"/>
    <w:rsid w:val="00632246"/>
    <w:rsid w:val="00634B64"/>
    <w:rsid w:val="00637CD8"/>
    <w:rsid w:val="00651A7A"/>
    <w:rsid w:val="00653118"/>
    <w:rsid w:val="00653EC5"/>
    <w:rsid w:val="00676F88"/>
    <w:rsid w:val="00686456"/>
    <w:rsid w:val="006C18F0"/>
    <w:rsid w:val="006F1C20"/>
    <w:rsid w:val="00702566"/>
    <w:rsid w:val="00730923"/>
    <w:rsid w:val="00732CE6"/>
    <w:rsid w:val="00771C05"/>
    <w:rsid w:val="0077671B"/>
    <w:rsid w:val="00777192"/>
    <w:rsid w:val="00783598"/>
    <w:rsid w:val="00792005"/>
    <w:rsid w:val="008303FC"/>
    <w:rsid w:val="00850B29"/>
    <w:rsid w:val="00853165"/>
    <w:rsid w:val="008A4716"/>
    <w:rsid w:val="008B2512"/>
    <w:rsid w:val="00917CA4"/>
    <w:rsid w:val="009236A6"/>
    <w:rsid w:val="0092402D"/>
    <w:rsid w:val="00942B80"/>
    <w:rsid w:val="00950D43"/>
    <w:rsid w:val="0095222F"/>
    <w:rsid w:val="009569AA"/>
    <w:rsid w:val="009633F9"/>
    <w:rsid w:val="0096477C"/>
    <w:rsid w:val="00976BAD"/>
    <w:rsid w:val="0098340F"/>
    <w:rsid w:val="00993A2A"/>
    <w:rsid w:val="009C1357"/>
    <w:rsid w:val="00A51F0F"/>
    <w:rsid w:val="00A67571"/>
    <w:rsid w:val="00A80295"/>
    <w:rsid w:val="00AA0300"/>
    <w:rsid w:val="00AB3BE9"/>
    <w:rsid w:val="00AD47DF"/>
    <w:rsid w:val="00AD66E9"/>
    <w:rsid w:val="00AF314E"/>
    <w:rsid w:val="00B05B7C"/>
    <w:rsid w:val="00B90D3B"/>
    <w:rsid w:val="00BB220A"/>
    <w:rsid w:val="00C11303"/>
    <w:rsid w:val="00C760C7"/>
    <w:rsid w:val="00C82630"/>
    <w:rsid w:val="00C8511F"/>
    <w:rsid w:val="00C92742"/>
    <w:rsid w:val="00CA2F97"/>
    <w:rsid w:val="00CE04D9"/>
    <w:rsid w:val="00CE2431"/>
    <w:rsid w:val="00D220B3"/>
    <w:rsid w:val="00D430CC"/>
    <w:rsid w:val="00D61F46"/>
    <w:rsid w:val="00D92B4A"/>
    <w:rsid w:val="00DA0295"/>
    <w:rsid w:val="00DE6F7A"/>
    <w:rsid w:val="00E06E35"/>
    <w:rsid w:val="00E2118A"/>
    <w:rsid w:val="00E53E6A"/>
    <w:rsid w:val="00E601B3"/>
    <w:rsid w:val="00E92FBB"/>
    <w:rsid w:val="00EA3887"/>
    <w:rsid w:val="00EA407F"/>
    <w:rsid w:val="00EC024D"/>
    <w:rsid w:val="00EC1365"/>
    <w:rsid w:val="00ED1C5C"/>
    <w:rsid w:val="00ED2C50"/>
    <w:rsid w:val="00ED6F0E"/>
    <w:rsid w:val="00ED76CF"/>
    <w:rsid w:val="00F11A71"/>
    <w:rsid w:val="00F368DD"/>
    <w:rsid w:val="00F66826"/>
    <w:rsid w:val="00F76E2D"/>
    <w:rsid w:val="00F77B6A"/>
    <w:rsid w:val="00FE25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B0F02"/>
  <w15:chartTrackingRefBased/>
  <w15:docId w15:val="{6BD41FF6-1282-044B-9A5D-706FBACC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929"/>
    <w:pPr>
      <w:spacing w:after="200" w:line="276" w:lineRule="auto"/>
      <w:jc w:val="both"/>
    </w:pPr>
    <w:rPr>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74929"/>
    <w:pPr>
      <w:tabs>
        <w:tab w:val="center" w:pos="4419"/>
        <w:tab w:val="right" w:pos="8838"/>
      </w:tabs>
    </w:pPr>
  </w:style>
  <w:style w:type="character" w:customStyle="1" w:styleId="PiedepginaCar">
    <w:name w:val="Pie de página Car"/>
    <w:basedOn w:val="Fuentedeprrafopredeter"/>
    <w:link w:val="Piedepgina"/>
    <w:uiPriority w:val="99"/>
    <w:rsid w:val="00474929"/>
    <w:rPr>
      <w:szCs w:val="22"/>
      <w:lang w:val="es-MX"/>
    </w:rPr>
  </w:style>
  <w:style w:type="paragraph" w:styleId="Encabezado">
    <w:name w:val="header"/>
    <w:basedOn w:val="Normal"/>
    <w:link w:val="EncabezadoCar"/>
    <w:uiPriority w:val="99"/>
    <w:unhideWhenUsed/>
    <w:rsid w:val="00474929"/>
    <w:pPr>
      <w:tabs>
        <w:tab w:val="center" w:pos="4252"/>
        <w:tab w:val="right" w:pos="8504"/>
      </w:tabs>
    </w:pPr>
  </w:style>
  <w:style w:type="character" w:customStyle="1" w:styleId="EncabezadoCar">
    <w:name w:val="Encabezado Car"/>
    <w:basedOn w:val="Fuentedeprrafopredeter"/>
    <w:link w:val="Encabezado"/>
    <w:uiPriority w:val="99"/>
    <w:rsid w:val="00474929"/>
    <w:rPr>
      <w:szCs w:val="22"/>
      <w:lang w:val="es-MX"/>
    </w:rPr>
  </w:style>
  <w:style w:type="table" w:styleId="Tablaconcuadrcula">
    <w:name w:val="Table Grid"/>
    <w:basedOn w:val="Tablanormal"/>
    <w:uiPriority w:val="59"/>
    <w:qFormat/>
    <w:rsid w:val="00474929"/>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474929"/>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474929"/>
    <w:pPr>
      <w:jc w:val="both"/>
    </w:pPr>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7492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474929"/>
    <w:rPr>
      <w:sz w:val="20"/>
      <w:szCs w:val="20"/>
    </w:rPr>
  </w:style>
  <w:style w:type="character" w:customStyle="1" w:styleId="TextonotapieCar1">
    <w:name w:val="Texto nota pie Car1"/>
    <w:basedOn w:val="Fuentedeprrafopredeter"/>
    <w:uiPriority w:val="99"/>
    <w:semiHidden/>
    <w:rsid w:val="00474929"/>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474929"/>
    <w:rPr>
      <w:vertAlign w:val="superscript"/>
    </w:rPr>
  </w:style>
  <w:style w:type="paragraph" w:customStyle="1" w:styleId="Appelnotedebasde">
    <w:name w:val="Appel note de bas de..."/>
    <w:basedOn w:val="Normal"/>
    <w:link w:val="Refdenotaalpie"/>
    <w:uiPriority w:val="99"/>
    <w:rsid w:val="00474929"/>
    <w:pPr>
      <w:spacing w:after="160" w:line="240" w:lineRule="exact"/>
    </w:pPr>
    <w:rPr>
      <w:szCs w:val="24"/>
      <w:vertAlign w:val="superscript"/>
      <w:lang w:val="es-CO"/>
    </w:rPr>
  </w:style>
  <w:style w:type="character" w:customStyle="1" w:styleId="NormalWebCar">
    <w:name w:val="Normal (Web) Car"/>
    <w:link w:val="NormalWeb"/>
    <w:uiPriority w:val="99"/>
    <w:locked/>
    <w:rsid w:val="00474929"/>
    <w:rPr>
      <w:rFonts w:ascii="Times New Roman" w:eastAsia="Times New Roman" w:hAnsi="Times New Roman" w:cs="Times New Roman"/>
      <w:lang w:eastAsia="es-CO"/>
    </w:rPr>
  </w:style>
  <w:style w:type="table" w:customStyle="1" w:styleId="Tablaconcuadrcula1">
    <w:name w:val="Tabla con cuadrícula1"/>
    <w:basedOn w:val="Tablanormal"/>
    <w:next w:val="Tablaconcuadrcula"/>
    <w:uiPriority w:val="59"/>
    <w:rsid w:val="00474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474929"/>
    <w:rPr>
      <w:color w:val="F2F2F2"/>
      <w:u w:val="single"/>
    </w:rPr>
  </w:style>
  <w:style w:type="character" w:styleId="Hipervnculo">
    <w:name w:val="Hyperlink"/>
    <w:basedOn w:val="Fuentedeprrafopredeter"/>
    <w:uiPriority w:val="99"/>
    <w:unhideWhenUsed/>
    <w:rsid w:val="00474929"/>
    <w:rPr>
      <w:color w:val="0563C1" w:themeColor="hyperlink"/>
      <w:u w:val="single"/>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474929"/>
    <w:pPr>
      <w:spacing w:after="0" w:line="240" w:lineRule="auto"/>
      <w:ind w:left="720"/>
      <w:contextualSpacing/>
      <w:jc w:val="left"/>
    </w:pPr>
    <w:rPr>
      <w:szCs w:val="24"/>
      <w:lang w:val="es-CO"/>
    </w:rPr>
  </w:style>
  <w:style w:type="paragraph" w:styleId="Revisin">
    <w:name w:val="Revision"/>
    <w:hidden/>
    <w:uiPriority w:val="99"/>
    <w:semiHidden/>
    <w:rsid w:val="00192E70"/>
    <w:rPr>
      <w:szCs w:val="22"/>
      <w:lang w:val="es-MX"/>
    </w:rPr>
  </w:style>
  <w:style w:type="character" w:styleId="Hipervnculovisitado">
    <w:name w:val="FollowedHyperlink"/>
    <w:basedOn w:val="Fuentedeprrafopredeter"/>
    <w:uiPriority w:val="99"/>
    <w:semiHidden/>
    <w:unhideWhenUsed/>
    <w:rsid w:val="00676F88"/>
    <w:rPr>
      <w:color w:val="954F72" w:themeColor="followedHyperlink"/>
      <w:u w:val="single"/>
    </w:rPr>
  </w:style>
  <w:style w:type="character" w:styleId="Refdecomentario">
    <w:name w:val="annotation reference"/>
    <w:basedOn w:val="Fuentedeprrafopredeter"/>
    <w:uiPriority w:val="99"/>
    <w:semiHidden/>
    <w:unhideWhenUsed/>
    <w:rsid w:val="00EC1365"/>
    <w:rPr>
      <w:sz w:val="16"/>
      <w:szCs w:val="16"/>
    </w:rPr>
  </w:style>
  <w:style w:type="paragraph" w:styleId="Textocomentario">
    <w:name w:val="annotation text"/>
    <w:basedOn w:val="Normal"/>
    <w:link w:val="TextocomentarioCar"/>
    <w:uiPriority w:val="99"/>
    <w:unhideWhenUsed/>
    <w:rsid w:val="00EC1365"/>
    <w:pPr>
      <w:spacing w:line="240" w:lineRule="auto"/>
    </w:pPr>
    <w:rPr>
      <w:sz w:val="20"/>
      <w:szCs w:val="20"/>
    </w:rPr>
  </w:style>
  <w:style w:type="character" w:customStyle="1" w:styleId="TextocomentarioCar">
    <w:name w:val="Texto comentario Car"/>
    <w:basedOn w:val="Fuentedeprrafopredeter"/>
    <w:link w:val="Textocomentario"/>
    <w:uiPriority w:val="99"/>
    <w:rsid w:val="00EC136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EC1365"/>
    <w:rPr>
      <w:b/>
      <w:bCs/>
    </w:rPr>
  </w:style>
  <w:style w:type="character" w:customStyle="1" w:styleId="AsuntodelcomentarioCar">
    <w:name w:val="Asunto del comentario Car"/>
    <w:basedOn w:val="TextocomentarioCar"/>
    <w:link w:val="Asuntodelcomentario"/>
    <w:uiPriority w:val="99"/>
    <w:semiHidden/>
    <w:rsid w:val="00EC1365"/>
    <w:rPr>
      <w:b/>
      <w:bCs/>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92B4A"/>
  </w:style>
  <w:style w:type="paragraph" w:styleId="Textodeglobo">
    <w:name w:val="Balloon Text"/>
    <w:basedOn w:val="Normal"/>
    <w:link w:val="TextodegloboCar"/>
    <w:uiPriority w:val="99"/>
    <w:semiHidden/>
    <w:unhideWhenUsed/>
    <w:rsid w:val="00F76E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6E2D"/>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7BA494-F7B4-4E98-93F6-8C097993FB81}">
  <ds:schemaRefs>
    <ds:schemaRef ds:uri="http://schemas.microsoft.com/sharepoint/v3/contenttype/forms"/>
  </ds:schemaRefs>
</ds:datastoreItem>
</file>

<file path=customXml/itemProps2.xml><?xml version="1.0" encoding="utf-8"?>
<ds:datastoreItem xmlns:ds="http://schemas.openxmlformats.org/officeDocument/2006/customXml" ds:itemID="{C9FCD42D-79A5-452C-8A2C-3E7A4C23F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4AA10-80E8-4B79-B11F-013D661D65B3}">
  <ds:schemaRefs>
    <ds:schemaRef ds:uri="http://schemas.openxmlformats.org/officeDocument/2006/bibliography"/>
  </ds:schemaRefs>
</ds:datastoreItem>
</file>

<file path=customXml/itemProps4.xml><?xml version="1.0" encoding="utf-8"?>
<ds:datastoreItem xmlns:ds="http://schemas.openxmlformats.org/officeDocument/2006/customXml" ds:itemID="{465AEC7C-FB7F-4A9F-B2AA-80B446B8176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6119</Words>
  <Characters>33659</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Amaya Castro</dc:creator>
  <cp:keywords/>
  <dc:description/>
  <cp:lastModifiedBy>Ana Maria Velez Arteaga</cp:lastModifiedBy>
  <cp:revision>7</cp:revision>
  <dcterms:created xsi:type="dcterms:W3CDTF">2023-02-17T16:06:00Z</dcterms:created>
  <dcterms:modified xsi:type="dcterms:W3CDTF">2023-02-17T16:16:00Z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