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948D" w14:textId="06CF36F9" w:rsidR="00C32F62" w:rsidRPr="00F26448" w:rsidRDefault="00C32F62" w:rsidP="001D6996">
      <w:pPr>
        <w:spacing w:after="0" w:line="240" w:lineRule="auto"/>
        <w:jc w:val="both"/>
        <w:rPr>
          <w:rFonts w:ascii="Arial" w:eastAsia="Calibri" w:hAnsi="Arial" w:cs="Arial"/>
          <w:lang w:val="es-ES_tradnl"/>
        </w:rPr>
      </w:pPr>
      <w:bookmarkStart w:id="0" w:name="_Hlk113266481"/>
      <w:bookmarkStart w:id="1" w:name="_Hlk73599102"/>
    </w:p>
    <w:p w14:paraId="567CB2F1" w14:textId="08E9A225" w:rsidR="005068C9" w:rsidRPr="00F26448" w:rsidRDefault="005068C9" w:rsidP="001D6996">
      <w:pPr>
        <w:spacing w:after="0" w:line="240" w:lineRule="auto"/>
        <w:jc w:val="both"/>
        <w:rPr>
          <w:rFonts w:ascii="Arial" w:eastAsia="Calibri" w:hAnsi="Arial" w:cs="Arial"/>
          <w:lang w:val="es-ES_tradnl"/>
        </w:rPr>
      </w:pPr>
    </w:p>
    <w:p w14:paraId="05FE09B6" w14:textId="7DC73B4B" w:rsidR="005068C9" w:rsidRPr="00F26448" w:rsidRDefault="005068C9" w:rsidP="001D6996">
      <w:pPr>
        <w:spacing w:after="0" w:line="240" w:lineRule="auto"/>
        <w:jc w:val="both"/>
        <w:rPr>
          <w:rFonts w:ascii="Arial" w:eastAsia="Calibri" w:hAnsi="Arial" w:cs="Arial"/>
          <w:lang w:val="es-ES_tradnl"/>
        </w:rPr>
      </w:pPr>
    </w:p>
    <w:p w14:paraId="5F3AA494" w14:textId="67C8B72D" w:rsidR="005068C9" w:rsidRPr="00F26448" w:rsidRDefault="005068C9" w:rsidP="001D6996">
      <w:pPr>
        <w:spacing w:after="0" w:line="240" w:lineRule="auto"/>
        <w:jc w:val="both"/>
        <w:rPr>
          <w:rFonts w:ascii="Arial" w:eastAsia="Calibri" w:hAnsi="Arial" w:cs="Arial"/>
          <w:lang w:val="es-ES_tradnl"/>
        </w:rPr>
      </w:pPr>
    </w:p>
    <w:p w14:paraId="42CC7164" w14:textId="77777777" w:rsidR="001C60F0" w:rsidRPr="00F26448" w:rsidRDefault="001C60F0" w:rsidP="001C60F0">
      <w:pPr>
        <w:spacing w:after="0" w:line="240" w:lineRule="auto"/>
        <w:jc w:val="both"/>
        <w:rPr>
          <w:rFonts w:ascii="Arial" w:hAnsi="Arial" w:cs="Arial"/>
          <w:b/>
        </w:rPr>
      </w:pPr>
      <w:r w:rsidRPr="00F26448">
        <w:rPr>
          <w:rFonts w:ascii="Arial" w:eastAsia="Calibri" w:hAnsi="Arial" w:cs="Arial"/>
          <w:b/>
          <w:bCs/>
        </w:rPr>
        <w:t xml:space="preserve">DOCUMENTOS TIPO </w:t>
      </w:r>
      <w:r w:rsidRPr="00F26448">
        <w:rPr>
          <w:rFonts w:ascii="Arial" w:hAnsi="Arial" w:cs="Arial"/>
          <w:b/>
        </w:rPr>
        <w:t>– Fundamento normativo – generalidades</w:t>
      </w:r>
    </w:p>
    <w:p w14:paraId="3826D575" w14:textId="77777777" w:rsidR="001C60F0" w:rsidRPr="00F26448" w:rsidRDefault="001C60F0" w:rsidP="001C60F0">
      <w:pPr>
        <w:spacing w:after="0" w:line="240" w:lineRule="auto"/>
        <w:jc w:val="both"/>
        <w:rPr>
          <w:rFonts w:ascii="Arial" w:eastAsia="Calibri" w:hAnsi="Arial" w:cs="Arial"/>
          <w:b/>
          <w:bCs/>
        </w:rPr>
      </w:pPr>
    </w:p>
    <w:p w14:paraId="44D7B1F6" w14:textId="77777777" w:rsidR="001C60F0" w:rsidRPr="00F26448" w:rsidRDefault="001C60F0" w:rsidP="001C60F0">
      <w:pPr>
        <w:spacing w:after="0" w:line="240" w:lineRule="auto"/>
        <w:jc w:val="both"/>
        <w:rPr>
          <w:rFonts w:ascii="Arial" w:eastAsia="Calibri" w:hAnsi="Arial" w:cs="Arial"/>
          <w:lang w:val="es-ES_tradnl"/>
        </w:rPr>
      </w:pPr>
      <w:r w:rsidRPr="00F26448">
        <w:rPr>
          <w:rFonts w:ascii="Arial" w:eastAsia="Calibri" w:hAnsi="Arial" w:cs="Arial"/>
          <w:lang w:val="es-ES_tradnl"/>
        </w:rPr>
        <w:t>La adopción de los documentos tipo obligatorios en el ordenamiento jurídico colombiano se incluyó por primera vez en el parágrafo 3 del artículo 2 de la Ley 1150 de 2007, que facultó al gobierno nacional para expedirlos, pero solo cuando se tratara de la adquisición o suministro de bienes y servicios de características técnicas uniformes y de común utilización; facultad que no ha sido ejercida hasta la actualidad. 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 .</w:t>
      </w:r>
    </w:p>
    <w:p w14:paraId="21D2F6A5" w14:textId="77777777" w:rsidR="001C60F0" w:rsidRPr="00F26448" w:rsidRDefault="001C60F0" w:rsidP="001C60F0">
      <w:pPr>
        <w:spacing w:after="0" w:line="240" w:lineRule="auto"/>
        <w:jc w:val="both"/>
        <w:rPr>
          <w:rFonts w:ascii="Arial" w:eastAsia="Calibri" w:hAnsi="Arial" w:cs="Arial"/>
          <w:b/>
          <w:bCs/>
        </w:rPr>
      </w:pPr>
    </w:p>
    <w:p w14:paraId="354CEE56" w14:textId="77777777" w:rsidR="001C60F0" w:rsidRPr="00F26448" w:rsidRDefault="001C60F0" w:rsidP="001C60F0">
      <w:pPr>
        <w:spacing w:after="0" w:line="240" w:lineRule="auto"/>
        <w:jc w:val="both"/>
        <w:rPr>
          <w:rFonts w:ascii="Arial" w:eastAsia="Calibri" w:hAnsi="Arial" w:cs="Arial"/>
          <w:b/>
          <w:bCs/>
        </w:rPr>
      </w:pPr>
      <w:r w:rsidRPr="00F26448">
        <w:rPr>
          <w:rFonts w:ascii="Arial" w:eastAsia="Calibri" w:hAnsi="Arial" w:cs="Arial"/>
          <w:b/>
          <w:bCs/>
        </w:rPr>
        <w:t>DOCUMENTOS TIPO</w:t>
      </w:r>
      <w:r w:rsidRPr="00F26448">
        <w:rPr>
          <w:rFonts w:ascii="Arial" w:hAnsi="Arial" w:cs="Arial"/>
          <w:b/>
        </w:rPr>
        <w:t xml:space="preserve"> – Inalterabilidad  </w:t>
      </w:r>
    </w:p>
    <w:p w14:paraId="63601D46" w14:textId="77777777" w:rsidR="001C60F0" w:rsidRPr="00F26448" w:rsidRDefault="001C60F0" w:rsidP="001C60F0">
      <w:pPr>
        <w:spacing w:after="0" w:line="240" w:lineRule="auto"/>
        <w:jc w:val="both"/>
        <w:rPr>
          <w:rFonts w:ascii="Arial" w:eastAsia="Calibri" w:hAnsi="Arial" w:cs="Arial"/>
          <w:lang w:val="es-ES_tradnl"/>
        </w:rPr>
      </w:pPr>
    </w:p>
    <w:p w14:paraId="795003EE" w14:textId="77777777" w:rsidR="001C60F0" w:rsidRPr="00F26448" w:rsidRDefault="001C60F0" w:rsidP="001C60F0">
      <w:pPr>
        <w:spacing w:after="120" w:line="240" w:lineRule="auto"/>
        <w:jc w:val="both"/>
        <w:rPr>
          <w:rFonts w:ascii="Arial" w:eastAsia="Calibri" w:hAnsi="Arial" w:cs="Arial"/>
          <w:lang w:val="es-ES_tradnl"/>
        </w:rPr>
      </w:pPr>
      <w:r w:rsidRPr="00F26448">
        <w:rPr>
          <w:rFonts w:ascii="Arial" w:eastAsia="Calibri" w:hAnsi="Arial" w:cs="Arial"/>
          <w:lang w:val="es-ES_tradnl"/>
        </w:rPr>
        <w:t xml:space="preserve">[…] Esta prohibición consiste en que las entidades estatales no pueden incluir o modificar en los </w:t>
      </w:r>
      <w:r w:rsidRPr="00F26448">
        <w:rPr>
          <w:rFonts w:ascii="Arial" w:eastAsia="Calibri" w:hAnsi="Arial" w:cs="Arial"/>
          <w:i/>
          <w:iCs/>
          <w:lang w:val="es-ES_tradnl"/>
        </w:rPr>
        <w:t>Documentos del Proceso</w:t>
      </w:r>
      <w:r w:rsidRPr="00F26448">
        <w:rPr>
          <w:rFonts w:ascii="Arial" w:eastAsia="Calibri" w:hAnsi="Arial" w:cs="Arial"/>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 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 En esta línea, las entidades públicas deberán sujetarse de forma irrestricta a las reglas establecidas en los documentos tipo, dispuestas en las diferentes resoluciones expedidas por la Agencia, por lo que no pueden hacer </w:t>
      </w:r>
      <w:r w:rsidRPr="00F26448">
        <w:rPr>
          <w:rFonts w:ascii="Arial" w:eastAsia="Calibri" w:hAnsi="Arial" w:cs="Arial"/>
          <w:lang w:val="es-ES_tradnl"/>
        </w:rPr>
        <w:lastRenderedPageBreak/>
        <w:t xml:space="preserve">excepciones bajo una supuesta discrecionalidad a estas reglas que son obligatorias.  La inalterabilidad de los documentos es una manifestación en mayor grado de las potestades regladas, lo cual implica una reducción de la discrecionalidad de la Administración en el momento de tomar una decisión en el proceso de contratación. Cada entidad pública sujeta a los documentos tipo deberá hacer una aplicación o constatación irrestricta de las reglas y condiciones dispuestas en estos, salvo que las mismas posibilitan la discrecionalidad en determinados aspectos. </w:t>
      </w:r>
    </w:p>
    <w:p w14:paraId="0DB3CB2F" w14:textId="77777777" w:rsidR="001C60F0" w:rsidRPr="00F26448" w:rsidRDefault="001C60F0" w:rsidP="001C60F0">
      <w:pPr>
        <w:spacing w:after="0" w:line="240" w:lineRule="auto"/>
        <w:jc w:val="both"/>
        <w:rPr>
          <w:rFonts w:ascii="Arial" w:hAnsi="Arial" w:cs="Arial"/>
          <w:b/>
          <w:lang w:eastAsia="es-MX"/>
        </w:rPr>
      </w:pPr>
      <w:r w:rsidRPr="00F26448">
        <w:rPr>
          <w:rFonts w:ascii="Arial" w:hAnsi="Arial" w:cs="Arial"/>
          <w:b/>
          <w:lang w:eastAsia="es-MX"/>
        </w:rPr>
        <w:t>MÉTODOS DE PONDERACIÓN DE LA OFERTA ECONÓMICA – Documentos tipo – Método aleatorio – Ley 1882 de 2018 – TRM</w:t>
      </w:r>
    </w:p>
    <w:p w14:paraId="45867828" w14:textId="77777777" w:rsidR="001C60F0" w:rsidRPr="00F26448" w:rsidRDefault="001C60F0" w:rsidP="001C60F0">
      <w:pPr>
        <w:spacing w:after="0" w:line="240" w:lineRule="auto"/>
        <w:jc w:val="both"/>
        <w:rPr>
          <w:rFonts w:ascii="Arial" w:eastAsia="Calibri" w:hAnsi="Arial" w:cs="Arial"/>
          <w:b/>
          <w:bCs/>
        </w:rPr>
      </w:pPr>
    </w:p>
    <w:p w14:paraId="52BC6535" w14:textId="77777777" w:rsidR="001C60F0" w:rsidRPr="00F26448" w:rsidRDefault="001C60F0" w:rsidP="001C60F0">
      <w:pPr>
        <w:pStyle w:val="Normal11pt"/>
        <w:ind w:left="0"/>
        <w:rPr>
          <w:rFonts w:eastAsia="Calibri"/>
          <w:color w:val="auto"/>
        </w:rPr>
      </w:pPr>
      <w:r w:rsidRPr="00F26448">
        <w:rPr>
          <w:rFonts w:eastAsia="Calibri"/>
          <w:color w:val="auto"/>
        </w:rPr>
        <w:t xml:space="preserve">Los Documentos Tipo adoptados por esta Agencia, han regulado de manera uniforme lo relativo a la determinación del factor que se tendrá en cuenta a efectos de ponderar el aspecto económico de las ofertas presentadas por los oferentes en el respectivo Proceso de Selección, acogiendo, como se anunció, a  la Tasa Representativa del Mercado que rija para determinado momento como la cifra que a la postre definirá uno de los métodos de ponderación de la propuesta establecidos en los documentos del proceso. La Tasa de Cambio Representativa del Mercado – TRM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(IMC) entre las 7:30 a.m. y la 1:00 p.m.», definido por la Superintendencia Financiera, es decir, denota la relación entre la moneda colombiana y el dólar. Por su parte, el Banco de la República ha definido la tasa de cambio representativa del mercado como «la cantidad de pesos colombianos por un dólar de los Estados Unidos», de donde se despende que la TRM es un valor que se origina en la fluctuación del mercado. </w:t>
      </w:r>
    </w:p>
    <w:p w14:paraId="20837175" w14:textId="77777777" w:rsidR="001C60F0" w:rsidRPr="00F26448" w:rsidRDefault="001C60F0" w:rsidP="001C60F0">
      <w:pPr>
        <w:spacing w:after="0" w:line="240" w:lineRule="auto"/>
        <w:contextualSpacing/>
        <w:rPr>
          <w:rFonts w:ascii="Arial" w:hAnsi="Arial" w:cs="Arial"/>
          <w:b/>
          <w:lang w:eastAsia="es-MX"/>
        </w:rPr>
      </w:pPr>
    </w:p>
    <w:p w14:paraId="6DA448C1" w14:textId="77777777" w:rsidR="001C60F0" w:rsidRPr="00F26448" w:rsidRDefault="001C60F0" w:rsidP="001C60F0">
      <w:pPr>
        <w:spacing w:after="0" w:line="240" w:lineRule="auto"/>
        <w:contextualSpacing/>
        <w:jc w:val="both"/>
        <w:rPr>
          <w:rFonts w:ascii="Arial" w:hAnsi="Arial" w:cs="Arial"/>
          <w:b/>
          <w:lang w:eastAsia="es-MX"/>
        </w:rPr>
      </w:pPr>
      <w:r w:rsidRPr="00F26448">
        <w:rPr>
          <w:rFonts w:ascii="Arial" w:hAnsi="Arial" w:cs="Arial"/>
          <w:b/>
          <w:lang w:eastAsia="es-MX"/>
        </w:rPr>
        <w:t>MÉTODOS DE PONDERACIÓN DE LA OFERTA ECONÓMICA – Documentos tipo – Inalterabilidad</w:t>
      </w:r>
    </w:p>
    <w:p w14:paraId="5287F73E" w14:textId="77777777" w:rsidR="001C60F0" w:rsidRPr="00F26448" w:rsidRDefault="001C60F0" w:rsidP="001C60F0">
      <w:pPr>
        <w:spacing w:after="0" w:line="240" w:lineRule="auto"/>
        <w:contextualSpacing/>
        <w:jc w:val="both"/>
        <w:rPr>
          <w:rFonts w:ascii="Arial" w:hAnsi="Arial" w:cs="Arial"/>
          <w:b/>
          <w:lang w:eastAsia="es-MX"/>
        </w:rPr>
      </w:pPr>
    </w:p>
    <w:p w14:paraId="4524EB5A" w14:textId="77777777" w:rsidR="001C60F0" w:rsidRPr="00F26448" w:rsidRDefault="001C60F0" w:rsidP="001C60F0">
      <w:pPr>
        <w:pStyle w:val="Normal11pt"/>
        <w:ind w:left="0"/>
        <w:rPr>
          <w:rFonts w:eastAsia="Calibri"/>
          <w:color w:val="auto"/>
        </w:rPr>
      </w:pPr>
      <w:r w:rsidRPr="00F26448">
        <w:rPr>
          <w:rFonts w:eastAsia="Calibri"/>
          <w:color w:val="auto"/>
        </w:rPr>
        <w:t xml:space="preserve">[...] los documentos tipo estandarizan la forma como se evalúan las propuestas económicas, particularmente en lo relacionado con los métodos de ponderación de las ofertas económicas, presentando 4 alternativas, esto es: i) mediana con valor absoluto, </w:t>
      </w:r>
      <w:proofErr w:type="spellStart"/>
      <w:r w:rsidRPr="00F26448">
        <w:rPr>
          <w:rFonts w:eastAsia="Calibri"/>
          <w:color w:val="auto"/>
        </w:rPr>
        <w:t>ii</w:t>
      </w:r>
      <w:proofErr w:type="spellEnd"/>
      <w:r w:rsidRPr="00F26448">
        <w:rPr>
          <w:rFonts w:eastAsia="Calibri"/>
          <w:color w:val="auto"/>
        </w:rPr>
        <w:t xml:space="preserve">) media geométrica, </w:t>
      </w:r>
      <w:proofErr w:type="spellStart"/>
      <w:r w:rsidRPr="00F26448">
        <w:rPr>
          <w:rFonts w:eastAsia="Calibri"/>
          <w:color w:val="auto"/>
        </w:rPr>
        <w:t>iii</w:t>
      </w:r>
      <w:proofErr w:type="spellEnd"/>
      <w:r w:rsidRPr="00F26448">
        <w:rPr>
          <w:rFonts w:eastAsia="Calibri"/>
          <w:color w:val="auto"/>
        </w:rPr>
        <w:t xml:space="preserve">) media aritmética baja y </w:t>
      </w:r>
      <w:proofErr w:type="spellStart"/>
      <w:r w:rsidRPr="00F26448">
        <w:rPr>
          <w:rFonts w:eastAsia="Calibri"/>
          <w:color w:val="auto"/>
        </w:rPr>
        <w:t>iv</w:t>
      </w:r>
      <w:proofErr w:type="spellEnd"/>
      <w:r w:rsidRPr="00F26448">
        <w:rPr>
          <w:rFonts w:eastAsia="Calibri"/>
          <w:color w:val="auto"/>
        </w:rPr>
        <w:t>) menor valor. Además, cabe precisar que los documentos tipo no admiten la posibilidad de modificar estos métodos o de incluir algunos nuevos. En tal sentido, en relación con los métodos de ponderación de las ofertas económicas pesa la regla de la inalterabilidad que se explicó en el numeral 2.2. de este concepto, por lo cual las entidades estatales no pueden incluir nuevos métodos –fórmulas– para evaluar las ofertas económicas, sino que deben aplicar las establecidas en los documentos tipo, cuando se trate de procesos regidos por ellos.</w:t>
      </w:r>
    </w:p>
    <w:p w14:paraId="3465AFC4" w14:textId="77777777" w:rsidR="001C60F0" w:rsidRPr="00F26448" w:rsidRDefault="001C60F0" w:rsidP="001C60F0">
      <w:pPr>
        <w:spacing w:after="120" w:line="240" w:lineRule="auto"/>
        <w:jc w:val="both"/>
        <w:rPr>
          <w:rFonts w:ascii="Arial" w:eastAsia="Calibri" w:hAnsi="Arial" w:cs="Arial"/>
        </w:rPr>
      </w:pPr>
    </w:p>
    <w:p w14:paraId="3C14C466" w14:textId="77777777" w:rsidR="001C60F0" w:rsidRPr="00F26448" w:rsidRDefault="001C60F0" w:rsidP="001C60F0">
      <w:pPr>
        <w:spacing w:after="120" w:line="240" w:lineRule="auto"/>
        <w:jc w:val="both"/>
        <w:rPr>
          <w:rFonts w:ascii="Arial" w:eastAsia="Calibri" w:hAnsi="Arial" w:cs="Arial"/>
        </w:rPr>
      </w:pPr>
    </w:p>
    <w:p w14:paraId="03BF60DD" w14:textId="77777777" w:rsidR="001C60F0" w:rsidRPr="00F26448" w:rsidRDefault="001C60F0" w:rsidP="001C60F0">
      <w:pPr>
        <w:spacing w:after="120" w:line="240" w:lineRule="auto"/>
        <w:jc w:val="both"/>
        <w:rPr>
          <w:rFonts w:ascii="Arial" w:eastAsia="Calibri" w:hAnsi="Arial" w:cs="Arial"/>
        </w:rPr>
      </w:pPr>
    </w:p>
    <w:p w14:paraId="5FF3AFA9" w14:textId="77777777" w:rsidR="001C60F0" w:rsidRPr="00F26448" w:rsidRDefault="001C60F0" w:rsidP="001C60F0">
      <w:pPr>
        <w:spacing w:after="120" w:line="240" w:lineRule="auto"/>
        <w:jc w:val="both"/>
        <w:rPr>
          <w:rFonts w:ascii="Arial" w:eastAsia="Calibri" w:hAnsi="Arial" w:cs="Arial"/>
        </w:rPr>
      </w:pPr>
    </w:p>
    <w:p w14:paraId="22A6DB23" w14:textId="77777777" w:rsidR="001C60F0" w:rsidRPr="00F26448" w:rsidRDefault="001C60F0" w:rsidP="001C60F0">
      <w:pPr>
        <w:spacing w:after="120" w:line="240" w:lineRule="auto"/>
        <w:jc w:val="both"/>
        <w:rPr>
          <w:rFonts w:ascii="Arial" w:eastAsia="Calibri" w:hAnsi="Arial" w:cs="Arial"/>
        </w:rPr>
      </w:pPr>
    </w:p>
    <w:p w14:paraId="3243D3A8" w14:textId="77777777" w:rsidR="005068C9" w:rsidRPr="00F26448" w:rsidRDefault="005068C9" w:rsidP="001D6996">
      <w:pPr>
        <w:spacing w:after="0" w:line="240" w:lineRule="auto"/>
        <w:jc w:val="both"/>
        <w:rPr>
          <w:rFonts w:ascii="Arial" w:eastAsia="Calibri" w:hAnsi="Arial" w:cs="Arial"/>
        </w:rPr>
      </w:pPr>
    </w:p>
    <w:p w14:paraId="7CB03CDC" w14:textId="4380273C" w:rsidR="00F741DD" w:rsidRDefault="00F741DD" w:rsidP="6032E164">
      <w:pPr>
        <w:spacing w:after="0" w:line="240" w:lineRule="auto"/>
        <w:contextualSpacing/>
        <w:jc w:val="both"/>
        <w:rPr>
          <w:rFonts w:ascii="Arial" w:eastAsia="Calibri" w:hAnsi="Arial" w:cs="Arial"/>
          <w:lang w:val="es-ES"/>
        </w:rPr>
      </w:pPr>
    </w:p>
    <w:p w14:paraId="7916B76B" w14:textId="3CE9472F" w:rsidR="00F741DD" w:rsidRDefault="00F741DD" w:rsidP="6032E164">
      <w:pPr>
        <w:spacing w:after="0" w:line="240" w:lineRule="auto"/>
        <w:contextualSpacing/>
        <w:jc w:val="both"/>
        <w:rPr>
          <w:rFonts w:ascii="Arial" w:eastAsia="Calibri" w:hAnsi="Arial" w:cs="Arial"/>
          <w:lang w:val="es-ES"/>
        </w:rPr>
      </w:pPr>
    </w:p>
    <w:p w14:paraId="5A8B5B18" w14:textId="04EAD16A" w:rsidR="00F741DD" w:rsidRDefault="00F741DD" w:rsidP="6032E164">
      <w:pPr>
        <w:spacing w:after="0" w:line="240" w:lineRule="auto"/>
        <w:contextualSpacing/>
        <w:jc w:val="both"/>
        <w:rPr>
          <w:rFonts w:ascii="Arial" w:eastAsia="Calibri" w:hAnsi="Arial" w:cs="Arial"/>
          <w:lang w:val="es-ES"/>
        </w:rPr>
      </w:pPr>
    </w:p>
    <w:p w14:paraId="589356F0" w14:textId="7188B868" w:rsidR="00F741DD" w:rsidRDefault="00F741DD" w:rsidP="6032E164">
      <w:pPr>
        <w:spacing w:after="0" w:line="240" w:lineRule="auto"/>
        <w:contextualSpacing/>
        <w:jc w:val="both"/>
        <w:rPr>
          <w:rFonts w:ascii="Arial" w:eastAsia="Calibri" w:hAnsi="Arial" w:cs="Arial"/>
          <w:lang w:val="es-ES"/>
        </w:rPr>
      </w:pPr>
    </w:p>
    <w:p w14:paraId="413A0DC0" w14:textId="2FB007EE" w:rsidR="00F741DD" w:rsidRDefault="00455DC9" w:rsidP="6032E164">
      <w:pPr>
        <w:spacing w:after="0" w:line="240" w:lineRule="auto"/>
        <w:contextualSpacing/>
        <w:jc w:val="both"/>
        <w:rPr>
          <w:rFonts w:ascii="Arial" w:eastAsia="Calibri" w:hAnsi="Arial" w:cs="Arial"/>
          <w:lang w:val="es-ES"/>
        </w:rPr>
      </w:pPr>
      <w:r w:rsidRPr="6032E164">
        <w:rPr>
          <w:rFonts w:ascii="Arial" w:eastAsia="Calibri" w:hAnsi="Arial" w:cs="Arial"/>
          <w:lang w:val="es-ES"/>
        </w:rPr>
        <w:t>Señor</w:t>
      </w:r>
    </w:p>
    <w:p w14:paraId="6DB2D762" w14:textId="4B89FA56" w:rsidR="00F741DD" w:rsidRPr="00F26448" w:rsidRDefault="00F741DD" w:rsidP="009F2C37">
      <w:pPr>
        <w:spacing w:after="0" w:line="240" w:lineRule="auto"/>
        <w:contextualSpacing/>
        <w:jc w:val="right"/>
        <w:rPr>
          <w:rFonts w:ascii="Arial" w:eastAsia="Calibri" w:hAnsi="Arial" w:cs="Arial"/>
          <w:lang w:val="es-ES_tradnl"/>
        </w:rPr>
      </w:pPr>
      <w:r>
        <w:rPr>
          <w:rFonts w:ascii="Arial" w:eastAsia="Calibri" w:hAnsi="Arial" w:cs="Arial"/>
          <w:lang w:val="es-ES_tradnl"/>
        </w:rPr>
        <w:t xml:space="preserve">                                                                    </w:t>
      </w:r>
      <w:r w:rsidRPr="00F741DD">
        <w:rPr>
          <w:rFonts w:ascii="Arial" w:eastAsia="Calibri" w:hAnsi="Arial" w:cs="Arial"/>
          <w:noProof/>
          <w:lang w:val="es-ES_tradnl"/>
        </w:rPr>
        <w:drawing>
          <wp:inline distT="0" distB="0" distL="0" distR="0" wp14:anchorId="07558AD0" wp14:editId="377E480E">
            <wp:extent cx="3381375" cy="975579"/>
            <wp:effectExtent l="0" t="0" r="0" b="0"/>
            <wp:docPr id="5" name="Imagen 5"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10;&#10;Descripción generada automáticamente"/>
                    <pic:cNvPicPr/>
                  </pic:nvPicPr>
                  <pic:blipFill>
                    <a:blip r:embed="rId11"/>
                    <a:stretch>
                      <a:fillRect/>
                    </a:stretch>
                  </pic:blipFill>
                  <pic:spPr>
                    <a:xfrm>
                      <a:off x="0" y="0"/>
                      <a:ext cx="3382606" cy="975934"/>
                    </a:xfrm>
                    <a:prstGeom prst="rect">
                      <a:avLst/>
                    </a:prstGeom>
                  </pic:spPr>
                </pic:pic>
              </a:graphicData>
            </a:graphic>
          </wp:inline>
        </w:drawing>
      </w:r>
    </w:p>
    <w:p w14:paraId="212B93D0" w14:textId="77777777" w:rsidR="00F741DD" w:rsidRDefault="00F741DD" w:rsidP="001D6996">
      <w:pPr>
        <w:autoSpaceDE w:val="0"/>
        <w:autoSpaceDN w:val="0"/>
        <w:adjustRightInd w:val="0"/>
        <w:spacing w:after="0" w:line="240" w:lineRule="auto"/>
        <w:contextualSpacing/>
        <w:rPr>
          <w:rFonts w:ascii="Arial" w:hAnsi="Arial" w:cs="Arial"/>
          <w:b/>
          <w:bCs/>
        </w:rPr>
      </w:pPr>
    </w:p>
    <w:p w14:paraId="29E69776" w14:textId="739B201B" w:rsidR="00880420" w:rsidRPr="00F26448" w:rsidRDefault="00880420" w:rsidP="001D6996">
      <w:pPr>
        <w:autoSpaceDE w:val="0"/>
        <w:autoSpaceDN w:val="0"/>
        <w:adjustRightInd w:val="0"/>
        <w:spacing w:after="0" w:line="240" w:lineRule="auto"/>
        <w:contextualSpacing/>
        <w:rPr>
          <w:rFonts w:ascii="Arial" w:hAnsi="Arial" w:cs="Arial"/>
          <w:b/>
          <w:bCs/>
        </w:rPr>
      </w:pPr>
      <w:r w:rsidRPr="00F26448">
        <w:rPr>
          <w:rFonts w:ascii="Arial" w:hAnsi="Arial" w:cs="Arial"/>
          <w:b/>
          <w:bCs/>
        </w:rPr>
        <w:t>JORGE LUIS ALVAREZ AGUDELO</w:t>
      </w:r>
    </w:p>
    <w:p w14:paraId="3CA232E9" w14:textId="0E4D431E" w:rsidR="00BF1842" w:rsidRPr="00F26448" w:rsidRDefault="00880420" w:rsidP="001D6996">
      <w:pPr>
        <w:spacing w:after="0" w:line="240" w:lineRule="auto"/>
        <w:contextualSpacing/>
        <w:rPr>
          <w:rFonts w:ascii="Arial" w:eastAsia="Calibri" w:hAnsi="Arial" w:cs="Arial"/>
          <w:b/>
          <w:bCs/>
          <w:lang w:val="es-ES_tradnl"/>
        </w:rPr>
      </w:pPr>
      <w:r w:rsidRPr="00F26448">
        <w:rPr>
          <w:rFonts w:ascii="Arial" w:hAnsi="Arial" w:cs="Arial"/>
        </w:rPr>
        <w:t>jorgeluisalvarez75@gmail.com</w:t>
      </w:r>
    </w:p>
    <w:p w14:paraId="25F49CE9" w14:textId="032145CA" w:rsidR="00601F06" w:rsidRPr="00F26448" w:rsidRDefault="00601F06" w:rsidP="001D6996">
      <w:pPr>
        <w:spacing w:after="0" w:line="240" w:lineRule="auto"/>
        <w:contextualSpacing/>
        <w:rPr>
          <w:rFonts w:ascii="Arial" w:eastAsia="Calibri" w:hAnsi="Arial" w:cs="Arial"/>
          <w:b/>
          <w:bCs/>
          <w:lang w:val="es-ES_tradnl"/>
        </w:rPr>
      </w:pPr>
    </w:p>
    <w:p w14:paraId="2E7F0F54" w14:textId="77777777" w:rsidR="00C32F62" w:rsidRPr="00F26448" w:rsidRDefault="00C32F62" w:rsidP="001D6996">
      <w:pPr>
        <w:spacing w:after="0" w:line="240" w:lineRule="auto"/>
        <w:contextualSpacing/>
        <w:rPr>
          <w:rFonts w:ascii="Arial" w:eastAsia="Calibri" w:hAnsi="Arial" w:cs="Arial"/>
          <w:b/>
          <w:bCs/>
          <w:lang w:val="es-ES_tradnl"/>
        </w:rPr>
      </w:pPr>
    </w:p>
    <w:p w14:paraId="6043DFB7" w14:textId="534C7D51" w:rsidR="00455DC9" w:rsidRPr="00F26448" w:rsidRDefault="00455DC9" w:rsidP="001D6996">
      <w:pPr>
        <w:spacing w:after="0" w:line="240" w:lineRule="auto"/>
        <w:contextualSpacing/>
        <w:rPr>
          <w:rFonts w:ascii="Arial" w:eastAsia="Calibri" w:hAnsi="Arial" w:cs="Arial"/>
          <w:b/>
          <w:bCs/>
          <w:lang w:val="es-ES_tradnl"/>
        </w:rPr>
      </w:pPr>
      <w:r w:rsidRPr="00F26448">
        <w:rPr>
          <w:rFonts w:ascii="Arial" w:eastAsia="Calibri" w:hAnsi="Arial" w:cs="Arial"/>
          <w:b/>
          <w:bCs/>
          <w:lang w:val="es-ES_tradnl"/>
        </w:rPr>
        <w:t xml:space="preserve">                                            Concepto C ‒ </w:t>
      </w:r>
      <w:r w:rsidR="0033224F" w:rsidRPr="00F26448">
        <w:rPr>
          <w:rFonts w:ascii="Arial" w:eastAsia="Calibri" w:hAnsi="Arial" w:cs="Arial"/>
          <w:b/>
          <w:bCs/>
          <w:lang w:val="es-ES_tradnl"/>
        </w:rPr>
        <w:t>836</w:t>
      </w:r>
      <w:r w:rsidR="00BF1842" w:rsidRPr="00F26448">
        <w:rPr>
          <w:rFonts w:ascii="Arial" w:eastAsia="Calibri" w:hAnsi="Arial" w:cs="Arial"/>
          <w:b/>
          <w:bCs/>
          <w:lang w:val="es-ES_tradnl"/>
        </w:rPr>
        <w:t xml:space="preserve"> </w:t>
      </w:r>
      <w:r w:rsidRPr="00F26448">
        <w:rPr>
          <w:rFonts w:ascii="Arial" w:eastAsia="Calibri" w:hAnsi="Arial" w:cs="Arial"/>
          <w:b/>
          <w:bCs/>
          <w:lang w:val="es-ES_tradnl"/>
        </w:rPr>
        <w:t>de 202</w:t>
      </w:r>
      <w:r w:rsidR="00B30B3C" w:rsidRPr="00F26448">
        <w:rPr>
          <w:rFonts w:ascii="Arial" w:eastAsia="Calibri" w:hAnsi="Arial" w:cs="Arial"/>
          <w:b/>
          <w:bCs/>
          <w:lang w:val="es-ES_tradnl"/>
        </w:rPr>
        <w:t>2</w:t>
      </w:r>
    </w:p>
    <w:p w14:paraId="26EA6725" w14:textId="77777777" w:rsidR="00455DC9" w:rsidRPr="00F26448" w:rsidRDefault="00455DC9" w:rsidP="001D6996">
      <w:pPr>
        <w:spacing w:after="0" w:line="240" w:lineRule="auto"/>
        <w:contextualSpacing/>
        <w:jc w:val="both"/>
        <w:rPr>
          <w:rFonts w:ascii="Arial" w:eastAsia="Calibri" w:hAnsi="Arial" w:cs="Arial"/>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C4260" w:rsidRPr="00F26448" w14:paraId="7A68FD80" w14:textId="77777777" w:rsidTr="005F47AD">
        <w:tc>
          <w:tcPr>
            <w:tcW w:w="2689" w:type="dxa"/>
          </w:tcPr>
          <w:p w14:paraId="0983ACFE" w14:textId="77777777" w:rsidR="00455DC9" w:rsidRPr="00F26448" w:rsidRDefault="00455DC9" w:rsidP="001D6996">
            <w:pPr>
              <w:contextualSpacing/>
              <w:jc w:val="both"/>
              <w:rPr>
                <w:rFonts w:ascii="Arial" w:eastAsia="Calibri" w:hAnsi="Arial" w:cs="Arial"/>
                <w:lang w:val="es-ES_tradnl"/>
              </w:rPr>
            </w:pPr>
            <w:r w:rsidRPr="00F26448">
              <w:rPr>
                <w:rFonts w:ascii="Arial" w:eastAsia="Calibri" w:hAnsi="Arial" w:cs="Arial"/>
                <w:b/>
                <w:lang w:val="es-ES_tradnl"/>
              </w:rPr>
              <w:t>Temas:</w:t>
            </w:r>
            <w:r w:rsidRPr="00F26448">
              <w:rPr>
                <w:rFonts w:ascii="Arial" w:eastAsia="Calibri" w:hAnsi="Arial" w:cs="Arial"/>
                <w:lang w:val="es-ES_tradnl"/>
              </w:rPr>
              <w:t xml:space="preserve">                                      </w:t>
            </w:r>
          </w:p>
        </w:tc>
        <w:tc>
          <w:tcPr>
            <w:tcW w:w="6237" w:type="dxa"/>
          </w:tcPr>
          <w:p w14:paraId="047AC0E2" w14:textId="05BFAFFA" w:rsidR="00B426CA" w:rsidRPr="00F26448" w:rsidRDefault="00B426CA" w:rsidP="001D6996">
            <w:pPr>
              <w:contextualSpacing/>
              <w:jc w:val="both"/>
              <w:rPr>
                <w:rFonts w:ascii="Arial" w:eastAsia="Calibri" w:hAnsi="Arial" w:cs="Arial"/>
                <w:bCs/>
              </w:rPr>
            </w:pPr>
            <w:r w:rsidRPr="00F26448">
              <w:rPr>
                <w:rFonts w:ascii="Arial" w:eastAsia="Calibri" w:hAnsi="Arial" w:cs="Arial"/>
                <w:bCs/>
              </w:rPr>
              <w:t xml:space="preserve">DOCUMENTO TIPO – Fundamentos </w:t>
            </w:r>
            <w:r w:rsidR="00444CAB" w:rsidRPr="00F26448">
              <w:rPr>
                <w:rFonts w:ascii="Arial" w:eastAsia="Calibri" w:hAnsi="Arial" w:cs="Arial"/>
                <w:bCs/>
              </w:rPr>
              <w:t xml:space="preserve">Normativo – Generalidades </w:t>
            </w:r>
            <w:r w:rsidRPr="00F26448">
              <w:rPr>
                <w:rFonts w:ascii="Arial" w:eastAsia="Calibri" w:hAnsi="Arial" w:cs="Arial"/>
                <w:bCs/>
              </w:rPr>
              <w:t xml:space="preserve">/ DOCUMENTO TIPO – Inalterabilidad/ DOCUMENTO TIPO – Inalterabilidad / </w:t>
            </w:r>
            <w:r w:rsidR="00444CAB" w:rsidRPr="00F26448">
              <w:rPr>
                <w:rFonts w:ascii="Arial" w:hAnsi="Arial" w:cs="Arial"/>
                <w:bCs/>
                <w:lang w:eastAsia="es-MX"/>
              </w:rPr>
              <w:t>MÉTODOS DE PONDERACIÓN DE LA OFERTA ECONÓMICA – Documentos tipo – Método aleatorio – Ley 1882 de 2018 – TRM /</w:t>
            </w:r>
            <w:r w:rsidR="00A868D7" w:rsidRPr="00F26448">
              <w:rPr>
                <w:rFonts w:ascii="Arial" w:eastAsia="Calibri" w:hAnsi="Arial" w:cs="Arial"/>
                <w:bCs/>
              </w:rPr>
              <w:t xml:space="preserve"> MÉTODOS DE PONDERACIÓN DE LA OFERTA ECONÓMICA</w:t>
            </w:r>
          </w:p>
          <w:p w14:paraId="09436AE8" w14:textId="77777777" w:rsidR="00455DC9" w:rsidRPr="00F26448" w:rsidRDefault="00455DC9" w:rsidP="001D6996">
            <w:pPr>
              <w:contextualSpacing/>
              <w:jc w:val="both"/>
              <w:rPr>
                <w:rFonts w:ascii="Arial" w:eastAsia="Calibri" w:hAnsi="Arial" w:cs="Arial"/>
                <w:bCs/>
              </w:rPr>
            </w:pPr>
          </w:p>
        </w:tc>
      </w:tr>
      <w:tr w:rsidR="00175F6D" w:rsidRPr="00F26448" w14:paraId="55275687" w14:textId="77777777" w:rsidTr="003A1D1C">
        <w:trPr>
          <w:trHeight w:val="80"/>
        </w:trPr>
        <w:tc>
          <w:tcPr>
            <w:tcW w:w="2689" w:type="dxa"/>
          </w:tcPr>
          <w:p w14:paraId="28D212AF" w14:textId="77777777" w:rsidR="00455DC9" w:rsidRPr="00F26448" w:rsidRDefault="00455DC9" w:rsidP="001D6996">
            <w:pPr>
              <w:contextualSpacing/>
              <w:jc w:val="both"/>
              <w:rPr>
                <w:rFonts w:ascii="Arial" w:eastAsia="Calibri" w:hAnsi="Arial" w:cs="Arial"/>
                <w:b/>
                <w:lang w:val="es-ES_tradnl"/>
              </w:rPr>
            </w:pPr>
            <w:r w:rsidRPr="00F26448">
              <w:rPr>
                <w:rFonts w:ascii="Arial" w:eastAsia="Calibri" w:hAnsi="Arial" w:cs="Arial"/>
                <w:b/>
                <w:lang w:val="es-ES_tradnl"/>
              </w:rPr>
              <w:t>Radicación:</w:t>
            </w:r>
            <w:r w:rsidRPr="00F26448">
              <w:rPr>
                <w:rFonts w:ascii="Arial" w:eastAsia="Calibri" w:hAnsi="Arial" w:cs="Arial"/>
                <w:lang w:val="es-ES_tradnl"/>
              </w:rPr>
              <w:t xml:space="preserve">                              </w:t>
            </w:r>
          </w:p>
        </w:tc>
        <w:tc>
          <w:tcPr>
            <w:tcW w:w="6237" w:type="dxa"/>
          </w:tcPr>
          <w:p w14:paraId="1E238EBB" w14:textId="7AEAE13F" w:rsidR="00455DC9" w:rsidRPr="00F26448" w:rsidRDefault="00455DC9" w:rsidP="001D6996">
            <w:pPr>
              <w:contextualSpacing/>
              <w:jc w:val="both"/>
              <w:rPr>
                <w:rFonts w:ascii="Arial" w:eastAsia="Calibri" w:hAnsi="Arial" w:cs="Arial"/>
                <w:lang w:val="es-ES_tradnl"/>
              </w:rPr>
            </w:pPr>
            <w:r w:rsidRPr="00F26448">
              <w:rPr>
                <w:rFonts w:ascii="Arial" w:eastAsia="Calibri" w:hAnsi="Arial" w:cs="Arial"/>
                <w:lang w:val="es-ES_tradnl"/>
              </w:rPr>
              <w:t xml:space="preserve">Respuesta a consulta # </w:t>
            </w:r>
            <w:r w:rsidR="0027255E" w:rsidRPr="00F26448">
              <w:rPr>
                <w:rFonts w:ascii="Arial" w:eastAsia="Calibri" w:hAnsi="Arial" w:cs="Arial"/>
                <w:lang w:val="es-ES_tradnl"/>
              </w:rPr>
              <w:t>P20221020010606</w:t>
            </w:r>
          </w:p>
        </w:tc>
      </w:tr>
    </w:tbl>
    <w:p w14:paraId="6FCAB6ED" w14:textId="34345789" w:rsidR="00455DC9" w:rsidRPr="00F26448" w:rsidRDefault="00455DC9" w:rsidP="00DE0BFC">
      <w:pPr>
        <w:spacing w:after="0" w:line="276" w:lineRule="auto"/>
        <w:contextualSpacing/>
        <w:jc w:val="both"/>
        <w:rPr>
          <w:rFonts w:ascii="Arial" w:eastAsia="Calibri" w:hAnsi="Arial" w:cs="Arial"/>
          <w:lang w:val="es-ES_tradnl"/>
        </w:rPr>
      </w:pPr>
    </w:p>
    <w:p w14:paraId="570EE1C8" w14:textId="77777777" w:rsidR="00601F06" w:rsidRPr="00F26448" w:rsidRDefault="00601F06" w:rsidP="00DE0BFC">
      <w:pPr>
        <w:spacing w:after="0" w:line="276" w:lineRule="auto"/>
        <w:contextualSpacing/>
        <w:jc w:val="both"/>
        <w:rPr>
          <w:rFonts w:ascii="Arial" w:eastAsia="Calibri" w:hAnsi="Arial" w:cs="Arial"/>
          <w:color w:val="000000" w:themeColor="text1"/>
          <w:lang w:val="es-ES_tradnl"/>
        </w:rPr>
      </w:pPr>
    </w:p>
    <w:p w14:paraId="4ED893EA" w14:textId="25CEABEA" w:rsidR="00455DC9" w:rsidRPr="00F26448" w:rsidRDefault="00455DC9" w:rsidP="00DE0BFC">
      <w:pPr>
        <w:spacing w:after="0" w:line="276" w:lineRule="auto"/>
        <w:contextualSpacing/>
        <w:jc w:val="both"/>
        <w:rPr>
          <w:rFonts w:ascii="Arial" w:eastAsia="Calibri" w:hAnsi="Arial" w:cs="Arial"/>
          <w:color w:val="000000" w:themeColor="text1"/>
          <w:lang w:val="es-ES_tradnl"/>
        </w:rPr>
      </w:pPr>
      <w:r w:rsidRPr="00F26448">
        <w:rPr>
          <w:rFonts w:ascii="Arial" w:eastAsia="Calibri" w:hAnsi="Arial" w:cs="Arial"/>
          <w:color w:val="000000" w:themeColor="text1"/>
          <w:lang w:val="es-ES_tradnl"/>
        </w:rPr>
        <w:t>Estimad</w:t>
      </w:r>
      <w:r w:rsidR="0007244D" w:rsidRPr="00F26448">
        <w:rPr>
          <w:rFonts w:ascii="Arial" w:eastAsia="Calibri" w:hAnsi="Arial" w:cs="Arial"/>
          <w:color w:val="000000" w:themeColor="text1"/>
          <w:lang w:val="es-ES_tradnl"/>
        </w:rPr>
        <w:t>o</w:t>
      </w:r>
      <w:r w:rsidRPr="00F26448">
        <w:rPr>
          <w:rFonts w:ascii="Arial" w:eastAsia="Calibri" w:hAnsi="Arial" w:cs="Arial"/>
          <w:color w:val="000000" w:themeColor="text1"/>
          <w:lang w:val="es-ES_tradnl"/>
        </w:rPr>
        <w:t xml:space="preserve"> señor</w:t>
      </w:r>
      <w:r w:rsidR="008C159F" w:rsidRPr="00F26448">
        <w:rPr>
          <w:rFonts w:ascii="Arial" w:eastAsia="Calibri" w:hAnsi="Arial" w:cs="Arial"/>
          <w:color w:val="000000" w:themeColor="text1"/>
          <w:lang w:val="es-ES_tradnl"/>
        </w:rPr>
        <w:t xml:space="preserve"> Luis </w:t>
      </w:r>
      <w:r w:rsidR="00C32F62" w:rsidRPr="00F26448">
        <w:rPr>
          <w:rFonts w:ascii="Arial" w:eastAsia="Calibri" w:hAnsi="Arial" w:cs="Arial"/>
          <w:color w:val="000000" w:themeColor="text1"/>
          <w:lang w:val="es-ES_tradnl"/>
        </w:rPr>
        <w:t>Álvarez</w:t>
      </w:r>
      <w:r w:rsidR="008C159F" w:rsidRPr="00F26448">
        <w:rPr>
          <w:rFonts w:ascii="Arial" w:eastAsia="Calibri" w:hAnsi="Arial" w:cs="Arial"/>
          <w:color w:val="000000" w:themeColor="text1"/>
          <w:lang w:val="es-ES_tradnl"/>
        </w:rPr>
        <w:t xml:space="preserve"> Agudelo:</w:t>
      </w:r>
    </w:p>
    <w:p w14:paraId="5A8D2776" w14:textId="77777777" w:rsidR="00BF1842" w:rsidRPr="00F26448" w:rsidRDefault="00BF1842" w:rsidP="00DE0BFC">
      <w:pPr>
        <w:spacing w:after="0" w:line="276" w:lineRule="auto"/>
        <w:contextualSpacing/>
        <w:jc w:val="both"/>
        <w:rPr>
          <w:rFonts w:ascii="Arial" w:eastAsia="Calibri" w:hAnsi="Arial" w:cs="Arial"/>
          <w:lang w:val="es-ES_tradnl"/>
        </w:rPr>
      </w:pPr>
    </w:p>
    <w:p w14:paraId="507A5DFE" w14:textId="4D7FF696" w:rsidR="008C159F" w:rsidRPr="00F26448" w:rsidRDefault="008C159F" w:rsidP="00DE0BFC">
      <w:pPr>
        <w:spacing w:after="0" w:line="276" w:lineRule="auto"/>
        <w:ind w:right="49"/>
        <w:contextualSpacing/>
        <w:jc w:val="both"/>
        <w:rPr>
          <w:rFonts w:ascii="Arial" w:eastAsia="Calibri" w:hAnsi="Arial" w:cs="Arial"/>
          <w:color w:val="000000" w:themeColor="text1"/>
          <w:lang w:val="es-ES_tradnl"/>
        </w:rPr>
      </w:pPr>
      <w:r w:rsidRPr="00F26448">
        <w:rPr>
          <w:rFonts w:ascii="Arial" w:eastAsia="Calibri" w:hAnsi="Arial" w:cs="Arial"/>
          <w:color w:val="000000" w:themeColor="text1"/>
          <w:lang w:val="es-ES_tradnl"/>
        </w:rPr>
        <w:t>La Agencia Nacional de Contratación Pública – Colombia Compra Eficiente, en ejercicio de la competencia otorgada por el numeral 8 del artículo 11 y el numeral 5 del artículo 3 del Decreto Ley 4170 de 2011, responde su consulta del 2</w:t>
      </w:r>
      <w:r w:rsidR="00A853CF" w:rsidRPr="00F26448">
        <w:rPr>
          <w:rFonts w:ascii="Arial" w:eastAsia="Calibri" w:hAnsi="Arial" w:cs="Arial"/>
          <w:color w:val="000000" w:themeColor="text1"/>
          <w:lang w:val="es-ES_tradnl"/>
        </w:rPr>
        <w:t>0</w:t>
      </w:r>
      <w:r w:rsidRPr="00F26448">
        <w:rPr>
          <w:rFonts w:ascii="Arial" w:eastAsia="Calibri" w:hAnsi="Arial" w:cs="Arial"/>
          <w:color w:val="000000" w:themeColor="text1"/>
          <w:lang w:val="es-ES_tradnl"/>
        </w:rPr>
        <w:t xml:space="preserve"> de </w:t>
      </w:r>
      <w:r w:rsidR="00F868CF" w:rsidRPr="00F26448">
        <w:rPr>
          <w:rFonts w:ascii="Arial" w:eastAsia="Calibri" w:hAnsi="Arial" w:cs="Arial"/>
          <w:color w:val="000000" w:themeColor="text1"/>
          <w:lang w:val="es-ES_tradnl"/>
        </w:rPr>
        <w:t>octubre</w:t>
      </w:r>
      <w:r w:rsidRPr="00F26448">
        <w:rPr>
          <w:rFonts w:ascii="Arial" w:eastAsia="Calibri" w:hAnsi="Arial" w:cs="Arial"/>
          <w:color w:val="000000" w:themeColor="text1"/>
          <w:lang w:val="es-ES_tradnl"/>
        </w:rPr>
        <w:t xml:space="preserve"> del 2022. </w:t>
      </w:r>
    </w:p>
    <w:p w14:paraId="0946C384" w14:textId="77777777" w:rsidR="00340CA6" w:rsidRPr="00F26448" w:rsidRDefault="00340CA6" w:rsidP="00DE0BFC">
      <w:pPr>
        <w:spacing w:after="0" w:line="276" w:lineRule="auto"/>
        <w:contextualSpacing/>
        <w:jc w:val="both"/>
        <w:rPr>
          <w:rFonts w:ascii="Arial" w:eastAsia="Calibri" w:hAnsi="Arial" w:cs="Arial"/>
          <w:lang w:val="es-ES_tradnl"/>
        </w:rPr>
      </w:pPr>
    </w:p>
    <w:p w14:paraId="593F36C4" w14:textId="77777777" w:rsidR="00340CA6" w:rsidRPr="00F26448" w:rsidRDefault="00340CA6" w:rsidP="00DE0BFC">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_tradnl"/>
        </w:rPr>
      </w:pPr>
      <w:r w:rsidRPr="00F26448">
        <w:rPr>
          <w:rFonts w:ascii="Arial" w:eastAsia="Calibri" w:hAnsi="Arial" w:cs="Arial"/>
          <w:b/>
          <w:color w:val="000000" w:themeColor="text1"/>
          <w:sz w:val="22"/>
          <w:lang w:val="es-ES_tradnl"/>
        </w:rPr>
        <w:t xml:space="preserve">Problema planteado </w:t>
      </w:r>
    </w:p>
    <w:p w14:paraId="6924E474" w14:textId="77777777" w:rsidR="00340CA6" w:rsidRPr="00F26448" w:rsidRDefault="00340CA6" w:rsidP="00DE0BFC">
      <w:pPr>
        <w:tabs>
          <w:tab w:val="left" w:pos="426"/>
        </w:tabs>
        <w:spacing w:after="0" w:line="276" w:lineRule="auto"/>
        <w:contextualSpacing/>
        <w:jc w:val="both"/>
        <w:rPr>
          <w:rFonts w:ascii="Arial" w:eastAsia="Calibri" w:hAnsi="Arial" w:cs="Arial"/>
          <w:b/>
          <w:color w:val="000000" w:themeColor="text1"/>
          <w:lang w:val="es-ES_tradnl"/>
        </w:rPr>
      </w:pPr>
    </w:p>
    <w:p w14:paraId="475D1B85" w14:textId="77777777" w:rsidR="00340CA6" w:rsidRPr="00F26448" w:rsidRDefault="00340CA6" w:rsidP="00DE0BFC">
      <w:pPr>
        <w:tabs>
          <w:tab w:val="left" w:pos="426"/>
        </w:tabs>
        <w:spacing w:after="0" w:line="276" w:lineRule="auto"/>
        <w:contextualSpacing/>
        <w:jc w:val="both"/>
        <w:rPr>
          <w:rFonts w:ascii="Arial" w:eastAsia="Calibri" w:hAnsi="Arial" w:cs="Arial"/>
          <w:color w:val="000000" w:themeColor="text1"/>
          <w:lang w:val="es-ES_tradnl"/>
        </w:rPr>
      </w:pPr>
      <w:r w:rsidRPr="00F26448">
        <w:rPr>
          <w:rFonts w:ascii="Arial" w:eastAsia="Calibri" w:hAnsi="Arial" w:cs="Arial"/>
          <w:color w:val="000000" w:themeColor="text1"/>
          <w:lang w:val="es-ES_tradnl"/>
        </w:rPr>
        <w:t xml:space="preserve"> Usted realiza la siguiente consulta: </w:t>
      </w:r>
    </w:p>
    <w:p w14:paraId="78020CC2" w14:textId="77777777" w:rsidR="00340CA6" w:rsidRPr="00F26448" w:rsidRDefault="00340CA6" w:rsidP="00DE0BFC">
      <w:pPr>
        <w:spacing w:after="0" w:line="276" w:lineRule="auto"/>
        <w:contextualSpacing/>
        <w:jc w:val="both"/>
        <w:rPr>
          <w:rFonts w:ascii="Arial" w:eastAsia="Calibri" w:hAnsi="Arial" w:cs="Arial"/>
          <w:bCs/>
        </w:rPr>
      </w:pPr>
    </w:p>
    <w:p w14:paraId="65FF389D" w14:textId="08BAF91E" w:rsidR="00A12283" w:rsidRPr="00F26448" w:rsidRDefault="00A12283" w:rsidP="00DE0BFC">
      <w:pPr>
        <w:autoSpaceDE w:val="0"/>
        <w:autoSpaceDN w:val="0"/>
        <w:adjustRightInd w:val="0"/>
        <w:spacing w:after="0" w:line="240" w:lineRule="auto"/>
        <w:ind w:left="709" w:right="709"/>
        <w:jc w:val="both"/>
        <w:rPr>
          <w:rFonts w:ascii="Arial" w:eastAsia="Calibri" w:hAnsi="Arial" w:cs="Arial"/>
          <w:bCs/>
        </w:rPr>
      </w:pPr>
      <w:r w:rsidRPr="00F26448">
        <w:rPr>
          <w:rFonts w:ascii="Arial" w:eastAsia="Calibri" w:hAnsi="Arial" w:cs="Arial"/>
          <w:bCs/>
        </w:rPr>
        <w:t>«</w:t>
      </w:r>
      <w:proofErr w:type="gramStart"/>
      <w:r w:rsidRPr="00F26448">
        <w:rPr>
          <w:rFonts w:ascii="Arial" w:eastAsia="Calibri" w:hAnsi="Arial" w:cs="Arial"/>
          <w:bCs/>
        </w:rPr>
        <w:t>¿</w:t>
      </w:r>
      <w:r w:rsidR="00E93A58" w:rsidRPr="00F26448">
        <w:rPr>
          <w:rFonts w:ascii="Arial" w:hAnsi="Arial" w:cs="Arial"/>
        </w:rPr>
        <w:t>Las entidades públicas se ven obligadas a utilizar los pliegos tipo estructurados por</w:t>
      </w:r>
      <w:r w:rsidR="00037141" w:rsidRPr="00F26448">
        <w:rPr>
          <w:rFonts w:ascii="Arial" w:hAnsi="Arial" w:cs="Arial"/>
        </w:rPr>
        <w:t xml:space="preserve"> </w:t>
      </w:r>
      <w:r w:rsidR="00E93A58" w:rsidRPr="00F26448">
        <w:rPr>
          <w:rFonts w:ascii="Arial" w:hAnsi="Arial" w:cs="Arial"/>
        </w:rPr>
        <w:t xml:space="preserve">Colombia Compra Eficiente, procesos a los cuales una vez </w:t>
      </w:r>
      <w:r w:rsidR="00E93A58" w:rsidRPr="00F26448">
        <w:rPr>
          <w:rFonts w:ascii="Arial" w:hAnsi="Arial" w:cs="Arial"/>
        </w:rPr>
        <w:lastRenderedPageBreak/>
        <w:t>se realiza la evaluación</w:t>
      </w:r>
      <w:r w:rsidR="00037141" w:rsidRPr="00F26448">
        <w:rPr>
          <w:rFonts w:ascii="Arial" w:hAnsi="Arial" w:cs="Arial"/>
        </w:rPr>
        <w:t xml:space="preserve"> </w:t>
      </w:r>
      <w:r w:rsidR="00E93A58" w:rsidRPr="00F26448">
        <w:rPr>
          <w:rFonts w:ascii="Arial" w:hAnsi="Arial" w:cs="Arial"/>
        </w:rPr>
        <w:t>respectiva por diferentes razones solo se habilita un proponente, la inquietud al</w:t>
      </w:r>
      <w:r w:rsidR="00037141" w:rsidRPr="00F26448">
        <w:rPr>
          <w:rFonts w:ascii="Arial" w:hAnsi="Arial" w:cs="Arial"/>
        </w:rPr>
        <w:t xml:space="preserve"> </w:t>
      </w:r>
      <w:r w:rsidR="00E93A58" w:rsidRPr="00F26448">
        <w:rPr>
          <w:rFonts w:ascii="Arial" w:hAnsi="Arial" w:cs="Arial"/>
        </w:rPr>
        <w:t>respecto es que para abrir el sobre de la propuesta económica y dar la puntuación</w:t>
      </w:r>
      <w:r w:rsidR="00037141" w:rsidRPr="00F26448">
        <w:rPr>
          <w:rFonts w:ascii="Arial" w:hAnsi="Arial" w:cs="Arial"/>
        </w:rPr>
        <w:t xml:space="preserve"> </w:t>
      </w:r>
      <w:r w:rsidR="00E93A58" w:rsidRPr="00F26448">
        <w:rPr>
          <w:rFonts w:ascii="Arial" w:hAnsi="Arial" w:cs="Arial"/>
        </w:rPr>
        <w:t xml:space="preserve">contemplada se debe utilizar la TRM y aplicar la </w:t>
      </w:r>
      <w:proofErr w:type="spellStart"/>
      <w:r w:rsidR="00E93A58" w:rsidRPr="00F26448">
        <w:rPr>
          <w:rFonts w:ascii="Arial" w:hAnsi="Arial" w:cs="Arial"/>
        </w:rPr>
        <w:t>formula</w:t>
      </w:r>
      <w:proofErr w:type="spellEnd"/>
      <w:r w:rsidR="00E93A58" w:rsidRPr="00F26448">
        <w:rPr>
          <w:rFonts w:ascii="Arial" w:hAnsi="Arial" w:cs="Arial"/>
        </w:rPr>
        <w:t xml:space="preserve"> que le corresponda con esa</w:t>
      </w:r>
      <w:r w:rsidR="00037141" w:rsidRPr="00F26448">
        <w:rPr>
          <w:rFonts w:ascii="Arial" w:hAnsi="Arial" w:cs="Arial"/>
        </w:rPr>
        <w:t xml:space="preserve"> </w:t>
      </w:r>
      <w:r w:rsidR="00E93A58" w:rsidRPr="00F26448">
        <w:rPr>
          <w:rFonts w:ascii="Arial" w:hAnsi="Arial" w:cs="Arial"/>
        </w:rPr>
        <w:t>TRM del día después o se da el puntaje máximo por ser único habilitado.</w:t>
      </w:r>
      <w:proofErr w:type="gramEnd"/>
      <w:r w:rsidRPr="00F26448">
        <w:rPr>
          <w:rFonts w:ascii="Arial" w:eastAsia="Calibri" w:hAnsi="Arial" w:cs="Arial"/>
          <w:bCs/>
        </w:rPr>
        <w:t>?».</w:t>
      </w:r>
    </w:p>
    <w:p w14:paraId="49961D29" w14:textId="77777777" w:rsidR="007407E8" w:rsidRPr="00F26448" w:rsidRDefault="007407E8" w:rsidP="00DE0BFC">
      <w:pPr>
        <w:tabs>
          <w:tab w:val="left" w:pos="426"/>
        </w:tabs>
        <w:spacing w:after="0" w:line="276" w:lineRule="auto"/>
        <w:contextualSpacing/>
        <w:jc w:val="both"/>
        <w:rPr>
          <w:rFonts w:ascii="Arial" w:eastAsia="Calibri" w:hAnsi="Arial" w:cs="Arial"/>
          <w:b/>
        </w:rPr>
      </w:pPr>
    </w:p>
    <w:p w14:paraId="6092CF10" w14:textId="6604E2EC" w:rsidR="00F37112" w:rsidRPr="00F26448" w:rsidRDefault="008D663D" w:rsidP="00DE0BFC">
      <w:pPr>
        <w:tabs>
          <w:tab w:val="left" w:pos="426"/>
        </w:tabs>
        <w:spacing w:after="0" w:line="276" w:lineRule="auto"/>
        <w:contextualSpacing/>
        <w:jc w:val="both"/>
        <w:rPr>
          <w:rFonts w:ascii="Arial" w:eastAsia="Calibri" w:hAnsi="Arial" w:cs="Arial"/>
          <w:b/>
        </w:rPr>
      </w:pPr>
      <w:r w:rsidRPr="00F26448">
        <w:rPr>
          <w:rFonts w:ascii="Arial" w:eastAsia="Calibri" w:hAnsi="Arial" w:cs="Arial"/>
          <w:b/>
        </w:rPr>
        <w:t xml:space="preserve">2. </w:t>
      </w:r>
      <w:r w:rsidR="00F37112" w:rsidRPr="00F26448">
        <w:rPr>
          <w:rFonts w:ascii="Arial" w:eastAsia="Calibri" w:hAnsi="Arial" w:cs="Arial"/>
          <w:b/>
        </w:rPr>
        <w:t>Consideraciones</w:t>
      </w:r>
    </w:p>
    <w:p w14:paraId="7B1E763F" w14:textId="77777777" w:rsidR="00F37112" w:rsidRPr="00F26448" w:rsidRDefault="00F37112" w:rsidP="00DE0BFC">
      <w:pPr>
        <w:tabs>
          <w:tab w:val="left" w:pos="426"/>
        </w:tabs>
        <w:spacing w:after="0" w:line="276" w:lineRule="auto"/>
        <w:jc w:val="both"/>
        <w:rPr>
          <w:rFonts w:ascii="Arial" w:eastAsia="Calibri" w:hAnsi="Arial" w:cs="Arial"/>
          <w:b/>
        </w:rPr>
      </w:pPr>
    </w:p>
    <w:p w14:paraId="121FCACC" w14:textId="6ECC52E9" w:rsidR="00F03692" w:rsidRPr="00F26448" w:rsidRDefault="00BF1842" w:rsidP="00DE0BFC">
      <w:pPr>
        <w:spacing w:after="0" w:line="276" w:lineRule="auto"/>
        <w:jc w:val="both"/>
        <w:rPr>
          <w:rFonts w:ascii="Arial" w:hAnsi="Arial" w:cs="Arial"/>
        </w:rPr>
      </w:pPr>
      <w:r w:rsidRPr="00F26448">
        <w:rPr>
          <w:rFonts w:ascii="Arial" w:hAnsi="Arial" w:cs="Arial"/>
        </w:rPr>
        <w:t xml:space="preserve">La Agencia Nacional de Contratación Pública </w:t>
      </w:r>
      <w:r w:rsidR="00F938B9" w:rsidRPr="00F26448">
        <w:rPr>
          <w:rFonts w:ascii="Arial" w:hAnsi="Arial" w:cs="Arial"/>
        </w:rPr>
        <w:t>–</w:t>
      </w:r>
      <w:r w:rsidRPr="00F26448">
        <w:rPr>
          <w:rFonts w:ascii="Arial" w:hAnsi="Arial" w:cs="Arial"/>
        </w:rPr>
        <w:t xml:space="preserve"> Colombia Compra Eficiente </w:t>
      </w:r>
      <w:r w:rsidRPr="00F26448">
        <w:rPr>
          <w:rFonts w:ascii="Arial" w:eastAsia="Calibri" w:hAnsi="Arial" w:cs="Arial"/>
        </w:rPr>
        <w:t>e</w:t>
      </w:r>
      <w:r w:rsidRPr="00F26448">
        <w:rPr>
          <w:rFonts w:ascii="Arial" w:hAnsi="Arial" w:cs="Arial"/>
        </w:rPr>
        <w:t>n los conceptos 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C-064 del 8 de marzo de 2021</w:t>
      </w:r>
      <w:r w:rsidR="0061413C" w:rsidRPr="00F26448">
        <w:rPr>
          <w:rFonts w:ascii="Arial" w:hAnsi="Arial" w:cs="Arial"/>
        </w:rPr>
        <w:t>,</w:t>
      </w:r>
      <w:r w:rsidR="00AE6E3B" w:rsidRPr="00F26448">
        <w:rPr>
          <w:rFonts w:ascii="Arial" w:hAnsi="Arial" w:cs="Arial"/>
        </w:rPr>
        <w:t xml:space="preserve"> C-157 del 13 de abril de 2021, C-204 del 6 de mayo de 2021, C-215 del 12 de mayo de 2021, C-263, C-268 del 3 de junio de 2021, C-287, C-304 del 28 de junio de 2021, C-361 del 2 de agosto de 2021, C-425 del 19 de agosto, C-471 del 30 de agosto de 2021, C-511 del 22 de septiembre de 2021, C-531 del 27 de septiembre de 2021, C-624 del 8 de noviembre de 2021, C-643 del 17 de noviembre de 2021, C-706 del 17 de enero de 2022, C-066 del 28 de enero de 2022, C-705 del 5 de enero de 2022</w:t>
      </w:r>
      <w:r w:rsidR="00A36171" w:rsidRPr="00F26448">
        <w:rPr>
          <w:rFonts w:ascii="Arial" w:hAnsi="Arial" w:cs="Arial"/>
        </w:rPr>
        <w:t xml:space="preserve">, </w:t>
      </w:r>
      <w:r w:rsidR="00B80C0E" w:rsidRPr="00F26448">
        <w:rPr>
          <w:rFonts w:ascii="Arial" w:eastAsia="Calibri" w:hAnsi="Arial" w:cs="Arial"/>
          <w:lang w:val="es-ES_tradnl" w:eastAsia="es-ES_tradnl"/>
        </w:rPr>
        <w:t>C-753 del 6 de febrero de 2022, C-011 del 18 de febrero de 2022, C-033 del 4 de marzo de 2022, C-060 del 10 de marzo de 2022, C-086 del 15 de marzo de 2022, C-130 del 22 de marzo de 2022, C-110 del 23 de marzo de 2022, C-347 del 9 de junio de 2022</w:t>
      </w:r>
      <w:r w:rsidR="0002601B" w:rsidRPr="00F26448">
        <w:rPr>
          <w:rFonts w:ascii="Arial" w:eastAsia="Calibri" w:hAnsi="Arial" w:cs="Arial"/>
          <w:lang w:val="es-ES_tradnl" w:eastAsia="es-ES_tradnl"/>
        </w:rPr>
        <w:t xml:space="preserve">, </w:t>
      </w:r>
      <w:r w:rsidR="00B80C0E" w:rsidRPr="00F26448">
        <w:rPr>
          <w:rFonts w:ascii="Arial" w:eastAsia="Calibri" w:hAnsi="Arial" w:cs="Arial"/>
          <w:lang w:val="es-ES_tradnl" w:eastAsia="es-ES_tradnl"/>
        </w:rPr>
        <w:t xml:space="preserve">C-386 del 15 de junio de 2022, </w:t>
      </w:r>
      <w:r w:rsidR="00B80C0E" w:rsidRPr="00F26448">
        <w:rPr>
          <w:rFonts w:ascii="Arial" w:hAnsi="Arial" w:cs="Arial"/>
        </w:rPr>
        <w:t>C-398 del 15 de junio de 2022, C-403 del 22 de junio de 2022</w:t>
      </w:r>
      <w:r w:rsidR="00E27A66" w:rsidRPr="00F26448">
        <w:rPr>
          <w:rFonts w:ascii="Arial" w:hAnsi="Arial" w:cs="Arial"/>
        </w:rPr>
        <w:t xml:space="preserve">, </w:t>
      </w:r>
      <w:r w:rsidR="00021AEC" w:rsidRPr="00F26448">
        <w:rPr>
          <w:rFonts w:ascii="Arial" w:eastAsia="Calibri" w:hAnsi="Arial" w:cs="Arial"/>
          <w:lang w:val="es-ES_tradnl" w:eastAsia="es-ES_tradnl"/>
        </w:rPr>
        <w:t>C-356 del 6 de julio de 2022</w:t>
      </w:r>
      <w:r w:rsidR="00E27A66" w:rsidRPr="00F26448">
        <w:rPr>
          <w:rFonts w:ascii="Arial" w:eastAsia="Calibri" w:hAnsi="Arial" w:cs="Arial"/>
          <w:lang w:val="es-ES_tradnl" w:eastAsia="es-ES_tradnl"/>
        </w:rPr>
        <w:t xml:space="preserve">, </w:t>
      </w:r>
      <w:r w:rsidR="00E27A66" w:rsidRPr="00F26448">
        <w:rPr>
          <w:rFonts w:ascii="Arial" w:hAnsi="Arial" w:cs="Arial"/>
          <w:shd w:val="clear" w:color="auto" w:fill="FFFFFF"/>
        </w:rPr>
        <w:t>C-405 del 22 de junio de 2022, C-410 del 23 de junio de 2022 y C</w:t>
      </w:r>
      <w:r w:rsidR="00750F32" w:rsidRPr="00F26448">
        <w:rPr>
          <w:rFonts w:ascii="Arial" w:hAnsi="Arial" w:cs="Arial"/>
          <w:shd w:val="clear" w:color="auto" w:fill="FFFFFF"/>
        </w:rPr>
        <w:t>-499 del 2 de agosto de 2022</w:t>
      </w:r>
      <w:r w:rsidR="00F85E49" w:rsidRPr="00F26448">
        <w:rPr>
          <w:rFonts w:ascii="Arial" w:hAnsi="Arial" w:cs="Arial"/>
        </w:rPr>
        <w:t>,</w:t>
      </w:r>
      <w:r w:rsidR="002368E5" w:rsidRPr="00F26448">
        <w:rPr>
          <w:rFonts w:ascii="Arial" w:hAnsi="Arial" w:cs="Arial"/>
        </w:rPr>
        <w:t xml:space="preserve"> </w:t>
      </w:r>
      <w:r w:rsidRPr="00F26448">
        <w:rPr>
          <w:rFonts w:ascii="Arial" w:hAnsi="Arial" w:cs="Arial"/>
        </w:rPr>
        <w:t>explicó el principio de inalterabilidad de los documentos tipo y sus excepciones</w:t>
      </w:r>
      <w:r w:rsidR="008338E8" w:rsidRPr="00F26448">
        <w:rPr>
          <w:rFonts w:ascii="Arial" w:hAnsi="Arial" w:cs="Arial"/>
        </w:rPr>
        <w:t xml:space="preserve">. Asimismo, </w:t>
      </w:r>
      <w:r w:rsidR="008338E8" w:rsidRPr="00F26448">
        <w:rPr>
          <w:rFonts w:ascii="Arial" w:hAnsi="Arial" w:cs="Arial"/>
          <w:color w:val="000000" w:themeColor="text1"/>
        </w:rPr>
        <w:t xml:space="preserve">se ha pronunciado en diferentes ocasiones sobre la </w:t>
      </w:r>
      <w:r w:rsidR="008338E8" w:rsidRPr="00F26448">
        <w:rPr>
          <w:rFonts w:ascii="Arial" w:hAnsi="Arial" w:cs="Arial"/>
          <w:color w:val="000000" w:themeColor="text1"/>
          <w:lang w:val="es-ES_tradnl"/>
        </w:rPr>
        <w:t xml:space="preserve">aplicación del método de ponderación de ofertas en procesos contractuales regidos por documentos tipo, en los conceptos C-193 del 6 de abril de 2020, C-279 del 18 de mayo de 2020, C-349 del 23 de junio de 2020, C-431 </w:t>
      </w:r>
      <w:r w:rsidR="008338E8" w:rsidRPr="00F26448">
        <w:rPr>
          <w:rFonts w:ascii="Arial" w:hAnsi="Arial" w:cs="Arial"/>
          <w:color w:val="000000" w:themeColor="text1"/>
          <w:lang w:val="es-ES_tradnl"/>
        </w:rPr>
        <w:lastRenderedPageBreak/>
        <w:t>del 9 de julio de 2020, C-793 del 20 de enero de 2021, C-810 del 8 de febrero de 2021, C-011 del 17 de febrero de 2021, C-042 del 3 de marzo de 2021, C-174 del 26 de abril de 2021, C-332 del 07 de mayo de 2021, C-412 del 17 de agosto de 2021, C-402 del 19 de agosto de 2021, C-425 del 19 de agosto de 2021, C-632 del 19 de noviembre de 2021 y C-680 del 09 de diciembre de 2021</w:t>
      </w:r>
      <w:r w:rsidR="008338E8" w:rsidRPr="00F26448">
        <w:rPr>
          <w:rStyle w:val="Refdenotaalpie"/>
          <w:rFonts w:ascii="Arial" w:eastAsia="Calibri" w:hAnsi="Arial" w:cs="Arial"/>
          <w:lang w:val="es-ES_tradnl"/>
        </w:rPr>
        <w:footnoteReference w:id="1"/>
      </w:r>
      <w:r w:rsidR="008338E8" w:rsidRPr="00F26448">
        <w:rPr>
          <w:rFonts w:ascii="Arial" w:hAnsi="Arial" w:cs="Arial"/>
          <w:color w:val="000000" w:themeColor="text1"/>
          <w:lang w:val="es-ES_tradnl"/>
        </w:rPr>
        <w:t>.</w:t>
      </w:r>
      <w:r w:rsidR="00F20118" w:rsidRPr="00F26448">
        <w:rPr>
          <w:rFonts w:ascii="Arial" w:hAnsi="Arial" w:cs="Arial"/>
        </w:rPr>
        <w:t xml:space="preserve"> </w:t>
      </w:r>
      <w:r w:rsidR="008338E8" w:rsidRPr="00F26448">
        <w:rPr>
          <w:rFonts w:ascii="Arial" w:eastAsia="Calibri" w:hAnsi="Arial" w:cs="Arial"/>
        </w:rPr>
        <w:t>L</w:t>
      </w:r>
      <w:r w:rsidR="00F03692" w:rsidRPr="00F26448">
        <w:rPr>
          <w:rFonts w:ascii="Arial" w:eastAsia="Calibri" w:hAnsi="Arial" w:cs="Arial"/>
        </w:rPr>
        <w:t>as tesis desarrolladas en estos conceptos</w:t>
      </w:r>
      <w:r w:rsidR="00F938B9" w:rsidRPr="00F26448">
        <w:rPr>
          <w:rFonts w:ascii="Arial" w:eastAsia="Calibri" w:hAnsi="Arial" w:cs="Arial"/>
        </w:rPr>
        <w:t xml:space="preserve"> </w:t>
      </w:r>
      <w:r w:rsidR="00F03692" w:rsidRPr="00F26448">
        <w:rPr>
          <w:rFonts w:ascii="Arial" w:eastAsia="Calibri" w:hAnsi="Arial" w:cs="Arial"/>
        </w:rPr>
        <w:t xml:space="preserve">se </w:t>
      </w:r>
      <w:r w:rsidR="00F938B9" w:rsidRPr="00F26448">
        <w:rPr>
          <w:rFonts w:ascii="Arial" w:eastAsia="Calibri" w:hAnsi="Arial" w:cs="Arial"/>
        </w:rPr>
        <w:t>reiteran</w:t>
      </w:r>
      <w:r w:rsidR="008338E8" w:rsidRPr="00F26448">
        <w:rPr>
          <w:rFonts w:ascii="Arial" w:eastAsia="Calibri" w:hAnsi="Arial" w:cs="Arial"/>
        </w:rPr>
        <w:t xml:space="preserve"> y se complementan en lo pertinente</w:t>
      </w:r>
      <w:r w:rsidR="00F03692" w:rsidRPr="00F26448">
        <w:rPr>
          <w:rFonts w:ascii="Arial" w:eastAsia="Calibri" w:hAnsi="Arial" w:cs="Arial"/>
        </w:rPr>
        <w:t xml:space="preserve"> a continuación:</w:t>
      </w:r>
    </w:p>
    <w:p w14:paraId="4CF456C1" w14:textId="77777777" w:rsidR="00BF1842" w:rsidRPr="00F26448" w:rsidRDefault="00BF1842" w:rsidP="00DE0BFC">
      <w:pPr>
        <w:spacing w:after="0" w:line="276" w:lineRule="auto"/>
        <w:contextualSpacing/>
        <w:jc w:val="both"/>
        <w:rPr>
          <w:rFonts w:ascii="Arial" w:eastAsia="Calibri" w:hAnsi="Arial" w:cs="Arial"/>
          <w:lang w:val="es-MX"/>
        </w:rPr>
      </w:pPr>
    </w:p>
    <w:p w14:paraId="38F4788A" w14:textId="77777777" w:rsidR="00607DC1" w:rsidRPr="00F26448" w:rsidRDefault="00607DC1" w:rsidP="00DE0BFC">
      <w:pPr>
        <w:spacing w:after="0" w:line="276" w:lineRule="auto"/>
        <w:contextualSpacing/>
        <w:jc w:val="both"/>
        <w:rPr>
          <w:rFonts w:ascii="Arial" w:eastAsia="Calibri" w:hAnsi="Arial" w:cs="Arial"/>
          <w:b/>
          <w:bCs/>
        </w:rPr>
      </w:pPr>
      <w:r w:rsidRPr="00F26448">
        <w:rPr>
          <w:rFonts w:ascii="Arial" w:eastAsia="Calibri" w:hAnsi="Arial" w:cs="Arial"/>
          <w:b/>
          <w:bCs/>
        </w:rPr>
        <w:t>2.1. Fundamento normativo y ámbito de aplicación de los documentos tipo</w:t>
      </w:r>
    </w:p>
    <w:p w14:paraId="15C1199B" w14:textId="77777777" w:rsidR="00607DC1" w:rsidRPr="00F26448" w:rsidRDefault="00607DC1" w:rsidP="00DE0BFC">
      <w:pPr>
        <w:spacing w:after="0" w:line="276" w:lineRule="auto"/>
        <w:contextualSpacing/>
        <w:jc w:val="both"/>
        <w:rPr>
          <w:rFonts w:ascii="Arial" w:eastAsia="Calibri" w:hAnsi="Arial" w:cs="Arial"/>
        </w:rPr>
      </w:pPr>
    </w:p>
    <w:p w14:paraId="767C73D5" w14:textId="76EBCF9A" w:rsidR="00675ADC" w:rsidRPr="00F26448" w:rsidRDefault="00675ADC" w:rsidP="00DE0BFC">
      <w:pPr>
        <w:spacing w:after="120" w:line="276" w:lineRule="auto"/>
        <w:jc w:val="both"/>
        <w:rPr>
          <w:rFonts w:ascii="Arial" w:eastAsia="Calibri" w:hAnsi="Arial" w:cs="Arial"/>
          <w:lang w:val="es-ES"/>
        </w:rPr>
      </w:pPr>
      <w:bookmarkStart w:id="2" w:name="_Hlk113267191"/>
      <w:r w:rsidRPr="00F26448">
        <w:rPr>
          <w:rFonts w:ascii="Arial" w:eastAsia="Calibri" w:hAnsi="Arial" w:cs="Arial"/>
          <w:lang w:val="es-ES"/>
        </w:rPr>
        <w:t>La adopción de los documentos tipo obligatorios en el ordenamiento jurídico colombiano se incluyó por primera vez en el parágrafo 3 del artículo 2 de la Ley 1150 de 2007</w:t>
      </w:r>
      <w:r w:rsidRPr="00F26448">
        <w:rPr>
          <w:rFonts w:ascii="Arial" w:eastAsia="Calibri" w:hAnsi="Arial" w:cs="Arial"/>
          <w:vertAlign w:val="superscript"/>
          <w:lang w:val="es-ES"/>
        </w:rPr>
        <w:footnoteReference w:id="2"/>
      </w:r>
      <w:r w:rsidRPr="00F26448">
        <w:rPr>
          <w:rFonts w:ascii="Arial" w:eastAsia="Calibri" w:hAnsi="Arial" w:cs="Arial"/>
          <w:lang w:val="es-ES"/>
        </w:rPr>
        <w:t xml:space="preserve">, que facultó al </w:t>
      </w:r>
      <w:r w:rsidR="008338E8" w:rsidRPr="00F26448">
        <w:rPr>
          <w:rFonts w:ascii="Arial" w:eastAsia="Calibri" w:hAnsi="Arial" w:cs="Arial"/>
          <w:lang w:val="es-ES"/>
        </w:rPr>
        <w:t xml:space="preserve">Gobierno Nacional </w:t>
      </w:r>
      <w:r w:rsidRPr="00F26448">
        <w:rPr>
          <w:rFonts w:ascii="Arial" w:eastAsia="Calibri" w:hAnsi="Arial" w:cs="Arial"/>
          <w:lang w:val="es-ES"/>
        </w:rPr>
        <w:t xml:space="preserve">para expedirlos, pero solo cuando se tratara de la adquisición o suministro de bienes y servicios de características técnicas uniformes y de común utilización; facultad que no ha sido ejercida hasta la actualidad. </w:t>
      </w:r>
    </w:p>
    <w:p w14:paraId="1F74985C" w14:textId="1136C84F" w:rsidR="00675ADC" w:rsidRPr="00F26448" w:rsidRDefault="00675ADC" w:rsidP="00DE0BFC">
      <w:pPr>
        <w:spacing w:after="120" w:line="276" w:lineRule="auto"/>
        <w:ind w:firstLine="708"/>
        <w:jc w:val="both"/>
        <w:rPr>
          <w:rFonts w:ascii="Arial" w:eastAsia="Calibri" w:hAnsi="Arial" w:cs="Arial"/>
          <w:lang w:val="es-ES"/>
        </w:rPr>
      </w:pPr>
      <w:r w:rsidRPr="00F26448">
        <w:rPr>
          <w:rFonts w:ascii="Arial" w:eastAsia="Calibri" w:hAnsi="Arial" w:cs="Arial"/>
          <w:lang w:val="es-ES"/>
        </w:rPr>
        <w:t>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w:t>
      </w:r>
      <w:r w:rsidR="003275FF" w:rsidRPr="00F26448">
        <w:rPr>
          <w:rFonts w:ascii="Arial" w:eastAsia="Calibri" w:hAnsi="Arial" w:cs="Arial"/>
          <w:lang w:val="es-ES"/>
        </w:rPr>
        <w:t xml:space="preserve"> – en adelante EGCAP–</w:t>
      </w:r>
      <w:r w:rsidRPr="00F26448">
        <w:rPr>
          <w:rFonts w:ascii="Arial" w:eastAsia="Calibri" w:hAnsi="Arial" w:cs="Arial"/>
          <w:lang w:val="es-ES"/>
        </w:rPr>
        <w:t xml:space="preserve"> de aplicar los documentos tipo adoptados por el </w:t>
      </w:r>
      <w:r w:rsidR="003275FF" w:rsidRPr="00F26448">
        <w:rPr>
          <w:rFonts w:ascii="Arial" w:eastAsia="Calibri" w:hAnsi="Arial" w:cs="Arial"/>
          <w:lang w:val="es-ES"/>
        </w:rPr>
        <w:t>Gobierno Nacional</w:t>
      </w:r>
      <w:r w:rsidRPr="00F26448">
        <w:rPr>
          <w:rFonts w:ascii="Arial" w:eastAsia="Calibri" w:hAnsi="Arial" w:cs="Arial"/>
          <w:lang w:val="es-ES"/>
        </w:rPr>
        <w:t xml:space="preserve">. En virtud de las competencias atribuidas por la Ley 1882 de 2018 se expidieron varios documentos tipo para el sector de infraestructura de transporte. </w:t>
      </w:r>
    </w:p>
    <w:p w14:paraId="5705BD23" w14:textId="0C1B727C" w:rsidR="00675ADC" w:rsidRPr="00F26448" w:rsidRDefault="00675ADC" w:rsidP="00DE0BFC">
      <w:pPr>
        <w:spacing w:before="120" w:after="120" w:line="276" w:lineRule="auto"/>
        <w:ind w:firstLine="708"/>
        <w:jc w:val="both"/>
        <w:rPr>
          <w:rFonts w:ascii="Arial" w:eastAsia="Calibri" w:hAnsi="Arial" w:cs="Arial"/>
          <w:lang w:val="es-ES"/>
        </w:rPr>
      </w:pPr>
      <w:r w:rsidRPr="00F26448">
        <w:rPr>
          <w:rFonts w:ascii="Arial" w:eastAsia="Calibri" w:hAnsi="Arial" w:cs="Arial"/>
          <w:lang w:val="es-ES"/>
        </w:rPr>
        <w:t xml:space="preserve">La Ley 1882 de 2018, en el artículo 4, establecía que el </w:t>
      </w:r>
      <w:r w:rsidR="003275FF" w:rsidRPr="00F26448">
        <w:rPr>
          <w:rFonts w:ascii="Arial" w:eastAsia="Calibri" w:hAnsi="Arial" w:cs="Arial"/>
          <w:lang w:val="es-ES"/>
        </w:rPr>
        <w:t xml:space="preserve">Gobierno Nacional </w:t>
      </w:r>
      <w:r w:rsidRPr="00F26448">
        <w:rPr>
          <w:rFonts w:ascii="Arial" w:eastAsia="Calibri" w:hAnsi="Arial" w:cs="Arial"/>
          <w:lang w:val="es-ES"/>
        </w:rPr>
        <w:t>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EGCAP en los procesos de selección que adelantaran</w:t>
      </w:r>
      <w:r w:rsidRPr="00F26448">
        <w:rPr>
          <w:rFonts w:ascii="Arial" w:eastAsia="Calibri" w:hAnsi="Arial" w:cs="Arial"/>
          <w:vertAlign w:val="superscript"/>
          <w:lang w:val="es-ES"/>
        </w:rPr>
        <w:footnoteReference w:id="3"/>
      </w:r>
      <w:r w:rsidRPr="00F26448">
        <w:rPr>
          <w:rFonts w:ascii="Arial" w:eastAsia="Calibri" w:hAnsi="Arial" w:cs="Arial"/>
          <w:lang w:val="es-ES"/>
        </w:rPr>
        <w:t>.</w:t>
      </w:r>
    </w:p>
    <w:bookmarkEnd w:id="2"/>
    <w:p w14:paraId="1235DF01" w14:textId="3245FF6B" w:rsidR="00675ADC" w:rsidRPr="00F26448" w:rsidRDefault="00675ADC" w:rsidP="00DE0BFC">
      <w:pPr>
        <w:spacing w:before="120" w:after="120" w:line="276" w:lineRule="auto"/>
        <w:jc w:val="both"/>
        <w:rPr>
          <w:rFonts w:ascii="Arial" w:eastAsia="Calibri" w:hAnsi="Arial" w:cs="Arial"/>
          <w:lang w:val="es-ES"/>
        </w:rPr>
      </w:pPr>
      <w:r w:rsidRPr="00F26448">
        <w:rPr>
          <w:rFonts w:ascii="Arial" w:eastAsia="Calibri" w:hAnsi="Arial" w:cs="Arial"/>
          <w:lang w:val="es-ES"/>
        </w:rPr>
        <w:lastRenderedPageBreak/>
        <w:tab/>
        <w:t xml:space="preserve">Asimismo, señalaba que, dentro de los documentos tipo, el </w:t>
      </w:r>
      <w:r w:rsidR="003275FF" w:rsidRPr="00F26448">
        <w:rPr>
          <w:rFonts w:ascii="Arial" w:eastAsia="Calibri" w:hAnsi="Arial" w:cs="Arial"/>
          <w:lang w:val="es-ES"/>
        </w:rPr>
        <w:t xml:space="preserve">Gobierno </w:t>
      </w:r>
      <w:r w:rsidRPr="00F26448">
        <w:rPr>
          <w:rFonts w:ascii="Arial" w:eastAsia="Calibri" w:hAnsi="Arial" w:cs="Arial"/>
          <w:lang w:val="es-ES"/>
        </w:rPr>
        <w:t xml:space="preserve">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w:t>
      </w:r>
      <w:r w:rsidR="003275FF" w:rsidRPr="00F26448">
        <w:rPr>
          <w:rFonts w:ascii="Arial" w:eastAsia="Calibri" w:hAnsi="Arial" w:cs="Arial"/>
          <w:lang w:val="es-ES"/>
        </w:rPr>
        <w:t xml:space="preserve">Gobierno </w:t>
      </w:r>
      <w:r w:rsidRPr="00F26448">
        <w:rPr>
          <w:rFonts w:ascii="Arial" w:eastAsia="Calibri" w:hAnsi="Arial" w:cs="Arial"/>
          <w:lang w:val="es-ES"/>
        </w:rPr>
        <w:t xml:space="preserve">tendría en cuenta las características propias de las regiones con el ánimo de promover el empleo local. Por último, se facultaba al </w:t>
      </w:r>
      <w:r w:rsidR="003275FF" w:rsidRPr="00F26448">
        <w:rPr>
          <w:rFonts w:ascii="Arial" w:eastAsia="Calibri" w:hAnsi="Arial" w:cs="Arial"/>
          <w:lang w:val="es-ES"/>
        </w:rPr>
        <w:t xml:space="preserve">Gobierno </w:t>
      </w:r>
      <w:r w:rsidRPr="00F26448">
        <w:rPr>
          <w:rFonts w:ascii="Arial" w:eastAsia="Calibri" w:hAnsi="Arial" w:cs="Arial"/>
          <w:lang w:val="es-ES"/>
        </w:rPr>
        <w:t xml:space="preserve">para adoptar los documentos tipo cuando lo considerara necesario en relación con otros contratos o procesos de selección. </w:t>
      </w:r>
    </w:p>
    <w:p w14:paraId="37B8E36F" w14:textId="5A74AFF1" w:rsidR="00675ADC" w:rsidRPr="00F26448" w:rsidRDefault="00675ADC" w:rsidP="00DE0BFC">
      <w:pPr>
        <w:spacing w:before="120" w:after="120" w:line="276" w:lineRule="auto"/>
        <w:jc w:val="both"/>
        <w:rPr>
          <w:rFonts w:ascii="Arial" w:eastAsia="Calibri" w:hAnsi="Arial" w:cs="Arial"/>
          <w:lang w:val="es-ES"/>
        </w:rPr>
      </w:pPr>
      <w:r w:rsidRPr="00F26448">
        <w:rPr>
          <w:rFonts w:ascii="Arial" w:eastAsia="Calibri" w:hAnsi="Arial" w:cs="Arial"/>
          <w:lang w:val="es-ES"/>
        </w:rPr>
        <w:tab/>
        <w:t xml:space="preserve">De la norma descrita se concluía lo siguiente: i) la adopción de los documentos tipo estaba en cabeza del </w:t>
      </w:r>
      <w:r w:rsidR="003275FF" w:rsidRPr="00F26448">
        <w:rPr>
          <w:rFonts w:ascii="Arial" w:eastAsia="Calibri" w:hAnsi="Arial" w:cs="Arial"/>
          <w:lang w:val="es-ES"/>
        </w:rPr>
        <w:t>Gobierno Nacional</w:t>
      </w:r>
      <w:r w:rsidRPr="00F26448">
        <w:rPr>
          <w:rFonts w:ascii="Arial" w:eastAsia="Calibri" w:hAnsi="Arial" w:cs="Arial"/>
          <w:lang w:val="es-ES"/>
        </w:rPr>
        <w:t xml:space="preserve">; </w:t>
      </w:r>
      <w:proofErr w:type="spellStart"/>
      <w:r w:rsidRPr="00F26448">
        <w:rPr>
          <w:rFonts w:ascii="Arial" w:eastAsia="Calibri" w:hAnsi="Arial" w:cs="Arial"/>
          <w:lang w:val="es-ES"/>
        </w:rPr>
        <w:t>ii</w:t>
      </w:r>
      <w:proofErr w:type="spellEnd"/>
      <w:r w:rsidRPr="00F26448">
        <w:rPr>
          <w:rFonts w:ascii="Arial" w:eastAsia="Calibri" w:hAnsi="Arial" w:cs="Arial"/>
          <w:lang w:val="es-ES"/>
        </w:rPr>
        <w:t xml:space="preserve">) estos debían relacionarse con procesos de obra públicas, interventoría para las obras públicas, interventoría para consultoría de estudios y diseños y, finalmente, consultoría en ingeniería para obras; </w:t>
      </w:r>
      <w:proofErr w:type="spellStart"/>
      <w:r w:rsidRPr="00F26448">
        <w:rPr>
          <w:rFonts w:ascii="Arial" w:eastAsia="Calibri" w:hAnsi="Arial" w:cs="Arial"/>
          <w:lang w:val="es-ES"/>
        </w:rPr>
        <w:t>iii</w:t>
      </w:r>
      <w:proofErr w:type="spellEnd"/>
      <w:r w:rsidRPr="00F26448">
        <w:rPr>
          <w:rFonts w:ascii="Arial" w:eastAsia="Calibri" w:hAnsi="Arial" w:cs="Arial"/>
          <w:lang w:val="es-ES"/>
        </w:rPr>
        <w:t xml:space="preserve">) eran de obligatorio cumplimiento por parte de todas las entidades sometidas al EGCAP; </w:t>
      </w:r>
      <w:proofErr w:type="spellStart"/>
      <w:r w:rsidRPr="00F26448">
        <w:rPr>
          <w:rFonts w:ascii="Arial" w:eastAsia="Calibri" w:hAnsi="Arial" w:cs="Arial"/>
          <w:lang w:val="es-ES"/>
        </w:rPr>
        <w:t>iv</w:t>
      </w:r>
      <w:proofErr w:type="spellEnd"/>
      <w:r w:rsidRPr="00F26448">
        <w:rPr>
          <w:rFonts w:ascii="Arial" w:eastAsia="Calibri" w:hAnsi="Arial" w:cs="Arial"/>
          <w:lang w:val="es-ES"/>
        </w:rPr>
        <w:t xml:space="preserve">) en los documentos tipo se indicarían las condiciones generales de los requisitos habilitantes, así como los factores técnicos y económicos de escogencia, según correspondiera para cada modalidad de selección; v) el </w:t>
      </w:r>
      <w:r w:rsidR="003275FF" w:rsidRPr="00F26448">
        <w:rPr>
          <w:rFonts w:ascii="Arial" w:eastAsia="Calibri" w:hAnsi="Arial" w:cs="Arial"/>
          <w:lang w:val="es-ES"/>
        </w:rPr>
        <w:t xml:space="preserve">Gobierno Nacional </w:t>
      </w:r>
      <w:r w:rsidRPr="00F26448">
        <w:rPr>
          <w:rFonts w:ascii="Arial" w:eastAsia="Calibri" w:hAnsi="Arial" w:cs="Arial"/>
          <w:lang w:val="es-ES"/>
        </w:rPr>
        <w:t>tenía la facultad de adoptar documentos tipo en otros contratos o procesos de selección, y por último</w:t>
      </w:r>
      <w:r w:rsidR="003275FF" w:rsidRPr="00F26448">
        <w:rPr>
          <w:rFonts w:ascii="Arial" w:eastAsia="Calibri" w:hAnsi="Arial" w:cs="Arial"/>
          <w:lang w:val="es-ES"/>
        </w:rPr>
        <w:t xml:space="preserve">; </w:t>
      </w:r>
      <w:r w:rsidRPr="00F26448">
        <w:rPr>
          <w:rFonts w:ascii="Arial" w:eastAsia="Calibri" w:hAnsi="Arial" w:cs="Arial"/>
          <w:lang w:val="es-ES"/>
        </w:rPr>
        <w:t xml:space="preserve">vi) los documentos tipo serían adoptados por categorías de acuerdo con la cuantía de la contratación. </w:t>
      </w:r>
    </w:p>
    <w:p w14:paraId="4AF9EA65" w14:textId="4EEA57D7" w:rsidR="00675ADC" w:rsidRPr="00F26448" w:rsidRDefault="00675ADC" w:rsidP="00DE0BFC">
      <w:pPr>
        <w:spacing w:before="120" w:after="120" w:line="276" w:lineRule="auto"/>
        <w:jc w:val="both"/>
        <w:rPr>
          <w:rFonts w:ascii="Arial" w:eastAsia="Calibri" w:hAnsi="Arial" w:cs="Arial"/>
          <w:lang w:val="es-ES"/>
        </w:rPr>
      </w:pPr>
      <w:r w:rsidRPr="00F26448">
        <w:rPr>
          <w:rFonts w:ascii="Arial" w:eastAsia="Calibri" w:hAnsi="Arial" w:cs="Arial"/>
          <w:lang w:val="es-ES"/>
        </w:rPr>
        <w:tab/>
        <w:t xml:space="preserve">Esta norma fue estudiada por la Corte Constitucional en la sentencia C-119 de 2020. Al respecto, </w:t>
      </w:r>
      <w:r w:rsidR="003275FF" w:rsidRPr="00F26448">
        <w:rPr>
          <w:rFonts w:ascii="Arial" w:eastAsia="Calibri" w:hAnsi="Arial" w:cs="Arial"/>
          <w:lang w:val="es-ES"/>
        </w:rPr>
        <w:t xml:space="preserve">la máxima Corporación </w:t>
      </w:r>
      <w:r w:rsidRPr="00F26448">
        <w:rPr>
          <w:rFonts w:ascii="Arial" w:eastAsia="Calibri" w:hAnsi="Arial" w:cs="Arial"/>
          <w:lang w:val="es-ES"/>
        </w:rPr>
        <w:t>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F26448">
        <w:rPr>
          <w:rFonts w:ascii="Arial" w:eastAsia="Calibri" w:hAnsi="Arial" w:cs="Arial"/>
          <w:vertAlign w:val="superscript"/>
          <w:lang w:val="es-ES"/>
        </w:rPr>
        <w:footnoteReference w:id="4"/>
      </w:r>
      <w:r w:rsidRPr="00F26448">
        <w:rPr>
          <w:rFonts w:ascii="Arial" w:eastAsia="Calibri" w:hAnsi="Arial" w:cs="Arial"/>
          <w:lang w:val="es-ES"/>
        </w:rPr>
        <w:t>.</w:t>
      </w:r>
    </w:p>
    <w:p w14:paraId="70A2130F" w14:textId="240B5B6C" w:rsidR="00675ADC" w:rsidRPr="00F26448" w:rsidRDefault="00675ADC" w:rsidP="00DE0BFC">
      <w:pPr>
        <w:spacing w:before="120" w:after="120" w:line="276" w:lineRule="auto"/>
        <w:jc w:val="both"/>
        <w:rPr>
          <w:rFonts w:ascii="Arial" w:eastAsia="Calibri" w:hAnsi="Arial" w:cs="Arial"/>
          <w:lang w:val="es-ES"/>
        </w:rPr>
      </w:pPr>
      <w:r w:rsidRPr="00F26448">
        <w:rPr>
          <w:rFonts w:ascii="Arial" w:eastAsia="Calibri" w:hAnsi="Arial" w:cs="Arial"/>
          <w:lang w:val="es-ES"/>
        </w:rPr>
        <w:lastRenderedPageBreak/>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w:t>
      </w:r>
      <w:r w:rsidR="003275FF" w:rsidRPr="00F26448">
        <w:rPr>
          <w:rFonts w:ascii="Arial" w:eastAsia="Calibri" w:hAnsi="Arial" w:cs="Arial"/>
          <w:lang w:val="es-ES"/>
        </w:rPr>
        <w:t>Gobierno Nacional</w:t>
      </w:r>
      <w:r w:rsidRPr="00F26448">
        <w:rPr>
          <w:rFonts w:ascii="Arial" w:eastAsia="Calibri" w:hAnsi="Arial" w:cs="Arial"/>
          <w:lang w:val="es-ES"/>
        </w:rPr>
        <w:t>.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14C215A5" w14:textId="7D4E73DA" w:rsidR="00675ADC" w:rsidRPr="00F26448" w:rsidRDefault="00675ADC" w:rsidP="00DE0BFC">
      <w:pPr>
        <w:spacing w:before="120" w:after="120" w:line="276" w:lineRule="auto"/>
        <w:jc w:val="both"/>
        <w:rPr>
          <w:rFonts w:ascii="Arial" w:eastAsia="Calibri" w:hAnsi="Arial" w:cs="Arial"/>
          <w:lang w:val="es-ES"/>
        </w:rPr>
      </w:pPr>
      <w:r w:rsidRPr="00F26448">
        <w:rPr>
          <w:rFonts w:ascii="Arial" w:eastAsia="Calibri" w:hAnsi="Arial" w:cs="Arial"/>
          <w:lang w:val="es-ES"/>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Dada la relevancia económica y el impacto que tienen en el nivel territorial los proyectos de obra en el sector transporte, el </w:t>
      </w:r>
      <w:r w:rsidR="003275FF" w:rsidRPr="00F26448">
        <w:rPr>
          <w:rFonts w:ascii="Arial" w:eastAsia="Calibri" w:hAnsi="Arial" w:cs="Arial"/>
          <w:lang w:val="es-ES"/>
        </w:rPr>
        <w:t>Gobierno Nacional,</w:t>
      </w:r>
      <w:r w:rsidRPr="00F26448">
        <w:rPr>
          <w:rFonts w:ascii="Arial" w:eastAsia="Calibri" w:hAnsi="Arial" w:cs="Arial"/>
          <w:lang w:val="es-ES"/>
        </w:rPr>
        <w:t xml:space="preserve">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74C523B2" w14:textId="77777777" w:rsidR="00675ADC" w:rsidRPr="00F26448" w:rsidRDefault="00675ADC" w:rsidP="00DE0BFC">
      <w:pPr>
        <w:spacing w:before="120" w:after="120" w:line="276" w:lineRule="auto"/>
        <w:jc w:val="both"/>
        <w:rPr>
          <w:rFonts w:ascii="Arial" w:eastAsia="Calibri" w:hAnsi="Arial" w:cs="Arial"/>
          <w:lang w:val="es-ES"/>
        </w:rPr>
      </w:pPr>
      <w:r w:rsidRPr="00F26448">
        <w:rPr>
          <w:rFonts w:ascii="Arial" w:eastAsia="Calibri" w:hAnsi="Arial"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F26448" w:rsidDel="00A434AB">
        <w:rPr>
          <w:rFonts w:ascii="Arial" w:eastAsia="Calibri" w:hAnsi="Arial" w:cs="Arial"/>
          <w:lang w:val="es-ES"/>
        </w:rPr>
        <w:t xml:space="preserve"> </w:t>
      </w:r>
      <w:r w:rsidRPr="00F26448">
        <w:rPr>
          <w:rFonts w:ascii="Arial" w:eastAsia="Calibri" w:hAnsi="Arial"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49F74BD0" w14:textId="672FBD7E" w:rsidR="00675ADC" w:rsidRPr="00F26448" w:rsidRDefault="00675ADC" w:rsidP="00DE0BFC">
      <w:pPr>
        <w:spacing w:before="120" w:after="120" w:line="276" w:lineRule="auto"/>
        <w:ind w:firstLine="709"/>
        <w:jc w:val="both"/>
        <w:rPr>
          <w:rFonts w:ascii="Arial" w:eastAsia="Calibri" w:hAnsi="Arial" w:cs="Arial"/>
          <w:lang w:val="es-ES" w:eastAsia="es-ES"/>
        </w:rPr>
      </w:pPr>
      <w:r w:rsidRPr="00F26448">
        <w:rPr>
          <w:rFonts w:ascii="Arial" w:eastAsia="Calibri" w:hAnsi="Arial" w:cs="Arial"/>
          <w:lang w:val="es-ES" w:eastAsia="es-ES"/>
        </w:rPr>
        <w:t>Por otra parte</w:t>
      </w:r>
      <w:r w:rsidRPr="00F26448">
        <w:rPr>
          <w:rFonts w:ascii="Arial" w:eastAsia="Calibri" w:hAnsi="Arial" w:cs="Arial"/>
          <w:i/>
          <w:iCs/>
          <w:lang w:val="es-ES" w:eastAsia="es-ES"/>
        </w:rPr>
        <w:t>,</w:t>
      </w:r>
      <w:r w:rsidRPr="00F26448">
        <w:rPr>
          <w:rFonts w:ascii="Arial" w:eastAsia="Calibri" w:hAnsi="Arial" w:cs="Arial"/>
          <w:lang w:val="es-ES" w:eastAsia="es-ES"/>
        </w:rPr>
        <w:t xml:space="preserve"> debe tenerse en cuenta que la Ley 2022 de 2020 fue sancionada por el </w:t>
      </w:r>
      <w:r w:rsidR="001C4260" w:rsidRPr="00F26448">
        <w:rPr>
          <w:rFonts w:ascii="Arial" w:eastAsia="Calibri" w:hAnsi="Arial" w:cs="Arial"/>
          <w:lang w:val="es-ES" w:eastAsia="es-ES"/>
        </w:rPr>
        <w:t>presidente</w:t>
      </w:r>
      <w:r w:rsidRPr="00F26448">
        <w:rPr>
          <w:rFonts w:ascii="Arial" w:eastAsia="Calibri" w:hAnsi="Arial" w:cs="Arial"/>
          <w:lang w:val="es-ES" w:eastAsia="es-ES"/>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F26448">
        <w:rPr>
          <w:rFonts w:ascii="Arial" w:eastAsia="Calibri" w:hAnsi="Arial" w:cs="Arial"/>
          <w:vertAlign w:val="superscript"/>
          <w:lang w:val="es-ES" w:eastAsia="es-ES"/>
        </w:rPr>
        <w:footnoteReference w:id="5"/>
      </w:r>
      <w:r w:rsidRPr="00F26448">
        <w:rPr>
          <w:rFonts w:ascii="Arial" w:eastAsia="Calibri" w:hAnsi="Arial" w:cs="Arial"/>
          <w:lang w:val="es-ES" w:eastAsia="es-ES"/>
        </w:rPr>
        <w:t xml:space="preserve">. En este sentido, </w:t>
      </w:r>
      <w:r w:rsidRPr="00F26448">
        <w:rPr>
          <w:rFonts w:ascii="Arial" w:eastAsia="Calibri" w:hAnsi="Arial" w:cs="Arial"/>
          <w:lang w:val="es-ES" w:eastAsia="es-ES"/>
        </w:rPr>
        <w:lastRenderedPageBreak/>
        <w:t xml:space="preserve">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2F2456FC" w14:textId="77777777" w:rsidR="00675ADC" w:rsidRPr="00F26448" w:rsidRDefault="00675ADC" w:rsidP="00DE0BFC">
      <w:pPr>
        <w:spacing w:before="120" w:after="120" w:line="276" w:lineRule="auto"/>
        <w:ind w:firstLine="709"/>
        <w:jc w:val="both"/>
        <w:rPr>
          <w:rFonts w:ascii="Arial" w:eastAsia="Calibri" w:hAnsi="Arial" w:cs="Arial"/>
          <w:lang w:val="es-ES" w:eastAsia="es-ES"/>
        </w:rPr>
      </w:pPr>
      <w:r w:rsidRPr="00F26448">
        <w:rPr>
          <w:rFonts w:ascii="Arial" w:eastAsia="Calibri" w:hAnsi="Arial" w:cs="Arial"/>
          <w:lang w:val="es-ES" w:eastAsia="es-ES"/>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F26448">
        <w:rPr>
          <w:rFonts w:ascii="Arial" w:eastAsia="Calibri" w:hAnsi="Arial" w:cs="Arial"/>
          <w:lang w:val="es-ES" w:eastAsia="es-ES"/>
        </w:rPr>
        <w:t>entró en vigencia</w:t>
      </w:r>
      <w:proofErr w:type="gramEnd"/>
      <w:r w:rsidRPr="00F26448">
        <w:rPr>
          <w:rFonts w:ascii="Arial" w:eastAsia="Calibri" w:hAnsi="Arial" w:cs="Arial"/>
          <w:lang w:val="es-ES" w:eastAsia="es-ES"/>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2029D505" w14:textId="77777777" w:rsidR="00675ADC" w:rsidRPr="00F26448" w:rsidRDefault="00675ADC" w:rsidP="00DE0BFC">
      <w:pPr>
        <w:spacing w:before="120" w:after="120" w:line="276" w:lineRule="auto"/>
        <w:ind w:firstLine="709"/>
        <w:jc w:val="both"/>
        <w:rPr>
          <w:rFonts w:ascii="Arial" w:hAnsi="Arial" w:cs="Arial"/>
          <w:lang w:val="es-MX"/>
        </w:rPr>
      </w:pPr>
      <w:r w:rsidRPr="00F26448">
        <w:rPr>
          <w:rFonts w:ascii="Arial" w:eastAsia="Calibri" w:hAnsi="Arial" w:cs="Arial"/>
          <w:lang w:val="es-ES" w:eastAsia="es-ES"/>
        </w:rPr>
        <w:t xml:space="preserve">Asimismo, en el transcurso del año 2021, esta Agencia expidió la Resolución 193 del 14 de julio de 2021 «Por la cual se adoptan los documentos tipo para los procesos de selección de concurso de méritos, para contratar la consultoría de estudios de ingeniería </w:t>
      </w:r>
      <w:r w:rsidRPr="00F26448">
        <w:rPr>
          <w:rFonts w:ascii="Arial" w:eastAsia="Calibri" w:hAnsi="Arial" w:cs="Arial"/>
          <w:lang w:val="es-ES" w:eastAsia="es-ES"/>
        </w:rPr>
        <w:lastRenderedPageBreak/>
        <w:t>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posteriormente se expidió la Resolución 392 del 18 de noviembre de 2021 «</w:t>
      </w:r>
      <w:r w:rsidRPr="00F26448">
        <w:rPr>
          <w:rFonts w:ascii="Arial" w:hAnsi="Arial" w:cs="Arial"/>
          <w:bCs/>
          <w:iCs/>
          <w:shd w:val="clear" w:color="auto" w:fill="FFFFFF"/>
          <w:lang w:val="es-MX"/>
        </w:rPr>
        <w:t>Por la cual se adoptan los documentos tipo complementarios para los procesos de licitación de obra pública de infraestructura social relacionados con el sector salud</w:t>
      </w:r>
      <w:r w:rsidRPr="00F26448">
        <w:rPr>
          <w:rFonts w:ascii="Arial" w:eastAsia="Calibri" w:hAnsi="Arial" w:cs="Arial"/>
          <w:lang w:val="es-ES" w:eastAsia="es-ES"/>
        </w:rPr>
        <w:t>». Luego, se expidió la Resolución 454 del 16 de diciembre de 2021 «</w:t>
      </w:r>
      <w:r w:rsidRPr="00F26448">
        <w:rPr>
          <w:rFonts w:ascii="Arial" w:hAnsi="Arial" w:cs="Arial"/>
          <w:lang w:val="es-MX"/>
        </w:rPr>
        <w:t>Por la cual se adoptan los documentos tipo complementarios para los procesos de licitación de obra pública de infraestructura social relacionados con el sector cultura, recreación y deporte</w:t>
      </w:r>
      <w:r w:rsidRPr="00F26448">
        <w:rPr>
          <w:rFonts w:ascii="Arial" w:eastAsia="Calibri" w:hAnsi="Arial" w:cs="Arial"/>
          <w:lang w:val="es-ES" w:eastAsia="es-ES"/>
        </w:rPr>
        <w:t>»</w:t>
      </w:r>
      <w:r w:rsidRPr="00F26448">
        <w:rPr>
          <w:rFonts w:ascii="Arial" w:hAnsi="Arial" w:cs="Arial"/>
          <w:lang w:val="es-MX"/>
        </w:rPr>
        <w:t xml:space="preserve">. </w:t>
      </w:r>
    </w:p>
    <w:p w14:paraId="7E25BBE5" w14:textId="7B9F21BA" w:rsidR="00675ADC" w:rsidRPr="00F26448" w:rsidRDefault="00675ADC" w:rsidP="00DE0BFC">
      <w:pPr>
        <w:spacing w:before="120" w:after="120" w:line="276" w:lineRule="auto"/>
        <w:ind w:firstLine="709"/>
        <w:jc w:val="both"/>
        <w:rPr>
          <w:rFonts w:ascii="Arial" w:hAnsi="Arial" w:cs="Arial"/>
          <w:bdr w:val="none" w:sz="0" w:space="0" w:color="auto" w:frame="1"/>
          <w:lang w:val="es-ES_tradnl" w:eastAsia="es-CO"/>
        </w:rPr>
      </w:pPr>
      <w:r w:rsidRPr="00F26448">
        <w:rPr>
          <w:rFonts w:ascii="Arial" w:hAnsi="Arial" w:cs="Arial"/>
          <w:bdr w:val="none" w:sz="0" w:space="0" w:color="auto" w:frame="1"/>
          <w:lang w:val="es-ES_tradnl" w:eastAsia="es-CO"/>
        </w:rPr>
        <w:t>No obstante, con la expedición de la Ley de Emprendimiento</w:t>
      </w:r>
      <w:r w:rsidR="00675170" w:rsidRPr="00F26448">
        <w:rPr>
          <w:rFonts w:ascii="Arial" w:hAnsi="Arial" w:cs="Arial"/>
          <w:bdr w:val="none" w:sz="0" w:space="0" w:color="auto" w:frame="1"/>
          <w:lang w:val="es-ES_tradnl" w:eastAsia="es-CO"/>
        </w:rPr>
        <w:t>- Ley 2069 de 2020- y su Decreto Reglamentario - Decreto 1860 de 2021-</w:t>
      </w:r>
      <w:r w:rsidRPr="00F26448">
        <w:rPr>
          <w:rFonts w:ascii="Arial" w:hAnsi="Arial" w:cs="Arial"/>
          <w:bdr w:val="none" w:sz="0" w:space="0" w:color="auto" w:frame="1"/>
          <w:lang w:val="es-ES_tradnl" w:eastAsia="es-CO"/>
        </w:rPr>
        <w:t xml:space="preserve">,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08A63B4D" w14:textId="77777777" w:rsidR="00675ADC" w:rsidRPr="00F26448" w:rsidRDefault="00675ADC" w:rsidP="00DE0BFC">
      <w:pPr>
        <w:spacing w:after="120" w:line="276" w:lineRule="auto"/>
        <w:ind w:firstLine="708"/>
        <w:jc w:val="both"/>
        <w:rPr>
          <w:rFonts w:ascii="Arial" w:hAnsi="Arial" w:cs="Arial"/>
          <w:spacing w:val="2"/>
          <w:lang w:eastAsia="es-CO"/>
        </w:rPr>
      </w:pPr>
      <w:r w:rsidRPr="00F26448">
        <w:rPr>
          <w:rFonts w:ascii="Arial" w:hAnsi="Arial" w:cs="Arial"/>
          <w:spacing w:val="2"/>
          <w:lang w:eastAsia="es-CO"/>
        </w:rPr>
        <w:t xml:space="preserve">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armonía con lo anterior, se expidió la Resolución 304 del 13 de octubre de 2021, la cual ajusta los documentos tipo a las nuevas reglas de origen aplicables a los servicios nacionales. Además, se expidió la Resolución 146 del 25 de marzo de 2022, mediante la cual se modificaron los documentos tipo de obra pública de infraestructura bajo la modalidad de mínima cuantía. </w:t>
      </w:r>
    </w:p>
    <w:p w14:paraId="6C3DBD3B" w14:textId="2A5EA413" w:rsidR="00675ADC" w:rsidRPr="00F26448" w:rsidRDefault="00675170" w:rsidP="00DE0BFC">
      <w:pPr>
        <w:spacing w:after="120" w:line="276" w:lineRule="auto"/>
        <w:ind w:firstLine="708"/>
        <w:jc w:val="both"/>
        <w:rPr>
          <w:rFonts w:ascii="Arial" w:hAnsi="Arial" w:cs="Arial"/>
          <w:spacing w:val="2"/>
          <w:lang w:eastAsia="es-CO"/>
        </w:rPr>
      </w:pPr>
      <w:r w:rsidRPr="00F26448">
        <w:rPr>
          <w:rFonts w:ascii="Arial" w:hAnsi="Arial" w:cs="Arial"/>
          <w:spacing w:val="2"/>
          <w:lang w:eastAsia="es-CO"/>
        </w:rPr>
        <w:t>Ahora bien, t</w:t>
      </w:r>
      <w:r w:rsidR="00675ADC" w:rsidRPr="00F26448">
        <w:rPr>
          <w:rFonts w:ascii="Arial" w:hAnsi="Arial" w:cs="Arial"/>
          <w:spacing w:val="2"/>
          <w:lang w:eastAsia="es-CO"/>
        </w:rPr>
        <w:t xml:space="preserve">eniendo en cuenta la expedición del Decreto 1860 del 24 de diciembre de 2021, que modificó el Decreto 1082 de 2015 y reglamentó los artículos 30, 31, 32, 34 y 35 de la Ley 2069 de 2020, la Agencia modificó los diferentes documentos tipo que había expedido hasta ese momento, con la finalidad de hacerlos compatibles con la nueva regulación, por lo que se expidió la Resolución 275 del 24 de junio de 2022, «Por la cual se modifican los documentos tipo adoptados por la Agencia Nacional de Contratación Pública – Colombia Compra Eficiente». No obstante, esta última modificación aplicará a los procesos cuyo aviso de convocatoria se publique a partir del 29 de agosto de 2022. </w:t>
      </w:r>
    </w:p>
    <w:p w14:paraId="6BC596F9" w14:textId="0BC9410D" w:rsidR="00675170" w:rsidRPr="00F26448" w:rsidRDefault="00675170" w:rsidP="00DE0BFC">
      <w:pPr>
        <w:spacing w:before="120" w:after="120" w:line="276" w:lineRule="auto"/>
        <w:ind w:firstLine="709"/>
        <w:jc w:val="both"/>
        <w:rPr>
          <w:rFonts w:ascii="Arial" w:hAnsi="Arial" w:cs="Arial"/>
          <w:lang w:val="es-ES"/>
        </w:rPr>
      </w:pPr>
      <w:r w:rsidRPr="00F26448">
        <w:rPr>
          <w:rFonts w:ascii="Arial" w:hAnsi="Arial" w:cs="Arial"/>
          <w:spacing w:val="2"/>
          <w:lang w:eastAsia="es-CO"/>
        </w:rPr>
        <w:t xml:space="preserve"> Finalmente</w:t>
      </w:r>
      <w:r w:rsidRPr="00F26448">
        <w:rPr>
          <w:rFonts w:ascii="Arial" w:hAnsi="Arial" w:cs="Arial"/>
          <w:lang w:val="es-MX"/>
        </w:rPr>
        <w:t xml:space="preserve"> , en el año 2022, la Agencia expidió la Resolución 326 del 22 de julio de 2022 </w:t>
      </w:r>
      <w:r w:rsidRPr="00F26448">
        <w:rPr>
          <w:rFonts w:ascii="Arial" w:eastAsia="Calibri" w:hAnsi="Arial" w:cs="Arial"/>
          <w:lang w:val="es-ES" w:eastAsia="es-ES"/>
        </w:rPr>
        <w:t xml:space="preserve">«Por la cual se actualizan los documentos tipo para los procesos de contratación </w:t>
      </w:r>
      <w:r w:rsidRPr="00F26448">
        <w:rPr>
          <w:rFonts w:ascii="Arial" w:eastAsia="Calibri" w:hAnsi="Arial" w:cs="Arial"/>
          <w:lang w:val="es-ES" w:eastAsia="es-ES"/>
        </w:rPr>
        <w:lastRenderedPageBreak/>
        <w:t xml:space="preserve">de concurso de méritos para contratar la interventoría de obras de infraestructura de transporte y se deroga la Resolución 256 de 2020», y la Resolución </w:t>
      </w:r>
      <w:r w:rsidRPr="00F26448">
        <w:rPr>
          <w:rFonts w:ascii="Arial" w:hAnsi="Arial" w:cs="Arial"/>
        </w:rPr>
        <w:t xml:space="preserve">333 del 27 de julio de 2022 </w:t>
      </w:r>
      <w:r w:rsidRPr="00F26448">
        <w:rPr>
          <w:rFonts w:ascii="Arial" w:eastAsia="Calibri" w:hAnsi="Arial" w:cs="Arial"/>
          <w:lang w:val="es-ES" w:eastAsia="es-ES"/>
        </w:rPr>
        <w:t>«Por la cual se adoptan los documentos tipo para los procesos de selección de concurso de méritos para contratar la interventoría de obras públicas de infraestructura de agua potable y saneamiento básico»</w:t>
      </w:r>
      <w:r w:rsidRPr="00F26448">
        <w:rPr>
          <w:rFonts w:ascii="Arial" w:hAnsi="Arial" w:cs="Arial"/>
          <w:lang w:val="es-ES"/>
        </w:rPr>
        <w:t xml:space="preserve">. </w:t>
      </w:r>
    </w:p>
    <w:p w14:paraId="17916C7C" w14:textId="77777777" w:rsidR="00675ADC" w:rsidRPr="00F26448" w:rsidRDefault="00675ADC" w:rsidP="00DE0BFC">
      <w:pPr>
        <w:spacing w:before="120" w:after="120" w:line="276" w:lineRule="auto"/>
        <w:ind w:firstLine="709"/>
        <w:jc w:val="both"/>
        <w:rPr>
          <w:rFonts w:ascii="Arial" w:eastAsia="Calibri" w:hAnsi="Arial" w:cs="Arial"/>
          <w:lang w:val="es-ES" w:eastAsia="es-ES"/>
        </w:rPr>
      </w:pPr>
      <w:r w:rsidRPr="00F26448">
        <w:rPr>
          <w:rFonts w:ascii="Arial" w:eastAsia="Calibri" w:hAnsi="Arial" w:cs="Arial"/>
          <w:lang w:val="es-ES" w:eastAsia="es-ES"/>
        </w:rPr>
        <w:t xml:space="preserve">En síntesis, hasta el momento se han expedido los siguientes documentos tipo que son obligatorios para todas las entidades sometidas al Estatuto General de Contratación de la Administración Pública: </w:t>
      </w:r>
    </w:p>
    <w:p w14:paraId="40FB81D3" w14:textId="77777777" w:rsidR="00675ADC" w:rsidRPr="00F26448" w:rsidRDefault="00675ADC" w:rsidP="00DE0BFC">
      <w:pPr>
        <w:spacing w:before="120" w:after="120" w:line="276" w:lineRule="auto"/>
        <w:ind w:firstLine="709"/>
        <w:jc w:val="both"/>
        <w:rPr>
          <w:rFonts w:ascii="Arial" w:eastAsia="Calibri" w:hAnsi="Arial" w:cs="Arial"/>
          <w:lang w:val="es-ES" w:eastAsia="es-ES"/>
        </w:rPr>
      </w:pPr>
      <w:r w:rsidRPr="00F26448">
        <w:rPr>
          <w:rFonts w:ascii="Arial" w:eastAsia="Calibri" w:hAnsi="Arial" w:cs="Arial"/>
          <w:lang w:val="es-ES" w:eastAsia="es-ES"/>
        </w:rPr>
        <w:t xml:space="preserve">i) Documentos tipo para licitación de obra pública de infraestructura de transporte –versión 1–, obligatorios para los procesos cuyo aviso de convocatoria se haya publicado desde el 1 de abril de 2019. </w:t>
      </w:r>
    </w:p>
    <w:p w14:paraId="0BB05F03" w14:textId="77777777" w:rsidR="00675ADC" w:rsidRPr="00F26448" w:rsidRDefault="00675ADC" w:rsidP="00DE0BFC">
      <w:pPr>
        <w:spacing w:before="120" w:after="120" w:line="276" w:lineRule="auto"/>
        <w:ind w:firstLine="709"/>
        <w:jc w:val="both"/>
        <w:rPr>
          <w:rFonts w:ascii="Arial" w:eastAsia="Calibri" w:hAnsi="Arial" w:cs="Arial"/>
          <w:lang w:val="es-ES" w:eastAsia="es-ES"/>
        </w:rPr>
      </w:pPr>
      <w:proofErr w:type="spellStart"/>
      <w:r w:rsidRPr="00F26448">
        <w:rPr>
          <w:rFonts w:ascii="Arial" w:eastAsia="Calibri" w:hAnsi="Arial" w:cs="Arial"/>
          <w:lang w:val="es-ES" w:eastAsia="es-ES"/>
        </w:rPr>
        <w:t>ii</w:t>
      </w:r>
      <w:proofErr w:type="spellEnd"/>
      <w:r w:rsidRPr="00F26448">
        <w:rPr>
          <w:rFonts w:ascii="Arial" w:eastAsia="Calibri" w:hAnsi="Arial" w:cs="Arial"/>
          <w:lang w:val="es-ES" w:eastAsia="es-ES"/>
        </w:rPr>
        <w:t>) Documentos tipo para licitación de obra pública de infraestructura de transporte –versión 2–, obligatorios para los procesos cuyo aviso de convocatoria se haya publicado desde el 10 de marzo de 2020.</w:t>
      </w:r>
    </w:p>
    <w:p w14:paraId="0839A406" w14:textId="77777777" w:rsidR="00675ADC" w:rsidRPr="00F26448" w:rsidRDefault="00675ADC" w:rsidP="00DE0BFC">
      <w:pPr>
        <w:spacing w:before="120" w:after="120" w:line="276" w:lineRule="auto"/>
        <w:ind w:firstLine="709"/>
        <w:jc w:val="both"/>
        <w:rPr>
          <w:rFonts w:ascii="Arial" w:eastAsia="Calibri" w:hAnsi="Arial" w:cs="Arial"/>
          <w:lang w:val="es-ES" w:eastAsia="es-ES"/>
        </w:rPr>
      </w:pPr>
      <w:proofErr w:type="spellStart"/>
      <w:r w:rsidRPr="00F26448">
        <w:rPr>
          <w:rFonts w:ascii="Arial" w:eastAsia="Calibri" w:hAnsi="Arial" w:cs="Arial"/>
          <w:lang w:val="es-ES" w:eastAsia="es-ES"/>
        </w:rPr>
        <w:t>iii</w:t>
      </w:r>
      <w:proofErr w:type="spellEnd"/>
      <w:r w:rsidRPr="00F26448">
        <w:rPr>
          <w:rFonts w:ascii="Arial" w:eastAsia="Calibri" w:hAnsi="Arial" w:cs="Arial"/>
          <w:lang w:val="es-ES" w:eastAsia="es-ES"/>
        </w:rPr>
        <w:t>) Documentos tipo para licitación de obra pública de infraestructura de transporte –versión 3–, obligatorios para los procesos cuyo aviso de convocatoria se haya publicado desde el 1 de enero de 2021.</w:t>
      </w:r>
    </w:p>
    <w:p w14:paraId="26563AEB" w14:textId="77777777" w:rsidR="00675ADC" w:rsidRPr="00F26448" w:rsidRDefault="00675ADC" w:rsidP="00DE0BFC">
      <w:pPr>
        <w:spacing w:before="120" w:after="120" w:line="276" w:lineRule="auto"/>
        <w:ind w:firstLine="709"/>
        <w:jc w:val="both"/>
        <w:rPr>
          <w:rFonts w:ascii="Arial" w:eastAsia="Calibri" w:hAnsi="Arial" w:cs="Arial"/>
          <w:lang w:val="es-ES" w:eastAsia="es-ES"/>
        </w:rPr>
      </w:pPr>
      <w:proofErr w:type="spellStart"/>
      <w:r w:rsidRPr="00F26448">
        <w:rPr>
          <w:rFonts w:ascii="Arial" w:eastAsia="Calibri" w:hAnsi="Arial" w:cs="Arial"/>
          <w:lang w:val="es-ES" w:eastAsia="es-ES"/>
        </w:rPr>
        <w:t>iv</w:t>
      </w:r>
      <w:proofErr w:type="spellEnd"/>
      <w:r w:rsidRPr="00F26448">
        <w:rPr>
          <w:rFonts w:ascii="Arial" w:eastAsia="Calibri" w:hAnsi="Arial" w:cs="Arial"/>
          <w:lang w:val="es-ES" w:eastAsia="es-ES"/>
        </w:rPr>
        <w:t>) Documentos tipo para procesos de selección abreviada de menor cuantía de infraestructura de transporte –versión 1–, obligatorios para los procesos cuyo aviso de convocatoria se haya publicado desde el 17 de febrero de 2020.</w:t>
      </w:r>
    </w:p>
    <w:p w14:paraId="551F20D0" w14:textId="77777777" w:rsidR="00675ADC" w:rsidRPr="00F26448" w:rsidRDefault="00675ADC" w:rsidP="00DE0BFC">
      <w:pPr>
        <w:spacing w:before="120" w:after="120" w:line="276" w:lineRule="auto"/>
        <w:ind w:firstLine="709"/>
        <w:jc w:val="both"/>
        <w:rPr>
          <w:rFonts w:ascii="Arial" w:eastAsia="Calibri" w:hAnsi="Arial" w:cs="Arial"/>
          <w:lang w:val="es-ES" w:eastAsia="es-ES"/>
        </w:rPr>
      </w:pPr>
      <w:r w:rsidRPr="00F26448">
        <w:rPr>
          <w:rFonts w:ascii="Arial" w:eastAsia="Calibri" w:hAnsi="Arial" w:cs="Arial"/>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263AA46E" w14:textId="77777777" w:rsidR="00675ADC" w:rsidRPr="00F26448" w:rsidRDefault="00675ADC" w:rsidP="00DE0BFC">
      <w:pPr>
        <w:spacing w:before="120" w:after="120" w:line="276" w:lineRule="auto"/>
        <w:ind w:firstLine="709"/>
        <w:jc w:val="both"/>
        <w:rPr>
          <w:rFonts w:ascii="Arial" w:eastAsia="Calibri" w:hAnsi="Arial" w:cs="Arial"/>
          <w:lang w:val="es-ES" w:eastAsia="es-ES"/>
        </w:rPr>
      </w:pPr>
      <w:r w:rsidRPr="00F26448">
        <w:rPr>
          <w:rFonts w:ascii="Arial" w:eastAsia="Calibri" w:hAnsi="Arial" w:cs="Arial"/>
          <w:lang w:val="es-ES" w:eastAsia="es-ES"/>
        </w:rPr>
        <w:t>vi) Documentos tipo para procesos de mínima cuantía de infraestructura de transporte, obligatorios para los procesos cuya invitación pública se haya publicado a partir del 10 de junio de 2020.</w:t>
      </w:r>
    </w:p>
    <w:p w14:paraId="32C2D3C6" w14:textId="77777777" w:rsidR="00675ADC" w:rsidRPr="00F26448" w:rsidRDefault="00675ADC" w:rsidP="00DE0BFC">
      <w:pPr>
        <w:spacing w:before="120" w:after="120" w:line="276" w:lineRule="auto"/>
        <w:ind w:firstLine="709"/>
        <w:jc w:val="both"/>
        <w:rPr>
          <w:rFonts w:ascii="Arial" w:eastAsia="Calibri" w:hAnsi="Arial" w:cs="Arial"/>
          <w:lang w:val="es-ES" w:eastAsia="es-ES"/>
        </w:rPr>
      </w:pPr>
      <w:proofErr w:type="spellStart"/>
      <w:r w:rsidRPr="00F26448">
        <w:rPr>
          <w:rFonts w:ascii="Arial" w:eastAsia="Calibri" w:hAnsi="Arial" w:cs="Arial"/>
          <w:lang w:val="es-ES" w:eastAsia="es-ES"/>
        </w:rPr>
        <w:t>vii</w:t>
      </w:r>
      <w:proofErr w:type="spellEnd"/>
      <w:r w:rsidRPr="00F26448">
        <w:rPr>
          <w:rFonts w:ascii="Arial" w:eastAsia="Calibri" w:hAnsi="Arial" w:cs="Arial"/>
          <w:lang w:val="es-ES"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7743152A" w14:textId="77777777" w:rsidR="00675ADC" w:rsidRPr="00F26448" w:rsidRDefault="00675ADC" w:rsidP="00DE0BFC">
      <w:pPr>
        <w:spacing w:before="120" w:after="120" w:line="276" w:lineRule="auto"/>
        <w:ind w:firstLine="709"/>
        <w:jc w:val="both"/>
        <w:rPr>
          <w:rFonts w:ascii="Arial" w:eastAsia="Calibri" w:hAnsi="Arial" w:cs="Arial"/>
          <w:lang w:val="es-ES" w:eastAsia="es-ES"/>
        </w:rPr>
      </w:pPr>
      <w:proofErr w:type="spellStart"/>
      <w:r w:rsidRPr="00F26448">
        <w:rPr>
          <w:rFonts w:ascii="Arial" w:eastAsia="Calibri" w:hAnsi="Arial" w:cs="Arial"/>
          <w:lang w:val="es-ES" w:eastAsia="es-ES"/>
        </w:rPr>
        <w:t>viii</w:t>
      </w:r>
      <w:proofErr w:type="spellEnd"/>
      <w:r w:rsidRPr="00F26448">
        <w:rPr>
          <w:rFonts w:ascii="Arial" w:eastAsia="Calibri" w:hAnsi="Arial" w:cs="Arial"/>
          <w:lang w:val="es-ES" w:eastAsia="es-ES"/>
        </w:rPr>
        <w:t>) Documentos tipo para procesos de licitación pública para obras de infraestructura de agua potable y saneamiento básico, obligatorios para los procesos cuyo aviso de convocatoria se haya publicado desde el 11 de diciembre de 2020.</w:t>
      </w:r>
    </w:p>
    <w:p w14:paraId="638FDBF9" w14:textId="77777777" w:rsidR="00675ADC" w:rsidRPr="00F26448" w:rsidRDefault="00675ADC" w:rsidP="00DE0BFC">
      <w:pPr>
        <w:spacing w:before="120" w:after="120" w:line="276" w:lineRule="auto"/>
        <w:ind w:firstLine="709"/>
        <w:jc w:val="both"/>
        <w:rPr>
          <w:rFonts w:ascii="Arial" w:eastAsia="Calibri" w:hAnsi="Arial" w:cs="Arial"/>
          <w:lang w:val="es-ES" w:eastAsia="es-ES"/>
        </w:rPr>
      </w:pPr>
      <w:proofErr w:type="spellStart"/>
      <w:r w:rsidRPr="00F26448">
        <w:rPr>
          <w:rFonts w:ascii="Arial" w:eastAsia="Calibri" w:hAnsi="Arial" w:cs="Arial"/>
          <w:lang w:val="es-ES" w:eastAsia="es-ES"/>
        </w:rPr>
        <w:t>ix</w:t>
      </w:r>
      <w:proofErr w:type="spellEnd"/>
      <w:r w:rsidRPr="00F26448">
        <w:rPr>
          <w:rFonts w:ascii="Arial" w:eastAsia="Calibri" w:hAnsi="Arial" w:cs="Arial"/>
          <w:lang w:val="es-ES" w:eastAsia="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20F6D911" w14:textId="77777777" w:rsidR="00675ADC" w:rsidRPr="00F26448" w:rsidRDefault="00675ADC" w:rsidP="00DE0BFC">
      <w:pPr>
        <w:spacing w:before="120" w:after="120" w:line="276" w:lineRule="auto"/>
        <w:ind w:firstLine="709"/>
        <w:jc w:val="both"/>
        <w:rPr>
          <w:rFonts w:ascii="Arial" w:eastAsia="Calibri" w:hAnsi="Arial" w:cs="Arial"/>
          <w:lang w:val="es-ES" w:eastAsia="es-ES"/>
        </w:rPr>
      </w:pPr>
      <w:r w:rsidRPr="00F26448">
        <w:rPr>
          <w:rFonts w:ascii="Arial" w:eastAsia="Calibri" w:hAnsi="Arial" w:cs="Arial"/>
          <w:lang w:val="es-ES" w:eastAsia="es-ES"/>
        </w:rPr>
        <w:lastRenderedPageBreak/>
        <w:t>x) Documentos tipo para procesos de gestión catastral con enfoque multipropósito que se celebren a través de contratos interadministrativos, a partir del 1 de febrero de 2021.</w:t>
      </w:r>
    </w:p>
    <w:p w14:paraId="38F23373" w14:textId="77777777" w:rsidR="00675ADC" w:rsidRPr="00F26448" w:rsidRDefault="00675ADC" w:rsidP="00DE0BFC">
      <w:pPr>
        <w:spacing w:before="120" w:after="120" w:line="276" w:lineRule="auto"/>
        <w:ind w:firstLine="709"/>
        <w:jc w:val="both"/>
        <w:rPr>
          <w:rFonts w:ascii="Arial" w:eastAsia="Calibri" w:hAnsi="Arial" w:cs="Arial"/>
          <w:lang w:val="es-ES" w:eastAsia="es-ES"/>
        </w:rPr>
      </w:pPr>
      <w:r w:rsidRPr="00F26448">
        <w:rPr>
          <w:rFonts w:ascii="Arial" w:eastAsia="Calibri" w:hAnsi="Arial" w:cs="Arial"/>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3EAC8730" w14:textId="77777777" w:rsidR="00675ADC" w:rsidRPr="00F26448" w:rsidRDefault="00675ADC" w:rsidP="00DE0BFC">
      <w:pPr>
        <w:spacing w:after="120" w:line="276" w:lineRule="auto"/>
        <w:ind w:firstLine="708"/>
        <w:jc w:val="both"/>
        <w:rPr>
          <w:rFonts w:ascii="Arial" w:eastAsia="Calibri" w:hAnsi="Arial" w:cs="Arial"/>
          <w:lang w:val="es-ES_tradnl"/>
        </w:rPr>
      </w:pPr>
      <w:proofErr w:type="spellStart"/>
      <w:r w:rsidRPr="00F26448">
        <w:rPr>
          <w:rFonts w:ascii="Arial" w:eastAsia="Calibri" w:hAnsi="Arial" w:cs="Arial"/>
          <w:lang w:val="es-ES" w:eastAsia="es-ES"/>
        </w:rPr>
        <w:t>xii</w:t>
      </w:r>
      <w:proofErr w:type="spellEnd"/>
      <w:r w:rsidRPr="00F26448">
        <w:rPr>
          <w:rFonts w:ascii="Arial" w:eastAsia="Calibri" w:hAnsi="Arial" w:cs="Arial"/>
          <w:lang w:val="es-ES" w:eastAsia="es-ES"/>
        </w:rPr>
        <w:t xml:space="preserve">) Documentos tipo para procesos de licitación de obra pública de infraestructura social, que </w:t>
      </w:r>
      <w:r w:rsidRPr="00F26448">
        <w:rPr>
          <w:rFonts w:ascii="Arial" w:hAnsi="Arial" w:cs="Arial"/>
          <w:lang w:val="es-ES_tradnl"/>
        </w:rPr>
        <w:t>entrarán a regir de acuerdo con los términos establecidos en el artículo 6 de la Resolución 219 de 2021 −modificado por el artículo 1 de la Resolución 336 del 2 de noviembre de 2021−</w:t>
      </w:r>
      <w:r w:rsidRPr="00F26448">
        <w:rPr>
          <w:rFonts w:ascii="Arial" w:eastAsia="Calibri" w:hAnsi="Arial" w:cs="Arial"/>
          <w:lang w:val="es-ES_tradnl"/>
        </w:rPr>
        <w:t>.</w:t>
      </w:r>
    </w:p>
    <w:p w14:paraId="7BCB100E" w14:textId="77777777" w:rsidR="00675ADC" w:rsidRPr="00F26448" w:rsidRDefault="00675ADC" w:rsidP="00DE0BFC">
      <w:pPr>
        <w:spacing w:after="120" w:line="276" w:lineRule="auto"/>
        <w:ind w:firstLine="708"/>
        <w:jc w:val="both"/>
        <w:rPr>
          <w:rFonts w:ascii="Arial" w:eastAsia="Calibri" w:hAnsi="Arial" w:cs="Arial"/>
          <w:lang w:val="es-ES_tradnl"/>
        </w:rPr>
      </w:pPr>
      <w:proofErr w:type="spellStart"/>
      <w:r w:rsidRPr="00F26448">
        <w:rPr>
          <w:rFonts w:ascii="Arial" w:eastAsia="Calibri" w:hAnsi="Arial" w:cs="Arial"/>
          <w:lang w:val="es-ES" w:eastAsia="es-ES"/>
        </w:rPr>
        <w:t>xiii</w:t>
      </w:r>
      <w:proofErr w:type="spellEnd"/>
      <w:r w:rsidRPr="00F26448">
        <w:rPr>
          <w:rFonts w:ascii="Arial" w:eastAsia="Calibri" w:hAnsi="Arial" w:cs="Arial"/>
          <w:lang w:val="es-ES" w:eastAsia="es-ES"/>
        </w:rPr>
        <w:t xml:space="preserve">) Documentos tipo complementarios para los procesos de licitación de obra pública de infraestructura social relacionados con el sector educativo, que </w:t>
      </w:r>
      <w:r w:rsidRPr="00F26448">
        <w:rPr>
          <w:rFonts w:ascii="Arial" w:hAnsi="Arial" w:cs="Arial"/>
          <w:lang w:val="es-ES_tradnl"/>
        </w:rPr>
        <w:t>entrarán a regir de acuerdo con los términos establecidos en el artículo 6 de la Resolución 219 de 2021 −modificado por el artículo 1 de la Resolución 336 del 2 de noviembre de 2021−.</w:t>
      </w:r>
    </w:p>
    <w:p w14:paraId="3833DE33" w14:textId="77777777" w:rsidR="00675ADC" w:rsidRPr="00F26448" w:rsidRDefault="00675ADC" w:rsidP="00DE0BFC">
      <w:pPr>
        <w:spacing w:after="120" w:line="276" w:lineRule="auto"/>
        <w:ind w:firstLine="708"/>
        <w:jc w:val="both"/>
        <w:rPr>
          <w:rFonts w:ascii="Arial" w:eastAsia="Calibri" w:hAnsi="Arial" w:cs="Arial"/>
          <w:lang w:val="es-ES_tradnl"/>
        </w:rPr>
      </w:pPr>
      <w:proofErr w:type="spellStart"/>
      <w:r w:rsidRPr="00F26448">
        <w:rPr>
          <w:rFonts w:ascii="Arial" w:eastAsia="Calibri" w:hAnsi="Arial" w:cs="Arial"/>
          <w:lang w:val="es-ES" w:eastAsia="es-ES"/>
        </w:rPr>
        <w:t>xiv</w:t>
      </w:r>
      <w:proofErr w:type="spellEnd"/>
      <w:r w:rsidRPr="00F26448">
        <w:rPr>
          <w:rFonts w:ascii="Arial" w:eastAsia="Calibri" w:hAnsi="Arial" w:cs="Arial"/>
          <w:lang w:val="es-ES" w:eastAsia="es-ES"/>
        </w:rPr>
        <w:t xml:space="preserve">) Documentos tipo complementarios para los procesos de licitación de obra pública de infraestructura social relacionados con el sector salud, que entrarán a regir </w:t>
      </w:r>
      <w:r w:rsidRPr="00F26448">
        <w:rPr>
          <w:rFonts w:ascii="Arial" w:hAnsi="Arial" w:cs="Arial"/>
          <w:lang w:val="es-ES_tradnl"/>
        </w:rPr>
        <w:t>de acuerdo con los términos establecidos en el artículo 6 de la Resolución 219 de 2021 −modificado por el artículo 1 de la Resolución 336 del 2 de noviembre de 2021− y en el artículo 4 de la Resolución 392 de 18 de noviembre de 2021</w:t>
      </w:r>
      <w:r w:rsidRPr="00F26448">
        <w:rPr>
          <w:rFonts w:ascii="Arial" w:eastAsia="Calibri" w:hAnsi="Arial" w:cs="Arial"/>
          <w:lang w:val="es-ES_tradnl"/>
        </w:rPr>
        <w:t>.</w:t>
      </w:r>
    </w:p>
    <w:p w14:paraId="38E020C5" w14:textId="77777777" w:rsidR="00675ADC" w:rsidRPr="00F26448" w:rsidRDefault="00675ADC" w:rsidP="00DE0BFC">
      <w:pPr>
        <w:spacing w:after="120" w:line="276" w:lineRule="auto"/>
        <w:ind w:firstLine="708"/>
        <w:jc w:val="both"/>
        <w:rPr>
          <w:rFonts w:ascii="Arial" w:hAnsi="Arial" w:cs="Arial"/>
          <w:lang w:val="es-ES_tradnl"/>
        </w:rPr>
      </w:pPr>
      <w:proofErr w:type="spellStart"/>
      <w:r w:rsidRPr="00F26448">
        <w:rPr>
          <w:rFonts w:ascii="Arial" w:eastAsia="Calibri" w:hAnsi="Arial" w:cs="Arial"/>
          <w:lang w:val="es-ES_tradnl"/>
        </w:rPr>
        <w:t>xv</w:t>
      </w:r>
      <w:proofErr w:type="spellEnd"/>
      <w:r w:rsidRPr="00F26448">
        <w:rPr>
          <w:rFonts w:ascii="Arial" w:eastAsia="Calibri" w:hAnsi="Arial" w:cs="Arial"/>
          <w:lang w:val="es-ES_tradnl"/>
        </w:rPr>
        <w:t xml:space="preserve">) </w:t>
      </w:r>
      <w:r w:rsidRPr="00F26448">
        <w:rPr>
          <w:rFonts w:ascii="Arial" w:eastAsia="Calibri" w:hAnsi="Arial" w:cs="Arial"/>
          <w:lang w:val="es-ES" w:eastAsia="es-ES"/>
        </w:rPr>
        <w:t>Documentos tipo complementarios para los procesos de licitación de obra pública de infraestructura social relacionados con el sector cultura, recreación y deporte</w:t>
      </w:r>
      <w:r w:rsidRPr="00F26448">
        <w:rPr>
          <w:rFonts w:ascii="Arial" w:eastAsia="Calibri" w:hAnsi="Arial" w:cs="Arial"/>
          <w:lang w:val="es-ES_tradnl"/>
        </w:rPr>
        <w:t xml:space="preserve">, </w:t>
      </w:r>
      <w:r w:rsidRPr="00F26448">
        <w:rPr>
          <w:rFonts w:ascii="Arial" w:eastAsia="Calibri" w:hAnsi="Arial" w:cs="Arial"/>
          <w:lang w:val="es-ES" w:eastAsia="es-ES"/>
        </w:rPr>
        <w:t xml:space="preserve">que entrarán a regir </w:t>
      </w:r>
      <w:r w:rsidRPr="00F26448">
        <w:rPr>
          <w:rFonts w:ascii="Arial" w:hAnsi="Arial" w:cs="Arial"/>
          <w:lang w:val="es-ES_tradnl"/>
        </w:rPr>
        <w:t>de acuerdo con los términos establecidos en el artículo 4 de la Resolución 454 de 2021.</w:t>
      </w:r>
    </w:p>
    <w:p w14:paraId="09560208" w14:textId="77777777" w:rsidR="00675ADC" w:rsidRPr="00F26448" w:rsidRDefault="00675ADC" w:rsidP="00DE0BFC">
      <w:pPr>
        <w:spacing w:after="120" w:line="276" w:lineRule="auto"/>
        <w:ind w:firstLine="708"/>
        <w:jc w:val="both"/>
        <w:rPr>
          <w:rFonts w:ascii="Arial" w:hAnsi="Arial" w:cs="Arial"/>
          <w:lang w:val="es-ES_tradnl"/>
        </w:rPr>
      </w:pPr>
      <w:proofErr w:type="spellStart"/>
      <w:r w:rsidRPr="00F26448">
        <w:rPr>
          <w:rFonts w:ascii="Arial" w:hAnsi="Arial" w:cs="Arial"/>
          <w:lang w:val="es-ES_tradnl"/>
        </w:rPr>
        <w:t>xvi</w:t>
      </w:r>
      <w:proofErr w:type="spellEnd"/>
      <w:r w:rsidRPr="00F26448">
        <w:rPr>
          <w:rFonts w:ascii="Arial" w:hAnsi="Arial" w:cs="Arial"/>
          <w:lang w:val="es-ES_tradnl"/>
        </w:rPr>
        <w:t xml:space="preserve">) Documentos tipo de interventoría para los procesos de selección de concurso de méritos para contratar la interventoría de infraestructura de transporte –Versión 2–, para los procesos cuyo aviso de convocatoria se haya publicado desde el 1 de noviembre de 2022, de conformidad con la Resolución 326 del 22 de julio de 2022. </w:t>
      </w:r>
    </w:p>
    <w:p w14:paraId="4398A5ED" w14:textId="5A53708F" w:rsidR="00675ADC" w:rsidRPr="00F26448" w:rsidRDefault="00675ADC" w:rsidP="00DE0BFC">
      <w:pPr>
        <w:spacing w:after="120" w:line="276" w:lineRule="auto"/>
        <w:ind w:firstLine="708"/>
        <w:jc w:val="both"/>
        <w:rPr>
          <w:rFonts w:ascii="Arial" w:eastAsia="Calibri" w:hAnsi="Arial" w:cs="Arial"/>
          <w:lang w:val="es-ES_tradnl"/>
        </w:rPr>
      </w:pPr>
      <w:proofErr w:type="spellStart"/>
      <w:r w:rsidRPr="00F26448">
        <w:rPr>
          <w:rFonts w:ascii="Arial" w:hAnsi="Arial" w:cs="Arial"/>
          <w:lang w:val="es-ES_tradnl"/>
        </w:rPr>
        <w:t>xvii</w:t>
      </w:r>
      <w:proofErr w:type="spellEnd"/>
      <w:r w:rsidRPr="00F26448">
        <w:rPr>
          <w:rFonts w:ascii="Arial" w:hAnsi="Arial" w:cs="Arial"/>
          <w:lang w:val="es-ES_tradnl"/>
        </w:rPr>
        <w:t xml:space="preserve">) Documentos tipo de interventoría </w:t>
      </w:r>
      <w:r w:rsidRPr="00F26448">
        <w:rPr>
          <w:rFonts w:ascii="Arial" w:eastAsia="Calibri" w:hAnsi="Arial" w:cs="Arial"/>
          <w:lang w:val="es-ES" w:eastAsia="es-ES"/>
        </w:rPr>
        <w:t xml:space="preserve">para los procesos de selección de concurso de méritos para contratar la interventoría de obras públicas de infraestructura de agua potable y saneamiento básico, para los procesos cuyo aviso de convocatoria se haya publicado desde el 3 de octubre de 2022, de acuerdo con la Resolución 333 del 27 de julio de 2022. </w:t>
      </w:r>
    </w:p>
    <w:p w14:paraId="522257B4" w14:textId="7EFC4D06" w:rsidR="00675ADC" w:rsidRPr="00F26448" w:rsidRDefault="00675ADC" w:rsidP="00DE0BFC">
      <w:pPr>
        <w:shd w:val="clear" w:color="auto" w:fill="FFFFFF"/>
        <w:spacing w:after="0" w:line="276" w:lineRule="auto"/>
        <w:ind w:firstLine="709"/>
        <w:jc w:val="both"/>
        <w:textAlignment w:val="baseline"/>
        <w:rPr>
          <w:rFonts w:ascii="Arial" w:eastAsia="Calibri" w:hAnsi="Arial" w:cs="Arial"/>
          <w:bdr w:val="none" w:sz="0" w:space="0" w:color="auto" w:frame="1"/>
          <w:lang w:val="es-ES_tradnl"/>
        </w:rPr>
      </w:pPr>
      <w:r w:rsidRPr="00F26448">
        <w:rPr>
          <w:rFonts w:ascii="Arial" w:eastAsia="Calibri" w:hAnsi="Arial" w:cs="Arial"/>
        </w:rPr>
        <w:t xml:space="preserve">De acuerdo con lo expuesto, sin perjuicio de lo que se analizará en el numeral siguiente, </w:t>
      </w:r>
      <w:r w:rsidRPr="00F26448">
        <w:rPr>
          <w:rFonts w:ascii="Arial" w:eastAsia="Calibri" w:hAnsi="Arial" w:cs="Arial"/>
          <w:bdr w:val="none" w:sz="0" w:space="0" w:color="auto" w:frame="1"/>
        </w:rPr>
        <w:t xml:space="preserve">los documentos tipo adoptados son obligatorios para las entidades estatales cuyos contratos se rijan por el EGCAP, que adelanten procesos de contratación mediante la modalidad que establecen los documentos tipo para cada sector y teniendo en cuenta el ámbito de aplicación determinado en la Matriz de Experiencia de cada uno de ellos. </w:t>
      </w:r>
      <w:r w:rsidRPr="00F26448">
        <w:rPr>
          <w:rFonts w:ascii="Arial" w:eastAsia="Calibri" w:hAnsi="Arial" w:cs="Arial"/>
          <w:bdr w:val="none" w:sz="0" w:space="0" w:color="auto" w:frame="1"/>
          <w:lang w:val="es-ES_tradnl"/>
        </w:rPr>
        <w:t xml:space="preserve">Esto </w:t>
      </w:r>
      <w:r w:rsidRPr="00F26448">
        <w:rPr>
          <w:rFonts w:ascii="Arial" w:eastAsia="Calibri" w:hAnsi="Arial" w:cs="Arial"/>
          <w:bdr w:val="none" w:sz="0" w:space="0" w:color="auto" w:frame="1"/>
          <w:lang w:val="es-ES_tradnl"/>
        </w:rPr>
        <w:lastRenderedPageBreak/>
        <w:t xml:space="preserve">de tal manera que las entidades estatales regidas por el EGCAP, al momento de adelantar un proceso de contratación asociado a uno de los sectores para los que se han implementado documentos tipo, deben consultar el contenido de cada uno de ellos, para determinar si la modalidad de escogencia y el objeto a contratar son o no subsumibles dentro de lo dispuesto en estos. De ser así, la entidad estará obligada a adelantar el proceso de contratación aplicando los documentos tipo del caso. </w:t>
      </w:r>
    </w:p>
    <w:p w14:paraId="211A2B79" w14:textId="77777777" w:rsidR="009B66A6" w:rsidRPr="00F26448" w:rsidRDefault="009B66A6" w:rsidP="00DE0BFC">
      <w:pPr>
        <w:shd w:val="clear" w:color="auto" w:fill="FFFFFF"/>
        <w:spacing w:after="120" w:line="276" w:lineRule="auto"/>
        <w:textAlignment w:val="baseline"/>
        <w:rPr>
          <w:rFonts w:ascii="Arial" w:eastAsia="Times New Roman" w:hAnsi="Arial" w:cs="Arial"/>
          <w:lang w:eastAsia="es-CO"/>
        </w:rPr>
      </w:pPr>
    </w:p>
    <w:p w14:paraId="040273D6" w14:textId="79DFC22D" w:rsidR="009B66A6" w:rsidRPr="00F26448" w:rsidRDefault="009B66A6" w:rsidP="00DE0BFC">
      <w:pPr>
        <w:shd w:val="clear" w:color="auto" w:fill="FFFFFF"/>
        <w:spacing w:after="120" w:line="276" w:lineRule="auto"/>
        <w:jc w:val="both"/>
        <w:textAlignment w:val="baseline"/>
        <w:rPr>
          <w:rFonts w:ascii="Arial" w:eastAsia="Times New Roman" w:hAnsi="Arial" w:cs="Arial"/>
          <w:b/>
          <w:bCs/>
          <w:lang w:eastAsia="es-CO"/>
        </w:rPr>
      </w:pPr>
      <w:r w:rsidRPr="00F26448">
        <w:rPr>
          <w:rFonts w:ascii="Arial" w:eastAsia="Times New Roman" w:hAnsi="Arial" w:cs="Arial"/>
          <w:b/>
          <w:bCs/>
          <w:lang w:eastAsia="es-CO"/>
        </w:rPr>
        <w:t>2.2. Inalterabilidad de los «Documentos Tipo</w:t>
      </w:r>
      <w:r w:rsidR="00001CF7" w:rsidRPr="00F26448">
        <w:rPr>
          <w:rFonts w:ascii="Arial" w:eastAsia="Times New Roman" w:hAnsi="Arial" w:cs="Arial"/>
          <w:b/>
          <w:bCs/>
          <w:lang w:eastAsia="es-CO"/>
        </w:rPr>
        <w:t>»</w:t>
      </w:r>
    </w:p>
    <w:p w14:paraId="6D229907" w14:textId="77777777" w:rsidR="009B66A6" w:rsidRPr="00F26448" w:rsidRDefault="009B66A6" w:rsidP="00DE0BFC">
      <w:pPr>
        <w:shd w:val="clear" w:color="auto" w:fill="FFFFFF"/>
        <w:spacing w:after="120" w:line="276" w:lineRule="auto"/>
        <w:textAlignment w:val="baseline"/>
        <w:rPr>
          <w:rFonts w:ascii="Arial" w:eastAsia="Times New Roman" w:hAnsi="Arial" w:cs="Arial"/>
          <w:b/>
          <w:bCs/>
          <w:lang w:eastAsia="es-CO"/>
        </w:rPr>
      </w:pPr>
    </w:p>
    <w:p w14:paraId="45D15CF7" w14:textId="00D57F7A" w:rsidR="00D61DBE" w:rsidRPr="00F26448" w:rsidRDefault="00D61DBE" w:rsidP="00DE0BFC">
      <w:pPr>
        <w:spacing w:after="120" w:line="276" w:lineRule="auto"/>
        <w:jc w:val="both"/>
        <w:rPr>
          <w:rFonts w:ascii="Arial" w:eastAsia="Calibri" w:hAnsi="Arial" w:cs="Arial"/>
          <w:lang w:val="es-ES_tradnl"/>
        </w:rPr>
      </w:pPr>
      <w:r w:rsidRPr="00F26448">
        <w:rPr>
          <w:rFonts w:ascii="Arial" w:eastAsia="Calibri" w:hAnsi="Arial" w:cs="Arial"/>
          <w:lang w:val="es-ES_tradnl"/>
        </w:rPr>
        <w:t>Todas las resoluciones expedidas por la Agencia Nacional de Contratación Pública – Colombia Compra Eficiente, mediante las cuales se han adoptado los documentos tipo, consagran la regla de la inalterabilidad</w:t>
      </w:r>
      <w:r w:rsidR="00675170" w:rsidRPr="00F26448">
        <w:rPr>
          <w:rFonts w:ascii="Arial" w:eastAsia="Calibri" w:hAnsi="Arial" w:cs="Arial"/>
          <w:vertAlign w:val="superscript"/>
          <w:lang w:val="es-ES_tradnl"/>
        </w:rPr>
        <w:footnoteReference w:id="6"/>
      </w:r>
      <w:r w:rsidRPr="00F26448">
        <w:rPr>
          <w:rFonts w:ascii="Arial" w:eastAsia="Calibri" w:hAnsi="Arial" w:cs="Arial"/>
          <w:lang w:val="es-ES_tradnl"/>
        </w:rPr>
        <w:t xml:space="preserve">. Esta prohibición consiste en que las entidades estatales no pueden incluir o modificar en los </w:t>
      </w:r>
      <w:r w:rsidRPr="00F26448">
        <w:rPr>
          <w:rFonts w:ascii="Arial" w:eastAsia="Calibri" w:hAnsi="Arial" w:cs="Arial"/>
          <w:i/>
          <w:iCs/>
          <w:lang w:val="es-ES_tradnl"/>
        </w:rPr>
        <w:t>Documentos del Proceso</w:t>
      </w:r>
      <w:r w:rsidRPr="00F26448">
        <w:rPr>
          <w:rFonts w:ascii="Arial" w:eastAsia="Calibri" w:hAnsi="Arial" w:cs="Arial"/>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EGCAP</w:t>
      </w:r>
      <w:r w:rsidR="00675170" w:rsidRPr="00F26448">
        <w:rPr>
          <w:rFonts w:ascii="Arial" w:eastAsia="Calibri" w:hAnsi="Arial" w:cs="Arial"/>
          <w:lang w:val="es-ES_tradnl"/>
        </w:rPr>
        <w:t xml:space="preserve"> </w:t>
      </w:r>
      <w:r w:rsidRPr="00F26448">
        <w:rPr>
          <w:rFonts w:ascii="Arial" w:eastAsia="Calibri" w:hAnsi="Arial" w:cs="Arial"/>
          <w:lang w:val="es-ES_tradnl"/>
        </w:rPr>
        <w:t>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0BE850FE" w14:textId="2DE4EFFE" w:rsidR="00D61DBE" w:rsidRPr="00F26448" w:rsidRDefault="00D61DBE" w:rsidP="00DE0BFC">
      <w:pPr>
        <w:spacing w:after="120" w:line="276" w:lineRule="auto"/>
        <w:ind w:firstLine="709"/>
        <w:jc w:val="both"/>
        <w:rPr>
          <w:rFonts w:ascii="Arial" w:eastAsia="Calibri" w:hAnsi="Arial" w:cs="Arial"/>
          <w:lang w:val="es-ES_tradnl"/>
        </w:rPr>
      </w:pPr>
      <w:r w:rsidRPr="00F26448">
        <w:rPr>
          <w:rFonts w:ascii="Arial" w:eastAsia="Calibri" w:hAnsi="Arial" w:cs="Arial"/>
          <w:lang w:val="es-ES_tradnl"/>
        </w:rPr>
        <w:t xml:space="preserve">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 En esta línea, las entidades públicas deberán sujetarse a las reglas establecidas en los documentos tipo, dispuestas en las diferentes resoluciones expedidas por la Agencia, por lo que no pueden hacer excepciones bajo una supuesta discrecionalidad a estas reglas que son obligatorias.  </w:t>
      </w:r>
    </w:p>
    <w:p w14:paraId="6A77CAE8" w14:textId="42342049" w:rsidR="00D61DBE" w:rsidRPr="00F26448" w:rsidRDefault="00D61DBE" w:rsidP="00DE0BFC">
      <w:pPr>
        <w:spacing w:after="120" w:line="276" w:lineRule="auto"/>
        <w:ind w:firstLine="709"/>
        <w:jc w:val="both"/>
        <w:rPr>
          <w:rFonts w:ascii="Arial" w:eastAsia="Calibri" w:hAnsi="Arial" w:cs="Arial"/>
          <w:lang w:val="es-ES_tradnl"/>
        </w:rPr>
      </w:pPr>
      <w:r w:rsidRPr="00F26448">
        <w:rPr>
          <w:rFonts w:ascii="Arial" w:eastAsia="Calibri" w:hAnsi="Arial" w:cs="Arial"/>
          <w:lang w:val="es-ES_tradnl"/>
        </w:rPr>
        <w:t xml:space="preserve">La inalterabilidad de los documentos es una manifestación en mayor grado de las potestades regladas, lo cual implica una reducción de la discrecionalidad de la </w:t>
      </w:r>
      <w:r w:rsidRPr="00F26448">
        <w:rPr>
          <w:rFonts w:ascii="Arial" w:eastAsia="Calibri" w:hAnsi="Arial" w:cs="Arial"/>
          <w:lang w:val="es-ES_tradnl"/>
        </w:rPr>
        <w:lastRenderedPageBreak/>
        <w:t>Administración en el momento de tomar una decisión en el proceso de contratación</w:t>
      </w:r>
      <w:r w:rsidRPr="00F26448">
        <w:rPr>
          <w:rFonts w:ascii="Arial" w:eastAsia="Calibri" w:hAnsi="Arial" w:cs="Arial"/>
          <w:vertAlign w:val="superscript"/>
          <w:lang w:val="es-ES_tradnl"/>
        </w:rPr>
        <w:footnoteReference w:id="7"/>
      </w:r>
      <w:r w:rsidRPr="00F26448">
        <w:rPr>
          <w:rFonts w:ascii="Arial" w:eastAsia="Calibri" w:hAnsi="Arial" w:cs="Arial"/>
          <w:lang w:val="es-ES_tradnl"/>
        </w:rPr>
        <w:t>. Cada entidad pública sujeta a los documentos tipo deberá hacer una aplicación o constatación de las reglas y condiciones dispuestas en estos, salvo que las mismas posibilit</w:t>
      </w:r>
      <w:r w:rsidR="004A5C5F" w:rsidRPr="00F26448">
        <w:rPr>
          <w:rFonts w:ascii="Arial" w:eastAsia="Calibri" w:hAnsi="Arial" w:cs="Arial"/>
          <w:lang w:val="es-ES_tradnl"/>
        </w:rPr>
        <w:t>e</w:t>
      </w:r>
      <w:r w:rsidRPr="00F26448">
        <w:rPr>
          <w:rFonts w:ascii="Arial" w:eastAsia="Calibri" w:hAnsi="Arial" w:cs="Arial"/>
          <w:lang w:val="es-ES_tradnl"/>
        </w:rPr>
        <w:t xml:space="preserve">n la discrecionalidad en determinados </w:t>
      </w:r>
      <w:r w:rsidR="004A5C5F" w:rsidRPr="00F26448">
        <w:rPr>
          <w:rFonts w:ascii="Arial" w:eastAsia="Calibri" w:hAnsi="Arial" w:cs="Arial"/>
          <w:lang w:val="es-ES_tradnl"/>
        </w:rPr>
        <w:t>contenidos</w:t>
      </w:r>
      <w:r w:rsidRPr="00F26448">
        <w:rPr>
          <w:rFonts w:ascii="Arial" w:eastAsia="Calibri" w:hAnsi="Arial" w:cs="Arial"/>
          <w:lang w:val="es-ES_tradnl"/>
        </w:rPr>
        <w:t xml:space="preserve">. </w:t>
      </w:r>
    </w:p>
    <w:p w14:paraId="10B00DAF" w14:textId="77777777" w:rsidR="00D61DBE" w:rsidRPr="00F26448" w:rsidRDefault="00D61DBE" w:rsidP="00DE0BFC">
      <w:pPr>
        <w:spacing w:after="120" w:line="276" w:lineRule="auto"/>
        <w:ind w:firstLine="709"/>
        <w:jc w:val="both"/>
        <w:rPr>
          <w:rFonts w:ascii="Arial" w:eastAsia="Calibri" w:hAnsi="Arial" w:cs="Arial"/>
          <w:bCs/>
          <w:lang w:val="es-ES_tradnl"/>
        </w:rPr>
      </w:pPr>
      <w:r w:rsidRPr="00F26448">
        <w:rPr>
          <w:rFonts w:ascii="Arial" w:eastAsia="Calibri" w:hAnsi="Arial" w:cs="Arial"/>
          <w:bCs/>
          <w:lang w:val="es-ES_tradnl"/>
        </w:rPr>
        <w:t xml:space="preserve">Además, las entidades estatales deben garantizar el </w:t>
      </w:r>
      <w:r w:rsidRPr="00F26448">
        <w:rPr>
          <w:rFonts w:ascii="Arial" w:eastAsia="Calibri" w:hAnsi="Arial" w:cs="Arial"/>
          <w:bCs/>
          <w:i/>
          <w:iCs/>
          <w:lang w:val="es-ES_tradnl"/>
        </w:rPr>
        <w:t>principio de economía</w:t>
      </w:r>
      <w:r w:rsidRPr="00F26448">
        <w:rPr>
          <w:rFonts w:ascii="Arial" w:eastAsia="Calibri" w:hAnsi="Arial" w:cs="Arial"/>
          <w:bCs/>
          <w:lang w:val="es-ES_tradnl"/>
        </w:rPr>
        <w:t>, del cual se desprende que no pueden exigir documentos o requisitos más allá de los que permitan la Constitución, la ley y los reglamentos. Este postulado ha sido recogido no solo en la contratación estatal</w:t>
      </w:r>
      <w:r w:rsidRPr="00F26448">
        <w:rPr>
          <w:rFonts w:ascii="Arial" w:eastAsia="Calibri" w:hAnsi="Arial" w:cs="Arial"/>
          <w:bCs/>
          <w:vertAlign w:val="superscript"/>
          <w:lang w:val="es-ES_tradnl"/>
        </w:rPr>
        <w:footnoteReference w:id="8"/>
      </w:r>
      <w:r w:rsidRPr="00F26448">
        <w:rPr>
          <w:rFonts w:ascii="Arial" w:eastAsia="Calibri" w:hAnsi="Arial" w:cs="Arial"/>
          <w:bCs/>
          <w:lang w:val="es-ES_tradnl"/>
        </w:rPr>
        <w:t xml:space="preserve"> sino además en la normativa </w:t>
      </w:r>
      <w:proofErr w:type="spellStart"/>
      <w:r w:rsidRPr="00F26448">
        <w:rPr>
          <w:rFonts w:ascii="Arial" w:eastAsia="Calibri" w:hAnsi="Arial" w:cs="Arial"/>
          <w:bCs/>
          <w:lang w:val="es-ES_tradnl"/>
        </w:rPr>
        <w:t>antitrámites</w:t>
      </w:r>
      <w:proofErr w:type="spellEnd"/>
      <w:r w:rsidRPr="00F26448">
        <w:rPr>
          <w:rFonts w:ascii="Arial" w:eastAsia="Calibri" w:hAnsi="Arial" w:cs="Arial"/>
          <w:bCs/>
          <w:vertAlign w:val="superscript"/>
          <w:lang w:val="es-ES_tradnl"/>
        </w:rPr>
        <w:footnoteReference w:id="9"/>
      </w:r>
      <w:r w:rsidRPr="00F26448">
        <w:rPr>
          <w:rFonts w:ascii="Arial" w:eastAsia="Calibri" w:hAnsi="Arial" w:cs="Arial"/>
          <w:bCs/>
          <w:lang w:val="es-ES_tradnl"/>
        </w:rPr>
        <w:t>; pues se inscribe dentro de la tendencia de simplificación y racionalización de los procedimientos administrativos. De ahí que cuando las autoridades solicitan la entrega de documentación innecesaria, desconocen el principio de economía.</w:t>
      </w:r>
    </w:p>
    <w:p w14:paraId="4D09BF86" w14:textId="77777777" w:rsidR="00D61DBE" w:rsidRPr="00F26448" w:rsidRDefault="00D61DBE" w:rsidP="00DE0BFC">
      <w:pPr>
        <w:spacing w:after="120" w:line="276" w:lineRule="auto"/>
        <w:ind w:firstLine="709"/>
        <w:jc w:val="both"/>
        <w:rPr>
          <w:rFonts w:ascii="Arial" w:eastAsia="Calibri" w:hAnsi="Arial" w:cs="Arial"/>
          <w:bCs/>
          <w:lang w:val="es-MX"/>
        </w:rPr>
      </w:pPr>
      <w:r w:rsidRPr="00F26448">
        <w:rPr>
          <w:rFonts w:ascii="Arial" w:eastAsia="Calibri" w:hAnsi="Arial" w:cs="Arial"/>
          <w:bCs/>
          <w:lang w:val="es-MX"/>
        </w:rPr>
        <w:t xml:space="preserve">Esta regla de inalterabilidad también aplica a los formatos, formularios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0A05666D" w14:textId="7C84314B" w:rsidR="00D61DBE" w:rsidRPr="00F26448" w:rsidRDefault="00D61DBE" w:rsidP="00DE0BFC">
      <w:pPr>
        <w:spacing w:after="120" w:line="276" w:lineRule="auto"/>
        <w:ind w:firstLine="709"/>
        <w:jc w:val="both"/>
        <w:rPr>
          <w:rFonts w:ascii="Arial" w:eastAsia="Calibri" w:hAnsi="Arial" w:cs="Arial"/>
          <w:lang w:val="es-MX"/>
        </w:rPr>
      </w:pPr>
      <w:r w:rsidRPr="00F26448">
        <w:rPr>
          <w:rFonts w:ascii="Arial" w:eastAsia="Calibri" w:hAnsi="Arial" w:cs="Arial"/>
          <w:lang w:val="es-MX"/>
        </w:rPr>
        <w:t>Adicionalmente, la parte introductoria de los documentos base de los documentos tipo disponen que los aspectos incluidos en corchetes y resaltados en gris deben ser diligenciados por la entidad. Excepcionalmente</w:t>
      </w:r>
      <w:r w:rsidR="00675170" w:rsidRPr="00F26448">
        <w:rPr>
          <w:rFonts w:ascii="Arial" w:eastAsia="Calibri" w:hAnsi="Arial" w:cs="Arial"/>
          <w:lang w:val="es-MX"/>
        </w:rPr>
        <w:t>,</w:t>
      </w:r>
      <w:r w:rsidRPr="00F26448">
        <w:rPr>
          <w:rFonts w:ascii="Arial" w:eastAsia="Calibri" w:hAnsi="Arial" w:cs="Arial"/>
          <w:lang w:val="es-MX"/>
        </w:rPr>
        <w:t xml:space="preserve"> le corresponde al proponente consignar la </w:t>
      </w:r>
      <w:r w:rsidRPr="00F26448">
        <w:rPr>
          <w:rFonts w:ascii="Arial" w:eastAsia="Calibri" w:hAnsi="Arial" w:cs="Arial"/>
          <w:lang w:val="es-MX"/>
        </w:rPr>
        <w:lastRenderedPageBreak/>
        <w:t xml:space="preserve">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 los mismos documentos tipo. </w:t>
      </w:r>
    </w:p>
    <w:p w14:paraId="266763FE" w14:textId="7AE4CA5E" w:rsidR="00D61DBE" w:rsidRPr="00F26448" w:rsidRDefault="00D61DBE" w:rsidP="00DE0BFC">
      <w:pPr>
        <w:spacing w:after="120" w:line="276" w:lineRule="auto"/>
        <w:ind w:firstLine="709"/>
        <w:jc w:val="both"/>
        <w:rPr>
          <w:rFonts w:ascii="Arial" w:eastAsia="Arial" w:hAnsi="Arial" w:cs="Arial"/>
          <w:bCs/>
          <w:lang w:val="es-ES"/>
        </w:rPr>
      </w:pPr>
      <w:r w:rsidRPr="00F26448">
        <w:rPr>
          <w:rFonts w:ascii="Arial" w:eastAsia="Calibri" w:hAnsi="Arial" w:cs="Arial"/>
          <w:bCs/>
          <w:lang w:val="es-MX"/>
        </w:rPr>
        <w:t>En suma, la regla general frente la aplicación de los documentos tipo es su inalterabilidad, y no podrán incluirse o modificarse en los documentos del proceso las condiciones habilitantes, los factores técnicos y económicos de escogencia y los sistemas de ponderación distintos a los señalados en los documentos tipo. En tal sentido, solo se podrán modificar aquellos contenidos que el mismo documento tipo permita</w:t>
      </w:r>
      <w:r w:rsidR="004A5C5F" w:rsidRPr="00F26448">
        <w:rPr>
          <w:rFonts w:ascii="Arial" w:eastAsia="Calibri" w:hAnsi="Arial" w:cs="Arial"/>
          <w:bCs/>
          <w:lang w:val="es-MX"/>
        </w:rPr>
        <w:t>.</w:t>
      </w:r>
    </w:p>
    <w:p w14:paraId="628A52F9" w14:textId="77777777" w:rsidR="00D61DBE" w:rsidRPr="00F26448" w:rsidRDefault="00D61DBE" w:rsidP="00DE0BFC">
      <w:pPr>
        <w:spacing w:after="120" w:line="276" w:lineRule="auto"/>
        <w:ind w:firstLine="709"/>
        <w:jc w:val="both"/>
        <w:rPr>
          <w:rFonts w:ascii="Arial" w:eastAsia="Calibri" w:hAnsi="Arial" w:cs="Arial"/>
          <w:lang w:val="es-MX"/>
        </w:rPr>
      </w:pPr>
      <w:r w:rsidRPr="00F26448">
        <w:rPr>
          <w:rFonts w:ascii="Arial" w:eastAsia="Calibri" w:hAnsi="Arial" w:cs="Arial"/>
          <w:lang w:val="es-MX"/>
        </w:rPr>
        <w:t xml:space="preserve">Con todo, la regla de inalterabilidad de los documentos tipo debe armonizarse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6F9E1197" w14:textId="77777777" w:rsidR="00D61DBE" w:rsidRPr="00F26448" w:rsidRDefault="00D61DBE" w:rsidP="00DE0BFC">
      <w:pPr>
        <w:spacing w:after="120" w:line="276" w:lineRule="auto"/>
        <w:ind w:firstLine="709"/>
        <w:jc w:val="both"/>
        <w:rPr>
          <w:rFonts w:ascii="Arial" w:eastAsia="Calibri" w:hAnsi="Arial" w:cs="Arial"/>
          <w:lang w:val="es-MX"/>
        </w:rPr>
      </w:pPr>
      <w:r w:rsidRPr="00F26448">
        <w:rPr>
          <w:rFonts w:ascii="Arial" w:eastAsia="Calibri" w:hAnsi="Arial" w:cs="Arial"/>
          <w:lang w:val="es-MX"/>
        </w:rPr>
        <w:t>El carácter inalterable de los documentos tipo no puede, entonces, hacerse extensivo a los aspectos meramente formales de tales documentos, esto es, el tamaño y tipo de letra, las márgenes o las expresiones que pretenden hacer más comprensible el documento, como es el caso de aquellas que informan que una expresión larga será referida con otra similar pero más corta. Lo anterior considerando que estos aspectos en nada afectan la aplicación y alcance de los documentos tipo, es decir, no afectan su contenido esencial y, mucho menos, las obligaciones, deberes y derechos que se derivan para las partes contratantes.</w:t>
      </w:r>
    </w:p>
    <w:p w14:paraId="35E54E48" w14:textId="0728FCCA" w:rsidR="00345E68" w:rsidRPr="00F26448" w:rsidRDefault="00D61DBE" w:rsidP="00C1674B">
      <w:pPr>
        <w:spacing w:after="0" w:line="276" w:lineRule="auto"/>
        <w:ind w:firstLine="709"/>
        <w:contextualSpacing/>
        <w:jc w:val="both"/>
        <w:rPr>
          <w:rFonts w:ascii="Arial" w:eastAsia="Calibri" w:hAnsi="Arial" w:cs="Arial"/>
          <w:lang w:val="es-MX"/>
        </w:rPr>
      </w:pPr>
      <w:r w:rsidRPr="00F26448">
        <w:rPr>
          <w:rFonts w:ascii="Arial" w:eastAsia="Calibri" w:hAnsi="Arial" w:cs="Arial"/>
          <w:lang w:val="es-MX"/>
        </w:rPr>
        <w:t>Bajo este entendimiento</w:t>
      </w:r>
      <w:r w:rsidR="001D6996" w:rsidRPr="00F26448">
        <w:rPr>
          <w:rFonts w:ascii="Arial" w:eastAsia="Calibri" w:hAnsi="Arial" w:cs="Arial"/>
          <w:lang w:val="es-MX"/>
        </w:rPr>
        <w:t xml:space="preserve">, </w:t>
      </w:r>
      <w:r w:rsidRPr="00F26448">
        <w:rPr>
          <w:rFonts w:ascii="Arial" w:eastAsia="Calibri" w:hAnsi="Arial" w:cs="Arial"/>
          <w:lang w:val="es-MX"/>
        </w:rPr>
        <w:t xml:space="preserve">la inclusión o supresión de expresiones en los formatos y anexos de los documentos tipo no generan </w:t>
      </w:r>
      <w:r w:rsidRPr="00F26448">
        <w:rPr>
          <w:rFonts w:ascii="Arial" w:eastAsia="Calibri" w:hAnsi="Arial" w:cs="Arial"/>
          <w:i/>
          <w:lang w:val="es-MX"/>
        </w:rPr>
        <w:t>per se</w:t>
      </w:r>
      <w:r w:rsidRPr="00F26448">
        <w:rPr>
          <w:rFonts w:ascii="Arial" w:eastAsia="Calibri" w:hAnsi="Arial" w:cs="Arial"/>
          <w:lang w:val="es-MX"/>
        </w:rPr>
        <w:t xml:space="preserve"> un rechazo de la oferta, toda vez que lo importante es que lo expresado en el documento sea necesario dentro del proceso de contratación. Por ello, en aras de garantizar la primacía de lo sustancial sobre lo formal, no podrá rechazarse la oferta por cuestiones formales, ya sea en esta o en los anexos. Así pues, aquellas modificaciones formales en los diferentes formatos y anexos de los documentos no son un argumento suficiente para un rechazo de la oferta, pues lo que debe garantizarse es el principio de selección objetiva y la libre concurrencia de los proponentes. </w:t>
      </w:r>
    </w:p>
    <w:p w14:paraId="4A768515" w14:textId="77777777" w:rsidR="00C1674B" w:rsidRPr="00F26448" w:rsidRDefault="00C1674B" w:rsidP="00DE0BFC">
      <w:pPr>
        <w:spacing w:after="0" w:line="276" w:lineRule="auto"/>
        <w:ind w:firstLine="709"/>
        <w:contextualSpacing/>
        <w:jc w:val="both"/>
        <w:rPr>
          <w:rFonts w:ascii="Arial" w:eastAsia="Calibri" w:hAnsi="Arial" w:cs="Arial"/>
          <w:lang w:val="es-MX"/>
        </w:rPr>
      </w:pPr>
    </w:p>
    <w:p w14:paraId="69FB5749" w14:textId="74F8AE42" w:rsidR="00A816B5" w:rsidRPr="00F26448" w:rsidRDefault="00455DC9" w:rsidP="00DE0BFC">
      <w:pPr>
        <w:tabs>
          <w:tab w:val="left" w:pos="426"/>
        </w:tabs>
        <w:spacing w:afterLines="120" w:after="288" w:line="276" w:lineRule="auto"/>
        <w:contextualSpacing/>
        <w:jc w:val="both"/>
        <w:rPr>
          <w:rFonts w:ascii="Arial" w:eastAsia="Calibri" w:hAnsi="Arial" w:cs="Arial"/>
          <w:b/>
          <w:bCs/>
          <w:bdr w:val="none" w:sz="0" w:space="0" w:color="auto" w:frame="1"/>
          <w:lang w:val="es-MX" w:eastAsia="es-CO"/>
        </w:rPr>
      </w:pPr>
      <w:r w:rsidRPr="00F26448">
        <w:rPr>
          <w:rFonts w:ascii="Arial" w:hAnsi="Arial" w:cs="Arial"/>
          <w:b/>
          <w:bCs/>
        </w:rPr>
        <w:t>2.</w:t>
      </w:r>
      <w:r w:rsidR="00230B29" w:rsidRPr="00F26448">
        <w:rPr>
          <w:rFonts w:ascii="Arial" w:hAnsi="Arial" w:cs="Arial"/>
          <w:b/>
          <w:bCs/>
        </w:rPr>
        <w:t>3</w:t>
      </w:r>
      <w:r w:rsidRPr="00F26448">
        <w:rPr>
          <w:rFonts w:ascii="Arial" w:hAnsi="Arial" w:cs="Arial"/>
          <w:b/>
          <w:bCs/>
        </w:rPr>
        <w:t xml:space="preserve">. </w:t>
      </w:r>
      <w:bookmarkStart w:id="3" w:name="_Hlk103265819"/>
      <w:r w:rsidR="00A816B5" w:rsidRPr="00F26448">
        <w:rPr>
          <w:rFonts w:ascii="Arial" w:eastAsia="Calibri" w:hAnsi="Arial" w:cs="Arial"/>
          <w:b/>
          <w:bCs/>
          <w:bdr w:val="none" w:sz="0" w:space="0" w:color="auto" w:frame="1"/>
          <w:lang w:val="es-MX" w:eastAsia="es-CO"/>
        </w:rPr>
        <w:t>Determinación del método de ponderación de la propuesta económica en los procesos regidos por documentos tipo</w:t>
      </w:r>
      <w:bookmarkEnd w:id="3"/>
    </w:p>
    <w:p w14:paraId="034207C0" w14:textId="77777777" w:rsidR="00C1674B" w:rsidRPr="00F26448" w:rsidRDefault="00C1674B" w:rsidP="00DE0BFC">
      <w:pPr>
        <w:tabs>
          <w:tab w:val="left" w:pos="426"/>
        </w:tabs>
        <w:spacing w:afterLines="120" w:after="288" w:line="276" w:lineRule="auto"/>
        <w:contextualSpacing/>
        <w:jc w:val="both"/>
        <w:rPr>
          <w:rFonts w:ascii="Arial" w:eastAsia="Arial" w:hAnsi="Arial" w:cs="Arial"/>
          <w:b/>
          <w:lang w:val="es-MX" w:eastAsia="es-ES_tradnl"/>
        </w:rPr>
      </w:pPr>
    </w:p>
    <w:p w14:paraId="6A5082A7" w14:textId="1DEE3668" w:rsidR="00A816B5" w:rsidRPr="00F26448" w:rsidRDefault="00A816B5" w:rsidP="00DE0BFC">
      <w:pPr>
        <w:spacing w:after="120" w:line="276" w:lineRule="auto"/>
        <w:jc w:val="both"/>
        <w:rPr>
          <w:rFonts w:ascii="Arial" w:eastAsia="Calibri" w:hAnsi="Arial" w:cs="Arial"/>
          <w:lang w:val="es-ES_tradnl" w:eastAsia="es-ES"/>
        </w:rPr>
      </w:pPr>
      <w:r w:rsidRPr="00F26448">
        <w:rPr>
          <w:rFonts w:ascii="Arial" w:eastAsia="Calibri" w:hAnsi="Arial" w:cs="Arial"/>
          <w:lang w:val="es-ES_tradnl" w:eastAsia="es-ES"/>
        </w:rPr>
        <w:lastRenderedPageBreak/>
        <w:t xml:space="preserve">Los </w:t>
      </w:r>
      <w:r w:rsidR="00C1674B" w:rsidRPr="00F26448">
        <w:rPr>
          <w:rFonts w:ascii="Arial" w:eastAsia="Calibri" w:hAnsi="Arial" w:cs="Arial"/>
          <w:lang w:val="es-ES_tradnl" w:eastAsia="es-ES"/>
        </w:rPr>
        <w:t xml:space="preserve">documentos tipo </w:t>
      </w:r>
      <w:r w:rsidRPr="00F26448">
        <w:rPr>
          <w:rFonts w:ascii="Arial" w:eastAsia="Calibri" w:hAnsi="Arial" w:cs="Arial"/>
          <w:lang w:val="es-ES_tradnl" w:eastAsia="es-ES"/>
        </w:rPr>
        <w:t xml:space="preserve">adoptados por esta Agencia han regulado de manera uniforme lo relativo a la determinación del factor que se tendrá en cuenta para determinar el método para la ponderación de las ofertas económicas, </w:t>
      </w:r>
      <w:r w:rsidR="00536884" w:rsidRPr="00F26448">
        <w:rPr>
          <w:rFonts w:ascii="Arial" w:eastAsia="Calibri" w:hAnsi="Arial" w:cs="Arial"/>
          <w:lang w:val="es-ES_tradnl" w:eastAsia="es-ES"/>
        </w:rPr>
        <w:t xml:space="preserve">acudiendo a </w:t>
      </w:r>
      <w:r w:rsidRPr="00F26448">
        <w:rPr>
          <w:rFonts w:ascii="Arial" w:eastAsia="Calibri" w:hAnsi="Arial" w:cs="Arial"/>
          <w:lang w:val="es-ES_tradnl" w:eastAsia="es-ES"/>
        </w:rPr>
        <w:t xml:space="preserve">la Tasa Representativa del Mercado que rija para determinado momento, como la cifra o criterio que definirá uno de los métodos de ponderación de la propuesta establecidos en los documentos tipo. </w:t>
      </w:r>
    </w:p>
    <w:p w14:paraId="2DB13987" w14:textId="43235506" w:rsidR="00A816B5" w:rsidRPr="00F26448" w:rsidRDefault="00A816B5" w:rsidP="00DE0BFC">
      <w:pPr>
        <w:spacing w:before="120" w:after="120" w:line="276" w:lineRule="auto"/>
        <w:ind w:firstLine="709"/>
        <w:jc w:val="both"/>
        <w:rPr>
          <w:rFonts w:ascii="Arial" w:eastAsia="Calibri" w:hAnsi="Arial" w:cs="Arial"/>
          <w:lang w:val="es-ES_tradnl" w:eastAsia="es-ES_tradnl"/>
        </w:rPr>
      </w:pPr>
      <w:r w:rsidRPr="00F26448">
        <w:rPr>
          <w:rFonts w:ascii="Arial" w:eastAsia="Calibri" w:hAnsi="Arial" w:cs="Arial"/>
          <w:lang w:val="es-ES_tradnl" w:eastAsia="es-ES_tradnl"/>
        </w:rPr>
        <w:t xml:space="preserve">La Tasa de Cambio Representativa del Mercado – </w:t>
      </w:r>
      <w:r w:rsidR="00C1674B" w:rsidRPr="00F26448">
        <w:rPr>
          <w:rFonts w:ascii="Arial" w:eastAsia="Calibri" w:hAnsi="Arial" w:cs="Arial"/>
          <w:lang w:val="es-ES_tradnl" w:eastAsia="es-ES_tradnl"/>
        </w:rPr>
        <w:t xml:space="preserve">en adelante </w:t>
      </w:r>
      <w:r w:rsidRPr="00F26448">
        <w:rPr>
          <w:rFonts w:ascii="Arial" w:eastAsia="Calibri" w:hAnsi="Arial" w:cs="Arial"/>
          <w:lang w:val="es-ES_tradnl" w:eastAsia="es-ES_tradnl"/>
        </w:rPr>
        <w:t>TRM</w:t>
      </w:r>
      <w:r w:rsidR="00C1674B" w:rsidRPr="00F26448">
        <w:rPr>
          <w:rFonts w:ascii="Arial" w:eastAsia="Calibri" w:hAnsi="Arial" w:cs="Arial"/>
          <w:lang w:val="es-ES_tradnl" w:eastAsia="es-ES_tradnl"/>
        </w:rPr>
        <w:t xml:space="preserve"> –</w:t>
      </w:r>
      <w:r w:rsidRPr="00F26448">
        <w:rPr>
          <w:rFonts w:ascii="Arial" w:eastAsia="Calibri" w:hAnsi="Arial" w:cs="Arial"/>
          <w:lang w:val="es-ES_tradnl" w:eastAsia="es-ES_tradnl"/>
        </w:rPr>
        <w:t xml:space="preserve"> «</w:t>
      </w:r>
      <w:r w:rsidRPr="00F26448">
        <w:rPr>
          <w:rFonts w:ascii="Arial" w:eastAsia="Calibri" w:hAnsi="Arial" w:cs="Arial"/>
          <w:lang w:val="es-MX" w:eastAsia="es-ES_tradnl"/>
        </w:rPr>
        <w:t>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(IMC) entre las 7:30 a.m. y la 1:00 p.m.</w:t>
      </w:r>
      <w:r w:rsidRPr="00F26448">
        <w:rPr>
          <w:rFonts w:ascii="Arial" w:eastAsia="Calibri" w:hAnsi="Arial" w:cs="Arial"/>
          <w:lang w:val="es-ES_tradnl" w:eastAsia="es-ES_tradnl"/>
        </w:rPr>
        <w:t>»</w:t>
      </w:r>
      <w:r w:rsidRPr="00F26448">
        <w:rPr>
          <w:rFonts w:ascii="Arial" w:eastAsia="Calibri" w:hAnsi="Arial" w:cs="Arial"/>
          <w:vertAlign w:val="superscript"/>
          <w:lang w:val="es-ES_tradnl" w:eastAsia="es-ES_tradnl"/>
        </w:rPr>
        <w:t xml:space="preserve"> </w:t>
      </w:r>
      <w:r w:rsidRPr="00F26448">
        <w:rPr>
          <w:rFonts w:ascii="Arial" w:eastAsia="Calibri" w:hAnsi="Arial" w:cs="Arial"/>
          <w:vertAlign w:val="superscript"/>
          <w:lang w:val="es-ES_tradnl" w:eastAsia="es-ES_tradnl"/>
        </w:rPr>
        <w:footnoteReference w:id="10"/>
      </w:r>
      <w:r w:rsidRPr="00F26448">
        <w:rPr>
          <w:rFonts w:ascii="Arial" w:eastAsia="Calibri" w:hAnsi="Arial" w:cs="Arial"/>
          <w:lang w:val="es-ES_tradnl" w:eastAsia="es-ES_tradnl"/>
        </w:rPr>
        <w:t>, definido por la Superintendencia Financiera, es decir, denota la relación entre la moneda colombiana y el dólar. Por su parte, el Banco de la República ha definido la tasa de cambio representativa del mercado como «la cantidad de pesos colombianos por un dólar de los Estados Unidos</w:t>
      </w:r>
      <w:r w:rsidRPr="00F26448">
        <w:rPr>
          <w:rFonts w:ascii="Arial" w:eastAsia="Calibri" w:hAnsi="Arial" w:cs="Arial"/>
          <w:vertAlign w:val="superscript"/>
          <w:lang w:val="es-ES_tradnl" w:eastAsia="es-ES_tradnl"/>
        </w:rPr>
        <w:footnoteReference w:id="11"/>
      </w:r>
      <w:r w:rsidRPr="00F26448">
        <w:rPr>
          <w:rFonts w:ascii="Arial" w:eastAsia="Calibri" w:hAnsi="Arial" w:cs="Arial"/>
          <w:lang w:val="es-ES_tradnl" w:eastAsia="es-ES_tradnl"/>
        </w:rPr>
        <w:t xml:space="preserve">», de donde se despende que la TRM es un valor que se origina en la fluctuación del mercado. </w:t>
      </w:r>
    </w:p>
    <w:p w14:paraId="02F8C95D" w14:textId="16AD82CD" w:rsidR="00A816B5" w:rsidRPr="00F26448" w:rsidRDefault="00A816B5" w:rsidP="00DE0BFC">
      <w:pPr>
        <w:spacing w:after="120" w:line="276" w:lineRule="auto"/>
        <w:jc w:val="both"/>
        <w:rPr>
          <w:rFonts w:ascii="Arial" w:eastAsia="Calibri" w:hAnsi="Arial" w:cs="Arial"/>
          <w:lang w:val="es-ES" w:eastAsia="es-ES_tradnl"/>
        </w:rPr>
      </w:pPr>
      <w:r w:rsidRPr="00F26448">
        <w:rPr>
          <w:rFonts w:ascii="Arial" w:eastAsia="Calibri" w:hAnsi="Arial" w:cs="Arial"/>
          <w:lang w:val="es-MX" w:eastAsia="es-ES_tradnl"/>
        </w:rPr>
        <w:tab/>
        <w:t xml:space="preserve">La TRM que la entidad usará para el método de ponderación podrá variar </w:t>
      </w:r>
      <w:r w:rsidR="005701DB" w:rsidRPr="00F26448">
        <w:rPr>
          <w:rFonts w:ascii="Arial" w:eastAsia="Calibri" w:hAnsi="Arial" w:cs="Arial"/>
          <w:lang w:val="es-MX" w:eastAsia="es-ES_tradnl"/>
        </w:rPr>
        <w:t>de acuerdo con el</w:t>
      </w:r>
      <w:r w:rsidRPr="00F26448">
        <w:rPr>
          <w:rFonts w:ascii="Arial" w:eastAsia="Calibri" w:hAnsi="Arial" w:cs="Arial"/>
          <w:lang w:val="es-MX" w:eastAsia="es-ES_tradnl"/>
        </w:rPr>
        <w:t xml:space="preserve"> proceso de selección regulado en el respectivo </w:t>
      </w:r>
      <w:r w:rsidR="00C1674B" w:rsidRPr="00F26448">
        <w:rPr>
          <w:rFonts w:ascii="Arial" w:eastAsia="Calibri" w:hAnsi="Arial" w:cs="Arial"/>
          <w:lang w:val="es-MX" w:eastAsia="es-ES_tradnl"/>
        </w:rPr>
        <w:t>documento tipo</w:t>
      </w:r>
      <w:r w:rsidRPr="00F26448">
        <w:rPr>
          <w:rFonts w:ascii="Arial" w:eastAsia="Calibri" w:hAnsi="Arial" w:cs="Arial"/>
          <w:lang w:val="es-MX" w:eastAsia="es-ES_tradnl"/>
        </w:rPr>
        <w:t xml:space="preserve">. </w:t>
      </w:r>
      <w:r w:rsidR="00C1674B" w:rsidRPr="00F26448">
        <w:rPr>
          <w:rFonts w:ascii="Arial" w:eastAsia="Calibri" w:hAnsi="Arial" w:cs="Arial"/>
          <w:lang w:val="es-MX" w:eastAsia="es-ES_tradnl"/>
        </w:rPr>
        <w:t xml:space="preserve">Teniendo en cuenta que en su consulta no se hace referencia a un documento en particular, a </w:t>
      </w:r>
      <w:proofErr w:type="gramStart"/>
      <w:r w:rsidR="00C1674B" w:rsidRPr="00F26448">
        <w:rPr>
          <w:rFonts w:ascii="Arial" w:eastAsia="Calibri" w:hAnsi="Arial" w:cs="Arial"/>
          <w:lang w:val="es-MX" w:eastAsia="es-ES_tradnl"/>
        </w:rPr>
        <w:t>continuación</w:t>
      </w:r>
      <w:proofErr w:type="gramEnd"/>
      <w:r w:rsidR="00C1674B" w:rsidRPr="00F26448">
        <w:rPr>
          <w:rFonts w:ascii="Arial" w:eastAsia="Calibri" w:hAnsi="Arial" w:cs="Arial"/>
          <w:lang w:val="es-MX" w:eastAsia="es-ES_tradnl"/>
        </w:rPr>
        <w:t xml:space="preserve"> se realizara el análisis haciendo alusión a</w:t>
      </w:r>
      <w:r w:rsidRPr="00F26448">
        <w:rPr>
          <w:rFonts w:ascii="Arial" w:eastAsia="Calibri" w:hAnsi="Arial" w:cs="Arial"/>
          <w:lang w:val="es-MX" w:eastAsia="es-ES_tradnl"/>
        </w:rPr>
        <w:t xml:space="preserve"> </w:t>
      </w:r>
      <w:r w:rsidRPr="00F26448">
        <w:rPr>
          <w:rFonts w:ascii="Arial" w:eastAsia="Calibri" w:hAnsi="Arial" w:cs="Arial"/>
          <w:lang w:val="es-MX"/>
        </w:rPr>
        <w:t>los «Documentos Tipo – Versión 3» de licitación de obra de infraestructura de transporte</w:t>
      </w:r>
      <w:r w:rsidR="00C1674B" w:rsidRPr="00F26448">
        <w:rPr>
          <w:rFonts w:ascii="Arial" w:eastAsia="Calibri" w:hAnsi="Arial" w:cs="Arial"/>
          <w:lang w:val="es-MX"/>
        </w:rPr>
        <w:t>, los cuales</w:t>
      </w:r>
      <w:r w:rsidRPr="00F26448">
        <w:rPr>
          <w:rFonts w:ascii="Arial" w:eastAsia="Calibri" w:hAnsi="Arial" w:cs="Arial"/>
          <w:lang w:val="es-MX" w:eastAsia="es-ES_tradnl"/>
        </w:rPr>
        <w:t xml:space="preserve"> establecen en el numeral </w:t>
      </w:r>
      <w:bookmarkStart w:id="4" w:name="_Toc32147369"/>
      <w:bookmarkStart w:id="5" w:name="_Toc84413953"/>
      <w:bookmarkStart w:id="6" w:name="_Hlk511666009"/>
      <w:r w:rsidRPr="00F26448">
        <w:rPr>
          <w:rFonts w:ascii="Arial" w:eastAsia="Calibri" w:hAnsi="Arial" w:cs="Arial"/>
          <w:lang w:eastAsia="es-ES_tradnl"/>
        </w:rPr>
        <w:t>4.1.4. «</w:t>
      </w:r>
      <w:r w:rsidRPr="00F26448">
        <w:rPr>
          <w:rFonts w:ascii="Arial" w:eastAsia="Arial" w:hAnsi="Arial" w:cs="Arial"/>
          <w:lang w:eastAsia="es-ES_tradnl"/>
        </w:rPr>
        <w:t>DETERMINACIÓN DEL MÉTODO PARA LA PONDERACIÓN DE LA PROPUESTA ECONÓMICA</w:t>
      </w:r>
      <w:bookmarkEnd w:id="4"/>
      <w:bookmarkEnd w:id="5"/>
      <w:bookmarkEnd w:id="6"/>
      <w:r w:rsidRPr="00F26448">
        <w:rPr>
          <w:rFonts w:ascii="Arial" w:eastAsia="Arial" w:hAnsi="Arial" w:cs="Arial"/>
          <w:lang w:eastAsia="es-ES_tradnl"/>
        </w:rPr>
        <w:t xml:space="preserve">», que </w:t>
      </w:r>
      <w:r w:rsidRPr="00F26448">
        <w:rPr>
          <w:rFonts w:ascii="Arial" w:eastAsia="Calibri" w:hAnsi="Arial" w:cs="Arial"/>
          <w:lang w:val="es-ES" w:eastAsia="es-ES_tradnl"/>
        </w:rPr>
        <w:t>l</w:t>
      </w:r>
      <w:r w:rsidRPr="00F26448">
        <w:rPr>
          <w:rFonts w:ascii="Arial" w:eastAsia="Calibri" w:hAnsi="Arial" w:cs="Arial"/>
          <w:lang w:val="es-MX" w:eastAsia="es-ES_tradnl"/>
        </w:rPr>
        <w:t>a TRM que la entidad usará para definir el método de ponderación será la que rija el día hábil siguiente del día en que efectivamente sea la apertura del segundo sobre, según la publicación hecha por la Superintendencia en horas de la tarde el día de la apertura del segundo sobre</w:t>
      </w:r>
      <w:r w:rsidRPr="00F26448">
        <w:rPr>
          <w:rFonts w:ascii="Arial" w:eastAsia="Calibri" w:hAnsi="Arial" w:cs="Arial"/>
          <w:lang w:val="es-ES" w:eastAsia="es-ES_tradnl"/>
        </w:rPr>
        <w:t xml:space="preserve">. </w:t>
      </w:r>
    </w:p>
    <w:p w14:paraId="1D5195AE" w14:textId="197FB8A5" w:rsidR="00A816B5" w:rsidRPr="00F26448" w:rsidRDefault="00A816B5" w:rsidP="00DE0BFC">
      <w:pPr>
        <w:spacing w:before="120" w:after="0" w:line="276" w:lineRule="auto"/>
        <w:jc w:val="both"/>
        <w:textAlignment w:val="baseline"/>
        <w:rPr>
          <w:rFonts w:ascii="Arial" w:eastAsia="Times New Roman" w:hAnsi="Arial" w:cs="Arial"/>
          <w:lang w:val="es-MX" w:eastAsia="es-CO"/>
        </w:rPr>
      </w:pPr>
      <w:r w:rsidRPr="00F26448">
        <w:rPr>
          <w:rFonts w:ascii="Arial" w:eastAsia="Calibri" w:hAnsi="Arial" w:cs="Arial"/>
          <w:lang w:val="es-ES" w:eastAsia="es-ES_tradnl"/>
        </w:rPr>
        <w:tab/>
        <w:t xml:space="preserve">En efecto, </w:t>
      </w:r>
      <w:r w:rsidRPr="00F26448">
        <w:rPr>
          <w:rFonts w:ascii="Arial" w:eastAsia="Times New Roman" w:hAnsi="Arial" w:cs="Arial"/>
          <w:lang w:val="es-MX" w:eastAsia="es-CO"/>
        </w:rPr>
        <w:t xml:space="preserve">el numeral 4.1.4 del Documento Base de licitación de obra pública de infraestructura de transporte, </w:t>
      </w:r>
      <w:r w:rsidRPr="00F26448">
        <w:rPr>
          <w:rFonts w:ascii="Arial" w:eastAsia="Calibri" w:hAnsi="Arial" w:cs="Arial"/>
          <w:lang w:val="es-MX" w:eastAsia="es-ES_tradnl"/>
        </w:rPr>
        <w:t>señala los métodos de ponderación de las ofertas económicas presentando</w:t>
      </w:r>
      <w:r w:rsidR="00C1674B" w:rsidRPr="00F26448">
        <w:rPr>
          <w:rFonts w:ascii="Arial" w:eastAsia="Calibri" w:hAnsi="Arial" w:cs="Arial"/>
          <w:lang w:val="es-MX" w:eastAsia="es-ES_tradnl"/>
        </w:rPr>
        <w:t xml:space="preserve"> cuatro (</w:t>
      </w:r>
      <w:r w:rsidRPr="00F26448">
        <w:rPr>
          <w:rFonts w:ascii="Arial" w:eastAsia="Calibri" w:hAnsi="Arial" w:cs="Arial"/>
          <w:lang w:val="es-MX" w:eastAsia="es-ES_tradnl"/>
        </w:rPr>
        <w:t>4</w:t>
      </w:r>
      <w:r w:rsidR="00C1674B" w:rsidRPr="00F26448">
        <w:rPr>
          <w:rFonts w:ascii="Arial" w:eastAsia="Calibri" w:hAnsi="Arial" w:cs="Arial"/>
          <w:lang w:val="es-MX" w:eastAsia="es-ES_tradnl"/>
        </w:rPr>
        <w:t>)</w:t>
      </w:r>
      <w:r w:rsidRPr="00F26448">
        <w:rPr>
          <w:rFonts w:ascii="Arial" w:eastAsia="Calibri" w:hAnsi="Arial" w:cs="Arial"/>
          <w:lang w:val="es-MX" w:eastAsia="es-ES_tradnl"/>
        </w:rPr>
        <w:t xml:space="preserve"> alternativas: i) mediana con valor absoluto, </w:t>
      </w:r>
      <w:proofErr w:type="spellStart"/>
      <w:r w:rsidRPr="00F26448">
        <w:rPr>
          <w:rFonts w:ascii="Arial" w:eastAsia="Calibri" w:hAnsi="Arial" w:cs="Arial"/>
          <w:lang w:val="es-MX" w:eastAsia="es-ES_tradnl"/>
        </w:rPr>
        <w:t>ii</w:t>
      </w:r>
      <w:proofErr w:type="spellEnd"/>
      <w:r w:rsidRPr="00F26448">
        <w:rPr>
          <w:rFonts w:ascii="Arial" w:eastAsia="Calibri" w:hAnsi="Arial" w:cs="Arial"/>
          <w:lang w:val="es-MX" w:eastAsia="es-ES_tradnl"/>
        </w:rPr>
        <w:t xml:space="preserve">) media geométrica, </w:t>
      </w:r>
      <w:proofErr w:type="spellStart"/>
      <w:r w:rsidRPr="00F26448">
        <w:rPr>
          <w:rFonts w:ascii="Arial" w:eastAsia="Calibri" w:hAnsi="Arial" w:cs="Arial"/>
          <w:lang w:val="es-MX" w:eastAsia="es-ES_tradnl"/>
        </w:rPr>
        <w:t>iii</w:t>
      </w:r>
      <w:proofErr w:type="spellEnd"/>
      <w:r w:rsidRPr="00F26448">
        <w:rPr>
          <w:rFonts w:ascii="Arial" w:eastAsia="Calibri" w:hAnsi="Arial" w:cs="Arial"/>
          <w:lang w:val="es-MX" w:eastAsia="es-ES_tradnl"/>
        </w:rPr>
        <w:t xml:space="preserve">) media aritmética baja y </w:t>
      </w:r>
      <w:proofErr w:type="spellStart"/>
      <w:r w:rsidRPr="00F26448">
        <w:rPr>
          <w:rFonts w:ascii="Arial" w:eastAsia="Calibri" w:hAnsi="Arial" w:cs="Arial"/>
          <w:lang w:val="es-MX" w:eastAsia="es-ES_tradnl"/>
        </w:rPr>
        <w:t>iv</w:t>
      </w:r>
      <w:proofErr w:type="spellEnd"/>
      <w:r w:rsidRPr="00F26448">
        <w:rPr>
          <w:rFonts w:ascii="Arial" w:eastAsia="Calibri" w:hAnsi="Arial" w:cs="Arial"/>
          <w:lang w:val="es-MX" w:eastAsia="es-ES_tradnl"/>
        </w:rPr>
        <w:t>) menor valor</w:t>
      </w:r>
      <w:r w:rsidRPr="00F26448">
        <w:rPr>
          <w:rFonts w:ascii="Arial" w:eastAsia="Times New Roman" w:hAnsi="Arial" w:cs="Arial"/>
          <w:lang w:val="es-MX" w:eastAsia="es-CO"/>
        </w:rPr>
        <w:t xml:space="preserve">, las cuales deben aplicarse de manera aleatoria según los centavos de la TRM publicada por la Superintendencia Financiera. Al respecto, el documento base señala lo siguiente: </w:t>
      </w:r>
    </w:p>
    <w:p w14:paraId="2F189F38" w14:textId="77777777" w:rsidR="00C1674B" w:rsidRPr="00F26448" w:rsidRDefault="00C1674B" w:rsidP="00C1674B">
      <w:pPr>
        <w:spacing w:after="0" w:line="240" w:lineRule="auto"/>
        <w:ind w:left="709" w:right="709"/>
        <w:contextualSpacing/>
        <w:jc w:val="both"/>
        <w:rPr>
          <w:rFonts w:ascii="Arial" w:eastAsia="Calibri" w:hAnsi="Arial" w:cs="Arial"/>
          <w:lang w:eastAsia="es-ES_tradnl"/>
        </w:rPr>
      </w:pPr>
    </w:p>
    <w:p w14:paraId="5DE80416" w14:textId="7CF40063" w:rsidR="00A816B5" w:rsidRPr="00F26448" w:rsidRDefault="00C1674B" w:rsidP="00C1674B">
      <w:pPr>
        <w:spacing w:after="0" w:line="240" w:lineRule="auto"/>
        <w:ind w:left="709" w:right="709"/>
        <w:contextualSpacing/>
        <w:jc w:val="both"/>
        <w:rPr>
          <w:rFonts w:ascii="Arial" w:eastAsia="Calibri" w:hAnsi="Arial" w:cs="Arial"/>
          <w:lang w:val="es-MX"/>
        </w:rPr>
      </w:pPr>
      <w:r w:rsidRPr="00F26448">
        <w:rPr>
          <w:rFonts w:ascii="Arial" w:eastAsia="Calibri" w:hAnsi="Arial" w:cs="Arial"/>
          <w:lang w:eastAsia="es-ES_tradnl"/>
        </w:rPr>
        <w:t>«</w:t>
      </w:r>
      <w:r w:rsidR="00A816B5" w:rsidRPr="00F26448">
        <w:rPr>
          <w:rFonts w:ascii="Arial" w:eastAsia="Calibri" w:hAnsi="Arial" w:cs="Arial"/>
          <w:lang w:val="es-MX"/>
        </w:rPr>
        <w:t>La entidad seleccionará el método de ponderación de la propuesta económica de acuerdo con las siguientes alternativas:</w:t>
      </w:r>
    </w:p>
    <w:p w14:paraId="37BFD9B1" w14:textId="77777777" w:rsidR="00C1674B" w:rsidRPr="00F26448" w:rsidRDefault="00C1674B" w:rsidP="00DE0BFC">
      <w:pPr>
        <w:spacing w:after="0" w:line="240" w:lineRule="auto"/>
        <w:ind w:left="709" w:right="709"/>
        <w:contextualSpacing/>
        <w:jc w:val="both"/>
        <w:rPr>
          <w:rFonts w:ascii="Arial" w:eastAsia="Calibri" w:hAnsi="Arial" w:cs="Arial"/>
          <w:lang w:val="es-MX"/>
        </w:rPr>
      </w:pPr>
    </w:p>
    <w:tbl>
      <w:tblPr>
        <w:tblStyle w:val="Tablaconcuadrcula1"/>
        <w:tblW w:w="0" w:type="auto"/>
        <w:jc w:val="center"/>
        <w:tblLook w:val="04A0" w:firstRow="1" w:lastRow="0" w:firstColumn="1" w:lastColumn="0" w:noHBand="0" w:noVBand="1"/>
      </w:tblPr>
      <w:tblGrid>
        <w:gridCol w:w="1560"/>
        <w:gridCol w:w="1984"/>
      </w:tblGrid>
      <w:tr w:rsidR="001C4260" w:rsidRPr="00F26448" w14:paraId="2F31FB52" w14:textId="77777777" w:rsidTr="00E7438D">
        <w:trPr>
          <w:trHeight w:val="20"/>
          <w:tblHeader/>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vAlign w:val="center"/>
            <w:hideMark/>
          </w:tcPr>
          <w:p w14:paraId="28F1A299" w14:textId="77777777" w:rsidR="00A816B5" w:rsidRPr="00F26448" w:rsidRDefault="00A816B5" w:rsidP="00DE0BFC">
            <w:pPr>
              <w:contextualSpacing/>
              <w:jc w:val="center"/>
              <w:rPr>
                <w:rFonts w:ascii="Arial" w:hAnsi="Arial"/>
                <w:b/>
                <w:bCs/>
                <w:lang w:val="es-MX" w:eastAsia="es-ES_tradnl"/>
              </w:rPr>
            </w:pPr>
            <w:bookmarkStart w:id="7" w:name="_Hlk511666058"/>
            <w:r w:rsidRPr="00F26448">
              <w:rPr>
                <w:rFonts w:ascii="Arial" w:hAnsi="Arial"/>
                <w:b/>
                <w:bCs/>
                <w:lang w:val="es-MX" w:eastAsia="es-ES_tradnl"/>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vAlign w:val="center"/>
            <w:hideMark/>
          </w:tcPr>
          <w:p w14:paraId="58F7A2EB" w14:textId="77777777" w:rsidR="00A816B5" w:rsidRPr="00F26448" w:rsidRDefault="00A816B5" w:rsidP="00DE0BFC">
            <w:pPr>
              <w:contextualSpacing/>
              <w:jc w:val="center"/>
              <w:rPr>
                <w:rFonts w:ascii="Arial" w:hAnsi="Arial"/>
                <w:b/>
                <w:bCs/>
                <w:lang w:val="es-MX" w:eastAsia="es-ES_tradnl"/>
              </w:rPr>
            </w:pPr>
            <w:r w:rsidRPr="00F26448">
              <w:rPr>
                <w:rFonts w:ascii="Arial" w:hAnsi="Arial"/>
                <w:b/>
                <w:bCs/>
                <w:lang w:val="es-MX" w:eastAsia="es-ES_tradnl"/>
              </w:rPr>
              <w:t>Método</w:t>
            </w:r>
          </w:p>
        </w:tc>
      </w:tr>
      <w:tr w:rsidR="001C4260" w:rsidRPr="00F26448" w14:paraId="6C825F3F" w14:textId="77777777" w:rsidTr="00E7438D">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2B834C7C" w14:textId="77777777" w:rsidR="00A816B5" w:rsidRPr="00F26448" w:rsidRDefault="00A816B5" w:rsidP="00DE0BFC">
            <w:pPr>
              <w:contextualSpacing/>
              <w:jc w:val="center"/>
              <w:rPr>
                <w:rFonts w:ascii="Arial" w:hAnsi="Arial"/>
                <w:lang w:val="es-ES" w:eastAsia="es-ES_tradnl"/>
              </w:rPr>
            </w:pPr>
            <w:r w:rsidRPr="00F26448">
              <w:rPr>
                <w:rFonts w:ascii="Arial" w:hAnsi="Arial"/>
                <w:lang w:val="es-ES" w:eastAsia="es-ES_tradnl"/>
              </w:rPr>
              <w:t>1</w:t>
            </w:r>
          </w:p>
        </w:tc>
        <w:tc>
          <w:tcPr>
            <w:tcW w:w="1984" w:type="dxa"/>
            <w:tcBorders>
              <w:top w:val="single" w:sz="4" w:space="0" w:color="auto"/>
              <w:left w:val="single" w:sz="4" w:space="0" w:color="auto"/>
              <w:bottom w:val="single" w:sz="4" w:space="0" w:color="auto"/>
              <w:right w:val="double" w:sz="4" w:space="0" w:color="auto"/>
            </w:tcBorders>
            <w:vAlign w:val="center"/>
            <w:hideMark/>
          </w:tcPr>
          <w:p w14:paraId="671A06C3" w14:textId="77777777" w:rsidR="00A816B5" w:rsidRPr="00F26448" w:rsidRDefault="00A816B5" w:rsidP="00DE0BFC">
            <w:pPr>
              <w:contextualSpacing/>
              <w:jc w:val="center"/>
              <w:rPr>
                <w:rFonts w:ascii="Arial" w:hAnsi="Arial"/>
                <w:lang w:val="es-ES" w:eastAsia="es-ES_tradnl"/>
              </w:rPr>
            </w:pPr>
            <w:r w:rsidRPr="00F26448">
              <w:rPr>
                <w:rFonts w:ascii="Arial" w:hAnsi="Arial"/>
                <w:lang w:val="es-ES" w:eastAsia="es-ES_tradnl"/>
              </w:rPr>
              <w:t>Mediana con valor absoluto</w:t>
            </w:r>
          </w:p>
        </w:tc>
      </w:tr>
      <w:tr w:rsidR="001C4260" w:rsidRPr="00F26448" w14:paraId="70500177" w14:textId="77777777" w:rsidTr="00E7438D">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608CF01E" w14:textId="77777777" w:rsidR="00A816B5" w:rsidRPr="00F26448" w:rsidRDefault="00A816B5" w:rsidP="00DE0BFC">
            <w:pPr>
              <w:contextualSpacing/>
              <w:jc w:val="center"/>
              <w:rPr>
                <w:rFonts w:ascii="Arial" w:hAnsi="Arial"/>
                <w:lang w:val="es-ES" w:eastAsia="es-ES_tradnl"/>
              </w:rPr>
            </w:pPr>
            <w:r w:rsidRPr="00F26448">
              <w:rPr>
                <w:rFonts w:ascii="Arial" w:hAnsi="Arial"/>
                <w:lang w:val="es-ES" w:eastAsia="es-ES_tradnl"/>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19E48F09" w14:textId="77777777" w:rsidR="00A816B5" w:rsidRPr="00F26448" w:rsidRDefault="00A816B5" w:rsidP="00DE0BFC">
            <w:pPr>
              <w:contextualSpacing/>
              <w:jc w:val="center"/>
              <w:rPr>
                <w:rFonts w:ascii="Arial" w:hAnsi="Arial"/>
                <w:lang w:val="es-ES" w:eastAsia="es-ES_tradnl"/>
              </w:rPr>
            </w:pPr>
            <w:r w:rsidRPr="00F26448">
              <w:rPr>
                <w:rFonts w:ascii="Arial" w:hAnsi="Arial"/>
                <w:lang w:val="es-ES" w:eastAsia="es-ES_tradnl"/>
              </w:rPr>
              <w:t>Media geométrica</w:t>
            </w:r>
          </w:p>
        </w:tc>
      </w:tr>
      <w:tr w:rsidR="001C4260" w:rsidRPr="00F26448" w14:paraId="11D586DE" w14:textId="77777777" w:rsidTr="00E7438D">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48553115" w14:textId="77777777" w:rsidR="00A816B5" w:rsidRPr="00F26448" w:rsidRDefault="00A816B5" w:rsidP="00DE0BFC">
            <w:pPr>
              <w:contextualSpacing/>
              <w:jc w:val="center"/>
              <w:rPr>
                <w:rFonts w:ascii="Arial" w:hAnsi="Arial"/>
                <w:lang w:val="es-ES" w:eastAsia="es-ES_tradnl"/>
              </w:rPr>
            </w:pPr>
            <w:r w:rsidRPr="00F26448">
              <w:rPr>
                <w:rFonts w:ascii="Arial" w:hAnsi="Arial"/>
                <w:lang w:val="es-ES" w:eastAsia="es-ES_tradnl"/>
              </w:rPr>
              <w:t>3</w:t>
            </w:r>
          </w:p>
        </w:tc>
        <w:tc>
          <w:tcPr>
            <w:tcW w:w="1984" w:type="dxa"/>
            <w:tcBorders>
              <w:top w:val="single" w:sz="4" w:space="0" w:color="auto"/>
              <w:left w:val="single" w:sz="4" w:space="0" w:color="auto"/>
              <w:bottom w:val="single" w:sz="4" w:space="0" w:color="auto"/>
              <w:right w:val="double" w:sz="4" w:space="0" w:color="auto"/>
            </w:tcBorders>
            <w:vAlign w:val="center"/>
          </w:tcPr>
          <w:p w14:paraId="0748E067" w14:textId="77777777" w:rsidR="00A816B5" w:rsidRPr="00F26448" w:rsidRDefault="00A816B5" w:rsidP="00DE0BFC">
            <w:pPr>
              <w:contextualSpacing/>
              <w:jc w:val="center"/>
              <w:rPr>
                <w:rFonts w:ascii="Arial" w:hAnsi="Arial"/>
                <w:lang w:val="es-ES" w:eastAsia="es-ES_tradnl"/>
              </w:rPr>
            </w:pPr>
            <w:r w:rsidRPr="00F26448">
              <w:rPr>
                <w:rFonts w:ascii="Arial" w:hAnsi="Arial"/>
                <w:lang w:val="es-ES" w:eastAsia="es-ES_tradnl"/>
              </w:rPr>
              <w:t>Media aritmética baja</w:t>
            </w:r>
          </w:p>
        </w:tc>
      </w:tr>
      <w:tr w:rsidR="00A816B5" w:rsidRPr="00F26448" w14:paraId="4B274CD2" w14:textId="77777777" w:rsidTr="00E7438D">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14:paraId="47A3B602" w14:textId="77777777" w:rsidR="00A816B5" w:rsidRPr="00F26448" w:rsidRDefault="00A816B5" w:rsidP="00DE0BFC">
            <w:pPr>
              <w:contextualSpacing/>
              <w:jc w:val="center"/>
              <w:rPr>
                <w:rFonts w:ascii="Arial" w:hAnsi="Arial"/>
                <w:lang w:val="es-ES" w:eastAsia="es-ES_tradnl"/>
              </w:rPr>
            </w:pPr>
            <w:r w:rsidRPr="00F26448">
              <w:rPr>
                <w:rFonts w:ascii="Arial" w:hAnsi="Arial"/>
                <w:lang w:val="es-ES" w:eastAsia="es-ES_tradnl"/>
              </w:rPr>
              <w:t>4</w:t>
            </w:r>
          </w:p>
        </w:tc>
        <w:tc>
          <w:tcPr>
            <w:tcW w:w="1984" w:type="dxa"/>
            <w:tcBorders>
              <w:top w:val="single" w:sz="4" w:space="0" w:color="auto"/>
              <w:left w:val="single" w:sz="4" w:space="0" w:color="auto"/>
              <w:bottom w:val="double" w:sz="4" w:space="0" w:color="auto"/>
              <w:right w:val="double" w:sz="4" w:space="0" w:color="auto"/>
            </w:tcBorders>
            <w:vAlign w:val="center"/>
          </w:tcPr>
          <w:p w14:paraId="6E8A4FE1" w14:textId="77777777" w:rsidR="00A816B5" w:rsidRPr="00F26448" w:rsidRDefault="00A816B5" w:rsidP="00DE0BFC">
            <w:pPr>
              <w:contextualSpacing/>
              <w:jc w:val="center"/>
              <w:rPr>
                <w:rFonts w:ascii="Arial" w:hAnsi="Arial"/>
                <w:lang w:val="es-ES" w:eastAsia="es-ES_tradnl"/>
              </w:rPr>
            </w:pPr>
            <w:r w:rsidRPr="00F26448">
              <w:rPr>
                <w:rFonts w:ascii="Arial" w:hAnsi="Arial"/>
                <w:lang w:val="es-ES" w:eastAsia="es-ES_tradnl"/>
              </w:rPr>
              <w:t>Menor valor</w:t>
            </w:r>
          </w:p>
        </w:tc>
      </w:tr>
      <w:bookmarkEnd w:id="7"/>
    </w:tbl>
    <w:p w14:paraId="3DBAE549" w14:textId="77777777" w:rsidR="00A816B5" w:rsidRPr="00F26448" w:rsidRDefault="00A816B5" w:rsidP="00DE0BFC">
      <w:pPr>
        <w:spacing w:after="0" w:line="240" w:lineRule="auto"/>
        <w:contextualSpacing/>
        <w:jc w:val="both"/>
        <w:rPr>
          <w:rFonts w:ascii="Arial" w:eastAsia="Calibri" w:hAnsi="Arial" w:cs="Arial"/>
          <w:lang w:val="es-MX"/>
        </w:rPr>
      </w:pPr>
    </w:p>
    <w:p w14:paraId="45FB08EC" w14:textId="55186AD6" w:rsidR="00A816B5" w:rsidRPr="00F26448" w:rsidRDefault="00A816B5" w:rsidP="00C1674B">
      <w:pPr>
        <w:spacing w:after="0" w:line="240" w:lineRule="auto"/>
        <w:ind w:left="709" w:right="709"/>
        <w:contextualSpacing/>
        <w:jc w:val="both"/>
        <w:rPr>
          <w:rFonts w:ascii="Arial" w:eastAsia="Calibri" w:hAnsi="Arial" w:cs="Arial"/>
          <w:lang w:val="es-MX"/>
        </w:rPr>
      </w:pPr>
      <w:r w:rsidRPr="00F26448">
        <w:rPr>
          <w:rFonts w:ascii="Arial" w:eastAsia="Calibri" w:hAnsi="Arial" w:cs="Arial"/>
          <w:lang w:val="es-MX"/>
        </w:rPr>
        <w:t xml:space="preserve">Para determinar el método de ponderación, la entidad tomará los centavos de la Tasa de Cambio Representativa del Mercado (TRM), certificada por la Superintendencia Financiera de Colombia (en su sitio web: </w:t>
      </w:r>
      <w:hyperlink r:id="rId12" w:history="1">
        <w:r w:rsidR="00C1674B" w:rsidRPr="00F26448">
          <w:rPr>
            <w:rStyle w:val="Hipervnculo"/>
            <w:rFonts w:ascii="Arial" w:hAnsi="Arial" w:cs="Arial"/>
          </w:rPr>
          <w:t>https://www.superfinanciera.gov.co/publicacion/60819</w:t>
        </w:r>
      </w:hyperlink>
      <w:r w:rsidRPr="00F26448">
        <w:rPr>
          <w:rFonts w:ascii="Arial" w:eastAsia="Calibri" w:hAnsi="Arial" w:cs="Arial"/>
          <w:lang w:val="es-MX"/>
        </w:rPr>
        <w:t>).</w:t>
      </w:r>
    </w:p>
    <w:p w14:paraId="43657375" w14:textId="77777777" w:rsidR="00C1674B" w:rsidRPr="00F26448" w:rsidRDefault="00C1674B" w:rsidP="00DE0BFC">
      <w:pPr>
        <w:spacing w:after="0" w:line="240" w:lineRule="auto"/>
        <w:ind w:left="709" w:right="709"/>
        <w:contextualSpacing/>
        <w:jc w:val="both"/>
        <w:rPr>
          <w:rFonts w:ascii="Arial" w:eastAsia="Calibri" w:hAnsi="Arial" w:cs="Arial"/>
          <w:lang w:val="es-MX"/>
        </w:rPr>
      </w:pPr>
    </w:p>
    <w:p w14:paraId="5ADE407C" w14:textId="77777777" w:rsidR="00C1674B" w:rsidRPr="00F26448" w:rsidRDefault="00A816B5" w:rsidP="00C1674B">
      <w:pPr>
        <w:spacing w:after="0" w:line="240" w:lineRule="auto"/>
        <w:ind w:left="709" w:right="709"/>
        <w:contextualSpacing/>
        <w:jc w:val="both"/>
        <w:rPr>
          <w:rFonts w:ascii="Arial" w:eastAsia="Calibri" w:hAnsi="Arial" w:cs="Arial"/>
          <w:lang w:val="es-MX"/>
        </w:rPr>
      </w:pPr>
      <w:r w:rsidRPr="00F26448">
        <w:rPr>
          <w:rFonts w:ascii="Arial" w:eastAsia="Calibri" w:hAnsi="Arial" w:cs="Arial"/>
          <w:lang w:val="es-MX"/>
        </w:rPr>
        <w:t xml:space="preserve">El día de la audiencia efectiva de adjudicación, la entidad iniciará respondiendo y resolviendo las observaciones presentadas al informe de evaluación, de conformidad con el numeral 2.6. Acto seguido, la entidad iniciará la apertura de los sobres de las ofertas económicas y definirá el método de ponderación de las propuestas de acuerdo con la TRM que rija al día hábil siguiente; sin embargo, la entidad debe finalizar la apertura de los sobres económicos hasta antes de las 3:00 pm. De conformidad con lo anterior, la entidad no podrá abrir los sobres económicos teniendo conocimiento de la TRM que regirá al día hábil siguiente. </w:t>
      </w:r>
    </w:p>
    <w:p w14:paraId="0F7C1971" w14:textId="77777777" w:rsidR="00C1674B" w:rsidRPr="00F26448" w:rsidRDefault="00C1674B" w:rsidP="00C1674B">
      <w:pPr>
        <w:spacing w:after="0" w:line="240" w:lineRule="auto"/>
        <w:ind w:left="709" w:right="709"/>
        <w:contextualSpacing/>
        <w:jc w:val="both"/>
        <w:rPr>
          <w:rFonts w:ascii="Arial" w:eastAsia="Calibri" w:hAnsi="Arial" w:cs="Arial"/>
          <w:lang w:val="es-MX"/>
        </w:rPr>
      </w:pPr>
    </w:p>
    <w:p w14:paraId="4A9212AF" w14:textId="1A8F88B4" w:rsidR="00A816B5" w:rsidRPr="00F26448" w:rsidRDefault="00A816B5" w:rsidP="00DE0BFC">
      <w:pPr>
        <w:spacing w:after="0" w:line="240" w:lineRule="auto"/>
        <w:ind w:left="709" w:right="709"/>
        <w:contextualSpacing/>
        <w:jc w:val="both"/>
        <w:rPr>
          <w:rFonts w:ascii="Arial" w:eastAsia="Calibri" w:hAnsi="Arial" w:cs="Arial"/>
          <w:lang w:val="es-MX"/>
        </w:rPr>
      </w:pPr>
      <w:r w:rsidRPr="00F26448">
        <w:rPr>
          <w:rFonts w:ascii="Arial" w:eastAsia="Calibri" w:hAnsi="Arial" w:cs="Arial"/>
          <w:lang w:val="es-MX"/>
        </w:rPr>
        <w:t xml:space="preserve">En este sentido, atendiendo a las circunstancias anteriores y las particularidades de cada caso, la entidad podrá optar por suspender la audiencia y reiniciarla cuando lo considere conveniente, de manera que inicie y finalice la apertura de los sobres antes de las 3:00 pm del día respectivo. </w:t>
      </w:r>
    </w:p>
    <w:p w14:paraId="613B165F" w14:textId="77777777" w:rsidR="00C1674B" w:rsidRPr="00F26448" w:rsidRDefault="00C1674B" w:rsidP="00C1674B">
      <w:pPr>
        <w:spacing w:after="0" w:line="240" w:lineRule="auto"/>
        <w:ind w:left="709" w:right="709"/>
        <w:contextualSpacing/>
        <w:jc w:val="both"/>
        <w:rPr>
          <w:rFonts w:ascii="Arial" w:eastAsia="Calibri" w:hAnsi="Arial" w:cs="Arial"/>
          <w:lang w:val="es-MX"/>
        </w:rPr>
      </w:pPr>
    </w:p>
    <w:p w14:paraId="60E3B251" w14:textId="5715250C" w:rsidR="00A816B5" w:rsidRPr="00F26448" w:rsidRDefault="00A816B5" w:rsidP="00DE0BFC">
      <w:pPr>
        <w:spacing w:after="0" w:line="240" w:lineRule="auto"/>
        <w:ind w:left="709" w:right="709"/>
        <w:contextualSpacing/>
        <w:jc w:val="both"/>
        <w:rPr>
          <w:rFonts w:ascii="Arial" w:eastAsia="Calibri" w:hAnsi="Arial" w:cs="Arial"/>
          <w:lang w:val="es-MX"/>
        </w:rPr>
      </w:pPr>
      <w:r w:rsidRPr="00F26448">
        <w:rPr>
          <w:rFonts w:ascii="Arial" w:eastAsia="Calibri" w:hAnsi="Arial" w:cs="Arial"/>
          <w:lang w:val="es-MX"/>
        </w:rPr>
        <w:t>[…]</w:t>
      </w:r>
    </w:p>
    <w:p w14:paraId="40B6E677" w14:textId="77777777" w:rsidR="00C1674B" w:rsidRPr="00F26448" w:rsidRDefault="00C1674B" w:rsidP="00C1674B">
      <w:pPr>
        <w:spacing w:after="0" w:line="240" w:lineRule="auto"/>
        <w:ind w:left="709" w:right="709"/>
        <w:contextualSpacing/>
        <w:jc w:val="both"/>
        <w:rPr>
          <w:rFonts w:ascii="Arial" w:eastAsia="Calibri" w:hAnsi="Arial" w:cs="Arial"/>
          <w:lang w:val="es-MX"/>
        </w:rPr>
      </w:pPr>
    </w:p>
    <w:p w14:paraId="1A3CB91A" w14:textId="22FC362B" w:rsidR="00A816B5" w:rsidRPr="00F26448" w:rsidRDefault="00A816B5" w:rsidP="00DE0BFC">
      <w:pPr>
        <w:spacing w:after="0" w:line="240" w:lineRule="auto"/>
        <w:ind w:left="709" w:right="709"/>
        <w:contextualSpacing/>
        <w:jc w:val="both"/>
        <w:rPr>
          <w:rFonts w:ascii="Arial" w:eastAsia="Calibri" w:hAnsi="Arial" w:cs="Arial"/>
          <w:lang w:val="es-MX"/>
        </w:rPr>
      </w:pPr>
      <w:r w:rsidRPr="00F26448">
        <w:rPr>
          <w:rFonts w:ascii="Arial" w:eastAsia="Calibri" w:hAnsi="Arial" w:cs="Arial"/>
          <w:lang w:val="es-MX"/>
        </w:rPr>
        <w:t xml:space="preserve">Para mayor claridad y, de acuerdo con lo indicado, </w:t>
      </w:r>
      <w:r w:rsidRPr="00F26448">
        <w:rPr>
          <w:rFonts w:ascii="Arial" w:eastAsia="Calibri" w:hAnsi="Arial" w:cs="Arial"/>
          <w:i/>
          <w:iCs/>
          <w:lang w:val="es-MX"/>
        </w:rPr>
        <w:t>la TRM que la entidad utilizará para determinar el método de ponderación será la que rija el día hábil siguiente del día en que efectivamente sea la apertura del segundo sobre. Esto es, la que la Superintendencia Financiera publique en horas de la tarde el día de la apertura del segundo sobre</w:t>
      </w:r>
      <w:r w:rsidRPr="00F26448">
        <w:rPr>
          <w:rFonts w:ascii="Arial" w:eastAsia="Calibri" w:hAnsi="Arial" w:cs="Arial"/>
          <w:lang w:val="es-MX"/>
        </w:rPr>
        <w:t xml:space="preserve">. [Por ejemplo, si la audiencia de adjudicación se realiza el 10 de febrero de 2020 y ese mismo día se abre el segundo sobre, la TRM que se usará para determinar el método de evaluación será la del 11 de febrero de 2020, que se publica en la tarde del 10 de febrero de 2020]. </w:t>
      </w:r>
    </w:p>
    <w:p w14:paraId="065A04EA" w14:textId="77777777" w:rsidR="00C1674B" w:rsidRPr="00F26448" w:rsidRDefault="00C1674B" w:rsidP="00C1674B">
      <w:pPr>
        <w:spacing w:after="0" w:line="240" w:lineRule="auto"/>
        <w:ind w:left="709" w:right="709"/>
        <w:contextualSpacing/>
        <w:jc w:val="both"/>
        <w:rPr>
          <w:rFonts w:ascii="Arial" w:eastAsia="Calibri" w:hAnsi="Arial" w:cs="Arial"/>
          <w:lang w:val="es-MX"/>
        </w:rPr>
      </w:pPr>
    </w:p>
    <w:p w14:paraId="2695CE99" w14:textId="461625EB" w:rsidR="00A816B5" w:rsidRPr="00F26448" w:rsidRDefault="00A816B5" w:rsidP="00C1674B">
      <w:pPr>
        <w:spacing w:after="0" w:line="240" w:lineRule="auto"/>
        <w:ind w:left="709" w:right="709"/>
        <w:contextualSpacing/>
        <w:jc w:val="both"/>
        <w:rPr>
          <w:rFonts w:ascii="Arial" w:eastAsia="Calibri" w:hAnsi="Arial" w:cs="Arial"/>
          <w:lang w:val="es-MX"/>
        </w:rPr>
      </w:pPr>
      <w:r w:rsidRPr="00F26448">
        <w:rPr>
          <w:rFonts w:ascii="Arial" w:eastAsia="Calibri" w:hAnsi="Arial" w:cs="Arial"/>
          <w:lang w:val="es-MX"/>
        </w:rPr>
        <w:t>El método de ponderación se determinará de acuerdo con los rangos del siguiente cuadro:</w:t>
      </w:r>
    </w:p>
    <w:p w14:paraId="5AB9934B" w14:textId="77777777" w:rsidR="00C1674B" w:rsidRPr="00F26448" w:rsidRDefault="00C1674B" w:rsidP="00DE0BFC">
      <w:pPr>
        <w:spacing w:after="0" w:line="240" w:lineRule="auto"/>
        <w:ind w:left="709" w:right="709"/>
        <w:contextualSpacing/>
        <w:jc w:val="both"/>
        <w:rPr>
          <w:rFonts w:ascii="Arial" w:eastAsia="Calibri"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1048"/>
        <w:gridCol w:w="2503"/>
      </w:tblGrid>
      <w:tr w:rsidR="001C4260" w:rsidRPr="00F26448" w14:paraId="75A2F2B0" w14:textId="77777777" w:rsidTr="00E7438D">
        <w:trPr>
          <w:trHeight w:val="20"/>
          <w:tblHeader/>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vAlign w:val="center"/>
            <w:hideMark/>
          </w:tcPr>
          <w:p w14:paraId="5C23873E" w14:textId="77777777" w:rsidR="00A816B5" w:rsidRPr="00F26448" w:rsidRDefault="00A816B5" w:rsidP="00DE0BFC">
            <w:pPr>
              <w:spacing w:after="0" w:line="240" w:lineRule="auto"/>
              <w:contextualSpacing/>
              <w:jc w:val="center"/>
              <w:rPr>
                <w:rFonts w:ascii="Arial" w:eastAsia="Arial,Calibri" w:hAnsi="Arial" w:cs="Arial"/>
                <w:b/>
                <w:bCs/>
              </w:rPr>
            </w:pPr>
            <w:r w:rsidRPr="00F26448">
              <w:rPr>
                <w:rFonts w:ascii="Arial" w:eastAsia="Calibri" w:hAnsi="Arial" w:cs="Arial"/>
                <w:b/>
                <w:bCs/>
              </w:rPr>
              <w:lastRenderedPageBreak/>
              <w:t>Rango</w:t>
            </w:r>
            <w:r w:rsidRPr="00F26448">
              <w:rPr>
                <w:rFonts w:ascii="Arial" w:eastAsia="Arial,Calibri" w:hAnsi="Arial" w:cs="Arial"/>
                <w:b/>
                <w:bCs/>
              </w:rPr>
              <w:t xml:space="preserve"> </w:t>
            </w:r>
            <w:r w:rsidRPr="00F26448">
              <w:rPr>
                <w:rFonts w:ascii="Arial" w:eastAsia="Calibri" w:hAnsi="Arial" w:cs="Arial"/>
                <w:b/>
                <w:bCs/>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vAlign w:val="center"/>
            <w:hideMark/>
          </w:tcPr>
          <w:p w14:paraId="5A08302F" w14:textId="77777777" w:rsidR="00A816B5" w:rsidRPr="00F26448" w:rsidRDefault="00A816B5" w:rsidP="00DE0BFC">
            <w:pPr>
              <w:spacing w:after="0" w:line="240" w:lineRule="auto"/>
              <w:contextualSpacing/>
              <w:jc w:val="center"/>
              <w:rPr>
                <w:rFonts w:ascii="Arial" w:eastAsia="Arial,Calibri" w:hAnsi="Arial" w:cs="Arial"/>
                <w:b/>
                <w:bCs/>
              </w:rPr>
            </w:pPr>
            <w:r w:rsidRPr="00F26448">
              <w:rPr>
                <w:rFonts w:ascii="Arial" w:eastAsia="Calibri" w:hAnsi="Arial" w:cs="Arial"/>
                <w:b/>
                <w:bCs/>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vAlign w:val="center"/>
            <w:hideMark/>
          </w:tcPr>
          <w:p w14:paraId="072D730A" w14:textId="77777777" w:rsidR="00A816B5" w:rsidRPr="00F26448" w:rsidRDefault="00A816B5" w:rsidP="00DE0BFC">
            <w:pPr>
              <w:spacing w:after="0" w:line="240" w:lineRule="auto"/>
              <w:contextualSpacing/>
              <w:jc w:val="center"/>
              <w:rPr>
                <w:rFonts w:ascii="Arial" w:eastAsia="Arial,Calibri" w:hAnsi="Arial" w:cs="Arial"/>
                <w:b/>
                <w:bCs/>
              </w:rPr>
            </w:pPr>
            <w:r w:rsidRPr="00F26448">
              <w:rPr>
                <w:rFonts w:ascii="Arial" w:eastAsia="Calibri" w:hAnsi="Arial" w:cs="Arial"/>
                <w:b/>
                <w:bCs/>
              </w:rPr>
              <w:t>Método</w:t>
            </w:r>
          </w:p>
        </w:tc>
      </w:tr>
      <w:tr w:rsidR="001C4260" w:rsidRPr="00F26448" w14:paraId="0C96E3EC" w14:textId="77777777" w:rsidTr="00E7438D">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074542A7" w14:textId="77777777" w:rsidR="00A816B5" w:rsidRPr="00F26448" w:rsidRDefault="00A816B5" w:rsidP="00DE0BFC">
            <w:pPr>
              <w:spacing w:after="0" w:line="240" w:lineRule="auto"/>
              <w:contextualSpacing/>
              <w:jc w:val="center"/>
              <w:rPr>
                <w:rFonts w:ascii="Arial" w:eastAsia="Calibri" w:hAnsi="Arial" w:cs="Arial"/>
                <w:lang w:val="es-ES" w:eastAsia="es-CO"/>
              </w:rPr>
            </w:pPr>
            <w:r w:rsidRPr="00F26448">
              <w:rPr>
                <w:rFonts w:ascii="Arial" w:eastAsia="Calibri" w:hAnsi="Arial" w:cs="Arial"/>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071AA5C3" w14:textId="77777777" w:rsidR="00A816B5" w:rsidRPr="00F26448" w:rsidRDefault="00A816B5" w:rsidP="00DE0BFC">
            <w:pPr>
              <w:spacing w:after="0" w:line="240" w:lineRule="auto"/>
              <w:contextualSpacing/>
              <w:jc w:val="center"/>
              <w:rPr>
                <w:rFonts w:ascii="Arial" w:eastAsia="Arial,Times New Roman" w:hAnsi="Arial" w:cs="Arial"/>
                <w:lang w:val="es-ES" w:eastAsia="es-CO"/>
              </w:rPr>
            </w:pPr>
            <w:r w:rsidRPr="00F26448">
              <w:rPr>
                <w:rFonts w:ascii="Arial" w:eastAsia="Calibri" w:hAnsi="Arial" w:cs="Arial"/>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2455D9F2" w14:textId="77777777" w:rsidR="00A816B5" w:rsidRPr="00F26448" w:rsidRDefault="00A816B5" w:rsidP="00DE0BFC">
            <w:pPr>
              <w:spacing w:after="0" w:line="240" w:lineRule="auto"/>
              <w:contextualSpacing/>
              <w:jc w:val="center"/>
              <w:rPr>
                <w:rFonts w:ascii="Arial" w:eastAsia="Arial,Times New Roman" w:hAnsi="Arial" w:cs="Arial"/>
                <w:lang w:val="es-ES" w:eastAsia="es-CO"/>
              </w:rPr>
            </w:pPr>
            <w:r w:rsidRPr="00F26448">
              <w:rPr>
                <w:rFonts w:ascii="Arial" w:eastAsia="Calibri" w:hAnsi="Arial" w:cs="Arial"/>
                <w:lang w:val="es-ES" w:eastAsia="es-CO"/>
              </w:rPr>
              <w:t>Mediana con valor absoluto</w:t>
            </w:r>
          </w:p>
        </w:tc>
      </w:tr>
      <w:tr w:rsidR="001C4260" w:rsidRPr="00F26448" w14:paraId="53759234" w14:textId="77777777" w:rsidTr="00E7438D">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13B28165" w14:textId="77777777" w:rsidR="00A816B5" w:rsidRPr="00F26448" w:rsidRDefault="00A816B5" w:rsidP="00DE0BFC">
            <w:pPr>
              <w:spacing w:after="0" w:line="240" w:lineRule="auto"/>
              <w:contextualSpacing/>
              <w:jc w:val="center"/>
              <w:rPr>
                <w:rFonts w:ascii="Arial" w:eastAsia="Calibri" w:hAnsi="Arial" w:cs="Arial"/>
                <w:lang w:val="es-ES" w:eastAsia="es-CO"/>
              </w:rPr>
            </w:pPr>
            <w:r w:rsidRPr="00F26448">
              <w:rPr>
                <w:rFonts w:ascii="Arial" w:eastAsia="Calibri" w:hAnsi="Arial" w:cs="Arial"/>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421ABD0F" w14:textId="77777777" w:rsidR="00A816B5" w:rsidRPr="00F26448" w:rsidRDefault="00A816B5" w:rsidP="00DE0BFC">
            <w:pPr>
              <w:spacing w:after="0" w:line="240" w:lineRule="auto"/>
              <w:contextualSpacing/>
              <w:jc w:val="center"/>
              <w:rPr>
                <w:rFonts w:ascii="Arial" w:eastAsia="Arial,Times New Roman" w:hAnsi="Arial" w:cs="Arial"/>
                <w:lang w:val="es-ES" w:eastAsia="es-CO"/>
              </w:rPr>
            </w:pPr>
            <w:r w:rsidRPr="00F26448">
              <w:rPr>
                <w:rFonts w:ascii="Arial" w:eastAsia="Arial,Times New Roman" w:hAnsi="Arial" w:cs="Arial"/>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16D3B93A" w14:textId="77777777" w:rsidR="00A816B5" w:rsidRPr="00F26448" w:rsidRDefault="00A816B5" w:rsidP="00DE0BFC">
            <w:pPr>
              <w:spacing w:after="0" w:line="240" w:lineRule="auto"/>
              <w:contextualSpacing/>
              <w:jc w:val="center"/>
              <w:rPr>
                <w:rFonts w:ascii="Arial" w:eastAsia="Arial,Times New Roman" w:hAnsi="Arial" w:cs="Arial"/>
                <w:lang w:val="es-ES" w:eastAsia="es-CO"/>
              </w:rPr>
            </w:pPr>
            <w:r w:rsidRPr="00F26448">
              <w:rPr>
                <w:rFonts w:ascii="Arial" w:eastAsia="Calibri" w:hAnsi="Arial" w:cs="Arial"/>
                <w:lang w:val="es-ES" w:eastAsia="es-CO"/>
              </w:rPr>
              <w:t>Media geométrica</w:t>
            </w:r>
          </w:p>
        </w:tc>
      </w:tr>
      <w:tr w:rsidR="001C4260" w:rsidRPr="00F26448" w14:paraId="220B8BD6" w14:textId="77777777" w:rsidTr="00E7438D">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6076AE34" w14:textId="77777777" w:rsidR="00A816B5" w:rsidRPr="00F26448" w:rsidRDefault="00A816B5" w:rsidP="00DE0BFC">
            <w:pPr>
              <w:spacing w:after="0" w:line="240" w:lineRule="auto"/>
              <w:contextualSpacing/>
              <w:jc w:val="center"/>
              <w:rPr>
                <w:rFonts w:ascii="Arial" w:eastAsia="Calibri" w:hAnsi="Arial" w:cs="Arial"/>
                <w:lang w:val="es-ES" w:eastAsia="es-CO"/>
              </w:rPr>
            </w:pPr>
            <w:r w:rsidRPr="00F26448">
              <w:rPr>
                <w:rFonts w:ascii="Arial" w:eastAsia="Calibri" w:hAnsi="Arial" w:cs="Arial"/>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4405EE83" w14:textId="77777777" w:rsidR="00A816B5" w:rsidRPr="00F26448" w:rsidRDefault="00A816B5" w:rsidP="00DE0BFC">
            <w:pPr>
              <w:spacing w:after="0" w:line="240" w:lineRule="auto"/>
              <w:contextualSpacing/>
              <w:jc w:val="center"/>
              <w:rPr>
                <w:rFonts w:ascii="Arial" w:eastAsia="Calibri" w:hAnsi="Arial" w:cs="Arial"/>
                <w:lang w:val="es-ES" w:eastAsia="es-CO"/>
              </w:rPr>
            </w:pPr>
            <w:r w:rsidRPr="00F26448">
              <w:rPr>
                <w:rFonts w:ascii="Arial" w:eastAsia="Calibri" w:hAnsi="Arial" w:cs="Arial"/>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329BE777" w14:textId="77777777" w:rsidR="00A816B5" w:rsidRPr="00F26448" w:rsidRDefault="00A816B5" w:rsidP="00DE0BFC">
            <w:pPr>
              <w:spacing w:after="0" w:line="240" w:lineRule="auto"/>
              <w:contextualSpacing/>
              <w:jc w:val="center"/>
              <w:rPr>
                <w:rFonts w:ascii="Arial" w:eastAsia="Calibri" w:hAnsi="Arial" w:cs="Arial"/>
                <w:lang w:val="es-ES" w:eastAsia="es-CO"/>
              </w:rPr>
            </w:pPr>
            <w:r w:rsidRPr="00F26448">
              <w:rPr>
                <w:rFonts w:ascii="Arial" w:eastAsia="Calibri" w:hAnsi="Arial" w:cs="Arial"/>
                <w:lang w:val="es-ES" w:eastAsia="es-CO"/>
              </w:rPr>
              <w:t>Media aritmética baja</w:t>
            </w:r>
          </w:p>
        </w:tc>
      </w:tr>
      <w:tr w:rsidR="00A816B5" w:rsidRPr="00F26448" w14:paraId="26AA7D49" w14:textId="77777777" w:rsidTr="00E7438D">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30004EC9" w14:textId="77777777" w:rsidR="00A816B5" w:rsidRPr="00F26448" w:rsidRDefault="00A816B5" w:rsidP="00DE0BFC">
            <w:pPr>
              <w:spacing w:after="0" w:line="240" w:lineRule="auto"/>
              <w:contextualSpacing/>
              <w:jc w:val="center"/>
              <w:rPr>
                <w:rFonts w:ascii="Arial" w:eastAsia="Calibri" w:hAnsi="Arial" w:cs="Arial"/>
                <w:lang w:val="es-ES" w:eastAsia="es-CO"/>
              </w:rPr>
            </w:pPr>
            <w:r w:rsidRPr="00F26448">
              <w:rPr>
                <w:rFonts w:ascii="Arial" w:eastAsia="Calibri" w:hAnsi="Arial" w:cs="Arial"/>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16DB37C9" w14:textId="77777777" w:rsidR="00A816B5" w:rsidRPr="00F26448" w:rsidRDefault="00A816B5" w:rsidP="00DE0BFC">
            <w:pPr>
              <w:spacing w:after="0" w:line="240" w:lineRule="auto"/>
              <w:contextualSpacing/>
              <w:jc w:val="center"/>
              <w:rPr>
                <w:rFonts w:ascii="Arial" w:eastAsia="Calibri" w:hAnsi="Arial" w:cs="Arial"/>
                <w:lang w:val="es-ES" w:eastAsia="es-CO"/>
              </w:rPr>
            </w:pPr>
            <w:r w:rsidRPr="00F26448">
              <w:rPr>
                <w:rFonts w:ascii="Arial" w:eastAsia="Calibri" w:hAnsi="Arial" w:cs="Arial"/>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72F7C76C" w14:textId="77777777" w:rsidR="00A816B5" w:rsidRPr="00F26448" w:rsidRDefault="00A816B5" w:rsidP="00DE0BFC">
            <w:pPr>
              <w:spacing w:after="0" w:line="240" w:lineRule="auto"/>
              <w:contextualSpacing/>
              <w:jc w:val="center"/>
              <w:rPr>
                <w:rFonts w:ascii="Arial" w:eastAsia="Calibri" w:hAnsi="Arial" w:cs="Arial"/>
                <w:lang w:val="es-ES" w:eastAsia="es-CO"/>
              </w:rPr>
            </w:pPr>
            <w:r w:rsidRPr="00F26448">
              <w:rPr>
                <w:rFonts w:ascii="Arial" w:eastAsia="Calibri" w:hAnsi="Arial" w:cs="Arial"/>
                <w:lang w:val="es-ES" w:eastAsia="es-CO"/>
              </w:rPr>
              <w:t>Menor valor</w:t>
            </w:r>
          </w:p>
        </w:tc>
      </w:tr>
    </w:tbl>
    <w:p w14:paraId="75952784" w14:textId="527131DF" w:rsidR="00A816B5" w:rsidRPr="00F26448" w:rsidRDefault="00A816B5" w:rsidP="00DE0BFC">
      <w:pPr>
        <w:spacing w:after="0" w:line="276" w:lineRule="auto"/>
        <w:contextualSpacing/>
        <w:jc w:val="both"/>
        <w:rPr>
          <w:rFonts w:ascii="Arial" w:eastAsia="Calibri" w:hAnsi="Arial" w:cs="Arial"/>
          <w:lang w:val="es-ES" w:eastAsia="es-ES_tradnl"/>
        </w:rPr>
      </w:pPr>
    </w:p>
    <w:p w14:paraId="7619F686" w14:textId="217F7364" w:rsidR="00A816B5" w:rsidRPr="00F26448" w:rsidRDefault="00A816B5" w:rsidP="00DE0BFC">
      <w:pPr>
        <w:tabs>
          <w:tab w:val="left" w:pos="426"/>
        </w:tabs>
        <w:spacing w:after="120" w:line="276" w:lineRule="auto"/>
        <w:jc w:val="both"/>
        <w:rPr>
          <w:rFonts w:ascii="Arial" w:eastAsia="Calibri" w:hAnsi="Arial" w:cs="Arial"/>
          <w:lang w:val="es-MX" w:eastAsia="es-ES_tradnl"/>
        </w:rPr>
      </w:pPr>
      <w:r w:rsidRPr="00F26448">
        <w:rPr>
          <w:rFonts w:ascii="Arial" w:eastAsia="Calibri" w:hAnsi="Arial" w:cs="Arial"/>
          <w:lang w:val="es-MX" w:eastAsia="es-ES_tradnl"/>
        </w:rPr>
        <w:tab/>
      </w:r>
      <w:r w:rsidRPr="00F26448">
        <w:rPr>
          <w:rFonts w:ascii="Arial" w:eastAsia="Calibri" w:hAnsi="Arial" w:cs="Arial"/>
          <w:lang w:val="es-MX" w:eastAsia="es-ES_tradnl"/>
        </w:rPr>
        <w:tab/>
        <w:t>Como se advierte, los documentos tipo acuden a la TRM como el criterio de escogencia del método aleatorio para evaluar la oferta económica, porque su definición no depende de la discrecionalidad de la administración pública en cualquiera de sus órdenes y niveles. Aunque se establece y certifica por parte de la Superintendencia Financiera, su determinación depende de las dinámicas del mercado de divisas, garantizando una elección aleatoria del método de ponderación aplicable para tal propósito, lo que dota de transparencia y selección objetiva la evaluación de las ofertas.</w:t>
      </w:r>
    </w:p>
    <w:p w14:paraId="5D137162" w14:textId="77777777" w:rsidR="00A816B5" w:rsidRPr="00F26448" w:rsidRDefault="00A816B5" w:rsidP="00DE0BFC">
      <w:pPr>
        <w:spacing w:after="120" w:line="276" w:lineRule="auto"/>
        <w:ind w:firstLine="709"/>
        <w:jc w:val="both"/>
        <w:rPr>
          <w:rFonts w:ascii="Arial" w:eastAsia="Calibri" w:hAnsi="Arial" w:cs="Arial"/>
          <w:lang w:val="es-MX" w:eastAsia="es-ES_tradnl"/>
        </w:rPr>
      </w:pPr>
      <w:r w:rsidRPr="00F26448">
        <w:rPr>
          <w:rFonts w:ascii="Arial" w:eastAsia="Calibri" w:hAnsi="Arial" w:cs="Arial"/>
          <w:lang w:val="es-MX" w:eastAsia="es-ES_tradnl"/>
        </w:rPr>
        <w:t xml:space="preserve">De conformidad con lo anterior, se puede concluir que el método aleatorio para seleccionar la fórmula de ponderación de la oferta económica desestimula los actos de corrupción, puesto que no es posible manipular la TRM para conocer con anticipación la fórmula aplicable y poder adjudicar al proponente que la entidad desee. Hasta este punto resulta clara la justificación de la escogencia del método aleatorio a partir de la TRM como un mecanismo que desestimula los actos de corrupción en el proceso de evaluación para escoger el método aleatorio de ponderación de las ofertas económicas. </w:t>
      </w:r>
    </w:p>
    <w:p w14:paraId="4DF19C6F" w14:textId="7BF04646" w:rsidR="00A816B5" w:rsidRPr="00F26448" w:rsidRDefault="00A816B5" w:rsidP="00DE0BFC">
      <w:pPr>
        <w:tabs>
          <w:tab w:val="left" w:pos="426"/>
        </w:tabs>
        <w:spacing w:after="120" w:line="276" w:lineRule="auto"/>
        <w:jc w:val="both"/>
        <w:rPr>
          <w:rFonts w:ascii="Arial" w:eastAsia="Calibri" w:hAnsi="Arial" w:cs="Arial"/>
          <w:lang w:val="es-MX" w:eastAsia="es-ES_tradnl"/>
        </w:rPr>
      </w:pPr>
      <w:r w:rsidRPr="00F26448">
        <w:rPr>
          <w:rFonts w:ascii="Arial" w:eastAsia="Arial" w:hAnsi="Arial" w:cs="Arial"/>
          <w:b/>
          <w:lang w:val="es-MX" w:eastAsia="es-ES_tradnl"/>
        </w:rPr>
        <w:tab/>
      </w:r>
      <w:r w:rsidRPr="00F26448">
        <w:rPr>
          <w:rFonts w:ascii="Arial" w:eastAsia="Arial" w:hAnsi="Arial" w:cs="Arial"/>
          <w:b/>
          <w:lang w:val="es-MX" w:eastAsia="es-ES_tradnl"/>
        </w:rPr>
        <w:tab/>
      </w:r>
      <w:r w:rsidR="003D271E" w:rsidRPr="00F26448">
        <w:rPr>
          <w:rFonts w:ascii="Arial" w:eastAsia="Arial" w:hAnsi="Arial" w:cs="Arial"/>
          <w:bCs/>
          <w:lang w:val="es-MX" w:eastAsia="es-ES_tradnl"/>
        </w:rPr>
        <w:t>De acuerdo con lo expresado, los documentos tipo</w:t>
      </w:r>
      <w:r w:rsidR="00564F48" w:rsidRPr="00F26448">
        <w:rPr>
          <w:rFonts w:ascii="Arial" w:eastAsia="Arial" w:hAnsi="Arial" w:cs="Arial"/>
          <w:bCs/>
          <w:lang w:val="es-MX" w:eastAsia="es-ES_tradnl"/>
        </w:rPr>
        <w:t xml:space="preserve"> estandarizan la forma como se evalúan las </w:t>
      </w:r>
      <w:r w:rsidR="00105B49" w:rsidRPr="00F26448">
        <w:rPr>
          <w:rFonts w:ascii="Arial" w:eastAsia="Arial" w:hAnsi="Arial" w:cs="Arial"/>
          <w:bCs/>
          <w:lang w:val="es-MX" w:eastAsia="es-ES_tradnl"/>
        </w:rPr>
        <w:t>propuestas</w:t>
      </w:r>
      <w:r w:rsidR="00564F48" w:rsidRPr="00F26448">
        <w:rPr>
          <w:rFonts w:ascii="Arial" w:eastAsia="Arial" w:hAnsi="Arial" w:cs="Arial"/>
          <w:bCs/>
          <w:lang w:val="es-MX" w:eastAsia="es-ES_tradnl"/>
        </w:rPr>
        <w:t xml:space="preserve"> económicas, particularmente en lo relacionado con los </w:t>
      </w:r>
      <w:r w:rsidR="003D271E" w:rsidRPr="00F26448">
        <w:rPr>
          <w:rFonts w:ascii="Arial" w:eastAsia="Calibri" w:hAnsi="Arial" w:cs="Arial"/>
          <w:lang w:val="es-MX" w:eastAsia="es-ES_tradnl"/>
        </w:rPr>
        <w:t>métodos de ponderación de las ofertas económicas</w:t>
      </w:r>
      <w:r w:rsidR="00564F48" w:rsidRPr="00F26448">
        <w:rPr>
          <w:rFonts w:ascii="Arial" w:eastAsia="Calibri" w:hAnsi="Arial" w:cs="Arial"/>
          <w:lang w:val="es-MX" w:eastAsia="es-ES_tradnl"/>
        </w:rPr>
        <w:t>,</w:t>
      </w:r>
      <w:r w:rsidR="003D271E" w:rsidRPr="00F26448">
        <w:rPr>
          <w:rFonts w:ascii="Arial" w:eastAsia="Calibri" w:hAnsi="Arial" w:cs="Arial"/>
          <w:lang w:val="es-MX" w:eastAsia="es-ES_tradnl"/>
        </w:rPr>
        <w:t xml:space="preserve"> presentando </w:t>
      </w:r>
      <w:r w:rsidR="00C1674B" w:rsidRPr="00F26448">
        <w:rPr>
          <w:rFonts w:ascii="Arial" w:eastAsia="Calibri" w:hAnsi="Arial" w:cs="Arial"/>
          <w:lang w:val="es-MX" w:eastAsia="es-ES_tradnl"/>
        </w:rPr>
        <w:t>cuatro (</w:t>
      </w:r>
      <w:r w:rsidR="003D271E" w:rsidRPr="00F26448">
        <w:rPr>
          <w:rFonts w:ascii="Arial" w:eastAsia="Calibri" w:hAnsi="Arial" w:cs="Arial"/>
          <w:lang w:val="es-MX" w:eastAsia="es-ES_tradnl"/>
        </w:rPr>
        <w:t>4</w:t>
      </w:r>
      <w:r w:rsidR="00C1674B" w:rsidRPr="00F26448">
        <w:rPr>
          <w:rFonts w:ascii="Arial" w:eastAsia="Calibri" w:hAnsi="Arial" w:cs="Arial"/>
          <w:lang w:val="es-MX" w:eastAsia="es-ES_tradnl"/>
        </w:rPr>
        <w:t>)</w:t>
      </w:r>
      <w:r w:rsidR="003D271E" w:rsidRPr="00F26448">
        <w:rPr>
          <w:rFonts w:ascii="Arial" w:eastAsia="Calibri" w:hAnsi="Arial" w:cs="Arial"/>
          <w:lang w:val="es-MX" w:eastAsia="es-ES_tradnl"/>
        </w:rPr>
        <w:t xml:space="preserve"> alternativas</w:t>
      </w:r>
      <w:r w:rsidR="00564F48" w:rsidRPr="00F26448">
        <w:rPr>
          <w:rFonts w:ascii="Arial" w:eastAsia="Calibri" w:hAnsi="Arial" w:cs="Arial"/>
          <w:lang w:val="es-MX" w:eastAsia="es-ES_tradnl"/>
        </w:rPr>
        <w:t>, esto es</w:t>
      </w:r>
      <w:r w:rsidR="003D271E" w:rsidRPr="00F26448">
        <w:rPr>
          <w:rFonts w:ascii="Arial" w:eastAsia="Calibri" w:hAnsi="Arial" w:cs="Arial"/>
          <w:lang w:val="es-MX" w:eastAsia="es-ES_tradnl"/>
        </w:rPr>
        <w:t xml:space="preserve">: i) mediana con valor absoluto, </w:t>
      </w:r>
      <w:proofErr w:type="spellStart"/>
      <w:r w:rsidR="003D271E" w:rsidRPr="00F26448">
        <w:rPr>
          <w:rFonts w:ascii="Arial" w:eastAsia="Calibri" w:hAnsi="Arial" w:cs="Arial"/>
          <w:lang w:val="es-MX" w:eastAsia="es-ES_tradnl"/>
        </w:rPr>
        <w:t>ii</w:t>
      </w:r>
      <w:proofErr w:type="spellEnd"/>
      <w:r w:rsidR="003D271E" w:rsidRPr="00F26448">
        <w:rPr>
          <w:rFonts w:ascii="Arial" w:eastAsia="Calibri" w:hAnsi="Arial" w:cs="Arial"/>
          <w:lang w:val="es-MX" w:eastAsia="es-ES_tradnl"/>
        </w:rPr>
        <w:t xml:space="preserve">) media geométrica, </w:t>
      </w:r>
      <w:proofErr w:type="spellStart"/>
      <w:r w:rsidR="003D271E" w:rsidRPr="00F26448">
        <w:rPr>
          <w:rFonts w:ascii="Arial" w:eastAsia="Calibri" w:hAnsi="Arial" w:cs="Arial"/>
          <w:lang w:val="es-MX" w:eastAsia="es-ES_tradnl"/>
        </w:rPr>
        <w:t>iii</w:t>
      </w:r>
      <w:proofErr w:type="spellEnd"/>
      <w:r w:rsidR="003D271E" w:rsidRPr="00F26448">
        <w:rPr>
          <w:rFonts w:ascii="Arial" w:eastAsia="Calibri" w:hAnsi="Arial" w:cs="Arial"/>
          <w:lang w:val="es-MX" w:eastAsia="es-ES_tradnl"/>
        </w:rPr>
        <w:t xml:space="preserve">) media aritmética baja y </w:t>
      </w:r>
      <w:proofErr w:type="spellStart"/>
      <w:r w:rsidR="003D271E" w:rsidRPr="00F26448">
        <w:rPr>
          <w:rFonts w:ascii="Arial" w:eastAsia="Calibri" w:hAnsi="Arial" w:cs="Arial"/>
          <w:lang w:val="es-MX" w:eastAsia="es-ES_tradnl"/>
        </w:rPr>
        <w:t>iv</w:t>
      </w:r>
      <w:proofErr w:type="spellEnd"/>
      <w:r w:rsidR="003D271E" w:rsidRPr="00F26448">
        <w:rPr>
          <w:rFonts w:ascii="Arial" w:eastAsia="Calibri" w:hAnsi="Arial" w:cs="Arial"/>
          <w:lang w:val="es-MX" w:eastAsia="es-ES_tradnl"/>
        </w:rPr>
        <w:t>) menor valor</w:t>
      </w:r>
      <w:r w:rsidR="00564F48" w:rsidRPr="00F26448">
        <w:rPr>
          <w:rFonts w:ascii="Arial" w:eastAsia="Calibri" w:hAnsi="Arial" w:cs="Arial"/>
          <w:lang w:val="es-MX" w:eastAsia="es-ES_tradnl"/>
        </w:rPr>
        <w:t xml:space="preserve">. Además, cabe precisar que los documentos tipo no admiten la posibilidad de modificar estos métodos o de incluir algunos nuevos. En tal sentido, en relación con los métodos de ponderación de las ofertas económicas pesa la regla de la inalterabilidad que se explicó en el numeral 2.2. de este concepto, por lo cual las entidades estatales no pueden incluir </w:t>
      </w:r>
      <w:r w:rsidR="00105B49" w:rsidRPr="00F26448">
        <w:rPr>
          <w:rFonts w:ascii="Arial" w:eastAsia="Calibri" w:hAnsi="Arial" w:cs="Arial"/>
          <w:lang w:val="es-MX" w:eastAsia="es-ES_tradnl"/>
        </w:rPr>
        <w:t>nuevos métodos –fórmulas– para evaluar las ofertas económicas, sino que deben aplicar las establecidas en los documentos tipo, cuando se trate de procesos regidos por ellos.</w:t>
      </w:r>
    </w:p>
    <w:p w14:paraId="4BC4F167" w14:textId="43D018B7" w:rsidR="00C1674B" w:rsidRPr="00F26448" w:rsidRDefault="00C1674B" w:rsidP="00DE0BFC">
      <w:pPr>
        <w:tabs>
          <w:tab w:val="left" w:pos="426"/>
        </w:tabs>
        <w:spacing w:after="0" w:line="276" w:lineRule="auto"/>
        <w:jc w:val="both"/>
        <w:rPr>
          <w:rFonts w:ascii="Arial" w:eastAsia="Arial" w:hAnsi="Arial" w:cs="Arial"/>
          <w:bCs/>
          <w:lang w:val="es-MX" w:eastAsia="es-ES_tradnl"/>
        </w:rPr>
      </w:pPr>
      <w:r w:rsidRPr="00F26448">
        <w:rPr>
          <w:rFonts w:ascii="Arial" w:eastAsia="Arial" w:hAnsi="Arial" w:cs="Arial"/>
          <w:bCs/>
          <w:lang w:val="es-MX" w:eastAsia="es-ES_tradnl"/>
        </w:rPr>
        <w:tab/>
      </w:r>
      <w:r w:rsidR="00D64972" w:rsidRPr="00F26448">
        <w:rPr>
          <w:rFonts w:ascii="Arial" w:eastAsia="Arial" w:hAnsi="Arial" w:cs="Arial"/>
          <w:bCs/>
          <w:lang w:val="es-MX" w:eastAsia="es-ES_tradnl"/>
        </w:rPr>
        <w:tab/>
      </w:r>
      <w:r w:rsidRPr="00F26448">
        <w:rPr>
          <w:rFonts w:ascii="Arial" w:eastAsia="Arial" w:hAnsi="Arial" w:cs="Arial"/>
          <w:bCs/>
          <w:lang w:val="es-MX" w:eastAsia="es-ES_tradnl"/>
        </w:rPr>
        <w:t xml:space="preserve">Ahora bien, en atención a la consulta formulada debe señalarse </w:t>
      </w:r>
      <w:r w:rsidR="00D64972" w:rsidRPr="00F26448">
        <w:rPr>
          <w:rFonts w:ascii="Arial" w:eastAsia="Arial" w:hAnsi="Arial" w:cs="Arial"/>
          <w:bCs/>
          <w:lang w:val="es-MX" w:eastAsia="es-ES_tradnl"/>
        </w:rPr>
        <w:t xml:space="preserve">que, si bien </w:t>
      </w:r>
      <w:r w:rsidR="00D64972" w:rsidRPr="00F26448">
        <w:rPr>
          <w:rFonts w:ascii="Arial" w:eastAsia="Calibri" w:hAnsi="Arial" w:cs="Arial"/>
          <w:lang w:val="es-MX" w:eastAsia="es-ES_tradnl"/>
        </w:rPr>
        <w:t>los documentos tipo no admiten la posibilidad de modificar las reglas establecidas en ellos,</w:t>
      </w:r>
      <w:r w:rsidR="00842877" w:rsidRPr="00F26448">
        <w:rPr>
          <w:rFonts w:ascii="Arial" w:eastAsia="Calibri" w:hAnsi="Arial" w:cs="Arial"/>
          <w:lang w:val="es-MX" w:eastAsia="es-ES_tradnl"/>
        </w:rPr>
        <w:t xml:space="preserve"> </w:t>
      </w:r>
      <w:r w:rsidR="00D64972" w:rsidRPr="00F26448">
        <w:rPr>
          <w:rFonts w:ascii="Arial" w:eastAsia="Calibri" w:hAnsi="Arial" w:cs="Arial"/>
          <w:lang w:val="es-MX" w:eastAsia="es-ES_tradnl"/>
        </w:rPr>
        <w:t xml:space="preserve">salvo los espacios resaltados en color gris y señalados en corchetes, por lo que no es posible incluir y/o aplicar métodos –fórmulas– para evaluar las ofertas económicas distintos </w:t>
      </w:r>
      <w:r w:rsidR="00D64972" w:rsidRPr="00F26448">
        <w:rPr>
          <w:rFonts w:ascii="Arial" w:eastAsia="Calibri" w:hAnsi="Arial" w:cs="Arial"/>
          <w:lang w:val="es-MX" w:eastAsia="es-ES_tradnl"/>
        </w:rPr>
        <w:lastRenderedPageBreak/>
        <w:t>establecidas en los documentos tipo, lo cierto es que en el evento en que en un Proceso de Contratación solo se encuentre habilitado un proponente, no es necesario hacer uso del método de ponderación que corresponde, de acuerdo con la TRM, sino que, en atención del principio de economía, según el cual los trámites se adelantaran con austeridad de tiempo, medios y gastos impidiendo dilaciones y retardos</w:t>
      </w:r>
      <w:r w:rsidR="00D64972" w:rsidRPr="00F26448">
        <w:rPr>
          <w:rStyle w:val="Refdenotaalpie"/>
          <w:rFonts w:ascii="Arial" w:eastAsia="Calibri" w:hAnsi="Arial" w:cs="Arial"/>
          <w:lang w:val="es-MX" w:eastAsia="es-ES_tradnl"/>
        </w:rPr>
        <w:footnoteReference w:id="12"/>
      </w:r>
      <w:r w:rsidR="00D64972" w:rsidRPr="00F26448">
        <w:rPr>
          <w:rFonts w:ascii="Arial" w:eastAsia="Calibri" w:hAnsi="Arial" w:cs="Arial"/>
          <w:lang w:val="es-MX" w:eastAsia="es-ES_tradnl"/>
        </w:rPr>
        <w:t xml:space="preserve">,  </w:t>
      </w:r>
      <w:r w:rsidR="00842877" w:rsidRPr="00F26448">
        <w:rPr>
          <w:rFonts w:ascii="Arial" w:eastAsia="Calibri" w:hAnsi="Arial" w:cs="Arial"/>
          <w:lang w:val="es-MX" w:eastAsia="es-ES_tradnl"/>
        </w:rPr>
        <w:t>es posible otorgar</w:t>
      </w:r>
      <w:r w:rsidR="00D64972" w:rsidRPr="00F26448">
        <w:rPr>
          <w:rFonts w:ascii="Arial" w:eastAsia="Calibri" w:hAnsi="Arial" w:cs="Arial"/>
          <w:lang w:val="es-MX" w:eastAsia="es-ES_tradnl"/>
        </w:rPr>
        <w:t xml:space="preserve"> el puntaje máximo al único oferente habilitado. </w:t>
      </w:r>
    </w:p>
    <w:p w14:paraId="6C698407" w14:textId="7C7925BB" w:rsidR="00A816B5" w:rsidRPr="00F26448" w:rsidRDefault="00A816B5" w:rsidP="00DE0BFC">
      <w:pPr>
        <w:tabs>
          <w:tab w:val="left" w:pos="426"/>
        </w:tabs>
        <w:spacing w:after="0" w:line="276" w:lineRule="auto"/>
        <w:contextualSpacing/>
        <w:jc w:val="both"/>
        <w:rPr>
          <w:rFonts w:ascii="Arial" w:eastAsia="Arial" w:hAnsi="Arial" w:cs="Arial"/>
          <w:bCs/>
          <w:lang w:val="es-MX" w:eastAsia="es-ES_tradnl"/>
        </w:rPr>
      </w:pPr>
      <w:r w:rsidRPr="00F26448">
        <w:rPr>
          <w:rFonts w:ascii="Arial" w:eastAsia="Arial" w:hAnsi="Arial" w:cs="Arial"/>
          <w:bCs/>
          <w:lang w:val="es-MX" w:eastAsia="es-ES_tradnl"/>
        </w:rPr>
        <w:tab/>
      </w:r>
      <w:r w:rsidRPr="00F26448">
        <w:rPr>
          <w:rFonts w:ascii="Arial" w:eastAsia="Arial" w:hAnsi="Arial" w:cs="Arial"/>
          <w:bCs/>
          <w:lang w:val="es-MX" w:eastAsia="es-ES_tradnl"/>
        </w:rPr>
        <w:tab/>
      </w:r>
    </w:p>
    <w:p w14:paraId="5E804A3E" w14:textId="266BEA7E" w:rsidR="00E87850" w:rsidRPr="00F26448" w:rsidRDefault="006C4F41" w:rsidP="00DE0BFC">
      <w:pPr>
        <w:spacing w:after="0" w:line="276" w:lineRule="auto"/>
        <w:contextualSpacing/>
        <w:jc w:val="both"/>
        <w:rPr>
          <w:rFonts w:ascii="Arial" w:hAnsi="Arial" w:cs="Arial"/>
          <w:b/>
          <w:bCs/>
        </w:rPr>
      </w:pPr>
      <w:r w:rsidRPr="00F26448">
        <w:rPr>
          <w:rFonts w:ascii="Arial" w:hAnsi="Arial" w:cs="Arial"/>
          <w:b/>
          <w:bCs/>
        </w:rPr>
        <w:t xml:space="preserve">Respuesta </w:t>
      </w:r>
    </w:p>
    <w:p w14:paraId="521B5BC9" w14:textId="77777777" w:rsidR="00A816B5" w:rsidRPr="00F26448" w:rsidRDefault="00A816B5" w:rsidP="00DE0BFC">
      <w:pPr>
        <w:spacing w:after="0" w:line="276" w:lineRule="auto"/>
        <w:contextualSpacing/>
        <w:jc w:val="both"/>
        <w:rPr>
          <w:rFonts w:ascii="Arial" w:hAnsi="Arial" w:cs="Arial"/>
          <w:b/>
          <w:bCs/>
        </w:rPr>
      </w:pPr>
    </w:p>
    <w:p w14:paraId="0A0709EB" w14:textId="7B5E7512" w:rsidR="00534B68" w:rsidRPr="00F26448" w:rsidRDefault="006C4F41" w:rsidP="00DE0BFC">
      <w:pPr>
        <w:autoSpaceDE w:val="0"/>
        <w:autoSpaceDN w:val="0"/>
        <w:adjustRightInd w:val="0"/>
        <w:spacing w:after="0" w:line="240" w:lineRule="auto"/>
        <w:ind w:left="709" w:right="709"/>
        <w:jc w:val="both"/>
        <w:rPr>
          <w:rFonts w:ascii="Arial" w:eastAsia="Calibri" w:hAnsi="Arial" w:cs="Arial"/>
          <w:bCs/>
        </w:rPr>
      </w:pPr>
      <w:r w:rsidRPr="00F26448">
        <w:rPr>
          <w:rFonts w:ascii="Arial" w:eastAsia="Calibri" w:hAnsi="Arial" w:cs="Arial"/>
          <w:bCs/>
        </w:rPr>
        <w:t>«</w:t>
      </w:r>
      <w:proofErr w:type="gramStart"/>
      <w:r w:rsidR="00534B68" w:rsidRPr="00F26448">
        <w:rPr>
          <w:rFonts w:ascii="Arial" w:eastAsia="Calibri" w:hAnsi="Arial" w:cs="Arial"/>
          <w:bCs/>
        </w:rPr>
        <w:t>¿</w:t>
      </w:r>
      <w:r w:rsidR="00534B68" w:rsidRPr="00F26448">
        <w:rPr>
          <w:rFonts w:ascii="Arial" w:hAnsi="Arial" w:cs="Arial"/>
        </w:rPr>
        <w:t>Las entidades públicas se ven obligadas a utilizar los pliegos tipo estructurados por Colombia Compra Eficiente, procesos a los cuales una vez se realiza la evaluación respectiva por diferentes razones solo se habilita un proponente, la inquietud al respecto es que para abrir el sobre de la propuesta económica y dar la puntuación contemplada se debe utilizar la TRM y aplicar la fórmula que le corresponda con esa TRM del día después o se da el puntaje máximo por ser único habilitado.</w:t>
      </w:r>
      <w:proofErr w:type="gramEnd"/>
      <w:r w:rsidR="00534B68" w:rsidRPr="00F26448">
        <w:rPr>
          <w:rFonts w:ascii="Arial" w:eastAsia="Calibri" w:hAnsi="Arial" w:cs="Arial"/>
          <w:bCs/>
        </w:rPr>
        <w:t>?».</w:t>
      </w:r>
      <w:r w:rsidR="00842877" w:rsidRPr="00F26448">
        <w:rPr>
          <w:rFonts w:ascii="Arial" w:eastAsia="Calibri" w:hAnsi="Arial" w:cs="Arial"/>
          <w:bCs/>
        </w:rPr>
        <w:t xml:space="preserve"> (SIC)</w:t>
      </w:r>
    </w:p>
    <w:p w14:paraId="623ABF68" w14:textId="09DCF260" w:rsidR="001B1BC6" w:rsidRPr="00F26448" w:rsidRDefault="001B1BC6" w:rsidP="00DE0BFC">
      <w:pPr>
        <w:tabs>
          <w:tab w:val="left" w:pos="426"/>
        </w:tabs>
        <w:spacing w:after="0" w:line="276" w:lineRule="auto"/>
        <w:jc w:val="both"/>
        <w:rPr>
          <w:rFonts w:ascii="Arial" w:eastAsia="Calibri" w:hAnsi="Arial" w:cs="Arial"/>
          <w:lang w:val="es-MX" w:eastAsia="es-ES_tradnl"/>
        </w:rPr>
      </w:pPr>
    </w:p>
    <w:p w14:paraId="5437B70D" w14:textId="52C683D0" w:rsidR="00842877" w:rsidRPr="00F26448" w:rsidRDefault="00105B49" w:rsidP="00842877">
      <w:pPr>
        <w:tabs>
          <w:tab w:val="left" w:pos="426"/>
        </w:tabs>
        <w:spacing w:after="120" w:line="276" w:lineRule="auto"/>
        <w:jc w:val="both"/>
        <w:rPr>
          <w:rFonts w:ascii="Arial" w:eastAsia="Calibri" w:hAnsi="Arial" w:cs="Arial"/>
          <w:lang w:val="es-MX" w:eastAsia="es-ES_tradnl"/>
        </w:rPr>
      </w:pPr>
      <w:r w:rsidRPr="00F26448">
        <w:rPr>
          <w:rFonts w:ascii="Arial" w:eastAsia="Calibri" w:hAnsi="Arial" w:cs="Arial"/>
          <w:lang w:val="es-MX" w:eastAsia="es-ES_tradnl"/>
        </w:rPr>
        <w:tab/>
      </w:r>
      <w:r w:rsidRPr="00F26448">
        <w:rPr>
          <w:rFonts w:ascii="Arial" w:eastAsia="Calibri" w:hAnsi="Arial" w:cs="Arial"/>
          <w:lang w:val="es-MX" w:eastAsia="es-ES_tradnl"/>
        </w:rPr>
        <w:tab/>
        <w:t>De acuerdo con las consideraciones de este concepto,</w:t>
      </w:r>
      <w:r w:rsidR="00842877" w:rsidRPr="00F26448">
        <w:rPr>
          <w:rFonts w:ascii="Arial" w:eastAsia="Calibri" w:hAnsi="Arial" w:cs="Arial"/>
          <w:lang w:val="es-MX" w:eastAsia="es-ES_tradnl"/>
        </w:rPr>
        <w:t xml:space="preserve"> los documentos tipo acuden a la Tasa Representativa del Mercado –TRM– como el criterio de escogencia del método aleatorio para evaluar la oferta económica, porque su definición no depende de la discrecionalidad de la administración pública en cualquiera de sus órdenes y niveles. Aunque se establece y certifica por parte de la Superintendencia Financiera, su determinación depende de las dinámicas del mercado de divisas, garantizando una elección aleatoria del método de ponderación aplicable para tal propósito, lo que dota de transparencia y selección objetiva la evaluación de las ofertas.</w:t>
      </w:r>
    </w:p>
    <w:p w14:paraId="207197ED" w14:textId="25363B6A" w:rsidR="00835032" w:rsidRPr="00F26448" w:rsidRDefault="00842877" w:rsidP="00842877">
      <w:pPr>
        <w:tabs>
          <w:tab w:val="left" w:pos="426"/>
        </w:tabs>
        <w:spacing w:after="120" w:line="276" w:lineRule="auto"/>
        <w:ind w:firstLine="426"/>
        <w:jc w:val="both"/>
        <w:rPr>
          <w:rFonts w:ascii="Arial" w:eastAsia="Calibri" w:hAnsi="Arial" w:cs="Arial"/>
          <w:lang w:val="es-MX" w:eastAsia="es-ES_tradnl"/>
        </w:rPr>
      </w:pPr>
      <w:r w:rsidRPr="00F26448">
        <w:rPr>
          <w:rFonts w:ascii="Arial" w:eastAsia="Calibri" w:hAnsi="Arial" w:cs="Arial"/>
          <w:lang w:val="es-MX" w:eastAsia="es-ES_tradnl"/>
        </w:rPr>
        <w:tab/>
        <w:t>L</w:t>
      </w:r>
      <w:r w:rsidR="00105B49" w:rsidRPr="00F26448">
        <w:rPr>
          <w:rFonts w:ascii="Arial" w:eastAsia="Calibri" w:hAnsi="Arial" w:cs="Arial"/>
          <w:lang w:val="es-MX" w:eastAsia="es-ES_tradnl"/>
        </w:rPr>
        <w:t xml:space="preserve">os documentos tipo de licitación de obra pública de infraestructura de transporte estandarizan la forma como se evalúan las propuestas económicas, particularmente en lo relacionado con los métodos de ponderación de las ofertas económicas, presentando </w:t>
      </w:r>
      <w:r w:rsidRPr="00F26448">
        <w:rPr>
          <w:rFonts w:ascii="Arial" w:eastAsia="Calibri" w:hAnsi="Arial" w:cs="Arial"/>
          <w:lang w:val="es-MX" w:eastAsia="es-ES_tradnl"/>
        </w:rPr>
        <w:t>cuatro (</w:t>
      </w:r>
      <w:r w:rsidR="00105B49" w:rsidRPr="00F26448">
        <w:rPr>
          <w:rFonts w:ascii="Arial" w:eastAsia="Calibri" w:hAnsi="Arial" w:cs="Arial"/>
          <w:lang w:val="es-MX" w:eastAsia="es-ES_tradnl"/>
        </w:rPr>
        <w:t>4</w:t>
      </w:r>
      <w:r w:rsidRPr="00F26448">
        <w:rPr>
          <w:rFonts w:ascii="Arial" w:eastAsia="Calibri" w:hAnsi="Arial" w:cs="Arial"/>
          <w:lang w:val="es-MX" w:eastAsia="es-ES_tradnl"/>
        </w:rPr>
        <w:t>)</w:t>
      </w:r>
      <w:r w:rsidR="00105B49" w:rsidRPr="00F26448">
        <w:rPr>
          <w:rFonts w:ascii="Arial" w:eastAsia="Calibri" w:hAnsi="Arial" w:cs="Arial"/>
          <w:lang w:val="es-MX" w:eastAsia="es-ES_tradnl"/>
        </w:rPr>
        <w:t xml:space="preserve"> alternativas: i) mediana con valor absoluto, </w:t>
      </w:r>
      <w:proofErr w:type="spellStart"/>
      <w:r w:rsidR="00105B49" w:rsidRPr="00F26448">
        <w:rPr>
          <w:rFonts w:ascii="Arial" w:eastAsia="Calibri" w:hAnsi="Arial" w:cs="Arial"/>
          <w:lang w:val="es-MX" w:eastAsia="es-ES_tradnl"/>
        </w:rPr>
        <w:t>ii</w:t>
      </w:r>
      <w:proofErr w:type="spellEnd"/>
      <w:r w:rsidR="00105B49" w:rsidRPr="00F26448">
        <w:rPr>
          <w:rFonts w:ascii="Arial" w:eastAsia="Calibri" w:hAnsi="Arial" w:cs="Arial"/>
          <w:lang w:val="es-MX" w:eastAsia="es-ES_tradnl"/>
        </w:rPr>
        <w:t xml:space="preserve">) media geométrica, </w:t>
      </w:r>
      <w:proofErr w:type="spellStart"/>
      <w:r w:rsidR="00105B49" w:rsidRPr="00F26448">
        <w:rPr>
          <w:rFonts w:ascii="Arial" w:eastAsia="Calibri" w:hAnsi="Arial" w:cs="Arial"/>
          <w:lang w:val="es-MX" w:eastAsia="es-ES_tradnl"/>
        </w:rPr>
        <w:t>iii</w:t>
      </w:r>
      <w:proofErr w:type="spellEnd"/>
      <w:r w:rsidR="00105B49" w:rsidRPr="00F26448">
        <w:rPr>
          <w:rFonts w:ascii="Arial" w:eastAsia="Calibri" w:hAnsi="Arial" w:cs="Arial"/>
          <w:lang w:val="es-MX" w:eastAsia="es-ES_tradnl"/>
        </w:rPr>
        <w:t xml:space="preserve">) media aritmética baja y </w:t>
      </w:r>
      <w:proofErr w:type="spellStart"/>
      <w:r w:rsidR="00105B49" w:rsidRPr="00F26448">
        <w:rPr>
          <w:rFonts w:ascii="Arial" w:eastAsia="Calibri" w:hAnsi="Arial" w:cs="Arial"/>
          <w:lang w:val="es-MX" w:eastAsia="es-ES_tradnl"/>
        </w:rPr>
        <w:t>iv</w:t>
      </w:r>
      <w:proofErr w:type="spellEnd"/>
      <w:r w:rsidR="00105B49" w:rsidRPr="00F26448">
        <w:rPr>
          <w:rFonts w:ascii="Arial" w:eastAsia="Calibri" w:hAnsi="Arial" w:cs="Arial"/>
          <w:lang w:val="es-MX" w:eastAsia="es-ES_tradnl"/>
        </w:rPr>
        <w:t xml:space="preserve">) menor valor. </w:t>
      </w:r>
    </w:p>
    <w:p w14:paraId="6597715C" w14:textId="1C793FA0" w:rsidR="00842877" w:rsidRPr="00F26448" w:rsidRDefault="00842877" w:rsidP="00DE0BFC">
      <w:pPr>
        <w:tabs>
          <w:tab w:val="left" w:pos="426"/>
        </w:tabs>
        <w:spacing w:after="120" w:line="276" w:lineRule="auto"/>
        <w:jc w:val="both"/>
        <w:rPr>
          <w:rFonts w:ascii="Arial" w:eastAsia="Calibri" w:hAnsi="Arial" w:cs="Arial"/>
          <w:lang w:val="es-MX" w:eastAsia="es-ES_tradnl"/>
        </w:rPr>
      </w:pPr>
      <w:r w:rsidRPr="00F26448">
        <w:rPr>
          <w:rFonts w:ascii="Arial" w:eastAsia="Arial" w:hAnsi="Arial" w:cs="Arial"/>
          <w:bCs/>
          <w:lang w:val="es-MX" w:eastAsia="es-ES_tradnl"/>
        </w:rPr>
        <w:tab/>
      </w:r>
      <w:r w:rsidRPr="00F26448">
        <w:rPr>
          <w:rFonts w:ascii="Arial" w:eastAsia="Arial" w:hAnsi="Arial" w:cs="Arial"/>
          <w:bCs/>
          <w:lang w:val="es-MX" w:eastAsia="es-ES_tradnl"/>
        </w:rPr>
        <w:tab/>
        <w:t xml:space="preserve">En atención a la consulta formulada debe señalarse que, si bien </w:t>
      </w:r>
      <w:r w:rsidRPr="00F26448">
        <w:rPr>
          <w:rFonts w:ascii="Arial" w:eastAsia="Calibri" w:hAnsi="Arial" w:cs="Arial"/>
          <w:lang w:val="es-MX" w:eastAsia="es-ES_tradnl"/>
        </w:rPr>
        <w:t>l</w:t>
      </w:r>
      <w:r w:rsidR="00105B49" w:rsidRPr="00F26448">
        <w:rPr>
          <w:rFonts w:ascii="Arial" w:eastAsia="Calibri" w:hAnsi="Arial" w:cs="Arial"/>
          <w:lang w:val="es-MX" w:eastAsia="es-ES_tradnl"/>
        </w:rPr>
        <w:t xml:space="preserve">os documentos tipo no admiten la posibilidad de modificar </w:t>
      </w:r>
      <w:r w:rsidRPr="00F26448">
        <w:rPr>
          <w:rFonts w:ascii="Arial" w:eastAsia="Calibri" w:hAnsi="Arial" w:cs="Arial"/>
          <w:lang w:val="es-MX" w:eastAsia="es-ES_tradnl"/>
        </w:rPr>
        <w:t xml:space="preserve">o de incluir nuevos </w:t>
      </w:r>
      <w:r w:rsidR="00105B49" w:rsidRPr="00F26448">
        <w:rPr>
          <w:rFonts w:ascii="Arial" w:eastAsia="Calibri" w:hAnsi="Arial" w:cs="Arial"/>
          <w:lang w:val="es-MX" w:eastAsia="es-ES_tradnl"/>
        </w:rPr>
        <w:t>métodos</w:t>
      </w:r>
      <w:r w:rsidRPr="00F26448">
        <w:rPr>
          <w:rFonts w:ascii="Arial" w:eastAsia="Calibri" w:hAnsi="Arial" w:cs="Arial"/>
          <w:lang w:val="es-MX" w:eastAsia="es-ES_tradnl"/>
        </w:rPr>
        <w:t xml:space="preserve"> de ponderación económica, en atención a </w:t>
      </w:r>
      <w:r w:rsidR="00105B49" w:rsidRPr="00F26448">
        <w:rPr>
          <w:rFonts w:ascii="Arial" w:eastAsia="Calibri" w:hAnsi="Arial" w:cs="Arial"/>
          <w:lang w:val="es-MX" w:eastAsia="es-ES_tradnl"/>
        </w:rPr>
        <w:t xml:space="preserve">la regla de la </w:t>
      </w:r>
      <w:r w:rsidR="0003122A" w:rsidRPr="00F26448">
        <w:rPr>
          <w:rFonts w:ascii="Arial" w:eastAsia="Calibri" w:hAnsi="Arial" w:cs="Arial"/>
          <w:lang w:val="es-MX" w:eastAsia="es-ES_tradnl"/>
        </w:rPr>
        <w:t xml:space="preserve">inalterabilidad, </w:t>
      </w:r>
      <w:r w:rsidRPr="00F26448">
        <w:rPr>
          <w:rFonts w:ascii="Arial" w:eastAsia="Calibri" w:hAnsi="Arial" w:cs="Arial"/>
          <w:lang w:val="es-MX" w:eastAsia="es-ES_tradnl"/>
        </w:rPr>
        <w:t xml:space="preserve">lo cierto es que en los eventos en los cuales </w:t>
      </w:r>
      <w:r w:rsidR="00C72ECC" w:rsidRPr="00F26448">
        <w:rPr>
          <w:rFonts w:ascii="Arial" w:eastAsia="Calibri" w:hAnsi="Arial" w:cs="Arial"/>
          <w:lang w:val="es-MX" w:eastAsia="es-ES_tradnl"/>
        </w:rPr>
        <w:t>no exist</w:t>
      </w:r>
      <w:r w:rsidRPr="00F26448">
        <w:rPr>
          <w:rFonts w:ascii="Arial" w:eastAsia="Calibri" w:hAnsi="Arial" w:cs="Arial"/>
          <w:lang w:val="es-MX" w:eastAsia="es-ES_tradnl"/>
        </w:rPr>
        <w:t>a</w:t>
      </w:r>
      <w:r w:rsidR="00C72ECC" w:rsidRPr="00F26448">
        <w:rPr>
          <w:rFonts w:ascii="Arial" w:eastAsia="Calibri" w:hAnsi="Arial" w:cs="Arial"/>
          <w:lang w:val="es-MX" w:eastAsia="es-ES_tradnl"/>
        </w:rPr>
        <w:t xml:space="preserve"> </w:t>
      </w:r>
      <w:r w:rsidRPr="00F26448">
        <w:rPr>
          <w:rFonts w:ascii="Arial" w:eastAsia="Calibri" w:hAnsi="Arial" w:cs="Arial"/>
          <w:lang w:val="es-MX" w:eastAsia="es-ES_tradnl"/>
        </w:rPr>
        <w:t xml:space="preserve">pluralidad de </w:t>
      </w:r>
      <w:r w:rsidR="00C72ECC" w:rsidRPr="00F26448">
        <w:rPr>
          <w:rFonts w:ascii="Arial" w:eastAsia="Calibri" w:hAnsi="Arial" w:cs="Arial"/>
          <w:lang w:val="es-MX" w:eastAsia="es-ES_tradnl"/>
        </w:rPr>
        <w:t>oferentes</w:t>
      </w:r>
      <w:r w:rsidRPr="00F26448">
        <w:rPr>
          <w:rFonts w:ascii="Arial" w:eastAsia="Calibri" w:hAnsi="Arial" w:cs="Arial"/>
          <w:lang w:val="es-MX" w:eastAsia="es-ES_tradnl"/>
        </w:rPr>
        <w:t>, debido a que solo uno quedo habilitado,</w:t>
      </w:r>
      <w:r w:rsidR="00C72ECC" w:rsidRPr="00F26448">
        <w:rPr>
          <w:rFonts w:ascii="Arial" w:eastAsia="Calibri" w:hAnsi="Arial" w:cs="Arial"/>
          <w:lang w:val="es-MX" w:eastAsia="es-ES_tradnl"/>
        </w:rPr>
        <w:t xml:space="preserve"> </w:t>
      </w:r>
      <w:r w:rsidR="00B81FB7" w:rsidRPr="00F26448">
        <w:rPr>
          <w:rFonts w:ascii="Arial" w:eastAsia="Calibri" w:hAnsi="Arial" w:cs="Arial"/>
          <w:lang w:val="es-MX" w:eastAsia="es-ES_tradnl"/>
        </w:rPr>
        <w:t xml:space="preserve">lo más apropiado es </w:t>
      </w:r>
      <w:r w:rsidRPr="00F26448">
        <w:rPr>
          <w:rFonts w:ascii="Arial" w:eastAsia="Calibri" w:hAnsi="Arial" w:cs="Arial"/>
          <w:lang w:val="es-MX" w:eastAsia="es-ES_tradnl"/>
        </w:rPr>
        <w:t>no hacer</w:t>
      </w:r>
      <w:r w:rsidR="00B81FB7" w:rsidRPr="00F26448">
        <w:rPr>
          <w:rFonts w:ascii="Arial" w:eastAsia="Calibri" w:hAnsi="Arial" w:cs="Arial"/>
          <w:lang w:val="es-MX" w:eastAsia="es-ES_tradnl"/>
        </w:rPr>
        <w:t xml:space="preserve"> uso del método de ponderación</w:t>
      </w:r>
      <w:r w:rsidRPr="00F26448">
        <w:rPr>
          <w:rFonts w:ascii="Arial" w:eastAsia="Calibri" w:hAnsi="Arial" w:cs="Arial"/>
          <w:lang w:val="es-MX" w:eastAsia="es-ES_tradnl"/>
        </w:rPr>
        <w:t xml:space="preserve"> que corresponda, de acuerdo con la TRM</w:t>
      </w:r>
      <w:r w:rsidR="00B81FB7" w:rsidRPr="00F26448">
        <w:rPr>
          <w:rFonts w:ascii="Arial" w:eastAsia="Calibri" w:hAnsi="Arial" w:cs="Arial"/>
          <w:lang w:val="es-MX" w:eastAsia="es-ES_tradnl"/>
        </w:rPr>
        <w:t xml:space="preserve">, sino que </w:t>
      </w:r>
      <w:r w:rsidRPr="00F26448">
        <w:rPr>
          <w:rFonts w:ascii="Arial" w:eastAsia="Calibri" w:hAnsi="Arial" w:cs="Arial"/>
          <w:lang w:val="es-MX" w:eastAsia="es-ES_tradnl"/>
        </w:rPr>
        <w:t xml:space="preserve">por el contrario </w:t>
      </w:r>
      <w:r w:rsidR="00B81FB7" w:rsidRPr="00F26448">
        <w:rPr>
          <w:rFonts w:ascii="Arial" w:eastAsia="Calibri" w:hAnsi="Arial" w:cs="Arial"/>
          <w:lang w:val="es-MX" w:eastAsia="es-ES_tradnl"/>
        </w:rPr>
        <w:t>se otorgue el puntaje máximo al único oferente habilitado. </w:t>
      </w:r>
    </w:p>
    <w:p w14:paraId="01D0E7BA" w14:textId="7EC278F2" w:rsidR="00B81FB7" w:rsidRPr="00F26448" w:rsidRDefault="00842877" w:rsidP="00DE0BFC">
      <w:pPr>
        <w:tabs>
          <w:tab w:val="left" w:pos="426"/>
        </w:tabs>
        <w:spacing w:after="120" w:line="276" w:lineRule="auto"/>
        <w:jc w:val="both"/>
        <w:rPr>
          <w:rFonts w:ascii="Arial" w:eastAsia="Calibri" w:hAnsi="Arial" w:cs="Arial"/>
          <w:lang w:val="es-MX" w:eastAsia="es-ES_tradnl"/>
        </w:rPr>
      </w:pPr>
      <w:r w:rsidRPr="00F26448">
        <w:rPr>
          <w:rFonts w:ascii="Arial" w:eastAsia="Calibri" w:hAnsi="Arial" w:cs="Arial"/>
          <w:lang w:val="es-MX" w:eastAsia="es-ES_tradnl"/>
        </w:rPr>
        <w:lastRenderedPageBreak/>
        <w:tab/>
        <w:t xml:space="preserve">Lo anterior en la medida que, a pesar de que </w:t>
      </w:r>
      <w:r w:rsidR="00B81FB7" w:rsidRPr="00F26448">
        <w:rPr>
          <w:rFonts w:ascii="Arial" w:eastAsia="Calibri" w:hAnsi="Arial" w:cs="Arial"/>
          <w:lang w:val="es-MX" w:eastAsia="es-ES_tradnl"/>
        </w:rPr>
        <w:t xml:space="preserve">no existe una regla definida en </w:t>
      </w:r>
      <w:r w:rsidRPr="00F26448">
        <w:rPr>
          <w:rFonts w:ascii="Arial" w:eastAsia="Calibri" w:hAnsi="Arial" w:cs="Arial"/>
          <w:lang w:val="es-MX" w:eastAsia="es-ES_tradnl"/>
        </w:rPr>
        <w:t>los documentos tipo</w:t>
      </w:r>
      <w:r w:rsidR="00B81FB7" w:rsidRPr="00F26448">
        <w:rPr>
          <w:rFonts w:ascii="Arial" w:eastAsia="Calibri" w:hAnsi="Arial" w:cs="Arial"/>
          <w:lang w:val="es-MX" w:eastAsia="es-ES_tradnl"/>
        </w:rPr>
        <w:t xml:space="preserve">, </w:t>
      </w:r>
      <w:r w:rsidRPr="00F26448">
        <w:rPr>
          <w:rFonts w:ascii="Arial" w:eastAsia="Calibri" w:hAnsi="Arial" w:cs="Arial"/>
          <w:lang w:val="es-MX" w:eastAsia="es-ES_tradnl"/>
        </w:rPr>
        <w:t xml:space="preserve">la conclusión a la </w:t>
      </w:r>
      <w:r w:rsidR="00996769" w:rsidRPr="00F26448">
        <w:rPr>
          <w:rFonts w:ascii="Arial" w:eastAsia="Calibri" w:hAnsi="Arial" w:cs="Arial"/>
          <w:lang w:val="es-MX" w:eastAsia="es-ES_tradnl"/>
        </w:rPr>
        <w:t xml:space="preserve">anterior postura se acoge en atención al </w:t>
      </w:r>
      <w:r w:rsidR="00B81FB7" w:rsidRPr="00F26448">
        <w:rPr>
          <w:rFonts w:ascii="Arial" w:eastAsia="Calibri" w:hAnsi="Arial" w:cs="Arial"/>
          <w:lang w:val="es-MX" w:eastAsia="es-ES_tradnl"/>
        </w:rPr>
        <w:t>principio de economía</w:t>
      </w:r>
      <w:r w:rsidR="00996769" w:rsidRPr="00F26448">
        <w:rPr>
          <w:rFonts w:ascii="Arial" w:eastAsia="Calibri" w:hAnsi="Arial" w:cs="Arial"/>
          <w:lang w:val="es-MX" w:eastAsia="es-ES_tradnl"/>
        </w:rPr>
        <w:t xml:space="preserve">, dispuesto en el numeral 4 del artículo 25 de la Ley 80 de 1993, según el cual los trámites se adelantaran con austeridad de tiempo, medios y gastos impidiendo dilaciones y retardos. </w:t>
      </w:r>
      <w:r w:rsidR="00B81FB7" w:rsidRPr="00F26448">
        <w:rPr>
          <w:rFonts w:ascii="Arial" w:eastAsia="Calibri" w:hAnsi="Arial" w:cs="Arial"/>
          <w:lang w:val="es-MX" w:eastAsia="es-ES_tradnl"/>
        </w:rPr>
        <w:t xml:space="preserve">En tal sentido, no es necesario desgastar a la administración esperando a la TRM que se </w:t>
      </w:r>
      <w:r w:rsidR="00996769" w:rsidRPr="00F26448">
        <w:rPr>
          <w:rFonts w:ascii="Arial" w:eastAsia="Calibri" w:hAnsi="Arial" w:cs="Arial"/>
          <w:lang w:val="es-MX" w:eastAsia="es-ES_tradnl"/>
        </w:rPr>
        <w:t xml:space="preserve">dicte </w:t>
      </w:r>
      <w:r w:rsidR="00B81FB7" w:rsidRPr="00F26448">
        <w:rPr>
          <w:rFonts w:ascii="Arial" w:eastAsia="Calibri" w:hAnsi="Arial" w:cs="Arial"/>
          <w:lang w:val="es-MX" w:eastAsia="es-ES_tradnl"/>
        </w:rPr>
        <w:t>defina</w:t>
      </w:r>
      <w:r w:rsidR="00996769" w:rsidRPr="00F26448">
        <w:rPr>
          <w:rFonts w:ascii="Arial" w:eastAsia="Calibri" w:hAnsi="Arial" w:cs="Arial"/>
          <w:lang w:val="es-MX" w:eastAsia="es-ES_tradnl"/>
        </w:rPr>
        <w:t xml:space="preserve"> el método de ponderación</w:t>
      </w:r>
      <w:r w:rsidR="00B81FB7" w:rsidRPr="00F26448">
        <w:rPr>
          <w:rFonts w:ascii="Arial" w:eastAsia="Calibri" w:hAnsi="Arial" w:cs="Arial"/>
          <w:lang w:val="es-MX" w:eastAsia="es-ES_tradnl"/>
        </w:rPr>
        <w:t>, sino</w:t>
      </w:r>
      <w:r w:rsidR="00996769" w:rsidRPr="00F26448">
        <w:rPr>
          <w:rFonts w:ascii="Arial" w:eastAsia="Calibri" w:hAnsi="Arial" w:cs="Arial"/>
          <w:lang w:val="es-MX" w:eastAsia="es-ES_tradnl"/>
        </w:rPr>
        <w:t xml:space="preserve"> que</w:t>
      </w:r>
      <w:r w:rsidR="00B81FB7" w:rsidRPr="00F26448">
        <w:rPr>
          <w:rFonts w:ascii="Arial" w:eastAsia="Calibri" w:hAnsi="Arial" w:cs="Arial"/>
          <w:lang w:val="es-MX" w:eastAsia="es-ES_tradnl"/>
        </w:rPr>
        <w:t>, debido a que</w:t>
      </w:r>
      <w:r w:rsidR="00996769" w:rsidRPr="00F26448">
        <w:rPr>
          <w:rFonts w:ascii="Arial" w:eastAsia="Calibri" w:hAnsi="Arial" w:cs="Arial"/>
          <w:lang w:val="es-MX" w:eastAsia="es-ES_tradnl"/>
        </w:rPr>
        <w:t xml:space="preserve"> en el Proceso de Contratación hay un</w:t>
      </w:r>
      <w:r w:rsidR="00B81FB7" w:rsidRPr="00F26448">
        <w:rPr>
          <w:rFonts w:ascii="Arial" w:eastAsia="Calibri" w:hAnsi="Arial" w:cs="Arial"/>
          <w:lang w:val="es-MX" w:eastAsia="es-ES_tradnl"/>
        </w:rPr>
        <w:t xml:space="preserve"> único oferente, la oferta económica presentada es la única que será evaluada</w:t>
      </w:r>
      <w:r w:rsidR="006757CF" w:rsidRPr="00F26448">
        <w:rPr>
          <w:rFonts w:ascii="Arial" w:eastAsia="Calibri" w:hAnsi="Arial" w:cs="Arial"/>
          <w:lang w:val="es-MX" w:eastAsia="es-ES_tradnl"/>
        </w:rPr>
        <w:t xml:space="preserve"> </w:t>
      </w:r>
      <w:r w:rsidR="00B81FB7" w:rsidRPr="00F26448">
        <w:rPr>
          <w:rFonts w:ascii="Arial" w:eastAsia="Calibri" w:hAnsi="Arial" w:cs="Arial"/>
          <w:lang w:val="es-MX" w:eastAsia="es-ES_tradnl"/>
        </w:rPr>
        <w:t>y</w:t>
      </w:r>
      <w:r w:rsidR="00996769" w:rsidRPr="00F26448">
        <w:rPr>
          <w:rFonts w:ascii="Arial" w:eastAsia="Calibri" w:hAnsi="Arial" w:cs="Arial"/>
          <w:lang w:val="es-MX" w:eastAsia="es-ES_tradnl"/>
        </w:rPr>
        <w:t>,</w:t>
      </w:r>
      <w:r w:rsidR="006757CF" w:rsidRPr="00F26448">
        <w:rPr>
          <w:rFonts w:ascii="Arial" w:eastAsia="Calibri" w:hAnsi="Arial" w:cs="Arial"/>
          <w:lang w:val="es-MX" w:eastAsia="es-ES_tradnl"/>
        </w:rPr>
        <w:t xml:space="preserve"> </w:t>
      </w:r>
      <w:r w:rsidR="00B81FB7" w:rsidRPr="00F26448">
        <w:rPr>
          <w:rFonts w:ascii="Arial" w:eastAsia="Calibri" w:hAnsi="Arial" w:cs="Arial"/>
          <w:lang w:val="es-MX" w:eastAsia="es-ES_tradnl"/>
        </w:rPr>
        <w:t>por</w:t>
      </w:r>
      <w:r w:rsidR="0040163D" w:rsidRPr="00F26448">
        <w:rPr>
          <w:rFonts w:ascii="Arial" w:eastAsia="Calibri" w:hAnsi="Arial" w:cs="Arial"/>
          <w:lang w:val="es-MX" w:eastAsia="es-ES_tradnl"/>
        </w:rPr>
        <w:t xml:space="preserve"> lo </w:t>
      </w:r>
      <w:r w:rsidR="00B81FB7" w:rsidRPr="00F26448">
        <w:rPr>
          <w:rFonts w:ascii="Arial" w:eastAsia="Calibri" w:hAnsi="Arial" w:cs="Arial"/>
          <w:lang w:val="es-MX" w:eastAsia="es-ES_tradnl"/>
        </w:rPr>
        <w:t>tanto</w:t>
      </w:r>
      <w:r w:rsidR="00996769" w:rsidRPr="00F26448">
        <w:rPr>
          <w:rFonts w:ascii="Arial" w:eastAsia="Calibri" w:hAnsi="Arial" w:cs="Arial"/>
          <w:lang w:val="es-MX" w:eastAsia="es-ES_tradnl"/>
        </w:rPr>
        <w:t>,</w:t>
      </w:r>
      <w:r w:rsidR="0040163D" w:rsidRPr="00F26448">
        <w:rPr>
          <w:rFonts w:ascii="Arial" w:eastAsia="Calibri" w:hAnsi="Arial" w:cs="Arial"/>
          <w:lang w:val="es-MX" w:eastAsia="es-ES_tradnl"/>
        </w:rPr>
        <w:t xml:space="preserve"> se le </w:t>
      </w:r>
      <w:r w:rsidR="000C26EB" w:rsidRPr="00F26448">
        <w:rPr>
          <w:rFonts w:ascii="Arial" w:eastAsia="Calibri" w:hAnsi="Arial" w:cs="Arial"/>
          <w:lang w:val="es-MX" w:eastAsia="es-ES_tradnl"/>
        </w:rPr>
        <w:t>otorgará el</w:t>
      </w:r>
      <w:r w:rsidR="00B81FB7" w:rsidRPr="00F26448">
        <w:rPr>
          <w:rFonts w:ascii="Arial" w:eastAsia="Calibri" w:hAnsi="Arial" w:cs="Arial"/>
          <w:lang w:val="es-MX" w:eastAsia="es-ES_tradnl"/>
        </w:rPr>
        <w:t xml:space="preserve"> puntaje máximo. </w:t>
      </w:r>
    </w:p>
    <w:p w14:paraId="4A43FAB6" w14:textId="206D87DD" w:rsidR="00AE2AE5" w:rsidRPr="00F26448" w:rsidRDefault="00520B4C" w:rsidP="00DE0BFC">
      <w:pPr>
        <w:shd w:val="clear" w:color="auto" w:fill="FFFFFF"/>
        <w:spacing w:after="120" w:line="276" w:lineRule="auto"/>
        <w:ind w:firstLine="708"/>
        <w:jc w:val="both"/>
        <w:rPr>
          <w:rFonts w:ascii="Arial" w:eastAsia="Calibri" w:hAnsi="Arial" w:cs="Arial"/>
          <w:lang w:val="es-MX" w:eastAsia="es-ES_tradnl"/>
        </w:rPr>
      </w:pPr>
      <w:r w:rsidRPr="00F26448">
        <w:rPr>
          <w:rFonts w:ascii="Arial" w:eastAsia="Calibri" w:hAnsi="Arial" w:cs="Arial"/>
          <w:lang w:val="es-MX" w:eastAsia="es-ES_tradnl"/>
        </w:rPr>
        <w:t xml:space="preserve">Cabe mencionar que </w:t>
      </w:r>
      <w:r w:rsidR="00996769" w:rsidRPr="00F26448">
        <w:rPr>
          <w:rFonts w:ascii="Arial" w:eastAsia="Calibri" w:hAnsi="Arial" w:cs="Arial"/>
          <w:lang w:val="es-MX" w:eastAsia="es-ES_tradnl"/>
        </w:rPr>
        <w:t>el método aleatorio para seleccionar la fórmula de ponderación de la oferta económica desestimula los actos de corrupción, puesto que no es posible manipular la TRM para conocer con anticipación la fórmula aplicable y poder adjudicar al proponente que la entidad desee. Hasta este punto resulta clara la justificación de la escogencia del método aleatorio a partir de la TRM como un mecanismo que desestimula los actos de corrupción en el proceso de evaluación para escoger el método aleatorio de ponderación de las ofertas económicas y</w:t>
      </w:r>
      <w:r w:rsidR="002A77F3" w:rsidRPr="00F26448">
        <w:rPr>
          <w:rFonts w:ascii="Arial" w:eastAsia="Calibri" w:hAnsi="Arial" w:cs="Arial"/>
          <w:lang w:val="es-MX" w:eastAsia="es-ES_tradnl"/>
        </w:rPr>
        <w:t xml:space="preserve"> para</w:t>
      </w:r>
      <w:r w:rsidR="00B81FB7" w:rsidRPr="00F26448">
        <w:rPr>
          <w:rFonts w:ascii="Arial" w:eastAsia="Calibri" w:hAnsi="Arial" w:cs="Arial"/>
          <w:lang w:val="es-MX" w:eastAsia="es-ES_tradnl"/>
        </w:rPr>
        <w:t xml:space="preserve"> evitar la colusión de las ofertas</w:t>
      </w:r>
      <w:r w:rsidR="000C26EB" w:rsidRPr="00F26448">
        <w:rPr>
          <w:rFonts w:ascii="Arial" w:eastAsia="Calibri" w:hAnsi="Arial" w:cs="Arial"/>
          <w:lang w:val="es-MX" w:eastAsia="es-ES_tradnl"/>
        </w:rPr>
        <w:t xml:space="preserve"> y que se realice un proceso de selección objetivo de acuerdo con los pliegos</w:t>
      </w:r>
      <w:r w:rsidR="00B81FB7" w:rsidRPr="00F26448">
        <w:rPr>
          <w:rFonts w:ascii="Arial" w:eastAsia="Calibri" w:hAnsi="Arial" w:cs="Arial"/>
          <w:lang w:val="es-MX" w:eastAsia="es-ES_tradnl"/>
        </w:rPr>
        <w:t>. </w:t>
      </w:r>
    </w:p>
    <w:p w14:paraId="7470523E" w14:textId="1A5180FF" w:rsidR="00806859" w:rsidRPr="00F26448" w:rsidRDefault="00806859" w:rsidP="00DE0BFC">
      <w:pPr>
        <w:tabs>
          <w:tab w:val="left" w:pos="426"/>
        </w:tabs>
        <w:spacing w:before="120" w:after="120" w:line="240" w:lineRule="auto"/>
        <w:jc w:val="both"/>
        <w:rPr>
          <w:rFonts w:ascii="Arial" w:eastAsia="Times New Roman" w:hAnsi="Arial" w:cs="Arial"/>
          <w:bCs/>
          <w:lang w:eastAsia="es-CO"/>
        </w:rPr>
      </w:pPr>
      <w:r w:rsidRPr="00F26448">
        <w:rPr>
          <w:rFonts w:ascii="Arial" w:eastAsia="Times New Roman" w:hAnsi="Arial" w:cs="Arial"/>
          <w:bCs/>
          <w:lang w:eastAsia="es-CO"/>
        </w:rPr>
        <w:t>Este concepto tiene el alcance previsto en el artículo 28 del Código de Procedimiento Administrativo y de lo Contencioso Administrativo</w:t>
      </w:r>
      <w:r w:rsidR="00996769" w:rsidRPr="00F26448">
        <w:rPr>
          <w:rFonts w:ascii="Arial" w:eastAsia="Times New Roman" w:hAnsi="Arial" w:cs="Arial"/>
          <w:bCs/>
          <w:lang w:eastAsia="es-CO"/>
        </w:rPr>
        <w:t xml:space="preserve"> </w:t>
      </w:r>
      <w:r w:rsidR="00996769" w:rsidRPr="00F26448">
        <w:rPr>
          <w:rFonts w:ascii="Arial" w:hAnsi="Arial" w:cs="Arial"/>
          <w:bCs/>
          <w:color w:val="000000" w:themeColor="text1"/>
        </w:rPr>
        <w:t xml:space="preserve">y </w:t>
      </w:r>
      <w:r w:rsidR="00996769" w:rsidRPr="00F26448">
        <w:rPr>
          <w:rFonts w:ascii="Arial" w:hAnsi="Arial" w:cs="Arial"/>
        </w:rPr>
        <w:t>las expresiones aquí utilizadas con mayúscula inicial deben ser entendidas con el significado que les otorga el artículo 2.2.1.1.1.3.1. del Decreto 1082 de 2015</w:t>
      </w:r>
      <w:r w:rsidRPr="00F26448">
        <w:rPr>
          <w:rFonts w:ascii="Arial" w:eastAsia="Times New Roman" w:hAnsi="Arial" w:cs="Arial"/>
          <w:bCs/>
          <w:lang w:eastAsia="es-CO"/>
        </w:rPr>
        <w:t>.</w:t>
      </w:r>
    </w:p>
    <w:p w14:paraId="72D9A193" w14:textId="77777777" w:rsidR="00455DC9" w:rsidRPr="00F26448" w:rsidRDefault="00455DC9" w:rsidP="001D6996">
      <w:pPr>
        <w:spacing w:after="0" w:line="240" w:lineRule="auto"/>
        <w:jc w:val="both"/>
        <w:rPr>
          <w:rFonts w:ascii="Arial" w:eastAsia="Times New Roman" w:hAnsi="Arial" w:cs="Arial"/>
          <w:lang w:val="es-ES_tradnl" w:eastAsia="es-CO"/>
        </w:rPr>
      </w:pPr>
    </w:p>
    <w:p w14:paraId="17B4EF86" w14:textId="1B4C5C01" w:rsidR="00662ABD" w:rsidRPr="00F26448" w:rsidRDefault="00455DC9" w:rsidP="000054EA">
      <w:pPr>
        <w:tabs>
          <w:tab w:val="left" w:pos="426"/>
        </w:tabs>
        <w:spacing w:after="120" w:line="240" w:lineRule="auto"/>
        <w:jc w:val="both"/>
        <w:rPr>
          <w:rFonts w:ascii="Arial" w:eastAsia="Calibri" w:hAnsi="Arial" w:cs="Arial"/>
          <w:lang w:val="es-ES"/>
        </w:rPr>
      </w:pPr>
      <w:r w:rsidRPr="00F26448">
        <w:rPr>
          <w:rFonts w:ascii="Arial" w:eastAsia="Calibri" w:hAnsi="Arial" w:cs="Arial"/>
          <w:lang w:val="es-ES"/>
        </w:rPr>
        <w:t>Atentamente,</w:t>
      </w:r>
    </w:p>
    <w:p w14:paraId="5B725C17" w14:textId="4D43D45E" w:rsidR="004E7843" w:rsidRPr="00F26448" w:rsidRDefault="004E7843" w:rsidP="000054EA">
      <w:pPr>
        <w:tabs>
          <w:tab w:val="left" w:pos="426"/>
        </w:tabs>
        <w:spacing w:after="120" w:line="240" w:lineRule="auto"/>
        <w:jc w:val="both"/>
        <w:rPr>
          <w:rFonts w:ascii="Arial" w:eastAsia="Calibri" w:hAnsi="Arial" w:cs="Arial"/>
          <w:lang w:val="es-ES"/>
        </w:rPr>
      </w:pPr>
    </w:p>
    <w:p w14:paraId="3E36F736" w14:textId="5DB69D05" w:rsidR="004E7843" w:rsidRPr="00286EBB" w:rsidRDefault="004E7843" w:rsidP="004E7843">
      <w:pPr>
        <w:tabs>
          <w:tab w:val="left" w:pos="426"/>
        </w:tabs>
        <w:spacing w:after="120" w:line="240" w:lineRule="auto"/>
        <w:jc w:val="center"/>
        <w:rPr>
          <w:rFonts w:ascii="Arial" w:hAnsi="Arial" w:cs="Arial"/>
          <w:color w:val="000000"/>
          <w:sz w:val="16"/>
          <w:szCs w:val="16"/>
          <w:shd w:val="clear" w:color="auto" w:fill="FFFFFF"/>
        </w:rPr>
      </w:pPr>
      <w:r w:rsidRPr="00286EBB">
        <w:rPr>
          <w:rFonts w:ascii="Arial" w:hAnsi="Arial" w:cs="Arial"/>
          <w:noProof/>
          <w:sz w:val="16"/>
          <w:szCs w:val="16"/>
        </w:rPr>
        <w:drawing>
          <wp:inline distT="0" distB="0" distL="0" distR="0" wp14:anchorId="41B2B0D1" wp14:editId="7F362042">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1A36931B" w14:textId="5CD9AEF9" w:rsidR="001175DA" w:rsidRPr="00286EBB" w:rsidRDefault="001175DA" w:rsidP="00E41851">
      <w:pPr>
        <w:rPr>
          <w:sz w:val="16"/>
          <w:szCs w:val="16"/>
        </w:rPr>
      </w:pPr>
    </w:p>
    <w:tbl>
      <w:tblPr>
        <w:tblW w:w="5225"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986225" w:rsidRPr="00286EBB" w14:paraId="73071B68" w14:textId="77777777" w:rsidTr="00BF78C9">
        <w:trPr>
          <w:trHeight w:val="315"/>
        </w:trPr>
        <w:tc>
          <w:tcPr>
            <w:tcW w:w="812" w:type="dxa"/>
            <w:vAlign w:val="center"/>
          </w:tcPr>
          <w:bookmarkEnd w:id="0"/>
          <w:bookmarkEnd w:id="1"/>
          <w:p w14:paraId="3DB90CB2" w14:textId="77777777" w:rsidR="00986225" w:rsidRPr="00286EBB" w:rsidRDefault="00986225" w:rsidP="00286EBB">
            <w:pPr>
              <w:spacing w:after="0"/>
              <w:rPr>
                <w:sz w:val="16"/>
                <w:szCs w:val="16"/>
              </w:rPr>
            </w:pPr>
            <w:r w:rsidRPr="00286EBB">
              <w:rPr>
                <w:sz w:val="16"/>
                <w:szCs w:val="16"/>
              </w:rPr>
              <w:t>Elaboró:</w:t>
            </w:r>
          </w:p>
        </w:tc>
        <w:tc>
          <w:tcPr>
            <w:tcW w:w="4413" w:type="dxa"/>
            <w:tcBorders>
              <w:top w:val="nil"/>
              <w:left w:val="nil"/>
              <w:bottom w:val="dotted" w:sz="4" w:space="0" w:color="7F7F7F"/>
              <w:right w:val="nil"/>
            </w:tcBorders>
            <w:vAlign w:val="center"/>
          </w:tcPr>
          <w:p w14:paraId="7F28E51F" w14:textId="77CED985" w:rsidR="00986225" w:rsidRPr="00286EBB" w:rsidRDefault="00986225" w:rsidP="00286EBB">
            <w:pPr>
              <w:spacing w:after="0"/>
              <w:rPr>
                <w:sz w:val="16"/>
                <w:szCs w:val="16"/>
              </w:rPr>
            </w:pPr>
            <w:r w:rsidRPr="00286EBB">
              <w:rPr>
                <w:sz w:val="16"/>
                <w:szCs w:val="16"/>
              </w:rPr>
              <w:t xml:space="preserve">María </w:t>
            </w:r>
            <w:r w:rsidR="001D6996" w:rsidRPr="00286EBB">
              <w:rPr>
                <w:sz w:val="16"/>
                <w:szCs w:val="16"/>
              </w:rPr>
              <w:t>Valeska Medellín</w:t>
            </w:r>
            <w:r w:rsidRPr="00286EBB">
              <w:rPr>
                <w:sz w:val="16"/>
                <w:szCs w:val="16"/>
              </w:rPr>
              <w:t xml:space="preserve"> Mora </w:t>
            </w:r>
          </w:p>
          <w:p w14:paraId="5EEADC02" w14:textId="77777777" w:rsidR="00986225" w:rsidRPr="00286EBB" w:rsidRDefault="00986225" w:rsidP="00286EBB">
            <w:pPr>
              <w:spacing w:after="0"/>
              <w:rPr>
                <w:sz w:val="16"/>
                <w:szCs w:val="16"/>
              </w:rPr>
            </w:pPr>
            <w:r w:rsidRPr="00286EBB">
              <w:rPr>
                <w:sz w:val="16"/>
                <w:szCs w:val="16"/>
              </w:rPr>
              <w:t>Gestor T1- 15 Subdirección de Gestión Contractual</w:t>
            </w:r>
          </w:p>
        </w:tc>
      </w:tr>
      <w:tr w:rsidR="00986225" w:rsidRPr="00286EBB" w14:paraId="2258F37E" w14:textId="77777777" w:rsidTr="00BF78C9">
        <w:trPr>
          <w:trHeight w:val="330"/>
        </w:trPr>
        <w:tc>
          <w:tcPr>
            <w:tcW w:w="812" w:type="dxa"/>
            <w:vAlign w:val="center"/>
          </w:tcPr>
          <w:p w14:paraId="72B34716" w14:textId="77777777" w:rsidR="00986225" w:rsidRPr="00286EBB" w:rsidRDefault="00986225" w:rsidP="00286EBB">
            <w:pPr>
              <w:spacing w:after="0"/>
              <w:rPr>
                <w:sz w:val="16"/>
                <w:szCs w:val="16"/>
              </w:rPr>
            </w:pPr>
            <w:r w:rsidRPr="00286EBB">
              <w:rPr>
                <w:sz w:val="16"/>
                <w:szCs w:val="16"/>
              </w:rPr>
              <w:t>Revisó:</w:t>
            </w:r>
          </w:p>
        </w:tc>
        <w:tc>
          <w:tcPr>
            <w:tcW w:w="4413" w:type="dxa"/>
            <w:tcBorders>
              <w:top w:val="dotted" w:sz="4" w:space="0" w:color="7F7F7F"/>
              <w:left w:val="nil"/>
              <w:bottom w:val="dotted" w:sz="4" w:space="0" w:color="7F7F7F"/>
              <w:right w:val="nil"/>
            </w:tcBorders>
            <w:vAlign w:val="center"/>
          </w:tcPr>
          <w:p w14:paraId="1B5D1504" w14:textId="77777777" w:rsidR="00996769" w:rsidRPr="00286EBB" w:rsidRDefault="00996769" w:rsidP="00286EBB">
            <w:pPr>
              <w:spacing w:after="0"/>
              <w:rPr>
                <w:sz w:val="16"/>
                <w:szCs w:val="16"/>
              </w:rPr>
            </w:pPr>
            <w:r w:rsidRPr="00286EBB">
              <w:rPr>
                <w:sz w:val="16"/>
                <w:szCs w:val="16"/>
              </w:rPr>
              <w:t>Diana Lucia Saavedra Castañeda</w:t>
            </w:r>
          </w:p>
          <w:p w14:paraId="3A81D86F" w14:textId="28E9A671" w:rsidR="006730BE" w:rsidRPr="00286EBB" w:rsidRDefault="00996769" w:rsidP="00286EBB">
            <w:pPr>
              <w:spacing w:after="0"/>
              <w:rPr>
                <w:sz w:val="16"/>
                <w:szCs w:val="16"/>
              </w:rPr>
            </w:pPr>
            <w:r w:rsidRPr="00286EBB">
              <w:rPr>
                <w:sz w:val="16"/>
                <w:szCs w:val="16"/>
              </w:rPr>
              <w:t xml:space="preserve">Contratista de la Subdirección de Gestión Contractual  </w:t>
            </w:r>
          </w:p>
        </w:tc>
      </w:tr>
      <w:tr w:rsidR="00986225" w:rsidRPr="00286EBB" w14:paraId="1999FE99" w14:textId="77777777" w:rsidTr="00BF78C9">
        <w:trPr>
          <w:trHeight w:val="300"/>
        </w:trPr>
        <w:tc>
          <w:tcPr>
            <w:tcW w:w="812" w:type="dxa"/>
            <w:vAlign w:val="center"/>
          </w:tcPr>
          <w:p w14:paraId="4981E218" w14:textId="77777777" w:rsidR="00986225" w:rsidRPr="00286EBB" w:rsidRDefault="00986225" w:rsidP="00286EBB">
            <w:pPr>
              <w:spacing w:after="0"/>
              <w:rPr>
                <w:sz w:val="16"/>
                <w:szCs w:val="16"/>
              </w:rPr>
            </w:pPr>
            <w:r w:rsidRPr="00286EBB">
              <w:rPr>
                <w:sz w:val="16"/>
                <w:szCs w:val="16"/>
              </w:rPr>
              <w:t>Aprobó:</w:t>
            </w:r>
          </w:p>
        </w:tc>
        <w:tc>
          <w:tcPr>
            <w:tcW w:w="4413" w:type="dxa"/>
            <w:tcBorders>
              <w:top w:val="dotted" w:sz="4" w:space="0" w:color="7F7F7F"/>
              <w:left w:val="nil"/>
              <w:bottom w:val="dotted" w:sz="4" w:space="0" w:color="7F7F7F"/>
              <w:right w:val="nil"/>
            </w:tcBorders>
            <w:vAlign w:val="center"/>
          </w:tcPr>
          <w:p w14:paraId="52F160FE" w14:textId="14BBB851" w:rsidR="000F631A" w:rsidRPr="00286EBB" w:rsidRDefault="00986225" w:rsidP="00286EBB">
            <w:pPr>
              <w:spacing w:after="0"/>
              <w:rPr>
                <w:sz w:val="16"/>
                <w:szCs w:val="16"/>
              </w:rPr>
            </w:pPr>
            <w:r w:rsidRPr="00286EBB">
              <w:rPr>
                <w:sz w:val="16"/>
                <w:szCs w:val="16"/>
              </w:rPr>
              <w:t xml:space="preserve"> </w:t>
            </w:r>
            <w:r w:rsidR="000F631A" w:rsidRPr="00286EBB">
              <w:rPr>
                <w:sz w:val="16"/>
                <w:szCs w:val="16"/>
              </w:rPr>
              <w:t>Nohelia</w:t>
            </w:r>
            <w:r w:rsidR="00EA20F1" w:rsidRPr="00286EBB">
              <w:rPr>
                <w:sz w:val="16"/>
                <w:szCs w:val="16"/>
              </w:rPr>
              <w:t xml:space="preserve"> del Carmen </w:t>
            </w:r>
            <w:proofErr w:type="spellStart"/>
            <w:r w:rsidR="00AA0A04" w:rsidRPr="00286EBB">
              <w:rPr>
                <w:sz w:val="16"/>
                <w:szCs w:val="16"/>
              </w:rPr>
              <w:t>Zawad</w:t>
            </w:r>
            <w:r w:rsidR="001D6996" w:rsidRPr="00286EBB">
              <w:rPr>
                <w:sz w:val="16"/>
                <w:szCs w:val="16"/>
              </w:rPr>
              <w:t>y</w:t>
            </w:r>
            <w:proofErr w:type="spellEnd"/>
            <w:r w:rsidR="001D6996" w:rsidRPr="00286EBB">
              <w:rPr>
                <w:sz w:val="16"/>
                <w:szCs w:val="16"/>
              </w:rPr>
              <w:t xml:space="preserve"> </w:t>
            </w:r>
            <w:r w:rsidR="00AA0A04" w:rsidRPr="00286EBB">
              <w:rPr>
                <w:sz w:val="16"/>
                <w:szCs w:val="16"/>
              </w:rPr>
              <w:t xml:space="preserve">Palacio </w:t>
            </w:r>
          </w:p>
          <w:p w14:paraId="16CB8AD6" w14:textId="63EB74A0" w:rsidR="00986225" w:rsidRPr="00286EBB" w:rsidRDefault="00986225" w:rsidP="00286EBB">
            <w:pPr>
              <w:spacing w:after="0"/>
              <w:rPr>
                <w:sz w:val="16"/>
                <w:szCs w:val="16"/>
              </w:rPr>
            </w:pPr>
            <w:r w:rsidRPr="00286EBB">
              <w:rPr>
                <w:sz w:val="16"/>
                <w:szCs w:val="16"/>
              </w:rPr>
              <w:t>Subdirector</w:t>
            </w:r>
            <w:r w:rsidR="000F631A" w:rsidRPr="00286EBB">
              <w:rPr>
                <w:sz w:val="16"/>
                <w:szCs w:val="16"/>
              </w:rPr>
              <w:t xml:space="preserve">a </w:t>
            </w:r>
            <w:r w:rsidRPr="00286EBB">
              <w:rPr>
                <w:sz w:val="16"/>
                <w:szCs w:val="16"/>
              </w:rPr>
              <w:t>de Gestión Contractual ANCP – CCE</w:t>
            </w:r>
          </w:p>
        </w:tc>
      </w:tr>
    </w:tbl>
    <w:p w14:paraId="1F671C3D" w14:textId="77777777" w:rsidR="00455DC9" w:rsidRPr="00F26448" w:rsidRDefault="00455DC9" w:rsidP="001D6996">
      <w:pPr>
        <w:spacing w:line="240" w:lineRule="auto"/>
        <w:rPr>
          <w:rFonts w:ascii="Arial" w:hAnsi="Arial" w:cs="Arial"/>
        </w:rPr>
      </w:pPr>
    </w:p>
    <w:sectPr w:rsidR="00455DC9" w:rsidRPr="00F26448">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8121" w14:textId="77777777" w:rsidR="009A3123" w:rsidRDefault="009A3123" w:rsidP="00F37112">
      <w:pPr>
        <w:spacing w:after="0" w:line="240" w:lineRule="auto"/>
      </w:pPr>
      <w:r>
        <w:separator/>
      </w:r>
    </w:p>
  </w:endnote>
  <w:endnote w:type="continuationSeparator" w:id="0">
    <w:p w14:paraId="1D857320" w14:textId="77777777" w:rsidR="009A3123" w:rsidRDefault="009A3123" w:rsidP="00F3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Calibri">
    <w:altName w:val="Times New Roman"/>
    <w:charset w:val="00"/>
    <w:family w:val="roman"/>
    <w:pitch w:val="default"/>
  </w:font>
  <w:font w:name="Arial,Times New Roman">
    <w:altName w:val="Arial"/>
    <w:charset w:val="00"/>
    <w:family w:val="roman"/>
    <w:pitch w:val="default"/>
  </w:font>
  <w:font w:name="Geomanist Ligh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D7CB" w14:textId="77777777" w:rsidR="004E7843" w:rsidRDefault="004E78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FC3C" w14:textId="77777777" w:rsidR="00C3208A" w:rsidRDefault="00C3208A" w:rsidP="00C3208A">
    <w:pPr>
      <w:pStyle w:val="Piedepgina"/>
    </w:pPr>
    <w:r>
      <w:rPr>
        <w:noProof/>
      </w:rPr>
      <w:drawing>
        <wp:inline distT="0" distB="0" distL="0" distR="0" wp14:anchorId="7E12BEB8" wp14:editId="302B8EA2">
          <wp:extent cx="5742143" cy="892175"/>
          <wp:effectExtent l="0" t="0" r="0" b="3175"/>
          <wp:docPr id="3" name="Imagen 3"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C3208A" w:rsidRPr="00080DA3" w14:paraId="2CF2EA49" w14:textId="77777777" w:rsidTr="00EA0F04">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E193926" w14:textId="77777777" w:rsidR="00C3208A" w:rsidRPr="00080DA3" w:rsidRDefault="00C3208A" w:rsidP="00C3208A">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8B25F37" w14:textId="77777777" w:rsidR="00C3208A" w:rsidRPr="00080DA3" w:rsidRDefault="00C3208A" w:rsidP="00C3208A">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DFB96EC" w14:textId="77777777" w:rsidR="00C3208A" w:rsidRPr="00080DA3" w:rsidRDefault="00C3208A" w:rsidP="00C3208A">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47D9C2B0" w14:textId="77777777" w:rsidR="00C3208A" w:rsidRPr="004B6B0E" w:rsidRDefault="00C3208A" w:rsidP="00C3208A">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80EA372" w14:textId="77777777" w:rsidR="00C3208A" w:rsidRPr="00080DA3" w:rsidRDefault="00C3208A" w:rsidP="00C3208A">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4A10729" w14:textId="77777777" w:rsidR="00C3208A" w:rsidRPr="00080DA3" w:rsidRDefault="00C3208A" w:rsidP="00C3208A">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09C72F5" w14:textId="77777777" w:rsidR="00C3208A" w:rsidRPr="00080DA3" w:rsidRDefault="00C3208A" w:rsidP="00C3208A">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3</w:t>
          </w:r>
          <w:r w:rsidRPr="00080DA3">
            <w:rPr>
              <w:rFonts w:ascii="Geomanist Light" w:hAnsi="Geomanist Light"/>
              <w:b/>
              <w:bCs/>
              <w:sz w:val="18"/>
              <w:szCs w:val="18"/>
            </w:rPr>
            <w:fldChar w:fldCharType="end"/>
          </w:r>
        </w:p>
      </w:tc>
    </w:tr>
  </w:tbl>
  <w:p w14:paraId="37D08E12" w14:textId="5F2286A2" w:rsidR="009D1F74" w:rsidRPr="004E7843" w:rsidRDefault="009D1F74" w:rsidP="004E78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0A66" w14:textId="77777777" w:rsidR="004E7843" w:rsidRDefault="004E78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621D6" w14:textId="77777777" w:rsidR="009A3123" w:rsidRDefault="009A3123" w:rsidP="00F37112">
      <w:pPr>
        <w:spacing w:after="0" w:line="240" w:lineRule="auto"/>
      </w:pPr>
      <w:r>
        <w:separator/>
      </w:r>
    </w:p>
  </w:footnote>
  <w:footnote w:type="continuationSeparator" w:id="0">
    <w:p w14:paraId="4B05B656" w14:textId="77777777" w:rsidR="009A3123" w:rsidRDefault="009A3123" w:rsidP="00F37112">
      <w:pPr>
        <w:spacing w:after="0" w:line="240" w:lineRule="auto"/>
      </w:pPr>
      <w:r>
        <w:continuationSeparator/>
      </w:r>
    </w:p>
  </w:footnote>
  <w:footnote w:id="1">
    <w:p w14:paraId="1F937703" w14:textId="77777777" w:rsidR="008338E8" w:rsidRPr="008338E8" w:rsidRDefault="008338E8" w:rsidP="00DE0BFC">
      <w:pPr>
        <w:pStyle w:val="Textonotapie"/>
        <w:ind w:firstLine="709"/>
        <w:contextualSpacing/>
        <w:jc w:val="both"/>
        <w:rPr>
          <w:rFonts w:ascii="Arial" w:hAnsi="Arial" w:cs="Arial"/>
          <w:sz w:val="18"/>
          <w:szCs w:val="18"/>
          <w:lang w:val="es-CO"/>
        </w:rPr>
      </w:pPr>
      <w:r w:rsidRPr="008338E8">
        <w:rPr>
          <w:rStyle w:val="Refdenotaalpie"/>
          <w:rFonts w:ascii="Arial" w:hAnsi="Arial" w:cs="Arial"/>
          <w:sz w:val="18"/>
          <w:szCs w:val="18"/>
        </w:rPr>
        <w:footnoteRef/>
      </w:r>
      <w:r w:rsidRPr="008338E8">
        <w:rPr>
          <w:rFonts w:ascii="Arial" w:hAnsi="Arial" w:cs="Arial"/>
          <w:sz w:val="18"/>
          <w:szCs w:val="18"/>
        </w:rPr>
        <w:t xml:space="preserve"> </w:t>
      </w:r>
      <w:r w:rsidRPr="008338E8">
        <w:rPr>
          <w:rFonts w:ascii="Arial" w:hAnsi="Arial" w:cs="Arial"/>
          <w:sz w:val="18"/>
          <w:szCs w:val="18"/>
          <w:lang w:val="es-CO"/>
        </w:rPr>
        <w:t xml:space="preserve">Estos conceptos pueden ser consultados en: </w:t>
      </w:r>
      <w:hyperlink r:id="rId1" w:history="1">
        <w:r w:rsidRPr="00DE0BFC">
          <w:rPr>
            <w:rStyle w:val="Hipervnculo"/>
            <w:rFonts w:ascii="Arial" w:hAnsi="Arial" w:cs="Arial"/>
            <w:sz w:val="18"/>
            <w:szCs w:val="18"/>
          </w:rPr>
          <w:t>https://relatoria.colombiacompra.gov.co/busqueda/conceptos#</w:t>
        </w:r>
      </w:hyperlink>
    </w:p>
    <w:p w14:paraId="774968E8" w14:textId="77777777" w:rsidR="008338E8" w:rsidRPr="008338E8" w:rsidRDefault="008338E8" w:rsidP="00DE0BFC">
      <w:pPr>
        <w:pStyle w:val="Textonotapie"/>
        <w:ind w:firstLine="709"/>
        <w:contextualSpacing/>
        <w:jc w:val="both"/>
        <w:rPr>
          <w:rFonts w:ascii="Arial" w:hAnsi="Arial" w:cs="Arial"/>
          <w:sz w:val="18"/>
          <w:szCs w:val="18"/>
          <w:lang w:val="es-CO"/>
        </w:rPr>
      </w:pPr>
    </w:p>
  </w:footnote>
  <w:footnote w:id="2">
    <w:p w14:paraId="0A8B6FBB" w14:textId="77777777" w:rsidR="00675ADC" w:rsidRPr="00DE0BFC" w:rsidRDefault="00675ADC" w:rsidP="00DE0BFC">
      <w:pPr>
        <w:pStyle w:val="Textonotapie"/>
        <w:ind w:firstLine="709"/>
        <w:contextualSpacing/>
        <w:jc w:val="both"/>
        <w:rPr>
          <w:rFonts w:ascii="Arial" w:hAnsi="Arial" w:cs="Arial"/>
          <w:color w:val="000000"/>
          <w:sz w:val="18"/>
          <w:szCs w:val="18"/>
        </w:rPr>
      </w:pPr>
      <w:r w:rsidRPr="00DE0BFC">
        <w:rPr>
          <w:rStyle w:val="Refdenotaalpie"/>
          <w:rFonts w:ascii="Arial" w:hAnsi="Arial" w:cs="Arial"/>
          <w:color w:val="000000"/>
          <w:sz w:val="18"/>
          <w:szCs w:val="18"/>
        </w:rPr>
        <w:footnoteRef/>
      </w:r>
      <w:r w:rsidRPr="00DE0BFC">
        <w:rPr>
          <w:rFonts w:ascii="Arial" w:hAnsi="Arial" w:cs="Arial"/>
          <w:color w:val="000000"/>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224A1C85" w14:textId="77777777" w:rsidR="00675ADC" w:rsidRPr="00DE0BFC" w:rsidRDefault="00675ADC" w:rsidP="00DE0BFC">
      <w:pPr>
        <w:pStyle w:val="Textonotapie"/>
        <w:ind w:firstLine="709"/>
        <w:contextualSpacing/>
        <w:jc w:val="both"/>
        <w:rPr>
          <w:rFonts w:ascii="Arial" w:hAnsi="Arial" w:cs="Arial"/>
          <w:color w:val="000000"/>
          <w:sz w:val="18"/>
          <w:szCs w:val="18"/>
          <w:lang w:val="es-CO"/>
        </w:rPr>
      </w:pPr>
    </w:p>
  </w:footnote>
  <w:footnote w:id="3">
    <w:p w14:paraId="1034EE04" w14:textId="77777777" w:rsidR="00675ADC" w:rsidRPr="00DE0BFC" w:rsidRDefault="00675ADC" w:rsidP="00DE0BFC">
      <w:pPr>
        <w:pStyle w:val="Textonotapie"/>
        <w:ind w:firstLine="709"/>
        <w:contextualSpacing/>
        <w:jc w:val="both"/>
        <w:rPr>
          <w:rFonts w:ascii="Arial" w:hAnsi="Arial" w:cs="Arial"/>
          <w:color w:val="000000"/>
          <w:sz w:val="18"/>
          <w:szCs w:val="18"/>
        </w:rPr>
      </w:pPr>
      <w:r w:rsidRPr="00DE0BFC">
        <w:rPr>
          <w:rStyle w:val="Refdenotaalpie"/>
          <w:rFonts w:ascii="Arial" w:hAnsi="Arial" w:cs="Arial"/>
          <w:color w:val="000000"/>
          <w:sz w:val="18"/>
          <w:szCs w:val="18"/>
        </w:rPr>
        <w:footnoteRef/>
      </w:r>
      <w:r w:rsidRPr="00DE0BFC">
        <w:rPr>
          <w:rFonts w:ascii="Arial" w:hAnsi="Arial" w:cs="Arial"/>
          <w:color w:val="000000"/>
          <w:sz w:val="18"/>
          <w:szCs w:val="18"/>
        </w:rPr>
        <w:t xml:space="preserve"> </w:t>
      </w:r>
      <w:r w:rsidRPr="00DE0BFC">
        <w:rPr>
          <w:rFonts w:ascii="Arial" w:hAnsi="Arial" w:cs="Arial"/>
          <w:color w:val="000000"/>
          <w:sz w:val="18"/>
          <w:szCs w:val="18"/>
          <w:lang w:val="es-CO"/>
        </w:rPr>
        <w:t xml:space="preserve">Ley 1882 de 2018: «Artículo 4. </w:t>
      </w:r>
      <w:r w:rsidRPr="00DE0BFC">
        <w:rPr>
          <w:rFonts w:ascii="Arial" w:hAnsi="Arial" w:cs="Arial"/>
          <w:color w:val="000000"/>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599BBECE" w14:textId="77777777" w:rsidR="00675ADC" w:rsidRPr="00DE0BFC" w:rsidRDefault="00675ADC" w:rsidP="00DE0BFC">
      <w:pPr>
        <w:pStyle w:val="Textonotapie"/>
        <w:ind w:firstLine="709"/>
        <w:contextualSpacing/>
        <w:jc w:val="both"/>
        <w:rPr>
          <w:rFonts w:ascii="Arial" w:hAnsi="Arial" w:cs="Arial"/>
          <w:color w:val="000000"/>
          <w:sz w:val="18"/>
          <w:szCs w:val="18"/>
          <w:lang w:val="es-CO"/>
        </w:rPr>
      </w:pPr>
      <w:r w:rsidRPr="00DE0BFC">
        <w:rPr>
          <w:rFonts w:ascii="Arial" w:hAnsi="Arial" w:cs="Arial"/>
          <w:color w:val="000000"/>
          <w:sz w:val="18"/>
          <w:szCs w:val="18"/>
          <w:lang w:val="es-CO"/>
        </w:rPr>
        <w:t>»La facultad de adoptar documentos tipo la tendrá el Gobierno nacional, cuando lo considere necesario, en relación con otros contratos o procesos de selección.</w:t>
      </w:r>
    </w:p>
    <w:p w14:paraId="46F3DD3F" w14:textId="77777777" w:rsidR="00675ADC" w:rsidRPr="00DE0BFC" w:rsidRDefault="00675ADC" w:rsidP="00DE0BFC">
      <w:pPr>
        <w:pStyle w:val="Textonotapie"/>
        <w:ind w:firstLine="709"/>
        <w:contextualSpacing/>
        <w:jc w:val="both"/>
        <w:rPr>
          <w:rFonts w:ascii="Arial" w:hAnsi="Arial" w:cs="Arial"/>
          <w:color w:val="000000"/>
          <w:sz w:val="18"/>
          <w:szCs w:val="18"/>
          <w:lang w:val="es-CO"/>
        </w:rPr>
      </w:pPr>
      <w:r w:rsidRPr="00DE0BFC">
        <w:rPr>
          <w:rFonts w:ascii="Arial" w:hAnsi="Arial" w:cs="Arial"/>
          <w:color w:val="000000"/>
          <w:sz w:val="18"/>
          <w:szCs w:val="18"/>
          <w:lang w:val="es-CO"/>
        </w:rPr>
        <w:t>»Los pliegos tipo se adoptarán por categorías de acuerdo con la cuantía de la contratación, según la reglamentación que expida el Gobierno nacional».</w:t>
      </w:r>
    </w:p>
    <w:p w14:paraId="147B8FC2" w14:textId="77777777" w:rsidR="00675ADC" w:rsidRPr="00DE0BFC" w:rsidRDefault="00675ADC" w:rsidP="00DE0BFC">
      <w:pPr>
        <w:pStyle w:val="Textonotapie"/>
        <w:ind w:firstLine="709"/>
        <w:contextualSpacing/>
        <w:jc w:val="both"/>
        <w:rPr>
          <w:rFonts w:ascii="Arial" w:hAnsi="Arial" w:cs="Arial"/>
          <w:color w:val="000000"/>
          <w:sz w:val="18"/>
          <w:szCs w:val="18"/>
          <w:lang w:val="es-CO"/>
        </w:rPr>
      </w:pPr>
    </w:p>
  </w:footnote>
  <w:footnote w:id="4">
    <w:p w14:paraId="6346BF18" w14:textId="77777777" w:rsidR="00675ADC" w:rsidRPr="00DE0BFC" w:rsidRDefault="00675ADC" w:rsidP="00DE0BFC">
      <w:pPr>
        <w:pStyle w:val="Textonotapie"/>
        <w:ind w:firstLine="709"/>
        <w:contextualSpacing/>
        <w:jc w:val="both"/>
        <w:rPr>
          <w:rFonts w:ascii="Arial" w:hAnsi="Arial" w:cs="Arial"/>
          <w:color w:val="000000"/>
          <w:sz w:val="18"/>
          <w:szCs w:val="18"/>
        </w:rPr>
      </w:pPr>
      <w:r w:rsidRPr="00DE0BFC">
        <w:rPr>
          <w:rStyle w:val="Refdenotaalpie"/>
          <w:rFonts w:ascii="Arial" w:hAnsi="Arial" w:cs="Arial"/>
          <w:color w:val="000000"/>
          <w:sz w:val="18"/>
          <w:szCs w:val="18"/>
        </w:rPr>
        <w:footnoteRef/>
      </w:r>
      <w:r w:rsidRPr="00DE0BFC">
        <w:rPr>
          <w:rFonts w:ascii="Arial" w:hAnsi="Arial" w:cs="Arial"/>
          <w:color w:val="000000"/>
          <w:sz w:val="18"/>
          <w:szCs w:val="18"/>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2C1DEFB6" w14:textId="77777777" w:rsidR="00675ADC" w:rsidRPr="00DE0BFC" w:rsidRDefault="00675ADC" w:rsidP="00DE0BFC">
      <w:pPr>
        <w:pStyle w:val="Textonotapie"/>
        <w:ind w:firstLine="709"/>
        <w:contextualSpacing/>
        <w:jc w:val="both"/>
        <w:rPr>
          <w:rFonts w:ascii="Arial" w:hAnsi="Arial" w:cs="Arial"/>
          <w:color w:val="000000"/>
          <w:sz w:val="18"/>
          <w:szCs w:val="18"/>
        </w:rPr>
      </w:pPr>
    </w:p>
  </w:footnote>
  <w:footnote w:id="5">
    <w:p w14:paraId="1381D37D" w14:textId="77777777" w:rsidR="00675ADC" w:rsidRPr="00DE0BFC" w:rsidRDefault="00675ADC" w:rsidP="00DE0BFC">
      <w:pPr>
        <w:pStyle w:val="Textonotapie"/>
        <w:ind w:firstLine="708"/>
        <w:contextualSpacing/>
        <w:jc w:val="both"/>
        <w:rPr>
          <w:rFonts w:ascii="Arial" w:hAnsi="Arial" w:cs="Arial"/>
          <w:color w:val="000000"/>
          <w:sz w:val="18"/>
          <w:szCs w:val="18"/>
        </w:rPr>
      </w:pPr>
      <w:r w:rsidRPr="00DE0BFC">
        <w:rPr>
          <w:rStyle w:val="Refdenotaalpie"/>
          <w:rFonts w:ascii="Arial" w:hAnsi="Arial" w:cs="Arial"/>
          <w:color w:val="000000"/>
          <w:sz w:val="18"/>
          <w:szCs w:val="18"/>
        </w:rPr>
        <w:footnoteRef/>
      </w:r>
      <w:r w:rsidRPr="00DE0BFC">
        <w:rPr>
          <w:rFonts w:ascii="Arial" w:hAnsi="Arial" w:cs="Arial"/>
          <w:color w:val="000000"/>
          <w:sz w:val="18"/>
          <w:szCs w:val="18"/>
        </w:rPr>
        <w:t xml:space="preserve"> «ARTÍCULO 1o. Modifíquese el artículo 4o de la Ley 1882 de 2018, el cual quedará así:</w:t>
      </w:r>
    </w:p>
    <w:p w14:paraId="769B28FD" w14:textId="77777777" w:rsidR="00675ADC" w:rsidRPr="00DE0BFC" w:rsidRDefault="00675ADC" w:rsidP="00DE0BFC">
      <w:pPr>
        <w:pStyle w:val="Textonotapie"/>
        <w:ind w:firstLine="708"/>
        <w:contextualSpacing/>
        <w:jc w:val="both"/>
        <w:rPr>
          <w:rFonts w:ascii="Arial" w:hAnsi="Arial" w:cs="Arial"/>
          <w:color w:val="000000"/>
          <w:sz w:val="18"/>
          <w:szCs w:val="18"/>
        </w:rPr>
      </w:pPr>
      <w:r w:rsidRPr="00DE0BFC">
        <w:rPr>
          <w:rFonts w:ascii="Arial" w:hAnsi="Arial" w:cs="Arial"/>
          <w:color w:val="000000"/>
          <w:sz w:val="18"/>
          <w:szCs w:val="18"/>
        </w:rPr>
        <w:t>»Artículo 4o. Adiciónese el siguiente parágrafo al artículo 2o de la Ley 1150 de 2007.</w:t>
      </w:r>
    </w:p>
    <w:p w14:paraId="39807629" w14:textId="77777777" w:rsidR="00675ADC" w:rsidRPr="00DE0BFC" w:rsidRDefault="00675ADC" w:rsidP="00DE0BFC">
      <w:pPr>
        <w:pStyle w:val="Textonotapie"/>
        <w:ind w:firstLine="708"/>
        <w:contextualSpacing/>
        <w:jc w:val="both"/>
        <w:rPr>
          <w:rFonts w:ascii="Arial" w:hAnsi="Arial" w:cs="Arial"/>
          <w:color w:val="000000"/>
          <w:sz w:val="18"/>
          <w:szCs w:val="18"/>
        </w:rPr>
      </w:pPr>
      <w:r w:rsidRPr="00DE0BFC">
        <w:rPr>
          <w:rFonts w:ascii="Arial" w:hAnsi="Arial" w:cs="Arial"/>
          <w:color w:val="000000"/>
          <w:sz w:val="18"/>
          <w:szCs w:val="18"/>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1041CD4D" w14:textId="77777777" w:rsidR="00675ADC" w:rsidRPr="00DE0BFC" w:rsidRDefault="00675ADC" w:rsidP="00DE0BFC">
      <w:pPr>
        <w:pStyle w:val="Textonotapie"/>
        <w:ind w:firstLine="708"/>
        <w:contextualSpacing/>
        <w:jc w:val="both"/>
        <w:rPr>
          <w:rFonts w:ascii="Arial" w:hAnsi="Arial" w:cs="Arial"/>
          <w:color w:val="000000"/>
          <w:sz w:val="18"/>
          <w:szCs w:val="18"/>
        </w:rPr>
      </w:pPr>
      <w:r w:rsidRPr="00DE0BFC">
        <w:rPr>
          <w:rFonts w:ascii="Arial" w:hAnsi="Arial" w:cs="Arial"/>
          <w:color w:val="000000"/>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76DC49C" w14:textId="77777777" w:rsidR="00675ADC" w:rsidRPr="00DE0BFC" w:rsidRDefault="00675ADC" w:rsidP="00DE0BFC">
      <w:pPr>
        <w:pStyle w:val="Textonotapie"/>
        <w:ind w:firstLine="708"/>
        <w:contextualSpacing/>
        <w:jc w:val="both"/>
        <w:rPr>
          <w:rFonts w:ascii="Arial" w:hAnsi="Arial" w:cs="Arial"/>
          <w:color w:val="000000"/>
          <w:sz w:val="18"/>
          <w:szCs w:val="18"/>
        </w:rPr>
      </w:pPr>
      <w:r w:rsidRPr="00DE0BFC">
        <w:rPr>
          <w:rFonts w:ascii="Arial" w:hAnsi="Arial" w:cs="Arial"/>
          <w:color w:val="000000"/>
          <w:sz w:val="18"/>
          <w:szCs w:val="18"/>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591C7301" w14:textId="77777777" w:rsidR="00675ADC" w:rsidRPr="00DE0BFC" w:rsidRDefault="00675ADC" w:rsidP="00DE0BFC">
      <w:pPr>
        <w:pStyle w:val="Textonotapie"/>
        <w:ind w:firstLine="708"/>
        <w:contextualSpacing/>
        <w:jc w:val="both"/>
        <w:rPr>
          <w:rFonts w:ascii="Arial" w:hAnsi="Arial" w:cs="Arial"/>
          <w:color w:val="000000"/>
          <w:sz w:val="18"/>
          <w:szCs w:val="18"/>
        </w:rPr>
      </w:pPr>
      <w:r w:rsidRPr="00DE0BFC">
        <w:rPr>
          <w:rFonts w:ascii="Arial" w:hAnsi="Arial" w:cs="Arial"/>
          <w:color w:val="000000"/>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3374E181" w14:textId="77777777" w:rsidR="00675ADC" w:rsidRPr="00DE0BFC" w:rsidRDefault="00675ADC" w:rsidP="00DE0BFC">
      <w:pPr>
        <w:pStyle w:val="Textonotapie"/>
        <w:ind w:firstLine="708"/>
        <w:contextualSpacing/>
        <w:jc w:val="both"/>
        <w:rPr>
          <w:rFonts w:ascii="Arial" w:hAnsi="Arial" w:cs="Arial"/>
          <w:color w:val="000000"/>
          <w:sz w:val="18"/>
          <w:szCs w:val="18"/>
          <w:lang w:val="es-CO"/>
        </w:rPr>
      </w:pPr>
      <w:r w:rsidRPr="00DE0BFC">
        <w:rPr>
          <w:rFonts w:ascii="Arial" w:hAnsi="Arial" w:cs="Arial"/>
          <w:color w:val="000000"/>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2AC6386D" w14:textId="77777777" w:rsidR="00675170" w:rsidRPr="008338E8" w:rsidRDefault="00675170" w:rsidP="00675170">
      <w:pPr>
        <w:pStyle w:val="Textonotapie"/>
        <w:ind w:firstLine="709"/>
        <w:contextualSpacing/>
        <w:jc w:val="both"/>
        <w:rPr>
          <w:rFonts w:ascii="Arial" w:hAnsi="Arial" w:cs="Arial"/>
          <w:sz w:val="18"/>
          <w:szCs w:val="18"/>
          <w:lang w:val="es-ES"/>
        </w:rPr>
      </w:pPr>
      <w:r w:rsidRPr="008338E8">
        <w:rPr>
          <w:rStyle w:val="Refdenotaalpie"/>
          <w:rFonts w:ascii="Arial" w:hAnsi="Arial" w:cs="Arial"/>
          <w:sz w:val="18"/>
          <w:szCs w:val="18"/>
        </w:rPr>
        <w:footnoteRef/>
      </w:r>
      <w:r w:rsidRPr="008338E8">
        <w:rPr>
          <w:rFonts w:ascii="Arial" w:hAnsi="Arial" w:cs="Arial"/>
          <w:sz w:val="18"/>
          <w:szCs w:val="18"/>
        </w:rPr>
        <w:t xml:space="preserve"> </w:t>
      </w:r>
      <w:r w:rsidRPr="008338E8">
        <w:rPr>
          <w:rFonts w:ascii="Arial" w:hAnsi="Arial" w:cs="Arial"/>
          <w:sz w:val="18"/>
          <w:szCs w:val="18"/>
          <w:lang w:val="es-ES"/>
        </w:rPr>
        <w:t>En cuanto a las resoluciones vigentes, dicha regla se observa en el artículo 3 de las Resoluciones 240 de 2020, 241 de 2020, 248 de 2020, 249 de 2020, 269 de 2020, 219 de 2021, 392 de 2021, 454 de 2021, entre otras, así como lo dispuesto en el artículo 2 de la Resolución 094 de 2020.</w:t>
      </w:r>
    </w:p>
    <w:p w14:paraId="116F777B" w14:textId="77777777" w:rsidR="00675170" w:rsidRPr="008338E8" w:rsidRDefault="00675170" w:rsidP="00675170">
      <w:pPr>
        <w:pStyle w:val="Textonotapie"/>
        <w:ind w:firstLine="709"/>
        <w:contextualSpacing/>
        <w:jc w:val="both"/>
        <w:rPr>
          <w:rFonts w:ascii="Arial" w:hAnsi="Arial" w:cs="Arial"/>
          <w:sz w:val="18"/>
          <w:szCs w:val="18"/>
          <w:lang w:val="es-ES"/>
        </w:rPr>
      </w:pPr>
    </w:p>
  </w:footnote>
  <w:footnote w:id="7">
    <w:p w14:paraId="1F11581E" w14:textId="26A311B9" w:rsidR="00D61DBE" w:rsidRPr="008338E8" w:rsidRDefault="00D61DBE" w:rsidP="00DE0BFC">
      <w:pPr>
        <w:pStyle w:val="Textonotapie"/>
        <w:ind w:firstLine="709"/>
        <w:contextualSpacing/>
        <w:jc w:val="both"/>
        <w:rPr>
          <w:rFonts w:ascii="Arial" w:hAnsi="Arial" w:cs="Arial"/>
          <w:sz w:val="18"/>
          <w:szCs w:val="18"/>
        </w:rPr>
      </w:pPr>
      <w:r w:rsidRPr="008338E8">
        <w:rPr>
          <w:rStyle w:val="Refdenotaalpie"/>
          <w:rFonts w:ascii="Arial" w:hAnsi="Arial" w:cs="Arial"/>
          <w:sz w:val="18"/>
          <w:szCs w:val="18"/>
        </w:rPr>
        <w:footnoteRef/>
      </w:r>
      <w:r w:rsidRPr="008338E8">
        <w:rPr>
          <w:rFonts w:ascii="Arial" w:hAnsi="Arial" w:cs="Arial"/>
          <w:sz w:val="18"/>
          <w:szCs w:val="18"/>
        </w:rPr>
        <w:t xml:space="preserve"> En torno a las potestades regladas, García de Enterría y Fernández manifiestan: «El ejercicio de las </w:t>
      </w:r>
      <w:r w:rsidR="00675170" w:rsidRPr="008338E8">
        <w:rPr>
          <w:rFonts w:ascii="Arial" w:hAnsi="Arial" w:cs="Arial"/>
          <w:sz w:val="18"/>
          <w:szCs w:val="18"/>
        </w:rPr>
        <w:t>potestades</w:t>
      </w:r>
      <w:r w:rsidRPr="008338E8">
        <w:rPr>
          <w:rFonts w:ascii="Arial" w:hAnsi="Arial" w:cs="Arial"/>
          <w:sz w:val="18"/>
          <w:szCs w:val="18"/>
        </w:rPr>
        <w:t xml:space="preserve"> regladas reduce a la Administración a la constatación (accertamento, en el expresivo concepto italiano) del supuesto de hecho legalmente definido de manera completa y aplicar en presencia del mismo lo que la propia Ley ha determinado también agotadoramente […] La decisión en que consista el ejercicio de la potestad es obligatoria en presencia de dicho supuesto y su contenido no puede ser configurado libremente por la Administración, sino que ha de limitarse a lo que la propia Ley ha previsto sobre ese contenido de modo preciso y completo» (GARCÍA DE ENTERRÍA, Eduardo; y FERNÁNDEZ, Tomás-Ramón. Curso de derecho administrativo. Tomo I. Madrid: Civitas, 1997. pp. 444-445)</w:t>
      </w:r>
    </w:p>
    <w:p w14:paraId="776E4785" w14:textId="77777777" w:rsidR="00D61DBE" w:rsidRPr="008338E8" w:rsidRDefault="00D61DBE" w:rsidP="00DE0BFC">
      <w:pPr>
        <w:pStyle w:val="Textonotapie"/>
        <w:ind w:firstLine="709"/>
        <w:contextualSpacing/>
        <w:jc w:val="both"/>
        <w:rPr>
          <w:rFonts w:ascii="Arial" w:hAnsi="Arial" w:cs="Arial"/>
          <w:sz w:val="18"/>
          <w:szCs w:val="18"/>
        </w:rPr>
      </w:pPr>
    </w:p>
  </w:footnote>
  <w:footnote w:id="8">
    <w:p w14:paraId="5CBAA43D" w14:textId="77777777" w:rsidR="00D61DBE" w:rsidRPr="008338E8" w:rsidRDefault="00D61DBE" w:rsidP="00DE0BFC">
      <w:pPr>
        <w:pStyle w:val="Textonotapie"/>
        <w:ind w:firstLine="709"/>
        <w:contextualSpacing/>
        <w:jc w:val="both"/>
        <w:rPr>
          <w:rFonts w:ascii="Arial" w:hAnsi="Arial" w:cs="Arial"/>
          <w:sz w:val="18"/>
          <w:szCs w:val="18"/>
        </w:rPr>
      </w:pPr>
      <w:r w:rsidRPr="008338E8">
        <w:rPr>
          <w:rStyle w:val="Refdenotaalpie"/>
          <w:rFonts w:ascii="Arial" w:hAnsi="Arial" w:cs="Arial"/>
          <w:sz w:val="18"/>
          <w:szCs w:val="18"/>
        </w:rPr>
        <w:footnoteRef/>
      </w:r>
      <w:r w:rsidRPr="008338E8">
        <w:rPr>
          <w:rFonts w:ascii="Arial" w:hAnsi="Arial" w:cs="Arial"/>
          <w:sz w:val="18"/>
          <w:szCs w:val="18"/>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7F3B99CA" w14:textId="77777777" w:rsidR="00D61DBE" w:rsidRPr="008338E8" w:rsidRDefault="00D61DBE" w:rsidP="00DE0BFC">
      <w:pPr>
        <w:pStyle w:val="Textonotapie"/>
        <w:ind w:firstLine="709"/>
        <w:contextualSpacing/>
        <w:jc w:val="both"/>
        <w:rPr>
          <w:rFonts w:ascii="Arial" w:hAnsi="Arial" w:cs="Arial"/>
          <w:sz w:val="18"/>
          <w:szCs w:val="18"/>
        </w:rPr>
      </w:pPr>
    </w:p>
  </w:footnote>
  <w:footnote w:id="9">
    <w:p w14:paraId="2C87CE39" w14:textId="77777777" w:rsidR="00D61DBE" w:rsidRPr="008338E8" w:rsidRDefault="00D61DBE" w:rsidP="00DE0BFC">
      <w:pPr>
        <w:spacing w:after="0" w:line="240" w:lineRule="auto"/>
        <w:ind w:firstLine="709"/>
        <w:contextualSpacing/>
        <w:jc w:val="both"/>
        <w:rPr>
          <w:rFonts w:ascii="Arial" w:hAnsi="Arial" w:cs="Arial"/>
          <w:sz w:val="18"/>
          <w:szCs w:val="18"/>
          <w:lang w:val="es-ES"/>
        </w:rPr>
      </w:pPr>
      <w:r w:rsidRPr="008338E8">
        <w:rPr>
          <w:rStyle w:val="Refdenotaalpie"/>
          <w:rFonts w:ascii="Arial" w:hAnsi="Arial" w:cs="Arial"/>
          <w:sz w:val="18"/>
          <w:szCs w:val="18"/>
        </w:rPr>
        <w:footnoteRef/>
      </w:r>
      <w:r w:rsidRPr="008338E8">
        <w:rPr>
          <w:rFonts w:ascii="Arial" w:hAnsi="Arial" w:cs="Arial"/>
          <w:sz w:val="18"/>
          <w:szCs w:val="18"/>
        </w:rPr>
        <w:t xml:space="preserve"> </w:t>
      </w:r>
      <w:r w:rsidRPr="008338E8">
        <w:rPr>
          <w:rFonts w:ascii="Arial" w:hAnsi="Arial" w:cs="Arial"/>
          <w:sz w:val="18"/>
          <w:szCs w:val="18"/>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70FF33A6" w14:textId="77777777" w:rsidR="00D61DBE" w:rsidRPr="008338E8" w:rsidRDefault="00D61DBE" w:rsidP="00DE0BFC">
      <w:pPr>
        <w:spacing w:after="0" w:line="240" w:lineRule="auto"/>
        <w:ind w:firstLine="709"/>
        <w:contextualSpacing/>
        <w:jc w:val="both"/>
        <w:rPr>
          <w:rFonts w:ascii="Arial" w:hAnsi="Arial" w:cs="Arial"/>
          <w:sz w:val="18"/>
          <w:szCs w:val="18"/>
          <w:lang w:val="es-ES"/>
        </w:rPr>
      </w:pPr>
    </w:p>
  </w:footnote>
  <w:footnote w:id="10">
    <w:p w14:paraId="02422036" w14:textId="77777777" w:rsidR="00A816B5" w:rsidRPr="00DE0BFC" w:rsidRDefault="00A816B5" w:rsidP="00DE0BFC">
      <w:pPr>
        <w:pStyle w:val="Textonotapie"/>
        <w:ind w:firstLine="708"/>
        <w:contextualSpacing/>
        <w:jc w:val="both"/>
        <w:rPr>
          <w:rFonts w:ascii="Arial" w:hAnsi="Arial" w:cs="Arial"/>
          <w:color w:val="000000"/>
          <w:sz w:val="18"/>
          <w:szCs w:val="18"/>
        </w:rPr>
      </w:pPr>
      <w:r w:rsidRPr="00DE0BFC">
        <w:rPr>
          <w:rStyle w:val="Refdenotaalpie"/>
          <w:rFonts w:ascii="Arial" w:hAnsi="Arial" w:cs="Arial"/>
          <w:color w:val="000000"/>
          <w:sz w:val="18"/>
          <w:szCs w:val="18"/>
        </w:rPr>
        <w:footnoteRef/>
      </w:r>
      <w:r w:rsidRPr="00DE0BFC">
        <w:rPr>
          <w:rFonts w:ascii="Arial" w:hAnsi="Arial" w:cs="Arial"/>
          <w:color w:val="000000"/>
          <w:sz w:val="18"/>
          <w:szCs w:val="18"/>
        </w:rPr>
        <w:t xml:space="preserve"> BANCO DE LA REPÚBLICA. Circular Reglamentaria Externa – DOAM- 146 de 4 de noviembre de 2020. </w:t>
      </w:r>
    </w:p>
    <w:p w14:paraId="3DDA7582" w14:textId="77777777" w:rsidR="00A816B5" w:rsidRPr="00DE0BFC" w:rsidRDefault="00A816B5" w:rsidP="00DE0BFC">
      <w:pPr>
        <w:pStyle w:val="Textonotapie"/>
        <w:ind w:firstLine="708"/>
        <w:contextualSpacing/>
        <w:jc w:val="both"/>
        <w:rPr>
          <w:rFonts w:ascii="Arial" w:hAnsi="Arial" w:cs="Arial"/>
          <w:color w:val="000000"/>
          <w:sz w:val="18"/>
          <w:szCs w:val="18"/>
        </w:rPr>
      </w:pPr>
    </w:p>
  </w:footnote>
  <w:footnote w:id="11">
    <w:p w14:paraId="00DAD76C" w14:textId="77777777" w:rsidR="00A816B5" w:rsidRPr="00DE0BFC" w:rsidRDefault="00A816B5" w:rsidP="00DE0BFC">
      <w:pPr>
        <w:pStyle w:val="Textonotapie"/>
        <w:ind w:firstLine="708"/>
        <w:contextualSpacing/>
        <w:jc w:val="both"/>
        <w:rPr>
          <w:rFonts w:ascii="Arial" w:hAnsi="Arial" w:cs="Arial"/>
          <w:color w:val="000000"/>
          <w:sz w:val="18"/>
          <w:szCs w:val="18"/>
        </w:rPr>
      </w:pPr>
      <w:r w:rsidRPr="00DE0BFC">
        <w:rPr>
          <w:rStyle w:val="Refdenotaalpie"/>
          <w:rFonts w:ascii="Arial" w:hAnsi="Arial" w:cs="Arial"/>
          <w:color w:val="000000"/>
          <w:sz w:val="18"/>
          <w:szCs w:val="18"/>
        </w:rPr>
        <w:footnoteRef/>
      </w:r>
      <w:r w:rsidRPr="00DE0BFC">
        <w:rPr>
          <w:rFonts w:ascii="Arial" w:hAnsi="Arial" w:cs="Arial"/>
          <w:color w:val="000000"/>
          <w:sz w:val="18"/>
          <w:szCs w:val="18"/>
        </w:rPr>
        <w:t xml:space="preserve"> BANCO DE LA REPÚBLICA. Disponible en línea: </w:t>
      </w:r>
      <w:hyperlink r:id="rId2" w:history="1">
        <w:r w:rsidRPr="00DE0BFC">
          <w:rPr>
            <w:rStyle w:val="Hipervnculo1"/>
            <w:rFonts w:ascii="Arial" w:hAnsi="Arial" w:cs="Arial"/>
            <w:color w:val="000000"/>
            <w:sz w:val="18"/>
            <w:szCs w:val="18"/>
          </w:rPr>
          <w:t>https://www.banrep.gov.co/es/estadisticas/trm</w:t>
        </w:r>
      </w:hyperlink>
      <w:r w:rsidRPr="00DE0BFC">
        <w:rPr>
          <w:rStyle w:val="Hipervnculo1"/>
          <w:rFonts w:ascii="Arial" w:hAnsi="Arial" w:cs="Arial"/>
          <w:color w:val="000000"/>
          <w:sz w:val="18"/>
          <w:szCs w:val="18"/>
        </w:rPr>
        <w:t xml:space="preserve">. Consultado el 3 de diciembre de 2021. </w:t>
      </w:r>
      <w:r w:rsidRPr="00DE0BFC">
        <w:rPr>
          <w:rFonts w:ascii="Arial" w:hAnsi="Arial" w:cs="Arial"/>
          <w:color w:val="000000"/>
          <w:sz w:val="18"/>
          <w:szCs w:val="18"/>
        </w:rPr>
        <w:t xml:space="preserve"> </w:t>
      </w:r>
    </w:p>
  </w:footnote>
  <w:footnote w:id="12">
    <w:p w14:paraId="11FC4B12" w14:textId="77664525" w:rsidR="00D64972" w:rsidRDefault="00D64972" w:rsidP="00DE0BFC">
      <w:pPr>
        <w:pStyle w:val="Textonotapie"/>
        <w:ind w:firstLine="708"/>
      </w:pPr>
      <w:r>
        <w:rPr>
          <w:rStyle w:val="Refdenotaalpie"/>
        </w:rPr>
        <w:footnoteRef/>
      </w:r>
      <w:r>
        <w:t xml:space="preserve"> Ley 80 de 1993. Artículo 25, numeral 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087B" w14:textId="77777777" w:rsidR="004E7843" w:rsidRDefault="004E78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4672" w14:textId="77777777" w:rsidR="008851A6" w:rsidRPr="007566FE" w:rsidRDefault="008851A6" w:rsidP="008851A6">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9264" behindDoc="1" locked="0" layoutInCell="1" hidden="0" allowOverlap="1" wp14:anchorId="234D3928" wp14:editId="649676F7">
          <wp:simplePos x="0" y="0"/>
          <wp:positionH relativeFrom="margin">
            <wp:align>right</wp:align>
          </wp:positionH>
          <wp:positionV relativeFrom="paragraph">
            <wp:posOffset>-80564</wp:posOffset>
          </wp:positionV>
          <wp:extent cx="1657350" cy="676275"/>
          <wp:effectExtent l="0" t="0" r="0" b="9525"/>
          <wp:wrapNone/>
          <wp:docPr id="1"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0F8C808C" w14:textId="77777777" w:rsidR="008851A6" w:rsidRPr="007566FE" w:rsidRDefault="008851A6" w:rsidP="008851A6">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1C2C3B86" w14:textId="77777777" w:rsidR="008851A6" w:rsidRDefault="008851A6" w:rsidP="008851A6">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7B5ECDD9" wp14:editId="7F0C0227">
          <wp:simplePos x="0" y="0"/>
          <wp:positionH relativeFrom="margin">
            <wp:align>left</wp:align>
          </wp:positionH>
          <wp:positionV relativeFrom="paragraph">
            <wp:posOffset>141605</wp:posOffset>
          </wp:positionV>
          <wp:extent cx="3238500" cy="76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1457B436" w14:textId="77777777" w:rsidR="009D1F74" w:rsidRDefault="009D1F7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579F" w14:textId="77777777" w:rsidR="004E7843" w:rsidRDefault="004E78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FED"/>
    <w:multiLevelType w:val="hybridMultilevel"/>
    <w:tmpl w:val="17B270D8"/>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C06310"/>
    <w:multiLevelType w:val="multilevel"/>
    <w:tmpl w:val="923CB4E6"/>
    <w:lvl w:ilvl="0">
      <w:start w:val="1"/>
      <w:numFmt w:val="decimal"/>
      <w:lvlText w:val="%1."/>
      <w:lvlJc w:val="left"/>
      <w:pPr>
        <w:ind w:left="6241" w:hanging="360"/>
      </w:pPr>
      <w:rPr>
        <w:b/>
        <w:color w:val="auto"/>
      </w:rPr>
    </w:lvl>
    <w:lvl w:ilvl="1">
      <w:start w:val="2"/>
      <w:numFmt w:val="decimal"/>
      <w:isLgl/>
      <w:lvlText w:val="%1.%2"/>
      <w:lvlJc w:val="left"/>
      <w:pPr>
        <w:ind w:left="5881" w:hanging="360"/>
      </w:pPr>
    </w:lvl>
    <w:lvl w:ilvl="2">
      <w:start w:val="1"/>
      <w:numFmt w:val="decimal"/>
      <w:isLgl/>
      <w:lvlText w:val="%1.%2.%3"/>
      <w:lvlJc w:val="left"/>
      <w:pPr>
        <w:ind w:left="6601" w:hanging="720"/>
      </w:pPr>
    </w:lvl>
    <w:lvl w:ilvl="3">
      <w:start w:val="1"/>
      <w:numFmt w:val="decimal"/>
      <w:isLgl/>
      <w:lvlText w:val="%1.%2.%3.%4"/>
      <w:lvlJc w:val="left"/>
      <w:pPr>
        <w:ind w:left="6601" w:hanging="720"/>
      </w:pPr>
    </w:lvl>
    <w:lvl w:ilvl="4">
      <w:start w:val="1"/>
      <w:numFmt w:val="decimal"/>
      <w:isLgl/>
      <w:lvlText w:val="%1.%2.%3.%4.%5"/>
      <w:lvlJc w:val="left"/>
      <w:pPr>
        <w:ind w:left="6961" w:hanging="1080"/>
      </w:pPr>
    </w:lvl>
    <w:lvl w:ilvl="5">
      <w:start w:val="1"/>
      <w:numFmt w:val="decimal"/>
      <w:isLgl/>
      <w:lvlText w:val="%1.%2.%3.%4.%5.%6"/>
      <w:lvlJc w:val="left"/>
      <w:pPr>
        <w:ind w:left="6961" w:hanging="1080"/>
      </w:pPr>
    </w:lvl>
    <w:lvl w:ilvl="6">
      <w:start w:val="1"/>
      <w:numFmt w:val="decimal"/>
      <w:isLgl/>
      <w:lvlText w:val="%1.%2.%3.%4.%5.%6.%7"/>
      <w:lvlJc w:val="left"/>
      <w:pPr>
        <w:ind w:left="7321" w:hanging="1440"/>
      </w:pPr>
    </w:lvl>
    <w:lvl w:ilvl="7">
      <w:start w:val="1"/>
      <w:numFmt w:val="decimal"/>
      <w:isLgl/>
      <w:lvlText w:val="%1.%2.%3.%4.%5.%6.%7.%8"/>
      <w:lvlJc w:val="left"/>
      <w:pPr>
        <w:ind w:left="7321" w:hanging="1440"/>
      </w:pPr>
    </w:lvl>
    <w:lvl w:ilvl="8">
      <w:start w:val="1"/>
      <w:numFmt w:val="decimal"/>
      <w:isLgl/>
      <w:lvlText w:val="%1.%2.%3.%4.%5.%6.%7.%8.%9"/>
      <w:lvlJc w:val="left"/>
      <w:pPr>
        <w:ind w:left="7681" w:hanging="1800"/>
      </w:pPr>
    </w:lvl>
  </w:abstractNum>
  <w:abstractNum w:abstractNumId="2" w15:restartNumberingAfterBreak="0">
    <w:nsid w:val="10E2574C"/>
    <w:multiLevelType w:val="hybridMultilevel"/>
    <w:tmpl w:val="77101136"/>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016FFA"/>
    <w:multiLevelType w:val="hybridMultilevel"/>
    <w:tmpl w:val="76980B5C"/>
    <w:lvl w:ilvl="0" w:tplc="45F0579C">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382DC4"/>
    <w:multiLevelType w:val="hybridMultilevel"/>
    <w:tmpl w:val="E2EAAFB4"/>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812437C"/>
    <w:multiLevelType w:val="hybridMultilevel"/>
    <w:tmpl w:val="6EB0EDD8"/>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F5371AE"/>
    <w:multiLevelType w:val="hybridMultilevel"/>
    <w:tmpl w:val="F88CA0EC"/>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A0C4E2E"/>
    <w:multiLevelType w:val="hybridMultilevel"/>
    <w:tmpl w:val="B7666588"/>
    <w:lvl w:ilvl="0" w:tplc="C8DE6E8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5DF36F1B"/>
    <w:multiLevelType w:val="hybridMultilevel"/>
    <w:tmpl w:val="8096864C"/>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0C3BE4"/>
    <w:multiLevelType w:val="hybridMultilevel"/>
    <w:tmpl w:val="B9F0D03C"/>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FA77192"/>
    <w:multiLevelType w:val="hybridMultilevel"/>
    <w:tmpl w:val="356E03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7534534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299110">
    <w:abstractNumId w:val="10"/>
  </w:num>
  <w:num w:numId="3" w16cid:durableId="1889147114">
    <w:abstractNumId w:val="7"/>
  </w:num>
  <w:num w:numId="4" w16cid:durableId="1351224235">
    <w:abstractNumId w:val="3"/>
  </w:num>
  <w:num w:numId="5" w16cid:durableId="1454521597">
    <w:abstractNumId w:val="2"/>
  </w:num>
  <w:num w:numId="6" w16cid:durableId="1942688834">
    <w:abstractNumId w:val="8"/>
  </w:num>
  <w:num w:numId="7" w16cid:durableId="1441418177">
    <w:abstractNumId w:val="6"/>
  </w:num>
  <w:num w:numId="8" w16cid:durableId="1888030835">
    <w:abstractNumId w:val="0"/>
  </w:num>
  <w:num w:numId="9" w16cid:durableId="792289858">
    <w:abstractNumId w:val="4"/>
  </w:num>
  <w:num w:numId="10" w16cid:durableId="1437754254">
    <w:abstractNumId w:val="5"/>
  </w:num>
  <w:num w:numId="11" w16cid:durableId="181624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12"/>
    <w:rsid w:val="0000026C"/>
    <w:rsid w:val="000002B7"/>
    <w:rsid w:val="00001CF7"/>
    <w:rsid w:val="000054EA"/>
    <w:rsid w:val="000142B7"/>
    <w:rsid w:val="00021AEC"/>
    <w:rsid w:val="0002601B"/>
    <w:rsid w:val="00026DB6"/>
    <w:rsid w:val="0003122A"/>
    <w:rsid w:val="000352B5"/>
    <w:rsid w:val="00036B56"/>
    <w:rsid w:val="00037141"/>
    <w:rsid w:val="00047EBA"/>
    <w:rsid w:val="00054D2B"/>
    <w:rsid w:val="0006447D"/>
    <w:rsid w:val="0007244D"/>
    <w:rsid w:val="00077074"/>
    <w:rsid w:val="000810A1"/>
    <w:rsid w:val="00086567"/>
    <w:rsid w:val="000A2A9C"/>
    <w:rsid w:val="000B4D44"/>
    <w:rsid w:val="000B5840"/>
    <w:rsid w:val="000C26EB"/>
    <w:rsid w:val="000C5AE5"/>
    <w:rsid w:val="000E59B7"/>
    <w:rsid w:val="000F2E04"/>
    <w:rsid w:val="000F631A"/>
    <w:rsid w:val="00105B49"/>
    <w:rsid w:val="00110F0A"/>
    <w:rsid w:val="00112069"/>
    <w:rsid w:val="001175DA"/>
    <w:rsid w:val="00123FAE"/>
    <w:rsid w:val="001426E9"/>
    <w:rsid w:val="001453AF"/>
    <w:rsid w:val="00146156"/>
    <w:rsid w:val="001537EE"/>
    <w:rsid w:val="0016016F"/>
    <w:rsid w:val="00165A36"/>
    <w:rsid w:val="00175F6D"/>
    <w:rsid w:val="00177B0A"/>
    <w:rsid w:val="001852B2"/>
    <w:rsid w:val="00192926"/>
    <w:rsid w:val="00195A38"/>
    <w:rsid w:val="001A425D"/>
    <w:rsid w:val="001A4386"/>
    <w:rsid w:val="001B1BC6"/>
    <w:rsid w:val="001B4C74"/>
    <w:rsid w:val="001C4260"/>
    <w:rsid w:val="001C57B7"/>
    <w:rsid w:val="001C60F0"/>
    <w:rsid w:val="001D267C"/>
    <w:rsid w:val="001D42A2"/>
    <w:rsid w:val="001D6996"/>
    <w:rsid w:val="001E05DE"/>
    <w:rsid w:val="001F2548"/>
    <w:rsid w:val="0020741B"/>
    <w:rsid w:val="0021776D"/>
    <w:rsid w:val="00230B29"/>
    <w:rsid w:val="002368E5"/>
    <w:rsid w:val="002430E1"/>
    <w:rsid w:val="002539AB"/>
    <w:rsid w:val="00253D26"/>
    <w:rsid w:val="00254BD5"/>
    <w:rsid w:val="00264DBF"/>
    <w:rsid w:val="00267C2C"/>
    <w:rsid w:val="0027255E"/>
    <w:rsid w:val="0027706B"/>
    <w:rsid w:val="002812CC"/>
    <w:rsid w:val="002833CC"/>
    <w:rsid w:val="00286D86"/>
    <w:rsid w:val="00286EBB"/>
    <w:rsid w:val="002A0D70"/>
    <w:rsid w:val="002A49DA"/>
    <w:rsid w:val="002A6137"/>
    <w:rsid w:val="002A77F3"/>
    <w:rsid w:val="002B75F8"/>
    <w:rsid w:val="002C3FEC"/>
    <w:rsid w:val="002D1858"/>
    <w:rsid w:val="002D3ACF"/>
    <w:rsid w:val="002D56B4"/>
    <w:rsid w:val="002E6E05"/>
    <w:rsid w:val="002F305A"/>
    <w:rsid w:val="00312C2C"/>
    <w:rsid w:val="003255AD"/>
    <w:rsid w:val="00325C7F"/>
    <w:rsid w:val="00325E4D"/>
    <w:rsid w:val="003275FF"/>
    <w:rsid w:val="003321F9"/>
    <w:rsid w:val="0033224F"/>
    <w:rsid w:val="00340CA6"/>
    <w:rsid w:val="00342EC3"/>
    <w:rsid w:val="0034389E"/>
    <w:rsid w:val="00343A92"/>
    <w:rsid w:val="00345E68"/>
    <w:rsid w:val="0034733B"/>
    <w:rsid w:val="003500FE"/>
    <w:rsid w:val="003622D8"/>
    <w:rsid w:val="0037374E"/>
    <w:rsid w:val="0037490B"/>
    <w:rsid w:val="003772DC"/>
    <w:rsid w:val="00387064"/>
    <w:rsid w:val="003900C5"/>
    <w:rsid w:val="00393356"/>
    <w:rsid w:val="00397A2A"/>
    <w:rsid w:val="003A1D1C"/>
    <w:rsid w:val="003B32EA"/>
    <w:rsid w:val="003B461A"/>
    <w:rsid w:val="003B47A7"/>
    <w:rsid w:val="003C75CE"/>
    <w:rsid w:val="003D271E"/>
    <w:rsid w:val="003E002C"/>
    <w:rsid w:val="003F1149"/>
    <w:rsid w:val="003F13ED"/>
    <w:rsid w:val="003F22E7"/>
    <w:rsid w:val="003F595B"/>
    <w:rsid w:val="0040163D"/>
    <w:rsid w:val="00411E0D"/>
    <w:rsid w:val="0042354E"/>
    <w:rsid w:val="004264DA"/>
    <w:rsid w:val="00431CED"/>
    <w:rsid w:val="00435767"/>
    <w:rsid w:val="00436D2F"/>
    <w:rsid w:val="00444CAB"/>
    <w:rsid w:val="00452EE7"/>
    <w:rsid w:val="00455DC9"/>
    <w:rsid w:val="00456AA2"/>
    <w:rsid w:val="004636CF"/>
    <w:rsid w:val="00483796"/>
    <w:rsid w:val="004853B8"/>
    <w:rsid w:val="0049674A"/>
    <w:rsid w:val="004A064E"/>
    <w:rsid w:val="004A22C5"/>
    <w:rsid w:val="004A5C5F"/>
    <w:rsid w:val="004C1809"/>
    <w:rsid w:val="004C2569"/>
    <w:rsid w:val="004C332B"/>
    <w:rsid w:val="004D1732"/>
    <w:rsid w:val="004D2116"/>
    <w:rsid w:val="004D2BBA"/>
    <w:rsid w:val="004E7843"/>
    <w:rsid w:val="004F1AB5"/>
    <w:rsid w:val="005068C9"/>
    <w:rsid w:val="00515F3D"/>
    <w:rsid w:val="00516930"/>
    <w:rsid w:val="00520B4C"/>
    <w:rsid w:val="00524F9F"/>
    <w:rsid w:val="0053077A"/>
    <w:rsid w:val="00534B68"/>
    <w:rsid w:val="00536884"/>
    <w:rsid w:val="00536B67"/>
    <w:rsid w:val="0055101F"/>
    <w:rsid w:val="00551914"/>
    <w:rsid w:val="00551F4A"/>
    <w:rsid w:val="00556591"/>
    <w:rsid w:val="005614ED"/>
    <w:rsid w:val="0056202B"/>
    <w:rsid w:val="00564F48"/>
    <w:rsid w:val="0056577E"/>
    <w:rsid w:val="005701DB"/>
    <w:rsid w:val="0057064E"/>
    <w:rsid w:val="005A4912"/>
    <w:rsid w:val="005A79E0"/>
    <w:rsid w:val="005B43E8"/>
    <w:rsid w:val="005C4624"/>
    <w:rsid w:val="005E40F9"/>
    <w:rsid w:val="005E7BB2"/>
    <w:rsid w:val="005F3A02"/>
    <w:rsid w:val="005F454D"/>
    <w:rsid w:val="00601F06"/>
    <w:rsid w:val="0060575A"/>
    <w:rsid w:val="0060695D"/>
    <w:rsid w:val="00607DC1"/>
    <w:rsid w:val="0061413C"/>
    <w:rsid w:val="0063541B"/>
    <w:rsid w:val="00651D2F"/>
    <w:rsid w:val="00654044"/>
    <w:rsid w:val="00657E00"/>
    <w:rsid w:val="00662ABD"/>
    <w:rsid w:val="0066416F"/>
    <w:rsid w:val="00672697"/>
    <w:rsid w:val="006730BE"/>
    <w:rsid w:val="00675170"/>
    <w:rsid w:val="006757CF"/>
    <w:rsid w:val="00675ADC"/>
    <w:rsid w:val="006835FF"/>
    <w:rsid w:val="00687878"/>
    <w:rsid w:val="00690991"/>
    <w:rsid w:val="006910E0"/>
    <w:rsid w:val="006B1584"/>
    <w:rsid w:val="006B5B8C"/>
    <w:rsid w:val="006C4F41"/>
    <w:rsid w:val="006C5FEB"/>
    <w:rsid w:val="006D2F4B"/>
    <w:rsid w:val="006E20BA"/>
    <w:rsid w:val="006E448D"/>
    <w:rsid w:val="006F1671"/>
    <w:rsid w:val="006F2BB3"/>
    <w:rsid w:val="006F5D6D"/>
    <w:rsid w:val="006F70AD"/>
    <w:rsid w:val="0071577B"/>
    <w:rsid w:val="00721A08"/>
    <w:rsid w:val="007407E8"/>
    <w:rsid w:val="00747CF3"/>
    <w:rsid w:val="00747F4B"/>
    <w:rsid w:val="00750F32"/>
    <w:rsid w:val="00755936"/>
    <w:rsid w:val="00755FEA"/>
    <w:rsid w:val="007672C6"/>
    <w:rsid w:val="0077221B"/>
    <w:rsid w:val="00772FF0"/>
    <w:rsid w:val="00792508"/>
    <w:rsid w:val="00794CED"/>
    <w:rsid w:val="007A0959"/>
    <w:rsid w:val="007A6505"/>
    <w:rsid w:val="007C061E"/>
    <w:rsid w:val="007C0720"/>
    <w:rsid w:val="007C6077"/>
    <w:rsid w:val="007C6130"/>
    <w:rsid w:val="007D63D7"/>
    <w:rsid w:val="00806859"/>
    <w:rsid w:val="008074B8"/>
    <w:rsid w:val="00807697"/>
    <w:rsid w:val="0081518F"/>
    <w:rsid w:val="008157B8"/>
    <w:rsid w:val="00822ED6"/>
    <w:rsid w:val="00824E94"/>
    <w:rsid w:val="0082705E"/>
    <w:rsid w:val="00831BFC"/>
    <w:rsid w:val="008338E8"/>
    <w:rsid w:val="00835032"/>
    <w:rsid w:val="00837F63"/>
    <w:rsid w:val="00840EC8"/>
    <w:rsid w:val="008416BF"/>
    <w:rsid w:val="00842877"/>
    <w:rsid w:val="00843371"/>
    <w:rsid w:val="00845031"/>
    <w:rsid w:val="00853CC5"/>
    <w:rsid w:val="00880420"/>
    <w:rsid w:val="00880680"/>
    <w:rsid w:val="008830AD"/>
    <w:rsid w:val="008851A6"/>
    <w:rsid w:val="008938BC"/>
    <w:rsid w:val="00894883"/>
    <w:rsid w:val="008B6425"/>
    <w:rsid w:val="008C159F"/>
    <w:rsid w:val="008D116A"/>
    <w:rsid w:val="008D663D"/>
    <w:rsid w:val="0090274A"/>
    <w:rsid w:val="009035A1"/>
    <w:rsid w:val="00905323"/>
    <w:rsid w:val="00912C92"/>
    <w:rsid w:val="00914BBB"/>
    <w:rsid w:val="00920A92"/>
    <w:rsid w:val="009274F3"/>
    <w:rsid w:val="009334AA"/>
    <w:rsid w:val="00954D90"/>
    <w:rsid w:val="00955B43"/>
    <w:rsid w:val="00957A35"/>
    <w:rsid w:val="00963EE4"/>
    <w:rsid w:val="009675A7"/>
    <w:rsid w:val="0097608D"/>
    <w:rsid w:val="00980F7A"/>
    <w:rsid w:val="00983D80"/>
    <w:rsid w:val="00984FCC"/>
    <w:rsid w:val="00986225"/>
    <w:rsid w:val="00996769"/>
    <w:rsid w:val="009A3123"/>
    <w:rsid w:val="009A6C2B"/>
    <w:rsid w:val="009B3719"/>
    <w:rsid w:val="009B66A6"/>
    <w:rsid w:val="009C3187"/>
    <w:rsid w:val="009D0BD2"/>
    <w:rsid w:val="009D1F74"/>
    <w:rsid w:val="009E3CE2"/>
    <w:rsid w:val="009E474D"/>
    <w:rsid w:val="009F240F"/>
    <w:rsid w:val="009F2C37"/>
    <w:rsid w:val="00A01065"/>
    <w:rsid w:val="00A07FF2"/>
    <w:rsid w:val="00A1218D"/>
    <w:rsid w:val="00A12283"/>
    <w:rsid w:val="00A12A6D"/>
    <w:rsid w:val="00A24DFB"/>
    <w:rsid w:val="00A25DA1"/>
    <w:rsid w:val="00A317A2"/>
    <w:rsid w:val="00A32084"/>
    <w:rsid w:val="00A36171"/>
    <w:rsid w:val="00A43B30"/>
    <w:rsid w:val="00A45814"/>
    <w:rsid w:val="00A46048"/>
    <w:rsid w:val="00A47577"/>
    <w:rsid w:val="00A57ED8"/>
    <w:rsid w:val="00A71D1E"/>
    <w:rsid w:val="00A816B5"/>
    <w:rsid w:val="00A853CF"/>
    <w:rsid w:val="00A868D7"/>
    <w:rsid w:val="00A953D4"/>
    <w:rsid w:val="00A96776"/>
    <w:rsid w:val="00A96B4A"/>
    <w:rsid w:val="00AA0A04"/>
    <w:rsid w:val="00AB4338"/>
    <w:rsid w:val="00AC524D"/>
    <w:rsid w:val="00AC7E58"/>
    <w:rsid w:val="00AE0C88"/>
    <w:rsid w:val="00AE2AE5"/>
    <w:rsid w:val="00AE4600"/>
    <w:rsid w:val="00AE6E3B"/>
    <w:rsid w:val="00AF5124"/>
    <w:rsid w:val="00AF787F"/>
    <w:rsid w:val="00B066DE"/>
    <w:rsid w:val="00B06893"/>
    <w:rsid w:val="00B12A28"/>
    <w:rsid w:val="00B1721D"/>
    <w:rsid w:val="00B25B99"/>
    <w:rsid w:val="00B27947"/>
    <w:rsid w:val="00B30B3C"/>
    <w:rsid w:val="00B426CA"/>
    <w:rsid w:val="00B42C0F"/>
    <w:rsid w:val="00B44494"/>
    <w:rsid w:val="00B53303"/>
    <w:rsid w:val="00B53A32"/>
    <w:rsid w:val="00B56F17"/>
    <w:rsid w:val="00B6089D"/>
    <w:rsid w:val="00B64F6C"/>
    <w:rsid w:val="00B667FF"/>
    <w:rsid w:val="00B80C0E"/>
    <w:rsid w:val="00B810E3"/>
    <w:rsid w:val="00B81FB7"/>
    <w:rsid w:val="00B83754"/>
    <w:rsid w:val="00BA38ED"/>
    <w:rsid w:val="00BA7097"/>
    <w:rsid w:val="00BB1D3E"/>
    <w:rsid w:val="00BB3582"/>
    <w:rsid w:val="00BC1BE8"/>
    <w:rsid w:val="00BC6B45"/>
    <w:rsid w:val="00BC6CD4"/>
    <w:rsid w:val="00BC6FDB"/>
    <w:rsid w:val="00BD316B"/>
    <w:rsid w:val="00BD47E6"/>
    <w:rsid w:val="00BF1842"/>
    <w:rsid w:val="00C01BA5"/>
    <w:rsid w:val="00C0426A"/>
    <w:rsid w:val="00C145A1"/>
    <w:rsid w:val="00C1674B"/>
    <w:rsid w:val="00C2073F"/>
    <w:rsid w:val="00C23490"/>
    <w:rsid w:val="00C313A2"/>
    <w:rsid w:val="00C3208A"/>
    <w:rsid w:val="00C32F62"/>
    <w:rsid w:val="00C50EA6"/>
    <w:rsid w:val="00C50FBB"/>
    <w:rsid w:val="00C54615"/>
    <w:rsid w:val="00C5616F"/>
    <w:rsid w:val="00C5791E"/>
    <w:rsid w:val="00C65227"/>
    <w:rsid w:val="00C72ECC"/>
    <w:rsid w:val="00C7311B"/>
    <w:rsid w:val="00C9638C"/>
    <w:rsid w:val="00C97AA3"/>
    <w:rsid w:val="00CA7A63"/>
    <w:rsid w:val="00CB1503"/>
    <w:rsid w:val="00CB68F2"/>
    <w:rsid w:val="00CB772D"/>
    <w:rsid w:val="00CC3AD4"/>
    <w:rsid w:val="00CC53DD"/>
    <w:rsid w:val="00CC7571"/>
    <w:rsid w:val="00CD6CB7"/>
    <w:rsid w:val="00CE2717"/>
    <w:rsid w:val="00CE3AFC"/>
    <w:rsid w:val="00CF530B"/>
    <w:rsid w:val="00D010B7"/>
    <w:rsid w:val="00D03E11"/>
    <w:rsid w:val="00D05EEB"/>
    <w:rsid w:val="00D3097F"/>
    <w:rsid w:val="00D35D83"/>
    <w:rsid w:val="00D50E4A"/>
    <w:rsid w:val="00D51C48"/>
    <w:rsid w:val="00D5450B"/>
    <w:rsid w:val="00D5783D"/>
    <w:rsid w:val="00D60126"/>
    <w:rsid w:val="00D60BC0"/>
    <w:rsid w:val="00D61DBE"/>
    <w:rsid w:val="00D64972"/>
    <w:rsid w:val="00D90303"/>
    <w:rsid w:val="00DC7E8D"/>
    <w:rsid w:val="00DD01C8"/>
    <w:rsid w:val="00DD426F"/>
    <w:rsid w:val="00DE0BFC"/>
    <w:rsid w:val="00E02E01"/>
    <w:rsid w:val="00E17DFA"/>
    <w:rsid w:val="00E20C90"/>
    <w:rsid w:val="00E27A66"/>
    <w:rsid w:val="00E3205E"/>
    <w:rsid w:val="00E336DD"/>
    <w:rsid w:val="00E37AEE"/>
    <w:rsid w:val="00E41851"/>
    <w:rsid w:val="00E42846"/>
    <w:rsid w:val="00E514B3"/>
    <w:rsid w:val="00E53C0D"/>
    <w:rsid w:val="00E544CF"/>
    <w:rsid w:val="00E647A5"/>
    <w:rsid w:val="00E76CAB"/>
    <w:rsid w:val="00E839AF"/>
    <w:rsid w:val="00E87850"/>
    <w:rsid w:val="00E93A58"/>
    <w:rsid w:val="00E94DAC"/>
    <w:rsid w:val="00EA1634"/>
    <w:rsid w:val="00EA20F1"/>
    <w:rsid w:val="00EA3B76"/>
    <w:rsid w:val="00EA3CD7"/>
    <w:rsid w:val="00EA410F"/>
    <w:rsid w:val="00EA65D2"/>
    <w:rsid w:val="00EB0332"/>
    <w:rsid w:val="00EB3CFF"/>
    <w:rsid w:val="00ED407B"/>
    <w:rsid w:val="00ED5A37"/>
    <w:rsid w:val="00ED5B05"/>
    <w:rsid w:val="00EE2A76"/>
    <w:rsid w:val="00EE340C"/>
    <w:rsid w:val="00EF09BD"/>
    <w:rsid w:val="00F03692"/>
    <w:rsid w:val="00F07362"/>
    <w:rsid w:val="00F20118"/>
    <w:rsid w:val="00F20E6C"/>
    <w:rsid w:val="00F22129"/>
    <w:rsid w:val="00F23F9A"/>
    <w:rsid w:val="00F26448"/>
    <w:rsid w:val="00F273ED"/>
    <w:rsid w:val="00F33B91"/>
    <w:rsid w:val="00F37112"/>
    <w:rsid w:val="00F371BF"/>
    <w:rsid w:val="00F42655"/>
    <w:rsid w:val="00F42BB2"/>
    <w:rsid w:val="00F4683E"/>
    <w:rsid w:val="00F46BD3"/>
    <w:rsid w:val="00F511AC"/>
    <w:rsid w:val="00F65AFE"/>
    <w:rsid w:val="00F741DD"/>
    <w:rsid w:val="00F745C1"/>
    <w:rsid w:val="00F7704C"/>
    <w:rsid w:val="00F85E49"/>
    <w:rsid w:val="00F868CF"/>
    <w:rsid w:val="00F91557"/>
    <w:rsid w:val="00F93584"/>
    <w:rsid w:val="00F938B9"/>
    <w:rsid w:val="00F95F3B"/>
    <w:rsid w:val="00FA523C"/>
    <w:rsid w:val="00FA6BFC"/>
    <w:rsid w:val="00FC04EE"/>
    <w:rsid w:val="00FC6ABC"/>
    <w:rsid w:val="00FC7E05"/>
    <w:rsid w:val="00FD1E80"/>
    <w:rsid w:val="00FD58F2"/>
    <w:rsid w:val="00FF1841"/>
    <w:rsid w:val="1ECD2A7E"/>
    <w:rsid w:val="6032E1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398B"/>
  <w15:chartTrackingRefBased/>
  <w15:docId w15:val="{4AE3DA79-2842-4262-9EE7-19DDC3B9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8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3711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F37112"/>
    <w:pPr>
      <w:spacing w:after="0" w:line="240" w:lineRule="auto"/>
    </w:pPr>
    <w:rPr>
      <w:sz w:val="20"/>
      <w:szCs w:val="20"/>
      <w:lang w:val="es-MX"/>
    </w:rPr>
  </w:style>
  <w:style w:type="character" w:customStyle="1" w:styleId="TextonotapieCar1">
    <w:name w:val="Texto nota pie Car1"/>
    <w:basedOn w:val="Fuentedeprrafopredeter"/>
    <w:uiPriority w:val="99"/>
    <w:semiHidden/>
    <w:rsid w:val="00F37112"/>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F37112"/>
    <w:rPr>
      <w:vertAlign w:val="superscript"/>
    </w:rPr>
  </w:style>
  <w:style w:type="paragraph" w:customStyle="1" w:styleId="Appelnotedebasde">
    <w:name w:val="Appel note de bas de..."/>
    <w:basedOn w:val="Normal"/>
    <w:link w:val="Refdenotaalpie"/>
    <w:uiPriority w:val="99"/>
    <w:rsid w:val="00F37112"/>
    <w:pPr>
      <w:spacing w:line="240" w:lineRule="exact"/>
    </w:pPr>
    <w:rPr>
      <w:vertAlign w:val="superscript"/>
    </w:rPr>
  </w:style>
  <w:style w:type="character" w:styleId="Textoennegrita">
    <w:name w:val="Strong"/>
    <w:basedOn w:val="Fuentedeprrafopredeter"/>
    <w:uiPriority w:val="22"/>
    <w:qFormat/>
    <w:rsid w:val="00455DC9"/>
    <w:rPr>
      <w:b/>
      <w:bCs/>
    </w:rPr>
  </w:style>
  <w:style w:type="character" w:styleId="nfasis">
    <w:name w:val="Emphasis"/>
    <w:basedOn w:val="Fuentedeprrafopredeter"/>
    <w:uiPriority w:val="20"/>
    <w:qFormat/>
    <w:rsid w:val="00455DC9"/>
    <w:rPr>
      <w:i/>
      <w:iCs/>
    </w:rPr>
  </w:style>
  <w:style w:type="table" w:styleId="Tablaconcuadrcula">
    <w:name w:val="Table Grid"/>
    <w:basedOn w:val="Tablanormal"/>
    <w:uiPriority w:val="39"/>
    <w:rsid w:val="0045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455DC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455DC9"/>
    <w:rPr>
      <w:rFonts w:ascii="Times New Roman" w:eastAsia="Times New Roman" w:hAnsi="Times New Roman" w:cs="Times New Roman"/>
      <w:sz w:val="24"/>
      <w:szCs w:val="24"/>
      <w:lang w:eastAsia="es-CO"/>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BF1842"/>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F1842"/>
    <w:rPr>
      <w:sz w:val="24"/>
      <w:lang w:val="es-MX"/>
    </w:rPr>
  </w:style>
  <w:style w:type="paragraph" w:styleId="Encabezado">
    <w:name w:val="header"/>
    <w:basedOn w:val="Normal"/>
    <w:link w:val="EncabezadoCar"/>
    <w:uiPriority w:val="99"/>
    <w:unhideWhenUsed/>
    <w:rsid w:val="009D1F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1F74"/>
  </w:style>
  <w:style w:type="paragraph" w:styleId="Piedepgina">
    <w:name w:val="footer"/>
    <w:basedOn w:val="Normal"/>
    <w:link w:val="PiedepginaCar"/>
    <w:uiPriority w:val="99"/>
    <w:unhideWhenUsed/>
    <w:rsid w:val="009D1F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1F74"/>
  </w:style>
  <w:style w:type="paragraph" w:styleId="Sinespaciado">
    <w:name w:val="No Spacing"/>
    <w:uiPriority w:val="1"/>
    <w:qFormat/>
    <w:rsid w:val="009D1F74"/>
    <w:pPr>
      <w:spacing w:after="0" w:line="240" w:lineRule="auto"/>
    </w:pPr>
    <w:rPr>
      <w:sz w:val="24"/>
      <w:lang w:val="es-MX"/>
    </w:rPr>
  </w:style>
  <w:style w:type="character" w:styleId="Refdecomentario">
    <w:name w:val="annotation reference"/>
    <w:basedOn w:val="Fuentedeprrafopredeter"/>
    <w:uiPriority w:val="99"/>
    <w:semiHidden/>
    <w:unhideWhenUsed/>
    <w:rsid w:val="002A0D70"/>
    <w:rPr>
      <w:sz w:val="16"/>
      <w:szCs w:val="16"/>
    </w:rPr>
  </w:style>
  <w:style w:type="paragraph" w:styleId="Textocomentario">
    <w:name w:val="annotation text"/>
    <w:basedOn w:val="Normal"/>
    <w:link w:val="TextocomentarioCar"/>
    <w:uiPriority w:val="99"/>
    <w:unhideWhenUsed/>
    <w:rsid w:val="002A0D70"/>
    <w:pPr>
      <w:spacing w:line="240" w:lineRule="auto"/>
    </w:pPr>
    <w:rPr>
      <w:sz w:val="20"/>
      <w:szCs w:val="20"/>
    </w:rPr>
  </w:style>
  <w:style w:type="character" w:customStyle="1" w:styleId="TextocomentarioCar">
    <w:name w:val="Texto comentario Car"/>
    <w:basedOn w:val="Fuentedeprrafopredeter"/>
    <w:link w:val="Textocomentario"/>
    <w:uiPriority w:val="99"/>
    <w:rsid w:val="002A0D70"/>
    <w:rPr>
      <w:sz w:val="20"/>
      <w:szCs w:val="20"/>
    </w:rPr>
  </w:style>
  <w:style w:type="paragraph" w:styleId="Asuntodelcomentario">
    <w:name w:val="annotation subject"/>
    <w:basedOn w:val="Textocomentario"/>
    <w:next w:val="Textocomentario"/>
    <w:link w:val="AsuntodelcomentarioCar"/>
    <w:uiPriority w:val="99"/>
    <w:semiHidden/>
    <w:unhideWhenUsed/>
    <w:rsid w:val="002A0D70"/>
    <w:rPr>
      <w:b/>
      <w:bCs/>
    </w:rPr>
  </w:style>
  <w:style w:type="character" w:customStyle="1" w:styleId="AsuntodelcomentarioCar">
    <w:name w:val="Asunto del comentario Car"/>
    <w:basedOn w:val="TextocomentarioCar"/>
    <w:link w:val="Asuntodelcomentario"/>
    <w:uiPriority w:val="99"/>
    <w:semiHidden/>
    <w:rsid w:val="002A0D70"/>
    <w:rPr>
      <w:b/>
      <w:bCs/>
      <w:sz w:val="20"/>
      <w:szCs w:val="20"/>
    </w:rPr>
  </w:style>
  <w:style w:type="paragraph" w:customStyle="1" w:styleId="Normal11pt">
    <w:name w:val="Normal + 11 pt"/>
    <w:aliases w:val="Negro,Justificado,Izquierda:  -0,95 cm,Derecha:  0,04 cm"/>
    <w:basedOn w:val="Normal"/>
    <w:uiPriority w:val="99"/>
    <w:rsid w:val="00607DC1"/>
    <w:pPr>
      <w:spacing w:after="0" w:line="240" w:lineRule="auto"/>
      <w:ind w:left="-540"/>
      <w:jc w:val="both"/>
    </w:pPr>
    <w:rPr>
      <w:rFonts w:ascii="Arial" w:eastAsia="Times New Roman" w:hAnsi="Arial" w:cs="Arial"/>
      <w:color w:val="000000"/>
      <w:lang w:val="es-ES_tradnl" w:eastAsia="es-ES"/>
    </w:rPr>
  </w:style>
  <w:style w:type="character" w:customStyle="1" w:styleId="Hipervnculo1">
    <w:name w:val="Hipervínculo1"/>
    <w:basedOn w:val="Fuentedeprrafopredeter"/>
    <w:uiPriority w:val="99"/>
    <w:unhideWhenUsed/>
    <w:rsid w:val="00A816B5"/>
    <w:rPr>
      <w:color w:val="0000FF"/>
      <w:u w:val="single"/>
    </w:rPr>
  </w:style>
  <w:style w:type="table" w:customStyle="1" w:styleId="Tablaconcuadrcula1">
    <w:name w:val="Tabla con cuadrícula1"/>
    <w:basedOn w:val="Tablanormal"/>
    <w:next w:val="Tablaconcuadrcula"/>
    <w:uiPriority w:val="59"/>
    <w:rsid w:val="00A816B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816B5"/>
    <w:rPr>
      <w:color w:val="0563C1" w:themeColor="hyperlink"/>
      <w:u w:val="single"/>
    </w:rPr>
  </w:style>
  <w:style w:type="paragraph" w:styleId="Revisin">
    <w:name w:val="Revision"/>
    <w:hidden/>
    <w:uiPriority w:val="99"/>
    <w:semiHidden/>
    <w:rsid w:val="00F85E49"/>
    <w:pPr>
      <w:spacing w:after="0" w:line="240" w:lineRule="auto"/>
    </w:pPr>
  </w:style>
  <w:style w:type="character" w:styleId="Mencinsinresolver">
    <w:name w:val="Unresolved Mention"/>
    <w:basedOn w:val="Fuentedeprrafopredeter"/>
    <w:uiPriority w:val="99"/>
    <w:semiHidden/>
    <w:unhideWhenUsed/>
    <w:rsid w:val="00C16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554">
      <w:bodyDiv w:val="1"/>
      <w:marLeft w:val="0"/>
      <w:marRight w:val="0"/>
      <w:marTop w:val="0"/>
      <w:marBottom w:val="0"/>
      <w:divBdr>
        <w:top w:val="none" w:sz="0" w:space="0" w:color="auto"/>
        <w:left w:val="none" w:sz="0" w:space="0" w:color="auto"/>
        <w:bottom w:val="none" w:sz="0" w:space="0" w:color="auto"/>
        <w:right w:val="none" w:sz="0" w:space="0" w:color="auto"/>
      </w:divBdr>
    </w:div>
    <w:div w:id="860779968">
      <w:bodyDiv w:val="1"/>
      <w:marLeft w:val="0"/>
      <w:marRight w:val="0"/>
      <w:marTop w:val="0"/>
      <w:marBottom w:val="0"/>
      <w:divBdr>
        <w:top w:val="none" w:sz="0" w:space="0" w:color="auto"/>
        <w:left w:val="none" w:sz="0" w:space="0" w:color="auto"/>
        <w:bottom w:val="none" w:sz="0" w:space="0" w:color="auto"/>
        <w:right w:val="none" w:sz="0" w:space="0" w:color="auto"/>
      </w:divBdr>
    </w:div>
    <w:div w:id="862281563">
      <w:bodyDiv w:val="1"/>
      <w:marLeft w:val="0"/>
      <w:marRight w:val="0"/>
      <w:marTop w:val="0"/>
      <w:marBottom w:val="0"/>
      <w:divBdr>
        <w:top w:val="none" w:sz="0" w:space="0" w:color="auto"/>
        <w:left w:val="none" w:sz="0" w:space="0" w:color="auto"/>
        <w:bottom w:val="none" w:sz="0" w:space="0" w:color="auto"/>
        <w:right w:val="none" w:sz="0" w:space="0" w:color="auto"/>
      </w:divBdr>
    </w:div>
    <w:div w:id="13584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perfinanciera.gov.co/publicacion/6081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banrep.gov.co/es/estadisticas/trm" TargetMode="External"/><Relationship Id="rId1" Type="http://schemas.openxmlformats.org/officeDocument/2006/relationships/hyperlink" Target="https://relatoria.colombiacompra.gov.co/busqueda/concepto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5E55F-5AEF-4998-8665-3341504EE053}">
  <ds:schemaRefs>
    <ds:schemaRef ds:uri="http://schemas.openxmlformats.org/officeDocument/2006/bibliography"/>
  </ds:schemaRefs>
</ds:datastoreItem>
</file>

<file path=customXml/itemProps2.xml><?xml version="1.0" encoding="utf-8"?>
<ds:datastoreItem xmlns:ds="http://schemas.openxmlformats.org/officeDocument/2006/customXml" ds:itemID="{8DF1DB52-3CE9-4E42-AE92-F6BB56CCC9AA}">
  <ds:schemaRefs>
    <ds:schemaRef ds:uri="http://schemas.microsoft.com/sharepoint/v3/contenttype/forms"/>
  </ds:schemaRefs>
</ds:datastoreItem>
</file>

<file path=customXml/itemProps3.xml><?xml version="1.0" encoding="utf-8"?>
<ds:datastoreItem xmlns:ds="http://schemas.openxmlformats.org/officeDocument/2006/customXml" ds:itemID="{83B28C39-36E5-4DD2-BC1D-D3658A9C7A1D}">
  <ds:schemaRefs>
    <ds:schemaRef ds:uri="a6cb9e4b-f1d1-4245-83ec-6cad768d538a"/>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9d85dbaf-23eb-4e57-a637-93dcacc8b1a1"/>
    <ds:schemaRef ds:uri="http://www.w3.org/XML/1998/namespace"/>
    <ds:schemaRef ds:uri="http://purl.org/dc/terms/"/>
  </ds:schemaRefs>
</ds:datastoreItem>
</file>

<file path=customXml/itemProps4.xml><?xml version="1.0" encoding="utf-8"?>
<ds:datastoreItem xmlns:ds="http://schemas.openxmlformats.org/officeDocument/2006/customXml" ds:itemID="{1191FCA3-9D98-4DE6-8C75-3D736107B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7223</Words>
  <Characters>39731</Characters>
  <Application>Microsoft Office Word</Application>
  <DocSecurity>0</DocSecurity>
  <Lines>331</Lines>
  <Paragraphs>93</Paragraphs>
  <ScaleCrop>false</ScaleCrop>
  <Company/>
  <LinksUpToDate>false</LinksUpToDate>
  <CharactersWithSpaces>46861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Ana Maria Velez Arteaga</cp:lastModifiedBy>
  <cp:revision>2</cp:revision>
  <dcterms:created xsi:type="dcterms:W3CDTF">2023-02-20T18:31:00Z</dcterms:created>
  <dcterms:modified xsi:type="dcterms:W3CDTF">2023-02-20T18:31:00Z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