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2768EC03" w:rsidR="00833452" w:rsidRDefault="00833452" w:rsidP="00526E9D">
      <w:pPr>
        <w:rPr>
          <w:rFonts w:ascii="Geomanist Light" w:eastAsia="Times New Roman" w:hAnsi="Geomanist Light" w:cs="Arial"/>
          <w:b/>
          <w:bCs/>
          <w:lang w:val="es-MX" w:eastAsia="es-CO"/>
        </w:rPr>
      </w:pPr>
    </w:p>
    <w:p w14:paraId="3A731439" w14:textId="77777777" w:rsidR="00E724E9" w:rsidRPr="00E724E9" w:rsidRDefault="00E724E9" w:rsidP="00E724E9">
      <w:pPr>
        <w:spacing w:after="0" w:line="240" w:lineRule="auto"/>
        <w:jc w:val="both"/>
        <w:rPr>
          <w:rFonts w:ascii="Arial" w:eastAsia="Calibri" w:hAnsi="Arial" w:cs="Arial"/>
          <w:b/>
          <w:bCs/>
          <w:lang w:val="es-MX"/>
        </w:rPr>
      </w:pPr>
      <w:bookmarkStart w:id="0" w:name="_Hlk72942111"/>
      <w:bookmarkStart w:id="1" w:name="_Hlk34951122"/>
      <w:r w:rsidRPr="00E724E9">
        <w:rPr>
          <w:rFonts w:ascii="Arial" w:eastAsia="Calibri" w:hAnsi="Arial" w:cs="Arial"/>
          <w:b/>
          <w:bCs/>
          <w:lang w:val="es-MX"/>
        </w:rPr>
        <w:t xml:space="preserve">LEY DE EMPRENDIMIENTO – Ley 2069 de 2020 – Finalidad </w:t>
      </w:r>
    </w:p>
    <w:p w14:paraId="6BDBAF5D" w14:textId="77777777" w:rsidR="00E724E9" w:rsidRPr="00E724E9" w:rsidRDefault="00E724E9" w:rsidP="00E724E9">
      <w:pPr>
        <w:spacing w:after="0" w:line="240" w:lineRule="auto"/>
        <w:jc w:val="both"/>
        <w:rPr>
          <w:rFonts w:ascii="Arial" w:eastAsia="Calibri" w:hAnsi="Arial" w:cs="Arial"/>
          <w:b/>
          <w:bCs/>
          <w:lang w:val="es-MX"/>
        </w:rPr>
      </w:pPr>
    </w:p>
    <w:p w14:paraId="65E368C3" w14:textId="77777777" w:rsidR="00E724E9" w:rsidRPr="00E724E9" w:rsidRDefault="00E724E9" w:rsidP="00E724E9">
      <w:pPr>
        <w:spacing w:after="0" w:line="240" w:lineRule="auto"/>
        <w:jc w:val="both"/>
        <w:rPr>
          <w:rFonts w:ascii="Arial" w:eastAsia="Calibri" w:hAnsi="Arial" w:cs="Arial"/>
          <w:sz w:val="20"/>
          <w:szCs w:val="20"/>
          <w:lang w:val="es-MX"/>
        </w:rPr>
      </w:pPr>
      <w:r w:rsidRPr="00E724E9">
        <w:rPr>
          <w:rFonts w:ascii="Arial" w:eastAsia="Calibri" w:hAnsi="Arial" w:cs="Arial"/>
          <w:sz w:val="20"/>
          <w:szCs w:val="20"/>
          <w:lang w:val="es-MX"/>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E724E9">
        <w:rPr>
          <w:rFonts w:ascii="Arial" w:eastAsia="Calibri" w:hAnsi="Arial" w:cs="Arial"/>
          <w:sz w:val="20"/>
          <w:szCs w:val="20"/>
          <w:lang w:val="es-MX"/>
        </w:rPr>
        <w:t>de acuerdo a</w:t>
      </w:r>
      <w:proofErr w:type="gramEnd"/>
      <w:r w:rsidRPr="00E724E9">
        <w:rPr>
          <w:rFonts w:ascii="Arial" w:eastAsia="Calibri" w:hAnsi="Arial" w:cs="Arial"/>
          <w:sz w:val="20"/>
          <w:szCs w:val="20"/>
          <w:lang w:val="es-MX"/>
        </w:rPr>
        <w:t xml:space="preserve">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6036E2EB" w14:textId="77777777" w:rsidR="00E724E9" w:rsidRPr="00E724E9" w:rsidRDefault="00E724E9" w:rsidP="00E724E9">
      <w:pPr>
        <w:spacing w:after="0" w:line="240" w:lineRule="auto"/>
        <w:jc w:val="both"/>
        <w:rPr>
          <w:rFonts w:ascii="Arial" w:eastAsia="Calibri" w:hAnsi="Arial" w:cs="Arial"/>
          <w:b/>
          <w:bCs/>
          <w:lang w:val="es-MX"/>
        </w:rPr>
      </w:pPr>
    </w:p>
    <w:p w14:paraId="34AC48A8" w14:textId="77777777" w:rsidR="00E724E9" w:rsidRPr="00E724E9" w:rsidRDefault="00E724E9" w:rsidP="00E724E9">
      <w:pPr>
        <w:spacing w:after="0" w:line="240" w:lineRule="auto"/>
        <w:jc w:val="both"/>
        <w:rPr>
          <w:rFonts w:ascii="Arial" w:eastAsia="Calibri" w:hAnsi="Arial" w:cs="Arial"/>
          <w:b/>
          <w:bCs/>
          <w:lang w:val="es-MX"/>
        </w:rPr>
      </w:pPr>
      <w:r w:rsidRPr="00E724E9">
        <w:rPr>
          <w:rFonts w:ascii="Arial" w:eastAsia="Calibri" w:hAnsi="Arial" w:cs="Arial"/>
          <w:b/>
          <w:bCs/>
          <w:lang w:val="es-MX"/>
        </w:rPr>
        <w:t>LEY DE EMPRENDIMIENTO – Ley 2069 de 2020 – Artículo 32 – Criterios diferenciales – Emprendimientos de mujeres – Empresas de mujeres – Necesidad de reglamentación – Decreto 1860 de 2021</w:t>
      </w:r>
    </w:p>
    <w:p w14:paraId="506C3577" w14:textId="77777777" w:rsidR="00E724E9" w:rsidRPr="00E724E9" w:rsidRDefault="00E724E9" w:rsidP="00E724E9">
      <w:pPr>
        <w:spacing w:after="0" w:line="240" w:lineRule="auto"/>
        <w:jc w:val="both"/>
        <w:rPr>
          <w:rFonts w:ascii="Arial" w:eastAsia="Calibri" w:hAnsi="Arial" w:cs="Arial"/>
          <w:b/>
          <w:bCs/>
          <w:lang w:val="es-MX"/>
        </w:rPr>
      </w:pPr>
    </w:p>
    <w:p w14:paraId="624BE74D" w14:textId="77777777" w:rsidR="00E724E9" w:rsidRPr="00E724E9" w:rsidRDefault="00E724E9" w:rsidP="00E724E9">
      <w:pPr>
        <w:spacing w:after="0" w:line="240" w:lineRule="auto"/>
        <w:jc w:val="both"/>
        <w:rPr>
          <w:rFonts w:ascii="Arial" w:eastAsia="Calibri" w:hAnsi="Arial" w:cs="Arial"/>
          <w:sz w:val="20"/>
          <w:szCs w:val="20"/>
          <w:lang w:val="es-MX"/>
        </w:rPr>
      </w:pPr>
      <w:r w:rsidRPr="00E724E9">
        <w:rPr>
          <w:rFonts w:ascii="Arial" w:eastAsia="Calibri" w:hAnsi="Arial" w:cs="Arial"/>
          <w:sz w:val="20"/>
          <w:szCs w:val="20"/>
          <w:lang w:val="es-MX"/>
        </w:rPr>
        <w:t xml:space="preserve">[…] el artículo 32 de la Ley 2069 de 2020 –al igual que el artículo 31– también se refiere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En este contexto,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14F56358" w14:textId="77777777" w:rsidR="00E724E9" w:rsidRPr="00E724E9" w:rsidRDefault="00E724E9" w:rsidP="00E724E9">
      <w:pPr>
        <w:spacing w:after="0" w:line="240" w:lineRule="auto"/>
        <w:jc w:val="both"/>
        <w:rPr>
          <w:rFonts w:ascii="Arial" w:eastAsia="Calibri" w:hAnsi="Arial" w:cs="Arial"/>
          <w:b/>
          <w:bCs/>
          <w:lang w:val="es-MX"/>
        </w:rPr>
      </w:pPr>
    </w:p>
    <w:p w14:paraId="24F0EFCD" w14:textId="77777777" w:rsidR="00E724E9" w:rsidRPr="00E724E9" w:rsidRDefault="00E724E9" w:rsidP="00E724E9">
      <w:pPr>
        <w:spacing w:after="0" w:line="240" w:lineRule="auto"/>
        <w:jc w:val="both"/>
        <w:rPr>
          <w:rFonts w:ascii="Arial" w:eastAsia="Calibri" w:hAnsi="Arial" w:cs="Arial"/>
          <w:b/>
          <w:bCs/>
          <w:lang w:val="es-MX"/>
        </w:rPr>
      </w:pPr>
      <w:r w:rsidRPr="00E724E9">
        <w:rPr>
          <w:rFonts w:ascii="Arial" w:eastAsia="Calibri" w:hAnsi="Arial" w:cs="Arial"/>
          <w:b/>
          <w:bCs/>
          <w:lang w:val="es-MX"/>
        </w:rPr>
        <w:t>DECRETO 1860 DE 2021 – Emprendimientos y empresas de mujeres – Definición – Artículo 2.2.1.2.4.2.14 – Numeral 3 – Persona natural</w:t>
      </w:r>
    </w:p>
    <w:p w14:paraId="4A2C543A" w14:textId="77777777" w:rsidR="00E724E9" w:rsidRPr="00E724E9" w:rsidRDefault="00E724E9" w:rsidP="00E724E9">
      <w:pPr>
        <w:spacing w:after="0" w:line="240" w:lineRule="auto"/>
        <w:jc w:val="both"/>
        <w:rPr>
          <w:rFonts w:ascii="Arial" w:eastAsia="Calibri" w:hAnsi="Arial" w:cs="Arial"/>
          <w:b/>
          <w:bCs/>
          <w:lang w:val="es-MX"/>
        </w:rPr>
      </w:pPr>
    </w:p>
    <w:p w14:paraId="21A81D39" w14:textId="77777777" w:rsidR="00E724E9" w:rsidRPr="00E724E9" w:rsidRDefault="00E724E9" w:rsidP="00E724E9">
      <w:pPr>
        <w:spacing w:after="0" w:line="240" w:lineRule="auto"/>
        <w:jc w:val="both"/>
        <w:rPr>
          <w:rFonts w:ascii="Arial" w:eastAsia="Calibri" w:hAnsi="Arial" w:cs="Arial"/>
          <w:sz w:val="20"/>
          <w:szCs w:val="20"/>
          <w:lang w:val="es-MX"/>
        </w:rPr>
      </w:pPr>
      <w:r w:rsidRPr="00E724E9">
        <w:rPr>
          <w:rFonts w:ascii="Arial" w:eastAsia="Calibri" w:hAnsi="Arial" w:cs="Arial"/>
          <w:sz w:val="20"/>
          <w:szCs w:val="20"/>
          <w:lang w:val="es-MX"/>
        </w:rPr>
        <w:t xml:space="preserve">Teniendo en cuenta el objeto de la presente consulta, resulta relevante el análisis del numeral tercero del artículo antes citado, según el cual tratándose de personas naturales debe cumplirse con las siguientes condiciones para ser consideradas emprendimientos y empresas de mujeres y, en consecuencia, ser </w:t>
      </w:r>
      <w:r w:rsidRPr="00E724E9">
        <w:rPr>
          <w:rFonts w:ascii="Arial" w:eastAsia="Calibri" w:hAnsi="Arial" w:cs="Arial"/>
          <w:sz w:val="20"/>
          <w:szCs w:val="20"/>
          <w:lang w:val="es-MX"/>
        </w:rPr>
        <w:lastRenderedPageBreak/>
        <w:t xml:space="preserve">destinatarias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4975D99D" w14:textId="77777777" w:rsidR="00E724E9" w:rsidRPr="00E724E9" w:rsidRDefault="00E724E9" w:rsidP="00E724E9">
      <w:pPr>
        <w:spacing w:line="240" w:lineRule="auto"/>
        <w:jc w:val="both"/>
        <w:rPr>
          <w:rFonts w:ascii="Arial" w:eastAsia="Calibri" w:hAnsi="Arial" w:cs="Arial"/>
          <w:sz w:val="20"/>
          <w:szCs w:val="20"/>
          <w:lang w:val="es-MX"/>
        </w:rPr>
      </w:pPr>
    </w:p>
    <w:p w14:paraId="492A47EF" w14:textId="77777777" w:rsidR="00E724E9" w:rsidRPr="00E724E9" w:rsidRDefault="00E724E9" w:rsidP="00E724E9">
      <w:pPr>
        <w:spacing w:line="240" w:lineRule="auto"/>
        <w:jc w:val="both"/>
        <w:rPr>
          <w:rFonts w:ascii="Arial" w:eastAsia="Calibri" w:hAnsi="Arial" w:cs="Arial"/>
          <w:sz w:val="20"/>
          <w:szCs w:val="20"/>
          <w:lang w:val="es-MX"/>
        </w:rPr>
      </w:pPr>
      <w:r w:rsidRPr="00E724E9">
        <w:rPr>
          <w:rFonts w:ascii="Arial" w:eastAsia="Calibri" w:hAnsi="Arial" w:cs="Arial"/>
          <w:sz w:val="20"/>
          <w:szCs w:val="20"/>
          <w:lang w:val="es-MX"/>
        </w:rPr>
        <w:t xml:space="preserve">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 artículo 2.2.1.2.4.2.14. del Decreto 1082 de 2015 – deja por fuera a aquellas mujeres que no hayan ejercido actividades comerciales a través de un establecimiento de comercio y/o que no cumplan con el requerimiento del tiempo mínimo de un año de ejercicio de las actividades.  </w:t>
      </w:r>
    </w:p>
    <w:p w14:paraId="761664E0" w14:textId="77777777" w:rsidR="00E724E9" w:rsidRPr="00E724E9" w:rsidRDefault="00E724E9" w:rsidP="00E724E9">
      <w:pPr>
        <w:spacing w:line="240" w:lineRule="auto"/>
        <w:jc w:val="both"/>
        <w:rPr>
          <w:rFonts w:ascii="Arial" w:eastAsia="Calibri" w:hAnsi="Arial" w:cs="Arial"/>
          <w:b/>
          <w:bCs/>
          <w:lang w:val="es-ES"/>
        </w:rPr>
      </w:pPr>
      <w:r w:rsidRPr="00E724E9">
        <w:rPr>
          <w:rFonts w:ascii="Arial" w:eastAsia="Calibri" w:hAnsi="Arial" w:cs="Arial"/>
          <w:b/>
          <w:bCs/>
          <w:lang w:val="es-ES"/>
        </w:rPr>
        <w:t>EMPRENDIMIENTOS Y EMPRESAS DE MUJERES – Definición – Artículo 2.2.1.2.4.2.14 – Numeral 3 – Persona natural – Registro mercantil</w:t>
      </w:r>
    </w:p>
    <w:p w14:paraId="5428E966" w14:textId="77777777" w:rsidR="00E724E9" w:rsidRPr="00E724E9" w:rsidRDefault="00E724E9" w:rsidP="00E724E9">
      <w:pPr>
        <w:spacing w:after="0" w:line="240" w:lineRule="auto"/>
        <w:jc w:val="both"/>
        <w:rPr>
          <w:rFonts w:ascii="Arial" w:eastAsia="Calibri" w:hAnsi="Arial" w:cs="Arial"/>
          <w:sz w:val="20"/>
          <w:szCs w:val="20"/>
          <w:lang w:val="es-MX"/>
        </w:rPr>
      </w:pPr>
      <w:r w:rsidRPr="00E724E9">
        <w:rPr>
          <w:rFonts w:ascii="Arial" w:eastAsia="Calibri" w:hAnsi="Arial" w:cs="Arial"/>
          <w:sz w:val="20"/>
          <w:szCs w:val="20"/>
          <w:lang w:val="es-MX"/>
        </w:rPr>
        <w:t>De esta manera, se concluye que el numeral tercero del artículo 2.2.1.2.4.2.14 del Decreto 1082 de 2015 –adicionado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Así las cosas, es necesario que la persona natural que realiza actividades de comercio a través de un establecimiento acredite dicho registro de acuerdo con lo dispuesto por la ley comercial.</w:t>
      </w:r>
    </w:p>
    <w:p w14:paraId="408EC9FE" w14:textId="77777777" w:rsidR="00E724E9" w:rsidRPr="00E724E9" w:rsidRDefault="00E724E9" w:rsidP="00E724E9">
      <w:pPr>
        <w:spacing w:after="0" w:line="240" w:lineRule="auto"/>
        <w:jc w:val="both"/>
        <w:rPr>
          <w:rFonts w:ascii="Arial" w:eastAsia="Calibri" w:hAnsi="Arial" w:cs="Arial"/>
          <w:sz w:val="20"/>
          <w:szCs w:val="20"/>
          <w:lang w:val="es-MX"/>
        </w:rPr>
      </w:pPr>
    </w:p>
    <w:p w14:paraId="40E7EA3E" w14:textId="77777777" w:rsidR="00E724E9" w:rsidRPr="00E724E9" w:rsidRDefault="00E724E9" w:rsidP="00E724E9">
      <w:pPr>
        <w:spacing w:after="0" w:line="240" w:lineRule="auto"/>
        <w:jc w:val="both"/>
        <w:rPr>
          <w:rFonts w:ascii="Arial" w:eastAsia="Calibri" w:hAnsi="Arial" w:cs="Arial"/>
          <w:sz w:val="20"/>
          <w:szCs w:val="20"/>
          <w:lang w:val="es-MX"/>
        </w:rPr>
      </w:pPr>
      <w:r w:rsidRPr="00E724E9">
        <w:rPr>
          <w:rFonts w:ascii="Arial" w:eastAsia="Calibri" w:hAnsi="Arial" w:cs="Arial"/>
          <w:sz w:val="20"/>
          <w:szCs w:val="20"/>
          <w:lang w:val="es-MX"/>
        </w:rPr>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como acciones afirmativas para promover la participación de este segmento empresarial en el sistema de compras públicas y contratación estatal. Por tanto, deberá presentar dicho documento en caso de pretender beneficiarse de los requisitos habilitantes diferenciales u obtener el puntaje adicional. En este sentido, para efectos del artículo 2.2.1.2.4.2.14 del Decreto 1082 de 2015, la acreditación de la condición de mujer y del ejercicio de actividades comerciales a través de establecimiento de comercio de la persona natural, solo será válida mediante la presentación de los documentos establecidos en el numeral 3 de la norma señalada, esto es, adjuntando copia de la cédula de ciudadanía, cédula de extranjería o pasaporte y copia del registro mercantil. </w:t>
      </w:r>
    </w:p>
    <w:p w14:paraId="1C12259E" w14:textId="77777777" w:rsidR="00E724E9" w:rsidRPr="00E724E9" w:rsidRDefault="00E724E9" w:rsidP="00E724E9">
      <w:pPr>
        <w:spacing w:after="0"/>
        <w:jc w:val="both"/>
        <w:rPr>
          <w:rFonts w:ascii="Arial" w:eastAsia="Calibri" w:hAnsi="Arial" w:cs="Arial"/>
          <w:sz w:val="20"/>
          <w:szCs w:val="20"/>
          <w:lang w:val="es-MX"/>
        </w:rPr>
      </w:pPr>
    </w:p>
    <w:p w14:paraId="7F39D0BF" w14:textId="77777777" w:rsidR="00E724E9" w:rsidRPr="00E724E9" w:rsidRDefault="00E724E9" w:rsidP="00E724E9">
      <w:pPr>
        <w:jc w:val="both"/>
        <w:rPr>
          <w:rFonts w:ascii="Arial" w:eastAsia="Calibri" w:hAnsi="Arial" w:cs="Arial"/>
        </w:rPr>
      </w:pPr>
    </w:p>
    <w:p w14:paraId="680A31FC" w14:textId="77777777" w:rsidR="00E724E9" w:rsidRPr="00E724E9" w:rsidRDefault="00E724E9" w:rsidP="00E724E9">
      <w:pPr>
        <w:jc w:val="both"/>
        <w:rPr>
          <w:rFonts w:ascii="Arial" w:eastAsia="Calibri" w:hAnsi="Arial" w:cs="Arial"/>
        </w:rPr>
      </w:pPr>
    </w:p>
    <w:p w14:paraId="6A2C8176" w14:textId="77777777" w:rsidR="00E724E9" w:rsidRPr="00E724E9" w:rsidRDefault="00E724E9" w:rsidP="00E724E9">
      <w:pPr>
        <w:jc w:val="both"/>
        <w:rPr>
          <w:rFonts w:ascii="Arial" w:eastAsia="Calibri" w:hAnsi="Arial" w:cs="Arial"/>
        </w:rPr>
      </w:pPr>
    </w:p>
    <w:p w14:paraId="486F81CE" w14:textId="77777777" w:rsidR="00E724E9" w:rsidRPr="00E724E9" w:rsidRDefault="00E724E9" w:rsidP="00E724E9">
      <w:pPr>
        <w:jc w:val="both"/>
        <w:rPr>
          <w:rFonts w:ascii="Arial" w:eastAsia="Calibri" w:hAnsi="Arial" w:cs="Arial"/>
        </w:rPr>
      </w:pPr>
    </w:p>
    <w:p w14:paraId="78D391ED" w14:textId="72B669C4" w:rsidR="00E724E9" w:rsidRDefault="00E724E9" w:rsidP="00E724E9">
      <w:pPr>
        <w:jc w:val="both"/>
        <w:rPr>
          <w:rFonts w:ascii="Arial" w:eastAsia="Calibri" w:hAnsi="Arial" w:cs="Arial"/>
        </w:rPr>
      </w:pPr>
    </w:p>
    <w:p w14:paraId="5B0485C1" w14:textId="77777777" w:rsidR="00EC6282" w:rsidRPr="00E724E9" w:rsidRDefault="00EC6282" w:rsidP="00E724E9">
      <w:pPr>
        <w:jc w:val="both"/>
        <w:rPr>
          <w:rFonts w:ascii="Arial" w:eastAsia="Calibri" w:hAnsi="Arial" w:cs="Arial"/>
        </w:rPr>
      </w:pPr>
    </w:p>
    <w:p w14:paraId="679225FC" w14:textId="664FDBEB" w:rsidR="00E724E9" w:rsidRPr="00E724E9" w:rsidRDefault="00E724E9" w:rsidP="00E724E9">
      <w:pPr>
        <w:jc w:val="both"/>
        <w:rPr>
          <w:rFonts w:ascii="Arial" w:eastAsia="Calibri" w:hAnsi="Arial" w:cs="Arial"/>
        </w:rPr>
      </w:pPr>
      <w:r w:rsidRPr="00E724E9">
        <w:rPr>
          <w:rFonts w:ascii="Arial" w:eastAsia="Calibri" w:hAnsi="Arial" w:cs="Arial"/>
        </w:rPr>
        <w:lastRenderedPageBreak/>
        <w:t>Bogotá</w:t>
      </w:r>
      <w:r w:rsidR="00FE0320">
        <w:rPr>
          <w:rFonts w:ascii="Arial" w:eastAsia="Calibri" w:hAnsi="Arial" w:cs="Arial"/>
        </w:rPr>
        <w:t xml:space="preserve"> D.C., 21 de diciembre de 2022             </w:t>
      </w:r>
      <w:r w:rsidR="002C3B94" w:rsidRPr="002C3B94">
        <w:rPr>
          <w:rFonts w:ascii="Arial" w:eastAsia="Calibri" w:hAnsi="Arial" w:cs="Arial"/>
          <w:noProof/>
        </w:rPr>
        <w:drawing>
          <wp:inline distT="0" distB="0" distL="0" distR="0" wp14:anchorId="20B4B318" wp14:editId="60CB7759">
            <wp:extent cx="2851769" cy="64833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4558" cy="658063"/>
                    </a:xfrm>
                    <a:prstGeom prst="rect">
                      <a:avLst/>
                    </a:prstGeom>
                  </pic:spPr>
                </pic:pic>
              </a:graphicData>
            </a:graphic>
          </wp:inline>
        </w:drawing>
      </w:r>
    </w:p>
    <w:p w14:paraId="6CC81C2C" w14:textId="77777777" w:rsidR="00E724E9" w:rsidRPr="00E724E9" w:rsidRDefault="00E724E9" w:rsidP="00E724E9">
      <w:pPr>
        <w:widowControl w:val="0"/>
        <w:autoSpaceDE w:val="0"/>
        <w:autoSpaceDN w:val="0"/>
        <w:spacing w:after="0" w:line="240" w:lineRule="auto"/>
        <w:rPr>
          <w:rFonts w:ascii="Arial" w:eastAsia="Calibri" w:hAnsi="Arial" w:cs="Arial"/>
          <w:lang w:val="es-MX"/>
        </w:rPr>
      </w:pPr>
      <w:r w:rsidRPr="00E724E9">
        <w:rPr>
          <w:rFonts w:ascii="Arial" w:eastAsia="Calibri" w:hAnsi="Arial" w:cs="Arial"/>
          <w:lang w:val="es-MX"/>
        </w:rPr>
        <w:t>Señora</w:t>
      </w:r>
    </w:p>
    <w:p w14:paraId="53EDA5D7" w14:textId="77777777" w:rsidR="00E724E9" w:rsidRPr="00E724E9" w:rsidRDefault="00E724E9" w:rsidP="00E724E9">
      <w:pPr>
        <w:widowControl w:val="0"/>
        <w:autoSpaceDE w:val="0"/>
        <w:autoSpaceDN w:val="0"/>
        <w:spacing w:after="0" w:line="240" w:lineRule="auto"/>
        <w:rPr>
          <w:rFonts w:ascii="Arial" w:eastAsia="Calibri" w:hAnsi="Arial" w:cs="Arial"/>
          <w:b/>
          <w:bCs/>
          <w:lang w:val="es-MX"/>
        </w:rPr>
      </w:pPr>
      <w:r w:rsidRPr="00E724E9">
        <w:rPr>
          <w:rFonts w:ascii="Arial" w:eastAsia="Calibri" w:hAnsi="Arial" w:cs="Arial"/>
          <w:b/>
          <w:bCs/>
          <w:lang w:val="es-MX"/>
        </w:rPr>
        <w:t xml:space="preserve">Ximena Calvache Obando   </w:t>
      </w:r>
    </w:p>
    <w:p w14:paraId="5F000BA2" w14:textId="77777777" w:rsidR="00E724E9" w:rsidRPr="00E724E9" w:rsidRDefault="00E724E9" w:rsidP="00E724E9">
      <w:pPr>
        <w:widowControl w:val="0"/>
        <w:autoSpaceDE w:val="0"/>
        <w:autoSpaceDN w:val="0"/>
        <w:spacing w:after="0" w:line="240" w:lineRule="auto"/>
        <w:rPr>
          <w:rFonts w:ascii="Arial" w:eastAsia="Calibri" w:hAnsi="Arial" w:cs="Arial"/>
          <w:lang w:val="es-MX"/>
        </w:rPr>
      </w:pPr>
    </w:p>
    <w:p w14:paraId="1FCB4096" w14:textId="77777777" w:rsidR="00E724E9" w:rsidRPr="00E724E9" w:rsidRDefault="00E724E9" w:rsidP="00E724E9">
      <w:pPr>
        <w:widowControl w:val="0"/>
        <w:autoSpaceDE w:val="0"/>
        <w:autoSpaceDN w:val="0"/>
        <w:spacing w:after="0" w:line="240" w:lineRule="auto"/>
        <w:rPr>
          <w:rFonts w:ascii="Arial" w:eastAsia="Calibri" w:hAnsi="Arial" w:cs="Arial"/>
          <w:lang w:val="es-MX"/>
        </w:rPr>
      </w:pPr>
      <w:r w:rsidRPr="00E724E9">
        <w:rPr>
          <w:rFonts w:ascii="Arial" w:eastAsia="Calibri" w:hAnsi="Arial" w:cs="Arial"/>
          <w:lang w:val="es-MX"/>
        </w:rPr>
        <w:t>Popayán, Cauca</w:t>
      </w:r>
    </w:p>
    <w:p w14:paraId="53798233" w14:textId="77777777" w:rsidR="00E724E9" w:rsidRPr="00E724E9" w:rsidRDefault="00E724E9" w:rsidP="00E724E9">
      <w:pPr>
        <w:ind w:left="2116" w:firstLine="708"/>
        <w:rPr>
          <w:rFonts w:ascii="Arial" w:eastAsia="Calibri" w:hAnsi="Arial" w:cs="Arial"/>
          <w:b/>
        </w:rPr>
      </w:pPr>
    </w:p>
    <w:p w14:paraId="7784B1D8" w14:textId="77777777" w:rsidR="00E724E9" w:rsidRPr="00E724E9" w:rsidRDefault="00E724E9" w:rsidP="00E724E9">
      <w:pPr>
        <w:ind w:left="2116" w:firstLine="708"/>
        <w:rPr>
          <w:rFonts w:ascii="Arial" w:eastAsia="Calibri" w:hAnsi="Arial" w:cs="Arial"/>
          <w:b/>
          <w:bCs/>
          <w:lang w:val="es-MX"/>
        </w:rPr>
      </w:pPr>
      <w:r w:rsidRPr="00E724E9">
        <w:rPr>
          <w:rFonts w:ascii="Arial" w:eastAsia="Calibri" w:hAnsi="Arial" w:cs="Arial"/>
          <w:b/>
          <w:bCs/>
          <w:lang w:val="es-MX"/>
        </w:rPr>
        <w:t>Concepto C – 752 de 2022</w:t>
      </w:r>
    </w:p>
    <w:p w14:paraId="38A7AB13" w14:textId="77777777" w:rsidR="00E724E9" w:rsidRPr="00E724E9" w:rsidRDefault="00E724E9" w:rsidP="00E724E9">
      <w:pPr>
        <w:ind w:left="2824" w:hanging="2818"/>
        <w:jc w:val="both"/>
        <w:rPr>
          <w:rFonts w:ascii="Arial" w:eastAsia="Calibri" w:hAnsi="Arial" w:cs="Arial"/>
          <w:lang w:val="es-MX"/>
        </w:rPr>
      </w:pPr>
      <w:r w:rsidRPr="00E724E9">
        <w:rPr>
          <w:rFonts w:ascii="Arial" w:eastAsia="Calibri" w:hAnsi="Arial" w:cs="Arial"/>
          <w:b/>
          <w:bCs/>
          <w:lang w:val="es-MX"/>
        </w:rPr>
        <w:t>Temas:</w:t>
      </w:r>
      <w:r w:rsidRPr="00E724E9">
        <w:rPr>
          <w:rFonts w:ascii="Arial" w:eastAsia="Calibri" w:hAnsi="Arial" w:cs="Arial"/>
          <w:bCs/>
          <w:noProof/>
          <w:color w:val="1A1A1A" w:themeColor="background1" w:themeShade="1A"/>
          <w:lang w:val="es-ES_tradnl"/>
        </w:rPr>
        <w:t xml:space="preserve"> </w:t>
      </w:r>
      <w:r w:rsidRPr="00E724E9">
        <w:rPr>
          <w:rFonts w:ascii="Arial" w:eastAsia="Calibri" w:hAnsi="Arial" w:cs="Arial"/>
          <w:bCs/>
          <w:noProof/>
          <w:color w:val="1A1A1A" w:themeColor="background1" w:themeShade="1A"/>
          <w:lang w:val="es-ES_tradnl"/>
        </w:rPr>
        <w:tab/>
      </w:r>
      <w:r w:rsidRPr="00E724E9">
        <w:rPr>
          <w:rFonts w:ascii="Arial" w:eastAsia="Calibri" w:hAnsi="Arial" w:cs="Arial"/>
          <w:lang w:val="es-MX"/>
        </w:rPr>
        <w:t>LEY DE EMPRENDIMIENTO – Ley 2069 de 2020– Finalidad / LEY DE EMPRENDIMIENTO – Ley 2069 de 2020 – Artículo 32 – Criterios diferenciales – Emprendimientos de mujeres – Empresas de mujeres – Necesidad de reglamentación – Decreto 1860 de 2021 / DECRETO 1860 DE 2021 – Emprendimientos y empresas de mujeres – Definición – Artículo 2.2.1.2.4.2.14 – Numeral 3 – Persona natural</w:t>
      </w:r>
      <w:r w:rsidRPr="00E724E9">
        <w:rPr>
          <w:rFonts w:ascii="Arial" w:hAnsi="Arial" w:cs="Arial"/>
        </w:rPr>
        <w:t xml:space="preserve"> /</w:t>
      </w:r>
      <w:r w:rsidRPr="00E724E9">
        <w:rPr>
          <w:rFonts w:ascii="Arial" w:eastAsia="Calibri" w:hAnsi="Arial" w:cs="Arial"/>
          <w:lang w:val="es-MX"/>
        </w:rPr>
        <w:t xml:space="preserve"> EMPRENDIMIENTOS Y EMPRESAS DE MUJERES – Definición – Artículo 2.2.1.2.4.2.14 – Numeral 3 – Persona natural – Registro mercantil</w:t>
      </w:r>
    </w:p>
    <w:p w14:paraId="135AB845" w14:textId="7F526372" w:rsidR="00E724E9" w:rsidRPr="00E724E9" w:rsidRDefault="00E724E9" w:rsidP="00E724E9">
      <w:pPr>
        <w:ind w:left="2824" w:hanging="2818"/>
        <w:jc w:val="both"/>
        <w:rPr>
          <w:rFonts w:ascii="Arial" w:eastAsia="Calibri" w:hAnsi="Arial" w:cs="Arial"/>
          <w:lang w:val="es-MX"/>
        </w:rPr>
      </w:pPr>
      <w:r w:rsidRPr="00E724E9">
        <w:rPr>
          <w:rFonts w:ascii="Arial" w:eastAsia="Calibri" w:hAnsi="Arial" w:cs="Arial"/>
          <w:b/>
          <w:bCs/>
          <w:lang w:val="es-MX"/>
        </w:rPr>
        <w:t>Radicación:</w:t>
      </w:r>
      <w:r w:rsidRPr="00E724E9">
        <w:rPr>
          <w:rFonts w:ascii="Arial" w:eastAsia="Calibri" w:hAnsi="Arial" w:cs="Arial"/>
          <w:bCs/>
          <w:noProof/>
          <w:color w:val="1A1A1A" w:themeColor="background1" w:themeShade="1A"/>
          <w:lang w:val="es-ES_tradnl"/>
        </w:rPr>
        <w:tab/>
      </w:r>
      <w:r w:rsidRPr="00E724E9">
        <w:rPr>
          <w:rFonts w:ascii="Arial" w:eastAsia="Calibri" w:hAnsi="Arial" w:cs="Arial"/>
          <w:lang w:val="es-MX"/>
        </w:rPr>
        <w:t>Respuesta a consulta P20221108011171</w:t>
      </w:r>
      <w:r w:rsidR="0063226F">
        <w:rPr>
          <w:rFonts w:ascii="Arial" w:eastAsia="Calibri" w:hAnsi="Arial" w:cs="Arial"/>
          <w:lang w:val="es-MX"/>
        </w:rPr>
        <w:t xml:space="preserve"> </w:t>
      </w:r>
      <w:r w:rsidR="0063226F">
        <w:rPr>
          <w:rFonts w:ascii="Arial" w:eastAsia="Calibri" w:hAnsi="Arial" w:cs="Arial"/>
          <w:lang w:val="es-ES"/>
        </w:rPr>
        <w:t xml:space="preserve">y </w:t>
      </w:r>
      <w:r w:rsidR="0063226F" w:rsidRPr="00D019B0">
        <w:rPr>
          <w:rFonts w:ascii="Arial" w:eastAsia="Calibri" w:hAnsi="Arial" w:cs="Arial"/>
          <w:lang w:val="es-ES"/>
        </w:rPr>
        <w:t>P20221214012221</w:t>
      </w:r>
      <w:r w:rsidR="0063226F">
        <w:rPr>
          <w:rFonts w:ascii="Arial" w:eastAsia="Calibri" w:hAnsi="Arial" w:cs="Arial"/>
          <w:lang w:val="es-ES"/>
        </w:rPr>
        <w:t xml:space="preserve"> (Acumuladas)</w:t>
      </w:r>
    </w:p>
    <w:p w14:paraId="1A5BE3AB" w14:textId="77777777" w:rsidR="00E724E9" w:rsidRPr="00E724E9" w:rsidRDefault="00E724E9" w:rsidP="00E724E9">
      <w:pPr>
        <w:ind w:left="2824" w:hanging="2818"/>
        <w:jc w:val="both"/>
        <w:rPr>
          <w:rFonts w:ascii="Arial" w:eastAsia="Calibri" w:hAnsi="Arial" w:cs="Arial"/>
          <w:lang w:val="es-ES_tradnl"/>
        </w:rPr>
      </w:pPr>
    </w:p>
    <w:p w14:paraId="5239DE3A" w14:textId="77777777" w:rsidR="00E724E9" w:rsidRPr="00E724E9" w:rsidRDefault="00E724E9" w:rsidP="00E724E9">
      <w:pPr>
        <w:spacing w:after="0" w:line="276" w:lineRule="auto"/>
        <w:jc w:val="both"/>
        <w:rPr>
          <w:rFonts w:ascii="Arial" w:eastAsia="Calibri" w:hAnsi="Arial" w:cs="Arial"/>
          <w:lang w:val="es-MX"/>
        </w:rPr>
      </w:pPr>
      <w:r w:rsidRPr="00E724E9">
        <w:rPr>
          <w:rFonts w:ascii="Arial" w:eastAsia="Calibri" w:hAnsi="Arial" w:cs="Arial"/>
          <w:lang w:val="es-MX"/>
        </w:rPr>
        <w:t xml:space="preserve">Estimada señora Calvache,    </w:t>
      </w:r>
    </w:p>
    <w:p w14:paraId="110F3F60" w14:textId="77777777" w:rsidR="00E724E9" w:rsidRPr="00E724E9" w:rsidRDefault="00E724E9" w:rsidP="00E724E9">
      <w:pPr>
        <w:spacing w:after="0" w:line="276" w:lineRule="auto"/>
        <w:jc w:val="both"/>
        <w:rPr>
          <w:rFonts w:ascii="Arial" w:eastAsia="Calibri" w:hAnsi="Arial" w:cs="Arial"/>
          <w:lang w:val="es-MX"/>
        </w:rPr>
      </w:pPr>
    </w:p>
    <w:p w14:paraId="10FEF35C" w14:textId="0928EC69" w:rsidR="00E724E9" w:rsidRPr="00E724E9" w:rsidRDefault="00E724E9" w:rsidP="00E724E9">
      <w:pPr>
        <w:spacing w:after="0" w:line="276" w:lineRule="auto"/>
        <w:jc w:val="both"/>
        <w:rPr>
          <w:rFonts w:ascii="Arial" w:eastAsia="Calibri" w:hAnsi="Arial" w:cs="Arial"/>
          <w:lang w:val="es-MX"/>
        </w:rPr>
      </w:pPr>
      <w:r w:rsidRPr="00E724E9">
        <w:rPr>
          <w:rFonts w:ascii="Arial" w:eastAsia="Calibri" w:hAnsi="Arial" w:cs="Arial"/>
          <w:lang w:val="es-MX"/>
        </w:rPr>
        <w:t>En ejercicio de la competencia otorgada por el numeral 8 del artículo 11 y el numeral 5 del artículo 3 del Decreto Ley 4170 de 2011, la Agencia Nacional de Contratación Pública− Colombia Compra Eficiente responde su consulta de fecha 8 de noviembre de 2022</w:t>
      </w:r>
      <w:r w:rsidR="0063226F">
        <w:rPr>
          <w:rFonts w:ascii="Arial" w:eastAsia="Calibri" w:hAnsi="Arial" w:cs="Arial"/>
          <w:lang w:val="es-MX"/>
        </w:rPr>
        <w:t>, reiterada el 14 de diciembre de 2022</w:t>
      </w:r>
      <w:r w:rsidRPr="00E724E9">
        <w:rPr>
          <w:rFonts w:ascii="Arial" w:eastAsia="Calibri" w:hAnsi="Arial" w:cs="Arial"/>
          <w:lang w:val="es-MX"/>
        </w:rPr>
        <w:t>.</w:t>
      </w:r>
    </w:p>
    <w:p w14:paraId="1FCACDB7" w14:textId="77777777" w:rsidR="00E724E9" w:rsidRPr="00E724E9" w:rsidRDefault="00E724E9" w:rsidP="00E724E9">
      <w:pPr>
        <w:spacing w:after="0" w:line="276" w:lineRule="auto"/>
        <w:jc w:val="both"/>
        <w:rPr>
          <w:rFonts w:ascii="Arial" w:hAnsi="Arial" w:cs="Arial"/>
          <w:lang w:val="es-ES_tradnl"/>
        </w:rPr>
      </w:pPr>
    </w:p>
    <w:p w14:paraId="4242AF49" w14:textId="77777777" w:rsidR="00E724E9" w:rsidRPr="00E724E9" w:rsidRDefault="00E724E9" w:rsidP="00E724E9">
      <w:pPr>
        <w:tabs>
          <w:tab w:val="left" w:pos="284"/>
        </w:tabs>
        <w:spacing w:after="0" w:line="276" w:lineRule="auto"/>
        <w:contextualSpacing/>
        <w:jc w:val="both"/>
        <w:rPr>
          <w:rFonts w:ascii="Arial" w:eastAsia="Calibri" w:hAnsi="Arial" w:cs="Arial"/>
          <w:b/>
          <w:bCs/>
          <w:lang w:val="es-MX"/>
        </w:rPr>
      </w:pPr>
      <w:r w:rsidRPr="00E724E9">
        <w:rPr>
          <w:rFonts w:ascii="Arial" w:eastAsia="Calibri" w:hAnsi="Arial" w:cs="Arial"/>
          <w:b/>
          <w:bCs/>
          <w:lang w:val="es-MX"/>
        </w:rPr>
        <w:t xml:space="preserve">1. Problema planteado </w:t>
      </w:r>
    </w:p>
    <w:p w14:paraId="134B5A24" w14:textId="77777777" w:rsidR="00E724E9" w:rsidRPr="00E724E9" w:rsidRDefault="00E724E9" w:rsidP="00E724E9">
      <w:pPr>
        <w:tabs>
          <w:tab w:val="left" w:pos="426"/>
        </w:tabs>
        <w:spacing w:after="0" w:line="276" w:lineRule="auto"/>
        <w:jc w:val="both"/>
        <w:rPr>
          <w:rFonts w:ascii="Arial" w:eastAsia="Calibri" w:hAnsi="Arial" w:cs="Arial"/>
        </w:rPr>
      </w:pPr>
    </w:p>
    <w:p w14:paraId="4CCDC9A7" w14:textId="77777777" w:rsidR="00E724E9" w:rsidRPr="00E724E9" w:rsidRDefault="00E724E9" w:rsidP="00E724E9">
      <w:pPr>
        <w:jc w:val="both"/>
        <w:rPr>
          <w:rFonts w:ascii="Arial" w:eastAsia="Calibri" w:hAnsi="Arial" w:cs="Arial"/>
          <w:lang w:val="es-MX"/>
        </w:rPr>
      </w:pPr>
      <w:r w:rsidRPr="00E724E9">
        <w:rPr>
          <w:rFonts w:ascii="Arial" w:eastAsia="Calibri" w:hAnsi="Arial" w:cs="Arial"/>
          <w:lang w:val="es-MX"/>
        </w:rPr>
        <w:t xml:space="preserve">Usted formula la siguiente consulta aclaratoria en relación con la asignación del puntaje adicional para emprendimientos y empresas de mujeres según lo establecido en el artículo 2.2.1.2.4.2.14 del Decreto 1082 de 2015, adicionado por el artículo 3 del Decreto 1860 de 2021, para procesos regidos por documentos tipo: </w:t>
      </w:r>
    </w:p>
    <w:p w14:paraId="0DBDFCD0" w14:textId="77777777" w:rsidR="00E724E9" w:rsidRPr="00E724E9" w:rsidRDefault="00E724E9" w:rsidP="00E724E9">
      <w:pPr>
        <w:widowControl w:val="0"/>
        <w:autoSpaceDE w:val="0"/>
        <w:autoSpaceDN w:val="0"/>
        <w:spacing w:after="0" w:line="240" w:lineRule="auto"/>
        <w:ind w:left="709" w:right="709"/>
        <w:jc w:val="both"/>
        <w:rPr>
          <w:rFonts w:ascii="Arial" w:eastAsia="Calibri" w:hAnsi="Arial" w:cs="Arial"/>
          <w:lang w:val="es-MX"/>
        </w:rPr>
      </w:pPr>
      <w:bookmarkStart w:id="2" w:name="_Hlk106025682"/>
      <w:r w:rsidRPr="00E724E9">
        <w:rPr>
          <w:rFonts w:ascii="Arial" w:eastAsia="Calibri" w:hAnsi="Arial" w:cs="Arial"/>
          <w:lang w:val="es-MX"/>
        </w:rPr>
        <w:t xml:space="preserve">«[…] Conforme a los pliegos tipo para obras civiles e interventorías, las Entidades públicas asignarán un puntaje de </w:t>
      </w:r>
      <w:proofErr w:type="gramStart"/>
      <w:r w:rsidRPr="00E724E9">
        <w:rPr>
          <w:rFonts w:ascii="Arial" w:eastAsia="Calibri" w:hAnsi="Arial" w:cs="Arial"/>
          <w:lang w:val="es-MX"/>
        </w:rPr>
        <w:t>cero punto</w:t>
      </w:r>
      <w:proofErr w:type="gramEnd"/>
      <w:r w:rsidRPr="00E724E9">
        <w:rPr>
          <w:rFonts w:ascii="Arial" w:eastAsia="Calibri" w:hAnsi="Arial" w:cs="Arial"/>
          <w:lang w:val="es-MX"/>
        </w:rPr>
        <w:t xml:space="preserve"> veinticinco (0.25) puntos al Proponente que acredite la calidad de emprendimientos y empresas de mujeres </w:t>
      </w:r>
      <w:r w:rsidRPr="00E724E9">
        <w:rPr>
          <w:rFonts w:ascii="Arial" w:eastAsia="Calibri" w:hAnsi="Arial" w:cs="Arial"/>
          <w:lang w:val="es-MX"/>
        </w:rPr>
        <w:lastRenderedPageBreak/>
        <w:t>con domicilio en el territorio nacional de conformidad con lo previsto en el artículo 2.2.1.2.4.2.14. del Decreto 1082 de 2015 o la norma que lo modifique, sustituya o complemente. Para que el Proponente obtenga este puntaje debe diligenciar el “Formato 13 –Acreditación de emprendimientos y empresas de mujeres” y aportar la documentación requerida. Este puntaje rige a partir del 1 de noviembre de 2022. En dicho formato, para personas naturales, que es mi caso, se certifica bajo la gravedad de juramento que se ha ejercido actividades comerciales durante al menos el ultimo año anterior contado a partir de la fecha de cierre del proceso de contratación, y se debe adjuntar copia cedula y copia registro mercantil. Mi consulta se debe a la forma en que las entidades públicas deben verificar el tiempo en la acreditación del ejercimiento de actividades comerciales durante el ultimo año, debido a que, en mi caso particular y me atrevo a asegurar, la mayoría de las mujeres que contratamos obras civiles y de interventoría, por lo general no tenemos registro mercantil sino registro único de proponentes[…] »</w:t>
      </w:r>
      <w:bookmarkEnd w:id="2"/>
    </w:p>
    <w:p w14:paraId="4C9875AD" w14:textId="77777777" w:rsidR="00E724E9" w:rsidRPr="00E724E9" w:rsidRDefault="00E724E9" w:rsidP="00E724E9">
      <w:pPr>
        <w:spacing w:after="0" w:line="240" w:lineRule="auto"/>
        <w:ind w:right="709"/>
        <w:jc w:val="both"/>
        <w:rPr>
          <w:rFonts w:ascii="Arial" w:eastAsia="Calibri" w:hAnsi="Arial" w:cs="Arial"/>
          <w:b/>
        </w:rPr>
      </w:pPr>
    </w:p>
    <w:p w14:paraId="0FE75DF2" w14:textId="77777777" w:rsidR="00E724E9" w:rsidRPr="00E724E9" w:rsidRDefault="00E724E9" w:rsidP="00E724E9">
      <w:pPr>
        <w:spacing w:after="0" w:line="240" w:lineRule="auto"/>
        <w:ind w:right="709"/>
        <w:jc w:val="both"/>
        <w:rPr>
          <w:rFonts w:ascii="Arial" w:eastAsia="Calibri" w:hAnsi="Arial" w:cs="Arial"/>
          <w:b/>
        </w:rPr>
      </w:pPr>
    </w:p>
    <w:p w14:paraId="3A0BB633" w14:textId="77777777" w:rsidR="00E724E9" w:rsidRPr="00E724E9" w:rsidRDefault="00E724E9" w:rsidP="00E724E9">
      <w:pPr>
        <w:tabs>
          <w:tab w:val="left" w:pos="284"/>
        </w:tabs>
        <w:spacing w:after="0" w:line="276" w:lineRule="auto"/>
        <w:contextualSpacing/>
        <w:jc w:val="both"/>
        <w:rPr>
          <w:rFonts w:ascii="Arial" w:eastAsia="Calibri" w:hAnsi="Arial" w:cs="Arial"/>
          <w:b/>
          <w:bCs/>
          <w:lang w:val="es-MX"/>
        </w:rPr>
      </w:pPr>
      <w:r w:rsidRPr="00E724E9">
        <w:rPr>
          <w:rFonts w:ascii="Arial" w:eastAsia="Calibri" w:hAnsi="Arial" w:cs="Arial"/>
          <w:b/>
          <w:bCs/>
          <w:lang w:val="es-MX"/>
        </w:rPr>
        <w:t>2. Consideraciones</w:t>
      </w:r>
    </w:p>
    <w:p w14:paraId="6E599F96" w14:textId="77777777" w:rsidR="00E724E9" w:rsidRPr="00E724E9" w:rsidRDefault="00E724E9" w:rsidP="00E724E9">
      <w:pPr>
        <w:spacing w:after="0" w:line="240" w:lineRule="auto"/>
        <w:ind w:right="709"/>
        <w:jc w:val="both"/>
        <w:rPr>
          <w:rFonts w:ascii="Arial" w:hAnsi="Arial" w:cs="Arial"/>
          <w:color w:val="1A1A1A" w:themeColor="background1" w:themeShade="1A"/>
        </w:rPr>
      </w:pPr>
    </w:p>
    <w:p w14:paraId="7F4C2E41" w14:textId="77777777" w:rsidR="00E724E9" w:rsidRPr="00E724E9" w:rsidRDefault="00E724E9" w:rsidP="00E724E9">
      <w:pPr>
        <w:spacing w:after="120" w:line="276" w:lineRule="auto"/>
        <w:jc w:val="both"/>
        <w:rPr>
          <w:rFonts w:ascii="Arial" w:eastAsia="Calibri" w:hAnsi="Arial" w:cs="Arial"/>
          <w:lang w:val="es-MX"/>
        </w:rPr>
      </w:pPr>
      <w:r w:rsidRPr="00E724E9">
        <w:rPr>
          <w:rFonts w:ascii="Arial" w:eastAsia="Calibri" w:hAnsi="Arial" w:cs="Arial"/>
          <w:lang w:val="es-MX"/>
        </w:rPr>
        <w:t>Es necesario tener en cuenta que, de acuerdo con las competencias establecidas en los artículos 3.5 y 11.8 del Decreto 4170 de 2021, la Agencia Nacional de Contratación Pública - Colombia Compra Eficiente solo tiene competencia para responder solicitudes sobre la aplicación de normas de carácter general en materia de compras y contratación pública.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724E9">
        <w:rPr>
          <w:rFonts w:ascii="Arial" w:hAnsi="Arial" w:cs="Arial"/>
          <w:color w:val="000000" w:themeColor="text1"/>
          <w:vertAlign w:val="superscript"/>
          <w:lang w:val="es-ES"/>
        </w:rPr>
        <w:footnoteReference w:id="2"/>
      </w:r>
      <w:r w:rsidRPr="00E724E9">
        <w:rPr>
          <w:rFonts w:ascii="Arial" w:hAnsi="Arial" w:cs="Arial"/>
          <w:color w:val="000000" w:themeColor="text1"/>
          <w:lang w:val="es-ES"/>
        </w:rPr>
        <w:t xml:space="preserve">. </w:t>
      </w:r>
      <w:r w:rsidRPr="00E724E9">
        <w:rPr>
          <w:rFonts w:ascii="Arial" w:eastAsia="Calibri" w:hAnsi="Arial" w:cs="Arial"/>
          <w:lang w:val="es-MX"/>
        </w:rPr>
        <w:t>Esta competencia de interpretación de normas generales, por definición, tampoco puede extenderse a la resolución de controversias, ni a brindar asesorías sobre casos puntuales.</w:t>
      </w:r>
    </w:p>
    <w:p w14:paraId="2897820E" w14:textId="77777777" w:rsidR="00E724E9" w:rsidRPr="00E724E9" w:rsidRDefault="00E724E9" w:rsidP="00E724E9">
      <w:pPr>
        <w:widowControl w:val="0"/>
        <w:autoSpaceDE w:val="0"/>
        <w:autoSpaceDN w:val="0"/>
        <w:spacing w:after="120" w:line="276" w:lineRule="auto"/>
        <w:ind w:firstLine="708"/>
        <w:jc w:val="both"/>
        <w:rPr>
          <w:rFonts w:ascii="Arial" w:eastAsia="Calibri" w:hAnsi="Arial" w:cs="Arial"/>
          <w:lang w:val="es-MX"/>
        </w:rPr>
      </w:pPr>
      <w:r w:rsidRPr="00E724E9">
        <w:rPr>
          <w:rFonts w:ascii="Arial" w:eastAsia="Calibri" w:hAnsi="Arial" w:cs="Arial"/>
          <w:lang w:val="es-MX"/>
        </w:rPr>
        <w:t>Aclarado lo anterior, para responder su consulta, en desarrollo del presente concepto, se analizarán los siguientes temas: i) vigencia y reglamentación de los criterios diferenciales de la Ley 2069 de 2020; y ii) definición de emprendimientos y empresas de mujeres en el Decreto 1860 de 2021.</w:t>
      </w:r>
      <w:r w:rsidRPr="00E724E9">
        <w:rPr>
          <w:rFonts w:ascii="Arial" w:eastAsia="Arial" w:hAnsi="Arial" w:cs="Arial"/>
          <w:lang w:val="es-ES"/>
        </w:rPr>
        <w:t xml:space="preserve"> </w:t>
      </w:r>
      <w:r w:rsidRPr="00E724E9">
        <w:rPr>
          <w:rFonts w:ascii="Arial" w:eastAsia="Calibri" w:hAnsi="Arial" w:cs="Arial"/>
          <w:lang w:val="es-MX"/>
        </w:rPr>
        <w:t>Especial referencia a los requisitos de personas naturales.</w:t>
      </w:r>
    </w:p>
    <w:p w14:paraId="57651219" w14:textId="77777777" w:rsidR="00E724E9" w:rsidRPr="00E724E9" w:rsidRDefault="00E724E9" w:rsidP="00E724E9">
      <w:pPr>
        <w:widowControl w:val="0"/>
        <w:autoSpaceDE w:val="0"/>
        <w:autoSpaceDN w:val="0"/>
        <w:spacing w:before="240" w:after="0" w:line="276" w:lineRule="auto"/>
        <w:ind w:firstLine="708"/>
        <w:jc w:val="both"/>
        <w:rPr>
          <w:rFonts w:ascii="Arial" w:eastAsia="Calibri" w:hAnsi="Arial" w:cs="Arial"/>
          <w:lang w:val="es-MX"/>
        </w:rPr>
      </w:pPr>
      <w:r w:rsidRPr="00E724E9">
        <w:rPr>
          <w:rFonts w:ascii="Arial" w:eastAsia="Calibri" w:hAnsi="Arial" w:cs="Arial"/>
          <w:lang w:val="es-MX"/>
        </w:rPr>
        <w:t xml:space="preserve">La Agencia Nacional de Contratación Pública – Colombia Compra Eficiente se ha </w:t>
      </w:r>
      <w:r w:rsidRPr="00E724E9">
        <w:rPr>
          <w:rFonts w:ascii="Arial" w:eastAsia="Calibri" w:hAnsi="Arial" w:cs="Arial"/>
          <w:lang w:val="es-MX"/>
        </w:rPr>
        <w:lastRenderedPageBreak/>
        <w:t>pronunciado, en términos generales, sobre el contenido de la Ley de Emprendimiento en diferentes conceptos</w:t>
      </w:r>
      <w:r w:rsidRPr="00E724E9">
        <w:rPr>
          <w:rFonts w:ascii="Arial" w:eastAsia="Calibri" w:hAnsi="Arial" w:cs="Arial"/>
          <w:color w:val="000000" w:themeColor="text1"/>
          <w:vertAlign w:val="superscript"/>
          <w:lang w:val="es-ES_tradnl"/>
        </w:rPr>
        <w:footnoteReference w:id="3"/>
      </w:r>
      <w:r w:rsidRPr="00E724E9">
        <w:rPr>
          <w:rFonts w:ascii="Arial" w:eastAsia="Calibri" w:hAnsi="Arial" w:cs="Arial"/>
          <w:color w:val="000000" w:themeColor="text1"/>
          <w:lang w:val="es-ES_tradnl"/>
        </w:rPr>
        <w:t xml:space="preserve">, </w:t>
      </w:r>
      <w:r w:rsidRPr="00E724E9">
        <w:rPr>
          <w:rFonts w:ascii="Arial" w:eastAsia="Calibri" w:hAnsi="Arial" w:cs="Arial"/>
          <w:lang w:val="es-MX"/>
        </w:rPr>
        <w:t>refiriéndose, especialmente, a lo dispuesto en el artículo 32 de la precitada ley, alusivo a los criterios diferenciales para emprendimientos y empresas de mujeres, en los conceptos C-029 de 21 de febrero de 2021, C-037 del 26 de febrero de 2021, C-141 del 8 de abril de 2021, C-114 del 13 de abril de 2021, C-031 del 1 de marzo de 2022, C-217 del 21 de abril de 2022, C-476 de 21 de junio de 2022, C-509 de 8 de agosto de 2022, C-522 de 17 de agosto de 2022, C-533 de 25 de agosto de 2022, C-587 de 21 de septiembre de 2022, C-650 de 6 de octubre de 2022, C-698 de 24 de octubre de 2022 y C-715 de 28 de octubre de 2022. Algunas de las consideraciones de estos conceptos se reiteran y complementan en lo pertinente a continuación.</w:t>
      </w:r>
    </w:p>
    <w:p w14:paraId="5B744011" w14:textId="77777777" w:rsidR="00E724E9" w:rsidRPr="00E724E9" w:rsidRDefault="00E724E9" w:rsidP="00E724E9">
      <w:pPr>
        <w:spacing w:after="0" w:line="240" w:lineRule="auto"/>
        <w:jc w:val="both"/>
        <w:rPr>
          <w:rFonts w:ascii="Arial" w:eastAsia="Calibri" w:hAnsi="Arial" w:cs="Arial"/>
          <w:b/>
          <w:bCs/>
          <w:color w:val="000000" w:themeColor="text1"/>
          <w:lang w:val="es-ES_tradnl"/>
        </w:rPr>
      </w:pPr>
      <w:bookmarkStart w:id="3" w:name="_Hlk94018153"/>
    </w:p>
    <w:p w14:paraId="15CAB71A" w14:textId="77777777" w:rsidR="00E724E9" w:rsidRPr="00E724E9" w:rsidRDefault="00E724E9" w:rsidP="00E724E9">
      <w:pPr>
        <w:spacing w:after="0" w:line="240" w:lineRule="auto"/>
        <w:jc w:val="both"/>
        <w:rPr>
          <w:rFonts w:ascii="Arial" w:eastAsia="Calibri" w:hAnsi="Arial" w:cs="Arial"/>
          <w:b/>
          <w:bCs/>
          <w:lang w:val="es-MX"/>
        </w:rPr>
      </w:pPr>
      <w:r w:rsidRPr="00E724E9">
        <w:rPr>
          <w:rFonts w:ascii="Arial" w:eastAsia="Calibri" w:hAnsi="Arial" w:cs="Arial"/>
          <w:b/>
          <w:bCs/>
          <w:lang w:val="es-MX"/>
        </w:rPr>
        <w:t xml:space="preserve">2.1. Vigencia y reglamentación de los criterios diferenciales introducidos por la Ley 2069 de 2020 </w:t>
      </w:r>
      <w:bookmarkEnd w:id="3"/>
    </w:p>
    <w:p w14:paraId="1CDF1BA4" w14:textId="77777777" w:rsidR="00E724E9" w:rsidRPr="00E724E9" w:rsidRDefault="00E724E9" w:rsidP="00E724E9">
      <w:pPr>
        <w:spacing w:after="0" w:line="276" w:lineRule="auto"/>
        <w:jc w:val="both"/>
        <w:rPr>
          <w:rFonts w:ascii="Arial" w:eastAsia="Calibri" w:hAnsi="Arial" w:cs="Arial"/>
          <w:color w:val="000000" w:themeColor="text1"/>
          <w:lang w:val="es-ES_tradnl"/>
        </w:rPr>
      </w:pPr>
    </w:p>
    <w:p w14:paraId="36342916" w14:textId="77777777" w:rsidR="00E724E9" w:rsidRPr="00E724E9" w:rsidRDefault="00E724E9" w:rsidP="00E724E9">
      <w:pPr>
        <w:spacing w:after="0" w:line="276" w:lineRule="auto"/>
        <w:jc w:val="both"/>
        <w:rPr>
          <w:rFonts w:ascii="Arial" w:eastAsia="Calibri" w:hAnsi="Arial" w:cs="Arial"/>
          <w:lang w:val="es-MX"/>
        </w:rPr>
      </w:pPr>
      <w:r w:rsidRPr="00E724E9">
        <w:rPr>
          <w:rFonts w:ascii="Arial" w:eastAsia="Calibri" w:hAnsi="Arial" w:cs="Arial"/>
          <w:lang w:val="es-MX"/>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 al cual se hará referencia más adelante.</w:t>
      </w:r>
    </w:p>
    <w:p w14:paraId="0A1907EA" w14:textId="77777777" w:rsidR="00E724E9" w:rsidRPr="00E724E9" w:rsidRDefault="00E724E9" w:rsidP="00E724E9">
      <w:pPr>
        <w:spacing w:after="0" w:line="276" w:lineRule="auto"/>
        <w:jc w:val="both"/>
        <w:rPr>
          <w:rFonts w:ascii="Arial" w:eastAsia="Calibri" w:hAnsi="Arial" w:cs="Arial"/>
          <w:lang w:val="es-MX"/>
        </w:rPr>
      </w:pPr>
    </w:p>
    <w:p w14:paraId="7D514417" w14:textId="77777777" w:rsidR="00E724E9" w:rsidRPr="00E724E9" w:rsidRDefault="00E724E9" w:rsidP="00E724E9">
      <w:pPr>
        <w:spacing w:after="0" w:line="276" w:lineRule="auto"/>
        <w:ind w:firstLine="708"/>
        <w:jc w:val="both"/>
        <w:rPr>
          <w:rFonts w:ascii="Arial" w:eastAsia="Calibri" w:hAnsi="Arial" w:cs="Arial"/>
          <w:color w:val="000000" w:themeColor="text1"/>
          <w:lang w:val="es-ES_tradnl"/>
        </w:rPr>
      </w:pPr>
      <w:r w:rsidRPr="00E724E9">
        <w:rPr>
          <w:rFonts w:ascii="Arial" w:eastAsia="Calibri" w:hAnsi="Arial" w:cs="Arial"/>
          <w:lang w:val="es-MX"/>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E724E9">
        <w:rPr>
          <w:rFonts w:ascii="Arial" w:eastAsia="Calibri" w:hAnsi="Arial" w:cs="Arial"/>
          <w:color w:val="000000" w:themeColor="text1"/>
          <w:vertAlign w:val="superscript"/>
          <w:lang w:val="es-ES_tradnl"/>
        </w:rPr>
        <w:footnoteReference w:id="4"/>
      </w:r>
      <w:r w:rsidRPr="00E724E9">
        <w:rPr>
          <w:rFonts w:ascii="Arial" w:eastAsia="Calibri" w:hAnsi="Arial" w:cs="Arial"/>
          <w:color w:val="000000" w:themeColor="text1"/>
          <w:lang w:val="es-ES_tradnl"/>
        </w:rPr>
        <w:t xml:space="preserve">. </w:t>
      </w:r>
      <w:r w:rsidRPr="00E724E9">
        <w:rPr>
          <w:rFonts w:ascii="Arial" w:eastAsia="Calibri" w:hAnsi="Arial" w:cs="Arial"/>
          <w:lang w:val="es-MX"/>
        </w:rPr>
        <w:t xml:space="preserve">Esto, a partir de «[…] un enfoque regionalizado </w:t>
      </w:r>
      <w:proofErr w:type="gramStart"/>
      <w:r w:rsidRPr="00E724E9">
        <w:rPr>
          <w:rFonts w:ascii="Arial" w:eastAsia="Calibri" w:hAnsi="Arial" w:cs="Arial"/>
          <w:lang w:val="es-MX"/>
        </w:rPr>
        <w:t>de acuerdo a</w:t>
      </w:r>
      <w:proofErr w:type="gramEnd"/>
      <w:r w:rsidRPr="00E724E9">
        <w:rPr>
          <w:rFonts w:ascii="Arial" w:eastAsia="Calibri" w:hAnsi="Arial" w:cs="Arial"/>
          <w:lang w:val="es-MX"/>
        </w:rPr>
        <w:t xml:space="preserve"> las realidades socioeconómicas de cada región». En desarrollo de esta finalidad, se establecen medidas de </w:t>
      </w:r>
      <w:r w:rsidRPr="00E724E9">
        <w:rPr>
          <w:rFonts w:ascii="Arial" w:eastAsia="Calibri" w:hAnsi="Arial" w:cs="Arial"/>
          <w:lang w:val="es-MX"/>
        </w:rPr>
        <w:lastRenderedPageBreak/>
        <w:t>apoyo para las micro, pequeñas y medianas empresas –Mipymes–, mediante la racionalización y simplificación de los trámites y tarifas</w:t>
      </w:r>
      <w:r w:rsidRPr="00E724E9">
        <w:rPr>
          <w:rFonts w:ascii="Arial" w:eastAsia="Calibri" w:hAnsi="Arial" w:cs="Arial"/>
          <w:color w:val="000000" w:themeColor="text1"/>
          <w:vertAlign w:val="superscript"/>
          <w:lang w:val="es-ES_tradnl"/>
        </w:rPr>
        <w:footnoteReference w:id="5"/>
      </w:r>
      <w:r w:rsidRPr="00E724E9">
        <w:rPr>
          <w:rFonts w:ascii="Arial" w:eastAsia="Calibri" w:hAnsi="Arial" w:cs="Arial"/>
          <w:lang w:val="es-MX"/>
        </w:rPr>
        <w:t>, así como incentivos a favor de aquellas dentro del sistema de compras y contratación pública</w:t>
      </w:r>
      <w:r w:rsidRPr="00E724E9">
        <w:rPr>
          <w:rFonts w:ascii="Arial" w:eastAsia="Calibri" w:hAnsi="Arial" w:cs="Arial"/>
          <w:color w:val="000000" w:themeColor="text1"/>
          <w:vertAlign w:val="superscript"/>
          <w:lang w:val="es-ES_tradnl"/>
        </w:rPr>
        <w:footnoteReference w:id="6"/>
      </w:r>
      <w:r w:rsidRPr="00E724E9">
        <w:rPr>
          <w:rFonts w:ascii="Arial" w:eastAsia="Calibri" w:hAnsi="Arial" w:cs="Arial"/>
          <w:color w:val="000000" w:themeColor="text1"/>
          <w:lang w:val="es-ES_tradnl"/>
        </w:rPr>
        <w:t xml:space="preserve">. </w:t>
      </w:r>
      <w:r w:rsidRPr="00E724E9">
        <w:rPr>
          <w:rFonts w:ascii="Arial" w:eastAsia="Calibri" w:hAnsi="Arial" w:cs="Arial"/>
          <w:lang w:val="es-MX"/>
        </w:rPr>
        <w:t>También se consagran mecanismos de acceso al financiamiento</w:t>
      </w:r>
      <w:r w:rsidRPr="00E724E9">
        <w:rPr>
          <w:rFonts w:ascii="Arial" w:eastAsia="Calibri" w:hAnsi="Arial" w:cs="Arial"/>
          <w:color w:val="000000" w:themeColor="text1"/>
          <w:vertAlign w:val="superscript"/>
          <w:lang w:val="es-ES_tradnl"/>
        </w:rPr>
        <w:footnoteReference w:id="7"/>
      </w:r>
      <w:r w:rsidRPr="00E724E9">
        <w:rPr>
          <w:rFonts w:ascii="Arial" w:eastAsia="Calibri" w:hAnsi="Arial" w:cs="Arial"/>
          <w:color w:val="000000" w:themeColor="text1"/>
          <w:lang w:val="es-ES_tradnl"/>
        </w:rPr>
        <w:t xml:space="preserve">, </w:t>
      </w:r>
      <w:r w:rsidRPr="00E724E9">
        <w:rPr>
          <w:rFonts w:ascii="Arial" w:eastAsia="Calibri" w:hAnsi="Arial" w:cs="Arial"/>
          <w:lang w:val="es-MX"/>
        </w:rPr>
        <w:t>se unifican las fuentes de emprendimiento y de desarrollo empresarial, para fortalecer y promover los distintos sectores de la economía</w:t>
      </w:r>
      <w:r w:rsidRPr="00E724E9">
        <w:rPr>
          <w:rFonts w:ascii="Arial" w:eastAsia="Calibri" w:hAnsi="Arial" w:cs="Arial"/>
          <w:color w:val="000000" w:themeColor="text1"/>
          <w:vertAlign w:val="superscript"/>
          <w:lang w:val="es-ES_tradnl"/>
        </w:rPr>
        <w:footnoteReference w:id="8"/>
      </w:r>
      <w:r w:rsidRPr="00E724E9">
        <w:rPr>
          <w:rFonts w:ascii="Arial" w:eastAsia="Calibri" w:hAnsi="Arial" w:cs="Arial"/>
          <w:color w:val="000000" w:themeColor="text1"/>
          <w:lang w:val="es-ES_tradnl"/>
        </w:rPr>
        <w:t xml:space="preserve"> </w:t>
      </w:r>
      <w:r w:rsidRPr="00E724E9">
        <w:rPr>
          <w:rFonts w:ascii="Arial" w:eastAsia="Calibri" w:hAnsi="Arial" w:cs="Arial"/>
          <w:lang w:val="es-MX"/>
        </w:rPr>
        <w:t>y se prevén medidas de educación para el emprendimiento y la innovación</w:t>
      </w:r>
      <w:r w:rsidRPr="00E724E9">
        <w:rPr>
          <w:rFonts w:ascii="Arial" w:eastAsia="Calibri" w:hAnsi="Arial" w:cs="Arial"/>
          <w:color w:val="000000" w:themeColor="text1"/>
          <w:vertAlign w:val="superscript"/>
          <w:lang w:val="es-ES_tradnl"/>
        </w:rPr>
        <w:footnoteReference w:id="9"/>
      </w:r>
      <w:r w:rsidRPr="00E724E9">
        <w:rPr>
          <w:rFonts w:ascii="Arial" w:eastAsia="Calibri" w:hAnsi="Arial" w:cs="Arial"/>
          <w:color w:val="000000" w:themeColor="text1"/>
          <w:lang w:val="es-ES_tradnl"/>
        </w:rPr>
        <w:t>.</w:t>
      </w:r>
    </w:p>
    <w:p w14:paraId="31AE2D61" w14:textId="77777777" w:rsidR="00E724E9" w:rsidRPr="00E724E9" w:rsidRDefault="00E724E9" w:rsidP="00E724E9">
      <w:pPr>
        <w:spacing w:before="120" w:after="120" w:line="276" w:lineRule="auto"/>
        <w:ind w:firstLine="709"/>
        <w:jc w:val="both"/>
        <w:rPr>
          <w:rFonts w:ascii="Arial" w:eastAsia="Calibri" w:hAnsi="Arial" w:cs="Arial"/>
          <w:color w:val="000000" w:themeColor="text1"/>
          <w:lang w:val="es-ES_tradnl"/>
        </w:rPr>
      </w:pPr>
      <w:r w:rsidRPr="00E724E9">
        <w:rPr>
          <w:rFonts w:ascii="Arial" w:eastAsia="Calibri" w:hAnsi="Arial" w:cs="Arial"/>
          <w:lang w:val="es-MX"/>
        </w:rPr>
        <w:t>Como se indicó, parte de la Ley 2069 contiene normas que modifican algunos aspectos de la contratación estatal para promover el emprendimiento. Concretamente, aquellas se encuentran en el Capítulo 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w:t>
      </w:r>
      <w:r w:rsidRPr="00E724E9">
        <w:rPr>
          <w:rFonts w:ascii="Arial" w:eastAsia="Calibri" w:hAnsi="Arial" w:cs="Arial"/>
          <w:color w:val="000000" w:themeColor="text1"/>
          <w:vertAlign w:val="superscript"/>
          <w:lang w:val="es-ES_tradnl"/>
        </w:rPr>
        <w:footnoteReference w:id="10"/>
      </w:r>
      <w:r w:rsidRPr="00E724E9">
        <w:rPr>
          <w:rFonts w:ascii="Arial" w:eastAsia="Calibri" w:hAnsi="Arial" w:cs="Arial"/>
          <w:color w:val="000000" w:themeColor="text1"/>
          <w:lang w:val="es-ES_tradnl"/>
        </w:rPr>
        <w:t xml:space="preserve">. </w:t>
      </w:r>
    </w:p>
    <w:p w14:paraId="020FA202" w14:textId="77777777" w:rsidR="00E724E9" w:rsidRPr="00E724E9" w:rsidRDefault="00E724E9" w:rsidP="00E724E9">
      <w:pPr>
        <w:tabs>
          <w:tab w:val="left" w:pos="709"/>
        </w:tabs>
        <w:spacing w:after="120" w:line="276" w:lineRule="auto"/>
        <w:jc w:val="both"/>
        <w:rPr>
          <w:rFonts w:ascii="Arial" w:eastAsia="Calibri" w:hAnsi="Arial" w:cs="Arial"/>
          <w:lang w:val="es-MX"/>
        </w:rPr>
      </w:pPr>
      <w:r w:rsidRPr="00E724E9">
        <w:rPr>
          <w:rFonts w:ascii="Arial" w:eastAsia="Calibri" w:hAnsi="Arial" w:cs="Arial"/>
          <w:bCs/>
          <w:color w:val="000000" w:themeColor="text1"/>
        </w:rPr>
        <w:tab/>
      </w:r>
      <w:r w:rsidRPr="00E724E9">
        <w:rPr>
          <w:rFonts w:ascii="Arial" w:eastAsia="Calibri" w:hAnsi="Arial" w:cs="Arial"/>
          <w:lang w:val="es-MX"/>
        </w:rPr>
        <w:t xml:space="preserve">Dentro del referido capítulo se encuentran </w:t>
      </w:r>
      <w:bookmarkStart w:id="5" w:name="_Hlk63848566"/>
      <w:r w:rsidRPr="00E724E9">
        <w:rPr>
          <w:rFonts w:ascii="Arial" w:eastAsia="Calibri" w:hAnsi="Arial" w:cs="Arial"/>
          <w:lang w:val="es-MX"/>
        </w:rPr>
        <w:t>los artículos 31 y 32 de la Ley 2069 de 2020</w:t>
      </w:r>
      <w:bookmarkEnd w:id="5"/>
      <w:r w:rsidRPr="00E724E9">
        <w:rPr>
          <w:rFonts w:ascii="Arial" w:eastAsia="Calibri" w:hAnsi="Arial" w:cs="Arial"/>
          <w:lang w:val="es-MX"/>
        </w:rPr>
        <w:t xml:space="preserve">, los cuales crean una serie de incentivos para las personas interesadas en celebrar contratos con el Estado. Por un lado, el artículo 31 introduce criterios diferenciales para el acceso de las Mipymes al sistema de compras y contratación pública, estableciendo que «Las Entidades Estatales de acuerdo con el análisis de Sector </w:t>
      </w:r>
      <w:bookmarkStart w:id="6" w:name="_Hlk63767562"/>
      <w:r w:rsidRPr="00E724E9">
        <w:rPr>
          <w:rFonts w:ascii="Arial" w:eastAsia="Calibri" w:hAnsi="Arial" w:cs="Arial"/>
          <w:lang w:val="es-MX"/>
        </w:rPr>
        <w:t>podrán incluir, en los Documentos del Proceso, requisitos diferenciales y puntajes adicionales</w:t>
      </w:r>
      <w:bookmarkEnd w:id="6"/>
      <w:r w:rsidRPr="00E724E9">
        <w:rPr>
          <w:rFonts w:ascii="Arial" w:eastAsia="Calibri" w:hAnsi="Arial" w:cs="Arial"/>
          <w:lang w:val="es-MX"/>
        </w:rPr>
        <w:t xml:space="preserve">, en función del tamaño empresarial para la promoción del acceso de las MIPYMES al mercado de Compras Públicas».  </w:t>
      </w:r>
    </w:p>
    <w:p w14:paraId="2CC6C9F2" w14:textId="77777777" w:rsidR="00E724E9" w:rsidRPr="00E724E9" w:rsidRDefault="00E724E9" w:rsidP="00E724E9">
      <w:pPr>
        <w:tabs>
          <w:tab w:val="left" w:pos="709"/>
        </w:tabs>
        <w:spacing w:after="120" w:line="276" w:lineRule="auto"/>
        <w:jc w:val="both"/>
        <w:rPr>
          <w:rFonts w:ascii="Arial" w:eastAsia="Calibri" w:hAnsi="Arial" w:cs="Arial"/>
          <w:lang w:val="es-MX"/>
        </w:rPr>
      </w:pPr>
      <w:r w:rsidRPr="00E724E9">
        <w:rPr>
          <w:rFonts w:ascii="Arial" w:eastAsia="Calibri" w:hAnsi="Arial" w:cs="Arial"/>
          <w:lang w:val="es-MX"/>
        </w:rPr>
        <w:tab/>
        <w:t xml:space="preserve">Además, el inciso segundo y el parágrafo del artículo 31 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w:t>
      </w:r>
      <w:r w:rsidRPr="00E724E9">
        <w:rPr>
          <w:rFonts w:ascii="Arial" w:eastAsia="Calibri" w:hAnsi="Arial" w:cs="Arial"/>
          <w:lang w:val="es-MX"/>
        </w:rPr>
        <w:lastRenderedPageBreak/>
        <w:t>otros Estados». Es decir, esta norma requiere el desarrollo reglamentario como una condición previa para su aplicación.</w:t>
      </w:r>
    </w:p>
    <w:p w14:paraId="613E0AA0" w14:textId="77777777" w:rsidR="00E724E9" w:rsidRPr="00E724E9" w:rsidRDefault="00E724E9" w:rsidP="00E724E9">
      <w:pPr>
        <w:tabs>
          <w:tab w:val="left" w:pos="709"/>
        </w:tabs>
        <w:spacing w:line="276" w:lineRule="auto"/>
        <w:jc w:val="both"/>
        <w:rPr>
          <w:rFonts w:ascii="Arial" w:eastAsia="Calibri" w:hAnsi="Arial" w:cs="Arial"/>
          <w:bCs/>
          <w:color w:val="000000" w:themeColor="text1"/>
        </w:rPr>
      </w:pPr>
      <w:r w:rsidRPr="00E724E9">
        <w:rPr>
          <w:rFonts w:ascii="Arial" w:eastAsia="Calibri" w:hAnsi="Arial" w:cs="Arial"/>
          <w:lang w:val="es-MX"/>
        </w:rPr>
        <w:tab/>
        <w:t>Por otra parte, el artículo 32 de la Ley 2069 de 2020</w:t>
      </w:r>
      <w:r w:rsidRPr="00E724E9">
        <w:rPr>
          <w:rFonts w:ascii="Arial" w:eastAsia="Calibri" w:hAnsi="Arial" w:cs="Arial"/>
          <w:bCs/>
          <w:color w:val="000000" w:themeColor="text1"/>
          <w:vertAlign w:val="superscript"/>
        </w:rPr>
        <w:footnoteReference w:id="11"/>
      </w:r>
      <w:r w:rsidRPr="00E724E9">
        <w:rPr>
          <w:rFonts w:ascii="Arial" w:eastAsia="Calibri" w:hAnsi="Arial" w:cs="Arial"/>
          <w:bCs/>
          <w:color w:val="000000" w:themeColor="text1"/>
        </w:rPr>
        <w:t xml:space="preserve"> </w:t>
      </w:r>
      <w:r w:rsidRPr="00E724E9">
        <w:rPr>
          <w:rFonts w:ascii="Arial" w:eastAsia="Calibri" w:hAnsi="Arial" w:cs="Arial"/>
          <w:lang w:val="es-MX"/>
        </w:rPr>
        <w:t>regula criterios diferenciales para los «emprendimientos y empresas de mujeres» en el sistema de compras y contratación pública. En relación con este aspecto, el inciso primero de la norma citada prescribe:</w:t>
      </w:r>
      <w:r w:rsidRPr="00E724E9">
        <w:rPr>
          <w:rFonts w:ascii="Arial" w:eastAsia="Calibri" w:hAnsi="Arial" w:cs="Arial"/>
          <w:bCs/>
          <w:color w:val="000000" w:themeColor="text1"/>
        </w:rPr>
        <w:t xml:space="preserve"> </w:t>
      </w:r>
    </w:p>
    <w:p w14:paraId="242A986F" w14:textId="77777777" w:rsidR="00E724E9" w:rsidRPr="00E724E9" w:rsidRDefault="00E724E9" w:rsidP="00E724E9">
      <w:pPr>
        <w:tabs>
          <w:tab w:val="left" w:pos="709"/>
        </w:tabs>
        <w:ind w:left="709" w:right="709"/>
        <w:jc w:val="both"/>
        <w:rPr>
          <w:rFonts w:ascii="Arial" w:eastAsia="Calibri" w:hAnsi="Arial" w:cs="Arial"/>
          <w:lang w:val="es-MX"/>
        </w:rPr>
      </w:pPr>
      <w:r w:rsidRPr="00E724E9">
        <w:rPr>
          <w:rFonts w:ascii="Arial" w:hAnsi="Arial" w:cs="Arial"/>
          <w:color w:val="000000" w:themeColor="text1"/>
        </w:rPr>
        <w:t>«</w:t>
      </w:r>
      <w:r w:rsidRPr="00E724E9">
        <w:rPr>
          <w:rFonts w:ascii="Arial" w:eastAsia="Calibri" w:hAnsi="Arial" w:cs="Arial"/>
          <w:lang w:val="es-MX"/>
        </w:rPr>
        <w:t xml:space="preserve">De acuerdo con el resultado del análisis del sector, las entidades estatales incluirán requisitos diferenciales y puntajes adicionales en los procesos de </w:t>
      </w:r>
      <w:bookmarkStart w:id="7" w:name="_Hlk63770487"/>
      <w:r w:rsidRPr="00E724E9">
        <w:rPr>
          <w:rFonts w:ascii="Arial" w:eastAsia="Calibri" w:hAnsi="Arial" w:cs="Arial"/>
          <w:lang w:val="es-MX"/>
        </w:rPr>
        <w:t>licitación pública, selección abreviada de menor cuantía y concurso de méritos</w:t>
      </w:r>
      <w:bookmarkEnd w:id="7"/>
      <w:r w:rsidRPr="00E724E9">
        <w:rPr>
          <w:rFonts w:ascii="Arial" w:eastAsia="Calibri" w:hAnsi="Arial" w:cs="Arial"/>
          <w:lang w:val="es-MX"/>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11269AEA" w14:textId="77777777" w:rsidR="00E724E9" w:rsidRPr="00E724E9" w:rsidRDefault="00E724E9" w:rsidP="00E724E9">
      <w:pPr>
        <w:tabs>
          <w:tab w:val="left" w:pos="709"/>
        </w:tabs>
        <w:spacing w:after="120" w:line="276" w:lineRule="auto"/>
        <w:jc w:val="both"/>
        <w:rPr>
          <w:rFonts w:ascii="Arial" w:eastAsia="Calibri" w:hAnsi="Arial" w:cs="Arial"/>
          <w:lang w:val="es-MX"/>
        </w:rPr>
      </w:pPr>
      <w:r w:rsidRPr="00E724E9">
        <w:rPr>
          <w:rFonts w:ascii="Arial" w:eastAsia="Calibri" w:hAnsi="Arial" w:cs="Arial"/>
          <w:bCs/>
          <w:color w:val="000000" w:themeColor="text1"/>
        </w:rPr>
        <w:tab/>
      </w:r>
      <w:r w:rsidRPr="00E724E9">
        <w:rPr>
          <w:rFonts w:ascii="Arial" w:eastAsia="Calibri" w:hAnsi="Arial" w:cs="Arial"/>
          <w:lang w:val="es-MX"/>
        </w:rPr>
        <w:t xml:space="preserve">De esta manera, los denominados «criterios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1111CC84" w14:textId="77777777" w:rsidR="00E724E9" w:rsidRPr="00E724E9" w:rsidRDefault="00E724E9" w:rsidP="00E724E9">
      <w:pPr>
        <w:spacing w:before="120" w:after="120" w:line="276" w:lineRule="auto"/>
        <w:ind w:firstLine="709"/>
        <w:jc w:val="both"/>
        <w:rPr>
          <w:rFonts w:ascii="Arial" w:eastAsia="Calibri" w:hAnsi="Arial" w:cs="Arial"/>
          <w:lang w:val="es-MX"/>
        </w:rPr>
      </w:pPr>
      <w:r w:rsidRPr="00E724E9">
        <w:rPr>
          <w:rFonts w:ascii="Arial" w:eastAsia="Calibri" w:hAnsi="Arial" w:cs="Arial"/>
          <w:lang w:val="es-MX"/>
        </w:rPr>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establecidos en el artículo 32 de la Ley 2069 de 2020. </w:t>
      </w:r>
    </w:p>
    <w:p w14:paraId="72DF9EB2" w14:textId="77777777" w:rsidR="00E724E9" w:rsidRPr="00E724E9" w:rsidRDefault="00E724E9" w:rsidP="00E724E9">
      <w:pPr>
        <w:spacing w:after="120" w:line="276" w:lineRule="auto"/>
        <w:jc w:val="both"/>
        <w:rPr>
          <w:rFonts w:ascii="Arial" w:eastAsia="Calibri" w:hAnsi="Arial" w:cs="Arial"/>
          <w:color w:val="000000" w:themeColor="text1"/>
          <w:lang w:val="es-ES_tradnl"/>
        </w:rPr>
      </w:pPr>
      <w:r w:rsidRPr="00E724E9">
        <w:rPr>
          <w:rFonts w:ascii="Arial" w:eastAsia="Calibri" w:hAnsi="Arial" w:cs="Arial"/>
          <w:lang w:val="es-MX"/>
        </w:rPr>
        <w:tab/>
        <w:t xml:space="preserve">Con fundamento en lo anterior,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w:t>
      </w:r>
      <w:r w:rsidRPr="00E724E9">
        <w:rPr>
          <w:rFonts w:ascii="Arial" w:eastAsia="Calibri" w:hAnsi="Arial" w:cs="Arial"/>
          <w:lang w:val="es-MX"/>
        </w:rPr>
        <w:lastRenderedPageBreak/>
        <w:t>2069 de 2020 –con excepción de los artículos 33 y 36–, realizando las adecuaciones requeridas para aplicar estas disposiciones, tal como indica el artículo 1 del Decreto 1860 de 2021</w:t>
      </w:r>
      <w:r w:rsidRPr="00E724E9">
        <w:rPr>
          <w:rFonts w:ascii="Arial" w:eastAsia="Calibri" w:hAnsi="Arial" w:cs="Arial"/>
          <w:color w:val="000000" w:themeColor="text1"/>
          <w:vertAlign w:val="superscript"/>
          <w:lang w:val="es-ES_tradnl"/>
        </w:rPr>
        <w:footnoteReference w:id="12"/>
      </w:r>
      <w:r w:rsidRPr="00E724E9">
        <w:rPr>
          <w:rFonts w:ascii="Arial" w:eastAsia="Calibri" w:hAnsi="Arial" w:cs="Arial"/>
          <w:color w:val="000000" w:themeColor="text1"/>
          <w:lang w:val="es-ES_tradnl"/>
        </w:rPr>
        <w:t xml:space="preserve">.  </w:t>
      </w:r>
    </w:p>
    <w:p w14:paraId="07D7FC18" w14:textId="77777777" w:rsidR="00E724E9" w:rsidRPr="00E724E9" w:rsidRDefault="00E724E9" w:rsidP="00E724E9">
      <w:pPr>
        <w:tabs>
          <w:tab w:val="left" w:pos="709"/>
        </w:tabs>
        <w:spacing w:after="120" w:line="276" w:lineRule="auto"/>
        <w:jc w:val="both"/>
        <w:rPr>
          <w:rFonts w:ascii="Arial" w:eastAsia="Calibri" w:hAnsi="Arial" w:cs="Arial"/>
          <w:lang w:val="es-MX"/>
        </w:rPr>
      </w:pPr>
      <w:r w:rsidRPr="00E724E9">
        <w:rPr>
          <w:rFonts w:ascii="Arial" w:eastAsia="Calibri" w:hAnsi="Arial" w:cs="Arial"/>
          <w:color w:val="000000" w:themeColor="text1"/>
          <w:lang w:val="es-ES_tradnl"/>
        </w:rPr>
        <w:tab/>
      </w:r>
      <w:r w:rsidRPr="00E724E9">
        <w:rPr>
          <w:rFonts w:ascii="Arial" w:eastAsia="Calibri" w:hAnsi="Arial" w:cs="Arial"/>
          <w:lang w:val="es-MX"/>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w:t>
      </w:r>
      <w:r w:rsidRPr="00E724E9">
        <w:rPr>
          <w:rFonts w:ascii="Arial" w:eastAsia="Calibri" w:hAnsi="Arial" w:cs="Arial"/>
          <w:i/>
          <w:iCs/>
          <w:lang w:val="es-MX"/>
        </w:rPr>
        <w:t>definición</w:t>
      </w:r>
      <w:r w:rsidRPr="00E724E9">
        <w:rPr>
          <w:rFonts w:ascii="Arial" w:eastAsia="Calibri" w:hAnsi="Arial" w:cs="Arial"/>
          <w:lang w:val="es-MX"/>
        </w:rPr>
        <w:t xml:space="preserve"> de emprendimientos y empresas de mujeres, mientras que la segunda establece los </w:t>
      </w:r>
      <w:r w:rsidRPr="00E724E9">
        <w:rPr>
          <w:rFonts w:ascii="Arial" w:eastAsia="Calibri" w:hAnsi="Arial" w:cs="Arial"/>
          <w:i/>
          <w:iCs/>
          <w:lang w:val="es-MX"/>
        </w:rPr>
        <w:t>criterios diferenciales</w:t>
      </w:r>
      <w:r w:rsidRPr="00E724E9">
        <w:rPr>
          <w:rFonts w:ascii="Arial" w:eastAsia="Calibri" w:hAnsi="Arial" w:cs="Arial"/>
          <w:lang w:val="es-MX"/>
        </w:rPr>
        <w:t xml:space="preserve"> y regula su aplicación. </w:t>
      </w:r>
    </w:p>
    <w:p w14:paraId="03EEC7B7" w14:textId="77777777" w:rsidR="00E724E9" w:rsidRPr="00E724E9" w:rsidRDefault="00E724E9" w:rsidP="00E724E9">
      <w:pPr>
        <w:tabs>
          <w:tab w:val="left" w:pos="709"/>
        </w:tabs>
        <w:spacing w:after="120" w:line="276" w:lineRule="auto"/>
        <w:jc w:val="both"/>
        <w:rPr>
          <w:rFonts w:ascii="Arial" w:eastAsia="Calibri" w:hAnsi="Arial" w:cs="Arial"/>
          <w:lang w:val="es-MX"/>
        </w:rPr>
      </w:pPr>
      <w:r w:rsidRPr="00E724E9">
        <w:rPr>
          <w:rFonts w:ascii="Arial" w:eastAsia="Calibri" w:hAnsi="Arial" w:cs="Arial"/>
          <w:lang w:val="es-MX"/>
        </w:rPr>
        <w:tab/>
        <w:t>Ahora bien, para aplicar las disposiciones contenidas en el Decreto 1860 de 2021, el artículo 8</w:t>
      </w:r>
      <w:r w:rsidRPr="00E724E9">
        <w:rPr>
          <w:rFonts w:ascii="Arial" w:eastAsia="Times New Roman" w:hAnsi="Arial" w:cs="Arial"/>
          <w:vertAlign w:val="superscript"/>
          <w:lang w:eastAsia="es-MX"/>
        </w:rPr>
        <w:footnoteReference w:id="13"/>
      </w:r>
      <w:r w:rsidRPr="00E724E9">
        <w:rPr>
          <w:rFonts w:ascii="Arial" w:eastAsia="Times New Roman" w:hAnsi="Arial" w:cs="Arial"/>
          <w:lang w:eastAsia="es-MX"/>
        </w:rPr>
        <w:t xml:space="preserve"> </w:t>
      </w:r>
      <w:r w:rsidRPr="00E724E9">
        <w:rPr>
          <w:rFonts w:ascii="Arial" w:eastAsia="Calibri" w:hAnsi="Arial" w:cs="Arial"/>
          <w:lang w:val="es-MX"/>
        </w:rPr>
        <w:t xml:space="preserve">indicó el momento a partir del cual sus disposiciones surtirían efectos. De esta forma, se estableció que estas aplicarán a los procesos de selección cuya invitación, aviso de convocatoria o documento equivalente –según corresponda–, se publique después de los tres (3) meses de su expedición, es decir, a partir del 24 de marzo de 2022, por lo que, actualmente, esta es la regulación vigente. </w:t>
      </w:r>
    </w:p>
    <w:p w14:paraId="7A706449" w14:textId="77777777" w:rsidR="00E724E9" w:rsidRPr="00E724E9" w:rsidRDefault="00E724E9" w:rsidP="00E724E9">
      <w:pPr>
        <w:spacing w:after="0" w:line="276" w:lineRule="auto"/>
        <w:ind w:firstLine="709"/>
        <w:contextualSpacing/>
        <w:jc w:val="both"/>
        <w:rPr>
          <w:rFonts w:ascii="Arial" w:hAnsi="Arial" w:cs="Arial"/>
          <w:color w:val="000000" w:themeColor="text1"/>
          <w:lang w:eastAsia="es-CO"/>
        </w:rPr>
      </w:pPr>
    </w:p>
    <w:p w14:paraId="44C43630" w14:textId="77777777" w:rsidR="00E724E9" w:rsidRPr="00E724E9" w:rsidRDefault="00E724E9" w:rsidP="00E724E9">
      <w:pPr>
        <w:spacing w:after="0" w:line="276" w:lineRule="auto"/>
        <w:contextualSpacing/>
        <w:jc w:val="both"/>
        <w:rPr>
          <w:rFonts w:ascii="Arial" w:eastAsia="Calibri" w:hAnsi="Arial" w:cs="Arial"/>
          <w:b/>
          <w:bCs/>
          <w:color w:val="000000" w:themeColor="text1"/>
          <w:lang w:val="es-ES_tradnl"/>
        </w:rPr>
      </w:pPr>
      <w:r w:rsidRPr="00E724E9">
        <w:rPr>
          <w:rFonts w:ascii="Arial" w:eastAsia="Calibri" w:hAnsi="Arial" w:cs="Arial"/>
          <w:b/>
          <w:bCs/>
          <w:lang w:val="es-MX"/>
        </w:rPr>
        <w:t>2.2. Definición de emprendimientos y empresas de mujeres en el Decreto 1860 de 2021. Especial referencia a los requisitos de personas naturales.</w:t>
      </w:r>
      <w:r w:rsidRPr="00E724E9">
        <w:rPr>
          <w:rFonts w:ascii="Arial" w:eastAsia="Calibri" w:hAnsi="Arial" w:cs="Arial"/>
          <w:b/>
          <w:bCs/>
          <w:color w:val="000000" w:themeColor="text1"/>
          <w:lang w:val="es-ES_tradnl"/>
        </w:rPr>
        <w:t xml:space="preserve"> </w:t>
      </w:r>
    </w:p>
    <w:p w14:paraId="365F980B" w14:textId="77777777" w:rsidR="00E724E9" w:rsidRPr="00E724E9" w:rsidRDefault="00E724E9" w:rsidP="00E724E9">
      <w:pPr>
        <w:spacing w:after="0" w:line="276" w:lineRule="auto"/>
        <w:contextualSpacing/>
        <w:jc w:val="both"/>
        <w:rPr>
          <w:rFonts w:ascii="Arial" w:eastAsia="Calibri" w:hAnsi="Arial" w:cs="Arial"/>
          <w:color w:val="000000" w:themeColor="text1"/>
          <w:lang w:val="es-ES_tradnl"/>
        </w:rPr>
      </w:pPr>
    </w:p>
    <w:p w14:paraId="0C58B837" w14:textId="77777777" w:rsidR="00E724E9" w:rsidRPr="00E724E9" w:rsidRDefault="00E724E9" w:rsidP="00E724E9">
      <w:pPr>
        <w:spacing w:after="120" w:line="276" w:lineRule="auto"/>
        <w:jc w:val="both"/>
        <w:rPr>
          <w:rFonts w:ascii="Arial" w:eastAsia="Calibri" w:hAnsi="Arial" w:cs="Arial"/>
          <w:lang w:val="es-MX"/>
        </w:rPr>
      </w:pPr>
      <w:r w:rsidRPr="00E724E9">
        <w:rPr>
          <w:rFonts w:ascii="Arial" w:eastAsia="Calibri" w:hAnsi="Arial" w:cs="Arial"/>
          <w:lang w:val="es-MX"/>
        </w:rPr>
        <w:t xml:space="preserve">Conforme se viene explicando, el artículo 32 de la Ley 2069 de 2021 establece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en favor de los emprendimientos y empresas de mujeres. Esto, a título de medidas de acción afirmativa para incentivar la participación de emprendimientos y empresas de mujeres en el sistema de compras </w:t>
      </w:r>
      <w:r w:rsidRPr="00E724E9">
        <w:rPr>
          <w:rFonts w:ascii="Arial" w:eastAsia="Calibri" w:hAnsi="Arial" w:cs="Arial"/>
          <w:lang w:val="es-MX"/>
        </w:rPr>
        <w:lastRenderedPageBreak/>
        <w:t>públicas y contratación estatal, sin perjuicio de los compromisos adquiridos por Colombia en los acuerdos comerciales en vigor.</w:t>
      </w:r>
    </w:p>
    <w:p w14:paraId="429FBDC4" w14:textId="77777777" w:rsidR="00E724E9" w:rsidRPr="00E724E9" w:rsidRDefault="00E724E9" w:rsidP="00E724E9">
      <w:pPr>
        <w:spacing w:after="0" w:line="276" w:lineRule="auto"/>
        <w:contextualSpacing/>
        <w:jc w:val="both"/>
        <w:rPr>
          <w:rFonts w:ascii="Arial" w:eastAsia="Calibri" w:hAnsi="Arial" w:cs="Arial"/>
          <w:lang w:val="es-MX"/>
        </w:rPr>
      </w:pPr>
      <w:r w:rsidRPr="00E724E9">
        <w:rPr>
          <w:rFonts w:ascii="Arial" w:eastAsia="Calibri" w:hAnsi="Arial" w:cs="Arial"/>
          <w:lang w:val="es-MX"/>
        </w:rPr>
        <w:tab/>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numerales de la norma establecen unas condiciones alternativas que definen los emprendimientos y empresas de mujeres, a efectos de aplicar los criterios diferenciales y tienen como elemento común que las condiciones deben haber tenido por lo menos un (1) año de duración anterior al proceso de selección. Dicha disposición señala lo siguiente:   </w:t>
      </w:r>
    </w:p>
    <w:p w14:paraId="053FF35B" w14:textId="77777777" w:rsidR="00E724E9" w:rsidRPr="00E724E9" w:rsidRDefault="00E724E9" w:rsidP="00E724E9">
      <w:pPr>
        <w:shd w:val="clear" w:color="auto" w:fill="FFFFFF"/>
        <w:spacing w:after="0"/>
        <w:ind w:left="709" w:right="709"/>
        <w:contextualSpacing/>
        <w:jc w:val="both"/>
        <w:textAlignment w:val="baseline"/>
        <w:rPr>
          <w:rFonts w:ascii="Arial" w:hAnsi="Arial" w:cs="Arial"/>
          <w:color w:val="000000" w:themeColor="text1"/>
          <w:lang w:eastAsia="es-CO"/>
        </w:rPr>
      </w:pPr>
    </w:p>
    <w:p w14:paraId="016793CC"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r w:rsidRPr="00E724E9">
        <w:rPr>
          <w:rFonts w:ascii="Arial" w:hAnsi="Arial" w:cs="Arial"/>
          <w:color w:val="000000" w:themeColor="text1"/>
          <w:sz w:val="21"/>
          <w:szCs w:val="21"/>
          <w:lang w:eastAsia="es-CO"/>
        </w:rPr>
        <w:t>«</w:t>
      </w:r>
      <w:r w:rsidRPr="00E724E9">
        <w:rPr>
          <w:rFonts w:ascii="Arial" w:eastAsia="Calibri" w:hAnsi="Arial" w:cs="Arial"/>
          <w:sz w:val="21"/>
          <w:szCs w:val="21"/>
          <w:lang w:val="es-MX"/>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7D9DB340"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p>
    <w:p w14:paraId="25F29CA8"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r w:rsidRPr="00E724E9">
        <w:rPr>
          <w:rFonts w:ascii="Arial" w:eastAsia="Calibri" w:hAnsi="Arial" w:cs="Arial"/>
          <w:sz w:val="21"/>
          <w:szCs w:val="21"/>
          <w:lang w:val="es-MX"/>
        </w:rPr>
        <w:t xml:space="preserve"> 1. Cuando más del cincuenta por ciento (50%) de las acciones, partes de interés o cuotas de participación de la persona jurídica pertenezcan a mujeres y los derechos de propiedad </w:t>
      </w:r>
      <w:bookmarkStart w:id="8" w:name="_Hlk94001820"/>
      <w:r w:rsidRPr="00E724E9">
        <w:rPr>
          <w:rFonts w:ascii="Arial" w:eastAsia="Calibri" w:hAnsi="Arial" w:cs="Arial"/>
          <w:sz w:val="21"/>
          <w:szCs w:val="21"/>
          <w:lang w:val="es-MX"/>
        </w:rPr>
        <w:t>hayan pertenecido a estas durante al menos el último año anterior a la fecha de cierre del Proceso de Selección</w:t>
      </w:r>
      <w:bookmarkEnd w:id="8"/>
      <w:r w:rsidRPr="00E724E9">
        <w:rPr>
          <w:rFonts w:ascii="Arial" w:eastAsia="Calibri" w:hAnsi="Arial" w:cs="Arial"/>
          <w:sz w:val="21"/>
          <w:szCs w:val="21"/>
          <w:lang w:val="es-MX"/>
        </w:rPr>
        <w:t>.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6770A887"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p>
    <w:p w14:paraId="67FE3887"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r w:rsidRPr="00E724E9">
        <w:rPr>
          <w:rFonts w:ascii="Arial" w:eastAsia="Calibri" w:hAnsi="Arial" w:cs="Arial"/>
          <w:sz w:val="21"/>
          <w:szCs w:val="21"/>
          <w:lang w:val="es-MX"/>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1ECB8C0E"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p>
    <w:p w14:paraId="01C8B5FA"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r w:rsidRPr="00E724E9">
        <w:rPr>
          <w:rFonts w:ascii="Arial" w:eastAsia="Calibri" w:hAnsi="Arial" w:cs="Arial"/>
          <w:sz w:val="21"/>
          <w:szCs w:val="21"/>
          <w:lang w:val="es-MX"/>
        </w:rPr>
        <w:t> […]</w:t>
      </w:r>
    </w:p>
    <w:p w14:paraId="0BF9F6D7"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p>
    <w:p w14:paraId="0F7F405F"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r w:rsidRPr="00E724E9">
        <w:rPr>
          <w:rFonts w:ascii="Arial" w:eastAsia="Calibri" w:hAnsi="Arial" w:cs="Arial"/>
          <w:sz w:val="21"/>
          <w:szCs w:val="21"/>
          <w:lang w:val="es-MX"/>
        </w:rPr>
        <w:t xml:space="preserve">3. Cuando la </w:t>
      </w:r>
      <w:r w:rsidRPr="00E724E9">
        <w:rPr>
          <w:rFonts w:ascii="Arial" w:eastAsia="Calibri" w:hAnsi="Arial" w:cs="Arial"/>
          <w:i/>
          <w:iCs/>
          <w:sz w:val="21"/>
          <w:szCs w:val="21"/>
          <w:lang w:val="es-MX"/>
        </w:rPr>
        <w:t>persona natural</w:t>
      </w:r>
      <w:r w:rsidRPr="00E724E9">
        <w:rPr>
          <w:rFonts w:ascii="Arial" w:eastAsia="Calibri" w:hAnsi="Arial" w:cs="Arial"/>
          <w:sz w:val="21"/>
          <w:szCs w:val="21"/>
          <w:lang w:val="es-MX"/>
        </w:rPr>
        <w:t xml:space="preserve">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1FD531B4"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p>
    <w:p w14:paraId="50E08FA2"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r w:rsidRPr="00E724E9">
        <w:rPr>
          <w:rFonts w:ascii="Arial" w:eastAsia="Calibri" w:hAnsi="Arial" w:cs="Arial"/>
          <w:sz w:val="21"/>
          <w:szCs w:val="21"/>
          <w:lang w:val="es-MX"/>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51F315C0"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p>
    <w:p w14:paraId="75964B73" w14:textId="77777777" w:rsidR="00E724E9" w:rsidRPr="00E724E9" w:rsidRDefault="00E724E9" w:rsidP="00E724E9">
      <w:pPr>
        <w:shd w:val="clear" w:color="auto" w:fill="FFFFFF"/>
        <w:spacing w:after="0"/>
        <w:ind w:left="709" w:right="709"/>
        <w:contextualSpacing/>
        <w:jc w:val="both"/>
        <w:textAlignment w:val="baseline"/>
        <w:rPr>
          <w:rFonts w:ascii="Arial" w:eastAsia="Calibri" w:hAnsi="Arial" w:cs="Arial"/>
          <w:sz w:val="21"/>
          <w:szCs w:val="21"/>
          <w:lang w:val="es-MX"/>
        </w:rPr>
      </w:pPr>
      <w:r w:rsidRPr="00E724E9">
        <w:rPr>
          <w:rFonts w:ascii="Arial" w:eastAsia="Calibri" w:hAnsi="Arial" w:cs="Arial"/>
          <w:sz w:val="21"/>
          <w:szCs w:val="21"/>
          <w:lang w:val="es-MX"/>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21D97FC7" w14:textId="77777777" w:rsidR="00E724E9" w:rsidRPr="00E724E9" w:rsidRDefault="00E724E9" w:rsidP="00E724E9">
      <w:pPr>
        <w:shd w:val="clear" w:color="auto" w:fill="FFFFFF"/>
        <w:spacing w:after="0"/>
        <w:ind w:left="709" w:right="709"/>
        <w:contextualSpacing/>
        <w:jc w:val="both"/>
        <w:textAlignment w:val="baseline"/>
        <w:rPr>
          <w:rFonts w:ascii="Arial" w:hAnsi="Arial" w:cs="Arial"/>
          <w:color w:val="000000" w:themeColor="text1"/>
          <w:lang w:eastAsia="es-CO"/>
        </w:rPr>
      </w:pPr>
    </w:p>
    <w:p w14:paraId="3007B8A8" w14:textId="77777777" w:rsidR="00E724E9" w:rsidRPr="00E724E9" w:rsidRDefault="00E724E9" w:rsidP="00E724E9">
      <w:pPr>
        <w:spacing w:after="120" w:line="276" w:lineRule="auto"/>
        <w:ind w:firstLine="708"/>
        <w:jc w:val="both"/>
        <w:rPr>
          <w:rFonts w:ascii="Arial" w:eastAsia="Calibri" w:hAnsi="Arial" w:cs="Arial"/>
          <w:lang w:val="es-MX"/>
        </w:rPr>
      </w:pPr>
      <w:r w:rsidRPr="00E724E9">
        <w:rPr>
          <w:rFonts w:ascii="Arial" w:eastAsia="Calibri" w:hAnsi="Arial" w:cs="Arial"/>
          <w:lang w:val="es-MX"/>
        </w:rPr>
        <w:t xml:space="preserve">De esta manera, los criterios diferenciales y la asignación de puntajes adicionales en procesos de selección de contratistas del Estado, creados en favor de emprendimientos y empresas de mujeres; incluidos en el artículo 32 de la Ley 2069 de 2020 y reglamentados mediante el Decreto 1860 de 2021, únicamente, se aplicarán a los proponentes que acrediten alguna de las condiciones señaladas en el artículo 2.2.1.2.4.2.14 del Decreto 1082 de 2015 que define el concepto aludido en la ley. Respecto a la definición consagrada en la disposición objeto de estudio debe señalarse que, cada uno de los supuestos de hecho de los cuatro numerales de la norma transcrita exigen que se hayan cumplido, por lo menos, durante el año anterior a la fecha de cierre del proceso de selección. </w:t>
      </w:r>
    </w:p>
    <w:p w14:paraId="3343C3D2" w14:textId="77777777" w:rsidR="00E724E9" w:rsidRPr="00E724E9" w:rsidRDefault="00E724E9" w:rsidP="00E724E9">
      <w:pPr>
        <w:spacing w:after="120" w:line="276" w:lineRule="auto"/>
        <w:jc w:val="both"/>
        <w:rPr>
          <w:rFonts w:ascii="Arial" w:eastAsia="Calibri" w:hAnsi="Arial" w:cs="Arial"/>
          <w:lang w:val="es-ES_tradnl"/>
        </w:rPr>
      </w:pPr>
      <w:r w:rsidRPr="00E724E9">
        <w:rPr>
          <w:rFonts w:ascii="Arial" w:eastAsia="Calibri" w:hAnsi="Arial" w:cs="Arial"/>
          <w:lang w:val="es-MX"/>
        </w:rPr>
        <w:tab/>
      </w:r>
      <w:bookmarkStart w:id="9" w:name="_Hlk112034608"/>
      <w:r w:rsidRPr="00E724E9">
        <w:rPr>
          <w:rFonts w:ascii="Arial" w:eastAsia="Calibri" w:hAnsi="Arial" w:cs="Arial"/>
          <w:lang w:val="es-ES_tradnl"/>
        </w:rPr>
        <w:t xml:space="preserve">Teniendo en cuenta el objeto de la presente consulta, resulta relevante el análisis del numeral tercero del artículo antes citado, según el cual tratándose de </w:t>
      </w:r>
      <w:r w:rsidRPr="00E724E9">
        <w:rPr>
          <w:rFonts w:ascii="Arial" w:eastAsia="Calibri" w:hAnsi="Arial" w:cs="Arial"/>
          <w:i/>
          <w:iCs/>
          <w:lang w:val="es-ES_tradnl"/>
        </w:rPr>
        <w:t>personas naturales</w:t>
      </w:r>
      <w:r w:rsidRPr="00E724E9">
        <w:rPr>
          <w:rFonts w:ascii="Arial" w:eastAsia="Calibri" w:hAnsi="Arial" w:cs="Arial"/>
          <w:lang w:val="es-ES_tradnl"/>
        </w:rPr>
        <w:t xml:space="preserve"> debe cumplirse con las siguientes condiciones para ser consideradas emprendimientos y empresas de mujeres y, en consecuencia, ser destinatarias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49BC315F" w14:textId="77777777" w:rsidR="00E724E9" w:rsidRPr="00E724E9" w:rsidRDefault="00E724E9" w:rsidP="00E724E9">
      <w:pPr>
        <w:spacing w:after="120" w:line="276" w:lineRule="auto"/>
        <w:jc w:val="both"/>
        <w:rPr>
          <w:rFonts w:ascii="Arial" w:eastAsia="Calibri" w:hAnsi="Arial" w:cs="Arial"/>
          <w:lang w:val="es-ES_tradnl"/>
        </w:rPr>
      </w:pPr>
      <w:r w:rsidRPr="00E724E9">
        <w:rPr>
          <w:rFonts w:ascii="Arial" w:eastAsia="Calibri" w:hAnsi="Arial" w:cs="Arial"/>
          <w:lang w:val="es-ES_tradnl"/>
        </w:rPr>
        <w:tab/>
        <w:t>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 artículo</w:t>
      </w:r>
      <w:r w:rsidRPr="00E724E9">
        <w:rPr>
          <w:rFonts w:ascii="Arial" w:eastAsia="Calibri" w:hAnsi="Arial" w:cs="Arial"/>
          <w:b/>
          <w:bCs/>
          <w:lang w:val="es-ES_tradnl"/>
        </w:rPr>
        <w:t xml:space="preserve"> </w:t>
      </w:r>
      <w:r w:rsidRPr="00E724E9">
        <w:rPr>
          <w:rFonts w:ascii="Arial" w:eastAsia="Calibri" w:hAnsi="Arial" w:cs="Arial"/>
        </w:rPr>
        <w:t xml:space="preserve">2.2.1.2.4.2.14. del Decreto 1082 de 2015 </w:t>
      </w:r>
      <w:r w:rsidRPr="00E724E9">
        <w:rPr>
          <w:rFonts w:ascii="Arial" w:eastAsia="Calibri" w:hAnsi="Arial" w:cs="Arial"/>
          <w:lang w:val="es-ES_tradnl"/>
        </w:rPr>
        <w:t xml:space="preserve">– deja por fuera a aquellas mujeres que no hayan ejercido actividades comerciales a través de un establecimiento de comercio y/o que no cumplan con el requerimiento del tiempo mínimo de un año de ejercicio de las actividades.  </w:t>
      </w:r>
    </w:p>
    <w:bookmarkEnd w:id="9"/>
    <w:p w14:paraId="53BEDA6F" w14:textId="77777777" w:rsidR="00E724E9" w:rsidRPr="00E724E9" w:rsidRDefault="00E724E9" w:rsidP="00E724E9">
      <w:pPr>
        <w:spacing w:after="120" w:line="276" w:lineRule="auto"/>
        <w:jc w:val="both"/>
        <w:rPr>
          <w:rFonts w:ascii="Arial" w:eastAsia="Calibri" w:hAnsi="Arial" w:cs="Arial"/>
          <w:bCs/>
          <w:lang w:val="es-ES_tradnl"/>
        </w:rPr>
      </w:pPr>
      <w:r w:rsidRPr="00E724E9">
        <w:rPr>
          <w:rFonts w:ascii="Arial" w:eastAsia="Calibri" w:hAnsi="Arial" w:cs="Arial"/>
          <w:bCs/>
          <w:lang w:val="es-ES_tradnl"/>
        </w:rPr>
        <w:tab/>
        <w:t xml:space="preserve">Dado que una de las condiciones para ser considerada emprendimiento y/o empresa de mujeres está relacionada con que la persona natural haya ejercido actividades comerciales a través de establecimiento de comercio, para efectos de la consulta, es indispensable referirse a </w:t>
      </w:r>
      <w:r w:rsidRPr="00E724E9">
        <w:rPr>
          <w:rFonts w:ascii="Arial" w:eastAsia="Calibri" w:hAnsi="Arial" w:cs="Arial"/>
          <w:bCs/>
          <w:lang w:val="es-ES_tradnl"/>
        </w:rPr>
        <w:lastRenderedPageBreak/>
        <w:t xml:space="preserve">qué se entiende por actividad comercial y el desarrollo de esta a través de un establecimiento de comercio. </w:t>
      </w:r>
    </w:p>
    <w:p w14:paraId="5BCEB4C1" w14:textId="77777777" w:rsidR="00E724E9" w:rsidRPr="00E724E9" w:rsidRDefault="00E724E9" w:rsidP="00E724E9">
      <w:pPr>
        <w:spacing w:after="120" w:line="276" w:lineRule="auto"/>
        <w:ind w:firstLine="708"/>
        <w:jc w:val="both"/>
        <w:rPr>
          <w:rFonts w:ascii="Arial" w:eastAsia="Calibri" w:hAnsi="Arial" w:cs="Arial"/>
          <w:bCs/>
          <w:lang w:val="es-ES_tradnl" w:eastAsia="es-ES_tradnl"/>
        </w:rPr>
      </w:pPr>
      <w:r w:rsidRPr="00E724E9">
        <w:rPr>
          <w:rFonts w:ascii="Arial" w:eastAsia="Calibri" w:hAnsi="Arial" w:cs="Arial"/>
          <w:bCs/>
          <w:lang w:val="es-ES_tradnl"/>
        </w:rPr>
        <w:t xml:space="preserve">Sobre el particular, es necesario tener en cuenta que la ley colombiana no consagra una definición de actos de comercio, sino que incorpora un listado de actos y actividades considerados como mercantiles, que incluye una gama muy variada de operaciones usuales en la vida de los negocios. En ese sentido, el artículo 20 del Código de Comercio agrupa </w:t>
      </w:r>
      <w:proofErr w:type="gramStart"/>
      <w:r w:rsidRPr="00E724E9">
        <w:rPr>
          <w:rFonts w:ascii="Arial" w:eastAsia="Calibri" w:hAnsi="Arial" w:cs="Arial"/>
          <w:bCs/>
          <w:lang w:val="es-ES_tradnl"/>
        </w:rPr>
        <w:t>una distintas actividades</w:t>
      </w:r>
      <w:proofErr w:type="gramEnd"/>
      <w:r w:rsidRPr="00E724E9">
        <w:rPr>
          <w:rFonts w:ascii="Arial" w:eastAsia="Calibri" w:hAnsi="Arial" w:cs="Arial"/>
          <w:bCs/>
          <w:lang w:val="es-ES_tradnl"/>
        </w:rPr>
        <w:t xml:space="preserve"> bajo la categoría de «acto de comercio», sin que dicha enumeración sea taxativa en </w:t>
      </w:r>
      <w:r w:rsidRPr="00E724E9">
        <w:rPr>
          <w:rFonts w:ascii="Arial" w:eastAsia="Calibri" w:hAnsi="Arial" w:cs="Arial"/>
        </w:rPr>
        <w:t>nuestro sistema jurídico. Así las cosas, no se define estáticamente el acto de comercio, permitiendo mediante la analogía realizar la ampliación dinámica del derecho mercantil facilitando su adaptación a un cambiante mundo de negocios</w:t>
      </w:r>
      <w:r w:rsidRPr="00E724E9">
        <w:rPr>
          <w:rFonts w:ascii="Arial" w:hAnsi="Arial" w:cs="Arial"/>
          <w:vertAlign w:val="superscript"/>
        </w:rPr>
        <w:footnoteReference w:id="14"/>
      </w:r>
      <w:r w:rsidRPr="00E724E9">
        <w:rPr>
          <w:rFonts w:ascii="Arial" w:eastAsia="Calibri" w:hAnsi="Arial" w:cs="Arial"/>
        </w:rPr>
        <w:t xml:space="preserve">. </w:t>
      </w:r>
      <w:r w:rsidRPr="00E724E9">
        <w:rPr>
          <w:rFonts w:ascii="Arial" w:eastAsia="Calibri" w:hAnsi="Arial" w:cs="Arial"/>
          <w:bCs/>
          <w:lang w:val="es-ES_tradnl"/>
        </w:rPr>
        <w:t>Adicionalmente, la ley provee un criterio auxiliar que permite ampliar la cobertura del derecho comercial con la calificación de mercantiles de actos que en principio no lo son, pero que guardan relación estrecha con actividades de esta naturaleza. En el artículo 21 del Código de Comercio se incluyen actos no previstos en el artículo 20 que realiza el comerciante o empresario mercantil en desarrollo de su actividad mercantil y que facilitan su ejercicio y que en razón a ello adquieren comercialidad</w:t>
      </w:r>
      <w:r w:rsidRPr="00E724E9">
        <w:rPr>
          <w:rFonts w:ascii="Arial" w:eastAsia="Times New Roman" w:hAnsi="Arial" w:cs="Arial"/>
          <w:vertAlign w:val="superscript"/>
          <w:lang w:eastAsia="es-ES_tradnl"/>
        </w:rPr>
        <w:footnoteReference w:id="15"/>
      </w:r>
      <w:r w:rsidRPr="00E724E9">
        <w:rPr>
          <w:rFonts w:ascii="Arial" w:eastAsia="Times New Roman" w:hAnsi="Arial" w:cs="Arial"/>
          <w:lang w:eastAsia="es-ES_tradnl"/>
        </w:rPr>
        <w:t xml:space="preserve">. </w:t>
      </w:r>
    </w:p>
    <w:p w14:paraId="23F9478D" w14:textId="77777777" w:rsidR="00E724E9" w:rsidRPr="00E724E9" w:rsidRDefault="00E724E9" w:rsidP="00E724E9">
      <w:pPr>
        <w:spacing w:after="120" w:line="276" w:lineRule="auto"/>
        <w:ind w:firstLine="708"/>
        <w:jc w:val="both"/>
        <w:rPr>
          <w:rFonts w:ascii="Arial" w:eastAsia="Calibri" w:hAnsi="Arial" w:cs="Arial"/>
          <w:bCs/>
          <w:lang w:val="es-ES_tradnl" w:eastAsia="es-ES_tradnl"/>
        </w:rPr>
      </w:pPr>
      <w:r w:rsidRPr="00E724E9">
        <w:rPr>
          <w:rFonts w:ascii="Arial" w:eastAsia="Calibri" w:hAnsi="Arial" w:cs="Arial"/>
          <w:bCs/>
          <w:lang w:val="es-ES_tradnl"/>
        </w:rPr>
        <w:t xml:space="preserve">Respecto del requisito del establecimiento de comercio, debe señalarse que la actividad comercial se realiza a través de establecimientos de comercio sujetos al registro mercantil. En efecto, de conformidad con el artículo 25 del Código de Comercio, «Se entenderá por empresa toda actividad económica organizada para la producción, transformación, circulación, administración o custodia de bienes, o para la prestación de servicios. </w:t>
      </w:r>
      <w:r w:rsidRPr="00E724E9">
        <w:rPr>
          <w:rFonts w:ascii="Arial" w:eastAsia="Calibri" w:hAnsi="Arial" w:cs="Arial"/>
          <w:bCs/>
          <w:i/>
          <w:iCs/>
          <w:lang w:val="es-ES_tradnl"/>
        </w:rPr>
        <w:t>Dicha actividad se realizará a través de uno o más establecimientos de comercio</w:t>
      </w:r>
      <w:r w:rsidRPr="00E724E9">
        <w:rPr>
          <w:rFonts w:ascii="Arial" w:eastAsia="Calibri" w:hAnsi="Arial" w:cs="Arial"/>
          <w:bCs/>
          <w:lang w:val="es-ES_tradnl" w:eastAsia="es-ES_tradnl"/>
        </w:rPr>
        <w:t xml:space="preserve">» </w:t>
      </w:r>
      <w:r w:rsidRPr="00E724E9">
        <w:rPr>
          <w:rFonts w:ascii="Arial" w:eastAsia="Times New Roman" w:hAnsi="Arial" w:cs="Arial"/>
          <w:lang w:eastAsia="es-CO"/>
        </w:rPr>
        <w:t>(</w:t>
      </w:r>
      <w:r w:rsidRPr="00E724E9">
        <w:rPr>
          <w:rFonts w:ascii="Arial" w:eastAsia="Calibri" w:hAnsi="Arial" w:cs="Arial"/>
          <w:bCs/>
          <w:lang w:val="es-ES_tradnl"/>
        </w:rPr>
        <w:t>Énfasis fuera de texto). El establecimiento de comercio es el instrumento del que se vale el empresario para cumplir los fines de su empresa y por medio del cual se realiza la actividad organizada. La doctrina lo define como el conjunto de bienes materiales e inmateriales organizados para una finalidad económica en el que la organización adquiere un significado fundamental como factor aglutinante de los elementos que integran la hacienda, teniendo en cuenta la función económica a la que están destinados todos: la producción o distribución de bienes y servicios en el mercado</w:t>
      </w:r>
      <w:r w:rsidRPr="00E724E9">
        <w:rPr>
          <w:rFonts w:ascii="Arial" w:eastAsia="Calibri" w:hAnsi="Arial" w:cs="Arial"/>
          <w:bCs/>
          <w:vertAlign w:val="superscript"/>
          <w:lang w:val="es-ES_tradnl" w:eastAsia="es-ES_tradnl"/>
        </w:rPr>
        <w:footnoteReference w:id="16"/>
      </w:r>
      <w:r w:rsidRPr="00E724E9">
        <w:rPr>
          <w:rFonts w:ascii="Arial" w:eastAsia="Calibri" w:hAnsi="Arial" w:cs="Arial"/>
          <w:bCs/>
          <w:lang w:val="es-ES_tradnl" w:eastAsia="es-ES_tradnl"/>
        </w:rPr>
        <w:t xml:space="preserve">. </w:t>
      </w:r>
    </w:p>
    <w:p w14:paraId="2D3AB43B" w14:textId="77777777" w:rsidR="00E724E9" w:rsidRPr="00E724E9" w:rsidRDefault="00E724E9" w:rsidP="00E724E9">
      <w:pPr>
        <w:spacing w:after="120" w:line="276" w:lineRule="auto"/>
        <w:ind w:firstLine="708"/>
        <w:jc w:val="both"/>
        <w:rPr>
          <w:rFonts w:ascii="Arial" w:eastAsia="Calibri" w:hAnsi="Arial" w:cs="Arial"/>
          <w:bCs/>
          <w:lang w:val="es-ES_tradnl"/>
        </w:rPr>
      </w:pPr>
      <w:r w:rsidRPr="00E724E9">
        <w:rPr>
          <w:rFonts w:ascii="Arial" w:eastAsia="Calibri" w:hAnsi="Arial" w:cs="Arial"/>
          <w:bCs/>
          <w:lang w:val="es-ES_tradnl"/>
        </w:rPr>
        <w:t xml:space="preserve">Ahora bien, frente al requisito del registro mercantil, el artículo 26 del Código de Comercio dispone que «el registro mercantil tendrá por objeto llevar la matrícula de los comerciantes y de los establecimientos de comercio, así como la inscripción de todos los actos, libros y documentos </w:t>
      </w:r>
      <w:r w:rsidRPr="00E724E9">
        <w:rPr>
          <w:rFonts w:ascii="Arial" w:eastAsia="Calibri" w:hAnsi="Arial" w:cs="Arial"/>
          <w:bCs/>
          <w:lang w:val="es-ES_tradnl"/>
        </w:rPr>
        <w:lastRenderedPageBreak/>
        <w:t xml:space="preserve">respecto de los cuales la ley exigiere esa formalidad». Asimismo, los numerales 6 y 33 del artículo 28 </w:t>
      </w:r>
      <w:r w:rsidRPr="00E724E9">
        <w:rPr>
          <w:rFonts w:ascii="Arial" w:eastAsia="Calibri" w:hAnsi="Arial" w:cs="Arial"/>
          <w:bCs/>
          <w:i/>
          <w:iCs/>
          <w:lang w:val="es-ES_tradnl"/>
        </w:rPr>
        <w:t>ibidem</w:t>
      </w:r>
      <w:r w:rsidRPr="00E724E9">
        <w:rPr>
          <w:rFonts w:ascii="Arial" w:eastAsia="Calibri" w:hAnsi="Arial" w:cs="Arial"/>
          <w:bCs/>
          <w:lang w:val="es-ES_tradnl"/>
        </w:rPr>
        <w:t xml:space="preserve"> señalan que cuando un empresario abre su establecimiento de comercio debe cumplir con el deber profesional de matricularlo en el registro mercantil dentro del mes siguiente a su apertura y la información de dicha matricula debe actualizarse periódicamente mediante la renovación anual dentro de los tres (3) primeros meses de cada año. </w:t>
      </w:r>
    </w:p>
    <w:p w14:paraId="40210444" w14:textId="77777777" w:rsidR="00E724E9" w:rsidRPr="00E724E9" w:rsidRDefault="00E724E9" w:rsidP="00E724E9">
      <w:pPr>
        <w:spacing w:after="120" w:line="276" w:lineRule="auto"/>
        <w:ind w:firstLine="709"/>
        <w:jc w:val="both"/>
        <w:rPr>
          <w:rFonts w:ascii="Arial" w:eastAsia="Calibri" w:hAnsi="Arial" w:cs="Arial"/>
          <w:bCs/>
          <w:lang w:val="es-ES_tradnl"/>
        </w:rPr>
      </w:pPr>
      <w:bookmarkStart w:id="10" w:name="_Hlk112034643"/>
      <w:bookmarkStart w:id="11" w:name="_Hlk112310294"/>
      <w:r w:rsidRPr="00E724E9">
        <w:rPr>
          <w:rFonts w:ascii="Arial" w:eastAsia="Calibri" w:hAnsi="Arial" w:cs="Arial"/>
          <w:bCs/>
          <w:lang w:val="es-ES_tradnl"/>
        </w:rPr>
        <w:t>De esta manera, se concluye que el numeral tercero del artículo 2.2.1.2.4.2.14 del Decreto 1082 de 2015 –adicionado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Así las cosas, es necesario que la persona natural que realiza actividades de comercio a través de un establecimiento acredite dicho registro de acuerdo con lo dispuesto por la ley comercial.</w:t>
      </w:r>
    </w:p>
    <w:p w14:paraId="4DAD6D75" w14:textId="77777777" w:rsidR="00E724E9" w:rsidRPr="00E724E9" w:rsidRDefault="00E724E9" w:rsidP="00E724E9">
      <w:pPr>
        <w:spacing w:before="120" w:after="120" w:line="276" w:lineRule="auto"/>
        <w:ind w:firstLine="709"/>
        <w:jc w:val="both"/>
        <w:rPr>
          <w:rFonts w:ascii="Arial" w:eastAsia="Calibri" w:hAnsi="Arial" w:cs="Arial"/>
          <w:bCs/>
          <w:lang w:val="es-ES_tradnl"/>
        </w:rPr>
      </w:pPr>
      <w:bookmarkStart w:id="12" w:name="_Hlk106013026"/>
      <w:bookmarkEnd w:id="10"/>
      <w:r w:rsidRPr="00E724E9">
        <w:rPr>
          <w:rFonts w:ascii="Arial" w:eastAsia="Calibri" w:hAnsi="Arial" w:cs="Arial"/>
          <w:bCs/>
          <w:lang w:val="es-ES_tradnl"/>
        </w:rPr>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como acciones afirmativas para promover la participación de este segmento empresarial en el sistema de compras públicas y contratación estatal. Por tanto, deberá presentar dicho documento en caso de pretender beneficiarse de los requisitos habilitantes diferenciales u obtener el puntaje adicional. En este sentido, para efectos del artículo 2.2.1.2.4.2.14 del Decreto 1082 de 2015, la acreditación de la condición de mujer y del ejercicio de actividades comerciales a través de establecimiento de comercio de la persona natural, solo será válida mediante la presentación de los documentos establecidos en el numeral 3 de la norma señalada, esto es, adjuntando copia de la cédula de ciudadanía, cédula de extranjería o pasaporte y copia del registro mercantil. </w:t>
      </w:r>
    </w:p>
    <w:bookmarkEnd w:id="11"/>
    <w:bookmarkEnd w:id="12"/>
    <w:p w14:paraId="114D09A8" w14:textId="77777777" w:rsidR="00E724E9" w:rsidRPr="00E724E9" w:rsidRDefault="00E724E9" w:rsidP="00E724E9">
      <w:pPr>
        <w:spacing w:before="120" w:after="120" w:line="276" w:lineRule="auto"/>
        <w:ind w:firstLine="709"/>
        <w:jc w:val="both"/>
        <w:rPr>
          <w:rFonts w:ascii="Arial" w:eastAsia="Calibri" w:hAnsi="Arial" w:cs="Arial"/>
          <w:bCs/>
          <w:lang w:val="es-ES_tradnl"/>
        </w:rPr>
      </w:pPr>
      <w:r w:rsidRPr="00E724E9">
        <w:rPr>
          <w:rFonts w:ascii="Arial" w:eastAsia="Calibri" w:hAnsi="Arial" w:cs="Arial"/>
          <w:bCs/>
          <w:lang w:val="es-ES_tradnl"/>
        </w:rPr>
        <w:t>De lo anterior debe advertirse que el texto de la norma bajo estudio no establece alguna hipótesis en virtud de la cual fuera posible encuadrar dentro de la definición de emprendimientos o empresas de mujeres a personas naturales que no hayan desarrollado actividades a través de establecimiento de comercio con un término menor a un (1) año En ese sentido, las personas naturales que no cuenten con registro mercantil, mediante el cual se acredita que han ejercido actividades comerciales a través de un establecimiento de comercio, aun cuando acrediten su condición de mujer mediante copia de la cedula de ciudadanía, cedula de extranjería o el pasaporte, no cumplirían con los requisitos establecidos en la definición de emprendimientos y empresas de mujeres que consagra el Decreto 1860 de 2021 para efectos de la aplicación de los criterios diferenciales establecidos por el artículo 32 de la Ley 2069 de 2020, reglamentados por el artículo 2.2.1.2.4.2.15 del Decreto 1082 de 2015.</w:t>
      </w:r>
    </w:p>
    <w:p w14:paraId="537837F0" w14:textId="77777777" w:rsidR="00E724E9" w:rsidRPr="00E724E9" w:rsidRDefault="00E724E9" w:rsidP="00E724E9">
      <w:pPr>
        <w:spacing w:before="120" w:after="120" w:line="276" w:lineRule="auto"/>
        <w:jc w:val="both"/>
        <w:rPr>
          <w:rFonts w:ascii="Arial" w:eastAsia="Calibri" w:hAnsi="Arial" w:cs="Arial"/>
          <w:lang w:val="es-MX"/>
        </w:rPr>
      </w:pPr>
      <w:r w:rsidRPr="00E724E9">
        <w:rPr>
          <w:rFonts w:ascii="Arial" w:hAnsi="Arial" w:cs="Arial"/>
          <w:color w:val="000000" w:themeColor="text1"/>
          <w:lang w:eastAsia="es-CO"/>
        </w:rPr>
        <w:lastRenderedPageBreak/>
        <w:tab/>
      </w:r>
      <w:r w:rsidRPr="00E724E9">
        <w:rPr>
          <w:rFonts w:ascii="Arial" w:eastAsia="Calibri" w:hAnsi="Arial" w:cs="Arial"/>
          <w:lang w:val="es-MX"/>
        </w:rPr>
        <w:t>Debe agregarse que el artículo 2.2.1.2.4.2.15 del Decreto 1082 de 2015</w:t>
      </w:r>
      <w:r w:rsidRPr="00E724E9">
        <w:rPr>
          <w:rFonts w:ascii="Arial" w:hAnsi="Arial" w:cs="Arial"/>
          <w:color w:val="000000" w:themeColor="text1"/>
          <w:vertAlign w:val="superscript"/>
          <w:lang w:eastAsia="es-CO"/>
        </w:rPr>
        <w:footnoteReference w:id="17"/>
      </w:r>
      <w:r w:rsidRPr="00E724E9">
        <w:rPr>
          <w:rFonts w:ascii="Arial" w:hAnsi="Arial" w:cs="Arial"/>
          <w:color w:val="000000" w:themeColor="text1"/>
          <w:lang w:eastAsia="es-CO"/>
        </w:rPr>
        <w:t xml:space="preserve">, </w:t>
      </w:r>
      <w:r w:rsidRPr="00E724E9">
        <w:rPr>
          <w:rFonts w:ascii="Arial" w:eastAsia="Calibri" w:hAnsi="Arial" w:cs="Arial"/>
          <w:lang w:val="es-MX"/>
        </w:rPr>
        <w:t xml:space="preserve">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en mención también regula un puntaje adicional de hasta el cero coma veinticinco por ciento (0,25%) del valor total de los puntos establecidos en los pliegos de condiciones o documentos equivalentes, para los proponentes que acrediten alguno de los supuestos del artículo 2.2.1.2.4.2.14. </w:t>
      </w:r>
    </w:p>
    <w:p w14:paraId="4606DE16" w14:textId="77777777" w:rsidR="00E724E9" w:rsidRPr="00E724E9" w:rsidRDefault="00E724E9" w:rsidP="00E724E9">
      <w:pPr>
        <w:spacing w:before="120" w:after="120" w:line="276" w:lineRule="auto"/>
        <w:jc w:val="both"/>
        <w:rPr>
          <w:rFonts w:ascii="Arial" w:eastAsia="Calibri" w:hAnsi="Arial" w:cs="Arial"/>
          <w:lang w:val="es-MX"/>
        </w:rPr>
      </w:pPr>
      <w:r w:rsidRPr="00E724E9">
        <w:rPr>
          <w:rFonts w:ascii="Arial" w:eastAsia="Calibri" w:hAnsi="Arial" w:cs="Arial"/>
          <w:lang w:val="es-MX"/>
        </w:rPr>
        <w:tab/>
        <w:t>De acuerdo con lo anterior,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en desarrollo de lo dispuesto en el artículo 32 de la Ley 2069 de 2020.</w:t>
      </w:r>
    </w:p>
    <w:p w14:paraId="1082BB0D" w14:textId="77777777" w:rsidR="00E724E9" w:rsidRPr="00E724E9" w:rsidRDefault="00E724E9" w:rsidP="00E724E9">
      <w:pPr>
        <w:spacing w:before="120" w:after="120" w:line="276" w:lineRule="auto"/>
        <w:ind w:firstLine="708"/>
        <w:jc w:val="both"/>
        <w:rPr>
          <w:rFonts w:ascii="Arial" w:eastAsia="Calibri" w:hAnsi="Arial" w:cs="Arial"/>
          <w:bCs/>
          <w:lang w:val="es-ES_tradnl"/>
        </w:rPr>
      </w:pPr>
      <w:r w:rsidRPr="00E724E9">
        <w:rPr>
          <w:rFonts w:ascii="Arial" w:eastAsia="Calibri" w:hAnsi="Arial" w:cs="Arial"/>
          <w:bCs/>
          <w:lang w:val="es-ES_tradnl"/>
        </w:rPr>
        <w:t xml:space="preserve">Al respecto, es importante precisar que, la Agencia Nacional de Contratación Pública – Colombia Compra Eficiente mediante la expedición de la Resolución 275 del 2022 adecuó el contenido de los documentos tipo del sector transporte, agua potable y saneamiento básico e infraestructura social atendiendo el cambio normativo previsto en la Ley 2069 de 2020 y el Decreto 1860 de 2021. Así las cosas, mediante el mencionado acto administrativo se definió de manera clara la forma en la cual el proponente se hace beneficiario del puntaje adicional y los criterios habilitantes diferenciales cuando acredita ser emprendimientos y/o empresas de mujeres. </w:t>
      </w:r>
    </w:p>
    <w:p w14:paraId="024E9906" w14:textId="77777777" w:rsidR="00E724E9" w:rsidRPr="00E724E9" w:rsidRDefault="00E724E9" w:rsidP="00E724E9">
      <w:pPr>
        <w:spacing w:before="120" w:after="120" w:line="276" w:lineRule="auto"/>
        <w:ind w:firstLine="708"/>
        <w:jc w:val="both"/>
        <w:rPr>
          <w:rFonts w:ascii="Arial" w:eastAsia="Calibri" w:hAnsi="Arial" w:cs="Arial"/>
          <w:bCs/>
          <w:lang w:val="es-ES_tradnl"/>
        </w:rPr>
      </w:pPr>
      <w:r w:rsidRPr="00E724E9">
        <w:rPr>
          <w:rFonts w:ascii="Arial" w:eastAsia="Calibri" w:hAnsi="Arial" w:cs="Arial"/>
          <w:bCs/>
          <w:lang w:val="es-ES_tradnl"/>
        </w:rPr>
        <w:lastRenderedPageBreak/>
        <w:t xml:space="preserve">Así las cosas, el numeral «4.6 Emprendimientos y empresas de mujeres» del documento base de los documentos tipo del sector de obra pública de infraestructura de transporte prevé que, la Entidad asignará un puntaje de </w:t>
      </w:r>
      <w:proofErr w:type="gramStart"/>
      <w:r w:rsidRPr="00E724E9">
        <w:rPr>
          <w:rFonts w:ascii="Arial" w:eastAsia="Calibri" w:hAnsi="Arial" w:cs="Arial"/>
          <w:bCs/>
          <w:lang w:val="es-ES_tradnl"/>
        </w:rPr>
        <w:t>cero punto</w:t>
      </w:r>
      <w:proofErr w:type="gramEnd"/>
      <w:r w:rsidRPr="00E724E9">
        <w:rPr>
          <w:rFonts w:ascii="Arial" w:eastAsia="Calibri" w:hAnsi="Arial" w:cs="Arial"/>
          <w:bCs/>
          <w:lang w:val="es-ES_tradnl"/>
        </w:rPr>
        <w:t xml:space="preserve"> veinticinco (025) puntos al proponente que acredite la calidad de emprendimiento y empresas de mujer. Para acreditar dicha condición, el proponente debe diligenciar el «Formato 12 – Acreditación de emprendimiento y empresas de mujeres»</w:t>
      </w:r>
      <w:r w:rsidRPr="00E724E9">
        <w:rPr>
          <w:rFonts w:ascii="Arial" w:eastAsia="Calibri" w:hAnsi="Arial" w:cs="Arial"/>
          <w:bCs/>
          <w:vertAlign w:val="superscript"/>
          <w:lang w:val="es-ES_tradnl"/>
        </w:rPr>
        <w:footnoteReference w:id="18"/>
      </w:r>
      <w:r w:rsidRPr="00E724E9">
        <w:rPr>
          <w:rFonts w:ascii="Arial" w:eastAsia="Calibri" w:hAnsi="Arial" w:cs="Arial"/>
          <w:bCs/>
          <w:lang w:val="es-ES_tradnl"/>
        </w:rPr>
        <w:t xml:space="preserve"> y aportar la documentación requerida en el artículo 2.2.1.2.4.2.14 del Decreto 1082 de 2015. Así se estableció en los siguientes términos: </w:t>
      </w:r>
    </w:p>
    <w:p w14:paraId="1C51309B" w14:textId="77777777" w:rsidR="00E724E9" w:rsidRPr="00E724E9" w:rsidRDefault="00E724E9" w:rsidP="00E724E9">
      <w:pPr>
        <w:spacing w:before="120" w:after="120" w:line="240" w:lineRule="auto"/>
        <w:ind w:firstLine="708"/>
        <w:jc w:val="both"/>
        <w:rPr>
          <w:rFonts w:ascii="Arial" w:eastAsia="Calibri" w:hAnsi="Arial" w:cs="Arial"/>
          <w:b/>
          <w:bCs/>
          <w:sz w:val="21"/>
          <w:szCs w:val="21"/>
          <w:lang w:val="es-MX"/>
        </w:rPr>
      </w:pPr>
      <w:r w:rsidRPr="00E724E9">
        <w:rPr>
          <w:rFonts w:ascii="Arial" w:eastAsia="Calibri" w:hAnsi="Arial" w:cs="Arial"/>
          <w:b/>
          <w:sz w:val="21"/>
          <w:szCs w:val="21"/>
          <w:lang w:val="es-ES_tradnl"/>
        </w:rPr>
        <w:t xml:space="preserve">4.6 </w:t>
      </w:r>
      <w:bookmarkStart w:id="13" w:name="_Toc107994862"/>
      <w:r w:rsidRPr="00E724E9">
        <w:rPr>
          <w:rFonts w:ascii="Arial" w:eastAsia="Calibri" w:hAnsi="Arial" w:cs="Arial"/>
          <w:b/>
          <w:sz w:val="21"/>
          <w:szCs w:val="21"/>
          <w:lang w:val="es-MX"/>
        </w:rPr>
        <w:t>E</w:t>
      </w:r>
      <w:r w:rsidRPr="00E724E9">
        <w:rPr>
          <w:rFonts w:ascii="Arial" w:eastAsia="Calibri" w:hAnsi="Arial" w:cs="Arial"/>
          <w:b/>
          <w:bCs/>
          <w:sz w:val="21"/>
          <w:szCs w:val="21"/>
          <w:lang w:val="es-MX"/>
        </w:rPr>
        <w:t>MPRENDIMIENTOS Y EMPRESAS DE MUJERES</w:t>
      </w:r>
      <w:bookmarkEnd w:id="13"/>
    </w:p>
    <w:p w14:paraId="71C27157" w14:textId="77777777" w:rsidR="00E724E9" w:rsidRPr="00E724E9" w:rsidRDefault="00E724E9" w:rsidP="00E724E9">
      <w:pPr>
        <w:spacing w:before="120" w:after="120" w:line="240" w:lineRule="auto"/>
        <w:ind w:left="708" w:right="709"/>
        <w:jc w:val="both"/>
        <w:rPr>
          <w:rFonts w:ascii="Arial" w:eastAsia="Calibri" w:hAnsi="Arial" w:cs="Arial"/>
          <w:bCs/>
          <w:sz w:val="21"/>
          <w:szCs w:val="21"/>
          <w:lang w:val="es-ES"/>
        </w:rPr>
      </w:pPr>
      <w:r w:rsidRPr="00E724E9">
        <w:rPr>
          <w:rFonts w:ascii="Arial" w:eastAsia="Calibri" w:hAnsi="Arial" w:cs="Arial"/>
          <w:bCs/>
          <w:sz w:val="21"/>
          <w:szCs w:val="21"/>
          <w:lang w:val="es-ES"/>
        </w:rPr>
        <w:t xml:space="preserve">La Entidad asignará un puntaje de </w:t>
      </w:r>
      <w:proofErr w:type="gramStart"/>
      <w:r w:rsidRPr="00E724E9">
        <w:rPr>
          <w:rFonts w:ascii="Arial" w:eastAsia="Calibri" w:hAnsi="Arial" w:cs="Arial"/>
          <w:bCs/>
          <w:sz w:val="21"/>
          <w:szCs w:val="21"/>
          <w:lang w:val="es-ES"/>
        </w:rPr>
        <w:t>cero punto</w:t>
      </w:r>
      <w:proofErr w:type="gramEnd"/>
      <w:r w:rsidRPr="00E724E9">
        <w:rPr>
          <w:rFonts w:ascii="Arial" w:eastAsia="Calibri" w:hAnsi="Arial" w:cs="Arial"/>
          <w:bCs/>
          <w:sz w:val="21"/>
          <w:szCs w:val="21"/>
          <w:lang w:val="es-ES"/>
        </w:rPr>
        <w:t xml:space="preserve"> veinticinco (0.25) puntos al Proponente que acredite la calidad de emprendimientos y empresas de mujeres con domicilio en el territorio nacional de conformidad con lo previsto en el artículo 2.2.1.2.4.2.14. del Decreto 1082 de 2015 </w:t>
      </w:r>
      <w:r w:rsidRPr="00E724E9">
        <w:rPr>
          <w:rFonts w:ascii="Arial" w:eastAsia="Calibri" w:hAnsi="Arial" w:cs="Arial"/>
          <w:bCs/>
          <w:sz w:val="21"/>
          <w:szCs w:val="21"/>
          <w:lang w:val="es-MX"/>
        </w:rPr>
        <w:t>o la norma que lo modifique, sustituya o complemente.</w:t>
      </w:r>
    </w:p>
    <w:p w14:paraId="4B830EF1" w14:textId="77777777" w:rsidR="00E724E9" w:rsidRPr="00E724E9" w:rsidRDefault="00E724E9" w:rsidP="00E724E9">
      <w:pPr>
        <w:spacing w:before="120" w:after="120" w:line="240" w:lineRule="auto"/>
        <w:ind w:left="708" w:right="709"/>
        <w:jc w:val="both"/>
        <w:rPr>
          <w:rFonts w:ascii="Arial" w:eastAsia="Calibri" w:hAnsi="Arial" w:cs="Arial"/>
          <w:bCs/>
          <w:sz w:val="21"/>
          <w:szCs w:val="21"/>
        </w:rPr>
      </w:pPr>
      <w:r w:rsidRPr="00E724E9">
        <w:rPr>
          <w:rFonts w:ascii="Arial" w:eastAsia="Calibri" w:hAnsi="Arial" w:cs="Arial"/>
          <w:bCs/>
          <w:sz w:val="21"/>
          <w:szCs w:val="21"/>
          <w:lang w:val="es-ES"/>
        </w:rPr>
        <w:t xml:space="preserve">Para que el Proponente obtenga este puntaje debe diligenciar el Formato 12 – Acreditación de emprendimientos y empresas de mujeres y aportar la documentación requerida. </w:t>
      </w:r>
      <w:r w:rsidRPr="00E724E9">
        <w:rPr>
          <w:rFonts w:ascii="Arial" w:eastAsia="Calibri" w:hAnsi="Arial" w:cs="Arial"/>
          <w:bCs/>
          <w:sz w:val="21"/>
          <w:szCs w:val="21"/>
        </w:rPr>
        <w:t>Si el Proponente debió subsanar la entrega de dicho formato y/o los documentos exigidos para probar esta condición será válido para el criterio diferencial en cuanto al requisito habilitante relacionado con el número de contratos aportados para demostrar la experiencia solicitada. Sin embargo, no se tendrán en cuenta para la asignación de puntaje, por lo que obtendrá cero (0) puntos por este factor de evaluación.</w:t>
      </w:r>
    </w:p>
    <w:p w14:paraId="7DE10299" w14:textId="77777777" w:rsidR="00E724E9" w:rsidRPr="00E724E9" w:rsidRDefault="00E724E9" w:rsidP="00E724E9">
      <w:pPr>
        <w:spacing w:before="120" w:after="120" w:line="276" w:lineRule="auto"/>
        <w:ind w:firstLine="708"/>
        <w:jc w:val="both"/>
        <w:rPr>
          <w:rFonts w:ascii="Arial" w:eastAsia="Calibri" w:hAnsi="Arial" w:cs="Arial"/>
          <w:bCs/>
        </w:rPr>
      </w:pPr>
      <w:r w:rsidRPr="00E724E9">
        <w:rPr>
          <w:rFonts w:ascii="Arial" w:eastAsia="Calibri" w:hAnsi="Arial" w:cs="Arial"/>
          <w:bCs/>
        </w:rPr>
        <w:t xml:space="preserve">En tal sentido, el oferente aportará los siguientes documentos para que se otorgue el puntaje adicional por ser un emprendimiento y empresa de mujer: i) el diligenciamiento del Formato 12 – Acreditación de emprendimientos y empresas de mujeres y </w:t>
      </w:r>
      <w:proofErr w:type="spellStart"/>
      <w:r w:rsidRPr="00E724E9">
        <w:rPr>
          <w:rFonts w:ascii="Arial" w:eastAsia="Calibri" w:hAnsi="Arial" w:cs="Arial"/>
          <w:bCs/>
        </w:rPr>
        <w:t>ii</w:t>
      </w:r>
      <w:proofErr w:type="spellEnd"/>
      <w:r w:rsidRPr="00E724E9">
        <w:rPr>
          <w:rFonts w:ascii="Arial" w:eastAsia="Calibri" w:hAnsi="Arial" w:cs="Arial"/>
          <w:bCs/>
        </w:rPr>
        <w:t xml:space="preserve">) entregar los documentos exigidos en el artículo </w:t>
      </w:r>
      <w:r w:rsidRPr="00E724E9">
        <w:rPr>
          <w:rFonts w:ascii="Arial" w:eastAsia="Calibri" w:hAnsi="Arial" w:cs="Arial"/>
          <w:bCs/>
          <w:lang w:val="es-ES_tradnl"/>
        </w:rPr>
        <w:t xml:space="preserve">2.2.1.2.4.2.14 del Decreto 1082 de 2015 o la norma que lo modifique, sustituya o complemente. En el caso de las personas naturales, tal y cómo se explicó previamente, se aportará copia de la cédula de ciudadanía, la cédula de extranjería o el pasaporte, así como la copia del registro mercantil. </w:t>
      </w:r>
    </w:p>
    <w:p w14:paraId="3C2D99A0" w14:textId="77777777" w:rsidR="00E724E9" w:rsidRPr="00E724E9" w:rsidRDefault="00E724E9" w:rsidP="00E724E9">
      <w:pPr>
        <w:spacing w:before="120" w:after="120" w:line="276" w:lineRule="auto"/>
        <w:ind w:firstLine="708"/>
        <w:jc w:val="both"/>
        <w:rPr>
          <w:rFonts w:ascii="Arial" w:eastAsia="Calibri" w:hAnsi="Arial" w:cs="Arial"/>
          <w:bCs/>
          <w:lang w:val="es-ES_tradnl"/>
        </w:rPr>
      </w:pPr>
      <w:r w:rsidRPr="00E724E9">
        <w:rPr>
          <w:rFonts w:ascii="Arial" w:eastAsia="Calibri" w:hAnsi="Arial" w:cs="Arial"/>
          <w:bCs/>
          <w:lang w:val="es-ES_tradnl"/>
        </w:rPr>
        <w:t xml:space="preserve">Ahora bien, usted pregunta ¿de qué manera las entidades deben verificar que efectivamente la persona natural ha ejercido actividades comerciales durante el último año? Frente al particular, es importante precisar que, la oferente mediante el diligenciamiento del Formato 12 B – Acreditación de emprendimientos y empresas de mujeres (Persona natural) declara bajo la gravedad de juramento que ha ejercido actividades comerciales a través del establecimiento de comercio, durante al menos el último año anterior contado a partir de la fecha del cierre del proceso de contratación, así se estableció en los siguientes términos: </w:t>
      </w:r>
    </w:p>
    <w:p w14:paraId="3C6B5449" w14:textId="77777777" w:rsidR="00E724E9" w:rsidRPr="00E724E9" w:rsidRDefault="00E724E9" w:rsidP="00E724E9">
      <w:pPr>
        <w:spacing w:before="120" w:after="120" w:line="276" w:lineRule="auto"/>
        <w:ind w:firstLine="708"/>
        <w:jc w:val="both"/>
        <w:rPr>
          <w:rFonts w:ascii="Geomanist Light" w:eastAsia="Calibri" w:hAnsi="Geomanist Light" w:cs="Arial"/>
          <w:bCs/>
          <w:lang w:val="es-ES_tradnl"/>
        </w:rPr>
      </w:pPr>
      <w:r w:rsidRPr="00E724E9">
        <w:rPr>
          <w:noProof/>
        </w:rPr>
        <w:lastRenderedPageBreak/>
        <w:drawing>
          <wp:inline distT="0" distB="0" distL="0" distR="0" wp14:anchorId="1BF1E752" wp14:editId="2A43F381">
            <wp:extent cx="4594687" cy="3753016"/>
            <wp:effectExtent l="0" t="0" r="0" b="0"/>
            <wp:docPr id="2" name="Imagen 2" descr="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plicación&#10;&#10;Descripción generada automáticamente con confianza media"/>
                    <pic:cNvPicPr/>
                  </pic:nvPicPr>
                  <pic:blipFill>
                    <a:blip r:embed="rId12"/>
                    <a:stretch>
                      <a:fillRect/>
                    </a:stretch>
                  </pic:blipFill>
                  <pic:spPr>
                    <a:xfrm>
                      <a:off x="0" y="0"/>
                      <a:ext cx="4601355" cy="3758463"/>
                    </a:xfrm>
                    <a:prstGeom prst="rect">
                      <a:avLst/>
                    </a:prstGeom>
                  </pic:spPr>
                </pic:pic>
              </a:graphicData>
            </a:graphic>
          </wp:inline>
        </w:drawing>
      </w:r>
    </w:p>
    <w:p w14:paraId="7C8D4118" w14:textId="77777777" w:rsidR="00E724E9" w:rsidRPr="00E724E9" w:rsidRDefault="00E724E9" w:rsidP="00E724E9">
      <w:pPr>
        <w:spacing w:before="120" w:after="120" w:line="276" w:lineRule="auto"/>
        <w:ind w:firstLine="708"/>
        <w:jc w:val="both"/>
        <w:rPr>
          <w:rFonts w:ascii="Arial" w:eastAsia="Calibri" w:hAnsi="Arial" w:cs="Arial"/>
          <w:lang w:val="es-ES_tradnl"/>
        </w:rPr>
      </w:pPr>
      <w:r w:rsidRPr="00E724E9">
        <w:rPr>
          <w:rFonts w:ascii="Arial" w:eastAsia="Calibri" w:hAnsi="Arial" w:cs="Arial"/>
          <w:bCs/>
          <w:lang w:val="es-ES_tradnl"/>
        </w:rPr>
        <w:t>En todo caso, en el «Formato 12 B- Acreditación de emprendimientos y empresas de mujeres» se aclara que la anterior circunstancia, esto es, que el oferente ha ejercido actividades comerciales durante al menos el último año anterior contado a partir de la fecha del cierre del proceso de contratación se acreditará mediante la presentación del registro mercantil. En tal sentido, para que la Entidad verifique que la actividad comercial se ejerció durante al menos el último año anterior a la fecha del cierre del proceso de selección no solo basta con el diligenciamiento del «Formato 12 – Acreditación emprendimiento y empresas de mujeres», sino, además, será necesario aportar copia del registro mercantil.</w:t>
      </w:r>
    </w:p>
    <w:p w14:paraId="520727FC" w14:textId="77777777" w:rsidR="00E724E9" w:rsidRPr="00E724E9" w:rsidRDefault="00E724E9" w:rsidP="00E724E9">
      <w:pPr>
        <w:tabs>
          <w:tab w:val="left" w:pos="284"/>
        </w:tabs>
        <w:spacing w:after="0" w:line="276" w:lineRule="auto"/>
        <w:contextualSpacing/>
        <w:jc w:val="both"/>
        <w:rPr>
          <w:rFonts w:ascii="Arial" w:eastAsia="Calibri" w:hAnsi="Arial" w:cs="Arial"/>
          <w:b/>
          <w:bCs/>
          <w:lang w:val="es-MX"/>
        </w:rPr>
      </w:pPr>
      <w:r w:rsidRPr="00E724E9">
        <w:rPr>
          <w:rFonts w:ascii="Arial" w:eastAsia="Calibri" w:hAnsi="Arial" w:cs="Arial"/>
          <w:b/>
          <w:bCs/>
          <w:lang w:val="es-MX"/>
        </w:rPr>
        <w:t>3. Respuesta</w:t>
      </w:r>
    </w:p>
    <w:p w14:paraId="7795C888" w14:textId="77777777" w:rsidR="00E724E9" w:rsidRPr="00E724E9" w:rsidRDefault="00E724E9" w:rsidP="00E724E9">
      <w:pPr>
        <w:tabs>
          <w:tab w:val="left" w:pos="284"/>
        </w:tabs>
        <w:spacing w:after="0" w:line="240" w:lineRule="auto"/>
        <w:contextualSpacing/>
        <w:jc w:val="both"/>
        <w:rPr>
          <w:rFonts w:ascii="Arial" w:eastAsia="Calibri" w:hAnsi="Arial" w:cs="Arial"/>
        </w:rPr>
      </w:pPr>
    </w:p>
    <w:p w14:paraId="483B0F61" w14:textId="77777777" w:rsidR="00E724E9" w:rsidRPr="00E724E9" w:rsidRDefault="00E724E9" w:rsidP="00E724E9">
      <w:pPr>
        <w:widowControl w:val="0"/>
        <w:autoSpaceDE w:val="0"/>
        <w:autoSpaceDN w:val="0"/>
        <w:spacing w:after="0" w:line="240" w:lineRule="auto"/>
        <w:ind w:left="709" w:right="709"/>
        <w:jc w:val="both"/>
        <w:rPr>
          <w:rFonts w:ascii="Arial" w:eastAsia="Calibri" w:hAnsi="Arial" w:cs="Arial"/>
          <w:sz w:val="21"/>
          <w:szCs w:val="21"/>
          <w:lang w:val="es-MX"/>
        </w:rPr>
      </w:pPr>
      <w:r w:rsidRPr="00E724E9">
        <w:rPr>
          <w:rFonts w:ascii="Arial" w:eastAsia="Calibri" w:hAnsi="Arial" w:cs="Arial"/>
          <w:sz w:val="21"/>
          <w:szCs w:val="21"/>
          <w:lang w:val="es-MX"/>
        </w:rPr>
        <w:t xml:space="preserve">«[…] Conforme a los pliegos tipo para obras civiles e interventorías, las Entidades públicas asignarán un puntaje de </w:t>
      </w:r>
      <w:proofErr w:type="gramStart"/>
      <w:r w:rsidRPr="00E724E9">
        <w:rPr>
          <w:rFonts w:ascii="Arial" w:eastAsia="Calibri" w:hAnsi="Arial" w:cs="Arial"/>
          <w:sz w:val="21"/>
          <w:szCs w:val="21"/>
          <w:lang w:val="es-MX"/>
        </w:rPr>
        <w:t>cero punto</w:t>
      </w:r>
      <w:proofErr w:type="gramEnd"/>
      <w:r w:rsidRPr="00E724E9">
        <w:rPr>
          <w:rFonts w:ascii="Arial" w:eastAsia="Calibri" w:hAnsi="Arial" w:cs="Arial"/>
          <w:sz w:val="21"/>
          <w:szCs w:val="21"/>
          <w:lang w:val="es-MX"/>
        </w:rPr>
        <w:t xml:space="preserve"> veinticinco (0.25) puntos al Proponente que acredite la calidad de emprendimientos y empresas de mujeres con domicilio en el territorio nacional de conformidad con lo previsto en el artículo 2.2.1.2.4.2.14. del Decreto 1082 de 2015 o la norma que lo modifique, sustituya o complemente. Para que el Proponente obtenga este puntaje debe diligenciar el “Formato 13 –Acreditación de emprendimientos y empresas de mujeres” y aportar la documentación requerida. Este puntaje rige a partir del 1 de noviembre de 2022. En dicho formato, para personas naturales, que es mi caso, se certifica bajo la gravedad de juramento que se ha ejercido actividades comerciales durante al menos el ultimo año anterior contado a partir de la </w:t>
      </w:r>
      <w:r w:rsidRPr="00E724E9">
        <w:rPr>
          <w:rFonts w:ascii="Arial" w:eastAsia="Calibri" w:hAnsi="Arial" w:cs="Arial"/>
          <w:sz w:val="21"/>
          <w:szCs w:val="21"/>
          <w:lang w:val="es-MX"/>
        </w:rPr>
        <w:lastRenderedPageBreak/>
        <w:t>fecha de cierre del proceso de contratación, y se debe adjuntar copia cedula y copia registro mercantil.Mi consulta se debe a la forma en que las entidades públicas deben verificar el tiempo en la acreditación del ejercimiento de actividades comerciales durante el ultimo año, debido a que, en mi caso particular y me atrevo a asegurar, la mayoría de las mujeres que contratamos obras civiles y de interventoría, por lo general no tenemos registro mercantil sino registro único de proponentes[…] »</w:t>
      </w:r>
    </w:p>
    <w:p w14:paraId="1CC9CD63" w14:textId="77777777" w:rsidR="00E724E9" w:rsidRPr="00E724E9" w:rsidRDefault="00E724E9" w:rsidP="00E724E9">
      <w:pPr>
        <w:spacing w:after="0" w:line="240" w:lineRule="auto"/>
        <w:ind w:left="709" w:right="709"/>
        <w:contextualSpacing/>
        <w:jc w:val="both"/>
        <w:rPr>
          <w:rFonts w:ascii="Arial" w:hAnsi="Arial" w:cs="Arial"/>
          <w:color w:val="1A1A1A" w:themeColor="background1" w:themeShade="1A"/>
          <w:sz w:val="21"/>
          <w:szCs w:val="21"/>
        </w:rPr>
      </w:pPr>
    </w:p>
    <w:p w14:paraId="04D91DF1" w14:textId="77777777" w:rsidR="00E724E9" w:rsidRPr="00E724E9" w:rsidRDefault="00E724E9" w:rsidP="00E724E9">
      <w:pPr>
        <w:spacing w:after="120" w:line="276" w:lineRule="auto"/>
        <w:jc w:val="both"/>
        <w:rPr>
          <w:rFonts w:ascii="Arial" w:eastAsia="Calibri" w:hAnsi="Arial" w:cs="Arial"/>
          <w:lang w:val="es-MX"/>
        </w:rPr>
      </w:pPr>
      <w:bookmarkStart w:id="14" w:name="_Hlk94281581"/>
      <w:r w:rsidRPr="00E724E9">
        <w:rPr>
          <w:rFonts w:ascii="Arial" w:eastAsia="Calibri" w:hAnsi="Arial" w:cs="Arial"/>
          <w:lang w:val="es-MX"/>
        </w:rPr>
        <w:t xml:space="preserve">De conformidad con lo expuesto, los criterios diferenciales en favor de emprendimientos y empresas de mujeres incorporados por el artículo 32 de la Ley 2069 de 2020 y reglamentados mediante el Decreto 1860 de 2021, únicamente, le son aplicables a los proponentes que acrediten alguna de las condiciones señaladas en el artículo 2.2.1.2.4.2.14 del Decreto 1082 de 2015, mediante el cual se definió el concepto de ‘emprendimiento y empresa de mujeres’. Cada uno de los supuestos de hecho consagrados en la mencionada disposición exige una antigüedad mínima de un (1) año respecto de la circunstancia en función de la cual se considera que una persona -natural o jurídica- es un emprendimiento o empresa de mujeres. De acuerdo con lo establecido en el numeral 3 de la disposición anterior, para ser considerada como un emprendimiento o empresa de mujeres, la persona natural debe acreditar su condición de mujer y el ejercicio de actividades comerciales a través de un establecimiento de comercio durante al menos el último año anterior a la fecha de cierre del proceso de selección. La acreditación de estas circunstancias se debe realizar mediante la copia de la cedula de ciudadanía, cedula de extranjería o pasaporte y la copia del registro mercantil. </w:t>
      </w:r>
    </w:p>
    <w:p w14:paraId="185E6B43" w14:textId="77777777" w:rsidR="00E724E9" w:rsidRPr="00E724E9" w:rsidRDefault="00E724E9" w:rsidP="00E724E9">
      <w:pPr>
        <w:spacing w:before="120" w:after="120" w:line="276" w:lineRule="auto"/>
        <w:ind w:firstLine="708"/>
        <w:jc w:val="both"/>
        <w:rPr>
          <w:rFonts w:ascii="Arial" w:eastAsia="Calibri" w:hAnsi="Arial" w:cs="Arial"/>
          <w:lang w:val="es-MX"/>
        </w:rPr>
      </w:pPr>
      <w:r w:rsidRPr="00E724E9">
        <w:rPr>
          <w:rFonts w:ascii="Arial" w:eastAsia="Calibri" w:hAnsi="Arial" w:cs="Arial"/>
          <w:lang w:val="es-MX"/>
        </w:rPr>
        <w:t>En tales términos, las personas naturales que no cuenten con registro mercantil, mediante el cual se acredita que se han ejercido actividades comerciales a través de un establecimiento de comercio, aun cuando acrediten su condición de mujer mediante copia de la cedula de ciudadanía, cedula de extranjería o el pasaporte, no cumplirían con los requisitos establecidos en la definición de emprendimientos y empresas de mujeres que consagra el Decreto 1860 de 2021 para efectos de la aplicación de los criterios diferenciales establecidos por el artículo 32 de la Ley 2069 de 2020, reglamentados por el artículo 2.2.1.2.4.2.15 del Decreto 1082 de 2015. En consecuencia, los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y, por tanto, no se podrán beneficiar de los requisitos diferenciales y el puntaje adicional.</w:t>
      </w:r>
    </w:p>
    <w:p w14:paraId="7945B277" w14:textId="77777777" w:rsidR="00E724E9" w:rsidRPr="00E724E9" w:rsidRDefault="00E724E9" w:rsidP="00E724E9">
      <w:pPr>
        <w:spacing w:before="120" w:after="120" w:line="276" w:lineRule="auto"/>
        <w:ind w:firstLine="708"/>
        <w:jc w:val="both"/>
        <w:rPr>
          <w:rFonts w:ascii="Geomanist Light" w:eastAsia="Calibri" w:hAnsi="Geomanist Light" w:cs="Arial"/>
          <w:lang w:val="es-MX"/>
        </w:rPr>
      </w:pPr>
      <w:r w:rsidRPr="00E724E9">
        <w:rPr>
          <w:rFonts w:ascii="Arial" w:eastAsia="Calibri" w:hAnsi="Arial" w:cs="Arial"/>
          <w:lang w:val="es-MX"/>
        </w:rPr>
        <w:t xml:space="preserve">En el evento de los documentos tipo del sector de obra pública de infraestructura de transporte, agua potable y saneamiento básico e infraestructura social la condición de emprendimientos y empresas de mujeres, en particular, la persona natural acredite la circunstancia que ha ejercido actividades comerciales durante al menos el último año anterior a la fecha del cierre del proceso de selección se requerirán aportar los siguientes documentos: i) el diligenciamiento del Formato 12 – Acreditación emprendimiento y empresas de mujeres y ii) los </w:t>
      </w:r>
      <w:r w:rsidRPr="00E724E9">
        <w:rPr>
          <w:rFonts w:ascii="Arial" w:eastAsia="Calibri" w:hAnsi="Arial" w:cs="Arial"/>
          <w:lang w:val="es-MX"/>
        </w:rPr>
        <w:lastRenderedPageBreak/>
        <w:t xml:space="preserve">documentos del artículo 2.2.1.2.4.2.14 del Decreto 1082 de 2015, esto es, copia del registro mercantil. </w:t>
      </w:r>
    </w:p>
    <w:p w14:paraId="01DC8A3A" w14:textId="77777777" w:rsidR="00E724E9" w:rsidRPr="00E724E9" w:rsidRDefault="00E724E9" w:rsidP="00E724E9">
      <w:pPr>
        <w:spacing w:after="0" w:line="276" w:lineRule="auto"/>
        <w:contextualSpacing/>
        <w:jc w:val="both"/>
        <w:rPr>
          <w:rFonts w:ascii="Arial" w:eastAsia="Calibri" w:hAnsi="Arial" w:cs="Arial"/>
          <w:lang w:val="es-MX"/>
        </w:rPr>
      </w:pPr>
    </w:p>
    <w:p w14:paraId="04AF8474" w14:textId="77777777" w:rsidR="00E724E9" w:rsidRPr="00E724E9" w:rsidRDefault="00E724E9" w:rsidP="00E724E9">
      <w:pPr>
        <w:spacing w:after="0" w:line="276" w:lineRule="auto"/>
        <w:contextualSpacing/>
        <w:jc w:val="both"/>
        <w:rPr>
          <w:rFonts w:ascii="Arial" w:eastAsia="Calibri" w:hAnsi="Arial" w:cs="Arial"/>
          <w:lang w:val="es-MX"/>
        </w:rPr>
      </w:pPr>
      <w:r w:rsidRPr="00E724E9">
        <w:rPr>
          <w:rFonts w:ascii="Arial" w:eastAsia="Calibri" w:hAnsi="Arial" w:cs="Arial"/>
          <w:lang w:val="es-MX"/>
        </w:rPr>
        <w:t>Este concepto tiene el alcance previsto en el artículo 28 del Código de Procedimiento Administrativo y de lo Contencioso Administrativo.</w:t>
      </w:r>
    </w:p>
    <w:p w14:paraId="5C78FE27" w14:textId="77777777" w:rsidR="00E724E9" w:rsidRPr="00E724E9" w:rsidRDefault="00E724E9" w:rsidP="00E724E9">
      <w:pPr>
        <w:spacing w:after="0" w:line="276" w:lineRule="auto"/>
        <w:contextualSpacing/>
        <w:jc w:val="both"/>
        <w:rPr>
          <w:rFonts w:ascii="Geomanist Light" w:eastAsia="Calibri" w:hAnsi="Geomanist Light" w:cs="Arial"/>
          <w:lang w:val="es-MX"/>
        </w:rPr>
      </w:pPr>
    </w:p>
    <w:bookmarkEnd w:id="14"/>
    <w:p w14:paraId="28BB0EDA" w14:textId="77777777" w:rsidR="00E724E9" w:rsidRPr="00E724E9" w:rsidRDefault="00E724E9" w:rsidP="00E724E9">
      <w:pPr>
        <w:spacing w:after="0" w:line="276" w:lineRule="auto"/>
        <w:contextualSpacing/>
        <w:jc w:val="both"/>
        <w:rPr>
          <w:rFonts w:ascii="Arial" w:eastAsia="Calibri" w:hAnsi="Arial" w:cs="Arial"/>
        </w:rPr>
      </w:pPr>
      <w:r w:rsidRPr="00E724E9">
        <w:rPr>
          <w:rFonts w:ascii="Geomanist Light" w:eastAsia="Calibri" w:hAnsi="Geomanist Light" w:cs="Arial"/>
          <w:lang w:val="es-MX"/>
        </w:rPr>
        <w:t>Atentamente,</w:t>
      </w:r>
      <w:r w:rsidRPr="00E724E9">
        <w:rPr>
          <w:rFonts w:ascii="Arial" w:eastAsia="Calibri" w:hAnsi="Arial" w:cs="Arial"/>
        </w:rPr>
        <w:t xml:space="preserve"> </w:t>
      </w:r>
    </w:p>
    <w:bookmarkEnd w:id="0"/>
    <w:p w14:paraId="2B3592F2" w14:textId="0C1BE2E9" w:rsidR="00E724E9" w:rsidRPr="00E724E9" w:rsidRDefault="00EB7D2A" w:rsidP="00E724E9">
      <w:pPr>
        <w:spacing w:line="276" w:lineRule="auto"/>
        <w:jc w:val="center"/>
        <w:rPr>
          <w:rFonts w:ascii="Arial" w:hAnsi="Arial" w:cs="Arial"/>
          <w:color w:val="000000" w:themeColor="text1"/>
          <w:lang w:val="es-ES_tradnl" w:eastAsia="es-CO"/>
        </w:rPr>
      </w:pPr>
      <w:r>
        <w:rPr>
          <w:noProof/>
        </w:rPr>
        <w:drawing>
          <wp:inline distT="0" distB="0" distL="0" distR="0" wp14:anchorId="24DCCC5A" wp14:editId="45986C04">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415307E9" w14:textId="77777777" w:rsidR="00E724E9" w:rsidRPr="00E724E9" w:rsidRDefault="00E724E9" w:rsidP="00E724E9">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724E9" w:rsidRPr="00E724E9" w14:paraId="59D0DE71" w14:textId="77777777" w:rsidTr="000F3465">
        <w:trPr>
          <w:trHeight w:val="315"/>
        </w:trPr>
        <w:tc>
          <w:tcPr>
            <w:tcW w:w="812" w:type="dxa"/>
            <w:vAlign w:val="center"/>
            <w:hideMark/>
          </w:tcPr>
          <w:p w14:paraId="29633FC0" w14:textId="77777777" w:rsidR="00E724E9" w:rsidRPr="00E724E9" w:rsidRDefault="00E724E9" w:rsidP="00E724E9">
            <w:pPr>
              <w:spacing w:line="276" w:lineRule="auto"/>
              <w:rPr>
                <w:rFonts w:ascii="Arial" w:hAnsi="Arial" w:cs="Arial"/>
                <w:color w:val="000000" w:themeColor="text1"/>
                <w:sz w:val="16"/>
                <w:szCs w:val="16"/>
                <w:lang w:val="es-ES_tradnl" w:eastAsia="es-ES"/>
              </w:rPr>
            </w:pPr>
            <w:r w:rsidRPr="00E724E9">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F9174E0" w14:textId="77777777" w:rsidR="00E724E9" w:rsidRPr="00E724E9" w:rsidRDefault="00E724E9" w:rsidP="00E724E9">
            <w:pPr>
              <w:spacing w:line="276" w:lineRule="auto"/>
              <w:rPr>
                <w:rFonts w:ascii="Arial" w:hAnsi="Arial" w:cs="Arial"/>
                <w:color w:val="000000" w:themeColor="text1"/>
                <w:sz w:val="16"/>
                <w:szCs w:val="16"/>
                <w:lang w:val="es-ES_tradnl" w:eastAsia="es-ES"/>
              </w:rPr>
            </w:pPr>
            <w:r w:rsidRPr="00E724E9">
              <w:rPr>
                <w:rFonts w:ascii="Arial" w:hAnsi="Arial" w:cs="Arial"/>
                <w:color w:val="000000" w:themeColor="text1"/>
                <w:sz w:val="16"/>
                <w:szCs w:val="16"/>
                <w:lang w:val="es-ES_tradnl" w:eastAsia="es-ES"/>
              </w:rPr>
              <w:t>Felipe Bastidas Paredes</w:t>
            </w:r>
          </w:p>
          <w:p w14:paraId="6A3DA431" w14:textId="77777777" w:rsidR="00E724E9" w:rsidRPr="00E724E9" w:rsidRDefault="00E724E9" w:rsidP="00E724E9">
            <w:pPr>
              <w:spacing w:line="276" w:lineRule="auto"/>
              <w:rPr>
                <w:rFonts w:ascii="Arial" w:hAnsi="Arial" w:cs="Arial"/>
                <w:color w:val="000000" w:themeColor="text1"/>
                <w:sz w:val="16"/>
                <w:szCs w:val="16"/>
                <w:lang w:val="es-ES_tradnl" w:eastAsia="es-ES"/>
              </w:rPr>
            </w:pPr>
            <w:r w:rsidRPr="00E724E9">
              <w:rPr>
                <w:rFonts w:ascii="Arial" w:hAnsi="Arial" w:cs="Arial"/>
                <w:color w:val="000000" w:themeColor="text1"/>
                <w:sz w:val="16"/>
                <w:szCs w:val="16"/>
                <w:lang w:val="es-ES_tradnl" w:eastAsia="es-ES"/>
              </w:rPr>
              <w:t>Contratista de la Subdirección de Gestión Contractual</w:t>
            </w:r>
          </w:p>
        </w:tc>
      </w:tr>
      <w:tr w:rsidR="00E724E9" w:rsidRPr="00E724E9" w14:paraId="6BC11CB9" w14:textId="77777777" w:rsidTr="000F3465">
        <w:trPr>
          <w:trHeight w:val="330"/>
        </w:trPr>
        <w:tc>
          <w:tcPr>
            <w:tcW w:w="812" w:type="dxa"/>
            <w:vAlign w:val="center"/>
            <w:hideMark/>
          </w:tcPr>
          <w:p w14:paraId="3CF26B72" w14:textId="77777777" w:rsidR="00E724E9" w:rsidRPr="00E724E9" w:rsidRDefault="00E724E9" w:rsidP="00E724E9">
            <w:pPr>
              <w:spacing w:line="276" w:lineRule="auto"/>
              <w:rPr>
                <w:rFonts w:ascii="Arial" w:hAnsi="Arial" w:cs="Arial"/>
                <w:color w:val="000000" w:themeColor="text1"/>
                <w:sz w:val="16"/>
                <w:szCs w:val="16"/>
                <w:lang w:val="es-ES_tradnl" w:eastAsia="es-ES"/>
              </w:rPr>
            </w:pPr>
            <w:r w:rsidRPr="00E724E9">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B10B873" w14:textId="77777777" w:rsidR="00E724E9" w:rsidRPr="00E724E9" w:rsidRDefault="00E724E9" w:rsidP="00E724E9">
            <w:pPr>
              <w:spacing w:line="276" w:lineRule="auto"/>
              <w:rPr>
                <w:rFonts w:ascii="Arial" w:hAnsi="Arial" w:cs="Arial"/>
                <w:color w:val="000000" w:themeColor="text1"/>
                <w:sz w:val="16"/>
                <w:szCs w:val="16"/>
                <w:lang w:val="es-ES_tradnl" w:eastAsia="es-ES"/>
              </w:rPr>
            </w:pPr>
            <w:r w:rsidRPr="00E724E9">
              <w:rPr>
                <w:rFonts w:ascii="Arial" w:hAnsi="Arial" w:cs="Arial"/>
                <w:color w:val="000000" w:themeColor="text1"/>
                <w:sz w:val="16"/>
                <w:szCs w:val="16"/>
                <w:lang w:val="es-ES_tradnl" w:eastAsia="es-ES"/>
              </w:rPr>
              <w:t>Alejandro Sarmiento Cantillo</w:t>
            </w:r>
          </w:p>
          <w:p w14:paraId="0B80EAEC" w14:textId="77777777" w:rsidR="00E724E9" w:rsidRPr="00E724E9" w:rsidRDefault="00E724E9" w:rsidP="00E724E9">
            <w:pPr>
              <w:spacing w:line="276" w:lineRule="auto"/>
              <w:rPr>
                <w:rFonts w:ascii="Arial" w:hAnsi="Arial" w:cs="Arial"/>
                <w:color w:val="000000" w:themeColor="text1"/>
                <w:sz w:val="16"/>
                <w:szCs w:val="16"/>
                <w:lang w:val="es-ES_tradnl" w:eastAsia="es-ES"/>
              </w:rPr>
            </w:pPr>
            <w:r w:rsidRPr="00E724E9">
              <w:rPr>
                <w:rFonts w:ascii="Arial" w:hAnsi="Arial" w:cs="Arial"/>
                <w:color w:val="000000" w:themeColor="text1"/>
                <w:sz w:val="16"/>
                <w:szCs w:val="16"/>
                <w:lang w:val="es-ES_tradnl" w:eastAsia="es-ES"/>
              </w:rPr>
              <w:t>Gestor T1-15 de la Subdirección de Gestión Contractual</w:t>
            </w:r>
          </w:p>
        </w:tc>
      </w:tr>
      <w:tr w:rsidR="00E724E9" w:rsidRPr="00E724E9" w14:paraId="1180F98A" w14:textId="77777777" w:rsidTr="000F3465">
        <w:trPr>
          <w:trHeight w:val="300"/>
        </w:trPr>
        <w:tc>
          <w:tcPr>
            <w:tcW w:w="812" w:type="dxa"/>
            <w:vAlign w:val="center"/>
            <w:hideMark/>
          </w:tcPr>
          <w:p w14:paraId="6A77DFDD" w14:textId="77777777" w:rsidR="00E724E9" w:rsidRPr="00E724E9" w:rsidRDefault="00E724E9" w:rsidP="00E724E9">
            <w:pPr>
              <w:spacing w:line="276" w:lineRule="auto"/>
              <w:rPr>
                <w:rFonts w:ascii="Arial" w:hAnsi="Arial" w:cs="Arial"/>
                <w:color w:val="000000" w:themeColor="text1"/>
                <w:sz w:val="16"/>
                <w:szCs w:val="16"/>
                <w:lang w:val="es-ES_tradnl" w:eastAsia="es-ES"/>
              </w:rPr>
            </w:pPr>
            <w:r w:rsidRPr="00E724E9">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3D40877" w14:textId="77777777" w:rsidR="00E724E9" w:rsidRPr="00E724E9" w:rsidRDefault="00E724E9" w:rsidP="00E724E9">
            <w:pPr>
              <w:rPr>
                <w:rFonts w:ascii="Arial" w:eastAsia="Arial" w:hAnsi="Arial" w:cs="Arial"/>
                <w:color w:val="000000"/>
                <w:sz w:val="16"/>
                <w:szCs w:val="16"/>
              </w:rPr>
            </w:pPr>
            <w:r w:rsidRPr="00E724E9">
              <w:rPr>
                <w:rFonts w:ascii="Arial" w:eastAsia="Arial" w:hAnsi="Arial" w:cs="Arial"/>
                <w:color w:val="000000"/>
                <w:sz w:val="16"/>
                <w:szCs w:val="16"/>
              </w:rPr>
              <w:t xml:space="preserve">Nohelia del Carmen </w:t>
            </w:r>
            <w:proofErr w:type="spellStart"/>
            <w:r w:rsidRPr="00E724E9">
              <w:rPr>
                <w:rFonts w:ascii="Arial" w:eastAsia="Arial" w:hAnsi="Arial" w:cs="Arial"/>
                <w:color w:val="000000"/>
                <w:sz w:val="16"/>
                <w:szCs w:val="16"/>
              </w:rPr>
              <w:t>Zawady</w:t>
            </w:r>
            <w:proofErr w:type="spellEnd"/>
            <w:r w:rsidRPr="00E724E9">
              <w:rPr>
                <w:rFonts w:ascii="Arial" w:eastAsia="Arial" w:hAnsi="Arial" w:cs="Arial"/>
                <w:color w:val="000000"/>
                <w:sz w:val="16"/>
                <w:szCs w:val="16"/>
              </w:rPr>
              <w:t xml:space="preserve"> Palacio</w:t>
            </w:r>
          </w:p>
          <w:p w14:paraId="48557547" w14:textId="77777777" w:rsidR="00E724E9" w:rsidRPr="00E724E9" w:rsidRDefault="00E724E9" w:rsidP="00E724E9">
            <w:pPr>
              <w:spacing w:line="276" w:lineRule="auto"/>
              <w:rPr>
                <w:rFonts w:ascii="Arial" w:hAnsi="Arial" w:cs="Arial"/>
                <w:color w:val="000000" w:themeColor="text1"/>
                <w:sz w:val="16"/>
                <w:szCs w:val="16"/>
                <w:lang w:val="es-ES_tradnl" w:eastAsia="es-ES"/>
              </w:rPr>
            </w:pPr>
            <w:r w:rsidRPr="00E724E9">
              <w:rPr>
                <w:rFonts w:ascii="Arial" w:eastAsia="Arial" w:hAnsi="Arial" w:cs="Arial"/>
                <w:color w:val="000000"/>
                <w:sz w:val="16"/>
                <w:szCs w:val="16"/>
              </w:rPr>
              <w:t>Subdirectora de Gestión Contractual ANCP-CCE</w:t>
            </w:r>
          </w:p>
        </w:tc>
      </w:tr>
    </w:tbl>
    <w:p w14:paraId="445AF486" w14:textId="77777777" w:rsidR="001A48D0" w:rsidRPr="00E724E9" w:rsidRDefault="001A48D0" w:rsidP="001A48D0">
      <w:pPr>
        <w:spacing w:after="0" w:line="240" w:lineRule="auto"/>
        <w:rPr>
          <w:rFonts w:ascii="Geomanist Light" w:hAnsi="Geomanist Light"/>
          <w:b/>
          <w:color w:val="404040" w:themeColor="text1" w:themeTint="BF"/>
          <w:sz w:val="20"/>
          <w:szCs w:val="21"/>
        </w:rPr>
      </w:pPr>
    </w:p>
    <w:p w14:paraId="70639100" w14:textId="77777777" w:rsidR="001A48D0" w:rsidRDefault="001A48D0" w:rsidP="001A48D0">
      <w:pPr>
        <w:spacing w:after="0" w:line="240" w:lineRule="auto"/>
        <w:rPr>
          <w:rFonts w:ascii="Geomanist Light" w:hAnsi="Geomanist Light"/>
          <w:b/>
          <w:color w:val="404040" w:themeColor="text1" w:themeTint="BF"/>
          <w:lang w:val="es-ES"/>
        </w:rPr>
      </w:pPr>
    </w:p>
    <w:p w14:paraId="31D419DD" w14:textId="30F0F96B" w:rsidR="001A1011" w:rsidRDefault="001A1011" w:rsidP="006219F8">
      <w:pPr>
        <w:spacing w:after="0" w:line="240" w:lineRule="auto"/>
        <w:rPr>
          <w:rFonts w:ascii="Geomanist Light" w:hAnsi="Geomanist Light"/>
          <w:b/>
          <w:color w:val="404040" w:themeColor="text1" w:themeTint="BF"/>
          <w:lang w:val="es-ES"/>
        </w:rPr>
      </w:pPr>
    </w:p>
    <w:p w14:paraId="279D5850" w14:textId="5A51B1C1" w:rsidR="001A1011" w:rsidRDefault="001A1011" w:rsidP="006219F8">
      <w:pPr>
        <w:spacing w:after="0" w:line="240" w:lineRule="auto"/>
        <w:rPr>
          <w:rFonts w:ascii="Geomanist Light" w:hAnsi="Geomanist Light"/>
          <w:b/>
          <w:color w:val="404040" w:themeColor="text1" w:themeTint="BF"/>
          <w:lang w:val="es-ES"/>
        </w:rPr>
      </w:pPr>
    </w:p>
    <w:p w14:paraId="0B1D17E7" w14:textId="762AA3C6" w:rsidR="001A1011" w:rsidRDefault="001A1011" w:rsidP="006219F8">
      <w:pPr>
        <w:spacing w:after="0" w:line="240" w:lineRule="auto"/>
        <w:rPr>
          <w:rFonts w:ascii="Geomanist Light" w:hAnsi="Geomanist Light"/>
          <w:b/>
          <w:color w:val="404040" w:themeColor="text1" w:themeTint="BF"/>
          <w:lang w:val="es-ES"/>
        </w:rPr>
      </w:pPr>
    </w:p>
    <w:p w14:paraId="5CD9DF3C" w14:textId="2D55E7D3" w:rsidR="001A1011" w:rsidRDefault="001A1011" w:rsidP="006219F8">
      <w:pPr>
        <w:spacing w:after="0" w:line="240" w:lineRule="auto"/>
        <w:rPr>
          <w:rFonts w:ascii="Geomanist Light" w:hAnsi="Geomanist Light"/>
          <w:b/>
          <w:color w:val="404040" w:themeColor="text1" w:themeTint="BF"/>
          <w:lang w:val="es-ES"/>
        </w:rPr>
      </w:pPr>
    </w:p>
    <w:p w14:paraId="53AB5A20" w14:textId="6FAD5A9C" w:rsidR="001A1011" w:rsidRDefault="001A1011" w:rsidP="006219F8">
      <w:pPr>
        <w:spacing w:after="0" w:line="240" w:lineRule="auto"/>
        <w:rPr>
          <w:rFonts w:ascii="Geomanist Light" w:hAnsi="Geomanist Light"/>
          <w:b/>
          <w:color w:val="404040" w:themeColor="text1" w:themeTint="BF"/>
          <w:lang w:val="es-ES"/>
        </w:rPr>
      </w:pPr>
    </w:p>
    <w:p w14:paraId="6879FC78" w14:textId="2AD773B8" w:rsidR="001A1011" w:rsidRDefault="001A1011" w:rsidP="006219F8">
      <w:pPr>
        <w:spacing w:after="0" w:line="240" w:lineRule="auto"/>
        <w:rPr>
          <w:rFonts w:ascii="Geomanist Light" w:hAnsi="Geomanist Light"/>
          <w:b/>
          <w:color w:val="404040" w:themeColor="text1" w:themeTint="BF"/>
          <w:lang w:val="es-ES"/>
        </w:rPr>
      </w:pPr>
    </w:p>
    <w:p w14:paraId="267F1171" w14:textId="73CCED58" w:rsidR="001A1011" w:rsidRDefault="001A1011" w:rsidP="006219F8">
      <w:pPr>
        <w:spacing w:after="0" w:line="240" w:lineRule="auto"/>
        <w:rPr>
          <w:rFonts w:ascii="Geomanist Light" w:hAnsi="Geomanist Light"/>
          <w:b/>
          <w:color w:val="404040" w:themeColor="text1" w:themeTint="BF"/>
          <w:lang w:val="es-ES"/>
        </w:rPr>
      </w:pPr>
    </w:p>
    <w:p w14:paraId="17BA4C3F" w14:textId="610BC95A" w:rsidR="001A1011" w:rsidRDefault="001A1011" w:rsidP="006219F8">
      <w:pPr>
        <w:spacing w:after="0" w:line="240" w:lineRule="auto"/>
        <w:rPr>
          <w:rFonts w:ascii="Geomanist Light" w:hAnsi="Geomanist Light"/>
          <w:b/>
          <w:color w:val="404040" w:themeColor="text1" w:themeTint="BF"/>
          <w:lang w:val="es-ES"/>
        </w:rPr>
      </w:pPr>
    </w:p>
    <w:p w14:paraId="1C3871F1" w14:textId="3C77E1C6" w:rsidR="001A1011" w:rsidRDefault="001A1011" w:rsidP="006219F8">
      <w:pPr>
        <w:spacing w:after="0" w:line="240" w:lineRule="auto"/>
        <w:rPr>
          <w:rFonts w:ascii="Geomanist Light" w:hAnsi="Geomanist Light"/>
          <w:b/>
          <w:color w:val="404040" w:themeColor="text1" w:themeTint="BF"/>
          <w:lang w:val="es-ES"/>
        </w:rPr>
      </w:pPr>
    </w:p>
    <w:p w14:paraId="5E1D3DBF" w14:textId="22D6B9E8" w:rsidR="001A1011" w:rsidRDefault="001A1011" w:rsidP="006219F8">
      <w:pPr>
        <w:spacing w:after="0" w:line="240" w:lineRule="auto"/>
        <w:rPr>
          <w:rFonts w:ascii="Geomanist Light" w:hAnsi="Geomanist Light"/>
          <w:b/>
          <w:color w:val="404040" w:themeColor="text1" w:themeTint="BF"/>
          <w:lang w:val="es-ES"/>
        </w:rPr>
      </w:pPr>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1"/>
    <w:p w14:paraId="0F293BF4" w14:textId="0F6FB6C1" w:rsidR="00127233" w:rsidRPr="006219F8" w:rsidRDefault="00127233">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064E" w14:textId="77777777" w:rsidR="00F2580D" w:rsidRDefault="00F2580D" w:rsidP="004A1847">
      <w:pPr>
        <w:spacing w:after="0" w:line="240" w:lineRule="auto"/>
      </w:pPr>
      <w:r>
        <w:separator/>
      </w:r>
    </w:p>
  </w:endnote>
  <w:endnote w:type="continuationSeparator" w:id="0">
    <w:p w14:paraId="343D0CC0" w14:textId="77777777" w:rsidR="00F2580D" w:rsidRDefault="00F2580D" w:rsidP="004A1847">
      <w:pPr>
        <w:spacing w:after="0" w:line="240" w:lineRule="auto"/>
      </w:pPr>
      <w:r>
        <w:continuationSeparator/>
      </w:r>
    </w:p>
  </w:endnote>
  <w:endnote w:type="continuationNotice" w:id="1">
    <w:p w14:paraId="2DC102E5" w14:textId="77777777" w:rsidR="00F2580D" w:rsidRDefault="00F25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charset w:val="00"/>
    <w:family w:val="modern"/>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9018" w14:textId="77777777" w:rsidR="00F2580D" w:rsidRDefault="00F2580D" w:rsidP="004A1847">
      <w:pPr>
        <w:spacing w:after="0" w:line="240" w:lineRule="auto"/>
      </w:pPr>
      <w:r>
        <w:separator/>
      </w:r>
    </w:p>
  </w:footnote>
  <w:footnote w:type="continuationSeparator" w:id="0">
    <w:p w14:paraId="5ABE0B77" w14:textId="77777777" w:rsidR="00F2580D" w:rsidRDefault="00F2580D" w:rsidP="004A1847">
      <w:pPr>
        <w:spacing w:after="0" w:line="240" w:lineRule="auto"/>
      </w:pPr>
      <w:r>
        <w:continuationSeparator/>
      </w:r>
    </w:p>
  </w:footnote>
  <w:footnote w:type="continuationNotice" w:id="1">
    <w:p w14:paraId="4A308469" w14:textId="77777777" w:rsidR="00F2580D" w:rsidRDefault="00F2580D">
      <w:pPr>
        <w:spacing w:after="0" w:line="240" w:lineRule="auto"/>
      </w:pPr>
    </w:p>
  </w:footnote>
  <w:footnote w:id="2">
    <w:p w14:paraId="45B8E358" w14:textId="77777777" w:rsidR="00E724E9" w:rsidRPr="00E80894" w:rsidRDefault="00E724E9" w:rsidP="00E724E9">
      <w:pPr>
        <w:pStyle w:val="Textonotapie"/>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80894">
        <w:rPr>
          <w:rFonts w:ascii="Arial" w:hAnsi="Arial" w:cs="Arial"/>
          <w:i/>
          <w:iCs/>
          <w:color w:val="000000" w:themeColor="text1"/>
          <w:sz w:val="19"/>
          <w:szCs w:val="19"/>
        </w:rPr>
        <w:t xml:space="preserve">ibidem </w:t>
      </w:r>
      <w:r w:rsidRPr="00E80894">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0F67B90" w14:textId="77777777" w:rsidR="00E724E9" w:rsidRPr="00C20F3B" w:rsidRDefault="00E724E9" w:rsidP="00E724E9">
      <w:pPr>
        <w:pStyle w:val="Textonotapie"/>
        <w:ind w:firstLine="708"/>
        <w:jc w:val="both"/>
        <w:rPr>
          <w:rFonts w:ascii="Arial" w:hAnsi="Arial" w:cs="Arial"/>
          <w:color w:val="000000" w:themeColor="text1"/>
          <w:sz w:val="15"/>
          <w:szCs w:val="15"/>
          <w:lang w:val="es-CO"/>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C20F3B">
        <w:rPr>
          <w:rFonts w:ascii="Arial" w:hAnsi="Arial" w:cs="Arial"/>
          <w:color w:val="000000" w:themeColor="text1"/>
          <w:sz w:val="15"/>
          <w:szCs w:val="15"/>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p w14:paraId="6AEF1FEC" w14:textId="77777777" w:rsidR="00E724E9" w:rsidRPr="00C20F3B" w:rsidRDefault="00E724E9" w:rsidP="00E724E9">
      <w:pPr>
        <w:pStyle w:val="Textonotapie"/>
        <w:ind w:firstLine="708"/>
        <w:jc w:val="both"/>
        <w:rPr>
          <w:rFonts w:ascii="Arial" w:hAnsi="Arial" w:cs="Arial"/>
          <w:color w:val="000000" w:themeColor="text1"/>
          <w:sz w:val="15"/>
          <w:szCs w:val="15"/>
        </w:rPr>
      </w:pPr>
    </w:p>
  </w:footnote>
  <w:footnote w:id="4">
    <w:p w14:paraId="72A88E0D" w14:textId="77777777" w:rsidR="00E724E9" w:rsidRPr="00C20F3B" w:rsidRDefault="00E724E9" w:rsidP="00E724E9">
      <w:pPr>
        <w:pStyle w:val="Textonotapie"/>
        <w:ind w:firstLine="708"/>
        <w:jc w:val="both"/>
        <w:rPr>
          <w:rStyle w:val="Hipervnculo1"/>
          <w:rFonts w:ascii="Arial" w:hAnsi="Arial" w:cs="Arial"/>
          <w:color w:val="000000" w:themeColor="text1"/>
          <w:sz w:val="15"/>
          <w:szCs w:val="15"/>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Texto del Proyecto de Ley 122 de 2020 Cámara. Exposición de motivos. Consultado el 29 de diciembre de 2021 en la página web: </w:t>
      </w:r>
      <w:hyperlink r:id="rId1" w:history="1">
        <w:r w:rsidRPr="00C20F3B">
          <w:rPr>
            <w:rStyle w:val="Hipervnculo1"/>
            <w:rFonts w:ascii="Arial" w:hAnsi="Arial" w:cs="Arial"/>
            <w:color w:val="000000" w:themeColor="text1"/>
            <w:sz w:val="15"/>
            <w:szCs w:val="15"/>
          </w:rPr>
          <w:t>http://leyes.senado.gov.co/proyectos/index.php/textos-radicados-senado/p-ley-2020-2021/1957-proyecto-de-ley-161-de-2020</w:t>
        </w:r>
      </w:hyperlink>
    </w:p>
    <w:p w14:paraId="475E8986" w14:textId="77777777" w:rsidR="00E724E9" w:rsidRPr="00C20F3B" w:rsidRDefault="00E724E9" w:rsidP="00E724E9">
      <w:pPr>
        <w:pStyle w:val="Textonotapie"/>
        <w:ind w:firstLine="708"/>
        <w:jc w:val="both"/>
        <w:rPr>
          <w:rFonts w:ascii="Arial" w:hAnsi="Arial" w:cs="Arial"/>
          <w:color w:val="000000" w:themeColor="text1"/>
          <w:sz w:val="15"/>
          <w:szCs w:val="15"/>
        </w:rPr>
      </w:pPr>
    </w:p>
  </w:footnote>
  <w:footnote w:id="5">
    <w:p w14:paraId="10CEBCD0" w14:textId="77777777" w:rsidR="00E724E9" w:rsidRPr="00C20F3B" w:rsidRDefault="00E724E9" w:rsidP="00E724E9">
      <w:pPr>
        <w:pStyle w:val="Textonotapie"/>
        <w:ind w:firstLine="709"/>
        <w:jc w:val="both"/>
        <w:rPr>
          <w:rFonts w:ascii="Arial" w:hAnsi="Arial" w:cs="Arial"/>
          <w:color w:val="000000" w:themeColor="text1"/>
          <w:sz w:val="15"/>
          <w:szCs w:val="15"/>
          <w:lang w:val="es-ES"/>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w:t>
      </w:r>
      <w:r w:rsidRPr="00C20F3B">
        <w:rPr>
          <w:rFonts w:ascii="Arial" w:hAnsi="Arial" w:cs="Arial"/>
          <w:color w:val="000000" w:themeColor="text1"/>
          <w:sz w:val="15"/>
          <w:szCs w:val="15"/>
          <w:lang w:val="es-ES"/>
        </w:rPr>
        <w:t>Artículos 2 al 29.</w:t>
      </w:r>
    </w:p>
    <w:p w14:paraId="662E36F3" w14:textId="77777777" w:rsidR="00E724E9" w:rsidRPr="00C20F3B" w:rsidRDefault="00E724E9" w:rsidP="00E724E9">
      <w:pPr>
        <w:pStyle w:val="Textonotapie"/>
        <w:ind w:firstLine="709"/>
        <w:jc w:val="both"/>
        <w:rPr>
          <w:rFonts w:ascii="Arial" w:hAnsi="Arial" w:cs="Arial"/>
          <w:color w:val="000000" w:themeColor="text1"/>
          <w:sz w:val="15"/>
          <w:szCs w:val="15"/>
          <w:lang w:val="es-ES"/>
        </w:rPr>
      </w:pPr>
    </w:p>
  </w:footnote>
  <w:footnote w:id="6">
    <w:p w14:paraId="15FEFBBF" w14:textId="77777777" w:rsidR="00E724E9" w:rsidRPr="00C20F3B" w:rsidRDefault="00E724E9" w:rsidP="00E724E9">
      <w:pPr>
        <w:pStyle w:val="Textonotapie"/>
        <w:ind w:firstLine="709"/>
        <w:jc w:val="both"/>
        <w:rPr>
          <w:rFonts w:ascii="Arial" w:hAnsi="Arial" w:cs="Arial"/>
          <w:color w:val="000000" w:themeColor="text1"/>
          <w:sz w:val="15"/>
          <w:szCs w:val="15"/>
          <w:lang w:val="es-ES"/>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w:t>
      </w:r>
      <w:r w:rsidRPr="00C20F3B">
        <w:rPr>
          <w:rFonts w:ascii="Arial" w:hAnsi="Arial" w:cs="Arial"/>
          <w:color w:val="000000" w:themeColor="text1"/>
          <w:sz w:val="15"/>
          <w:szCs w:val="15"/>
          <w:lang w:val="es-ES"/>
        </w:rPr>
        <w:t>Artículos 30 al 36.</w:t>
      </w:r>
    </w:p>
    <w:p w14:paraId="720C7E57" w14:textId="77777777" w:rsidR="00E724E9" w:rsidRPr="00C20F3B" w:rsidRDefault="00E724E9" w:rsidP="00E724E9">
      <w:pPr>
        <w:pStyle w:val="Textonotapie"/>
        <w:ind w:firstLine="709"/>
        <w:jc w:val="both"/>
        <w:rPr>
          <w:rFonts w:ascii="Arial" w:hAnsi="Arial" w:cs="Arial"/>
          <w:color w:val="000000" w:themeColor="text1"/>
          <w:sz w:val="15"/>
          <w:szCs w:val="15"/>
          <w:lang w:val="es-ES"/>
        </w:rPr>
      </w:pPr>
    </w:p>
  </w:footnote>
  <w:footnote w:id="7">
    <w:p w14:paraId="6457B309" w14:textId="77777777" w:rsidR="00E724E9" w:rsidRPr="00C20F3B" w:rsidRDefault="00E724E9" w:rsidP="00E724E9">
      <w:pPr>
        <w:pStyle w:val="Textonotapie"/>
        <w:ind w:firstLine="709"/>
        <w:jc w:val="both"/>
        <w:rPr>
          <w:rFonts w:ascii="Arial" w:hAnsi="Arial" w:cs="Arial"/>
          <w:color w:val="000000" w:themeColor="text1"/>
          <w:sz w:val="15"/>
          <w:szCs w:val="15"/>
          <w:lang w:val="es-ES"/>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w:t>
      </w:r>
      <w:r w:rsidRPr="00C20F3B">
        <w:rPr>
          <w:rFonts w:ascii="Arial" w:hAnsi="Arial" w:cs="Arial"/>
          <w:color w:val="000000" w:themeColor="text1"/>
          <w:sz w:val="15"/>
          <w:szCs w:val="15"/>
          <w:lang w:val="es-ES"/>
        </w:rPr>
        <w:t>Artículos 37 al 45.</w:t>
      </w:r>
    </w:p>
    <w:p w14:paraId="137C3B9C" w14:textId="77777777" w:rsidR="00E724E9" w:rsidRPr="00C20F3B" w:rsidRDefault="00E724E9" w:rsidP="00E724E9">
      <w:pPr>
        <w:pStyle w:val="Textonotapie"/>
        <w:ind w:firstLine="709"/>
        <w:jc w:val="both"/>
        <w:rPr>
          <w:rFonts w:ascii="Arial" w:hAnsi="Arial" w:cs="Arial"/>
          <w:color w:val="000000" w:themeColor="text1"/>
          <w:sz w:val="15"/>
          <w:szCs w:val="15"/>
          <w:lang w:val="es-ES"/>
        </w:rPr>
      </w:pPr>
    </w:p>
  </w:footnote>
  <w:footnote w:id="8">
    <w:p w14:paraId="20079342" w14:textId="77777777" w:rsidR="00E724E9" w:rsidRPr="00C20F3B" w:rsidRDefault="00E724E9" w:rsidP="00E724E9">
      <w:pPr>
        <w:pStyle w:val="Textonotapie"/>
        <w:ind w:firstLine="709"/>
        <w:jc w:val="both"/>
        <w:rPr>
          <w:rFonts w:ascii="Arial" w:hAnsi="Arial" w:cs="Arial"/>
          <w:color w:val="000000" w:themeColor="text1"/>
          <w:sz w:val="15"/>
          <w:szCs w:val="15"/>
          <w:lang w:val="es-ES"/>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w:t>
      </w:r>
      <w:r w:rsidRPr="00C20F3B">
        <w:rPr>
          <w:rFonts w:ascii="Arial" w:hAnsi="Arial" w:cs="Arial"/>
          <w:color w:val="000000" w:themeColor="text1"/>
          <w:sz w:val="15"/>
          <w:szCs w:val="15"/>
          <w:lang w:val="es-ES"/>
        </w:rPr>
        <w:t>Artículos 46 al 73.</w:t>
      </w:r>
    </w:p>
    <w:p w14:paraId="5DA91EAC" w14:textId="77777777" w:rsidR="00E724E9" w:rsidRPr="00C20F3B" w:rsidRDefault="00E724E9" w:rsidP="00E724E9">
      <w:pPr>
        <w:pStyle w:val="Textonotapie"/>
        <w:ind w:firstLine="709"/>
        <w:jc w:val="both"/>
        <w:rPr>
          <w:rFonts w:ascii="Arial" w:hAnsi="Arial" w:cs="Arial"/>
          <w:color w:val="000000" w:themeColor="text1"/>
          <w:sz w:val="15"/>
          <w:szCs w:val="15"/>
          <w:lang w:val="es-ES"/>
        </w:rPr>
      </w:pPr>
    </w:p>
  </w:footnote>
  <w:footnote w:id="9">
    <w:p w14:paraId="3C0A8234" w14:textId="77777777" w:rsidR="00E724E9" w:rsidRPr="00C20F3B" w:rsidRDefault="00E724E9" w:rsidP="00E724E9">
      <w:pPr>
        <w:pStyle w:val="Textonotapie"/>
        <w:ind w:firstLine="709"/>
        <w:jc w:val="both"/>
        <w:rPr>
          <w:rFonts w:ascii="Arial" w:hAnsi="Arial" w:cs="Arial"/>
          <w:color w:val="000000" w:themeColor="text1"/>
          <w:sz w:val="15"/>
          <w:szCs w:val="15"/>
          <w:lang w:val="es-ES"/>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w:t>
      </w:r>
      <w:r w:rsidRPr="00C20F3B">
        <w:rPr>
          <w:rFonts w:ascii="Arial" w:hAnsi="Arial" w:cs="Arial"/>
          <w:color w:val="000000" w:themeColor="text1"/>
          <w:sz w:val="15"/>
          <w:szCs w:val="15"/>
          <w:lang w:val="es-ES"/>
        </w:rPr>
        <w:t>Artículos 74 al 83.</w:t>
      </w:r>
    </w:p>
    <w:p w14:paraId="7A31D6EF" w14:textId="77777777" w:rsidR="00E724E9" w:rsidRPr="00C20F3B" w:rsidRDefault="00E724E9" w:rsidP="00E724E9">
      <w:pPr>
        <w:pStyle w:val="Textonotapie"/>
        <w:ind w:firstLine="709"/>
        <w:jc w:val="both"/>
        <w:rPr>
          <w:rFonts w:ascii="Arial" w:hAnsi="Arial" w:cs="Arial"/>
          <w:color w:val="000000" w:themeColor="text1"/>
          <w:sz w:val="15"/>
          <w:szCs w:val="15"/>
          <w:lang w:val="es-ES"/>
        </w:rPr>
      </w:pPr>
    </w:p>
  </w:footnote>
  <w:footnote w:id="10">
    <w:p w14:paraId="650F8B0E" w14:textId="77777777" w:rsidR="00E724E9" w:rsidRPr="00C20F3B" w:rsidRDefault="00E724E9" w:rsidP="00E724E9">
      <w:pPr>
        <w:pStyle w:val="Textonotapie"/>
        <w:ind w:firstLine="708"/>
        <w:jc w:val="both"/>
        <w:rPr>
          <w:rFonts w:ascii="Arial" w:hAnsi="Arial" w:cs="Arial"/>
          <w:sz w:val="15"/>
          <w:szCs w:val="15"/>
        </w:rPr>
      </w:pPr>
      <w:r w:rsidRPr="00C20F3B">
        <w:rPr>
          <w:rStyle w:val="Refdenotaalpie"/>
          <w:rFonts w:ascii="Arial" w:hAnsi="Arial" w:cs="Arial"/>
          <w:sz w:val="15"/>
          <w:szCs w:val="15"/>
        </w:rPr>
        <w:footnoteRef/>
      </w:r>
      <w:r w:rsidRPr="00C20F3B">
        <w:rPr>
          <w:rFonts w:ascii="Arial" w:hAnsi="Arial" w:cs="Arial"/>
          <w:sz w:val="15"/>
          <w:szCs w:val="15"/>
        </w:rPr>
        <w:t xml:space="preserve"> </w:t>
      </w:r>
      <w:bookmarkStart w:id="4" w:name="_Hlk63862868"/>
      <w:r w:rsidRPr="00C20F3B">
        <w:rPr>
          <w:rFonts w:ascii="Arial" w:hAnsi="Arial" w:cs="Arial"/>
          <w:sz w:val="15"/>
          <w:szCs w:val="15"/>
        </w:rPr>
        <w:t>CONGRESO DE LA REPÚBLICA. Gaceta No. 670 del 11 de agosto de 2020. Exposición de motivos del Proyecto de Ley No. 122 de 2020 Cámara. p. 13.</w:t>
      </w:r>
      <w:bookmarkEnd w:id="4"/>
    </w:p>
    <w:p w14:paraId="20567839" w14:textId="77777777" w:rsidR="00E724E9" w:rsidRPr="00C20F3B" w:rsidRDefault="00E724E9" w:rsidP="00E724E9">
      <w:pPr>
        <w:pStyle w:val="Textonotapie"/>
        <w:ind w:firstLine="708"/>
        <w:jc w:val="both"/>
        <w:rPr>
          <w:rFonts w:ascii="Arial" w:hAnsi="Arial" w:cs="Arial"/>
          <w:sz w:val="15"/>
          <w:szCs w:val="15"/>
          <w:lang w:val="es-ES"/>
        </w:rPr>
      </w:pPr>
    </w:p>
  </w:footnote>
  <w:footnote w:id="11">
    <w:p w14:paraId="304ED7E8"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5BBDB7C5" w14:textId="77777777" w:rsidR="00E724E9" w:rsidRPr="00C20F3B" w:rsidRDefault="00E724E9" w:rsidP="00E724E9">
      <w:pPr>
        <w:pStyle w:val="Textonotapie"/>
        <w:ind w:firstLine="708"/>
        <w:jc w:val="both"/>
        <w:rPr>
          <w:rFonts w:ascii="Arial" w:hAnsi="Arial" w:cs="Arial"/>
          <w:color w:val="000000" w:themeColor="text1"/>
          <w:sz w:val="15"/>
          <w:szCs w:val="15"/>
        </w:rPr>
      </w:pPr>
      <w:r w:rsidRPr="00C20F3B">
        <w:rPr>
          <w:rFonts w:ascii="Arial" w:hAnsi="Arial" w:cs="Arial"/>
          <w:color w:val="000000" w:themeColor="text1"/>
          <w:sz w:val="15"/>
          <w:szCs w:val="15"/>
        </w:rPr>
        <w:t xml:space="preserve">»Parágrafo primero. La definición de emprendimientos y empresas de mujeres se reglamentará por el gobierno nacional».  </w:t>
      </w:r>
    </w:p>
  </w:footnote>
  <w:footnote w:id="12">
    <w:p w14:paraId="183FEE44"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3">
    <w:p w14:paraId="67A4572E" w14:textId="77777777" w:rsidR="00E724E9" w:rsidRPr="00C20F3B" w:rsidRDefault="00E724E9" w:rsidP="00E724E9">
      <w:pPr>
        <w:pStyle w:val="NormalWeb"/>
        <w:shd w:val="clear" w:color="auto" w:fill="FFFFFF"/>
        <w:spacing w:after="0" w:line="240" w:lineRule="auto"/>
        <w:ind w:firstLine="708"/>
        <w:jc w:val="both"/>
        <w:rPr>
          <w:rFonts w:ascii="Arial" w:hAnsi="Arial" w:cs="Arial"/>
          <w:sz w:val="15"/>
          <w:szCs w:val="15"/>
        </w:rPr>
      </w:pPr>
      <w:r w:rsidRPr="00C20F3B">
        <w:rPr>
          <w:rStyle w:val="Refdenotaalpie"/>
          <w:rFonts w:ascii="Arial" w:hAnsi="Arial" w:cs="Arial"/>
          <w:sz w:val="15"/>
          <w:szCs w:val="15"/>
        </w:rPr>
        <w:footnoteRef/>
      </w:r>
      <w:r w:rsidRPr="00C20F3B">
        <w:rPr>
          <w:rFonts w:ascii="Arial" w:hAnsi="Arial" w:cs="Arial"/>
          <w:sz w:val="15"/>
          <w:szCs w:val="15"/>
        </w:rPr>
        <w:t xml:space="preserve"> «ARTÍCULO  8. Vigencia y derogatorias</w:t>
      </w:r>
      <w:r w:rsidRPr="00C20F3B">
        <w:rPr>
          <w:rFonts w:ascii="Arial" w:hAnsi="Arial" w:cs="Arial"/>
          <w:b/>
          <w:bCs/>
          <w:sz w:val="15"/>
          <w:szCs w:val="15"/>
        </w:rPr>
        <w:t>.</w:t>
      </w:r>
      <w:r w:rsidRPr="00C20F3B">
        <w:rPr>
          <w:rFonts w:ascii="Arial" w:hAnsi="Arial" w:cs="Arial"/>
          <w:sz w:val="15"/>
          <w:szCs w:val="15"/>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C20F3B">
          <w:rPr>
            <w:rFonts w:ascii="Arial" w:hAnsi="Arial" w:cs="Arial"/>
            <w:sz w:val="15"/>
            <w:szCs w:val="15"/>
          </w:rPr>
          <w:t>5 </w:t>
        </w:r>
      </w:hyperlink>
      <w:r w:rsidRPr="00C20F3B">
        <w:rPr>
          <w:rFonts w:ascii="Arial" w:hAnsi="Arial" w:cs="Arial"/>
          <w:sz w:val="15"/>
          <w:szCs w:val="15"/>
        </w:rPr>
        <w:t>de la Sección 1 del Capítulo 2 del Título 1 de la Parte 2 del Libro 2, así como los artículos </w:t>
      </w:r>
      <w:hyperlink r:id="rId3" w:anchor="2.2.1.2.4.2.2" w:history="1">
        <w:r w:rsidRPr="00C20F3B">
          <w:rPr>
            <w:rFonts w:ascii="Arial" w:hAnsi="Arial" w:cs="Arial"/>
            <w:sz w:val="15"/>
            <w:szCs w:val="15"/>
          </w:rPr>
          <w:t>2.2.1.2.4.2.2</w:t>
        </w:r>
      </w:hyperlink>
      <w:r w:rsidRPr="00C20F3B">
        <w:rPr>
          <w:rFonts w:ascii="Arial" w:hAnsi="Arial" w:cs="Arial"/>
          <w:sz w:val="15"/>
          <w:szCs w:val="15"/>
        </w:rPr>
        <w:t>., </w:t>
      </w:r>
      <w:hyperlink r:id="rId4" w:anchor="2.2.1.2.4.2.3" w:history="1">
        <w:r w:rsidRPr="00C20F3B">
          <w:rPr>
            <w:rFonts w:ascii="Arial" w:hAnsi="Arial" w:cs="Arial"/>
            <w:sz w:val="15"/>
            <w:szCs w:val="15"/>
          </w:rPr>
          <w:t>2.2.1.2.4.2.3</w:t>
        </w:r>
      </w:hyperlink>
      <w:r w:rsidRPr="00C20F3B">
        <w:rPr>
          <w:rFonts w:ascii="Arial" w:hAnsi="Arial" w:cs="Arial"/>
          <w:sz w:val="15"/>
          <w:szCs w:val="15"/>
        </w:rPr>
        <w:t>., </w:t>
      </w:r>
      <w:hyperlink r:id="rId5" w:anchor="2.2.1.2.4.2.4" w:history="1">
        <w:r w:rsidRPr="00C20F3B">
          <w:rPr>
            <w:rFonts w:ascii="Arial" w:hAnsi="Arial" w:cs="Arial"/>
            <w:sz w:val="15"/>
            <w:szCs w:val="15"/>
          </w:rPr>
          <w:t>2.2.1.2.4.2.4</w:t>
        </w:r>
      </w:hyperlink>
      <w:r w:rsidRPr="00C20F3B">
        <w:rPr>
          <w:rFonts w:ascii="Arial" w:hAnsi="Arial" w:cs="Arial"/>
          <w:sz w:val="15"/>
          <w:szCs w:val="15"/>
        </w:rPr>
        <w:t>., </w:t>
      </w:r>
      <w:hyperlink r:id="rId6" w:anchor="2.2.1.2.1.2.2" w:history="1">
        <w:r w:rsidRPr="00C20F3B">
          <w:rPr>
            <w:rFonts w:ascii="Arial" w:hAnsi="Arial" w:cs="Arial"/>
            <w:sz w:val="15"/>
            <w:szCs w:val="15"/>
          </w:rPr>
          <w:t>2.2.1.2.1.2.2</w:t>
        </w:r>
      </w:hyperlink>
      <w:r w:rsidRPr="00C20F3B">
        <w:rPr>
          <w:rFonts w:ascii="Arial" w:hAnsi="Arial" w:cs="Arial"/>
          <w:sz w:val="15"/>
          <w:szCs w:val="15"/>
        </w:rPr>
        <w:t>. y </w:t>
      </w:r>
      <w:hyperlink r:id="rId7" w:anchor="2.2.1.2.4.2.8" w:history="1">
        <w:r w:rsidRPr="00C20F3B">
          <w:rPr>
            <w:rFonts w:ascii="Arial" w:hAnsi="Arial" w:cs="Arial"/>
            <w:sz w:val="15"/>
            <w:szCs w:val="15"/>
          </w:rPr>
          <w:t>2.2.1.2.4.2.8</w:t>
        </w:r>
      </w:hyperlink>
      <w:r w:rsidRPr="00C20F3B">
        <w:rPr>
          <w:rFonts w:ascii="Arial" w:hAnsi="Arial" w:cs="Arial"/>
          <w:sz w:val="15"/>
          <w:szCs w:val="15"/>
        </w:rPr>
        <w:t>.; adiciona los artículos </w:t>
      </w:r>
      <w:hyperlink r:id="rId8" w:anchor="2.2.1.2.4.2.14" w:history="1">
        <w:r w:rsidRPr="00C20F3B">
          <w:rPr>
            <w:rFonts w:ascii="Arial" w:hAnsi="Arial" w:cs="Arial"/>
            <w:sz w:val="15"/>
            <w:szCs w:val="15"/>
          </w:rPr>
          <w:t>2.2.1.2.4.2.14</w:t>
        </w:r>
      </w:hyperlink>
      <w:r w:rsidRPr="00C20F3B">
        <w:rPr>
          <w:rFonts w:ascii="Arial" w:hAnsi="Arial" w:cs="Arial"/>
          <w:sz w:val="15"/>
          <w:szCs w:val="15"/>
        </w:rPr>
        <w:t>., </w:t>
      </w:r>
      <w:hyperlink r:id="rId9" w:anchor="2.2.1.2.4.2.15" w:history="1">
        <w:r w:rsidRPr="00C20F3B">
          <w:rPr>
            <w:rFonts w:ascii="Arial" w:hAnsi="Arial" w:cs="Arial"/>
            <w:sz w:val="15"/>
            <w:szCs w:val="15"/>
          </w:rPr>
          <w:t>2.2.1.2.4.2.15</w:t>
        </w:r>
      </w:hyperlink>
      <w:r w:rsidRPr="00C20F3B">
        <w:rPr>
          <w:rFonts w:ascii="Arial" w:hAnsi="Arial" w:cs="Arial"/>
          <w:sz w:val="15"/>
          <w:szCs w:val="15"/>
        </w:rPr>
        <w:t>., </w:t>
      </w:r>
      <w:hyperlink r:id="rId10" w:anchor="2.2.1.2.4.2.16" w:history="1">
        <w:r w:rsidRPr="00C20F3B">
          <w:rPr>
            <w:rFonts w:ascii="Arial" w:hAnsi="Arial" w:cs="Arial"/>
            <w:sz w:val="15"/>
            <w:szCs w:val="15"/>
          </w:rPr>
          <w:t>2.2.1.2.4.2.16</w:t>
        </w:r>
      </w:hyperlink>
      <w:r w:rsidRPr="00C20F3B">
        <w:rPr>
          <w:rFonts w:ascii="Arial" w:hAnsi="Arial" w:cs="Arial"/>
          <w:sz w:val="15"/>
          <w:szCs w:val="15"/>
        </w:rPr>
        <w:t>., </w:t>
      </w:r>
      <w:hyperlink r:id="rId11" w:anchor="2.2.1.2.4.2.17" w:history="1">
        <w:r w:rsidRPr="00C20F3B">
          <w:rPr>
            <w:rFonts w:ascii="Arial" w:hAnsi="Arial" w:cs="Arial"/>
            <w:sz w:val="15"/>
            <w:szCs w:val="15"/>
          </w:rPr>
          <w:t>2.2.1.2.4.2.17</w:t>
        </w:r>
      </w:hyperlink>
      <w:r w:rsidRPr="00C20F3B">
        <w:rPr>
          <w:rFonts w:ascii="Arial" w:hAnsi="Arial" w:cs="Arial"/>
          <w:sz w:val="15"/>
          <w:szCs w:val="15"/>
        </w:rPr>
        <w:t>.y </w:t>
      </w:r>
      <w:hyperlink r:id="rId12" w:anchor="2.2.1.2.4.2.18" w:history="1">
        <w:r w:rsidRPr="00C20F3B">
          <w:rPr>
            <w:rFonts w:ascii="Arial" w:hAnsi="Arial" w:cs="Arial"/>
            <w:sz w:val="15"/>
            <w:szCs w:val="15"/>
          </w:rPr>
          <w:t>2.2.1.2.4.2.18</w:t>
        </w:r>
      </w:hyperlink>
      <w:r w:rsidRPr="00C20F3B">
        <w:rPr>
          <w:rFonts w:ascii="Arial" w:hAnsi="Arial" w:cs="Arial"/>
          <w:sz w:val="15"/>
          <w:szCs w:val="15"/>
        </w:rPr>
        <w:t>.;adiciona un </w:t>
      </w:r>
      <w:hyperlink r:id="rId13" w:anchor="2.2.1.2.3.1.9.p" w:history="1">
        <w:r w:rsidRPr="00C20F3B">
          <w:rPr>
            <w:rFonts w:ascii="Arial" w:hAnsi="Arial" w:cs="Arial"/>
            <w:sz w:val="15"/>
            <w:szCs w:val="15"/>
          </w:rPr>
          <w:t>parágrafo </w:t>
        </w:r>
      </w:hyperlink>
      <w:r w:rsidRPr="00C20F3B">
        <w:rPr>
          <w:rFonts w:ascii="Arial" w:hAnsi="Arial" w:cs="Arial"/>
          <w:sz w:val="15"/>
          <w:szCs w:val="15"/>
        </w:rPr>
        <w:t>al artículo </w:t>
      </w:r>
      <w:hyperlink r:id="rId14" w:anchor="2.2.1.2.3.1.9" w:history="1">
        <w:r w:rsidRPr="00C20F3B">
          <w:rPr>
            <w:rFonts w:ascii="Arial" w:hAnsi="Arial" w:cs="Arial"/>
            <w:sz w:val="15"/>
            <w:szCs w:val="15"/>
          </w:rPr>
          <w:t>2.2.1.2.3.1.9</w:t>
        </w:r>
      </w:hyperlink>
      <w:r w:rsidRPr="00C20F3B">
        <w:rPr>
          <w:rFonts w:ascii="Arial" w:hAnsi="Arial" w:cs="Arial"/>
          <w:sz w:val="15"/>
          <w:szCs w:val="15"/>
        </w:rPr>
        <w:t>; y deroga el artículo </w:t>
      </w:r>
      <w:hyperlink r:id="rId15" w:anchor="2.2.1.1.2.2.9" w:history="1">
        <w:r w:rsidRPr="00C20F3B">
          <w:rPr>
            <w:rFonts w:ascii="Arial" w:hAnsi="Arial" w:cs="Arial"/>
            <w:sz w:val="15"/>
            <w:szCs w:val="15"/>
          </w:rPr>
          <w:t>2.2.1.1.2.2.9</w:t>
        </w:r>
      </w:hyperlink>
      <w:r w:rsidRPr="00C20F3B">
        <w:rPr>
          <w:rFonts w:ascii="Arial" w:hAnsi="Arial" w:cs="Arial"/>
          <w:sz w:val="15"/>
          <w:szCs w:val="15"/>
        </w:rPr>
        <w:t>. del Decreto 1082 de 2015, Único Reglamentario del Sector Administrativo de Planeación Nacional.</w:t>
      </w:r>
    </w:p>
    <w:p w14:paraId="26B16D8F" w14:textId="77777777" w:rsidR="00E724E9" w:rsidRPr="00C20F3B" w:rsidRDefault="00E724E9" w:rsidP="00E724E9">
      <w:pPr>
        <w:pStyle w:val="NormalWeb"/>
        <w:shd w:val="clear" w:color="auto" w:fill="FFFFFF"/>
        <w:spacing w:after="0" w:line="240" w:lineRule="auto"/>
        <w:ind w:firstLine="708"/>
        <w:jc w:val="both"/>
        <w:rPr>
          <w:rFonts w:ascii="Arial" w:hAnsi="Arial" w:cs="Arial"/>
          <w:sz w:val="15"/>
          <w:szCs w:val="15"/>
        </w:rPr>
      </w:pPr>
      <w:r w:rsidRPr="00C20F3B">
        <w:rPr>
          <w:rFonts w:ascii="Arial" w:hAnsi="Arial" w:cs="Arial"/>
          <w:sz w:val="15"/>
          <w:szCs w:val="15"/>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7FC4C55C" w14:textId="77777777" w:rsidR="00E724E9" w:rsidRPr="00C20F3B" w:rsidRDefault="00E724E9" w:rsidP="00E724E9">
      <w:pPr>
        <w:pStyle w:val="NormalWeb"/>
        <w:shd w:val="clear" w:color="auto" w:fill="FFFFFF"/>
        <w:spacing w:after="0" w:line="240" w:lineRule="auto"/>
        <w:ind w:firstLine="708"/>
        <w:jc w:val="both"/>
        <w:rPr>
          <w:rFonts w:ascii="Arial" w:hAnsi="Arial" w:cs="Arial"/>
          <w:sz w:val="15"/>
          <w:szCs w:val="15"/>
        </w:rPr>
      </w:pPr>
      <w:r w:rsidRPr="00C20F3B">
        <w:rPr>
          <w:rFonts w:ascii="Arial" w:hAnsi="Arial" w:cs="Arial"/>
          <w:sz w:val="15"/>
          <w:szCs w:val="15"/>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3AD46663" w14:textId="77777777" w:rsidR="00E724E9" w:rsidRPr="00C20F3B" w:rsidRDefault="00E724E9" w:rsidP="00E724E9">
      <w:pPr>
        <w:pStyle w:val="Textonotapie"/>
        <w:jc w:val="both"/>
        <w:rPr>
          <w:rFonts w:ascii="Arial" w:hAnsi="Arial" w:cs="Arial"/>
          <w:sz w:val="15"/>
          <w:szCs w:val="15"/>
          <w:lang w:val="es-CO"/>
        </w:rPr>
      </w:pPr>
    </w:p>
  </w:footnote>
  <w:footnote w:id="14">
    <w:p w14:paraId="0168C97F" w14:textId="77777777" w:rsidR="00E724E9" w:rsidRPr="00C20F3B" w:rsidRDefault="00E724E9" w:rsidP="00E724E9">
      <w:pPr>
        <w:pStyle w:val="Textonotapie"/>
        <w:ind w:firstLine="708"/>
        <w:contextualSpacing/>
        <w:jc w:val="both"/>
        <w:rPr>
          <w:rFonts w:ascii="Arial" w:hAnsi="Arial" w:cs="Arial"/>
          <w:sz w:val="15"/>
          <w:szCs w:val="15"/>
          <w:lang w:val="es-ES"/>
        </w:rPr>
      </w:pPr>
      <w:r w:rsidRPr="00C20F3B">
        <w:rPr>
          <w:rStyle w:val="Refdenotaalpie"/>
          <w:rFonts w:ascii="Arial" w:eastAsiaTheme="majorEastAsia" w:hAnsi="Arial" w:cs="Arial"/>
          <w:sz w:val="15"/>
          <w:szCs w:val="15"/>
        </w:rPr>
        <w:footnoteRef/>
      </w:r>
      <w:r w:rsidRPr="00C20F3B">
        <w:rPr>
          <w:rFonts w:ascii="Arial" w:hAnsi="Arial" w:cs="Arial"/>
          <w:sz w:val="15"/>
          <w:szCs w:val="15"/>
        </w:rPr>
        <w:t xml:space="preserve"> </w:t>
      </w:r>
      <w:r w:rsidRPr="00C20F3B">
        <w:rPr>
          <w:rFonts w:ascii="Arial" w:hAnsi="Arial" w:cs="Arial"/>
          <w:bCs/>
          <w:sz w:val="15"/>
          <w:szCs w:val="15"/>
          <w:lang w:val="es-ES_tradnl"/>
        </w:rPr>
        <w:t xml:space="preserve">CASTRO DE CIFUENTES, Marcela. Derecho Comercial. Actos de comercio, empresas comerciantes y empresarios. Universidad de los Andes. 2016. </w:t>
      </w:r>
      <w:r w:rsidRPr="00C20F3B">
        <w:rPr>
          <w:rFonts w:ascii="Arial" w:hAnsi="Arial" w:cs="Arial"/>
          <w:sz w:val="15"/>
          <w:szCs w:val="15"/>
          <w:lang w:val="es-ES"/>
        </w:rPr>
        <w:t>Página 18.</w:t>
      </w:r>
    </w:p>
    <w:p w14:paraId="2C06C556" w14:textId="77777777" w:rsidR="00E724E9" w:rsidRPr="00C20F3B" w:rsidRDefault="00E724E9" w:rsidP="00E724E9">
      <w:pPr>
        <w:pStyle w:val="Textonotapie"/>
        <w:ind w:firstLine="708"/>
        <w:contextualSpacing/>
        <w:jc w:val="both"/>
        <w:rPr>
          <w:rFonts w:ascii="Arial" w:hAnsi="Arial" w:cs="Arial"/>
          <w:sz w:val="15"/>
          <w:szCs w:val="15"/>
          <w:lang w:val="es-ES"/>
        </w:rPr>
      </w:pPr>
    </w:p>
  </w:footnote>
  <w:footnote w:id="15">
    <w:p w14:paraId="1ACD3090" w14:textId="77777777" w:rsidR="00E724E9" w:rsidRPr="00C20F3B" w:rsidRDefault="00E724E9" w:rsidP="00E724E9">
      <w:pPr>
        <w:pStyle w:val="Textonotapie"/>
        <w:ind w:firstLine="708"/>
        <w:contextualSpacing/>
        <w:jc w:val="both"/>
        <w:rPr>
          <w:rFonts w:ascii="Arial" w:hAnsi="Arial" w:cs="Arial"/>
          <w:sz w:val="15"/>
          <w:szCs w:val="15"/>
        </w:rPr>
      </w:pPr>
      <w:r w:rsidRPr="00C20F3B">
        <w:rPr>
          <w:rStyle w:val="Refdenotaalpie"/>
          <w:rFonts w:ascii="Arial" w:eastAsiaTheme="majorEastAsia" w:hAnsi="Arial" w:cs="Arial"/>
          <w:sz w:val="15"/>
          <w:szCs w:val="15"/>
        </w:rPr>
        <w:footnoteRef/>
      </w:r>
      <w:r w:rsidRPr="00C20F3B">
        <w:rPr>
          <w:rFonts w:ascii="Arial" w:hAnsi="Arial" w:cs="Arial"/>
          <w:sz w:val="15"/>
          <w:szCs w:val="15"/>
        </w:rPr>
        <w:t xml:space="preserve"> Ibidem. Página 45.</w:t>
      </w:r>
    </w:p>
  </w:footnote>
  <w:footnote w:id="16">
    <w:p w14:paraId="4CCCCBC2" w14:textId="77777777" w:rsidR="00E724E9" w:rsidRPr="00C20F3B" w:rsidRDefault="00E724E9" w:rsidP="00E724E9">
      <w:pPr>
        <w:pStyle w:val="Car1"/>
        <w:ind w:firstLine="709"/>
        <w:contextualSpacing/>
        <w:jc w:val="both"/>
        <w:rPr>
          <w:rFonts w:ascii="Arial" w:hAnsi="Arial" w:cs="Arial"/>
          <w:sz w:val="15"/>
          <w:szCs w:val="15"/>
        </w:rPr>
      </w:pPr>
    </w:p>
    <w:p w14:paraId="67B19F96" w14:textId="77777777" w:rsidR="00E724E9" w:rsidRPr="00C20F3B" w:rsidRDefault="00E724E9" w:rsidP="00E724E9">
      <w:pPr>
        <w:pStyle w:val="Car1"/>
        <w:ind w:firstLine="709"/>
        <w:contextualSpacing/>
        <w:jc w:val="both"/>
        <w:rPr>
          <w:rFonts w:ascii="Arial" w:hAnsi="Arial" w:cs="Arial"/>
          <w:bCs/>
          <w:sz w:val="15"/>
          <w:szCs w:val="15"/>
          <w:lang w:val="es-ES_tradnl"/>
        </w:rPr>
      </w:pPr>
      <w:r w:rsidRPr="00C20F3B">
        <w:rPr>
          <w:rStyle w:val="Refdenotaalpie"/>
          <w:rFonts w:ascii="Arial" w:hAnsi="Arial" w:cs="Arial"/>
          <w:sz w:val="15"/>
          <w:szCs w:val="15"/>
        </w:rPr>
        <w:footnoteRef/>
      </w:r>
      <w:r w:rsidRPr="00C20F3B">
        <w:rPr>
          <w:rFonts w:ascii="Arial" w:hAnsi="Arial" w:cs="Arial"/>
          <w:sz w:val="15"/>
          <w:szCs w:val="15"/>
        </w:rPr>
        <w:t xml:space="preserve"> </w:t>
      </w:r>
      <w:r w:rsidRPr="00C20F3B">
        <w:rPr>
          <w:rFonts w:ascii="Arial" w:hAnsi="Arial" w:cs="Arial"/>
          <w:sz w:val="15"/>
          <w:szCs w:val="15"/>
          <w:lang w:val="es-CO"/>
        </w:rPr>
        <w:t xml:space="preserve">Al respecto, la doctrina ha señalado que </w:t>
      </w:r>
      <w:r w:rsidRPr="00C20F3B">
        <w:rPr>
          <w:rFonts w:ascii="Arial" w:eastAsia="Calibri" w:hAnsi="Arial" w:cs="Arial"/>
          <w:bCs/>
          <w:sz w:val="15"/>
          <w:szCs w:val="15"/>
          <w:lang w:val="es-ES_tradnl"/>
        </w:rPr>
        <w:t xml:space="preserve">«inseparable del elemento objetivo – actividad económica organizada- y del subjetivo – empresario mercantil - </w:t>
      </w:r>
      <w:r w:rsidRPr="00C20F3B">
        <w:rPr>
          <w:rFonts w:ascii="Arial" w:hAnsi="Arial" w:cs="Arial"/>
          <w:sz w:val="15"/>
          <w:szCs w:val="15"/>
          <w:lang w:val="es-CO"/>
        </w:rPr>
        <w:t xml:space="preserve">la empresa comercial requiere un elemento funcional llamado establecimiento de comercio, que es un conjunto heterogéneo de bienes destinados específicamente por el empresario a desarrollar la actividad organizada. Así lo establece la definición prevista en el artículo 25 del Código de Comercio: “[…] Dicha </w:t>
      </w:r>
      <w:r w:rsidRPr="00C20F3B">
        <w:rPr>
          <w:rFonts w:ascii="Arial" w:hAnsi="Arial" w:cs="Arial"/>
          <w:bCs/>
          <w:sz w:val="15"/>
          <w:szCs w:val="15"/>
          <w:lang w:val="es-ES_tradnl"/>
        </w:rPr>
        <w:t>actividad se realizará a través de uno o más establecimientos de comercio”</w:t>
      </w:r>
      <w:r w:rsidRPr="00C20F3B">
        <w:rPr>
          <w:rFonts w:ascii="Arial" w:eastAsia="Calibri" w:hAnsi="Arial" w:cs="Arial"/>
          <w:bCs/>
          <w:sz w:val="15"/>
          <w:szCs w:val="15"/>
          <w:lang w:val="es-ES_tradnl"/>
        </w:rPr>
        <w:t>»</w:t>
      </w:r>
      <w:r w:rsidRPr="00C20F3B">
        <w:rPr>
          <w:rFonts w:ascii="Arial" w:hAnsi="Arial" w:cs="Arial"/>
          <w:bCs/>
          <w:sz w:val="15"/>
          <w:szCs w:val="15"/>
          <w:lang w:val="es-ES_tradnl"/>
        </w:rPr>
        <w:t>. (CASTRO DE CIFUENTES, Marcela. Derecho Comercial. Actos de comercio, empresas comerciantes y empresarios. Universidad de los Andes. 2016. Pág. 109).</w:t>
      </w:r>
    </w:p>
    <w:p w14:paraId="24443860" w14:textId="77777777" w:rsidR="00E724E9" w:rsidRPr="00C20F3B" w:rsidRDefault="00E724E9" w:rsidP="00E724E9">
      <w:pPr>
        <w:pStyle w:val="Textonotapie"/>
        <w:contextualSpacing/>
        <w:jc w:val="both"/>
        <w:rPr>
          <w:rFonts w:ascii="Arial" w:hAnsi="Arial" w:cs="Arial"/>
          <w:sz w:val="15"/>
          <w:szCs w:val="15"/>
          <w:lang w:val="es-ES_tradnl"/>
        </w:rPr>
      </w:pPr>
    </w:p>
  </w:footnote>
  <w:footnote w:id="17">
    <w:p w14:paraId="68339084"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1D3C0966"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Fonts w:ascii="Arial" w:hAnsi="Arial" w:cs="Arial"/>
          <w:color w:val="000000" w:themeColor="text1"/>
          <w:sz w:val="15"/>
          <w:szCs w:val="15"/>
        </w:rPr>
        <w:t xml:space="preserve">»1. Tiempo de experiencia. </w:t>
      </w:r>
    </w:p>
    <w:p w14:paraId="234141AF"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Fonts w:ascii="Arial" w:hAnsi="Arial" w:cs="Arial"/>
          <w:color w:val="000000" w:themeColor="text1"/>
          <w:sz w:val="15"/>
          <w:szCs w:val="15"/>
        </w:rPr>
        <w:t xml:space="preserve">»2. Número de contratos para la acreditación de la experiencia. </w:t>
      </w:r>
    </w:p>
    <w:p w14:paraId="19818FD2"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Fonts w:ascii="Arial" w:hAnsi="Arial" w:cs="Arial"/>
          <w:color w:val="000000" w:themeColor="text1"/>
          <w:sz w:val="15"/>
          <w:szCs w:val="15"/>
        </w:rPr>
        <w:t xml:space="preserve">»3. Índices de capacidad financiera. </w:t>
      </w:r>
    </w:p>
    <w:p w14:paraId="1A773C70"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Fonts w:ascii="Arial" w:hAnsi="Arial" w:cs="Arial"/>
          <w:color w:val="000000" w:themeColor="text1"/>
          <w:sz w:val="15"/>
          <w:szCs w:val="15"/>
        </w:rPr>
        <w:t xml:space="preserve">»4. Índices de capacidad organizacional. </w:t>
      </w:r>
    </w:p>
    <w:p w14:paraId="6B5663A9"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Fonts w:ascii="Arial" w:hAnsi="Arial" w:cs="Arial"/>
          <w:color w:val="000000" w:themeColor="text1"/>
          <w:sz w:val="15"/>
          <w:szCs w:val="15"/>
        </w:rPr>
        <w:t xml:space="preserve">»5. Valor de la garantía de seriedad de la oferta. </w:t>
      </w:r>
    </w:p>
    <w:p w14:paraId="6C3A3577"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Fonts w:ascii="Arial" w:hAnsi="Arial" w:cs="Arial"/>
          <w:color w:val="000000" w:themeColor="text1"/>
          <w:sz w:val="15"/>
          <w:szCs w:val="15"/>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102205CD"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Fonts w:ascii="Arial" w:hAnsi="Arial" w:cs="Arial"/>
          <w:color w:val="000000" w:themeColor="text1"/>
          <w:sz w:val="15"/>
          <w:szCs w:val="15"/>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04454EC9"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Fonts w:ascii="Arial" w:hAnsi="Arial" w:cs="Arial"/>
          <w:color w:val="000000" w:themeColor="text1"/>
          <w:sz w:val="15"/>
          <w:szCs w:val="15"/>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71EC292B"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Fonts w:ascii="Arial" w:hAnsi="Arial" w:cs="Arial"/>
          <w:color w:val="000000" w:themeColor="text1"/>
          <w:sz w:val="15"/>
          <w:szCs w:val="15"/>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0BF440A6" w14:textId="77777777" w:rsidR="00E724E9" w:rsidRPr="00C20F3B" w:rsidRDefault="00E724E9" w:rsidP="00E724E9">
      <w:pPr>
        <w:pStyle w:val="Textonotapie"/>
        <w:ind w:firstLine="709"/>
        <w:jc w:val="both"/>
        <w:rPr>
          <w:rFonts w:ascii="Arial" w:hAnsi="Arial" w:cs="Arial"/>
          <w:color w:val="000000" w:themeColor="text1"/>
          <w:sz w:val="15"/>
          <w:szCs w:val="15"/>
        </w:rPr>
      </w:pPr>
      <w:r w:rsidRPr="00C20F3B">
        <w:rPr>
          <w:rFonts w:ascii="Arial" w:hAnsi="Arial" w:cs="Arial"/>
          <w:color w:val="000000" w:themeColor="text1"/>
          <w:sz w:val="15"/>
          <w:szCs w:val="15"/>
        </w:rPr>
        <w:t xml:space="preserve">»Parágrafo 2. Los incentivos contractuales para las empresas y emprendimientos de mujeres no excluyen la aplicación de los criterios diferenciales para Mipyme en el sistema de compras públicas».  </w:t>
      </w:r>
    </w:p>
  </w:footnote>
  <w:footnote w:id="18">
    <w:p w14:paraId="3460D4AE" w14:textId="77777777" w:rsidR="00E724E9" w:rsidRPr="00656D3C" w:rsidRDefault="00E724E9" w:rsidP="00E724E9">
      <w:pPr>
        <w:pStyle w:val="Textonotapie"/>
        <w:ind w:firstLine="708"/>
        <w:jc w:val="both"/>
        <w:rPr>
          <w:rFonts w:ascii="Arial" w:hAnsi="Arial" w:cs="Arial"/>
          <w:color w:val="000000" w:themeColor="text1"/>
          <w:sz w:val="19"/>
          <w:szCs w:val="19"/>
        </w:rPr>
      </w:pPr>
      <w:r w:rsidRPr="00C20F3B">
        <w:rPr>
          <w:rStyle w:val="Refdenotaalpie"/>
          <w:rFonts w:ascii="Arial" w:hAnsi="Arial" w:cs="Arial"/>
          <w:sz w:val="15"/>
          <w:szCs w:val="15"/>
        </w:rPr>
        <w:footnoteRef/>
      </w:r>
      <w:r w:rsidRPr="00C20F3B">
        <w:rPr>
          <w:rFonts w:ascii="Arial" w:hAnsi="Arial" w:cs="Arial"/>
          <w:sz w:val="15"/>
          <w:szCs w:val="15"/>
        </w:rPr>
        <w:t xml:space="preserve"> </w:t>
      </w:r>
      <w:r w:rsidRPr="00C20F3B">
        <w:rPr>
          <w:rFonts w:ascii="Arial" w:hAnsi="Arial" w:cs="Arial"/>
          <w:color w:val="000000" w:themeColor="text1"/>
          <w:sz w:val="15"/>
          <w:szCs w:val="15"/>
        </w:rPr>
        <w:t>En los documentos tipo de consultoría de estudios de ingeniería de infraestructura de transporte se aportará el Formato 13 – Acreditación de emprendimiento y empresas de mujeres.</w:t>
      </w:r>
      <w:r w:rsidRPr="00656D3C">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A1011"/>
    <w:rsid w:val="001A48D0"/>
    <w:rsid w:val="002653C1"/>
    <w:rsid w:val="0026611D"/>
    <w:rsid w:val="002951A0"/>
    <w:rsid w:val="002A64FD"/>
    <w:rsid w:val="002C3B94"/>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6219F8"/>
    <w:rsid w:val="0063226F"/>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F33F2"/>
    <w:rsid w:val="009F6C77"/>
    <w:rsid w:val="00A07532"/>
    <w:rsid w:val="00A1085C"/>
    <w:rsid w:val="00A309E2"/>
    <w:rsid w:val="00A8066E"/>
    <w:rsid w:val="00AA4B8A"/>
    <w:rsid w:val="00AA6BF7"/>
    <w:rsid w:val="00B01ED6"/>
    <w:rsid w:val="00B06D09"/>
    <w:rsid w:val="00B11F35"/>
    <w:rsid w:val="00B54C9F"/>
    <w:rsid w:val="00B771A9"/>
    <w:rsid w:val="00B809BB"/>
    <w:rsid w:val="00B8248A"/>
    <w:rsid w:val="00BB7726"/>
    <w:rsid w:val="00C1739E"/>
    <w:rsid w:val="00C20555"/>
    <w:rsid w:val="00C2329E"/>
    <w:rsid w:val="00C30461"/>
    <w:rsid w:val="00C754BE"/>
    <w:rsid w:val="00C87572"/>
    <w:rsid w:val="00C9405D"/>
    <w:rsid w:val="00CC1B26"/>
    <w:rsid w:val="00CD284F"/>
    <w:rsid w:val="00CF23AA"/>
    <w:rsid w:val="00D01921"/>
    <w:rsid w:val="00D752B7"/>
    <w:rsid w:val="00DA1854"/>
    <w:rsid w:val="00DB0887"/>
    <w:rsid w:val="00DF1E43"/>
    <w:rsid w:val="00E20894"/>
    <w:rsid w:val="00E26B7C"/>
    <w:rsid w:val="00E724E9"/>
    <w:rsid w:val="00EA3003"/>
    <w:rsid w:val="00EB3C91"/>
    <w:rsid w:val="00EB66DA"/>
    <w:rsid w:val="00EB7D2A"/>
    <w:rsid w:val="00EC6282"/>
    <w:rsid w:val="00F2580D"/>
    <w:rsid w:val="00F605F2"/>
    <w:rsid w:val="00F76AFC"/>
    <w:rsid w:val="00F8319B"/>
    <w:rsid w:val="00FA5516"/>
    <w:rsid w:val="00FB2FD4"/>
    <w:rsid w:val="00FD6F73"/>
    <w:rsid w:val="00FE0320"/>
    <w:rsid w:val="033CEF3D"/>
    <w:rsid w:val="1CC63BF5"/>
    <w:rsid w:val="2F9951DC"/>
    <w:rsid w:val="3EA2D60F"/>
    <w:rsid w:val="62692A22"/>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E724E9"/>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E724E9"/>
    <w:pPr>
      <w:spacing w:line="240" w:lineRule="exact"/>
    </w:pPr>
    <w:rPr>
      <w:vertAlign w:val="superscript"/>
    </w:rPr>
  </w:style>
  <w:style w:type="character" w:customStyle="1" w:styleId="NormalWebCar">
    <w:name w:val="Normal (Web) Car"/>
    <w:link w:val="NormalWeb"/>
    <w:uiPriority w:val="99"/>
    <w:rsid w:val="00E724E9"/>
    <w:rPr>
      <w:rFonts w:ascii="Times New Roman" w:hAnsi="Times New Roman" w:cs="Times New Roman"/>
      <w:sz w:val="24"/>
      <w:szCs w:val="24"/>
    </w:rPr>
  </w:style>
  <w:style w:type="character" w:customStyle="1" w:styleId="Hipervnculo1">
    <w:name w:val="Hipervínculo1"/>
    <w:basedOn w:val="Fuentedeprrafopredeter"/>
    <w:uiPriority w:val="99"/>
    <w:unhideWhenUsed/>
    <w:rsid w:val="00E724E9"/>
    <w:rPr>
      <w:color w:val="F2F2F2"/>
      <w:u w:val="single"/>
    </w:rPr>
  </w:style>
  <w:style w:type="paragraph" w:customStyle="1" w:styleId="Car1">
    <w:name w:val="Car1"/>
    <w:basedOn w:val="Normal"/>
    <w:next w:val="Textonotapie"/>
    <w:uiPriority w:val="99"/>
    <w:unhideWhenUsed/>
    <w:qFormat/>
    <w:rsid w:val="00E724E9"/>
    <w:pPr>
      <w:spacing w:after="0" w:line="240" w:lineRule="auto"/>
    </w:pPr>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22876F-6016-4D27-8965-4407EBB7F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6515</Words>
  <Characters>35836</Characters>
  <Application>Microsoft Office Word</Application>
  <DocSecurity>0</DocSecurity>
  <Lines>298</Lines>
  <Paragraphs>84</Paragraphs>
  <ScaleCrop>false</ScaleCrop>
  <Company/>
  <LinksUpToDate>false</LinksUpToDate>
  <CharactersWithSpaces>42267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2023-02-22T01:50:00Z</dcterms:created>
  <dcterms:modified xsi:type="dcterms:W3CDTF">2023-02-22T01:50:00Z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