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1305" w14:textId="3BBB7845" w:rsidR="00361D26" w:rsidRDefault="00361D26" w:rsidP="00361D26">
      <w:pPr>
        <w:jc w:val="both"/>
        <w:rPr>
          <w:rFonts w:ascii="Arial" w:eastAsia="Calibri" w:hAnsi="Arial" w:cs="Arial"/>
          <w:b/>
          <w:bCs/>
          <w:sz w:val="22"/>
        </w:rPr>
      </w:pPr>
      <w:r w:rsidRPr="6CC86934">
        <w:rPr>
          <w:rFonts w:ascii="Arial" w:eastAsia="Calibri" w:hAnsi="Arial" w:cs="Arial"/>
          <w:b/>
          <w:bCs/>
          <w:sz w:val="22"/>
        </w:rPr>
        <w:t xml:space="preserve">PAGO ANTICIPADO Y/O ANTICIPO – Régimen legal – </w:t>
      </w:r>
      <w:r w:rsidRPr="00FD40BC">
        <w:rPr>
          <w:rFonts w:ascii="Arial" w:eastAsia="Calibri" w:hAnsi="Arial" w:cs="Arial"/>
          <w:b/>
          <w:bCs/>
          <w:sz w:val="22"/>
        </w:rPr>
        <w:t>Facultad</w:t>
      </w:r>
      <w:r w:rsidR="00FD40BC" w:rsidRPr="00FD40BC">
        <w:rPr>
          <w:rFonts w:ascii="Arial" w:eastAsia="Calibri" w:hAnsi="Arial" w:cs="Arial"/>
          <w:b/>
          <w:bCs/>
          <w:sz w:val="22"/>
        </w:rPr>
        <w:t>e</w:t>
      </w:r>
      <w:r w:rsidR="00FD40BC">
        <w:rPr>
          <w:rFonts w:ascii="Arial" w:eastAsia="Calibri" w:hAnsi="Arial" w:cs="Arial"/>
          <w:b/>
          <w:bCs/>
          <w:sz w:val="22"/>
        </w:rPr>
        <w:t>s</w:t>
      </w:r>
      <w:r w:rsidRPr="6CC86934">
        <w:rPr>
          <w:rFonts w:ascii="Arial" w:eastAsia="Calibri" w:hAnsi="Arial" w:cs="Arial"/>
          <w:b/>
          <w:bCs/>
          <w:sz w:val="22"/>
        </w:rPr>
        <w:t xml:space="preserve"> – Pacto</w:t>
      </w:r>
    </w:p>
    <w:p w14:paraId="7C2B86B9" w14:textId="77777777" w:rsidR="00361D26" w:rsidRPr="004E691C" w:rsidRDefault="00361D26" w:rsidP="00361D26">
      <w:pPr>
        <w:rPr>
          <w:rFonts w:ascii="Arial" w:hAnsi="Arial" w:cs="Arial"/>
          <w:sz w:val="20"/>
          <w:szCs w:val="20"/>
        </w:rPr>
      </w:pPr>
    </w:p>
    <w:p w14:paraId="2CDC543B" w14:textId="77777777" w:rsidR="00361D26" w:rsidRPr="004E691C" w:rsidRDefault="00361D26" w:rsidP="00361D26">
      <w:pPr>
        <w:jc w:val="both"/>
        <w:rPr>
          <w:rFonts w:ascii="Arial" w:eastAsia="Calibri" w:hAnsi="Arial" w:cs="Arial"/>
          <w:sz w:val="20"/>
          <w:szCs w:val="20"/>
        </w:rPr>
      </w:pPr>
      <w:r w:rsidRPr="004E691C">
        <w:rPr>
          <w:rFonts w:ascii="Arial" w:eastAsia="Calibri" w:hAnsi="Arial" w:cs="Arial"/>
          <w:sz w:val="20"/>
          <w:szCs w:val="20"/>
        </w:rPr>
        <w:t>Conforme a las disposiciones normativas que gobiernan el régimen de contratación pública, las entidades estatales se encuentran facultadas para pactar ya sea el pago anticipado del negocio jurídico o la entrega de anticipos como mecanismo de financiación para la adecuada ejecución del mismo. Al efecto, el parágrafo del artículo 40 de la Ley 80 de 1993 […]</w:t>
      </w:r>
    </w:p>
    <w:p w14:paraId="1B981A00" w14:textId="77777777" w:rsidR="00361D26" w:rsidRPr="004E691C" w:rsidRDefault="00361D26" w:rsidP="00361D26">
      <w:pPr>
        <w:jc w:val="both"/>
        <w:rPr>
          <w:rFonts w:ascii="Arial" w:eastAsia="Calibri" w:hAnsi="Arial" w:cs="Arial"/>
          <w:sz w:val="20"/>
          <w:szCs w:val="20"/>
        </w:rPr>
      </w:pPr>
    </w:p>
    <w:p w14:paraId="352A3F2D" w14:textId="77777777" w:rsidR="00361D26" w:rsidRPr="004E691C" w:rsidRDefault="00361D26" w:rsidP="00361D26">
      <w:pPr>
        <w:jc w:val="both"/>
        <w:rPr>
          <w:rFonts w:ascii="Arial" w:eastAsia="Calibri" w:hAnsi="Arial" w:cs="Arial"/>
          <w:b/>
          <w:bCs/>
          <w:sz w:val="22"/>
        </w:rPr>
      </w:pPr>
      <w:r w:rsidRPr="6CC86934">
        <w:rPr>
          <w:rFonts w:ascii="Arial" w:eastAsia="Calibri" w:hAnsi="Arial" w:cs="Arial"/>
          <w:b/>
          <w:bCs/>
          <w:sz w:val="22"/>
        </w:rPr>
        <w:t xml:space="preserve">PAGO ANTICIPADO Y/O ANTICIPO – Límites – </w:t>
      </w:r>
      <w:r w:rsidRPr="009F280F">
        <w:rPr>
          <w:rFonts w:ascii="Arial" w:eastAsia="Calibri" w:hAnsi="Arial" w:cs="Arial"/>
          <w:b/>
          <w:bCs/>
          <w:sz w:val="22"/>
        </w:rPr>
        <w:t>Aplicación</w:t>
      </w:r>
      <w:r w:rsidRPr="6CC86934">
        <w:rPr>
          <w:rFonts w:ascii="Arial" w:eastAsia="Calibri" w:hAnsi="Arial" w:cs="Arial"/>
          <w:b/>
          <w:bCs/>
          <w:sz w:val="22"/>
        </w:rPr>
        <w:t xml:space="preserve"> – Tipo contractual</w:t>
      </w:r>
    </w:p>
    <w:p w14:paraId="30C67EA2" w14:textId="77777777" w:rsidR="00361D26" w:rsidRPr="004E691C" w:rsidRDefault="00361D26" w:rsidP="00361D26">
      <w:pPr>
        <w:jc w:val="both"/>
        <w:rPr>
          <w:rFonts w:ascii="Arial" w:eastAsia="Calibri" w:hAnsi="Arial" w:cs="Arial"/>
          <w:b/>
          <w:bCs/>
          <w:sz w:val="20"/>
          <w:szCs w:val="20"/>
        </w:rPr>
      </w:pPr>
    </w:p>
    <w:p w14:paraId="49F4EC29" w14:textId="77777777" w:rsidR="00361D26" w:rsidRPr="004E691C" w:rsidRDefault="00361D26" w:rsidP="00361D26">
      <w:pPr>
        <w:spacing w:after="120"/>
        <w:jc w:val="both"/>
        <w:rPr>
          <w:rFonts w:ascii="Arial" w:eastAsia="Calibri" w:hAnsi="Arial" w:cs="Arial"/>
          <w:sz w:val="20"/>
          <w:szCs w:val="20"/>
        </w:rPr>
      </w:pPr>
      <w:r w:rsidRPr="004E691C">
        <w:rPr>
          <w:rFonts w:ascii="Arial" w:eastAsia="Calibri" w:hAnsi="Arial" w:cs="Arial"/>
          <w:sz w:val="20"/>
          <w:szCs w:val="20"/>
        </w:rPr>
        <w:t>La citada disposición, además de contener la facultad expresa mencionada, establece un límite al ejercicio de la misma, pues el pago anticipado o la entrega del anticipo no podrá superar el cincuenta por ciento [50%] del valor o precio del negocio jurídico celebrado por la entidad estatal.</w:t>
      </w:r>
    </w:p>
    <w:p w14:paraId="5414BC88" w14:textId="77777777" w:rsidR="00361D26" w:rsidRPr="004E691C" w:rsidRDefault="00361D26" w:rsidP="00361D26">
      <w:pPr>
        <w:jc w:val="both"/>
        <w:rPr>
          <w:rFonts w:ascii="Arial" w:eastAsia="Calibri" w:hAnsi="Arial" w:cs="Arial"/>
          <w:b/>
          <w:bCs/>
          <w:sz w:val="20"/>
          <w:szCs w:val="20"/>
        </w:rPr>
      </w:pPr>
      <w:r w:rsidRPr="004E691C">
        <w:rPr>
          <w:rFonts w:ascii="Arial" w:eastAsia="Calibri" w:hAnsi="Arial" w:cs="Arial"/>
          <w:sz w:val="20"/>
          <w:szCs w:val="20"/>
        </w:rPr>
        <w:t>Otro aspecto que se debe destacar, del citado precepto normativo, es que no restringe el tipo de contratos estatales a los cuales es aplicable esa facultad, ni limita la posibilidad de pactar anticipo o pago anticipado en contratos de tracto sucesivo o en contratos de ejecución instantánea.</w:t>
      </w:r>
    </w:p>
    <w:p w14:paraId="3A918CDE" w14:textId="77777777" w:rsidR="00361D26" w:rsidRPr="004E691C" w:rsidRDefault="00361D26" w:rsidP="00361D26">
      <w:pPr>
        <w:jc w:val="both"/>
        <w:rPr>
          <w:rFonts w:ascii="Arial" w:hAnsi="Arial" w:cs="Arial"/>
          <w:b/>
          <w:bCs/>
          <w:sz w:val="20"/>
          <w:szCs w:val="20"/>
        </w:rPr>
      </w:pPr>
    </w:p>
    <w:p w14:paraId="7CD5E3DB" w14:textId="77777777" w:rsidR="00361D26" w:rsidRPr="004E691C" w:rsidRDefault="00361D26" w:rsidP="00361D26">
      <w:pPr>
        <w:jc w:val="both"/>
        <w:rPr>
          <w:rFonts w:ascii="Arial" w:hAnsi="Arial" w:cs="Arial"/>
          <w:b/>
          <w:bCs/>
          <w:sz w:val="22"/>
        </w:rPr>
      </w:pPr>
      <w:r w:rsidRPr="6CC86934">
        <w:rPr>
          <w:rFonts w:ascii="Arial" w:hAnsi="Arial" w:cs="Arial"/>
          <w:b/>
          <w:bCs/>
          <w:sz w:val="22"/>
        </w:rPr>
        <w:t xml:space="preserve">PAGO ANTICIPADO Y/O ANTICIPO </w:t>
      </w:r>
      <w:r w:rsidRPr="6CC86934">
        <w:rPr>
          <w:rFonts w:ascii="Arial" w:eastAsia="Calibri" w:hAnsi="Arial" w:cs="Arial"/>
          <w:b/>
          <w:bCs/>
          <w:sz w:val="22"/>
        </w:rPr>
        <w:t>–</w:t>
      </w:r>
      <w:r w:rsidRPr="6CC86934">
        <w:rPr>
          <w:rFonts w:ascii="Arial" w:hAnsi="Arial" w:cs="Arial"/>
          <w:b/>
          <w:bCs/>
          <w:sz w:val="22"/>
        </w:rPr>
        <w:t xml:space="preserve"> Noción</w:t>
      </w:r>
    </w:p>
    <w:p w14:paraId="34934624" w14:textId="77777777" w:rsidR="00361D26" w:rsidRPr="004E691C" w:rsidRDefault="00361D26" w:rsidP="00361D26">
      <w:pPr>
        <w:jc w:val="both"/>
        <w:rPr>
          <w:rFonts w:ascii="Arial" w:hAnsi="Arial" w:cs="Arial"/>
          <w:b/>
          <w:bCs/>
          <w:sz w:val="20"/>
          <w:szCs w:val="20"/>
        </w:rPr>
      </w:pPr>
    </w:p>
    <w:p w14:paraId="10F6970B" w14:textId="77777777" w:rsidR="00361D26" w:rsidRPr="004E691C" w:rsidRDefault="00361D26" w:rsidP="00361D26">
      <w:pPr>
        <w:spacing w:after="120"/>
        <w:jc w:val="both"/>
        <w:rPr>
          <w:rFonts w:ascii="Arial" w:eastAsia="Calibri" w:hAnsi="Arial" w:cs="Arial"/>
          <w:sz w:val="20"/>
          <w:szCs w:val="20"/>
        </w:rPr>
      </w:pPr>
      <w:r w:rsidRPr="004E691C">
        <w:rPr>
          <w:rFonts w:ascii="Arial" w:eastAsia="Calibri" w:hAnsi="Arial" w:cs="Arial"/>
          <w:sz w:val="20"/>
          <w:szCs w:val="20"/>
        </w:rPr>
        <w:t>i) El pago anticipado es un pago efectivo del precio que se efectúa y se causa en forma anticipada. Por tanto, los recursos se integran al patrimonio del contratista desde su desembolso.</w:t>
      </w:r>
    </w:p>
    <w:p w14:paraId="5F0D2ACE" w14:textId="77777777" w:rsidR="00361D26" w:rsidRPr="004E691C" w:rsidRDefault="00361D26" w:rsidP="00361D26">
      <w:pPr>
        <w:jc w:val="both"/>
        <w:rPr>
          <w:rFonts w:ascii="Arial" w:eastAsia="Calibri" w:hAnsi="Arial" w:cs="Arial"/>
          <w:sz w:val="20"/>
          <w:szCs w:val="20"/>
        </w:rPr>
      </w:pPr>
      <w:proofErr w:type="spellStart"/>
      <w:r w:rsidRPr="004E691C">
        <w:rPr>
          <w:rFonts w:ascii="Arial" w:eastAsia="Calibri" w:hAnsi="Arial" w:cs="Arial"/>
          <w:sz w:val="20"/>
          <w:szCs w:val="20"/>
        </w:rPr>
        <w:t>ii</w:t>
      </w:r>
      <w:proofErr w:type="spellEnd"/>
      <w:r w:rsidRPr="004E691C">
        <w:rPr>
          <w:rFonts w:ascii="Arial" w:eastAsia="Calibri" w:hAnsi="Arial" w:cs="Arial"/>
          <w:sz w:val="20"/>
          <w:szCs w:val="20"/>
        </w:rPr>
        <w:t>) 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w:t>
      </w:r>
    </w:p>
    <w:p w14:paraId="17300851" w14:textId="77777777" w:rsidR="00361D26" w:rsidRPr="004E691C" w:rsidRDefault="00361D26" w:rsidP="00361D26">
      <w:pPr>
        <w:jc w:val="both"/>
        <w:rPr>
          <w:rFonts w:ascii="Arial" w:eastAsia="Calibri" w:hAnsi="Arial" w:cs="Arial"/>
          <w:sz w:val="20"/>
          <w:szCs w:val="20"/>
        </w:rPr>
      </w:pPr>
    </w:p>
    <w:p w14:paraId="28BBB8FC" w14:textId="77777777" w:rsidR="00361D26" w:rsidRPr="004E691C" w:rsidRDefault="00361D26" w:rsidP="00361D26">
      <w:pPr>
        <w:jc w:val="both"/>
        <w:rPr>
          <w:rFonts w:ascii="Arial" w:eastAsia="Calibri" w:hAnsi="Arial" w:cs="Arial"/>
          <w:b/>
          <w:bCs/>
          <w:sz w:val="22"/>
        </w:rPr>
      </w:pPr>
      <w:r w:rsidRPr="00D61F01">
        <w:rPr>
          <w:rFonts w:ascii="Arial" w:eastAsia="Calibri" w:hAnsi="Arial" w:cs="Arial"/>
          <w:b/>
          <w:bCs/>
          <w:sz w:val="22"/>
        </w:rPr>
        <w:t>ANTICIPO</w:t>
      </w:r>
      <w:r w:rsidRPr="004E691C">
        <w:rPr>
          <w:rFonts w:ascii="Arial" w:eastAsia="Calibri" w:hAnsi="Arial" w:cs="Arial"/>
          <w:b/>
          <w:bCs/>
          <w:sz w:val="22"/>
        </w:rPr>
        <w:t xml:space="preserve"> </w:t>
      </w:r>
      <w:r w:rsidRPr="004E691C">
        <w:rPr>
          <w:rFonts w:ascii="Arial" w:eastAsia="Calibri" w:hAnsi="Arial" w:cs="Arial"/>
          <w:b/>
          <w:sz w:val="22"/>
        </w:rPr>
        <w:t>–</w:t>
      </w:r>
      <w:r w:rsidRPr="004E691C">
        <w:rPr>
          <w:rFonts w:ascii="Arial" w:eastAsia="Calibri" w:hAnsi="Arial" w:cs="Arial"/>
          <w:b/>
          <w:bCs/>
          <w:sz w:val="22"/>
        </w:rPr>
        <w:t xml:space="preserve"> </w:t>
      </w:r>
      <w:r w:rsidRPr="009F280F">
        <w:rPr>
          <w:rFonts w:ascii="Arial" w:eastAsia="Calibri" w:hAnsi="Arial" w:cs="Arial"/>
          <w:b/>
          <w:bCs/>
          <w:sz w:val="22"/>
        </w:rPr>
        <w:t>Obligación</w:t>
      </w:r>
      <w:r w:rsidRPr="004E691C">
        <w:rPr>
          <w:rFonts w:ascii="Arial" w:eastAsia="Calibri" w:hAnsi="Arial" w:cs="Arial"/>
          <w:b/>
          <w:bCs/>
          <w:sz w:val="22"/>
        </w:rPr>
        <w:t xml:space="preserve"> </w:t>
      </w:r>
      <w:r w:rsidRPr="004E691C">
        <w:rPr>
          <w:rFonts w:ascii="Arial" w:eastAsia="Calibri" w:hAnsi="Arial" w:cs="Arial"/>
          <w:b/>
          <w:sz w:val="22"/>
        </w:rPr>
        <w:t>– Constitución – F</w:t>
      </w:r>
      <w:r w:rsidRPr="004E691C">
        <w:rPr>
          <w:rFonts w:ascii="Arial" w:eastAsia="Calibri" w:hAnsi="Arial" w:cs="Arial"/>
          <w:b/>
          <w:bCs/>
          <w:sz w:val="22"/>
        </w:rPr>
        <w:t xml:space="preserve">iducia o patrimonio </w:t>
      </w:r>
      <w:r w:rsidRPr="004E691C">
        <w:rPr>
          <w:rFonts w:ascii="Arial" w:eastAsia="Calibri" w:hAnsi="Arial" w:cs="Arial"/>
          <w:b/>
          <w:sz w:val="22"/>
        </w:rPr>
        <w:t>–</w:t>
      </w:r>
      <w:r w:rsidRPr="004E691C">
        <w:rPr>
          <w:rFonts w:ascii="Arial" w:eastAsia="Calibri" w:hAnsi="Arial" w:cs="Arial"/>
          <w:b/>
          <w:bCs/>
          <w:sz w:val="22"/>
        </w:rPr>
        <w:t xml:space="preserve"> Aplicación </w:t>
      </w:r>
      <w:r w:rsidRPr="004E691C">
        <w:rPr>
          <w:rFonts w:ascii="Arial" w:eastAsia="Calibri" w:hAnsi="Arial" w:cs="Arial"/>
          <w:b/>
          <w:sz w:val="22"/>
        </w:rPr>
        <w:t xml:space="preserve">– </w:t>
      </w:r>
      <w:r w:rsidRPr="004E691C">
        <w:rPr>
          <w:rFonts w:ascii="Arial" w:eastAsia="Calibri" w:hAnsi="Arial" w:cs="Arial"/>
          <w:b/>
          <w:bCs/>
          <w:sz w:val="22"/>
        </w:rPr>
        <w:t>Contratos obligados</w:t>
      </w:r>
    </w:p>
    <w:p w14:paraId="44B45FCE" w14:textId="77777777" w:rsidR="00361D26" w:rsidRPr="004E691C" w:rsidRDefault="00361D26" w:rsidP="00361D26">
      <w:pPr>
        <w:jc w:val="both"/>
        <w:rPr>
          <w:rFonts w:ascii="Arial" w:eastAsia="Calibri" w:hAnsi="Arial" w:cs="Arial"/>
          <w:b/>
          <w:bCs/>
          <w:sz w:val="20"/>
          <w:szCs w:val="20"/>
        </w:rPr>
      </w:pPr>
    </w:p>
    <w:p w14:paraId="56CC4DE2" w14:textId="77777777" w:rsidR="00361D26" w:rsidRPr="004E691C" w:rsidRDefault="00361D26" w:rsidP="00361D26">
      <w:pPr>
        <w:jc w:val="both"/>
        <w:rPr>
          <w:rFonts w:ascii="Arial" w:eastAsia="Calibri" w:hAnsi="Arial" w:cs="Arial"/>
          <w:b/>
          <w:bCs/>
          <w:sz w:val="20"/>
          <w:szCs w:val="20"/>
        </w:rPr>
      </w:pPr>
      <w:r w:rsidRPr="004E691C">
        <w:rPr>
          <w:rFonts w:ascii="Arial" w:eastAsia="Calibri" w:hAnsi="Arial" w:cs="Arial"/>
          <w:sz w:val="20"/>
          <w:szCs w:val="20"/>
        </w:rPr>
        <w:t>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Allí se contempló la obligación para el contratista de constituir una fiducia o patrimonio autónomo irrevocable, como garantía del buen manejo e inversión de los recursos económicos que le sean entregados a título de anticipo. La mencionada obligación se aplica a los contratos de obra, concesión, salud, o los que se realicen por licitación pública, salvo que los mismos sean de menor o mínima cuantía</w:t>
      </w:r>
    </w:p>
    <w:p w14:paraId="76D4AE17" w14:textId="77777777" w:rsidR="00361D26" w:rsidRPr="004E691C" w:rsidRDefault="00361D26" w:rsidP="00361D26">
      <w:pPr>
        <w:jc w:val="both"/>
        <w:rPr>
          <w:rFonts w:ascii="Arial" w:hAnsi="Arial" w:cs="Arial"/>
          <w:b/>
          <w:bCs/>
          <w:sz w:val="20"/>
          <w:szCs w:val="20"/>
        </w:rPr>
      </w:pPr>
    </w:p>
    <w:p w14:paraId="5827A423" w14:textId="77777777" w:rsidR="00361D26" w:rsidRPr="004E691C" w:rsidRDefault="00361D26" w:rsidP="00361D26">
      <w:pPr>
        <w:jc w:val="both"/>
        <w:rPr>
          <w:rFonts w:ascii="Arial" w:hAnsi="Arial" w:cs="Arial"/>
          <w:b/>
          <w:bCs/>
          <w:sz w:val="22"/>
        </w:rPr>
      </w:pPr>
      <w:r w:rsidRPr="6CC86934">
        <w:rPr>
          <w:rFonts w:ascii="Arial" w:hAnsi="Arial" w:cs="Arial"/>
          <w:b/>
          <w:bCs/>
          <w:sz w:val="22"/>
        </w:rPr>
        <w:t xml:space="preserve">PAGO ANTICIPADO Y/O ANTICIPO </w:t>
      </w:r>
      <w:r w:rsidRPr="6CC86934">
        <w:rPr>
          <w:rFonts w:ascii="Arial" w:eastAsia="Calibri" w:hAnsi="Arial" w:cs="Arial"/>
          <w:b/>
          <w:bCs/>
          <w:sz w:val="22"/>
        </w:rPr>
        <w:t>–</w:t>
      </w:r>
      <w:r w:rsidRPr="6CC86934">
        <w:rPr>
          <w:rFonts w:ascii="Arial" w:hAnsi="Arial" w:cs="Arial"/>
          <w:b/>
          <w:bCs/>
          <w:sz w:val="22"/>
        </w:rPr>
        <w:t xml:space="preserve"> Medidas de protección </w:t>
      </w:r>
      <w:r w:rsidRPr="6CC86934">
        <w:rPr>
          <w:rFonts w:ascii="Arial" w:eastAsia="Calibri" w:hAnsi="Arial" w:cs="Arial"/>
          <w:b/>
          <w:bCs/>
          <w:sz w:val="22"/>
        </w:rPr>
        <w:t>–</w:t>
      </w:r>
      <w:r w:rsidRPr="6CC86934">
        <w:rPr>
          <w:rFonts w:ascii="Arial" w:hAnsi="Arial" w:cs="Arial"/>
          <w:b/>
          <w:bCs/>
          <w:sz w:val="22"/>
        </w:rPr>
        <w:t xml:space="preserve"> Recursos entregados</w:t>
      </w:r>
    </w:p>
    <w:p w14:paraId="03D0AF41" w14:textId="77777777" w:rsidR="00361D26" w:rsidRPr="004E691C" w:rsidRDefault="00361D26" w:rsidP="00361D26">
      <w:pPr>
        <w:jc w:val="both"/>
        <w:rPr>
          <w:rFonts w:ascii="Arial" w:hAnsi="Arial" w:cs="Arial"/>
          <w:b/>
          <w:bCs/>
          <w:sz w:val="20"/>
          <w:szCs w:val="20"/>
        </w:rPr>
      </w:pPr>
    </w:p>
    <w:p w14:paraId="77E01099" w14:textId="77777777" w:rsidR="00361D26" w:rsidRPr="004E691C" w:rsidRDefault="00361D26" w:rsidP="00361D26">
      <w:pPr>
        <w:spacing w:after="120"/>
        <w:jc w:val="both"/>
        <w:rPr>
          <w:rFonts w:ascii="Arial" w:eastAsia="Calibri" w:hAnsi="Arial" w:cs="Arial"/>
          <w:sz w:val="20"/>
          <w:szCs w:val="20"/>
        </w:rPr>
      </w:pPr>
      <w:r w:rsidRPr="004E691C">
        <w:rPr>
          <w:rFonts w:ascii="Arial" w:eastAsia="Calibri" w:hAnsi="Arial" w:cs="Arial"/>
          <w:sz w:val="20"/>
          <w:szCs w:val="20"/>
        </w:rPr>
        <w:t>Los contratos, en los que la entidad estatal pacta el pago anticipado o la entrega de un anticipo, en los que por demás no es obligatorio constituir una fiducia o un patrimonio autónomo para su manejo, la entidad contratante debe adoptar medidas necesarias y razonables para asegurar la protección de los recursos económicos así entregados al contratista.</w:t>
      </w:r>
    </w:p>
    <w:p w14:paraId="69E9C26D" w14:textId="77777777" w:rsidR="00361D26" w:rsidRDefault="00361D26" w:rsidP="00361D26">
      <w:pPr>
        <w:jc w:val="both"/>
        <w:rPr>
          <w:rFonts w:ascii="Arial" w:eastAsia="Calibri" w:hAnsi="Arial" w:cs="Arial"/>
          <w:sz w:val="20"/>
          <w:szCs w:val="20"/>
        </w:rPr>
      </w:pPr>
      <w:r w:rsidRPr="004E691C">
        <w:rPr>
          <w:rFonts w:ascii="Arial" w:eastAsia="Calibri" w:hAnsi="Arial" w:cs="Arial"/>
          <w:sz w:val="20"/>
          <w:szCs w:val="20"/>
        </w:rPr>
        <w:lastRenderedPageBreak/>
        <w:t>La protección de los recursos económicos entregados al contratista, a título de pago anticipado o anticipo, debe realizarse con la constitución de las garantías establecidas en el ordenamiento jurídico para tal efecto</w:t>
      </w:r>
    </w:p>
    <w:p w14:paraId="61E9047F" w14:textId="77777777" w:rsidR="00F77425" w:rsidRPr="004E691C" w:rsidRDefault="00F77425" w:rsidP="00361D26">
      <w:pPr>
        <w:rPr>
          <w:rFonts w:ascii="Arial" w:eastAsia="Calibri" w:hAnsi="Arial" w:cs="Arial"/>
          <w:sz w:val="22"/>
        </w:rPr>
      </w:pPr>
    </w:p>
    <w:p w14:paraId="5A59F138" w14:textId="1B9270C3" w:rsidR="00F77425" w:rsidRPr="00F77425" w:rsidRDefault="00F77425" w:rsidP="00F77425">
      <w:pPr>
        <w:rPr>
          <w:rFonts w:ascii="Arial" w:eastAsia="Calibri" w:hAnsi="Arial" w:cs="Arial"/>
          <w:sz w:val="22"/>
          <w:lang w:val="es-ES_tradnl"/>
        </w:rPr>
      </w:pPr>
      <w:r w:rsidRPr="00F77425">
        <w:rPr>
          <w:rFonts w:ascii="Arial" w:eastAsia="Calibri" w:hAnsi="Arial" w:cs="Arial"/>
          <w:sz w:val="22"/>
          <w:lang w:val="es-ES_tradnl"/>
        </w:rPr>
        <w:t xml:space="preserve">Bogotá D.C., </w:t>
      </w:r>
      <w:r w:rsidR="005503AE">
        <w:rPr>
          <w:rFonts w:ascii="Arial" w:eastAsia="Calibri" w:hAnsi="Arial" w:cs="Arial"/>
          <w:sz w:val="22"/>
          <w:lang w:val="es-ES_tradnl"/>
        </w:rPr>
        <w:t>23</w:t>
      </w:r>
      <w:r w:rsidRPr="00F77425">
        <w:rPr>
          <w:rFonts w:ascii="Arial" w:eastAsia="Calibri" w:hAnsi="Arial" w:cs="Arial"/>
          <w:sz w:val="22"/>
          <w:lang w:val="es-ES_tradnl"/>
        </w:rPr>
        <w:t xml:space="preserve"> de </w:t>
      </w:r>
      <w:r w:rsidR="005503AE">
        <w:rPr>
          <w:rFonts w:ascii="Arial" w:eastAsia="Calibri" w:hAnsi="Arial" w:cs="Arial"/>
          <w:sz w:val="22"/>
          <w:lang w:val="es-ES_tradnl"/>
        </w:rPr>
        <w:t>noviembre</w:t>
      </w:r>
      <w:r w:rsidRPr="00F77425">
        <w:rPr>
          <w:rFonts w:ascii="Arial" w:eastAsia="Calibri" w:hAnsi="Arial" w:cs="Arial"/>
          <w:sz w:val="22"/>
          <w:lang w:val="es-ES_tradnl"/>
        </w:rPr>
        <w:t xml:space="preserve"> de 2022</w:t>
      </w:r>
    </w:p>
    <w:p w14:paraId="099EBC41" w14:textId="77777777" w:rsidR="00BA5012" w:rsidRDefault="00BA5012" w:rsidP="00361D26">
      <w:pPr>
        <w:rPr>
          <w:rFonts w:ascii="Arial" w:eastAsia="Calibri" w:hAnsi="Arial" w:cs="Arial"/>
          <w:sz w:val="22"/>
        </w:rPr>
      </w:pPr>
    </w:p>
    <w:p w14:paraId="39746632" w14:textId="5E023E8A" w:rsidR="00BA5012" w:rsidRDefault="00BA5012" w:rsidP="00361D26">
      <w:pPr>
        <w:rPr>
          <w:rFonts w:ascii="Arial" w:eastAsia="Calibri" w:hAnsi="Arial" w:cs="Arial"/>
          <w:sz w:val="22"/>
        </w:rPr>
      </w:pPr>
    </w:p>
    <w:p w14:paraId="17262C19" w14:textId="77777777" w:rsidR="00853F93" w:rsidRDefault="00853F93" w:rsidP="00361D26">
      <w:pPr>
        <w:rPr>
          <w:rFonts w:ascii="Arial" w:eastAsia="Calibri" w:hAnsi="Arial" w:cs="Arial"/>
          <w:sz w:val="22"/>
        </w:rPr>
      </w:pPr>
    </w:p>
    <w:p w14:paraId="376497E0" w14:textId="6430A69B" w:rsidR="00361D26" w:rsidRPr="004E691C" w:rsidRDefault="00361D26" w:rsidP="00361D26">
      <w:pPr>
        <w:rPr>
          <w:rFonts w:ascii="Arial" w:eastAsia="Calibri" w:hAnsi="Arial" w:cs="Arial"/>
          <w:sz w:val="22"/>
        </w:rPr>
      </w:pPr>
      <w:r w:rsidRPr="004E691C">
        <w:rPr>
          <w:rFonts w:ascii="Arial" w:eastAsia="Calibri" w:hAnsi="Arial" w:cs="Arial"/>
          <w:sz w:val="22"/>
        </w:rPr>
        <w:t>Señor</w:t>
      </w:r>
    </w:p>
    <w:p w14:paraId="29234FA8" w14:textId="4F55C67A" w:rsidR="00361D26" w:rsidRDefault="00304275" w:rsidP="00361D26">
      <w:pPr>
        <w:rPr>
          <w:rFonts w:ascii="Arial" w:eastAsia="Calibri" w:hAnsi="Arial" w:cs="Arial"/>
          <w:b/>
          <w:sz w:val="22"/>
        </w:rPr>
      </w:pPr>
      <w:r w:rsidRPr="007A311F">
        <w:rPr>
          <w:rFonts w:ascii="Arial" w:eastAsia="Calibri" w:hAnsi="Arial" w:cs="Arial"/>
          <w:b/>
          <w:sz w:val="22"/>
        </w:rPr>
        <w:t>José Luis Mercado Marino</w:t>
      </w:r>
    </w:p>
    <w:p w14:paraId="4AB3AD5B" w14:textId="77777777" w:rsidR="00361D26" w:rsidRPr="004E691C" w:rsidRDefault="00361D26" w:rsidP="00361D26">
      <w:pPr>
        <w:rPr>
          <w:rFonts w:ascii="Arial" w:eastAsia="Calibri" w:hAnsi="Arial" w:cs="Arial"/>
          <w:sz w:val="22"/>
        </w:rPr>
      </w:pPr>
      <w:r>
        <w:rPr>
          <w:rFonts w:ascii="Arial" w:eastAsia="Calibri" w:hAnsi="Arial" w:cs="Arial"/>
          <w:sz w:val="22"/>
        </w:rPr>
        <w:t>San Juan del César, La Guajira</w:t>
      </w:r>
    </w:p>
    <w:p w14:paraId="6A0E6747" w14:textId="77777777" w:rsidR="00361D26" w:rsidRPr="004E691C" w:rsidRDefault="00361D26" w:rsidP="00361D26">
      <w:pPr>
        <w:rPr>
          <w:rFonts w:ascii="Arial" w:eastAsia="Calibri" w:hAnsi="Arial" w:cs="Arial"/>
          <w:sz w:val="22"/>
        </w:rPr>
      </w:pPr>
    </w:p>
    <w:p w14:paraId="459D0C39" w14:textId="77777777" w:rsidR="00361D26" w:rsidRPr="004E691C" w:rsidRDefault="00361D26" w:rsidP="00361D26">
      <w:pPr>
        <w:rPr>
          <w:rFonts w:ascii="Arial" w:eastAsia="Calibri" w:hAnsi="Arial" w:cs="Arial"/>
          <w:sz w:val="22"/>
        </w:rPr>
      </w:pPr>
    </w:p>
    <w:p w14:paraId="34EAC318" w14:textId="4D603CE1" w:rsidR="00361D26" w:rsidRPr="004E691C" w:rsidRDefault="00361D26" w:rsidP="00361D26">
      <w:pPr>
        <w:jc w:val="center"/>
        <w:rPr>
          <w:rFonts w:ascii="Arial" w:eastAsia="Calibri" w:hAnsi="Arial" w:cs="Arial"/>
          <w:b/>
          <w:sz w:val="22"/>
        </w:rPr>
      </w:pPr>
      <w:r w:rsidRPr="004E691C">
        <w:rPr>
          <w:rFonts w:ascii="Arial" w:eastAsia="Calibri" w:hAnsi="Arial" w:cs="Arial"/>
          <w:b/>
          <w:sz w:val="22"/>
        </w:rPr>
        <w:t>Concepto C</w:t>
      </w:r>
      <w:r w:rsidR="004515B5">
        <w:rPr>
          <w:rFonts w:ascii="Arial" w:eastAsia="Calibri" w:hAnsi="Arial" w:cs="Arial"/>
          <w:b/>
          <w:sz w:val="22"/>
        </w:rPr>
        <w:t>–796</w:t>
      </w:r>
      <w:r w:rsidR="004515B5" w:rsidRPr="004E691C">
        <w:rPr>
          <w:rFonts w:ascii="Arial" w:eastAsia="Calibri" w:hAnsi="Arial" w:cs="Arial"/>
          <w:b/>
          <w:sz w:val="22"/>
        </w:rPr>
        <w:t xml:space="preserve"> </w:t>
      </w:r>
      <w:r w:rsidRPr="004E691C">
        <w:rPr>
          <w:rFonts w:ascii="Arial" w:eastAsia="Calibri" w:hAnsi="Arial" w:cs="Arial"/>
          <w:b/>
          <w:sz w:val="22"/>
        </w:rPr>
        <w:t>de 202</w:t>
      </w:r>
      <w:r w:rsidR="004515B5">
        <w:rPr>
          <w:rFonts w:ascii="Arial" w:eastAsia="Calibri" w:hAnsi="Arial" w:cs="Arial"/>
          <w:b/>
          <w:sz w:val="22"/>
        </w:rPr>
        <w:t>2</w:t>
      </w:r>
    </w:p>
    <w:p w14:paraId="2D4B4823" w14:textId="77777777" w:rsidR="00361D26" w:rsidRPr="004E691C" w:rsidRDefault="00361D26" w:rsidP="00361D26">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1D26" w:rsidRPr="004E691C" w14:paraId="04B1FB0B" w14:textId="77777777" w:rsidTr="003D76EA">
        <w:tc>
          <w:tcPr>
            <w:tcW w:w="2689" w:type="dxa"/>
            <w:hideMark/>
          </w:tcPr>
          <w:p w14:paraId="3C1B2714" w14:textId="77777777" w:rsidR="00361D26" w:rsidRPr="004E691C" w:rsidRDefault="00361D26" w:rsidP="003D76EA">
            <w:pPr>
              <w:rPr>
                <w:rFonts w:ascii="Arial" w:eastAsia="Calibri" w:hAnsi="Arial" w:cs="Arial"/>
                <w:sz w:val="22"/>
              </w:rPr>
            </w:pPr>
            <w:r w:rsidRPr="004E691C">
              <w:rPr>
                <w:rFonts w:ascii="Arial" w:eastAsia="Calibri" w:hAnsi="Arial" w:cs="Arial"/>
                <w:b/>
                <w:sz w:val="22"/>
              </w:rPr>
              <w:t>Temas:</w:t>
            </w:r>
            <w:r w:rsidRPr="004E691C">
              <w:rPr>
                <w:rFonts w:ascii="Arial" w:eastAsia="Calibri" w:hAnsi="Arial" w:cs="Arial"/>
                <w:sz w:val="22"/>
              </w:rPr>
              <w:t xml:space="preserve">           </w:t>
            </w:r>
          </w:p>
          <w:p w14:paraId="78B7053A" w14:textId="77777777" w:rsidR="00361D26" w:rsidRPr="004E691C" w:rsidRDefault="00361D26" w:rsidP="003D76EA">
            <w:pPr>
              <w:rPr>
                <w:rFonts w:ascii="Arial" w:eastAsia="Calibri" w:hAnsi="Arial" w:cs="Arial"/>
                <w:sz w:val="22"/>
              </w:rPr>
            </w:pPr>
            <w:r w:rsidRPr="004E691C">
              <w:rPr>
                <w:rFonts w:ascii="Arial" w:eastAsia="Calibri" w:hAnsi="Arial" w:cs="Arial"/>
                <w:sz w:val="22"/>
              </w:rPr>
              <w:t xml:space="preserve">                           </w:t>
            </w:r>
          </w:p>
        </w:tc>
        <w:tc>
          <w:tcPr>
            <w:tcW w:w="6237" w:type="dxa"/>
            <w:hideMark/>
          </w:tcPr>
          <w:p w14:paraId="20506F8B" w14:textId="77777777" w:rsidR="00361D26" w:rsidRDefault="00361D26" w:rsidP="004515B5">
            <w:pPr>
              <w:spacing w:after="120" w:line="276" w:lineRule="auto"/>
              <w:jc w:val="both"/>
              <w:rPr>
                <w:rFonts w:ascii="Arial" w:eastAsia="Calibri" w:hAnsi="Arial" w:cs="Arial"/>
                <w:bCs/>
                <w:sz w:val="22"/>
              </w:rPr>
            </w:pPr>
            <w:r w:rsidRPr="004E691C">
              <w:rPr>
                <w:rFonts w:ascii="Arial" w:eastAsia="Calibri" w:hAnsi="Arial" w:cs="Arial"/>
                <w:bCs/>
                <w:sz w:val="22"/>
              </w:rPr>
              <w:t>PAGO ANTICIPADO / ANTICIPO ─ Régimen legal ─ Facultad de pactarlos ─ PAGO ANTICIPADO / ANTICIPO – Límites – Aplicación – Tipo contractual / PAGO ANTICIPADO / ANTICIPO ─ Nociones ─ PAGO ANTICIPADO / ANTICIPO – Medidas de protección de los recursos entregados</w:t>
            </w:r>
          </w:p>
          <w:p w14:paraId="48D3E982" w14:textId="77777777" w:rsidR="00361D26" w:rsidRPr="004E691C" w:rsidRDefault="00361D26" w:rsidP="004515B5">
            <w:pPr>
              <w:spacing w:after="120"/>
              <w:jc w:val="both"/>
              <w:rPr>
                <w:rFonts w:ascii="Arial" w:hAnsi="Arial" w:cs="Arial"/>
                <w:b/>
                <w:bCs/>
                <w:sz w:val="22"/>
              </w:rPr>
            </w:pPr>
          </w:p>
        </w:tc>
      </w:tr>
      <w:tr w:rsidR="00361D26" w:rsidRPr="004E691C" w14:paraId="0BE77892" w14:textId="77777777" w:rsidTr="003D76EA">
        <w:tc>
          <w:tcPr>
            <w:tcW w:w="2689" w:type="dxa"/>
          </w:tcPr>
          <w:p w14:paraId="3AF88E2B" w14:textId="77777777" w:rsidR="00361D26" w:rsidRPr="004E691C" w:rsidRDefault="00361D26" w:rsidP="003D76EA">
            <w:pPr>
              <w:rPr>
                <w:rFonts w:ascii="Arial" w:eastAsia="Calibri" w:hAnsi="Arial" w:cs="Arial"/>
                <w:b/>
                <w:sz w:val="22"/>
              </w:rPr>
            </w:pPr>
            <w:r w:rsidRPr="004E691C">
              <w:rPr>
                <w:rFonts w:ascii="Arial" w:eastAsia="Calibri" w:hAnsi="Arial" w:cs="Arial"/>
                <w:b/>
                <w:sz w:val="22"/>
              </w:rPr>
              <w:t>Radicación:</w:t>
            </w:r>
            <w:r w:rsidRPr="004E691C">
              <w:rPr>
                <w:rFonts w:ascii="Arial" w:eastAsia="Calibri" w:hAnsi="Arial" w:cs="Arial"/>
                <w:sz w:val="22"/>
              </w:rPr>
              <w:t xml:space="preserve">                              </w:t>
            </w:r>
          </w:p>
        </w:tc>
        <w:tc>
          <w:tcPr>
            <w:tcW w:w="6237" w:type="dxa"/>
          </w:tcPr>
          <w:p w14:paraId="6C72D1CC" w14:textId="77777777" w:rsidR="00361D26" w:rsidRPr="004E691C" w:rsidRDefault="00361D26" w:rsidP="003D76EA">
            <w:pPr>
              <w:jc w:val="both"/>
              <w:rPr>
                <w:rFonts w:ascii="Arial" w:eastAsia="Calibri" w:hAnsi="Arial" w:cs="Arial"/>
                <w:sz w:val="22"/>
              </w:rPr>
            </w:pPr>
            <w:r w:rsidRPr="004E691C">
              <w:rPr>
                <w:rFonts w:ascii="Arial" w:eastAsia="Calibri" w:hAnsi="Arial" w:cs="Arial"/>
                <w:sz w:val="22"/>
              </w:rPr>
              <w:t xml:space="preserve">Respuesta a consulta </w:t>
            </w:r>
            <w:r w:rsidRPr="007A311F">
              <w:rPr>
                <w:rFonts w:ascii="Arial" w:eastAsia="Calibri" w:hAnsi="Arial" w:cs="Arial"/>
                <w:sz w:val="22"/>
              </w:rPr>
              <w:t>P20221007010135</w:t>
            </w:r>
          </w:p>
        </w:tc>
      </w:tr>
    </w:tbl>
    <w:p w14:paraId="4A093D73" w14:textId="77777777" w:rsidR="00361D26" w:rsidRPr="004E691C" w:rsidRDefault="00361D26" w:rsidP="00361D26">
      <w:pPr>
        <w:jc w:val="both"/>
        <w:rPr>
          <w:rFonts w:ascii="Arial" w:eastAsia="Calibri" w:hAnsi="Arial" w:cs="Arial"/>
          <w:sz w:val="22"/>
        </w:rPr>
      </w:pPr>
    </w:p>
    <w:p w14:paraId="5F873865" w14:textId="77777777" w:rsidR="00361D26" w:rsidRPr="004E691C" w:rsidRDefault="00361D26" w:rsidP="00361D26">
      <w:pPr>
        <w:rPr>
          <w:rFonts w:ascii="Arial" w:eastAsia="Calibri" w:hAnsi="Arial" w:cs="Arial"/>
          <w:sz w:val="22"/>
        </w:rPr>
      </w:pPr>
    </w:p>
    <w:p w14:paraId="618B6FCD" w14:textId="77777777" w:rsidR="00361D26" w:rsidRPr="004E691C" w:rsidRDefault="00361D26" w:rsidP="00361D26">
      <w:pPr>
        <w:rPr>
          <w:rFonts w:ascii="Arial" w:eastAsia="Calibri" w:hAnsi="Arial" w:cs="Arial"/>
          <w:sz w:val="22"/>
        </w:rPr>
      </w:pPr>
      <w:r w:rsidRPr="004E691C">
        <w:rPr>
          <w:rFonts w:ascii="Arial" w:eastAsia="Calibri" w:hAnsi="Arial" w:cs="Arial"/>
          <w:sz w:val="22"/>
        </w:rPr>
        <w:t>Estimad</w:t>
      </w:r>
      <w:r>
        <w:rPr>
          <w:rFonts w:ascii="Arial" w:eastAsia="Calibri" w:hAnsi="Arial" w:cs="Arial"/>
          <w:sz w:val="22"/>
        </w:rPr>
        <w:t xml:space="preserve">o señor Mercado, </w:t>
      </w:r>
    </w:p>
    <w:p w14:paraId="3D4D0801" w14:textId="77777777" w:rsidR="00361D26" w:rsidRPr="004E691C" w:rsidRDefault="00361D26" w:rsidP="00361D26">
      <w:pPr>
        <w:rPr>
          <w:rFonts w:ascii="Arial" w:eastAsia="Calibri" w:hAnsi="Arial" w:cs="Arial"/>
          <w:sz w:val="22"/>
        </w:rPr>
      </w:pPr>
    </w:p>
    <w:p w14:paraId="4F38E3DB" w14:textId="77777777" w:rsidR="00361D26" w:rsidRDefault="00361D26" w:rsidP="00361D26">
      <w:pPr>
        <w:spacing w:line="276" w:lineRule="auto"/>
        <w:jc w:val="both"/>
        <w:rPr>
          <w:rFonts w:ascii="Arial" w:eastAsia="Calibri" w:hAnsi="Arial" w:cs="Arial"/>
          <w:sz w:val="22"/>
          <w:lang w:val="es-ES_tradnl"/>
        </w:rPr>
      </w:pPr>
      <w:r>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 responde su consulta del 7 de octubre del 2022.</w:t>
      </w:r>
    </w:p>
    <w:p w14:paraId="548A2C10" w14:textId="77777777" w:rsidR="00361D26" w:rsidRPr="004E691C" w:rsidRDefault="00361D26" w:rsidP="00361D26">
      <w:pPr>
        <w:spacing w:line="276" w:lineRule="auto"/>
        <w:jc w:val="both"/>
        <w:rPr>
          <w:rFonts w:ascii="Arial" w:eastAsia="Calibri" w:hAnsi="Arial" w:cs="Arial"/>
          <w:sz w:val="22"/>
        </w:rPr>
      </w:pPr>
    </w:p>
    <w:p w14:paraId="53C9440B" w14:textId="77777777" w:rsidR="00361D26" w:rsidRPr="004E691C" w:rsidRDefault="00361D26" w:rsidP="00361D26">
      <w:pPr>
        <w:pStyle w:val="Prrafodelista"/>
        <w:numPr>
          <w:ilvl w:val="0"/>
          <w:numId w:val="2"/>
        </w:numPr>
        <w:tabs>
          <w:tab w:val="left" w:pos="284"/>
        </w:tabs>
        <w:spacing w:line="276" w:lineRule="auto"/>
        <w:ind w:left="0" w:firstLine="0"/>
        <w:jc w:val="both"/>
        <w:rPr>
          <w:rFonts w:ascii="Arial" w:eastAsia="Calibri" w:hAnsi="Arial" w:cs="Arial"/>
          <w:b/>
          <w:sz w:val="22"/>
        </w:rPr>
      </w:pPr>
      <w:r w:rsidRPr="004E691C">
        <w:rPr>
          <w:rFonts w:ascii="Arial" w:eastAsia="Calibri" w:hAnsi="Arial" w:cs="Arial"/>
          <w:b/>
          <w:sz w:val="22"/>
        </w:rPr>
        <w:t xml:space="preserve">Problemas planteados </w:t>
      </w:r>
    </w:p>
    <w:p w14:paraId="6B4438DA" w14:textId="77777777" w:rsidR="00361D26" w:rsidRPr="004E691C" w:rsidRDefault="00361D26" w:rsidP="00361D26">
      <w:pPr>
        <w:tabs>
          <w:tab w:val="left" w:pos="426"/>
        </w:tabs>
        <w:spacing w:line="276" w:lineRule="auto"/>
        <w:jc w:val="both"/>
        <w:rPr>
          <w:rFonts w:ascii="Arial" w:eastAsia="Calibri" w:hAnsi="Arial" w:cs="Arial"/>
          <w:b/>
          <w:sz w:val="22"/>
        </w:rPr>
      </w:pPr>
    </w:p>
    <w:p w14:paraId="334601C0" w14:textId="77777777" w:rsidR="00361D26" w:rsidRPr="00FF7D32" w:rsidRDefault="00361D26" w:rsidP="00361D26">
      <w:pPr>
        <w:jc w:val="both"/>
        <w:rPr>
          <w:rFonts w:ascii="Arial" w:eastAsia="Calibri" w:hAnsi="Arial" w:cs="Arial"/>
          <w:sz w:val="22"/>
          <w:szCs w:val="22"/>
        </w:rPr>
      </w:pPr>
      <w:r w:rsidRPr="004E691C">
        <w:rPr>
          <w:rFonts w:ascii="Arial" w:eastAsia="Calibri" w:hAnsi="Arial" w:cs="Arial"/>
          <w:sz w:val="22"/>
        </w:rPr>
        <w:t xml:space="preserve">Usted realiza </w:t>
      </w:r>
      <w:r w:rsidRPr="00FF7D32">
        <w:rPr>
          <w:rFonts w:ascii="Arial" w:eastAsia="Calibri" w:hAnsi="Arial" w:cs="Arial"/>
          <w:sz w:val="22"/>
          <w:szCs w:val="22"/>
        </w:rPr>
        <w:t xml:space="preserve">la siguiente pregunta, teniendo en cuenta la definición de anticipo que establece el Consejo de Estado en una de sus sentencias, en la que expresa </w:t>
      </w:r>
    </w:p>
    <w:p w14:paraId="1FBDF4A6" w14:textId="77777777" w:rsidR="00361D26" w:rsidRPr="00FF7D32" w:rsidRDefault="00361D26" w:rsidP="00361D26">
      <w:pPr>
        <w:ind w:right="709"/>
        <w:jc w:val="both"/>
        <w:rPr>
          <w:rFonts w:ascii="Arial" w:eastAsia="Calibri" w:hAnsi="Arial" w:cs="Arial"/>
          <w:sz w:val="22"/>
          <w:szCs w:val="22"/>
        </w:rPr>
      </w:pPr>
    </w:p>
    <w:p w14:paraId="555F4C3C" w14:textId="1A27BC6C" w:rsidR="00361D26" w:rsidRDefault="00361D26" w:rsidP="00361D26">
      <w:pPr>
        <w:ind w:left="708" w:right="709"/>
        <w:jc w:val="both"/>
        <w:rPr>
          <w:rFonts w:ascii="Arial" w:hAnsi="Arial" w:cs="Arial"/>
          <w:sz w:val="21"/>
          <w:szCs w:val="21"/>
        </w:rPr>
      </w:pPr>
      <w:r>
        <w:rPr>
          <w:rFonts w:ascii="Arial" w:eastAsia="Calibri" w:hAnsi="Arial" w:cs="Arial"/>
          <w:sz w:val="21"/>
          <w:szCs w:val="21"/>
        </w:rPr>
        <w:t>«</w:t>
      </w:r>
      <w:r>
        <w:rPr>
          <w:rFonts w:ascii="Arial" w:hAnsi="Arial" w:cs="Arial"/>
          <w:sz w:val="21"/>
          <w:szCs w:val="21"/>
        </w:rPr>
        <w:t xml:space="preserve">“se </w:t>
      </w:r>
      <w:r w:rsidRPr="0084465E">
        <w:rPr>
          <w:rFonts w:ascii="Arial" w:hAnsi="Arial" w:cs="Arial"/>
          <w:sz w:val="21"/>
          <w:szCs w:val="21"/>
        </w:rPr>
        <w:t>han considerado públicos u oficiales los recursos y de la exclusiva propiedad del ente estatal constituyéndose en un adelanto, avance o anticipo del precio no causado para la iniciación del objeto contractual, los trabajos o servicios, la atención de los gastos preliminares y su aplicación a los fines del contrato, que sólo se incorporan al patrimonio del contratista e implican un pago en la medida de su amortización</w:t>
      </w:r>
      <w:r>
        <w:rPr>
          <w:rFonts w:ascii="Arial" w:hAnsi="Arial" w:cs="Arial"/>
          <w:sz w:val="21"/>
          <w:szCs w:val="21"/>
        </w:rPr>
        <w:t>”</w:t>
      </w:r>
      <w:r w:rsidRPr="0084465E">
        <w:rPr>
          <w:rFonts w:ascii="Arial" w:hAnsi="Arial" w:cs="Arial"/>
          <w:sz w:val="21"/>
          <w:szCs w:val="21"/>
        </w:rPr>
        <w:t xml:space="preserve">. </w:t>
      </w:r>
    </w:p>
    <w:p w14:paraId="0174487D" w14:textId="77777777" w:rsidR="00361D26" w:rsidRDefault="00361D26" w:rsidP="00361D26">
      <w:pPr>
        <w:ind w:left="708" w:right="709"/>
        <w:jc w:val="both"/>
        <w:rPr>
          <w:rFonts w:ascii="Arial" w:hAnsi="Arial" w:cs="Arial"/>
          <w:sz w:val="21"/>
          <w:szCs w:val="21"/>
        </w:rPr>
      </w:pPr>
    </w:p>
    <w:p w14:paraId="43FC8206" w14:textId="77777777" w:rsidR="00361D26" w:rsidRDefault="00361D26" w:rsidP="00361D26">
      <w:pPr>
        <w:ind w:left="709" w:right="709"/>
        <w:jc w:val="both"/>
        <w:rPr>
          <w:rFonts w:ascii="Arial" w:hAnsi="Arial" w:cs="Arial"/>
          <w:sz w:val="21"/>
          <w:szCs w:val="21"/>
        </w:rPr>
      </w:pPr>
      <w:r w:rsidRPr="0084465E">
        <w:rPr>
          <w:rFonts w:ascii="Arial" w:hAnsi="Arial" w:cs="Arial"/>
          <w:sz w:val="21"/>
          <w:szCs w:val="21"/>
        </w:rPr>
        <w:lastRenderedPageBreak/>
        <w:t xml:space="preserve">Cuando se dice: “avance o anticipo del precio no causado para la iniciación del objeto contractual, los trabajos o servicios…” </w:t>
      </w:r>
    </w:p>
    <w:p w14:paraId="4914ED0E" w14:textId="77777777" w:rsidR="00361D26" w:rsidRDefault="00361D26" w:rsidP="00361D26">
      <w:pPr>
        <w:ind w:left="709" w:right="709"/>
        <w:jc w:val="both"/>
        <w:rPr>
          <w:rFonts w:ascii="Arial" w:hAnsi="Arial" w:cs="Arial"/>
          <w:sz w:val="21"/>
          <w:szCs w:val="21"/>
        </w:rPr>
      </w:pPr>
    </w:p>
    <w:p w14:paraId="42D719DD" w14:textId="77777777" w:rsidR="00361D26" w:rsidRDefault="00361D26" w:rsidP="00361D26">
      <w:pPr>
        <w:ind w:left="709" w:right="709"/>
        <w:jc w:val="both"/>
        <w:rPr>
          <w:rFonts w:ascii="Arial" w:hAnsi="Arial" w:cs="Arial"/>
          <w:sz w:val="21"/>
          <w:szCs w:val="21"/>
        </w:rPr>
      </w:pPr>
      <w:r w:rsidRPr="0084465E">
        <w:rPr>
          <w:rFonts w:ascii="Arial" w:hAnsi="Arial" w:cs="Arial"/>
          <w:sz w:val="21"/>
          <w:szCs w:val="21"/>
        </w:rPr>
        <w:t xml:space="preserve">¿Este podría aplicarse también a los contratos de prestación de servicios? </w:t>
      </w:r>
    </w:p>
    <w:p w14:paraId="5107FCB7" w14:textId="77777777" w:rsidR="00361D26" w:rsidRDefault="00361D26" w:rsidP="00361D26">
      <w:pPr>
        <w:ind w:left="709" w:right="709"/>
        <w:jc w:val="both"/>
        <w:rPr>
          <w:rFonts w:ascii="Arial" w:hAnsi="Arial" w:cs="Arial"/>
          <w:sz w:val="21"/>
          <w:szCs w:val="21"/>
        </w:rPr>
      </w:pPr>
    </w:p>
    <w:p w14:paraId="3A76D29F" w14:textId="77777777" w:rsidR="00361D26" w:rsidRPr="0084465E" w:rsidRDefault="00361D26" w:rsidP="00361D26">
      <w:pPr>
        <w:ind w:left="709" w:right="709"/>
        <w:jc w:val="both"/>
        <w:rPr>
          <w:rFonts w:ascii="Arial" w:hAnsi="Arial" w:cs="Arial"/>
          <w:sz w:val="21"/>
          <w:szCs w:val="21"/>
        </w:rPr>
      </w:pPr>
      <w:r w:rsidRPr="0084465E">
        <w:rPr>
          <w:rFonts w:ascii="Arial" w:hAnsi="Arial" w:cs="Arial"/>
          <w:sz w:val="21"/>
          <w:szCs w:val="21"/>
        </w:rPr>
        <w:t>Ya que en estos se precisa que entre contratante y contratista debe existir una relación de coordinación de actividades, Lo dicho no supone subordinación, solo se coordinan con el contratante determinados aspectos acerca de la consecución de la labor ¿uno de esos aspectos podría ser un anticipo o pago anticipado con sus respectivas garantías?</w:t>
      </w:r>
      <w:r>
        <w:rPr>
          <w:rFonts w:ascii="Arial" w:hAnsi="Arial" w:cs="Arial"/>
          <w:sz w:val="21"/>
          <w:szCs w:val="21"/>
        </w:rPr>
        <w:t>»</w:t>
      </w:r>
    </w:p>
    <w:p w14:paraId="34ADE0D2" w14:textId="77777777" w:rsidR="00361D26" w:rsidRPr="004E691C" w:rsidRDefault="00361D26" w:rsidP="00361D26">
      <w:pPr>
        <w:tabs>
          <w:tab w:val="left" w:pos="426"/>
        </w:tabs>
        <w:spacing w:line="276" w:lineRule="auto"/>
        <w:jc w:val="both"/>
        <w:rPr>
          <w:rFonts w:ascii="Arial" w:eastAsia="Calibri" w:hAnsi="Arial" w:cs="Arial"/>
          <w:sz w:val="22"/>
        </w:rPr>
      </w:pPr>
    </w:p>
    <w:p w14:paraId="0D96A817" w14:textId="77777777" w:rsidR="00361D26" w:rsidRPr="004E691C" w:rsidRDefault="00361D26" w:rsidP="00361D26">
      <w:pPr>
        <w:pStyle w:val="Prrafodelista"/>
        <w:numPr>
          <w:ilvl w:val="0"/>
          <w:numId w:val="2"/>
        </w:numPr>
        <w:tabs>
          <w:tab w:val="left" w:pos="426"/>
        </w:tabs>
        <w:spacing w:line="276" w:lineRule="auto"/>
        <w:ind w:left="0" w:firstLine="0"/>
        <w:jc w:val="both"/>
        <w:rPr>
          <w:rFonts w:ascii="Arial" w:eastAsia="Calibri" w:hAnsi="Arial" w:cs="Arial"/>
          <w:b/>
          <w:sz w:val="22"/>
        </w:rPr>
      </w:pPr>
      <w:r w:rsidRPr="004E691C">
        <w:rPr>
          <w:rFonts w:ascii="Arial" w:eastAsia="Calibri" w:hAnsi="Arial" w:cs="Arial"/>
          <w:b/>
          <w:sz w:val="22"/>
        </w:rPr>
        <w:t>Consideraciones</w:t>
      </w:r>
    </w:p>
    <w:p w14:paraId="67BB3EFD" w14:textId="77777777" w:rsidR="00361D26" w:rsidRPr="004E691C" w:rsidRDefault="00361D26" w:rsidP="00361D26">
      <w:pPr>
        <w:spacing w:before="120" w:line="276" w:lineRule="auto"/>
        <w:jc w:val="both"/>
        <w:rPr>
          <w:rFonts w:ascii="Arial" w:eastAsia="Calibri" w:hAnsi="Arial" w:cs="Arial"/>
          <w:sz w:val="22"/>
        </w:rPr>
      </w:pPr>
      <w:r w:rsidRPr="004E691C">
        <w:rPr>
          <w:rFonts w:ascii="Arial" w:hAnsi="Arial" w:cs="Arial"/>
          <w:sz w:val="22"/>
        </w:rPr>
        <w:t xml:space="preserve">La Agencia Nacional de Contratación Pública ― Colombia Compra Eficiente </w:t>
      </w:r>
      <w:r w:rsidRPr="004E691C">
        <w:rPr>
          <w:rFonts w:ascii="Arial" w:eastAsia="Calibri" w:hAnsi="Arial" w:cs="Arial"/>
          <w:sz w:val="22"/>
        </w:rPr>
        <w:t>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y 4201814000000698 del 14 de abril de 2018, abordó el análisis y estudio de la facultad de las entidades estatales para pactar el pago anticipado y entrega de anticipo en los contratos estatales.</w:t>
      </w:r>
      <w:r>
        <w:rPr>
          <w:rFonts w:ascii="Arial" w:eastAsia="Calibri" w:hAnsi="Arial" w:cs="Arial"/>
          <w:sz w:val="22"/>
        </w:rPr>
        <w:t xml:space="preserve"> Así mismo, en el concepto C-209 de 2020 analizó la procedencia del anticipo en los contratos de prestación de servicios.</w:t>
      </w:r>
      <w:r w:rsidRPr="004E691C">
        <w:rPr>
          <w:rFonts w:ascii="Arial" w:eastAsia="Calibri" w:hAnsi="Arial" w:cs="Arial"/>
          <w:sz w:val="22"/>
        </w:rPr>
        <w:t xml:space="preserve"> La tesis desarrollada en estos conceptos es la que se expone a continuación. </w:t>
      </w:r>
    </w:p>
    <w:p w14:paraId="156C5870" w14:textId="77777777" w:rsidR="00361D26" w:rsidRPr="004E691C" w:rsidRDefault="00361D26" w:rsidP="00361D26">
      <w:pPr>
        <w:spacing w:before="120" w:line="276" w:lineRule="auto"/>
        <w:ind w:firstLine="709"/>
        <w:jc w:val="both"/>
        <w:rPr>
          <w:rFonts w:ascii="Arial" w:eastAsia="Calibri" w:hAnsi="Arial" w:cs="Arial"/>
          <w:sz w:val="22"/>
        </w:rPr>
      </w:pPr>
      <w:r w:rsidRPr="004E691C">
        <w:rPr>
          <w:rFonts w:ascii="Arial" w:eastAsia="Calibri" w:hAnsi="Arial" w:cs="Arial"/>
          <w:sz w:val="22"/>
        </w:rPr>
        <w:t>Conforme a las disposiciones que regulan el régimen de contratación pública, las entidades estatales se encuentran facultadas para pactar ya sea el pago anticipado del negocio jurídico o la entrega de anticipos como mecanismo de financiación para la adecuada ejecución del mismo. Al efecto, el parágrafo del artículo 40 de la Ley 80 de 1993, preceptúa:</w:t>
      </w:r>
    </w:p>
    <w:p w14:paraId="78898312" w14:textId="77777777" w:rsidR="00361D26" w:rsidRPr="004E691C" w:rsidRDefault="00361D26" w:rsidP="00361D26">
      <w:pPr>
        <w:ind w:firstLine="709"/>
        <w:jc w:val="both"/>
        <w:rPr>
          <w:rFonts w:ascii="Arial" w:eastAsia="Calibri" w:hAnsi="Arial" w:cs="Arial"/>
          <w:sz w:val="22"/>
        </w:rPr>
      </w:pPr>
    </w:p>
    <w:p w14:paraId="4E764731" w14:textId="77777777" w:rsidR="00361D26" w:rsidRPr="004E691C" w:rsidRDefault="00361D26" w:rsidP="00361D26">
      <w:pPr>
        <w:ind w:left="709" w:right="709"/>
        <w:jc w:val="both"/>
        <w:rPr>
          <w:rFonts w:ascii="Arial" w:eastAsia="Calibri" w:hAnsi="Arial" w:cs="Arial"/>
          <w:sz w:val="21"/>
          <w:szCs w:val="21"/>
        </w:rPr>
      </w:pPr>
      <w:r w:rsidRPr="004E691C">
        <w:rPr>
          <w:rFonts w:ascii="Arial" w:eastAsia="Calibri" w:hAnsi="Arial" w:cs="Arial"/>
          <w:b/>
          <w:bCs/>
          <w:sz w:val="21"/>
          <w:szCs w:val="21"/>
        </w:rPr>
        <w:t>PARÁGRAFO</w:t>
      </w:r>
      <w:r w:rsidRPr="004E691C">
        <w:rPr>
          <w:rFonts w:ascii="Arial" w:eastAsia="Calibri" w:hAnsi="Arial" w:cs="Arial"/>
          <w:sz w:val="21"/>
          <w:szCs w:val="21"/>
        </w:rPr>
        <w:t>. En los contratos que celebren las entidades estatales se podrá pactar el pago anticipado y la entrega de anticipos, pero su monto no podrá exceder del cincuenta por ciento (50%) del valor del respectivo contrato.</w:t>
      </w:r>
    </w:p>
    <w:p w14:paraId="2A96142B" w14:textId="77777777" w:rsidR="00361D26" w:rsidRPr="004E691C" w:rsidRDefault="00361D26" w:rsidP="00361D26">
      <w:pPr>
        <w:ind w:left="709" w:right="709"/>
        <w:jc w:val="both"/>
        <w:rPr>
          <w:rFonts w:ascii="Arial" w:eastAsia="Calibri" w:hAnsi="Arial" w:cs="Arial"/>
          <w:sz w:val="21"/>
          <w:szCs w:val="21"/>
        </w:rPr>
      </w:pPr>
    </w:p>
    <w:p w14:paraId="5A9088A4" w14:textId="77777777" w:rsidR="00361D26" w:rsidRPr="004E691C" w:rsidRDefault="00361D26" w:rsidP="00361D26">
      <w:pPr>
        <w:spacing w:after="120" w:line="276" w:lineRule="auto"/>
        <w:ind w:firstLine="709"/>
        <w:jc w:val="both"/>
        <w:rPr>
          <w:rFonts w:ascii="Arial" w:eastAsia="Calibri" w:hAnsi="Arial" w:cs="Arial"/>
          <w:sz w:val="22"/>
        </w:rPr>
      </w:pPr>
      <w:r w:rsidRPr="004E691C">
        <w:rPr>
          <w:rFonts w:ascii="Arial" w:eastAsia="Calibri" w:hAnsi="Arial" w:cs="Arial"/>
          <w:sz w:val="22"/>
        </w:rPr>
        <w:t xml:space="preserve">La citada disposición, además de contener la facultad expresa mencionada, establece un límite al ejercicio de la misma, pues el pago anticipado o la entrega del anticipo no podrá superar el cincuenta por ciento [50%] del valor o precio del negocio jurídico celebrado por la entidad estatal. </w:t>
      </w:r>
    </w:p>
    <w:p w14:paraId="75D6DF4E" w14:textId="77777777" w:rsidR="00361D26" w:rsidRPr="004E691C" w:rsidRDefault="00361D26" w:rsidP="00361D26">
      <w:pPr>
        <w:spacing w:before="120" w:after="120" w:line="276" w:lineRule="auto"/>
        <w:ind w:firstLine="709"/>
        <w:jc w:val="both"/>
        <w:rPr>
          <w:rFonts w:ascii="Arial" w:eastAsia="Calibri" w:hAnsi="Arial" w:cs="Arial"/>
          <w:sz w:val="22"/>
        </w:rPr>
      </w:pPr>
      <w:r w:rsidRPr="004E691C">
        <w:rPr>
          <w:rFonts w:ascii="Arial" w:eastAsia="Calibri" w:hAnsi="Arial" w:cs="Arial"/>
          <w:sz w:val="22"/>
        </w:rPr>
        <w:t xml:space="preserve">Otro aspecto que se debe destacar, del citado precepto normativo, es que no restringe el tipo de contratos estatales a los cuales es aplicable esa facultad, ni limita la </w:t>
      </w:r>
      <w:r w:rsidRPr="004E691C">
        <w:rPr>
          <w:rFonts w:ascii="Arial" w:eastAsia="Calibri" w:hAnsi="Arial" w:cs="Arial"/>
          <w:sz w:val="22"/>
        </w:rPr>
        <w:lastRenderedPageBreak/>
        <w:t>posibilidad de pactar anticipo o pago anticipado en contratos de tracto sucesivo o en contratos de ejecución instantánea.</w:t>
      </w:r>
    </w:p>
    <w:p w14:paraId="4F41AA79" w14:textId="77777777" w:rsidR="00361D26" w:rsidRDefault="00361D26" w:rsidP="00361D26">
      <w:pPr>
        <w:spacing w:before="120" w:line="276" w:lineRule="auto"/>
        <w:ind w:firstLine="709"/>
        <w:jc w:val="both"/>
        <w:rPr>
          <w:rFonts w:ascii="Arial" w:eastAsia="Calibri" w:hAnsi="Arial" w:cs="Arial"/>
          <w:sz w:val="22"/>
        </w:rPr>
      </w:pPr>
      <w:r w:rsidRPr="004E691C">
        <w:rPr>
          <w:rFonts w:ascii="Arial" w:eastAsia="Calibri" w:hAnsi="Arial" w:cs="Arial"/>
          <w:sz w:val="22"/>
        </w:rPr>
        <w:t>En cuanto a la naturaleza y alcance de los conceptos de pago anticipado y anticipo, la Sala Plena de lo Contencioso Administrativo del Consejo de Estado, a partir de la definición de anticipo realizada por la Sección Tercera de esa misma corporación judicial, afirmó</w:t>
      </w:r>
      <w:r w:rsidRPr="004E691C">
        <w:rPr>
          <w:rStyle w:val="Refdenotaalpie"/>
          <w:rFonts w:ascii="Arial" w:eastAsia="Calibri" w:hAnsi="Arial" w:cs="Arial"/>
          <w:sz w:val="22"/>
        </w:rPr>
        <w:footnoteReference w:id="1"/>
      </w:r>
      <w:r w:rsidRPr="004E691C">
        <w:rPr>
          <w:rFonts w:ascii="Arial" w:eastAsia="Calibri" w:hAnsi="Arial" w:cs="Arial"/>
          <w:sz w:val="22"/>
        </w:rPr>
        <w:t>:</w:t>
      </w:r>
    </w:p>
    <w:p w14:paraId="332F5F85" w14:textId="77777777" w:rsidR="009465CE" w:rsidRPr="004E691C" w:rsidRDefault="009465CE" w:rsidP="004515B5">
      <w:pPr>
        <w:spacing w:line="276" w:lineRule="auto"/>
        <w:ind w:firstLine="709"/>
        <w:jc w:val="both"/>
        <w:rPr>
          <w:rFonts w:ascii="Arial" w:eastAsia="Calibri" w:hAnsi="Arial" w:cs="Arial"/>
          <w:sz w:val="22"/>
        </w:rPr>
      </w:pPr>
    </w:p>
    <w:p w14:paraId="4F073D1E" w14:textId="770CB5D0" w:rsidR="00361D26" w:rsidRPr="004E691C" w:rsidRDefault="00361D26" w:rsidP="00361D26">
      <w:pPr>
        <w:ind w:left="709" w:right="709"/>
        <w:jc w:val="both"/>
        <w:rPr>
          <w:rFonts w:ascii="Arial" w:eastAsia="Calibri" w:hAnsi="Arial" w:cs="Arial"/>
          <w:sz w:val="21"/>
          <w:szCs w:val="21"/>
        </w:rPr>
      </w:pPr>
      <w:r w:rsidRPr="004E691C">
        <w:rPr>
          <w:rFonts w:ascii="Arial" w:eastAsia="Calibri" w:hAnsi="Arial" w:cs="Arial"/>
          <w:sz w:val="21"/>
          <w:szCs w:val="21"/>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4E691C">
        <w:rPr>
          <w:rFonts w:ascii="Arial" w:eastAsia="Calibri" w:hAnsi="Arial" w:cs="Arial"/>
          <w:sz w:val="21"/>
          <w:szCs w:val="21"/>
        </w:rPr>
        <w:t>etc</w:t>
      </w:r>
      <w:proofErr w:type="spellEnd"/>
      <w:r w:rsidRPr="004E691C">
        <w:rPr>
          <w:rFonts w:ascii="Arial" w:eastAsia="Calibri" w:hAnsi="Arial" w:cs="Arial"/>
          <w:sz w:val="21"/>
          <w:szCs w:val="21"/>
        </w:rPr>
        <w:t xml:space="preserve">). En segunda instancia el anticipo, en su resultado, constituye una obligación del contratista y un derecho del contratante, en los siguientes aspectos: </w:t>
      </w:r>
      <w:r w:rsidRPr="004E691C">
        <w:rPr>
          <w:rFonts w:ascii="Arial" w:eastAsia="Calibri" w:hAnsi="Arial" w:cs="Arial"/>
          <w:i/>
          <w:iCs/>
          <w:sz w:val="21"/>
          <w:szCs w:val="21"/>
        </w:rPr>
        <w:t>-De inversión en los objetos determinados en el contrato y de pago por amortización, por parte del contratista.</w:t>
      </w:r>
      <w:r w:rsidRPr="004E691C">
        <w:rPr>
          <w:rFonts w:ascii="Arial" w:eastAsia="Calibri" w:hAnsi="Arial" w:cs="Arial"/>
          <w:sz w:val="21"/>
          <w:szCs w:val="21"/>
        </w:rPr>
        <w:t xml:space="preserve"> -De recibir, por amortización, y/o hacer efectiva la garantía de anticipo, o de cumplimiento, según el Estatuto de Contratación vigente, por parte del contratante</w:t>
      </w:r>
      <w:r w:rsidRPr="004E691C">
        <w:rPr>
          <w:rFonts w:ascii="Arial" w:eastAsia="Calibri" w:hAnsi="Arial" w:cs="Arial"/>
          <w:b/>
          <w:bCs/>
          <w:sz w:val="21"/>
          <w:szCs w:val="21"/>
        </w:rPr>
        <w:t xml:space="preserve">, </w:t>
      </w:r>
      <w:r w:rsidRPr="004E691C">
        <w:rPr>
          <w:rFonts w:ascii="Arial" w:eastAsia="Calibri" w:hAnsi="Arial" w:cs="Arial"/>
          <w:i/>
          <w:iCs/>
          <w:sz w:val="21"/>
          <w:szCs w:val="21"/>
        </w:rPr>
        <w:t>por hechos del contratista que impliquen mal manejo o incorrecta inversión de los dineros de propiedad pública</w:t>
      </w:r>
      <w:r w:rsidRPr="004E691C">
        <w:rPr>
          <w:rFonts w:ascii="Arial" w:eastAsia="Calibri" w:hAnsi="Arial" w:cs="Arial"/>
          <w:sz w:val="21"/>
          <w:szCs w:val="21"/>
        </w:rPr>
        <w:t>. Las partes contratantes, acuerdan además en el contrato, las condiciones de efectividad, la proporción con el valor del contrato, la oportunidad en que debe entregarse, la vigilancia Estatal sobre las sumas y las amortizaciones». (Cursiva fuera del original).</w:t>
      </w:r>
    </w:p>
    <w:p w14:paraId="63C092D2" w14:textId="77777777" w:rsidR="00361D26" w:rsidRPr="004E691C" w:rsidRDefault="00361D26" w:rsidP="00361D26">
      <w:pPr>
        <w:ind w:left="709" w:right="709"/>
        <w:jc w:val="both"/>
        <w:rPr>
          <w:rFonts w:ascii="Arial" w:eastAsia="Calibri" w:hAnsi="Arial" w:cs="Arial"/>
          <w:sz w:val="21"/>
          <w:szCs w:val="21"/>
        </w:rPr>
      </w:pPr>
      <w:r w:rsidRPr="004E691C">
        <w:rPr>
          <w:rFonts w:ascii="Arial" w:eastAsia="Calibri" w:hAnsi="Arial" w:cs="Arial"/>
          <w:sz w:val="21"/>
          <w:szCs w:val="21"/>
        </w:rPr>
        <w:t xml:space="preserve"> </w:t>
      </w:r>
    </w:p>
    <w:p w14:paraId="6DCD63D8" w14:textId="77777777" w:rsidR="00361D26" w:rsidRPr="004E691C" w:rsidRDefault="00361D26" w:rsidP="00361D26">
      <w:pPr>
        <w:ind w:left="709" w:right="709"/>
        <w:jc w:val="both"/>
        <w:rPr>
          <w:rFonts w:ascii="Arial" w:eastAsia="Calibri" w:hAnsi="Arial" w:cs="Arial"/>
          <w:sz w:val="22"/>
        </w:rPr>
      </w:pPr>
      <w:r w:rsidRPr="004E691C">
        <w:rPr>
          <w:rFonts w:ascii="Arial" w:eastAsia="Calibri" w:hAnsi="Arial" w:cs="Arial"/>
          <w:sz w:val="21"/>
          <w:szCs w:val="21"/>
        </w:rPr>
        <w:t>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favor del congresista demandado, tal como se acreditó en el proceso, configura la causal de pérdida de investidura de congresista prevista en el artículo 183.4 de la Constitución Nacional y artículo  296.4  de la Ley 5 de 1992.</w:t>
      </w:r>
    </w:p>
    <w:p w14:paraId="7B7C4256" w14:textId="77777777" w:rsidR="00361D26" w:rsidRPr="004E691C" w:rsidRDefault="00361D26" w:rsidP="00361D26">
      <w:pPr>
        <w:spacing w:line="276" w:lineRule="auto"/>
        <w:ind w:firstLine="709"/>
        <w:jc w:val="both"/>
        <w:rPr>
          <w:rFonts w:ascii="Arial" w:eastAsia="Calibri" w:hAnsi="Arial" w:cs="Arial"/>
          <w:sz w:val="22"/>
        </w:rPr>
      </w:pPr>
    </w:p>
    <w:p w14:paraId="6909DA98" w14:textId="77777777" w:rsidR="00361D26" w:rsidRPr="004E691C" w:rsidRDefault="00361D26" w:rsidP="00BA5012">
      <w:pPr>
        <w:spacing w:line="276" w:lineRule="auto"/>
        <w:ind w:firstLine="709"/>
        <w:jc w:val="both"/>
        <w:rPr>
          <w:rFonts w:ascii="Arial" w:eastAsia="Calibri" w:hAnsi="Arial" w:cs="Arial"/>
          <w:sz w:val="22"/>
        </w:rPr>
      </w:pPr>
      <w:r w:rsidRPr="004E691C">
        <w:rPr>
          <w:rFonts w:ascii="Arial" w:eastAsia="Calibri" w:hAnsi="Arial" w:cs="Arial"/>
          <w:sz w:val="22"/>
        </w:rPr>
        <w:lastRenderedPageBreak/>
        <w:t>La distinción o diferenciación realizada sobre los conceptos de pago anticipado y anticipo, fue reiterada por la Subsección C de la Sección Tercera del Consejo de Estado, así</w:t>
      </w:r>
      <w:r w:rsidRPr="004E691C">
        <w:rPr>
          <w:rStyle w:val="Refdenotaalpie"/>
          <w:rFonts w:ascii="Arial" w:eastAsia="Calibri" w:hAnsi="Arial" w:cs="Arial"/>
          <w:sz w:val="22"/>
        </w:rPr>
        <w:footnoteReference w:id="2"/>
      </w:r>
      <w:r w:rsidRPr="004E691C">
        <w:rPr>
          <w:rFonts w:ascii="Arial" w:eastAsia="Calibri" w:hAnsi="Arial" w:cs="Arial"/>
          <w:sz w:val="22"/>
        </w:rPr>
        <w:t>:</w:t>
      </w:r>
    </w:p>
    <w:p w14:paraId="3A13F513" w14:textId="77777777" w:rsidR="00361D26" w:rsidRPr="004E691C" w:rsidRDefault="00361D26" w:rsidP="00361D26">
      <w:pPr>
        <w:ind w:firstLine="709"/>
        <w:jc w:val="both"/>
        <w:rPr>
          <w:rFonts w:ascii="Arial" w:eastAsia="Calibri" w:hAnsi="Arial" w:cs="Arial"/>
          <w:sz w:val="22"/>
        </w:rPr>
      </w:pPr>
    </w:p>
    <w:p w14:paraId="2AADBD69" w14:textId="77777777" w:rsidR="00361D26" w:rsidRPr="004E691C" w:rsidRDefault="00361D26" w:rsidP="00361D26">
      <w:pPr>
        <w:ind w:left="709" w:right="709"/>
        <w:jc w:val="both"/>
        <w:rPr>
          <w:rFonts w:ascii="Arial" w:eastAsia="Calibri" w:hAnsi="Arial" w:cs="Arial"/>
          <w:sz w:val="21"/>
          <w:szCs w:val="21"/>
        </w:rPr>
      </w:pPr>
      <w:r w:rsidRPr="004E691C">
        <w:rPr>
          <w:rFonts w:ascii="Arial" w:hAnsi="Arial" w:cs="Arial"/>
          <w:sz w:val="21"/>
          <w:szCs w:val="21"/>
        </w:rPr>
        <w:t>En este punto, vuelve a ser útil la distinción que esta Corporación ha desarrollado en torno a los conceptos de “anticipo” y “pago anticipado”,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p>
    <w:p w14:paraId="66482103" w14:textId="77777777" w:rsidR="00361D26" w:rsidRPr="004E691C" w:rsidRDefault="00361D26" w:rsidP="00361D26">
      <w:pPr>
        <w:spacing w:line="276" w:lineRule="auto"/>
        <w:ind w:firstLine="709"/>
        <w:jc w:val="both"/>
        <w:rPr>
          <w:rFonts w:ascii="Arial" w:eastAsia="Calibri" w:hAnsi="Arial" w:cs="Arial"/>
          <w:sz w:val="22"/>
        </w:rPr>
      </w:pPr>
    </w:p>
    <w:p w14:paraId="78274EF2" w14:textId="77777777" w:rsidR="00361D26" w:rsidRPr="004E691C" w:rsidRDefault="00361D26" w:rsidP="00BA5012">
      <w:pPr>
        <w:spacing w:after="120" w:line="276" w:lineRule="auto"/>
        <w:ind w:firstLine="709"/>
        <w:jc w:val="both"/>
        <w:rPr>
          <w:rFonts w:ascii="Arial" w:eastAsia="Calibri" w:hAnsi="Arial" w:cs="Arial"/>
          <w:sz w:val="22"/>
        </w:rPr>
      </w:pPr>
      <w:r w:rsidRPr="004E691C">
        <w:rPr>
          <w:rFonts w:ascii="Arial" w:eastAsia="Calibri" w:hAnsi="Arial" w:cs="Arial"/>
          <w:sz w:val="22"/>
        </w:rPr>
        <w:t>Establecida la naturaleza y alcance de los conceptos de pago anticipado y anticipado, los mismos pueden ser definidos:</w:t>
      </w:r>
    </w:p>
    <w:p w14:paraId="170C9879" w14:textId="77777777" w:rsidR="00361D26" w:rsidRPr="004E691C" w:rsidRDefault="00361D26" w:rsidP="00BA5012">
      <w:pPr>
        <w:spacing w:before="120" w:after="120" w:line="276" w:lineRule="auto"/>
        <w:ind w:firstLine="709"/>
        <w:jc w:val="both"/>
        <w:rPr>
          <w:rFonts w:ascii="Arial" w:eastAsia="Calibri" w:hAnsi="Arial" w:cs="Arial"/>
          <w:sz w:val="22"/>
        </w:rPr>
      </w:pPr>
      <w:r w:rsidRPr="004E691C">
        <w:rPr>
          <w:rFonts w:ascii="Arial" w:eastAsia="Calibri" w:hAnsi="Arial" w:cs="Arial"/>
          <w:sz w:val="22"/>
        </w:rPr>
        <w:t>i) El pago anticipado es un pago efectivo del precio que se efectúa y se causa en forma anticipada. Por tanto, los recursos se integran al patrimonio del contratista desde su desembolso.</w:t>
      </w:r>
    </w:p>
    <w:p w14:paraId="5942057D" w14:textId="77777777" w:rsidR="00361D26" w:rsidRPr="004E691C" w:rsidRDefault="00361D26" w:rsidP="00BA5012">
      <w:pPr>
        <w:spacing w:after="120" w:line="276" w:lineRule="auto"/>
        <w:ind w:firstLine="709"/>
        <w:jc w:val="both"/>
        <w:rPr>
          <w:rFonts w:ascii="Arial" w:eastAsia="Calibri" w:hAnsi="Arial" w:cs="Arial"/>
          <w:sz w:val="22"/>
        </w:rPr>
      </w:pPr>
      <w:proofErr w:type="spellStart"/>
      <w:r w:rsidRPr="004E691C">
        <w:rPr>
          <w:rFonts w:ascii="Arial" w:eastAsia="Calibri" w:hAnsi="Arial" w:cs="Arial"/>
          <w:sz w:val="22"/>
        </w:rPr>
        <w:t>ii</w:t>
      </w:r>
      <w:proofErr w:type="spellEnd"/>
      <w:r w:rsidRPr="004E691C">
        <w:rPr>
          <w:rFonts w:ascii="Arial" w:eastAsia="Calibri" w:hAnsi="Arial" w:cs="Arial"/>
          <w:sz w:val="22"/>
        </w:rPr>
        <w:t>) 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w:t>
      </w:r>
    </w:p>
    <w:p w14:paraId="54D97AB4" w14:textId="77777777" w:rsidR="00361D26" w:rsidRPr="004E691C" w:rsidRDefault="00361D26" w:rsidP="00BA5012">
      <w:pPr>
        <w:spacing w:before="120" w:after="120" w:line="276" w:lineRule="auto"/>
        <w:ind w:firstLine="709"/>
        <w:jc w:val="both"/>
        <w:rPr>
          <w:rFonts w:ascii="Arial" w:eastAsia="Calibri" w:hAnsi="Arial" w:cs="Arial"/>
          <w:sz w:val="22"/>
        </w:rPr>
      </w:pPr>
      <w:r w:rsidRPr="004E691C">
        <w:rPr>
          <w:rFonts w:ascii="Arial" w:eastAsia="Calibri" w:hAnsi="Arial" w:cs="Arial"/>
          <w:sz w:val="22"/>
        </w:rPr>
        <w:t>De otra parte, con la expedición de la Ley 1474 de 2011</w:t>
      </w:r>
      <w:r w:rsidRPr="004E691C">
        <w:rPr>
          <w:rStyle w:val="Refdenotaalpie"/>
          <w:rFonts w:ascii="Arial" w:eastAsia="Calibri" w:hAnsi="Arial" w:cs="Arial"/>
          <w:sz w:val="22"/>
        </w:rPr>
        <w:footnoteReference w:id="3"/>
      </w:r>
      <w:r w:rsidRPr="004E691C">
        <w:rPr>
          <w:rFonts w:ascii="Arial" w:eastAsia="Calibri" w:hAnsi="Arial" w:cs="Arial"/>
          <w:sz w:val="22"/>
        </w:rPr>
        <w:t xml:space="preserve"> «Por la cual se dictan normas orientadas a fortalecer los mecanismos de prevención, investigación y sanción de actos de corrupción y la efectividad del control de la gestión pública», se estableció un requisito relacionado con el manejo del anticipo. Allí se contempló la obligación para el contratista de constituir una fiducia o patrimonio autónomo irrevocable, como garantía del buen manejo e inversión de los recursos económicos que le sean entregados a título de anticipo. La mencionada obligación se aplica a los contratos de obra, concesión, salud, o </w:t>
      </w:r>
      <w:r w:rsidRPr="004E691C">
        <w:rPr>
          <w:rFonts w:ascii="Arial" w:eastAsia="Calibri" w:hAnsi="Arial" w:cs="Arial"/>
          <w:sz w:val="22"/>
        </w:rPr>
        <w:lastRenderedPageBreak/>
        <w:t>los que se realicen por licitación pública, salvo que los mismos sean de menor o mínima cuantía.</w:t>
      </w:r>
    </w:p>
    <w:p w14:paraId="17DA0147" w14:textId="3DA7DA56" w:rsidR="00361D26" w:rsidRPr="004E691C" w:rsidRDefault="00361D26" w:rsidP="004515B5">
      <w:pPr>
        <w:spacing w:before="120" w:after="120" w:line="276" w:lineRule="auto"/>
        <w:ind w:firstLine="709"/>
        <w:jc w:val="both"/>
        <w:rPr>
          <w:rFonts w:ascii="Arial" w:eastAsia="Calibri" w:hAnsi="Arial" w:cs="Arial"/>
          <w:sz w:val="22"/>
        </w:rPr>
      </w:pPr>
      <w:r w:rsidRPr="004E691C">
        <w:rPr>
          <w:rFonts w:ascii="Arial" w:eastAsia="Calibri" w:hAnsi="Arial" w:cs="Arial"/>
          <w:sz w:val="22"/>
        </w:rPr>
        <w:t>Los contratos, en los que la entidad estatal pacta el pago anticipado o la entrega de un anticipo, en los que por demás no es obligatorio constituir una fiducia o un patrimonio autónomo para su manejo, la entidad contratante debe adoptar medidas necesarias y razonables para asegurar la protección de los recursos económicos entregados al contratista.</w:t>
      </w:r>
      <w:r w:rsidR="00BA5012">
        <w:rPr>
          <w:rFonts w:ascii="Arial" w:eastAsia="Calibri" w:hAnsi="Arial" w:cs="Arial"/>
          <w:sz w:val="22"/>
        </w:rPr>
        <w:t xml:space="preserve"> </w:t>
      </w:r>
      <w:r w:rsidRPr="004E691C">
        <w:rPr>
          <w:rFonts w:ascii="Arial" w:eastAsia="Calibri" w:hAnsi="Arial" w:cs="Arial"/>
          <w:sz w:val="22"/>
        </w:rPr>
        <w:t>La protección de los recursos económicos entregados al contratista, a título de pago anticipado o anticipo, debe realizarse con la constitución de las garantías establecidas en el ordenamiento jurídico para tal efecto</w:t>
      </w:r>
      <w:r w:rsidRPr="004E691C">
        <w:rPr>
          <w:rStyle w:val="Refdenotaalpie"/>
          <w:rFonts w:ascii="Arial" w:eastAsia="Calibri" w:hAnsi="Arial" w:cs="Arial"/>
          <w:sz w:val="22"/>
        </w:rPr>
        <w:footnoteReference w:id="4"/>
      </w:r>
      <w:r w:rsidRPr="004E691C">
        <w:rPr>
          <w:rFonts w:ascii="Arial" w:eastAsia="Calibri" w:hAnsi="Arial" w:cs="Arial"/>
          <w:sz w:val="22"/>
        </w:rPr>
        <w:t>.</w:t>
      </w:r>
    </w:p>
    <w:p w14:paraId="216FC235" w14:textId="77777777" w:rsidR="00361D26" w:rsidRPr="004E691C" w:rsidRDefault="00361D26" w:rsidP="00361D26">
      <w:pPr>
        <w:jc w:val="both"/>
        <w:rPr>
          <w:rFonts w:ascii="Arial" w:eastAsia="Calibri" w:hAnsi="Arial" w:cs="Arial"/>
          <w:b/>
          <w:sz w:val="22"/>
        </w:rPr>
      </w:pPr>
    </w:p>
    <w:p w14:paraId="577A34AF" w14:textId="77777777" w:rsidR="00361D26" w:rsidRPr="004E691C" w:rsidRDefault="00361D26" w:rsidP="00361D26">
      <w:pPr>
        <w:pStyle w:val="Prrafodelista"/>
        <w:numPr>
          <w:ilvl w:val="0"/>
          <w:numId w:val="2"/>
        </w:numPr>
        <w:tabs>
          <w:tab w:val="left" w:pos="284"/>
        </w:tabs>
        <w:ind w:left="0" w:firstLine="0"/>
        <w:jc w:val="both"/>
        <w:rPr>
          <w:rFonts w:ascii="Arial" w:eastAsia="Calibri" w:hAnsi="Arial" w:cs="Arial"/>
          <w:sz w:val="22"/>
        </w:rPr>
      </w:pPr>
      <w:r w:rsidRPr="004E691C">
        <w:rPr>
          <w:rFonts w:ascii="Arial" w:eastAsia="Calibri" w:hAnsi="Arial" w:cs="Arial"/>
          <w:b/>
          <w:sz w:val="22"/>
        </w:rPr>
        <w:t>Respuesta</w:t>
      </w:r>
    </w:p>
    <w:p w14:paraId="0643F7B8" w14:textId="77777777" w:rsidR="00361D26" w:rsidRPr="004E691C" w:rsidRDefault="00361D26" w:rsidP="00361D26">
      <w:pPr>
        <w:spacing w:line="276" w:lineRule="auto"/>
        <w:ind w:right="709"/>
        <w:jc w:val="both"/>
        <w:rPr>
          <w:rFonts w:ascii="Arial" w:eastAsia="Calibri" w:hAnsi="Arial" w:cs="Arial"/>
          <w:i/>
          <w:sz w:val="22"/>
        </w:rPr>
      </w:pPr>
    </w:p>
    <w:p w14:paraId="7882EEA9" w14:textId="77777777" w:rsidR="00361D26" w:rsidRDefault="00361D26" w:rsidP="00361D26">
      <w:pPr>
        <w:ind w:left="709" w:right="709"/>
        <w:jc w:val="both"/>
        <w:rPr>
          <w:rFonts w:ascii="Arial" w:hAnsi="Arial" w:cs="Arial"/>
          <w:sz w:val="21"/>
          <w:szCs w:val="21"/>
        </w:rPr>
      </w:pPr>
      <w:r>
        <w:rPr>
          <w:rFonts w:ascii="Arial" w:eastAsia="Calibri" w:hAnsi="Arial" w:cs="Arial"/>
          <w:sz w:val="21"/>
          <w:szCs w:val="21"/>
        </w:rPr>
        <w:t>Teniendo en cuenta la definición de anticipo que establece el Consejo de Estado en una de sus sentencias, en la que expresa «</w:t>
      </w:r>
      <w:r>
        <w:rPr>
          <w:rFonts w:ascii="Arial" w:hAnsi="Arial" w:cs="Arial"/>
          <w:sz w:val="21"/>
          <w:szCs w:val="21"/>
        </w:rPr>
        <w:t xml:space="preserve">“se </w:t>
      </w:r>
      <w:r w:rsidRPr="0084465E">
        <w:rPr>
          <w:rFonts w:ascii="Arial" w:hAnsi="Arial" w:cs="Arial"/>
          <w:sz w:val="21"/>
          <w:szCs w:val="21"/>
        </w:rPr>
        <w:t>han considerado públicos u oficiales los recursos y de la exclusiva propiedad del ente estatal constituyéndose en un adelanto, avance o anticipo del precio no causado para la iniciación del objeto contractual, los trabajos o servicios, la atención de los gastos preliminares y su aplicación a los fines del contrato, que sólo se incorporan al patrimonio del contratista e implican un pago en la medida de su amortización</w:t>
      </w:r>
      <w:r>
        <w:rPr>
          <w:rFonts w:ascii="Arial" w:hAnsi="Arial" w:cs="Arial"/>
          <w:sz w:val="21"/>
          <w:szCs w:val="21"/>
        </w:rPr>
        <w:t>”</w:t>
      </w:r>
      <w:r w:rsidRPr="0084465E">
        <w:rPr>
          <w:rFonts w:ascii="Arial" w:hAnsi="Arial" w:cs="Arial"/>
          <w:sz w:val="21"/>
          <w:szCs w:val="21"/>
        </w:rPr>
        <w:t xml:space="preserve">. </w:t>
      </w:r>
    </w:p>
    <w:p w14:paraId="520AB8AA" w14:textId="77777777" w:rsidR="00361D26" w:rsidRDefault="00361D26" w:rsidP="00361D26">
      <w:pPr>
        <w:ind w:left="709" w:right="709"/>
        <w:jc w:val="both"/>
        <w:rPr>
          <w:rFonts w:ascii="Arial" w:hAnsi="Arial" w:cs="Arial"/>
          <w:sz w:val="21"/>
          <w:szCs w:val="21"/>
        </w:rPr>
      </w:pPr>
      <w:r w:rsidRPr="0084465E">
        <w:rPr>
          <w:rFonts w:ascii="Arial" w:hAnsi="Arial" w:cs="Arial"/>
          <w:sz w:val="21"/>
          <w:szCs w:val="21"/>
        </w:rPr>
        <w:t xml:space="preserve">Cuando se dice: “avance o anticipo del precio no causado para la iniciación del objeto contractual, los trabajos o servicios…” </w:t>
      </w:r>
    </w:p>
    <w:p w14:paraId="005B2190" w14:textId="77777777" w:rsidR="00361D26" w:rsidRDefault="00361D26" w:rsidP="00361D26">
      <w:pPr>
        <w:ind w:left="709" w:right="709"/>
        <w:jc w:val="both"/>
        <w:rPr>
          <w:rFonts w:ascii="Arial" w:hAnsi="Arial" w:cs="Arial"/>
          <w:sz w:val="21"/>
          <w:szCs w:val="21"/>
        </w:rPr>
      </w:pPr>
    </w:p>
    <w:p w14:paraId="43232F95" w14:textId="77777777" w:rsidR="00361D26" w:rsidRDefault="00361D26" w:rsidP="00361D26">
      <w:pPr>
        <w:ind w:left="709" w:right="709"/>
        <w:jc w:val="both"/>
        <w:rPr>
          <w:rFonts w:ascii="Arial" w:hAnsi="Arial" w:cs="Arial"/>
          <w:sz w:val="21"/>
          <w:szCs w:val="21"/>
        </w:rPr>
      </w:pPr>
      <w:r w:rsidRPr="0084465E">
        <w:rPr>
          <w:rFonts w:ascii="Arial" w:hAnsi="Arial" w:cs="Arial"/>
          <w:sz w:val="21"/>
          <w:szCs w:val="21"/>
        </w:rPr>
        <w:t xml:space="preserve">¿Este podría aplicarse también a los contratos de prestación de servicios? </w:t>
      </w:r>
    </w:p>
    <w:p w14:paraId="37E54FA8" w14:textId="77777777" w:rsidR="00361D26" w:rsidRDefault="00361D26" w:rsidP="00361D26">
      <w:pPr>
        <w:ind w:left="709" w:right="709"/>
        <w:jc w:val="both"/>
        <w:rPr>
          <w:rFonts w:ascii="Arial" w:hAnsi="Arial" w:cs="Arial"/>
          <w:sz w:val="21"/>
          <w:szCs w:val="21"/>
        </w:rPr>
      </w:pPr>
    </w:p>
    <w:p w14:paraId="732DB0CD" w14:textId="77777777" w:rsidR="00361D26" w:rsidRPr="0084465E" w:rsidRDefault="00361D26" w:rsidP="00361D26">
      <w:pPr>
        <w:ind w:left="709" w:right="709"/>
        <w:jc w:val="both"/>
        <w:rPr>
          <w:rFonts w:ascii="Arial" w:hAnsi="Arial" w:cs="Arial"/>
          <w:sz w:val="21"/>
          <w:szCs w:val="21"/>
        </w:rPr>
      </w:pPr>
      <w:r w:rsidRPr="0084465E">
        <w:rPr>
          <w:rFonts w:ascii="Arial" w:hAnsi="Arial" w:cs="Arial"/>
          <w:sz w:val="21"/>
          <w:szCs w:val="21"/>
        </w:rPr>
        <w:t>Ya que en estos se precisa que entre contratante y contratista debe existir una relación de coordinación de actividades, Lo dicho no supone subordinación, solo se coordinan con el contratante determinados aspectos acerca de la consecución de la labor ¿uno de esos aspectos podría ser un anticipo o pago anticipado con sus respectivas garantías?</w:t>
      </w:r>
      <w:r>
        <w:rPr>
          <w:rFonts w:ascii="Arial" w:hAnsi="Arial" w:cs="Arial"/>
          <w:sz w:val="21"/>
          <w:szCs w:val="21"/>
        </w:rPr>
        <w:t>»</w:t>
      </w:r>
    </w:p>
    <w:p w14:paraId="3AE4A155" w14:textId="77777777" w:rsidR="00361D26" w:rsidRPr="004E691C" w:rsidRDefault="00361D26" w:rsidP="00361D26">
      <w:pPr>
        <w:ind w:left="709" w:right="709"/>
        <w:jc w:val="both"/>
        <w:rPr>
          <w:rFonts w:ascii="Arial" w:eastAsia="Calibri" w:hAnsi="Arial" w:cs="Arial"/>
          <w:sz w:val="22"/>
        </w:rPr>
      </w:pPr>
    </w:p>
    <w:p w14:paraId="700E1344" w14:textId="6B6FDA66" w:rsidR="00361D26" w:rsidRPr="004E691C" w:rsidRDefault="00460205" w:rsidP="00460205">
      <w:pPr>
        <w:spacing w:after="120" w:line="276" w:lineRule="auto"/>
        <w:jc w:val="both"/>
        <w:rPr>
          <w:rFonts w:ascii="Arial" w:eastAsia="Calibri" w:hAnsi="Arial" w:cs="Arial"/>
          <w:sz w:val="22"/>
        </w:rPr>
      </w:pPr>
      <w:r>
        <w:rPr>
          <w:rFonts w:ascii="Arial" w:eastAsia="Calibri" w:hAnsi="Arial" w:cs="Arial"/>
          <w:sz w:val="22"/>
        </w:rPr>
        <w:t>Conforme a lo expuesto, l</w:t>
      </w:r>
      <w:r w:rsidR="00361D26" w:rsidRPr="004E691C">
        <w:rPr>
          <w:rFonts w:ascii="Arial" w:eastAsia="Calibri" w:hAnsi="Arial" w:cs="Arial"/>
          <w:sz w:val="22"/>
        </w:rPr>
        <w:t>as entidades estatales tienen la facultad de pactar el pago anticipado o la entrega de anticipos en los contratos celebrados por ellas, sin restricción o distinción alguna respecto del tipo de negocio jurídico a celebrar y/o la modalidad de selección del contratista, ya que la ley al regularlos no efectuó esta distinción, por lo que es posible otorgarlos en contratos de prestación de servicios profesionales.</w:t>
      </w:r>
    </w:p>
    <w:p w14:paraId="67060C4A" w14:textId="3D1A6DFF" w:rsidR="00361D26" w:rsidRPr="004E691C" w:rsidRDefault="009742DA" w:rsidP="004515B5">
      <w:pPr>
        <w:spacing w:before="120" w:line="276" w:lineRule="auto"/>
        <w:ind w:firstLine="709"/>
        <w:jc w:val="both"/>
        <w:rPr>
          <w:rFonts w:ascii="Arial" w:eastAsia="Calibri" w:hAnsi="Arial" w:cs="Arial"/>
          <w:sz w:val="22"/>
        </w:rPr>
      </w:pPr>
      <w:r>
        <w:rPr>
          <w:rFonts w:ascii="Arial" w:eastAsia="Calibri" w:hAnsi="Arial" w:cs="Arial"/>
          <w:sz w:val="22"/>
        </w:rPr>
        <w:t>En todo caso, c</w:t>
      </w:r>
      <w:r w:rsidR="00361D26" w:rsidRPr="004E691C">
        <w:rPr>
          <w:rFonts w:ascii="Arial" w:eastAsia="Calibri" w:hAnsi="Arial" w:cs="Arial"/>
          <w:sz w:val="22"/>
        </w:rPr>
        <w:t>orresponde a las entidades contratantes decidir y definir, conforme a las condiciones particulares de cada proceso de contratación, si es conveniente o no entregar recursos económicos al contratista de las formas ya analizadas. Si se pacta el pago anticipado o la entrega de anticipo, la entidad estatal está en la obligación de observar y acatar los límites y obligaciones [imperativas] establecidas en el ordenamiento jurídico sobre estas formas de remuneración o financiación.</w:t>
      </w:r>
    </w:p>
    <w:p w14:paraId="6E1264FF" w14:textId="77777777" w:rsidR="00361D26" w:rsidRPr="004E691C" w:rsidRDefault="00361D26" w:rsidP="004515B5">
      <w:pPr>
        <w:spacing w:line="276" w:lineRule="auto"/>
        <w:ind w:firstLine="709"/>
        <w:jc w:val="both"/>
        <w:rPr>
          <w:rFonts w:ascii="Arial" w:eastAsia="Calibri" w:hAnsi="Arial" w:cs="Arial"/>
          <w:sz w:val="22"/>
        </w:rPr>
      </w:pPr>
    </w:p>
    <w:p w14:paraId="30FC63DB" w14:textId="39FA9BB1" w:rsidR="00361D26" w:rsidRPr="004E691C" w:rsidRDefault="00361D26" w:rsidP="00361D26">
      <w:pPr>
        <w:spacing w:line="276" w:lineRule="auto"/>
        <w:jc w:val="both"/>
        <w:rPr>
          <w:rFonts w:ascii="Arial" w:eastAsia="Calibri" w:hAnsi="Arial" w:cs="Arial"/>
          <w:sz w:val="22"/>
        </w:rPr>
      </w:pPr>
      <w:r w:rsidRPr="004E691C">
        <w:rPr>
          <w:rFonts w:ascii="Arial" w:eastAsia="Calibri" w:hAnsi="Arial" w:cs="Arial"/>
          <w:sz w:val="22"/>
        </w:rPr>
        <w:t>Este concepto tiene el alcance previsto en el artículo 28 del Código de Procedimiento Administrativo y de lo Contencioso Administrativo.</w:t>
      </w:r>
    </w:p>
    <w:p w14:paraId="5D8F84A6" w14:textId="77777777" w:rsidR="00361D26" w:rsidRPr="004E691C" w:rsidRDefault="00361D26" w:rsidP="00361D26">
      <w:pPr>
        <w:jc w:val="both"/>
        <w:rPr>
          <w:rFonts w:ascii="Arial" w:eastAsia="Calibri" w:hAnsi="Arial" w:cs="Arial"/>
          <w:sz w:val="22"/>
        </w:rPr>
      </w:pPr>
      <w:r w:rsidRPr="004E691C">
        <w:rPr>
          <w:noProof/>
          <w:lang w:val="en-US"/>
        </w:rPr>
        <mc:AlternateContent>
          <mc:Choice Requires="wps">
            <w:drawing>
              <wp:anchor distT="0" distB="0" distL="114300" distR="114300" simplePos="0" relativeHeight="251659264" behindDoc="0" locked="0" layoutInCell="1" allowOverlap="1" wp14:anchorId="1CB67A07" wp14:editId="1F7421D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8BFED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5E0C811" w14:textId="77777777" w:rsidR="00361D26" w:rsidRDefault="00361D26" w:rsidP="00361D26">
      <w:pPr>
        <w:rPr>
          <w:rFonts w:ascii="Arial" w:hAnsi="Arial" w:cs="Arial"/>
          <w:sz w:val="22"/>
          <w:lang w:eastAsia="es-CO"/>
        </w:rPr>
      </w:pPr>
      <w:r w:rsidRPr="004E691C">
        <w:rPr>
          <w:rFonts w:ascii="Arial" w:hAnsi="Arial" w:cs="Arial"/>
          <w:sz w:val="22"/>
          <w:lang w:eastAsia="es-CO"/>
        </w:rPr>
        <w:t>Atentamente,</w:t>
      </w:r>
    </w:p>
    <w:p w14:paraId="7B68265D" w14:textId="77777777" w:rsidR="00361D26" w:rsidRDefault="00361D26" w:rsidP="00361D26">
      <w:pPr>
        <w:rPr>
          <w:rFonts w:ascii="Arial" w:hAnsi="Arial" w:cs="Arial"/>
          <w:sz w:val="22"/>
          <w:lang w:eastAsia="es-CO"/>
        </w:rPr>
      </w:pPr>
    </w:p>
    <w:p w14:paraId="3D5FC48A" w14:textId="34EBABE3" w:rsidR="00361D26" w:rsidRPr="00853F93" w:rsidRDefault="00853F93" w:rsidP="00853F93">
      <w:pPr>
        <w:pStyle w:val="Prrafodelista"/>
        <w:numPr>
          <w:ilvl w:val="0"/>
          <w:numId w:val="3"/>
        </w:numPr>
        <w:jc w:val="center"/>
        <w:rPr>
          <w:rFonts w:ascii="Arial" w:hAnsi="Arial" w:cs="Arial"/>
          <w:sz w:val="22"/>
          <w:lang w:eastAsia="es-CO"/>
        </w:rPr>
      </w:pPr>
      <w:bookmarkStart w:id="0" w:name="_Hlk29890381"/>
      <w:r>
        <w:rPr>
          <w:noProof/>
        </w:rPr>
        <w:drawing>
          <wp:inline distT="0" distB="0" distL="0" distR="0" wp14:anchorId="709E7644" wp14:editId="0A2BF7AE">
            <wp:extent cx="3493698" cy="1343178"/>
            <wp:effectExtent l="0" t="0" r="0" b="0"/>
            <wp:docPr id="40" name="Imagen 4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Texto, Cart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799" cy="1347830"/>
                    </a:xfrm>
                    <a:prstGeom prst="rect">
                      <a:avLst/>
                    </a:prstGeom>
                    <a:noFill/>
                    <a:ln>
                      <a:noFill/>
                    </a:ln>
                  </pic:spPr>
                </pic:pic>
              </a:graphicData>
            </a:graphic>
          </wp:inline>
        </w:drawing>
      </w:r>
    </w:p>
    <w:p w14:paraId="2F9CC5F5" w14:textId="77777777" w:rsidR="00853F93" w:rsidRPr="00853F93" w:rsidRDefault="00853F93" w:rsidP="00853F93">
      <w:pPr>
        <w:pStyle w:val="Prrafodelista"/>
        <w:numPr>
          <w:ilvl w:val="0"/>
          <w:numId w:val="3"/>
        </w:numPr>
        <w:jc w:val="center"/>
        <w:rPr>
          <w:rFonts w:ascii="Arial" w:hAnsi="Arial" w:cs="Arial"/>
          <w:sz w:val="22"/>
          <w:lang w:eastAsia="es-CO"/>
        </w:rPr>
      </w:pPr>
    </w:p>
    <w:p w14:paraId="3E8858E1" w14:textId="77777777" w:rsidR="00361D26" w:rsidRPr="00361D26" w:rsidRDefault="00361D26" w:rsidP="00361D26">
      <w:pPr>
        <w:jc w:val="center"/>
        <w:rPr>
          <w:rFonts w:ascii="Arial" w:hAnsi="Arial" w:cs="Arial"/>
          <w:sz w:val="22"/>
          <w:lang w:eastAsia="es-CO"/>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61D26" w:rsidRPr="008B7D08" w14:paraId="1C0C724C" w14:textId="77777777" w:rsidTr="003D76EA">
        <w:trPr>
          <w:trHeight w:val="286"/>
        </w:trPr>
        <w:tc>
          <w:tcPr>
            <w:tcW w:w="817" w:type="dxa"/>
            <w:vAlign w:val="center"/>
          </w:tcPr>
          <w:p w14:paraId="22169465" w14:textId="77777777" w:rsidR="00361D26" w:rsidRPr="008B7D08" w:rsidRDefault="00361D26" w:rsidP="003D76EA">
            <w:pPr>
              <w:rPr>
                <w:rFonts w:ascii="Arial" w:hAnsi="Arial" w:cs="Arial"/>
                <w:sz w:val="16"/>
                <w:szCs w:val="16"/>
              </w:rPr>
            </w:pPr>
            <w:r w:rsidRPr="008B7D08">
              <w:rPr>
                <w:rFonts w:ascii="Arial" w:hAnsi="Arial" w:cs="Arial"/>
                <w:sz w:val="16"/>
                <w:szCs w:val="16"/>
              </w:rPr>
              <w:t>Elaboró:</w:t>
            </w:r>
          </w:p>
        </w:tc>
        <w:tc>
          <w:tcPr>
            <w:tcW w:w="4445" w:type="dxa"/>
            <w:tcBorders>
              <w:bottom w:val="dotted" w:sz="4" w:space="0" w:color="7F7F7F"/>
            </w:tcBorders>
            <w:vAlign w:val="center"/>
          </w:tcPr>
          <w:p w14:paraId="5747BA9C" w14:textId="77777777" w:rsidR="00361D26" w:rsidRPr="008B7D08" w:rsidRDefault="00361D26" w:rsidP="003D76EA">
            <w:pPr>
              <w:rPr>
                <w:rFonts w:ascii="Arial" w:hAnsi="Arial" w:cs="Arial"/>
                <w:sz w:val="16"/>
                <w:szCs w:val="16"/>
              </w:rPr>
            </w:pPr>
            <w:r>
              <w:rPr>
                <w:rFonts w:ascii="Arial" w:hAnsi="Arial" w:cs="Arial"/>
                <w:sz w:val="16"/>
                <w:szCs w:val="16"/>
              </w:rPr>
              <w:t>Nathalia Urrego Jiménez</w:t>
            </w:r>
          </w:p>
          <w:p w14:paraId="75CEDD4B" w14:textId="77777777" w:rsidR="00361D26" w:rsidRPr="008B7D08" w:rsidRDefault="00361D26" w:rsidP="003D76EA">
            <w:pPr>
              <w:rPr>
                <w:rFonts w:ascii="Arial" w:hAnsi="Arial" w:cs="Arial"/>
                <w:sz w:val="16"/>
                <w:szCs w:val="16"/>
              </w:rPr>
            </w:pPr>
            <w:r w:rsidRPr="008B7D08">
              <w:rPr>
                <w:rFonts w:ascii="Arial" w:hAnsi="Arial" w:cs="Arial"/>
                <w:sz w:val="16"/>
                <w:szCs w:val="16"/>
              </w:rPr>
              <w:t>Contratista de la Subdirección de Gestión Contractual</w:t>
            </w:r>
          </w:p>
        </w:tc>
      </w:tr>
      <w:tr w:rsidR="00361D26" w:rsidRPr="008B7D08" w14:paraId="701CA9BA" w14:textId="77777777" w:rsidTr="003D76EA">
        <w:trPr>
          <w:trHeight w:val="286"/>
        </w:trPr>
        <w:tc>
          <w:tcPr>
            <w:tcW w:w="817" w:type="dxa"/>
            <w:vAlign w:val="center"/>
          </w:tcPr>
          <w:p w14:paraId="24897E64" w14:textId="77777777" w:rsidR="00361D26" w:rsidRPr="008B7D08" w:rsidRDefault="00361D26" w:rsidP="003D76EA">
            <w:pPr>
              <w:rPr>
                <w:rFonts w:ascii="Arial" w:hAnsi="Arial" w:cs="Arial"/>
                <w:sz w:val="16"/>
                <w:szCs w:val="16"/>
              </w:rPr>
            </w:pPr>
            <w:r w:rsidRPr="008B7D08">
              <w:rPr>
                <w:rFonts w:ascii="Arial" w:hAnsi="Arial" w:cs="Arial"/>
                <w:sz w:val="16"/>
                <w:szCs w:val="16"/>
              </w:rPr>
              <w:t>Revisó:</w:t>
            </w:r>
          </w:p>
        </w:tc>
        <w:tc>
          <w:tcPr>
            <w:tcW w:w="4445" w:type="dxa"/>
            <w:tcBorders>
              <w:bottom w:val="dotted" w:sz="4" w:space="0" w:color="7F7F7F"/>
            </w:tcBorders>
            <w:vAlign w:val="center"/>
          </w:tcPr>
          <w:p w14:paraId="49C27F52" w14:textId="77777777" w:rsidR="00361D26" w:rsidRPr="008B7D08" w:rsidRDefault="00361D26" w:rsidP="003D76EA">
            <w:pPr>
              <w:rPr>
                <w:rFonts w:ascii="Arial" w:hAnsi="Arial" w:cs="Arial"/>
                <w:sz w:val="16"/>
                <w:szCs w:val="16"/>
              </w:rPr>
            </w:pPr>
            <w:r w:rsidRPr="008B7D08">
              <w:rPr>
                <w:rFonts w:ascii="Arial" w:hAnsi="Arial" w:cs="Arial"/>
                <w:sz w:val="16"/>
                <w:szCs w:val="16"/>
              </w:rPr>
              <w:t>Alejandro Sarmiento Cantillo</w:t>
            </w:r>
          </w:p>
          <w:p w14:paraId="459B4115" w14:textId="77777777" w:rsidR="00361D26" w:rsidRPr="008B7D08" w:rsidRDefault="00361D26" w:rsidP="003D76EA">
            <w:pPr>
              <w:rPr>
                <w:rFonts w:ascii="Arial" w:hAnsi="Arial" w:cs="Arial"/>
                <w:sz w:val="16"/>
                <w:szCs w:val="16"/>
              </w:rPr>
            </w:pPr>
            <w:r w:rsidRPr="008B7D08">
              <w:rPr>
                <w:rFonts w:ascii="Arial" w:hAnsi="Arial" w:cs="Arial"/>
                <w:sz w:val="16"/>
                <w:szCs w:val="16"/>
              </w:rPr>
              <w:t>Gestor T1-15 de la Subdirección de Gestión Contractual</w:t>
            </w:r>
          </w:p>
        </w:tc>
      </w:tr>
      <w:tr w:rsidR="00361D26" w:rsidRPr="008B7D08" w14:paraId="391FA6DF" w14:textId="77777777" w:rsidTr="003D76EA">
        <w:trPr>
          <w:trHeight w:val="299"/>
        </w:trPr>
        <w:tc>
          <w:tcPr>
            <w:tcW w:w="817" w:type="dxa"/>
            <w:vAlign w:val="center"/>
          </w:tcPr>
          <w:p w14:paraId="16A84261" w14:textId="77777777" w:rsidR="00361D26" w:rsidRPr="008B7D08" w:rsidRDefault="00361D26" w:rsidP="003D76EA">
            <w:pPr>
              <w:rPr>
                <w:rFonts w:ascii="Arial" w:hAnsi="Arial" w:cs="Arial"/>
                <w:sz w:val="16"/>
                <w:szCs w:val="16"/>
              </w:rPr>
            </w:pPr>
            <w:r w:rsidRPr="008B7D08">
              <w:rPr>
                <w:rFonts w:ascii="Arial" w:hAnsi="Arial" w:cs="Arial"/>
                <w:sz w:val="16"/>
                <w:szCs w:val="16"/>
              </w:rPr>
              <w:t>Aprobó:</w:t>
            </w:r>
          </w:p>
        </w:tc>
        <w:tc>
          <w:tcPr>
            <w:tcW w:w="4445" w:type="dxa"/>
            <w:tcBorders>
              <w:top w:val="dotted" w:sz="4" w:space="0" w:color="7F7F7F"/>
              <w:bottom w:val="dotted" w:sz="4" w:space="0" w:color="7F7F7F"/>
            </w:tcBorders>
            <w:vAlign w:val="center"/>
          </w:tcPr>
          <w:p w14:paraId="5FFB97B8" w14:textId="77777777" w:rsidR="006A1E7B" w:rsidRPr="006F0D34" w:rsidRDefault="006A1E7B" w:rsidP="006A1E7B">
            <w:pPr>
              <w:rPr>
                <w:rFonts w:ascii="Geomanist Light" w:hAnsi="Geomanist Light" w:cs="Arial"/>
                <w:color w:val="000000" w:themeColor="text1"/>
                <w:sz w:val="16"/>
                <w:szCs w:val="16"/>
                <w:lang w:eastAsia="es-ES"/>
              </w:rPr>
            </w:pPr>
            <w:r w:rsidRPr="000413C6">
              <w:rPr>
                <w:rFonts w:ascii="Geomanist Light" w:hAnsi="Geomanist Light" w:cs="Arial"/>
                <w:color w:val="000000" w:themeColor="text1"/>
                <w:sz w:val="16"/>
                <w:szCs w:val="16"/>
                <w:lang w:eastAsia="es-ES"/>
              </w:rPr>
              <w:t>Nohelia del Carmen Zawady Palacio</w:t>
            </w:r>
          </w:p>
          <w:p w14:paraId="3FA85DB4" w14:textId="68CDF567" w:rsidR="00361D26" w:rsidRPr="008B7D08" w:rsidRDefault="006A1E7B" w:rsidP="003D76EA">
            <w:pPr>
              <w:rPr>
                <w:rFonts w:ascii="Arial" w:hAnsi="Arial" w:cs="Arial"/>
                <w:sz w:val="16"/>
                <w:szCs w:val="16"/>
              </w:rPr>
            </w:pPr>
            <w:r w:rsidRPr="00F008EF">
              <w:rPr>
                <w:rFonts w:ascii="Geomanist Light" w:eastAsia="Arial" w:hAnsi="Geomanist Light" w:cs="Arial"/>
                <w:color w:val="000000"/>
                <w:sz w:val="16"/>
                <w:szCs w:val="16"/>
              </w:rPr>
              <w:t>Subdirector</w:t>
            </w:r>
            <w:r>
              <w:rPr>
                <w:rFonts w:ascii="Geomanist Light" w:eastAsia="Arial" w:hAnsi="Geomanist Light" w:cs="Arial"/>
                <w:color w:val="000000"/>
                <w:sz w:val="16"/>
                <w:szCs w:val="16"/>
              </w:rPr>
              <w:t>a</w:t>
            </w:r>
            <w:r w:rsidRPr="00F008EF">
              <w:rPr>
                <w:rFonts w:ascii="Geomanist Light" w:eastAsia="Arial" w:hAnsi="Geomanist Light" w:cs="Arial"/>
                <w:color w:val="000000"/>
                <w:sz w:val="16"/>
                <w:szCs w:val="16"/>
              </w:rPr>
              <w:t xml:space="preserve"> de Gestión Contractual</w:t>
            </w:r>
          </w:p>
        </w:tc>
      </w:tr>
    </w:tbl>
    <w:p w14:paraId="015B0AB5" w14:textId="77777777" w:rsidR="00361D26" w:rsidRDefault="00361D26" w:rsidP="00361D26">
      <w:pPr>
        <w:tabs>
          <w:tab w:val="left" w:pos="3795"/>
        </w:tabs>
        <w:rPr>
          <w:rFonts w:ascii="Arial" w:hAnsi="Arial" w:cs="Arial"/>
          <w:color w:val="000000" w:themeColor="text1"/>
          <w:lang w:val="es-ES_tradnl"/>
        </w:rPr>
      </w:pPr>
    </w:p>
    <w:bookmarkEnd w:id="0"/>
    <w:p w14:paraId="4306C5F4" w14:textId="77777777" w:rsidR="00CE7CA5" w:rsidRPr="00361D26" w:rsidRDefault="009F280F" w:rsidP="00361D26"/>
    <w:sectPr w:rsidR="00CE7CA5" w:rsidRPr="00361D26" w:rsidSect="004515B5">
      <w:headerReference w:type="default" r:id="rId8"/>
      <w:footerReference w:type="default" r:id="rId9"/>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B6AB" w14:textId="77777777" w:rsidR="00AE5615" w:rsidRDefault="00AE5615" w:rsidP="00361D26">
      <w:r>
        <w:separator/>
      </w:r>
    </w:p>
  </w:endnote>
  <w:endnote w:type="continuationSeparator" w:id="0">
    <w:p w14:paraId="2CBBF7EF" w14:textId="77777777" w:rsidR="00AE5615" w:rsidRDefault="00AE5615" w:rsidP="0036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F47D" w14:textId="77777777" w:rsidR="006A59DE" w:rsidRDefault="009F280F" w:rsidP="00322937">
    <w:pPr>
      <w:pStyle w:val="Sinespaciado"/>
      <w:jc w:val="right"/>
      <w:rPr>
        <w:rFonts w:ascii="Arial" w:hAnsi="Arial" w:cs="Arial"/>
        <w:sz w:val="18"/>
        <w:szCs w:val="18"/>
      </w:rPr>
    </w:pPr>
  </w:p>
  <w:p w14:paraId="1D3C5AAB" w14:textId="77777777" w:rsidR="00080874" w:rsidRDefault="00361D26" w:rsidP="00080874">
    <w:pPr>
      <w:pStyle w:val="Piedepgina"/>
    </w:pPr>
    <w:r>
      <w:rPr>
        <w:noProof/>
        <w:lang w:eastAsia="es-CO"/>
      </w:rPr>
      <w:drawing>
        <wp:inline distT="0" distB="0" distL="0" distR="0" wp14:anchorId="1B01B0A1" wp14:editId="2AE1CCBB">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968"/>
      <w:gridCol w:w="720"/>
      <w:gridCol w:w="2509"/>
      <w:gridCol w:w="1367"/>
    </w:tblGrid>
    <w:tr w:rsidR="00080874" w:rsidRPr="00080DA3" w14:paraId="3A53FF61" w14:textId="77777777" w:rsidTr="00AB0396">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6F243E" w14:textId="77777777" w:rsidR="00080874" w:rsidRPr="00080DA3" w:rsidRDefault="00361D26" w:rsidP="0008087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5CE3B5C" w14:textId="77777777" w:rsidR="00080874" w:rsidRPr="00080DA3" w:rsidRDefault="00361D26" w:rsidP="0008087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3C81448" w14:textId="77777777" w:rsidR="00080874" w:rsidRPr="00080DA3" w:rsidRDefault="00361D26" w:rsidP="0008087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BF0286" w14:textId="77777777" w:rsidR="00080874" w:rsidRPr="00080DA3" w:rsidRDefault="00361D26" w:rsidP="00080874">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D08586" w14:textId="77777777" w:rsidR="00080874" w:rsidRPr="00080DA3" w:rsidRDefault="00361D26" w:rsidP="0008087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9F6463" w14:textId="77777777" w:rsidR="00080874" w:rsidRPr="00080DA3" w:rsidRDefault="00361D26" w:rsidP="00080874">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DAE36E" w14:textId="77777777" w:rsidR="00080874" w:rsidRPr="00080DA3" w:rsidRDefault="00361D26" w:rsidP="00080874">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4378EF00" w14:textId="77777777" w:rsidR="006A59DE" w:rsidRDefault="009F280F" w:rsidP="00322937">
    <w:pPr>
      <w:pStyle w:val="Piedepgina"/>
      <w:jc w:val="center"/>
      <w:rPr>
        <w:lang w:val="es-ES"/>
      </w:rPr>
    </w:pPr>
  </w:p>
  <w:p w14:paraId="1175A6C6" w14:textId="77777777" w:rsidR="006A59DE" w:rsidRDefault="009F280F" w:rsidP="007B0854">
    <w:pPr>
      <w:pStyle w:val="Piedepgina"/>
      <w:jc w:val="center"/>
      <w:rPr>
        <w:lang w:val="es-ES"/>
      </w:rPr>
    </w:pPr>
  </w:p>
  <w:p w14:paraId="698BB040" w14:textId="77777777" w:rsidR="006A59DE" w:rsidRPr="007B0854" w:rsidRDefault="009F280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F982" w14:textId="77777777" w:rsidR="00AE5615" w:rsidRDefault="00AE5615" w:rsidP="00361D26">
      <w:r>
        <w:separator/>
      </w:r>
    </w:p>
  </w:footnote>
  <w:footnote w:type="continuationSeparator" w:id="0">
    <w:p w14:paraId="47E7E832" w14:textId="77777777" w:rsidR="00AE5615" w:rsidRDefault="00AE5615" w:rsidP="00361D26">
      <w:r>
        <w:continuationSeparator/>
      </w:r>
    </w:p>
  </w:footnote>
  <w:footnote w:id="1">
    <w:p w14:paraId="0EC316AA" w14:textId="6CFF147C" w:rsidR="00361D26" w:rsidRPr="004515B5" w:rsidRDefault="00361D26" w:rsidP="006A1E7B">
      <w:pPr>
        <w:ind w:firstLine="709"/>
        <w:jc w:val="both"/>
        <w:rPr>
          <w:rFonts w:ascii="Arial" w:hAnsi="Arial" w:cs="Arial"/>
          <w:sz w:val="18"/>
          <w:szCs w:val="18"/>
        </w:rPr>
      </w:pPr>
      <w:r w:rsidRPr="004515B5">
        <w:rPr>
          <w:rStyle w:val="Refdenotaalpie"/>
          <w:rFonts w:ascii="Arial" w:hAnsi="Arial" w:cs="Arial"/>
          <w:sz w:val="18"/>
          <w:szCs w:val="18"/>
        </w:rPr>
        <w:footnoteRef/>
      </w:r>
      <w:r w:rsidRPr="004515B5">
        <w:rPr>
          <w:rFonts w:ascii="Arial" w:hAnsi="Arial" w:cs="Arial"/>
          <w:sz w:val="18"/>
          <w:szCs w:val="18"/>
        </w:rPr>
        <w:t xml:space="preserve"> </w:t>
      </w:r>
      <w:r w:rsidR="009465CE" w:rsidRPr="004515B5">
        <w:rPr>
          <w:rFonts w:ascii="Arial" w:hAnsi="Arial" w:cs="Arial"/>
          <w:sz w:val="18"/>
          <w:szCs w:val="18"/>
        </w:rPr>
        <w:t xml:space="preserve">CONSEJO DE ESTADO. </w:t>
      </w:r>
      <w:r w:rsidRPr="004515B5">
        <w:rPr>
          <w:rFonts w:ascii="Arial" w:hAnsi="Arial" w:cs="Arial"/>
          <w:sz w:val="18"/>
          <w:szCs w:val="18"/>
        </w:rPr>
        <w:t xml:space="preserve">Sala Plena de lo Contencioso Administrativo. Sentencia del 8 de agosto de 2001. </w:t>
      </w:r>
      <w:proofErr w:type="spellStart"/>
      <w:r w:rsidRPr="004515B5">
        <w:rPr>
          <w:rFonts w:ascii="Arial" w:hAnsi="Arial" w:cs="Arial"/>
          <w:sz w:val="18"/>
          <w:szCs w:val="18"/>
        </w:rPr>
        <w:t>Exp</w:t>
      </w:r>
      <w:proofErr w:type="spellEnd"/>
      <w:r w:rsidRPr="004515B5">
        <w:rPr>
          <w:rFonts w:ascii="Arial" w:hAnsi="Arial" w:cs="Arial"/>
          <w:sz w:val="18"/>
          <w:szCs w:val="18"/>
        </w:rPr>
        <w:t>. AC-10966 - AC-11274. Consejero Ponente: Reinaldo Chavarro Buriticá.</w:t>
      </w:r>
    </w:p>
    <w:p w14:paraId="0B12A953" w14:textId="77777777" w:rsidR="009465CE" w:rsidRPr="004515B5" w:rsidRDefault="009465CE" w:rsidP="006A1E7B">
      <w:pPr>
        <w:ind w:firstLine="709"/>
        <w:jc w:val="both"/>
        <w:rPr>
          <w:rFonts w:ascii="Arial" w:hAnsi="Arial" w:cs="Arial"/>
          <w:sz w:val="18"/>
          <w:szCs w:val="18"/>
        </w:rPr>
      </w:pPr>
    </w:p>
  </w:footnote>
  <w:footnote w:id="2">
    <w:p w14:paraId="6D4931D3" w14:textId="6F6EECEF" w:rsidR="00361D26" w:rsidRPr="004515B5" w:rsidRDefault="00361D26" w:rsidP="006A1E7B">
      <w:pPr>
        <w:pStyle w:val="Textonotapie"/>
        <w:ind w:firstLine="709"/>
        <w:jc w:val="both"/>
        <w:rPr>
          <w:rFonts w:ascii="Arial" w:hAnsi="Arial" w:cs="Arial"/>
          <w:sz w:val="18"/>
          <w:szCs w:val="18"/>
        </w:rPr>
      </w:pPr>
      <w:r w:rsidRPr="004515B5">
        <w:rPr>
          <w:rStyle w:val="Refdenotaalpie"/>
          <w:rFonts w:ascii="Arial" w:hAnsi="Arial" w:cs="Arial"/>
          <w:sz w:val="18"/>
          <w:szCs w:val="18"/>
        </w:rPr>
        <w:footnoteRef/>
      </w:r>
      <w:r w:rsidRPr="004515B5">
        <w:rPr>
          <w:rFonts w:ascii="Arial" w:hAnsi="Arial" w:cs="Arial"/>
          <w:sz w:val="18"/>
          <w:szCs w:val="18"/>
        </w:rPr>
        <w:t xml:space="preserve"> </w:t>
      </w:r>
      <w:r w:rsidR="009465CE" w:rsidRPr="004515B5">
        <w:rPr>
          <w:rFonts w:ascii="Arial" w:hAnsi="Arial" w:cs="Arial"/>
          <w:sz w:val="18"/>
          <w:szCs w:val="18"/>
        </w:rPr>
        <w:t xml:space="preserve">CONSEJO DE ESTADO. </w:t>
      </w:r>
      <w:r w:rsidRPr="004515B5">
        <w:rPr>
          <w:rFonts w:ascii="Arial" w:hAnsi="Arial" w:cs="Arial"/>
          <w:sz w:val="18"/>
          <w:szCs w:val="18"/>
        </w:rPr>
        <w:t xml:space="preserve">Sección Tercera. Subsección C. Sentencia del 29 de abril de 2015. </w:t>
      </w:r>
      <w:proofErr w:type="spellStart"/>
      <w:r w:rsidRPr="004515B5">
        <w:rPr>
          <w:rFonts w:ascii="Arial" w:hAnsi="Arial" w:cs="Arial"/>
          <w:sz w:val="18"/>
          <w:szCs w:val="18"/>
        </w:rPr>
        <w:t>Exp</w:t>
      </w:r>
      <w:proofErr w:type="spellEnd"/>
      <w:r w:rsidRPr="004515B5">
        <w:rPr>
          <w:rFonts w:ascii="Arial" w:hAnsi="Arial" w:cs="Arial"/>
          <w:sz w:val="18"/>
          <w:szCs w:val="18"/>
        </w:rPr>
        <w:t xml:space="preserve">. 31.620. Consejera Ponente: Olga Mélida Valle De </w:t>
      </w:r>
      <w:proofErr w:type="spellStart"/>
      <w:r w:rsidRPr="004515B5">
        <w:rPr>
          <w:rFonts w:ascii="Arial" w:hAnsi="Arial" w:cs="Arial"/>
          <w:sz w:val="18"/>
          <w:szCs w:val="18"/>
        </w:rPr>
        <w:t>De</w:t>
      </w:r>
      <w:proofErr w:type="spellEnd"/>
      <w:r w:rsidRPr="004515B5">
        <w:rPr>
          <w:rFonts w:ascii="Arial" w:hAnsi="Arial" w:cs="Arial"/>
          <w:sz w:val="18"/>
          <w:szCs w:val="18"/>
        </w:rPr>
        <w:t xml:space="preserve"> La Hoz (E)</w:t>
      </w:r>
    </w:p>
    <w:p w14:paraId="2C096317" w14:textId="77777777" w:rsidR="00361D26" w:rsidRPr="004515B5" w:rsidRDefault="00361D26" w:rsidP="006A1E7B">
      <w:pPr>
        <w:pStyle w:val="Textonotapie"/>
        <w:ind w:firstLine="709"/>
        <w:jc w:val="both"/>
        <w:rPr>
          <w:rFonts w:ascii="Arial" w:hAnsi="Arial" w:cs="Arial"/>
          <w:sz w:val="18"/>
          <w:szCs w:val="18"/>
          <w:lang w:val="es-CO"/>
        </w:rPr>
      </w:pPr>
    </w:p>
  </w:footnote>
  <w:footnote w:id="3">
    <w:p w14:paraId="7F2B3182" w14:textId="1FD33CAC" w:rsidR="00361D26" w:rsidRPr="004515B5" w:rsidRDefault="00361D26" w:rsidP="004515B5">
      <w:pPr>
        <w:pStyle w:val="Textonotapie"/>
        <w:spacing w:after="120"/>
        <w:ind w:firstLine="709"/>
        <w:jc w:val="both"/>
        <w:rPr>
          <w:rFonts w:ascii="Arial" w:hAnsi="Arial" w:cs="Arial"/>
          <w:sz w:val="18"/>
          <w:szCs w:val="18"/>
        </w:rPr>
      </w:pPr>
      <w:r w:rsidRPr="004515B5">
        <w:rPr>
          <w:rStyle w:val="Refdenotaalpie"/>
          <w:rFonts w:ascii="Arial" w:hAnsi="Arial" w:cs="Arial"/>
          <w:sz w:val="18"/>
          <w:szCs w:val="18"/>
        </w:rPr>
        <w:footnoteRef/>
      </w:r>
      <w:r w:rsidRPr="004515B5">
        <w:rPr>
          <w:rFonts w:ascii="Arial" w:hAnsi="Arial" w:cs="Arial"/>
          <w:sz w:val="18"/>
          <w:szCs w:val="18"/>
        </w:rPr>
        <w:t xml:space="preserve"> Ley 1474 de 2011: «</w:t>
      </w:r>
      <w:r w:rsidR="003A788C" w:rsidRPr="004515B5">
        <w:rPr>
          <w:rFonts w:ascii="Arial" w:hAnsi="Arial" w:cs="Arial"/>
          <w:sz w:val="18"/>
          <w:szCs w:val="18"/>
        </w:rPr>
        <w:t xml:space="preserve">Artículo </w:t>
      </w:r>
      <w:r w:rsidRPr="004515B5">
        <w:rPr>
          <w:rFonts w:ascii="Arial" w:hAnsi="Arial" w:cs="Arial"/>
          <w:sz w:val="18"/>
          <w:szCs w:val="18"/>
        </w:rPr>
        <w:t xml:space="preserve">91. </w:t>
      </w:r>
      <w:r w:rsidR="003A788C" w:rsidRPr="004515B5">
        <w:rPr>
          <w:rFonts w:ascii="Arial" w:hAnsi="Arial" w:cs="Arial"/>
          <w:sz w:val="18"/>
          <w:szCs w:val="18"/>
        </w:rPr>
        <w:t>Anticipos</w:t>
      </w:r>
      <w:r w:rsidRPr="004515B5">
        <w:rPr>
          <w:rFonts w:ascii="Arial" w:hAnsi="Arial" w:cs="Arial"/>
          <w:sz w:val="18"/>
          <w:szCs w:val="18"/>
        </w:rPr>
        <w:t>.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3717455C" w14:textId="77777777" w:rsidR="00361D26" w:rsidRPr="004515B5" w:rsidRDefault="00361D26" w:rsidP="004515B5">
      <w:pPr>
        <w:pStyle w:val="Textonotapie"/>
        <w:ind w:firstLine="708"/>
        <w:jc w:val="both"/>
        <w:rPr>
          <w:rFonts w:ascii="Arial" w:hAnsi="Arial" w:cs="Arial"/>
          <w:sz w:val="18"/>
          <w:szCs w:val="18"/>
        </w:rPr>
      </w:pPr>
      <w:proofErr w:type="gramStart"/>
      <w:r w:rsidRPr="004515B5">
        <w:rPr>
          <w:rFonts w:ascii="Arial" w:hAnsi="Arial" w:cs="Arial"/>
          <w:sz w:val="18"/>
          <w:szCs w:val="18"/>
        </w:rPr>
        <w:t>»El</w:t>
      </w:r>
      <w:proofErr w:type="gramEnd"/>
      <w:r w:rsidRPr="004515B5">
        <w:rPr>
          <w:rFonts w:ascii="Arial" w:hAnsi="Arial" w:cs="Arial"/>
          <w:sz w:val="18"/>
          <w:szCs w:val="18"/>
        </w:rPr>
        <w:t xml:space="preserve"> costo de la comisión fiduciaria será cubierto directamente por el contratista. […]»</w:t>
      </w:r>
    </w:p>
    <w:p w14:paraId="12CC9B17" w14:textId="77777777" w:rsidR="00361D26" w:rsidRPr="004515B5" w:rsidRDefault="00361D26" w:rsidP="006A1E7B">
      <w:pPr>
        <w:pStyle w:val="Textonotapie"/>
        <w:jc w:val="both"/>
        <w:rPr>
          <w:rFonts w:ascii="Arial" w:hAnsi="Arial" w:cs="Arial"/>
          <w:sz w:val="18"/>
          <w:szCs w:val="18"/>
          <w:lang w:val="es-CO"/>
        </w:rPr>
      </w:pPr>
    </w:p>
  </w:footnote>
  <w:footnote w:id="4">
    <w:p w14:paraId="4E666B77" w14:textId="77777777" w:rsidR="00361D26" w:rsidRPr="004515B5" w:rsidRDefault="00361D26" w:rsidP="004515B5">
      <w:pPr>
        <w:pStyle w:val="Textonotapie"/>
        <w:ind w:firstLine="708"/>
        <w:jc w:val="both"/>
        <w:rPr>
          <w:rFonts w:ascii="Arial" w:hAnsi="Arial" w:cs="Arial"/>
          <w:sz w:val="18"/>
          <w:szCs w:val="18"/>
        </w:rPr>
      </w:pPr>
      <w:r w:rsidRPr="004515B5">
        <w:rPr>
          <w:rStyle w:val="Refdenotaalpie"/>
          <w:rFonts w:ascii="Arial" w:hAnsi="Arial" w:cs="Arial"/>
          <w:sz w:val="18"/>
          <w:szCs w:val="18"/>
        </w:rPr>
        <w:footnoteRef/>
      </w:r>
      <w:r w:rsidRPr="004515B5">
        <w:rPr>
          <w:rFonts w:ascii="Arial" w:hAnsi="Arial" w:cs="Arial"/>
          <w:sz w:val="18"/>
          <w:szCs w:val="18"/>
        </w:rPr>
        <w:t xml:space="preserve"> Decreto 1082 de 2015: «Artículo 2.2.1.2.3.1.7. Garantía de cumplimiento. La garantía de cumplimiento del contrato debe cubrir: </w:t>
      </w:r>
    </w:p>
    <w:p w14:paraId="4A359137" w14:textId="77777777" w:rsidR="00361D26" w:rsidRPr="004515B5" w:rsidRDefault="00361D26" w:rsidP="004515B5">
      <w:pPr>
        <w:pStyle w:val="Textonotapie"/>
        <w:ind w:firstLine="708"/>
        <w:jc w:val="both"/>
        <w:rPr>
          <w:rFonts w:ascii="Arial" w:hAnsi="Arial" w:cs="Arial"/>
          <w:sz w:val="18"/>
          <w:szCs w:val="18"/>
        </w:rPr>
      </w:pPr>
      <w:r w:rsidRPr="004515B5">
        <w:rPr>
          <w:rFonts w:ascii="Arial" w:hAnsi="Arial" w:cs="Arial"/>
          <w:sz w:val="18"/>
          <w:szCs w:val="18"/>
        </w:rPr>
        <w:t>»1. Buen manejo y correcta inversión del anticipo. Este amparo cubre los perjuicios sufridos por la Entidad Estatal con ocasión de: (i) la no inversión del anticipo; (</w:t>
      </w:r>
      <w:proofErr w:type="spellStart"/>
      <w:r w:rsidRPr="004515B5">
        <w:rPr>
          <w:rFonts w:ascii="Arial" w:hAnsi="Arial" w:cs="Arial"/>
          <w:sz w:val="18"/>
          <w:szCs w:val="18"/>
        </w:rPr>
        <w:t>ii</w:t>
      </w:r>
      <w:proofErr w:type="spellEnd"/>
      <w:r w:rsidRPr="004515B5">
        <w:rPr>
          <w:rFonts w:ascii="Arial" w:hAnsi="Arial" w:cs="Arial"/>
          <w:sz w:val="18"/>
          <w:szCs w:val="18"/>
        </w:rPr>
        <w:t>) el uso indebido del anticipo; y (</w:t>
      </w:r>
      <w:proofErr w:type="spellStart"/>
      <w:r w:rsidRPr="004515B5">
        <w:rPr>
          <w:rFonts w:ascii="Arial" w:hAnsi="Arial" w:cs="Arial"/>
          <w:sz w:val="18"/>
          <w:szCs w:val="18"/>
        </w:rPr>
        <w:t>iii</w:t>
      </w:r>
      <w:proofErr w:type="spellEnd"/>
      <w:r w:rsidRPr="004515B5">
        <w:rPr>
          <w:rFonts w:ascii="Arial" w:hAnsi="Arial" w:cs="Arial"/>
          <w:sz w:val="18"/>
          <w:szCs w:val="18"/>
        </w:rPr>
        <w:t xml:space="preserve">) la apropiación indebida de los recursos recibidos en calidad de anticipo. </w:t>
      </w:r>
    </w:p>
    <w:p w14:paraId="047DA378" w14:textId="0A3F7992" w:rsidR="006A1E7B" w:rsidRPr="004515B5" w:rsidRDefault="00361D26" w:rsidP="004515B5">
      <w:pPr>
        <w:pStyle w:val="Textonotapie"/>
        <w:ind w:firstLine="708"/>
        <w:jc w:val="both"/>
        <w:rPr>
          <w:rFonts w:ascii="Arial" w:hAnsi="Arial" w:cs="Arial"/>
          <w:sz w:val="18"/>
          <w:szCs w:val="18"/>
        </w:rPr>
      </w:pPr>
      <w:r w:rsidRPr="004515B5">
        <w:rPr>
          <w:rFonts w:ascii="Arial" w:hAnsi="Arial" w:cs="Arial"/>
          <w:sz w:val="18"/>
          <w:szCs w:val="18"/>
        </w:rPr>
        <w:t xml:space="preserve">»2. Devolución del pago anticipado. Este amparo cubre los perjuicios sufridos por la Entidad Estatal por la no devolución total o parcial del dinero entregado al contratista a título de pago anticipado, cuando a ello hubiere lugar. </w:t>
      </w:r>
    </w:p>
    <w:p w14:paraId="0410D4C8" w14:textId="04903E1F" w:rsidR="00361D26" w:rsidRPr="004515B5" w:rsidRDefault="00361D26" w:rsidP="004515B5">
      <w:pPr>
        <w:pStyle w:val="Textonotapie"/>
        <w:ind w:left="708"/>
        <w:jc w:val="both"/>
        <w:rPr>
          <w:rFonts w:ascii="Arial" w:hAnsi="Arial" w:cs="Arial"/>
          <w:sz w:val="18"/>
          <w:szCs w:val="18"/>
        </w:rPr>
      </w:pPr>
      <w:r w:rsidRPr="004515B5">
        <w:rPr>
          <w:rFonts w:ascii="Arial" w:hAnsi="Arial" w:cs="Arial"/>
          <w:sz w:val="18"/>
          <w:szCs w:val="18"/>
        </w:rPr>
        <w:t>[…]</w:t>
      </w:r>
    </w:p>
    <w:p w14:paraId="14BFC26B" w14:textId="56E35D79" w:rsidR="00361D26" w:rsidRPr="004515B5" w:rsidRDefault="006A1E7B" w:rsidP="006A1E7B">
      <w:pPr>
        <w:pStyle w:val="Textonotapie"/>
        <w:ind w:firstLine="708"/>
        <w:jc w:val="both"/>
        <w:rPr>
          <w:rFonts w:ascii="Arial" w:hAnsi="Arial" w:cs="Arial"/>
          <w:sz w:val="18"/>
          <w:szCs w:val="18"/>
        </w:rPr>
      </w:pPr>
      <w:proofErr w:type="gramStart"/>
      <w:r w:rsidRPr="004515B5">
        <w:rPr>
          <w:rFonts w:ascii="Arial" w:hAnsi="Arial" w:cs="Arial"/>
          <w:sz w:val="18"/>
          <w:szCs w:val="18"/>
        </w:rPr>
        <w:t>»</w:t>
      </w:r>
      <w:r w:rsidR="00361D26" w:rsidRPr="004515B5">
        <w:rPr>
          <w:rFonts w:ascii="Arial" w:hAnsi="Arial" w:cs="Arial"/>
          <w:sz w:val="18"/>
          <w:szCs w:val="18"/>
        </w:rPr>
        <w:t>Artículo</w:t>
      </w:r>
      <w:proofErr w:type="gramEnd"/>
      <w:r w:rsidR="00361D26" w:rsidRPr="004515B5">
        <w:rPr>
          <w:rFonts w:ascii="Arial" w:hAnsi="Arial" w:cs="Arial"/>
          <w:sz w:val="18"/>
          <w:szCs w:val="18"/>
        </w:rPr>
        <w:t xml:space="preserve"> 2.2.1.2.3.1.10. Suficiencia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p>
    <w:p w14:paraId="753E2A23" w14:textId="328216C8" w:rsidR="006A1E7B" w:rsidRPr="004515B5" w:rsidRDefault="006A1E7B" w:rsidP="004515B5">
      <w:pPr>
        <w:pStyle w:val="Textonotapie"/>
        <w:ind w:firstLine="708"/>
        <w:jc w:val="both"/>
        <w:rPr>
          <w:rFonts w:ascii="Arial" w:hAnsi="Arial" w:cs="Arial"/>
          <w:sz w:val="18"/>
          <w:szCs w:val="18"/>
        </w:rPr>
      </w:pPr>
      <w:r w:rsidRPr="004515B5">
        <w:rPr>
          <w:rFonts w:ascii="Arial" w:hAnsi="Arial" w:cs="Arial"/>
          <w:sz w:val="18"/>
          <w:szCs w:val="18"/>
        </w:rPr>
        <w:t>[…]</w:t>
      </w:r>
    </w:p>
    <w:p w14:paraId="1B923A78" w14:textId="6B85C073" w:rsidR="00361D26" w:rsidRPr="004515B5" w:rsidRDefault="006A1E7B" w:rsidP="004515B5">
      <w:pPr>
        <w:pStyle w:val="Textonotapie"/>
        <w:ind w:firstLine="708"/>
        <w:jc w:val="both"/>
        <w:rPr>
          <w:rFonts w:ascii="Arial" w:hAnsi="Arial" w:cs="Arial"/>
          <w:sz w:val="18"/>
          <w:szCs w:val="18"/>
          <w:lang w:val="es-CO"/>
        </w:rPr>
      </w:pPr>
      <w:proofErr w:type="gramStart"/>
      <w:r w:rsidRPr="004515B5">
        <w:rPr>
          <w:rFonts w:ascii="Arial" w:hAnsi="Arial" w:cs="Arial"/>
          <w:sz w:val="18"/>
          <w:szCs w:val="18"/>
        </w:rPr>
        <w:t>»</w:t>
      </w:r>
      <w:r w:rsidR="00361D26" w:rsidRPr="004515B5">
        <w:rPr>
          <w:rFonts w:ascii="Arial" w:hAnsi="Arial" w:cs="Arial"/>
          <w:sz w:val="18"/>
          <w:szCs w:val="18"/>
        </w:rPr>
        <w:t>Artículo</w:t>
      </w:r>
      <w:proofErr w:type="gramEnd"/>
      <w:r w:rsidR="00361D26" w:rsidRPr="004515B5">
        <w:rPr>
          <w:rFonts w:ascii="Arial" w:hAnsi="Arial" w:cs="Arial"/>
          <w:sz w:val="18"/>
          <w:szCs w:val="18"/>
        </w:rPr>
        <w:t xml:space="preserve"> 2.2.1.2.3.1.11. Suficiencia de la garantía de pago anticipado. La garantía de pago anticipado debe estar vigente hasta la liquidación del contrato o hasta que la Entidad Estatal verifique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 especie.»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2257" w14:textId="77777777" w:rsidR="00304275" w:rsidRDefault="00304275" w:rsidP="00304275"/>
  <w:p w14:paraId="734C593D" w14:textId="77777777" w:rsidR="00304275" w:rsidRDefault="00304275" w:rsidP="00304275">
    <w:pPr>
      <w:rPr>
        <w:rFonts w:ascii="Geomanist Bold" w:hAnsi="Geomanist Bold"/>
        <w:color w:val="002060"/>
      </w:rPr>
    </w:pPr>
    <w:r>
      <w:rPr>
        <w:noProof/>
      </w:rPr>
      <w:drawing>
        <wp:anchor distT="0" distB="0" distL="0" distR="0" simplePos="0" relativeHeight="251661312" behindDoc="1" locked="0" layoutInCell="1" allowOverlap="1" wp14:anchorId="576EC371" wp14:editId="4F4CBA1D">
          <wp:simplePos x="0" y="0"/>
          <wp:positionH relativeFrom="margin">
            <wp:align>right</wp:align>
          </wp:positionH>
          <wp:positionV relativeFrom="paragraph">
            <wp:posOffset>6985</wp:posOffset>
          </wp:positionV>
          <wp:extent cx="1657350" cy="676275"/>
          <wp:effectExtent l="0" t="0" r="0" b="9525"/>
          <wp:wrapNone/>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304275" w14:paraId="4A4D84C6" w14:textId="77777777" w:rsidTr="0018765A">
      <w:tc>
        <w:tcPr>
          <w:tcW w:w="6757" w:type="dxa"/>
          <w:tcBorders>
            <w:top w:val="nil"/>
            <w:left w:val="nil"/>
            <w:bottom w:val="nil"/>
            <w:right w:val="nil"/>
          </w:tcBorders>
          <w:hideMark/>
        </w:tcPr>
        <w:p w14:paraId="53088041" w14:textId="77777777" w:rsidR="00304275" w:rsidRDefault="00304275" w:rsidP="00304275">
          <w:pPr>
            <w:tabs>
              <w:tab w:val="center" w:pos="4419"/>
              <w:tab w:val="center" w:pos="5400"/>
              <w:tab w:val="right" w:pos="8838"/>
            </w:tabs>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082D2AA3" w14:textId="77777777" w:rsidR="00304275" w:rsidRDefault="00304275" w:rsidP="00304275">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47C96DB4" w14:textId="77777777" w:rsidR="00304275" w:rsidRDefault="00304275" w:rsidP="00304275">
          <w:pPr>
            <w:jc w:val="right"/>
            <w:rPr>
              <w:rFonts w:eastAsia="Arial Nova" w:cs="Arial Nova"/>
              <w:lang w:eastAsia="es-CO"/>
            </w:rPr>
          </w:pPr>
        </w:p>
      </w:tc>
      <w:tc>
        <w:tcPr>
          <w:tcW w:w="1324" w:type="dxa"/>
          <w:tcBorders>
            <w:top w:val="nil"/>
            <w:left w:val="nil"/>
            <w:bottom w:val="nil"/>
            <w:right w:val="nil"/>
          </w:tcBorders>
        </w:tcPr>
        <w:p w14:paraId="15827EF7" w14:textId="77777777" w:rsidR="00304275" w:rsidRDefault="00304275" w:rsidP="00304275">
          <w:pPr>
            <w:jc w:val="right"/>
            <w:rPr>
              <w:rFonts w:eastAsia="Arial Nova" w:cs="Arial Nova"/>
              <w:lang w:eastAsia="es-CO"/>
            </w:rPr>
          </w:pPr>
        </w:p>
      </w:tc>
    </w:tr>
  </w:tbl>
  <w:p w14:paraId="1AEB7EDE" w14:textId="77777777" w:rsidR="00304275" w:rsidRDefault="00304275" w:rsidP="00304275">
    <w:r>
      <w:rPr>
        <w:noProof/>
      </w:rPr>
      <w:drawing>
        <wp:inline distT="0" distB="0" distL="0" distR="0" wp14:anchorId="4D8CD23C" wp14:editId="2E6A309F">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p w14:paraId="4A46CFC9" w14:textId="6DFFACAC" w:rsidR="006A59DE" w:rsidRDefault="009F2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6" type="#_x0000_t75" alt="Texto, Carta&#10;&#10;Descripción generada automáticamente" style="width:252pt;height:78.8pt;visibility:visible;mso-wrap-style:square" o:bullet="t">
        <v:imagedata r:id="rId1" o:title="Texto, Carta&#10;&#10;Descripción generada automáticamente" cropbottom="62010f" cropleft="-1087f" cropright="64960f"/>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283320"/>
    <w:multiLevelType w:val="multilevel"/>
    <w:tmpl w:val="FBB0305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E86F65"/>
    <w:multiLevelType w:val="hybridMultilevel"/>
    <w:tmpl w:val="7EA63564"/>
    <w:lvl w:ilvl="0" w:tplc="86086BFC">
      <w:start w:val="1"/>
      <w:numFmt w:val="bullet"/>
      <w:lvlText w:val=""/>
      <w:lvlPicBulletId w:val="0"/>
      <w:lvlJc w:val="left"/>
      <w:pPr>
        <w:tabs>
          <w:tab w:val="num" w:pos="720"/>
        </w:tabs>
        <w:ind w:left="720" w:hanging="360"/>
      </w:pPr>
      <w:rPr>
        <w:rFonts w:ascii="Symbol" w:hAnsi="Symbol" w:hint="default"/>
      </w:rPr>
    </w:lvl>
    <w:lvl w:ilvl="1" w:tplc="10C23B10" w:tentative="1">
      <w:start w:val="1"/>
      <w:numFmt w:val="bullet"/>
      <w:lvlText w:val=""/>
      <w:lvlJc w:val="left"/>
      <w:pPr>
        <w:tabs>
          <w:tab w:val="num" w:pos="1440"/>
        </w:tabs>
        <w:ind w:left="1440" w:hanging="360"/>
      </w:pPr>
      <w:rPr>
        <w:rFonts w:ascii="Symbol" w:hAnsi="Symbol" w:hint="default"/>
      </w:rPr>
    </w:lvl>
    <w:lvl w:ilvl="2" w:tplc="605AC478" w:tentative="1">
      <w:start w:val="1"/>
      <w:numFmt w:val="bullet"/>
      <w:lvlText w:val=""/>
      <w:lvlJc w:val="left"/>
      <w:pPr>
        <w:tabs>
          <w:tab w:val="num" w:pos="2160"/>
        </w:tabs>
        <w:ind w:left="2160" w:hanging="360"/>
      </w:pPr>
      <w:rPr>
        <w:rFonts w:ascii="Symbol" w:hAnsi="Symbol" w:hint="default"/>
      </w:rPr>
    </w:lvl>
    <w:lvl w:ilvl="3" w:tplc="BCD0FC48" w:tentative="1">
      <w:start w:val="1"/>
      <w:numFmt w:val="bullet"/>
      <w:lvlText w:val=""/>
      <w:lvlJc w:val="left"/>
      <w:pPr>
        <w:tabs>
          <w:tab w:val="num" w:pos="2880"/>
        </w:tabs>
        <w:ind w:left="2880" w:hanging="360"/>
      </w:pPr>
      <w:rPr>
        <w:rFonts w:ascii="Symbol" w:hAnsi="Symbol" w:hint="default"/>
      </w:rPr>
    </w:lvl>
    <w:lvl w:ilvl="4" w:tplc="E4226AF6" w:tentative="1">
      <w:start w:val="1"/>
      <w:numFmt w:val="bullet"/>
      <w:lvlText w:val=""/>
      <w:lvlJc w:val="left"/>
      <w:pPr>
        <w:tabs>
          <w:tab w:val="num" w:pos="3600"/>
        </w:tabs>
        <w:ind w:left="3600" w:hanging="360"/>
      </w:pPr>
      <w:rPr>
        <w:rFonts w:ascii="Symbol" w:hAnsi="Symbol" w:hint="default"/>
      </w:rPr>
    </w:lvl>
    <w:lvl w:ilvl="5" w:tplc="C46AA092" w:tentative="1">
      <w:start w:val="1"/>
      <w:numFmt w:val="bullet"/>
      <w:lvlText w:val=""/>
      <w:lvlJc w:val="left"/>
      <w:pPr>
        <w:tabs>
          <w:tab w:val="num" w:pos="4320"/>
        </w:tabs>
        <w:ind w:left="4320" w:hanging="360"/>
      </w:pPr>
      <w:rPr>
        <w:rFonts w:ascii="Symbol" w:hAnsi="Symbol" w:hint="default"/>
      </w:rPr>
    </w:lvl>
    <w:lvl w:ilvl="6" w:tplc="94980398" w:tentative="1">
      <w:start w:val="1"/>
      <w:numFmt w:val="bullet"/>
      <w:lvlText w:val=""/>
      <w:lvlJc w:val="left"/>
      <w:pPr>
        <w:tabs>
          <w:tab w:val="num" w:pos="5040"/>
        </w:tabs>
        <w:ind w:left="5040" w:hanging="360"/>
      </w:pPr>
      <w:rPr>
        <w:rFonts w:ascii="Symbol" w:hAnsi="Symbol" w:hint="default"/>
      </w:rPr>
    </w:lvl>
    <w:lvl w:ilvl="7" w:tplc="3BE88E22" w:tentative="1">
      <w:start w:val="1"/>
      <w:numFmt w:val="bullet"/>
      <w:lvlText w:val=""/>
      <w:lvlJc w:val="left"/>
      <w:pPr>
        <w:tabs>
          <w:tab w:val="num" w:pos="5760"/>
        </w:tabs>
        <w:ind w:left="5760" w:hanging="360"/>
      </w:pPr>
      <w:rPr>
        <w:rFonts w:ascii="Symbol" w:hAnsi="Symbol" w:hint="default"/>
      </w:rPr>
    </w:lvl>
    <w:lvl w:ilvl="8" w:tplc="17B01E8C" w:tentative="1">
      <w:start w:val="1"/>
      <w:numFmt w:val="bullet"/>
      <w:lvlText w:val=""/>
      <w:lvlJc w:val="left"/>
      <w:pPr>
        <w:tabs>
          <w:tab w:val="num" w:pos="6480"/>
        </w:tabs>
        <w:ind w:left="6480" w:hanging="360"/>
      </w:pPr>
      <w:rPr>
        <w:rFonts w:ascii="Symbol" w:hAnsi="Symbol" w:hint="default"/>
      </w:rPr>
    </w:lvl>
  </w:abstractNum>
  <w:num w:numId="1" w16cid:durableId="1139617285">
    <w:abstractNumId w:val="0"/>
  </w:num>
  <w:num w:numId="2" w16cid:durableId="1225482125">
    <w:abstractNumId w:val="1"/>
  </w:num>
  <w:num w:numId="3" w16cid:durableId="44153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26"/>
    <w:rsid w:val="001444F6"/>
    <w:rsid w:val="002B034D"/>
    <w:rsid w:val="00304275"/>
    <w:rsid w:val="00344CDC"/>
    <w:rsid w:val="00361D26"/>
    <w:rsid w:val="003A788C"/>
    <w:rsid w:val="004515B5"/>
    <w:rsid w:val="00460205"/>
    <w:rsid w:val="0054479D"/>
    <w:rsid w:val="005503AE"/>
    <w:rsid w:val="006A1E7B"/>
    <w:rsid w:val="007A39B0"/>
    <w:rsid w:val="00842FFE"/>
    <w:rsid w:val="00853F93"/>
    <w:rsid w:val="009465CE"/>
    <w:rsid w:val="009742DA"/>
    <w:rsid w:val="009F280F"/>
    <w:rsid w:val="00AE5615"/>
    <w:rsid w:val="00B53B0A"/>
    <w:rsid w:val="00BA5012"/>
    <w:rsid w:val="00D61F01"/>
    <w:rsid w:val="00E54DEF"/>
    <w:rsid w:val="00F77425"/>
    <w:rsid w:val="00FD40BC"/>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AA62"/>
  <w15:chartTrackingRefBased/>
  <w15:docId w15:val="{72E1E7AC-4AD6-409C-9CFF-10EBD352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2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1D2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61D26"/>
    <w:rPr>
      <w:sz w:val="24"/>
      <w:lang w:val="es-MX"/>
    </w:rPr>
  </w:style>
  <w:style w:type="paragraph" w:styleId="Encabezado">
    <w:name w:val="header"/>
    <w:basedOn w:val="Normal"/>
    <w:link w:val="EncabezadoCar"/>
    <w:uiPriority w:val="99"/>
    <w:unhideWhenUsed/>
    <w:rsid w:val="00361D2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61D26"/>
    <w:rPr>
      <w:sz w:val="24"/>
      <w:lang w:val="es-MX"/>
    </w:rPr>
  </w:style>
  <w:style w:type="table" w:styleId="Tablaconcuadrcula">
    <w:name w:val="Table Grid"/>
    <w:basedOn w:val="Tablanormal"/>
    <w:uiPriority w:val="39"/>
    <w:rsid w:val="0036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61D26"/>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361D26"/>
    <w:rPr>
      <w:color w:val="0563C1" w:themeColor="hyperlink"/>
      <w:u w:val="single"/>
    </w:rPr>
  </w:style>
  <w:style w:type="paragraph" w:styleId="NormalWeb">
    <w:name w:val="Normal (Web)"/>
    <w:basedOn w:val="Normal"/>
    <w:link w:val="NormalWebCar"/>
    <w:uiPriority w:val="99"/>
    <w:unhideWhenUsed/>
    <w:rsid w:val="00361D26"/>
    <w:pPr>
      <w:spacing w:before="100" w:beforeAutospacing="1" w:after="100" w:afterAutospacing="1"/>
    </w:pPr>
    <w:rPr>
      <w:lang w:eastAsia="es-CO"/>
    </w:rPr>
  </w:style>
  <w:style w:type="paragraph" w:styleId="Sinespaciado">
    <w:name w:val="No Spacing"/>
    <w:aliases w:val="No Indent"/>
    <w:uiPriority w:val="3"/>
    <w:qFormat/>
    <w:rsid w:val="00361D2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61D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61D2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61D2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61D2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361D26"/>
    <w:rPr>
      <w:vertAlign w:val="superscript"/>
    </w:rPr>
  </w:style>
  <w:style w:type="table" w:customStyle="1" w:styleId="Tablaconcuadrcula1">
    <w:name w:val="Tabla con cuadrícula1"/>
    <w:basedOn w:val="Tablanormal"/>
    <w:next w:val="Tablaconcuadrcula"/>
    <w:uiPriority w:val="59"/>
    <w:rsid w:val="00361D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61D26"/>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361D26"/>
    <w:rPr>
      <w:b/>
      <w:bCs/>
    </w:rPr>
  </w:style>
  <w:style w:type="character" w:customStyle="1" w:styleId="NormalWebCar">
    <w:name w:val="Normal (Web) Car"/>
    <w:link w:val="NormalWeb"/>
    <w:uiPriority w:val="99"/>
    <w:rsid w:val="00361D26"/>
    <w:rPr>
      <w:rFonts w:ascii="Times New Roman" w:eastAsia="Times New Roman" w:hAnsi="Times New Roman" w:cs="Times New Roman"/>
      <w:sz w:val="24"/>
      <w:szCs w:val="24"/>
      <w:lang w:eastAsia="es-CO"/>
    </w:rPr>
  </w:style>
  <w:style w:type="paragraph" w:customStyle="1" w:styleId="Default">
    <w:name w:val="Default"/>
    <w:rsid w:val="00361D26"/>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304275"/>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A5012"/>
    <w:rPr>
      <w:sz w:val="16"/>
      <w:szCs w:val="16"/>
    </w:rPr>
  </w:style>
  <w:style w:type="paragraph" w:styleId="Textocomentario">
    <w:name w:val="annotation text"/>
    <w:basedOn w:val="Normal"/>
    <w:link w:val="TextocomentarioCar"/>
    <w:uiPriority w:val="99"/>
    <w:unhideWhenUsed/>
    <w:rsid w:val="00BA5012"/>
    <w:rPr>
      <w:sz w:val="20"/>
      <w:szCs w:val="20"/>
    </w:rPr>
  </w:style>
  <w:style w:type="character" w:customStyle="1" w:styleId="TextocomentarioCar">
    <w:name w:val="Texto comentario Car"/>
    <w:basedOn w:val="Fuentedeprrafopredeter"/>
    <w:link w:val="Textocomentario"/>
    <w:uiPriority w:val="99"/>
    <w:rsid w:val="00BA501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A5012"/>
    <w:rPr>
      <w:b/>
      <w:bCs/>
    </w:rPr>
  </w:style>
  <w:style w:type="character" w:customStyle="1" w:styleId="AsuntodelcomentarioCar">
    <w:name w:val="Asunto del comentario Car"/>
    <w:basedOn w:val="TextocomentarioCar"/>
    <w:link w:val="Asuntodelcomentario"/>
    <w:uiPriority w:val="99"/>
    <w:semiHidden/>
    <w:rsid w:val="00BA501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2212</Words>
  <Characters>12172</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Ana Maria Velez Arteaga</cp:lastModifiedBy>
  <cp:revision>11</cp:revision>
  <dcterms:created xsi:type="dcterms:W3CDTF">2023-02-23T15:22:00Z</dcterms:created>
  <dcterms:modified xsi:type="dcterms:W3CDTF">2023-02-23T15:32:00Z</dcterms:modified>
</cp:coreProperties>
</file>