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A32E" w14:textId="77777777" w:rsidR="003F18DE" w:rsidRPr="001F77B3" w:rsidRDefault="003F18DE" w:rsidP="00886E97">
      <w:pPr>
        <w:jc w:val="both"/>
        <w:rPr>
          <w:rFonts w:ascii="Arial" w:eastAsia="Calibri" w:hAnsi="Arial" w:cs="Arial"/>
          <w:b/>
          <w:sz w:val="16"/>
          <w:szCs w:val="16"/>
          <w:lang w:eastAsia="en-US"/>
        </w:rPr>
      </w:pPr>
      <w:bookmarkStart w:id="0" w:name="_Hlk52928496"/>
    </w:p>
    <w:bookmarkEnd w:id="0"/>
    <w:p w14:paraId="42744D6B" w14:textId="77777777" w:rsidR="00652BAA" w:rsidRPr="00D54E11" w:rsidRDefault="00652BAA" w:rsidP="00D54E11">
      <w:pPr>
        <w:spacing w:line="259" w:lineRule="auto"/>
        <w:jc w:val="both"/>
        <w:rPr>
          <w:rFonts w:ascii="Geomanist Light" w:eastAsia="Calibri" w:hAnsi="Geomanist Light"/>
          <w:b/>
          <w:bCs/>
          <w:sz w:val="22"/>
          <w:szCs w:val="22"/>
          <w:lang w:val="es-MX" w:eastAsia="en-US"/>
        </w:rPr>
      </w:pPr>
      <w:r w:rsidRPr="00D54E11">
        <w:rPr>
          <w:rFonts w:ascii="Geomanist Light" w:eastAsia="Calibri" w:hAnsi="Geomanist Light"/>
          <w:b/>
          <w:bCs/>
          <w:sz w:val="22"/>
          <w:szCs w:val="22"/>
          <w:lang w:val="es-MX" w:eastAsia="en-US"/>
        </w:rPr>
        <w:t xml:space="preserve">EXPERIENCIA – Noción – </w:t>
      </w:r>
      <w:r w:rsidRPr="00A375D5">
        <w:rPr>
          <w:rFonts w:ascii="Geomanist Light" w:eastAsia="Calibri" w:hAnsi="Geomanist Light"/>
          <w:b/>
          <w:bCs/>
          <w:sz w:val="22"/>
          <w:szCs w:val="22"/>
          <w:lang w:val="es-MX" w:eastAsia="en-US"/>
        </w:rPr>
        <w:t>Concepto</w:t>
      </w:r>
    </w:p>
    <w:p w14:paraId="0C145C33" w14:textId="77777777" w:rsidR="00D54E11" w:rsidRDefault="00D54E11" w:rsidP="008B22E0">
      <w:pPr>
        <w:spacing w:after="120"/>
        <w:jc w:val="both"/>
        <w:rPr>
          <w:rFonts w:ascii="Arial" w:eastAsia="Calibri" w:hAnsi="Arial" w:cs="Arial"/>
          <w:sz w:val="20"/>
          <w:szCs w:val="20"/>
          <w:lang w:eastAsia="en-US"/>
        </w:rPr>
      </w:pPr>
    </w:p>
    <w:p w14:paraId="21BDD590" w14:textId="03EBE748" w:rsidR="008B22E0" w:rsidRPr="00D54E11" w:rsidRDefault="008B22E0" w:rsidP="00D54E11">
      <w:pPr>
        <w:jc w:val="both"/>
        <w:rPr>
          <w:rFonts w:ascii="Geomanist Light" w:eastAsia="Calibri" w:hAnsi="Geomanist Light"/>
          <w:sz w:val="20"/>
          <w:szCs w:val="20"/>
          <w:lang w:val="es-MX" w:eastAsia="en-US"/>
        </w:rPr>
      </w:pPr>
      <w:r w:rsidRPr="00D54E11">
        <w:rPr>
          <w:rFonts w:ascii="Geomanist Light" w:eastAsia="Calibri" w:hAnsi="Geomanist Light"/>
          <w:sz w:val="20"/>
          <w:szCs w:val="20"/>
          <w:lang w:val="es-MX" w:eastAsia="en-US"/>
        </w:rPr>
        <w:t xml:space="preserve">La Ley 1150 de 2007, en el artículo 5, dispone que 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3D21D25B" w14:textId="0AB6C9E9" w:rsidR="00652BAA" w:rsidRPr="00D54E11" w:rsidRDefault="008B22E0" w:rsidP="00D54E11">
      <w:pPr>
        <w:jc w:val="both"/>
        <w:rPr>
          <w:rFonts w:ascii="Geomanist Light" w:eastAsia="Calibri" w:hAnsi="Geomanist Light"/>
          <w:sz w:val="20"/>
          <w:szCs w:val="20"/>
          <w:lang w:val="es-MX" w:eastAsia="en-US"/>
        </w:rPr>
      </w:pPr>
      <w:r w:rsidRPr="00D54E11">
        <w:rPr>
          <w:rFonts w:ascii="Geomanist Light" w:eastAsia="Calibri" w:hAnsi="Geomanist Light"/>
          <w:sz w:val="20"/>
          <w:szCs w:val="20"/>
          <w:lang w:val="es-MX" w:eastAsia="en-US"/>
        </w:rPr>
        <w:t>Para ello,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la capacidad jurídica, financiera y de organización del proponente y su clasificación. En este registro constan los requisitos habilitantes que se evalúan exclusivamente con este documento, que es plena prueba, sin que la entidad o el proponente puedan, en principio, solicitar o aportar otra documentación</w:t>
      </w:r>
      <w:r w:rsidR="00652BAA" w:rsidRPr="00D54E11">
        <w:rPr>
          <w:rFonts w:ascii="Geomanist Light" w:eastAsia="Calibri" w:hAnsi="Geomanist Light"/>
          <w:sz w:val="20"/>
          <w:szCs w:val="20"/>
          <w:lang w:val="es-MX" w:eastAsia="en-US"/>
        </w:rPr>
        <w:t>.</w:t>
      </w:r>
    </w:p>
    <w:p w14:paraId="558FC780" w14:textId="77777777" w:rsidR="00652BAA" w:rsidRPr="00D54E11" w:rsidRDefault="00652BAA" w:rsidP="00D54E11">
      <w:pPr>
        <w:jc w:val="both"/>
        <w:rPr>
          <w:rFonts w:ascii="Geomanist Light" w:eastAsia="Calibri" w:hAnsi="Geomanist Light"/>
          <w:sz w:val="20"/>
          <w:szCs w:val="20"/>
          <w:lang w:val="es-MX" w:eastAsia="en-US"/>
        </w:rPr>
      </w:pPr>
      <w:r w:rsidRPr="00D54E11">
        <w:rPr>
          <w:rFonts w:ascii="Geomanist Light" w:eastAsia="Calibri" w:hAnsi="Geomanist Light"/>
          <w:sz w:val="20"/>
          <w:szCs w:val="20"/>
          <w:lang w:val="es-MX" w:eastAsia="en-US"/>
        </w:rPr>
        <w:t>[…]</w:t>
      </w:r>
    </w:p>
    <w:p w14:paraId="07E54D33" w14:textId="05C4FD83" w:rsidR="00652BAA" w:rsidRPr="00D54E11" w:rsidRDefault="008B22E0" w:rsidP="00D54E11">
      <w:pPr>
        <w:jc w:val="both"/>
        <w:rPr>
          <w:rFonts w:ascii="Geomanist Light" w:eastAsia="Calibri" w:hAnsi="Geomanist Light"/>
          <w:sz w:val="20"/>
          <w:szCs w:val="20"/>
          <w:lang w:val="es-MX" w:eastAsia="en-US"/>
        </w:rPr>
      </w:pPr>
      <w:r w:rsidRPr="00D54E11">
        <w:rPr>
          <w:rFonts w:ascii="Geomanist Light" w:eastAsia="Calibri" w:hAnsi="Geomanist Light"/>
          <w:sz w:val="20"/>
          <w:szCs w:val="20"/>
          <w:lang w:val="es-MX" w:eastAsia="en-US"/>
        </w:rPr>
        <w:t>La experiencia debe inscribirse, renovarse o actualizarse en el RUP con copia de los contratos o con certificados de los contratos celebrados por el proponente con diferentes contratantes. Estos terceros expiden dichas certificaciones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r w:rsidR="00652BAA" w:rsidRPr="00D54E11">
        <w:rPr>
          <w:rFonts w:ascii="Geomanist Light" w:eastAsia="Calibri" w:hAnsi="Geomanist Light"/>
          <w:sz w:val="20"/>
          <w:szCs w:val="20"/>
          <w:lang w:val="es-MX" w:eastAsia="en-US"/>
        </w:rPr>
        <w:t>.</w:t>
      </w:r>
    </w:p>
    <w:p w14:paraId="621022D5" w14:textId="77777777" w:rsidR="00D54E11" w:rsidRDefault="00D54E11" w:rsidP="00B71741">
      <w:pPr>
        <w:spacing w:after="240"/>
        <w:jc w:val="both"/>
        <w:rPr>
          <w:rFonts w:ascii="Arial" w:eastAsia="Calibri" w:hAnsi="Arial" w:cs="Arial"/>
          <w:b/>
          <w:sz w:val="22"/>
        </w:rPr>
      </w:pPr>
    </w:p>
    <w:p w14:paraId="49B3F7D4" w14:textId="6F2F7A0F" w:rsidR="00514D99" w:rsidRPr="00EA42EF" w:rsidRDefault="00D53C6C" w:rsidP="00D54E11">
      <w:pPr>
        <w:spacing w:line="259" w:lineRule="auto"/>
        <w:jc w:val="both"/>
        <w:rPr>
          <w:rFonts w:ascii="Geomanist Light" w:eastAsia="Calibri" w:hAnsi="Geomanist Light"/>
          <w:b/>
          <w:bCs/>
          <w:sz w:val="22"/>
          <w:szCs w:val="22"/>
          <w:lang w:val="es-MX" w:eastAsia="en-US"/>
        </w:rPr>
      </w:pPr>
      <w:r w:rsidRPr="00EA42EF">
        <w:rPr>
          <w:rFonts w:ascii="Geomanist Light" w:eastAsia="Calibri" w:hAnsi="Geomanist Light"/>
          <w:b/>
          <w:bCs/>
          <w:sz w:val="22"/>
          <w:szCs w:val="22"/>
          <w:lang w:val="es-MX" w:eastAsia="en-US"/>
        </w:rPr>
        <w:t xml:space="preserve">EXPERIENCIA – Transferencia </w:t>
      </w:r>
      <w:r w:rsidR="00A10053" w:rsidRPr="00EA42EF">
        <w:rPr>
          <w:rFonts w:ascii="Geomanist Light" w:eastAsia="Calibri" w:hAnsi="Geomanist Light"/>
          <w:b/>
          <w:bCs/>
          <w:sz w:val="22"/>
          <w:szCs w:val="22"/>
          <w:lang w:val="es-MX" w:eastAsia="en-US"/>
        </w:rPr>
        <w:t>–</w:t>
      </w:r>
      <w:r w:rsidR="00104400" w:rsidRPr="00EA42EF">
        <w:rPr>
          <w:rFonts w:ascii="Geomanist Light" w:eastAsia="Calibri" w:hAnsi="Geomanist Light"/>
          <w:b/>
          <w:bCs/>
          <w:sz w:val="22"/>
          <w:szCs w:val="22"/>
          <w:lang w:val="es-MX" w:eastAsia="en-US"/>
        </w:rPr>
        <w:t xml:space="preserve"> </w:t>
      </w:r>
      <w:r w:rsidR="00A10053" w:rsidRPr="00EA42EF">
        <w:rPr>
          <w:rFonts w:ascii="Geomanist Light" w:eastAsia="Calibri" w:hAnsi="Geomanist Light"/>
          <w:b/>
          <w:bCs/>
          <w:sz w:val="22"/>
          <w:szCs w:val="22"/>
          <w:lang w:val="es-MX" w:eastAsia="en-US"/>
        </w:rPr>
        <w:t>A</w:t>
      </w:r>
      <w:r w:rsidR="001E2866" w:rsidRPr="00EA42EF">
        <w:rPr>
          <w:rFonts w:ascii="Geomanist Light" w:eastAsia="Calibri" w:hAnsi="Geomanist Light"/>
          <w:b/>
          <w:bCs/>
          <w:sz w:val="22"/>
          <w:szCs w:val="22"/>
          <w:lang w:val="es-MX" w:eastAsia="en-US"/>
        </w:rPr>
        <w:t xml:space="preserve">ccionistas, </w:t>
      </w:r>
      <w:r w:rsidRPr="00EA42EF">
        <w:rPr>
          <w:rFonts w:ascii="Geomanist Light" w:eastAsia="Calibri" w:hAnsi="Geomanist Light"/>
          <w:b/>
          <w:bCs/>
          <w:sz w:val="22"/>
          <w:szCs w:val="22"/>
          <w:lang w:val="es-MX" w:eastAsia="en-US"/>
        </w:rPr>
        <w:t>socios</w:t>
      </w:r>
      <w:r w:rsidR="001E2866" w:rsidRPr="00EA42EF">
        <w:rPr>
          <w:rFonts w:ascii="Geomanist Light" w:eastAsia="Calibri" w:hAnsi="Geomanist Light"/>
          <w:b/>
          <w:bCs/>
          <w:sz w:val="22"/>
          <w:szCs w:val="22"/>
          <w:lang w:val="es-MX" w:eastAsia="en-US"/>
        </w:rPr>
        <w:t xml:space="preserve"> o constituyentes</w:t>
      </w:r>
      <w:r w:rsidRPr="00EA42EF">
        <w:rPr>
          <w:rFonts w:ascii="Geomanist Light" w:eastAsia="Calibri" w:hAnsi="Geomanist Light"/>
          <w:b/>
          <w:bCs/>
          <w:sz w:val="22"/>
          <w:szCs w:val="22"/>
          <w:lang w:val="es-MX" w:eastAsia="en-US"/>
        </w:rPr>
        <w:t xml:space="preserve"> – Decreto 1082 de 2015</w:t>
      </w:r>
    </w:p>
    <w:p w14:paraId="0B6A8538" w14:textId="77777777" w:rsidR="00D54E11" w:rsidRPr="001F77B3" w:rsidRDefault="00D54E11" w:rsidP="00D54E11">
      <w:pPr>
        <w:spacing w:line="259" w:lineRule="auto"/>
        <w:jc w:val="both"/>
        <w:rPr>
          <w:rFonts w:ascii="Arial" w:eastAsia="Calibri" w:hAnsi="Arial" w:cs="Arial"/>
          <w:b/>
          <w:sz w:val="22"/>
        </w:rPr>
      </w:pPr>
    </w:p>
    <w:p w14:paraId="2BFFC24C" w14:textId="44587782" w:rsidR="001E2866" w:rsidRPr="00EA42EF" w:rsidRDefault="001E2866" w:rsidP="00EA42EF">
      <w:pPr>
        <w:jc w:val="both"/>
        <w:rPr>
          <w:rFonts w:ascii="Geomanist Light" w:eastAsia="Calibri" w:hAnsi="Geomanist Light"/>
          <w:sz w:val="20"/>
          <w:szCs w:val="20"/>
          <w:lang w:val="es-MX" w:eastAsia="en-US"/>
        </w:rPr>
      </w:pPr>
      <w:r w:rsidRPr="00EA42EF">
        <w:rPr>
          <w:rFonts w:ascii="Geomanist Light" w:eastAsia="Calibri" w:hAnsi="Geomanist Light"/>
          <w:sz w:val="20"/>
          <w:szCs w:val="20"/>
          <w:lang w:val="es-MX" w:eastAsia="en-US"/>
        </w:rPr>
        <w:t xml:space="preserve">La parte final del numeral 2.5 del </w:t>
      </w:r>
      <w:r w:rsidR="00104400" w:rsidRPr="00EA42EF">
        <w:rPr>
          <w:rFonts w:ascii="Geomanist Light" w:eastAsia="Calibri" w:hAnsi="Geomanist Light"/>
          <w:sz w:val="20"/>
          <w:szCs w:val="20"/>
          <w:lang w:val="es-MX" w:eastAsia="en-US"/>
        </w:rPr>
        <w:t xml:space="preserve">artículo 2.2.1.1.1.5.2. del Decreto 1082 de 2015 </w:t>
      </w:r>
      <w:r w:rsidRPr="00EA42EF">
        <w:rPr>
          <w:rFonts w:ascii="Geomanist Light" w:eastAsia="Calibri" w:hAnsi="Geomanist Light"/>
          <w:sz w:val="20"/>
          <w:szCs w:val="20"/>
          <w:lang w:val="es-MX" w:eastAsia="en-US"/>
        </w:rPr>
        <w:t>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r w:rsidR="00F42431" w:rsidRPr="00EA42EF">
        <w:rPr>
          <w:rFonts w:ascii="Geomanist Light" w:eastAsia="Calibri" w:hAnsi="Geomanist Light"/>
          <w:sz w:val="20"/>
          <w:szCs w:val="20"/>
          <w:lang w:val="es-MX" w:eastAsia="en-US"/>
        </w:rPr>
        <w:t>.</w:t>
      </w:r>
      <w:r w:rsidR="00CF7275" w:rsidRPr="00EA42EF">
        <w:rPr>
          <w:rFonts w:ascii="Geomanist Light" w:eastAsia="Calibri" w:hAnsi="Geomanist Light"/>
          <w:sz w:val="20"/>
          <w:szCs w:val="20"/>
          <w:lang w:val="es-MX" w:eastAsia="en-US"/>
        </w:rPr>
        <w:t xml:space="preserve"> </w:t>
      </w:r>
      <w:r w:rsidR="00F42431" w:rsidRPr="00EA42EF">
        <w:rPr>
          <w:rFonts w:ascii="Geomanist Light" w:eastAsia="Calibri" w:hAnsi="Geomanist Light"/>
          <w:sz w:val="20"/>
          <w:szCs w:val="20"/>
          <w:lang w:val="es-MX" w:eastAsia="en-US"/>
        </w:rPr>
        <w:t>A pesar de que la experiencia es inherente a la persona que la ha obtenido, razón por la cual es intransferible en virtud de su carácter personalísimo, por disposición legal o reglamentaria, en casos excepcionales, como el descrito por el artículo mencionado, se permite hacerlo</w:t>
      </w:r>
      <w:r w:rsidRPr="00EA42EF">
        <w:rPr>
          <w:rFonts w:ascii="Geomanist Light" w:eastAsia="Calibri" w:hAnsi="Geomanist Light"/>
          <w:sz w:val="20"/>
          <w:szCs w:val="20"/>
          <w:lang w:val="es-MX" w:eastAsia="en-US"/>
        </w:rPr>
        <w:t>.</w:t>
      </w:r>
    </w:p>
    <w:p w14:paraId="326AC440" w14:textId="77777777" w:rsidR="00B71741" w:rsidRPr="00EA42EF" w:rsidRDefault="00B71741" w:rsidP="00EA42EF">
      <w:pPr>
        <w:jc w:val="both"/>
        <w:rPr>
          <w:rFonts w:ascii="Geomanist Light" w:eastAsia="Calibri" w:hAnsi="Geomanist Light"/>
          <w:sz w:val="20"/>
          <w:szCs w:val="20"/>
          <w:lang w:val="es-MX" w:eastAsia="en-US"/>
        </w:rPr>
      </w:pPr>
    </w:p>
    <w:p w14:paraId="0DCDB14F" w14:textId="44F79AC0" w:rsidR="001E2866" w:rsidRPr="00EA42EF" w:rsidRDefault="001E2866" w:rsidP="00EA42EF">
      <w:pPr>
        <w:jc w:val="both"/>
        <w:rPr>
          <w:rFonts w:ascii="Geomanist Light" w:eastAsia="Calibri" w:hAnsi="Geomanist Light"/>
          <w:sz w:val="20"/>
          <w:szCs w:val="20"/>
          <w:lang w:val="es-MX" w:eastAsia="en-US"/>
        </w:rPr>
      </w:pPr>
      <w:r w:rsidRPr="00EA42EF">
        <w:rPr>
          <w:rFonts w:ascii="Geomanist Light" w:eastAsia="Calibri" w:hAnsi="Geomanist Light"/>
          <w:sz w:val="20"/>
          <w:szCs w:val="20"/>
          <w:lang w:val="es-MX" w:eastAsia="en-US"/>
        </w:rPr>
        <w:t xml:space="preserve">[…] </w:t>
      </w:r>
    </w:p>
    <w:p w14:paraId="69F886DF" w14:textId="77777777" w:rsidR="00B71741" w:rsidRPr="00EA42EF" w:rsidRDefault="00B71741" w:rsidP="00EA42EF">
      <w:pPr>
        <w:jc w:val="both"/>
        <w:rPr>
          <w:rFonts w:ascii="Geomanist Light" w:eastAsia="Calibri" w:hAnsi="Geomanist Light"/>
          <w:sz w:val="20"/>
          <w:szCs w:val="20"/>
          <w:lang w:val="es-MX" w:eastAsia="en-US"/>
        </w:rPr>
      </w:pPr>
    </w:p>
    <w:p w14:paraId="58089222" w14:textId="0473B162" w:rsidR="001E2866" w:rsidRDefault="001E2866" w:rsidP="00EA42EF">
      <w:pPr>
        <w:jc w:val="both"/>
        <w:rPr>
          <w:rFonts w:ascii="Geomanist Light" w:eastAsia="Calibri" w:hAnsi="Geomanist Light"/>
          <w:sz w:val="20"/>
          <w:szCs w:val="20"/>
          <w:lang w:val="es-MX" w:eastAsia="en-US"/>
        </w:rPr>
      </w:pPr>
      <w:r w:rsidRPr="00EA42EF">
        <w:rPr>
          <w:rFonts w:ascii="Geomanist Light" w:eastAsia="Calibri" w:hAnsi="Geomanist Light"/>
          <w:sz w:val="20"/>
          <w:szCs w:val="20"/>
          <w:lang w:val="es-MX"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 pública.</w:t>
      </w:r>
    </w:p>
    <w:p w14:paraId="6568A091" w14:textId="77777777" w:rsidR="00A12ABE" w:rsidRPr="00EA42EF" w:rsidRDefault="00A12ABE" w:rsidP="00EA42EF">
      <w:pPr>
        <w:jc w:val="both"/>
        <w:rPr>
          <w:rFonts w:ascii="Geomanist Light" w:eastAsia="Calibri" w:hAnsi="Geomanist Light"/>
          <w:sz w:val="20"/>
          <w:szCs w:val="20"/>
          <w:lang w:val="es-MX" w:eastAsia="en-US"/>
        </w:rPr>
      </w:pPr>
    </w:p>
    <w:p w14:paraId="14122727" w14:textId="77777777" w:rsidR="00EA42EF" w:rsidRDefault="00EA42EF" w:rsidP="00EA42EF">
      <w:pPr>
        <w:spacing w:line="259" w:lineRule="auto"/>
        <w:jc w:val="both"/>
        <w:rPr>
          <w:rFonts w:ascii="Geomanist Light" w:eastAsia="Calibri" w:hAnsi="Geomanist Light"/>
          <w:b/>
          <w:bCs/>
          <w:sz w:val="22"/>
          <w:szCs w:val="22"/>
          <w:lang w:val="es-MX" w:eastAsia="en-US"/>
        </w:rPr>
      </w:pPr>
    </w:p>
    <w:p w14:paraId="5213F2C0" w14:textId="77777777" w:rsidR="001A45F2" w:rsidRPr="001A45F2" w:rsidRDefault="001A45F2" w:rsidP="001A45F2">
      <w:pPr>
        <w:spacing w:line="259" w:lineRule="auto"/>
        <w:jc w:val="both"/>
        <w:rPr>
          <w:rFonts w:ascii="Geomanist Light" w:eastAsia="Calibri" w:hAnsi="Geomanist Light"/>
          <w:b/>
          <w:bCs/>
          <w:sz w:val="22"/>
          <w:szCs w:val="22"/>
          <w:lang w:val="es-MX" w:eastAsia="en-US"/>
        </w:rPr>
      </w:pPr>
      <w:r w:rsidRPr="001A45F2">
        <w:rPr>
          <w:rFonts w:ascii="Geomanist Light" w:eastAsia="Calibri" w:hAnsi="Geomanist Light"/>
          <w:b/>
          <w:bCs/>
          <w:sz w:val="22"/>
          <w:szCs w:val="22"/>
          <w:lang w:val="es-MX" w:eastAsia="en-US"/>
        </w:rPr>
        <w:lastRenderedPageBreak/>
        <w:t xml:space="preserve">EXPERIENCIA ‒ </w:t>
      </w:r>
      <w:r w:rsidRPr="00507F3C">
        <w:rPr>
          <w:rFonts w:ascii="Geomanist Light" w:eastAsia="Calibri" w:hAnsi="Geomanist Light"/>
          <w:b/>
          <w:bCs/>
          <w:sz w:val="22"/>
          <w:szCs w:val="22"/>
          <w:lang w:val="es-MX" w:eastAsia="en-US"/>
        </w:rPr>
        <w:t>Conservación</w:t>
      </w:r>
      <w:r w:rsidRPr="001A45F2">
        <w:rPr>
          <w:rFonts w:ascii="Geomanist Light" w:eastAsia="Calibri" w:hAnsi="Geomanist Light"/>
          <w:b/>
          <w:bCs/>
          <w:sz w:val="22"/>
          <w:szCs w:val="22"/>
          <w:lang w:val="es-MX" w:eastAsia="en-US"/>
        </w:rPr>
        <w:t xml:space="preserve"> ‒ Renovación RUP ‒ Cesación efectos RUP</w:t>
      </w:r>
    </w:p>
    <w:p w14:paraId="6254955A" w14:textId="77777777" w:rsidR="001A45F2" w:rsidRPr="001A45F2" w:rsidRDefault="001A45F2" w:rsidP="001A45F2">
      <w:pPr>
        <w:spacing w:line="259" w:lineRule="auto"/>
        <w:jc w:val="both"/>
        <w:rPr>
          <w:rFonts w:ascii="Geomanist Light" w:eastAsia="Calibri" w:hAnsi="Geomanist Light"/>
          <w:b/>
          <w:bCs/>
          <w:sz w:val="22"/>
          <w:szCs w:val="22"/>
          <w:lang w:val="es-MX" w:eastAsia="en-US"/>
        </w:rPr>
      </w:pPr>
      <w:r w:rsidRPr="001A45F2">
        <w:rPr>
          <w:rFonts w:ascii="Geomanist Light" w:eastAsia="Calibri" w:hAnsi="Geomanist Light"/>
          <w:b/>
          <w:bCs/>
          <w:sz w:val="22"/>
          <w:szCs w:val="22"/>
          <w:lang w:val="es-MX" w:eastAsia="en-US"/>
        </w:rPr>
        <w:t> </w:t>
      </w:r>
    </w:p>
    <w:p w14:paraId="61F28339" w14:textId="77777777" w:rsidR="001A45F2" w:rsidRPr="001A45F2" w:rsidRDefault="001A45F2" w:rsidP="001A45F2">
      <w:pPr>
        <w:contextualSpacing/>
        <w:jc w:val="both"/>
        <w:textAlignment w:val="baseline"/>
        <w:rPr>
          <w:rFonts w:ascii="Geomanist Light" w:eastAsia="Calibri" w:hAnsi="Geomanist Light"/>
          <w:sz w:val="20"/>
          <w:szCs w:val="20"/>
          <w:lang w:val="es-MX" w:eastAsia="en-US"/>
        </w:rPr>
      </w:pPr>
      <w:r w:rsidRPr="001A45F2">
        <w:rPr>
          <w:rFonts w:ascii="Geomanist Light" w:eastAsia="Calibri" w:hAnsi="Geomanist Light"/>
          <w:sz w:val="20"/>
          <w:szCs w:val="20"/>
          <w:lang w:val="es-MX" w:eastAsia="en-US"/>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2FA10045" w14:textId="77777777" w:rsidR="001A45F2" w:rsidRPr="001A45F2" w:rsidRDefault="001A45F2" w:rsidP="001A45F2">
      <w:pPr>
        <w:contextualSpacing/>
        <w:jc w:val="both"/>
        <w:textAlignment w:val="baseline"/>
        <w:rPr>
          <w:rFonts w:ascii="Segoe UI" w:hAnsi="Segoe UI" w:cs="Segoe UI"/>
          <w:sz w:val="20"/>
          <w:szCs w:val="20"/>
          <w:lang w:eastAsia="es-CO"/>
        </w:rPr>
      </w:pPr>
      <w:r w:rsidRPr="001A45F2">
        <w:rPr>
          <w:rFonts w:ascii="Arial" w:hAnsi="Arial" w:cs="Arial"/>
          <w:sz w:val="20"/>
          <w:szCs w:val="20"/>
          <w:lang w:eastAsia="es-CO"/>
        </w:rPr>
        <w:t> </w:t>
      </w:r>
    </w:p>
    <w:p w14:paraId="4E941362" w14:textId="77777777" w:rsidR="001A45F2" w:rsidRPr="001A45F2" w:rsidRDefault="001A45F2" w:rsidP="001A45F2">
      <w:pPr>
        <w:spacing w:line="259" w:lineRule="auto"/>
        <w:jc w:val="both"/>
        <w:rPr>
          <w:rFonts w:ascii="Geomanist Light" w:eastAsia="Calibri" w:hAnsi="Geomanist Light"/>
          <w:b/>
          <w:bCs/>
          <w:sz w:val="22"/>
          <w:szCs w:val="22"/>
          <w:lang w:val="es-MX" w:eastAsia="en-US"/>
        </w:rPr>
      </w:pPr>
      <w:r w:rsidRPr="001A45F2">
        <w:rPr>
          <w:rFonts w:ascii="Geomanist Light" w:eastAsia="Calibri" w:hAnsi="Geomanist Light"/>
          <w:b/>
          <w:bCs/>
          <w:sz w:val="22"/>
          <w:szCs w:val="22"/>
          <w:lang w:val="es-MX" w:eastAsia="en-US"/>
        </w:rPr>
        <w:t>EXPERIENCIA – Conservación – Sociedades – Menor a 3 años de constitución</w:t>
      </w:r>
    </w:p>
    <w:p w14:paraId="21B878E9" w14:textId="77777777" w:rsidR="001A45F2" w:rsidRPr="001A45F2" w:rsidRDefault="001A45F2" w:rsidP="001A45F2">
      <w:pPr>
        <w:spacing w:line="259" w:lineRule="auto"/>
        <w:jc w:val="both"/>
        <w:rPr>
          <w:rFonts w:ascii="Geomanist Light" w:eastAsia="Calibri" w:hAnsi="Geomanist Light"/>
          <w:b/>
          <w:bCs/>
          <w:sz w:val="22"/>
          <w:szCs w:val="22"/>
          <w:lang w:val="es-MX" w:eastAsia="en-US"/>
        </w:rPr>
      </w:pPr>
      <w:r w:rsidRPr="001A45F2">
        <w:rPr>
          <w:rFonts w:ascii="Geomanist Light" w:eastAsia="Calibri" w:hAnsi="Geomanist Light"/>
          <w:b/>
          <w:bCs/>
          <w:sz w:val="22"/>
          <w:szCs w:val="22"/>
          <w:lang w:val="es-MX" w:eastAsia="en-US"/>
        </w:rPr>
        <w:t> </w:t>
      </w:r>
    </w:p>
    <w:p w14:paraId="3D03421C" w14:textId="77777777" w:rsidR="001A45F2" w:rsidRPr="001A45F2" w:rsidRDefault="001A45F2" w:rsidP="001A45F2">
      <w:pPr>
        <w:contextualSpacing/>
        <w:jc w:val="both"/>
        <w:textAlignment w:val="baseline"/>
        <w:rPr>
          <w:rFonts w:ascii="Geomanist Light" w:eastAsia="Calibri" w:hAnsi="Geomanist Light"/>
          <w:sz w:val="20"/>
          <w:szCs w:val="20"/>
          <w:lang w:val="es-MX" w:eastAsia="en-US"/>
        </w:rPr>
      </w:pPr>
      <w:r w:rsidRPr="001A45F2">
        <w:rPr>
          <w:rFonts w:ascii="Geomanist Light" w:eastAsia="Calibri" w:hAnsi="Geomanist Light"/>
          <w:sz w:val="20"/>
          <w:szCs w:val="20"/>
          <w:lang w:val="es-MX" w:eastAsia="en-US"/>
        </w:rPr>
        <w:t>[…]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10C003E" w14:textId="77777777" w:rsidR="001A45F2" w:rsidRPr="001A45F2" w:rsidRDefault="001A45F2" w:rsidP="001A45F2">
      <w:pPr>
        <w:contextualSpacing/>
        <w:jc w:val="both"/>
        <w:textAlignment w:val="baseline"/>
        <w:rPr>
          <w:rFonts w:ascii="Segoe UI" w:hAnsi="Segoe UI" w:cs="Segoe UI"/>
          <w:sz w:val="20"/>
          <w:szCs w:val="20"/>
          <w:lang w:eastAsia="es-CO"/>
        </w:rPr>
      </w:pPr>
      <w:r w:rsidRPr="001A45F2">
        <w:rPr>
          <w:rFonts w:ascii="Arial" w:hAnsi="Arial" w:cs="Arial"/>
          <w:sz w:val="20"/>
          <w:szCs w:val="20"/>
          <w:lang w:eastAsia="es-CO"/>
        </w:rPr>
        <w:t> </w:t>
      </w:r>
    </w:p>
    <w:p w14:paraId="04721CB9" w14:textId="77777777" w:rsidR="001A45F2" w:rsidRPr="001A45F2" w:rsidRDefault="001A45F2" w:rsidP="001A45F2">
      <w:pPr>
        <w:spacing w:line="259" w:lineRule="auto"/>
        <w:jc w:val="both"/>
        <w:rPr>
          <w:rFonts w:ascii="Geomanist Light" w:eastAsia="Calibri" w:hAnsi="Geomanist Light"/>
          <w:b/>
          <w:bCs/>
          <w:sz w:val="22"/>
          <w:szCs w:val="22"/>
          <w:lang w:val="es-MX" w:eastAsia="en-US"/>
        </w:rPr>
      </w:pPr>
      <w:r w:rsidRPr="001A45F2">
        <w:rPr>
          <w:rFonts w:ascii="Geomanist Light" w:eastAsia="Calibri" w:hAnsi="Geomanist Light"/>
          <w:b/>
          <w:bCs/>
          <w:sz w:val="22"/>
          <w:szCs w:val="22"/>
          <w:lang w:val="es-MX" w:eastAsia="en-US"/>
        </w:rPr>
        <w:t xml:space="preserve">EXPERIENCIA – </w:t>
      </w:r>
      <w:r w:rsidRPr="00DE68A4">
        <w:rPr>
          <w:rFonts w:ascii="Geomanist Light" w:eastAsia="Calibri" w:hAnsi="Geomanist Light"/>
          <w:b/>
          <w:bCs/>
          <w:sz w:val="22"/>
          <w:szCs w:val="22"/>
          <w:lang w:val="es-MX" w:eastAsia="en-US"/>
        </w:rPr>
        <w:t>Deber de verificación del RUP − Cámara de Comercio</w:t>
      </w:r>
      <w:r w:rsidRPr="001A45F2">
        <w:rPr>
          <w:rFonts w:ascii="Geomanist Light" w:eastAsia="Calibri" w:hAnsi="Geomanist Light"/>
          <w:b/>
          <w:bCs/>
          <w:sz w:val="22"/>
          <w:szCs w:val="22"/>
          <w:lang w:val="es-MX" w:eastAsia="en-US"/>
        </w:rPr>
        <w:t xml:space="preserve"> – RUP − Plena prueba </w:t>
      </w:r>
    </w:p>
    <w:p w14:paraId="28C4A2A6" w14:textId="77777777" w:rsidR="001A45F2" w:rsidRPr="001A45F2" w:rsidRDefault="001A45F2" w:rsidP="001A45F2">
      <w:pPr>
        <w:spacing w:line="259" w:lineRule="auto"/>
        <w:jc w:val="both"/>
        <w:rPr>
          <w:rFonts w:ascii="Geomanist Light" w:eastAsia="Calibri" w:hAnsi="Geomanist Light"/>
          <w:b/>
          <w:bCs/>
          <w:sz w:val="22"/>
          <w:szCs w:val="22"/>
          <w:lang w:val="es-MX" w:eastAsia="en-US"/>
        </w:rPr>
      </w:pPr>
    </w:p>
    <w:p w14:paraId="1AA0920C" w14:textId="1AD48655" w:rsidR="001A45F2" w:rsidRDefault="001A45F2" w:rsidP="001A45F2">
      <w:pPr>
        <w:contextualSpacing/>
        <w:jc w:val="both"/>
        <w:textAlignment w:val="baseline"/>
        <w:rPr>
          <w:rFonts w:ascii="Geomanist Light" w:eastAsia="Calibri" w:hAnsi="Geomanist Light"/>
          <w:sz w:val="20"/>
          <w:szCs w:val="20"/>
          <w:lang w:val="es-MX" w:eastAsia="en-US"/>
        </w:rPr>
      </w:pPr>
      <w:r w:rsidRPr="001A45F2">
        <w:rPr>
          <w:rFonts w:ascii="Geomanist Light" w:eastAsia="Calibri" w:hAnsi="Geomanist Light"/>
          <w:sz w:val="20"/>
          <w:szCs w:val="20"/>
          <w:lang w:val="es-MX" w:eastAsia="en-US"/>
        </w:rPr>
        <w:t xml:space="preserve">[…] se reitera que por regla general la capacidad jurídica, las condiciones de experiencia, la capacidad financiera y de organización de los proponentes deberán verificarse exclusivamente con el registro único de proponentes, toda vez que constituye plena prueba de lo que contiene según el numeral 6.1 del artículo 6 de la Ley 1150 de 2007. El legislador otorgó a las cámaras de comercio la administración del RUP y dispuso que estas tienen la competencia y el deber de la verificación de la información suministrada por las personas naturales o jurídicas para su posterior utilización en los procesos de selección. </w:t>
      </w:r>
    </w:p>
    <w:p w14:paraId="66321A3B" w14:textId="2B2541D8" w:rsidR="001A45F2" w:rsidRDefault="001A45F2" w:rsidP="001A45F2">
      <w:pPr>
        <w:contextualSpacing/>
        <w:jc w:val="both"/>
        <w:textAlignment w:val="baseline"/>
        <w:rPr>
          <w:rFonts w:ascii="Geomanist Light" w:eastAsia="Calibri" w:hAnsi="Geomanist Light"/>
          <w:sz w:val="20"/>
          <w:szCs w:val="20"/>
          <w:lang w:val="es-MX" w:eastAsia="en-US"/>
        </w:rPr>
      </w:pPr>
    </w:p>
    <w:p w14:paraId="107AB03B" w14:textId="77777777" w:rsidR="001A45F2" w:rsidRPr="001A45F2" w:rsidRDefault="001A45F2" w:rsidP="001A45F2">
      <w:pPr>
        <w:contextualSpacing/>
        <w:jc w:val="both"/>
        <w:textAlignment w:val="baseline"/>
        <w:rPr>
          <w:rFonts w:ascii="Geomanist Light" w:eastAsia="Calibri" w:hAnsi="Geomanist Light"/>
          <w:sz w:val="20"/>
          <w:szCs w:val="20"/>
          <w:lang w:val="es-MX" w:eastAsia="en-US"/>
        </w:rPr>
      </w:pPr>
      <w:r w:rsidRPr="001A45F2">
        <w:rPr>
          <w:rFonts w:ascii="Geomanist Light" w:eastAsia="Calibri" w:hAnsi="Geomanist Light"/>
          <w:sz w:val="20"/>
          <w:szCs w:val="20"/>
          <w:lang w:eastAsia="en-US"/>
        </w:rPr>
        <w:t>Por tanto, la experiencia transferida de los accionistas, socios o constituyentes a la persona jurídica que tiene menos de tres (3) años de constitución sólo puede verificarse con el registro, sin que sea posible para la entidad contratante solicitar documentos adicionales a los oferentes. Lo anterior, sin perjuicio de que esta última –al percatarse de irregularidades en la validación del requisito habilitante por la pérdida posterior de alguna de estas condiciones– impugne la certificación de la cámara de comercio de acuerdo con lo previsto en el artículo 6.3 de la Ley 1150 de 2007. Para ello, conforme a las particularidades de cada caso concreto, regirá el principio de libertad probatoria, con excepción de aquellos aspectos sujetos a tarifa legal por norma expresa.</w:t>
      </w:r>
    </w:p>
    <w:p w14:paraId="4F5BD156" w14:textId="77777777" w:rsidR="001A45F2" w:rsidRPr="001A45F2" w:rsidRDefault="001A45F2" w:rsidP="001A45F2">
      <w:pPr>
        <w:contextualSpacing/>
        <w:jc w:val="both"/>
        <w:textAlignment w:val="baseline"/>
        <w:rPr>
          <w:rFonts w:ascii="Geomanist Light" w:eastAsia="Calibri" w:hAnsi="Geomanist Light"/>
          <w:sz w:val="20"/>
          <w:szCs w:val="20"/>
          <w:lang w:val="es-MX" w:eastAsia="en-US"/>
        </w:rPr>
      </w:pPr>
    </w:p>
    <w:p w14:paraId="3A8A128A" w14:textId="77777777" w:rsidR="001A45F2" w:rsidRPr="001A45F2" w:rsidRDefault="001A45F2" w:rsidP="00EA42EF">
      <w:pPr>
        <w:spacing w:line="259" w:lineRule="auto"/>
        <w:jc w:val="both"/>
        <w:rPr>
          <w:rFonts w:ascii="Geomanist Light" w:eastAsia="Calibri" w:hAnsi="Geomanist Light"/>
          <w:b/>
          <w:bCs/>
          <w:sz w:val="22"/>
          <w:szCs w:val="22"/>
          <w:lang w:eastAsia="en-US"/>
        </w:rPr>
      </w:pPr>
    </w:p>
    <w:p w14:paraId="43A9544D" w14:textId="77777777" w:rsidR="001A45F2" w:rsidRDefault="001A45F2" w:rsidP="00EA42EF">
      <w:pPr>
        <w:spacing w:line="259" w:lineRule="auto"/>
        <w:jc w:val="both"/>
        <w:rPr>
          <w:rFonts w:ascii="Geomanist Light" w:eastAsia="Calibri" w:hAnsi="Geomanist Light"/>
          <w:b/>
          <w:bCs/>
          <w:sz w:val="22"/>
          <w:szCs w:val="22"/>
          <w:lang w:val="es-MX" w:eastAsia="en-US"/>
        </w:rPr>
      </w:pPr>
    </w:p>
    <w:p w14:paraId="31EA6DC6" w14:textId="250E330C" w:rsidR="00514D99" w:rsidRDefault="00514D99" w:rsidP="00B71741">
      <w:pPr>
        <w:spacing w:after="240"/>
        <w:jc w:val="both"/>
        <w:rPr>
          <w:rFonts w:ascii="Arial" w:eastAsia="Calibri" w:hAnsi="Arial" w:cs="Arial"/>
          <w:sz w:val="20"/>
          <w:szCs w:val="20"/>
        </w:rPr>
      </w:pPr>
    </w:p>
    <w:p w14:paraId="2CC9299A" w14:textId="572881E7" w:rsidR="000C12D7" w:rsidRDefault="000C12D7" w:rsidP="00B71741">
      <w:pPr>
        <w:spacing w:after="240"/>
        <w:jc w:val="both"/>
        <w:rPr>
          <w:rFonts w:ascii="Arial" w:eastAsia="Calibri" w:hAnsi="Arial" w:cs="Arial"/>
          <w:sz w:val="20"/>
          <w:szCs w:val="20"/>
        </w:rPr>
      </w:pPr>
    </w:p>
    <w:p w14:paraId="480C6790" w14:textId="16EC2352" w:rsidR="000C12D7" w:rsidRDefault="000C12D7" w:rsidP="00B71741">
      <w:pPr>
        <w:spacing w:after="240"/>
        <w:jc w:val="both"/>
        <w:rPr>
          <w:rFonts w:ascii="Arial" w:eastAsia="Calibri" w:hAnsi="Arial" w:cs="Arial"/>
          <w:sz w:val="20"/>
          <w:szCs w:val="20"/>
        </w:rPr>
      </w:pPr>
    </w:p>
    <w:p w14:paraId="7C13C8B8" w14:textId="1E082312" w:rsidR="00C177E6" w:rsidRDefault="00C177E6" w:rsidP="00B71741">
      <w:pPr>
        <w:spacing w:after="240"/>
        <w:jc w:val="both"/>
        <w:rPr>
          <w:rFonts w:ascii="Arial" w:eastAsia="Calibri" w:hAnsi="Arial" w:cs="Arial"/>
          <w:sz w:val="20"/>
          <w:szCs w:val="20"/>
        </w:rPr>
      </w:pPr>
    </w:p>
    <w:p w14:paraId="3936367E" w14:textId="6FD54827" w:rsidR="00C177E6" w:rsidRDefault="00C177E6" w:rsidP="00B71741">
      <w:pPr>
        <w:spacing w:after="240"/>
        <w:jc w:val="both"/>
        <w:rPr>
          <w:rFonts w:ascii="Arial" w:eastAsia="Calibri" w:hAnsi="Arial" w:cs="Arial"/>
          <w:sz w:val="20"/>
          <w:szCs w:val="20"/>
        </w:rPr>
      </w:pPr>
    </w:p>
    <w:p w14:paraId="643DEBD7" w14:textId="77777777" w:rsidR="00C177E6" w:rsidRPr="001F77B3" w:rsidRDefault="00C177E6" w:rsidP="00B71741">
      <w:pPr>
        <w:spacing w:after="240"/>
        <w:jc w:val="both"/>
        <w:rPr>
          <w:rFonts w:ascii="Arial" w:eastAsia="Calibri" w:hAnsi="Arial" w:cs="Arial"/>
          <w:sz w:val="20"/>
          <w:szCs w:val="20"/>
        </w:rPr>
      </w:pPr>
    </w:p>
    <w:p w14:paraId="699392F5" w14:textId="69C957F6" w:rsidR="003F1F31" w:rsidRPr="001F77B3" w:rsidRDefault="003F1F31" w:rsidP="00C177E6">
      <w:pPr>
        <w:spacing w:after="240"/>
        <w:rPr>
          <w:rFonts w:ascii="Arial" w:hAnsi="Arial" w:cs="Arial"/>
          <w:b/>
          <w:noProof/>
          <w:sz w:val="22"/>
        </w:rPr>
      </w:pPr>
      <w:r w:rsidRPr="00C177E6">
        <w:rPr>
          <w:rFonts w:ascii="Geomanist Light" w:hAnsi="Geomanist Light" w:cs="Arial"/>
          <w:bCs/>
          <w:noProof/>
          <w:sz w:val="22"/>
        </w:rPr>
        <w:t>Bogotá D.C.,</w:t>
      </w:r>
      <w:r w:rsidR="00EB7E5E">
        <w:rPr>
          <w:rFonts w:ascii="Geomanist Light" w:hAnsi="Geomanist Light" w:cs="Arial"/>
          <w:bCs/>
          <w:noProof/>
          <w:sz w:val="22"/>
        </w:rPr>
        <w:t xml:space="preserve"> 06 de diciembre de 2022                            </w:t>
      </w:r>
      <w:r w:rsidR="00EB7E5E" w:rsidRPr="00EB7E5E">
        <w:rPr>
          <w:rFonts w:ascii="Geomanist Light" w:hAnsi="Geomanist Light" w:cs="Arial"/>
          <w:bCs/>
          <w:noProof/>
          <w:sz w:val="22"/>
        </w:rPr>
        <w:drawing>
          <wp:inline distT="0" distB="0" distL="0" distR="0" wp14:anchorId="6C407472" wp14:editId="7804E34B">
            <wp:extent cx="2406274" cy="6191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6515" cy="624333"/>
                    </a:xfrm>
                    <a:prstGeom prst="rect">
                      <a:avLst/>
                    </a:prstGeom>
                  </pic:spPr>
                </pic:pic>
              </a:graphicData>
            </a:graphic>
          </wp:inline>
        </w:drawing>
      </w:r>
      <w:r w:rsidRPr="00C177E6">
        <w:rPr>
          <w:rFonts w:ascii="Geomanist Light" w:hAnsi="Geomanist Light" w:cs="Arial"/>
          <w:bCs/>
          <w:noProof/>
          <w:sz w:val="22"/>
        </w:rPr>
        <w:t xml:space="preserve"> </w:t>
      </w:r>
    </w:p>
    <w:p w14:paraId="6E444D61" w14:textId="2081C065" w:rsidR="00E54365" w:rsidRPr="00EA42EF" w:rsidRDefault="00E54365" w:rsidP="00EA42EF">
      <w:pPr>
        <w:widowControl w:val="0"/>
        <w:autoSpaceDE w:val="0"/>
        <w:autoSpaceDN w:val="0"/>
        <w:rPr>
          <w:rFonts w:ascii="Geomanist Light" w:eastAsia="Calibri" w:hAnsi="Geomanist Light" w:cs="Arial"/>
          <w:sz w:val="22"/>
          <w:szCs w:val="22"/>
          <w:lang w:val="es-MX" w:eastAsia="en-US"/>
        </w:rPr>
      </w:pPr>
      <w:bookmarkStart w:id="1" w:name="_Hlk70510939"/>
      <w:r w:rsidRPr="00EA42EF">
        <w:rPr>
          <w:rFonts w:ascii="Geomanist Light" w:eastAsia="Calibri" w:hAnsi="Geomanist Light" w:cs="Arial"/>
          <w:sz w:val="22"/>
          <w:szCs w:val="22"/>
          <w:lang w:val="es-MX" w:eastAsia="en-US"/>
        </w:rPr>
        <w:t>Señor</w:t>
      </w:r>
    </w:p>
    <w:p w14:paraId="65D482E1" w14:textId="2451A3C2" w:rsidR="00DC02B2" w:rsidRPr="00EA42EF" w:rsidRDefault="00E839D1" w:rsidP="00EA42EF">
      <w:pPr>
        <w:widowControl w:val="0"/>
        <w:autoSpaceDE w:val="0"/>
        <w:autoSpaceDN w:val="0"/>
        <w:rPr>
          <w:rFonts w:ascii="Geomanist Light" w:eastAsia="Calibri" w:hAnsi="Geomanist Light" w:cs="Arial"/>
          <w:b/>
          <w:bCs/>
          <w:sz w:val="22"/>
          <w:szCs w:val="22"/>
          <w:lang w:val="es-MX" w:eastAsia="en-US"/>
        </w:rPr>
      </w:pPr>
      <w:r>
        <w:rPr>
          <w:rFonts w:ascii="Geomanist Light" w:eastAsia="Calibri" w:hAnsi="Geomanist Light" w:cs="Arial"/>
          <w:b/>
          <w:bCs/>
          <w:sz w:val="22"/>
          <w:szCs w:val="22"/>
          <w:lang w:val="es-MX" w:eastAsia="en-US"/>
        </w:rPr>
        <w:t xml:space="preserve">Eivi Manuel Pipicano Pantoja </w:t>
      </w:r>
    </w:p>
    <w:p w14:paraId="1AB4735D" w14:textId="31076082" w:rsidR="00E54365" w:rsidRPr="00EA42EF" w:rsidRDefault="00E839D1" w:rsidP="00EA42EF">
      <w:pPr>
        <w:widowControl w:val="0"/>
        <w:autoSpaceDE w:val="0"/>
        <w:autoSpaceDN w:val="0"/>
        <w:rPr>
          <w:rFonts w:ascii="Geomanist Light" w:eastAsia="Calibri" w:hAnsi="Geomanist Light" w:cs="Arial"/>
          <w:sz w:val="22"/>
          <w:szCs w:val="22"/>
          <w:lang w:val="es-MX" w:eastAsia="en-US"/>
        </w:rPr>
      </w:pPr>
      <w:r>
        <w:rPr>
          <w:rFonts w:ascii="Geomanist Light" w:eastAsia="Calibri" w:hAnsi="Geomanist Light" w:cs="Arial"/>
          <w:sz w:val="22"/>
          <w:szCs w:val="22"/>
          <w:lang w:val="es-MX" w:eastAsia="en-US"/>
        </w:rPr>
        <w:t xml:space="preserve">Villagarzón, </w:t>
      </w:r>
      <w:r w:rsidR="003F1F31">
        <w:rPr>
          <w:rFonts w:ascii="Geomanist Light" w:eastAsia="Calibri" w:hAnsi="Geomanist Light" w:cs="Arial"/>
          <w:sz w:val="22"/>
          <w:szCs w:val="22"/>
          <w:lang w:val="es-MX" w:eastAsia="en-US"/>
        </w:rPr>
        <w:t>Putumayo</w:t>
      </w:r>
    </w:p>
    <w:p w14:paraId="462F7397" w14:textId="77777777" w:rsidR="0076432E" w:rsidRPr="001F77B3" w:rsidRDefault="0076432E" w:rsidP="008A3078">
      <w:pPr>
        <w:spacing w:after="240"/>
        <w:ind w:left="2124" w:firstLine="708"/>
        <w:rPr>
          <w:rFonts w:ascii="Arial" w:hAnsi="Arial" w:cs="Arial"/>
          <w:b/>
          <w:bCs/>
          <w:sz w:val="22"/>
        </w:rPr>
      </w:pPr>
    </w:p>
    <w:p w14:paraId="17BA6817" w14:textId="08CDC00D" w:rsidR="00E54365" w:rsidRDefault="00E54365" w:rsidP="00EA42EF">
      <w:pPr>
        <w:ind w:left="2124" w:firstLine="570"/>
        <w:rPr>
          <w:rFonts w:ascii="Geomanist Light" w:eastAsia="Calibri" w:hAnsi="Geomanist Light" w:cs="Arial"/>
          <w:b/>
          <w:bCs/>
          <w:sz w:val="22"/>
          <w:szCs w:val="22"/>
          <w:lang w:val="es-MX" w:eastAsia="en-US"/>
        </w:rPr>
      </w:pPr>
      <w:r w:rsidRPr="00EA42EF">
        <w:rPr>
          <w:rFonts w:ascii="Geomanist Light" w:eastAsia="Calibri" w:hAnsi="Geomanist Light" w:cs="Arial"/>
          <w:b/>
          <w:bCs/>
          <w:sz w:val="22"/>
          <w:szCs w:val="22"/>
          <w:lang w:val="es-MX" w:eastAsia="en-US"/>
        </w:rPr>
        <w:t>Concepto</w:t>
      </w:r>
      <w:r w:rsidR="006559E3" w:rsidRPr="00EA42EF">
        <w:rPr>
          <w:rFonts w:ascii="Geomanist Light" w:eastAsia="Calibri" w:hAnsi="Geomanist Light" w:cs="Arial"/>
          <w:b/>
          <w:bCs/>
          <w:sz w:val="22"/>
          <w:szCs w:val="22"/>
          <w:lang w:val="es-MX" w:eastAsia="en-US"/>
        </w:rPr>
        <w:t xml:space="preserve"> </w:t>
      </w:r>
      <w:r w:rsidRPr="00EA42EF">
        <w:rPr>
          <w:rFonts w:ascii="Geomanist Light" w:eastAsia="Calibri" w:hAnsi="Geomanist Light" w:cs="Arial"/>
          <w:b/>
          <w:bCs/>
          <w:sz w:val="22"/>
          <w:szCs w:val="22"/>
          <w:lang w:val="es-MX" w:eastAsia="en-US"/>
        </w:rPr>
        <w:t>C</w:t>
      </w:r>
      <w:r w:rsidR="00766A70" w:rsidRPr="00EA42EF">
        <w:rPr>
          <w:rFonts w:ascii="Geomanist Light" w:eastAsia="Calibri" w:hAnsi="Geomanist Light" w:cs="Arial"/>
          <w:b/>
          <w:bCs/>
          <w:sz w:val="22"/>
          <w:szCs w:val="22"/>
          <w:lang w:val="es-MX" w:eastAsia="en-US"/>
        </w:rPr>
        <w:t xml:space="preserve"> </w:t>
      </w:r>
      <w:r w:rsidR="00F301AD" w:rsidRPr="00EA42EF">
        <w:rPr>
          <w:rFonts w:ascii="Geomanist Light" w:eastAsia="Calibri" w:hAnsi="Geomanist Light" w:cs="Arial"/>
          <w:b/>
          <w:bCs/>
          <w:sz w:val="22"/>
          <w:szCs w:val="22"/>
          <w:lang w:val="es-MX" w:eastAsia="en-US"/>
        </w:rPr>
        <w:t>–</w:t>
      </w:r>
      <w:r w:rsidR="00766A70" w:rsidRPr="00EA42EF">
        <w:rPr>
          <w:rFonts w:ascii="Geomanist Light" w:eastAsia="Calibri" w:hAnsi="Geomanist Light" w:cs="Arial"/>
          <w:b/>
          <w:bCs/>
          <w:sz w:val="22"/>
          <w:szCs w:val="22"/>
          <w:lang w:val="es-MX" w:eastAsia="en-US"/>
        </w:rPr>
        <w:t xml:space="preserve"> </w:t>
      </w:r>
      <w:r w:rsidR="008B25DC">
        <w:rPr>
          <w:rFonts w:ascii="Geomanist Light" w:eastAsia="Calibri" w:hAnsi="Geomanist Light" w:cs="Arial"/>
          <w:b/>
          <w:bCs/>
          <w:sz w:val="22"/>
          <w:szCs w:val="22"/>
          <w:lang w:val="es-MX" w:eastAsia="en-US"/>
        </w:rPr>
        <w:t>841</w:t>
      </w:r>
      <w:r w:rsidRPr="00EA42EF">
        <w:rPr>
          <w:rFonts w:ascii="Geomanist Light" w:eastAsia="Calibri" w:hAnsi="Geomanist Light" w:cs="Arial"/>
          <w:b/>
          <w:bCs/>
          <w:sz w:val="22"/>
          <w:szCs w:val="22"/>
          <w:lang w:val="es-MX" w:eastAsia="en-US"/>
        </w:rPr>
        <w:t xml:space="preserve"> de 202</w:t>
      </w:r>
      <w:r w:rsidR="00DC02B2" w:rsidRPr="00EA42EF">
        <w:rPr>
          <w:rFonts w:ascii="Geomanist Light" w:eastAsia="Calibri" w:hAnsi="Geomanist Light" w:cs="Arial"/>
          <w:b/>
          <w:bCs/>
          <w:sz w:val="22"/>
          <w:szCs w:val="22"/>
          <w:lang w:val="es-MX" w:eastAsia="en-US"/>
        </w:rPr>
        <w:t>2</w:t>
      </w:r>
    </w:p>
    <w:p w14:paraId="27B15F61" w14:textId="77777777" w:rsidR="00EA42EF" w:rsidRPr="00EA42EF" w:rsidRDefault="00EA42EF" w:rsidP="00EA42EF">
      <w:pPr>
        <w:ind w:left="2124" w:firstLine="570"/>
        <w:rPr>
          <w:rFonts w:ascii="Geomanist Light" w:eastAsia="Calibri" w:hAnsi="Geomanist Light" w:cs="Arial"/>
          <w:b/>
          <w:bCs/>
          <w:sz w:val="22"/>
          <w:szCs w:val="22"/>
          <w:lang w:val="es-MX" w:eastAsia="en-US"/>
        </w:rPr>
      </w:pPr>
    </w:p>
    <w:p w14:paraId="43EB8ECE" w14:textId="77777777" w:rsidR="001A45F2" w:rsidRDefault="00E54365" w:rsidP="001A45F2">
      <w:pPr>
        <w:spacing w:after="120"/>
        <w:ind w:left="2824" w:hanging="2818"/>
        <w:jc w:val="both"/>
        <w:rPr>
          <w:rFonts w:ascii="Geomanist Light" w:eastAsia="Calibri" w:hAnsi="Geomanist Light" w:cs="Arial"/>
          <w:sz w:val="22"/>
          <w:szCs w:val="22"/>
          <w:lang w:val="es-MX" w:eastAsia="en-US"/>
        </w:rPr>
      </w:pPr>
      <w:r w:rsidRPr="0074635D">
        <w:rPr>
          <w:rFonts w:ascii="Geomanist Light" w:eastAsia="Calibri" w:hAnsi="Geomanist Light" w:cs="Arial"/>
          <w:b/>
          <w:bCs/>
          <w:sz w:val="22"/>
          <w:szCs w:val="22"/>
          <w:lang w:val="es-MX" w:eastAsia="en-US"/>
        </w:rPr>
        <w:t>Temas:</w:t>
      </w:r>
      <w:r w:rsidRPr="00EA42EF">
        <w:rPr>
          <w:rFonts w:ascii="Arial" w:eastAsia="Calibri" w:hAnsi="Arial" w:cs="Arial"/>
          <w:b/>
          <w:color w:val="000000" w:themeColor="text1"/>
          <w:sz w:val="22"/>
          <w:szCs w:val="22"/>
          <w:lang w:val="es-ES_tradnl" w:eastAsia="en-US"/>
        </w:rPr>
        <w:t xml:space="preserve"> </w:t>
      </w:r>
      <w:r w:rsidRPr="001F77B3">
        <w:rPr>
          <w:rFonts w:ascii="Arial" w:eastAsia="Calibri" w:hAnsi="Arial" w:cs="Arial"/>
          <w:bCs/>
          <w:noProof/>
          <w:sz w:val="22"/>
          <w:szCs w:val="22"/>
          <w:lang w:eastAsia="en-US"/>
        </w:rPr>
        <w:tab/>
      </w:r>
      <w:r w:rsidR="00E17C9B" w:rsidRPr="00EA42EF">
        <w:rPr>
          <w:rFonts w:ascii="Geomanist Light" w:eastAsia="Calibri" w:hAnsi="Geomanist Light" w:cs="Arial"/>
          <w:sz w:val="22"/>
          <w:szCs w:val="22"/>
          <w:lang w:val="es-MX" w:eastAsia="en-US"/>
        </w:rPr>
        <w:t xml:space="preserve">EXPERIENCIA – Noción – Concepto / </w:t>
      </w:r>
      <w:r w:rsidR="0076432E" w:rsidRPr="00EA42EF">
        <w:rPr>
          <w:rFonts w:ascii="Geomanist Light" w:eastAsia="Calibri" w:hAnsi="Geomanist Light" w:cs="Arial"/>
          <w:sz w:val="22"/>
          <w:szCs w:val="22"/>
          <w:lang w:val="es-MX" w:eastAsia="en-US"/>
        </w:rPr>
        <w:t xml:space="preserve">EXPERIENCIA </w:t>
      </w:r>
      <w:r w:rsidR="00766A70" w:rsidRPr="00EA42EF">
        <w:rPr>
          <w:rFonts w:ascii="Geomanist Light" w:eastAsia="Calibri" w:hAnsi="Geomanist Light" w:cs="Arial"/>
          <w:sz w:val="22"/>
          <w:szCs w:val="22"/>
          <w:lang w:val="es-MX" w:eastAsia="en-US"/>
        </w:rPr>
        <w:t>– Transferencia –</w:t>
      </w:r>
      <w:r w:rsidR="00104400" w:rsidRPr="00EA42EF">
        <w:rPr>
          <w:rFonts w:ascii="Geomanist Light" w:eastAsia="Calibri" w:hAnsi="Geomanist Light" w:cs="Arial"/>
          <w:sz w:val="22"/>
          <w:szCs w:val="22"/>
          <w:lang w:val="es-MX" w:eastAsia="en-US"/>
        </w:rPr>
        <w:t xml:space="preserve"> </w:t>
      </w:r>
      <w:r w:rsidR="00766A70" w:rsidRPr="00EA42EF">
        <w:rPr>
          <w:rFonts w:ascii="Geomanist Light" w:eastAsia="Calibri" w:hAnsi="Geomanist Light" w:cs="Arial"/>
          <w:sz w:val="22"/>
          <w:szCs w:val="22"/>
          <w:lang w:val="es-MX" w:eastAsia="en-US"/>
        </w:rPr>
        <w:t>Accionistas, socios o constituyentes – Decreto 1082 de 2015</w:t>
      </w:r>
      <w:r w:rsidR="0054155D" w:rsidRPr="00EA42EF">
        <w:rPr>
          <w:rFonts w:ascii="Geomanist Light" w:eastAsia="Calibri" w:hAnsi="Geomanist Light" w:cs="Arial"/>
          <w:sz w:val="22"/>
          <w:szCs w:val="22"/>
          <w:lang w:val="es-MX" w:eastAsia="en-US"/>
        </w:rPr>
        <w:t xml:space="preserve"> </w:t>
      </w:r>
      <w:r w:rsidR="00310A63" w:rsidRPr="00EA42EF">
        <w:rPr>
          <w:rFonts w:ascii="Geomanist Light" w:eastAsia="Calibri" w:hAnsi="Geomanist Light" w:cs="Arial"/>
          <w:sz w:val="22"/>
          <w:szCs w:val="22"/>
          <w:lang w:val="es-MX" w:eastAsia="en-US"/>
        </w:rPr>
        <w:t xml:space="preserve">/ </w:t>
      </w:r>
      <w:r w:rsidR="001A45F2" w:rsidRPr="001A45F2">
        <w:rPr>
          <w:rFonts w:ascii="Geomanist Light" w:eastAsia="Calibri" w:hAnsi="Geomanist Light" w:cs="Arial"/>
          <w:sz w:val="22"/>
          <w:szCs w:val="22"/>
          <w:lang w:val="es-MX" w:eastAsia="en-US"/>
        </w:rPr>
        <w:t>SOCIEDADES NUEVAS ‒ Experiencia ‒ Inferior a tres años ‒ Requisitos habilitantes ‒ Desarrollo de la empresa / EXPERIENCIA ‒ Conservación ‒ Renovación RUP ‒ Cesación efectos RUP / EXPERIENCIA – Conservación – Sociedades – Menor a 3 años de constitución / EXPERIENCIA – Deber de verificación del RUP − Cámara de Comercio – RUP − Plena prueba</w:t>
      </w:r>
    </w:p>
    <w:p w14:paraId="49699107" w14:textId="030E2F26" w:rsidR="00E54365" w:rsidRPr="00EA42EF" w:rsidRDefault="00E54365" w:rsidP="00C177E6">
      <w:pPr>
        <w:spacing w:after="120"/>
        <w:ind w:left="2824" w:hanging="2818"/>
        <w:jc w:val="both"/>
        <w:rPr>
          <w:rFonts w:ascii="Geomanist Light" w:eastAsia="Calibri" w:hAnsi="Geomanist Light" w:cs="Arial"/>
          <w:sz w:val="22"/>
          <w:szCs w:val="22"/>
          <w:lang w:val="es-MX" w:eastAsia="en-US"/>
        </w:rPr>
      </w:pPr>
      <w:r w:rsidRPr="00EA42EF">
        <w:rPr>
          <w:rFonts w:ascii="Geomanist Light" w:eastAsia="Calibri" w:hAnsi="Geomanist Light" w:cs="Arial"/>
          <w:b/>
          <w:bCs/>
          <w:sz w:val="22"/>
          <w:szCs w:val="22"/>
          <w:lang w:val="es-MX" w:eastAsia="en-US"/>
        </w:rPr>
        <w:t>Radicación:</w:t>
      </w:r>
      <w:r w:rsidRPr="001F77B3">
        <w:rPr>
          <w:rFonts w:ascii="Arial" w:eastAsia="Calibri" w:hAnsi="Arial" w:cs="Arial"/>
          <w:bCs/>
          <w:noProof/>
          <w:sz w:val="22"/>
          <w:szCs w:val="22"/>
          <w:lang w:eastAsia="en-US"/>
        </w:rPr>
        <w:tab/>
      </w:r>
      <w:r w:rsidRPr="00EA42EF">
        <w:rPr>
          <w:rFonts w:ascii="Geomanist Light" w:eastAsia="Calibri" w:hAnsi="Geomanist Light" w:cs="Arial"/>
          <w:sz w:val="22"/>
          <w:szCs w:val="22"/>
          <w:lang w:val="es-MX" w:eastAsia="en-US"/>
        </w:rPr>
        <w:t>Respuesta a consulta</w:t>
      </w:r>
      <w:r w:rsidR="00FB5E3B" w:rsidRPr="00EA42EF">
        <w:rPr>
          <w:rFonts w:ascii="Geomanist Light" w:eastAsia="Calibri" w:hAnsi="Geomanist Light" w:cs="Arial"/>
          <w:sz w:val="22"/>
          <w:szCs w:val="22"/>
          <w:lang w:val="es-MX" w:eastAsia="en-US"/>
        </w:rPr>
        <w:t xml:space="preserve"> </w:t>
      </w:r>
      <w:r w:rsidR="00E839D1" w:rsidRPr="00E839D1">
        <w:rPr>
          <w:rFonts w:ascii="Geomanist Light" w:eastAsia="Calibri" w:hAnsi="Geomanist Light" w:cs="Arial"/>
          <w:sz w:val="22"/>
          <w:szCs w:val="22"/>
          <w:lang w:val="es-MX" w:eastAsia="en-US"/>
        </w:rPr>
        <w:t>P20221024010699</w:t>
      </w:r>
    </w:p>
    <w:p w14:paraId="5B351F53" w14:textId="77777777" w:rsidR="00055CC5" w:rsidRPr="001F77B3" w:rsidRDefault="00055CC5" w:rsidP="007811EA">
      <w:pPr>
        <w:rPr>
          <w:rFonts w:ascii="Arial" w:eastAsia="Calibri" w:hAnsi="Arial" w:cs="Arial"/>
          <w:bCs/>
          <w:noProof/>
          <w:sz w:val="22"/>
          <w:szCs w:val="22"/>
          <w:lang w:eastAsia="en-US"/>
        </w:rPr>
      </w:pPr>
    </w:p>
    <w:p w14:paraId="71ED9EB2" w14:textId="0B1AF9B1" w:rsidR="00E54365" w:rsidRPr="00C177E6" w:rsidRDefault="00E54365" w:rsidP="00EA42EF">
      <w:pPr>
        <w:spacing w:line="276" w:lineRule="auto"/>
        <w:rPr>
          <w:rFonts w:ascii="Geomanist Light" w:hAnsi="Geomanist Light" w:cs="Arial"/>
          <w:sz w:val="22"/>
        </w:rPr>
      </w:pPr>
      <w:r w:rsidRPr="003F1F31">
        <w:rPr>
          <w:rFonts w:ascii="Geomanist Light" w:eastAsia="Calibri" w:hAnsi="Geomanist Light" w:cs="Arial"/>
          <w:sz w:val="22"/>
          <w:szCs w:val="22"/>
          <w:lang w:val="es-MX" w:eastAsia="en-US"/>
        </w:rPr>
        <w:t>Estimad</w:t>
      </w:r>
      <w:r w:rsidR="00C54BAF" w:rsidRPr="003F1F31">
        <w:rPr>
          <w:rFonts w:ascii="Geomanist Light" w:eastAsia="Calibri" w:hAnsi="Geomanist Light" w:cs="Arial"/>
          <w:sz w:val="22"/>
          <w:szCs w:val="22"/>
          <w:lang w:val="es-MX" w:eastAsia="en-US"/>
        </w:rPr>
        <w:t>o</w:t>
      </w:r>
      <w:r w:rsidRPr="00C177E6">
        <w:rPr>
          <w:rFonts w:ascii="Geomanist Light" w:hAnsi="Geomanist Light" w:cs="Arial"/>
          <w:sz w:val="22"/>
        </w:rPr>
        <w:t xml:space="preserve"> señor</w:t>
      </w:r>
      <w:r w:rsidR="00880D11" w:rsidRPr="00C177E6">
        <w:rPr>
          <w:rFonts w:ascii="Geomanist Light" w:hAnsi="Geomanist Light" w:cs="Arial"/>
          <w:sz w:val="22"/>
        </w:rPr>
        <w:t xml:space="preserve"> </w:t>
      </w:r>
      <w:proofErr w:type="spellStart"/>
      <w:r w:rsidR="00E839D1" w:rsidRPr="00C177E6">
        <w:rPr>
          <w:rFonts w:ascii="Geomanist Light" w:hAnsi="Geomanist Light" w:cs="Arial"/>
          <w:sz w:val="22"/>
        </w:rPr>
        <w:t>Pipicano</w:t>
      </w:r>
      <w:proofErr w:type="spellEnd"/>
      <w:r w:rsidRPr="00C177E6">
        <w:rPr>
          <w:rFonts w:ascii="Geomanist Light" w:hAnsi="Geomanist Light" w:cs="Arial"/>
          <w:bCs/>
          <w:sz w:val="22"/>
        </w:rPr>
        <w:t>,</w:t>
      </w:r>
      <w:r w:rsidRPr="00C177E6">
        <w:rPr>
          <w:rFonts w:ascii="Geomanist Light" w:hAnsi="Geomanist Light" w:cs="Arial"/>
          <w:sz w:val="22"/>
        </w:rPr>
        <w:t xml:space="preserve"> </w:t>
      </w:r>
    </w:p>
    <w:p w14:paraId="7F84E930" w14:textId="77777777" w:rsidR="003F1F31" w:rsidRDefault="003F1F31" w:rsidP="00EA42EF">
      <w:pPr>
        <w:spacing w:line="276" w:lineRule="auto"/>
        <w:jc w:val="both"/>
        <w:rPr>
          <w:rFonts w:ascii="Arial" w:hAnsi="Arial" w:cs="Arial"/>
          <w:sz w:val="22"/>
        </w:rPr>
      </w:pPr>
    </w:p>
    <w:p w14:paraId="43EDF4BF" w14:textId="1B53F905" w:rsidR="00E54365" w:rsidRDefault="00E54365" w:rsidP="00EA42EF">
      <w:pPr>
        <w:spacing w:line="276" w:lineRule="auto"/>
        <w:jc w:val="both"/>
        <w:rPr>
          <w:rFonts w:ascii="Geomanist Light" w:eastAsia="Calibri" w:hAnsi="Geomanist Light" w:cs="Arial"/>
          <w:sz w:val="22"/>
          <w:szCs w:val="22"/>
          <w:lang w:val="es-MX" w:eastAsia="en-US"/>
        </w:rPr>
      </w:pPr>
      <w:r w:rsidRPr="00EA42EF">
        <w:rPr>
          <w:rFonts w:ascii="Geomanist Light" w:eastAsia="Calibri" w:hAnsi="Geomanist Light" w:cs="Arial"/>
          <w:sz w:val="22"/>
          <w:szCs w:val="22"/>
          <w:lang w:val="es-MX" w:eastAsia="en-US"/>
        </w:rPr>
        <w:t xml:space="preserve">En ejercicio de la competencia otorgada por el numeral 8 del artículo 11 y el numeral 5 del artículo 3 del Decreto Ley 4170 de 2011, la Agencia Nacional de Contratación Pública − Colombia Compra Eficiente responde su consulta del </w:t>
      </w:r>
      <w:r w:rsidR="00CC772C" w:rsidRPr="00EA42EF">
        <w:rPr>
          <w:rFonts w:ascii="Geomanist Light" w:eastAsia="Calibri" w:hAnsi="Geomanist Light" w:cs="Arial"/>
          <w:sz w:val="22"/>
          <w:szCs w:val="22"/>
          <w:lang w:val="es-MX" w:eastAsia="en-US"/>
        </w:rPr>
        <w:t>2</w:t>
      </w:r>
      <w:r w:rsidR="00874AB5">
        <w:rPr>
          <w:rFonts w:ascii="Geomanist Light" w:eastAsia="Calibri" w:hAnsi="Geomanist Light" w:cs="Arial"/>
          <w:sz w:val="22"/>
          <w:szCs w:val="22"/>
          <w:lang w:val="es-MX" w:eastAsia="en-US"/>
        </w:rPr>
        <w:t>4</w:t>
      </w:r>
      <w:r w:rsidRPr="00EA42EF">
        <w:rPr>
          <w:rFonts w:ascii="Geomanist Light" w:eastAsia="Calibri" w:hAnsi="Geomanist Light" w:cs="Arial"/>
          <w:sz w:val="22"/>
          <w:szCs w:val="22"/>
          <w:lang w:val="es-MX" w:eastAsia="en-US"/>
        </w:rPr>
        <w:t xml:space="preserve"> de </w:t>
      </w:r>
      <w:r w:rsidR="00874AB5">
        <w:rPr>
          <w:rFonts w:ascii="Geomanist Light" w:eastAsia="Calibri" w:hAnsi="Geomanist Light" w:cs="Arial"/>
          <w:sz w:val="22"/>
          <w:szCs w:val="22"/>
          <w:lang w:val="es-MX" w:eastAsia="en-US"/>
        </w:rPr>
        <w:t>octubre</w:t>
      </w:r>
      <w:r w:rsidRPr="00EA42EF">
        <w:rPr>
          <w:rFonts w:ascii="Geomanist Light" w:eastAsia="Calibri" w:hAnsi="Geomanist Light" w:cs="Arial"/>
          <w:sz w:val="22"/>
          <w:szCs w:val="22"/>
          <w:lang w:val="es-MX" w:eastAsia="en-US"/>
        </w:rPr>
        <w:t xml:space="preserve"> de 202</w:t>
      </w:r>
      <w:r w:rsidR="0076432E" w:rsidRPr="00EA42EF">
        <w:rPr>
          <w:rFonts w:ascii="Geomanist Light" w:eastAsia="Calibri" w:hAnsi="Geomanist Light" w:cs="Arial"/>
          <w:sz w:val="22"/>
          <w:szCs w:val="22"/>
          <w:lang w:val="es-MX" w:eastAsia="en-US"/>
        </w:rPr>
        <w:t>2</w:t>
      </w:r>
      <w:r w:rsidRPr="00EA42EF">
        <w:rPr>
          <w:rFonts w:ascii="Geomanist Light" w:eastAsia="Calibri" w:hAnsi="Geomanist Light" w:cs="Arial"/>
          <w:sz w:val="22"/>
          <w:szCs w:val="22"/>
          <w:lang w:val="es-MX" w:eastAsia="en-US"/>
        </w:rPr>
        <w:t>.</w:t>
      </w:r>
    </w:p>
    <w:p w14:paraId="434E8C3C" w14:textId="77777777" w:rsidR="00EA42EF" w:rsidRPr="00EA42EF" w:rsidRDefault="00EA42EF" w:rsidP="00EA42EF">
      <w:pPr>
        <w:spacing w:line="276" w:lineRule="auto"/>
        <w:jc w:val="both"/>
        <w:rPr>
          <w:rFonts w:ascii="Geomanist Light" w:eastAsia="Calibri" w:hAnsi="Geomanist Light" w:cs="Arial"/>
          <w:sz w:val="22"/>
          <w:szCs w:val="22"/>
          <w:lang w:val="es-MX" w:eastAsia="en-US"/>
        </w:rPr>
      </w:pPr>
    </w:p>
    <w:p w14:paraId="4CDB27A1" w14:textId="23AF4B73" w:rsidR="00FB5E3B" w:rsidRPr="001F77B3" w:rsidRDefault="00E54365" w:rsidP="008A3078">
      <w:pPr>
        <w:spacing w:after="240"/>
        <w:rPr>
          <w:rFonts w:ascii="Arial" w:hAnsi="Arial" w:cs="Arial"/>
          <w:b/>
          <w:sz w:val="22"/>
        </w:rPr>
      </w:pPr>
      <w:r w:rsidRPr="0074635D">
        <w:rPr>
          <w:rFonts w:ascii="Geomanist Light" w:eastAsia="Calibri" w:hAnsi="Geomanist Light" w:cs="Arial"/>
          <w:b/>
          <w:bCs/>
          <w:sz w:val="22"/>
          <w:szCs w:val="22"/>
          <w:lang w:val="es-MX" w:eastAsia="en-US"/>
        </w:rPr>
        <w:t>1</w:t>
      </w:r>
      <w:r w:rsidRPr="00EA42EF">
        <w:rPr>
          <w:rFonts w:ascii="Geomanist Light" w:eastAsia="Calibri" w:hAnsi="Geomanist Light" w:cs="Arial"/>
          <w:b/>
          <w:bCs/>
          <w:sz w:val="22"/>
          <w:szCs w:val="22"/>
          <w:lang w:val="es-MX" w:eastAsia="en-US"/>
        </w:rPr>
        <w:t>. Problema planteado</w:t>
      </w:r>
      <w:r w:rsidRPr="001F77B3">
        <w:rPr>
          <w:rFonts w:ascii="Arial" w:hAnsi="Arial" w:cs="Arial"/>
          <w:b/>
          <w:sz w:val="22"/>
        </w:rPr>
        <w:t xml:space="preserve"> </w:t>
      </w:r>
    </w:p>
    <w:p w14:paraId="475ABDB9" w14:textId="77777777" w:rsidR="00D54E11" w:rsidRPr="00EA42EF" w:rsidRDefault="00FB5E3B" w:rsidP="00D54E11">
      <w:pPr>
        <w:spacing w:line="276" w:lineRule="auto"/>
        <w:jc w:val="both"/>
        <w:rPr>
          <w:rFonts w:ascii="Geomanist Light" w:eastAsia="Calibri" w:hAnsi="Geomanist Light" w:cs="Arial"/>
          <w:sz w:val="22"/>
          <w:szCs w:val="22"/>
          <w:lang w:val="es-MX" w:eastAsia="en-US"/>
        </w:rPr>
      </w:pPr>
      <w:r w:rsidRPr="00EA42EF">
        <w:rPr>
          <w:rFonts w:ascii="Geomanist Light" w:eastAsia="Calibri" w:hAnsi="Geomanist Light" w:cs="Arial"/>
          <w:sz w:val="22"/>
          <w:szCs w:val="22"/>
          <w:lang w:val="es-MX" w:eastAsia="en-US"/>
        </w:rPr>
        <w:t xml:space="preserve">Usted </w:t>
      </w:r>
      <w:r w:rsidR="00EF64D8" w:rsidRPr="00EA42EF">
        <w:rPr>
          <w:rFonts w:ascii="Geomanist Light" w:eastAsia="Calibri" w:hAnsi="Geomanist Light" w:cs="Arial"/>
          <w:sz w:val="22"/>
          <w:szCs w:val="22"/>
          <w:lang w:val="es-MX" w:eastAsia="en-US"/>
        </w:rPr>
        <w:t>formula</w:t>
      </w:r>
      <w:r w:rsidRPr="00EA42EF">
        <w:rPr>
          <w:rFonts w:ascii="Geomanist Light" w:eastAsia="Calibri" w:hAnsi="Geomanist Light" w:cs="Arial"/>
          <w:sz w:val="22"/>
          <w:szCs w:val="22"/>
          <w:lang w:val="es-MX" w:eastAsia="en-US"/>
        </w:rPr>
        <w:t xml:space="preserve"> la siguiente consulta</w:t>
      </w:r>
      <w:r w:rsidR="00A74544" w:rsidRPr="00EA42EF">
        <w:rPr>
          <w:rFonts w:ascii="Geomanist Light" w:eastAsia="Calibri" w:hAnsi="Geomanist Light" w:cs="Arial"/>
          <w:sz w:val="22"/>
          <w:szCs w:val="22"/>
          <w:lang w:val="es-MX" w:eastAsia="en-US"/>
        </w:rPr>
        <w:t>:</w:t>
      </w:r>
      <w:r w:rsidR="00880D11" w:rsidRPr="00EA42EF">
        <w:rPr>
          <w:rFonts w:ascii="Geomanist Light" w:eastAsia="Calibri" w:hAnsi="Geomanist Light" w:cs="Arial"/>
          <w:sz w:val="22"/>
          <w:szCs w:val="22"/>
          <w:lang w:val="es-MX" w:eastAsia="en-US"/>
        </w:rPr>
        <w:t xml:space="preserve"> </w:t>
      </w:r>
    </w:p>
    <w:p w14:paraId="03E15B7F" w14:textId="77777777" w:rsidR="00D54E11" w:rsidRDefault="00D54E11" w:rsidP="00D54E11">
      <w:pPr>
        <w:spacing w:line="276" w:lineRule="auto"/>
        <w:jc w:val="both"/>
        <w:rPr>
          <w:rFonts w:ascii="Arial" w:hAnsi="Arial" w:cs="Arial"/>
          <w:sz w:val="22"/>
        </w:rPr>
      </w:pPr>
    </w:p>
    <w:p w14:paraId="2E47A675" w14:textId="77777777" w:rsidR="003F1F31" w:rsidRDefault="00B94548" w:rsidP="0073207F">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r w:rsidRPr="00EA42EF">
        <w:rPr>
          <w:rFonts w:ascii="Geomanist Light" w:eastAsia="Calibri" w:hAnsi="Geomanist Light" w:cs="Arial"/>
          <w:sz w:val="21"/>
          <w:szCs w:val="21"/>
          <w:lang w:val="es-MX" w:eastAsia="en-US"/>
        </w:rPr>
        <w:t>«</w:t>
      </w:r>
      <w:r w:rsidR="004B7D5F" w:rsidRPr="00EA42EF">
        <w:rPr>
          <w:rFonts w:ascii="Geomanist Light" w:eastAsia="Calibri" w:hAnsi="Geomanist Light" w:cs="Arial"/>
          <w:sz w:val="21"/>
          <w:szCs w:val="21"/>
          <w:lang w:val="es-MX" w:eastAsia="en-US"/>
        </w:rPr>
        <w:t>[…]</w:t>
      </w:r>
    </w:p>
    <w:p w14:paraId="408CE779" w14:textId="77777777" w:rsidR="003F1F31" w:rsidRDefault="003F1F31" w:rsidP="0073207F">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p>
    <w:p w14:paraId="23F6B99D" w14:textId="52338910" w:rsidR="00D54E11" w:rsidRPr="00EA42EF" w:rsidRDefault="00D54E11" w:rsidP="0073207F">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r w:rsidRPr="00EA42EF">
        <w:rPr>
          <w:rFonts w:ascii="Geomanist Light" w:eastAsia="Calibri" w:hAnsi="Geomanist Light" w:cs="Arial"/>
          <w:sz w:val="21"/>
          <w:szCs w:val="21"/>
          <w:lang w:val="es-MX" w:eastAsia="en-US"/>
        </w:rPr>
        <w:t xml:space="preserve">1. </w:t>
      </w:r>
      <w:r w:rsidR="000C12D7">
        <w:rPr>
          <w:rFonts w:ascii="Geomanist Light" w:eastAsia="Calibri" w:hAnsi="Geomanist Light" w:cs="Arial"/>
          <w:sz w:val="21"/>
          <w:szCs w:val="21"/>
          <w:lang w:val="es-MX" w:eastAsia="en-US"/>
        </w:rPr>
        <w:t xml:space="preserve">[¿] </w:t>
      </w:r>
      <w:r w:rsidRPr="00EA42EF">
        <w:rPr>
          <w:rFonts w:ascii="Geomanist Light" w:eastAsia="Calibri" w:hAnsi="Geomanist Light" w:cs="Arial"/>
          <w:sz w:val="21"/>
          <w:szCs w:val="21"/>
          <w:lang w:val="es-MX" w:eastAsia="en-US"/>
        </w:rPr>
        <w:t xml:space="preserve">Si un accionista que aporta experiencia a la persona jurídica con una </w:t>
      </w:r>
      <w:r w:rsidRPr="00EA42EF">
        <w:rPr>
          <w:rFonts w:ascii="Geomanist Light" w:eastAsia="Calibri" w:hAnsi="Geomanist Light" w:cs="Arial"/>
          <w:sz w:val="21"/>
          <w:szCs w:val="21"/>
          <w:lang w:val="es-MX" w:eastAsia="en-US"/>
        </w:rPr>
        <w:lastRenderedPageBreak/>
        <w:t>antigüedad de menos de 3 años, se retira o vende las acciones de la persona jurídica, la experiencia que se aportó cuando fue socio puede seguir utilizándola la persona jurídica para participar en procesos de contratación estatal bajo ley 80?</w:t>
      </w:r>
    </w:p>
    <w:p w14:paraId="4B3B7D99" w14:textId="77777777" w:rsidR="00D54E11" w:rsidRPr="00EA42EF" w:rsidRDefault="00D54E11" w:rsidP="0073207F">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p>
    <w:p w14:paraId="444E2DF3" w14:textId="1E1E16DD" w:rsidR="00D54E11" w:rsidRPr="00EA42EF" w:rsidRDefault="000C12D7" w:rsidP="0073207F">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r w:rsidRPr="00EA42EF">
        <w:rPr>
          <w:rFonts w:ascii="Geomanist Light" w:eastAsia="Calibri" w:hAnsi="Geomanist Light" w:cs="Arial"/>
          <w:sz w:val="21"/>
          <w:szCs w:val="21"/>
          <w:lang w:val="es-MX" w:eastAsia="en-US"/>
        </w:rPr>
        <w:t>»</w:t>
      </w:r>
      <w:r w:rsidR="00D54E11" w:rsidRPr="00EA42EF">
        <w:rPr>
          <w:rFonts w:ascii="Geomanist Light" w:eastAsia="Calibri" w:hAnsi="Geomanist Light" w:cs="Arial"/>
          <w:sz w:val="21"/>
          <w:szCs w:val="21"/>
          <w:lang w:val="es-MX" w:eastAsia="en-US"/>
        </w:rPr>
        <w:t xml:space="preserve">2. </w:t>
      </w:r>
      <w:r>
        <w:rPr>
          <w:rFonts w:ascii="Geomanist Light" w:eastAsia="Calibri" w:hAnsi="Geomanist Light" w:cs="Arial"/>
          <w:sz w:val="21"/>
          <w:szCs w:val="21"/>
          <w:lang w:val="es-MX" w:eastAsia="en-US"/>
        </w:rPr>
        <w:t>[¿]</w:t>
      </w:r>
      <w:r w:rsidR="00D54E11" w:rsidRPr="00EA42EF">
        <w:rPr>
          <w:rFonts w:ascii="Geomanist Light" w:eastAsia="Calibri" w:hAnsi="Geomanist Light" w:cs="Arial"/>
          <w:sz w:val="21"/>
          <w:szCs w:val="21"/>
          <w:lang w:val="es-MX" w:eastAsia="en-US"/>
        </w:rPr>
        <w:t>Si un accionista que en su momento aporta experiencia a la persona jurídica cuando esta tenia menos de tres años y después de cumplir los tres años de antigüedad, se retira o vende las acciones de la persona jurídica, la experiencia que se aportó cuando fue socio puede seguir utilizándola la persona jurídica para participar en procesos de contratación estatal bajo ley 80?</w:t>
      </w:r>
    </w:p>
    <w:p w14:paraId="0645952E" w14:textId="77777777" w:rsidR="00D54E11" w:rsidRPr="00EA42EF" w:rsidRDefault="00D54E11" w:rsidP="0073207F">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p>
    <w:p w14:paraId="3799950B" w14:textId="4DD16379" w:rsidR="00A74544" w:rsidRPr="00EA42EF" w:rsidRDefault="000C12D7" w:rsidP="0073207F">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r w:rsidRPr="00EA42EF">
        <w:rPr>
          <w:rFonts w:ascii="Geomanist Light" w:eastAsia="Calibri" w:hAnsi="Geomanist Light" w:cs="Arial"/>
          <w:sz w:val="21"/>
          <w:szCs w:val="21"/>
          <w:lang w:val="es-MX" w:eastAsia="en-US"/>
        </w:rPr>
        <w:t>»</w:t>
      </w:r>
      <w:r w:rsidR="00D54E11" w:rsidRPr="00EA42EF">
        <w:rPr>
          <w:rFonts w:ascii="Geomanist Light" w:eastAsia="Calibri" w:hAnsi="Geomanist Light" w:cs="Arial"/>
          <w:sz w:val="21"/>
          <w:szCs w:val="21"/>
          <w:lang w:val="es-MX" w:eastAsia="en-US"/>
        </w:rPr>
        <w:t>3. La entidad como define la palabra “constituyentes” de una sociedad ya que las entidades están utilizando dicha palabra para poder valer la experiencia de un socio que se retira</w:t>
      </w:r>
      <w:r w:rsidR="006B0C4E" w:rsidRPr="00EA42EF">
        <w:rPr>
          <w:rFonts w:ascii="Geomanist Light" w:eastAsia="Calibri" w:hAnsi="Geomanist Light" w:cs="Arial"/>
          <w:sz w:val="21"/>
          <w:szCs w:val="21"/>
          <w:lang w:val="es-MX" w:eastAsia="en-US"/>
        </w:rPr>
        <w:t>»</w:t>
      </w:r>
      <w:r w:rsidR="00A74544" w:rsidRPr="00EA42EF">
        <w:rPr>
          <w:rFonts w:ascii="Geomanist Light" w:eastAsia="Calibri" w:hAnsi="Geomanist Light" w:cs="Arial"/>
          <w:sz w:val="21"/>
          <w:szCs w:val="21"/>
          <w:lang w:val="es-MX" w:eastAsia="en-US"/>
        </w:rPr>
        <w:t>.</w:t>
      </w:r>
    </w:p>
    <w:p w14:paraId="573A07CF" w14:textId="77777777" w:rsidR="00FD7865" w:rsidRPr="001F77B3" w:rsidRDefault="00FD7865" w:rsidP="007811EA">
      <w:pPr>
        <w:spacing w:line="276" w:lineRule="auto"/>
        <w:jc w:val="both"/>
        <w:rPr>
          <w:rFonts w:ascii="Arial" w:hAnsi="Arial" w:cs="Arial"/>
          <w:sz w:val="21"/>
          <w:szCs w:val="21"/>
        </w:rPr>
      </w:pPr>
    </w:p>
    <w:p w14:paraId="22C81704" w14:textId="02C30143" w:rsidR="00FB5E3B" w:rsidRPr="00E839D1" w:rsidRDefault="00E54365" w:rsidP="00E839D1">
      <w:pPr>
        <w:pStyle w:val="Prrafodelista"/>
        <w:tabs>
          <w:tab w:val="left" w:pos="284"/>
        </w:tabs>
        <w:spacing w:before="0" w:after="0"/>
        <w:ind w:left="0"/>
        <w:rPr>
          <w:rFonts w:ascii="Geomanist Light" w:eastAsia="Calibri" w:hAnsi="Geomanist Light" w:cs="Arial"/>
          <w:b/>
          <w:bCs/>
          <w:sz w:val="22"/>
        </w:rPr>
      </w:pPr>
      <w:r w:rsidRPr="00E839D1">
        <w:rPr>
          <w:rFonts w:ascii="Geomanist Light" w:eastAsia="Calibri" w:hAnsi="Geomanist Light" w:cs="Arial"/>
          <w:b/>
          <w:bCs/>
          <w:sz w:val="22"/>
        </w:rPr>
        <w:t xml:space="preserve">2. Consideraciones </w:t>
      </w:r>
    </w:p>
    <w:p w14:paraId="1CA529D6" w14:textId="77777777" w:rsidR="00FD7865" w:rsidRPr="001F77B3" w:rsidRDefault="00FD7865" w:rsidP="007811EA">
      <w:pPr>
        <w:spacing w:line="276" w:lineRule="auto"/>
        <w:jc w:val="both"/>
        <w:rPr>
          <w:rFonts w:ascii="Arial" w:eastAsia="Calibri" w:hAnsi="Arial" w:cs="Arial"/>
          <w:color w:val="000000" w:themeColor="text1"/>
          <w:sz w:val="22"/>
          <w:szCs w:val="22"/>
        </w:rPr>
      </w:pPr>
    </w:p>
    <w:p w14:paraId="74842D37" w14:textId="77777777" w:rsidR="003504F6" w:rsidRPr="00301AA8" w:rsidRDefault="003504F6" w:rsidP="003504F6">
      <w:pPr>
        <w:spacing w:after="120" w:line="276" w:lineRule="auto"/>
        <w:jc w:val="both"/>
        <w:rPr>
          <w:rFonts w:ascii="Geomanist Light" w:eastAsia="Calibri" w:hAnsi="Geomanist Light" w:cs="Arial"/>
          <w:sz w:val="22"/>
        </w:rPr>
      </w:pPr>
      <w:r w:rsidRPr="00301AA8">
        <w:rPr>
          <w:rFonts w:ascii="Geomanist Light" w:eastAsia="Calibri" w:hAnsi="Geomanist Light"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DC77CA9" w14:textId="77777777" w:rsidR="003504F6" w:rsidRPr="00D67C1A" w:rsidRDefault="003504F6" w:rsidP="003504F6">
      <w:pPr>
        <w:spacing w:after="120" w:line="276" w:lineRule="auto"/>
        <w:jc w:val="both"/>
        <w:rPr>
          <w:rFonts w:ascii="Arial" w:eastAsia="Calibri" w:hAnsi="Arial" w:cs="Arial"/>
          <w:sz w:val="22"/>
          <w:lang w:val="es-ES"/>
        </w:rPr>
      </w:pPr>
      <w:r w:rsidRPr="00301AA8">
        <w:rPr>
          <w:rFonts w:ascii="Geomanist Light" w:eastAsia="Calibri" w:hAnsi="Geomanist Light" w:cs="Arial"/>
          <w:sz w:val="22"/>
        </w:rPr>
        <w:tab/>
      </w:r>
      <w:bookmarkStart w:id="2" w:name="_Hlk61701014"/>
      <w:bookmarkStart w:id="3" w:name="_Hlk62136649"/>
      <w:r w:rsidRPr="00301AA8">
        <w:rPr>
          <w:rFonts w:ascii="Geomanist Light" w:eastAsia="Calibri" w:hAnsi="Geomanist Light" w:cs="Arial"/>
          <w:sz w:val="22"/>
        </w:rPr>
        <w:t xml:space="preserve">Es necesario tener en cuenta que </w:t>
      </w:r>
      <w:bookmarkStart w:id="4" w:name="_Hlk61026958"/>
      <w:r w:rsidRPr="00301AA8">
        <w:rPr>
          <w:rFonts w:ascii="Geomanist Light" w:eastAsia="Calibri" w:hAnsi="Geomanist Light" w:cs="Arial"/>
          <w:sz w:val="22"/>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ya sean reales o hipotéticos.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67C1A">
        <w:rPr>
          <w:rFonts w:ascii="Arial" w:eastAsia="Calibri" w:hAnsi="Arial" w:cs="Arial"/>
          <w:sz w:val="22"/>
          <w:vertAlign w:val="superscript"/>
          <w:lang w:val="es-ES"/>
        </w:rPr>
        <w:footnoteReference w:id="1"/>
      </w:r>
      <w:r w:rsidRPr="00D67C1A">
        <w:rPr>
          <w:rFonts w:ascii="Arial" w:eastAsia="Calibri" w:hAnsi="Arial" w:cs="Arial"/>
          <w:sz w:val="22"/>
          <w:lang w:val="es-ES"/>
        </w:rPr>
        <w:t xml:space="preserve">. </w:t>
      </w:r>
    </w:p>
    <w:p w14:paraId="3906259A" w14:textId="77777777" w:rsidR="003504F6" w:rsidRPr="00301AA8" w:rsidRDefault="003504F6" w:rsidP="003504F6">
      <w:pPr>
        <w:spacing w:after="120" w:line="276" w:lineRule="auto"/>
        <w:ind w:firstLine="708"/>
        <w:jc w:val="both"/>
        <w:rPr>
          <w:rFonts w:ascii="Geomanist Light" w:eastAsia="Calibri" w:hAnsi="Geomanist Light" w:cs="Arial"/>
          <w:sz w:val="22"/>
        </w:rPr>
      </w:pPr>
      <w:r w:rsidRPr="00301AA8">
        <w:rPr>
          <w:rFonts w:ascii="Geomanist Light" w:eastAsia="Calibri" w:hAnsi="Geomanist Light" w:cs="Arial"/>
          <w:sz w:val="22"/>
        </w:rPr>
        <w:t xml:space="preserve">Esta competencia de interpretación de normas generales, por definición, no puede extenderse a la resolución de controversias, ni a brindar asesorías sobre casos puntuales. Esto en la medida en que, para resolver una consulta de carácter particular, además de </w:t>
      </w:r>
      <w:r w:rsidRPr="00301AA8">
        <w:rPr>
          <w:rFonts w:ascii="Geomanist Light" w:eastAsia="Calibri" w:hAnsi="Geomanist Light" w:cs="Arial"/>
          <w:sz w:val="22"/>
        </w:rPr>
        <w:lastRenderedPageBreak/>
        <w:t>conocer un sinnúmero de detalles de la actuación administrativa, es necesario acceder al expediente, a la información concreta y a los documentos del procedimiento contractual donde surge la inquietud</w:t>
      </w:r>
      <w:bookmarkEnd w:id="4"/>
      <w:r w:rsidRPr="00301AA8">
        <w:rPr>
          <w:rFonts w:ascii="Geomanist Light" w:eastAsia="Calibri" w:hAnsi="Geomanist Light" w:cs="Arial"/>
          <w:sz w:val="22"/>
        </w:rPr>
        <w:t>. Por lo anterior, previo concepto de sus órganos asesores, la solución de estos temas corresponde a la entidad que adelanta el procedimiento de selección y, en caso de conflicto, a las autoridades judiciales, fiscales y disciplinarias.</w:t>
      </w:r>
      <w:bookmarkEnd w:id="2"/>
      <w:bookmarkEnd w:id="3"/>
      <w:r w:rsidRPr="00301AA8">
        <w:rPr>
          <w:rFonts w:ascii="Geomanist Light" w:eastAsia="Calibri" w:hAnsi="Geomanist Light" w:cs="Arial"/>
          <w:sz w:val="22"/>
        </w:rPr>
        <w:t xml:space="preserve"> Sin perjuicio de lo anterior, la Subdirección –dentro de los límites de sus atribuciones, esto es, </w:t>
      </w:r>
      <w:bookmarkStart w:id="5" w:name="_Hlk61025408"/>
      <w:r w:rsidRPr="00301AA8">
        <w:rPr>
          <w:rFonts w:ascii="Geomanist Light" w:eastAsia="Calibri" w:hAnsi="Geomanist Light" w:cs="Arial"/>
          <w:sz w:val="22"/>
        </w:rPr>
        <w:t>haciendo abstracción de casos particulares expuestos por cualquier peticionari</w:t>
      </w:r>
      <w:bookmarkEnd w:id="5"/>
      <w:r w:rsidRPr="00301AA8">
        <w:rPr>
          <w:rFonts w:ascii="Geomanist Light" w:eastAsia="Calibri" w:hAnsi="Geomanist Light" w:cs="Arial"/>
          <w:sz w:val="22"/>
        </w:rPr>
        <w:t>o– resolverá la consulta conforme a las normas generales en materia de contratación estatal.</w:t>
      </w:r>
    </w:p>
    <w:p w14:paraId="364AF420" w14:textId="10B77ABA" w:rsidR="003504F6" w:rsidRDefault="003504F6" w:rsidP="003504F6">
      <w:pPr>
        <w:spacing w:line="276" w:lineRule="auto"/>
        <w:jc w:val="both"/>
        <w:rPr>
          <w:rFonts w:ascii="Geomanist Light" w:eastAsia="Calibri" w:hAnsi="Geomanist Light" w:cs="Arial"/>
          <w:sz w:val="22"/>
        </w:rPr>
      </w:pPr>
      <w:r w:rsidRPr="00301AA8">
        <w:rPr>
          <w:rFonts w:ascii="Geomanist Light" w:eastAsia="Calibri" w:hAnsi="Geomanist Light" w:cs="Arial"/>
          <w:sz w:val="22"/>
        </w:rPr>
        <w:t>Aclarado lo anterior, para absolver la consulta planteada se abordarán los siguientes temas: i)</w:t>
      </w:r>
      <w:r w:rsidRPr="003504F6">
        <w:rPr>
          <w:rFonts w:ascii="Geomanist Light" w:eastAsia="Calibri" w:hAnsi="Geomanist Light" w:cs="Arial"/>
          <w:sz w:val="22"/>
        </w:rPr>
        <w:t xml:space="preserve"> La noción de experiencia en la contratación pública, </w:t>
      </w:r>
      <w:proofErr w:type="spellStart"/>
      <w:r w:rsidRPr="003504F6">
        <w:rPr>
          <w:rFonts w:ascii="Geomanist Light" w:eastAsia="Calibri" w:hAnsi="Geomanist Light" w:cs="Arial"/>
          <w:sz w:val="22"/>
        </w:rPr>
        <w:t>ii</w:t>
      </w:r>
      <w:proofErr w:type="spellEnd"/>
      <w:r w:rsidRPr="003504F6">
        <w:rPr>
          <w:rFonts w:ascii="Geomanist Light" w:eastAsia="Calibri" w:hAnsi="Geomanist Light" w:cs="Arial"/>
          <w:sz w:val="22"/>
        </w:rPr>
        <w:t xml:space="preserve">) Consideraciones de la Agencia respecto de la experiencia </w:t>
      </w:r>
      <w:r>
        <w:rPr>
          <w:rFonts w:ascii="Geomanist Light" w:eastAsia="Calibri" w:hAnsi="Geomanist Light" w:cs="Arial"/>
          <w:sz w:val="22"/>
        </w:rPr>
        <w:t>y</w:t>
      </w:r>
      <w:r w:rsidR="003F1F31">
        <w:rPr>
          <w:rFonts w:ascii="Geomanist Light" w:eastAsia="Calibri" w:hAnsi="Geomanist Light" w:cs="Arial"/>
          <w:sz w:val="22"/>
        </w:rPr>
        <w:t>,</w:t>
      </w:r>
      <w:r w:rsidRPr="00301AA8">
        <w:rPr>
          <w:rFonts w:ascii="Geomanist Light" w:eastAsia="Calibri" w:hAnsi="Geomanist Light" w:cs="Arial"/>
          <w:sz w:val="22"/>
        </w:rPr>
        <w:t xml:space="preserve"> </w:t>
      </w:r>
      <w:proofErr w:type="spellStart"/>
      <w:r w:rsidRPr="00301AA8">
        <w:rPr>
          <w:rFonts w:ascii="Geomanist Light" w:eastAsia="Calibri" w:hAnsi="Geomanist Light" w:cs="Arial"/>
          <w:sz w:val="22"/>
        </w:rPr>
        <w:t>ii</w:t>
      </w:r>
      <w:r>
        <w:rPr>
          <w:rFonts w:ascii="Geomanist Light" w:eastAsia="Calibri" w:hAnsi="Geomanist Light" w:cs="Arial"/>
          <w:sz w:val="22"/>
        </w:rPr>
        <w:t>i</w:t>
      </w:r>
      <w:proofErr w:type="spellEnd"/>
      <w:r w:rsidRPr="00301AA8">
        <w:rPr>
          <w:rFonts w:ascii="Geomanist Light" w:eastAsia="Calibri" w:hAnsi="Geomanist Light" w:cs="Arial"/>
          <w:sz w:val="22"/>
        </w:rPr>
        <w:t>)</w:t>
      </w:r>
      <w:r>
        <w:rPr>
          <w:rFonts w:ascii="Geomanist Light" w:eastAsia="Calibri" w:hAnsi="Geomanist Light" w:cs="Arial"/>
          <w:sz w:val="22"/>
        </w:rPr>
        <w:t xml:space="preserve"> </w:t>
      </w:r>
      <w:r w:rsidRPr="003504F6">
        <w:rPr>
          <w:rFonts w:ascii="Geomanist Light" w:eastAsia="Calibri" w:hAnsi="Geomanist Light" w:cs="Arial"/>
          <w:sz w:val="22"/>
        </w:rPr>
        <w:t>Acreditación de experiencia de socios por parte de sociedades con menos de tres años de constitución</w:t>
      </w:r>
      <w:r w:rsidR="00B05670">
        <w:rPr>
          <w:rFonts w:ascii="Geomanist Light" w:eastAsia="Calibri" w:hAnsi="Geomanist Light" w:cs="Arial"/>
          <w:sz w:val="22"/>
        </w:rPr>
        <w:t>.</w:t>
      </w:r>
    </w:p>
    <w:p w14:paraId="77445B2B" w14:textId="77777777" w:rsidR="003504F6" w:rsidRPr="003504F6" w:rsidRDefault="003504F6" w:rsidP="003504F6">
      <w:pPr>
        <w:spacing w:line="276" w:lineRule="auto"/>
        <w:jc w:val="both"/>
        <w:rPr>
          <w:rFonts w:ascii="Geomanist Light" w:eastAsia="Calibri" w:hAnsi="Geomanist Light" w:cs="Arial"/>
          <w:sz w:val="22"/>
        </w:rPr>
      </w:pPr>
    </w:p>
    <w:p w14:paraId="626F26E0" w14:textId="2460F2AF" w:rsidR="00DA41EF" w:rsidRPr="0074635D" w:rsidRDefault="00657259" w:rsidP="00C177E6">
      <w:pPr>
        <w:spacing w:after="240" w:line="276" w:lineRule="auto"/>
        <w:ind w:firstLine="567"/>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w:t>
      </w:r>
      <w:r w:rsidR="000C4E3E" w:rsidRPr="00E839D1">
        <w:rPr>
          <w:rFonts w:ascii="Geomanist Light" w:eastAsia="Calibri" w:hAnsi="Geomanist Light" w:cs="Arial"/>
          <w:sz w:val="22"/>
          <w:szCs w:val="22"/>
          <w:lang w:val="es-MX" w:eastAsia="en-US"/>
        </w:rPr>
        <w:t>,</w:t>
      </w:r>
      <w:r w:rsidRPr="00E839D1">
        <w:rPr>
          <w:rFonts w:ascii="Geomanist Light" w:eastAsia="Calibri" w:hAnsi="Geomanist Light" w:cs="Arial"/>
          <w:sz w:val="22"/>
          <w:szCs w:val="22"/>
          <w:lang w:val="es-MX" w:eastAsia="en-US"/>
        </w:rPr>
        <w:t xml:space="preserve"> C-326 del 2 de julio de 2021</w:t>
      </w:r>
      <w:r w:rsidR="00122BF5" w:rsidRPr="00E839D1">
        <w:rPr>
          <w:rFonts w:ascii="Geomanist Light" w:eastAsia="Calibri" w:hAnsi="Geomanist Light" w:cs="Arial"/>
          <w:sz w:val="22"/>
          <w:szCs w:val="22"/>
          <w:lang w:val="es-MX" w:eastAsia="en-US"/>
        </w:rPr>
        <w:t>,</w:t>
      </w:r>
      <w:r w:rsidR="000C4E3E" w:rsidRPr="00E839D1">
        <w:rPr>
          <w:rFonts w:ascii="Geomanist Light" w:eastAsia="Calibri" w:hAnsi="Geomanist Light" w:cs="Arial"/>
          <w:sz w:val="22"/>
          <w:szCs w:val="22"/>
          <w:lang w:val="es-MX" w:eastAsia="en-US"/>
        </w:rPr>
        <w:t xml:space="preserve"> C-725 del 25 de enero de 2022</w:t>
      </w:r>
      <w:r w:rsidR="00874AB5">
        <w:rPr>
          <w:rFonts w:ascii="Geomanist Light" w:eastAsia="Calibri" w:hAnsi="Geomanist Light" w:cs="Arial"/>
          <w:sz w:val="22"/>
          <w:szCs w:val="22"/>
          <w:lang w:val="es-MX" w:eastAsia="en-US"/>
        </w:rPr>
        <w:t>,</w:t>
      </w:r>
      <w:r w:rsidR="00122BF5" w:rsidRPr="00E839D1">
        <w:rPr>
          <w:rFonts w:ascii="Geomanist Light" w:eastAsia="Calibri" w:hAnsi="Geomanist Light" w:cs="Arial"/>
          <w:sz w:val="22"/>
          <w:szCs w:val="22"/>
          <w:lang w:val="es-MX" w:eastAsia="en-US"/>
        </w:rPr>
        <w:t xml:space="preserve"> C-084 </w:t>
      </w:r>
      <w:r w:rsidR="003D1E38" w:rsidRPr="00E839D1">
        <w:rPr>
          <w:rFonts w:ascii="Geomanist Light" w:eastAsia="Calibri" w:hAnsi="Geomanist Light" w:cs="Arial"/>
          <w:sz w:val="22"/>
          <w:szCs w:val="22"/>
          <w:lang w:val="es-MX" w:eastAsia="en-US"/>
        </w:rPr>
        <w:t>del 16 de marzo de 2022</w:t>
      </w:r>
      <w:r w:rsidR="0074635D">
        <w:rPr>
          <w:rFonts w:ascii="Geomanist Light" w:eastAsia="Calibri" w:hAnsi="Geomanist Light" w:cs="Arial"/>
          <w:sz w:val="22"/>
          <w:szCs w:val="22"/>
          <w:lang w:val="es-MX" w:eastAsia="en-US"/>
        </w:rPr>
        <w:t xml:space="preserve">, </w:t>
      </w:r>
      <w:r w:rsidR="0074635D" w:rsidRPr="0074635D">
        <w:rPr>
          <w:rFonts w:ascii="Geomanist Light" w:eastAsia="Calibri" w:hAnsi="Geomanist Light" w:cs="Arial"/>
          <w:sz w:val="22"/>
          <w:szCs w:val="22"/>
          <w:lang w:val="es-MX" w:eastAsia="en-US"/>
        </w:rPr>
        <w:t>C-144 del 28 de marzo de 2022, C-239 del 26 de abril de 2022</w:t>
      </w:r>
      <w:r w:rsidR="00874AB5">
        <w:rPr>
          <w:rFonts w:ascii="Geomanist Light" w:eastAsia="Calibri" w:hAnsi="Geomanist Light" w:cs="Arial"/>
          <w:sz w:val="22"/>
          <w:szCs w:val="22"/>
          <w:lang w:val="es-MX" w:eastAsia="en-US"/>
        </w:rPr>
        <w:t xml:space="preserve"> y C-</w:t>
      </w:r>
      <w:r w:rsidR="0074635D">
        <w:rPr>
          <w:rFonts w:ascii="Geomanist Light" w:eastAsia="Calibri" w:hAnsi="Geomanist Light" w:cs="Arial"/>
          <w:sz w:val="22"/>
          <w:szCs w:val="22"/>
          <w:lang w:val="es-MX" w:eastAsia="en-US"/>
        </w:rPr>
        <w:t>517 de 11 de agosto de 2022</w:t>
      </w:r>
      <w:r w:rsidRPr="00E839D1">
        <w:rPr>
          <w:rFonts w:ascii="Geomanist Light" w:eastAsia="Calibri" w:hAnsi="Geomanist Light" w:cs="Arial"/>
          <w:sz w:val="22"/>
          <w:szCs w:val="22"/>
          <w:lang w:val="es-MX" w:eastAsia="en-US"/>
        </w:rPr>
        <w:t>, estudió la acreditación de la experiencia de los socios por una sociedad nueva con menos de 3 años de constitución</w:t>
      </w:r>
      <w:r w:rsidRPr="0074635D">
        <w:rPr>
          <w:rFonts w:ascii="Geomanist Light" w:eastAsia="Calibri" w:hAnsi="Geomanist Light"/>
          <w:sz w:val="22"/>
          <w:szCs w:val="22"/>
          <w:vertAlign w:val="superscript"/>
          <w:lang w:val="es-MX" w:eastAsia="en-US"/>
        </w:rPr>
        <w:footnoteReference w:id="2"/>
      </w:r>
      <w:r w:rsidRPr="0074635D">
        <w:rPr>
          <w:rFonts w:ascii="Geomanist Light" w:eastAsia="Calibri" w:hAnsi="Geomanist Light" w:cs="Arial"/>
          <w:sz w:val="22"/>
          <w:szCs w:val="22"/>
          <w:lang w:val="es-MX" w:eastAsia="en-US"/>
        </w:rPr>
        <w:t xml:space="preserve">. </w:t>
      </w:r>
      <w:r w:rsidRPr="00E839D1">
        <w:rPr>
          <w:rFonts w:ascii="Geomanist Light" w:eastAsia="Calibri" w:hAnsi="Geomanist Light" w:cs="Arial"/>
          <w:sz w:val="22"/>
          <w:szCs w:val="22"/>
          <w:lang w:val="es-MX" w:eastAsia="en-US"/>
        </w:rPr>
        <w:t>Los argumentos y consideraciones expuestos en los conceptos mencionados se reiteran y se complementan en lo pertinente</w:t>
      </w:r>
      <w:r w:rsidR="00CA689A" w:rsidRPr="00E839D1">
        <w:rPr>
          <w:rFonts w:ascii="Geomanist Light" w:eastAsia="Calibri" w:hAnsi="Geomanist Light" w:cs="Arial"/>
          <w:sz w:val="22"/>
          <w:szCs w:val="22"/>
          <w:lang w:val="es-MX" w:eastAsia="en-US"/>
        </w:rPr>
        <w:t>:</w:t>
      </w:r>
    </w:p>
    <w:p w14:paraId="39FB6347" w14:textId="3C99101E" w:rsidR="00C374F0" w:rsidRPr="00E839D1" w:rsidRDefault="00C374F0" w:rsidP="008A3078">
      <w:pPr>
        <w:spacing w:after="240"/>
        <w:jc w:val="both"/>
        <w:rPr>
          <w:rFonts w:ascii="Geomanist Light" w:eastAsia="Calibri" w:hAnsi="Geomanist Light" w:cs="Arial"/>
          <w:b/>
          <w:bCs/>
          <w:sz w:val="22"/>
          <w:szCs w:val="22"/>
          <w:lang w:val="es-MX" w:eastAsia="en-US"/>
        </w:rPr>
      </w:pPr>
      <w:r w:rsidRPr="0074635D">
        <w:rPr>
          <w:rFonts w:ascii="Geomanist Light" w:eastAsia="Calibri" w:hAnsi="Geomanist Light" w:cs="Arial"/>
          <w:b/>
          <w:bCs/>
          <w:sz w:val="22"/>
          <w:szCs w:val="22"/>
          <w:lang w:val="es-MX" w:eastAsia="en-US"/>
        </w:rPr>
        <w:t>2</w:t>
      </w:r>
      <w:r w:rsidRPr="00E839D1">
        <w:rPr>
          <w:rFonts w:ascii="Geomanist Light" w:eastAsia="Calibri" w:hAnsi="Geomanist Light" w:cs="Arial"/>
          <w:b/>
          <w:bCs/>
          <w:sz w:val="22"/>
          <w:szCs w:val="22"/>
          <w:lang w:val="es-MX" w:eastAsia="en-US"/>
        </w:rPr>
        <w:t xml:space="preserve">.1. </w:t>
      </w:r>
      <w:r w:rsidR="005051F8" w:rsidRPr="00E839D1">
        <w:rPr>
          <w:rFonts w:ascii="Geomanist Light" w:eastAsia="Calibri" w:hAnsi="Geomanist Light" w:cs="Arial"/>
          <w:b/>
          <w:bCs/>
          <w:sz w:val="22"/>
          <w:szCs w:val="22"/>
          <w:lang w:val="es-MX" w:eastAsia="en-US"/>
        </w:rPr>
        <w:t xml:space="preserve">La </w:t>
      </w:r>
      <w:r w:rsidR="00657446" w:rsidRPr="00E839D1">
        <w:rPr>
          <w:rFonts w:ascii="Geomanist Light" w:eastAsia="Calibri" w:hAnsi="Geomanist Light" w:cs="Arial"/>
          <w:b/>
          <w:bCs/>
          <w:sz w:val="22"/>
          <w:szCs w:val="22"/>
          <w:lang w:val="es-MX" w:eastAsia="en-US"/>
        </w:rPr>
        <w:t>n</w:t>
      </w:r>
      <w:r w:rsidR="005051F8" w:rsidRPr="00E839D1">
        <w:rPr>
          <w:rFonts w:ascii="Geomanist Light" w:eastAsia="Calibri" w:hAnsi="Geomanist Light" w:cs="Arial"/>
          <w:b/>
          <w:bCs/>
          <w:sz w:val="22"/>
          <w:szCs w:val="22"/>
          <w:lang w:val="es-MX" w:eastAsia="en-US"/>
        </w:rPr>
        <w:t>oción</w:t>
      </w:r>
      <w:r w:rsidRPr="00E839D1">
        <w:rPr>
          <w:rFonts w:ascii="Geomanist Light" w:eastAsia="Calibri" w:hAnsi="Geomanist Light" w:cs="Arial"/>
          <w:b/>
          <w:bCs/>
          <w:sz w:val="22"/>
          <w:szCs w:val="22"/>
          <w:lang w:val="es-MX" w:eastAsia="en-US"/>
        </w:rPr>
        <w:t xml:space="preserve"> de experiencia en la contratación pública</w:t>
      </w:r>
    </w:p>
    <w:p w14:paraId="4C612C05" w14:textId="69EBE891" w:rsidR="00674F99" w:rsidRPr="00E839D1" w:rsidRDefault="00125B36" w:rsidP="007811EA">
      <w:pPr>
        <w:spacing w:after="120" w:line="276" w:lineRule="auto"/>
        <w:jc w:val="both"/>
        <w:rPr>
          <w:rFonts w:ascii="Geomanist Light" w:eastAsia="Calibri" w:hAnsi="Geomanist Light" w:cs="Arial"/>
          <w:sz w:val="22"/>
          <w:szCs w:val="22"/>
          <w:lang w:val="es-MX" w:eastAsia="en-US"/>
        </w:rPr>
      </w:pPr>
      <w:bookmarkStart w:id="6" w:name="_Hlk91599456"/>
      <w:r>
        <w:rPr>
          <w:rFonts w:ascii="Geomanist Light" w:eastAsia="Calibri" w:hAnsi="Geomanist Light" w:cs="Arial"/>
          <w:sz w:val="22"/>
          <w:szCs w:val="22"/>
          <w:lang w:val="es-MX" w:eastAsia="en-US"/>
        </w:rPr>
        <w:t>el artículo 5 de la Ley 1150 de 2007</w:t>
      </w:r>
      <w:r w:rsidR="00C374F0" w:rsidRPr="00E839D1">
        <w:rPr>
          <w:rFonts w:ascii="Geomanist Light" w:eastAsia="Calibri" w:hAnsi="Geomanist Light" w:cs="Arial"/>
          <w:sz w:val="22"/>
          <w:szCs w:val="22"/>
          <w:lang w:val="es-MX" w:eastAsia="en-US"/>
        </w:rPr>
        <w:t xml:space="preserve"> </w:t>
      </w:r>
      <w:r w:rsidR="006678A3" w:rsidRPr="00E839D1">
        <w:rPr>
          <w:rFonts w:ascii="Geomanist Light" w:eastAsia="Calibri" w:hAnsi="Geomanist Light" w:cs="Arial"/>
          <w:sz w:val="22"/>
          <w:szCs w:val="22"/>
          <w:lang w:val="es-MX" w:eastAsia="en-US"/>
        </w:rPr>
        <w:t xml:space="preserve">dispone que la capacidad jurídica y las condiciones de experiencia, </w:t>
      </w:r>
      <w:r w:rsidR="00E76D64" w:rsidRPr="00E839D1">
        <w:rPr>
          <w:rFonts w:ascii="Geomanist Light" w:eastAsia="Calibri" w:hAnsi="Geomanist Light" w:cs="Arial"/>
          <w:sz w:val="22"/>
          <w:szCs w:val="22"/>
          <w:lang w:val="es-MX" w:eastAsia="en-US"/>
        </w:rPr>
        <w:t xml:space="preserve">así como la </w:t>
      </w:r>
      <w:r w:rsidR="006678A3" w:rsidRPr="00E839D1">
        <w:rPr>
          <w:rFonts w:ascii="Geomanist Light" w:eastAsia="Calibri" w:hAnsi="Geomanist Light" w:cs="Arial"/>
          <w:sz w:val="22"/>
          <w:szCs w:val="22"/>
          <w:lang w:val="es-MX" w:eastAsia="en-US"/>
        </w:rPr>
        <w:t>capacidad financiera y de organización de los proponentes</w:t>
      </w:r>
      <w:r w:rsidR="00E76D64" w:rsidRPr="00E839D1">
        <w:rPr>
          <w:rFonts w:ascii="Geomanist Light" w:eastAsia="Calibri" w:hAnsi="Geomanist Light" w:cs="Arial"/>
          <w:sz w:val="22"/>
          <w:szCs w:val="22"/>
          <w:lang w:val="es-MX" w:eastAsia="en-US"/>
        </w:rPr>
        <w:t>,</w:t>
      </w:r>
      <w:r w:rsidR="006678A3" w:rsidRPr="00E839D1">
        <w:rPr>
          <w:rFonts w:ascii="Geomanist Light" w:eastAsia="Calibri" w:hAnsi="Geomanist Light" w:cs="Arial"/>
          <w:sz w:val="22"/>
          <w:szCs w:val="22"/>
          <w:lang w:val="es-MX" w:eastAsia="en-US"/>
        </w:rPr>
        <w:t xml:space="preserve"> serán objeto de verificación por parte de las entidades como requisitos habilitantes para participar en los procesos de selección y no otorgarán puntaje. </w:t>
      </w:r>
    </w:p>
    <w:p w14:paraId="460C077F" w14:textId="1A45E8F5" w:rsidR="00674F99" w:rsidRPr="001F77B3" w:rsidRDefault="006678A3" w:rsidP="007811EA">
      <w:pPr>
        <w:spacing w:after="120" w:line="276" w:lineRule="auto"/>
        <w:ind w:firstLine="709"/>
        <w:jc w:val="both"/>
        <w:rPr>
          <w:rFonts w:ascii="Arial" w:eastAsia="Calibri" w:hAnsi="Arial" w:cs="Arial"/>
          <w:sz w:val="22"/>
          <w:szCs w:val="22"/>
          <w:lang w:eastAsia="en-US"/>
        </w:rPr>
      </w:pPr>
      <w:r w:rsidRPr="00E839D1">
        <w:rPr>
          <w:rFonts w:ascii="Geomanist Light" w:eastAsia="Calibri" w:hAnsi="Geomanist Light" w:cs="Arial"/>
          <w:sz w:val="22"/>
          <w:szCs w:val="22"/>
          <w:lang w:val="es-MX" w:eastAsia="en-US"/>
        </w:rPr>
        <w:lastRenderedPageBreak/>
        <w:t xml:space="preserve">Para ello, el artículo 6 </w:t>
      </w:r>
      <w:r w:rsidR="00125B36">
        <w:rPr>
          <w:rFonts w:ascii="Geomanist Light" w:eastAsia="Calibri" w:hAnsi="Geomanist Light" w:cs="Arial"/>
          <w:sz w:val="22"/>
          <w:szCs w:val="22"/>
          <w:lang w:val="es-MX" w:eastAsia="en-US"/>
        </w:rPr>
        <w:t>de esta norma</w:t>
      </w:r>
      <w:r w:rsidRPr="00E839D1">
        <w:rPr>
          <w:rFonts w:ascii="Geomanist Light" w:eastAsia="Calibri" w:hAnsi="Geomanist Light" w:cs="Arial"/>
          <w:sz w:val="22"/>
          <w:szCs w:val="22"/>
          <w:lang w:val="es-MX" w:eastAsia="en-US"/>
        </w:rPr>
        <w:t xml:space="preserve"> señala que todas las personas naturales o jurídicas, nacionales o extranjeras, domiciliadas o con sucursal en Colombia, que aspiren celebrar contratos con las entidades</w:t>
      </w:r>
      <w:r w:rsidR="00AB628F" w:rsidRPr="00E839D1">
        <w:rPr>
          <w:rFonts w:ascii="Geomanist Light" w:eastAsia="Calibri" w:hAnsi="Geomanist Light" w:cs="Arial"/>
          <w:sz w:val="22"/>
          <w:szCs w:val="22"/>
          <w:lang w:val="es-MX" w:eastAsia="en-US"/>
        </w:rPr>
        <w:t xml:space="preserve"> estatales</w:t>
      </w:r>
      <w:r w:rsidRPr="00E839D1">
        <w:rPr>
          <w:rFonts w:ascii="Geomanist Light" w:eastAsia="Calibri" w:hAnsi="Geomanist Light" w:cs="Arial"/>
          <w:sz w:val="22"/>
          <w:szCs w:val="22"/>
          <w:lang w:val="es-MX" w:eastAsia="en-US"/>
        </w:rPr>
        <w:t xml:space="preserve"> deberán estar inscritas en el</w:t>
      </w:r>
      <w:r w:rsidRPr="001F77B3">
        <w:rPr>
          <w:rFonts w:ascii="Arial" w:hAnsi="Arial" w:cs="Arial"/>
          <w:sz w:val="22"/>
        </w:rPr>
        <w:t xml:space="preserve"> </w:t>
      </w:r>
      <w:r w:rsidRPr="00E839D1">
        <w:rPr>
          <w:rFonts w:ascii="Geomanist Light" w:eastAsia="Calibri" w:hAnsi="Geomanist Light" w:cs="Arial"/>
          <w:sz w:val="22"/>
          <w:szCs w:val="22"/>
          <w:lang w:val="es-MX" w:eastAsia="en-US"/>
        </w:rPr>
        <w:t xml:space="preserve">Registro Único de Proponentes. En dicho registro constará la información relacionada con la experiencia, </w:t>
      </w:r>
      <w:r w:rsidR="00AB628F" w:rsidRPr="00E839D1">
        <w:rPr>
          <w:rFonts w:ascii="Geomanist Light" w:eastAsia="Calibri" w:hAnsi="Geomanist Light" w:cs="Arial"/>
          <w:sz w:val="22"/>
          <w:szCs w:val="22"/>
          <w:lang w:val="es-MX" w:eastAsia="en-US"/>
        </w:rPr>
        <w:t xml:space="preserve">la </w:t>
      </w:r>
      <w:r w:rsidRPr="00E839D1">
        <w:rPr>
          <w:rFonts w:ascii="Geomanist Light" w:eastAsia="Calibri" w:hAnsi="Geomanist Light" w:cs="Arial"/>
          <w:sz w:val="22"/>
          <w:szCs w:val="22"/>
          <w:lang w:val="es-MX" w:eastAsia="en-US"/>
        </w:rPr>
        <w:t>capacidad jurídica, financiera y de organización del proponente y su clasificación.</w:t>
      </w:r>
      <w:r w:rsidR="000C3232" w:rsidRPr="00E839D1">
        <w:rPr>
          <w:rFonts w:ascii="Geomanist Light" w:eastAsia="Calibri" w:hAnsi="Geomanist Light" w:cs="Arial"/>
          <w:sz w:val="22"/>
          <w:szCs w:val="22"/>
          <w:lang w:val="es-MX" w:eastAsia="en-US"/>
        </w:rPr>
        <w:t xml:space="preserve"> </w:t>
      </w:r>
      <w:bookmarkEnd w:id="6"/>
      <w:r w:rsidR="00C374F0" w:rsidRPr="00E839D1">
        <w:rPr>
          <w:rFonts w:ascii="Geomanist Light" w:eastAsia="Calibri" w:hAnsi="Geomanist Light" w:cs="Arial"/>
          <w:sz w:val="22"/>
          <w:szCs w:val="22"/>
          <w:lang w:val="es-MX" w:eastAsia="en-US"/>
        </w:rPr>
        <w:t>En este registro constan los requisitos habilitantes que se evalúan exclusivamente con este documento, que es plena prueba, sin que la entidad o el proponente puedan, en principio, solicitar o aportar otra documentación</w:t>
      </w:r>
      <w:r w:rsidR="00C374F0" w:rsidRPr="001F77B3">
        <w:rPr>
          <w:rStyle w:val="Refdenotaalpie"/>
          <w:rFonts w:ascii="Arial" w:eastAsia="Calibri" w:hAnsi="Arial" w:cs="Arial"/>
        </w:rPr>
        <w:footnoteReference w:id="3"/>
      </w:r>
      <w:r w:rsidR="00C374F0" w:rsidRPr="001F77B3">
        <w:rPr>
          <w:rFonts w:ascii="Arial" w:eastAsia="Calibri" w:hAnsi="Arial" w:cs="Arial"/>
          <w:sz w:val="22"/>
          <w:szCs w:val="22"/>
          <w:lang w:eastAsia="en-US"/>
        </w:rPr>
        <w:t>.</w:t>
      </w:r>
    </w:p>
    <w:p w14:paraId="2D227B32" w14:textId="7753841D" w:rsidR="008E5687" w:rsidRPr="00E839D1" w:rsidRDefault="00D72126" w:rsidP="007811EA">
      <w:pPr>
        <w:spacing w:after="120" w:line="276" w:lineRule="auto"/>
        <w:ind w:firstLine="709"/>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L</w:t>
      </w:r>
      <w:r w:rsidR="00C374F0" w:rsidRPr="00E839D1">
        <w:rPr>
          <w:rFonts w:ascii="Geomanist Light" w:eastAsia="Calibri" w:hAnsi="Geomanist Light" w:cs="Arial"/>
          <w:sz w:val="22"/>
          <w:szCs w:val="22"/>
          <w:lang w:val="es-MX" w:eastAsia="en-US"/>
        </w:rPr>
        <w:t>a experiencia</w:t>
      </w:r>
      <w:r w:rsidRPr="00E839D1">
        <w:rPr>
          <w:rFonts w:ascii="Geomanist Light" w:eastAsia="Calibri" w:hAnsi="Geomanist Light" w:cs="Arial"/>
          <w:sz w:val="22"/>
          <w:szCs w:val="22"/>
          <w:lang w:val="es-MX" w:eastAsia="en-US"/>
        </w:rPr>
        <w:t xml:space="preserve"> </w:t>
      </w:r>
      <w:r w:rsidR="00C374F0" w:rsidRPr="00E839D1">
        <w:rPr>
          <w:rFonts w:ascii="Geomanist Light" w:eastAsia="Calibri" w:hAnsi="Geomanist Light" w:cs="Arial"/>
          <w:sz w:val="22"/>
          <w:szCs w:val="22"/>
          <w:lang w:val="es-MX" w:eastAsia="en-US"/>
        </w:rPr>
        <w:t>debe inscribirse, renovarse o actualizarse en el RUP con copia de los contratos o con certificados de los contratos celebrados por el proponente con diferentes contratantes</w:t>
      </w:r>
      <w:r w:rsidRPr="00E839D1">
        <w:rPr>
          <w:rFonts w:ascii="Geomanist Light" w:eastAsia="Calibri" w:hAnsi="Geomanist Light" w:cs="Arial"/>
          <w:sz w:val="22"/>
          <w:szCs w:val="22"/>
          <w:lang w:val="es-MX" w:eastAsia="en-US"/>
        </w:rPr>
        <w:t xml:space="preserve">. Estos </w:t>
      </w:r>
      <w:r w:rsidR="00C374F0" w:rsidRPr="00E839D1">
        <w:rPr>
          <w:rFonts w:ascii="Geomanist Light" w:eastAsia="Calibri" w:hAnsi="Geomanist Light" w:cs="Arial"/>
          <w:sz w:val="22"/>
          <w:szCs w:val="22"/>
          <w:lang w:val="es-MX" w:eastAsia="en-US"/>
        </w:rPr>
        <w:t xml:space="preserve">terceros expiden </w:t>
      </w:r>
      <w:r w:rsidRPr="00E839D1">
        <w:rPr>
          <w:rFonts w:ascii="Geomanist Light" w:eastAsia="Calibri" w:hAnsi="Geomanist Light" w:cs="Arial"/>
          <w:sz w:val="22"/>
          <w:szCs w:val="22"/>
          <w:lang w:val="es-MX" w:eastAsia="en-US"/>
        </w:rPr>
        <w:t xml:space="preserve">dichas certificaciones </w:t>
      </w:r>
      <w:r w:rsidR="00C374F0" w:rsidRPr="00E839D1">
        <w:rPr>
          <w:rFonts w:ascii="Geomanist Light" w:eastAsia="Calibri" w:hAnsi="Geomanist Light" w:cs="Arial"/>
          <w:sz w:val="22"/>
          <w:szCs w:val="22"/>
          <w:lang w:val="es-MX" w:eastAsia="en-US"/>
        </w:rPr>
        <w:t>cuando el contrato fue ejecutado y recibieron los bienes, obras o servicios de parte del proponente</w:t>
      </w:r>
      <w:r w:rsidR="00C374F0" w:rsidRPr="00E839D1">
        <w:rPr>
          <w:rFonts w:ascii="Geomanist Light" w:eastAsia="Calibri" w:hAnsi="Geomanist Light"/>
          <w:sz w:val="22"/>
          <w:szCs w:val="22"/>
          <w:lang w:val="es-MX" w:eastAsia="en-US"/>
        </w:rPr>
        <w:footnoteReference w:id="4"/>
      </w:r>
      <w:r w:rsidR="00C374F0" w:rsidRPr="00E839D1">
        <w:rPr>
          <w:rFonts w:ascii="Geomanist Light" w:eastAsia="Calibri" w:hAnsi="Geomanist Light" w:cs="Arial"/>
          <w:sz w:val="22"/>
          <w:szCs w:val="22"/>
          <w:lang w:val="es-MX" w:eastAsia="en-US"/>
        </w:rPr>
        <w:t>.</w:t>
      </w:r>
      <w:r w:rsidRPr="00E839D1">
        <w:rPr>
          <w:rFonts w:ascii="Geomanist Light" w:eastAsia="Calibri" w:hAnsi="Geomanist Light" w:cs="Arial"/>
          <w:sz w:val="22"/>
          <w:szCs w:val="22"/>
          <w:lang w:val="es-MX" w:eastAsia="en-US"/>
        </w:rPr>
        <w:t xml:space="preserve"> </w:t>
      </w:r>
      <w:r w:rsidR="00C374F0" w:rsidRPr="00E839D1">
        <w:rPr>
          <w:rFonts w:ascii="Geomanist Light" w:eastAsia="Calibri" w:hAnsi="Geomanist Light" w:cs="Arial"/>
          <w:sz w:val="22"/>
          <w:szCs w:val="22"/>
          <w:lang w:val="es-MX" w:eastAsia="en-US"/>
        </w:rPr>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394A84B7" w14:textId="3B250557" w:rsidR="00680B58" w:rsidRPr="00E839D1" w:rsidRDefault="001C47C8" w:rsidP="007811EA">
      <w:pPr>
        <w:spacing w:after="120" w:line="276" w:lineRule="auto"/>
        <w:ind w:firstLine="709"/>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As</w:t>
      </w:r>
      <w:r w:rsidR="00375B7B" w:rsidRPr="00E839D1">
        <w:rPr>
          <w:rFonts w:ascii="Geomanist Light" w:eastAsia="Calibri" w:hAnsi="Geomanist Light" w:cs="Arial"/>
          <w:sz w:val="22"/>
          <w:szCs w:val="22"/>
          <w:lang w:val="es-MX" w:eastAsia="en-US"/>
        </w:rPr>
        <w:t>i</w:t>
      </w:r>
      <w:r w:rsidRPr="00E839D1">
        <w:rPr>
          <w:rFonts w:ascii="Geomanist Light" w:eastAsia="Calibri" w:hAnsi="Geomanist Light" w:cs="Arial"/>
          <w:sz w:val="22"/>
          <w:szCs w:val="22"/>
          <w:lang w:val="es-MX" w:eastAsia="en-US"/>
        </w:rPr>
        <w:t xml:space="preserve">mismo, </w:t>
      </w:r>
      <w:r w:rsidR="008E5687" w:rsidRPr="00E839D1">
        <w:rPr>
          <w:rFonts w:ascii="Geomanist Light" w:eastAsia="Calibri" w:hAnsi="Geomanist Light" w:cs="Arial"/>
          <w:sz w:val="22"/>
          <w:szCs w:val="22"/>
          <w:lang w:val="es-MX" w:eastAsia="en-US"/>
        </w:rPr>
        <w:t xml:space="preserve">de manera </w:t>
      </w:r>
      <w:r w:rsidRPr="00E839D1">
        <w:rPr>
          <w:rFonts w:ascii="Geomanist Light" w:eastAsia="Calibri" w:hAnsi="Geomanist Light" w:cs="Arial"/>
          <w:sz w:val="22"/>
          <w:szCs w:val="22"/>
          <w:lang w:val="es-MX" w:eastAsia="en-US"/>
        </w:rPr>
        <w:t>correlativ</w:t>
      </w:r>
      <w:r w:rsidR="008E5687" w:rsidRPr="00E839D1">
        <w:rPr>
          <w:rFonts w:ascii="Geomanist Light" w:eastAsia="Calibri" w:hAnsi="Geomanist Light" w:cs="Arial"/>
          <w:sz w:val="22"/>
          <w:szCs w:val="22"/>
          <w:lang w:val="es-MX" w:eastAsia="en-US"/>
        </w:rPr>
        <w:t>a</w:t>
      </w:r>
      <w:r w:rsidRPr="00E839D1">
        <w:rPr>
          <w:rFonts w:ascii="Geomanist Light" w:eastAsia="Calibri" w:hAnsi="Geomanist Light" w:cs="Arial"/>
          <w:sz w:val="22"/>
          <w:szCs w:val="22"/>
          <w:lang w:val="es-MX" w:eastAsia="en-US"/>
        </w:rPr>
        <w:t xml:space="preserve"> a este deber de los proponentes, la norma impuso a las cámaras de comercio la obligación de verificar los requisitos habilitantes de quienes se registren. El inciso 2 del numeral 6.1. le otorga carácter de plena prueba a la información </w:t>
      </w:r>
      <w:r w:rsidRPr="00E839D1">
        <w:rPr>
          <w:rFonts w:ascii="Geomanist Light" w:eastAsia="Calibri" w:hAnsi="Geomanist Light" w:cs="Arial"/>
          <w:sz w:val="22"/>
          <w:szCs w:val="22"/>
          <w:lang w:val="es-MX" w:eastAsia="en-US"/>
        </w:rPr>
        <w:lastRenderedPageBreak/>
        <w:t xml:space="preserve">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6123373F" w14:textId="316A02B3" w:rsidR="00DD6845" w:rsidRPr="00E839D1" w:rsidRDefault="001C47C8" w:rsidP="007811EA">
      <w:pPr>
        <w:spacing w:after="120" w:line="276" w:lineRule="auto"/>
        <w:ind w:firstLine="709"/>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 xml:space="preserve">En consecuencia, la norma establece que a las entidades les está prohibido exigir otros documentos para efectuar la inscripción en el registro, salvo lo dispuesto en el inciso 3 del numeral 6.1. 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0F5C4924" w14:textId="0CB0B96B" w:rsidR="001C47C8" w:rsidRPr="00E839D1" w:rsidRDefault="001C47C8" w:rsidP="004F6680">
      <w:pPr>
        <w:spacing w:line="276" w:lineRule="auto"/>
        <w:ind w:firstLine="709"/>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De lo anterior se concluye que la regla general es que la experiencia se acredite a través del RUP y, en consecuencia, la evaluación de la experiencia, como requisito habilitante, no puede ser realizada nuevamente por la entidad pública a partir de otros criterios distintos a los contenidos en el Registro Único de Proponentes.</w:t>
      </w:r>
    </w:p>
    <w:p w14:paraId="72C5E2BC" w14:textId="77777777" w:rsidR="004F6680" w:rsidRPr="001F77B3" w:rsidRDefault="004F6680" w:rsidP="007811EA">
      <w:pPr>
        <w:spacing w:line="276" w:lineRule="auto"/>
        <w:ind w:firstLine="709"/>
        <w:jc w:val="both"/>
        <w:rPr>
          <w:rFonts w:ascii="Arial" w:eastAsia="Calibri" w:hAnsi="Arial" w:cs="Arial"/>
          <w:sz w:val="22"/>
          <w:szCs w:val="22"/>
          <w:lang w:eastAsia="en-US"/>
        </w:rPr>
      </w:pPr>
    </w:p>
    <w:p w14:paraId="2CAF0872" w14:textId="77777777" w:rsidR="00C374F0" w:rsidRPr="001F77B3" w:rsidRDefault="00C374F0" w:rsidP="008A3078">
      <w:pPr>
        <w:spacing w:after="240" w:line="276" w:lineRule="auto"/>
        <w:jc w:val="both"/>
        <w:rPr>
          <w:rFonts w:ascii="Arial" w:eastAsia="Calibri" w:hAnsi="Arial" w:cs="Arial"/>
          <w:b/>
          <w:bCs/>
          <w:sz w:val="22"/>
          <w:szCs w:val="22"/>
          <w:lang w:eastAsia="en-US"/>
        </w:rPr>
      </w:pPr>
      <w:r w:rsidRPr="001F77B3">
        <w:rPr>
          <w:rFonts w:ascii="Arial" w:eastAsia="Calibri" w:hAnsi="Arial" w:cs="Arial"/>
          <w:b/>
          <w:bCs/>
          <w:sz w:val="22"/>
          <w:szCs w:val="22"/>
          <w:lang w:eastAsia="en-US"/>
        </w:rPr>
        <w:t>2</w:t>
      </w:r>
      <w:r w:rsidRPr="00E839D1">
        <w:rPr>
          <w:rFonts w:ascii="Geomanist Light" w:eastAsia="Calibri" w:hAnsi="Geomanist Light" w:cs="Arial"/>
          <w:b/>
          <w:bCs/>
          <w:sz w:val="22"/>
          <w:szCs w:val="22"/>
          <w:lang w:val="es-MX" w:eastAsia="en-US"/>
        </w:rPr>
        <w:t>.2. Consideraciones de la Agencia respecto de la experiencia</w:t>
      </w:r>
    </w:p>
    <w:p w14:paraId="49A55DB0" w14:textId="41C696BE" w:rsidR="00A35AD8" w:rsidRPr="001F77B3" w:rsidRDefault="006734E6" w:rsidP="007811EA">
      <w:pPr>
        <w:spacing w:after="120" w:line="276" w:lineRule="auto"/>
        <w:jc w:val="both"/>
        <w:rPr>
          <w:rFonts w:ascii="Arial" w:eastAsia="Calibri" w:hAnsi="Arial" w:cs="Arial"/>
          <w:sz w:val="22"/>
          <w:szCs w:val="22"/>
          <w:lang w:eastAsia="en-US"/>
        </w:rPr>
      </w:pPr>
      <w:r w:rsidRPr="00E839D1">
        <w:rPr>
          <w:rFonts w:ascii="Geomanist Light" w:eastAsia="Calibri" w:hAnsi="Geomanist Light" w:cs="Arial"/>
          <w:sz w:val="22"/>
          <w:szCs w:val="22"/>
          <w:lang w:val="es-MX" w:eastAsia="en-US"/>
        </w:rPr>
        <w:t>En relación con el requisito habilitante de experiencia, l</w:t>
      </w:r>
      <w:r w:rsidR="00C374F0" w:rsidRPr="00E839D1">
        <w:rPr>
          <w:rFonts w:ascii="Geomanist Light" w:eastAsia="Calibri" w:hAnsi="Geomanist Light" w:cs="Arial"/>
          <w:sz w:val="22"/>
          <w:szCs w:val="22"/>
          <w:lang w:val="es-MX" w:eastAsia="en-US"/>
        </w:rPr>
        <w:t>a Agencia Nacional de Contratación Pública – Colombia Compra Eficiente puso a disposición de los interesados del Sistema de Compra Pública el «Manual para determinar y verificar requisitos habilitantes en los Procesos de Contratación»</w:t>
      </w:r>
      <w:r w:rsidR="00DD6845" w:rsidRPr="00E839D1">
        <w:rPr>
          <w:rFonts w:ascii="Geomanist Light" w:eastAsia="Calibri" w:hAnsi="Geomanist Light" w:cs="Arial"/>
          <w:sz w:val="22"/>
          <w:szCs w:val="22"/>
          <w:lang w:val="es-MX" w:eastAsia="en-US"/>
        </w:rPr>
        <w:t>.</w:t>
      </w:r>
      <w:r w:rsidR="00C374F0" w:rsidRPr="00E839D1">
        <w:rPr>
          <w:rFonts w:ascii="Geomanist Light" w:eastAsia="Calibri" w:hAnsi="Geomanist Light" w:cs="Arial"/>
          <w:sz w:val="22"/>
          <w:szCs w:val="22"/>
          <w:lang w:val="es-MX" w:eastAsia="en-US"/>
        </w:rPr>
        <w:t xml:space="preserve"> </w:t>
      </w:r>
      <w:r w:rsidR="00DD6845" w:rsidRPr="00E839D1">
        <w:rPr>
          <w:rFonts w:ascii="Geomanist Light" w:eastAsia="Calibri" w:hAnsi="Geomanist Light" w:cs="Arial"/>
          <w:sz w:val="22"/>
          <w:szCs w:val="22"/>
          <w:lang w:val="es-MX" w:eastAsia="en-US"/>
        </w:rPr>
        <w:t>Allí se indica que la experiencia tiene un</w:t>
      </w:r>
      <w:r w:rsidR="00C374F0" w:rsidRPr="00E839D1">
        <w:rPr>
          <w:rFonts w:ascii="Geomanist Light" w:eastAsia="Calibri" w:hAnsi="Geomanist Light" w:cs="Arial"/>
          <w:sz w:val="22"/>
          <w:szCs w:val="22"/>
          <w:lang w:val="es-MX" w:eastAsia="en-US"/>
        </w:rPr>
        <w:t xml:space="preserve"> carácter personal, lo cual significa que </w:t>
      </w:r>
      <w:r w:rsidR="00DD6845" w:rsidRPr="00E839D1">
        <w:rPr>
          <w:rFonts w:ascii="Geomanist Light" w:eastAsia="Calibri" w:hAnsi="Geomanist Light" w:cs="Arial"/>
          <w:sz w:val="22"/>
          <w:szCs w:val="22"/>
          <w:lang w:val="es-MX" w:eastAsia="en-US"/>
        </w:rPr>
        <w:t>esta</w:t>
      </w:r>
      <w:r w:rsidR="00C374F0" w:rsidRPr="00E839D1">
        <w:rPr>
          <w:rFonts w:ascii="Geomanist Light" w:eastAsia="Calibri" w:hAnsi="Geomanist Light" w:cs="Arial"/>
          <w:sz w:val="22"/>
          <w:szCs w:val="22"/>
          <w:lang w:val="es-MX" w:eastAsia="en-US"/>
        </w:rPr>
        <w:t xml:space="preserve"> se obtiene </w:t>
      </w:r>
      <w:r w:rsidR="00DD6845" w:rsidRPr="00E839D1">
        <w:rPr>
          <w:rFonts w:ascii="Geomanist Light" w:eastAsia="Calibri" w:hAnsi="Geomanist Light" w:cs="Arial"/>
          <w:sz w:val="22"/>
          <w:szCs w:val="22"/>
          <w:lang w:val="es-MX" w:eastAsia="en-US"/>
        </w:rPr>
        <w:t>por</w:t>
      </w:r>
      <w:r w:rsidR="00C374F0" w:rsidRPr="00E839D1">
        <w:rPr>
          <w:rFonts w:ascii="Geomanist Light" w:eastAsia="Calibri" w:hAnsi="Geomanist Light" w:cs="Arial"/>
          <w:sz w:val="22"/>
          <w:szCs w:val="22"/>
          <w:lang w:val="es-MX" w:eastAsia="en-US"/>
        </w:rPr>
        <w:t xml:space="preserve"> la participación, con anterioridad, en actividades que le permitieron</w:t>
      </w:r>
      <w:r w:rsidR="00A35AD8" w:rsidRPr="00E839D1">
        <w:rPr>
          <w:rFonts w:ascii="Geomanist Light" w:eastAsia="Calibri" w:hAnsi="Geomanist Light" w:cs="Arial"/>
          <w:sz w:val="22"/>
          <w:szCs w:val="22"/>
          <w:lang w:val="es-MX" w:eastAsia="en-US"/>
        </w:rPr>
        <w:t xml:space="preserve"> a alguien</w:t>
      </w:r>
      <w:r w:rsidR="00C374F0" w:rsidRPr="00E839D1">
        <w:rPr>
          <w:rFonts w:ascii="Geomanist Light" w:eastAsia="Calibri" w:hAnsi="Geomanist Light" w:cs="Arial"/>
          <w:sz w:val="22"/>
          <w:szCs w:val="22"/>
          <w:lang w:val="es-MX" w:eastAsia="en-US"/>
        </w:rPr>
        <w:t xml:space="preserve"> conocer cómo ejecutar determinado objeto contractual que la entidad ahora pretende desarrollar</w:t>
      </w:r>
      <w:r w:rsidR="00C374F0" w:rsidRPr="001F77B3">
        <w:rPr>
          <w:rStyle w:val="Refdenotaalpie"/>
          <w:rFonts w:ascii="Arial" w:eastAsia="Calibri" w:hAnsi="Arial" w:cs="Arial"/>
        </w:rPr>
        <w:footnoteReference w:id="5"/>
      </w:r>
      <w:r w:rsidR="00C374F0" w:rsidRPr="001F77B3">
        <w:rPr>
          <w:rFonts w:ascii="Arial" w:eastAsia="Calibri" w:hAnsi="Arial" w:cs="Arial"/>
          <w:sz w:val="22"/>
          <w:szCs w:val="22"/>
          <w:lang w:eastAsia="en-US"/>
        </w:rPr>
        <w:t>.</w:t>
      </w:r>
    </w:p>
    <w:p w14:paraId="3CF40D45" w14:textId="0706B029" w:rsidR="00845984" w:rsidRPr="00E839D1" w:rsidRDefault="00C374F0" w:rsidP="00C177E6">
      <w:pPr>
        <w:spacing w:after="120" w:line="276" w:lineRule="auto"/>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lastRenderedPageBreak/>
        <w:t>Lo anterior es determinante, porque no es posible adquirir la experiencia si en la práctica no se han ejecutado actividades previas</w:t>
      </w:r>
      <w:r w:rsidR="00C822C2" w:rsidRPr="00E839D1">
        <w:rPr>
          <w:rFonts w:ascii="Geomanist Light" w:eastAsia="Calibri" w:hAnsi="Geomanist Light" w:cs="Arial"/>
          <w:sz w:val="22"/>
          <w:szCs w:val="22"/>
          <w:lang w:val="es-MX" w:eastAsia="en-US"/>
        </w:rPr>
        <w:t>.</w:t>
      </w:r>
      <w:r w:rsidRPr="00E839D1">
        <w:rPr>
          <w:rFonts w:ascii="Geomanist Light" w:eastAsia="Calibri" w:hAnsi="Geomanist Light" w:cs="Arial"/>
          <w:sz w:val="22"/>
          <w:szCs w:val="22"/>
          <w:lang w:val="es-MX" w:eastAsia="en-US"/>
        </w:rPr>
        <w:t xml:space="preserve"> </w:t>
      </w:r>
      <w:r w:rsidR="00C822C2" w:rsidRPr="00E839D1">
        <w:rPr>
          <w:rFonts w:ascii="Geomanist Light" w:eastAsia="Calibri" w:hAnsi="Geomanist Light" w:cs="Arial"/>
          <w:sz w:val="22"/>
          <w:szCs w:val="22"/>
          <w:lang w:val="es-MX" w:eastAsia="en-US"/>
        </w:rPr>
        <w:t>P</w:t>
      </w:r>
      <w:r w:rsidRPr="00E839D1">
        <w:rPr>
          <w:rFonts w:ascii="Geomanist Light" w:eastAsia="Calibri" w:hAnsi="Geomanist Light" w:cs="Arial"/>
          <w:sz w:val="22"/>
          <w:szCs w:val="22"/>
          <w:lang w:val="es-MX" w:eastAsia="en-US"/>
        </w:rPr>
        <w:t>recisamente</w:t>
      </w:r>
      <w:r w:rsidR="00C822C2" w:rsidRPr="00E839D1">
        <w:rPr>
          <w:rFonts w:ascii="Geomanist Light" w:eastAsia="Calibri" w:hAnsi="Geomanist Light" w:cs="Arial"/>
          <w:sz w:val="22"/>
          <w:szCs w:val="22"/>
          <w:lang w:val="es-MX" w:eastAsia="en-US"/>
        </w:rPr>
        <w:t>,</w:t>
      </w:r>
      <w:r w:rsidRPr="00E839D1">
        <w:rPr>
          <w:rFonts w:ascii="Geomanist Light" w:eastAsia="Calibri" w:hAnsi="Geomanist Light" w:cs="Arial"/>
          <w:sz w:val="22"/>
          <w:szCs w:val="22"/>
          <w:lang w:val="es-MX" w:eastAsia="en-US"/>
        </w:rPr>
        <w:t xml:space="preserve"> de la experiencia se deriva el conocimiento del proponente, lo cual es importante para la contratación pública,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w:t>
      </w:r>
      <w:r w:rsidR="00604B04" w:rsidRPr="00E839D1">
        <w:rPr>
          <w:rFonts w:ascii="Geomanist Light" w:eastAsia="Calibri" w:hAnsi="Geomanist Light" w:cs="Arial"/>
          <w:sz w:val="22"/>
          <w:szCs w:val="22"/>
          <w:lang w:val="es-MX" w:eastAsia="en-US"/>
        </w:rPr>
        <w:t>. P</w:t>
      </w:r>
      <w:r w:rsidRPr="00E839D1">
        <w:rPr>
          <w:rFonts w:ascii="Geomanist Light" w:eastAsia="Calibri" w:hAnsi="Geomanist Light" w:cs="Arial"/>
          <w:sz w:val="22"/>
          <w:szCs w:val="22"/>
          <w:lang w:val="es-MX" w:eastAsia="en-US"/>
        </w:rPr>
        <w:t>or tratarse de esquemas asociativos</w:t>
      </w:r>
      <w:r w:rsidR="000877B5" w:rsidRPr="00E839D1">
        <w:rPr>
          <w:rFonts w:ascii="Geomanist Light" w:eastAsia="Calibri" w:hAnsi="Geomanist Light" w:cs="Arial"/>
          <w:sz w:val="22"/>
          <w:szCs w:val="22"/>
          <w:lang w:val="es-MX" w:eastAsia="en-US"/>
        </w:rPr>
        <w:t>,</w:t>
      </w:r>
      <w:r w:rsidR="00604B04" w:rsidRPr="00E839D1">
        <w:rPr>
          <w:rFonts w:ascii="Geomanist Light" w:eastAsia="Calibri" w:hAnsi="Geomanist Light" w:cs="Arial"/>
          <w:sz w:val="22"/>
          <w:szCs w:val="22"/>
          <w:lang w:val="es-MX" w:eastAsia="en-US"/>
        </w:rPr>
        <w:t xml:space="preserve"> en estos casos</w:t>
      </w:r>
      <w:r w:rsidRPr="00E839D1">
        <w:rPr>
          <w:rFonts w:ascii="Geomanist Light" w:eastAsia="Calibri" w:hAnsi="Geomanist Light" w:cs="Arial"/>
          <w:sz w:val="22"/>
          <w:szCs w:val="22"/>
          <w:lang w:val="es-MX" w:eastAsia="en-US"/>
        </w:rPr>
        <w:t xml:space="preserve">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de manera que se ayude a que exista pluralidad de oferentes.  </w:t>
      </w:r>
    </w:p>
    <w:p w14:paraId="6FF8A164" w14:textId="77777777" w:rsidR="007A4F97" w:rsidRPr="00C177E6" w:rsidRDefault="007A4F97" w:rsidP="00C177E6">
      <w:pPr>
        <w:spacing w:after="120" w:line="276" w:lineRule="auto"/>
        <w:ind w:firstLine="708"/>
        <w:jc w:val="both"/>
        <w:rPr>
          <w:rFonts w:ascii="Arial" w:eastAsia="Calibri" w:hAnsi="Arial" w:cs="Arial"/>
          <w:sz w:val="4"/>
          <w:szCs w:val="4"/>
          <w:lang w:eastAsia="en-US"/>
        </w:rPr>
      </w:pPr>
    </w:p>
    <w:p w14:paraId="48A3388E" w14:textId="1C678F3F" w:rsidR="00C374F0" w:rsidRPr="001F77B3" w:rsidRDefault="00C374F0" w:rsidP="007A4F97">
      <w:pPr>
        <w:spacing w:line="276" w:lineRule="auto"/>
        <w:jc w:val="both"/>
        <w:rPr>
          <w:rFonts w:ascii="Arial" w:eastAsia="Calibri" w:hAnsi="Arial" w:cs="Arial"/>
          <w:b/>
          <w:bCs/>
          <w:sz w:val="22"/>
          <w:szCs w:val="22"/>
          <w:lang w:eastAsia="en-US"/>
        </w:rPr>
      </w:pPr>
      <w:r w:rsidRPr="00E839D1">
        <w:rPr>
          <w:rFonts w:ascii="Geomanist Light" w:eastAsia="Calibri" w:hAnsi="Geomanist Light" w:cs="Arial"/>
          <w:b/>
          <w:bCs/>
          <w:sz w:val="22"/>
          <w:szCs w:val="22"/>
          <w:lang w:val="es-MX" w:eastAsia="en-US"/>
        </w:rPr>
        <w:t>2.3. Acreditación de experiencia de socios por parte de sociedades con menos de tres años de constitución</w:t>
      </w:r>
    </w:p>
    <w:p w14:paraId="4BEF1F01" w14:textId="77777777" w:rsidR="007A4F97" w:rsidRPr="00C177E6" w:rsidRDefault="007A4F97" w:rsidP="007811EA">
      <w:pPr>
        <w:spacing w:line="276" w:lineRule="auto"/>
        <w:jc w:val="both"/>
        <w:rPr>
          <w:rFonts w:ascii="Arial" w:eastAsia="Calibri" w:hAnsi="Arial" w:cs="Arial"/>
          <w:b/>
          <w:bCs/>
          <w:sz w:val="14"/>
          <w:szCs w:val="14"/>
          <w:lang w:eastAsia="en-US"/>
        </w:rPr>
      </w:pPr>
    </w:p>
    <w:p w14:paraId="55E5936B" w14:textId="345D645C" w:rsidR="00C374F0" w:rsidRPr="00E839D1" w:rsidRDefault="00C374F0" w:rsidP="007811EA">
      <w:pPr>
        <w:spacing w:after="120" w:line="276" w:lineRule="auto"/>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w:t>
      </w:r>
      <w:r w:rsidR="002270C0" w:rsidRPr="00E839D1">
        <w:rPr>
          <w:rFonts w:ascii="Geomanist Light" w:eastAsia="Calibri" w:hAnsi="Geomanist Light" w:cs="Arial"/>
          <w:sz w:val="22"/>
          <w:szCs w:val="22"/>
          <w:lang w:val="es-MX" w:eastAsia="en-US"/>
        </w:rPr>
        <w:t>sin perjuicio</w:t>
      </w:r>
      <w:r w:rsidRPr="00E839D1">
        <w:rPr>
          <w:rFonts w:ascii="Geomanist Light" w:eastAsia="Calibri" w:hAnsi="Geomanist Light" w:cs="Arial"/>
          <w:sz w:val="22"/>
          <w:szCs w:val="22"/>
          <w:lang w:val="es-MX" w:eastAsia="en-US"/>
        </w:rPr>
        <w:t xml:space="preserve"> de la selección de consultores mediante un concurso de méritos, donde es posible otorgar puntaje al criterio de experiencia. </w:t>
      </w:r>
    </w:p>
    <w:p w14:paraId="63555206" w14:textId="0219ABD7" w:rsidR="00C374F0" w:rsidRPr="00E839D1" w:rsidRDefault="00C374F0" w:rsidP="007811EA">
      <w:pPr>
        <w:spacing w:after="120" w:line="276" w:lineRule="auto"/>
        <w:ind w:firstLine="708"/>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 xml:space="preserve">Por su parte, el artículo 6 de </w:t>
      </w:r>
      <w:r w:rsidR="00845984">
        <w:rPr>
          <w:rFonts w:ascii="Geomanist Light" w:eastAsia="Calibri" w:hAnsi="Geomanist Light" w:cs="Arial"/>
          <w:sz w:val="22"/>
          <w:szCs w:val="22"/>
          <w:lang w:val="es-MX" w:eastAsia="en-US"/>
        </w:rPr>
        <w:t>esa misma norma</w:t>
      </w:r>
      <w:r w:rsidRPr="00E839D1">
        <w:rPr>
          <w:rFonts w:ascii="Geomanist Light" w:eastAsia="Calibri" w:hAnsi="Geomanist Light" w:cs="Arial"/>
          <w:sz w:val="22"/>
          <w:szCs w:val="22"/>
          <w:lang w:val="es-MX" w:eastAsia="en-US"/>
        </w:rPr>
        <w:t xml:space="preserve"> señala que todas las personas naturales o jurídicas, nacionales o extranjeras, domiciliadas o con sucursal en Colombia, que aspiren celebrar contratos con las entidades estatales, deberán estar inscritas en el</w:t>
      </w:r>
      <w:r w:rsidRPr="001F77B3">
        <w:rPr>
          <w:rFonts w:ascii="Arial" w:eastAsia="Calibri" w:hAnsi="Arial" w:cs="Arial"/>
          <w:sz w:val="22"/>
          <w:szCs w:val="22"/>
          <w:lang w:eastAsia="en-US"/>
        </w:rPr>
        <w:t xml:space="preserve"> </w:t>
      </w:r>
      <w:r w:rsidRPr="00E839D1">
        <w:rPr>
          <w:rFonts w:ascii="Geomanist Light" w:eastAsia="Calibri" w:hAnsi="Geomanist Light" w:cs="Arial"/>
          <w:sz w:val="22"/>
          <w:szCs w:val="22"/>
          <w:lang w:val="es-MX" w:eastAsia="en-US"/>
        </w:rPr>
        <w:t xml:space="preserve">Registro Único de Proponentes. En dicho registro constará la información relacionada con la experiencia, capacidad jurídica, financiera y de organización del proponente y su clasificación. En relación con el requisito habilitante de </w:t>
      </w:r>
      <w:r w:rsidR="006441CE" w:rsidRPr="00E839D1">
        <w:rPr>
          <w:rFonts w:ascii="Geomanist Light" w:eastAsia="Calibri" w:hAnsi="Geomanist Light" w:cs="Arial"/>
          <w:sz w:val="22"/>
          <w:szCs w:val="22"/>
          <w:lang w:val="es-MX" w:eastAsia="en-US"/>
        </w:rPr>
        <w:t xml:space="preserve">la </w:t>
      </w:r>
      <w:r w:rsidRPr="00E839D1">
        <w:rPr>
          <w:rFonts w:ascii="Geomanist Light" w:eastAsia="Calibri" w:hAnsi="Geomanist Light" w:cs="Arial"/>
          <w:sz w:val="22"/>
          <w:szCs w:val="22"/>
          <w:lang w:val="es-MX" w:eastAsia="en-US"/>
        </w:rPr>
        <w:t xml:space="preserve">experiencia, en el «Manual para determinar y verificar requisitos habilitantes en los Procesos de Contratación» se define </w:t>
      </w:r>
      <w:r w:rsidR="006441CE" w:rsidRPr="00E839D1">
        <w:rPr>
          <w:rFonts w:ascii="Geomanist Light" w:eastAsia="Calibri" w:hAnsi="Geomanist Light" w:cs="Arial"/>
          <w:sz w:val="22"/>
          <w:szCs w:val="22"/>
          <w:lang w:val="es-MX" w:eastAsia="en-US"/>
        </w:rPr>
        <w:t>esta</w:t>
      </w:r>
      <w:r w:rsidRPr="00E839D1">
        <w:rPr>
          <w:rFonts w:ascii="Geomanist Light" w:eastAsia="Calibri" w:hAnsi="Geomanist Light" w:cs="Arial"/>
          <w:sz w:val="22"/>
          <w:szCs w:val="22"/>
          <w:lang w:val="es-MX" w:eastAsia="en-US"/>
        </w:rPr>
        <w:t xml:space="preserve"> como «el conocimiento del proponente derivado de su participación previa en actividades iguales o similares a las previstas en el objeto del contrato».</w:t>
      </w:r>
    </w:p>
    <w:p w14:paraId="5B38AE6F" w14:textId="2DE219B8" w:rsidR="00C374F0" w:rsidRPr="001F77B3" w:rsidRDefault="00C374F0" w:rsidP="007811EA">
      <w:pPr>
        <w:spacing w:after="120" w:line="276" w:lineRule="auto"/>
        <w:ind w:firstLine="708"/>
        <w:jc w:val="both"/>
        <w:rPr>
          <w:rFonts w:ascii="Arial" w:eastAsia="Calibri" w:hAnsi="Arial" w:cs="Arial"/>
          <w:sz w:val="22"/>
          <w:szCs w:val="22"/>
          <w:lang w:eastAsia="en-US"/>
        </w:rPr>
      </w:pPr>
      <w:r w:rsidRPr="00E839D1">
        <w:rPr>
          <w:rFonts w:ascii="Geomanist Light" w:eastAsia="Calibri" w:hAnsi="Geomanist Light" w:cs="Arial"/>
          <w:sz w:val="22"/>
          <w:szCs w:val="22"/>
          <w:lang w:val="es-MX" w:eastAsia="en-US"/>
        </w:rPr>
        <w:t>El Decreto 1082 de 2015, en el artículo 2.2.1.1.1.5.2, numeral 2.1, establece que si una persona natural se inscribe en el RUP aportará los certificados de experiencia en provisión de bienes, obras y servicios, los cuales deben ser expedidos por terceros que hayan</w:t>
      </w:r>
      <w:r w:rsidR="000C12D7">
        <w:rPr>
          <w:rFonts w:ascii="Geomanist Light" w:eastAsia="Calibri" w:hAnsi="Geomanist Light" w:cs="Arial"/>
          <w:sz w:val="22"/>
          <w:szCs w:val="22"/>
          <w:lang w:val="es-MX" w:eastAsia="en-US"/>
        </w:rPr>
        <w:t xml:space="preserve"> </w:t>
      </w:r>
      <w:r w:rsidRPr="00E839D1">
        <w:rPr>
          <w:rFonts w:ascii="Geomanist Light" w:eastAsia="Calibri" w:hAnsi="Geomanist Light" w:cs="Arial"/>
          <w:sz w:val="22"/>
          <w:szCs w:val="22"/>
          <w:lang w:val="es-MX" w:eastAsia="en-US"/>
        </w:rPr>
        <w:lastRenderedPageBreak/>
        <w:t xml:space="preserve">recibido tales bienes, obras y servicios, y deben corresponder a contratos ejecutados o </w:t>
      </w:r>
      <w:r w:rsidR="007C58BD" w:rsidRPr="00E839D1">
        <w:rPr>
          <w:rFonts w:ascii="Geomanist Light" w:eastAsia="Calibri" w:hAnsi="Geomanist Light" w:cs="Arial"/>
          <w:sz w:val="22"/>
          <w:szCs w:val="22"/>
          <w:lang w:val="es-MX" w:eastAsia="en-US"/>
        </w:rPr>
        <w:t xml:space="preserve">a </w:t>
      </w:r>
      <w:r w:rsidRPr="00E839D1">
        <w:rPr>
          <w:rFonts w:ascii="Geomanist Light" w:eastAsia="Calibri" w:hAnsi="Geomanist Light" w:cs="Arial"/>
          <w:sz w:val="22"/>
          <w:szCs w:val="22"/>
          <w:lang w:val="es-MX" w:eastAsia="en-US"/>
        </w:rPr>
        <w:t>copias de los contratos</w:t>
      </w:r>
      <w:r w:rsidR="007C58BD" w:rsidRPr="00E839D1">
        <w:rPr>
          <w:rFonts w:ascii="Geomanist Light" w:eastAsia="Calibri" w:hAnsi="Geomanist Light" w:cs="Arial"/>
          <w:sz w:val="22"/>
          <w:szCs w:val="22"/>
          <w:lang w:val="es-MX" w:eastAsia="en-US"/>
        </w:rPr>
        <w:t>,</w:t>
      </w:r>
      <w:r w:rsidRPr="00E839D1">
        <w:rPr>
          <w:rFonts w:ascii="Geomanist Light" w:eastAsia="Calibri" w:hAnsi="Geomanist Light" w:cs="Arial"/>
          <w:sz w:val="22"/>
          <w:szCs w:val="22"/>
          <w:lang w:val="es-MX" w:eastAsia="en-US"/>
        </w:rPr>
        <w:t xml:space="preserve"> cuando el interesado no puede obtener tal certificado</w:t>
      </w:r>
      <w:r w:rsidRPr="001F77B3">
        <w:rPr>
          <w:rStyle w:val="Refdenotaalpie"/>
          <w:rFonts w:ascii="Arial" w:eastAsia="Calibri" w:hAnsi="Arial" w:cs="Arial"/>
        </w:rPr>
        <w:footnoteReference w:id="6"/>
      </w:r>
      <w:r w:rsidRPr="001F77B3">
        <w:rPr>
          <w:rFonts w:ascii="Arial" w:eastAsia="Calibri" w:hAnsi="Arial" w:cs="Arial"/>
          <w:sz w:val="22"/>
          <w:szCs w:val="22"/>
          <w:lang w:eastAsia="en-US"/>
        </w:rPr>
        <w:t xml:space="preserve">.  </w:t>
      </w:r>
    </w:p>
    <w:p w14:paraId="2888B4A3" w14:textId="77777777" w:rsidR="00C374F0" w:rsidRPr="00E839D1" w:rsidRDefault="00C374F0" w:rsidP="00603C40">
      <w:pPr>
        <w:spacing w:after="120" w:line="276" w:lineRule="auto"/>
        <w:ind w:firstLine="708"/>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El numeral 2.5</w:t>
      </w:r>
      <w:r w:rsidRPr="001F77B3">
        <w:rPr>
          <w:rStyle w:val="Refdenotaalpie"/>
          <w:rFonts w:ascii="Arial" w:eastAsia="Calibri" w:hAnsi="Arial" w:cs="Arial"/>
        </w:rPr>
        <w:footnoteReference w:id="7"/>
      </w:r>
      <w:r w:rsidRPr="001F77B3">
        <w:rPr>
          <w:rFonts w:ascii="Arial" w:eastAsia="Calibri" w:hAnsi="Arial" w:cs="Arial"/>
          <w:sz w:val="22"/>
          <w:szCs w:val="22"/>
          <w:lang w:eastAsia="en-US"/>
        </w:rPr>
        <w:t xml:space="preserve"> </w:t>
      </w:r>
      <w:r w:rsidRPr="00E839D1">
        <w:rPr>
          <w:rFonts w:ascii="Geomanist Light" w:eastAsia="Calibri" w:hAnsi="Geomanist Light" w:cs="Arial"/>
          <w:sz w:val="22"/>
          <w:szCs w:val="22"/>
          <w:lang w:val="es-MX" w:eastAsia="en-US"/>
        </w:rPr>
        <w:t xml:space="preserve">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1F86A2AA" w14:textId="151A9AAB" w:rsidR="00C374F0" w:rsidRPr="00E839D1" w:rsidRDefault="00C374F0" w:rsidP="00603C40">
      <w:pPr>
        <w:spacing w:after="120" w:line="276" w:lineRule="auto"/>
        <w:ind w:firstLine="708"/>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El interesado debe indicar en cada certificado, o en cada copia de los contratos, los bienes, obras y servicios a los cuales corresponde la experiencia que pretende acreditar, identificándolos con el Clasificador de Bienes y Servicios, en el tercer nivel. Además, dicho numeral establece que</w:t>
      </w:r>
      <w:r w:rsidR="007136AC" w:rsidRPr="00E839D1">
        <w:rPr>
          <w:rFonts w:ascii="Geomanist Light" w:eastAsia="Calibri" w:hAnsi="Geomanist Light" w:cs="Arial"/>
          <w:sz w:val="22"/>
          <w:szCs w:val="22"/>
          <w:lang w:val="es-MX" w:eastAsia="en-US"/>
        </w:rPr>
        <w:t>,</w:t>
      </w:r>
      <w:r w:rsidRPr="00E839D1">
        <w:rPr>
          <w:rFonts w:ascii="Geomanist Light" w:eastAsia="Calibri" w:hAnsi="Geomanist Light" w:cs="Arial"/>
          <w:sz w:val="22"/>
          <w:szCs w:val="22"/>
          <w:lang w:val="es-MX" w:eastAsia="en-US"/>
        </w:rPr>
        <w:t xml:space="preserve"> si la constitución del interesado es menor a 3 años, puede acreditar la experiencia de sus accionistas, socios o constituyentes.</w:t>
      </w:r>
    </w:p>
    <w:p w14:paraId="0B1B183F" w14:textId="260A1F2A" w:rsidR="00C374F0" w:rsidRPr="00E839D1" w:rsidRDefault="00C374F0" w:rsidP="00603C40">
      <w:pPr>
        <w:spacing w:after="120" w:line="276" w:lineRule="auto"/>
        <w:ind w:firstLine="708"/>
        <w:jc w:val="both"/>
        <w:rPr>
          <w:rFonts w:ascii="Geomanist Light" w:eastAsia="Calibri" w:hAnsi="Geomanist Light" w:cs="Arial"/>
          <w:sz w:val="22"/>
          <w:szCs w:val="22"/>
          <w:lang w:val="es-MX" w:eastAsia="en-US"/>
        </w:rPr>
      </w:pPr>
      <w:bookmarkStart w:id="7" w:name="_Hlk67496603"/>
      <w:r w:rsidRPr="00E839D1">
        <w:rPr>
          <w:rFonts w:ascii="Geomanist Light" w:eastAsia="Calibri" w:hAnsi="Geomanist Light" w:cs="Arial"/>
          <w:sz w:val="22"/>
          <w:szCs w:val="22"/>
          <w:lang w:val="es-MX" w:eastAsia="en-US"/>
        </w:rPr>
        <w:t xml:space="preserve">De esta manera, </w:t>
      </w:r>
      <w:bookmarkStart w:id="8" w:name="_Hlk94016717"/>
      <w:r w:rsidRPr="00E839D1">
        <w:rPr>
          <w:rFonts w:ascii="Geomanist Light" w:eastAsia="Calibri" w:hAnsi="Geomanist Light" w:cs="Arial"/>
          <w:sz w:val="22"/>
          <w:szCs w:val="22"/>
          <w:lang w:val="es-MX" w:eastAsia="en-U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007136AC" w:rsidRPr="00E839D1">
        <w:rPr>
          <w:rFonts w:ascii="Geomanist Light" w:eastAsia="Calibri" w:hAnsi="Geomanist Light" w:cs="Arial"/>
          <w:sz w:val="22"/>
          <w:szCs w:val="22"/>
          <w:lang w:val="es-MX" w:eastAsia="en-US"/>
        </w:rPr>
        <w:t xml:space="preserve"> </w:t>
      </w:r>
      <w:r w:rsidRPr="00E839D1">
        <w:rPr>
          <w:rFonts w:ascii="Geomanist Light" w:eastAsia="Calibri" w:hAnsi="Geomanist Light" w:cs="Arial"/>
          <w:sz w:val="22"/>
          <w:szCs w:val="22"/>
          <w:lang w:val="es-MX" w:eastAsia="en-US"/>
        </w:rPr>
        <w:t>con menos de 3 años de constitución</w:t>
      </w:r>
      <w:r w:rsidR="007136AC" w:rsidRPr="00E839D1">
        <w:rPr>
          <w:rFonts w:ascii="Geomanist Light" w:eastAsia="Calibri" w:hAnsi="Geomanist Light" w:cs="Arial"/>
          <w:sz w:val="22"/>
          <w:szCs w:val="22"/>
          <w:lang w:val="es-MX" w:eastAsia="en-US"/>
        </w:rPr>
        <w:t xml:space="preserve"> </w:t>
      </w:r>
      <w:r w:rsidRPr="00E839D1">
        <w:rPr>
          <w:rFonts w:ascii="Geomanist Light" w:eastAsia="Calibri" w:hAnsi="Geomanist Light" w:cs="Arial"/>
          <w:sz w:val="22"/>
          <w:szCs w:val="22"/>
          <w:lang w:val="es-MX" w:eastAsia="en-US"/>
        </w:rPr>
        <w:t>─ puedan acreditar como experiencia en el RUP la de sus accionistas, socios o constituyentes</w:t>
      </w:r>
      <w:bookmarkEnd w:id="8"/>
      <w:r w:rsidRPr="00E839D1">
        <w:rPr>
          <w:rFonts w:ascii="Geomanist Light" w:eastAsia="Calibri" w:hAnsi="Geomanist Light" w:cs="Arial"/>
          <w:sz w:val="22"/>
          <w:szCs w:val="22"/>
          <w:lang w:val="es-MX" w:eastAsia="en-US"/>
        </w:rPr>
        <w:t>. A pesar de que la experiencia es inherente a la persona que la ha obtenido, razón por la cual es intransferible en virtud de su carácter personalísimo, por disposición legal o reglamentaria, en casos excepcionales</w:t>
      </w:r>
      <w:r w:rsidR="006B318A" w:rsidRPr="00E839D1">
        <w:rPr>
          <w:rFonts w:ascii="Geomanist Light" w:eastAsia="Calibri" w:hAnsi="Geomanist Light" w:cs="Arial"/>
          <w:sz w:val="22"/>
          <w:szCs w:val="22"/>
          <w:lang w:val="es-MX" w:eastAsia="en-US"/>
        </w:rPr>
        <w:t>,</w:t>
      </w:r>
      <w:r w:rsidRPr="00E839D1">
        <w:rPr>
          <w:rFonts w:ascii="Geomanist Light" w:eastAsia="Calibri" w:hAnsi="Geomanist Light" w:cs="Arial"/>
          <w:sz w:val="22"/>
          <w:szCs w:val="22"/>
          <w:lang w:val="es-MX" w:eastAsia="en-US"/>
        </w:rPr>
        <w:t xml:space="preserve"> como el descrito por el artículo mencionado, se permite hacerlo. </w:t>
      </w:r>
    </w:p>
    <w:p w14:paraId="0B19ACC4" w14:textId="115828F3" w:rsidR="00C374F0" w:rsidRPr="00E839D1" w:rsidRDefault="00C374F0" w:rsidP="00603C40">
      <w:pPr>
        <w:spacing w:after="120" w:line="276" w:lineRule="auto"/>
        <w:ind w:firstLine="708"/>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w:t>
      </w:r>
      <w:r w:rsidRPr="00E839D1">
        <w:rPr>
          <w:rFonts w:ascii="Geomanist Light" w:eastAsia="Calibri" w:hAnsi="Geomanist Light" w:cs="Arial"/>
          <w:sz w:val="22"/>
          <w:szCs w:val="22"/>
          <w:lang w:val="es-MX" w:eastAsia="en-US"/>
        </w:rPr>
        <w:lastRenderedPageBreak/>
        <w:t xml:space="preserve">contratación estatal. Así las cosas, el </w:t>
      </w:r>
      <w:r w:rsidR="00815BCC" w:rsidRPr="00E839D1">
        <w:rPr>
          <w:rFonts w:ascii="Geomanist Light" w:eastAsia="Calibri" w:hAnsi="Geomanist Light" w:cs="Arial"/>
          <w:sz w:val="22"/>
          <w:szCs w:val="22"/>
          <w:lang w:val="es-MX" w:eastAsia="en-US"/>
        </w:rPr>
        <w:t xml:space="preserve">accionista, </w:t>
      </w:r>
      <w:r w:rsidRPr="00E839D1">
        <w:rPr>
          <w:rFonts w:ascii="Geomanist Light" w:eastAsia="Calibri" w:hAnsi="Geomanist Light" w:cs="Arial"/>
          <w:sz w:val="22"/>
          <w:szCs w:val="22"/>
          <w:lang w:val="es-MX" w:eastAsia="en-US"/>
        </w:rPr>
        <w:t>socio</w:t>
      </w:r>
      <w:r w:rsidR="00815BCC" w:rsidRPr="00E839D1">
        <w:rPr>
          <w:rFonts w:ascii="Geomanist Light" w:eastAsia="Calibri" w:hAnsi="Geomanist Light" w:cs="Arial"/>
          <w:sz w:val="22"/>
          <w:szCs w:val="22"/>
          <w:lang w:val="es-MX" w:eastAsia="en-US"/>
        </w:rPr>
        <w:t xml:space="preserve"> o constituyente</w:t>
      </w:r>
      <w:r w:rsidRPr="00E839D1">
        <w:rPr>
          <w:rFonts w:ascii="Geomanist Light" w:eastAsia="Calibri" w:hAnsi="Geomanist Light" w:cs="Arial"/>
          <w:sz w:val="22"/>
          <w:szCs w:val="22"/>
          <w:lang w:val="es-MX" w:eastAsia="en-US"/>
        </w:rPr>
        <w:t xml:space="preserv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bookmarkEnd w:id="7"/>
    </w:p>
    <w:p w14:paraId="28193ABF" w14:textId="35C3C5F4" w:rsidR="00C374F0" w:rsidRPr="00E839D1" w:rsidRDefault="004746AD" w:rsidP="00603C40">
      <w:pPr>
        <w:spacing w:after="120" w:line="276" w:lineRule="auto"/>
        <w:ind w:firstLine="708"/>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 xml:space="preserve">Ahora bien, </w:t>
      </w:r>
      <w:r w:rsidR="00C374F0" w:rsidRPr="00E839D1">
        <w:rPr>
          <w:rFonts w:ascii="Geomanist Light" w:eastAsia="Calibri" w:hAnsi="Geomanist Light" w:cs="Arial"/>
          <w:sz w:val="22"/>
          <w:szCs w:val="22"/>
          <w:lang w:val="es-MX" w:eastAsia="en-US"/>
        </w:rPr>
        <w:t xml:space="preserve">no debe perderse de vista que el Decreto 1082 de 2015 solo permite que una sociedad acredite la experiencia de quienes tienen la calidad de accionistas, socios o constituyentes durante los primeros tres años de su constitución. Por tanto, si </w:t>
      </w:r>
      <w:r w:rsidR="00603C40">
        <w:rPr>
          <w:rFonts w:ascii="Geomanist Light" w:eastAsia="Calibri" w:hAnsi="Geomanist Light" w:cs="Arial"/>
          <w:sz w:val="22"/>
          <w:szCs w:val="22"/>
          <w:lang w:val="es-MX" w:eastAsia="en-US"/>
        </w:rPr>
        <w:t>no se tiene</w:t>
      </w:r>
      <w:r w:rsidRPr="00E839D1">
        <w:rPr>
          <w:rFonts w:ascii="Geomanist Light" w:eastAsia="Calibri" w:hAnsi="Geomanist Light" w:cs="Arial"/>
          <w:sz w:val="22"/>
          <w:szCs w:val="22"/>
          <w:lang w:val="es-MX" w:eastAsia="en-US"/>
        </w:rPr>
        <w:t xml:space="preserve"> o se </w:t>
      </w:r>
      <w:r w:rsidR="00C374F0" w:rsidRPr="00E839D1">
        <w:rPr>
          <w:rFonts w:ascii="Geomanist Light" w:eastAsia="Calibri" w:hAnsi="Geomanist Light" w:cs="Arial"/>
          <w:sz w:val="22"/>
          <w:szCs w:val="22"/>
          <w:lang w:val="es-MX" w:eastAsia="en-US"/>
        </w:rPr>
        <w:t xml:space="preserve">pierden estas calidades, como sucedería cuando un socio se retira por venta o cesión de su participación y pierde su calidad de socio, ya no sería posible que la sociedad acredite la experiencia aportada por dicha persona. </w:t>
      </w:r>
    </w:p>
    <w:p w14:paraId="281FC91C"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tres (3) años de su constitución? ¿puede seguir siendo beneficiaria de la prerrogativa del numeral 2.5 del artículo 2.2.1.1.1.5.2 del Decreto 1082 de 2015? Estos interrogantes han sido planteados a la Subdirección de Gestión Contractual de esta Agencia y se han desarrollado, en torno a dos posiciones, que se plantean a continuación: </w:t>
      </w:r>
    </w:p>
    <w:p w14:paraId="667308FE"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 xml:space="preserve">En el concepto identificado con radicado No. 4201814000001418 del 3 de abril de 2018, donde frente a la misma pregunta esta Subdirección respondió que después de cumplidos los tres (3) años contados desde la constitución de la sociedad, las entidades estatales no deberían tener como válida la experiencia acreditada por los socios, accionistas o constituyentes. Como fundamento de esta posición, la Subdirección consideró lo siguiente: </w:t>
      </w:r>
    </w:p>
    <w:p w14:paraId="662CDF99"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 xml:space="preserve">i) La posición de Colombia Compra Eficiente respecto a la validez de la experiencia de los accionistas, socios o constituyentes, acreditada en el RUP por una sociedad nueva, cuando está ya superó los tres (3) años de constituida, ha variado. </w:t>
      </w:r>
    </w:p>
    <w:p w14:paraId="628ADCED"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 xml:space="preserve">ii) El Decreto 1082 de 2015 establece que, para la inscripción en el RUP de una persona jurídica si su constitución es menor a tres (3) años, puede acreditar la experiencia de sus accionistas, socios o constituyentes. </w:t>
      </w:r>
    </w:p>
    <w:p w14:paraId="044A62F7"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34C362AA"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lastRenderedPageBreak/>
        <w:t xml:space="preserve">iv) 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 1082. </w:t>
      </w:r>
    </w:p>
    <w:p w14:paraId="46ACF1CB"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73C4D102"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La posición anterior, en relación con la posibilidad de que las sociedades nuevas puedan seguir acreditando la experiencia de sus socios, accionistas o constituyentes, incluso después de cumplidos tres (3) años de constitución de la persona jurídica, fue superada y se ratificó por esta Subdirección la tesis que ya había sido desarrollada en el concepto del 7 de febrero de 2018</w:t>
      </w:r>
      <w:r w:rsidRPr="0066787D">
        <w:rPr>
          <w:rFonts w:ascii="Arial" w:hAnsi="Arial" w:cs="Arial"/>
          <w:vertAlign w:val="superscript"/>
          <w:lang w:val="es-MX" w:eastAsia="es-ES_tradnl"/>
        </w:rPr>
        <w:footnoteReference w:id="8"/>
      </w:r>
      <w:r w:rsidRPr="0066787D">
        <w:rPr>
          <w:rFonts w:ascii="Arial" w:hAnsi="Arial" w:cs="Arial"/>
          <w:lang w:val="es-MX" w:eastAsia="es-ES_tradnl"/>
        </w:rPr>
        <w:t xml:space="preserve">, </w:t>
      </w:r>
      <w:r w:rsidRPr="00691408">
        <w:rPr>
          <w:rFonts w:ascii="Geomanist Light" w:eastAsia="Calibri" w:hAnsi="Geomanist Light" w:cs="Arial"/>
          <w:sz w:val="22"/>
          <w:szCs w:val="22"/>
          <w:lang w:val="es-MX" w:eastAsia="en-US"/>
        </w:rPr>
        <w:t xml:space="preserve">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tres (3) años desde la constitución de la sociedad, siempre que se renovara constantemente el RUP.  </w:t>
      </w:r>
    </w:p>
    <w:p w14:paraId="609338E1"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 xml:space="preserve">Teniendo en cuenta lo anterior, aunque la persona jurídica tenga más de tres (3) años de constituida y haya registrado inicialmente la experiencia de sus socios en el RUP –pues su constitución era inferior a tres (3) años–, cuando este sea renovado, puede continuar utilizando la experiencia inscrita mientras no cesen los efectos del RUP. Por el contrario, si el RUP no es renovado y la persona jurídica supera los tres (3)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AF9F306"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66787D">
        <w:rPr>
          <w:rFonts w:ascii="Arial" w:hAnsi="Arial" w:cs="Arial"/>
          <w:vertAlign w:val="superscript"/>
          <w:lang w:val="es-MX" w:eastAsia="es-ES_tradnl"/>
        </w:rPr>
        <w:footnoteReference w:id="9"/>
      </w:r>
      <w:r w:rsidRPr="0066787D">
        <w:rPr>
          <w:rFonts w:ascii="Arial" w:hAnsi="Arial" w:cs="Arial"/>
          <w:lang w:val="es-MX" w:eastAsia="es-ES_tradnl"/>
        </w:rPr>
        <w:t xml:space="preserve">. </w:t>
      </w:r>
      <w:r w:rsidRPr="00691408">
        <w:rPr>
          <w:rFonts w:ascii="Geomanist Light" w:eastAsia="Calibri" w:hAnsi="Geomanist Light" w:cs="Arial"/>
          <w:sz w:val="22"/>
          <w:szCs w:val="22"/>
          <w:lang w:val="es-MX" w:eastAsia="en-US"/>
        </w:rPr>
        <w:t xml:space="preserve">En la actualidad, las cámaras de </w:t>
      </w:r>
      <w:r w:rsidRPr="00691408">
        <w:rPr>
          <w:rFonts w:ascii="Geomanist Light" w:eastAsia="Calibri" w:hAnsi="Geomanist Light" w:cs="Arial"/>
          <w:sz w:val="22"/>
          <w:szCs w:val="22"/>
          <w:lang w:val="es-MX" w:eastAsia="en-US"/>
        </w:rPr>
        <w:lastRenderedPageBreak/>
        <w:t xml:space="preserve">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31ECD425" w14:textId="77777777" w:rsidR="00603C40" w:rsidRPr="0066787D" w:rsidRDefault="00603C40" w:rsidP="00691408">
      <w:pPr>
        <w:spacing w:after="120" w:line="276" w:lineRule="auto"/>
        <w:ind w:firstLine="708"/>
        <w:jc w:val="both"/>
        <w:rPr>
          <w:rFonts w:ascii="Arial" w:hAnsi="Arial" w:cs="Arial"/>
          <w:lang w:val="es-MX" w:eastAsia="es-ES_tradnl"/>
        </w:rPr>
      </w:pPr>
      <w:r w:rsidRPr="00691408">
        <w:rPr>
          <w:rFonts w:ascii="Geomanist Light" w:eastAsia="Calibri" w:hAnsi="Geomanist Light" w:cs="Arial"/>
          <w:sz w:val="22"/>
          <w:szCs w:val="22"/>
          <w:lang w:val="es-MX" w:eastAsia="en-US"/>
        </w:rPr>
        <w:t xml:space="preserve">En otras palabras, </w:t>
      </w:r>
      <w:bookmarkStart w:id="9" w:name="_Hlk67498604"/>
      <w:r w:rsidRPr="00691408">
        <w:rPr>
          <w:rFonts w:ascii="Geomanist Light" w:eastAsia="Calibri" w:hAnsi="Geomanist Light" w:cs="Arial"/>
          <w:sz w:val="22"/>
          <w:szCs w:val="22"/>
          <w:lang w:val="es-MX" w:eastAsia="en-US"/>
        </w:rPr>
        <w:t xml:space="preserve">si la persona jurídica con menos de tres (3) años de constituida registra la experiencia de sus socios en el RUP, y éste es renovado, puede continuar utilizando la experiencia inscrita mientras no cesen los efectos del RUP. Por el contrario, si no se renueva y la persona jurídica supera los tres (3)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9"/>
      <w:r w:rsidRPr="00691408">
        <w:rPr>
          <w:rFonts w:ascii="Geomanist Light" w:eastAsia="Calibri" w:hAnsi="Geomanist Light" w:cs="Arial"/>
          <w:sz w:val="22"/>
          <w:szCs w:val="22"/>
          <w:lang w:val="es-MX" w:eastAsia="en-US"/>
        </w:rPr>
        <w:t>Lo anterior, tiene fundamento en la Circular Única de la Superintendencia de Industria y Comercio, cuyo numeral 4.2, sobre el procedimiento para llevar el registro único de proponentes, dispone lo siguiente:</w:t>
      </w:r>
      <w:r w:rsidRPr="0066787D">
        <w:rPr>
          <w:rFonts w:ascii="Arial" w:hAnsi="Arial" w:cs="Arial"/>
          <w:lang w:val="es-MX" w:eastAsia="es-ES_tradnl"/>
        </w:rPr>
        <w:t xml:space="preserve">  </w:t>
      </w:r>
    </w:p>
    <w:p w14:paraId="6593544C" w14:textId="77777777" w:rsidR="00603C40" w:rsidRPr="00C177E6" w:rsidRDefault="00603C40" w:rsidP="00603C40">
      <w:pPr>
        <w:ind w:firstLine="708"/>
        <w:contextualSpacing/>
        <w:jc w:val="both"/>
        <w:rPr>
          <w:rFonts w:ascii="Geomanist Light" w:hAnsi="Geomanist Light" w:cs="Arial"/>
          <w:lang w:val="es-MX" w:eastAsia="es-ES_tradnl"/>
        </w:rPr>
      </w:pPr>
    </w:p>
    <w:p w14:paraId="6015E50A" w14:textId="77777777" w:rsidR="00603C40" w:rsidRPr="00C177E6" w:rsidRDefault="00603C40" w:rsidP="00603C40">
      <w:pPr>
        <w:ind w:left="709" w:right="709"/>
        <w:contextualSpacing/>
        <w:jc w:val="both"/>
        <w:rPr>
          <w:rFonts w:ascii="Geomanist Light" w:hAnsi="Geomanist Light" w:cs="Arial"/>
          <w:sz w:val="21"/>
          <w:szCs w:val="21"/>
          <w:lang w:val="es-MX" w:eastAsia="es-ES_tradnl"/>
        </w:rPr>
      </w:pPr>
      <w:r w:rsidRPr="00C177E6">
        <w:rPr>
          <w:rFonts w:ascii="Geomanist Light" w:hAnsi="Geomanist Light" w:cs="Arial"/>
          <w:sz w:val="21"/>
          <w:szCs w:val="21"/>
          <w:lang w:val="es-MX" w:eastAsia="es-ES_tradnl"/>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3008D05" w14:textId="77777777" w:rsidR="00603C40" w:rsidRPr="0066787D" w:rsidRDefault="00603C40" w:rsidP="00603C40">
      <w:pPr>
        <w:ind w:left="709" w:right="709"/>
        <w:contextualSpacing/>
        <w:jc w:val="both"/>
        <w:rPr>
          <w:rFonts w:ascii="Arial" w:hAnsi="Arial" w:cs="Arial"/>
          <w:lang w:val="es-MX" w:eastAsia="es-ES_tradnl"/>
        </w:rPr>
      </w:pPr>
    </w:p>
    <w:p w14:paraId="072ED13C" w14:textId="56016DAE" w:rsidR="00603C40" w:rsidRPr="00691408" w:rsidRDefault="000C12D7" w:rsidP="00691408">
      <w:pPr>
        <w:spacing w:after="120" w:line="276" w:lineRule="auto"/>
        <w:ind w:firstLine="708"/>
        <w:jc w:val="both"/>
        <w:rPr>
          <w:rFonts w:ascii="Geomanist Light" w:eastAsia="Calibri" w:hAnsi="Geomanist Light" w:cs="Arial"/>
          <w:sz w:val="22"/>
          <w:szCs w:val="22"/>
          <w:lang w:val="es-MX" w:eastAsia="en-US"/>
        </w:rPr>
      </w:pPr>
      <w:r>
        <w:rPr>
          <w:rFonts w:ascii="Geomanist Light" w:eastAsia="Calibri" w:hAnsi="Geomanist Light" w:cs="Arial"/>
          <w:sz w:val="22"/>
          <w:szCs w:val="22"/>
          <w:lang w:val="es-MX" w:eastAsia="en-US"/>
        </w:rPr>
        <w:t>Por lo tanto</w:t>
      </w:r>
      <w:r w:rsidR="00603C40" w:rsidRPr="00691408">
        <w:rPr>
          <w:rFonts w:ascii="Geomanist Light" w:eastAsia="Calibri" w:hAnsi="Geomanist Light" w:cs="Arial"/>
          <w:sz w:val="22"/>
          <w:szCs w:val="22"/>
          <w:lang w:val="es-MX" w:eastAsia="en-US"/>
        </w:rPr>
        <w:t xml:space="preserve">, con el fin de incentivar la participación continúa y constante de los proponentes, las entidades estatales, en sus procesos de contratación, aceptarán como válida la experiencia de los socios, accionistas o constituyentes incluso después de cumplidos los tres (3)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tres (3) años de constituida la persona jurídica, para esta Subdirección sigue siendo válida, por lo que la entidad la debe tener en cuenta. De esta forma se garantiza la pluralidad de oferentes en los procesos de contratación. </w:t>
      </w:r>
    </w:p>
    <w:p w14:paraId="2A1DAB29"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w:t>
      </w:r>
      <w:r w:rsidRPr="00691408">
        <w:rPr>
          <w:rFonts w:ascii="Geomanist Light" w:eastAsia="Calibri" w:hAnsi="Geomanist Light" w:cs="Arial"/>
          <w:sz w:val="22"/>
          <w:szCs w:val="22"/>
          <w:lang w:val="es-MX" w:eastAsia="en-US"/>
        </w:rPr>
        <w:lastRenderedPageBreak/>
        <w:t xml:space="preserve">o procesos de contratación en los que las personas jurídicas con menos de tres (3) años de constitución pueden acreditar la experiencia transferida por sus socios en virtud de la referida prerrogativa. </w:t>
      </w:r>
    </w:p>
    <w:p w14:paraId="4F3C1EDB"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Por tanto, en atención al principio general de interpretación según el cual donde el legislador no distingue no le es dado hacerlo al interprete, el hecho de que una sociedad con menos de tres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tres (3) años de constitución, siempre que no hayan cesado los efectos del RUP por el incumplimiento del deber de renovación.</w:t>
      </w:r>
    </w:p>
    <w:p w14:paraId="5078A507"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bookmarkStart w:id="10" w:name="_Hlk67498710"/>
      <w:r w:rsidRPr="00691408">
        <w:rPr>
          <w:rFonts w:ascii="Geomanist Light" w:eastAsia="Calibri" w:hAnsi="Geomanist Light" w:cs="Arial"/>
          <w:sz w:val="22"/>
          <w:szCs w:val="22"/>
          <w:lang w:val="es-MX" w:eastAsia="en-US"/>
        </w:rPr>
        <w:t xml:space="preserve">Sin perjuicio de lo anterior, no debe perderse de vista que el Decreto 1082 de 2015 solo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3F5FE5D8"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Esta interpretación además se impone en atención al fin de evitar prácticas corruptas o que atenten contra la transparencia en la contratación estatal, por lo que la experiencia aportada por quien se retira no debería ser utilizada por el proponente en procesos de contratación, ya que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5D016350"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Por otra parte, en cuanto a la «liquidación» de las sociedades comerciales, esta Subdirección en los conceptos C-051 del 02 de marzo de 2020, C-491 del 27 de julio y C-584 del 31 de agosto de 2020, ha indicado que, el Código de Comercio señala el procedimiento para realizar el inventario y distribución del patrimonio social, de lo cual se infiere que termina la persona jurídica</w:t>
      </w:r>
      <w:r w:rsidRPr="0066787D">
        <w:rPr>
          <w:rFonts w:ascii="Arial" w:eastAsia="Calibri" w:hAnsi="Arial" w:cs="Arial"/>
          <w:bCs/>
          <w:vertAlign w:val="superscript"/>
          <w:lang w:val="es-MX"/>
        </w:rPr>
        <w:footnoteReference w:id="10"/>
      </w:r>
      <w:r w:rsidRPr="0066787D">
        <w:rPr>
          <w:rFonts w:ascii="Arial" w:eastAsia="Calibri" w:hAnsi="Arial" w:cs="Arial"/>
          <w:bCs/>
          <w:lang w:val="es-MX"/>
        </w:rPr>
        <w:t xml:space="preserve">, </w:t>
      </w:r>
      <w:r w:rsidRPr="00691408">
        <w:rPr>
          <w:rFonts w:ascii="Geomanist Light" w:eastAsia="Calibri" w:hAnsi="Geomanist Light" w:cs="Arial"/>
          <w:sz w:val="22"/>
          <w:szCs w:val="22"/>
          <w:lang w:val="es-MX" w:eastAsia="en-US"/>
        </w:rPr>
        <w:t>y la experiencia desaparece junto con la sociedad que la adquirió. Lo propio pasa con la muerte de uno de los socios, dado que, será jurídicamente inviable pretender que la experiencia de un sujeto que no existe sea transferida. Las situaciones mencionadas con anterioridad no es posible aplicar el numeral 2.5 del artículo 2.2.1.1.1.5.2 del Decreto 1082 de 2015.</w:t>
      </w:r>
    </w:p>
    <w:bookmarkEnd w:id="10"/>
    <w:p w14:paraId="194BD7B8"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lastRenderedPageBreak/>
        <w:t xml:space="preserve">Lo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 </w:t>
      </w:r>
    </w:p>
    <w:p w14:paraId="0D9F77A7" w14:textId="77777777" w:rsidR="00603C40" w:rsidRPr="00691408"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 xml:space="preserve">En todo caso, con las excepciones explicadas en el considerando 2.1 del presente concepto, se reitera que, por regla general, la capacidad jurídica, las condiciones de experiencia, la capacidad financiera y de organización de los proponentes deberán verificarse exclusivamente con el RUP, toda vez que constituye plena prueba de lo que contiene según el numeral 6.1 del artículo 6 de la Ley 1150 de 2007. El legislador otorgó a las cámaras de comercio la administración del RUP y dispuso que estas tienen la competencia y el deber de la verificación de la información suministrada por las personas naturales o jurídicas para su posterior utilización en los procesos de selección. </w:t>
      </w:r>
    </w:p>
    <w:p w14:paraId="6E0A2BDB" w14:textId="77777777" w:rsidR="00A86BA0" w:rsidRDefault="00603C40" w:rsidP="00691408">
      <w:pPr>
        <w:spacing w:after="120" w:line="276" w:lineRule="auto"/>
        <w:ind w:firstLine="708"/>
        <w:jc w:val="both"/>
        <w:rPr>
          <w:rFonts w:ascii="Geomanist Light" w:eastAsia="Calibri" w:hAnsi="Geomanist Light" w:cs="Arial"/>
          <w:sz w:val="22"/>
          <w:szCs w:val="22"/>
          <w:lang w:val="es-MX" w:eastAsia="en-US"/>
        </w:rPr>
      </w:pPr>
      <w:r w:rsidRPr="00691408">
        <w:rPr>
          <w:rFonts w:ascii="Geomanist Light" w:eastAsia="Calibri" w:hAnsi="Geomanist Light" w:cs="Arial"/>
          <w:sz w:val="22"/>
          <w:szCs w:val="22"/>
          <w:lang w:val="es-MX" w:eastAsia="en-US"/>
        </w:rPr>
        <w:t>Por tanto, la experiencia transferida de los accionistas, socios o constituyentes a la persona jurídica que tiene menos de tres (3) años de constitución sólo puede verificarse con el registro, sin que sea posible para la entidad contratante solicitar documentos adicionales a los oferentes. Lo anterior, sin perjuicio de que esta última –al percatarse de irregularidades en la validación del requisito habilitante por la pérdida posterior de alguna de estas condiciones– impugne la certificación de la cámara de comercio de acuerdo con lo previsto en el artículo 6.3 de la Ley 1150 de 2007</w:t>
      </w:r>
      <w:r w:rsidRPr="005C6271">
        <w:rPr>
          <w:rFonts w:ascii="Geomanist Light" w:eastAsia="Calibri" w:hAnsi="Geomanist Light" w:cs="Arial"/>
          <w:sz w:val="22"/>
          <w:szCs w:val="22"/>
          <w:vertAlign w:val="superscript"/>
          <w:lang w:val="es-MX" w:eastAsia="en-US"/>
        </w:rPr>
        <w:footnoteReference w:id="11"/>
      </w:r>
      <w:r w:rsidRPr="00691408">
        <w:rPr>
          <w:rFonts w:ascii="Geomanist Light" w:eastAsia="Calibri" w:hAnsi="Geomanist Light" w:cs="Arial"/>
          <w:sz w:val="22"/>
          <w:szCs w:val="22"/>
          <w:lang w:val="es-MX" w:eastAsia="en-US"/>
        </w:rPr>
        <w:t xml:space="preserve">. Para ello, conforme a las particularidades de cada caso concreto, regirá el principio de libertad probatoria, con excepción de aquellos aspectos sujetos a tarifa legal por norma expresa. </w:t>
      </w:r>
    </w:p>
    <w:p w14:paraId="4CA66FE7" w14:textId="644FD7CE" w:rsidR="00603C40" w:rsidRDefault="00A86BA0" w:rsidP="00691408">
      <w:pPr>
        <w:spacing w:after="120" w:line="276" w:lineRule="auto"/>
        <w:ind w:firstLine="708"/>
        <w:jc w:val="both"/>
        <w:rPr>
          <w:rFonts w:ascii="Geomanist Light" w:eastAsia="Calibri" w:hAnsi="Geomanist Light" w:cs="Arial"/>
          <w:sz w:val="22"/>
          <w:szCs w:val="22"/>
          <w:lang w:val="es-MX" w:eastAsia="en-US"/>
        </w:rPr>
      </w:pPr>
      <w:r>
        <w:rPr>
          <w:rFonts w:ascii="Geomanist Light" w:eastAsia="Calibri" w:hAnsi="Geomanist Light" w:cs="Arial"/>
          <w:sz w:val="22"/>
          <w:szCs w:val="22"/>
          <w:lang w:val="es-MX" w:eastAsia="en-US"/>
        </w:rPr>
        <w:lastRenderedPageBreak/>
        <w:t xml:space="preserve">De otra parte, en relación con la inquietud final de la consulta, se aclara que el término </w:t>
      </w:r>
      <w:r w:rsidRPr="004B5310">
        <w:rPr>
          <w:rFonts w:ascii="Arial" w:hAnsi="Arial" w:cs="Arial"/>
          <w:color w:val="000000"/>
          <w:sz w:val="18"/>
          <w:szCs w:val="18"/>
          <w:lang w:eastAsia="es-CO"/>
        </w:rPr>
        <w:t>«</w:t>
      </w:r>
      <w:r>
        <w:rPr>
          <w:rFonts w:ascii="Geomanist Light" w:eastAsia="Calibri" w:hAnsi="Geomanist Light" w:cs="Arial"/>
          <w:sz w:val="22"/>
          <w:szCs w:val="22"/>
          <w:lang w:val="es-MX" w:eastAsia="en-US"/>
        </w:rPr>
        <w:t>constituyentes</w:t>
      </w:r>
      <w:r w:rsidRPr="004B5310">
        <w:rPr>
          <w:rFonts w:ascii="Arial" w:hAnsi="Arial" w:cs="Arial"/>
          <w:color w:val="000000"/>
          <w:sz w:val="18"/>
          <w:szCs w:val="18"/>
          <w:lang w:eastAsia="es-CO"/>
        </w:rPr>
        <w:t>»</w:t>
      </w:r>
      <w:r>
        <w:rPr>
          <w:rFonts w:ascii="Geomanist Light" w:eastAsia="Calibri" w:hAnsi="Geomanist Light" w:cs="Arial"/>
          <w:sz w:val="22"/>
          <w:szCs w:val="22"/>
          <w:lang w:val="es-MX" w:eastAsia="en-US"/>
        </w:rPr>
        <w:t xml:space="preserve"> aludido en el numeral 2.5. del artículo </w:t>
      </w:r>
      <w:r w:rsidRPr="00463CE0">
        <w:rPr>
          <w:rFonts w:ascii="Geomanist Light" w:eastAsia="Calibri" w:hAnsi="Geomanist Light" w:cs="Arial"/>
          <w:sz w:val="22"/>
          <w:szCs w:val="22"/>
          <w:lang w:val="es-MX" w:eastAsia="en-US"/>
        </w:rPr>
        <w:t>2.2.1.1.1.5.2 del Decreto 1082 de 2015</w:t>
      </w:r>
      <w:r>
        <w:rPr>
          <w:rFonts w:ascii="Geomanist Light" w:eastAsia="Calibri" w:hAnsi="Geomanist Light" w:cs="Arial"/>
          <w:sz w:val="22"/>
          <w:szCs w:val="22"/>
          <w:lang w:val="es-MX" w:eastAsia="en-US"/>
        </w:rPr>
        <w:t xml:space="preserve"> hace referencia a </w:t>
      </w:r>
      <w:r w:rsidR="00964AF8">
        <w:rPr>
          <w:rFonts w:ascii="Geomanist Light" w:eastAsia="Calibri" w:hAnsi="Geomanist Light" w:cs="Arial"/>
          <w:sz w:val="22"/>
          <w:szCs w:val="22"/>
          <w:lang w:val="es-MX" w:eastAsia="en-US"/>
        </w:rPr>
        <w:t>las personas que son partes del contrato de sociedad en los términos del artículo 98</w:t>
      </w:r>
      <w:r w:rsidR="00964AF8">
        <w:rPr>
          <w:rStyle w:val="Refdenotaalpie"/>
          <w:rFonts w:ascii="Geomanist Light" w:eastAsia="Calibri" w:hAnsi="Geomanist Light" w:cs="Arial"/>
          <w:sz w:val="22"/>
          <w:szCs w:val="22"/>
          <w:lang w:val="es-MX" w:eastAsia="en-US"/>
        </w:rPr>
        <w:footnoteReference w:id="12"/>
      </w:r>
      <w:r w:rsidR="00964AF8">
        <w:rPr>
          <w:rFonts w:ascii="Geomanist Light" w:eastAsia="Calibri" w:hAnsi="Geomanist Light" w:cs="Arial"/>
          <w:sz w:val="22"/>
          <w:szCs w:val="22"/>
          <w:lang w:val="es-MX" w:eastAsia="en-US"/>
        </w:rPr>
        <w:t xml:space="preserve"> del Código de Comercio y que intervienen en el acto de constitución según el artículo 110</w:t>
      </w:r>
      <w:r w:rsidR="005C6271">
        <w:rPr>
          <w:rStyle w:val="Refdenotaalpie"/>
          <w:rFonts w:ascii="Geomanist Light" w:eastAsia="Calibri" w:hAnsi="Geomanist Light" w:cs="Arial"/>
          <w:sz w:val="22"/>
          <w:szCs w:val="22"/>
          <w:lang w:val="es-MX" w:eastAsia="en-US"/>
        </w:rPr>
        <w:footnoteReference w:id="13"/>
      </w:r>
      <w:r w:rsidR="00964AF8">
        <w:rPr>
          <w:rFonts w:ascii="Geomanist Light" w:eastAsia="Calibri" w:hAnsi="Geomanist Light" w:cs="Arial"/>
          <w:sz w:val="22"/>
          <w:szCs w:val="22"/>
          <w:lang w:val="es-MX" w:eastAsia="en-US"/>
        </w:rPr>
        <w:t xml:space="preserve"> del mismo código. En igual sentido, </w:t>
      </w:r>
      <w:r w:rsidR="00964AF8" w:rsidRPr="00964AF8">
        <w:rPr>
          <w:rFonts w:ascii="Geomanist Light" w:eastAsia="Calibri" w:hAnsi="Geomanist Light" w:cs="Arial"/>
          <w:i/>
          <w:iCs/>
          <w:sz w:val="22"/>
          <w:szCs w:val="22"/>
          <w:lang w:val="es-MX" w:eastAsia="en-US"/>
        </w:rPr>
        <w:t>mutatis mutandi</w:t>
      </w:r>
      <w:r w:rsidR="00964AF8">
        <w:rPr>
          <w:rFonts w:ascii="Geomanist Light" w:eastAsia="Calibri" w:hAnsi="Geomanist Light" w:cs="Arial"/>
          <w:sz w:val="22"/>
          <w:szCs w:val="22"/>
          <w:lang w:val="es-MX" w:eastAsia="en-US"/>
        </w:rPr>
        <w:t>, para el caso de las sociedades por acciones simplicadas, en los términos de los artículos 1 y 5 de la Ley 1258 de 2008</w:t>
      </w:r>
      <w:r w:rsidR="005C6271">
        <w:rPr>
          <w:rStyle w:val="Refdenotaalpie"/>
          <w:rFonts w:ascii="Geomanist Light" w:eastAsia="Calibri" w:hAnsi="Geomanist Light" w:cs="Arial"/>
          <w:sz w:val="22"/>
          <w:szCs w:val="22"/>
          <w:lang w:val="es-MX" w:eastAsia="en-US"/>
        </w:rPr>
        <w:footnoteReference w:id="14"/>
      </w:r>
      <w:r w:rsidR="00964AF8">
        <w:rPr>
          <w:rFonts w:ascii="Geomanist Light" w:eastAsia="Calibri" w:hAnsi="Geomanist Light" w:cs="Arial"/>
          <w:sz w:val="22"/>
          <w:szCs w:val="22"/>
          <w:lang w:val="es-MX" w:eastAsia="en-US"/>
        </w:rPr>
        <w:t xml:space="preserve">. </w:t>
      </w:r>
    </w:p>
    <w:p w14:paraId="3EA1DB63" w14:textId="5CAA3345" w:rsidR="00E54365" w:rsidRDefault="00E54365" w:rsidP="00E839D1">
      <w:pPr>
        <w:spacing w:line="276" w:lineRule="auto"/>
        <w:jc w:val="both"/>
        <w:rPr>
          <w:rFonts w:ascii="Geomanist Light" w:eastAsia="Calibri" w:hAnsi="Geomanist Light" w:cs="Arial"/>
          <w:b/>
          <w:bCs/>
          <w:sz w:val="22"/>
          <w:szCs w:val="22"/>
          <w:lang w:val="es-MX" w:eastAsia="en-US"/>
        </w:rPr>
      </w:pPr>
      <w:r w:rsidRPr="00E839D1">
        <w:rPr>
          <w:rFonts w:ascii="Geomanist Light" w:eastAsia="Calibri" w:hAnsi="Geomanist Light" w:cs="Arial"/>
          <w:b/>
          <w:bCs/>
          <w:sz w:val="22"/>
          <w:szCs w:val="22"/>
          <w:lang w:val="es-MX" w:eastAsia="en-US"/>
        </w:rPr>
        <w:t xml:space="preserve">3. Respuesta </w:t>
      </w:r>
    </w:p>
    <w:p w14:paraId="087DC5EC" w14:textId="77777777" w:rsidR="00691408" w:rsidRPr="00E839D1" w:rsidRDefault="00691408" w:rsidP="00E839D1">
      <w:pPr>
        <w:spacing w:line="276" w:lineRule="auto"/>
        <w:jc w:val="both"/>
        <w:rPr>
          <w:rFonts w:ascii="Geomanist Light" w:eastAsia="Calibri" w:hAnsi="Geomanist Light" w:cs="Arial"/>
          <w:b/>
          <w:bCs/>
          <w:sz w:val="22"/>
          <w:szCs w:val="22"/>
          <w:lang w:val="es-MX" w:eastAsia="en-US"/>
        </w:rPr>
      </w:pPr>
    </w:p>
    <w:p w14:paraId="47C3237D" w14:textId="72E0264B" w:rsidR="00691408" w:rsidRDefault="00691408" w:rsidP="00691408">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r w:rsidRPr="00EA42EF">
        <w:rPr>
          <w:rFonts w:ascii="Geomanist Light" w:eastAsia="Calibri" w:hAnsi="Geomanist Light" w:cs="Arial"/>
          <w:sz w:val="21"/>
          <w:szCs w:val="21"/>
          <w:lang w:val="es-MX" w:eastAsia="en-US"/>
        </w:rPr>
        <w:t xml:space="preserve">«1. </w:t>
      </w:r>
      <w:r w:rsidR="000C12D7">
        <w:rPr>
          <w:rFonts w:ascii="Geomanist Light" w:eastAsia="Calibri" w:hAnsi="Geomanist Light" w:cs="Arial"/>
          <w:sz w:val="21"/>
          <w:szCs w:val="21"/>
          <w:lang w:val="es-MX" w:eastAsia="en-US"/>
        </w:rPr>
        <w:t xml:space="preserve">[¿] </w:t>
      </w:r>
      <w:r w:rsidRPr="00EA42EF">
        <w:rPr>
          <w:rFonts w:ascii="Geomanist Light" w:eastAsia="Calibri" w:hAnsi="Geomanist Light" w:cs="Arial"/>
          <w:sz w:val="21"/>
          <w:szCs w:val="21"/>
          <w:lang w:val="es-MX" w:eastAsia="en-US"/>
        </w:rPr>
        <w:t>Si un accionista que aporta experiencia a la persona jurídica con una antigüedad de menos de 3 años, se retira o vende las acciones de la persona jurídica, la experiencia que se aportó cuando fue socio puede seguir utilizándola la persona jurídica para participar en procesos de contratación estatal bajo ley 80?</w:t>
      </w:r>
      <w:r w:rsidR="000C12D7" w:rsidRPr="00C177E6">
        <w:rPr>
          <w:rFonts w:ascii="Geomanist Light" w:hAnsi="Geomanist Light" w:cs="Arial"/>
          <w:color w:val="000000"/>
          <w:sz w:val="21"/>
          <w:szCs w:val="21"/>
        </w:rPr>
        <w:t>»</w:t>
      </w:r>
    </w:p>
    <w:p w14:paraId="1614043F" w14:textId="18F39DE9" w:rsidR="0016272C" w:rsidRDefault="0016272C" w:rsidP="00691408">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p>
    <w:p w14:paraId="2317166B" w14:textId="77777777" w:rsidR="0016272C" w:rsidRPr="00463CE0" w:rsidRDefault="0016272C" w:rsidP="0016272C">
      <w:pPr>
        <w:spacing w:after="120" w:line="276" w:lineRule="auto"/>
        <w:jc w:val="both"/>
        <w:rPr>
          <w:rFonts w:ascii="Geomanist Light" w:eastAsia="Calibri" w:hAnsi="Geomanist Light" w:cs="Arial"/>
          <w:sz w:val="22"/>
          <w:szCs w:val="22"/>
          <w:lang w:val="es-MX" w:eastAsia="en-US"/>
        </w:rPr>
      </w:pPr>
      <w:r w:rsidRPr="00463CE0">
        <w:rPr>
          <w:rFonts w:ascii="Geomanist Light" w:eastAsia="Calibri" w:hAnsi="Geomanist Light" w:cs="Arial"/>
          <w:sz w:val="22"/>
          <w:szCs w:val="22"/>
          <w:lang w:val="es-MX" w:eastAsia="en-US"/>
        </w:rPr>
        <w:t xml:space="preserve">De conformidad con los artículos 5 y 6 de la Ley 1150 de 2007, las entidades estatales están obligadas el cumplimiento de los requisitos habilitantes, entre ellos la experiencia exigida en un proceso de selección. Por su parte, el numeral 2.5 del artículo 2.2.1.1.1.5.2 del Decreto 1082 de 2015 dispone que una sociedad con menos de tres (3) años de constituida puede aportar la experiencia de sus accionistas, socios o constituyentes. </w:t>
      </w:r>
      <w:r>
        <w:rPr>
          <w:rFonts w:ascii="Geomanist Light" w:eastAsia="Calibri" w:hAnsi="Geomanist Light" w:cs="Arial"/>
          <w:sz w:val="22"/>
          <w:szCs w:val="22"/>
          <w:lang w:val="es-MX" w:eastAsia="en-US"/>
        </w:rPr>
        <w:t>Esta excepción permite que</w:t>
      </w:r>
      <w:r w:rsidRPr="00E839D1">
        <w:rPr>
          <w:rFonts w:ascii="Geomanist Light" w:eastAsia="Calibri" w:hAnsi="Geomanist Light" w:cs="Arial"/>
          <w:sz w:val="22"/>
          <w:szCs w:val="22"/>
          <w:lang w:val="es-MX" w:eastAsia="en-US"/>
        </w:rPr>
        <w:t xml:space="preserve"> la experiencia que pued</w:t>
      </w:r>
      <w:r>
        <w:rPr>
          <w:rFonts w:ascii="Geomanist Light" w:eastAsia="Calibri" w:hAnsi="Geomanist Light" w:cs="Arial"/>
          <w:sz w:val="22"/>
          <w:szCs w:val="22"/>
          <w:lang w:val="es-MX" w:eastAsia="en-US"/>
        </w:rPr>
        <w:t>e</w:t>
      </w:r>
      <w:r w:rsidRPr="00E839D1">
        <w:rPr>
          <w:rFonts w:ascii="Geomanist Light" w:eastAsia="Calibri" w:hAnsi="Geomanist Light" w:cs="Arial"/>
          <w:sz w:val="22"/>
          <w:szCs w:val="22"/>
          <w:lang w:val="es-MX" w:eastAsia="en-US"/>
        </w:rPr>
        <w:t xml:space="preserve"> acreditar</w:t>
      </w:r>
      <w:r>
        <w:rPr>
          <w:rFonts w:ascii="Geomanist Light" w:eastAsia="Calibri" w:hAnsi="Geomanist Light" w:cs="Arial"/>
          <w:sz w:val="22"/>
          <w:szCs w:val="22"/>
          <w:lang w:val="es-MX" w:eastAsia="en-US"/>
        </w:rPr>
        <w:t xml:space="preserve"> una </w:t>
      </w:r>
      <w:r w:rsidRPr="00E839D1">
        <w:rPr>
          <w:rFonts w:ascii="Geomanist Light" w:eastAsia="Calibri" w:hAnsi="Geomanist Light" w:cs="Arial"/>
          <w:sz w:val="22"/>
          <w:szCs w:val="22"/>
          <w:lang w:val="es-MX" w:eastAsia="en-US"/>
        </w:rPr>
        <w:t xml:space="preserve">persona jurídica cuya constitución sea menor a tres (3) años, corresponde a la </w:t>
      </w:r>
      <w:r>
        <w:rPr>
          <w:rFonts w:ascii="Geomanist Light" w:eastAsia="Calibri" w:hAnsi="Geomanist Light" w:cs="Arial"/>
          <w:sz w:val="22"/>
          <w:szCs w:val="22"/>
          <w:lang w:val="es-MX" w:eastAsia="en-US"/>
        </w:rPr>
        <w:t xml:space="preserve">misma que hayan </w:t>
      </w:r>
      <w:r w:rsidRPr="00E839D1">
        <w:rPr>
          <w:rFonts w:ascii="Geomanist Light" w:eastAsia="Calibri" w:hAnsi="Geomanist Light" w:cs="Arial"/>
          <w:sz w:val="22"/>
          <w:szCs w:val="22"/>
          <w:lang w:val="es-MX" w:eastAsia="en-US"/>
        </w:rPr>
        <w:t>adquiri</w:t>
      </w:r>
      <w:r>
        <w:rPr>
          <w:rFonts w:ascii="Geomanist Light" w:eastAsia="Calibri" w:hAnsi="Geomanist Light" w:cs="Arial"/>
          <w:sz w:val="22"/>
          <w:szCs w:val="22"/>
          <w:lang w:val="es-MX" w:eastAsia="en-US"/>
        </w:rPr>
        <w:t>do</w:t>
      </w:r>
      <w:r w:rsidRPr="00E839D1">
        <w:rPr>
          <w:rFonts w:ascii="Geomanist Light" w:eastAsia="Calibri" w:hAnsi="Geomanist Light" w:cs="Arial"/>
          <w:sz w:val="22"/>
          <w:szCs w:val="22"/>
          <w:lang w:val="es-MX" w:eastAsia="en-US"/>
        </w:rPr>
        <w:t xml:space="preserve"> los accionistas, socios o constituyentes </w:t>
      </w:r>
      <w:r w:rsidRPr="00E839D1">
        <w:rPr>
          <w:rFonts w:ascii="Geomanist Light" w:eastAsia="Calibri" w:hAnsi="Geomanist Light" w:cs="Arial"/>
          <w:sz w:val="22"/>
          <w:szCs w:val="22"/>
          <w:lang w:val="es-MX" w:eastAsia="en-US"/>
        </w:rPr>
        <w:lastRenderedPageBreak/>
        <w:t>directamente en la ejecución de contratos,</w:t>
      </w:r>
      <w:r>
        <w:rPr>
          <w:rFonts w:ascii="Geomanist Light" w:eastAsia="Calibri" w:hAnsi="Geomanist Light" w:cs="Arial"/>
          <w:sz w:val="22"/>
          <w:szCs w:val="22"/>
          <w:lang w:val="es-MX" w:eastAsia="en-US"/>
        </w:rPr>
        <w:t xml:space="preserve"> pues es un atributo personal que se transfiere por autorización legal. </w:t>
      </w:r>
    </w:p>
    <w:p w14:paraId="235172CE" w14:textId="04696F29" w:rsidR="0016272C" w:rsidRPr="00E839D1" w:rsidRDefault="0016272C" w:rsidP="0016272C">
      <w:pPr>
        <w:spacing w:after="120" w:line="276" w:lineRule="auto"/>
        <w:ind w:firstLine="708"/>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Esta prerrogativa, que puede entenderse como una medida de fomento a la participación de pequeños oferentes en la contratación estatal, permite que las sociedades relativamente nuevas ─ con menos de 3 años de constitución ─ puedan acreditar como experiencia en el RUP la de sus accionistas, socios o constituyentes. A pesar de que la experiencia es inherente a la persona que la ha obtenido, razón por la cual es intransferible en virtud de su carácter personalísimo, por</w:t>
      </w:r>
      <w:r>
        <w:rPr>
          <w:rFonts w:ascii="Geomanist Light" w:eastAsia="Calibri" w:hAnsi="Geomanist Light" w:cs="Arial"/>
          <w:sz w:val="22"/>
          <w:szCs w:val="22"/>
          <w:lang w:val="es-MX" w:eastAsia="en-US"/>
        </w:rPr>
        <w:t xml:space="preserve"> autorización legal</w:t>
      </w:r>
      <w:r w:rsidRPr="00E839D1">
        <w:rPr>
          <w:rFonts w:ascii="Geomanist Light" w:eastAsia="Calibri" w:hAnsi="Geomanist Light" w:cs="Arial"/>
          <w:sz w:val="22"/>
          <w:szCs w:val="22"/>
          <w:lang w:val="es-MX" w:eastAsia="en-US"/>
        </w:rPr>
        <w:t xml:space="preserve"> excepcional, como el descrito por el artículo mencionado, se permite hacerlo. </w:t>
      </w:r>
    </w:p>
    <w:p w14:paraId="06AE0C6D" w14:textId="17A56E4E" w:rsidR="0016272C" w:rsidRPr="00E839D1" w:rsidRDefault="0016272C" w:rsidP="0016272C">
      <w:pPr>
        <w:spacing w:after="120" w:line="276" w:lineRule="auto"/>
        <w:ind w:firstLine="708"/>
        <w:jc w:val="both"/>
        <w:rPr>
          <w:rFonts w:ascii="Geomanist Light" w:eastAsia="Calibri" w:hAnsi="Geomanist Light" w:cs="Arial"/>
          <w:sz w:val="22"/>
          <w:szCs w:val="22"/>
          <w:lang w:val="es-MX" w:eastAsia="en-US"/>
        </w:rPr>
      </w:pPr>
      <w:r>
        <w:rPr>
          <w:rFonts w:ascii="Geomanist Light" w:eastAsia="Calibri" w:hAnsi="Geomanist Light" w:cs="Arial"/>
          <w:sz w:val="22"/>
          <w:szCs w:val="22"/>
          <w:lang w:val="es-MX" w:eastAsia="en-US"/>
        </w:rPr>
        <w:t>Este incentivo legal busca</w:t>
      </w:r>
      <w:r w:rsidRPr="00E839D1">
        <w:rPr>
          <w:rFonts w:ascii="Geomanist Light" w:eastAsia="Calibri" w:hAnsi="Geomanist Light" w:cs="Arial"/>
          <w:sz w:val="22"/>
          <w:szCs w:val="22"/>
          <w:lang w:val="es-MX" w:eastAsia="en-US"/>
        </w:rPr>
        <w:t xml:space="preserve"> que las sociedades que no cuentan con la experiencia suficiente para contratar con el Estado puedan apoyarse en la experiencia de sus accionistas, socios o constituyentes con el fin de incentivar la competencia en la contratación estatal. Así las cosas, el accionista, socio o constituyente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24355AF0" w14:textId="062FD2F1" w:rsidR="00691408" w:rsidRPr="005C6271" w:rsidRDefault="0016272C" w:rsidP="005C6271">
      <w:pPr>
        <w:spacing w:after="120" w:line="276" w:lineRule="auto"/>
        <w:ind w:firstLine="708"/>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 xml:space="preserve">Ahora bien, no debe perderse de vista que el Decreto 1082 de 2015 solo permite que una sociedad acredite la experiencia de quienes tienen la calidad de accionistas, socios o constituyentes durante los primeros tres años de su constitución. Por tanto, si </w:t>
      </w:r>
      <w:r>
        <w:rPr>
          <w:rFonts w:ascii="Geomanist Light" w:eastAsia="Calibri" w:hAnsi="Geomanist Light" w:cs="Arial"/>
          <w:sz w:val="22"/>
          <w:szCs w:val="22"/>
          <w:lang w:val="es-MX" w:eastAsia="en-US"/>
        </w:rPr>
        <w:t>no se tiene</w:t>
      </w:r>
      <w:r w:rsidRPr="00E839D1">
        <w:rPr>
          <w:rFonts w:ascii="Geomanist Light" w:eastAsia="Calibri" w:hAnsi="Geomanist Light" w:cs="Arial"/>
          <w:sz w:val="22"/>
          <w:szCs w:val="22"/>
          <w:lang w:val="es-MX" w:eastAsia="en-US"/>
        </w:rPr>
        <w:t xml:space="preserve"> o se pierden estas calidades, como sucedería cuando un socio se retira por venta o cesión de su participación y pierde su calidad de socio, ya no sería posible que la sociedad acredite la experiencia aportada por dicha persona.</w:t>
      </w:r>
      <w:r w:rsidR="00A86BA0">
        <w:rPr>
          <w:rFonts w:ascii="Geomanist Light" w:eastAsia="Calibri" w:hAnsi="Geomanist Light" w:cs="Arial"/>
          <w:sz w:val="22"/>
          <w:szCs w:val="22"/>
          <w:lang w:val="es-MX" w:eastAsia="en-US"/>
        </w:rPr>
        <w:t xml:space="preserve"> Está información podrá inscribirse, actualizarse o renovarse en el RUP según lo dispone el reglamento. </w:t>
      </w:r>
    </w:p>
    <w:p w14:paraId="2DEE6B93" w14:textId="1C2A0648" w:rsidR="00691408" w:rsidRPr="00EA42EF" w:rsidRDefault="000C12D7" w:rsidP="00691408">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r w:rsidRPr="00EA42EF">
        <w:rPr>
          <w:rFonts w:ascii="Geomanist Light" w:eastAsia="Calibri" w:hAnsi="Geomanist Light" w:cs="Arial"/>
          <w:sz w:val="21"/>
          <w:szCs w:val="21"/>
          <w:lang w:val="es-MX" w:eastAsia="en-US"/>
        </w:rPr>
        <w:t>«</w:t>
      </w:r>
      <w:r w:rsidR="00691408" w:rsidRPr="00EA42EF">
        <w:rPr>
          <w:rFonts w:ascii="Geomanist Light" w:eastAsia="Calibri" w:hAnsi="Geomanist Light" w:cs="Arial"/>
          <w:sz w:val="21"/>
          <w:szCs w:val="21"/>
          <w:lang w:val="es-MX" w:eastAsia="en-US"/>
        </w:rPr>
        <w:t xml:space="preserve">2. </w:t>
      </w:r>
      <w:r>
        <w:rPr>
          <w:rFonts w:ascii="Geomanist Light" w:eastAsia="Calibri" w:hAnsi="Geomanist Light" w:cs="Arial"/>
          <w:sz w:val="21"/>
          <w:szCs w:val="21"/>
          <w:lang w:val="es-MX" w:eastAsia="en-US"/>
        </w:rPr>
        <w:t xml:space="preserve">[¿] </w:t>
      </w:r>
      <w:r w:rsidR="00691408" w:rsidRPr="00EA42EF">
        <w:rPr>
          <w:rFonts w:ascii="Geomanist Light" w:eastAsia="Calibri" w:hAnsi="Geomanist Light" w:cs="Arial"/>
          <w:sz w:val="21"/>
          <w:szCs w:val="21"/>
          <w:lang w:val="es-MX" w:eastAsia="en-US"/>
        </w:rPr>
        <w:t>Si un accionista que en su momento aporta experiencia a la persona jurídica cuando esta tenia menos de tres años y después de cumplir los tres años de antigüedad, se retira o vende las acciones de la persona jurídica, la experiencia que se aportó cuando fue socio puede seguir utilizándola la persona jurídica para participar en procesos de contratación estatal bajo ley 80?</w:t>
      </w:r>
      <w:r w:rsidRPr="001C16E4">
        <w:rPr>
          <w:rFonts w:ascii="Geomanist Light" w:hAnsi="Geomanist Light" w:cs="Arial"/>
          <w:color w:val="000000"/>
          <w:sz w:val="21"/>
          <w:szCs w:val="21"/>
        </w:rPr>
        <w:t>»</w:t>
      </w:r>
    </w:p>
    <w:p w14:paraId="2EA1BDB2" w14:textId="3EE5ACD0" w:rsidR="00691408" w:rsidRDefault="00691408" w:rsidP="00691408">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p>
    <w:p w14:paraId="237D079C" w14:textId="77777777" w:rsidR="00A86BA0" w:rsidRPr="00463CE0" w:rsidRDefault="00A86BA0" w:rsidP="00A86BA0">
      <w:pPr>
        <w:shd w:val="clear" w:color="auto" w:fill="FFFFFF"/>
        <w:spacing w:after="120" w:line="276" w:lineRule="auto"/>
        <w:jc w:val="both"/>
        <w:rPr>
          <w:rFonts w:ascii="Geomanist Light" w:eastAsia="Calibri" w:hAnsi="Geomanist Light" w:cs="Arial"/>
          <w:sz w:val="22"/>
          <w:szCs w:val="22"/>
          <w:lang w:val="es-MX" w:eastAsia="en-US"/>
        </w:rPr>
      </w:pPr>
      <w:r w:rsidRPr="00463CE0">
        <w:rPr>
          <w:rFonts w:ascii="Geomanist Light" w:eastAsia="Calibri" w:hAnsi="Geomanist Light" w:cs="Arial"/>
          <w:sz w:val="22"/>
          <w:szCs w:val="22"/>
          <w:lang w:val="es-MX" w:eastAsia="en-US"/>
        </w:rPr>
        <w:t>Por regla general la capacidad jurídica, las condiciones de experiencia, la capacidad financiera y de organización de los proponentes deberán verificarse exclusivamente con el RUP, salvo las excepciones</w:t>
      </w:r>
      <w:r>
        <w:rPr>
          <w:rFonts w:ascii="Geomanist Light" w:eastAsia="Calibri" w:hAnsi="Geomanist Light" w:cs="Arial"/>
          <w:sz w:val="22"/>
          <w:szCs w:val="22"/>
          <w:lang w:val="es-MX" w:eastAsia="en-US"/>
        </w:rPr>
        <w:t xml:space="preserve"> previstas en la norma</w:t>
      </w:r>
      <w:r w:rsidRPr="00463CE0">
        <w:rPr>
          <w:rFonts w:ascii="Geomanist Light" w:eastAsia="Calibri" w:hAnsi="Geomanist Light" w:cs="Arial"/>
          <w:sz w:val="22"/>
          <w:szCs w:val="22"/>
          <w:lang w:val="es-MX" w:eastAsia="en-US"/>
        </w:rPr>
        <w:t xml:space="preserve">, toda vez que constituye plena prueba de la información que contiene, según el numeral 6.1 del artículo 6 de la Ley 1150 de 2007. El legislador otorgó a las Cámaras de Comercio la administración del RUP y dispuso que estas tienen la competencia y el deber de la verificación de la información suministrada por las personas naturales o jurídicas para su posterior utilización en los procesos de selección. </w:t>
      </w:r>
    </w:p>
    <w:p w14:paraId="0E99B28F" w14:textId="77777777" w:rsidR="00A86BA0" w:rsidRPr="00463CE0" w:rsidRDefault="00A86BA0" w:rsidP="00A86BA0">
      <w:pPr>
        <w:shd w:val="clear" w:color="auto" w:fill="FFFFFF"/>
        <w:spacing w:after="120" w:line="276" w:lineRule="auto"/>
        <w:ind w:firstLine="709"/>
        <w:jc w:val="both"/>
        <w:rPr>
          <w:rFonts w:ascii="Geomanist Light" w:eastAsia="Calibri" w:hAnsi="Geomanist Light" w:cs="Arial"/>
          <w:sz w:val="22"/>
          <w:szCs w:val="22"/>
          <w:lang w:val="es-MX" w:eastAsia="en-US"/>
        </w:rPr>
      </w:pPr>
      <w:r w:rsidRPr="00463CE0">
        <w:rPr>
          <w:rFonts w:ascii="Geomanist Light" w:eastAsia="Calibri" w:hAnsi="Geomanist Light" w:cs="Arial"/>
          <w:sz w:val="22"/>
          <w:szCs w:val="22"/>
          <w:lang w:val="es-MX" w:eastAsia="en-US"/>
        </w:rPr>
        <w:lastRenderedPageBreak/>
        <w:t xml:space="preserve">Por tanto, la experiencia transferida de los accionistas, socios o constituyentes a la persona jurídica que tiene menos de tres (3) años de constitución sólo puede verificarse con el registro, sin que sea posible para la entidad contratante solicitar documentos adicionales a los oferentes. Ahora bien, si la persona jurídica con menos de tres (3) años de constituida registra la experiencia de sus socios en el RUP, y éste es renovado constantemente de forma oportuna, puede continuar utilizando la experiencia inscrita mientras no cesen los efectos del RUP, incluso después de transcurridos los tres (3) años. Por el contrario, si no se renueva y la persona jurídica supera los tres (3)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C238C1F" w14:textId="6F106975" w:rsidR="00A86BA0" w:rsidRPr="005C6271" w:rsidRDefault="00A86BA0" w:rsidP="005C6271">
      <w:pPr>
        <w:shd w:val="clear" w:color="auto" w:fill="FFFFFF"/>
        <w:spacing w:line="276" w:lineRule="auto"/>
        <w:ind w:firstLine="708"/>
        <w:contextualSpacing/>
        <w:jc w:val="both"/>
        <w:rPr>
          <w:rFonts w:ascii="Geomanist Light" w:eastAsia="Calibri" w:hAnsi="Geomanist Light" w:cs="Arial"/>
          <w:sz w:val="22"/>
          <w:szCs w:val="22"/>
          <w:lang w:val="es-MX" w:eastAsia="en-US"/>
        </w:rPr>
      </w:pPr>
      <w:r w:rsidRPr="00463CE0">
        <w:rPr>
          <w:rFonts w:ascii="Geomanist Light" w:eastAsia="Calibri" w:hAnsi="Geomanist Light" w:cs="Arial"/>
          <w:sz w:val="22"/>
          <w:szCs w:val="22"/>
          <w:lang w:val="es-MX" w:eastAsia="en-US"/>
        </w:rPr>
        <w:t xml:space="preserve">Lo anterior, sin perjuicio de que en caso de que se percaten de irregularidades en la validación del requisito habilitante por la pérdida posterior de alguna de estas condiciones se impugne la certificación de la Cámara de Comercio, de acuerdo con lo previsto en el artículo 6.3 de la Ley 1150 de 2007. Para ello, conforme a las particularidades de cada caso concreto, regirá el principio de libertad probatoria, con excepción de aquellos aspectos sujetos a tarifa legal por norma expresa.  </w:t>
      </w:r>
    </w:p>
    <w:p w14:paraId="3C6C581C" w14:textId="77777777" w:rsidR="00A86BA0" w:rsidRPr="00EA42EF" w:rsidRDefault="00A86BA0" w:rsidP="00691408">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p>
    <w:p w14:paraId="0CF1A71B" w14:textId="133FB587" w:rsidR="000C12D7" w:rsidRPr="00EA42EF" w:rsidRDefault="00691408" w:rsidP="00691408">
      <w:pPr>
        <w:pStyle w:val="Textoindependiente"/>
        <w:widowControl w:val="0"/>
        <w:autoSpaceDE w:val="0"/>
        <w:autoSpaceDN w:val="0"/>
        <w:spacing w:before="0" w:beforeAutospacing="0" w:after="0" w:afterAutospacing="0"/>
        <w:ind w:left="709" w:right="709"/>
        <w:jc w:val="both"/>
        <w:rPr>
          <w:rFonts w:ascii="Geomanist Light" w:eastAsia="Calibri" w:hAnsi="Geomanist Light" w:cs="Arial"/>
          <w:sz w:val="21"/>
          <w:szCs w:val="21"/>
          <w:lang w:val="es-MX" w:eastAsia="en-US"/>
        </w:rPr>
      </w:pPr>
      <w:r w:rsidRPr="00EA42EF">
        <w:rPr>
          <w:rFonts w:ascii="Geomanist Light" w:eastAsia="Calibri" w:hAnsi="Geomanist Light" w:cs="Arial"/>
          <w:sz w:val="21"/>
          <w:szCs w:val="21"/>
          <w:lang w:val="es-MX" w:eastAsia="en-US"/>
        </w:rPr>
        <w:t>3. La entidad como define la palabra “constituyentes” de una sociedad ya que las entidades están utilizando dicha palabra para poder valer la experiencia de un socio que se retira».</w:t>
      </w:r>
    </w:p>
    <w:p w14:paraId="7EF088AE" w14:textId="77777777" w:rsidR="00964AF8" w:rsidRDefault="00964AF8" w:rsidP="00C177E6">
      <w:pPr>
        <w:pStyle w:val="Textoindependiente"/>
        <w:widowControl w:val="0"/>
        <w:autoSpaceDE w:val="0"/>
        <w:autoSpaceDN w:val="0"/>
        <w:spacing w:before="0" w:beforeAutospacing="0" w:after="0" w:afterAutospacing="0"/>
        <w:ind w:left="709" w:right="709"/>
        <w:jc w:val="both"/>
        <w:rPr>
          <w:rFonts w:eastAsia="Calibri"/>
          <w:lang w:val="es-MX"/>
        </w:rPr>
      </w:pPr>
    </w:p>
    <w:p w14:paraId="71EEA6AC" w14:textId="102F51A2" w:rsidR="000C12D7" w:rsidRDefault="00964AF8" w:rsidP="0091296E">
      <w:pPr>
        <w:spacing w:after="120" w:line="276" w:lineRule="auto"/>
        <w:jc w:val="both"/>
        <w:rPr>
          <w:rFonts w:ascii="Geomanist Light" w:eastAsia="Calibri" w:hAnsi="Geomanist Light" w:cs="Arial"/>
          <w:sz w:val="22"/>
          <w:szCs w:val="22"/>
          <w:lang w:val="es-MX" w:eastAsia="en-US"/>
        </w:rPr>
      </w:pPr>
      <w:r>
        <w:rPr>
          <w:rFonts w:ascii="Geomanist Light" w:eastAsia="Calibri" w:hAnsi="Geomanist Light" w:cs="Arial"/>
          <w:sz w:val="22"/>
          <w:szCs w:val="22"/>
          <w:lang w:val="es-MX" w:eastAsia="en-US"/>
        </w:rPr>
        <w:t xml:space="preserve">El término </w:t>
      </w:r>
      <w:r w:rsidRPr="004B5310">
        <w:rPr>
          <w:rFonts w:ascii="Arial" w:hAnsi="Arial" w:cs="Arial"/>
          <w:color w:val="000000"/>
          <w:sz w:val="18"/>
          <w:szCs w:val="18"/>
          <w:lang w:eastAsia="es-CO"/>
        </w:rPr>
        <w:t>«</w:t>
      </w:r>
      <w:r>
        <w:rPr>
          <w:rFonts w:ascii="Geomanist Light" w:eastAsia="Calibri" w:hAnsi="Geomanist Light" w:cs="Arial"/>
          <w:sz w:val="22"/>
          <w:szCs w:val="22"/>
          <w:lang w:val="es-MX" w:eastAsia="en-US"/>
        </w:rPr>
        <w:t>constituyentes</w:t>
      </w:r>
      <w:r w:rsidRPr="004B5310">
        <w:rPr>
          <w:rFonts w:ascii="Arial" w:hAnsi="Arial" w:cs="Arial"/>
          <w:color w:val="000000"/>
          <w:sz w:val="18"/>
          <w:szCs w:val="18"/>
          <w:lang w:eastAsia="es-CO"/>
        </w:rPr>
        <w:t>»</w:t>
      </w:r>
      <w:r>
        <w:rPr>
          <w:rFonts w:ascii="Geomanist Light" w:eastAsia="Calibri" w:hAnsi="Geomanist Light" w:cs="Arial"/>
          <w:sz w:val="22"/>
          <w:szCs w:val="22"/>
          <w:lang w:val="es-MX" w:eastAsia="en-US"/>
        </w:rPr>
        <w:t xml:space="preserve"> aludido en el numeral 2.5. del artículo </w:t>
      </w:r>
      <w:r w:rsidRPr="00463CE0">
        <w:rPr>
          <w:rFonts w:ascii="Geomanist Light" w:eastAsia="Calibri" w:hAnsi="Geomanist Light" w:cs="Arial"/>
          <w:sz w:val="22"/>
          <w:szCs w:val="22"/>
          <w:lang w:val="es-MX" w:eastAsia="en-US"/>
        </w:rPr>
        <w:t>2.2.1.1.1.5.2 del Decreto 1082 de 2015</w:t>
      </w:r>
      <w:r>
        <w:rPr>
          <w:rFonts w:ascii="Geomanist Light" w:eastAsia="Calibri" w:hAnsi="Geomanist Light" w:cs="Arial"/>
          <w:sz w:val="22"/>
          <w:szCs w:val="22"/>
          <w:lang w:val="es-MX" w:eastAsia="en-US"/>
        </w:rPr>
        <w:t xml:space="preserve"> hace referencia a las personas que son parte del contrato de sociedad en los términos del artículo 98 del Código de Comercio y que intervienen en el acto de constitución según el artículo 110 del mismo código. En igual sentido, para el caso de las sociedades por acciones simpli</w:t>
      </w:r>
      <w:r w:rsidR="000C12D7">
        <w:rPr>
          <w:rFonts w:ascii="Geomanist Light" w:eastAsia="Calibri" w:hAnsi="Geomanist Light" w:cs="Arial"/>
          <w:sz w:val="22"/>
          <w:szCs w:val="22"/>
          <w:lang w:val="es-MX" w:eastAsia="en-US"/>
        </w:rPr>
        <w:t>fica</w:t>
      </w:r>
      <w:r>
        <w:rPr>
          <w:rFonts w:ascii="Geomanist Light" w:eastAsia="Calibri" w:hAnsi="Geomanist Light" w:cs="Arial"/>
          <w:sz w:val="22"/>
          <w:szCs w:val="22"/>
          <w:lang w:val="es-MX" w:eastAsia="en-US"/>
        </w:rPr>
        <w:t xml:space="preserve">das, en los términos de los artículos 1 y 5 de la Ley 1258 de 2008. </w:t>
      </w:r>
    </w:p>
    <w:p w14:paraId="30DC1574" w14:textId="77777777" w:rsidR="005C6271" w:rsidRDefault="005C6271" w:rsidP="0091296E">
      <w:pPr>
        <w:spacing w:after="120" w:line="276" w:lineRule="auto"/>
        <w:jc w:val="both"/>
        <w:rPr>
          <w:rFonts w:ascii="Geomanist Light" w:eastAsia="Calibri" w:hAnsi="Geomanist Light" w:cs="Arial"/>
          <w:sz w:val="22"/>
          <w:szCs w:val="22"/>
          <w:lang w:val="es-MX" w:eastAsia="en-US"/>
        </w:rPr>
      </w:pPr>
    </w:p>
    <w:p w14:paraId="64BE30C1" w14:textId="3662AFFC" w:rsidR="00695B70" w:rsidRDefault="00695B70" w:rsidP="0091296E">
      <w:pPr>
        <w:spacing w:after="120" w:line="276" w:lineRule="auto"/>
        <w:jc w:val="both"/>
        <w:rPr>
          <w:rFonts w:ascii="Geomanist Light" w:eastAsia="Calibri" w:hAnsi="Geomanist Light" w:cs="Arial"/>
          <w:sz w:val="22"/>
          <w:szCs w:val="22"/>
          <w:lang w:val="es-MX" w:eastAsia="en-US"/>
        </w:rPr>
      </w:pPr>
      <w:r w:rsidRPr="00E839D1">
        <w:rPr>
          <w:rFonts w:ascii="Geomanist Light" w:eastAsia="Calibri" w:hAnsi="Geomanist Light" w:cs="Arial"/>
          <w:sz w:val="22"/>
          <w:szCs w:val="22"/>
          <w:lang w:val="es-MX" w:eastAsia="en-US"/>
        </w:rPr>
        <w:t>Este concepto tiene el alcance previsto en el artículo 28 del Código de Procedimiento Administrativo y de lo Contencioso Administrativo.</w:t>
      </w:r>
    </w:p>
    <w:p w14:paraId="0306351C" w14:textId="77777777" w:rsidR="000C12D7" w:rsidRPr="00E839D1" w:rsidRDefault="000C12D7" w:rsidP="0091296E">
      <w:pPr>
        <w:spacing w:after="120" w:line="276" w:lineRule="auto"/>
        <w:jc w:val="both"/>
        <w:rPr>
          <w:rFonts w:ascii="Geomanist Light" w:eastAsia="Calibri" w:hAnsi="Geomanist Light" w:cs="Arial"/>
          <w:sz w:val="22"/>
          <w:szCs w:val="22"/>
          <w:lang w:val="es-MX" w:eastAsia="en-US"/>
        </w:rPr>
      </w:pPr>
    </w:p>
    <w:bookmarkEnd w:id="1"/>
    <w:p w14:paraId="0F9595B1" w14:textId="77777777" w:rsidR="0091296E" w:rsidRPr="0066112F" w:rsidRDefault="0091296E" w:rsidP="0091296E">
      <w:pPr>
        <w:pStyle w:val="NormalWeb"/>
        <w:spacing w:before="0" w:beforeAutospacing="0" w:after="0" w:afterAutospacing="0"/>
        <w:rPr>
          <w:rFonts w:ascii="Geomanist Light" w:eastAsia="Calibri" w:hAnsi="Geomanist Light" w:cs="Arial"/>
          <w:sz w:val="22"/>
          <w:szCs w:val="22"/>
          <w:lang w:val="es-MX" w:eastAsia="en-US"/>
        </w:rPr>
      </w:pPr>
      <w:r w:rsidRPr="0066112F">
        <w:rPr>
          <w:rFonts w:ascii="Geomanist Light" w:eastAsia="Calibri" w:hAnsi="Geomanist Light" w:cs="Arial"/>
          <w:sz w:val="22"/>
          <w:szCs w:val="22"/>
          <w:lang w:val="es-MX" w:eastAsia="en-US"/>
        </w:rPr>
        <w:t>Atentamente,</w:t>
      </w:r>
    </w:p>
    <w:p w14:paraId="789C7333" w14:textId="4C42AD06" w:rsidR="0091296E" w:rsidRPr="00CB3615" w:rsidRDefault="00EB7E5E" w:rsidP="0091296E">
      <w:pPr>
        <w:spacing w:line="276" w:lineRule="auto"/>
        <w:jc w:val="center"/>
        <w:rPr>
          <w:rFonts w:ascii="Arial" w:hAnsi="Arial" w:cs="Arial"/>
          <w:sz w:val="22"/>
          <w:lang w:eastAsia="es-CO"/>
        </w:rPr>
      </w:pPr>
      <w:r>
        <w:rPr>
          <w:noProof/>
        </w:rPr>
        <w:lastRenderedPageBreak/>
        <w:drawing>
          <wp:inline distT="0" distB="0" distL="0" distR="0" wp14:anchorId="34F48FA7" wp14:editId="2537D6A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24FC6BCE" w14:textId="77777777" w:rsidR="0091296E" w:rsidRPr="00C177E6" w:rsidRDefault="0091296E" w:rsidP="0091296E">
      <w:pPr>
        <w:spacing w:line="276" w:lineRule="auto"/>
        <w:jc w:val="center"/>
        <w:rPr>
          <w:rFonts w:ascii="Geomanist Light" w:hAnsi="Geomanist Light" w:cs="Arial"/>
          <w:sz w:val="22"/>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91296E" w:rsidRPr="000C12D7" w14:paraId="45416DBD" w14:textId="77777777" w:rsidTr="00476D3F">
        <w:trPr>
          <w:trHeight w:val="291"/>
        </w:trPr>
        <w:tc>
          <w:tcPr>
            <w:tcW w:w="1266" w:type="dxa"/>
            <w:vAlign w:val="center"/>
            <w:hideMark/>
          </w:tcPr>
          <w:p w14:paraId="02C0967B" w14:textId="77777777" w:rsidR="0091296E" w:rsidRPr="00C177E6" w:rsidRDefault="0091296E" w:rsidP="00476D3F">
            <w:pPr>
              <w:spacing w:line="276" w:lineRule="auto"/>
              <w:rPr>
                <w:rFonts w:ascii="Geomanist Light" w:hAnsi="Geomanist Light" w:cs="Arial"/>
                <w:sz w:val="16"/>
                <w:szCs w:val="16"/>
                <w:lang w:eastAsia="es-ES"/>
              </w:rPr>
            </w:pPr>
            <w:r w:rsidRPr="00C177E6">
              <w:rPr>
                <w:rFonts w:ascii="Geomanist Light" w:hAnsi="Geomanist Light" w:cs="Arial"/>
                <w:sz w:val="16"/>
                <w:szCs w:val="16"/>
                <w:lang w:eastAsia="es-ES"/>
              </w:rPr>
              <w:t>Elaboró:</w:t>
            </w:r>
          </w:p>
        </w:tc>
        <w:tc>
          <w:tcPr>
            <w:tcW w:w="5276" w:type="dxa"/>
            <w:tcBorders>
              <w:top w:val="nil"/>
              <w:left w:val="nil"/>
              <w:bottom w:val="dotted" w:sz="4" w:space="0" w:color="7F7F7F"/>
              <w:right w:val="nil"/>
            </w:tcBorders>
            <w:vAlign w:val="center"/>
            <w:hideMark/>
          </w:tcPr>
          <w:p w14:paraId="31599B97" w14:textId="77777777" w:rsidR="0091296E" w:rsidRPr="00C177E6" w:rsidRDefault="0091296E" w:rsidP="00476D3F">
            <w:pPr>
              <w:spacing w:line="276" w:lineRule="auto"/>
              <w:rPr>
                <w:rFonts w:ascii="Geomanist Light" w:hAnsi="Geomanist Light" w:cs="Arial"/>
                <w:sz w:val="16"/>
                <w:szCs w:val="16"/>
                <w:lang w:eastAsia="es-ES"/>
              </w:rPr>
            </w:pPr>
            <w:r w:rsidRPr="00C177E6">
              <w:rPr>
                <w:rFonts w:ascii="Geomanist Light" w:hAnsi="Geomanist Light" w:cs="Arial"/>
                <w:sz w:val="16"/>
                <w:szCs w:val="16"/>
                <w:lang w:eastAsia="es-ES"/>
              </w:rPr>
              <w:t>Felipe Bastidas Paredes</w:t>
            </w:r>
          </w:p>
          <w:p w14:paraId="55B2BE75" w14:textId="77777777" w:rsidR="0091296E" w:rsidRPr="00C177E6" w:rsidRDefault="0091296E" w:rsidP="00476D3F">
            <w:pPr>
              <w:spacing w:line="276" w:lineRule="auto"/>
              <w:rPr>
                <w:rFonts w:ascii="Geomanist Light" w:hAnsi="Geomanist Light" w:cs="Arial"/>
                <w:sz w:val="16"/>
                <w:szCs w:val="16"/>
                <w:lang w:eastAsia="es-ES"/>
              </w:rPr>
            </w:pPr>
            <w:r w:rsidRPr="00C177E6">
              <w:rPr>
                <w:rFonts w:ascii="Geomanist Light" w:hAnsi="Geomanist Light" w:cs="Arial"/>
                <w:sz w:val="16"/>
                <w:szCs w:val="16"/>
                <w:lang w:eastAsia="es-ES"/>
              </w:rPr>
              <w:t>Contratista de la Subdirección de Gestión Contractual</w:t>
            </w:r>
          </w:p>
        </w:tc>
      </w:tr>
      <w:tr w:rsidR="0091296E" w:rsidRPr="000C12D7" w14:paraId="4FF558FB" w14:textId="77777777" w:rsidTr="00476D3F">
        <w:trPr>
          <w:trHeight w:val="304"/>
        </w:trPr>
        <w:tc>
          <w:tcPr>
            <w:tcW w:w="1266" w:type="dxa"/>
            <w:vAlign w:val="center"/>
          </w:tcPr>
          <w:p w14:paraId="7A1BC053" w14:textId="77777777" w:rsidR="0091296E" w:rsidRPr="00C177E6" w:rsidRDefault="0091296E" w:rsidP="00476D3F">
            <w:pPr>
              <w:spacing w:line="276" w:lineRule="auto"/>
              <w:rPr>
                <w:rFonts w:ascii="Geomanist Light" w:hAnsi="Geomanist Light" w:cs="Arial"/>
                <w:sz w:val="16"/>
                <w:szCs w:val="16"/>
                <w:lang w:eastAsia="es-ES"/>
              </w:rPr>
            </w:pPr>
            <w:r w:rsidRPr="00C177E6">
              <w:rPr>
                <w:rFonts w:ascii="Geomanist Light" w:hAnsi="Geomanist Light" w:cs="Arial"/>
                <w:sz w:val="16"/>
                <w:szCs w:val="16"/>
                <w:lang w:eastAsia="es-ES"/>
              </w:rPr>
              <w:t>Revisó:</w:t>
            </w:r>
          </w:p>
        </w:tc>
        <w:tc>
          <w:tcPr>
            <w:tcW w:w="5276" w:type="dxa"/>
            <w:tcBorders>
              <w:top w:val="dotted" w:sz="4" w:space="0" w:color="7F7F7F"/>
              <w:left w:val="nil"/>
              <w:bottom w:val="dotted" w:sz="4" w:space="0" w:color="7F7F7F"/>
              <w:right w:val="nil"/>
            </w:tcBorders>
            <w:vAlign w:val="center"/>
          </w:tcPr>
          <w:p w14:paraId="15AE3A19" w14:textId="042B4AC4" w:rsidR="0091296E" w:rsidRPr="00C177E6" w:rsidRDefault="003504F6" w:rsidP="00476D3F">
            <w:pPr>
              <w:spacing w:line="276" w:lineRule="auto"/>
              <w:rPr>
                <w:rFonts w:ascii="Geomanist Light" w:hAnsi="Geomanist Light" w:cs="Arial"/>
                <w:sz w:val="16"/>
                <w:szCs w:val="16"/>
                <w:lang w:eastAsia="es-ES"/>
              </w:rPr>
            </w:pPr>
            <w:r w:rsidRPr="00C177E6">
              <w:rPr>
                <w:rFonts w:ascii="Geomanist Light" w:hAnsi="Geomanist Light" w:cs="Arial"/>
                <w:sz w:val="16"/>
                <w:szCs w:val="16"/>
                <w:lang w:eastAsia="es-ES"/>
              </w:rPr>
              <w:t>Melissa Fernández</w:t>
            </w:r>
            <w:r w:rsidR="003736FB">
              <w:rPr>
                <w:rFonts w:ascii="Geomanist Light" w:hAnsi="Geomanist Light" w:cs="Arial"/>
                <w:sz w:val="16"/>
                <w:szCs w:val="16"/>
                <w:lang w:eastAsia="es-ES"/>
              </w:rPr>
              <w:t xml:space="preserve"> Reinoso</w:t>
            </w:r>
          </w:p>
          <w:p w14:paraId="57F793FE" w14:textId="025B7F75" w:rsidR="0091296E" w:rsidRPr="00C177E6" w:rsidRDefault="003736FB" w:rsidP="00476D3F">
            <w:pPr>
              <w:spacing w:line="276" w:lineRule="auto"/>
              <w:rPr>
                <w:rFonts w:ascii="Geomanist Light" w:hAnsi="Geomanist Light" w:cs="Arial"/>
                <w:sz w:val="16"/>
                <w:szCs w:val="16"/>
                <w:lang w:eastAsia="es-ES"/>
              </w:rPr>
            </w:pPr>
            <w:r>
              <w:rPr>
                <w:rFonts w:ascii="Geomanist Light" w:hAnsi="Geomanist Light" w:cs="Arial"/>
                <w:sz w:val="16"/>
                <w:szCs w:val="16"/>
                <w:lang w:eastAsia="es-ES"/>
              </w:rPr>
              <w:t xml:space="preserve">Analista 2- T2 </w:t>
            </w:r>
            <w:r w:rsidR="0091296E" w:rsidRPr="00C177E6">
              <w:rPr>
                <w:rFonts w:ascii="Geomanist Light" w:hAnsi="Geomanist Light" w:cs="Arial"/>
                <w:sz w:val="16"/>
                <w:szCs w:val="16"/>
                <w:lang w:eastAsia="es-ES"/>
              </w:rPr>
              <w:t xml:space="preserve">de la Subdirección de Gestión Contractual </w:t>
            </w:r>
          </w:p>
        </w:tc>
      </w:tr>
      <w:tr w:rsidR="0091296E" w:rsidRPr="000C12D7" w14:paraId="3D56881E" w14:textId="77777777" w:rsidTr="00476D3F">
        <w:trPr>
          <w:trHeight w:val="277"/>
        </w:trPr>
        <w:tc>
          <w:tcPr>
            <w:tcW w:w="1266" w:type="dxa"/>
            <w:vAlign w:val="center"/>
            <w:hideMark/>
          </w:tcPr>
          <w:p w14:paraId="126369A2" w14:textId="77777777" w:rsidR="0091296E" w:rsidRPr="00C177E6" w:rsidRDefault="0091296E" w:rsidP="00476D3F">
            <w:pPr>
              <w:spacing w:line="276" w:lineRule="auto"/>
              <w:rPr>
                <w:rFonts w:ascii="Geomanist Light" w:hAnsi="Geomanist Light" w:cs="Arial"/>
                <w:sz w:val="16"/>
                <w:szCs w:val="16"/>
                <w:lang w:eastAsia="es-ES"/>
              </w:rPr>
            </w:pPr>
            <w:r w:rsidRPr="00C177E6">
              <w:rPr>
                <w:rFonts w:ascii="Geomanist Light" w:hAnsi="Geomanist Light" w:cs="Arial"/>
                <w:sz w:val="16"/>
                <w:szCs w:val="16"/>
                <w:lang w:eastAsia="es-ES"/>
              </w:rPr>
              <w:t>Aprobó:</w:t>
            </w:r>
          </w:p>
        </w:tc>
        <w:tc>
          <w:tcPr>
            <w:tcW w:w="5276" w:type="dxa"/>
            <w:tcBorders>
              <w:top w:val="dotted" w:sz="4" w:space="0" w:color="7F7F7F"/>
              <w:left w:val="nil"/>
              <w:bottom w:val="dotted" w:sz="4" w:space="0" w:color="7F7F7F"/>
              <w:right w:val="nil"/>
            </w:tcBorders>
            <w:vAlign w:val="center"/>
            <w:hideMark/>
          </w:tcPr>
          <w:p w14:paraId="0AD8142B" w14:textId="77777777" w:rsidR="0091296E" w:rsidRPr="00C177E6" w:rsidRDefault="0091296E" w:rsidP="00476D3F">
            <w:pPr>
              <w:spacing w:line="276" w:lineRule="auto"/>
              <w:rPr>
                <w:rFonts w:ascii="Geomanist Light" w:hAnsi="Geomanist Light" w:cs="Arial"/>
                <w:sz w:val="16"/>
                <w:szCs w:val="16"/>
                <w:lang w:eastAsia="es-ES"/>
              </w:rPr>
            </w:pPr>
            <w:r w:rsidRPr="00C177E6">
              <w:rPr>
                <w:rFonts w:ascii="Geomanist Light" w:hAnsi="Geomanist Light" w:cs="Arial"/>
                <w:sz w:val="16"/>
                <w:szCs w:val="16"/>
                <w:lang w:eastAsia="es-ES"/>
              </w:rPr>
              <w:t xml:space="preserve">Nohelia del Carmen </w:t>
            </w:r>
            <w:proofErr w:type="spellStart"/>
            <w:r w:rsidRPr="00C177E6">
              <w:rPr>
                <w:rFonts w:ascii="Geomanist Light" w:hAnsi="Geomanist Light" w:cs="Arial"/>
                <w:sz w:val="16"/>
                <w:szCs w:val="16"/>
                <w:lang w:eastAsia="es-ES"/>
              </w:rPr>
              <w:t>Zawady</w:t>
            </w:r>
            <w:proofErr w:type="spellEnd"/>
            <w:r w:rsidRPr="00C177E6">
              <w:rPr>
                <w:rFonts w:ascii="Geomanist Light" w:hAnsi="Geomanist Light" w:cs="Arial"/>
                <w:sz w:val="16"/>
                <w:szCs w:val="16"/>
                <w:lang w:eastAsia="es-ES"/>
              </w:rPr>
              <w:t xml:space="preserve"> Palacio</w:t>
            </w:r>
          </w:p>
          <w:p w14:paraId="1E8A5E76" w14:textId="77777777" w:rsidR="0091296E" w:rsidRPr="00C177E6" w:rsidRDefault="0091296E" w:rsidP="00476D3F">
            <w:pPr>
              <w:spacing w:line="276" w:lineRule="auto"/>
              <w:rPr>
                <w:rFonts w:ascii="Geomanist Light" w:hAnsi="Geomanist Light" w:cs="Arial"/>
                <w:sz w:val="16"/>
                <w:szCs w:val="16"/>
                <w:lang w:eastAsia="es-ES"/>
              </w:rPr>
            </w:pPr>
            <w:r w:rsidRPr="00C177E6">
              <w:rPr>
                <w:rFonts w:ascii="Geomanist Light" w:hAnsi="Geomanist Light" w:cs="Arial"/>
                <w:sz w:val="16"/>
                <w:szCs w:val="16"/>
                <w:lang w:eastAsia="es-ES"/>
              </w:rPr>
              <w:t>Subdirectora de Gestión Contractual ANCP – CCE</w:t>
            </w:r>
          </w:p>
        </w:tc>
      </w:tr>
    </w:tbl>
    <w:p w14:paraId="261DA19A" w14:textId="77777777" w:rsidR="007746BB" w:rsidRPr="00C177E6" w:rsidRDefault="007746BB" w:rsidP="00EE6A82">
      <w:pPr>
        <w:rPr>
          <w:rFonts w:ascii="Geomanist Light" w:hAnsi="Geomanist Light" w:cs="Arial"/>
        </w:rPr>
      </w:pPr>
    </w:p>
    <w:sectPr w:rsidR="007746BB" w:rsidRPr="00C177E6" w:rsidSect="00C177E6">
      <w:headerReference w:type="default" r:id="rId13"/>
      <w:footerReference w:type="default" r:id="rId14"/>
      <w:pgSz w:w="12240" w:h="15840"/>
      <w:pgMar w:top="1937" w:right="1758" w:bottom="1474" w:left="1758" w:header="340"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C496" w14:textId="77777777" w:rsidR="00CD5911" w:rsidRDefault="00CD5911">
      <w:r>
        <w:separator/>
      </w:r>
    </w:p>
  </w:endnote>
  <w:endnote w:type="continuationSeparator" w:id="0">
    <w:p w14:paraId="08B0221F" w14:textId="77777777" w:rsidR="00CD5911" w:rsidRDefault="00C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2A81CA09" w:rsidR="00EF64D8" w:rsidRDefault="00EF64D8" w:rsidP="00C177E6">
    <w:pPr>
      <w:pStyle w:val="Piedepgina"/>
      <w:jc w:val="right"/>
      <w:rPr>
        <w:lang w:val="es-ES"/>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6C0EFC49" w14:textId="47252560" w:rsidR="00EF64D8" w:rsidRPr="007B0854" w:rsidRDefault="003F1F31" w:rsidP="003F1F31">
    <w:pPr>
      <w:pStyle w:val="Piedepgina"/>
      <w:jc w:val="center"/>
      <w:rPr>
        <w:lang w:val="es-ES"/>
      </w:rPr>
    </w:pPr>
    <w:r>
      <w:rPr>
        <w:noProof/>
      </w:rPr>
      <w:drawing>
        <wp:inline distT="0" distB="0" distL="0" distR="0" wp14:anchorId="79F11FD7" wp14:editId="6344930D">
          <wp:extent cx="5539740" cy="853087"/>
          <wp:effectExtent l="0" t="0" r="3810" b="4445"/>
          <wp:docPr id="358603844" name="Imagen 35860384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530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1C57" w14:textId="77777777" w:rsidR="00CD5911" w:rsidRDefault="00CD5911">
      <w:r>
        <w:separator/>
      </w:r>
    </w:p>
  </w:footnote>
  <w:footnote w:type="continuationSeparator" w:id="0">
    <w:p w14:paraId="399B1296" w14:textId="77777777" w:rsidR="00CD5911" w:rsidRDefault="00CD5911">
      <w:r>
        <w:continuationSeparator/>
      </w:r>
    </w:p>
  </w:footnote>
  <w:footnote w:id="1">
    <w:p w14:paraId="37AC69A1" w14:textId="77777777" w:rsidR="003504F6" w:rsidRPr="00ED2580" w:rsidRDefault="003504F6" w:rsidP="003504F6">
      <w:pPr>
        <w:pStyle w:val="Textonotapie"/>
        <w:spacing w:line="240" w:lineRule="auto"/>
        <w:ind w:firstLine="708"/>
        <w:rPr>
          <w:rFonts w:ascii="Geomanist Light" w:hAnsi="Geomanist Light" w:cs="Arial"/>
          <w:color w:val="000000" w:themeColor="text1"/>
          <w:sz w:val="16"/>
          <w:szCs w:val="16"/>
        </w:rPr>
      </w:pPr>
      <w:r w:rsidRPr="008E4B4C">
        <w:rPr>
          <w:rStyle w:val="Refdenotaalpie"/>
          <w:rFonts w:ascii="Arial" w:hAnsi="Arial" w:cs="Arial"/>
          <w:sz w:val="19"/>
          <w:szCs w:val="19"/>
        </w:rPr>
        <w:footnoteRef/>
      </w:r>
      <w:r w:rsidRPr="008E4B4C">
        <w:rPr>
          <w:rFonts w:ascii="Arial" w:hAnsi="Arial" w:cs="Arial"/>
          <w:sz w:val="19"/>
          <w:szCs w:val="19"/>
        </w:rPr>
        <w:t xml:space="preserve"> </w:t>
      </w:r>
      <w:r w:rsidRPr="00ED2580">
        <w:rPr>
          <w:rFonts w:ascii="Geomanist Light" w:hAnsi="Geomanist Light" w:cs="Arial"/>
          <w:color w:val="000000" w:themeColor="text1"/>
          <w:sz w:val="16"/>
          <w:szCs w:val="16"/>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2894053" w14:textId="32497610" w:rsidR="00657259" w:rsidRPr="003504F6" w:rsidRDefault="00657259" w:rsidP="00A37A65">
      <w:pPr>
        <w:pStyle w:val="Textonotapie"/>
        <w:spacing w:before="0" w:after="0" w:line="240" w:lineRule="auto"/>
        <w:ind w:firstLine="709"/>
        <w:rPr>
          <w:rFonts w:ascii="Geomanist Light" w:hAnsi="Geomanist Light" w:cs="Arial"/>
          <w:color w:val="000000" w:themeColor="text1"/>
          <w:sz w:val="16"/>
          <w:szCs w:val="16"/>
        </w:rPr>
      </w:pPr>
      <w:r w:rsidRPr="002654C2">
        <w:rPr>
          <w:rStyle w:val="Refdenotaalpie"/>
          <w:rFonts w:ascii="Arial" w:hAnsi="Arial" w:cs="Arial"/>
        </w:rPr>
        <w:footnoteRef/>
      </w:r>
      <w:r w:rsidRPr="00674F99">
        <w:rPr>
          <w:rFonts w:ascii="Arial" w:hAnsi="Arial" w:cs="Arial"/>
          <w:sz w:val="19"/>
          <w:szCs w:val="19"/>
        </w:rPr>
        <w:t xml:space="preserve"> </w:t>
      </w:r>
      <w:r w:rsidRPr="003504F6">
        <w:rPr>
          <w:rFonts w:ascii="Geomanist Light" w:hAnsi="Geomanist Light" w:cs="Arial"/>
          <w:color w:val="000000" w:themeColor="text1"/>
          <w:sz w:val="16"/>
          <w:szCs w:val="16"/>
        </w:rPr>
        <w:t xml:space="preserve">De igual forma la Agencia de Nacional de Contratación Pública -Colombia Compra Eficiente- trato el tema objeto de estudio en conceptos del año 2019, identificados con los radicados 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4201913000006797 del 19 de noviembre de 2019, 4201912000007182 del 3 de diciembre de 2019, 4201912000007512 del 16 de diciembre de 2019, 4201912000007607 del 9 de diciembre de 2019. </w:t>
      </w:r>
    </w:p>
  </w:footnote>
  <w:footnote w:id="3">
    <w:p w14:paraId="0F891CB7"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2310EE">
        <w:rPr>
          <w:rStyle w:val="Refdenotaalpie"/>
          <w:rFonts w:ascii="Arial" w:hAnsi="Arial" w:cs="Arial"/>
        </w:rPr>
        <w:footnoteRef/>
      </w:r>
      <w:r w:rsidRPr="00674F99">
        <w:rPr>
          <w:rFonts w:ascii="Arial" w:hAnsi="Arial" w:cs="Arial"/>
          <w:sz w:val="19"/>
          <w:szCs w:val="19"/>
        </w:rPr>
        <w:t xml:space="preserve"> </w:t>
      </w:r>
      <w:r w:rsidRPr="003504F6">
        <w:rPr>
          <w:rFonts w:ascii="Geomanist Light" w:hAnsi="Geomanist Light" w:cs="Arial"/>
          <w:color w:val="000000" w:themeColor="text1"/>
          <w:sz w:val="16"/>
          <w:szCs w:val="16"/>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A1F58FF"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w:t>
      </w:r>
    </w:p>
    <w:p w14:paraId="3FA5F12C"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C220A36"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0EEA2AB" w14:textId="77777777" w:rsidR="00C374F0" w:rsidRPr="00674F99" w:rsidRDefault="00C374F0" w:rsidP="002654C2">
      <w:pPr>
        <w:pStyle w:val="Textonotapie"/>
        <w:spacing w:before="0" w:after="0" w:line="240" w:lineRule="auto"/>
        <w:ind w:firstLine="709"/>
        <w:rPr>
          <w:rFonts w:ascii="Arial" w:hAnsi="Arial" w:cs="Arial"/>
          <w:sz w:val="19"/>
          <w:szCs w:val="19"/>
          <w:lang w:val="es-ES"/>
        </w:rPr>
      </w:pPr>
    </w:p>
  </w:footnote>
  <w:footnote w:id="4">
    <w:p w14:paraId="7DE346EB"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2310EE">
        <w:rPr>
          <w:rStyle w:val="Refdenotaalpie"/>
          <w:rFonts w:ascii="Arial" w:hAnsi="Arial" w:cs="Arial"/>
        </w:rPr>
        <w:footnoteRef/>
      </w:r>
      <w:r w:rsidRPr="00674F99">
        <w:rPr>
          <w:rFonts w:ascii="Arial" w:hAnsi="Arial" w:cs="Arial"/>
          <w:sz w:val="19"/>
          <w:szCs w:val="19"/>
        </w:rPr>
        <w:t xml:space="preserve"> </w:t>
      </w:r>
      <w:r w:rsidRPr="003504F6">
        <w:rPr>
          <w:rFonts w:ascii="Geomanist Light" w:hAnsi="Geomanist Light" w:cs="Arial"/>
          <w:color w:val="000000" w:themeColor="text1"/>
          <w:sz w:val="16"/>
          <w:szCs w:val="16"/>
        </w:rPr>
        <w:t>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324AC8B"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»1.    Si es una persona natural:</w:t>
      </w:r>
    </w:p>
    <w:p w14:paraId="00FC1E0D"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»1.1. Bienes, obras y servicios que ofrecerá a las Entidades Estatales, identificados con el Clasificador de Bienes y Servicios en el tercer nivel.</w:t>
      </w:r>
    </w:p>
    <w:p w14:paraId="63198C1F"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6217254" w14:textId="77777777" w:rsidR="00C374F0" w:rsidRPr="00674F99" w:rsidRDefault="00C374F0" w:rsidP="002654C2">
      <w:pPr>
        <w:pStyle w:val="Textonotapie"/>
        <w:spacing w:before="0" w:after="0" w:line="240" w:lineRule="auto"/>
        <w:ind w:firstLine="709"/>
        <w:rPr>
          <w:rFonts w:ascii="Arial" w:hAnsi="Arial" w:cs="Arial"/>
          <w:sz w:val="19"/>
          <w:szCs w:val="19"/>
          <w:lang w:val="es-ES"/>
        </w:rPr>
      </w:pPr>
    </w:p>
  </w:footnote>
  <w:footnote w:id="5">
    <w:p w14:paraId="2C2BE97E"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2310EE">
        <w:rPr>
          <w:rStyle w:val="Refdenotaalpie"/>
          <w:rFonts w:ascii="Arial" w:hAnsi="Arial" w:cs="Arial"/>
        </w:rPr>
        <w:footnoteRef/>
      </w:r>
      <w:r w:rsidRPr="00674F99">
        <w:rPr>
          <w:rFonts w:ascii="Arial" w:hAnsi="Arial" w:cs="Arial"/>
          <w:sz w:val="19"/>
          <w:szCs w:val="19"/>
        </w:rPr>
        <w:t xml:space="preserve"> </w:t>
      </w:r>
      <w:r w:rsidRPr="003504F6">
        <w:rPr>
          <w:rFonts w:ascii="Geomanist Light" w:hAnsi="Geomanist Light" w:cs="Arial"/>
          <w:color w:val="000000" w:themeColor="text1"/>
          <w:sz w:val="16"/>
          <w:szCs w:val="16"/>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2BA94C9C"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8ECBB3D"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w:t>
      </w:r>
    </w:p>
    <w:p w14:paraId="4CD7E056"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10C62088"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BDABA5B"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w:t>
      </w:r>
    </w:p>
    <w:p w14:paraId="312BEA55" w14:textId="77777777" w:rsidR="00C374F0" w:rsidRPr="00674F99" w:rsidRDefault="00C374F0" w:rsidP="002654C2">
      <w:pPr>
        <w:pStyle w:val="Textonotapie"/>
        <w:spacing w:before="0" w:after="0" w:line="240" w:lineRule="auto"/>
        <w:ind w:firstLine="709"/>
        <w:rPr>
          <w:rFonts w:ascii="Arial" w:hAnsi="Arial" w:cs="Arial"/>
          <w:sz w:val="19"/>
          <w:szCs w:val="19"/>
        </w:rPr>
      </w:pPr>
    </w:p>
  </w:footnote>
  <w:footnote w:id="6">
    <w:p w14:paraId="3C735646"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2310EE">
        <w:rPr>
          <w:rStyle w:val="Refdenotaalpie"/>
          <w:rFonts w:ascii="Arial" w:hAnsi="Arial" w:cs="Arial"/>
        </w:rPr>
        <w:footnoteRef/>
      </w:r>
      <w:r w:rsidRPr="00674F99">
        <w:rPr>
          <w:rFonts w:ascii="Arial" w:hAnsi="Arial" w:cs="Arial"/>
          <w:sz w:val="19"/>
          <w:szCs w:val="19"/>
        </w:rPr>
        <w:t xml:space="preserve"> «</w:t>
      </w:r>
      <w:r w:rsidRPr="003504F6">
        <w:rPr>
          <w:rFonts w:ascii="Geomanist Light" w:hAnsi="Geomanist Light" w:cs="Arial"/>
          <w:color w:val="000000" w:themeColor="text1"/>
          <w:sz w:val="16"/>
          <w:szCs w:val="16"/>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FC1877C"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w:t>
      </w:r>
    </w:p>
    <w:p w14:paraId="2E776189"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»2.1.   Bienes, obras y servicios que ofrecerá a las Entidades Estatales, identificados con el Clasificador de Bienes y Servicios en el tercer nivel».</w:t>
      </w:r>
    </w:p>
    <w:p w14:paraId="34E5952B"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p>
  </w:footnote>
  <w:footnote w:id="7">
    <w:p w14:paraId="669868A3"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olor w:val="000000" w:themeColor="text1"/>
          <w:sz w:val="16"/>
          <w:szCs w:val="16"/>
        </w:rPr>
        <w:footnoteRef/>
      </w:r>
      <w:r w:rsidRPr="003504F6">
        <w:rPr>
          <w:rFonts w:ascii="Geomanist Light" w:hAnsi="Geomanist Light" w:cs="Arial"/>
          <w:color w:val="000000" w:themeColor="text1"/>
          <w:sz w:val="16"/>
          <w:szCs w:val="16"/>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FF32322"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w:t>
      </w:r>
    </w:p>
    <w:p w14:paraId="2D97BB1A" w14:textId="77777777" w:rsidR="00C374F0" w:rsidRPr="003504F6" w:rsidRDefault="00C374F0" w:rsidP="002654C2">
      <w:pPr>
        <w:pStyle w:val="Textonotapie"/>
        <w:spacing w:before="0" w:after="0" w:line="240" w:lineRule="auto"/>
        <w:ind w:firstLine="709"/>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3504F6">
        <w:rPr>
          <w:rFonts w:ascii="Geomanist Light" w:hAnsi="Geomanist Light" w:cs="Arial"/>
          <w:color w:val="000000" w:themeColor="text1"/>
          <w:sz w:val="16"/>
          <w:szCs w:val="16"/>
        </w:rPr>
        <w:softHyphen/>
        <w:t>ficador de Bienes y Servicios en el tercer nivel. Si la constitución del interesado es menor a 3 años, puede acreditar la experiencia de sus accionistas, socios o constituyentes».</w:t>
      </w:r>
    </w:p>
  </w:footnote>
  <w:footnote w:id="8">
    <w:p w14:paraId="46F6C3AD" w14:textId="77777777" w:rsidR="00603C40" w:rsidRPr="003504F6" w:rsidRDefault="00603C40" w:rsidP="00603C40">
      <w:pPr>
        <w:pStyle w:val="Textonotapie"/>
        <w:spacing w:after="0" w:line="240" w:lineRule="auto"/>
        <w:ind w:left="708" w:firstLine="1"/>
        <w:contextualSpacing/>
        <w:rPr>
          <w:rFonts w:ascii="Geomanist Light" w:hAnsi="Geomanist Light" w:cs="Arial"/>
          <w:color w:val="000000" w:themeColor="text1"/>
          <w:sz w:val="16"/>
          <w:szCs w:val="16"/>
        </w:rPr>
      </w:pPr>
      <w:r w:rsidRPr="004B5310">
        <w:rPr>
          <w:rStyle w:val="Refdenotaalpie"/>
          <w:rFonts w:ascii="Arial" w:hAnsi="Arial" w:cs="Arial"/>
          <w:sz w:val="18"/>
          <w:szCs w:val="18"/>
        </w:rPr>
        <w:footnoteRef/>
      </w:r>
      <w:r w:rsidRPr="004B5310">
        <w:rPr>
          <w:rFonts w:ascii="Arial" w:hAnsi="Arial" w:cs="Arial"/>
          <w:sz w:val="18"/>
          <w:szCs w:val="18"/>
        </w:rPr>
        <w:t xml:space="preserve"> </w:t>
      </w:r>
      <w:r w:rsidRPr="003504F6">
        <w:rPr>
          <w:rFonts w:ascii="Geomanist Light" w:hAnsi="Geomanist Light" w:cs="Arial"/>
          <w:color w:val="000000" w:themeColor="text1"/>
          <w:sz w:val="16"/>
          <w:szCs w:val="16"/>
        </w:rPr>
        <w:t>Colombia Compra Eficiente. Concepto del 7 de febrero de 2018, Rad. 2201813000000954.</w:t>
      </w:r>
    </w:p>
    <w:p w14:paraId="03BD8EA1" w14:textId="77777777" w:rsidR="00603C40" w:rsidRPr="004B5310" w:rsidRDefault="00603C40" w:rsidP="00603C40">
      <w:pPr>
        <w:pStyle w:val="Textonotapie"/>
        <w:spacing w:after="0" w:line="240" w:lineRule="auto"/>
        <w:ind w:left="708" w:firstLine="1"/>
        <w:contextualSpacing/>
        <w:rPr>
          <w:rFonts w:ascii="Arial" w:hAnsi="Arial" w:cs="Arial"/>
          <w:sz w:val="18"/>
          <w:szCs w:val="18"/>
        </w:rPr>
      </w:pPr>
    </w:p>
  </w:footnote>
  <w:footnote w:id="9">
    <w:p w14:paraId="1A15749B" w14:textId="77777777" w:rsidR="00603C40" w:rsidRPr="003504F6" w:rsidRDefault="00603C40" w:rsidP="00603C40">
      <w:pPr>
        <w:pStyle w:val="Textocomentario"/>
        <w:ind w:firstLine="708"/>
        <w:contextualSpacing/>
        <w:rPr>
          <w:rFonts w:ascii="Geomanist Light" w:hAnsi="Geomanist Light" w:cs="Arial"/>
          <w:color w:val="000000" w:themeColor="text1"/>
          <w:sz w:val="16"/>
          <w:szCs w:val="16"/>
        </w:rPr>
      </w:pPr>
      <w:r w:rsidRPr="004B5310">
        <w:rPr>
          <w:rStyle w:val="Refdenotaalpie"/>
          <w:rFonts w:ascii="Arial" w:hAnsi="Arial" w:cs="Arial"/>
          <w:sz w:val="18"/>
          <w:szCs w:val="18"/>
        </w:rPr>
        <w:footnoteRef/>
      </w:r>
      <w:r w:rsidRPr="004B5310">
        <w:rPr>
          <w:rFonts w:ascii="Arial" w:hAnsi="Arial" w:cs="Arial"/>
          <w:sz w:val="18"/>
          <w:szCs w:val="18"/>
        </w:rPr>
        <w:t xml:space="preserve"> </w:t>
      </w:r>
      <w:r w:rsidRPr="003504F6">
        <w:rPr>
          <w:rFonts w:ascii="Geomanist Light" w:hAnsi="Geomanist Light" w:cs="Arial"/>
          <w:color w:val="000000" w:themeColor="text1"/>
          <w:sz w:val="16"/>
          <w:szCs w:val="16"/>
        </w:rPr>
        <w:t>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10">
    <w:p w14:paraId="4427280A" w14:textId="77777777" w:rsidR="00603C40" w:rsidRPr="004B5310" w:rsidRDefault="00603C40" w:rsidP="00603C40">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w:t>
      </w:r>
      <w:r w:rsidRPr="003504F6">
        <w:rPr>
          <w:rFonts w:ascii="Geomanist Light" w:hAnsi="Geomanist Light" w:cs="Arial"/>
          <w:color w:val="000000" w:themeColor="text1"/>
          <w:sz w:val="16"/>
          <w:szCs w:val="16"/>
        </w:rPr>
        <w:t>Ver artículos 225 y ss. del Código de Comercio</w:t>
      </w:r>
    </w:p>
  </w:footnote>
  <w:footnote w:id="11">
    <w:p w14:paraId="2D37D748" w14:textId="77777777" w:rsidR="00603C40" w:rsidRPr="003504F6" w:rsidRDefault="00603C40" w:rsidP="00603C40">
      <w:pPr>
        <w:pStyle w:val="Textonotapie"/>
        <w:spacing w:after="0" w:line="240" w:lineRule="auto"/>
        <w:ind w:firstLine="708"/>
        <w:contextualSpacing/>
        <w:rPr>
          <w:rFonts w:ascii="Geomanist Light" w:hAnsi="Geomanist Light" w:cs="Arial"/>
          <w:color w:val="000000" w:themeColor="text1"/>
          <w:sz w:val="16"/>
          <w:szCs w:val="16"/>
        </w:rPr>
      </w:pPr>
      <w:r w:rsidRPr="004B5310">
        <w:rPr>
          <w:rStyle w:val="Refdenotaalpie"/>
          <w:rFonts w:ascii="Arial" w:hAnsi="Arial" w:cs="Arial"/>
          <w:sz w:val="18"/>
          <w:szCs w:val="18"/>
        </w:rPr>
        <w:footnoteRef/>
      </w:r>
      <w:r w:rsidRPr="004B5310">
        <w:rPr>
          <w:rFonts w:ascii="Arial" w:hAnsi="Arial" w:cs="Arial"/>
          <w:sz w:val="18"/>
          <w:szCs w:val="18"/>
        </w:rPr>
        <w:t xml:space="preserve"> </w:t>
      </w:r>
      <w:r w:rsidRPr="003504F6">
        <w:rPr>
          <w:rFonts w:ascii="Geomanist Light" w:hAnsi="Geomanist Light" w:cs="Arial"/>
          <w:color w:val="000000" w:themeColor="text1"/>
          <w:sz w:val="16"/>
          <w:szCs w:val="16"/>
        </w:rPr>
        <w:t>En lo pertinente, la norma dispone que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524AC237" w14:textId="77777777" w:rsidR="00603C40" w:rsidRPr="003504F6" w:rsidRDefault="00603C40" w:rsidP="00603C40">
      <w:pPr>
        <w:pStyle w:val="Textonotapie"/>
        <w:spacing w:after="0" w:line="240" w:lineRule="auto"/>
        <w:ind w:firstLine="708"/>
        <w:contextualSpacing/>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1909A8C0" w14:textId="77777777" w:rsidR="00603C40" w:rsidRPr="003504F6" w:rsidRDefault="00603C40" w:rsidP="00603C40">
      <w:pPr>
        <w:pStyle w:val="Textonotapie"/>
        <w:spacing w:after="0" w:line="240" w:lineRule="auto"/>
        <w:ind w:firstLine="708"/>
        <w:contextualSpacing/>
        <w:rPr>
          <w:rFonts w:ascii="Geomanist Light" w:hAnsi="Geomanist Light" w:cs="Arial"/>
          <w:i/>
          <w:iCs/>
          <w:color w:val="000000" w:themeColor="text1"/>
          <w:sz w:val="16"/>
          <w:szCs w:val="16"/>
        </w:rPr>
      </w:pPr>
      <w:r w:rsidRPr="003504F6">
        <w:rPr>
          <w:rFonts w:ascii="Geomanist Light" w:hAnsi="Geomanist Light" w:cs="Arial"/>
          <w:i/>
          <w:iCs/>
          <w:color w:val="000000" w:themeColor="text1"/>
          <w:sz w:val="16"/>
          <w:szCs w:val="16"/>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229B8F64" w14:textId="77777777" w:rsidR="00603C40" w:rsidRPr="003504F6" w:rsidRDefault="00603C40" w:rsidP="005C6271">
      <w:pPr>
        <w:pStyle w:val="Textonotapie"/>
        <w:spacing w:after="0" w:line="240" w:lineRule="auto"/>
        <w:ind w:firstLine="708"/>
        <w:contextualSpacing/>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44D8A74D" w14:textId="77777777" w:rsidR="00603C40" w:rsidRPr="003504F6" w:rsidRDefault="00603C40" w:rsidP="005C6271">
      <w:pPr>
        <w:pStyle w:val="Textonotapie"/>
        <w:spacing w:after="0" w:line="240" w:lineRule="auto"/>
        <w:ind w:firstLine="708"/>
        <w:contextualSpacing/>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Las mismas sanciones previstas en el inciso anterior se predicarán en el evento en que el Juez de lo Contencioso Administrativa declare la nulidad del acto de inscripción.</w:t>
      </w:r>
    </w:p>
    <w:p w14:paraId="2A51480F" w14:textId="34AE27BB" w:rsidR="00603C40" w:rsidRPr="005C6271" w:rsidRDefault="00603C40" w:rsidP="005C6271">
      <w:pPr>
        <w:pStyle w:val="Textonotapie"/>
        <w:spacing w:after="0" w:line="240" w:lineRule="auto"/>
        <w:ind w:firstLine="708"/>
        <w:contextualSpacing/>
        <w:rPr>
          <w:rFonts w:ascii="Geomanist Light" w:hAnsi="Geomanist Light" w:cs="Arial"/>
          <w:color w:val="000000" w:themeColor="text1"/>
          <w:sz w:val="16"/>
          <w:szCs w:val="16"/>
        </w:rPr>
      </w:pPr>
      <w:r w:rsidRPr="003504F6">
        <w:rPr>
          <w:rFonts w:ascii="Geomanist Light" w:hAnsi="Geomanist Light" w:cs="Arial"/>
          <w:color w:val="000000" w:themeColor="text1"/>
          <w:sz w:val="16"/>
          <w:szCs w:val="16"/>
        </w:rPr>
        <w:t>La información contenida en el registro es pública y su consulta será gratuita» (Énfasis fuera de texto).</w:t>
      </w:r>
    </w:p>
  </w:footnote>
  <w:footnote w:id="12">
    <w:p w14:paraId="6E6038F1" w14:textId="3BD72545" w:rsidR="005C6271" w:rsidRPr="005C6271" w:rsidRDefault="00964AF8" w:rsidP="005C6271">
      <w:pPr>
        <w:pStyle w:val="Textonotapie"/>
        <w:spacing w:line="240" w:lineRule="auto"/>
        <w:ind w:firstLine="708"/>
        <w:rPr>
          <w:rFonts w:ascii="Geomanist Light" w:hAnsi="Geomanist Light" w:cs="Arial"/>
          <w:color w:val="000000" w:themeColor="text1"/>
          <w:sz w:val="16"/>
          <w:szCs w:val="16"/>
        </w:rPr>
      </w:pPr>
      <w:r>
        <w:rPr>
          <w:rStyle w:val="Refdenotaalpie"/>
        </w:rPr>
        <w:footnoteRef/>
      </w:r>
      <w:r w:rsidR="005C6271">
        <w:t xml:space="preserve"> </w:t>
      </w:r>
      <w:r w:rsidR="004225D9" w:rsidRPr="00674F99">
        <w:rPr>
          <w:rFonts w:ascii="Arial" w:hAnsi="Arial" w:cs="Arial"/>
          <w:sz w:val="19"/>
          <w:szCs w:val="19"/>
        </w:rPr>
        <w:t>«</w:t>
      </w:r>
      <w:r w:rsidR="005C6271" w:rsidRPr="005C6271">
        <w:rPr>
          <w:rFonts w:ascii="Geomanist Light" w:hAnsi="Geomanist Light" w:cs="Arial"/>
          <w:color w:val="000000" w:themeColor="text1"/>
          <w:sz w:val="16"/>
          <w:szCs w:val="16"/>
        </w:rPr>
        <w:t>ARTÍCULO 98. CONTRATO DE SOCIEDAD - CONCEPTO - PERSONA JURÍDICA DISTINTA. Por el contrato de sociedad dos o más personas se obligan a hacer un aporte en dinero, en trabajo o en otros bienes apreciables en dinero, con el fin de repartirse entre sí las utilidades obtenidas en la empresa o actividad social.</w:t>
      </w:r>
    </w:p>
    <w:p w14:paraId="4CF6621E" w14:textId="31273C9E" w:rsidR="005C6271" w:rsidRPr="005C6271" w:rsidRDefault="005C6271" w:rsidP="005C6271">
      <w:pPr>
        <w:pStyle w:val="Textonotapie"/>
        <w:spacing w:line="240" w:lineRule="auto"/>
        <w:ind w:firstLine="708"/>
      </w:pPr>
      <w:r w:rsidRPr="005C6271">
        <w:rPr>
          <w:rFonts w:ascii="Geomanist Light" w:hAnsi="Geomanist Light" w:cs="Arial"/>
          <w:color w:val="000000" w:themeColor="text1"/>
          <w:sz w:val="16"/>
          <w:szCs w:val="16"/>
        </w:rPr>
        <w:t>La sociedad, una vez constituida legalmente, forma una persona jurídica distinta de los socios individualmente considerados</w:t>
      </w:r>
      <w:r w:rsidR="004225D9" w:rsidRPr="003504F6">
        <w:rPr>
          <w:rFonts w:ascii="Geomanist Light" w:hAnsi="Geomanist Light" w:cs="Arial"/>
          <w:color w:val="000000" w:themeColor="text1"/>
          <w:sz w:val="16"/>
          <w:szCs w:val="16"/>
        </w:rPr>
        <w:t>»</w:t>
      </w:r>
    </w:p>
  </w:footnote>
  <w:footnote w:id="13">
    <w:p w14:paraId="4A14F519" w14:textId="47BD8BE0" w:rsidR="005C6271" w:rsidRPr="005C6271" w:rsidRDefault="005C6271" w:rsidP="005C6271">
      <w:pPr>
        <w:pStyle w:val="Textonotapie"/>
        <w:spacing w:line="240" w:lineRule="auto"/>
        <w:ind w:firstLine="708"/>
        <w:rPr>
          <w:rFonts w:ascii="Geomanist Light" w:hAnsi="Geomanist Light" w:cs="Arial"/>
          <w:color w:val="000000" w:themeColor="text1"/>
          <w:sz w:val="16"/>
          <w:szCs w:val="16"/>
        </w:rPr>
      </w:pPr>
      <w:r>
        <w:rPr>
          <w:rStyle w:val="Refdenotaalpie"/>
        </w:rPr>
        <w:footnoteRef/>
      </w:r>
      <w:r w:rsidR="004225D9" w:rsidRPr="00674F99">
        <w:rPr>
          <w:rFonts w:ascii="Arial" w:hAnsi="Arial" w:cs="Arial"/>
          <w:sz w:val="19"/>
          <w:szCs w:val="19"/>
        </w:rPr>
        <w:t>«</w:t>
      </w:r>
      <w:r w:rsidRPr="005C6271">
        <w:rPr>
          <w:rFonts w:ascii="Geomanist Light" w:hAnsi="Geomanist Light" w:cs="Arial"/>
          <w:color w:val="000000" w:themeColor="text1"/>
          <w:sz w:val="16"/>
          <w:szCs w:val="16"/>
        </w:rPr>
        <w:t>ARTÍCULO 110. REQUISITOS PARA LA CONSTITUCIÓN DE UNA SOCIEDAD. La sociedad comercial se constituirá por escritura pública en la cual se expresará:</w:t>
      </w:r>
    </w:p>
    <w:p w14:paraId="436E3336" w14:textId="341238C4" w:rsidR="005C6271" w:rsidRPr="005C6271" w:rsidRDefault="005C6271" w:rsidP="005C6271">
      <w:pPr>
        <w:pStyle w:val="Textonotapie"/>
        <w:spacing w:line="240" w:lineRule="auto"/>
        <w:ind w:firstLine="708"/>
        <w:rPr>
          <w:rFonts w:ascii="Geomanist Light" w:hAnsi="Geomanist Light" w:cs="Arial"/>
          <w:color w:val="000000" w:themeColor="text1"/>
          <w:sz w:val="16"/>
          <w:szCs w:val="16"/>
        </w:rPr>
      </w:pPr>
      <w:r w:rsidRPr="005C6271">
        <w:rPr>
          <w:rFonts w:ascii="Geomanist Light" w:hAnsi="Geomanist Light" w:cs="Arial"/>
          <w:color w:val="000000" w:themeColor="text1"/>
          <w:sz w:val="16"/>
          <w:szCs w:val="16"/>
        </w:rPr>
        <w:t>1) El nombre y domicilio de las personas que intervengan como otorgantes. Con el nombre de las personas naturales deberá indicarse su nacionalidad y documento de identificación legal; con el nombre de las personas jurídicas, la ley, decreto o escritura de que se deriva su existencia;</w:t>
      </w:r>
      <w:r>
        <w:rPr>
          <w:rFonts w:ascii="Geomanist Light" w:hAnsi="Geomanist Light" w:cs="Arial"/>
          <w:color w:val="000000" w:themeColor="text1"/>
          <w:sz w:val="16"/>
          <w:szCs w:val="16"/>
        </w:rPr>
        <w:t>[…]</w:t>
      </w:r>
      <w:r w:rsidR="004225D9" w:rsidRPr="004225D9">
        <w:rPr>
          <w:rFonts w:ascii="Geomanist Light" w:hAnsi="Geomanist Light" w:cs="Arial"/>
          <w:color w:val="000000" w:themeColor="text1"/>
          <w:sz w:val="16"/>
          <w:szCs w:val="16"/>
        </w:rPr>
        <w:t xml:space="preserve"> </w:t>
      </w:r>
      <w:r w:rsidR="004225D9" w:rsidRPr="003504F6">
        <w:rPr>
          <w:rFonts w:ascii="Geomanist Light" w:hAnsi="Geomanist Light" w:cs="Arial"/>
          <w:color w:val="000000" w:themeColor="text1"/>
          <w:sz w:val="16"/>
          <w:szCs w:val="16"/>
        </w:rPr>
        <w:t>»</w:t>
      </w:r>
      <w:r>
        <w:t xml:space="preserve"> </w:t>
      </w:r>
    </w:p>
  </w:footnote>
  <w:footnote w:id="14">
    <w:p w14:paraId="3BE7933A" w14:textId="4DABF8F9" w:rsidR="005C6271" w:rsidRDefault="005C6271" w:rsidP="004225D9">
      <w:pPr>
        <w:ind w:firstLine="708"/>
        <w:jc w:val="both"/>
        <w:rPr>
          <w:rFonts w:ascii="Geomanist Light" w:eastAsiaTheme="minorHAnsi" w:hAnsi="Geomanist Light" w:cs="Arial"/>
          <w:color w:val="000000" w:themeColor="text1"/>
          <w:sz w:val="16"/>
          <w:szCs w:val="16"/>
          <w:lang w:val="es-MX" w:eastAsia="en-US"/>
        </w:rPr>
      </w:pPr>
      <w:r>
        <w:rPr>
          <w:rStyle w:val="Refdenotaalpie"/>
        </w:rPr>
        <w:footnoteRef/>
      </w:r>
      <w:r>
        <w:t xml:space="preserve"> </w:t>
      </w:r>
      <w:r w:rsidR="004225D9" w:rsidRPr="00674F99">
        <w:rPr>
          <w:rFonts w:ascii="Arial" w:hAnsi="Arial" w:cs="Arial"/>
          <w:sz w:val="19"/>
          <w:szCs w:val="19"/>
        </w:rPr>
        <w:t>«</w:t>
      </w:r>
      <w:r w:rsidRPr="005C6271">
        <w:rPr>
          <w:rFonts w:ascii="Geomanist Light" w:eastAsiaTheme="minorHAnsi" w:hAnsi="Geomanist Light" w:cs="Arial"/>
          <w:color w:val="000000" w:themeColor="text1"/>
          <w:sz w:val="16"/>
          <w:szCs w:val="16"/>
          <w:lang w:val="es-MX" w:eastAsia="en-US"/>
        </w:rPr>
        <w:t>Artículo 1°. Constitución. La sociedad por acciones simplificada podrá constituirse por una o varias personas naturales o jurídicas, quienes sólo serán responsables hasta el monto de sus respectivos aportes.</w:t>
      </w:r>
    </w:p>
    <w:p w14:paraId="293097D7" w14:textId="77777777" w:rsidR="004225D9" w:rsidRDefault="005C6271" w:rsidP="004225D9">
      <w:pPr>
        <w:jc w:val="both"/>
        <w:rPr>
          <w:rFonts w:ascii="Geomanist Light" w:eastAsiaTheme="minorHAnsi" w:hAnsi="Geomanist Light" w:cs="Arial"/>
          <w:color w:val="000000" w:themeColor="text1"/>
          <w:sz w:val="16"/>
          <w:szCs w:val="16"/>
          <w:lang w:val="es-MX" w:eastAsia="en-US"/>
        </w:rPr>
      </w:pPr>
      <w:r>
        <w:rPr>
          <w:rFonts w:ascii="Geomanist Light" w:eastAsiaTheme="minorHAnsi" w:hAnsi="Geomanist Light" w:cs="Arial"/>
          <w:color w:val="000000" w:themeColor="text1"/>
          <w:sz w:val="16"/>
          <w:szCs w:val="16"/>
          <w:lang w:val="es-MX" w:eastAsia="en-US"/>
        </w:rPr>
        <w:t>[…]</w:t>
      </w:r>
    </w:p>
    <w:p w14:paraId="4F65F95C" w14:textId="7D405CAF" w:rsidR="005C6271" w:rsidRPr="005C6271" w:rsidRDefault="004225D9" w:rsidP="004225D9">
      <w:pPr>
        <w:ind w:firstLine="708"/>
        <w:jc w:val="both"/>
        <w:rPr>
          <w:rFonts w:ascii="Geomanist Light" w:eastAsiaTheme="minorHAnsi" w:hAnsi="Geomanist Light" w:cs="Arial"/>
          <w:color w:val="000000" w:themeColor="text1"/>
          <w:sz w:val="16"/>
          <w:szCs w:val="16"/>
          <w:lang w:val="es-MX" w:eastAsia="en-US"/>
        </w:rPr>
      </w:pPr>
      <w:r w:rsidRPr="00674F99">
        <w:rPr>
          <w:rFonts w:ascii="Arial" w:hAnsi="Arial" w:cs="Arial"/>
          <w:sz w:val="19"/>
          <w:szCs w:val="19"/>
        </w:rPr>
        <w:t>«</w:t>
      </w:r>
      <w:r w:rsidR="005C6271" w:rsidRPr="005C6271">
        <w:rPr>
          <w:rFonts w:ascii="Geomanist Light" w:eastAsiaTheme="minorHAnsi" w:hAnsi="Geomanist Light" w:cs="Arial"/>
          <w:color w:val="000000" w:themeColor="text1"/>
          <w:sz w:val="16"/>
          <w:szCs w:val="16"/>
          <w:lang w:val="es-MX" w:eastAsia="en-US"/>
        </w:rPr>
        <w:t>Artículo 5°. Contenido del documento de constitución. La sociedad por acciones simplificada se creará mediante contrato o acto unilateral que conste en documento privado, inscrito en el Registro Mercantil de la Cámara de Comercio del lugar en que la sociedad establezca su domicilio principal, en el cual se expresará cuando menos lo siguiente:</w:t>
      </w:r>
    </w:p>
    <w:p w14:paraId="161C1E42" w14:textId="257D14AA" w:rsidR="005C6271" w:rsidRPr="005C6271" w:rsidRDefault="005C6271" w:rsidP="005C6271">
      <w:pPr>
        <w:pStyle w:val="Textonotapie"/>
        <w:spacing w:line="240" w:lineRule="auto"/>
        <w:rPr>
          <w:rFonts w:ascii="Geomanist Light" w:hAnsi="Geomanist Light" w:cs="Arial"/>
          <w:color w:val="000000" w:themeColor="text1"/>
          <w:sz w:val="16"/>
          <w:szCs w:val="16"/>
        </w:rPr>
      </w:pPr>
      <w:r w:rsidRPr="005C6271">
        <w:rPr>
          <w:rFonts w:ascii="Geomanist Light" w:hAnsi="Geomanist Light" w:cs="Arial"/>
          <w:color w:val="000000" w:themeColor="text1"/>
          <w:sz w:val="16"/>
          <w:szCs w:val="16"/>
        </w:rPr>
        <w:t>1°. Nombre, documento de identidad y domicilio de los accionistas.</w:t>
      </w:r>
      <w:r>
        <w:rPr>
          <w:rFonts w:ascii="Geomanist Light" w:hAnsi="Geomanist Light" w:cs="Arial"/>
          <w:color w:val="000000" w:themeColor="text1"/>
          <w:sz w:val="16"/>
          <w:szCs w:val="16"/>
        </w:rPr>
        <w:t>[…]</w:t>
      </w:r>
      <w:r w:rsidR="004225D9" w:rsidRPr="003504F6">
        <w:rPr>
          <w:rFonts w:ascii="Geomanist Light" w:hAnsi="Geomanist Light" w:cs="Arial"/>
          <w:color w:val="000000" w:themeColor="text1"/>
          <w:sz w:val="16"/>
          <w:szCs w:val="16"/>
        </w:rPr>
        <w:t>»</w:t>
      </w:r>
    </w:p>
    <w:p w14:paraId="6616DDB7" w14:textId="3E07EA1E" w:rsidR="005C6271" w:rsidRPr="005C6271" w:rsidRDefault="005C6271">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C3D00D2" w:rsidR="00EF64D8" w:rsidRDefault="003F1F31">
    <w:pPr>
      <w:pStyle w:val="Encabezado"/>
    </w:pPr>
    <w:r>
      <w:rPr>
        <w:noProof/>
      </w:rPr>
      <w:drawing>
        <wp:anchor distT="0" distB="0" distL="114300" distR="114300" simplePos="0" relativeHeight="251663360" behindDoc="0" locked="0" layoutInCell="1" allowOverlap="1" wp14:anchorId="00E71BEE" wp14:editId="13505788">
          <wp:simplePos x="0" y="0"/>
          <wp:positionH relativeFrom="margin">
            <wp:posOffset>4561721</wp:posOffset>
          </wp:positionH>
          <wp:positionV relativeFrom="paragraph">
            <wp:posOffset>8883</wp:posOffset>
          </wp:positionV>
          <wp:extent cx="1552596" cy="644579"/>
          <wp:effectExtent l="0" t="0" r="0" b="3175"/>
          <wp:wrapNone/>
          <wp:docPr id="358603841" name="Imagen 35860384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52596" cy="6445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184629416">
    <w:abstractNumId w:val="5"/>
  </w:num>
  <w:num w:numId="2" w16cid:durableId="721247626">
    <w:abstractNumId w:val="4"/>
  </w:num>
  <w:num w:numId="3" w16cid:durableId="1914506477">
    <w:abstractNumId w:val="6"/>
  </w:num>
  <w:num w:numId="4" w16cid:durableId="1024556295">
    <w:abstractNumId w:val="7"/>
  </w:num>
  <w:num w:numId="5" w16cid:durableId="1742827919">
    <w:abstractNumId w:val="9"/>
  </w:num>
  <w:num w:numId="6" w16cid:durableId="7584485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101134">
    <w:abstractNumId w:val="8"/>
  </w:num>
  <w:num w:numId="8" w16cid:durableId="897320698">
    <w:abstractNumId w:val="2"/>
  </w:num>
  <w:num w:numId="9" w16cid:durableId="1407918252">
    <w:abstractNumId w:val="1"/>
  </w:num>
  <w:num w:numId="10" w16cid:durableId="107513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3F7C"/>
    <w:rsid w:val="00015E80"/>
    <w:rsid w:val="00015F78"/>
    <w:rsid w:val="000169A0"/>
    <w:rsid w:val="00016D26"/>
    <w:rsid w:val="00016D2E"/>
    <w:rsid w:val="00017253"/>
    <w:rsid w:val="000205F1"/>
    <w:rsid w:val="000210DF"/>
    <w:rsid w:val="0002271C"/>
    <w:rsid w:val="000229A9"/>
    <w:rsid w:val="00023CD9"/>
    <w:rsid w:val="00024653"/>
    <w:rsid w:val="000250F6"/>
    <w:rsid w:val="000268E2"/>
    <w:rsid w:val="000300C6"/>
    <w:rsid w:val="00032A51"/>
    <w:rsid w:val="00033C14"/>
    <w:rsid w:val="00033D8C"/>
    <w:rsid w:val="00034398"/>
    <w:rsid w:val="00034663"/>
    <w:rsid w:val="00040044"/>
    <w:rsid w:val="000414BE"/>
    <w:rsid w:val="000432DF"/>
    <w:rsid w:val="0004338C"/>
    <w:rsid w:val="00044D8C"/>
    <w:rsid w:val="00050C64"/>
    <w:rsid w:val="0005181E"/>
    <w:rsid w:val="00053136"/>
    <w:rsid w:val="00054817"/>
    <w:rsid w:val="00055CC5"/>
    <w:rsid w:val="000641A8"/>
    <w:rsid w:val="0006467C"/>
    <w:rsid w:val="0006474E"/>
    <w:rsid w:val="00065205"/>
    <w:rsid w:val="00071132"/>
    <w:rsid w:val="00071351"/>
    <w:rsid w:val="000716B2"/>
    <w:rsid w:val="0007405A"/>
    <w:rsid w:val="00074BEE"/>
    <w:rsid w:val="00075128"/>
    <w:rsid w:val="00076B31"/>
    <w:rsid w:val="00084B97"/>
    <w:rsid w:val="0008631C"/>
    <w:rsid w:val="00086D8D"/>
    <w:rsid w:val="000877B5"/>
    <w:rsid w:val="000902BC"/>
    <w:rsid w:val="00091AC6"/>
    <w:rsid w:val="00092617"/>
    <w:rsid w:val="00092B6A"/>
    <w:rsid w:val="000942EB"/>
    <w:rsid w:val="000943FC"/>
    <w:rsid w:val="000A4DD7"/>
    <w:rsid w:val="000B076C"/>
    <w:rsid w:val="000B0E61"/>
    <w:rsid w:val="000B103F"/>
    <w:rsid w:val="000B2D9A"/>
    <w:rsid w:val="000B5C13"/>
    <w:rsid w:val="000C12D7"/>
    <w:rsid w:val="000C1515"/>
    <w:rsid w:val="000C3232"/>
    <w:rsid w:val="000C394F"/>
    <w:rsid w:val="000C4E3E"/>
    <w:rsid w:val="000C5D99"/>
    <w:rsid w:val="000D1837"/>
    <w:rsid w:val="000D25BC"/>
    <w:rsid w:val="000D3BEB"/>
    <w:rsid w:val="000D7A0F"/>
    <w:rsid w:val="000E0DED"/>
    <w:rsid w:val="000E3909"/>
    <w:rsid w:val="000E6563"/>
    <w:rsid w:val="000F091C"/>
    <w:rsid w:val="000F14E8"/>
    <w:rsid w:val="000F284A"/>
    <w:rsid w:val="000F2AA2"/>
    <w:rsid w:val="000F4695"/>
    <w:rsid w:val="000F7FC3"/>
    <w:rsid w:val="00100D69"/>
    <w:rsid w:val="00101018"/>
    <w:rsid w:val="00103915"/>
    <w:rsid w:val="00104400"/>
    <w:rsid w:val="001072DB"/>
    <w:rsid w:val="00110CE1"/>
    <w:rsid w:val="0011178C"/>
    <w:rsid w:val="00111AC0"/>
    <w:rsid w:val="00111CDF"/>
    <w:rsid w:val="001124EB"/>
    <w:rsid w:val="00114327"/>
    <w:rsid w:val="00114900"/>
    <w:rsid w:val="0011520A"/>
    <w:rsid w:val="001155B8"/>
    <w:rsid w:val="00116C84"/>
    <w:rsid w:val="0011766B"/>
    <w:rsid w:val="00117B1C"/>
    <w:rsid w:val="00117B49"/>
    <w:rsid w:val="00120D67"/>
    <w:rsid w:val="00120E77"/>
    <w:rsid w:val="001214BC"/>
    <w:rsid w:val="00122B23"/>
    <w:rsid w:val="00122B9A"/>
    <w:rsid w:val="00122BF5"/>
    <w:rsid w:val="00124A82"/>
    <w:rsid w:val="00125B36"/>
    <w:rsid w:val="00130457"/>
    <w:rsid w:val="00133F8F"/>
    <w:rsid w:val="00134D65"/>
    <w:rsid w:val="0013770F"/>
    <w:rsid w:val="001377EC"/>
    <w:rsid w:val="00137E66"/>
    <w:rsid w:val="00137FFA"/>
    <w:rsid w:val="0014071F"/>
    <w:rsid w:val="00141B41"/>
    <w:rsid w:val="00141CCA"/>
    <w:rsid w:val="0014214B"/>
    <w:rsid w:val="00142560"/>
    <w:rsid w:val="001429C2"/>
    <w:rsid w:val="00143D03"/>
    <w:rsid w:val="00150CB3"/>
    <w:rsid w:val="00151129"/>
    <w:rsid w:val="00151936"/>
    <w:rsid w:val="00155B3D"/>
    <w:rsid w:val="00155C13"/>
    <w:rsid w:val="00161A37"/>
    <w:rsid w:val="0016272C"/>
    <w:rsid w:val="001643A4"/>
    <w:rsid w:val="00165347"/>
    <w:rsid w:val="00165995"/>
    <w:rsid w:val="00171685"/>
    <w:rsid w:val="001761E1"/>
    <w:rsid w:val="00180188"/>
    <w:rsid w:val="001824DD"/>
    <w:rsid w:val="00182880"/>
    <w:rsid w:val="00182A86"/>
    <w:rsid w:val="00182EEE"/>
    <w:rsid w:val="001901E4"/>
    <w:rsid w:val="00190961"/>
    <w:rsid w:val="00191C4D"/>
    <w:rsid w:val="00192CE0"/>
    <w:rsid w:val="00194760"/>
    <w:rsid w:val="00197BB3"/>
    <w:rsid w:val="001A0A19"/>
    <w:rsid w:val="001A0E7A"/>
    <w:rsid w:val="001A1753"/>
    <w:rsid w:val="001A45F2"/>
    <w:rsid w:val="001A78DE"/>
    <w:rsid w:val="001A7FD7"/>
    <w:rsid w:val="001B0444"/>
    <w:rsid w:val="001B2F08"/>
    <w:rsid w:val="001C01AF"/>
    <w:rsid w:val="001C24BF"/>
    <w:rsid w:val="001C47C8"/>
    <w:rsid w:val="001C6F95"/>
    <w:rsid w:val="001C763E"/>
    <w:rsid w:val="001D17C2"/>
    <w:rsid w:val="001D2F93"/>
    <w:rsid w:val="001D30D8"/>
    <w:rsid w:val="001D567B"/>
    <w:rsid w:val="001D5A11"/>
    <w:rsid w:val="001D612F"/>
    <w:rsid w:val="001E01F9"/>
    <w:rsid w:val="001E074F"/>
    <w:rsid w:val="001E1959"/>
    <w:rsid w:val="001E1EEE"/>
    <w:rsid w:val="001E2866"/>
    <w:rsid w:val="001E7D79"/>
    <w:rsid w:val="001F4F5C"/>
    <w:rsid w:val="001F5388"/>
    <w:rsid w:val="001F5745"/>
    <w:rsid w:val="001F6290"/>
    <w:rsid w:val="001F6378"/>
    <w:rsid w:val="001F7341"/>
    <w:rsid w:val="001F77B3"/>
    <w:rsid w:val="0020001F"/>
    <w:rsid w:val="00200651"/>
    <w:rsid w:val="002025CC"/>
    <w:rsid w:val="00204675"/>
    <w:rsid w:val="00205185"/>
    <w:rsid w:val="00205753"/>
    <w:rsid w:val="00205CAE"/>
    <w:rsid w:val="0020632A"/>
    <w:rsid w:val="002076CC"/>
    <w:rsid w:val="00210A2D"/>
    <w:rsid w:val="00210DF2"/>
    <w:rsid w:val="002110EB"/>
    <w:rsid w:val="00211338"/>
    <w:rsid w:val="00213541"/>
    <w:rsid w:val="0021518A"/>
    <w:rsid w:val="00215B97"/>
    <w:rsid w:val="00216AEE"/>
    <w:rsid w:val="00216E64"/>
    <w:rsid w:val="002177D9"/>
    <w:rsid w:val="00217988"/>
    <w:rsid w:val="00217C7F"/>
    <w:rsid w:val="00220120"/>
    <w:rsid w:val="00220E20"/>
    <w:rsid w:val="002270C0"/>
    <w:rsid w:val="002309D1"/>
    <w:rsid w:val="00230F89"/>
    <w:rsid w:val="002310EE"/>
    <w:rsid w:val="00233909"/>
    <w:rsid w:val="002339D3"/>
    <w:rsid w:val="00233BF2"/>
    <w:rsid w:val="00234113"/>
    <w:rsid w:val="00234B84"/>
    <w:rsid w:val="002364D4"/>
    <w:rsid w:val="0023691B"/>
    <w:rsid w:val="002379B1"/>
    <w:rsid w:val="002409B6"/>
    <w:rsid w:val="002411AD"/>
    <w:rsid w:val="002456DB"/>
    <w:rsid w:val="00246944"/>
    <w:rsid w:val="0025069C"/>
    <w:rsid w:val="0025151A"/>
    <w:rsid w:val="00252A7B"/>
    <w:rsid w:val="002534F1"/>
    <w:rsid w:val="002538B5"/>
    <w:rsid w:val="00254711"/>
    <w:rsid w:val="00255215"/>
    <w:rsid w:val="00255D2C"/>
    <w:rsid w:val="002576FD"/>
    <w:rsid w:val="002627A8"/>
    <w:rsid w:val="0026362F"/>
    <w:rsid w:val="00263755"/>
    <w:rsid w:val="0026403D"/>
    <w:rsid w:val="002647F7"/>
    <w:rsid w:val="00264E94"/>
    <w:rsid w:val="002654C1"/>
    <w:rsid w:val="002654C2"/>
    <w:rsid w:val="0026616C"/>
    <w:rsid w:val="00267A47"/>
    <w:rsid w:val="00267DDA"/>
    <w:rsid w:val="002708A2"/>
    <w:rsid w:val="00271043"/>
    <w:rsid w:val="002737FD"/>
    <w:rsid w:val="00273E83"/>
    <w:rsid w:val="00285503"/>
    <w:rsid w:val="00285AC8"/>
    <w:rsid w:val="00285AC9"/>
    <w:rsid w:val="00286089"/>
    <w:rsid w:val="00287343"/>
    <w:rsid w:val="00287741"/>
    <w:rsid w:val="00290E9F"/>
    <w:rsid w:val="002914E1"/>
    <w:rsid w:val="00291C4F"/>
    <w:rsid w:val="002938BD"/>
    <w:rsid w:val="00293BBD"/>
    <w:rsid w:val="002941C6"/>
    <w:rsid w:val="002A3C35"/>
    <w:rsid w:val="002A5409"/>
    <w:rsid w:val="002A5498"/>
    <w:rsid w:val="002A5F87"/>
    <w:rsid w:val="002B07DA"/>
    <w:rsid w:val="002B3433"/>
    <w:rsid w:val="002B41FB"/>
    <w:rsid w:val="002B55C7"/>
    <w:rsid w:val="002C1B31"/>
    <w:rsid w:val="002C216A"/>
    <w:rsid w:val="002C28E1"/>
    <w:rsid w:val="002C2D1E"/>
    <w:rsid w:val="002C32E1"/>
    <w:rsid w:val="002C40FB"/>
    <w:rsid w:val="002C44F5"/>
    <w:rsid w:val="002C4C0C"/>
    <w:rsid w:val="002C6821"/>
    <w:rsid w:val="002D10C4"/>
    <w:rsid w:val="002D155C"/>
    <w:rsid w:val="002D2CD0"/>
    <w:rsid w:val="002D481A"/>
    <w:rsid w:val="002D65E2"/>
    <w:rsid w:val="002D7275"/>
    <w:rsid w:val="002E06A1"/>
    <w:rsid w:val="002E7979"/>
    <w:rsid w:val="002F334B"/>
    <w:rsid w:val="002F4470"/>
    <w:rsid w:val="002F7BD7"/>
    <w:rsid w:val="003033BA"/>
    <w:rsid w:val="00304580"/>
    <w:rsid w:val="0030589C"/>
    <w:rsid w:val="00306C30"/>
    <w:rsid w:val="00307067"/>
    <w:rsid w:val="003073C0"/>
    <w:rsid w:val="003078D7"/>
    <w:rsid w:val="003108EF"/>
    <w:rsid w:val="00310A63"/>
    <w:rsid w:val="003115AD"/>
    <w:rsid w:val="0031206F"/>
    <w:rsid w:val="00312204"/>
    <w:rsid w:val="00312D89"/>
    <w:rsid w:val="00316214"/>
    <w:rsid w:val="00321018"/>
    <w:rsid w:val="00322937"/>
    <w:rsid w:val="0032350A"/>
    <w:rsid w:val="003238A9"/>
    <w:rsid w:val="00327549"/>
    <w:rsid w:val="003276ED"/>
    <w:rsid w:val="00327CEB"/>
    <w:rsid w:val="00334638"/>
    <w:rsid w:val="003404C6"/>
    <w:rsid w:val="0034177C"/>
    <w:rsid w:val="003429F6"/>
    <w:rsid w:val="00345705"/>
    <w:rsid w:val="0034680A"/>
    <w:rsid w:val="003504F6"/>
    <w:rsid w:val="00350DA7"/>
    <w:rsid w:val="00353DD5"/>
    <w:rsid w:val="00353EE8"/>
    <w:rsid w:val="00355084"/>
    <w:rsid w:val="00355E8C"/>
    <w:rsid w:val="00357167"/>
    <w:rsid w:val="00361495"/>
    <w:rsid w:val="00364EF6"/>
    <w:rsid w:val="003652E7"/>
    <w:rsid w:val="00365411"/>
    <w:rsid w:val="00366283"/>
    <w:rsid w:val="00366693"/>
    <w:rsid w:val="003736FB"/>
    <w:rsid w:val="003754D2"/>
    <w:rsid w:val="00375B7B"/>
    <w:rsid w:val="00376930"/>
    <w:rsid w:val="00381C32"/>
    <w:rsid w:val="00384C43"/>
    <w:rsid w:val="00385CF3"/>
    <w:rsid w:val="00386456"/>
    <w:rsid w:val="003901B3"/>
    <w:rsid w:val="003903B0"/>
    <w:rsid w:val="00390C02"/>
    <w:rsid w:val="003912A3"/>
    <w:rsid w:val="0039143D"/>
    <w:rsid w:val="003949EE"/>
    <w:rsid w:val="003964D5"/>
    <w:rsid w:val="003A0878"/>
    <w:rsid w:val="003A581E"/>
    <w:rsid w:val="003A5E90"/>
    <w:rsid w:val="003A6751"/>
    <w:rsid w:val="003A7F89"/>
    <w:rsid w:val="003B027A"/>
    <w:rsid w:val="003B267F"/>
    <w:rsid w:val="003B372E"/>
    <w:rsid w:val="003B43DB"/>
    <w:rsid w:val="003B49DA"/>
    <w:rsid w:val="003B6A70"/>
    <w:rsid w:val="003B73DE"/>
    <w:rsid w:val="003C01B1"/>
    <w:rsid w:val="003C75FC"/>
    <w:rsid w:val="003D1BE9"/>
    <w:rsid w:val="003D1E38"/>
    <w:rsid w:val="003D33FF"/>
    <w:rsid w:val="003D3D29"/>
    <w:rsid w:val="003D3D9D"/>
    <w:rsid w:val="003D43B0"/>
    <w:rsid w:val="003D45AC"/>
    <w:rsid w:val="003D527E"/>
    <w:rsid w:val="003D7E29"/>
    <w:rsid w:val="003E0D9E"/>
    <w:rsid w:val="003E0E0A"/>
    <w:rsid w:val="003E1992"/>
    <w:rsid w:val="003E6423"/>
    <w:rsid w:val="003F00C3"/>
    <w:rsid w:val="003F18DE"/>
    <w:rsid w:val="003F1F31"/>
    <w:rsid w:val="003F764A"/>
    <w:rsid w:val="0040246E"/>
    <w:rsid w:val="004030F2"/>
    <w:rsid w:val="00406251"/>
    <w:rsid w:val="0040799E"/>
    <w:rsid w:val="00412D07"/>
    <w:rsid w:val="00413C8D"/>
    <w:rsid w:val="00413E61"/>
    <w:rsid w:val="00414152"/>
    <w:rsid w:val="00415DDE"/>
    <w:rsid w:val="00416308"/>
    <w:rsid w:val="00416996"/>
    <w:rsid w:val="00421624"/>
    <w:rsid w:val="00421DF6"/>
    <w:rsid w:val="004225D9"/>
    <w:rsid w:val="004228D3"/>
    <w:rsid w:val="00423F66"/>
    <w:rsid w:val="00423F9F"/>
    <w:rsid w:val="004252BB"/>
    <w:rsid w:val="00425FD7"/>
    <w:rsid w:val="00427F2F"/>
    <w:rsid w:val="00430D86"/>
    <w:rsid w:val="00430F08"/>
    <w:rsid w:val="00432AD1"/>
    <w:rsid w:val="00432B52"/>
    <w:rsid w:val="00433494"/>
    <w:rsid w:val="00434140"/>
    <w:rsid w:val="00435826"/>
    <w:rsid w:val="0043612C"/>
    <w:rsid w:val="004376B9"/>
    <w:rsid w:val="00437BA7"/>
    <w:rsid w:val="00440848"/>
    <w:rsid w:val="004422D6"/>
    <w:rsid w:val="0044490E"/>
    <w:rsid w:val="00446E21"/>
    <w:rsid w:val="00447165"/>
    <w:rsid w:val="00447729"/>
    <w:rsid w:val="00452F9A"/>
    <w:rsid w:val="004609F5"/>
    <w:rsid w:val="00460D1C"/>
    <w:rsid w:val="00463CE0"/>
    <w:rsid w:val="00464311"/>
    <w:rsid w:val="0046558B"/>
    <w:rsid w:val="00466026"/>
    <w:rsid w:val="0046603E"/>
    <w:rsid w:val="00466082"/>
    <w:rsid w:val="0046653B"/>
    <w:rsid w:val="0046694E"/>
    <w:rsid w:val="0047380F"/>
    <w:rsid w:val="0047384C"/>
    <w:rsid w:val="0047426F"/>
    <w:rsid w:val="0047453E"/>
    <w:rsid w:val="004746AD"/>
    <w:rsid w:val="00475F18"/>
    <w:rsid w:val="00480824"/>
    <w:rsid w:val="00480D03"/>
    <w:rsid w:val="00480ECA"/>
    <w:rsid w:val="004861E4"/>
    <w:rsid w:val="0048674D"/>
    <w:rsid w:val="004870BB"/>
    <w:rsid w:val="004872D8"/>
    <w:rsid w:val="0048754A"/>
    <w:rsid w:val="00487C10"/>
    <w:rsid w:val="00490A62"/>
    <w:rsid w:val="0049241A"/>
    <w:rsid w:val="004974CD"/>
    <w:rsid w:val="004A0106"/>
    <w:rsid w:val="004A0F49"/>
    <w:rsid w:val="004A34D2"/>
    <w:rsid w:val="004A4F76"/>
    <w:rsid w:val="004A7B59"/>
    <w:rsid w:val="004B027C"/>
    <w:rsid w:val="004B27B7"/>
    <w:rsid w:val="004B353C"/>
    <w:rsid w:val="004B5153"/>
    <w:rsid w:val="004B6500"/>
    <w:rsid w:val="004B6E7D"/>
    <w:rsid w:val="004B7D5F"/>
    <w:rsid w:val="004C246A"/>
    <w:rsid w:val="004C31AF"/>
    <w:rsid w:val="004C3ADF"/>
    <w:rsid w:val="004C59F7"/>
    <w:rsid w:val="004C755C"/>
    <w:rsid w:val="004C7603"/>
    <w:rsid w:val="004D087D"/>
    <w:rsid w:val="004D22DE"/>
    <w:rsid w:val="004D4A87"/>
    <w:rsid w:val="004D52FA"/>
    <w:rsid w:val="004D53FA"/>
    <w:rsid w:val="004D5756"/>
    <w:rsid w:val="004D65AC"/>
    <w:rsid w:val="004D7944"/>
    <w:rsid w:val="004D7D21"/>
    <w:rsid w:val="004D7FB4"/>
    <w:rsid w:val="004E07A4"/>
    <w:rsid w:val="004E4C6D"/>
    <w:rsid w:val="004E5463"/>
    <w:rsid w:val="004F1425"/>
    <w:rsid w:val="004F16DB"/>
    <w:rsid w:val="004F30F8"/>
    <w:rsid w:val="004F3492"/>
    <w:rsid w:val="004F6048"/>
    <w:rsid w:val="004F6516"/>
    <w:rsid w:val="004F6680"/>
    <w:rsid w:val="00501473"/>
    <w:rsid w:val="005051F8"/>
    <w:rsid w:val="00507F3C"/>
    <w:rsid w:val="0051074C"/>
    <w:rsid w:val="00510CF8"/>
    <w:rsid w:val="00511922"/>
    <w:rsid w:val="00513AF2"/>
    <w:rsid w:val="00514D99"/>
    <w:rsid w:val="00514E3C"/>
    <w:rsid w:val="0051759B"/>
    <w:rsid w:val="005216C1"/>
    <w:rsid w:val="00523703"/>
    <w:rsid w:val="00525997"/>
    <w:rsid w:val="00525FE7"/>
    <w:rsid w:val="005265E4"/>
    <w:rsid w:val="00526943"/>
    <w:rsid w:val="00527E3C"/>
    <w:rsid w:val="0053038B"/>
    <w:rsid w:val="0053170C"/>
    <w:rsid w:val="00531D5C"/>
    <w:rsid w:val="00535106"/>
    <w:rsid w:val="005355D8"/>
    <w:rsid w:val="00535A34"/>
    <w:rsid w:val="0054155D"/>
    <w:rsid w:val="00542B62"/>
    <w:rsid w:val="00542BA7"/>
    <w:rsid w:val="0054413A"/>
    <w:rsid w:val="00550567"/>
    <w:rsid w:val="00550D93"/>
    <w:rsid w:val="005564CA"/>
    <w:rsid w:val="00561506"/>
    <w:rsid w:val="0056182B"/>
    <w:rsid w:val="005622EB"/>
    <w:rsid w:val="00567F3B"/>
    <w:rsid w:val="005721B3"/>
    <w:rsid w:val="005756AA"/>
    <w:rsid w:val="00575A1C"/>
    <w:rsid w:val="0057646F"/>
    <w:rsid w:val="00577148"/>
    <w:rsid w:val="0057795A"/>
    <w:rsid w:val="0058679D"/>
    <w:rsid w:val="00596896"/>
    <w:rsid w:val="00597412"/>
    <w:rsid w:val="005A0414"/>
    <w:rsid w:val="005A1645"/>
    <w:rsid w:val="005A4FC5"/>
    <w:rsid w:val="005B1144"/>
    <w:rsid w:val="005B4267"/>
    <w:rsid w:val="005B5BE2"/>
    <w:rsid w:val="005B5D31"/>
    <w:rsid w:val="005B753A"/>
    <w:rsid w:val="005C00FA"/>
    <w:rsid w:val="005C343C"/>
    <w:rsid w:val="005C6271"/>
    <w:rsid w:val="005C6A48"/>
    <w:rsid w:val="005C6C85"/>
    <w:rsid w:val="005D3155"/>
    <w:rsid w:val="005D35B6"/>
    <w:rsid w:val="005D36B1"/>
    <w:rsid w:val="005D485B"/>
    <w:rsid w:val="005D4AEF"/>
    <w:rsid w:val="005D4E8A"/>
    <w:rsid w:val="005D50CE"/>
    <w:rsid w:val="005D51FA"/>
    <w:rsid w:val="005D5B90"/>
    <w:rsid w:val="005D791B"/>
    <w:rsid w:val="005E139E"/>
    <w:rsid w:val="005E1974"/>
    <w:rsid w:val="005E4765"/>
    <w:rsid w:val="005F055F"/>
    <w:rsid w:val="005F1B0F"/>
    <w:rsid w:val="005F317C"/>
    <w:rsid w:val="005F37CD"/>
    <w:rsid w:val="005F3CD0"/>
    <w:rsid w:val="005F599B"/>
    <w:rsid w:val="005F788C"/>
    <w:rsid w:val="0060070B"/>
    <w:rsid w:val="00602708"/>
    <w:rsid w:val="00603C40"/>
    <w:rsid w:val="00603E4D"/>
    <w:rsid w:val="00603FBE"/>
    <w:rsid w:val="00604B04"/>
    <w:rsid w:val="00610F46"/>
    <w:rsid w:val="00611ED9"/>
    <w:rsid w:val="00612C51"/>
    <w:rsid w:val="00613FDA"/>
    <w:rsid w:val="006146F1"/>
    <w:rsid w:val="00614817"/>
    <w:rsid w:val="00620FE8"/>
    <w:rsid w:val="00630D7C"/>
    <w:rsid w:val="006318E7"/>
    <w:rsid w:val="00633DBF"/>
    <w:rsid w:val="006341BB"/>
    <w:rsid w:val="00643B51"/>
    <w:rsid w:val="006441CE"/>
    <w:rsid w:val="0064514E"/>
    <w:rsid w:val="00650FE8"/>
    <w:rsid w:val="00652BAA"/>
    <w:rsid w:val="00654069"/>
    <w:rsid w:val="00655371"/>
    <w:rsid w:val="006559E3"/>
    <w:rsid w:val="00657259"/>
    <w:rsid w:val="00657446"/>
    <w:rsid w:val="00660D51"/>
    <w:rsid w:val="006616F3"/>
    <w:rsid w:val="00662C7E"/>
    <w:rsid w:val="0066325D"/>
    <w:rsid w:val="006678A3"/>
    <w:rsid w:val="00667E0E"/>
    <w:rsid w:val="0067157B"/>
    <w:rsid w:val="00672272"/>
    <w:rsid w:val="006728A0"/>
    <w:rsid w:val="006734E6"/>
    <w:rsid w:val="00674F99"/>
    <w:rsid w:val="00680B58"/>
    <w:rsid w:val="00681EED"/>
    <w:rsid w:val="00682E7B"/>
    <w:rsid w:val="006852F3"/>
    <w:rsid w:val="006906D4"/>
    <w:rsid w:val="00691408"/>
    <w:rsid w:val="00692992"/>
    <w:rsid w:val="006954E4"/>
    <w:rsid w:val="00695B70"/>
    <w:rsid w:val="00697665"/>
    <w:rsid w:val="00697742"/>
    <w:rsid w:val="00697C55"/>
    <w:rsid w:val="00697DD0"/>
    <w:rsid w:val="006A0EB7"/>
    <w:rsid w:val="006A7CB5"/>
    <w:rsid w:val="006A7FD0"/>
    <w:rsid w:val="006B064B"/>
    <w:rsid w:val="006B0C4E"/>
    <w:rsid w:val="006B2398"/>
    <w:rsid w:val="006B24DE"/>
    <w:rsid w:val="006B318A"/>
    <w:rsid w:val="006B39D4"/>
    <w:rsid w:val="006B5051"/>
    <w:rsid w:val="006B5FA9"/>
    <w:rsid w:val="006C06E6"/>
    <w:rsid w:val="006C116D"/>
    <w:rsid w:val="006C1A72"/>
    <w:rsid w:val="006C2A51"/>
    <w:rsid w:val="006C2B00"/>
    <w:rsid w:val="006C3B52"/>
    <w:rsid w:val="006C4177"/>
    <w:rsid w:val="006C6EE9"/>
    <w:rsid w:val="006C771B"/>
    <w:rsid w:val="006C7F3D"/>
    <w:rsid w:val="006D0BAE"/>
    <w:rsid w:val="006D5552"/>
    <w:rsid w:val="006D5B2B"/>
    <w:rsid w:val="006D7687"/>
    <w:rsid w:val="006D7CF6"/>
    <w:rsid w:val="006E0572"/>
    <w:rsid w:val="006E131E"/>
    <w:rsid w:val="006E170C"/>
    <w:rsid w:val="006E1E98"/>
    <w:rsid w:val="006F3617"/>
    <w:rsid w:val="006F4EB3"/>
    <w:rsid w:val="006F56C4"/>
    <w:rsid w:val="006F7679"/>
    <w:rsid w:val="006F78D8"/>
    <w:rsid w:val="00700B57"/>
    <w:rsid w:val="00705403"/>
    <w:rsid w:val="00705631"/>
    <w:rsid w:val="00707531"/>
    <w:rsid w:val="00710134"/>
    <w:rsid w:val="007136AC"/>
    <w:rsid w:val="00715EAA"/>
    <w:rsid w:val="00716CC3"/>
    <w:rsid w:val="00720050"/>
    <w:rsid w:val="007213F0"/>
    <w:rsid w:val="00722293"/>
    <w:rsid w:val="00723B2F"/>
    <w:rsid w:val="00723B38"/>
    <w:rsid w:val="00724D11"/>
    <w:rsid w:val="00726F60"/>
    <w:rsid w:val="0073207F"/>
    <w:rsid w:val="00733BCA"/>
    <w:rsid w:val="0073441F"/>
    <w:rsid w:val="007412B8"/>
    <w:rsid w:val="00741A9E"/>
    <w:rsid w:val="00742281"/>
    <w:rsid w:val="00742DD2"/>
    <w:rsid w:val="007452AC"/>
    <w:rsid w:val="0074635D"/>
    <w:rsid w:val="00746E08"/>
    <w:rsid w:val="00747C96"/>
    <w:rsid w:val="0075094E"/>
    <w:rsid w:val="00750AD7"/>
    <w:rsid w:val="007522E8"/>
    <w:rsid w:val="00755CC4"/>
    <w:rsid w:val="0075647A"/>
    <w:rsid w:val="007572F9"/>
    <w:rsid w:val="007634AD"/>
    <w:rsid w:val="00764011"/>
    <w:rsid w:val="0076432E"/>
    <w:rsid w:val="00766A70"/>
    <w:rsid w:val="0077057C"/>
    <w:rsid w:val="007707A7"/>
    <w:rsid w:val="00773CB2"/>
    <w:rsid w:val="007746BB"/>
    <w:rsid w:val="00775563"/>
    <w:rsid w:val="00776689"/>
    <w:rsid w:val="007811EA"/>
    <w:rsid w:val="0078122E"/>
    <w:rsid w:val="00783A83"/>
    <w:rsid w:val="00792E66"/>
    <w:rsid w:val="00792F13"/>
    <w:rsid w:val="007930A5"/>
    <w:rsid w:val="00795647"/>
    <w:rsid w:val="007973B1"/>
    <w:rsid w:val="007A174B"/>
    <w:rsid w:val="007A3611"/>
    <w:rsid w:val="007A4F97"/>
    <w:rsid w:val="007A5737"/>
    <w:rsid w:val="007A6125"/>
    <w:rsid w:val="007B0854"/>
    <w:rsid w:val="007B1ACE"/>
    <w:rsid w:val="007B27D7"/>
    <w:rsid w:val="007B4F45"/>
    <w:rsid w:val="007B4F4C"/>
    <w:rsid w:val="007B660A"/>
    <w:rsid w:val="007C22B6"/>
    <w:rsid w:val="007C2357"/>
    <w:rsid w:val="007C33A6"/>
    <w:rsid w:val="007C58BD"/>
    <w:rsid w:val="007C5C1C"/>
    <w:rsid w:val="007D0B72"/>
    <w:rsid w:val="007D2130"/>
    <w:rsid w:val="007D3671"/>
    <w:rsid w:val="007D4DBE"/>
    <w:rsid w:val="007D5C3E"/>
    <w:rsid w:val="007D6C71"/>
    <w:rsid w:val="007D7901"/>
    <w:rsid w:val="007D7DD8"/>
    <w:rsid w:val="007E0C58"/>
    <w:rsid w:val="007E1312"/>
    <w:rsid w:val="007E3ACA"/>
    <w:rsid w:val="007E676C"/>
    <w:rsid w:val="007F15AE"/>
    <w:rsid w:val="007F51B0"/>
    <w:rsid w:val="007F54FB"/>
    <w:rsid w:val="007F573F"/>
    <w:rsid w:val="007F6B46"/>
    <w:rsid w:val="007F6D80"/>
    <w:rsid w:val="007F72CB"/>
    <w:rsid w:val="00800C47"/>
    <w:rsid w:val="0080224B"/>
    <w:rsid w:val="008038F1"/>
    <w:rsid w:val="0080514C"/>
    <w:rsid w:val="00806AD5"/>
    <w:rsid w:val="008132FA"/>
    <w:rsid w:val="00813988"/>
    <w:rsid w:val="00814E0D"/>
    <w:rsid w:val="0081553B"/>
    <w:rsid w:val="00815BCC"/>
    <w:rsid w:val="008160B2"/>
    <w:rsid w:val="00817744"/>
    <w:rsid w:val="0082065D"/>
    <w:rsid w:val="00820A37"/>
    <w:rsid w:val="008217B7"/>
    <w:rsid w:val="00824BF9"/>
    <w:rsid w:val="00830018"/>
    <w:rsid w:val="00830303"/>
    <w:rsid w:val="0083119B"/>
    <w:rsid w:val="00833039"/>
    <w:rsid w:val="00836EAB"/>
    <w:rsid w:val="0083782B"/>
    <w:rsid w:val="00840960"/>
    <w:rsid w:val="008420C6"/>
    <w:rsid w:val="008442A7"/>
    <w:rsid w:val="00845984"/>
    <w:rsid w:val="00845F93"/>
    <w:rsid w:val="0085092D"/>
    <w:rsid w:val="00850F79"/>
    <w:rsid w:val="00851723"/>
    <w:rsid w:val="00851D62"/>
    <w:rsid w:val="00853074"/>
    <w:rsid w:val="0085350D"/>
    <w:rsid w:val="00853AE0"/>
    <w:rsid w:val="00853AF8"/>
    <w:rsid w:val="00854D44"/>
    <w:rsid w:val="00854DB7"/>
    <w:rsid w:val="00857EEA"/>
    <w:rsid w:val="00861F54"/>
    <w:rsid w:val="008632AF"/>
    <w:rsid w:val="00864821"/>
    <w:rsid w:val="008663D5"/>
    <w:rsid w:val="00870AF9"/>
    <w:rsid w:val="00872A2E"/>
    <w:rsid w:val="00873135"/>
    <w:rsid w:val="008749A9"/>
    <w:rsid w:val="00874AB5"/>
    <w:rsid w:val="00876146"/>
    <w:rsid w:val="00876868"/>
    <w:rsid w:val="008770F7"/>
    <w:rsid w:val="00880378"/>
    <w:rsid w:val="00880D11"/>
    <w:rsid w:val="00881812"/>
    <w:rsid w:val="00881A23"/>
    <w:rsid w:val="00882C43"/>
    <w:rsid w:val="00882F5E"/>
    <w:rsid w:val="0088434E"/>
    <w:rsid w:val="0088605D"/>
    <w:rsid w:val="00886E97"/>
    <w:rsid w:val="00887C57"/>
    <w:rsid w:val="00890D42"/>
    <w:rsid w:val="00891FB0"/>
    <w:rsid w:val="008927F9"/>
    <w:rsid w:val="00894211"/>
    <w:rsid w:val="00896F7A"/>
    <w:rsid w:val="0089774F"/>
    <w:rsid w:val="008A18EE"/>
    <w:rsid w:val="008A1C99"/>
    <w:rsid w:val="008A1E91"/>
    <w:rsid w:val="008A2550"/>
    <w:rsid w:val="008A2823"/>
    <w:rsid w:val="008A3078"/>
    <w:rsid w:val="008A383B"/>
    <w:rsid w:val="008A4934"/>
    <w:rsid w:val="008A519B"/>
    <w:rsid w:val="008B0A71"/>
    <w:rsid w:val="008B1829"/>
    <w:rsid w:val="008B22E0"/>
    <w:rsid w:val="008B25DC"/>
    <w:rsid w:val="008B2C6A"/>
    <w:rsid w:val="008B3AED"/>
    <w:rsid w:val="008B6265"/>
    <w:rsid w:val="008C30C7"/>
    <w:rsid w:val="008C3736"/>
    <w:rsid w:val="008C4741"/>
    <w:rsid w:val="008C6F87"/>
    <w:rsid w:val="008C7C2E"/>
    <w:rsid w:val="008D1EFE"/>
    <w:rsid w:val="008D46D3"/>
    <w:rsid w:val="008D572E"/>
    <w:rsid w:val="008D7EE7"/>
    <w:rsid w:val="008E1C15"/>
    <w:rsid w:val="008E3C08"/>
    <w:rsid w:val="008E4E6A"/>
    <w:rsid w:val="008E5687"/>
    <w:rsid w:val="008E7DBB"/>
    <w:rsid w:val="008F2D5F"/>
    <w:rsid w:val="008F538E"/>
    <w:rsid w:val="008F5551"/>
    <w:rsid w:val="008F6CB0"/>
    <w:rsid w:val="008F7712"/>
    <w:rsid w:val="00900304"/>
    <w:rsid w:val="009008CF"/>
    <w:rsid w:val="00900F40"/>
    <w:rsid w:val="009037EE"/>
    <w:rsid w:val="00904534"/>
    <w:rsid w:val="009047C5"/>
    <w:rsid w:val="00906A56"/>
    <w:rsid w:val="0090724E"/>
    <w:rsid w:val="0091296E"/>
    <w:rsid w:val="009139FF"/>
    <w:rsid w:val="00913DEE"/>
    <w:rsid w:val="00915B66"/>
    <w:rsid w:val="00916D58"/>
    <w:rsid w:val="009173EE"/>
    <w:rsid w:val="0091758D"/>
    <w:rsid w:val="00917D8E"/>
    <w:rsid w:val="00920A32"/>
    <w:rsid w:val="00921674"/>
    <w:rsid w:val="009224E5"/>
    <w:rsid w:val="00922786"/>
    <w:rsid w:val="00923802"/>
    <w:rsid w:val="00924C63"/>
    <w:rsid w:val="00925CEA"/>
    <w:rsid w:val="009350C1"/>
    <w:rsid w:val="009368B9"/>
    <w:rsid w:val="00937020"/>
    <w:rsid w:val="00940DB9"/>
    <w:rsid w:val="0094353B"/>
    <w:rsid w:val="009471A0"/>
    <w:rsid w:val="00947622"/>
    <w:rsid w:val="00951621"/>
    <w:rsid w:val="0095385A"/>
    <w:rsid w:val="00955202"/>
    <w:rsid w:val="00955ACF"/>
    <w:rsid w:val="00955B44"/>
    <w:rsid w:val="00956821"/>
    <w:rsid w:val="00964425"/>
    <w:rsid w:val="00964AF8"/>
    <w:rsid w:val="00967268"/>
    <w:rsid w:val="00967CD8"/>
    <w:rsid w:val="00970437"/>
    <w:rsid w:val="00971FAB"/>
    <w:rsid w:val="009726BB"/>
    <w:rsid w:val="0097606C"/>
    <w:rsid w:val="00976295"/>
    <w:rsid w:val="00981216"/>
    <w:rsid w:val="00982027"/>
    <w:rsid w:val="009820DB"/>
    <w:rsid w:val="0098238F"/>
    <w:rsid w:val="0098489D"/>
    <w:rsid w:val="00984AB9"/>
    <w:rsid w:val="009916A7"/>
    <w:rsid w:val="0099237F"/>
    <w:rsid w:val="0099262B"/>
    <w:rsid w:val="00994DF5"/>
    <w:rsid w:val="00994E2D"/>
    <w:rsid w:val="009976EE"/>
    <w:rsid w:val="009A07F7"/>
    <w:rsid w:val="009A3569"/>
    <w:rsid w:val="009A60FC"/>
    <w:rsid w:val="009B007E"/>
    <w:rsid w:val="009B2C24"/>
    <w:rsid w:val="009B512E"/>
    <w:rsid w:val="009B5190"/>
    <w:rsid w:val="009B61A4"/>
    <w:rsid w:val="009C31BE"/>
    <w:rsid w:val="009C37DC"/>
    <w:rsid w:val="009C6959"/>
    <w:rsid w:val="009C713B"/>
    <w:rsid w:val="009D25A0"/>
    <w:rsid w:val="009D3CF6"/>
    <w:rsid w:val="009D4945"/>
    <w:rsid w:val="009D4B2F"/>
    <w:rsid w:val="009D6E69"/>
    <w:rsid w:val="009E30D4"/>
    <w:rsid w:val="009E54F2"/>
    <w:rsid w:val="009E5853"/>
    <w:rsid w:val="009E64D5"/>
    <w:rsid w:val="009F261D"/>
    <w:rsid w:val="009F3602"/>
    <w:rsid w:val="009F4680"/>
    <w:rsid w:val="009F5096"/>
    <w:rsid w:val="009F59C2"/>
    <w:rsid w:val="009F78A0"/>
    <w:rsid w:val="00A0103E"/>
    <w:rsid w:val="00A010FC"/>
    <w:rsid w:val="00A02213"/>
    <w:rsid w:val="00A04B5C"/>
    <w:rsid w:val="00A05140"/>
    <w:rsid w:val="00A066BD"/>
    <w:rsid w:val="00A10053"/>
    <w:rsid w:val="00A12ABE"/>
    <w:rsid w:val="00A13886"/>
    <w:rsid w:val="00A14415"/>
    <w:rsid w:val="00A146B7"/>
    <w:rsid w:val="00A16FAB"/>
    <w:rsid w:val="00A1798B"/>
    <w:rsid w:val="00A2084E"/>
    <w:rsid w:val="00A23693"/>
    <w:rsid w:val="00A23CE5"/>
    <w:rsid w:val="00A2433B"/>
    <w:rsid w:val="00A2439B"/>
    <w:rsid w:val="00A24560"/>
    <w:rsid w:val="00A24834"/>
    <w:rsid w:val="00A3420B"/>
    <w:rsid w:val="00A34538"/>
    <w:rsid w:val="00A350AF"/>
    <w:rsid w:val="00A35AD8"/>
    <w:rsid w:val="00A375D5"/>
    <w:rsid w:val="00A37A65"/>
    <w:rsid w:val="00A37C18"/>
    <w:rsid w:val="00A37FB6"/>
    <w:rsid w:val="00A40A28"/>
    <w:rsid w:val="00A42365"/>
    <w:rsid w:val="00A426EC"/>
    <w:rsid w:val="00A462AB"/>
    <w:rsid w:val="00A500EF"/>
    <w:rsid w:val="00A51659"/>
    <w:rsid w:val="00A5350E"/>
    <w:rsid w:val="00A5539A"/>
    <w:rsid w:val="00A568F6"/>
    <w:rsid w:val="00A57160"/>
    <w:rsid w:val="00A61297"/>
    <w:rsid w:val="00A612F6"/>
    <w:rsid w:val="00A62322"/>
    <w:rsid w:val="00A7090A"/>
    <w:rsid w:val="00A74544"/>
    <w:rsid w:val="00A757E2"/>
    <w:rsid w:val="00A771A5"/>
    <w:rsid w:val="00A82473"/>
    <w:rsid w:val="00A83087"/>
    <w:rsid w:val="00A83E55"/>
    <w:rsid w:val="00A83F78"/>
    <w:rsid w:val="00A84412"/>
    <w:rsid w:val="00A8570E"/>
    <w:rsid w:val="00A86BA0"/>
    <w:rsid w:val="00A87ECD"/>
    <w:rsid w:val="00A944C2"/>
    <w:rsid w:val="00A95095"/>
    <w:rsid w:val="00A957B9"/>
    <w:rsid w:val="00A9641E"/>
    <w:rsid w:val="00A97234"/>
    <w:rsid w:val="00A9738C"/>
    <w:rsid w:val="00AA08E7"/>
    <w:rsid w:val="00AA0BE1"/>
    <w:rsid w:val="00AA2094"/>
    <w:rsid w:val="00AA442B"/>
    <w:rsid w:val="00AA669D"/>
    <w:rsid w:val="00AA7403"/>
    <w:rsid w:val="00AA7503"/>
    <w:rsid w:val="00AB3212"/>
    <w:rsid w:val="00AB5852"/>
    <w:rsid w:val="00AB5C7F"/>
    <w:rsid w:val="00AB628F"/>
    <w:rsid w:val="00AB6591"/>
    <w:rsid w:val="00AC146A"/>
    <w:rsid w:val="00AC27E8"/>
    <w:rsid w:val="00AC3D1F"/>
    <w:rsid w:val="00AC4829"/>
    <w:rsid w:val="00AC514C"/>
    <w:rsid w:val="00AC5690"/>
    <w:rsid w:val="00AC5F3A"/>
    <w:rsid w:val="00AD1A73"/>
    <w:rsid w:val="00AE1539"/>
    <w:rsid w:val="00AE2D2E"/>
    <w:rsid w:val="00AE32F2"/>
    <w:rsid w:val="00AE4B35"/>
    <w:rsid w:val="00AE4C20"/>
    <w:rsid w:val="00AE5ABF"/>
    <w:rsid w:val="00AE61E1"/>
    <w:rsid w:val="00AE6434"/>
    <w:rsid w:val="00AE6C09"/>
    <w:rsid w:val="00AE7779"/>
    <w:rsid w:val="00AF0BEC"/>
    <w:rsid w:val="00AF373E"/>
    <w:rsid w:val="00AF561D"/>
    <w:rsid w:val="00B000D8"/>
    <w:rsid w:val="00B02774"/>
    <w:rsid w:val="00B04012"/>
    <w:rsid w:val="00B050B8"/>
    <w:rsid w:val="00B05411"/>
    <w:rsid w:val="00B05670"/>
    <w:rsid w:val="00B0753B"/>
    <w:rsid w:val="00B12F06"/>
    <w:rsid w:val="00B13EC0"/>
    <w:rsid w:val="00B179C1"/>
    <w:rsid w:val="00B22E22"/>
    <w:rsid w:val="00B25E66"/>
    <w:rsid w:val="00B27AD4"/>
    <w:rsid w:val="00B30086"/>
    <w:rsid w:val="00B31F22"/>
    <w:rsid w:val="00B32BCD"/>
    <w:rsid w:val="00B35625"/>
    <w:rsid w:val="00B359ED"/>
    <w:rsid w:val="00B37C00"/>
    <w:rsid w:val="00B44270"/>
    <w:rsid w:val="00B44AD6"/>
    <w:rsid w:val="00B44E8E"/>
    <w:rsid w:val="00B46C42"/>
    <w:rsid w:val="00B50EC5"/>
    <w:rsid w:val="00B51003"/>
    <w:rsid w:val="00B512FD"/>
    <w:rsid w:val="00B525CB"/>
    <w:rsid w:val="00B5546E"/>
    <w:rsid w:val="00B5566E"/>
    <w:rsid w:val="00B55851"/>
    <w:rsid w:val="00B60461"/>
    <w:rsid w:val="00B62A61"/>
    <w:rsid w:val="00B633F9"/>
    <w:rsid w:val="00B63872"/>
    <w:rsid w:val="00B63CB2"/>
    <w:rsid w:val="00B641D9"/>
    <w:rsid w:val="00B64EDB"/>
    <w:rsid w:val="00B654E7"/>
    <w:rsid w:val="00B66578"/>
    <w:rsid w:val="00B71741"/>
    <w:rsid w:val="00B71C79"/>
    <w:rsid w:val="00B7315F"/>
    <w:rsid w:val="00B750D9"/>
    <w:rsid w:val="00B76967"/>
    <w:rsid w:val="00B77F95"/>
    <w:rsid w:val="00B81F6E"/>
    <w:rsid w:val="00B84BA7"/>
    <w:rsid w:val="00B85186"/>
    <w:rsid w:val="00B861B8"/>
    <w:rsid w:val="00B907D3"/>
    <w:rsid w:val="00B91AF0"/>
    <w:rsid w:val="00B91B8E"/>
    <w:rsid w:val="00B9384C"/>
    <w:rsid w:val="00B93C9A"/>
    <w:rsid w:val="00B94548"/>
    <w:rsid w:val="00B95AC8"/>
    <w:rsid w:val="00B9618B"/>
    <w:rsid w:val="00BA3286"/>
    <w:rsid w:val="00BA3871"/>
    <w:rsid w:val="00BA4D28"/>
    <w:rsid w:val="00BA4E77"/>
    <w:rsid w:val="00BB0592"/>
    <w:rsid w:val="00BB3B04"/>
    <w:rsid w:val="00BB584D"/>
    <w:rsid w:val="00BB7084"/>
    <w:rsid w:val="00BC2704"/>
    <w:rsid w:val="00BC7280"/>
    <w:rsid w:val="00BD2036"/>
    <w:rsid w:val="00BD78FE"/>
    <w:rsid w:val="00BE15DA"/>
    <w:rsid w:val="00BE16E8"/>
    <w:rsid w:val="00BE1CEA"/>
    <w:rsid w:val="00BE642B"/>
    <w:rsid w:val="00BE67A9"/>
    <w:rsid w:val="00BE72D6"/>
    <w:rsid w:val="00BF31BA"/>
    <w:rsid w:val="00BF5E9C"/>
    <w:rsid w:val="00BF6D9D"/>
    <w:rsid w:val="00BF7724"/>
    <w:rsid w:val="00C014AB"/>
    <w:rsid w:val="00C0241E"/>
    <w:rsid w:val="00C02CA7"/>
    <w:rsid w:val="00C03773"/>
    <w:rsid w:val="00C0469E"/>
    <w:rsid w:val="00C06A57"/>
    <w:rsid w:val="00C06B30"/>
    <w:rsid w:val="00C07B9B"/>
    <w:rsid w:val="00C1486D"/>
    <w:rsid w:val="00C177E6"/>
    <w:rsid w:val="00C17E05"/>
    <w:rsid w:val="00C17E35"/>
    <w:rsid w:val="00C20738"/>
    <w:rsid w:val="00C20AB9"/>
    <w:rsid w:val="00C220CE"/>
    <w:rsid w:val="00C22BB6"/>
    <w:rsid w:val="00C24150"/>
    <w:rsid w:val="00C245B6"/>
    <w:rsid w:val="00C24D7E"/>
    <w:rsid w:val="00C269AB"/>
    <w:rsid w:val="00C27711"/>
    <w:rsid w:val="00C309CE"/>
    <w:rsid w:val="00C32119"/>
    <w:rsid w:val="00C34208"/>
    <w:rsid w:val="00C366C4"/>
    <w:rsid w:val="00C374F0"/>
    <w:rsid w:val="00C404E4"/>
    <w:rsid w:val="00C42508"/>
    <w:rsid w:val="00C42C10"/>
    <w:rsid w:val="00C4437C"/>
    <w:rsid w:val="00C50A4B"/>
    <w:rsid w:val="00C5372F"/>
    <w:rsid w:val="00C54BAF"/>
    <w:rsid w:val="00C6465E"/>
    <w:rsid w:val="00C64A86"/>
    <w:rsid w:val="00C6552A"/>
    <w:rsid w:val="00C65533"/>
    <w:rsid w:val="00C70B9D"/>
    <w:rsid w:val="00C73504"/>
    <w:rsid w:val="00C75629"/>
    <w:rsid w:val="00C758C6"/>
    <w:rsid w:val="00C76212"/>
    <w:rsid w:val="00C818AF"/>
    <w:rsid w:val="00C81F3D"/>
    <w:rsid w:val="00C822C2"/>
    <w:rsid w:val="00C8458D"/>
    <w:rsid w:val="00C84F3C"/>
    <w:rsid w:val="00C8725E"/>
    <w:rsid w:val="00C9106A"/>
    <w:rsid w:val="00C91242"/>
    <w:rsid w:val="00C97AAA"/>
    <w:rsid w:val="00CA059D"/>
    <w:rsid w:val="00CA2C72"/>
    <w:rsid w:val="00CA689A"/>
    <w:rsid w:val="00CA7385"/>
    <w:rsid w:val="00CB0765"/>
    <w:rsid w:val="00CB2B36"/>
    <w:rsid w:val="00CB42FC"/>
    <w:rsid w:val="00CB5943"/>
    <w:rsid w:val="00CC00CD"/>
    <w:rsid w:val="00CC0339"/>
    <w:rsid w:val="00CC0B3D"/>
    <w:rsid w:val="00CC4DF1"/>
    <w:rsid w:val="00CC748E"/>
    <w:rsid w:val="00CC772C"/>
    <w:rsid w:val="00CD2B8C"/>
    <w:rsid w:val="00CD4A86"/>
    <w:rsid w:val="00CD5576"/>
    <w:rsid w:val="00CD5911"/>
    <w:rsid w:val="00CD7E27"/>
    <w:rsid w:val="00CE2805"/>
    <w:rsid w:val="00CE4E6E"/>
    <w:rsid w:val="00CE7A1A"/>
    <w:rsid w:val="00CF02E0"/>
    <w:rsid w:val="00CF0701"/>
    <w:rsid w:val="00CF600D"/>
    <w:rsid w:val="00CF7275"/>
    <w:rsid w:val="00D0151E"/>
    <w:rsid w:val="00D01760"/>
    <w:rsid w:val="00D01EBF"/>
    <w:rsid w:val="00D06596"/>
    <w:rsid w:val="00D10800"/>
    <w:rsid w:val="00D13D5F"/>
    <w:rsid w:val="00D15B95"/>
    <w:rsid w:val="00D16E39"/>
    <w:rsid w:val="00D170B9"/>
    <w:rsid w:val="00D220D3"/>
    <w:rsid w:val="00D2214A"/>
    <w:rsid w:val="00D223B6"/>
    <w:rsid w:val="00D22BEB"/>
    <w:rsid w:val="00D23AD8"/>
    <w:rsid w:val="00D2686C"/>
    <w:rsid w:val="00D26B57"/>
    <w:rsid w:val="00D350DE"/>
    <w:rsid w:val="00D35FC1"/>
    <w:rsid w:val="00D41655"/>
    <w:rsid w:val="00D41EE1"/>
    <w:rsid w:val="00D42298"/>
    <w:rsid w:val="00D4320D"/>
    <w:rsid w:val="00D44E97"/>
    <w:rsid w:val="00D460D9"/>
    <w:rsid w:val="00D506C0"/>
    <w:rsid w:val="00D511FC"/>
    <w:rsid w:val="00D53894"/>
    <w:rsid w:val="00D53C6C"/>
    <w:rsid w:val="00D54C45"/>
    <w:rsid w:val="00D54E11"/>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2CE5"/>
    <w:rsid w:val="00D84FE0"/>
    <w:rsid w:val="00D85C8F"/>
    <w:rsid w:val="00D87181"/>
    <w:rsid w:val="00D914DB"/>
    <w:rsid w:val="00D92770"/>
    <w:rsid w:val="00D93287"/>
    <w:rsid w:val="00D94D04"/>
    <w:rsid w:val="00D96221"/>
    <w:rsid w:val="00D970D3"/>
    <w:rsid w:val="00D97DDD"/>
    <w:rsid w:val="00DA41EF"/>
    <w:rsid w:val="00DA583D"/>
    <w:rsid w:val="00DA5AB1"/>
    <w:rsid w:val="00DA7CCA"/>
    <w:rsid w:val="00DB0DFA"/>
    <w:rsid w:val="00DB28B8"/>
    <w:rsid w:val="00DB3D31"/>
    <w:rsid w:val="00DB6234"/>
    <w:rsid w:val="00DB68F9"/>
    <w:rsid w:val="00DC02B2"/>
    <w:rsid w:val="00DC1562"/>
    <w:rsid w:val="00DC2AFD"/>
    <w:rsid w:val="00DC3544"/>
    <w:rsid w:val="00DC36DD"/>
    <w:rsid w:val="00DC3A87"/>
    <w:rsid w:val="00DC62E5"/>
    <w:rsid w:val="00DC743F"/>
    <w:rsid w:val="00DD0BB0"/>
    <w:rsid w:val="00DD32A0"/>
    <w:rsid w:val="00DD3E02"/>
    <w:rsid w:val="00DD3E55"/>
    <w:rsid w:val="00DD47A2"/>
    <w:rsid w:val="00DD652D"/>
    <w:rsid w:val="00DD6845"/>
    <w:rsid w:val="00DD6847"/>
    <w:rsid w:val="00DD735D"/>
    <w:rsid w:val="00DE247F"/>
    <w:rsid w:val="00DE308A"/>
    <w:rsid w:val="00DE3119"/>
    <w:rsid w:val="00DE3139"/>
    <w:rsid w:val="00DE5BCA"/>
    <w:rsid w:val="00DE6872"/>
    <w:rsid w:val="00DE68A4"/>
    <w:rsid w:val="00DF20FB"/>
    <w:rsid w:val="00DF2128"/>
    <w:rsid w:val="00DF236B"/>
    <w:rsid w:val="00DF2804"/>
    <w:rsid w:val="00DF28C7"/>
    <w:rsid w:val="00DF3553"/>
    <w:rsid w:val="00DF7086"/>
    <w:rsid w:val="00DF7F9E"/>
    <w:rsid w:val="00E00221"/>
    <w:rsid w:val="00E0048D"/>
    <w:rsid w:val="00E057C5"/>
    <w:rsid w:val="00E0677C"/>
    <w:rsid w:val="00E06A8D"/>
    <w:rsid w:val="00E13AB8"/>
    <w:rsid w:val="00E13D3F"/>
    <w:rsid w:val="00E17C9B"/>
    <w:rsid w:val="00E234D7"/>
    <w:rsid w:val="00E25CB3"/>
    <w:rsid w:val="00E27E15"/>
    <w:rsid w:val="00E3074B"/>
    <w:rsid w:val="00E30BFC"/>
    <w:rsid w:val="00E31A47"/>
    <w:rsid w:val="00E33B62"/>
    <w:rsid w:val="00E34106"/>
    <w:rsid w:val="00E356D7"/>
    <w:rsid w:val="00E36139"/>
    <w:rsid w:val="00E379F0"/>
    <w:rsid w:val="00E405D9"/>
    <w:rsid w:val="00E40D14"/>
    <w:rsid w:val="00E4143A"/>
    <w:rsid w:val="00E41823"/>
    <w:rsid w:val="00E42461"/>
    <w:rsid w:val="00E42761"/>
    <w:rsid w:val="00E43624"/>
    <w:rsid w:val="00E46137"/>
    <w:rsid w:val="00E510C7"/>
    <w:rsid w:val="00E5199E"/>
    <w:rsid w:val="00E53B77"/>
    <w:rsid w:val="00E54365"/>
    <w:rsid w:val="00E5462E"/>
    <w:rsid w:val="00E56EC0"/>
    <w:rsid w:val="00E62C10"/>
    <w:rsid w:val="00E631C7"/>
    <w:rsid w:val="00E65BDD"/>
    <w:rsid w:val="00E65D3A"/>
    <w:rsid w:val="00E70C4B"/>
    <w:rsid w:val="00E715D8"/>
    <w:rsid w:val="00E73728"/>
    <w:rsid w:val="00E73C2F"/>
    <w:rsid w:val="00E76013"/>
    <w:rsid w:val="00E76D64"/>
    <w:rsid w:val="00E76DD0"/>
    <w:rsid w:val="00E839D1"/>
    <w:rsid w:val="00E87FB5"/>
    <w:rsid w:val="00E96F1A"/>
    <w:rsid w:val="00EA0C86"/>
    <w:rsid w:val="00EA3761"/>
    <w:rsid w:val="00EA3B8E"/>
    <w:rsid w:val="00EA42EF"/>
    <w:rsid w:val="00EA4951"/>
    <w:rsid w:val="00EB0D38"/>
    <w:rsid w:val="00EB2866"/>
    <w:rsid w:val="00EB2CBD"/>
    <w:rsid w:val="00EB5263"/>
    <w:rsid w:val="00EB5408"/>
    <w:rsid w:val="00EB55EE"/>
    <w:rsid w:val="00EB5A79"/>
    <w:rsid w:val="00EB7E5E"/>
    <w:rsid w:val="00EC08D1"/>
    <w:rsid w:val="00EC4AE8"/>
    <w:rsid w:val="00EC5B1B"/>
    <w:rsid w:val="00EC77E0"/>
    <w:rsid w:val="00ED0181"/>
    <w:rsid w:val="00ED05A8"/>
    <w:rsid w:val="00ED1921"/>
    <w:rsid w:val="00ED1A5E"/>
    <w:rsid w:val="00ED21E1"/>
    <w:rsid w:val="00ED2C7A"/>
    <w:rsid w:val="00ED5E7E"/>
    <w:rsid w:val="00ED6D48"/>
    <w:rsid w:val="00EE2C9C"/>
    <w:rsid w:val="00EE4DB1"/>
    <w:rsid w:val="00EE59B5"/>
    <w:rsid w:val="00EE62D7"/>
    <w:rsid w:val="00EE6A82"/>
    <w:rsid w:val="00EE7C1A"/>
    <w:rsid w:val="00EF0420"/>
    <w:rsid w:val="00EF08FB"/>
    <w:rsid w:val="00EF169E"/>
    <w:rsid w:val="00EF28A9"/>
    <w:rsid w:val="00EF3258"/>
    <w:rsid w:val="00EF3F42"/>
    <w:rsid w:val="00EF4E3B"/>
    <w:rsid w:val="00EF5E27"/>
    <w:rsid w:val="00EF64D8"/>
    <w:rsid w:val="00EF6FEA"/>
    <w:rsid w:val="00F0076F"/>
    <w:rsid w:val="00F04156"/>
    <w:rsid w:val="00F04D40"/>
    <w:rsid w:val="00F0608C"/>
    <w:rsid w:val="00F06296"/>
    <w:rsid w:val="00F074DD"/>
    <w:rsid w:val="00F0774D"/>
    <w:rsid w:val="00F077AE"/>
    <w:rsid w:val="00F10954"/>
    <w:rsid w:val="00F11955"/>
    <w:rsid w:val="00F123C7"/>
    <w:rsid w:val="00F128BC"/>
    <w:rsid w:val="00F172E0"/>
    <w:rsid w:val="00F2035B"/>
    <w:rsid w:val="00F2107D"/>
    <w:rsid w:val="00F21B2C"/>
    <w:rsid w:val="00F21BA2"/>
    <w:rsid w:val="00F21D09"/>
    <w:rsid w:val="00F24230"/>
    <w:rsid w:val="00F26F4E"/>
    <w:rsid w:val="00F301AD"/>
    <w:rsid w:val="00F33364"/>
    <w:rsid w:val="00F34C8E"/>
    <w:rsid w:val="00F34CBA"/>
    <w:rsid w:val="00F3533F"/>
    <w:rsid w:val="00F3791E"/>
    <w:rsid w:val="00F42431"/>
    <w:rsid w:val="00F42CA4"/>
    <w:rsid w:val="00F43A68"/>
    <w:rsid w:val="00F476A9"/>
    <w:rsid w:val="00F47D61"/>
    <w:rsid w:val="00F5101F"/>
    <w:rsid w:val="00F520D5"/>
    <w:rsid w:val="00F536CD"/>
    <w:rsid w:val="00F55F3A"/>
    <w:rsid w:val="00F56F3A"/>
    <w:rsid w:val="00F574CC"/>
    <w:rsid w:val="00F6029C"/>
    <w:rsid w:val="00F61F32"/>
    <w:rsid w:val="00F764CE"/>
    <w:rsid w:val="00F84899"/>
    <w:rsid w:val="00F859F0"/>
    <w:rsid w:val="00F90DB0"/>
    <w:rsid w:val="00F91287"/>
    <w:rsid w:val="00F91CA1"/>
    <w:rsid w:val="00F92D53"/>
    <w:rsid w:val="00F93250"/>
    <w:rsid w:val="00F94805"/>
    <w:rsid w:val="00F95598"/>
    <w:rsid w:val="00F95FAB"/>
    <w:rsid w:val="00FA0BE5"/>
    <w:rsid w:val="00FA15DA"/>
    <w:rsid w:val="00FA1947"/>
    <w:rsid w:val="00FA3221"/>
    <w:rsid w:val="00FA63A7"/>
    <w:rsid w:val="00FA6B54"/>
    <w:rsid w:val="00FB5E3B"/>
    <w:rsid w:val="00FC2B91"/>
    <w:rsid w:val="00FD2829"/>
    <w:rsid w:val="00FD2EA3"/>
    <w:rsid w:val="00FD3F65"/>
    <w:rsid w:val="00FD461D"/>
    <w:rsid w:val="00FD46B4"/>
    <w:rsid w:val="00FD4AA4"/>
    <w:rsid w:val="00FD7865"/>
    <w:rsid w:val="00FD7D17"/>
    <w:rsid w:val="00FE094E"/>
    <w:rsid w:val="00FE141E"/>
    <w:rsid w:val="00FE15BA"/>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1"/>
    <w:unhideWhenUsed/>
    <w:qFormat/>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1"/>
    <w:rsid w:val="00A16FAB"/>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2C1B31"/>
    <w:pPr>
      <w:spacing w:before="0" w:after="0" w:line="240" w:lineRule="auto"/>
      <w:jc w:val="left"/>
    </w:pPr>
    <w:rPr>
      <w:rFonts w:ascii="Times New Roman" w:eastAsia="Times New Roman" w:hAnsi="Times New Roman" w:cs="Times New Roman"/>
      <w:sz w:val="24"/>
      <w:szCs w:val="24"/>
      <w:lang w:eastAsia="en-GB"/>
    </w:rPr>
  </w:style>
  <w:style w:type="table" w:customStyle="1" w:styleId="Tablaconcuadrcula11">
    <w:name w:val="Tabla con cuadrícula11"/>
    <w:basedOn w:val="Tablanormal"/>
    <w:next w:val="Tablaconcuadrcula"/>
    <w:uiPriority w:val="59"/>
    <w:rsid w:val="0091296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25205829">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5571907">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44196D-9F96-41C8-9E0B-705B54263653}">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3E7F762-4B4D-4A99-B007-251E36018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51A68-FED2-4540-A566-D7B47EE01F53}">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a6cb9e4b-f1d1-4245-83ec-6cad768d538a"/>
    <ds:schemaRef ds:uri="9d85dbaf-23eb-4e57-a637-93dcacc8b1a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14</TotalTime>
  <Pages>18</Pages>
  <Words>6139</Words>
  <Characters>33769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Ana Maria Velez Arteaga</cp:lastModifiedBy>
  <cp:revision>7</cp:revision>
  <cp:lastPrinted>2020-01-30T15:05:00Z</cp:lastPrinted>
  <dcterms:created xsi:type="dcterms:W3CDTF">2023-02-27T19:24:00Z</dcterms:created>
  <dcterms:modified xsi:type="dcterms:W3CDTF">2023-02-27T19:38:00Z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