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484B22" w:rsidRDefault="00137E23" w:rsidP="0019689B">
      <w:pPr>
        <w:spacing w:after="0" w:line="240" w:lineRule="auto"/>
        <w:jc w:val="right"/>
        <w:rPr>
          <w:rFonts w:ascii="Geomanist Light" w:eastAsia="Times New Roman" w:hAnsi="Geomanist Light" w:cs="Arial"/>
          <w:sz w:val="16"/>
          <w:szCs w:val="16"/>
          <w:lang w:eastAsia="es-ES"/>
        </w:rPr>
      </w:pPr>
      <w:r w:rsidRPr="00484B22">
        <w:rPr>
          <w:rFonts w:ascii="Geomanist Light" w:eastAsia="Times New Roman" w:hAnsi="Geomanist Light" w:cs="Arial"/>
          <w:sz w:val="16"/>
          <w:szCs w:val="16"/>
          <w:lang w:eastAsia="es-ES"/>
        </w:rPr>
        <w:t>CCE-DES-FM-17</w:t>
      </w:r>
    </w:p>
    <w:p w14:paraId="4113813E" w14:textId="77777777" w:rsidR="00137E23" w:rsidRPr="00484B22" w:rsidRDefault="00137E23" w:rsidP="0019689B">
      <w:pPr>
        <w:spacing w:after="0" w:line="240" w:lineRule="auto"/>
        <w:jc w:val="both"/>
        <w:rPr>
          <w:rFonts w:ascii="Geomanist Light" w:eastAsia="Calibri" w:hAnsi="Geomanist Light" w:cs="Arial"/>
          <w:b/>
          <w:sz w:val="20"/>
          <w:szCs w:val="20"/>
        </w:rPr>
      </w:pPr>
    </w:p>
    <w:p w14:paraId="2F375FBA" w14:textId="77777777" w:rsidR="00253C31" w:rsidRPr="00484B22" w:rsidRDefault="00253C31" w:rsidP="0019689B">
      <w:pPr>
        <w:pStyle w:val="NormalWeb"/>
        <w:shd w:val="clear" w:color="auto" w:fill="FFFFFF"/>
        <w:spacing w:after="0" w:line="240" w:lineRule="auto"/>
        <w:jc w:val="both"/>
        <w:rPr>
          <w:rFonts w:ascii="Geomanist Light" w:hAnsi="Geomanist Light" w:cs="Arial"/>
          <w:b/>
          <w:bCs/>
          <w:sz w:val="22"/>
          <w:szCs w:val="22"/>
          <w:lang w:val="es-ES_tradnl"/>
        </w:rPr>
      </w:pPr>
      <w:bookmarkStart w:id="0" w:name="_Hlk72942111"/>
      <w:r w:rsidRPr="009A43A2">
        <w:rPr>
          <w:rFonts w:ascii="Geomanist Light" w:hAnsi="Geomanist Light" w:cs="Arial"/>
          <w:b/>
          <w:bCs/>
          <w:sz w:val="22"/>
          <w:szCs w:val="22"/>
          <w:highlight w:val="yellow"/>
          <w:lang w:val="es-ES_tradnl"/>
        </w:rPr>
        <w:t>ANTICIPO</w:t>
      </w:r>
      <w:r w:rsidRPr="00484B22">
        <w:rPr>
          <w:rFonts w:ascii="Geomanist Light" w:hAnsi="Geomanist Light" w:cs="Arial"/>
          <w:b/>
          <w:bCs/>
          <w:sz w:val="22"/>
          <w:szCs w:val="22"/>
          <w:lang w:val="es-ES_tradnl"/>
        </w:rPr>
        <w:t xml:space="preserve"> – Regulación normativa </w:t>
      </w:r>
    </w:p>
    <w:p w14:paraId="7A603883" w14:textId="77777777" w:rsidR="00253C31" w:rsidRPr="00484B22" w:rsidRDefault="00253C31" w:rsidP="0019689B">
      <w:pPr>
        <w:pStyle w:val="NormalWeb"/>
        <w:shd w:val="clear" w:color="auto" w:fill="FFFFFF"/>
        <w:spacing w:after="0" w:line="240" w:lineRule="auto"/>
        <w:jc w:val="both"/>
        <w:rPr>
          <w:rFonts w:ascii="Geomanist Light" w:hAnsi="Geomanist Light" w:cs="Arial"/>
          <w:sz w:val="20"/>
          <w:szCs w:val="20"/>
          <w:lang w:val="es-ES_tradnl"/>
        </w:rPr>
      </w:pPr>
    </w:p>
    <w:p w14:paraId="7E900B3F" w14:textId="7A9521DE" w:rsidR="00606617" w:rsidRPr="00484B22" w:rsidRDefault="00606617" w:rsidP="0019689B">
      <w:pPr>
        <w:pStyle w:val="NormalWeb"/>
        <w:shd w:val="clear" w:color="auto" w:fill="FFFFFF"/>
        <w:spacing w:after="0" w:line="240" w:lineRule="auto"/>
        <w:jc w:val="both"/>
        <w:rPr>
          <w:rFonts w:ascii="Geomanist Light" w:hAnsi="Geomanist Light" w:cs="Arial"/>
          <w:sz w:val="20"/>
          <w:szCs w:val="20"/>
          <w:lang w:val="es-ES_tradnl"/>
        </w:rPr>
      </w:pPr>
      <w:r w:rsidRPr="00606617">
        <w:rPr>
          <w:rFonts w:ascii="Geomanist Light" w:hAnsi="Geomanist Light" w:cs="Arial"/>
          <w:sz w:val="20"/>
          <w:szCs w:val="20"/>
          <w:lang w:val="es-ES_tradnl"/>
        </w:rPr>
        <w:t>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w:t>
      </w:r>
    </w:p>
    <w:p w14:paraId="25B342FA" w14:textId="2EE98C49" w:rsidR="00253C31" w:rsidRPr="00484B22" w:rsidRDefault="00253C31" w:rsidP="0019689B">
      <w:pPr>
        <w:pStyle w:val="NormalWeb"/>
        <w:shd w:val="clear" w:color="auto" w:fill="FFFFFF"/>
        <w:spacing w:after="0" w:line="240" w:lineRule="auto"/>
        <w:jc w:val="both"/>
        <w:rPr>
          <w:rFonts w:ascii="Geomanist Light" w:hAnsi="Geomanist Light" w:cs="Arial"/>
          <w:sz w:val="20"/>
          <w:szCs w:val="20"/>
          <w:lang w:val="es-ES_tradnl"/>
        </w:rPr>
      </w:pPr>
    </w:p>
    <w:p w14:paraId="54749EC8" w14:textId="77777777" w:rsidR="00253C31" w:rsidRPr="00484B22" w:rsidRDefault="00253C31" w:rsidP="0019689B">
      <w:pPr>
        <w:pStyle w:val="NormalWeb"/>
        <w:shd w:val="clear" w:color="auto" w:fill="FFFFFF"/>
        <w:spacing w:after="0" w:line="240" w:lineRule="auto"/>
        <w:jc w:val="both"/>
        <w:rPr>
          <w:rFonts w:ascii="Geomanist Light" w:hAnsi="Geomanist Light" w:cs="Arial"/>
          <w:b/>
          <w:bCs/>
          <w:sz w:val="22"/>
          <w:szCs w:val="22"/>
          <w:lang w:val="es-ES_tradnl"/>
        </w:rPr>
      </w:pPr>
      <w:r w:rsidRPr="00484B22">
        <w:rPr>
          <w:rFonts w:ascii="Geomanist Light" w:hAnsi="Geomanist Light" w:cs="Arial"/>
          <w:b/>
          <w:bCs/>
          <w:sz w:val="22"/>
          <w:szCs w:val="22"/>
          <w:lang w:val="es-ES_tradnl"/>
        </w:rPr>
        <w:t>ANTICIPO – Definición jurisprudencial</w:t>
      </w:r>
    </w:p>
    <w:p w14:paraId="18FC4AEF" w14:textId="77777777" w:rsidR="00253C31" w:rsidRPr="00484B22" w:rsidRDefault="00253C31" w:rsidP="0019689B">
      <w:pPr>
        <w:pStyle w:val="NormalWeb"/>
        <w:shd w:val="clear" w:color="auto" w:fill="FFFFFF"/>
        <w:spacing w:after="0" w:line="240" w:lineRule="auto"/>
        <w:jc w:val="both"/>
        <w:rPr>
          <w:rFonts w:ascii="Geomanist Light" w:hAnsi="Geomanist Light" w:cs="Arial"/>
          <w:b/>
          <w:bCs/>
          <w:sz w:val="20"/>
          <w:szCs w:val="20"/>
          <w:lang w:val="es-ES_tradnl"/>
        </w:rPr>
      </w:pPr>
    </w:p>
    <w:p w14:paraId="3A11EAAF" w14:textId="22A30034" w:rsidR="00606617" w:rsidRPr="00606617" w:rsidRDefault="00253C31" w:rsidP="0019689B">
      <w:pPr>
        <w:pStyle w:val="NormalWeb"/>
        <w:shd w:val="clear" w:color="auto" w:fill="FFFFFF"/>
        <w:spacing w:after="0" w:line="240" w:lineRule="auto"/>
        <w:jc w:val="both"/>
        <w:rPr>
          <w:rFonts w:ascii="Geomanist Light" w:hAnsi="Geomanist Light" w:cs="Arial"/>
          <w:sz w:val="20"/>
          <w:szCs w:val="20"/>
          <w:lang w:val="es-ES_tradnl"/>
        </w:rPr>
      </w:pPr>
      <w:r w:rsidRPr="00484B22">
        <w:rPr>
          <w:rFonts w:ascii="Geomanist Light" w:hAnsi="Geomanist Light" w:cs="Arial"/>
          <w:sz w:val="20"/>
          <w:szCs w:val="20"/>
          <w:lang w:val="es-ES_tradnl"/>
        </w:rPr>
        <w:t>[</w:t>
      </w:r>
      <w:r w:rsidR="00606617" w:rsidRPr="00606617">
        <w:rPr>
          <w:rFonts w:ascii="Geomanist Light" w:hAnsi="Geomanist Light" w:cs="Arial"/>
          <w:sz w:val="20"/>
          <w:szCs w:val="20"/>
          <w:lang w:val="es-ES_tradnl"/>
        </w:rPr>
        <w:t xml:space="preserve">Sobre la calidad de recurso público del anticipo, la jurisprudencia ha reiterado que «dicho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 Igualmente, explica que el anticipo, al facilitar al contratista la financiación de los bienes y servicios que se le han encargado, es un factor determinante para impulsar la ejecución del contrato. Este también es el entendimiento de la doctrina, que ha considerado el anticipo como un dinero entregado al contratista que debe cancelarse mediante descuentos parciales, siendo una práctica común que permite impulsar la ejecución del contrato. </w:t>
      </w:r>
    </w:p>
    <w:p w14:paraId="3E7C4CF3" w14:textId="77777777" w:rsidR="00606617" w:rsidRDefault="00606617" w:rsidP="0019689B">
      <w:pPr>
        <w:pStyle w:val="NormalWeb"/>
        <w:shd w:val="clear" w:color="auto" w:fill="FFFFFF"/>
        <w:spacing w:after="0" w:line="240" w:lineRule="auto"/>
        <w:jc w:val="both"/>
        <w:rPr>
          <w:rFonts w:ascii="Geomanist Light" w:hAnsi="Geomanist Light" w:cs="Arial"/>
          <w:sz w:val="20"/>
          <w:szCs w:val="20"/>
          <w:lang w:val="es-ES_tradnl"/>
        </w:rPr>
      </w:pPr>
    </w:p>
    <w:p w14:paraId="505C1740" w14:textId="36F70B61" w:rsidR="00606617" w:rsidRPr="00484B22" w:rsidRDefault="00606617" w:rsidP="0019689B">
      <w:pPr>
        <w:pStyle w:val="NormalWeb"/>
        <w:shd w:val="clear" w:color="auto" w:fill="FFFFFF"/>
        <w:spacing w:after="0" w:line="240" w:lineRule="auto"/>
        <w:jc w:val="both"/>
        <w:rPr>
          <w:rFonts w:ascii="Geomanist Light" w:hAnsi="Geomanist Light" w:cs="Arial"/>
          <w:sz w:val="20"/>
          <w:szCs w:val="20"/>
          <w:lang w:val="es-ES_tradnl"/>
        </w:rPr>
      </w:pPr>
      <w:r w:rsidRPr="00606617">
        <w:rPr>
          <w:rFonts w:ascii="Geomanist Light" w:hAnsi="Geomanist Light" w:cs="Arial"/>
          <w:sz w:val="20"/>
          <w:szCs w:val="20"/>
          <w:lang w:val="es-ES_tradnl"/>
        </w:rPr>
        <w:t xml:space="preserve">Así, de acuerdo con las consideraciones de la jurisprudencia y la doctrina, el anticipo es aquella suma de dinero entregada al contratista con la finalidad de apalancarlo financieramente para solventar los costos iniciales de la ejecución del contrato. Este dinero debe amortizarse </w:t>
      </w:r>
      <w:proofErr w:type="gramStart"/>
      <w:r w:rsidRPr="00606617">
        <w:rPr>
          <w:rFonts w:ascii="Geomanist Light" w:hAnsi="Geomanist Light" w:cs="Arial"/>
          <w:sz w:val="20"/>
          <w:szCs w:val="20"/>
          <w:lang w:val="es-ES_tradnl"/>
        </w:rPr>
        <w:t>de acuerdo al</w:t>
      </w:r>
      <w:proofErr w:type="gramEnd"/>
      <w:r w:rsidRPr="00606617">
        <w:rPr>
          <w:rFonts w:ascii="Geomanist Light" w:hAnsi="Geomanist Light" w:cs="Arial"/>
          <w:sz w:val="20"/>
          <w:szCs w:val="20"/>
          <w:lang w:val="es-ES_tradnl"/>
        </w:rPr>
        <w:t xml:space="preserve"> avance en la ejecución. De esta forma, los recursos entregados a título de anticipo son del erario, razón por la que debe garantizarse su buen manejo y correcta inversión.</w:t>
      </w:r>
    </w:p>
    <w:p w14:paraId="1E5105EC" w14:textId="62D217D8" w:rsidR="00253C31" w:rsidRPr="00484B22" w:rsidRDefault="00253C31" w:rsidP="0019689B">
      <w:pPr>
        <w:pStyle w:val="NormalWeb"/>
        <w:shd w:val="clear" w:color="auto" w:fill="FFFFFF"/>
        <w:spacing w:after="0" w:line="240" w:lineRule="auto"/>
        <w:jc w:val="both"/>
        <w:rPr>
          <w:rFonts w:ascii="Geomanist Light" w:hAnsi="Geomanist Light" w:cs="Arial"/>
          <w:b/>
          <w:bCs/>
          <w:sz w:val="20"/>
          <w:szCs w:val="20"/>
          <w:lang w:val="es-ES_tradnl"/>
        </w:rPr>
      </w:pPr>
    </w:p>
    <w:p w14:paraId="7F14FC70" w14:textId="77777777" w:rsidR="00253C31" w:rsidRPr="00484B22" w:rsidRDefault="00253C31" w:rsidP="0019689B">
      <w:pPr>
        <w:pStyle w:val="NormalWeb"/>
        <w:shd w:val="clear" w:color="auto" w:fill="FFFFFF"/>
        <w:spacing w:after="0" w:line="240" w:lineRule="auto"/>
        <w:jc w:val="both"/>
        <w:rPr>
          <w:rFonts w:ascii="Geomanist Light" w:hAnsi="Geomanist Light" w:cs="Arial"/>
          <w:b/>
          <w:bCs/>
          <w:sz w:val="22"/>
          <w:szCs w:val="22"/>
          <w:lang w:val="es-ES_tradnl"/>
        </w:rPr>
      </w:pPr>
      <w:r w:rsidRPr="00484B22">
        <w:rPr>
          <w:rFonts w:ascii="Geomanist Light" w:hAnsi="Geomanist Light" w:cs="Arial"/>
          <w:b/>
          <w:bCs/>
          <w:sz w:val="22"/>
          <w:szCs w:val="22"/>
          <w:lang w:val="es-ES_tradnl"/>
        </w:rPr>
        <w:t xml:space="preserve">ANTICIPO – Autonomía de la voluntad – Derechos y obligaciones recíprocas </w:t>
      </w:r>
    </w:p>
    <w:p w14:paraId="63254E98" w14:textId="77777777" w:rsidR="00253C31" w:rsidRPr="00484B22" w:rsidRDefault="00253C31" w:rsidP="0019689B">
      <w:pPr>
        <w:pStyle w:val="NormalWeb"/>
        <w:shd w:val="clear" w:color="auto" w:fill="FFFFFF"/>
        <w:spacing w:after="0" w:line="240" w:lineRule="auto"/>
        <w:jc w:val="both"/>
        <w:rPr>
          <w:rFonts w:ascii="Geomanist Light" w:hAnsi="Geomanist Light" w:cs="Arial"/>
          <w:sz w:val="20"/>
          <w:szCs w:val="20"/>
          <w:lang w:val="es-ES_tradnl"/>
        </w:rPr>
      </w:pPr>
    </w:p>
    <w:p w14:paraId="3EA872F0" w14:textId="58813A8F" w:rsidR="00010279" w:rsidRPr="00010279" w:rsidRDefault="00010279" w:rsidP="0019689B">
      <w:pPr>
        <w:pStyle w:val="NormalWeb"/>
        <w:shd w:val="clear" w:color="auto" w:fill="FFFFFF"/>
        <w:spacing w:after="0" w:line="240" w:lineRule="auto"/>
        <w:jc w:val="both"/>
        <w:rPr>
          <w:rFonts w:ascii="Geomanist Light" w:hAnsi="Geomanist Light" w:cs="Arial"/>
          <w:sz w:val="20"/>
          <w:szCs w:val="20"/>
          <w:lang w:val="es-ES_tradnl"/>
        </w:rPr>
      </w:pPr>
      <w:r w:rsidRPr="00010279">
        <w:rPr>
          <w:rFonts w:ascii="Geomanist Light" w:hAnsi="Geomanist Light" w:cs="Arial"/>
          <w:sz w:val="20"/>
          <w:szCs w:val="20"/>
          <w:lang w:val="es-ES_tradnl"/>
        </w:rPr>
        <w:t>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w:t>
      </w:r>
    </w:p>
    <w:p w14:paraId="70B0609B" w14:textId="77777777" w:rsidR="00010279" w:rsidRPr="00484B22" w:rsidRDefault="00010279" w:rsidP="0019689B">
      <w:pPr>
        <w:pStyle w:val="NormalWeb"/>
        <w:shd w:val="clear" w:color="auto" w:fill="FFFFFF"/>
        <w:spacing w:after="0" w:line="240" w:lineRule="auto"/>
        <w:jc w:val="both"/>
        <w:rPr>
          <w:rFonts w:ascii="Geomanist Light" w:hAnsi="Geomanist Light" w:cs="Arial"/>
          <w:sz w:val="20"/>
          <w:szCs w:val="20"/>
          <w:lang w:val="es-ES_tradnl"/>
        </w:rPr>
      </w:pPr>
    </w:p>
    <w:p w14:paraId="315A2E81" w14:textId="596BE09B" w:rsidR="00251801" w:rsidRDefault="00E4539D" w:rsidP="0019689B">
      <w:pPr>
        <w:pStyle w:val="NormalWeb"/>
        <w:shd w:val="clear" w:color="auto" w:fill="FFFFFF"/>
        <w:spacing w:after="0" w:line="240" w:lineRule="auto"/>
        <w:jc w:val="both"/>
        <w:rPr>
          <w:rFonts w:ascii="Geomanist Light" w:hAnsi="Geomanist Light" w:cs="Arial"/>
          <w:b/>
          <w:bCs/>
          <w:sz w:val="22"/>
          <w:szCs w:val="22"/>
          <w:lang w:val="es-ES"/>
        </w:rPr>
      </w:pPr>
      <w:r w:rsidRPr="00484B22">
        <w:rPr>
          <w:rFonts w:ascii="Geomanist Light" w:hAnsi="Geomanist Light" w:cs="Arial"/>
          <w:b/>
          <w:bCs/>
          <w:sz w:val="22"/>
          <w:szCs w:val="22"/>
          <w:lang w:val="es-ES"/>
        </w:rPr>
        <w:t xml:space="preserve">CONTRATO DE FIDUCIA PÚBLICA – </w:t>
      </w:r>
      <w:r w:rsidR="00251801">
        <w:rPr>
          <w:rFonts w:ascii="Geomanist Light" w:hAnsi="Geomanist Light" w:cs="Arial"/>
          <w:b/>
          <w:bCs/>
          <w:sz w:val="22"/>
          <w:szCs w:val="22"/>
          <w:lang w:val="es-ES"/>
        </w:rPr>
        <w:t>Decreto 1082 de 2015</w:t>
      </w:r>
    </w:p>
    <w:p w14:paraId="589A1C5A" w14:textId="77777777" w:rsidR="00251801" w:rsidRPr="00251801" w:rsidRDefault="00251801" w:rsidP="0019689B">
      <w:pPr>
        <w:pStyle w:val="NormalWeb"/>
        <w:shd w:val="clear" w:color="auto" w:fill="FFFFFF"/>
        <w:spacing w:after="0" w:line="240" w:lineRule="auto"/>
        <w:jc w:val="both"/>
        <w:rPr>
          <w:rFonts w:ascii="Geomanist Light" w:hAnsi="Geomanist Light" w:cs="Arial"/>
          <w:b/>
          <w:bCs/>
          <w:sz w:val="22"/>
          <w:szCs w:val="22"/>
          <w:lang w:val="es-ES"/>
        </w:rPr>
      </w:pPr>
    </w:p>
    <w:p w14:paraId="4D632BD5" w14:textId="7584897C" w:rsidR="00251801" w:rsidRPr="00251801" w:rsidRDefault="00251801" w:rsidP="0019689B">
      <w:pPr>
        <w:spacing w:after="0" w:line="240" w:lineRule="auto"/>
        <w:jc w:val="both"/>
        <w:rPr>
          <w:rFonts w:ascii="Geomanist Light" w:hAnsi="Geomanist Light" w:cs="Arial"/>
          <w:sz w:val="20"/>
          <w:szCs w:val="20"/>
          <w:lang w:val="es-MX"/>
        </w:rPr>
      </w:pPr>
      <w:r>
        <w:rPr>
          <w:rFonts w:ascii="Geomanist Light" w:hAnsi="Geomanist Light" w:cs="Arial"/>
          <w:sz w:val="20"/>
          <w:szCs w:val="20"/>
          <w:lang w:val="es-MX"/>
        </w:rPr>
        <w:t>E</w:t>
      </w:r>
      <w:r w:rsidRPr="00251801">
        <w:rPr>
          <w:rFonts w:ascii="Geomanist Light" w:hAnsi="Geomanist Light" w:cs="Arial"/>
          <w:sz w:val="20"/>
          <w:szCs w:val="20"/>
          <w:lang w:val="es-MX"/>
        </w:rPr>
        <w:t xml:space="preserv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w:t>
      </w:r>
      <w:r w:rsidRPr="00251801">
        <w:rPr>
          <w:rFonts w:ascii="Geomanist Light" w:hAnsi="Geomanist Light" w:cs="Arial"/>
          <w:sz w:val="20"/>
          <w:szCs w:val="20"/>
          <w:lang w:val="es-MX"/>
        </w:rPr>
        <w:lastRenderedPageBreak/>
        <w:t xml:space="preserve">mercantil. Adicionalmente, la norma señala que en el pliego de condiciones la entidad debe establecer los términos y condiciones de la administración del anticipo a través del patrimonio autónomo. </w:t>
      </w:r>
    </w:p>
    <w:p w14:paraId="683BAE90" w14:textId="1F4385CF" w:rsidR="00251801" w:rsidRPr="00251801" w:rsidRDefault="00251801" w:rsidP="0019689B">
      <w:pPr>
        <w:pStyle w:val="NormalWeb"/>
        <w:shd w:val="clear" w:color="auto" w:fill="FFFFFF"/>
        <w:spacing w:after="0" w:line="240" w:lineRule="auto"/>
        <w:jc w:val="both"/>
        <w:rPr>
          <w:rFonts w:ascii="Geomanist Light" w:hAnsi="Geomanist Light" w:cs="Arial"/>
          <w:sz w:val="20"/>
          <w:szCs w:val="20"/>
          <w:lang w:val="es-MX"/>
        </w:rPr>
      </w:pPr>
      <w:r w:rsidRPr="00251801">
        <w:rPr>
          <w:rFonts w:ascii="Geomanist Light" w:hAnsi="Geomanist Light" w:cs="Arial"/>
          <w:sz w:val="20"/>
          <w:szCs w:val="20"/>
          <w:lang w:val="es-MX"/>
        </w:rPr>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 entidad estatal.</w:t>
      </w:r>
    </w:p>
    <w:p w14:paraId="3A6079C6" w14:textId="77777777" w:rsidR="00251801" w:rsidRDefault="00251801" w:rsidP="0019689B">
      <w:pPr>
        <w:pStyle w:val="NormalWeb"/>
        <w:shd w:val="clear" w:color="auto" w:fill="FFFFFF"/>
        <w:spacing w:after="0" w:line="240" w:lineRule="auto"/>
        <w:jc w:val="both"/>
        <w:rPr>
          <w:rFonts w:ascii="Geomanist Light" w:hAnsi="Geomanist Light" w:cs="Arial"/>
          <w:b/>
          <w:bCs/>
          <w:sz w:val="22"/>
          <w:szCs w:val="22"/>
          <w:lang w:val="es-MX"/>
        </w:rPr>
      </w:pPr>
    </w:p>
    <w:p w14:paraId="24C66C19" w14:textId="641A83B5" w:rsidR="00E4539D" w:rsidRPr="00484B22" w:rsidRDefault="00E4539D" w:rsidP="0019689B">
      <w:pPr>
        <w:pStyle w:val="NormalWeb"/>
        <w:shd w:val="clear" w:color="auto" w:fill="FFFFFF"/>
        <w:spacing w:after="0" w:line="240" w:lineRule="auto"/>
        <w:jc w:val="both"/>
        <w:rPr>
          <w:rFonts w:ascii="Geomanist Light" w:hAnsi="Geomanist Light" w:cs="Arial"/>
          <w:sz w:val="22"/>
          <w:szCs w:val="22"/>
          <w:lang w:val="es-MX"/>
        </w:rPr>
      </w:pPr>
      <w:r w:rsidRPr="00484B22">
        <w:rPr>
          <w:rFonts w:ascii="Geomanist Light" w:hAnsi="Geomanist Light" w:cs="Arial"/>
          <w:b/>
          <w:bCs/>
          <w:sz w:val="22"/>
          <w:szCs w:val="22"/>
          <w:lang w:val="es-MX"/>
        </w:rPr>
        <w:t>CONSTITUCIÓN DE FIDUCIA O PATRIMONIO AUTÓNOMO IRREVOCABLE – Artículo 91 ley 1474 de 2011</w:t>
      </w:r>
    </w:p>
    <w:p w14:paraId="6B2DAEEE" w14:textId="77777777" w:rsidR="00E4539D" w:rsidRPr="00484B22" w:rsidRDefault="00E4539D" w:rsidP="0019689B">
      <w:pPr>
        <w:pStyle w:val="NormalWeb"/>
        <w:shd w:val="clear" w:color="auto" w:fill="FFFFFF"/>
        <w:spacing w:after="0" w:line="240" w:lineRule="auto"/>
        <w:jc w:val="both"/>
        <w:rPr>
          <w:rFonts w:ascii="Geomanist Light" w:hAnsi="Geomanist Light" w:cs="Arial"/>
          <w:sz w:val="20"/>
          <w:szCs w:val="20"/>
          <w:lang w:val="es-MX"/>
        </w:rPr>
      </w:pPr>
    </w:p>
    <w:p w14:paraId="798D0EAB" w14:textId="56745B81" w:rsidR="0057750E" w:rsidRPr="00484B22" w:rsidRDefault="0057750E" w:rsidP="0019689B">
      <w:pPr>
        <w:pStyle w:val="NormalWeb"/>
        <w:shd w:val="clear" w:color="auto" w:fill="FFFFFF"/>
        <w:spacing w:after="0" w:line="240" w:lineRule="auto"/>
        <w:jc w:val="both"/>
        <w:rPr>
          <w:rFonts w:ascii="Geomanist Light" w:hAnsi="Geomanist Light" w:cs="Arial"/>
          <w:sz w:val="20"/>
          <w:szCs w:val="20"/>
          <w:lang w:val="es-MX"/>
        </w:rPr>
      </w:pPr>
      <w:r w:rsidRPr="0057750E">
        <w:rPr>
          <w:rFonts w:ascii="Geomanist Light" w:hAnsi="Geomanist Light" w:cs="Arial"/>
          <w:sz w:val="20"/>
          <w:szCs w:val="20"/>
          <w:lang w:val="es-MX"/>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65A33FAD" w14:textId="77777777" w:rsidR="00E4539D" w:rsidRPr="00484B22" w:rsidRDefault="00E4539D" w:rsidP="0019689B">
      <w:pPr>
        <w:pStyle w:val="NormalWeb"/>
        <w:shd w:val="clear" w:color="auto" w:fill="FFFFFF"/>
        <w:spacing w:after="0" w:line="240" w:lineRule="auto"/>
        <w:jc w:val="both"/>
        <w:rPr>
          <w:rFonts w:ascii="Geomanist Light" w:hAnsi="Geomanist Light" w:cs="Arial"/>
          <w:b/>
          <w:bCs/>
          <w:sz w:val="20"/>
          <w:szCs w:val="20"/>
          <w:lang w:val="es-ES_tradnl"/>
        </w:rPr>
      </w:pPr>
    </w:p>
    <w:p w14:paraId="42CECD47" w14:textId="77777777" w:rsidR="00E4539D" w:rsidRPr="00484B22" w:rsidRDefault="00E4539D" w:rsidP="0019689B">
      <w:pPr>
        <w:pStyle w:val="NormalWeb"/>
        <w:shd w:val="clear" w:color="auto" w:fill="FFFFFF"/>
        <w:spacing w:after="0" w:line="240" w:lineRule="auto"/>
        <w:jc w:val="both"/>
        <w:rPr>
          <w:rFonts w:ascii="Geomanist Light" w:hAnsi="Geomanist Light" w:cs="Arial"/>
          <w:b/>
          <w:bCs/>
          <w:sz w:val="22"/>
          <w:szCs w:val="22"/>
        </w:rPr>
      </w:pPr>
      <w:r w:rsidRPr="00484B22">
        <w:rPr>
          <w:rFonts w:ascii="Geomanist Light" w:hAnsi="Geomanist Light" w:cs="Arial"/>
          <w:b/>
          <w:bCs/>
          <w:sz w:val="22"/>
          <w:szCs w:val="22"/>
        </w:rPr>
        <w:t>CONSTITUCIÓN DE FIDUCIA O PATRIMONIO AUTÓNOMO IRREVOCABLE – ámbito de aplicación – Contratos aplicables</w:t>
      </w:r>
    </w:p>
    <w:p w14:paraId="12A5F92F" w14:textId="77777777" w:rsidR="00E4539D" w:rsidRPr="00484B22" w:rsidRDefault="00E4539D" w:rsidP="0019689B">
      <w:pPr>
        <w:pStyle w:val="NormalWeb"/>
        <w:shd w:val="clear" w:color="auto" w:fill="FFFFFF"/>
        <w:spacing w:after="0" w:line="240" w:lineRule="auto"/>
        <w:jc w:val="both"/>
        <w:rPr>
          <w:rFonts w:ascii="Geomanist Light" w:hAnsi="Geomanist Light" w:cs="Arial"/>
          <w:sz w:val="20"/>
          <w:szCs w:val="20"/>
        </w:rPr>
      </w:pPr>
    </w:p>
    <w:p w14:paraId="4DC882C3" w14:textId="77777777" w:rsidR="009A11BF" w:rsidRPr="009A11BF" w:rsidRDefault="009A11BF" w:rsidP="0019689B">
      <w:pPr>
        <w:spacing w:after="0" w:line="240" w:lineRule="auto"/>
        <w:jc w:val="both"/>
        <w:rPr>
          <w:rFonts w:ascii="Geomanist Light" w:hAnsi="Geomanist Light" w:cs="Arial"/>
          <w:sz w:val="20"/>
          <w:szCs w:val="20"/>
          <w:lang w:val="es-MX"/>
        </w:rPr>
      </w:pPr>
      <w:r w:rsidRPr="009A11BF">
        <w:rPr>
          <w:rFonts w:ascii="Geomanist Light" w:hAnsi="Geomanist Light" w:cs="Arial"/>
          <w:sz w:val="20"/>
          <w:szCs w:val="20"/>
          <w:lang w:val="es-MX"/>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9A11BF">
        <w:rPr>
          <w:rFonts w:ascii="Geomanist Light" w:hAnsi="Geomanist Light" w:cs="Arial"/>
          <w:sz w:val="20"/>
          <w:szCs w:val="20"/>
          <w:lang w:val="es-MX"/>
        </w:rPr>
        <w:t>ii</w:t>
      </w:r>
      <w:proofErr w:type="spellEnd"/>
      <w:r w:rsidRPr="009A11BF">
        <w:rPr>
          <w:rFonts w:ascii="Geomanist Light" w:hAnsi="Geomanist Light" w:cs="Arial"/>
          <w:sz w:val="20"/>
          <w:szCs w:val="20"/>
          <w:lang w:val="es-MX"/>
        </w:rPr>
        <w:t xml:space="preserve">) concesión, </w:t>
      </w:r>
      <w:proofErr w:type="spellStart"/>
      <w:r w:rsidRPr="009A11BF">
        <w:rPr>
          <w:rFonts w:ascii="Geomanist Light" w:hAnsi="Geomanist Light" w:cs="Arial"/>
          <w:sz w:val="20"/>
          <w:szCs w:val="20"/>
          <w:lang w:val="es-MX"/>
        </w:rPr>
        <w:t>iii</w:t>
      </w:r>
      <w:proofErr w:type="spellEnd"/>
      <w:r w:rsidRPr="009A11BF">
        <w:rPr>
          <w:rFonts w:ascii="Geomanist Light" w:hAnsi="Geomanist Light" w:cs="Arial"/>
          <w:sz w:val="20"/>
          <w:szCs w:val="20"/>
          <w:lang w:val="es-MX"/>
        </w:rPr>
        <w:t xml:space="preserve">) salud y </w:t>
      </w:r>
      <w:proofErr w:type="spellStart"/>
      <w:r w:rsidRPr="009A11BF">
        <w:rPr>
          <w:rFonts w:ascii="Geomanist Light" w:hAnsi="Geomanist Light" w:cs="Arial"/>
          <w:sz w:val="20"/>
          <w:szCs w:val="20"/>
          <w:lang w:val="es-MX"/>
        </w:rPr>
        <w:t>iv</w:t>
      </w:r>
      <w:proofErr w:type="spellEnd"/>
      <w:r w:rsidRPr="009A11BF">
        <w:rPr>
          <w:rFonts w:ascii="Geomanist Light" w:hAnsi="Geomanist Light" w:cs="Arial"/>
          <w:sz w:val="20"/>
          <w:szCs w:val="20"/>
          <w:lang w:val="es-MX"/>
        </w:rPr>
        <w:t xml:space="preserve">) los contratos derivados de un proceso de licitación pública. En ese orden, aunque la norma menciona la modalidad de selección como un criterio principal que determine su ámbito de aplicación, la expresión «o los que se realicen por licitación pública», indica que, además de los objetos mencionados, también para estos contratos aplica el supuesto de hecho. </w:t>
      </w:r>
    </w:p>
    <w:p w14:paraId="57F09B28" w14:textId="77777777" w:rsidR="0019689B" w:rsidRDefault="0019689B" w:rsidP="0019689B">
      <w:pPr>
        <w:spacing w:after="0" w:line="240" w:lineRule="auto"/>
        <w:jc w:val="both"/>
        <w:rPr>
          <w:rFonts w:ascii="Geomanist Light" w:hAnsi="Geomanist Light" w:cs="Arial"/>
          <w:sz w:val="20"/>
          <w:szCs w:val="20"/>
          <w:lang w:val="es-MX"/>
        </w:rPr>
      </w:pPr>
    </w:p>
    <w:p w14:paraId="204D4078" w14:textId="1E3AFC5F" w:rsidR="009A11BF" w:rsidRPr="009A11BF" w:rsidRDefault="009A11BF" w:rsidP="0019689B">
      <w:pPr>
        <w:spacing w:after="0" w:line="240" w:lineRule="auto"/>
        <w:jc w:val="both"/>
        <w:rPr>
          <w:rFonts w:ascii="Geomanist Light" w:hAnsi="Geomanist Light" w:cs="Arial"/>
          <w:sz w:val="20"/>
          <w:szCs w:val="20"/>
          <w:lang w:val="es-MX"/>
        </w:rPr>
      </w:pPr>
      <w:r w:rsidRPr="009A11BF">
        <w:rPr>
          <w:rFonts w:ascii="Geomanist Light" w:hAnsi="Geomanist Light" w:cs="Arial"/>
          <w:sz w:val="20"/>
          <w:szCs w:val="20"/>
          <w:lang w:val="es-MX"/>
        </w:rPr>
        <w:t>En tal sentido, respecto a los contratos de obra, concesión y salud, así como en relación con los contratos derivados de licitación pública cualquiera que sea su tipología contractual, el contratista deberá obligatoriamente constituir una fiducia mercantil para el manejo de los recursos que se entreguen en calidad de anticipo. Se aclara que la constitución del patrimonio autónomo para el manejo del anticipo no releva a la entidad estatal de exigir la garantía de buen manejo y correcta inversión.</w:t>
      </w:r>
    </w:p>
    <w:p w14:paraId="2CF1D286" w14:textId="77777777" w:rsidR="0019689B" w:rsidRDefault="0019689B" w:rsidP="0019689B">
      <w:pPr>
        <w:spacing w:after="0" w:line="240" w:lineRule="auto"/>
        <w:jc w:val="both"/>
        <w:rPr>
          <w:rFonts w:ascii="Geomanist Light" w:hAnsi="Geomanist Light" w:cs="Arial"/>
          <w:sz w:val="20"/>
          <w:szCs w:val="20"/>
          <w:lang w:val="es-MX"/>
        </w:rPr>
      </w:pPr>
    </w:p>
    <w:p w14:paraId="2FC07246" w14:textId="4AB56BB5" w:rsidR="00253C31" w:rsidRPr="009A11BF" w:rsidRDefault="009A11BF" w:rsidP="0019689B">
      <w:pPr>
        <w:spacing w:after="0" w:line="240" w:lineRule="auto"/>
        <w:jc w:val="both"/>
        <w:rPr>
          <w:rFonts w:ascii="Geomanist Light" w:hAnsi="Geomanist Light" w:cs="Arial"/>
          <w:sz w:val="20"/>
          <w:szCs w:val="20"/>
          <w:lang w:val="es-MX"/>
        </w:rPr>
      </w:pPr>
      <w:r w:rsidRPr="009A11BF">
        <w:rPr>
          <w:rFonts w:ascii="Geomanist Light" w:hAnsi="Geomanist Light" w:cs="Arial"/>
          <w:sz w:val="20"/>
          <w:szCs w:val="20"/>
          <w:lang w:val="es-MX"/>
        </w:rPr>
        <w:t>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la entidad estatal tiene la obligación de adoptar las medidas necesarias y razonables para asegurar el buen manejo y la correcta inversión del anticipo, entre las que se encuentra la constitución de una garantía.</w:t>
      </w:r>
    </w:p>
    <w:p w14:paraId="059A9577" w14:textId="16649B66" w:rsidR="00253C31" w:rsidRPr="009A11BF" w:rsidRDefault="00253C31" w:rsidP="00586358">
      <w:pPr>
        <w:pStyle w:val="NormalWeb"/>
        <w:shd w:val="clear" w:color="auto" w:fill="FFFFFF"/>
        <w:spacing w:after="0"/>
        <w:jc w:val="both"/>
        <w:rPr>
          <w:rFonts w:ascii="Geomanist Light" w:hAnsi="Geomanist Light" w:cs="Arial"/>
          <w:sz w:val="20"/>
          <w:szCs w:val="20"/>
        </w:rPr>
      </w:pPr>
    </w:p>
    <w:p w14:paraId="2CAA4F21" w14:textId="77777777" w:rsidR="00253C31" w:rsidRPr="00484B22" w:rsidRDefault="00253C31" w:rsidP="00586358">
      <w:pPr>
        <w:pStyle w:val="NormalWeb"/>
        <w:shd w:val="clear" w:color="auto" w:fill="FFFFFF"/>
        <w:spacing w:after="0"/>
        <w:jc w:val="both"/>
        <w:rPr>
          <w:rFonts w:ascii="Geomanist Light" w:hAnsi="Geomanist Light" w:cs="Arial"/>
          <w:sz w:val="20"/>
          <w:szCs w:val="20"/>
          <w:lang w:val="es-ES_tradnl"/>
        </w:rPr>
      </w:pPr>
    </w:p>
    <w:p w14:paraId="1BBAF44F" w14:textId="77777777" w:rsidR="006B129B" w:rsidRPr="00484B22" w:rsidRDefault="006B129B" w:rsidP="00586358">
      <w:pPr>
        <w:pStyle w:val="NormalWeb"/>
        <w:shd w:val="clear" w:color="auto" w:fill="FFFFFF"/>
        <w:spacing w:after="0"/>
        <w:jc w:val="both"/>
        <w:rPr>
          <w:rFonts w:ascii="Geomanist Light" w:hAnsi="Geomanist Light" w:cs="Arial"/>
          <w:sz w:val="20"/>
          <w:szCs w:val="20"/>
          <w:lang w:val="es-ES_tradnl"/>
        </w:rPr>
      </w:pPr>
    </w:p>
    <w:p w14:paraId="3520D39A" w14:textId="77777777" w:rsidR="003120AF" w:rsidRPr="00484B22" w:rsidRDefault="003120AF" w:rsidP="003816CD">
      <w:pPr>
        <w:tabs>
          <w:tab w:val="left" w:pos="3374"/>
        </w:tabs>
        <w:spacing w:after="0" w:line="240" w:lineRule="auto"/>
        <w:rPr>
          <w:rFonts w:ascii="Geomanist Light" w:eastAsia="Calibri" w:hAnsi="Geomanist Light" w:cs="Arial"/>
          <w:sz w:val="20"/>
          <w:szCs w:val="20"/>
        </w:rPr>
      </w:pPr>
    </w:p>
    <w:p w14:paraId="2C688F64" w14:textId="77777777" w:rsidR="003120AF" w:rsidRPr="00484B22" w:rsidRDefault="003120AF" w:rsidP="003816CD">
      <w:pPr>
        <w:tabs>
          <w:tab w:val="left" w:pos="3374"/>
        </w:tabs>
        <w:spacing w:after="0" w:line="240" w:lineRule="auto"/>
        <w:rPr>
          <w:rFonts w:ascii="Geomanist Light" w:eastAsia="Calibri" w:hAnsi="Geomanist Light" w:cs="Arial"/>
        </w:rPr>
      </w:pPr>
    </w:p>
    <w:p w14:paraId="0B8DE850" w14:textId="57DC9D2E" w:rsidR="00171909" w:rsidRPr="00484B22" w:rsidRDefault="00171909" w:rsidP="003816CD">
      <w:pPr>
        <w:tabs>
          <w:tab w:val="left" w:pos="3374"/>
        </w:tabs>
        <w:spacing w:after="0" w:line="240" w:lineRule="auto"/>
        <w:rPr>
          <w:rFonts w:ascii="Geomanist Light" w:eastAsia="Calibri" w:hAnsi="Geomanist Light" w:cs="Arial"/>
          <w:bCs/>
          <w:color w:val="1A1A1A" w:themeColor="background1" w:themeShade="1A"/>
          <w:lang w:val="es-ES_tradnl"/>
        </w:rPr>
      </w:pPr>
      <w:r w:rsidRPr="00484B22">
        <w:rPr>
          <w:rFonts w:ascii="Geomanist Light" w:eastAsia="Calibri" w:hAnsi="Geomanist Light" w:cs="Arial"/>
          <w:bCs/>
          <w:color w:val="1A1A1A" w:themeColor="background1" w:themeShade="1A"/>
          <w:lang w:val="es-ES_tradnl"/>
        </w:rPr>
        <w:t xml:space="preserve">Bogotá D.C., </w:t>
      </w:r>
      <w:r w:rsidR="00C16EB7" w:rsidRPr="00484B22">
        <w:rPr>
          <w:rFonts w:ascii="Geomanist Light" w:eastAsia="Calibri" w:hAnsi="Geomanist Light" w:cs="Arial"/>
          <w:bCs/>
          <w:color w:val="1A1A1A" w:themeColor="background1" w:themeShade="1A"/>
          <w:lang w:val="es-ES_tradnl"/>
        </w:rPr>
        <w:t>30 de noviembre</w:t>
      </w:r>
      <w:r w:rsidRPr="00484B22">
        <w:rPr>
          <w:rFonts w:ascii="Geomanist Light" w:eastAsia="Calibri" w:hAnsi="Geomanist Light" w:cs="Arial"/>
          <w:bCs/>
          <w:color w:val="1A1A1A" w:themeColor="background1" w:themeShade="1A"/>
          <w:lang w:val="es-ES_tradnl"/>
        </w:rPr>
        <w:t xml:space="preserve"> de 2022</w:t>
      </w:r>
    </w:p>
    <w:p w14:paraId="4571F94B" w14:textId="407596BA" w:rsidR="00171909" w:rsidRPr="00484B22" w:rsidRDefault="00171909" w:rsidP="003816CD">
      <w:pPr>
        <w:tabs>
          <w:tab w:val="left" w:pos="3374"/>
        </w:tabs>
        <w:spacing w:after="0" w:line="240" w:lineRule="auto"/>
        <w:rPr>
          <w:rFonts w:ascii="Geomanist Light" w:eastAsia="Calibri" w:hAnsi="Geomanist Light" w:cs="Arial"/>
          <w:bCs/>
          <w:color w:val="1A1A1A" w:themeColor="background1" w:themeShade="1A"/>
          <w:lang w:val="es-ES_tradnl"/>
        </w:rPr>
      </w:pPr>
    </w:p>
    <w:p w14:paraId="7A24274C" w14:textId="25785713" w:rsidR="00171909" w:rsidRPr="00484B22" w:rsidRDefault="009F1C9B" w:rsidP="009F1C9B">
      <w:pPr>
        <w:tabs>
          <w:tab w:val="left" w:pos="3374"/>
        </w:tabs>
        <w:spacing w:after="0" w:line="240" w:lineRule="auto"/>
        <w:jc w:val="right"/>
        <w:rPr>
          <w:rFonts w:ascii="Geomanist Light" w:eastAsia="Calibri" w:hAnsi="Geomanist Light" w:cs="Arial"/>
          <w:bCs/>
          <w:color w:val="1A1A1A" w:themeColor="background1" w:themeShade="1A"/>
          <w:lang w:val="es-ES_tradnl"/>
        </w:rPr>
      </w:pPr>
      <w:r>
        <w:rPr>
          <w:noProof/>
          <w:lang w:val="en-US"/>
        </w:rPr>
        <w:drawing>
          <wp:inline distT="0" distB="0" distL="0" distR="0" wp14:anchorId="14B12DFA" wp14:editId="4F4B753D">
            <wp:extent cx="3375489" cy="904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93" t="53127" r="19445" b="19854"/>
                    <a:stretch/>
                  </pic:blipFill>
                  <pic:spPr bwMode="auto">
                    <a:xfrm>
                      <a:off x="0" y="0"/>
                      <a:ext cx="3386140" cy="907730"/>
                    </a:xfrm>
                    <a:prstGeom prst="rect">
                      <a:avLst/>
                    </a:prstGeom>
                    <a:ln>
                      <a:noFill/>
                    </a:ln>
                    <a:extLst>
                      <a:ext uri="{53640926-AAD7-44D8-BBD7-CCE9431645EC}">
                        <a14:shadowObscured xmlns:a14="http://schemas.microsoft.com/office/drawing/2010/main"/>
                      </a:ext>
                    </a:extLst>
                  </pic:spPr>
                </pic:pic>
              </a:graphicData>
            </a:graphic>
          </wp:inline>
        </w:drawing>
      </w:r>
    </w:p>
    <w:p w14:paraId="0741F965" w14:textId="77777777" w:rsidR="004258D0" w:rsidRPr="00484B22" w:rsidRDefault="004258D0" w:rsidP="003816CD">
      <w:pPr>
        <w:tabs>
          <w:tab w:val="left" w:pos="3374"/>
        </w:tabs>
        <w:spacing w:after="0" w:line="240" w:lineRule="auto"/>
        <w:rPr>
          <w:rFonts w:ascii="Geomanist Light" w:eastAsia="Calibri" w:hAnsi="Geomanist Light" w:cs="Arial"/>
          <w:bCs/>
          <w:color w:val="1A1A1A" w:themeColor="background1" w:themeShade="1A"/>
          <w:lang w:val="es-ES_tradnl"/>
        </w:rPr>
      </w:pPr>
    </w:p>
    <w:p w14:paraId="399C47A4" w14:textId="1D74071F" w:rsidR="00137E23" w:rsidRPr="00484B22" w:rsidRDefault="00137E23" w:rsidP="003816CD">
      <w:pPr>
        <w:tabs>
          <w:tab w:val="left" w:pos="3374"/>
        </w:tabs>
        <w:spacing w:after="0" w:line="240" w:lineRule="auto"/>
        <w:rPr>
          <w:rFonts w:ascii="Geomanist Light" w:eastAsia="Calibri" w:hAnsi="Geomanist Light" w:cs="Arial"/>
          <w:bCs/>
          <w:color w:val="1A1A1A" w:themeColor="background1" w:themeShade="1A"/>
          <w:lang w:val="es-ES_tradnl"/>
        </w:rPr>
      </w:pPr>
      <w:r w:rsidRPr="00484B22">
        <w:rPr>
          <w:rFonts w:ascii="Geomanist Light" w:eastAsia="Calibri" w:hAnsi="Geomanist Light" w:cs="Arial"/>
          <w:bCs/>
          <w:color w:val="1A1A1A" w:themeColor="background1" w:themeShade="1A"/>
          <w:lang w:val="es-ES_tradnl"/>
        </w:rPr>
        <w:t>Señor</w:t>
      </w:r>
    </w:p>
    <w:p w14:paraId="6B1A51C1" w14:textId="55F01E53" w:rsidR="00586358" w:rsidRPr="00484B22" w:rsidRDefault="00E627CD" w:rsidP="00881F9F">
      <w:pPr>
        <w:spacing w:after="0" w:line="240" w:lineRule="auto"/>
        <w:rPr>
          <w:rFonts w:ascii="Geomanist Light" w:eastAsia="Calibri" w:hAnsi="Geomanist Light" w:cs="Arial"/>
          <w:b/>
          <w:color w:val="1A1A1A" w:themeColor="background1" w:themeShade="1A"/>
          <w:lang w:val="es-ES_tradnl"/>
        </w:rPr>
      </w:pPr>
      <w:r w:rsidRPr="00484B22">
        <w:rPr>
          <w:rFonts w:ascii="Geomanist Light" w:eastAsia="Calibri" w:hAnsi="Geomanist Light" w:cs="Arial"/>
          <w:b/>
          <w:color w:val="1A1A1A" w:themeColor="background1" w:themeShade="1A"/>
          <w:lang w:val="es-ES_tradnl"/>
        </w:rPr>
        <w:t>Manuel Jair Zúñiga Bravo</w:t>
      </w:r>
    </w:p>
    <w:p w14:paraId="66CD8E24" w14:textId="707457BE" w:rsidR="006D3709" w:rsidRPr="00484B22" w:rsidRDefault="003B4EFC" w:rsidP="005F73C3">
      <w:pPr>
        <w:rPr>
          <w:rFonts w:ascii="Geomanist Light" w:eastAsia="Calibri" w:hAnsi="Geomanist Light" w:cs="Arial"/>
          <w:bCs/>
          <w:color w:val="1A1A1A" w:themeColor="background1" w:themeShade="1A"/>
          <w:lang w:val="es-ES_tradnl"/>
        </w:rPr>
      </w:pPr>
      <w:r w:rsidRPr="00484B22">
        <w:rPr>
          <w:rFonts w:ascii="Geomanist Light" w:eastAsia="Calibri" w:hAnsi="Geomanist Light" w:cs="Arial"/>
          <w:bCs/>
          <w:color w:val="1A1A1A" w:themeColor="background1" w:themeShade="1A"/>
          <w:lang w:val="es-ES_tradnl"/>
        </w:rPr>
        <w:t>Mocoa</w:t>
      </w:r>
      <w:r w:rsidR="00EC236F" w:rsidRPr="00484B22">
        <w:rPr>
          <w:rFonts w:ascii="Geomanist Light" w:eastAsia="Calibri" w:hAnsi="Geomanist Light" w:cs="Arial"/>
          <w:bCs/>
          <w:color w:val="1A1A1A" w:themeColor="background1" w:themeShade="1A"/>
          <w:lang w:val="es-ES_tradnl"/>
        </w:rPr>
        <w:t>, Putumayo</w:t>
      </w:r>
    </w:p>
    <w:p w14:paraId="1F232330" w14:textId="0488A16C" w:rsidR="00137E23" w:rsidRPr="00484B22" w:rsidRDefault="00137E23" w:rsidP="00A30642">
      <w:pPr>
        <w:ind w:left="2116" w:firstLine="708"/>
        <w:rPr>
          <w:rFonts w:ascii="Geomanist Light" w:eastAsia="Calibri" w:hAnsi="Geomanist Light" w:cs="Arial"/>
          <w:b/>
        </w:rPr>
      </w:pPr>
      <w:r w:rsidRPr="00484B22">
        <w:rPr>
          <w:rFonts w:ascii="Geomanist Light" w:eastAsia="Calibri" w:hAnsi="Geomanist Light" w:cs="Arial"/>
          <w:b/>
        </w:rPr>
        <w:t>Concepto C –</w:t>
      </w:r>
      <w:r w:rsidR="00926EB3" w:rsidRPr="00484B22">
        <w:rPr>
          <w:rFonts w:ascii="Geomanist Light" w:eastAsia="Calibri" w:hAnsi="Geomanist Light" w:cs="Arial"/>
          <w:b/>
        </w:rPr>
        <w:t xml:space="preserve"> </w:t>
      </w:r>
      <w:r w:rsidR="005F73C3" w:rsidRPr="00484B22">
        <w:rPr>
          <w:rFonts w:ascii="Geomanist Light" w:eastAsia="Calibri" w:hAnsi="Geomanist Light" w:cs="Arial"/>
          <w:b/>
        </w:rPr>
        <w:t xml:space="preserve">703 </w:t>
      </w:r>
      <w:r w:rsidRPr="00484B22">
        <w:rPr>
          <w:rFonts w:ascii="Geomanist Light" w:eastAsia="Calibri" w:hAnsi="Geomanist Light" w:cs="Arial"/>
          <w:b/>
        </w:rPr>
        <w:t>de 202</w:t>
      </w:r>
      <w:r w:rsidR="000E0118" w:rsidRPr="00484B22">
        <w:rPr>
          <w:rFonts w:ascii="Geomanist Light" w:eastAsia="Calibri" w:hAnsi="Geomanist Light" w:cs="Arial"/>
          <w:b/>
        </w:rPr>
        <w:t>2</w:t>
      </w:r>
    </w:p>
    <w:p w14:paraId="2C2CCF04" w14:textId="799EC7ED" w:rsidR="000E0118" w:rsidRPr="00484B22" w:rsidRDefault="00A30642" w:rsidP="00392B77">
      <w:pPr>
        <w:ind w:left="2824" w:hanging="2824"/>
        <w:jc w:val="both"/>
        <w:rPr>
          <w:rFonts w:ascii="Geomanist Light" w:eastAsia="Calibri" w:hAnsi="Geomanist Light" w:cs="Arial"/>
          <w:bCs/>
          <w:color w:val="1A1A1A" w:themeColor="background1" w:themeShade="1A"/>
        </w:rPr>
      </w:pPr>
      <w:r w:rsidRPr="00484B22">
        <w:rPr>
          <w:rFonts w:ascii="Geomanist Light" w:eastAsia="Calibri" w:hAnsi="Geomanist Light" w:cs="Arial"/>
          <w:b/>
          <w:noProof/>
          <w:color w:val="1A1A1A" w:themeColor="background1" w:themeShade="1A"/>
          <w:lang w:val="es-ES_tradnl"/>
        </w:rPr>
        <w:t>Temas</w:t>
      </w:r>
      <w:r w:rsidRPr="00484B22">
        <w:rPr>
          <w:rFonts w:ascii="Geomanist Light" w:eastAsia="Calibri" w:hAnsi="Geomanist Light" w:cs="Arial"/>
          <w:bCs/>
          <w:noProof/>
          <w:color w:val="1A1A1A" w:themeColor="background1" w:themeShade="1A"/>
          <w:lang w:val="es-ES_tradnl"/>
        </w:rPr>
        <w:t xml:space="preserve">: </w:t>
      </w:r>
      <w:r w:rsidRPr="00484B22">
        <w:rPr>
          <w:rFonts w:ascii="Geomanist Light" w:eastAsia="Calibri" w:hAnsi="Geomanist Light" w:cs="Arial"/>
          <w:bCs/>
          <w:noProof/>
          <w:color w:val="1A1A1A" w:themeColor="background1" w:themeShade="1A"/>
          <w:lang w:val="es-ES_tradnl"/>
        </w:rPr>
        <w:tab/>
      </w:r>
      <w:r w:rsidR="005F73C3" w:rsidRPr="00484B22">
        <w:rPr>
          <w:rFonts w:ascii="Geomanist Light" w:eastAsia="Calibri" w:hAnsi="Geomanist Light" w:cs="Arial"/>
          <w:bCs/>
          <w:lang w:val="es-ES_tradnl"/>
        </w:rPr>
        <w:t xml:space="preserve">ANTICIPO – Regulación normativa </w:t>
      </w:r>
      <w:r w:rsidR="005F73C3" w:rsidRPr="00484B22">
        <w:rPr>
          <w:rFonts w:ascii="Geomanist Light" w:hAnsi="Geomanist Light" w:cs="Arial"/>
          <w:bCs/>
          <w:color w:val="000000" w:themeColor="text1"/>
          <w:lang w:val="es-ES"/>
        </w:rPr>
        <w:t xml:space="preserve">/ </w:t>
      </w:r>
      <w:r w:rsidR="005F73C3" w:rsidRPr="00484B22">
        <w:rPr>
          <w:rFonts w:ascii="Geomanist Light" w:hAnsi="Geomanist Light" w:cs="Arial"/>
          <w:bCs/>
        </w:rPr>
        <w:t xml:space="preserve">ANTICIPO – Definición jurisprudencial </w:t>
      </w:r>
      <w:r w:rsidR="005F73C3" w:rsidRPr="00484B22">
        <w:rPr>
          <w:rFonts w:ascii="Geomanist Light" w:hAnsi="Geomanist Light" w:cs="Arial"/>
          <w:bCs/>
          <w:color w:val="000000" w:themeColor="text1"/>
          <w:lang w:val="es-ES"/>
        </w:rPr>
        <w:t xml:space="preserve">/ </w:t>
      </w:r>
      <w:r w:rsidR="005F73C3" w:rsidRPr="00484B22">
        <w:rPr>
          <w:rFonts w:ascii="Geomanist Light" w:hAnsi="Geomanist Light" w:cs="Arial"/>
          <w:bCs/>
          <w:color w:val="000000" w:themeColor="text1"/>
        </w:rPr>
        <w:t>ANTICIPO – Autonomía de la voluntad – Derechos y obligaciones recíproc</w:t>
      </w:r>
      <w:r w:rsidR="00171909" w:rsidRPr="00484B22">
        <w:rPr>
          <w:rFonts w:ascii="Geomanist Light" w:hAnsi="Geomanist Light" w:cs="Arial"/>
          <w:bCs/>
          <w:color w:val="000000" w:themeColor="text1"/>
        </w:rPr>
        <w:t>a</w:t>
      </w:r>
      <w:r w:rsidR="005F73C3" w:rsidRPr="00484B22">
        <w:rPr>
          <w:rFonts w:ascii="Geomanist Light" w:hAnsi="Geomanist Light" w:cs="Arial"/>
          <w:bCs/>
          <w:color w:val="000000" w:themeColor="text1"/>
        </w:rPr>
        <w:t xml:space="preserve">s </w:t>
      </w:r>
      <w:r w:rsidR="005F73C3" w:rsidRPr="00484B22">
        <w:rPr>
          <w:rFonts w:ascii="Geomanist Light" w:eastAsia="Calibri" w:hAnsi="Geomanist Light" w:cs="Arial"/>
          <w:bCs/>
          <w:color w:val="000000" w:themeColor="text1"/>
        </w:rPr>
        <w:t xml:space="preserve">/ </w:t>
      </w:r>
      <w:r w:rsidR="00E4539D" w:rsidRPr="00484B22">
        <w:rPr>
          <w:rFonts w:ascii="Geomanist Light" w:eastAsia="Calibri" w:hAnsi="Geomanist Light" w:cs="Arial"/>
          <w:bCs/>
          <w:color w:val="000000" w:themeColor="text1"/>
        </w:rPr>
        <w:t xml:space="preserve">CONTRATO DE FIDUCIA PÚBLICA – Contrato de fiducia mercantil – Diferencias – Ley 80 de 1993 / </w:t>
      </w:r>
      <w:r w:rsidR="005F73C3" w:rsidRPr="00484B22">
        <w:rPr>
          <w:rFonts w:ascii="Geomanist Light" w:eastAsia="Calibri" w:hAnsi="Geomanist Light" w:cs="Arial"/>
          <w:bCs/>
          <w:color w:val="000000" w:themeColor="text1"/>
        </w:rPr>
        <w:t xml:space="preserve">CONSTITUCIÓN DE FIDUCIA O PATRIMONIO AUTÓNOMO IRREVOCABLE – Artículo 91 ley 1474 de 2011 / CONSTITUCIÓN DE FIDUCIA O PATRIMONIO AUTÓNOMO IRREVOCABLE </w:t>
      </w:r>
      <w:r w:rsidR="00E4539D" w:rsidRPr="00484B22">
        <w:rPr>
          <w:rFonts w:ascii="Geomanist Light" w:eastAsia="Calibri" w:hAnsi="Geomanist Light" w:cs="Arial"/>
          <w:bCs/>
          <w:lang w:val="es-ES_tradnl"/>
        </w:rPr>
        <w:t>–</w:t>
      </w:r>
      <w:r w:rsidR="005F73C3" w:rsidRPr="00484B22">
        <w:rPr>
          <w:rFonts w:ascii="Geomanist Light" w:eastAsia="Calibri" w:hAnsi="Geomanist Light" w:cs="Arial"/>
          <w:bCs/>
          <w:color w:val="000000" w:themeColor="text1"/>
        </w:rPr>
        <w:t xml:space="preserve"> </w:t>
      </w:r>
      <w:proofErr w:type="spellStart"/>
      <w:r w:rsidR="004E782E">
        <w:rPr>
          <w:rFonts w:ascii="Geomanist Light" w:eastAsia="Calibri" w:hAnsi="Geomanist Light" w:cs="Arial"/>
          <w:bCs/>
          <w:color w:val="000000" w:themeColor="text1"/>
        </w:rPr>
        <w:t>À</w:t>
      </w:r>
      <w:r w:rsidR="005F73C3" w:rsidRPr="00484B22">
        <w:rPr>
          <w:rFonts w:ascii="Geomanist Light" w:eastAsia="Calibri" w:hAnsi="Geomanist Light" w:cs="Arial"/>
          <w:bCs/>
          <w:color w:val="000000" w:themeColor="text1"/>
        </w:rPr>
        <w:t>mbito</w:t>
      </w:r>
      <w:proofErr w:type="spellEnd"/>
      <w:r w:rsidR="005F73C3" w:rsidRPr="00484B22">
        <w:rPr>
          <w:rFonts w:ascii="Geomanist Light" w:eastAsia="Calibri" w:hAnsi="Geomanist Light" w:cs="Arial"/>
          <w:bCs/>
          <w:color w:val="000000" w:themeColor="text1"/>
        </w:rPr>
        <w:t xml:space="preserve"> de aplicación </w:t>
      </w:r>
      <w:r w:rsidR="00E4539D" w:rsidRPr="00484B22">
        <w:rPr>
          <w:rFonts w:ascii="Geomanist Light" w:eastAsia="Calibri" w:hAnsi="Geomanist Light" w:cs="Arial"/>
          <w:bCs/>
          <w:lang w:val="es-ES_tradnl"/>
        </w:rPr>
        <w:t>–</w:t>
      </w:r>
      <w:r w:rsidR="005F73C3" w:rsidRPr="00484B22">
        <w:rPr>
          <w:rFonts w:ascii="Geomanist Light" w:eastAsia="Calibri" w:hAnsi="Geomanist Light" w:cs="Arial"/>
          <w:bCs/>
          <w:color w:val="000000" w:themeColor="text1"/>
        </w:rPr>
        <w:t xml:space="preserve"> Contratos aplicables</w:t>
      </w:r>
      <w:r w:rsidR="00E4539D" w:rsidRPr="00484B22">
        <w:rPr>
          <w:rFonts w:ascii="Geomanist Light" w:eastAsia="Calibri" w:hAnsi="Geomanist Light" w:cs="Arial"/>
          <w:bCs/>
          <w:color w:val="000000" w:themeColor="text1"/>
        </w:rPr>
        <w:t xml:space="preserve">. </w:t>
      </w:r>
    </w:p>
    <w:p w14:paraId="1445D9F2" w14:textId="4FA898AD" w:rsidR="00783852" w:rsidRPr="00484B22" w:rsidRDefault="00A30642" w:rsidP="00163D53">
      <w:pPr>
        <w:ind w:left="2824" w:hanging="2818"/>
        <w:jc w:val="both"/>
        <w:rPr>
          <w:rFonts w:ascii="Geomanist Light" w:eastAsia="Calibri" w:hAnsi="Geomanist Light" w:cs="Arial"/>
          <w:bCs/>
          <w:noProof/>
          <w:color w:val="1A1A1A" w:themeColor="background1" w:themeShade="1A"/>
          <w:lang w:val="es-ES_tradnl"/>
        </w:rPr>
      </w:pPr>
      <w:r w:rsidRPr="00484B22">
        <w:rPr>
          <w:rFonts w:ascii="Geomanist Light" w:eastAsia="Calibri" w:hAnsi="Geomanist Light" w:cs="Arial"/>
          <w:b/>
          <w:noProof/>
          <w:color w:val="1A1A1A" w:themeColor="background1" w:themeShade="1A"/>
          <w:lang w:val="es-ES_tradnl"/>
        </w:rPr>
        <w:t>Radicación</w:t>
      </w:r>
      <w:r w:rsidRPr="00484B22">
        <w:rPr>
          <w:rFonts w:ascii="Geomanist Light" w:eastAsia="Calibri" w:hAnsi="Geomanist Light" w:cs="Arial"/>
          <w:bCs/>
          <w:noProof/>
          <w:color w:val="1A1A1A" w:themeColor="background1" w:themeShade="1A"/>
          <w:lang w:val="es-ES_tradnl"/>
        </w:rPr>
        <w:t>:</w:t>
      </w:r>
      <w:r w:rsidRPr="00484B22">
        <w:rPr>
          <w:rFonts w:ascii="Geomanist Light" w:eastAsia="Calibri" w:hAnsi="Geomanist Light" w:cs="Arial"/>
          <w:bCs/>
          <w:noProof/>
          <w:color w:val="1A1A1A" w:themeColor="background1" w:themeShade="1A"/>
          <w:lang w:val="es-ES_tradnl"/>
        </w:rPr>
        <w:tab/>
        <w:t xml:space="preserve">Respuesta a consulta </w:t>
      </w:r>
      <w:r w:rsidR="005F73C3" w:rsidRPr="00484B22">
        <w:rPr>
          <w:rFonts w:ascii="Geomanist Light" w:eastAsia="Calibri" w:hAnsi="Geomanist Light" w:cs="Arial"/>
          <w:bCs/>
          <w:noProof/>
          <w:color w:val="1A1A1A" w:themeColor="background1" w:themeShade="1A"/>
          <w:lang w:val="es-ES_tradnl"/>
        </w:rPr>
        <w:t xml:space="preserve">P20220913009200. </w:t>
      </w:r>
    </w:p>
    <w:p w14:paraId="5874A272" w14:textId="69326965" w:rsidR="00137E23" w:rsidRPr="00484B22" w:rsidRDefault="00137E23" w:rsidP="00830AB8">
      <w:pPr>
        <w:tabs>
          <w:tab w:val="left" w:pos="3374"/>
        </w:tabs>
        <w:spacing w:after="0"/>
        <w:rPr>
          <w:rFonts w:ascii="Geomanist Light" w:eastAsia="Calibri" w:hAnsi="Geomanist Light" w:cs="Arial"/>
        </w:rPr>
      </w:pPr>
      <w:r w:rsidRPr="00484B22">
        <w:rPr>
          <w:rFonts w:ascii="Geomanist Light" w:eastAsia="Calibri" w:hAnsi="Geomanist Light" w:cs="Arial"/>
        </w:rPr>
        <w:t>Estimad</w:t>
      </w:r>
      <w:r w:rsidR="005F73C3" w:rsidRPr="00484B22">
        <w:rPr>
          <w:rFonts w:ascii="Geomanist Light" w:eastAsia="Calibri" w:hAnsi="Geomanist Light" w:cs="Arial"/>
        </w:rPr>
        <w:t>o</w:t>
      </w:r>
      <w:r w:rsidR="00E62C8E" w:rsidRPr="00484B22">
        <w:rPr>
          <w:rFonts w:ascii="Geomanist Light" w:eastAsia="Calibri" w:hAnsi="Geomanist Light" w:cs="Arial"/>
        </w:rPr>
        <w:t xml:space="preserve"> </w:t>
      </w:r>
      <w:r w:rsidRPr="00484B22">
        <w:rPr>
          <w:rFonts w:ascii="Geomanist Light" w:eastAsia="Calibri" w:hAnsi="Geomanist Light" w:cs="Arial"/>
        </w:rPr>
        <w:t>señor</w:t>
      </w:r>
      <w:r w:rsidR="00830AB8" w:rsidRPr="00484B22">
        <w:rPr>
          <w:rFonts w:ascii="Geomanist Light" w:hAnsi="Geomanist Light" w:cs="Arial"/>
          <w:b/>
          <w:bCs/>
        </w:rPr>
        <w:t xml:space="preserve"> </w:t>
      </w:r>
      <w:r w:rsidR="005F73C3" w:rsidRPr="00484B22">
        <w:rPr>
          <w:rFonts w:ascii="Geomanist Light" w:hAnsi="Geomanist Light" w:cs="Arial"/>
        </w:rPr>
        <w:t>Zúñiga</w:t>
      </w:r>
      <w:r w:rsidR="003A7A79" w:rsidRPr="00484B22">
        <w:rPr>
          <w:rFonts w:ascii="Geomanist Light" w:hAnsi="Geomanist Light" w:cs="Arial"/>
        </w:rPr>
        <w:t xml:space="preserve">, </w:t>
      </w:r>
      <w:r w:rsidR="00E62C8E" w:rsidRPr="00484B22">
        <w:rPr>
          <w:rFonts w:ascii="Geomanist Light" w:hAnsi="Geomanist Light" w:cs="Arial"/>
        </w:rPr>
        <w:t xml:space="preserve"> </w:t>
      </w:r>
      <w:r w:rsidR="005F6209" w:rsidRPr="00484B22">
        <w:rPr>
          <w:rFonts w:ascii="Geomanist Light" w:hAnsi="Geomanist Light" w:cs="Arial"/>
          <w:b/>
          <w:bCs/>
        </w:rPr>
        <w:t xml:space="preserve"> </w:t>
      </w:r>
    </w:p>
    <w:p w14:paraId="06382AAE" w14:textId="77777777" w:rsidR="00423644" w:rsidRPr="00484B22" w:rsidRDefault="00423644" w:rsidP="00423644">
      <w:pPr>
        <w:spacing w:after="0" w:line="276" w:lineRule="auto"/>
        <w:jc w:val="both"/>
        <w:rPr>
          <w:rFonts w:ascii="Geomanist Light" w:eastAsia="Calibri" w:hAnsi="Geomanist Light" w:cs="Arial"/>
        </w:rPr>
      </w:pPr>
    </w:p>
    <w:p w14:paraId="743F6248" w14:textId="466B8636" w:rsidR="00830AB8" w:rsidRPr="00484B22" w:rsidRDefault="00423644" w:rsidP="00423644">
      <w:pPr>
        <w:spacing w:after="0" w:line="276" w:lineRule="auto"/>
        <w:jc w:val="both"/>
        <w:rPr>
          <w:rFonts w:ascii="Geomanist Light" w:eastAsia="Calibri" w:hAnsi="Geomanist Light" w:cs="Arial"/>
        </w:rPr>
      </w:pPr>
      <w:r w:rsidRPr="00484B22">
        <w:rPr>
          <w:rFonts w:ascii="Geomanist Light" w:eastAsia="Calibri" w:hAnsi="Geomanist Light" w:cs="Arial"/>
        </w:rPr>
        <w:t xml:space="preserve">En ejercicio de la competencia otorgada por el numeral 8 del artículo 11 y el numeral 5 del artículo 3 del Decreto Ley 4170 de 2011, la Agencia Nacional de Contratación Pública− Colombia Compra Eficiente responde su consulta </w:t>
      </w:r>
      <w:r w:rsidR="00255005" w:rsidRPr="00484B22">
        <w:rPr>
          <w:rFonts w:ascii="Geomanist Light" w:eastAsia="Calibri" w:hAnsi="Geomanist Light" w:cs="Arial"/>
        </w:rPr>
        <w:t xml:space="preserve">radicada </w:t>
      </w:r>
      <w:r w:rsidR="004052CC" w:rsidRPr="00484B22">
        <w:rPr>
          <w:rFonts w:ascii="Geomanist Light" w:eastAsia="Calibri" w:hAnsi="Geomanist Light" w:cs="Arial"/>
        </w:rPr>
        <w:t>e</w:t>
      </w:r>
      <w:r w:rsidR="00255005" w:rsidRPr="00484B22">
        <w:rPr>
          <w:rFonts w:ascii="Geomanist Light" w:eastAsia="Calibri" w:hAnsi="Geomanist Light" w:cs="Arial"/>
        </w:rPr>
        <w:t>l</w:t>
      </w:r>
      <w:r w:rsidR="004052CC" w:rsidRPr="00484B22">
        <w:rPr>
          <w:rFonts w:ascii="Geomanist Light" w:eastAsia="Calibri" w:hAnsi="Geomanist Light" w:cs="Arial"/>
        </w:rPr>
        <w:t xml:space="preserve"> </w:t>
      </w:r>
      <w:r w:rsidR="00255005" w:rsidRPr="00484B22">
        <w:rPr>
          <w:rFonts w:ascii="Geomanist Light" w:eastAsia="Calibri" w:hAnsi="Geomanist Light" w:cs="Arial"/>
        </w:rPr>
        <w:t>13</w:t>
      </w:r>
      <w:r w:rsidR="005F73C3" w:rsidRPr="00484B22">
        <w:rPr>
          <w:rFonts w:ascii="Geomanist Light" w:eastAsia="Calibri" w:hAnsi="Geomanist Light" w:cs="Arial"/>
        </w:rPr>
        <w:t xml:space="preserve"> de septiembre</w:t>
      </w:r>
      <w:r w:rsidR="003A7A79" w:rsidRPr="00484B22">
        <w:rPr>
          <w:rFonts w:ascii="Geomanist Light" w:eastAsia="Calibri" w:hAnsi="Geomanist Light" w:cs="Arial"/>
        </w:rPr>
        <w:t xml:space="preserve"> </w:t>
      </w:r>
      <w:r w:rsidRPr="00484B22">
        <w:rPr>
          <w:rFonts w:ascii="Geomanist Light" w:eastAsia="Calibri" w:hAnsi="Geomanist Light" w:cs="Arial"/>
        </w:rPr>
        <w:t>de 2022.</w:t>
      </w:r>
    </w:p>
    <w:p w14:paraId="4617D601" w14:textId="77777777" w:rsidR="00423644" w:rsidRPr="00484B22" w:rsidRDefault="00423644" w:rsidP="00423644">
      <w:pPr>
        <w:spacing w:after="0" w:line="276" w:lineRule="auto"/>
        <w:jc w:val="both"/>
        <w:rPr>
          <w:rFonts w:ascii="Geomanist Light" w:hAnsi="Geomanist Light" w:cs="Arial"/>
          <w:lang w:val="es-ES_tradnl"/>
        </w:rPr>
      </w:pPr>
    </w:p>
    <w:p w14:paraId="6A56E98F" w14:textId="77777777" w:rsidR="00830AB8" w:rsidRPr="00484B22" w:rsidRDefault="00830AB8" w:rsidP="00830AB8">
      <w:pPr>
        <w:tabs>
          <w:tab w:val="left" w:pos="284"/>
        </w:tabs>
        <w:spacing w:after="0" w:line="276" w:lineRule="auto"/>
        <w:contextualSpacing/>
        <w:jc w:val="both"/>
        <w:rPr>
          <w:rFonts w:ascii="Geomanist Light" w:eastAsia="Calibri" w:hAnsi="Geomanist Light" w:cs="Arial"/>
          <w:b/>
        </w:rPr>
      </w:pPr>
      <w:r w:rsidRPr="00484B22">
        <w:rPr>
          <w:rFonts w:ascii="Geomanist Light" w:eastAsia="Calibri" w:hAnsi="Geomanist Light" w:cs="Arial"/>
          <w:b/>
        </w:rPr>
        <w:t xml:space="preserve">1. Problema planteado </w:t>
      </w:r>
    </w:p>
    <w:p w14:paraId="234B12EE" w14:textId="77777777" w:rsidR="00830AB8" w:rsidRPr="00484B22" w:rsidRDefault="00830AB8" w:rsidP="00830AB8">
      <w:pPr>
        <w:tabs>
          <w:tab w:val="left" w:pos="426"/>
        </w:tabs>
        <w:spacing w:after="0" w:line="276" w:lineRule="auto"/>
        <w:jc w:val="both"/>
        <w:rPr>
          <w:rFonts w:ascii="Geomanist Light" w:eastAsia="Calibri" w:hAnsi="Geomanist Light" w:cs="Arial"/>
        </w:rPr>
      </w:pPr>
    </w:p>
    <w:p w14:paraId="43F49BED" w14:textId="74649516" w:rsidR="006C452D" w:rsidRDefault="00FF5BF5" w:rsidP="003F6FF6">
      <w:pPr>
        <w:spacing w:after="0" w:line="276" w:lineRule="auto"/>
        <w:jc w:val="both"/>
        <w:rPr>
          <w:rFonts w:ascii="Geomanist Light" w:hAnsi="Geomanist Light" w:cs="Arial"/>
          <w:color w:val="1A1A1A" w:themeColor="background1" w:themeShade="1A"/>
        </w:rPr>
      </w:pPr>
      <w:r w:rsidRPr="00484B22">
        <w:rPr>
          <w:rFonts w:ascii="Geomanist Light" w:hAnsi="Geomanist Light" w:cs="Arial"/>
          <w:color w:val="1A1A1A" w:themeColor="background1" w:themeShade="1A"/>
          <w:lang w:val="es-ES_tradnl"/>
        </w:rPr>
        <w:t xml:space="preserve">Usted formula la siguiente consulta: </w:t>
      </w:r>
      <w:bookmarkStart w:id="1" w:name="_Hlk106025682"/>
      <w:r w:rsidR="003A7A79" w:rsidRPr="00484B22">
        <w:rPr>
          <w:rFonts w:ascii="Geomanist Light" w:hAnsi="Geomanist Light" w:cs="Arial"/>
          <w:color w:val="1A1A1A" w:themeColor="background1" w:themeShade="1A"/>
        </w:rPr>
        <w:t>«</w:t>
      </w:r>
      <w:r w:rsidR="00D871D6" w:rsidRPr="00484B22">
        <w:rPr>
          <w:rFonts w:ascii="Geomanist Light" w:hAnsi="Geomanist Light" w:cs="Arial"/>
          <w:color w:val="1A1A1A" w:themeColor="background1" w:themeShade="1A"/>
        </w:rPr>
        <w:t>¿Cuál es el alcance de la Ley 1474 de 2011, en especial su artículo 91, en concordancia con el artículo 33 del decreto 4730 de 2005, cuando en un encargo fiduciario constituido para el manejo de un anticipo de un contrato de obra, no se generan rendimientos, sino que por el contrario ocasionan disminución del valor del anticipo? ¿al tenor de dicha normatividad quien debería asumir el riesgo, la entidad pública contratante o el contratista?»</w:t>
      </w:r>
      <w:r w:rsidR="00E6256E" w:rsidRPr="00484B22">
        <w:rPr>
          <w:rFonts w:ascii="Geomanist Light" w:hAnsi="Geomanist Light" w:cs="Arial"/>
          <w:color w:val="1A1A1A" w:themeColor="background1" w:themeShade="1A"/>
        </w:rPr>
        <w:t>.</w:t>
      </w:r>
    </w:p>
    <w:p w14:paraId="51B86780" w14:textId="77777777" w:rsidR="003F6FF6" w:rsidRPr="003F6FF6" w:rsidRDefault="003F6FF6" w:rsidP="003F6FF6">
      <w:pPr>
        <w:spacing w:after="0" w:line="276" w:lineRule="auto"/>
        <w:jc w:val="both"/>
        <w:rPr>
          <w:rFonts w:ascii="Geomanist Light" w:hAnsi="Geomanist Light" w:cs="Arial"/>
          <w:color w:val="1A1A1A" w:themeColor="background1" w:themeShade="1A"/>
        </w:rPr>
      </w:pPr>
    </w:p>
    <w:bookmarkEnd w:id="1"/>
    <w:p w14:paraId="40DB22C1" w14:textId="710168FD" w:rsidR="00830AB8" w:rsidRPr="00484B22" w:rsidRDefault="00830AB8" w:rsidP="006C452D">
      <w:pPr>
        <w:spacing w:after="0" w:line="240" w:lineRule="auto"/>
        <w:ind w:right="709"/>
        <w:jc w:val="both"/>
        <w:rPr>
          <w:rFonts w:ascii="Geomanist Light" w:eastAsia="Calibri" w:hAnsi="Geomanist Light" w:cs="Arial"/>
          <w:b/>
        </w:rPr>
      </w:pPr>
      <w:r w:rsidRPr="00484B22">
        <w:rPr>
          <w:rFonts w:ascii="Geomanist Light" w:eastAsia="Calibri" w:hAnsi="Geomanist Light" w:cs="Arial"/>
          <w:b/>
        </w:rPr>
        <w:t>2. Consideraciones</w:t>
      </w:r>
    </w:p>
    <w:p w14:paraId="50265784" w14:textId="77777777" w:rsidR="006C452D" w:rsidRPr="00484B22" w:rsidRDefault="006C452D" w:rsidP="00646AB6">
      <w:pPr>
        <w:spacing w:after="0" w:line="240" w:lineRule="auto"/>
        <w:ind w:right="709"/>
        <w:jc w:val="both"/>
        <w:rPr>
          <w:rFonts w:ascii="Geomanist Light" w:hAnsi="Geomanist Light" w:cs="Arial"/>
          <w:color w:val="1A1A1A" w:themeColor="background1" w:themeShade="1A"/>
          <w:sz w:val="21"/>
          <w:szCs w:val="21"/>
        </w:rPr>
      </w:pPr>
    </w:p>
    <w:p w14:paraId="64197335" w14:textId="2B14AD4D" w:rsidR="00B42724" w:rsidRPr="00484B22" w:rsidRDefault="00B42724" w:rsidP="00646AB6">
      <w:pPr>
        <w:spacing w:after="120" w:line="276" w:lineRule="auto"/>
        <w:jc w:val="both"/>
        <w:rPr>
          <w:rFonts w:ascii="Geomanist Light" w:eastAsia="Calibri" w:hAnsi="Geomanist Light" w:cs="Arial"/>
          <w:color w:val="000000" w:themeColor="text1"/>
          <w:lang w:val="es-ES_tradnl"/>
        </w:rPr>
      </w:pPr>
      <w:r w:rsidRPr="00484B22">
        <w:rPr>
          <w:rFonts w:ascii="Geomanist Light" w:hAnsi="Geomanist Light" w:cs="Arial"/>
          <w:color w:val="000000" w:themeColor="text1"/>
          <w:lang w:val="es-ES"/>
        </w:rPr>
        <w:t>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84B22">
        <w:rPr>
          <w:rStyle w:val="Refdenotaalpie"/>
          <w:rFonts w:ascii="Geomanist Light" w:hAnsi="Geomanist Light" w:cs="Arial"/>
          <w:color w:val="000000" w:themeColor="text1"/>
          <w:lang w:val="es-ES"/>
        </w:rPr>
        <w:footnoteReference w:id="1"/>
      </w:r>
      <w:r w:rsidRPr="00484B22">
        <w:rPr>
          <w:rFonts w:ascii="Geomanist Light" w:hAnsi="Geomanist Light" w:cs="Arial"/>
          <w:color w:val="000000" w:themeColor="text1"/>
          <w:lang w:val="es-ES"/>
        </w:rPr>
        <w:t xml:space="preserve">. Esta competencia de interpretación de normas generales, por definición, </w:t>
      </w:r>
      <w:r w:rsidR="003A1C61" w:rsidRPr="00484B22">
        <w:rPr>
          <w:rFonts w:ascii="Geomanist Light" w:hAnsi="Geomanist Light" w:cs="Arial"/>
          <w:color w:val="000000" w:themeColor="text1"/>
          <w:lang w:val="es-ES"/>
        </w:rPr>
        <w:t xml:space="preserve">tampoco </w:t>
      </w:r>
      <w:r w:rsidRPr="00484B22">
        <w:rPr>
          <w:rFonts w:ascii="Geomanist Light" w:hAnsi="Geomanist Light" w:cs="Arial"/>
          <w:color w:val="000000" w:themeColor="text1"/>
          <w:lang w:val="es-ES"/>
        </w:rPr>
        <w:t>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3F659A69" w14:textId="2614510B" w:rsidR="00B42724" w:rsidRPr="00484B22" w:rsidRDefault="00B42724" w:rsidP="00646AB6">
      <w:pPr>
        <w:tabs>
          <w:tab w:val="left" w:pos="426"/>
        </w:tabs>
        <w:spacing w:after="120" w:line="276" w:lineRule="auto"/>
        <w:ind w:firstLine="709"/>
        <w:jc w:val="both"/>
        <w:rPr>
          <w:rFonts w:ascii="Geomanist Light" w:eastAsia="Arial" w:hAnsi="Geomanist Light" w:cs="Arial"/>
          <w:color w:val="000000" w:themeColor="text1"/>
          <w:lang w:val="es-ES_tradnl"/>
        </w:rPr>
      </w:pPr>
      <w:r w:rsidRPr="00484B22">
        <w:rPr>
          <w:rFonts w:ascii="Geomanist Light" w:eastAsia="Calibri" w:hAnsi="Geomanist Light"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sidRPr="00484B22">
        <w:rPr>
          <w:rFonts w:ascii="Geomanist Light" w:eastAsia="Calibri" w:hAnsi="Geomanist Light" w:cs="Arial"/>
          <w:color w:val="000000" w:themeColor="text1"/>
          <w:lang w:val="es-ES_tradnl"/>
        </w:rPr>
        <w:t xml:space="preserve"> en materia de contratación pública</w:t>
      </w:r>
      <w:r w:rsidRPr="00484B22">
        <w:rPr>
          <w:rFonts w:ascii="Geomanist Light" w:eastAsia="Calibri" w:hAnsi="Geomanist Light"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484B22">
        <w:rPr>
          <w:rFonts w:ascii="Geomanist Light" w:eastAsia="Arial" w:hAnsi="Geomanist Light" w:cs="Arial"/>
          <w:color w:val="000000" w:themeColor="text1"/>
          <w:lang w:val="es-ES_tradnl"/>
        </w:rPr>
        <w:t>de obligatorio cumplimiento para el destinatario, sino que expresan la posición interpretativa del ente que elabora el concepto.</w:t>
      </w:r>
    </w:p>
    <w:p w14:paraId="7C509B63" w14:textId="350B8A01" w:rsidR="00D871D6" w:rsidRPr="00484B22" w:rsidRDefault="007A2185" w:rsidP="005C5969">
      <w:pPr>
        <w:spacing w:after="0" w:line="276" w:lineRule="auto"/>
        <w:ind w:firstLine="708"/>
        <w:jc w:val="both"/>
        <w:rPr>
          <w:rFonts w:ascii="Geomanist Light" w:hAnsi="Geomanist Light" w:cs="Arial"/>
          <w:lang w:val="es-ES_tradnl"/>
        </w:rPr>
      </w:pPr>
      <w:r w:rsidRPr="00484B22">
        <w:rPr>
          <w:rFonts w:ascii="Geomanist Light" w:hAnsi="Geomanist Light" w:cs="Arial"/>
          <w:lang w:val="es-ES_tradnl"/>
        </w:rPr>
        <w:t>Sin perjuicio de lo anterior, dentro de los límites de la función consultiva, l</w:t>
      </w:r>
      <w:r w:rsidR="00D871D6" w:rsidRPr="00484B22">
        <w:rPr>
          <w:rFonts w:ascii="Geomanist Light" w:hAnsi="Geomanist Light" w:cs="Arial"/>
          <w:lang w:val="es-ES_tradnl"/>
        </w:rPr>
        <w:t>a Agencia Nacional de Contratación Pública – Colombia Compra Eficiente</w:t>
      </w:r>
      <w:r w:rsidR="00BC2A4B" w:rsidRPr="00484B22">
        <w:rPr>
          <w:rFonts w:ascii="Geomanist Light" w:hAnsi="Geomanist Light" w:cs="Arial"/>
          <w:lang w:val="es-ES_tradnl"/>
        </w:rPr>
        <w:t xml:space="preserve"> resolverá su consulta, realizando algunas consideraciones en torno a los siguientes temas: i) naturaleza jurídica del </w:t>
      </w:r>
      <w:r w:rsidR="00BC2A4B" w:rsidRPr="00484B22">
        <w:rPr>
          <w:rFonts w:ascii="Geomanist Light" w:hAnsi="Geomanist Light" w:cs="Arial"/>
          <w:lang w:val="es-ES_tradnl"/>
        </w:rPr>
        <w:lastRenderedPageBreak/>
        <w:t xml:space="preserve">anticipo; </w:t>
      </w:r>
      <w:proofErr w:type="spellStart"/>
      <w:r w:rsidR="00BC2A4B" w:rsidRPr="00484B22">
        <w:rPr>
          <w:rFonts w:ascii="Geomanist Light" w:hAnsi="Geomanist Light" w:cs="Arial"/>
          <w:lang w:val="es-ES_tradnl"/>
        </w:rPr>
        <w:t>ii</w:t>
      </w:r>
      <w:proofErr w:type="spellEnd"/>
      <w:r w:rsidR="00BC2A4B" w:rsidRPr="00484B22">
        <w:rPr>
          <w:rFonts w:ascii="Geomanist Light" w:hAnsi="Geomanist Light" w:cs="Arial"/>
          <w:lang w:val="es-ES_tradnl"/>
        </w:rPr>
        <w:t xml:space="preserve">) ámbito de aplicación del artículo 91 de la Ley 1474 de 2011; y </w:t>
      </w:r>
      <w:proofErr w:type="spellStart"/>
      <w:r w:rsidR="00BC2A4B" w:rsidRPr="00484B22">
        <w:rPr>
          <w:rFonts w:ascii="Geomanist Light" w:hAnsi="Geomanist Light" w:cs="Arial"/>
          <w:lang w:val="es-ES_tradnl"/>
        </w:rPr>
        <w:t>iii</w:t>
      </w:r>
      <w:proofErr w:type="spellEnd"/>
      <w:r w:rsidR="00BC2A4B" w:rsidRPr="00484B22">
        <w:rPr>
          <w:rFonts w:ascii="Geomanist Light" w:hAnsi="Geomanist Light" w:cs="Arial"/>
          <w:lang w:val="es-ES_tradnl"/>
        </w:rPr>
        <w:t>) responsabilidad por pérdidas generadas en el marco de manejo de anticipos de contratos estatales a través de contratos de fiducia. E</w:t>
      </w:r>
      <w:r w:rsidR="00D871D6" w:rsidRPr="00484B22">
        <w:rPr>
          <w:rFonts w:ascii="Geomanist Light" w:hAnsi="Geomanist Light" w:cs="Arial"/>
          <w:lang w:val="es-ES_tradnl"/>
        </w:rPr>
        <w:t>n l</w:t>
      </w:r>
      <w:r w:rsidR="00BC2A4B" w:rsidRPr="00484B22">
        <w:rPr>
          <w:rFonts w:ascii="Geomanist Light" w:hAnsi="Geomanist Light" w:cs="Arial"/>
          <w:lang w:val="es-ES_tradnl"/>
        </w:rPr>
        <w:t>os</w:t>
      </w:r>
      <w:r w:rsidR="00D871D6" w:rsidRPr="00484B22">
        <w:rPr>
          <w:rFonts w:ascii="Geomanist Light" w:hAnsi="Geomanist Light" w:cs="Arial"/>
          <w:lang w:val="es-ES_tradnl"/>
        </w:rPr>
        <w:t xml:space="preserve"> concepto</w:t>
      </w:r>
      <w:r w:rsidR="0025384E" w:rsidRPr="00484B22">
        <w:rPr>
          <w:rFonts w:ascii="Geomanist Light" w:hAnsi="Geomanist Light" w:cs="Arial"/>
          <w:lang w:val="es-ES_tradnl"/>
        </w:rPr>
        <w:t>s</w:t>
      </w:r>
      <w:r w:rsidR="00D871D6" w:rsidRPr="00484B22">
        <w:rPr>
          <w:rFonts w:ascii="Geomanist Light" w:hAnsi="Geomanist Light" w:cs="Arial"/>
          <w:lang w:val="es-ES_tradnl"/>
        </w:rPr>
        <w:t xml:space="preserve"> con radicado</w:t>
      </w:r>
      <w:r w:rsidR="0025384E" w:rsidRPr="00484B22">
        <w:rPr>
          <w:rFonts w:ascii="Geomanist Light" w:hAnsi="Geomanist Light" w:cs="Arial"/>
          <w:lang w:val="es-ES_tradnl"/>
        </w:rPr>
        <w:t>s</w:t>
      </w:r>
      <w:r w:rsidR="00D871D6" w:rsidRPr="00484B22">
        <w:rPr>
          <w:rFonts w:ascii="Geomanist Light" w:hAnsi="Geomanist Light" w:cs="Arial"/>
          <w:lang w:val="es-ES_tradnl"/>
        </w:rPr>
        <w:t xml:space="preserve"> 2201913000007209 del 27 de septiembre de 2019, C-049 del 21 de febrero de 2020, C-209 del 16 de marzo de 2020 y C-693 del 25 de noviembre de 2020, abordó el análisis y estudio de la facultad de las entidades estatales para pactar la entrega de anticipos en los contratos estatales. </w:t>
      </w:r>
      <w:r w:rsidR="00BC2A4B" w:rsidRPr="00484B22">
        <w:rPr>
          <w:rFonts w:ascii="Geomanist Light" w:hAnsi="Geomanist Light" w:cs="Arial"/>
          <w:lang w:val="es-ES_tradnl"/>
        </w:rPr>
        <w:t xml:space="preserve">Algunos argumentos de las </w:t>
      </w:r>
      <w:r w:rsidR="00D871D6" w:rsidRPr="00484B22">
        <w:rPr>
          <w:rFonts w:ascii="Geomanist Light" w:hAnsi="Geomanist Light" w:cs="Arial"/>
          <w:lang w:val="es-ES_tradnl"/>
        </w:rPr>
        <w:t>tesis propuesta</w:t>
      </w:r>
      <w:r w:rsidR="00BC2A4B" w:rsidRPr="00484B22">
        <w:rPr>
          <w:rFonts w:ascii="Geomanist Light" w:hAnsi="Geomanist Light" w:cs="Arial"/>
          <w:lang w:val="es-ES_tradnl"/>
        </w:rPr>
        <w:t>s</w:t>
      </w:r>
      <w:r w:rsidR="00D871D6" w:rsidRPr="00484B22">
        <w:rPr>
          <w:rFonts w:ascii="Geomanist Light" w:hAnsi="Geomanist Light" w:cs="Arial"/>
          <w:lang w:val="es-ES_tradnl"/>
        </w:rPr>
        <w:t xml:space="preserve"> </w:t>
      </w:r>
      <w:r w:rsidR="0025384E" w:rsidRPr="00484B22">
        <w:rPr>
          <w:rFonts w:ascii="Geomanist Light" w:hAnsi="Geomanist Light" w:cs="Arial"/>
          <w:lang w:val="es-ES_tradnl"/>
        </w:rPr>
        <w:t>en estos conceptos</w:t>
      </w:r>
      <w:r w:rsidR="00D871D6" w:rsidRPr="00484B22">
        <w:rPr>
          <w:rFonts w:ascii="Geomanist Light" w:hAnsi="Geomanist Light" w:cs="Arial"/>
          <w:lang w:val="es-ES_tradnl"/>
        </w:rPr>
        <w:t xml:space="preserve"> </w:t>
      </w:r>
      <w:r w:rsidR="0025384E" w:rsidRPr="00484B22">
        <w:rPr>
          <w:rFonts w:ascii="Geomanist Light" w:hAnsi="Geomanist Light" w:cs="Arial"/>
          <w:lang w:val="es-ES_tradnl"/>
        </w:rPr>
        <w:t xml:space="preserve">se retoman </w:t>
      </w:r>
      <w:r w:rsidR="00D871D6" w:rsidRPr="00484B22">
        <w:rPr>
          <w:rFonts w:ascii="Geomanist Light" w:hAnsi="Geomanist Light" w:cs="Arial"/>
          <w:lang w:val="es-ES_tradnl"/>
        </w:rPr>
        <w:t>a continuación y se complementa</w:t>
      </w:r>
      <w:r w:rsidR="0025384E" w:rsidRPr="00484B22">
        <w:rPr>
          <w:rFonts w:ascii="Geomanist Light" w:hAnsi="Geomanist Light" w:cs="Arial"/>
          <w:lang w:val="es-ES_tradnl"/>
        </w:rPr>
        <w:t>n</w:t>
      </w:r>
      <w:r w:rsidR="00D871D6" w:rsidRPr="00484B22">
        <w:rPr>
          <w:rFonts w:ascii="Geomanist Light" w:hAnsi="Geomanist Light" w:cs="Arial"/>
          <w:lang w:val="es-ES_tradnl"/>
        </w:rPr>
        <w:t xml:space="preserve"> en lo pertinente. </w:t>
      </w:r>
    </w:p>
    <w:p w14:paraId="180DF8BD" w14:textId="77777777" w:rsidR="005C5969" w:rsidRPr="00484B22" w:rsidRDefault="005C5969" w:rsidP="00646AB6">
      <w:pPr>
        <w:spacing w:after="0" w:line="276" w:lineRule="auto"/>
        <w:ind w:firstLine="708"/>
        <w:jc w:val="both"/>
        <w:rPr>
          <w:rFonts w:ascii="Geomanist Light" w:hAnsi="Geomanist Light" w:cs="Arial"/>
          <w:lang w:val="es-ES_tradnl"/>
        </w:rPr>
      </w:pPr>
    </w:p>
    <w:p w14:paraId="60AD9EDA" w14:textId="1AD47CE7" w:rsidR="00606617" w:rsidRPr="00606617" w:rsidRDefault="002B19FB" w:rsidP="00606617">
      <w:pPr>
        <w:tabs>
          <w:tab w:val="left" w:pos="0"/>
        </w:tabs>
        <w:spacing w:after="0" w:line="276" w:lineRule="auto"/>
        <w:jc w:val="both"/>
        <w:rPr>
          <w:rFonts w:ascii="Geomanist Light" w:hAnsi="Geomanist Light" w:cs="Arial"/>
          <w:b/>
          <w:color w:val="000000" w:themeColor="text1"/>
        </w:rPr>
      </w:pPr>
      <w:r w:rsidRPr="00484B22">
        <w:rPr>
          <w:rFonts w:ascii="Geomanist Light" w:hAnsi="Geomanist Light" w:cs="Arial"/>
          <w:b/>
          <w:bCs/>
        </w:rPr>
        <w:t>2.1.</w:t>
      </w:r>
      <w:r w:rsidR="007B08AC" w:rsidRPr="00484B22">
        <w:rPr>
          <w:rFonts w:ascii="Geomanist Light" w:hAnsi="Geomanist Light" w:cs="Arial"/>
        </w:rPr>
        <w:t xml:space="preserve"> </w:t>
      </w:r>
      <w:r w:rsidR="00F007C7" w:rsidRPr="00484B22">
        <w:rPr>
          <w:rFonts w:ascii="Geomanist Light" w:hAnsi="Geomanist Light" w:cs="Arial"/>
        </w:rPr>
        <w:t xml:space="preserve"> </w:t>
      </w:r>
      <w:r w:rsidR="00CE0935" w:rsidRPr="00484B22">
        <w:rPr>
          <w:rFonts w:ascii="Geomanist Light" w:hAnsi="Geomanist Light" w:cs="Arial"/>
          <w:b/>
          <w:color w:val="000000" w:themeColor="text1"/>
        </w:rPr>
        <w:t>Naturaleza jurídica del anticipo</w:t>
      </w:r>
    </w:p>
    <w:p w14:paraId="01FEFF9E" w14:textId="25419995" w:rsidR="00CE0935" w:rsidRPr="00484B22" w:rsidRDefault="00CE0935" w:rsidP="00646AB6">
      <w:pPr>
        <w:tabs>
          <w:tab w:val="left" w:pos="0"/>
        </w:tabs>
        <w:spacing w:after="120" w:line="276" w:lineRule="auto"/>
        <w:jc w:val="both"/>
        <w:rPr>
          <w:rFonts w:ascii="Geomanist Light" w:hAnsi="Geomanist Light" w:cs="Arial"/>
          <w:color w:val="000000" w:themeColor="text1"/>
        </w:rPr>
      </w:pPr>
      <w:r w:rsidRPr="00484B22">
        <w:rPr>
          <w:rFonts w:ascii="Geomanist Light" w:eastAsia="Calibri" w:hAnsi="Geomanist Light" w:cs="Arial"/>
          <w:color w:val="000000"/>
          <w:lang w:eastAsia="en-GB"/>
        </w:rPr>
        <w:t>En materia de contratación pública, la figura del anticipo está prevista en dos (2) normas: el</w:t>
      </w:r>
      <w:r w:rsidRPr="00484B22">
        <w:rPr>
          <w:rFonts w:ascii="Geomanist Light" w:hAnsi="Geomanist Light"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Pr="00484B22">
        <w:rPr>
          <w:rFonts w:ascii="Geomanist Light" w:eastAsia="Calibri" w:hAnsi="Geomanist Light" w:cs="Arial"/>
          <w:color w:val="000000" w:themeColor="text1"/>
          <w:lang w:val="es-ES"/>
        </w:rPr>
        <w:t>«</w:t>
      </w:r>
      <w:r w:rsidRPr="00484B22">
        <w:rPr>
          <w:rFonts w:ascii="Geomanist Light" w:hAnsi="Geomanist Light" w:cs="Arial"/>
          <w:color w:val="000000" w:themeColor="text1"/>
        </w:rPr>
        <w:t>En los contratos que celebren las entidades estatales se podrá pactar el pago anticipado y la entrega de anticipos, pero su monto no podrá exceder del cincuenta por ciento (50%) del valor del respectivo contrato</w:t>
      </w:r>
      <w:r w:rsidRPr="00484B22">
        <w:rPr>
          <w:rFonts w:ascii="Geomanist Light" w:eastAsia="Calibri" w:hAnsi="Geomanist Light" w:cs="Arial"/>
          <w:color w:val="000000" w:themeColor="text1"/>
          <w:lang w:val="es-ES"/>
        </w:rPr>
        <w:t>»</w:t>
      </w:r>
      <w:r w:rsidRPr="00484B22">
        <w:rPr>
          <w:rFonts w:ascii="Geomanist Light" w:hAnsi="Geomanist Light" w:cs="Arial"/>
          <w:color w:val="000000" w:themeColor="text1"/>
        </w:rPr>
        <w:t xml:space="preserve">. </w:t>
      </w:r>
    </w:p>
    <w:p w14:paraId="2EA0FA23" w14:textId="77777777" w:rsidR="00CE0935" w:rsidRPr="00484B22" w:rsidRDefault="00CE0935" w:rsidP="00646AB6">
      <w:pPr>
        <w:tabs>
          <w:tab w:val="left" w:pos="0"/>
        </w:tabs>
        <w:spacing w:after="120" w:line="276" w:lineRule="auto"/>
        <w:ind w:firstLine="709"/>
        <w:jc w:val="both"/>
        <w:rPr>
          <w:rFonts w:ascii="Geomanist Light" w:hAnsi="Geomanist Light" w:cs="Arial"/>
          <w:color w:val="000000" w:themeColor="text1"/>
        </w:rPr>
      </w:pPr>
      <w:r w:rsidRPr="00484B22">
        <w:rPr>
          <w:rFonts w:ascii="Geomanist Light" w:hAnsi="Geomanist Light" w:cs="Arial"/>
          <w:color w:val="000000" w:themeColor="text1"/>
        </w:rPr>
        <w:t xml:space="preserve">Por su parte, </w:t>
      </w:r>
      <w:r w:rsidRPr="00484B22">
        <w:rPr>
          <w:rFonts w:ascii="Geomanist Light" w:hAnsi="Geomanist Light" w:cs="Arial"/>
          <w:color w:val="000000" w:themeColor="text1"/>
          <w:lang w:val="es-ES"/>
        </w:rPr>
        <w:t>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70A8CADC" w14:textId="005079B8" w:rsidR="00CE0935" w:rsidRPr="00484B22" w:rsidRDefault="00CE0935" w:rsidP="00646AB6">
      <w:pPr>
        <w:tabs>
          <w:tab w:val="left" w:pos="0"/>
        </w:tabs>
        <w:spacing w:after="120" w:line="276" w:lineRule="auto"/>
        <w:ind w:firstLine="709"/>
        <w:jc w:val="both"/>
        <w:rPr>
          <w:rFonts w:ascii="Geomanist Light" w:eastAsia="Calibri" w:hAnsi="Geomanist Light" w:cs="Arial"/>
          <w:vertAlign w:val="superscript"/>
        </w:rPr>
      </w:pPr>
      <w:r w:rsidRPr="00484B22">
        <w:rPr>
          <w:rFonts w:ascii="Geomanist Light" w:eastAsia="Calibri" w:hAnsi="Geomanist Light" w:cs="Arial"/>
        </w:rPr>
        <w:t>Aunque las normas citadas no definen el anticipo, el Consejo de Estado ha precisado su naturaleza jurídica fijando parámetros para su aplicación</w:t>
      </w:r>
      <w:r w:rsidRPr="00484B22">
        <w:rPr>
          <w:rStyle w:val="Refdenotaalpie"/>
          <w:rFonts w:ascii="Geomanist Light" w:eastAsia="Calibri" w:hAnsi="Geomanist Light" w:cs="Arial"/>
        </w:rPr>
        <w:footnoteReference w:id="2"/>
      </w:r>
      <w:r w:rsidRPr="00484B22">
        <w:rPr>
          <w:rFonts w:ascii="Geomanist Light" w:eastAsia="Calibri" w:hAnsi="Geomanist Light" w:cs="Arial"/>
        </w:rPr>
        <w:t xml:space="preserve">. </w:t>
      </w:r>
      <w:r w:rsidR="00006AE9" w:rsidRPr="00484B22">
        <w:rPr>
          <w:rFonts w:ascii="Geomanist Light" w:eastAsia="Calibri" w:hAnsi="Geomanist Light" w:cs="Arial"/>
        </w:rPr>
        <w:t>Dicha Corporación</w:t>
      </w:r>
      <w:r w:rsidRPr="00484B22">
        <w:rPr>
          <w:rFonts w:ascii="Geomanist Light" w:eastAsia="Calibri" w:hAnsi="Geomanist Light" w:cs="Arial"/>
        </w:rPr>
        <w:t xml:space="preserve"> se </w:t>
      </w:r>
      <w:r w:rsidR="00006AE9" w:rsidRPr="00484B22">
        <w:rPr>
          <w:rFonts w:ascii="Geomanist Light" w:eastAsia="Calibri" w:hAnsi="Geomanist Light" w:cs="Arial"/>
        </w:rPr>
        <w:t xml:space="preserve">ha referido </w:t>
      </w:r>
      <w:r w:rsidRPr="00484B22">
        <w:rPr>
          <w:rFonts w:ascii="Geomanist Light" w:eastAsia="Calibri" w:hAnsi="Geomanist Light" w:cs="Arial"/>
        </w:rPr>
        <w:t xml:space="preserve"> al anticipo como </w:t>
      </w:r>
      <w:r w:rsidRPr="00484B22">
        <w:rPr>
          <w:rFonts w:ascii="Geomanist Light" w:eastAsia="Calibri" w:hAnsi="Geomanist Light" w:cs="Arial"/>
          <w:color w:val="000000" w:themeColor="text1"/>
          <w:lang w:val="es-ES"/>
        </w:rPr>
        <w:t>«</w:t>
      </w:r>
      <w:r w:rsidRPr="00484B22">
        <w:rPr>
          <w:rFonts w:ascii="Geomanist Light" w:eastAsia="Calibri" w:hAnsi="Geomanist Light" w:cs="Arial"/>
        </w:rPr>
        <w:t xml:space="preserve">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w:t>
      </w:r>
      <w:r w:rsidRPr="00484B22">
        <w:rPr>
          <w:rFonts w:ascii="Geomanist Light" w:eastAsia="Calibri" w:hAnsi="Geomanist Light" w:cs="Arial"/>
        </w:rPr>
        <w:lastRenderedPageBreak/>
        <w:t>legalización y amortización de la inversión, de suerte que el monto entregado como anticipo no ingresa al patrimonio del contratista sino cuando ha sido debidamente amortizado</w:t>
      </w:r>
      <w:r w:rsidRPr="00484B22">
        <w:rPr>
          <w:rFonts w:ascii="Geomanist Light" w:eastAsia="Calibri" w:hAnsi="Geomanist Light" w:cs="Arial"/>
          <w:color w:val="000000" w:themeColor="text1"/>
          <w:lang w:val="es-ES"/>
        </w:rPr>
        <w:t>»</w:t>
      </w:r>
      <w:r w:rsidRPr="00484B22">
        <w:rPr>
          <w:rFonts w:ascii="Geomanist Light" w:eastAsia="Calibri" w:hAnsi="Geomanist Light" w:cs="Arial"/>
          <w:vertAlign w:val="superscript"/>
        </w:rPr>
        <w:footnoteReference w:id="3"/>
      </w:r>
      <w:r w:rsidRPr="00484B22">
        <w:rPr>
          <w:rFonts w:ascii="Geomanist Light" w:eastAsia="Calibri" w:hAnsi="Geomanist Light" w:cs="Arial"/>
          <w:color w:val="000000" w:themeColor="text1"/>
          <w:lang w:val="es-ES"/>
        </w:rPr>
        <w:t>.</w:t>
      </w:r>
    </w:p>
    <w:p w14:paraId="167B48F8" w14:textId="77777777" w:rsidR="00CE0935" w:rsidRPr="00484B22" w:rsidRDefault="00CE0935" w:rsidP="00646AB6">
      <w:pPr>
        <w:spacing w:after="120" w:line="276" w:lineRule="auto"/>
        <w:ind w:firstLine="708"/>
        <w:jc w:val="both"/>
        <w:rPr>
          <w:rFonts w:ascii="Geomanist Light" w:eastAsia="Calibri" w:hAnsi="Geomanist Light" w:cs="Arial"/>
        </w:rPr>
      </w:pPr>
      <w:r w:rsidRPr="00484B22">
        <w:rPr>
          <w:rFonts w:ascii="Geomanist Light" w:eastAsia="Calibri" w:hAnsi="Geomanist Light" w:cs="Arial"/>
        </w:rPr>
        <w:t xml:space="preserve">Sobre la calidad de recurso público del anticipo, la jurisprudencia ha reiterado que </w:t>
      </w:r>
      <w:r w:rsidRPr="00484B22">
        <w:rPr>
          <w:rFonts w:ascii="Geomanist Light" w:eastAsia="Calibri" w:hAnsi="Geomanist Light" w:cs="Arial"/>
          <w:color w:val="000000" w:themeColor="text1"/>
          <w:lang w:val="es-ES"/>
        </w:rPr>
        <w:t>«</w:t>
      </w:r>
      <w:r w:rsidRPr="00484B22">
        <w:rPr>
          <w:rFonts w:ascii="Geomanist Light" w:eastAsia="Calibri" w:hAnsi="Geomanist Light"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484B22">
        <w:rPr>
          <w:rFonts w:ascii="Geomanist Light" w:eastAsia="Calibri" w:hAnsi="Geomanist Light" w:cs="Arial"/>
          <w:color w:val="000000" w:themeColor="text1"/>
          <w:lang w:val="es-ES"/>
        </w:rPr>
        <w:t>»</w:t>
      </w:r>
      <w:r w:rsidRPr="00484B22">
        <w:rPr>
          <w:rStyle w:val="Refdenotaalpie"/>
          <w:rFonts w:ascii="Geomanist Light" w:eastAsia="Calibri" w:hAnsi="Geomanist Light" w:cs="Arial"/>
        </w:rPr>
        <w:footnoteReference w:id="4"/>
      </w:r>
      <w:r w:rsidRPr="00484B22">
        <w:rPr>
          <w:rFonts w:ascii="Geomanist Light" w:eastAsia="Calibri" w:hAnsi="Geomanist Light" w:cs="Arial"/>
        </w:rPr>
        <w:t>. Igualmente, explica que el anticipo, al facilitar al contratista la financiación de los bienes y servicios que se le han encargado, es un factor determinante para impulsar la ejecución del contrato</w:t>
      </w:r>
      <w:r w:rsidRPr="00484B22">
        <w:rPr>
          <w:rStyle w:val="Refdenotaalpie"/>
          <w:rFonts w:ascii="Geomanist Light" w:eastAsia="Calibri" w:hAnsi="Geomanist Light" w:cs="Arial"/>
        </w:rPr>
        <w:footnoteReference w:id="5"/>
      </w:r>
      <w:r w:rsidRPr="00484B22">
        <w:rPr>
          <w:rFonts w:ascii="Geomanist Light" w:eastAsia="Calibri" w:hAnsi="Geomanist Light" w:cs="Arial"/>
        </w:rPr>
        <w:t>. Este también es el entendimiento de la doctrina</w:t>
      </w:r>
      <w:r w:rsidRPr="00484B22">
        <w:rPr>
          <w:rFonts w:ascii="Geomanist Light" w:eastAsia="Calibri" w:hAnsi="Geomanist Light" w:cs="Arial"/>
          <w:color w:val="000000" w:themeColor="text1"/>
        </w:rPr>
        <w:t>,</w:t>
      </w:r>
      <w:r w:rsidRPr="00484B22">
        <w:rPr>
          <w:rFonts w:ascii="Geomanist Light" w:eastAsia="Calibri" w:hAnsi="Geomanist Light" w:cs="Arial"/>
        </w:rPr>
        <w:t xml:space="preserve"> que ha considerado el anticipo como un dinero entregado al contratista que debe cancelarse mediante descuentos parciales, siendo una práctica común que permite impulsar la ejecución del contrato</w:t>
      </w:r>
      <w:r w:rsidRPr="00484B22">
        <w:rPr>
          <w:rStyle w:val="Refdenotaalpie"/>
          <w:rFonts w:ascii="Geomanist Light" w:eastAsia="Calibri" w:hAnsi="Geomanist Light" w:cs="Arial"/>
        </w:rPr>
        <w:footnoteReference w:id="6"/>
      </w:r>
      <w:r w:rsidRPr="00484B22">
        <w:rPr>
          <w:rFonts w:ascii="Geomanist Light" w:eastAsia="Calibri" w:hAnsi="Geomanist Light" w:cs="Arial"/>
        </w:rPr>
        <w:t xml:space="preserve">. </w:t>
      </w:r>
    </w:p>
    <w:p w14:paraId="12AB0D11" w14:textId="77777777" w:rsidR="00CE0935" w:rsidRPr="00484B22" w:rsidRDefault="00CE0935" w:rsidP="00646AB6">
      <w:pPr>
        <w:spacing w:before="120" w:after="120" w:line="276" w:lineRule="auto"/>
        <w:ind w:firstLine="708"/>
        <w:jc w:val="both"/>
        <w:rPr>
          <w:rFonts w:ascii="Geomanist Light" w:eastAsia="Calibri" w:hAnsi="Geomanist Light" w:cs="Arial"/>
          <w:color w:val="000000" w:themeColor="text1"/>
        </w:rPr>
      </w:pPr>
      <w:r w:rsidRPr="00484B22">
        <w:rPr>
          <w:rFonts w:ascii="Geomanist Light" w:eastAsia="Calibri" w:hAnsi="Geomanist Light" w:cs="Arial"/>
          <w:color w:val="000000" w:themeColor="text1"/>
        </w:rPr>
        <w:t xml:space="preserve">Así, de acuerdo con las consideraciones de la jurisprudencia y la doctrina, el anticipo es </w:t>
      </w:r>
      <w:r w:rsidRPr="00484B22">
        <w:rPr>
          <w:rFonts w:ascii="Geomanist Light" w:eastAsia="Calibri" w:hAnsi="Geomanist Light" w:cs="Arial"/>
        </w:rPr>
        <w:t xml:space="preserve">aquella suma de dinero entregada al contratista con la finalidad de apalancarlo financieramente para solventar los costos iniciales de la ejecución del contrato. Este dinero debe amortizarse </w:t>
      </w:r>
      <w:proofErr w:type="gramStart"/>
      <w:r w:rsidRPr="00484B22">
        <w:rPr>
          <w:rFonts w:ascii="Geomanist Light" w:eastAsia="Calibri" w:hAnsi="Geomanist Light" w:cs="Arial"/>
        </w:rPr>
        <w:t>de acuerdo al</w:t>
      </w:r>
      <w:proofErr w:type="gramEnd"/>
      <w:r w:rsidRPr="00484B22">
        <w:rPr>
          <w:rFonts w:ascii="Geomanist Light" w:eastAsia="Calibri" w:hAnsi="Geomanist Light" w:cs="Arial"/>
        </w:rPr>
        <w:t xml:space="preserve"> avance en la ejecución. De esta forma, los recursos entregados a título de anticipo son del erario, razón por la que debe garantizarse su buen manejo y correcta inversión.</w:t>
      </w:r>
    </w:p>
    <w:p w14:paraId="4720F6C7" w14:textId="77777777" w:rsidR="00CE0935" w:rsidRPr="00484B22" w:rsidRDefault="00CE0935" w:rsidP="00BC2A4B">
      <w:pPr>
        <w:spacing w:before="120" w:after="0" w:line="276" w:lineRule="auto"/>
        <w:ind w:firstLine="709"/>
        <w:jc w:val="both"/>
        <w:rPr>
          <w:rFonts w:ascii="Geomanist Light" w:eastAsia="Calibri" w:hAnsi="Geomanist Light" w:cs="Arial"/>
          <w:color w:val="000000" w:themeColor="text1"/>
        </w:rPr>
      </w:pPr>
      <w:r w:rsidRPr="00484B22">
        <w:rPr>
          <w:rFonts w:ascii="Geomanist Light" w:eastAsia="Calibri" w:hAnsi="Geomanist Light" w:cs="Arial"/>
          <w:color w:val="000000" w:themeColor="text1"/>
        </w:rPr>
        <w:t xml:space="preserve">Como característica esencial del anticipo, derivada del artículo 40 de la Ley 80 de 1993, el pacto proviene de la autonomía de la voluntad de las partes. De allí que se generen </w:t>
      </w:r>
      <w:r w:rsidRPr="00484B22">
        <w:rPr>
          <w:rFonts w:ascii="Geomanist Light" w:eastAsia="Calibri" w:hAnsi="Geomanist Light" w:cs="Arial"/>
          <w:color w:val="000000" w:themeColor="text1"/>
        </w:rPr>
        <w:lastRenderedPageBreak/>
        <w:t xml:space="preserve">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3E220D63" w14:textId="77777777" w:rsidR="00CE4444" w:rsidRPr="00484B22" w:rsidRDefault="00CE4444" w:rsidP="00646AB6">
      <w:pPr>
        <w:spacing w:before="120" w:after="0" w:line="276" w:lineRule="auto"/>
        <w:ind w:firstLine="709"/>
        <w:jc w:val="both"/>
        <w:rPr>
          <w:rFonts w:ascii="Geomanist Light" w:eastAsia="Calibri" w:hAnsi="Geomanist Light" w:cs="Arial"/>
          <w:lang w:val="es-MX"/>
        </w:rPr>
      </w:pPr>
    </w:p>
    <w:p w14:paraId="0903BBBB" w14:textId="77777777" w:rsidR="00CE0935" w:rsidRPr="00484B22" w:rsidRDefault="00CE0935" w:rsidP="009311F4">
      <w:pPr>
        <w:spacing w:after="0"/>
        <w:ind w:left="567" w:right="709"/>
        <w:jc w:val="both"/>
        <w:rPr>
          <w:rFonts w:ascii="Geomanist Light" w:eastAsia="Calibri" w:hAnsi="Geomanist Light" w:cs="Arial"/>
          <w:sz w:val="21"/>
          <w:szCs w:val="21"/>
        </w:rPr>
      </w:pPr>
      <w:r w:rsidRPr="00484B22">
        <w:rPr>
          <w:rFonts w:ascii="Geomanist Light" w:eastAsia="Calibri" w:hAnsi="Geomanist Light"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484B22">
        <w:rPr>
          <w:rFonts w:ascii="Geomanist Light" w:eastAsia="Calibri" w:hAnsi="Geomanist Light" w:cs="Arial"/>
          <w:sz w:val="21"/>
          <w:szCs w:val="21"/>
        </w:rPr>
        <w:t>etc</w:t>
      </w:r>
      <w:proofErr w:type="spellEnd"/>
      <w:r w:rsidRPr="00484B22">
        <w:rPr>
          <w:rFonts w:ascii="Geomanist Light" w:eastAsia="Calibri" w:hAnsi="Geomanist Light"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484B22">
        <w:rPr>
          <w:rFonts w:ascii="Geomanist Light" w:eastAsia="Calibri" w:hAnsi="Geomanist Light" w:cs="Arial"/>
          <w:b/>
          <w:bCs/>
          <w:sz w:val="21"/>
          <w:szCs w:val="21"/>
        </w:rPr>
        <w:t xml:space="preserve">, </w:t>
      </w:r>
      <w:r w:rsidRPr="00484B22">
        <w:rPr>
          <w:rFonts w:ascii="Geomanist Light" w:eastAsia="Calibri" w:hAnsi="Geomanist Light"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484B22">
        <w:rPr>
          <w:rStyle w:val="Refdenotaalpie"/>
          <w:rFonts w:ascii="Geomanist Light" w:eastAsia="Calibri" w:hAnsi="Geomanist Light" w:cs="Arial"/>
          <w:sz w:val="21"/>
          <w:szCs w:val="21"/>
        </w:rPr>
        <w:footnoteReference w:id="7"/>
      </w:r>
      <w:r w:rsidRPr="00484B22">
        <w:rPr>
          <w:rFonts w:ascii="Geomanist Light" w:eastAsia="Calibri" w:hAnsi="Geomanist Light" w:cs="Arial"/>
          <w:sz w:val="21"/>
          <w:szCs w:val="21"/>
        </w:rPr>
        <w:t>.</w:t>
      </w:r>
    </w:p>
    <w:p w14:paraId="10D7A7BB" w14:textId="77777777" w:rsidR="00370D3E" w:rsidRPr="00484B22" w:rsidRDefault="00370D3E" w:rsidP="00646AB6">
      <w:pPr>
        <w:spacing w:after="0"/>
        <w:ind w:left="567" w:right="709"/>
        <w:jc w:val="both"/>
        <w:rPr>
          <w:rFonts w:ascii="Geomanist Light" w:eastAsia="Calibri" w:hAnsi="Geomanist Light" w:cs="Arial"/>
          <w:sz w:val="21"/>
          <w:szCs w:val="21"/>
        </w:rPr>
      </w:pPr>
    </w:p>
    <w:p w14:paraId="60F577D0" w14:textId="77777777" w:rsidR="00CE0935" w:rsidRPr="00484B22" w:rsidRDefault="00CE0935" w:rsidP="00646AB6">
      <w:pPr>
        <w:tabs>
          <w:tab w:val="left" w:pos="0"/>
        </w:tabs>
        <w:spacing w:after="120" w:line="276" w:lineRule="auto"/>
        <w:ind w:firstLine="709"/>
        <w:jc w:val="both"/>
        <w:rPr>
          <w:rFonts w:ascii="Geomanist Light" w:eastAsia="Calibri" w:hAnsi="Geomanist Light" w:cs="Arial"/>
          <w:lang w:val="es-MX"/>
        </w:rPr>
      </w:pPr>
      <w:r w:rsidRPr="00484B22">
        <w:rPr>
          <w:rFonts w:ascii="Geomanist Light" w:eastAsia="Calibri" w:hAnsi="Geomanist Light" w:cs="Arial"/>
        </w:rPr>
        <w:t>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50% del valor del contrato–, el plazo de amortización, las condiciones necesarias para su exigibilidad, así como todas las obligaciones para su correcta inversión.</w:t>
      </w:r>
    </w:p>
    <w:p w14:paraId="44024319" w14:textId="77777777" w:rsidR="00CE0935" w:rsidRPr="00484B22" w:rsidRDefault="00CE0935" w:rsidP="00646AB6">
      <w:pPr>
        <w:tabs>
          <w:tab w:val="left" w:pos="0"/>
        </w:tabs>
        <w:spacing w:before="120" w:after="120" w:line="276" w:lineRule="auto"/>
        <w:ind w:firstLine="709"/>
        <w:jc w:val="both"/>
        <w:rPr>
          <w:rFonts w:ascii="Geomanist Light" w:hAnsi="Geomanist Light" w:cs="Arial"/>
          <w:color w:val="000000" w:themeColor="text1"/>
          <w:lang w:val="es-ES"/>
        </w:rPr>
      </w:pPr>
      <w:r w:rsidRPr="00484B22">
        <w:rPr>
          <w:rFonts w:ascii="Geomanist Light" w:eastAsia="Calibri" w:hAnsi="Geomanist Light"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484B22">
        <w:rPr>
          <w:rFonts w:ascii="Geomanist Light" w:hAnsi="Geomanist Light" w:cs="Arial"/>
          <w:color w:val="000000" w:themeColor="text1"/>
          <w:lang w:val="es-ES"/>
        </w:rPr>
        <w:t xml:space="preserve">De hecho, el Estatuto General de Contratación de la Administración Pública dispone como única limitación el valor máximo que puede desembolsar la entidad para pactar el anticipo. </w:t>
      </w:r>
    </w:p>
    <w:p w14:paraId="25D4FC70" w14:textId="77777777" w:rsidR="00CE0935" w:rsidRPr="00484B22" w:rsidRDefault="00CE0935" w:rsidP="00646AB6">
      <w:pPr>
        <w:tabs>
          <w:tab w:val="left" w:pos="0"/>
        </w:tabs>
        <w:spacing w:before="120" w:after="120" w:line="276" w:lineRule="auto"/>
        <w:ind w:firstLine="709"/>
        <w:jc w:val="both"/>
        <w:rPr>
          <w:rFonts w:ascii="Geomanist Light" w:hAnsi="Geomanist Light" w:cs="Arial"/>
          <w:color w:val="000000" w:themeColor="text1"/>
          <w:lang w:val="es-MX"/>
        </w:rPr>
      </w:pPr>
      <w:r w:rsidRPr="00484B22">
        <w:rPr>
          <w:rFonts w:ascii="Geomanist Light" w:hAnsi="Geomanist Light" w:cs="Arial"/>
          <w:color w:val="000000" w:themeColor="text1"/>
          <w:lang w:val="es-ES"/>
        </w:rPr>
        <w:t xml:space="preserve">La entidad y el contratista podrán disponer, en ejercicio de la autonomía de la voluntad, las condiciones que consideren convenientes de acuerdo con las normas civiles, </w:t>
      </w:r>
      <w:r w:rsidRPr="00484B22">
        <w:rPr>
          <w:rFonts w:ascii="Geomanist Light" w:hAnsi="Geomanist Light" w:cs="Arial"/>
          <w:color w:val="000000" w:themeColor="text1"/>
          <w:lang w:val="es-ES"/>
        </w:rPr>
        <w:lastRenderedPageBreak/>
        <w:t>siempre que no contraríen los parámetros normativos y los principios de la actividad contractual. No obstante, se reitera la importancia de analizar y justificar en cada caso la pertinencia y conveniencia de entregar al contratista recursos en calidad de anticipo.</w:t>
      </w:r>
    </w:p>
    <w:p w14:paraId="76E50CCE" w14:textId="77777777" w:rsidR="00CE0935" w:rsidRPr="00484B22" w:rsidRDefault="00CE0935" w:rsidP="00D769A6">
      <w:pPr>
        <w:spacing w:before="120" w:after="120" w:line="276" w:lineRule="auto"/>
        <w:ind w:firstLine="709"/>
        <w:jc w:val="both"/>
        <w:rPr>
          <w:rFonts w:ascii="Geomanist Light" w:eastAsia="Calibri" w:hAnsi="Geomanist Light" w:cs="Arial"/>
        </w:rPr>
      </w:pPr>
      <w:r w:rsidRPr="00484B22">
        <w:rPr>
          <w:rFonts w:ascii="Geomanist Light" w:hAnsi="Geomanist Light" w:cs="Arial"/>
          <w:color w:val="000000" w:themeColor="text1"/>
        </w:rPr>
        <w:t>Del análisis realizado se desprende</w:t>
      </w:r>
      <w:r w:rsidRPr="00484B22">
        <w:rPr>
          <w:rFonts w:ascii="Geomanist Light" w:hAnsi="Geomanist Light" w:cs="Arial"/>
          <w:color w:val="000000" w:themeColor="text1"/>
          <w:lang w:val="es-ES"/>
        </w:rPr>
        <w:t xml:space="preserve"> que los recursos entregados al contratista en calidad de anticipo son recursos públicos. Por tanto, corresponde a la entidad </w:t>
      </w:r>
      <w:r w:rsidRPr="00484B22">
        <w:rPr>
          <w:rFonts w:ascii="Geomanist Light" w:eastAsia="Calibri" w:hAnsi="Geomanist Light" w:cs="Arial"/>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w:t>
      </w:r>
      <w:proofErr w:type="spellStart"/>
      <w:r w:rsidRPr="00484B22">
        <w:rPr>
          <w:rFonts w:ascii="Geomanist Light" w:eastAsia="Calibri" w:hAnsi="Geomanist Light" w:cs="Arial"/>
        </w:rPr>
        <w:t>ii</w:t>
      </w:r>
      <w:proofErr w:type="spellEnd"/>
      <w:r w:rsidRPr="00484B22">
        <w:rPr>
          <w:rFonts w:ascii="Geomanist Light" w:eastAsia="Calibri" w:hAnsi="Geomanist Light" w:cs="Arial"/>
        </w:rPr>
        <w:t xml:space="preserve">) el uso indebido del anticipo; y </w:t>
      </w:r>
      <w:proofErr w:type="spellStart"/>
      <w:r w:rsidRPr="00484B22">
        <w:rPr>
          <w:rFonts w:ascii="Geomanist Light" w:eastAsia="Calibri" w:hAnsi="Geomanist Light" w:cs="Arial"/>
        </w:rPr>
        <w:t>iii</w:t>
      </w:r>
      <w:proofErr w:type="spellEnd"/>
      <w:r w:rsidRPr="00484B22">
        <w:rPr>
          <w:rFonts w:ascii="Geomanist Light" w:eastAsia="Calibri" w:hAnsi="Geomanist Light" w:cs="Arial"/>
        </w:rPr>
        <w:t>) la apropiación indebida de los recursos recibidos en calidad de anticipo</w:t>
      </w:r>
      <w:r w:rsidRPr="00484B22">
        <w:rPr>
          <w:rStyle w:val="Refdenotaalpie"/>
          <w:rFonts w:ascii="Geomanist Light" w:eastAsia="Calibri" w:hAnsi="Geomanist Light" w:cs="Arial"/>
        </w:rPr>
        <w:footnoteReference w:id="8"/>
      </w:r>
      <w:r w:rsidRPr="00484B22">
        <w:rPr>
          <w:rFonts w:ascii="Geomanist Light" w:eastAsia="Calibri" w:hAnsi="Geomanist Light" w:cs="Arial"/>
        </w:rPr>
        <w:t xml:space="preserve">. </w:t>
      </w:r>
    </w:p>
    <w:p w14:paraId="4C293CE9" w14:textId="77777777" w:rsidR="00CE0935" w:rsidRPr="00484B22" w:rsidRDefault="00CE0935" w:rsidP="00D769A6">
      <w:pPr>
        <w:spacing w:before="120" w:after="0" w:line="276" w:lineRule="auto"/>
        <w:ind w:firstLine="709"/>
        <w:jc w:val="both"/>
        <w:rPr>
          <w:rFonts w:ascii="Geomanist Light" w:eastAsia="Calibri" w:hAnsi="Geomanist Light" w:cs="Arial"/>
        </w:rPr>
      </w:pPr>
      <w:r w:rsidRPr="00484B22">
        <w:rPr>
          <w:rFonts w:ascii="Geomanist Light" w:eastAsia="Calibri" w:hAnsi="Geomanist Light" w:cs="Arial"/>
        </w:rPr>
        <w:t xml:space="preserve">Adicionalmente, conforme al citado </w:t>
      </w:r>
      <w:r w:rsidRPr="00484B22">
        <w:rPr>
          <w:rFonts w:ascii="Geomanist Light" w:hAnsi="Geomanist Light" w:cs="Arial"/>
          <w:color w:val="000000" w:themeColor="text1"/>
          <w:lang w:val="es-ES"/>
        </w:rPr>
        <w:t xml:space="preserve">artículo 91 de la Ley 1474 de 2011, </w:t>
      </w:r>
      <w:r w:rsidRPr="00484B22">
        <w:rPr>
          <w:rFonts w:ascii="Geomanist Light" w:eastAsia="Calibri" w:hAnsi="Geomanist Light" w:cs="Arial"/>
        </w:rPr>
        <w:t xml:space="preserve">existen algunos contratos respecto de los cuales la ley obliga al contratista de constituir una fiducia mercantil para el manejo de los recursos entregados a título de anticipo. Este punto se analizará en el siguiente apartado. </w:t>
      </w:r>
    </w:p>
    <w:p w14:paraId="075E8216" w14:textId="77777777" w:rsidR="00CA6CFA" w:rsidRPr="00484B22" w:rsidRDefault="00CA6CFA" w:rsidP="00646AB6">
      <w:pPr>
        <w:spacing w:after="0" w:line="276" w:lineRule="auto"/>
        <w:ind w:firstLine="709"/>
        <w:jc w:val="both"/>
        <w:rPr>
          <w:rFonts w:ascii="Geomanist Light" w:eastAsia="Calibri" w:hAnsi="Geomanist Light" w:cs="Arial"/>
        </w:rPr>
      </w:pPr>
    </w:p>
    <w:p w14:paraId="1620A0FF" w14:textId="77777777" w:rsidR="00CE0935" w:rsidRPr="00484B22" w:rsidRDefault="00CE0935" w:rsidP="00396744">
      <w:pPr>
        <w:spacing w:after="0"/>
        <w:jc w:val="both"/>
        <w:rPr>
          <w:rFonts w:ascii="Geomanist Light" w:hAnsi="Geomanist Light" w:cs="Arial"/>
          <w:b/>
          <w:bCs/>
          <w:color w:val="000000" w:themeColor="text1"/>
        </w:rPr>
      </w:pPr>
      <w:r w:rsidRPr="00484B22">
        <w:rPr>
          <w:rFonts w:ascii="Geomanist Light" w:eastAsia="Times New Roman" w:hAnsi="Geomanist Light" w:cs="Arial"/>
          <w:b/>
          <w:bCs/>
          <w:color w:val="000000" w:themeColor="text1"/>
          <w:lang w:val="es-ES" w:eastAsia="es-ES_tradnl"/>
        </w:rPr>
        <w:lastRenderedPageBreak/>
        <w:t xml:space="preserve">2.2. </w:t>
      </w:r>
      <w:r w:rsidRPr="00484B22">
        <w:rPr>
          <w:rFonts w:ascii="Geomanist Light" w:hAnsi="Geomanist Light" w:cs="Arial"/>
          <w:b/>
          <w:bCs/>
          <w:color w:val="000000" w:themeColor="text1"/>
        </w:rPr>
        <w:t>Ámbito de aplicación del artículo 91 de la Ley 1474 de 2011</w:t>
      </w:r>
    </w:p>
    <w:p w14:paraId="61244120" w14:textId="77777777" w:rsidR="00396744" w:rsidRPr="00484B22" w:rsidRDefault="00396744" w:rsidP="00646AB6">
      <w:pPr>
        <w:spacing w:after="0"/>
        <w:jc w:val="both"/>
        <w:rPr>
          <w:rFonts w:ascii="Geomanist Light" w:hAnsi="Geomanist Light" w:cs="Arial"/>
          <w:b/>
          <w:bCs/>
          <w:color w:val="000000" w:themeColor="text1"/>
          <w:u w:val="single"/>
        </w:rPr>
      </w:pPr>
    </w:p>
    <w:p w14:paraId="4611FE4E" w14:textId="249B208C" w:rsidR="00CE0935" w:rsidRPr="00484B22" w:rsidRDefault="00CE0935" w:rsidP="00646AB6">
      <w:pPr>
        <w:spacing w:line="276" w:lineRule="auto"/>
        <w:jc w:val="both"/>
        <w:rPr>
          <w:rFonts w:ascii="Geomanist Light" w:eastAsia="Calibri" w:hAnsi="Geomanist Light" w:cs="Arial"/>
        </w:rPr>
      </w:pPr>
      <w:r w:rsidRPr="00484B22">
        <w:rPr>
          <w:rFonts w:ascii="Geomanist Light" w:eastAsia="Calibri" w:hAnsi="Geomanist Light" w:cs="Arial"/>
          <w:bCs/>
          <w:color w:val="000000" w:themeColor="text1"/>
          <w:lang w:val="es-ES_tradnl"/>
        </w:rPr>
        <w:t xml:space="preserve">Como se expuso en el acápite anterior, una de las normas que regula el anticipo en materia de contratación estatal es el artículo 91 de la Ley 1474 de 2011. Esta norma dispone </w:t>
      </w:r>
      <w:r w:rsidR="00396744" w:rsidRPr="00484B22">
        <w:rPr>
          <w:rFonts w:ascii="Geomanist Light" w:eastAsia="Calibri" w:hAnsi="Geomanist Light" w:cs="Arial"/>
          <w:bCs/>
          <w:color w:val="000000" w:themeColor="text1"/>
          <w:lang w:val="es-ES_tradnl"/>
        </w:rPr>
        <w:t>que</w:t>
      </w:r>
      <w:r w:rsidRPr="00484B22">
        <w:rPr>
          <w:rFonts w:ascii="Geomanist Light" w:eastAsia="Calibri" w:hAnsi="Geomanist Light" w:cs="Arial"/>
          <w:bCs/>
          <w:color w:val="000000" w:themeColor="text1"/>
          <w:lang w:val="es-ES_tradnl"/>
        </w:rPr>
        <w:t>:</w:t>
      </w:r>
      <w:r w:rsidR="00396744" w:rsidRPr="00484B22">
        <w:rPr>
          <w:rFonts w:ascii="Geomanist Light" w:eastAsia="Calibri" w:hAnsi="Geomanist Light" w:cs="Arial"/>
          <w:bCs/>
          <w:color w:val="000000" w:themeColor="text1"/>
          <w:lang w:val="es-ES_tradnl"/>
        </w:rPr>
        <w:t xml:space="preserve"> «</w:t>
      </w:r>
      <w:r w:rsidRPr="00484B22">
        <w:rPr>
          <w:rFonts w:ascii="Geomanist Light" w:eastAsia="Calibri" w:hAnsi="Geomanist Light" w:cs="Arial"/>
        </w:rPr>
        <w:t>En los contratos de obra, concesión, salud, o los que se realicen por licitación pública</w:t>
      </w:r>
      <w:r w:rsidRPr="00484B22">
        <w:rPr>
          <w:rFonts w:ascii="Geomanist Light" w:eastAsia="Calibri" w:hAnsi="Geomanist Light" w:cs="Arial"/>
          <w:i/>
          <w:iCs/>
        </w:rPr>
        <w:t>,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r w:rsidRPr="00484B22">
        <w:rPr>
          <w:rFonts w:ascii="Geomanist Light" w:eastAsia="Calibri" w:hAnsi="Geomanist Light" w:cs="Arial"/>
        </w:rPr>
        <w:t>.</w:t>
      </w:r>
      <w:r w:rsidR="00396744" w:rsidRPr="00484B22">
        <w:rPr>
          <w:rFonts w:ascii="Geomanist Light" w:eastAsia="Calibri" w:hAnsi="Geomanist Light" w:cs="Arial"/>
        </w:rPr>
        <w:t xml:space="preserve"> </w:t>
      </w:r>
      <w:r w:rsidRPr="00484B22">
        <w:rPr>
          <w:rFonts w:ascii="Geomanist Light" w:eastAsia="Calibri" w:hAnsi="Geomanist Light" w:cs="Arial"/>
        </w:rPr>
        <w:t>El costo de la comisión fiduciaria será cubierto directamente por el contratista</w:t>
      </w:r>
      <w:r w:rsidR="00396744" w:rsidRPr="00484B22">
        <w:rPr>
          <w:rFonts w:ascii="Geomanist Light" w:eastAsia="Calibri" w:hAnsi="Geomanist Light" w:cs="Arial"/>
        </w:rPr>
        <w:t>»</w:t>
      </w:r>
      <w:r w:rsidR="00446253" w:rsidRPr="00484B22">
        <w:rPr>
          <w:rFonts w:ascii="Geomanist Light" w:eastAsia="Calibri" w:hAnsi="Geomanist Light" w:cs="Arial"/>
        </w:rPr>
        <w:t xml:space="preserve"> (Énfasis fuera de texto)</w:t>
      </w:r>
      <w:r w:rsidRPr="00484B22">
        <w:rPr>
          <w:rFonts w:ascii="Geomanist Light" w:eastAsia="Calibri" w:hAnsi="Geomanist Light" w:cs="Arial"/>
        </w:rPr>
        <w:t>.</w:t>
      </w:r>
    </w:p>
    <w:p w14:paraId="64B31071" w14:textId="6E3C6689" w:rsidR="00CE0935" w:rsidRPr="00484B22" w:rsidRDefault="00CE0935" w:rsidP="00CE0935">
      <w:pPr>
        <w:spacing w:line="276" w:lineRule="auto"/>
        <w:ind w:firstLine="709"/>
        <w:jc w:val="both"/>
        <w:rPr>
          <w:rFonts w:ascii="Geomanist Light" w:eastAsia="Calibri" w:hAnsi="Geomanist Light" w:cs="Arial"/>
          <w:bCs/>
          <w:color w:val="000000" w:themeColor="text1"/>
          <w:lang w:val="es-ES_tradnl"/>
        </w:rPr>
      </w:pPr>
      <w:r w:rsidRPr="00484B22">
        <w:rPr>
          <w:rFonts w:ascii="Geomanist Light" w:eastAsia="Calibri" w:hAnsi="Geomanist Light" w:cs="Arial"/>
          <w:bCs/>
          <w:color w:val="000000" w:themeColor="text1"/>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w:t>
      </w:r>
      <w:r w:rsidR="00CD1CAA" w:rsidRPr="00484B22">
        <w:rPr>
          <w:rFonts w:ascii="Geomanist Light" w:eastAsia="Calibri" w:hAnsi="Geomanist Light" w:cs="Arial"/>
          <w:bCs/>
          <w:color w:val="000000" w:themeColor="text1"/>
          <w:lang w:val="es-ES_tradnl"/>
        </w:rPr>
        <w:t xml:space="preserve"> </w:t>
      </w:r>
      <w:r w:rsidRPr="00484B22">
        <w:rPr>
          <w:rFonts w:ascii="Geomanist Light" w:eastAsia="Calibri" w:hAnsi="Geomanist Light" w:cs="Arial"/>
          <w:bCs/>
          <w:color w:val="000000" w:themeColor="text1"/>
          <w:lang w:val="es-ES_tradnl"/>
        </w:rPr>
        <w:t>y sus rendimientos son autónomos, además de que se manejan de acuerdo con el contrato de fiducia mercantil</w:t>
      </w:r>
      <w:r w:rsidR="00775CEE" w:rsidRPr="00484B22">
        <w:rPr>
          <w:rFonts w:ascii="Geomanist Light" w:eastAsia="Calibri" w:hAnsi="Geomanist Light" w:cs="Arial"/>
          <w:bCs/>
          <w:color w:val="000000" w:themeColor="text1"/>
          <w:lang w:val="es-ES_tradnl"/>
        </w:rPr>
        <w:t xml:space="preserve">. Adicionalmente, la norma señala que </w:t>
      </w:r>
      <w:r w:rsidR="007B503C" w:rsidRPr="00484B22">
        <w:rPr>
          <w:rFonts w:ascii="Geomanist Light" w:eastAsia="Calibri" w:hAnsi="Geomanist Light" w:cs="Arial"/>
          <w:bCs/>
          <w:color w:val="000000" w:themeColor="text1"/>
          <w:lang w:val="es-ES_tradnl"/>
        </w:rPr>
        <w:t>en el pliego de condiciones la entidad debe establecer los términos y condiciones</w:t>
      </w:r>
      <w:r w:rsidR="00FA494B" w:rsidRPr="00484B22">
        <w:rPr>
          <w:rFonts w:ascii="Geomanist Light" w:eastAsia="Calibri" w:hAnsi="Geomanist Light" w:cs="Arial"/>
          <w:bCs/>
          <w:color w:val="000000" w:themeColor="text1"/>
          <w:lang w:val="es-ES_tradnl"/>
        </w:rPr>
        <w:t xml:space="preserve"> </w:t>
      </w:r>
      <w:r w:rsidR="00CD1CAA" w:rsidRPr="00484B22">
        <w:rPr>
          <w:rFonts w:ascii="Geomanist Light" w:eastAsia="Calibri" w:hAnsi="Geomanist Light" w:cs="Arial"/>
          <w:bCs/>
          <w:color w:val="000000" w:themeColor="text1"/>
          <w:lang w:val="es-ES_tradnl"/>
        </w:rPr>
        <w:t>de la administración del anticipo</w:t>
      </w:r>
      <w:r w:rsidR="006B7919" w:rsidRPr="00484B22">
        <w:rPr>
          <w:rFonts w:ascii="Geomanist Light" w:eastAsia="Calibri" w:hAnsi="Geomanist Light" w:cs="Arial"/>
          <w:bCs/>
          <w:color w:val="000000" w:themeColor="text1"/>
          <w:lang w:val="es-ES_tradnl"/>
        </w:rPr>
        <w:t xml:space="preserve"> a través del patrimonio autónomo</w:t>
      </w:r>
      <w:r w:rsidRPr="00484B22">
        <w:rPr>
          <w:rStyle w:val="Refdenotaalpie"/>
          <w:rFonts w:ascii="Geomanist Light" w:eastAsia="Calibri" w:hAnsi="Geomanist Light" w:cs="Arial"/>
          <w:bCs/>
          <w:color w:val="000000" w:themeColor="text1"/>
          <w:lang w:val="es-ES_tradnl"/>
        </w:rPr>
        <w:footnoteReference w:id="9"/>
      </w:r>
      <w:r w:rsidRPr="00484B22">
        <w:rPr>
          <w:rFonts w:ascii="Geomanist Light" w:eastAsia="Calibri" w:hAnsi="Geomanist Light" w:cs="Arial"/>
          <w:bCs/>
          <w:color w:val="000000" w:themeColor="text1"/>
          <w:lang w:val="es-ES_tradnl"/>
        </w:rPr>
        <w:t xml:space="preserve">. </w:t>
      </w:r>
    </w:p>
    <w:p w14:paraId="448AB117" w14:textId="77777777" w:rsidR="00CE0935" w:rsidRPr="00484B22" w:rsidRDefault="00CE0935" w:rsidP="00CE0935">
      <w:pPr>
        <w:spacing w:before="120" w:line="276" w:lineRule="auto"/>
        <w:ind w:firstLine="709"/>
        <w:jc w:val="both"/>
        <w:rPr>
          <w:rFonts w:ascii="Geomanist Light" w:eastAsia="Calibri" w:hAnsi="Geomanist Light" w:cs="Arial"/>
          <w:bCs/>
          <w:color w:val="000000" w:themeColor="text1"/>
          <w:lang w:val="es-ES_tradnl"/>
        </w:rPr>
      </w:pPr>
      <w:r w:rsidRPr="00484B22">
        <w:rPr>
          <w:rFonts w:ascii="Geomanist Light" w:eastAsia="Calibri" w:hAnsi="Geomanist Light" w:cs="Arial"/>
          <w:bCs/>
          <w:color w:val="000000" w:themeColor="text1"/>
          <w:lang w:val="es-ES_tradnl"/>
        </w:rPr>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484B22">
        <w:rPr>
          <w:rStyle w:val="Refdenotaalpie"/>
          <w:rFonts w:ascii="Geomanist Light" w:eastAsia="Calibri" w:hAnsi="Geomanist Light" w:cs="Arial"/>
          <w:bCs/>
          <w:color w:val="000000" w:themeColor="text1"/>
          <w:lang w:val="es-ES_tradnl"/>
        </w:rPr>
        <w:footnoteReference w:id="10"/>
      </w:r>
      <w:r w:rsidRPr="00484B22">
        <w:rPr>
          <w:rFonts w:ascii="Geomanist Light" w:eastAsia="Calibri" w:hAnsi="Geomanist Light" w:cs="Arial"/>
          <w:bCs/>
          <w:color w:val="000000" w:themeColor="text1"/>
          <w:lang w:val="es-ES_tradnl"/>
        </w:rPr>
        <w:t xml:space="preserve">. De esta manera, mediante estas disposiciones se busca realizar un seguimiento a la entrega de recursos que se otorgan en calidad de anticipo, a través de la constitución de una fiducia irrevocable. Esto con la finalidad </w:t>
      </w:r>
      <w:r w:rsidRPr="00484B22">
        <w:rPr>
          <w:rFonts w:ascii="Geomanist Light" w:eastAsia="Calibri" w:hAnsi="Geomanist Light" w:cs="Arial"/>
          <w:bCs/>
          <w:color w:val="000000" w:themeColor="text1"/>
          <w:lang w:val="es-ES_tradnl"/>
        </w:rPr>
        <w:lastRenderedPageBreak/>
        <w:t xml:space="preserve">de garantizar la adecuada inversión y administración de los recursos, así como su reintegro a la entidad estatal. </w:t>
      </w:r>
    </w:p>
    <w:p w14:paraId="17B8AABB" w14:textId="5CBC04A5" w:rsidR="00CE0935" w:rsidRPr="00484B22" w:rsidRDefault="00AF138F" w:rsidP="00CE0935">
      <w:pPr>
        <w:spacing w:before="120" w:line="276" w:lineRule="auto"/>
        <w:ind w:firstLine="709"/>
        <w:jc w:val="both"/>
        <w:rPr>
          <w:rFonts w:ascii="Geomanist Light" w:eastAsia="Calibri" w:hAnsi="Geomanist Light" w:cs="Arial"/>
          <w:color w:val="000000" w:themeColor="text1"/>
          <w:lang w:val="es-ES"/>
        </w:rPr>
      </w:pPr>
      <w:r w:rsidRPr="00484B22">
        <w:rPr>
          <w:rFonts w:ascii="Geomanist Light" w:eastAsia="Calibri" w:hAnsi="Geomanist Light" w:cs="Arial"/>
          <w:bCs/>
          <w:color w:val="000000" w:themeColor="text1"/>
          <w:lang w:val="es-ES_tradnl"/>
        </w:rPr>
        <w:t>Sobre el particular</w:t>
      </w:r>
      <w:r w:rsidR="00CE0935" w:rsidRPr="00484B22">
        <w:rPr>
          <w:rFonts w:ascii="Geomanist Light" w:eastAsia="Calibri" w:hAnsi="Geomanist Light" w:cs="Arial"/>
          <w:bCs/>
          <w:color w:val="000000" w:themeColor="text1"/>
          <w:lang w:val="es-ES_tradnl"/>
        </w:rPr>
        <w:t>,</w:t>
      </w:r>
      <w:r w:rsidRPr="00484B22">
        <w:rPr>
          <w:rFonts w:ascii="Geomanist Light" w:eastAsia="Calibri" w:hAnsi="Geomanist Light" w:cs="Arial"/>
          <w:bCs/>
          <w:color w:val="000000" w:themeColor="text1"/>
          <w:lang w:val="es-ES_tradnl"/>
        </w:rPr>
        <w:t xml:space="preserve"> la Agencia Nacional de Contratación Pública–</w:t>
      </w:r>
      <w:r w:rsidR="00CE0935" w:rsidRPr="00484B22">
        <w:rPr>
          <w:rFonts w:ascii="Geomanist Light" w:eastAsia="Calibri" w:hAnsi="Geomanist Light" w:cs="Arial"/>
          <w:bCs/>
          <w:color w:val="000000" w:themeColor="text1"/>
          <w:lang w:val="es-ES_tradnl"/>
        </w:rPr>
        <w:t>Colombia Compra Eficiente expi</w:t>
      </w:r>
      <w:r w:rsidRPr="00484B22">
        <w:rPr>
          <w:rFonts w:ascii="Geomanist Light" w:eastAsia="Calibri" w:hAnsi="Geomanist Light" w:cs="Arial"/>
          <w:bCs/>
          <w:color w:val="000000" w:themeColor="text1"/>
          <w:lang w:val="es-ES_tradnl"/>
        </w:rPr>
        <w:t>dió</w:t>
      </w:r>
      <w:r w:rsidR="00CE0935" w:rsidRPr="00484B22">
        <w:rPr>
          <w:rFonts w:ascii="Geomanist Light" w:eastAsia="Calibri" w:hAnsi="Geomanist Light" w:cs="Arial"/>
          <w:bCs/>
          <w:color w:val="000000" w:themeColor="text1"/>
          <w:lang w:val="es-ES_tradnl"/>
        </w:rPr>
        <w:t xml:space="preserve"> la </w:t>
      </w:r>
      <w:r w:rsidR="00CE0935" w:rsidRPr="00484B22">
        <w:rPr>
          <w:rFonts w:ascii="Geomanist Light" w:eastAsia="Calibri" w:hAnsi="Geomanist Light" w:cs="Arial"/>
          <w:color w:val="000000" w:themeColor="text1"/>
          <w:lang w:val="es-ES"/>
        </w:rPr>
        <w:t>«</w:t>
      </w:r>
      <w:r w:rsidR="00CE0935" w:rsidRPr="00484B22">
        <w:rPr>
          <w:rFonts w:ascii="Geomanist Light" w:eastAsia="Calibri" w:hAnsi="Geomanist Light" w:cs="Arial"/>
          <w:bCs/>
          <w:color w:val="000000" w:themeColor="text1"/>
          <w:lang w:val="es-ES_tradnl"/>
        </w:rPr>
        <w:t>Guía para el manejo de anticipos mediante contrato de fiducia irrevocable</w:t>
      </w:r>
      <w:bookmarkStart w:id="2" w:name="_Hlk69032549"/>
      <w:r w:rsidR="00CE0935" w:rsidRPr="00484B22">
        <w:rPr>
          <w:rFonts w:ascii="Geomanist Light" w:eastAsia="Calibri" w:hAnsi="Geomanist Light" w:cs="Arial"/>
          <w:color w:val="000000" w:themeColor="text1"/>
          <w:lang w:val="es-ES"/>
        </w:rPr>
        <w:t>»</w:t>
      </w:r>
      <w:bookmarkEnd w:id="2"/>
      <w:r w:rsidR="00CE0935" w:rsidRPr="00484B22">
        <w:rPr>
          <w:rStyle w:val="Refdenotaalpie"/>
          <w:rFonts w:ascii="Geomanist Light" w:eastAsia="Calibri" w:hAnsi="Geomanist Light" w:cs="Arial"/>
          <w:color w:val="000000" w:themeColor="text1"/>
          <w:lang w:val="es-ES"/>
        </w:rPr>
        <w:footnoteReference w:id="11"/>
      </w:r>
      <w:r w:rsidR="00CE0935" w:rsidRPr="00484B22">
        <w:rPr>
          <w:rFonts w:ascii="Geomanist Light" w:eastAsia="Calibri" w:hAnsi="Geomanist Light" w:cs="Arial"/>
          <w:color w:val="000000" w:themeColor="text1"/>
          <w:lang w:val="es-ES"/>
        </w:rPr>
        <w:t xml:space="preserve">, que </w:t>
      </w:r>
      <w:r w:rsidR="00CE0935" w:rsidRPr="00484B22">
        <w:rPr>
          <w:rFonts w:ascii="Geomanist Light" w:eastAsia="Calibri" w:hAnsi="Geomanist Light" w:cs="Arial"/>
          <w:bCs/>
          <w:color w:val="000000" w:themeColor="text1"/>
          <w:lang w:val="es-ES_tradnl"/>
        </w:rPr>
        <w:t xml:space="preserve">tiene como objetivo establecer lineamientos sobre el contrato de fiducia para el manejo de anticipos. En esta se explica que </w:t>
      </w:r>
      <w:r w:rsidR="00CE0935" w:rsidRPr="00484B22">
        <w:rPr>
          <w:rFonts w:ascii="Geomanist Light" w:eastAsia="Calibri" w:hAnsi="Geomanist Light" w:cs="Arial"/>
          <w:color w:val="000000" w:themeColor="text1"/>
          <w:lang w:val="es-ES"/>
        </w:rPr>
        <w:t>«</w:t>
      </w:r>
      <w:r w:rsidRPr="00484B22">
        <w:rPr>
          <w:rFonts w:ascii="Geomanist Light" w:eastAsia="Calibri" w:hAnsi="Geomanist Light" w:cs="Arial"/>
          <w:color w:val="000000" w:themeColor="text1"/>
          <w:lang w:val="es-ES"/>
        </w:rPr>
        <w:t xml:space="preserve">[…] </w:t>
      </w:r>
      <w:r w:rsidR="00CE0935" w:rsidRPr="00484B22">
        <w:rPr>
          <w:rFonts w:ascii="Geomanist Light" w:eastAsia="Calibri" w:hAnsi="Geomanist Light" w:cs="Arial"/>
          <w:bCs/>
          <w:color w:val="000000" w:themeColor="text1"/>
          <w:lang w:val="es-ES"/>
        </w:rPr>
        <w:t>e</w:t>
      </w:r>
      <w:r w:rsidR="00CE0935" w:rsidRPr="00484B22">
        <w:rPr>
          <w:rFonts w:ascii="Geomanist Light" w:eastAsia="Calibri" w:hAnsi="Geomanist Light" w:cs="Arial"/>
          <w:bCs/>
          <w:color w:val="000000" w:themeColor="text1"/>
        </w:rPr>
        <w:t>l patrimonio autónomo para manejo de anticipos tiene como finalidad: (i) la correcta y adecuada inversión y administración del anticipo y, (</w:t>
      </w:r>
      <w:proofErr w:type="spellStart"/>
      <w:r w:rsidR="00CE0935" w:rsidRPr="00484B22">
        <w:rPr>
          <w:rFonts w:ascii="Geomanist Light" w:eastAsia="Calibri" w:hAnsi="Geomanist Light" w:cs="Arial"/>
          <w:bCs/>
          <w:color w:val="000000" w:themeColor="text1"/>
        </w:rPr>
        <w:t>ii</w:t>
      </w:r>
      <w:proofErr w:type="spellEnd"/>
      <w:r w:rsidR="00CE0935" w:rsidRPr="00484B22">
        <w:rPr>
          <w:rFonts w:ascii="Geomanist Light" w:eastAsia="Calibri" w:hAnsi="Geomanist Light" w:cs="Arial"/>
          <w:bCs/>
          <w:color w:val="000000" w:themeColor="text1"/>
        </w:rPr>
        <w:t>) el reintegro de los recursos del anticipo a la Entidad Estatal cuando declara la caducidad, incumplimiento o terminación del contrato estatal o cuando se presenta la nulidad del contrato estatal</w:t>
      </w:r>
      <w:r w:rsidR="00CE0935" w:rsidRPr="00484B22">
        <w:rPr>
          <w:rFonts w:ascii="Geomanist Light" w:eastAsia="Calibri" w:hAnsi="Geomanist Light" w:cs="Arial"/>
          <w:color w:val="000000" w:themeColor="text1"/>
          <w:lang w:val="es-ES"/>
        </w:rPr>
        <w:t xml:space="preserve">». Además, indica que, en los contratos de obra, concesión, salud y los que se realicen por licitación pública, siempre que no sean de menor o mínima cuantía, el contratista debe constituir un contrato de fiducia mercantil irrevocable para el manejo de los recursos que recibe a título de anticipo. Igualmente, expone las condiciones para administrar los recursos del patrimonio autónomo, las obligaciones principales de la fiduciaria, el manejo de los excedentes, entre otros. </w:t>
      </w:r>
    </w:p>
    <w:p w14:paraId="227A8693" w14:textId="77777777" w:rsidR="00CE0935" w:rsidRPr="00484B22" w:rsidRDefault="00CE0935" w:rsidP="00CE0935">
      <w:pPr>
        <w:spacing w:before="120" w:line="276" w:lineRule="auto"/>
        <w:ind w:firstLine="709"/>
        <w:jc w:val="both"/>
        <w:rPr>
          <w:rFonts w:ascii="Geomanist Light" w:eastAsia="Calibri" w:hAnsi="Geomanist Light" w:cs="Arial"/>
          <w:lang w:val="es-MX"/>
        </w:rPr>
      </w:pPr>
      <w:r w:rsidRPr="00484B22">
        <w:rPr>
          <w:rFonts w:ascii="Geomanist Light" w:eastAsia="Calibri" w:hAnsi="Geomanist Light" w:cs="Arial"/>
          <w:bCs/>
          <w:color w:val="000000" w:themeColor="text1"/>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484B22">
        <w:rPr>
          <w:rFonts w:ascii="Geomanist Light" w:eastAsia="Calibri" w:hAnsi="Geomanist Light" w:cs="Arial"/>
        </w:rPr>
        <w:t xml:space="preserve">solventar los costos iniciales de la ejecución, de acuerdo con las condiciones pactadas. </w:t>
      </w:r>
    </w:p>
    <w:p w14:paraId="246E9907" w14:textId="75CCFD63" w:rsidR="00CE0935" w:rsidRPr="00484B22" w:rsidRDefault="00CE0935" w:rsidP="00136277">
      <w:pPr>
        <w:spacing w:before="120" w:line="276" w:lineRule="auto"/>
        <w:ind w:firstLine="709"/>
        <w:jc w:val="both"/>
        <w:rPr>
          <w:rFonts w:ascii="Geomanist Light" w:eastAsia="Calibri" w:hAnsi="Geomanist Light" w:cs="Arial"/>
        </w:rPr>
      </w:pPr>
      <w:r w:rsidRPr="00484B22">
        <w:rPr>
          <w:rFonts w:ascii="Geomanist Light" w:eastAsia="Calibri" w:hAnsi="Geomanist Light" w:cs="Arial"/>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484B22">
        <w:rPr>
          <w:rFonts w:ascii="Geomanist Light" w:eastAsia="Calibri" w:hAnsi="Geomanist Light" w:cs="Arial"/>
        </w:rPr>
        <w:t>ii</w:t>
      </w:r>
      <w:proofErr w:type="spellEnd"/>
      <w:r w:rsidRPr="00484B22">
        <w:rPr>
          <w:rFonts w:ascii="Geomanist Light" w:eastAsia="Calibri" w:hAnsi="Geomanist Light" w:cs="Arial"/>
        </w:rPr>
        <w:t xml:space="preserve">) concesión, </w:t>
      </w:r>
      <w:proofErr w:type="spellStart"/>
      <w:r w:rsidRPr="00484B22">
        <w:rPr>
          <w:rFonts w:ascii="Geomanist Light" w:eastAsia="Calibri" w:hAnsi="Geomanist Light" w:cs="Arial"/>
        </w:rPr>
        <w:t>iii</w:t>
      </w:r>
      <w:proofErr w:type="spellEnd"/>
      <w:r w:rsidRPr="00484B22">
        <w:rPr>
          <w:rFonts w:ascii="Geomanist Light" w:eastAsia="Calibri" w:hAnsi="Geomanist Light" w:cs="Arial"/>
        </w:rPr>
        <w:t xml:space="preserve">) salud y </w:t>
      </w:r>
      <w:proofErr w:type="spellStart"/>
      <w:r w:rsidRPr="00484B22">
        <w:rPr>
          <w:rFonts w:ascii="Geomanist Light" w:eastAsia="Calibri" w:hAnsi="Geomanist Light" w:cs="Arial"/>
        </w:rPr>
        <w:t>iv</w:t>
      </w:r>
      <w:proofErr w:type="spellEnd"/>
      <w:r w:rsidRPr="00484B22">
        <w:rPr>
          <w:rFonts w:ascii="Geomanist Light" w:eastAsia="Calibri" w:hAnsi="Geomanist Light" w:cs="Arial"/>
        </w:rPr>
        <w:t xml:space="preserve">) los contratos derivados de un proceso de licitación pública. </w:t>
      </w:r>
      <w:r w:rsidR="00D4282B" w:rsidRPr="00484B22">
        <w:rPr>
          <w:rFonts w:ascii="Geomanist Light" w:eastAsia="Calibri" w:hAnsi="Geomanist Light" w:cs="Arial"/>
        </w:rPr>
        <w:t>En ese orden, a</w:t>
      </w:r>
      <w:r w:rsidRPr="00484B22">
        <w:rPr>
          <w:rFonts w:ascii="Geomanist Light" w:eastAsia="Calibri" w:hAnsi="Geomanist Light" w:cs="Arial"/>
        </w:rPr>
        <w:t>unque la norma menciona la modalidad de selección</w:t>
      </w:r>
      <w:r w:rsidR="00D4282B" w:rsidRPr="00484B22">
        <w:rPr>
          <w:rFonts w:ascii="Geomanist Light" w:eastAsia="Calibri" w:hAnsi="Geomanist Light" w:cs="Arial"/>
        </w:rPr>
        <w:t xml:space="preserve"> como un criterio principal que determine su ámbito de aplicación</w:t>
      </w:r>
      <w:r w:rsidRPr="00484B22">
        <w:rPr>
          <w:rFonts w:ascii="Geomanist Light" w:eastAsia="Calibri" w:hAnsi="Geomanist Light" w:cs="Arial"/>
        </w:rPr>
        <w:t xml:space="preserve">, la expresión </w:t>
      </w:r>
      <w:r w:rsidRPr="00484B22">
        <w:rPr>
          <w:rFonts w:ascii="Geomanist Light" w:eastAsia="Calibri" w:hAnsi="Geomanist Light" w:cs="Arial"/>
          <w:color w:val="000000" w:themeColor="text1"/>
          <w:lang w:val="es-ES"/>
        </w:rPr>
        <w:t>«</w:t>
      </w:r>
      <w:r w:rsidRPr="00484B22">
        <w:rPr>
          <w:rFonts w:ascii="Geomanist Light" w:eastAsia="Calibri" w:hAnsi="Geomanist Light" w:cs="Arial"/>
        </w:rPr>
        <w:t>o los que se realicen por licitación pública</w:t>
      </w:r>
      <w:r w:rsidRPr="00484B22">
        <w:rPr>
          <w:rFonts w:ascii="Geomanist Light" w:eastAsia="Calibri" w:hAnsi="Geomanist Light" w:cs="Arial"/>
          <w:color w:val="000000" w:themeColor="text1"/>
          <w:lang w:val="es-ES"/>
        </w:rPr>
        <w:t xml:space="preserve">», </w:t>
      </w:r>
      <w:r w:rsidR="00B022C3" w:rsidRPr="00484B22">
        <w:rPr>
          <w:rFonts w:ascii="Geomanist Light" w:eastAsia="Calibri" w:hAnsi="Geomanist Light" w:cs="Arial"/>
          <w:color w:val="000000" w:themeColor="text1"/>
          <w:lang w:val="es-ES"/>
        </w:rPr>
        <w:t xml:space="preserve">indica </w:t>
      </w:r>
      <w:r w:rsidRPr="00484B22">
        <w:rPr>
          <w:rFonts w:ascii="Geomanist Light" w:eastAsia="Calibri" w:hAnsi="Geomanist Light" w:cs="Arial"/>
          <w:color w:val="000000" w:themeColor="text1"/>
          <w:lang w:val="es-ES"/>
        </w:rPr>
        <w:t xml:space="preserve">que, además de los </w:t>
      </w:r>
      <w:r w:rsidR="00B022C3" w:rsidRPr="00484B22">
        <w:rPr>
          <w:rFonts w:ascii="Geomanist Light" w:eastAsia="Calibri" w:hAnsi="Geomanist Light" w:cs="Arial"/>
          <w:color w:val="000000" w:themeColor="text1"/>
          <w:lang w:val="es-ES"/>
        </w:rPr>
        <w:t>objetos mencionados</w:t>
      </w:r>
      <w:r w:rsidRPr="00484B22">
        <w:rPr>
          <w:rFonts w:ascii="Geomanist Light" w:eastAsia="Calibri" w:hAnsi="Geomanist Light" w:cs="Arial"/>
          <w:color w:val="000000" w:themeColor="text1"/>
          <w:lang w:val="es-ES"/>
        </w:rPr>
        <w:t xml:space="preserve">, también para estos contratos aplica el supuesto de hecho. </w:t>
      </w:r>
    </w:p>
    <w:p w14:paraId="41F15ADD" w14:textId="77777777" w:rsidR="00CE0935" w:rsidRPr="00484B22" w:rsidRDefault="00CE0935" w:rsidP="00CE0935">
      <w:pPr>
        <w:spacing w:before="120" w:line="276" w:lineRule="auto"/>
        <w:ind w:firstLine="709"/>
        <w:jc w:val="both"/>
        <w:rPr>
          <w:rFonts w:ascii="Geomanist Light" w:eastAsia="Calibri" w:hAnsi="Geomanist Light" w:cs="Arial"/>
        </w:rPr>
      </w:pPr>
      <w:r w:rsidRPr="00484B22">
        <w:rPr>
          <w:rFonts w:ascii="Geomanist Light" w:eastAsia="Calibri" w:hAnsi="Geomanist Light" w:cs="Arial"/>
        </w:rPr>
        <w:t xml:space="preserve">En tal sentido, respecto a los contratos de obra, concesión y salud, así como en relación con los contratos derivados de licitación pública cualquiera que sea su tipología contractual, el contratista deberá obligatoriamente constituir una fiducia mercantil para el manejo de los recursos que se entreguen en calidad de anticipo. Se aclara que la constitución </w:t>
      </w:r>
      <w:r w:rsidRPr="00484B22">
        <w:rPr>
          <w:rFonts w:ascii="Geomanist Light" w:eastAsia="Calibri" w:hAnsi="Geomanist Light" w:cs="Arial"/>
        </w:rPr>
        <w:lastRenderedPageBreak/>
        <w:t>del patrimonio autónomo para el manejo del anticipo no releva a la entidad estatal de exigir la garantía de buen manejo y correcta inversión.</w:t>
      </w:r>
    </w:p>
    <w:p w14:paraId="6337A866" w14:textId="77777777" w:rsidR="00CE0935" w:rsidRPr="00484B22" w:rsidRDefault="00CE0935" w:rsidP="00646AB6">
      <w:pPr>
        <w:spacing w:before="120" w:after="0" w:line="276" w:lineRule="auto"/>
        <w:ind w:firstLine="709"/>
        <w:jc w:val="both"/>
        <w:rPr>
          <w:rFonts w:ascii="Geomanist Light" w:eastAsia="Calibri" w:hAnsi="Geomanist Light" w:cs="Arial"/>
        </w:rPr>
      </w:pPr>
      <w:r w:rsidRPr="00484B22">
        <w:rPr>
          <w:rFonts w:ascii="Geomanist Light" w:eastAsia="Calibri" w:hAnsi="Geomanist Light" w:cs="Arial"/>
        </w:rPr>
        <w:t xml:space="preserve">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la entidad estatal tiene la obligación de adoptar las medidas necesarias y razonables para asegurar el buen manejo y la correcta inversión del anticipo, entre las que se encuentra la constitución de una garantía.  </w:t>
      </w:r>
    </w:p>
    <w:p w14:paraId="6BE01C9A" w14:textId="77777777" w:rsidR="009D226E" w:rsidRPr="00484B22" w:rsidRDefault="009D226E" w:rsidP="00646AB6">
      <w:pPr>
        <w:spacing w:after="0" w:line="276" w:lineRule="auto"/>
        <w:jc w:val="both"/>
        <w:rPr>
          <w:rFonts w:ascii="Geomanist Light" w:eastAsia="Calibri" w:hAnsi="Geomanist Light" w:cs="Arial"/>
        </w:rPr>
      </w:pPr>
    </w:p>
    <w:p w14:paraId="7FCD5275" w14:textId="744EBCCA" w:rsidR="009D226E" w:rsidRPr="00484B22" w:rsidRDefault="009D226E" w:rsidP="00561916">
      <w:pPr>
        <w:spacing w:after="0" w:line="276" w:lineRule="auto"/>
        <w:jc w:val="both"/>
        <w:rPr>
          <w:rFonts w:ascii="Geomanist Light" w:eastAsia="Calibri" w:hAnsi="Geomanist Light" w:cs="Arial"/>
          <w:b/>
          <w:bCs/>
        </w:rPr>
      </w:pPr>
      <w:r w:rsidRPr="00484B22">
        <w:rPr>
          <w:rFonts w:ascii="Geomanist Light" w:eastAsia="Calibri" w:hAnsi="Geomanist Light" w:cs="Arial"/>
          <w:b/>
          <w:bCs/>
        </w:rPr>
        <w:t>2</w:t>
      </w:r>
      <w:r w:rsidR="00493424" w:rsidRPr="00484B22">
        <w:rPr>
          <w:rFonts w:ascii="Geomanist Light" w:eastAsia="Calibri" w:hAnsi="Geomanist Light" w:cs="Arial"/>
          <w:b/>
          <w:bCs/>
        </w:rPr>
        <w:t>.</w:t>
      </w:r>
      <w:r w:rsidR="00CF25D0" w:rsidRPr="00484B22">
        <w:rPr>
          <w:rFonts w:ascii="Geomanist Light" w:eastAsia="Calibri" w:hAnsi="Geomanist Light" w:cs="Arial"/>
          <w:b/>
          <w:bCs/>
        </w:rPr>
        <w:t>3</w:t>
      </w:r>
      <w:r w:rsidR="00493424" w:rsidRPr="00484B22">
        <w:rPr>
          <w:rFonts w:ascii="Geomanist Light" w:eastAsia="Calibri" w:hAnsi="Geomanist Light" w:cs="Arial"/>
          <w:b/>
          <w:bCs/>
        </w:rPr>
        <w:t xml:space="preserve">. </w:t>
      </w:r>
      <w:r w:rsidR="00BB6A2A" w:rsidRPr="00484B22">
        <w:rPr>
          <w:rFonts w:ascii="Geomanist Light" w:eastAsia="Calibri" w:hAnsi="Geomanist Light" w:cs="Arial"/>
          <w:b/>
          <w:bCs/>
        </w:rPr>
        <w:t>Responsabilidad por</w:t>
      </w:r>
      <w:r w:rsidR="00493424" w:rsidRPr="00484B22">
        <w:rPr>
          <w:rFonts w:ascii="Geomanist Light" w:eastAsia="Calibri" w:hAnsi="Geomanist Light" w:cs="Arial"/>
          <w:b/>
          <w:bCs/>
        </w:rPr>
        <w:t xml:space="preserve"> </w:t>
      </w:r>
      <w:r w:rsidR="00561916" w:rsidRPr="00484B22">
        <w:rPr>
          <w:rFonts w:ascii="Geomanist Light" w:eastAsia="Calibri" w:hAnsi="Geomanist Light" w:cs="Arial"/>
          <w:b/>
          <w:bCs/>
        </w:rPr>
        <w:t>pérdidas</w:t>
      </w:r>
      <w:r w:rsidR="00493424" w:rsidRPr="00484B22">
        <w:rPr>
          <w:rFonts w:ascii="Geomanist Light" w:eastAsia="Calibri" w:hAnsi="Geomanist Light" w:cs="Arial"/>
          <w:b/>
          <w:bCs/>
        </w:rPr>
        <w:t xml:space="preserve"> generadas en el marco de </w:t>
      </w:r>
      <w:r w:rsidR="00561916" w:rsidRPr="00484B22">
        <w:rPr>
          <w:rFonts w:ascii="Geomanist Light" w:eastAsia="Calibri" w:hAnsi="Geomanist Light" w:cs="Arial"/>
          <w:b/>
          <w:bCs/>
        </w:rPr>
        <w:t>manejo de anticipos de contratos estatales</w:t>
      </w:r>
      <w:r w:rsidR="00493424" w:rsidRPr="00484B22">
        <w:rPr>
          <w:rFonts w:ascii="Geomanist Light" w:eastAsia="Calibri" w:hAnsi="Geomanist Light" w:cs="Arial"/>
          <w:b/>
          <w:bCs/>
        </w:rPr>
        <w:t xml:space="preserve"> </w:t>
      </w:r>
      <w:r w:rsidR="00BB6A2A" w:rsidRPr="00484B22">
        <w:rPr>
          <w:rFonts w:ascii="Geomanist Light" w:eastAsia="Calibri" w:hAnsi="Geomanist Light" w:cs="Arial"/>
          <w:b/>
          <w:bCs/>
        </w:rPr>
        <w:t>a través de contratos de fiducia</w:t>
      </w:r>
    </w:p>
    <w:p w14:paraId="7AB1B6BF" w14:textId="77777777" w:rsidR="00F5015D" w:rsidRPr="00484B22" w:rsidRDefault="00F5015D" w:rsidP="00646AB6">
      <w:pPr>
        <w:spacing w:after="0" w:line="276" w:lineRule="auto"/>
        <w:jc w:val="both"/>
        <w:rPr>
          <w:rFonts w:ascii="Geomanist Light" w:eastAsia="Calibri" w:hAnsi="Geomanist Light" w:cs="Arial"/>
          <w:b/>
          <w:bCs/>
        </w:rPr>
      </w:pPr>
    </w:p>
    <w:p w14:paraId="1F41DB64" w14:textId="291F26BD" w:rsidR="00A42DCE" w:rsidRPr="00484B22" w:rsidRDefault="006D5C94" w:rsidP="00646AB6">
      <w:pPr>
        <w:spacing w:after="0" w:line="276" w:lineRule="auto"/>
        <w:jc w:val="both"/>
        <w:rPr>
          <w:rFonts w:ascii="Geomanist Light" w:hAnsi="Geomanist Light"/>
        </w:rPr>
      </w:pPr>
      <w:r w:rsidRPr="00484B22">
        <w:rPr>
          <w:rFonts w:ascii="Geomanist Light" w:eastAsia="Calibri" w:hAnsi="Geomanist Light" w:cs="Arial"/>
        </w:rPr>
        <w:t xml:space="preserve">Conforme a lo manifestado </w:t>
      </w:r>
      <w:r w:rsidRPr="00484B22">
        <w:rPr>
          <w:rFonts w:ascii="Geomanist Light" w:eastAsia="Calibri" w:hAnsi="Geomanist Light" w:cs="Arial"/>
          <w:i/>
          <w:iCs/>
        </w:rPr>
        <w:t xml:space="preserve">supra, </w:t>
      </w:r>
      <w:r w:rsidRPr="00484B22">
        <w:rPr>
          <w:rFonts w:ascii="Geomanist Light" w:eastAsia="Calibri" w:hAnsi="Geomanist Light" w:cs="Arial"/>
        </w:rPr>
        <w:t>en lo referente a</w:t>
      </w:r>
      <w:r w:rsidR="00A23CA3" w:rsidRPr="00484B22">
        <w:rPr>
          <w:rFonts w:ascii="Geomanist Light" w:eastAsia="Calibri" w:hAnsi="Geomanist Light" w:cs="Arial"/>
        </w:rPr>
        <w:t>l manejo de</w:t>
      </w:r>
      <w:r w:rsidRPr="00484B22">
        <w:rPr>
          <w:rFonts w:ascii="Geomanist Light" w:eastAsia="Calibri" w:hAnsi="Geomanist Light" w:cs="Arial"/>
        </w:rPr>
        <w:t xml:space="preserve"> los rendimientos que se ocasionen en el marco de la administración de los recursos</w:t>
      </w:r>
      <w:r w:rsidR="00BC4C86" w:rsidRPr="00484B22">
        <w:rPr>
          <w:rFonts w:ascii="Geomanist Light" w:eastAsia="Calibri" w:hAnsi="Geomanist Light" w:cs="Arial"/>
        </w:rPr>
        <w:t>,</w:t>
      </w:r>
      <w:r w:rsidR="00C026CF" w:rsidRPr="00484B22">
        <w:rPr>
          <w:rFonts w:ascii="Geomanist Light" w:eastAsia="Calibri" w:hAnsi="Geomanist Light" w:cs="Arial"/>
        </w:rPr>
        <w:t xml:space="preserve"> el </w:t>
      </w:r>
      <w:r w:rsidR="00C47305" w:rsidRPr="00484B22">
        <w:rPr>
          <w:rFonts w:ascii="Geomanist Light" w:eastAsia="Calibri" w:hAnsi="Geomanist Light" w:cs="Arial"/>
        </w:rPr>
        <w:t>artículo 2.2.1.1.2.4.1 del Decreto 1082 de 2015</w:t>
      </w:r>
      <w:r w:rsidRPr="00484B22">
        <w:rPr>
          <w:rFonts w:ascii="Geomanist Light" w:eastAsia="Calibri" w:hAnsi="Geomanist Light" w:cs="Arial"/>
        </w:rPr>
        <w:t xml:space="preserve"> </w:t>
      </w:r>
      <w:r w:rsidR="00BC4C86" w:rsidRPr="00484B22">
        <w:rPr>
          <w:rFonts w:ascii="Geomanist Light" w:eastAsia="Calibri" w:hAnsi="Geomanist Light" w:cs="Arial"/>
        </w:rPr>
        <w:t>advierte la autonomía de su manejo</w:t>
      </w:r>
      <w:r w:rsidR="005D2A97" w:rsidRPr="00484B22">
        <w:rPr>
          <w:rFonts w:ascii="Geomanist Light" w:eastAsia="Calibri" w:hAnsi="Geomanist Light" w:cs="Arial"/>
        </w:rPr>
        <w:t xml:space="preserve"> y la sujeción </w:t>
      </w:r>
      <w:proofErr w:type="gramStart"/>
      <w:r w:rsidR="005D2A97" w:rsidRPr="00484B22">
        <w:rPr>
          <w:rFonts w:ascii="Geomanist Light" w:eastAsia="Calibri" w:hAnsi="Geomanist Light" w:cs="Arial"/>
        </w:rPr>
        <w:t>del mismo</w:t>
      </w:r>
      <w:proofErr w:type="gramEnd"/>
      <w:r w:rsidR="005D2A97" w:rsidRPr="00484B22">
        <w:rPr>
          <w:rFonts w:ascii="Geomanist Light" w:eastAsia="Calibri" w:hAnsi="Geomanist Light" w:cs="Arial"/>
        </w:rPr>
        <w:t xml:space="preserve"> a las reg</w:t>
      </w:r>
      <w:r w:rsidR="00687D69" w:rsidRPr="00484B22">
        <w:rPr>
          <w:rFonts w:ascii="Geomanist Light" w:eastAsia="Calibri" w:hAnsi="Geomanist Light" w:cs="Arial"/>
        </w:rPr>
        <w:t xml:space="preserve">las del contrato de fiducia mercantil. </w:t>
      </w:r>
      <w:r w:rsidR="00D32216" w:rsidRPr="00484B22">
        <w:rPr>
          <w:rFonts w:ascii="Geomanist Light" w:eastAsia="Calibri" w:hAnsi="Geomanist Light" w:cs="Arial"/>
        </w:rPr>
        <w:t xml:space="preserve">Al respecto conviene recordar que, </w:t>
      </w:r>
      <w:r w:rsidR="00D32216" w:rsidRPr="00484B22">
        <w:rPr>
          <w:rFonts w:ascii="Geomanist Light" w:hAnsi="Geomanist Light" w:cs="Arial"/>
        </w:rPr>
        <w:t xml:space="preserve">el </w:t>
      </w:r>
      <w:r w:rsidR="00A42DCE" w:rsidRPr="00484B22">
        <w:rPr>
          <w:rFonts w:ascii="Geomanist Light" w:hAnsi="Geomanist Light" w:cs="Arial"/>
        </w:rPr>
        <w:t xml:space="preserve">Código de Comercio define el contrato de fiducia mercantil en su artículo 1226, estableciendo como elementos característicos del negocio jurídico: i) la existencia de al menos dos sujetos, fiduciante y fiduciario y </w:t>
      </w:r>
      <w:proofErr w:type="spellStart"/>
      <w:r w:rsidR="00A42DCE" w:rsidRPr="00484B22">
        <w:rPr>
          <w:rFonts w:ascii="Geomanist Light" w:hAnsi="Geomanist Light" w:cs="Arial"/>
        </w:rPr>
        <w:t>ii</w:t>
      </w:r>
      <w:proofErr w:type="spellEnd"/>
      <w:r w:rsidR="00A42DCE" w:rsidRPr="00484B22">
        <w:rPr>
          <w:rFonts w:ascii="Geomanist Light" w:hAnsi="Geomanist Light" w:cs="Arial"/>
        </w:rPr>
        <w:t>) la transferencia de los bienes fideicomitidos, con el siguiente tenor:</w:t>
      </w:r>
    </w:p>
    <w:p w14:paraId="23BF9B26" w14:textId="6540D056" w:rsidR="00A42DCE" w:rsidRPr="00484B22" w:rsidRDefault="00A42DCE" w:rsidP="00570367">
      <w:pPr>
        <w:spacing w:after="0" w:line="240" w:lineRule="auto"/>
        <w:ind w:left="709" w:right="851"/>
        <w:jc w:val="both"/>
        <w:rPr>
          <w:rFonts w:ascii="Geomanist Light" w:hAnsi="Geomanist Light" w:cs="Arial"/>
          <w:sz w:val="21"/>
        </w:rPr>
      </w:pPr>
      <w:r w:rsidRPr="00484B22">
        <w:rPr>
          <w:rFonts w:ascii="Geomanist Light" w:hAnsi="Geomanist Light" w:cs="Arial"/>
          <w:sz w:val="21"/>
        </w:rPr>
        <w:t xml:space="preserve">Artículo 1226. </w:t>
      </w:r>
      <w:r w:rsidR="00136FC3" w:rsidRPr="00484B22">
        <w:rPr>
          <w:rFonts w:ascii="Geomanist Light" w:hAnsi="Geomanist Light" w:cs="Arial"/>
          <w:sz w:val="21"/>
        </w:rPr>
        <w:t>C</w:t>
      </w:r>
      <w:r w:rsidRPr="00484B22">
        <w:rPr>
          <w:rFonts w:ascii="Geomanist Light" w:hAnsi="Geomanist Light" w:cs="Arial"/>
          <w:sz w:val="21"/>
        </w:rPr>
        <w:t>oncepto de la fiducia mercantil.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484B22">
        <w:rPr>
          <w:rFonts w:ascii="Geomanist Light" w:hAnsi="Geomanist Light" w:cs="Arial"/>
          <w:spacing w:val="-5"/>
          <w:sz w:val="21"/>
        </w:rPr>
        <w:t xml:space="preserve"> </w:t>
      </w:r>
      <w:r w:rsidRPr="00484B22">
        <w:rPr>
          <w:rFonts w:ascii="Geomanist Light" w:hAnsi="Geomanist Light" w:cs="Arial"/>
          <w:sz w:val="21"/>
        </w:rPr>
        <w:t>fideicomisario.</w:t>
      </w:r>
    </w:p>
    <w:p w14:paraId="15235866" w14:textId="77777777" w:rsidR="00570367" w:rsidRPr="00484B22" w:rsidRDefault="00570367" w:rsidP="00646AB6">
      <w:pPr>
        <w:spacing w:after="0" w:line="240" w:lineRule="auto"/>
        <w:ind w:left="709" w:right="851"/>
        <w:jc w:val="both"/>
        <w:rPr>
          <w:rFonts w:ascii="Geomanist Light" w:hAnsi="Geomanist Light" w:cs="Arial"/>
          <w:sz w:val="21"/>
        </w:rPr>
      </w:pPr>
    </w:p>
    <w:p w14:paraId="5B8F32B1" w14:textId="77777777" w:rsidR="00A42DCE" w:rsidRPr="00484B22" w:rsidRDefault="00A42DCE" w:rsidP="00570367">
      <w:pPr>
        <w:spacing w:before="1" w:after="0" w:line="240" w:lineRule="auto"/>
        <w:ind w:left="709" w:right="851"/>
        <w:jc w:val="both"/>
        <w:rPr>
          <w:rFonts w:ascii="Geomanist Light" w:hAnsi="Geomanist Light" w:cs="Arial"/>
          <w:sz w:val="21"/>
        </w:rPr>
      </w:pPr>
      <w:r w:rsidRPr="00484B22">
        <w:rPr>
          <w:rFonts w:ascii="Geomanist Light" w:hAnsi="Geomanist Light" w:cs="Arial"/>
          <w:sz w:val="21"/>
        </w:rPr>
        <w:t>Una persona puede ser al mismo tiempo fiduciante y beneficiario.</w:t>
      </w:r>
    </w:p>
    <w:p w14:paraId="76D71B6B" w14:textId="77777777" w:rsidR="00570367" w:rsidRPr="00484B22" w:rsidRDefault="00570367" w:rsidP="00646AB6">
      <w:pPr>
        <w:spacing w:before="1" w:after="0" w:line="240" w:lineRule="auto"/>
        <w:ind w:left="709" w:right="851"/>
        <w:jc w:val="both"/>
        <w:rPr>
          <w:rFonts w:ascii="Geomanist Light" w:hAnsi="Geomanist Light" w:cs="Arial"/>
          <w:sz w:val="21"/>
        </w:rPr>
      </w:pPr>
    </w:p>
    <w:p w14:paraId="3CD557C6" w14:textId="77777777" w:rsidR="00A42DCE" w:rsidRPr="00484B22" w:rsidRDefault="00A42DCE" w:rsidP="00646AB6">
      <w:pPr>
        <w:spacing w:before="1" w:after="0" w:line="240" w:lineRule="auto"/>
        <w:ind w:left="709" w:right="851"/>
        <w:jc w:val="both"/>
        <w:rPr>
          <w:rFonts w:ascii="Geomanist Light" w:hAnsi="Geomanist Light" w:cs="Arial"/>
          <w:sz w:val="21"/>
        </w:rPr>
      </w:pPr>
      <w:r w:rsidRPr="00484B22">
        <w:rPr>
          <w:rFonts w:ascii="Geomanist Light" w:hAnsi="Geomanist Light" w:cs="Arial"/>
          <w:sz w:val="21"/>
        </w:rPr>
        <w:t>Solo los establecimientos de crédito y las sociedades fiduciarias, especialmente autorizados por la Superintendencia Bancaria, podrán tener la calidad de fiduciarios.</w:t>
      </w:r>
    </w:p>
    <w:p w14:paraId="34096DDC" w14:textId="77777777" w:rsidR="00570367" w:rsidRPr="00484B22" w:rsidRDefault="00570367" w:rsidP="00C17885">
      <w:pPr>
        <w:pStyle w:val="NormalWeb"/>
        <w:spacing w:after="0" w:line="276" w:lineRule="auto"/>
        <w:ind w:firstLine="708"/>
        <w:jc w:val="both"/>
        <w:rPr>
          <w:rFonts w:ascii="Geomanist Light" w:hAnsi="Geomanist Light" w:cs="Arial"/>
          <w:sz w:val="22"/>
          <w:szCs w:val="22"/>
        </w:rPr>
      </w:pPr>
    </w:p>
    <w:p w14:paraId="1422EE5F" w14:textId="2C5EF14F" w:rsidR="008046C2" w:rsidRPr="00484B22" w:rsidRDefault="00A51B08" w:rsidP="00646AB6">
      <w:pPr>
        <w:pStyle w:val="NormalWeb"/>
        <w:spacing w:after="0" w:line="276" w:lineRule="auto"/>
        <w:ind w:firstLine="708"/>
        <w:jc w:val="both"/>
        <w:rPr>
          <w:rFonts w:ascii="Geomanist Light" w:hAnsi="Geomanist Light" w:cs="Arial"/>
          <w:sz w:val="22"/>
          <w:szCs w:val="22"/>
        </w:rPr>
      </w:pPr>
      <w:r w:rsidRPr="00484B22">
        <w:rPr>
          <w:rFonts w:ascii="Geomanist Light" w:hAnsi="Geomanist Light" w:cs="Arial"/>
          <w:sz w:val="22"/>
          <w:szCs w:val="22"/>
        </w:rPr>
        <w:t>Por su parte</w:t>
      </w:r>
      <w:r w:rsidR="008046C2" w:rsidRPr="00484B22">
        <w:rPr>
          <w:rFonts w:ascii="Geomanist Light" w:hAnsi="Geomanist Light" w:cs="Arial"/>
          <w:sz w:val="22"/>
          <w:szCs w:val="22"/>
        </w:rPr>
        <w:t>, el artículo 1234</w:t>
      </w:r>
      <w:r w:rsidRPr="00484B22">
        <w:rPr>
          <w:rFonts w:ascii="Geomanist Light" w:hAnsi="Geomanist Light" w:cs="Arial"/>
          <w:sz w:val="22"/>
          <w:szCs w:val="22"/>
        </w:rPr>
        <w:t xml:space="preserve"> del Código de Comercio</w:t>
      </w:r>
      <w:r w:rsidR="00973B91" w:rsidRPr="00484B22">
        <w:rPr>
          <w:rFonts w:ascii="Geomanist Light" w:hAnsi="Geomanist Light" w:cs="Arial"/>
          <w:sz w:val="22"/>
          <w:szCs w:val="22"/>
        </w:rPr>
        <w:t xml:space="preserve"> establece </w:t>
      </w:r>
      <w:r w:rsidR="00F55C32" w:rsidRPr="00484B22">
        <w:rPr>
          <w:rFonts w:ascii="Geomanist Light" w:hAnsi="Geomanist Light" w:cs="Arial"/>
          <w:sz w:val="22"/>
          <w:szCs w:val="22"/>
        </w:rPr>
        <w:t>como</w:t>
      </w:r>
      <w:r w:rsidR="00F30CC6" w:rsidRPr="00484B22">
        <w:rPr>
          <w:rFonts w:ascii="Geomanist Light" w:hAnsi="Geomanist Light" w:cs="Arial"/>
          <w:sz w:val="22"/>
          <w:szCs w:val="22"/>
        </w:rPr>
        <w:t xml:space="preserve"> obligaciones de</w:t>
      </w:r>
      <w:r w:rsidR="00CD4E25" w:rsidRPr="00484B22">
        <w:rPr>
          <w:rFonts w:ascii="Geomanist Light" w:hAnsi="Geomanist Light" w:cs="Arial"/>
          <w:sz w:val="22"/>
          <w:szCs w:val="22"/>
        </w:rPr>
        <w:t>l fiduciario las siguiente</w:t>
      </w:r>
      <w:r w:rsidR="00F03F89" w:rsidRPr="00484B22">
        <w:rPr>
          <w:rFonts w:ascii="Geomanist Light" w:hAnsi="Geomanist Light" w:cs="Arial"/>
          <w:sz w:val="22"/>
          <w:szCs w:val="22"/>
        </w:rPr>
        <w:t>s</w:t>
      </w:r>
      <w:r w:rsidR="00CD4E25" w:rsidRPr="00484B22">
        <w:rPr>
          <w:rFonts w:ascii="Geomanist Light" w:hAnsi="Geomanist Light" w:cs="Arial"/>
          <w:sz w:val="22"/>
          <w:szCs w:val="22"/>
        </w:rPr>
        <w:t xml:space="preserve">: </w:t>
      </w:r>
      <w:r w:rsidR="00F55C32" w:rsidRPr="00484B22">
        <w:rPr>
          <w:rFonts w:ascii="Geomanist Light" w:hAnsi="Geomanist Light" w:cs="Arial"/>
          <w:sz w:val="22"/>
          <w:szCs w:val="22"/>
        </w:rPr>
        <w:t xml:space="preserve"> </w:t>
      </w:r>
      <w:r w:rsidR="008046C2" w:rsidRPr="00484B22">
        <w:rPr>
          <w:rFonts w:ascii="Geomanist Light" w:hAnsi="Geomanist Light" w:cs="Arial"/>
          <w:sz w:val="22"/>
          <w:szCs w:val="22"/>
        </w:rPr>
        <w:t xml:space="preserve">  </w:t>
      </w:r>
    </w:p>
    <w:p w14:paraId="2BB87794" w14:textId="77777777" w:rsidR="008046C2" w:rsidRPr="00484B22" w:rsidRDefault="008046C2" w:rsidP="008046C2">
      <w:pPr>
        <w:pStyle w:val="NormalWeb"/>
        <w:spacing w:after="0" w:line="254" w:lineRule="atLeast"/>
        <w:jc w:val="both"/>
        <w:rPr>
          <w:rFonts w:ascii="Geomanist Light" w:hAnsi="Geomanist Light" w:cs="Arial"/>
        </w:rPr>
      </w:pPr>
    </w:p>
    <w:p w14:paraId="2CAC7CDC" w14:textId="5CE166A3" w:rsidR="008046C2" w:rsidRPr="00484B22" w:rsidRDefault="008046C2" w:rsidP="00646AB6">
      <w:pPr>
        <w:pStyle w:val="NormalWeb"/>
        <w:spacing w:after="0" w:line="240" w:lineRule="auto"/>
        <w:ind w:left="709" w:right="709"/>
        <w:jc w:val="both"/>
        <w:rPr>
          <w:rFonts w:ascii="Geomanist Light" w:eastAsia="Times New Roman" w:hAnsi="Geomanist Light" w:cs="Arial"/>
          <w:color w:val="000000"/>
          <w:sz w:val="21"/>
          <w:szCs w:val="21"/>
          <w:lang w:eastAsia="es-CO"/>
        </w:rPr>
      </w:pPr>
      <w:r w:rsidRPr="00484B22">
        <w:rPr>
          <w:rFonts w:ascii="Geomanist Light" w:eastAsia="Times New Roman" w:hAnsi="Geomanist Light" w:cs="Arial"/>
          <w:color w:val="000000"/>
          <w:sz w:val="21"/>
          <w:szCs w:val="21"/>
          <w:lang w:eastAsia="es-CO"/>
        </w:rPr>
        <w:t xml:space="preserve">Artículo 1234. </w:t>
      </w:r>
      <w:r w:rsidR="00CD4E25" w:rsidRPr="00484B22">
        <w:rPr>
          <w:rFonts w:ascii="Geomanist Light" w:eastAsia="Times New Roman" w:hAnsi="Geomanist Light" w:cs="Arial"/>
          <w:color w:val="000000"/>
          <w:sz w:val="21"/>
          <w:szCs w:val="21"/>
          <w:lang w:eastAsia="es-CO"/>
        </w:rPr>
        <w:t>Otros deberes indelegables del fiduciario</w:t>
      </w:r>
      <w:r w:rsidRPr="00484B22">
        <w:rPr>
          <w:rFonts w:ascii="Geomanist Light" w:eastAsia="Times New Roman" w:hAnsi="Geomanist Light" w:cs="Arial"/>
          <w:color w:val="000000"/>
          <w:sz w:val="21"/>
          <w:szCs w:val="21"/>
          <w:lang w:eastAsia="es-CO"/>
        </w:rPr>
        <w:t>. Son deberes indelegables del fiduciario, además de los previstos en el acto constitutivo, los siguientes: </w:t>
      </w:r>
    </w:p>
    <w:p w14:paraId="703ECD46" w14:textId="77777777" w:rsidR="008046C2" w:rsidRPr="00484B22" w:rsidRDefault="008046C2" w:rsidP="00646AB6">
      <w:pPr>
        <w:spacing w:after="0" w:line="240" w:lineRule="auto"/>
        <w:jc w:val="both"/>
        <w:rPr>
          <w:rFonts w:ascii="Geomanist Light" w:eastAsia="Times New Roman" w:hAnsi="Geomanist Light" w:cs="Arial"/>
          <w:color w:val="000000"/>
          <w:sz w:val="24"/>
          <w:szCs w:val="24"/>
          <w:lang w:eastAsia="es-CO"/>
        </w:rPr>
      </w:pPr>
      <w:r w:rsidRPr="00484B22">
        <w:rPr>
          <w:rFonts w:ascii="Geomanist Light" w:eastAsia="Times New Roman" w:hAnsi="Geomanist Light" w:cs="Arial"/>
          <w:color w:val="000000"/>
          <w:sz w:val="24"/>
          <w:szCs w:val="24"/>
          <w:lang w:eastAsia="es-CO"/>
        </w:rPr>
        <w:lastRenderedPageBreak/>
        <w:t>  </w:t>
      </w:r>
    </w:p>
    <w:p w14:paraId="3455EFF7"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1) Realizar diligentemente todos los actos necesarios para la consecución de la finalidad de la fiducia; </w:t>
      </w:r>
    </w:p>
    <w:p w14:paraId="5FE3A22E"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3AD1BB8B"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2) Mantener los bienes objeto de la fiducia separados de los suyos y de los que correspondan a otros negocios fiduciarios; </w:t>
      </w:r>
    </w:p>
    <w:p w14:paraId="1B148E80"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7EAB9784" w14:textId="77777777" w:rsidR="008046C2" w:rsidRPr="00484B22" w:rsidRDefault="008046C2" w:rsidP="00646AB6">
      <w:pPr>
        <w:spacing w:after="0" w:line="240" w:lineRule="auto"/>
        <w:ind w:left="709" w:right="851"/>
        <w:jc w:val="both"/>
        <w:rPr>
          <w:rFonts w:ascii="Geomanist Light" w:hAnsi="Geomanist Light" w:cs="Arial"/>
          <w:i/>
          <w:iCs/>
          <w:sz w:val="21"/>
        </w:rPr>
      </w:pPr>
      <w:r w:rsidRPr="00484B22">
        <w:rPr>
          <w:rFonts w:ascii="Geomanist Light" w:hAnsi="Geomanist Light" w:cs="Arial"/>
          <w:sz w:val="21"/>
        </w:rPr>
        <w:t xml:space="preserve">3) </w:t>
      </w:r>
      <w:r w:rsidRPr="00484B22">
        <w:rPr>
          <w:rFonts w:ascii="Geomanist Light" w:hAnsi="Geomanist Light" w:cs="Arial"/>
          <w:i/>
          <w:iCs/>
          <w:sz w:val="21"/>
        </w:rPr>
        <w:t>Invertir los bienes provenientes del negocio fiduciario en la forma y con los requisitos previstos en el acto constitutivo, salvo que se le haya permitido obrar del modo que más conveniente le parezca; </w:t>
      </w:r>
    </w:p>
    <w:p w14:paraId="17E0AD0C"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215B7636" w14:textId="070B3CDC"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xml:space="preserve">4) </w:t>
      </w:r>
      <w:r w:rsidR="00570367" w:rsidRPr="00484B22">
        <w:rPr>
          <w:rFonts w:ascii="Geomanist Light" w:hAnsi="Geomanist Light" w:cs="Arial"/>
          <w:sz w:val="21"/>
        </w:rPr>
        <w:t>L</w:t>
      </w:r>
      <w:r w:rsidRPr="00484B22">
        <w:rPr>
          <w:rFonts w:ascii="Geomanist Light" w:hAnsi="Geomanist Light" w:cs="Arial"/>
          <w:sz w:val="21"/>
        </w:rPr>
        <w:t>levar la personería para la protección y defensa de los bienes fideicomitidos contra actos de terceros, del beneficiario y aún del mismo constituyente; </w:t>
      </w:r>
    </w:p>
    <w:p w14:paraId="4CD2A8B8"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489F7009"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5) Pedir instrucciones al Superintendente Bancario cuando tenga fundadas dudas acerca de la naturaleza y alcance de sus obligaciones o deba apartarse de las autorizaciones contenidas en el acto constitutivo, cuando así lo exijan las circunstancias. En estos casos el Superintendente citará previamente al fiduciante y al beneficiario; </w:t>
      </w:r>
    </w:p>
    <w:p w14:paraId="2799F744" w14:textId="77777777" w:rsidR="008046C2" w:rsidRPr="00484B22" w:rsidRDefault="008046C2" w:rsidP="00646AB6">
      <w:pPr>
        <w:spacing w:after="0" w:line="240" w:lineRule="auto"/>
        <w:jc w:val="both"/>
        <w:rPr>
          <w:rFonts w:ascii="Geomanist Light" w:eastAsia="Times New Roman" w:hAnsi="Geomanist Light" w:cs="Arial"/>
          <w:color w:val="000000"/>
          <w:sz w:val="24"/>
          <w:szCs w:val="24"/>
          <w:lang w:eastAsia="es-CO"/>
        </w:rPr>
      </w:pPr>
      <w:r w:rsidRPr="00484B22">
        <w:rPr>
          <w:rFonts w:ascii="Geomanist Light" w:eastAsia="Times New Roman" w:hAnsi="Geomanist Light" w:cs="Arial"/>
          <w:color w:val="000000"/>
          <w:sz w:val="24"/>
          <w:szCs w:val="24"/>
          <w:lang w:eastAsia="es-CO"/>
        </w:rPr>
        <w:t>  </w:t>
      </w:r>
    </w:p>
    <w:p w14:paraId="58AFB80E"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xml:space="preserve">6) </w:t>
      </w:r>
      <w:r w:rsidRPr="00484B22">
        <w:rPr>
          <w:rFonts w:ascii="Geomanist Light" w:hAnsi="Geomanist Light" w:cs="Arial"/>
          <w:i/>
          <w:iCs/>
          <w:sz w:val="21"/>
        </w:rPr>
        <w:t>Procurar el mayor rendimiento de los bienes objeto del negocio fiduciario, para lo cual todo acto de disposición que realice será siempre oneroso y con fines lucrativos, salvo determinación contraria del acto constitutivo</w:t>
      </w:r>
      <w:r w:rsidRPr="00484B22">
        <w:rPr>
          <w:rFonts w:ascii="Geomanist Light" w:hAnsi="Geomanist Light" w:cs="Arial"/>
          <w:sz w:val="21"/>
        </w:rPr>
        <w:t>; </w:t>
      </w:r>
    </w:p>
    <w:p w14:paraId="6834CE72"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4CE0D1B1"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7) Transferir los bienes a la persona a quien corresponda conforme al acto constitutivo o a la ley, una vez concluido el negocio fiduciario, y </w:t>
      </w:r>
    </w:p>
    <w:p w14:paraId="67D94AD1" w14:textId="77777777"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  </w:t>
      </w:r>
    </w:p>
    <w:p w14:paraId="161813C3" w14:textId="6D98864A" w:rsidR="008046C2" w:rsidRPr="00484B22" w:rsidRDefault="008046C2" w:rsidP="00646AB6">
      <w:pPr>
        <w:spacing w:after="0" w:line="240" w:lineRule="auto"/>
        <w:ind w:left="709" w:right="851"/>
        <w:jc w:val="both"/>
        <w:rPr>
          <w:rFonts w:ascii="Geomanist Light" w:hAnsi="Geomanist Light" w:cs="Arial"/>
          <w:sz w:val="21"/>
        </w:rPr>
      </w:pPr>
      <w:r w:rsidRPr="00484B22">
        <w:rPr>
          <w:rFonts w:ascii="Geomanist Light" w:hAnsi="Geomanist Light" w:cs="Arial"/>
          <w:sz w:val="21"/>
        </w:rPr>
        <w:t>8) Rendir cuentas comprobadas de su gestión al beneficiario cada seis meses.</w:t>
      </w:r>
      <w:r w:rsidR="00570367" w:rsidRPr="00484B22">
        <w:rPr>
          <w:rFonts w:ascii="Geomanist Light" w:hAnsi="Geomanist Light" w:cs="Arial"/>
          <w:sz w:val="21"/>
        </w:rPr>
        <w:t xml:space="preserve"> </w:t>
      </w:r>
      <w:r w:rsidR="00570367" w:rsidRPr="00484B22">
        <w:rPr>
          <w:rFonts w:ascii="Geomanist Light" w:hAnsi="Geomanist Light" w:cs="Arial"/>
          <w:szCs w:val="24"/>
        </w:rPr>
        <w:t>(Énfasis fuera de texto).</w:t>
      </w:r>
      <w:r w:rsidRPr="00484B22">
        <w:rPr>
          <w:rFonts w:ascii="Geomanist Light" w:hAnsi="Geomanist Light" w:cs="Arial"/>
          <w:sz w:val="21"/>
        </w:rPr>
        <w:t> </w:t>
      </w:r>
    </w:p>
    <w:p w14:paraId="46D6815F" w14:textId="34BADF88" w:rsidR="008046C2" w:rsidRPr="00484B22" w:rsidRDefault="008046C2" w:rsidP="00646AB6">
      <w:pPr>
        <w:pStyle w:val="Textoindependiente"/>
        <w:spacing w:line="276" w:lineRule="auto"/>
        <w:ind w:right="104"/>
        <w:jc w:val="both"/>
        <w:rPr>
          <w:rFonts w:ascii="Geomanist Light" w:hAnsi="Geomanist Light"/>
          <w:highlight w:val="yellow"/>
        </w:rPr>
      </w:pPr>
    </w:p>
    <w:p w14:paraId="7BF5E3F6" w14:textId="45DF4513" w:rsidR="00C97C22" w:rsidRPr="00484B22" w:rsidRDefault="00C5066B" w:rsidP="00D1358E">
      <w:pPr>
        <w:pStyle w:val="Textoindependiente"/>
        <w:spacing w:line="276" w:lineRule="auto"/>
        <w:ind w:right="104" w:firstLine="709"/>
        <w:jc w:val="both"/>
        <w:rPr>
          <w:rFonts w:ascii="Geomanist Light" w:hAnsi="Geomanist Light"/>
        </w:rPr>
      </w:pPr>
      <w:r w:rsidRPr="00484B22">
        <w:rPr>
          <w:rFonts w:ascii="Geomanist Light" w:hAnsi="Geomanist Light"/>
        </w:rPr>
        <w:t>Conforme se desprende d</w:t>
      </w:r>
      <w:r w:rsidR="006872F3" w:rsidRPr="00484B22">
        <w:rPr>
          <w:rFonts w:ascii="Geomanist Light" w:hAnsi="Geomanist Light"/>
        </w:rPr>
        <w:t>el numeral 6 de la última norma transcrita</w:t>
      </w:r>
      <w:r w:rsidRPr="00484B22">
        <w:rPr>
          <w:rFonts w:ascii="Geomanist Light" w:hAnsi="Geomanist Light"/>
        </w:rPr>
        <w:t>, una de las obligaciones</w:t>
      </w:r>
      <w:r w:rsidR="00EE170A" w:rsidRPr="00484B22">
        <w:rPr>
          <w:rFonts w:ascii="Geomanist Light" w:hAnsi="Geomanist Light"/>
        </w:rPr>
        <w:t xml:space="preserve"> del fiduciario</w:t>
      </w:r>
      <w:r w:rsidRPr="00484B22">
        <w:rPr>
          <w:rFonts w:ascii="Geomanist Light" w:hAnsi="Geomanist Light"/>
        </w:rPr>
        <w:t xml:space="preserve"> es </w:t>
      </w:r>
      <w:r w:rsidR="00EE170A" w:rsidRPr="00484B22">
        <w:rPr>
          <w:rFonts w:ascii="Geomanist Light" w:hAnsi="Geomanist Light"/>
        </w:rPr>
        <w:t xml:space="preserve">la de procurar el mayor rendimiento </w:t>
      </w:r>
      <w:r w:rsidR="00FC3E14" w:rsidRPr="00484B22">
        <w:rPr>
          <w:rFonts w:ascii="Geomanist Light" w:hAnsi="Geomanist Light"/>
        </w:rPr>
        <w:t>de los bienes involucrados en la fiducia</w:t>
      </w:r>
      <w:r w:rsidRPr="00484B22">
        <w:rPr>
          <w:rFonts w:ascii="Geomanist Light" w:hAnsi="Geomanist Light"/>
        </w:rPr>
        <w:t>. No obstante</w:t>
      </w:r>
      <w:r w:rsidR="005B067A" w:rsidRPr="00484B22">
        <w:rPr>
          <w:rFonts w:ascii="Geomanist Light" w:hAnsi="Geomanist Light"/>
        </w:rPr>
        <w:t xml:space="preserve">, el alcance de </w:t>
      </w:r>
      <w:proofErr w:type="gramStart"/>
      <w:r w:rsidR="005B067A" w:rsidRPr="00484B22">
        <w:rPr>
          <w:rFonts w:ascii="Geomanist Light" w:hAnsi="Geomanist Light"/>
        </w:rPr>
        <w:t>la misma</w:t>
      </w:r>
      <w:proofErr w:type="gramEnd"/>
      <w:r w:rsidR="005B067A" w:rsidRPr="00484B22">
        <w:rPr>
          <w:rFonts w:ascii="Geomanist Light" w:hAnsi="Geomanist Light"/>
        </w:rPr>
        <w:t xml:space="preserve"> no es </w:t>
      </w:r>
      <w:r w:rsidR="00A21EAD" w:rsidRPr="00484B22">
        <w:rPr>
          <w:rFonts w:ascii="Geomanist Light" w:hAnsi="Geomanist Light"/>
        </w:rPr>
        <w:t xml:space="preserve">el </w:t>
      </w:r>
      <w:r w:rsidR="005B067A" w:rsidRPr="00484B22">
        <w:rPr>
          <w:rFonts w:ascii="Geomanist Light" w:hAnsi="Geomanist Light"/>
        </w:rPr>
        <w:t>de una obligación de resultados en virtud de la cual</w:t>
      </w:r>
      <w:r w:rsidR="00A21EAD" w:rsidRPr="00484B22">
        <w:rPr>
          <w:rFonts w:ascii="Geomanist Light" w:hAnsi="Geomanist Light"/>
        </w:rPr>
        <w:t xml:space="preserve"> la sociedad fiduciaria</w:t>
      </w:r>
      <w:r w:rsidR="00F6095D" w:rsidRPr="00484B22">
        <w:rPr>
          <w:rFonts w:ascii="Geomanist Light" w:hAnsi="Geomanist Light"/>
        </w:rPr>
        <w:t xml:space="preserve"> </w:t>
      </w:r>
      <w:r w:rsidR="00781808" w:rsidRPr="00484B22">
        <w:rPr>
          <w:rFonts w:ascii="Geomanist Light" w:hAnsi="Geomanist Light"/>
        </w:rPr>
        <w:t>est</w:t>
      </w:r>
      <w:r w:rsidR="009C19A4" w:rsidRPr="00484B22">
        <w:rPr>
          <w:rFonts w:ascii="Geomanist Light" w:hAnsi="Geomanist Light"/>
        </w:rPr>
        <w:t>é</w:t>
      </w:r>
      <w:r w:rsidR="00781808" w:rsidRPr="00484B22">
        <w:rPr>
          <w:rFonts w:ascii="Geomanist Light" w:hAnsi="Geomanist Light"/>
        </w:rPr>
        <w:t xml:space="preserve"> forzada a generar</w:t>
      </w:r>
      <w:r w:rsidR="00B42221" w:rsidRPr="00484B22">
        <w:rPr>
          <w:rFonts w:ascii="Geomanist Light" w:hAnsi="Geomanist Light"/>
        </w:rPr>
        <w:t xml:space="preserve"> </w:t>
      </w:r>
      <w:r w:rsidR="004E55EC" w:rsidRPr="00484B22">
        <w:rPr>
          <w:rFonts w:ascii="Geomanist Light" w:hAnsi="Geomanist Light"/>
        </w:rPr>
        <w:t xml:space="preserve">unos </w:t>
      </w:r>
      <w:r w:rsidR="00F6095D" w:rsidRPr="00484B22">
        <w:rPr>
          <w:rFonts w:ascii="Geomanist Light" w:hAnsi="Geomanist Light"/>
        </w:rPr>
        <w:t xml:space="preserve">rendimientos </w:t>
      </w:r>
      <w:r w:rsidR="007B00A6" w:rsidRPr="00484B22">
        <w:rPr>
          <w:rFonts w:ascii="Geomanist Light" w:hAnsi="Geomanist Light"/>
        </w:rPr>
        <w:t xml:space="preserve">o </w:t>
      </w:r>
      <w:r w:rsidR="00BD5832" w:rsidRPr="00484B22">
        <w:rPr>
          <w:rFonts w:ascii="Geomanist Light" w:hAnsi="Geomanist Light"/>
        </w:rPr>
        <w:t>responder</w:t>
      </w:r>
      <w:r w:rsidR="007B00A6" w:rsidRPr="00484B22">
        <w:rPr>
          <w:rFonts w:ascii="Geomanist Light" w:hAnsi="Geomanist Light"/>
        </w:rPr>
        <w:t xml:space="preserve"> por eventuales perdidas que se generen</w:t>
      </w:r>
      <w:r w:rsidR="00A61733" w:rsidRPr="00484B22">
        <w:rPr>
          <w:rStyle w:val="Refdenotaalpie"/>
          <w:rFonts w:ascii="Geomanist Light" w:hAnsi="Geomanist Light"/>
        </w:rPr>
        <w:footnoteReference w:id="12"/>
      </w:r>
      <w:r w:rsidR="00A61733" w:rsidRPr="00484B22">
        <w:rPr>
          <w:rFonts w:ascii="Geomanist Light" w:hAnsi="Geomanist Light"/>
        </w:rPr>
        <w:t>.</w:t>
      </w:r>
      <w:r w:rsidR="000B0492" w:rsidRPr="00484B22">
        <w:rPr>
          <w:rFonts w:ascii="Geomanist Light" w:hAnsi="Geomanist Light"/>
        </w:rPr>
        <w:t xml:space="preserve"> </w:t>
      </w:r>
      <w:r w:rsidR="00B13A22" w:rsidRPr="00484B22">
        <w:rPr>
          <w:rFonts w:ascii="Geomanist Light" w:hAnsi="Geomanist Light"/>
        </w:rPr>
        <w:t>So</w:t>
      </w:r>
      <w:r w:rsidR="00C97C22" w:rsidRPr="00484B22">
        <w:rPr>
          <w:rFonts w:ascii="Geomanist Light" w:hAnsi="Geomanist Light"/>
        </w:rPr>
        <w:t xml:space="preserve">bre la responsabilidad de la fiduciaria la doctrina mercantil ha señalado: </w:t>
      </w:r>
    </w:p>
    <w:p w14:paraId="4101C1D1" w14:textId="77777777" w:rsidR="00C97C22" w:rsidRPr="00484B22" w:rsidRDefault="00C97C22" w:rsidP="00D1358E">
      <w:pPr>
        <w:pStyle w:val="Textoindependiente"/>
        <w:spacing w:line="276" w:lineRule="auto"/>
        <w:ind w:right="104" w:firstLine="709"/>
        <w:jc w:val="both"/>
        <w:rPr>
          <w:rFonts w:ascii="Geomanist Light" w:hAnsi="Geomanist Light"/>
          <w:highlight w:val="yellow"/>
        </w:rPr>
      </w:pPr>
    </w:p>
    <w:p w14:paraId="70BC1AE0" w14:textId="451BDA93" w:rsidR="0006578C" w:rsidRPr="00484B22" w:rsidRDefault="0006578C" w:rsidP="00646AB6">
      <w:pPr>
        <w:pStyle w:val="Textoindependiente"/>
        <w:ind w:left="709" w:right="709"/>
        <w:jc w:val="both"/>
        <w:rPr>
          <w:rFonts w:ascii="Geomanist Light" w:hAnsi="Geomanist Light"/>
          <w:sz w:val="21"/>
          <w:szCs w:val="21"/>
        </w:rPr>
      </w:pPr>
      <w:r w:rsidRPr="00484B22">
        <w:rPr>
          <w:rFonts w:ascii="Geomanist Light" w:hAnsi="Geomanist Light"/>
          <w:sz w:val="21"/>
          <w:szCs w:val="21"/>
        </w:rPr>
        <w:t xml:space="preserve">[N]o incurre en responsabilidad por toda pérdida que sufra el patrimonio, sino que dicha responsabilidad debe necesariamente resultar de un incumplimiento del contrato. La fiduciaria, por tanto, no es una aseguradora de los bienes, y por </w:t>
      </w:r>
      <w:r w:rsidRPr="00484B22">
        <w:rPr>
          <w:rFonts w:ascii="Geomanist Light" w:hAnsi="Geomanist Light"/>
          <w:sz w:val="21"/>
          <w:szCs w:val="21"/>
        </w:rPr>
        <w:lastRenderedPageBreak/>
        <w:t>ello solo responde cuando ha dejado de cumplir con sus obligaciones: si la pérdida sobrevenida no se debe a falta de cuidado y prudencia de su parte o a cualquiera otra infracción de sus compromisos contractuales, no está obligada a indemnizar.</w:t>
      </w:r>
    </w:p>
    <w:p w14:paraId="7E03B5D7" w14:textId="77777777" w:rsidR="0006578C" w:rsidRPr="00484B22" w:rsidRDefault="0006578C" w:rsidP="00507813">
      <w:pPr>
        <w:pStyle w:val="Textoindependiente"/>
        <w:ind w:left="709" w:right="709"/>
        <w:jc w:val="both"/>
        <w:rPr>
          <w:rFonts w:ascii="Geomanist Light" w:hAnsi="Geomanist Light"/>
          <w:sz w:val="21"/>
          <w:szCs w:val="21"/>
        </w:rPr>
      </w:pPr>
    </w:p>
    <w:p w14:paraId="7B5FE66D" w14:textId="31F36951" w:rsidR="0006578C" w:rsidRPr="00484B22" w:rsidRDefault="0006578C" w:rsidP="00646AB6">
      <w:pPr>
        <w:pStyle w:val="Textoindependiente"/>
        <w:ind w:left="709" w:right="709"/>
        <w:jc w:val="both"/>
        <w:rPr>
          <w:rFonts w:ascii="Geomanist Light" w:hAnsi="Geomanist Light"/>
          <w:sz w:val="21"/>
          <w:szCs w:val="21"/>
        </w:rPr>
      </w:pPr>
      <w:r w:rsidRPr="00484B22">
        <w:rPr>
          <w:rFonts w:ascii="Geomanist Light" w:hAnsi="Geomanist Light"/>
          <w:sz w:val="21"/>
          <w:szCs w:val="21"/>
        </w:rPr>
        <w:t>Por ejemplo, no será responsable en el caso de que los bienes sean robados sin culpa suya, de que una inversión en valores se deprecie por causas que no le sean imputables, de que un depósito bancario hecho prudentemente se pierda por quiebra del banco</w:t>
      </w:r>
      <w:r w:rsidR="0099458A" w:rsidRPr="00484B22">
        <w:rPr>
          <w:rStyle w:val="Refdenotaalpie"/>
          <w:rFonts w:ascii="Geomanist Light" w:hAnsi="Geomanist Light"/>
          <w:sz w:val="21"/>
          <w:szCs w:val="21"/>
        </w:rPr>
        <w:footnoteReference w:id="13"/>
      </w:r>
      <w:r w:rsidRPr="00484B22">
        <w:rPr>
          <w:rFonts w:ascii="Geomanist Light" w:hAnsi="Geomanist Light"/>
          <w:sz w:val="21"/>
          <w:szCs w:val="21"/>
        </w:rPr>
        <w:t>.</w:t>
      </w:r>
    </w:p>
    <w:p w14:paraId="07D2CBD3" w14:textId="77777777" w:rsidR="0006578C" w:rsidRPr="00484B22" w:rsidRDefault="0006578C" w:rsidP="00507813">
      <w:pPr>
        <w:pStyle w:val="Textoindependiente"/>
        <w:ind w:left="709" w:right="709"/>
        <w:jc w:val="both"/>
        <w:rPr>
          <w:rFonts w:ascii="Geomanist Light" w:hAnsi="Geomanist Light"/>
          <w:sz w:val="21"/>
          <w:szCs w:val="21"/>
        </w:rPr>
      </w:pPr>
    </w:p>
    <w:p w14:paraId="473FC5B3" w14:textId="6BA58CBF" w:rsidR="00A93ECF" w:rsidRPr="00484B22" w:rsidRDefault="00247E70" w:rsidP="00646AB6">
      <w:pPr>
        <w:pStyle w:val="Textoindependiente"/>
        <w:spacing w:after="120" w:line="276" w:lineRule="auto"/>
        <w:jc w:val="both"/>
        <w:rPr>
          <w:rFonts w:ascii="Geomanist Light" w:hAnsi="Geomanist Light"/>
        </w:rPr>
      </w:pPr>
      <w:r w:rsidRPr="00484B22">
        <w:rPr>
          <w:rFonts w:ascii="Geomanist Light" w:hAnsi="Geomanist Light"/>
        </w:rPr>
        <w:tab/>
        <w:t xml:space="preserve">De acuerdo con lo anterior, </w:t>
      </w:r>
      <w:r w:rsidR="00552949" w:rsidRPr="00484B22">
        <w:rPr>
          <w:rFonts w:ascii="Geomanist Light" w:hAnsi="Geomanist Light"/>
        </w:rPr>
        <w:t xml:space="preserve">no es una obligación esencial del negocio fiduciario la de generar </w:t>
      </w:r>
      <w:r w:rsidR="00044BEE" w:rsidRPr="00484B22">
        <w:rPr>
          <w:rFonts w:ascii="Geomanist Light" w:hAnsi="Geomanist Light"/>
        </w:rPr>
        <w:t>rendimi</w:t>
      </w:r>
      <w:r w:rsidR="001D10EC" w:rsidRPr="00484B22">
        <w:rPr>
          <w:rFonts w:ascii="Geomanist Light" w:hAnsi="Geomanist Light"/>
        </w:rPr>
        <w:t xml:space="preserve">entos, en la medida que el compromiso principal de la sociedad fiduciaria es </w:t>
      </w:r>
      <w:r w:rsidR="002453C1" w:rsidRPr="00484B22">
        <w:rPr>
          <w:rFonts w:ascii="Geomanist Light" w:hAnsi="Geomanist Light"/>
        </w:rPr>
        <w:t>el</w:t>
      </w:r>
      <w:r w:rsidR="001D10EC" w:rsidRPr="00484B22">
        <w:rPr>
          <w:rFonts w:ascii="Geomanist Light" w:hAnsi="Geomanist Light"/>
        </w:rPr>
        <w:t xml:space="preserve"> de ejercer</w:t>
      </w:r>
      <w:r w:rsidR="002453C1" w:rsidRPr="00484B22">
        <w:rPr>
          <w:rFonts w:ascii="Geomanist Light" w:hAnsi="Geomanist Light"/>
        </w:rPr>
        <w:t xml:space="preserve"> la</w:t>
      </w:r>
      <w:r w:rsidR="001D10EC" w:rsidRPr="00484B22">
        <w:rPr>
          <w:rFonts w:ascii="Geomanist Light" w:hAnsi="Geomanist Light"/>
        </w:rPr>
        <w:t xml:space="preserve"> </w:t>
      </w:r>
      <w:r w:rsidR="00A170A3" w:rsidRPr="00484B22">
        <w:rPr>
          <w:rFonts w:ascii="Geomanist Light" w:hAnsi="Geomanist Light"/>
        </w:rPr>
        <w:t>administra</w:t>
      </w:r>
      <w:r w:rsidR="002453C1" w:rsidRPr="00484B22">
        <w:rPr>
          <w:rFonts w:ascii="Geomanist Light" w:hAnsi="Geomanist Light"/>
        </w:rPr>
        <w:t>ción</w:t>
      </w:r>
      <w:r w:rsidR="00A170A3" w:rsidRPr="00484B22">
        <w:rPr>
          <w:rFonts w:ascii="Geomanist Light" w:hAnsi="Geomanist Light"/>
        </w:rPr>
        <w:t xml:space="preserve"> </w:t>
      </w:r>
      <w:r w:rsidR="002453C1" w:rsidRPr="00484B22">
        <w:rPr>
          <w:rFonts w:ascii="Geomanist Light" w:hAnsi="Geomanist Light"/>
        </w:rPr>
        <w:t>de l</w:t>
      </w:r>
      <w:r w:rsidR="00A170A3" w:rsidRPr="00484B22">
        <w:rPr>
          <w:rFonts w:ascii="Geomanist Light" w:hAnsi="Geomanist Light"/>
        </w:rPr>
        <w:t>os bienes encomendados con la diligencia</w:t>
      </w:r>
      <w:r w:rsidR="000A68B7" w:rsidRPr="00484B22">
        <w:rPr>
          <w:rFonts w:ascii="Geomanist Light" w:hAnsi="Geomanist Light"/>
        </w:rPr>
        <w:t xml:space="preserve"> que </w:t>
      </w:r>
      <w:r w:rsidR="00C523D6" w:rsidRPr="00484B22">
        <w:rPr>
          <w:rFonts w:ascii="Geomanist Light" w:hAnsi="Geomanist Light"/>
        </w:rPr>
        <w:t xml:space="preserve">exige la </w:t>
      </w:r>
      <w:r w:rsidR="000A68B7" w:rsidRPr="00484B22">
        <w:rPr>
          <w:rFonts w:ascii="Geomanist Light" w:hAnsi="Geomanist Light"/>
        </w:rPr>
        <w:t xml:space="preserve">prudencia en el manejo de </w:t>
      </w:r>
      <w:r w:rsidR="00C523D6" w:rsidRPr="00484B22">
        <w:rPr>
          <w:rFonts w:ascii="Geomanist Light" w:hAnsi="Geomanist Light"/>
        </w:rPr>
        <w:t>los</w:t>
      </w:r>
      <w:r w:rsidR="000A68B7" w:rsidRPr="00484B22">
        <w:rPr>
          <w:rFonts w:ascii="Geomanist Light" w:hAnsi="Geomanist Light"/>
        </w:rPr>
        <w:t xml:space="preserve"> propios recursos</w:t>
      </w:r>
      <w:r w:rsidR="00CF278F" w:rsidRPr="00484B22">
        <w:rPr>
          <w:rFonts w:ascii="Geomanist Light" w:hAnsi="Geomanist Light"/>
        </w:rPr>
        <w:t>.</w:t>
      </w:r>
      <w:r w:rsidR="00A93ECF" w:rsidRPr="00484B22">
        <w:rPr>
          <w:rFonts w:ascii="Geomanist Light" w:hAnsi="Geomanist Light"/>
        </w:rPr>
        <w:t xml:space="preserve"> Esto se fundamenta</w:t>
      </w:r>
      <w:r w:rsidR="00EE33F4" w:rsidRPr="00484B22">
        <w:rPr>
          <w:rFonts w:ascii="Geomanist Light" w:hAnsi="Geomanist Light"/>
        </w:rPr>
        <w:t xml:space="preserve">, de un lado, </w:t>
      </w:r>
      <w:r w:rsidR="002B3F58" w:rsidRPr="00484B22">
        <w:rPr>
          <w:rFonts w:ascii="Geomanist Light" w:hAnsi="Geomanist Light"/>
        </w:rPr>
        <w:t>en</w:t>
      </w:r>
      <w:r w:rsidR="00A93ECF" w:rsidRPr="00484B22">
        <w:rPr>
          <w:rFonts w:ascii="Geomanist Light" w:hAnsi="Geomanist Light"/>
        </w:rPr>
        <w:t xml:space="preserve"> el hecho de que, en virtud de lo dispuesto en el artículo 1243 del Código de Comercio, las </w:t>
      </w:r>
      <w:r w:rsidR="002B3F58" w:rsidRPr="00484B22">
        <w:rPr>
          <w:rFonts w:ascii="Geomanist Light" w:hAnsi="Geomanist Light"/>
        </w:rPr>
        <w:t xml:space="preserve">sociedades </w:t>
      </w:r>
      <w:r w:rsidR="00A93ECF" w:rsidRPr="00484B22">
        <w:rPr>
          <w:rFonts w:ascii="Geomanist Light" w:hAnsi="Geomanist Light"/>
        </w:rPr>
        <w:t>fiduciarias responden hasta por la culpa leve en el desarrollo de su gestión</w:t>
      </w:r>
      <w:r w:rsidR="002761EB" w:rsidRPr="00484B22">
        <w:rPr>
          <w:rFonts w:ascii="Geomanist Light" w:hAnsi="Geomanist Light"/>
        </w:rPr>
        <w:t>, y por el otro lado, en la prohibición</w:t>
      </w:r>
      <w:r w:rsidR="00107E90" w:rsidRPr="00484B22">
        <w:rPr>
          <w:rFonts w:ascii="Geomanist Light" w:hAnsi="Geomanist Light"/>
        </w:rPr>
        <w:t xml:space="preserve"> general</w:t>
      </w:r>
      <w:r w:rsidR="002761EB" w:rsidRPr="00484B22">
        <w:rPr>
          <w:rFonts w:ascii="Geomanist Light" w:hAnsi="Geomanist Light"/>
        </w:rPr>
        <w:t xml:space="preserve"> establecida en el</w:t>
      </w:r>
      <w:r w:rsidR="00107E90" w:rsidRPr="00484B22">
        <w:rPr>
          <w:rFonts w:ascii="Geomanist Light" w:hAnsi="Geomanist Light"/>
        </w:rPr>
        <w:t xml:space="preserve"> nume</w:t>
      </w:r>
      <w:r w:rsidR="00056075" w:rsidRPr="00484B22">
        <w:rPr>
          <w:rFonts w:ascii="Geomanist Light" w:hAnsi="Geomanist Light"/>
        </w:rPr>
        <w:t>r</w:t>
      </w:r>
      <w:r w:rsidR="00107E90" w:rsidRPr="00484B22">
        <w:rPr>
          <w:rFonts w:ascii="Geomanist Light" w:hAnsi="Geomanist Light"/>
        </w:rPr>
        <w:t xml:space="preserve">al 3 del artículo 29 </w:t>
      </w:r>
      <w:r w:rsidR="0048317C" w:rsidRPr="00484B22">
        <w:rPr>
          <w:rFonts w:ascii="Geomanist Light" w:hAnsi="Geomanist Light"/>
        </w:rPr>
        <w:t>del</w:t>
      </w:r>
      <w:r w:rsidR="00DB61D6" w:rsidRPr="00484B22">
        <w:rPr>
          <w:rFonts w:ascii="Geomanist Light" w:hAnsi="Geomanist Light"/>
        </w:rPr>
        <w:t xml:space="preserve"> </w:t>
      </w:r>
      <w:r w:rsidR="00F16359" w:rsidRPr="00484B22">
        <w:rPr>
          <w:rFonts w:ascii="Geomanist Light" w:hAnsi="Geomanist Light"/>
        </w:rPr>
        <w:t>Estatuto</w:t>
      </w:r>
      <w:r w:rsidR="00DB61D6" w:rsidRPr="00484B22">
        <w:rPr>
          <w:rFonts w:ascii="Geomanist Light" w:hAnsi="Geomanist Light"/>
        </w:rPr>
        <w:t xml:space="preserve"> Orgánico del Si</w:t>
      </w:r>
      <w:r w:rsidR="00F16359" w:rsidRPr="00484B22">
        <w:rPr>
          <w:rFonts w:ascii="Geomanist Light" w:hAnsi="Geomanist Light"/>
        </w:rPr>
        <w:t>stema Financiero</w:t>
      </w:r>
      <w:r w:rsidR="0048317C" w:rsidRPr="00484B22">
        <w:rPr>
          <w:rFonts w:ascii="Geomanist Light" w:hAnsi="Geomanist Light"/>
        </w:rPr>
        <w:t xml:space="preserve"> </w:t>
      </w:r>
      <w:r w:rsidR="00F16359" w:rsidRPr="00484B22">
        <w:rPr>
          <w:rFonts w:ascii="Geomanist Light" w:hAnsi="Geomanist Light"/>
        </w:rPr>
        <w:t>–</w:t>
      </w:r>
      <w:r w:rsidR="00DB61D6" w:rsidRPr="00484B22">
        <w:rPr>
          <w:rFonts w:ascii="Geomanist Light" w:hAnsi="Geomanist Light"/>
        </w:rPr>
        <w:t>Decreto ley 663 de 1993</w:t>
      </w:r>
      <w:r w:rsidR="00F16359" w:rsidRPr="00484B22">
        <w:rPr>
          <w:rFonts w:ascii="Geomanist Light" w:hAnsi="Geomanist Light"/>
        </w:rPr>
        <w:t>– la cual señala que:</w:t>
      </w:r>
      <w:r w:rsidR="00DB61D6" w:rsidRPr="00484B22">
        <w:rPr>
          <w:rFonts w:ascii="Geomanist Light" w:hAnsi="Geomanist Light"/>
        </w:rPr>
        <w:t xml:space="preserve"> </w:t>
      </w:r>
      <w:r w:rsidR="00056075" w:rsidRPr="00484B22">
        <w:rPr>
          <w:rFonts w:ascii="Geomanist Light" w:hAnsi="Geomanist Light"/>
        </w:rPr>
        <w:t>«Los encargos y contratos fiduciarios que celebren las sociedades fiduciarias no podrán tener por objeto la asunción por éstas de obligaciones de resultado, salvo en aquellos casos en que así lo prevea la ley».</w:t>
      </w:r>
      <w:r w:rsidR="002761EB" w:rsidRPr="00484B22">
        <w:rPr>
          <w:rFonts w:ascii="Geomanist Light" w:hAnsi="Geomanist Light"/>
        </w:rPr>
        <w:t xml:space="preserve"> </w:t>
      </w:r>
      <w:r w:rsidR="00A93ECF" w:rsidRPr="00484B22">
        <w:rPr>
          <w:rFonts w:ascii="Geomanist Light" w:hAnsi="Geomanist Light"/>
        </w:rPr>
        <w:t xml:space="preserve"> </w:t>
      </w:r>
      <w:r w:rsidR="001C5687" w:rsidRPr="00484B22">
        <w:rPr>
          <w:rFonts w:ascii="Geomanist Light" w:hAnsi="Geomanist Light"/>
        </w:rPr>
        <w:t xml:space="preserve"> </w:t>
      </w:r>
    </w:p>
    <w:p w14:paraId="1D2F5500" w14:textId="61B3C0DD" w:rsidR="00C97C22" w:rsidRPr="00484B22" w:rsidRDefault="006E0665" w:rsidP="00646AB6">
      <w:pPr>
        <w:pStyle w:val="Textoindependiente"/>
        <w:spacing w:after="120" w:line="276" w:lineRule="auto"/>
        <w:ind w:firstLine="709"/>
        <w:jc w:val="both"/>
        <w:rPr>
          <w:rFonts w:ascii="Geomanist Light" w:hAnsi="Geomanist Light"/>
          <w:sz w:val="21"/>
          <w:szCs w:val="21"/>
          <w:highlight w:val="yellow"/>
        </w:rPr>
      </w:pPr>
      <w:r w:rsidRPr="00484B22">
        <w:rPr>
          <w:rFonts w:ascii="Geomanist Light" w:hAnsi="Geomanist Light"/>
        </w:rPr>
        <w:t xml:space="preserve">Sin perjuicio de lo anterior, la responsabilidad de la </w:t>
      </w:r>
      <w:r w:rsidR="00F51F7A" w:rsidRPr="00484B22">
        <w:rPr>
          <w:rFonts w:ascii="Geomanist Light" w:hAnsi="Geomanist Light"/>
        </w:rPr>
        <w:t>fiducia por las eventuales perdidas que se generen</w:t>
      </w:r>
      <w:r w:rsidR="00064CFC" w:rsidRPr="00484B22">
        <w:rPr>
          <w:rFonts w:ascii="Geomanist Light" w:hAnsi="Geomanist Light"/>
        </w:rPr>
        <w:t xml:space="preserve"> en gran medida depende del alcance las obligaciones específicas que se establezcan en el contrato de fiducia, en la medida que de allí derivan reglas a las que deberá sujetarse la </w:t>
      </w:r>
      <w:r w:rsidR="00FC2C3D" w:rsidRPr="00484B22">
        <w:rPr>
          <w:rFonts w:ascii="Geomanist Light" w:hAnsi="Geomanist Light"/>
        </w:rPr>
        <w:t xml:space="preserve">sociedad fiduciaria en la administración </w:t>
      </w:r>
      <w:r w:rsidR="008A0B99" w:rsidRPr="00484B22">
        <w:rPr>
          <w:rFonts w:ascii="Geomanist Light" w:hAnsi="Geomanist Light"/>
        </w:rPr>
        <w:t xml:space="preserve">e inversión de los recursos entregados. </w:t>
      </w:r>
      <w:r w:rsidR="009B0C1A" w:rsidRPr="00484B22">
        <w:rPr>
          <w:rFonts w:ascii="Geomanist Light" w:hAnsi="Geomanist Light"/>
        </w:rPr>
        <w:t>Esto además debido a que</w:t>
      </w:r>
      <w:r w:rsidR="008A0B99" w:rsidRPr="00484B22">
        <w:rPr>
          <w:rFonts w:ascii="Geomanist Light" w:hAnsi="Geomanist Light"/>
        </w:rPr>
        <w:t xml:space="preserve"> es posible que se incluyan estipulaciones contractuales en virtud de las cuales </w:t>
      </w:r>
      <w:r w:rsidR="00982236" w:rsidRPr="00484B22">
        <w:rPr>
          <w:rFonts w:ascii="Geomanist Light" w:hAnsi="Geomanist Light"/>
        </w:rPr>
        <w:t xml:space="preserve">se establezcan </w:t>
      </w:r>
      <w:r w:rsidR="005D725B" w:rsidRPr="00484B22">
        <w:rPr>
          <w:rFonts w:ascii="Geomanist Light" w:hAnsi="Geomanist Light"/>
        </w:rPr>
        <w:t>supuestos de responsabilidad de</w:t>
      </w:r>
      <w:r w:rsidR="00BE7975" w:rsidRPr="00484B22">
        <w:rPr>
          <w:rFonts w:ascii="Geomanist Light" w:hAnsi="Geomanist Light"/>
        </w:rPr>
        <w:t xml:space="preserve"> la fiduciaria </w:t>
      </w:r>
      <w:r w:rsidR="00982236" w:rsidRPr="00484B22">
        <w:rPr>
          <w:rFonts w:ascii="Geomanist Light" w:hAnsi="Geomanist Light"/>
        </w:rPr>
        <w:t xml:space="preserve">por pérdidas generadas </w:t>
      </w:r>
      <w:r w:rsidR="00F107C5" w:rsidRPr="00484B22">
        <w:rPr>
          <w:rFonts w:ascii="Geomanist Light" w:hAnsi="Geomanist Light"/>
        </w:rPr>
        <w:t>en</w:t>
      </w:r>
      <w:r w:rsidR="00982236" w:rsidRPr="00484B22">
        <w:rPr>
          <w:rFonts w:ascii="Geomanist Light" w:hAnsi="Geomanist Light"/>
        </w:rPr>
        <w:t xml:space="preserve"> el manejo de los recursos recibidos</w:t>
      </w:r>
      <w:r w:rsidR="00982236" w:rsidRPr="00484B22">
        <w:rPr>
          <w:rStyle w:val="Refdenotaalpie"/>
          <w:rFonts w:ascii="Geomanist Light" w:hAnsi="Geomanist Light"/>
          <w:sz w:val="21"/>
          <w:szCs w:val="21"/>
        </w:rPr>
        <w:footnoteReference w:id="14"/>
      </w:r>
      <w:r w:rsidR="0006578C" w:rsidRPr="00484B22">
        <w:rPr>
          <w:rFonts w:ascii="Geomanist Light" w:hAnsi="Geomanist Light"/>
          <w:sz w:val="21"/>
          <w:szCs w:val="21"/>
        </w:rPr>
        <w:t>.</w:t>
      </w:r>
    </w:p>
    <w:p w14:paraId="1F2E075B" w14:textId="471FC942" w:rsidR="00A42DCE" w:rsidRPr="00484B22" w:rsidRDefault="00A225AD" w:rsidP="00337F40">
      <w:pPr>
        <w:pStyle w:val="Textoindependiente"/>
        <w:spacing w:after="120" w:line="276" w:lineRule="auto"/>
        <w:ind w:right="102" w:firstLine="709"/>
        <w:jc w:val="both"/>
        <w:rPr>
          <w:rFonts w:ascii="Geomanist Light" w:hAnsi="Geomanist Light"/>
        </w:rPr>
      </w:pPr>
      <w:r w:rsidRPr="00484B22">
        <w:rPr>
          <w:rFonts w:ascii="Geomanist Light" w:hAnsi="Geomanist Light"/>
        </w:rPr>
        <w:lastRenderedPageBreak/>
        <w:t xml:space="preserve">En todo caso, en concordancia con lo </w:t>
      </w:r>
      <w:r w:rsidR="00A46DB7" w:rsidRPr="00484B22">
        <w:rPr>
          <w:rFonts w:ascii="Geomanist Light" w:hAnsi="Geomanist Light"/>
        </w:rPr>
        <w:t>anterior, e</w:t>
      </w:r>
      <w:r w:rsidR="003E6334" w:rsidRPr="00484B22">
        <w:rPr>
          <w:rFonts w:ascii="Geomanist Light" w:hAnsi="Geomanist Light"/>
        </w:rPr>
        <w:t>sta Agencia en la «</w:t>
      </w:r>
      <w:r w:rsidR="003E6334" w:rsidRPr="00484B22">
        <w:rPr>
          <w:rFonts w:ascii="Geomanist Light" w:hAnsi="Geomanist Light"/>
          <w:i/>
          <w:iCs/>
        </w:rPr>
        <w:t>Guía para el manejo de anticipos mediante contrato de fiducia mercantil irrevocable»</w:t>
      </w:r>
      <w:r w:rsidR="00974E28" w:rsidRPr="00484B22">
        <w:rPr>
          <w:rFonts w:ascii="Geomanist Light" w:hAnsi="Geomanist Light"/>
          <w:i/>
          <w:iCs/>
        </w:rPr>
        <w:t xml:space="preserve"> </w:t>
      </w:r>
      <w:r w:rsidR="009A12F8" w:rsidRPr="00484B22">
        <w:rPr>
          <w:rFonts w:ascii="Geomanist Light" w:hAnsi="Geomanist Light"/>
        </w:rPr>
        <w:t xml:space="preserve">ha señalado que: «Las obligaciones que asume la sociedad fiduciaria por lo general son de medio y no de resultado, por </w:t>
      </w:r>
      <w:r w:rsidR="00C81D2B" w:rsidRPr="00484B22">
        <w:rPr>
          <w:rFonts w:ascii="Geomanist Light" w:hAnsi="Geomanist Light"/>
        </w:rPr>
        <w:t>ejemplo,</w:t>
      </w:r>
      <w:r w:rsidR="009A12F8" w:rsidRPr="00484B22">
        <w:rPr>
          <w:rFonts w:ascii="Geomanist Light" w:hAnsi="Geomanist Light"/>
        </w:rPr>
        <w:t xml:space="preserve"> respecto a generar rendimientos de los recursos».</w:t>
      </w:r>
      <w:r w:rsidR="00D12C90" w:rsidRPr="00484B22">
        <w:rPr>
          <w:rFonts w:ascii="Geomanist Light" w:hAnsi="Geomanist Light"/>
        </w:rPr>
        <w:t xml:space="preserve"> </w:t>
      </w:r>
      <w:r w:rsidR="008B2396" w:rsidRPr="00484B22">
        <w:rPr>
          <w:rFonts w:ascii="Geomanist Light" w:hAnsi="Geomanist Light"/>
        </w:rPr>
        <w:t xml:space="preserve">Esto </w:t>
      </w:r>
      <w:r w:rsidR="0091328F" w:rsidRPr="00484B22">
        <w:rPr>
          <w:rFonts w:ascii="Geomanist Light" w:hAnsi="Geomanist Light"/>
        </w:rPr>
        <w:t>no descarta la inclusión de obligaciones de resultados</w:t>
      </w:r>
      <w:r w:rsidR="002B3894" w:rsidRPr="00484B22">
        <w:rPr>
          <w:rFonts w:ascii="Geomanist Light" w:hAnsi="Geomanist Light"/>
        </w:rPr>
        <w:t xml:space="preserve">, que tal como lo menciona la guía son los </w:t>
      </w:r>
      <w:r w:rsidR="00C81D2B" w:rsidRPr="00484B22">
        <w:rPr>
          <w:rFonts w:ascii="Geomanist Light" w:hAnsi="Geomanist Light"/>
        </w:rPr>
        <w:t xml:space="preserve">las </w:t>
      </w:r>
      <w:proofErr w:type="gramStart"/>
      <w:r w:rsidR="00C81D2B" w:rsidRPr="00484B22">
        <w:rPr>
          <w:rFonts w:ascii="Geomanist Light" w:hAnsi="Geomanist Light"/>
        </w:rPr>
        <w:t>de  «</w:t>
      </w:r>
      <w:proofErr w:type="gramEnd"/>
      <w:r w:rsidR="00C81D2B" w:rsidRPr="00484B22">
        <w:rPr>
          <w:rFonts w:ascii="Geomanist Light" w:hAnsi="Geomanist Light"/>
        </w:rPr>
        <w:t>[…] atender los pagos que instruye el contratista, verificar la autorización previa del supervisor o interventor y el reintegro de los recursos a la Entidad Estatal cuando hay lugar al mismo»</w:t>
      </w:r>
      <w:r w:rsidR="00A42DCE" w:rsidRPr="00484B22">
        <w:rPr>
          <w:rFonts w:ascii="Geomanist Light" w:hAnsi="Geomanist Light"/>
        </w:rPr>
        <w:t>.</w:t>
      </w:r>
    </w:p>
    <w:p w14:paraId="24151FE3" w14:textId="39C4CB83" w:rsidR="00CE1BC2" w:rsidRPr="00484B22" w:rsidRDefault="00541F3F" w:rsidP="00646AB6">
      <w:pPr>
        <w:pStyle w:val="Textoindependiente"/>
        <w:spacing w:line="276" w:lineRule="auto"/>
        <w:ind w:right="102" w:firstLine="709"/>
        <w:jc w:val="both"/>
        <w:rPr>
          <w:rFonts w:ascii="Geomanist Light" w:eastAsia="Calibri" w:hAnsi="Geomanist Light"/>
        </w:rPr>
      </w:pPr>
      <w:r w:rsidRPr="00484B22">
        <w:rPr>
          <w:rFonts w:ascii="Geomanist Light" w:hAnsi="Geomanist Light"/>
        </w:rPr>
        <w:t xml:space="preserve">Conforme </w:t>
      </w:r>
      <w:r w:rsidR="00357324" w:rsidRPr="00484B22">
        <w:rPr>
          <w:rFonts w:ascii="Geomanist Light" w:hAnsi="Geomanist Light"/>
        </w:rPr>
        <w:t>a lo anterior,</w:t>
      </w:r>
      <w:r w:rsidRPr="00484B22">
        <w:rPr>
          <w:rFonts w:ascii="Geomanist Light" w:hAnsi="Geomanist Light"/>
        </w:rPr>
        <w:t xml:space="preserve"> dado que los recursos entregados por concepto de anticipo tienen la naturaleza de públicos</w:t>
      </w:r>
      <w:r w:rsidR="006E3841" w:rsidRPr="00484B22">
        <w:rPr>
          <w:rFonts w:ascii="Geomanist Light" w:hAnsi="Geomanist Light"/>
        </w:rPr>
        <w:t xml:space="preserve"> podría en principio </w:t>
      </w:r>
      <w:r w:rsidR="005517D7" w:rsidRPr="00484B22">
        <w:rPr>
          <w:rFonts w:ascii="Geomanist Light" w:hAnsi="Geomanist Light"/>
        </w:rPr>
        <w:t>argüirse</w:t>
      </w:r>
      <w:r w:rsidR="006E3841" w:rsidRPr="00484B22">
        <w:rPr>
          <w:rFonts w:ascii="Geomanist Light" w:hAnsi="Geomanist Light"/>
        </w:rPr>
        <w:t xml:space="preserve"> </w:t>
      </w:r>
      <w:r w:rsidR="005517D7" w:rsidRPr="00484B22">
        <w:rPr>
          <w:rFonts w:ascii="Geomanist Light" w:hAnsi="Geomanist Light"/>
        </w:rPr>
        <w:t xml:space="preserve">que es la entidad estatal quien debería asumir las eventuales </w:t>
      </w:r>
      <w:r w:rsidR="00B4525B" w:rsidRPr="00484B22">
        <w:rPr>
          <w:rFonts w:ascii="Geomanist Light" w:hAnsi="Geomanist Light"/>
        </w:rPr>
        <w:t>pérdidas</w:t>
      </w:r>
      <w:r w:rsidR="005517D7" w:rsidRPr="00484B22">
        <w:rPr>
          <w:rFonts w:ascii="Geomanist Light" w:hAnsi="Geomanist Light"/>
        </w:rPr>
        <w:t xml:space="preserve"> generadas</w:t>
      </w:r>
      <w:r w:rsidR="00B4525B" w:rsidRPr="00484B22">
        <w:rPr>
          <w:rFonts w:ascii="Geomanist Light" w:hAnsi="Geomanist Light"/>
        </w:rPr>
        <w:t>,</w:t>
      </w:r>
      <w:r w:rsidR="0083104E" w:rsidRPr="00484B22">
        <w:rPr>
          <w:rFonts w:ascii="Geomanist Light" w:hAnsi="Geomanist Light"/>
        </w:rPr>
        <w:t xml:space="preserve"> </w:t>
      </w:r>
      <w:r w:rsidR="009A6032" w:rsidRPr="00484B22">
        <w:rPr>
          <w:rFonts w:ascii="Geomanist Light" w:hAnsi="Geomanist Light"/>
        </w:rPr>
        <w:t>toda vez que la</w:t>
      </w:r>
      <w:r w:rsidR="00925AF1" w:rsidRPr="00484B22">
        <w:rPr>
          <w:rFonts w:ascii="Geomanist Light" w:hAnsi="Geomanist Light"/>
        </w:rPr>
        <w:t>s</w:t>
      </w:r>
      <w:r w:rsidR="009A6032" w:rsidRPr="00484B22">
        <w:rPr>
          <w:rFonts w:ascii="Geomanist Light" w:hAnsi="Geomanist Light"/>
        </w:rPr>
        <w:t xml:space="preserve"> sociedad</w:t>
      </w:r>
      <w:r w:rsidR="00925AF1" w:rsidRPr="00484B22">
        <w:rPr>
          <w:rFonts w:ascii="Geomanist Light" w:hAnsi="Geomanist Light"/>
        </w:rPr>
        <w:t>es</w:t>
      </w:r>
      <w:r w:rsidR="009A6032" w:rsidRPr="00484B22">
        <w:rPr>
          <w:rFonts w:ascii="Geomanist Light" w:hAnsi="Geomanist Light"/>
        </w:rPr>
        <w:t xml:space="preserve"> fiduciaria</w:t>
      </w:r>
      <w:r w:rsidR="00925AF1" w:rsidRPr="00484B22">
        <w:rPr>
          <w:rFonts w:ascii="Geomanist Light" w:hAnsi="Geomanist Light"/>
        </w:rPr>
        <w:t>s</w:t>
      </w:r>
      <w:r w:rsidR="009A6032" w:rsidRPr="00484B22">
        <w:rPr>
          <w:rFonts w:ascii="Geomanist Light" w:hAnsi="Geomanist Light"/>
        </w:rPr>
        <w:t xml:space="preserve"> no tiene</w:t>
      </w:r>
      <w:r w:rsidR="00925AF1" w:rsidRPr="00484B22">
        <w:rPr>
          <w:rFonts w:ascii="Geomanist Light" w:hAnsi="Geomanist Light"/>
        </w:rPr>
        <w:t>n</w:t>
      </w:r>
      <w:r w:rsidR="009A6032" w:rsidRPr="00484B22">
        <w:rPr>
          <w:rFonts w:ascii="Geomanist Light" w:hAnsi="Geomanist Light"/>
        </w:rPr>
        <w:t xml:space="preserve"> una obligaci</w:t>
      </w:r>
      <w:r w:rsidR="00925AF1" w:rsidRPr="00484B22">
        <w:rPr>
          <w:rFonts w:ascii="Geomanist Light" w:hAnsi="Geomanist Light"/>
        </w:rPr>
        <w:t xml:space="preserve">ón </w:t>
      </w:r>
      <w:r w:rsidR="0083104E" w:rsidRPr="00484B22">
        <w:rPr>
          <w:rFonts w:ascii="Geomanist Light" w:hAnsi="Geomanist Light"/>
        </w:rPr>
        <w:t xml:space="preserve">invariable de generar rendimientos y </w:t>
      </w:r>
      <w:r w:rsidR="00B4525B" w:rsidRPr="00484B22">
        <w:rPr>
          <w:rFonts w:ascii="Geomanist Light" w:hAnsi="Geomanist Light"/>
        </w:rPr>
        <w:t>en la medida en que no resultaría</w:t>
      </w:r>
      <w:r w:rsidR="0069356D" w:rsidRPr="00484B22">
        <w:rPr>
          <w:rFonts w:ascii="Geomanist Light" w:hAnsi="Geomanist Light"/>
        </w:rPr>
        <w:t xml:space="preserve"> justo trasladar tal responsabilidad </w:t>
      </w:r>
      <w:r w:rsidR="00684C01" w:rsidRPr="00484B22">
        <w:rPr>
          <w:rFonts w:ascii="Geomanist Light" w:hAnsi="Geomanist Light"/>
        </w:rPr>
        <w:t>al contratista que no ha amortizado la inversión de tales recursos</w:t>
      </w:r>
      <w:r w:rsidR="00EA3CF3" w:rsidRPr="00484B22">
        <w:rPr>
          <w:rFonts w:ascii="Geomanist Light" w:hAnsi="Geomanist Light"/>
        </w:rPr>
        <w:t>, ni se le ha atribuido dicho riesgo</w:t>
      </w:r>
      <w:r w:rsidR="00684C01" w:rsidRPr="00484B22">
        <w:rPr>
          <w:rFonts w:ascii="Geomanist Light" w:hAnsi="Geomanist Light"/>
        </w:rPr>
        <w:t>.</w:t>
      </w:r>
      <w:r w:rsidR="0069356D" w:rsidRPr="00484B22">
        <w:rPr>
          <w:rFonts w:ascii="Geomanist Light" w:hAnsi="Geomanist Light"/>
        </w:rPr>
        <w:t xml:space="preserve"> </w:t>
      </w:r>
      <w:r w:rsidR="004E0E63" w:rsidRPr="00484B22">
        <w:rPr>
          <w:rFonts w:ascii="Geomanist Light" w:hAnsi="Geomanist Light"/>
        </w:rPr>
        <w:t>Sin embargo</w:t>
      </w:r>
      <w:r w:rsidR="00AA4685" w:rsidRPr="00484B22">
        <w:rPr>
          <w:rFonts w:ascii="Geomanist Light" w:eastAsia="Calibri" w:hAnsi="Geomanist Light"/>
        </w:rPr>
        <w:t>,</w:t>
      </w:r>
      <w:r w:rsidR="004E0E63" w:rsidRPr="00484B22">
        <w:rPr>
          <w:rFonts w:ascii="Geomanist Light" w:eastAsia="Calibri" w:hAnsi="Geomanist Light"/>
        </w:rPr>
        <w:t xml:space="preserve"> de acuerdo con lo explicado,</w:t>
      </w:r>
      <w:r w:rsidR="00AA4685" w:rsidRPr="00484B22">
        <w:rPr>
          <w:rFonts w:ascii="Geomanist Light" w:eastAsia="Calibri" w:hAnsi="Geomanist Light"/>
        </w:rPr>
        <w:t xml:space="preserve"> </w:t>
      </w:r>
      <w:r w:rsidR="00BB1753" w:rsidRPr="00484B22">
        <w:rPr>
          <w:rFonts w:ascii="Geomanist Light" w:eastAsia="Calibri" w:hAnsi="Geomanist Light"/>
        </w:rPr>
        <w:t>la responsabilidad por las eventuales perdidas que pudiera</w:t>
      </w:r>
      <w:r w:rsidR="00382C13" w:rsidRPr="00484B22">
        <w:rPr>
          <w:rFonts w:ascii="Geomanist Light" w:eastAsia="Calibri" w:hAnsi="Geomanist Light"/>
        </w:rPr>
        <w:t>n</w:t>
      </w:r>
      <w:r w:rsidR="00BB1753" w:rsidRPr="00484B22">
        <w:rPr>
          <w:rFonts w:ascii="Geomanist Light" w:eastAsia="Calibri" w:hAnsi="Geomanist Light"/>
        </w:rPr>
        <w:t xml:space="preserve"> generar</w:t>
      </w:r>
      <w:r w:rsidR="00382C13" w:rsidRPr="00484B22">
        <w:rPr>
          <w:rFonts w:ascii="Geomanist Light" w:eastAsia="Calibri" w:hAnsi="Geomanist Light"/>
        </w:rPr>
        <w:t xml:space="preserve">se en el marco de la gestión adelantada por la </w:t>
      </w:r>
      <w:r w:rsidR="004653B4" w:rsidRPr="00484B22">
        <w:rPr>
          <w:rFonts w:ascii="Geomanist Light" w:eastAsia="Calibri" w:hAnsi="Geomanist Light"/>
        </w:rPr>
        <w:t>sociedad fiduciaria</w:t>
      </w:r>
      <w:r w:rsidR="004E0E63" w:rsidRPr="00484B22">
        <w:rPr>
          <w:rFonts w:ascii="Geomanist Light" w:eastAsia="Calibri" w:hAnsi="Geomanist Light"/>
        </w:rPr>
        <w:t xml:space="preserve"> </w:t>
      </w:r>
      <w:r w:rsidR="00885058" w:rsidRPr="00484B22">
        <w:rPr>
          <w:rFonts w:ascii="Geomanist Light" w:eastAsia="Calibri" w:hAnsi="Geomanist Light"/>
        </w:rPr>
        <w:t xml:space="preserve">debe determinarse en consideración a las </w:t>
      </w:r>
      <w:r w:rsidR="005E6943" w:rsidRPr="00484B22">
        <w:rPr>
          <w:rFonts w:ascii="Geomanist Light" w:eastAsia="Calibri" w:hAnsi="Geomanist Light"/>
        </w:rPr>
        <w:t>circunstancia</w:t>
      </w:r>
      <w:r w:rsidR="003F6FF6">
        <w:rPr>
          <w:rFonts w:ascii="Geomanist Light" w:eastAsia="Calibri" w:hAnsi="Geomanist Light"/>
        </w:rPr>
        <w:t>s</w:t>
      </w:r>
      <w:r w:rsidR="005E6943" w:rsidRPr="00484B22">
        <w:rPr>
          <w:rFonts w:ascii="Geomanist Light" w:eastAsia="Calibri" w:hAnsi="Geomanist Light"/>
        </w:rPr>
        <w:t xml:space="preserve"> par</w:t>
      </w:r>
      <w:r w:rsidR="00885058" w:rsidRPr="00484B22">
        <w:rPr>
          <w:rFonts w:ascii="Geomanist Light" w:eastAsia="Calibri" w:hAnsi="Geomanist Light"/>
        </w:rPr>
        <w:t>ticulares de cada caso concreto</w:t>
      </w:r>
      <w:r w:rsidR="0069356D" w:rsidRPr="00484B22">
        <w:rPr>
          <w:rFonts w:ascii="Geomanist Light" w:eastAsia="Calibri" w:hAnsi="Geomanist Light"/>
        </w:rPr>
        <w:t>,</w:t>
      </w:r>
      <w:r w:rsidR="0043050F" w:rsidRPr="00484B22">
        <w:rPr>
          <w:rFonts w:ascii="Geomanist Light" w:eastAsia="Calibri" w:hAnsi="Geomanist Light"/>
        </w:rPr>
        <w:t xml:space="preserve"> </w:t>
      </w:r>
      <w:r w:rsidR="004E0E63" w:rsidRPr="00484B22">
        <w:rPr>
          <w:rFonts w:ascii="Geomanist Light" w:eastAsia="Calibri" w:hAnsi="Geomanist Light"/>
        </w:rPr>
        <w:t>teniendo en cuenta</w:t>
      </w:r>
      <w:r w:rsidR="0069356D" w:rsidRPr="00484B22">
        <w:rPr>
          <w:rFonts w:ascii="Geomanist Light" w:eastAsia="Calibri" w:hAnsi="Geomanist Light"/>
        </w:rPr>
        <w:t xml:space="preserve"> las causas que </w:t>
      </w:r>
      <w:r w:rsidR="000913DB" w:rsidRPr="00484B22">
        <w:rPr>
          <w:rFonts w:ascii="Geomanist Light" w:eastAsia="Calibri" w:hAnsi="Geomanist Light"/>
        </w:rPr>
        <w:t xml:space="preserve">determinaron las </w:t>
      </w:r>
      <w:proofErr w:type="spellStart"/>
      <w:r w:rsidR="000913DB" w:rsidRPr="00484B22">
        <w:rPr>
          <w:rFonts w:ascii="Geomanist Light" w:eastAsia="Calibri" w:hAnsi="Geomanist Light"/>
        </w:rPr>
        <w:t>perdidas</w:t>
      </w:r>
      <w:proofErr w:type="spellEnd"/>
      <w:r w:rsidR="000913DB" w:rsidRPr="00484B22">
        <w:rPr>
          <w:rFonts w:ascii="Geomanist Light" w:eastAsia="Calibri" w:hAnsi="Geomanist Light"/>
        </w:rPr>
        <w:t xml:space="preserve"> y el</w:t>
      </w:r>
      <w:r w:rsidR="0043050F" w:rsidRPr="00484B22">
        <w:rPr>
          <w:rFonts w:ascii="Geomanist Light" w:eastAsia="Calibri" w:hAnsi="Geomanist Light"/>
        </w:rPr>
        <w:t xml:space="preserve"> alcance de</w:t>
      </w:r>
      <w:r w:rsidR="000C780B" w:rsidRPr="00484B22">
        <w:rPr>
          <w:rFonts w:ascii="Geomanist Light" w:eastAsia="Calibri" w:hAnsi="Geomanist Light"/>
        </w:rPr>
        <w:t xml:space="preserve"> las </w:t>
      </w:r>
      <w:r w:rsidR="0043050F" w:rsidRPr="00484B22">
        <w:rPr>
          <w:rFonts w:ascii="Geomanist Light" w:eastAsia="Calibri" w:hAnsi="Geomanist Light"/>
        </w:rPr>
        <w:t>obligaciones</w:t>
      </w:r>
      <w:r w:rsidR="000C780B" w:rsidRPr="00484B22">
        <w:rPr>
          <w:rFonts w:ascii="Geomanist Light" w:eastAsia="Calibri" w:hAnsi="Geomanist Light"/>
        </w:rPr>
        <w:t xml:space="preserve"> que fueron materia de estipulación en el contrato de fiducia. </w:t>
      </w:r>
      <w:r w:rsidR="006964D4" w:rsidRPr="00484B22">
        <w:rPr>
          <w:rFonts w:ascii="Geomanist Light" w:eastAsia="Calibri" w:hAnsi="Geomanist Light"/>
        </w:rPr>
        <w:t xml:space="preserve">Esto </w:t>
      </w:r>
      <w:r w:rsidR="00FD3BC4" w:rsidRPr="00484B22">
        <w:rPr>
          <w:rFonts w:ascii="Geomanist Light" w:eastAsia="Calibri" w:hAnsi="Geomanist Light"/>
        </w:rPr>
        <w:t>sin perjuicio de</w:t>
      </w:r>
      <w:r w:rsidR="006964D4" w:rsidRPr="00484B22">
        <w:rPr>
          <w:rFonts w:ascii="Geomanist Light" w:eastAsia="Calibri" w:hAnsi="Geomanist Light"/>
        </w:rPr>
        <w:t xml:space="preserve"> la posibilidad de</w:t>
      </w:r>
      <w:r w:rsidR="00FD3BC4" w:rsidRPr="00484B22">
        <w:rPr>
          <w:rFonts w:ascii="Geomanist Light" w:eastAsia="Calibri" w:hAnsi="Geomanist Light"/>
        </w:rPr>
        <w:t xml:space="preserve"> hacer efectiva la garantía de buen manejo y correcta </w:t>
      </w:r>
      <w:r w:rsidR="006964D4" w:rsidRPr="00484B22">
        <w:rPr>
          <w:rFonts w:ascii="Geomanist Light" w:eastAsia="Calibri" w:hAnsi="Geomanist Light"/>
        </w:rPr>
        <w:t>inversión</w:t>
      </w:r>
      <w:r w:rsidR="00FD3BC4" w:rsidRPr="00484B22">
        <w:rPr>
          <w:rFonts w:ascii="Geomanist Light" w:eastAsia="Calibri" w:hAnsi="Geomanist Light"/>
        </w:rPr>
        <w:t xml:space="preserve"> de anticipo </w:t>
      </w:r>
      <w:r w:rsidR="009B3267" w:rsidRPr="00484B22">
        <w:rPr>
          <w:rFonts w:ascii="Geomanist Light" w:eastAsia="Calibri" w:hAnsi="Geomanist Light"/>
        </w:rPr>
        <w:t xml:space="preserve">cuando las perdidas hayan sido generadas por </w:t>
      </w:r>
      <w:r w:rsidR="006964D4" w:rsidRPr="00484B22">
        <w:rPr>
          <w:rFonts w:ascii="Geomanist Light" w:eastAsia="Calibri" w:hAnsi="Geomanist Light"/>
        </w:rPr>
        <w:t>su</w:t>
      </w:r>
      <w:r w:rsidR="009B3267" w:rsidRPr="00484B22">
        <w:rPr>
          <w:rFonts w:ascii="Geomanist Light" w:eastAsia="Calibri" w:hAnsi="Geomanist Light"/>
        </w:rPr>
        <w:t xml:space="preserve"> no inversión, su </w:t>
      </w:r>
      <w:proofErr w:type="gramStart"/>
      <w:r w:rsidR="009B3267" w:rsidRPr="00484B22">
        <w:rPr>
          <w:rFonts w:ascii="Geomanist Light" w:eastAsia="Calibri" w:hAnsi="Geomanist Light"/>
        </w:rPr>
        <w:t xml:space="preserve">uso indebido </w:t>
      </w:r>
      <w:r w:rsidR="006964D4" w:rsidRPr="00484B22">
        <w:rPr>
          <w:rFonts w:ascii="Geomanist Light" w:eastAsia="Calibri" w:hAnsi="Geomanist Light"/>
        </w:rPr>
        <w:t>o</w:t>
      </w:r>
      <w:r w:rsidR="009B3267" w:rsidRPr="00484B22">
        <w:rPr>
          <w:rFonts w:ascii="Geomanist Light" w:eastAsia="Calibri" w:hAnsi="Geomanist Light"/>
        </w:rPr>
        <w:t xml:space="preserve"> su apropiación indebida</w:t>
      </w:r>
      <w:proofErr w:type="gramEnd"/>
      <w:r w:rsidR="009B3267" w:rsidRPr="00484B22">
        <w:rPr>
          <w:rFonts w:ascii="Geomanist Light" w:eastAsia="Calibri" w:hAnsi="Geomanist Light"/>
        </w:rPr>
        <w:t xml:space="preserve">, de acuerdo con lo señalado en el numeral 1 del artículo </w:t>
      </w:r>
      <w:r w:rsidR="006964D4" w:rsidRPr="00484B22">
        <w:rPr>
          <w:rFonts w:ascii="Geomanist Light" w:eastAsia="Calibri" w:hAnsi="Geomanist Light"/>
        </w:rPr>
        <w:t>2.2.1.2.3.1.7 del Decreto 1082 de 2015.</w:t>
      </w:r>
    </w:p>
    <w:p w14:paraId="09432F0D" w14:textId="77777777" w:rsidR="0093158D" w:rsidRPr="00484B22" w:rsidRDefault="0093158D" w:rsidP="00733A0B">
      <w:pPr>
        <w:pStyle w:val="Prrafodelista"/>
        <w:tabs>
          <w:tab w:val="left" w:pos="284"/>
        </w:tabs>
        <w:spacing w:line="276" w:lineRule="auto"/>
        <w:ind w:left="0"/>
        <w:jc w:val="both"/>
        <w:rPr>
          <w:rFonts w:ascii="Geomanist Light" w:eastAsia="Calibri" w:hAnsi="Geomanist Light" w:cs="Arial"/>
          <w:b/>
          <w:sz w:val="22"/>
          <w:lang w:val="es-CO"/>
        </w:rPr>
      </w:pPr>
    </w:p>
    <w:p w14:paraId="1DF065CA" w14:textId="6CB8D152" w:rsidR="00137E23" w:rsidRPr="00484B22" w:rsidRDefault="00137E23" w:rsidP="00733A0B">
      <w:pPr>
        <w:pStyle w:val="Prrafodelista"/>
        <w:tabs>
          <w:tab w:val="left" w:pos="284"/>
        </w:tabs>
        <w:spacing w:line="276" w:lineRule="auto"/>
        <w:ind w:left="0"/>
        <w:jc w:val="both"/>
        <w:rPr>
          <w:rFonts w:ascii="Geomanist Light" w:eastAsia="Calibri" w:hAnsi="Geomanist Light" w:cs="Arial"/>
          <w:b/>
          <w:sz w:val="22"/>
          <w:lang w:val="es-CO"/>
        </w:rPr>
      </w:pPr>
      <w:r w:rsidRPr="00484B22">
        <w:rPr>
          <w:rFonts w:ascii="Geomanist Light" w:eastAsia="Calibri" w:hAnsi="Geomanist Light" w:cs="Arial"/>
          <w:b/>
          <w:sz w:val="22"/>
          <w:lang w:val="es-CO"/>
        </w:rPr>
        <w:t>3. Respuesta</w:t>
      </w:r>
    </w:p>
    <w:p w14:paraId="6E0ED1A1" w14:textId="77777777" w:rsidR="00733A0B" w:rsidRPr="00484B22" w:rsidRDefault="00733A0B" w:rsidP="0099583D">
      <w:pPr>
        <w:pStyle w:val="Prrafodelista"/>
        <w:tabs>
          <w:tab w:val="left" w:pos="284"/>
        </w:tabs>
        <w:ind w:left="0"/>
        <w:jc w:val="both"/>
        <w:rPr>
          <w:rFonts w:ascii="Geomanist Light" w:eastAsia="Calibri" w:hAnsi="Geomanist Light" w:cs="Arial"/>
          <w:sz w:val="22"/>
          <w:lang w:val="es-CO"/>
        </w:rPr>
      </w:pPr>
    </w:p>
    <w:p w14:paraId="289473F7" w14:textId="77777777" w:rsidR="00CE0935" w:rsidRPr="00484B22" w:rsidRDefault="00CE0935" w:rsidP="000D3B94">
      <w:pPr>
        <w:spacing w:after="0" w:line="240" w:lineRule="auto"/>
        <w:ind w:left="709" w:right="709"/>
        <w:jc w:val="both"/>
        <w:rPr>
          <w:rFonts w:ascii="Geomanist Light" w:hAnsi="Geomanist Light" w:cs="Arial"/>
          <w:color w:val="1A1A1A" w:themeColor="background1" w:themeShade="1A"/>
          <w:sz w:val="21"/>
          <w:szCs w:val="21"/>
        </w:rPr>
      </w:pPr>
      <w:r w:rsidRPr="00484B22">
        <w:rPr>
          <w:rFonts w:ascii="Geomanist Light" w:hAnsi="Geomanist Light" w:cs="Arial"/>
          <w:color w:val="1A1A1A" w:themeColor="background1" w:themeShade="1A"/>
          <w:sz w:val="21"/>
          <w:szCs w:val="21"/>
        </w:rPr>
        <w:t>«¿Cuál es el alcance de la Ley 1474 de 2011, en especial su artículo 91, en concordancia con el artículo 33 del decreto 4730 de 2005, cuando en un encargo fiduciario constituido para el manejo de un anticipo de un contrato de obra, no se generan rendimientos, sino que por el contrario ocasionan disminución del valor del anticipo? ¿al tenor de dicha normatividad quien debería asumir el riesgo, la entidad pública contratante o el contratista?»</w:t>
      </w:r>
    </w:p>
    <w:p w14:paraId="54980237" w14:textId="77777777" w:rsidR="000D3B94" w:rsidRPr="00484B22" w:rsidRDefault="000D3B94" w:rsidP="00646AB6">
      <w:pPr>
        <w:spacing w:after="0" w:line="240" w:lineRule="auto"/>
        <w:ind w:left="709" w:right="709"/>
        <w:jc w:val="both"/>
        <w:rPr>
          <w:rFonts w:ascii="Geomanist Light" w:hAnsi="Geomanist Light" w:cs="Arial"/>
          <w:color w:val="1A1A1A" w:themeColor="background1" w:themeShade="1A"/>
          <w:sz w:val="21"/>
          <w:szCs w:val="21"/>
        </w:rPr>
      </w:pPr>
    </w:p>
    <w:p w14:paraId="703BFAB1" w14:textId="4DBEA7D6" w:rsidR="0093158D" w:rsidRPr="00484B22" w:rsidRDefault="003D2A28" w:rsidP="00646AB6">
      <w:pPr>
        <w:spacing w:after="120" w:line="276" w:lineRule="auto"/>
        <w:jc w:val="both"/>
        <w:rPr>
          <w:rFonts w:ascii="Geomanist Light" w:eastAsia="Calibri" w:hAnsi="Geomanist Light" w:cs="Arial"/>
        </w:rPr>
      </w:pPr>
      <w:r w:rsidRPr="00484B22">
        <w:rPr>
          <w:rFonts w:ascii="Geomanist Light" w:eastAsia="Calibri" w:hAnsi="Geomanist Light" w:cs="Arial"/>
        </w:rPr>
        <w:t>Conforme a lo expuesto</w:t>
      </w:r>
      <w:r w:rsidR="00441BAE" w:rsidRPr="00484B22">
        <w:rPr>
          <w:rFonts w:ascii="Geomanist Light" w:eastAsia="Calibri" w:hAnsi="Geomanist Light" w:cs="Arial"/>
        </w:rPr>
        <w:t>, e</w:t>
      </w:r>
      <w:r w:rsidR="0093158D" w:rsidRPr="00484B22">
        <w:rPr>
          <w:rFonts w:ascii="Geomanist Light" w:eastAsia="Calibri" w:hAnsi="Geomanist Light" w:cs="Arial"/>
        </w:rPr>
        <w:t xml:space="preserve">l artículo 91 de la Ley 1474 de 2011 regula los contratos respecto de los cuales el contratista deberá constituir una fiducia o un patrimonio autónomo irrevocable </w:t>
      </w:r>
      <w:r w:rsidR="0093158D" w:rsidRPr="00484B22">
        <w:rPr>
          <w:rFonts w:ascii="Geomanist Light" w:eastAsia="Calibri" w:hAnsi="Geomanist Light" w:cs="Arial"/>
        </w:rPr>
        <w:lastRenderedPageBreak/>
        <w:t>para el manejo del anticipo. Así, deberá aplicarse la disposición citada en los contratos de obra, concesión, salud, así como a todos los que se realicen por licitación pública. Esta norma excluye los contratos de obra, concesión y salud adelantados por selección abreviada de menor cuantía y mínima cuantía.</w:t>
      </w:r>
    </w:p>
    <w:p w14:paraId="5C0C2E0E" w14:textId="77777777" w:rsidR="0093158D" w:rsidRPr="00484B22" w:rsidRDefault="0093158D" w:rsidP="00646AB6">
      <w:pPr>
        <w:spacing w:after="120" w:line="276" w:lineRule="auto"/>
        <w:ind w:firstLine="708"/>
        <w:jc w:val="both"/>
        <w:rPr>
          <w:rFonts w:ascii="Geomanist Light" w:eastAsia="Calibri" w:hAnsi="Geomanist Light" w:cs="Arial"/>
        </w:rPr>
      </w:pPr>
      <w:r w:rsidRPr="00484B22">
        <w:rPr>
          <w:rFonts w:ascii="Geomanist Light" w:eastAsia="Calibri" w:hAnsi="Geomanist Light" w:cs="Arial"/>
        </w:rPr>
        <w:t xml:space="preserve">En este sentido, cuando la norma se refiere a «los que se realicen por licitación pública», debe entenderse que se trata de todos los contratos que resulten de este procedimiento de selección, cualquiera que sea la tipología contractual. A manera de ejemplo, el contrato de suministro de bienes o servicios realizado por licitación pública y en el cual se pacte anticipo. En este caso, con fundamento en el artículo 91 de la Ley 1474 de 2011, el contratista deberá constituir una fiducia o un patrimonio autónomo irrevocable para el manejo de los recursos que recibe a este título. </w:t>
      </w:r>
    </w:p>
    <w:p w14:paraId="6303AB5F" w14:textId="7DB76399" w:rsidR="0093158D" w:rsidRPr="00484B22" w:rsidRDefault="0093158D" w:rsidP="00646AB6">
      <w:pPr>
        <w:spacing w:after="120" w:line="276" w:lineRule="auto"/>
        <w:ind w:firstLine="708"/>
        <w:jc w:val="both"/>
        <w:rPr>
          <w:rFonts w:ascii="Geomanist Light" w:eastAsia="Calibri" w:hAnsi="Geomanist Light" w:cs="Arial"/>
        </w:rPr>
      </w:pPr>
      <w:r w:rsidRPr="00484B22">
        <w:rPr>
          <w:rFonts w:ascii="Geomanist Light" w:eastAsia="Calibri" w:hAnsi="Geomanist Light" w:cs="Arial"/>
        </w:rPr>
        <w:t>De otra parte, las entidades estatales tienen la facultad de pactar el pago anticipado o la entrega de anticipos sus contratos, sin restricción o distinción respecto del tipo de negocio jurídico a celebrar y/o la modalidad de selección del contratista, ya que la ley al regularlos no efectuó esta distinción.</w:t>
      </w:r>
      <w:r w:rsidR="000D3B94" w:rsidRPr="00484B22">
        <w:rPr>
          <w:rFonts w:ascii="Geomanist Light" w:eastAsia="Calibri" w:hAnsi="Geomanist Light" w:cs="Arial"/>
        </w:rPr>
        <w:t xml:space="preserve"> </w:t>
      </w:r>
      <w:r w:rsidRPr="00484B22">
        <w:rPr>
          <w:rFonts w:ascii="Geomanist Light" w:eastAsia="Calibri" w:hAnsi="Geomanist Light" w:cs="Arial"/>
        </w:rPr>
        <w:t>En este sentido, corresponde a las entidades contratantes decidir y definir, conforme a las condiciones particulares de cada proceso de contratación, si es conveniente o no entregar recursos al contratista en la forma expresada en este concepto. Si se pacta el pago anticipado o la entrega de anticipo, la entidad estatal está en la obligación de observar y acatar los límites y obligaciones establecidas en el ordenamiento jurídico sobre estas formas de remuneración o financiación</w:t>
      </w:r>
    </w:p>
    <w:p w14:paraId="3B376D20" w14:textId="4B6ACCE1" w:rsidR="00DD36D0" w:rsidRPr="00484B22" w:rsidRDefault="00DD36D0" w:rsidP="00646AB6">
      <w:pPr>
        <w:tabs>
          <w:tab w:val="left" w:pos="0"/>
        </w:tabs>
        <w:spacing w:after="120" w:line="276" w:lineRule="auto"/>
        <w:ind w:firstLine="709"/>
        <w:jc w:val="both"/>
        <w:rPr>
          <w:rFonts w:ascii="Geomanist Light" w:eastAsia="Calibri" w:hAnsi="Geomanist Light" w:cs="Arial"/>
        </w:rPr>
      </w:pPr>
      <w:r w:rsidRPr="00484B22">
        <w:rPr>
          <w:rFonts w:ascii="Geomanist Light" w:hAnsi="Geomanist Light" w:cs="Arial"/>
          <w:color w:val="000000" w:themeColor="text1"/>
          <w:lang w:val="es-ES"/>
        </w:rPr>
        <w:t xml:space="preserve">Es </w:t>
      </w:r>
      <w:r w:rsidRPr="00484B22">
        <w:rPr>
          <w:rFonts w:ascii="Geomanist Light" w:eastAsia="Calibri" w:hAnsi="Geomanist Light" w:cs="Arial"/>
        </w:rPr>
        <w:t xml:space="preserve">importante señalar </w:t>
      </w:r>
      <w:r w:rsidR="001E759C" w:rsidRPr="00484B22">
        <w:rPr>
          <w:rFonts w:ascii="Geomanist Light" w:eastAsia="Calibri" w:hAnsi="Geomanist Light" w:cs="Arial"/>
        </w:rPr>
        <w:t xml:space="preserve">que el artículo 1234 del Código de Comercio establece los deberes indelegables del fiduciario además de los previstos en el acto constitutivo, entre los cuales se </w:t>
      </w:r>
      <w:r w:rsidR="00CF60CF" w:rsidRPr="00484B22">
        <w:rPr>
          <w:rFonts w:ascii="Geomanist Light" w:eastAsia="Calibri" w:hAnsi="Geomanist Light" w:cs="Arial"/>
        </w:rPr>
        <w:t>destaca</w:t>
      </w:r>
      <w:r w:rsidR="001E759C" w:rsidRPr="00484B22">
        <w:rPr>
          <w:rFonts w:ascii="Geomanist Light" w:eastAsia="Calibri" w:hAnsi="Geomanist Light" w:cs="Arial"/>
        </w:rPr>
        <w:t xml:space="preserve">, la obligación de realizar diligentemente todos los actos necesarios para la consecución de la finalidad de la fiducia respondiendo hasta por la culpa leve. </w:t>
      </w:r>
      <w:r w:rsidR="000D3B94" w:rsidRPr="00484B22">
        <w:rPr>
          <w:rFonts w:ascii="Geomanist Light" w:eastAsia="Calibri" w:hAnsi="Geomanist Light" w:cs="Arial"/>
        </w:rPr>
        <w:t xml:space="preserve"> </w:t>
      </w:r>
      <w:r w:rsidR="00D66AC2" w:rsidRPr="00484B22">
        <w:rPr>
          <w:rFonts w:ascii="Geomanist Light" w:eastAsia="Calibri" w:hAnsi="Geomanist Light" w:cs="Arial"/>
        </w:rPr>
        <w:t>En ese mismo sentido</w:t>
      </w:r>
      <w:r w:rsidR="001E759C" w:rsidRPr="00484B22">
        <w:rPr>
          <w:rFonts w:ascii="Geomanist Light" w:eastAsia="Calibri" w:hAnsi="Geomanist Light" w:cs="Arial"/>
        </w:rPr>
        <w:t>, le impone la obligación de procurar el mayor rendimiento de los bienes objeto del negocio fiduciario, siendo preciso para alcanzar dicho objetivo, observar los deberes que le imponente tanto la ley como el contrato fiduciario, gestión que debe corresponder a la requerida a todo profesional con ocasión de la administración de negocios ajenos respondiente, como se indicó, hasta por la culpa leve en el cumplimiento de la misma.</w:t>
      </w:r>
    </w:p>
    <w:p w14:paraId="398578C6" w14:textId="3F6ED2B7" w:rsidR="00823C91" w:rsidRPr="00484B22" w:rsidRDefault="00D66AC2" w:rsidP="00646AB6">
      <w:pPr>
        <w:tabs>
          <w:tab w:val="left" w:pos="0"/>
        </w:tabs>
        <w:spacing w:before="120" w:after="120" w:line="276" w:lineRule="auto"/>
        <w:ind w:firstLine="709"/>
        <w:jc w:val="both"/>
        <w:rPr>
          <w:rFonts w:ascii="Geomanist Light" w:hAnsi="Geomanist Light" w:cs="Arial"/>
          <w:color w:val="000000" w:themeColor="text1"/>
          <w:lang w:val="es-ES"/>
        </w:rPr>
      </w:pPr>
      <w:r w:rsidRPr="00484B22">
        <w:rPr>
          <w:rFonts w:ascii="Geomanist Light" w:hAnsi="Geomanist Light" w:cs="Arial"/>
          <w:color w:val="000000" w:themeColor="text1"/>
          <w:lang w:val="es-ES"/>
        </w:rPr>
        <w:t>Con todo</w:t>
      </w:r>
      <w:r w:rsidR="00273D51" w:rsidRPr="00484B22">
        <w:rPr>
          <w:rFonts w:ascii="Geomanist Light" w:hAnsi="Geomanist Light" w:cs="Arial"/>
          <w:color w:val="000000" w:themeColor="text1"/>
          <w:lang w:val="es-ES"/>
        </w:rPr>
        <w:t>, la</w:t>
      </w:r>
      <w:r w:rsidR="00737395" w:rsidRPr="00484B22">
        <w:rPr>
          <w:rFonts w:ascii="Geomanist Light" w:hAnsi="Geomanist Light" w:cs="Arial"/>
          <w:color w:val="000000" w:themeColor="text1"/>
          <w:lang w:val="es-ES"/>
        </w:rPr>
        <w:t>s obligaciones de las sociedades fiduciarias</w:t>
      </w:r>
      <w:r w:rsidR="00273D51" w:rsidRPr="00484B22">
        <w:rPr>
          <w:rFonts w:ascii="Geomanist Light" w:hAnsi="Geomanist Light" w:cs="Arial"/>
          <w:color w:val="000000" w:themeColor="text1"/>
          <w:lang w:val="es-ES"/>
        </w:rPr>
        <w:t xml:space="preserve"> </w:t>
      </w:r>
      <w:r w:rsidR="00CA1A69" w:rsidRPr="00484B22">
        <w:rPr>
          <w:rFonts w:ascii="Geomanist Light" w:hAnsi="Geomanist Light" w:cs="Arial"/>
          <w:color w:val="000000" w:themeColor="text1"/>
          <w:lang w:val="es-ES"/>
        </w:rPr>
        <w:t xml:space="preserve">en el sentido de generar rendimientos a partir de la inversión de los recursos del anticipo son </w:t>
      </w:r>
      <w:r w:rsidR="00814EC4" w:rsidRPr="00484B22">
        <w:rPr>
          <w:rFonts w:ascii="Geomanist Light" w:hAnsi="Geomanist Light" w:cs="Arial"/>
          <w:color w:val="000000" w:themeColor="text1"/>
          <w:lang w:val="es-ES"/>
        </w:rPr>
        <w:t>concebidas como obligaciones de</w:t>
      </w:r>
      <w:r w:rsidR="00273D51" w:rsidRPr="00484B22">
        <w:rPr>
          <w:rFonts w:ascii="Geomanist Light" w:hAnsi="Geomanist Light" w:cs="Arial"/>
          <w:color w:val="000000" w:themeColor="text1"/>
          <w:lang w:val="es-ES"/>
        </w:rPr>
        <w:t xml:space="preserve"> medio, por lo </w:t>
      </w:r>
      <w:r w:rsidR="00814EC4" w:rsidRPr="00484B22">
        <w:rPr>
          <w:rFonts w:ascii="Geomanist Light" w:hAnsi="Geomanist Light" w:cs="Arial"/>
          <w:color w:val="000000" w:themeColor="text1"/>
          <w:lang w:val="es-ES"/>
        </w:rPr>
        <w:t>que</w:t>
      </w:r>
      <w:r w:rsidRPr="00484B22">
        <w:rPr>
          <w:rFonts w:ascii="Geomanist Light" w:hAnsi="Geomanist Light" w:cs="Arial"/>
          <w:color w:val="000000" w:themeColor="text1"/>
          <w:lang w:val="es-ES"/>
        </w:rPr>
        <w:t>,</w:t>
      </w:r>
      <w:r w:rsidR="00814EC4" w:rsidRPr="00484B22">
        <w:rPr>
          <w:rFonts w:ascii="Geomanist Light" w:hAnsi="Geomanist Light" w:cs="Arial"/>
          <w:color w:val="000000" w:themeColor="text1"/>
          <w:lang w:val="es-ES"/>
        </w:rPr>
        <w:t xml:space="preserve"> en principio</w:t>
      </w:r>
      <w:r w:rsidRPr="00484B22">
        <w:rPr>
          <w:rFonts w:ascii="Geomanist Light" w:hAnsi="Geomanist Light" w:cs="Arial"/>
          <w:color w:val="000000" w:themeColor="text1"/>
          <w:lang w:val="es-ES"/>
        </w:rPr>
        <w:t>,</w:t>
      </w:r>
      <w:r w:rsidR="00814EC4" w:rsidRPr="00484B22">
        <w:rPr>
          <w:rFonts w:ascii="Geomanist Light" w:hAnsi="Geomanist Light" w:cs="Arial"/>
          <w:color w:val="000000" w:themeColor="text1"/>
          <w:lang w:val="es-ES"/>
        </w:rPr>
        <w:t xml:space="preserve"> </w:t>
      </w:r>
      <w:r w:rsidR="00273D51" w:rsidRPr="00484B22">
        <w:rPr>
          <w:rFonts w:ascii="Geomanist Light" w:hAnsi="Geomanist Light" w:cs="Arial"/>
          <w:color w:val="000000" w:themeColor="text1"/>
          <w:lang w:val="es-ES"/>
        </w:rPr>
        <w:t>no le son imputables pérdidas</w:t>
      </w:r>
      <w:r w:rsidR="00814EC4" w:rsidRPr="00484B22">
        <w:rPr>
          <w:rFonts w:ascii="Geomanist Light" w:hAnsi="Geomanist Light" w:cs="Arial"/>
          <w:color w:val="000000" w:themeColor="text1"/>
          <w:lang w:val="es-ES"/>
        </w:rPr>
        <w:t xml:space="preserve"> que se produzcan</w:t>
      </w:r>
      <w:r w:rsidR="00273D51" w:rsidRPr="00484B22">
        <w:rPr>
          <w:rFonts w:ascii="Geomanist Light" w:hAnsi="Geomanist Light" w:cs="Arial"/>
          <w:color w:val="000000" w:themeColor="text1"/>
          <w:lang w:val="es-ES"/>
        </w:rPr>
        <w:t xml:space="preserve"> </w:t>
      </w:r>
      <w:r w:rsidR="00814EC4" w:rsidRPr="00484B22">
        <w:rPr>
          <w:rFonts w:ascii="Geomanist Light" w:hAnsi="Geomanist Light" w:cs="Arial"/>
          <w:color w:val="000000" w:themeColor="text1"/>
          <w:lang w:val="es-ES"/>
        </w:rPr>
        <w:t>en el marco de la</w:t>
      </w:r>
      <w:r w:rsidR="00273D51" w:rsidRPr="00484B22">
        <w:rPr>
          <w:rFonts w:ascii="Geomanist Light" w:hAnsi="Geomanist Light" w:cs="Arial"/>
          <w:color w:val="000000" w:themeColor="text1"/>
          <w:lang w:val="es-ES"/>
        </w:rPr>
        <w:t xml:space="preserve"> adecuada administración de los recursos</w:t>
      </w:r>
      <w:r w:rsidR="004013AB" w:rsidRPr="00484B22">
        <w:rPr>
          <w:rFonts w:ascii="Geomanist Light" w:hAnsi="Geomanist Light" w:cs="Arial"/>
          <w:color w:val="000000" w:themeColor="text1"/>
          <w:lang w:val="es-ES"/>
        </w:rPr>
        <w:t>, es decir,</w:t>
      </w:r>
      <w:r w:rsidR="00273D51" w:rsidRPr="00484B22">
        <w:rPr>
          <w:rFonts w:ascii="Geomanist Light" w:hAnsi="Geomanist Light" w:cs="Arial"/>
          <w:color w:val="000000" w:themeColor="text1"/>
          <w:lang w:val="es-ES"/>
        </w:rPr>
        <w:t xml:space="preserve"> cuando se han realizado diligentemente todos los actos necesarios para la consecución de la finalidad de la fiducia</w:t>
      </w:r>
      <w:r w:rsidR="004013AB" w:rsidRPr="00484B22">
        <w:rPr>
          <w:rFonts w:ascii="Geomanist Light" w:hAnsi="Geomanist Light" w:cs="Arial"/>
          <w:color w:val="000000" w:themeColor="text1"/>
          <w:lang w:val="es-ES"/>
        </w:rPr>
        <w:t xml:space="preserve">. </w:t>
      </w:r>
      <w:r w:rsidR="00273D51" w:rsidRPr="00484B22">
        <w:rPr>
          <w:rFonts w:ascii="Geomanist Light" w:hAnsi="Geomanist Light" w:cs="Arial"/>
          <w:color w:val="000000" w:themeColor="text1"/>
          <w:lang w:val="es-ES"/>
        </w:rPr>
        <w:t xml:space="preserve"> </w:t>
      </w:r>
      <w:r w:rsidR="0052277C" w:rsidRPr="00484B22">
        <w:rPr>
          <w:rFonts w:ascii="Geomanist Light" w:hAnsi="Geomanist Light" w:cs="Arial"/>
          <w:color w:val="000000" w:themeColor="text1"/>
          <w:lang w:val="es-ES"/>
        </w:rPr>
        <w:t xml:space="preserve">Esto sin perjuicio de que, en el marco de la autonomía de la voluntad se </w:t>
      </w:r>
      <w:r w:rsidR="0052277C" w:rsidRPr="00484B22">
        <w:rPr>
          <w:rFonts w:ascii="Geomanist Light" w:hAnsi="Geomanist Light" w:cs="Arial"/>
          <w:color w:val="000000" w:themeColor="text1"/>
          <w:lang w:val="es-ES"/>
        </w:rPr>
        <w:lastRenderedPageBreak/>
        <w:t>estipulen clausulas a partir de las cuales se atribuya responsabilidad por hechos relacionados con la generación de perdidas</w:t>
      </w:r>
      <w:r w:rsidR="006C12D3" w:rsidRPr="00484B22">
        <w:rPr>
          <w:rFonts w:ascii="Geomanist Light" w:hAnsi="Geomanist Light" w:cs="Arial"/>
          <w:color w:val="000000" w:themeColor="text1"/>
          <w:lang w:val="es-ES"/>
        </w:rPr>
        <w:t xml:space="preserve"> asociadas a determinados supuestos. </w:t>
      </w:r>
      <w:r w:rsidR="00075383" w:rsidRPr="00484B22">
        <w:rPr>
          <w:rFonts w:ascii="Geomanist Light" w:hAnsi="Geomanist Light" w:cs="Arial"/>
          <w:color w:val="000000" w:themeColor="text1"/>
          <w:lang w:val="es-ES"/>
        </w:rPr>
        <w:t xml:space="preserve"> </w:t>
      </w:r>
    </w:p>
    <w:p w14:paraId="0305A880" w14:textId="3D5CCBCB" w:rsidR="006C12D3" w:rsidRPr="00484B22" w:rsidRDefault="006C12D3" w:rsidP="00BF1B04">
      <w:pPr>
        <w:pStyle w:val="Textoindependiente"/>
        <w:spacing w:line="276" w:lineRule="auto"/>
        <w:ind w:right="102" w:firstLine="709"/>
        <w:jc w:val="both"/>
        <w:rPr>
          <w:rFonts w:ascii="Geomanist Light" w:eastAsia="Calibri" w:hAnsi="Geomanist Light"/>
        </w:rPr>
      </w:pPr>
      <w:r w:rsidRPr="00484B22">
        <w:rPr>
          <w:rFonts w:ascii="Geomanist Light" w:hAnsi="Geomanist Light"/>
        </w:rPr>
        <w:t>En ese orden de ideas, sin perjuicio de la naturaleza pública de los recursos</w:t>
      </w:r>
      <w:r w:rsidR="001678A8" w:rsidRPr="00484B22">
        <w:rPr>
          <w:rFonts w:ascii="Geomanist Light" w:hAnsi="Geomanist Light"/>
        </w:rPr>
        <w:t xml:space="preserve"> entregados a título de anticipo,</w:t>
      </w:r>
      <w:r w:rsidRPr="00484B22">
        <w:rPr>
          <w:rFonts w:ascii="Geomanist Light" w:hAnsi="Geomanist Light"/>
        </w:rPr>
        <w:t xml:space="preserve"> </w:t>
      </w:r>
      <w:r w:rsidRPr="00484B22">
        <w:rPr>
          <w:rFonts w:ascii="Geomanist Light" w:eastAsia="Calibri" w:hAnsi="Geomanist Light"/>
        </w:rPr>
        <w:t xml:space="preserve">la responsabilidad por las eventuales perdidas que </w:t>
      </w:r>
      <w:r w:rsidR="001678A8" w:rsidRPr="00484B22">
        <w:rPr>
          <w:rFonts w:ascii="Geomanist Light" w:eastAsia="Calibri" w:hAnsi="Geomanist Light"/>
        </w:rPr>
        <w:t>se generen</w:t>
      </w:r>
      <w:r w:rsidRPr="00484B22">
        <w:rPr>
          <w:rFonts w:ascii="Geomanist Light" w:eastAsia="Calibri" w:hAnsi="Geomanist Light"/>
        </w:rPr>
        <w:t xml:space="preserve"> </w:t>
      </w:r>
      <w:r w:rsidR="001678A8" w:rsidRPr="00484B22">
        <w:rPr>
          <w:rFonts w:ascii="Geomanist Light" w:eastAsia="Calibri" w:hAnsi="Geomanist Light"/>
        </w:rPr>
        <w:t>dentro</w:t>
      </w:r>
      <w:r w:rsidRPr="00484B22">
        <w:rPr>
          <w:rFonts w:ascii="Geomanist Light" w:eastAsia="Calibri" w:hAnsi="Geomanist Light"/>
        </w:rPr>
        <w:t xml:space="preserve"> la gestión adelantada por la sociedad fiduciaria debe </w:t>
      </w:r>
      <w:r w:rsidR="001678A8" w:rsidRPr="00484B22">
        <w:rPr>
          <w:rFonts w:ascii="Geomanist Light" w:eastAsia="Calibri" w:hAnsi="Geomanist Light"/>
        </w:rPr>
        <w:t>establecer</w:t>
      </w:r>
      <w:r w:rsidR="00F65F41" w:rsidRPr="00484B22">
        <w:rPr>
          <w:rFonts w:ascii="Geomanist Light" w:eastAsia="Calibri" w:hAnsi="Geomanist Light"/>
        </w:rPr>
        <w:t>se</w:t>
      </w:r>
      <w:r w:rsidRPr="00484B22">
        <w:rPr>
          <w:rFonts w:ascii="Geomanist Light" w:eastAsia="Calibri" w:hAnsi="Geomanist Light"/>
        </w:rPr>
        <w:t xml:space="preserve"> </w:t>
      </w:r>
      <w:r w:rsidR="001678A8" w:rsidRPr="00484B22">
        <w:rPr>
          <w:rFonts w:ascii="Geomanist Light" w:eastAsia="Calibri" w:hAnsi="Geomanist Light"/>
        </w:rPr>
        <w:t>analizando</w:t>
      </w:r>
      <w:r w:rsidRPr="00484B22">
        <w:rPr>
          <w:rFonts w:ascii="Geomanist Light" w:eastAsia="Calibri" w:hAnsi="Geomanist Light"/>
        </w:rPr>
        <w:t xml:space="preserve"> las circunstancia</w:t>
      </w:r>
      <w:r w:rsidR="001678A8" w:rsidRPr="00484B22">
        <w:rPr>
          <w:rFonts w:ascii="Geomanist Light" w:eastAsia="Calibri" w:hAnsi="Geomanist Light"/>
        </w:rPr>
        <w:t>s</w:t>
      </w:r>
      <w:r w:rsidRPr="00484B22">
        <w:rPr>
          <w:rFonts w:ascii="Geomanist Light" w:eastAsia="Calibri" w:hAnsi="Geomanist Light"/>
        </w:rPr>
        <w:t xml:space="preserve"> particulares de cada caso concreto, </w:t>
      </w:r>
      <w:r w:rsidR="001678A8" w:rsidRPr="00484B22">
        <w:rPr>
          <w:rFonts w:ascii="Geomanist Light" w:eastAsia="Calibri" w:hAnsi="Geomanist Light"/>
        </w:rPr>
        <w:t>valorando</w:t>
      </w:r>
      <w:r w:rsidRPr="00484B22">
        <w:rPr>
          <w:rFonts w:ascii="Geomanist Light" w:eastAsia="Calibri" w:hAnsi="Geomanist Light"/>
        </w:rPr>
        <w:t xml:space="preserve"> las causas que determinaron las </w:t>
      </w:r>
      <w:r w:rsidR="001678A8" w:rsidRPr="00484B22">
        <w:rPr>
          <w:rFonts w:ascii="Geomanist Light" w:eastAsia="Calibri" w:hAnsi="Geomanist Light"/>
        </w:rPr>
        <w:t>pérdidas</w:t>
      </w:r>
      <w:r w:rsidRPr="00484B22">
        <w:rPr>
          <w:rFonts w:ascii="Geomanist Light" w:eastAsia="Calibri" w:hAnsi="Geomanist Light"/>
        </w:rPr>
        <w:t xml:space="preserve"> y el alcance de las obligaciones </w:t>
      </w:r>
      <w:r w:rsidR="001678A8" w:rsidRPr="00484B22">
        <w:rPr>
          <w:rFonts w:ascii="Geomanist Light" w:eastAsia="Calibri" w:hAnsi="Geomanist Light"/>
        </w:rPr>
        <w:t>pactadas</w:t>
      </w:r>
      <w:r w:rsidRPr="00484B22">
        <w:rPr>
          <w:rFonts w:ascii="Geomanist Light" w:eastAsia="Calibri" w:hAnsi="Geomanist Light"/>
        </w:rPr>
        <w:t xml:space="preserve"> en el contrato de fiducia. </w:t>
      </w:r>
      <w:r w:rsidR="00122E55" w:rsidRPr="00484B22">
        <w:rPr>
          <w:rFonts w:ascii="Geomanist Light" w:eastAsia="Calibri" w:hAnsi="Geomanist Light"/>
        </w:rPr>
        <w:t>En todo caso, dentro del análisis que se realice</w:t>
      </w:r>
      <w:r w:rsidR="00F65F41" w:rsidRPr="00484B22">
        <w:rPr>
          <w:rFonts w:ascii="Geomanist Light" w:eastAsia="Calibri" w:hAnsi="Geomanist Light"/>
        </w:rPr>
        <w:t xml:space="preserve"> podrá estudiarse </w:t>
      </w:r>
      <w:r w:rsidRPr="00484B22">
        <w:rPr>
          <w:rFonts w:ascii="Geomanist Light" w:eastAsia="Calibri" w:hAnsi="Geomanist Light"/>
        </w:rPr>
        <w:t>la posibilidad de hacer efectiva la garantía de buen manejo y correcta inversión de anticipo cuando las perdidas hayan sido generadas por su no inversión, su uso o apropiación indebida</w:t>
      </w:r>
      <w:r w:rsidR="00F65F41" w:rsidRPr="00484B22">
        <w:rPr>
          <w:rFonts w:ascii="Geomanist Light" w:eastAsia="Calibri" w:hAnsi="Geomanist Light"/>
        </w:rPr>
        <w:t>s</w:t>
      </w:r>
      <w:r w:rsidRPr="00484B22">
        <w:rPr>
          <w:rFonts w:ascii="Geomanist Light" w:eastAsia="Calibri" w:hAnsi="Geomanist Light"/>
        </w:rPr>
        <w:t xml:space="preserve">, </w:t>
      </w:r>
      <w:r w:rsidR="00E14BB3" w:rsidRPr="00484B22">
        <w:rPr>
          <w:rFonts w:ascii="Geomanist Light" w:eastAsia="Calibri" w:hAnsi="Geomanist Light"/>
        </w:rPr>
        <w:t xml:space="preserve">en los términos </w:t>
      </w:r>
      <w:r w:rsidRPr="00484B22">
        <w:rPr>
          <w:rFonts w:ascii="Geomanist Light" w:eastAsia="Calibri" w:hAnsi="Geomanist Light"/>
        </w:rPr>
        <w:t>señalado</w:t>
      </w:r>
      <w:r w:rsidR="00E14BB3" w:rsidRPr="00484B22">
        <w:rPr>
          <w:rFonts w:ascii="Geomanist Light" w:eastAsia="Calibri" w:hAnsi="Geomanist Light"/>
        </w:rPr>
        <w:t>s</w:t>
      </w:r>
      <w:r w:rsidRPr="00484B22">
        <w:rPr>
          <w:rFonts w:ascii="Geomanist Light" w:eastAsia="Calibri" w:hAnsi="Geomanist Light"/>
        </w:rPr>
        <w:t xml:space="preserve"> </w:t>
      </w:r>
      <w:r w:rsidR="00E14BB3" w:rsidRPr="00484B22">
        <w:rPr>
          <w:rFonts w:ascii="Geomanist Light" w:eastAsia="Calibri" w:hAnsi="Geomanist Light"/>
        </w:rPr>
        <w:t>por</w:t>
      </w:r>
      <w:r w:rsidRPr="00484B22">
        <w:rPr>
          <w:rFonts w:ascii="Geomanist Light" w:eastAsia="Calibri" w:hAnsi="Geomanist Light"/>
        </w:rPr>
        <w:t xml:space="preserve"> el numeral 1 del artículo 2.2.1.2.3.1.7 del Decreto 1082 de 2015.</w:t>
      </w:r>
    </w:p>
    <w:p w14:paraId="59B3FAC2" w14:textId="77777777" w:rsidR="00BF1B04" w:rsidRPr="00484B22" w:rsidRDefault="00BF1B04" w:rsidP="00646AB6">
      <w:pPr>
        <w:pStyle w:val="Textoindependiente"/>
        <w:spacing w:line="276" w:lineRule="auto"/>
        <w:ind w:right="102" w:firstLine="709"/>
        <w:jc w:val="both"/>
        <w:rPr>
          <w:rFonts w:ascii="Geomanist Light" w:hAnsi="Geomanist Light"/>
          <w:color w:val="000000" w:themeColor="text1"/>
          <w:lang w:val="es-MX"/>
        </w:rPr>
      </w:pPr>
    </w:p>
    <w:p w14:paraId="4553954C" w14:textId="3C2DCB56" w:rsidR="000446AF" w:rsidRPr="00484B22" w:rsidRDefault="00872709" w:rsidP="00646AB6">
      <w:pPr>
        <w:spacing w:after="0" w:line="276" w:lineRule="auto"/>
        <w:jc w:val="both"/>
        <w:rPr>
          <w:rFonts w:ascii="Geomanist Light" w:eastAsia="Calibri" w:hAnsi="Geomanist Light" w:cs="Arial"/>
        </w:rPr>
      </w:pPr>
      <w:r w:rsidRPr="00484B22">
        <w:rPr>
          <w:rFonts w:ascii="Geomanist Light" w:eastAsia="Calibri" w:hAnsi="Geomanist Light" w:cs="Arial"/>
        </w:rPr>
        <w:t>Este concepto tiene el alcance previsto en el artículo 28 del Código de Procedimiento Administrativo y de lo Contencioso Administrativo.</w:t>
      </w:r>
      <w:r w:rsidR="000446AF" w:rsidRPr="00484B22">
        <w:rPr>
          <w:rFonts w:ascii="Geomanist Light" w:eastAsia="Calibri" w:hAnsi="Geomanist Light" w:cs="Arial"/>
        </w:rPr>
        <w:t xml:space="preserve"> </w:t>
      </w:r>
    </w:p>
    <w:p w14:paraId="1C7E5571" w14:textId="77777777" w:rsidR="0080500D" w:rsidRPr="00484B22" w:rsidRDefault="0080500D" w:rsidP="00646AB6">
      <w:pPr>
        <w:spacing w:after="0" w:line="276" w:lineRule="auto"/>
        <w:jc w:val="both"/>
        <w:rPr>
          <w:rFonts w:ascii="Geomanist Light" w:eastAsia="Calibri" w:hAnsi="Geomanist Light" w:cs="Arial"/>
        </w:rPr>
      </w:pPr>
    </w:p>
    <w:p w14:paraId="4E811CE0" w14:textId="686597D3" w:rsidR="00872709" w:rsidRPr="00484B22" w:rsidRDefault="000446AF" w:rsidP="00872709">
      <w:pPr>
        <w:spacing w:after="120" w:line="276" w:lineRule="auto"/>
        <w:jc w:val="both"/>
        <w:rPr>
          <w:rFonts w:ascii="Geomanist Light" w:eastAsia="Calibri" w:hAnsi="Geomanist Light" w:cs="Arial"/>
        </w:rPr>
      </w:pPr>
      <w:r w:rsidRPr="00484B22">
        <w:rPr>
          <w:rFonts w:ascii="Geomanist Light" w:eastAsia="Calibri" w:hAnsi="Geomanist Light" w:cs="Arial"/>
        </w:rPr>
        <w:t xml:space="preserve">Atentamente, </w:t>
      </w:r>
    </w:p>
    <w:p w14:paraId="20AB7243" w14:textId="5FD4EC34" w:rsidR="00DA09C6" w:rsidRPr="00484B22" w:rsidRDefault="00E710D9" w:rsidP="00DA09C6">
      <w:pPr>
        <w:spacing w:after="0" w:line="240" w:lineRule="auto"/>
        <w:jc w:val="center"/>
        <w:rPr>
          <w:rFonts w:ascii="Geomanist Light" w:eastAsia="Calibri" w:hAnsi="Geomanist Light" w:cs="Arial"/>
          <w:b/>
          <w:bCs/>
          <w:lang w:val="es-MX"/>
        </w:rPr>
      </w:pPr>
      <w:r>
        <w:rPr>
          <w:noProof/>
          <w:lang w:val="en-US"/>
        </w:rPr>
        <w:drawing>
          <wp:inline distT="0" distB="0" distL="0" distR="0" wp14:anchorId="06766814" wp14:editId="07836AE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C4B3CB8" w14:textId="77777777" w:rsidR="00DA09C6" w:rsidRPr="00484B22" w:rsidRDefault="00DA09C6" w:rsidP="00DA09C6">
      <w:pPr>
        <w:spacing w:after="0" w:line="240" w:lineRule="auto"/>
        <w:jc w:val="both"/>
        <w:rPr>
          <w:rFonts w:ascii="Geomanist Light" w:eastAsia="Calibri" w:hAnsi="Geomanist Light" w:cs="Arial"/>
          <w:b/>
          <w:bCs/>
          <w:lang w:val="es-MX"/>
        </w:rPr>
      </w:pPr>
    </w:p>
    <w:tbl>
      <w:tblPr>
        <w:tblStyle w:val="Tablaconcuadrcula11"/>
        <w:tblpPr w:leftFromText="141" w:rightFromText="141" w:vertAnchor="text" w:horzAnchor="margin" w:tblpY="-7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0500D" w:rsidRPr="00484B22" w14:paraId="5B88FBA8" w14:textId="77777777" w:rsidTr="0085300F">
        <w:trPr>
          <w:trHeight w:val="286"/>
        </w:trPr>
        <w:tc>
          <w:tcPr>
            <w:tcW w:w="817" w:type="dxa"/>
            <w:vAlign w:val="center"/>
          </w:tcPr>
          <w:p w14:paraId="4CE3AEDA"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Elaboró:</w:t>
            </w:r>
          </w:p>
        </w:tc>
        <w:tc>
          <w:tcPr>
            <w:tcW w:w="4445" w:type="dxa"/>
            <w:tcBorders>
              <w:bottom w:val="dotted" w:sz="4" w:space="0" w:color="7F7F7F"/>
            </w:tcBorders>
            <w:vAlign w:val="center"/>
          </w:tcPr>
          <w:p w14:paraId="55B7B87C"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 xml:space="preserve">Diana Fabiola Herrera Hernández </w:t>
            </w:r>
          </w:p>
          <w:p w14:paraId="042D5E58"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Contratista de la Subdirección de Gestión Contractual</w:t>
            </w:r>
          </w:p>
        </w:tc>
      </w:tr>
      <w:tr w:rsidR="0080500D" w:rsidRPr="00484B22" w14:paraId="51A716DF" w14:textId="77777777" w:rsidTr="0085300F">
        <w:trPr>
          <w:trHeight w:val="286"/>
        </w:trPr>
        <w:tc>
          <w:tcPr>
            <w:tcW w:w="817" w:type="dxa"/>
            <w:vAlign w:val="center"/>
          </w:tcPr>
          <w:p w14:paraId="312B43E2"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Revisó:</w:t>
            </w:r>
          </w:p>
        </w:tc>
        <w:tc>
          <w:tcPr>
            <w:tcW w:w="4445" w:type="dxa"/>
            <w:tcBorders>
              <w:bottom w:val="dotted" w:sz="4" w:space="0" w:color="7F7F7F"/>
            </w:tcBorders>
            <w:vAlign w:val="center"/>
          </w:tcPr>
          <w:p w14:paraId="63D8057F"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Alejandro Sarmiento Cantillo</w:t>
            </w:r>
          </w:p>
          <w:p w14:paraId="7157D584"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Gestor T1-15 de la Subdirección de Gestión Contractual</w:t>
            </w:r>
          </w:p>
        </w:tc>
      </w:tr>
      <w:tr w:rsidR="0080500D" w:rsidRPr="00484B22" w14:paraId="365B0A86" w14:textId="77777777" w:rsidTr="0085300F">
        <w:trPr>
          <w:trHeight w:val="299"/>
        </w:trPr>
        <w:tc>
          <w:tcPr>
            <w:tcW w:w="817" w:type="dxa"/>
            <w:vAlign w:val="center"/>
          </w:tcPr>
          <w:p w14:paraId="122554D6"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3D3457D4"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 xml:space="preserve">Nohelia del </w:t>
            </w:r>
            <w:proofErr w:type="spellStart"/>
            <w:r w:rsidRPr="00484B22">
              <w:rPr>
                <w:rFonts w:ascii="Geomanist Light" w:hAnsi="Geomanist Light" w:cs="Arial"/>
                <w:sz w:val="16"/>
                <w:szCs w:val="16"/>
              </w:rPr>
              <w:t>Cármen</w:t>
            </w:r>
            <w:proofErr w:type="spellEnd"/>
            <w:r w:rsidRPr="00484B22">
              <w:rPr>
                <w:rFonts w:ascii="Geomanist Light" w:hAnsi="Geomanist Light" w:cs="Arial"/>
                <w:sz w:val="16"/>
                <w:szCs w:val="16"/>
              </w:rPr>
              <w:t xml:space="preserve"> </w:t>
            </w:r>
            <w:proofErr w:type="spellStart"/>
            <w:r w:rsidRPr="00484B22">
              <w:rPr>
                <w:rFonts w:ascii="Geomanist Light" w:hAnsi="Geomanist Light" w:cs="Arial"/>
                <w:sz w:val="16"/>
                <w:szCs w:val="16"/>
              </w:rPr>
              <w:t>Zawady</w:t>
            </w:r>
            <w:proofErr w:type="spellEnd"/>
            <w:r w:rsidRPr="00484B22">
              <w:rPr>
                <w:rFonts w:ascii="Geomanist Light" w:hAnsi="Geomanist Light" w:cs="Arial"/>
                <w:sz w:val="16"/>
                <w:szCs w:val="16"/>
              </w:rPr>
              <w:t xml:space="preserve"> Palacio</w:t>
            </w:r>
          </w:p>
          <w:p w14:paraId="1C1A41CD" w14:textId="77777777" w:rsidR="0080500D" w:rsidRPr="00484B22" w:rsidRDefault="0080500D" w:rsidP="0080500D">
            <w:pPr>
              <w:rPr>
                <w:rFonts w:ascii="Geomanist Light" w:hAnsi="Geomanist Light" w:cs="Arial"/>
                <w:sz w:val="16"/>
                <w:szCs w:val="16"/>
              </w:rPr>
            </w:pPr>
            <w:r w:rsidRPr="00484B22">
              <w:rPr>
                <w:rFonts w:ascii="Geomanist Light" w:hAnsi="Geomanist Light" w:cs="Arial"/>
                <w:sz w:val="16"/>
                <w:szCs w:val="16"/>
              </w:rPr>
              <w:t xml:space="preserve">Subdirectora de Gestión Contractual ANCP – CCE </w:t>
            </w:r>
          </w:p>
        </w:tc>
      </w:tr>
    </w:tbl>
    <w:p w14:paraId="356EEDDD" w14:textId="77777777" w:rsidR="00DA09C6" w:rsidRPr="00484B22" w:rsidRDefault="00DA09C6" w:rsidP="00DA09C6">
      <w:pPr>
        <w:spacing w:after="0" w:line="240" w:lineRule="auto"/>
        <w:jc w:val="both"/>
        <w:rPr>
          <w:rFonts w:ascii="Geomanist Light" w:eastAsia="Calibri" w:hAnsi="Geomanist Light" w:cs="Arial"/>
          <w:b/>
          <w:bCs/>
          <w:lang w:val="es-MX"/>
        </w:rPr>
      </w:pPr>
    </w:p>
    <w:p w14:paraId="7BA8105F" w14:textId="77777777" w:rsidR="00DA09C6" w:rsidRPr="00484B22" w:rsidRDefault="00DA09C6" w:rsidP="00DA09C6">
      <w:pPr>
        <w:spacing w:after="0" w:line="240" w:lineRule="auto"/>
        <w:rPr>
          <w:rFonts w:ascii="Geomanist Light" w:hAnsi="Geomanist Light" w:cs="Arial"/>
          <w:b/>
          <w:color w:val="404040" w:themeColor="text1" w:themeTint="BF"/>
          <w:lang w:val="es-ES"/>
        </w:rPr>
      </w:pPr>
    </w:p>
    <w:p w14:paraId="79890B96" w14:textId="77777777" w:rsidR="00DA09C6" w:rsidRPr="00484B22" w:rsidRDefault="00DA09C6" w:rsidP="00DA09C6">
      <w:pPr>
        <w:spacing w:after="0" w:line="240" w:lineRule="auto"/>
        <w:rPr>
          <w:rFonts w:ascii="Geomanist Light" w:hAnsi="Geomanist Light" w:cs="Arial"/>
          <w:b/>
          <w:color w:val="404040" w:themeColor="text1" w:themeTint="BF"/>
          <w:lang w:val="es-ES"/>
        </w:rPr>
      </w:pPr>
    </w:p>
    <w:p w14:paraId="198E7C18" w14:textId="77777777" w:rsidR="00DA09C6" w:rsidRPr="00484B22" w:rsidRDefault="00DA09C6" w:rsidP="00DA09C6">
      <w:pPr>
        <w:spacing w:after="0" w:line="240" w:lineRule="auto"/>
        <w:rPr>
          <w:rFonts w:ascii="Geomanist Light" w:hAnsi="Geomanist Light" w:cs="Arial"/>
          <w:b/>
          <w:color w:val="404040" w:themeColor="text1" w:themeTint="BF"/>
        </w:rPr>
      </w:pPr>
    </w:p>
    <w:p w14:paraId="0A3B6F47" w14:textId="77777777" w:rsidR="00DA09C6" w:rsidRPr="00484B22" w:rsidRDefault="00DA09C6" w:rsidP="00DA09C6">
      <w:pPr>
        <w:spacing w:after="0" w:line="240" w:lineRule="auto"/>
        <w:rPr>
          <w:rFonts w:ascii="Geomanist Light" w:hAnsi="Geomanist Light" w:cs="Arial"/>
          <w:b/>
          <w:color w:val="404040" w:themeColor="text1" w:themeTint="BF"/>
          <w:lang w:val="es-ES"/>
        </w:rPr>
      </w:pPr>
    </w:p>
    <w:p w14:paraId="2528A001" w14:textId="77777777" w:rsidR="00DA09C6" w:rsidRPr="00484B22" w:rsidRDefault="00DA09C6" w:rsidP="00DA09C6">
      <w:pPr>
        <w:spacing w:after="0" w:line="240" w:lineRule="auto"/>
        <w:rPr>
          <w:rFonts w:ascii="Geomanist Light" w:hAnsi="Geomanist Light" w:cs="Arial"/>
          <w:b/>
          <w:color w:val="404040" w:themeColor="text1" w:themeTint="BF"/>
          <w:lang w:val="es-ES"/>
        </w:rPr>
      </w:pPr>
    </w:p>
    <w:p w14:paraId="228F1C75" w14:textId="77777777" w:rsidR="00DA09C6" w:rsidRPr="00484B22" w:rsidRDefault="00DA09C6" w:rsidP="00DA09C6">
      <w:pPr>
        <w:spacing w:after="0" w:line="240" w:lineRule="auto"/>
        <w:rPr>
          <w:rFonts w:ascii="Geomanist Light" w:hAnsi="Geomanist Light" w:cs="Arial"/>
          <w:b/>
          <w:color w:val="404040" w:themeColor="text1" w:themeTint="BF"/>
          <w:lang w:val="es-ES"/>
        </w:rPr>
      </w:pPr>
    </w:p>
    <w:bookmarkEnd w:id="0"/>
    <w:p w14:paraId="13B0656D" w14:textId="77777777" w:rsidR="00135FBD" w:rsidRPr="00484B22" w:rsidRDefault="00135FBD">
      <w:pPr>
        <w:rPr>
          <w:rFonts w:ascii="Geomanist Light" w:hAnsi="Geomanist Light" w:cs="Arial"/>
        </w:rPr>
      </w:pPr>
    </w:p>
    <w:sectPr w:rsidR="00135FBD" w:rsidRPr="00484B22" w:rsidSect="00646AB6">
      <w:headerReference w:type="default" r:id="rId13"/>
      <w:footerReference w:type="default" r:id="rId14"/>
      <w:pgSz w:w="12240" w:h="15840"/>
      <w:pgMar w:top="1779" w:right="1750"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E262" w14:textId="77777777" w:rsidR="00390530" w:rsidRDefault="00390530" w:rsidP="00137E23">
      <w:pPr>
        <w:spacing w:after="0" w:line="240" w:lineRule="auto"/>
      </w:pPr>
      <w:r>
        <w:separator/>
      </w:r>
    </w:p>
  </w:endnote>
  <w:endnote w:type="continuationSeparator" w:id="0">
    <w:p w14:paraId="22A34FE4" w14:textId="77777777" w:rsidR="00390530" w:rsidRDefault="00390530"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70D" w14:textId="77777777" w:rsidR="00484B22" w:rsidRDefault="00484B22" w:rsidP="00484B22">
    <w:pPr>
      <w:pStyle w:val="Piedepgina"/>
    </w:pPr>
    <w:r>
      <w:rPr>
        <w:noProof/>
        <w:lang w:val="en-US"/>
      </w:rPr>
      <w:drawing>
        <wp:inline distT="0" distB="0" distL="0" distR="0" wp14:anchorId="71BFB818" wp14:editId="63066E39">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84B22" w:rsidRPr="00080DA3" w14:paraId="28056350" w14:textId="77777777" w:rsidTr="00733E66">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12A0EC0" w14:textId="77777777" w:rsidR="00484B22" w:rsidRPr="00080DA3" w:rsidRDefault="00484B22" w:rsidP="00484B2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584AD7F" w14:textId="77777777" w:rsidR="00484B22" w:rsidRPr="00080DA3" w:rsidRDefault="00484B22" w:rsidP="00484B2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E00C17F" w14:textId="77777777" w:rsidR="00484B22" w:rsidRPr="00080DA3" w:rsidRDefault="00484B22" w:rsidP="00484B2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E0BEF3D" w14:textId="77777777" w:rsidR="00484B22" w:rsidRPr="004B6B0E" w:rsidRDefault="00484B22" w:rsidP="00484B2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E5E9A6" w14:textId="77777777" w:rsidR="00484B22" w:rsidRPr="00080DA3" w:rsidRDefault="00484B22" w:rsidP="00484B2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417420" w14:textId="77777777" w:rsidR="00484B22" w:rsidRPr="00080DA3" w:rsidRDefault="00484B22" w:rsidP="00484B2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710BBE8" w14:textId="6E34FE13" w:rsidR="00484B22" w:rsidRPr="00080DA3" w:rsidRDefault="00484B22" w:rsidP="00484B2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4E782E">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4E782E">
            <w:rPr>
              <w:rFonts w:ascii="Geomanist Light" w:hAnsi="Geomanist Light"/>
              <w:b/>
              <w:bCs/>
              <w:noProof/>
              <w:sz w:val="18"/>
              <w:szCs w:val="18"/>
            </w:rPr>
            <w:t>15</w:t>
          </w:r>
          <w:r w:rsidRPr="00080DA3">
            <w:rPr>
              <w:rFonts w:ascii="Geomanist Light" w:hAnsi="Geomanist Light"/>
              <w:b/>
              <w:bCs/>
              <w:sz w:val="18"/>
              <w:szCs w:val="18"/>
            </w:rPr>
            <w:fldChar w:fldCharType="end"/>
          </w:r>
        </w:p>
      </w:tc>
    </w:tr>
  </w:tbl>
  <w:p w14:paraId="7FF1EFC4" w14:textId="39DEA490" w:rsidR="000E0524" w:rsidRDefault="00000000" w:rsidP="007B0854">
    <w:pPr>
      <w:pStyle w:val="Piedepgina"/>
      <w:jc w:val="center"/>
    </w:pP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C465" w14:textId="77777777" w:rsidR="00390530" w:rsidRDefault="00390530" w:rsidP="00137E23">
      <w:pPr>
        <w:spacing w:after="0" w:line="240" w:lineRule="auto"/>
      </w:pPr>
      <w:r>
        <w:separator/>
      </w:r>
    </w:p>
  </w:footnote>
  <w:footnote w:type="continuationSeparator" w:id="0">
    <w:p w14:paraId="2C10005D" w14:textId="77777777" w:rsidR="00390530" w:rsidRDefault="00390530" w:rsidP="00137E23">
      <w:pPr>
        <w:spacing w:after="0" w:line="240" w:lineRule="auto"/>
      </w:pPr>
      <w:r>
        <w:continuationSeparator/>
      </w:r>
    </w:p>
  </w:footnote>
  <w:footnote w:id="1">
    <w:p w14:paraId="37E18609" w14:textId="77777777" w:rsidR="00B42724" w:rsidRPr="003F6FF6" w:rsidRDefault="00B42724" w:rsidP="003F6FF6">
      <w:pPr>
        <w:pStyle w:val="Textonotapie"/>
        <w:ind w:firstLine="709"/>
        <w:jc w:val="both"/>
        <w:rPr>
          <w:rFonts w:ascii="Geomanist Light" w:hAnsi="Geomanist Light" w:cs="Arial"/>
          <w:color w:val="000000" w:themeColor="text1"/>
          <w:sz w:val="18"/>
          <w:szCs w:val="18"/>
        </w:rPr>
      </w:pPr>
      <w:r w:rsidRPr="003F6FF6">
        <w:rPr>
          <w:rStyle w:val="Refdenotaalpie"/>
          <w:rFonts w:ascii="Geomanist Light" w:hAnsi="Geomanist Light" w:cs="Arial"/>
          <w:color w:val="000000" w:themeColor="text1"/>
          <w:sz w:val="18"/>
          <w:szCs w:val="18"/>
        </w:rPr>
        <w:footnoteRef/>
      </w:r>
      <w:r w:rsidRPr="003F6FF6">
        <w:rPr>
          <w:rFonts w:ascii="Geomanist Light" w:hAnsi="Geomanist Light"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F6FF6">
        <w:rPr>
          <w:rFonts w:ascii="Geomanist Light" w:hAnsi="Geomanist Light" w:cs="Arial"/>
          <w:i/>
          <w:iCs/>
          <w:color w:val="000000" w:themeColor="text1"/>
          <w:sz w:val="18"/>
          <w:szCs w:val="18"/>
        </w:rPr>
        <w:t xml:space="preserve">ibidem </w:t>
      </w:r>
      <w:r w:rsidRPr="003F6FF6">
        <w:rPr>
          <w:rFonts w:ascii="Geomanist Light" w:hAnsi="Geomanist Light" w:cs="Arial"/>
          <w:color w:val="000000" w:themeColor="text1"/>
          <w:sz w:val="18"/>
          <w:szCs w:val="18"/>
        </w:rPr>
        <w:t>señala, de manera precisa, las funciones de Colombia Compra Eficiente. Concretamente, el numeral 5º de este artículo establece que le corresponde a esta entidad: «[a]</w:t>
      </w:r>
      <w:proofErr w:type="spellStart"/>
      <w:r w:rsidRPr="003F6FF6">
        <w:rPr>
          <w:rFonts w:ascii="Geomanist Light" w:hAnsi="Geomanist Light" w:cs="Arial"/>
          <w:color w:val="000000" w:themeColor="text1"/>
          <w:sz w:val="18"/>
          <w:szCs w:val="18"/>
        </w:rPr>
        <w:t>bsolver</w:t>
      </w:r>
      <w:proofErr w:type="spellEnd"/>
      <w:r w:rsidRPr="003F6FF6">
        <w:rPr>
          <w:rFonts w:ascii="Geomanist Light" w:hAnsi="Geomanist Light" w:cs="Arial"/>
          <w:color w:val="000000" w:themeColor="text1"/>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3F6FF6">
        <w:rPr>
          <w:rFonts w:ascii="Geomanist Light" w:hAnsi="Geomanist Light" w:cs="Arial"/>
          <w:color w:val="000000" w:themeColor="text1"/>
          <w:sz w:val="18"/>
          <w:szCs w:val="18"/>
        </w:rPr>
        <w:t>bsolver</w:t>
      </w:r>
      <w:proofErr w:type="spellEnd"/>
      <w:r w:rsidRPr="003F6FF6">
        <w:rPr>
          <w:rFonts w:ascii="Geomanist Light" w:hAnsi="Geomanist Light" w:cs="Arial"/>
          <w:color w:val="000000" w:themeColor="text1"/>
          <w:sz w:val="18"/>
          <w:szCs w:val="18"/>
        </w:rPr>
        <w:t xml:space="preserve"> consultas sobre la aplicación de normas de carácter general».</w:t>
      </w:r>
    </w:p>
  </w:footnote>
  <w:footnote w:id="2">
    <w:p w14:paraId="41C5B969" w14:textId="529051DC" w:rsidR="00CE0935" w:rsidRPr="003F6FF6" w:rsidRDefault="00CE0935" w:rsidP="003F6FF6">
      <w:pPr>
        <w:pStyle w:val="Textonotapie"/>
        <w:ind w:firstLine="709"/>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eastAsia="Calibri" w:hAnsi="Geomanist Light" w:cs="Arial"/>
          <w:color w:val="000000" w:themeColor="text1"/>
          <w:sz w:val="18"/>
          <w:szCs w:val="18"/>
          <w:lang w:val="es-ES"/>
        </w:rPr>
        <w:t>«</w:t>
      </w:r>
      <w:r w:rsidRPr="003F6FF6">
        <w:rPr>
          <w:rFonts w:ascii="Geomanist Light" w:hAnsi="Geomanist Light" w:cs="Arial"/>
          <w:sz w:val="18"/>
          <w:szCs w:val="18"/>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3F6FF6">
        <w:rPr>
          <w:rFonts w:ascii="Geomanist Light" w:eastAsia="Calibri" w:hAnsi="Geomanist Light" w:cs="Arial"/>
          <w:color w:val="000000" w:themeColor="text1"/>
          <w:sz w:val="18"/>
          <w:szCs w:val="18"/>
          <w:lang w:val="es-ES"/>
        </w:rPr>
        <w:t>».</w:t>
      </w:r>
      <w:r w:rsidRPr="003F6FF6">
        <w:rPr>
          <w:rFonts w:ascii="Geomanist Light" w:hAnsi="Geomanist Light" w:cs="Arial"/>
          <w:sz w:val="18"/>
          <w:szCs w:val="18"/>
        </w:rPr>
        <w:t xml:space="preserve"> Citado en CONSEJO DE ESTADO. Sala de lo Contencioso Administrativo. Sección Tercera – Subsección A. Sentencia del 16 de mayo de 2019. Rad. (40102). </w:t>
      </w:r>
      <w:r w:rsidRPr="003F6FF6">
        <w:rPr>
          <w:rFonts w:ascii="Geomanist Light" w:hAnsi="Geomanist Light" w:cs="Arial"/>
          <w:sz w:val="18"/>
          <w:szCs w:val="18"/>
        </w:rPr>
        <w:t xml:space="preserve">C.P: María Adriana Marín [cita No. 35]. </w:t>
      </w:r>
    </w:p>
  </w:footnote>
  <w:footnote w:id="3">
    <w:p w14:paraId="5885CBB5" w14:textId="571E7C47" w:rsidR="00CE0935" w:rsidRPr="003F6FF6" w:rsidRDefault="00CE0935" w:rsidP="003F6FF6">
      <w:pPr>
        <w:pStyle w:val="Textonotapie"/>
        <w:ind w:firstLine="709"/>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CONSEJO DE ESTADO. Sala de lo Contencioso Administrativo. Sección Tercera – Subsección A. Sentencia del 16 de mayo de 2019. Rad. (40102). C.P: María Adriana Marín</w:t>
      </w:r>
    </w:p>
  </w:footnote>
  <w:footnote w:id="4">
    <w:p w14:paraId="26FFF492" w14:textId="3659FB8F" w:rsidR="00CE0935" w:rsidRPr="003F6FF6" w:rsidRDefault="00CE0935" w:rsidP="003F6FF6">
      <w:pPr>
        <w:pStyle w:val="Textonotapie"/>
        <w:ind w:firstLine="709"/>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CONSEJO DE ESTADO. Sala de lo Contencioso Administrativo. Sección Tercera – Subsección C. Sentencia del 2 de octubre del 2020. Rad. 63644. CP. Jaime Enrique Rodríguez Nava. </w:t>
      </w:r>
    </w:p>
  </w:footnote>
  <w:footnote w:id="5">
    <w:p w14:paraId="3D6C32FA" w14:textId="3C45073B" w:rsidR="00CE0935" w:rsidRPr="003F6FF6" w:rsidRDefault="00CE0935" w:rsidP="003F6FF6">
      <w:pPr>
        <w:pStyle w:val="Textonotapie"/>
        <w:ind w:firstLine="709"/>
        <w:rPr>
          <w:rFonts w:ascii="Geomanist Light" w:hAnsi="Geomanist Light" w:cs="Arial"/>
          <w:color w:val="000000" w:themeColor="text1"/>
          <w:sz w:val="18"/>
          <w:szCs w:val="18"/>
          <w:lang w:val="es-ES"/>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w:t>
      </w:r>
      <w:r w:rsidRPr="003F6FF6">
        <w:rPr>
          <w:rFonts w:ascii="Geomanist Light" w:hAnsi="Geomanist Light" w:cs="Arial"/>
          <w:color w:val="000000" w:themeColor="text1"/>
          <w:sz w:val="18"/>
          <w:szCs w:val="18"/>
          <w:lang w:val="es-ES"/>
        </w:rPr>
        <w:t xml:space="preserve">CONSEJO DE ESTADO. Sección Tercera. Sentencia de 22 de junio de 2001. </w:t>
      </w:r>
      <w:proofErr w:type="spellStart"/>
      <w:r w:rsidRPr="003F6FF6">
        <w:rPr>
          <w:rFonts w:ascii="Geomanist Light" w:hAnsi="Geomanist Light" w:cs="Arial"/>
          <w:color w:val="000000" w:themeColor="text1"/>
          <w:sz w:val="18"/>
          <w:szCs w:val="18"/>
          <w:lang w:val="es-ES"/>
        </w:rPr>
        <w:t>Exp</w:t>
      </w:r>
      <w:proofErr w:type="spellEnd"/>
      <w:r w:rsidRPr="003F6FF6">
        <w:rPr>
          <w:rFonts w:ascii="Geomanist Light" w:hAnsi="Geomanist Light" w:cs="Arial"/>
          <w:color w:val="000000" w:themeColor="text1"/>
          <w:sz w:val="18"/>
          <w:szCs w:val="18"/>
          <w:lang w:val="es-ES"/>
        </w:rPr>
        <w:t>. 13436, C.P. Ricardo Hoyos Duque</w:t>
      </w:r>
    </w:p>
  </w:footnote>
  <w:footnote w:id="6">
    <w:p w14:paraId="7AEC6899" w14:textId="77777777" w:rsidR="00CE0935" w:rsidRPr="003F6FF6" w:rsidRDefault="00CE0935" w:rsidP="003F6FF6">
      <w:pPr>
        <w:pStyle w:val="Textonotapie"/>
        <w:ind w:firstLine="709"/>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w:t>
      </w:r>
      <w:r w:rsidRPr="003F6FF6">
        <w:rPr>
          <w:rFonts w:ascii="Geomanist Light" w:hAnsi="Geomanist Light" w:cs="Arial"/>
          <w:sz w:val="18"/>
          <w:szCs w:val="18"/>
        </w:rPr>
        <w:t xml:space="preserve"> contrato con la agilidad que requiere la administración para concluir la ejecución del objeto contratado, en aras de dar cumplimiento al mandato de una continua y eficiente prestación del servicio público a su cargo</w:t>
      </w:r>
      <w:r w:rsidRPr="003F6FF6">
        <w:rPr>
          <w:rFonts w:ascii="Geomanist Light" w:eastAsia="Calibri" w:hAnsi="Geomanist Light" w:cs="Arial"/>
          <w:color w:val="000000" w:themeColor="text1"/>
          <w:sz w:val="18"/>
          <w:szCs w:val="18"/>
          <w:lang w:val="es-ES"/>
        </w:rPr>
        <w:t>» (</w:t>
      </w:r>
      <w:r w:rsidRPr="003F6FF6">
        <w:rPr>
          <w:rFonts w:ascii="Geomanist Light" w:hAnsi="Geomanist Light" w:cs="Arial"/>
          <w:sz w:val="18"/>
          <w:szCs w:val="18"/>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3F6FF6">
        <w:rPr>
          <w:rFonts w:ascii="Geomanist Light" w:eastAsia="Calibri" w:hAnsi="Geomanist Light" w:cs="Arial"/>
          <w:color w:val="000000" w:themeColor="text1"/>
          <w:sz w:val="18"/>
          <w:szCs w:val="18"/>
          <w:lang w:val="es-ES"/>
        </w:rPr>
        <w:t>»</w:t>
      </w:r>
      <w:r w:rsidRPr="003F6FF6">
        <w:rPr>
          <w:rFonts w:ascii="Geomanist Light" w:hAnsi="Geomanist Light" w:cs="Arial"/>
          <w:sz w:val="18"/>
          <w:szCs w:val="18"/>
        </w:rPr>
        <w:t xml:space="preserve"> (MATALLANA CAMACHO, Ernesto. Manual de Contratación de la Administración Pública. Reforma de la Ley 80 de 1993. Bogotá: Universidad Externado de Colombia, 4 ed., 2015, p. 921 y ss).</w:t>
      </w:r>
    </w:p>
  </w:footnote>
  <w:footnote w:id="7">
    <w:p w14:paraId="70DCF0FD" w14:textId="5202A3B2" w:rsidR="00CE0935" w:rsidRPr="003F6FF6" w:rsidRDefault="00CE0935" w:rsidP="003F6FF6">
      <w:pPr>
        <w:spacing w:after="0" w:line="240" w:lineRule="auto"/>
        <w:ind w:firstLine="709"/>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w:t>
      </w:r>
      <w:r w:rsidR="00CA6CFA" w:rsidRPr="003F6FF6">
        <w:rPr>
          <w:rFonts w:ascii="Geomanist Light" w:hAnsi="Geomanist Light" w:cs="Arial"/>
          <w:sz w:val="18"/>
          <w:szCs w:val="18"/>
        </w:rPr>
        <w:t>CONSEJO DE ESTADO</w:t>
      </w:r>
      <w:r w:rsidRPr="003F6FF6">
        <w:rPr>
          <w:rFonts w:ascii="Geomanist Light" w:hAnsi="Geomanist Light" w:cs="Arial"/>
          <w:sz w:val="18"/>
          <w:szCs w:val="18"/>
        </w:rPr>
        <w:t>. Sala Plena de lo Contencioso Administrativo. Sentencia del 8 de agosto de 2001. Exp. AC-10966 - AC-11274. Consejero Ponente: Reinaldo Chavarro Buriticá.</w:t>
      </w:r>
    </w:p>
  </w:footnote>
  <w:footnote w:id="8">
    <w:p w14:paraId="671607E7" w14:textId="77777777" w:rsidR="00CE0935" w:rsidRPr="003F6FF6" w:rsidRDefault="00CE0935" w:rsidP="003F6FF6">
      <w:pPr>
        <w:pStyle w:val="Sinespaciado"/>
        <w:ind w:firstLine="708"/>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ARTÍCULO 2.2.1.2.3.1.7. Garantía de cumplimiento. La garantía de cumplimiento del contrato debe cubrir:</w:t>
      </w:r>
    </w:p>
    <w:p w14:paraId="533A1BA2"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7742F336"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5E7944E5"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3. Cumplimiento del contrato. Este amparo cubre a la Entidad Estatal de los perjuicios derivados de:</w:t>
      </w:r>
    </w:p>
    <w:p w14:paraId="6D54DCC8"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3.1. El incumplimiento total o parcial del contrato, cuando el incumplimiento es imputable al contratista;</w:t>
      </w:r>
    </w:p>
    <w:p w14:paraId="6BA6CB75"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3.2. El cumplimiento tardío o defectuoso del contrato, cuando el incumplimiento es imputable al contratista;</w:t>
      </w:r>
    </w:p>
    <w:p w14:paraId="78D8296F"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3.3. Los daños imputables al contratista por entregas parciales de la obra, cuando el contrato no prevé entregas parciales; y</w:t>
      </w:r>
    </w:p>
    <w:p w14:paraId="17BA70C0"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3.4. El pago del valor de las multas y de la cláusula penal pecuniaria.</w:t>
      </w:r>
    </w:p>
    <w:p w14:paraId="66843F1A"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7A75C1FA"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La Entidad Estatal no debe exigir una garantía para cubrir este Riesgo en los contratos que se ejecuten fuera del territorio nacional con personal contratado bajo un régimen jurídico distinto al colombiano.</w:t>
      </w:r>
    </w:p>
    <w:p w14:paraId="129F857D"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5. Estabilidad y calidad de la obra. Este amparo cubre a la Entidad Estatal de los perjuicios ocasionados por cualquier tipo de daño o deterioro, imputable al contratista, sufrido por la obra entregada a satisfacción.</w:t>
      </w:r>
    </w:p>
    <w:p w14:paraId="0CD0D505"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6. Calidad del servicio. Este amparo cubre a la Entidad Estatal por los perjuicios derivados de la deficiente calidad del servicio prestado.</w:t>
      </w:r>
    </w:p>
    <w:p w14:paraId="4288D4AB" w14:textId="77777777" w:rsidR="00CE0935" w:rsidRPr="003F6FF6" w:rsidRDefault="00CE0935" w:rsidP="003F6FF6">
      <w:pPr>
        <w:pStyle w:val="Sinespaciado"/>
        <w:ind w:firstLine="708"/>
        <w:jc w:val="both"/>
        <w:rPr>
          <w:rFonts w:ascii="Geomanist Light" w:hAnsi="Geomanist Light" w:cs="Arial"/>
          <w:sz w:val="18"/>
          <w:szCs w:val="18"/>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7. Calidad y correcto funcionamiento de los bienes. Este amparo debe cubrir la calidad y el correcto funcionamiento de los bienes que recibe la Entidad Estatal en cumplimiento de un contrato.</w:t>
      </w:r>
    </w:p>
    <w:p w14:paraId="16537246" w14:textId="77777777" w:rsidR="00CE0935" w:rsidRPr="003F6FF6" w:rsidRDefault="00CE0935" w:rsidP="003F6FF6">
      <w:pPr>
        <w:pStyle w:val="Sinespaciado"/>
        <w:ind w:firstLine="708"/>
        <w:jc w:val="both"/>
        <w:rPr>
          <w:rFonts w:ascii="Geomanist Light" w:hAnsi="Geomanist Light" w:cs="Arial"/>
          <w:sz w:val="18"/>
          <w:szCs w:val="18"/>
          <w:lang w:val="es-CO"/>
        </w:rPr>
      </w:pPr>
      <w:r w:rsidRPr="003F6FF6">
        <w:rPr>
          <w:rFonts w:ascii="Geomanist Light" w:eastAsia="Calibri" w:hAnsi="Geomanist Light" w:cs="Arial"/>
          <w:sz w:val="18"/>
          <w:szCs w:val="18"/>
          <w:lang w:val="es-ES"/>
        </w:rPr>
        <w:t>«</w:t>
      </w:r>
      <w:r w:rsidRPr="003F6FF6">
        <w:rPr>
          <w:rFonts w:ascii="Geomanist Light" w:hAnsi="Geomanist Light" w:cs="Arial"/>
          <w:sz w:val="18"/>
          <w:szCs w:val="18"/>
        </w:rPr>
        <w:t>8. Los demás incumplimientos de obligaciones que la Entidad Estatal considere deben ser amparados de manera proporcional y acorde a la naturaleza del contrato.</w:t>
      </w:r>
    </w:p>
  </w:footnote>
  <w:footnote w:id="9">
    <w:p w14:paraId="1A53AC37" w14:textId="77777777" w:rsidR="00CE0935" w:rsidRPr="003F6FF6" w:rsidRDefault="00CE0935" w:rsidP="003F6FF6">
      <w:pPr>
        <w:pStyle w:val="NormalWeb"/>
        <w:shd w:val="clear" w:color="auto" w:fill="FFFFFF"/>
        <w:spacing w:after="0"/>
        <w:ind w:firstLine="709"/>
        <w:jc w:val="both"/>
        <w:rPr>
          <w:rFonts w:ascii="Geomanist Light" w:hAnsi="Geomanist Light" w:cs="Arial"/>
          <w:sz w:val="18"/>
          <w:szCs w:val="18"/>
          <w:lang w:eastAsia="es-CO"/>
        </w:rPr>
      </w:pPr>
      <w:r w:rsidRPr="003F6FF6">
        <w:rPr>
          <w:rStyle w:val="Refdenotaalpie"/>
          <w:rFonts w:ascii="Geomanist Light" w:hAnsi="Geomanist Light" w:cs="Arial"/>
          <w:sz w:val="18"/>
          <w:szCs w:val="18"/>
        </w:rPr>
        <w:footnoteRef/>
      </w:r>
      <w:r w:rsidRPr="003F6FF6">
        <w:rPr>
          <w:rFonts w:ascii="Geomanist Light" w:eastAsia="Calibri" w:hAnsi="Geomanist Light" w:cs="Arial"/>
          <w:sz w:val="18"/>
          <w:szCs w:val="18"/>
          <w:lang w:val="es-ES"/>
        </w:rPr>
        <w:t>«</w:t>
      </w:r>
      <w:r w:rsidRPr="003F6FF6">
        <w:rPr>
          <w:rFonts w:ascii="Geomanist Light" w:hAnsi="Geomanist Light" w:cs="Arial"/>
          <w:sz w:val="18"/>
          <w:szCs w:val="18"/>
          <w:lang w:eastAsia="es-CO"/>
        </w:rPr>
        <w:t>Artículo 2.2.1.1.2.4.1.</w:t>
      </w:r>
      <w:r w:rsidRPr="003F6FF6">
        <w:rPr>
          <w:rFonts w:ascii="Geomanist Light" w:hAnsi="Geomanist Light" w:cs="Arial"/>
          <w:i/>
          <w:iCs/>
          <w:sz w:val="18"/>
          <w:szCs w:val="18"/>
          <w:lang w:eastAsia="es-CO"/>
        </w:rPr>
        <w:t> </w:t>
      </w:r>
      <w:r w:rsidRPr="003F6FF6">
        <w:rPr>
          <w:rFonts w:ascii="Geomanist Light" w:hAnsi="Geomanist Light" w:cs="Arial"/>
          <w:sz w:val="18"/>
          <w:szCs w:val="18"/>
          <w:lang w:eastAsia="es-CO"/>
        </w:rPr>
        <w:t>Patrimonio autónomo para el manejo de anticipos.</w:t>
      </w:r>
      <w:r w:rsidRPr="003F6FF6">
        <w:rPr>
          <w:rFonts w:ascii="Geomanist Light" w:hAnsi="Geomanist Light" w:cs="Arial"/>
          <w:i/>
          <w:iCs/>
          <w:sz w:val="18"/>
          <w:szCs w:val="18"/>
          <w:lang w:eastAsia="es-CO"/>
        </w:rPr>
        <w:t> </w:t>
      </w:r>
      <w:r w:rsidRPr="003F6FF6">
        <w:rPr>
          <w:rFonts w:ascii="Geomanist Light" w:hAnsi="Geomanist Light" w:cs="Arial"/>
          <w:sz w:val="18"/>
          <w:szCs w:val="18"/>
          <w:lang w:eastAsia="es-CO"/>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17028A15" w14:textId="77777777" w:rsidR="00CE0935" w:rsidRPr="003F6FF6" w:rsidRDefault="00CE0935" w:rsidP="003F6FF6">
      <w:pPr>
        <w:pStyle w:val="NormalWeb"/>
        <w:shd w:val="clear" w:color="auto" w:fill="FFFFFF"/>
        <w:spacing w:after="0"/>
        <w:ind w:firstLine="709"/>
        <w:jc w:val="both"/>
        <w:rPr>
          <w:rFonts w:ascii="Geomanist Light" w:hAnsi="Geomanist Light" w:cs="Arial"/>
          <w:sz w:val="18"/>
          <w:szCs w:val="18"/>
          <w:lang w:eastAsia="es-CO"/>
        </w:rPr>
      </w:pPr>
      <w:r w:rsidRPr="003F6FF6">
        <w:rPr>
          <w:rFonts w:ascii="Geomanist Light" w:eastAsia="Calibri" w:hAnsi="Geomanist Light" w:cs="Arial"/>
          <w:sz w:val="18"/>
          <w:szCs w:val="18"/>
          <w:lang w:val="es-ES"/>
        </w:rPr>
        <w:t>«</w:t>
      </w:r>
      <w:r w:rsidRPr="003F6FF6">
        <w:rPr>
          <w:rFonts w:ascii="Geomanist Light" w:hAnsi="Geomanist Light" w:cs="Arial"/>
          <w:sz w:val="18"/>
          <w:szCs w:val="18"/>
          <w:lang w:eastAsia="es-CO"/>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577801C6" w14:textId="46DC1894" w:rsidR="00CE0935" w:rsidRPr="003F6FF6" w:rsidRDefault="00446253" w:rsidP="003F6FF6">
      <w:pPr>
        <w:pStyle w:val="NormalWeb"/>
        <w:shd w:val="clear" w:color="auto" w:fill="FFFFFF"/>
        <w:spacing w:after="0"/>
        <w:ind w:firstLine="709"/>
        <w:jc w:val="both"/>
        <w:rPr>
          <w:rFonts w:ascii="Geomanist Light" w:hAnsi="Geomanist Light" w:cs="Arial"/>
          <w:sz w:val="18"/>
          <w:szCs w:val="18"/>
          <w:lang w:eastAsia="es-CO"/>
        </w:rPr>
      </w:pPr>
      <w:r w:rsidRPr="003F6FF6">
        <w:rPr>
          <w:rFonts w:ascii="Geomanist Light" w:eastAsia="Calibri" w:hAnsi="Geomanist Light" w:cs="Arial"/>
          <w:sz w:val="18"/>
          <w:szCs w:val="18"/>
          <w:lang w:val="es-ES"/>
        </w:rPr>
        <w:t>»</w:t>
      </w:r>
      <w:r w:rsidR="00CE0935" w:rsidRPr="003F6FF6">
        <w:rPr>
          <w:rFonts w:ascii="Geomanist Light" w:hAnsi="Geomanist Light" w:cs="Arial"/>
          <w:sz w:val="18"/>
          <w:szCs w:val="18"/>
          <w:lang w:eastAsia="es-CO"/>
        </w:rPr>
        <w:t>En los pliegos de condiciones, la Entidad Estatal debe establecer los términos y condiciones de la administración del anticipo a través del patrimonio autónomo.</w:t>
      </w:r>
    </w:p>
    <w:p w14:paraId="4E0B7457" w14:textId="74003414" w:rsidR="00CE0935" w:rsidRPr="003F6FF6" w:rsidRDefault="00446253" w:rsidP="003F6FF6">
      <w:pPr>
        <w:pStyle w:val="NormalWeb"/>
        <w:shd w:val="clear" w:color="auto" w:fill="FFFFFF"/>
        <w:spacing w:after="0"/>
        <w:ind w:firstLine="709"/>
        <w:jc w:val="both"/>
        <w:rPr>
          <w:rFonts w:ascii="Geomanist Light" w:eastAsia="Calibri" w:hAnsi="Geomanist Light" w:cs="Arial"/>
          <w:sz w:val="18"/>
          <w:szCs w:val="18"/>
          <w:lang w:val="es-ES" w:eastAsia="es-ES_tradnl"/>
        </w:rPr>
      </w:pPr>
      <w:r w:rsidRPr="003F6FF6">
        <w:rPr>
          <w:rFonts w:ascii="Geomanist Light" w:eastAsia="Calibri" w:hAnsi="Geomanist Light" w:cs="Arial"/>
          <w:sz w:val="18"/>
          <w:szCs w:val="18"/>
          <w:lang w:val="es-ES"/>
        </w:rPr>
        <w:t>»</w:t>
      </w:r>
      <w:r w:rsidR="00CE0935" w:rsidRPr="003F6FF6">
        <w:rPr>
          <w:rFonts w:ascii="Geomanist Light" w:hAnsi="Geomanist Light" w:cs="Arial"/>
          <w:sz w:val="18"/>
          <w:szCs w:val="18"/>
          <w:lang w:eastAsia="es-CO"/>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00CE0935" w:rsidRPr="003F6FF6">
        <w:rPr>
          <w:rFonts w:ascii="Geomanist Light" w:eastAsia="Calibri" w:hAnsi="Geomanist Light" w:cs="Arial"/>
          <w:sz w:val="18"/>
          <w:szCs w:val="18"/>
          <w:lang w:val="es-ES"/>
        </w:rPr>
        <w:t>».</w:t>
      </w:r>
    </w:p>
  </w:footnote>
  <w:footnote w:id="10">
    <w:p w14:paraId="399DA557" w14:textId="3226B7FA" w:rsidR="00E37E34" w:rsidRPr="003F6FF6" w:rsidRDefault="00CE0935" w:rsidP="003F6FF6">
      <w:pPr>
        <w:pStyle w:val="Textonotapie"/>
        <w:ind w:firstLine="709"/>
        <w:jc w:val="both"/>
        <w:rPr>
          <w:rFonts w:ascii="Geomanist Light" w:hAnsi="Geomanist Light" w:cs="Arial"/>
          <w:sz w:val="18"/>
          <w:szCs w:val="18"/>
          <w:lang w:val="es-ES"/>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w:t>
      </w:r>
      <w:r w:rsidRPr="003F6FF6">
        <w:rPr>
          <w:rFonts w:ascii="Geomanist Light" w:hAnsi="Geomanist Light" w:cs="Arial"/>
          <w:sz w:val="18"/>
          <w:szCs w:val="18"/>
          <w:lang w:val="es-ES"/>
        </w:rPr>
        <w:t xml:space="preserve">Sobre el particular, se puede consultar la exposición de motivos de la Ley 1474 de 2011, Gaceta 607 del 2010, disponible en:  </w:t>
      </w:r>
      <w:hyperlink r:id="rId1" w:history="1">
        <w:r w:rsidRPr="003F6FF6">
          <w:rPr>
            <w:rStyle w:val="Hipervnculo"/>
            <w:rFonts w:ascii="Geomanist Light" w:hAnsi="Geomanist Light" w:cs="Arial"/>
            <w:sz w:val="18"/>
            <w:szCs w:val="18"/>
            <w:lang w:val="es-ES"/>
          </w:rPr>
          <w:t>http://svrpubindc.imprenta.gov.co/senado/index.xhtml;jsessionid=b3ba7213a248bacd37376ffcedca</w:t>
        </w:r>
      </w:hyperlink>
      <w:r w:rsidRPr="003F6FF6">
        <w:rPr>
          <w:rFonts w:ascii="Geomanist Light" w:hAnsi="Geomanist Light" w:cs="Arial"/>
          <w:sz w:val="18"/>
          <w:szCs w:val="18"/>
          <w:lang w:val="es-ES"/>
        </w:rPr>
        <w:t xml:space="preserve"> </w:t>
      </w:r>
    </w:p>
  </w:footnote>
  <w:footnote w:id="11">
    <w:p w14:paraId="161B0C96" w14:textId="77777777" w:rsidR="00CE0935" w:rsidRPr="003F6FF6" w:rsidRDefault="00CE0935" w:rsidP="003F6FF6">
      <w:pPr>
        <w:pStyle w:val="Sinespaciado"/>
        <w:ind w:firstLine="708"/>
        <w:jc w:val="both"/>
        <w:rPr>
          <w:rFonts w:ascii="Geomanist Light" w:hAnsi="Geomanist Light" w:cs="Arial"/>
          <w:sz w:val="18"/>
          <w:szCs w:val="18"/>
          <w:lang w:val="es-ES"/>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w:t>
      </w:r>
      <w:r w:rsidRPr="003F6FF6">
        <w:rPr>
          <w:rFonts w:ascii="Geomanist Light" w:hAnsi="Geomanist Light" w:cs="Arial"/>
          <w:sz w:val="18"/>
          <w:szCs w:val="18"/>
          <w:lang w:val="es-ES"/>
        </w:rPr>
        <w:t xml:space="preserve">La Guía para el manejo de anticipos mediante contrato de fiducia irrevocable puede ser consultada en: https://colombiacompra.gov.co/sites/cce_public/files/cce_documents/cce_guia_manejo_anticipos.pdf </w:t>
      </w:r>
    </w:p>
  </w:footnote>
  <w:footnote w:id="12">
    <w:p w14:paraId="3D1CEAF9" w14:textId="7A3E1D0B" w:rsidR="00A61733" w:rsidRPr="003F6FF6" w:rsidRDefault="00A61733" w:rsidP="003F6FF6">
      <w:pPr>
        <w:pStyle w:val="Textonotapie"/>
        <w:ind w:firstLine="300"/>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CÓDIGO DE COMERCIO. «Artículo 1243. Responsabilidad del fiduciario. El fiduciario responderá hasta de la culpa leve en el cumplimiento de su gestión». </w:t>
      </w:r>
    </w:p>
  </w:footnote>
  <w:footnote w:id="13">
    <w:p w14:paraId="79814FE0" w14:textId="1BBA6EB2" w:rsidR="0092179E" w:rsidRPr="003F6FF6" w:rsidRDefault="0099458A" w:rsidP="003F6FF6">
      <w:pPr>
        <w:pStyle w:val="Textonotapie"/>
        <w:ind w:firstLine="708"/>
        <w:jc w:val="both"/>
        <w:rPr>
          <w:rFonts w:ascii="Geomanist Light" w:hAnsi="Geomanist Light" w:cs="Arial"/>
          <w:sz w:val="18"/>
          <w:szCs w:val="18"/>
        </w:rPr>
      </w:pPr>
      <w:r w:rsidRPr="003F6FF6">
        <w:rPr>
          <w:rStyle w:val="Refdenotaalpie"/>
          <w:rFonts w:ascii="Geomanist Light" w:hAnsi="Geomanist Light" w:cs="Arial"/>
          <w:sz w:val="18"/>
          <w:szCs w:val="18"/>
        </w:rPr>
        <w:footnoteRef/>
      </w:r>
      <w:r w:rsidRPr="003F6FF6">
        <w:rPr>
          <w:rFonts w:ascii="Geomanist Light" w:hAnsi="Geomanist Light" w:cs="Arial"/>
          <w:sz w:val="18"/>
          <w:szCs w:val="18"/>
        </w:rPr>
        <w:t xml:space="preserve"> ARRUBLA PAU</w:t>
      </w:r>
      <w:r w:rsidR="00E0378D" w:rsidRPr="003F6FF6">
        <w:rPr>
          <w:rFonts w:ascii="Geomanist Light" w:hAnsi="Geomanist Light" w:cs="Arial"/>
          <w:sz w:val="18"/>
          <w:szCs w:val="18"/>
        </w:rPr>
        <w:t>CAR, Jaime Alberto. Contratos Mercantiles</w:t>
      </w:r>
      <w:r w:rsidR="00136267" w:rsidRPr="003F6FF6">
        <w:rPr>
          <w:rFonts w:ascii="Geomanist Light" w:hAnsi="Geomanist Light" w:cs="Arial"/>
          <w:sz w:val="18"/>
          <w:szCs w:val="18"/>
        </w:rPr>
        <w:t xml:space="preserve">. Contratos contemporáneos. Tercera edición. </w:t>
      </w:r>
      <w:r w:rsidR="00953706" w:rsidRPr="003F6FF6">
        <w:rPr>
          <w:rFonts w:ascii="Geomanist Light" w:hAnsi="Geomanist Light" w:cs="Arial"/>
          <w:sz w:val="18"/>
          <w:szCs w:val="18"/>
        </w:rPr>
        <w:t xml:space="preserve">Legis editores. 2013. Pág. </w:t>
      </w:r>
      <w:r w:rsidR="000B73EC" w:rsidRPr="003F6FF6">
        <w:rPr>
          <w:rFonts w:ascii="Geomanist Light" w:hAnsi="Geomanist Light" w:cs="Arial"/>
          <w:sz w:val="18"/>
          <w:szCs w:val="18"/>
        </w:rPr>
        <w:t>138.</w:t>
      </w:r>
    </w:p>
  </w:footnote>
  <w:footnote w:id="14">
    <w:p w14:paraId="5D63A97C" w14:textId="3A5D015B" w:rsidR="00B975D7" w:rsidRPr="003F6FF6" w:rsidRDefault="00982236" w:rsidP="003F6FF6">
      <w:pPr>
        <w:pStyle w:val="Textoindependiente"/>
        <w:ind w:firstLine="709"/>
        <w:jc w:val="both"/>
        <w:rPr>
          <w:rFonts w:ascii="Geomanist Light" w:hAnsi="Geomanist Light"/>
          <w:sz w:val="18"/>
          <w:szCs w:val="18"/>
        </w:rPr>
      </w:pPr>
      <w:r w:rsidRPr="003F6FF6">
        <w:rPr>
          <w:rStyle w:val="Refdenotaalpie"/>
          <w:rFonts w:ascii="Geomanist Light" w:hAnsi="Geomanist Light"/>
          <w:sz w:val="18"/>
          <w:szCs w:val="18"/>
        </w:rPr>
        <w:footnoteRef/>
      </w:r>
      <w:r w:rsidRPr="003F6FF6">
        <w:rPr>
          <w:rFonts w:ascii="Geomanist Light" w:hAnsi="Geomanist Light"/>
          <w:sz w:val="18"/>
          <w:szCs w:val="18"/>
        </w:rPr>
        <w:t xml:space="preserve"> </w:t>
      </w:r>
      <w:r w:rsidR="00B975D7" w:rsidRPr="003F6FF6">
        <w:rPr>
          <w:rFonts w:ascii="Geomanist Light" w:hAnsi="Geomanist Light"/>
          <w:sz w:val="18"/>
          <w:szCs w:val="18"/>
        </w:rPr>
        <w:t>Al respecto la doctrina ha indicado lo siguiente: «[P]or disposición contractual, podrían pactar las partes que la fiduciaria se hiciera responsable en ciertos casos por los cuales ordinariamente no lo sería. Es, por tanto, permisible que el trustee convenga con el settlor o con los beneficiarios en indemnizar cualquier pérdida sufrida por el patrimonio autónomo, aunque no se derive de su incumplimiento.</w:t>
      </w:r>
    </w:p>
    <w:p w14:paraId="5369DF33" w14:textId="77777777" w:rsidR="00B975D7" w:rsidRPr="003F6FF6" w:rsidRDefault="00B975D7" w:rsidP="003F6FF6">
      <w:pPr>
        <w:pStyle w:val="Textoindependiente"/>
        <w:ind w:firstLine="709"/>
        <w:jc w:val="both"/>
        <w:rPr>
          <w:rFonts w:ascii="Geomanist Light" w:hAnsi="Geomanist Light"/>
          <w:sz w:val="18"/>
          <w:szCs w:val="18"/>
        </w:rPr>
      </w:pPr>
      <w:r w:rsidRPr="003F6FF6">
        <w:rPr>
          <w:rFonts w:ascii="Geomanist Light" w:hAnsi="Geomanist Light"/>
          <w:sz w:val="18"/>
          <w:szCs w:val="18"/>
        </w:rPr>
        <w:t>»La fiduciaria es responsable por incumplimiento, si en forma intencional o imprudente quebranta alguna de sus obligaciones, ya sea por acción o por omisión. También es culpable si la calidad de su actuación no alcanza el nivel mínimo exigido para ese cargo.</w:t>
      </w:r>
    </w:p>
    <w:p w14:paraId="1FA4899C" w14:textId="77777777" w:rsidR="00B975D7" w:rsidRPr="003F6FF6" w:rsidRDefault="00B975D7" w:rsidP="003F6FF6">
      <w:pPr>
        <w:pStyle w:val="Textoindependiente"/>
        <w:ind w:firstLine="709"/>
        <w:jc w:val="both"/>
        <w:rPr>
          <w:rFonts w:ascii="Geomanist Light" w:hAnsi="Geomanist Light"/>
          <w:sz w:val="18"/>
          <w:szCs w:val="18"/>
        </w:rPr>
      </w:pPr>
      <w:r w:rsidRPr="003F6FF6">
        <w:rPr>
          <w:rFonts w:ascii="Geomanist Light" w:hAnsi="Geomanist Light"/>
          <w:sz w:val="18"/>
          <w:szCs w:val="18"/>
        </w:rPr>
        <w:t>»La fiduciaria también se hace responsable, por el hecho de que alguno de sus funcionarios o empleados, cuando estos actuando dentro de los límites de su competencia, ocasiona daños a los bienes del fideicomiso</w:t>
      </w:r>
    </w:p>
    <w:p w14:paraId="3F3EB3AF" w14:textId="27B7B68E" w:rsidR="000118C2" w:rsidRPr="00646AB6" w:rsidRDefault="00B975D7" w:rsidP="003F6FF6">
      <w:pPr>
        <w:pStyle w:val="Textonotapie"/>
        <w:ind w:firstLine="708"/>
        <w:jc w:val="both"/>
        <w:rPr>
          <w:rFonts w:ascii="Arial" w:hAnsi="Arial" w:cs="Arial"/>
          <w:sz w:val="18"/>
          <w:szCs w:val="18"/>
        </w:rPr>
      </w:pPr>
      <w:r w:rsidRPr="003F6FF6">
        <w:rPr>
          <w:rFonts w:ascii="Geomanist Light" w:hAnsi="Geomanist Light" w:cs="Arial"/>
          <w:sz w:val="18"/>
          <w:szCs w:val="18"/>
        </w:rPr>
        <w:t>»En conclusión de todo lo anterior, podemos señalar que el tema se vincula estrechamente a la naturaleza de las obligaciones de la entidad fiduciaria durante todo el recorrido del contrato, atendiendo además a la naturaleza de los bienes que son objeto del encargo de fiducia»</w:t>
      </w:r>
      <w:r w:rsidR="000118C2" w:rsidRPr="003F6FF6">
        <w:rPr>
          <w:rFonts w:ascii="Geomanist Light" w:hAnsi="Geomanist Light" w:cs="Arial"/>
          <w:sz w:val="18"/>
          <w:szCs w:val="18"/>
        </w:rPr>
        <w:t xml:space="preserve"> </w:t>
      </w:r>
      <w:r w:rsidRPr="003F6FF6">
        <w:rPr>
          <w:rFonts w:ascii="Geomanist Light" w:hAnsi="Geomanist Light" w:cs="Arial"/>
          <w:sz w:val="18"/>
          <w:szCs w:val="18"/>
        </w:rPr>
        <w:t>ARRUBLA PAUCAR, Jaime Alberto. Contratos Mercantiles. Contratos contemporáneos. Tercera edición. Legis editores. 2013.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E309" w14:textId="3C4D0420" w:rsidR="000E0524" w:rsidRDefault="00000000" w:rsidP="00484B22">
    <w:pPr>
      <w:pStyle w:val="Encabezado"/>
    </w:pPr>
  </w:p>
  <w:p w14:paraId="617DF399" w14:textId="77777777" w:rsidR="00484B22" w:rsidRPr="007566FE" w:rsidRDefault="00484B22" w:rsidP="00484B22">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3D74AE30" wp14:editId="404B3810">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37F72D98" w14:textId="77777777" w:rsidR="00484B22" w:rsidRPr="007566FE" w:rsidRDefault="00484B22" w:rsidP="00484B22">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209CE11C" w14:textId="77777777" w:rsidR="00484B22" w:rsidRDefault="00484B22" w:rsidP="00484B22">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20B28260" wp14:editId="7B40581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71A4145E" w14:textId="77777777" w:rsidR="00484B22" w:rsidRPr="00484B22" w:rsidRDefault="00484B22" w:rsidP="00484B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42426E"/>
    <w:multiLevelType w:val="hybridMultilevel"/>
    <w:tmpl w:val="5CCC997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0B3EDD"/>
    <w:multiLevelType w:val="hybridMultilevel"/>
    <w:tmpl w:val="C686AC1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lang w:val="es-ES" w:eastAsia="en-US" w:bidi="ar-SA"/>
      </w:rPr>
    </w:lvl>
    <w:lvl w:ilvl="4">
      <w:numFmt w:val="bullet"/>
      <w:lvlText w:val="•"/>
      <w:lvlJc w:val="left"/>
      <w:pPr>
        <w:ind w:left="3780" w:hanging="265"/>
      </w:pPr>
      <w:rPr>
        <w:lang w:val="es-ES" w:eastAsia="en-US" w:bidi="ar-SA"/>
      </w:rPr>
    </w:lvl>
    <w:lvl w:ilvl="5">
      <w:numFmt w:val="bullet"/>
      <w:lvlText w:val="•"/>
      <w:lvlJc w:val="left"/>
      <w:pPr>
        <w:ind w:left="4706" w:hanging="265"/>
      </w:pPr>
      <w:rPr>
        <w:lang w:val="es-ES" w:eastAsia="en-US" w:bidi="ar-SA"/>
      </w:rPr>
    </w:lvl>
    <w:lvl w:ilvl="6">
      <w:numFmt w:val="bullet"/>
      <w:lvlText w:val="•"/>
      <w:lvlJc w:val="left"/>
      <w:pPr>
        <w:ind w:left="5633" w:hanging="265"/>
      </w:pPr>
      <w:rPr>
        <w:lang w:val="es-ES" w:eastAsia="en-US" w:bidi="ar-SA"/>
      </w:rPr>
    </w:lvl>
    <w:lvl w:ilvl="7">
      <w:numFmt w:val="bullet"/>
      <w:lvlText w:val="•"/>
      <w:lvlJc w:val="left"/>
      <w:pPr>
        <w:ind w:left="6560" w:hanging="265"/>
      </w:pPr>
      <w:rPr>
        <w:lang w:val="es-ES" w:eastAsia="en-US" w:bidi="ar-SA"/>
      </w:rPr>
    </w:lvl>
    <w:lvl w:ilvl="8">
      <w:numFmt w:val="bullet"/>
      <w:lvlText w:val="•"/>
      <w:lvlJc w:val="left"/>
      <w:pPr>
        <w:ind w:left="7486" w:hanging="265"/>
      </w:pPr>
      <w:rPr>
        <w:lang w:val="es-ES" w:eastAsia="en-US" w:bidi="ar-SA"/>
      </w:rPr>
    </w:lvl>
  </w:abstractNum>
  <w:abstractNum w:abstractNumId="4"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7"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8"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690CE7"/>
    <w:multiLevelType w:val="multilevel"/>
    <w:tmpl w:val="A5A669A6"/>
    <w:lvl w:ilvl="0">
      <w:start w:val="1"/>
      <w:numFmt w:val="decimal"/>
      <w:lvlText w:val="%1."/>
      <w:lvlJc w:val="left"/>
      <w:pPr>
        <w:ind w:left="4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ascii="Arial" w:eastAsia="Arial" w:hAnsi="Arial" w:cs="Arial" w:hint="default"/>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num w:numId="1" w16cid:durableId="1331059396">
    <w:abstractNumId w:val="6"/>
  </w:num>
  <w:num w:numId="2" w16cid:durableId="1390026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738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163853">
    <w:abstractNumId w:val="4"/>
  </w:num>
  <w:num w:numId="5" w16cid:durableId="604311888">
    <w:abstractNumId w:val="5"/>
  </w:num>
  <w:num w:numId="6" w16cid:durableId="402677437">
    <w:abstractNumId w:val="8"/>
  </w:num>
  <w:num w:numId="7" w16cid:durableId="2016573431">
    <w:abstractNumId w:val="7"/>
  </w:num>
  <w:num w:numId="8" w16cid:durableId="1341464095">
    <w:abstractNumId w:val="9"/>
  </w:num>
  <w:num w:numId="9" w16cid:durableId="195293535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938515279">
    <w:abstractNumId w:val="2"/>
  </w:num>
  <w:num w:numId="11" w16cid:durableId="138236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06AE9"/>
    <w:rsid w:val="00010279"/>
    <w:rsid w:val="000118C2"/>
    <w:rsid w:val="00035B29"/>
    <w:rsid w:val="000360FA"/>
    <w:rsid w:val="000446AF"/>
    <w:rsid w:val="00044BEE"/>
    <w:rsid w:val="00045185"/>
    <w:rsid w:val="00056075"/>
    <w:rsid w:val="0006071F"/>
    <w:rsid w:val="00062600"/>
    <w:rsid w:val="00064152"/>
    <w:rsid w:val="00064CFC"/>
    <w:rsid w:val="0006578C"/>
    <w:rsid w:val="00075383"/>
    <w:rsid w:val="000768FC"/>
    <w:rsid w:val="00080181"/>
    <w:rsid w:val="000913DB"/>
    <w:rsid w:val="000948A6"/>
    <w:rsid w:val="000A1E6B"/>
    <w:rsid w:val="000A68B7"/>
    <w:rsid w:val="000B0492"/>
    <w:rsid w:val="000B175F"/>
    <w:rsid w:val="000B17A0"/>
    <w:rsid w:val="000B73EC"/>
    <w:rsid w:val="000C780B"/>
    <w:rsid w:val="000C7F7B"/>
    <w:rsid w:val="000D37CE"/>
    <w:rsid w:val="000D3B94"/>
    <w:rsid w:val="000E0118"/>
    <w:rsid w:val="000E694B"/>
    <w:rsid w:val="000F3464"/>
    <w:rsid w:val="000F494E"/>
    <w:rsid w:val="000F4974"/>
    <w:rsid w:val="001029B3"/>
    <w:rsid w:val="00105A22"/>
    <w:rsid w:val="00105C88"/>
    <w:rsid w:val="00106E68"/>
    <w:rsid w:val="00107E90"/>
    <w:rsid w:val="00110BEB"/>
    <w:rsid w:val="00112AE8"/>
    <w:rsid w:val="00113845"/>
    <w:rsid w:val="001138C2"/>
    <w:rsid w:val="001160D2"/>
    <w:rsid w:val="00122E55"/>
    <w:rsid w:val="00125568"/>
    <w:rsid w:val="0012669F"/>
    <w:rsid w:val="001274E9"/>
    <w:rsid w:val="00134E84"/>
    <w:rsid w:val="00135FBD"/>
    <w:rsid w:val="00136267"/>
    <w:rsid w:val="00136277"/>
    <w:rsid w:val="00136FC3"/>
    <w:rsid w:val="00137E23"/>
    <w:rsid w:val="00140435"/>
    <w:rsid w:val="00141896"/>
    <w:rsid w:val="00143096"/>
    <w:rsid w:val="00143E3B"/>
    <w:rsid w:val="00146ED0"/>
    <w:rsid w:val="00160946"/>
    <w:rsid w:val="00161488"/>
    <w:rsid w:val="00163D53"/>
    <w:rsid w:val="001654DD"/>
    <w:rsid w:val="001676FE"/>
    <w:rsid w:val="001678A8"/>
    <w:rsid w:val="00171909"/>
    <w:rsid w:val="00173833"/>
    <w:rsid w:val="001738E7"/>
    <w:rsid w:val="00180F7C"/>
    <w:rsid w:val="001843A9"/>
    <w:rsid w:val="0019689B"/>
    <w:rsid w:val="001A695E"/>
    <w:rsid w:val="001B3684"/>
    <w:rsid w:val="001B3693"/>
    <w:rsid w:val="001C5687"/>
    <w:rsid w:val="001D10EC"/>
    <w:rsid w:val="001D387D"/>
    <w:rsid w:val="001D3CAB"/>
    <w:rsid w:val="001E24B3"/>
    <w:rsid w:val="001E759C"/>
    <w:rsid w:val="001F057D"/>
    <w:rsid w:val="00200FC6"/>
    <w:rsid w:val="002213DA"/>
    <w:rsid w:val="002223F1"/>
    <w:rsid w:val="002249F9"/>
    <w:rsid w:val="00244370"/>
    <w:rsid w:val="00245150"/>
    <w:rsid w:val="002453C1"/>
    <w:rsid w:val="00247E70"/>
    <w:rsid w:val="002500ED"/>
    <w:rsid w:val="00251801"/>
    <w:rsid w:val="00252DAD"/>
    <w:rsid w:val="0025384E"/>
    <w:rsid w:val="00253C31"/>
    <w:rsid w:val="00255005"/>
    <w:rsid w:val="00265F9F"/>
    <w:rsid w:val="00270570"/>
    <w:rsid w:val="00270E5E"/>
    <w:rsid w:val="00273D51"/>
    <w:rsid w:val="002761EB"/>
    <w:rsid w:val="002775F4"/>
    <w:rsid w:val="00296BF5"/>
    <w:rsid w:val="0029739D"/>
    <w:rsid w:val="002A4E3C"/>
    <w:rsid w:val="002A5E9A"/>
    <w:rsid w:val="002B19FB"/>
    <w:rsid w:val="002B3894"/>
    <w:rsid w:val="002B3F58"/>
    <w:rsid w:val="002D4402"/>
    <w:rsid w:val="002D45F2"/>
    <w:rsid w:val="002D72D7"/>
    <w:rsid w:val="002E143C"/>
    <w:rsid w:val="002E2585"/>
    <w:rsid w:val="002E4537"/>
    <w:rsid w:val="002E7A7F"/>
    <w:rsid w:val="0030279D"/>
    <w:rsid w:val="00305F12"/>
    <w:rsid w:val="003120AF"/>
    <w:rsid w:val="00313E5A"/>
    <w:rsid w:val="003255AD"/>
    <w:rsid w:val="00327A12"/>
    <w:rsid w:val="003303C6"/>
    <w:rsid w:val="003312CF"/>
    <w:rsid w:val="00332A1E"/>
    <w:rsid w:val="00335DED"/>
    <w:rsid w:val="00337F40"/>
    <w:rsid w:val="00342268"/>
    <w:rsid w:val="00342A1C"/>
    <w:rsid w:val="00346106"/>
    <w:rsid w:val="00357324"/>
    <w:rsid w:val="003602F7"/>
    <w:rsid w:val="00361ADC"/>
    <w:rsid w:val="00363469"/>
    <w:rsid w:val="00370D3E"/>
    <w:rsid w:val="003753EA"/>
    <w:rsid w:val="0038155E"/>
    <w:rsid w:val="003816CD"/>
    <w:rsid w:val="00382C13"/>
    <w:rsid w:val="00383906"/>
    <w:rsid w:val="0038763D"/>
    <w:rsid w:val="00390530"/>
    <w:rsid w:val="003916E5"/>
    <w:rsid w:val="00392B77"/>
    <w:rsid w:val="0039522B"/>
    <w:rsid w:val="0039589F"/>
    <w:rsid w:val="00396744"/>
    <w:rsid w:val="003A1172"/>
    <w:rsid w:val="003A1C61"/>
    <w:rsid w:val="003A2324"/>
    <w:rsid w:val="003A7142"/>
    <w:rsid w:val="003A7A79"/>
    <w:rsid w:val="003B177A"/>
    <w:rsid w:val="003B4EFC"/>
    <w:rsid w:val="003C1D98"/>
    <w:rsid w:val="003C4AA9"/>
    <w:rsid w:val="003C51B4"/>
    <w:rsid w:val="003D2A28"/>
    <w:rsid w:val="003E6334"/>
    <w:rsid w:val="003E65D8"/>
    <w:rsid w:val="003F6FF6"/>
    <w:rsid w:val="00400976"/>
    <w:rsid w:val="004013AB"/>
    <w:rsid w:val="00402AE8"/>
    <w:rsid w:val="004052CC"/>
    <w:rsid w:val="004141A3"/>
    <w:rsid w:val="00415314"/>
    <w:rsid w:val="00423644"/>
    <w:rsid w:val="004258D0"/>
    <w:rsid w:val="004270ED"/>
    <w:rsid w:val="0043050F"/>
    <w:rsid w:val="00431DE3"/>
    <w:rsid w:val="00441BAE"/>
    <w:rsid w:val="00442437"/>
    <w:rsid w:val="004460BB"/>
    <w:rsid w:val="004460CB"/>
    <w:rsid w:val="00446253"/>
    <w:rsid w:val="00454153"/>
    <w:rsid w:val="004634E5"/>
    <w:rsid w:val="004653B4"/>
    <w:rsid w:val="00466A8F"/>
    <w:rsid w:val="0046733C"/>
    <w:rsid w:val="0048163B"/>
    <w:rsid w:val="0048317C"/>
    <w:rsid w:val="00484B22"/>
    <w:rsid w:val="00485BD5"/>
    <w:rsid w:val="004875A5"/>
    <w:rsid w:val="00491536"/>
    <w:rsid w:val="00493424"/>
    <w:rsid w:val="004A6A98"/>
    <w:rsid w:val="004C2612"/>
    <w:rsid w:val="004C5476"/>
    <w:rsid w:val="004C7B7A"/>
    <w:rsid w:val="004D4097"/>
    <w:rsid w:val="004E0E63"/>
    <w:rsid w:val="004E55EC"/>
    <w:rsid w:val="004E782E"/>
    <w:rsid w:val="004F1523"/>
    <w:rsid w:val="004F5DD8"/>
    <w:rsid w:val="00507813"/>
    <w:rsid w:val="00513144"/>
    <w:rsid w:val="00513D68"/>
    <w:rsid w:val="00514F32"/>
    <w:rsid w:val="005209DB"/>
    <w:rsid w:val="00521A09"/>
    <w:rsid w:val="0052277C"/>
    <w:rsid w:val="00525B40"/>
    <w:rsid w:val="00531FBC"/>
    <w:rsid w:val="00541F3F"/>
    <w:rsid w:val="005517D7"/>
    <w:rsid w:val="00552949"/>
    <w:rsid w:val="005553B1"/>
    <w:rsid w:val="00561916"/>
    <w:rsid w:val="00564B0A"/>
    <w:rsid w:val="00565D42"/>
    <w:rsid w:val="00570367"/>
    <w:rsid w:val="0057750E"/>
    <w:rsid w:val="00585CB4"/>
    <w:rsid w:val="00586358"/>
    <w:rsid w:val="00593217"/>
    <w:rsid w:val="005A3F16"/>
    <w:rsid w:val="005B067A"/>
    <w:rsid w:val="005B3920"/>
    <w:rsid w:val="005B55E5"/>
    <w:rsid w:val="005C5969"/>
    <w:rsid w:val="005C597A"/>
    <w:rsid w:val="005C5E92"/>
    <w:rsid w:val="005D052F"/>
    <w:rsid w:val="005D2A97"/>
    <w:rsid w:val="005D4C4F"/>
    <w:rsid w:val="005D6A81"/>
    <w:rsid w:val="005D725B"/>
    <w:rsid w:val="005E4B60"/>
    <w:rsid w:val="005E5EC6"/>
    <w:rsid w:val="005E6943"/>
    <w:rsid w:val="005E7B21"/>
    <w:rsid w:val="005F6209"/>
    <w:rsid w:val="005F73C3"/>
    <w:rsid w:val="005F79D5"/>
    <w:rsid w:val="00606617"/>
    <w:rsid w:val="00620A5D"/>
    <w:rsid w:val="00623ADD"/>
    <w:rsid w:val="006243B0"/>
    <w:rsid w:val="006300FE"/>
    <w:rsid w:val="00634B72"/>
    <w:rsid w:val="006408BD"/>
    <w:rsid w:val="00646AB6"/>
    <w:rsid w:val="0065038D"/>
    <w:rsid w:val="00661CDD"/>
    <w:rsid w:val="00662DF1"/>
    <w:rsid w:val="0066416F"/>
    <w:rsid w:val="00676652"/>
    <w:rsid w:val="00680F7A"/>
    <w:rsid w:val="00681ECF"/>
    <w:rsid w:val="00682558"/>
    <w:rsid w:val="00684C01"/>
    <w:rsid w:val="006872F3"/>
    <w:rsid w:val="00687D69"/>
    <w:rsid w:val="0069356D"/>
    <w:rsid w:val="006964D4"/>
    <w:rsid w:val="006A25E1"/>
    <w:rsid w:val="006B129B"/>
    <w:rsid w:val="006B3402"/>
    <w:rsid w:val="006B7919"/>
    <w:rsid w:val="006C12D3"/>
    <w:rsid w:val="006C452D"/>
    <w:rsid w:val="006D21AA"/>
    <w:rsid w:val="006D3523"/>
    <w:rsid w:val="006D3709"/>
    <w:rsid w:val="006D569D"/>
    <w:rsid w:val="006D5C94"/>
    <w:rsid w:val="006D7717"/>
    <w:rsid w:val="006E0665"/>
    <w:rsid w:val="006E3841"/>
    <w:rsid w:val="006F417B"/>
    <w:rsid w:val="00700298"/>
    <w:rsid w:val="00705FC8"/>
    <w:rsid w:val="007139A5"/>
    <w:rsid w:val="00715A2E"/>
    <w:rsid w:val="007220E4"/>
    <w:rsid w:val="007252E2"/>
    <w:rsid w:val="00733A0B"/>
    <w:rsid w:val="0073635D"/>
    <w:rsid w:val="00737395"/>
    <w:rsid w:val="00741F1E"/>
    <w:rsid w:val="00742C24"/>
    <w:rsid w:val="00753BE7"/>
    <w:rsid w:val="0075464F"/>
    <w:rsid w:val="00772E6E"/>
    <w:rsid w:val="00775CEE"/>
    <w:rsid w:val="007768CE"/>
    <w:rsid w:val="00776BBD"/>
    <w:rsid w:val="007774C6"/>
    <w:rsid w:val="00777F97"/>
    <w:rsid w:val="00781808"/>
    <w:rsid w:val="00783852"/>
    <w:rsid w:val="00790068"/>
    <w:rsid w:val="00792318"/>
    <w:rsid w:val="00792CE5"/>
    <w:rsid w:val="00795527"/>
    <w:rsid w:val="007979A2"/>
    <w:rsid w:val="007A01C3"/>
    <w:rsid w:val="007A2185"/>
    <w:rsid w:val="007B00A6"/>
    <w:rsid w:val="007B08AC"/>
    <w:rsid w:val="007B503C"/>
    <w:rsid w:val="007B7C8D"/>
    <w:rsid w:val="007C00FA"/>
    <w:rsid w:val="007C23B1"/>
    <w:rsid w:val="007C3193"/>
    <w:rsid w:val="007D1469"/>
    <w:rsid w:val="007D1E2B"/>
    <w:rsid w:val="007E085E"/>
    <w:rsid w:val="007E14A3"/>
    <w:rsid w:val="007E56D6"/>
    <w:rsid w:val="007F742D"/>
    <w:rsid w:val="008046C2"/>
    <w:rsid w:val="0080500D"/>
    <w:rsid w:val="00805E08"/>
    <w:rsid w:val="0080741E"/>
    <w:rsid w:val="00814DCC"/>
    <w:rsid w:val="00814EC4"/>
    <w:rsid w:val="00823001"/>
    <w:rsid w:val="00823C91"/>
    <w:rsid w:val="0082522E"/>
    <w:rsid w:val="00830AB8"/>
    <w:rsid w:val="0083104E"/>
    <w:rsid w:val="00836DE6"/>
    <w:rsid w:val="00837F4C"/>
    <w:rsid w:val="00852371"/>
    <w:rsid w:val="0085343C"/>
    <w:rsid w:val="008679C3"/>
    <w:rsid w:val="00872709"/>
    <w:rsid w:val="008766CF"/>
    <w:rsid w:val="00876B50"/>
    <w:rsid w:val="00881F9F"/>
    <w:rsid w:val="00885058"/>
    <w:rsid w:val="00892F74"/>
    <w:rsid w:val="008A05B7"/>
    <w:rsid w:val="008A0B99"/>
    <w:rsid w:val="008A17C5"/>
    <w:rsid w:val="008A3E73"/>
    <w:rsid w:val="008A40A9"/>
    <w:rsid w:val="008A6B58"/>
    <w:rsid w:val="008B1801"/>
    <w:rsid w:val="008B1F27"/>
    <w:rsid w:val="008B2396"/>
    <w:rsid w:val="008B3F0D"/>
    <w:rsid w:val="008B69D4"/>
    <w:rsid w:val="008C0F06"/>
    <w:rsid w:val="008C23F3"/>
    <w:rsid w:val="008C522E"/>
    <w:rsid w:val="008D648B"/>
    <w:rsid w:val="008E0D51"/>
    <w:rsid w:val="008E3D3C"/>
    <w:rsid w:val="008E4793"/>
    <w:rsid w:val="008E725B"/>
    <w:rsid w:val="008F22D0"/>
    <w:rsid w:val="008F2381"/>
    <w:rsid w:val="008F7C0F"/>
    <w:rsid w:val="00900F79"/>
    <w:rsid w:val="00903B37"/>
    <w:rsid w:val="00904AEE"/>
    <w:rsid w:val="0091328F"/>
    <w:rsid w:val="0092179E"/>
    <w:rsid w:val="00922868"/>
    <w:rsid w:val="00925AF1"/>
    <w:rsid w:val="00926EB3"/>
    <w:rsid w:val="009271C4"/>
    <w:rsid w:val="009311F4"/>
    <w:rsid w:val="0093158D"/>
    <w:rsid w:val="00936811"/>
    <w:rsid w:val="00936877"/>
    <w:rsid w:val="00947102"/>
    <w:rsid w:val="009523D4"/>
    <w:rsid w:val="00953264"/>
    <w:rsid w:val="00953706"/>
    <w:rsid w:val="00954527"/>
    <w:rsid w:val="00963F50"/>
    <w:rsid w:val="0096530C"/>
    <w:rsid w:val="0096558F"/>
    <w:rsid w:val="00973B91"/>
    <w:rsid w:val="00974DA1"/>
    <w:rsid w:val="00974E28"/>
    <w:rsid w:val="00976959"/>
    <w:rsid w:val="009800E4"/>
    <w:rsid w:val="009820AE"/>
    <w:rsid w:val="00982236"/>
    <w:rsid w:val="009831D2"/>
    <w:rsid w:val="009842B7"/>
    <w:rsid w:val="00992F7F"/>
    <w:rsid w:val="0099458A"/>
    <w:rsid w:val="0099583D"/>
    <w:rsid w:val="009978CE"/>
    <w:rsid w:val="009A11BF"/>
    <w:rsid w:val="009A12F8"/>
    <w:rsid w:val="009A2C90"/>
    <w:rsid w:val="009A43A2"/>
    <w:rsid w:val="009A6032"/>
    <w:rsid w:val="009A7A85"/>
    <w:rsid w:val="009B0C1A"/>
    <w:rsid w:val="009B3267"/>
    <w:rsid w:val="009B67A2"/>
    <w:rsid w:val="009C19A4"/>
    <w:rsid w:val="009C2884"/>
    <w:rsid w:val="009D1F65"/>
    <w:rsid w:val="009D226E"/>
    <w:rsid w:val="009D5BBC"/>
    <w:rsid w:val="009F1C9B"/>
    <w:rsid w:val="009F248A"/>
    <w:rsid w:val="00A03DF9"/>
    <w:rsid w:val="00A11454"/>
    <w:rsid w:val="00A13523"/>
    <w:rsid w:val="00A170A3"/>
    <w:rsid w:val="00A21EAD"/>
    <w:rsid w:val="00A225AD"/>
    <w:rsid w:val="00A22759"/>
    <w:rsid w:val="00A23CA3"/>
    <w:rsid w:val="00A2414D"/>
    <w:rsid w:val="00A25359"/>
    <w:rsid w:val="00A30642"/>
    <w:rsid w:val="00A312D2"/>
    <w:rsid w:val="00A330E4"/>
    <w:rsid w:val="00A42DCE"/>
    <w:rsid w:val="00A46DB7"/>
    <w:rsid w:val="00A46EE2"/>
    <w:rsid w:val="00A5043E"/>
    <w:rsid w:val="00A51B08"/>
    <w:rsid w:val="00A61733"/>
    <w:rsid w:val="00A70E9C"/>
    <w:rsid w:val="00A74067"/>
    <w:rsid w:val="00A76848"/>
    <w:rsid w:val="00A805AD"/>
    <w:rsid w:val="00A81D15"/>
    <w:rsid w:val="00A85245"/>
    <w:rsid w:val="00A90992"/>
    <w:rsid w:val="00A934FA"/>
    <w:rsid w:val="00A93ECF"/>
    <w:rsid w:val="00AA29DB"/>
    <w:rsid w:val="00AA4685"/>
    <w:rsid w:val="00AA5A4A"/>
    <w:rsid w:val="00AA7580"/>
    <w:rsid w:val="00AB1B4B"/>
    <w:rsid w:val="00AC141D"/>
    <w:rsid w:val="00AC4C63"/>
    <w:rsid w:val="00AE5FD6"/>
    <w:rsid w:val="00AE7E21"/>
    <w:rsid w:val="00AF138F"/>
    <w:rsid w:val="00B022C3"/>
    <w:rsid w:val="00B054A5"/>
    <w:rsid w:val="00B12226"/>
    <w:rsid w:val="00B13A22"/>
    <w:rsid w:val="00B264E1"/>
    <w:rsid w:val="00B418AF"/>
    <w:rsid w:val="00B42221"/>
    <w:rsid w:val="00B42724"/>
    <w:rsid w:val="00B4525B"/>
    <w:rsid w:val="00B46B01"/>
    <w:rsid w:val="00B51C4D"/>
    <w:rsid w:val="00B57B5E"/>
    <w:rsid w:val="00B6004F"/>
    <w:rsid w:val="00B734D7"/>
    <w:rsid w:val="00B83B50"/>
    <w:rsid w:val="00B87D51"/>
    <w:rsid w:val="00B91DD0"/>
    <w:rsid w:val="00B93232"/>
    <w:rsid w:val="00B975D7"/>
    <w:rsid w:val="00BA1F10"/>
    <w:rsid w:val="00BA3777"/>
    <w:rsid w:val="00BA44B8"/>
    <w:rsid w:val="00BB1753"/>
    <w:rsid w:val="00BB5EB1"/>
    <w:rsid w:val="00BB6A2A"/>
    <w:rsid w:val="00BC2A4B"/>
    <w:rsid w:val="00BC4C86"/>
    <w:rsid w:val="00BD5832"/>
    <w:rsid w:val="00BE0307"/>
    <w:rsid w:val="00BE0A45"/>
    <w:rsid w:val="00BE697C"/>
    <w:rsid w:val="00BE7975"/>
    <w:rsid w:val="00BE7A95"/>
    <w:rsid w:val="00BF175A"/>
    <w:rsid w:val="00BF1B04"/>
    <w:rsid w:val="00BF1D1A"/>
    <w:rsid w:val="00BF652B"/>
    <w:rsid w:val="00C026CF"/>
    <w:rsid w:val="00C0361C"/>
    <w:rsid w:val="00C04236"/>
    <w:rsid w:val="00C04C53"/>
    <w:rsid w:val="00C06717"/>
    <w:rsid w:val="00C06B8F"/>
    <w:rsid w:val="00C1261C"/>
    <w:rsid w:val="00C16EB7"/>
    <w:rsid w:val="00C17885"/>
    <w:rsid w:val="00C20F66"/>
    <w:rsid w:val="00C211D2"/>
    <w:rsid w:val="00C220AF"/>
    <w:rsid w:val="00C35490"/>
    <w:rsid w:val="00C47305"/>
    <w:rsid w:val="00C5066B"/>
    <w:rsid w:val="00C523D6"/>
    <w:rsid w:val="00C55971"/>
    <w:rsid w:val="00C56D96"/>
    <w:rsid w:val="00C77B67"/>
    <w:rsid w:val="00C8019E"/>
    <w:rsid w:val="00C81D2B"/>
    <w:rsid w:val="00C92B13"/>
    <w:rsid w:val="00C97C22"/>
    <w:rsid w:val="00CA1A69"/>
    <w:rsid w:val="00CA30F2"/>
    <w:rsid w:val="00CA6CFA"/>
    <w:rsid w:val="00CB37C5"/>
    <w:rsid w:val="00CC4B5F"/>
    <w:rsid w:val="00CC59A5"/>
    <w:rsid w:val="00CC611A"/>
    <w:rsid w:val="00CC679B"/>
    <w:rsid w:val="00CD1CAA"/>
    <w:rsid w:val="00CD4E25"/>
    <w:rsid w:val="00CD7957"/>
    <w:rsid w:val="00CE0935"/>
    <w:rsid w:val="00CE184B"/>
    <w:rsid w:val="00CE1BC2"/>
    <w:rsid w:val="00CE4444"/>
    <w:rsid w:val="00CF25D0"/>
    <w:rsid w:val="00CF278F"/>
    <w:rsid w:val="00CF4FBA"/>
    <w:rsid w:val="00CF5444"/>
    <w:rsid w:val="00CF60CF"/>
    <w:rsid w:val="00CF77FF"/>
    <w:rsid w:val="00D0322E"/>
    <w:rsid w:val="00D04709"/>
    <w:rsid w:val="00D06B09"/>
    <w:rsid w:val="00D11207"/>
    <w:rsid w:val="00D11432"/>
    <w:rsid w:val="00D12C90"/>
    <w:rsid w:val="00D1358E"/>
    <w:rsid w:val="00D22494"/>
    <w:rsid w:val="00D2300D"/>
    <w:rsid w:val="00D32216"/>
    <w:rsid w:val="00D330CF"/>
    <w:rsid w:val="00D351D8"/>
    <w:rsid w:val="00D41307"/>
    <w:rsid w:val="00D420E1"/>
    <w:rsid w:val="00D427A7"/>
    <w:rsid w:val="00D4282B"/>
    <w:rsid w:val="00D52443"/>
    <w:rsid w:val="00D57D87"/>
    <w:rsid w:val="00D612B4"/>
    <w:rsid w:val="00D62CA4"/>
    <w:rsid w:val="00D6487A"/>
    <w:rsid w:val="00D65A59"/>
    <w:rsid w:val="00D66AC2"/>
    <w:rsid w:val="00D702B8"/>
    <w:rsid w:val="00D74F81"/>
    <w:rsid w:val="00D769A6"/>
    <w:rsid w:val="00D812EF"/>
    <w:rsid w:val="00D81612"/>
    <w:rsid w:val="00D8693C"/>
    <w:rsid w:val="00D871D6"/>
    <w:rsid w:val="00DA09C6"/>
    <w:rsid w:val="00DA5C08"/>
    <w:rsid w:val="00DA6F89"/>
    <w:rsid w:val="00DA79B0"/>
    <w:rsid w:val="00DB61D6"/>
    <w:rsid w:val="00DC58FD"/>
    <w:rsid w:val="00DD36D0"/>
    <w:rsid w:val="00DE40F7"/>
    <w:rsid w:val="00DE6321"/>
    <w:rsid w:val="00DF0396"/>
    <w:rsid w:val="00DF1B3A"/>
    <w:rsid w:val="00DF392A"/>
    <w:rsid w:val="00E0378D"/>
    <w:rsid w:val="00E03DA8"/>
    <w:rsid w:val="00E064A1"/>
    <w:rsid w:val="00E079B8"/>
    <w:rsid w:val="00E14BB3"/>
    <w:rsid w:val="00E27E6F"/>
    <w:rsid w:val="00E3734C"/>
    <w:rsid w:val="00E37781"/>
    <w:rsid w:val="00E37E34"/>
    <w:rsid w:val="00E40767"/>
    <w:rsid w:val="00E44084"/>
    <w:rsid w:val="00E4514D"/>
    <w:rsid w:val="00E4539D"/>
    <w:rsid w:val="00E520EC"/>
    <w:rsid w:val="00E562D9"/>
    <w:rsid w:val="00E6256E"/>
    <w:rsid w:val="00E627CD"/>
    <w:rsid w:val="00E62C8E"/>
    <w:rsid w:val="00E65F3C"/>
    <w:rsid w:val="00E6736E"/>
    <w:rsid w:val="00E7047D"/>
    <w:rsid w:val="00E710D9"/>
    <w:rsid w:val="00E71B39"/>
    <w:rsid w:val="00E74F5B"/>
    <w:rsid w:val="00E90BCF"/>
    <w:rsid w:val="00EA19FB"/>
    <w:rsid w:val="00EA2421"/>
    <w:rsid w:val="00EA3810"/>
    <w:rsid w:val="00EA3CF3"/>
    <w:rsid w:val="00EA5464"/>
    <w:rsid w:val="00EB3817"/>
    <w:rsid w:val="00EB4D78"/>
    <w:rsid w:val="00EB5E7A"/>
    <w:rsid w:val="00EB68A8"/>
    <w:rsid w:val="00EC236F"/>
    <w:rsid w:val="00EC388B"/>
    <w:rsid w:val="00EC5890"/>
    <w:rsid w:val="00EC763B"/>
    <w:rsid w:val="00ED7101"/>
    <w:rsid w:val="00EE170A"/>
    <w:rsid w:val="00EE33F4"/>
    <w:rsid w:val="00EE6ED7"/>
    <w:rsid w:val="00EF2364"/>
    <w:rsid w:val="00F007C7"/>
    <w:rsid w:val="00F03F89"/>
    <w:rsid w:val="00F107C5"/>
    <w:rsid w:val="00F13B14"/>
    <w:rsid w:val="00F16359"/>
    <w:rsid w:val="00F24C03"/>
    <w:rsid w:val="00F262F7"/>
    <w:rsid w:val="00F26993"/>
    <w:rsid w:val="00F27A05"/>
    <w:rsid w:val="00F30CC6"/>
    <w:rsid w:val="00F342A3"/>
    <w:rsid w:val="00F47BFB"/>
    <w:rsid w:val="00F47F0C"/>
    <w:rsid w:val="00F5015D"/>
    <w:rsid w:val="00F509EB"/>
    <w:rsid w:val="00F51F7A"/>
    <w:rsid w:val="00F5367A"/>
    <w:rsid w:val="00F54031"/>
    <w:rsid w:val="00F55C32"/>
    <w:rsid w:val="00F56980"/>
    <w:rsid w:val="00F6095D"/>
    <w:rsid w:val="00F628C3"/>
    <w:rsid w:val="00F632EF"/>
    <w:rsid w:val="00F65F41"/>
    <w:rsid w:val="00F717E0"/>
    <w:rsid w:val="00F92BB8"/>
    <w:rsid w:val="00F93DF9"/>
    <w:rsid w:val="00FA494B"/>
    <w:rsid w:val="00FA6BB4"/>
    <w:rsid w:val="00FB3E2C"/>
    <w:rsid w:val="00FB6124"/>
    <w:rsid w:val="00FB6BCC"/>
    <w:rsid w:val="00FC2C3D"/>
    <w:rsid w:val="00FC3E14"/>
    <w:rsid w:val="00FC40FF"/>
    <w:rsid w:val="00FC60E6"/>
    <w:rsid w:val="00FD1A31"/>
    <w:rsid w:val="00FD3BC4"/>
    <w:rsid w:val="00FD4380"/>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1"/>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locked/>
    <w:rsid w:val="00586358"/>
    <w:rPr>
      <w:rFonts w:ascii="Times New Roman" w:hAnsi="Times New Roman" w:cs="Times New Roman"/>
      <w:sz w:val="24"/>
      <w:szCs w:val="24"/>
    </w:rPr>
  </w:style>
  <w:style w:type="paragraph" w:customStyle="1" w:styleId="paragraph">
    <w:name w:val="paragraph"/>
    <w:basedOn w:val="Normal"/>
    <w:rsid w:val="005C5E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5E92"/>
  </w:style>
  <w:style w:type="character" w:customStyle="1" w:styleId="eop">
    <w:name w:val="eop"/>
    <w:basedOn w:val="Fuentedeprrafopredeter"/>
    <w:rsid w:val="005C5E92"/>
  </w:style>
  <w:style w:type="character" w:styleId="Textoennegrita">
    <w:name w:val="Strong"/>
    <w:basedOn w:val="Fuentedeprrafopredeter"/>
    <w:uiPriority w:val="22"/>
    <w:qFormat/>
    <w:rsid w:val="005C5E92"/>
    <w:rPr>
      <w:b/>
      <w:bCs/>
    </w:rPr>
  </w:style>
  <w:style w:type="character" w:styleId="nfasis">
    <w:name w:val="Emphasis"/>
    <w:basedOn w:val="Fuentedeprrafopredeter"/>
    <w:uiPriority w:val="20"/>
    <w:qFormat/>
    <w:rsid w:val="005C5E92"/>
    <w:rPr>
      <w:i/>
      <w:iCs/>
    </w:rPr>
  </w:style>
  <w:style w:type="table" w:customStyle="1" w:styleId="Tablaconcuadrcula11">
    <w:name w:val="Tabla con cuadrícula11"/>
    <w:basedOn w:val="Tablanormal"/>
    <w:next w:val="Tablaconcuadrcula"/>
    <w:uiPriority w:val="59"/>
    <w:rsid w:val="008050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457">
      <w:bodyDiv w:val="1"/>
      <w:marLeft w:val="0"/>
      <w:marRight w:val="0"/>
      <w:marTop w:val="0"/>
      <w:marBottom w:val="0"/>
      <w:divBdr>
        <w:top w:val="none" w:sz="0" w:space="0" w:color="auto"/>
        <w:left w:val="none" w:sz="0" w:space="0" w:color="auto"/>
        <w:bottom w:val="none" w:sz="0" w:space="0" w:color="auto"/>
        <w:right w:val="none" w:sz="0" w:space="0" w:color="auto"/>
      </w:divBdr>
    </w:div>
    <w:div w:id="106513448">
      <w:bodyDiv w:val="1"/>
      <w:marLeft w:val="0"/>
      <w:marRight w:val="0"/>
      <w:marTop w:val="0"/>
      <w:marBottom w:val="0"/>
      <w:divBdr>
        <w:top w:val="none" w:sz="0" w:space="0" w:color="auto"/>
        <w:left w:val="none" w:sz="0" w:space="0" w:color="auto"/>
        <w:bottom w:val="none" w:sz="0" w:space="0" w:color="auto"/>
        <w:right w:val="none" w:sz="0" w:space="0" w:color="auto"/>
      </w:divBdr>
    </w:div>
    <w:div w:id="122307263">
      <w:bodyDiv w:val="1"/>
      <w:marLeft w:val="0"/>
      <w:marRight w:val="0"/>
      <w:marTop w:val="0"/>
      <w:marBottom w:val="0"/>
      <w:divBdr>
        <w:top w:val="none" w:sz="0" w:space="0" w:color="auto"/>
        <w:left w:val="none" w:sz="0" w:space="0" w:color="auto"/>
        <w:bottom w:val="none" w:sz="0" w:space="0" w:color="auto"/>
        <w:right w:val="none" w:sz="0" w:space="0" w:color="auto"/>
      </w:divBdr>
    </w:div>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500201331">
      <w:bodyDiv w:val="1"/>
      <w:marLeft w:val="0"/>
      <w:marRight w:val="0"/>
      <w:marTop w:val="0"/>
      <w:marBottom w:val="0"/>
      <w:divBdr>
        <w:top w:val="none" w:sz="0" w:space="0" w:color="auto"/>
        <w:left w:val="none" w:sz="0" w:space="0" w:color="auto"/>
        <w:bottom w:val="none" w:sz="0" w:space="0" w:color="auto"/>
        <w:right w:val="none" w:sz="0" w:space="0" w:color="auto"/>
      </w:divBdr>
    </w:div>
    <w:div w:id="561255331">
      <w:bodyDiv w:val="1"/>
      <w:marLeft w:val="0"/>
      <w:marRight w:val="0"/>
      <w:marTop w:val="0"/>
      <w:marBottom w:val="0"/>
      <w:divBdr>
        <w:top w:val="none" w:sz="0" w:space="0" w:color="auto"/>
        <w:left w:val="none" w:sz="0" w:space="0" w:color="auto"/>
        <w:bottom w:val="none" w:sz="0" w:space="0" w:color="auto"/>
        <w:right w:val="none" w:sz="0" w:space="0" w:color="auto"/>
      </w:divBdr>
    </w:div>
    <w:div w:id="824131104">
      <w:bodyDiv w:val="1"/>
      <w:marLeft w:val="0"/>
      <w:marRight w:val="0"/>
      <w:marTop w:val="0"/>
      <w:marBottom w:val="0"/>
      <w:divBdr>
        <w:top w:val="none" w:sz="0" w:space="0" w:color="auto"/>
        <w:left w:val="none" w:sz="0" w:space="0" w:color="auto"/>
        <w:bottom w:val="none" w:sz="0" w:space="0" w:color="auto"/>
        <w:right w:val="none" w:sz="0" w:space="0" w:color="auto"/>
      </w:divBdr>
    </w:div>
    <w:div w:id="984579576">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099763178">
      <w:bodyDiv w:val="1"/>
      <w:marLeft w:val="0"/>
      <w:marRight w:val="0"/>
      <w:marTop w:val="0"/>
      <w:marBottom w:val="0"/>
      <w:divBdr>
        <w:top w:val="none" w:sz="0" w:space="0" w:color="auto"/>
        <w:left w:val="none" w:sz="0" w:space="0" w:color="auto"/>
        <w:bottom w:val="none" w:sz="0" w:space="0" w:color="auto"/>
        <w:right w:val="none" w:sz="0" w:space="0" w:color="auto"/>
      </w:divBdr>
    </w:div>
    <w:div w:id="1151217549">
      <w:bodyDiv w:val="1"/>
      <w:marLeft w:val="0"/>
      <w:marRight w:val="0"/>
      <w:marTop w:val="0"/>
      <w:marBottom w:val="0"/>
      <w:divBdr>
        <w:top w:val="none" w:sz="0" w:space="0" w:color="auto"/>
        <w:left w:val="none" w:sz="0" w:space="0" w:color="auto"/>
        <w:bottom w:val="none" w:sz="0" w:space="0" w:color="auto"/>
        <w:right w:val="none" w:sz="0" w:space="0" w:color="auto"/>
      </w:divBdr>
    </w:div>
    <w:div w:id="1238250153">
      <w:bodyDiv w:val="1"/>
      <w:marLeft w:val="0"/>
      <w:marRight w:val="0"/>
      <w:marTop w:val="0"/>
      <w:marBottom w:val="0"/>
      <w:divBdr>
        <w:top w:val="none" w:sz="0" w:space="0" w:color="auto"/>
        <w:left w:val="none" w:sz="0" w:space="0" w:color="auto"/>
        <w:bottom w:val="none" w:sz="0" w:space="0" w:color="auto"/>
        <w:right w:val="none" w:sz="0" w:space="0" w:color="auto"/>
      </w:divBdr>
    </w:div>
    <w:div w:id="1330868798">
      <w:bodyDiv w:val="1"/>
      <w:marLeft w:val="0"/>
      <w:marRight w:val="0"/>
      <w:marTop w:val="0"/>
      <w:marBottom w:val="0"/>
      <w:divBdr>
        <w:top w:val="none" w:sz="0" w:space="0" w:color="auto"/>
        <w:left w:val="none" w:sz="0" w:space="0" w:color="auto"/>
        <w:bottom w:val="none" w:sz="0" w:space="0" w:color="auto"/>
        <w:right w:val="none" w:sz="0" w:space="0" w:color="auto"/>
      </w:divBdr>
    </w:div>
    <w:div w:id="1333408857">
      <w:bodyDiv w:val="1"/>
      <w:marLeft w:val="0"/>
      <w:marRight w:val="0"/>
      <w:marTop w:val="0"/>
      <w:marBottom w:val="0"/>
      <w:divBdr>
        <w:top w:val="none" w:sz="0" w:space="0" w:color="auto"/>
        <w:left w:val="none" w:sz="0" w:space="0" w:color="auto"/>
        <w:bottom w:val="none" w:sz="0" w:space="0" w:color="auto"/>
        <w:right w:val="none" w:sz="0" w:space="0" w:color="auto"/>
      </w:divBdr>
    </w:div>
    <w:div w:id="1339193609">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656256713">
      <w:bodyDiv w:val="1"/>
      <w:marLeft w:val="0"/>
      <w:marRight w:val="0"/>
      <w:marTop w:val="0"/>
      <w:marBottom w:val="0"/>
      <w:divBdr>
        <w:top w:val="none" w:sz="0" w:space="0" w:color="auto"/>
        <w:left w:val="none" w:sz="0" w:space="0" w:color="auto"/>
        <w:bottom w:val="none" w:sz="0" w:space="0" w:color="auto"/>
        <w:right w:val="none" w:sz="0" w:space="0" w:color="auto"/>
      </w:divBdr>
    </w:div>
    <w:div w:id="1893080616">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1989825869">
      <w:bodyDiv w:val="1"/>
      <w:marLeft w:val="0"/>
      <w:marRight w:val="0"/>
      <w:marTop w:val="0"/>
      <w:marBottom w:val="0"/>
      <w:divBdr>
        <w:top w:val="none" w:sz="0" w:space="0" w:color="auto"/>
        <w:left w:val="none" w:sz="0" w:space="0" w:color="auto"/>
        <w:bottom w:val="none" w:sz="0" w:space="0" w:color="auto"/>
        <w:right w:val="none" w:sz="0" w:space="0" w:color="auto"/>
      </w:divBdr>
    </w:div>
    <w:div w:id="2004427188">
      <w:bodyDiv w:val="1"/>
      <w:marLeft w:val="0"/>
      <w:marRight w:val="0"/>
      <w:marTop w:val="0"/>
      <w:marBottom w:val="0"/>
      <w:divBdr>
        <w:top w:val="none" w:sz="0" w:space="0" w:color="auto"/>
        <w:left w:val="none" w:sz="0" w:space="0" w:color="auto"/>
        <w:bottom w:val="none" w:sz="0" w:space="0" w:color="auto"/>
        <w:right w:val="none" w:sz="0" w:space="0" w:color="auto"/>
      </w:divBdr>
    </w:div>
    <w:div w:id="2048605028">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 w:id="2102556153">
      <w:bodyDiv w:val="1"/>
      <w:marLeft w:val="0"/>
      <w:marRight w:val="0"/>
      <w:marTop w:val="0"/>
      <w:marBottom w:val="0"/>
      <w:divBdr>
        <w:top w:val="none" w:sz="0" w:space="0" w:color="auto"/>
        <w:left w:val="none" w:sz="0" w:space="0" w:color="auto"/>
        <w:bottom w:val="none" w:sz="0" w:space="0" w:color="auto"/>
        <w:right w:val="none" w:sz="0" w:space="0" w:color="auto"/>
      </w:divBdr>
    </w:div>
    <w:div w:id="21108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3.xml><?xml version="1.0" encoding="utf-8"?>
<ds:datastoreItem xmlns:ds="http://schemas.openxmlformats.org/officeDocument/2006/customXml" ds:itemID="{11D70317-0AD7-4E15-BA3A-2002BA71CB02}">
  <ds:schemaRefs>
    <ds:schemaRef ds:uri="http://schemas.openxmlformats.org/officeDocument/2006/bibliography"/>
  </ds:schemaRefs>
</ds:datastoreItem>
</file>

<file path=customXml/itemProps4.xml><?xml version="1.0" encoding="utf-8"?>
<ds:datastoreItem xmlns:ds="http://schemas.openxmlformats.org/officeDocument/2006/customXml" ds:itemID="{D7414CA2-5E94-49DC-ACB9-27E81012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5630</Words>
  <Characters>30970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Ana Maria Velez Arteaga</cp:lastModifiedBy>
  <cp:revision>3</cp:revision>
  <dcterms:created xsi:type="dcterms:W3CDTF">2023-03-01T17:33:00Z</dcterms:created>
  <dcterms:modified xsi:type="dcterms:W3CDTF">2023-03-01T17:40:00Z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