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69DF" w14:textId="70DA2984" w:rsidR="007F6FA3" w:rsidRPr="00D20A46" w:rsidRDefault="007F6FA3" w:rsidP="00D20A46">
      <w:pPr>
        <w:spacing w:after="0" w:line="276" w:lineRule="auto"/>
        <w:contextualSpacing/>
        <w:jc w:val="both"/>
        <w:rPr>
          <w:rFonts w:ascii="Arial" w:eastAsia="Calibri" w:hAnsi="Arial" w:cs="Arial"/>
          <w:lang w:eastAsia="es-ES_tradnl"/>
        </w:rPr>
      </w:pPr>
    </w:p>
    <w:p w14:paraId="382ACE15" w14:textId="77777777" w:rsidR="0017756A" w:rsidRPr="007E4D9B" w:rsidRDefault="0017756A" w:rsidP="0017756A">
      <w:pPr>
        <w:spacing w:after="0" w:line="240" w:lineRule="auto"/>
        <w:contextualSpacing/>
        <w:jc w:val="both"/>
        <w:rPr>
          <w:rFonts w:ascii="Arial" w:eastAsia="Arial" w:hAnsi="Arial" w:cs="Arial"/>
          <w:b/>
          <w:lang w:val="es-MX" w:eastAsia="es-ES_tradnl"/>
        </w:rPr>
      </w:pPr>
      <w:r w:rsidRPr="00F86DD6">
        <w:rPr>
          <w:rFonts w:ascii="Arial" w:eastAsia="Arial" w:hAnsi="Arial" w:cs="Arial"/>
          <w:b/>
          <w:lang w:val="es-MX" w:eastAsia="es-ES_tradnl"/>
        </w:rPr>
        <w:t>CONTRATACIÓN DIRECTA</w:t>
      </w:r>
      <w:r w:rsidRPr="007E4D9B">
        <w:rPr>
          <w:rFonts w:ascii="Arial" w:eastAsia="Arial" w:hAnsi="Arial" w:cs="Arial"/>
          <w:b/>
          <w:lang w:val="es-MX" w:eastAsia="es-ES_tradnl"/>
        </w:rPr>
        <w:t xml:space="preserve"> – Causales</w:t>
      </w:r>
    </w:p>
    <w:p w14:paraId="5D30D877" w14:textId="77777777" w:rsidR="0017756A" w:rsidRPr="007E4D9B" w:rsidRDefault="0017756A" w:rsidP="0017756A">
      <w:pPr>
        <w:spacing w:after="0" w:line="240" w:lineRule="auto"/>
        <w:contextualSpacing/>
        <w:jc w:val="both"/>
        <w:rPr>
          <w:rFonts w:ascii="Arial" w:eastAsia="Arial" w:hAnsi="Arial" w:cs="Arial"/>
          <w:b/>
          <w:lang w:val="es-MX" w:eastAsia="es-ES_tradnl"/>
        </w:rPr>
      </w:pPr>
    </w:p>
    <w:p w14:paraId="35ED2918" w14:textId="77777777" w:rsidR="0017756A" w:rsidRPr="007E4D9B" w:rsidRDefault="0017756A" w:rsidP="0017756A">
      <w:pPr>
        <w:spacing w:after="0" w:line="240" w:lineRule="auto"/>
        <w:contextualSpacing/>
        <w:jc w:val="both"/>
        <w:rPr>
          <w:rFonts w:ascii="Arial" w:eastAsia="Times New Roman" w:hAnsi="Arial" w:cs="Arial"/>
        </w:rPr>
      </w:pPr>
      <w:bookmarkStart w:id="0" w:name="_gjdgxs" w:colFirst="0" w:colLast="0"/>
      <w:bookmarkEnd w:id="0"/>
      <w:r w:rsidRPr="007E4D9B">
        <w:rPr>
          <w:rFonts w:ascii="Arial" w:eastAsia="Arial" w:hAnsi="Arial" w:cs="Arial"/>
        </w:rPr>
        <w:t xml:space="preserve">Según el numeral 4 del artículo 2 de la Ley 1150 de 2007, las causales para acudir a la modalidad de selección de contratación directa son: i) la urgencia manifiesta. </w:t>
      </w:r>
      <w:proofErr w:type="spellStart"/>
      <w:r w:rsidRPr="007E4D9B">
        <w:rPr>
          <w:rFonts w:ascii="Arial" w:eastAsia="Arial" w:hAnsi="Arial" w:cs="Arial"/>
        </w:rPr>
        <w:t>ii</w:t>
      </w:r>
      <w:proofErr w:type="spellEnd"/>
      <w:r w:rsidRPr="007E4D9B">
        <w:rPr>
          <w:rFonts w:ascii="Arial" w:eastAsia="Arial" w:hAnsi="Arial" w:cs="Arial"/>
        </w:rPr>
        <w:t xml:space="preserve">) La contratación entre entidades estatales. </w:t>
      </w:r>
      <w:proofErr w:type="spellStart"/>
      <w:r w:rsidRPr="007E4D9B">
        <w:rPr>
          <w:rFonts w:ascii="Arial" w:eastAsia="Arial" w:hAnsi="Arial" w:cs="Arial"/>
        </w:rPr>
        <w:t>iii</w:t>
      </w:r>
      <w:proofErr w:type="spellEnd"/>
      <w:r w:rsidRPr="007E4D9B">
        <w:rPr>
          <w:rFonts w:ascii="Arial" w:eastAsia="Arial" w:hAnsi="Arial" w:cs="Arial"/>
        </w:rPr>
        <w:t xml:space="preserve">) Cuando no exista pluralidad de oferentes. </w:t>
      </w:r>
      <w:proofErr w:type="spellStart"/>
      <w:r w:rsidRPr="007E4D9B">
        <w:rPr>
          <w:rFonts w:ascii="Arial" w:eastAsia="Arial" w:hAnsi="Arial" w:cs="Arial"/>
        </w:rPr>
        <w:t>iv</w:t>
      </w:r>
      <w:proofErr w:type="spellEnd"/>
      <w:r w:rsidRPr="007E4D9B">
        <w:rPr>
          <w:rFonts w:ascii="Arial" w:eastAsia="Arial" w:hAnsi="Arial" w:cs="Arial"/>
        </w:rPr>
        <w:t xml:space="preserve">) Contratos de prestación de servicios profesionales y de apoyo a la gestión. v) Contratos para la ejecución de contratos artísticos que sólo pueden encomendarse a determinadas personas naturales. vi) Adquisición y arrendamiento de bienes inmuebles. </w:t>
      </w:r>
      <w:proofErr w:type="spellStart"/>
      <w:r w:rsidRPr="007E4D9B">
        <w:rPr>
          <w:rFonts w:ascii="Arial" w:eastAsia="Arial" w:hAnsi="Arial" w:cs="Arial"/>
        </w:rPr>
        <w:t>vii</w:t>
      </w:r>
      <w:proofErr w:type="spellEnd"/>
      <w:r w:rsidRPr="007E4D9B">
        <w:rPr>
          <w:rFonts w:ascii="Arial" w:eastAsia="Arial" w:hAnsi="Arial" w:cs="Arial"/>
        </w:rPr>
        <w:t xml:space="preserve">) Contratos de empréstitos. </w:t>
      </w:r>
      <w:proofErr w:type="spellStart"/>
      <w:r w:rsidRPr="007E4D9B">
        <w:rPr>
          <w:rFonts w:ascii="Arial" w:eastAsia="Arial" w:hAnsi="Arial" w:cs="Arial"/>
        </w:rPr>
        <w:t>viii</w:t>
      </w:r>
      <w:proofErr w:type="spellEnd"/>
      <w:r w:rsidRPr="007E4D9B">
        <w:rPr>
          <w:rFonts w:ascii="Arial" w:eastAsia="Arial" w:hAnsi="Arial" w:cs="Arial"/>
        </w:rPr>
        <w:t xml:space="preserve">) Contratación de bienes y servicios del sector defensa que requieran reserva. </w:t>
      </w:r>
      <w:proofErr w:type="spellStart"/>
      <w:r w:rsidRPr="007E4D9B">
        <w:rPr>
          <w:rFonts w:ascii="Arial" w:eastAsia="Arial" w:hAnsi="Arial" w:cs="Arial"/>
        </w:rPr>
        <w:t>ix</w:t>
      </w:r>
      <w:proofErr w:type="spellEnd"/>
      <w:r w:rsidRPr="007E4D9B">
        <w:rPr>
          <w:rFonts w:ascii="Arial" w:eastAsia="Arial" w:hAnsi="Arial" w:cs="Arial"/>
        </w:rPr>
        <w:t xml:space="preserve">) Contratos para el desarrollo de actividades científicas y tecnológicas. x) Contratos de encargo fiduciario que celebren las entidades territoriales cuando inicien el acuerdo de reestructuración de pasivos. xi) La contratación de bienes y servicios de la Dirección Nacional de Inteligencia (DNI), que requieran reserva para su adquisición. </w:t>
      </w:r>
      <w:proofErr w:type="spellStart"/>
      <w:r w:rsidRPr="007E4D9B">
        <w:rPr>
          <w:rFonts w:ascii="Arial" w:eastAsia="Arial" w:hAnsi="Arial" w:cs="Arial"/>
        </w:rPr>
        <w:t>xii</w:t>
      </w:r>
      <w:proofErr w:type="spellEnd"/>
      <w:r w:rsidRPr="007E4D9B">
        <w:rPr>
          <w:rFonts w:ascii="Arial" w:eastAsia="Arial" w:hAnsi="Arial" w:cs="Arial"/>
        </w:rPr>
        <w:t xml:space="preserve">) La selección de peritos expertos o asesores técnicos para presentar o contradecir el dictamen pericial en procesos judiciales. </w:t>
      </w:r>
      <w:proofErr w:type="spellStart"/>
      <w:r w:rsidRPr="007E4D9B">
        <w:rPr>
          <w:rFonts w:ascii="Arial" w:eastAsia="Arial" w:hAnsi="Arial" w:cs="Arial"/>
        </w:rPr>
        <w:t>xiii</w:t>
      </w:r>
      <w:proofErr w:type="spellEnd"/>
      <w:r w:rsidRPr="007E4D9B">
        <w:rPr>
          <w:rFonts w:ascii="Arial" w:eastAsia="Arial" w:hAnsi="Arial" w:cs="Arial"/>
        </w:rPr>
        <w:t xml:space="preserve">)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 </w:t>
      </w:r>
      <w:proofErr w:type="spellStart"/>
      <w:r w:rsidRPr="007E4D9B">
        <w:rPr>
          <w:rFonts w:ascii="Arial" w:eastAsia="Arial" w:hAnsi="Arial" w:cs="Arial"/>
        </w:rPr>
        <w:t>xiv</w:t>
      </w:r>
      <w:proofErr w:type="spellEnd"/>
      <w:r w:rsidRPr="007E4D9B">
        <w:rPr>
          <w:rFonts w:ascii="Arial" w:eastAsia="Arial" w:hAnsi="Arial" w:cs="Arial"/>
        </w:rPr>
        <w:t xml:space="preserve">) Los contratos que las entidades estatales suscriban con los consejos comunitarios de las comunidades negras, cuyo objeto esté relacionado con el fortalecimiento del gobierno propio, la identidad étnica y cultural, el ejercicio de la autonomía, y/o la garantía de los derechos de los pueblos de las mismas comunidades. </w:t>
      </w:r>
      <w:proofErr w:type="spellStart"/>
      <w:r w:rsidRPr="007E4D9B">
        <w:rPr>
          <w:rFonts w:ascii="Arial" w:eastAsia="Arial" w:hAnsi="Arial" w:cs="Arial"/>
        </w:rPr>
        <w:t>xv</w:t>
      </w:r>
      <w:proofErr w:type="spellEnd"/>
      <w:r w:rsidRPr="007E4D9B">
        <w:rPr>
          <w:rFonts w:ascii="Arial" w:eastAsia="Arial" w:hAnsi="Arial" w:cs="Arial"/>
        </w:rPr>
        <w:t xml:space="preserve">) Los contratos que las entidades estatales suscriban con las organizaciones de base de  personas  pertenecientes a  poblaciones afrocolombianas, raizales y palenqueras o con las demás formas y expresiones organizativas, que cuenten con diez (10) años o más de haber sido incorporados, por el Ministerio del Interior en el correspondiente Registro Público Único Nacional y que hayan cumplido con el deber de actualización de información en el mismo registro, cuyo objeto esté relacionado con el fortalecimiento de sus organizaciones, la identidad étnica y cultural, y/o la garantía de los derechos de las poblaciones de las mismas organizaciones. Sin perjuicio del listado consagrado en el citado artículo 2 de la Ley 1150 de 2007, como se mencionó anteriormente, el legislador puede establecer otras causales en leyes especiales, en las cuales opera la contratación directa.  </w:t>
      </w:r>
    </w:p>
    <w:p w14:paraId="664E4BB8" w14:textId="77777777" w:rsidR="0017756A" w:rsidRPr="007E4D9B" w:rsidRDefault="0017756A" w:rsidP="0017756A">
      <w:pPr>
        <w:tabs>
          <w:tab w:val="left" w:pos="426"/>
        </w:tabs>
        <w:spacing w:after="0" w:line="240" w:lineRule="auto"/>
        <w:contextualSpacing/>
        <w:jc w:val="both"/>
        <w:rPr>
          <w:rFonts w:ascii="Arial" w:eastAsia="Arial" w:hAnsi="Arial" w:cs="Arial"/>
          <w:b/>
          <w:lang w:val="es-MX" w:eastAsia="es-ES_tradnl"/>
        </w:rPr>
      </w:pPr>
    </w:p>
    <w:p w14:paraId="64BBAF0D" w14:textId="77777777" w:rsidR="0017756A" w:rsidRPr="007E4D9B" w:rsidRDefault="0017756A" w:rsidP="0017756A">
      <w:pPr>
        <w:tabs>
          <w:tab w:val="left" w:pos="426"/>
        </w:tabs>
        <w:spacing w:after="0" w:line="240" w:lineRule="auto"/>
        <w:contextualSpacing/>
        <w:jc w:val="both"/>
        <w:rPr>
          <w:rFonts w:ascii="Arial" w:eastAsia="Arial" w:hAnsi="Arial" w:cs="Arial"/>
          <w:b/>
          <w:lang w:val="es-MX" w:eastAsia="es-ES_tradnl"/>
        </w:rPr>
      </w:pPr>
    </w:p>
    <w:p w14:paraId="0F37846E" w14:textId="77777777" w:rsidR="0017756A" w:rsidRPr="007E4D9B" w:rsidRDefault="0017756A" w:rsidP="0017756A">
      <w:pPr>
        <w:tabs>
          <w:tab w:val="left" w:pos="426"/>
        </w:tabs>
        <w:spacing w:after="0" w:line="240" w:lineRule="auto"/>
        <w:contextualSpacing/>
        <w:jc w:val="both"/>
        <w:rPr>
          <w:rFonts w:ascii="Arial" w:eastAsia="Arial" w:hAnsi="Arial" w:cs="Arial"/>
          <w:b/>
          <w:lang w:val="es-MX" w:eastAsia="es-ES_tradnl"/>
        </w:rPr>
      </w:pPr>
    </w:p>
    <w:p w14:paraId="5FE0295B" w14:textId="77777777" w:rsidR="0017756A" w:rsidRPr="007E4D9B" w:rsidRDefault="0017756A" w:rsidP="0017756A">
      <w:pPr>
        <w:jc w:val="both"/>
        <w:rPr>
          <w:rFonts w:ascii="Arial" w:hAnsi="Arial" w:cs="Arial"/>
          <w:b/>
          <w:bCs/>
          <w:color w:val="000000" w:themeColor="text1"/>
          <w:lang w:val="es-ES_tradnl"/>
        </w:rPr>
      </w:pPr>
      <w:r w:rsidRPr="009F0085">
        <w:rPr>
          <w:rFonts w:ascii="Arial" w:hAnsi="Arial" w:cs="Arial"/>
          <w:b/>
          <w:bCs/>
          <w:color w:val="000000" w:themeColor="text1"/>
          <w:lang w:val="es-ES_tradnl"/>
        </w:rPr>
        <w:t>CONTRATO DE PRESTACIÓN DE SERVICIOS</w:t>
      </w:r>
      <w:r w:rsidRPr="007E4D9B">
        <w:rPr>
          <w:rFonts w:ascii="Arial" w:hAnsi="Arial" w:cs="Arial"/>
          <w:b/>
          <w:bCs/>
          <w:color w:val="000000" w:themeColor="text1"/>
          <w:lang w:val="es-ES_tradnl"/>
        </w:rPr>
        <w:t xml:space="preserve"> </w:t>
      </w:r>
      <w:bookmarkStart w:id="1" w:name="_Hlk39666823"/>
      <w:r w:rsidRPr="007E4D9B">
        <w:rPr>
          <w:rFonts w:ascii="Arial" w:eastAsia="Calibri" w:hAnsi="Arial" w:cs="Arial"/>
          <w:b/>
          <w:color w:val="000000" w:themeColor="text1"/>
        </w:rPr>
        <w:t>–</w:t>
      </w:r>
      <w:bookmarkEnd w:id="1"/>
      <w:r w:rsidRPr="007E4D9B">
        <w:rPr>
          <w:rFonts w:ascii="Arial" w:hAnsi="Arial" w:cs="Arial"/>
          <w:b/>
          <w:bCs/>
          <w:color w:val="000000" w:themeColor="text1"/>
          <w:lang w:val="es-ES_tradnl"/>
        </w:rPr>
        <w:t xml:space="preserve"> </w:t>
      </w:r>
      <w:r w:rsidRPr="00EB4E43">
        <w:rPr>
          <w:rFonts w:ascii="Arial" w:hAnsi="Arial" w:cs="Arial"/>
          <w:b/>
          <w:bCs/>
          <w:color w:val="000000" w:themeColor="text1"/>
          <w:lang w:val="es-ES_tradnl"/>
        </w:rPr>
        <w:t>Concepto</w:t>
      </w:r>
      <w:r w:rsidRPr="007E4D9B">
        <w:rPr>
          <w:rFonts w:ascii="Arial" w:hAnsi="Arial" w:cs="Arial"/>
          <w:b/>
          <w:bCs/>
          <w:color w:val="000000" w:themeColor="text1"/>
          <w:lang w:val="es-ES_tradnl"/>
        </w:rPr>
        <w:t xml:space="preserve"> − Características generales</w:t>
      </w:r>
    </w:p>
    <w:p w14:paraId="359F6725" w14:textId="77777777" w:rsidR="0017756A" w:rsidRDefault="0017756A" w:rsidP="0017756A">
      <w:pPr>
        <w:jc w:val="both"/>
        <w:rPr>
          <w:rFonts w:ascii="Arial" w:hAnsi="Arial" w:cs="Arial"/>
          <w:color w:val="000000" w:themeColor="text1"/>
          <w:lang w:val="es-ES_tradnl"/>
        </w:rPr>
      </w:pPr>
      <w:r w:rsidRPr="007E4D9B">
        <w:rPr>
          <w:rFonts w:ascii="Arial" w:hAnsi="Arial" w:cs="Arial"/>
          <w:color w:val="000000" w:themeColor="text1"/>
          <w:lang w:val="es-ES_tradnl"/>
        </w:rPr>
        <w:t xml:space="preserve">El contrato de prestación de servicios es un contrato estatal típico regulado en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 es posible señalar las siguientes características del contrato de prestación de servicios: i) Solo puede celebrarse para realizar «actividades relacionadas con la administración o funcionamiento de la entidad», es decir, que hagan parte de su giro ordinario o quehacer cotidiano. </w:t>
      </w:r>
      <w:proofErr w:type="spellStart"/>
      <w:r w:rsidRPr="007E4D9B">
        <w:rPr>
          <w:rFonts w:ascii="Arial" w:hAnsi="Arial" w:cs="Arial"/>
          <w:color w:val="000000" w:themeColor="text1"/>
          <w:lang w:val="es-ES_tradnl"/>
        </w:rPr>
        <w:t>ii</w:t>
      </w:r>
      <w:proofErr w:type="spellEnd"/>
      <w:r w:rsidRPr="007E4D9B">
        <w:rPr>
          <w:rFonts w:ascii="Arial" w:hAnsi="Arial" w:cs="Arial"/>
          <w:color w:val="000000" w:themeColor="text1"/>
          <w:lang w:val="es-ES_tradnl"/>
        </w:rPr>
        <w:t xml:space="preserve">) Respecto del tipo de personas que pueden ser contratadas, admite que se suscriba con personas naturales o jurídicas. […] </w:t>
      </w:r>
      <w:proofErr w:type="spellStart"/>
      <w:r w:rsidRPr="007E4D9B">
        <w:rPr>
          <w:rFonts w:ascii="Arial" w:hAnsi="Arial" w:cs="Arial"/>
          <w:color w:val="000000" w:themeColor="text1"/>
          <w:lang w:val="es-ES_tradnl"/>
        </w:rPr>
        <w:t>iii</w:t>
      </w:r>
      <w:proofErr w:type="spellEnd"/>
      <w:r w:rsidRPr="007E4D9B">
        <w:rPr>
          <w:rFonts w:ascii="Arial" w:hAnsi="Arial" w:cs="Arial"/>
          <w:color w:val="000000" w:themeColor="text1"/>
          <w:lang w:val="es-ES_tradnl"/>
        </w:rPr>
        <w:t xml:space="preserve">) Si bien se </w:t>
      </w:r>
      <w:r w:rsidRPr="007E4D9B">
        <w:rPr>
          <w:rFonts w:ascii="Arial" w:hAnsi="Arial" w:cs="Arial"/>
          <w:color w:val="000000" w:themeColor="text1"/>
          <w:lang w:val="es-ES_tradnl"/>
        </w:rPr>
        <w:lastRenderedPageBreak/>
        <w:t xml:space="preserve">celebran para obtener la prestación personal de un servicio, se diferencian del contrato de trabajo en que quien celebra el contrato de prestación de servicios debe mantener autonomía e independencia en la ejecución de la labor, lo que significa que no debe existir subordinación ni dependencia, que es uno de los elementos constitutivos del vínculo laboral […] </w:t>
      </w:r>
      <w:proofErr w:type="spellStart"/>
      <w:r w:rsidRPr="007E4D9B">
        <w:rPr>
          <w:rFonts w:ascii="Arial" w:hAnsi="Arial" w:cs="Arial"/>
          <w:color w:val="000000" w:themeColor="text1"/>
          <w:lang w:val="es-ES_tradnl"/>
        </w:rPr>
        <w:t>iv</w:t>
      </w:r>
      <w:proofErr w:type="spellEnd"/>
      <w:r w:rsidRPr="007E4D9B">
        <w:rPr>
          <w:rFonts w:ascii="Arial" w:hAnsi="Arial" w:cs="Arial"/>
          <w:color w:val="000000" w:themeColor="text1"/>
          <w:lang w:val="es-ES_tradnl"/>
        </w:rPr>
        <w:t xml:space="preserve">) Deben ser temporales. […] v) Se celebran a través de la modalidad de contratación directa, independientemente de la cuantía y del tipo de servicio profesional, siempre que su objeto no sea la consultoría. […]. vi) Para su celebración no se requiere expedir un acto administrativo de justificación de la contratación directa. </w:t>
      </w:r>
      <w:proofErr w:type="spellStart"/>
      <w:r w:rsidRPr="007E4D9B">
        <w:rPr>
          <w:rFonts w:ascii="Arial" w:hAnsi="Arial" w:cs="Arial"/>
          <w:color w:val="000000" w:themeColor="text1"/>
          <w:lang w:val="es-ES_tradnl"/>
        </w:rPr>
        <w:t>vii</w:t>
      </w:r>
      <w:proofErr w:type="spellEnd"/>
      <w:r w:rsidRPr="007E4D9B">
        <w:rPr>
          <w:rFonts w:ascii="Arial" w:hAnsi="Arial" w:cs="Arial"/>
          <w:color w:val="000000" w:themeColor="text1"/>
          <w:lang w:val="es-ES_tradnl"/>
        </w:rPr>
        <w:t xml:space="preserve">) El contrato admite la inclusión de cláusulas excepcionales. </w:t>
      </w:r>
      <w:proofErr w:type="spellStart"/>
      <w:r w:rsidRPr="007E4D9B">
        <w:rPr>
          <w:rFonts w:ascii="Arial" w:hAnsi="Arial" w:cs="Arial"/>
          <w:color w:val="000000" w:themeColor="text1"/>
          <w:lang w:val="es-ES_tradnl"/>
        </w:rPr>
        <w:t>viii</w:t>
      </w:r>
      <w:proofErr w:type="spellEnd"/>
      <w:r w:rsidRPr="007E4D9B">
        <w:rPr>
          <w:rFonts w:ascii="Arial" w:hAnsi="Arial" w:cs="Arial"/>
          <w:color w:val="000000" w:themeColor="text1"/>
          <w:lang w:val="es-ES_tradnl"/>
        </w:rPr>
        <w:t xml:space="preserve">) No es obligatorio liquidar estos contratos […]. </w:t>
      </w:r>
      <w:proofErr w:type="spellStart"/>
      <w:r w:rsidRPr="007E4D9B">
        <w:rPr>
          <w:rFonts w:ascii="Arial" w:hAnsi="Arial" w:cs="Arial"/>
          <w:color w:val="000000" w:themeColor="text1"/>
          <w:lang w:val="es-ES_tradnl"/>
        </w:rPr>
        <w:t>ix</w:t>
      </w:r>
      <w:proofErr w:type="spellEnd"/>
      <w:r w:rsidRPr="007E4D9B">
        <w:rPr>
          <w:rFonts w:ascii="Arial" w:hAnsi="Arial" w:cs="Arial"/>
          <w:color w:val="000000" w:themeColor="text1"/>
          <w:lang w:val="es-ES_tradnl"/>
        </w:rPr>
        <w:t xml:space="preserve">) Para su celebración el contratista no requiere estar inscrito en el Registro Único de Proponentes –RUP– […]. x) No es obligatoria la exigencia de garantías; xi) Como los demás contratos estatales, se trata de un contrato solemne que debe constar por escrito y debe ser publicado en el SECOP; </w:t>
      </w:r>
      <w:proofErr w:type="spellStart"/>
      <w:r w:rsidRPr="007E4D9B">
        <w:rPr>
          <w:rFonts w:ascii="Arial" w:hAnsi="Arial" w:cs="Arial"/>
          <w:color w:val="000000" w:themeColor="text1"/>
          <w:lang w:val="es-ES_tradnl"/>
        </w:rPr>
        <w:t>xii</w:t>
      </w:r>
      <w:proofErr w:type="spellEnd"/>
      <w:r w:rsidRPr="007E4D9B">
        <w:rPr>
          <w:rFonts w:ascii="Arial" w:hAnsi="Arial" w:cs="Arial"/>
          <w:color w:val="000000" w:themeColor="text1"/>
          <w:lang w:val="es-ES_tradnl"/>
        </w:rPr>
        <w:t>) Como especies del género prestación de servicios, se incluyen los contratos de prestación de servicios profesionales, los contratos de prestación de servicios apoyo a la gestión y los contratos de prestación de servicios artísticos que solo pueden encomendarse a determinadas personas naturales.</w:t>
      </w:r>
    </w:p>
    <w:p w14:paraId="3F44BD2D" w14:textId="77777777" w:rsidR="0017756A" w:rsidRPr="008668E8" w:rsidRDefault="0017756A" w:rsidP="0017756A">
      <w:pPr>
        <w:ind w:right="709"/>
        <w:jc w:val="both"/>
        <w:rPr>
          <w:rFonts w:ascii="Arial" w:hAnsi="Arial" w:cs="Arial"/>
          <w:b/>
          <w:bCs/>
          <w:color w:val="000000" w:themeColor="text1"/>
          <w:lang w:val="es-ES_tradnl"/>
        </w:rPr>
      </w:pPr>
      <w:r w:rsidRPr="008668E8">
        <w:rPr>
          <w:rFonts w:ascii="Arial" w:hAnsi="Arial" w:cs="Arial"/>
          <w:b/>
          <w:bCs/>
          <w:color w:val="000000" w:themeColor="text1"/>
          <w:lang w:val="es-ES_tradnl"/>
        </w:rPr>
        <w:t>FORMATO HOJA DE VIDA DE LA FUNCIÓN PÚBLICA-Persona Jurídica</w:t>
      </w:r>
    </w:p>
    <w:p w14:paraId="4B1A2CCE" w14:textId="77777777" w:rsidR="0017756A" w:rsidRPr="00CE50ED" w:rsidRDefault="0017756A" w:rsidP="0017756A">
      <w:pPr>
        <w:spacing w:after="0" w:line="240" w:lineRule="auto"/>
        <w:contextualSpacing/>
        <w:jc w:val="both"/>
        <w:rPr>
          <w:rFonts w:ascii="Arial" w:hAnsi="Arial" w:cs="Arial"/>
          <w:color w:val="000000" w:themeColor="text1"/>
          <w:lang w:val="es-ES_tradnl"/>
        </w:rPr>
      </w:pPr>
      <w:r w:rsidRPr="00CE50ED">
        <w:rPr>
          <w:rFonts w:ascii="Arial" w:hAnsi="Arial" w:cs="Arial"/>
          <w:color w:val="000000" w:themeColor="text1"/>
          <w:lang w:val="es-ES_tradnl"/>
        </w:rPr>
        <w:t>De acuerdo con los artículos 10 y 11 del Decreto 1571 de 1998, las entidades de todas las ramas del poder público, los organismos de control, la organización electoral, los entes universitarios autónomos y las corporaciones autónomas regionales y de desarrollo sostenible, en los órdenes nacional, departamental, distrital y municipal, deberán exigir la presentación del Formato Único de Hoja de Vida, a todos los servidores públicos, y a los contratistas de prestación de servicios, en el momento previo a la posesión o de la celebración del contrato, respectivamente.</w:t>
      </w:r>
    </w:p>
    <w:p w14:paraId="4635C349" w14:textId="77777777" w:rsidR="0017756A" w:rsidRPr="00CE50ED" w:rsidRDefault="0017756A" w:rsidP="0017756A">
      <w:pPr>
        <w:spacing w:after="0" w:line="276" w:lineRule="auto"/>
        <w:contextualSpacing/>
        <w:jc w:val="both"/>
        <w:rPr>
          <w:rFonts w:ascii="Arial" w:hAnsi="Arial" w:cs="Arial"/>
          <w:color w:val="000000" w:themeColor="text1"/>
          <w:lang w:val="es-ES_tradnl"/>
        </w:rPr>
      </w:pPr>
    </w:p>
    <w:p w14:paraId="1791A94E" w14:textId="77777777" w:rsidR="0017756A" w:rsidRDefault="0017756A" w:rsidP="0017756A">
      <w:pPr>
        <w:pStyle w:val="NormalWeb"/>
        <w:shd w:val="clear" w:color="auto" w:fill="FFFFFF"/>
        <w:spacing w:before="0" w:beforeAutospacing="0"/>
        <w:jc w:val="both"/>
        <w:rPr>
          <w:rFonts w:ascii="Arial" w:eastAsiaTheme="minorHAnsi" w:hAnsi="Arial" w:cs="Arial"/>
          <w:color w:val="000000" w:themeColor="text1"/>
          <w:sz w:val="22"/>
          <w:szCs w:val="22"/>
          <w:lang w:val="es-ES_tradnl" w:eastAsia="en-US"/>
        </w:rPr>
      </w:pPr>
      <w:r w:rsidRPr="00CE50ED">
        <w:rPr>
          <w:rFonts w:ascii="Arial" w:eastAsiaTheme="minorHAnsi" w:hAnsi="Arial" w:cs="Arial"/>
          <w:color w:val="000000" w:themeColor="text1"/>
          <w:sz w:val="22"/>
          <w:szCs w:val="22"/>
          <w:lang w:val="es-ES_tradnl" w:eastAsia="en-US"/>
        </w:rPr>
        <w:t>A su vez el artículo 1 de la Ley 190</w:t>
      </w:r>
      <w:r>
        <w:rPr>
          <w:rFonts w:ascii="Arial" w:eastAsiaTheme="minorHAnsi" w:hAnsi="Arial" w:cs="Arial"/>
          <w:color w:val="000000" w:themeColor="text1"/>
          <w:sz w:val="22"/>
          <w:szCs w:val="22"/>
          <w:lang w:val="es-ES_tradnl" w:eastAsia="en-US"/>
        </w:rPr>
        <w:t xml:space="preserve"> de 1995, </w:t>
      </w:r>
      <w:r w:rsidRPr="00CE50ED">
        <w:rPr>
          <w:rFonts w:ascii="Arial" w:eastAsiaTheme="minorHAnsi" w:hAnsi="Arial" w:cs="Arial"/>
          <w:color w:val="000000" w:themeColor="text1"/>
          <w:sz w:val="22"/>
          <w:szCs w:val="22"/>
          <w:lang w:val="es-ES_tradnl" w:eastAsia="en-US"/>
        </w:rPr>
        <w:t>señaló que</w:t>
      </w:r>
      <w:r>
        <w:rPr>
          <w:rFonts w:ascii="Arial" w:eastAsiaTheme="minorHAnsi" w:hAnsi="Arial" w:cs="Arial"/>
          <w:color w:val="000000" w:themeColor="text1"/>
          <w:sz w:val="22"/>
          <w:szCs w:val="22"/>
          <w:lang w:val="es-ES_tradnl" w:eastAsia="en-US"/>
        </w:rPr>
        <w:t>:</w:t>
      </w:r>
    </w:p>
    <w:p w14:paraId="4A18CA63" w14:textId="77777777" w:rsidR="0017756A" w:rsidRPr="00DA0857" w:rsidRDefault="0017756A" w:rsidP="0017756A">
      <w:pPr>
        <w:pStyle w:val="NormalWeb"/>
        <w:shd w:val="clear" w:color="auto" w:fill="FFFFFF"/>
        <w:spacing w:before="0" w:beforeAutospacing="0"/>
        <w:jc w:val="both"/>
        <w:rPr>
          <w:rFonts w:ascii="Arial" w:eastAsiaTheme="minorHAnsi" w:hAnsi="Arial" w:cs="Arial"/>
          <w:i/>
          <w:iCs/>
          <w:color w:val="000000" w:themeColor="text1"/>
          <w:sz w:val="22"/>
          <w:szCs w:val="22"/>
          <w:lang w:val="es-ES_tradnl" w:eastAsia="en-US"/>
        </w:rPr>
      </w:pPr>
      <w:r w:rsidRPr="00EA7703">
        <w:rPr>
          <w:rFonts w:ascii="Arial" w:eastAsiaTheme="minorHAnsi" w:hAnsi="Arial" w:cs="Arial"/>
          <w:i/>
          <w:iCs/>
          <w:color w:val="000000" w:themeColor="text1"/>
          <w:sz w:val="22"/>
          <w:szCs w:val="22"/>
          <w:lang w:val="es-ES_tradnl" w:eastAsia="en-US"/>
        </w:rPr>
        <w:t>“Todo aspirante a ocupar un cargo o empleo público, o a celebrar un contrato de prestación de servicios con la administración deberá presentar ante la unidad de personal de la correspondiente entidad, o ante la dependencia que haga sus veces, el </w:t>
      </w:r>
      <w:hyperlink r:id="rId11" w:history="1">
        <w:r w:rsidRPr="00EA7703">
          <w:rPr>
            <w:rFonts w:ascii="Arial" w:eastAsiaTheme="minorHAnsi" w:hAnsi="Arial" w:cs="Arial"/>
            <w:i/>
            <w:iCs/>
            <w:color w:val="000000" w:themeColor="text1"/>
            <w:sz w:val="22"/>
            <w:szCs w:val="22"/>
            <w:lang w:val="es-ES_tradnl" w:eastAsia="en-US"/>
          </w:rPr>
          <w:t>formato único de hojas de vida</w:t>
        </w:r>
      </w:hyperlink>
      <w:r w:rsidRPr="00EA7703">
        <w:rPr>
          <w:rFonts w:ascii="Arial" w:eastAsiaTheme="minorHAnsi" w:hAnsi="Arial" w:cs="Arial"/>
          <w:i/>
          <w:iCs/>
          <w:color w:val="000000" w:themeColor="text1"/>
          <w:sz w:val="22"/>
          <w:szCs w:val="22"/>
          <w:lang w:val="es-ES_tradnl" w:eastAsia="en-US"/>
        </w:rPr>
        <w:t xml:space="preserve"> debidamente diligenciado en el cual consignará la información completa que en ella se solicita:1. Su formación académica, indicando los años de estudio cursados en los distintos niveles de educación y los títulos y certificados obtenidos.2. Su experiencia laboral, relacionando todos y cada uno de los empleos o cargos desempeñados, tanto en el sector público como en el privado, así como la dirección, el número del teléfono o el apartado postal en los que sea posible verificar la información.3. Inexistencia de cualquier hecho o circunstancia que implique una inhabilidad o incompatibilidad del orden constitucional o legal para ocupar el empleo o cargo al que se aspira o para celebrar contrato de prestación de servicios con la administración.4. En caso de personas jurídicas, el correspondiente certificado que acredite la representación legal, </w:t>
      </w:r>
      <w:r>
        <w:rPr>
          <w:rFonts w:ascii="Arial" w:eastAsiaTheme="minorHAnsi" w:hAnsi="Arial" w:cs="Arial"/>
          <w:i/>
          <w:iCs/>
          <w:color w:val="000000" w:themeColor="text1"/>
          <w:sz w:val="22"/>
          <w:szCs w:val="22"/>
          <w:lang w:val="es-ES_tradnl" w:eastAsia="en-US"/>
        </w:rPr>
        <w:t>(…)</w:t>
      </w:r>
    </w:p>
    <w:p w14:paraId="34190285" w14:textId="77777777" w:rsidR="0017756A" w:rsidRDefault="0017756A" w:rsidP="0017756A">
      <w:pPr>
        <w:spacing w:after="0" w:line="240" w:lineRule="auto"/>
        <w:contextualSpacing/>
        <w:jc w:val="both"/>
        <w:rPr>
          <w:rFonts w:ascii="Arial" w:eastAsia="Times New Roman" w:hAnsi="Arial" w:cs="Arial"/>
          <w:i/>
          <w:iCs/>
          <w:color w:val="333333"/>
          <w:lang w:eastAsia="es-CO"/>
        </w:rPr>
      </w:pPr>
      <w:r w:rsidRPr="00EA7703">
        <w:rPr>
          <w:rFonts w:ascii="Arial" w:eastAsia="Arial" w:hAnsi="Arial" w:cs="Arial"/>
        </w:rPr>
        <w:t xml:space="preserve">De igual manera, la Resolución 580 del 19 de agosto de 1999, expedida por el Departamento Administrativo de la Función Pública, actualizó el </w:t>
      </w:r>
      <w:r w:rsidRPr="00395CB4">
        <w:rPr>
          <w:rFonts w:ascii="Arial" w:eastAsia="Times New Roman" w:hAnsi="Arial" w:cs="Arial"/>
          <w:color w:val="333333"/>
          <w:lang w:eastAsia="es-CO"/>
        </w:rPr>
        <w:t>Formato Único de Hoja de Vida para persona jurídica</w:t>
      </w:r>
      <w:r>
        <w:rPr>
          <w:rFonts w:ascii="Arial" w:eastAsia="Times New Roman" w:hAnsi="Arial" w:cs="Arial"/>
          <w:color w:val="333333"/>
          <w:lang w:eastAsia="es-CO"/>
        </w:rPr>
        <w:t xml:space="preserve"> contenido en el</w:t>
      </w:r>
      <w:r w:rsidRPr="00395CB4">
        <w:rPr>
          <w:rFonts w:ascii="Arial" w:eastAsia="Times New Roman" w:hAnsi="Arial" w:cs="Arial"/>
          <w:color w:val="333333"/>
          <w:lang w:eastAsia="es-CO"/>
        </w:rPr>
        <w:t xml:space="preserve"> artículo 4o. de la Resolución 009 de 1996</w:t>
      </w:r>
      <w:r w:rsidRPr="00EA7703">
        <w:rPr>
          <w:rFonts w:ascii="Arial" w:eastAsia="Times New Roman" w:hAnsi="Arial" w:cs="Arial"/>
          <w:color w:val="333333"/>
          <w:lang w:eastAsia="es-CO"/>
        </w:rPr>
        <w:t>, también expedida por la misma entidad, indicando que el</w:t>
      </w:r>
      <w:r w:rsidRPr="00EA7703">
        <w:rPr>
          <w:rFonts w:ascii="Arial" w:eastAsia="Times New Roman" w:hAnsi="Arial" w:cs="Arial"/>
          <w:i/>
          <w:iCs/>
          <w:color w:val="333333"/>
          <w:lang w:eastAsia="es-CO"/>
        </w:rPr>
        <w:t xml:space="preserve"> “</w:t>
      </w:r>
      <w:r w:rsidRPr="00395CB4">
        <w:rPr>
          <w:rFonts w:ascii="Arial" w:eastAsia="Times New Roman" w:hAnsi="Arial" w:cs="Arial"/>
          <w:i/>
          <w:iCs/>
          <w:color w:val="333333"/>
          <w:lang w:eastAsia="es-CO"/>
        </w:rPr>
        <w:t xml:space="preserve">formato deberá ser diligenciado </w:t>
      </w:r>
      <w:r w:rsidRPr="00395CB4">
        <w:rPr>
          <w:rFonts w:ascii="Arial" w:eastAsia="Times New Roman" w:hAnsi="Arial" w:cs="Arial"/>
          <w:i/>
          <w:iCs/>
          <w:color w:val="333333"/>
          <w:lang w:eastAsia="es-CO"/>
        </w:rPr>
        <w:lastRenderedPageBreak/>
        <w:t>por toda persona jurídica en el momento de celebrar un contrato de prestación de servicios con la administración, independiente de su término de duración</w:t>
      </w:r>
      <w:r w:rsidRPr="00EA7703">
        <w:rPr>
          <w:rFonts w:ascii="Arial" w:eastAsia="Times New Roman" w:hAnsi="Arial" w:cs="Arial"/>
          <w:i/>
          <w:iCs/>
          <w:color w:val="333333"/>
          <w:lang w:eastAsia="es-CO"/>
        </w:rPr>
        <w:t>”</w:t>
      </w:r>
      <w:r w:rsidRPr="00395CB4">
        <w:rPr>
          <w:rFonts w:ascii="Arial" w:eastAsia="Times New Roman" w:hAnsi="Arial" w:cs="Arial"/>
          <w:i/>
          <w:iCs/>
          <w:color w:val="333333"/>
          <w:lang w:eastAsia="es-CO"/>
        </w:rPr>
        <w:t>.</w:t>
      </w:r>
    </w:p>
    <w:p w14:paraId="3E8277E4" w14:textId="77777777" w:rsidR="0017756A" w:rsidRDefault="0017756A" w:rsidP="0017756A">
      <w:pPr>
        <w:jc w:val="both"/>
        <w:rPr>
          <w:rFonts w:ascii="Arial" w:hAnsi="Arial" w:cs="Arial"/>
          <w:color w:val="000000" w:themeColor="text1"/>
          <w:lang w:val="es-ES_tradnl"/>
        </w:rPr>
      </w:pPr>
    </w:p>
    <w:p w14:paraId="2E3E3BEC" w14:textId="77777777" w:rsidR="0017756A" w:rsidRDefault="0017756A" w:rsidP="0017756A">
      <w:pPr>
        <w:jc w:val="both"/>
        <w:rPr>
          <w:rFonts w:ascii="Arial" w:hAnsi="Arial" w:cs="Arial"/>
          <w:color w:val="000000" w:themeColor="text1"/>
          <w:lang w:val="es-ES_tradnl"/>
        </w:rPr>
      </w:pPr>
    </w:p>
    <w:p w14:paraId="248D9B43" w14:textId="77777777" w:rsidR="0017756A" w:rsidRDefault="0017756A" w:rsidP="0017756A">
      <w:pPr>
        <w:jc w:val="both"/>
        <w:rPr>
          <w:rFonts w:ascii="Arial" w:hAnsi="Arial" w:cs="Arial"/>
          <w:color w:val="000000" w:themeColor="text1"/>
          <w:lang w:val="es-ES_tradnl"/>
        </w:rPr>
      </w:pPr>
    </w:p>
    <w:p w14:paraId="678A1A9A" w14:textId="77777777" w:rsidR="0017756A" w:rsidRDefault="0017756A" w:rsidP="0017756A">
      <w:pPr>
        <w:jc w:val="both"/>
        <w:rPr>
          <w:rFonts w:ascii="Arial" w:hAnsi="Arial" w:cs="Arial"/>
          <w:color w:val="000000" w:themeColor="text1"/>
          <w:lang w:val="es-ES_tradnl"/>
        </w:rPr>
      </w:pPr>
    </w:p>
    <w:p w14:paraId="382B67CD" w14:textId="77777777" w:rsidR="0017756A" w:rsidRDefault="0017756A" w:rsidP="0017756A">
      <w:pPr>
        <w:jc w:val="both"/>
        <w:rPr>
          <w:rFonts w:ascii="Arial" w:hAnsi="Arial" w:cs="Arial"/>
          <w:color w:val="000000" w:themeColor="text1"/>
          <w:lang w:val="es-ES_tradnl"/>
        </w:rPr>
      </w:pPr>
    </w:p>
    <w:p w14:paraId="743A05DA" w14:textId="77777777" w:rsidR="0017756A" w:rsidRDefault="0017756A" w:rsidP="0017756A">
      <w:pPr>
        <w:jc w:val="both"/>
        <w:rPr>
          <w:rFonts w:ascii="Arial" w:hAnsi="Arial" w:cs="Arial"/>
          <w:color w:val="000000" w:themeColor="text1"/>
          <w:lang w:val="es-ES_tradnl"/>
        </w:rPr>
      </w:pPr>
    </w:p>
    <w:p w14:paraId="70FF68FD" w14:textId="77777777" w:rsidR="0017756A" w:rsidRDefault="0017756A" w:rsidP="0017756A">
      <w:pPr>
        <w:jc w:val="both"/>
        <w:rPr>
          <w:rFonts w:ascii="Arial" w:hAnsi="Arial" w:cs="Arial"/>
          <w:color w:val="000000" w:themeColor="text1"/>
          <w:lang w:val="es-ES_tradnl"/>
        </w:rPr>
      </w:pPr>
    </w:p>
    <w:p w14:paraId="116BA83A" w14:textId="77777777" w:rsidR="0017756A" w:rsidRDefault="0017756A" w:rsidP="0017756A">
      <w:pPr>
        <w:jc w:val="both"/>
        <w:rPr>
          <w:rFonts w:ascii="Arial" w:hAnsi="Arial" w:cs="Arial"/>
          <w:color w:val="000000" w:themeColor="text1"/>
          <w:lang w:val="es-ES_tradnl"/>
        </w:rPr>
      </w:pPr>
    </w:p>
    <w:p w14:paraId="6A21655A" w14:textId="77777777" w:rsidR="0017756A" w:rsidRDefault="0017756A" w:rsidP="0017756A">
      <w:pPr>
        <w:jc w:val="both"/>
        <w:rPr>
          <w:rFonts w:ascii="Arial" w:hAnsi="Arial" w:cs="Arial"/>
          <w:color w:val="000000" w:themeColor="text1"/>
          <w:lang w:val="es-ES_tradnl"/>
        </w:rPr>
      </w:pPr>
    </w:p>
    <w:p w14:paraId="1E3A14F3" w14:textId="77777777" w:rsidR="0017756A" w:rsidRDefault="0017756A" w:rsidP="0017756A">
      <w:pPr>
        <w:jc w:val="both"/>
        <w:rPr>
          <w:rFonts w:ascii="Arial" w:hAnsi="Arial" w:cs="Arial"/>
          <w:color w:val="000000" w:themeColor="text1"/>
          <w:lang w:val="es-ES_tradnl"/>
        </w:rPr>
      </w:pPr>
    </w:p>
    <w:p w14:paraId="35426D4B" w14:textId="77777777" w:rsidR="0017756A" w:rsidRDefault="0017756A" w:rsidP="0017756A">
      <w:pPr>
        <w:jc w:val="both"/>
        <w:rPr>
          <w:rFonts w:ascii="Arial" w:hAnsi="Arial" w:cs="Arial"/>
          <w:color w:val="000000" w:themeColor="text1"/>
          <w:lang w:val="es-ES_tradnl"/>
        </w:rPr>
      </w:pPr>
    </w:p>
    <w:p w14:paraId="5067A6DE" w14:textId="77777777" w:rsidR="0017756A" w:rsidRDefault="0017756A" w:rsidP="0017756A">
      <w:pPr>
        <w:jc w:val="both"/>
        <w:rPr>
          <w:rFonts w:ascii="Arial" w:hAnsi="Arial" w:cs="Arial"/>
          <w:color w:val="000000" w:themeColor="text1"/>
          <w:lang w:val="es-ES_tradnl"/>
        </w:rPr>
      </w:pPr>
    </w:p>
    <w:p w14:paraId="33797D92" w14:textId="77777777" w:rsidR="0017756A" w:rsidRDefault="0017756A" w:rsidP="0017756A">
      <w:pPr>
        <w:jc w:val="both"/>
        <w:rPr>
          <w:rFonts w:ascii="Arial" w:hAnsi="Arial" w:cs="Arial"/>
          <w:color w:val="000000" w:themeColor="text1"/>
          <w:lang w:val="es-ES_tradnl"/>
        </w:rPr>
      </w:pPr>
    </w:p>
    <w:p w14:paraId="56D32B98" w14:textId="77777777" w:rsidR="0017756A" w:rsidRDefault="0017756A" w:rsidP="0017756A">
      <w:pPr>
        <w:jc w:val="both"/>
        <w:rPr>
          <w:rFonts w:ascii="Arial" w:hAnsi="Arial" w:cs="Arial"/>
          <w:color w:val="000000" w:themeColor="text1"/>
          <w:lang w:val="es-ES_tradnl"/>
        </w:rPr>
      </w:pPr>
    </w:p>
    <w:p w14:paraId="7E3C5316" w14:textId="77777777" w:rsidR="0017756A" w:rsidRDefault="0017756A" w:rsidP="0017756A">
      <w:pPr>
        <w:jc w:val="both"/>
        <w:rPr>
          <w:rFonts w:ascii="Arial" w:hAnsi="Arial" w:cs="Arial"/>
          <w:color w:val="000000" w:themeColor="text1"/>
          <w:lang w:val="es-ES_tradnl"/>
        </w:rPr>
      </w:pPr>
    </w:p>
    <w:p w14:paraId="6B4C7045" w14:textId="77777777" w:rsidR="0017756A" w:rsidRDefault="0017756A" w:rsidP="0017756A">
      <w:pPr>
        <w:jc w:val="both"/>
        <w:rPr>
          <w:rFonts w:ascii="Arial" w:hAnsi="Arial" w:cs="Arial"/>
          <w:color w:val="000000" w:themeColor="text1"/>
          <w:lang w:val="es-ES_tradnl"/>
        </w:rPr>
      </w:pPr>
    </w:p>
    <w:p w14:paraId="6E7BFBE1" w14:textId="77777777" w:rsidR="0017756A" w:rsidRDefault="0017756A" w:rsidP="0017756A">
      <w:pPr>
        <w:jc w:val="both"/>
        <w:rPr>
          <w:rFonts w:ascii="Arial" w:hAnsi="Arial" w:cs="Arial"/>
          <w:color w:val="000000" w:themeColor="text1"/>
          <w:lang w:val="es-ES_tradnl"/>
        </w:rPr>
      </w:pPr>
    </w:p>
    <w:p w14:paraId="257AC779" w14:textId="77777777" w:rsidR="0017756A" w:rsidRDefault="0017756A" w:rsidP="0017756A">
      <w:pPr>
        <w:jc w:val="both"/>
        <w:rPr>
          <w:rFonts w:ascii="Arial" w:hAnsi="Arial" w:cs="Arial"/>
          <w:color w:val="000000" w:themeColor="text1"/>
          <w:lang w:val="es-ES_tradnl"/>
        </w:rPr>
      </w:pPr>
    </w:p>
    <w:p w14:paraId="7243339D" w14:textId="77777777" w:rsidR="0017756A" w:rsidRDefault="0017756A" w:rsidP="0017756A">
      <w:pPr>
        <w:jc w:val="both"/>
        <w:rPr>
          <w:rFonts w:ascii="Arial" w:hAnsi="Arial" w:cs="Arial"/>
          <w:color w:val="000000" w:themeColor="text1"/>
          <w:lang w:val="es-ES_tradnl"/>
        </w:rPr>
      </w:pPr>
    </w:p>
    <w:p w14:paraId="171FF2E4" w14:textId="77777777" w:rsidR="0017756A" w:rsidRDefault="0017756A" w:rsidP="0017756A">
      <w:pPr>
        <w:jc w:val="both"/>
        <w:rPr>
          <w:rFonts w:ascii="Arial" w:hAnsi="Arial" w:cs="Arial"/>
          <w:color w:val="000000" w:themeColor="text1"/>
          <w:lang w:val="es-ES_tradnl"/>
        </w:rPr>
      </w:pPr>
    </w:p>
    <w:p w14:paraId="3FB5DB30" w14:textId="77777777" w:rsidR="0017756A" w:rsidRDefault="0017756A" w:rsidP="0017756A">
      <w:pPr>
        <w:jc w:val="both"/>
        <w:rPr>
          <w:rFonts w:ascii="Arial" w:hAnsi="Arial" w:cs="Arial"/>
          <w:color w:val="000000" w:themeColor="text1"/>
          <w:lang w:val="es-ES_tradnl"/>
        </w:rPr>
      </w:pPr>
    </w:p>
    <w:p w14:paraId="3EA6896B" w14:textId="77777777" w:rsidR="0017756A" w:rsidRDefault="0017756A" w:rsidP="0017756A">
      <w:pPr>
        <w:jc w:val="both"/>
        <w:rPr>
          <w:rFonts w:ascii="Arial" w:hAnsi="Arial" w:cs="Arial"/>
          <w:color w:val="000000" w:themeColor="text1"/>
          <w:lang w:val="es-ES_tradnl"/>
        </w:rPr>
      </w:pPr>
    </w:p>
    <w:p w14:paraId="15F2A491" w14:textId="77777777" w:rsidR="0017756A" w:rsidRDefault="0017756A" w:rsidP="0017756A">
      <w:pPr>
        <w:jc w:val="both"/>
        <w:rPr>
          <w:rFonts w:ascii="Arial" w:hAnsi="Arial" w:cs="Arial"/>
          <w:color w:val="000000" w:themeColor="text1"/>
          <w:lang w:val="es-ES_tradnl"/>
        </w:rPr>
      </w:pPr>
    </w:p>
    <w:p w14:paraId="18A00839" w14:textId="77777777" w:rsidR="0017756A" w:rsidRDefault="0017756A" w:rsidP="0017756A">
      <w:pPr>
        <w:jc w:val="both"/>
        <w:rPr>
          <w:rFonts w:ascii="Arial" w:hAnsi="Arial" w:cs="Arial"/>
          <w:color w:val="000000" w:themeColor="text1"/>
          <w:lang w:val="es-ES_tradnl"/>
        </w:rPr>
      </w:pPr>
    </w:p>
    <w:p w14:paraId="4E68395D" w14:textId="77777777" w:rsidR="0017756A" w:rsidRDefault="0017756A" w:rsidP="0017756A">
      <w:pPr>
        <w:jc w:val="both"/>
        <w:rPr>
          <w:rFonts w:ascii="Arial" w:hAnsi="Arial" w:cs="Arial"/>
          <w:color w:val="000000" w:themeColor="text1"/>
          <w:lang w:val="es-ES_tradnl"/>
        </w:rPr>
      </w:pPr>
    </w:p>
    <w:p w14:paraId="138C3918" w14:textId="0223D547" w:rsidR="007F6FA3" w:rsidRPr="0017756A" w:rsidRDefault="007F6FA3" w:rsidP="00D20A46">
      <w:pPr>
        <w:spacing w:after="0" w:line="276" w:lineRule="auto"/>
        <w:contextualSpacing/>
        <w:jc w:val="both"/>
        <w:rPr>
          <w:rFonts w:ascii="Arial" w:eastAsia="Calibri" w:hAnsi="Arial" w:cs="Arial"/>
          <w:lang w:val="es-ES_tradnl" w:eastAsia="es-ES_tradnl"/>
        </w:rPr>
      </w:pPr>
    </w:p>
    <w:p w14:paraId="33B9B798" w14:textId="76C521E7" w:rsidR="005935FE" w:rsidRDefault="005935FE" w:rsidP="00D20A46">
      <w:pPr>
        <w:spacing w:after="0" w:line="276" w:lineRule="auto"/>
        <w:contextualSpacing/>
        <w:jc w:val="both"/>
        <w:rPr>
          <w:rFonts w:ascii="Arial" w:eastAsia="Calibri" w:hAnsi="Arial" w:cs="Arial"/>
          <w:lang w:eastAsia="es-ES_tradnl"/>
        </w:rPr>
      </w:pPr>
    </w:p>
    <w:p w14:paraId="03B28A0A" w14:textId="7366637E" w:rsidR="005935FE" w:rsidRDefault="005935FE" w:rsidP="00D20A46">
      <w:pPr>
        <w:spacing w:after="0" w:line="276" w:lineRule="auto"/>
        <w:contextualSpacing/>
        <w:jc w:val="both"/>
        <w:rPr>
          <w:rFonts w:ascii="Arial" w:eastAsia="Calibri" w:hAnsi="Arial" w:cs="Arial"/>
          <w:lang w:eastAsia="es-ES_tradnl"/>
        </w:rPr>
      </w:pPr>
    </w:p>
    <w:p w14:paraId="3A03CC04" w14:textId="3EB67704" w:rsidR="005935FE" w:rsidRDefault="005935FE" w:rsidP="00D20A46">
      <w:pPr>
        <w:spacing w:after="0" w:line="276" w:lineRule="auto"/>
        <w:contextualSpacing/>
        <w:jc w:val="both"/>
        <w:rPr>
          <w:rFonts w:ascii="Arial" w:eastAsia="Calibri" w:hAnsi="Arial" w:cs="Arial"/>
          <w:lang w:eastAsia="es-ES_tradnl"/>
        </w:rPr>
      </w:pPr>
    </w:p>
    <w:p w14:paraId="7900ABD1" w14:textId="0EAA6E15" w:rsidR="005935FE" w:rsidRDefault="005935FE" w:rsidP="00C301F4">
      <w:pPr>
        <w:spacing w:after="0" w:line="276" w:lineRule="auto"/>
        <w:contextualSpacing/>
        <w:jc w:val="right"/>
        <w:rPr>
          <w:rFonts w:ascii="Arial" w:eastAsia="Calibri" w:hAnsi="Arial" w:cs="Arial"/>
          <w:lang w:eastAsia="es-ES_tradnl"/>
        </w:rPr>
      </w:pPr>
    </w:p>
    <w:p w14:paraId="2D14BC43" w14:textId="77777777" w:rsidR="002D5069" w:rsidRDefault="002D5069" w:rsidP="00C301F4">
      <w:pPr>
        <w:spacing w:after="0" w:line="276" w:lineRule="auto"/>
        <w:contextualSpacing/>
        <w:jc w:val="right"/>
        <w:rPr>
          <w:rFonts w:ascii="Arial" w:eastAsia="Calibri" w:hAnsi="Arial" w:cs="Arial"/>
          <w:lang w:eastAsia="es-ES_tradnl"/>
        </w:rPr>
      </w:pPr>
    </w:p>
    <w:p w14:paraId="3B4DCA63" w14:textId="07323B2C" w:rsidR="009710ED" w:rsidRDefault="009710ED" w:rsidP="00C301F4">
      <w:pPr>
        <w:spacing w:after="0" w:line="276" w:lineRule="auto"/>
        <w:contextualSpacing/>
        <w:jc w:val="right"/>
        <w:rPr>
          <w:rFonts w:ascii="Arial" w:eastAsia="Calibri" w:hAnsi="Arial" w:cs="Arial"/>
          <w:lang w:eastAsia="es-ES_tradnl"/>
        </w:rPr>
      </w:pPr>
      <w:r w:rsidRPr="009710ED">
        <w:rPr>
          <w:rFonts w:ascii="Arial" w:eastAsia="Calibri" w:hAnsi="Arial" w:cs="Arial"/>
          <w:noProof/>
          <w:lang w:eastAsia="es-ES_tradnl"/>
        </w:rPr>
        <w:drawing>
          <wp:inline distT="0" distB="0" distL="0" distR="0" wp14:anchorId="2C4232AD" wp14:editId="002D0BC6">
            <wp:extent cx="2705100" cy="72416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32570" cy="731517"/>
                    </a:xfrm>
                    <a:prstGeom prst="rect">
                      <a:avLst/>
                    </a:prstGeom>
                  </pic:spPr>
                </pic:pic>
              </a:graphicData>
            </a:graphic>
          </wp:inline>
        </w:drawing>
      </w:r>
    </w:p>
    <w:p w14:paraId="40A408F6" w14:textId="77777777" w:rsidR="009710ED" w:rsidRDefault="009710ED" w:rsidP="00C301F4">
      <w:pPr>
        <w:spacing w:after="0" w:line="276" w:lineRule="auto"/>
        <w:contextualSpacing/>
        <w:jc w:val="right"/>
        <w:rPr>
          <w:rFonts w:ascii="Arial" w:eastAsia="Calibri" w:hAnsi="Arial" w:cs="Arial"/>
          <w:lang w:eastAsia="es-ES_tradnl"/>
        </w:rPr>
      </w:pPr>
    </w:p>
    <w:p w14:paraId="358DF66F" w14:textId="0F870F70" w:rsidR="00DA7DDA" w:rsidRDefault="00DA7DDA" w:rsidP="00C301F4">
      <w:pPr>
        <w:spacing w:after="0" w:line="276" w:lineRule="auto"/>
        <w:contextualSpacing/>
        <w:jc w:val="right"/>
        <w:rPr>
          <w:rFonts w:ascii="Arial" w:eastAsia="Calibri" w:hAnsi="Arial" w:cs="Arial"/>
          <w:lang w:eastAsia="es-ES_tradnl"/>
        </w:rPr>
      </w:pPr>
    </w:p>
    <w:p w14:paraId="4B67FEE6" w14:textId="77777777" w:rsidR="002D5069" w:rsidRPr="00D20A46" w:rsidRDefault="002D5069" w:rsidP="00C301F4">
      <w:pPr>
        <w:spacing w:after="0" w:line="276" w:lineRule="auto"/>
        <w:contextualSpacing/>
        <w:jc w:val="right"/>
        <w:rPr>
          <w:rFonts w:ascii="Arial" w:eastAsia="Calibri" w:hAnsi="Arial" w:cs="Arial"/>
          <w:lang w:eastAsia="es-ES_tradnl"/>
        </w:rPr>
      </w:pPr>
    </w:p>
    <w:p w14:paraId="5E1508A4" w14:textId="13FD67A3" w:rsidR="002D5069" w:rsidRDefault="002D5069" w:rsidP="00D20A46">
      <w:pPr>
        <w:spacing w:after="0" w:line="276" w:lineRule="auto"/>
        <w:contextualSpacing/>
        <w:jc w:val="both"/>
        <w:rPr>
          <w:rFonts w:ascii="Arial" w:eastAsia="Calibri" w:hAnsi="Arial" w:cs="Arial"/>
          <w:lang w:eastAsia="es-ES_tradnl"/>
        </w:rPr>
      </w:pPr>
      <w:bookmarkStart w:id="2" w:name="_Hlk102550523"/>
      <w:proofErr w:type="spellStart"/>
      <w:proofErr w:type="gramStart"/>
      <w:r>
        <w:rPr>
          <w:rFonts w:ascii="Arial" w:eastAsia="Calibri" w:hAnsi="Arial" w:cs="Arial"/>
          <w:lang w:eastAsia="es-ES_tradnl"/>
        </w:rPr>
        <w:t>Bogota</w:t>
      </w:r>
      <w:proofErr w:type="spellEnd"/>
      <w:r>
        <w:rPr>
          <w:rFonts w:ascii="Arial" w:eastAsia="Calibri" w:hAnsi="Arial" w:cs="Arial"/>
          <w:lang w:eastAsia="es-ES_tradnl"/>
        </w:rPr>
        <w:t xml:space="preserve"> ,</w:t>
      </w:r>
      <w:proofErr w:type="gramEnd"/>
      <w:r>
        <w:rPr>
          <w:rFonts w:ascii="Arial" w:eastAsia="Calibri" w:hAnsi="Arial" w:cs="Arial"/>
          <w:lang w:eastAsia="es-ES_tradnl"/>
        </w:rPr>
        <w:t xml:space="preserve"> 01 de </w:t>
      </w:r>
      <w:r w:rsidR="00393338">
        <w:rPr>
          <w:rFonts w:ascii="Arial" w:eastAsia="Calibri" w:hAnsi="Arial" w:cs="Arial"/>
          <w:lang w:eastAsia="es-ES_tradnl"/>
        </w:rPr>
        <w:t>noviembre</w:t>
      </w:r>
      <w:r>
        <w:rPr>
          <w:rFonts w:ascii="Arial" w:eastAsia="Calibri" w:hAnsi="Arial" w:cs="Arial"/>
          <w:lang w:eastAsia="es-ES_tradnl"/>
        </w:rPr>
        <w:t xml:space="preserve"> de 2022</w:t>
      </w:r>
    </w:p>
    <w:p w14:paraId="6537658E" w14:textId="77777777" w:rsidR="002D5069" w:rsidRDefault="002D5069" w:rsidP="00D20A46">
      <w:pPr>
        <w:spacing w:after="0" w:line="276" w:lineRule="auto"/>
        <w:contextualSpacing/>
        <w:jc w:val="both"/>
        <w:rPr>
          <w:rFonts w:ascii="Arial" w:eastAsia="Calibri" w:hAnsi="Arial" w:cs="Arial"/>
          <w:lang w:eastAsia="es-ES_tradnl"/>
        </w:rPr>
      </w:pPr>
    </w:p>
    <w:p w14:paraId="0576FBBB" w14:textId="67F96227" w:rsidR="007F6FA3" w:rsidRPr="00D20A46" w:rsidRDefault="007F6FA3" w:rsidP="002D5069">
      <w:pPr>
        <w:spacing w:after="0" w:line="276" w:lineRule="auto"/>
        <w:contextualSpacing/>
        <w:rPr>
          <w:rFonts w:ascii="Arial" w:eastAsia="Calibri" w:hAnsi="Arial" w:cs="Arial"/>
          <w:lang w:eastAsia="es-ES_tradnl"/>
        </w:rPr>
      </w:pPr>
      <w:r w:rsidRPr="00D20A46">
        <w:rPr>
          <w:rFonts w:ascii="Arial" w:eastAsia="Calibri" w:hAnsi="Arial" w:cs="Arial"/>
          <w:lang w:eastAsia="es-ES_tradnl"/>
        </w:rPr>
        <w:t>Señor</w:t>
      </w:r>
    </w:p>
    <w:p w14:paraId="406FAA68" w14:textId="77777777" w:rsidR="00F8285F" w:rsidRPr="00D20A46" w:rsidRDefault="00F8285F" w:rsidP="00D20A46">
      <w:pPr>
        <w:spacing w:after="0" w:line="276" w:lineRule="auto"/>
        <w:contextualSpacing/>
        <w:jc w:val="both"/>
        <w:rPr>
          <w:rFonts w:ascii="Arial" w:eastAsia="Calibri" w:hAnsi="Arial" w:cs="Arial"/>
          <w:b/>
          <w:bCs/>
          <w:lang w:val="es-ES_tradnl" w:eastAsia="es-ES_tradnl"/>
        </w:rPr>
      </w:pPr>
      <w:r w:rsidRPr="00D20A46">
        <w:rPr>
          <w:rFonts w:ascii="Arial" w:eastAsia="Calibri" w:hAnsi="Arial" w:cs="Arial"/>
          <w:b/>
          <w:bCs/>
          <w:lang w:val="es-ES_tradnl" w:eastAsia="es-ES_tradnl"/>
        </w:rPr>
        <w:t>Manuel Gutiérrez Cubillos</w:t>
      </w:r>
    </w:p>
    <w:p w14:paraId="6860351C" w14:textId="667CE3DA" w:rsidR="007F6FA3" w:rsidRPr="00D20A46" w:rsidRDefault="00EB4E43" w:rsidP="00D20A46">
      <w:pPr>
        <w:spacing w:after="0" w:line="276" w:lineRule="auto"/>
        <w:contextualSpacing/>
        <w:jc w:val="both"/>
        <w:rPr>
          <w:rFonts w:ascii="Arial" w:eastAsia="Times New Roman" w:hAnsi="Arial" w:cs="Arial"/>
          <w:lang w:eastAsia="es-ES_tradnl"/>
        </w:rPr>
      </w:pPr>
      <w:hyperlink r:id="rId13" w:history="1">
        <w:r w:rsidR="00D72B3F" w:rsidRPr="00D20A46">
          <w:rPr>
            <w:rStyle w:val="Hipervnculo"/>
            <w:rFonts w:ascii="Arial" w:eastAsia="Times New Roman" w:hAnsi="Arial" w:cs="Arial"/>
            <w:lang w:eastAsia="es-ES_tradnl"/>
          </w:rPr>
          <w:t>magucu@gmail.com</w:t>
        </w:r>
      </w:hyperlink>
    </w:p>
    <w:p w14:paraId="1F595CC4" w14:textId="6909AF2D" w:rsidR="00D72B3F" w:rsidRPr="00D20A46" w:rsidRDefault="00EB4E43" w:rsidP="00D20A46">
      <w:pPr>
        <w:spacing w:after="0" w:line="276" w:lineRule="auto"/>
        <w:contextualSpacing/>
        <w:jc w:val="both"/>
        <w:rPr>
          <w:rFonts w:ascii="Arial" w:eastAsia="Times New Roman" w:hAnsi="Arial" w:cs="Arial"/>
          <w:lang w:eastAsia="es-ES_tradnl"/>
        </w:rPr>
      </w:pPr>
      <w:hyperlink r:id="rId14" w:history="1">
        <w:r w:rsidR="0002311C" w:rsidRPr="00D20A46">
          <w:rPr>
            <w:rStyle w:val="Hipervnculo"/>
            <w:rFonts w:ascii="Arial" w:eastAsia="Times New Roman" w:hAnsi="Arial" w:cs="Arial"/>
            <w:lang w:eastAsia="es-ES_tradnl"/>
          </w:rPr>
          <w:t>mgutierrez@contaduria.gov.co</w:t>
        </w:r>
      </w:hyperlink>
    </w:p>
    <w:p w14:paraId="234EFFAC" w14:textId="77777777" w:rsidR="0002311C" w:rsidRPr="00D20A46" w:rsidRDefault="0002311C" w:rsidP="00D20A46">
      <w:pPr>
        <w:spacing w:after="0" w:line="276" w:lineRule="auto"/>
        <w:contextualSpacing/>
        <w:jc w:val="both"/>
        <w:rPr>
          <w:rFonts w:ascii="Arial" w:eastAsia="Times New Roman" w:hAnsi="Arial" w:cs="Arial"/>
          <w:lang w:eastAsia="es-ES_tradnl"/>
        </w:rPr>
      </w:pPr>
    </w:p>
    <w:p w14:paraId="0359FC96" w14:textId="77777777" w:rsidR="007F6FA3" w:rsidRPr="00D20A46" w:rsidRDefault="007F6FA3" w:rsidP="00D20A46">
      <w:pPr>
        <w:spacing w:after="0" w:line="276" w:lineRule="auto"/>
        <w:contextualSpacing/>
        <w:jc w:val="both"/>
        <w:rPr>
          <w:rFonts w:ascii="Arial" w:eastAsia="Calibri" w:hAnsi="Arial" w:cs="Arial"/>
          <w:lang w:eastAsia="es-ES_tradnl"/>
        </w:rPr>
      </w:pPr>
    </w:p>
    <w:p w14:paraId="2E3BB420" w14:textId="6FCE8236" w:rsidR="007F6FA3" w:rsidRPr="00D20A46" w:rsidRDefault="007F6FA3" w:rsidP="00D20A46">
      <w:pPr>
        <w:spacing w:after="0" w:line="276" w:lineRule="auto"/>
        <w:contextualSpacing/>
        <w:rPr>
          <w:rFonts w:ascii="Arial" w:eastAsia="Calibri" w:hAnsi="Arial" w:cs="Arial"/>
          <w:b/>
          <w:bCs/>
          <w:lang w:val="es-ES_tradnl" w:eastAsia="es-ES_tradnl"/>
        </w:rPr>
      </w:pPr>
      <w:r w:rsidRPr="00D20A46">
        <w:rPr>
          <w:rFonts w:ascii="Arial" w:eastAsia="Calibri" w:hAnsi="Arial" w:cs="Arial"/>
          <w:b/>
          <w:bCs/>
          <w:lang w:eastAsia="es-ES_tradnl"/>
        </w:rPr>
        <w:t xml:space="preserve">                                            </w:t>
      </w:r>
      <w:r w:rsidRPr="00D20A46">
        <w:rPr>
          <w:rFonts w:ascii="Arial" w:eastAsia="Calibri" w:hAnsi="Arial" w:cs="Arial"/>
          <w:b/>
          <w:bCs/>
          <w:lang w:val="es-ES_tradnl" w:eastAsia="es-ES_tradnl"/>
        </w:rPr>
        <w:t>Concepto C</w:t>
      </w:r>
      <w:r w:rsidR="001D55EB" w:rsidRPr="00D20A46">
        <w:rPr>
          <w:rFonts w:ascii="Arial" w:eastAsia="Calibri" w:hAnsi="Arial" w:cs="Arial"/>
          <w:b/>
          <w:bCs/>
          <w:lang w:val="es-ES_tradnl" w:eastAsia="es-ES_tradnl"/>
        </w:rPr>
        <w:t>- 722</w:t>
      </w:r>
      <w:r w:rsidR="00F8285F" w:rsidRPr="00D20A46">
        <w:rPr>
          <w:rFonts w:ascii="Arial" w:eastAsia="Calibri" w:hAnsi="Arial" w:cs="Arial"/>
          <w:b/>
          <w:bCs/>
          <w:lang w:val="es-ES_tradnl" w:eastAsia="es-ES_tradnl"/>
        </w:rPr>
        <w:t xml:space="preserve"> </w:t>
      </w:r>
      <w:r w:rsidRPr="00D20A46">
        <w:rPr>
          <w:rFonts w:ascii="Arial" w:eastAsia="Calibri" w:hAnsi="Arial" w:cs="Arial"/>
          <w:b/>
          <w:bCs/>
          <w:lang w:val="es-ES_tradnl" w:eastAsia="es-ES_tradnl"/>
        </w:rPr>
        <w:t>de 2022</w:t>
      </w:r>
    </w:p>
    <w:p w14:paraId="4379FADA" w14:textId="77777777" w:rsidR="007F6FA3" w:rsidRPr="00D20A46" w:rsidRDefault="007F6FA3" w:rsidP="00D20A46">
      <w:pPr>
        <w:spacing w:after="0" w:line="276" w:lineRule="auto"/>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E0A16" w:rsidRPr="00D20A46" w14:paraId="56A0DCE5" w14:textId="77777777" w:rsidTr="003F72D8">
        <w:tc>
          <w:tcPr>
            <w:tcW w:w="2689" w:type="dxa"/>
          </w:tcPr>
          <w:p w14:paraId="3999651F" w14:textId="77777777" w:rsidR="007F6FA3" w:rsidRPr="00D20A46" w:rsidRDefault="007F6FA3" w:rsidP="00D20A46">
            <w:pPr>
              <w:spacing w:line="276" w:lineRule="auto"/>
              <w:contextualSpacing/>
              <w:jc w:val="both"/>
              <w:rPr>
                <w:rFonts w:ascii="Arial" w:eastAsia="Calibri" w:hAnsi="Arial" w:cs="Arial"/>
                <w:b/>
                <w:lang w:val="es-ES_tradnl" w:eastAsia="es-ES_tradnl"/>
              </w:rPr>
            </w:pPr>
            <w:r w:rsidRPr="00D20A46">
              <w:rPr>
                <w:rFonts w:ascii="Arial" w:eastAsia="Calibri" w:hAnsi="Arial" w:cs="Arial"/>
                <w:b/>
                <w:lang w:val="es-ES_tradnl" w:eastAsia="es-ES_tradnl"/>
              </w:rPr>
              <w:t xml:space="preserve">Temas:                                      </w:t>
            </w:r>
          </w:p>
        </w:tc>
        <w:tc>
          <w:tcPr>
            <w:tcW w:w="6237" w:type="dxa"/>
          </w:tcPr>
          <w:p w14:paraId="435F7576" w14:textId="53243D08" w:rsidR="00EF3E3F" w:rsidRPr="00D20A46" w:rsidRDefault="00FE26DD" w:rsidP="00D20A46">
            <w:pPr>
              <w:spacing w:line="276" w:lineRule="auto"/>
              <w:contextualSpacing/>
              <w:jc w:val="both"/>
              <w:rPr>
                <w:rFonts w:ascii="Arial" w:eastAsia="Arial" w:hAnsi="Arial" w:cs="Arial"/>
                <w:bCs/>
                <w:lang w:val="es-MX" w:eastAsia="es-ES_tradnl"/>
              </w:rPr>
            </w:pPr>
            <w:r w:rsidRPr="00D20A46">
              <w:rPr>
                <w:rFonts w:ascii="Arial" w:eastAsia="Arial" w:hAnsi="Arial" w:cs="Arial"/>
                <w:bCs/>
                <w:lang w:val="es-MX" w:eastAsia="es-ES_tradnl"/>
              </w:rPr>
              <w:t xml:space="preserve">CONTRATACIÓN DIRECTA – Causales / </w:t>
            </w:r>
            <w:r w:rsidR="00B2350B" w:rsidRPr="00D20A46">
              <w:rPr>
                <w:rFonts w:ascii="Arial" w:eastAsia="Arial" w:hAnsi="Arial" w:cs="Arial"/>
                <w:bCs/>
                <w:lang w:val="es-MX" w:eastAsia="es-ES_tradnl"/>
              </w:rPr>
              <w:t>CONTRATO DE PRESTACIÓN DE SERVICIOS ― Concepto ― Características generales</w:t>
            </w:r>
            <w:r w:rsidR="001621FA" w:rsidRPr="00D20A46">
              <w:rPr>
                <w:rFonts w:ascii="Arial" w:eastAsia="Arial" w:hAnsi="Arial" w:cs="Arial"/>
                <w:bCs/>
                <w:lang w:val="es-MX" w:eastAsia="es-ES_tradnl"/>
              </w:rPr>
              <w:t>/</w:t>
            </w:r>
            <w:r w:rsidR="00325F36" w:rsidRPr="00D20A46">
              <w:rPr>
                <w:rFonts w:ascii="Arial" w:eastAsia="Arial" w:hAnsi="Arial" w:cs="Arial"/>
                <w:bCs/>
                <w:lang w:val="es-MX" w:eastAsia="es-ES_tradnl"/>
              </w:rPr>
              <w:t xml:space="preserve">FORMATO HOJA DE VIDA </w:t>
            </w:r>
            <w:r w:rsidR="00082F21" w:rsidRPr="00D20A46">
              <w:rPr>
                <w:rFonts w:ascii="Arial" w:eastAsia="Arial" w:hAnsi="Arial" w:cs="Arial"/>
                <w:bCs/>
                <w:lang w:val="es-MX" w:eastAsia="es-ES_tradnl"/>
              </w:rPr>
              <w:t>DE LA FUNCIÓN PÚBLICA-Persona Jurídica</w:t>
            </w:r>
          </w:p>
          <w:p w14:paraId="20199335" w14:textId="77777777" w:rsidR="00AE4B05" w:rsidRPr="00D20A46" w:rsidRDefault="00AE4B05" w:rsidP="00D20A46">
            <w:pPr>
              <w:spacing w:line="276" w:lineRule="auto"/>
              <w:contextualSpacing/>
              <w:jc w:val="both"/>
              <w:rPr>
                <w:rFonts w:ascii="Arial" w:eastAsia="Arial" w:hAnsi="Arial" w:cs="Arial"/>
                <w:bCs/>
                <w:lang w:val="es-ES" w:eastAsia="es-ES" w:bidi="es-ES"/>
              </w:rPr>
            </w:pPr>
          </w:p>
          <w:p w14:paraId="5CE84B62" w14:textId="77777777" w:rsidR="007F6FA3" w:rsidRPr="00D20A46" w:rsidRDefault="007F6FA3" w:rsidP="00D20A46">
            <w:pPr>
              <w:spacing w:line="276" w:lineRule="auto"/>
              <w:contextualSpacing/>
              <w:jc w:val="both"/>
              <w:rPr>
                <w:rFonts w:ascii="Arial" w:hAnsi="Arial" w:cs="Arial"/>
                <w:bCs/>
              </w:rPr>
            </w:pPr>
          </w:p>
        </w:tc>
      </w:tr>
      <w:tr w:rsidR="000E0A16" w:rsidRPr="00D20A46" w14:paraId="296DF550" w14:textId="77777777" w:rsidTr="003F72D8">
        <w:trPr>
          <w:trHeight w:val="197"/>
        </w:trPr>
        <w:tc>
          <w:tcPr>
            <w:tcW w:w="2689" w:type="dxa"/>
          </w:tcPr>
          <w:p w14:paraId="7447256A" w14:textId="77777777" w:rsidR="007F6FA3" w:rsidRPr="00D20A46" w:rsidRDefault="007F6FA3" w:rsidP="00D20A46">
            <w:pPr>
              <w:spacing w:line="276" w:lineRule="auto"/>
              <w:contextualSpacing/>
              <w:jc w:val="both"/>
              <w:rPr>
                <w:rFonts w:ascii="Arial" w:eastAsia="Calibri" w:hAnsi="Arial" w:cs="Arial"/>
                <w:lang w:val="es-ES_tradnl" w:eastAsia="es-ES_tradnl"/>
              </w:rPr>
            </w:pPr>
            <w:r w:rsidRPr="00D20A46">
              <w:rPr>
                <w:rFonts w:ascii="Arial" w:eastAsia="Calibri" w:hAnsi="Arial" w:cs="Arial"/>
                <w:b/>
                <w:lang w:val="es-ES_tradnl" w:eastAsia="es-ES_tradnl"/>
              </w:rPr>
              <w:t>Radicación</w:t>
            </w:r>
            <w:r w:rsidRPr="00D20A46">
              <w:rPr>
                <w:rFonts w:ascii="Arial" w:eastAsia="Calibri" w:hAnsi="Arial" w:cs="Arial"/>
                <w:lang w:val="es-ES_tradnl" w:eastAsia="es-ES_tradnl"/>
              </w:rPr>
              <w:t xml:space="preserve">:                              </w:t>
            </w:r>
          </w:p>
        </w:tc>
        <w:tc>
          <w:tcPr>
            <w:tcW w:w="6237" w:type="dxa"/>
          </w:tcPr>
          <w:p w14:paraId="687346BF" w14:textId="6169705D" w:rsidR="007F6FA3" w:rsidRPr="00D20A46" w:rsidRDefault="007F6FA3" w:rsidP="00D20A46">
            <w:pPr>
              <w:spacing w:line="276" w:lineRule="auto"/>
              <w:contextualSpacing/>
              <w:jc w:val="both"/>
              <w:rPr>
                <w:rFonts w:ascii="Arial" w:eastAsia="Calibri" w:hAnsi="Arial" w:cs="Arial"/>
                <w:lang w:val="es-ES_tradnl" w:eastAsia="es-ES_tradnl"/>
              </w:rPr>
            </w:pPr>
            <w:r w:rsidRPr="00D20A46">
              <w:rPr>
                <w:rFonts w:ascii="Arial" w:hAnsi="Arial" w:cs="Arial"/>
                <w:bCs/>
              </w:rPr>
              <w:t>Respuesta a consulta</w:t>
            </w:r>
            <w:r w:rsidR="00E63C12">
              <w:rPr>
                <w:rFonts w:ascii="Arial" w:hAnsi="Arial" w:cs="Arial"/>
                <w:bCs/>
              </w:rPr>
              <w:t xml:space="preserve"> </w:t>
            </w:r>
            <w:r w:rsidR="00E63C12" w:rsidRPr="00E63C12">
              <w:rPr>
                <w:rFonts w:ascii="Arial" w:hAnsi="Arial" w:cs="Arial"/>
                <w:bCs/>
              </w:rPr>
              <w:t>P20220919009375</w:t>
            </w:r>
          </w:p>
        </w:tc>
      </w:tr>
    </w:tbl>
    <w:p w14:paraId="7A68D56D" w14:textId="77777777" w:rsidR="007F6FA3" w:rsidRPr="00D20A46" w:rsidRDefault="007F6FA3" w:rsidP="00D20A46">
      <w:pPr>
        <w:spacing w:after="0" w:line="276" w:lineRule="auto"/>
        <w:contextualSpacing/>
        <w:jc w:val="both"/>
        <w:rPr>
          <w:rFonts w:ascii="Arial" w:eastAsia="Calibri" w:hAnsi="Arial" w:cs="Arial"/>
          <w:lang w:val="es-ES_tradnl" w:eastAsia="es-ES_tradnl"/>
        </w:rPr>
      </w:pPr>
    </w:p>
    <w:p w14:paraId="22D0AEDC" w14:textId="77777777" w:rsidR="007F6FA3" w:rsidRPr="00D20A46" w:rsidRDefault="007F6FA3" w:rsidP="00D20A46">
      <w:pPr>
        <w:spacing w:after="0" w:line="276" w:lineRule="auto"/>
        <w:contextualSpacing/>
        <w:jc w:val="both"/>
        <w:rPr>
          <w:rFonts w:ascii="Arial" w:eastAsia="Calibri" w:hAnsi="Arial" w:cs="Arial"/>
          <w:lang w:val="es-ES_tradnl" w:eastAsia="es-ES_tradnl"/>
        </w:rPr>
      </w:pPr>
    </w:p>
    <w:p w14:paraId="3AD0F5EE" w14:textId="44E02F80" w:rsidR="007F6FA3" w:rsidRPr="00D20A46" w:rsidRDefault="007F6FA3" w:rsidP="00D20A46">
      <w:pPr>
        <w:spacing w:after="0" w:line="276" w:lineRule="auto"/>
        <w:contextualSpacing/>
        <w:jc w:val="both"/>
        <w:rPr>
          <w:rFonts w:ascii="Arial" w:eastAsia="Calibri" w:hAnsi="Arial" w:cs="Arial"/>
          <w:lang w:val="es-ES_tradnl" w:eastAsia="es-ES_tradnl"/>
        </w:rPr>
      </w:pPr>
      <w:r w:rsidRPr="00D20A46">
        <w:rPr>
          <w:rFonts w:ascii="Arial" w:eastAsia="Calibri" w:hAnsi="Arial" w:cs="Arial"/>
          <w:lang w:val="es-ES_tradnl" w:eastAsia="es-ES_tradnl"/>
        </w:rPr>
        <w:t>Estimad</w:t>
      </w:r>
      <w:r w:rsidR="00BE7BA1" w:rsidRPr="00D20A46">
        <w:rPr>
          <w:rFonts w:ascii="Arial" w:eastAsia="Calibri" w:hAnsi="Arial" w:cs="Arial"/>
          <w:lang w:val="es-ES_tradnl" w:eastAsia="es-ES_tradnl"/>
        </w:rPr>
        <w:t>o</w:t>
      </w:r>
      <w:r w:rsidRPr="00D20A46">
        <w:rPr>
          <w:rFonts w:ascii="Arial" w:eastAsia="Calibri" w:hAnsi="Arial" w:cs="Arial"/>
          <w:lang w:val="es-ES_tradnl" w:eastAsia="es-ES_tradnl"/>
        </w:rPr>
        <w:t xml:space="preserve"> señor</w:t>
      </w:r>
      <w:r w:rsidR="00F8285F" w:rsidRPr="00D20A46">
        <w:rPr>
          <w:rFonts w:ascii="Arial" w:eastAsia="Calibri" w:hAnsi="Arial" w:cs="Arial"/>
          <w:lang w:val="es-ES_tradnl" w:eastAsia="es-ES_tradnl"/>
        </w:rPr>
        <w:t xml:space="preserve"> Guti</w:t>
      </w:r>
      <w:r w:rsidR="00950789" w:rsidRPr="00D20A46">
        <w:rPr>
          <w:rFonts w:ascii="Arial" w:eastAsia="Calibri" w:hAnsi="Arial" w:cs="Arial"/>
          <w:lang w:val="es-ES_tradnl" w:eastAsia="es-ES_tradnl"/>
        </w:rPr>
        <w:t>érrez:</w:t>
      </w:r>
    </w:p>
    <w:p w14:paraId="7D77744A" w14:textId="77777777" w:rsidR="007F6FA3" w:rsidRPr="00D20A46" w:rsidRDefault="007F6FA3" w:rsidP="00D20A46">
      <w:pPr>
        <w:spacing w:after="0" w:line="276" w:lineRule="auto"/>
        <w:contextualSpacing/>
        <w:jc w:val="both"/>
        <w:rPr>
          <w:rFonts w:ascii="Arial" w:eastAsia="Calibri" w:hAnsi="Arial" w:cs="Arial"/>
          <w:lang w:val="es-ES_tradnl" w:eastAsia="es-ES_tradnl"/>
        </w:rPr>
      </w:pPr>
    </w:p>
    <w:p w14:paraId="6AB52A00" w14:textId="7693DA5E" w:rsidR="007F6FA3" w:rsidRPr="00D20A46" w:rsidRDefault="007F6FA3" w:rsidP="00D20A46">
      <w:pPr>
        <w:spacing w:after="0" w:line="276" w:lineRule="auto"/>
        <w:contextualSpacing/>
        <w:jc w:val="both"/>
        <w:rPr>
          <w:rFonts w:ascii="Arial" w:eastAsia="Calibri" w:hAnsi="Arial" w:cs="Arial"/>
          <w:lang w:val="es-ES_tradnl" w:eastAsia="es-ES_tradnl"/>
        </w:rPr>
      </w:pPr>
      <w:r w:rsidRPr="00D20A46">
        <w:rPr>
          <w:rFonts w:ascii="Arial" w:eastAsia="Calibri" w:hAnsi="Arial" w:cs="Arial"/>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a la consulta realizada a esta entidad el </w:t>
      </w:r>
      <w:r w:rsidR="00DA7DDA" w:rsidRPr="00D20A46">
        <w:rPr>
          <w:rFonts w:ascii="Arial" w:eastAsia="Calibri" w:hAnsi="Arial" w:cs="Arial"/>
          <w:lang w:val="es-ES_tradnl" w:eastAsia="es-ES_tradnl"/>
        </w:rPr>
        <w:t>1</w:t>
      </w:r>
      <w:r w:rsidR="00775EB7" w:rsidRPr="00D20A46">
        <w:rPr>
          <w:rFonts w:ascii="Arial" w:eastAsia="Calibri" w:hAnsi="Arial" w:cs="Arial"/>
          <w:lang w:val="es-ES_tradnl" w:eastAsia="es-ES_tradnl"/>
        </w:rPr>
        <w:t>6</w:t>
      </w:r>
      <w:r w:rsidR="00DA7DDA" w:rsidRPr="00D20A46">
        <w:rPr>
          <w:rFonts w:ascii="Arial" w:eastAsia="Calibri" w:hAnsi="Arial" w:cs="Arial"/>
          <w:lang w:val="es-ES_tradnl" w:eastAsia="es-ES_tradnl"/>
        </w:rPr>
        <w:t xml:space="preserve"> de </w:t>
      </w:r>
      <w:r w:rsidR="00775EB7" w:rsidRPr="00D20A46">
        <w:rPr>
          <w:rFonts w:ascii="Arial" w:eastAsia="Calibri" w:hAnsi="Arial" w:cs="Arial"/>
          <w:lang w:val="es-ES_tradnl" w:eastAsia="es-ES_tradnl"/>
        </w:rPr>
        <w:t>septiembre</w:t>
      </w:r>
      <w:r w:rsidRPr="00D20A46">
        <w:rPr>
          <w:rFonts w:ascii="Arial" w:eastAsia="Calibri" w:hAnsi="Arial" w:cs="Arial"/>
          <w:lang w:val="es-ES_tradnl" w:eastAsia="es-ES_tradnl"/>
        </w:rPr>
        <w:t xml:space="preserve"> de 2022. </w:t>
      </w:r>
    </w:p>
    <w:p w14:paraId="43192A3A" w14:textId="77777777" w:rsidR="007F6FA3" w:rsidRPr="00D20A46" w:rsidRDefault="007F6FA3" w:rsidP="00D20A46">
      <w:pPr>
        <w:spacing w:after="0" w:line="276" w:lineRule="auto"/>
        <w:contextualSpacing/>
        <w:jc w:val="both"/>
        <w:rPr>
          <w:rFonts w:ascii="Arial" w:eastAsia="Calibri" w:hAnsi="Arial" w:cs="Arial"/>
          <w:b/>
          <w:lang w:val="es-ES_tradnl" w:eastAsia="es-ES_tradnl"/>
        </w:rPr>
      </w:pPr>
    </w:p>
    <w:p w14:paraId="3775BFF3" w14:textId="77777777" w:rsidR="007F6FA3" w:rsidRPr="00D20A46" w:rsidRDefault="007F6FA3" w:rsidP="00D20A46">
      <w:pPr>
        <w:numPr>
          <w:ilvl w:val="0"/>
          <w:numId w:val="1"/>
        </w:numPr>
        <w:tabs>
          <w:tab w:val="left" w:pos="0"/>
          <w:tab w:val="left" w:pos="142"/>
          <w:tab w:val="left" w:pos="284"/>
        </w:tabs>
        <w:spacing w:after="0" w:line="276" w:lineRule="auto"/>
        <w:contextualSpacing/>
        <w:jc w:val="both"/>
        <w:rPr>
          <w:rFonts w:ascii="Arial" w:eastAsia="Calibri" w:hAnsi="Arial" w:cs="Arial"/>
          <w:b/>
          <w:lang w:val="es-ES_tradnl"/>
        </w:rPr>
      </w:pPr>
      <w:r w:rsidRPr="00D20A46">
        <w:rPr>
          <w:rFonts w:ascii="Arial" w:eastAsia="Calibri" w:hAnsi="Arial" w:cs="Arial"/>
          <w:b/>
          <w:lang w:val="es-ES_tradnl"/>
        </w:rPr>
        <w:t xml:space="preserve">Problema planteado </w:t>
      </w:r>
    </w:p>
    <w:p w14:paraId="3DD5778F" w14:textId="77777777" w:rsidR="006F7E2A" w:rsidRPr="00D20A46" w:rsidRDefault="006F7E2A" w:rsidP="00D20A46">
      <w:pPr>
        <w:pBdr>
          <w:top w:val="nil"/>
          <w:left w:val="nil"/>
          <w:bottom w:val="nil"/>
          <w:right w:val="nil"/>
          <w:between w:val="nil"/>
        </w:pBdr>
        <w:tabs>
          <w:tab w:val="left" w:pos="284"/>
        </w:tabs>
        <w:spacing w:after="0" w:line="276" w:lineRule="auto"/>
        <w:contextualSpacing/>
        <w:jc w:val="both"/>
        <w:rPr>
          <w:rFonts w:ascii="Arial" w:eastAsia="Arial" w:hAnsi="Arial" w:cs="Arial"/>
          <w:b/>
          <w:lang w:val="es-MX" w:eastAsia="es-ES_tradnl"/>
        </w:rPr>
      </w:pPr>
    </w:p>
    <w:p w14:paraId="415880D7" w14:textId="17C31BBE" w:rsidR="006F7E2A" w:rsidRPr="00D20A46" w:rsidRDefault="00DA5B34" w:rsidP="00D20A46">
      <w:pPr>
        <w:pBdr>
          <w:top w:val="nil"/>
          <w:left w:val="nil"/>
          <w:bottom w:val="nil"/>
          <w:right w:val="nil"/>
          <w:between w:val="nil"/>
        </w:pBdr>
        <w:tabs>
          <w:tab w:val="left" w:pos="284"/>
        </w:tabs>
        <w:spacing w:after="0" w:line="276" w:lineRule="auto"/>
        <w:contextualSpacing/>
        <w:jc w:val="both"/>
        <w:rPr>
          <w:rFonts w:ascii="Arial" w:eastAsia="Arial" w:hAnsi="Arial" w:cs="Arial"/>
          <w:lang w:val="es-MX" w:eastAsia="es-ES_tradnl"/>
        </w:rPr>
      </w:pPr>
      <w:r w:rsidRPr="00D20A46">
        <w:rPr>
          <w:rFonts w:ascii="Arial" w:eastAsia="Arial" w:hAnsi="Arial" w:cs="Arial"/>
          <w:lang w:val="es-MX" w:eastAsia="es-ES_tradnl"/>
        </w:rPr>
        <w:t>Respecto</w:t>
      </w:r>
      <w:r w:rsidR="00042F60" w:rsidRPr="00D20A46">
        <w:rPr>
          <w:rFonts w:ascii="Arial" w:eastAsia="Arial" w:hAnsi="Arial" w:cs="Arial"/>
          <w:lang w:val="es-MX" w:eastAsia="es-ES_tradnl"/>
        </w:rPr>
        <w:t xml:space="preserve"> </w:t>
      </w:r>
      <w:r w:rsidR="007655E3" w:rsidRPr="00D20A46">
        <w:rPr>
          <w:rFonts w:ascii="Arial" w:eastAsia="Arial" w:hAnsi="Arial" w:cs="Arial"/>
          <w:lang w:val="es-MX" w:eastAsia="es-ES_tradnl"/>
        </w:rPr>
        <w:t xml:space="preserve">de si se puede solicitar a los posibles oferentes diligenciar el formato de hoja de vida </w:t>
      </w:r>
      <w:r w:rsidR="001D422A" w:rsidRPr="00D20A46">
        <w:rPr>
          <w:rFonts w:ascii="Arial" w:eastAsia="Arial" w:hAnsi="Arial" w:cs="Arial"/>
          <w:lang w:val="es-MX" w:eastAsia="es-ES_tradnl"/>
        </w:rPr>
        <w:t xml:space="preserve">de la función pública para personas </w:t>
      </w:r>
      <w:r w:rsidR="0008211F" w:rsidRPr="00D20A46">
        <w:rPr>
          <w:rFonts w:ascii="Arial" w:eastAsia="Arial" w:hAnsi="Arial" w:cs="Arial"/>
          <w:lang w:val="es-MX" w:eastAsia="es-ES_tradnl"/>
        </w:rPr>
        <w:t>jurídicas,</w:t>
      </w:r>
      <w:r w:rsidRPr="00D20A46">
        <w:rPr>
          <w:rFonts w:ascii="Arial" w:eastAsia="Arial" w:hAnsi="Arial" w:cs="Arial"/>
          <w:lang w:val="es-MX" w:eastAsia="es-ES_tradnl"/>
        </w:rPr>
        <w:t xml:space="preserve"> usted</w:t>
      </w:r>
      <w:r w:rsidR="006F7E2A" w:rsidRPr="00D20A46">
        <w:rPr>
          <w:rFonts w:ascii="Arial" w:eastAsia="Arial" w:hAnsi="Arial" w:cs="Arial"/>
          <w:lang w:val="es-MX" w:eastAsia="es-ES_tradnl"/>
        </w:rPr>
        <w:t xml:space="preserve"> plantea </w:t>
      </w:r>
      <w:r w:rsidR="000E0A16" w:rsidRPr="00D20A46">
        <w:rPr>
          <w:rFonts w:ascii="Arial" w:eastAsia="Arial" w:hAnsi="Arial" w:cs="Arial"/>
          <w:lang w:val="es-MX" w:eastAsia="es-ES_tradnl"/>
        </w:rPr>
        <w:t>e</w:t>
      </w:r>
      <w:r w:rsidR="006F7E2A" w:rsidRPr="00D20A46">
        <w:rPr>
          <w:rFonts w:ascii="Arial" w:eastAsia="Arial" w:hAnsi="Arial" w:cs="Arial"/>
          <w:lang w:val="es-MX" w:eastAsia="es-ES_tradnl"/>
        </w:rPr>
        <w:t>l siguiente interrogante:</w:t>
      </w:r>
    </w:p>
    <w:p w14:paraId="1F890057" w14:textId="712D1B1E" w:rsidR="006F7E2A" w:rsidRPr="00D20A46" w:rsidRDefault="006F7E2A" w:rsidP="00D20A46">
      <w:pPr>
        <w:tabs>
          <w:tab w:val="left" w:pos="426"/>
        </w:tabs>
        <w:spacing w:after="0" w:line="276" w:lineRule="auto"/>
        <w:contextualSpacing/>
        <w:jc w:val="both"/>
        <w:rPr>
          <w:rFonts w:ascii="Arial" w:eastAsia="Arial" w:hAnsi="Arial" w:cs="Arial"/>
          <w:color w:val="FF0000"/>
          <w:lang w:val="es-MX" w:eastAsia="es-ES_tradnl"/>
        </w:rPr>
      </w:pPr>
    </w:p>
    <w:p w14:paraId="6A764316" w14:textId="479C7F90" w:rsidR="000E0A16" w:rsidRPr="00D20A46" w:rsidRDefault="000E0A16" w:rsidP="00D20A46">
      <w:pPr>
        <w:pBdr>
          <w:top w:val="nil"/>
          <w:left w:val="nil"/>
          <w:bottom w:val="nil"/>
          <w:right w:val="nil"/>
          <w:between w:val="nil"/>
        </w:pBdr>
        <w:tabs>
          <w:tab w:val="left" w:pos="284"/>
        </w:tabs>
        <w:spacing w:after="0" w:line="276" w:lineRule="auto"/>
        <w:ind w:left="709" w:right="709"/>
        <w:contextualSpacing/>
        <w:jc w:val="both"/>
        <w:rPr>
          <w:rFonts w:ascii="Arial" w:eastAsia="Arial" w:hAnsi="Arial" w:cs="Arial"/>
          <w:bCs/>
          <w:i/>
          <w:iCs/>
          <w:sz w:val="20"/>
          <w:szCs w:val="20"/>
          <w:lang w:val="es-MX" w:eastAsia="es-ES_tradnl"/>
        </w:rPr>
      </w:pPr>
      <w:r w:rsidRPr="00D20A46">
        <w:rPr>
          <w:rFonts w:ascii="Arial" w:eastAsia="Arial" w:hAnsi="Arial" w:cs="Arial"/>
          <w:bCs/>
          <w:i/>
          <w:iCs/>
          <w:sz w:val="20"/>
          <w:szCs w:val="20"/>
          <w:lang w:val="es-MX" w:eastAsia="es-ES_tradnl"/>
        </w:rPr>
        <w:lastRenderedPageBreak/>
        <w:t>«¿</w:t>
      </w:r>
      <w:r w:rsidR="007C1E18" w:rsidRPr="00D20A46">
        <w:rPr>
          <w:rFonts w:ascii="Arial" w:eastAsia="Arial" w:hAnsi="Arial" w:cs="Arial"/>
          <w:bCs/>
          <w:i/>
          <w:iCs/>
          <w:sz w:val="20"/>
          <w:szCs w:val="20"/>
          <w:lang w:val="es-MX" w:eastAsia="es-ES_tradnl"/>
        </w:rPr>
        <w:t>En un pliego de condiciones se puede solicitar a los posibles oferentes, diligenciar el formato de hoja de vida de la función pública para personas jurídicas? Si es así cual sería el fundamento jurídico.</w:t>
      </w:r>
      <w:r w:rsidRPr="00D20A46">
        <w:rPr>
          <w:rFonts w:ascii="Arial" w:eastAsia="Arial" w:hAnsi="Arial" w:cs="Arial"/>
          <w:bCs/>
          <w:i/>
          <w:iCs/>
          <w:sz w:val="20"/>
          <w:szCs w:val="20"/>
          <w:lang w:val="es-MX" w:eastAsia="es-ES_tradnl"/>
        </w:rPr>
        <w:t>?»</w:t>
      </w:r>
      <w:r w:rsidR="002F37C5" w:rsidRPr="00D20A46">
        <w:rPr>
          <w:rFonts w:ascii="Arial" w:eastAsia="Arial" w:hAnsi="Arial" w:cs="Arial"/>
          <w:bCs/>
          <w:i/>
          <w:iCs/>
          <w:sz w:val="20"/>
          <w:szCs w:val="20"/>
          <w:lang w:val="es-MX" w:eastAsia="es-ES_tradnl"/>
        </w:rPr>
        <w:t xml:space="preserve">. </w:t>
      </w:r>
    </w:p>
    <w:p w14:paraId="3958435C" w14:textId="77777777" w:rsidR="000E0A16" w:rsidRPr="00D20A46" w:rsidRDefault="000E0A16" w:rsidP="00D20A46">
      <w:pPr>
        <w:tabs>
          <w:tab w:val="left" w:pos="426"/>
        </w:tabs>
        <w:spacing w:after="0" w:line="276" w:lineRule="auto"/>
        <w:contextualSpacing/>
        <w:jc w:val="both"/>
        <w:rPr>
          <w:rFonts w:ascii="Arial" w:eastAsia="Arial" w:hAnsi="Arial" w:cs="Arial"/>
          <w:lang w:val="es-MX" w:eastAsia="es-ES_tradnl"/>
        </w:rPr>
      </w:pPr>
    </w:p>
    <w:p w14:paraId="65DEBA28" w14:textId="240B9CA8" w:rsidR="006F7E2A" w:rsidRPr="00D20A46" w:rsidRDefault="006F7E2A" w:rsidP="00D20A46">
      <w:pPr>
        <w:tabs>
          <w:tab w:val="left" w:pos="426"/>
        </w:tabs>
        <w:spacing w:after="0" w:line="276" w:lineRule="auto"/>
        <w:contextualSpacing/>
        <w:jc w:val="both"/>
        <w:rPr>
          <w:rFonts w:ascii="Arial" w:eastAsia="Arial" w:hAnsi="Arial" w:cs="Arial"/>
          <w:b/>
          <w:lang w:val="es-MX" w:eastAsia="es-ES_tradnl"/>
        </w:rPr>
      </w:pPr>
      <w:r w:rsidRPr="00D20A46">
        <w:rPr>
          <w:rFonts w:ascii="Arial" w:eastAsia="Arial" w:hAnsi="Arial" w:cs="Arial"/>
          <w:b/>
          <w:lang w:val="es-MX" w:eastAsia="es-ES_tradnl"/>
        </w:rPr>
        <w:t>2. Consideraciones</w:t>
      </w:r>
    </w:p>
    <w:p w14:paraId="6C85A36F" w14:textId="77777777" w:rsidR="000E0A16" w:rsidRPr="00D20A46" w:rsidRDefault="000E0A16" w:rsidP="00D20A46">
      <w:pPr>
        <w:tabs>
          <w:tab w:val="left" w:pos="426"/>
        </w:tabs>
        <w:spacing w:after="0" w:line="276" w:lineRule="auto"/>
        <w:contextualSpacing/>
        <w:jc w:val="both"/>
        <w:rPr>
          <w:rFonts w:ascii="Arial" w:eastAsia="Calibri" w:hAnsi="Arial" w:cs="Arial"/>
          <w:lang w:val="es-MX" w:eastAsia="es-ES_tradnl"/>
        </w:rPr>
      </w:pPr>
    </w:p>
    <w:p w14:paraId="26EEFFC1" w14:textId="0D0648EF" w:rsidR="00D20A46" w:rsidRPr="00D20A46" w:rsidRDefault="00D20A46" w:rsidP="00D20A46">
      <w:pPr>
        <w:pStyle w:val="paragraph"/>
        <w:spacing w:before="0" w:beforeAutospacing="0" w:after="0" w:afterAutospacing="0" w:line="276" w:lineRule="auto"/>
        <w:jc w:val="both"/>
        <w:textAlignment w:val="baseline"/>
        <w:rPr>
          <w:rFonts w:ascii="Arial" w:hAnsi="Arial" w:cs="Arial"/>
          <w:sz w:val="22"/>
          <w:szCs w:val="22"/>
        </w:rPr>
      </w:pPr>
      <w:r w:rsidRPr="00D20A46">
        <w:rPr>
          <w:rStyle w:val="normaltextrun"/>
          <w:rFonts w:ascii="Arial" w:hAnsi="Arial" w:cs="Arial"/>
          <w:sz w:val="22"/>
          <w:szCs w:val="22"/>
          <w:lang w:val="es-MX"/>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r w:rsidRPr="00D20A46">
        <w:rPr>
          <w:rStyle w:val="normaltextrun"/>
          <w:rFonts w:ascii="Arial" w:hAnsi="Arial" w:cs="Arial"/>
          <w:sz w:val="22"/>
          <w:szCs w:val="22"/>
          <w:lang w:val="es-ES"/>
        </w:rPr>
        <w:t xml:space="preserve">Es necesario tener en cuenta que esta entidad solo tiene competencia para responder solicitudes sobre </w:t>
      </w:r>
      <w:r w:rsidRPr="00D20A46">
        <w:rPr>
          <w:rStyle w:val="normaltextrun"/>
          <w:rFonts w:ascii="Arial" w:hAnsi="Arial" w:cs="Arial"/>
          <w:color w:val="000000"/>
          <w:sz w:val="22"/>
          <w:szCs w:val="22"/>
          <w:lang w:val="es-ES"/>
        </w:rPr>
        <w:t xml:space="preserve">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 </w:t>
      </w:r>
      <w:r w:rsidRPr="00D20A46">
        <w:rPr>
          <w:rStyle w:val="normaltextrun"/>
          <w:rFonts w:ascii="Arial" w:hAnsi="Arial" w:cs="Arial"/>
          <w:color w:val="000000"/>
          <w:sz w:val="22"/>
          <w:szCs w:val="22"/>
          <w:shd w:val="clear" w:color="auto" w:fill="FFFFFF"/>
          <w:lang w:val="es-ES"/>
        </w:rPr>
        <w:t> </w:t>
      </w:r>
      <w:r w:rsidRPr="00D20A46">
        <w:rPr>
          <w:rStyle w:val="eop"/>
          <w:rFonts w:ascii="Arial" w:hAnsi="Arial" w:cs="Arial"/>
          <w:color w:val="000000"/>
          <w:sz w:val="22"/>
          <w:szCs w:val="22"/>
        </w:rPr>
        <w:t> </w:t>
      </w:r>
    </w:p>
    <w:p w14:paraId="03AF12CC" w14:textId="0CE19F92" w:rsidR="00D20A46" w:rsidRPr="00D20A46" w:rsidRDefault="00D20A46" w:rsidP="00D20A46">
      <w:pPr>
        <w:pStyle w:val="paragraph"/>
        <w:spacing w:before="0" w:beforeAutospacing="0" w:after="0" w:afterAutospacing="0" w:line="276" w:lineRule="auto"/>
        <w:ind w:firstLine="705"/>
        <w:jc w:val="both"/>
        <w:textAlignment w:val="baseline"/>
        <w:rPr>
          <w:rFonts w:ascii="Arial" w:eastAsia="Arial" w:hAnsi="Arial" w:cs="Arial"/>
          <w:lang w:val="es-MX" w:eastAsia="es-ES_tradnl"/>
        </w:rPr>
      </w:pPr>
      <w:r w:rsidRPr="00D20A46">
        <w:rPr>
          <w:rStyle w:val="normaltextrun"/>
          <w:rFonts w:ascii="Arial" w:hAnsi="Arial" w:cs="Arial"/>
          <w:color w:val="000000"/>
          <w:sz w:val="22"/>
          <w:szCs w:val="22"/>
          <w:lang w:val="es-ES"/>
        </w:rPr>
        <w:t>Por tanto, la competencia de esta Agencia se fija con límites claros, con el objeto de evitar que actúe como una instancia de validación de las actuaciones de las entidades sujetas a la Ley 80 de 1993 o de los demás participantes de la contratación pública.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 </w:t>
      </w:r>
    </w:p>
    <w:p w14:paraId="6691432A" w14:textId="6DCA8C81" w:rsidR="005109B2" w:rsidRDefault="00D20A46" w:rsidP="005109B2">
      <w:pPr>
        <w:tabs>
          <w:tab w:val="left" w:pos="426"/>
        </w:tabs>
        <w:spacing w:after="120" w:line="276" w:lineRule="auto"/>
        <w:jc w:val="both"/>
        <w:rPr>
          <w:rFonts w:ascii="Arial" w:eastAsia="Arial" w:hAnsi="Arial" w:cs="Arial"/>
          <w:lang w:val="es-MX" w:eastAsia="es-ES_tradnl"/>
        </w:rPr>
      </w:pPr>
      <w:r>
        <w:rPr>
          <w:rFonts w:ascii="Arial" w:eastAsia="Arial" w:hAnsi="Arial" w:cs="Arial"/>
          <w:lang w:val="es-MX" w:eastAsia="es-ES_tradnl"/>
        </w:rPr>
        <w:tab/>
      </w:r>
      <w:r w:rsidR="005109B2">
        <w:rPr>
          <w:rFonts w:ascii="Arial" w:eastAsia="Arial" w:hAnsi="Arial" w:cs="Arial"/>
          <w:lang w:val="es-MX" w:eastAsia="es-ES_tradnl"/>
        </w:rPr>
        <w:tab/>
      </w:r>
      <w:r>
        <w:rPr>
          <w:rFonts w:ascii="Arial" w:eastAsia="Arial" w:hAnsi="Arial" w:cs="Arial"/>
          <w:lang w:val="es-MX" w:eastAsia="es-ES_tradnl"/>
        </w:rPr>
        <w:t>En ese orden de ideas, c</w:t>
      </w:r>
      <w:r w:rsidR="006F7E2A" w:rsidRPr="00D20A46">
        <w:rPr>
          <w:rFonts w:ascii="Arial" w:eastAsia="Arial" w:hAnsi="Arial" w:cs="Arial"/>
          <w:lang w:val="es-MX" w:eastAsia="es-ES_tradnl"/>
        </w:rPr>
        <w:t xml:space="preserve">on el fin de resolver </w:t>
      </w:r>
      <w:r w:rsidR="007221E9" w:rsidRPr="00D20A46">
        <w:rPr>
          <w:rFonts w:ascii="Arial" w:eastAsia="Arial" w:hAnsi="Arial" w:cs="Arial"/>
          <w:lang w:val="es-MX" w:eastAsia="es-ES_tradnl"/>
        </w:rPr>
        <w:t>e</w:t>
      </w:r>
      <w:r w:rsidR="006F7E2A" w:rsidRPr="00D20A46">
        <w:rPr>
          <w:rFonts w:ascii="Arial" w:eastAsia="Arial" w:hAnsi="Arial" w:cs="Arial"/>
          <w:lang w:val="es-MX" w:eastAsia="es-ES_tradnl"/>
        </w:rPr>
        <w:t xml:space="preserve">l interrogante transcrito, a continuación, la Agencia analizará los siguientes temas: i) </w:t>
      </w:r>
      <w:r w:rsidR="002C5A20" w:rsidRPr="00D20A46">
        <w:rPr>
          <w:rFonts w:ascii="Arial" w:eastAsia="Arial" w:hAnsi="Arial" w:cs="Arial"/>
          <w:lang w:val="es-MX" w:eastAsia="es-ES_tradnl"/>
        </w:rPr>
        <w:t xml:space="preserve">Discrecionalidad de las Entidades Estatales para establecer </w:t>
      </w:r>
      <w:r w:rsidR="00252999" w:rsidRPr="00D20A46">
        <w:rPr>
          <w:rFonts w:ascii="Arial" w:eastAsia="Arial" w:hAnsi="Arial" w:cs="Arial"/>
          <w:lang w:val="es-MX" w:eastAsia="es-ES_tradnl"/>
        </w:rPr>
        <w:t>los</w:t>
      </w:r>
      <w:r w:rsidR="00252999" w:rsidRPr="00D20A46">
        <w:rPr>
          <w:rStyle w:val="normaltextrun"/>
          <w:rFonts w:ascii="Arial" w:hAnsi="Arial" w:cs="Arial"/>
          <w:color w:val="000000"/>
          <w:shd w:val="clear" w:color="auto" w:fill="FFFFFF"/>
        </w:rPr>
        <w:t xml:space="preserve"> </w:t>
      </w:r>
      <w:r w:rsidR="00CC6E60">
        <w:rPr>
          <w:rStyle w:val="normaltextrun"/>
          <w:rFonts w:ascii="Arial" w:hAnsi="Arial" w:cs="Arial"/>
          <w:color w:val="000000"/>
          <w:shd w:val="clear" w:color="auto" w:fill="FFFFFF"/>
        </w:rPr>
        <w:t>requisitos habilitantes</w:t>
      </w:r>
      <w:r w:rsidR="00252999" w:rsidRPr="00D20A46">
        <w:rPr>
          <w:rStyle w:val="normaltextrun"/>
          <w:rFonts w:ascii="Arial" w:hAnsi="Arial" w:cs="Arial"/>
          <w:color w:val="000000"/>
          <w:shd w:val="clear" w:color="auto" w:fill="FFFFFF"/>
        </w:rPr>
        <w:t xml:space="preserve"> en los pliegos de condiciones</w:t>
      </w:r>
      <w:r w:rsidR="008A26B5" w:rsidRPr="00D20A46">
        <w:rPr>
          <w:rFonts w:ascii="Arial" w:eastAsia="Arial" w:hAnsi="Arial" w:cs="Arial"/>
          <w:lang w:val="es-MX" w:eastAsia="es-ES_tradnl"/>
        </w:rPr>
        <w:t xml:space="preserve">; </w:t>
      </w:r>
      <w:proofErr w:type="spellStart"/>
      <w:r w:rsidR="00FD00C8" w:rsidRPr="00D20A46">
        <w:rPr>
          <w:rFonts w:ascii="Arial" w:eastAsia="Calibri" w:hAnsi="Arial" w:cs="Arial"/>
          <w:color w:val="000000" w:themeColor="text1"/>
          <w:lang w:val="es-ES_tradnl"/>
        </w:rPr>
        <w:t>ii</w:t>
      </w:r>
      <w:proofErr w:type="spellEnd"/>
      <w:r w:rsidR="00FD00C8" w:rsidRPr="00D20A46">
        <w:rPr>
          <w:rFonts w:ascii="Arial" w:eastAsia="Arial" w:hAnsi="Arial" w:cs="Arial"/>
          <w:lang w:val="es-MX" w:eastAsia="es-ES_tradnl"/>
        </w:rPr>
        <w:t>) las características generales del contrato estatal de prestación de servicios</w:t>
      </w:r>
      <w:r w:rsidR="00D934DF">
        <w:rPr>
          <w:rFonts w:ascii="Arial" w:eastAsia="Arial" w:hAnsi="Arial" w:cs="Arial"/>
          <w:lang w:val="es-MX" w:eastAsia="es-ES_tradnl"/>
        </w:rPr>
        <w:t xml:space="preserve"> profesionales y apoyo a la gestión</w:t>
      </w:r>
      <w:r w:rsidR="00B163D9" w:rsidRPr="00D20A46">
        <w:rPr>
          <w:rFonts w:ascii="Arial" w:eastAsia="Arial" w:hAnsi="Arial" w:cs="Arial"/>
          <w:lang w:val="es-MX" w:eastAsia="es-ES_tradnl"/>
        </w:rPr>
        <w:t xml:space="preserve">; </w:t>
      </w:r>
      <w:r w:rsidR="002A16B0" w:rsidRPr="00D20A46">
        <w:rPr>
          <w:rFonts w:ascii="Arial" w:eastAsia="Arial" w:hAnsi="Arial" w:cs="Arial"/>
          <w:lang w:val="es-MX" w:eastAsia="es-ES_tradnl"/>
        </w:rPr>
        <w:t xml:space="preserve">y, </w:t>
      </w:r>
      <w:proofErr w:type="spellStart"/>
      <w:r w:rsidR="00B163D9" w:rsidRPr="00D20A46">
        <w:rPr>
          <w:rFonts w:ascii="Arial" w:eastAsia="Arial" w:hAnsi="Arial" w:cs="Arial"/>
          <w:lang w:val="es-MX" w:eastAsia="es-ES_tradnl"/>
        </w:rPr>
        <w:t>iii</w:t>
      </w:r>
      <w:proofErr w:type="spellEnd"/>
      <w:r w:rsidR="00B163D9" w:rsidRPr="00D20A46">
        <w:rPr>
          <w:rFonts w:ascii="Arial" w:eastAsia="Arial" w:hAnsi="Arial" w:cs="Arial"/>
          <w:lang w:val="es-MX" w:eastAsia="es-ES_tradnl"/>
        </w:rPr>
        <w:t>)</w:t>
      </w:r>
      <w:r w:rsidR="00227B86" w:rsidRPr="00D20A46">
        <w:rPr>
          <w:rFonts w:ascii="Arial" w:eastAsia="Arial" w:hAnsi="Arial" w:cs="Arial"/>
          <w:lang w:val="es-MX" w:eastAsia="es-ES_tradnl"/>
        </w:rPr>
        <w:t xml:space="preserve"> </w:t>
      </w:r>
      <w:r w:rsidR="005109B2" w:rsidRPr="005109B2">
        <w:rPr>
          <w:rFonts w:ascii="Arial" w:eastAsia="Arial" w:hAnsi="Arial" w:cs="Arial"/>
          <w:lang w:val="es-MX" w:eastAsia="es-ES_tradnl"/>
        </w:rPr>
        <w:t>Exigencia del Formato hoja de vida de la función pública para la celebración de Contratos Prestación de Servicios</w:t>
      </w:r>
      <w:r w:rsidR="005109B2">
        <w:rPr>
          <w:rFonts w:ascii="Arial" w:eastAsia="Arial" w:hAnsi="Arial" w:cs="Arial"/>
          <w:lang w:val="es-MX" w:eastAsia="es-ES_tradnl"/>
        </w:rPr>
        <w:t>.</w:t>
      </w:r>
    </w:p>
    <w:p w14:paraId="724061A0" w14:textId="1D5525A1" w:rsidR="006F7E2A" w:rsidRPr="00D20A46" w:rsidRDefault="006F7E2A" w:rsidP="005109B2">
      <w:pPr>
        <w:tabs>
          <w:tab w:val="left" w:pos="426"/>
        </w:tabs>
        <w:spacing w:after="120" w:line="276" w:lineRule="auto"/>
        <w:jc w:val="both"/>
        <w:rPr>
          <w:rFonts w:ascii="Arial" w:eastAsia="Arial" w:hAnsi="Arial" w:cs="Arial"/>
          <w:lang w:val="es-MX" w:eastAsia="es-ES_tradnl"/>
        </w:rPr>
      </w:pPr>
      <w:r w:rsidRPr="00D20A46">
        <w:rPr>
          <w:rFonts w:ascii="Arial" w:eastAsia="Arial" w:hAnsi="Arial" w:cs="Arial"/>
          <w:lang w:val="es-MX" w:eastAsia="es-ES_tradnl"/>
        </w:rPr>
        <w:t xml:space="preserve">La Agencia Nacional de Contratación Pública – Colombia Compra Eficiente se ha referido </w:t>
      </w:r>
      <w:r w:rsidR="00CA1FBA" w:rsidRPr="00D20A46">
        <w:rPr>
          <w:rFonts w:ascii="Arial" w:eastAsia="Arial" w:hAnsi="Arial" w:cs="Arial"/>
          <w:lang w:val="es-MX" w:eastAsia="es-ES_tradnl"/>
        </w:rPr>
        <w:t>sobre los</w:t>
      </w:r>
      <w:r w:rsidR="00CA1FBA" w:rsidRPr="00D20A46">
        <w:rPr>
          <w:rStyle w:val="normaltextrun"/>
          <w:rFonts w:ascii="Arial" w:hAnsi="Arial" w:cs="Arial"/>
          <w:color w:val="000000"/>
          <w:shd w:val="clear" w:color="auto" w:fill="FFFFFF"/>
        </w:rPr>
        <w:t xml:space="preserve"> factores de escogencia y calificación que establecen las Entidades Estatales en los pliegos de condiciones o sus equivalentes en los conceptos </w:t>
      </w:r>
      <w:r w:rsidR="00CA1FBA" w:rsidRPr="00D20A46">
        <w:rPr>
          <w:rFonts w:ascii="Arial" w:eastAsia="Arial" w:hAnsi="Arial" w:cs="Arial"/>
          <w:lang w:val="es-MX" w:eastAsia="es-ES_tradnl"/>
        </w:rPr>
        <w:t>C−107 del 24 de febrero de 2020, C−108 del 03 de marzo de 2020, C−166 del 13 de abril de 2020, C−469 del 27 de julio de 2020, C-708 del 9 de diciembre de 2020, C-767 del 07 de enero de 2021, C-059 del 10 de marzo de 2021, C-283 de 15 de junio de 2021, C-326 del 02 de julio de 2021, C-415 del 10 de agosto de 2021</w:t>
      </w:r>
      <w:r w:rsidR="00252999" w:rsidRPr="00D20A46">
        <w:rPr>
          <w:rFonts w:ascii="Arial" w:eastAsia="Arial" w:hAnsi="Arial" w:cs="Arial"/>
          <w:lang w:val="es-MX" w:eastAsia="es-ES_tradnl"/>
        </w:rPr>
        <w:t xml:space="preserve">, </w:t>
      </w:r>
      <w:r w:rsidR="00CA1FBA" w:rsidRPr="00D20A46">
        <w:rPr>
          <w:rFonts w:ascii="Arial" w:eastAsia="Arial" w:hAnsi="Arial" w:cs="Arial"/>
          <w:lang w:val="es-MX" w:eastAsia="es-ES_tradnl"/>
        </w:rPr>
        <w:t>C-432 del 27</w:t>
      </w:r>
      <w:r w:rsidR="00252999" w:rsidRPr="00D20A46">
        <w:rPr>
          <w:rFonts w:ascii="Arial" w:eastAsia="Arial" w:hAnsi="Arial" w:cs="Arial"/>
          <w:lang w:val="es-MX" w:eastAsia="es-ES_tradnl"/>
        </w:rPr>
        <w:t xml:space="preserve"> de septiembre de </w:t>
      </w:r>
      <w:r w:rsidR="00CA1FBA" w:rsidRPr="00D20A46">
        <w:rPr>
          <w:rFonts w:ascii="Arial" w:eastAsia="Arial" w:hAnsi="Arial" w:cs="Arial"/>
          <w:lang w:val="es-MX" w:eastAsia="es-ES_tradnl"/>
        </w:rPr>
        <w:t>2021</w:t>
      </w:r>
      <w:r w:rsidR="00252999" w:rsidRPr="00D20A46">
        <w:rPr>
          <w:rFonts w:ascii="Arial" w:eastAsia="Arial" w:hAnsi="Arial" w:cs="Arial"/>
          <w:lang w:val="es-MX" w:eastAsia="es-ES_tradnl"/>
        </w:rPr>
        <w:t xml:space="preserve">, </w:t>
      </w:r>
      <w:r w:rsidR="00CA1FBA" w:rsidRPr="00D20A46">
        <w:rPr>
          <w:rFonts w:ascii="Arial" w:eastAsia="Arial" w:hAnsi="Arial" w:cs="Arial"/>
          <w:lang w:val="es-MX" w:eastAsia="es-ES_tradnl"/>
        </w:rPr>
        <w:t>C-572 del 12</w:t>
      </w:r>
      <w:r w:rsidR="00252999" w:rsidRPr="00D20A46">
        <w:rPr>
          <w:rFonts w:ascii="Arial" w:eastAsia="Arial" w:hAnsi="Arial" w:cs="Arial"/>
          <w:lang w:val="es-MX" w:eastAsia="es-ES_tradnl"/>
        </w:rPr>
        <w:t xml:space="preserve"> de octubre de </w:t>
      </w:r>
      <w:r w:rsidR="00CA1FBA" w:rsidRPr="00D20A46">
        <w:rPr>
          <w:rFonts w:ascii="Arial" w:eastAsia="Arial" w:hAnsi="Arial" w:cs="Arial"/>
          <w:lang w:val="es-MX" w:eastAsia="es-ES_tradnl"/>
        </w:rPr>
        <w:t>2021, C-710 del 10</w:t>
      </w:r>
      <w:r w:rsidR="00252999" w:rsidRPr="00D20A46">
        <w:rPr>
          <w:rFonts w:ascii="Arial" w:eastAsia="Arial" w:hAnsi="Arial" w:cs="Arial"/>
          <w:lang w:val="es-MX" w:eastAsia="es-ES_tradnl"/>
        </w:rPr>
        <w:t xml:space="preserve"> de diciembre de </w:t>
      </w:r>
      <w:r w:rsidR="00CA1FBA" w:rsidRPr="00D20A46">
        <w:rPr>
          <w:rFonts w:ascii="Arial" w:eastAsia="Arial" w:hAnsi="Arial" w:cs="Arial"/>
          <w:lang w:val="es-MX" w:eastAsia="es-ES_tradnl"/>
        </w:rPr>
        <w:t>2021</w:t>
      </w:r>
      <w:r w:rsidR="00252999" w:rsidRPr="00D20A46">
        <w:rPr>
          <w:rFonts w:ascii="Arial" w:eastAsia="Arial" w:hAnsi="Arial" w:cs="Arial"/>
          <w:lang w:val="es-MX" w:eastAsia="es-ES_tradnl"/>
        </w:rPr>
        <w:t>,</w:t>
      </w:r>
      <w:r w:rsidR="00CA1FBA" w:rsidRPr="00D20A46">
        <w:rPr>
          <w:rFonts w:ascii="Arial" w:eastAsia="Arial" w:hAnsi="Arial" w:cs="Arial"/>
          <w:lang w:val="es-MX" w:eastAsia="es-ES_tradnl"/>
        </w:rPr>
        <w:t xml:space="preserve"> C-034 del 02</w:t>
      </w:r>
      <w:r w:rsidR="00252999" w:rsidRPr="00D20A46">
        <w:rPr>
          <w:rFonts w:ascii="Arial" w:eastAsia="Arial" w:hAnsi="Arial" w:cs="Arial"/>
          <w:lang w:val="es-MX" w:eastAsia="es-ES_tradnl"/>
        </w:rPr>
        <w:t xml:space="preserve"> de marzo de 2</w:t>
      </w:r>
      <w:r w:rsidR="00CA1FBA" w:rsidRPr="00D20A46">
        <w:rPr>
          <w:rFonts w:ascii="Arial" w:eastAsia="Arial" w:hAnsi="Arial" w:cs="Arial"/>
          <w:lang w:val="es-MX" w:eastAsia="es-ES_tradnl"/>
        </w:rPr>
        <w:t>022</w:t>
      </w:r>
      <w:r w:rsidR="00252999" w:rsidRPr="00D20A46">
        <w:rPr>
          <w:rFonts w:ascii="Arial" w:eastAsia="Arial" w:hAnsi="Arial" w:cs="Arial"/>
          <w:lang w:val="es-MX" w:eastAsia="es-ES_tradnl"/>
        </w:rPr>
        <w:t>,</w:t>
      </w:r>
      <w:r w:rsidR="00CA1FBA" w:rsidRPr="00D20A46">
        <w:rPr>
          <w:rFonts w:ascii="Arial" w:eastAsia="Arial" w:hAnsi="Arial" w:cs="Arial"/>
          <w:lang w:val="es-MX" w:eastAsia="es-ES_tradnl"/>
        </w:rPr>
        <w:t xml:space="preserve">  C-084 del 22</w:t>
      </w:r>
      <w:r w:rsidR="00252999" w:rsidRPr="00D20A46">
        <w:rPr>
          <w:rFonts w:ascii="Arial" w:eastAsia="Arial" w:hAnsi="Arial" w:cs="Arial"/>
          <w:lang w:val="es-MX" w:eastAsia="es-ES_tradnl"/>
        </w:rPr>
        <w:t xml:space="preserve"> de marzo de </w:t>
      </w:r>
      <w:r w:rsidR="00CA1FBA" w:rsidRPr="00D20A46">
        <w:rPr>
          <w:rFonts w:ascii="Arial" w:eastAsia="Arial" w:hAnsi="Arial" w:cs="Arial"/>
          <w:lang w:val="es-MX" w:eastAsia="es-ES_tradnl"/>
        </w:rPr>
        <w:t>2022</w:t>
      </w:r>
      <w:r w:rsidR="00252999" w:rsidRPr="00D20A46">
        <w:rPr>
          <w:rFonts w:ascii="Arial" w:eastAsia="Arial" w:hAnsi="Arial" w:cs="Arial"/>
          <w:lang w:val="es-MX" w:eastAsia="es-ES_tradnl"/>
        </w:rPr>
        <w:t>,</w:t>
      </w:r>
      <w:r w:rsidR="00CA1FBA" w:rsidRPr="00D20A46">
        <w:rPr>
          <w:rFonts w:ascii="Arial" w:eastAsia="Arial" w:hAnsi="Arial" w:cs="Arial"/>
          <w:lang w:val="es-MX" w:eastAsia="es-ES_tradnl"/>
        </w:rPr>
        <w:t xml:space="preserve"> C</w:t>
      </w:r>
      <w:r w:rsidR="00252999" w:rsidRPr="00D20A46">
        <w:rPr>
          <w:rFonts w:ascii="Arial" w:eastAsia="Arial" w:hAnsi="Arial" w:cs="Arial"/>
          <w:lang w:val="es-MX" w:eastAsia="es-ES_tradnl"/>
        </w:rPr>
        <w:t>-</w:t>
      </w:r>
      <w:r w:rsidR="00CA1FBA" w:rsidRPr="00D20A46">
        <w:rPr>
          <w:rFonts w:ascii="Arial" w:eastAsia="Arial" w:hAnsi="Arial" w:cs="Arial"/>
          <w:lang w:val="es-MX" w:eastAsia="es-ES_tradnl"/>
        </w:rPr>
        <w:t>144 del 29</w:t>
      </w:r>
      <w:r w:rsidR="00252999" w:rsidRPr="00D20A46">
        <w:rPr>
          <w:rFonts w:ascii="Arial" w:eastAsia="Arial" w:hAnsi="Arial" w:cs="Arial"/>
          <w:lang w:val="es-MX" w:eastAsia="es-ES_tradnl"/>
        </w:rPr>
        <w:t xml:space="preserve"> de marzo de 2</w:t>
      </w:r>
      <w:r w:rsidR="00CA1FBA" w:rsidRPr="00D20A46">
        <w:rPr>
          <w:rFonts w:ascii="Arial" w:eastAsia="Arial" w:hAnsi="Arial" w:cs="Arial"/>
          <w:lang w:val="es-MX" w:eastAsia="es-ES_tradnl"/>
        </w:rPr>
        <w:t>022, C-239 del 25</w:t>
      </w:r>
      <w:r w:rsidR="00252999" w:rsidRPr="00D20A46">
        <w:rPr>
          <w:rFonts w:ascii="Arial" w:eastAsia="Arial" w:hAnsi="Arial" w:cs="Arial"/>
          <w:lang w:val="es-MX" w:eastAsia="es-ES_tradnl"/>
        </w:rPr>
        <w:t xml:space="preserve"> de abril de </w:t>
      </w:r>
      <w:r w:rsidR="00CA1FBA" w:rsidRPr="00D20A46">
        <w:rPr>
          <w:rFonts w:ascii="Arial" w:eastAsia="Arial" w:hAnsi="Arial" w:cs="Arial"/>
          <w:lang w:val="es-MX" w:eastAsia="es-ES_tradnl"/>
        </w:rPr>
        <w:t>2022, C-278 del 09</w:t>
      </w:r>
      <w:r w:rsidR="00252999" w:rsidRPr="00D20A46">
        <w:rPr>
          <w:rFonts w:ascii="Arial" w:eastAsia="Arial" w:hAnsi="Arial" w:cs="Arial"/>
          <w:lang w:val="es-MX" w:eastAsia="es-ES_tradnl"/>
        </w:rPr>
        <w:t xml:space="preserve"> de mayo de </w:t>
      </w:r>
      <w:r w:rsidR="00CA1FBA" w:rsidRPr="00D20A46">
        <w:rPr>
          <w:rFonts w:ascii="Arial" w:eastAsia="Arial" w:hAnsi="Arial" w:cs="Arial"/>
          <w:lang w:val="es-MX" w:eastAsia="es-ES_tradnl"/>
        </w:rPr>
        <w:t>2022</w:t>
      </w:r>
      <w:r w:rsidR="00252999" w:rsidRPr="00D20A46">
        <w:rPr>
          <w:rFonts w:ascii="Arial" w:eastAsia="Arial" w:hAnsi="Arial" w:cs="Arial"/>
          <w:lang w:val="es-MX" w:eastAsia="es-ES_tradnl"/>
        </w:rPr>
        <w:t xml:space="preserve">, </w:t>
      </w:r>
      <w:r w:rsidR="00CA1FBA" w:rsidRPr="00D20A46">
        <w:rPr>
          <w:rFonts w:ascii="Arial" w:eastAsia="Arial" w:hAnsi="Arial" w:cs="Arial"/>
          <w:lang w:val="es-MX" w:eastAsia="es-ES_tradnl"/>
        </w:rPr>
        <w:t>C-434 del 08</w:t>
      </w:r>
      <w:r w:rsidR="00252999" w:rsidRPr="00D20A46">
        <w:rPr>
          <w:rFonts w:ascii="Arial" w:eastAsia="Arial" w:hAnsi="Arial" w:cs="Arial"/>
          <w:lang w:val="es-MX" w:eastAsia="es-ES_tradnl"/>
        </w:rPr>
        <w:t xml:space="preserve"> de julio de </w:t>
      </w:r>
      <w:r w:rsidR="00CA1FBA" w:rsidRPr="00D20A46">
        <w:rPr>
          <w:rFonts w:ascii="Arial" w:eastAsia="Arial" w:hAnsi="Arial" w:cs="Arial"/>
          <w:lang w:val="es-MX" w:eastAsia="es-ES_tradnl"/>
        </w:rPr>
        <w:t>2022</w:t>
      </w:r>
      <w:r w:rsidR="00252999" w:rsidRPr="00D20A46">
        <w:rPr>
          <w:rFonts w:ascii="Arial" w:eastAsia="Arial" w:hAnsi="Arial" w:cs="Arial"/>
          <w:lang w:val="es-MX" w:eastAsia="es-ES_tradnl"/>
        </w:rPr>
        <w:t>, entre otros</w:t>
      </w:r>
      <w:r w:rsidR="00CC6E60">
        <w:rPr>
          <w:rFonts w:ascii="Arial" w:eastAsia="Arial" w:hAnsi="Arial" w:cs="Arial"/>
          <w:lang w:val="es-MX" w:eastAsia="es-ES_tradnl"/>
        </w:rPr>
        <w:t>. D</w:t>
      </w:r>
      <w:r w:rsidR="00252999" w:rsidRPr="00D20A46">
        <w:rPr>
          <w:rFonts w:ascii="Arial" w:eastAsia="Arial" w:hAnsi="Arial" w:cs="Arial"/>
          <w:lang w:val="es-MX" w:eastAsia="es-ES_tradnl"/>
        </w:rPr>
        <w:t xml:space="preserve">e igual forma se </w:t>
      </w:r>
      <w:r w:rsidR="00252999" w:rsidRPr="00D20A46">
        <w:rPr>
          <w:rFonts w:ascii="Arial" w:eastAsia="Arial" w:hAnsi="Arial" w:cs="Arial"/>
          <w:lang w:val="es-MX" w:eastAsia="es-ES_tradnl"/>
        </w:rPr>
        <w:lastRenderedPageBreak/>
        <w:t xml:space="preserve">ha pronunciado </w:t>
      </w:r>
      <w:r w:rsidR="00F642B1" w:rsidRPr="00D20A46">
        <w:rPr>
          <w:rFonts w:ascii="Arial" w:eastAsia="Arial" w:hAnsi="Arial" w:cs="Arial"/>
          <w:lang w:val="es-MX" w:eastAsia="es-ES_tradnl"/>
        </w:rPr>
        <w:t xml:space="preserve">sobre el concepto del contrato de prestación de servicios profesionales </w:t>
      </w:r>
      <w:r w:rsidR="00D20A46">
        <w:rPr>
          <w:rFonts w:ascii="Arial" w:eastAsia="Arial" w:hAnsi="Arial" w:cs="Arial"/>
          <w:lang w:val="es-MX" w:eastAsia="es-ES_tradnl"/>
        </w:rPr>
        <w:t xml:space="preserve">y de apoyo a la gestión </w:t>
      </w:r>
      <w:r w:rsidR="00F642B1" w:rsidRPr="00D20A46">
        <w:rPr>
          <w:rFonts w:ascii="Arial" w:eastAsia="Arial" w:hAnsi="Arial" w:cs="Arial"/>
          <w:lang w:val="es-MX" w:eastAsia="es-ES_tradnl"/>
        </w:rPr>
        <w:t>en los conceptos C-090 del 24 de febrero de 2020, C-105 del 12 de marzo 03 de 2020, C-156 del 3 de abril de 2020, C-018 del 11 de mayo de 2020; C-175, C-320, C-053, C-255, C-282</w:t>
      </w:r>
      <w:r w:rsidR="00252999" w:rsidRPr="00D20A46">
        <w:rPr>
          <w:rFonts w:ascii="Arial" w:eastAsia="Arial" w:hAnsi="Arial" w:cs="Arial"/>
          <w:lang w:val="es-MX" w:eastAsia="es-ES_tradnl"/>
        </w:rPr>
        <w:t>,</w:t>
      </w:r>
      <w:r w:rsidR="00F642B1" w:rsidRPr="00D20A46">
        <w:rPr>
          <w:rFonts w:ascii="Arial" w:eastAsia="Arial" w:hAnsi="Arial" w:cs="Arial"/>
          <w:lang w:val="es-MX" w:eastAsia="es-ES_tradnl"/>
        </w:rPr>
        <w:t xml:space="preserve"> C-106 de 07 de abril de 2021, C-145 de 8 de abril de 2021, C-491 del 14 de septiembre de 2021 y C- 517 del 30 de septiembre de 2021</w:t>
      </w:r>
      <w:r w:rsidR="00837998" w:rsidRPr="00D20A46">
        <w:rPr>
          <w:rFonts w:ascii="Arial" w:eastAsia="Arial" w:hAnsi="Arial" w:cs="Arial"/>
          <w:lang w:val="es-MX" w:eastAsia="es-ES_tradnl"/>
        </w:rPr>
        <w:t>, C-019 de 2022</w:t>
      </w:r>
      <w:r w:rsidR="001379BC" w:rsidRPr="00D20A46">
        <w:rPr>
          <w:rFonts w:ascii="Arial" w:eastAsia="Arial" w:hAnsi="Arial" w:cs="Arial"/>
          <w:lang w:val="es-MX" w:eastAsia="es-ES_tradnl"/>
        </w:rPr>
        <w:t xml:space="preserve"> del 21 de febrero de 2022</w:t>
      </w:r>
      <w:r w:rsidR="00F642B1" w:rsidRPr="00D20A46">
        <w:rPr>
          <w:rFonts w:ascii="Arial" w:eastAsia="Arial" w:hAnsi="Arial" w:cs="Arial"/>
          <w:lang w:val="es-MX" w:eastAsia="es-ES_tradnl"/>
        </w:rPr>
        <w:t>, entre otros.</w:t>
      </w:r>
      <w:r w:rsidR="00F642B1" w:rsidRPr="00D20A46">
        <w:rPr>
          <w:rFonts w:ascii="Arial" w:hAnsi="Arial" w:cs="Arial"/>
        </w:rPr>
        <w:t xml:space="preserve"> </w:t>
      </w:r>
      <w:r w:rsidRPr="00D20A46">
        <w:rPr>
          <w:rFonts w:ascii="Arial" w:eastAsia="Arial" w:hAnsi="Arial" w:cs="Arial"/>
          <w:lang w:val="es-MX" w:eastAsia="es-ES_tradnl"/>
        </w:rPr>
        <w:t>Las tesis desarrolladas en estos conceptos se reiteran y complementan a continuación.</w:t>
      </w:r>
    </w:p>
    <w:p w14:paraId="2AEE1D1B" w14:textId="77777777" w:rsidR="006F7E2A" w:rsidRPr="00D20A46" w:rsidRDefault="006F7E2A" w:rsidP="00D20A46">
      <w:pPr>
        <w:tabs>
          <w:tab w:val="left" w:pos="426"/>
        </w:tabs>
        <w:spacing w:after="0" w:line="276" w:lineRule="auto"/>
        <w:ind w:firstLine="709"/>
        <w:contextualSpacing/>
        <w:jc w:val="both"/>
        <w:rPr>
          <w:rFonts w:ascii="Arial" w:eastAsia="Arial" w:hAnsi="Arial" w:cs="Arial"/>
          <w:b/>
          <w:lang w:val="es-MX" w:eastAsia="es-ES_tradnl"/>
        </w:rPr>
      </w:pPr>
    </w:p>
    <w:p w14:paraId="14925C53" w14:textId="378D3BCC" w:rsidR="00530A18" w:rsidRPr="00D20A46" w:rsidRDefault="006F7E2A" w:rsidP="00D20A46">
      <w:pPr>
        <w:spacing w:after="0" w:line="276" w:lineRule="auto"/>
        <w:contextualSpacing/>
        <w:jc w:val="both"/>
        <w:rPr>
          <w:rFonts w:ascii="Arial" w:eastAsia="Arial" w:hAnsi="Arial" w:cs="Arial"/>
          <w:b/>
          <w:bCs/>
        </w:rPr>
      </w:pPr>
      <w:r w:rsidRPr="00D20A46">
        <w:rPr>
          <w:rFonts w:ascii="Arial" w:eastAsia="Arial" w:hAnsi="Arial" w:cs="Arial"/>
          <w:b/>
          <w:lang w:val="es-MX" w:eastAsia="es-ES_tradnl"/>
        </w:rPr>
        <w:t xml:space="preserve">2.1. </w:t>
      </w:r>
      <w:r w:rsidR="00252999" w:rsidRPr="00D20A46">
        <w:rPr>
          <w:rFonts w:ascii="Arial" w:eastAsia="Arial" w:hAnsi="Arial" w:cs="Arial"/>
          <w:b/>
          <w:bCs/>
          <w:lang w:val="es-MX" w:eastAsia="es-ES_tradnl"/>
        </w:rPr>
        <w:t>Discrecionalidad de las Entidades Estatales para establecer los</w:t>
      </w:r>
      <w:r w:rsidR="00252999" w:rsidRPr="00D20A46">
        <w:rPr>
          <w:rStyle w:val="normaltextrun"/>
          <w:rFonts w:ascii="Arial" w:hAnsi="Arial" w:cs="Arial"/>
          <w:b/>
          <w:bCs/>
          <w:color w:val="000000"/>
          <w:shd w:val="clear" w:color="auto" w:fill="FFFFFF"/>
        </w:rPr>
        <w:t xml:space="preserve"> </w:t>
      </w:r>
      <w:r w:rsidR="00CC6E60">
        <w:rPr>
          <w:rStyle w:val="normaltextrun"/>
          <w:rFonts w:ascii="Arial" w:hAnsi="Arial" w:cs="Arial"/>
          <w:b/>
          <w:bCs/>
          <w:color w:val="000000"/>
          <w:shd w:val="clear" w:color="auto" w:fill="FFFFFF"/>
        </w:rPr>
        <w:t>requisitos habilitantes</w:t>
      </w:r>
      <w:r w:rsidR="00252999" w:rsidRPr="00D20A46">
        <w:rPr>
          <w:rStyle w:val="normaltextrun"/>
          <w:rFonts w:ascii="Arial" w:hAnsi="Arial" w:cs="Arial"/>
          <w:b/>
          <w:bCs/>
          <w:color w:val="000000"/>
          <w:shd w:val="clear" w:color="auto" w:fill="FFFFFF"/>
        </w:rPr>
        <w:t xml:space="preserve"> en los pliegos de condiciones</w:t>
      </w:r>
    </w:p>
    <w:p w14:paraId="7E3BF90B" w14:textId="5DCE0984" w:rsidR="008C2EA6" w:rsidRPr="00D20A46" w:rsidRDefault="008C2EA6" w:rsidP="00D20A46">
      <w:pPr>
        <w:tabs>
          <w:tab w:val="left" w:pos="426"/>
        </w:tabs>
        <w:spacing w:after="0" w:line="276" w:lineRule="auto"/>
        <w:contextualSpacing/>
        <w:jc w:val="both"/>
        <w:rPr>
          <w:rFonts w:ascii="Arial" w:eastAsia="Arial" w:hAnsi="Arial" w:cs="Arial"/>
          <w:lang w:val="es-MX" w:eastAsia="es-ES_tradnl"/>
        </w:rPr>
      </w:pPr>
    </w:p>
    <w:p w14:paraId="1C20E379" w14:textId="0F5B20E8" w:rsidR="00CF1E4B" w:rsidRDefault="00252999" w:rsidP="00D934DF">
      <w:pPr>
        <w:spacing w:before="240" w:line="276" w:lineRule="auto"/>
        <w:contextualSpacing/>
        <w:jc w:val="both"/>
        <w:rPr>
          <w:rStyle w:val="normaltextrun"/>
          <w:rFonts w:ascii="Arial" w:hAnsi="Arial" w:cs="Arial"/>
          <w:color w:val="000000"/>
          <w:shd w:val="clear" w:color="auto" w:fill="FFFFFF"/>
          <w:lang w:val="es-ES"/>
        </w:rPr>
      </w:pPr>
      <w:r w:rsidRPr="00D20A46">
        <w:rPr>
          <w:rStyle w:val="normaltextrun"/>
          <w:rFonts w:ascii="Arial" w:hAnsi="Arial" w:cs="Arial"/>
          <w:color w:val="000000"/>
          <w:shd w:val="clear" w:color="auto" w:fill="FFFFFF"/>
          <w:lang w:val="es-ES"/>
        </w:rPr>
        <w:t xml:space="preserve">La Ley 1150 de 2007, en el artículo 5, </w:t>
      </w:r>
      <w:r w:rsidR="00D20A46">
        <w:rPr>
          <w:rStyle w:val="normaltextrun"/>
          <w:rFonts w:ascii="Arial" w:hAnsi="Arial" w:cs="Arial"/>
          <w:lang w:val="es-MX"/>
        </w:rPr>
        <w:t>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w:t>
      </w:r>
      <w:r w:rsidR="00CF1E4B">
        <w:rPr>
          <w:rStyle w:val="normaltextrun"/>
          <w:rFonts w:ascii="Arial" w:hAnsi="Arial" w:cs="Arial"/>
          <w:color w:val="000000"/>
          <w:shd w:val="clear" w:color="auto" w:fill="FFFFFF"/>
          <w:lang w:val="es-ES"/>
        </w:rPr>
        <w:t>. Dichos requisitos</w:t>
      </w:r>
      <w:r w:rsidR="00CC6E60" w:rsidRPr="00BE6E82">
        <w:rPr>
          <w:rStyle w:val="normaltextrun"/>
          <w:rFonts w:ascii="Arial" w:hAnsi="Arial" w:cs="Arial"/>
          <w:color w:val="000000"/>
          <w:shd w:val="clear" w:color="auto" w:fill="FFFFFF"/>
          <w:lang w:val="es-ES"/>
        </w:rPr>
        <w:t xml:space="preserve"> miden la aptitud del proponente para participar en un Proceso de Contratación</w:t>
      </w:r>
      <w:r w:rsidR="00CC6E60">
        <w:rPr>
          <w:rStyle w:val="normaltextrun"/>
          <w:rFonts w:ascii="Arial" w:hAnsi="Arial" w:cs="Arial"/>
          <w:color w:val="000000"/>
          <w:shd w:val="clear" w:color="auto" w:fill="FFFFFF"/>
          <w:lang w:val="es-ES"/>
        </w:rPr>
        <w:t xml:space="preserve"> </w:t>
      </w:r>
      <w:r w:rsidR="00CC6E60" w:rsidRPr="00BE6E82">
        <w:rPr>
          <w:rStyle w:val="normaltextrun"/>
          <w:rFonts w:ascii="Arial" w:hAnsi="Arial" w:cs="Arial"/>
          <w:color w:val="000000"/>
          <w:shd w:val="clear" w:color="auto" w:fill="FFFFFF"/>
          <w:lang w:val="es-ES"/>
        </w:rPr>
        <w:t>como oferente</w:t>
      </w:r>
      <w:r w:rsidR="00CC6E60">
        <w:rPr>
          <w:rStyle w:val="normaltextrun"/>
          <w:rFonts w:ascii="Arial" w:hAnsi="Arial" w:cs="Arial"/>
          <w:color w:val="000000"/>
          <w:shd w:val="clear" w:color="auto" w:fill="FFFFFF"/>
          <w:lang w:val="es-ES"/>
        </w:rPr>
        <w:t xml:space="preserve">, pues su </w:t>
      </w:r>
      <w:r w:rsidR="00CC6E60" w:rsidRPr="00BE6E82">
        <w:rPr>
          <w:rStyle w:val="normaltextrun"/>
          <w:rFonts w:ascii="Arial" w:hAnsi="Arial" w:cs="Arial"/>
          <w:color w:val="000000"/>
          <w:shd w:val="clear" w:color="auto" w:fill="FFFFFF"/>
          <w:lang w:val="es-ES"/>
        </w:rPr>
        <w:t xml:space="preserve">propósito </w:t>
      </w:r>
      <w:r w:rsidR="00CC6E60">
        <w:rPr>
          <w:rStyle w:val="normaltextrun"/>
          <w:rFonts w:ascii="Arial" w:hAnsi="Arial" w:cs="Arial"/>
          <w:color w:val="000000"/>
          <w:shd w:val="clear" w:color="auto" w:fill="FFFFFF"/>
          <w:lang w:val="es-ES"/>
        </w:rPr>
        <w:t xml:space="preserve">no es más que </w:t>
      </w:r>
      <w:r w:rsidR="00CC6E60" w:rsidRPr="00BE6E82">
        <w:rPr>
          <w:rStyle w:val="normaltextrun"/>
          <w:rFonts w:ascii="Arial" w:hAnsi="Arial" w:cs="Arial"/>
          <w:color w:val="000000"/>
          <w:shd w:val="clear" w:color="auto" w:fill="FFFFFF"/>
          <w:lang w:val="es-ES"/>
        </w:rPr>
        <w:t>establecer unas condiciones mínimas para los proponentes de</w:t>
      </w:r>
      <w:r w:rsidR="00CC6E60">
        <w:rPr>
          <w:rStyle w:val="normaltextrun"/>
          <w:rFonts w:ascii="Arial" w:hAnsi="Arial" w:cs="Arial"/>
          <w:color w:val="000000"/>
          <w:shd w:val="clear" w:color="auto" w:fill="FFFFFF"/>
          <w:lang w:val="es-ES"/>
        </w:rPr>
        <w:t xml:space="preserve"> </w:t>
      </w:r>
      <w:r w:rsidR="00CC6E60" w:rsidRPr="00BE6E82">
        <w:rPr>
          <w:rStyle w:val="normaltextrun"/>
          <w:rFonts w:ascii="Arial" w:hAnsi="Arial" w:cs="Arial"/>
          <w:color w:val="000000"/>
          <w:shd w:val="clear" w:color="auto" w:fill="FFFFFF"/>
          <w:lang w:val="es-ES"/>
        </w:rPr>
        <w:t>tal manera que la Entidad Estatal sólo evalúe las ofertas de aquellos que están en condiciones de cumplir</w:t>
      </w:r>
      <w:r w:rsidR="00CC6E60">
        <w:rPr>
          <w:rStyle w:val="normaltextrun"/>
          <w:rFonts w:ascii="Arial" w:hAnsi="Arial" w:cs="Arial"/>
          <w:color w:val="000000"/>
          <w:shd w:val="clear" w:color="auto" w:fill="FFFFFF"/>
          <w:lang w:val="es-ES"/>
        </w:rPr>
        <w:t xml:space="preserve"> </w:t>
      </w:r>
      <w:r w:rsidR="00CC6E60" w:rsidRPr="00BE6E82">
        <w:rPr>
          <w:rStyle w:val="normaltextrun"/>
          <w:rFonts w:ascii="Arial" w:hAnsi="Arial" w:cs="Arial"/>
          <w:color w:val="000000"/>
          <w:shd w:val="clear" w:color="auto" w:fill="FFFFFF"/>
          <w:lang w:val="es-ES"/>
        </w:rPr>
        <w:t>con el objeto del Proceso de Contratación</w:t>
      </w:r>
      <w:r w:rsidR="00CF1E4B">
        <w:rPr>
          <w:rStyle w:val="normaltextrun"/>
          <w:rFonts w:ascii="Arial" w:hAnsi="Arial" w:cs="Arial"/>
          <w:color w:val="000000"/>
          <w:shd w:val="clear" w:color="auto" w:fill="FFFFFF"/>
          <w:lang w:val="es-ES"/>
        </w:rPr>
        <w:t>, por tal razón, l</w:t>
      </w:r>
      <w:r w:rsidR="00CF1E4B" w:rsidRPr="00BE6E82">
        <w:rPr>
          <w:rStyle w:val="normaltextrun"/>
          <w:rFonts w:ascii="Arial" w:hAnsi="Arial" w:cs="Arial"/>
          <w:color w:val="000000"/>
          <w:shd w:val="clear" w:color="auto" w:fill="FFFFFF"/>
          <w:lang w:val="es-ES"/>
        </w:rPr>
        <w:t>os requisitos habilitantes siempre se refieren a las condiciones de un oferente y</w:t>
      </w:r>
      <w:r w:rsidR="00CF1E4B">
        <w:rPr>
          <w:rStyle w:val="normaltextrun"/>
          <w:rFonts w:ascii="Arial" w:hAnsi="Arial" w:cs="Arial"/>
          <w:color w:val="000000"/>
          <w:shd w:val="clear" w:color="auto" w:fill="FFFFFF"/>
          <w:lang w:val="es-ES"/>
        </w:rPr>
        <w:t xml:space="preserve"> </w:t>
      </w:r>
      <w:r w:rsidR="00CF1E4B" w:rsidRPr="00BE6E82">
        <w:rPr>
          <w:rStyle w:val="normaltextrun"/>
          <w:rFonts w:ascii="Arial" w:hAnsi="Arial" w:cs="Arial"/>
          <w:color w:val="000000"/>
          <w:shd w:val="clear" w:color="auto" w:fill="FFFFFF"/>
          <w:lang w:val="es-ES"/>
        </w:rPr>
        <w:t>nunca de la oferta.</w:t>
      </w:r>
    </w:p>
    <w:p w14:paraId="360A2698" w14:textId="77777777" w:rsidR="00D934DF" w:rsidRDefault="00D934DF" w:rsidP="00D934DF">
      <w:pPr>
        <w:spacing w:before="240" w:line="276" w:lineRule="auto"/>
        <w:contextualSpacing/>
        <w:jc w:val="both"/>
        <w:rPr>
          <w:rStyle w:val="normaltextrun"/>
          <w:rFonts w:ascii="Arial" w:hAnsi="Arial" w:cs="Arial"/>
          <w:color w:val="000000"/>
          <w:shd w:val="clear" w:color="auto" w:fill="FFFFFF"/>
          <w:lang w:val="es-ES"/>
        </w:rPr>
      </w:pPr>
    </w:p>
    <w:p w14:paraId="2EA9EAAE" w14:textId="5CD33AD8" w:rsidR="00BE6E82" w:rsidRDefault="00252999" w:rsidP="00D934DF">
      <w:pPr>
        <w:spacing w:before="240" w:line="276" w:lineRule="auto"/>
        <w:ind w:firstLine="708"/>
        <w:contextualSpacing/>
        <w:jc w:val="both"/>
        <w:rPr>
          <w:rStyle w:val="normaltextrun"/>
          <w:rFonts w:ascii="Arial" w:hAnsi="Arial" w:cs="Arial"/>
          <w:color w:val="000000"/>
          <w:shd w:val="clear" w:color="auto" w:fill="FFFFFF"/>
          <w:lang w:val="es-ES"/>
        </w:rPr>
      </w:pPr>
      <w:r w:rsidRPr="00D20A46">
        <w:rPr>
          <w:rStyle w:val="normaltextrun"/>
          <w:rFonts w:ascii="Arial" w:hAnsi="Arial" w:cs="Arial"/>
          <w:color w:val="000000"/>
          <w:shd w:val="clear" w:color="auto" w:fill="FFFFFF"/>
          <w:lang w:val="es-ES"/>
        </w:rPr>
        <w:t xml:space="preserve">La entidad estatal, como responsable de la estructuración de su procedimiento de selección, es autónoma para </w:t>
      </w:r>
      <w:r w:rsidR="00102A2C">
        <w:rPr>
          <w:rStyle w:val="normaltextrun"/>
          <w:rFonts w:ascii="Arial" w:hAnsi="Arial" w:cs="Arial"/>
          <w:color w:val="000000"/>
          <w:shd w:val="clear" w:color="auto" w:fill="FFFFFF"/>
          <w:lang w:val="es-ES"/>
        </w:rPr>
        <w:t>determinar</w:t>
      </w:r>
      <w:r w:rsidRPr="00D20A46">
        <w:rPr>
          <w:rStyle w:val="normaltextrun"/>
          <w:rFonts w:ascii="Arial" w:hAnsi="Arial" w:cs="Arial"/>
          <w:color w:val="000000"/>
          <w:shd w:val="clear" w:color="auto" w:fill="FFFFFF"/>
          <w:lang w:val="es-ES"/>
        </w:rPr>
        <w:t xml:space="preserve"> </w:t>
      </w:r>
      <w:r w:rsidR="00145C26">
        <w:rPr>
          <w:rStyle w:val="normaltextrun"/>
          <w:rFonts w:ascii="Arial" w:hAnsi="Arial" w:cs="Arial"/>
          <w:color w:val="000000"/>
          <w:shd w:val="clear" w:color="auto" w:fill="FFFFFF"/>
          <w:lang w:val="es-ES"/>
        </w:rPr>
        <w:t xml:space="preserve">los requisitos habilitantes </w:t>
      </w:r>
      <w:r w:rsidRPr="00D20A46">
        <w:rPr>
          <w:rStyle w:val="normaltextrun"/>
          <w:rFonts w:ascii="Arial" w:hAnsi="Arial" w:cs="Arial"/>
          <w:color w:val="000000"/>
          <w:shd w:val="clear" w:color="auto" w:fill="FFFFFF"/>
          <w:lang w:val="es-ES"/>
        </w:rPr>
        <w:t>necesari</w:t>
      </w:r>
      <w:r w:rsidR="00145C26">
        <w:rPr>
          <w:rStyle w:val="normaltextrun"/>
          <w:rFonts w:ascii="Arial" w:hAnsi="Arial" w:cs="Arial"/>
          <w:color w:val="000000"/>
          <w:shd w:val="clear" w:color="auto" w:fill="FFFFFF"/>
          <w:lang w:val="es-ES"/>
        </w:rPr>
        <w:t>os</w:t>
      </w:r>
      <w:r w:rsidRPr="00D20A46">
        <w:rPr>
          <w:rStyle w:val="normaltextrun"/>
          <w:rFonts w:ascii="Arial" w:hAnsi="Arial" w:cs="Arial"/>
          <w:color w:val="000000"/>
          <w:shd w:val="clear" w:color="auto" w:fill="FFFFFF"/>
          <w:lang w:val="es-ES"/>
        </w:rPr>
        <w:t xml:space="preserve">, de acuerdo con la naturaleza del contrato que se pretende suscribir </w:t>
      </w:r>
      <w:r w:rsidR="00102A2C">
        <w:rPr>
          <w:rStyle w:val="normaltextrun"/>
          <w:rFonts w:ascii="Arial" w:hAnsi="Arial" w:cs="Arial"/>
          <w:color w:val="000000"/>
          <w:shd w:val="clear" w:color="auto" w:fill="FFFFFF"/>
          <w:lang w:val="es-ES"/>
        </w:rPr>
        <w:t>y</w:t>
      </w:r>
      <w:r w:rsidRPr="00D20A46">
        <w:rPr>
          <w:rStyle w:val="normaltextrun"/>
          <w:rFonts w:ascii="Arial" w:hAnsi="Arial" w:cs="Arial"/>
          <w:color w:val="000000"/>
          <w:shd w:val="clear" w:color="auto" w:fill="FFFFFF"/>
          <w:lang w:val="es-ES"/>
        </w:rPr>
        <w:t xml:space="preserve"> a su valor. Para esto, la entidad, según el artículo 2.2.1.1.1.6.2. del Decreto 1082 de 2015, debe</w:t>
      </w:r>
      <w:r w:rsidR="00D20A46">
        <w:rPr>
          <w:rStyle w:val="normaltextrun"/>
          <w:rFonts w:ascii="Arial" w:hAnsi="Arial" w:cs="Arial"/>
          <w:color w:val="000000"/>
          <w:shd w:val="clear" w:color="auto" w:fill="FFFFFF"/>
          <w:lang w:val="es-ES"/>
        </w:rPr>
        <w:t>rá</w:t>
      </w:r>
      <w:r w:rsidRPr="00D20A46">
        <w:rPr>
          <w:rStyle w:val="normaltextrun"/>
          <w:rFonts w:ascii="Arial" w:hAnsi="Arial" w:cs="Arial"/>
          <w:color w:val="000000"/>
          <w:shd w:val="clear" w:color="auto" w:fill="FFFFFF"/>
          <w:lang w:val="es-ES"/>
        </w:rPr>
        <w:t xml:space="preserve"> tener en cuenta el estudio del sector y sus componentes</w:t>
      </w:r>
      <w:r w:rsidR="00D20A46">
        <w:rPr>
          <w:rStyle w:val="normaltextrun"/>
          <w:rFonts w:ascii="Arial" w:hAnsi="Arial" w:cs="Arial"/>
          <w:color w:val="000000"/>
          <w:shd w:val="clear" w:color="auto" w:fill="FFFFFF"/>
          <w:lang w:val="es-ES"/>
        </w:rPr>
        <w:t>.</w:t>
      </w:r>
      <w:r w:rsidR="00CF1E4B">
        <w:rPr>
          <w:rStyle w:val="normaltextrun"/>
          <w:rFonts w:ascii="Arial" w:hAnsi="Arial" w:cs="Arial"/>
          <w:color w:val="000000"/>
          <w:shd w:val="clear" w:color="auto" w:fill="FFFFFF"/>
          <w:lang w:val="es-ES"/>
        </w:rPr>
        <w:t xml:space="preserve"> Sin embargo, s</w:t>
      </w:r>
      <w:r w:rsidR="00BE6E82" w:rsidRPr="00BE6E82">
        <w:rPr>
          <w:rStyle w:val="normaltextrun"/>
          <w:rFonts w:ascii="Arial" w:hAnsi="Arial" w:cs="Arial"/>
          <w:color w:val="000000"/>
          <w:shd w:val="clear" w:color="auto" w:fill="FFFFFF"/>
          <w:lang w:val="es-ES"/>
        </w:rPr>
        <w:t>i el Proceso de Contratación requiere que los oferentes cuenten con RUP, la Entidad Estatal debe exigir</w:t>
      </w:r>
      <w:r w:rsidR="00145C26">
        <w:rPr>
          <w:rStyle w:val="normaltextrun"/>
          <w:rFonts w:ascii="Arial" w:hAnsi="Arial" w:cs="Arial"/>
          <w:color w:val="000000"/>
          <w:shd w:val="clear" w:color="auto" w:fill="FFFFFF"/>
          <w:lang w:val="es-ES"/>
        </w:rPr>
        <w:t xml:space="preserve"> </w:t>
      </w:r>
      <w:r w:rsidR="00BE6E82" w:rsidRPr="00BE6E82">
        <w:rPr>
          <w:rStyle w:val="normaltextrun"/>
          <w:rFonts w:ascii="Arial" w:hAnsi="Arial" w:cs="Arial"/>
          <w:color w:val="000000"/>
          <w:shd w:val="clear" w:color="auto" w:fill="FFFFFF"/>
          <w:lang w:val="es-ES"/>
        </w:rPr>
        <w:t>en los Documentos del Proceso como mínimo los indicadores establecidos en este registro. Sin embargo,</w:t>
      </w:r>
      <w:r w:rsidR="00145C26">
        <w:rPr>
          <w:rStyle w:val="normaltextrun"/>
          <w:rFonts w:ascii="Arial" w:hAnsi="Arial" w:cs="Arial"/>
          <w:color w:val="000000"/>
          <w:shd w:val="clear" w:color="auto" w:fill="FFFFFF"/>
          <w:lang w:val="es-ES"/>
        </w:rPr>
        <w:t xml:space="preserve"> </w:t>
      </w:r>
      <w:r w:rsidR="00BE6E82" w:rsidRPr="00BE6E82">
        <w:rPr>
          <w:rStyle w:val="normaltextrun"/>
          <w:rFonts w:ascii="Arial" w:hAnsi="Arial" w:cs="Arial"/>
          <w:color w:val="000000"/>
          <w:shd w:val="clear" w:color="auto" w:fill="FFFFFF"/>
          <w:lang w:val="es-ES"/>
        </w:rPr>
        <w:t>puede pedir indicadores adicionales, caso en el cual debe verificarlos directamente mediante documentos</w:t>
      </w:r>
      <w:r w:rsidR="00145C26">
        <w:rPr>
          <w:rStyle w:val="normaltextrun"/>
          <w:rFonts w:ascii="Arial" w:hAnsi="Arial" w:cs="Arial"/>
          <w:color w:val="000000"/>
          <w:shd w:val="clear" w:color="auto" w:fill="FFFFFF"/>
          <w:lang w:val="es-ES"/>
        </w:rPr>
        <w:t xml:space="preserve"> </w:t>
      </w:r>
      <w:r w:rsidR="00BE6E82" w:rsidRPr="00BE6E82">
        <w:rPr>
          <w:rStyle w:val="normaltextrun"/>
          <w:rFonts w:ascii="Arial" w:hAnsi="Arial" w:cs="Arial"/>
          <w:color w:val="000000"/>
          <w:shd w:val="clear" w:color="auto" w:fill="FFFFFF"/>
          <w:lang w:val="es-ES"/>
        </w:rPr>
        <w:t>adicionales</w:t>
      </w:r>
      <w:r w:rsidR="00CF1E4B">
        <w:rPr>
          <w:rStyle w:val="normaltextrun"/>
          <w:rFonts w:ascii="Arial" w:hAnsi="Arial" w:cs="Arial"/>
          <w:color w:val="000000"/>
          <w:shd w:val="clear" w:color="auto" w:fill="FFFFFF"/>
          <w:lang w:val="es-ES"/>
        </w:rPr>
        <w:t xml:space="preserve"> en virtud de lo dispuesto en el artículo </w:t>
      </w:r>
      <w:r w:rsidR="00F043FE">
        <w:rPr>
          <w:rStyle w:val="normaltextrun"/>
          <w:rFonts w:ascii="Arial" w:hAnsi="Arial" w:cs="Arial"/>
          <w:color w:val="000000"/>
          <w:shd w:val="clear" w:color="auto" w:fill="FFFFFF"/>
          <w:lang w:val="es-ES"/>
        </w:rPr>
        <w:t xml:space="preserve">5 y </w:t>
      </w:r>
      <w:r w:rsidR="00CF1E4B">
        <w:rPr>
          <w:rStyle w:val="normaltextrun"/>
          <w:rFonts w:ascii="Arial" w:hAnsi="Arial" w:cs="Arial"/>
          <w:color w:val="000000"/>
          <w:shd w:val="clear" w:color="auto" w:fill="FFFFFF"/>
          <w:lang w:val="es-ES"/>
        </w:rPr>
        <w:t>6 de la Ley 1150 de 2007</w:t>
      </w:r>
      <w:r w:rsidR="00145C26">
        <w:rPr>
          <w:rStyle w:val="normaltextrun"/>
          <w:rFonts w:ascii="Arial" w:hAnsi="Arial" w:cs="Arial"/>
          <w:color w:val="000000"/>
          <w:shd w:val="clear" w:color="auto" w:fill="FFFFFF"/>
          <w:lang w:val="es-ES"/>
        </w:rPr>
        <w:t>.</w:t>
      </w:r>
    </w:p>
    <w:p w14:paraId="6886BBE0" w14:textId="77777777" w:rsidR="00145C26" w:rsidRPr="00BE6E82" w:rsidRDefault="00145C26" w:rsidP="00D934DF">
      <w:pPr>
        <w:spacing w:before="240" w:line="276" w:lineRule="auto"/>
        <w:contextualSpacing/>
        <w:jc w:val="both"/>
        <w:rPr>
          <w:rStyle w:val="normaltextrun"/>
          <w:rFonts w:ascii="Arial" w:hAnsi="Arial" w:cs="Arial"/>
          <w:color w:val="000000"/>
          <w:shd w:val="clear" w:color="auto" w:fill="FFFFFF"/>
          <w:lang w:val="es-ES"/>
        </w:rPr>
      </w:pPr>
    </w:p>
    <w:p w14:paraId="0C2B491B" w14:textId="5AACCBFF" w:rsidR="00BE6E82" w:rsidRPr="00BE6E82" w:rsidRDefault="00F043FE" w:rsidP="00D934DF">
      <w:pPr>
        <w:spacing w:before="240" w:line="276" w:lineRule="auto"/>
        <w:ind w:firstLine="708"/>
        <w:contextualSpacing/>
        <w:jc w:val="both"/>
        <w:rPr>
          <w:rStyle w:val="normaltextrun"/>
          <w:rFonts w:ascii="Arial" w:hAnsi="Arial" w:cs="Arial"/>
          <w:color w:val="000000"/>
          <w:shd w:val="clear" w:color="auto" w:fill="FFFFFF"/>
          <w:lang w:val="es-ES"/>
        </w:rPr>
      </w:pPr>
      <w:r>
        <w:rPr>
          <w:rStyle w:val="normaltextrun"/>
          <w:rFonts w:ascii="Arial" w:hAnsi="Arial" w:cs="Arial"/>
          <w:color w:val="000000"/>
          <w:shd w:val="clear" w:color="auto" w:fill="FFFFFF"/>
          <w:lang w:val="es-ES"/>
        </w:rPr>
        <w:t>Por el contrario, s</w:t>
      </w:r>
      <w:r w:rsidR="00BE6E82" w:rsidRPr="00BE6E82">
        <w:rPr>
          <w:rStyle w:val="normaltextrun"/>
          <w:rFonts w:ascii="Arial" w:hAnsi="Arial" w:cs="Arial"/>
          <w:color w:val="000000"/>
          <w:shd w:val="clear" w:color="auto" w:fill="FFFFFF"/>
          <w:lang w:val="es-ES"/>
        </w:rPr>
        <w:t>i en el Proceso de Contratación no es obligatorio que los oferentes cuenten con RUP, la Entidad Estatal</w:t>
      </w:r>
      <w:r w:rsidR="00145C26">
        <w:rPr>
          <w:rStyle w:val="normaltextrun"/>
          <w:rFonts w:ascii="Arial" w:hAnsi="Arial" w:cs="Arial"/>
          <w:color w:val="000000"/>
          <w:shd w:val="clear" w:color="auto" w:fill="FFFFFF"/>
          <w:lang w:val="es-ES"/>
        </w:rPr>
        <w:t xml:space="preserve"> </w:t>
      </w:r>
      <w:r w:rsidR="00BE6E82" w:rsidRPr="00BE6E82">
        <w:rPr>
          <w:rStyle w:val="normaltextrun"/>
          <w:rFonts w:ascii="Arial" w:hAnsi="Arial" w:cs="Arial"/>
          <w:color w:val="000000"/>
          <w:shd w:val="clear" w:color="auto" w:fill="FFFFFF"/>
          <w:lang w:val="es-ES"/>
        </w:rPr>
        <w:t>de forma autónoma debe definir la forma de acreditar los requisitos habilitantes de experiencia, capacidad</w:t>
      </w:r>
      <w:r w:rsidR="00145C26">
        <w:rPr>
          <w:rStyle w:val="normaltextrun"/>
          <w:rFonts w:ascii="Arial" w:hAnsi="Arial" w:cs="Arial"/>
          <w:color w:val="000000"/>
          <w:shd w:val="clear" w:color="auto" w:fill="FFFFFF"/>
          <w:lang w:val="es-ES"/>
        </w:rPr>
        <w:t xml:space="preserve"> </w:t>
      </w:r>
      <w:r w:rsidR="00BE6E82" w:rsidRPr="00BE6E82">
        <w:rPr>
          <w:rStyle w:val="normaltextrun"/>
          <w:rFonts w:ascii="Arial" w:hAnsi="Arial" w:cs="Arial"/>
          <w:color w:val="000000"/>
          <w:shd w:val="clear" w:color="auto" w:fill="FFFFFF"/>
          <w:lang w:val="es-ES"/>
        </w:rPr>
        <w:t>jurídica, capacidad financiera y capacidad organizacional. En este caso, la Entidad Estatal debe establecer</w:t>
      </w:r>
      <w:r w:rsidR="00145C26">
        <w:rPr>
          <w:rStyle w:val="normaltextrun"/>
          <w:rFonts w:ascii="Arial" w:hAnsi="Arial" w:cs="Arial"/>
          <w:color w:val="000000"/>
          <w:shd w:val="clear" w:color="auto" w:fill="FFFFFF"/>
          <w:lang w:val="es-ES"/>
        </w:rPr>
        <w:t xml:space="preserve"> </w:t>
      </w:r>
      <w:r w:rsidR="00BE6E82" w:rsidRPr="00BE6E82">
        <w:rPr>
          <w:rStyle w:val="normaltextrun"/>
          <w:rFonts w:ascii="Arial" w:hAnsi="Arial" w:cs="Arial"/>
          <w:color w:val="000000"/>
          <w:shd w:val="clear" w:color="auto" w:fill="FFFFFF"/>
          <w:lang w:val="es-ES"/>
        </w:rPr>
        <w:t>en los Documentos del Proceso los requisitos habilitantes exigidos y la forma de acreditarlos y verificarlos</w:t>
      </w:r>
      <w:r w:rsidR="00CF1E4B">
        <w:rPr>
          <w:rStyle w:val="normaltextrun"/>
          <w:rFonts w:ascii="Arial" w:hAnsi="Arial" w:cs="Arial"/>
          <w:color w:val="000000"/>
          <w:shd w:val="clear" w:color="auto" w:fill="FFFFFF"/>
          <w:lang w:val="es-ES"/>
        </w:rPr>
        <w:t>.</w:t>
      </w:r>
    </w:p>
    <w:p w14:paraId="52F76310" w14:textId="77777777" w:rsidR="00145C26" w:rsidRDefault="00145C26" w:rsidP="00D934DF">
      <w:pPr>
        <w:spacing w:before="240" w:line="276" w:lineRule="auto"/>
        <w:contextualSpacing/>
        <w:jc w:val="both"/>
        <w:rPr>
          <w:rStyle w:val="normaltextrun"/>
          <w:rFonts w:ascii="Arial" w:hAnsi="Arial" w:cs="Arial"/>
          <w:color w:val="000000"/>
          <w:shd w:val="clear" w:color="auto" w:fill="FFFFFF"/>
          <w:lang w:val="es-ES"/>
        </w:rPr>
      </w:pPr>
    </w:p>
    <w:p w14:paraId="636296DC" w14:textId="55C9369C" w:rsidR="00145C26" w:rsidRDefault="00CF1E4B" w:rsidP="00D934DF">
      <w:pPr>
        <w:spacing w:before="240" w:line="276" w:lineRule="auto"/>
        <w:ind w:firstLine="708"/>
        <w:contextualSpacing/>
        <w:jc w:val="both"/>
        <w:rPr>
          <w:rStyle w:val="normaltextrun"/>
          <w:rFonts w:ascii="Arial" w:hAnsi="Arial" w:cs="Arial"/>
          <w:color w:val="000000"/>
          <w:shd w:val="clear" w:color="auto" w:fill="FFFFFF"/>
          <w:lang w:val="es-ES"/>
        </w:rPr>
      </w:pPr>
      <w:r>
        <w:rPr>
          <w:rStyle w:val="normaltextrun"/>
          <w:rFonts w:ascii="Arial" w:hAnsi="Arial" w:cs="Arial"/>
          <w:color w:val="000000"/>
          <w:shd w:val="clear" w:color="auto" w:fill="FFFFFF"/>
          <w:lang w:val="es-ES"/>
        </w:rPr>
        <w:t>De esta manera, es claro que l</w:t>
      </w:r>
      <w:r w:rsidR="00BE6E82" w:rsidRPr="00BE6E82">
        <w:rPr>
          <w:rStyle w:val="normaltextrun"/>
          <w:rFonts w:ascii="Arial" w:hAnsi="Arial" w:cs="Arial"/>
          <w:color w:val="000000"/>
          <w:shd w:val="clear" w:color="auto" w:fill="FFFFFF"/>
          <w:lang w:val="es-ES"/>
        </w:rPr>
        <w:t xml:space="preserve">a ley </w:t>
      </w:r>
      <w:r w:rsidR="00F043FE">
        <w:rPr>
          <w:rStyle w:val="normaltextrun"/>
          <w:rFonts w:ascii="Arial" w:hAnsi="Arial" w:cs="Arial"/>
          <w:color w:val="000000"/>
          <w:shd w:val="clear" w:color="auto" w:fill="FFFFFF"/>
          <w:lang w:val="es-ES"/>
        </w:rPr>
        <w:t xml:space="preserve">le </w:t>
      </w:r>
      <w:r>
        <w:rPr>
          <w:rStyle w:val="normaltextrun"/>
          <w:rFonts w:ascii="Arial" w:hAnsi="Arial" w:cs="Arial"/>
          <w:color w:val="000000"/>
          <w:shd w:val="clear" w:color="auto" w:fill="FFFFFF"/>
          <w:lang w:val="es-ES"/>
        </w:rPr>
        <w:t xml:space="preserve">da un amplio margen de discrecionalidad </w:t>
      </w:r>
      <w:r w:rsidR="00F043FE">
        <w:rPr>
          <w:rStyle w:val="normaltextrun"/>
          <w:rFonts w:ascii="Arial" w:hAnsi="Arial" w:cs="Arial"/>
          <w:color w:val="000000"/>
          <w:shd w:val="clear" w:color="auto" w:fill="FFFFFF"/>
          <w:lang w:val="es-ES"/>
        </w:rPr>
        <w:t xml:space="preserve">a las Entidades Estatales para determinar en sus Procesos de Contratación </w:t>
      </w:r>
      <w:r>
        <w:rPr>
          <w:rStyle w:val="normaltextrun"/>
          <w:rFonts w:ascii="Arial" w:hAnsi="Arial" w:cs="Arial"/>
          <w:color w:val="000000"/>
          <w:shd w:val="clear" w:color="auto" w:fill="FFFFFF"/>
          <w:lang w:val="es-ES"/>
        </w:rPr>
        <w:t xml:space="preserve">los </w:t>
      </w:r>
      <w:r w:rsidR="00BE6E82" w:rsidRPr="00BE6E82">
        <w:rPr>
          <w:rStyle w:val="normaltextrun"/>
          <w:rFonts w:ascii="Arial" w:hAnsi="Arial" w:cs="Arial"/>
          <w:color w:val="000000"/>
          <w:shd w:val="clear" w:color="auto" w:fill="FFFFFF"/>
          <w:lang w:val="es-ES"/>
        </w:rPr>
        <w:t>requisitos habilitantes</w:t>
      </w:r>
      <w:r w:rsidR="00F043FE">
        <w:rPr>
          <w:rStyle w:val="normaltextrun"/>
          <w:rFonts w:ascii="Arial" w:hAnsi="Arial" w:cs="Arial"/>
          <w:color w:val="000000"/>
          <w:shd w:val="clear" w:color="auto" w:fill="FFFFFF"/>
          <w:lang w:val="es-ES"/>
        </w:rPr>
        <w:t xml:space="preserve">, por lo que es importante </w:t>
      </w:r>
      <w:r w:rsidR="00BE6E82" w:rsidRPr="00BE6E82">
        <w:rPr>
          <w:rStyle w:val="normaltextrun"/>
          <w:rFonts w:ascii="Arial" w:hAnsi="Arial" w:cs="Arial"/>
          <w:color w:val="000000"/>
          <w:shd w:val="clear" w:color="auto" w:fill="FFFFFF"/>
          <w:lang w:val="es-ES"/>
        </w:rPr>
        <w:t xml:space="preserve">comprender el alcance de la expresión </w:t>
      </w:r>
      <w:r w:rsidR="00F043FE" w:rsidRPr="00F043FE">
        <w:rPr>
          <w:rStyle w:val="normaltextrun"/>
          <w:rFonts w:ascii="Arial" w:hAnsi="Arial" w:cs="Arial"/>
          <w:i/>
          <w:iCs/>
          <w:color w:val="000000"/>
          <w:shd w:val="clear" w:color="auto" w:fill="FFFFFF"/>
          <w:lang w:val="es-ES"/>
        </w:rPr>
        <w:t>«</w:t>
      </w:r>
      <w:r w:rsidR="00BE6E82" w:rsidRPr="00F043FE">
        <w:rPr>
          <w:rStyle w:val="normaltextrun"/>
          <w:rFonts w:ascii="Arial" w:hAnsi="Arial" w:cs="Arial"/>
          <w:i/>
          <w:iCs/>
          <w:color w:val="000000"/>
          <w:shd w:val="clear" w:color="auto" w:fill="FFFFFF"/>
          <w:lang w:val="es-ES"/>
        </w:rPr>
        <w:t>adecuada</w:t>
      </w:r>
      <w:r w:rsidR="00145C26" w:rsidRPr="00F043FE">
        <w:rPr>
          <w:rStyle w:val="normaltextrun"/>
          <w:rFonts w:ascii="Arial" w:hAnsi="Arial" w:cs="Arial"/>
          <w:i/>
          <w:iCs/>
          <w:color w:val="000000"/>
          <w:shd w:val="clear" w:color="auto" w:fill="FFFFFF"/>
          <w:lang w:val="es-ES"/>
        </w:rPr>
        <w:t xml:space="preserve"> </w:t>
      </w:r>
      <w:r w:rsidR="00BE6E82" w:rsidRPr="00F043FE">
        <w:rPr>
          <w:rStyle w:val="normaltextrun"/>
          <w:rFonts w:ascii="Arial" w:hAnsi="Arial" w:cs="Arial"/>
          <w:i/>
          <w:iCs/>
          <w:color w:val="000000"/>
          <w:shd w:val="clear" w:color="auto" w:fill="FFFFFF"/>
          <w:lang w:val="es-ES"/>
        </w:rPr>
        <w:t xml:space="preserve">y </w:t>
      </w:r>
      <w:r w:rsidR="00BE6E82" w:rsidRPr="00F043FE">
        <w:rPr>
          <w:rStyle w:val="normaltextrun"/>
          <w:rFonts w:ascii="Arial" w:hAnsi="Arial" w:cs="Arial"/>
          <w:i/>
          <w:iCs/>
          <w:color w:val="000000"/>
          <w:shd w:val="clear" w:color="auto" w:fill="FFFFFF"/>
          <w:lang w:val="es-ES"/>
        </w:rPr>
        <w:lastRenderedPageBreak/>
        <w:t>proporcional</w:t>
      </w:r>
      <w:r w:rsidR="00F043FE" w:rsidRPr="00F043FE">
        <w:rPr>
          <w:rStyle w:val="normaltextrun"/>
          <w:rFonts w:ascii="Arial" w:hAnsi="Arial" w:cs="Arial"/>
          <w:i/>
          <w:iCs/>
          <w:color w:val="000000"/>
          <w:shd w:val="clear" w:color="auto" w:fill="FFFFFF"/>
          <w:lang w:val="es-ES"/>
        </w:rPr>
        <w:t>»</w:t>
      </w:r>
      <w:r w:rsidR="00BE6E82" w:rsidRPr="00BE6E82">
        <w:rPr>
          <w:rStyle w:val="normaltextrun"/>
          <w:rFonts w:ascii="Arial" w:hAnsi="Arial" w:cs="Arial"/>
          <w:color w:val="000000"/>
          <w:shd w:val="clear" w:color="auto" w:fill="FFFFFF"/>
          <w:lang w:val="es-ES"/>
        </w:rPr>
        <w:t xml:space="preserve"> </w:t>
      </w:r>
      <w:r w:rsidR="00F043FE">
        <w:rPr>
          <w:rStyle w:val="normaltextrun"/>
          <w:rFonts w:ascii="Arial" w:hAnsi="Arial" w:cs="Arial"/>
          <w:color w:val="000000"/>
          <w:shd w:val="clear" w:color="auto" w:fill="FFFFFF"/>
          <w:lang w:val="es-ES"/>
        </w:rPr>
        <w:t xml:space="preserve">del artículo 5 de la Ley 1150 de 2007, </w:t>
      </w:r>
      <w:r w:rsidR="00BE6E82" w:rsidRPr="00BE6E82">
        <w:rPr>
          <w:rStyle w:val="normaltextrun"/>
          <w:rFonts w:ascii="Arial" w:hAnsi="Arial" w:cs="Arial"/>
          <w:color w:val="000000"/>
          <w:shd w:val="clear" w:color="auto" w:fill="FFFFFF"/>
          <w:lang w:val="es-ES"/>
        </w:rPr>
        <w:t>que busca que haya una relación entre el contrato y la experiencia del proponente y su</w:t>
      </w:r>
      <w:r w:rsidR="00145C26">
        <w:rPr>
          <w:rStyle w:val="normaltextrun"/>
          <w:rFonts w:ascii="Arial" w:hAnsi="Arial" w:cs="Arial"/>
          <w:color w:val="000000"/>
          <w:shd w:val="clear" w:color="auto" w:fill="FFFFFF"/>
          <w:lang w:val="es-ES"/>
        </w:rPr>
        <w:t xml:space="preserve"> </w:t>
      </w:r>
      <w:r w:rsidR="00BE6E82" w:rsidRPr="00BE6E82">
        <w:rPr>
          <w:rStyle w:val="normaltextrun"/>
          <w:rFonts w:ascii="Arial" w:hAnsi="Arial" w:cs="Arial"/>
          <w:color w:val="000000"/>
          <w:shd w:val="clear" w:color="auto" w:fill="FFFFFF"/>
          <w:lang w:val="es-ES"/>
        </w:rPr>
        <w:t>capacidad jurídica, financiera y organizacional. Es decir, los requisitos habilitantes exigidos deben guardar</w:t>
      </w:r>
      <w:r w:rsidR="00145C26">
        <w:rPr>
          <w:rStyle w:val="normaltextrun"/>
          <w:rFonts w:ascii="Arial" w:hAnsi="Arial" w:cs="Arial"/>
          <w:color w:val="000000"/>
          <w:shd w:val="clear" w:color="auto" w:fill="FFFFFF"/>
          <w:lang w:val="es-ES"/>
        </w:rPr>
        <w:t xml:space="preserve"> </w:t>
      </w:r>
      <w:r w:rsidR="00BE6E82" w:rsidRPr="00BE6E82">
        <w:rPr>
          <w:rStyle w:val="normaltextrun"/>
          <w:rFonts w:ascii="Arial" w:hAnsi="Arial" w:cs="Arial"/>
          <w:color w:val="000000"/>
          <w:shd w:val="clear" w:color="auto" w:fill="FFFFFF"/>
          <w:lang w:val="es-ES"/>
        </w:rPr>
        <w:t xml:space="preserve">proporción </w:t>
      </w:r>
      <w:r w:rsidR="00102A2C">
        <w:rPr>
          <w:rStyle w:val="normaltextrun"/>
          <w:rFonts w:ascii="Arial" w:hAnsi="Arial" w:cs="Arial"/>
          <w:color w:val="000000"/>
          <w:shd w:val="clear" w:color="auto" w:fill="FFFFFF"/>
          <w:lang w:val="es-ES"/>
        </w:rPr>
        <w:t xml:space="preserve">no sólo </w:t>
      </w:r>
      <w:r w:rsidR="00BE6E82" w:rsidRPr="00BE6E82">
        <w:rPr>
          <w:rStyle w:val="normaltextrun"/>
          <w:rFonts w:ascii="Arial" w:hAnsi="Arial" w:cs="Arial"/>
          <w:color w:val="000000"/>
          <w:shd w:val="clear" w:color="auto" w:fill="FFFFFF"/>
          <w:lang w:val="es-ES"/>
        </w:rPr>
        <w:t>con el objeto del contrato</w:t>
      </w:r>
      <w:r w:rsidR="00102A2C">
        <w:rPr>
          <w:rStyle w:val="normaltextrun"/>
          <w:rFonts w:ascii="Arial" w:hAnsi="Arial" w:cs="Arial"/>
          <w:color w:val="000000"/>
          <w:shd w:val="clear" w:color="auto" w:fill="FFFFFF"/>
          <w:lang w:val="es-ES"/>
        </w:rPr>
        <w:t xml:space="preserve"> y </w:t>
      </w:r>
      <w:r w:rsidR="00BE6E82" w:rsidRPr="00BE6E82">
        <w:rPr>
          <w:rStyle w:val="normaltextrun"/>
          <w:rFonts w:ascii="Arial" w:hAnsi="Arial" w:cs="Arial"/>
          <w:color w:val="000000"/>
          <w:shd w:val="clear" w:color="auto" w:fill="FFFFFF"/>
          <w:lang w:val="es-ES"/>
        </w:rPr>
        <w:t xml:space="preserve">su valor, </w:t>
      </w:r>
      <w:r w:rsidR="00102A2C">
        <w:rPr>
          <w:rStyle w:val="normaltextrun"/>
          <w:rFonts w:ascii="Arial" w:hAnsi="Arial" w:cs="Arial"/>
          <w:color w:val="000000"/>
          <w:shd w:val="clear" w:color="auto" w:fill="FFFFFF"/>
          <w:lang w:val="es-ES"/>
        </w:rPr>
        <w:t xml:space="preserve">sino también con su </w:t>
      </w:r>
      <w:r w:rsidR="00BE6E82" w:rsidRPr="00BE6E82">
        <w:rPr>
          <w:rStyle w:val="normaltextrun"/>
          <w:rFonts w:ascii="Arial" w:hAnsi="Arial" w:cs="Arial"/>
          <w:color w:val="000000"/>
          <w:shd w:val="clear" w:color="auto" w:fill="FFFFFF"/>
          <w:lang w:val="es-ES"/>
        </w:rPr>
        <w:t>complejidad, plazo, forma de pago y el Riesgo asociado al</w:t>
      </w:r>
      <w:r w:rsidR="00145C26">
        <w:rPr>
          <w:rStyle w:val="normaltextrun"/>
          <w:rFonts w:ascii="Arial" w:hAnsi="Arial" w:cs="Arial"/>
          <w:color w:val="000000"/>
          <w:shd w:val="clear" w:color="auto" w:fill="FFFFFF"/>
          <w:lang w:val="es-ES"/>
        </w:rPr>
        <w:t xml:space="preserve"> </w:t>
      </w:r>
      <w:r w:rsidR="00BE6E82" w:rsidRPr="00BE6E82">
        <w:rPr>
          <w:rStyle w:val="normaltextrun"/>
          <w:rFonts w:ascii="Arial" w:hAnsi="Arial" w:cs="Arial"/>
          <w:color w:val="000000"/>
          <w:shd w:val="clear" w:color="auto" w:fill="FFFFFF"/>
          <w:lang w:val="es-ES"/>
        </w:rPr>
        <w:t>Proceso de Contratación</w:t>
      </w:r>
      <w:r w:rsidR="00102A2C">
        <w:rPr>
          <w:rStyle w:val="normaltextrun"/>
          <w:rFonts w:ascii="Arial" w:hAnsi="Arial" w:cs="Arial"/>
          <w:color w:val="000000"/>
          <w:shd w:val="clear" w:color="auto" w:fill="FFFFFF"/>
          <w:lang w:val="es-ES"/>
        </w:rPr>
        <w:t>, toda vez que l</w:t>
      </w:r>
      <w:r w:rsidR="00BE6E82" w:rsidRPr="00BE6E82">
        <w:rPr>
          <w:rStyle w:val="normaltextrun"/>
          <w:rFonts w:ascii="Arial" w:hAnsi="Arial" w:cs="Arial"/>
          <w:color w:val="000000"/>
          <w:shd w:val="clear" w:color="auto" w:fill="FFFFFF"/>
          <w:lang w:val="es-ES"/>
        </w:rPr>
        <w:t>a promoción de la competencia es uno de los objetivos del sistema de compras y contratación pública, por</w:t>
      </w:r>
      <w:r w:rsidR="00145C26">
        <w:rPr>
          <w:rStyle w:val="normaltextrun"/>
          <w:rFonts w:ascii="Arial" w:hAnsi="Arial" w:cs="Arial"/>
          <w:color w:val="000000"/>
          <w:shd w:val="clear" w:color="auto" w:fill="FFFFFF"/>
          <w:lang w:val="es-ES"/>
        </w:rPr>
        <w:t xml:space="preserve"> </w:t>
      </w:r>
      <w:r w:rsidR="00BE6E82" w:rsidRPr="00BE6E82">
        <w:rPr>
          <w:rStyle w:val="normaltextrun"/>
          <w:rFonts w:ascii="Arial" w:hAnsi="Arial" w:cs="Arial"/>
          <w:color w:val="000000"/>
          <w:shd w:val="clear" w:color="auto" w:fill="FFFFFF"/>
          <w:lang w:val="es-ES"/>
        </w:rPr>
        <w:t>lo cual es muy importante tener en cuenta que los requisitos habilitantes no son ni pueden ser una forma</w:t>
      </w:r>
      <w:r w:rsidR="00145C26">
        <w:rPr>
          <w:rStyle w:val="normaltextrun"/>
          <w:rFonts w:ascii="Arial" w:hAnsi="Arial" w:cs="Arial"/>
          <w:color w:val="000000"/>
          <w:shd w:val="clear" w:color="auto" w:fill="FFFFFF"/>
          <w:lang w:val="es-ES"/>
        </w:rPr>
        <w:t xml:space="preserve"> </w:t>
      </w:r>
      <w:r w:rsidR="00BE6E82" w:rsidRPr="00BE6E82">
        <w:rPr>
          <w:rStyle w:val="normaltextrun"/>
          <w:rFonts w:ascii="Arial" w:hAnsi="Arial" w:cs="Arial"/>
          <w:color w:val="000000"/>
          <w:shd w:val="clear" w:color="auto" w:fill="FFFFFF"/>
          <w:lang w:val="es-ES"/>
        </w:rPr>
        <w:t xml:space="preserve">de restringir la participación en los Procesos de Contratación. </w:t>
      </w:r>
    </w:p>
    <w:p w14:paraId="0702AF16" w14:textId="77777777" w:rsidR="00145C26" w:rsidRDefault="00145C26" w:rsidP="00BE6E82">
      <w:pPr>
        <w:spacing w:after="0" w:line="276" w:lineRule="auto"/>
        <w:contextualSpacing/>
        <w:jc w:val="both"/>
        <w:rPr>
          <w:rStyle w:val="normaltextrun"/>
          <w:rFonts w:ascii="Arial" w:hAnsi="Arial" w:cs="Arial"/>
          <w:color w:val="000000"/>
          <w:shd w:val="clear" w:color="auto" w:fill="FFFFFF"/>
          <w:lang w:val="es-ES"/>
        </w:rPr>
      </w:pPr>
    </w:p>
    <w:p w14:paraId="3CEF2F69" w14:textId="769DD4A8" w:rsidR="00BE6E82" w:rsidRDefault="00102A2C" w:rsidP="00102A2C">
      <w:pPr>
        <w:spacing w:after="0" w:line="276" w:lineRule="auto"/>
        <w:ind w:firstLine="708"/>
        <w:contextualSpacing/>
        <w:jc w:val="both"/>
        <w:rPr>
          <w:rStyle w:val="normaltextrun"/>
          <w:rFonts w:ascii="Arial" w:hAnsi="Arial" w:cs="Arial"/>
          <w:color w:val="000000"/>
          <w:shd w:val="clear" w:color="auto" w:fill="FFFFFF"/>
          <w:lang w:val="es-ES"/>
        </w:rPr>
      </w:pPr>
      <w:r w:rsidRPr="00BE6E82">
        <w:rPr>
          <w:rStyle w:val="normaltextrun"/>
          <w:rFonts w:ascii="Arial" w:hAnsi="Arial" w:cs="Arial"/>
          <w:color w:val="000000"/>
          <w:shd w:val="clear" w:color="auto" w:fill="FFFFFF"/>
          <w:lang w:val="es-ES"/>
        </w:rPr>
        <w:t xml:space="preserve">Para determinar si los requisitos habilitantes son adecuados y proporcionales, </w:t>
      </w:r>
      <w:r>
        <w:rPr>
          <w:rStyle w:val="normaltextrun"/>
          <w:rFonts w:ascii="Arial" w:hAnsi="Arial" w:cs="Arial"/>
          <w:color w:val="000000"/>
          <w:shd w:val="clear" w:color="auto" w:fill="FFFFFF"/>
          <w:lang w:val="es-ES"/>
        </w:rPr>
        <w:t xml:space="preserve">la Agencia de Contratación Pública - </w:t>
      </w:r>
      <w:r w:rsidRPr="00BE6E82">
        <w:rPr>
          <w:rStyle w:val="normaltextrun"/>
          <w:rFonts w:ascii="Arial" w:hAnsi="Arial" w:cs="Arial"/>
          <w:color w:val="000000"/>
          <w:shd w:val="clear" w:color="auto" w:fill="FFFFFF"/>
          <w:lang w:val="es-ES"/>
        </w:rPr>
        <w:t>Colombia Compra Eficiente</w:t>
      </w:r>
      <w:r>
        <w:rPr>
          <w:rStyle w:val="normaltextrun"/>
          <w:rFonts w:ascii="Arial" w:hAnsi="Arial" w:cs="Arial"/>
          <w:color w:val="000000"/>
          <w:shd w:val="clear" w:color="auto" w:fill="FFFFFF"/>
          <w:lang w:val="es-ES"/>
        </w:rPr>
        <w:t xml:space="preserve"> </w:t>
      </w:r>
      <w:r w:rsidRPr="00BE6E82">
        <w:rPr>
          <w:rStyle w:val="normaltextrun"/>
          <w:rFonts w:ascii="Arial" w:hAnsi="Arial" w:cs="Arial"/>
          <w:color w:val="000000"/>
          <w:shd w:val="clear" w:color="auto" w:fill="FFFFFF"/>
          <w:lang w:val="es-ES"/>
        </w:rPr>
        <w:t xml:space="preserve">recomienda a la Entidad Estatal hacerse las preguntas </w:t>
      </w:r>
      <w:r>
        <w:rPr>
          <w:rStyle w:val="normaltextrun"/>
          <w:rFonts w:ascii="Arial" w:hAnsi="Arial" w:cs="Arial"/>
          <w:color w:val="000000"/>
          <w:shd w:val="clear" w:color="auto" w:fill="FFFFFF"/>
          <w:lang w:val="es-ES"/>
        </w:rPr>
        <w:t xml:space="preserve">contempladas en el </w:t>
      </w:r>
      <w:r w:rsidRPr="00CC6E60">
        <w:rPr>
          <w:rStyle w:val="normaltextrun"/>
          <w:rFonts w:ascii="Arial" w:hAnsi="Arial" w:cs="Arial"/>
          <w:i/>
          <w:iCs/>
          <w:color w:val="000000"/>
          <w:shd w:val="clear" w:color="auto" w:fill="FFFFFF"/>
          <w:lang w:val="es-ES"/>
        </w:rPr>
        <w:t>«Manual para determinar y verificar los requisitos habilitantes en los Procesos de Contratación»</w:t>
      </w:r>
      <w:r>
        <w:rPr>
          <w:rStyle w:val="Refdenotaalpie"/>
          <w:rFonts w:ascii="Arial" w:hAnsi="Arial" w:cs="Arial"/>
          <w:i/>
          <w:iCs/>
          <w:color w:val="000000"/>
          <w:shd w:val="clear" w:color="auto" w:fill="FFFFFF"/>
          <w:lang w:val="es-ES"/>
        </w:rPr>
        <w:footnoteReference w:id="1"/>
      </w:r>
      <w:r w:rsidRPr="00102A2C">
        <w:rPr>
          <w:rStyle w:val="normaltextrun"/>
          <w:rFonts w:ascii="Arial" w:hAnsi="Arial" w:cs="Arial"/>
          <w:color w:val="000000"/>
          <w:shd w:val="clear" w:color="auto" w:fill="FFFFFF"/>
          <w:lang w:val="es-ES"/>
        </w:rPr>
        <w:t xml:space="preserve"> </w:t>
      </w:r>
      <w:r>
        <w:rPr>
          <w:rStyle w:val="normaltextrun"/>
          <w:rFonts w:ascii="Arial" w:hAnsi="Arial" w:cs="Arial"/>
          <w:color w:val="000000"/>
          <w:shd w:val="clear" w:color="auto" w:fill="FFFFFF"/>
          <w:lang w:val="es-ES"/>
        </w:rPr>
        <w:t xml:space="preserve">con el fin de que al momento de la estructuración de los Procesos de Contratación realice un análisis que le permita </w:t>
      </w:r>
      <w:r w:rsidRPr="00D20A46">
        <w:rPr>
          <w:rStyle w:val="normaltextrun"/>
          <w:rFonts w:ascii="Arial" w:hAnsi="Arial" w:cs="Arial"/>
          <w:color w:val="000000"/>
          <w:shd w:val="clear" w:color="auto" w:fill="FFFFFF"/>
          <w:lang w:val="es-ES"/>
        </w:rPr>
        <w:t>fija</w:t>
      </w:r>
      <w:r>
        <w:rPr>
          <w:rStyle w:val="normaltextrun"/>
          <w:rFonts w:ascii="Arial" w:hAnsi="Arial" w:cs="Arial"/>
          <w:color w:val="000000"/>
          <w:shd w:val="clear" w:color="auto" w:fill="FFFFFF"/>
          <w:lang w:val="es-ES"/>
        </w:rPr>
        <w:t>r</w:t>
      </w:r>
      <w:r w:rsidRPr="00D20A46">
        <w:rPr>
          <w:rStyle w:val="normaltextrun"/>
          <w:rFonts w:ascii="Arial" w:hAnsi="Arial" w:cs="Arial"/>
          <w:color w:val="000000"/>
          <w:shd w:val="clear" w:color="auto" w:fill="FFFFFF"/>
          <w:lang w:val="es-ES"/>
        </w:rPr>
        <w:t xml:space="preserve"> unos requisitos mínimos que debe tener y acreditar el proponente, para que pueda verificarse su aptitud para participar en el procedimiento de contratación y, si se le adjudica, ejecutar el contrato estatal</w:t>
      </w:r>
      <w:r>
        <w:rPr>
          <w:rStyle w:val="eop"/>
          <w:rFonts w:ascii="Arial" w:hAnsi="Arial" w:cs="Arial"/>
        </w:rPr>
        <w:t xml:space="preserve">, fijando como lineamiento que el </w:t>
      </w:r>
      <w:r w:rsidR="00BE6E82" w:rsidRPr="00BE6E82">
        <w:rPr>
          <w:rStyle w:val="normaltextrun"/>
          <w:rFonts w:ascii="Arial" w:hAnsi="Arial" w:cs="Arial"/>
          <w:color w:val="000000"/>
          <w:shd w:val="clear" w:color="auto" w:fill="FFFFFF"/>
          <w:lang w:val="es-ES"/>
        </w:rPr>
        <w:t>sistema de compras y contratación pública</w:t>
      </w:r>
      <w:r w:rsidR="00145C26">
        <w:rPr>
          <w:rStyle w:val="normaltextrun"/>
          <w:rFonts w:ascii="Arial" w:hAnsi="Arial" w:cs="Arial"/>
          <w:color w:val="000000"/>
          <w:shd w:val="clear" w:color="auto" w:fill="FFFFFF"/>
          <w:lang w:val="es-ES"/>
        </w:rPr>
        <w:t xml:space="preserve"> </w:t>
      </w:r>
      <w:r w:rsidR="00BE6E82" w:rsidRPr="00BE6E82">
        <w:rPr>
          <w:rStyle w:val="normaltextrun"/>
          <w:rFonts w:ascii="Arial" w:hAnsi="Arial" w:cs="Arial"/>
          <w:color w:val="000000"/>
          <w:shd w:val="clear" w:color="auto" w:fill="FFFFFF"/>
          <w:lang w:val="es-ES"/>
        </w:rPr>
        <w:t>debe promover la participación de más proponentes y el crecimiento de la industria nacional de bienes y</w:t>
      </w:r>
      <w:r w:rsidR="00145C26">
        <w:rPr>
          <w:rStyle w:val="normaltextrun"/>
          <w:rFonts w:ascii="Arial" w:hAnsi="Arial" w:cs="Arial"/>
          <w:color w:val="000000"/>
          <w:shd w:val="clear" w:color="auto" w:fill="FFFFFF"/>
          <w:lang w:val="es-ES"/>
        </w:rPr>
        <w:t xml:space="preserve"> </w:t>
      </w:r>
      <w:r w:rsidR="00BE6E82" w:rsidRPr="00BE6E82">
        <w:rPr>
          <w:rStyle w:val="normaltextrun"/>
          <w:rFonts w:ascii="Arial" w:hAnsi="Arial" w:cs="Arial"/>
          <w:color w:val="000000"/>
          <w:shd w:val="clear" w:color="auto" w:fill="FFFFFF"/>
          <w:lang w:val="es-ES"/>
        </w:rPr>
        <w:t>servicios y</w:t>
      </w:r>
      <w:r>
        <w:rPr>
          <w:rStyle w:val="normaltextrun"/>
          <w:rFonts w:ascii="Arial" w:hAnsi="Arial" w:cs="Arial"/>
          <w:color w:val="000000"/>
          <w:shd w:val="clear" w:color="auto" w:fill="FFFFFF"/>
          <w:lang w:val="es-ES"/>
        </w:rPr>
        <w:t>,</w:t>
      </w:r>
      <w:r w:rsidR="00BE6E82" w:rsidRPr="00BE6E82">
        <w:rPr>
          <w:rStyle w:val="normaltextrun"/>
          <w:rFonts w:ascii="Arial" w:hAnsi="Arial" w:cs="Arial"/>
          <w:color w:val="000000"/>
          <w:shd w:val="clear" w:color="auto" w:fill="FFFFFF"/>
          <w:lang w:val="es-ES"/>
        </w:rPr>
        <w:t xml:space="preserve"> por eso</w:t>
      </w:r>
      <w:r>
        <w:rPr>
          <w:rStyle w:val="normaltextrun"/>
          <w:rFonts w:ascii="Arial" w:hAnsi="Arial" w:cs="Arial"/>
          <w:color w:val="000000"/>
          <w:shd w:val="clear" w:color="auto" w:fill="FFFFFF"/>
          <w:lang w:val="es-ES"/>
        </w:rPr>
        <w:t>,</w:t>
      </w:r>
      <w:r w:rsidR="00BE6E82" w:rsidRPr="00BE6E82">
        <w:rPr>
          <w:rStyle w:val="normaltextrun"/>
          <w:rFonts w:ascii="Arial" w:hAnsi="Arial" w:cs="Arial"/>
          <w:color w:val="000000"/>
          <w:shd w:val="clear" w:color="auto" w:fill="FFFFFF"/>
          <w:lang w:val="es-ES"/>
        </w:rPr>
        <w:t xml:space="preserve"> </w:t>
      </w:r>
      <w:r>
        <w:rPr>
          <w:rStyle w:val="normaltextrun"/>
          <w:rFonts w:ascii="Arial" w:hAnsi="Arial" w:cs="Arial"/>
          <w:color w:val="000000"/>
          <w:shd w:val="clear" w:color="auto" w:fill="FFFFFF"/>
          <w:lang w:val="es-ES"/>
        </w:rPr>
        <w:t xml:space="preserve">si bien las Entidades Estatales cuentan con cierta autonomía para establecer </w:t>
      </w:r>
      <w:r w:rsidR="00BE6E82" w:rsidRPr="00BE6E82">
        <w:rPr>
          <w:rStyle w:val="normaltextrun"/>
          <w:rFonts w:ascii="Arial" w:hAnsi="Arial" w:cs="Arial"/>
          <w:color w:val="000000"/>
          <w:shd w:val="clear" w:color="auto" w:fill="FFFFFF"/>
          <w:lang w:val="es-ES"/>
        </w:rPr>
        <w:t xml:space="preserve">los requisitos habilitantes </w:t>
      </w:r>
      <w:r>
        <w:rPr>
          <w:rStyle w:val="normaltextrun"/>
          <w:rFonts w:ascii="Arial" w:hAnsi="Arial" w:cs="Arial"/>
          <w:color w:val="000000"/>
          <w:shd w:val="clear" w:color="auto" w:fill="FFFFFF"/>
          <w:lang w:val="es-ES"/>
        </w:rPr>
        <w:t xml:space="preserve">en sus Procesos de Contratación, estos </w:t>
      </w:r>
      <w:r w:rsidR="00BE6E82" w:rsidRPr="00BE6E82">
        <w:rPr>
          <w:rStyle w:val="normaltextrun"/>
          <w:rFonts w:ascii="Arial" w:hAnsi="Arial" w:cs="Arial"/>
          <w:color w:val="000000"/>
          <w:shd w:val="clear" w:color="auto" w:fill="FFFFFF"/>
          <w:lang w:val="es-ES"/>
        </w:rPr>
        <w:t>deben ser adecuados y proporcionales.</w:t>
      </w:r>
    </w:p>
    <w:p w14:paraId="49E6CC86" w14:textId="77777777" w:rsidR="00252999" w:rsidRPr="00D20A46" w:rsidRDefault="00252999" w:rsidP="00D20A46">
      <w:pPr>
        <w:spacing w:after="0" w:line="276" w:lineRule="auto"/>
        <w:contextualSpacing/>
        <w:jc w:val="both"/>
        <w:rPr>
          <w:rFonts w:ascii="Arial" w:eastAsia="Arial" w:hAnsi="Arial" w:cs="Arial"/>
        </w:rPr>
      </w:pPr>
    </w:p>
    <w:p w14:paraId="0A7B6467" w14:textId="0F8D56C9" w:rsidR="00FD0B22" w:rsidRPr="00D20A46" w:rsidRDefault="00FD0B22" w:rsidP="00D20A46">
      <w:pPr>
        <w:spacing w:line="276" w:lineRule="auto"/>
        <w:jc w:val="both"/>
        <w:rPr>
          <w:rFonts w:ascii="Arial" w:eastAsia="Calibri" w:hAnsi="Arial" w:cs="Arial"/>
          <w:b/>
          <w:bCs/>
          <w:color w:val="000000" w:themeColor="text1"/>
          <w:lang w:val="es-ES_tradnl"/>
        </w:rPr>
      </w:pPr>
      <w:r w:rsidRPr="00D20A46">
        <w:rPr>
          <w:rFonts w:ascii="Arial" w:eastAsia="Calibri" w:hAnsi="Arial" w:cs="Arial"/>
          <w:b/>
          <w:bCs/>
          <w:color w:val="000000" w:themeColor="text1"/>
          <w:lang w:val="es-ES_tradnl"/>
        </w:rPr>
        <w:t>2.</w:t>
      </w:r>
      <w:r w:rsidR="00E50918" w:rsidRPr="00D20A46">
        <w:rPr>
          <w:rFonts w:ascii="Arial" w:eastAsia="Calibri" w:hAnsi="Arial" w:cs="Arial"/>
          <w:b/>
          <w:bCs/>
          <w:color w:val="000000" w:themeColor="text1"/>
          <w:lang w:val="es-ES_tradnl"/>
        </w:rPr>
        <w:t>2</w:t>
      </w:r>
      <w:r w:rsidRPr="00D20A46">
        <w:rPr>
          <w:rFonts w:ascii="Arial" w:eastAsia="Calibri" w:hAnsi="Arial" w:cs="Arial"/>
          <w:b/>
          <w:bCs/>
          <w:color w:val="000000" w:themeColor="text1"/>
          <w:lang w:val="es-ES_tradnl"/>
        </w:rPr>
        <w:t>. Características generales del contrato estatal de prestación de servicios</w:t>
      </w:r>
      <w:r w:rsidR="00D934DF">
        <w:rPr>
          <w:rFonts w:ascii="Arial" w:eastAsia="Calibri" w:hAnsi="Arial" w:cs="Arial"/>
          <w:b/>
          <w:bCs/>
          <w:color w:val="000000" w:themeColor="text1"/>
          <w:lang w:val="es-ES_tradnl"/>
        </w:rPr>
        <w:t xml:space="preserve"> profesionales y apoyo a la gestión</w:t>
      </w:r>
    </w:p>
    <w:p w14:paraId="7730FD87" w14:textId="59752AB6" w:rsidR="00FD0B22" w:rsidRPr="00D20A46" w:rsidRDefault="00FD0B22" w:rsidP="00D20A46">
      <w:pPr>
        <w:tabs>
          <w:tab w:val="left" w:pos="0"/>
        </w:tabs>
        <w:spacing w:line="276" w:lineRule="auto"/>
        <w:jc w:val="both"/>
        <w:rPr>
          <w:rFonts w:ascii="Arial" w:eastAsia="Calibri" w:hAnsi="Arial" w:cs="Arial"/>
          <w:color w:val="000000" w:themeColor="text1"/>
          <w:lang w:val="es-ES_tradnl"/>
        </w:rPr>
      </w:pPr>
      <w:r w:rsidRPr="00D20A46">
        <w:rPr>
          <w:rFonts w:ascii="Arial" w:hAnsi="Arial" w:cs="Arial"/>
          <w:color w:val="000000" w:themeColor="text1"/>
        </w:rPr>
        <w:t xml:space="preserve">El contrato de prestación de servicios es un contrato estatal típico, regulado en el numeral 3 del artículo 32 de la Ley 80 de 1993. Es definido como aquel que </w:t>
      </w:r>
      <w:r w:rsidRPr="00D934DF">
        <w:rPr>
          <w:rFonts w:ascii="Arial" w:hAnsi="Arial" w:cs="Arial"/>
          <w:i/>
          <w:iCs/>
          <w:color w:val="000000" w:themeColor="text1"/>
        </w:rPr>
        <w:t>«celebren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D20A46">
        <w:rPr>
          <w:rFonts w:ascii="Arial" w:eastAsia="Calibri" w:hAnsi="Arial" w:cs="Arial"/>
          <w:color w:val="000000" w:themeColor="text1"/>
          <w:lang w:val="es-ES_tradnl"/>
        </w:rPr>
        <w:t xml:space="preserve"> La celebración de dicho contrato debe efectuarse a través de la modalidad de contratación directa. Así lo dispone el artículo 2, numeral 4º, literal h), de la Ley 1150 de 2007:</w:t>
      </w:r>
    </w:p>
    <w:p w14:paraId="2D7B08AC" w14:textId="7A2B3B4F" w:rsidR="00FD0B22" w:rsidRPr="00D934DF" w:rsidRDefault="00D934DF" w:rsidP="00D20A46">
      <w:pPr>
        <w:spacing w:line="276" w:lineRule="auto"/>
        <w:ind w:left="709" w:right="758"/>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00FD0B22" w:rsidRPr="00D934DF">
        <w:rPr>
          <w:rFonts w:ascii="Arial" w:eastAsia="Calibri" w:hAnsi="Arial" w:cs="Arial"/>
          <w:color w:val="000000" w:themeColor="text1"/>
          <w:sz w:val="20"/>
          <w:szCs w:val="20"/>
        </w:rPr>
        <w:t>La escogencia del contratista se efectuará con arreglo a las modalidades de selección de licitación pública, selección abreviada, concurso de méritos y contratación directa, con base en las siguientes reglas:</w:t>
      </w:r>
    </w:p>
    <w:p w14:paraId="64088639" w14:textId="77777777" w:rsidR="00FD0B22" w:rsidRPr="00D934DF" w:rsidRDefault="00FD0B22" w:rsidP="00D20A46">
      <w:pPr>
        <w:spacing w:after="120" w:line="276" w:lineRule="auto"/>
        <w:ind w:left="709" w:right="760"/>
        <w:jc w:val="both"/>
        <w:rPr>
          <w:rFonts w:ascii="Arial" w:eastAsia="Calibri" w:hAnsi="Arial" w:cs="Arial"/>
          <w:color w:val="000000" w:themeColor="text1"/>
          <w:sz w:val="20"/>
          <w:szCs w:val="20"/>
        </w:rPr>
      </w:pPr>
      <w:r w:rsidRPr="00D934DF">
        <w:rPr>
          <w:rFonts w:ascii="Arial" w:eastAsia="Calibri" w:hAnsi="Arial" w:cs="Arial"/>
          <w:color w:val="000000" w:themeColor="text1"/>
          <w:sz w:val="20"/>
          <w:szCs w:val="20"/>
        </w:rPr>
        <w:t>[…]</w:t>
      </w:r>
    </w:p>
    <w:p w14:paraId="36122D72" w14:textId="038C4C8B" w:rsidR="00FD0B22" w:rsidRPr="00D934DF" w:rsidRDefault="00FD0B22" w:rsidP="00D20A46">
      <w:pPr>
        <w:spacing w:line="276" w:lineRule="auto"/>
        <w:ind w:left="709" w:right="758"/>
        <w:jc w:val="both"/>
        <w:rPr>
          <w:rFonts w:ascii="Arial" w:eastAsia="Calibri" w:hAnsi="Arial" w:cs="Arial"/>
          <w:color w:val="000000" w:themeColor="text1"/>
          <w:sz w:val="20"/>
          <w:szCs w:val="20"/>
        </w:rPr>
      </w:pPr>
      <w:r w:rsidRPr="00D934DF">
        <w:rPr>
          <w:rFonts w:ascii="Arial" w:eastAsia="Calibri" w:hAnsi="Arial" w:cs="Arial"/>
          <w:color w:val="000000" w:themeColor="text1"/>
          <w:sz w:val="20"/>
          <w:szCs w:val="20"/>
        </w:rPr>
        <w:lastRenderedPageBreak/>
        <w:t xml:space="preserve">4. Contratación directa. La modalidad de selección de contratación </w:t>
      </w:r>
      <w:r w:rsidR="00C019A7" w:rsidRPr="00D934DF">
        <w:rPr>
          <w:rFonts w:ascii="Arial" w:eastAsia="Calibri" w:hAnsi="Arial" w:cs="Arial"/>
          <w:color w:val="000000" w:themeColor="text1"/>
          <w:sz w:val="20"/>
          <w:szCs w:val="20"/>
        </w:rPr>
        <w:t>directa</w:t>
      </w:r>
      <w:r w:rsidRPr="00D934DF">
        <w:rPr>
          <w:rFonts w:ascii="Arial" w:eastAsia="Calibri" w:hAnsi="Arial" w:cs="Arial"/>
          <w:color w:val="000000" w:themeColor="text1"/>
          <w:sz w:val="20"/>
          <w:szCs w:val="20"/>
        </w:rPr>
        <w:t xml:space="preserve"> solamente procederá en los siguientes casos:</w:t>
      </w:r>
    </w:p>
    <w:p w14:paraId="7266481A" w14:textId="77777777" w:rsidR="00FD0B22" w:rsidRPr="00D934DF" w:rsidRDefault="00FD0B22" w:rsidP="00D20A46">
      <w:pPr>
        <w:spacing w:after="120" w:line="276" w:lineRule="auto"/>
        <w:ind w:left="709" w:right="760"/>
        <w:jc w:val="both"/>
        <w:rPr>
          <w:rFonts w:ascii="Arial" w:eastAsia="Calibri" w:hAnsi="Arial" w:cs="Arial"/>
          <w:color w:val="000000" w:themeColor="text1"/>
          <w:sz w:val="20"/>
          <w:szCs w:val="20"/>
        </w:rPr>
      </w:pPr>
      <w:r w:rsidRPr="00D934DF">
        <w:rPr>
          <w:rFonts w:ascii="Arial" w:eastAsia="Calibri" w:hAnsi="Arial" w:cs="Arial"/>
          <w:color w:val="000000" w:themeColor="text1"/>
          <w:sz w:val="20"/>
          <w:szCs w:val="20"/>
        </w:rPr>
        <w:t>[…]</w:t>
      </w:r>
    </w:p>
    <w:p w14:paraId="58E8F78B" w14:textId="678F3A83" w:rsidR="00FD0B22" w:rsidRPr="00D934DF" w:rsidRDefault="00FD0B22" w:rsidP="00D20A46">
      <w:pPr>
        <w:spacing w:line="276" w:lineRule="auto"/>
        <w:ind w:left="709" w:right="758"/>
        <w:jc w:val="both"/>
        <w:rPr>
          <w:rFonts w:ascii="Arial" w:eastAsia="Calibri" w:hAnsi="Arial" w:cs="Arial"/>
          <w:color w:val="000000" w:themeColor="text1"/>
          <w:sz w:val="20"/>
          <w:szCs w:val="20"/>
        </w:rPr>
      </w:pPr>
      <w:r w:rsidRPr="00D934DF">
        <w:rPr>
          <w:rFonts w:ascii="Arial" w:eastAsia="Calibri" w:hAnsi="Arial" w:cs="Arial"/>
          <w:color w:val="000000" w:themeColor="text1"/>
          <w:sz w:val="20"/>
          <w:szCs w:val="20"/>
        </w:rPr>
        <w:t>h) Para la prestación de servicios profesionales y de apoyo a la gestión, o para la ejecución de trabajos artísticos que sólo puedan encomendarse a determinadas personas naturales.</w:t>
      </w:r>
      <w:r w:rsidR="00D934DF">
        <w:rPr>
          <w:rFonts w:ascii="Arial" w:eastAsia="Calibri" w:hAnsi="Arial" w:cs="Arial"/>
          <w:color w:val="000000" w:themeColor="text1"/>
          <w:sz w:val="20"/>
          <w:szCs w:val="20"/>
        </w:rPr>
        <w:t>»</w:t>
      </w:r>
    </w:p>
    <w:p w14:paraId="0D99CC78" w14:textId="3E77658B" w:rsidR="00FD0B22" w:rsidRPr="00D20A46" w:rsidRDefault="00FD0B22" w:rsidP="00D20A46">
      <w:pPr>
        <w:tabs>
          <w:tab w:val="left" w:pos="0"/>
        </w:tabs>
        <w:spacing w:line="276" w:lineRule="auto"/>
        <w:jc w:val="both"/>
        <w:rPr>
          <w:rFonts w:ascii="Arial" w:hAnsi="Arial" w:cs="Arial"/>
          <w:noProof/>
          <w:lang w:val="es-ES_tradnl"/>
        </w:rPr>
      </w:pPr>
      <w:r w:rsidRPr="00D20A46">
        <w:rPr>
          <w:rFonts w:ascii="Arial" w:hAnsi="Arial" w:cs="Arial"/>
          <w:noProof/>
          <w:lang w:val="es-ES_tradnl"/>
        </w:rPr>
        <w:tab/>
        <w:t>En tal sentido, el Decreto 1082 de 2015 en el Artículo 2.2.1.2.1.4.9. reglamenta la contratación directa para los contratos de servicios profesionales y de apoyo a la gestión, o para la ejecución de trabajos artísticos que solo puedan encomendarse a determinadas personas naturales, en los siguientes términos:</w:t>
      </w:r>
    </w:p>
    <w:p w14:paraId="2EAD3A11" w14:textId="7CC49452" w:rsidR="00FD0B22" w:rsidRPr="00D934DF" w:rsidRDefault="00D934DF" w:rsidP="00D20A46">
      <w:pPr>
        <w:spacing w:line="276" w:lineRule="auto"/>
        <w:ind w:left="709" w:right="758"/>
        <w:jc w:val="both"/>
        <w:rPr>
          <w:rFonts w:ascii="Arial" w:hAnsi="Arial" w:cs="Arial"/>
          <w:sz w:val="20"/>
          <w:szCs w:val="20"/>
        </w:rPr>
      </w:pPr>
      <w:r>
        <w:rPr>
          <w:rFonts w:ascii="Arial" w:hAnsi="Arial" w:cs="Arial"/>
          <w:sz w:val="20"/>
          <w:szCs w:val="20"/>
        </w:rPr>
        <w:t>«</w:t>
      </w:r>
      <w:r w:rsidR="00FD0B22" w:rsidRPr="00D934DF">
        <w:rPr>
          <w:rFonts w:ascii="Arial" w:hAnsi="Arial" w:cs="Arial"/>
          <w:sz w:val="20"/>
          <w:szCs w:val="20"/>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0778D052" w14:textId="0464B839" w:rsidR="00FD0B22" w:rsidRPr="00D934DF" w:rsidRDefault="00FD0B22" w:rsidP="00D20A46">
      <w:pPr>
        <w:spacing w:line="276" w:lineRule="auto"/>
        <w:ind w:left="709" w:right="758"/>
        <w:jc w:val="both"/>
        <w:rPr>
          <w:rFonts w:ascii="Arial" w:hAnsi="Arial" w:cs="Arial"/>
          <w:sz w:val="20"/>
          <w:szCs w:val="20"/>
        </w:rPr>
      </w:pPr>
      <w:r w:rsidRPr="00D934DF">
        <w:rPr>
          <w:rFonts w:ascii="Arial" w:hAnsi="Arial" w:cs="Arial"/>
          <w:sz w:val="20"/>
          <w:szCs w:val="20"/>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7D3BEFE" w14:textId="1C7AFABD" w:rsidR="00FD0B22" w:rsidRPr="00D934DF" w:rsidRDefault="00FD0B22" w:rsidP="00D20A46">
      <w:pPr>
        <w:spacing w:line="276" w:lineRule="auto"/>
        <w:ind w:left="709" w:right="758"/>
        <w:jc w:val="both"/>
        <w:rPr>
          <w:rFonts w:ascii="Arial" w:hAnsi="Arial" w:cs="Arial"/>
          <w:sz w:val="20"/>
          <w:szCs w:val="20"/>
        </w:rPr>
      </w:pPr>
      <w:r w:rsidRPr="00D934DF">
        <w:rPr>
          <w:rFonts w:ascii="Arial" w:hAnsi="Arial" w:cs="Arial"/>
          <w:sz w:val="20"/>
          <w:szCs w:val="20"/>
        </w:rPr>
        <w:t>La Entidad Estatal, para la contratación de trabajos artísticos que solamente puedan en</w:t>
      </w:r>
      <w:r w:rsidRPr="00D934DF">
        <w:rPr>
          <w:rFonts w:ascii="Arial" w:hAnsi="Arial" w:cs="Arial"/>
          <w:sz w:val="20"/>
          <w:szCs w:val="20"/>
        </w:rPr>
        <w:softHyphen/>
        <w:t>comendarse a determinadas personas naturales, debe justificar esta situación en los estudios y documentos previos.</w:t>
      </w:r>
      <w:r w:rsidR="00D934DF">
        <w:rPr>
          <w:rFonts w:ascii="Arial" w:hAnsi="Arial" w:cs="Arial"/>
          <w:sz w:val="20"/>
          <w:szCs w:val="20"/>
        </w:rPr>
        <w:t>»</w:t>
      </w:r>
    </w:p>
    <w:p w14:paraId="41531653" w14:textId="62B76DDF" w:rsidR="00FD0B22" w:rsidRPr="00D20A46" w:rsidRDefault="00FD0B22" w:rsidP="00D20A46">
      <w:pPr>
        <w:tabs>
          <w:tab w:val="left" w:pos="0"/>
        </w:tabs>
        <w:spacing w:line="276" w:lineRule="auto"/>
        <w:jc w:val="both"/>
        <w:rPr>
          <w:rFonts w:ascii="Arial" w:hAnsi="Arial" w:cs="Arial"/>
          <w:color w:val="000000" w:themeColor="text1"/>
          <w:lang w:val="es-ES_tradnl"/>
        </w:rPr>
      </w:pPr>
      <w:r w:rsidRPr="00D20A46">
        <w:rPr>
          <w:rFonts w:ascii="Arial" w:hAnsi="Arial" w:cs="Arial"/>
          <w:color w:val="000000" w:themeColor="text1"/>
          <w:lang w:val="es-ES_tradnl"/>
        </w:rPr>
        <w:t>A partir de las disposiciones citadas, así como de la reciente Sentencia de Unificación de Jurisprudencial del 9 de septiembre de 2021, proferida por el Consejo de Estado</w:t>
      </w:r>
      <w:r w:rsidRPr="00D20A46">
        <w:rPr>
          <w:rStyle w:val="Refdenotaalpie"/>
          <w:rFonts w:ascii="Arial" w:hAnsi="Arial" w:cs="Arial"/>
          <w:bCs/>
          <w:lang w:val="es-ES"/>
        </w:rPr>
        <w:footnoteReference w:id="2"/>
      </w:r>
      <w:r w:rsidRPr="00D20A46">
        <w:rPr>
          <w:rFonts w:ascii="Arial" w:hAnsi="Arial" w:cs="Arial"/>
          <w:color w:val="000000" w:themeColor="text1"/>
          <w:lang w:val="es-ES_tradnl"/>
        </w:rPr>
        <w:t>, es posible señalar las siguientes características del contrato de prestación de servicios</w:t>
      </w:r>
      <w:r w:rsidRPr="00D20A46">
        <w:rPr>
          <w:rFonts w:ascii="Arial" w:hAnsi="Arial" w:cs="Arial"/>
          <w:noProof/>
          <w:lang w:val="es-ES_tradnl"/>
        </w:rPr>
        <w:t>:</w:t>
      </w:r>
    </w:p>
    <w:p w14:paraId="2B8C5841" w14:textId="77777777" w:rsidR="00FD0B22" w:rsidRPr="00D20A46" w:rsidRDefault="00FD0B22" w:rsidP="00D20A46">
      <w:pPr>
        <w:spacing w:before="120" w:line="276" w:lineRule="auto"/>
        <w:ind w:firstLine="709"/>
        <w:jc w:val="both"/>
        <w:rPr>
          <w:rFonts w:ascii="Arial" w:hAnsi="Arial" w:cs="Arial"/>
          <w:noProof/>
          <w:lang w:val="es-ES_tradnl"/>
        </w:rPr>
      </w:pPr>
      <w:r w:rsidRPr="00D20A46">
        <w:rPr>
          <w:rFonts w:ascii="Arial" w:hAnsi="Arial" w:cs="Arial"/>
          <w:noProof/>
          <w:lang w:val="es-ES_tradnl"/>
        </w:rPr>
        <w:t>i) Solo puede celebrarse para realizar «actividades relacionadas con la administración o funcionamiento de la entidad», es decir, que hagan parte de su giro ordinario o quehacer cotidiano</w:t>
      </w:r>
      <w:r w:rsidRPr="00D20A46">
        <w:rPr>
          <w:rStyle w:val="Refdenotaalpie"/>
          <w:rFonts w:ascii="Arial" w:hAnsi="Arial" w:cs="Arial"/>
          <w:noProof/>
          <w:lang w:val="es-ES_tradnl"/>
        </w:rPr>
        <w:footnoteReference w:id="3"/>
      </w:r>
      <w:r w:rsidRPr="00D20A46">
        <w:rPr>
          <w:rFonts w:ascii="Arial" w:hAnsi="Arial" w:cs="Arial"/>
          <w:noProof/>
          <w:lang w:val="es-ES_tradnl"/>
        </w:rPr>
        <w:t>.</w:t>
      </w:r>
    </w:p>
    <w:p w14:paraId="422270E2" w14:textId="77777777" w:rsidR="00FD0B22" w:rsidRPr="00D20A46" w:rsidRDefault="00FD0B22" w:rsidP="00D20A46">
      <w:pPr>
        <w:spacing w:before="120" w:line="276" w:lineRule="auto"/>
        <w:ind w:firstLine="709"/>
        <w:jc w:val="both"/>
        <w:rPr>
          <w:rFonts w:ascii="Arial" w:hAnsi="Arial" w:cs="Arial"/>
          <w:noProof/>
          <w:lang w:val="es-ES_tradnl"/>
        </w:rPr>
      </w:pPr>
      <w:r w:rsidRPr="00D20A46">
        <w:rPr>
          <w:rFonts w:ascii="Arial" w:hAnsi="Arial" w:cs="Arial"/>
          <w:noProof/>
          <w:lang w:val="es-ES_tradnl"/>
        </w:rPr>
        <w:t xml:space="preserve">ii) Respecto del tipo de personas que pueden ser contratadas, admite que se suscriba con personas naturales o jurídicas. Sin embargo, cuando se celebre con aquellas, la entidad estatal debe justificar, en los estudios previos, que las actividades </w:t>
      </w:r>
      <w:r w:rsidRPr="00D934DF">
        <w:rPr>
          <w:rFonts w:ascii="Arial" w:hAnsi="Arial" w:cs="Arial"/>
          <w:i/>
          <w:iCs/>
          <w:noProof/>
          <w:lang w:val="es-ES_tradnl"/>
        </w:rPr>
        <w:t>«no puedan realizarse con personal de planta o requieran conocimientos especializados».</w:t>
      </w:r>
      <w:r w:rsidRPr="00D20A46">
        <w:rPr>
          <w:rFonts w:ascii="Arial" w:hAnsi="Arial" w:cs="Arial"/>
          <w:noProof/>
          <w:lang w:val="es-ES_tradnl"/>
        </w:rPr>
        <w:t xml:space="preserve"> </w:t>
      </w:r>
    </w:p>
    <w:p w14:paraId="3E515B94" w14:textId="77777777" w:rsidR="00FD0B22" w:rsidRPr="00D20A46" w:rsidRDefault="00FD0B22" w:rsidP="00D20A46">
      <w:pPr>
        <w:spacing w:before="120" w:line="276" w:lineRule="auto"/>
        <w:ind w:firstLine="709"/>
        <w:jc w:val="both"/>
        <w:rPr>
          <w:rFonts w:ascii="Arial" w:hAnsi="Arial" w:cs="Arial"/>
          <w:noProof/>
          <w:lang w:val="es-ES_tradnl"/>
        </w:rPr>
      </w:pPr>
      <w:r w:rsidRPr="00D20A46">
        <w:rPr>
          <w:rFonts w:ascii="Arial" w:hAnsi="Arial" w:cs="Arial"/>
          <w:noProof/>
          <w:lang w:val="es-ES_tradnl"/>
        </w:rPr>
        <w:lastRenderedPageBreak/>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D20A46">
        <w:rPr>
          <w:rFonts w:ascii="Arial" w:hAnsi="Arial" w:cs="Arial"/>
          <w:i/>
          <w:noProof/>
          <w:lang w:val="es-ES_tradnl"/>
        </w:rPr>
        <w:t xml:space="preserve">subordinación </w:t>
      </w:r>
      <w:r w:rsidRPr="00D20A46">
        <w:rPr>
          <w:rFonts w:ascii="Arial" w:hAnsi="Arial" w:cs="Arial"/>
          <w:iCs/>
          <w:noProof/>
          <w:lang w:val="es-ES_tradnl"/>
        </w:rPr>
        <w:t>ni</w:t>
      </w:r>
      <w:r w:rsidRPr="00D20A46">
        <w:rPr>
          <w:rFonts w:ascii="Arial" w:hAnsi="Arial" w:cs="Arial"/>
          <w:i/>
          <w:noProof/>
          <w:lang w:val="es-ES_tradnl"/>
        </w:rPr>
        <w:t xml:space="preserve"> dependencia</w:t>
      </w:r>
      <w:r w:rsidRPr="00D20A46">
        <w:rPr>
          <w:rFonts w:ascii="Arial" w:hAnsi="Arial" w:cs="Arial"/>
          <w:iCs/>
          <w:noProof/>
          <w:lang w:val="es-ES_tradnl"/>
        </w:rPr>
        <w:t>,</w:t>
      </w:r>
      <w:r w:rsidRPr="00D20A46">
        <w:rPr>
          <w:rFonts w:ascii="Arial" w:hAnsi="Arial" w:cs="Arial"/>
          <w:noProof/>
          <w:lang w:val="es-ES_tradnl"/>
        </w:rPr>
        <w:t xml:space="preserve"> que es uno de los elementos constitutivos del vínculo laboral</w:t>
      </w:r>
      <w:r w:rsidRPr="00D20A46">
        <w:rPr>
          <w:rStyle w:val="Refdenotaalpie"/>
          <w:rFonts w:ascii="Arial" w:hAnsi="Arial" w:cs="Arial"/>
          <w:noProof/>
          <w:lang w:val="es-ES_tradnl"/>
        </w:rPr>
        <w:footnoteReference w:id="4"/>
      </w:r>
      <w:r w:rsidRPr="00D20A46">
        <w:rPr>
          <w:rFonts w:ascii="Arial" w:hAnsi="Arial" w:cs="Arial"/>
          <w:noProof/>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D20A46">
        <w:rPr>
          <w:rFonts w:ascii="Arial" w:hAnsi="Arial" w:cs="Arial"/>
          <w:i/>
          <w:noProof/>
          <w:lang w:val="es-ES_tradnl"/>
        </w:rPr>
        <w:t>no pueden</w:t>
      </w:r>
      <w:r w:rsidRPr="00D20A46">
        <w:rPr>
          <w:rFonts w:ascii="Arial" w:hAnsi="Arial"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D20A46">
        <w:rPr>
          <w:rStyle w:val="Refdenotaalpie"/>
          <w:rFonts w:ascii="Arial" w:hAnsi="Arial" w:cs="Arial"/>
          <w:noProof/>
          <w:lang w:val="es-ES_tradnl"/>
        </w:rPr>
        <w:footnoteReference w:id="5"/>
      </w:r>
      <w:r w:rsidRPr="00D20A46">
        <w:rPr>
          <w:rFonts w:ascii="Arial" w:hAnsi="Arial" w:cs="Arial"/>
          <w:noProof/>
          <w:lang w:val="es-ES_tradnl"/>
        </w:rPr>
        <w:t xml:space="preserve">. </w:t>
      </w:r>
    </w:p>
    <w:p w14:paraId="52330F90" w14:textId="77777777" w:rsidR="00FD0B22" w:rsidRPr="00D20A46" w:rsidRDefault="00FD0B22" w:rsidP="00D20A46">
      <w:pPr>
        <w:spacing w:before="120" w:line="276" w:lineRule="auto"/>
        <w:jc w:val="both"/>
        <w:rPr>
          <w:rFonts w:ascii="Arial" w:hAnsi="Arial" w:cs="Arial"/>
          <w:noProof/>
          <w:lang w:val="es-ES_tradnl"/>
        </w:rPr>
      </w:pPr>
      <w:r w:rsidRPr="00D20A46">
        <w:rPr>
          <w:rFonts w:ascii="Arial" w:hAnsi="Arial" w:cs="Arial"/>
          <w:noProof/>
          <w:lang w:val="es-ES_tradnl"/>
        </w:rPr>
        <w:t xml:space="preserve">A pesar de este mandato deontológico, es posible que en la práctica se configure una relación laboral, pues el contrato de trabajo es </w:t>
      </w:r>
      <w:r w:rsidRPr="00D20A46">
        <w:rPr>
          <w:rFonts w:ascii="Arial" w:hAnsi="Arial" w:cs="Arial"/>
          <w:i/>
          <w:iCs/>
          <w:noProof/>
          <w:lang w:val="es-ES_tradnl"/>
        </w:rPr>
        <w:t xml:space="preserve">de </w:t>
      </w:r>
      <w:r w:rsidRPr="00D20A46">
        <w:rPr>
          <w:rFonts w:ascii="Arial" w:hAnsi="Arial" w:cs="Arial"/>
          <w:i/>
          <w:noProof/>
          <w:lang w:val="es-ES_tradnl"/>
        </w:rPr>
        <w:t>realidad</w:t>
      </w:r>
      <w:r w:rsidRPr="00D20A46">
        <w:rPr>
          <w:rFonts w:ascii="Arial" w:hAnsi="Arial" w:cs="Arial"/>
          <w:noProof/>
          <w:lang w:val="es-ES_tradnl"/>
        </w:rPr>
        <w:t>,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D20A46">
        <w:rPr>
          <w:rStyle w:val="Refdenotaalpie"/>
          <w:rFonts w:ascii="Arial" w:hAnsi="Arial" w:cs="Arial"/>
          <w:noProof/>
          <w:lang w:val="es-ES_tradnl"/>
        </w:rPr>
        <w:footnoteReference w:id="6"/>
      </w:r>
      <w:r w:rsidRPr="00D20A46">
        <w:rPr>
          <w:rFonts w:ascii="Arial" w:hAnsi="Arial" w:cs="Arial"/>
          <w:noProof/>
          <w:lang w:val="es-ES_tradnl"/>
        </w:rPr>
        <w:t>.</w:t>
      </w:r>
    </w:p>
    <w:p w14:paraId="0BE8D624" w14:textId="77777777" w:rsidR="00FD0B22" w:rsidRPr="00D20A46" w:rsidRDefault="00FD0B22" w:rsidP="00D20A46">
      <w:pPr>
        <w:spacing w:before="120" w:line="276" w:lineRule="auto"/>
        <w:ind w:firstLine="709"/>
        <w:jc w:val="both"/>
        <w:rPr>
          <w:rFonts w:ascii="Arial" w:hAnsi="Arial" w:cs="Arial"/>
          <w:noProof/>
          <w:lang w:val="es-ES_tradnl"/>
        </w:rPr>
      </w:pPr>
      <w:r w:rsidRPr="00D20A46">
        <w:rPr>
          <w:rFonts w:ascii="Arial" w:hAnsi="Arial" w:cs="Arial"/>
          <w:noProof/>
          <w:lang w:val="es-ES_tradnl"/>
        </w:rPr>
        <w:lastRenderedPageBreak/>
        <w:t>iv) Deben ser temporales. La sentencia de unificacion jurisprudencial del Consejo de Estado mencionada, frente a la duración del contrato de prestación de servicios señaló que solo puede celebrarse por un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14:paraId="03F30BB6" w14:textId="7BEE65A8" w:rsidR="00FD0B22" w:rsidRPr="00D20A46" w:rsidRDefault="00FD0B22" w:rsidP="00D934DF">
      <w:pPr>
        <w:spacing w:line="276" w:lineRule="auto"/>
        <w:ind w:firstLine="708"/>
        <w:jc w:val="both"/>
        <w:rPr>
          <w:rFonts w:ascii="Arial" w:hAnsi="Arial" w:cs="Arial"/>
          <w:noProof/>
          <w:lang w:val="es-ES_tradnl"/>
        </w:rPr>
      </w:pPr>
      <w:r w:rsidRPr="00D20A46">
        <w:rPr>
          <w:rFonts w:ascii="Arial" w:hAnsi="Arial" w:cs="Arial"/>
        </w:rPr>
        <w:t xml:space="preserve">De igual manera, señaló que «no cabe su empleo para la cobertura indefinida de necesidades permanentes o recurrentes». </w:t>
      </w:r>
      <w:r w:rsidRPr="00D20A46">
        <w:rPr>
          <w:rFonts w:ascii="Arial" w:hAnsi="Arial" w:cs="Arial"/>
          <w:noProof/>
          <w:lang w:val="es-ES_tradnl"/>
        </w:rPr>
        <w:t>En sentido similar se manifestó la Corte Constitucional en la sentencia C-154 de 1997, expresando que:</w:t>
      </w:r>
    </w:p>
    <w:p w14:paraId="1E14E50A" w14:textId="00DB4A8B" w:rsidR="00FD0B22" w:rsidRPr="00D934DF" w:rsidRDefault="00D934DF" w:rsidP="00D20A46">
      <w:pPr>
        <w:spacing w:line="276" w:lineRule="auto"/>
        <w:ind w:left="709" w:right="709"/>
        <w:jc w:val="both"/>
        <w:rPr>
          <w:rFonts w:ascii="Arial" w:hAnsi="Arial" w:cs="Arial"/>
          <w:noProof/>
          <w:sz w:val="20"/>
          <w:szCs w:val="20"/>
          <w:lang w:val="es-ES_tradnl"/>
        </w:rPr>
      </w:pPr>
      <w:r w:rsidRPr="00D934DF">
        <w:rPr>
          <w:rFonts w:ascii="Arial" w:hAnsi="Arial" w:cs="Arial"/>
          <w:noProof/>
          <w:sz w:val="20"/>
          <w:szCs w:val="20"/>
          <w:lang w:val="es-ES_tradnl"/>
        </w:rPr>
        <w:t>«</w:t>
      </w:r>
      <w:r w:rsidR="00FD0B22" w:rsidRPr="00D934DF">
        <w:rPr>
          <w:rFonts w:ascii="Arial" w:hAnsi="Arial" w:cs="Arial"/>
          <w:noProof/>
          <w:sz w:val="20"/>
          <w:szCs w:val="20"/>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00FD0B22" w:rsidRPr="00D934DF">
        <w:rPr>
          <w:rStyle w:val="Refdenotaalpie"/>
          <w:rFonts w:ascii="Arial" w:hAnsi="Arial" w:cs="Arial"/>
          <w:noProof/>
          <w:sz w:val="20"/>
          <w:szCs w:val="20"/>
          <w:lang w:val="es-ES_tradnl"/>
        </w:rPr>
        <w:footnoteReference w:id="7"/>
      </w:r>
      <w:r w:rsidR="00FD0B22" w:rsidRPr="00D934DF">
        <w:rPr>
          <w:rFonts w:ascii="Arial" w:hAnsi="Arial" w:cs="Arial"/>
          <w:noProof/>
          <w:sz w:val="20"/>
          <w:szCs w:val="20"/>
          <w:lang w:val="es-ES_tradnl"/>
        </w:rPr>
        <w:t>.</w:t>
      </w:r>
      <w:r w:rsidRPr="00D934DF">
        <w:rPr>
          <w:rFonts w:ascii="Arial" w:hAnsi="Arial" w:cs="Arial"/>
          <w:noProof/>
          <w:sz w:val="20"/>
          <w:szCs w:val="20"/>
          <w:lang w:val="es-ES_tradnl"/>
        </w:rPr>
        <w:t>»</w:t>
      </w:r>
    </w:p>
    <w:p w14:paraId="7371FEC0" w14:textId="77777777" w:rsidR="00FD0B22" w:rsidRPr="00D20A46" w:rsidRDefault="00FD0B22" w:rsidP="00D20A46">
      <w:pPr>
        <w:spacing w:after="120" w:line="276" w:lineRule="auto"/>
        <w:ind w:firstLine="709"/>
        <w:jc w:val="both"/>
        <w:rPr>
          <w:rFonts w:ascii="Arial" w:hAnsi="Arial" w:cs="Arial"/>
          <w:noProof/>
          <w:lang w:val="es-ES_tradnl"/>
        </w:rPr>
      </w:pPr>
      <w:r w:rsidRPr="00D20A46">
        <w:rPr>
          <w:rFonts w:ascii="Arial" w:hAnsi="Arial" w:cs="Arial"/>
          <w:noProof/>
          <w:lang w:val="es-ES_tradnl"/>
        </w:rPr>
        <w:t>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D20A46">
        <w:rPr>
          <w:rStyle w:val="Refdenotaalpie"/>
          <w:rFonts w:ascii="Arial" w:hAnsi="Arial" w:cs="Arial"/>
          <w:noProof/>
          <w:lang w:val="es-ES_tradnl"/>
        </w:rPr>
        <w:footnoteReference w:id="8"/>
      </w:r>
      <w:r w:rsidRPr="00D20A46">
        <w:rPr>
          <w:rFonts w:ascii="Arial" w:hAnsi="Arial" w:cs="Arial"/>
          <w:noProof/>
          <w:lang w:val="es-ES_tradnl"/>
        </w:rPr>
        <w:t>. Esto también se deriva d</w:t>
      </w:r>
      <w:r w:rsidRPr="00D20A46">
        <w:rPr>
          <w:rFonts w:ascii="Arial" w:eastAsia="Calibri" w:hAnsi="Arial" w:cs="Arial"/>
          <w:color w:val="000000" w:themeColor="text1"/>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p>
    <w:p w14:paraId="774711A5" w14:textId="77777777" w:rsidR="00FD0B22" w:rsidRPr="00D20A46" w:rsidRDefault="00FD0B22" w:rsidP="00D20A46">
      <w:pPr>
        <w:spacing w:after="120" w:line="276" w:lineRule="auto"/>
        <w:ind w:firstLine="709"/>
        <w:jc w:val="both"/>
        <w:rPr>
          <w:rFonts w:ascii="Arial" w:hAnsi="Arial" w:cs="Arial"/>
          <w:noProof/>
          <w:lang w:val="es-ES_tradnl"/>
        </w:rPr>
      </w:pPr>
      <w:r w:rsidRPr="00D20A46">
        <w:rPr>
          <w:rFonts w:ascii="Arial" w:hAnsi="Arial" w:cs="Arial"/>
          <w:noProof/>
          <w:lang w:val="es-ES_tradnl"/>
        </w:rPr>
        <w:lastRenderedPageBreak/>
        <w:t>vi) Para su celebración no se requiere expedir un acto administrativo de justificación de la contratación directa</w:t>
      </w:r>
      <w:r w:rsidRPr="00D20A46">
        <w:rPr>
          <w:rStyle w:val="Refdenotaalpie"/>
          <w:rFonts w:ascii="Arial" w:hAnsi="Arial" w:cs="Arial"/>
          <w:noProof/>
          <w:lang w:val="es-ES_tradnl"/>
        </w:rPr>
        <w:footnoteReference w:id="9"/>
      </w:r>
      <w:r w:rsidRPr="00D20A46">
        <w:rPr>
          <w:rFonts w:ascii="Arial" w:hAnsi="Arial" w:cs="Arial"/>
          <w:noProof/>
          <w:lang w:val="es-ES_tradnl"/>
        </w:rPr>
        <w:t>.</w:t>
      </w:r>
    </w:p>
    <w:p w14:paraId="7C7CD78E" w14:textId="77777777" w:rsidR="00FD0B22" w:rsidRPr="00D20A46" w:rsidRDefault="00FD0B22" w:rsidP="00D20A46">
      <w:pPr>
        <w:spacing w:before="120" w:line="276" w:lineRule="auto"/>
        <w:ind w:firstLine="709"/>
        <w:jc w:val="both"/>
        <w:rPr>
          <w:rFonts w:ascii="Arial" w:hAnsi="Arial" w:cs="Arial"/>
          <w:noProof/>
          <w:lang w:val="es-ES_tradnl"/>
        </w:rPr>
      </w:pPr>
      <w:r w:rsidRPr="00D20A46">
        <w:rPr>
          <w:rFonts w:ascii="Arial" w:hAnsi="Arial" w:cs="Arial"/>
          <w:noProof/>
          <w:lang w:val="es-ES_tradnl"/>
        </w:rPr>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w:t>
      </w:r>
      <w:r w:rsidRPr="00D20A46">
        <w:rPr>
          <w:rStyle w:val="Refdenotaalpie"/>
          <w:rFonts w:ascii="Arial" w:hAnsi="Arial" w:cs="Arial"/>
          <w:noProof/>
          <w:lang w:val="es-ES_tradnl"/>
        </w:rPr>
        <w:footnoteReference w:id="10"/>
      </w:r>
      <w:r w:rsidRPr="00D20A46">
        <w:rPr>
          <w:rFonts w:ascii="Arial" w:hAnsi="Arial" w:cs="Arial"/>
          <w:noProof/>
          <w:lang w:val="es-ES_tradnl"/>
        </w:rPr>
        <w:t>.</w:t>
      </w:r>
    </w:p>
    <w:p w14:paraId="5C666316" w14:textId="77777777" w:rsidR="00FD0B22" w:rsidRPr="00D20A46" w:rsidRDefault="00FD0B22" w:rsidP="00D20A46">
      <w:pPr>
        <w:spacing w:before="120" w:line="276" w:lineRule="auto"/>
        <w:ind w:firstLine="709"/>
        <w:jc w:val="both"/>
        <w:rPr>
          <w:rFonts w:ascii="Arial" w:hAnsi="Arial" w:cs="Arial"/>
          <w:noProof/>
          <w:lang w:val="es-ES_tradnl"/>
        </w:rPr>
      </w:pPr>
      <w:r w:rsidRPr="00D20A46">
        <w:rPr>
          <w:rFonts w:ascii="Arial" w:hAnsi="Arial" w:cs="Arial"/>
          <w:noProof/>
          <w:lang w:val="es-ES_tradnl"/>
        </w:rPr>
        <w:t>viii) No es obligatoria la liquidación de estos contratos, como lo establece el artículo 217 del Decreto 019 de 2012, que modificó el artículo 60 de la Ley 80 de 1993</w:t>
      </w:r>
      <w:r w:rsidRPr="00D20A46">
        <w:rPr>
          <w:rStyle w:val="Refdenotaalpie"/>
          <w:rFonts w:ascii="Arial" w:hAnsi="Arial" w:cs="Arial"/>
          <w:noProof/>
          <w:lang w:val="es-ES_tradnl"/>
        </w:rPr>
        <w:footnoteReference w:id="11"/>
      </w:r>
      <w:r w:rsidRPr="00D20A46">
        <w:rPr>
          <w:rFonts w:ascii="Arial" w:hAnsi="Arial" w:cs="Arial"/>
          <w:noProof/>
          <w:lang w:val="es-ES_tradnl"/>
        </w:rPr>
        <w:t>.</w:t>
      </w:r>
    </w:p>
    <w:p w14:paraId="5EF4309C" w14:textId="77777777" w:rsidR="00FD0B22" w:rsidRPr="00D20A46" w:rsidRDefault="00FD0B22" w:rsidP="00D20A46">
      <w:pPr>
        <w:spacing w:before="120" w:line="276" w:lineRule="auto"/>
        <w:ind w:firstLine="709"/>
        <w:jc w:val="both"/>
        <w:rPr>
          <w:rFonts w:ascii="Arial" w:hAnsi="Arial" w:cs="Arial"/>
          <w:noProof/>
          <w:lang w:val="es-ES_tradnl"/>
        </w:rPr>
      </w:pPr>
      <w:r w:rsidRPr="00D20A46">
        <w:rPr>
          <w:rFonts w:ascii="Arial" w:hAnsi="Arial" w:cs="Arial"/>
          <w:noProof/>
          <w:lang w:val="es-ES_tradnl"/>
        </w:rPr>
        <w:t>ix) Para su celebración el contratista no requiere estar inscrito en el Registro Único de Proponentes –RUP–, como lo señala el artículo 6 de la Ley 1150 de 2007</w:t>
      </w:r>
      <w:r w:rsidRPr="00D20A46">
        <w:rPr>
          <w:rStyle w:val="Refdenotaalpie"/>
          <w:rFonts w:ascii="Arial" w:hAnsi="Arial" w:cs="Arial"/>
          <w:noProof/>
          <w:lang w:val="es-ES_tradnl"/>
        </w:rPr>
        <w:footnoteReference w:id="12"/>
      </w:r>
      <w:r w:rsidRPr="00D20A46">
        <w:rPr>
          <w:rFonts w:ascii="Arial" w:hAnsi="Arial" w:cs="Arial"/>
          <w:noProof/>
          <w:lang w:val="es-ES_tradnl"/>
        </w:rPr>
        <w:t>.</w:t>
      </w:r>
    </w:p>
    <w:p w14:paraId="58F9C6E8" w14:textId="77777777" w:rsidR="00FD0B22" w:rsidRPr="00D20A46" w:rsidRDefault="00FD0B22" w:rsidP="00D20A46">
      <w:pPr>
        <w:spacing w:before="120" w:line="276" w:lineRule="auto"/>
        <w:ind w:firstLine="708"/>
        <w:jc w:val="both"/>
        <w:rPr>
          <w:rFonts w:ascii="Arial" w:hAnsi="Arial" w:cs="Arial"/>
          <w:noProof/>
          <w:lang w:val="es-ES_tradnl"/>
        </w:rPr>
      </w:pPr>
      <w:r w:rsidRPr="00D20A46">
        <w:rPr>
          <w:rFonts w:ascii="Arial" w:hAnsi="Arial" w:cs="Arial"/>
          <w:noProof/>
          <w:lang w:val="es-ES_tradnl"/>
        </w:rPr>
        <w:lastRenderedPageBreak/>
        <w:t>x) No es obligtoria la exigencia de garantías</w:t>
      </w:r>
      <w:r w:rsidRPr="00D20A46">
        <w:rPr>
          <w:rStyle w:val="Refdenotaalpie"/>
          <w:rFonts w:ascii="Arial" w:hAnsi="Arial" w:cs="Arial"/>
          <w:noProof/>
          <w:lang w:val="es-ES_tradnl"/>
        </w:rPr>
        <w:footnoteReference w:id="13"/>
      </w:r>
      <w:r w:rsidRPr="00D20A46">
        <w:rPr>
          <w:rFonts w:ascii="Arial" w:hAnsi="Arial" w:cs="Arial"/>
          <w:noProof/>
          <w:lang w:val="es-ES_tradnl"/>
        </w:rPr>
        <w:t>.</w:t>
      </w:r>
    </w:p>
    <w:p w14:paraId="0150A440" w14:textId="77777777" w:rsidR="00FD0B22" w:rsidRPr="00D20A46" w:rsidRDefault="00FD0B22" w:rsidP="00D20A46">
      <w:pPr>
        <w:spacing w:before="120" w:line="276" w:lineRule="auto"/>
        <w:ind w:firstLine="708"/>
        <w:jc w:val="both"/>
        <w:rPr>
          <w:rFonts w:ascii="Arial" w:hAnsi="Arial" w:cs="Arial"/>
          <w:noProof/>
          <w:lang w:val="es-ES"/>
        </w:rPr>
      </w:pPr>
      <w:r w:rsidRPr="00D20A46">
        <w:rPr>
          <w:rFonts w:ascii="Arial" w:hAnsi="Arial" w:cs="Arial"/>
          <w:noProof/>
          <w:lang w:val="es-ES_tradnl"/>
        </w:rPr>
        <w:t>xi) Como los demás contratos estatales, se trata de un contrato solemne que debe constar por escrito y debe ser publicado en el SECOP.</w:t>
      </w:r>
    </w:p>
    <w:p w14:paraId="3037A502" w14:textId="31C21516" w:rsidR="00FD0B22" w:rsidRPr="00D20A46" w:rsidRDefault="00FD0B22" w:rsidP="00D20A46">
      <w:pPr>
        <w:tabs>
          <w:tab w:val="left" w:pos="0"/>
        </w:tabs>
        <w:spacing w:before="120" w:line="276" w:lineRule="auto"/>
        <w:ind w:firstLine="709"/>
        <w:jc w:val="both"/>
        <w:rPr>
          <w:rFonts w:ascii="Arial" w:hAnsi="Arial" w:cs="Arial"/>
          <w:color w:val="000000" w:themeColor="text1"/>
        </w:rPr>
      </w:pPr>
      <w:proofErr w:type="spellStart"/>
      <w:r w:rsidRPr="00D20A46">
        <w:rPr>
          <w:rFonts w:ascii="Arial" w:hAnsi="Arial" w:cs="Arial"/>
          <w:color w:val="000000" w:themeColor="text1"/>
          <w:lang w:val="es-ES"/>
        </w:rPr>
        <w:t>xii</w:t>
      </w:r>
      <w:proofErr w:type="spellEnd"/>
      <w:r w:rsidRPr="00D20A46">
        <w:rPr>
          <w:rFonts w:ascii="Arial" w:hAnsi="Arial" w:cs="Arial"/>
          <w:color w:val="000000" w:themeColor="text1"/>
          <w:lang w:val="es-ES"/>
        </w:rPr>
        <w:t xml:space="preserve">) </w:t>
      </w:r>
      <w:r w:rsidR="005109B2">
        <w:rPr>
          <w:rFonts w:ascii="Arial" w:hAnsi="Arial" w:cs="Arial"/>
          <w:color w:val="000000" w:themeColor="text1"/>
          <w:lang w:val="es-ES"/>
        </w:rPr>
        <w:t>Como</w:t>
      </w:r>
      <w:r w:rsidRPr="00D20A46">
        <w:rPr>
          <w:rFonts w:ascii="Arial" w:hAnsi="Arial" w:cs="Arial"/>
          <w:color w:val="000000" w:themeColor="text1"/>
        </w:rPr>
        <w:t xml:space="preserve"> especies del género </w:t>
      </w:r>
      <w:r w:rsidRPr="00D20A46">
        <w:rPr>
          <w:rFonts w:ascii="Arial" w:hAnsi="Arial" w:cs="Arial"/>
          <w:i/>
          <w:color w:val="000000" w:themeColor="text1"/>
        </w:rPr>
        <w:t>prestación de servicios,</w:t>
      </w:r>
      <w:r w:rsidRPr="00D20A46">
        <w:rPr>
          <w:rFonts w:ascii="Arial" w:hAnsi="Arial" w:cs="Arial"/>
          <w:color w:val="000000" w:themeColor="text1"/>
        </w:rPr>
        <w:t xml:space="preserve"> se incluyen </w:t>
      </w:r>
      <w:r w:rsidRPr="00D20A46">
        <w:rPr>
          <w:rFonts w:ascii="Arial" w:hAnsi="Arial" w:cs="Arial"/>
          <w:color w:val="000000" w:themeColor="text1"/>
          <w:lang w:val="es-ES_tradnl"/>
        </w:rPr>
        <w:t xml:space="preserve">los </w:t>
      </w:r>
      <w:r w:rsidRPr="00D20A46">
        <w:rPr>
          <w:rFonts w:ascii="Arial" w:hAnsi="Arial" w:cs="Arial"/>
          <w:i/>
          <w:iCs/>
          <w:color w:val="000000" w:themeColor="text1"/>
          <w:lang w:val="es-ES_tradnl"/>
        </w:rPr>
        <w:t>contratos de prestación de servicios profesionales, los contratos de prestación de servicios de apoyo a la gestión</w:t>
      </w:r>
      <w:r w:rsidRPr="00D20A46">
        <w:rPr>
          <w:rFonts w:ascii="Arial" w:hAnsi="Arial" w:cs="Arial"/>
          <w:color w:val="000000" w:themeColor="text1"/>
          <w:lang w:val="es-ES_tradnl"/>
        </w:rPr>
        <w:t xml:space="preserve"> y los </w:t>
      </w:r>
      <w:r w:rsidRPr="00D20A46">
        <w:rPr>
          <w:rFonts w:ascii="Arial" w:hAnsi="Arial" w:cs="Arial"/>
          <w:i/>
          <w:iCs/>
          <w:color w:val="000000" w:themeColor="text1"/>
          <w:lang w:val="es-ES_tradnl"/>
        </w:rPr>
        <w:t>contratos de prestación de servicios artísticos que solo pueden encomendarse a determinadas personas naturales</w:t>
      </w:r>
      <w:r w:rsidRPr="00D20A46">
        <w:rPr>
          <w:rFonts w:ascii="Arial" w:hAnsi="Arial" w:cs="Arial"/>
          <w:color w:val="000000" w:themeColor="text1"/>
          <w:vertAlign w:val="superscript"/>
          <w:lang w:val="es-ES_tradnl"/>
        </w:rPr>
        <w:footnoteReference w:id="14"/>
      </w:r>
      <w:r w:rsidRPr="00D20A46">
        <w:rPr>
          <w:rFonts w:ascii="Arial" w:hAnsi="Arial" w:cs="Arial"/>
          <w:color w:val="000000" w:themeColor="text1"/>
        </w:rPr>
        <w:t xml:space="preserve">. </w:t>
      </w:r>
      <w:r w:rsidRPr="00D20A46">
        <w:rPr>
          <w:rFonts w:ascii="Arial" w:hAnsi="Arial" w:cs="Arial"/>
          <w:color w:val="000000" w:themeColor="text1"/>
          <w:lang w:val="es-ES_tradnl"/>
        </w:rPr>
        <w:t xml:space="preserve">La diferencia entre el contrato de prestación de servicios </w:t>
      </w:r>
      <w:r w:rsidRPr="00D20A46">
        <w:rPr>
          <w:rFonts w:ascii="Arial" w:hAnsi="Arial" w:cs="Arial"/>
          <w:i/>
          <w:color w:val="000000" w:themeColor="text1"/>
          <w:lang w:val="es-ES_tradnl"/>
        </w:rPr>
        <w:t>profesionales</w:t>
      </w:r>
      <w:r w:rsidRPr="00D20A46">
        <w:rPr>
          <w:rFonts w:ascii="Arial" w:hAnsi="Arial" w:cs="Arial"/>
          <w:color w:val="000000" w:themeColor="text1"/>
          <w:lang w:val="es-ES_tradnl"/>
        </w:rPr>
        <w:t xml:space="preserve"> con las otras dos especies del género en el cual se </w:t>
      </w:r>
      <w:proofErr w:type="gramStart"/>
      <w:r w:rsidRPr="00D20A46">
        <w:rPr>
          <w:rFonts w:ascii="Arial" w:hAnsi="Arial" w:cs="Arial"/>
          <w:color w:val="000000" w:themeColor="text1"/>
          <w:lang w:val="es-ES_tradnl"/>
        </w:rPr>
        <w:t>ubican,</w:t>
      </w:r>
      <w:proofErr w:type="gramEnd"/>
      <w:r w:rsidRPr="00D20A46">
        <w:rPr>
          <w:rFonts w:ascii="Arial" w:hAnsi="Arial" w:cs="Arial"/>
          <w:color w:val="000000" w:themeColor="text1"/>
          <w:lang w:val="es-ES_tradnl"/>
        </w:rPr>
        <w:t xml:space="preserve">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6EDF4DF8" w14:textId="351A2B15" w:rsidR="00FD0B22" w:rsidRPr="00D934DF" w:rsidRDefault="00D934DF" w:rsidP="00D20A46">
      <w:pPr>
        <w:spacing w:line="276" w:lineRule="auto"/>
        <w:ind w:left="709" w:right="709"/>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w:t>
      </w:r>
      <w:r w:rsidR="00FD0B22" w:rsidRPr="00D934DF">
        <w:rPr>
          <w:rFonts w:ascii="Arial" w:hAnsi="Arial" w:cs="Arial"/>
          <w:color w:val="000000" w:themeColor="text1"/>
          <w:sz w:val="20"/>
          <w:szCs w:val="20"/>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00FD0B22" w:rsidRPr="00D934DF">
        <w:rPr>
          <w:rStyle w:val="Refdenotaalpie"/>
          <w:rFonts w:ascii="Arial" w:hAnsi="Arial" w:cs="Arial"/>
          <w:color w:val="000000" w:themeColor="text1"/>
          <w:sz w:val="20"/>
          <w:szCs w:val="20"/>
          <w:lang w:val="es-ES_tradnl"/>
        </w:rPr>
        <w:footnoteReference w:id="15"/>
      </w:r>
      <w:r w:rsidR="00FD0B22" w:rsidRPr="00D934DF">
        <w:rPr>
          <w:rFonts w:ascii="Arial" w:hAnsi="Arial" w:cs="Arial"/>
          <w:color w:val="000000" w:themeColor="text1"/>
          <w:sz w:val="20"/>
          <w:szCs w:val="20"/>
          <w:lang w:val="es-ES_tradnl"/>
        </w:rPr>
        <w:t>.</w:t>
      </w:r>
      <w:r>
        <w:rPr>
          <w:rFonts w:ascii="Arial" w:hAnsi="Arial" w:cs="Arial"/>
          <w:color w:val="000000" w:themeColor="text1"/>
          <w:sz w:val="20"/>
          <w:szCs w:val="20"/>
          <w:lang w:val="es-ES_tradnl"/>
        </w:rPr>
        <w:t>»</w:t>
      </w:r>
    </w:p>
    <w:p w14:paraId="07BF17D6" w14:textId="77777777" w:rsidR="00FD0B22" w:rsidRPr="00D20A46" w:rsidRDefault="00FD0B22" w:rsidP="00D20A46">
      <w:pPr>
        <w:spacing w:line="276" w:lineRule="auto"/>
        <w:jc w:val="both"/>
        <w:rPr>
          <w:rFonts w:ascii="Arial" w:hAnsi="Arial" w:cs="Arial"/>
          <w:color w:val="000000" w:themeColor="text1"/>
          <w:lang w:val="es-ES_tradnl"/>
        </w:rPr>
      </w:pPr>
      <w:r w:rsidRPr="00D20A46">
        <w:rPr>
          <w:rFonts w:ascii="Arial" w:hAnsi="Arial" w:cs="Arial"/>
          <w:color w:val="000000" w:themeColor="text1"/>
          <w:lang w:val="es-ES_tradnl"/>
        </w:rPr>
        <w:t xml:space="preserve">Lo expuesto, según la jurisprudencia citada, se diferencia del objeto del </w:t>
      </w:r>
      <w:r w:rsidRPr="00D20A46">
        <w:rPr>
          <w:rFonts w:ascii="Arial" w:hAnsi="Arial" w:cs="Arial"/>
          <w:i/>
          <w:iCs/>
          <w:color w:val="000000" w:themeColor="text1"/>
          <w:lang w:val="es-ES_tradnl"/>
        </w:rPr>
        <w:t>contrato de prestación de servicios de apoyo a la gestión</w:t>
      </w:r>
      <w:r w:rsidRPr="00D20A46">
        <w:rPr>
          <w:rFonts w:ascii="Arial" w:hAnsi="Arial" w:cs="Arial"/>
          <w:color w:val="000000" w:themeColor="text1"/>
          <w:lang w:val="es-ES_tradnl"/>
        </w:rPr>
        <w:t>, en los siguientes aspectos:</w:t>
      </w:r>
    </w:p>
    <w:p w14:paraId="719AD603" w14:textId="47F3A450" w:rsidR="00FD0B22" w:rsidRPr="00D934DF" w:rsidRDefault="00D934DF" w:rsidP="00D20A46">
      <w:pPr>
        <w:spacing w:after="120" w:line="276" w:lineRule="auto"/>
        <w:ind w:left="709" w:right="709"/>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w:t>
      </w:r>
      <w:r w:rsidR="00FD0B22" w:rsidRPr="00D934DF">
        <w:rPr>
          <w:rFonts w:ascii="Arial" w:hAnsi="Arial" w:cs="Arial"/>
          <w:color w:val="000000" w:themeColor="text1"/>
          <w:sz w:val="20"/>
          <w:szCs w:val="20"/>
          <w:lang w:val="es-ES_tradnl"/>
        </w:rPr>
        <w:t xml:space="preserve">Su objeto contractual participa de las características encaminadas a desarrollar actividades identificables e intangibles. Hay lugar a su celebración en aquellos casos </w:t>
      </w:r>
      <w:r w:rsidR="00FD0B22" w:rsidRPr="00D934DF">
        <w:rPr>
          <w:rFonts w:ascii="Arial" w:hAnsi="Arial" w:cs="Arial"/>
          <w:color w:val="000000" w:themeColor="text1"/>
          <w:sz w:val="20"/>
          <w:szCs w:val="20"/>
          <w:lang w:val="es-ES_tradnl"/>
        </w:rPr>
        <w:lastRenderedPageBreak/>
        <w:t>en donde las necesidades de la Administración no demanden la presencia de personal profesional.</w:t>
      </w:r>
    </w:p>
    <w:p w14:paraId="5C1130D7" w14:textId="77777777" w:rsidR="00FD0B22" w:rsidRPr="00D934DF" w:rsidRDefault="00FD0B22" w:rsidP="00D20A46">
      <w:pPr>
        <w:spacing w:after="120" w:line="276" w:lineRule="auto"/>
        <w:ind w:left="709" w:right="709"/>
        <w:jc w:val="both"/>
        <w:rPr>
          <w:rFonts w:ascii="Arial" w:hAnsi="Arial" w:cs="Arial"/>
          <w:color w:val="000000" w:themeColor="text1"/>
          <w:sz w:val="20"/>
          <w:szCs w:val="20"/>
          <w:lang w:val="es-ES_tradnl"/>
        </w:rPr>
      </w:pPr>
      <w:r w:rsidRPr="00D934DF">
        <w:rPr>
          <w:rFonts w:ascii="Arial" w:hAnsi="Arial" w:cs="Arial"/>
          <w:color w:val="000000" w:themeColor="text1"/>
          <w:sz w:val="20"/>
          <w:szCs w:val="20"/>
          <w:lang w:val="es-ES_tradnl"/>
        </w:rPr>
        <w:t xml:space="preserve">Aunque también se caracteriza por el desempeño de actividad intelectiva, ésta </w:t>
      </w:r>
      <w:proofErr w:type="gramStart"/>
      <w:r w:rsidRPr="00D934DF">
        <w:rPr>
          <w:rFonts w:ascii="Arial" w:hAnsi="Arial" w:cs="Arial"/>
          <w:color w:val="000000" w:themeColor="text1"/>
          <w:sz w:val="20"/>
          <w:szCs w:val="20"/>
          <w:lang w:val="es-ES_tradnl"/>
        </w:rPr>
        <w:t>se enmarca dentro de</w:t>
      </w:r>
      <w:proofErr w:type="gramEnd"/>
      <w:r w:rsidRPr="00D934DF">
        <w:rPr>
          <w:rFonts w:ascii="Arial" w:hAnsi="Arial" w:cs="Arial"/>
          <w:color w:val="000000" w:themeColor="text1"/>
          <w:sz w:val="20"/>
          <w:szCs w:val="20"/>
          <w:lang w:val="es-ES_tradnl"/>
        </w:rPr>
        <w:t xml:space="preserve"> un saber propiamente técnico; igualmente involucra actividades en donde prima el esfuerzo físico o mecánico, en donde no se requiere de personal profesional.</w:t>
      </w:r>
    </w:p>
    <w:p w14:paraId="4019AF0E" w14:textId="4FE583C2" w:rsidR="005149F2" w:rsidRPr="00D934DF" w:rsidRDefault="00FD0B22" w:rsidP="00D20A46">
      <w:pPr>
        <w:spacing w:line="276" w:lineRule="auto"/>
        <w:ind w:left="709" w:right="709"/>
        <w:jc w:val="both"/>
        <w:rPr>
          <w:rFonts w:ascii="Malgun Gothic" w:eastAsia="Malgun Gothic" w:hAnsi="Malgun Gothic" w:cs="Malgun Gothic"/>
          <w:color w:val="000000" w:themeColor="text1"/>
          <w:sz w:val="20"/>
          <w:szCs w:val="20"/>
          <w:lang w:val="es-ES_tradnl"/>
        </w:rPr>
      </w:pPr>
      <w:r w:rsidRPr="00D934DF">
        <w:rPr>
          <w:rFonts w:ascii="Arial" w:hAnsi="Arial" w:cs="Arial"/>
          <w:color w:val="000000" w:themeColor="text1"/>
          <w:sz w:val="20"/>
          <w:szCs w:val="20"/>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D934DF">
        <w:rPr>
          <w:rStyle w:val="Refdenotaalpie"/>
          <w:rFonts w:ascii="Arial" w:hAnsi="Arial" w:cs="Arial"/>
          <w:color w:val="000000" w:themeColor="text1"/>
          <w:sz w:val="20"/>
          <w:szCs w:val="20"/>
          <w:lang w:val="es-ES_tradnl"/>
        </w:rPr>
        <w:footnoteReference w:id="16"/>
      </w:r>
      <w:r w:rsidRPr="00D934DF">
        <w:rPr>
          <w:rFonts w:ascii="Arial" w:hAnsi="Arial" w:cs="Arial"/>
          <w:color w:val="000000" w:themeColor="text1"/>
          <w:sz w:val="20"/>
          <w:szCs w:val="20"/>
          <w:lang w:val="es-ES_tradnl"/>
        </w:rPr>
        <w:t>.</w:t>
      </w:r>
      <w:r w:rsidR="00D934DF">
        <w:rPr>
          <w:rFonts w:ascii="Malgun Gothic" w:eastAsia="Malgun Gothic" w:hAnsi="Malgun Gothic" w:cs="Malgun Gothic" w:hint="eastAsia"/>
          <w:color w:val="000000" w:themeColor="text1"/>
          <w:sz w:val="20"/>
          <w:szCs w:val="20"/>
          <w:lang w:val="es-ES_tradnl"/>
        </w:rPr>
        <w:t>»</w:t>
      </w:r>
    </w:p>
    <w:p w14:paraId="6D898D73" w14:textId="4057E349" w:rsidR="00120573" w:rsidRPr="00D20A46" w:rsidRDefault="005149F2" w:rsidP="005109B2">
      <w:pPr>
        <w:spacing w:line="276" w:lineRule="auto"/>
        <w:ind w:right="709"/>
        <w:jc w:val="both"/>
        <w:rPr>
          <w:rFonts w:ascii="Arial" w:hAnsi="Arial" w:cs="Arial"/>
          <w:b/>
          <w:color w:val="000000" w:themeColor="text1"/>
          <w:lang w:val="es-ES_tradnl"/>
        </w:rPr>
      </w:pPr>
      <w:r w:rsidRPr="00D20A46">
        <w:rPr>
          <w:rFonts w:ascii="Arial" w:eastAsia="Arial" w:hAnsi="Arial" w:cs="Arial"/>
          <w:b/>
          <w:lang w:val="es-MX" w:eastAsia="es-ES_tradnl"/>
        </w:rPr>
        <w:t>2.</w:t>
      </w:r>
      <w:r w:rsidRPr="00D20A46">
        <w:rPr>
          <w:rFonts w:ascii="Arial" w:hAnsi="Arial" w:cs="Arial"/>
          <w:b/>
          <w:color w:val="000000" w:themeColor="text1"/>
          <w:lang w:val="es-ES_tradnl"/>
        </w:rPr>
        <w:t xml:space="preserve">3 </w:t>
      </w:r>
      <w:r w:rsidR="005109B2">
        <w:rPr>
          <w:rFonts w:ascii="Arial" w:hAnsi="Arial" w:cs="Arial"/>
          <w:b/>
          <w:color w:val="000000" w:themeColor="text1"/>
          <w:lang w:val="es-ES_tradnl"/>
        </w:rPr>
        <w:t>Exigencia del F</w:t>
      </w:r>
      <w:r w:rsidR="005109B2" w:rsidRPr="00D20A46">
        <w:rPr>
          <w:rFonts w:ascii="Arial" w:hAnsi="Arial" w:cs="Arial"/>
          <w:b/>
          <w:color w:val="000000" w:themeColor="text1"/>
          <w:lang w:val="es-ES_tradnl"/>
        </w:rPr>
        <w:t>ormato hoja de vida de la función pública</w:t>
      </w:r>
      <w:r w:rsidR="005109B2">
        <w:rPr>
          <w:rFonts w:ascii="Arial" w:hAnsi="Arial" w:cs="Arial"/>
          <w:b/>
          <w:color w:val="000000" w:themeColor="text1"/>
          <w:lang w:val="es-ES_tradnl"/>
        </w:rPr>
        <w:t xml:space="preserve"> para la celebración de Contratos Prestación de Servicios</w:t>
      </w:r>
    </w:p>
    <w:p w14:paraId="41249ECF" w14:textId="7EC5C6E2" w:rsidR="00E067AF" w:rsidRPr="00D20A46" w:rsidRDefault="00F51B35" w:rsidP="00D20A46">
      <w:pPr>
        <w:spacing w:after="0" w:line="276" w:lineRule="auto"/>
        <w:contextualSpacing/>
        <w:jc w:val="both"/>
        <w:rPr>
          <w:rFonts w:ascii="Arial" w:hAnsi="Arial" w:cs="Arial"/>
          <w:color w:val="000000" w:themeColor="text1"/>
          <w:lang w:val="es-ES_tradnl"/>
        </w:rPr>
      </w:pPr>
      <w:r w:rsidRPr="00D20A46">
        <w:rPr>
          <w:rFonts w:ascii="Arial" w:hAnsi="Arial" w:cs="Arial"/>
          <w:color w:val="000000" w:themeColor="text1"/>
          <w:lang w:val="es-ES_tradnl"/>
        </w:rPr>
        <w:t xml:space="preserve">De acuerdo con </w:t>
      </w:r>
      <w:r w:rsidR="00E067AF" w:rsidRPr="00D20A46">
        <w:rPr>
          <w:rFonts w:ascii="Arial" w:hAnsi="Arial" w:cs="Arial"/>
          <w:color w:val="000000" w:themeColor="text1"/>
          <w:lang w:val="es-ES_tradnl"/>
        </w:rPr>
        <w:t xml:space="preserve">los artículos 10 y 11 del Decreto 1571 de 1998, las entidades de todas las ramas del poder público, los organismos de control, la organización electoral, los entes universitarios autónomos y las corporaciones autónomas regionales y de desarrollo sostenible, en los órdenes nacional, departamental, distrital y municipal, deberán exigir la presentación del Formato Único de Hoja de Vida, a todos los servidores públicos, </w:t>
      </w:r>
      <w:r w:rsidR="00E067AF" w:rsidRPr="00D934DF">
        <w:rPr>
          <w:rFonts w:ascii="Arial" w:hAnsi="Arial" w:cs="Arial"/>
          <w:b/>
          <w:bCs/>
          <w:color w:val="000000" w:themeColor="text1"/>
          <w:u w:val="single"/>
          <w:lang w:val="es-ES_tradnl"/>
        </w:rPr>
        <w:t>y a los contratistas de prestación de servicios, en el momento previo a la posesión o de la celebración del contrato</w:t>
      </w:r>
      <w:r w:rsidR="00E067AF" w:rsidRPr="00D20A46">
        <w:rPr>
          <w:rFonts w:ascii="Arial" w:hAnsi="Arial" w:cs="Arial"/>
          <w:color w:val="000000" w:themeColor="text1"/>
          <w:lang w:val="es-ES_tradnl"/>
        </w:rPr>
        <w:t>, respectivamente</w:t>
      </w:r>
      <w:r w:rsidR="000E3B39" w:rsidRPr="00D20A46">
        <w:rPr>
          <w:rFonts w:ascii="Arial" w:hAnsi="Arial" w:cs="Arial"/>
          <w:color w:val="000000" w:themeColor="text1"/>
          <w:lang w:val="es-ES_tradnl"/>
        </w:rPr>
        <w:t>.</w:t>
      </w:r>
    </w:p>
    <w:p w14:paraId="046BC09E" w14:textId="1BF4B363" w:rsidR="00507EFE" w:rsidRPr="00D20A46" w:rsidRDefault="00507EFE" w:rsidP="00D20A46">
      <w:pPr>
        <w:spacing w:after="0" w:line="276" w:lineRule="auto"/>
        <w:contextualSpacing/>
        <w:jc w:val="both"/>
        <w:rPr>
          <w:rFonts w:ascii="Arial" w:hAnsi="Arial" w:cs="Arial"/>
          <w:color w:val="000000" w:themeColor="text1"/>
          <w:lang w:val="es-ES_tradnl"/>
        </w:rPr>
      </w:pPr>
    </w:p>
    <w:p w14:paraId="17D14C53" w14:textId="203D418F" w:rsidR="00EA7703" w:rsidRPr="00D20A46" w:rsidRDefault="00507EFE" w:rsidP="00D20A46">
      <w:pPr>
        <w:pStyle w:val="NormalWeb"/>
        <w:shd w:val="clear" w:color="auto" w:fill="FFFFFF"/>
        <w:spacing w:before="0" w:beforeAutospacing="0" w:line="276" w:lineRule="auto"/>
        <w:jc w:val="both"/>
        <w:rPr>
          <w:rFonts w:ascii="Arial" w:eastAsiaTheme="minorHAnsi" w:hAnsi="Arial" w:cs="Arial"/>
          <w:color w:val="000000" w:themeColor="text1"/>
          <w:sz w:val="22"/>
          <w:szCs w:val="22"/>
          <w:lang w:val="es-ES_tradnl" w:eastAsia="en-US"/>
        </w:rPr>
      </w:pPr>
      <w:r w:rsidRPr="00D20A46">
        <w:rPr>
          <w:rFonts w:ascii="Arial" w:eastAsiaTheme="minorHAnsi" w:hAnsi="Arial" w:cs="Arial"/>
          <w:color w:val="000000" w:themeColor="text1"/>
          <w:sz w:val="22"/>
          <w:szCs w:val="22"/>
          <w:lang w:val="es-ES_tradnl" w:eastAsia="en-US"/>
        </w:rPr>
        <w:t>A su vez</w:t>
      </w:r>
      <w:r w:rsidR="00250A28" w:rsidRPr="00D20A46">
        <w:rPr>
          <w:rFonts w:ascii="Arial" w:eastAsiaTheme="minorHAnsi" w:hAnsi="Arial" w:cs="Arial"/>
          <w:color w:val="000000" w:themeColor="text1"/>
          <w:sz w:val="22"/>
          <w:szCs w:val="22"/>
          <w:lang w:val="es-ES_tradnl" w:eastAsia="en-US"/>
        </w:rPr>
        <w:t xml:space="preserve"> el artículo 1 de</w:t>
      </w:r>
      <w:r w:rsidRPr="00D20A46">
        <w:rPr>
          <w:rFonts w:ascii="Arial" w:eastAsiaTheme="minorHAnsi" w:hAnsi="Arial" w:cs="Arial"/>
          <w:color w:val="000000" w:themeColor="text1"/>
          <w:sz w:val="22"/>
          <w:szCs w:val="22"/>
          <w:lang w:val="es-ES_tradnl" w:eastAsia="en-US"/>
        </w:rPr>
        <w:t xml:space="preserve"> la </w:t>
      </w:r>
      <w:r w:rsidR="00250A28" w:rsidRPr="00D20A46">
        <w:rPr>
          <w:rFonts w:ascii="Arial" w:eastAsiaTheme="minorHAnsi" w:hAnsi="Arial" w:cs="Arial"/>
          <w:color w:val="000000" w:themeColor="text1"/>
          <w:sz w:val="22"/>
          <w:szCs w:val="22"/>
          <w:lang w:val="es-ES_tradnl" w:eastAsia="en-US"/>
        </w:rPr>
        <w:t>L</w:t>
      </w:r>
      <w:r w:rsidRPr="00D20A46">
        <w:rPr>
          <w:rFonts w:ascii="Arial" w:eastAsiaTheme="minorHAnsi" w:hAnsi="Arial" w:cs="Arial"/>
          <w:color w:val="000000" w:themeColor="text1"/>
          <w:sz w:val="22"/>
          <w:szCs w:val="22"/>
          <w:lang w:val="es-ES_tradnl" w:eastAsia="en-US"/>
        </w:rPr>
        <w:t xml:space="preserve">ey </w:t>
      </w:r>
      <w:r w:rsidR="00250A28" w:rsidRPr="00D20A46">
        <w:rPr>
          <w:rFonts w:ascii="Arial" w:eastAsiaTheme="minorHAnsi" w:hAnsi="Arial" w:cs="Arial"/>
          <w:color w:val="000000" w:themeColor="text1"/>
          <w:sz w:val="22"/>
          <w:szCs w:val="22"/>
          <w:lang w:val="es-ES_tradnl" w:eastAsia="en-US"/>
        </w:rPr>
        <w:t>190</w:t>
      </w:r>
      <w:r w:rsidR="00DA76D2" w:rsidRPr="00D20A46">
        <w:rPr>
          <w:rFonts w:ascii="Arial" w:eastAsiaTheme="minorHAnsi" w:hAnsi="Arial" w:cs="Arial"/>
          <w:color w:val="000000" w:themeColor="text1"/>
          <w:sz w:val="22"/>
          <w:szCs w:val="22"/>
          <w:lang w:val="es-ES_tradnl" w:eastAsia="en-US"/>
        </w:rPr>
        <w:t xml:space="preserve"> de </w:t>
      </w:r>
      <w:r w:rsidR="00EA7703" w:rsidRPr="00D20A46">
        <w:rPr>
          <w:rFonts w:ascii="Arial" w:eastAsiaTheme="minorHAnsi" w:hAnsi="Arial" w:cs="Arial"/>
          <w:color w:val="000000" w:themeColor="text1"/>
          <w:sz w:val="22"/>
          <w:szCs w:val="22"/>
          <w:lang w:val="es-ES_tradnl" w:eastAsia="en-US"/>
        </w:rPr>
        <w:t>1995, señaló</w:t>
      </w:r>
      <w:r w:rsidR="00250A28" w:rsidRPr="00D20A46">
        <w:rPr>
          <w:rFonts w:ascii="Arial" w:eastAsiaTheme="minorHAnsi" w:hAnsi="Arial" w:cs="Arial"/>
          <w:color w:val="000000" w:themeColor="text1"/>
          <w:sz w:val="22"/>
          <w:szCs w:val="22"/>
          <w:lang w:val="es-ES_tradnl" w:eastAsia="en-US"/>
        </w:rPr>
        <w:t xml:space="preserve"> que</w:t>
      </w:r>
      <w:r w:rsidR="00EA7703" w:rsidRPr="00D20A46">
        <w:rPr>
          <w:rFonts w:ascii="Arial" w:eastAsiaTheme="minorHAnsi" w:hAnsi="Arial" w:cs="Arial"/>
          <w:color w:val="000000" w:themeColor="text1"/>
          <w:sz w:val="22"/>
          <w:szCs w:val="22"/>
          <w:lang w:val="es-ES_tradnl" w:eastAsia="en-US"/>
        </w:rPr>
        <w:t>:</w:t>
      </w:r>
    </w:p>
    <w:p w14:paraId="3285732E" w14:textId="5D76BF23" w:rsidR="00507EFE" w:rsidRPr="00D934DF" w:rsidRDefault="00D934DF" w:rsidP="00D934DF">
      <w:pPr>
        <w:pStyle w:val="NormalWeb"/>
        <w:shd w:val="clear" w:color="auto" w:fill="FFFFFF"/>
        <w:spacing w:before="0" w:beforeAutospacing="0" w:line="276" w:lineRule="auto"/>
        <w:ind w:left="709" w:right="709"/>
        <w:jc w:val="both"/>
        <w:rPr>
          <w:rFonts w:ascii="Arial" w:eastAsiaTheme="minorHAnsi" w:hAnsi="Arial" w:cs="Arial"/>
          <w:color w:val="000000" w:themeColor="text1"/>
          <w:sz w:val="20"/>
          <w:szCs w:val="20"/>
          <w:lang w:val="es-ES_tradnl" w:eastAsia="en-US"/>
        </w:rPr>
      </w:pPr>
      <w:r w:rsidRPr="00D934DF">
        <w:rPr>
          <w:rFonts w:ascii="Arial" w:eastAsiaTheme="minorHAnsi" w:hAnsi="Arial" w:cs="Arial"/>
          <w:color w:val="000000" w:themeColor="text1"/>
          <w:sz w:val="20"/>
          <w:szCs w:val="20"/>
          <w:lang w:val="es-ES_tradnl" w:eastAsia="en-US"/>
        </w:rPr>
        <w:t>«</w:t>
      </w:r>
      <w:r w:rsidR="00507EFE" w:rsidRPr="00D934DF">
        <w:rPr>
          <w:rFonts w:ascii="Arial" w:eastAsiaTheme="minorHAnsi" w:hAnsi="Arial" w:cs="Arial"/>
          <w:color w:val="000000" w:themeColor="text1"/>
          <w:sz w:val="20"/>
          <w:szCs w:val="20"/>
          <w:lang w:val="es-ES_tradnl" w:eastAsia="en-US"/>
        </w:rPr>
        <w:t>Todo aspirante a ocupar un cargo o empleo público, o a celebrar un contrato de prestación de servicios con la administración deberá presentar ante la unidad de personal de la correspondiente entidad, o ante la dependencia que haga sus veces, el </w:t>
      </w:r>
      <w:hyperlink r:id="rId15" w:history="1">
        <w:r w:rsidR="00507EFE" w:rsidRPr="00D934DF">
          <w:rPr>
            <w:rFonts w:ascii="Arial" w:eastAsiaTheme="minorHAnsi" w:hAnsi="Arial" w:cs="Arial"/>
            <w:color w:val="000000" w:themeColor="text1"/>
            <w:sz w:val="20"/>
            <w:szCs w:val="20"/>
            <w:lang w:val="es-ES_tradnl" w:eastAsia="en-US"/>
          </w:rPr>
          <w:t>formato único de hojas de vida</w:t>
        </w:r>
      </w:hyperlink>
      <w:r w:rsidR="00507EFE" w:rsidRPr="00D934DF">
        <w:rPr>
          <w:rFonts w:ascii="Arial" w:eastAsiaTheme="minorHAnsi" w:hAnsi="Arial" w:cs="Arial"/>
          <w:color w:val="000000" w:themeColor="text1"/>
          <w:sz w:val="20"/>
          <w:szCs w:val="20"/>
          <w:lang w:val="es-ES_tradnl" w:eastAsia="en-US"/>
        </w:rPr>
        <w:t> debidamente diligenciado en el cual consignará la información completa que en ella se solicita:</w:t>
      </w:r>
    </w:p>
    <w:p w14:paraId="44A086AD" w14:textId="77777777" w:rsidR="00507EFE" w:rsidRPr="00D934DF" w:rsidRDefault="00507EFE" w:rsidP="00D934DF">
      <w:pPr>
        <w:pStyle w:val="NormalWeb"/>
        <w:shd w:val="clear" w:color="auto" w:fill="FFFFFF"/>
        <w:spacing w:before="0" w:beforeAutospacing="0" w:line="276" w:lineRule="auto"/>
        <w:ind w:left="709" w:right="709"/>
        <w:jc w:val="both"/>
        <w:rPr>
          <w:rFonts w:ascii="Arial" w:eastAsiaTheme="minorHAnsi" w:hAnsi="Arial" w:cs="Arial"/>
          <w:color w:val="000000" w:themeColor="text1"/>
          <w:sz w:val="20"/>
          <w:szCs w:val="20"/>
          <w:lang w:val="es-ES_tradnl" w:eastAsia="en-US"/>
        </w:rPr>
      </w:pPr>
      <w:r w:rsidRPr="00D934DF">
        <w:rPr>
          <w:rFonts w:ascii="Arial" w:eastAsiaTheme="minorHAnsi" w:hAnsi="Arial" w:cs="Arial"/>
          <w:color w:val="000000" w:themeColor="text1"/>
          <w:sz w:val="20"/>
          <w:szCs w:val="20"/>
          <w:lang w:val="es-ES_tradnl" w:eastAsia="en-US"/>
        </w:rPr>
        <w:t>1. Su formación académica, indicando los años de estudio cursados en los distintos niveles de educación y los títulos y certificados obtenidos.</w:t>
      </w:r>
    </w:p>
    <w:p w14:paraId="5D5B61F4" w14:textId="77777777" w:rsidR="00507EFE" w:rsidRPr="00D934DF" w:rsidRDefault="00507EFE" w:rsidP="00D934DF">
      <w:pPr>
        <w:pStyle w:val="NormalWeb"/>
        <w:shd w:val="clear" w:color="auto" w:fill="FFFFFF"/>
        <w:spacing w:before="0" w:beforeAutospacing="0" w:line="276" w:lineRule="auto"/>
        <w:ind w:left="709" w:right="709"/>
        <w:jc w:val="both"/>
        <w:rPr>
          <w:rFonts w:ascii="Arial" w:eastAsiaTheme="minorHAnsi" w:hAnsi="Arial" w:cs="Arial"/>
          <w:color w:val="000000" w:themeColor="text1"/>
          <w:sz w:val="20"/>
          <w:szCs w:val="20"/>
          <w:lang w:val="es-ES_tradnl" w:eastAsia="en-US"/>
        </w:rPr>
      </w:pPr>
      <w:r w:rsidRPr="00D934DF">
        <w:rPr>
          <w:rFonts w:ascii="Arial" w:eastAsiaTheme="minorHAnsi" w:hAnsi="Arial" w:cs="Arial"/>
          <w:color w:val="000000" w:themeColor="text1"/>
          <w:sz w:val="20"/>
          <w:szCs w:val="20"/>
          <w:lang w:val="es-ES_tradnl" w:eastAsia="en-US"/>
        </w:rPr>
        <w:t>2. Su experiencia laboral, relacionando todos y cada uno de los empleos o cargos desempeñados, tanto en el sector público como en el privado, así como la dirección, el número del teléfono o el apartado postal en los que sea posible verificar la información.</w:t>
      </w:r>
    </w:p>
    <w:p w14:paraId="15C9B5F2" w14:textId="77777777" w:rsidR="00507EFE" w:rsidRPr="00D934DF" w:rsidRDefault="00507EFE" w:rsidP="00D934DF">
      <w:pPr>
        <w:pStyle w:val="NormalWeb"/>
        <w:shd w:val="clear" w:color="auto" w:fill="FFFFFF"/>
        <w:spacing w:before="0" w:beforeAutospacing="0" w:line="276" w:lineRule="auto"/>
        <w:ind w:left="709" w:right="709"/>
        <w:jc w:val="both"/>
        <w:rPr>
          <w:rFonts w:ascii="Arial" w:eastAsiaTheme="minorHAnsi" w:hAnsi="Arial" w:cs="Arial"/>
          <w:color w:val="000000" w:themeColor="text1"/>
          <w:sz w:val="20"/>
          <w:szCs w:val="20"/>
          <w:lang w:val="es-ES_tradnl" w:eastAsia="en-US"/>
        </w:rPr>
      </w:pPr>
      <w:r w:rsidRPr="00D934DF">
        <w:rPr>
          <w:rFonts w:ascii="Arial" w:eastAsiaTheme="minorHAnsi" w:hAnsi="Arial" w:cs="Arial"/>
          <w:color w:val="000000" w:themeColor="text1"/>
          <w:sz w:val="20"/>
          <w:szCs w:val="20"/>
          <w:lang w:val="es-ES_tradnl" w:eastAsia="en-US"/>
        </w:rPr>
        <w:t xml:space="preserve">3. Inexistencia de cualquier hecho o circunstancia que implique una inhabilidad o incompatibilidad del orden constitucional o legal para ocupar el empleo o cargo al </w:t>
      </w:r>
      <w:r w:rsidRPr="00D934DF">
        <w:rPr>
          <w:rFonts w:ascii="Arial" w:eastAsiaTheme="minorHAnsi" w:hAnsi="Arial" w:cs="Arial"/>
          <w:color w:val="000000" w:themeColor="text1"/>
          <w:sz w:val="20"/>
          <w:szCs w:val="20"/>
          <w:lang w:val="es-ES_tradnl" w:eastAsia="en-US"/>
        </w:rPr>
        <w:lastRenderedPageBreak/>
        <w:t>que se aspira o para celebrar contrato de prestación de servicios con la administración.</w:t>
      </w:r>
    </w:p>
    <w:p w14:paraId="3BE8DEF1" w14:textId="2F8F9388" w:rsidR="00DC205F" w:rsidRPr="00D934DF" w:rsidRDefault="00507EFE" w:rsidP="00D934DF">
      <w:pPr>
        <w:pStyle w:val="NormalWeb"/>
        <w:shd w:val="clear" w:color="auto" w:fill="FFFFFF"/>
        <w:spacing w:before="0" w:beforeAutospacing="0" w:line="276" w:lineRule="auto"/>
        <w:ind w:left="709" w:right="709"/>
        <w:jc w:val="both"/>
        <w:rPr>
          <w:rFonts w:ascii="Arial" w:eastAsiaTheme="minorHAnsi" w:hAnsi="Arial" w:cs="Arial"/>
          <w:color w:val="000000" w:themeColor="text1"/>
          <w:sz w:val="20"/>
          <w:szCs w:val="20"/>
          <w:lang w:val="es-ES_tradnl" w:eastAsia="en-US"/>
        </w:rPr>
      </w:pPr>
      <w:r w:rsidRPr="00D934DF">
        <w:rPr>
          <w:rFonts w:ascii="Arial" w:eastAsiaTheme="minorHAnsi" w:hAnsi="Arial" w:cs="Arial"/>
          <w:color w:val="000000" w:themeColor="text1"/>
          <w:sz w:val="20"/>
          <w:szCs w:val="20"/>
          <w:lang w:val="es-ES_tradnl" w:eastAsia="en-US"/>
        </w:rPr>
        <w:t xml:space="preserve">4. En caso de personas jurídicas, el correspondiente certificado que acredite la representación legal, </w:t>
      </w:r>
      <w:r w:rsidR="005564FF" w:rsidRPr="00D934DF">
        <w:rPr>
          <w:rFonts w:ascii="Arial" w:eastAsiaTheme="minorHAnsi" w:hAnsi="Arial" w:cs="Arial"/>
          <w:color w:val="000000" w:themeColor="text1"/>
          <w:sz w:val="20"/>
          <w:szCs w:val="20"/>
          <w:lang w:val="es-ES_tradnl" w:eastAsia="en-US"/>
        </w:rPr>
        <w:t>(…)</w:t>
      </w:r>
      <w:r w:rsidR="00D934DF" w:rsidRPr="00D934DF">
        <w:rPr>
          <w:rFonts w:ascii="Arial" w:eastAsiaTheme="minorHAnsi" w:hAnsi="Arial" w:cs="Arial"/>
          <w:color w:val="000000" w:themeColor="text1"/>
          <w:sz w:val="20"/>
          <w:szCs w:val="20"/>
          <w:lang w:val="es-ES_tradnl" w:eastAsia="en-US"/>
        </w:rPr>
        <w:t>»</w:t>
      </w:r>
    </w:p>
    <w:p w14:paraId="3E2131C3" w14:textId="0A3147A7" w:rsidR="00395CB4" w:rsidRPr="00B63804" w:rsidRDefault="00020098" w:rsidP="00D20A46">
      <w:pPr>
        <w:spacing w:after="0" w:line="276" w:lineRule="auto"/>
        <w:contextualSpacing/>
        <w:jc w:val="both"/>
        <w:rPr>
          <w:rFonts w:ascii="Arial" w:eastAsia="Times New Roman" w:hAnsi="Arial" w:cs="Arial"/>
          <w:color w:val="333333"/>
          <w:lang w:eastAsia="es-CO"/>
        </w:rPr>
      </w:pPr>
      <w:r w:rsidRPr="00D20A46">
        <w:rPr>
          <w:rFonts w:ascii="Arial" w:eastAsia="Arial" w:hAnsi="Arial" w:cs="Arial"/>
        </w:rPr>
        <w:t>De igual manera, la Resolución</w:t>
      </w:r>
      <w:r w:rsidR="00936FA7" w:rsidRPr="00D20A46">
        <w:rPr>
          <w:rFonts w:ascii="Arial" w:eastAsia="Arial" w:hAnsi="Arial" w:cs="Arial"/>
        </w:rPr>
        <w:t xml:space="preserve"> 580 del 19 de agosto de 1999,</w:t>
      </w:r>
      <w:r w:rsidR="00070008" w:rsidRPr="00D20A46">
        <w:rPr>
          <w:rFonts w:ascii="Arial" w:eastAsia="Arial" w:hAnsi="Arial" w:cs="Arial"/>
        </w:rPr>
        <w:t xml:space="preserve"> </w:t>
      </w:r>
      <w:r w:rsidR="0030217D" w:rsidRPr="00D20A46">
        <w:rPr>
          <w:rFonts w:ascii="Arial" w:eastAsia="Arial" w:hAnsi="Arial" w:cs="Arial"/>
        </w:rPr>
        <w:t>expedida por el Departamento Administrativo de la Función Pública</w:t>
      </w:r>
      <w:r w:rsidR="00936FA7" w:rsidRPr="00D20A46">
        <w:rPr>
          <w:rFonts w:ascii="Arial" w:eastAsia="Arial" w:hAnsi="Arial" w:cs="Arial"/>
        </w:rPr>
        <w:t xml:space="preserve">, actualizó el </w:t>
      </w:r>
      <w:r w:rsidR="00941CA1" w:rsidRPr="00D20A46">
        <w:rPr>
          <w:rFonts w:ascii="Arial" w:eastAsia="Times New Roman" w:hAnsi="Arial" w:cs="Arial"/>
          <w:color w:val="333333"/>
          <w:lang w:eastAsia="es-CO"/>
        </w:rPr>
        <w:t>Formato Único de Hoja de Vida para persona jurídica</w:t>
      </w:r>
      <w:r w:rsidR="00526F3C" w:rsidRPr="00D20A46">
        <w:rPr>
          <w:rFonts w:ascii="Arial" w:eastAsia="Times New Roman" w:hAnsi="Arial" w:cs="Arial"/>
          <w:color w:val="333333"/>
          <w:lang w:eastAsia="es-CO"/>
        </w:rPr>
        <w:t xml:space="preserve"> contenido en el</w:t>
      </w:r>
      <w:r w:rsidR="00941CA1" w:rsidRPr="00D20A46">
        <w:rPr>
          <w:rFonts w:ascii="Arial" w:eastAsia="Times New Roman" w:hAnsi="Arial" w:cs="Arial"/>
          <w:color w:val="333333"/>
          <w:lang w:eastAsia="es-CO"/>
        </w:rPr>
        <w:t xml:space="preserve"> artículo 4o. de la Resolución 009 de 1996, </w:t>
      </w:r>
      <w:r w:rsidR="00320A86" w:rsidRPr="00D20A46">
        <w:rPr>
          <w:rFonts w:ascii="Arial" w:eastAsia="Times New Roman" w:hAnsi="Arial" w:cs="Arial"/>
          <w:color w:val="333333"/>
          <w:lang w:eastAsia="es-CO"/>
        </w:rPr>
        <w:t>también</w:t>
      </w:r>
      <w:r w:rsidR="00941CA1" w:rsidRPr="00D20A46">
        <w:rPr>
          <w:rFonts w:ascii="Arial" w:eastAsia="Times New Roman" w:hAnsi="Arial" w:cs="Arial"/>
          <w:color w:val="333333"/>
          <w:lang w:eastAsia="es-CO"/>
        </w:rPr>
        <w:t xml:space="preserve"> expedida </w:t>
      </w:r>
      <w:r w:rsidR="00320A86" w:rsidRPr="00D20A46">
        <w:rPr>
          <w:rFonts w:ascii="Arial" w:eastAsia="Times New Roman" w:hAnsi="Arial" w:cs="Arial"/>
          <w:color w:val="333333"/>
          <w:lang w:eastAsia="es-CO"/>
        </w:rPr>
        <w:t>por la misma entidad, indicando que el</w:t>
      </w:r>
      <w:r w:rsidR="00320A86" w:rsidRPr="00D20A46">
        <w:rPr>
          <w:rFonts w:ascii="Arial" w:eastAsia="Times New Roman" w:hAnsi="Arial" w:cs="Arial"/>
          <w:i/>
          <w:iCs/>
          <w:color w:val="333333"/>
          <w:lang w:eastAsia="es-CO"/>
        </w:rPr>
        <w:t xml:space="preserve"> </w:t>
      </w:r>
      <w:r w:rsidR="00B63804">
        <w:rPr>
          <w:rFonts w:ascii="Arial" w:eastAsia="Times New Roman" w:hAnsi="Arial" w:cs="Arial"/>
          <w:i/>
          <w:iCs/>
          <w:color w:val="333333"/>
          <w:lang w:eastAsia="es-CO"/>
        </w:rPr>
        <w:t>«</w:t>
      </w:r>
      <w:r w:rsidR="00320A86" w:rsidRPr="00D20A46">
        <w:rPr>
          <w:rFonts w:ascii="Arial" w:eastAsia="Times New Roman" w:hAnsi="Arial" w:cs="Arial"/>
          <w:i/>
          <w:iCs/>
          <w:color w:val="333333"/>
          <w:lang w:eastAsia="es-CO"/>
        </w:rPr>
        <w:t xml:space="preserve">formato deberá ser diligenciado por toda persona jurídica </w:t>
      </w:r>
      <w:r w:rsidR="00320A86" w:rsidRPr="00B63804">
        <w:rPr>
          <w:rFonts w:ascii="Arial" w:eastAsia="Times New Roman" w:hAnsi="Arial" w:cs="Arial"/>
          <w:b/>
          <w:bCs/>
          <w:i/>
          <w:iCs/>
          <w:color w:val="333333"/>
          <w:u w:val="single"/>
          <w:lang w:eastAsia="es-CO"/>
        </w:rPr>
        <w:t>en el momento de celebrar un contrato de prestación de servicios con la administración</w:t>
      </w:r>
      <w:r w:rsidR="00320A86" w:rsidRPr="00D20A46">
        <w:rPr>
          <w:rFonts w:ascii="Arial" w:eastAsia="Times New Roman" w:hAnsi="Arial" w:cs="Arial"/>
          <w:i/>
          <w:iCs/>
          <w:color w:val="333333"/>
          <w:lang w:eastAsia="es-CO"/>
        </w:rPr>
        <w:t>, independiente de su término de duración</w:t>
      </w:r>
      <w:r w:rsidR="00B63804">
        <w:rPr>
          <w:rFonts w:ascii="Arial" w:eastAsia="Times New Roman" w:hAnsi="Arial" w:cs="Arial"/>
          <w:i/>
          <w:iCs/>
          <w:color w:val="333333"/>
          <w:lang w:eastAsia="es-CO"/>
        </w:rPr>
        <w:t>»</w:t>
      </w:r>
      <w:r w:rsidR="00320A86" w:rsidRPr="00D20A46">
        <w:rPr>
          <w:rFonts w:ascii="Arial" w:eastAsia="Times New Roman" w:hAnsi="Arial" w:cs="Arial"/>
          <w:i/>
          <w:iCs/>
          <w:color w:val="333333"/>
          <w:lang w:eastAsia="es-CO"/>
        </w:rPr>
        <w:t>.</w:t>
      </w:r>
      <w:r w:rsidR="00B63804">
        <w:rPr>
          <w:rFonts w:ascii="Arial" w:eastAsia="Times New Roman" w:hAnsi="Arial" w:cs="Arial"/>
          <w:i/>
          <w:iCs/>
          <w:color w:val="333333"/>
          <w:lang w:eastAsia="es-CO"/>
        </w:rPr>
        <w:t>(</w:t>
      </w:r>
      <w:r w:rsidR="00B63804" w:rsidRPr="00B63804">
        <w:rPr>
          <w:rFonts w:ascii="Arial" w:eastAsia="Times New Roman" w:hAnsi="Arial" w:cs="Arial"/>
          <w:color w:val="333333"/>
          <w:lang w:eastAsia="es-CO"/>
        </w:rPr>
        <w:t>negrilla y subrayado fuera de texto)</w:t>
      </w:r>
    </w:p>
    <w:p w14:paraId="7FF63939" w14:textId="77777777" w:rsidR="00AE08A8" w:rsidRPr="00D20A46" w:rsidRDefault="00AE08A8" w:rsidP="00D20A46">
      <w:pPr>
        <w:spacing w:after="0" w:line="276" w:lineRule="auto"/>
        <w:contextualSpacing/>
        <w:jc w:val="both"/>
        <w:rPr>
          <w:rFonts w:ascii="Arial" w:eastAsia="Times New Roman" w:hAnsi="Arial" w:cs="Arial"/>
          <w:color w:val="333333"/>
          <w:lang w:eastAsia="es-CO"/>
        </w:rPr>
      </w:pPr>
    </w:p>
    <w:p w14:paraId="393C0D11" w14:textId="77777777" w:rsidR="00322C28" w:rsidRDefault="00322C28" w:rsidP="00322C28">
      <w:pPr>
        <w:spacing w:after="0" w:line="276" w:lineRule="auto"/>
        <w:contextualSpacing/>
        <w:jc w:val="both"/>
        <w:rPr>
          <w:rFonts w:ascii="Arial" w:eastAsia="Arial" w:hAnsi="Arial" w:cs="Arial"/>
          <w:i/>
          <w:iCs/>
        </w:rPr>
      </w:pPr>
      <w:r>
        <w:rPr>
          <w:rFonts w:ascii="Arial" w:eastAsia="Times New Roman" w:hAnsi="Arial" w:cs="Arial"/>
          <w:color w:val="333333"/>
          <w:lang w:eastAsia="es-CO"/>
        </w:rPr>
        <w:t xml:space="preserve">Respecto a la utilización del </w:t>
      </w:r>
      <w:r w:rsidRPr="00D20A46">
        <w:rPr>
          <w:rFonts w:ascii="Arial" w:eastAsia="Times New Roman" w:hAnsi="Arial" w:cs="Arial"/>
          <w:color w:val="333333"/>
          <w:lang w:eastAsia="es-CO"/>
        </w:rPr>
        <w:t>Formato Único de Hoja de Vida</w:t>
      </w:r>
      <w:r>
        <w:rPr>
          <w:rFonts w:ascii="Arial" w:eastAsia="Times New Roman" w:hAnsi="Arial" w:cs="Arial"/>
          <w:color w:val="333333"/>
          <w:lang w:eastAsia="es-CO"/>
        </w:rPr>
        <w:t>, la Corte Constitucional en sentencia C-326 de 1997</w:t>
      </w:r>
      <w:r>
        <w:rPr>
          <w:rStyle w:val="Refdenotaalpie"/>
          <w:rFonts w:ascii="Arial" w:eastAsia="Times New Roman" w:hAnsi="Arial" w:cs="Arial"/>
          <w:color w:val="333333"/>
          <w:lang w:eastAsia="es-CO"/>
        </w:rPr>
        <w:footnoteReference w:id="17"/>
      </w:r>
      <w:r>
        <w:rPr>
          <w:rFonts w:ascii="Arial" w:eastAsia="Times New Roman" w:hAnsi="Arial" w:cs="Arial"/>
          <w:color w:val="333333"/>
          <w:lang w:eastAsia="es-CO"/>
        </w:rPr>
        <w:t xml:space="preserve"> señaló que constituye un instrumento técnico tendiente a verificar las condiciones </w:t>
      </w:r>
      <w:r w:rsidRPr="00B63804">
        <w:rPr>
          <w:rFonts w:ascii="Arial" w:eastAsia="Arial" w:hAnsi="Arial" w:cs="Arial"/>
        </w:rPr>
        <w:t>profesionales, éticas y morales</w:t>
      </w:r>
      <w:r>
        <w:rPr>
          <w:rFonts w:ascii="Arial" w:eastAsia="Arial" w:hAnsi="Arial" w:cs="Arial"/>
        </w:rPr>
        <w:t xml:space="preserve"> de los contratistas de prestación de servicios del estado y de los servidores públicos, </w:t>
      </w:r>
      <w:r>
        <w:rPr>
          <w:rFonts w:ascii="Arial" w:eastAsia="Arial" w:hAnsi="Arial" w:cs="Arial"/>
          <w:i/>
          <w:iCs/>
        </w:rPr>
        <w:t>«</w:t>
      </w:r>
      <w:r w:rsidRPr="00D20A46">
        <w:rPr>
          <w:rFonts w:ascii="Arial" w:eastAsia="Arial" w:hAnsi="Arial" w:cs="Arial"/>
          <w:i/>
          <w:iCs/>
        </w:rPr>
        <w:t>sin que ello implique que los primeros se confundan o asimilen con los segundos, o que las consecuencias jurídicas que se derivan de la vinculación como servidores públicos se extiendan a los contratistas.</w:t>
      </w:r>
      <w:r>
        <w:rPr>
          <w:rFonts w:ascii="Arial" w:eastAsia="Arial" w:hAnsi="Arial" w:cs="Arial"/>
          <w:i/>
          <w:iCs/>
        </w:rPr>
        <w:t>»</w:t>
      </w:r>
    </w:p>
    <w:p w14:paraId="0BB80E49" w14:textId="77777777" w:rsidR="00AE08A8" w:rsidRPr="00D20A46" w:rsidRDefault="00AE08A8" w:rsidP="00D20A46">
      <w:pPr>
        <w:spacing w:after="0" w:line="276" w:lineRule="auto"/>
        <w:contextualSpacing/>
        <w:jc w:val="both"/>
        <w:rPr>
          <w:rFonts w:ascii="Arial" w:eastAsia="Arial" w:hAnsi="Arial" w:cs="Arial"/>
          <w:i/>
          <w:iCs/>
        </w:rPr>
      </w:pPr>
    </w:p>
    <w:p w14:paraId="1E6CE584" w14:textId="77777777" w:rsidR="006F7E2A" w:rsidRPr="00D20A46" w:rsidRDefault="006F7E2A" w:rsidP="00D20A46">
      <w:pPr>
        <w:spacing w:after="0" w:line="276" w:lineRule="auto"/>
        <w:contextualSpacing/>
        <w:jc w:val="both"/>
        <w:rPr>
          <w:rFonts w:ascii="Arial" w:eastAsia="Arial" w:hAnsi="Arial" w:cs="Arial"/>
          <w:b/>
          <w:lang w:val="es-MX" w:eastAsia="es-ES_tradnl"/>
        </w:rPr>
      </w:pPr>
      <w:bookmarkStart w:id="3" w:name="_3znysh7" w:colFirst="0" w:colLast="0"/>
      <w:bookmarkEnd w:id="3"/>
      <w:r w:rsidRPr="00D20A46">
        <w:rPr>
          <w:rFonts w:ascii="Arial" w:eastAsia="Arial" w:hAnsi="Arial" w:cs="Arial"/>
          <w:b/>
          <w:lang w:val="es-MX" w:eastAsia="es-ES_tradnl"/>
        </w:rPr>
        <w:t>3. Respuesta</w:t>
      </w:r>
    </w:p>
    <w:p w14:paraId="0AF48D10" w14:textId="62D44BFE" w:rsidR="002C458F" w:rsidRPr="00D20A46" w:rsidRDefault="002C458F" w:rsidP="00D20A46">
      <w:pPr>
        <w:spacing w:after="0" w:line="276" w:lineRule="auto"/>
        <w:ind w:right="709"/>
        <w:contextualSpacing/>
        <w:jc w:val="both"/>
        <w:rPr>
          <w:rFonts w:ascii="Arial" w:eastAsia="Arial" w:hAnsi="Arial" w:cs="Arial"/>
          <w:lang w:val="es-MX" w:eastAsia="es-ES_tradnl"/>
        </w:rPr>
      </w:pPr>
    </w:p>
    <w:p w14:paraId="57650C29" w14:textId="77777777" w:rsidR="002C458F" w:rsidRPr="00A8425B" w:rsidRDefault="002C458F" w:rsidP="00A8425B">
      <w:pPr>
        <w:pBdr>
          <w:top w:val="nil"/>
          <w:left w:val="nil"/>
          <w:bottom w:val="nil"/>
          <w:right w:val="nil"/>
          <w:between w:val="nil"/>
        </w:pBdr>
        <w:tabs>
          <w:tab w:val="left" w:pos="284"/>
        </w:tabs>
        <w:spacing w:after="0" w:line="276" w:lineRule="auto"/>
        <w:ind w:left="709" w:right="709"/>
        <w:contextualSpacing/>
        <w:jc w:val="both"/>
        <w:rPr>
          <w:rFonts w:ascii="Arial" w:eastAsia="Arial" w:hAnsi="Arial" w:cs="Arial"/>
          <w:bCs/>
          <w:i/>
          <w:iCs/>
          <w:lang w:val="es-MX" w:eastAsia="es-ES_tradnl"/>
        </w:rPr>
      </w:pPr>
      <w:r w:rsidRPr="00A8425B">
        <w:rPr>
          <w:rFonts w:ascii="Arial" w:eastAsia="Arial" w:hAnsi="Arial" w:cs="Arial"/>
          <w:bCs/>
          <w:i/>
          <w:iCs/>
          <w:lang w:val="es-MX" w:eastAsia="es-ES_tradnl"/>
        </w:rPr>
        <w:t xml:space="preserve">«¿En un pliego de condiciones se puede solicitar a los posibles oferentes, diligenciar el formato de hoja de vida de la función pública para personas jurídicas? Si es así cual sería el fundamento jurídico.?». </w:t>
      </w:r>
    </w:p>
    <w:p w14:paraId="05743D6C" w14:textId="769AC43B" w:rsidR="002C458F" w:rsidRPr="00D20A46" w:rsidRDefault="002C458F" w:rsidP="00D20A46">
      <w:pPr>
        <w:spacing w:after="0" w:line="276" w:lineRule="auto"/>
        <w:ind w:left="709" w:right="709"/>
        <w:contextualSpacing/>
        <w:jc w:val="both"/>
        <w:rPr>
          <w:rFonts w:ascii="Arial" w:eastAsia="Arial" w:hAnsi="Arial" w:cs="Arial"/>
          <w:lang w:val="es-MX" w:eastAsia="es-ES_tradnl"/>
        </w:rPr>
      </w:pPr>
    </w:p>
    <w:p w14:paraId="56659411" w14:textId="11EE2C91" w:rsidR="005E2F68" w:rsidRPr="005E2F68" w:rsidRDefault="00A8425B" w:rsidP="00A05575">
      <w:pPr>
        <w:spacing w:after="120" w:line="276" w:lineRule="auto"/>
        <w:jc w:val="both"/>
        <w:rPr>
          <w:rFonts w:ascii="Arial" w:hAnsi="Arial" w:cs="Arial"/>
          <w:i/>
          <w:iCs/>
          <w:color w:val="000000" w:themeColor="text1"/>
          <w:lang w:val="es-ES_tradnl"/>
        </w:rPr>
      </w:pPr>
      <w:r>
        <w:rPr>
          <w:rFonts w:ascii="Arial" w:eastAsia="Arial" w:hAnsi="Arial" w:cs="Arial"/>
        </w:rPr>
        <w:t xml:space="preserve">Conforme a lo expuesto previamente, </w:t>
      </w:r>
      <w:r w:rsidRPr="00D20A46">
        <w:rPr>
          <w:rFonts w:ascii="Arial" w:eastAsia="Calibri" w:hAnsi="Arial" w:cs="Arial"/>
          <w:bCs/>
          <w:lang w:val="es-ES_tradnl"/>
        </w:rPr>
        <w:t xml:space="preserve">la obligación de solicitar el Formato </w:t>
      </w:r>
      <w:r>
        <w:rPr>
          <w:rFonts w:ascii="Arial" w:eastAsia="Calibri" w:hAnsi="Arial" w:cs="Arial"/>
          <w:bCs/>
          <w:lang w:val="es-ES_tradnl"/>
        </w:rPr>
        <w:t>d</w:t>
      </w:r>
      <w:r w:rsidRPr="00D20A46">
        <w:rPr>
          <w:rFonts w:ascii="Arial" w:eastAsia="Calibri" w:hAnsi="Arial" w:cs="Arial"/>
          <w:bCs/>
          <w:lang w:val="es-ES_tradnl"/>
        </w:rPr>
        <w:t xml:space="preserve">e Hoja </w:t>
      </w:r>
      <w:r>
        <w:rPr>
          <w:rFonts w:ascii="Arial" w:eastAsia="Calibri" w:hAnsi="Arial" w:cs="Arial"/>
          <w:bCs/>
          <w:lang w:val="es-ES_tradnl"/>
        </w:rPr>
        <w:t>d</w:t>
      </w:r>
      <w:r w:rsidRPr="00D20A46">
        <w:rPr>
          <w:rFonts w:ascii="Arial" w:eastAsia="Calibri" w:hAnsi="Arial" w:cs="Arial"/>
          <w:bCs/>
          <w:lang w:val="es-ES_tradnl"/>
        </w:rPr>
        <w:t xml:space="preserve">e Vida </w:t>
      </w:r>
      <w:r>
        <w:rPr>
          <w:rFonts w:ascii="Arial" w:eastAsia="Calibri" w:hAnsi="Arial" w:cs="Arial"/>
          <w:bCs/>
          <w:lang w:val="es-ES_tradnl"/>
        </w:rPr>
        <w:t>d</w:t>
      </w:r>
      <w:r w:rsidRPr="00D20A46">
        <w:rPr>
          <w:rFonts w:ascii="Arial" w:eastAsia="Calibri" w:hAnsi="Arial" w:cs="Arial"/>
          <w:bCs/>
          <w:lang w:val="es-ES_tradnl"/>
        </w:rPr>
        <w:t xml:space="preserve">e </w:t>
      </w:r>
      <w:r w:rsidR="00A05575">
        <w:rPr>
          <w:rFonts w:ascii="Arial" w:eastAsia="Calibri" w:hAnsi="Arial" w:cs="Arial"/>
          <w:bCs/>
          <w:lang w:val="es-ES_tradnl"/>
        </w:rPr>
        <w:t>l</w:t>
      </w:r>
      <w:r w:rsidRPr="00D20A46">
        <w:rPr>
          <w:rFonts w:ascii="Arial" w:eastAsia="Calibri" w:hAnsi="Arial" w:cs="Arial"/>
          <w:bCs/>
          <w:lang w:val="es-ES_tradnl"/>
        </w:rPr>
        <w:t>a Función Pública tanto para personas naturales como para personas jurídicas tiene un carácter obligatorio</w:t>
      </w:r>
      <w:r>
        <w:rPr>
          <w:rFonts w:ascii="Arial" w:eastAsia="Calibri" w:hAnsi="Arial" w:cs="Arial"/>
          <w:bCs/>
          <w:lang w:val="es-ES_tradnl"/>
        </w:rPr>
        <w:t>, única y exclusivamente</w:t>
      </w:r>
      <w:r w:rsidRPr="00D20A46">
        <w:rPr>
          <w:rFonts w:ascii="Arial" w:eastAsia="Calibri" w:hAnsi="Arial" w:cs="Arial"/>
          <w:bCs/>
          <w:lang w:val="es-ES_tradnl"/>
        </w:rPr>
        <w:t xml:space="preserve"> para los contratos de prestación de servicios, tal como lo establece la Ley 190 de 1995 y el Decreto 1571 de 1998.</w:t>
      </w:r>
      <w:r w:rsidR="00A05575">
        <w:rPr>
          <w:rFonts w:ascii="Arial" w:eastAsia="Calibri" w:hAnsi="Arial" w:cs="Arial"/>
          <w:bCs/>
          <w:lang w:val="es-ES_tradnl"/>
        </w:rPr>
        <w:t xml:space="preserve"> Ahora bien, frente a los contratos de prestación de servicios, la norma en mención tan sólo se refiere a los </w:t>
      </w:r>
      <w:r w:rsidR="00A05575" w:rsidRPr="00D20A46">
        <w:rPr>
          <w:rFonts w:ascii="Arial" w:hAnsi="Arial" w:cs="Arial"/>
          <w:color w:val="000000" w:themeColor="text1"/>
          <w:lang w:val="es-ES_tradnl"/>
        </w:rPr>
        <w:t>regulado</w:t>
      </w:r>
      <w:r w:rsidR="00A05575">
        <w:rPr>
          <w:rFonts w:ascii="Arial" w:hAnsi="Arial" w:cs="Arial"/>
          <w:color w:val="000000" w:themeColor="text1"/>
          <w:lang w:val="es-ES_tradnl"/>
        </w:rPr>
        <w:t>s</w:t>
      </w:r>
      <w:r w:rsidR="00A05575" w:rsidRPr="00D20A46">
        <w:rPr>
          <w:rFonts w:ascii="Arial" w:hAnsi="Arial" w:cs="Arial"/>
          <w:color w:val="000000" w:themeColor="text1"/>
          <w:lang w:val="es-ES_tradnl"/>
        </w:rPr>
        <w:t xml:space="preserve"> en numeral 3 del artículo 32 de la Ley 80 de 1993</w:t>
      </w:r>
      <w:r w:rsidR="00322C28">
        <w:rPr>
          <w:rFonts w:ascii="Arial" w:hAnsi="Arial" w:cs="Arial"/>
          <w:color w:val="000000" w:themeColor="text1"/>
          <w:lang w:val="es-ES_tradnl"/>
        </w:rPr>
        <w:t>, e</w:t>
      </w:r>
      <w:r w:rsidR="00A05575" w:rsidRPr="00D20A46">
        <w:rPr>
          <w:rFonts w:ascii="Arial" w:hAnsi="Arial" w:cs="Arial"/>
          <w:color w:val="000000" w:themeColor="text1"/>
          <w:lang w:val="es-ES_tradnl"/>
        </w:rPr>
        <w:t>l cual es definido como aquel que «</w:t>
      </w:r>
      <w:r w:rsidR="00A05575" w:rsidRPr="00A05575">
        <w:rPr>
          <w:rFonts w:ascii="Arial" w:hAnsi="Arial" w:cs="Arial"/>
          <w:i/>
          <w:iCs/>
          <w:color w:val="000000" w:themeColor="text1"/>
          <w:lang w:val="es-ES_tradnl"/>
        </w:rPr>
        <w:t>celebren las entidades estatales para desarrollar actividades relacionadas con la administración o funcionamiento de la entidad. Estos contratos sólo podrán celebrarse con personas naturales y jurídicas cuando dichas actividades no puedan realizarse con personal de planta o requieran conocimientos especializados.</w:t>
      </w:r>
      <w:r w:rsidR="00A05575">
        <w:rPr>
          <w:rFonts w:ascii="Arial" w:hAnsi="Arial" w:cs="Arial"/>
          <w:i/>
          <w:iCs/>
          <w:color w:val="000000" w:themeColor="text1"/>
          <w:lang w:val="es-ES_tradnl"/>
        </w:rPr>
        <w:t>»</w:t>
      </w:r>
      <w:r w:rsidR="00322C28">
        <w:rPr>
          <w:rFonts w:ascii="Arial" w:hAnsi="Arial" w:cs="Arial"/>
          <w:i/>
          <w:iCs/>
          <w:color w:val="000000" w:themeColor="text1"/>
          <w:lang w:val="es-ES_tradnl"/>
        </w:rPr>
        <w:t>.</w:t>
      </w:r>
    </w:p>
    <w:p w14:paraId="1309CB7D" w14:textId="675C4C28" w:rsidR="00A05575" w:rsidRDefault="00A05575" w:rsidP="00862832">
      <w:pPr>
        <w:spacing w:before="240" w:line="276" w:lineRule="auto"/>
        <w:ind w:firstLine="708"/>
        <w:contextualSpacing/>
        <w:jc w:val="both"/>
        <w:rPr>
          <w:rStyle w:val="normaltextrun"/>
          <w:rFonts w:ascii="Arial" w:hAnsi="Arial" w:cs="Arial"/>
          <w:color w:val="000000"/>
          <w:shd w:val="clear" w:color="auto" w:fill="FFFFFF"/>
          <w:lang w:val="es-ES"/>
        </w:rPr>
      </w:pPr>
      <w:r>
        <w:rPr>
          <w:rFonts w:ascii="Arial" w:eastAsia="Calibri" w:hAnsi="Arial" w:cs="Arial"/>
          <w:bCs/>
          <w:lang w:val="es-ES_tradnl"/>
        </w:rPr>
        <w:tab/>
        <w:t>Para l</w:t>
      </w:r>
      <w:r w:rsidR="005E2F68">
        <w:rPr>
          <w:rFonts w:ascii="Arial" w:eastAsia="Calibri" w:hAnsi="Arial" w:cs="Arial"/>
          <w:bCs/>
          <w:lang w:val="es-ES_tradnl"/>
        </w:rPr>
        <w:t>o</w:t>
      </w:r>
      <w:r>
        <w:rPr>
          <w:rFonts w:ascii="Arial" w:eastAsia="Calibri" w:hAnsi="Arial" w:cs="Arial"/>
          <w:bCs/>
          <w:lang w:val="es-ES_tradnl"/>
        </w:rPr>
        <w:t>s otr</w:t>
      </w:r>
      <w:r w:rsidR="005E2F68">
        <w:rPr>
          <w:rFonts w:ascii="Arial" w:eastAsia="Calibri" w:hAnsi="Arial" w:cs="Arial"/>
          <w:bCs/>
          <w:lang w:val="es-ES_tradnl"/>
        </w:rPr>
        <w:t>o</w:t>
      </w:r>
      <w:r>
        <w:rPr>
          <w:rFonts w:ascii="Arial" w:eastAsia="Calibri" w:hAnsi="Arial" w:cs="Arial"/>
          <w:bCs/>
          <w:lang w:val="es-ES_tradnl"/>
        </w:rPr>
        <w:t xml:space="preserve">s </w:t>
      </w:r>
      <w:r w:rsidR="005E2F68">
        <w:rPr>
          <w:rFonts w:ascii="Arial" w:eastAsia="Calibri" w:hAnsi="Arial" w:cs="Arial"/>
          <w:bCs/>
          <w:lang w:val="es-ES_tradnl"/>
        </w:rPr>
        <w:t>Procesos</w:t>
      </w:r>
      <w:r>
        <w:rPr>
          <w:rFonts w:ascii="Arial" w:eastAsia="Calibri" w:hAnsi="Arial" w:cs="Arial"/>
          <w:bCs/>
          <w:lang w:val="es-ES_tradnl"/>
        </w:rPr>
        <w:t xml:space="preserve"> de </w:t>
      </w:r>
      <w:r w:rsidR="005E2F68">
        <w:rPr>
          <w:rFonts w:ascii="Arial" w:eastAsia="Calibri" w:hAnsi="Arial" w:cs="Arial"/>
          <w:bCs/>
          <w:lang w:val="es-ES_tradnl"/>
        </w:rPr>
        <w:t>Contratación</w:t>
      </w:r>
      <w:r>
        <w:rPr>
          <w:rFonts w:ascii="Arial" w:eastAsia="Calibri" w:hAnsi="Arial" w:cs="Arial"/>
          <w:bCs/>
          <w:lang w:val="es-ES_tradnl"/>
        </w:rPr>
        <w:t xml:space="preserve">, no existe en nuestro ordenamiento jurídico norma expresa que obligue a las Entidades Estatales el contemplar en los pliegos de condiciones o los documentos que hagan sus veces, la presentación de dicho </w:t>
      </w:r>
      <w:r>
        <w:rPr>
          <w:rFonts w:ascii="Arial" w:eastAsia="Calibri" w:hAnsi="Arial" w:cs="Arial"/>
          <w:bCs/>
          <w:lang w:val="es-ES_tradnl"/>
        </w:rPr>
        <w:lastRenderedPageBreak/>
        <w:t>documento previo a la celebración del contrato, s</w:t>
      </w:r>
      <w:r w:rsidR="00A8425B" w:rsidRPr="00D20A46">
        <w:rPr>
          <w:rFonts w:ascii="Arial" w:eastAsia="Calibri" w:hAnsi="Arial" w:cs="Arial"/>
          <w:bCs/>
          <w:lang w:val="es-ES_tradnl"/>
        </w:rPr>
        <w:t xml:space="preserve">in embargo, </w:t>
      </w:r>
      <w:r>
        <w:rPr>
          <w:rFonts w:ascii="Arial" w:eastAsia="Calibri" w:hAnsi="Arial" w:cs="Arial"/>
          <w:bCs/>
          <w:lang w:val="es-ES_tradnl"/>
        </w:rPr>
        <w:t xml:space="preserve">como se enunció </w:t>
      </w:r>
      <w:r w:rsidR="00862832">
        <w:rPr>
          <w:rFonts w:ascii="Arial" w:eastAsia="Calibri" w:hAnsi="Arial" w:cs="Arial"/>
          <w:bCs/>
          <w:lang w:val="es-ES_tradnl"/>
        </w:rPr>
        <w:t>previamente,</w:t>
      </w:r>
      <w:r>
        <w:rPr>
          <w:rFonts w:ascii="Arial" w:eastAsia="Calibri" w:hAnsi="Arial" w:cs="Arial"/>
          <w:bCs/>
          <w:lang w:val="es-ES_tradnl"/>
        </w:rPr>
        <w:t xml:space="preserve"> </w:t>
      </w:r>
      <w:r w:rsidR="00A8425B" w:rsidRPr="00D20A46">
        <w:rPr>
          <w:rFonts w:ascii="Arial" w:eastAsia="Calibri" w:hAnsi="Arial" w:cs="Arial"/>
          <w:bCs/>
          <w:lang w:val="es-ES_tradnl"/>
        </w:rPr>
        <w:t xml:space="preserve">las </w:t>
      </w:r>
      <w:r>
        <w:rPr>
          <w:rFonts w:ascii="Arial" w:eastAsia="Calibri" w:hAnsi="Arial" w:cs="Arial"/>
          <w:bCs/>
          <w:lang w:val="es-ES_tradnl"/>
        </w:rPr>
        <w:t>Entidades Estatales</w:t>
      </w:r>
      <w:r w:rsidR="00A8425B" w:rsidRPr="00D20A46">
        <w:rPr>
          <w:rFonts w:ascii="Arial" w:eastAsia="Calibri" w:hAnsi="Arial" w:cs="Arial"/>
          <w:bCs/>
          <w:lang w:val="es-ES_tradnl"/>
        </w:rPr>
        <w:t xml:space="preserve"> tienen la</w:t>
      </w:r>
      <w:r w:rsidR="00862832">
        <w:rPr>
          <w:rFonts w:ascii="Arial" w:eastAsia="Calibri" w:hAnsi="Arial" w:cs="Arial"/>
          <w:bCs/>
          <w:lang w:val="es-ES_tradnl"/>
        </w:rPr>
        <w:t xml:space="preserve"> autonomía y</w:t>
      </w:r>
      <w:r w:rsidR="00A8425B" w:rsidRPr="00D20A46">
        <w:rPr>
          <w:rFonts w:ascii="Arial" w:eastAsia="Calibri" w:hAnsi="Arial" w:cs="Arial"/>
          <w:bCs/>
          <w:lang w:val="es-ES_tradnl"/>
        </w:rPr>
        <w:t xml:space="preserve"> discrecionalidad de solicitar </w:t>
      </w:r>
      <w:r>
        <w:rPr>
          <w:rFonts w:ascii="Arial" w:eastAsia="Calibri" w:hAnsi="Arial" w:cs="Arial"/>
          <w:bCs/>
          <w:lang w:val="es-ES_tradnl"/>
        </w:rPr>
        <w:t xml:space="preserve">en los procesos de selección </w:t>
      </w:r>
      <w:r w:rsidR="00A8425B" w:rsidRPr="00D20A46">
        <w:rPr>
          <w:rFonts w:ascii="Arial" w:eastAsia="Calibri" w:hAnsi="Arial" w:cs="Arial"/>
          <w:bCs/>
          <w:lang w:val="es-ES_tradnl"/>
        </w:rPr>
        <w:t xml:space="preserve">los requisitos </w:t>
      </w:r>
      <w:r w:rsidR="00862832">
        <w:rPr>
          <w:rFonts w:ascii="Arial" w:eastAsia="Calibri" w:hAnsi="Arial" w:cs="Arial"/>
          <w:bCs/>
          <w:lang w:val="es-ES_tradnl"/>
        </w:rPr>
        <w:t xml:space="preserve">habilitantes </w:t>
      </w:r>
      <w:r w:rsidR="00A8425B" w:rsidRPr="00D20A46">
        <w:rPr>
          <w:rFonts w:ascii="Arial" w:eastAsia="Calibri" w:hAnsi="Arial" w:cs="Arial"/>
          <w:bCs/>
          <w:lang w:val="es-ES_tradnl"/>
        </w:rPr>
        <w:t xml:space="preserve">dentro de los pliegos de condiciones, con el fin de que los procesos contractuales sean objetivos y transparentes. </w:t>
      </w:r>
      <w:r>
        <w:rPr>
          <w:rStyle w:val="normaltextrun"/>
          <w:rFonts w:ascii="Arial" w:hAnsi="Arial" w:cs="Arial"/>
          <w:color w:val="000000"/>
          <w:shd w:val="clear" w:color="auto" w:fill="FFFFFF"/>
          <w:lang w:val="es-ES"/>
        </w:rPr>
        <w:t xml:space="preserve">De esta manera, </w:t>
      </w:r>
      <w:r w:rsidR="00862832">
        <w:rPr>
          <w:rStyle w:val="normaltextrun"/>
          <w:rFonts w:ascii="Arial" w:hAnsi="Arial" w:cs="Arial"/>
          <w:color w:val="000000"/>
          <w:shd w:val="clear" w:color="auto" w:fill="FFFFFF"/>
          <w:lang w:val="es-ES"/>
        </w:rPr>
        <w:t xml:space="preserve">siempre y cuando sean adecuados y </w:t>
      </w:r>
      <w:r w:rsidR="00862832" w:rsidRPr="00862832">
        <w:rPr>
          <w:rStyle w:val="normaltextrun"/>
          <w:rFonts w:ascii="Arial" w:hAnsi="Arial" w:cs="Arial"/>
          <w:color w:val="000000"/>
          <w:shd w:val="clear" w:color="auto" w:fill="FFFFFF"/>
          <w:lang w:val="es-ES"/>
        </w:rPr>
        <w:t>p</w:t>
      </w:r>
      <w:r w:rsidRPr="00862832">
        <w:rPr>
          <w:rStyle w:val="normaltextrun"/>
          <w:rFonts w:ascii="Arial" w:hAnsi="Arial" w:cs="Arial"/>
          <w:color w:val="000000"/>
          <w:shd w:val="clear" w:color="auto" w:fill="FFFFFF"/>
          <w:lang w:val="es-ES"/>
        </w:rPr>
        <w:t>roporcional</w:t>
      </w:r>
      <w:r w:rsidR="00862832" w:rsidRPr="00862832">
        <w:rPr>
          <w:rStyle w:val="normaltextrun"/>
          <w:rFonts w:ascii="Arial" w:hAnsi="Arial" w:cs="Arial"/>
          <w:color w:val="000000"/>
          <w:shd w:val="clear" w:color="auto" w:fill="FFFFFF"/>
          <w:lang w:val="es-ES"/>
        </w:rPr>
        <w:t xml:space="preserve">es, en virtud de lo estipulado en </w:t>
      </w:r>
      <w:r>
        <w:rPr>
          <w:rStyle w:val="normaltextrun"/>
          <w:rFonts w:ascii="Arial" w:hAnsi="Arial" w:cs="Arial"/>
          <w:color w:val="000000"/>
          <w:shd w:val="clear" w:color="auto" w:fill="FFFFFF"/>
          <w:lang w:val="es-ES"/>
        </w:rPr>
        <w:t>el artículo 5 de la Ley 1150 de 2007,</w:t>
      </w:r>
      <w:r w:rsidR="00862832">
        <w:rPr>
          <w:rStyle w:val="normaltextrun"/>
          <w:rFonts w:ascii="Arial" w:hAnsi="Arial" w:cs="Arial"/>
          <w:color w:val="000000"/>
          <w:shd w:val="clear" w:color="auto" w:fill="FFFFFF"/>
          <w:lang w:val="es-ES"/>
        </w:rPr>
        <w:t xml:space="preserve"> la Entidad Estatal tiene plena autonomía en la estructuración de sus pliegos condiciones y podrá </w:t>
      </w:r>
      <w:r>
        <w:rPr>
          <w:rStyle w:val="normaltextrun"/>
          <w:rFonts w:ascii="Arial" w:hAnsi="Arial" w:cs="Arial"/>
          <w:color w:val="000000"/>
          <w:shd w:val="clear" w:color="auto" w:fill="FFFFFF"/>
          <w:lang w:val="es-ES"/>
        </w:rPr>
        <w:t xml:space="preserve">establecer </w:t>
      </w:r>
      <w:r w:rsidRPr="00BE6E82">
        <w:rPr>
          <w:rStyle w:val="normaltextrun"/>
          <w:rFonts w:ascii="Arial" w:hAnsi="Arial" w:cs="Arial"/>
          <w:color w:val="000000"/>
          <w:shd w:val="clear" w:color="auto" w:fill="FFFFFF"/>
          <w:lang w:val="es-ES"/>
        </w:rPr>
        <w:t xml:space="preserve">los requisitos habilitantes </w:t>
      </w:r>
      <w:r>
        <w:rPr>
          <w:rStyle w:val="normaltextrun"/>
          <w:rFonts w:ascii="Arial" w:hAnsi="Arial" w:cs="Arial"/>
          <w:color w:val="000000"/>
          <w:shd w:val="clear" w:color="auto" w:fill="FFFFFF"/>
          <w:lang w:val="es-ES"/>
        </w:rPr>
        <w:t xml:space="preserve">en sus Procesos de Contratación, estos </w:t>
      </w:r>
      <w:r w:rsidRPr="00BE6E82">
        <w:rPr>
          <w:rStyle w:val="normaltextrun"/>
          <w:rFonts w:ascii="Arial" w:hAnsi="Arial" w:cs="Arial"/>
          <w:color w:val="000000"/>
          <w:shd w:val="clear" w:color="auto" w:fill="FFFFFF"/>
          <w:lang w:val="es-ES"/>
        </w:rPr>
        <w:t>deben ser adecuados y proporcionales.</w:t>
      </w:r>
    </w:p>
    <w:p w14:paraId="7A4C2D85" w14:textId="79D03E5E" w:rsidR="00A8425B" w:rsidRPr="00D20A46" w:rsidRDefault="00A8425B" w:rsidP="00A8425B">
      <w:pPr>
        <w:spacing w:after="120" w:line="276" w:lineRule="auto"/>
        <w:jc w:val="both"/>
        <w:rPr>
          <w:rFonts w:ascii="Arial" w:eastAsia="Calibri" w:hAnsi="Arial" w:cs="Arial"/>
          <w:bCs/>
          <w:lang w:val="es-ES_tradnl"/>
        </w:rPr>
      </w:pPr>
    </w:p>
    <w:p w14:paraId="6CEED224" w14:textId="77777777" w:rsidR="006B22E5" w:rsidRDefault="006B22E5" w:rsidP="00D20A46">
      <w:pPr>
        <w:spacing w:after="0" w:line="276" w:lineRule="auto"/>
        <w:contextualSpacing/>
        <w:jc w:val="both"/>
        <w:rPr>
          <w:rFonts w:ascii="Arial" w:eastAsia="Arial" w:hAnsi="Arial" w:cs="Arial"/>
          <w:lang w:val="es-MX" w:eastAsia="es-ES_tradnl"/>
        </w:rPr>
      </w:pPr>
    </w:p>
    <w:p w14:paraId="2E23DF03" w14:textId="77777777" w:rsidR="006B22E5" w:rsidRDefault="006B22E5" w:rsidP="00D20A46">
      <w:pPr>
        <w:spacing w:after="0" w:line="276" w:lineRule="auto"/>
        <w:contextualSpacing/>
        <w:jc w:val="both"/>
        <w:rPr>
          <w:rFonts w:ascii="Arial" w:eastAsia="Arial" w:hAnsi="Arial" w:cs="Arial"/>
          <w:lang w:val="es-MX" w:eastAsia="es-ES_tradnl"/>
        </w:rPr>
      </w:pPr>
    </w:p>
    <w:p w14:paraId="7FDAC677" w14:textId="77777777" w:rsidR="006B22E5" w:rsidRDefault="006B22E5" w:rsidP="00D20A46">
      <w:pPr>
        <w:spacing w:after="0" w:line="276" w:lineRule="auto"/>
        <w:contextualSpacing/>
        <w:jc w:val="both"/>
        <w:rPr>
          <w:rFonts w:ascii="Arial" w:eastAsia="Arial" w:hAnsi="Arial" w:cs="Arial"/>
          <w:lang w:val="es-MX" w:eastAsia="es-ES_tradnl"/>
        </w:rPr>
      </w:pPr>
    </w:p>
    <w:p w14:paraId="3D5F8F80" w14:textId="312F54F3" w:rsidR="006F7E2A" w:rsidRPr="00D20A46" w:rsidRDefault="006F7E2A" w:rsidP="00D20A46">
      <w:pPr>
        <w:spacing w:after="0" w:line="276" w:lineRule="auto"/>
        <w:contextualSpacing/>
        <w:jc w:val="both"/>
        <w:rPr>
          <w:rFonts w:ascii="Arial" w:eastAsia="Arial" w:hAnsi="Arial" w:cs="Arial"/>
          <w:lang w:val="es-MX" w:eastAsia="es-ES_tradnl"/>
        </w:rPr>
      </w:pPr>
      <w:r w:rsidRPr="00D20A46">
        <w:rPr>
          <w:rFonts w:ascii="Arial" w:eastAsia="Arial" w:hAnsi="Arial" w:cs="Arial"/>
          <w:lang w:val="es-MX" w:eastAsia="es-ES_tradnl"/>
        </w:rPr>
        <w:t>Este concepto tiene el alcance previsto en el artículo 28 del Código de Procedimiento Administrativo y de lo Contencioso Administrativo.</w:t>
      </w:r>
    </w:p>
    <w:p w14:paraId="1610F0A1" w14:textId="77777777" w:rsidR="006F7E2A" w:rsidRPr="00D20A46" w:rsidRDefault="006F7E2A" w:rsidP="00D20A46">
      <w:pPr>
        <w:spacing w:after="0" w:line="276" w:lineRule="auto"/>
        <w:contextualSpacing/>
        <w:jc w:val="both"/>
        <w:rPr>
          <w:rFonts w:ascii="Arial" w:eastAsia="Arial" w:hAnsi="Arial" w:cs="Arial"/>
          <w:lang w:val="es-MX" w:eastAsia="es-ES_tradnl"/>
        </w:rPr>
      </w:pPr>
      <w:r w:rsidRPr="00D20A46">
        <w:rPr>
          <w:rFonts w:ascii="Arial" w:eastAsia="Calibri" w:hAnsi="Arial" w:cs="Arial"/>
          <w:noProof/>
          <w:lang w:val="es-MX" w:eastAsia="es-ES_tradnl"/>
        </w:rPr>
        <mc:AlternateContent>
          <mc:Choice Requires="wps">
            <w:drawing>
              <wp:anchor distT="0" distB="0" distL="114300" distR="114300" simplePos="0" relativeHeight="251659264" behindDoc="0" locked="0" layoutInCell="1" hidden="0" allowOverlap="1" wp14:anchorId="0BF2C06F" wp14:editId="7ACD1A98">
                <wp:simplePos x="0" y="0"/>
                <wp:positionH relativeFrom="column">
                  <wp:posOffset>434340</wp:posOffset>
                </wp:positionH>
                <wp:positionV relativeFrom="paragraph">
                  <wp:posOffset>10160</wp:posOffset>
                </wp:positionV>
                <wp:extent cx="4686300" cy="0"/>
                <wp:effectExtent l="0" t="4763" r="0" b="4763"/>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w:pict>
              <v:line w14:anchorId="6F61690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2pt,.8pt" to="40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" strokecolor="#dbdbdb"/>
            </w:pict>
          </mc:Fallback>
        </mc:AlternateContent>
      </w:r>
    </w:p>
    <w:p w14:paraId="22EBFCC6" w14:textId="77777777" w:rsidR="006F7E2A" w:rsidRPr="00D20A46" w:rsidRDefault="006F7E2A" w:rsidP="00D20A46">
      <w:pPr>
        <w:spacing w:after="0" w:line="276" w:lineRule="auto"/>
        <w:contextualSpacing/>
        <w:jc w:val="both"/>
        <w:rPr>
          <w:rFonts w:ascii="Arial" w:eastAsia="Arial" w:hAnsi="Arial" w:cs="Arial"/>
          <w:lang w:val="es-MX" w:eastAsia="es-ES_tradnl"/>
        </w:rPr>
      </w:pPr>
      <w:r w:rsidRPr="00D20A46">
        <w:rPr>
          <w:rFonts w:ascii="Arial" w:eastAsia="Arial" w:hAnsi="Arial" w:cs="Arial"/>
          <w:lang w:val="es-MX" w:eastAsia="es-ES_tradnl"/>
        </w:rPr>
        <w:t>Atentamente,</w:t>
      </w:r>
    </w:p>
    <w:p w14:paraId="54952FF1" w14:textId="49B9F694" w:rsidR="002F47C4" w:rsidRPr="00D20A46" w:rsidRDefault="00E17748" w:rsidP="00D20A46">
      <w:pPr>
        <w:spacing w:after="200" w:line="276" w:lineRule="auto"/>
        <w:jc w:val="center"/>
        <w:rPr>
          <w:rFonts w:ascii="Arial" w:eastAsia="Arial" w:hAnsi="Arial" w:cs="Arial"/>
          <w:lang w:val="es-MX" w:eastAsia="es-ES_tradnl"/>
        </w:rPr>
      </w:pPr>
      <w:r>
        <w:rPr>
          <w:rFonts w:ascii="Arial" w:eastAsia="Arial" w:hAnsi="Arial" w:cs="Arial"/>
          <w:noProof/>
          <w:lang w:val="es-MX" w:eastAsia="es-ES_tradnl"/>
        </w:rPr>
        <w:drawing>
          <wp:inline distT="0" distB="0" distL="0" distR="0" wp14:anchorId="366A1D2E" wp14:editId="0CEBB636">
            <wp:extent cx="2990850" cy="1162050"/>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0850" cy="1162050"/>
                    </a:xfrm>
                    <a:prstGeom prst="rect">
                      <a:avLst/>
                    </a:prstGeom>
                    <a:noFill/>
                    <a:ln>
                      <a:noFill/>
                    </a:ln>
                  </pic:spPr>
                </pic:pic>
              </a:graphicData>
            </a:graphic>
          </wp:inline>
        </w:drawing>
      </w:r>
      <w:r>
        <w:rPr>
          <w:rFonts w:ascii="Calibri" w:hAnsi="Calibri" w:cs="Calibri"/>
          <w:color w:val="000000"/>
          <w:shd w:val="clear" w:color="auto" w:fill="FFFFFF"/>
        </w:rPr>
        <w:br/>
      </w:r>
    </w:p>
    <w:tbl>
      <w:tblPr>
        <w:tblW w:w="5225"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B40D2F" w:rsidRPr="00D20A46" w14:paraId="474DEDA7" w14:textId="77777777" w:rsidTr="003F72D8">
        <w:trPr>
          <w:trHeight w:val="315"/>
        </w:trPr>
        <w:tc>
          <w:tcPr>
            <w:tcW w:w="812" w:type="dxa"/>
            <w:vAlign w:val="center"/>
          </w:tcPr>
          <w:p w14:paraId="6DF24F4D" w14:textId="77777777" w:rsidR="006F7E2A" w:rsidRPr="00D20A46" w:rsidRDefault="006F7E2A" w:rsidP="00D20A46">
            <w:pPr>
              <w:spacing w:after="0" w:line="276" w:lineRule="auto"/>
              <w:rPr>
                <w:rFonts w:ascii="Arial" w:eastAsia="Calibri" w:hAnsi="Arial" w:cs="Arial"/>
                <w:sz w:val="16"/>
                <w:szCs w:val="16"/>
                <w:lang w:val="es-MX" w:eastAsia="es-ES_tradnl"/>
              </w:rPr>
            </w:pPr>
            <w:r w:rsidRPr="00D20A46">
              <w:rPr>
                <w:rFonts w:ascii="Arial" w:eastAsia="Arial" w:hAnsi="Arial" w:cs="Arial"/>
                <w:sz w:val="16"/>
                <w:szCs w:val="16"/>
                <w:lang w:val="es-MX" w:eastAsia="es-ES_tradnl"/>
              </w:rPr>
              <w:t>Elaboró:</w:t>
            </w:r>
          </w:p>
        </w:tc>
        <w:tc>
          <w:tcPr>
            <w:tcW w:w="4413" w:type="dxa"/>
            <w:tcBorders>
              <w:top w:val="nil"/>
              <w:left w:val="nil"/>
              <w:bottom w:val="dotted" w:sz="4" w:space="0" w:color="7F7F7F"/>
              <w:right w:val="nil"/>
            </w:tcBorders>
            <w:vAlign w:val="center"/>
          </w:tcPr>
          <w:p w14:paraId="03D933F6" w14:textId="1169C527" w:rsidR="006F7E2A" w:rsidRPr="00D20A46" w:rsidRDefault="00CC78D4" w:rsidP="00D20A46">
            <w:pPr>
              <w:spacing w:after="0" w:line="276" w:lineRule="auto"/>
              <w:rPr>
                <w:rFonts w:ascii="Arial" w:eastAsia="Calibri" w:hAnsi="Arial" w:cs="Arial"/>
                <w:sz w:val="16"/>
                <w:szCs w:val="16"/>
                <w:lang w:val="es-MX" w:eastAsia="es-ES_tradnl"/>
              </w:rPr>
            </w:pPr>
            <w:r>
              <w:rPr>
                <w:rFonts w:ascii="Arial" w:eastAsia="Arial" w:hAnsi="Arial" w:cs="Arial"/>
                <w:sz w:val="16"/>
                <w:szCs w:val="16"/>
                <w:lang w:val="es-MX" w:eastAsia="es-ES_tradnl"/>
              </w:rPr>
              <w:t xml:space="preserve">María Valeska Medellín Mora </w:t>
            </w:r>
          </w:p>
          <w:p w14:paraId="3EAB28ED" w14:textId="7AE0540B" w:rsidR="006F7E2A" w:rsidRPr="00D20A46" w:rsidRDefault="00CC78D4" w:rsidP="00D20A46">
            <w:pPr>
              <w:spacing w:after="0" w:line="276" w:lineRule="auto"/>
              <w:rPr>
                <w:rFonts w:ascii="Arial" w:eastAsia="Calibri" w:hAnsi="Arial" w:cs="Arial"/>
                <w:sz w:val="16"/>
                <w:szCs w:val="16"/>
                <w:lang w:val="es-MX" w:eastAsia="es-ES_tradnl"/>
              </w:rPr>
            </w:pPr>
            <w:r>
              <w:rPr>
                <w:rFonts w:ascii="Arial" w:eastAsia="Arial" w:hAnsi="Arial" w:cs="Arial"/>
                <w:sz w:val="16"/>
                <w:szCs w:val="16"/>
                <w:lang w:val="es-MX" w:eastAsia="es-ES_tradnl"/>
              </w:rPr>
              <w:t xml:space="preserve">Gestor T1- </w:t>
            </w:r>
            <w:proofErr w:type="gramStart"/>
            <w:r>
              <w:rPr>
                <w:rFonts w:ascii="Arial" w:eastAsia="Arial" w:hAnsi="Arial" w:cs="Arial"/>
                <w:sz w:val="16"/>
                <w:szCs w:val="16"/>
                <w:lang w:val="es-MX" w:eastAsia="es-ES_tradnl"/>
              </w:rPr>
              <w:t xml:space="preserve">15 </w:t>
            </w:r>
            <w:r w:rsidR="006F7E2A" w:rsidRPr="00D20A46">
              <w:rPr>
                <w:rFonts w:ascii="Arial" w:eastAsia="Arial" w:hAnsi="Arial" w:cs="Arial"/>
                <w:sz w:val="16"/>
                <w:szCs w:val="16"/>
                <w:lang w:val="es-MX" w:eastAsia="es-ES_tradnl"/>
              </w:rPr>
              <w:t xml:space="preserve"> Subdirección</w:t>
            </w:r>
            <w:proofErr w:type="gramEnd"/>
            <w:r w:rsidR="006F7E2A" w:rsidRPr="00D20A46">
              <w:rPr>
                <w:rFonts w:ascii="Arial" w:eastAsia="Arial" w:hAnsi="Arial" w:cs="Arial"/>
                <w:sz w:val="16"/>
                <w:szCs w:val="16"/>
                <w:lang w:val="es-MX" w:eastAsia="es-ES_tradnl"/>
              </w:rPr>
              <w:t xml:space="preserve"> de Gestión Contractual</w:t>
            </w:r>
          </w:p>
        </w:tc>
      </w:tr>
      <w:tr w:rsidR="00B40D2F" w:rsidRPr="00D20A46" w14:paraId="0F273EB8" w14:textId="77777777" w:rsidTr="003F72D8">
        <w:trPr>
          <w:trHeight w:val="330"/>
        </w:trPr>
        <w:tc>
          <w:tcPr>
            <w:tcW w:w="812" w:type="dxa"/>
            <w:vAlign w:val="center"/>
          </w:tcPr>
          <w:p w14:paraId="13A30C8B" w14:textId="77777777" w:rsidR="006F7E2A" w:rsidRPr="00D20A46" w:rsidRDefault="006F7E2A" w:rsidP="00D20A46">
            <w:pPr>
              <w:spacing w:after="0" w:line="276" w:lineRule="auto"/>
              <w:rPr>
                <w:rFonts w:ascii="Arial" w:eastAsia="Calibri" w:hAnsi="Arial" w:cs="Arial"/>
                <w:sz w:val="16"/>
                <w:szCs w:val="16"/>
                <w:lang w:val="es-MX" w:eastAsia="es-ES_tradnl"/>
              </w:rPr>
            </w:pPr>
            <w:r w:rsidRPr="00D20A46">
              <w:rPr>
                <w:rFonts w:ascii="Arial" w:eastAsia="Arial" w:hAnsi="Arial" w:cs="Arial"/>
                <w:sz w:val="16"/>
                <w:szCs w:val="16"/>
                <w:lang w:val="es-MX" w:eastAsia="es-ES_tradnl"/>
              </w:rPr>
              <w:t>Revisó:</w:t>
            </w:r>
          </w:p>
        </w:tc>
        <w:tc>
          <w:tcPr>
            <w:tcW w:w="4413" w:type="dxa"/>
            <w:tcBorders>
              <w:top w:val="dotted" w:sz="4" w:space="0" w:color="7F7F7F"/>
              <w:left w:val="nil"/>
              <w:bottom w:val="dotted" w:sz="4" w:space="0" w:color="7F7F7F"/>
              <w:right w:val="nil"/>
            </w:tcBorders>
            <w:vAlign w:val="center"/>
          </w:tcPr>
          <w:p w14:paraId="6AF112E3" w14:textId="4B0B0F91" w:rsidR="003118C1" w:rsidRPr="00D20A46" w:rsidRDefault="00862832" w:rsidP="00D20A46">
            <w:pPr>
              <w:spacing w:after="0" w:line="276" w:lineRule="auto"/>
              <w:rPr>
                <w:rFonts w:ascii="Arial" w:eastAsia="Arial" w:hAnsi="Arial" w:cs="Arial"/>
                <w:sz w:val="16"/>
                <w:szCs w:val="16"/>
                <w:lang w:val="es-MX" w:eastAsia="es-ES_tradnl"/>
              </w:rPr>
            </w:pPr>
            <w:proofErr w:type="spellStart"/>
            <w:r>
              <w:rPr>
                <w:rFonts w:ascii="Arial" w:eastAsia="Arial" w:hAnsi="Arial" w:cs="Arial"/>
                <w:sz w:val="16"/>
                <w:szCs w:val="16"/>
                <w:lang w:val="es-MX" w:eastAsia="es-ES_tradnl"/>
              </w:rPr>
              <w:t>Any</w:t>
            </w:r>
            <w:proofErr w:type="spellEnd"/>
            <w:r>
              <w:rPr>
                <w:rFonts w:ascii="Arial" w:eastAsia="Arial" w:hAnsi="Arial" w:cs="Arial"/>
                <w:sz w:val="16"/>
                <w:szCs w:val="16"/>
                <w:lang w:val="es-MX" w:eastAsia="es-ES_tradnl"/>
              </w:rPr>
              <w:t xml:space="preserve"> Alejandra Tovar Castillo</w:t>
            </w:r>
          </w:p>
          <w:p w14:paraId="2EDA7E2D" w14:textId="592B3DDC" w:rsidR="006F7E2A" w:rsidRPr="00D20A46" w:rsidRDefault="00B40D2F" w:rsidP="00D20A46">
            <w:pPr>
              <w:spacing w:after="0" w:line="276" w:lineRule="auto"/>
              <w:rPr>
                <w:rFonts w:ascii="Arial" w:eastAsia="Calibri" w:hAnsi="Arial" w:cs="Arial"/>
                <w:sz w:val="16"/>
                <w:szCs w:val="16"/>
                <w:lang w:val="es-MX" w:eastAsia="es-ES_tradnl"/>
              </w:rPr>
            </w:pPr>
            <w:r w:rsidRPr="00D20A46">
              <w:rPr>
                <w:rFonts w:ascii="Arial" w:eastAsia="Arial" w:hAnsi="Arial" w:cs="Arial"/>
                <w:sz w:val="16"/>
                <w:szCs w:val="16"/>
                <w:lang w:val="es-MX" w:eastAsia="es-ES_tradnl"/>
              </w:rPr>
              <w:t>Contratista</w:t>
            </w:r>
            <w:r w:rsidR="006F7E2A" w:rsidRPr="00D20A46">
              <w:rPr>
                <w:rFonts w:ascii="Arial" w:eastAsia="Arial" w:hAnsi="Arial" w:cs="Arial"/>
                <w:sz w:val="16"/>
                <w:szCs w:val="16"/>
                <w:lang w:val="es-MX" w:eastAsia="es-ES_tradnl"/>
              </w:rPr>
              <w:t xml:space="preserve"> de la Subdirección de Gestión Contractual</w:t>
            </w:r>
          </w:p>
        </w:tc>
      </w:tr>
      <w:tr w:rsidR="00B40D2F" w:rsidRPr="00D20A46" w14:paraId="547F0CC7" w14:textId="77777777" w:rsidTr="003F72D8">
        <w:trPr>
          <w:trHeight w:val="300"/>
        </w:trPr>
        <w:tc>
          <w:tcPr>
            <w:tcW w:w="812" w:type="dxa"/>
            <w:vAlign w:val="center"/>
          </w:tcPr>
          <w:p w14:paraId="6F9DDF6C" w14:textId="77777777" w:rsidR="006F7E2A" w:rsidRPr="00D20A46" w:rsidRDefault="006F7E2A" w:rsidP="00D20A46">
            <w:pPr>
              <w:spacing w:after="0" w:line="276" w:lineRule="auto"/>
              <w:rPr>
                <w:rFonts w:ascii="Arial" w:eastAsia="Calibri" w:hAnsi="Arial" w:cs="Arial"/>
                <w:sz w:val="16"/>
                <w:szCs w:val="16"/>
                <w:lang w:val="es-MX" w:eastAsia="es-ES_tradnl"/>
              </w:rPr>
            </w:pPr>
            <w:r w:rsidRPr="00D20A46">
              <w:rPr>
                <w:rFonts w:ascii="Arial" w:eastAsia="Arial" w:hAnsi="Arial" w:cs="Arial"/>
                <w:sz w:val="16"/>
                <w:szCs w:val="16"/>
                <w:lang w:val="es-MX" w:eastAsia="es-ES_tradnl"/>
              </w:rPr>
              <w:t>Aprobó:</w:t>
            </w:r>
          </w:p>
        </w:tc>
        <w:tc>
          <w:tcPr>
            <w:tcW w:w="4413" w:type="dxa"/>
            <w:tcBorders>
              <w:top w:val="dotted" w:sz="4" w:space="0" w:color="7F7F7F"/>
              <w:left w:val="nil"/>
              <w:bottom w:val="dotted" w:sz="4" w:space="0" w:color="7F7F7F"/>
              <w:right w:val="nil"/>
            </w:tcBorders>
            <w:vAlign w:val="center"/>
          </w:tcPr>
          <w:p w14:paraId="6482A706" w14:textId="77777777" w:rsidR="00803C23" w:rsidRPr="00D20A46" w:rsidRDefault="002F47C4" w:rsidP="00D20A46">
            <w:pPr>
              <w:spacing w:after="0" w:line="276" w:lineRule="auto"/>
              <w:rPr>
                <w:rFonts w:ascii="Arial" w:eastAsia="Arial" w:hAnsi="Arial" w:cs="Arial"/>
                <w:sz w:val="16"/>
                <w:szCs w:val="16"/>
                <w:lang w:val="es-MX" w:eastAsia="es-ES_tradnl"/>
              </w:rPr>
            </w:pPr>
            <w:r w:rsidRPr="00D20A46">
              <w:rPr>
                <w:rFonts w:ascii="Arial" w:eastAsia="Arial" w:hAnsi="Arial" w:cs="Arial"/>
                <w:sz w:val="16"/>
                <w:szCs w:val="16"/>
                <w:lang w:val="es-MX" w:eastAsia="es-ES_tradnl"/>
              </w:rPr>
              <w:t xml:space="preserve">Juan David Marín </w:t>
            </w:r>
            <w:r w:rsidR="00F6245E" w:rsidRPr="00D20A46">
              <w:rPr>
                <w:rFonts w:ascii="Arial" w:eastAsia="Arial" w:hAnsi="Arial" w:cs="Arial"/>
                <w:sz w:val="16"/>
                <w:szCs w:val="16"/>
                <w:lang w:val="es-MX" w:eastAsia="es-ES_tradnl"/>
              </w:rPr>
              <w:t xml:space="preserve">López </w:t>
            </w:r>
          </w:p>
          <w:p w14:paraId="5BE3FD73" w14:textId="5AC57768" w:rsidR="006F7E2A" w:rsidRPr="00D20A46" w:rsidRDefault="006F7E2A" w:rsidP="00D20A46">
            <w:pPr>
              <w:spacing w:after="0" w:line="276" w:lineRule="auto"/>
              <w:rPr>
                <w:rFonts w:ascii="Arial" w:eastAsia="Arial" w:hAnsi="Arial" w:cs="Arial"/>
                <w:sz w:val="16"/>
                <w:szCs w:val="16"/>
                <w:lang w:val="es-MX" w:eastAsia="es-ES_tradnl"/>
              </w:rPr>
            </w:pPr>
            <w:r w:rsidRPr="00D20A46">
              <w:rPr>
                <w:rFonts w:ascii="Arial" w:eastAsia="Arial" w:hAnsi="Arial" w:cs="Arial"/>
                <w:sz w:val="16"/>
                <w:szCs w:val="16"/>
                <w:lang w:val="es-MX" w:eastAsia="es-ES_tradnl"/>
              </w:rPr>
              <w:t>Subdirector de Gestión Contractual ANCP – CCE</w:t>
            </w:r>
          </w:p>
        </w:tc>
      </w:tr>
      <w:bookmarkEnd w:id="2"/>
    </w:tbl>
    <w:p w14:paraId="13EFAA18" w14:textId="77777777" w:rsidR="00F2513D" w:rsidRPr="00D20A46" w:rsidRDefault="00F2513D" w:rsidP="00D20A46">
      <w:pPr>
        <w:spacing w:line="276" w:lineRule="auto"/>
        <w:rPr>
          <w:rFonts w:ascii="Arial" w:hAnsi="Arial" w:cs="Arial"/>
          <w:color w:val="FF0000"/>
        </w:rPr>
      </w:pPr>
    </w:p>
    <w:sectPr w:rsidR="00F2513D" w:rsidRPr="00D20A46">
      <w:headerReference w:type="default" r:id="rId17"/>
      <w:footerReference w:type="default" r:id="rId18"/>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F583" w14:textId="77777777" w:rsidR="000B082B" w:rsidRDefault="000B082B" w:rsidP="006F7E2A">
      <w:pPr>
        <w:spacing w:after="0" w:line="240" w:lineRule="auto"/>
      </w:pPr>
      <w:r>
        <w:separator/>
      </w:r>
    </w:p>
  </w:endnote>
  <w:endnote w:type="continuationSeparator" w:id="0">
    <w:p w14:paraId="422A6E70" w14:textId="77777777" w:rsidR="000B082B" w:rsidRDefault="000B082B" w:rsidP="006F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163B" w14:textId="77777777" w:rsidR="00E33268" w:rsidRDefault="005B08D6">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03628C23" w14:textId="77777777" w:rsidR="00E33268" w:rsidRDefault="005B08D6">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3CADED8F" wp14:editId="777F6787">
          <wp:extent cx="4241994" cy="5951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76A6BEC1" w14:textId="77777777" w:rsidR="00E33268" w:rsidRDefault="00EB4E43">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37C8" w14:textId="77777777" w:rsidR="000B082B" w:rsidRDefault="000B082B" w:rsidP="006F7E2A">
      <w:pPr>
        <w:spacing w:after="0" w:line="240" w:lineRule="auto"/>
      </w:pPr>
      <w:r>
        <w:separator/>
      </w:r>
    </w:p>
  </w:footnote>
  <w:footnote w:type="continuationSeparator" w:id="0">
    <w:p w14:paraId="69A2F76C" w14:textId="77777777" w:rsidR="000B082B" w:rsidRDefault="000B082B" w:rsidP="006F7E2A">
      <w:pPr>
        <w:spacing w:after="0" w:line="240" w:lineRule="auto"/>
      </w:pPr>
      <w:r>
        <w:continuationSeparator/>
      </w:r>
    </w:p>
  </w:footnote>
  <w:footnote w:id="1">
    <w:p w14:paraId="438A39B6" w14:textId="1B464832" w:rsidR="00102A2C" w:rsidRPr="005109B2" w:rsidRDefault="00102A2C">
      <w:pPr>
        <w:pStyle w:val="Textonotapie"/>
        <w:rPr>
          <w:rFonts w:ascii="Arial" w:hAnsi="Arial" w:cs="Arial"/>
          <w:sz w:val="18"/>
          <w:szCs w:val="18"/>
          <w:lang w:val="es-CO"/>
        </w:rPr>
      </w:pPr>
      <w:r w:rsidRPr="005109B2">
        <w:rPr>
          <w:rStyle w:val="Refdenotaalpie"/>
          <w:rFonts w:ascii="Arial" w:hAnsi="Arial" w:cs="Arial"/>
          <w:sz w:val="18"/>
          <w:szCs w:val="18"/>
        </w:rPr>
        <w:footnoteRef/>
      </w:r>
      <w:hyperlink r:id="rId1" w:history="1">
        <w:r w:rsidRPr="005109B2">
          <w:rPr>
            <w:rStyle w:val="Hipervnculo"/>
            <w:rFonts w:ascii="Arial" w:hAnsi="Arial" w:cs="Arial"/>
            <w:sz w:val="18"/>
            <w:szCs w:val="18"/>
          </w:rPr>
          <w:t>https://www.colombiacompra.gov.co/sites/cce_public/files/cce_documents/cce_manual_requisitos_habilitantes.pdf</w:t>
        </w:r>
      </w:hyperlink>
      <w:r w:rsidRPr="005109B2">
        <w:rPr>
          <w:rFonts w:ascii="Arial" w:hAnsi="Arial" w:cs="Arial"/>
          <w:sz w:val="18"/>
          <w:szCs w:val="18"/>
        </w:rPr>
        <w:t xml:space="preserve"> </w:t>
      </w:r>
    </w:p>
  </w:footnote>
  <w:footnote w:id="2">
    <w:p w14:paraId="4E082E19" w14:textId="77777777" w:rsidR="00FD0B22" w:rsidRPr="005109B2" w:rsidRDefault="00FD0B22" w:rsidP="00FD0B22">
      <w:pPr>
        <w:pStyle w:val="Textonotapie"/>
        <w:ind w:firstLine="708"/>
        <w:jc w:val="both"/>
        <w:rPr>
          <w:rFonts w:ascii="Arial" w:hAnsi="Arial" w:cs="Arial"/>
          <w:sz w:val="18"/>
          <w:szCs w:val="18"/>
        </w:rPr>
      </w:pPr>
      <w:r w:rsidRPr="005109B2">
        <w:rPr>
          <w:rStyle w:val="Refdenotaalpie"/>
          <w:rFonts w:ascii="Arial" w:hAnsi="Arial" w:cs="Arial"/>
          <w:sz w:val="18"/>
          <w:szCs w:val="18"/>
        </w:rPr>
        <w:footnoteRef/>
      </w:r>
      <w:r w:rsidRPr="005109B2">
        <w:rPr>
          <w:rFonts w:ascii="Arial" w:hAnsi="Arial" w:cs="Arial"/>
          <w:sz w:val="18"/>
          <w:szCs w:val="18"/>
        </w:rPr>
        <w:t xml:space="preserve"> Consejo de Estado. Sección Segunda. Sentencia del 9 de septiembre de 2021. Expediente No. 05001-23-33-000-2013-01143-01(1317-16). M.P. Dra. Sandra Lisset Ibarra Vélez.</w:t>
      </w:r>
    </w:p>
  </w:footnote>
  <w:footnote w:id="3">
    <w:p w14:paraId="2ADD4C26" w14:textId="77777777" w:rsidR="00FD0B22" w:rsidRPr="005109B2" w:rsidRDefault="00FD0B22" w:rsidP="00FD0B22">
      <w:pPr>
        <w:pStyle w:val="Textonotapie"/>
        <w:ind w:firstLine="708"/>
        <w:jc w:val="both"/>
        <w:rPr>
          <w:rFonts w:ascii="Arial" w:hAnsi="Arial" w:cs="Arial"/>
          <w:sz w:val="18"/>
          <w:szCs w:val="18"/>
          <w:lang w:val="es-ES_tradnl"/>
        </w:rPr>
      </w:pPr>
      <w:r w:rsidRPr="005109B2">
        <w:rPr>
          <w:rStyle w:val="Refdenotaalpie"/>
          <w:rFonts w:ascii="Arial" w:hAnsi="Arial" w:cs="Arial"/>
          <w:sz w:val="18"/>
          <w:szCs w:val="18"/>
        </w:rPr>
        <w:footnoteRef/>
      </w:r>
      <w:r w:rsidRPr="005109B2">
        <w:rPr>
          <w:rFonts w:ascii="Arial" w:hAnsi="Arial" w:cs="Arial"/>
          <w:sz w:val="18"/>
          <w:szCs w:val="18"/>
        </w:rPr>
        <w:t xml:space="preserve"> Así lo señaló el Consejo de Estado en la sentencia de unificación en mención, al indicar que «cualquier contrato de prestación de servicios tiene por objeto genérico “desarrollar actividades relacionadas con la administración o funcionamiento de la entidad”».</w:t>
      </w:r>
    </w:p>
  </w:footnote>
  <w:footnote w:id="4">
    <w:p w14:paraId="06BF2A32" w14:textId="77777777" w:rsidR="00FD0B22" w:rsidRPr="005109B2" w:rsidRDefault="00FD0B22" w:rsidP="00FD0B22">
      <w:pPr>
        <w:pStyle w:val="Textonotapie"/>
        <w:ind w:firstLine="708"/>
        <w:jc w:val="both"/>
        <w:rPr>
          <w:rFonts w:ascii="Arial" w:hAnsi="Arial" w:cs="Arial"/>
          <w:sz w:val="18"/>
          <w:szCs w:val="18"/>
          <w:lang w:val="es-ES"/>
        </w:rPr>
      </w:pPr>
      <w:r w:rsidRPr="005109B2">
        <w:rPr>
          <w:rStyle w:val="Refdenotaalpie"/>
          <w:rFonts w:ascii="Arial" w:hAnsi="Arial" w:cs="Arial"/>
          <w:sz w:val="18"/>
          <w:szCs w:val="18"/>
        </w:rPr>
        <w:footnoteRef/>
      </w:r>
      <w:r w:rsidRPr="005109B2">
        <w:rPr>
          <w:rFonts w:ascii="Arial" w:hAnsi="Arial" w:cs="Arial"/>
          <w:sz w:val="18"/>
          <w:szCs w:val="18"/>
        </w:rPr>
        <w:t xml:space="preserve"> </w:t>
      </w:r>
      <w:r w:rsidRPr="005109B2">
        <w:rPr>
          <w:rFonts w:ascii="Arial" w:hAnsi="Arial" w:cs="Arial"/>
          <w:sz w:val="18"/>
          <w:szCs w:val="18"/>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6EC27237" w14:textId="77777777" w:rsidR="00FD0B22" w:rsidRPr="005109B2" w:rsidRDefault="00FD0B22" w:rsidP="00FD0B22">
      <w:pPr>
        <w:pStyle w:val="Textonotapie"/>
        <w:ind w:firstLine="709"/>
        <w:jc w:val="both"/>
        <w:rPr>
          <w:rFonts w:ascii="Arial" w:hAnsi="Arial" w:cs="Arial"/>
          <w:sz w:val="18"/>
          <w:szCs w:val="18"/>
          <w:lang w:val="es-ES"/>
        </w:rPr>
      </w:pPr>
    </w:p>
  </w:footnote>
  <w:footnote w:id="5">
    <w:p w14:paraId="34A48EB5" w14:textId="77777777" w:rsidR="00FD0B22" w:rsidRPr="005109B2" w:rsidRDefault="00FD0B22" w:rsidP="00FD0B22">
      <w:pPr>
        <w:pStyle w:val="Textonotapie"/>
        <w:ind w:firstLine="709"/>
        <w:jc w:val="both"/>
        <w:rPr>
          <w:rFonts w:ascii="Arial" w:hAnsi="Arial" w:cs="Arial"/>
          <w:sz w:val="18"/>
          <w:szCs w:val="18"/>
          <w:lang w:val="es-ES"/>
        </w:rPr>
      </w:pPr>
      <w:r w:rsidRPr="005109B2">
        <w:rPr>
          <w:rStyle w:val="Refdenotaalpie"/>
          <w:rFonts w:ascii="Arial" w:hAnsi="Arial" w:cs="Arial"/>
          <w:sz w:val="18"/>
          <w:szCs w:val="18"/>
        </w:rPr>
        <w:footnoteRef/>
      </w:r>
      <w:r w:rsidRPr="005109B2">
        <w:rPr>
          <w:rFonts w:ascii="Arial" w:hAnsi="Arial" w:cs="Arial"/>
          <w:sz w:val="18"/>
          <w:szCs w:val="18"/>
        </w:rPr>
        <w:t xml:space="preserve"> </w:t>
      </w:r>
      <w:r w:rsidRPr="005109B2">
        <w:rPr>
          <w:rFonts w:ascii="Arial" w:hAnsi="Arial" w:cs="Arial"/>
          <w:sz w:val="18"/>
          <w:szCs w:val="18"/>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280390CB" w14:textId="77777777" w:rsidR="00FD0B22" w:rsidRPr="005109B2" w:rsidRDefault="00FD0B22" w:rsidP="00FD0B22">
      <w:pPr>
        <w:pStyle w:val="Textonotapie"/>
        <w:ind w:firstLine="709"/>
        <w:jc w:val="both"/>
        <w:rPr>
          <w:rFonts w:ascii="Arial" w:hAnsi="Arial" w:cs="Arial"/>
          <w:sz w:val="18"/>
          <w:szCs w:val="18"/>
          <w:lang w:val="es-ES"/>
        </w:rPr>
      </w:pPr>
      <w:r w:rsidRPr="005109B2">
        <w:rPr>
          <w:rFonts w:ascii="Arial" w:hAnsi="Arial" w:cs="Arial"/>
          <w:sz w:val="18"/>
          <w:szCs w:val="18"/>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BD689D3" w14:textId="77777777" w:rsidR="00FD0B22" w:rsidRPr="005109B2" w:rsidRDefault="00FD0B22" w:rsidP="00FD0B22">
      <w:pPr>
        <w:pStyle w:val="Textonotapie"/>
        <w:ind w:firstLine="709"/>
        <w:jc w:val="both"/>
        <w:rPr>
          <w:rFonts w:ascii="Arial" w:hAnsi="Arial" w:cs="Arial"/>
          <w:sz w:val="18"/>
          <w:szCs w:val="18"/>
          <w:lang w:val="es-ES"/>
        </w:rPr>
      </w:pPr>
      <w:r w:rsidRPr="005109B2">
        <w:rPr>
          <w:rFonts w:ascii="Arial" w:hAnsi="Arial" w:cs="Arial"/>
          <w:sz w:val="18"/>
          <w:szCs w:val="18"/>
          <w:lang w:val="es-ES"/>
        </w:rPr>
        <w:t>El Gobierno nacional reglamentará el mecanismo para realizar la mensualización de que trata el presente artículo.</w:t>
      </w:r>
    </w:p>
    <w:p w14:paraId="60722177" w14:textId="77777777" w:rsidR="00FD0B22" w:rsidRPr="005109B2" w:rsidRDefault="00FD0B22" w:rsidP="00FD0B22">
      <w:pPr>
        <w:pStyle w:val="Textonotapie"/>
        <w:ind w:firstLine="709"/>
        <w:jc w:val="both"/>
        <w:rPr>
          <w:rFonts w:ascii="Arial" w:hAnsi="Arial" w:cs="Arial"/>
          <w:sz w:val="18"/>
          <w:szCs w:val="18"/>
          <w:lang w:val="pt-BR"/>
        </w:rPr>
      </w:pPr>
      <w:r w:rsidRPr="005109B2">
        <w:rPr>
          <w:rFonts w:ascii="Arial" w:hAnsi="Arial" w:cs="Arial"/>
          <w:sz w:val="18"/>
          <w:szCs w:val="18"/>
          <w:lang w:val="pt-BR"/>
        </w:rPr>
        <w:t>[…]».</w:t>
      </w:r>
    </w:p>
  </w:footnote>
  <w:footnote w:id="6">
    <w:p w14:paraId="157ACCD1" w14:textId="77777777" w:rsidR="00FD0B22" w:rsidRPr="005109B2" w:rsidRDefault="00FD0B22" w:rsidP="00FD0B22">
      <w:pPr>
        <w:pStyle w:val="Textonotapie"/>
        <w:ind w:firstLine="709"/>
        <w:jc w:val="both"/>
        <w:rPr>
          <w:rFonts w:ascii="Arial" w:hAnsi="Arial" w:cs="Arial"/>
          <w:sz w:val="18"/>
          <w:szCs w:val="18"/>
          <w:lang w:val="es-ES"/>
        </w:rPr>
      </w:pPr>
      <w:r w:rsidRPr="005109B2">
        <w:rPr>
          <w:rStyle w:val="Refdenotaalpie"/>
          <w:rFonts w:ascii="Arial" w:hAnsi="Arial" w:cs="Arial"/>
          <w:sz w:val="18"/>
          <w:szCs w:val="18"/>
        </w:rPr>
        <w:footnoteRef/>
      </w:r>
      <w:r w:rsidRPr="005109B2">
        <w:rPr>
          <w:rFonts w:ascii="Arial" w:hAnsi="Arial" w:cs="Arial"/>
          <w:sz w:val="18"/>
          <w:szCs w:val="18"/>
          <w:lang w:val="pt-BR"/>
        </w:rPr>
        <w:t xml:space="preserve"> Corte Constitucional. Sentencia C-154 de 1997. </w:t>
      </w:r>
      <w:r w:rsidRPr="005109B2">
        <w:rPr>
          <w:rFonts w:ascii="Arial" w:hAnsi="Arial" w:cs="Arial"/>
          <w:sz w:val="18"/>
          <w:szCs w:val="18"/>
          <w:lang w:val="es-ES"/>
        </w:rPr>
        <w:t>MP: Hernando Herrera Vergara.</w:t>
      </w:r>
    </w:p>
    <w:p w14:paraId="231027B3" w14:textId="77777777" w:rsidR="00FD0B22" w:rsidRPr="005109B2" w:rsidRDefault="00FD0B22" w:rsidP="00FD0B22">
      <w:pPr>
        <w:pStyle w:val="Textonotapie"/>
        <w:ind w:firstLine="709"/>
        <w:jc w:val="both"/>
        <w:rPr>
          <w:rFonts w:ascii="Arial" w:hAnsi="Arial" w:cs="Arial"/>
          <w:sz w:val="18"/>
          <w:szCs w:val="18"/>
          <w:lang w:val="es-ES"/>
        </w:rPr>
      </w:pPr>
    </w:p>
  </w:footnote>
  <w:footnote w:id="7">
    <w:p w14:paraId="3DCFB33A" w14:textId="77777777" w:rsidR="00FD0B22" w:rsidRPr="005109B2" w:rsidRDefault="00FD0B22" w:rsidP="00FD0B22">
      <w:pPr>
        <w:pStyle w:val="Textonotapie"/>
        <w:ind w:firstLine="709"/>
        <w:jc w:val="both"/>
        <w:rPr>
          <w:rFonts w:ascii="Arial" w:hAnsi="Arial" w:cs="Arial"/>
          <w:sz w:val="18"/>
          <w:szCs w:val="18"/>
          <w:lang w:val="es-ES"/>
        </w:rPr>
      </w:pPr>
      <w:r w:rsidRPr="005109B2">
        <w:rPr>
          <w:rStyle w:val="Refdenotaalpie"/>
          <w:rFonts w:ascii="Arial" w:hAnsi="Arial" w:cs="Arial"/>
          <w:sz w:val="18"/>
          <w:szCs w:val="18"/>
        </w:rPr>
        <w:footnoteRef/>
      </w:r>
      <w:r w:rsidRPr="005109B2">
        <w:rPr>
          <w:rFonts w:ascii="Arial" w:hAnsi="Arial" w:cs="Arial"/>
          <w:sz w:val="18"/>
          <w:szCs w:val="18"/>
        </w:rPr>
        <w:t xml:space="preserve"> </w:t>
      </w:r>
      <w:proofErr w:type="spellStart"/>
      <w:r w:rsidRPr="005109B2">
        <w:rPr>
          <w:rFonts w:ascii="Arial" w:hAnsi="Arial" w:cs="Arial"/>
          <w:sz w:val="18"/>
          <w:szCs w:val="18"/>
          <w:lang w:val="es-ES"/>
        </w:rPr>
        <w:t>Ibíd</w:t>
      </w:r>
      <w:proofErr w:type="spellEnd"/>
      <w:r w:rsidRPr="005109B2">
        <w:rPr>
          <w:rFonts w:ascii="Arial" w:hAnsi="Arial" w:cs="Arial"/>
          <w:sz w:val="18"/>
          <w:szCs w:val="18"/>
          <w:lang w:val="es-ES"/>
        </w:rPr>
        <w:t>.</w:t>
      </w:r>
    </w:p>
  </w:footnote>
  <w:footnote w:id="8">
    <w:p w14:paraId="641B908F" w14:textId="77777777" w:rsidR="00FD0B22" w:rsidRPr="005109B2" w:rsidRDefault="00FD0B22" w:rsidP="00FD0B22">
      <w:pPr>
        <w:pStyle w:val="Textonotapie"/>
        <w:ind w:firstLine="709"/>
        <w:jc w:val="both"/>
        <w:rPr>
          <w:rFonts w:ascii="Arial" w:hAnsi="Arial" w:cs="Arial"/>
          <w:sz w:val="18"/>
          <w:szCs w:val="18"/>
        </w:rPr>
      </w:pPr>
      <w:r w:rsidRPr="005109B2">
        <w:rPr>
          <w:rStyle w:val="Refdenotaalpie"/>
          <w:rFonts w:ascii="Arial" w:hAnsi="Arial" w:cs="Arial"/>
          <w:sz w:val="18"/>
          <w:szCs w:val="18"/>
        </w:rPr>
        <w:footnoteRef/>
      </w:r>
      <w:r w:rsidRPr="005109B2">
        <w:rPr>
          <w:rFonts w:ascii="Arial" w:hAnsi="Arial" w:cs="Arial"/>
          <w:sz w:val="18"/>
          <w:szCs w:val="18"/>
        </w:rPr>
        <w:t xml:space="preserve"> </w:t>
      </w:r>
      <w:r w:rsidRPr="005109B2">
        <w:rPr>
          <w:rFonts w:ascii="Arial" w:hAnsi="Arial" w:cs="Arial"/>
          <w:color w:val="000000" w:themeColor="text1"/>
          <w:sz w:val="18"/>
          <w:szCs w:val="18"/>
          <w:lang w:val="es-ES"/>
        </w:rPr>
        <w:t xml:space="preserve">CONSEJO DE ESTADO. Sección Tercera. Subsección C. Sentencia de Unificación del 2 de diciembre de 2013. </w:t>
      </w:r>
      <w:proofErr w:type="spellStart"/>
      <w:r w:rsidRPr="005109B2">
        <w:rPr>
          <w:rFonts w:ascii="Arial" w:hAnsi="Arial" w:cs="Arial"/>
          <w:color w:val="000000" w:themeColor="text1"/>
          <w:sz w:val="18"/>
          <w:szCs w:val="18"/>
          <w:lang w:val="es-ES"/>
        </w:rPr>
        <w:t>Exp</w:t>
      </w:r>
      <w:proofErr w:type="spellEnd"/>
      <w:r w:rsidRPr="005109B2">
        <w:rPr>
          <w:rFonts w:ascii="Arial" w:hAnsi="Arial" w:cs="Arial"/>
          <w:color w:val="000000" w:themeColor="text1"/>
          <w:sz w:val="18"/>
          <w:szCs w:val="18"/>
          <w:lang w:val="es-ES"/>
        </w:rPr>
        <w:t>. 41.719. C.P. Jaime Orlando Santofimio Gamboa.</w:t>
      </w:r>
      <w:r w:rsidRPr="005109B2">
        <w:rPr>
          <w:rFonts w:ascii="Arial" w:hAnsi="Arial" w:cs="Arial"/>
          <w:sz w:val="18"/>
          <w:szCs w:val="18"/>
        </w:rPr>
        <w:t xml:space="preserve"> </w:t>
      </w:r>
    </w:p>
    <w:p w14:paraId="1085ABA6" w14:textId="77777777" w:rsidR="00FD0B22" w:rsidRPr="005109B2" w:rsidRDefault="00FD0B22" w:rsidP="00FD0B22">
      <w:pPr>
        <w:pStyle w:val="Textonotapie"/>
        <w:ind w:firstLine="709"/>
        <w:jc w:val="both"/>
        <w:rPr>
          <w:rFonts w:ascii="Arial" w:hAnsi="Arial" w:cs="Arial"/>
          <w:sz w:val="18"/>
          <w:szCs w:val="18"/>
          <w:lang w:val="es-ES"/>
        </w:rPr>
      </w:pPr>
      <w:r w:rsidRPr="005109B2">
        <w:rPr>
          <w:rFonts w:ascii="Arial" w:hAnsi="Arial" w:cs="Arial"/>
          <w:sz w:val="18"/>
          <w:szCs w:val="18"/>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7316AFC8" w14:textId="00AF98E9" w:rsidR="00FD0B22" w:rsidRPr="005109B2" w:rsidRDefault="00FD0B22" w:rsidP="00FD0B22">
      <w:pPr>
        <w:pStyle w:val="Textonotapie"/>
        <w:ind w:firstLine="709"/>
        <w:jc w:val="both"/>
        <w:rPr>
          <w:rFonts w:ascii="Arial" w:hAnsi="Arial" w:cs="Arial"/>
          <w:sz w:val="18"/>
          <w:szCs w:val="18"/>
          <w:lang w:val="es-ES"/>
        </w:rPr>
      </w:pPr>
      <w:r w:rsidRPr="005109B2">
        <w:rPr>
          <w:rFonts w:ascii="Arial" w:hAnsi="Arial" w:cs="Arial"/>
          <w:sz w:val="18"/>
          <w:szCs w:val="18"/>
          <w:lang w:val="es-ES"/>
        </w:rPr>
        <w:t>»</w:t>
      </w:r>
      <w:r w:rsidR="005109B2" w:rsidRPr="005109B2">
        <w:rPr>
          <w:rFonts w:ascii="Arial" w:hAnsi="Arial" w:cs="Arial"/>
          <w:sz w:val="18"/>
          <w:szCs w:val="18"/>
          <w:lang w:val="es-ES"/>
        </w:rPr>
        <w:t xml:space="preserve"> </w:t>
      </w:r>
      <w:r w:rsidRPr="005109B2">
        <w:rPr>
          <w:rFonts w:ascii="Arial" w:hAnsi="Arial" w:cs="Arial"/>
          <w:sz w:val="18"/>
          <w:szCs w:val="18"/>
          <w:lang w:val="es-ES"/>
        </w:rPr>
        <w:t>Son también contratos de consultoría los que tienen por objeto la interventoría, asesoría, gerencia de obra o de proyectos, dirección, programación y la ejecución de diseños, planos, anteproyectos y proyectos.</w:t>
      </w:r>
    </w:p>
    <w:p w14:paraId="48627980" w14:textId="6B89D19F" w:rsidR="00FD0B22" w:rsidRPr="005109B2" w:rsidRDefault="00FD0B22" w:rsidP="00FD0B22">
      <w:pPr>
        <w:pStyle w:val="Textonotapie"/>
        <w:ind w:firstLine="709"/>
        <w:jc w:val="both"/>
        <w:rPr>
          <w:rFonts w:ascii="Arial" w:hAnsi="Arial" w:cs="Arial"/>
          <w:sz w:val="18"/>
          <w:szCs w:val="18"/>
          <w:lang w:val="es-ES"/>
        </w:rPr>
      </w:pPr>
      <w:r w:rsidRPr="005109B2">
        <w:rPr>
          <w:rFonts w:ascii="Arial" w:hAnsi="Arial" w:cs="Arial"/>
          <w:sz w:val="18"/>
          <w:szCs w:val="18"/>
          <w:lang w:val="es-ES"/>
        </w:rPr>
        <w:t>»</w:t>
      </w:r>
      <w:r w:rsidR="005109B2" w:rsidRPr="005109B2">
        <w:rPr>
          <w:rFonts w:ascii="Arial" w:hAnsi="Arial" w:cs="Arial"/>
          <w:sz w:val="18"/>
          <w:szCs w:val="18"/>
          <w:lang w:val="es-ES"/>
        </w:rPr>
        <w:t xml:space="preserve"> </w:t>
      </w:r>
      <w:r w:rsidRPr="005109B2">
        <w:rPr>
          <w:rFonts w:ascii="Arial" w:hAnsi="Arial" w:cs="Arial"/>
          <w:sz w:val="18"/>
          <w:szCs w:val="18"/>
          <w:lang w:val="es-ES"/>
        </w:rPr>
        <w:t xml:space="preserve">Ninguna orden del interventor de una obra podrá darse verbalmente. Es obligatorio para el interventor entregar por escrito sus órdenes o sugerencias y ellas deben </w:t>
      </w:r>
      <w:proofErr w:type="gramStart"/>
      <w:r w:rsidRPr="005109B2">
        <w:rPr>
          <w:rFonts w:ascii="Arial" w:hAnsi="Arial" w:cs="Arial"/>
          <w:sz w:val="18"/>
          <w:szCs w:val="18"/>
          <w:lang w:val="es-ES"/>
        </w:rPr>
        <w:t>enmarcarse dentro de</w:t>
      </w:r>
      <w:proofErr w:type="gramEnd"/>
      <w:r w:rsidRPr="005109B2">
        <w:rPr>
          <w:rFonts w:ascii="Arial" w:hAnsi="Arial" w:cs="Arial"/>
          <w:sz w:val="18"/>
          <w:szCs w:val="18"/>
          <w:lang w:val="es-ES"/>
        </w:rPr>
        <w:t xml:space="preserve"> los términos del respectivo contrato».</w:t>
      </w:r>
    </w:p>
  </w:footnote>
  <w:footnote w:id="9">
    <w:p w14:paraId="04DC086F" w14:textId="77777777" w:rsidR="00FD0B22" w:rsidRPr="005109B2" w:rsidRDefault="00FD0B22" w:rsidP="00FD0B22">
      <w:pPr>
        <w:pStyle w:val="Textonotapie"/>
        <w:ind w:firstLine="709"/>
        <w:jc w:val="both"/>
        <w:rPr>
          <w:rFonts w:ascii="Arial" w:hAnsi="Arial" w:cs="Arial"/>
          <w:sz w:val="18"/>
          <w:szCs w:val="18"/>
          <w:lang w:val="es-ES"/>
        </w:rPr>
      </w:pPr>
      <w:r w:rsidRPr="005109B2">
        <w:rPr>
          <w:rStyle w:val="Refdenotaalpie"/>
          <w:rFonts w:ascii="Arial" w:hAnsi="Arial" w:cs="Arial"/>
          <w:sz w:val="18"/>
          <w:szCs w:val="18"/>
        </w:rPr>
        <w:footnoteRef/>
      </w:r>
      <w:r w:rsidRPr="005109B2">
        <w:rPr>
          <w:rFonts w:ascii="Arial" w:hAnsi="Arial" w:cs="Arial"/>
          <w:sz w:val="18"/>
          <w:szCs w:val="18"/>
        </w:rPr>
        <w:t xml:space="preserve"> </w:t>
      </w:r>
      <w:r w:rsidRPr="005109B2">
        <w:rPr>
          <w:rFonts w:ascii="Arial" w:hAnsi="Arial" w:cs="Arial"/>
          <w:sz w:val="18"/>
          <w:szCs w:val="18"/>
          <w:lang w:val="es-ES"/>
        </w:rPr>
        <w:t>Así lo dispone el artículo 2.2.1.2.1.4.1. del Decreto 1082 de 2015: «La Entidad Estatal debe señalar en un acto administrativo la justificación para contratar bajo la modalidad de contratación directa, el cual debe contener:</w:t>
      </w:r>
    </w:p>
    <w:p w14:paraId="083C3124" w14:textId="77777777" w:rsidR="00FD0B22" w:rsidRPr="005109B2" w:rsidRDefault="00FD0B22" w:rsidP="00FD0B22">
      <w:pPr>
        <w:pStyle w:val="Textonotapie"/>
        <w:ind w:firstLine="709"/>
        <w:jc w:val="both"/>
        <w:rPr>
          <w:rFonts w:ascii="Arial" w:hAnsi="Arial" w:cs="Arial"/>
          <w:sz w:val="18"/>
          <w:szCs w:val="18"/>
          <w:lang w:val="es-ES"/>
        </w:rPr>
      </w:pPr>
      <w:r w:rsidRPr="005109B2">
        <w:rPr>
          <w:rFonts w:ascii="Arial" w:hAnsi="Arial" w:cs="Arial"/>
          <w:sz w:val="18"/>
          <w:szCs w:val="18"/>
          <w:lang w:val="es-ES"/>
        </w:rPr>
        <w:t>»1. La causal que invoca para contratar directamente.</w:t>
      </w:r>
    </w:p>
    <w:p w14:paraId="0835E901" w14:textId="77777777" w:rsidR="00FD0B22" w:rsidRPr="005109B2" w:rsidRDefault="00FD0B22" w:rsidP="00FD0B22">
      <w:pPr>
        <w:pStyle w:val="Textonotapie"/>
        <w:ind w:firstLine="709"/>
        <w:jc w:val="both"/>
        <w:rPr>
          <w:rFonts w:ascii="Arial" w:hAnsi="Arial" w:cs="Arial"/>
          <w:sz w:val="18"/>
          <w:szCs w:val="18"/>
          <w:lang w:val="es-ES"/>
        </w:rPr>
      </w:pPr>
      <w:r w:rsidRPr="005109B2">
        <w:rPr>
          <w:rFonts w:ascii="Arial" w:hAnsi="Arial" w:cs="Arial"/>
          <w:sz w:val="18"/>
          <w:szCs w:val="18"/>
          <w:lang w:val="es-ES"/>
        </w:rPr>
        <w:t>»2. El objeto del contrato.</w:t>
      </w:r>
    </w:p>
    <w:p w14:paraId="17388450" w14:textId="77777777" w:rsidR="00FD0B22" w:rsidRPr="005109B2" w:rsidRDefault="00FD0B22" w:rsidP="00FD0B22">
      <w:pPr>
        <w:pStyle w:val="Textonotapie"/>
        <w:ind w:firstLine="709"/>
        <w:jc w:val="both"/>
        <w:rPr>
          <w:rFonts w:ascii="Arial" w:hAnsi="Arial" w:cs="Arial"/>
          <w:sz w:val="18"/>
          <w:szCs w:val="18"/>
          <w:lang w:val="es-ES"/>
        </w:rPr>
      </w:pPr>
      <w:r w:rsidRPr="005109B2">
        <w:rPr>
          <w:rFonts w:ascii="Arial" w:hAnsi="Arial" w:cs="Arial"/>
          <w:sz w:val="18"/>
          <w:szCs w:val="18"/>
          <w:lang w:val="es-ES"/>
        </w:rPr>
        <w:t>»3. El presupuesto para la contratación y las condiciones que exigirá al contratista.</w:t>
      </w:r>
    </w:p>
    <w:p w14:paraId="6E38A656" w14:textId="77777777" w:rsidR="00FD0B22" w:rsidRPr="005109B2" w:rsidRDefault="00FD0B22" w:rsidP="00FD0B22">
      <w:pPr>
        <w:pStyle w:val="Textonotapie"/>
        <w:ind w:firstLine="709"/>
        <w:jc w:val="both"/>
        <w:rPr>
          <w:rFonts w:ascii="Arial" w:hAnsi="Arial" w:cs="Arial"/>
          <w:sz w:val="18"/>
          <w:szCs w:val="18"/>
          <w:lang w:val="es-ES"/>
        </w:rPr>
      </w:pPr>
      <w:r w:rsidRPr="005109B2">
        <w:rPr>
          <w:rFonts w:ascii="Arial" w:hAnsi="Arial" w:cs="Arial"/>
          <w:sz w:val="18"/>
          <w:szCs w:val="18"/>
          <w:lang w:val="es-ES"/>
        </w:rPr>
        <w:t>»4. El lugar en el cual los interesados pueden consultar los estudios y documentos previos.</w:t>
      </w:r>
    </w:p>
    <w:p w14:paraId="0E5210B4" w14:textId="213BBCB2" w:rsidR="00FD0B22" w:rsidRPr="005109B2" w:rsidRDefault="00FD0B22" w:rsidP="00FD0B22">
      <w:pPr>
        <w:pStyle w:val="Textonotapie"/>
        <w:ind w:firstLine="709"/>
        <w:jc w:val="both"/>
        <w:rPr>
          <w:rFonts w:ascii="Arial" w:hAnsi="Arial" w:cs="Arial"/>
          <w:sz w:val="18"/>
          <w:szCs w:val="18"/>
          <w:lang w:val="es-ES"/>
        </w:rPr>
      </w:pPr>
      <w:r w:rsidRPr="005109B2">
        <w:rPr>
          <w:rFonts w:ascii="Arial" w:hAnsi="Arial" w:cs="Arial"/>
          <w:sz w:val="18"/>
          <w:szCs w:val="18"/>
          <w:lang w:val="es-ES"/>
        </w:rPr>
        <w:t>»</w:t>
      </w:r>
      <w:r w:rsidR="005109B2" w:rsidRPr="005109B2">
        <w:rPr>
          <w:rFonts w:ascii="Arial" w:hAnsi="Arial" w:cs="Arial"/>
          <w:sz w:val="18"/>
          <w:szCs w:val="18"/>
          <w:lang w:val="es-ES"/>
        </w:rPr>
        <w:t xml:space="preserve"> </w:t>
      </w:r>
      <w:r w:rsidRPr="005109B2">
        <w:rPr>
          <w:rFonts w:ascii="Arial" w:hAnsi="Arial" w:cs="Arial"/>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0">
    <w:p w14:paraId="7D578CBF" w14:textId="77777777" w:rsidR="00FD0B22" w:rsidRPr="005109B2" w:rsidRDefault="00FD0B22" w:rsidP="00FD0B22">
      <w:pPr>
        <w:pStyle w:val="Textonotapie"/>
        <w:jc w:val="both"/>
        <w:rPr>
          <w:rFonts w:ascii="Arial" w:hAnsi="Arial" w:cs="Arial"/>
          <w:sz w:val="18"/>
          <w:szCs w:val="18"/>
        </w:rPr>
      </w:pPr>
    </w:p>
    <w:p w14:paraId="22BF86E8" w14:textId="77777777" w:rsidR="00FD0B22" w:rsidRPr="005109B2" w:rsidRDefault="00FD0B22" w:rsidP="00FD0B22">
      <w:pPr>
        <w:pStyle w:val="Textonotapie"/>
        <w:ind w:firstLine="709"/>
        <w:jc w:val="both"/>
        <w:rPr>
          <w:rFonts w:ascii="Arial" w:hAnsi="Arial" w:cs="Arial"/>
          <w:sz w:val="18"/>
          <w:szCs w:val="18"/>
          <w:lang w:val="es-ES"/>
        </w:rPr>
      </w:pPr>
      <w:r w:rsidRPr="005109B2">
        <w:rPr>
          <w:rStyle w:val="Refdenotaalpie"/>
          <w:rFonts w:ascii="Arial" w:hAnsi="Arial" w:cs="Arial"/>
          <w:sz w:val="18"/>
          <w:szCs w:val="18"/>
        </w:rPr>
        <w:footnoteRef/>
      </w:r>
      <w:r w:rsidRPr="005109B2">
        <w:rPr>
          <w:rFonts w:ascii="Arial" w:hAnsi="Arial" w:cs="Arial"/>
          <w:sz w:val="18"/>
          <w:szCs w:val="18"/>
        </w:rPr>
        <w:t xml:space="preserve"> </w:t>
      </w:r>
      <w:r w:rsidRPr="005109B2">
        <w:rPr>
          <w:rFonts w:ascii="Arial" w:hAnsi="Arial" w:cs="Arial"/>
          <w:sz w:val="18"/>
          <w:szCs w:val="18"/>
          <w:lang w:val="es-ES"/>
        </w:rPr>
        <w:t xml:space="preserve">La norma expresa: «Art. 14. </w:t>
      </w:r>
      <w:r w:rsidRPr="005109B2">
        <w:rPr>
          <w:rFonts w:ascii="Arial" w:hAnsi="Arial" w:cs="Arial"/>
          <w:sz w:val="18"/>
          <w:szCs w:val="18"/>
        </w:rPr>
        <w:t>P</w:t>
      </w:r>
      <w:r w:rsidRPr="005109B2">
        <w:rPr>
          <w:rFonts w:ascii="Arial" w:hAnsi="Arial" w:cs="Arial"/>
          <w:sz w:val="18"/>
          <w:szCs w:val="18"/>
          <w:lang w:val="es-ES"/>
        </w:rPr>
        <w:t>ara el cumplimiento de los fines de la contratación, las entidades estatales al celebrar un contrato:</w:t>
      </w:r>
    </w:p>
    <w:p w14:paraId="28A72E27" w14:textId="77777777" w:rsidR="00FD0B22" w:rsidRPr="005109B2" w:rsidRDefault="00FD0B22" w:rsidP="00FD0B22">
      <w:pPr>
        <w:pStyle w:val="Textonotapie"/>
        <w:ind w:firstLine="709"/>
        <w:jc w:val="both"/>
        <w:rPr>
          <w:rFonts w:ascii="Arial" w:hAnsi="Arial" w:cs="Arial"/>
          <w:sz w:val="18"/>
          <w:szCs w:val="18"/>
          <w:lang w:val="es-ES"/>
        </w:rPr>
      </w:pPr>
      <w:r w:rsidRPr="005109B2">
        <w:rPr>
          <w:rFonts w:ascii="Arial" w:hAnsi="Arial" w:cs="Arial"/>
          <w:sz w:val="18"/>
          <w:szCs w:val="18"/>
          <w:lang w:val="es-ES"/>
        </w:rPr>
        <w:t>[…]</w:t>
      </w:r>
    </w:p>
    <w:p w14:paraId="30A246AA" w14:textId="77777777" w:rsidR="00FD0B22" w:rsidRPr="005109B2" w:rsidRDefault="00FD0B22" w:rsidP="00FD0B22">
      <w:pPr>
        <w:pStyle w:val="Textonotapie"/>
        <w:ind w:firstLine="709"/>
        <w:jc w:val="both"/>
        <w:rPr>
          <w:rFonts w:ascii="Arial" w:hAnsi="Arial" w:cs="Arial"/>
          <w:sz w:val="18"/>
          <w:szCs w:val="18"/>
          <w:lang w:val="es-ES"/>
        </w:rPr>
      </w:pPr>
      <w:r w:rsidRPr="005109B2">
        <w:rPr>
          <w:rFonts w:ascii="Arial" w:hAnsi="Arial" w:cs="Arial"/>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5C7DBFF2" w14:textId="77777777" w:rsidR="00FD0B22" w:rsidRPr="005109B2" w:rsidRDefault="00FD0B22" w:rsidP="00FD0B22">
      <w:pPr>
        <w:pStyle w:val="Textonotapie"/>
        <w:ind w:firstLine="709"/>
        <w:jc w:val="both"/>
        <w:rPr>
          <w:rFonts w:ascii="Arial" w:hAnsi="Arial" w:cs="Arial"/>
          <w:sz w:val="18"/>
          <w:szCs w:val="18"/>
          <w:lang w:val="es-ES"/>
        </w:rPr>
      </w:pPr>
      <w:r w:rsidRPr="005109B2">
        <w:rPr>
          <w:rFonts w:ascii="Arial" w:hAnsi="Arial" w:cs="Arial"/>
          <w:sz w:val="18"/>
          <w:szCs w:val="18"/>
          <w:lang w:val="es-ES"/>
        </w:rPr>
        <w:t>Las entidades estatales podrán pactar estas cláusulas en los contratos de suministro y de prestación de servicios.</w:t>
      </w:r>
    </w:p>
    <w:p w14:paraId="5F399F19" w14:textId="77777777" w:rsidR="00FD0B22" w:rsidRPr="005109B2" w:rsidRDefault="00FD0B22" w:rsidP="00FD0B22">
      <w:pPr>
        <w:pStyle w:val="Textonotapie"/>
        <w:ind w:firstLine="709"/>
        <w:jc w:val="both"/>
        <w:rPr>
          <w:rFonts w:ascii="Arial" w:hAnsi="Arial" w:cs="Arial"/>
          <w:sz w:val="18"/>
          <w:szCs w:val="18"/>
          <w:lang w:val="es-ES"/>
        </w:rPr>
      </w:pPr>
      <w:r w:rsidRPr="005109B2">
        <w:rPr>
          <w:rFonts w:ascii="Arial" w:hAnsi="Arial" w:cs="Arial"/>
          <w:sz w:val="18"/>
          <w:szCs w:val="18"/>
          <w:lang w:val="es-ES"/>
        </w:rPr>
        <w:t>[…]».</w:t>
      </w:r>
    </w:p>
  </w:footnote>
  <w:footnote w:id="11">
    <w:p w14:paraId="40996969" w14:textId="77777777" w:rsidR="00FD0B22" w:rsidRPr="005109B2" w:rsidRDefault="00FD0B22" w:rsidP="00FD0B22">
      <w:pPr>
        <w:pStyle w:val="Textonotapie"/>
        <w:ind w:firstLine="709"/>
        <w:jc w:val="both"/>
        <w:rPr>
          <w:rFonts w:ascii="Arial" w:hAnsi="Arial" w:cs="Arial"/>
          <w:sz w:val="18"/>
          <w:szCs w:val="18"/>
          <w:lang w:val="es-ES"/>
        </w:rPr>
      </w:pPr>
      <w:r w:rsidRPr="005109B2">
        <w:rPr>
          <w:rStyle w:val="Refdenotaalpie"/>
          <w:rFonts w:ascii="Arial" w:hAnsi="Arial" w:cs="Arial"/>
          <w:sz w:val="18"/>
          <w:szCs w:val="18"/>
        </w:rPr>
        <w:footnoteRef/>
      </w:r>
      <w:r w:rsidRPr="005109B2">
        <w:rPr>
          <w:rFonts w:ascii="Arial" w:hAnsi="Arial" w:cs="Arial"/>
          <w:sz w:val="18"/>
          <w:szCs w:val="18"/>
        </w:rPr>
        <w:t xml:space="preserve"> </w:t>
      </w:r>
      <w:r w:rsidRPr="005109B2">
        <w:rPr>
          <w:rFonts w:ascii="Arial" w:hAnsi="Arial" w:cs="Arial"/>
          <w:sz w:val="18"/>
          <w:szCs w:val="18"/>
          <w:lang w:val="es-ES"/>
        </w:rPr>
        <w:t>La norma dispone: «La liquidación a que se refiere el presente artículo no será obligatoria en los contratos de prestación de servicios profesionales y de apoyo a la gestión».</w:t>
      </w:r>
    </w:p>
  </w:footnote>
  <w:footnote w:id="12">
    <w:p w14:paraId="586DA720" w14:textId="77777777" w:rsidR="00FD0B22" w:rsidRPr="005109B2" w:rsidRDefault="00FD0B22" w:rsidP="00FD0B22">
      <w:pPr>
        <w:pStyle w:val="Textonotapie"/>
        <w:ind w:firstLine="709"/>
        <w:jc w:val="both"/>
        <w:rPr>
          <w:rFonts w:ascii="Arial" w:hAnsi="Arial" w:cs="Arial"/>
          <w:sz w:val="18"/>
          <w:szCs w:val="18"/>
        </w:rPr>
      </w:pPr>
      <w:r w:rsidRPr="005109B2">
        <w:rPr>
          <w:rStyle w:val="Refdenotaalpie"/>
          <w:rFonts w:ascii="Arial" w:hAnsi="Arial" w:cs="Arial"/>
          <w:sz w:val="18"/>
          <w:szCs w:val="18"/>
        </w:rPr>
        <w:footnoteRef/>
      </w:r>
      <w:r w:rsidRPr="005109B2">
        <w:rPr>
          <w:rFonts w:ascii="Arial" w:hAnsi="Arial" w:cs="Arial"/>
          <w:sz w:val="18"/>
          <w:szCs w:val="18"/>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1B1697F" w14:textId="77777777" w:rsidR="00FD0B22" w:rsidRPr="005109B2" w:rsidRDefault="00FD0B22" w:rsidP="00FD0B22">
      <w:pPr>
        <w:pStyle w:val="Textonotapie"/>
        <w:ind w:firstLine="709"/>
        <w:jc w:val="both"/>
        <w:rPr>
          <w:rFonts w:ascii="Arial" w:hAnsi="Arial" w:cs="Arial"/>
          <w:sz w:val="18"/>
          <w:szCs w:val="18"/>
        </w:rPr>
      </w:pPr>
      <w:r w:rsidRPr="005109B2">
        <w:rPr>
          <w:rFonts w:ascii="Arial" w:hAnsi="Arial" w:cs="Arial"/>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0E28CBB6" w14:textId="77777777" w:rsidR="00FD0B22" w:rsidRPr="005109B2" w:rsidRDefault="00FD0B22" w:rsidP="00FD0B22">
      <w:pPr>
        <w:pStyle w:val="Textonotapie"/>
        <w:ind w:firstLine="709"/>
        <w:jc w:val="both"/>
        <w:rPr>
          <w:rFonts w:ascii="Arial" w:hAnsi="Arial" w:cs="Arial"/>
          <w:sz w:val="18"/>
          <w:szCs w:val="18"/>
          <w:lang w:val="es-ES"/>
        </w:rPr>
      </w:pPr>
      <w:r w:rsidRPr="005109B2">
        <w:rPr>
          <w:rFonts w:ascii="Arial" w:hAnsi="Arial" w:cs="Arial"/>
          <w:sz w:val="18"/>
          <w:szCs w:val="18"/>
        </w:rPr>
        <w:t>[…]».</w:t>
      </w:r>
    </w:p>
  </w:footnote>
  <w:footnote w:id="13">
    <w:p w14:paraId="4E1BBCCA" w14:textId="77777777" w:rsidR="00FD0B22" w:rsidRPr="005109B2" w:rsidRDefault="00FD0B22" w:rsidP="00FD0B22">
      <w:pPr>
        <w:pStyle w:val="Textonotapie"/>
        <w:ind w:firstLine="709"/>
        <w:jc w:val="both"/>
        <w:rPr>
          <w:rFonts w:ascii="Arial" w:hAnsi="Arial" w:cs="Arial"/>
          <w:sz w:val="18"/>
          <w:szCs w:val="18"/>
          <w:lang w:val="es-ES"/>
        </w:rPr>
      </w:pPr>
      <w:r w:rsidRPr="005109B2">
        <w:rPr>
          <w:rStyle w:val="Refdenotaalpie"/>
          <w:rFonts w:ascii="Arial" w:hAnsi="Arial" w:cs="Arial"/>
          <w:sz w:val="18"/>
          <w:szCs w:val="18"/>
        </w:rPr>
        <w:footnoteRef/>
      </w:r>
      <w:r w:rsidRPr="005109B2">
        <w:rPr>
          <w:rFonts w:ascii="Arial" w:hAnsi="Arial" w:cs="Arial"/>
          <w:sz w:val="18"/>
          <w:szCs w:val="18"/>
        </w:rPr>
        <w:t xml:space="preserve"> </w:t>
      </w:r>
      <w:r w:rsidRPr="005109B2">
        <w:rPr>
          <w:rFonts w:ascii="Arial" w:hAnsi="Arial" w:cs="Arial"/>
          <w:sz w:val="18"/>
          <w:szCs w:val="18"/>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192680A7" w14:textId="77777777" w:rsidR="00FD0B22" w:rsidRPr="005109B2" w:rsidRDefault="00FD0B22" w:rsidP="00FD0B22">
      <w:pPr>
        <w:pStyle w:val="Textonotapie"/>
        <w:ind w:firstLine="709"/>
        <w:jc w:val="both"/>
        <w:rPr>
          <w:rFonts w:ascii="Arial" w:hAnsi="Arial" w:cs="Arial"/>
          <w:sz w:val="18"/>
          <w:szCs w:val="18"/>
          <w:lang w:val="es-ES"/>
        </w:rPr>
      </w:pPr>
    </w:p>
  </w:footnote>
  <w:footnote w:id="14">
    <w:p w14:paraId="75225664" w14:textId="77777777" w:rsidR="00FD0B22" w:rsidRPr="005109B2" w:rsidRDefault="00FD0B22" w:rsidP="00FD0B22">
      <w:pPr>
        <w:pStyle w:val="Textonotapie"/>
        <w:ind w:firstLine="709"/>
        <w:jc w:val="both"/>
        <w:rPr>
          <w:rFonts w:ascii="Arial" w:hAnsi="Arial" w:cs="Arial"/>
          <w:color w:val="000000" w:themeColor="text1"/>
          <w:sz w:val="18"/>
          <w:szCs w:val="18"/>
          <w:lang w:val="es-ES"/>
        </w:rPr>
      </w:pPr>
      <w:r w:rsidRPr="005109B2">
        <w:rPr>
          <w:rStyle w:val="Refdenotaalpie"/>
          <w:rFonts w:ascii="Arial" w:hAnsi="Arial" w:cs="Arial"/>
          <w:color w:val="000000" w:themeColor="text1"/>
          <w:sz w:val="18"/>
          <w:szCs w:val="18"/>
        </w:rPr>
        <w:footnoteRef/>
      </w:r>
      <w:r w:rsidRPr="005109B2">
        <w:rPr>
          <w:rFonts w:ascii="Arial" w:hAnsi="Arial" w:cs="Arial"/>
          <w:color w:val="000000" w:themeColor="text1"/>
          <w:sz w:val="18"/>
          <w:szCs w:val="18"/>
        </w:rPr>
        <w:t xml:space="preserve"> </w:t>
      </w:r>
      <w:r w:rsidRPr="005109B2">
        <w:rPr>
          <w:rFonts w:ascii="Arial" w:hAnsi="Arial" w:cs="Arial"/>
          <w:color w:val="000000" w:themeColor="text1"/>
          <w:sz w:val="18"/>
          <w:szCs w:val="18"/>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41591E5C" w14:textId="0BC2C851" w:rsidR="00FD0B22" w:rsidRPr="005109B2" w:rsidRDefault="00FD0B22" w:rsidP="00FD0B22">
      <w:pPr>
        <w:pStyle w:val="Textonotapie"/>
        <w:ind w:firstLine="709"/>
        <w:jc w:val="both"/>
        <w:rPr>
          <w:rFonts w:ascii="Arial" w:hAnsi="Arial" w:cs="Arial"/>
          <w:color w:val="000000" w:themeColor="text1"/>
          <w:sz w:val="18"/>
          <w:szCs w:val="18"/>
          <w:lang w:val="es-ES"/>
        </w:rPr>
      </w:pPr>
      <w:r w:rsidRPr="005109B2">
        <w:rPr>
          <w:rFonts w:ascii="Arial" w:hAnsi="Arial" w:cs="Arial"/>
          <w:color w:val="000000" w:themeColor="text1"/>
          <w:sz w:val="18"/>
          <w:szCs w:val="18"/>
          <w:lang w:val="es-ES"/>
        </w:rPr>
        <w:t>»</w:t>
      </w:r>
      <w:r w:rsidR="005109B2" w:rsidRPr="005109B2">
        <w:rPr>
          <w:rFonts w:ascii="Arial" w:hAnsi="Arial" w:cs="Arial"/>
          <w:color w:val="000000" w:themeColor="text1"/>
          <w:sz w:val="18"/>
          <w:szCs w:val="18"/>
          <w:lang w:val="es-ES"/>
        </w:rPr>
        <w:t xml:space="preserve"> </w:t>
      </w:r>
      <w:r w:rsidRPr="005109B2">
        <w:rPr>
          <w:rFonts w:ascii="Arial" w:hAnsi="Arial" w:cs="Arial"/>
          <w:color w:val="000000" w:themeColor="text1"/>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12EE75C8" w14:textId="4A8B8220" w:rsidR="00FD0B22" w:rsidRPr="005109B2" w:rsidRDefault="00FD0B22" w:rsidP="00FD0B22">
      <w:pPr>
        <w:pStyle w:val="Textonotapie"/>
        <w:ind w:firstLine="709"/>
        <w:jc w:val="both"/>
        <w:rPr>
          <w:rFonts w:ascii="Arial" w:hAnsi="Arial" w:cs="Arial"/>
          <w:color w:val="000000" w:themeColor="text1"/>
          <w:sz w:val="18"/>
          <w:szCs w:val="18"/>
          <w:lang w:val="es-ES"/>
        </w:rPr>
      </w:pPr>
      <w:r w:rsidRPr="005109B2">
        <w:rPr>
          <w:rFonts w:ascii="Arial" w:hAnsi="Arial" w:cs="Arial"/>
          <w:color w:val="000000" w:themeColor="text1"/>
          <w:sz w:val="18"/>
          <w:szCs w:val="18"/>
          <w:lang w:val="es-ES"/>
        </w:rPr>
        <w:t>»</w:t>
      </w:r>
      <w:r w:rsidR="005109B2" w:rsidRPr="005109B2">
        <w:rPr>
          <w:rFonts w:ascii="Arial" w:hAnsi="Arial" w:cs="Arial"/>
          <w:color w:val="000000" w:themeColor="text1"/>
          <w:sz w:val="18"/>
          <w:szCs w:val="18"/>
          <w:lang w:val="es-ES"/>
        </w:rPr>
        <w:t xml:space="preserve"> </w:t>
      </w:r>
      <w:r w:rsidRPr="005109B2">
        <w:rPr>
          <w:rFonts w:ascii="Arial" w:hAnsi="Arial" w:cs="Arial"/>
          <w:color w:val="000000" w:themeColor="text1"/>
          <w:sz w:val="18"/>
          <w:szCs w:val="18"/>
          <w:lang w:val="es-ES"/>
        </w:rPr>
        <w:t>La Entidad Estatal, para la contratación de trabajos artísticos que solamente puedan en</w:t>
      </w:r>
      <w:r w:rsidRPr="005109B2">
        <w:rPr>
          <w:rFonts w:ascii="Arial" w:hAnsi="Arial" w:cs="Arial"/>
          <w:color w:val="000000" w:themeColor="text1"/>
          <w:sz w:val="18"/>
          <w:szCs w:val="18"/>
          <w:lang w:val="es-ES"/>
        </w:rPr>
        <w:softHyphen/>
        <w:t>comendarse a determinadas personas naturales, debe justificar esta situación en los estudios y documentos previos».</w:t>
      </w:r>
    </w:p>
    <w:p w14:paraId="612942A2" w14:textId="77777777" w:rsidR="00FD0B22" w:rsidRPr="005109B2" w:rsidRDefault="00FD0B22" w:rsidP="00FD0B22">
      <w:pPr>
        <w:pStyle w:val="Textonotapie"/>
        <w:ind w:firstLine="709"/>
        <w:jc w:val="both"/>
        <w:rPr>
          <w:rFonts w:ascii="Arial" w:hAnsi="Arial" w:cs="Arial"/>
          <w:color w:val="000000" w:themeColor="text1"/>
          <w:sz w:val="18"/>
          <w:szCs w:val="18"/>
          <w:lang w:val="es-ES"/>
        </w:rPr>
      </w:pPr>
    </w:p>
  </w:footnote>
  <w:footnote w:id="15">
    <w:p w14:paraId="06EE3DE9" w14:textId="77777777" w:rsidR="00FD0B22" w:rsidRPr="005109B2" w:rsidRDefault="00FD0B22" w:rsidP="00FD0B22">
      <w:pPr>
        <w:pStyle w:val="Textonotapie"/>
        <w:ind w:firstLine="709"/>
        <w:jc w:val="both"/>
        <w:rPr>
          <w:rFonts w:ascii="Arial" w:hAnsi="Arial" w:cs="Arial"/>
          <w:color w:val="000000" w:themeColor="text1"/>
          <w:sz w:val="18"/>
          <w:szCs w:val="18"/>
          <w:lang w:val="es-ES"/>
        </w:rPr>
      </w:pPr>
      <w:r w:rsidRPr="005109B2">
        <w:rPr>
          <w:rStyle w:val="Refdenotaalpie"/>
          <w:rFonts w:ascii="Arial" w:hAnsi="Arial" w:cs="Arial"/>
          <w:color w:val="000000" w:themeColor="text1"/>
          <w:sz w:val="18"/>
          <w:szCs w:val="18"/>
        </w:rPr>
        <w:footnoteRef/>
      </w:r>
      <w:r w:rsidRPr="005109B2">
        <w:rPr>
          <w:rFonts w:ascii="Arial" w:hAnsi="Arial" w:cs="Arial"/>
          <w:color w:val="000000" w:themeColor="text1"/>
          <w:sz w:val="18"/>
          <w:szCs w:val="18"/>
        </w:rPr>
        <w:t xml:space="preserve"> </w:t>
      </w:r>
      <w:r w:rsidRPr="005109B2">
        <w:rPr>
          <w:rFonts w:ascii="Arial" w:hAnsi="Arial" w:cs="Arial"/>
          <w:color w:val="000000" w:themeColor="text1"/>
          <w:sz w:val="18"/>
          <w:szCs w:val="18"/>
          <w:lang w:val="es-ES"/>
        </w:rPr>
        <w:t xml:space="preserve">CONSEJO DE ESTADO. Sección Tercera. Subsección C. Sentencia de Unificación del 2 de diciembre de 2013. </w:t>
      </w:r>
      <w:proofErr w:type="spellStart"/>
      <w:r w:rsidRPr="005109B2">
        <w:rPr>
          <w:rFonts w:ascii="Arial" w:hAnsi="Arial" w:cs="Arial"/>
          <w:color w:val="000000" w:themeColor="text1"/>
          <w:sz w:val="18"/>
          <w:szCs w:val="18"/>
          <w:lang w:val="es-ES"/>
        </w:rPr>
        <w:t>Exp</w:t>
      </w:r>
      <w:proofErr w:type="spellEnd"/>
      <w:r w:rsidRPr="005109B2">
        <w:rPr>
          <w:rFonts w:ascii="Arial" w:hAnsi="Arial" w:cs="Arial"/>
          <w:color w:val="000000" w:themeColor="text1"/>
          <w:sz w:val="18"/>
          <w:szCs w:val="18"/>
          <w:lang w:val="es-ES"/>
        </w:rPr>
        <w:t>. 41.719. C.P. Jaime Orlando Santofimio Gamboa.</w:t>
      </w:r>
    </w:p>
    <w:p w14:paraId="7CC9CD30" w14:textId="77777777" w:rsidR="00FD0B22" w:rsidRPr="005109B2" w:rsidRDefault="00FD0B22" w:rsidP="00FD0B22">
      <w:pPr>
        <w:pStyle w:val="Textonotapie"/>
        <w:ind w:firstLine="709"/>
        <w:jc w:val="both"/>
        <w:rPr>
          <w:rFonts w:ascii="Arial" w:hAnsi="Arial" w:cs="Arial"/>
          <w:color w:val="000000" w:themeColor="text1"/>
          <w:sz w:val="18"/>
          <w:szCs w:val="18"/>
          <w:lang w:val="es-ES"/>
        </w:rPr>
      </w:pPr>
    </w:p>
  </w:footnote>
  <w:footnote w:id="16">
    <w:p w14:paraId="64D19775" w14:textId="77777777" w:rsidR="00FD0B22" w:rsidRPr="005109B2" w:rsidRDefault="00FD0B22" w:rsidP="00FD0B22">
      <w:pPr>
        <w:pStyle w:val="Textonotapie"/>
        <w:ind w:firstLine="709"/>
        <w:jc w:val="both"/>
        <w:rPr>
          <w:rFonts w:ascii="Arial" w:hAnsi="Arial" w:cs="Arial"/>
          <w:color w:val="000000" w:themeColor="text1"/>
          <w:sz w:val="18"/>
          <w:szCs w:val="18"/>
          <w:lang w:val="es-ES"/>
        </w:rPr>
      </w:pPr>
      <w:r w:rsidRPr="005109B2">
        <w:rPr>
          <w:rStyle w:val="Refdenotaalpie"/>
          <w:rFonts w:ascii="Arial" w:hAnsi="Arial" w:cs="Arial"/>
          <w:color w:val="000000" w:themeColor="text1"/>
          <w:sz w:val="18"/>
          <w:szCs w:val="18"/>
        </w:rPr>
        <w:footnoteRef/>
      </w:r>
      <w:r w:rsidRPr="005109B2">
        <w:rPr>
          <w:rFonts w:ascii="Arial" w:hAnsi="Arial" w:cs="Arial"/>
          <w:color w:val="000000" w:themeColor="text1"/>
          <w:sz w:val="18"/>
          <w:szCs w:val="18"/>
        </w:rPr>
        <w:t xml:space="preserve"> </w:t>
      </w:r>
      <w:proofErr w:type="spellStart"/>
      <w:r w:rsidRPr="005109B2">
        <w:rPr>
          <w:rFonts w:ascii="Arial" w:hAnsi="Arial" w:cs="Arial"/>
          <w:i/>
          <w:iCs/>
          <w:color w:val="000000" w:themeColor="text1"/>
          <w:sz w:val="18"/>
          <w:szCs w:val="18"/>
          <w:lang w:val="es-ES"/>
        </w:rPr>
        <w:t>Ibíd</w:t>
      </w:r>
      <w:proofErr w:type="spellEnd"/>
      <w:r w:rsidRPr="005109B2">
        <w:rPr>
          <w:rFonts w:ascii="Arial" w:hAnsi="Arial" w:cs="Arial"/>
          <w:color w:val="000000" w:themeColor="text1"/>
          <w:sz w:val="18"/>
          <w:szCs w:val="18"/>
          <w:lang w:val="es-ES"/>
        </w:rPr>
        <w:t>.</w:t>
      </w:r>
    </w:p>
    <w:p w14:paraId="57AC486E" w14:textId="77777777" w:rsidR="00FD0B22" w:rsidRPr="005109B2" w:rsidRDefault="00FD0B22" w:rsidP="00FD0B22">
      <w:pPr>
        <w:pStyle w:val="Textonotapie"/>
        <w:ind w:firstLine="709"/>
        <w:jc w:val="both"/>
        <w:rPr>
          <w:rFonts w:ascii="Arial" w:hAnsi="Arial" w:cs="Arial"/>
          <w:color w:val="000000" w:themeColor="text1"/>
          <w:sz w:val="18"/>
          <w:szCs w:val="18"/>
          <w:lang w:val="es-ES"/>
        </w:rPr>
      </w:pPr>
    </w:p>
  </w:footnote>
  <w:footnote w:id="17">
    <w:p w14:paraId="6D41A6EA" w14:textId="77777777" w:rsidR="00322C28" w:rsidRPr="005109B2" w:rsidRDefault="00322C28" w:rsidP="00322C28">
      <w:pPr>
        <w:pStyle w:val="Textonotapie"/>
        <w:rPr>
          <w:rFonts w:ascii="Arial" w:hAnsi="Arial" w:cs="Arial"/>
          <w:sz w:val="18"/>
          <w:szCs w:val="18"/>
          <w:lang w:val="es-CO"/>
        </w:rPr>
      </w:pPr>
      <w:r w:rsidRPr="005109B2">
        <w:rPr>
          <w:rStyle w:val="Refdenotaalpie"/>
          <w:rFonts w:ascii="Arial" w:hAnsi="Arial" w:cs="Arial"/>
          <w:sz w:val="18"/>
          <w:szCs w:val="18"/>
        </w:rPr>
        <w:footnoteRef/>
      </w:r>
      <w:r w:rsidRPr="005109B2">
        <w:rPr>
          <w:rFonts w:ascii="Arial" w:hAnsi="Arial" w:cs="Arial"/>
          <w:sz w:val="18"/>
          <w:szCs w:val="18"/>
        </w:rPr>
        <w:t xml:space="preserve"> </w:t>
      </w:r>
      <w:r w:rsidRPr="005109B2">
        <w:rPr>
          <w:rFonts w:ascii="Arial" w:hAnsi="Arial" w:cs="Arial"/>
          <w:sz w:val="18"/>
          <w:szCs w:val="18"/>
          <w:lang w:val="es-CO"/>
        </w:rPr>
        <w:t>Corte Constitucional. M.P. Fabio Morón Díaz, en sentencia del 10 de julio de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6200" w14:textId="77777777" w:rsidR="00E33268" w:rsidRDefault="005B08D6">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14:anchorId="33EC68DF" wp14:editId="0F8000DE">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37EC3E6A" w14:textId="77777777" w:rsidR="00E33268" w:rsidRDefault="00EB4E43">
    <w:pPr>
      <w:pBdr>
        <w:top w:val="nil"/>
        <w:left w:val="nil"/>
        <w:bottom w:val="nil"/>
        <w:right w:val="nil"/>
        <w:between w:val="nil"/>
      </w:pBdr>
      <w:tabs>
        <w:tab w:val="center" w:pos="4252"/>
        <w:tab w:val="right" w:pos="8504"/>
      </w:tabs>
      <w:spacing w:after="0"/>
      <w:rPr>
        <w:color w:val="000000"/>
      </w:rPr>
    </w:pPr>
  </w:p>
  <w:p w14:paraId="7D234CFC" w14:textId="77777777" w:rsidR="00E33268" w:rsidRDefault="00EB4E4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151279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2A"/>
    <w:rsid w:val="00014237"/>
    <w:rsid w:val="00015129"/>
    <w:rsid w:val="00020098"/>
    <w:rsid w:val="0002311C"/>
    <w:rsid w:val="0002385F"/>
    <w:rsid w:val="000355D5"/>
    <w:rsid w:val="00042F60"/>
    <w:rsid w:val="00044E2D"/>
    <w:rsid w:val="000456DB"/>
    <w:rsid w:val="00052BA5"/>
    <w:rsid w:val="00062D6B"/>
    <w:rsid w:val="000659CB"/>
    <w:rsid w:val="00070008"/>
    <w:rsid w:val="000724E5"/>
    <w:rsid w:val="0008211F"/>
    <w:rsid w:val="00082F21"/>
    <w:rsid w:val="000844D1"/>
    <w:rsid w:val="00086616"/>
    <w:rsid w:val="00087555"/>
    <w:rsid w:val="00091367"/>
    <w:rsid w:val="00095B61"/>
    <w:rsid w:val="00097ED7"/>
    <w:rsid w:val="000A0FBE"/>
    <w:rsid w:val="000A450B"/>
    <w:rsid w:val="000B082B"/>
    <w:rsid w:val="000B0C64"/>
    <w:rsid w:val="000D51B3"/>
    <w:rsid w:val="000E0A16"/>
    <w:rsid w:val="000E3260"/>
    <w:rsid w:val="000E3B39"/>
    <w:rsid w:val="000E7A4B"/>
    <w:rsid w:val="00102A2C"/>
    <w:rsid w:val="00117C5A"/>
    <w:rsid w:val="00120573"/>
    <w:rsid w:val="001379BC"/>
    <w:rsid w:val="00145C26"/>
    <w:rsid w:val="00157174"/>
    <w:rsid w:val="001621FA"/>
    <w:rsid w:val="00166141"/>
    <w:rsid w:val="0017756A"/>
    <w:rsid w:val="00180C27"/>
    <w:rsid w:val="001A1AD9"/>
    <w:rsid w:val="001A383F"/>
    <w:rsid w:val="001B11FE"/>
    <w:rsid w:val="001D2C32"/>
    <w:rsid w:val="001D422A"/>
    <w:rsid w:val="001D55EB"/>
    <w:rsid w:val="001F6FBA"/>
    <w:rsid w:val="00203A51"/>
    <w:rsid w:val="0021721A"/>
    <w:rsid w:val="00226472"/>
    <w:rsid w:val="00227B86"/>
    <w:rsid w:val="00232122"/>
    <w:rsid w:val="00250A28"/>
    <w:rsid w:val="00252999"/>
    <w:rsid w:val="00254F93"/>
    <w:rsid w:val="002634AB"/>
    <w:rsid w:val="002643C4"/>
    <w:rsid w:val="002675B0"/>
    <w:rsid w:val="0027630E"/>
    <w:rsid w:val="00282ECF"/>
    <w:rsid w:val="00286948"/>
    <w:rsid w:val="00291101"/>
    <w:rsid w:val="002A091B"/>
    <w:rsid w:val="002A16B0"/>
    <w:rsid w:val="002A4C66"/>
    <w:rsid w:val="002B3A04"/>
    <w:rsid w:val="002C0402"/>
    <w:rsid w:val="002C458F"/>
    <w:rsid w:val="002C5A20"/>
    <w:rsid w:val="002D5069"/>
    <w:rsid w:val="002E0DA8"/>
    <w:rsid w:val="002F2DFB"/>
    <w:rsid w:val="002F37C5"/>
    <w:rsid w:val="002F47C4"/>
    <w:rsid w:val="002F482A"/>
    <w:rsid w:val="002F6416"/>
    <w:rsid w:val="0030217D"/>
    <w:rsid w:val="003118C1"/>
    <w:rsid w:val="00313721"/>
    <w:rsid w:val="003178B8"/>
    <w:rsid w:val="00320A86"/>
    <w:rsid w:val="00322C28"/>
    <w:rsid w:val="00325F36"/>
    <w:rsid w:val="0034280D"/>
    <w:rsid w:val="003527BB"/>
    <w:rsid w:val="00363BA6"/>
    <w:rsid w:val="0036708A"/>
    <w:rsid w:val="00375B15"/>
    <w:rsid w:val="003927A7"/>
    <w:rsid w:val="00392C07"/>
    <w:rsid w:val="00393338"/>
    <w:rsid w:val="003952DC"/>
    <w:rsid w:val="00395CB4"/>
    <w:rsid w:val="003A4F44"/>
    <w:rsid w:val="003D56AB"/>
    <w:rsid w:val="003E42CF"/>
    <w:rsid w:val="003F67F2"/>
    <w:rsid w:val="00403BD8"/>
    <w:rsid w:val="004144CC"/>
    <w:rsid w:val="00416AB1"/>
    <w:rsid w:val="00435F07"/>
    <w:rsid w:val="004503A9"/>
    <w:rsid w:val="00451506"/>
    <w:rsid w:val="00464DA5"/>
    <w:rsid w:val="00486E68"/>
    <w:rsid w:val="004A00BD"/>
    <w:rsid w:val="004A3B26"/>
    <w:rsid w:val="004B2C3A"/>
    <w:rsid w:val="004C6497"/>
    <w:rsid w:val="004D1731"/>
    <w:rsid w:val="004E7652"/>
    <w:rsid w:val="004F5DF6"/>
    <w:rsid w:val="00504A0C"/>
    <w:rsid w:val="00504A5C"/>
    <w:rsid w:val="00507EFE"/>
    <w:rsid w:val="005109B2"/>
    <w:rsid w:val="005149F2"/>
    <w:rsid w:val="00526F3C"/>
    <w:rsid w:val="00530A18"/>
    <w:rsid w:val="005318CC"/>
    <w:rsid w:val="00544858"/>
    <w:rsid w:val="00547D5B"/>
    <w:rsid w:val="00554032"/>
    <w:rsid w:val="005564FF"/>
    <w:rsid w:val="00556F3A"/>
    <w:rsid w:val="00565A86"/>
    <w:rsid w:val="0058741C"/>
    <w:rsid w:val="005935FE"/>
    <w:rsid w:val="005A3A7A"/>
    <w:rsid w:val="005B08D6"/>
    <w:rsid w:val="005B2985"/>
    <w:rsid w:val="005B42AE"/>
    <w:rsid w:val="005B68E7"/>
    <w:rsid w:val="005E16AB"/>
    <w:rsid w:val="005E2F68"/>
    <w:rsid w:val="005F698F"/>
    <w:rsid w:val="00601FF8"/>
    <w:rsid w:val="0060520B"/>
    <w:rsid w:val="00612976"/>
    <w:rsid w:val="00631045"/>
    <w:rsid w:val="006323C7"/>
    <w:rsid w:val="00637153"/>
    <w:rsid w:val="0066288C"/>
    <w:rsid w:val="006765A2"/>
    <w:rsid w:val="00681E86"/>
    <w:rsid w:val="006B22E5"/>
    <w:rsid w:val="006B3287"/>
    <w:rsid w:val="006C1041"/>
    <w:rsid w:val="006D552D"/>
    <w:rsid w:val="006D7456"/>
    <w:rsid w:val="006E4481"/>
    <w:rsid w:val="006F5890"/>
    <w:rsid w:val="006F6568"/>
    <w:rsid w:val="006F7E2A"/>
    <w:rsid w:val="00700551"/>
    <w:rsid w:val="00701DFC"/>
    <w:rsid w:val="007076BF"/>
    <w:rsid w:val="007156B6"/>
    <w:rsid w:val="007221E9"/>
    <w:rsid w:val="00741351"/>
    <w:rsid w:val="007418C3"/>
    <w:rsid w:val="007655E3"/>
    <w:rsid w:val="00767AB1"/>
    <w:rsid w:val="00775EB7"/>
    <w:rsid w:val="00784E0F"/>
    <w:rsid w:val="0079458E"/>
    <w:rsid w:val="0079500A"/>
    <w:rsid w:val="00796F9D"/>
    <w:rsid w:val="007A6635"/>
    <w:rsid w:val="007B48FB"/>
    <w:rsid w:val="007B6448"/>
    <w:rsid w:val="007B6976"/>
    <w:rsid w:val="007C1E18"/>
    <w:rsid w:val="007E18C6"/>
    <w:rsid w:val="007E4D9B"/>
    <w:rsid w:val="007E6AB2"/>
    <w:rsid w:val="007F6FA3"/>
    <w:rsid w:val="007F7A3C"/>
    <w:rsid w:val="00803213"/>
    <w:rsid w:val="00803C23"/>
    <w:rsid w:val="00807410"/>
    <w:rsid w:val="00807ED6"/>
    <w:rsid w:val="00811551"/>
    <w:rsid w:val="00811950"/>
    <w:rsid w:val="00816655"/>
    <w:rsid w:val="00817E82"/>
    <w:rsid w:val="00837998"/>
    <w:rsid w:val="00840381"/>
    <w:rsid w:val="0085213C"/>
    <w:rsid w:val="00862832"/>
    <w:rsid w:val="008668E8"/>
    <w:rsid w:val="00877591"/>
    <w:rsid w:val="00887DBB"/>
    <w:rsid w:val="008A11D4"/>
    <w:rsid w:val="008A26B5"/>
    <w:rsid w:val="008A7F8F"/>
    <w:rsid w:val="008B5B01"/>
    <w:rsid w:val="008C2EA6"/>
    <w:rsid w:val="008C3154"/>
    <w:rsid w:val="008D1454"/>
    <w:rsid w:val="008D341E"/>
    <w:rsid w:val="008E125E"/>
    <w:rsid w:val="00911EEE"/>
    <w:rsid w:val="009146C7"/>
    <w:rsid w:val="00936FA7"/>
    <w:rsid w:val="00941654"/>
    <w:rsid w:val="00941CA1"/>
    <w:rsid w:val="00950789"/>
    <w:rsid w:val="009710ED"/>
    <w:rsid w:val="009835CC"/>
    <w:rsid w:val="00983E2E"/>
    <w:rsid w:val="00991B79"/>
    <w:rsid w:val="009A05B9"/>
    <w:rsid w:val="009A2417"/>
    <w:rsid w:val="009A251D"/>
    <w:rsid w:val="009A3905"/>
    <w:rsid w:val="009A58E6"/>
    <w:rsid w:val="009B2DEF"/>
    <w:rsid w:val="009C2387"/>
    <w:rsid w:val="009F0085"/>
    <w:rsid w:val="009F3915"/>
    <w:rsid w:val="00A05575"/>
    <w:rsid w:val="00A21898"/>
    <w:rsid w:val="00A42FB6"/>
    <w:rsid w:val="00A523CF"/>
    <w:rsid w:val="00A65390"/>
    <w:rsid w:val="00A66C50"/>
    <w:rsid w:val="00A71432"/>
    <w:rsid w:val="00A74355"/>
    <w:rsid w:val="00A8425B"/>
    <w:rsid w:val="00AA6FF6"/>
    <w:rsid w:val="00AB1DC8"/>
    <w:rsid w:val="00AB55AA"/>
    <w:rsid w:val="00AB5734"/>
    <w:rsid w:val="00AC286B"/>
    <w:rsid w:val="00AE08A8"/>
    <w:rsid w:val="00AE4B05"/>
    <w:rsid w:val="00B02670"/>
    <w:rsid w:val="00B163D9"/>
    <w:rsid w:val="00B2350B"/>
    <w:rsid w:val="00B40D2F"/>
    <w:rsid w:val="00B424C5"/>
    <w:rsid w:val="00B43D30"/>
    <w:rsid w:val="00B5176A"/>
    <w:rsid w:val="00B63804"/>
    <w:rsid w:val="00B701BA"/>
    <w:rsid w:val="00B727F0"/>
    <w:rsid w:val="00B77E58"/>
    <w:rsid w:val="00B86AE1"/>
    <w:rsid w:val="00B9729A"/>
    <w:rsid w:val="00BA1B68"/>
    <w:rsid w:val="00BA3395"/>
    <w:rsid w:val="00BA4638"/>
    <w:rsid w:val="00BA518D"/>
    <w:rsid w:val="00BB00AD"/>
    <w:rsid w:val="00BB0D0E"/>
    <w:rsid w:val="00BB3921"/>
    <w:rsid w:val="00BB6E2A"/>
    <w:rsid w:val="00BD092F"/>
    <w:rsid w:val="00BD534A"/>
    <w:rsid w:val="00BE6E82"/>
    <w:rsid w:val="00BE7BA1"/>
    <w:rsid w:val="00BF5152"/>
    <w:rsid w:val="00C019A7"/>
    <w:rsid w:val="00C0666B"/>
    <w:rsid w:val="00C07B41"/>
    <w:rsid w:val="00C12482"/>
    <w:rsid w:val="00C14801"/>
    <w:rsid w:val="00C1541B"/>
    <w:rsid w:val="00C26F02"/>
    <w:rsid w:val="00C301F4"/>
    <w:rsid w:val="00C42174"/>
    <w:rsid w:val="00C432C0"/>
    <w:rsid w:val="00C74789"/>
    <w:rsid w:val="00C84DBD"/>
    <w:rsid w:val="00C908EC"/>
    <w:rsid w:val="00C92675"/>
    <w:rsid w:val="00C97434"/>
    <w:rsid w:val="00CA1FBA"/>
    <w:rsid w:val="00CC2B86"/>
    <w:rsid w:val="00CC6E60"/>
    <w:rsid w:val="00CC78D4"/>
    <w:rsid w:val="00CD6221"/>
    <w:rsid w:val="00CD71C0"/>
    <w:rsid w:val="00CE50ED"/>
    <w:rsid w:val="00CF1E4B"/>
    <w:rsid w:val="00D01D21"/>
    <w:rsid w:val="00D052D7"/>
    <w:rsid w:val="00D060E1"/>
    <w:rsid w:val="00D12CE2"/>
    <w:rsid w:val="00D20A46"/>
    <w:rsid w:val="00D26228"/>
    <w:rsid w:val="00D32B53"/>
    <w:rsid w:val="00D37749"/>
    <w:rsid w:val="00D50BD8"/>
    <w:rsid w:val="00D547A0"/>
    <w:rsid w:val="00D5790F"/>
    <w:rsid w:val="00D637ED"/>
    <w:rsid w:val="00D72B3F"/>
    <w:rsid w:val="00D86D66"/>
    <w:rsid w:val="00D934DF"/>
    <w:rsid w:val="00D96191"/>
    <w:rsid w:val="00DA0857"/>
    <w:rsid w:val="00DA4B2F"/>
    <w:rsid w:val="00DA5B34"/>
    <w:rsid w:val="00DA63A7"/>
    <w:rsid w:val="00DA694F"/>
    <w:rsid w:val="00DA76D2"/>
    <w:rsid w:val="00DA7DDA"/>
    <w:rsid w:val="00DB0C36"/>
    <w:rsid w:val="00DC10C0"/>
    <w:rsid w:val="00DC205F"/>
    <w:rsid w:val="00DD7108"/>
    <w:rsid w:val="00DE073B"/>
    <w:rsid w:val="00DE23DF"/>
    <w:rsid w:val="00DF081E"/>
    <w:rsid w:val="00DF6F88"/>
    <w:rsid w:val="00E04A47"/>
    <w:rsid w:val="00E067AF"/>
    <w:rsid w:val="00E17748"/>
    <w:rsid w:val="00E35191"/>
    <w:rsid w:val="00E41715"/>
    <w:rsid w:val="00E41E6E"/>
    <w:rsid w:val="00E42BFB"/>
    <w:rsid w:val="00E50918"/>
    <w:rsid w:val="00E63C12"/>
    <w:rsid w:val="00E81511"/>
    <w:rsid w:val="00E97B5C"/>
    <w:rsid w:val="00EA6C2A"/>
    <w:rsid w:val="00EA7703"/>
    <w:rsid w:val="00EB25C6"/>
    <w:rsid w:val="00EB4E43"/>
    <w:rsid w:val="00EB54E9"/>
    <w:rsid w:val="00EE6479"/>
    <w:rsid w:val="00EE77FD"/>
    <w:rsid w:val="00EF3E3F"/>
    <w:rsid w:val="00EF452E"/>
    <w:rsid w:val="00F043FE"/>
    <w:rsid w:val="00F12B88"/>
    <w:rsid w:val="00F2120B"/>
    <w:rsid w:val="00F2513D"/>
    <w:rsid w:val="00F25EA0"/>
    <w:rsid w:val="00F439A4"/>
    <w:rsid w:val="00F50A2C"/>
    <w:rsid w:val="00F51B35"/>
    <w:rsid w:val="00F56989"/>
    <w:rsid w:val="00F6245E"/>
    <w:rsid w:val="00F633C8"/>
    <w:rsid w:val="00F642B1"/>
    <w:rsid w:val="00F701D1"/>
    <w:rsid w:val="00F74A4A"/>
    <w:rsid w:val="00F8285F"/>
    <w:rsid w:val="00F85C3A"/>
    <w:rsid w:val="00F86C27"/>
    <w:rsid w:val="00F86DD6"/>
    <w:rsid w:val="00FA0645"/>
    <w:rsid w:val="00FA3079"/>
    <w:rsid w:val="00FA38C8"/>
    <w:rsid w:val="00FB048A"/>
    <w:rsid w:val="00FC4D48"/>
    <w:rsid w:val="00FD00C8"/>
    <w:rsid w:val="00FD0B22"/>
    <w:rsid w:val="00FD397C"/>
    <w:rsid w:val="00FE0533"/>
    <w:rsid w:val="00FE26DD"/>
    <w:rsid w:val="00FE56AA"/>
    <w:rsid w:val="00FF2ECA"/>
    <w:rsid w:val="00FF3F67"/>
    <w:rsid w:val="00FF55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E560"/>
  <w15:chartTrackingRefBased/>
  <w15:docId w15:val="{5CC2043B-01D9-478B-8AE6-91EF28AB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0A16"/>
    <w:pPr>
      <w:ind w:left="720"/>
      <w:contextualSpacing/>
    </w:p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2EA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2EA6"/>
    <w:pPr>
      <w:spacing w:after="0" w:line="240" w:lineRule="auto"/>
    </w:pPr>
    <w:rPr>
      <w:sz w:val="20"/>
      <w:szCs w:val="20"/>
      <w:lang w:val="es-MX"/>
    </w:rPr>
  </w:style>
  <w:style w:type="character" w:customStyle="1" w:styleId="TextonotapieCar1">
    <w:name w:val="Texto nota pie Car1"/>
    <w:basedOn w:val="Fuentedeprrafopredeter"/>
    <w:uiPriority w:val="99"/>
    <w:semiHidden/>
    <w:rsid w:val="008C2EA6"/>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8C2EA6"/>
    <w:rPr>
      <w:vertAlign w:val="superscript"/>
    </w:rPr>
  </w:style>
  <w:style w:type="paragraph" w:customStyle="1" w:styleId="Appelnotedebasde">
    <w:name w:val="Appel note de bas de..."/>
    <w:basedOn w:val="Normal"/>
    <w:link w:val="Refdenotaalpie"/>
    <w:uiPriority w:val="99"/>
    <w:rsid w:val="008C2EA6"/>
    <w:pPr>
      <w:spacing w:line="240" w:lineRule="exact"/>
    </w:pPr>
    <w:rPr>
      <w:vertAlign w:val="superscript"/>
    </w:rPr>
  </w:style>
  <w:style w:type="character" w:styleId="Refdecomentario">
    <w:name w:val="annotation reference"/>
    <w:basedOn w:val="Fuentedeprrafopredeter"/>
    <w:uiPriority w:val="99"/>
    <w:semiHidden/>
    <w:unhideWhenUsed/>
    <w:rsid w:val="008C2EA6"/>
    <w:rPr>
      <w:sz w:val="16"/>
      <w:szCs w:val="16"/>
    </w:rPr>
  </w:style>
  <w:style w:type="paragraph" w:styleId="Textocomentario">
    <w:name w:val="annotation text"/>
    <w:basedOn w:val="Normal"/>
    <w:link w:val="TextocomentarioCar"/>
    <w:uiPriority w:val="99"/>
    <w:unhideWhenUsed/>
    <w:rsid w:val="008C2EA6"/>
    <w:pPr>
      <w:spacing w:line="240" w:lineRule="auto"/>
    </w:pPr>
    <w:rPr>
      <w:sz w:val="20"/>
      <w:szCs w:val="20"/>
    </w:rPr>
  </w:style>
  <w:style w:type="character" w:customStyle="1" w:styleId="TextocomentarioCar">
    <w:name w:val="Texto comentario Car"/>
    <w:basedOn w:val="Fuentedeprrafopredeter"/>
    <w:link w:val="Textocomentario"/>
    <w:uiPriority w:val="99"/>
    <w:rsid w:val="008C2EA6"/>
    <w:rPr>
      <w:sz w:val="20"/>
      <w:szCs w:val="20"/>
    </w:rPr>
  </w:style>
  <w:style w:type="paragraph" w:styleId="Sinespaciado">
    <w:name w:val="No Spacing"/>
    <w:aliases w:val="No Indent"/>
    <w:link w:val="SinespaciadoCar"/>
    <w:uiPriority w:val="1"/>
    <w:qFormat/>
    <w:rsid w:val="00DE23DF"/>
    <w:pPr>
      <w:spacing w:after="0" w:line="240" w:lineRule="auto"/>
    </w:pPr>
    <w:rPr>
      <w:sz w:val="24"/>
      <w:lang w:val="es-MX"/>
    </w:rPr>
  </w:style>
  <w:style w:type="character" w:customStyle="1" w:styleId="SinespaciadoCar">
    <w:name w:val="Sin espaciado Car"/>
    <w:aliases w:val="No Indent Car"/>
    <w:link w:val="Sinespaciado"/>
    <w:uiPriority w:val="3"/>
    <w:rsid w:val="00DE23DF"/>
    <w:rPr>
      <w:sz w:val="24"/>
      <w:lang w:val="es-MX"/>
    </w:rPr>
  </w:style>
  <w:style w:type="paragraph" w:styleId="NormalWeb">
    <w:name w:val="Normal (Web)"/>
    <w:basedOn w:val="Normal"/>
    <w:link w:val="NormalWebCar"/>
    <w:uiPriority w:val="99"/>
    <w:unhideWhenUsed/>
    <w:rsid w:val="00B43D3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B43D30"/>
    <w:rPr>
      <w:rFonts w:ascii="Times New Roman" w:eastAsia="Times New Roman" w:hAnsi="Times New Roman" w:cs="Times New Roman"/>
      <w:sz w:val="24"/>
      <w:szCs w:val="24"/>
      <w:lang w:eastAsia="es-CO"/>
    </w:rPr>
  </w:style>
  <w:style w:type="paragraph" w:styleId="Revisin">
    <w:name w:val="Revision"/>
    <w:hidden/>
    <w:uiPriority w:val="99"/>
    <w:semiHidden/>
    <w:rsid w:val="00A71432"/>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811551"/>
    <w:rPr>
      <w:b/>
      <w:bCs/>
    </w:rPr>
  </w:style>
  <w:style w:type="character" w:customStyle="1" w:styleId="AsuntodelcomentarioCar">
    <w:name w:val="Asunto del comentario Car"/>
    <w:basedOn w:val="TextocomentarioCar"/>
    <w:link w:val="Asuntodelcomentario"/>
    <w:uiPriority w:val="99"/>
    <w:semiHidden/>
    <w:rsid w:val="00811551"/>
    <w:rPr>
      <w:b/>
      <w:bCs/>
      <w:sz w:val="20"/>
      <w:szCs w:val="20"/>
    </w:rPr>
  </w:style>
  <w:style w:type="paragraph" w:styleId="Textodeglobo">
    <w:name w:val="Balloon Text"/>
    <w:basedOn w:val="Normal"/>
    <w:link w:val="TextodegloboCar"/>
    <w:uiPriority w:val="99"/>
    <w:semiHidden/>
    <w:unhideWhenUsed/>
    <w:rsid w:val="00BF51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5152"/>
    <w:rPr>
      <w:rFonts w:ascii="Segoe UI" w:hAnsi="Segoe UI" w:cs="Segoe UI"/>
      <w:sz w:val="18"/>
      <w:szCs w:val="18"/>
    </w:rPr>
  </w:style>
  <w:style w:type="character" w:styleId="Hipervnculo">
    <w:name w:val="Hyperlink"/>
    <w:basedOn w:val="Fuentedeprrafopredeter"/>
    <w:uiPriority w:val="99"/>
    <w:unhideWhenUsed/>
    <w:rsid w:val="00D72B3F"/>
    <w:rPr>
      <w:color w:val="0563C1" w:themeColor="hyperlink"/>
      <w:u w:val="single"/>
    </w:rPr>
  </w:style>
  <w:style w:type="character" w:styleId="Mencinsinresolver">
    <w:name w:val="Unresolved Mention"/>
    <w:basedOn w:val="Fuentedeprrafopredeter"/>
    <w:uiPriority w:val="99"/>
    <w:semiHidden/>
    <w:unhideWhenUsed/>
    <w:rsid w:val="00D72B3F"/>
    <w:rPr>
      <w:color w:val="605E5C"/>
      <w:shd w:val="clear" w:color="auto" w:fill="E1DFDD"/>
    </w:rPr>
  </w:style>
  <w:style w:type="character" w:styleId="Textoennegrita">
    <w:name w:val="Strong"/>
    <w:basedOn w:val="Fuentedeprrafopredeter"/>
    <w:uiPriority w:val="22"/>
    <w:qFormat/>
    <w:rsid w:val="00C07B41"/>
    <w:rPr>
      <w:b/>
      <w:bCs/>
    </w:rPr>
  </w:style>
  <w:style w:type="character" w:customStyle="1" w:styleId="normaltextrun">
    <w:name w:val="normaltextrun"/>
    <w:basedOn w:val="Fuentedeprrafopredeter"/>
    <w:rsid w:val="00CA1FBA"/>
  </w:style>
  <w:style w:type="character" w:customStyle="1" w:styleId="superscript">
    <w:name w:val="superscript"/>
    <w:basedOn w:val="Fuentedeprrafopredeter"/>
    <w:rsid w:val="00252999"/>
  </w:style>
  <w:style w:type="character" w:customStyle="1" w:styleId="eop">
    <w:name w:val="eop"/>
    <w:basedOn w:val="Fuentedeprrafopredeter"/>
    <w:rsid w:val="00252999"/>
  </w:style>
  <w:style w:type="paragraph" w:customStyle="1" w:styleId="paragraph">
    <w:name w:val="paragraph"/>
    <w:basedOn w:val="Normal"/>
    <w:rsid w:val="00D20A4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75313">
      <w:bodyDiv w:val="1"/>
      <w:marLeft w:val="0"/>
      <w:marRight w:val="0"/>
      <w:marTop w:val="0"/>
      <w:marBottom w:val="0"/>
      <w:divBdr>
        <w:top w:val="none" w:sz="0" w:space="0" w:color="auto"/>
        <w:left w:val="none" w:sz="0" w:space="0" w:color="auto"/>
        <w:bottom w:val="none" w:sz="0" w:space="0" w:color="auto"/>
        <w:right w:val="none" w:sz="0" w:space="0" w:color="auto"/>
      </w:divBdr>
      <w:divsChild>
        <w:div w:id="1150634499">
          <w:marLeft w:val="0"/>
          <w:marRight w:val="0"/>
          <w:marTop w:val="0"/>
          <w:marBottom w:val="0"/>
          <w:divBdr>
            <w:top w:val="none" w:sz="0" w:space="0" w:color="auto"/>
            <w:left w:val="none" w:sz="0" w:space="0" w:color="auto"/>
            <w:bottom w:val="none" w:sz="0" w:space="0" w:color="auto"/>
            <w:right w:val="none" w:sz="0" w:space="0" w:color="auto"/>
          </w:divBdr>
        </w:div>
        <w:div w:id="1928921169">
          <w:marLeft w:val="0"/>
          <w:marRight w:val="0"/>
          <w:marTop w:val="0"/>
          <w:marBottom w:val="0"/>
          <w:divBdr>
            <w:top w:val="none" w:sz="0" w:space="0" w:color="auto"/>
            <w:left w:val="none" w:sz="0" w:space="0" w:color="auto"/>
            <w:bottom w:val="none" w:sz="0" w:space="0" w:color="auto"/>
            <w:right w:val="none" w:sz="0" w:space="0" w:color="auto"/>
          </w:divBdr>
        </w:div>
      </w:divsChild>
    </w:div>
    <w:div w:id="981233399">
      <w:bodyDiv w:val="1"/>
      <w:marLeft w:val="0"/>
      <w:marRight w:val="0"/>
      <w:marTop w:val="0"/>
      <w:marBottom w:val="0"/>
      <w:divBdr>
        <w:top w:val="none" w:sz="0" w:space="0" w:color="auto"/>
        <w:left w:val="none" w:sz="0" w:space="0" w:color="auto"/>
        <w:bottom w:val="none" w:sz="0" w:space="0" w:color="auto"/>
        <w:right w:val="none" w:sz="0" w:space="0" w:color="auto"/>
      </w:divBdr>
    </w:div>
    <w:div w:id="1544440916">
      <w:bodyDiv w:val="1"/>
      <w:marLeft w:val="0"/>
      <w:marRight w:val="0"/>
      <w:marTop w:val="0"/>
      <w:marBottom w:val="0"/>
      <w:divBdr>
        <w:top w:val="none" w:sz="0" w:space="0" w:color="auto"/>
        <w:left w:val="none" w:sz="0" w:space="0" w:color="auto"/>
        <w:bottom w:val="none" w:sz="0" w:space="0" w:color="auto"/>
        <w:right w:val="none" w:sz="0" w:space="0" w:color="auto"/>
      </w:divBdr>
    </w:div>
    <w:div w:id="2119252561">
      <w:bodyDiv w:val="1"/>
      <w:marLeft w:val="0"/>
      <w:marRight w:val="0"/>
      <w:marTop w:val="0"/>
      <w:marBottom w:val="0"/>
      <w:divBdr>
        <w:top w:val="none" w:sz="0" w:space="0" w:color="auto"/>
        <w:left w:val="none" w:sz="0" w:space="0" w:color="auto"/>
        <w:bottom w:val="none" w:sz="0" w:space="0" w:color="auto"/>
        <w:right w:val="none" w:sz="0" w:space="0" w:color="auto"/>
      </w:divBdr>
      <w:divsChild>
        <w:div w:id="624194419">
          <w:marLeft w:val="0"/>
          <w:marRight w:val="0"/>
          <w:marTop w:val="0"/>
          <w:marBottom w:val="0"/>
          <w:divBdr>
            <w:top w:val="none" w:sz="0" w:space="0" w:color="auto"/>
            <w:left w:val="none" w:sz="0" w:space="0" w:color="auto"/>
            <w:bottom w:val="none" w:sz="0" w:space="0" w:color="auto"/>
            <w:right w:val="none" w:sz="0" w:space="0" w:color="auto"/>
          </w:divBdr>
        </w:div>
        <w:div w:id="931663900">
          <w:marLeft w:val="0"/>
          <w:marRight w:val="0"/>
          <w:marTop w:val="0"/>
          <w:marBottom w:val="0"/>
          <w:divBdr>
            <w:top w:val="none" w:sz="0" w:space="0" w:color="auto"/>
            <w:left w:val="none" w:sz="0" w:space="0" w:color="auto"/>
            <w:bottom w:val="none" w:sz="0" w:space="0" w:color="auto"/>
            <w:right w:val="none" w:sz="0" w:space="0" w:color="auto"/>
          </w:divBdr>
        </w:div>
        <w:div w:id="220096828">
          <w:marLeft w:val="0"/>
          <w:marRight w:val="0"/>
          <w:marTop w:val="0"/>
          <w:marBottom w:val="0"/>
          <w:divBdr>
            <w:top w:val="none" w:sz="0" w:space="0" w:color="auto"/>
            <w:left w:val="none" w:sz="0" w:space="0" w:color="auto"/>
            <w:bottom w:val="none" w:sz="0" w:space="0" w:color="auto"/>
            <w:right w:val="none" w:sz="0" w:space="0" w:color="auto"/>
          </w:divBdr>
        </w:div>
        <w:div w:id="1368330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gucu@gmail.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formato-unico-de-hoja-de-vida-persona-natural" TargetMode="External"/><Relationship Id="rId5" Type="http://schemas.openxmlformats.org/officeDocument/2006/relationships/numbering" Target="numbering.xml"/><Relationship Id="rId15" Type="http://schemas.openxmlformats.org/officeDocument/2006/relationships/hyperlink" Target="https://www.funcionpublica.gov.co/formato-unico-de-hoja-de-vida-persona-natur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gutierrez@contaduria.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manual_requisitos_habilitant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391332-D20D-44F6-BDEF-88F9F72D5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E6A37-A69D-475E-A854-AA935E0048D0}">
  <ds:schemaRefs>
    <ds:schemaRef ds:uri="http://schemas.openxmlformats.org/officeDocument/2006/bibliography"/>
  </ds:schemaRefs>
</ds:datastoreItem>
</file>

<file path=customXml/itemProps3.xml><?xml version="1.0" encoding="utf-8"?>
<ds:datastoreItem xmlns:ds="http://schemas.openxmlformats.org/officeDocument/2006/customXml" ds:itemID="{431E4EF7-B320-4E06-B2A2-37CC61C80C70}">
  <ds:schemaRefs>
    <ds:schemaRef ds:uri="http://schemas.microsoft.com/sharepoint/v3/contenttype/forms"/>
  </ds:schemaRefs>
</ds:datastoreItem>
</file>

<file path=customXml/itemProps4.xml><?xml version="1.0" encoding="utf-8"?>
<ds:datastoreItem xmlns:ds="http://schemas.openxmlformats.org/officeDocument/2006/customXml" ds:itemID="{44FECD49-E677-4420-B2D9-A84598D6CA18}">
  <ds:schemaRefs>
    <ds:schemaRef ds:uri="http://schemas.openxmlformats.org/package/2006/metadata/core-properties"/>
    <ds:schemaRef ds:uri="http://purl.org/dc/elements/1.1/"/>
    <ds:schemaRef ds:uri="9d85dbaf-23eb-4e57-a637-93dcacc8b1a1"/>
    <ds:schemaRef ds:uri="http://schemas.microsoft.com/office/2006/documentManagement/types"/>
    <ds:schemaRef ds:uri="a6cb9e4b-f1d1-4245-83ec-6cad768d538a"/>
    <ds:schemaRef ds:uri="http://purl.org/dc/terms/"/>
    <ds:schemaRef ds:uri="http://www.w3.org/XML/1998/namespace"/>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5103</Words>
  <Characters>28067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Ana Maria Velez Arteaga</cp:lastModifiedBy>
  <cp:revision>8</cp:revision>
  <dcterms:created xsi:type="dcterms:W3CDTF">2023-03-01T17:48:00Z</dcterms:created>
  <dcterms:modified xsi:type="dcterms:W3CDTF">2023-03-01T17:56:00Z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