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62DB0" w14:textId="77777777" w:rsidR="00137E23" w:rsidRPr="00874A39" w:rsidRDefault="00137E23" w:rsidP="00F1545F">
      <w:pPr>
        <w:spacing w:before="120" w:line="276" w:lineRule="auto"/>
        <w:jc w:val="right"/>
        <w:rPr>
          <w:rFonts w:ascii="Geomanist Light" w:hAnsi="Geomanist Light" w:cs="Arial"/>
          <w:sz w:val="16"/>
          <w:szCs w:val="16"/>
          <w:lang w:eastAsia="es-ES"/>
        </w:rPr>
      </w:pPr>
      <w:r w:rsidRPr="00874A39">
        <w:rPr>
          <w:rFonts w:ascii="Geomanist Light" w:hAnsi="Geomanist Light" w:cs="Arial"/>
          <w:sz w:val="16"/>
          <w:szCs w:val="16"/>
          <w:lang w:eastAsia="es-ES"/>
        </w:rPr>
        <w:t>CCE-DES-FM-17</w:t>
      </w:r>
    </w:p>
    <w:p w14:paraId="5B169F04" w14:textId="77777777" w:rsidR="00CA3BF3" w:rsidRPr="00874A39" w:rsidRDefault="00CA3BF3" w:rsidP="00FB6F3C">
      <w:pPr>
        <w:ind w:left="2835" w:hanging="2835"/>
        <w:jc w:val="both"/>
        <w:rPr>
          <w:rFonts w:ascii="Geomanist Light" w:eastAsia="Calibri" w:hAnsi="Geomanist Light" w:cs="Arial"/>
          <w:bCs/>
          <w:noProof/>
          <w:color w:val="1A1A1A" w:themeColor="background1" w:themeShade="1A"/>
          <w:sz w:val="22"/>
          <w:szCs w:val="22"/>
          <w:lang w:val="es-ES_tradnl"/>
        </w:rPr>
      </w:pPr>
      <w:bookmarkStart w:id="0" w:name="_Hlk72942111"/>
    </w:p>
    <w:p w14:paraId="56680352" w14:textId="21A1E68E" w:rsidR="00FB6F3C" w:rsidRPr="00874A39" w:rsidRDefault="00FB6F3C" w:rsidP="00FB6F3C">
      <w:pPr>
        <w:ind w:left="2835" w:hanging="2835"/>
        <w:jc w:val="both"/>
        <w:rPr>
          <w:rFonts w:ascii="Geomanist Light" w:eastAsia="Calibri" w:hAnsi="Geomanist Light" w:cs="Arial"/>
          <w:b/>
          <w:noProof/>
          <w:color w:val="1A1A1A" w:themeColor="background1" w:themeShade="1A"/>
          <w:sz w:val="22"/>
          <w:szCs w:val="22"/>
          <w:lang w:val="es-ES_tradnl"/>
        </w:rPr>
      </w:pPr>
      <w:r w:rsidRPr="00874A39">
        <w:rPr>
          <w:rFonts w:ascii="Geomanist Light" w:eastAsia="Calibri" w:hAnsi="Geomanist Light" w:cs="Arial"/>
          <w:b/>
          <w:noProof/>
          <w:color w:val="1A1A1A" w:themeColor="background1" w:themeShade="1A"/>
          <w:sz w:val="22"/>
          <w:szCs w:val="22"/>
          <w:lang w:val="es-ES_tradnl"/>
        </w:rPr>
        <w:t xml:space="preserve">SEGURIDAD SOCIAL – Verificación – Pago – Persona natural – Persona jurídica </w:t>
      </w:r>
    </w:p>
    <w:p w14:paraId="0F5F6CE3" w14:textId="77777777" w:rsidR="00FB6F3C" w:rsidRDefault="00FB6F3C" w:rsidP="00FB6F3C">
      <w:pPr>
        <w:ind w:left="2835" w:hanging="2835"/>
        <w:jc w:val="both"/>
        <w:rPr>
          <w:rFonts w:ascii="Geomanist Light" w:eastAsia="Calibri" w:hAnsi="Geomanist Light" w:cs="Arial"/>
          <w:b/>
          <w:noProof/>
          <w:color w:val="1A1A1A" w:themeColor="background1" w:themeShade="1A"/>
          <w:sz w:val="22"/>
          <w:szCs w:val="22"/>
          <w:lang w:val="es-ES_tradnl"/>
        </w:rPr>
      </w:pPr>
    </w:p>
    <w:p w14:paraId="51534BB7" w14:textId="6F93985E" w:rsidR="00DE2939" w:rsidRPr="00C2327C" w:rsidRDefault="00DA60CF" w:rsidP="00C2327C">
      <w:pPr>
        <w:spacing w:after="240"/>
        <w:jc w:val="both"/>
        <w:rPr>
          <w:rFonts w:ascii="Geomanist Light" w:eastAsia="Calibri" w:hAnsi="Geomanist Light" w:cs="Arial"/>
          <w:sz w:val="20"/>
          <w:szCs w:val="20"/>
          <w:lang w:val="es-ES" w:eastAsia="en-US"/>
        </w:rPr>
      </w:pPr>
      <w:r w:rsidRPr="00C2327C">
        <w:rPr>
          <w:rFonts w:ascii="Geomanist Light" w:hAnsi="Geomanist Light" w:cs="Arial"/>
          <w:color w:val="1A1A1A" w:themeColor="background1" w:themeShade="1A"/>
          <w:sz w:val="20"/>
          <w:szCs w:val="20"/>
        </w:rPr>
        <w:t xml:space="preserve">[…] </w:t>
      </w:r>
      <w:r w:rsidR="00DE2939" w:rsidRPr="00C2327C">
        <w:rPr>
          <w:rFonts w:ascii="Geomanist Light" w:eastAsia="Calibri" w:hAnsi="Geomanist Light" w:cs="Arial"/>
          <w:sz w:val="20"/>
          <w:szCs w:val="20"/>
          <w:lang w:val="es-ES" w:eastAsia="en-US"/>
        </w:rPr>
        <w:t>el artículo 50 de la Ley 789 de 2002 previó una regla especial para las «personas jurídicas» que aspiran a celebrar contratos con las entidades estatales. Para presentar «la oferta» deben acreditar el pago de los aportes de sus empleados, mediante certificación expedida por el revisor fiscal, cuando este exista, de acuerdo con los requerimientos de ley, o por el representante legal, durante un lapso equivalente al que exija el respectivo régimen de contratación para el que se hubiera constituido la sociedad, el cual, en todo caso, no será inferior a los 6 meses anteriores a la celebración del contrato. Si bien este certificado no es un requisito para perfeccionar el contrato, sí lo es para presentar la oferta. Sin embargo, es importante destacar que esta exigencia originada en los incisos 3 y 4 del artículo 50 de la Ley 789 de 2002, únicamente se estableció frente a las personas jurídicas.</w:t>
      </w:r>
    </w:p>
    <w:p w14:paraId="038C8374" w14:textId="77777777" w:rsidR="00DE2939" w:rsidRPr="00C2327C" w:rsidRDefault="00DE2939" w:rsidP="00C2327C">
      <w:pPr>
        <w:spacing w:after="240"/>
        <w:jc w:val="both"/>
        <w:rPr>
          <w:rFonts w:ascii="Geomanist Light" w:eastAsia="Calibri" w:hAnsi="Geomanist Light" w:cs="Arial"/>
          <w:sz w:val="20"/>
          <w:szCs w:val="20"/>
          <w:lang w:val="es-ES" w:eastAsia="en-US"/>
        </w:rPr>
      </w:pPr>
      <w:r w:rsidRPr="00C2327C">
        <w:rPr>
          <w:rFonts w:ascii="Geomanist Light" w:eastAsia="Calibri" w:hAnsi="Geomanist Light" w:cs="Arial"/>
          <w:sz w:val="20"/>
          <w:szCs w:val="20"/>
          <w:lang w:val="es-ES" w:eastAsia="en-US"/>
        </w:rPr>
        <w:t xml:space="preserve">En este sentido, la verificación del cumplimiento de las obligaciones relacionadas con el Sistema de Seguridad Social Integral cambia dependiendo de si se trata de una persona natural o de una jurídica: i) si es una natural, la entidad estatal verificará el pago al Sistema de Seguridad Social Integral cuando se realicen los pagos del contrato, es decir, durante su ejecución y </w:t>
      </w:r>
      <w:proofErr w:type="spellStart"/>
      <w:r w:rsidRPr="00C2327C">
        <w:rPr>
          <w:rFonts w:ascii="Geomanist Light" w:eastAsia="Calibri" w:hAnsi="Geomanist Light" w:cs="Arial"/>
          <w:sz w:val="20"/>
          <w:szCs w:val="20"/>
          <w:lang w:val="es-ES" w:eastAsia="en-US"/>
        </w:rPr>
        <w:t>ii</w:t>
      </w:r>
      <w:proofErr w:type="spellEnd"/>
      <w:r w:rsidRPr="00C2327C">
        <w:rPr>
          <w:rFonts w:ascii="Geomanist Light" w:eastAsia="Calibri" w:hAnsi="Geomanist Light" w:cs="Arial"/>
          <w:sz w:val="20"/>
          <w:szCs w:val="20"/>
          <w:lang w:val="es-ES" w:eastAsia="en-US"/>
        </w:rPr>
        <w:t xml:space="preserve">) si se refiere a una persona jurídica, la acreditación del cumplimiento de las obligaciones relacionadas con el Sistema de Seguridad Social Integral de sus empleados se debe aportar con la presentación de la oferta, y este constituye un criterio de admisión de la oferta. Lo anterior sin perjuicio de que durante la ejecución del contrato también se acredite el pago al Sistema de Seguridad Social Integral para pagar las cuentas o facturas si a ello hubiere lugar. </w:t>
      </w:r>
    </w:p>
    <w:p w14:paraId="409B9B29" w14:textId="77777777" w:rsidR="00DE2939" w:rsidRPr="00C2327C" w:rsidRDefault="00DE2939" w:rsidP="00C2327C">
      <w:pPr>
        <w:spacing w:after="240"/>
        <w:jc w:val="both"/>
        <w:rPr>
          <w:rFonts w:ascii="Geomanist Light" w:eastAsia="Calibri" w:hAnsi="Geomanist Light" w:cs="Arial"/>
          <w:sz w:val="20"/>
          <w:szCs w:val="20"/>
          <w:lang w:val="es-ES" w:eastAsia="en-US"/>
        </w:rPr>
      </w:pPr>
      <w:r w:rsidRPr="00C2327C">
        <w:rPr>
          <w:rFonts w:ascii="Geomanist Light" w:eastAsia="Calibri" w:hAnsi="Geomanist Light" w:cs="Arial"/>
          <w:sz w:val="20"/>
          <w:szCs w:val="20"/>
          <w:lang w:val="es-ES" w:eastAsia="en-US"/>
        </w:rPr>
        <w:t xml:space="preserve">Así mismo, en virtud del artículo 50 de la Ley 789 de 2002, la entidad verificará, tanto para las personas naturales como para las jurídicas, la realización de los aportes al Sistema de Seguridad Social Integral, al momento de su liquidación, y dejarán constancia del cumplimiento de las obligaciones del contratista frente a los aportes mencionados durante toda su vigencia, estableciendo una correcta relación entre el monto cancelado y las sumas que debieron cotizar. </w:t>
      </w:r>
    </w:p>
    <w:p w14:paraId="0C0213CC" w14:textId="7252239E" w:rsidR="00FB6F3C" w:rsidRPr="00874A39" w:rsidRDefault="00FB6F3C" w:rsidP="00CA3BF3">
      <w:pPr>
        <w:jc w:val="both"/>
        <w:rPr>
          <w:rFonts w:ascii="Geomanist Light" w:eastAsia="Calibri" w:hAnsi="Geomanist Light" w:cs="Arial"/>
          <w:b/>
          <w:color w:val="1A1A1A" w:themeColor="background1" w:themeShade="1A"/>
          <w:sz w:val="22"/>
          <w:szCs w:val="22"/>
          <w:lang w:val="es-ES_tradnl"/>
        </w:rPr>
      </w:pPr>
      <w:r w:rsidRPr="00874A39">
        <w:rPr>
          <w:rFonts w:ascii="Geomanist Light" w:eastAsia="Calibri" w:hAnsi="Geomanist Light" w:cs="Arial"/>
          <w:b/>
          <w:noProof/>
          <w:color w:val="1A1A1A" w:themeColor="background1" w:themeShade="1A"/>
          <w:sz w:val="22"/>
          <w:szCs w:val="22"/>
          <w:lang w:val="es-ES_tradnl"/>
        </w:rPr>
        <w:t>DOCUMENTOS TIPO – Licitación de obra pública Versión 3 – Selección abreviada de menor cuantía – Versión 2 – Seguridad social – Personas naturales – Personas jurídicas</w:t>
      </w:r>
    </w:p>
    <w:p w14:paraId="18C45403" w14:textId="77777777" w:rsidR="009177E8" w:rsidRPr="00874A39" w:rsidRDefault="009177E8" w:rsidP="009177E8">
      <w:pPr>
        <w:pStyle w:val="NormalWeb"/>
        <w:shd w:val="clear" w:color="auto" w:fill="FFFFFF"/>
        <w:spacing w:after="0" w:line="240" w:lineRule="auto"/>
        <w:jc w:val="both"/>
        <w:rPr>
          <w:rFonts w:ascii="Geomanist Light" w:hAnsi="Geomanist Light" w:cs="Arial"/>
          <w:b/>
          <w:bCs/>
          <w:color w:val="000000"/>
          <w:sz w:val="20"/>
          <w:szCs w:val="20"/>
          <w:shd w:val="clear" w:color="auto" w:fill="FFFFFF"/>
        </w:rPr>
      </w:pPr>
    </w:p>
    <w:p w14:paraId="3A70C684" w14:textId="2B456E5B" w:rsidR="00FB6F3C" w:rsidRPr="000D2EF2" w:rsidRDefault="0019429C" w:rsidP="000D2EF2">
      <w:pPr>
        <w:tabs>
          <w:tab w:val="left" w:pos="3374"/>
        </w:tabs>
        <w:jc w:val="both"/>
        <w:rPr>
          <w:rFonts w:ascii="Geomanist Light" w:eastAsia="Calibri" w:hAnsi="Geomanist Light" w:cs="Arial"/>
          <w:sz w:val="20"/>
          <w:szCs w:val="20"/>
          <w:lang w:val="es-ES" w:eastAsia="en-US"/>
        </w:rPr>
      </w:pPr>
      <w:r w:rsidRPr="000D2EF2">
        <w:rPr>
          <w:rFonts w:ascii="Geomanist Light" w:eastAsia="Calibri" w:hAnsi="Geomanist Light" w:cs="Arial"/>
          <w:sz w:val="20"/>
          <w:szCs w:val="20"/>
          <w:lang w:val="es-ES" w:eastAsia="en-US"/>
        </w:rPr>
        <w:t>En el «Documento Base» de los documentos tipo de licitación de obra pública de infraestructura de transporte –Versión 3, y los documentos tipo para los procesos de selección abreviada de menor cuantía de obra pública de infraestructura de transporte – Versión 2, se establecen los requisitos habilitantes y los criterios para la ponderación de las propuestas, dentro de los cuales se encuentra la acreditación de pagos al Sistema de Seguridad Social […]</w:t>
      </w:r>
    </w:p>
    <w:p w14:paraId="2DC7835C" w14:textId="77777777" w:rsidR="00FB6F3C" w:rsidRPr="000D2EF2" w:rsidRDefault="00FB6F3C" w:rsidP="000D2EF2">
      <w:pPr>
        <w:tabs>
          <w:tab w:val="left" w:pos="3374"/>
        </w:tabs>
        <w:jc w:val="both"/>
        <w:rPr>
          <w:rFonts w:ascii="Geomanist Light" w:eastAsia="Calibri" w:hAnsi="Geomanist Light" w:cs="Arial"/>
          <w:sz w:val="20"/>
          <w:szCs w:val="20"/>
          <w:lang w:val="es-ES" w:eastAsia="en-US"/>
        </w:rPr>
      </w:pPr>
    </w:p>
    <w:p w14:paraId="5DCB0F76" w14:textId="77777777" w:rsidR="00C53864" w:rsidRPr="000D2EF2" w:rsidRDefault="00C53864" w:rsidP="000D2EF2">
      <w:pPr>
        <w:spacing w:after="240"/>
        <w:jc w:val="both"/>
        <w:rPr>
          <w:rFonts w:ascii="Geomanist Light" w:eastAsia="Calibri" w:hAnsi="Geomanist Light" w:cs="Arial"/>
          <w:sz w:val="20"/>
          <w:szCs w:val="20"/>
          <w:lang w:val="es-ES" w:eastAsia="en-US"/>
        </w:rPr>
      </w:pPr>
      <w:r w:rsidRPr="000D2EF2">
        <w:rPr>
          <w:rFonts w:ascii="Geomanist Light" w:eastAsia="Calibri" w:hAnsi="Geomanist Light" w:cs="Arial"/>
          <w:sz w:val="20"/>
          <w:szCs w:val="20"/>
          <w:lang w:val="es-ES" w:eastAsia="en-US"/>
        </w:rPr>
        <w:t xml:space="preserve">En este sentido, en los numerales 3.4, 3.4.1, 3.4.2 y 3.4.3, se establece: i) las reglas para la acreditación de aportes al Sistema de Seguridad Social Integral y parafiscales, </w:t>
      </w:r>
      <w:proofErr w:type="spellStart"/>
      <w:r w:rsidRPr="000D2EF2">
        <w:rPr>
          <w:rFonts w:ascii="Geomanist Light" w:eastAsia="Calibri" w:hAnsi="Geomanist Light" w:cs="Arial"/>
          <w:sz w:val="20"/>
          <w:szCs w:val="20"/>
          <w:lang w:val="es-ES" w:eastAsia="en-US"/>
        </w:rPr>
        <w:t>ii</w:t>
      </w:r>
      <w:proofErr w:type="spellEnd"/>
      <w:r w:rsidRPr="000D2EF2">
        <w:rPr>
          <w:rFonts w:ascii="Geomanist Light" w:eastAsia="Calibri" w:hAnsi="Geomanist Light" w:cs="Arial"/>
          <w:sz w:val="20"/>
          <w:szCs w:val="20"/>
          <w:lang w:val="es-ES" w:eastAsia="en-US"/>
        </w:rPr>
        <w:t xml:space="preserve">) los proponentes personas jurídicas deben acreditar este requisito con la suscripción y presentación del «Formato 6 – Pagos de seguridad social y aportes legales», </w:t>
      </w:r>
      <w:proofErr w:type="spellStart"/>
      <w:r w:rsidRPr="000D2EF2">
        <w:rPr>
          <w:rFonts w:ascii="Geomanist Light" w:eastAsia="Calibri" w:hAnsi="Geomanist Light" w:cs="Arial"/>
          <w:sz w:val="20"/>
          <w:szCs w:val="20"/>
          <w:lang w:val="es-ES" w:eastAsia="en-US"/>
        </w:rPr>
        <w:t>iii</w:t>
      </w:r>
      <w:proofErr w:type="spellEnd"/>
      <w:r w:rsidRPr="000D2EF2">
        <w:rPr>
          <w:rFonts w:ascii="Geomanist Light" w:eastAsia="Calibri" w:hAnsi="Geomanist Light" w:cs="Arial"/>
          <w:sz w:val="20"/>
          <w:szCs w:val="20"/>
          <w:lang w:val="es-ES" w:eastAsia="en-US"/>
        </w:rPr>
        <w:t xml:space="preserve">) los proponentes personas naturales deben acreditar la afiliación a los sistemas de seguridad social en salud y pensiones, aportando los certificados de afiliación respectivos </w:t>
      </w:r>
      <w:r w:rsidRPr="000D2EF2">
        <w:rPr>
          <w:rFonts w:ascii="Geomanist Light" w:eastAsia="Calibri" w:hAnsi="Geomanist Light" w:cs="Arial"/>
          <w:sz w:val="20"/>
          <w:szCs w:val="20"/>
          <w:lang w:val="es-ES" w:eastAsia="en-US"/>
        </w:rPr>
        <w:lastRenderedPageBreak/>
        <w:t xml:space="preserve">o el certificado de pago de la correspondiente planilla, </w:t>
      </w:r>
      <w:proofErr w:type="spellStart"/>
      <w:r w:rsidRPr="000D2EF2">
        <w:rPr>
          <w:rFonts w:ascii="Geomanist Light" w:eastAsia="Calibri" w:hAnsi="Geomanist Light" w:cs="Arial"/>
          <w:sz w:val="20"/>
          <w:szCs w:val="20"/>
          <w:lang w:val="es-ES" w:eastAsia="en-US"/>
        </w:rPr>
        <w:t>iv</w:t>
      </w:r>
      <w:proofErr w:type="spellEnd"/>
      <w:r w:rsidRPr="000D2EF2">
        <w:rPr>
          <w:rFonts w:ascii="Geomanist Light" w:eastAsia="Calibri" w:hAnsi="Geomanist Light" w:cs="Arial"/>
          <w:sz w:val="20"/>
          <w:szCs w:val="20"/>
          <w:lang w:val="es-ES" w:eastAsia="en-US"/>
        </w:rPr>
        <w:t>) los integrantes de los proponentes plurales deben acreditar el cumplimiento con las obligaciones al Sistema de Seguridad Social Integral de manera independiente, según se trate de personas naturales o jurídicas, en la forma enunciada anteriormente, y v) para efectos de la suscripción del contrato, el adjudicatario debe presentar declaración donde acredite el pago correspondiente a seguridad social y aportes legales cuando a ello haya lugar.</w:t>
      </w:r>
    </w:p>
    <w:p w14:paraId="4F813AB0" w14:textId="77777777" w:rsidR="00C53864" w:rsidRPr="000D2EF2" w:rsidRDefault="00C53864" w:rsidP="000D2EF2">
      <w:pPr>
        <w:spacing w:after="240"/>
        <w:jc w:val="both"/>
        <w:rPr>
          <w:rFonts w:ascii="Geomanist Light" w:eastAsia="Calibri" w:hAnsi="Geomanist Light" w:cs="Arial"/>
          <w:sz w:val="20"/>
          <w:szCs w:val="20"/>
          <w:lang w:val="es-ES" w:eastAsia="en-US"/>
        </w:rPr>
      </w:pPr>
      <w:r w:rsidRPr="000D2EF2">
        <w:rPr>
          <w:rFonts w:ascii="Geomanist Light" w:eastAsia="Calibri" w:hAnsi="Geomanist Light" w:cs="Arial"/>
          <w:sz w:val="20"/>
          <w:szCs w:val="20"/>
          <w:lang w:val="es-ES" w:eastAsia="en-US"/>
        </w:rPr>
        <w:t>Ahora bien, el «Documento Base» de los documentos tipo de licitación de obra pública de infraestructura de transporte – Versión 3 y los documentos tipo para los procesos de selección abreviada de menor cuantía de obra pública de infraestructura de transporte – Versión 2, establece la acreditación de pagos de seguridad social y aportes legales de personas jurídicas, personas naturales y proponentes plurales para la suscripción del contrato y durante su ejecución. En este sentido, el numeral 3.4.4 «seguridad social para la suscripción del contrato» dispone que «[e]l adjudicatario debe presentar, para la suscripción del respectivo contrato, ante la dependencia respectiva, la declaración donde acredite el pago correspondiente a seguridad social y aportes legales cuando a ellos haya lugar», así mismo, el numeral 3.4.5 del documento base de ambos pliegos, establece que «el contratista debe acreditar, para realizar cada pago del contrato, que se encuentra al día en los aportes parafiscales relativos al Sistema de Seguridad Social Integral […]». De estos numerales se deriva que las entidades estatales contratantes verificarán el cumplimiento del pago de los aportes al Sistema de Seguridad Social Integral, por parte de los contratistas del Estado, durante el procedimiento de selección, la suscripción del contrato y durante su ejecución, de la manera explicada.</w:t>
      </w:r>
    </w:p>
    <w:p w14:paraId="5D5F470B" w14:textId="04DB0908" w:rsidR="00B133BB" w:rsidRPr="00874A39" w:rsidRDefault="00C53864" w:rsidP="00C53864">
      <w:pPr>
        <w:spacing w:after="160" w:line="259" w:lineRule="auto"/>
        <w:rPr>
          <w:rFonts w:ascii="Geomanist Light" w:eastAsia="Arial" w:hAnsi="Geomanist Light" w:cs="Arial"/>
          <w:b/>
          <w:sz w:val="22"/>
          <w:szCs w:val="22"/>
          <w:lang w:val="es-ES" w:eastAsia="en-US"/>
        </w:rPr>
      </w:pPr>
      <w:r w:rsidRPr="00874A39">
        <w:rPr>
          <w:rFonts w:ascii="Geomanist Light" w:eastAsia="Arial" w:hAnsi="Geomanist Light" w:cs="Arial"/>
          <w:color w:val="000000"/>
          <w:sz w:val="22"/>
          <w:lang w:val="es-ES" w:eastAsia="es-MX"/>
        </w:rPr>
        <w:tab/>
      </w:r>
    </w:p>
    <w:p w14:paraId="7DD27475" w14:textId="77777777" w:rsidR="00FB6F3C" w:rsidRPr="00874A39" w:rsidRDefault="00FB6F3C" w:rsidP="007E0640">
      <w:pPr>
        <w:tabs>
          <w:tab w:val="left" w:pos="3374"/>
        </w:tabs>
        <w:jc w:val="both"/>
        <w:rPr>
          <w:rFonts w:ascii="Geomanist Light" w:eastAsia="Arial" w:hAnsi="Geomanist Light" w:cs="Arial"/>
          <w:b/>
          <w:sz w:val="22"/>
          <w:szCs w:val="22"/>
          <w:lang w:val="es-ES" w:eastAsia="en-US"/>
        </w:rPr>
      </w:pPr>
    </w:p>
    <w:p w14:paraId="56421736" w14:textId="7AC8A3A8" w:rsidR="000D2EF2" w:rsidRDefault="000D2EF2">
      <w:pPr>
        <w:spacing w:after="160" w:line="259" w:lineRule="auto"/>
        <w:rPr>
          <w:rFonts w:ascii="Geomanist Light" w:eastAsia="Calibri" w:hAnsi="Geomanist Light" w:cs="Arial"/>
          <w:lang w:val="es-ES_tradnl"/>
        </w:rPr>
      </w:pPr>
      <w:r>
        <w:rPr>
          <w:rFonts w:ascii="Geomanist Light" w:eastAsia="Calibri" w:hAnsi="Geomanist Light" w:cs="Arial"/>
          <w:lang w:val="es-ES_tradnl"/>
        </w:rPr>
        <w:br w:type="page"/>
      </w:r>
    </w:p>
    <w:p w14:paraId="7E3B6CB2" w14:textId="0D60AE5B" w:rsidR="007E0640" w:rsidRDefault="008F050C" w:rsidP="009177E8">
      <w:pPr>
        <w:tabs>
          <w:tab w:val="left" w:pos="3374"/>
        </w:tabs>
        <w:rPr>
          <w:rFonts w:ascii="Geomanist Light" w:eastAsia="Calibri" w:hAnsi="Geomanist Light" w:cs="Arial"/>
          <w:lang w:val="es-ES_tradnl"/>
        </w:rPr>
      </w:pPr>
      <w:r>
        <w:rPr>
          <w:rFonts w:ascii="Geomanist Light" w:eastAsia="Calibri" w:hAnsi="Geomanist Light" w:cs="Arial"/>
          <w:lang w:val="es-ES_tradnl"/>
        </w:rPr>
        <w:lastRenderedPageBreak/>
        <w:t xml:space="preserve">Bogotá D.C. </w:t>
      </w:r>
      <w:r w:rsidR="00207FAC">
        <w:rPr>
          <w:rFonts w:ascii="Geomanist Light" w:eastAsia="Calibri" w:hAnsi="Geomanist Light" w:cs="Arial"/>
          <w:lang w:val="es-ES_tradnl"/>
        </w:rPr>
        <w:t>29 de noviembre de 2022</w:t>
      </w:r>
    </w:p>
    <w:p w14:paraId="13E9D390" w14:textId="70D48A2B" w:rsidR="008F050C" w:rsidRDefault="008F050C" w:rsidP="009177E8">
      <w:pPr>
        <w:tabs>
          <w:tab w:val="left" w:pos="3374"/>
        </w:tabs>
        <w:rPr>
          <w:rFonts w:ascii="Geomanist Light" w:eastAsia="Calibri" w:hAnsi="Geomanist Light" w:cs="Arial"/>
          <w:lang w:val="es-ES_tradnl"/>
        </w:rPr>
      </w:pPr>
    </w:p>
    <w:p w14:paraId="24C57C99" w14:textId="4653F9DE" w:rsidR="00207FAC" w:rsidRDefault="00207FAC" w:rsidP="00207FAC">
      <w:pPr>
        <w:tabs>
          <w:tab w:val="left" w:pos="3374"/>
        </w:tabs>
        <w:jc w:val="right"/>
        <w:rPr>
          <w:rFonts w:ascii="Geomanist Light" w:eastAsia="Calibri" w:hAnsi="Geomanist Light" w:cs="Arial"/>
          <w:lang w:val="es-ES_tradnl"/>
        </w:rPr>
      </w:pPr>
      <w:r>
        <w:rPr>
          <w:noProof/>
          <w:lang w:val="en-US" w:eastAsia="en-US"/>
        </w:rPr>
        <w:drawing>
          <wp:inline distT="0" distB="0" distL="0" distR="0" wp14:anchorId="1EA5A4A6" wp14:editId="377F4AF9">
            <wp:extent cx="3419475" cy="95398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7035" t="67092" r="15861" b="9532"/>
                    <a:stretch/>
                  </pic:blipFill>
                  <pic:spPr bwMode="auto">
                    <a:xfrm>
                      <a:off x="0" y="0"/>
                      <a:ext cx="3429980" cy="956915"/>
                    </a:xfrm>
                    <a:prstGeom prst="rect">
                      <a:avLst/>
                    </a:prstGeom>
                    <a:ln>
                      <a:noFill/>
                    </a:ln>
                    <a:extLst>
                      <a:ext uri="{53640926-AAD7-44D8-BBD7-CCE9431645EC}">
                        <a14:shadowObscured xmlns:a14="http://schemas.microsoft.com/office/drawing/2010/main"/>
                      </a:ext>
                    </a:extLst>
                  </pic:spPr>
                </pic:pic>
              </a:graphicData>
            </a:graphic>
          </wp:inline>
        </w:drawing>
      </w:r>
    </w:p>
    <w:p w14:paraId="399C47A4" w14:textId="6A5B3CB1" w:rsidR="00137E23" w:rsidRPr="00874A39" w:rsidRDefault="00137E23" w:rsidP="00B75FA7">
      <w:pPr>
        <w:tabs>
          <w:tab w:val="left" w:pos="3374"/>
        </w:tabs>
        <w:rPr>
          <w:rFonts w:ascii="Geomanist Light" w:eastAsia="Calibri" w:hAnsi="Geomanist Light" w:cs="Arial"/>
          <w:sz w:val="22"/>
          <w:szCs w:val="22"/>
        </w:rPr>
      </w:pPr>
      <w:r w:rsidRPr="00874A39">
        <w:rPr>
          <w:rFonts w:ascii="Geomanist Light" w:eastAsia="Calibri" w:hAnsi="Geomanist Light" w:cs="Arial"/>
          <w:sz w:val="22"/>
          <w:szCs w:val="22"/>
        </w:rPr>
        <w:t>Señor</w:t>
      </w:r>
    </w:p>
    <w:p w14:paraId="71737599" w14:textId="676292DE" w:rsidR="009177E8" w:rsidRPr="00874A39" w:rsidRDefault="009177E8" w:rsidP="00B75FA7">
      <w:pPr>
        <w:rPr>
          <w:rFonts w:ascii="Geomanist Light" w:hAnsi="Geomanist Light" w:cs="Arial"/>
          <w:b/>
          <w:bCs/>
          <w:sz w:val="22"/>
          <w:szCs w:val="22"/>
          <w:lang w:val="es-ES"/>
        </w:rPr>
      </w:pPr>
      <w:r w:rsidRPr="00874A39">
        <w:rPr>
          <w:rFonts w:ascii="Geomanist Light" w:hAnsi="Geomanist Light" w:cs="Arial"/>
          <w:b/>
          <w:bCs/>
          <w:sz w:val="22"/>
          <w:szCs w:val="22"/>
          <w:lang w:val="es-ES"/>
        </w:rPr>
        <w:t>Luis Alexis Correa Salazar</w:t>
      </w:r>
    </w:p>
    <w:p w14:paraId="357CFE52" w14:textId="7429639A" w:rsidR="009177E8" w:rsidRPr="00874A39" w:rsidRDefault="00D0375F" w:rsidP="009177E8">
      <w:pPr>
        <w:spacing w:after="240" w:line="276" w:lineRule="auto"/>
        <w:rPr>
          <w:rFonts w:ascii="Geomanist Light" w:eastAsia="Calibri" w:hAnsi="Geomanist Light" w:cs="Arial"/>
          <w:sz w:val="22"/>
          <w:szCs w:val="22"/>
        </w:rPr>
      </w:pPr>
      <w:r w:rsidRPr="00874A39">
        <w:rPr>
          <w:rFonts w:ascii="Geomanist Light" w:eastAsia="Calibri" w:hAnsi="Geomanist Light" w:cs="Arial"/>
          <w:sz w:val="22"/>
          <w:szCs w:val="22"/>
        </w:rPr>
        <w:t>Piedecuesta, Santander</w:t>
      </w:r>
      <w:r w:rsidR="009177E8" w:rsidRPr="00874A39">
        <w:rPr>
          <w:rFonts w:ascii="Geomanist Light" w:eastAsia="Calibri" w:hAnsi="Geomanist Light" w:cs="Arial"/>
          <w:sz w:val="22"/>
          <w:szCs w:val="22"/>
        </w:rPr>
        <w:t xml:space="preserve"> </w:t>
      </w:r>
    </w:p>
    <w:p w14:paraId="1F232330" w14:textId="3B8991B0" w:rsidR="00137E23" w:rsidRPr="00874A39" w:rsidRDefault="00137E23" w:rsidP="00B75FA7">
      <w:pPr>
        <w:spacing w:before="120" w:after="240" w:line="276" w:lineRule="auto"/>
        <w:ind w:left="2116" w:firstLine="708"/>
        <w:rPr>
          <w:rFonts w:ascii="Geomanist Light" w:eastAsia="Calibri" w:hAnsi="Geomanist Light" w:cs="Arial"/>
          <w:b/>
          <w:sz w:val="22"/>
          <w:szCs w:val="22"/>
        </w:rPr>
      </w:pPr>
      <w:r w:rsidRPr="00874A39">
        <w:rPr>
          <w:rFonts w:ascii="Geomanist Light" w:eastAsia="Calibri" w:hAnsi="Geomanist Light" w:cs="Arial"/>
          <w:b/>
          <w:sz w:val="22"/>
          <w:szCs w:val="22"/>
        </w:rPr>
        <w:t>Concepto C –</w:t>
      </w:r>
      <w:r w:rsidR="00926EB3" w:rsidRPr="00874A39">
        <w:rPr>
          <w:rFonts w:ascii="Geomanist Light" w:eastAsia="Calibri" w:hAnsi="Geomanist Light" w:cs="Arial"/>
          <w:b/>
          <w:sz w:val="22"/>
          <w:szCs w:val="22"/>
        </w:rPr>
        <w:t xml:space="preserve"> </w:t>
      </w:r>
      <w:r w:rsidR="00352D65" w:rsidRPr="00874A39">
        <w:rPr>
          <w:rFonts w:ascii="Geomanist Light" w:eastAsia="Calibri" w:hAnsi="Geomanist Light" w:cs="Arial"/>
          <w:b/>
          <w:sz w:val="22"/>
          <w:szCs w:val="22"/>
        </w:rPr>
        <w:t>778</w:t>
      </w:r>
      <w:r w:rsidR="009177E8" w:rsidRPr="00874A39">
        <w:rPr>
          <w:rFonts w:ascii="Geomanist Light" w:eastAsia="Calibri" w:hAnsi="Geomanist Light" w:cs="Arial"/>
          <w:b/>
          <w:sz w:val="22"/>
          <w:szCs w:val="22"/>
        </w:rPr>
        <w:t xml:space="preserve"> </w:t>
      </w:r>
      <w:r w:rsidRPr="00874A39">
        <w:rPr>
          <w:rFonts w:ascii="Geomanist Light" w:eastAsia="Calibri" w:hAnsi="Geomanist Light" w:cs="Arial"/>
          <w:b/>
          <w:sz w:val="22"/>
          <w:szCs w:val="22"/>
        </w:rPr>
        <w:t>de 202</w:t>
      </w:r>
      <w:r w:rsidR="000E0118" w:rsidRPr="00874A39">
        <w:rPr>
          <w:rFonts w:ascii="Geomanist Light" w:eastAsia="Calibri" w:hAnsi="Geomanist Light" w:cs="Arial"/>
          <w:b/>
          <w:sz w:val="22"/>
          <w:szCs w:val="22"/>
        </w:rPr>
        <w:t>2</w:t>
      </w:r>
    </w:p>
    <w:p w14:paraId="5AFE9AFD" w14:textId="53B7D7B7" w:rsidR="004D7AAD" w:rsidRPr="00874A39" w:rsidRDefault="00A30642" w:rsidP="004D7AAD">
      <w:pPr>
        <w:ind w:left="2835" w:hanging="2835"/>
        <w:jc w:val="both"/>
        <w:rPr>
          <w:rFonts w:ascii="Geomanist Light" w:eastAsia="Calibri" w:hAnsi="Geomanist Light" w:cs="Arial"/>
          <w:bCs/>
          <w:color w:val="1A1A1A" w:themeColor="background1" w:themeShade="1A"/>
          <w:sz w:val="22"/>
          <w:szCs w:val="22"/>
          <w:lang w:val="es-ES_tradnl"/>
        </w:rPr>
      </w:pPr>
      <w:r w:rsidRPr="00874A39">
        <w:rPr>
          <w:rFonts w:ascii="Geomanist Light" w:eastAsia="Calibri" w:hAnsi="Geomanist Light" w:cs="Arial"/>
          <w:b/>
          <w:noProof/>
          <w:color w:val="1A1A1A" w:themeColor="background1" w:themeShade="1A"/>
          <w:sz w:val="22"/>
          <w:szCs w:val="22"/>
          <w:lang w:val="es-ES_tradnl"/>
        </w:rPr>
        <w:t>Temas</w:t>
      </w:r>
      <w:r w:rsidRPr="00874A39">
        <w:rPr>
          <w:rFonts w:ascii="Geomanist Light" w:eastAsia="Calibri" w:hAnsi="Geomanist Light" w:cs="Arial"/>
          <w:bCs/>
          <w:noProof/>
          <w:color w:val="1A1A1A" w:themeColor="background1" w:themeShade="1A"/>
          <w:sz w:val="22"/>
          <w:szCs w:val="22"/>
          <w:lang w:val="es-ES_tradnl"/>
        </w:rPr>
        <w:t xml:space="preserve">: </w:t>
      </w:r>
      <w:r w:rsidRPr="00874A39">
        <w:rPr>
          <w:rFonts w:ascii="Geomanist Light" w:eastAsia="Calibri" w:hAnsi="Geomanist Light" w:cs="Arial"/>
          <w:bCs/>
          <w:noProof/>
          <w:color w:val="1A1A1A" w:themeColor="background1" w:themeShade="1A"/>
          <w:sz w:val="22"/>
          <w:szCs w:val="22"/>
          <w:lang w:val="es-ES_tradnl"/>
        </w:rPr>
        <w:tab/>
      </w:r>
      <w:r w:rsidR="005A5045" w:rsidRPr="00874A39">
        <w:rPr>
          <w:rFonts w:ascii="Geomanist Light" w:eastAsia="Calibri" w:hAnsi="Geomanist Light" w:cs="Arial"/>
          <w:bCs/>
          <w:noProof/>
          <w:color w:val="1A1A1A" w:themeColor="background1" w:themeShade="1A"/>
          <w:sz w:val="22"/>
          <w:szCs w:val="22"/>
          <w:lang w:val="es-ES_tradnl"/>
        </w:rPr>
        <w:t>SEGURIDAD SOCIAL – Verificación – Pago – Persona natural – Persona jurídica / DOCUMENTOS TIPO – Licitación de obra pública Versión 3 – Selección abreviada de menor cuantía – Versión 2 – Seguridad social – Personas naturales – Personas jurídicas</w:t>
      </w:r>
    </w:p>
    <w:p w14:paraId="20A3B6D4" w14:textId="7D7A9EF6" w:rsidR="00163D53" w:rsidRPr="00874A39" w:rsidRDefault="00A30642" w:rsidP="00B75FA7">
      <w:pPr>
        <w:spacing w:before="120" w:after="240" w:line="276" w:lineRule="auto"/>
        <w:ind w:left="2824" w:hanging="2818"/>
        <w:jc w:val="both"/>
        <w:rPr>
          <w:rFonts w:ascii="Geomanist Light" w:eastAsia="Calibri" w:hAnsi="Geomanist Light" w:cs="Arial"/>
          <w:bCs/>
          <w:noProof/>
          <w:color w:val="1A1A1A" w:themeColor="background1" w:themeShade="1A"/>
          <w:sz w:val="22"/>
          <w:szCs w:val="22"/>
          <w:lang w:val="es-ES_tradnl"/>
        </w:rPr>
      </w:pPr>
      <w:r w:rsidRPr="00874A39">
        <w:rPr>
          <w:rFonts w:ascii="Geomanist Light" w:eastAsia="Calibri" w:hAnsi="Geomanist Light" w:cs="Arial"/>
          <w:b/>
          <w:noProof/>
          <w:color w:val="1A1A1A" w:themeColor="background1" w:themeShade="1A"/>
          <w:sz w:val="22"/>
          <w:szCs w:val="22"/>
          <w:lang w:val="es-ES_tradnl"/>
        </w:rPr>
        <w:t>Radicación</w:t>
      </w:r>
      <w:r w:rsidRPr="00874A39">
        <w:rPr>
          <w:rFonts w:ascii="Geomanist Light" w:eastAsia="Calibri" w:hAnsi="Geomanist Light" w:cs="Arial"/>
          <w:bCs/>
          <w:noProof/>
          <w:color w:val="1A1A1A" w:themeColor="background1" w:themeShade="1A"/>
          <w:sz w:val="22"/>
          <w:szCs w:val="22"/>
          <w:lang w:val="es-ES_tradnl"/>
        </w:rPr>
        <w:t>:</w:t>
      </w:r>
      <w:r w:rsidRPr="00874A39">
        <w:rPr>
          <w:rFonts w:ascii="Geomanist Light" w:eastAsia="Calibri" w:hAnsi="Geomanist Light" w:cs="Arial"/>
          <w:bCs/>
          <w:noProof/>
          <w:color w:val="1A1A1A" w:themeColor="background1" w:themeShade="1A"/>
          <w:sz w:val="22"/>
          <w:szCs w:val="22"/>
          <w:lang w:val="es-ES_tradnl"/>
        </w:rPr>
        <w:tab/>
        <w:t>Respuesta a consulta</w:t>
      </w:r>
      <w:r w:rsidR="00B133BB" w:rsidRPr="00874A39">
        <w:rPr>
          <w:rFonts w:ascii="Geomanist Light" w:eastAsia="Calibri" w:hAnsi="Geomanist Light" w:cs="Arial"/>
          <w:bCs/>
          <w:noProof/>
          <w:color w:val="1A1A1A" w:themeColor="background1" w:themeShade="1A"/>
          <w:sz w:val="22"/>
          <w:szCs w:val="22"/>
          <w:lang w:val="es-ES_tradnl"/>
        </w:rPr>
        <w:t>s</w:t>
      </w:r>
      <w:r w:rsidR="004D7AAD" w:rsidRPr="00874A39">
        <w:rPr>
          <w:rFonts w:ascii="Geomanist Light" w:eastAsia="Calibri" w:hAnsi="Geomanist Light" w:cs="Arial"/>
          <w:b/>
          <w:sz w:val="22"/>
          <w:szCs w:val="22"/>
          <w:lang w:val="es-MX"/>
        </w:rPr>
        <w:t xml:space="preserve"> </w:t>
      </w:r>
      <w:r w:rsidR="004D7AAD" w:rsidRPr="00874A39">
        <w:rPr>
          <w:rFonts w:ascii="Geomanist Light" w:eastAsia="Calibri" w:hAnsi="Geomanist Light" w:cs="Arial"/>
          <w:bCs/>
          <w:sz w:val="22"/>
          <w:szCs w:val="22"/>
          <w:lang w:val="es-MX"/>
        </w:rPr>
        <w:t>P20221004009966</w:t>
      </w:r>
      <w:r w:rsidR="0041594B" w:rsidRPr="00874A39">
        <w:rPr>
          <w:rFonts w:ascii="Geomanist Light" w:eastAsia="Calibri" w:hAnsi="Geomanist Light" w:cs="Arial"/>
          <w:bCs/>
          <w:sz w:val="22"/>
          <w:szCs w:val="22"/>
          <w:lang w:val="es-MX"/>
        </w:rPr>
        <w:t xml:space="preserve"> y P20221014010397</w:t>
      </w:r>
    </w:p>
    <w:p w14:paraId="75FAD37C" w14:textId="77777777" w:rsidR="00FB6F3C" w:rsidRPr="00874A39" w:rsidRDefault="00FB6F3C" w:rsidP="00F1545F">
      <w:pPr>
        <w:tabs>
          <w:tab w:val="left" w:pos="3374"/>
        </w:tabs>
        <w:spacing w:before="120" w:line="276" w:lineRule="auto"/>
        <w:rPr>
          <w:rFonts w:ascii="Geomanist Light" w:eastAsia="Calibri" w:hAnsi="Geomanist Light" w:cs="Arial"/>
          <w:sz w:val="22"/>
          <w:szCs w:val="22"/>
        </w:rPr>
      </w:pPr>
    </w:p>
    <w:p w14:paraId="5874A272" w14:textId="588BA4A6" w:rsidR="00137E23" w:rsidRPr="00874A39" w:rsidRDefault="00137E23" w:rsidP="005720CE">
      <w:pPr>
        <w:tabs>
          <w:tab w:val="left" w:pos="3374"/>
        </w:tabs>
        <w:spacing w:after="240" w:line="276" w:lineRule="auto"/>
        <w:rPr>
          <w:rFonts w:ascii="Geomanist Light" w:eastAsia="Calibri" w:hAnsi="Geomanist Light" w:cs="Arial"/>
          <w:sz w:val="22"/>
          <w:szCs w:val="22"/>
        </w:rPr>
      </w:pPr>
      <w:r w:rsidRPr="00874A39">
        <w:rPr>
          <w:rFonts w:ascii="Geomanist Light" w:eastAsia="Calibri" w:hAnsi="Geomanist Light" w:cs="Arial"/>
          <w:sz w:val="22"/>
          <w:szCs w:val="22"/>
        </w:rPr>
        <w:t>Estimad</w:t>
      </w:r>
      <w:r w:rsidR="00306D9A" w:rsidRPr="00874A39">
        <w:rPr>
          <w:rFonts w:ascii="Geomanist Light" w:eastAsia="Calibri" w:hAnsi="Geomanist Light" w:cs="Arial"/>
          <w:sz w:val="22"/>
          <w:szCs w:val="22"/>
        </w:rPr>
        <w:t>o</w:t>
      </w:r>
      <w:r w:rsidR="00E62C8E" w:rsidRPr="00874A39">
        <w:rPr>
          <w:rFonts w:ascii="Geomanist Light" w:eastAsia="Calibri" w:hAnsi="Geomanist Light" w:cs="Arial"/>
          <w:sz w:val="22"/>
          <w:szCs w:val="22"/>
        </w:rPr>
        <w:t xml:space="preserve"> </w:t>
      </w:r>
      <w:r w:rsidRPr="00874A39">
        <w:rPr>
          <w:rFonts w:ascii="Geomanist Light" w:eastAsia="Calibri" w:hAnsi="Geomanist Light" w:cs="Arial"/>
          <w:sz w:val="22"/>
          <w:szCs w:val="22"/>
        </w:rPr>
        <w:t>señor</w:t>
      </w:r>
      <w:r w:rsidR="00306D9A" w:rsidRPr="00874A39">
        <w:rPr>
          <w:rFonts w:ascii="Geomanist Light" w:eastAsia="Calibri" w:hAnsi="Geomanist Light" w:cs="Arial"/>
          <w:sz w:val="22"/>
          <w:szCs w:val="22"/>
        </w:rPr>
        <w:t xml:space="preserve"> </w:t>
      </w:r>
      <w:r w:rsidR="004D7AAD" w:rsidRPr="00874A39">
        <w:rPr>
          <w:rFonts w:ascii="Geomanist Light" w:eastAsia="Calibri" w:hAnsi="Geomanist Light" w:cs="Arial"/>
          <w:sz w:val="22"/>
          <w:szCs w:val="22"/>
        </w:rPr>
        <w:t xml:space="preserve">Correa, </w:t>
      </w:r>
      <w:r w:rsidR="00963B2A" w:rsidRPr="00874A39">
        <w:rPr>
          <w:rFonts w:ascii="Geomanist Light" w:eastAsia="Calibri" w:hAnsi="Geomanist Light" w:cs="Arial"/>
          <w:sz w:val="22"/>
          <w:szCs w:val="22"/>
        </w:rPr>
        <w:t xml:space="preserve"> </w:t>
      </w:r>
      <w:r w:rsidR="00E62C8E" w:rsidRPr="00874A39">
        <w:rPr>
          <w:rFonts w:ascii="Geomanist Light" w:hAnsi="Geomanist Light" w:cs="Arial"/>
          <w:sz w:val="22"/>
          <w:szCs w:val="22"/>
        </w:rPr>
        <w:t xml:space="preserve"> </w:t>
      </w:r>
      <w:r w:rsidR="005F6209" w:rsidRPr="00874A39">
        <w:rPr>
          <w:rFonts w:ascii="Geomanist Light" w:hAnsi="Geomanist Light" w:cs="Arial"/>
          <w:b/>
          <w:bCs/>
          <w:sz w:val="22"/>
          <w:szCs w:val="22"/>
        </w:rPr>
        <w:t xml:space="preserve"> </w:t>
      </w:r>
    </w:p>
    <w:p w14:paraId="743F6248" w14:textId="2A12CADD" w:rsidR="00830AB8" w:rsidRPr="00874A39" w:rsidRDefault="00423644" w:rsidP="005720CE">
      <w:pPr>
        <w:spacing w:after="240" w:line="276" w:lineRule="auto"/>
        <w:jc w:val="both"/>
        <w:rPr>
          <w:rFonts w:ascii="Geomanist Light" w:eastAsia="Calibri" w:hAnsi="Geomanist Light" w:cs="Arial"/>
          <w:sz w:val="22"/>
          <w:szCs w:val="22"/>
        </w:rPr>
      </w:pPr>
      <w:r w:rsidRPr="00874A39">
        <w:rPr>
          <w:rFonts w:ascii="Geomanist Light" w:eastAsia="Calibri" w:hAnsi="Geomanist Light" w:cs="Arial"/>
          <w:sz w:val="22"/>
          <w:szCs w:val="22"/>
        </w:rPr>
        <w:t>En ejercicio de la competencia otorgada por el numeral 8 del artículo 11 y el numeral 5 del artículo 3 del Decreto Ley 4170 de 2011, la Agencia Nacional de Contratación Pública− Colombia Compra Eficiente responde su</w:t>
      </w:r>
      <w:r w:rsidR="00731CD0" w:rsidRPr="00874A39">
        <w:rPr>
          <w:rFonts w:ascii="Geomanist Light" w:eastAsia="Calibri" w:hAnsi="Geomanist Light" w:cs="Arial"/>
          <w:sz w:val="22"/>
          <w:szCs w:val="22"/>
        </w:rPr>
        <w:t>s</w:t>
      </w:r>
      <w:r w:rsidRPr="00874A39">
        <w:rPr>
          <w:rFonts w:ascii="Geomanist Light" w:eastAsia="Calibri" w:hAnsi="Geomanist Light" w:cs="Arial"/>
          <w:sz w:val="22"/>
          <w:szCs w:val="22"/>
        </w:rPr>
        <w:t xml:space="preserve"> consulta</w:t>
      </w:r>
      <w:r w:rsidR="00F74C08" w:rsidRPr="00874A39">
        <w:rPr>
          <w:rFonts w:ascii="Geomanist Light" w:eastAsia="Calibri" w:hAnsi="Geomanist Light" w:cs="Arial"/>
          <w:sz w:val="22"/>
          <w:szCs w:val="22"/>
        </w:rPr>
        <w:t>s</w:t>
      </w:r>
      <w:r w:rsidRPr="00874A39">
        <w:rPr>
          <w:rFonts w:ascii="Geomanist Light" w:eastAsia="Calibri" w:hAnsi="Geomanist Light" w:cs="Arial"/>
          <w:sz w:val="22"/>
          <w:szCs w:val="22"/>
        </w:rPr>
        <w:t xml:space="preserve"> </w:t>
      </w:r>
      <w:r w:rsidR="004052CC" w:rsidRPr="00874A39">
        <w:rPr>
          <w:rFonts w:ascii="Geomanist Light" w:eastAsia="Calibri" w:hAnsi="Geomanist Light" w:cs="Arial"/>
          <w:sz w:val="22"/>
          <w:szCs w:val="22"/>
        </w:rPr>
        <w:t>de fecha</w:t>
      </w:r>
      <w:r w:rsidR="00F74C08" w:rsidRPr="00874A39">
        <w:rPr>
          <w:rFonts w:ascii="Geomanist Light" w:eastAsia="Calibri" w:hAnsi="Geomanist Light" w:cs="Arial"/>
          <w:sz w:val="22"/>
          <w:szCs w:val="22"/>
        </w:rPr>
        <w:t>s</w:t>
      </w:r>
      <w:r w:rsidR="004052CC" w:rsidRPr="00874A39">
        <w:rPr>
          <w:rFonts w:ascii="Geomanist Light" w:eastAsia="Calibri" w:hAnsi="Geomanist Light" w:cs="Arial"/>
          <w:sz w:val="22"/>
          <w:szCs w:val="22"/>
        </w:rPr>
        <w:t xml:space="preserve"> </w:t>
      </w:r>
      <w:r w:rsidR="004D7AAD" w:rsidRPr="00874A39">
        <w:rPr>
          <w:rFonts w:ascii="Geomanist Light" w:eastAsia="Calibri" w:hAnsi="Geomanist Light" w:cs="Arial"/>
          <w:sz w:val="22"/>
          <w:szCs w:val="22"/>
        </w:rPr>
        <w:t>4</w:t>
      </w:r>
      <w:r w:rsidR="00F74C08" w:rsidRPr="00874A39">
        <w:rPr>
          <w:rFonts w:ascii="Geomanist Light" w:eastAsia="Calibri" w:hAnsi="Geomanist Light" w:cs="Arial"/>
          <w:sz w:val="22"/>
          <w:szCs w:val="22"/>
        </w:rPr>
        <w:t xml:space="preserve"> y 14</w:t>
      </w:r>
      <w:r w:rsidR="004D7AAD" w:rsidRPr="00874A39">
        <w:rPr>
          <w:rFonts w:ascii="Geomanist Light" w:eastAsia="Calibri" w:hAnsi="Geomanist Light" w:cs="Arial"/>
          <w:sz w:val="22"/>
          <w:szCs w:val="22"/>
        </w:rPr>
        <w:t xml:space="preserve"> de octubre de 2022. </w:t>
      </w:r>
    </w:p>
    <w:p w14:paraId="6A56E98F" w14:textId="77777777" w:rsidR="00830AB8" w:rsidRPr="00874A39" w:rsidRDefault="00830AB8" w:rsidP="00237DB3">
      <w:pPr>
        <w:tabs>
          <w:tab w:val="left" w:pos="284"/>
        </w:tabs>
        <w:spacing w:line="276" w:lineRule="auto"/>
        <w:contextualSpacing/>
        <w:jc w:val="both"/>
        <w:rPr>
          <w:rFonts w:ascii="Geomanist Light" w:eastAsia="Calibri" w:hAnsi="Geomanist Light" w:cs="Arial"/>
          <w:b/>
          <w:sz w:val="22"/>
          <w:szCs w:val="22"/>
        </w:rPr>
      </w:pPr>
      <w:r w:rsidRPr="00874A39">
        <w:rPr>
          <w:rFonts w:ascii="Geomanist Light" w:eastAsia="Calibri" w:hAnsi="Geomanist Light" w:cs="Arial"/>
          <w:b/>
          <w:sz w:val="22"/>
          <w:szCs w:val="22"/>
        </w:rPr>
        <w:t xml:space="preserve">1. Problema planteado </w:t>
      </w:r>
    </w:p>
    <w:p w14:paraId="3DE3DB7B" w14:textId="77777777" w:rsidR="00237DB3" w:rsidRDefault="00237DB3" w:rsidP="00237DB3">
      <w:pPr>
        <w:spacing w:line="276" w:lineRule="auto"/>
        <w:jc w:val="both"/>
        <w:rPr>
          <w:rFonts w:ascii="Geomanist Light" w:hAnsi="Geomanist Light" w:cs="Arial"/>
          <w:color w:val="1A1A1A" w:themeColor="background1" w:themeShade="1A"/>
          <w:sz w:val="22"/>
          <w:szCs w:val="22"/>
          <w:lang w:val="es-ES_tradnl"/>
        </w:rPr>
      </w:pPr>
    </w:p>
    <w:p w14:paraId="5A1430E4" w14:textId="0E3FBA89" w:rsidR="00FF5BF5" w:rsidRDefault="00F74C08" w:rsidP="00237DB3">
      <w:pPr>
        <w:spacing w:line="276" w:lineRule="auto"/>
        <w:jc w:val="both"/>
        <w:rPr>
          <w:rFonts w:ascii="Geomanist Light" w:hAnsi="Geomanist Light" w:cs="Arial"/>
          <w:color w:val="1A1A1A" w:themeColor="background1" w:themeShade="1A"/>
          <w:sz w:val="22"/>
          <w:szCs w:val="22"/>
          <w:lang w:val="es-ES_tradnl"/>
        </w:rPr>
      </w:pPr>
      <w:r w:rsidRPr="00874A39">
        <w:rPr>
          <w:rFonts w:ascii="Geomanist Light" w:hAnsi="Geomanist Light" w:cs="Arial"/>
          <w:color w:val="1A1A1A" w:themeColor="background1" w:themeShade="1A"/>
          <w:sz w:val="22"/>
          <w:szCs w:val="22"/>
          <w:lang w:val="es-ES_tradnl"/>
        </w:rPr>
        <w:t xml:space="preserve">En el radicado </w:t>
      </w:r>
      <w:r w:rsidRPr="00874A39">
        <w:rPr>
          <w:rFonts w:ascii="Geomanist Light" w:eastAsia="Calibri" w:hAnsi="Geomanist Light" w:cs="Arial"/>
          <w:bCs/>
          <w:sz w:val="22"/>
          <w:szCs w:val="22"/>
          <w:lang w:val="es-MX"/>
        </w:rPr>
        <w:t xml:space="preserve">P20221004009966 de 4 de octubre de 2022, </w:t>
      </w:r>
      <w:r w:rsidRPr="00874A39">
        <w:rPr>
          <w:rFonts w:ascii="Geomanist Light" w:hAnsi="Geomanist Light" w:cs="Arial"/>
          <w:color w:val="1A1A1A" w:themeColor="background1" w:themeShade="1A"/>
          <w:sz w:val="22"/>
          <w:szCs w:val="22"/>
          <w:lang w:val="es-ES_tradnl"/>
        </w:rPr>
        <w:t>u</w:t>
      </w:r>
      <w:r w:rsidR="00FF5BF5" w:rsidRPr="00874A39">
        <w:rPr>
          <w:rFonts w:ascii="Geomanist Light" w:hAnsi="Geomanist Light" w:cs="Arial"/>
          <w:color w:val="1A1A1A" w:themeColor="background1" w:themeShade="1A"/>
          <w:sz w:val="22"/>
          <w:szCs w:val="22"/>
          <w:lang w:val="es-ES_tradnl"/>
        </w:rPr>
        <w:t>sted formula la siguiente consulta</w:t>
      </w:r>
      <w:r w:rsidR="00AC7CFB" w:rsidRPr="00874A39">
        <w:rPr>
          <w:rFonts w:ascii="Geomanist Light" w:hAnsi="Geomanist Light" w:cs="Arial"/>
          <w:color w:val="1A1A1A" w:themeColor="background1" w:themeShade="1A"/>
          <w:sz w:val="22"/>
          <w:szCs w:val="22"/>
          <w:lang w:val="es-ES_tradnl"/>
        </w:rPr>
        <w:t xml:space="preserve"> en </w:t>
      </w:r>
      <w:r w:rsidR="006D5381" w:rsidRPr="00874A39">
        <w:rPr>
          <w:rFonts w:ascii="Geomanist Light" w:hAnsi="Geomanist Light" w:cs="Arial"/>
          <w:color w:val="1A1A1A" w:themeColor="background1" w:themeShade="1A"/>
          <w:sz w:val="22"/>
          <w:szCs w:val="22"/>
          <w:lang w:val="es-ES_tradnl"/>
        </w:rPr>
        <w:t>rela</w:t>
      </w:r>
      <w:r w:rsidR="00AC7CFB" w:rsidRPr="00874A39">
        <w:rPr>
          <w:rFonts w:ascii="Geomanist Light" w:hAnsi="Geomanist Light" w:cs="Arial"/>
          <w:color w:val="1A1A1A" w:themeColor="background1" w:themeShade="1A"/>
          <w:sz w:val="22"/>
          <w:szCs w:val="22"/>
          <w:lang w:val="es-ES_tradnl"/>
        </w:rPr>
        <w:t>ción la acreditación de pago de aportes al sistema de seguridad social en procesos adelantados con documentos ti</w:t>
      </w:r>
      <w:r w:rsidR="004056AA" w:rsidRPr="00874A39">
        <w:rPr>
          <w:rFonts w:ascii="Geomanist Light" w:hAnsi="Geomanist Light" w:cs="Arial"/>
          <w:color w:val="1A1A1A" w:themeColor="background1" w:themeShade="1A"/>
          <w:sz w:val="22"/>
          <w:szCs w:val="22"/>
          <w:lang w:val="es-ES_tradnl"/>
        </w:rPr>
        <w:t>po. Al respecto pregunta</w:t>
      </w:r>
      <w:r w:rsidR="00FF5BF5" w:rsidRPr="00874A39">
        <w:rPr>
          <w:rFonts w:ascii="Geomanist Light" w:hAnsi="Geomanist Light" w:cs="Arial"/>
          <w:color w:val="1A1A1A" w:themeColor="background1" w:themeShade="1A"/>
          <w:sz w:val="22"/>
          <w:szCs w:val="22"/>
          <w:lang w:val="es-ES_tradnl"/>
        </w:rPr>
        <w:t xml:space="preserve">: </w:t>
      </w:r>
    </w:p>
    <w:p w14:paraId="37E64709" w14:textId="77777777" w:rsidR="00237DB3" w:rsidRPr="00874A39" w:rsidRDefault="00237DB3" w:rsidP="00237DB3">
      <w:pPr>
        <w:spacing w:line="276" w:lineRule="auto"/>
        <w:jc w:val="both"/>
        <w:rPr>
          <w:rFonts w:ascii="Geomanist Light" w:hAnsi="Geomanist Light" w:cs="Arial"/>
          <w:color w:val="1A1A1A" w:themeColor="background1" w:themeShade="1A"/>
          <w:sz w:val="22"/>
          <w:szCs w:val="22"/>
          <w:lang w:val="es-ES_tradnl"/>
        </w:rPr>
      </w:pPr>
    </w:p>
    <w:p w14:paraId="473B47CA" w14:textId="4725DE71" w:rsidR="004D7AAD" w:rsidRPr="00874A39" w:rsidRDefault="00115CC8" w:rsidP="005720CE">
      <w:pPr>
        <w:spacing w:after="240"/>
        <w:ind w:left="567" w:right="851"/>
        <w:jc w:val="both"/>
        <w:rPr>
          <w:rFonts w:ascii="Geomanist Light" w:hAnsi="Geomanist Light" w:cs="Arial"/>
          <w:color w:val="1A1A1A" w:themeColor="background1" w:themeShade="1A"/>
          <w:sz w:val="21"/>
          <w:szCs w:val="21"/>
        </w:rPr>
      </w:pPr>
      <w:bookmarkStart w:id="1" w:name="_Hlk106025682"/>
      <w:r w:rsidRPr="00874A39">
        <w:rPr>
          <w:rFonts w:ascii="Geomanist Light" w:hAnsi="Geomanist Light" w:cs="Arial"/>
          <w:color w:val="1A1A1A" w:themeColor="background1" w:themeShade="1A"/>
          <w:sz w:val="21"/>
          <w:szCs w:val="21"/>
        </w:rPr>
        <w:t>«</w:t>
      </w:r>
      <w:r w:rsidR="004D7AAD" w:rsidRPr="00874A39">
        <w:rPr>
          <w:rFonts w:ascii="Geomanist Light" w:hAnsi="Geomanist Light" w:cs="Arial"/>
          <w:color w:val="1A1A1A" w:themeColor="background1" w:themeShade="1A"/>
          <w:sz w:val="21"/>
          <w:szCs w:val="21"/>
        </w:rPr>
        <w:t xml:space="preserve">si bien es cierto que el pliego tipo pide para personas naturales que deben acreditar la afiliación al sistema de seguridad social y pensiones aportando los certificados de afiliación respectivos. </w:t>
      </w:r>
      <w:proofErr w:type="gramStart"/>
      <w:r w:rsidR="004D7AAD" w:rsidRPr="00874A39">
        <w:rPr>
          <w:rFonts w:ascii="Geomanist Light" w:hAnsi="Geomanist Light" w:cs="Arial"/>
          <w:color w:val="1A1A1A" w:themeColor="background1" w:themeShade="1A"/>
          <w:sz w:val="21"/>
          <w:szCs w:val="21"/>
        </w:rPr>
        <w:t>En el caso de que se compruebe que la persona natural NO CUMPLE con el pago así aporte las afiliaciones al sistema de seguridad social y pensiones este proponente podría ser rechazado?</w:t>
      </w:r>
      <w:proofErr w:type="gramEnd"/>
    </w:p>
    <w:p w14:paraId="0C380866" w14:textId="77777777" w:rsidR="004D7AAD" w:rsidRPr="00874A39" w:rsidRDefault="004D7AAD" w:rsidP="005720CE">
      <w:pPr>
        <w:spacing w:after="240"/>
        <w:ind w:left="567" w:right="851"/>
        <w:jc w:val="both"/>
        <w:rPr>
          <w:rFonts w:ascii="Geomanist Light" w:hAnsi="Geomanist Light" w:cs="Arial"/>
          <w:color w:val="1A1A1A" w:themeColor="background1" w:themeShade="1A"/>
          <w:sz w:val="21"/>
          <w:szCs w:val="21"/>
        </w:rPr>
      </w:pPr>
      <w:r w:rsidRPr="00874A39">
        <w:rPr>
          <w:rFonts w:ascii="Geomanist Light" w:hAnsi="Geomanist Light" w:cs="Arial"/>
          <w:color w:val="1A1A1A" w:themeColor="background1" w:themeShade="1A"/>
          <w:sz w:val="21"/>
          <w:szCs w:val="21"/>
        </w:rPr>
        <w:lastRenderedPageBreak/>
        <w:t xml:space="preserve">Para el caso de personas </w:t>
      </w:r>
      <w:proofErr w:type="spellStart"/>
      <w:r w:rsidRPr="00874A39">
        <w:rPr>
          <w:rFonts w:ascii="Geomanist Light" w:hAnsi="Geomanist Light" w:cs="Arial"/>
          <w:color w:val="1A1A1A" w:themeColor="background1" w:themeShade="1A"/>
          <w:sz w:val="21"/>
          <w:szCs w:val="21"/>
        </w:rPr>
        <w:t>Juridicas</w:t>
      </w:r>
      <w:proofErr w:type="spellEnd"/>
      <w:r w:rsidRPr="00874A39">
        <w:rPr>
          <w:rFonts w:ascii="Geomanist Light" w:hAnsi="Geomanist Light" w:cs="Arial"/>
          <w:color w:val="1A1A1A" w:themeColor="background1" w:themeShade="1A"/>
          <w:sz w:val="21"/>
          <w:szCs w:val="21"/>
        </w:rPr>
        <w:t xml:space="preserve">: </w:t>
      </w:r>
      <w:proofErr w:type="gramStart"/>
      <w:r w:rsidRPr="00874A39">
        <w:rPr>
          <w:rFonts w:ascii="Geomanist Light" w:hAnsi="Geomanist Light" w:cs="Arial"/>
          <w:color w:val="1A1A1A" w:themeColor="background1" w:themeShade="1A"/>
          <w:sz w:val="21"/>
          <w:szCs w:val="21"/>
        </w:rPr>
        <w:t>si se comprueba que el representante legal de la persona jurídica no paga meses anteriores completos, esto es, que paga un mes o meses parcialmente, o sea, menos de 30 días dentro de los seis meses anteriores al cierre del proceso, la entidad contratante podría rechazarlo o habilitarlo?</w:t>
      </w:r>
      <w:proofErr w:type="gramEnd"/>
    </w:p>
    <w:p w14:paraId="110E7418" w14:textId="12D35D36" w:rsidR="004D7AAD" w:rsidRPr="00874A39" w:rsidRDefault="004D7AAD" w:rsidP="005720CE">
      <w:pPr>
        <w:spacing w:after="240"/>
        <w:ind w:left="567" w:right="851"/>
        <w:jc w:val="both"/>
        <w:rPr>
          <w:rFonts w:ascii="Geomanist Light" w:hAnsi="Geomanist Light" w:cs="Arial"/>
          <w:color w:val="1A1A1A" w:themeColor="background1" w:themeShade="1A"/>
          <w:sz w:val="21"/>
          <w:szCs w:val="21"/>
        </w:rPr>
      </w:pPr>
      <w:proofErr w:type="gramStart"/>
      <w:r w:rsidRPr="00874A39">
        <w:rPr>
          <w:rFonts w:ascii="Geomanist Light" w:hAnsi="Geomanist Light" w:cs="Arial"/>
          <w:color w:val="1A1A1A" w:themeColor="background1" w:themeShade="1A"/>
          <w:sz w:val="21"/>
          <w:szCs w:val="21"/>
        </w:rPr>
        <w:t>Si la respuesta es habilitarlo, que argumentos habría para justificar que en el formato 6 PAGOS DE SEGURIDAD SOCIAL y APORTES LEGALES, que bajo la gravedad de juramento afirma haber cumplido con el pago durante los últimos seis meses?</w:t>
      </w:r>
      <w:proofErr w:type="gramEnd"/>
      <w:r w:rsidR="00115CC8" w:rsidRPr="00874A39">
        <w:rPr>
          <w:rFonts w:ascii="Geomanist Light" w:hAnsi="Geomanist Light" w:cs="Arial"/>
          <w:color w:val="1A1A1A" w:themeColor="background1" w:themeShade="1A"/>
          <w:sz w:val="21"/>
          <w:szCs w:val="21"/>
        </w:rPr>
        <w:t>».</w:t>
      </w:r>
    </w:p>
    <w:p w14:paraId="7AF6B549" w14:textId="6F962629" w:rsidR="004D7AAD" w:rsidRPr="00874A39" w:rsidRDefault="00F74C08" w:rsidP="005720CE">
      <w:pPr>
        <w:spacing w:after="240" w:line="276" w:lineRule="auto"/>
        <w:ind w:firstLine="567"/>
        <w:jc w:val="both"/>
        <w:rPr>
          <w:rFonts w:ascii="Geomanist Light" w:eastAsia="Calibri" w:hAnsi="Geomanist Light" w:cs="Arial"/>
          <w:bCs/>
          <w:sz w:val="22"/>
          <w:szCs w:val="22"/>
          <w:lang w:val="es-MX"/>
        </w:rPr>
      </w:pPr>
      <w:r w:rsidRPr="00874A39">
        <w:rPr>
          <w:rFonts w:ascii="Geomanist Light" w:hAnsi="Geomanist Light" w:cs="Arial"/>
          <w:color w:val="1A1A1A" w:themeColor="background1" w:themeShade="1A"/>
          <w:sz w:val="22"/>
          <w:szCs w:val="22"/>
        </w:rPr>
        <w:t xml:space="preserve">Posteriormente, el radicado </w:t>
      </w:r>
      <w:r w:rsidRPr="00874A39">
        <w:rPr>
          <w:rFonts w:ascii="Geomanist Light" w:eastAsia="Calibri" w:hAnsi="Geomanist Light" w:cs="Arial"/>
          <w:bCs/>
          <w:sz w:val="22"/>
          <w:szCs w:val="22"/>
          <w:lang w:val="es-MX"/>
        </w:rPr>
        <w:t>P20221014010397 del 14 de octubre de 2022, usted reitera el anterior texto</w:t>
      </w:r>
      <w:r w:rsidR="007C492C" w:rsidRPr="00874A39">
        <w:rPr>
          <w:rFonts w:ascii="Geomanist Light" w:eastAsia="Calibri" w:hAnsi="Geomanist Light" w:cs="Arial"/>
          <w:bCs/>
          <w:sz w:val="22"/>
          <w:szCs w:val="22"/>
          <w:lang w:val="es-MX"/>
        </w:rPr>
        <w:t>, adicionando lo siguiente:</w:t>
      </w:r>
    </w:p>
    <w:p w14:paraId="66C779F5" w14:textId="30995DD7" w:rsidR="00F74C08" w:rsidRPr="00874A39" w:rsidRDefault="007C492C" w:rsidP="00237DB3">
      <w:pPr>
        <w:spacing w:after="240"/>
        <w:ind w:left="567" w:right="851"/>
        <w:jc w:val="both"/>
        <w:rPr>
          <w:rFonts w:ascii="Geomanist Light" w:hAnsi="Geomanist Light" w:cs="Arial"/>
          <w:color w:val="1A1A1A" w:themeColor="background1" w:themeShade="1A"/>
          <w:sz w:val="21"/>
          <w:szCs w:val="21"/>
        </w:rPr>
      </w:pPr>
      <w:r w:rsidRPr="00874A39">
        <w:rPr>
          <w:rFonts w:ascii="Geomanist Light" w:hAnsi="Geomanist Light" w:cs="Arial"/>
          <w:color w:val="1A1A1A" w:themeColor="background1" w:themeShade="1A"/>
          <w:sz w:val="21"/>
          <w:szCs w:val="21"/>
        </w:rPr>
        <w:t>«</w:t>
      </w:r>
      <w:r w:rsidR="0056261A" w:rsidRPr="00874A39">
        <w:rPr>
          <w:rFonts w:ascii="Geomanist Light" w:hAnsi="Geomanist Light" w:cs="Arial"/>
          <w:color w:val="1A1A1A" w:themeColor="background1" w:themeShade="1A"/>
          <w:sz w:val="21"/>
          <w:szCs w:val="21"/>
        </w:rPr>
        <w:t xml:space="preserve">[…] </w:t>
      </w:r>
      <w:proofErr w:type="gramStart"/>
      <w:r w:rsidRPr="00874A39">
        <w:rPr>
          <w:rFonts w:ascii="Geomanist Light" w:hAnsi="Geomanist Light" w:cs="Arial"/>
          <w:color w:val="1A1A1A" w:themeColor="background1" w:themeShade="1A"/>
          <w:sz w:val="21"/>
          <w:szCs w:val="21"/>
        </w:rPr>
        <w:t>Al observar que un oferente cualquiera que sea su naturaleza no cumple durante los últimos seis meses con la obligación de estar al día en pagos a la seguridad social, lo podría habilitar?</w:t>
      </w:r>
      <w:proofErr w:type="gramEnd"/>
      <w:r w:rsidRPr="00874A39">
        <w:rPr>
          <w:rFonts w:ascii="Geomanist Light" w:hAnsi="Geomanist Light" w:cs="Arial"/>
          <w:color w:val="1A1A1A" w:themeColor="background1" w:themeShade="1A"/>
          <w:sz w:val="21"/>
          <w:szCs w:val="21"/>
        </w:rPr>
        <w:t>» [sic]</w:t>
      </w:r>
    </w:p>
    <w:bookmarkEnd w:id="1"/>
    <w:p w14:paraId="6D10D65A" w14:textId="7B386B8E" w:rsidR="007E0640" w:rsidRPr="00237DB3" w:rsidRDefault="00830AB8" w:rsidP="00237DB3">
      <w:pPr>
        <w:tabs>
          <w:tab w:val="left" w:pos="426"/>
        </w:tabs>
        <w:spacing w:after="240" w:line="276" w:lineRule="auto"/>
        <w:jc w:val="both"/>
        <w:rPr>
          <w:rFonts w:ascii="Geomanist Light" w:eastAsia="Calibri" w:hAnsi="Geomanist Light" w:cs="Arial"/>
          <w:b/>
          <w:sz w:val="22"/>
          <w:szCs w:val="22"/>
        </w:rPr>
      </w:pPr>
      <w:r w:rsidRPr="00874A39">
        <w:rPr>
          <w:rFonts w:ascii="Geomanist Light" w:eastAsia="Calibri" w:hAnsi="Geomanist Light" w:cs="Arial"/>
          <w:b/>
          <w:sz w:val="22"/>
          <w:szCs w:val="22"/>
        </w:rPr>
        <w:t>2. Consideraciones</w:t>
      </w:r>
    </w:p>
    <w:p w14:paraId="4D179819" w14:textId="6E829633" w:rsidR="00344873" w:rsidRPr="00874A39" w:rsidRDefault="00344873" w:rsidP="005720CE">
      <w:pPr>
        <w:spacing w:after="240" w:line="276" w:lineRule="auto"/>
        <w:jc w:val="both"/>
        <w:rPr>
          <w:rFonts w:ascii="Geomanist Light" w:eastAsia="Arial" w:hAnsi="Geomanist Light" w:cs="Arial"/>
          <w:sz w:val="22"/>
          <w:szCs w:val="22"/>
          <w:lang w:val="es-ES" w:eastAsia="en-US"/>
        </w:rPr>
      </w:pPr>
      <w:r w:rsidRPr="00874A39">
        <w:rPr>
          <w:rFonts w:ascii="Geomanist Light" w:eastAsia="Arial" w:hAnsi="Geomanist Light" w:cs="Arial"/>
          <w:sz w:val="22"/>
          <w:szCs w:val="22"/>
          <w:lang w:val="es-ES" w:eastAsia="en-US"/>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0056261A" w:rsidRPr="00874A39">
        <w:rPr>
          <w:rFonts w:ascii="Geomanist Light" w:eastAsia="Arial" w:hAnsi="Geomanist Light" w:cs="Arial"/>
          <w:sz w:val="22"/>
          <w:szCs w:val="22"/>
          <w:lang w:val="es-ES" w:eastAsia="en-US"/>
        </w:rPr>
        <w:t xml:space="preserve"> </w:t>
      </w:r>
      <w:r w:rsidRPr="00874A39">
        <w:rPr>
          <w:rFonts w:ascii="Geomanist Light" w:eastAsia="Arial" w:hAnsi="Geomanist Light" w:cs="Arial"/>
          <w:sz w:val="22"/>
          <w:szCs w:val="22"/>
          <w:lang w:val="es-ES" w:eastAsia="en-US"/>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 la contratación estatal.</w:t>
      </w:r>
    </w:p>
    <w:p w14:paraId="1D32DEDC" w14:textId="54F0C98E" w:rsidR="00344873" w:rsidRPr="00874A39" w:rsidRDefault="00344873" w:rsidP="005720CE">
      <w:pPr>
        <w:spacing w:after="240" w:line="276" w:lineRule="auto"/>
        <w:ind w:firstLine="708"/>
        <w:jc w:val="both"/>
        <w:rPr>
          <w:rFonts w:ascii="Geomanist Light" w:eastAsia="Arial" w:hAnsi="Geomanist Light" w:cs="Arial"/>
          <w:sz w:val="22"/>
          <w:szCs w:val="22"/>
          <w:lang w:val="es-ES" w:eastAsia="en-US"/>
        </w:rPr>
      </w:pPr>
      <w:r w:rsidRPr="00874A39">
        <w:rPr>
          <w:rFonts w:ascii="Geomanist Light" w:eastAsia="Arial" w:hAnsi="Geomanist Light" w:cs="Arial"/>
          <w:sz w:val="22"/>
          <w:szCs w:val="22"/>
          <w:lang w:val="es-ES" w:eastAsia="en-US"/>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 Por lo anterior, previo concepto de sus </w:t>
      </w:r>
      <w:r w:rsidRPr="00874A39">
        <w:rPr>
          <w:rFonts w:ascii="Geomanist Light" w:eastAsia="Arial" w:hAnsi="Geomanist Light" w:cs="Arial"/>
          <w:sz w:val="22"/>
          <w:szCs w:val="22"/>
          <w:lang w:val="es-ES" w:eastAsia="en-US"/>
        </w:rPr>
        <w:lastRenderedPageBreak/>
        <w:t xml:space="preserve">órganos asesores, la solución de estos temas corresponde a la entidad que adelanta el procedimiento de selección y, en caso de conflicto, a las autoridades judiciales, fiscales y disciplinarias. </w:t>
      </w:r>
    </w:p>
    <w:p w14:paraId="7BB671D5" w14:textId="21E7D7EF" w:rsidR="00C22E20" w:rsidRPr="00874A39" w:rsidRDefault="00344873" w:rsidP="005720CE">
      <w:pPr>
        <w:spacing w:after="240" w:line="276" w:lineRule="auto"/>
        <w:ind w:firstLine="708"/>
        <w:jc w:val="both"/>
        <w:rPr>
          <w:rFonts w:ascii="Geomanist Light" w:eastAsia="Arial" w:hAnsi="Geomanist Light" w:cs="Arial"/>
          <w:sz w:val="22"/>
          <w:szCs w:val="22"/>
          <w:lang w:val="es-ES" w:eastAsia="en-US"/>
        </w:rPr>
      </w:pPr>
      <w:r w:rsidRPr="00874A39">
        <w:rPr>
          <w:rFonts w:ascii="Geomanist Light" w:eastAsia="Arial" w:hAnsi="Geomanist Light" w:cs="Arial"/>
          <w:sz w:val="22"/>
          <w:szCs w:val="22"/>
          <w:lang w:val="es-ES" w:eastAsia="en-US"/>
        </w:rPr>
        <w:t>Sin perjuicio de lo anterior, la Subdirección –dentro de los límites de sus atribuciones, esto es, haciendo abstracción de la situación expuesta por el peticionario</w:t>
      </w:r>
      <w:r w:rsidR="00D0375F" w:rsidRPr="00874A39">
        <w:rPr>
          <w:rFonts w:ascii="Geomanist Light" w:eastAsia="Arial" w:hAnsi="Geomanist Light" w:cs="Arial"/>
          <w:sz w:val="22"/>
          <w:szCs w:val="22"/>
          <w:lang w:val="es-ES" w:eastAsia="en-US"/>
        </w:rPr>
        <w:t>,</w:t>
      </w:r>
      <w:r w:rsidRPr="00874A39">
        <w:rPr>
          <w:rFonts w:ascii="Geomanist Light" w:eastAsia="Arial" w:hAnsi="Geomanist Light" w:cs="Arial"/>
          <w:sz w:val="22"/>
          <w:szCs w:val="22"/>
          <w:lang w:val="es-ES" w:eastAsia="en-US"/>
        </w:rPr>
        <w:t xml:space="preserve"> resolverá la consulta conforme a las normas generales en materia de contratación estatal.</w:t>
      </w:r>
      <w:r w:rsidR="002C6D68" w:rsidRPr="00874A39">
        <w:rPr>
          <w:rFonts w:ascii="Geomanist Light" w:eastAsia="Arial" w:hAnsi="Geomanist Light" w:cs="Arial"/>
          <w:sz w:val="22"/>
          <w:szCs w:val="22"/>
          <w:lang w:val="es-ES" w:eastAsia="en-US"/>
        </w:rPr>
        <w:t xml:space="preserve"> Para tales efectos se </w:t>
      </w:r>
      <w:proofErr w:type="gramStart"/>
      <w:r w:rsidR="002C6D68" w:rsidRPr="00874A39">
        <w:rPr>
          <w:rFonts w:ascii="Geomanist Light" w:eastAsia="Arial" w:hAnsi="Geomanist Light" w:cs="Arial"/>
          <w:sz w:val="22"/>
          <w:szCs w:val="22"/>
          <w:lang w:val="es-ES" w:eastAsia="en-US"/>
        </w:rPr>
        <w:t>estudiaran</w:t>
      </w:r>
      <w:proofErr w:type="gramEnd"/>
      <w:r w:rsidR="002C6D68" w:rsidRPr="00874A39">
        <w:rPr>
          <w:rFonts w:ascii="Geomanist Light" w:eastAsia="Arial" w:hAnsi="Geomanist Light" w:cs="Arial"/>
          <w:sz w:val="22"/>
          <w:szCs w:val="22"/>
          <w:lang w:val="es-ES" w:eastAsia="en-US"/>
        </w:rPr>
        <w:t xml:space="preserve"> los siguientes tópicos: i) afiliación al Sistema de Seguridad Social Integral y verificación de pago de aportes al presentar la propuesta;</w:t>
      </w:r>
      <w:r w:rsidR="007E0640" w:rsidRPr="00874A39">
        <w:rPr>
          <w:rFonts w:ascii="Geomanist Light" w:eastAsia="Arial" w:hAnsi="Geomanist Light" w:cs="Arial"/>
          <w:sz w:val="22"/>
          <w:szCs w:val="22"/>
          <w:lang w:val="es-ES" w:eastAsia="en-US"/>
        </w:rPr>
        <w:t xml:space="preserve"> </w:t>
      </w:r>
      <w:r w:rsidR="005A5045" w:rsidRPr="00874A39">
        <w:rPr>
          <w:rFonts w:ascii="Geomanist Light" w:eastAsia="Arial" w:hAnsi="Geomanist Light" w:cs="Arial"/>
          <w:sz w:val="22"/>
          <w:szCs w:val="22"/>
          <w:lang w:val="es-ES" w:eastAsia="en-US"/>
        </w:rPr>
        <w:t xml:space="preserve">y </w:t>
      </w:r>
      <w:proofErr w:type="spellStart"/>
      <w:r w:rsidR="005A5045" w:rsidRPr="00874A39">
        <w:rPr>
          <w:rFonts w:ascii="Geomanist Light" w:eastAsia="Arial" w:hAnsi="Geomanist Light" w:cs="Arial"/>
          <w:sz w:val="22"/>
          <w:szCs w:val="22"/>
          <w:lang w:val="es-ES" w:eastAsia="en-US"/>
        </w:rPr>
        <w:t>ii</w:t>
      </w:r>
      <w:proofErr w:type="spellEnd"/>
      <w:r w:rsidR="005A5045" w:rsidRPr="00874A39">
        <w:rPr>
          <w:rFonts w:ascii="Geomanist Light" w:eastAsia="Arial" w:hAnsi="Geomanist Light" w:cs="Arial"/>
          <w:sz w:val="22"/>
          <w:szCs w:val="22"/>
          <w:lang w:val="es-ES" w:eastAsia="en-US"/>
        </w:rPr>
        <w:t>) acreditación del cumplimiento de las obligaciones frente al Sistema de Seguridad Social Integral en los Documentos Tipo.</w:t>
      </w:r>
    </w:p>
    <w:p w14:paraId="6767399C" w14:textId="07B5BFE1" w:rsidR="00CB5BC0" w:rsidRPr="00237DB3" w:rsidRDefault="00C22E20" w:rsidP="00237DB3">
      <w:pPr>
        <w:spacing w:after="240" w:line="276" w:lineRule="auto"/>
        <w:ind w:firstLine="708"/>
        <w:jc w:val="both"/>
        <w:rPr>
          <w:rFonts w:ascii="Geomanist Light" w:eastAsia="Arial" w:hAnsi="Geomanist Light" w:cs="Arial"/>
          <w:sz w:val="22"/>
          <w:szCs w:val="22"/>
          <w:lang w:val="es-ES" w:eastAsia="en-US"/>
        </w:rPr>
      </w:pPr>
      <w:r w:rsidRPr="00874A39">
        <w:rPr>
          <w:rFonts w:ascii="Geomanist Light" w:eastAsia="Arial" w:hAnsi="Geomanist Light" w:cs="Arial"/>
          <w:sz w:val="22"/>
          <w:szCs w:val="22"/>
          <w:lang w:val="es-ES" w:eastAsia="en-US"/>
        </w:rPr>
        <w:t>L</w:t>
      </w:r>
      <w:r w:rsidR="007E0640" w:rsidRPr="00874A39">
        <w:rPr>
          <w:rFonts w:ascii="Geomanist Light" w:eastAsia="Arial" w:hAnsi="Geomanist Light" w:cs="Arial"/>
          <w:sz w:val="22"/>
          <w:szCs w:val="22"/>
          <w:lang w:val="es-ES" w:eastAsia="en-US"/>
        </w:rPr>
        <w:t xml:space="preserve">a Agencia Nacional de Contratación Pública − Colombia Compra Eficiente se pronunció sobre </w:t>
      </w:r>
      <w:r w:rsidRPr="00874A39">
        <w:rPr>
          <w:rFonts w:ascii="Geomanist Light" w:eastAsia="Arial" w:hAnsi="Geomanist Light" w:cs="Arial"/>
          <w:sz w:val="22"/>
          <w:szCs w:val="22"/>
          <w:lang w:val="es-ES" w:eastAsia="en-US"/>
        </w:rPr>
        <w:t xml:space="preserve">la acreditación de </w:t>
      </w:r>
      <w:r w:rsidR="00E42361" w:rsidRPr="00874A39">
        <w:rPr>
          <w:rFonts w:ascii="Geomanist Light" w:eastAsia="Arial" w:hAnsi="Geomanist Light" w:cs="Arial"/>
          <w:sz w:val="22"/>
          <w:szCs w:val="22"/>
          <w:lang w:val="es-ES" w:eastAsia="en-US"/>
        </w:rPr>
        <w:t xml:space="preserve">pagos al Sistema </w:t>
      </w:r>
      <w:r w:rsidR="002E6DEA" w:rsidRPr="00874A39">
        <w:rPr>
          <w:rFonts w:ascii="Geomanist Light" w:eastAsia="Arial" w:hAnsi="Geomanist Light" w:cs="Arial"/>
          <w:sz w:val="22"/>
          <w:szCs w:val="22"/>
          <w:lang w:val="es-ES" w:eastAsia="en-US"/>
        </w:rPr>
        <w:t>d</w:t>
      </w:r>
      <w:r w:rsidR="00E42361" w:rsidRPr="00874A39">
        <w:rPr>
          <w:rFonts w:ascii="Geomanist Light" w:eastAsia="Arial" w:hAnsi="Geomanist Light" w:cs="Arial"/>
          <w:sz w:val="22"/>
          <w:szCs w:val="22"/>
          <w:lang w:val="es-ES" w:eastAsia="en-US"/>
        </w:rPr>
        <w:t>e Seguridad Social Integral en procesos de contratación</w:t>
      </w:r>
      <w:r w:rsidR="007E0640" w:rsidRPr="00874A39">
        <w:rPr>
          <w:rFonts w:ascii="Geomanist Light" w:eastAsia="Arial" w:hAnsi="Geomanist Light" w:cs="Arial"/>
          <w:spacing w:val="-11"/>
          <w:sz w:val="22"/>
          <w:szCs w:val="22"/>
          <w:lang w:val="es-ES" w:eastAsia="en-US"/>
        </w:rPr>
        <w:t xml:space="preserve"> </w:t>
      </w:r>
      <w:r w:rsidR="007E0640" w:rsidRPr="00874A39">
        <w:rPr>
          <w:rFonts w:ascii="Geomanist Light" w:eastAsia="Arial" w:hAnsi="Geomanist Light" w:cs="Arial"/>
          <w:sz w:val="22"/>
          <w:szCs w:val="22"/>
          <w:lang w:val="es-ES" w:eastAsia="en-US"/>
        </w:rPr>
        <w:t>en</w:t>
      </w:r>
      <w:r w:rsidR="007E0640" w:rsidRPr="00874A39">
        <w:rPr>
          <w:rFonts w:ascii="Geomanist Light" w:eastAsia="Arial" w:hAnsi="Geomanist Light" w:cs="Arial"/>
          <w:spacing w:val="-11"/>
          <w:sz w:val="22"/>
          <w:szCs w:val="22"/>
          <w:lang w:val="es-ES" w:eastAsia="en-US"/>
        </w:rPr>
        <w:t xml:space="preserve"> </w:t>
      </w:r>
      <w:r w:rsidR="007E0640" w:rsidRPr="00874A39">
        <w:rPr>
          <w:rFonts w:ascii="Geomanist Light" w:eastAsia="Arial" w:hAnsi="Geomanist Light" w:cs="Arial"/>
          <w:sz w:val="22"/>
          <w:szCs w:val="22"/>
          <w:lang w:val="es-ES" w:eastAsia="en-US"/>
        </w:rPr>
        <w:t>los</w:t>
      </w:r>
      <w:r w:rsidR="007E0640" w:rsidRPr="00874A39">
        <w:rPr>
          <w:rFonts w:ascii="Geomanist Light" w:eastAsia="Arial" w:hAnsi="Geomanist Light" w:cs="Arial"/>
          <w:spacing w:val="-11"/>
          <w:sz w:val="22"/>
          <w:szCs w:val="22"/>
          <w:lang w:val="es-ES" w:eastAsia="en-US"/>
        </w:rPr>
        <w:t xml:space="preserve"> </w:t>
      </w:r>
      <w:r w:rsidR="007E0640" w:rsidRPr="00874A39">
        <w:rPr>
          <w:rFonts w:ascii="Geomanist Light" w:eastAsia="Arial" w:hAnsi="Geomanist Light" w:cs="Arial"/>
          <w:sz w:val="22"/>
          <w:szCs w:val="22"/>
          <w:lang w:val="es-ES" w:eastAsia="en-US"/>
        </w:rPr>
        <w:t>conceptos</w:t>
      </w:r>
      <w:r w:rsidR="007E0640" w:rsidRPr="00874A39">
        <w:rPr>
          <w:rFonts w:ascii="Geomanist Light" w:eastAsia="Arial" w:hAnsi="Geomanist Light" w:cs="Arial"/>
          <w:spacing w:val="-11"/>
          <w:sz w:val="22"/>
          <w:szCs w:val="22"/>
          <w:lang w:val="es-ES" w:eastAsia="en-US"/>
        </w:rPr>
        <w:t xml:space="preserve"> </w:t>
      </w:r>
      <w:r w:rsidR="007E0640" w:rsidRPr="00874A39">
        <w:rPr>
          <w:rFonts w:ascii="Geomanist Light" w:eastAsia="Arial" w:hAnsi="Geomanist Light" w:cs="Arial"/>
          <w:sz w:val="22"/>
          <w:szCs w:val="22"/>
          <w:lang w:val="es-ES" w:eastAsia="en-US"/>
        </w:rPr>
        <w:t>radicados</w:t>
      </w:r>
      <w:r w:rsidR="002C6D68" w:rsidRPr="00874A39">
        <w:rPr>
          <w:rFonts w:ascii="Geomanist Light" w:eastAsia="Arial" w:hAnsi="Geomanist Light" w:cs="Arial"/>
          <w:sz w:val="22"/>
          <w:szCs w:val="22"/>
          <w:lang w:val="es-ES" w:eastAsia="en-US"/>
        </w:rPr>
        <w:t xml:space="preserve"> </w:t>
      </w:r>
      <w:r w:rsidR="002C6D68" w:rsidRPr="00874A39">
        <w:rPr>
          <w:rFonts w:ascii="Geomanist Light" w:eastAsia="Calibri" w:hAnsi="Geomanist Light" w:cs="Arial"/>
          <w:noProof/>
          <w:sz w:val="22"/>
          <w:szCs w:val="22"/>
          <w:lang w:val="es-MX" w:eastAsia="en-US"/>
        </w:rPr>
        <w:t>2201913000006970 del 19 de septiembre de 2019,</w:t>
      </w:r>
      <w:r w:rsidR="007E0640" w:rsidRPr="00874A39">
        <w:rPr>
          <w:rFonts w:ascii="Geomanist Light" w:eastAsia="Arial" w:hAnsi="Geomanist Light" w:cs="Arial"/>
          <w:spacing w:val="-11"/>
          <w:sz w:val="22"/>
          <w:szCs w:val="22"/>
          <w:lang w:val="es-ES" w:eastAsia="en-US"/>
        </w:rPr>
        <w:t xml:space="preserve"> </w:t>
      </w:r>
      <w:r w:rsidR="007E0640" w:rsidRPr="00874A39">
        <w:rPr>
          <w:rFonts w:ascii="Geomanist Light" w:eastAsia="Arial" w:hAnsi="Geomanist Light" w:cs="Arial"/>
          <w:sz w:val="22"/>
          <w:szCs w:val="22"/>
          <w:lang w:val="es-ES" w:eastAsia="en-US"/>
        </w:rPr>
        <w:t>42019130000005594</w:t>
      </w:r>
      <w:r w:rsidR="007E0640" w:rsidRPr="00874A39">
        <w:rPr>
          <w:rFonts w:ascii="Geomanist Light" w:eastAsia="Arial" w:hAnsi="Geomanist Light" w:cs="Arial"/>
          <w:spacing w:val="-10"/>
          <w:sz w:val="22"/>
          <w:szCs w:val="22"/>
          <w:lang w:val="es-ES" w:eastAsia="en-US"/>
        </w:rPr>
        <w:t xml:space="preserve"> </w:t>
      </w:r>
      <w:r w:rsidR="007E0640" w:rsidRPr="00874A39">
        <w:rPr>
          <w:rFonts w:ascii="Geomanist Light" w:eastAsia="Arial" w:hAnsi="Geomanist Light" w:cs="Arial"/>
          <w:sz w:val="22"/>
          <w:szCs w:val="22"/>
          <w:lang w:val="es-ES" w:eastAsia="en-US"/>
        </w:rPr>
        <w:t>de</w:t>
      </w:r>
      <w:r w:rsidR="007E0640" w:rsidRPr="00874A39">
        <w:rPr>
          <w:rFonts w:ascii="Geomanist Light" w:eastAsia="Arial" w:hAnsi="Geomanist Light" w:cs="Arial"/>
          <w:spacing w:val="-11"/>
          <w:sz w:val="22"/>
          <w:szCs w:val="22"/>
          <w:lang w:val="es-ES" w:eastAsia="en-US"/>
        </w:rPr>
        <w:t xml:space="preserve"> </w:t>
      </w:r>
      <w:r w:rsidR="007E0640" w:rsidRPr="00874A39">
        <w:rPr>
          <w:rFonts w:ascii="Geomanist Light" w:eastAsia="Arial" w:hAnsi="Geomanist Light" w:cs="Arial"/>
          <w:sz w:val="22"/>
          <w:szCs w:val="22"/>
          <w:lang w:val="es-ES" w:eastAsia="en-US"/>
        </w:rPr>
        <w:t>30</w:t>
      </w:r>
      <w:r w:rsidR="007E0640" w:rsidRPr="00874A39">
        <w:rPr>
          <w:rFonts w:ascii="Geomanist Light" w:eastAsia="Arial" w:hAnsi="Geomanist Light" w:cs="Arial"/>
          <w:spacing w:val="-11"/>
          <w:sz w:val="22"/>
          <w:szCs w:val="22"/>
          <w:lang w:val="es-ES" w:eastAsia="en-US"/>
        </w:rPr>
        <w:t xml:space="preserve"> </w:t>
      </w:r>
      <w:r w:rsidR="007E0640" w:rsidRPr="00874A39">
        <w:rPr>
          <w:rFonts w:ascii="Geomanist Light" w:eastAsia="Arial" w:hAnsi="Geomanist Light" w:cs="Arial"/>
          <w:sz w:val="22"/>
          <w:szCs w:val="22"/>
          <w:lang w:val="es-ES" w:eastAsia="en-US"/>
        </w:rPr>
        <w:t>de</w:t>
      </w:r>
      <w:r w:rsidR="007E0640" w:rsidRPr="00874A39">
        <w:rPr>
          <w:rFonts w:ascii="Geomanist Light" w:eastAsia="Arial" w:hAnsi="Geomanist Light" w:cs="Arial"/>
          <w:spacing w:val="-11"/>
          <w:sz w:val="22"/>
          <w:szCs w:val="22"/>
          <w:lang w:val="es-ES" w:eastAsia="en-US"/>
        </w:rPr>
        <w:t xml:space="preserve"> </w:t>
      </w:r>
      <w:r w:rsidR="007E0640" w:rsidRPr="00874A39">
        <w:rPr>
          <w:rFonts w:ascii="Geomanist Light" w:eastAsia="Arial" w:hAnsi="Geomanist Light" w:cs="Arial"/>
          <w:sz w:val="22"/>
          <w:szCs w:val="22"/>
          <w:lang w:val="es-ES" w:eastAsia="en-US"/>
        </w:rPr>
        <w:t>septiembre de 2019, 4201913000006384 de 21 de octubre de 2019, 4201912000007492 de 17</w:t>
      </w:r>
      <w:r w:rsidR="007E0640" w:rsidRPr="00874A39">
        <w:rPr>
          <w:rFonts w:ascii="Geomanist Light" w:eastAsia="Arial" w:hAnsi="Geomanist Light" w:cs="Arial"/>
          <w:spacing w:val="10"/>
          <w:sz w:val="22"/>
          <w:szCs w:val="22"/>
          <w:lang w:val="es-ES" w:eastAsia="en-US"/>
        </w:rPr>
        <w:t xml:space="preserve"> </w:t>
      </w:r>
      <w:r w:rsidR="007E0640" w:rsidRPr="00874A39">
        <w:rPr>
          <w:rFonts w:ascii="Geomanist Light" w:eastAsia="Arial" w:hAnsi="Geomanist Light" w:cs="Arial"/>
          <w:sz w:val="22"/>
          <w:szCs w:val="22"/>
          <w:lang w:val="es-ES" w:eastAsia="en-US"/>
        </w:rPr>
        <w:t>de diciembre de 2019, C-040 de 5 de febrero de 2020, C-042 de 5 de febrero de 2020,</w:t>
      </w:r>
      <w:r w:rsidR="00A6244C" w:rsidRPr="00874A39">
        <w:rPr>
          <w:rFonts w:ascii="Geomanist Light" w:eastAsia="Arial" w:hAnsi="Geomanist Light" w:cs="Arial"/>
          <w:sz w:val="22"/>
          <w:szCs w:val="22"/>
          <w:lang w:val="es-ES" w:eastAsia="en-US"/>
        </w:rPr>
        <w:t xml:space="preserve"> </w:t>
      </w:r>
      <w:r w:rsidR="00A6244C" w:rsidRPr="00874A39">
        <w:rPr>
          <w:rFonts w:ascii="Geomanist Light" w:eastAsia="Calibri" w:hAnsi="Geomanist Light" w:cs="Arial"/>
          <w:noProof/>
          <w:sz w:val="22"/>
          <w:szCs w:val="22"/>
          <w:lang w:val="es-MX" w:eastAsia="en-US"/>
        </w:rPr>
        <w:t xml:space="preserve">C-205 del 7 de abril de 2020, </w:t>
      </w:r>
      <w:r w:rsidR="00A6244C" w:rsidRPr="00874A39">
        <w:rPr>
          <w:rFonts w:ascii="Geomanist Light" w:eastAsia="Calibri" w:hAnsi="Geomanist Light" w:cs="Arial"/>
          <w:sz w:val="22"/>
          <w:szCs w:val="22"/>
          <w:lang w:val="es-ES" w:eastAsia="en-US"/>
        </w:rPr>
        <w:t>C-614 del 16 de septiembre de 2020,</w:t>
      </w:r>
      <w:r w:rsidR="007E0640" w:rsidRPr="00874A39">
        <w:rPr>
          <w:rFonts w:ascii="Geomanist Light" w:eastAsia="Arial" w:hAnsi="Geomanist Light" w:cs="Arial"/>
          <w:sz w:val="22"/>
          <w:szCs w:val="22"/>
          <w:lang w:val="es-ES" w:eastAsia="en-US"/>
        </w:rPr>
        <w:t xml:space="preserve"> </w:t>
      </w:r>
      <w:r w:rsidR="004344AD" w:rsidRPr="00874A39">
        <w:rPr>
          <w:rFonts w:ascii="Geomanist Light" w:eastAsia="Arial" w:hAnsi="Geomanist Light" w:cs="Arial"/>
          <w:sz w:val="22"/>
          <w:szCs w:val="22"/>
          <w:lang w:val="es-ES" w:eastAsia="en-US"/>
        </w:rPr>
        <w:t xml:space="preserve">C-747 del 6 de enero de 2021, </w:t>
      </w:r>
      <w:r w:rsidR="002C6D68" w:rsidRPr="00874A39">
        <w:rPr>
          <w:rFonts w:ascii="Geomanist Light" w:eastAsia="Calibri" w:hAnsi="Geomanist Light" w:cs="Arial"/>
          <w:noProof/>
          <w:sz w:val="22"/>
          <w:szCs w:val="22"/>
          <w:lang w:val="es-MX" w:eastAsia="en-US"/>
        </w:rPr>
        <w:t xml:space="preserve">C-096 del  24 de marzo de 2021, </w:t>
      </w:r>
      <w:r w:rsidR="007E0640" w:rsidRPr="00874A39">
        <w:rPr>
          <w:rFonts w:ascii="Geomanist Light" w:eastAsia="Arial" w:hAnsi="Geomanist Light" w:cs="Arial"/>
          <w:sz w:val="22"/>
          <w:szCs w:val="22"/>
          <w:lang w:val="es-ES" w:eastAsia="en-US"/>
        </w:rPr>
        <w:t>C-134 del 7 de abril 2021</w:t>
      </w:r>
      <w:r w:rsidR="00E94EB3" w:rsidRPr="00874A39">
        <w:rPr>
          <w:rFonts w:ascii="Geomanist Light" w:eastAsia="Arial" w:hAnsi="Geomanist Light" w:cs="Arial"/>
          <w:sz w:val="22"/>
          <w:szCs w:val="22"/>
          <w:lang w:val="es-ES" w:eastAsia="en-US"/>
        </w:rPr>
        <w:t>,</w:t>
      </w:r>
      <w:r w:rsidRPr="00874A39">
        <w:rPr>
          <w:rFonts w:ascii="Geomanist Light" w:eastAsia="Arial" w:hAnsi="Geomanist Light" w:cs="Arial"/>
          <w:sz w:val="22"/>
          <w:szCs w:val="22"/>
          <w:lang w:val="es-ES" w:eastAsia="en-US"/>
        </w:rPr>
        <w:t xml:space="preserve"> C-624 del 8 de noviembre de 2021,</w:t>
      </w:r>
      <w:r w:rsidR="00E94EB3" w:rsidRPr="00874A39">
        <w:rPr>
          <w:rFonts w:ascii="Geomanist Light" w:eastAsia="Arial" w:hAnsi="Geomanist Light" w:cs="Arial"/>
          <w:sz w:val="22"/>
          <w:szCs w:val="22"/>
          <w:lang w:val="es-ES" w:eastAsia="en-US"/>
        </w:rPr>
        <w:t xml:space="preserve"> C-181 del 7 de abril de 2022</w:t>
      </w:r>
      <w:r w:rsidR="008B65E2" w:rsidRPr="00874A39">
        <w:rPr>
          <w:rFonts w:ascii="Geomanist Light" w:eastAsia="Arial" w:hAnsi="Geomanist Light" w:cs="Arial"/>
          <w:sz w:val="22"/>
          <w:szCs w:val="22"/>
          <w:lang w:val="es-ES" w:eastAsia="en-US"/>
        </w:rPr>
        <w:t xml:space="preserve">, </w:t>
      </w:r>
      <w:r w:rsidRPr="00874A39">
        <w:rPr>
          <w:rFonts w:ascii="Geomanist Light" w:eastAsia="Arial" w:hAnsi="Geomanist Light" w:cs="Arial"/>
          <w:sz w:val="22"/>
          <w:szCs w:val="22"/>
          <w:lang w:val="es-ES" w:eastAsia="en-US"/>
        </w:rPr>
        <w:t xml:space="preserve">entre otros. </w:t>
      </w:r>
      <w:r w:rsidR="007E0640" w:rsidRPr="00874A39">
        <w:rPr>
          <w:rFonts w:ascii="Geomanist Light" w:eastAsia="Arial" w:hAnsi="Geomanist Light" w:cs="Arial"/>
          <w:sz w:val="22"/>
          <w:szCs w:val="22"/>
          <w:lang w:val="es-ES" w:eastAsia="en-US"/>
        </w:rPr>
        <w:t xml:space="preserve"> </w:t>
      </w:r>
      <w:r w:rsidR="008B65E2" w:rsidRPr="00874A39">
        <w:rPr>
          <w:rFonts w:ascii="Geomanist Light" w:eastAsia="Arial" w:hAnsi="Geomanist Light" w:cs="Arial"/>
          <w:sz w:val="22"/>
          <w:szCs w:val="22"/>
          <w:lang w:val="es-ES" w:eastAsia="en-US"/>
        </w:rPr>
        <w:t>La tesis expuesta en estos conceptos se reitera a continuación.</w:t>
      </w:r>
    </w:p>
    <w:p w14:paraId="44FABCAB" w14:textId="2C07AAAE" w:rsidR="003E5D6D" w:rsidRPr="00237DB3" w:rsidRDefault="003E5D6D" w:rsidP="00237DB3">
      <w:pPr>
        <w:tabs>
          <w:tab w:val="left" w:pos="426"/>
        </w:tabs>
        <w:spacing w:after="240" w:line="276" w:lineRule="auto"/>
        <w:jc w:val="both"/>
        <w:rPr>
          <w:rFonts w:ascii="Geomanist Light" w:eastAsia="Calibri" w:hAnsi="Geomanist Light" w:cs="Arial"/>
          <w:b/>
          <w:bCs/>
          <w:noProof/>
          <w:sz w:val="22"/>
          <w:szCs w:val="22"/>
          <w:lang w:val="es-ES_tradnl" w:eastAsia="en-US"/>
        </w:rPr>
      </w:pPr>
      <w:r w:rsidRPr="00874A39">
        <w:rPr>
          <w:rFonts w:ascii="Geomanist Light" w:eastAsia="Calibri" w:hAnsi="Geomanist Light" w:cs="Arial"/>
          <w:b/>
          <w:bCs/>
          <w:noProof/>
          <w:sz w:val="22"/>
          <w:szCs w:val="22"/>
          <w:lang w:val="es-ES_tradnl" w:eastAsia="en-US"/>
        </w:rPr>
        <w:t>2.</w:t>
      </w:r>
      <w:r w:rsidR="00981B63" w:rsidRPr="00874A39">
        <w:rPr>
          <w:rFonts w:ascii="Geomanist Light" w:eastAsia="Calibri" w:hAnsi="Geomanist Light" w:cs="Arial"/>
          <w:b/>
          <w:bCs/>
          <w:noProof/>
          <w:sz w:val="22"/>
          <w:szCs w:val="22"/>
          <w:lang w:val="es-ES_tradnl" w:eastAsia="en-US"/>
        </w:rPr>
        <w:t>1</w:t>
      </w:r>
      <w:r w:rsidRPr="00874A39">
        <w:rPr>
          <w:rFonts w:ascii="Geomanist Light" w:eastAsia="Calibri" w:hAnsi="Geomanist Light" w:cs="Arial"/>
          <w:b/>
          <w:bCs/>
          <w:noProof/>
          <w:sz w:val="22"/>
          <w:szCs w:val="22"/>
          <w:lang w:val="es-ES_tradnl" w:eastAsia="en-US"/>
        </w:rPr>
        <w:t>. Afiliación al Sistema de Seguridad Social Integral y verificación de pago de aportes al presentar la propuesta</w:t>
      </w:r>
    </w:p>
    <w:p w14:paraId="3A6901E8" w14:textId="77777777" w:rsidR="003E5D6D" w:rsidRPr="00874A39" w:rsidRDefault="003E5D6D" w:rsidP="005720CE">
      <w:pPr>
        <w:spacing w:after="240" w:line="276" w:lineRule="auto"/>
        <w:jc w:val="both"/>
        <w:rPr>
          <w:rFonts w:ascii="Geomanist Light" w:eastAsia="Calibri" w:hAnsi="Geomanist Light" w:cs="Arial"/>
          <w:sz w:val="22"/>
          <w:szCs w:val="22"/>
          <w:lang w:val="es-ES" w:eastAsia="en-US"/>
        </w:rPr>
      </w:pPr>
      <w:r w:rsidRPr="00874A39">
        <w:rPr>
          <w:rFonts w:ascii="Geomanist Light" w:eastAsia="Calibri" w:hAnsi="Geomanist Light" w:cs="Arial"/>
          <w:sz w:val="22"/>
          <w:szCs w:val="22"/>
          <w:lang w:val="es-ES" w:eastAsia="en-US"/>
        </w:rPr>
        <w:t xml:space="preserve">La Ley 80 de 1993, en el texto original del artículo 41, estableció que los requisitos para perfeccionar el contrato eran: i) llegar a un acuerdo sobre el objeto y la contraprestación y </w:t>
      </w:r>
      <w:proofErr w:type="spellStart"/>
      <w:r w:rsidRPr="00874A39">
        <w:rPr>
          <w:rFonts w:ascii="Geomanist Light" w:eastAsia="Calibri" w:hAnsi="Geomanist Light" w:cs="Arial"/>
          <w:sz w:val="22"/>
          <w:szCs w:val="22"/>
          <w:lang w:val="es-ES" w:eastAsia="en-US"/>
        </w:rPr>
        <w:t>ii</w:t>
      </w:r>
      <w:proofErr w:type="spellEnd"/>
      <w:r w:rsidRPr="00874A39">
        <w:rPr>
          <w:rFonts w:ascii="Geomanist Light" w:eastAsia="Calibri" w:hAnsi="Geomanist Light" w:cs="Arial"/>
          <w:sz w:val="22"/>
          <w:szCs w:val="22"/>
          <w:lang w:val="es-ES" w:eastAsia="en-US"/>
        </w:rPr>
        <w:t xml:space="preserve">) que conste por escrito. Por su parte, para iniciar la ejecución se requería: i) la constitución y aprobación de la garantía y </w:t>
      </w:r>
      <w:proofErr w:type="spellStart"/>
      <w:r w:rsidRPr="00874A39">
        <w:rPr>
          <w:rFonts w:ascii="Geomanist Light" w:eastAsia="Calibri" w:hAnsi="Geomanist Light" w:cs="Arial"/>
          <w:sz w:val="22"/>
          <w:szCs w:val="22"/>
          <w:lang w:val="es-ES" w:eastAsia="en-US"/>
        </w:rPr>
        <w:t>ii</w:t>
      </w:r>
      <w:proofErr w:type="spellEnd"/>
      <w:r w:rsidRPr="00874A39">
        <w:rPr>
          <w:rFonts w:ascii="Geomanist Light" w:eastAsia="Calibri" w:hAnsi="Geomanist Light" w:cs="Arial"/>
          <w:sz w:val="22"/>
          <w:szCs w:val="22"/>
          <w:lang w:val="es-ES" w:eastAsia="en-US"/>
        </w:rPr>
        <w:t>) la existencia del registro presupuestal.</w:t>
      </w:r>
    </w:p>
    <w:p w14:paraId="697AF98B" w14:textId="77777777" w:rsidR="003E5D6D" w:rsidRPr="00874A39" w:rsidRDefault="003E5D6D" w:rsidP="005720CE">
      <w:pPr>
        <w:spacing w:after="240" w:line="276" w:lineRule="auto"/>
        <w:ind w:firstLine="708"/>
        <w:jc w:val="both"/>
        <w:rPr>
          <w:rFonts w:ascii="Geomanist Light" w:eastAsia="Calibri" w:hAnsi="Geomanist Light" w:cs="Arial"/>
          <w:sz w:val="22"/>
          <w:szCs w:val="22"/>
          <w:lang w:val="es-ES" w:eastAsia="en-US"/>
        </w:rPr>
      </w:pPr>
      <w:r w:rsidRPr="00874A39">
        <w:rPr>
          <w:rFonts w:ascii="Geomanist Light" w:eastAsia="Calibri" w:hAnsi="Geomanist Light" w:cs="Arial"/>
          <w:sz w:val="22"/>
          <w:szCs w:val="22"/>
          <w:lang w:val="es-ES" w:eastAsia="en-US"/>
        </w:rPr>
        <w:t xml:space="preserve">Posteriormente, el artículo 50 de la Ley 789 de 2002 estableció, como obligación de quien quiere celebrar, renovar o liquidar contratos de cualquier naturaleza con entidades del sector público, cumplir con las obligaciones frente a los sistemas de salud, riesgos profesionales, pensiones y aportes a la Caja de Compensación Familiar, Instituto Colombiano de Bienestar Familiar y Servicio Nacional de Aprendizaje cuando a ello haya lugar. Asimismo, se facultó a la entidad estatal, al momento de liquidar los contratos, para verificar y dejar constancia del cumplimiento de las obligaciones del contratista frente a los aportes </w:t>
      </w:r>
      <w:r w:rsidRPr="00874A39">
        <w:rPr>
          <w:rFonts w:ascii="Geomanist Light" w:eastAsia="Calibri" w:hAnsi="Geomanist Light" w:cs="Arial"/>
          <w:sz w:val="22"/>
          <w:szCs w:val="22"/>
          <w:lang w:val="es-ES" w:eastAsia="en-US"/>
        </w:rPr>
        <w:lastRenderedPageBreak/>
        <w:t xml:space="preserve">mencionados, durante toda su vigencia, estableciendo una correcta relación entre el monto cancelado y las sumas que debió cotizar. </w:t>
      </w:r>
    </w:p>
    <w:p w14:paraId="2DC448A7" w14:textId="77777777" w:rsidR="003E5D6D" w:rsidRPr="00874A39" w:rsidRDefault="003E5D6D" w:rsidP="005720CE">
      <w:pPr>
        <w:spacing w:after="240" w:line="276" w:lineRule="auto"/>
        <w:ind w:firstLine="708"/>
        <w:jc w:val="both"/>
        <w:rPr>
          <w:rFonts w:ascii="Geomanist Light" w:eastAsia="Calibri" w:hAnsi="Geomanist Light" w:cs="Arial"/>
          <w:sz w:val="22"/>
          <w:szCs w:val="22"/>
          <w:lang w:val="es-ES" w:eastAsia="en-US"/>
        </w:rPr>
      </w:pPr>
      <w:r w:rsidRPr="00874A39">
        <w:rPr>
          <w:rFonts w:ascii="Geomanist Light" w:eastAsia="Calibri" w:hAnsi="Geomanist Light" w:cs="Arial"/>
          <w:sz w:val="22"/>
          <w:szCs w:val="22"/>
          <w:lang w:val="es-ES" w:eastAsia="en-US"/>
        </w:rPr>
        <w:t xml:space="preserve">Además, aclara que las «personas jurídicas» que quieran celebrar contratos con las entidades estatales deben acreditar el pago al Sistema de Seguridad Social Integral de sus empleados, y que por eso deben presentar una certificación expedida por el revisor fiscal o por el representante legal, durante un lapso equivalente al que exija el respectivo régimen de contratación para que se hubiera constituido la sociedad, el cual, en todo caso, no debe ser inferior a los 6 meses anteriores a la celebración del contrato –inciso tercero–. En este sentido, la ley señala que para presentar la oferta las </w:t>
      </w:r>
      <w:r w:rsidRPr="00874A39">
        <w:rPr>
          <w:rFonts w:ascii="Geomanist Light" w:eastAsia="Calibri" w:hAnsi="Geomanist Light" w:cs="Arial"/>
          <w:i/>
          <w:iCs/>
          <w:sz w:val="22"/>
          <w:szCs w:val="22"/>
          <w:lang w:val="es-ES" w:eastAsia="en-US"/>
        </w:rPr>
        <w:t>personas jurídicas</w:t>
      </w:r>
      <w:r w:rsidRPr="00874A39">
        <w:rPr>
          <w:rFonts w:ascii="Geomanist Light" w:eastAsia="Calibri" w:hAnsi="Geomanist Light" w:cs="Arial"/>
          <w:sz w:val="22"/>
          <w:szCs w:val="22"/>
          <w:lang w:val="es-ES" w:eastAsia="en-US"/>
        </w:rPr>
        <w:t xml:space="preserve"> deben acreditar el requisito señalado anteriormente, es decir, el pago al sistema de seguridad social de sus empleados –inciso 4–.</w:t>
      </w:r>
    </w:p>
    <w:p w14:paraId="5E23EB82" w14:textId="77777777" w:rsidR="003E5D6D" w:rsidRPr="00874A39" w:rsidRDefault="003E5D6D" w:rsidP="005720CE">
      <w:pPr>
        <w:spacing w:after="240" w:line="276" w:lineRule="auto"/>
        <w:ind w:firstLine="708"/>
        <w:jc w:val="both"/>
        <w:rPr>
          <w:rFonts w:ascii="Geomanist Light" w:eastAsia="Calibri" w:hAnsi="Geomanist Light" w:cs="Arial"/>
          <w:sz w:val="22"/>
          <w:szCs w:val="22"/>
          <w:lang w:val="es-ES" w:eastAsia="en-US"/>
        </w:rPr>
      </w:pPr>
      <w:r w:rsidRPr="00874A39">
        <w:rPr>
          <w:rFonts w:ascii="Geomanist Light" w:eastAsia="Calibri" w:hAnsi="Geomanist Light" w:cs="Arial"/>
          <w:sz w:val="22"/>
          <w:szCs w:val="22"/>
          <w:lang w:val="es-ES" w:eastAsia="en-US"/>
        </w:rPr>
        <w:t>Esta norma fue analizada por el Consejo de Estado, quien consideró que el artículo 50 de la Ley 789 de 2002 tiene por objeto evitar la evasión por parte de los empleadores de las cotizaciones al Sistema de Seguridad Social Integral y de los aportes parafiscales. De igual forma, esa Corporación consideró que para lograr esa finalidad el legislador impuso a las entidades estatales la obligación de verificar, en los procesos de selección de contratistas y durante la ejecución y liquidación de los contratos, que tanto los oferentes como los contratistas hayan realizado los aportes al Sistema de Seguridad Social Integral</w:t>
      </w:r>
      <w:r w:rsidRPr="00874A39">
        <w:rPr>
          <w:rFonts w:ascii="Geomanist Light" w:eastAsia="Calibri" w:hAnsi="Geomanist Light" w:cs="Arial"/>
          <w:sz w:val="22"/>
          <w:szCs w:val="22"/>
          <w:vertAlign w:val="superscript"/>
          <w:lang w:val="es-ES" w:eastAsia="en-US"/>
        </w:rPr>
        <w:footnoteReference w:id="1"/>
      </w:r>
      <w:r w:rsidRPr="00874A39">
        <w:rPr>
          <w:rFonts w:ascii="Geomanist Light" w:eastAsia="Calibri" w:hAnsi="Geomanist Light" w:cs="Arial"/>
          <w:sz w:val="22"/>
          <w:szCs w:val="22"/>
          <w:lang w:val="es-ES" w:eastAsia="en-US"/>
        </w:rPr>
        <w:t xml:space="preserve">. Por lo tanto, la jurisprudencia reiteró la necesidad de que las entidades estatales, durante la ejecución del contrato, verifiquen el cumplimiento de las obligaciones del Sistema de Seguridad Social Integral por parte de los contratistas. </w:t>
      </w:r>
    </w:p>
    <w:p w14:paraId="08F32143" w14:textId="383C4228" w:rsidR="003E5D6D" w:rsidRPr="00237DB3" w:rsidRDefault="003E5D6D" w:rsidP="00237DB3">
      <w:pPr>
        <w:spacing w:after="240" w:line="276" w:lineRule="auto"/>
        <w:ind w:firstLine="708"/>
        <w:jc w:val="both"/>
        <w:rPr>
          <w:rFonts w:ascii="Geomanist Light" w:eastAsia="Calibri" w:hAnsi="Geomanist Light" w:cs="Arial"/>
          <w:sz w:val="22"/>
          <w:szCs w:val="22"/>
          <w:lang w:val="es-ES" w:eastAsia="en-US"/>
        </w:rPr>
      </w:pPr>
      <w:r w:rsidRPr="00874A39">
        <w:rPr>
          <w:rFonts w:ascii="Geomanist Light" w:eastAsia="Calibri" w:hAnsi="Geomanist Light" w:cs="Arial"/>
          <w:sz w:val="22"/>
          <w:szCs w:val="22"/>
          <w:lang w:val="es-ES" w:eastAsia="en-US"/>
        </w:rPr>
        <w:t>Posteriormente, el artículo 23 de la Ley 1150 de 2007 modificó el inciso segundo del artículo 41 de la Ley 80 de 1993, incluyendo la obligación, para los proponentes y contratistas, de estar a paz y salvo con los aportes parafiscales al Sistema de Seguridad Social integral, al señalar:</w:t>
      </w:r>
    </w:p>
    <w:p w14:paraId="724FB7AA" w14:textId="77777777" w:rsidR="003E5D6D" w:rsidRPr="00874A39" w:rsidRDefault="003E5D6D" w:rsidP="005720CE">
      <w:pPr>
        <w:spacing w:after="240"/>
        <w:ind w:left="709" w:right="709"/>
        <w:jc w:val="both"/>
        <w:rPr>
          <w:rFonts w:ascii="Geomanist Light" w:hAnsi="Geomanist Light" w:cs="Arial"/>
          <w:sz w:val="21"/>
          <w:szCs w:val="21"/>
          <w:lang w:val="es-ES" w:eastAsia="es-CO"/>
        </w:rPr>
      </w:pPr>
      <w:r w:rsidRPr="00874A39">
        <w:rPr>
          <w:rFonts w:ascii="Geomanist Light" w:hAnsi="Geomanist Light" w:cs="Arial"/>
          <w:sz w:val="21"/>
          <w:szCs w:val="21"/>
          <w:lang w:val="es-ES" w:eastAsia="es-CO"/>
        </w:rPr>
        <w:t>[…]</w:t>
      </w:r>
    </w:p>
    <w:p w14:paraId="7745FB07" w14:textId="77777777" w:rsidR="003E5D6D" w:rsidRPr="00874A39" w:rsidRDefault="003E5D6D" w:rsidP="005720CE">
      <w:pPr>
        <w:tabs>
          <w:tab w:val="left" w:pos="7938"/>
          <w:tab w:val="left" w:pos="8080"/>
        </w:tabs>
        <w:spacing w:after="240"/>
        <w:ind w:left="709" w:right="709"/>
        <w:jc w:val="both"/>
        <w:rPr>
          <w:rFonts w:ascii="Geomanist Light" w:hAnsi="Geomanist Light" w:cs="Arial"/>
          <w:sz w:val="21"/>
          <w:szCs w:val="21"/>
          <w:lang w:val="es-ES" w:eastAsia="es-CO"/>
        </w:rPr>
      </w:pPr>
      <w:r w:rsidRPr="00874A39">
        <w:rPr>
          <w:rFonts w:ascii="Geomanist Light" w:hAnsi="Geomanist Light" w:cs="Arial"/>
          <w:sz w:val="21"/>
          <w:szCs w:val="21"/>
          <w:lang w:val="es-ES" w:eastAsia="es-CO"/>
        </w:rPr>
        <w:t xml:space="preserve">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w:t>
      </w:r>
      <w:r w:rsidRPr="00874A39">
        <w:rPr>
          <w:rFonts w:ascii="Geomanist Light" w:hAnsi="Geomanist Light" w:cs="Arial"/>
          <w:sz w:val="21"/>
          <w:szCs w:val="21"/>
          <w:lang w:val="es-ES" w:eastAsia="es-CO"/>
        </w:rPr>
        <w:lastRenderedPageBreak/>
        <w:t>acreditar que se encuentran al día en el pago de aportes parafiscales relativos al Sistema de Seguridad Social Integral, así como los propios del Sena, ICBF y Cajas de Compensación Familiar, cuando corresponda.</w:t>
      </w:r>
    </w:p>
    <w:p w14:paraId="52BC2890" w14:textId="77777777" w:rsidR="003E5D6D" w:rsidRPr="00874A39" w:rsidRDefault="003E5D6D" w:rsidP="005720CE">
      <w:pPr>
        <w:spacing w:after="240"/>
        <w:ind w:left="709" w:right="709"/>
        <w:jc w:val="both"/>
        <w:rPr>
          <w:rFonts w:ascii="Geomanist Light" w:hAnsi="Geomanist Light" w:cs="Arial"/>
          <w:sz w:val="21"/>
          <w:szCs w:val="21"/>
          <w:lang w:val="es-ES" w:eastAsia="es-CO"/>
        </w:rPr>
      </w:pPr>
      <w:r w:rsidRPr="00874A39">
        <w:rPr>
          <w:rFonts w:ascii="Geomanist Light" w:hAnsi="Geomanist Light" w:cs="Arial"/>
          <w:bCs/>
          <w:sz w:val="21"/>
          <w:szCs w:val="21"/>
          <w:lang w:val="es-ES" w:eastAsia="es-CO"/>
        </w:rPr>
        <w:t>Parágrafo 1.</w:t>
      </w:r>
      <w:r w:rsidRPr="00874A39">
        <w:rPr>
          <w:rFonts w:ascii="Geomanist Light" w:hAnsi="Geomanist Light" w:cs="Arial"/>
          <w:sz w:val="21"/>
          <w:szCs w:val="21"/>
          <w:lang w:val="es-ES" w:eastAsia="es-CO"/>
        </w:rPr>
        <w:t> El requisito establecido en la parte final del inciso segundo de este artículo deberá acreditarse para la realización de cada pago derivado del contrato estatal.</w:t>
      </w:r>
    </w:p>
    <w:p w14:paraId="4BD574B3" w14:textId="6208DECE" w:rsidR="003E5D6D" w:rsidRPr="00237DB3" w:rsidRDefault="003E5D6D" w:rsidP="00237DB3">
      <w:pPr>
        <w:spacing w:after="240"/>
        <w:ind w:left="709" w:right="709"/>
        <w:jc w:val="both"/>
        <w:rPr>
          <w:rFonts w:ascii="Geomanist Light" w:hAnsi="Geomanist Light" w:cs="Arial"/>
          <w:sz w:val="21"/>
          <w:szCs w:val="21"/>
          <w:lang w:val="es-ES" w:eastAsia="es-CO"/>
        </w:rPr>
      </w:pPr>
      <w:r w:rsidRPr="00874A39">
        <w:rPr>
          <w:rFonts w:ascii="Geomanist Light" w:hAnsi="Geomanist Light" w:cs="Arial"/>
          <w:sz w:val="21"/>
          <w:szCs w:val="21"/>
          <w:lang w:val="es-ES" w:eastAsia="es-CO"/>
        </w:rPr>
        <w:t>El servidor público que sin justa causa no verifique el pago de los aportes a que se refiere el presente artículo, incurrirá en causal de mala conducta, que será sancionada con arreglo al régimen disciplinario vigente.</w:t>
      </w:r>
    </w:p>
    <w:p w14:paraId="56EAD450" w14:textId="77777777" w:rsidR="003E5D6D" w:rsidRPr="00874A39" w:rsidRDefault="003E5D6D" w:rsidP="005720CE">
      <w:pPr>
        <w:spacing w:after="240" w:line="276" w:lineRule="auto"/>
        <w:ind w:firstLine="709"/>
        <w:jc w:val="both"/>
        <w:rPr>
          <w:rFonts w:ascii="Geomanist Light" w:eastAsia="Calibri" w:hAnsi="Geomanist Light" w:cs="Arial"/>
          <w:sz w:val="22"/>
          <w:szCs w:val="22"/>
          <w:lang w:val="es-ES" w:eastAsia="en-US"/>
        </w:rPr>
      </w:pPr>
      <w:r w:rsidRPr="00874A39">
        <w:rPr>
          <w:rFonts w:ascii="Geomanist Light" w:eastAsia="Calibri" w:hAnsi="Geomanist Light" w:cs="Arial"/>
          <w:sz w:val="22"/>
          <w:szCs w:val="22"/>
          <w:lang w:val="es-ES" w:eastAsia="en-US"/>
        </w:rPr>
        <w:t>De la lectura integral del artículo 23 de la Ley 1150 de 2007 se infiere que, si bien los proponentes y los contratistas deben estar al día en el pago al Sistema de Seguridad Social Integral, la verificación de este requisito, por parte de las entidades estatales, se efectuará para la ejecución del contrato y cuando realicen los pagos del contrato, es decir, durante la ejecución.</w:t>
      </w:r>
    </w:p>
    <w:p w14:paraId="09DFE060" w14:textId="77777777" w:rsidR="003E5D6D" w:rsidRPr="00874A39" w:rsidRDefault="003E5D6D" w:rsidP="005720CE">
      <w:pPr>
        <w:spacing w:after="240" w:line="276" w:lineRule="auto"/>
        <w:ind w:firstLine="709"/>
        <w:jc w:val="both"/>
        <w:rPr>
          <w:rFonts w:ascii="Geomanist Light" w:eastAsia="Calibri" w:hAnsi="Geomanist Light" w:cs="Arial"/>
          <w:sz w:val="22"/>
          <w:szCs w:val="22"/>
          <w:lang w:val="es-ES" w:eastAsia="en-US"/>
        </w:rPr>
      </w:pPr>
      <w:r w:rsidRPr="00874A39">
        <w:rPr>
          <w:rFonts w:ascii="Geomanist Light" w:eastAsia="Calibri" w:hAnsi="Geomanist Light" w:cs="Arial"/>
          <w:sz w:val="22"/>
          <w:szCs w:val="22"/>
          <w:lang w:val="es-ES" w:eastAsia="en-US"/>
        </w:rPr>
        <w:t>No obstante, el artículo 50 de la Ley 789 de 2002 previó una regla especial para las «personas jurídicas» que aspiran a celebrar contratos con las entidades estatales. Para presentar «la oferta» deben acreditar el pago de los aportes de sus empleados, mediante certificación expedida por el revisor fiscal, cuando este exista, de acuerdo con los requerimientos de ley, o por el representante legal, durante un lapso equivalente al que exija el respectivo régimen de contratación para el que se hubiera constituido la sociedad, el cual, en todo caso, no será inferior a los 6 meses anteriores a la celebración del contrato. Si bien este certificado no es un requisito para perfeccionar el contrato, sí lo es para presentar la oferta. Sin embargo, es importante destacar que esta exigencia originada en los incisos 3 y 4 del artículo 50 de la Ley 789 de 2002, únicamente se estableció frente a las personas jurídicas.</w:t>
      </w:r>
    </w:p>
    <w:p w14:paraId="6CAF7826" w14:textId="77777777" w:rsidR="003E5D6D" w:rsidRPr="00874A39" w:rsidRDefault="003E5D6D" w:rsidP="005720CE">
      <w:pPr>
        <w:spacing w:after="240" w:line="276" w:lineRule="auto"/>
        <w:ind w:firstLine="709"/>
        <w:jc w:val="both"/>
        <w:rPr>
          <w:rFonts w:ascii="Geomanist Light" w:eastAsia="Calibri" w:hAnsi="Geomanist Light" w:cs="Arial"/>
          <w:sz w:val="22"/>
          <w:szCs w:val="22"/>
          <w:lang w:val="es-ES" w:eastAsia="en-US"/>
        </w:rPr>
      </w:pPr>
      <w:r w:rsidRPr="00874A39">
        <w:rPr>
          <w:rFonts w:ascii="Geomanist Light" w:eastAsia="Calibri" w:hAnsi="Geomanist Light" w:cs="Arial"/>
          <w:sz w:val="22"/>
          <w:szCs w:val="22"/>
          <w:lang w:val="es-ES" w:eastAsia="en-US"/>
        </w:rPr>
        <w:t xml:space="preserve">En este sentido, la verificación del cumplimiento de las obligaciones relacionadas con el Sistema de Seguridad Social Integral cambia dependiendo de si se trata de una persona natural o de una jurídica: i) si es una natural, la entidad estatal verificará el pago al Sistema de Seguridad Social Integral cuando se realicen los pagos del contrato, es decir, durante su ejecución y </w:t>
      </w:r>
      <w:proofErr w:type="spellStart"/>
      <w:r w:rsidRPr="00874A39">
        <w:rPr>
          <w:rFonts w:ascii="Geomanist Light" w:eastAsia="Calibri" w:hAnsi="Geomanist Light" w:cs="Arial"/>
          <w:sz w:val="22"/>
          <w:szCs w:val="22"/>
          <w:lang w:val="es-ES" w:eastAsia="en-US"/>
        </w:rPr>
        <w:t>ii</w:t>
      </w:r>
      <w:proofErr w:type="spellEnd"/>
      <w:r w:rsidRPr="00874A39">
        <w:rPr>
          <w:rFonts w:ascii="Geomanist Light" w:eastAsia="Calibri" w:hAnsi="Geomanist Light" w:cs="Arial"/>
          <w:sz w:val="22"/>
          <w:szCs w:val="22"/>
          <w:lang w:val="es-ES" w:eastAsia="en-US"/>
        </w:rPr>
        <w:t xml:space="preserve">) si se refiere a una persona jurídica, la acreditación del cumplimiento de las obligaciones relacionadas con el Sistema de Seguridad Social Integral de sus empleados se debe aportar con la presentación de la oferta, y este constituye un criterio de admisión de la oferta. Lo anterior sin perjuicio de que durante la ejecución del contrato también se acredite </w:t>
      </w:r>
      <w:r w:rsidRPr="00874A39">
        <w:rPr>
          <w:rFonts w:ascii="Geomanist Light" w:eastAsia="Calibri" w:hAnsi="Geomanist Light" w:cs="Arial"/>
          <w:sz w:val="22"/>
          <w:szCs w:val="22"/>
          <w:lang w:val="es-ES" w:eastAsia="en-US"/>
        </w:rPr>
        <w:lastRenderedPageBreak/>
        <w:t xml:space="preserve">el pago al Sistema de Seguridad Social Integral para pagar las cuentas o facturas si a ello hubiere lugar. </w:t>
      </w:r>
    </w:p>
    <w:p w14:paraId="22A12944" w14:textId="4A9D5261" w:rsidR="003E5D6D" w:rsidRPr="00874A39" w:rsidRDefault="003E5D6D" w:rsidP="005720CE">
      <w:pPr>
        <w:spacing w:after="240" w:line="276" w:lineRule="auto"/>
        <w:ind w:firstLine="709"/>
        <w:jc w:val="both"/>
        <w:rPr>
          <w:rFonts w:ascii="Geomanist Light" w:eastAsia="Calibri" w:hAnsi="Geomanist Light" w:cs="Arial"/>
          <w:sz w:val="22"/>
          <w:szCs w:val="22"/>
          <w:lang w:val="es-ES" w:eastAsia="en-US"/>
        </w:rPr>
      </w:pPr>
      <w:r w:rsidRPr="00874A39">
        <w:rPr>
          <w:rFonts w:ascii="Geomanist Light" w:eastAsia="Calibri" w:hAnsi="Geomanist Light" w:cs="Arial"/>
          <w:sz w:val="22"/>
          <w:szCs w:val="22"/>
          <w:lang w:val="es-ES" w:eastAsia="en-US"/>
        </w:rPr>
        <w:t>As</w:t>
      </w:r>
      <w:r w:rsidR="00237DB3">
        <w:rPr>
          <w:rFonts w:ascii="Geomanist Light" w:eastAsia="Calibri" w:hAnsi="Geomanist Light" w:cs="Arial"/>
          <w:sz w:val="22"/>
          <w:szCs w:val="22"/>
          <w:lang w:val="es-ES" w:eastAsia="en-US"/>
        </w:rPr>
        <w:t xml:space="preserve">í </w:t>
      </w:r>
      <w:r w:rsidRPr="00874A39">
        <w:rPr>
          <w:rFonts w:ascii="Geomanist Light" w:eastAsia="Calibri" w:hAnsi="Geomanist Light" w:cs="Arial"/>
          <w:sz w:val="22"/>
          <w:szCs w:val="22"/>
          <w:lang w:val="es-ES" w:eastAsia="en-US"/>
        </w:rPr>
        <w:t xml:space="preserve">mismo, en virtud del artículo 50 de la Ley 789 de 2002, la entidad verificará, tanto para las personas naturales como para las jurídicas, la realización de los aportes al Sistema de Seguridad Social Integral, al momento de su liquidación, y dejarán constancia del cumplimiento de las obligaciones del contratista frente a los aportes mencionados durante toda su vigencia, estableciendo una correcta relación entre el monto cancelado y las sumas que debieron cotizar. </w:t>
      </w:r>
    </w:p>
    <w:p w14:paraId="1BB8D911" w14:textId="77777777" w:rsidR="003E5D6D" w:rsidRPr="00874A39" w:rsidRDefault="003E5D6D" w:rsidP="005720CE">
      <w:pPr>
        <w:spacing w:after="240" w:line="276" w:lineRule="auto"/>
        <w:ind w:firstLine="709"/>
        <w:jc w:val="both"/>
        <w:rPr>
          <w:rFonts w:ascii="Geomanist Light" w:eastAsia="Calibri" w:hAnsi="Geomanist Light" w:cs="Arial"/>
          <w:sz w:val="22"/>
          <w:szCs w:val="22"/>
          <w:lang w:val="es-ES" w:eastAsia="en-US"/>
        </w:rPr>
      </w:pPr>
      <w:r w:rsidRPr="00874A39">
        <w:rPr>
          <w:rFonts w:ascii="Geomanist Light" w:eastAsia="Calibri" w:hAnsi="Geomanist Light" w:cs="Arial"/>
          <w:sz w:val="22"/>
          <w:szCs w:val="22"/>
          <w:lang w:val="es-ES" w:eastAsia="en-US"/>
        </w:rPr>
        <w:t>No cabe duda de que el pago de los aportes al Sistema de Seguridad Social Integral, por parte de los contratistas del Estado, es una obligación contenida en las leyes y disposiciones reglamentarias que regulan esta materia, y es deber de las entidades contratantes verificar el cumplimiento de este mandato, tanto antes de celebrar el contrato como durante su ejecución y liquidación, conforme a la naturaleza jurídica de la persona con quien se va a realizar el contrato.</w:t>
      </w:r>
    </w:p>
    <w:p w14:paraId="581328CF" w14:textId="230C29E6" w:rsidR="003E5D6D" w:rsidRPr="00237DB3" w:rsidRDefault="003E5D6D" w:rsidP="00237DB3">
      <w:pPr>
        <w:spacing w:after="240" w:line="276" w:lineRule="auto"/>
        <w:ind w:firstLine="709"/>
        <w:jc w:val="both"/>
        <w:rPr>
          <w:rFonts w:ascii="Geomanist Light" w:eastAsiaTheme="minorHAnsi" w:hAnsi="Geomanist Light" w:cs="Arial"/>
          <w:sz w:val="22"/>
          <w:szCs w:val="22"/>
          <w:lang w:eastAsia="en-US"/>
        </w:rPr>
      </w:pPr>
      <w:r w:rsidRPr="00874A39">
        <w:rPr>
          <w:rFonts w:ascii="Geomanist Light" w:eastAsiaTheme="minorHAnsi" w:hAnsi="Geomanist Light" w:cs="Arial"/>
          <w:sz w:val="22"/>
          <w:szCs w:val="22"/>
          <w:lang w:val="es-ES" w:eastAsia="en-US"/>
        </w:rPr>
        <w:t xml:space="preserve">En armonía con las consideraciones anteriores, que constituyen el fundamento de la forma como se acredita el cumplimiento de las obligaciones con el Sistema de Seguridad Social Integral, de acuerdo con la normativa vigente, se analizará la regulación de este aspecto en los documentos Tipo de licitación de obra pública de infraestructura de transporte –Versión 3 y los </w:t>
      </w:r>
      <w:r w:rsidRPr="00874A39">
        <w:rPr>
          <w:rFonts w:ascii="Geomanist Light" w:eastAsiaTheme="minorHAnsi" w:hAnsi="Geomanist Light" w:cs="Arial"/>
          <w:sz w:val="22"/>
          <w:szCs w:val="22"/>
          <w:lang w:eastAsia="en-US"/>
        </w:rPr>
        <w:t xml:space="preserve">documentos tipo para los procesos de selección abreviada de menor cuantía de obra pública de infraestructura de transporte – Versión 2. </w:t>
      </w:r>
    </w:p>
    <w:p w14:paraId="2514697B" w14:textId="0A3BD593" w:rsidR="003E5D6D" w:rsidRPr="00237DB3" w:rsidRDefault="003E5D6D" w:rsidP="00237DB3">
      <w:pPr>
        <w:tabs>
          <w:tab w:val="left" w:pos="426"/>
        </w:tabs>
        <w:spacing w:after="240" w:line="276" w:lineRule="auto"/>
        <w:jc w:val="both"/>
        <w:rPr>
          <w:rFonts w:ascii="Geomanist Light" w:eastAsia="Calibri" w:hAnsi="Geomanist Light" w:cs="Arial"/>
          <w:b/>
          <w:bCs/>
          <w:noProof/>
          <w:sz w:val="22"/>
          <w:szCs w:val="22"/>
          <w:lang w:val="es-ES_tradnl" w:eastAsia="en-US"/>
        </w:rPr>
      </w:pPr>
      <w:bookmarkStart w:id="2" w:name="_Hlk60290519"/>
      <w:r w:rsidRPr="00874A39">
        <w:rPr>
          <w:rFonts w:ascii="Geomanist Light" w:eastAsia="Calibri" w:hAnsi="Geomanist Light" w:cs="Arial"/>
          <w:b/>
          <w:bCs/>
          <w:noProof/>
          <w:sz w:val="22"/>
          <w:szCs w:val="22"/>
          <w:lang w:val="es-ES_tradnl" w:eastAsia="en-US"/>
        </w:rPr>
        <w:t>2.</w:t>
      </w:r>
      <w:r w:rsidR="00DF2E4D" w:rsidRPr="00874A39">
        <w:rPr>
          <w:rFonts w:ascii="Geomanist Light" w:eastAsia="Calibri" w:hAnsi="Geomanist Light" w:cs="Arial"/>
          <w:b/>
          <w:bCs/>
          <w:noProof/>
          <w:sz w:val="22"/>
          <w:szCs w:val="22"/>
          <w:lang w:val="es-ES_tradnl" w:eastAsia="en-US"/>
        </w:rPr>
        <w:t>2</w:t>
      </w:r>
      <w:r w:rsidRPr="00874A39">
        <w:rPr>
          <w:rFonts w:ascii="Geomanist Light" w:eastAsia="Calibri" w:hAnsi="Geomanist Light" w:cs="Arial"/>
          <w:b/>
          <w:bCs/>
          <w:noProof/>
          <w:sz w:val="22"/>
          <w:szCs w:val="22"/>
          <w:lang w:val="es-ES_tradnl" w:eastAsia="en-US"/>
        </w:rPr>
        <w:t>. Acreditación del cumplimiento de las obligaciones frente al Sistema de Seguridad Social Integral en los Documentos Tipo</w:t>
      </w:r>
      <w:bookmarkEnd w:id="2"/>
    </w:p>
    <w:p w14:paraId="1E6C0E5B" w14:textId="3B09D485" w:rsidR="003E5D6D" w:rsidRPr="00874A39" w:rsidRDefault="003E5D6D" w:rsidP="00237DB3">
      <w:pPr>
        <w:widowControl w:val="0"/>
        <w:autoSpaceDE w:val="0"/>
        <w:autoSpaceDN w:val="0"/>
        <w:spacing w:after="240" w:line="278" w:lineRule="auto"/>
        <w:jc w:val="both"/>
        <w:rPr>
          <w:rFonts w:ascii="Geomanist Light" w:eastAsia="Arial" w:hAnsi="Geomanist Light" w:cs="Arial"/>
          <w:sz w:val="22"/>
          <w:szCs w:val="22"/>
          <w:lang w:val="es-ES" w:eastAsia="en-US"/>
        </w:rPr>
      </w:pPr>
      <w:r w:rsidRPr="00874A39">
        <w:rPr>
          <w:rFonts w:ascii="Geomanist Light" w:eastAsia="Arial" w:hAnsi="Geomanist Light" w:cs="Arial"/>
          <w:sz w:val="22"/>
          <w:szCs w:val="22"/>
          <w:lang w:val="es-ES" w:eastAsia="en-US"/>
        </w:rPr>
        <w:t xml:space="preserve">En el </w:t>
      </w:r>
      <w:r w:rsidRPr="00874A39">
        <w:rPr>
          <w:rFonts w:ascii="Geomanist Light" w:eastAsia="Calibri" w:hAnsi="Geomanist Light" w:cs="Arial"/>
          <w:noProof/>
          <w:sz w:val="22"/>
          <w:szCs w:val="22"/>
          <w:lang w:val="es-ES_tradnl" w:eastAsia="en-US"/>
        </w:rPr>
        <w:t xml:space="preserve">«Documento Base» de los </w:t>
      </w:r>
      <w:r w:rsidRPr="00874A39">
        <w:rPr>
          <w:rFonts w:ascii="Geomanist Light" w:eastAsiaTheme="minorHAnsi" w:hAnsi="Geomanist Light" w:cs="Arial"/>
          <w:sz w:val="22"/>
          <w:szCs w:val="22"/>
          <w:lang w:val="es-ES" w:eastAsia="en-US"/>
        </w:rPr>
        <w:t xml:space="preserve">documentos tipo de licitación de obra pública de infraestructura de transporte –Versión 3, y los </w:t>
      </w:r>
      <w:r w:rsidRPr="00874A39">
        <w:rPr>
          <w:rFonts w:ascii="Geomanist Light" w:eastAsiaTheme="minorHAnsi" w:hAnsi="Geomanist Light" w:cs="Arial"/>
          <w:sz w:val="22"/>
          <w:szCs w:val="22"/>
          <w:lang w:eastAsia="en-US"/>
        </w:rPr>
        <w:t xml:space="preserve">documentos tipo para los procesos de selección abreviada de menor cuantía de obra pública de infraestructura de transporte – Versión 2, </w:t>
      </w:r>
      <w:r w:rsidRPr="00874A39">
        <w:rPr>
          <w:rFonts w:ascii="Geomanist Light" w:eastAsia="Arial" w:hAnsi="Geomanist Light" w:cs="Arial"/>
          <w:sz w:val="22"/>
          <w:szCs w:val="22"/>
          <w:lang w:val="es-ES" w:eastAsia="en-US"/>
        </w:rPr>
        <w:t>se establecen los requisitos habilitantes y los criterios para la ponderación de las propuestas, dentro de los cuales se encuentra la acreditación de pagos al Sistema de Seguridad Social, de la siguiente forma:</w:t>
      </w:r>
    </w:p>
    <w:p w14:paraId="326F7DC5" w14:textId="77777777" w:rsidR="003E5D6D" w:rsidRPr="00874A39" w:rsidRDefault="003E5D6D" w:rsidP="00B11F8F">
      <w:pPr>
        <w:keepNext/>
        <w:keepLines/>
        <w:numPr>
          <w:ilvl w:val="1"/>
          <w:numId w:val="0"/>
        </w:numPr>
        <w:spacing w:after="240"/>
        <w:ind w:left="1069" w:right="709" w:hanging="360"/>
        <w:jc w:val="both"/>
        <w:outlineLvl w:val="1"/>
        <w:rPr>
          <w:rFonts w:ascii="Geomanist Light" w:eastAsiaTheme="majorEastAsia" w:hAnsi="Geomanist Light" w:cstheme="majorBidi"/>
          <w:b/>
          <w:caps/>
          <w:color w:val="000000" w:themeColor="text1"/>
          <w:sz w:val="21"/>
          <w:szCs w:val="21"/>
          <w:lang w:val="es-MX" w:eastAsia="en-US"/>
        </w:rPr>
      </w:pPr>
      <w:bookmarkStart w:id="3" w:name="_Toc73368189"/>
      <w:r w:rsidRPr="00874A39">
        <w:rPr>
          <w:rFonts w:ascii="Geomanist Light" w:eastAsiaTheme="majorEastAsia" w:hAnsi="Geomanist Light" w:cstheme="majorBidi"/>
          <w:b/>
          <w:color w:val="000000" w:themeColor="text1"/>
          <w:sz w:val="21"/>
          <w:szCs w:val="21"/>
          <w:lang w:val="es-MX" w:eastAsia="en-US"/>
        </w:rPr>
        <w:lastRenderedPageBreak/>
        <w:t>3.4 CERTIFICACIÓN DE PAGOS DE SEGURIDAD SOCIAL Y APORTES LEGALES</w:t>
      </w:r>
      <w:bookmarkEnd w:id="3"/>
    </w:p>
    <w:p w14:paraId="7A38B7B1" w14:textId="77777777" w:rsidR="003E5D6D" w:rsidRPr="00874A39" w:rsidRDefault="003E5D6D" w:rsidP="00B11F8F">
      <w:pPr>
        <w:keepNext/>
        <w:keepLines/>
        <w:numPr>
          <w:ilvl w:val="2"/>
          <w:numId w:val="0"/>
        </w:numPr>
        <w:spacing w:after="240"/>
        <w:ind w:left="1429" w:right="709" w:hanging="720"/>
        <w:jc w:val="both"/>
        <w:outlineLvl w:val="2"/>
        <w:rPr>
          <w:rFonts w:ascii="Geomanist Light" w:eastAsiaTheme="majorEastAsia" w:hAnsi="Geomanist Light" w:cstheme="majorBidi"/>
          <w:b/>
          <w:caps/>
          <w:color w:val="000000" w:themeColor="text1"/>
          <w:sz w:val="21"/>
          <w:szCs w:val="21"/>
          <w:lang w:val="es-MX" w:eastAsia="en-US"/>
        </w:rPr>
      </w:pPr>
      <w:bookmarkStart w:id="4" w:name="_Toc73368190"/>
      <w:r w:rsidRPr="00874A39">
        <w:rPr>
          <w:rFonts w:ascii="Geomanist Light" w:eastAsiaTheme="majorEastAsia" w:hAnsi="Geomanist Light" w:cstheme="majorBidi"/>
          <w:b/>
          <w:color w:val="000000" w:themeColor="text1"/>
          <w:sz w:val="21"/>
          <w:szCs w:val="21"/>
          <w:lang w:val="es-MX" w:eastAsia="en-US"/>
        </w:rPr>
        <w:t>3.4.1 PERSONAS JURÍDICAS</w:t>
      </w:r>
      <w:bookmarkEnd w:id="4"/>
    </w:p>
    <w:p w14:paraId="6CEC0C4A" w14:textId="77777777" w:rsidR="003E5D6D" w:rsidRPr="00874A39" w:rsidRDefault="003E5D6D" w:rsidP="00B11F8F">
      <w:pPr>
        <w:spacing w:after="240"/>
        <w:ind w:left="709" w:right="709"/>
        <w:jc w:val="both"/>
        <w:rPr>
          <w:rFonts w:ascii="Geomanist Light" w:eastAsiaTheme="minorHAnsi" w:hAnsi="Geomanist Light" w:cstheme="minorBidi"/>
          <w:color w:val="000000" w:themeColor="text1"/>
          <w:sz w:val="21"/>
          <w:szCs w:val="21"/>
          <w:lang w:val="es-MX" w:eastAsia="en-US"/>
        </w:rPr>
      </w:pPr>
      <w:r w:rsidRPr="00874A39">
        <w:rPr>
          <w:rFonts w:ascii="Geomanist Light" w:eastAsiaTheme="minorHAnsi" w:hAnsi="Geomanist Light" w:cstheme="minorBidi"/>
          <w:color w:val="000000" w:themeColor="text1"/>
          <w:sz w:val="21"/>
          <w:szCs w:val="21"/>
          <w:lang w:val="es-MX" w:eastAsia="en-US"/>
        </w:rPr>
        <w:t xml:space="preserve">El proponente persona jurídica debe presentar el Formato 6 – Pagos de seguridad social y aportes legales suscrito por el revisor fiscal, de acuerdo con los requerimientos de ley o por el representante legal, bajo la gravedad del juramento, cuando no se requiera revisor fiscal, en el que conste el pago de los aportes de sus empleados a los sistemas de salud, riesgos profesionales, pensiones y aportes a las Cajas de Compensación Familiar, al Instituto Colombiano de Bienestar Familiar, al Servicio Nacional de Aprendizaje y  al Fondo Nacional de Formación Profesional para la Industria de Construcción, cuando a ello haya lugar. </w:t>
      </w:r>
    </w:p>
    <w:p w14:paraId="36A070FD" w14:textId="77777777" w:rsidR="003E5D6D" w:rsidRPr="00874A39" w:rsidRDefault="003E5D6D" w:rsidP="00B11F8F">
      <w:pPr>
        <w:spacing w:after="240"/>
        <w:ind w:left="709" w:right="709"/>
        <w:jc w:val="both"/>
        <w:rPr>
          <w:rFonts w:ascii="Geomanist Light" w:eastAsiaTheme="minorHAnsi" w:hAnsi="Geomanist Light" w:cstheme="minorBidi"/>
          <w:color w:val="000000" w:themeColor="text1"/>
          <w:sz w:val="21"/>
          <w:szCs w:val="21"/>
          <w:lang w:val="es-MX" w:eastAsia="en-US"/>
        </w:rPr>
      </w:pPr>
      <w:r w:rsidRPr="00874A39">
        <w:rPr>
          <w:rFonts w:ascii="Geomanist Light" w:eastAsiaTheme="minorHAnsi" w:hAnsi="Geomanist Light" w:cstheme="minorBidi"/>
          <w:color w:val="000000" w:themeColor="text1"/>
          <w:sz w:val="21"/>
          <w:szCs w:val="21"/>
          <w:lang w:val="es-MX" w:eastAsia="en-US"/>
        </w:rPr>
        <w:t xml:space="preserve">La entidad no exigirá las planillas de pago. Bastará el certificado suscrito por el revisor fiscal, en los casos requeridos por la ley, o por el representante legal que así lo acredite. </w:t>
      </w:r>
    </w:p>
    <w:p w14:paraId="441B685C" w14:textId="77777777" w:rsidR="003E5D6D" w:rsidRPr="00874A39" w:rsidRDefault="003E5D6D" w:rsidP="00B11F8F">
      <w:pPr>
        <w:spacing w:after="240"/>
        <w:ind w:left="709" w:right="709"/>
        <w:jc w:val="both"/>
        <w:rPr>
          <w:rFonts w:ascii="Geomanist Light" w:eastAsiaTheme="minorHAnsi" w:hAnsi="Geomanist Light" w:cstheme="minorBidi"/>
          <w:color w:val="000000" w:themeColor="text1"/>
          <w:sz w:val="21"/>
          <w:szCs w:val="21"/>
          <w:lang w:val="es-MX" w:eastAsia="en-US"/>
        </w:rPr>
      </w:pPr>
      <w:r w:rsidRPr="00874A39">
        <w:rPr>
          <w:rFonts w:ascii="Geomanist Light" w:eastAsiaTheme="minorHAnsi" w:hAnsi="Geomanist Light" w:cstheme="minorBidi"/>
          <w:color w:val="000000" w:themeColor="text1"/>
          <w:sz w:val="21"/>
          <w:szCs w:val="21"/>
          <w:lang w:val="es-MX" w:eastAsia="en-US"/>
        </w:rPr>
        <w:t xml:space="preserve">Cuando la persona jurídica está exonerada en los términos previstos en el artículo 65 de la Ley 1819 de 2016 debe indicarlo en el Formato 6 – Pagos de seguridad social y aportes legales </w:t>
      </w:r>
    </w:p>
    <w:p w14:paraId="6A7F7214" w14:textId="77777777" w:rsidR="003E5D6D" w:rsidRPr="00874A39" w:rsidRDefault="003E5D6D" w:rsidP="00B11F8F">
      <w:pPr>
        <w:spacing w:after="240"/>
        <w:ind w:left="709" w:right="709"/>
        <w:jc w:val="both"/>
        <w:rPr>
          <w:rFonts w:ascii="Geomanist Light" w:eastAsiaTheme="minorHAnsi" w:hAnsi="Geomanist Light" w:cstheme="minorBidi"/>
          <w:color w:val="000000" w:themeColor="text1"/>
          <w:sz w:val="21"/>
          <w:szCs w:val="21"/>
          <w:lang w:val="es-MX" w:eastAsia="en-US"/>
        </w:rPr>
      </w:pPr>
      <w:r w:rsidRPr="00874A39">
        <w:rPr>
          <w:rFonts w:ascii="Geomanist Light" w:eastAsiaTheme="minorHAnsi" w:hAnsi="Geomanist Light" w:cstheme="minorBidi"/>
          <w:color w:val="000000" w:themeColor="text1"/>
          <w:sz w:val="21"/>
          <w:szCs w:val="21"/>
          <w:lang w:val="es-MX" w:eastAsia="en-US"/>
        </w:rPr>
        <w:t>Esta misma previsión aplica para las personas jurídicas extranjeras con domicilio o sucursal en Colombia, las cuales deben acreditar este requisito respecto del personal vinculado en Colombia.</w:t>
      </w:r>
    </w:p>
    <w:p w14:paraId="36484F3E" w14:textId="77777777" w:rsidR="003E5D6D" w:rsidRPr="00874A39" w:rsidRDefault="003E5D6D" w:rsidP="00B11F8F">
      <w:pPr>
        <w:keepNext/>
        <w:keepLines/>
        <w:numPr>
          <w:ilvl w:val="2"/>
          <w:numId w:val="0"/>
        </w:numPr>
        <w:spacing w:after="240"/>
        <w:ind w:left="1429" w:right="709" w:hanging="720"/>
        <w:jc w:val="both"/>
        <w:outlineLvl w:val="2"/>
        <w:rPr>
          <w:rFonts w:ascii="Geomanist Light" w:eastAsiaTheme="majorEastAsia" w:hAnsi="Geomanist Light" w:cstheme="majorBidi"/>
          <w:b/>
          <w:caps/>
          <w:color w:val="000000" w:themeColor="text1"/>
          <w:sz w:val="21"/>
          <w:szCs w:val="21"/>
          <w:lang w:val="es-MX" w:eastAsia="en-US"/>
        </w:rPr>
      </w:pPr>
      <w:bookmarkStart w:id="5" w:name="_Toc73368191"/>
      <w:r w:rsidRPr="00874A39">
        <w:rPr>
          <w:rFonts w:ascii="Geomanist Light" w:eastAsiaTheme="majorEastAsia" w:hAnsi="Geomanist Light" w:cstheme="majorBidi"/>
          <w:b/>
          <w:color w:val="000000" w:themeColor="text1"/>
          <w:sz w:val="21"/>
          <w:szCs w:val="21"/>
          <w:lang w:val="es-MX" w:eastAsia="en-US"/>
        </w:rPr>
        <w:t>3.4.3 PERSONAS NATURALES</w:t>
      </w:r>
      <w:bookmarkEnd w:id="5"/>
    </w:p>
    <w:p w14:paraId="0F14DF88" w14:textId="77777777" w:rsidR="003E5D6D" w:rsidRPr="00874A39" w:rsidRDefault="003E5D6D" w:rsidP="00B11F8F">
      <w:pPr>
        <w:spacing w:after="240"/>
        <w:ind w:left="709" w:right="709"/>
        <w:jc w:val="both"/>
        <w:rPr>
          <w:rFonts w:ascii="Geomanist Light" w:eastAsiaTheme="minorHAnsi" w:hAnsi="Geomanist Light" w:cstheme="minorBidi"/>
          <w:color w:val="000000" w:themeColor="text1"/>
          <w:sz w:val="21"/>
          <w:szCs w:val="21"/>
          <w:lang w:val="es-MX" w:eastAsia="en-US"/>
        </w:rPr>
      </w:pPr>
      <w:proofErr w:type="gramStart"/>
      <w:r w:rsidRPr="00874A39">
        <w:rPr>
          <w:rFonts w:ascii="Geomanist Light" w:eastAsiaTheme="minorHAnsi" w:hAnsi="Geomanist Light" w:cstheme="minorBidi"/>
          <w:color w:val="000000" w:themeColor="text1"/>
          <w:sz w:val="21"/>
          <w:szCs w:val="21"/>
          <w:lang w:val="es-MX" w:eastAsia="en-US"/>
        </w:rPr>
        <w:t>El proponente persona natural</w:t>
      </w:r>
      <w:proofErr w:type="gramEnd"/>
      <w:r w:rsidRPr="00874A39">
        <w:rPr>
          <w:rFonts w:ascii="Geomanist Light" w:eastAsiaTheme="minorHAnsi" w:hAnsi="Geomanist Light" w:cstheme="minorBidi"/>
          <w:color w:val="000000" w:themeColor="text1"/>
          <w:sz w:val="21"/>
          <w:szCs w:val="21"/>
          <w:lang w:val="es-MX" w:eastAsia="en-US"/>
        </w:rPr>
        <w:t xml:space="preserve"> debe acreditar la afiliación a los sistemas de seguridad social en salud y pensiones, aportando los certificados de afiliación respectivos o con el certificado de pago de la correspondiente planilla. </w:t>
      </w:r>
    </w:p>
    <w:p w14:paraId="2ED02E5D" w14:textId="77777777" w:rsidR="003E5D6D" w:rsidRPr="00874A39" w:rsidRDefault="003E5D6D" w:rsidP="00B11F8F">
      <w:pPr>
        <w:spacing w:after="240"/>
        <w:ind w:left="709" w:right="709"/>
        <w:jc w:val="both"/>
        <w:rPr>
          <w:rFonts w:ascii="Geomanist Light" w:eastAsiaTheme="minorHAnsi" w:hAnsi="Geomanist Light" w:cstheme="minorBidi"/>
          <w:color w:val="000000" w:themeColor="text1"/>
          <w:sz w:val="21"/>
          <w:szCs w:val="21"/>
          <w:lang w:val="es-MX" w:eastAsia="en-US"/>
        </w:rPr>
      </w:pPr>
      <w:r w:rsidRPr="00874A39">
        <w:rPr>
          <w:rFonts w:ascii="Geomanist Light" w:eastAsiaTheme="minorHAnsi" w:hAnsi="Geomanist Light" w:cstheme="minorBidi"/>
          <w:color w:val="000000" w:themeColor="text1"/>
          <w:sz w:val="21"/>
          <w:szCs w:val="21"/>
          <w:lang w:val="es-MX" w:eastAsia="en-US"/>
        </w:rPr>
        <w:t>Los certificados de afiliación se deben presentar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pliego de condiciones definitivo.</w:t>
      </w:r>
    </w:p>
    <w:p w14:paraId="038F63FB" w14:textId="77777777" w:rsidR="003E5D6D" w:rsidRPr="00874A39" w:rsidRDefault="003E5D6D" w:rsidP="00B11F8F">
      <w:pPr>
        <w:spacing w:after="240"/>
        <w:ind w:left="709" w:right="709"/>
        <w:jc w:val="both"/>
        <w:rPr>
          <w:rFonts w:ascii="Geomanist Light" w:eastAsiaTheme="minorHAnsi" w:hAnsi="Geomanist Light" w:cstheme="minorBidi"/>
          <w:color w:val="000000" w:themeColor="text1"/>
          <w:sz w:val="21"/>
          <w:szCs w:val="21"/>
          <w:lang w:val="es-MX" w:eastAsia="en-US"/>
        </w:rPr>
      </w:pPr>
      <w:r w:rsidRPr="00874A39">
        <w:rPr>
          <w:rFonts w:ascii="Geomanist Light" w:eastAsiaTheme="minorHAnsi" w:hAnsi="Geomanist Light" w:cstheme="minorBidi"/>
          <w:color w:val="000000" w:themeColor="text1"/>
          <w:sz w:val="21"/>
          <w:szCs w:val="21"/>
          <w:lang w:val="es-MX" w:eastAsia="en-US"/>
        </w:rPr>
        <w:t xml:space="preserve">La persona natural que reúna los requisitos para acceder a la pensión de vejez, o se pensione por invalidez o anticipadamente, presentará el certificado que lo acredite y, además, la afiliación al sistema de salud. </w:t>
      </w:r>
    </w:p>
    <w:p w14:paraId="2EFB3E85" w14:textId="77777777" w:rsidR="003E5D6D" w:rsidRPr="00874A39" w:rsidRDefault="003E5D6D" w:rsidP="00B11F8F">
      <w:pPr>
        <w:spacing w:after="240"/>
        <w:ind w:left="709" w:right="709"/>
        <w:jc w:val="both"/>
        <w:rPr>
          <w:rFonts w:ascii="Geomanist Light" w:eastAsiaTheme="minorHAnsi" w:hAnsi="Geomanist Light" w:cstheme="minorBidi"/>
          <w:color w:val="000000" w:themeColor="text1"/>
          <w:sz w:val="21"/>
          <w:szCs w:val="21"/>
          <w:lang w:val="es-MX" w:eastAsia="en-US"/>
        </w:rPr>
      </w:pPr>
      <w:r w:rsidRPr="00874A39">
        <w:rPr>
          <w:rFonts w:ascii="Geomanist Light" w:eastAsiaTheme="minorHAnsi" w:hAnsi="Geomanist Light" w:cstheme="minorBidi"/>
          <w:color w:val="000000" w:themeColor="text1"/>
          <w:sz w:val="21"/>
          <w:szCs w:val="21"/>
          <w:lang w:val="es-MX" w:eastAsia="en-US"/>
        </w:rPr>
        <w:lastRenderedPageBreak/>
        <w:t>Esta misma previsión aplica para las personas naturales extranjeras con domicilio en Colombia las cuales deberán acreditar este requisito respecto del personal vinculado en Colombia</w:t>
      </w:r>
    </w:p>
    <w:p w14:paraId="779A3FD7" w14:textId="77777777" w:rsidR="003E5D6D" w:rsidRPr="00874A39" w:rsidRDefault="003E5D6D" w:rsidP="00B11F8F">
      <w:pPr>
        <w:spacing w:after="240"/>
        <w:ind w:left="709" w:right="709"/>
        <w:jc w:val="both"/>
        <w:rPr>
          <w:rFonts w:ascii="Geomanist Light" w:eastAsiaTheme="minorHAnsi" w:hAnsi="Geomanist Light" w:cstheme="minorBidi"/>
          <w:b/>
          <w:bCs/>
          <w:color w:val="000000" w:themeColor="text1"/>
          <w:sz w:val="21"/>
          <w:szCs w:val="21"/>
          <w:lang w:val="es-MX" w:eastAsia="en-US"/>
        </w:rPr>
      </w:pPr>
      <w:bookmarkStart w:id="6" w:name="_Toc73368192"/>
      <w:r w:rsidRPr="00874A39">
        <w:rPr>
          <w:rFonts w:ascii="Geomanist Light" w:eastAsiaTheme="minorHAnsi" w:hAnsi="Geomanist Light" w:cstheme="minorBidi"/>
          <w:b/>
          <w:bCs/>
          <w:color w:val="000000" w:themeColor="text1"/>
          <w:sz w:val="21"/>
          <w:szCs w:val="21"/>
          <w:lang w:val="es-MX" w:eastAsia="en-US"/>
        </w:rPr>
        <w:t>3.4.3 PROPONENTES PLURALES</w:t>
      </w:r>
      <w:bookmarkEnd w:id="6"/>
    </w:p>
    <w:p w14:paraId="7AFE713C" w14:textId="5DFDA626" w:rsidR="003E5D6D" w:rsidRPr="00237DB3" w:rsidRDefault="003E5D6D" w:rsidP="00B11F8F">
      <w:pPr>
        <w:spacing w:after="240"/>
        <w:ind w:left="709" w:right="709"/>
        <w:jc w:val="both"/>
        <w:rPr>
          <w:rFonts w:ascii="Geomanist Light" w:eastAsiaTheme="minorHAnsi" w:hAnsi="Geomanist Light" w:cstheme="minorBidi"/>
          <w:color w:val="000000" w:themeColor="text1"/>
          <w:sz w:val="21"/>
          <w:szCs w:val="21"/>
          <w:lang w:val="es-MX" w:eastAsia="en-US"/>
        </w:rPr>
      </w:pPr>
      <w:r w:rsidRPr="00874A39">
        <w:rPr>
          <w:rFonts w:ascii="Geomanist Light" w:eastAsiaTheme="minorHAnsi" w:hAnsi="Geomanist Light" w:cstheme="minorBidi"/>
          <w:color w:val="000000" w:themeColor="text1"/>
          <w:sz w:val="21"/>
          <w:szCs w:val="21"/>
          <w:lang w:val="es-MX" w:eastAsia="en-US"/>
        </w:rPr>
        <w:t>Cada uno de los integrantes del proponente plural debe acreditar por separado los requisitos de que tratan los numerales anteriores.</w:t>
      </w:r>
    </w:p>
    <w:p w14:paraId="0E4B0B9A" w14:textId="77777777" w:rsidR="003E5D6D" w:rsidRPr="00874A39" w:rsidRDefault="003E5D6D" w:rsidP="005720CE">
      <w:pPr>
        <w:spacing w:after="240" w:line="276" w:lineRule="auto"/>
        <w:ind w:firstLine="708"/>
        <w:jc w:val="both"/>
        <w:rPr>
          <w:rFonts w:ascii="Geomanist Light" w:eastAsia="MS Mincho" w:hAnsi="Geomanist Light" w:cs="Arial"/>
          <w:sz w:val="22"/>
          <w:szCs w:val="22"/>
          <w:shd w:val="clear" w:color="auto" w:fill="FFFFFF"/>
          <w:lang w:eastAsia="es-CO"/>
        </w:rPr>
      </w:pPr>
      <w:r w:rsidRPr="00874A39">
        <w:rPr>
          <w:rFonts w:ascii="Geomanist Light" w:eastAsia="Arial" w:hAnsi="Geomanist Light" w:cs="Arial"/>
          <w:sz w:val="22"/>
          <w:szCs w:val="22"/>
          <w:lang w:val="es-ES" w:eastAsia="en-US"/>
        </w:rPr>
        <w:t xml:space="preserve">En este sentido, en los numerales 3.4, 3.4.1, 3.4.2 y 3.4.3, se establece: i) las reglas para la acreditación de aportes al Sistema de Seguridad Social Integral y parafiscales, </w:t>
      </w:r>
      <w:proofErr w:type="spellStart"/>
      <w:r w:rsidRPr="00874A39">
        <w:rPr>
          <w:rFonts w:ascii="Geomanist Light" w:eastAsia="Arial" w:hAnsi="Geomanist Light" w:cs="Arial"/>
          <w:sz w:val="22"/>
          <w:szCs w:val="22"/>
          <w:lang w:val="es-ES" w:eastAsia="en-US"/>
        </w:rPr>
        <w:t>ii</w:t>
      </w:r>
      <w:proofErr w:type="spellEnd"/>
      <w:r w:rsidRPr="00874A39">
        <w:rPr>
          <w:rFonts w:ascii="Geomanist Light" w:eastAsia="Arial" w:hAnsi="Geomanist Light" w:cs="Arial"/>
          <w:sz w:val="22"/>
          <w:szCs w:val="22"/>
          <w:lang w:val="es-ES" w:eastAsia="en-US"/>
        </w:rPr>
        <w:t xml:space="preserve">) los proponentes personas jurídicas deben acreditar este requisito con la suscripción y presentación del «Formato 6 – Pagos de seguridad social y aportes legales», </w:t>
      </w:r>
      <w:proofErr w:type="spellStart"/>
      <w:r w:rsidRPr="00874A39">
        <w:rPr>
          <w:rFonts w:ascii="Geomanist Light" w:eastAsia="Arial" w:hAnsi="Geomanist Light" w:cs="Arial"/>
          <w:sz w:val="22"/>
          <w:szCs w:val="22"/>
          <w:lang w:val="es-ES" w:eastAsia="en-US"/>
        </w:rPr>
        <w:t>iii</w:t>
      </w:r>
      <w:proofErr w:type="spellEnd"/>
      <w:r w:rsidRPr="00874A39">
        <w:rPr>
          <w:rFonts w:ascii="Geomanist Light" w:eastAsia="Arial" w:hAnsi="Geomanist Light" w:cs="Arial"/>
          <w:sz w:val="22"/>
          <w:szCs w:val="22"/>
          <w:lang w:val="es-ES" w:eastAsia="en-US"/>
        </w:rPr>
        <w:t xml:space="preserve">) los proponentes personas naturales </w:t>
      </w:r>
      <w:r w:rsidRPr="00874A39">
        <w:rPr>
          <w:rFonts w:ascii="Geomanist Light" w:eastAsia="Calibri" w:hAnsi="Geomanist Light" w:cs="Arial"/>
          <w:bCs/>
          <w:noProof/>
          <w:sz w:val="22"/>
          <w:szCs w:val="22"/>
          <w:lang w:val="es-ES_tradnl" w:eastAsia="en-US"/>
        </w:rPr>
        <w:t>deben acreditar la afiliación a los sistemas de seguridad social en salud y pensiones, aportando los certificados de afiliación respectivos o el certificado de pago de la correspondiente planilla</w:t>
      </w:r>
      <w:r w:rsidRPr="00874A39">
        <w:rPr>
          <w:rFonts w:ascii="Geomanist Light" w:eastAsia="Arial" w:hAnsi="Geomanist Light" w:cs="Arial"/>
          <w:sz w:val="22"/>
          <w:szCs w:val="22"/>
          <w:lang w:val="es-ES" w:eastAsia="en-US"/>
        </w:rPr>
        <w:t xml:space="preserve">, </w:t>
      </w:r>
      <w:proofErr w:type="spellStart"/>
      <w:r w:rsidRPr="00874A39">
        <w:rPr>
          <w:rFonts w:ascii="Geomanist Light" w:eastAsia="Arial" w:hAnsi="Geomanist Light" w:cs="Arial"/>
          <w:sz w:val="22"/>
          <w:szCs w:val="22"/>
          <w:lang w:val="es-ES" w:eastAsia="en-US"/>
        </w:rPr>
        <w:t>iv</w:t>
      </w:r>
      <w:proofErr w:type="spellEnd"/>
      <w:r w:rsidRPr="00874A39">
        <w:rPr>
          <w:rFonts w:ascii="Geomanist Light" w:eastAsia="Arial" w:hAnsi="Geomanist Light" w:cs="Arial"/>
          <w:sz w:val="22"/>
          <w:szCs w:val="22"/>
          <w:lang w:val="es-ES" w:eastAsia="en-US"/>
        </w:rPr>
        <w:t>) los integrantes de los proponentes plurales deben acreditar el cumplimiento con las obligaciones al Sistema de Seguridad Social Integral de manera independiente, según se trate de personas naturales o jurídicas, en la forma enunciada anteriormente, y v) para efectos de la suscripción del contrato, el adjudicatario debe presentar declaración donde acredite el pago correspondiente a seguridad social y aportes legales cuando a ello haya l</w:t>
      </w:r>
      <w:proofErr w:type="spellStart"/>
      <w:r w:rsidRPr="00874A39">
        <w:rPr>
          <w:rFonts w:ascii="Geomanist Light" w:eastAsia="MS Mincho" w:hAnsi="Geomanist Light" w:cs="Arial"/>
          <w:sz w:val="22"/>
          <w:szCs w:val="22"/>
          <w:shd w:val="clear" w:color="auto" w:fill="FFFFFF"/>
          <w:lang w:eastAsia="es-CO"/>
        </w:rPr>
        <w:t>ugar</w:t>
      </w:r>
      <w:proofErr w:type="spellEnd"/>
      <w:r w:rsidRPr="00874A39">
        <w:rPr>
          <w:rFonts w:ascii="Geomanist Light" w:eastAsia="MS Mincho" w:hAnsi="Geomanist Light" w:cs="Arial"/>
          <w:sz w:val="22"/>
          <w:szCs w:val="22"/>
          <w:shd w:val="clear" w:color="auto" w:fill="FFFFFF"/>
          <w:lang w:eastAsia="es-CO"/>
        </w:rPr>
        <w:t>.</w:t>
      </w:r>
    </w:p>
    <w:p w14:paraId="7008CFB6" w14:textId="77777777" w:rsidR="003E5D6D" w:rsidRPr="00874A39" w:rsidRDefault="003E5D6D" w:rsidP="005720CE">
      <w:pPr>
        <w:spacing w:after="240" w:line="276" w:lineRule="auto"/>
        <w:ind w:firstLine="708"/>
        <w:jc w:val="both"/>
        <w:rPr>
          <w:rFonts w:ascii="Geomanist Light" w:eastAsia="Calibri" w:hAnsi="Geomanist Light" w:cs="Arial"/>
          <w:b/>
          <w:sz w:val="22"/>
          <w:szCs w:val="22"/>
          <w:lang w:val="es-ES_tradnl" w:eastAsia="es-CO"/>
        </w:rPr>
      </w:pPr>
      <w:r w:rsidRPr="00874A39">
        <w:rPr>
          <w:rFonts w:ascii="Geomanist Light" w:eastAsia="MS Mincho" w:hAnsi="Geomanist Light" w:cs="Arial"/>
          <w:sz w:val="22"/>
          <w:szCs w:val="22"/>
          <w:shd w:val="clear" w:color="auto" w:fill="FFFFFF"/>
          <w:lang w:eastAsia="es-CO"/>
        </w:rPr>
        <w:t>De conformidad con lo anterior, la forma como se acredita el cumplimiento de las obligaciones frente al Sistema de Seguridad Social Integral, particularmente, durante el procedimiento de selección, es atendiendo las reglas establecidas en los numeral 3.4, 3.4.1, 3.4.2 y 3.4.3, cuyo contenido es inalterable, pues en dichos aspectos el Documento Tipo no permite su modificación por parte de las entidades estatales.</w:t>
      </w:r>
    </w:p>
    <w:p w14:paraId="1D155EDF" w14:textId="77777777" w:rsidR="003E5D6D" w:rsidRPr="00874A39" w:rsidRDefault="003E5D6D" w:rsidP="005720CE">
      <w:pPr>
        <w:widowControl w:val="0"/>
        <w:autoSpaceDE w:val="0"/>
        <w:autoSpaceDN w:val="0"/>
        <w:spacing w:after="240" w:line="276" w:lineRule="auto"/>
        <w:ind w:firstLine="709"/>
        <w:jc w:val="both"/>
        <w:rPr>
          <w:rFonts w:ascii="Geomanist Light" w:eastAsia="Calibri" w:hAnsi="Geomanist Light" w:cs="Arial"/>
          <w:bCs/>
          <w:noProof/>
          <w:sz w:val="22"/>
          <w:szCs w:val="22"/>
          <w:lang w:val="es-ES_tradnl" w:eastAsia="en-US"/>
        </w:rPr>
      </w:pPr>
      <w:r w:rsidRPr="00874A39">
        <w:rPr>
          <w:rFonts w:ascii="Geomanist Light" w:eastAsia="Arial" w:hAnsi="Geomanist Light" w:cs="Arial"/>
          <w:sz w:val="22"/>
          <w:szCs w:val="22"/>
          <w:lang w:val="es-ES" w:eastAsia="en-US"/>
        </w:rPr>
        <w:t xml:space="preserve">Ahora bien, </w:t>
      </w:r>
      <w:bookmarkStart w:id="7" w:name="_Hlk87263796"/>
      <w:r w:rsidRPr="00874A39">
        <w:rPr>
          <w:rFonts w:ascii="Geomanist Light" w:eastAsia="Arial" w:hAnsi="Geomanist Light" w:cs="Arial"/>
          <w:sz w:val="22"/>
          <w:szCs w:val="22"/>
          <w:lang w:val="es-ES" w:eastAsia="en-US"/>
        </w:rPr>
        <w:t>en lo concerniente al tema de consulta, obedeciendo al marco legal previsto en la materia, e</w:t>
      </w:r>
      <w:r w:rsidRPr="00874A39">
        <w:rPr>
          <w:rFonts w:ascii="Geomanist Light" w:eastAsia="Calibri" w:hAnsi="Geomanist Light" w:cs="Arial"/>
          <w:bCs/>
          <w:noProof/>
          <w:sz w:val="22"/>
          <w:szCs w:val="22"/>
          <w:lang w:val="es-ES_tradnl" w:eastAsia="en-US"/>
        </w:rPr>
        <w:t xml:space="preserve">l numeral 3.4.1. del «Documento Base» del documento Tipo de </w:t>
      </w:r>
      <w:r w:rsidRPr="00874A39">
        <w:rPr>
          <w:rFonts w:ascii="Geomanist Light" w:eastAsia="Calibri" w:hAnsi="Geomanist Light" w:cs="Arial"/>
          <w:noProof/>
          <w:sz w:val="22"/>
          <w:szCs w:val="22"/>
          <w:lang w:val="es-ES_tradnl" w:eastAsia="en-US"/>
        </w:rPr>
        <w:t xml:space="preserve">licitación de obra pública de infraestructura de transporte – Versión 3 y </w:t>
      </w:r>
      <w:r w:rsidRPr="00874A39">
        <w:rPr>
          <w:rFonts w:ascii="Geomanist Light" w:eastAsiaTheme="minorHAnsi" w:hAnsi="Geomanist Light" w:cs="Arial"/>
          <w:sz w:val="22"/>
          <w:szCs w:val="22"/>
          <w:lang w:val="es-ES" w:eastAsia="en-US"/>
        </w:rPr>
        <w:t xml:space="preserve">los </w:t>
      </w:r>
      <w:r w:rsidRPr="00874A39">
        <w:rPr>
          <w:rFonts w:ascii="Geomanist Light" w:eastAsiaTheme="minorHAnsi" w:hAnsi="Geomanist Light" w:cs="Arial"/>
          <w:sz w:val="22"/>
          <w:szCs w:val="22"/>
          <w:lang w:eastAsia="en-US"/>
        </w:rPr>
        <w:t>Documentos Tipo para los procesos de selección abreviada de menor cuantía de obra pública de infraestructura de transporte – Versión 2,</w:t>
      </w:r>
      <w:r w:rsidRPr="00874A39">
        <w:rPr>
          <w:rFonts w:ascii="Geomanist Light" w:eastAsia="Calibri" w:hAnsi="Geomanist Light" w:cs="Arial"/>
          <w:noProof/>
          <w:sz w:val="22"/>
          <w:szCs w:val="22"/>
          <w:lang w:val="es-ES_tradnl" w:eastAsia="en-US"/>
        </w:rPr>
        <w:t xml:space="preserve"> establecen que las personas jurídicas deben presentar el </w:t>
      </w:r>
      <w:r w:rsidRPr="00874A39">
        <w:rPr>
          <w:rFonts w:ascii="Geomanist Light" w:eastAsia="Calibri" w:hAnsi="Geomanist Light" w:cs="Arial"/>
          <w:bCs/>
          <w:noProof/>
          <w:sz w:val="22"/>
          <w:szCs w:val="22"/>
          <w:lang w:val="es-ES_tradnl" w:eastAsia="en-US"/>
        </w:rPr>
        <w:t xml:space="preserve">Formato 6 – Pagos de seguridad social y aportes legales suscrito por el representante legal de la persona jurídica o el revisor fiscal, según corresponda, </w:t>
      </w:r>
      <w:r w:rsidRPr="00874A39">
        <w:rPr>
          <w:rFonts w:ascii="Geomanist Light" w:eastAsia="Calibri" w:hAnsi="Geomanist Light" w:cs="Arial"/>
          <w:noProof/>
          <w:sz w:val="22"/>
          <w:szCs w:val="22"/>
          <w:lang w:val="es-ES_tradnl" w:eastAsia="en-US"/>
        </w:rPr>
        <w:t>bajo la gravedad del juramento. En dicho numeral se establece que basta con la presentación de dicho formato, aclarando expresamente que</w:t>
      </w:r>
      <w:r w:rsidRPr="00874A39">
        <w:rPr>
          <w:rFonts w:ascii="Geomanist Light" w:eastAsia="Calibri" w:hAnsi="Geomanist Light" w:cs="Arial"/>
          <w:bCs/>
          <w:noProof/>
          <w:sz w:val="22"/>
          <w:szCs w:val="22"/>
          <w:lang w:val="es-ES_tradnl" w:eastAsia="en-US"/>
        </w:rPr>
        <w:t xml:space="preserve"> «La entidad no exigirá las planillas de pago. Bastará el certificado suscrito por el revisor fiscal, en los casos requeridos por la ley, o por el </w:t>
      </w:r>
      <w:r w:rsidRPr="00874A39">
        <w:rPr>
          <w:rFonts w:ascii="Geomanist Light" w:eastAsia="Calibri" w:hAnsi="Geomanist Light" w:cs="Arial"/>
          <w:bCs/>
          <w:noProof/>
          <w:sz w:val="22"/>
          <w:szCs w:val="22"/>
          <w:lang w:val="es-ES_tradnl" w:eastAsia="en-US"/>
        </w:rPr>
        <w:lastRenderedPageBreak/>
        <w:t>representante legal que así lo acredite». Lo anterior de conformidad con lo establecido en los incisos 3 y 4 del artículo 50 de la Ley 789 de 2002.</w:t>
      </w:r>
    </w:p>
    <w:p w14:paraId="57E55E43" w14:textId="77777777" w:rsidR="003E5D6D" w:rsidRPr="00874A39" w:rsidRDefault="003E5D6D" w:rsidP="005720CE">
      <w:pPr>
        <w:tabs>
          <w:tab w:val="left" w:pos="426"/>
        </w:tabs>
        <w:spacing w:after="240" w:line="276" w:lineRule="auto"/>
        <w:ind w:firstLine="709"/>
        <w:jc w:val="both"/>
        <w:rPr>
          <w:rFonts w:ascii="Geomanist Light" w:eastAsia="Calibri" w:hAnsi="Geomanist Light" w:cs="Arial"/>
          <w:bCs/>
          <w:noProof/>
          <w:sz w:val="22"/>
          <w:szCs w:val="22"/>
          <w:lang w:val="es-ES_tradnl" w:eastAsia="en-US"/>
        </w:rPr>
      </w:pPr>
      <w:r w:rsidRPr="00874A39">
        <w:rPr>
          <w:rFonts w:ascii="Geomanist Light" w:eastAsia="Calibri" w:hAnsi="Geomanist Light" w:cs="Arial"/>
          <w:bCs/>
          <w:noProof/>
          <w:sz w:val="22"/>
          <w:szCs w:val="22"/>
          <w:lang w:val="es-ES_tradnl" w:eastAsia="en-US"/>
        </w:rPr>
        <w:t xml:space="preserve">En cuanto a los proponentes personas naturales, el numeral 3.4.2. del </w:t>
      </w:r>
      <w:r w:rsidRPr="00874A39">
        <w:rPr>
          <w:rFonts w:ascii="Geomanist Light" w:eastAsia="Calibri" w:hAnsi="Geomanist Light" w:cs="Arial"/>
          <w:noProof/>
          <w:sz w:val="22"/>
          <w:szCs w:val="22"/>
          <w:lang w:val="es-ES_tradnl" w:eastAsia="en-US"/>
        </w:rPr>
        <w:t xml:space="preserve">«Documento Base» </w:t>
      </w:r>
      <w:r w:rsidRPr="00874A39">
        <w:rPr>
          <w:rFonts w:ascii="Geomanist Light" w:eastAsia="Calibri" w:hAnsi="Geomanist Light" w:cs="Arial"/>
          <w:bCs/>
          <w:noProof/>
          <w:sz w:val="22"/>
          <w:szCs w:val="22"/>
          <w:lang w:val="es-ES_tradnl" w:eastAsia="en-US"/>
        </w:rPr>
        <w:t xml:space="preserve">establece que la acreditación de la afiliación a los sistemas de seguridad social en salud y pensiones, puede surtirse aportando los certificados de afiliación respectivos o el certificado de pago de la correspondiente planilla; la conjunción disyuntiva </w:t>
      </w:r>
      <w:r w:rsidRPr="00874A39">
        <w:rPr>
          <w:rFonts w:ascii="Geomanist Light" w:eastAsia="Calibri" w:hAnsi="Geomanist Light" w:cs="Arial"/>
          <w:noProof/>
          <w:sz w:val="22"/>
          <w:szCs w:val="22"/>
          <w:lang w:val="es-ES_tradnl" w:eastAsia="en-US"/>
        </w:rPr>
        <w:t>«</w:t>
      </w:r>
      <w:r w:rsidRPr="00874A39">
        <w:rPr>
          <w:rFonts w:ascii="Geomanist Light" w:eastAsia="Calibri" w:hAnsi="Geomanist Light" w:cs="Arial"/>
          <w:bCs/>
          <w:noProof/>
          <w:sz w:val="22"/>
          <w:szCs w:val="22"/>
          <w:lang w:val="es-ES_tradnl" w:eastAsia="en-US"/>
        </w:rPr>
        <w:t>o</w:t>
      </w:r>
      <w:r w:rsidRPr="00874A39">
        <w:rPr>
          <w:rFonts w:ascii="Geomanist Light" w:eastAsia="Calibri" w:hAnsi="Geomanist Light" w:cs="Arial"/>
          <w:noProof/>
          <w:sz w:val="22"/>
          <w:szCs w:val="22"/>
          <w:lang w:val="es-ES_tradnl" w:eastAsia="en-US"/>
        </w:rPr>
        <w:t>»</w:t>
      </w:r>
      <w:r w:rsidRPr="00874A39">
        <w:rPr>
          <w:rFonts w:ascii="Geomanist Light" w:eastAsia="Calibri" w:hAnsi="Geomanist Light" w:cs="Arial"/>
          <w:bCs/>
          <w:noProof/>
          <w:sz w:val="22"/>
          <w:szCs w:val="22"/>
          <w:lang w:val="es-ES_tradnl" w:eastAsia="en-US"/>
        </w:rPr>
        <w:t xml:space="preserve"> permite inferir que dicha acreditación se surtirá con alguna de las dos opciones, por lo que bien puede la persona aportar solo los certificados de afiliación u optar por allegar el certificado de pago</w:t>
      </w:r>
      <w:r w:rsidRPr="00874A39">
        <w:rPr>
          <w:rFonts w:ascii="Geomanist Light" w:eastAsia="Calibri" w:hAnsi="Geomanist Light" w:cs="Arial"/>
          <w:bCs/>
          <w:noProof/>
          <w:sz w:val="22"/>
          <w:szCs w:val="22"/>
          <w:vertAlign w:val="superscript"/>
          <w:lang w:val="es-ES_tradnl" w:eastAsia="en-US"/>
        </w:rPr>
        <w:footnoteReference w:id="2"/>
      </w:r>
      <w:r w:rsidRPr="00874A39">
        <w:rPr>
          <w:rFonts w:ascii="Geomanist Light" w:eastAsia="Calibri" w:hAnsi="Geomanist Light" w:cs="Arial"/>
          <w:bCs/>
          <w:noProof/>
          <w:sz w:val="22"/>
          <w:szCs w:val="22"/>
          <w:lang w:val="es-ES_tradnl" w:eastAsia="en-US"/>
        </w:rPr>
        <w:t>. En consecuencia, la entidad no podría rechazar al proponente que eligió cumplir con este requisito allegando solo los certificados de afiliación, sin perjuicio de las normas que regulan lo relativo a la afiliación, oportunidad en el pago de dichos aportes y el  requerimiento de presentar una declaración donde acredite el pago en caso de resultar adjudicatario, correspondiendo a las entidades estatales su verificación.</w:t>
      </w:r>
    </w:p>
    <w:p w14:paraId="155E1499" w14:textId="77777777" w:rsidR="003E5D6D" w:rsidRPr="00874A39" w:rsidRDefault="003E5D6D" w:rsidP="005720CE">
      <w:pPr>
        <w:spacing w:after="240" w:line="276" w:lineRule="auto"/>
        <w:ind w:firstLine="708"/>
        <w:jc w:val="both"/>
        <w:rPr>
          <w:rFonts w:ascii="Geomanist Light" w:eastAsiaTheme="minorEastAsia" w:hAnsi="Geomanist Light" w:cs="Arial"/>
          <w:sz w:val="22"/>
          <w:szCs w:val="22"/>
          <w:lang w:eastAsia="es-CO"/>
        </w:rPr>
      </w:pPr>
      <w:r w:rsidRPr="00874A39">
        <w:rPr>
          <w:rFonts w:ascii="Geomanist Light" w:eastAsia="Calibri" w:hAnsi="Geomanist Light" w:cs="Arial"/>
          <w:bCs/>
          <w:noProof/>
          <w:sz w:val="22"/>
          <w:szCs w:val="22"/>
          <w:lang w:val="es-ES_tradnl" w:eastAsia="es-CO"/>
        </w:rPr>
        <w:t xml:space="preserve">Ahora bien, </w:t>
      </w:r>
      <w:r w:rsidRPr="00874A39">
        <w:rPr>
          <w:rFonts w:ascii="Geomanist Light" w:eastAsia="Arial" w:hAnsi="Geomanist Light" w:cs="Arial"/>
          <w:sz w:val="22"/>
          <w:szCs w:val="22"/>
          <w:lang w:val="es-ES" w:eastAsia="es-CO"/>
        </w:rPr>
        <w:t xml:space="preserve">el </w:t>
      </w:r>
      <w:r w:rsidRPr="00874A39">
        <w:rPr>
          <w:rFonts w:ascii="Geomanist Light" w:eastAsia="Calibri" w:hAnsi="Geomanist Light" w:cs="Arial"/>
          <w:noProof/>
          <w:sz w:val="22"/>
          <w:szCs w:val="22"/>
          <w:lang w:val="es-ES_tradnl" w:eastAsia="es-CO"/>
        </w:rPr>
        <w:t xml:space="preserve">«Documento Base» de los </w:t>
      </w:r>
      <w:r w:rsidRPr="00874A39">
        <w:rPr>
          <w:rFonts w:ascii="Geomanist Light" w:eastAsiaTheme="minorEastAsia" w:hAnsi="Geomanist Light" w:cs="Arial"/>
          <w:sz w:val="22"/>
          <w:szCs w:val="22"/>
          <w:lang w:val="es-ES" w:eastAsia="es-CO"/>
        </w:rPr>
        <w:t xml:space="preserve">documentos tipo de licitación de obra pública de infraestructura de transporte – Versión 3 y los </w:t>
      </w:r>
      <w:r w:rsidRPr="00874A39">
        <w:rPr>
          <w:rFonts w:ascii="Geomanist Light" w:eastAsiaTheme="minorEastAsia" w:hAnsi="Geomanist Light" w:cs="Arial"/>
          <w:sz w:val="22"/>
          <w:szCs w:val="22"/>
          <w:lang w:eastAsia="es-CO"/>
        </w:rPr>
        <w:t xml:space="preserve">documentos tipo para los procesos de selección abreviada de menor cuantía de obra pública de infraestructura de transporte – Versión 2, establece la acreditación de pagos de seguridad social y aportes legales de personas jurídicas, personas naturales y proponentes plurales para la suscripción del contrato y durante su ejecución. En este sentido, el numeral 3.4.4 «seguridad social para la suscripción del contrato» dispone que «[e]l adjudicatario debe presentar, para la suscripción del respectivo contrato, ante la dependencia respectiva, la declaración donde acredite el pago correspondiente a seguridad social y aportes legales cuando a ellos haya lugar», así mismo, el numeral 3.4.5 del documento base de ambos pliegos, establece que «el contratista debe acreditar, para realizar cada pago del contrato, que se encuentra al día en los aportes parafiscales relativos al Sistema de Seguridad Social Integral […]». De estos numerales se deriva que </w:t>
      </w:r>
      <w:r w:rsidRPr="00874A39">
        <w:rPr>
          <w:rFonts w:ascii="Geomanist Light" w:eastAsia="Calibri" w:hAnsi="Geomanist Light" w:cs="Arial"/>
          <w:sz w:val="22"/>
          <w:szCs w:val="22"/>
          <w:lang w:val="es-ES" w:eastAsia="es-CO"/>
        </w:rPr>
        <w:t>las entidades estatales contratantes verificarán el cumplimiento del pago de los aportes al Sistema de Seguridad Social Integral, por parte de los contratistas del Estado, durante el procedimiento de selección, la suscripción del contrato y durante su ejecución, de la manera explicada.</w:t>
      </w:r>
    </w:p>
    <w:bookmarkEnd w:id="7"/>
    <w:p w14:paraId="5548E668" w14:textId="77777777" w:rsidR="003E5D6D" w:rsidRPr="00874A39" w:rsidRDefault="003E5D6D" w:rsidP="005720CE">
      <w:pPr>
        <w:spacing w:after="240" w:line="276" w:lineRule="auto"/>
        <w:ind w:firstLine="709"/>
        <w:jc w:val="both"/>
        <w:rPr>
          <w:rFonts w:ascii="Geomanist Light" w:eastAsia="MS Mincho" w:hAnsi="Geomanist Light" w:cs="Arial"/>
          <w:sz w:val="22"/>
          <w:szCs w:val="22"/>
          <w:shd w:val="clear" w:color="auto" w:fill="FFFFFF"/>
          <w:lang w:eastAsia="es-CO"/>
        </w:rPr>
      </w:pPr>
      <w:r w:rsidRPr="00874A39">
        <w:rPr>
          <w:rFonts w:ascii="Geomanist Light" w:eastAsia="MS Mincho" w:hAnsi="Geomanist Light" w:cs="Arial"/>
          <w:sz w:val="22"/>
          <w:szCs w:val="22"/>
          <w:shd w:val="clear" w:color="auto" w:fill="FFFFFF"/>
          <w:lang w:eastAsia="es-CO"/>
        </w:rPr>
        <w:lastRenderedPageBreak/>
        <w:t xml:space="preserve">Sin perjuicio de lo anterior, las circunstancias que acrediten los proponentes en los procedimientos de selección deben ser veraces, lo que incluso puede traer consecuencias en el procedimiento de selección, pues una de las causales de rechazo establecidas en el numeral 1.15 del «documento base» consiste en «que el Proponente aporte información inexacta sobre la cual pueda existir una posible falsedad en los términos de la sección </w:t>
      </w:r>
      <w:r w:rsidRPr="00874A39">
        <w:rPr>
          <w:rFonts w:ascii="Geomanist Light" w:eastAsia="MS Mincho" w:hAnsi="Geomanist Light" w:cs="Arial"/>
          <w:sz w:val="22"/>
          <w:szCs w:val="22"/>
          <w:shd w:val="clear" w:color="auto" w:fill="FFFFFF"/>
          <w:lang w:eastAsia="es-CO"/>
        </w:rPr>
        <w:fldChar w:fldCharType="begin"/>
      </w:r>
      <w:r w:rsidRPr="00874A39">
        <w:rPr>
          <w:rFonts w:ascii="Geomanist Light" w:eastAsia="MS Mincho" w:hAnsi="Geomanist Light" w:cs="Arial"/>
          <w:sz w:val="22"/>
          <w:szCs w:val="22"/>
          <w:shd w:val="clear" w:color="auto" w:fill="FFFFFF"/>
          <w:lang w:eastAsia="es-CO"/>
        </w:rPr>
        <w:instrText xml:space="preserve"> REF _Ref4940712 \r \h  \* MERGEFORMAT </w:instrText>
      </w:r>
      <w:r w:rsidRPr="00874A39">
        <w:rPr>
          <w:rFonts w:ascii="Geomanist Light" w:eastAsia="MS Mincho" w:hAnsi="Geomanist Light" w:cs="Arial"/>
          <w:sz w:val="22"/>
          <w:szCs w:val="22"/>
          <w:shd w:val="clear" w:color="auto" w:fill="FFFFFF"/>
          <w:lang w:eastAsia="es-CO"/>
        </w:rPr>
      </w:r>
      <w:r w:rsidRPr="00874A39">
        <w:rPr>
          <w:rFonts w:ascii="Geomanist Light" w:eastAsia="MS Mincho" w:hAnsi="Geomanist Light" w:cs="Arial"/>
          <w:sz w:val="22"/>
          <w:szCs w:val="22"/>
          <w:shd w:val="clear" w:color="auto" w:fill="FFFFFF"/>
          <w:lang w:eastAsia="es-CO"/>
        </w:rPr>
        <w:fldChar w:fldCharType="separate"/>
      </w:r>
      <w:r w:rsidRPr="00874A39">
        <w:rPr>
          <w:rFonts w:ascii="Geomanist Light" w:eastAsia="MS Mincho" w:hAnsi="Geomanist Light" w:cs="Arial"/>
          <w:sz w:val="22"/>
          <w:szCs w:val="22"/>
          <w:shd w:val="clear" w:color="auto" w:fill="FFFFFF"/>
          <w:lang w:eastAsia="es-CO"/>
        </w:rPr>
        <w:t>1.11</w:t>
      </w:r>
      <w:r w:rsidRPr="00874A39">
        <w:rPr>
          <w:rFonts w:ascii="Geomanist Light" w:eastAsia="MS Mincho" w:hAnsi="Geomanist Light" w:cs="Arial"/>
          <w:sz w:val="22"/>
          <w:szCs w:val="22"/>
          <w:shd w:val="clear" w:color="auto" w:fill="FFFFFF"/>
          <w:lang w:eastAsia="es-CO"/>
        </w:rPr>
        <w:fldChar w:fldCharType="end"/>
      </w:r>
      <w:r w:rsidRPr="00874A39">
        <w:rPr>
          <w:rFonts w:ascii="Geomanist Light" w:eastAsia="MS Mincho" w:hAnsi="Geomanist Light" w:cs="Arial"/>
          <w:sz w:val="22"/>
          <w:szCs w:val="22"/>
          <w:shd w:val="clear" w:color="auto" w:fill="FFFFFF"/>
          <w:lang w:eastAsia="es-CO"/>
        </w:rPr>
        <w:t>.». En este sentido, aportar información inexacta sobre la cual pueda existir una posible falsedad da lugar al rechazo de la oferta.</w:t>
      </w:r>
    </w:p>
    <w:p w14:paraId="680F4F65" w14:textId="4830B441" w:rsidR="003E5D6D" w:rsidRPr="00874A39" w:rsidRDefault="00AC62B5" w:rsidP="005720CE">
      <w:pPr>
        <w:spacing w:after="240" w:line="276" w:lineRule="auto"/>
        <w:jc w:val="both"/>
        <w:rPr>
          <w:rFonts w:ascii="Geomanist Light" w:eastAsia="Arial" w:hAnsi="Geomanist Light" w:cs="Arial"/>
          <w:color w:val="000000"/>
          <w:sz w:val="22"/>
          <w:lang w:val="es-ES" w:eastAsia="es-MX"/>
        </w:rPr>
      </w:pPr>
      <w:r w:rsidRPr="00874A39">
        <w:rPr>
          <w:rFonts w:ascii="Geomanist Light" w:eastAsia="Arial" w:hAnsi="Geomanist Light" w:cs="Arial"/>
          <w:color w:val="000000"/>
          <w:sz w:val="22"/>
          <w:lang w:val="es-ES" w:eastAsia="es-MX"/>
        </w:rPr>
        <w:tab/>
        <w:t xml:space="preserve">Con todo, debe advertirse que, la </w:t>
      </w:r>
      <w:r w:rsidR="00145F3D" w:rsidRPr="00874A39">
        <w:rPr>
          <w:rFonts w:ascii="Geomanist Light" w:eastAsia="Arial" w:hAnsi="Geomanist Light" w:cs="Arial"/>
          <w:color w:val="000000"/>
          <w:sz w:val="22"/>
          <w:lang w:val="es-ES" w:eastAsia="es-MX"/>
        </w:rPr>
        <w:t>acreditación</w:t>
      </w:r>
      <w:r w:rsidRPr="00874A39">
        <w:rPr>
          <w:rFonts w:ascii="Geomanist Light" w:eastAsia="Arial" w:hAnsi="Geomanist Light" w:cs="Arial"/>
          <w:color w:val="000000"/>
          <w:sz w:val="22"/>
          <w:lang w:val="es-ES" w:eastAsia="es-MX"/>
        </w:rPr>
        <w:t xml:space="preserve"> de pago de aportes a </w:t>
      </w:r>
      <w:r w:rsidR="0079706D" w:rsidRPr="00874A39">
        <w:rPr>
          <w:rFonts w:ascii="Geomanist Light" w:eastAsia="Arial" w:hAnsi="Geomanist Light" w:cs="Arial"/>
          <w:color w:val="000000"/>
          <w:sz w:val="22"/>
          <w:lang w:val="es-ES" w:eastAsia="es-MX"/>
        </w:rPr>
        <w:t xml:space="preserve">seguridad social constituye un requisito habilitante, </w:t>
      </w:r>
      <w:r w:rsidR="00D61014" w:rsidRPr="00874A39">
        <w:rPr>
          <w:rFonts w:ascii="Geomanist Light" w:eastAsia="Arial" w:hAnsi="Geomanist Light" w:cs="Arial"/>
          <w:color w:val="000000"/>
          <w:sz w:val="22"/>
          <w:lang w:val="es-ES" w:eastAsia="es-MX"/>
        </w:rPr>
        <w:t>por lo que, en principio, sería susceptible de subsanació</w:t>
      </w:r>
      <w:r w:rsidR="00193D3C" w:rsidRPr="00874A39">
        <w:rPr>
          <w:rFonts w:ascii="Geomanist Light" w:eastAsia="Arial" w:hAnsi="Geomanist Light" w:cs="Arial"/>
          <w:color w:val="000000"/>
          <w:sz w:val="22"/>
          <w:lang w:val="es-ES" w:eastAsia="es-MX"/>
        </w:rPr>
        <w:t xml:space="preserve">n, conforme a lo señalado en el parágrafo 1 del artículo 65 de la Ley 1150 de 2007 y </w:t>
      </w:r>
      <w:r w:rsidR="001A4666" w:rsidRPr="00874A39">
        <w:rPr>
          <w:rFonts w:ascii="Geomanist Light" w:eastAsia="Arial" w:hAnsi="Geomanist Light" w:cs="Arial"/>
          <w:color w:val="000000"/>
          <w:sz w:val="22"/>
          <w:lang w:val="es-ES" w:eastAsia="es-MX"/>
        </w:rPr>
        <w:t xml:space="preserve">el numeral 1.6 del documento base. No obstante, dicha subsanación no será válida cuando comporte la acreditación de circunstancia ocurridas con posterioridad al cierre, ni cuando se verifique la que inexactitud </w:t>
      </w:r>
      <w:r w:rsidR="007C5928" w:rsidRPr="00874A39">
        <w:rPr>
          <w:rFonts w:ascii="Geomanist Light" w:eastAsia="Arial" w:hAnsi="Geomanist Light" w:cs="Arial"/>
          <w:color w:val="000000"/>
          <w:sz w:val="22"/>
          <w:lang w:val="es-ES" w:eastAsia="es-MX"/>
        </w:rPr>
        <w:t xml:space="preserve">es imputable a una posible falsedad en la declaración contenida en el Formato 6 presentado inicialmente. </w:t>
      </w:r>
    </w:p>
    <w:p w14:paraId="1DF065CA" w14:textId="78D1F22B" w:rsidR="00137E23" w:rsidRPr="00874A39" w:rsidRDefault="00137E23" w:rsidP="005720CE">
      <w:pPr>
        <w:pStyle w:val="Prrafodelista"/>
        <w:tabs>
          <w:tab w:val="left" w:pos="284"/>
        </w:tabs>
        <w:spacing w:after="240" w:line="276" w:lineRule="auto"/>
        <w:ind w:left="0"/>
        <w:jc w:val="both"/>
        <w:rPr>
          <w:rFonts w:ascii="Geomanist Light" w:eastAsia="Calibri" w:hAnsi="Geomanist Light" w:cs="Arial"/>
          <w:b/>
          <w:sz w:val="22"/>
          <w:lang w:val="es-CO"/>
        </w:rPr>
      </w:pPr>
      <w:r w:rsidRPr="00874A39">
        <w:rPr>
          <w:rFonts w:ascii="Geomanist Light" w:eastAsia="Calibri" w:hAnsi="Geomanist Light" w:cs="Arial"/>
          <w:b/>
          <w:sz w:val="22"/>
          <w:lang w:val="es-CO"/>
        </w:rPr>
        <w:t>3. Respuesta</w:t>
      </w:r>
    </w:p>
    <w:p w14:paraId="25B9EB60" w14:textId="77777777" w:rsidR="004F0085" w:rsidRPr="00874A39" w:rsidRDefault="004F0085" w:rsidP="005720CE">
      <w:pPr>
        <w:spacing w:after="240"/>
        <w:ind w:left="567" w:right="851"/>
        <w:jc w:val="both"/>
        <w:rPr>
          <w:rFonts w:ascii="Geomanist Light" w:hAnsi="Geomanist Light" w:cs="Arial"/>
          <w:color w:val="1A1A1A" w:themeColor="background1" w:themeShade="1A"/>
          <w:sz w:val="21"/>
          <w:szCs w:val="21"/>
        </w:rPr>
      </w:pPr>
      <w:r w:rsidRPr="00874A39">
        <w:rPr>
          <w:rFonts w:ascii="Geomanist Light" w:hAnsi="Geomanist Light" w:cs="Arial"/>
          <w:color w:val="1A1A1A" w:themeColor="background1" w:themeShade="1A"/>
          <w:sz w:val="21"/>
          <w:szCs w:val="21"/>
        </w:rPr>
        <w:t xml:space="preserve">«si bien es cierto que el pliego tipo pide para personas naturales que deben acreditar la afiliación al sistema de seguridad social y pensiones aportando los certificados de afiliación respectivos. </w:t>
      </w:r>
      <w:proofErr w:type="gramStart"/>
      <w:r w:rsidRPr="00874A39">
        <w:rPr>
          <w:rFonts w:ascii="Geomanist Light" w:hAnsi="Geomanist Light" w:cs="Arial"/>
          <w:color w:val="1A1A1A" w:themeColor="background1" w:themeShade="1A"/>
          <w:sz w:val="21"/>
          <w:szCs w:val="21"/>
        </w:rPr>
        <w:t>En el caso de que se compruebe que la persona natural NO CUMPLE con el pago así aporte las afiliaciones al sistema de seguridad social y pensiones este proponente podría ser rechazado?</w:t>
      </w:r>
      <w:proofErr w:type="gramEnd"/>
    </w:p>
    <w:p w14:paraId="6887999D" w14:textId="77777777" w:rsidR="004F0085" w:rsidRPr="00874A39" w:rsidRDefault="004F0085" w:rsidP="005720CE">
      <w:pPr>
        <w:spacing w:after="240"/>
        <w:ind w:left="567" w:right="851"/>
        <w:jc w:val="both"/>
        <w:rPr>
          <w:rFonts w:ascii="Geomanist Light" w:hAnsi="Geomanist Light" w:cs="Arial"/>
          <w:color w:val="1A1A1A" w:themeColor="background1" w:themeShade="1A"/>
          <w:sz w:val="21"/>
          <w:szCs w:val="21"/>
        </w:rPr>
      </w:pPr>
      <w:r w:rsidRPr="00874A39">
        <w:rPr>
          <w:rFonts w:ascii="Geomanist Light" w:hAnsi="Geomanist Light" w:cs="Arial"/>
          <w:color w:val="1A1A1A" w:themeColor="background1" w:themeShade="1A"/>
          <w:sz w:val="21"/>
          <w:szCs w:val="21"/>
        </w:rPr>
        <w:t xml:space="preserve">Para el caso de personas </w:t>
      </w:r>
      <w:proofErr w:type="spellStart"/>
      <w:r w:rsidRPr="00874A39">
        <w:rPr>
          <w:rFonts w:ascii="Geomanist Light" w:hAnsi="Geomanist Light" w:cs="Arial"/>
          <w:color w:val="1A1A1A" w:themeColor="background1" w:themeShade="1A"/>
          <w:sz w:val="21"/>
          <w:szCs w:val="21"/>
        </w:rPr>
        <w:t>Juridicas</w:t>
      </w:r>
      <w:proofErr w:type="spellEnd"/>
      <w:r w:rsidRPr="00874A39">
        <w:rPr>
          <w:rFonts w:ascii="Geomanist Light" w:hAnsi="Geomanist Light" w:cs="Arial"/>
          <w:color w:val="1A1A1A" w:themeColor="background1" w:themeShade="1A"/>
          <w:sz w:val="21"/>
          <w:szCs w:val="21"/>
        </w:rPr>
        <w:t xml:space="preserve">: </w:t>
      </w:r>
      <w:proofErr w:type="gramStart"/>
      <w:r w:rsidRPr="00874A39">
        <w:rPr>
          <w:rFonts w:ascii="Geomanist Light" w:hAnsi="Geomanist Light" w:cs="Arial"/>
          <w:color w:val="1A1A1A" w:themeColor="background1" w:themeShade="1A"/>
          <w:sz w:val="21"/>
          <w:szCs w:val="21"/>
        </w:rPr>
        <w:t>si se comprueba que el representante legal de la persona jurídica no paga meses anteriores completos, esto es, que paga un mes o meses parcialmente, o sea, menos de 30 días dentro de los seis meses anteriores al cierre del proceso, la entidad contratante podría rechazarlo o habilitarlo?</w:t>
      </w:r>
      <w:proofErr w:type="gramEnd"/>
    </w:p>
    <w:p w14:paraId="6F48F59F" w14:textId="77777777" w:rsidR="001B357D" w:rsidRPr="00874A39" w:rsidRDefault="004F0085" w:rsidP="005720CE">
      <w:pPr>
        <w:spacing w:after="240"/>
        <w:ind w:left="567" w:right="851"/>
        <w:jc w:val="both"/>
        <w:rPr>
          <w:rFonts w:ascii="Geomanist Light" w:hAnsi="Geomanist Light" w:cs="Arial"/>
          <w:color w:val="1A1A1A" w:themeColor="background1" w:themeShade="1A"/>
          <w:sz w:val="21"/>
          <w:szCs w:val="21"/>
        </w:rPr>
      </w:pPr>
      <w:proofErr w:type="gramStart"/>
      <w:r w:rsidRPr="00874A39">
        <w:rPr>
          <w:rFonts w:ascii="Geomanist Light" w:hAnsi="Geomanist Light" w:cs="Arial"/>
          <w:color w:val="1A1A1A" w:themeColor="background1" w:themeShade="1A"/>
          <w:sz w:val="21"/>
          <w:szCs w:val="21"/>
        </w:rPr>
        <w:t>Si la respuesta es habilitarlo, que argumentos habría para justificar que en el formato 6 PAGOS DE SEGURIDAD SOCIAL y APORTES LEGALES, que bajo la gravedad de juramento afirma haber cumplido con el pago durante los últimos seis meses?</w:t>
      </w:r>
      <w:proofErr w:type="gramEnd"/>
    </w:p>
    <w:p w14:paraId="71C412D0" w14:textId="77777777" w:rsidR="001B357D" w:rsidRPr="00874A39" w:rsidRDefault="001B357D" w:rsidP="005720CE">
      <w:pPr>
        <w:spacing w:after="240"/>
        <w:ind w:left="567" w:right="851"/>
        <w:jc w:val="both"/>
        <w:rPr>
          <w:rFonts w:ascii="Geomanist Light" w:hAnsi="Geomanist Light" w:cs="Arial"/>
          <w:color w:val="1A1A1A" w:themeColor="background1" w:themeShade="1A"/>
          <w:sz w:val="21"/>
          <w:szCs w:val="21"/>
        </w:rPr>
      </w:pPr>
      <w:r w:rsidRPr="00874A39">
        <w:rPr>
          <w:rFonts w:ascii="Geomanist Light" w:hAnsi="Geomanist Light" w:cs="Arial"/>
          <w:color w:val="1A1A1A" w:themeColor="background1" w:themeShade="1A"/>
          <w:sz w:val="21"/>
          <w:szCs w:val="21"/>
        </w:rPr>
        <w:t>[…]</w:t>
      </w:r>
    </w:p>
    <w:p w14:paraId="68930543" w14:textId="53A50D2E" w:rsidR="003A07CE" w:rsidRPr="00237DB3" w:rsidRDefault="001B357D" w:rsidP="00237DB3">
      <w:pPr>
        <w:spacing w:after="240"/>
        <w:ind w:left="567" w:right="851"/>
        <w:jc w:val="both"/>
        <w:rPr>
          <w:rFonts w:ascii="Geomanist Light" w:hAnsi="Geomanist Light" w:cs="Arial"/>
          <w:color w:val="1A1A1A" w:themeColor="background1" w:themeShade="1A"/>
          <w:sz w:val="21"/>
          <w:szCs w:val="21"/>
        </w:rPr>
      </w:pPr>
      <w:proofErr w:type="gramStart"/>
      <w:r w:rsidRPr="00874A39">
        <w:rPr>
          <w:rFonts w:ascii="Geomanist Light" w:hAnsi="Geomanist Light" w:cs="Arial"/>
          <w:color w:val="1A1A1A" w:themeColor="background1" w:themeShade="1A"/>
          <w:sz w:val="21"/>
          <w:szCs w:val="21"/>
        </w:rPr>
        <w:t>Al observar que un oferente cualquiera que sea su naturaleza no cumple durante los últimos seis meses con la obligación de estar al día en pagos a la seguridad social, lo podría habilitar?</w:t>
      </w:r>
      <w:proofErr w:type="gramEnd"/>
      <w:r w:rsidR="004F0085" w:rsidRPr="00874A39">
        <w:rPr>
          <w:rFonts w:ascii="Geomanist Light" w:hAnsi="Geomanist Light" w:cs="Arial"/>
          <w:color w:val="1A1A1A" w:themeColor="background1" w:themeShade="1A"/>
          <w:sz w:val="21"/>
          <w:szCs w:val="21"/>
        </w:rPr>
        <w:t>»</w:t>
      </w:r>
    </w:p>
    <w:p w14:paraId="4E559702" w14:textId="5CA95E49" w:rsidR="003A07CE" w:rsidRPr="00874A39" w:rsidRDefault="003A07CE" w:rsidP="005720CE">
      <w:pPr>
        <w:tabs>
          <w:tab w:val="left" w:pos="426"/>
        </w:tabs>
        <w:spacing w:after="240" w:line="276" w:lineRule="auto"/>
        <w:jc w:val="both"/>
        <w:rPr>
          <w:rFonts w:ascii="Geomanist Light" w:hAnsi="Geomanist Light" w:cs="Arial"/>
          <w:sz w:val="22"/>
        </w:rPr>
      </w:pPr>
      <w:r w:rsidRPr="00874A39">
        <w:rPr>
          <w:rFonts w:ascii="Geomanist Light" w:hAnsi="Geomanist Light" w:cs="Arial"/>
          <w:sz w:val="22"/>
        </w:rPr>
        <w:lastRenderedPageBreak/>
        <w:t>Conforme a lo expuesto,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En ese sentido, previo concepto de sus órganos asesores, la solución de estos temas corresponde a la entidad que adelanta el procedimiento de selección y, en caso de conflicto, a las autoridades judiciales, fiscales y disciplinarias. Por lo anterior, la Subdirección –dentro de los límites de sus atribuciones, esto es, haciendo abstracción del caso particular expuesto por el peticionario– resolverá la consulta conforme a las normas generales en materia de contratación estatal y para efectos prácticos estas preguntas se agrupan por unidad de materia.</w:t>
      </w:r>
    </w:p>
    <w:p w14:paraId="64C25830" w14:textId="60DCA3C8" w:rsidR="00CB5BC0" w:rsidRPr="00874A39" w:rsidRDefault="00CB5BC0" w:rsidP="005720CE">
      <w:pPr>
        <w:tabs>
          <w:tab w:val="left" w:pos="8789"/>
        </w:tabs>
        <w:spacing w:after="240" w:line="276" w:lineRule="auto"/>
        <w:ind w:firstLine="709"/>
        <w:jc w:val="both"/>
        <w:rPr>
          <w:rFonts w:ascii="Geomanist Light" w:eastAsia="Calibri" w:hAnsi="Geomanist Light" w:cs="Arial"/>
          <w:bCs/>
          <w:noProof/>
          <w:sz w:val="22"/>
          <w:szCs w:val="22"/>
          <w:lang w:val="es-ES_tradnl" w:eastAsia="en-US"/>
        </w:rPr>
      </w:pPr>
      <w:r w:rsidRPr="00874A39">
        <w:rPr>
          <w:rFonts w:ascii="Geomanist Light" w:eastAsia="Calibri" w:hAnsi="Geomanist Light" w:cs="Arial"/>
          <w:bCs/>
          <w:noProof/>
          <w:sz w:val="22"/>
          <w:szCs w:val="22"/>
          <w:lang w:val="es-ES_tradnl" w:eastAsia="en-US"/>
        </w:rPr>
        <w:t xml:space="preserve">De acuerdo con las consideraciones desarrolladas en este concepto, de conformidad con el numeral 3.4.1 del «Documento Base» del documento Tipo de </w:t>
      </w:r>
      <w:r w:rsidRPr="00874A39">
        <w:rPr>
          <w:rFonts w:ascii="Geomanist Light" w:eastAsia="Calibri" w:hAnsi="Geomanist Light" w:cs="Arial"/>
          <w:noProof/>
          <w:sz w:val="22"/>
          <w:szCs w:val="22"/>
          <w:lang w:val="es-ES_tradnl" w:eastAsia="en-US"/>
        </w:rPr>
        <w:t xml:space="preserve">licitación de obra pública de infraestructura de transporte – Versión 3 y </w:t>
      </w:r>
      <w:r w:rsidRPr="00874A39">
        <w:rPr>
          <w:rFonts w:ascii="Geomanist Light" w:eastAsiaTheme="minorHAnsi" w:hAnsi="Geomanist Light" w:cs="Arial"/>
          <w:sz w:val="22"/>
          <w:szCs w:val="22"/>
          <w:lang w:val="es-ES" w:eastAsia="en-US"/>
        </w:rPr>
        <w:t xml:space="preserve">los </w:t>
      </w:r>
      <w:r w:rsidRPr="00874A39">
        <w:rPr>
          <w:rFonts w:ascii="Geomanist Light" w:eastAsiaTheme="minorHAnsi" w:hAnsi="Geomanist Light" w:cs="Arial"/>
          <w:sz w:val="22"/>
          <w:szCs w:val="22"/>
          <w:lang w:eastAsia="en-US"/>
        </w:rPr>
        <w:t>Documentos Tipo para los procesos de selección abreviada de menor cuantía de obra pública de infraestructura de transporte – Versión 2</w:t>
      </w:r>
      <w:r w:rsidRPr="00874A39">
        <w:rPr>
          <w:rFonts w:ascii="Geomanist Light" w:eastAsia="Calibri" w:hAnsi="Geomanist Light" w:cs="Arial"/>
          <w:bCs/>
          <w:noProof/>
          <w:sz w:val="22"/>
          <w:szCs w:val="22"/>
          <w:lang w:val="es-ES_tradnl" w:eastAsia="en-US"/>
        </w:rPr>
        <w:t>, para cumplir con las obligaciones relacionadas con la seguridad social, al momento de presentación de las ofertas, en relación con las personas jurídicas, basta con presentar el Formato 6 – Pagos de seguridad social y aportes legales suscrito por el revisor fiscal, de acuerdo con los requerimientos de ley o por el representante legal, cuando no se requiera revisor fiscal, en el que conste el pago de los aportes de sus empleados frente al Sistema de Seguridad Social Integral.</w:t>
      </w:r>
    </w:p>
    <w:p w14:paraId="0EBE278C" w14:textId="77777777" w:rsidR="00CB5BC0" w:rsidRPr="00874A39" w:rsidRDefault="00CB5BC0" w:rsidP="005720CE">
      <w:pPr>
        <w:tabs>
          <w:tab w:val="left" w:pos="8789"/>
        </w:tabs>
        <w:spacing w:after="240" w:line="276" w:lineRule="auto"/>
        <w:ind w:firstLine="709"/>
        <w:jc w:val="both"/>
        <w:rPr>
          <w:rFonts w:ascii="Geomanist Light" w:eastAsia="Calibri" w:hAnsi="Geomanist Light" w:cs="Arial"/>
          <w:bCs/>
          <w:noProof/>
          <w:sz w:val="22"/>
          <w:szCs w:val="22"/>
          <w:lang w:val="es-ES_tradnl" w:eastAsia="en-US"/>
        </w:rPr>
      </w:pPr>
      <w:r w:rsidRPr="00874A39">
        <w:rPr>
          <w:rFonts w:ascii="Geomanist Light" w:eastAsia="Calibri" w:hAnsi="Geomanist Light" w:cs="Arial"/>
          <w:bCs/>
          <w:noProof/>
          <w:sz w:val="22"/>
          <w:szCs w:val="22"/>
          <w:lang w:val="es-ES_tradnl" w:eastAsia="en-US"/>
        </w:rPr>
        <w:t xml:space="preserve">En este sentido, mediante el documento indicado se afirma, bajo la gravedad del juramento, el estar al día en las obligaciones con los sistemas de salud, riesgos profesionales, pensiones y aportes a las Cajas de Compensación Familiar, Instituto Colombiano de Bienestar Familiar y Servicio Nacional de Aprendizaje, cuando a ello haya lugar, de todos los empleados de la persona jurídica. </w:t>
      </w:r>
    </w:p>
    <w:p w14:paraId="2FFFCDDF" w14:textId="77777777" w:rsidR="00CB5BC0" w:rsidRPr="00874A39" w:rsidRDefault="00CB5BC0" w:rsidP="005720CE">
      <w:pPr>
        <w:tabs>
          <w:tab w:val="left" w:pos="426"/>
        </w:tabs>
        <w:spacing w:after="240" w:line="276" w:lineRule="auto"/>
        <w:ind w:firstLine="709"/>
        <w:jc w:val="both"/>
        <w:rPr>
          <w:rFonts w:ascii="Geomanist Light" w:eastAsia="Calibri" w:hAnsi="Geomanist Light" w:cs="Arial"/>
          <w:bCs/>
          <w:noProof/>
          <w:sz w:val="22"/>
          <w:szCs w:val="22"/>
          <w:lang w:val="es-ES_tradnl" w:eastAsia="en-US"/>
        </w:rPr>
      </w:pPr>
      <w:r w:rsidRPr="00874A39">
        <w:rPr>
          <w:rFonts w:ascii="Geomanist Light" w:eastAsia="Calibri" w:hAnsi="Geomanist Light" w:cs="Arial"/>
          <w:bCs/>
          <w:noProof/>
          <w:sz w:val="22"/>
          <w:szCs w:val="22"/>
          <w:lang w:val="es-ES_tradnl" w:eastAsia="en-US"/>
        </w:rPr>
        <w:t xml:space="preserve">Ahora bien, en cuanto a los proponentes personas naturales, el numeral 3.4.2. del </w:t>
      </w:r>
      <w:r w:rsidRPr="00874A39">
        <w:rPr>
          <w:rFonts w:ascii="Geomanist Light" w:eastAsia="Calibri" w:hAnsi="Geomanist Light" w:cs="Arial"/>
          <w:noProof/>
          <w:sz w:val="22"/>
          <w:szCs w:val="22"/>
          <w:lang w:val="es-ES_tradnl" w:eastAsia="en-US"/>
        </w:rPr>
        <w:t xml:space="preserve">«Documento Base» </w:t>
      </w:r>
      <w:r w:rsidRPr="00874A39">
        <w:rPr>
          <w:rFonts w:ascii="Geomanist Light" w:eastAsia="Calibri" w:hAnsi="Geomanist Light" w:cs="Arial"/>
          <w:bCs/>
          <w:noProof/>
          <w:sz w:val="22"/>
          <w:szCs w:val="22"/>
          <w:lang w:val="es-ES_tradnl" w:eastAsia="en-US"/>
        </w:rPr>
        <w:t>establece que la acreditación de la afiliación a los sistemas de seguridad social en salud y pensiones, puede surtirse aportando los certificados de afiliación respectivos o el certificado de pago de la correspondiente planilla.</w:t>
      </w:r>
    </w:p>
    <w:p w14:paraId="0389BDB4" w14:textId="77777777" w:rsidR="00CB5BC0" w:rsidRPr="00874A39" w:rsidRDefault="00CB5BC0" w:rsidP="005720CE">
      <w:pPr>
        <w:spacing w:after="240" w:line="276" w:lineRule="auto"/>
        <w:ind w:firstLine="708"/>
        <w:jc w:val="both"/>
        <w:rPr>
          <w:rFonts w:ascii="Geomanist Light" w:eastAsiaTheme="minorEastAsia" w:hAnsi="Geomanist Light" w:cs="Arial"/>
          <w:sz w:val="22"/>
          <w:szCs w:val="22"/>
          <w:lang w:eastAsia="es-CO"/>
        </w:rPr>
      </w:pPr>
      <w:r w:rsidRPr="00874A39">
        <w:rPr>
          <w:rFonts w:ascii="Geomanist Light" w:eastAsia="Calibri" w:hAnsi="Geomanist Light" w:cs="Arial"/>
          <w:bCs/>
          <w:noProof/>
          <w:sz w:val="22"/>
          <w:szCs w:val="22"/>
          <w:lang w:val="es-ES_tradnl" w:eastAsia="es-CO"/>
        </w:rPr>
        <w:t xml:space="preserve">Así mismo, en </w:t>
      </w:r>
      <w:r w:rsidRPr="00874A39">
        <w:rPr>
          <w:rFonts w:ascii="Geomanist Light" w:eastAsia="Arial" w:hAnsi="Geomanist Light" w:cs="Arial"/>
          <w:sz w:val="22"/>
          <w:szCs w:val="22"/>
          <w:lang w:val="es-ES" w:eastAsia="es-CO"/>
        </w:rPr>
        <w:t xml:space="preserve">el </w:t>
      </w:r>
      <w:r w:rsidRPr="00874A39">
        <w:rPr>
          <w:rFonts w:ascii="Geomanist Light" w:eastAsia="Calibri" w:hAnsi="Geomanist Light" w:cs="Arial"/>
          <w:noProof/>
          <w:sz w:val="22"/>
          <w:szCs w:val="22"/>
          <w:lang w:val="es-ES_tradnl" w:eastAsia="es-CO"/>
        </w:rPr>
        <w:t xml:space="preserve">«Documento Base» de ambos documentos tipo, se </w:t>
      </w:r>
      <w:r w:rsidRPr="00874A39">
        <w:rPr>
          <w:rFonts w:ascii="Geomanist Light" w:eastAsiaTheme="minorEastAsia" w:hAnsi="Geomanist Light" w:cs="Arial"/>
          <w:sz w:val="22"/>
          <w:szCs w:val="22"/>
          <w:lang w:eastAsia="es-CO"/>
        </w:rPr>
        <w:t xml:space="preserve">establece la acreditación de pagos de seguridad social y aportes legales de las personas jurídicas, </w:t>
      </w:r>
      <w:r w:rsidRPr="00874A39">
        <w:rPr>
          <w:rFonts w:ascii="Geomanist Light" w:eastAsiaTheme="minorEastAsia" w:hAnsi="Geomanist Light" w:cs="Arial"/>
          <w:sz w:val="22"/>
          <w:szCs w:val="22"/>
          <w:lang w:eastAsia="es-CO"/>
        </w:rPr>
        <w:lastRenderedPageBreak/>
        <w:t xml:space="preserve">personas naturales y proponentes plurales para la suscripción del contrato y durante la ejecución para la realización de cada pago. En este sentido, el numeral 3.4.4 «seguridad social para la suscripción del contrato» dispone que «[e]l adjudicatario debe presentar, para la suscripción del respectivo contrato, ante la dependencia respectiva, la declaración donde acredite el pago correspondiente a seguridad social y aportes legales cuando a ellos haya lugar», así mismo, el numeral 3.4.5 del documento base de ambos pliegos, establece que «[el] contratistas debe acreditar, para realizar cada pago del contrato, que se encuentra al día en los aportes parafiscales relativos al Sistema de Seguridad Social Integral […]». De estos numerales se deriva que </w:t>
      </w:r>
      <w:r w:rsidRPr="00874A39">
        <w:rPr>
          <w:rFonts w:ascii="Geomanist Light" w:eastAsia="Calibri" w:hAnsi="Geomanist Light" w:cs="Arial"/>
          <w:sz w:val="22"/>
          <w:szCs w:val="22"/>
          <w:lang w:val="es-ES" w:eastAsia="es-CO"/>
        </w:rPr>
        <w:t>las entidades estatales contratantes verificarán el cumplimiento del pago de los aportes al Sistema de Seguridad Social Integral, por parte de los contratistas del Estado, tanto para la suscripción del contrato como durante su ejecución.</w:t>
      </w:r>
    </w:p>
    <w:p w14:paraId="563F6620" w14:textId="77777777" w:rsidR="00CB5BC0" w:rsidRPr="00874A39" w:rsidRDefault="00CB5BC0" w:rsidP="005720CE">
      <w:pPr>
        <w:spacing w:after="240" w:line="276" w:lineRule="auto"/>
        <w:ind w:firstLine="708"/>
        <w:jc w:val="both"/>
        <w:rPr>
          <w:rFonts w:ascii="Geomanist Light" w:eastAsia="MS Mincho" w:hAnsi="Geomanist Light" w:cs="Arial"/>
          <w:sz w:val="22"/>
          <w:szCs w:val="22"/>
          <w:shd w:val="clear" w:color="auto" w:fill="FFFFFF"/>
          <w:lang w:eastAsia="es-CO"/>
        </w:rPr>
      </w:pPr>
      <w:r w:rsidRPr="00874A39">
        <w:rPr>
          <w:rFonts w:ascii="Geomanist Light" w:eastAsia="MS Mincho" w:hAnsi="Geomanist Light" w:cs="Arial"/>
          <w:sz w:val="22"/>
          <w:szCs w:val="22"/>
          <w:shd w:val="clear" w:color="auto" w:fill="FFFFFF"/>
          <w:lang w:eastAsia="es-CO"/>
        </w:rPr>
        <w:t xml:space="preserve">Sin perjuicio de lo anterior, las circunstancias que acrediten los proponentes en los procedimientos de selección deben ser veraces, lo que incluso puede traer consecuencias en el procedimiento de selección, pues una de las causales de rechazo establecidas en el numeral 1.15 del «documento base» consiste en «que el Proponente aporte información inexacta sobre la cual pueda existir una posible falsedad en los términos de la sección </w:t>
      </w:r>
      <w:r w:rsidRPr="00874A39">
        <w:rPr>
          <w:rFonts w:ascii="Geomanist Light" w:eastAsia="MS Mincho" w:hAnsi="Geomanist Light" w:cs="Arial"/>
          <w:sz w:val="22"/>
          <w:szCs w:val="22"/>
          <w:shd w:val="clear" w:color="auto" w:fill="FFFFFF"/>
          <w:lang w:eastAsia="es-CO"/>
        </w:rPr>
        <w:fldChar w:fldCharType="begin"/>
      </w:r>
      <w:r w:rsidRPr="00874A39">
        <w:rPr>
          <w:rFonts w:ascii="Geomanist Light" w:eastAsia="MS Mincho" w:hAnsi="Geomanist Light" w:cs="Arial"/>
          <w:sz w:val="22"/>
          <w:szCs w:val="22"/>
          <w:shd w:val="clear" w:color="auto" w:fill="FFFFFF"/>
          <w:lang w:eastAsia="es-CO"/>
        </w:rPr>
        <w:instrText xml:space="preserve"> REF _Ref4940712 \r \h  \* MERGEFORMAT </w:instrText>
      </w:r>
      <w:r w:rsidRPr="00874A39">
        <w:rPr>
          <w:rFonts w:ascii="Geomanist Light" w:eastAsia="MS Mincho" w:hAnsi="Geomanist Light" w:cs="Arial"/>
          <w:sz w:val="22"/>
          <w:szCs w:val="22"/>
          <w:shd w:val="clear" w:color="auto" w:fill="FFFFFF"/>
          <w:lang w:eastAsia="es-CO"/>
        </w:rPr>
      </w:r>
      <w:r w:rsidRPr="00874A39">
        <w:rPr>
          <w:rFonts w:ascii="Geomanist Light" w:eastAsia="MS Mincho" w:hAnsi="Geomanist Light" w:cs="Arial"/>
          <w:sz w:val="22"/>
          <w:szCs w:val="22"/>
          <w:shd w:val="clear" w:color="auto" w:fill="FFFFFF"/>
          <w:lang w:eastAsia="es-CO"/>
        </w:rPr>
        <w:fldChar w:fldCharType="separate"/>
      </w:r>
      <w:r w:rsidRPr="00874A39">
        <w:rPr>
          <w:rFonts w:ascii="Geomanist Light" w:eastAsia="MS Mincho" w:hAnsi="Geomanist Light" w:cs="Arial"/>
          <w:sz w:val="22"/>
          <w:szCs w:val="22"/>
          <w:shd w:val="clear" w:color="auto" w:fill="FFFFFF"/>
          <w:lang w:eastAsia="es-CO"/>
        </w:rPr>
        <w:t>1.11</w:t>
      </w:r>
      <w:r w:rsidRPr="00874A39">
        <w:rPr>
          <w:rFonts w:ascii="Geomanist Light" w:eastAsia="MS Mincho" w:hAnsi="Geomanist Light" w:cs="Arial"/>
          <w:sz w:val="22"/>
          <w:szCs w:val="22"/>
          <w:shd w:val="clear" w:color="auto" w:fill="FFFFFF"/>
          <w:lang w:eastAsia="es-CO"/>
        </w:rPr>
        <w:fldChar w:fldCharType="end"/>
      </w:r>
      <w:r w:rsidRPr="00874A39">
        <w:rPr>
          <w:rFonts w:ascii="Geomanist Light" w:eastAsia="MS Mincho" w:hAnsi="Geomanist Light" w:cs="Arial"/>
          <w:sz w:val="22"/>
          <w:szCs w:val="22"/>
          <w:shd w:val="clear" w:color="auto" w:fill="FFFFFF"/>
          <w:lang w:eastAsia="es-CO"/>
        </w:rPr>
        <w:t>.». En este sentido, aportar información inexacta sobre la cual pueda existir una posible falsedad da lugar al rechazo de la oferta.</w:t>
      </w:r>
    </w:p>
    <w:p w14:paraId="0D60AF31" w14:textId="20F938B7" w:rsidR="00CB5BC0" w:rsidRPr="00B11F8F" w:rsidRDefault="003A07CE" w:rsidP="00B11F8F">
      <w:pPr>
        <w:spacing w:after="240" w:line="276" w:lineRule="auto"/>
        <w:ind w:firstLine="708"/>
        <w:jc w:val="both"/>
        <w:rPr>
          <w:rFonts w:ascii="Geomanist Light" w:eastAsia="Arial" w:hAnsi="Geomanist Light" w:cs="Arial"/>
          <w:color w:val="000000"/>
          <w:sz w:val="22"/>
          <w:lang w:val="es-ES" w:eastAsia="es-MX"/>
        </w:rPr>
      </w:pPr>
      <w:r w:rsidRPr="00874A39">
        <w:rPr>
          <w:rFonts w:ascii="Geomanist Light" w:eastAsia="Arial" w:hAnsi="Geomanist Light" w:cs="Arial"/>
          <w:color w:val="000000"/>
          <w:sz w:val="22"/>
          <w:lang w:val="es-ES" w:eastAsia="es-MX"/>
        </w:rPr>
        <w:t xml:space="preserve">En todo caso, es pertinente acotar que la acreditación de pago de aportes a seguridad social constituye un requisito habilitante, por lo que, en principio, sería susceptible de subsanación, conforme a lo señalado en el parágrafo 1 del artículo 5 de la Ley 1150 de 2007 y el numeral 1.6 del documento base. No obstante, dicha subsanación no será válida cuando comporte la acreditación de circunstancia ocurridas con posterioridad al cierre, ni cuando se verifique la que inexactitud es imputable a una posible falsedad. </w:t>
      </w:r>
    </w:p>
    <w:p w14:paraId="0F2F6B6E" w14:textId="67317EF5" w:rsidR="00B411E7" w:rsidRPr="00874A39" w:rsidRDefault="00741F1E" w:rsidP="00B11F8F">
      <w:pPr>
        <w:spacing w:after="240" w:line="276" w:lineRule="auto"/>
        <w:jc w:val="both"/>
        <w:rPr>
          <w:rFonts w:ascii="Geomanist Light" w:eastAsia="Calibri" w:hAnsi="Geomanist Light" w:cs="Arial"/>
          <w:bCs/>
          <w:color w:val="000000" w:themeColor="text1"/>
          <w:sz w:val="22"/>
          <w:szCs w:val="22"/>
          <w:lang w:eastAsia="en-US"/>
        </w:rPr>
      </w:pPr>
      <w:r w:rsidRPr="00874A39">
        <w:rPr>
          <w:rFonts w:ascii="Geomanist Light" w:eastAsia="Calibri" w:hAnsi="Geomanist Light" w:cs="Arial"/>
          <w:bCs/>
          <w:color w:val="000000" w:themeColor="text1"/>
          <w:sz w:val="22"/>
          <w:szCs w:val="22"/>
          <w:lang w:eastAsia="en-US"/>
        </w:rPr>
        <w:t>Este concepto tiene el alcance previsto en el artículo 28 del Código de Procedimiento Administrativo y de lo Contencioso Administrativo.</w:t>
      </w:r>
    </w:p>
    <w:p w14:paraId="33BFE2D7" w14:textId="32F89B91" w:rsidR="00B44473" w:rsidRPr="00874A39" w:rsidRDefault="00137E23" w:rsidP="00B11F8F">
      <w:pPr>
        <w:spacing w:after="240" w:line="276" w:lineRule="auto"/>
        <w:jc w:val="both"/>
        <w:rPr>
          <w:rFonts w:ascii="Geomanist Light" w:eastAsia="Calibri" w:hAnsi="Geomanist Light" w:cs="Arial"/>
          <w:bCs/>
          <w:color w:val="000000" w:themeColor="text1"/>
          <w:sz w:val="22"/>
          <w:szCs w:val="22"/>
          <w:lang w:eastAsia="en-US"/>
        </w:rPr>
      </w:pPr>
      <w:r w:rsidRPr="00874A39">
        <w:rPr>
          <w:rFonts w:ascii="Geomanist Light" w:eastAsia="Calibri" w:hAnsi="Geomanist Light" w:cs="Arial"/>
          <w:bCs/>
          <w:color w:val="000000" w:themeColor="text1"/>
          <w:sz w:val="22"/>
          <w:szCs w:val="22"/>
          <w:lang w:eastAsia="en-US"/>
        </w:rPr>
        <w:t>Atentamente,</w:t>
      </w:r>
      <w:bookmarkEnd w:id="0"/>
    </w:p>
    <w:p w14:paraId="1464F6EB" w14:textId="139B23D6" w:rsidR="00B44473" w:rsidRPr="00874A39" w:rsidRDefault="008F050C" w:rsidP="00B11F8F">
      <w:pPr>
        <w:spacing w:before="120" w:after="120" w:line="276" w:lineRule="auto"/>
        <w:jc w:val="center"/>
        <w:rPr>
          <w:rFonts w:ascii="Geomanist Light" w:eastAsia="Calibri" w:hAnsi="Geomanist Light" w:cs="Arial"/>
        </w:rPr>
      </w:pPr>
      <w:r>
        <w:rPr>
          <w:noProof/>
          <w:lang w:val="en-US"/>
        </w:rPr>
        <w:lastRenderedPageBreak/>
        <w:drawing>
          <wp:inline distT="0" distB="0" distL="0" distR="0" wp14:anchorId="41BA8369" wp14:editId="2B50359A">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tbl>
      <w:tblPr>
        <w:tblStyle w:val="Tablaconcuadrcula1"/>
        <w:tblpPr w:leftFromText="141" w:rightFromText="141"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B44473" w:rsidRPr="00874A39" w14:paraId="0BEBB61E" w14:textId="77777777" w:rsidTr="002A2D17">
        <w:trPr>
          <w:trHeight w:val="286"/>
        </w:trPr>
        <w:tc>
          <w:tcPr>
            <w:tcW w:w="817" w:type="dxa"/>
            <w:vAlign w:val="center"/>
          </w:tcPr>
          <w:p w14:paraId="006145DB" w14:textId="77777777" w:rsidR="00B44473" w:rsidRPr="00874A39" w:rsidRDefault="00B44473" w:rsidP="002A2D17">
            <w:pPr>
              <w:spacing w:before="0"/>
              <w:rPr>
                <w:rFonts w:ascii="Geomanist Light" w:hAnsi="Geomanist Light" w:cs="Arial"/>
                <w:sz w:val="16"/>
                <w:szCs w:val="16"/>
              </w:rPr>
            </w:pPr>
            <w:r w:rsidRPr="00874A39">
              <w:rPr>
                <w:rFonts w:ascii="Geomanist Light" w:hAnsi="Geomanist Light" w:cs="Arial"/>
                <w:sz w:val="16"/>
                <w:szCs w:val="16"/>
              </w:rPr>
              <w:t>Elaboró:</w:t>
            </w:r>
          </w:p>
        </w:tc>
        <w:tc>
          <w:tcPr>
            <w:tcW w:w="4445" w:type="dxa"/>
            <w:tcBorders>
              <w:bottom w:val="dotted" w:sz="4" w:space="0" w:color="7F7F7F"/>
            </w:tcBorders>
            <w:vAlign w:val="center"/>
          </w:tcPr>
          <w:p w14:paraId="2EC183AE" w14:textId="77777777" w:rsidR="00B44473" w:rsidRPr="00874A39" w:rsidRDefault="00B44473" w:rsidP="002A2D17">
            <w:pPr>
              <w:spacing w:before="0"/>
              <w:rPr>
                <w:rFonts w:ascii="Geomanist Light" w:hAnsi="Geomanist Light" w:cs="Arial"/>
                <w:sz w:val="16"/>
                <w:szCs w:val="16"/>
              </w:rPr>
            </w:pPr>
            <w:r w:rsidRPr="00874A39">
              <w:rPr>
                <w:rFonts w:ascii="Geomanist Light" w:hAnsi="Geomanist Light" w:cs="Arial"/>
                <w:sz w:val="16"/>
                <w:szCs w:val="16"/>
              </w:rPr>
              <w:t xml:space="preserve">Diana Fabiola Herrera Hernández </w:t>
            </w:r>
          </w:p>
          <w:p w14:paraId="50E568A1" w14:textId="77777777" w:rsidR="00B44473" w:rsidRPr="00874A39" w:rsidRDefault="00B44473" w:rsidP="002A2D17">
            <w:pPr>
              <w:spacing w:before="0"/>
              <w:rPr>
                <w:rFonts w:ascii="Geomanist Light" w:hAnsi="Geomanist Light" w:cs="Arial"/>
                <w:sz w:val="16"/>
                <w:szCs w:val="16"/>
              </w:rPr>
            </w:pPr>
            <w:r w:rsidRPr="00874A39">
              <w:rPr>
                <w:rFonts w:ascii="Geomanist Light" w:hAnsi="Geomanist Light" w:cs="Arial"/>
                <w:sz w:val="16"/>
                <w:szCs w:val="16"/>
              </w:rPr>
              <w:t>Contratista de la Subdirección de Gestión Contractual</w:t>
            </w:r>
          </w:p>
        </w:tc>
      </w:tr>
      <w:tr w:rsidR="00B44473" w:rsidRPr="00874A39" w14:paraId="531A5FDF" w14:textId="77777777" w:rsidTr="002A2D17">
        <w:trPr>
          <w:trHeight w:val="286"/>
        </w:trPr>
        <w:tc>
          <w:tcPr>
            <w:tcW w:w="817" w:type="dxa"/>
            <w:vAlign w:val="center"/>
          </w:tcPr>
          <w:p w14:paraId="6CB65744" w14:textId="77777777" w:rsidR="00B44473" w:rsidRPr="00874A39" w:rsidRDefault="00B44473" w:rsidP="002A2D17">
            <w:pPr>
              <w:spacing w:before="0"/>
              <w:rPr>
                <w:rFonts w:ascii="Geomanist Light" w:hAnsi="Geomanist Light" w:cs="Arial"/>
                <w:sz w:val="16"/>
                <w:szCs w:val="16"/>
              </w:rPr>
            </w:pPr>
            <w:r w:rsidRPr="00874A39">
              <w:rPr>
                <w:rFonts w:ascii="Geomanist Light" w:hAnsi="Geomanist Light" w:cs="Arial"/>
                <w:sz w:val="16"/>
                <w:szCs w:val="16"/>
              </w:rPr>
              <w:t>Revisó:</w:t>
            </w:r>
          </w:p>
        </w:tc>
        <w:tc>
          <w:tcPr>
            <w:tcW w:w="4445" w:type="dxa"/>
            <w:tcBorders>
              <w:bottom w:val="dotted" w:sz="4" w:space="0" w:color="7F7F7F"/>
            </w:tcBorders>
            <w:vAlign w:val="center"/>
          </w:tcPr>
          <w:p w14:paraId="2A3EB8A7" w14:textId="77777777" w:rsidR="00B44473" w:rsidRPr="00874A39" w:rsidRDefault="00B44473" w:rsidP="002A2D17">
            <w:pPr>
              <w:spacing w:before="0"/>
              <w:rPr>
                <w:rFonts w:ascii="Geomanist Light" w:hAnsi="Geomanist Light" w:cs="Arial"/>
                <w:sz w:val="16"/>
                <w:szCs w:val="16"/>
              </w:rPr>
            </w:pPr>
            <w:r w:rsidRPr="00874A39">
              <w:rPr>
                <w:rFonts w:ascii="Geomanist Light" w:hAnsi="Geomanist Light" w:cs="Arial"/>
                <w:sz w:val="16"/>
                <w:szCs w:val="16"/>
              </w:rPr>
              <w:t>Alejandro Sarmiento Cantillo</w:t>
            </w:r>
          </w:p>
          <w:p w14:paraId="433E9657" w14:textId="77777777" w:rsidR="00B44473" w:rsidRPr="00874A39" w:rsidRDefault="00B44473" w:rsidP="002A2D17">
            <w:pPr>
              <w:spacing w:before="0"/>
              <w:rPr>
                <w:rFonts w:ascii="Geomanist Light" w:hAnsi="Geomanist Light" w:cs="Arial"/>
                <w:sz w:val="16"/>
                <w:szCs w:val="16"/>
              </w:rPr>
            </w:pPr>
            <w:r w:rsidRPr="00874A39">
              <w:rPr>
                <w:rFonts w:ascii="Geomanist Light" w:hAnsi="Geomanist Light" w:cs="Arial"/>
                <w:sz w:val="16"/>
                <w:szCs w:val="16"/>
              </w:rPr>
              <w:t>Gestor T1-15 de la Subdirección de Gestión Contractual</w:t>
            </w:r>
          </w:p>
        </w:tc>
      </w:tr>
      <w:tr w:rsidR="00B44473" w:rsidRPr="00874A39" w14:paraId="22211019" w14:textId="77777777" w:rsidTr="002A2D17">
        <w:trPr>
          <w:trHeight w:val="299"/>
        </w:trPr>
        <w:tc>
          <w:tcPr>
            <w:tcW w:w="817" w:type="dxa"/>
            <w:vAlign w:val="center"/>
          </w:tcPr>
          <w:p w14:paraId="35DCC6CD" w14:textId="77777777" w:rsidR="00B44473" w:rsidRPr="00874A39" w:rsidRDefault="00B44473" w:rsidP="002A2D17">
            <w:pPr>
              <w:spacing w:before="0"/>
              <w:rPr>
                <w:rFonts w:ascii="Geomanist Light" w:hAnsi="Geomanist Light" w:cs="Arial"/>
                <w:sz w:val="16"/>
                <w:szCs w:val="16"/>
              </w:rPr>
            </w:pPr>
            <w:r w:rsidRPr="00874A39">
              <w:rPr>
                <w:rFonts w:ascii="Geomanist Light" w:hAnsi="Geomanist Light" w:cs="Arial"/>
                <w:sz w:val="16"/>
                <w:szCs w:val="16"/>
              </w:rPr>
              <w:t>Aprobó:</w:t>
            </w:r>
          </w:p>
        </w:tc>
        <w:tc>
          <w:tcPr>
            <w:tcW w:w="4445" w:type="dxa"/>
            <w:tcBorders>
              <w:top w:val="dotted" w:sz="4" w:space="0" w:color="7F7F7F"/>
              <w:bottom w:val="dotted" w:sz="4" w:space="0" w:color="7F7F7F"/>
            </w:tcBorders>
            <w:vAlign w:val="center"/>
          </w:tcPr>
          <w:p w14:paraId="71C389AD" w14:textId="77777777" w:rsidR="00B44473" w:rsidRPr="00874A39" w:rsidRDefault="00B44473" w:rsidP="002A2D17">
            <w:pPr>
              <w:spacing w:before="0"/>
              <w:rPr>
                <w:rFonts w:ascii="Geomanist Light" w:hAnsi="Geomanist Light" w:cs="Arial"/>
                <w:sz w:val="16"/>
                <w:szCs w:val="16"/>
              </w:rPr>
            </w:pPr>
            <w:r w:rsidRPr="00874A39">
              <w:rPr>
                <w:rFonts w:ascii="Geomanist Light" w:hAnsi="Geomanist Light" w:cs="Arial"/>
                <w:sz w:val="16"/>
                <w:szCs w:val="16"/>
              </w:rPr>
              <w:t xml:space="preserve">Nohelia del Carmen </w:t>
            </w:r>
            <w:proofErr w:type="spellStart"/>
            <w:r w:rsidRPr="00874A39">
              <w:rPr>
                <w:rFonts w:ascii="Geomanist Light" w:hAnsi="Geomanist Light" w:cs="Arial"/>
                <w:sz w:val="16"/>
                <w:szCs w:val="16"/>
              </w:rPr>
              <w:t>Zawady</w:t>
            </w:r>
            <w:proofErr w:type="spellEnd"/>
            <w:r w:rsidRPr="00874A39">
              <w:rPr>
                <w:rFonts w:ascii="Geomanist Light" w:hAnsi="Geomanist Light" w:cs="Arial"/>
                <w:sz w:val="16"/>
                <w:szCs w:val="16"/>
              </w:rPr>
              <w:t xml:space="preserve"> Palacio</w:t>
            </w:r>
          </w:p>
          <w:p w14:paraId="75859E91" w14:textId="77777777" w:rsidR="00B44473" w:rsidRPr="00874A39" w:rsidRDefault="00B44473" w:rsidP="002A2D17">
            <w:pPr>
              <w:spacing w:before="0"/>
              <w:rPr>
                <w:rFonts w:ascii="Geomanist Light" w:hAnsi="Geomanist Light" w:cs="Arial"/>
                <w:sz w:val="16"/>
                <w:szCs w:val="16"/>
              </w:rPr>
            </w:pPr>
            <w:r w:rsidRPr="00874A39">
              <w:rPr>
                <w:rFonts w:ascii="Geomanist Light" w:hAnsi="Geomanist Light" w:cs="Arial"/>
                <w:sz w:val="16"/>
                <w:szCs w:val="16"/>
              </w:rPr>
              <w:t xml:space="preserve">Subdirectora de Gestión Contractual ANCP – CCE </w:t>
            </w:r>
          </w:p>
        </w:tc>
      </w:tr>
    </w:tbl>
    <w:p w14:paraId="469536C3" w14:textId="6562B59F" w:rsidR="00866EF3" w:rsidRPr="00874A39" w:rsidRDefault="00866EF3" w:rsidP="00F1545F">
      <w:pPr>
        <w:spacing w:before="120" w:after="120" w:line="276" w:lineRule="auto"/>
        <w:jc w:val="center"/>
        <w:rPr>
          <w:rFonts w:ascii="Geomanist Light" w:eastAsia="Calibri" w:hAnsi="Geomanist Light" w:cs="Arial"/>
        </w:rPr>
      </w:pPr>
    </w:p>
    <w:p w14:paraId="16DE8C5A" w14:textId="72BB0846" w:rsidR="00866EF3" w:rsidRPr="00874A39" w:rsidRDefault="00866EF3" w:rsidP="00F1545F">
      <w:pPr>
        <w:spacing w:before="120" w:after="120" w:line="276" w:lineRule="auto"/>
        <w:jc w:val="center"/>
        <w:rPr>
          <w:rFonts w:ascii="Geomanist Light" w:eastAsia="Calibri" w:hAnsi="Geomanist Light" w:cs="Arial"/>
        </w:rPr>
      </w:pPr>
    </w:p>
    <w:p w14:paraId="0C394C62" w14:textId="77777777" w:rsidR="00866EF3" w:rsidRPr="00874A39" w:rsidRDefault="00866EF3" w:rsidP="00F1545F">
      <w:pPr>
        <w:spacing w:before="120" w:after="120" w:line="276" w:lineRule="auto"/>
        <w:jc w:val="center"/>
        <w:rPr>
          <w:rFonts w:ascii="Geomanist Light" w:eastAsia="Calibri" w:hAnsi="Geomanist Light" w:cs="Arial"/>
        </w:rPr>
      </w:pPr>
    </w:p>
    <w:p w14:paraId="29CDEDAC" w14:textId="5C239821" w:rsidR="00866EF3" w:rsidRPr="00874A39" w:rsidRDefault="00866EF3" w:rsidP="00F1545F">
      <w:pPr>
        <w:spacing w:before="120" w:after="120" w:line="276" w:lineRule="auto"/>
        <w:jc w:val="center"/>
        <w:rPr>
          <w:rFonts w:ascii="Geomanist Light" w:eastAsia="Calibri" w:hAnsi="Geomanist Light" w:cs="Arial"/>
        </w:rPr>
      </w:pPr>
    </w:p>
    <w:p w14:paraId="5C90101D" w14:textId="77777777" w:rsidR="00866EF3" w:rsidRPr="00874A39" w:rsidRDefault="00866EF3" w:rsidP="00F1545F">
      <w:pPr>
        <w:spacing w:before="120" w:after="120" w:line="276" w:lineRule="auto"/>
        <w:jc w:val="center"/>
        <w:rPr>
          <w:rFonts w:ascii="Geomanist Light" w:eastAsia="Calibri" w:hAnsi="Geomanist Light" w:cs="Arial"/>
        </w:rPr>
      </w:pPr>
    </w:p>
    <w:p w14:paraId="4CD920FF" w14:textId="40D3AAEE" w:rsidR="00866EF3" w:rsidRPr="00874A39" w:rsidRDefault="00866EF3" w:rsidP="00F1545F">
      <w:pPr>
        <w:spacing w:before="120" w:after="120" w:line="276" w:lineRule="auto"/>
        <w:jc w:val="center"/>
        <w:rPr>
          <w:rFonts w:ascii="Geomanist Light" w:eastAsia="Calibri" w:hAnsi="Geomanist Light" w:cs="Arial"/>
        </w:rPr>
      </w:pPr>
    </w:p>
    <w:p w14:paraId="13515391" w14:textId="31FF92C1" w:rsidR="00866EF3" w:rsidRPr="00874A39" w:rsidRDefault="00866EF3" w:rsidP="00F1545F">
      <w:pPr>
        <w:spacing w:before="120" w:after="120" w:line="276" w:lineRule="auto"/>
        <w:jc w:val="center"/>
        <w:rPr>
          <w:rFonts w:ascii="Geomanist Light" w:eastAsia="Calibri" w:hAnsi="Geomanist Light" w:cs="Arial"/>
        </w:rPr>
      </w:pPr>
    </w:p>
    <w:p w14:paraId="34ADCEFB" w14:textId="0AEA36FF" w:rsidR="00866EF3" w:rsidRPr="00874A39" w:rsidRDefault="00866EF3" w:rsidP="00F1545F">
      <w:pPr>
        <w:spacing w:before="120" w:after="120" w:line="276" w:lineRule="auto"/>
        <w:jc w:val="center"/>
        <w:rPr>
          <w:rFonts w:ascii="Geomanist Light" w:eastAsia="Calibri" w:hAnsi="Geomanist Light" w:cs="Arial"/>
        </w:rPr>
      </w:pPr>
    </w:p>
    <w:p w14:paraId="564C96DF" w14:textId="5344D8BB" w:rsidR="00866EF3" w:rsidRPr="00874A39" w:rsidRDefault="00866EF3" w:rsidP="00F1545F">
      <w:pPr>
        <w:spacing w:before="120" w:after="120" w:line="276" w:lineRule="auto"/>
        <w:jc w:val="center"/>
        <w:rPr>
          <w:rFonts w:ascii="Geomanist Light" w:eastAsia="Calibri" w:hAnsi="Geomanist Light" w:cs="Arial"/>
        </w:rPr>
      </w:pPr>
    </w:p>
    <w:p w14:paraId="133B511B" w14:textId="77777777" w:rsidR="00866EF3" w:rsidRPr="00874A39" w:rsidRDefault="00866EF3" w:rsidP="00F1545F">
      <w:pPr>
        <w:spacing w:before="120" w:after="120" w:line="276" w:lineRule="auto"/>
        <w:jc w:val="center"/>
        <w:rPr>
          <w:rFonts w:ascii="Geomanist Light" w:eastAsia="Calibri" w:hAnsi="Geomanist Light" w:cs="Arial"/>
        </w:rPr>
      </w:pPr>
    </w:p>
    <w:p w14:paraId="493D1705" w14:textId="77777777" w:rsidR="00A43A0D" w:rsidRPr="00874A39" w:rsidRDefault="00A43A0D" w:rsidP="00F1545F">
      <w:pPr>
        <w:spacing w:before="120" w:line="276" w:lineRule="auto"/>
        <w:rPr>
          <w:rFonts w:ascii="Geomanist Light" w:hAnsi="Geomanist Light" w:cs="Arial"/>
        </w:rPr>
      </w:pPr>
    </w:p>
    <w:p w14:paraId="47A8E4C5" w14:textId="77777777" w:rsidR="00A43A0D" w:rsidRPr="00874A39" w:rsidRDefault="00A43A0D" w:rsidP="00F1545F">
      <w:pPr>
        <w:spacing w:before="120" w:line="276" w:lineRule="auto"/>
        <w:rPr>
          <w:rFonts w:ascii="Geomanist Light" w:hAnsi="Geomanist Light" w:cs="Arial"/>
        </w:rPr>
      </w:pPr>
    </w:p>
    <w:p w14:paraId="13B0656D" w14:textId="77777777" w:rsidR="00135FBD" w:rsidRPr="00874A39" w:rsidRDefault="00135FBD" w:rsidP="00F1545F">
      <w:pPr>
        <w:spacing w:before="120" w:after="120" w:line="276" w:lineRule="auto"/>
        <w:jc w:val="center"/>
        <w:rPr>
          <w:rFonts w:ascii="Geomanist Light" w:hAnsi="Geomanist Light" w:cs="Arial"/>
        </w:rPr>
      </w:pPr>
    </w:p>
    <w:sectPr w:rsidR="00135FBD" w:rsidRPr="00874A39" w:rsidSect="00826797">
      <w:headerReference w:type="default" r:id="rId13"/>
      <w:footerReference w:type="default" r:id="rId14"/>
      <w:pgSz w:w="12240" w:h="15840"/>
      <w:pgMar w:top="1779" w:right="1750" w:bottom="1276" w:left="1701" w:header="340" w:footer="22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4CAAD" w14:textId="77777777" w:rsidR="004B4CB8" w:rsidRDefault="004B4CB8" w:rsidP="00137E23">
      <w:r>
        <w:separator/>
      </w:r>
    </w:p>
  </w:endnote>
  <w:endnote w:type="continuationSeparator" w:id="0">
    <w:p w14:paraId="1FB9CC67" w14:textId="77777777" w:rsidR="004B4CB8" w:rsidRDefault="004B4CB8" w:rsidP="00137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MS Mincho">
    <w:altName w:val="ＭＳ 明朝"/>
    <w:panose1 w:val="02020609040205080304"/>
    <w:charset w:val="80"/>
    <w:family w:val="roman"/>
    <w:pitch w:val="fixed"/>
    <w:sig w:usb0="00000001" w:usb1="08070000" w:usb2="00000010" w:usb3="00000000" w:csb0="00020000"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E853" w14:textId="77777777" w:rsidR="00A121DA" w:rsidRDefault="00A121DA" w:rsidP="00A121DA">
    <w:pPr>
      <w:pStyle w:val="Sinespaciado"/>
      <w:jc w:val="right"/>
      <w:rPr>
        <w:rFonts w:ascii="Arial" w:hAnsi="Arial" w:cs="Arial"/>
        <w:sz w:val="18"/>
        <w:szCs w:val="18"/>
      </w:rPr>
    </w:pPr>
  </w:p>
  <w:p w14:paraId="492C7A92" w14:textId="77777777" w:rsidR="004C73B9" w:rsidRDefault="004C73B9" w:rsidP="004C73B9">
    <w:pPr>
      <w:pStyle w:val="Piedepgina"/>
    </w:pPr>
    <w:r>
      <w:rPr>
        <w:noProof/>
        <w:lang w:val="en-US"/>
      </w:rPr>
      <w:drawing>
        <wp:inline distT="0" distB="0" distL="0" distR="0" wp14:anchorId="2EE1518F" wp14:editId="1502B28B">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4C73B9" w:rsidRPr="00080DA3" w14:paraId="2059C4D8" w14:textId="77777777" w:rsidTr="002F37A5">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A670695" w14:textId="77777777" w:rsidR="004C73B9" w:rsidRPr="00080DA3" w:rsidRDefault="004C73B9" w:rsidP="004C73B9">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D747045" w14:textId="77777777" w:rsidR="004C73B9" w:rsidRPr="00080DA3" w:rsidRDefault="004C73B9" w:rsidP="004C73B9">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270407B8" w14:textId="77777777" w:rsidR="004C73B9" w:rsidRPr="00080DA3" w:rsidRDefault="004C73B9" w:rsidP="004C73B9">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60A8F309" w14:textId="77777777" w:rsidR="004C73B9" w:rsidRPr="004B6B0E" w:rsidRDefault="004C73B9" w:rsidP="004C73B9">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C808E44" w14:textId="77777777" w:rsidR="004C73B9" w:rsidRPr="00080DA3" w:rsidRDefault="004C73B9" w:rsidP="004C73B9">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ADE930D" w14:textId="77777777" w:rsidR="004C73B9" w:rsidRPr="00080DA3" w:rsidRDefault="004C73B9" w:rsidP="004C73B9">
          <w:pPr>
            <w:pStyle w:val="Piedepgina"/>
            <w:jc w:val="center"/>
            <w:rPr>
              <w:rFonts w:ascii="Geomanist Light" w:hAnsi="Geomanist Light"/>
              <w:sz w:val="18"/>
              <w:szCs w:val="18"/>
            </w:rPr>
          </w:pPr>
          <w:r>
            <w:rPr>
              <w:rFonts w:ascii="Geomanist Light" w:hAnsi="Geomanist Light"/>
              <w:sz w:val="18"/>
              <w:szCs w:val="18"/>
            </w:rPr>
            <w:t>28</w:t>
          </w:r>
          <w:r w:rsidRPr="00080DA3">
            <w:rPr>
              <w:rFonts w:ascii="Geomanist Light" w:hAnsi="Geomanist Light"/>
              <w:sz w:val="18"/>
              <w:szCs w:val="18"/>
            </w:rPr>
            <w:t xml:space="preserve"> de </w:t>
          </w:r>
          <w:r>
            <w:rPr>
              <w:rFonts w:ascii="Geomanist Light" w:hAnsi="Geomanist Light"/>
              <w:sz w:val="18"/>
              <w:szCs w:val="18"/>
            </w:rPr>
            <w:t>septiembre</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7BC5D72" w14:textId="7264E2FE" w:rsidR="004C73B9" w:rsidRPr="00080DA3" w:rsidRDefault="004C73B9" w:rsidP="004C73B9">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207FAC">
            <w:rPr>
              <w:rFonts w:ascii="Geomanist Light" w:hAnsi="Geomanist Light"/>
              <w:b/>
              <w:bCs/>
              <w:noProof/>
              <w:sz w:val="18"/>
              <w:szCs w:val="18"/>
            </w:rPr>
            <w:t>4</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207FAC">
            <w:rPr>
              <w:rFonts w:ascii="Geomanist Light" w:hAnsi="Geomanist Light"/>
              <w:b/>
              <w:bCs/>
              <w:noProof/>
              <w:sz w:val="18"/>
              <w:szCs w:val="18"/>
            </w:rPr>
            <w:t>14</w:t>
          </w:r>
          <w:r w:rsidRPr="00080DA3">
            <w:rPr>
              <w:rFonts w:ascii="Geomanist Light" w:hAnsi="Geomanist Light"/>
              <w:b/>
              <w:bCs/>
              <w:sz w:val="18"/>
              <w:szCs w:val="18"/>
            </w:rPr>
            <w:fldChar w:fldCharType="end"/>
          </w:r>
        </w:p>
      </w:tc>
    </w:tr>
  </w:tbl>
  <w:p w14:paraId="4891C963" w14:textId="77777777" w:rsidR="00A121DA" w:rsidRPr="00214878" w:rsidRDefault="00A121DA" w:rsidP="00A121DA">
    <w:pPr>
      <w:pStyle w:val="Piedepgina"/>
    </w:pPr>
  </w:p>
  <w:p w14:paraId="2AE99469" w14:textId="77777777" w:rsidR="00A05370" w:rsidRDefault="00A05370" w:rsidP="007B0854">
    <w:pPr>
      <w:pStyle w:val="Piedepgina"/>
      <w:jc w:val="center"/>
    </w:pPr>
  </w:p>
  <w:p w14:paraId="7F8835C6" w14:textId="77777777" w:rsidR="000E0524" w:rsidRPr="007B0854" w:rsidRDefault="006565DD" w:rsidP="007B0854">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1F4EC" w14:textId="77777777" w:rsidR="004B4CB8" w:rsidRDefault="004B4CB8" w:rsidP="00137E23">
      <w:r>
        <w:separator/>
      </w:r>
    </w:p>
  </w:footnote>
  <w:footnote w:type="continuationSeparator" w:id="0">
    <w:p w14:paraId="2487BD37" w14:textId="77777777" w:rsidR="004B4CB8" w:rsidRDefault="004B4CB8" w:rsidP="00137E23">
      <w:r>
        <w:continuationSeparator/>
      </w:r>
    </w:p>
  </w:footnote>
  <w:footnote w:id="1">
    <w:p w14:paraId="68BBFFCB" w14:textId="77777777" w:rsidR="003E5D6D" w:rsidRPr="00ED36A1" w:rsidRDefault="003E5D6D" w:rsidP="003E5D6D">
      <w:pPr>
        <w:pStyle w:val="Textonotapie"/>
        <w:ind w:firstLine="709"/>
        <w:jc w:val="both"/>
        <w:rPr>
          <w:rFonts w:ascii="Geomanist Light" w:hAnsi="Geomanist Light" w:cs="Arial"/>
          <w:color w:val="000000"/>
          <w:sz w:val="19"/>
          <w:szCs w:val="19"/>
        </w:rPr>
      </w:pPr>
      <w:r w:rsidRPr="00ED36A1">
        <w:rPr>
          <w:rStyle w:val="Refdenotaalpie"/>
          <w:rFonts w:ascii="Geomanist Light" w:hAnsi="Geomanist Light" w:cs="Arial"/>
          <w:color w:val="000000"/>
          <w:sz w:val="19"/>
          <w:szCs w:val="19"/>
        </w:rPr>
        <w:footnoteRef/>
      </w:r>
      <w:r w:rsidRPr="00ED36A1">
        <w:rPr>
          <w:rFonts w:ascii="Geomanist Light" w:hAnsi="Geomanist Light" w:cs="Arial"/>
          <w:color w:val="000000"/>
          <w:sz w:val="19"/>
          <w:szCs w:val="19"/>
        </w:rPr>
        <w:t xml:space="preserve"> Consejo de Estado. Sección Tercera. Sentencia del 8 de junio de 2011. Rad. 20001-23-31-000-2005-00409-01[AP]. Consejero Ponente: Enrique Gil Botero.</w:t>
      </w:r>
    </w:p>
  </w:footnote>
  <w:footnote w:id="2">
    <w:p w14:paraId="0F50EAB0" w14:textId="77777777" w:rsidR="003E5D6D" w:rsidRPr="007A03A5" w:rsidRDefault="003E5D6D" w:rsidP="003E5D6D">
      <w:pPr>
        <w:pStyle w:val="Textonotapie"/>
        <w:ind w:firstLine="708"/>
        <w:jc w:val="both"/>
        <w:rPr>
          <w:rFonts w:ascii="Arial" w:hAnsi="Arial" w:cs="Arial"/>
          <w:sz w:val="19"/>
          <w:szCs w:val="19"/>
          <w:lang w:val="es-CO"/>
        </w:rPr>
      </w:pPr>
      <w:r w:rsidRPr="00ED36A1">
        <w:rPr>
          <w:rStyle w:val="Refdenotaalpie"/>
          <w:rFonts w:ascii="Geomanist Light" w:hAnsi="Geomanist Light" w:cs="Arial"/>
          <w:sz w:val="19"/>
          <w:szCs w:val="19"/>
        </w:rPr>
        <w:footnoteRef/>
      </w:r>
      <w:r w:rsidRPr="00ED36A1">
        <w:rPr>
          <w:rFonts w:ascii="Geomanist Light" w:hAnsi="Geomanist Light" w:cs="Arial"/>
          <w:sz w:val="19"/>
          <w:szCs w:val="19"/>
        </w:rPr>
        <w:t xml:space="preserve"> Esta misma regla se infiere de lo establecido en el «Formato 6 – Pagos de seguridad social y aportes legales» para personas naturales, donde se señala que: «El proponente persona natural deberá acreditar la afiliación a los sistemas de seguridad social en salud y pensiones aportando los certificados de afiliación respectivos. El proponente podrá acreditar la afiliación entregando el certificado de pago de planilla, pero no será obligatoria su presentación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4E75" w14:textId="77777777" w:rsidR="000E0524" w:rsidRDefault="006565DD">
    <w:pPr>
      <w:pStyle w:val="Encabezado"/>
    </w:pPr>
  </w:p>
  <w:p w14:paraId="3691C190" w14:textId="77777777" w:rsidR="00335CF2" w:rsidRPr="007566FE" w:rsidRDefault="00335CF2" w:rsidP="00335CF2">
    <w:pPr>
      <w:rPr>
        <w:rFonts w:ascii="Geomanist Light" w:hAnsi="Geomanist Light"/>
        <w:color w:val="002060"/>
        <w:sz w:val="16"/>
        <w:szCs w:val="16"/>
      </w:rPr>
    </w:pPr>
    <w:r w:rsidRPr="007566FE">
      <w:rPr>
        <w:rFonts w:ascii="Geomanist Light" w:eastAsia="Arial Nova" w:hAnsi="Geomanist Light" w:cs="Arial Nova"/>
        <w:noProof/>
        <w:sz w:val="16"/>
        <w:szCs w:val="16"/>
        <w:lang w:val="en-US" w:eastAsia="en-US"/>
      </w:rPr>
      <w:drawing>
        <wp:anchor distT="0" distB="0" distL="0" distR="0" simplePos="0" relativeHeight="251659264" behindDoc="1" locked="0" layoutInCell="1" hidden="0" allowOverlap="1" wp14:anchorId="40D10930" wp14:editId="2E5A3AC6">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hAnsi="Geomanist Light"/>
        <w:color w:val="002060"/>
        <w:sz w:val="16"/>
        <w:szCs w:val="16"/>
      </w:rPr>
      <w:t>FORMATO PQRSD</w:t>
    </w:r>
  </w:p>
  <w:p w14:paraId="10BB90D9" w14:textId="77777777" w:rsidR="00335CF2" w:rsidRPr="007566FE" w:rsidRDefault="00335CF2" w:rsidP="00335CF2">
    <w:pPr>
      <w:pBdr>
        <w:top w:val="nil"/>
        <w:left w:val="nil"/>
        <w:bottom w:val="nil"/>
        <w:right w:val="nil"/>
        <w:between w:val="nil"/>
      </w:pBdr>
      <w:tabs>
        <w:tab w:val="center" w:pos="4419"/>
        <w:tab w:val="right" w:pos="8838"/>
        <w:tab w:val="center" w:pos="5400"/>
      </w:tabs>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06B09F04" w14:textId="77777777" w:rsidR="00335CF2" w:rsidRDefault="00335CF2" w:rsidP="00335CF2">
    <w:pPr>
      <w:rPr>
        <w:rFonts w:ascii="Geomanist Light" w:eastAsia="Geo" w:hAnsi="Geomanist Light" w:cs="Geo"/>
        <w:sz w:val="16"/>
        <w:szCs w:val="16"/>
        <w:lang w:eastAsia="es-CO"/>
      </w:rPr>
    </w:pPr>
    <w:r w:rsidRPr="00367110">
      <w:rPr>
        <w:rFonts w:eastAsia="Arial Nova" w:cs="Arial Nova"/>
        <w:noProof/>
        <w:color w:val="000000"/>
        <w:lang w:val="en-US" w:eastAsia="en-US"/>
      </w:rPr>
      <w:drawing>
        <wp:anchor distT="0" distB="0" distL="114300" distR="114300" simplePos="0" relativeHeight="251660288" behindDoc="1" locked="0" layoutInCell="1" allowOverlap="1" wp14:anchorId="568D8A95" wp14:editId="0F0A4901">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eastAsia="Geo" w:hAnsi="Geomanist Light" w:cs="Geo"/>
        <w:b/>
        <w:color w:val="000000"/>
        <w:sz w:val="16"/>
        <w:szCs w:val="16"/>
        <w:lang w:eastAsia="es-CO"/>
      </w:rPr>
      <w:t>Versión</w:t>
    </w:r>
    <w:r w:rsidRPr="007566FE">
      <w:rPr>
        <w:rFonts w:ascii="Geomanist Light" w:eastAsia="Arial Nova" w:hAnsi="Geomanist Light" w:cs="Arial Nova"/>
        <w:b/>
        <w:color w:val="000000"/>
        <w:sz w:val="16"/>
        <w:szCs w:val="16"/>
        <w:lang w:eastAsia="es-CO"/>
      </w:rPr>
      <w:t xml:space="preserve">: </w:t>
    </w:r>
    <w:r w:rsidRPr="007566FE">
      <w:rPr>
        <w:rFonts w:ascii="Geomanist Light" w:eastAsia="Geo" w:hAnsi="Geomanist Light" w:cs="Geo"/>
        <w:sz w:val="16"/>
        <w:szCs w:val="16"/>
        <w:lang w:eastAsia="es-CO"/>
      </w:rPr>
      <w:t>0</w:t>
    </w:r>
    <w:r>
      <w:rPr>
        <w:rFonts w:ascii="Geomanist Light" w:eastAsia="Geo" w:hAnsi="Geomanist Light" w:cs="Geo"/>
        <w:sz w:val="16"/>
        <w:szCs w:val="16"/>
        <w:lang w:eastAsia="es-CO"/>
      </w:rPr>
      <w:t>2</w:t>
    </w:r>
    <w:r w:rsidRPr="007566FE">
      <w:rPr>
        <w:rFonts w:ascii="Geomanist Light" w:eastAsia="Geo" w:hAnsi="Geomanist Light" w:cs="Geo"/>
        <w:sz w:val="16"/>
        <w:szCs w:val="16"/>
        <w:lang w:eastAsia="es-CO"/>
      </w:rPr>
      <w:t xml:space="preserve"> DEL </w:t>
    </w:r>
    <w:r>
      <w:rPr>
        <w:rFonts w:ascii="Geomanist Light" w:eastAsia="Geo" w:hAnsi="Geomanist Light" w:cs="Geo"/>
        <w:sz w:val="16"/>
        <w:szCs w:val="16"/>
        <w:lang w:eastAsia="es-CO"/>
      </w:rPr>
      <w:t>28</w:t>
    </w:r>
    <w:r w:rsidRPr="007566FE">
      <w:rPr>
        <w:rFonts w:ascii="Geomanist Light" w:eastAsia="Geo" w:hAnsi="Geomanist Light" w:cs="Geo"/>
        <w:sz w:val="16"/>
        <w:szCs w:val="16"/>
        <w:lang w:eastAsia="es-CO"/>
      </w:rPr>
      <w:t xml:space="preserve"> DE </w:t>
    </w:r>
    <w:r>
      <w:rPr>
        <w:rFonts w:ascii="Geomanist Light" w:eastAsia="Geo" w:hAnsi="Geomanist Light" w:cs="Geo"/>
        <w:sz w:val="16"/>
        <w:szCs w:val="16"/>
        <w:lang w:eastAsia="es-CO"/>
      </w:rPr>
      <w:t>SEPTIEMBRE</w:t>
    </w:r>
    <w:r w:rsidRPr="007566FE">
      <w:rPr>
        <w:rFonts w:ascii="Geomanist Light" w:eastAsia="Geo" w:hAnsi="Geomanist Light" w:cs="Geo"/>
        <w:sz w:val="16"/>
        <w:szCs w:val="16"/>
        <w:lang w:eastAsia="es-CO"/>
      </w:rPr>
      <w:t xml:space="preserve"> DE 2022</w:t>
    </w:r>
  </w:p>
  <w:p w14:paraId="1FDEE309" w14:textId="77777777" w:rsidR="000E0524" w:rsidRDefault="006565D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3121692"/>
    <w:multiLevelType w:val="hybridMultilevel"/>
    <w:tmpl w:val="16342C5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F9E775D"/>
    <w:multiLevelType w:val="hybridMultilevel"/>
    <w:tmpl w:val="D2F0EC34"/>
    <w:lvl w:ilvl="0" w:tplc="C9F07DA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FE043BB"/>
    <w:multiLevelType w:val="multilevel"/>
    <w:tmpl w:val="9C9A30F4"/>
    <w:lvl w:ilvl="0">
      <w:start w:val="1"/>
      <w:numFmt w:val="decimal"/>
      <w:lvlText w:val="%1."/>
      <w:lvlJc w:val="left"/>
      <w:pPr>
        <w:ind w:left="585" w:hanging="285"/>
        <w:jc w:val="right"/>
      </w:pPr>
      <w:rPr>
        <w:rFonts w:ascii="Arial" w:eastAsia="Arial" w:hAnsi="Arial" w:cs="Arial" w:hint="default"/>
        <w:b/>
        <w:bCs/>
        <w:color w:val="4E4D4D"/>
        <w:spacing w:val="-21"/>
        <w:w w:val="100"/>
        <w:sz w:val="22"/>
        <w:szCs w:val="22"/>
        <w:lang w:val="es-ES" w:eastAsia="en-US" w:bidi="ar-SA"/>
      </w:rPr>
    </w:lvl>
    <w:lvl w:ilvl="1">
      <w:start w:val="1"/>
      <w:numFmt w:val="decimal"/>
      <w:lvlText w:val="%1.%2."/>
      <w:lvlJc w:val="left"/>
      <w:pPr>
        <w:ind w:left="300" w:hanging="470"/>
      </w:pPr>
      <w:rPr>
        <w:rFonts w:ascii="Arial" w:eastAsia="Arial" w:hAnsi="Arial" w:cs="Arial" w:hint="default"/>
        <w:b/>
        <w:bCs/>
        <w:color w:val="4E4D4D"/>
        <w:spacing w:val="-19"/>
        <w:w w:val="100"/>
        <w:sz w:val="22"/>
        <w:szCs w:val="22"/>
        <w:lang w:val="es-ES" w:eastAsia="en-US" w:bidi="ar-SA"/>
      </w:rPr>
    </w:lvl>
    <w:lvl w:ilvl="2">
      <w:start w:val="1"/>
      <w:numFmt w:val="lowerRoman"/>
      <w:lvlText w:val="%3)"/>
      <w:lvlJc w:val="left"/>
      <w:pPr>
        <w:ind w:left="300" w:hanging="198"/>
      </w:pPr>
      <w:rPr>
        <w:rFonts w:ascii="Arial" w:eastAsia="Arial" w:hAnsi="Arial" w:cs="Arial" w:hint="default"/>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abstractNum w:abstractNumId="4" w15:restartNumberingAfterBreak="0">
    <w:nsid w:val="405413EB"/>
    <w:multiLevelType w:val="hybridMultilevel"/>
    <w:tmpl w:val="58A4F990"/>
    <w:lvl w:ilvl="0" w:tplc="C3CAD0BC">
      <w:start w:val="1"/>
      <w:numFmt w:val="lowerRoman"/>
      <w:lvlText w:val="%1)"/>
      <w:lvlJc w:val="left"/>
      <w:pPr>
        <w:ind w:left="1430" w:hanging="720"/>
      </w:pPr>
    </w:lvl>
    <w:lvl w:ilvl="1" w:tplc="240A0019">
      <w:start w:val="1"/>
      <w:numFmt w:val="lowerLetter"/>
      <w:lvlText w:val="%2."/>
      <w:lvlJc w:val="left"/>
      <w:pPr>
        <w:ind w:left="1790" w:hanging="360"/>
      </w:pPr>
    </w:lvl>
    <w:lvl w:ilvl="2" w:tplc="240A001B">
      <w:start w:val="1"/>
      <w:numFmt w:val="lowerRoman"/>
      <w:lvlText w:val="%3."/>
      <w:lvlJc w:val="right"/>
      <w:pPr>
        <w:ind w:left="2510" w:hanging="180"/>
      </w:pPr>
    </w:lvl>
    <w:lvl w:ilvl="3" w:tplc="240A000F">
      <w:start w:val="1"/>
      <w:numFmt w:val="decimal"/>
      <w:lvlText w:val="%4."/>
      <w:lvlJc w:val="left"/>
      <w:pPr>
        <w:ind w:left="3230" w:hanging="360"/>
      </w:pPr>
    </w:lvl>
    <w:lvl w:ilvl="4" w:tplc="240A0019">
      <w:start w:val="1"/>
      <w:numFmt w:val="lowerLetter"/>
      <w:lvlText w:val="%5."/>
      <w:lvlJc w:val="left"/>
      <w:pPr>
        <w:ind w:left="3950" w:hanging="360"/>
      </w:pPr>
    </w:lvl>
    <w:lvl w:ilvl="5" w:tplc="240A001B">
      <w:start w:val="1"/>
      <w:numFmt w:val="lowerRoman"/>
      <w:lvlText w:val="%6."/>
      <w:lvlJc w:val="right"/>
      <w:pPr>
        <w:ind w:left="4670" w:hanging="180"/>
      </w:pPr>
    </w:lvl>
    <w:lvl w:ilvl="6" w:tplc="240A000F">
      <w:start w:val="1"/>
      <w:numFmt w:val="decimal"/>
      <w:lvlText w:val="%7."/>
      <w:lvlJc w:val="left"/>
      <w:pPr>
        <w:ind w:left="5390" w:hanging="360"/>
      </w:pPr>
    </w:lvl>
    <w:lvl w:ilvl="7" w:tplc="240A0019">
      <w:start w:val="1"/>
      <w:numFmt w:val="lowerLetter"/>
      <w:lvlText w:val="%8."/>
      <w:lvlJc w:val="left"/>
      <w:pPr>
        <w:ind w:left="6110" w:hanging="360"/>
      </w:pPr>
    </w:lvl>
    <w:lvl w:ilvl="8" w:tplc="240A001B">
      <w:start w:val="1"/>
      <w:numFmt w:val="lowerRoman"/>
      <w:lvlText w:val="%9."/>
      <w:lvlJc w:val="right"/>
      <w:pPr>
        <w:ind w:left="6830" w:hanging="180"/>
      </w:pPr>
    </w:lvl>
  </w:abstractNum>
  <w:abstractNum w:abstractNumId="5" w15:restartNumberingAfterBreak="0">
    <w:nsid w:val="456F63B6"/>
    <w:multiLevelType w:val="hybridMultilevel"/>
    <w:tmpl w:val="08C250DA"/>
    <w:lvl w:ilvl="0" w:tplc="0C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85766692">
    <w:abstractNumId w:val="3"/>
  </w:num>
  <w:num w:numId="2" w16cid:durableId="89667335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07350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5541887">
    <w:abstractNumId w:val="1"/>
  </w:num>
  <w:num w:numId="5" w16cid:durableId="866255730">
    <w:abstractNumId w:val="2"/>
  </w:num>
  <w:num w:numId="6" w16cid:durableId="16252358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E23"/>
    <w:rsid w:val="000025DE"/>
    <w:rsid w:val="000360FA"/>
    <w:rsid w:val="00050E54"/>
    <w:rsid w:val="0006071F"/>
    <w:rsid w:val="00062600"/>
    <w:rsid w:val="00064152"/>
    <w:rsid w:val="00077CC1"/>
    <w:rsid w:val="00080181"/>
    <w:rsid w:val="00097A0A"/>
    <w:rsid w:val="000A4E33"/>
    <w:rsid w:val="000B0C0F"/>
    <w:rsid w:val="000B175F"/>
    <w:rsid w:val="000B17A0"/>
    <w:rsid w:val="000C7F7B"/>
    <w:rsid w:val="000D2EF2"/>
    <w:rsid w:val="000D37CE"/>
    <w:rsid w:val="000E0118"/>
    <w:rsid w:val="000F3464"/>
    <w:rsid w:val="000F494E"/>
    <w:rsid w:val="000F4974"/>
    <w:rsid w:val="00105A22"/>
    <w:rsid w:val="00105C88"/>
    <w:rsid w:val="00106E68"/>
    <w:rsid w:val="00112AE8"/>
    <w:rsid w:val="00113845"/>
    <w:rsid w:val="001138C2"/>
    <w:rsid w:val="00115CC8"/>
    <w:rsid w:val="001160D2"/>
    <w:rsid w:val="00125568"/>
    <w:rsid w:val="00135FBD"/>
    <w:rsid w:val="00137E23"/>
    <w:rsid w:val="00140435"/>
    <w:rsid w:val="00141896"/>
    <w:rsid w:val="00141DDA"/>
    <w:rsid w:val="00143096"/>
    <w:rsid w:val="00145F3D"/>
    <w:rsid w:val="00146ED0"/>
    <w:rsid w:val="00160946"/>
    <w:rsid w:val="00161488"/>
    <w:rsid w:val="00162EB4"/>
    <w:rsid w:val="00163D53"/>
    <w:rsid w:val="001738E7"/>
    <w:rsid w:val="00180F7C"/>
    <w:rsid w:val="001843A9"/>
    <w:rsid w:val="00193D3C"/>
    <w:rsid w:val="0019429C"/>
    <w:rsid w:val="001A4666"/>
    <w:rsid w:val="001B357D"/>
    <w:rsid w:val="001B3693"/>
    <w:rsid w:val="001C08B2"/>
    <w:rsid w:val="001D387D"/>
    <w:rsid w:val="001D3CAB"/>
    <w:rsid w:val="001E24B3"/>
    <w:rsid w:val="00207FAC"/>
    <w:rsid w:val="00216963"/>
    <w:rsid w:val="00235979"/>
    <w:rsid w:val="00236251"/>
    <w:rsid w:val="00237DB3"/>
    <w:rsid w:val="00241093"/>
    <w:rsid w:val="00244370"/>
    <w:rsid w:val="00245150"/>
    <w:rsid w:val="002500ED"/>
    <w:rsid w:val="00265F9F"/>
    <w:rsid w:val="00270570"/>
    <w:rsid w:val="002832F9"/>
    <w:rsid w:val="0029752C"/>
    <w:rsid w:val="002A4E3C"/>
    <w:rsid w:val="002B19FB"/>
    <w:rsid w:val="002C501D"/>
    <w:rsid w:val="002C6D68"/>
    <w:rsid w:val="002D4402"/>
    <w:rsid w:val="002D45F2"/>
    <w:rsid w:val="002D72D7"/>
    <w:rsid w:val="002D7551"/>
    <w:rsid w:val="002E143C"/>
    <w:rsid w:val="002E2585"/>
    <w:rsid w:val="002E62C2"/>
    <w:rsid w:val="002E6DEA"/>
    <w:rsid w:val="00302224"/>
    <w:rsid w:val="00303BB9"/>
    <w:rsid w:val="00306D9A"/>
    <w:rsid w:val="003106F4"/>
    <w:rsid w:val="003120AF"/>
    <w:rsid w:val="00313E5A"/>
    <w:rsid w:val="003255AD"/>
    <w:rsid w:val="003303C6"/>
    <w:rsid w:val="003312CF"/>
    <w:rsid w:val="00335CF2"/>
    <w:rsid w:val="00342268"/>
    <w:rsid w:val="00342A1C"/>
    <w:rsid w:val="00344873"/>
    <w:rsid w:val="0034658D"/>
    <w:rsid w:val="00352D65"/>
    <w:rsid w:val="00356B61"/>
    <w:rsid w:val="003602F7"/>
    <w:rsid w:val="00361ADC"/>
    <w:rsid w:val="00361D58"/>
    <w:rsid w:val="00365659"/>
    <w:rsid w:val="0038155E"/>
    <w:rsid w:val="003816CD"/>
    <w:rsid w:val="003816F1"/>
    <w:rsid w:val="0038763D"/>
    <w:rsid w:val="003916E5"/>
    <w:rsid w:val="00394EF5"/>
    <w:rsid w:val="0039522B"/>
    <w:rsid w:val="003A07CE"/>
    <w:rsid w:val="003A1172"/>
    <w:rsid w:val="003A1C61"/>
    <w:rsid w:val="003A7142"/>
    <w:rsid w:val="003B06D9"/>
    <w:rsid w:val="003B177A"/>
    <w:rsid w:val="003C4AA9"/>
    <w:rsid w:val="003C51B4"/>
    <w:rsid w:val="003E5D6D"/>
    <w:rsid w:val="003F4498"/>
    <w:rsid w:val="00400976"/>
    <w:rsid w:val="00402AE8"/>
    <w:rsid w:val="004052CC"/>
    <w:rsid w:val="004056AA"/>
    <w:rsid w:val="004141A3"/>
    <w:rsid w:val="00415314"/>
    <w:rsid w:val="0041594B"/>
    <w:rsid w:val="00423644"/>
    <w:rsid w:val="004344AD"/>
    <w:rsid w:val="00437E18"/>
    <w:rsid w:val="004460CB"/>
    <w:rsid w:val="00464F66"/>
    <w:rsid w:val="00466A8F"/>
    <w:rsid w:val="0048163B"/>
    <w:rsid w:val="00485BD5"/>
    <w:rsid w:val="004875A5"/>
    <w:rsid w:val="00491536"/>
    <w:rsid w:val="004A1CCB"/>
    <w:rsid w:val="004B4CB8"/>
    <w:rsid w:val="004B58FE"/>
    <w:rsid w:val="004C73B9"/>
    <w:rsid w:val="004C7B7A"/>
    <w:rsid w:val="004D2BA8"/>
    <w:rsid w:val="004D7AAD"/>
    <w:rsid w:val="004F0085"/>
    <w:rsid w:val="004F1523"/>
    <w:rsid w:val="004F5DD8"/>
    <w:rsid w:val="00504C7C"/>
    <w:rsid w:val="00513144"/>
    <w:rsid w:val="00513D68"/>
    <w:rsid w:val="00514F32"/>
    <w:rsid w:val="005209DB"/>
    <w:rsid w:val="00526DDE"/>
    <w:rsid w:val="0054230D"/>
    <w:rsid w:val="005553B1"/>
    <w:rsid w:val="0056261A"/>
    <w:rsid w:val="00564B0A"/>
    <w:rsid w:val="005720CE"/>
    <w:rsid w:val="0057648E"/>
    <w:rsid w:val="00585CB4"/>
    <w:rsid w:val="005A044C"/>
    <w:rsid w:val="005A3F16"/>
    <w:rsid w:val="005A5045"/>
    <w:rsid w:val="005B3920"/>
    <w:rsid w:val="005D6A81"/>
    <w:rsid w:val="005F6209"/>
    <w:rsid w:val="006012D0"/>
    <w:rsid w:val="00605D75"/>
    <w:rsid w:val="006119F5"/>
    <w:rsid w:val="00623ADD"/>
    <w:rsid w:val="0063713F"/>
    <w:rsid w:val="006408BD"/>
    <w:rsid w:val="00647D3F"/>
    <w:rsid w:val="006532D1"/>
    <w:rsid w:val="006565DD"/>
    <w:rsid w:val="00661CDD"/>
    <w:rsid w:val="00661EC4"/>
    <w:rsid w:val="00662DF1"/>
    <w:rsid w:val="0066416F"/>
    <w:rsid w:val="0066610D"/>
    <w:rsid w:val="00680F7A"/>
    <w:rsid w:val="006B06A4"/>
    <w:rsid w:val="006D21AA"/>
    <w:rsid w:val="006D3709"/>
    <w:rsid w:val="006D5381"/>
    <w:rsid w:val="006D569D"/>
    <w:rsid w:val="006D7DBB"/>
    <w:rsid w:val="00700298"/>
    <w:rsid w:val="00705FC8"/>
    <w:rsid w:val="00711FF8"/>
    <w:rsid w:val="007139A5"/>
    <w:rsid w:val="007252E2"/>
    <w:rsid w:val="00731CD0"/>
    <w:rsid w:val="00733A0B"/>
    <w:rsid w:val="00741F1E"/>
    <w:rsid w:val="00742C24"/>
    <w:rsid w:val="00753285"/>
    <w:rsid w:val="007536CB"/>
    <w:rsid w:val="00772E6E"/>
    <w:rsid w:val="00774A15"/>
    <w:rsid w:val="007768CE"/>
    <w:rsid w:val="00777F97"/>
    <w:rsid w:val="00784712"/>
    <w:rsid w:val="0079269F"/>
    <w:rsid w:val="0079706D"/>
    <w:rsid w:val="007979A2"/>
    <w:rsid w:val="00797AB1"/>
    <w:rsid w:val="007A01C3"/>
    <w:rsid w:val="007A6207"/>
    <w:rsid w:val="007A6A71"/>
    <w:rsid w:val="007B7C8D"/>
    <w:rsid w:val="007C387B"/>
    <w:rsid w:val="007C492C"/>
    <w:rsid w:val="007C5928"/>
    <w:rsid w:val="007D1469"/>
    <w:rsid w:val="007D1E2B"/>
    <w:rsid w:val="007E0640"/>
    <w:rsid w:val="007E085E"/>
    <w:rsid w:val="007E14A3"/>
    <w:rsid w:val="007E56D6"/>
    <w:rsid w:val="007F742D"/>
    <w:rsid w:val="0080289A"/>
    <w:rsid w:val="00805E08"/>
    <w:rsid w:val="0080741E"/>
    <w:rsid w:val="00814DCC"/>
    <w:rsid w:val="008161F8"/>
    <w:rsid w:val="00826797"/>
    <w:rsid w:val="00830AB8"/>
    <w:rsid w:val="00836DE6"/>
    <w:rsid w:val="00852371"/>
    <w:rsid w:val="00866EF3"/>
    <w:rsid w:val="00874A39"/>
    <w:rsid w:val="00876B50"/>
    <w:rsid w:val="00877B96"/>
    <w:rsid w:val="00892F74"/>
    <w:rsid w:val="008A6B58"/>
    <w:rsid w:val="008B1801"/>
    <w:rsid w:val="008B1F27"/>
    <w:rsid w:val="008B4CA9"/>
    <w:rsid w:val="008B65E2"/>
    <w:rsid w:val="008B69D4"/>
    <w:rsid w:val="008C23F3"/>
    <w:rsid w:val="008C522E"/>
    <w:rsid w:val="008D648B"/>
    <w:rsid w:val="008D7836"/>
    <w:rsid w:val="008E0D51"/>
    <w:rsid w:val="008E3D3C"/>
    <w:rsid w:val="008F050C"/>
    <w:rsid w:val="008F7C0F"/>
    <w:rsid w:val="00900F79"/>
    <w:rsid w:val="009177E8"/>
    <w:rsid w:val="00924C32"/>
    <w:rsid w:val="00924E11"/>
    <w:rsid w:val="00926EB3"/>
    <w:rsid w:val="009271C4"/>
    <w:rsid w:val="00936811"/>
    <w:rsid w:val="00936877"/>
    <w:rsid w:val="00937203"/>
    <w:rsid w:val="009425C6"/>
    <w:rsid w:val="00943716"/>
    <w:rsid w:val="00946F18"/>
    <w:rsid w:val="00947102"/>
    <w:rsid w:val="00953264"/>
    <w:rsid w:val="00954527"/>
    <w:rsid w:val="00963B2A"/>
    <w:rsid w:val="00963F50"/>
    <w:rsid w:val="0096558F"/>
    <w:rsid w:val="009800E4"/>
    <w:rsid w:val="00981B63"/>
    <w:rsid w:val="009820AE"/>
    <w:rsid w:val="009831D2"/>
    <w:rsid w:val="00992F7F"/>
    <w:rsid w:val="0099583D"/>
    <w:rsid w:val="009978CE"/>
    <w:rsid w:val="009A2C90"/>
    <w:rsid w:val="009A6040"/>
    <w:rsid w:val="009B312E"/>
    <w:rsid w:val="009C2221"/>
    <w:rsid w:val="009D0A1F"/>
    <w:rsid w:val="009D1F65"/>
    <w:rsid w:val="009F248A"/>
    <w:rsid w:val="009F5E6F"/>
    <w:rsid w:val="00A03DF9"/>
    <w:rsid w:val="00A05370"/>
    <w:rsid w:val="00A11454"/>
    <w:rsid w:val="00A11904"/>
    <w:rsid w:val="00A121DA"/>
    <w:rsid w:val="00A2423C"/>
    <w:rsid w:val="00A30642"/>
    <w:rsid w:val="00A312D2"/>
    <w:rsid w:val="00A330E4"/>
    <w:rsid w:val="00A36EC5"/>
    <w:rsid w:val="00A43A0D"/>
    <w:rsid w:val="00A46EE2"/>
    <w:rsid w:val="00A5043E"/>
    <w:rsid w:val="00A6244C"/>
    <w:rsid w:val="00A634B8"/>
    <w:rsid w:val="00A66C35"/>
    <w:rsid w:val="00A74067"/>
    <w:rsid w:val="00A76848"/>
    <w:rsid w:val="00A81D15"/>
    <w:rsid w:val="00A85245"/>
    <w:rsid w:val="00A90992"/>
    <w:rsid w:val="00AA29DB"/>
    <w:rsid w:val="00AA5A4A"/>
    <w:rsid w:val="00AA7580"/>
    <w:rsid w:val="00AC10E9"/>
    <w:rsid w:val="00AC141D"/>
    <w:rsid w:val="00AC2E54"/>
    <w:rsid w:val="00AC4DC9"/>
    <w:rsid w:val="00AC5063"/>
    <w:rsid w:val="00AC62B5"/>
    <w:rsid w:val="00AC7CFB"/>
    <w:rsid w:val="00AD73DC"/>
    <w:rsid w:val="00AE5FD6"/>
    <w:rsid w:val="00AF0DE8"/>
    <w:rsid w:val="00B054A5"/>
    <w:rsid w:val="00B11F8F"/>
    <w:rsid w:val="00B12226"/>
    <w:rsid w:val="00B133BB"/>
    <w:rsid w:val="00B234A8"/>
    <w:rsid w:val="00B239B9"/>
    <w:rsid w:val="00B264E1"/>
    <w:rsid w:val="00B411E7"/>
    <w:rsid w:val="00B42724"/>
    <w:rsid w:val="00B44473"/>
    <w:rsid w:val="00B46B01"/>
    <w:rsid w:val="00B51C4D"/>
    <w:rsid w:val="00B75FA7"/>
    <w:rsid w:val="00B81C48"/>
    <w:rsid w:val="00B83B50"/>
    <w:rsid w:val="00B87D51"/>
    <w:rsid w:val="00B91DD0"/>
    <w:rsid w:val="00B93232"/>
    <w:rsid w:val="00BA3777"/>
    <w:rsid w:val="00BA44B8"/>
    <w:rsid w:val="00BB5EB1"/>
    <w:rsid w:val="00BD14E8"/>
    <w:rsid w:val="00BE0A45"/>
    <w:rsid w:val="00BE697C"/>
    <w:rsid w:val="00BF78CF"/>
    <w:rsid w:val="00C04236"/>
    <w:rsid w:val="00C04C53"/>
    <w:rsid w:val="00C06717"/>
    <w:rsid w:val="00C06B8F"/>
    <w:rsid w:val="00C1261C"/>
    <w:rsid w:val="00C220AF"/>
    <w:rsid w:val="00C22E20"/>
    <w:rsid w:val="00C2327C"/>
    <w:rsid w:val="00C469DF"/>
    <w:rsid w:val="00C53864"/>
    <w:rsid w:val="00C5468F"/>
    <w:rsid w:val="00C56D96"/>
    <w:rsid w:val="00C65107"/>
    <w:rsid w:val="00C77B67"/>
    <w:rsid w:val="00C8019E"/>
    <w:rsid w:val="00C82B23"/>
    <w:rsid w:val="00CA30F2"/>
    <w:rsid w:val="00CA3BF3"/>
    <w:rsid w:val="00CB37C5"/>
    <w:rsid w:val="00CB5BC0"/>
    <w:rsid w:val="00CC4B5F"/>
    <w:rsid w:val="00CC679B"/>
    <w:rsid w:val="00CD7957"/>
    <w:rsid w:val="00CE184B"/>
    <w:rsid w:val="00CF4FBA"/>
    <w:rsid w:val="00CF5444"/>
    <w:rsid w:val="00CF77FF"/>
    <w:rsid w:val="00D0322E"/>
    <w:rsid w:val="00D0375F"/>
    <w:rsid w:val="00D06B09"/>
    <w:rsid w:val="00D11432"/>
    <w:rsid w:val="00D15DC2"/>
    <w:rsid w:val="00D330CF"/>
    <w:rsid w:val="00D351D8"/>
    <w:rsid w:val="00D41307"/>
    <w:rsid w:val="00D427A7"/>
    <w:rsid w:val="00D4382A"/>
    <w:rsid w:val="00D50385"/>
    <w:rsid w:val="00D52443"/>
    <w:rsid w:val="00D54AA8"/>
    <w:rsid w:val="00D57D87"/>
    <w:rsid w:val="00D61014"/>
    <w:rsid w:val="00D623A3"/>
    <w:rsid w:val="00D62CA4"/>
    <w:rsid w:val="00D6487A"/>
    <w:rsid w:val="00D702B8"/>
    <w:rsid w:val="00D74F81"/>
    <w:rsid w:val="00D812EF"/>
    <w:rsid w:val="00D81D6B"/>
    <w:rsid w:val="00D96968"/>
    <w:rsid w:val="00DA5C08"/>
    <w:rsid w:val="00DA60CF"/>
    <w:rsid w:val="00DB6F0D"/>
    <w:rsid w:val="00DC58FD"/>
    <w:rsid w:val="00DE2939"/>
    <w:rsid w:val="00DE40F7"/>
    <w:rsid w:val="00DF1B3A"/>
    <w:rsid w:val="00DF2E4D"/>
    <w:rsid w:val="00DF392A"/>
    <w:rsid w:val="00E063D9"/>
    <w:rsid w:val="00E064A1"/>
    <w:rsid w:val="00E079B8"/>
    <w:rsid w:val="00E27E6F"/>
    <w:rsid w:val="00E3734C"/>
    <w:rsid w:val="00E42361"/>
    <w:rsid w:val="00E4514D"/>
    <w:rsid w:val="00E550EF"/>
    <w:rsid w:val="00E551E6"/>
    <w:rsid w:val="00E562D9"/>
    <w:rsid w:val="00E568B8"/>
    <w:rsid w:val="00E60BAB"/>
    <w:rsid w:val="00E62C8E"/>
    <w:rsid w:val="00E6736E"/>
    <w:rsid w:val="00E74F5B"/>
    <w:rsid w:val="00E77CCC"/>
    <w:rsid w:val="00E94EB3"/>
    <w:rsid w:val="00EA19FB"/>
    <w:rsid w:val="00EA2421"/>
    <w:rsid w:val="00EA3810"/>
    <w:rsid w:val="00EA5464"/>
    <w:rsid w:val="00EB3E49"/>
    <w:rsid w:val="00EB4D78"/>
    <w:rsid w:val="00EB68A8"/>
    <w:rsid w:val="00EC388B"/>
    <w:rsid w:val="00EC5890"/>
    <w:rsid w:val="00ED36A1"/>
    <w:rsid w:val="00EE6D8B"/>
    <w:rsid w:val="00F1545F"/>
    <w:rsid w:val="00F26993"/>
    <w:rsid w:val="00F27A05"/>
    <w:rsid w:val="00F509EB"/>
    <w:rsid w:val="00F628C3"/>
    <w:rsid w:val="00F74C08"/>
    <w:rsid w:val="00F81F25"/>
    <w:rsid w:val="00FB6BCC"/>
    <w:rsid w:val="00FB6F3C"/>
    <w:rsid w:val="00FC40FF"/>
    <w:rsid w:val="00FD0B3A"/>
    <w:rsid w:val="00FD1A31"/>
    <w:rsid w:val="00FF5B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C4066B"/>
  <w15:chartTrackingRefBased/>
  <w15:docId w15:val="{BA426F5E-B4E5-41DF-B004-355F64DE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DDE"/>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9"/>
    <w:qFormat/>
    <w:rsid w:val="00270570"/>
    <w:pPr>
      <w:widowControl w:val="0"/>
      <w:autoSpaceDE w:val="0"/>
      <w:autoSpaceDN w:val="0"/>
      <w:ind w:left="300"/>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7E23"/>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137E23"/>
  </w:style>
  <w:style w:type="paragraph" w:styleId="NormalWeb">
    <w:name w:val="Normal (Web)"/>
    <w:basedOn w:val="Normal"/>
    <w:link w:val="NormalWebCar"/>
    <w:uiPriority w:val="99"/>
    <w:unhideWhenUsed/>
    <w:rsid w:val="00137E23"/>
    <w:pPr>
      <w:spacing w:after="160" w:line="259" w:lineRule="auto"/>
    </w:pPr>
    <w:rPr>
      <w:rFonts w:eastAsiaTheme="minorHAnsi"/>
      <w:lang w:eastAsia="en-US"/>
    </w:rPr>
  </w:style>
  <w:style w:type="paragraph" w:styleId="Piedepgina">
    <w:name w:val="footer"/>
    <w:basedOn w:val="Normal"/>
    <w:link w:val="PiedepginaCar"/>
    <w:uiPriority w:val="99"/>
    <w:unhideWhenUsed/>
    <w:rsid w:val="00137E23"/>
    <w:pPr>
      <w:tabs>
        <w:tab w:val="center" w:pos="4419"/>
        <w:tab w:val="right" w:pos="8838"/>
      </w:tabs>
    </w:pPr>
    <w:rPr>
      <w:rFonts w:asciiTheme="minorHAnsi" w:eastAsiaTheme="minorHAnsi" w:hAnsiTheme="minorHAnsi" w:cstheme="minorBidi"/>
      <w:szCs w:val="22"/>
      <w:lang w:val="es-ES" w:eastAsia="en-US"/>
    </w:rPr>
  </w:style>
  <w:style w:type="character" w:customStyle="1" w:styleId="PiedepginaCar">
    <w:name w:val="Pie de página Car"/>
    <w:basedOn w:val="Fuentedeprrafopredeter"/>
    <w:link w:val="Piedepgina"/>
    <w:uiPriority w:val="99"/>
    <w:rsid w:val="00137E23"/>
    <w:rPr>
      <w:sz w:val="24"/>
      <w:lang w:val="es-ES"/>
    </w:rPr>
  </w:style>
  <w:style w:type="table" w:styleId="Tablaconcuadrcula">
    <w:name w:val="Table Grid"/>
    <w:basedOn w:val="Tablanormal"/>
    <w:uiPriority w:val="39"/>
    <w:rsid w:val="00137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No Indent"/>
    <w:uiPriority w:val="3"/>
    <w:qFormat/>
    <w:rsid w:val="00137E23"/>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137E2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137E23"/>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137E23"/>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Re"/>
    <w:basedOn w:val="Fuentedeprrafopredeter"/>
    <w:link w:val="Appelnotedebasde"/>
    <w:uiPriority w:val="99"/>
    <w:unhideWhenUsed/>
    <w:qFormat/>
    <w:rsid w:val="00137E23"/>
    <w:rPr>
      <w:vertAlign w:val="superscript"/>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137E23"/>
    <w:pPr>
      <w:ind w:left="720"/>
      <w:contextualSpacing/>
    </w:pPr>
    <w:rPr>
      <w:rFonts w:asciiTheme="minorHAnsi" w:eastAsiaTheme="minorHAnsi" w:hAnsiTheme="minorHAnsi" w:cstheme="minorBidi"/>
      <w:szCs w:val="22"/>
      <w:lang w:val="es-ES" w:eastAsia="en-U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37E23"/>
    <w:rPr>
      <w:sz w:val="24"/>
      <w:lang w:val="es-ES"/>
    </w:rPr>
  </w:style>
  <w:style w:type="character" w:customStyle="1" w:styleId="Ttulo1Car">
    <w:name w:val="Título 1 Car"/>
    <w:basedOn w:val="Fuentedeprrafopredeter"/>
    <w:link w:val="Ttulo1"/>
    <w:uiPriority w:val="9"/>
    <w:rsid w:val="00270570"/>
    <w:rPr>
      <w:rFonts w:ascii="Arial" w:eastAsia="Arial" w:hAnsi="Arial" w:cs="Arial"/>
      <w:b/>
      <w:bCs/>
      <w:lang w:val="es-ES"/>
    </w:rPr>
  </w:style>
  <w:style w:type="paragraph" w:styleId="Textoindependiente">
    <w:name w:val="Body Text"/>
    <w:basedOn w:val="Normal"/>
    <w:link w:val="TextoindependienteCar"/>
    <w:uiPriority w:val="1"/>
    <w:qFormat/>
    <w:rsid w:val="00A76848"/>
    <w:pPr>
      <w:widowControl w:val="0"/>
      <w:autoSpaceDE w:val="0"/>
      <w:autoSpaceDN w:val="0"/>
    </w:pPr>
    <w:rPr>
      <w:rFonts w:ascii="Arial" w:eastAsia="Arial" w:hAnsi="Arial" w:cs="Arial"/>
      <w:sz w:val="22"/>
      <w:szCs w:val="22"/>
      <w:lang w:val="es-ES" w:eastAsia="en-US"/>
    </w:rPr>
  </w:style>
  <w:style w:type="character" w:customStyle="1" w:styleId="TextoindependienteCar">
    <w:name w:val="Texto independiente Car"/>
    <w:basedOn w:val="Fuentedeprrafopredeter"/>
    <w:link w:val="Textoindependiente"/>
    <w:uiPriority w:val="1"/>
    <w:rsid w:val="00A76848"/>
    <w:rPr>
      <w:rFonts w:ascii="Arial" w:eastAsia="Arial" w:hAnsi="Arial" w:cs="Arial"/>
      <w:lang w:val="es-ES"/>
    </w:rPr>
  </w:style>
  <w:style w:type="character" w:styleId="Refdecomentario">
    <w:name w:val="annotation reference"/>
    <w:basedOn w:val="Fuentedeprrafopredeter"/>
    <w:uiPriority w:val="99"/>
    <w:semiHidden/>
    <w:unhideWhenUsed/>
    <w:rsid w:val="00EA2421"/>
    <w:rPr>
      <w:sz w:val="16"/>
      <w:szCs w:val="16"/>
    </w:rPr>
  </w:style>
  <w:style w:type="paragraph" w:styleId="Textocomentario">
    <w:name w:val="annotation text"/>
    <w:basedOn w:val="Normal"/>
    <w:link w:val="TextocomentarioCar"/>
    <w:uiPriority w:val="99"/>
    <w:unhideWhenUsed/>
    <w:rsid w:val="00EA2421"/>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EA2421"/>
    <w:rPr>
      <w:sz w:val="20"/>
      <w:szCs w:val="20"/>
    </w:rPr>
  </w:style>
  <w:style w:type="paragraph" w:styleId="Asuntodelcomentario">
    <w:name w:val="annotation subject"/>
    <w:basedOn w:val="Textocomentario"/>
    <w:next w:val="Textocomentario"/>
    <w:link w:val="AsuntodelcomentarioCar"/>
    <w:uiPriority w:val="99"/>
    <w:semiHidden/>
    <w:unhideWhenUsed/>
    <w:rsid w:val="00EA2421"/>
    <w:rPr>
      <w:b/>
      <w:bCs/>
    </w:rPr>
  </w:style>
  <w:style w:type="character" w:customStyle="1" w:styleId="AsuntodelcomentarioCar">
    <w:name w:val="Asunto del comentario Car"/>
    <w:basedOn w:val="TextocomentarioCar"/>
    <w:link w:val="Asuntodelcomentario"/>
    <w:uiPriority w:val="99"/>
    <w:semiHidden/>
    <w:rsid w:val="00EA2421"/>
    <w:rPr>
      <w:b/>
      <w:bCs/>
      <w:sz w:val="20"/>
      <w:szCs w:val="20"/>
    </w:rPr>
  </w:style>
  <w:style w:type="table" w:customStyle="1" w:styleId="Tablaconcuadrcula1">
    <w:name w:val="Tabla con cuadrícula1"/>
    <w:basedOn w:val="Tablanormal"/>
    <w:next w:val="Tablaconcuadrcula"/>
    <w:uiPriority w:val="59"/>
    <w:rsid w:val="00135FBD"/>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30642"/>
    <w:rPr>
      <w:color w:val="0563C1" w:themeColor="hyperlink"/>
      <w:u w:val="single"/>
    </w:rPr>
  </w:style>
  <w:style w:type="character" w:customStyle="1" w:styleId="Mencinsinresolver1">
    <w:name w:val="Mención sin resolver1"/>
    <w:basedOn w:val="Fuentedeprrafopredeter"/>
    <w:uiPriority w:val="99"/>
    <w:semiHidden/>
    <w:unhideWhenUsed/>
    <w:rsid w:val="00A30642"/>
    <w:rPr>
      <w:color w:val="605E5C"/>
      <w:shd w:val="clear" w:color="auto" w:fill="E1DFDD"/>
    </w:rPr>
  </w:style>
  <w:style w:type="character" w:customStyle="1" w:styleId="normaltextrun">
    <w:name w:val="normaltextrun"/>
    <w:basedOn w:val="Fuentedeprrafopredeter"/>
    <w:rsid w:val="00876B50"/>
  </w:style>
  <w:style w:type="paragraph" w:customStyle="1" w:styleId="Appelnotedebasde">
    <w:name w:val="Appel note de bas de..."/>
    <w:basedOn w:val="Normal"/>
    <w:link w:val="Refdenotaalpie"/>
    <w:uiPriority w:val="99"/>
    <w:rsid w:val="00876B50"/>
    <w:pPr>
      <w:spacing w:after="160" w:line="240" w:lineRule="exact"/>
    </w:pPr>
    <w:rPr>
      <w:rFonts w:asciiTheme="minorHAnsi" w:eastAsiaTheme="minorHAnsi" w:hAnsiTheme="minorHAnsi" w:cstheme="minorBidi"/>
      <w:sz w:val="22"/>
      <w:szCs w:val="22"/>
      <w:vertAlign w:val="superscript"/>
      <w:lang w:eastAsia="en-US"/>
    </w:rPr>
  </w:style>
  <w:style w:type="paragraph" w:styleId="Revisin">
    <w:name w:val="Revision"/>
    <w:hidden/>
    <w:uiPriority w:val="99"/>
    <w:semiHidden/>
    <w:rsid w:val="0080741E"/>
    <w:pPr>
      <w:spacing w:after="0" w:line="240" w:lineRule="auto"/>
    </w:pPr>
  </w:style>
  <w:style w:type="character" w:customStyle="1" w:styleId="NormalWebCar">
    <w:name w:val="Normal (Web) Car"/>
    <w:link w:val="NormalWeb"/>
    <w:uiPriority w:val="99"/>
    <w:locked/>
    <w:rsid w:val="00A05370"/>
    <w:rPr>
      <w:rFonts w:ascii="Times New Roman" w:hAnsi="Times New Roman" w:cs="Times New Roman"/>
      <w:sz w:val="24"/>
      <w:szCs w:val="24"/>
    </w:rPr>
  </w:style>
  <w:style w:type="character" w:styleId="Textoennegrita">
    <w:name w:val="Strong"/>
    <w:basedOn w:val="Fuentedeprrafopredeter"/>
    <w:uiPriority w:val="22"/>
    <w:qFormat/>
    <w:rsid w:val="00E550EF"/>
    <w:rPr>
      <w:b/>
      <w:bCs/>
    </w:rPr>
  </w:style>
  <w:style w:type="character" w:styleId="nfasis">
    <w:name w:val="Emphasis"/>
    <w:basedOn w:val="Fuentedeprrafopredeter"/>
    <w:uiPriority w:val="20"/>
    <w:qFormat/>
    <w:rsid w:val="00E550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82844">
      <w:bodyDiv w:val="1"/>
      <w:marLeft w:val="0"/>
      <w:marRight w:val="0"/>
      <w:marTop w:val="0"/>
      <w:marBottom w:val="0"/>
      <w:divBdr>
        <w:top w:val="none" w:sz="0" w:space="0" w:color="auto"/>
        <w:left w:val="none" w:sz="0" w:space="0" w:color="auto"/>
        <w:bottom w:val="none" w:sz="0" w:space="0" w:color="auto"/>
        <w:right w:val="none" w:sz="0" w:space="0" w:color="auto"/>
      </w:divBdr>
    </w:div>
    <w:div w:id="120541756">
      <w:bodyDiv w:val="1"/>
      <w:marLeft w:val="0"/>
      <w:marRight w:val="0"/>
      <w:marTop w:val="0"/>
      <w:marBottom w:val="0"/>
      <w:divBdr>
        <w:top w:val="none" w:sz="0" w:space="0" w:color="auto"/>
        <w:left w:val="none" w:sz="0" w:space="0" w:color="auto"/>
        <w:bottom w:val="none" w:sz="0" w:space="0" w:color="auto"/>
        <w:right w:val="none" w:sz="0" w:space="0" w:color="auto"/>
      </w:divBdr>
    </w:div>
    <w:div w:id="180436205">
      <w:bodyDiv w:val="1"/>
      <w:marLeft w:val="0"/>
      <w:marRight w:val="0"/>
      <w:marTop w:val="0"/>
      <w:marBottom w:val="0"/>
      <w:divBdr>
        <w:top w:val="none" w:sz="0" w:space="0" w:color="auto"/>
        <w:left w:val="none" w:sz="0" w:space="0" w:color="auto"/>
        <w:bottom w:val="none" w:sz="0" w:space="0" w:color="auto"/>
        <w:right w:val="none" w:sz="0" w:space="0" w:color="auto"/>
      </w:divBdr>
    </w:div>
    <w:div w:id="325523240">
      <w:bodyDiv w:val="1"/>
      <w:marLeft w:val="0"/>
      <w:marRight w:val="0"/>
      <w:marTop w:val="0"/>
      <w:marBottom w:val="0"/>
      <w:divBdr>
        <w:top w:val="none" w:sz="0" w:space="0" w:color="auto"/>
        <w:left w:val="none" w:sz="0" w:space="0" w:color="auto"/>
        <w:bottom w:val="none" w:sz="0" w:space="0" w:color="auto"/>
        <w:right w:val="none" w:sz="0" w:space="0" w:color="auto"/>
      </w:divBdr>
    </w:div>
    <w:div w:id="375545350">
      <w:bodyDiv w:val="1"/>
      <w:marLeft w:val="0"/>
      <w:marRight w:val="0"/>
      <w:marTop w:val="0"/>
      <w:marBottom w:val="0"/>
      <w:divBdr>
        <w:top w:val="none" w:sz="0" w:space="0" w:color="auto"/>
        <w:left w:val="none" w:sz="0" w:space="0" w:color="auto"/>
        <w:bottom w:val="none" w:sz="0" w:space="0" w:color="auto"/>
        <w:right w:val="none" w:sz="0" w:space="0" w:color="auto"/>
      </w:divBdr>
    </w:div>
    <w:div w:id="592318095">
      <w:bodyDiv w:val="1"/>
      <w:marLeft w:val="0"/>
      <w:marRight w:val="0"/>
      <w:marTop w:val="0"/>
      <w:marBottom w:val="0"/>
      <w:divBdr>
        <w:top w:val="none" w:sz="0" w:space="0" w:color="auto"/>
        <w:left w:val="none" w:sz="0" w:space="0" w:color="auto"/>
        <w:bottom w:val="none" w:sz="0" w:space="0" w:color="auto"/>
        <w:right w:val="none" w:sz="0" w:space="0" w:color="auto"/>
      </w:divBdr>
    </w:div>
    <w:div w:id="720248326">
      <w:bodyDiv w:val="1"/>
      <w:marLeft w:val="0"/>
      <w:marRight w:val="0"/>
      <w:marTop w:val="0"/>
      <w:marBottom w:val="0"/>
      <w:divBdr>
        <w:top w:val="none" w:sz="0" w:space="0" w:color="auto"/>
        <w:left w:val="none" w:sz="0" w:space="0" w:color="auto"/>
        <w:bottom w:val="none" w:sz="0" w:space="0" w:color="auto"/>
        <w:right w:val="none" w:sz="0" w:space="0" w:color="auto"/>
      </w:divBdr>
    </w:div>
    <w:div w:id="734738813">
      <w:bodyDiv w:val="1"/>
      <w:marLeft w:val="0"/>
      <w:marRight w:val="0"/>
      <w:marTop w:val="0"/>
      <w:marBottom w:val="0"/>
      <w:divBdr>
        <w:top w:val="none" w:sz="0" w:space="0" w:color="auto"/>
        <w:left w:val="none" w:sz="0" w:space="0" w:color="auto"/>
        <w:bottom w:val="none" w:sz="0" w:space="0" w:color="auto"/>
        <w:right w:val="none" w:sz="0" w:space="0" w:color="auto"/>
      </w:divBdr>
    </w:div>
    <w:div w:id="778841950">
      <w:bodyDiv w:val="1"/>
      <w:marLeft w:val="0"/>
      <w:marRight w:val="0"/>
      <w:marTop w:val="0"/>
      <w:marBottom w:val="0"/>
      <w:divBdr>
        <w:top w:val="none" w:sz="0" w:space="0" w:color="auto"/>
        <w:left w:val="none" w:sz="0" w:space="0" w:color="auto"/>
        <w:bottom w:val="none" w:sz="0" w:space="0" w:color="auto"/>
        <w:right w:val="none" w:sz="0" w:space="0" w:color="auto"/>
      </w:divBdr>
    </w:div>
    <w:div w:id="794326188">
      <w:bodyDiv w:val="1"/>
      <w:marLeft w:val="0"/>
      <w:marRight w:val="0"/>
      <w:marTop w:val="0"/>
      <w:marBottom w:val="0"/>
      <w:divBdr>
        <w:top w:val="none" w:sz="0" w:space="0" w:color="auto"/>
        <w:left w:val="none" w:sz="0" w:space="0" w:color="auto"/>
        <w:bottom w:val="none" w:sz="0" w:space="0" w:color="auto"/>
        <w:right w:val="none" w:sz="0" w:space="0" w:color="auto"/>
      </w:divBdr>
    </w:div>
    <w:div w:id="814680700">
      <w:bodyDiv w:val="1"/>
      <w:marLeft w:val="0"/>
      <w:marRight w:val="0"/>
      <w:marTop w:val="0"/>
      <w:marBottom w:val="0"/>
      <w:divBdr>
        <w:top w:val="none" w:sz="0" w:space="0" w:color="auto"/>
        <w:left w:val="none" w:sz="0" w:space="0" w:color="auto"/>
        <w:bottom w:val="none" w:sz="0" w:space="0" w:color="auto"/>
        <w:right w:val="none" w:sz="0" w:space="0" w:color="auto"/>
      </w:divBdr>
    </w:div>
    <w:div w:id="1022171920">
      <w:bodyDiv w:val="1"/>
      <w:marLeft w:val="0"/>
      <w:marRight w:val="0"/>
      <w:marTop w:val="0"/>
      <w:marBottom w:val="0"/>
      <w:divBdr>
        <w:top w:val="none" w:sz="0" w:space="0" w:color="auto"/>
        <w:left w:val="none" w:sz="0" w:space="0" w:color="auto"/>
        <w:bottom w:val="none" w:sz="0" w:space="0" w:color="auto"/>
        <w:right w:val="none" w:sz="0" w:space="0" w:color="auto"/>
      </w:divBdr>
    </w:div>
    <w:div w:id="1077245044">
      <w:bodyDiv w:val="1"/>
      <w:marLeft w:val="0"/>
      <w:marRight w:val="0"/>
      <w:marTop w:val="0"/>
      <w:marBottom w:val="0"/>
      <w:divBdr>
        <w:top w:val="none" w:sz="0" w:space="0" w:color="auto"/>
        <w:left w:val="none" w:sz="0" w:space="0" w:color="auto"/>
        <w:bottom w:val="none" w:sz="0" w:space="0" w:color="auto"/>
        <w:right w:val="none" w:sz="0" w:space="0" w:color="auto"/>
      </w:divBdr>
    </w:div>
    <w:div w:id="1112701580">
      <w:bodyDiv w:val="1"/>
      <w:marLeft w:val="0"/>
      <w:marRight w:val="0"/>
      <w:marTop w:val="0"/>
      <w:marBottom w:val="0"/>
      <w:divBdr>
        <w:top w:val="none" w:sz="0" w:space="0" w:color="auto"/>
        <w:left w:val="none" w:sz="0" w:space="0" w:color="auto"/>
        <w:bottom w:val="none" w:sz="0" w:space="0" w:color="auto"/>
        <w:right w:val="none" w:sz="0" w:space="0" w:color="auto"/>
      </w:divBdr>
    </w:div>
    <w:div w:id="1190416893">
      <w:bodyDiv w:val="1"/>
      <w:marLeft w:val="0"/>
      <w:marRight w:val="0"/>
      <w:marTop w:val="0"/>
      <w:marBottom w:val="0"/>
      <w:divBdr>
        <w:top w:val="none" w:sz="0" w:space="0" w:color="auto"/>
        <w:left w:val="none" w:sz="0" w:space="0" w:color="auto"/>
        <w:bottom w:val="none" w:sz="0" w:space="0" w:color="auto"/>
        <w:right w:val="none" w:sz="0" w:space="0" w:color="auto"/>
      </w:divBdr>
    </w:div>
    <w:div w:id="1260874540">
      <w:bodyDiv w:val="1"/>
      <w:marLeft w:val="0"/>
      <w:marRight w:val="0"/>
      <w:marTop w:val="0"/>
      <w:marBottom w:val="0"/>
      <w:divBdr>
        <w:top w:val="none" w:sz="0" w:space="0" w:color="auto"/>
        <w:left w:val="none" w:sz="0" w:space="0" w:color="auto"/>
        <w:bottom w:val="none" w:sz="0" w:space="0" w:color="auto"/>
        <w:right w:val="none" w:sz="0" w:space="0" w:color="auto"/>
      </w:divBdr>
    </w:div>
    <w:div w:id="1423453828">
      <w:bodyDiv w:val="1"/>
      <w:marLeft w:val="0"/>
      <w:marRight w:val="0"/>
      <w:marTop w:val="0"/>
      <w:marBottom w:val="0"/>
      <w:divBdr>
        <w:top w:val="none" w:sz="0" w:space="0" w:color="auto"/>
        <w:left w:val="none" w:sz="0" w:space="0" w:color="auto"/>
        <w:bottom w:val="none" w:sz="0" w:space="0" w:color="auto"/>
        <w:right w:val="none" w:sz="0" w:space="0" w:color="auto"/>
      </w:divBdr>
    </w:div>
    <w:div w:id="1512455602">
      <w:bodyDiv w:val="1"/>
      <w:marLeft w:val="0"/>
      <w:marRight w:val="0"/>
      <w:marTop w:val="0"/>
      <w:marBottom w:val="0"/>
      <w:divBdr>
        <w:top w:val="none" w:sz="0" w:space="0" w:color="auto"/>
        <w:left w:val="none" w:sz="0" w:space="0" w:color="auto"/>
        <w:bottom w:val="none" w:sz="0" w:space="0" w:color="auto"/>
        <w:right w:val="none" w:sz="0" w:space="0" w:color="auto"/>
      </w:divBdr>
    </w:div>
    <w:div w:id="1554729770">
      <w:bodyDiv w:val="1"/>
      <w:marLeft w:val="0"/>
      <w:marRight w:val="0"/>
      <w:marTop w:val="0"/>
      <w:marBottom w:val="0"/>
      <w:divBdr>
        <w:top w:val="none" w:sz="0" w:space="0" w:color="auto"/>
        <w:left w:val="none" w:sz="0" w:space="0" w:color="auto"/>
        <w:bottom w:val="none" w:sz="0" w:space="0" w:color="auto"/>
        <w:right w:val="none" w:sz="0" w:space="0" w:color="auto"/>
      </w:divBdr>
    </w:div>
    <w:div w:id="1593392646">
      <w:bodyDiv w:val="1"/>
      <w:marLeft w:val="0"/>
      <w:marRight w:val="0"/>
      <w:marTop w:val="0"/>
      <w:marBottom w:val="0"/>
      <w:divBdr>
        <w:top w:val="none" w:sz="0" w:space="0" w:color="auto"/>
        <w:left w:val="none" w:sz="0" w:space="0" w:color="auto"/>
        <w:bottom w:val="none" w:sz="0" w:space="0" w:color="auto"/>
        <w:right w:val="none" w:sz="0" w:space="0" w:color="auto"/>
      </w:divBdr>
    </w:div>
    <w:div w:id="1594783415">
      <w:bodyDiv w:val="1"/>
      <w:marLeft w:val="0"/>
      <w:marRight w:val="0"/>
      <w:marTop w:val="0"/>
      <w:marBottom w:val="0"/>
      <w:divBdr>
        <w:top w:val="none" w:sz="0" w:space="0" w:color="auto"/>
        <w:left w:val="none" w:sz="0" w:space="0" w:color="auto"/>
        <w:bottom w:val="none" w:sz="0" w:space="0" w:color="auto"/>
        <w:right w:val="none" w:sz="0" w:space="0" w:color="auto"/>
      </w:divBdr>
    </w:div>
    <w:div w:id="1598979876">
      <w:bodyDiv w:val="1"/>
      <w:marLeft w:val="0"/>
      <w:marRight w:val="0"/>
      <w:marTop w:val="0"/>
      <w:marBottom w:val="0"/>
      <w:divBdr>
        <w:top w:val="none" w:sz="0" w:space="0" w:color="auto"/>
        <w:left w:val="none" w:sz="0" w:space="0" w:color="auto"/>
        <w:bottom w:val="none" w:sz="0" w:space="0" w:color="auto"/>
        <w:right w:val="none" w:sz="0" w:space="0" w:color="auto"/>
      </w:divBdr>
    </w:div>
    <w:div w:id="1603798846">
      <w:bodyDiv w:val="1"/>
      <w:marLeft w:val="0"/>
      <w:marRight w:val="0"/>
      <w:marTop w:val="0"/>
      <w:marBottom w:val="0"/>
      <w:divBdr>
        <w:top w:val="none" w:sz="0" w:space="0" w:color="auto"/>
        <w:left w:val="none" w:sz="0" w:space="0" w:color="auto"/>
        <w:bottom w:val="none" w:sz="0" w:space="0" w:color="auto"/>
        <w:right w:val="none" w:sz="0" w:space="0" w:color="auto"/>
      </w:divBdr>
    </w:div>
    <w:div w:id="1633093812">
      <w:bodyDiv w:val="1"/>
      <w:marLeft w:val="0"/>
      <w:marRight w:val="0"/>
      <w:marTop w:val="0"/>
      <w:marBottom w:val="0"/>
      <w:divBdr>
        <w:top w:val="none" w:sz="0" w:space="0" w:color="auto"/>
        <w:left w:val="none" w:sz="0" w:space="0" w:color="auto"/>
        <w:bottom w:val="none" w:sz="0" w:space="0" w:color="auto"/>
        <w:right w:val="none" w:sz="0" w:space="0" w:color="auto"/>
      </w:divBdr>
    </w:div>
    <w:div w:id="1657490553">
      <w:bodyDiv w:val="1"/>
      <w:marLeft w:val="0"/>
      <w:marRight w:val="0"/>
      <w:marTop w:val="0"/>
      <w:marBottom w:val="0"/>
      <w:divBdr>
        <w:top w:val="none" w:sz="0" w:space="0" w:color="auto"/>
        <w:left w:val="none" w:sz="0" w:space="0" w:color="auto"/>
        <w:bottom w:val="none" w:sz="0" w:space="0" w:color="auto"/>
        <w:right w:val="none" w:sz="0" w:space="0" w:color="auto"/>
      </w:divBdr>
    </w:div>
    <w:div w:id="1733043054">
      <w:bodyDiv w:val="1"/>
      <w:marLeft w:val="0"/>
      <w:marRight w:val="0"/>
      <w:marTop w:val="0"/>
      <w:marBottom w:val="0"/>
      <w:divBdr>
        <w:top w:val="none" w:sz="0" w:space="0" w:color="auto"/>
        <w:left w:val="none" w:sz="0" w:space="0" w:color="auto"/>
        <w:bottom w:val="none" w:sz="0" w:space="0" w:color="auto"/>
        <w:right w:val="none" w:sz="0" w:space="0" w:color="auto"/>
      </w:divBdr>
    </w:div>
    <w:div w:id="1779835751">
      <w:bodyDiv w:val="1"/>
      <w:marLeft w:val="0"/>
      <w:marRight w:val="0"/>
      <w:marTop w:val="0"/>
      <w:marBottom w:val="0"/>
      <w:divBdr>
        <w:top w:val="none" w:sz="0" w:space="0" w:color="auto"/>
        <w:left w:val="none" w:sz="0" w:space="0" w:color="auto"/>
        <w:bottom w:val="none" w:sz="0" w:space="0" w:color="auto"/>
        <w:right w:val="none" w:sz="0" w:space="0" w:color="auto"/>
      </w:divBdr>
    </w:div>
    <w:div w:id="1803233155">
      <w:bodyDiv w:val="1"/>
      <w:marLeft w:val="0"/>
      <w:marRight w:val="0"/>
      <w:marTop w:val="0"/>
      <w:marBottom w:val="0"/>
      <w:divBdr>
        <w:top w:val="none" w:sz="0" w:space="0" w:color="auto"/>
        <w:left w:val="none" w:sz="0" w:space="0" w:color="auto"/>
        <w:bottom w:val="none" w:sz="0" w:space="0" w:color="auto"/>
        <w:right w:val="none" w:sz="0" w:space="0" w:color="auto"/>
      </w:divBdr>
    </w:div>
    <w:div w:id="1953786337">
      <w:bodyDiv w:val="1"/>
      <w:marLeft w:val="0"/>
      <w:marRight w:val="0"/>
      <w:marTop w:val="0"/>
      <w:marBottom w:val="0"/>
      <w:divBdr>
        <w:top w:val="none" w:sz="0" w:space="0" w:color="auto"/>
        <w:left w:val="none" w:sz="0" w:space="0" w:color="auto"/>
        <w:bottom w:val="none" w:sz="0" w:space="0" w:color="auto"/>
        <w:right w:val="none" w:sz="0" w:space="0" w:color="auto"/>
      </w:divBdr>
      <w:divsChild>
        <w:div w:id="619529440">
          <w:marLeft w:val="0"/>
          <w:marRight w:val="0"/>
          <w:marTop w:val="0"/>
          <w:marBottom w:val="0"/>
          <w:divBdr>
            <w:top w:val="none" w:sz="0" w:space="0" w:color="auto"/>
            <w:left w:val="none" w:sz="0" w:space="0" w:color="auto"/>
            <w:bottom w:val="none" w:sz="0" w:space="0" w:color="auto"/>
            <w:right w:val="none" w:sz="0" w:space="0" w:color="auto"/>
          </w:divBdr>
        </w:div>
      </w:divsChild>
    </w:div>
    <w:div w:id="1969318719">
      <w:bodyDiv w:val="1"/>
      <w:marLeft w:val="0"/>
      <w:marRight w:val="0"/>
      <w:marTop w:val="0"/>
      <w:marBottom w:val="0"/>
      <w:divBdr>
        <w:top w:val="none" w:sz="0" w:space="0" w:color="auto"/>
        <w:left w:val="none" w:sz="0" w:space="0" w:color="auto"/>
        <w:bottom w:val="none" w:sz="0" w:space="0" w:color="auto"/>
        <w:right w:val="none" w:sz="0" w:space="0" w:color="auto"/>
      </w:divBdr>
    </w:div>
    <w:div w:id="2020815107">
      <w:bodyDiv w:val="1"/>
      <w:marLeft w:val="0"/>
      <w:marRight w:val="0"/>
      <w:marTop w:val="0"/>
      <w:marBottom w:val="0"/>
      <w:divBdr>
        <w:top w:val="none" w:sz="0" w:space="0" w:color="auto"/>
        <w:left w:val="none" w:sz="0" w:space="0" w:color="auto"/>
        <w:bottom w:val="none" w:sz="0" w:space="0" w:color="auto"/>
        <w:right w:val="none" w:sz="0" w:space="0" w:color="auto"/>
      </w:divBdr>
    </w:div>
    <w:div w:id="2023316529">
      <w:bodyDiv w:val="1"/>
      <w:marLeft w:val="0"/>
      <w:marRight w:val="0"/>
      <w:marTop w:val="0"/>
      <w:marBottom w:val="0"/>
      <w:divBdr>
        <w:top w:val="none" w:sz="0" w:space="0" w:color="auto"/>
        <w:left w:val="none" w:sz="0" w:space="0" w:color="auto"/>
        <w:bottom w:val="none" w:sz="0" w:space="0" w:color="auto"/>
        <w:right w:val="none" w:sz="0" w:space="0" w:color="auto"/>
      </w:divBdr>
    </w:div>
    <w:div w:id="204887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C3DD4C-BCE8-43AA-A69E-3A18176F700F}">
  <ds:schemaRefs>
    <ds:schemaRef ds:uri="http://schemas.microsoft.com/sharepoint/v3/contenttype/forms"/>
  </ds:schemaRefs>
</ds:datastoreItem>
</file>

<file path=customXml/itemProps2.xml><?xml version="1.0" encoding="utf-8"?>
<ds:datastoreItem xmlns:ds="http://schemas.openxmlformats.org/officeDocument/2006/customXml" ds:itemID="{B6D01031-AD38-4F16-90E4-0DFB1D6C7C80}">
  <ds:schemaRefs>
    <ds:schemaRef ds:uri="http://purl.org/dc/elements/1.1/"/>
    <ds:schemaRef ds:uri="http://schemas.microsoft.com/office/2006/metadata/properties"/>
    <ds:schemaRef ds:uri="http://www.w3.org/XML/1998/namespace"/>
    <ds:schemaRef ds:uri="http://purl.org/dc/terms/"/>
    <ds:schemaRef ds:uri="http://schemas.microsoft.com/office/infopath/2007/PartnerControls"/>
    <ds:schemaRef ds:uri="a6cb9e4b-f1d1-4245-83ec-6cad768d538a"/>
    <ds:schemaRef ds:uri="http://purl.org/dc/dcmitype/"/>
    <ds:schemaRef ds:uri="http://schemas.openxmlformats.org/package/2006/metadata/core-properties"/>
    <ds:schemaRef ds:uri="http://schemas.microsoft.com/office/2006/documentManagement/types"/>
    <ds:schemaRef ds:uri="9d85dbaf-23eb-4e57-a637-93dcacc8b1a1"/>
  </ds:schemaRefs>
</ds:datastoreItem>
</file>

<file path=customXml/itemProps3.xml><?xml version="1.0" encoding="utf-8"?>
<ds:datastoreItem xmlns:ds="http://schemas.openxmlformats.org/officeDocument/2006/customXml" ds:itemID="{ACA6D645-9EF0-48C5-9BE3-2BBFB028D18B}">
  <ds:schemaRefs>
    <ds:schemaRef ds:uri="http://schemas.openxmlformats.org/officeDocument/2006/bibliography"/>
  </ds:schemaRefs>
</ds:datastoreItem>
</file>

<file path=customXml/itemProps4.xml><?xml version="1.0" encoding="utf-8"?>
<ds:datastoreItem xmlns:ds="http://schemas.openxmlformats.org/officeDocument/2006/customXml" ds:itemID="{56541BF5-D8DD-459B-89DE-22984F6CA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5220</Words>
  <Characters>28716</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Ana Maria Velez Arteaga</cp:lastModifiedBy>
  <cp:revision>2</cp:revision>
  <dcterms:created xsi:type="dcterms:W3CDTF">2023-03-02T13:17:00Z</dcterms:created>
  <dcterms:modified xsi:type="dcterms:W3CDTF">2023-03-02T13:17:00Z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