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2D66" w14:textId="77777777" w:rsidR="00EC1AD6" w:rsidRPr="00F12344" w:rsidRDefault="00EC1AD6" w:rsidP="00EC1AD6">
      <w:pPr>
        <w:spacing w:line="259" w:lineRule="auto"/>
        <w:jc w:val="both"/>
        <w:rPr>
          <w:rFonts w:ascii="Geomanist Light" w:eastAsia="Calibri" w:hAnsi="Geomanist Light" w:cs="Times New Roman"/>
          <w:b/>
          <w:bCs/>
          <w:sz w:val="22"/>
        </w:rPr>
      </w:pPr>
      <w:r w:rsidRPr="00A121B7">
        <w:rPr>
          <w:rFonts w:ascii="Geomanist Light" w:eastAsia="Calibri" w:hAnsi="Geomanist Light" w:cs="Times New Roman"/>
          <w:b/>
          <w:bCs/>
          <w:sz w:val="22"/>
        </w:rPr>
        <w:t>DOCUMENTOS TIPO</w:t>
      </w:r>
      <w:r w:rsidRPr="00F12344">
        <w:rPr>
          <w:rFonts w:ascii="Geomanist Light" w:eastAsia="Calibri" w:hAnsi="Geomanist Light" w:cs="Times New Roman"/>
          <w:b/>
          <w:bCs/>
          <w:sz w:val="22"/>
        </w:rPr>
        <w:t xml:space="preserve"> – Formulario 1 – </w:t>
      </w:r>
      <w:r w:rsidRPr="00690AB4">
        <w:rPr>
          <w:rFonts w:ascii="Geomanist Light" w:eastAsia="Calibri" w:hAnsi="Geomanist Light" w:cs="Times New Roman"/>
          <w:b/>
          <w:bCs/>
          <w:sz w:val="22"/>
        </w:rPr>
        <w:t>Presupuesto Oficial</w:t>
      </w:r>
      <w:r w:rsidRPr="00F12344">
        <w:rPr>
          <w:rFonts w:ascii="Geomanist Light" w:eastAsia="Calibri" w:hAnsi="Geomanist Light" w:cs="Times New Roman"/>
          <w:b/>
          <w:bCs/>
          <w:sz w:val="22"/>
        </w:rPr>
        <w:t xml:space="preserve"> – Propuesta económica </w:t>
      </w:r>
    </w:p>
    <w:p w14:paraId="02D699B8" w14:textId="77777777" w:rsidR="00EC1AD6" w:rsidRPr="00D67C1A" w:rsidRDefault="00EC1AD6" w:rsidP="00EC1AD6">
      <w:pPr>
        <w:jc w:val="both"/>
        <w:rPr>
          <w:rFonts w:ascii="Arial" w:eastAsia="Calibri" w:hAnsi="Arial" w:cs="Arial"/>
          <w:b/>
          <w:sz w:val="22"/>
          <w:lang w:val="es-ES_tradnl"/>
        </w:rPr>
      </w:pPr>
    </w:p>
    <w:p w14:paraId="7DD3DE63" w14:textId="77777777" w:rsidR="00EC1AD6" w:rsidRDefault="00EC1AD6" w:rsidP="00EC1AD6">
      <w:pPr>
        <w:jc w:val="both"/>
        <w:rPr>
          <w:rFonts w:ascii="Geomanist Light" w:eastAsia="Calibri" w:hAnsi="Geomanist Light" w:cs="Times New Roman"/>
          <w:sz w:val="20"/>
          <w:szCs w:val="20"/>
        </w:rPr>
      </w:pPr>
      <w:r w:rsidRPr="00446894">
        <w:rPr>
          <w:rFonts w:ascii="Geomanist Light" w:eastAsia="Calibri" w:hAnsi="Geomanist Light" w:cs="Times New Roman"/>
          <w:sz w:val="20"/>
          <w:szCs w:val="20"/>
        </w:rPr>
        <w:t>en los documentos tipo para procesos de licitación pública de obras de infraestructura de transporte, el «Formulario 1» en su segunda pestaña en Excel, titulada «Formulario 1 propuesta económica»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En todo caso, el proponente deberá emplear el formulario que establezca la entidad.</w:t>
      </w:r>
    </w:p>
    <w:p w14:paraId="44078529" w14:textId="77777777" w:rsidR="00EC1AD6" w:rsidRPr="00D67C1A" w:rsidRDefault="00EC1AD6" w:rsidP="00EC1AD6">
      <w:pPr>
        <w:jc w:val="both"/>
        <w:rPr>
          <w:rFonts w:ascii="Arial" w:eastAsia="Calibri" w:hAnsi="Arial" w:cs="Arial"/>
          <w:sz w:val="20"/>
          <w:szCs w:val="20"/>
          <w:lang w:val="es-ES"/>
        </w:rPr>
      </w:pPr>
    </w:p>
    <w:p w14:paraId="6F8C56C6" w14:textId="41BE821E" w:rsidR="00EC1AD6" w:rsidRPr="00F12344" w:rsidRDefault="00EC1AD6" w:rsidP="00EC1AD6">
      <w:pPr>
        <w:spacing w:line="259" w:lineRule="auto"/>
        <w:jc w:val="both"/>
        <w:rPr>
          <w:rFonts w:ascii="Geomanist Light" w:eastAsia="Calibri" w:hAnsi="Geomanist Light" w:cs="Times New Roman"/>
          <w:b/>
          <w:bCs/>
          <w:sz w:val="22"/>
        </w:rPr>
      </w:pPr>
      <w:r w:rsidRPr="00A121B7">
        <w:rPr>
          <w:rFonts w:ascii="Geomanist Light" w:eastAsia="Calibri" w:hAnsi="Geomanist Light" w:cs="Times New Roman"/>
          <w:b/>
          <w:bCs/>
          <w:sz w:val="22"/>
        </w:rPr>
        <w:t>CAUSALES DE RECHAZO</w:t>
      </w:r>
      <w:r w:rsidRPr="00F12344">
        <w:rPr>
          <w:rFonts w:ascii="Geomanist Light" w:eastAsia="Calibri" w:hAnsi="Geomanist Light" w:cs="Times New Roman"/>
          <w:b/>
          <w:bCs/>
          <w:sz w:val="22"/>
        </w:rPr>
        <w:t xml:space="preserve"> – Literal </w:t>
      </w:r>
      <w:r>
        <w:rPr>
          <w:rFonts w:ascii="Geomanist Light" w:eastAsia="Calibri" w:hAnsi="Geomanist Light" w:cs="Times New Roman"/>
          <w:b/>
          <w:bCs/>
          <w:sz w:val="22"/>
        </w:rPr>
        <w:t>J</w:t>
      </w:r>
      <w:r w:rsidRPr="00F12344">
        <w:rPr>
          <w:rFonts w:ascii="Geomanist Light" w:eastAsia="Calibri" w:hAnsi="Geomanist Light" w:cs="Times New Roman"/>
          <w:b/>
          <w:bCs/>
          <w:sz w:val="22"/>
        </w:rPr>
        <w:t xml:space="preserve"> del numeral 1.15. Documento Base</w:t>
      </w:r>
    </w:p>
    <w:p w14:paraId="75E9E4CF" w14:textId="77777777" w:rsidR="00EC1AD6" w:rsidRPr="00D67C1A" w:rsidRDefault="00EC1AD6" w:rsidP="00EC1AD6">
      <w:pPr>
        <w:jc w:val="both"/>
        <w:rPr>
          <w:rFonts w:ascii="Arial" w:eastAsia="Calibri" w:hAnsi="Arial" w:cs="Arial"/>
          <w:sz w:val="20"/>
          <w:szCs w:val="20"/>
        </w:rPr>
      </w:pPr>
    </w:p>
    <w:p w14:paraId="28FBD535" w14:textId="77777777" w:rsidR="00EC1AD6" w:rsidRPr="00446894" w:rsidRDefault="00EC1AD6" w:rsidP="00EC1AD6">
      <w:pPr>
        <w:jc w:val="both"/>
        <w:rPr>
          <w:rFonts w:ascii="Geomanist Light" w:eastAsia="Calibri" w:hAnsi="Geomanist Light" w:cs="Times New Roman"/>
          <w:sz w:val="20"/>
          <w:szCs w:val="20"/>
        </w:rPr>
      </w:pPr>
      <w:r w:rsidRPr="00446894">
        <w:rPr>
          <w:rFonts w:ascii="Geomanist Light" w:eastAsia="Calibri" w:hAnsi="Geomanist Light" w:cs="Times New Roman"/>
          <w:sz w:val="20"/>
          <w:szCs w:val="20"/>
        </w:rPr>
        <w:t xml:space="preserve">De otra parte y en relación con el objeto de la consulta, se ha previsto la causal del literal J del numeral 1.15 del Documento Base que sólo opera cuando el procedimiento se realice mediante el SECOP I y que sanciona con el rechazo de la oferta: «Que la propuesta económica no se aporte firmada.». No obstante, tal y como se explicó en el acápite anterior, esta causal sólo opera cuando la propuesta económica se deba presentar en físico y se utilice el SECOP I con fines de publicidad. Es por eso que el literal J tiene consignada la condición de uso para las entidades contratantes con la siguiente nota aclaratoria o instrucción en el párrafo entre corchetes con el siguiente texto: «[Incluir esta causal cuando las ofertas se presente en el SECOP I]». </w:t>
      </w:r>
    </w:p>
    <w:p w14:paraId="602F1D68" w14:textId="77777777" w:rsidR="00EC1AD6" w:rsidRDefault="00EC1AD6" w:rsidP="00EC1AD6">
      <w:pPr>
        <w:jc w:val="both"/>
        <w:rPr>
          <w:rFonts w:ascii="Geomanist Light" w:eastAsia="Calibri" w:hAnsi="Geomanist Light" w:cs="Times New Roman"/>
          <w:sz w:val="20"/>
          <w:szCs w:val="20"/>
        </w:rPr>
      </w:pPr>
    </w:p>
    <w:p w14:paraId="0A87FFBE" w14:textId="77777777" w:rsidR="00EC1AD6" w:rsidRPr="00D67C1A" w:rsidRDefault="00EC1AD6" w:rsidP="00EC1AD6">
      <w:pPr>
        <w:jc w:val="both"/>
        <w:rPr>
          <w:rFonts w:ascii="Arial" w:eastAsia="Calibri" w:hAnsi="Arial" w:cs="Arial"/>
          <w:bCs/>
          <w:sz w:val="20"/>
          <w:szCs w:val="20"/>
        </w:rPr>
      </w:pPr>
      <w:r w:rsidRPr="00446894">
        <w:rPr>
          <w:rFonts w:ascii="Geomanist Light" w:eastAsia="Calibri" w:hAnsi="Geomanist Light" w:cs="Times New Roman"/>
          <w:sz w:val="20"/>
          <w:szCs w:val="20"/>
        </w:rPr>
        <w:t xml:space="preserve">En consecuencia, como la oferta económica, para los procesos adelantados en SECOP I, se presenta según las reglas del literal B del numeral 2.3.2 que establece que el Sobre No. 2: «Debe incluir la propuesta económica debidamente diligenciada, de conformidad con todos y cada uno de los ítems exigidos y relacionados en el Formulario 1 – Formulario de Presupuesto Oficial», documento físico que debe contar con la firma del proponente, es para este caso que operaría la causal J del numeral 1.15 del Documento Base para rechazar la oferta en caso de que no se haya presentado firmada. No ocurre lo mismo para los procesos que deban adelantarse a través del SECOP II, pues en este caso se acude al literal A del numeral 2.3.2 que indica: «[Para los procesos en SECOP II, el Sobre 2 debe presentarse en el cuestionario destinado para ello en el Módulo de “Licitación de Obra Pública” y no podrá ser entregado en físico]», por lo que en este evento no se aplica la referida causal, tal y como lo dice expresamente la nota aclaratoria.  </w:t>
      </w:r>
    </w:p>
    <w:p w14:paraId="1E6AD126" w14:textId="77777777" w:rsidR="00EC1AD6" w:rsidRDefault="00EC1AD6" w:rsidP="00EC1AD6">
      <w:pPr>
        <w:spacing w:line="259" w:lineRule="auto"/>
        <w:jc w:val="both"/>
        <w:rPr>
          <w:rFonts w:ascii="Geomanist Light" w:eastAsia="Calibri" w:hAnsi="Geomanist Light" w:cs="Times New Roman"/>
          <w:b/>
          <w:bCs/>
          <w:sz w:val="22"/>
        </w:rPr>
      </w:pPr>
    </w:p>
    <w:p w14:paraId="02E67055" w14:textId="77777777" w:rsidR="00EC1AD6" w:rsidRPr="0050066F" w:rsidRDefault="00EC1AD6" w:rsidP="00EC1AD6">
      <w:pPr>
        <w:spacing w:line="259" w:lineRule="auto"/>
        <w:jc w:val="both"/>
        <w:rPr>
          <w:rFonts w:ascii="Geomanist Light" w:eastAsia="Calibri" w:hAnsi="Geomanist Light" w:cs="Times New Roman"/>
          <w:b/>
          <w:bCs/>
          <w:sz w:val="22"/>
        </w:rPr>
      </w:pPr>
      <w:r w:rsidRPr="0050066F">
        <w:rPr>
          <w:rFonts w:ascii="Geomanist Light" w:eastAsia="Calibri" w:hAnsi="Geomanist Light" w:cs="Times New Roman"/>
          <w:b/>
          <w:bCs/>
          <w:sz w:val="22"/>
        </w:rPr>
        <w:t xml:space="preserve">ERRORES ARITMÉTICOS – Corrección – Causales – </w:t>
      </w:r>
      <w:r w:rsidRPr="006573B0">
        <w:rPr>
          <w:rFonts w:ascii="Geomanist Light" w:eastAsia="Calibri" w:hAnsi="Geomanist Light" w:cs="Times New Roman"/>
          <w:b/>
          <w:bCs/>
          <w:sz w:val="22"/>
        </w:rPr>
        <w:t>Inmodificabilidad</w:t>
      </w:r>
      <w:r w:rsidRPr="0050066F">
        <w:rPr>
          <w:rFonts w:ascii="Geomanist Light" w:eastAsia="Calibri" w:hAnsi="Geomanist Light" w:cs="Times New Roman"/>
          <w:b/>
          <w:bCs/>
          <w:sz w:val="22"/>
        </w:rPr>
        <w:t xml:space="preserve">  </w:t>
      </w:r>
    </w:p>
    <w:p w14:paraId="5D7011F8" w14:textId="77777777" w:rsidR="00EC1AD6" w:rsidRPr="0050066F" w:rsidRDefault="00EC1AD6" w:rsidP="00EC1AD6">
      <w:pPr>
        <w:jc w:val="both"/>
        <w:rPr>
          <w:rFonts w:ascii="Arial" w:eastAsia="Calibri" w:hAnsi="Arial" w:cs="Arial"/>
          <w:b/>
          <w:sz w:val="20"/>
          <w:szCs w:val="20"/>
          <w:lang w:val="es-ES_tradnl"/>
        </w:rPr>
      </w:pPr>
    </w:p>
    <w:p w14:paraId="21A3561C" w14:textId="520D3546" w:rsidR="00B47D0B" w:rsidRPr="00EC1AD6" w:rsidRDefault="00EC1AD6" w:rsidP="00EC1AD6">
      <w:pPr>
        <w:jc w:val="both"/>
        <w:rPr>
          <w:rFonts w:ascii="Geomanist Light" w:eastAsia="Arial MT" w:hAnsi="Geomanist Light" w:cs="Arial MT"/>
          <w:b/>
          <w:color w:val="585858"/>
          <w:sz w:val="18"/>
          <w:lang w:val="es-ES"/>
        </w:rPr>
      </w:pPr>
      <w:r w:rsidRPr="00446894">
        <w:rPr>
          <w:rFonts w:ascii="Geomanist Light" w:eastAsia="Calibri" w:hAnsi="Geomanist Light" w:cs="Times New Roman"/>
          <w:sz w:val="20"/>
          <w:szCs w:val="20"/>
        </w:rPr>
        <w:t xml:space="preserve">Dado que las correcciones aplican para ambos literales , la entidad no puede ampliar o restringir su alcance. Lo anterior, en la medida que conforme a los artículos 2.2.1.2.6.1.4, 2.2.1.2.6.2.3 y 2.2.1.2.6.3.4 del Decreto 1082 de 2015, 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con fundamento en los artículos 2.2.1.2.6.1.5, 2.2.1.2.6.2.3 y 2.2.1.2.6.3.5 ibídem. Además, cuando el pliego tipo expresamente lo permita, la entidad podrá modificar los </w:t>
      </w:r>
      <w:r w:rsidRPr="00446894">
        <w:rPr>
          <w:rFonts w:ascii="Geomanist Light" w:eastAsia="Calibri" w:hAnsi="Geomanist Light" w:cs="Times New Roman"/>
          <w:sz w:val="20"/>
          <w:szCs w:val="20"/>
        </w:rPr>
        <w:lastRenderedPageBreak/>
        <w:t>aspectos incluidos en corchetes y resaltados en gris, condición que no se cumple en el numeral 4.1.2 del documento base para los procedimientos de licitación y menor cuantía, ni en el numeral 5.1.2 de la invitación de mínima cuantía.</w:t>
      </w:r>
    </w:p>
    <w:p w14:paraId="24D55462" w14:textId="1C099280" w:rsidR="00EC1AD6" w:rsidRDefault="0086272D" w:rsidP="00EC1AD6">
      <w:pPr>
        <w:widowControl w:val="0"/>
        <w:autoSpaceDE w:val="0"/>
        <w:autoSpaceDN w:val="0"/>
        <w:spacing w:before="94"/>
        <w:ind w:right="173"/>
        <w:jc w:val="right"/>
        <w:rPr>
          <w:rFonts w:ascii="Geomanist Light" w:eastAsia="Arial MT" w:hAnsi="Geomanist Light" w:cs="Arial MT"/>
          <w:b/>
          <w:color w:val="585858"/>
          <w:sz w:val="18"/>
          <w:lang w:val="es-ES"/>
        </w:rPr>
      </w:pPr>
      <w:r w:rsidRPr="00EC1AD6">
        <w:rPr>
          <w:rFonts w:ascii="Geomanist Light" w:eastAsia="Arial MT" w:hAnsi="Geomanist Light" w:cs="Arial MT"/>
          <w:b/>
          <w:color w:val="585858"/>
          <w:sz w:val="18"/>
          <w:lang w:val="es-ES"/>
        </w:rPr>
        <w:t>CCE-DES-FM</w:t>
      </w:r>
      <w:r w:rsidR="00EC1AD6" w:rsidRPr="00D67C1A">
        <w:rPr>
          <w:rFonts w:ascii="Arial" w:eastAsia="Arial MT" w:hAnsi="Arial MT" w:cs="Arial MT"/>
          <w:b/>
          <w:color w:val="585858"/>
          <w:sz w:val="18"/>
          <w:lang w:val="es-ES"/>
        </w:rPr>
        <w:t>-17</w:t>
      </w:r>
    </w:p>
    <w:p w14:paraId="37A6C4A2" w14:textId="32E5D4FC" w:rsidR="004359A4" w:rsidRDefault="004359A4" w:rsidP="00EC1AD6">
      <w:pPr>
        <w:widowControl w:val="0"/>
        <w:autoSpaceDE w:val="0"/>
        <w:autoSpaceDN w:val="0"/>
        <w:spacing w:before="94"/>
        <w:ind w:right="173"/>
        <w:rPr>
          <w:rFonts w:ascii="Geomanist Light" w:eastAsia="Calibri" w:hAnsi="Geomanist Light" w:cs="Arial"/>
          <w:sz w:val="22"/>
        </w:rPr>
      </w:pPr>
      <w:r>
        <w:rPr>
          <w:rFonts w:ascii="Geomanist Light" w:eastAsia="Calibri" w:hAnsi="Geomanist Light" w:cs="Arial"/>
          <w:sz w:val="22"/>
        </w:rPr>
        <w:t xml:space="preserve">Bogotá, 21 de noviembre de 2022.                                             </w:t>
      </w:r>
      <w:r w:rsidRPr="004359A4">
        <w:rPr>
          <w:rFonts w:ascii="Geomanist Light" w:eastAsia="Calibri" w:hAnsi="Geomanist Light" w:cs="Arial"/>
          <w:noProof/>
          <w:sz w:val="22"/>
        </w:rPr>
        <w:drawing>
          <wp:inline distT="0" distB="0" distL="0" distR="0" wp14:anchorId="36289852" wp14:editId="29722F38">
            <wp:extent cx="2048256" cy="6908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65116" cy="696567"/>
                    </a:xfrm>
                    <a:prstGeom prst="rect">
                      <a:avLst/>
                    </a:prstGeom>
                  </pic:spPr>
                </pic:pic>
              </a:graphicData>
            </a:graphic>
          </wp:inline>
        </w:drawing>
      </w:r>
    </w:p>
    <w:p w14:paraId="1467BFC7" w14:textId="27711105" w:rsidR="00C175DA" w:rsidRPr="00EC1AD6" w:rsidRDefault="00C175DA" w:rsidP="00EC1AD6">
      <w:pPr>
        <w:widowControl w:val="0"/>
        <w:autoSpaceDE w:val="0"/>
        <w:autoSpaceDN w:val="0"/>
        <w:spacing w:before="94"/>
        <w:ind w:right="173"/>
        <w:rPr>
          <w:rFonts w:ascii="Geomanist Light" w:eastAsia="Arial MT" w:hAnsi="Geomanist Light" w:cs="Arial MT"/>
          <w:sz w:val="20"/>
          <w:lang w:val="es-ES"/>
        </w:rPr>
      </w:pPr>
      <w:r w:rsidRPr="006F5980">
        <w:rPr>
          <w:rFonts w:ascii="Geomanist Light" w:eastAsia="Calibri" w:hAnsi="Geomanist Light" w:cs="Arial"/>
          <w:sz w:val="22"/>
        </w:rPr>
        <w:t>Señor</w:t>
      </w:r>
    </w:p>
    <w:p w14:paraId="09AFAC34" w14:textId="4CE5415D" w:rsidR="00651D4E" w:rsidRPr="006F5980" w:rsidRDefault="008024C6" w:rsidP="00301AA8">
      <w:pPr>
        <w:rPr>
          <w:rFonts w:ascii="Geomanist Light" w:eastAsia="Calibri" w:hAnsi="Geomanist Light" w:cs="Arial"/>
          <w:b/>
          <w:bCs/>
          <w:sz w:val="22"/>
        </w:rPr>
      </w:pPr>
      <w:r w:rsidRPr="006F5980">
        <w:rPr>
          <w:rFonts w:ascii="Geomanist Light" w:eastAsia="Calibri" w:hAnsi="Geomanist Light" w:cs="Arial"/>
          <w:b/>
          <w:bCs/>
          <w:sz w:val="22"/>
        </w:rPr>
        <w:t xml:space="preserve">Andrés Felipe Hernández González </w:t>
      </w:r>
    </w:p>
    <w:p w14:paraId="0D2BA121" w14:textId="256408BB" w:rsidR="003707D2" w:rsidRPr="006F5980" w:rsidRDefault="003707D2" w:rsidP="00301AA8">
      <w:pPr>
        <w:rPr>
          <w:rFonts w:ascii="Geomanist Light" w:eastAsia="Calibri" w:hAnsi="Geomanist Light" w:cs="Arial"/>
          <w:sz w:val="22"/>
        </w:rPr>
      </w:pPr>
      <w:r w:rsidRPr="006F5980">
        <w:rPr>
          <w:rFonts w:ascii="Geomanist Light" w:eastAsia="Calibri" w:hAnsi="Geomanist Light" w:cs="Arial"/>
          <w:sz w:val="22"/>
        </w:rPr>
        <w:t>Bogotá D.C.</w:t>
      </w:r>
    </w:p>
    <w:p w14:paraId="3B15A18D" w14:textId="77777777" w:rsidR="003707D2" w:rsidRPr="00EC1AD6" w:rsidRDefault="003707D2" w:rsidP="003707D2">
      <w:pPr>
        <w:widowControl w:val="0"/>
        <w:autoSpaceDE w:val="0"/>
        <w:autoSpaceDN w:val="0"/>
        <w:outlineLvl w:val="0"/>
        <w:rPr>
          <w:rFonts w:ascii="Geomanist Light" w:eastAsia="Arial MT" w:hAnsi="Geomanist Light" w:cs="Arial MT"/>
          <w:sz w:val="20"/>
          <w:lang w:val="es-ES"/>
        </w:rPr>
      </w:pPr>
    </w:p>
    <w:p w14:paraId="489932A0" w14:textId="4DC51FD2" w:rsidR="00C175DA" w:rsidRPr="006F5980" w:rsidRDefault="00C175DA" w:rsidP="000D5E6D">
      <w:pPr>
        <w:ind w:left="2124" w:firstLine="570"/>
        <w:rPr>
          <w:rFonts w:ascii="Geomanist Light" w:eastAsia="Calibri" w:hAnsi="Geomanist Light" w:cs="Arial"/>
          <w:b/>
          <w:bCs/>
          <w:sz w:val="22"/>
        </w:rPr>
      </w:pPr>
      <w:r w:rsidRPr="006F5980">
        <w:rPr>
          <w:rFonts w:ascii="Geomanist Light" w:eastAsia="Calibri" w:hAnsi="Geomanist Light" w:cs="Arial"/>
          <w:b/>
          <w:bCs/>
          <w:sz w:val="22"/>
        </w:rPr>
        <w:t xml:space="preserve">Concepto C – </w:t>
      </w:r>
      <w:r w:rsidR="008024C6" w:rsidRPr="006F5980">
        <w:rPr>
          <w:rFonts w:ascii="Geomanist Light" w:eastAsia="Calibri" w:hAnsi="Geomanist Light" w:cs="Arial"/>
          <w:b/>
          <w:bCs/>
          <w:sz w:val="22"/>
        </w:rPr>
        <w:t>782</w:t>
      </w:r>
      <w:r w:rsidRPr="006F5980">
        <w:rPr>
          <w:rFonts w:ascii="Geomanist Light" w:eastAsia="Calibri" w:hAnsi="Geomanist Light" w:cs="Arial"/>
          <w:b/>
          <w:bCs/>
          <w:sz w:val="22"/>
        </w:rPr>
        <w:t xml:space="preserve"> de </w:t>
      </w:r>
      <w:r w:rsidR="008B438D" w:rsidRPr="006F5980">
        <w:rPr>
          <w:rFonts w:ascii="Geomanist Light" w:eastAsia="Calibri" w:hAnsi="Geomanist Light" w:cs="Arial"/>
          <w:b/>
          <w:bCs/>
          <w:sz w:val="22"/>
        </w:rPr>
        <w:t>2022</w:t>
      </w:r>
    </w:p>
    <w:p w14:paraId="3838072E" w14:textId="77777777" w:rsidR="00C175DA" w:rsidRPr="00EC1AD6" w:rsidRDefault="00C175DA" w:rsidP="00C175DA">
      <w:pPr>
        <w:widowControl w:val="0"/>
        <w:autoSpaceDE w:val="0"/>
        <w:autoSpaceDN w:val="0"/>
        <w:spacing w:before="10"/>
        <w:rPr>
          <w:rFonts w:ascii="Geomanist Light" w:eastAsia="Arial MT" w:hAnsi="Geomanist Light" w:cs="Arial MT"/>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7B03" w:rsidRPr="006F5980" w14:paraId="64E6FFCD" w14:textId="77777777" w:rsidTr="00B1743F">
        <w:tc>
          <w:tcPr>
            <w:tcW w:w="2689" w:type="dxa"/>
          </w:tcPr>
          <w:p w14:paraId="4D8344B4" w14:textId="77777777" w:rsidR="005A7B03" w:rsidRPr="00EC1AD6" w:rsidRDefault="005A7B03" w:rsidP="00B1743F">
            <w:pPr>
              <w:jc w:val="both"/>
              <w:rPr>
                <w:rFonts w:ascii="Geomanist Light" w:eastAsia="Calibri" w:hAnsi="Geomanist Light" w:cs="Arial"/>
                <w:b/>
                <w:color w:val="000000" w:themeColor="text1"/>
                <w:sz w:val="22"/>
                <w:lang w:val="es-ES_tradnl"/>
              </w:rPr>
            </w:pPr>
            <w:r w:rsidRPr="00EC1AD6">
              <w:rPr>
                <w:rFonts w:ascii="Geomanist Light" w:eastAsia="Calibri" w:hAnsi="Geomanist Light" w:cs="Arial"/>
                <w:b/>
                <w:color w:val="000000" w:themeColor="text1"/>
                <w:sz w:val="22"/>
                <w:lang w:val="es-ES_tradnl"/>
              </w:rPr>
              <w:t xml:space="preserve">Temas:                                      </w:t>
            </w:r>
          </w:p>
        </w:tc>
        <w:tc>
          <w:tcPr>
            <w:tcW w:w="6237" w:type="dxa"/>
          </w:tcPr>
          <w:p w14:paraId="4BADF4FA" w14:textId="3A385CE6" w:rsidR="005A7B03" w:rsidRPr="006F5980" w:rsidRDefault="00601616" w:rsidP="002F436E">
            <w:pPr>
              <w:jc w:val="both"/>
              <w:rPr>
                <w:rFonts w:ascii="Geomanist Light" w:eastAsia="Calibri" w:hAnsi="Geomanist Light" w:cs="Arial"/>
                <w:sz w:val="22"/>
              </w:rPr>
            </w:pPr>
            <w:r w:rsidRPr="006F5980">
              <w:rPr>
                <w:rFonts w:ascii="Geomanist Light" w:eastAsia="Calibri" w:hAnsi="Geomanist Light" w:cs="Arial"/>
                <w:sz w:val="22"/>
              </w:rPr>
              <w:t xml:space="preserve">DOCUMENTOS TIPO – Formulario 1 – Presupuesto Oficial – Propuesta económica / </w:t>
            </w:r>
            <w:r w:rsidR="00DD278E" w:rsidRPr="006F5980">
              <w:rPr>
                <w:rFonts w:ascii="Geomanist Light" w:eastAsia="Calibri" w:hAnsi="Geomanist Light" w:cs="Arial"/>
                <w:sz w:val="22"/>
              </w:rPr>
              <w:t xml:space="preserve">CAUSALES DE RECHAZO – Literal </w:t>
            </w:r>
            <w:r w:rsidR="00E10A61" w:rsidRPr="006F5980">
              <w:rPr>
                <w:rFonts w:ascii="Geomanist Light" w:eastAsia="Calibri" w:hAnsi="Geomanist Light" w:cs="Arial"/>
                <w:sz w:val="22"/>
              </w:rPr>
              <w:t>j</w:t>
            </w:r>
            <w:r w:rsidR="00DD278E" w:rsidRPr="006F5980">
              <w:rPr>
                <w:rFonts w:ascii="Geomanist Light" w:eastAsia="Calibri" w:hAnsi="Geomanist Light" w:cs="Arial"/>
                <w:sz w:val="22"/>
              </w:rPr>
              <w:t>) del numeral 1.15. Documento Base</w:t>
            </w:r>
            <w:r w:rsidR="0050066F" w:rsidRPr="006F5980">
              <w:rPr>
                <w:rFonts w:ascii="Geomanist Light" w:eastAsia="Calibri" w:hAnsi="Geomanist Light" w:cs="Arial"/>
                <w:sz w:val="22"/>
              </w:rPr>
              <w:t xml:space="preserve"> /</w:t>
            </w:r>
            <w:r w:rsidR="0050066F" w:rsidRPr="00EC1AD6">
              <w:rPr>
                <w:rFonts w:ascii="Geomanist Light" w:eastAsia="Calibri" w:hAnsi="Geomanist Light" w:cs="Arial"/>
                <w:color w:val="000000" w:themeColor="text1"/>
                <w:szCs w:val="24"/>
                <w:lang w:val="es-ES_tradnl" w:eastAsia="es-ES_tradnl"/>
              </w:rPr>
              <w:t xml:space="preserve"> </w:t>
            </w:r>
            <w:r w:rsidR="0050066F" w:rsidRPr="006F5980">
              <w:rPr>
                <w:rFonts w:ascii="Geomanist Light" w:eastAsia="Calibri" w:hAnsi="Geomanist Light" w:cs="Arial"/>
                <w:sz w:val="22"/>
                <w:lang w:val="es-ES_tradnl"/>
              </w:rPr>
              <w:t xml:space="preserve">ERRORES ARITMÉTICOS – Corrección – Causales – </w:t>
            </w:r>
            <w:proofErr w:type="spellStart"/>
            <w:r w:rsidR="0050066F" w:rsidRPr="006F5980">
              <w:rPr>
                <w:rFonts w:ascii="Geomanist Light" w:eastAsia="Calibri" w:hAnsi="Geomanist Light" w:cs="Arial"/>
                <w:sz w:val="22"/>
                <w:lang w:val="es-ES_tradnl"/>
              </w:rPr>
              <w:t>Inmodificabilidad</w:t>
            </w:r>
            <w:proofErr w:type="spellEnd"/>
            <w:r w:rsidR="0050066F" w:rsidRPr="006F5980">
              <w:rPr>
                <w:rFonts w:ascii="Geomanist Light" w:eastAsia="Calibri" w:hAnsi="Geomanist Light" w:cs="Arial"/>
                <w:sz w:val="22"/>
                <w:lang w:val="es-ES_tradnl"/>
              </w:rPr>
              <w:t xml:space="preserve"> </w:t>
            </w:r>
          </w:p>
          <w:p w14:paraId="3FEF92FE" w14:textId="6D64B62E" w:rsidR="00F033DB" w:rsidRPr="00EC1AD6" w:rsidRDefault="00F033DB" w:rsidP="002F436E">
            <w:pPr>
              <w:jc w:val="both"/>
              <w:rPr>
                <w:rFonts w:ascii="Geomanist Light" w:hAnsi="Geomanist Light" w:cs="Arial"/>
                <w:color w:val="000000" w:themeColor="text1"/>
                <w:sz w:val="22"/>
                <w:lang w:val="es-ES"/>
              </w:rPr>
            </w:pPr>
          </w:p>
        </w:tc>
      </w:tr>
      <w:tr w:rsidR="00F033DB" w:rsidRPr="006F5980" w14:paraId="458602A3" w14:textId="77777777" w:rsidTr="00B1743F">
        <w:tc>
          <w:tcPr>
            <w:tcW w:w="2689" w:type="dxa"/>
          </w:tcPr>
          <w:p w14:paraId="0F847D35" w14:textId="060E6E28" w:rsidR="00F033DB" w:rsidRPr="00EC1AD6" w:rsidRDefault="00F033DB" w:rsidP="00B1743F">
            <w:pPr>
              <w:jc w:val="both"/>
              <w:rPr>
                <w:rFonts w:ascii="Geomanist Light" w:eastAsia="Calibri" w:hAnsi="Geomanist Light" w:cs="Arial"/>
                <w:b/>
                <w:color w:val="000000" w:themeColor="text1"/>
                <w:sz w:val="22"/>
                <w:lang w:val="es-ES_tradnl"/>
              </w:rPr>
            </w:pPr>
            <w:r w:rsidRPr="006F5980">
              <w:rPr>
                <w:rFonts w:ascii="Geomanist Light" w:eastAsia="Calibri" w:hAnsi="Geomanist Light" w:cs="Arial"/>
                <w:b/>
                <w:bCs/>
                <w:sz w:val="22"/>
              </w:rPr>
              <w:t>Radicación:</w:t>
            </w:r>
          </w:p>
        </w:tc>
        <w:tc>
          <w:tcPr>
            <w:tcW w:w="6237" w:type="dxa"/>
          </w:tcPr>
          <w:p w14:paraId="68C415D2" w14:textId="37912A8C" w:rsidR="00F033DB" w:rsidRPr="00EC1AD6" w:rsidRDefault="00F033DB" w:rsidP="002F436E">
            <w:pPr>
              <w:jc w:val="both"/>
              <w:rPr>
                <w:rFonts w:ascii="Geomanist Light" w:hAnsi="Geomanist Light" w:cs="Arial"/>
                <w:color w:val="000000" w:themeColor="text1"/>
                <w:sz w:val="22"/>
                <w:lang w:val="es-ES_tradnl"/>
              </w:rPr>
            </w:pPr>
            <w:r w:rsidRPr="006F5980">
              <w:rPr>
                <w:rFonts w:ascii="Geomanist Light" w:eastAsia="Calibri" w:hAnsi="Geomanist Light" w:cs="Arial"/>
                <w:sz w:val="22"/>
              </w:rPr>
              <w:t xml:space="preserve">Respuesta a </w:t>
            </w:r>
            <w:r w:rsidR="006D48E8" w:rsidRPr="006F5980">
              <w:rPr>
                <w:rFonts w:ascii="Geomanist Light" w:eastAsia="Calibri" w:hAnsi="Geomanist Light" w:cs="Arial"/>
                <w:sz w:val="22"/>
              </w:rPr>
              <w:t>la consulta</w:t>
            </w:r>
            <w:r w:rsidR="008024C6" w:rsidRPr="006F5980">
              <w:rPr>
                <w:rFonts w:ascii="Geomanist Light" w:eastAsia="Calibri" w:hAnsi="Geomanist Light" w:cs="Arial"/>
                <w:sz w:val="22"/>
              </w:rPr>
              <w:t xml:space="preserve"> P20221005010041</w:t>
            </w:r>
          </w:p>
        </w:tc>
      </w:tr>
    </w:tbl>
    <w:p w14:paraId="1A52FB29" w14:textId="77777777" w:rsidR="00EC171C" w:rsidRPr="00EC1AD6" w:rsidRDefault="00EC171C" w:rsidP="00DE7D58">
      <w:pPr>
        <w:jc w:val="both"/>
        <w:rPr>
          <w:rFonts w:ascii="Geomanist Light" w:eastAsia="Calibri" w:hAnsi="Geomanist Light" w:cs="Arial"/>
          <w:sz w:val="22"/>
          <w:lang w:val="es-CO"/>
        </w:rPr>
      </w:pPr>
    </w:p>
    <w:p w14:paraId="517A8240" w14:textId="77777777" w:rsidR="005A7B03" w:rsidRPr="00EC1AD6" w:rsidRDefault="005A7B03" w:rsidP="00DE7D58">
      <w:pPr>
        <w:jc w:val="both"/>
        <w:rPr>
          <w:rFonts w:ascii="Geomanist Light" w:eastAsia="Calibri" w:hAnsi="Geomanist Light" w:cs="Arial"/>
          <w:sz w:val="22"/>
          <w:lang w:val="es-CO"/>
        </w:rPr>
      </w:pPr>
    </w:p>
    <w:p w14:paraId="23FFBBCE" w14:textId="4330D79B" w:rsidR="00904CD9" w:rsidRPr="006F5980" w:rsidRDefault="009F6F22" w:rsidP="00301AA8">
      <w:pPr>
        <w:spacing w:line="276" w:lineRule="auto"/>
        <w:rPr>
          <w:rFonts w:ascii="Geomanist Light" w:eastAsia="Calibri" w:hAnsi="Geomanist Light" w:cs="Arial"/>
          <w:sz w:val="22"/>
        </w:rPr>
      </w:pPr>
      <w:r w:rsidRPr="006F5980">
        <w:rPr>
          <w:rFonts w:ascii="Geomanist Light" w:eastAsia="Calibri" w:hAnsi="Geomanist Light" w:cs="Arial"/>
          <w:sz w:val="22"/>
        </w:rPr>
        <w:t>Estimad</w:t>
      </w:r>
      <w:r w:rsidR="00F033DB" w:rsidRPr="006F5980">
        <w:rPr>
          <w:rFonts w:ascii="Geomanist Light" w:eastAsia="Calibri" w:hAnsi="Geomanist Light" w:cs="Arial"/>
          <w:sz w:val="22"/>
        </w:rPr>
        <w:t>o</w:t>
      </w:r>
      <w:r w:rsidR="001B0A86" w:rsidRPr="006F5980">
        <w:rPr>
          <w:rFonts w:ascii="Geomanist Light" w:eastAsia="Calibri" w:hAnsi="Geomanist Light" w:cs="Arial"/>
          <w:sz w:val="22"/>
        </w:rPr>
        <w:t xml:space="preserve"> </w:t>
      </w:r>
      <w:r w:rsidR="008024C6" w:rsidRPr="006F5980">
        <w:rPr>
          <w:rFonts w:ascii="Geomanist Light" w:eastAsia="Calibri" w:hAnsi="Geomanist Light" w:cs="Arial"/>
          <w:sz w:val="22"/>
        </w:rPr>
        <w:t>seño</w:t>
      </w:r>
      <w:r w:rsidR="008B436F" w:rsidRPr="006F5980">
        <w:rPr>
          <w:rFonts w:ascii="Geomanist Light" w:eastAsia="Calibri" w:hAnsi="Geomanist Light" w:cs="Arial"/>
          <w:sz w:val="22"/>
        </w:rPr>
        <w:t>r</w:t>
      </w:r>
      <w:r w:rsidR="008024C6" w:rsidRPr="006F5980">
        <w:rPr>
          <w:rFonts w:ascii="Geomanist Light" w:eastAsia="Calibri" w:hAnsi="Geomanist Light" w:cs="Arial"/>
          <w:sz w:val="22"/>
        </w:rPr>
        <w:t xml:space="preserve"> Hernández</w:t>
      </w:r>
      <w:r w:rsidR="00567165" w:rsidRPr="006F5980">
        <w:rPr>
          <w:rFonts w:ascii="Geomanist Light" w:eastAsia="Calibri" w:hAnsi="Geomanist Light" w:cs="Arial"/>
          <w:sz w:val="22"/>
        </w:rPr>
        <w:t xml:space="preserve">: </w:t>
      </w:r>
    </w:p>
    <w:p w14:paraId="24D48CA1" w14:textId="77777777" w:rsidR="00904CD9" w:rsidRPr="00EC1AD6" w:rsidRDefault="00904CD9" w:rsidP="00301AA8">
      <w:pPr>
        <w:spacing w:line="276" w:lineRule="auto"/>
        <w:rPr>
          <w:rFonts w:ascii="Geomanist Light" w:eastAsia="Calibri" w:hAnsi="Geomanist Light" w:cs="Arial"/>
          <w:sz w:val="22"/>
          <w:lang w:val="es-CO"/>
        </w:rPr>
      </w:pPr>
    </w:p>
    <w:p w14:paraId="0923B836" w14:textId="725F1399" w:rsidR="00904CD9" w:rsidRPr="006F5980" w:rsidRDefault="00912BD6" w:rsidP="00301AA8">
      <w:pPr>
        <w:spacing w:line="276" w:lineRule="auto"/>
        <w:jc w:val="both"/>
        <w:rPr>
          <w:rFonts w:ascii="Geomanist Light" w:eastAsia="Calibri" w:hAnsi="Geomanist Light" w:cs="Arial"/>
          <w:sz w:val="22"/>
        </w:rPr>
      </w:pPr>
      <w:r w:rsidRPr="006F5980">
        <w:rPr>
          <w:rFonts w:ascii="Geomanist Light" w:eastAsia="Calibri" w:hAnsi="Geomanist Light" w:cs="Arial"/>
          <w:sz w:val="22"/>
        </w:rPr>
        <w:t>En ejercicio de la competencia otorgada por el numeral 8 del artículo 11 y el numeral 5 del artículo 3 del Decreto Ley 4170 de 2011, la Agencia Nacional de Contratación Pública – Colombia Compra</w:t>
      </w:r>
      <w:r w:rsidR="00626B4F" w:rsidRPr="006F5980">
        <w:rPr>
          <w:rFonts w:ascii="Geomanist Light" w:eastAsia="Calibri" w:hAnsi="Geomanist Light" w:cs="Arial"/>
          <w:sz w:val="22"/>
        </w:rPr>
        <w:t xml:space="preserve"> Efici</w:t>
      </w:r>
      <w:r w:rsidR="001A4138" w:rsidRPr="006F5980">
        <w:rPr>
          <w:rFonts w:ascii="Geomanist Light" w:eastAsia="Calibri" w:hAnsi="Geomanist Light" w:cs="Arial"/>
          <w:sz w:val="22"/>
        </w:rPr>
        <w:t>ent</w:t>
      </w:r>
      <w:r w:rsidR="005D269B" w:rsidRPr="006F5980">
        <w:rPr>
          <w:rFonts w:ascii="Geomanist Light" w:eastAsia="Calibri" w:hAnsi="Geomanist Light" w:cs="Arial"/>
          <w:sz w:val="22"/>
        </w:rPr>
        <w:t>e</w:t>
      </w:r>
      <w:r w:rsidR="00642694" w:rsidRPr="006F5980">
        <w:rPr>
          <w:rFonts w:ascii="Geomanist Light" w:eastAsia="Calibri" w:hAnsi="Geomanist Light" w:cs="Arial"/>
          <w:sz w:val="22"/>
        </w:rPr>
        <w:t>,</w:t>
      </w:r>
      <w:r w:rsidR="005D269B" w:rsidRPr="006F5980">
        <w:rPr>
          <w:rFonts w:ascii="Geomanist Light" w:eastAsia="Calibri" w:hAnsi="Geomanist Light" w:cs="Arial"/>
          <w:sz w:val="22"/>
        </w:rPr>
        <w:t xml:space="preserve"> responde su consulta del </w:t>
      </w:r>
      <w:r w:rsidR="008024C6" w:rsidRPr="006F5980">
        <w:rPr>
          <w:rFonts w:ascii="Geomanist Light" w:eastAsia="Calibri" w:hAnsi="Geomanist Light" w:cs="Arial"/>
          <w:sz w:val="22"/>
        </w:rPr>
        <w:t>5</w:t>
      </w:r>
      <w:r w:rsidR="005D269B" w:rsidRPr="006F5980">
        <w:rPr>
          <w:rFonts w:ascii="Geomanist Light" w:eastAsia="Calibri" w:hAnsi="Geomanist Light" w:cs="Arial"/>
          <w:sz w:val="22"/>
        </w:rPr>
        <w:t xml:space="preserve"> de </w:t>
      </w:r>
      <w:r w:rsidR="008024C6" w:rsidRPr="006F5980">
        <w:rPr>
          <w:rFonts w:ascii="Geomanist Light" w:eastAsia="Calibri" w:hAnsi="Geomanist Light" w:cs="Arial"/>
          <w:sz w:val="22"/>
        </w:rPr>
        <w:t>octubre</w:t>
      </w:r>
      <w:r w:rsidR="008B438D" w:rsidRPr="006F5980">
        <w:rPr>
          <w:rFonts w:ascii="Geomanist Light" w:eastAsia="Calibri" w:hAnsi="Geomanist Light" w:cs="Arial"/>
          <w:sz w:val="22"/>
        </w:rPr>
        <w:t xml:space="preserve"> de 2022</w:t>
      </w:r>
      <w:r w:rsidR="001A4138" w:rsidRPr="006F5980">
        <w:rPr>
          <w:rFonts w:ascii="Geomanist Light" w:eastAsia="Calibri" w:hAnsi="Geomanist Light" w:cs="Arial"/>
          <w:sz w:val="22"/>
        </w:rPr>
        <w:t xml:space="preserve">. </w:t>
      </w:r>
    </w:p>
    <w:p w14:paraId="3A5E9A2D" w14:textId="77777777" w:rsidR="00904CD9" w:rsidRPr="00EC1AD6" w:rsidRDefault="00904CD9" w:rsidP="00904CD9">
      <w:pPr>
        <w:spacing w:line="276" w:lineRule="auto"/>
        <w:jc w:val="both"/>
        <w:rPr>
          <w:rFonts w:ascii="Geomanist Light" w:eastAsia="Calibri" w:hAnsi="Geomanist Light" w:cs="Arial"/>
          <w:sz w:val="22"/>
          <w:lang w:val="es-CO"/>
        </w:rPr>
      </w:pPr>
    </w:p>
    <w:p w14:paraId="5A4D90C7" w14:textId="3CFBE737" w:rsidR="00904CD9" w:rsidRPr="006F5980" w:rsidRDefault="00904CD9" w:rsidP="00904CD9">
      <w:pPr>
        <w:pStyle w:val="Prrafodelista"/>
        <w:numPr>
          <w:ilvl w:val="0"/>
          <w:numId w:val="6"/>
        </w:numPr>
        <w:tabs>
          <w:tab w:val="left" w:pos="284"/>
        </w:tabs>
        <w:spacing w:line="276" w:lineRule="auto"/>
        <w:ind w:left="0" w:firstLine="0"/>
        <w:jc w:val="both"/>
        <w:rPr>
          <w:rFonts w:ascii="Geomanist Light" w:eastAsia="Calibri" w:hAnsi="Geomanist Light" w:cs="Arial"/>
          <w:b/>
          <w:bCs/>
          <w:sz w:val="22"/>
        </w:rPr>
      </w:pPr>
      <w:r w:rsidRPr="006F5980">
        <w:rPr>
          <w:rFonts w:ascii="Geomanist Light" w:eastAsia="Calibri" w:hAnsi="Geomanist Light" w:cs="Arial"/>
          <w:b/>
          <w:bCs/>
          <w:sz w:val="22"/>
        </w:rPr>
        <w:t xml:space="preserve">Problema planteado </w:t>
      </w:r>
    </w:p>
    <w:p w14:paraId="6CB819BA" w14:textId="77777777" w:rsidR="00904CD9" w:rsidRPr="00EC1AD6" w:rsidRDefault="00904CD9" w:rsidP="00FD7994">
      <w:pPr>
        <w:tabs>
          <w:tab w:val="left" w:pos="426"/>
        </w:tabs>
        <w:spacing w:line="276" w:lineRule="auto"/>
        <w:jc w:val="both"/>
        <w:rPr>
          <w:rFonts w:ascii="Geomanist Light" w:eastAsia="Calibri" w:hAnsi="Geomanist Light" w:cs="Arial"/>
          <w:b/>
          <w:sz w:val="22"/>
          <w:lang w:val="es-CO"/>
        </w:rPr>
      </w:pPr>
    </w:p>
    <w:p w14:paraId="63F8AD10" w14:textId="46925C9B" w:rsidR="00AD4DD0" w:rsidRPr="006F5980" w:rsidRDefault="00AD4DD0" w:rsidP="00301AA8">
      <w:pPr>
        <w:jc w:val="both"/>
        <w:rPr>
          <w:rFonts w:ascii="Geomanist Light" w:eastAsia="Calibri" w:hAnsi="Geomanist Light" w:cs="Arial"/>
          <w:sz w:val="22"/>
        </w:rPr>
      </w:pPr>
      <w:r w:rsidRPr="006F5980">
        <w:rPr>
          <w:rFonts w:ascii="Geomanist Light" w:eastAsia="Calibri" w:hAnsi="Geomanist Light" w:cs="Arial"/>
          <w:sz w:val="22"/>
        </w:rPr>
        <w:t xml:space="preserve">Usted formula la siguiente </w:t>
      </w:r>
      <w:r w:rsidR="000970A3" w:rsidRPr="006F5980">
        <w:rPr>
          <w:rFonts w:ascii="Geomanist Light" w:eastAsia="Calibri" w:hAnsi="Geomanist Light" w:cs="Arial"/>
          <w:sz w:val="22"/>
        </w:rPr>
        <w:t xml:space="preserve">consulta sobre </w:t>
      </w:r>
      <w:r w:rsidRPr="006F5980">
        <w:rPr>
          <w:rFonts w:ascii="Geomanist Light" w:eastAsia="Calibri" w:hAnsi="Geomanist Light" w:cs="Arial"/>
          <w:sz w:val="22"/>
        </w:rPr>
        <w:t xml:space="preserve">los Documentos Tipo </w:t>
      </w:r>
      <w:r w:rsidR="000970A3" w:rsidRPr="006F5980">
        <w:rPr>
          <w:rFonts w:ascii="Geomanist Light" w:eastAsia="Calibri" w:hAnsi="Geomanist Light" w:cs="Arial"/>
          <w:sz w:val="22"/>
        </w:rPr>
        <w:t>para obra</w:t>
      </w:r>
      <w:r w:rsidR="00301AA8" w:rsidRPr="006F5980">
        <w:rPr>
          <w:rFonts w:ascii="Geomanist Light" w:eastAsia="Calibri" w:hAnsi="Geomanist Light" w:cs="Arial"/>
          <w:sz w:val="22"/>
        </w:rPr>
        <w:t>s</w:t>
      </w:r>
      <w:r w:rsidR="000970A3" w:rsidRPr="006F5980">
        <w:rPr>
          <w:rFonts w:ascii="Geomanist Light" w:eastAsia="Calibri" w:hAnsi="Geomanist Light" w:cs="Arial"/>
          <w:sz w:val="22"/>
        </w:rPr>
        <w:t xml:space="preserve"> pública</w:t>
      </w:r>
      <w:r w:rsidR="00301AA8" w:rsidRPr="006F5980">
        <w:rPr>
          <w:rFonts w:ascii="Geomanist Light" w:eastAsia="Calibri" w:hAnsi="Geomanist Light" w:cs="Arial"/>
          <w:sz w:val="22"/>
        </w:rPr>
        <w:t>s</w:t>
      </w:r>
      <w:r w:rsidR="000970A3" w:rsidRPr="006F5980">
        <w:rPr>
          <w:rFonts w:ascii="Geomanist Light" w:eastAsia="Calibri" w:hAnsi="Geomanist Light" w:cs="Arial"/>
          <w:sz w:val="22"/>
        </w:rPr>
        <w:t xml:space="preserve"> de infraestructura de transporte:</w:t>
      </w:r>
    </w:p>
    <w:p w14:paraId="7E7C8995" w14:textId="77777777" w:rsidR="00582241" w:rsidRPr="00EC1AD6" w:rsidRDefault="00582241" w:rsidP="00582241">
      <w:pPr>
        <w:spacing w:line="276" w:lineRule="auto"/>
        <w:ind w:firstLine="708"/>
        <w:jc w:val="both"/>
        <w:rPr>
          <w:rFonts w:ascii="Geomanist Light" w:hAnsi="Geomanist Light" w:cs="Arial"/>
          <w:sz w:val="22"/>
          <w:lang w:val="es-ES"/>
        </w:rPr>
      </w:pPr>
    </w:p>
    <w:p w14:paraId="75FC3A6D" w14:textId="77777777" w:rsidR="00A10100" w:rsidRPr="006F5980" w:rsidRDefault="00DA1498" w:rsidP="00301AA8">
      <w:pPr>
        <w:pStyle w:val="Textoindependiente"/>
        <w:ind w:left="709" w:right="709"/>
        <w:jc w:val="both"/>
        <w:rPr>
          <w:rFonts w:ascii="Geomanist Light" w:eastAsia="Calibri" w:hAnsi="Geomanist Light"/>
          <w:sz w:val="21"/>
          <w:szCs w:val="21"/>
          <w:lang w:val="es-MX"/>
        </w:rPr>
      </w:pPr>
      <w:r w:rsidRPr="006F5980">
        <w:rPr>
          <w:rFonts w:ascii="Geomanist Light" w:eastAsia="Calibri" w:hAnsi="Geomanist Light"/>
          <w:sz w:val="21"/>
          <w:szCs w:val="21"/>
          <w:lang w:val="es-MX"/>
        </w:rPr>
        <w:t>«</w:t>
      </w:r>
      <w:r w:rsidR="00582241" w:rsidRPr="006F5980">
        <w:rPr>
          <w:rFonts w:ascii="Geomanist Light" w:eastAsia="Calibri" w:hAnsi="Geomanist Light"/>
          <w:sz w:val="21"/>
          <w:szCs w:val="21"/>
          <w:lang w:val="es-MX"/>
        </w:rPr>
        <w:t xml:space="preserve">[…] </w:t>
      </w:r>
      <w:r w:rsidR="008024C6" w:rsidRPr="006F5980">
        <w:rPr>
          <w:rFonts w:ascii="Geomanist Light" w:eastAsia="Calibri" w:hAnsi="Geomanist Light"/>
          <w:sz w:val="21"/>
          <w:szCs w:val="21"/>
          <w:lang w:val="es-MX"/>
        </w:rPr>
        <w:t xml:space="preserve">me permito consultarle si esto último, que indica que debe estar firmada la oferta, sería causal de rechazo en caso de que no lo estuviera al aperturar el sobre económico en SECOP II, pues no está estipulada dentro de las causales pero el pliego si indica que debe ser firmada. </w:t>
      </w:r>
    </w:p>
    <w:p w14:paraId="01B2319D" w14:textId="1ACE4365" w:rsidR="00AD4DD0" w:rsidRPr="00EC1AD6" w:rsidRDefault="008024C6" w:rsidP="00301AA8">
      <w:pPr>
        <w:pStyle w:val="Textoindependiente"/>
        <w:ind w:left="709" w:right="709"/>
        <w:jc w:val="both"/>
        <w:rPr>
          <w:rFonts w:ascii="Geomanist Light" w:eastAsia="Calibri" w:hAnsi="Geomanist Light"/>
          <w:color w:val="000000"/>
          <w:sz w:val="21"/>
          <w:szCs w:val="21"/>
        </w:rPr>
      </w:pPr>
      <w:r w:rsidRPr="006F5980">
        <w:rPr>
          <w:rFonts w:ascii="Geomanist Light" w:eastAsia="Calibri" w:hAnsi="Geomanist Light"/>
          <w:sz w:val="21"/>
          <w:szCs w:val="21"/>
          <w:lang w:val="es-MX"/>
        </w:rPr>
        <w:t xml:space="preserve">Así mismo, solicito aclaración en cuanto a la calificación de este factor, pues allí mismo indica que se tendrá en cuenta el valor total indicado en la propuesta económica o el obtenido de la corrección aritmética, lo que dejaría la posibilidad </w:t>
      </w:r>
      <w:r w:rsidRPr="006F5980">
        <w:rPr>
          <w:rFonts w:ascii="Geomanist Light" w:eastAsia="Calibri" w:hAnsi="Geomanist Light"/>
          <w:sz w:val="21"/>
          <w:szCs w:val="21"/>
          <w:lang w:val="es-MX"/>
        </w:rPr>
        <w:lastRenderedPageBreak/>
        <w:t>de tomar cualquiera de los dos[…]</w:t>
      </w:r>
      <w:r w:rsidR="00DA1498" w:rsidRPr="00EC1AD6">
        <w:rPr>
          <w:rFonts w:ascii="Geomanist Light" w:hAnsi="Geomanist Light"/>
          <w:color w:val="000000" w:themeColor="text1"/>
          <w:sz w:val="21"/>
          <w:szCs w:val="21"/>
          <w:lang w:val="es-ES_tradnl"/>
        </w:rPr>
        <w:t>»</w:t>
      </w:r>
      <w:r w:rsidR="000970A3" w:rsidRPr="00EC1AD6">
        <w:rPr>
          <w:rFonts w:ascii="Geomanist Light" w:hAnsi="Geomanist Light"/>
          <w:color w:val="000000" w:themeColor="text1"/>
          <w:sz w:val="21"/>
          <w:szCs w:val="21"/>
          <w:lang w:val="es-ES_tradnl"/>
        </w:rPr>
        <w:t xml:space="preserve"> </w:t>
      </w:r>
    </w:p>
    <w:p w14:paraId="33FD7DD3" w14:textId="1D48B062" w:rsidR="009F6F22" w:rsidRPr="00EC1AD6" w:rsidRDefault="009F6F22" w:rsidP="004A4319">
      <w:pPr>
        <w:pStyle w:val="Default"/>
        <w:ind w:left="709" w:right="709"/>
        <w:jc w:val="both"/>
        <w:rPr>
          <w:rFonts w:ascii="Geomanist Light" w:hAnsi="Geomanist Light"/>
          <w:color w:val="auto"/>
          <w:sz w:val="21"/>
          <w:szCs w:val="21"/>
          <w:lang w:val="es-ES"/>
        </w:rPr>
      </w:pPr>
    </w:p>
    <w:p w14:paraId="76A6A0AF" w14:textId="556BFC7D" w:rsidR="00003409" w:rsidRPr="006F5980" w:rsidRDefault="00301AA8" w:rsidP="00301AA8">
      <w:pPr>
        <w:pStyle w:val="Prrafodelista"/>
        <w:tabs>
          <w:tab w:val="left" w:pos="284"/>
        </w:tabs>
        <w:spacing w:line="276" w:lineRule="auto"/>
        <w:ind w:left="0"/>
        <w:jc w:val="both"/>
        <w:rPr>
          <w:rFonts w:ascii="Geomanist Light" w:eastAsia="Calibri" w:hAnsi="Geomanist Light" w:cs="Arial"/>
          <w:b/>
          <w:bCs/>
          <w:sz w:val="22"/>
        </w:rPr>
      </w:pPr>
      <w:r w:rsidRPr="006F5980">
        <w:rPr>
          <w:rFonts w:ascii="Geomanist Light" w:eastAsia="Calibri" w:hAnsi="Geomanist Light" w:cs="Arial"/>
          <w:b/>
          <w:bCs/>
          <w:sz w:val="22"/>
        </w:rPr>
        <w:t>2.</w:t>
      </w:r>
      <w:r w:rsidR="00003409" w:rsidRPr="006F5980">
        <w:rPr>
          <w:rFonts w:ascii="Geomanist Light" w:eastAsia="Calibri" w:hAnsi="Geomanist Light" w:cs="Arial"/>
          <w:b/>
          <w:bCs/>
          <w:sz w:val="22"/>
        </w:rPr>
        <w:t xml:space="preserve"> Consideraciones</w:t>
      </w:r>
    </w:p>
    <w:p w14:paraId="716F4877" w14:textId="77777777" w:rsidR="00003409" w:rsidRPr="00EC1AD6" w:rsidRDefault="00003409" w:rsidP="004A4319">
      <w:pPr>
        <w:jc w:val="both"/>
        <w:rPr>
          <w:rFonts w:ascii="Geomanist Light" w:eastAsia="Calibri" w:hAnsi="Geomanist Light" w:cs="Arial"/>
          <w:b/>
          <w:sz w:val="22"/>
        </w:rPr>
      </w:pPr>
    </w:p>
    <w:p w14:paraId="6AABA2C0" w14:textId="791354B2" w:rsidR="00B33519" w:rsidRPr="006F5980" w:rsidRDefault="00036CA8" w:rsidP="00EC1AD6">
      <w:pPr>
        <w:spacing w:after="120" w:line="276" w:lineRule="auto"/>
        <w:jc w:val="both"/>
        <w:rPr>
          <w:rFonts w:ascii="Geomanist Light" w:eastAsia="Calibri" w:hAnsi="Geomanist Light" w:cs="Arial"/>
          <w:sz w:val="22"/>
        </w:rPr>
      </w:pPr>
      <w:r w:rsidRPr="006F5980">
        <w:rPr>
          <w:rFonts w:ascii="Geomanist Light" w:eastAsia="Calibri" w:hAnsi="Geomanist Light" w:cs="Arial"/>
          <w:sz w:val="22"/>
        </w:rPr>
        <w:t xml:space="preserve">En consideración a que </w:t>
      </w:r>
      <w:r w:rsidR="00CA0486" w:rsidRPr="006F5980">
        <w:rPr>
          <w:rFonts w:ascii="Geomanist Light" w:eastAsia="Calibri" w:hAnsi="Geomanist Light" w:cs="Arial"/>
          <w:sz w:val="22"/>
        </w:rPr>
        <w:t xml:space="preserve">su consulta </w:t>
      </w:r>
      <w:r w:rsidR="00B623D7" w:rsidRPr="006F5980">
        <w:rPr>
          <w:rFonts w:ascii="Geomanist Light" w:eastAsia="Calibri" w:hAnsi="Geomanist Light" w:cs="Arial"/>
          <w:sz w:val="22"/>
        </w:rPr>
        <w:t xml:space="preserve">se dirige a determinar si la ausencia de firma de la oferta constituye causal de rechazo </w:t>
      </w:r>
      <w:r w:rsidR="00584A15" w:rsidRPr="006F5980">
        <w:rPr>
          <w:rFonts w:ascii="Geomanist Light" w:eastAsia="Calibri" w:hAnsi="Geomanist Light" w:cs="Arial"/>
          <w:sz w:val="22"/>
        </w:rPr>
        <w:t>y</w:t>
      </w:r>
      <w:r w:rsidR="00AC038C" w:rsidRPr="006F5980">
        <w:rPr>
          <w:rFonts w:ascii="Geomanist Light" w:eastAsia="Calibri" w:hAnsi="Geomanist Light" w:cs="Arial"/>
          <w:sz w:val="22"/>
        </w:rPr>
        <w:t xml:space="preserve"> los criterios para calificar este factor, </w:t>
      </w:r>
      <w:r w:rsidR="006C7FED" w:rsidRPr="006F5980">
        <w:rPr>
          <w:rFonts w:ascii="Geomanist Light" w:eastAsia="Calibri" w:hAnsi="Geomanist Light" w:cs="Arial"/>
          <w:sz w:val="22"/>
        </w:rPr>
        <w:t>esta dependencia responderá su solicitud</w:t>
      </w:r>
      <w:r w:rsidR="00944A1C" w:rsidRPr="006F5980">
        <w:rPr>
          <w:rFonts w:ascii="Geomanist Light" w:eastAsia="Calibri" w:hAnsi="Geomanist Light" w:cs="Arial"/>
          <w:sz w:val="22"/>
        </w:rPr>
        <w:t xml:space="preserve">, haciendo </w:t>
      </w:r>
      <w:r w:rsidR="00E233CC" w:rsidRPr="006F5980">
        <w:rPr>
          <w:rFonts w:ascii="Geomanist Light" w:eastAsia="Calibri" w:hAnsi="Geomanist Light" w:cs="Arial"/>
          <w:sz w:val="22"/>
        </w:rPr>
        <w:t xml:space="preserve">alusión a los documentos </w:t>
      </w:r>
      <w:r w:rsidR="000E2241" w:rsidRPr="006F5980">
        <w:rPr>
          <w:rFonts w:ascii="Geomanist Light" w:eastAsia="Calibri" w:hAnsi="Geomanist Light" w:cs="Arial"/>
          <w:sz w:val="22"/>
        </w:rPr>
        <w:t xml:space="preserve">tipo de licitación </w:t>
      </w:r>
      <w:r w:rsidR="00723CA6" w:rsidRPr="006F5980">
        <w:rPr>
          <w:rFonts w:ascii="Geomanist Light" w:eastAsia="Calibri" w:hAnsi="Geomanist Light" w:cs="Arial"/>
          <w:sz w:val="22"/>
        </w:rPr>
        <w:t xml:space="preserve">de obra pública de transporte </w:t>
      </w:r>
      <w:r w:rsidR="00DA49C5" w:rsidRPr="006F5980">
        <w:rPr>
          <w:rFonts w:ascii="Geomanist Light" w:eastAsia="Calibri" w:hAnsi="Geomanist Light" w:cs="Arial"/>
          <w:sz w:val="22"/>
        </w:rPr>
        <w:t>– Versión 3</w:t>
      </w:r>
      <w:r w:rsidR="005C5E73" w:rsidRPr="006F5980">
        <w:rPr>
          <w:rFonts w:ascii="Geomanist Light" w:eastAsia="Calibri" w:hAnsi="Geomanist Light" w:cs="Arial"/>
          <w:sz w:val="22"/>
        </w:rPr>
        <w:t xml:space="preserve">, sin perjuicio </w:t>
      </w:r>
      <w:r w:rsidR="0048316D" w:rsidRPr="006F5980">
        <w:rPr>
          <w:rFonts w:ascii="Geomanist Light" w:eastAsia="Calibri" w:hAnsi="Geomanist Light" w:cs="Arial"/>
          <w:sz w:val="22"/>
        </w:rPr>
        <w:t xml:space="preserve">de que estos </w:t>
      </w:r>
      <w:r w:rsidR="00AF201D" w:rsidRPr="006F5980">
        <w:rPr>
          <w:rFonts w:ascii="Geomanist Light" w:eastAsia="Calibri" w:hAnsi="Geomanist Light" w:cs="Arial"/>
          <w:sz w:val="22"/>
        </w:rPr>
        <w:t xml:space="preserve">criterios se apliquen a otros documentos tipo. </w:t>
      </w:r>
    </w:p>
    <w:p w14:paraId="7BF71092" w14:textId="75A52579" w:rsidR="00F858AD" w:rsidRPr="006F5980" w:rsidRDefault="00B33519" w:rsidP="001F25A1">
      <w:pPr>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Aclarado lo anterior, p</w:t>
      </w:r>
      <w:r w:rsidR="00F858AD" w:rsidRPr="006F5980">
        <w:rPr>
          <w:rFonts w:ascii="Geomanist Light" w:eastAsia="Calibri" w:hAnsi="Geomanist Light" w:cs="Arial"/>
          <w:sz w:val="22"/>
        </w:rPr>
        <w:t>ara absolver la consulta planteada se abordarán los siguientes temas: i)</w:t>
      </w:r>
      <w:r w:rsidR="00E10A61" w:rsidRPr="00EC1AD6">
        <w:rPr>
          <w:rFonts w:ascii="Geomanist Light" w:hAnsi="Geomanist Light"/>
        </w:rPr>
        <w:t xml:space="preserve"> </w:t>
      </w:r>
      <w:r w:rsidR="00E10A61" w:rsidRPr="006F5980">
        <w:rPr>
          <w:rFonts w:ascii="Geomanist Light" w:eastAsia="Calibri" w:hAnsi="Geomanist Light" w:cs="Arial"/>
          <w:sz w:val="22"/>
        </w:rPr>
        <w:t xml:space="preserve">el «Formulario 1 – Formulario de Presupuesto Oficial» y la presentación de la oferta económica, </w:t>
      </w:r>
      <w:r w:rsidR="00F858AD" w:rsidRPr="006F5980">
        <w:rPr>
          <w:rFonts w:ascii="Geomanist Light" w:eastAsia="Calibri" w:hAnsi="Geomanist Light" w:cs="Arial"/>
          <w:sz w:val="22"/>
        </w:rPr>
        <w:t xml:space="preserve"> ii)</w:t>
      </w:r>
      <w:r w:rsidR="00E10A61" w:rsidRPr="00EC1AD6">
        <w:rPr>
          <w:rFonts w:ascii="Geomanist Light" w:hAnsi="Geomanist Light"/>
        </w:rPr>
        <w:t xml:space="preserve"> </w:t>
      </w:r>
      <w:r w:rsidR="00E10A61" w:rsidRPr="006F5980">
        <w:rPr>
          <w:rFonts w:ascii="Geomanist Light" w:eastAsia="Calibri" w:hAnsi="Geomanist Light" w:cs="Arial"/>
          <w:sz w:val="22"/>
        </w:rPr>
        <w:t>Causales de rechazo previstas en los documentos tipo de obra pública de infraestructura de transporte. Que la propuesta no se aporte firmada y iii)</w:t>
      </w:r>
      <w:r w:rsidR="00F858AD" w:rsidRPr="006F5980">
        <w:rPr>
          <w:rFonts w:ascii="Geomanist Light" w:eastAsia="Calibri" w:hAnsi="Geomanist Light" w:cs="Arial"/>
          <w:sz w:val="22"/>
        </w:rPr>
        <w:t xml:space="preserve"> </w:t>
      </w:r>
      <w:r w:rsidR="00F306C1" w:rsidRPr="006F5980">
        <w:rPr>
          <w:rFonts w:ascii="Geomanist Light" w:eastAsia="Calibri" w:hAnsi="Geomanist Light" w:cs="Arial"/>
          <w:sz w:val="22"/>
        </w:rPr>
        <w:t>Reglas para la corrección aritmética en los documentos tipo de licitación para obras públicas de infraestructura de transporte –versión 3–</w:t>
      </w:r>
      <w:r w:rsidR="0050066F" w:rsidRPr="006F5980">
        <w:rPr>
          <w:rFonts w:ascii="Geomanist Light" w:eastAsia="Calibri" w:hAnsi="Geomanist Light" w:cs="Arial"/>
          <w:sz w:val="22"/>
        </w:rPr>
        <w:t>.</w:t>
      </w:r>
    </w:p>
    <w:p w14:paraId="4C356B62" w14:textId="5B9B9A0D" w:rsidR="003415A9" w:rsidRPr="00EC1AD6" w:rsidRDefault="00F172AE" w:rsidP="004A4319">
      <w:pPr>
        <w:spacing w:line="276" w:lineRule="auto"/>
        <w:ind w:firstLine="708"/>
        <w:jc w:val="both"/>
        <w:rPr>
          <w:rStyle w:val="normaltextrun"/>
          <w:rFonts w:ascii="Geomanist Light" w:hAnsi="Geomanist Light" w:cs="Arial"/>
          <w:sz w:val="22"/>
          <w:shd w:val="clear" w:color="auto" w:fill="FFFFFF"/>
          <w:lang w:val="es-CO"/>
        </w:rPr>
      </w:pPr>
      <w:r w:rsidRPr="006F5980">
        <w:rPr>
          <w:rFonts w:ascii="Geomanist Light" w:eastAsia="Calibri" w:hAnsi="Geomanist Light"/>
          <w:sz w:val="22"/>
        </w:rPr>
        <w:t xml:space="preserve">La Agencia Nacional de Contratación Pública − Colombia Compra Eficiente ha abordado </w:t>
      </w:r>
      <w:r w:rsidR="00F26E22" w:rsidRPr="006F5980">
        <w:rPr>
          <w:rFonts w:ascii="Geomanist Light" w:eastAsia="Calibri" w:hAnsi="Geomanist Light"/>
          <w:sz w:val="22"/>
        </w:rPr>
        <w:t>el tema de los documentos tipo,</w:t>
      </w:r>
      <w:r w:rsidRPr="006F5980">
        <w:rPr>
          <w:rFonts w:ascii="Geomanist Light" w:eastAsia="Calibri" w:hAnsi="Geomanist Light"/>
          <w:sz w:val="22"/>
        </w:rPr>
        <w:t xml:space="preserve"> su inalterabilidad</w:t>
      </w:r>
      <w:r w:rsidR="00F26E22" w:rsidRPr="006F5980">
        <w:rPr>
          <w:rFonts w:ascii="Geomanist Light" w:eastAsia="Calibri" w:hAnsi="Geomanist Light"/>
          <w:sz w:val="22"/>
        </w:rPr>
        <w:t xml:space="preserve"> y las causales de rechazo</w:t>
      </w:r>
      <w:r w:rsidRPr="006F5980">
        <w:rPr>
          <w:rFonts w:ascii="Geomanist Light" w:eastAsia="Calibri" w:hAnsi="Geomanist Light"/>
          <w:sz w:val="22"/>
        </w:rPr>
        <w:t xml:space="preserve">, entre otros,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C-031 del 1 de febrero de 2021, C-027 del 1 de marzo de 2021, C-064 del 8 de marzo 2021, </w:t>
      </w:r>
      <w:r w:rsidR="00CE5EC3" w:rsidRPr="006F5980">
        <w:rPr>
          <w:rFonts w:ascii="Geomanist Light" w:eastAsia="Calibri" w:hAnsi="Geomanist Light" w:cs="Arial"/>
          <w:sz w:val="22"/>
        </w:rPr>
        <w:t xml:space="preserve">C-096 del 24 de marzo de 2021, </w:t>
      </w:r>
      <w:r w:rsidR="00CE5EC3" w:rsidRPr="006F5980">
        <w:rPr>
          <w:rFonts w:ascii="Geomanist Light" w:eastAsia="Calibri" w:hAnsi="Geomanist Light"/>
          <w:sz w:val="22"/>
        </w:rPr>
        <w:t xml:space="preserve">C-157 del 13 de abril de 2021, </w:t>
      </w:r>
      <w:r w:rsidR="00CE5EC3" w:rsidRPr="006F5980">
        <w:rPr>
          <w:rFonts w:ascii="Geomanist Light" w:eastAsia="Calibri" w:hAnsi="Geomanist Light" w:cs="Arial"/>
          <w:sz w:val="22"/>
        </w:rPr>
        <w:t xml:space="preserve">C-056 del 20 de abril de 2021, </w:t>
      </w:r>
      <w:r w:rsidRPr="006F5980">
        <w:rPr>
          <w:rFonts w:ascii="Geomanist Light" w:eastAsia="Calibri" w:hAnsi="Geomanist Light"/>
          <w:sz w:val="22"/>
        </w:rPr>
        <w:t>C-204 del 6 de mayo de 2021, C-555 del 20 de octubre de 2021, C-691 del 28 de</w:t>
      </w:r>
      <w:r w:rsidR="00BB78E0" w:rsidRPr="006F5980">
        <w:rPr>
          <w:rFonts w:ascii="Geomanist Light" w:eastAsia="Calibri" w:hAnsi="Geomanist Light"/>
          <w:sz w:val="22"/>
        </w:rPr>
        <w:t xml:space="preserve"> diciembre de 2021,</w:t>
      </w:r>
      <w:r w:rsidRPr="006F5980">
        <w:rPr>
          <w:rFonts w:ascii="Geomanist Light" w:eastAsia="Calibri" w:hAnsi="Geomanist Light"/>
          <w:sz w:val="22"/>
        </w:rPr>
        <w:t xml:space="preserve"> C-753 del </w:t>
      </w:r>
      <w:r w:rsidR="008B438D" w:rsidRPr="006F5980">
        <w:rPr>
          <w:rFonts w:ascii="Geomanist Light" w:eastAsia="Calibri" w:hAnsi="Geomanist Light"/>
          <w:sz w:val="22"/>
        </w:rPr>
        <w:t>06 de febrero de 2022</w:t>
      </w:r>
      <w:r w:rsidR="00F26E22" w:rsidRPr="006F5980">
        <w:rPr>
          <w:rFonts w:ascii="Geomanist Light" w:eastAsia="Calibri" w:hAnsi="Geomanist Light"/>
          <w:sz w:val="22"/>
        </w:rPr>
        <w:t>, C-078 del 15 de marzo de 2022,</w:t>
      </w:r>
      <w:r w:rsidR="00BB78E0" w:rsidRPr="006F5980">
        <w:rPr>
          <w:rFonts w:ascii="Geomanist Light" w:eastAsia="Calibri" w:hAnsi="Geomanist Light"/>
          <w:sz w:val="22"/>
        </w:rPr>
        <w:t xml:space="preserve"> C-321</w:t>
      </w:r>
      <w:r w:rsidR="00F26E22" w:rsidRPr="006F5980">
        <w:rPr>
          <w:rFonts w:ascii="Geomanist Light" w:eastAsia="Calibri" w:hAnsi="Geomanist Light"/>
          <w:sz w:val="22"/>
        </w:rPr>
        <w:t xml:space="preserve"> del 17 de mayo de 2022, C-113 del 22 de marzo de 2022, C-178 C-186  </w:t>
      </w:r>
      <w:r w:rsidR="00F26E22" w:rsidRPr="006F5980">
        <w:rPr>
          <w:rFonts w:ascii="Geomanist Light" w:eastAsia="Calibri" w:hAnsi="Geomanist Light"/>
          <w:sz w:val="22"/>
        </w:rPr>
        <w:lastRenderedPageBreak/>
        <w:t>del 12 de abril de 2022</w:t>
      </w:r>
      <w:r w:rsidR="001F6D45" w:rsidRPr="006F5980">
        <w:rPr>
          <w:rFonts w:ascii="Geomanist Light" w:eastAsia="Calibri" w:hAnsi="Geomanist Light"/>
          <w:sz w:val="22"/>
        </w:rPr>
        <w:t>,</w:t>
      </w:r>
      <w:r w:rsidR="008E315A" w:rsidRPr="006F5980">
        <w:rPr>
          <w:rFonts w:ascii="Geomanist Light" w:eastAsia="Calibri" w:hAnsi="Geomanist Light"/>
          <w:sz w:val="22"/>
        </w:rPr>
        <w:t xml:space="preserve"> C-403 de 22 de junio de 2022,</w:t>
      </w:r>
      <w:r w:rsidR="00B5554D" w:rsidRPr="006F5980">
        <w:rPr>
          <w:rFonts w:ascii="Geomanist Light" w:eastAsia="Calibri" w:hAnsi="Geomanist Light"/>
          <w:sz w:val="22"/>
        </w:rPr>
        <w:t xml:space="preserve"> </w:t>
      </w:r>
      <w:r w:rsidR="0055768B" w:rsidRPr="006F5980">
        <w:rPr>
          <w:rFonts w:ascii="Geomanist Light" w:eastAsia="Calibri" w:hAnsi="Geomanist Light"/>
          <w:sz w:val="22"/>
        </w:rPr>
        <w:t xml:space="preserve">C- 413 de 24 de junio de 2022, </w:t>
      </w:r>
      <w:r w:rsidR="00B5554D" w:rsidRPr="006F5980">
        <w:rPr>
          <w:rFonts w:ascii="Geomanist Light" w:eastAsia="Calibri" w:hAnsi="Geomanist Light"/>
          <w:sz w:val="22"/>
        </w:rPr>
        <w:t>C-444 del 30 de junio de 2022</w:t>
      </w:r>
      <w:r w:rsidR="001F6D45" w:rsidRPr="006F5980">
        <w:rPr>
          <w:rFonts w:ascii="Geomanist Light" w:eastAsia="Calibri" w:hAnsi="Geomanist Light"/>
          <w:sz w:val="22"/>
        </w:rPr>
        <w:t xml:space="preserve"> </w:t>
      </w:r>
      <w:r w:rsidR="001F7C9F" w:rsidRPr="006F5980">
        <w:rPr>
          <w:rFonts w:ascii="Geomanist Light" w:eastAsia="Calibri" w:hAnsi="Geomanist Light"/>
          <w:sz w:val="22"/>
        </w:rPr>
        <w:t xml:space="preserve">, </w:t>
      </w:r>
      <w:r w:rsidR="006159E5" w:rsidRPr="006F5980">
        <w:rPr>
          <w:rFonts w:ascii="Geomanist Light" w:eastAsia="Calibri" w:hAnsi="Geomanist Light"/>
          <w:sz w:val="22"/>
        </w:rPr>
        <w:t xml:space="preserve">C- 578 de 9 de septiembre de 2022, </w:t>
      </w:r>
      <w:r w:rsidR="001F6D45" w:rsidRPr="006F5980">
        <w:rPr>
          <w:rFonts w:ascii="Geomanist Light" w:eastAsia="Calibri" w:hAnsi="Geomanist Light"/>
          <w:sz w:val="22"/>
        </w:rPr>
        <w:t>C-595 de 9 de septiembre de 2022</w:t>
      </w:r>
      <w:r w:rsidR="001F7C9F" w:rsidRPr="006F5980">
        <w:rPr>
          <w:rFonts w:ascii="Geomanist Light" w:eastAsia="Calibri" w:hAnsi="Geomanist Light"/>
          <w:sz w:val="22"/>
        </w:rPr>
        <w:t xml:space="preserve">, </w:t>
      </w:r>
      <w:r w:rsidR="00011ADD" w:rsidRPr="006F5980">
        <w:rPr>
          <w:rFonts w:ascii="Geomanist Light" w:eastAsia="Calibri" w:hAnsi="Geomanist Light"/>
          <w:sz w:val="22"/>
        </w:rPr>
        <w:t xml:space="preserve">C-657 de </w:t>
      </w:r>
      <w:r w:rsidR="00032695" w:rsidRPr="006F5980">
        <w:rPr>
          <w:rFonts w:ascii="Geomanist Light" w:eastAsia="Calibri" w:hAnsi="Geomanist Light"/>
          <w:sz w:val="22"/>
        </w:rPr>
        <w:t xml:space="preserve">11 de octubre de 2022, </w:t>
      </w:r>
      <w:r w:rsidR="001F7C9F" w:rsidRPr="006F5980">
        <w:rPr>
          <w:rFonts w:ascii="Geomanist Light" w:eastAsia="Calibri" w:hAnsi="Geomanist Light"/>
          <w:sz w:val="22"/>
        </w:rPr>
        <w:t>C-745 de 26 de septiembre de 2022,</w:t>
      </w:r>
      <w:r w:rsidR="000B37A1" w:rsidRPr="006F5980">
        <w:rPr>
          <w:rFonts w:ascii="Geomanist Light" w:eastAsia="Calibri" w:hAnsi="Geomanist Light"/>
          <w:sz w:val="22"/>
        </w:rPr>
        <w:t xml:space="preserve"> </w:t>
      </w:r>
      <w:r w:rsidR="008B2549" w:rsidRPr="006F5980">
        <w:rPr>
          <w:rFonts w:ascii="Geomanist Light" w:eastAsia="Calibri" w:hAnsi="Geomanist Light"/>
          <w:sz w:val="22"/>
        </w:rPr>
        <w:t xml:space="preserve">y </w:t>
      </w:r>
      <w:r w:rsidR="000B37A1" w:rsidRPr="006F5980">
        <w:rPr>
          <w:rFonts w:ascii="Geomanist Light" w:eastAsia="Calibri" w:hAnsi="Geomanist Light"/>
          <w:sz w:val="22"/>
        </w:rPr>
        <w:t xml:space="preserve">C-748 de </w:t>
      </w:r>
      <w:r w:rsidR="00011ADD" w:rsidRPr="006F5980">
        <w:rPr>
          <w:rFonts w:ascii="Geomanist Light" w:eastAsia="Calibri" w:hAnsi="Geomanist Light"/>
          <w:sz w:val="22"/>
        </w:rPr>
        <w:t>10 de noviembre de 2022</w:t>
      </w:r>
      <w:r w:rsidR="001F7C9F" w:rsidRPr="006F5980">
        <w:rPr>
          <w:rFonts w:ascii="Geomanist Light" w:eastAsia="Calibri" w:hAnsi="Geomanist Light"/>
          <w:sz w:val="22"/>
        </w:rPr>
        <w:t xml:space="preserve"> </w:t>
      </w:r>
      <w:r w:rsidR="001F6D45" w:rsidRPr="00EC1AD6">
        <w:rPr>
          <w:rStyle w:val="Refdenotaalpie"/>
          <w:rFonts w:ascii="Geomanist Light" w:hAnsi="Geomanist Light" w:cs="Arial"/>
          <w:sz w:val="22"/>
          <w:shd w:val="clear" w:color="auto" w:fill="FFFFFF"/>
          <w:lang w:val="es-CO"/>
        </w:rPr>
        <w:footnoteReference w:id="1"/>
      </w:r>
      <w:r w:rsidR="00F26E22" w:rsidRPr="00EC1AD6">
        <w:rPr>
          <w:rStyle w:val="normaltextrun"/>
          <w:rFonts w:ascii="Geomanist Light" w:hAnsi="Geomanist Light" w:cs="Arial"/>
          <w:sz w:val="22"/>
          <w:shd w:val="clear" w:color="auto" w:fill="FFFFFF"/>
          <w:lang w:val="es-CO"/>
        </w:rPr>
        <w:t>.</w:t>
      </w:r>
    </w:p>
    <w:p w14:paraId="3C310830" w14:textId="4013DE12" w:rsidR="003415A9" w:rsidRPr="00EC1AD6" w:rsidRDefault="003415A9" w:rsidP="004A4319">
      <w:pPr>
        <w:spacing w:line="276" w:lineRule="auto"/>
        <w:ind w:firstLine="708"/>
        <w:jc w:val="both"/>
        <w:rPr>
          <w:rStyle w:val="normaltextrun"/>
          <w:rFonts w:ascii="Geomanist Light" w:hAnsi="Geomanist Light" w:cs="Arial"/>
          <w:sz w:val="22"/>
          <w:shd w:val="clear" w:color="auto" w:fill="FFFFFF"/>
          <w:lang w:val="es-CO"/>
        </w:rPr>
      </w:pPr>
    </w:p>
    <w:p w14:paraId="7B752DC1" w14:textId="58884AE0" w:rsidR="00F90DB5" w:rsidRPr="006F5980" w:rsidRDefault="003415A9" w:rsidP="00301AA8">
      <w:pPr>
        <w:spacing w:after="120" w:line="276" w:lineRule="auto"/>
        <w:ind w:firstLine="708"/>
        <w:jc w:val="both"/>
        <w:rPr>
          <w:rFonts w:ascii="Geomanist Light" w:eastAsia="Calibri" w:hAnsi="Geomanist Light"/>
          <w:sz w:val="22"/>
        </w:rPr>
      </w:pPr>
      <w:r w:rsidRPr="006F5980">
        <w:rPr>
          <w:rFonts w:ascii="Geomanist Light" w:eastAsia="Calibri" w:hAnsi="Geomanist Light"/>
          <w:sz w:val="22"/>
        </w:rPr>
        <w:t xml:space="preserve">Así mismo, </w:t>
      </w:r>
      <w:r w:rsidRPr="006F5980">
        <w:rPr>
          <w:rFonts w:ascii="Geomanist Light" w:eastAsia="Calibri" w:hAnsi="Geomanist Light" w:cs="Arial"/>
          <w:sz w:val="22"/>
        </w:rPr>
        <w:t>en el concepto con radicado No. 4201912000004987 del 14 de agosto de 2019, reiterado y desarrollado en los conceptos No. 4201913000005675 del 25 de septiembre de 2019, 4201912000005852 del 25 de septiembre de 2019, 4201912000006447 del 10 de octubre de 2019, 4201912000006498 del 7 de octubre de 2019,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w:t>
      </w:r>
      <w:r w:rsidR="005872E0" w:rsidRPr="006F5980">
        <w:rPr>
          <w:rFonts w:ascii="Geomanist Light" w:eastAsia="Calibri" w:hAnsi="Geomanist Light" w:cs="Arial"/>
          <w:sz w:val="22"/>
        </w:rPr>
        <w:t>,</w:t>
      </w:r>
      <w:r w:rsidRPr="006F5980">
        <w:rPr>
          <w:rFonts w:ascii="Geomanist Light" w:eastAsia="Calibri" w:hAnsi="Geomanist Light" w:cs="Arial"/>
          <w:sz w:val="22"/>
        </w:rPr>
        <w:t xml:space="preserve"> C-640 del 12 de noviembre de 2021</w:t>
      </w:r>
      <w:r w:rsidR="00AA76F2" w:rsidRPr="006F5980">
        <w:rPr>
          <w:rFonts w:ascii="Geomanist Light" w:eastAsia="Calibri" w:hAnsi="Geomanist Light" w:cs="Arial"/>
          <w:sz w:val="22"/>
        </w:rPr>
        <w:t>, C-123 de 22 de marzo de 2022, C-403 de 22 de junio de 2022</w:t>
      </w:r>
      <w:r w:rsidR="001F6D45" w:rsidRPr="006F5980">
        <w:rPr>
          <w:rFonts w:ascii="Geomanist Light" w:eastAsia="Calibri" w:hAnsi="Geomanist Light" w:cs="Arial"/>
          <w:sz w:val="22"/>
        </w:rPr>
        <w:t xml:space="preserve">, </w:t>
      </w:r>
      <w:r w:rsidR="00AA76F2" w:rsidRPr="006F5980">
        <w:rPr>
          <w:rFonts w:ascii="Geomanist Light" w:eastAsia="Calibri" w:hAnsi="Geomanist Light" w:cs="Arial"/>
          <w:sz w:val="22"/>
        </w:rPr>
        <w:t>C-478 de 27 de julio e 2022</w:t>
      </w:r>
      <w:r w:rsidR="001F6D45" w:rsidRPr="006F5980">
        <w:rPr>
          <w:rFonts w:ascii="Geomanist Light" w:eastAsia="Calibri" w:hAnsi="Geomanist Light" w:cs="Arial"/>
          <w:sz w:val="22"/>
        </w:rPr>
        <w:t>, C-578 de 09 de septiembre de 2022</w:t>
      </w:r>
      <w:r w:rsidR="00D01C8B" w:rsidRPr="006F5980">
        <w:rPr>
          <w:rFonts w:ascii="Geomanist Light" w:eastAsia="Calibri" w:hAnsi="Geomanist Light" w:cs="Arial"/>
          <w:sz w:val="22"/>
        </w:rPr>
        <w:t>, C-721 de 2022</w:t>
      </w:r>
      <w:r w:rsidR="001F6D45" w:rsidRPr="006F5980">
        <w:rPr>
          <w:rFonts w:ascii="Geomanist Light" w:eastAsia="Calibri" w:hAnsi="Geomanist Light" w:cs="Arial"/>
          <w:sz w:val="22"/>
        </w:rPr>
        <w:t xml:space="preserve"> y C-745 de 9 de noviembre de 2022</w:t>
      </w:r>
      <w:r w:rsidR="005872E0" w:rsidRPr="006F5980">
        <w:rPr>
          <w:rFonts w:ascii="Geomanist Light" w:eastAsia="Calibri" w:hAnsi="Geomanist Light" w:cs="Arial"/>
          <w:sz w:val="22"/>
        </w:rPr>
        <w:t xml:space="preserve"> de </w:t>
      </w:r>
      <w:r w:rsidRPr="006F5980">
        <w:rPr>
          <w:rFonts w:ascii="Geomanist Light" w:eastAsia="Calibri" w:hAnsi="Geomanist Light" w:cs="Arial"/>
          <w:sz w:val="22"/>
        </w:rPr>
        <w:t xml:space="preserve"> se pronunció acerca del Formulario 1 – Formulario de Presupuesto Oficial de los Documentos Tipo.</w:t>
      </w:r>
      <w:r w:rsidR="0050066F" w:rsidRPr="006F5980">
        <w:rPr>
          <w:rFonts w:ascii="Geomanist Light" w:eastAsia="Calibri" w:hAnsi="Geomanist Light" w:cs="Arial"/>
          <w:sz w:val="22"/>
        </w:rPr>
        <w:t xml:space="preserve"> Finalmente, las correcciones aritméticas en los documentos tipo se trataron en </w:t>
      </w:r>
      <w:r w:rsidR="00F90DB5">
        <w:rPr>
          <w:rFonts w:ascii="Geomanist Light" w:eastAsia="Calibri" w:hAnsi="Geomanist Light" w:cs="Arial"/>
          <w:sz w:val="22"/>
        </w:rPr>
        <w:t>los conceptos C-591 de 31 de agosto de 2020 y</w:t>
      </w:r>
      <w:r w:rsidR="0050066F" w:rsidRPr="006F5980">
        <w:rPr>
          <w:rFonts w:ascii="Geomanist Light" w:eastAsia="Calibri" w:hAnsi="Geomanist Light" w:cs="Arial"/>
          <w:sz w:val="22"/>
        </w:rPr>
        <w:t xml:space="preserve"> C-137 de 29 de marzo de 2022</w:t>
      </w:r>
      <w:r w:rsidR="00F90DB5">
        <w:rPr>
          <w:rFonts w:ascii="Geomanist Light" w:eastAsia="Calibri" w:hAnsi="Geomanist Light" w:cs="Arial"/>
          <w:sz w:val="22"/>
        </w:rPr>
        <w:t xml:space="preserve"> y C- </w:t>
      </w:r>
      <w:r w:rsidR="0050066F" w:rsidRPr="006F5980">
        <w:rPr>
          <w:rFonts w:ascii="Geomanist Light" w:eastAsia="Calibri" w:hAnsi="Geomanist Light" w:cs="Arial"/>
          <w:sz w:val="22"/>
        </w:rPr>
        <w:t>.</w:t>
      </w:r>
      <w:r w:rsidRPr="006F5980">
        <w:rPr>
          <w:rFonts w:ascii="Geomanist Light" w:eastAsia="Calibri" w:hAnsi="Geomanist Light" w:cs="Arial"/>
          <w:sz w:val="22"/>
        </w:rPr>
        <w:t xml:space="preserve"> </w:t>
      </w:r>
      <w:r w:rsidR="00F172AE" w:rsidRPr="006F5980">
        <w:rPr>
          <w:rFonts w:ascii="Geomanist Light" w:eastAsia="Calibri" w:hAnsi="Geomanist Light"/>
          <w:sz w:val="22"/>
        </w:rPr>
        <w:t>Las tesis desarrolladas en estos conceptos se reiteran a continuación y se complementan en lo pertinente.</w:t>
      </w:r>
    </w:p>
    <w:p w14:paraId="725EBDEC" w14:textId="77777777" w:rsidR="00563CEC" w:rsidRPr="006F5980" w:rsidRDefault="00563CEC" w:rsidP="000F13A2">
      <w:pPr>
        <w:spacing w:after="120" w:line="276" w:lineRule="auto"/>
        <w:ind w:firstLine="708"/>
        <w:jc w:val="both"/>
        <w:rPr>
          <w:rFonts w:ascii="Geomanist Light" w:eastAsia="Calibri" w:hAnsi="Geomanist Light" w:cs="Arial"/>
          <w:sz w:val="22"/>
        </w:rPr>
      </w:pPr>
    </w:p>
    <w:p w14:paraId="0E70B88D" w14:textId="7FAD6018" w:rsidR="00F90DB5" w:rsidRPr="00EC1AD6" w:rsidRDefault="003D5728" w:rsidP="00D921B5">
      <w:pPr>
        <w:spacing w:line="276" w:lineRule="auto"/>
        <w:jc w:val="both"/>
        <w:rPr>
          <w:rFonts w:ascii="Geomanist Light" w:eastAsia="Calibri" w:hAnsi="Geomanist Light" w:cs="Arial"/>
          <w:sz w:val="22"/>
        </w:rPr>
      </w:pPr>
      <w:r w:rsidRPr="006F5980">
        <w:rPr>
          <w:rFonts w:ascii="Geomanist Light" w:eastAsia="Calibri" w:hAnsi="Geomanist Light" w:cs="Arial"/>
          <w:b/>
          <w:sz w:val="22"/>
        </w:rPr>
        <w:t>2.</w:t>
      </w:r>
      <w:r w:rsidR="00F12344" w:rsidRPr="006F5980">
        <w:rPr>
          <w:rFonts w:ascii="Geomanist Light" w:eastAsia="Calibri" w:hAnsi="Geomanist Light" w:cs="Arial"/>
          <w:b/>
          <w:sz w:val="22"/>
        </w:rPr>
        <w:t>1</w:t>
      </w:r>
      <w:r w:rsidRPr="006F5980">
        <w:rPr>
          <w:rFonts w:ascii="Geomanist Light" w:eastAsia="Calibri" w:hAnsi="Geomanist Light" w:cs="Arial"/>
          <w:b/>
          <w:sz w:val="22"/>
        </w:rPr>
        <w:t xml:space="preserve">. </w:t>
      </w:r>
      <w:r w:rsidR="00D921B5" w:rsidRPr="006F5980">
        <w:rPr>
          <w:rFonts w:ascii="Geomanist Light" w:eastAsia="Calibri" w:hAnsi="Geomanist Light" w:cs="Arial"/>
          <w:b/>
          <w:sz w:val="22"/>
        </w:rPr>
        <w:t>El «Formulario 1 – Formulario de Presupuesto Oficial»</w:t>
      </w:r>
      <w:r w:rsidR="00AE4B6E" w:rsidRPr="006F5980">
        <w:rPr>
          <w:rFonts w:ascii="Geomanist Light" w:eastAsia="Calibri" w:hAnsi="Geomanist Light" w:cs="Arial"/>
          <w:b/>
          <w:sz w:val="22"/>
        </w:rPr>
        <w:t xml:space="preserve"> y la presentación de la oferta económica</w:t>
      </w:r>
      <w:r w:rsidR="00D921B5" w:rsidRPr="006F5980">
        <w:rPr>
          <w:rFonts w:ascii="Geomanist Light" w:eastAsia="Calibri" w:hAnsi="Geomanist Light" w:cs="Arial"/>
          <w:b/>
          <w:sz w:val="22"/>
        </w:rPr>
        <w:t xml:space="preserve"> </w:t>
      </w:r>
    </w:p>
    <w:p w14:paraId="1D5AFE8B" w14:textId="77777777" w:rsidR="00D921B5" w:rsidRPr="00EC1AD6" w:rsidRDefault="00D921B5" w:rsidP="00D921B5">
      <w:pPr>
        <w:spacing w:line="276" w:lineRule="auto"/>
        <w:jc w:val="both"/>
        <w:rPr>
          <w:rFonts w:ascii="Geomanist Light" w:eastAsia="Calibri" w:hAnsi="Geomanist Light" w:cs="Arial"/>
          <w:b/>
          <w:bCs/>
          <w:color w:val="000000"/>
          <w:sz w:val="22"/>
          <w:lang w:eastAsia="en-GB"/>
        </w:rPr>
      </w:pPr>
    </w:p>
    <w:p w14:paraId="4ED53FD2" w14:textId="77777777" w:rsidR="004D35E1" w:rsidRPr="006F5980" w:rsidRDefault="004D35E1" w:rsidP="00EC1AD6">
      <w:pPr>
        <w:spacing w:after="120" w:line="276" w:lineRule="auto"/>
        <w:jc w:val="both"/>
        <w:rPr>
          <w:rFonts w:ascii="Geomanist Light" w:eastAsia="Calibri" w:hAnsi="Geomanist Light" w:cs="Arial"/>
          <w:sz w:val="22"/>
        </w:rPr>
      </w:pPr>
      <w:r w:rsidRPr="006F5980">
        <w:rPr>
          <w:rFonts w:ascii="Geomanist Light" w:eastAsia="Calibri" w:hAnsi="Geomanist Light" w:cs="Arial"/>
          <w:sz w:val="22"/>
        </w:rPr>
        <w:t xml:space="preserve">Los documentos tipo adoptados mediante </w:t>
      </w:r>
      <w:r w:rsidRPr="006F5980">
        <w:rPr>
          <w:rFonts w:ascii="Geomanist Light" w:eastAsia="Arial" w:hAnsi="Geomanist Light" w:cs="Arial"/>
          <w:sz w:val="22"/>
        </w:rPr>
        <w:t>la Resolución No. 240 del 27 de noviembre de 2020 «Por la cual se actualizan los Documentos Tipo para los procesos de selección de licitación de obra pública de infraestructura de transporte y se deroga la Resolución 0045 de 2020»</w:t>
      </w:r>
      <w:r w:rsidRPr="006F5980">
        <w:rPr>
          <w:rFonts w:ascii="Geomanist Light" w:eastAsia="Calibri" w:hAnsi="Geomanist Light" w:cs="Arial"/>
          <w:sz w:val="22"/>
        </w:rPr>
        <w:t xml:space="preserve">, expedida por la Agencia Nacional de Contratación Pública </w:t>
      </w:r>
      <w:r w:rsidRPr="00EC1AD6">
        <w:rPr>
          <w:rFonts w:ascii="Geomanist Light" w:eastAsia="Calibri" w:hAnsi="Geomanist Light" w:cs="Courier New"/>
          <w:sz w:val="22"/>
        </w:rPr>
        <w:t>─</w:t>
      </w:r>
      <w:r w:rsidRPr="006F5980">
        <w:rPr>
          <w:rFonts w:ascii="Geomanist Light" w:eastAsia="Calibri" w:hAnsi="Geomanist Light" w:cs="Arial"/>
          <w:sz w:val="22"/>
        </w:rPr>
        <w:t xml:space="preserve"> Colombia Compra Eficiente, establecen las condiciones habilitantes, los factores técnicos y económicos de escogencia, y los sistemas de ponderación de carácter obligatorio para las entidades sometidas al Estatuto General de la Contratación Pública, que adelanten procedimientos de selección de licitación de obra pública de infraestructura de transporte.</w:t>
      </w:r>
    </w:p>
    <w:p w14:paraId="46E3D910" w14:textId="434104A8" w:rsidR="00D921B5" w:rsidRPr="006F5980" w:rsidRDefault="00D921B5" w:rsidP="00EC1AD6">
      <w:pPr>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lastRenderedPageBreak/>
        <w:t>Los documentos tipo para los procesos de licitación</w:t>
      </w:r>
      <w:r w:rsidR="003739E6" w:rsidRPr="006F5980">
        <w:rPr>
          <w:rFonts w:ascii="Geomanist Light" w:eastAsia="Calibri" w:hAnsi="Geomanist Light" w:cs="Arial"/>
          <w:sz w:val="22"/>
        </w:rPr>
        <w:t xml:space="preserve"> de obra pública</w:t>
      </w:r>
      <w:r w:rsidRPr="006F5980">
        <w:rPr>
          <w:rFonts w:ascii="Geomanist Light" w:eastAsia="Calibri" w:hAnsi="Geomanist Light" w:cs="Arial"/>
          <w:sz w:val="22"/>
        </w:rPr>
        <w:t xml:space="preserve"> de infraestructura de transporte, contemplan el «Formulario 1 - Formulario de Presupuesto Oficial», empleado por la entidad para elaborar y presentar el presupuesto oficial, y mediante el cual el proponente estructura la oferta económica. </w:t>
      </w:r>
    </w:p>
    <w:p w14:paraId="2E0B07FD" w14:textId="77777777" w:rsidR="00D921B5" w:rsidRPr="006F5980" w:rsidRDefault="00D921B5" w:rsidP="00EC1AD6">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Este formulario lo prepara la entidad en la etapa de planeación y le permite definir el valor oficial estimado del proceso de contratación. Por tanto, las entidades estatales para su elaboración deben tener en cuenta diferentes variables</w:t>
      </w:r>
      <w:r w:rsidRPr="00EC1AD6">
        <w:rPr>
          <w:rFonts w:ascii="Geomanist Light" w:eastAsia="Calibri" w:hAnsi="Geomanist Light" w:cs="Arial"/>
          <w:sz w:val="22"/>
          <w:vertAlign w:val="superscript"/>
          <w:lang w:val="es-ES"/>
        </w:rPr>
        <w:footnoteReference w:id="2"/>
      </w:r>
      <w:r w:rsidRPr="00EC1AD6">
        <w:rPr>
          <w:rFonts w:ascii="Geomanist Light" w:eastAsia="Calibri" w:hAnsi="Geomanist Light" w:cs="Arial"/>
          <w:sz w:val="22"/>
          <w:lang w:val="es-ES"/>
        </w:rPr>
        <w:t xml:space="preserve">, </w:t>
      </w:r>
      <w:r w:rsidRPr="006F5980">
        <w:rPr>
          <w:rFonts w:ascii="Geomanist Light" w:eastAsia="Calibri" w:hAnsi="Geomanist Light" w:cs="Arial"/>
          <w:sz w:val="22"/>
        </w:rPr>
        <w:t>como el objeto, alcance, obras a ejecutar, actividades, cantidades, particularidades de la zona de ejecución del proyecto, disponibilidad y distancia de fuentes de materiales, entre otros.</w:t>
      </w:r>
    </w:p>
    <w:p w14:paraId="783E5231" w14:textId="132551C1" w:rsidR="00D921B5" w:rsidRPr="006F5980" w:rsidRDefault="00D921B5" w:rsidP="004D35E1">
      <w:pPr>
        <w:widowControl w:val="0"/>
        <w:autoSpaceDE w:val="0"/>
        <w:autoSpaceDN w:val="0"/>
        <w:spacing w:after="120" w:line="276" w:lineRule="auto"/>
        <w:ind w:firstLine="708"/>
        <w:jc w:val="both"/>
        <w:rPr>
          <w:rFonts w:ascii="Geomanist Light" w:eastAsia="Calibri" w:hAnsi="Geomanist Light" w:cs="Arial"/>
          <w:sz w:val="22"/>
        </w:rPr>
      </w:pPr>
      <w:r w:rsidRPr="006F5980">
        <w:rPr>
          <w:rFonts w:ascii="Geomanist Light" w:eastAsia="Calibri" w:hAnsi="Geomanist Light" w:cs="Arial"/>
          <w:sz w:val="22"/>
        </w:rPr>
        <w:t>En los documentos tipo para los procesos de licitación  de obra</w:t>
      </w:r>
      <w:r w:rsidR="00E67DCC" w:rsidRPr="006F5980">
        <w:rPr>
          <w:rFonts w:ascii="Geomanist Light" w:eastAsia="Calibri" w:hAnsi="Geomanist Light" w:cs="Arial"/>
          <w:sz w:val="22"/>
        </w:rPr>
        <w:t xml:space="preserve"> pública</w:t>
      </w:r>
      <w:r w:rsidRPr="006F5980">
        <w:rPr>
          <w:rFonts w:ascii="Geomanist Light" w:eastAsia="Calibri" w:hAnsi="Geomanist Light" w:cs="Arial"/>
          <w:sz w:val="22"/>
        </w:rPr>
        <w:t xml:space="preserve">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w:t>
      </w:r>
      <w:r w:rsidR="00DC2B28" w:rsidRPr="006F5980">
        <w:rPr>
          <w:rFonts w:ascii="Geomanist Light" w:eastAsia="Calibri" w:hAnsi="Geomanist Light" w:cs="Arial"/>
          <w:sz w:val="22"/>
        </w:rPr>
        <w:t>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w:t>
      </w:r>
      <w:r w:rsidR="00DC2B28" w:rsidRPr="006F5980">
        <w:rPr>
          <w:rFonts w:ascii="Geomanist Light" w:eastAsia="Calibri" w:hAnsi="Geomanist Light" w:cs="Arial"/>
          <w:sz w:val="22"/>
          <w:lang w:val="es-ES"/>
        </w:rPr>
        <w:t xml:space="preserve"> </w:t>
      </w:r>
      <w:r w:rsidRPr="006F5980">
        <w:rPr>
          <w:rFonts w:ascii="Geomanist Light" w:eastAsia="Calibri" w:hAnsi="Geomanist Light" w:cs="Arial"/>
          <w:sz w:val="22"/>
        </w:rPr>
        <w:t>El propósito de esto es evitar la duplicidad de información y permitir que las propuestas económicas sean evaluadas con las variables, cantidades, unidades de medida y reglas consideradas por la entidad al estructurar su presupuesto oficial.</w:t>
      </w:r>
    </w:p>
    <w:p w14:paraId="6E8B5494" w14:textId="254754D3" w:rsidR="00DC2B28" w:rsidRPr="006F5980" w:rsidRDefault="00DC2B28" w:rsidP="004D35E1">
      <w:pPr>
        <w:spacing w:before="120" w:after="120" w:line="276" w:lineRule="auto"/>
        <w:ind w:firstLine="709"/>
        <w:jc w:val="both"/>
        <w:rPr>
          <w:rFonts w:ascii="Geomanist Light" w:hAnsi="Geomanist Light" w:cs="Arial"/>
          <w:bCs/>
          <w:sz w:val="22"/>
          <w:lang w:val="es-ES_tradnl"/>
        </w:rPr>
      </w:pPr>
      <w:r w:rsidRPr="006F5980">
        <w:rPr>
          <w:rFonts w:ascii="Geomanist Light" w:hAnsi="Geomanist Light" w:cs="Arial"/>
          <w:bCs/>
          <w:sz w:val="22"/>
          <w:lang w:val="es-ES_tradnl"/>
        </w:rPr>
        <w:t xml:space="preserve">Si bien no hay una sola metodología para pactar el precio, en gran medida, la manera de hacerlo ha obedecido a la costumbre mercantil y a la influencia de disciplinas técnicas como la ingeniería o la administración de empresas en la contratación estatal. Dentro de tales esquemas para determinar el precio pueden citarse, entre otros: i) los precios unitarios –calculados de acuerdo con las unidades que componen el objeto del contrato–, </w:t>
      </w:r>
      <w:proofErr w:type="spellStart"/>
      <w:r w:rsidRPr="006F5980">
        <w:rPr>
          <w:rFonts w:ascii="Geomanist Light" w:hAnsi="Geomanist Light" w:cs="Arial"/>
          <w:bCs/>
          <w:sz w:val="22"/>
          <w:lang w:val="es-ES_tradnl"/>
        </w:rPr>
        <w:t>ii</w:t>
      </w:r>
      <w:proofErr w:type="spellEnd"/>
      <w:r w:rsidRPr="006F5980">
        <w:rPr>
          <w:rFonts w:ascii="Geomanist Light" w:hAnsi="Geomanist Light" w:cs="Arial"/>
          <w:bCs/>
          <w:sz w:val="22"/>
          <w:lang w:val="es-ES_tradnl"/>
        </w:rPr>
        <w:t xml:space="preserve">) el precio global –que equivale al monto total, sin discriminar unidades–, y </w:t>
      </w:r>
      <w:proofErr w:type="spellStart"/>
      <w:r w:rsidRPr="006F5980">
        <w:rPr>
          <w:rFonts w:ascii="Geomanist Light" w:hAnsi="Geomanist Light" w:cs="Arial"/>
          <w:bCs/>
          <w:sz w:val="22"/>
          <w:lang w:val="es-ES_tradnl"/>
        </w:rPr>
        <w:t>iii</w:t>
      </w:r>
      <w:proofErr w:type="spellEnd"/>
      <w:r w:rsidRPr="006F5980">
        <w:rPr>
          <w:rFonts w:ascii="Geomanist Light" w:hAnsi="Geomanist Light" w:cs="Arial"/>
          <w:bCs/>
          <w:sz w:val="22"/>
          <w:lang w:val="es-ES_tradnl"/>
        </w:rPr>
        <w:t xml:space="preserve">) la administración delegada de recursos –en la que se distinguen los costos de inversión de los honorarios del administrador–. </w:t>
      </w:r>
    </w:p>
    <w:p w14:paraId="7238A394" w14:textId="77777777" w:rsidR="00DC2B28" w:rsidRPr="006F5980" w:rsidRDefault="00DC2B28" w:rsidP="004D35E1">
      <w:pPr>
        <w:spacing w:before="120" w:after="120" w:line="276" w:lineRule="auto"/>
        <w:ind w:firstLine="709"/>
        <w:jc w:val="both"/>
        <w:rPr>
          <w:rFonts w:ascii="Geomanist Light" w:hAnsi="Geomanist Light" w:cs="Arial"/>
          <w:bCs/>
          <w:sz w:val="22"/>
          <w:lang w:val="es-ES_tradnl"/>
        </w:rPr>
      </w:pPr>
      <w:r w:rsidRPr="006F5980">
        <w:rPr>
          <w:rFonts w:ascii="Geomanist Light" w:hAnsi="Geomanist Light" w:cs="Arial"/>
          <w:bCs/>
          <w:sz w:val="22"/>
          <w:lang w:val="es-ES_tradnl"/>
        </w:rPr>
        <w:t xml:space="preserve">Entre estas y las demás modalidades posibles, en los documentos tipo de obra pública se optó por incorporar el sistema de precios unitarios, el cual ha hecho carrera en los contratos de obra pública y, en el marco del cual, ha hecho parte de la práctica de los negocios que el contratante le solicite al potencial contratista que separe en su propuesta los costos directos –es decir, los que están directamente implicados en la ejecución del </w:t>
      </w:r>
      <w:r w:rsidRPr="006F5980">
        <w:rPr>
          <w:rFonts w:ascii="Geomanist Light" w:hAnsi="Geomanist Light" w:cs="Arial"/>
          <w:bCs/>
          <w:sz w:val="22"/>
          <w:lang w:val="es-ES_tradnl"/>
        </w:rPr>
        <w:lastRenderedPageBreak/>
        <w:t xml:space="preserve">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6F5980">
        <w:rPr>
          <w:rFonts w:ascii="Geomanist Light" w:hAnsi="Geomanist Light" w:cs="Arial"/>
          <w:bCs/>
          <w:i/>
          <w:iCs/>
          <w:sz w:val="22"/>
          <w:lang w:val="es-ES_tradnl"/>
        </w:rPr>
        <w:t>ítems</w:t>
      </w:r>
      <w:r w:rsidRPr="006F5980">
        <w:rPr>
          <w:rFonts w:ascii="Geomanist Light" w:hAnsi="Geomanist Light"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w:t>
      </w:r>
    </w:p>
    <w:p w14:paraId="09E4277A" w14:textId="5F66062C" w:rsidR="00D921B5" w:rsidRPr="006F5980" w:rsidRDefault="00DC2B28" w:rsidP="004D35E1">
      <w:pPr>
        <w:widowControl w:val="0"/>
        <w:autoSpaceDE w:val="0"/>
        <w:autoSpaceDN w:val="0"/>
        <w:spacing w:after="120" w:line="276" w:lineRule="auto"/>
        <w:ind w:firstLine="708"/>
        <w:jc w:val="both"/>
        <w:rPr>
          <w:rFonts w:ascii="Geomanist Light" w:eastAsia="Calibri" w:hAnsi="Geomanist Light" w:cs="Arial"/>
          <w:sz w:val="22"/>
        </w:rPr>
      </w:pPr>
      <w:r w:rsidRPr="006F5980">
        <w:rPr>
          <w:rFonts w:ascii="Geomanist Light" w:eastAsia="Arial" w:hAnsi="Geomanist Light" w:cs="Arial"/>
          <w:sz w:val="22"/>
          <w:lang w:eastAsia="es-ES" w:bidi="es-ES"/>
        </w:rPr>
        <w:t>Esta forma de estructurar el valor del contrato, si bien no resulta obligatoria para efectos de la forma de pago a utilizar por las respectivas entidades estatales obligadas a utilizar el documento tipo, si se refleja en el contenido estandarizado de los documentos tipo de cara a la formulación del presupuesto oficial y la presentación de la oferta.</w:t>
      </w:r>
      <w:r w:rsidR="00582A95" w:rsidRPr="006F5980">
        <w:rPr>
          <w:rFonts w:ascii="Geomanist Light" w:eastAsia="Arial" w:hAnsi="Geomanist Light" w:cs="Arial"/>
          <w:sz w:val="22"/>
          <w:lang w:eastAsia="es-ES" w:bidi="es-ES"/>
        </w:rPr>
        <w:t xml:space="preserve"> </w:t>
      </w:r>
      <w:r w:rsidR="00D921B5" w:rsidRPr="006F5980">
        <w:rPr>
          <w:rFonts w:ascii="Geomanist Light" w:eastAsia="Calibri" w:hAnsi="Geomanist Light" w:cs="Arial"/>
          <w:sz w:val="22"/>
        </w:rPr>
        <w:t xml:space="preserve">En ese contexto, se tiene, que en la primera hoja del Formulario 1, que corresponde al presupuesto oficial, la entidad debe enlistar los </w:t>
      </w:r>
      <w:r w:rsidR="00D921B5" w:rsidRPr="006F5980">
        <w:rPr>
          <w:rFonts w:ascii="Geomanist Light" w:eastAsia="Calibri" w:hAnsi="Geomanist Light" w:cs="Arial"/>
          <w:i/>
          <w:iCs/>
          <w:sz w:val="22"/>
        </w:rPr>
        <w:t>ítems de pago</w:t>
      </w:r>
      <w:r w:rsidR="00D921B5" w:rsidRPr="006F5980">
        <w:rPr>
          <w:rFonts w:ascii="Geomanist Light" w:eastAsia="Calibri" w:hAnsi="Geomanist Light" w:cs="Arial"/>
          <w:sz w:val="22"/>
        </w:rPr>
        <w:t xml:space="preserve"> de los bienes, obras o servicios que se requieren para la ejecución de la obra pública de infraestructura de transporte. Además, es posible establecer: i) sus especificaciones generales y particulares, ii) la descripción, iii) la unidad de medida, iv) la cantidad, v) el valor unitario y vi) el valor total de los </w:t>
      </w:r>
      <w:r w:rsidR="00D921B5" w:rsidRPr="006F5980">
        <w:rPr>
          <w:rFonts w:ascii="Geomanist Light" w:eastAsia="Calibri" w:hAnsi="Geomanist Light" w:cs="Arial"/>
          <w:i/>
          <w:iCs/>
          <w:sz w:val="22"/>
        </w:rPr>
        <w:t>ítems</w:t>
      </w:r>
      <w:r w:rsidR="00D921B5" w:rsidRPr="006F5980">
        <w:rPr>
          <w:rFonts w:ascii="Geomanist Light" w:eastAsia="Calibri" w:hAnsi="Geomanist Light" w:cs="Arial"/>
          <w:sz w:val="22"/>
        </w:rPr>
        <w:t>.</w:t>
      </w:r>
    </w:p>
    <w:p w14:paraId="10CB2899" w14:textId="42CC6CDD" w:rsidR="00D921B5" w:rsidRPr="00EC1AD6" w:rsidRDefault="00D921B5" w:rsidP="004D35E1">
      <w:pPr>
        <w:widowControl w:val="0"/>
        <w:autoSpaceDE w:val="0"/>
        <w:autoSpaceDN w:val="0"/>
        <w:spacing w:after="120" w:line="276" w:lineRule="auto"/>
        <w:ind w:firstLine="709"/>
        <w:jc w:val="both"/>
        <w:rPr>
          <w:rFonts w:ascii="Geomanist Light" w:eastAsia="Arial" w:hAnsi="Geomanist Light" w:cs="Arial"/>
          <w:sz w:val="22"/>
          <w:lang w:val="es-ES" w:eastAsia="es-ES" w:bidi="es-ES"/>
        </w:rPr>
      </w:pPr>
      <w:r w:rsidRPr="006F5980">
        <w:rPr>
          <w:rFonts w:ascii="Geomanist Light" w:eastAsia="Calibri" w:hAnsi="Geomanist Light" w:cs="Arial"/>
          <w:sz w:val="22"/>
        </w:rPr>
        <w:t>En el marco del ejercicio de planeación, la entidad podrá determinar la necesidad de establecer algunos valores topes para algunos ítems, los cuales no podrán ser excedidos por los proponentes al presentar sus ofertas. La inclusión que hace la entidad de valores que no deben ser excedidos por los proponentes al presentar sus ofertas no es una práctica generalizada ni obligatoria para todas las entidades, por cuanto la inclusión de estos ítems debe estar justificada en situaciones y eventos particulares de determinados procedimientos de contratación. Cuando las entidades estructuran el Formulario 1, incluyendo este tipo de ítems y justificando su decisión, los proponentes deben incluirlos dentro de la oferta económica sin exceder el valor que la entidad ha definido, so pena del rechazo de la propuesta</w:t>
      </w:r>
      <w:r w:rsidRPr="00EC1AD6">
        <w:rPr>
          <w:rFonts w:ascii="Geomanist Light" w:eastAsia="Arial" w:hAnsi="Geomanist Light" w:cs="Arial"/>
          <w:sz w:val="22"/>
          <w:vertAlign w:val="superscript"/>
          <w:lang w:val="es-ES" w:eastAsia="es-ES" w:bidi="es-ES"/>
        </w:rPr>
        <w:footnoteReference w:id="3"/>
      </w:r>
      <w:r w:rsidRPr="00EC1AD6">
        <w:rPr>
          <w:rFonts w:ascii="Geomanist Light" w:eastAsia="Arial" w:hAnsi="Geomanist Light" w:cs="Arial"/>
          <w:sz w:val="22"/>
          <w:lang w:val="es-ES" w:eastAsia="es-ES" w:bidi="es-ES"/>
        </w:rPr>
        <w:t xml:space="preserve">. </w:t>
      </w:r>
    </w:p>
    <w:p w14:paraId="5CE12EAD" w14:textId="77C414E9" w:rsidR="00D921B5" w:rsidRPr="006F5980" w:rsidRDefault="00D921B5" w:rsidP="004D35E1">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 xml:space="preserve">De igual manera, en la primera hoja del «Formulario 1 – Formulario de Presupuesto </w:t>
      </w:r>
      <w:r w:rsidRPr="006F5980">
        <w:rPr>
          <w:rFonts w:ascii="Geomanist Light" w:eastAsia="Calibri" w:hAnsi="Geomanist Light" w:cs="Arial"/>
          <w:sz w:val="22"/>
        </w:rPr>
        <w:lastRenderedPageBreak/>
        <w:t>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w:t>
      </w:r>
      <w:r w:rsidR="0075475B" w:rsidRPr="006F5980">
        <w:rPr>
          <w:rFonts w:ascii="Geomanist Light" w:eastAsia="Calibri" w:hAnsi="Geomanist Light" w:cs="Arial"/>
          <w:sz w:val="22"/>
        </w:rPr>
        <w:t>,</w:t>
      </w:r>
      <w:r w:rsidRPr="006F5980">
        <w:rPr>
          <w:rFonts w:ascii="Geomanist Light" w:eastAsia="Calibri" w:hAnsi="Geomanist Light" w:cs="Arial"/>
          <w:sz w:val="22"/>
        </w:rPr>
        <w:t xml:space="preserve"> cuando el proceso de contratación sea por precios unitarios.</w:t>
      </w:r>
    </w:p>
    <w:p w14:paraId="45C88C6C" w14:textId="77777777" w:rsidR="00D921B5" w:rsidRPr="006F5980" w:rsidRDefault="00D921B5" w:rsidP="004D35E1">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15F401B" w14:textId="0E7BC031" w:rsidR="00D921B5" w:rsidRPr="006F5980" w:rsidRDefault="00D921B5" w:rsidP="004D35E1">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 xml:space="preserve">De la redacción de estas notas se infiere que las entidades obligatoriamente aplicarán las notas definidas en el «Formulario 1 – Formulario del presupuesto oficial», cuando el proceso de contratación es estructurado por precios unitarios y, por ende, se incluirá el porcentaje respectivo a la: i) administración, ii) imprevistos y iii) utilidad. En consecuencia, las entidades no podrán omitir alguno de sus componentes y lo definirán de acuerdo con el estudio de mercado y el sector, incluyendo el valor que consideren procedente. Además, el «Formulario 1 – Formulario de Presupuesto Oficial» señala los espacios en los cuales se incluirán estos porcentajes. Así se determina en los siguientes términos: </w:t>
      </w:r>
    </w:p>
    <w:tbl>
      <w:tblPr>
        <w:tblStyle w:val="Tablaconcuadrcula1"/>
        <w:tblW w:w="8247" w:type="dxa"/>
        <w:jc w:val="center"/>
        <w:tblInd w:w="0" w:type="dxa"/>
        <w:tblLook w:val="04A0" w:firstRow="1" w:lastRow="0" w:firstColumn="1" w:lastColumn="0" w:noHBand="0" w:noVBand="1"/>
      </w:tblPr>
      <w:tblGrid>
        <w:gridCol w:w="2794"/>
        <w:gridCol w:w="1596"/>
        <w:gridCol w:w="3857"/>
      </w:tblGrid>
      <w:tr w:rsidR="00DC2B28" w:rsidRPr="006F5980" w14:paraId="070B864C" w14:textId="77777777" w:rsidTr="00582A95">
        <w:trPr>
          <w:trHeight w:val="273"/>
          <w:jc w:val="center"/>
        </w:trPr>
        <w:tc>
          <w:tcPr>
            <w:tcW w:w="4390" w:type="dxa"/>
            <w:gridSpan w:val="2"/>
            <w:hideMark/>
          </w:tcPr>
          <w:p w14:paraId="0E2AF59F" w14:textId="468AB73B"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DESCRIPCIÓN</w:t>
            </w:r>
          </w:p>
        </w:tc>
        <w:tc>
          <w:tcPr>
            <w:tcW w:w="3857" w:type="dxa"/>
            <w:noWrap/>
            <w:hideMark/>
          </w:tcPr>
          <w:p w14:paraId="211D95E0" w14:textId="7D57C136"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PORCENTAJE</w:t>
            </w:r>
          </w:p>
        </w:tc>
      </w:tr>
      <w:tr w:rsidR="00DC2B28" w:rsidRPr="006F5980" w14:paraId="44E97273" w14:textId="77777777" w:rsidTr="00DC2B28">
        <w:trPr>
          <w:trHeight w:val="375"/>
          <w:jc w:val="center"/>
        </w:trPr>
        <w:tc>
          <w:tcPr>
            <w:tcW w:w="2794" w:type="dxa"/>
            <w:noWrap/>
            <w:hideMark/>
          </w:tcPr>
          <w:p w14:paraId="602BD5DE" w14:textId="47B13672"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ADMINISTRACIÓN</w:t>
            </w:r>
          </w:p>
        </w:tc>
        <w:tc>
          <w:tcPr>
            <w:tcW w:w="1596" w:type="dxa"/>
            <w:noWrap/>
            <w:hideMark/>
          </w:tcPr>
          <w:p w14:paraId="0CB891B3" w14:textId="4DAE7C97"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A=</w:t>
            </w:r>
          </w:p>
        </w:tc>
        <w:tc>
          <w:tcPr>
            <w:tcW w:w="3857" w:type="dxa"/>
            <w:noWrap/>
            <w:hideMark/>
          </w:tcPr>
          <w:p w14:paraId="1FBA30A8" w14:textId="773E961C" w:rsidR="00DC2B28" w:rsidRPr="00EC1AD6" w:rsidRDefault="00DC2B28" w:rsidP="00DC2B28">
            <w:pPr>
              <w:jc w:val="center"/>
              <w:rPr>
                <w:rFonts w:ascii="Geomanist Light" w:hAnsi="Geomanist Light" w:cs="Arial"/>
                <w:sz w:val="20"/>
                <w:szCs w:val="20"/>
                <w:lang w:eastAsia="es-CO"/>
              </w:rPr>
            </w:pPr>
            <w:r w:rsidRPr="006F5980">
              <w:rPr>
                <w:rFonts w:ascii="Geomanist Light" w:hAnsi="Geomanist Light" w:cs="Arial"/>
                <w:b/>
                <w:bCs/>
                <w:sz w:val="20"/>
                <w:lang w:eastAsia="es-CO"/>
              </w:rPr>
              <w:t>ADMINISTRACIÓN</w:t>
            </w:r>
          </w:p>
        </w:tc>
      </w:tr>
      <w:tr w:rsidR="00DC2B28" w:rsidRPr="006F5980" w14:paraId="7E10710F" w14:textId="77777777" w:rsidTr="00DC2B28">
        <w:trPr>
          <w:trHeight w:val="349"/>
          <w:jc w:val="center"/>
        </w:trPr>
        <w:tc>
          <w:tcPr>
            <w:tcW w:w="2794" w:type="dxa"/>
            <w:hideMark/>
          </w:tcPr>
          <w:p w14:paraId="4AD88250" w14:textId="0DDD75E9"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IMPREVISTO</w:t>
            </w:r>
          </w:p>
        </w:tc>
        <w:tc>
          <w:tcPr>
            <w:tcW w:w="1596" w:type="dxa"/>
            <w:noWrap/>
            <w:hideMark/>
          </w:tcPr>
          <w:p w14:paraId="6F0C1D69" w14:textId="39B7BE13"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I=</w:t>
            </w:r>
          </w:p>
        </w:tc>
        <w:tc>
          <w:tcPr>
            <w:tcW w:w="3857" w:type="dxa"/>
            <w:noWrap/>
            <w:hideMark/>
          </w:tcPr>
          <w:p w14:paraId="3ED149FE" w14:textId="38DF7048" w:rsidR="00DC2B28" w:rsidRPr="00EC1AD6" w:rsidRDefault="00DC2B28" w:rsidP="00DC2B28">
            <w:pPr>
              <w:jc w:val="center"/>
              <w:rPr>
                <w:rFonts w:ascii="Geomanist Light" w:hAnsi="Geomanist Light" w:cs="Arial"/>
                <w:sz w:val="20"/>
                <w:szCs w:val="20"/>
                <w:lang w:eastAsia="es-CO"/>
              </w:rPr>
            </w:pPr>
            <w:r w:rsidRPr="006F5980">
              <w:rPr>
                <w:rFonts w:ascii="Geomanist Light" w:hAnsi="Geomanist Light" w:cs="Arial"/>
                <w:b/>
                <w:bCs/>
                <w:sz w:val="20"/>
                <w:lang w:eastAsia="es-CO"/>
              </w:rPr>
              <w:t>IMPREVISTO</w:t>
            </w:r>
          </w:p>
        </w:tc>
      </w:tr>
      <w:tr w:rsidR="00DC2B28" w:rsidRPr="006F5980" w14:paraId="7EE98FF7" w14:textId="77777777" w:rsidTr="00582A95">
        <w:trPr>
          <w:trHeight w:val="264"/>
          <w:jc w:val="center"/>
        </w:trPr>
        <w:tc>
          <w:tcPr>
            <w:tcW w:w="2794" w:type="dxa"/>
            <w:hideMark/>
          </w:tcPr>
          <w:p w14:paraId="57CE39D8" w14:textId="7B8608B7"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UTILIDAD</w:t>
            </w:r>
          </w:p>
        </w:tc>
        <w:tc>
          <w:tcPr>
            <w:tcW w:w="1596" w:type="dxa"/>
            <w:noWrap/>
            <w:hideMark/>
          </w:tcPr>
          <w:p w14:paraId="1D8DF4CE" w14:textId="5E8A2BC5"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U=</w:t>
            </w:r>
          </w:p>
        </w:tc>
        <w:tc>
          <w:tcPr>
            <w:tcW w:w="3857" w:type="dxa"/>
            <w:noWrap/>
            <w:hideMark/>
          </w:tcPr>
          <w:p w14:paraId="69F53470" w14:textId="1F87ECED" w:rsidR="00DC2B28" w:rsidRPr="00EC1AD6" w:rsidRDefault="00DC2B28" w:rsidP="00DC2B28">
            <w:pPr>
              <w:jc w:val="center"/>
              <w:rPr>
                <w:rFonts w:ascii="Geomanist Light" w:hAnsi="Geomanist Light" w:cs="Arial"/>
                <w:sz w:val="20"/>
                <w:szCs w:val="20"/>
                <w:lang w:eastAsia="es-CO"/>
              </w:rPr>
            </w:pPr>
            <w:r w:rsidRPr="006F5980">
              <w:rPr>
                <w:rFonts w:ascii="Geomanist Light" w:hAnsi="Geomanist Light" w:cs="Arial"/>
                <w:b/>
                <w:bCs/>
                <w:sz w:val="20"/>
                <w:lang w:eastAsia="es-CO"/>
              </w:rPr>
              <w:t>UTILIDAD</w:t>
            </w:r>
          </w:p>
        </w:tc>
      </w:tr>
      <w:tr w:rsidR="00DC2B28" w:rsidRPr="006F5980" w14:paraId="31A57468" w14:textId="77777777" w:rsidTr="00582A95">
        <w:trPr>
          <w:trHeight w:val="395"/>
          <w:jc w:val="center"/>
        </w:trPr>
        <w:tc>
          <w:tcPr>
            <w:tcW w:w="2794" w:type="dxa"/>
            <w:noWrap/>
            <w:hideMark/>
          </w:tcPr>
          <w:p w14:paraId="6144EA6B" w14:textId="1973184E"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TOTAL A.I.U.</w:t>
            </w:r>
          </w:p>
        </w:tc>
        <w:tc>
          <w:tcPr>
            <w:tcW w:w="1596" w:type="dxa"/>
            <w:noWrap/>
            <w:hideMark/>
          </w:tcPr>
          <w:p w14:paraId="2BE1F618" w14:textId="6CE416D6" w:rsidR="00DC2B28" w:rsidRPr="00EC1AD6" w:rsidRDefault="00DC2B28" w:rsidP="00DC2B28">
            <w:pPr>
              <w:jc w:val="center"/>
              <w:rPr>
                <w:rFonts w:ascii="Geomanist Light" w:hAnsi="Geomanist Light" w:cs="Arial"/>
                <w:b/>
                <w:bCs/>
                <w:sz w:val="20"/>
                <w:szCs w:val="20"/>
                <w:lang w:eastAsia="es-CO"/>
              </w:rPr>
            </w:pPr>
            <w:r w:rsidRPr="006F5980">
              <w:rPr>
                <w:rFonts w:ascii="Geomanist Light" w:hAnsi="Geomanist Light" w:cs="Arial"/>
                <w:b/>
                <w:bCs/>
                <w:sz w:val="20"/>
                <w:lang w:eastAsia="es-CO"/>
              </w:rPr>
              <w:t>A.I.U.=</w:t>
            </w:r>
          </w:p>
        </w:tc>
        <w:tc>
          <w:tcPr>
            <w:tcW w:w="3857" w:type="dxa"/>
            <w:noWrap/>
            <w:hideMark/>
          </w:tcPr>
          <w:p w14:paraId="16AACDCA" w14:textId="56293904" w:rsidR="00DC2B28" w:rsidRPr="00EC1AD6" w:rsidRDefault="00DC2B28" w:rsidP="00DC2B28">
            <w:pPr>
              <w:jc w:val="center"/>
              <w:rPr>
                <w:rFonts w:ascii="Geomanist Light" w:hAnsi="Geomanist Light" w:cs="Arial"/>
                <w:sz w:val="20"/>
                <w:szCs w:val="20"/>
                <w:lang w:eastAsia="es-CO"/>
              </w:rPr>
            </w:pPr>
            <w:r w:rsidRPr="006F5980">
              <w:rPr>
                <w:rFonts w:ascii="Geomanist Light" w:hAnsi="Geomanist Light" w:cs="Arial"/>
                <w:b/>
                <w:bCs/>
                <w:sz w:val="20"/>
                <w:lang w:eastAsia="es-CO"/>
              </w:rPr>
              <w:t>TOTAL A.I.U.</w:t>
            </w:r>
          </w:p>
        </w:tc>
      </w:tr>
    </w:tbl>
    <w:p w14:paraId="336F9233" w14:textId="77777777" w:rsidR="00D921B5" w:rsidRPr="00EC1AD6" w:rsidRDefault="00D921B5" w:rsidP="00D921B5">
      <w:pPr>
        <w:widowControl w:val="0"/>
        <w:autoSpaceDE w:val="0"/>
        <w:autoSpaceDN w:val="0"/>
        <w:spacing w:after="120" w:line="276" w:lineRule="auto"/>
        <w:ind w:firstLine="709"/>
        <w:jc w:val="both"/>
        <w:rPr>
          <w:rFonts w:ascii="Geomanist Light" w:eastAsia="Arial" w:hAnsi="Geomanist Light" w:cs="Arial"/>
          <w:sz w:val="20"/>
          <w:szCs w:val="20"/>
          <w:lang w:val="es-ES" w:eastAsia="es-ES" w:bidi="es-ES"/>
        </w:rPr>
      </w:pPr>
    </w:p>
    <w:p w14:paraId="5A486EE4" w14:textId="2A723645" w:rsidR="00D921B5" w:rsidRPr="006F5980" w:rsidRDefault="00D921B5" w:rsidP="00165F08">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 xml:space="preserve">En este sentido, reiterando el principio de inalterabilidad, las entidades solo pueden modificar aquello que el documento tipo permita. Por ello, debido a que la primera hoja del Formulario 1 – Formulario del Presupuesto Oficial </w:t>
      </w:r>
      <w:r w:rsidR="00E92892" w:rsidRPr="006F5980">
        <w:rPr>
          <w:rFonts w:ascii="Geomanist Light" w:eastAsia="Calibri" w:hAnsi="Geomanist Light" w:cs="Arial"/>
          <w:sz w:val="22"/>
        </w:rPr>
        <w:t>parcialmente impide</w:t>
      </w:r>
      <w:r w:rsidRPr="006F5980">
        <w:rPr>
          <w:rFonts w:ascii="Geomanist Light" w:eastAsia="Calibri" w:hAnsi="Geomanist Light" w:cs="Arial"/>
          <w:sz w:val="22"/>
        </w:rPr>
        <w:t xml:space="preserv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27D2FBCB" w14:textId="662FAE26" w:rsidR="00D921B5" w:rsidRPr="006F5980" w:rsidRDefault="00D921B5" w:rsidP="00EC1AD6">
      <w:pPr>
        <w:widowControl w:val="0"/>
        <w:autoSpaceDE w:val="0"/>
        <w:autoSpaceDN w:val="0"/>
        <w:spacing w:before="120"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 xml:space="preserve">De otra parte, en los documentos tipo para procesos de licitación pública de obras de infraestructura de transporte, el «Formulario 1» en su </w:t>
      </w:r>
      <w:r w:rsidRPr="006F5980">
        <w:rPr>
          <w:rFonts w:ascii="Geomanist Light" w:eastAsia="Calibri" w:hAnsi="Geomanist Light" w:cs="Arial"/>
          <w:i/>
          <w:iCs/>
          <w:sz w:val="22"/>
        </w:rPr>
        <w:t>segunda pestaña</w:t>
      </w:r>
      <w:r w:rsidRPr="006F5980">
        <w:rPr>
          <w:rFonts w:ascii="Geomanist Light" w:eastAsia="Calibri" w:hAnsi="Geomanist Light" w:cs="Arial"/>
          <w:sz w:val="22"/>
        </w:rPr>
        <w:t xml:space="preserve"> en Excel, titulada </w:t>
      </w:r>
      <w:r w:rsidRPr="006F5980">
        <w:rPr>
          <w:rFonts w:ascii="Geomanist Light" w:eastAsia="Calibri" w:hAnsi="Geomanist Light" w:cs="Arial"/>
          <w:sz w:val="22"/>
        </w:rPr>
        <w:lastRenderedPageBreak/>
        <w:t xml:space="preserve">«Formulario 1 propuesta económica»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En todo caso, el proponente deberá emplear el formulario que establezca la entidad. </w:t>
      </w:r>
    </w:p>
    <w:p w14:paraId="2BFCD853" w14:textId="77777777" w:rsidR="009C72DF" w:rsidRPr="006F5980" w:rsidRDefault="00D921B5" w:rsidP="00EC1AD6">
      <w:pPr>
        <w:widowControl w:val="0"/>
        <w:autoSpaceDE w:val="0"/>
        <w:autoSpaceDN w:val="0"/>
        <w:spacing w:before="120"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w:t>
      </w:r>
    </w:p>
    <w:p w14:paraId="641261DA" w14:textId="477F4634" w:rsidR="00D921B5" w:rsidRPr="00EC1AD6" w:rsidRDefault="00D921B5" w:rsidP="00EC1AD6">
      <w:pPr>
        <w:widowControl w:val="0"/>
        <w:autoSpaceDE w:val="0"/>
        <w:autoSpaceDN w:val="0"/>
        <w:spacing w:before="120" w:after="120" w:line="276" w:lineRule="auto"/>
        <w:ind w:firstLine="709"/>
        <w:jc w:val="both"/>
        <w:rPr>
          <w:rFonts w:ascii="Geomanist Light" w:eastAsia="Arial" w:hAnsi="Geomanist Light" w:cs="Arial"/>
          <w:bCs/>
          <w:sz w:val="22"/>
          <w:lang w:val="es-ES"/>
        </w:rPr>
      </w:pPr>
      <w:r w:rsidRPr="006F5980">
        <w:rPr>
          <w:rFonts w:ascii="Geomanist Light" w:eastAsia="Calibri" w:hAnsi="Geomanist Light" w:cs="Arial"/>
          <w:sz w:val="22"/>
        </w:rPr>
        <w:t xml:space="preserve">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w:t>
      </w:r>
      <w:r w:rsidRPr="006F5980">
        <w:rPr>
          <w:rFonts w:ascii="Geomanist Light" w:eastAsia="Calibri" w:hAnsi="Geomanist Light" w:cs="Arial"/>
          <w:i/>
          <w:iCs/>
          <w:sz w:val="22"/>
        </w:rPr>
        <w:t>ítems</w:t>
      </w:r>
      <w:r w:rsidRPr="006F5980">
        <w:rPr>
          <w:rFonts w:ascii="Geomanist Light" w:eastAsia="Calibri" w:hAnsi="Geomanist Light" w:cs="Arial"/>
          <w:sz w:val="22"/>
        </w:rPr>
        <w:t>, en caso de que se opte por dicha regulación</w:t>
      </w:r>
      <w:r w:rsidR="009E59EA" w:rsidRPr="006F5980">
        <w:rPr>
          <w:rFonts w:ascii="Geomanist Light" w:eastAsia="Calibri" w:hAnsi="Geomanist Light" w:cs="Arial"/>
          <w:sz w:val="22"/>
        </w:rPr>
        <w:t xml:space="preserve">. </w:t>
      </w:r>
      <w:r w:rsidRPr="00EC1AD6">
        <w:rPr>
          <w:rFonts w:ascii="Geomanist Light" w:eastAsia="Arial" w:hAnsi="Geomanist Light" w:cs="Arial"/>
          <w:bCs/>
          <w:sz w:val="22"/>
          <w:lang w:val="es-ES"/>
        </w:rPr>
        <w:t xml:space="preserve"> </w:t>
      </w:r>
    </w:p>
    <w:p w14:paraId="01BCD09F" w14:textId="7A98C709" w:rsidR="0053424F" w:rsidRPr="006F5980" w:rsidRDefault="00D921B5" w:rsidP="00EC1AD6">
      <w:pPr>
        <w:widowControl w:val="0"/>
        <w:autoSpaceDE w:val="0"/>
        <w:autoSpaceDN w:val="0"/>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t>Así las cosas,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en un formulario distinto</w:t>
      </w:r>
      <w:r w:rsidR="00F835D8" w:rsidRPr="006F5980">
        <w:rPr>
          <w:rFonts w:ascii="Geomanist Light" w:eastAsia="Calibri" w:hAnsi="Geomanist Light" w:cs="Arial"/>
          <w:sz w:val="22"/>
        </w:rPr>
        <w:t xml:space="preserve"> o que realicen modificaciones parciales al mismo, dentro de las posibilidades que admite el mismo Formulario.</w:t>
      </w:r>
    </w:p>
    <w:p w14:paraId="6A441154" w14:textId="78B50B15" w:rsidR="00F12344" w:rsidRPr="006F5980" w:rsidRDefault="005530C0" w:rsidP="00EC1AD6">
      <w:pPr>
        <w:widowControl w:val="0"/>
        <w:autoSpaceDE w:val="0"/>
        <w:autoSpaceDN w:val="0"/>
        <w:spacing w:after="120" w:line="276" w:lineRule="auto"/>
        <w:ind w:firstLine="709"/>
        <w:jc w:val="both"/>
        <w:rPr>
          <w:rFonts w:ascii="Geomanist Light" w:eastAsia="Arial" w:hAnsi="Geomanist Light" w:cs="Arial"/>
          <w:sz w:val="22"/>
          <w:lang w:val="es-ES" w:eastAsia="es-ES" w:bidi="es-ES"/>
        </w:rPr>
      </w:pPr>
      <w:r w:rsidRPr="006F5980">
        <w:rPr>
          <w:rFonts w:ascii="Geomanist Light" w:eastAsia="Calibri" w:hAnsi="Geomanist Light" w:cs="Arial"/>
          <w:sz w:val="22"/>
        </w:rPr>
        <w:t xml:space="preserve">En línea con lo anterior, cabe precisar que </w:t>
      </w:r>
      <w:r w:rsidR="00AE4B6E" w:rsidRPr="006F5980">
        <w:rPr>
          <w:rFonts w:ascii="Geomanist Light" w:eastAsia="Calibri" w:hAnsi="Geomanist Light" w:cs="Arial"/>
          <w:sz w:val="22"/>
        </w:rPr>
        <w:t>consideraciones</w:t>
      </w:r>
      <w:r w:rsidRPr="006F5980">
        <w:rPr>
          <w:rFonts w:ascii="Geomanist Light" w:eastAsia="Calibri" w:hAnsi="Geomanist Light" w:cs="Arial"/>
          <w:sz w:val="22"/>
        </w:rPr>
        <w:t xml:space="preserve"> similares a las realizadas frente a la primera pestaña de Excel, donde la entidad elabora el presupuesto oficial, son aplicables a la segunda pestaña donde la entidad configura el formulario mediante el cual los proponentes presentarán sus </w:t>
      </w:r>
      <w:r w:rsidR="00F90DB5" w:rsidRPr="006F5980">
        <w:rPr>
          <w:rFonts w:ascii="Geomanist Light" w:eastAsia="Calibri" w:hAnsi="Geomanist Light" w:cs="Arial"/>
          <w:sz w:val="22"/>
        </w:rPr>
        <w:t>ofertas económicas</w:t>
      </w:r>
      <w:r w:rsidRPr="006F5980">
        <w:rPr>
          <w:rFonts w:ascii="Geomanist Light" w:eastAsia="Calibri" w:hAnsi="Geomanist Light" w:cs="Arial"/>
          <w:sz w:val="22"/>
        </w:rPr>
        <w:t xml:space="preserve">, lo anterior debido a que ambas pestañas tienen instrucciones similares respecto a su configuración por parte de las entidades estatales. </w:t>
      </w:r>
      <w:r w:rsidR="00F12344" w:rsidRPr="006F5980">
        <w:rPr>
          <w:rFonts w:ascii="Geomanist Light" w:eastAsia="Calibri" w:hAnsi="Geomanist Light" w:cs="Arial"/>
          <w:sz w:val="22"/>
          <w:lang w:val="es-ES"/>
        </w:rPr>
        <w:t>En efecto, es posible, como se señaló anteriormente, que la entidad configure un formulario distinto para la presentación de las ofertas económicas o que lo modifique. Sin embargo, la segunda hoja tiene la instrucción consistente en que: «</w:t>
      </w:r>
      <w:r w:rsidR="00F12344" w:rsidRPr="006F5980">
        <w:rPr>
          <w:rFonts w:ascii="Geomanist Light" w:hAnsi="Geomanist Light" w:cs="Arial"/>
          <w:sz w:val="22"/>
        </w:rPr>
        <w:t>cu</w:t>
      </w:r>
      <w:r w:rsidR="00F12344" w:rsidRPr="006F5980">
        <w:rPr>
          <w:rFonts w:ascii="Geomanist Light" w:eastAsia="Calibri" w:hAnsi="Geomanist Light" w:cs="Arial"/>
          <w:sz w:val="22"/>
          <w:lang w:val="es-ES"/>
        </w:rPr>
        <w:t xml:space="preserve">ando el proceso de </w:t>
      </w:r>
      <w:r w:rsidR="00F12344" w:rsidRPr="006F5980">
        <w:rPr>
          <w:rFonts w:ascii="Geomanist Light" w:eastAsia="Calibri" w:hAnsi="Geomanist Light" w:cs="Arial"/>
          <w:sz w:val="22"/>
          <w:lang w:val="es-ES"/>
        </w:rPr>
        <w:lastRenderedPageBreak/>
        <w:t xml:space="preserve">contratación es estructurado por precios unitarios, la Entidad debe aplicar las notas 1, 2 y 3 del presente formato y las casillas de "Descripción", "Porcentaje" de la Administración, Imprevisto, Utilidad y </w:t>
      </w:r>
      <w:proofErr w:type="gramStart"/>
      <w:r w:rsidR="00F12344" w:rsidRPr="006F5980">
        <w:rPr>
          <w:rFonts w:ascii="Geomanist Light" w:eastAsia="Calibri" w:hAnsi="Geomanist Light" w:cs="Arial"/>
          <w:sz w:val="22"/>
          <w:lang w:val="es-ES"/>
        </w:rPr>
        <w:t>total  A.I.U.</w:t>
      </w:r>
      <w:proofErr w:type="gramEnd"/>
      <w:r w:rsidR="00F12344" w:rsidRPr="006F5980">
        <w:rPr>
          <w:rFonts w:ascii="Geomanist Light" w:eastAsia="Calibri" w:hAnsi="Geomanist Light" w:cs="Arial"/>
          <w:sz w:val="22"/>
          <w:lang w:val="es-ES"/>
        </w:rPr>
        <w:t xml:space="preserve">  resaltadas en color amarillo». En este sentido, cuando se trate de un proceso estructurado por precios unitarios, la entidad obligatoriamente debe mantener y aplicar las notas 1, 2 y 3; además de mantener las casillas de "Descripción", "Porcentaje" de la Administración, Imprevisto, Utilidad y total A.I.U. P</w:t>
      </w:r>
      <w:r w:rsidR="00F12344" w:rsidRPr="006F5980">
        <w:rPr>
          <w:rFonts w:ascii="Geomanist Light" w:eastAsia="Arial" w:hAnsi="Geomanist Light" w:cs="Arial"/>
          <w:sz w:val="22"/>
          <w:lang w:val="es-ES" w:eastAsia="es-ES" w:bidi="es-ES"/>
        </w:rPr>
        <w:t xml:space="preserve">or ende, se incluirá el porcentaje respectivo a la: i) administración, </w:t>
      </w:r>
      <w:proofErr w:type="spellStart"/>
      <w:r w:rsidR="00F12344" w:rsidRPr="006F5980">
        <w:rPr>
          <w:rFonts w:ascii="Geomanist Light" w:eastAsia="Arial" w:hAnsi="Geomanist Light" w:cs="Arial"/>
          <w:sz w:val="22"/>
          <w:lang w:val="es-ES" w:eastAsia="es-ES" w:bidi="es-ES"/>
        </w:rPr>
        <w:t>ii</w:t>
      </w:r>
      <w:proofErr w:type="spellEnd"/>
      <w:r w:rsidR="00F12344" w:rsidRPr="006F5980">
        <w:rPr>
          <w:rFonts w:ascii="Geomanist Light" w:eastAsia="Arial" w:hAnsi="Geomanist Light" w:cs="Arial"/>
          <w:sz w:val="22"/>
          <w:lang w:val="es-ES" w:eastAsia="es-ES" w:bidi="es-ES"/>
        </w:rPr>
        <w:t xml:space="preserve">) imprevistos y </w:t>
      </w:r>
      <w:proofErr w:type="spellStart"/>
      <w:r w:rsidR="00F12344" w:rsidRPr="006F5980">
        <w:rPr>
          <w:rFonts w:ascii="Geomanist Light" w:eastAsia="Arial" w:hAnsi="Geomanist Light" w:cs="Arial"/>
          <w:sz w:val="22"/>
          <w:lang w:val="es-ES" w:eastAsia="es-ES" w:bidi="es-ES"/>
        </w:rPr>
        <w:t>iii</w:t>
      </w:r>
      <w:proofErr w:type="spellEnd"/>
      <w:r w:rsidR="00F12344" w:rsidRPr="006F5980">
        <w:rPr>
          <w:rFonts w:ascii="Geomanist Light" w:eastAsia="Arial" w:hAnsi="Geomanist Light" w:cs="Arial"/>
          <w:sz w:val="22"/>
          <w:lang w:val="es-ES" w:eastAsia="es-ES" w:bidi="es-ES"/>
        </w:rPr>
        <w:t xml:space="preserve">) utilidad. </w:t>
      </w:r>
    </w:p>
    <w:p w14:paraId="5059AF43" w14:textId="77777777" w:rsidR="00F12344" w:rsidRPr="006F5980" w:rsidRDefault="00F12344" w:rsidP="00EC1AD6">
      <w:pPr>
        <w:widowControl w:val="0"/>
        <w:autoSpaceDE w:val="0"/>
        <w:autoSpaceDN w:val="0"/>
        <w:spacing w:after="120" w:line="276" w:lineRule="auto"/>
        <w:ind w:firstLine="709"/>
        <w:jc w:val="both"/>
        <w:rPr>
          <w:rFonts w:ascii="Geomanist Light" w:eastAsia="Arial" w:hAnsi="Geomanist Light" w:cs="Arial"/>
          <w:sz w:val="22"/>
          <w:lang w:val="es-ES" w:eastAsia="es-ES" w:bidi="es-ES"/>
        </w:rPr>
      </w:pPr>
      <w:r w:rsidRPr="006F5980">
        <w:rPr>
          <w:rFonts w:ascii="Geomanist Light" w:eastAsia="Arial" w:hAnsi="Geomanist Light" w:cs="Arial"/>
          <w:sz w:val="22"/>
          <w:lang w:val="es-ES" w:eastAsia="es-ES" w:bidi="es-ES"/>
        </w:rPr>
        <w:t>Sin perjuicio de las restricciones anteriores, respecto a la modificación del formulario que las entidades pondrán a disposición de los oferentes para la presentación de las ofertas económicas, que aplican cuando el proceso se estructura por precios unitarios, es posible, como se desprende de las instrucciones del formulario, que se realicen modificaciones al mismo, lo que permitiría, por ejemplo, incluir notas adicionales. Las eventuales modificaciones que se realicen al formulario deben respetar las demás reglas establecidas en los documentos tipo, por lo que no sería posible incluir notas o modificaciones que impliquen alterar otras reglas dispuestas en dichos documentos.</w:t>
      </w:r>
    </w:p>
    <w:p w14:paraId="151C0D2E" w14:textId="49C80AA2" w:rsidR="00E16874" w:rsidRPr="006F5980" w:rsidRDefault="00F12344" w:rsidP="00EC1AD6">
      <w:pPr>
        <w:widowControl w:val="0"/>
        <w:autoSpaceDE w:val="0"/>
        <w:autoSpaceDN w:val="0"/>
        <w:spacing w:before="120" w:after="120" w:line="276" w:lineRule="auto"/>
        <w:ind w:firstLine="709"/>
        <w:jc w:val="both"/>
        <w:rPr>
          <w:rFonts w:ascii="Geomanist Light" w:eastAsia="Arial" w:hAnsi="Geomanist Light" w:cs="Arial"/>
          <w:sz w:val="22"/>
          <w:lang w:val="es-ES" w:eastAsia="es-ES" w:bidi="es-ES"/>
        </w:rPr>
      </w:pPr>
      <w:bookmarkStart w:id="0" w:name="_Hlk118962283"/>
      <w:r w:rsidRPr="006F5980">
        <w:rPr>
          <w:rFonts w:ascii="Geomanist Light" w:eastAsia="Arial" w:hAnsi="Geomanist Light" w:cs="Arial"/>
          <w:sz w:val="22"/>
          <w:lang w:val="es-ES" w:eastAsia="es-ES" w:bidi="es-ES"/>
        </w:rPr>
        <w:t>Con todo, resulta claro que la presentación de la oferta debe hacerse conforme a las reglas establecidas en el numeral 2.3. En dicho numeral se establece que la «[…] oferta estará conformada por dos sobres, los cuales deben cumplir todos los requisitos establecidos […] deberán entregarse cerrados, separados e identificados». Esto obedece a lo dispuesto en el parágrafo segundo del artículo 30 de la Ley 80 de 1993, adicionado por la Ley 1882 de 2018, que exige en los procesos de licitación de obra pública la oferta la propuesta económica sea presentada en un sobre separado del de los demás documentos, el cual permanece cerrado hasta la audiencia de adjudicación</w:t>
      </w:r>
      <w:bookmarkEnd w:id="0"/>
      <w:r w:rsidRPr="006F5980">
        <w:rPr>
          <w:rStyle w:val="Refdenotaalpie"/>
          <w:rFonts w:ascii="Geomanist Light" w:eastAsia="Calibri" w:hAnsi="Geomanist Light" w:cs="Arial"/>
          <w:sz w:val="22"/>
        </w:rPr>
        <w:footnoteReference w:id="4"/>
      </w:r>
      <w:r w:rsidRPr="006F5980">
        <w:rPr>
          <w:rFonts w:ascii="Geomanist Light" w:eastAsia="Arial" w:hAnsi="Geomanist Light" w:cs="Arial"/>
          <w:sz w:val="22"/>
          <w:lang w:val="es-ES" w:eastAsia="es-ES" w:bidi="es-ES"/>
        </w:rPr>
        <w:t xml:space="preserve">. </w:t>
      </w:r>
    </w:p>
    <w:p w14:paraId="7619F381" w14:textId="4E4348E9" w:rsidR="004C7AC2" w:rsidRPr="006F5980" w:rsidRDefault="00F12344" w:rsidP="00311919">
      <w:pPr>
        <w:tabs>
          <w:tab w:val="left" w:pos="709"/>
          <w:tab w:val="left" w:pos="851"/>
        </w:tabs>
        <w:spacing w:after="120" w:line="276" w:lineRule="auto"/>
        <w:ind w:firstLine="709"/>
        <w:jc w:val="both"/>
        <w:rPr>
          <w:rFonts w:ascii="Geomanist Light" w:hAnsi="Geomanist Light"/>
          <w:sz w:val="22"/>
        </w:rPr>
      </w:pPr>
      <w:r w:rsidRPr="006F5980">
        <w:rPr>
          <w:rFonts w:ascii="Geomanist Light" w:eastAsia="Arial" w:hAnsi="Geomanist Light" w:cs="Arial"/>
          <w:sz w:val="22"/>
          <w:lang w:val="es-ES" w:eastAsia="es-ES" w:bidi="es-ES"/>
        </w:rPr>
        <w:t>En consideración a lo anterior,</w:t>
      </w:r>
      <w:r w:rsidR="00676664" w:rsidRPr="006F5980">
        <w:rPr>
          <w:rFonts w:ascii="Geomanist Light" w:eastAsia="Arial" w:hAnsi="Geomanist Light" w:cs="Arial"/>
          <w:sz w:val="22"/>
          <w:lang w:val="es-ES" w:eastAsia="es-ES" w:bidi="es-ES"/>
        </w:rPr>
        <w:t xml:space="preserve"> para la presentación de</w:t>
      </w:r>
      <w:r w:rsidRPr="006F5980">
        <w:rPr>
          <w:rFonts w:ascii="Geomanist Light" w:eastAsia="Arial" w:hAnsi="Geomanist Light" w:cs="Arial"/>
          <w:sz w:val="22"/>
          <w:lang w:val="es-ES" w:eastAsia="es-ES" w:bidi="es-ES"/>
        </w:rPr>
        <w:t xml:space="preserve"> la oferta económica, </w:t>
      </w:r>
      <w:r w:rsidR="00097B7F" w:rsidRPr="006F5980">
        <w:rPr>
          <w:rFonts w:ascii="Geomanist Light" w:eastAsia="Arial" w:hAnsi="Geomanist Light" w:cs="Arial"/>
          <w:sz w:val="22"/>
          <w:lang w:val="es-ES" w:eastAsia="es-ES" w:bidi="es-ES"/>
        </w:rPr>
        <w:t xml:space="preserve">debe tenerse en cuenta que </w:t>
      </w:r>
      <w:r w:rsidR="00AA13E4" w:rsidRPr="006F5980">
        <w:rPr>
          <w:rFonts w:ascii="Geomanist Light" w:eastAsia="Arial" w:hAnsi="Geomanist Light" w:cs="Arial"/>
          <w:sz w:val="22"/>
          <w:lang w:val="es-ES" w:eastAsia="es-ES" w:bidi="es-ES"/>
        </w:rPr>
        <w:t xml:space="preserve">el </w:t>
      </w:r>
      <w:r w:rsidR="00E70BAB" w:rsidRPr="006F5980">
        <w:rPr>
          <w:rFonts w:ascii="Geomanist Light" w:eastAsia="Arial" w:hAnsi="Geomanist Light" w:cs="Arial"/>
          <w:sz w:val="22"/>
          <w:lang w:val="es-ES" w:eastAsia="es-ES" w:bidi="es-ES"/>
        </w:rPr>
        <w:t xml:space="preserve">numeral </w:t>
      </w:r>
      <w:r w:rsidR="008F7FDF" w:rsidRPr="00EC1AD6">
        <w:rPr>
          <w:rFonts w:ascii="Geomanist Light" w:hAnsi="Geomanist Light" w:cs="Arial"/>
          <w:sz w:val="22"/>
        </w:rPr>
        <w:t>«</w:t>
      </w:r>
      <w:r w:rsidR="00D831F9" w:rsidRPr="006F5980">
        <w:rPr>
          <w:rFonts w:ascii="Geomanist Light" w:eastAsia="Arial" w:hAnsi="Geomanist Light" w:cs="Arial"/>
          <w:sz w:val="22"/>
          <w:lang w:val="es-ES" w:eastAsia="es-ES" w:bidi="es-ES"/>
        </w:rPr>
        <w:t xml:space="preserve">2.3. Elaboración </w:t>
      </w:r>
      <w:r w:rsidR="00355951" w:rsidRPr="006F5980">
        <w:rPr>
          <w:rFonts w:ascii="Geomanist Light" w:eastAsia="Arial" w:hAnsi="Geomanist Light" w:cs="Arial"/>
          <w:sz w:val="22"/>
          <w:lang w:val="es-ES" w:eastAsia="es-ES" w:bidi="es-ES"/>
        </w:rPr>
        <w:t>y presentación de la oferta</w:t>
      </w:r>
      <w:r w:rsidR="00BC0C49" w:rsidRPr="00EC1AD6">
        <w:rPr>
          <w:rFonts w:ascii="Geomanist Light" w:hAnsi="Geomanist Light" w:cs="Arial"/>
          <w:sz w:val="22"/>
        </w:rPr>
        <w:t>» de</w:t>
      </w:r>
      <w:r w:rsidR="00BC0C49" w:rsidRPr="006F5980">
        <w:rPr>
          <w:rFonts w:ascii="Geomanist Light" w:hAnsi="Geomanist Light" w:cs="Arial"/>
          <w:sz w:val="22"/>
        </w:rPr>
        <w:t xml:space="preserve">l documento base </w:t>
      </w:r>
      <w:r w:rsidR="00197AAA" w:rsidRPr="006F5980">
        <w:rPr>
          <w:rFonts w:ascii="Geomanist Light" w:hAnsi="Geomanist Light" w:cs="Arial"/>
          <w:sz w:val="22"/>
        </w:rPr>
        <w:t>estipula las reglas</w:t>
      </w:r>
      <w:r w:rsidR="00676664" w:rsidRPr="006F5980">
        <w:rPr>
          <w:rFonts w:ascii="Geomanist Light" w:hAnsi="Geomanist Light" w:cs="Arial"/>
          <w:sz w:val="22"/>
        </w:rPr>
        <w:t xml:space="preserve"> para </w:t>
      </w:r>
      <w:r w:rsidR="0039489C" w:rsidRPr="006F5980">
        <w:rPr>
          <w:rFonts w:ascii="Geomanist Light" w:hAnsi="Geomanist Light" w:cs="Arial"/>
          <w:sz w:val="22"/>
        </w:rPr>
        <w:t>su presentación</w:t>
      </w:r>
      <w:r w:rsidR="00522109" w:rsidRPr="006F5980">
        <w:rPr>
          <w:rFonts w:ascii="Geomanist Light" w:hAnsi="Geomanist Light" w:cs="Arial"/>
          <w:sz w:val="22"/>
        </w:rPr>
        <w:t xml:space="preserve"> de </w:t>
      </w:r>
      <w:r w:rsidR="00E5380E" w:rsidRPr="006F5980">
        <w:rPr>
          <w:rFonts w:ascii="Geomanist Light" w:hAnsi="Geomanist Light" w:cs="Arial"/>
          <w:sz w:val="22"/>
        </w:rPr>
        <w:t xml:space="preserve">manera </w:t>
      </w:r>
      <w:proofErr w:type="gramStart"/>
      <w:r w:rsidR="00E5380E" w:rsidRPr="006F5980">
        <w:rPr>
          <w:rFonts w:ascii="Geomanist Light" w:hAnsi="Geomanist Light" w:cs="Arial"/>
          <w:sz w:val="22"/>
        </w:rPr>
        <w:t xml:space="preserve">física </w:t>
      </w:r>
      <w:r w:rsidR="00E5380E" w:rsidRPr="006F5980">
        <w:rPr>
          <w:rFonts w:ascii="Geomanist Light" w:eastAsia="Arial" w:hAnsi="Geomanist Light" w:cs="Arial"/>
          <w:sz w:val="22"/>
          <w:lang w:val="es-ES" w:eastAsia="es-ES" w:bidi="es-ES"/>
        </w:rPr>
        <w:t>,</w:t>
      </w:r>
      <w:proofErr w:type="gramEnd"/>
      <w:r w:rsidR="00E5380E" w:rsidRPr="006F5980">
        <w:rPr>
          <w:rFonts w:ascii="Geomanist Light" w:eastAsia="Arial" w:hAnsi="Geomanist Light" w:cs="Arial"/>
          <w:sz w:val="22"/>
          <w:lang w:val="es-ES" w:eastAsia="es-ES" w:bidi="es-ES"/>
        </w:rPr>
        <w:t xml:space="preserve"> </w:t>
      </w:r>
      <w:r w:rsidR="00097B7F" w:rsidRPr="006F5980">
        <w:rPr>
          <w:rFonts w:ascii="Geomanist Light" w:eastAsia="Arial" w:hAnsi="Geomanist Light" w:cs="Arial"/>
          <w:sz w:val="22"/>
          <w:lang w:val="es-ES" w:eastAsia="es-ES" w:bidi="es-ES"/>
        </w:rPr>
        <w:t>en</w:t>
      </w:r>
      <w:r w:rsidR="00E5380E" w:rsidRPr="006F5980">
        <w:rPr>
          <w:rFonts w:ascii="Geomanist Light" w:eastAsia="Arial" w:hAnsi="Geomanist Light" w:cs="Arial"/>
          <w:sz w:val="22"/>
          <w:lang w:val="es-ES" w:eastAsia="es-ES" w:bidi="es-ES"/>
        </w:rPr>
        <w:t xml:space="preserve"> la plataforma de</w:t>
      </w:r>
      <w:r w:rsidR="00097B7F" w:rsidRPr="006F5980">
        <w:rPr>
          <w:rFonts w:ascii="Geomanist Light" w:eastAsia="Arial" w:hAnsi="Geomanist Light" w:cs="Arial"/>
          <w:sz w:val="22"/>
          <w:lang w:val="es-ES" w:eastAsia="es-ES" w:bidi="es-ES"/>
        </w:rPr>
        <w:t xml:space="preserve"> SECOP I</w:t>
      </w:r>
      <w:r w:rsidR="00E16874" w:rsidRPr="006F5980">
        <w:rPr>
          <w:rFonts w:ascii="Geomanist Light" w:eastAsia="Arial" w:hAnsi="Geomanist Light" w:cs="Arial"/>
          <w:sz w:val="22"/>
          <w:lang w:val="es-ES" w:eastAsia="es-ES" w:bidi="es-ES"/>
        </w:rPr>
        <w:t xml:space="preserve"> y</w:t>
      </w:r>
      <w:r w:rsidR="00E5380E" w:rsidRPr="006F5980">
        <w:rPr>
          <w:rFonts w:ascii="Geomanist Light" w:eastAsia="Arial" w:hAnsi="Geomanist Light" w:cs="Arial"/>
          <w:sz w:val="22"/>
          <w:lang w:val="es-ES" w:eastAsia="es-ES" w:bidi="es-ES"/>
        </w:rPr>
        <w:t xml:space="preserve"> </w:t>
      </w:r>
      <w:r w:rsidR="00097B7F" w:rsidRPr="006F5980">
        <w:rPr>
          <w:rFonts w:ascii="Geomanist Light" w:eastAsia="Arial" w:hAnsi="Geomanist Light" w:cs="Arial"/>
          <w:sz w:val="22"/>
          <w:lang w:val="es-ES" w:eastAsia="es-ES" w:bidi="es-ES"/>
        </w:rPr>
        <w:t>de manera electrónica</w:t>
      </w:r>
      <w:r w:rsidR="00E5380E" w:rsidRPr="006F5980">
        <w:rPr>
          <w:rFonts w:ascii="Geomanist Light" w:eastAsia="Arial" w:hAnsi="Geomanist Light" w:cs="Arial"/>
          <w:sz w:val="22"/>
          <w:lang w:val="es-ES" w:eastAsia="es-ES" w:bidi="es-ES"/>
        </w:rPr>
        <w:t xml:space="preserve">, </w:t>
      </w:r>
      <w:r w:rsidR="00097B7F" w:rsidRPr="006F5980">
        <w:rPr>
          <w:rFonts w:ascii="Geomanist Light" w:eastAsia="Arial" w:hAnsi="Geomanist Light" w:cs="Arial"/>
          <w:sz w:val="22"/>
          <w:lang w:val="es-ES" w:eastAsia="es-ES" w:bidi="es-ES"/>
        </w:rPr>
        <w:t xml:space="preserve">a través del SECOP II. </w:t>
      </w:r>
      <w:r w:rsidR="00676664" w:rsidRPr="006F5980">
        <w:rPr>
          <w:rFonts w:ascii="Geomanist Light" w:eastAsia="Arial" w:hAnsi="Geomanist Light" w:cs="Arial"/>
          <w:sz w:val="22"/>
          <w:lang w:val="es-ES" w:eastAsia="es-ES" w:bidi="es-ES"/>
        </w:rPr>
        <w:t xml:space="preserve">En este orden, </w:t>
      </w:r>
      <w:r w:rsidRPr="006F5980">
        <w:rPr>
          <w:rFonts w:ascii="Geomanist Light" w:eastAsia="Arial" w:hAnsi="Geomanist Light" w:cs="Arial"/>
          <w:sz w:val="22"/>
          <w:lang w:val="es-ES" w:eastAsia="es-ES" w:bidi="es-ES"/>
        </w:rPr>
        <w:t>los procesos adelantados en SECOP I</w:t>
      </w:r>
      <w:r w:rsidR="00E16874" w:rsidRPr="006F5980">
        <w:rPr>
          <w:rFonts w:ascii="Geomanist Light" w:eastAsia="Arial" w:hAnsi="Geomanist Light" w:cs="Arial"/>
          <w:sz w:val="22"/>
          <w:lang w:val="es-ES" w:eastAsia="es-ES" w:bidi="es-ES"/>
        </w:rPr>
        <w:t xml:space="preserve"> </w:t>
      </w:r>
      <w:r w:rsidR="00676664" w:rsidRPr="006F5980">
        <w:rPr>
          <w:rFonts w:ascii="Geomanist Light" w:eastAsia="Arial" w:hAnsi="Geomanist Light" w:cs="Arial"/>
          <w:sz w:val="22"/>
          <w:lang w:val="es-ES" w:eastAsia="es-ES" w:bidi="es-ES"/>
        </w:rPr>
        <w:t>se reglan por lo establecido en e</w:t>
      </w:r>
      <w:r w:rsidR="00E16874" w:rsidRPr="006F5980">
        <w:rPr>
          <w:rFonts w:ascii="Geomanist Light" w:eastAsia="Arial" w:hAnsi="Geomanist Light" w:cs="Arial"/>
          <w:sz w:val="22"/>
          <w:lang w:val="es-ES" w:eastAsia="es-ES" w:bidi="es-ES"/>
        </w:rPr>
        <w:t>l</w:t>
      </w:r>
      <w:r w:rsidRPr="006F5980">
        <w:rPr>
          <w:rFonts w:ascii="Geomanist Light" w:eastAsia="Arial" w:hAnsi="Geomanist Light" w:cs="Arial"/>
          <w:sz w:val="22"/>
          <w:lang w:val="es-ES" w:eastAsia="es-ES" w:bidi="es-ES"/>
        </w:rPr>
        <w:t xml:space="preserve"> literal B del numeral 2.3.2 </w:t>
      </w:r>
      <w:r w:rsidR="00E16874" w:rsidRPr="006F5980">
        <w:rPr>
          <w:rFonts w:ascii="Geomanist Light" w:eastAsia="Arial" w:hAnsi="Geomanist Light" w:cs="Arial"/>
          <w:sz w:val="22"/>
          <w:lang w:val="es-ES" w:eastAsia="es-ES" w:bidi="es-ES"/>
        </w:rPr>
        <w:t xml:space="preserve">del </w:t>
      </w:r>
      <w:r w:rsidR="00E16874" w:rsidRPr="006F5980">
        <w:rPr>
          <w:rFonts w:ascii="Geomanist Light" w:eastAsia="Arial" w:hAnsi="Geomanist Light" w:cs="Arial"/>
          <w:sz w:val="22"/>
          <w:lang w:val="es-ES" w:eastAsia="es-ES" w:bidi="es-ES"/>
        </w:rPr>
        <w:lastRenderedPageBreak/>
        <w:t>Documento Base, mientras que</w:t>
      </w:r>
      <w:r w:rsidR="00676664" w:rsidRPr="006F5980">
        <w:rPr>
          <w:rFonts w:ascii="Geomanist Light" w:hAnsi="Geomanist Light"/>
          <w:sz w:val="22"/>
        </w:rPr>
        <w:t xml:space="preserve"> los</w:t>
      </w:r>
      <w:r w:rsidR="00DF54DE" w:rsidRPr="006F5980">
        <w:rPr>
          <w:rFonts w:ascii="Geomanist Light" w:hAnsi="Geomanist Light"/>
          <w:sz w:val="22"/>
        </w:rPr>
        <w:t xml:space="preserve"> adelantados en SECOP II, conforme con lo establecido en </w:t>
      </w:r>
      <w:r w:rsidRPr="006F5980">
        <w:rPr>
          <w:rFonts w:ascii="Geomanist Light" w:hAnsi="Geomanist Light"/>
          <w:sz w:val="22"/>
        </w:rPr>
        <w:t>el literal A del numeral 2.3.2</w:t>
      </w:r>
      <w:r w:rsidR="00E16874" w:rsidRPr="006F5980">
        <w:rPr>
          <w:rFonts w:ascii="Geomanist Light" w:hAnsi="Geomanist Light"/>
          <w:sz w:val="22"/>
        </w:rPr>
        <w:t xml:space="preserve">.  </w:t>
      </w:r>
    </w:p>
    <w:p w14:paraId="228553F3" w14:textId="47D14783" w:rsidR="00E16874" w:rsidRPr="006F5980" w:rsidRDefault="00A206D3" w:rsidP="00ED6E42">
      <w:pPr>
        <w:tabs>
          <w:tab w:val="left" w:pos="709"/>
          <w:tab w:val="left" w:pos="851"/>
        </w:tabs>
        <w:spacing w:after="120" w:line="276" w:lineRule="auto"/>
        <w:ind w:firstLine="709"/>
        <w:jc w:val="both"/>
        <w:rPr>
          <w:rFonts w:ascii="Geomanist Light" w:eastAsia="Arial" w:hAnsi="Geomanist Light" w:cs="Arial"/>
          <w:sz w:val="22"/>
          <w:lang w:val="es-ES" w:eastAsia="es-ES" w:bidi="es-ES"/>
        </w:rPr>
      </w:pPr>
      <w:r w:rsidRPr="006F5980">
        <w:rPr>
          <w:rFonts w:ascii="Geomanist Light" w:eastAsia="Arial" w:hAnsi="Geomanist Light" w:cs="Arial"/>
          <w:sz w:val="22"/>
          <w:lang w:val="es-ES" w:eastAsia="es-ES" w:bidi="es-ES"/>
        </w:rPr>
        <w:t>Entonces</w:t>
      </w:r>
      <w:r w:rsidR="00197AAA" w:rsidRPr="006F5980">
        <w:rPr>
          <w:rFonts w:ascii="Geomanist Light" w:eastAsia="Arial" w:hAnsi="Geomanist Light" w:cs="Arial"/>
          <w:sz w:val="22"/>
          <w:lang w:val="es-ES" w:eastAsia="es-ES" w:bidi="es-ES"/>
        </w:rPr>
        <w:t xml:space="preserve">, </w:t>
      </w:r>
      <w:r w:rsidR="00E16874" w:rsidRPr="006F5980">
        <w:rPr>
          <w:rFonts w:ascii="Geomanist Light" w:eastAsia="Arial" w:hAnsi="Geomanist Light" w:cs="Arial"/>
          <w:sz w:val="22"/>
          <w:lang w:val="es-ES" w:eastAsia="es-ES" w:bidi="es-ES"/>
        </w:rPr>
        <w:t>las reglas establecidas en los numeral 2.3, 2.3.1 y 2.3.2 del Documento Base, con relación a la presentación de la propuesta</w:t>
      </w:r>
      <w:r w:rsidR="00D4685A" w:rsidRPr="006F5980">
        <w:rPr>
          <w:rFonts w:ascii="Geomanist Light" w:eastAsia="Arial" w:hAnsi="Geomanist Light" w:cs="Arial"/>
          <w:sz w:val="22"/>
          <w:lang w:val="es-ES" w:eastAsia="es-ES" w:bidi="es-ES"/>
        </w:rPr>
        <w:t xml:space="preserve"> son </w:t>
      </w:r>
      <w:r w:rsidR="00E16874" w:rsidRPr="006F5980">
        <w:rPr>
          <w:rFonts w:ascii="Geomanist Light" w:eastAsia="Arial" w:hAnsi="Geomanist Light" w:cs="Arial"/>
          <w:sz w:val="22"/>
          <w:lang w:val="es-ES" w:eastAsia="es-ES" w:bidi="es-ES"/>
        </w:rPr>
        <w:t xml:space="preserve">alternativas, </w:t>
      </w:r>
      <w:r w:rsidR="004D3644" w:rsidRPr="006F5980">
        <w:rPr>
          <w:rFonts w:ascii="Geomanist Light" w:eastAsia="Arial" w:hAnsi="Geomanist Light" w:cs="Arial"/>
          <w:sz w:val="22"/>
          <w:lang w:val="es-ES" w:eastAsia="es-ES" w:bidi="es-ES"/>
        </w:rPr>
        <w:t xml:space="preserve">cuya aplicabilidad dependerá de que </w:t>
      </w:r>
      <w:r w:rsidR="002672EC" w:rsidRPr="006F5980">
        <w:rPr>
          <w:rFonts w:ascii="Geomanist Light" w:eastAsia="Arial" w:hAnsi="Geomanist Light" w:cs="Arial"/>
          <w:sz w:val="22"/>
          <w:lang w:val="es-ES" w:eastAsia="es-ES" w:bidi="es-ES"/>
        </w:rPr>
        <w:t>la propuesta el proceso de selección se tramite</w:t>
      </w:r>
      <w:r w:rsidR="00E16874" w:rsidRPr="006F5980">
        <w:rPr>
          <w:rFonts w:ascii="Geomanist Light" w:eastAsia="Arial" w:hAnsi="Geomanist Light" w:cs="Arial"/>
          <w:sz w:val="22"/>
          <w:lang w:val="es-ES" w:eastAsia="es-ES" w:bidi="es-ES"/>
        </w:rPr>
        <w:t xml:space="preserve"> s en medio físico –aquellos que deben ser publicados en el SECOP I– </w:t>
      </w:r>
      <w:r w:rsidR="002672EC" w:rsidRPr="006F5980">
        <w:rPr>
          <w:rFonts w:ascii="Geomanist Light" w:eastAsia="Arial" w:hAnsi="Geomanist Light" w:cs="Arial"/>
          <w:sz w:val="22"/>
          <w:lang w:val="es-ES" w:eastAsia="es-ES" w:bidi="es-ES"/>
        </w:rPr>
        <w:t>o</w:t>
      </w:r>
      <w:r w:rsidR="00E16874" w:rsidRPr="006F5980">
        <w:rPr>
          <w:rFonts w:ascii="Geomanist Light" w:eastAsia="Arial" w:hAnsi="Geomanist Light" w:cs="Arial"/>
          <w:sz w:val="22"/>
          <w:lang w:val="es-ES" w:eastAsia="es-ES" w:bidi="es-ES"/>
        </w:rPr>
        <w:t xml:space="preserve"> de manera transaccional a través del SECOP II. </w:t>
      </w:r>
      <w:r w:rsidR="002672EC" w:rsidRPr="006F5980">
        <w:rPr>
          <w:rFonts w:ascii="Geomanist Light" w:eastAsia="Arial" w:hAnsi="Geomanist Light" w:cs="Arial"/>
          <w:sz w:val="22"/>
          <w:lang w:val="es-ES" w:eastAsia="es-ES" w:bidi="es-ES"/>
        </w:rPr>
        <w:t xml:space="preserve"> </w:t>
      </w:r>
      <w:r w:rsidR="00E16874" w:rsidRPr="006F5980">
        <w:rPr>
          <w:rFonts w:ascii="Geomanist Light" w:eastAsia="Arial" w:hAnsi="Geomanist Light" w:cs="Arial"/>
          <w:sz w:val="22"/>
          <w:lang w:val="es-ES" w:eastAsia="es-ES" w:bidi="es-ES"/>
        </w:rPr>
        <w:t>Al respecto se destacan las siguientes:</w:t>
      </w:r>
    </w:p>
    <w:p w14:paraId="6FF257C8" w14:textId="77777777" w:rsidR="00E16874" w:rsidRPr="00EC1AD6" w:rsidRDefault="00E16874" w:rsidP="00E16874">
      <w:pPr>
        <w:spacing w:line="276" w:lineRule="auto"/>
        <w:jc w:val="both"/>
        <w:rPr>
          <w:rFonts w:ascii="Geomanist Light" w:eastAsia="Arial" w:hAnsi="Geomanist Light" w:cs="Arial"/>
          <w:bCs/>
          <w:sz w:val="20"/>
          <w:szCs w:val="20"/>
          <w:lang w:val="es-ES"/>
        </w:rPr>
      </w:pPr>
    </w:p>
    <w:p w14:paraId="3F1E90F0" w14:textId="77777777" w:rsidR="00E16874" w:rsidRPr="00EC1AD6" w:rsidRDefault="00E16874" w:rsidP="00E16874">
      <w:pPr>
        <w:keepNext/>
        <w:keepLines/>
        <w:numPr>
          <w:ilvl w:val="1"/>
          <w:numId w:val="24"/>
        </w:numPr>
        <w:spacing w:before="40" w:after="120" w:line="276" w:lineRule="auto"/>
        <w:ind w:left="1134" w:hanging="425"/>
        <w:jc w:val="both"/>
        <w:outlineLvl w:val="1"/>
        <w:rPr>
          <w:rFonts w:ascii="Geomanist Light" w:eastAsia="Times New Roman" w:hAnsi="Geomanist Light" w:cs="Arial"/>
          <w:b/>
          <w:caps/>
          <w:color w:val="000000"/>
          <w:sz w:val="20"/>
          <w:szCs w:val="20"/>
        </w:rPr>
      </w:pPr>
      <w:bookmarkStart w:id="1" w:name="_Toc107994803"/>
      <w:r w:rsidRPr="006F5980">
        <w:rPr>
          <w:rFonts w:ascii="Geomanist Light" w:eastAsia="Arial" w:hAnsi="Geomanist Light" w:cs="Arial"/>
          <w:b/>
          <w:sz w:val="21"/>
          <w:szCs w:val="21"/>
          <w:lang w:val="es-ES" w:eastAsia="es-ES" w:bidi="es-ES"/>
        </w:rPr>
        <w:t>ELABORACIÓN Y PRESENTACIÓN DE LA OFERTA</w:t>
      </w:r>
      <w:bookmarkEnd w:id="1"/>
    </w:p>
    <w:p w14:paraId="12AB15A4" w14:textId="77777777" w:rsidR="00E16874" w:rsidRPr="00EC1AD6" w:rsidRDefault="00E16874" w:rsidP="00E16874">
      <w:pPr>
        <w:spacing w:line="276" w:lineRule="auto"/>
        <w:ind w:left="709" w:right="709"/>
        <w:jc w:val="both"/>
        <w:rPr>
          <w:rFonts w:ascii="Geomanist Light" w:eastAsia="Times New Roman" w:hAnsi="Geomanist Light" w:cs="Arial"/>
          <w:sz w:val="20"/>
          <w:szCs w:val="20"/>
          <w:lang w:val="es-ES" w:eastAsia="es-ES"/>
        </w:rPr>
      </w:pPr>
      <w:r w:rsidRPr="00EC1AD6">
        <w:rPr>
          <w:rFonts w:ascii="Geomanist Light" w:eastAsia="Calibri" w:hAnsi="Geomanist Light" w:cs="Arial"/>
          <w:sz w:val="20"/>
          <w:szCs w:val="20"/>
        </w:rPr>
        <w:t>[</w:t>
      </w:r>
      <w:r w:rsidRPr="006F5980">
        <w:rPr>
          <w:rFonts w:ascii="Geomanist Light" w:eastAsia="Calibri" w:hAnsi="Geomanist Light" w:cs="Arial"/>
          <w:color w:val="000000" w:themeColor="text1"/>
          <w:sz w:val="21"/>
          <w:szCs w:val="21"/>
          <w:lang w:val="es-ES_tradnl"/>
        </w:rPr>
        <w:t>Para</w:t>
      </w:r>
      <w:r w:rsidRPr="00EC1AD6">
        <w:rPr>
          <w:rFonts w:ascii="Geomanist Light" w:eastAsia="Calibri" w:hAnsi="Geomanist Light" w:cs="Arial"/>
          <w:sz w:val="20"/>
          <w:szCs w:val="20"/>
        </w:rPr>
        <w:t xml:space="preserve"> </w:t>
      </w:r>
      <w:r w:rsidRPr="006F5980">
        <w:rPr>
          <w:rFonts w:ascii="Geomanist Light" w:eastAsia="Calibri" w:hAnsi="Geomanist Light" w:cs="Arial"/>
          <w:color w:val="000000" w:themeColor="text1"/>
          <w:sz w:val="21"/>
          <w:szCs w:val="21"/>
          <w:highlight w:val="lightGray"/>
          <w:lang w:val="es-ES_tradnl"/>
        </w:rPr>
        <w:t>las Entidades que utilicen SECOP II la presentación de la oferta deberá adaptarse a las condiciones de la plataforma y no será posible allegar documentos en físico</w:t>
      </w:r>
      <w:r w:rsidRPr="006F5980">
        <w:rPr>
          <w:rFonts w:ascii="Geomanist Light" w:eastAsia="Calibri" w:hAnsi="Geomanist Light" w:cs="Arial"/>
          <w:color w:val="000000" w:themeColor="text1"/>
          <w:sz w:val="21"/>
          <w:szCs w:val="21"/>
          <w:lang w:val="es-ES_tradnl"/>
        </w:rPr>
        <w:t>]</w:t>
      </w:r>
      <w:r w:rsidRPr="00EC1AD6">
        <w:rPr>
          <w:rFonts w:ascii="Geomanist Light" w:eastAsia="Times New Roman" w:hAnsi="Geomanist Light" w:cs="Arial"/>
          <w:sz w:val="20"/>
          <w:szCs w:val="20"/>
          <w:lang w:val="es-ES" w:eastAsia="es-ES"/>
        </w:rPr>
        <w:t xml:space="preserve"> </w:t>
      </w:r>
    </w:p>
    <w:p w14:paraId="4869EEDF"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b/>
          <w:bCs/>
          <w:color w:val="000000"/>
          <w:sz w:val="20"/>
          <w:szCs w:val="20"/>
        </w:rPr>
      </w:pPr>
    </w:p>
    <w:p w14:paraId="22FDC6FE"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sz w:val="20"/>
          <w:szCs w:val="20"/>
        </w:rPr>
      </w:pPr>
      <w:bookmarkStart w:id="2" w:name="_Hlk117085384"/>
      <w:r w:rsidRPr="00EC1AD6">
        <w:rPr>
          <w:rFonts w:ascii="Geomanist Light" w:eastAsia="Calibri" w:hAnsi="Geomanist Light" w:cs="Arial"/>
          <w:color w:val="000000"/>
          <w:sz w:val="20"/>
          <w:szCs w:val="20"/>
        </w:rPr>
        <w:t>[…]</w:t>
      </w:r>
    </w:p>
    <w:bookmarkEnd w:id="2"/>
    <w:p w14:paraId="7CC7B9EA"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sz w:val="20"/>
          <w:szCs w:val="20"/>
        </w:rPr>
      </w:pPr>
    </w:p>
    <w:p w14:paraId="15343654" w14:textId="77777777" w:rsidR="00E16874" w:rsidRPr="006F5980" w:rsidRDefault="00E16874" w:rsidP="00E16874">
      <w:pPr>
        <w:tabs>
          <w:tab w:val="left" w:pos="709"/>
          <w:tab w:val="left" w:pos="851"/>
        </w:tabs>
        <w:spacing w:line="276" w:lineRule="auto"/>
        <w:ind w:leftChars="295" w:left="708" w:right="709"/>
        <w:jc w:val="both"/>
        <w:rPr>
          <w:rFonts w:ascii="Geomanist Light" w:eastAsia="Arial" w:hAnsi="Geomanist Light" w:cs="Arial"/>
          <w:b/>
          <w:sz w:val="21"/>
          <w:szCs w:val="21"/>
          <w:lang w:val="es-ES" w:eastAsia="es-ES" w:bidi="es-ES"/>
        </w:rPr>
      </w:pPr>
      <w:bookmarkStart w:id="3" w:name="_Hlk117088483"/>
      <w:r w:rsidRPr="006F5980">
        <w:rPr>
          <w:rFonts w:ascii="Geomanist Light" w:eastAsia="Arial" w:hAnsi="Geomanist Light" w:cs="Arial"/>
          <w:b/>
          <w:sz w:val="21"/>
          <w:szCs w:val="21"/>
          <w:lang w:val="es-ES" w:eastAsia="es-ES" w:bidi="es-ES"/>
        </w:rPr>
        <w:t>2.3.1.</w:t>
      </w:r>
      <w:r w:rsidRPr="006F5980">
        <w:rPr>
          <w:rFonts w:ascii="Geomanist Light" w:eastAsia="Arial" w:hAnsi="Geomanist Light" w:cs="Arial"/>
          <w:b/>
          <w:sz w:val="21"/>
          <w:szCs w:val="21"/>
          <w:lang w:val="es-ES" w:eastAsia="es-ES" w:bidi="es-ES"/>
        </w:rPr>
        <w:tab/>
        <w:t>SOBRE NO. 1</w:t>
      </w:r>
    </w:p>
    <w:bookmarkEnd w:id="3"/>
    <w:p w14:paraId="0F14F2C9"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b/>
          <w:bCs/>
          <w:color w:val="000000"/>
          <w:sz w:val="20"/>
          <w:szCs w:val="20"/>
        </w:rPr>
      </w:pPr>
    </w:p>
    <w:p w14:paraId="31B2BA53" w14:textId="77777777" w:rsidR="00E16874" w:rsidRPr="006F5980"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 xml:space="preserve">Contiene los documentos e información de los requisitos habilitantes y los documentos a los que se les asigne puntajes diferentes a la oferta económica. El Sobre 1 debe tener las siguientes características: </w:t>
      </w:r>
    </w:p>
    <w:p w14:paraId="30A2C98F" w14:textId="77777777" w:rsidR="00E16874" w:rsidRPr="006F5980"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themeColor="text1"/>
          <w:sz w:val="21"/>
          <w:szCs w:val="21"/>
          <w:lang w:val="es-ES_tradnl"/>
        </w:rPr>
      </w:pPr>
    </w:p>
    <w:p w14:paraId="701B50C2" w14:textId="77777777" w:rsidR="00E16874" w:rsidRPr="006F5980" w:rsidRDefault="00E16874" w:rsidP="00E16874">
      <w:pPr>
        <w:numPr>
          <w:ilvl w:val="0"/>
          <w:numId w:val="22"/>
        </w:numPr>
        <w:spacing w:after="160" w:line="276" w:lineRule="auto"/>
        <w:ind w:left="993" w:right="709" w:hanging="284"/>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[Para los procesos adelantados en el SECOP I] El proponente debe presentar el Sobre 1 en físico. Sin perjuicio de lo anterior, el proponente podrá presentar el contenido del Sobre 1 en medio magnético u óptico. [Para los procesos en SECOP II, el Sobre 1 debe presentarse en el cuestionario destinado para ello en el Módulo de “Licitación de Obra Pública” y no podrá ser entregado en físico].</w:t>
      </w:r>
    </w:p>
    <w:p w14:paraId="62F60C33" w14:textId="77777777" w:rsidR="00E16874" w:rsidRPr="006F5980" w:rsidRDefault="00E16874" w:rsidP="00E16874">
      <w:pPr>
        <w:tabs>
          <w:tab w:val="left" w:pos="709"/>
          <w:tab w:val="left" w:pos="851"/>
        </w:tabs>
        <w:spacing w:line="276" w:lineRule="auto"/>
        <w:ind w:left="1140" w:right="709"/>
        <w:contextualSpacing/>
        <w:jc w:val="both"/>
        <w:rPr>
          <w:rFonts w:ascii="Geomanist Light" w:eastAsia="Calibri" w:hAnsi="Geomanist Light" w:cs="Arial"/>
          <w:color w:val="000000" w:themeColor="text1"/>
          <w:sz w:val="21"/>
          <w:szCs w:val="21"/>
          <w:lang w:val="es-ES_tradnl"/>
        </w:rPr>
      </w:pPr>
    </w:p>
    <w:p w14:paraId="143EE5C2" w14:textId="77777777" w:rsidR="00E16874" w:rsidRPr="006F5980" w:rsidRDefault="00E16874" w:rsidP="00E16874">
      <w:pPr>
        <w:numPr>
          <w:ilvl w:val="0"/>
          <w:numId w:val="22"/>
        </w:numPr>
        <w:spacing w:after="160" w:line="276" w:lineRule="auto"/>
        <w:ind w:left="993" w:right="709" w:hanging="284"/>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[Para los procesos adelantados en el SECOP I] La información en físico y en medio magnético debe ser idéntica. En caso de presentarse discrepancias entre la información consignada en medio físico y la información incluida en el medio magnético prevalecerá la información entregada físicamente.</w:t>
      </w:r>
    </w:p>
    <w:p w14:paraId="4C01062A"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sz w:val="20"/>
          <w:szCs w:val="20"/>
        </w:rPr>
      </w:pPr>
    </w:p>
    <w:p w14:paraId="5E56460F"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sz w:val="20"/>
          <w:szCs w:val="20"/>
        </w:rPr>
      </w:pPr>
      <w:r w:rsidRPr="00EC1AD6">
        <w:rPr>
          <w:rFonts w:ascii="Geomanist Light" w:eastAsia="Calibri" w:hAnsi="Geomanist Light" w:cs="Arial"/>
          <w:color w:val="000000"/>
          <w:sz w:val="20"/>
          <w:szCs w:val="20"/>
        </w:rPr>
        <w:t>[…]</w:t>
      </w:r>
    </w:p>
    <w:p w14:paraId="2ECA8E42" w14:textId="77777777" w:rsidR="00E16874" w:rsidRPr="00EC1AD6" w:rsidRDefault="00E16874" w:rsidP="00E16874">
      <w:pPr>
        <w:tabs>
          <w:tab w:val="left" w:pos="709"/>
          <w:tab w:val="left" w:pos="851"/>
        </w:tabs>
        <w:spacing w:line="276" w:lineRule="auto"/>
        <w:ind w:leftChars="295" w:left="708" w:right="709"/>
        <w:jc w:val="both"/>
        <w:rPr>
          <w:rFonts w:ascii="Geomanist Light" w:eastAsia="Calibri" w:hAnsi="Geomanist Light" w:cs="Arial"/>
          <w:color w:val="000000"/>
          <w:sz w:val="20"/>
          <w:szCs w:val="20"/>
        </w:rPr>
      </w:pPr>
    </w:p>
    <w:p w14:paraId="2BC04787" w14:textId="77777777" w:rsidR="00E16874" w:rsidRPr="006F5980" w:rsidRDefault="00E16874" w:rsidP="00E16874">
      <w:pPr>
        <w:keepNext/>
        <w:keepLines/>
        <w:numPr>
          <w:ilvl w:val="2"/>
          <w:numId w:val="23"/>
        </w:numPr>
        <w:spacing w:before="40" w:after="120" w:line="276" w:lineRule="auto"/>
        <w:ind w:left="993" w:right="709" w:hanging="284"/>
        <w:jc w:val="both"/>
        <w:outlineLvl w:val="2"/>
        <w:rPr>
          <w:rFonts w:ascii="Geomanist Light" w:eastAsia="Arial" w:hAnsi="Geomanist Light" w:cs="Arial"/>
          <w:b/>
          <w:sz w:val="21"/>
          <w:szCs w:val="21"/>
          <w:lang w:val="es-ES" w:eastAsia="es-ES" w:bidi="es-ES"/>
        </w:rPr>
      </w:pPr>
      <w:bookmarkStart w:id="4" w:name="_Toc107994805"/>
      <w:r w:rsidRPr="006F5980">
        <w:rPr>
          <w:rFonts w:ascii="Geomanist Light" w:eastAsia="Arial" w:hAnsi="Geomanist Light" w:cs="Arial"/>
          <w:b/>
          <w:sz w:val="21"/>
          <w:szCs w:val="21"/>
          <w:lang w:val="es-ES" w:eastAsia="es-ES" w:bidi="es-ES"/>
        </w:rPr>
        <w:t>SOBRE No. 2</w:t>
      </w:r>
      <w:bookmarkEnd w:id="4"/>
    </w:p>
    <w:p w14:paraId="0A84DFD0" w14:textId="77777777" w:rsidR="00E16874" w:rsidRPr="006F5980" w:rsidRDefault="00E16874" w:rsidP="0050066F">
      <w:pPr>
        <w:spacing w:line="276" w:lineRule="auto"/>
        <w:ind w:left="709"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 xml:space="preserve">Contiene únicamente la oferta económica del proponente y debe tener las siguientes características: </w:t>
      </w:r>
    </w:p>
    <w:p w14:paraId="268AD2E8" w14:textId="77777777" w:rsidR="00E16874" w:rsidRPr="006F5980" w:rsidRDefault="00E16874" w:rsidP="0050066F">
      <w:pPr>
        <w:spacing w:line="276" w:lineRule="auto"/>
        <w:ind w:left="709" w:right="709"/>
        <w:jc w:val="both"/>
        <w:rPr>
          <w:rFonts w:ascii="Geomanist Light" w:eastAsia="Calibri" w:hAnsi="Geomanist Light" w:cs="Arial"/>
          <w:color w:val="000000" w:themeColor="text1"/>
          <w:sz w:val="21"/>
          <w:szCs w:val="21"/>
          <w:lang w:val="es-ES_tradnl"/>
        </w:rPr>
      </w:pPr>
    </w:p>
    <w:p w14:paraId="36C9C56E" w14:textId="77777777" w:rsidR="00E16874" w:rsidRPr="006F5980" w:rsidRDefault="00E16874" w:rsidP="0050066F">
      <w:pPr>
        <w:numPr>
          <w:ilvl w:val="0"/>
          <w:numId w:val="25"/>
        </w:numPr>
        <w:spacing w:line="276" w:lineRule="auto"/>
        <w:ind w:right="709"/>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[Para los procesos adelantados en el SECOP I] El proponente debe presentar el Sobre 2 en físico. Sin perjuicio de lo anterior, el proponente podrá presentar el contenido del sobre 2 en medio magnético u óptico debidamente sellado. El medio magnético u óptico que contiene la información de la oferta económica debe ser distinto al que contiene la información del Sobre 1. [Para los procesos en SECOP II, el Sobre 2 debe presentarse en el cuestionario destinado para ello en el Módulo de “Licitación de Obra Pública” y no podrá ser entregado en físico].</w:t>
      </w:r>
    </w:p>
    <w:p w14:paraId="75A7DACF" w14:textId="77777777" w:rsidR="00E16874" w:rsidRPr="006F5980" w:rsidRDefault="00E16874" w:rsidP="0050066F">
      <w:pPr>
        <w:spacing w:line="276" w:lineRule="auto"/>
        <w:ind w:left="1141" w:right="709"/>
        <w:contextualSpacing/>
        <w:jc w:val="both"/>
        <w:rPr>
          <w:rFonts w:ascii="Geomanist Light" w:eastAsia="Calibri" w:hAnsi="Geomanist Light" w:cs="Arial"/>
          <w:color w:val="000000" w:themeColor="text1"/>
          <w:sz w:val="21"/>
          <w:szCs w:val="21"/>
          <w:lang w:val="es-ES_tradnl"/>
        </w:rPr>
      </w:pPr>
    </w:p>
    <w:p w14:paraId="43822CD6" w14:textId="77777777" w:rsidR="00E16874" w:rsidRPr="006F5980" w:rsidRDefault="00E16874" w:rsidP="0050066F">
      <w:pPr>
        <w:numPr>
          <w:ilvl w:val="0"/>
          <w:numId w:val="25"/>
        </w:numPr>
        <w:spacing w:line="276" w:lineRule="auto"/>
        <w:ind w:right="709"/>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 xml:space="preserve">[Para los procesos adelantados en el SECOP I] Debe incluir la propuesta económica debidamente diligenciada, de conformidad con todos y cada uno de los ítems exigidos y relacionados en el Formulario 1 – Formulario de Presupuesto Oficial. </w:t>
      </w:r>
    </w:p>
    <w:p w14:paraId="73FEEE79" w14:textId="77777777" w:rsidR="00E16874" w:rsidRPr="006F5980" w:rsidRDefault="00E16874" w:rsidP="0050066F">
      <w:pPr>
        <w:spacing w:line="276" w:lineRule="auto"/>
        <w:ind w:left="720"/>
        <w:contextualSpacing/>
        <w:jc w:val="both"/>
        <w:rPr>
          <w:rFonts w:ascii="Geomanist Light" w:eastAsia="Calibri" w:hAnsi="Geomanist Light" w:cs="Arial"/>
          <w:color w:val="000000" w:themeColor="text1"/>
          <w:sz w:val="21"/>
          <w:szCs w:val="21"/>
          <w:lang w:val="es-ES_tradnl"/>
        </w:rPr>
      </w:pPr>
    </w:p>
    <w:p w14:paraId="160F84E8" w14:textId="77777777" w:rsidR="00E16874" w:rsidRPr="006F5980" w:rsidRDefault="00E16874" w:rsidP="0050066F">
      <w:pPr>
        <w:spacing w:line="276" w:lineRule="auto"/>
        <w:ind w:left="1141" w:right="709"/>
        <w:contextualSpacing/>
        <w:jc w:val="both"/>
        <w:rPr>
          <w:rFonts w:ascii="Geomanist Light" w:eastAsia="Calibri" w:hAnsi="Geomanist Light" w:cs="Arial"/>
          <w:color w:val="000000" w:themeColor="text1"/>
          <w:sz w:val="21"/>
          <w:szCs w:val="21"/>
          <w:lang w:val="es-ES_tradnl"/>
        </w:rPr>
      </w:pPr>
    </w:p>
    <w:p w14:paraId="6C6A6FF3" w14:textId="77777777" w:rsidR="00E16874" w:rsidRPr="006F5980" w:rsidRDefault="00E16874" w:rsidP="0050066F">
      <w:pPr>
        <w:numPr>
          <w:ilvl w:val="0"/>
          <w:numId w:val="25"/>
        </w:numPr>
        <w:spacing w:line="276" w:lineRule="auto"/>
        <w:ind w:right="709"/>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[Para los procesos adelantados en el SECOP I] La información en físico y en medio magnético u óptico debe ser idéntica. En caso de presentarse discrepancias entre la información consignada en medio físico y la información incluida en el medio magnético, prevalecerá la información consignada físicamente.</w:t>
      </w:r>
    </w:p>
    <w:p w14:paraId="4A55BBE8" w14:textId="77777777" w:rsidR="00E16874" w:rsidRPr="006F5980" w:rsidRDefault="00E16874" w:rsidP="0050066F">
      <w:pPr>
        <w:spacing w:line="276" w:lineRule="auto"/>
        <w:ind w:left="1141" w:right="709"/>
        <w:contextualSpacing/>
        <w:jc w:val="both"/>
        <w:rPr>
          <w:rFonts w:ascii="Geomanist Light" w:eastAsia="Calibri" w:hAnsi="Geomanist Light" w:cs="Arial"/>
          <w:color w:val="000000" w:themeColor="text1"/>
          <w:sz w:val="21"/>
          <w:szCs w:val="21"/>
          <w:lang w:val="es-ES_tradnl"/>
        </w:rPr>
      </w:pPr>
    </w:p>
    <w:p w14:paraId="56168C38" w14:textId="77777777" w:rsidR="00E16874" w:rsidRPr="006F5980" w:rsidRDefault="00E16874" w:rsidP="0050066F">
      <w:pPr>
        <w:numPr>
          <w:ilvl w:val="0"/>
          <w:numId w:val="25"/>
        </w:numPr>
        <w:spacing w:line="276" w:lineRule="auto"/>
        <w:ind w:right="709"/>
        <w:contextualSpacing/>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 xml:space="preserve">[Para los procesos adelantados en el SECOP I] La propuesta debe presentarse firmada. </w:t>
      </w:r>
    </w:p>
    <w:p w14:paraId="3A0E317C" w14:textId="77777777" w:rsidR="00E16874" w:rsidRPr="00EC1AD6" w:rsidRDefault="00E16874" w:rsidP="00E16874">
      <w:pPr>
        <w:spacing w:after="160" w:line="276" w:lineRule="auto"/>
        <w:ind w:right="709"/>
        <w:contextualSpacing/>
        <w:jc w:val="both"/>
        <w:rPr>
          <w:rFonts w:ascii="Geomanist Light" w:eastAsia="Calibri" w:hAnsi="Geomanist Light" w:cs="Arial"/>
          <w:sz w:val="21"/>
          <w:szCs w:val="21"/>
        </w:rPr>
      </w:pPr>
    </w:p>
    <w:p w14:paraId="4D8D4686" w14:textId="70B94C47" w:rsidR="00E16874" w:rsidRPr="006F5980" w:rsidRDefault="00E16874" w:rsidP="00E16874">
      <w:pPr>
        <w:tabs>
          <w:tab w:val="left" w:pos="709"/>
          <w:tab w:val="left" w:pos="851"/>
        </w:tabs>
        <w:spacing w:after="120" w:line="276" w:lineRule="auto"/>
        <w:ind w:firstLine="709"/>
        <w:jc w:val="both"/>
        <w:rPr>
          <w:rFonts w:ascii="Geomanist Light" w:eastAsia="Arial" w:hAnsi="Geomanist Light" w:cs="Arial"/>
          <w:sz w:val="22"/>
          <w:lang w:val="es-ES" w:eastAsia="es-ES" w:bidi="es-ES"/>
        </w:rPr>
      </w:pPr>
      <w:r w:rsidRPr="006F5980">
        <w:rPr>
          <w:rFonts w:ascii="Geomanist Light" w:eastAsia="Arial" w:hAnsi="Geomanist Light" w:cs="Arial"/>
          <w:sz w:val="22"/>
          <w:lang w:val="es-ES" w:eastAsia="es-ES" w:bidi="es-ES"/>
        </w:rPr>
        <w:t>Según se desprende de estas reglas, tratándose de los procesos de contratación realizados a través del SECOP II, la propuesta económica debe presentarse haciendo uso del cuestionario destinado para ello en la plataforma. Este cuestionario se debe diligenciar a través de la lista de precios, previamente configurada por la Entidad Estatal y anexando, en caso de que así sea solicitado, las evidencias documentales de la misma – ya sea el Formulario 1 u otro documento–. Esto significa que en estos procesos el valor de la oferta económica debe ser diligenciado en el referido cuestionario, al ser este el medio destinado para la presentación de la oferta económica al interior de la plataforma, sin que se requiera la presentación de un documento físico firmado y sin perjuicio de que la Entidad Estatal solicite anexar el soporte documental de la información incluida en el cuestionario de lista de precios.</w:t>
      </w:r>
    </w:p>
    <w:p w14:paraId="26615EC4" w14:textId="416DB821" w:rsidR="00051B81" w:rsidRPr="006F5980" w:rsidRDefault="00E16874" w:rsidP="000A7091">
      <w:pPr>
        <w:widowControl w:val="0"/>
        <w:autoSpaceDE w:val="0"/>
        <w:autoSpaceDN w:val="0"/>
        <w:spacing w:before="120" w:line="276" w:lineRule="auto"/>
        <w:ind w:firstLine="709"/>
        <w:jc w:val="both"/>
        <w:rPr>
          <w:rFonts w:ascii="Geomanist Light" w:eastAsia="Arial" w:hAnsi="Geomanist Light" w:cs="Arial"/>
          <w:sz w:val="22"/>
          <w:lang w:val="es-ES" w:eastAsia="es-ES" w:bidi="es-ES"/>
        </w:rPr>
      </w:pPr>
      <w:r w:rsidRPr="006F5980">
        <w:rPr>
          <w:rFonts w:ascii="Geomanist Light" w:eastAsia="Arial" w:hAnsi="Geomanist Light" w:cs="Arial"/>
          <w:sz w:val="22"/>
          <w:lang w:val="es-ES" w:eastAsia="es-ES" w:bidi="es-ES"/>
        </w:rPr>
        <w:t xml:space="preserve">En ese sentido, en este tipo de procedimientos no se requiere que se presente oferta económica firmada en sobre físico –comoquiera que la conformación del sobre se hace de </w:t>
      </w:r>
      <w:r w:rsidRPr="006F5980">
        <w:rPr>
          <w:rFonts w:ascii="Geomanist Light" w:eastAsia="Arial" w:hAnsi="Geomanist Light" w:cs="Arial"/>
          <w:sz w:val="22"/>
          <w:lang w:val="es-ES" w:eastAsia="es-ES" w:bidi="es-ES"/>
        </w:rPr>
        <w:lastRenderedPageBreak/>
        <w:t>manera electrónica a partir de la información diligenciada en el cuestionario de lista de precios–</w:t>
      </w:r>
      <w:r w:rsidR="000A7091" w:rsidRPr="006F5980">
        <w:rPr>
          <w:rFonts w:ascii="Geomanist Light" w:eastAsia="Arial" w:hAnsi="Geomanist Light" w:cs="Arial"/>
          <w:sz w:val="22"/>
          <w:lang w:val="es-ES" w:eastAsia="es-ES" w:bidi="es-ES"/>
        </w:rPr>
        <w:t xml:space="preserve">. Este requisito sólo es exigible si el procedimiento se realiza a través del SECOP I. </w:t>
      </w:r>
    </w:p>
    <w:p w14:paraId="465B46A7" w14:textId="77777777" w:rsidR="00D47633" w:rsidRPr="006F5980" w:rsidRDefault="00D47633" w:rsidP="00051B81">
      <w:pPr>
        <w:jc w:val="both"/>
        <w:rPr>
          <w:rFonts w:ascii="Geomanist Light" w:eastAsia="Calibri" w:hAnsi="Geomanist Light" w:cs="Arial"/>
          <w:b/>
          <w:sz w:val="22"/>
        </w:rPr>
      </w:pPr>
    </w:p>
    <w:p w14:paraId="3B9194C8" w14:textId="68AF873A" w:rsidR="00D47633" w:rsidRPr="006F5980" w:rsidRDefault="00D47633" w:rsidP="00D47633">
      <w:pPr>
        <w:widowControl w:val="0"/>
        <w:autoSpaceDE w:val="0"/>
        <w:autoSpaceDN w:val="0"/>
        <w:spacing w:line="276" w:lineRule="auto"/>
        <w:jc w:val="both"/>
        <w:rPr>
          <w:rFonts w:ascii="Geomanist Light" w:eastAsia="Arial" w:hAnsi="Geomanist Light" w:cs="Arial"/>
          <w:b/>
          <w:sz w:val="22"/>
          <w:lang w:val="es-ES" w:eastAsia="es-ES" w:bidi="es-ES"/>
        </w:rPr>
      </w:pPr>
      <w:r w:rsidRPr="006F5980">
        <w:rPr>
          <w:rFonts w:ascii="Geomanist Light" w:eastAsia="Arial" w:hAnsi="Geomanist Light" w:cs="Arial"/>
          <w:b/>
          <w:sz w:val="22"/>
          <w:lang w:val="es-ES" w:eastAsia="es-ES" w:bidi="es-ES"/>
        </w:rPr>
        <w:t xml:space="preserve">2.2. Causales de rechazo previstas en los documentos tipo de obra pública de infraestructura de transporte. </w:t>
      </w:r>
      <w:r w:rsidR="00D85DDD" w:rsidRPr="006F5980">
        <w:rPr>
          <w:rFonts w:ascii="Geomanist Light" w:eastAsia="Arial" w:hAnsi="Geomanist Light" w:cs="Arial"/>
          <w:b/>
          <w:sz w:val="22"/>
          <w:lang w:val="es-ES" w:eastAsia="es-ES" w:bidi="es-ES"/>
        </w:rPr>
        <w:t xml:space="preserve">Que la propuesta no se aporte firmada </w:t>
      </w:r>
    </w:p>
    <w:p w14:paraId="5B059119" w14:textId="77777777" w:rsidR="00D47633" w:rsidRPr="006F5980" w:rsidRDefault="00D47633" w:rsidP="00D47633">
      <w:pPr>
        <w:widowControl w:val="0"/>
        <w:autoSpaceDE w:val="0"/>
        <w:autoSpaceDN w:val="0"/>
        <w:spacing w:line="276" w:lineRule="auto"/>
        <w:jc w:val="both"/>
        <w:rPr>
          <w:rFonts w:ascii="Geomanist Light" w:eastAsia="Arial" w:hAnsi="Geomanist Light" w:cs="Arial"/>
          <w:b/>
          <w:sz w:val="22"/>
          <w:lang w:val="es-ES" w:eastAsia="es-ES" w:bidi="es-ES"/>
        </w:rPr>
      </w:pPr>
    </w:p>
    <w:p w14:paraId="4B2F0764" w14:textId="77777777" w:rsidR="0099103B" w:rsidRPr="006F5980" w:rsidRDefault="0099103B" w:rsidP="0099103B">
      <w:pPr>
        <w:spacing w:after="120" w:line="276" w:lineRule="auto"/>
        <w:jc w:val="both"/>
        <w:rPr>
          <w:rFonts w:ascii="Geomanist Light" w:eastAsia="Calibri" w:hAnsi="Geomanist Light" w:cs="Arial"/>
          <w:sz w:val="22"/>
        </w:rPr>
      </w:pPr>
      <w:bookmarkStart w:id="5" w:name="_Hlk118970363"/>
      <w:bookmarkStart w:id="6" w:name="_Hlk35001393"/>
      <w:r w:rsidRPr="006F5980">
        <w:rPr>
          <w:rFonts w:ascii="Geomanist Light" w:eastAsia="Calibri" w:hAnsi="Geomanist Light" w:cs="Arial"/>
          <w:sz w:val="22"/>
        </w:rPr>
        <w:t>Teniendo en cuenta que la consulta se relaciona con el sobre 2, es necesario mencionar que, al tratarse de una obra pública de infraestructura de transporte, la Ley 1882 de 2018, en el artículo 1</w:t>
      </w:r>
      <w:r w:rsidRPr="00EC1AD6">
        <w:rPr>
          <w:rFonts w:ascii="Geomanist Light" w:eastAsia="Calibri" w:hAnsi="Geomanist Light" w:cs="Arial"/>
          <w:sz w:val="22"/>
          <w:vertAlign w:val="superscript"/>
        </w:rPr>
        <w:footnoteReference w:id="5"/>
      </w:r>
      <w:r w:rsidRPr="00EC1AD6">
        <w:rPr>
          <w:rFonts w:ascii="Geomanist Light" w:eastAsia="Calibri" w:hAnsi="Geomanist Light" w:cs="Arial"/>
          <w:sz w:val="22"/>
        </w:rPr>
        <w:t xml:space="preserve">, </w:t>
      </w:r>
      <w:r w:rsidRPr="006F5980">
        <w:rPr>
          <w:rFonts w:ascii="Geomanist Light" w:eastAsia="Calibri" w:hAnsi="Geomanist Light" w:cs="Arial"/>
          <w:sz w:val="22"/>
        </w:rPr>
        <w:t xml:space="preserve">señala que las ofertas deben estar conformadas por dos sobres: i) sobre 1: requisitos habilitantes y requisitos puntuables, diferentes a la oferta económica y ii) sobre 2: oferta económica. </w:t>
      </w:r>
    </w:p>
    <w:p w14:paraId="663B6583" w14:textId="77777777" w:rsidR="0099103B" w:rsidRPr="006F5980" w:rsidRDefault="0099103B" w:rsidP="0099103B">
      <w:pPr>
        <w:tabs>
          <w:tab w:val="left" w:pos="709"/>
        </w:tabs>
        <w:spacing w:line="276" w:lineRule="auto"/>
        <w:jc w:val="both"/>
        <w:rPr>
          <w:rFonts w:ascii="Geomanist Light" w:eastAsia="Calibri" w:hAnsi="Geomanist Light" w:cs="Arial"/>
          <w:sz w:val="22"/>
        </w:rPr>
      </w:pPr>
      <w:r w:rsidRPr="006F5980">
        <w:rPr>
          <w:rFonts w:ascii="Geomanist Light" w:eastAsia="Calibri" w:hAnsi="Geomanist Light" w:cs="Arial"/>
          <w:sz w:val="22"/>
        </w:rPr>
        <w:tab/>
        <w:t>De otra parte, 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0FB238CC" w14:textId="77777777" w:rsidR="0099103B" w:rsidRPr="00EC1AD6" w:rsidRDefault="0099103B" w:rsidP="0099103B">
      <w:pPr>
        <w:tabs>
          <w:tab w:val="left" w:pos="709"/>
        </w:tabs>
        <w:spacing w:line="276" w:lineRule="auto"/>
        <w:ind w:firstLine="709"/>
        <w:jc w:val="both"/>
        <w:rPr>
          <w:rFonts w:ascii="Geomanist Light" w:eastAsia="Calibri" w:hAnsi="Geomanist Light" w:cs="Arial"/>
          <w:sz w:val="22"/>
        </w:rPr>
      </w:pPr>
    </w:p>
    <w:p w14:paraId="4339944B" w14:textId="77777777" w:rsidR="0099103B" w:rsidRPr="00EC1AD6" w:rsidRDefault="0099103B" w:rsidP="0099103B">
      <w:pPr>
        <w:tabs>
          <w:tab w:val="left" w:pos="709"/>
        </w:tabs>
        <w:ind w:left="709" w:right="709"/>
        <w:jc w:val="both"/>
        <w:rPr>
          <w:rFonts w:ascii="Geomanist Light" w:eastAsia="Calibri" w:hAnsi="Geomanist Light" w:cs="Arial"/>
          <w:sz w:val="22"/>
        </w:rPr>
      </w:pPr>
      <w:r w:rsidRPr="006F5980">
        <w:rPr>
          <w:rFonts w:ascii="Geomanist Light" w:eastAsia="Calibri" w:hAnsi="Geomanist Light" w:cs="Arial"/>
          <w:sz w:val="21"/>
          <w:szCs w:val="21"/>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sidRPr="00EC1AD6">
        <w:rPr>
          <w:rFonts w:ascii="Geomanist Light" w:eastAsia="Calibri" w:hAnsi="Geomanist Light" w:cs="Arial"/>
          <w:sz w:val="21"/>
          <w:szCs w:val="21"/>
          <w:vertAlign w:val="superscript"/>
        </w:rPr>
        <w:footnoteReference w:id="6"/>
      </w:r>
      <w:r w:rsidRPr="00EC1AD6">
        <w:rPr>
          <w:rFonts w:ascii="Geomanist Light" w:eastAsia="Calibri" w:hAnsi="Geomanist Light" w:cs="Arial"/>
          <w:sz w:val="21"/>
          <w:szCs w:val="21"/>
        </w:rPr>
        <w:t>.</w:t>
      </w:r>
    </w:p>
    <w:p w14:paraId="12FAE534" w14:textId="77777777" w:rsidR="0099103B" w:rsidRPr="00EC1AD6" w:rsidRDefault="0099103B" w:rsidP="0099103B">
      <w:pPr>
        <w:tabs>
          <w:tab w:val="left" w:pos="709"/>
        </w:tabs>
        <w:spacing w:line="276" w:lineRule="auto"/>
        <w:ind w:firstLine="709"/>
        <w:jc w:val="both"/>
        <w:rPr>
          <w:rFonts w:ascii="Geomanist Light" w:eastAsia="Calibri" w:hAnsi="Geomanist Light" w:cs="Arial"/>
          <w:sz w:val="22"/>
        </w:rPr>
      </w:pPr>
    </w:p>
    <w:p w14:paraId="3E37BB35" w14:textId="1A501BD0" w:rsidR="0099103B" w:rsidRPr="006F5980" w:rsidRDefault="0099103B" w:rsidP="00EC1AD6">
      <w:pPr>
        <w:tabs>
          <w:tab w:val="left" w:pos="709"/>
          <w:tab w:val="left" w:pos="851"/>
        </w:tabs>
        <w:spacing w:after="120" w:line="276" w:lineRule="auto"/>
        <w:ind w:firstLine="709"/>
        <w:jc w:val="both"/>
        <w:rPr>
          <w:rFonts w:ascii="Geomanist Light" w:eastAsia="Calibri" w:hAnsi="Geomanist Light" w:cs="Arial"/>
          <w:sz w:val="22"/>
        </w:rPr>
      </w:pPr>
      <w:r w:rsidRPr="006F5980">
        <w:rPr>
          <w:rFonts w:ascii="Geomanist Light" w:eastAsia="Calibri" w:hAnsi="Geomanist Light" w:cs="Arial"/>
          <w:sz w:val="22"/>
        </w:rPr>
        <w:lastRenderedPageBreak/>
        <w:t>La Agencia Nacional de Contratación Pública – Colombia Compra Eficiente – mediante los conceptos con radicados Nos. 2201913000007117 del 25 de septiembre de 2019, 2201913000009538 del 23 de diciembre de 2019 y C- 716 del 30 de octubre de 2020,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68CF3668" w14:textId="39B898B7" w:rsidR="00D47633" w:rsidRPr="006F5980" w:rsidRDefault="0099103B" w:rsidP="00EC1AD6">
      <w:pPr>
        <w:widowControl w:val="0"/>
        <w:autoSpaceDE w:val="0"/>
        <w:autoSpaceDN w:val="0"/>
        <w:spacing w:after="120" w:line="276" w:lineRule="auto"/>
        <w:ind w:firstLine="709"/>
        <w:jc w:val="both"/>
        <w:rPr>
          <w:rFonts w:ascii="Geomanist Light" w:eastAsia="Calibri" w:hAnsi="Geomanist Light" w:cs="Arial"/>
          <w:sz w:val="22"/>
          <w:lang w:val="es-ES" w:eastAsia="es-ES" w:bidi="es-ES"/>
        </w:rPr>
      </w:pPr>
      <w:r w:rsidRPr="006F5980">
        <w:rPr>
          <w:rFonts w:ascii="Geomanist Light" w:eastAsia="Calibri" w:hAnsi="Geomanist Light" w:cs="Arial"/>
          <w:sz w:val="22"/>
        </w:rPr>
        <w:t>De acuerdo con lo anterior, al consultar el numeral 1.15</w:t>
      </w:r>
      <w:r w:rsidRPr="006F5980">
        <w:rPr>
          <w:rFonts w:ascii="Geomanist Light" w:eastAsia="Arial" w:hAnsi="Geomanist Light" w:cs="Arial"/>
          <w:bCs/>
          <w:sz w:val="22"/>
          <w:lang w:val="es-ES" w:eastAsia="es-ES" w:bidi="es-ES"/>
        </w:rPr>
        <w:t xml:space="preserve"> </w:t>
      </w:r>
      <w:r w:rsidR="00D47633" w:rsidRPr="006F5980">
        <w:rPr>
          <w:rFonts w:ascii="Geomanist Light" w:eastAsia="Arial" w:hAnsi="Geomanist Light" w:cs="Arial"/>
          <w:bCs/>
          <w:sz w:val="22"/>
          <w:lang w:val="es-ES" w:eastAsia="es-ES" w:bidi="es-ES"/>
        </w:rPr>
        <w:t>del Documento Base, existen varias relacionadas con aspectos relativos a la oferta económica</w:t>
      </w:r>
      <w:r w:rsidR="00D47633" w:rsidRPr="006F5980">
        <w:rPr>
          <w:rFonts w:ascii="Geomanist Light" w:eastAsia="Arial" w:hAnsi="Geomanist Light" w:cs="Arial"/>
          <w:bCs/>
          <w:sz w:val="22"/>
          <w:vertAlign w:val="superscript"/>
          <w:lang w:val="es-ES" w:eastAsia="es-ES" w:bidi="es-ES"/>
        </w:rPr>
        <w:footnoteReference w:id="7"/>
      </w:r>
      <w:r w:rsidR="00D47633" w:rsidRPr="006F5980">
        <w:rPr>
          <w:rFonts w:ascii="Geomanist Light" w:eastAsia="Arial" w:hAnsi="Geomanist Light" w:cs="Arial"/>
          <w:bCs/>
          <w:sz w:val="22"/>
          <w:lang w:val="es-ES" w:eastAsia="es-ES" w:bidi="es-ES"/>
        </w:rPr>
        <w:t xml:space="preserve">. </w:t>
      </w:r>
      <w:r w:rsidR="00D47633" w:rsidRPr="006F5980">
        <w:rPr>
          <w:rFonts w:ascii="Geomanist Light" w:eastAsia="Calibri" w:hAnsi="Geomanist Light" w:cs="Arial"/>
          <w:sz w:val="22"/>
          <w:lang w:val="es-ES" w:eastAsia="es-ES" w:bidi="es-ES"/>
        </w:rPr>
        <w:t xml:space="preserve">Ante la imposibilidad de </w:t>
      </w:r>
      <w:r w:rsidR="00D47633" w:rsidRPr="006F5980">
        <w:rPr>
          <w:rFonts w:ascii="Geomanist Light" w:eastAsia="Calibri" w:hAnsi="Geomanist Light" w:cs="Arial"/>
          <w:sz w:val="22"/>
          <w:lang w:val="es-ES" w:eastAsia="es-ES" w:bidi="es-ES"/>
        </w:rPr>
        <w:lastRenderedPageBreak/>
        <w:t>incluir nuevas causales, con fundamento en el principio de inalterabilidad, las entidades estatales deben evaluar en la presentación de la oferta económica la configuración de causales de rechazo estandarizadas en el pliego tipo o documento base, determinando en cada caso concreto si la situación evidenciada configura en estricto sentido alguno de los supuestos de hecho establecidos en las mismas, sin valerse de interpretaciones extensivas o finalistas</w:t>
      </w:r>
      <w:r w:rsidR="00D47633" w:rsidRPr="006F5980">
        <w:rPr>
          <w:rFonts w:ascii="Geomanist Light" w:eastAsia="Calibri" w:hAnsi="Geomanist Light" w:cs="Arial"/>
          <w:sz w:val="22"/>
          <w:vertAlign w:val="superscript"/>
          <w:lang w:val="es-ES" w:eastAsia="es-ES" w:bidi="es-ES"/>
        </w:rPr>
        <w:footnoteReference w:id="8"/>
      </w:r>
      <w:r w:rsidR="00D47633" w:rsidRPr="006F5980">
        <w:rPr>
          <w:rFonts w:ascii="Geomanist Light" w:eastAsia="Calibri" w:hAnsi="Geomanist Light" w:cs="Arial"/>
          <w:sz w:val="22"/>
          <w:lang w:val="es-ES" w:eastAsia="es-ES" w:bidi="es-ES"/>
        </w:rPr>
        <w:t xml:space="preserve">. </w:t>
      </w:r>
    </w:p>
    <w:p w14:paraId="706717CF" w14:textId="0E47C0D9" w:rsidR="00D47633" w:rsidRPr="006F5980" w:rsidRDefault="00D47633" w:rsidP="00EC1AD6">
      <w:pPr>
        <w:widowControl w:val="0"/>
        <w:autoSpaceDE w:val="0"/>
        <w:autoSpaceDN w:val="0"/>
        <w:spacing w:after="120" w:line="276" w:lineRule="auto"/>
        <w:ind w:firstLine="709"/>
        <w:jc w:val="both"/>
        <w:rPr>
          <w:rFonts w:ascii="Geomanist Light" w:eastAsia="Calibri" w:hAnsi="Geomanist Light" w:cs="Arial"/>
          <w:sz w:val="22"/>
          <w:lang w:val="es-ES" w:eastAsia="es-ES" w:bidi="es-ES"/>
        </w:rPr>
      </w:pPr>
      <w:bookmarkStart w:id="7" w:name="_Hlk118970493"/>
      <w:bookmarkStart w:id="8" w:name="_Hlk118963639"/>
      <w:bookmarkEnd w:id="5"/>
      <w:r w:rsidRPr="006F5980">
        <w:rPr>
          <w:rFonts w:ascii="Geomanist Light" w:eastAsia="Calibri" w:hAnsi="Geomanist Light" w:cs="Arial"/>
          <w:sz w:val="22"/>
          <w:lang w:val="es-ES" w:eastAsia="es-ES" w:bidi="es-ES"/>
        </w:rPr>
        <w:t>Dentro de los múltiples hechos que podría tener lugar en el marco de procesos de selección, puede suceder, por ejemplo, que se presente una oferta cuyo total exceda el valor del Presupuesto Oficial, configurándose la causal de rechazo del literal M; también puede ocurrir que no se ofrezca el valor de un precio unitario –causal de rechazo del literal P</w:t>
      </w:r>
      <w:r w:rsidRPr="006F5980">
        <w:rPr>
          <w:rFonts w:ascii="Geomanist Light" w:eastAsia="Calibri" w:hAnsi="Geomanist Light" w:cs="Arial"/>
          <w:sz w:val="22"/>
          <w:lang w:val="es-ES" w:eastAsia="es-ES" w:bidi="es-ES"/>
        </w:rPr>
        <w:softHyphen/>
        <w:t>– o que se oferte por encima del tope establecido por la entidad –literal Q–; que «</w:t>
      </w:r>
      <w:r w:rsidRPr="006F5980">
        <w:rPr>
          <w:rFonts w:ascii="Geomanist Light" w:eastAsia="Arial" w:hAnsi="Geomanist Light" w:cs="Arial"/>
          <w:sz w:val="22"/>
          <w:lang w:eastAsia="es-ES" w:bidi="es-ES"/>
        </w:rPr>
        <w:t>el proponente adicione, suprima, cambie, o modifique los ítems, la descripción, las especificaciones, el detalle, las unidades o cantidades […]»; o que el proponente no presente la oferta económica –literal V–,</w:t>
      </w:r>
      <w:r w:rsidRPr="006F5980">
        <w:rPr>
          <w:rFonts w:ascii="Geomanist Light" w:eastAsia="Calibri" w:hAnsi="Geomanist Light" w:cs="Arial"/>
          <w:sz w:val="22"/>
          <w:lang w:val="es-ES" w:eastAsia="es-ES" w:bidi="es-ES"/>
        </w:rPr>
        <w:t xml:space="preserve"> eventos que ameritarían el rechazo de la oferta.</w:t>
      </w:r>
    </w:p>
    <w:p w14:paraId="3E094CD8" w14:textId="71BE06D7" w:rsidR="00D47633" w:rsidRPr="006F5980" w:rsidRDefault="00D47633" w:rsidP="00EC1AD6">
      <w:pPr>
        <w:widowControl w:val="0"/>
        <w:autoSpaceDE w:val="0"/>
        <w:autoSpaceDN w:val="0"/>
        <w:spacing w:after="120" w:line="276" w:lineRule="auto"/>
        <w:ind w:firstLine="709"/>
        <w:jc w:val="both"/>
        <w:rPr>
          <w:rFonts w:ascii="Geomanist Light" w:eastAsia="Calibri" w:hAnsi="Geomanist Light" w:cs="Arial"/>
          <w:sz w:val="22"/>
          <w:lang w:val="es-ES" w:eastAsia="es-ES" w:bidi="es-ES"/>
        </w:rPr>
      </w:pPr>
      <w:bookmarkStart w:id="9" w:name="_Hlk118970574"/>
      <w:bookmarkEnd w:id="7"/>
      <w:r w:rsidRPr="006F5980">
        <w:rPr>
          <w:rFonts w:ascii="Geomanist Light" w:eastAsia="Calibri" w:hAnsi="Geomanist Light" w:cs="Arial"/>
          <w:sz w:val="22"/>
          <w:lang w:val="es-ES" w:eastAsia="es-ES" w:bidi="es-ES"/>
        </w:rPr>
        <w:t>Otra de las situaciones que imposibilitan evaluar la oferta económica presentada, consiste en la inclusión de información de la oferta económica en el sobre que no corresponde, según lo establecido en los parágrafos 2 y 3 del artículo 30 de la Ley 80 de 1993, adicionados por la Ley 1882 de 2018, y regulados en los numerales 2.3, 2.3.1 y 2.3.2 del Documento Base. Esto dado que estas normas exigen que los documentos relacionados con la acreditación de los requisitos habilitantes se presenten en un sobre –Sobre 1–, y la oferta económica sea presentada en otro distinto –Sobre 2</w:t>
      </w:r>
      <w:r w:rsidRPr="006F5980">
        <w:rPr>
          <w:rFonts w:ascii="Geomanist Light" w:eastAsia="Calibri" w:hAnsi="Geomanist Light" w:cs="Arial"/>
          <w:sz w:val="22"/>
          <w:lang w:val="es-ES" w:eastAsia="es-ES" w:bidi="es-ES"/>
        </w:rPr>
        <w:softHyphen/>
        <w:t xml:space="preserve">–, conforme a lo explicado </w:t>
      </w:r>
      <w:r w:rsidRPr="006F5980">
        <w:rPr>
          <w:rFonts w:ascii="Geomanist Light" w:eastAsia="Calibri" w:hAnsi="Geomanist Light" w:cs="Arial"/>
          <w:i/>
          <w:iCs/>
          <w:sz w:val="22"/>
          <w:lang w:val="es-ES" w:eastAsia="es-ES" w:bidi="es-ES"/>
        </w:rPr>
        <w:t>supra</w:t>
      </w:r>
      <w:r w:rsidRPr="006F5980">
        <w:rPr>
          <w:rFonts w:ascii="Geomanist Light" w:eastAsia="Calibri" w:hAnsi="Geomanist Light" w:cs="Arial"/>
          <w:sz w:val="22"/>
          <w:lang w:val="es-ES" w:eastAsia="es-ES" w:bidi="es-ES"/>
        </w:rPr>
        <w:t xml:space="preserve">. </w:t>
      </w:r>
      <w:bookmarkEnd w:id="9"/>
    </w:p>
    <w:p w14:paraId="22E0BBF6" w14:textId="22196749" w:rsidR="005102EF" w:rsidRPr="00EC1AD6" w:rsidRDefault="005102EF" w:rsidP="00EC1AD6">
      <w:pPr>
        <w:widowControl w:val="0"/>
        <w:autoSpaceDE w:val="0"/>
        <w:autoSpaceDN w:val="0"/>
        <w:spacing w:before="120" w:after="120" w:line="276" w:lineRule="auto"/>
        <w:ind w:firstLine="709"/>
        <w:jc w:val="both"/>
        <w:rPr>
          <w:rStyle w:val="normaltextrun"/>
          <w:rFonts w:ascii="Geomanist Light" w:hAnsi="Geomanist Light" w:cs="Arial"/>
          <w:color w:val="000000"/>
          <w:sz w:val="20"/>
          <w:szCs w:val="20"/>
          <w:shd w:val="clear" w:color="auto" w:fill="FFFFFF"/>
        </w:rPr>
      </w:pPr>
      <w:bookmarkStart w:id="10" w:name="_Hlk118970643"/>
      <w:r w:rsidRPr="006F5980">
        <w:rPr>
          <w:rFonts w:ascii="Geomanist Light" w:eastAsia="Calibri" w:hAnsi="Geomanist Light" w:cs="Arial"/>
          <w:sz w:val="22"/>
          <w:lang w:val="es-ES" w:eastAsia="es-ES" w:bidi="es-ES"/>
        </w:rPr>
        <w:t>De otra parte</w:t>
      </w:r>
      <w:r w:rsidR="007B0486" w:rsidRPr="006F5980">
        <w:rPr>
          <w:rFonts w:ascii="Geomanist Light" w:eastAsia="Calibri" w:hAnsi="Geomanist Light" w:cs="Arial"/>
          <w:sz w:val="22"/>
          <w:lang w:val="es-ES" w:eastAsia="es-ES" w:bidi="es-ES"/>
        </w:rPr>
        <w:t xml:space="preserve"> y en relación con el objeto de la consulta</w:t>
      </w:r>
      <w:r w:rsidRPr="006F5980">
        <w:rPr>
          <w:rFonts w:ascii="Geomanist Light" w:eastAsia="Calibri" w:hAnsi="Geomanist Light" w:cs="Arial"/>
          <w:sz w:val="22"/>
          <w:lang w:val="es-ES" w:eastAsia="es-ES" w:bidi="es-ES"/>
        </w:rPr>
        <w:t>,</w:t>
      </w:r>
      <w:r w:rsidR="007B0486" w:rsidRPr="006F5980">
        <w:rPr>
          <w:rFonts w:ascii="Geomanist Light" w:eastAsia="Calibri" w:hAnsi="Geomanist Light" w:cs="Arial"/>
          <w:sz w:val="22"/>
          <w:lang w:val="es-ES" w:eastAsia="es-ES" w:bidi="es-ES"/>
        </w:rPr>
        <w:t xml:space="preserve"> </w:t>
      </w:r>
      <w:r w:rsidRPr="006F5980">
        <w:rPr>
          <w:rFonts w:ascii="Geomanist Light" w:eastAsia="Calibri" w:hAnsi="Geomanist Light" w:cs="Arial"/>
          <w:sz w:val="22"/>
          <w:lang w:val="es-ES" w:eastAsia="es-ES" w:bidi="es-ES"/>
        </w:rPr>
        <w:t xml:space="preserve">se ha previsto </w:t>
      </w:r>
      <w:r w:rsidR="00D47633" w:rsidRPr="006F5980">
        <w:rPr>
          <w:rFonts w:ascii="Geomanist Light" w:eastAsia="Calibri" w:hAnsi="Geomanist Light" w:cs="Arial"/>
          <w:sz w:val="22"/>
          <w:lang w:val="es-ES" w:eastAsia="es-ES" w:bidi="es-ES"/>
        </w:rPr>
        <w:t xml:space="preserve">la causal </w:t>
      </w:r>
      <w:r w:rsidRPr="006F5980">
        <w:rPr>
          <w:rFonts w:ascii="Geomanist Light" w:eastAsia="Calibri" w:hAnsi="Geomanist Light" w:cs="Arial"/>
          <w:sz w:val="22"/>
          <w:lang w:val="es-ES" w:eastAsia="es-ES" w:bidi="es-ES"/>
        </w:rPr>
        <w:t>del</w:t>
      </w:r>
      <w:r w:rsidR="00D47633" w:rsidRPr="006F5980">
        <w:rPr>
          <w:rFonts w:ascii="Geomanist Light" w:eastAsia="Calibri" w:hAnsi="Geomanist Light" w:cs="Arial"/>
          <w:sz w:val="22"/>
          <w:lang w:val="es-ES" w:eastAsia="es-ES" w:bidi="es-ES"/>
        </w:rPr>
        <w:t xml:space="preserve"> literal </w:t>
      </w:r>
      <w:r w:rsidRPr="006F5980">
        <w:rPr>
          <w:rFonts w:ascii="Geomanist Light" w:eastAsia="Calibri" w:hAnsi="Geomanist Light" w:cs="Arial"/>
          <w:sz w:val="22"/>
          <w:lang w:val="es-ES" w:eastAsia="es-ES" w:bidi="es-ES"/>
        </w:rPr>
        <w:t>J</w:t>
      </w:r>
      <w:r w:rsidR="00D47633" w:rsidRPr="006F5980">
        <w:rPr>
          <w:rFonts w:ascii="Geomanist Light" w:eastAsia="Calibri" w:hAnsi="Geomanist Light" w:cs="Arial"/>
          <w:sz w:val="22"/>
          <w:lang w:val="es-ES" w:eastAsia="es-ES" w:bidi="es-ES"/>
        </w:rPr>
        <w:t xml:space="preserve"> del numeral 1.15 del Documento Base que </w:t>
      </w:r>
      <w:r w:rsidRPr="006F5980">
        <w:rPr>
          <w:rFonts w:ascii="Geomanist Light" w:eastAsia="Calibri" w:hAnsi="Geomanist Light" w:cs="Arial"/>
          <w:sz w:val="22"/>
          <w:lang w:val="es-ES" w:eastAsia="es-ES" w:bidi="es-ES"/>
        </w:rPr>
        <w:t xml:space="preserve">sólo opera cuando el procedimiento se realice mediante el SECOP I y que </w:t>
      </w:r>
      <w:r w:rsidR="00D47633" w:rsidRPr="006F5980">
        <w:rPr>
          <w:rFonts w:ascii="Geomanist Light" w:eastAsia="Calibri" w:hAnsi="Geomanist Light" w:cs="Arial"/>
          <w:sz w:val="22"/>
          <w:lang w:val="es-ES" w:eastAsia="es-ES" w:bidi="es-ES"/>
        </w:rPr>
        <w:t>sanciona con el rechazo de la oferta: «</w:t>
      </w:r>
      <w:r w:rsidRPr="006F5980">
        <w:rPr>
          <w:rFonts w:ascii="Geomanist Light" w:eastAsia="Calibri" w:hAnsi="Geomanist Light" w:cs="Arial"/>
          <w:i/>
          <w:iCs/>
          <w:sz w:val="22"/>
          <w:lang w:val="es-ES" w:eastAsia="es-ES" w:bidi="es-ES"/>
        </w:rPr>
        <w:t xml:space="preserve">Que la propuesta </w:t>
      </w:r>
      <w:r w:rsidRPr="006F5980">
        <w:rPr>
          <w:rFonts w:ascii="Geomanist Light" w:eastAsia="Calibri" w:hAnsi="Geomanist Light" w:cs="Arial"/>
          <w:i/>
          <w:iCs/>
          <w:sz w:val="22"/>
          <w:lang w:val="es-ES" w:eastAsia="es-ES" w:bidi="es-ES"/>
        </w:rPr>
        <w:lastRenderedPageBreak/>
        <w:t>económica no se aporte firmada.</w:t>
      </w:r>
      <w:r w:rsidR="00D47633" w:rsidRPr="006F5980">
        <w:rPr>
          <w:rFonts w:ascii="Geomanist Light" w:eastAsia="Calibri" w:hAnsi="Geomanist Light" w:cs="Arial"/>
          <w:sz w:val="22"/>
          <w:lang w:val="es-ES" w:eastAsia="es-ES" w:bidi="es-ES"/>
        </w:rPr>
        <w:t xml:space="preserve">». </w:t>
      </w:r>
      <w:r w:rsidRPr="006F5980">
        <w:rPr>
          <w:rFonts w:ascii="Geomanist Light" w:eastAsia="Calibri" w:hAnsi="Geomanist Light" w:cs="Arial"/>
          <w:sz w:val="22"/>
          <w:lang w:val="es-ES" w:eastAsia="es-ES" w:bidi="es-ES"/>
        </w:rPr>
        <w:t xml:space="preserve">No obstante, tal y como se explicó en el acápite anterior, esta causal sólo opera cuando la propuesta económica se deba presentar en físico y se utilice el SECOP I con fines de publicidad. Es por eso </w:t>
      </w:r>
      <w:proofErr w:type="gramStart"/>
      <w:r w:rsidRPr="006F5980">
        <w:rPr>
          <w:rFonts w:ascii="Geomanist Light" w:eastAsia="Calibri" w:hAnsi="Geomanist Light" w:cs="Arial"/>
          <w:sz w:val="22"/>
          <w:lang w:val="es-ES" w:eastAsia="es-ES" w:bidi="es-ES"/>
        </w:rPr>
        <w:t>que</w:t>
      </w:r>
      <w:proofErr w:type="gramEnd"/>
      <w:r w:rsidRPr="006F5980">
        <w:rPr>
          <w:rFonts w:ascii="Geomanist Light" w:eastAsia="Calibri" w:hAnsi="Geomanist Light" w:cs="Arial"/>
          <w:sz w:val="22"/>
          <w:lang w:val="es-ES" w:eastAsia="es-ES" w:bidi="es-ES"/>
        </w:rPr>
        <w:t xml:space="preserve"> el literal J tiene consignada la condición de uso para las entidades contratantes con la siguiente nota aclaratoria o instrucción en el párrafo entre corchetes con el siguiente </w:t>
      </w:r>
      <w:r w:rsidR="00F90DB5" w:rsidRPr="006F5980">
        <w:rPr>
          <w:rFonts w:ascii="Geomanist Light" w:eastAsia="Calibri" w:hAnsi="Geomanist Light" w:cs="Arial"/>
          <w:sz w:val="22"/>
          <w:lang w:val="es-ES" w:eastAsia="es-ES" w:bidi="es-ES"/>
        </w:rPr>
        <w:t>texto:</w:t>
      </w:r>
      <w:r w:rsidRPr="006F5980">
        <w:rPr>
          <w:rFonts w:ascii="Geomanist Light" w:eastAsia="Calibri" w:hAnsi="Geomanist Light" w:cs="Arial"/>
          <w:sz w:val="22"/>
          <w:lang w:val="es-ES" w:eastAsia="es-ES" w:bidi="es-ES"/>
        </w:rPr>
        <w:t xml:space="preserve"> «</w:t>
      </w:r>
      <w:r w:rsidRPr="00EC1AD6">
        <w:rPr>
          <w:rStyle w:val="normaltextrun"/>
          <w:rFonts w:ascii="Geomanist Light" w:hAnsi="Geomanist Light" w:cs="Arial"/>
          <w:color w:val="000000"/>
          <w:sz w:val="20"/>
          <w:szCs w:val="20"/>
          <w:shd w:val="clear" w:color="auto" w:fill="C0C0C0"/>
        </w:rPr>
        <w:t>[Incluir esta causal cuando las ofertas se presente en el SECOP I]</w:t>
      </w:r>
      <w:r w:rsidRPr="006F5980">
        <w:rPr>
          <w:rFonts w:ascii="Geomanist Light" w:eastAsia="Calibri" w:hAnsi="Geomanist Light" w:cs="Arial"/>
          <w:sz w:val="22"/>
          <w:lang w:val="es-ES" w:eastAsia="es-ES" w:bidi="es-ES"/>
        </w:rPr>
        <w:t>»</w:t>
      </w:r>
      <w:r w:rsidRPr="00EC1AD6">
        <w:rPr>
          <w:rStyle w:val="normaltextrun"/>
          <w:rFonts w:ascii="Geomanist Light" w:hAnsi="Geomanist Light" w:cs="Arial"/>
          <w:color w:val="000000"/>
          <w:sz w:val="20"/>
          <w:szCs w:val="20"/>
          <w:shd w:val="clear" w:color="auto" w:fill="FFFFFF"/>
        </w:rPr>
        <w:t xml:space="preserve">. </w:t>
      </w:r>
    </w:p>
    <w:p w14:paraId="4B598174" w14:textId="1E4E42E9" w:rsidR="00051B81" w:rsidRPr="006F5980" w:rsidRDefault="005102EF" w:rsidP="00EC1AD6">
      <w:pPr>
        <w:widowControl w:val="0"/>
        <w:autoSpaceDE w:val="0"/>
        <w:autoSpaceDN w:val="0"/>
        <w:spacing w:before="120" w:after="120" w:line="276" w:lineRule="auto"/>
        <w:ind w:firstLine="709"/>
        <w:jc w:val="both"/>
        <w:rPr>
          <w:rFonts w:ascii="Geomanist Light" w:eastAsia="Calibri" w:hAnsi="Geomanist Light" w:cs="Arial"/>
          <w:sz w:val="22"/>
          <w:lang w:val="es-ES" w:eastAsia="es-ES" w:bidi="es-ES"/>
        </w:rPr>
      </w:pPr>
      <w:r w:rsidRPr="00EC1AD6">
        <w:rPr>
          <w:rStyle w:val="normaltextrun"/>
          <w:rFonts w:ascii="Geomanist Light" w:hAnsi="Geomanist Light" w:cs="Arial"/>
          <w:color w:val="000000"/>
          <w:sz w:val="20"/>
          <w:szCs w:val="20"/>
          <w:shd w:val="clear" w:color="auto" w:fill="FFFFFF"/>
        </w:rPr>
        <w:t xml:space="preserve">En consecuencia, como </w:t>
      </w:r>
      <w:r w:rsidRPr="006F5980">
        <w:rPr>
          <w:rFonts w:ascii="Geomanist Light" w:eastAsia="Arial" w:hAnsi="Geomanist Light" w:cs="Arial"/>
          <w:sz w:val="22"/>
          <w:lang w:val="es-ES" w:eastAsia="es-ES" w:bidi="es-ES"/>
        </w:rPr>
        <w:t xml:space="preserve">la oferta económica, para los procesos adelantados en SECOP I, se presenta según </w:t>
      </w:r>
      <w:r w:rsidR="009440DE" w:rsidRPr="006F5980">
        <w:rPr>
          <w:rFonts w:ascii="Geomanist Light" w:eastAsia="Arial" w:hAnsi="Geomanist Light" w:cs="Arial"/>
          <w:sz w:val="22"/>
          <w:lang w:val="es-ES" w:eastAsia="es-ES" w:bidi="es-ES"/>
        </w:rPr>
        <w:t>las reglas de</w:t>
      </w:r>
      <w:r w:rsidRPr="006F5980">
        <w:rPr>
          <w:rFonts w:ascii="Geomanist Light" w:eastAsia="Arial" w:hAnsi="Geomanist Light" w:cs="Arial"/>
          <w:sz w:val="22"/>
          <w:lang w:val="es-ES" w:eastAsia="es-ES" w:bidi="es-ES"/>
        </w:rPr>
        <w:t xml:space="preserve">l literal B del numeral 2.3.2 </w:t>
      </w:r>
      <w:r w:rsidR="009440DE" w:rsidRPr="006F5980">
        <w:rPr>
          <w:rFonts w:ascii="Geomanist Light" w:eastAsia="Arial" w:hAnsi="Geomanist Light" w:cs="Arial"/>
          <w:sz w:val="22"/>
          <w:lang w:val="es-ES" w:eastAsia="es-ES" w:bidi="es-ES"/>
        </w:rPr>
        <w:t xml:space="preserve">que </w:t>
      </w:r>
      <w:r w:rsidRPr="006F5980">
        <w:rPr>
          <w:rFonts w:ascii="Geomanist Light" w:eastAsia="Arial" w:hAnsi="Geomanist Light" w:cs="Arial"/>
          <w:sz w:val="22"/>
          <w:lang w:val="es-ES" w:eastAsia="es-ES" w:bidi="es-ES"/>
        </w:rPr>
        <w:t>establece que el Sobre No. 2: «</w:t>
      </w:r>
      <w:r w:rsidRPr="006F5980">
        <w:rPr>
          <w:rFonts w:ascii="Geomanist Light" w:hAnsi="Geomanist Light"/>
          <w:sz w:val="22"/>
        </w:rPr>
        <w:t>Debe incluir la propuesta económica debidamente diligenciada, de conformidad con todos y cada uno de los ítems exigidos y relacionados en el Formulario 1 – Formulario de Presupuesto Oficial»</w:t>
      </w:r>
      <w:r w:rsidR="009440DE" w:rsidRPr="006F5980">
        <w:rPr>
          <w:rFonts w:ascii="Geomanist Light" w:hAnsi="Geomanist Light"/>
          <w:sz w:val="22"/>
        </w:rPr>
        <w:t>, documento físico que debe contar con la firma del proponente, es para este caso que operaría la causal J del numeral 1.15 del Documento Base para rechazar la oferta en caso de que no se haya presentado firmada. No ocurre lo mismo</w:t>
      </w:r>
      <w:r w:rsidRPr="006F5980">
        <w:rPr>
          <w:rFonts w:ascii="Geomanist Light" w:hAnsi="Geomanist Light"/>
          <w:sz w:val="22"/>
        </w:rPr>
        <w:t xml:space="preserve"> para los procesos que deban adelantarse a través del SECOP II</w:t>
      </w:r>
      <w:r w:rsidR="009440DE" w:rsidRPr="006F5980">
        <w:rPr>
          <w:rFonts w:ascii="Geomanist Light" w:hAnsi="Geomanist Light"/>
          <w:sz w:val="22"/>
        </w:rPr>
        <w:t>, pues en este caso se acude al</w:t>
      </w:r>
      <w:r w:rsidRPr="006F5980">
        <w:rPr>
          <w:rFonts w:ascii="Geomanist Light" w:hAnsi="Geomanist Light"/>
          <w:sz w:val="22"/>
        </w:rPr>
        <w:t xml:space="preserve"> literal A del numeral 2.3.2 </w:t>
      </w:r>
      <w:r w:rsidR="009440DE" w:rsidRPr="006F5980">
        <w:rPr>
          <w:rFonts w:ascii="Geomanist Light" w:hAnsi="Geomanist Light"/>
          <w:sz w:val="22"/>
        </w:rPr>
        <w:t xml:space="preserve">que </w:t>
      </w:r>
      <w:r w:rsidRPr="006F5980">
        <w:rPr>
          <w:rFonts w:ascii="Geomanist Light" w:hAnsi="Geomanist Light"/>
          <w:sz w:val="22"/>
        </w:rPr>
        <w:t>indica: «[Para los procesos en SECOP II, el Sobre 2 debe presentarse en el cuestionario destinado para ello en el Módulo de “Licitación de Obra Pública” y no podrá ser entregado en físico]»</w:t>
      </w:r>
      <w:r w:rsidR="009440DE" w:rsidRPr="006F5980">
        <w:rPr>
          <w:rFonts w:ascii="Geomanist Light" w:hAnsi="Geomanist Light"/>
          <w:sz w:val="22"/>
        </w:rPr>
        <w:t>, por lo que en este evento no se aplica la referida causal, tal y como lo dice expresamente la nota aclaratoria</w:t>
      </w:r>
      <w:bookmarkEnd w:id="8"/>
      <w:bookmarkEnd w:id="10"/>
      <w:r w:rsidR="009440DE" w:rsidRPr="006F5980">
        <w:rPr>
          <w:rFonts w:ascii="Geomanist Light" w:hAnsi="Geomanist Light"/>
          <w:sz w:val="22"/>
        </w:rPr>
        <w:t>.</w:t>
      </w:r>
      <w:r w:rsidR="00E10A61" w:rsidRPr="006F5980">
        <w:rPr>
          <w:rFonts w:ascii="Geomanist Light" w:hAnsi="Geomanist Light"/>
          <w:sz w:val="22"/>
        </w:rPr>
        <w:t xml:space="preserve">  </w:t>
      </w:r>
      <w:r w:rsidR="00D47633" w:rsidRPr="006F5980">
        <w:rPr>
          <w:rFonts w:ascii="Geomanist Light" w:eastAsia="Calibri" w:hAnsi="Geomanist Light" w:cs="Arial"/>
          <w:sz w:val="22"/>
          <w:lang w:val="es-ES" w:eastAsia="es-ES" w:bidi="es-ES"/>
        </w:rPr>
        <w:t xml:space="preserve">Con todo, corresponde a la entidad estatal estudiar las circunstancias particulares de cada caso para determinar si las mismas confluyen a la configuración de alguno de las circunstancias tipificadas en las causales de rechazo. </w:t>
      </w:r>
      <w:bookmarkEnd w:id="6"/>
    </w:p>
    <w:p w14:paraId="10A8EA28" w14:textId="77777777" w:rsidR="00E10A61" w:rsidRPr="00EC1AD6" w:rsidRDefault="00E10A61" w:rsidP="00E10A61">
      <w:pPr>
        <w:tabs>
          <w:tab w:val="left" w:pos="426"/>
        </w:tabs>
        <w:spacing w:line="276" w:lineRule="auto"/>
        <w:jc w:val="both"/>
        <w:rPr>
          <w:rFonts w:ascii="Geomanist Light" w:eastAsia="Calibri" w:hAnsi="Geomanist Light" w:cs="Arial"/>
          <w:b/>
          <w:color w:val="000000"/>
          <w:szCs w:val="24"/>
          <w:lang w:val="es-ES_tradnl" w:eastAsia="en-GB"/>
        </w:rPr>
      </w:pPr>
    </w:p>
    <w:p w14:paraId="60E601ED" w14:textId="198E00E8" w:rsidR="00E10A61" w:rsidRPr="006F5980" w:rsidRDefault="00E10A61" w:rsidP="00E10A61">
      <w:pPr>
        <w:pStyle w:val="Textoindependiente"/>
        <w:spacing w:line="276" w:lineRule="auto"/>
        <w:jc w:val="both"/>
        <w:rPr>
          <w:rFonts w:ascii="Geomanist Light" w:hAnsi="Geomanist Light"/>
          <w:b/>
          <w:lang w:eastAsia="es-ES" w:bidi="es-ES"/>
        </w:rPr>
      </w:pPr>
      <w:r w:rsidRPr="006F5980">
        <w:rPr>
          <w:rFonts w:ascii="Geomanist Light" w:hAnsi="Geomanist Light"/>
          <w:b/>
          <w:lang w:eastAsia="es-ES" w:bidi="es-ES"/>
        </w:rPr>
        <w:t xml:space="preserve">2.3. Reglas para la corrección aritmética en los documentos tipo de licitación para obras públicas de infraestructura de transporte –versión 3– </w:t>
      </w:r>
    </w:p>
    <w:p w14:paraId="72E4D229" w14:textId="77777777" w:rsidR="00E10A61" w:rsidRPr="00EC1AD6" w:rsidRDefault="00E10A61" w:rsidP="00E10A61">
      <w:pPr>
        <w:tabs>
          <w:tab w:val="left" w:pos="426"/>
        </w:tabs>
        <w:spacing w:line="276" w:lineRule="auto"/>
        <w:jc w:val="both"/>
        <w:rPr>
          <w:rFonts w:ascii="Geomanist Light" w:eastAsia="Times New Roman" w:hAnsi="Geomanist Light" w:cs="Arial"/>
          <w:b/>
          <w:color w:val="000000"/>
          <w:szCs w:val="24"/>
          <w:lang w:val="es-ES_tradnl" w:eastAsia="es-ES_tradnl"/>
        </w:rPr>
      </w:pPr>
    </w:p>
    <w:p w14:paraId="1BC2BD6B" w14:textId="66DD1C2C" w:rsidR="00E10A61" w:rsidRPr="00EC1AD6" w:rsidRDefault="00E10A61" w:rsidP="00EC1AD6">
      <w:pPr>
        <w:spacing w:after="120" w:line="276" w:lineRule="auto"/>
        <w:jc w:val="both"/>
        <w:rPr>
          <w:rFonts w:ascii="Geomanist Light" w:eastAsia="Times New Roman" w:hAnsi="Geomanist Light" w:cs="Arial"/>
          <w:color w:val="000000"/>
          <w:szCs w:val="24"/>
          <w:lang w:val="es-ES_tradnl" w:eastAsia="es-ES_tradnl"/>
        </w:rPr>
      </w:pPr>
      <w:r w:rsidRPr="006F5980">
        <w:rPr>
          <w:rFonts w:ascii="Geomanist Light" w:eastAsia="Calibri" w:hAnsi="Geomanist Light" w:cs="Arial"/>
          <w:color w:val="000000" w:themeColor="text1"/>
          <w:sz w:val="22"/>
          <w:lang w:val="es-ES_tradnl"/>
        </w:rPr>
        <w:t>El Documento Base del pliego tipo de licitación para obras públicas de infraestructura de transporte –versión 3–, con las modificaciones introducidas por la Resolución 304 de 2021, vigente a partir del 2 de noviembre de 2021, establece lo siguiente:</w:t>
      </w:r>
    </w:p>
    <w:p w14:paraId="18E98126" w14:textId="77777777" w:rsidR="00E10A61" w:rsidRPr="006F5980" w:rsidRDefault="00E10A61" w:rsidP="00EC1AD6">
      <w:pPr>
        <w:spacing w:after="120"/>
        <w:ind w:left="709" w:right="709"/>
        <w:jc w:val="both"/>
        <w:rPr>
          <w:rFonts w:ascii="Geomanist Light" w:eastAsia="Calibri" w:hAnsi="Geomanist Light" w:cs="Arial"/>
          <w:b/>
          <w:bCs/>
          <w:color w:val="000000" w:themeColor="text1"/>
          <w:sz w:val="21"/>
          <w:szCs w:val="21"/>
          <w:lang w:val="es-ES_tradnl"/>
        </w:rPr>
      </w:pPr>
      <w:r w:rsidRPr="006F5980">
        <w:rPr>
          <w:rFonts w:ascii="Geomanist Light" w:eastAsia="Calibri" w:hAnsi="Geomanist Light" w:cs="Arial"/>
          <w:b/>
          <w:bCs/>
          <w:color w:val="000000" w:themeColor="text1"/>
          <w:sz w:val="21"/>
          <w:szCs w:val="21"/>
          <w:lang w:val="es-ES_tradnl"/>
        </w:rPr>
        <w:t xml:space="preserve">4.1.2. CORRECCIONES ARITMÉTICAS </w:t>
      </w:r>
    </w:p>
    <w:p w14:paraId="510C4906"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p>
    <w:p w14:paraId="5F5A4A30"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La entidad solo efectuará correcciones aritméticas originadas por:</w:t>
      </w:r>
    </w:p>
    <w:p w14:paraId="25DCF991"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p>
    <w:p w14:paraId="295EF942"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b/>
          <w:bCs/>
          <w:color w:val="000000" w:themeColor="text1"/>
          <w:sz w:val="21"/>
          <w:szCs w:val="21"/>
          <w:lang w:val="es-ES_tradnl"/>
        </w:rPr>
        <w:t>A</w:t>
      </w:r>
      <w:r w:rsidRPr="006F5980">
        <w:rPr>
          <w:rFonts w:ascii="Geomanist Light" w:eastAsia="Calibri" w:hAnsi="Geomanist Light" w:cs="Arial"/>
          <w:color w:val="000000" w:themeColor="text1"/>
          <w:sz w:val="21"/>
          <w:szCs w:val="21"/>
          <w:lang w:val="es-ES_tradnl"/>
        </w:rPr>
        <w:t>. Todas las operaciones aritméticas a que haya lugar en la propuesta económica, cuando exista un error que surja de un cálculo meramente aritmético cuando la operación ha sido erróneamente realizada.</w:t>
      </w:r>
    </w:p>
    <w:p w14:paraId="3B8D1AB0"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p>
    <w:p w14:paraId="2F45B73E"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b/>
          <w:bCs/>
          <w:color w:val="000000" w:themeColor="text1"/>
          <w:sz w:val="21"/>
          <w:szCs w:val="21"/>
          <w:lang w:val="es-ES_tradnl"/>
        </w:rPr>
        <w:t>B</w:t>
      </w:r>
      <w:r w:rsidRPr="006F5980">
        <w:rPr>
          <w:rFonts w:ascii="Geomanist Light" w:eastAsia="Calibri" w:hAnsi="Geomanist Light" w:cs="Arial"/>
          <w:color w:val="000000" w:themeColor="text1"/>
          <w:sz w:val="21"/>
          <w:szCs w:val="21"/>
          <w:lang w:val="es-ES_tradnl"/>
        </w:rPr>
        <w:t xml:space="preserve">. El ajuste al peso ya sea por exceso o por defecto de los precios unitarios contenidos en la propuesta económica de las operaciones aritméticas a que haya </w:t>
      </w:r>
      <w:r w:rsidRPr="006F5980">
        <w:rPr>
          <w:rFonts w:ascii="Geomanist Light" w:eastAsia="Calibri" w:hAnsi="Geomanist Light" w:cs="Arial"/>
          <w:color w:val="000000" w:themeColor="text1"/>
          <w:sz w:val="21"/>
          <w:szCs w:val="21"/>
          <w:lang w:val="es-ES_tradnl"/>
        </w:rPr>
        <w:lastRenderedPageBreak/>
        <w:t>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20938F2E"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p>
    <w:p w14:paraId="57E8A064" w14:textId="77777777" w:rsidR="00E10A61" w:rsidRPr="006F5980" w:rsidRDefault="00E10A61" w:rsidP="00E10A61">
      <w:pPr>
        <w:ind w:left="709" w:right="709"/>
        <w:jc w:val="both"/>
        <w:rPr>
          <w:rFonts w:ascii="Geomanist Light" w:eastAsia="Calibri" w:hAnsi="Geomanist Light" w:cs="Arial"/>
          <w:color w:val="000000" w:themeColor="text1"/>
          <w:sz w:val="21"/>
          <w:szCs w:val="21"/>
          <w:lang w:val="es-ES_tradnl"/>
        </w:rPr>
      </w:pPr>
      <w:r w:rsidRPr="006F5980">
        <w:rPr>
          <w:rFonts w:ascii="Geomanist Light" w:eastAsia="Calibri" w:hAnsi="Geomanist Light" w:cs="Arial"/>
          <w:color w:val="000000" w:themeColor="text1"/>
          <w:sz w:val="21"/>
          <w:szCs w:val="21"/>
          <w:lang w:val="es-ES_tradnl"/>
        </w:rPr>
        <w:t>La entidad a partir del valor total corregido de las propuestas asignará el puntaje de conformidad con el proceso del numeral 4.1.4.</w:t>
      </w:r>
    </w:p>
    <w:p w14:paraId="125DFD83" w14:textId="77777777" w:rsidR="00E10A61" w:rsidRPr="00EC1AD6" w:rsidRDefault="00E10A61" w:rsidP="00E10A61">
      <w:pPr>
        <w:tabs>
          <w:tab w:val="left" w:pos="426"/>
        </w:tabs>
        <w:spacing w:line="276" w:lineRule="auto"/>
        <w:ind w:firstLine="709"/>
        <w:jc w:val="both"/>
        <w:rPr>
          <w:rFonts w:ascii="Geomanist Light" w:eastAsia="Times New Roman" w:hAnsi="Geomanist Light" w:cs="Arial"/>
          <w:color w:val="000000"/>
          <w:szCs w:val="24"/>
          <w:lang w:val="es-ES_tradnl" w:eastAsia="es-ES_tradnl"/>
        </w:rPr>
      </w:pPr>
    </w:p>
    <w:p w14:paraId="35692C86" w14:textId="4B8EA684" w:rsidR="00F90DB5" w:rsidRPr="00EC1AD6" w:rsidRDefault="00E10A61" w:rsidP="00EC1AD6">
      <w:pPr>
        <w:spacing w:after="120" w:line="276" w:lineRule="auto"/>
        <w:ind w:firstLine="709"/>
        <w:jc w:val="both"/>
        <w:rPr>
          <w:rFonts w:ascii="Geomanist Light" w:eastAsia="Times New Roman" w:hAnsi="Geomanist Light" w:cs="Arial"/>
          <w:color w:val="000000"/>
          <w:szCs w:val="24"/>
          <w:lang w:val="es-ES_tradnl" w:eastAsia="es-ES_tradnl"/>
        </w:rPr>
      </w:pPr>
      <w:r w:rsidRPr="00AD60A5">
        <w:rPr>
          <w:rFonts w:ascii="Geomanist Light" w:eastAsia="Calibri" w:hAnsi="Geomanist Light" w:cs="Arial"/>
          <w:color w:val="000000" w:themeColor="text1"/>
          <w:sz w:val="22"/>
          <w:lang w:val="es-ES_tradnl"/>
        </w:rPr>
        <w:t>Como se observa, el literal A. establece que la entidad estatal deberá efectuar la corrección cuando se presente un error en el cálculo, porque la operación haya sido realizada de manera errónea, es decir, cuando haya existido algún yerro en las operaciones matemáticas fundamentales: suma, resta, multiplicación o división</w:t>
      </w:r>
      <w:r w:rsidRPr="00AD60A5">
        <w:rPr>
          <w:rFonts w:ascii="Geomanist Light" w:eastAsia="Calibri" w:hAnsi="Geomanist Light" w:cs="Arial"/>
          <w:color w:val="000000" w:themeColor="text1"/>
          <w:sz w:val="18"/>
          <w:szCs w:val="20"/>
          <w:vertAlign w:val="superscript"/>
          <w:lang w:val="es-ES_tradnl"/>
        </w:rPr>
        <w:footnoteReference w:id="9"/>
      </w:r>
      <w:r w:rsidRPr="00AD60A5">
        <w:rPr>
          <w:rFonts w:ascii="Geomanist Light" w:eastAsia="Calibri" w:hAnsi="Geomanist Light" w:cs="Arial"/>
          <w:color w:val="000000" w:themeColor="text1"/>
          <w:sz w:val="22"/>
          <w:lang w:val="es-ES_tradnl"/>
        </w:rPr>
        <w:t>. Así lo ha reconocido la Corte Constitucional, señalando que «La más consolidada doctrina nacional, siguiendo las pautas establecidas por la Corte Suprema de Justicia, ha considerado que el error aritmético es aquel que surge de un cálculo meramente aritmético cuando la operación ha sido erróneamente realizada. En consecuencia, su corrección debe contraerse a efectuar adecuadamente la operación aritmética erróneamente realizada, sin llegar a</w:t>
      </w:r>
      <w:r w:rsidRPr="006F5980">
        <w:rPr>
          <w:rFonts w:ascii="Geomanist Light" w:eastAsia="Calibri" w:hAnsi="Geomanist Light" w:cs="Arial"/>
          <w:color w:val="000000" w:themeColor="text1"/>
          <w:sz w:val="22"/>
          <w:lang w:val="es-ES_tradnl"/>
        </w:rPr>
        <w:t xml:space="preserve"> modificar o alterar los factores o elementos que la componen»</w:t>
      </w:r>
      <w:r w:rsidRPr="00EC1AD6">
        <w:rPr>
          <w:rFonts w:ascii="Geomanist Light" w:eastAsia="Times New Roman" w:hAnsi="Geomanist Light" w:cs="Arial"/>
          <w:color w:val="000000"/>
          <w:szCs w:val="24"/>
          <w:vertAlign w:val="superscript"/>
          <w:lang w:val="es-ES_tradnl" w:eastAsia="es-ES_tradnl"/>
        </w:rPr>
        <w:footnoteReference w:id="10"/>
      </w:r>
      <w:r w:rsidRPr="00EC1AD6">
        <w:rPr>
          <w:rFonts w:ascii="Geomanist Light" w:eastAsia="Times New Roman" w:hAnsi="Geomanist Light" w:cs="Arial"/>
          <w:color w:val="000000"/>
          <w:szCs w:val="24"/>
          <w:lang w:val="es-ES_tradnl" w:eastAsia="es-ES_tradnl"/>
        </w:rPr>
        <w:t>.</w:t>
      </w:r>
    </w:p>
    <w:p w14:paraId="05C84CB9" w14:textId="3A96EA53" w:rsidR="00F90DB5" w:rsidRDefault="00F90DB5" w:rsidP="00EC1AD6">
      <w:pPr>
        <w:spacing w:after="120" w:line="276" w:lineRule="auto"/>
        <w:ind w:firstLine="709"/>
        <w:jc w:val="both"/>
        <w:rPr>
          <w:rFonts w:ascii="Geomanist Light" w:eastAsia="Calibri" w:hAnsi="Geomanist Light" w:cs="Arial"/>
          <w:color w:val="000000" w:themeColor="text1"/>
          <w:sz w:val="22"/>
          <w:lang w:val="es-ES_tradnl"/>
        </w:rPr>
      </w:pPr>
      <w:r>
        <w:rPr>
          <w:rFonts w:ascii="Geomanist Light" w:eastAsia="Calibri" w:hAnsi="Geomanist Light" w:cs="Arial"/>
          <w:color w:val="000000" w:themeColor="text1"/>
          <w:sz w:val="22"/>
          <w:lang w:val="es-ES_tradnl"/>
        </w:rPr>
        <w:t>E</w:t>
      </w:r>
      <w:r w:rsidR="00E10A61" w:rsidRPr="006F5980">
        <w:rPr>
          <w:rFonts w:ascii="Geomanist Light" w:eastAsia="Calibri" w:hAnsi="Geomanist Light" w:cs="Arial"/>
          <w:color w:val="000000" w:themeColor="text1"/>
          <w:sz w:val="22"/>
          <w:lang w:val="es-ES_tradnl"/>
        </w:rPr>
        <w:t>l literal B., por su parte, indica que la entidad estatal también efectuará las correcciones aritméticas cuando estas se originen por «el ajuste al peso», «por exceso o por defecto de los precios unitarios contenidos en la propuesta económica de las operaciones aritméticas a que haya lugar y del valor del IVA». Este literal debe complementarse con la Nota 2 del Formulario 1 –«Propuesta Económica»– de los documentos tipo, el cual establece que «Cuando la fracción decimal del peso sea igual o superior a 5 se aproximará por exceso al número entero siguiente del peso y cuando la fracción decimal del peso sea inferior a 5 se aproximará por defecto al número entero del peso»</w:t>
      </w:r>
      <w:r>
        <w:rPr>
          <w:rFonts w:ascii="Geomanist Light" w:eastAsia="Calibri" w:hAnsi="Geomanist Light" w:cs="Arial"/>
          <w:color w:val="000000" w:themeColor="text1"/>
          <w:sz w:val="22"/>
          <w:lang w:val="es-ES_tradnl"/>
        </w:rPr>
        <w:t>.</w:t>
      </w:r>
    </w:p>
    <w:p w14:paraId="598806F7" w14:textId="77777777" w:rsidR="00E10A61" w:rsidRPr="006F5980" w:rsidRDefault="00E10A61" w:rsidP="00EC1AD6">
      <w:pPr>
        <w:spacing w:after="120" w:line="276" w:lineRule="auto"/>
        <w:ind w:firstLine="709"/>
        <w:jc w:val="both"/>
        <w:rPr>
          <w:rFonts w:ascii="Geomanist Light" w:eastAsia="Calibri" w:hAnsi="Geomanist Light" w:cs="Arial"/>
          <w:color w:val="000000" w:themeColor="text1"/>
          <w:sz w:val="22"/>
          <w:lang w:val="es-ES_tradnl"/>
        </w:rPr>
      </w:pPr>
      <w:r w:rsidRPr="006F5980">
        <w:rPr>
          <w:rFonts w:ascii="Geomanist Light" w:eastAsia="Calibri" w:hAnsi="Geomanist Light" w:cs="Arial"/>
          <w:color w:val="000000" w:themeColor="text1"/>
          <w:sz w:val="22"/>
          <w:lang w:val="es-ES_tradnl"/>
        </w:rPr>
        <w:t xml:space="preserve">De acuerdo con lo expuesto, en estas condiciones la entidad pública efectuará las correcciones aritméticas de las ofertas económicas presentadas por los proponentes. En tal sentido, la entidad puede hacer, de oficio, las correcciones aritméticas, en aras de garantizar el principio de supremacía o prevalencia del derecho sustancial sobre lo procedimental, que se reguló en el artículo 228 constitucional, precisando que dichas correcciones procederán en los términos establecidos en el pliego de condiciones. De esta manera, se considera </w:t>
      </w:r>
      <w:r w:rsidRPr="006F5980">
        <w:rPr>
          <w:rFonts w:ascii="Geomanist Light" w:eastAsia="Calibri" w:hAnsi="Geomanist Light" w:cs="Arial"/>
          <w:color w:val="000000" w:themeColor="text1"/>
          <w:sz w:val="22"/>
          <w:lang w:val="es-ES_tradnl"/>
        </w:rPr>
        <w:lastRenderedPageBreak/>
        <w:t xml:space="preserve">importante dejar constancia de esta circunstancia en el informe de evaluación respectivo, para que los proponentes tengan la oportunidad de formular sus observaciones. </w:t>
      </w:r>
    </w:p>
    <w:p w14:paraId="154B9196" w14:textId="1E04A3C4" w:rsidR="00E10A61" w:rsidRPr="00EC1AD6" w:rsidRDefault="00E10A61" w:rsidP="00EC1AD6">
      <w:pPr>
        <w:spacing w:after="120" w:line="276" w:lineRule="auto"/>
        <w:ind w:firstLine="709"/>
        <w:jc w:val="both"/>
        <w:rPr>
          <w:rFonts w:ascii="Geomanist Light" w:eastAsia="Times New Roman" w:hAnsi="Geomanist Light" w:cs="Arial"/>
          <w:color w:val="000000"/>
          <w:sz w:val="21"/>
          <w:szCs w:val="21"/>
          <w:lang w:val="es-CO" w:eastAsia="es-ES_tradnl"/>
        </w:rPr>
      </w:pPr>
      <w:r w:rsidRPr="006F5980">
        <w:rPr>
          <w:rFonts w:ascii="Geomanist Light" w:eastAsia="Calibri" w:hAnsi="Geomanist Light" w:cs="Arial"/>
          <w:color w:val="000000" w:themeColor="text1"/>
          <w:sz w:val="22"/>
          <w:lang w:val="es-ES_tradnl"/>
        </w:rPr>
        <w:t>En el concepto C-591 del 31 de agosto de 2020 se resolvió la siguiente pregunta: «De acuerdo al numeral 4.1.</w:t>
      </w:r>
      <w:proofErr w:type="gramStart"/>
      <w:r w:rsidRPr="006F5980">
        <w:rPr>
          <w:rFonts w:ascii="Geomanist Light" w:eastAsia="Calibri" w:hAnsi="Geomanist Light" w:cs="Arial"/>
          <w:color w:val="000000" w:themeColor="text1"/>
          <w:sz w:val="22"/>
          <w:lang w:val="es-ES_tradnl"/>
        </w:rPr>
        <w:t>2 CORRECCIONES ARITMÉTICAS, es válido realizar ajustes por exceso o defecto a los precios unitarios ofertados en la propuesta económica?</w:t>
      </w:r>
      <w:proofErr w:type="gramEnd"/>
      <w:r w:rsidRPr="006F5980">
        <w:rPr>
          <w:rFonts w:ascii="Geomanist Light" w:eastAsia="Calibri" w:hAnsi="Geomanist Light" w:cs="Arial"/>
          <w:color w:val="000000" w:themeColor="text1"/>
          <w:sz w:val="22"/>
          <w:lang w:val="es-ES_tradnl"/>
        </w:rPr>
        <w:t xml:space="preserve"> o las correcciones aritméticas solo operan para las operaciones aritméticas?» (sic). Para responder, esta Subdirección efectuó las siguientes consideraciones: </w:t>
      </w:r>
      <w:bookmarkStart w:id="11" w:name="_Hlk49776227"/>
    </w:p>
    <w:p w14:paraId="6059D5A7" w14:textId="194D0D14" w:rsidR="00E10A61" w:rsidRPr="00EC1AD6" w:rsidRDefault="00E10A61" w:rsidP="00EC1AD6">
      <w:pPr>
        <w:spacing w:before="120" w:after="120"/>
        <w:ind w:left="709" w:right="709"/>
        <w:jc w:val="both"/>
        <w:rPr>
          <w:rFonts w:ascii="Geomanist Light" w:eastAsia="Times New Roman" w:hAnsi="Geomanist Light" w:cs="Arial"/>
          <w:color w:val="000000"/>
          <w:szCs w:val="24"/>
          <w:lang w:val="es-ES_tradnl" w:eastAsia="es-ES_tradnl"/>
        </w:rPr>
      </w:pPr>
      <w:r w:rsidRPr="006F5980">
        <w:rPr>
          <w:rFonts w:ascii="Geomanist Light" w:eastAsia="Calibri" w:hAnsi="Geomanist Light" w:cs="Arial"/>
          <w:color w:val="000000" w:themeColor="text1"/>
          <w:sz w:val="21"/>
          <w:szCs w:val="21"/>
          <w:lang w:val="es-ES_tradnl"/>
        </w:rPr>
        <w:t>Dado que las correcciones aplican para ambos literales</w:t>
      </w:r>
      <w:r w:rsidRPr="006F5980">
        <w:rPr>
          <w:rFonts w:ascii="Geomanist Light" w:eastAsia="Calibri" w:hAnsi="Geomanist Light" w:cs="Arial"/>
          <w:color w:val="000000" w:themeColor="text1"/>
          <w:sz w:val="21"/>
          <w:szCs w:val="21"/>
          <w:vertAlign w:val="superscript"/>
          <w:lang w:val="es-ES_tradnl"/>
        </w:rPr>
        <w:footnoteReference w:id="11"/>
      </w:r>
      <w:r w:rsidRPr="006F5980">
        <w:rPr>
          <w:rFonts w:ascii="Geomanist Light" w:eastAsia="Calibri" w:hAnsi="Geomanist Light" w:cs="Arial"/>
          <w:color w:val="000000" w:themeColor="text1"/>
          <w:sz w:val="21"/>
          <w:szCs w:val="21"/>
          <w:lang w:val="es-ES_tradnl"/>
        </w:rPr>
        <w:t xml:space="preserve">, la entidad no puede ampliar o restringir su alcance. Lo anterior, en la medida que conforme a los artículos 2.2.1.2.6.1.4, 2.2.1.2.6.2.3 y 2.2.1.2.6.3.4 del Decreto 1082 de 2015, 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con fundamento en los artículos 2.2.1.2.6.1.5, 2.2.1.2.6.2.3 y 2.2.1.2.6.3.5 </w:t>
      </w:r>
      <w:proofErr w:type="spellStart"/>
      <w:r w:rsidR="00F90DB5" w:rsidRPr="006F5980">
        <w:rPr>
          <w:rFonts w:ascii="Geomanist Light" w:eastAsia="Calibri" w:hAnsi="Geomanist Light" w:cs="Arial"/>
          <w:color w:val="000000" w:themeColor="text1"/>
          <w:sz w:val="21"/>
          <w:szCs w:val="21"/>
          <w:lang w:val="es-ES_tradnl"/>
        </w:rPr>
        <w:t>ibídem</w:t>
      </w:r>
      <w:proofErr w:type="spellEnd"/>
      <w:r w:rsidRPr="006F5980">
        <w:rPr>
          <w:rFonts w:ascii="Geomanist Light" w:eastAsia="Calibri" w:hAnsi="Geomanist Light" w:cs="Arial"/>
          <w:color w:val="000000" w:themeColor="text1"/>
          <w:sz w:val="21"/>
          <w:szCs w:val="21"/>
          <w:lang w:val="es-ES_tradnl"/>
        </w:rPr>
        <w:t>. Además, cuando el pliego tipo expresamente lo permita, la entidad podrá modificar los aspectos incluidos en corchetes y resaltados en gris, condición que no se cumple en el numeral 4.1.2 del documento base para los procedimientos de licitación y menor cuantía, ni en el numeral 5.1.2 de la invitación de mínima cuantía</w:t>
      </w:r>
      <w:bookmarkEnd w:id="11"/>
      <w:r w:rsidRPr="006F5980">
        <w:rPr>
          <w:rFonts w:ascii="Geomanist Light" w:eastAsia="Calibri" w:hAnsi="Geomanist Light" w:cs="Arial"/>
          <w:color w:val="000000" w:themeColor="text1"/>
          <w:sz w:val="21"/>
          <w:szCs w:val="21"/>
          <w:lang w:val="es-ES_tradnl"/>
        </w:rPr>
        <w:t>.</w:t>
      </w:r>
    </w:p>
    <w:p w14:paraId="71665642" w14:textId="77777777" w:rsidR="00E10A61" w:rsidRPr="006F5980" w:rsidRDefault="00E10A61" w:rsidP="00EC1AD6">
      <w:pPr>
        <w:spacing w:before="120" w:after="120" w:line="276" w:lineRule="auto"/>
        <w:ind w:firstLine="709"/>
        <w:jc w:val="both"/>
        <w:rPr>
          <w:rFonts w:ascii="Geomanist Light" w:eastAsia="Calibri" w:hAnsi="Geomanist Light" w:cs="Arial"/>
          <w:color w:val="000000" w:themeColor="text1"/>
          <w:sz w:val="22"/>
          <w:lang w:val="es-ES_tradnl"/>
        </w:rPr>
      </w:pPr>
      <w:r w:rsidRPr="006F5980">
        <w:rPr>
          <w:rFonts w:ascii="Geomanist Light" w:eastAsia="Calibri" w:hAnsi="Geomanist Light" w:cs="Arial"/>
          <w:color w:val="000000" w:themeColor="text1"/>
          <w:sz w:val="22"/>
          <w:lang w:val="es-ES_tradnl"/>
        </w:rPr>
        <w:t>Con fundamento en estas ideas, la Subdirección resolvió la pregunta del peticionario, indicando que «</w:t>
      </w:r>
      <w:proofErr w:type="gramStart"/>
      <w:r w:rsidRPr="006F5980">
        <w:rPr>
          <w:rFonts w:ascii="Geomanist Light" w:eastAsia="Calibri" w:hAnsi="Geomanist Light" w:cs="Arial"/>
          <w:color w:val="000000" w:themeColor="text1"/>
          <w:sz w:val="22"/>
          <w:lang w:val="es-ES_tradnl"/>
        </w:rPr>
        <w:t>De acuerdo al</w:t>
      </w:r>
      <w:proofErr w:type="gramEnd"/>
      <w:r w:rsidRPr="006F5980">
        <w:rPr>
          <w:rFonts w:ascii="Geomanist Light" w:eastAsia="Calibri" w:hAnsi="Geomanist Light" w:cs="Arial"/>
          <w:color w:val="000000" w:themeColor="text1"/>
          <w:sz w:val="22"/>
          <w:lang w:val="es-ES_tradnl"/>
        </w:rPr>
        <w:t xml:space="preserve"> numeral 4.1.2 del documento base para los procedimientos de licitación y menor cuantía, así como en el numeral 5.1.2 de la invitación de mínima cuantía, la corrección se aplica tanto a las operaciones aritméticas como a los ajustes por exceso por defecto. Teniendo en cuenta el principio de inalterabilidad, especialmente, cuando no incluye aspectos en corchetes ni resaltados en gris, la entidad no puede ampliar o restringir su alcance» (énfasis fuera de texto).</w:t>
      </w:r>
    </w:p>
    <w:p w14:paraId="19A989BC" w14:textId="29549830" w:rsidR="00E10A61" w:rsidRPr="006F5980" w:rsidRDefault="00E10A61" w:rsidP="00E10A61">
      <w:pPr>
        <w:spacing w:before="120" w:line="276" w:lineRule="auto"/>
        <w:ind w:firstLine="709"/>
        <w:jc w:val="both"/>
        <w:rPr>
          <w:rFonts w:ascii="Geomanist Light" w:eastAsia="Calibri" w:hAnsi="Geomanist Light" w:cs="Arial"/>
          <w:color w:val="000000" w:themeColor="text1"/>
          <w:sz w:val="22"/>
          <w:lang w:val="es-ES_tradnl"/>
        </w:rPr>
      </w:pPr>
      <w:r w:rsidRPr="006F5980">
        <w:rPr>
          <w:rFonts w:ascii="Geomanist Light" w:eastAsia="Calibri" w:hAnsi="Geomanist Light" w:cs="Arial"/>
          <w:color w:val="000000" w:themeColor="text1"/>
          <w:sz w:val="22"/>
          <w:lang w:val="es-ES_tradnl"/>
        </w:rPr>
        <w:t xml:space="preserve">A partir de lo expresado en esa ocasión por esta Subdirección, puede concluirse que el literal B establece que la corrección aritmética procede por el ajuste al peso, ya sea por exceso o por defecto: i) de los precios unitarios contenidos en la propuesta económica, </w:t>
      </w:r>
      <w:proofErr w:type="spellStart"/>
      <w:r w:rsidRPr="006F5980">
        <w:rPr>
          <w:rFonts w:ascii="Geomanist Light" w:eastAsia="Calibri" w:hAnsi="Geomanist Light" w:cs="Arial"/>
          <w:color w:val="000000" w:themeColor="text1"/>
          <w:sz w:val="22"/>
          <w:lang w:val="es-ES_tradnl"/>
        </w:rPr>
        <w:t>ii</w:t>
      </w:r>
      <w:proofErr w:type="spellEnd"/>
      <w:r w:rsidRPr="006F5980">
        <w:rPr>
          <w:rFonts w:ascii="Geomanist Light" w:eastAsia="Calibri" w:hAnsi="Geomanist Light" w:cs="Arial"/>
          <w:color w:val="000000" w:themeColor="text1"/>
          <w:sz w:val="22"/>
          <w:lang w:val="es-ES_tradnl"/>
        </w:rPr>
        <w:t xml:space="preserve">) de las operaciones aritméticas a que haya lugar y </w:t>
      </w:r>
      <w:proofErr w:type="spellStart"/>
      <w:r w:rsidRPr="006F5980">
        <w:rPr>
          <w:rFonts w:ascii="Geomanist Light" w:eastAsia="Calibri" w:hAnsi="Geomanist Light" w:cs="Arial"/>
          <w:color w:val="000000" w:themeColor="text1"/>
          <w:sz w:val="22"/>
          <w:lang w:val="es-ES_tradnl"/>
        </w:rPr>
        <w:t>iii</w:t>
      </w:r>
      <w:proofErr w:type="spellEnd"/>
      <w:r w:rsidRPr="006F5980">
        <w:rPr>
          <w:rFonts w:ascii="Geomanist Light" w:eastAsia="Calibri" w:hAnsi="Geomanist Light" w:cs="Arial"/>
          <w:color w:val="000000" w:themeColor="text1"/>
          <w:sz w:val="22"/>
          <w:lang w:val="es-ES_tradnl"/>
        </w:rPr>
        <w:t xml:space="preserve">) del valor del IVA. Tres argumentos se pueden esgrimir a favor de esta interpretación: en primer lugar, si el literal B solo permitiera la corrección aritmética de las operaciones matemáticas, estaría reiterando, innecesariamente, lo dicho en el literal A –que, precisamente, se refiere a las operaciones aritméticas–; en segundo lugar, el literal B, cuando explica la metodología de la corrección –en la parte que va después de los dos puntos–, alude a la aproximación, por exceso o por </w:t>
      </w:r>
      <w:r w:rsidRPr="006F5980">
        <w:rPr>
          <w:rFonts w:ascii="Geomanist Light" w:eastAsia="Calibri" w:hAnsi="Geomanist Light" w:cs="Arial"/>
          <w:color w:val="000000" w:themeColor="text1"/>
          <w:sz w:val="22"/>
          <w:lang w:val="es-ES_tradnl"/>
        </w:rPr>
        <w:lastRenderedPageBreak/>
        <w:t>defecto, de las fracciones decimales, a los números enteros; y en tercer lugar, para establecer los precios unitarios en el Formulario 1 no debe dejarse en esta constancia de una operación aritmética, por lo cual si el proponente emplea decimales en los precios unitarios la entidad estatal debe emplear la metodología indicada en el literal B, del numeral 4.1.2., para efectuar la corrección aritmética.</w:t>
      </w:r>
    </w:p>
    <w:p w14:paraId="3B69B232" w14:textId="7BA6E400" w:rsidR="00E10A61" w:rsidRPr="006F5980" w:rsidRDefault="00E10A61" w:rsidP="00EC1AD6">
      <w:pPr>
        <w:spacing w:before="120" w:line="276" w:lineRule="auto"/>
        <w:ind w:firstLine="709"/>
        <w:jc w:val="both"/>
        <w:rPr>
          <w:rFonts w:ascii="Geomanist Light" w:eastAsia="Calibri" w:hAnsi="Geomanist Light" w:cs="Arial"/>
          <w:sz w:val="22"/>
          <w:lang w:val="es-ES_tradnl" w:eastAsia="es-ES" w:bidi="es-ES"/>
        </w:rPr>
      </w:pPr>
      <w:r w:rsidRPr="006F5980">
        <w:rPr>
          <w:rFonts w:ascii="Geomanist Light" w:eastAsia="Calibri" w:hAnsi="Geomanist Light" w:cs="Arial"/>
          <w:color w:val="000000" w:themeColor="text1"/>
          <w:sz w:val="22"/>
          <w:lang w:val="es-ES_tradnl"/>
        </w:rPr>
        <w:t xml:space="preserve">En relación con </w:t>
      </w:r>
      <w:r w:rsidR="007B0486" w:rsidRPr="006F5980">
        <w:rPr>
          <w:rFonts w:ascii="Geomanist Light" w:eastAsia="Calibri" w:hAnsi="Geomanist Light" w:cs="Arial"/>
          <w:color w:val="000000" w:themeColor="text1"/>
          <w:sz w:val="22"/>
          <w:lang w:val="es-ES_tradnl"/>
        </w:rPr>
        <w:t>la</w:t>
      </w:r>
      <w:r w:rsidR="00C87EC4" w:rsidRPr="006F5980">
        <w:rPr>
          <w:rFonts w:ascii="Geomanist Light" w:eastAsia="Calibri" w:hAnsi="Geomanist Light" w:cs="Arial"/>
          <w:color w:val="000000" w:themeColor="text1"/>
          <w:sz w:val="22"/>
          <w:lang w:val="es-ES_tradnl"/>
        </w:rPr>
        <w:t xml:space="preserve"> segunda</w:t>
      </w:r>
      <w:r w:rsidR="007B0486" w:rsidRPr="006F5980">
        <w:rPr>
          <w:rFonts w:ascii="Geomanist Light" w:eastAsia="Calibri" w:hAnsi="Geomanist Light" w:cs="Arial"/>
          <w:color w:val="000000" w:themeColor="text1"/>
          <w:sz w:val="22"/>
          <w:lang w:val="es-ES_tradnl"/>
        </w:rPr>
        <w:t xml:space="preserve"> inquietud de la consulta, sobre si </w:t>
      </w:r>
      <w:r w:rsidR="00C87EC4" w:rsidRPr="006F5980">
        <w:rPr>
          <w:rFonts w:ascii="Geomanist Light" w:eastAsia="Calibri" w:hAnsi="Geomanist Light" w:cs="Arial"/>
          <w:color w:val="000000" w:themeColor="text1"/>
          <w:sz w:val="22"/>
          <w:lang w:val="es-ES_tradnl"/>
        </w:rPr>
        <w:t>de acuerdo con el</w:t>
      </w:r>
      <w:r w:rsidR="007B0486" w:rsidRPr="006F5980">
        <w:rPr>
          <w:rFonts w:ascii="Geomanist Light" w:eastAsia="Calibri" w:hAnsi="Geomanist Light" w:cs="Arial"/>
          <w:color w:val="000000" w:themeColor="text1"/>
          <w:sz w:val="22"/>
          <w:lang w:val="es-ES_tradnl"/>
        </w:rPr>
        <w:t xml:space="preserve"> numeral 4.1. del Documento Base, </w:t>
      </w:r>
      <w:r w:rsidR="007B0486" w:rsidRPr="006F5980">
        <w:rPr>
          <w:rFonts w:ascii="Geomanist Light" w:eastAsia="Calibri" w:hAnsi="Geomanist Light" w:cs="Arial"/>
          <w:sz w:val="21"/>
          <w:szCs w:val="21"/>
        </w:rPr>
        <w:t>«</w:t>
      </w:r>
      <w:r w:rsidR="007B0486" w:rsidRPr="006F5980">
        <w:rPr>
          <w:rFonts w:ascii="Geomanist Light" w:eastAsia="Calibri" w:hAnsi="Geomanist Light" w:cs="Arial"/>
          <w:color w:val="000000" w:themeColor="text1"/>
          <w:sz w:val="22"/>
          <w:lang w:val="es-ES_tradnl"/>
        </w:rPr>
        <w:t>para calificar este factor se tendrá en cuenta el valor total indicado en la propuesta económica o el obtenido de la corrección aritmética</w:t>
      </w:r>
      <w:r w:rsidR="007B0486" w:rsidRPr="006F5980">
        <w:rPr>
          <w:rFonts w:ascii="Geomanist Light" w:eastAsia="Calibri" w:hAnsi="Geomanist Light" w:cs="Arial"/>
          <w:sz w:val="21"/>
          <w:szCs w:val="21"/>
        </w:rPr>
        <w:t>»</w:t>
      </w:r>
      <w:r w:rsidR="007B0486" w:rsidRPr="006F5980">
        <w:rPr>
          <w:rFonts w:ascii="Geomanist Light" w:eastAsia="Calibri" w:hAnsi="Geomanist Light" w:cs="Arial"/>
          <w:color w:val="000000" w:themeColor="text1"/>
          <w:sz w:val="22"/>
          <w:lang w:val="es-ES_tradnl"/>
        </w:rPr>
        <w:t xml:space="preserve">, se aclara que </w:t>
      </w:r>
      <w:r w:rsidR="00C87EC4" w:rsidRPr="006F5980">
        <w:rPr>
          <w:rFonts w:ascii="Geomanist Light" w:eastAsia="Calibri" w:hAnsi="Geomanist Light" w:cs="Arial"/>
          <w:color w:val="000000" w:themeColor="text1"/>
          <w:sz w:val="22"/>
          <w:lang w:val="es-ES_tradnl"/>
        </w:rPr>
        <w:t xml:space="preserve">el inciso final del numeral </w:t>
      </w:r>
      <w:r w:rsidRPr="006F5980">
        <w:rPr>
          <w:rFonts w:ascii="Geomanist Light" w:eastAsia="Calibri" w:hAnsi="Geomanist Light" w:cs="Arial"/>
          <w:color w:val="000000" w:themeColor="text1"/>
          <w:sz w:val="22"/>
          <w:lang w:val="es-ES_tradnl"/>
        </w:rPr>
        <w:t>4.1.2. del Documento Base</w:t>
      </w:r>
      <w:r w:rsidR="00C87EC4" w:rsidRPr="006F5980">
        <w:rPr>
          <w:rFonts w:ascii="Geomanist Light" w:eastAsia="Calibri" w:hAnsi="Geomanist Light" w:cs="Arial"/>
          <w:color w:val="000000" w:themeColor="text1"/>
          <w:sz w:val="22"/>
          <w:lang w:val="es-ES_tradnl"/>
        </w:rPr>
        <w:t xml:space="preserve"> responde a la inquietud, toda vez que dice que cuando haya lugar a la realización de las correcciones aritméticas, en los términos dispuestos en el pliego, </w:t>
      </w:r>
      <w:r w:rsidR="00C87EC4" w:rsidRPr="006F5980">
        <w:rPr>
          <w:rFonts w:ascii="Geomanist Light" w:eastAsia="Calibri" w:hAnsi="Geomanist Light" w:cs="Arial"/>
          <w:sz w:val="21"/>
          <w:szCs w:val="21"/>
        </w:rPr>
        <w:t>«</w:t>
      </w:r>
      <w:r w:rsidR="00C87EC4" w:rsidRPr="006F5980">
        <w:rPr>
          <w:rFonts w:ascii="Geomanist Light" w:eastAsia="Calibri" w:hAnsi="Geomanist Light" w:cs="Arial"/>
          <w:color w:val="000000" w:themeColor="text1"/>
          <w:sz w:val="22"/>
          <w:lang w:val="es-ES_tradnl"/>
        </w:rPr>
        <w:t>La Entidad a partir del valor total corregido de las propuestas asignará el puntaje de conformidad con el proceso del numeral 4.1.4.</w:t>
      </w:r>
      <w:r w:rsidR="00C87EC4" w:rsidRPr="006F5980">
        <w:rPr>
          <w:rFonts w:ascii="Geomanist Light" w:eastAsia="Calibri" w:hAnsi="Geomanist Light" w:cs="Arial"/>
          <w:sz w:val="21"/>
          <w:szCs w:val="21"/>
        </w:rPr>
        <w:t>»</w:t>
      </w:r>
      <w:r w:rsidR="00C87EC4" w:rsidRPr="006F5980">
        <w:rPr>
          <w:rFonts w:ascii="Geomanist Light" w:eastAsia="Calibri" w:hAnsi="Geomanist Light" w:cs="Arial"/>
          <w:color w:val="000000" w:themeColor="text1"/>
          <w:sz w:val="22"/>
        </w:rPr>
        <w:t xml:space="preserve">. Quiere decir lo anterior, que el valor de la oferta que será tenido en cuenta para la calificación, en caso de que haya habido correcciones aritméticas es el </w:t>
      </w:r>
      <w:r w:rsidR="00C87EC4" w:rsidRPr="006F5980">
        <w:rPr>
          <w:rFonts w:ascii="Geomanist Light" w:eastAsia="Calibri" w:hAnsi="Geomanist Light" w:cs="Arial"/>
          <w:i/>
          <w:iCs/>
          <w:color w:val="000000" w:themeColor="text1"/>
          <w:sz w:val="22"/>
        </w:rPr>
        <w:t xml:space="preserve">valor corregido, </w:t>
      </w:r>
      <w:r w:rsidR="00C87EC4" w:rsidRPr="006F5980">
        <w:rPr>
          <w:rFonts w:ascii="Geomanist Light" w:eastAsia="Calibri" w:hAnsi="Geomanist Light" w:cs="Arial"/>
          <w:color w:val="000000" w:themeColor="text1"/>
          <w:sz w:val="22"/>
        </w:rPr>
        <w:t>y no el valor inicialmente consignado en la propuesta sobre el cual se detectó el error. Es decir, que el numeral 4.1 del Docume</w:t>
      </w:r>
      <w:r w:rsidR="00D30769">
        <w:rPr>
          <w:rFonts w:ascii="Geomanist Light" w:eastAsia="Calibri" w:hAnsi="Geomanist Light" w:cs="Arial"/>
          <w:color w:val="000000" w:themeColor="text1"/>
          <w:sz w:val="22"/>
        </w:rPr>
        <w:t>nt</w:t>
      </w:r>
      <w:r w:rsidR="00C87EC4" w:rsidRPr="006F5980">
        <w:rPr>
          <w:rFonts w:ascii="Geomanist Light" w:eastAsia="Calibri" w:hAnsi="Geomanist Light" w:cs="Arial"/>
          <w:color w:val="000000" w:themeColor="text1"/>
          <w:sz w:val="22"/>
        </w:rPr>
        <w:t xml:space="preserve">o Base no consigna una opción para la entidad contratante para escoger el valor inicial o el valor corregido de la oferta, sino que expresa que la entidad debe acoger uno solo, el ofertado inicialmente si no presente errores </w:t>
      </w:r>
      <w:r w:rsidR="00F90DB5" w:rsidRPr="006F5980">
        <w:rPr>
          <w:rFonts w:ascii="Geomanist Light" w:eastAsia="Calibri" w:hAnsi="Geomanist Light" w:cs="Arial"/>
          <w:color w:val="000000" w:themeColor="text1"/>
          <w:sz w:val="22"/>
        </w:rPr>
        <w:t>aritméticos</w:t>
      </w:r>
      <w:r w:rsidR="00C87EC4" w:rsidRPr="006F5980">
        <w:rPr>
          <w:rFonts w:ascii="Geomanist Light" w:eastAsia="Calibri" w:hAnsi="Geomanist Light" w:cs="Arial"/>
          <w:color w:val="000000" w:themeColor="text1"/>
          <w:sz w:val="22"/>
        </w:rPr>
        <w:t xml:space="preserve"> o el valor corregido si éstos fueron detectados y corregidos de oficio por la entidad contratante, según las reglas preestablecidas en el pliego. </w:t>
      </w:r>
      <w:r w:rsidR="00C87EC4" w:rsidRPr="006F5980">
        <w:rPr>
          <w:rFonts w:ascii="Geomanist Light" w:eastAsia="Calibri" w:hAnsi="Geomanist Light" w:cs="Arial"/>
          <w:i/>
          <w:iCs/>
          <w:color w:val="000000" w:themeColor="text1"/>
          <w:sz w:val="22"/>
        </w:rPr>
        <w:t xml:space="preserve"> </w:t>
      </w:r>
      <w:r w:rsidR="00C87EC4" w:rsidRPr="006F5980">
        <w:rPr>
          <w:rFonts w:ascii="Geomanist Light" w:eastAsia="Calibri" w:hAnsi="Geomanist Light" w:cs="Arial"/>
          <w:color w:val="000000" w:themeColor="text1"/>
          <w:sz w:val="22"/>
        </w:rPr>
        <w:t xml:space="preserve"> </w:t>
      </w:r>
    </w:p>
    <w:p w14:paraId="7DDEBDD2" w14:textId="77777777" w:rsidR="00F835D8" w:rsidRPr="00EC1AD6" w:rsidRDefault="00F835D8" w:rsidP="00013A51">
      <w:pPr>
        <w:widowControl w:val="0"/>
        <w:autoSpaceDE w:val="0"/>
        <w:autoSpaceDN w:val="0"/>
        <w:spacing w:line="276" w:lineRule="auto"/>
        <w:ind w:firstLine="709"/>
        <w:jc w:val="both"/>
        <w:rPr>
          <w:rFonts w:ascii="Geomanist Light" w:eastAsia="Calibri" w:hAnsi="Geomanist Light" w:cs="Arial"/>
          <w:sz w:val="22"/>
        </w:rPr>
      </w:pPr>
    </w:p>
    <w:p w14:paraId="44E20D10" w14:textId="4C85BFE5" w:rsidR="007C2EF0" w:rsidRPr="006F5980" w:rsidRDefault="007C2EF0" w:rsidP="00767D99">
      <w:pPr>
        <w:spacing w:line="276" w:lineRule="auto"/>
        <w:jc w:val="both"/>
        <w:rPr>
          <w:rFonts w:ascii="Geomanist Light" w:eastAsia="Calibri" w:hAnsi="Geomanist Light" w:cs="Arial"/>
          <w:b/>
          <w:sz w:val="22"/>
        </w:rPr>
      </w:pPr>
      <w:r w:rsidRPr="006F5980">
        <w:rPr>
          <w:rFonts w:ascii="Geomanist Light" w:eastAsia="Calibri" w:hAnsi="Geomanist Light" w:cs="Arial"/>
          <w:b/>
          <w:sz w:val="22"/>
        </w:rPr>
        <w:t>3. Respuesta</w:t>
      </w:r>
    </w:p>
    <w:p w14:paraId="2F1BFB33" w14:textId="19B6DD5A" w:rsidR="007C2EF0" w:rsidRPr="00EC1AD6" w:rsidRDefault="007C2EF0" w:rsidP="00802EB9">
      <w:pPr>
        <w:jc w:val="both"/>
        <w:rPr>
          <w:rFonts w:ascii="Geomanist Light" w:eastAsia="Calibri" w:hAnsi="Geomanist Light" w:cs="Arial"/>
          <w:b/>
          <w:sz w:val="22"/>
        </w:rPr>
      </w:pPr>
    </w:p>
    <w:p w14:paraId="7840343D" w14:textId="3E35C74A" w:rsidR="00AE7F59" w:rsidRPr="00EC1AD6" w:rsidRDefault="00FF588E" w:rsidP="00525253">
      <w:pPr>
        <w:ind w:left="709" w:right="709"/>
        <w:jc w:val="both"/>
        <w:rPr>
          <w:rFonts w:ascii="Geomanist Light" w:eastAsia="Arial" w:hAnsi="Geomanist Light" w:cs="Arial"/>
          <w:color w:val="000000" w:themeColor="text1"/>
          <w:sz w:val="21"/>
          <w:szCs w:val="21"/>
          <w:lang w:val="es-ES_tradnl"/>
        </w:rPr>
      </w:pPr>
      <w:r w:rsidRPr="006F5980">
        <w:rPr>
          <w:rFonts w:ascii="Geomanist Light" w:eastAsia="Calibri" w:hAnsi="Geomanist Light" w:cs="Arial"/>
          <w:sz w:val="21"/>
          <w:szCs w:val="21"/>
        </w:rPr>
        <w:t>«</w:t>
      </w:r>
      <w:r w:rsidR="00D85DDD" w:rsidRPr="006F5980">
        <w:rPr>
          <w:rFonts w:ascii="Geomanist Light" w:eastAsia="Calibri" w:hAnsi="Geomanist Light" w:cs="Arial"/>
          <w:sz w:val="21"/>
          <w:szCs w:val="21"/>
        </w:rPr>
        <w:t xml:space="preserve">[…] me permito consultarle si esto último, que indica que debe estar firmada la oferta, sería causal de rechazo en caso de que no lo estuviera al aperturar el sobre económico en SECOP II, pues no está estipulada dentro de las causales pero el pliego si indica que debe ser firmada. Así mismo, solicito aclaración en cuanto a la calificación de este factor, pues allí mismo indica que se tendrá en cuenta el valor total indicado en la propuesta económica o el obtenido de la corrección aritmética, lo que dejaría la posibilidad de tomar cualquiera de los dos[…]» </w:t>
      </w:r>
    </w:p>
    <w:p w14:paraId="578566A0" w14:textId="77777777" w:rsidR="00FF588E" w:rsidRPr="00EC1AD6" w:rsidRDefault="00FF588E" w:rsidP="00525253">
      <w:pPr>
        <w:ind w:left="709" w:right="709"/>
        <w:jc w:val="both"/>
        <w:rPr>
          <w:rFonts w:ascii="Geomanist Light" w:eastAsia="Calibri" w:hAnsi="Geomanist Light" w:cs="Arial"/>
          <w:color w:val="000000"/>
          <w:sz w:val="21"/>
          <w:szCs w:val="21"/>
        </w:rPr>
      </w:pPr>
    </w:p>
    <w:p w14:paraId="3F8358EA" w14:textId="77777777" w:rsidR="009440DE" w:rsidRPr="00D30769" w:rsidRDefault="00D85DDD" w:rsidP="00EC1AD6">
      <w:pPr>
        <w:tabs>
          <w:tab w:val="left" w:pos="709"/>
          <w:tab w:val="left" w:pos="851"/>
        </w:tabs>
        <w:spacing w:after="120" w:line="276" w:lineRule="auto"/>
        <w:jc w:val="both"/>
        <w:rPr>
          <w:rFonts w:ascii="Geomanist Light" w:eastAsia="Arial" w:hAnsi="Geomanist Light" w:cs="Arial"/>
          <w:sz w:val="22"/>
          <w:lang w:val="es-ES" w:eastAsia="es-ES" w:bidi="es-ES"/>
        </w:rPr>
      </w:pPr>
      <w:r w:rsidRPr="00D30769">
        <w:rPr>
          <w:rFonts w:ascii="Geomanist Light" w:eastAsia="Arial" w:hAnsi="Geomanist Light" w:cs="Arial"/>
          <w:sz w:val="22"/>
          <w:lang w:val="es-ES" w:eastAsia="es-ES" w:bidi="es-ES"/>
        </w:rPr>
        <w:t xml:space="preserve">Según se desprende de las reglas del numeral 2.3. del Documento Base, tratándose de los procesos de contratación realizados a través del SECOP II, la propuesta económica debe presentarse haciendo uso del cuestionario destinado para ello en la plataforma. Este cuestionario se debe diligenciar a través de la lista de precios, previamente configurada por la Entidad Estatal y anexando, en caso de que así sea solicitado, las evidencias documentales de la misma – ya sea el Formulario 1 u otro documento–. Esto significa que en estos procesos el valor de la oferta económica debe ser diligenciado en el referido cuestionario, al ser este </w:t>
      </w:r>
      <w:r w:rsidRPr="00D30769">
        <w:rPr>
          <w:rFonts w:ascii="Geomanist Light" w:eastAsia="Arial" w:hAnsi="Geomanist Light" w:cs="Arial"/>
          <w:sz w:val="22"/>
          <w:lang w:val="es-ES" w:eastAsia="es-ES" w:bidi="es-ES"/>
        </w:rPr>
        <w:lastRenderedPageBreak/>
        <w:t>el medio destinado para la presentación de la oferta económica al interior de la plataforma, sin que se requiera la presentación de un documento físico firmado y sin perjuicio de que la Entidad Estatal solicite anexar el soporte documental de la información incluida en el cuestionario de lista de precios.</w:t>
      </w:r>
      <w:r w:rsidR="009440DE" w:rsidRPr="00D30769">
        <w:rPr>
          <w:rFonts w:ascii="Geomanist Light" w:eastAsia="Arial" w:hAnsi="Geomanist Light" w:cs="Arial"/>
          <w:sz w:val="22"/>
          <w:lang w:val="es-ES" w:eastAsia="es-ES" w:bidi="es-ES"/>
        </w:rPr>
        <w:t xml:space="preserve"> </w:t>
      </w:r>
      <w:r w:rsidRPr="00D30769">
        <w:rPr>
          <w:rFonts w:ascii="Geomanist Light" w:eastAsia="Arial" w:hAnsi="Geomanist Light" w:cs="Arial"/>
          <w:sz w:val="22"/>
          <w:lang w:val="es-ES" w:eastAsia="es-ES" w:bidi="es-ES"/>
        </w:rPr>
        <w:t xml:space="preserve">En ese sentido, en este tipo de procedimientos no se requiere que se presente oferta económica firmada en sobre físico –comoquiera que la conformación del sobre se hace de manera electrónica a partir de la información diligenciada en el cuestionario de lista de precios–. Este requisito sólo es exigible si el procedimiento se realiza a través del SECOP I. </w:t>
      </w:r>
    </w:p>
    <w:p w14:paraId="5A944BAE" w14:textId="35F05AAB" w:rsidR="009440DE" w:rsidRPr="006F5980" w:rsidRDefault="009440DE" w:rsidP="000F13A2">
      <w:pPr>
        <w:tabs>
          <w:tab w:val="left" w:pos="709"/>
          <w:tab w:val="left" w:pos="851"/>
        </w:tabs>
        <w:spacing w:after="120" w:line="276" w:lineRule="auto"/>
        <w:ind w:firstLine="709"/>
        <w:jc w:val="both"/>
        <w:rPr>
          <w:rStyle w:val="normaltextrun"/>
          <w:rFonts w:ascii="Geomanist Light" w:eastAsia="Arial" w:hAnsi="Geomanist Light" w:cs="Arial"/>
          <w:sz w:val="22"/>
          <w:lang w:val="es-ES" w:eastAsia="es-ES" w:bidi="es-ES"/>
        </w:rPr>
      </w:pPr>
      <w:r w:rsidRPr="006F5980">
        <w:rPr>
          <w:rFonts w:ascii="Geomanist Light" w:eastAsia="Calibri" w:hAnsi="Geomanist Light" w:cs="Arial"/>
          <w:sz w:val="22"/>
          <w:lang w:val="es-ES" w:eastAsia="es-ES" w:bidi="es-ES"/>
        </w:rPr>
        <w:t>De otra parte, se ha previsto la causal del literal J del numeral 1.15 del Documento Base que sólo opera cuando el procedimiento se realice mediante el SECOP I y que sanciona con el rechazo de la oferta: «Que la propuesta económica no se aporte firmada</w:t>
      </w:r>
      <w:r w:rsidRPr="006F5980">
        <w:rPr>
          <w:rFonts w:ascii="Geomanist Light" w:eastAsia="Calibri" w:hAnsi="Geomanist Light" w:cs="Arial"/>
          <w:i/>
          <w:iCs/>
          <w:sz w:val="22"/>
          <w:lang w:val="es-ES" w:eastAsia="es-ES" w:bidi="es-ES"/>
        </w:rPr>
        <w:t>.</w:t>
      </w:r>
      <w:r w:rsidRPr="006F5980">
        <w:rPr>
          <w:rFonts w:ascii="Geomanist Light" w:eastAsia="Calibri" w:hAnsi="Geomanist Light" w:cs="Arial"/>
          <w:sz w:val="22"/>
          <w:lang w:val="es-ES" w:eastAsia="es-ES" w:bidi="es-ES"/>
        </w:rPr>
        <w:t xml:space="preserve">». No obstante, esta causal sólo opera cuando la propuesta económica se deba presentar en físico y se utilice el SECOP I con fines de publicidad. Es por eso </w:t>
      </w:r>
      <w:proofErr w:type="gramStart"/>
      <w:r w:rsidRPr="006F5980">
        <w:rPr>
          <w:rFonts w:ascii="Geomanist Light" w:eastAsia="Calibri" w:hAnsi="Geomanist Light" w:cs="Arial"/>
          <w:sz w:val="22"/>
          <w:lang w:val="es-ES" w:eastAsia="es-ES" w:bidi="es-ES"/>
        </w:rPr>
        <w:t>que</w:t>
      </w:r>
      <w:proofErr w:type="gramEnd"/>
      <w:r w:rsidRPr="006F5980">
        <w:rPr>
          <w:rFonts w:ascii="Geomanist Light" w:eastAsia="Calibri" w:hAnsi="Geomanist Light" w:cs="Arial"/>
          <w:sz w:val="22"/>
          <w:lang w:val="es-ES" w:eastAsia="es-ES" w:bidi="es-ES"/>
        </w:rPr>
        <w:t xml:space="preserve"> el literal J tiene consignada una condición de uso para las entidades contratantes, con la siguiente nota aclaratoria o instrucción en el párrafo entre corchetes con el siguiente texto: «</w:t>
      </w:r>
      <w:r w:rsidRPr="00EC1AD6">
        <w:rPr>
          <w:rStyle w:val="normaltextrun"/>
          <w:rFonts w:ascii="Geomanist Light" w:hAnsi="Geomanist Light" w:cs="Arial"/>
          <w:color w:val="000000"/>
          <w:sz w:val="20"/>
          <w:szCs w:val="20"/>
          <w:shd w:val="clear" w:color="auto" w:fill="C0C0C0"/>
        </w:rPr>
        <w:t>[Incluir esta causal cuando las ofertas se presente en el SECOP I]</w:t>
      </w:r>
      <w:r w:rsidRPr="006F5980">
        <w:rPr>
          <w:rFonts w:ascii="Geomanist Light" w:eastAsia="Calibri" w:hAnsi="Geomanist Light" w:cs="Arial"/>
          <w:sz w:val="22"/>
          <w:lang w:val="es-ES" w:eastAsia="es-ES" w:bidi="es-ES"/>
        </w:rPr>
        <w:t>»</w:t>
      </w:r>
      <w:r w:rsidRPr="00EC1AD6">
        <w:rPr>
          <w:rStyle w:val="normaltextrun"/>
          <w:rFonts w:ascii="Geomanist Light" w:hAnsi="Geomanist Light" w:cs="Arial"/>
          <w:color w:val="000000"/>
          <w:sz w:val="20"/>
          <w:szCs w:val="20"/>
          <w:shd w:val="clear" w:color="auto" w:fill="FFFFFF"/>
        </w:rPr>
        <w:t xml:space="preserve">. </w:t>
      </w:r>
    </w:p>
    <w:p w14:paraId="6F0C6BD4" w14:textId="421FA39C" w:rsidR="00D85DDD" w:rsidRPr="006F5980" w:rsidRDefault="009440DE" w:rsidP="00EC1AD6">
      <w:pPr>
        <w:widowControl w:val="0"/>
        <w:autoSpaceDE w:val="0"/>
        <w:autoSpaceDN w:val="0"/>
        <w:spacing w:before="120" w:after="120" w:line="276" w:lineRule="auto"/>
        <w:ind w:firstLine="709"/>
        <w:jc w:val="both"/>
        <w:rPr>
          <w:rFonts w:ascii="Geomanist Light" w:hAnsi="Geomanist Light"/>
          <w:sz w:val="22"/>
        </w:rPr>
      </w:pPr>
      <w:r w:rsidRPr="00EC1AD6">
        <w:rPr>
          <w:rStyle w:val="normaltextrun"/>
          <w:rFonts w:ascii="Geomanist Light" w:hAnsi="Geomanist Light" w:cs="Arial"/>
          <w:color w:val="000000"/>
          <w:sz w:val="22"/>
          <w:shd w:val="clear" w:color="auto" w:fill="FFFFFF"/>
        </w:rPr>
        <w:t xml:space="preserve">En consecuencia, como </w:t>
      </w:r>
      <w:r w:rsidRPr="00D30769">
        <w:rPr>
          <w:rFonts w:ascii="Geomanist Light" w:eastAsia="Arial" w:hAnsi="Geomanist Light" w:cs="Arial"/>
          <w:sz w:val="22"/>
          <w:lang w:val="es-ES" w:eastAsia="es-ES" w:bidi="es-ES"/>
        </w:rPr>
        <w:t xml:space="preserve">la oferta económica, </w:t>
      </w:r>
      <w:r w:rsidRPr="00D30769">
        <w:rPr>
          <w:rFonts w:ascii="Geomanist Light" w:hAnsi="Geomanist Light"/>
          <w:sz w:val="22"/>
        </w:rPr>
        <w:t>para los procesos que deban adelantarse a través del SECOP II, se presenta con base</w:t>
      </w:r>
      <w:r w:rsidRPr="006F5980">
        <w:rPr>
          <w:rFonts w:ascii="Geomanist Light" w:hAnsi="Geomanist Light"/>
          <w:sz w:val="22"/>
        </w:rPr>
        <w:t xml:space="preserve"> en el literal A del numeral 2.3.2 del Documento Base que indica: «[Para los procesos en SECOP II, el Sobre 2 debe presentarse en el cuestionario destinado para ello en el Módulo de “Licitación de Obra Pública” y no podrá ser entregado en físico]</w:t>
      </w:r>
      <w:r w:rsidR="000F13A2" w:rsidRPr="006F5980">
        <w:rPr>
          <w:rFonts w:ascii="Geomanist Light" w:hAnsi="Geomanist Light"/>
          <w:sz w:val="22"/>
        </w:rPr>
        <w:t>»; en</w:t>
      </w:r>
      <w:r w:rsidRPr="006F5980">
        <w:rPr>
          <w:rFonts w:ascii="Geomanist Light" w:hAnsi="Geomanist Light"/>
          <w:sz w:val="22"/>
        </w:rPr>
        <w:t xml:space="preserve"> este evento no se aplica la referida causal, tal y como lo dice expresamente su nota aclaratoria. </w:t>
      </w:r>
    </w:p>
    <w:p w14:paraId="76A2C9C6" w14:textId="3BA619AB" w:rsidR="00C87EC4" w:rsidRPr="006F5980" w:rsidRDefault="00C87EC4" w:rsidP="00EC1AD6">
      <w:pPr>
        <w:spacing w:before="120" w:after="120" w:line="276" w:lineRule="auto"/>
        <w:ind w:firstLine="709"/>
        <w:jc w:val="both"/>
        <w:rPr>
          <w:rFonts w:ascii="Geomanist Light" w:eastAsia="Calibri" w:hAnsi="Geomanist Light" w:cs="Arial"/>
          <w:color w:val="000000" w:themeColor="text1"/>
          <w:sz w:val="22"/>
          <w:lang w:val="es-ES_tradnl"/>
        </w:rPr>
      </w:pPr>
      <w:r w:rsidRPr="006F5980">
        <w:rPr>
          <w:rFonts w:ascii="Geomanist Light" w:eastAsia="Calibri" w:hAnsi="Geomanist Light" w:cs="Arial"/>
          <w:color w:val="000000" w:themeColor="text1"/>
          <w:sz w:val="22"/>
          <w:lang w:val="es-ES_tradnl"/>
        </w:rPr>
        <w:t xml:space="preserve">En relación con la segunda inquietud de la consulta, sobre si de acuerdo con el numeral 4.1. del Documento Base, </w:t>
      </w:r>
      <w:r w:rsidRPr="006F5980">
        <w:rPr>
          <w:rFonts w:ascii="Geomanist Light" w:eastAsia="Calibri" w:hAnsi="Geomanist Light" w:cs="Arial"/>
          <w:sz w:val="21"/>
          <w:szCs w:val="21"/>
        </w:rPr>
        <w:t>«</w:t>
      </w:r>
      <w:r w:rsidRPr="006F5980">
        <w:rPr>
          <w:rFonts w:ascii="Geomanist Light" w:eastAsia="Calibri" w:hAnsi="Geomanist Light" w:cs="Arial"/>
          <w:color w:val="000000" w:themeColor="text1"/>
          <w:sz w:val="22"/>
          <w:lang w:val="es-ES_tradnl"/>
        </w:rPr>
        <w:t>para calificar este factor se tendrá en cuenta el valor total indicado en la propuesta económica o el obtenido de la corrección aritmética</w:t>
      </w:r>
      <w:r w:rsidRPr="006F5980">
        <w:rPr>
          <w:rFonts w:ascii="Geomanist Light" w:eastAsia="Calibri" w:hAnsi="Geomanist Light" w:cs="Arial"/>
          <w:sz w:val="21"/>
          <w:szCs w:val="21"/>
        </w:rPr>
        <w:t>»</w:t>
      </w:r>
      <w:r w:rsidRPr="006F5980">
        <w:rPr>
          <w:rFonts w:ascii="Geomanist Light" w:eastAsia="Calibri" w:hAnsi="Geomanist Light" w:cs="Arial"/>
          <w:color w:val="000000" w:themeColor="text1"/>
          <w:sz w:val="22"/>
          <w:lang w:val="es-ES_tradnl"/>
        </w:rPr>
        <w:t xml:space="preserve">, se aclara que el inciso final del numeral 4.1.2. del Documento Base responde a la inquietud, toda vez que dice que cuando haya lugar a la realización de las correcciones aritméticas, en los términos dispuestos en el pliego, </w:t>
      </w:r>
      <w:r w:rsidRPr="006F5980">
        <w:rPr>
          <w:rFonts w:ascii="Geomanist Light" w:eastAsia="Calibri" w:hAnsi="Geomanist Light" w:cs="Arial"/>
          <w:sz w:val="21"/>
          <w:szCs w:val="21"/>
        </w:rPr>
        <w:t>«</w:t>
      </w:r>
      <w:r w:rsidRPr="006F5980">
        <w:rPr>
          <w:rFonts w:ascii="Geomanist Light" w:eastAsia="Calibri" w:hAnsi="Geomanist Light" w:cs="Arial"/>
          <w:color w:val="000000" w:themeColor="text1"/>
          <w:sz w:val="22"/>
          <w:lang w:val="es-ES_tradnl"/>
        </w:rPr>
        <w:t>La Entidad a partir del valor total corregido de las propuestas asignará el puntaje de conformidad con el proceso del numeral 4.1.4.</w:t>
      </w:r>
      <w:r w:rsidRPr="006F5980">
        <w:rPr>
          <w:rFonts w:ascii="Geomanist Light" w:eastAsia="Calibri" w:hAnsi="Geomanist Light" w:cs="Arial"/>
          <w:sz w:val="21"/>
          <w:szCs w:val="21"/>
        </w:rPr>
        <w:t>»</w:t>
      </w:r>
      <w:r w:rsidRPr="006F5980">
        <w:rPr>
          <w:rFonts w:ascii="Geomanist Light" w:eastAsia="Calibri" w:hAnsi="Geomanist Light" w:cs="Arial"/>
          <w:color w:val="000000" w:themeColor="text1"/>
          <w:sz w:val="22"/>
        </w:rPr>
        <w:t xml:space="preserve">. Quiere decir lo anterior, que el valor de la oferta que será tenido en cuenta para la calificación, en caso de que haya habido correcciones aritméticas es el </w:t>
      </w:r>
      <w:r w:rsidRPr="006F5980">
        <w:rPr>
          <w:rFonts w:ascii="Geomanist Light" w:eastAsia="Calibri" w:hAnsi="Geomanist Light" w:cs="Arial"/>
          <w:i/>
          <w:iCs/>
          <w:color w:val="000000" w:themeColor="text1"/>
          <w:sz w:val="22"/>
        </w:rPr>
        <w:t xml:space="preserve">valor corregido, </w:t>
      </w:r>
      <w:r w:rsidRPr="006F5980">
        <w:rPr>
          <w:rFonts w:ascii="Geomanist Light" w:eastAsia="Calibri" w:hAnsi="Geomanist Light" w:cs="Arial"/>
          <w:color w:val="000000" w:themeColor="text1"/>
          <w:sz w:val="22"/>
        </w:rPr>
        <w:t>y no el valor inicialmente consignado en la propuesta sobre el cual se detectó el error. Es decir, que el numeral 4.1 del Docume</w:t>
      </w:r>
      <w:r w:rsidR="00F52504">
        <w:rPr>
          <w:rFonts w:ascii="Geomanist Light" w:eastAsia="Calibri" w:hAnsi="Geomanist Light" w:cs="Arial"/>
          <w:color w:val="000000" w:themeColor="text1"/>
          <w:sz w:val="22"/>
        </w:rPr>
        <w:t>nt</w:t>
      </w:r>
      <w:r w:rsidRPr="006F5980">
        <w:rPr>
          <w:rFonts w:ascii="Geomanist Light" w:eastAsia="Calibri" w:hAnsi="Geomanist Light" w:cs="Arial"/>
          <w:color w:val="000000" w:themeColor="text1"/>
          <w:sz w:val="22"/>
        </w:rPr>
        <w:t xml:space="preserve">o Base no consigna una opción para la entidad contratante para escoger el valor inicial o el valor corregido de la oferta, sino que expresa que la entidad debe acoger uno solo, el ofertado inicialmente si no presente errores </w:t>
      </w:r>
      <w:r w:rsidR="000F13A2" w:rsidRPr="006F5980">
        <w:rPr>
          <w:rFonts w:ascii="Geomanist Light" w:eastAsia="Calibri" w:hAnsi="Geomanist Light" w:cs="Arial"/>
          <w:color w:val="000000" w:themeColor="text1"/>
          <w:sz w:val="22"/>
        </w:rPr>
        <w:t>aritméticos</w:t>
      </w:r>
      <w:r w:rsidRPr="006F5980">
        <w:rPr>
          <w:rFonts w:ascii="Geomanist Light" w:eastAsia="Calibri" w:hAnsi="Geomanist Light" w:cs="Arial"/>
          <w:color w:val="000000" w:themeColor="text1"/>
          <w:sz w:val="22"/>
        </w:rPr>
        <w:t xml:space="preserve"> o el valor </w:t>
      </w:r>
      <w:r w:rsidRPr="006F5980">
        <w:rPr>
          <w:rFonts w:ascii="Geomanist Light" w:eastAsia="Calibri" w:hAnsi="Geomanist Light" w:cs="Arial"/>
          <w:color w:val="000000" w:themeColor="text1"/>
          <w:sz w:val="22"/>
        </w:rPr>
        <w:lastRenderedPageBreak/>
        <w:t xml:space="preserve">corregido si éstos fueron detectados y corregidos de oficio por la entidad contratante, según las reglas preestablecidas en el pliego. </w:t>
      </w:r>
      <w:r w:rsidRPr="006F5980">
        <w:rPr>
          <w:rFonts w:ascii="Geomanist Light" w:eastAsia="Calibri" w:hAnsi="Geomanist Light" w:cs="Arial"/>
          <w:i/>
          <w:iCs/>
          <w:color w:val="000000" w:themeColor="text1"/>
          <w:sz w:val="22"/>
        </w:rPr>
        <w:t xml:space="preserve"> </w:t>
      </w:r>
      <w:r w:rsidRPr="006F5980">
        <w:rPr>
          <w:rFonts w:ascii="Geomanist Light" w:eastAsia="Calibri" w:hAnsi="Geomanist Light" w:cs="Arial"/>
          <w:color w:val="000000" w:themeColor="text1"/>
          <w:sz w:val="22"/>
        </w:rPr>
        <w:t xml:space="preserve"> </w:t>
      </w:r>
    </w:p>
    <w:p w14:paraId="5033527B" w14:textId="77777777" w:rsidR="00D85DDD" w:rsidRPr="006F5980" w:rsidRDefault="00D85DDD" w:rsidP="00AE74B3">
      <w:pPr>
        <w:spacing w:after="120" w:line="276" w:lineRule="auto"/>
        <w:jc w:val="both"/>
        <w:rPr>
          <w:rFonts w:ascii="Geomanist Light" w:eastAsia="Calibri" w:hAnsi="Geomanist Light" w:cs="Arial"/>
          <w:sz w:val="22"/>
          <w:lang w:val="es-ES"/>
        </w:rPr>
      </w:pPr>
    </w:p>
    <w:p w14:paraId="1A44042C" w14:textId="1DDA7E69" w:rsidR="006A01DD" w:rsidRPr="006F5980" w:rsidRDefault="006A01DD" w:rsidP="00802EB9">
      <w:pPr>
        <w:spacing w:line="276" w:lineRule="auto"/>
        <w:jc w:val="both"/>
        <w:rPr>
          <w:rFonts w:ascii="Geomanist Light" w:eastAsia="Calibri" w:hAnsi="Geomanist Light" w:cs="Arial"/>
          <w:sz w:val="22"/>
        </w:rPr>
      </w:pPr>
      <w:r w:rsidRPr="006F5980">
        <w:rPr>
          <w:rFonts w:ascii="Geomanist Light" w:eastAsia="Calibri" w:hAnsi="Geomanist Light" w:cs="Arial"/>
          <w:sz w:val="22"/>
        </w:rPr>
        <w:t>Este concepto tiene el alcance previsto en el artículo 28 del Código de Procedimiento Administrativo y de lo Contencioso Administrativo.</w:t>
      </w:r>
    </w:p>
    <w:p w14:paraId="7E30323E" w14:textId="1A047E65" w:rsidR="00F942DB" w:rsidRPr="006F5980" w:rsidRDefault="00F942DB" w:rsidP="00802EB9">
      <w:pPr>
        <w:spacing w:line="276" w:lineRule="auto"/>
        <w:jc w:val="both"/>
        <w:rPr>
          <w:rFonts w:ascii="Geomanist Light" w:eastAsia="Calibri" w:hAnsi="Geomanist Light" w:cs="Arial"/>
          <w:sz w:val="22"/>
        </w:rPr>
      </w:pPr>
    </w:p>
    <w:p w14:paraId="24727D66" w14:textId="60561517" w:rsidR="000E496F" w:rsidRPr="006F5980" w:rsidRDefault="006A01DD" w:rsidP="006A01DD">
      <w:pPr>
        <w:pStyle w:val="NormalWeb"/>
        <w:spacing w:before="0" w:beforeAutospacing="0" w:after="0" w:afterAutospacing="0" w:line="276" w:lineRule="auto"/>
        <w:jc w:val="both"/>
        <w:rPr>
          <w:rFonts w:ascii="Geomanist Light" w:eastAsia="Calibri" w:hAnsi="Geomanist Light" w:cs="Arial"/>
          <w:sz w:val="22"/>
          <w:szCs w:val="22"/>
          <w:lang w:val="es-MX" w:eastAsia="en-US"/>
        </w:rPr>
      </w:pPr>
      <w:r w:rsidRPr="006F5980">
        <w:rPr>
          <w:rFonts w:ascii="Geomanist Light" w:eastAsia="Calibri" w:hAnsi="Geomanist Light" w:cs="Arial"/>
          <w:sz w:val="22"/>
          <w:szCs w:val="22"/>
          <w:lang w:val="es-MX" w:eastAsia="en-US"/>
        </w:rPr>
        <w:t>Atentamente,</w:t>
      </w:r>
    </w:p>
    <w:p w14:paraId="4F965006" w14:textId="66854428" w:rsidR="0066112F" w:rsidRPr="00EC1AD6" w:rsidRDefault="004359A4" w:rsidP="0066112F">
      <w:pPr>
        <w:spacing w:line="276" w:lineRule="auto"/>
        <w:jc w:val="center"/>
        <w:rPr>
          <w:rFonts w:ascii="Geomanist Light" w:eastAsia="Times New Roman" w:hAnsi="Geomanist Light" w:cs="Arial"/>
          <w:sz w:val="22"/>
          <w:lang w:val="es-CO" w:eastAsia="es-CO"/>
        </w:rPr>
      </w:pPr>
      <w:r>
        <w:rPr>
          <w:noProof/>
        </w:rPr>
        <w:drawing>
          <wp:inline distT="0" distB="0" distL="0" distR="0" wp14:anchorId="2194A2DA" wp14:editId="5E38436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488D124" w14:textId="77777777" w:rsidR="0066112F" w:rsidRPr="00EC1AD6" w:rsidRDefault="0066112F" w:rsidP="0066112F">
      <w:pPr>
        <w:spacing w:line="276" w:lineRule="auto"/>
        <w:jc w:val="center"/>
        <w:rPr>
          <w:rFonts w:ascii="Geomanist Light" w:eastAsia="Times New Roman" w:hAnsi="Geomanist Light" w:cs="Arial"/>
          <w:sz w:val="22"/>
          <w:lang w:val="es-CO"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66112F" w:rsidRPr="006F5980" w14:paraId="0E44C465" w14:textId="77777777" w:rsidTr="00476D3F">
        <w:trPr>
          <w:trHeight w:val="291"/>
        </w:trPr>
        <w:tc>
          <w:tcPr>
            <w:tcW w:w="1266" w:type="dxa"/>
            <w:vAlign w:val="center"/>
            <w:hideMark/>
          </w:tcPr>
          <w:p w14:paraId="1FCC3F8D"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Elaboró:</w:t>
            </w:r>
          </w:p>
        </w:tc>
        <w:tc>
          <w:tcPr>
            <w:tcW w:w="5276" w:type="dxa"/>
            <w:tcBorders>
              <w:top w:val="nil"/>
              <w:left w:val="nil"/>
              <w:bottom w:val="dotted" w:sz="4" w:space="0" w:color="7F7F7F"/>
              <w:right w:val="nil"/>
            </w:tcBorders>
            <w:vAlign w:val="center"/>
            <w:hideMark/>
          </w:tcPr>
          <w:p w14:paraId="79AEC628"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Felipe Bastidas Paredes</w:t>
            </w:r>
          </w:p>
          <w:p w14:paraId="40F4E6BD"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Contratista de la Subdirección de Gestión Contractual</w:t>
            </w:r>
          </w:p>
        </w:tc>
      </w:tr>
      <w:tr w:rsidR="0066112F" w:rsidRPr="006F5980" w14:paraId="686BFDC6" w14:textId="77777777" w:rsidTr="00476D3F">
        <w:trPr>
          <w:trHeight w:val="304"/>
        </w:trPr>
        <w:tc>
          <w:tcPr>
            <w:tcW w:w="1266" w:type="dxa"/>
            <w:vAlign w:val="center"/>
          </w:tcPr>
          <w:p w14:paraId="7F2F0119"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Revisó:</w:t>
            </w:r>
          </w:p>
        </w:tc>
        <w:tc>
          <w:tcPr>
            <w:tcW w:w="5276" w:type="dxa"/>
            <w:tcBorders>
              <w:top w:val="dotted" w:sz="4" w:space="0" w:color="7F7F7F"/>
              <w:left w:val="nil"/>
              <w:bottom w:val="dotted" w:sz="4" w:space="0" w:color="7F7F7F"/>
              <w:right w:val="nil"/>
            </w:tcBorders>
            <w:vAlign w:val="center"/>
          </w:tcPr>
          <w:p w14:paraId="494A14F1" w14:textId="2B401D24"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Nina</w:t>
            </w:r>
            <w:r w:rsidR="005369F6" w:rsidRPr="00EC1AD6">
              <w:rPr>
                <w:rFonts w:ascii="Geomanist Light" w:eastAsia="Times New Roman" w:hAnsi="Geomanist Light" w:cs="Arial"/>
                <w:sz w:val="16"/>
                <w:szCs w:val="16"/>
                <w:lang w:val="es-CO" w:eastAsia="es-ES"/>
              </w:rPr>
              <w:t xml:space="preserve"> María Padrón</w:t>
            </w:r>
            <w:r w:rsidR="00F52504">
              <w:rPr>
                <w:rFonts w:ascii="Geomanist Light" w:eastAsia="Times New Roman" w:hAnsi="Geomanist Light" w:cs="Arial"/>
                <w:sz w:val="16"/>
                <w:szCs w:val="16"/>
                <w:lang w:val="es-CO" w:eastAsia="es-ES"/>
              </w:rPr>
              <w:t xml:space="preserve"> Ballestas</w:t>
            </w:r>
          </w:p>
          <w:p w14:paraId="3A123AF1" w14:textId="5EBF1358" w:rsidR="0066112F" w:rsidRPr="00EC1AD6" w:rsidRDefault="005369F6"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 xml:space="preserve">Contratista </w:t>
            </w:r>
            <w:r w:rsidR="0066112F" w:rsidRPr="00EC1AD6">
              <w:rPr>
                <w:rFonts w:ascii="Geomanist Light" w:eastAsia="Times New Roman" w:hAnsi="Geomanist Light" w:cs="Arial"/>
                <w:sz w:val="16"/>
                <w:szCs w:val="16"/>
                <w:lang w:val="es-CO" w:eastAsia="es-ES"/>
              </w:rPr>
              <w:t xml:space="preserve">de la Subdirección de Gestión Contractual </w:t>
            </w:r>
          </w:p>
        </w:tc>
      </w:tr>
      <w:tr w:rsidR="0066112F" w:rsidRPr="006F5980" w14:paraId="136CCF26" w14:textId="77777777" w:rsidTr="00476D3F">
        <w:trPr>
          <w:trHeight w:val="277"/>
        </w:trPr>
        <w:tc>
          <w:tcPr>
            <w:tcW w:w="1266" w:type="dxa"/>
            <w:vAlign w:val="center"/>
            <w:hideMark/>
          </w:tcPr>
          <w:p w14:paraId="11F3870C"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Aprobó:</w:t>
            </w:r>
          </w:p>
        </w:tc>
        <w:tc>
          <w:tcPr>
            <w:tcW w:w="5276" w:type="dxa"/>
            <w:tcBorders>
              <w:top w:val="dotted" w:sz="4" w:space="0" w:color="7F7F7F"/>
              <w:left w:val="nil"/>
              <w:bottom w:val="dotted" w:sz="4" w:space="0" w:color="7F7F7F"/>
              <w:right w:val="nil"/>
            </w:tcBorders>
            <w:vAlign w:val="center"/>
            <w:hideMark/>
          </w:tcPr>
          <w:p w14:paraId="4690A356"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 xml:space="preserve">Nohelia del Carmen </w:t>
            </w:r>
            <w:proofErr w:type="spellStart"/>
            <w:r w:rsidRPr="00EC1AD6">
              <w:rPr>
                <w:rFonts w:ascii="Geomanist Light" w:eastAsia="Times New Roman" w:hAnsi="Geomanist Light" w:cs="Arial"/>
                <w:sz w:val="16"/>
                <w:szCs w:val="16"/>
                <w:lang w:val="es-CO" w:eastAsia="es-ES"/>
              </w:rPr>
              <w:t>Zawady</w:t>
            </w:r>
            <w:proofErr w:type="spellEnd"/>
            <w:r w:rsidRPr="00EC1AD6">
              <w:rPr>
                <w:rFonts w:ascii="Geomanist Light" w:eastAsia="Times New Roman" w:hAnsi="Geomanist Light" w:cs="Arial"/>
                <w:sz w:val="16"/>
                <w:szCs w:val="16"/>
                <w:lang w:val="es-CO" w:eastAsia="es-ES"/>
              </w:rPr>
              <w:t xml:space="preserve"> Palacio</w:t>
            </w:r>
          </w:p>
          <w:p w14:paraId="35D6FB20" w14:textId="77777777" w:rsidR="0066112F" w:rsidRPr="00EC1AD6" w:rsidRDefault="0066112F" w:rsidP="00EC1AD6">
            <w:pPr>
              <w:rPr>
                <w:rFonts w:ascii="Geomanist Light" w:eastAsia="Times New Roman" w:hAnsi="Geomanist Light" w:cs="Arial"/>
                <w:sz w:val="16"/>
                <w:szCs w:val="16"/>
                <w:lang w:val="es-CO" w:eastAsia="es-ES"/>
              </w:rPr>
            </w:pPr>
            <w:r w:rsidRPr="00EC1AD6">
              <w:rPr>
                <w:rFonts w:ascii="Geomanist Light" w:eastAsia="Times New Roman" w:hAnsi="Geomanist Light" w:cs="Arial"/>
                <w:sz w:val="16"/>
                <w:szCs w:val="16"/>
                <w:lang w:val="es-CO" w:eastAsia="es-ES"/>
              </w:rPr>
              <w:t>Subdirectora de Gestión Contractual ANCP – CCE</w:t>
            </w:r>
          </w:p>
        </w:tc>
      </w:tr>
    </w:tbl>
    <w:p w14:paraId="0081E2F6" w14:textId="77777777" w:rsidR="006A01DD" w:rsidRPr="00EC1AD6" w:rsidRDefault="006A01DD" w:rsidP="0066112F">
      <w:pPr>
        <w:pStyle w:val="NormalWeb"/>
        <w:spacing w:before="0" w:beforeAutospacing="0" w:after="0" w:afterAutospacing="0" w:line="276" w:lineRule="auto"/>
        <w:jc w:val="center"/>
        <w:rPr>
          <w:rFonts w:ascii="Geomanist Light" w:hAnsi="Geomanist Light"/>
          <w:bCs/>
          <w:sz w:val="21"/>
          <w:szCs w:val="21"/>
          <w:lang w:val="es-MX"/>
        </w:rPr>
      </w:pPr>
    </w:p>
    <w:sectPr w:rsidR="006A01DD" w:rsidRPr="00EC1AD6"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BB2B" w14:textId="77777777" w:rsidR="005B1089" w:rsidRDefault="005B1089">
      <w:r>
        <w:separator/>
      </w:r>
    </w:p>
  </w:endnote>
  <w:endnote w:type="continuationSeparator" w:id="0">
    <w:p w14:paraId="22500BC2" w14:textId="77777777" w:rsidR="005B1089" w:rsidRDefault="005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0F7CEB34"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04948">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04948">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2C909D30" w:rsidR="00F14E00" w:rsidRDefault="00C65F27" w:rsidP="007B0854">
    <w:pPr>
      <w:pStyle w:val="Piedepgina"/>
      <w:jc w:val="center"/>
      <w:rPr>
        <w:lang w:val="es-ES"/>
      </w:rPr>
    </w:pPr>
    <w:r>
      <w:rPr>
        <w:noProof/>
        <w:lang w:val="en-US"/>
      </w:rPr>
      <w:drawing>
        <wp:inline distT="0" distB="0" distL="0" distR="0" wp14:anchorId="42EB11BB" wp14:editId="4F13FDDC">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AA61" w14:textId="77777777" w:rsidR="005B1089" w:rsidRDefault="005B1089">
      <w:r>
        <w:separator/>
      </w:r>
    </w:p>
  </w:footnote>
  <w:footnote w:type="continuationSeparator" w:id="0">
    <w:p w14:paraId="3A7AEAFA" w14:textId="77777777" w:rsidR="005B1089" w:rsidRDefault="005B1089">
      <w:r>
        <w:continuationSeparator/>
      </w:r>
    </w:p>
  </w:footnote>
  <w:footnote w:id="1">
    <w:p w14:paraId="5BA62549" w14:textId="77777777" w:rsidR="001F6D45" w:rsidRPr="00EC1AD6" w:rsidRDefault="001F6D45" w:rsidP="001F6D45">
      <w:pPr>
        <w:pStyle w:val="Textonotapie"/>
        <w:ind w:firstLine="708"/>
        <w:jc w:val="both"/>
        <w:rPr>
          <w:rFonts w:ascii="Geomanist Light" w:hAnsi="Geomanist Light" w:cs="Arial"/>
          <w:color w:val="000000" w:themeColor="text1"/>
          <w:sz w:val="19"/>
          <w:szCs w:val="19"/>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color w:val="000000" w:themeColor="text1"/>
          <w:sz w:val="19"/>
          <w:szCs w:val="19"/>
        </w:rPr>
        <w:t xml:space="preserve">Estos conceptos pueden ser consultados en la relatoría de la Agencia Nacional de Contratación Públilca- Colombia Compra Eficiente en el siguiente enlace: </w:t>
      </w:r>
    </w:p>
    <w:p w14:paraId="0FF14A33" w14:textId="77777777" w:rsidR="001F6D45" w:rsidRPr="00EC1AD6" w:rsidRDefault="00000000" w:rsidP="001F6D45">
      <w:pPr>
        <w:pStyle w:val="Textonotapie"/>
        <w:jc w:val="both"/>
        <w:rPr>
          <w:rFonts w:ascii="Geomanist Light" w:hAnsi="Geomanist Light" w:cs="Arial"/>
          <w:color w:val="000000" w:themeColor="text1"/>
          <w:sz w:val="19"/>
          <w:szCs w:val="19"/>
        </w:rPr>
      </w:pPr>
      <w:hyperlink r:id="rId1" w:history="1">
        <w:r w:rsidR="001F6D45" w:rsidRPr="00EC1AD6">
          <w:rPr>
            <w:rFonts w:ascii="Geomanist Light" w:hAnsi="Geomanist Light"/>
            <w:color w:val="000000" w:themeColor="text1"/>
            <w:sz w:val="19"/>
            <w:szCs w:val="19"/>
          </w:rPr>
          <w:t>http://relatoria.colombiacompra.gov.co/busqueda/conceptos</w:t>
        </w:r>
      </w:hyperlink>
    </w:p>
    <w:p w14:paraId="36B8307D" w14:textId="77777777" w:rsidR="001F6D45" w:rsidRPr="00EC1AD6" w:rsidRDefault="001F6D45" w:rsidP="001F6D45">
      <w:pPr>
        <w:pStyle w:val="Textonotapie"/>
        <w:ind w:firstLine="708"/>
        <w:jc w:val="both"/>
        <w:rPr>
          <w:rFonts w:ascii="Geomanist Light" w:hAnsi="Geomanist Light" w:cs="Arial"/>
          <w:sz w:val="19"/>
          <w:szCs w:val="19"/>
        </w:rPr>
      </w:pPr>
    </w:p>
  </w:footnote>
  <w:footnote w:id="2">
    <w:p w14:paraId="47C7C201" w14:textId="77777777" w:rsidR="00D921B5" w:rsidRPr="00EC1AD6" w:rsidRDefault="00D921B5" w:rsidP="008E4B4C">
      <w:pPr>
        <w:pStyle w:val="Textonotapie"/>
        <w:ind w:firstLine="708"/>
        <w:jc w:val="both"/>
        <w:rPr>
          <w:rFonts w:ascii="Geomanist Light" w:hAnsi="Geomanist Light" w:cs="Arial"/>
          <w:color w:val="000000" w:themeColor="text1"/>
          <w:sz w:val="19"/>
          <w:szCs w:val="19"/>
        </w:rPr>
      </w:pPr>
      <w:r w:rsidRPr="00EC1AD6">
        <w:rPr>
          <w:rStyle w:val="Refdenotaalpie"/>
          <w:rFonts w:ascii="Geomanist Light" w:hAnsi="Geomanist Light" w:cs="Arial"/>
          <w:color w:val="000000" w:themeColor="text1"/>
          <w:sz w:val="19"/>
          <w:szCs w:val="19"/>
        </w:rPr>
        <w:footnoteRef/>
      </w:r>
      <w:r w:rsidRPr="00EC1AD6">
        <w:rPr>
          <w:rFonts w:ascii="Geomanist Light" w:hAnsi="Geomanist Light" w:cs="Arial"/>
          <w:color w:val="000000" w:themeColor="text1"/>
          <w:sz w:val="19"/>
          <w:szCs w:val="19"/>
        </w:rPr>
        <w:t xml:space="preserve"> Artículo 2.2.1.1.2.1.1. del Decreto 1082 de 2015.</w:t>
      </w:r>
    </w:p>
  </w:footnote>
  <w:footnote w:id="3">
    <w:p w14:paraId="556A8524" w14:textId="77777777" w:rsidR="00D921B5" w:rsidRPr="00EC1AD6" w:rsidRDefault="00D921B5" w:rsidP="008E4B4C">
      <w:pPr>
        <w:ind w:firstLine="708"/>
        <w:jc w:val="both"/>
        <w:rPr>
          <w:rFonts w:ascii="Geomanist Light" w:hAnsi="Geomanist Light" w:cs="Arial"/>
          <w:color w:val="000000" w:themeColor="text1"/>
          <w:sz w:val="19"/>
          <w:szCs w:val="19"/>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color w:val="000000" w:themeColor="text1"/>
          <w:sz w:val="19"/>
          <w:szCs w:val="19"/>
        </w:rPr>
        <w:t xml:space="preserve">En efecto, la causal de rechazo del literal Q de los documentos tipo de licitación de obra pública de infraestructura de transporte – Versión 3 establece: «[Incluir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72829BAE" w14:textId="77777777" w:rsidR="00D921B5" w:rsidRPr="00EC1AD6" w:rsidRDefault="00D921B5" w:rsidP="008E4B4C">
      <w:pPr>
        <w:pStyle w:val="Textonotapie"/>
        <w:ind w:firstLine="708"/>
        <w:jc w:val="both"/>
        <w:rPr>
          <w:rFonts w:ascii="Geomanist Light" w:hAnsi="Geomanist Light" w:cs="Arial"/>
          <w:color w:val="000000" w:themeColor="text1"/>
          <w:sz w:val="19"/>
          <w:szCs w:val="19"/>
        </w:rPr>
      </w:pPr>
      <w:r w:rsidRPr="00EC1AD6">
        <w:rPr>
          <w:rFonts w:ascii="Geomanist Light" w:hAnsi="Geomanist Light" w:cs="Arial"/>
          <w:color w:val="000000" w:themeColor="text1"/>
          <w:sz w:val="19"/>
          <w:szCs w:val="19"/>
        </w:rPr>
        <w:t>»Para la aplicación de esta causal la entidad debe tener en cuenta que el valor unitario establecido en el Formulario 1 – Formulario de Presupuesto Oficial incluye el valor de AIU]»</w:t>
      </w:r>
    </w:p>
  </w:footnote>
  <w:footnote w:id="4">
    <w:p w14:paraId="4B9720E5" w14:textId="77777777" w:rsidR="00F12344" w:rsidRPr="00EC1AD6" w:rsidRDefault="00F12344" w:rsidP="00F12344">
      <w:pPr>
        <w:pStyle w:val="Textonotapie"/>
        <w:ind w:firstLine="708"/>
        <w:jc w:val="both"/>
        <w:rPr>
          <w:rFonts w:ascii="Geomanist Light" w:hAnsi="Geomanist Light" w:cs="Arial"/>
          <w:sz w:val="19"/>
          <w:szCs w:val="19"/>
        </w:rPr>
      </w:pPr>
      <w:r w:rsidRPr="00EC1AD6">
        <w:rPr>
          <w:rStyle w:val="Refdenotaalpie"/>
          <w:rFonts w:ascii="Geomanist Light" w:hAnsi="Geomanist Light"/>
          <w:sz w:val="19"/>
          <w:szCs w:val="19"/>
        </w:rPr>
        <w:footnoteRef/>
      </w:r>
      <w:r w:rsidRPr="00EC1AD6">
        <w:rPr>
          <w:rFonts w:ascii="Geomanist Light" w:hAnsi="Geomanist Light"/>
          <w:sz w:val="19"/>
          <w:szCs w:val="19"/>
        </w:rPr>
        <w:t xml:space="preserve"> </w:t>
      </w:r>
      <w:r w:rsidRPr="00EC1AD6">
        <w:rPr>
          <w:rFonts w:ascii="Geomanist Light" w:hAnsi="Geomanist Light" w:cs="Arial"/>
          <w:sz w:val="19"/>
          <w:szCs w:val="19"/>
        </w:rPr>
        <w:t xml:space="preserve">Ley 1882 de 2018: «Artículo 1. </w:t>
      </w:r>
    </w:p>
    <w:p w14:paraId="7FD5BED0" w14:textId="77777777" w:rsidR="00F12344" w:rsidRPr="00EC1AD6" w:rsidRDefault="00F12344" w:rsidP="00F12344">
      <w:pPr>
        <w:pStyle w:val="Textonotapie"/>
        <w:ind w:firstLine="708"/>
        <w:jc w:val="both"/>
        <w:rPr>
          <w:rFonts w:ascii="Geomanist Light" w:hAnsi="Geomanist Light" w:cs="Arial"/>
          <w:sz w:val="19"/>
          <w:szCs w:val="19"/>
        </w:rPr>
      </w:pPr>
      <w:r w:rsidRPr="00EC1AD6">
        <w:rPr>
          <w:rFonts w:ascii="Geomanist Light" w:hAnsi="Geomanist Light" w:cs="Arial"/>
          <w:sz w:val="19"/>
          <w:szCs w:val="19"/>
        </w:rPr>
        <w:t>[…]</w:t>
      </w:r>
    </w:p>
    <w:p w14:paraId="460638A8" w14:textId="77777777" w:rsidR="00F12344" w:rsidRPr="00EC1AD6" w:rsidRDefault="00F12344" w:rsidP="00F12344">
      <w:pPr>
        <w:pStyle w:val="Textonotapie"/>
        <w:ind w:firstLine="708"/>
        <w:jc w:val="both"/>
        <w:rPr>
          <w:rFonts w:ascii="Geomanist Light" w:hAnsi="Geomanist Light" w:cs="Arial"/>
          <w:sz w:val="19"/>
          <w:szCs w:val="19"/>
        </w:rPr>
      </w:pPr>
      <w:r w:rsidRPr="00EC1AD6">
        <w:rPr>
          <w:rFonts w:ascii="Geomanist Light" w:hAnsi="Geomanist Light" w:cs="Arial"/>
          <w:sz w:val="19"/>
          <w:szCs w:val="19"/>
        </w:rPr>
        <w:t>»Parágrafo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77B8720D" w14:textId="77777777" w:rsidR="00F12344" w:rsidRPr="00EC1AD6" w:rsidRDefault="00F12344" w:rsidP="00F12344">
      <w:pPr>
        <w:pStyle w:val="Textonotapie"/>
        <w:ind w:firstLine="708"/>
        <w:jc w:val="both"/>
        <w:rPr>
          <w:rFonts w:ascii="Geomanist Light" w:hAnsi="Geomanist Light" w:cs="Arial"/>
          <w:sz w:val="19"/>
          <w:szCs w:val="19"/>
          <w:lang w:val="es-CO"/>
        </w:rPr>
      </w:pPr>
      <w:r w:rsidRPr="00EC1AD6">
        <w:rPr>
          <w:rFonts w:ascii="Geomanist Light" w:hAnsi="Geomanist Light" w:cs="Arial"/>
          <w:sz w:val="19"/>
          <w:szCs w:val="19"/>
        </w:rPr>
        <w:t>»El segundo sobre deberá incluir únicamente la propuesta económica de conformidad con todos los requisitos exigidos en el pliego de condiciones. […]</w:t>
      </w:r>
      <w:r w:rsidRPr="00EC1AD6">
        <w:rPr>
          <w:rFonts w:ascii="Geomanist Light" w:eastAsia="Calibri" w:hAnsi="Geomanist Light" w:cs="Arial"/>
          <w:sz w:val="19"/>
          <w:szCs w:val="19"/>
        </w:rPr>
        <w:t>»</w:t>
      </w:r>
      <w:r w:rsidRPr="00EC1AD6">
        <w:rPr>
          <w:rFonts w:ascii="Geomanist Light" w:hAnsi="Geomanist Light" w:cs="Arial"/>
          <w:sz w:val="19"/>
          <w:szCs w:val="19"/>
        </w:rPr>
        <w:t>.</w:t>
      </w:r>
    </w:p>
  </w:footnote>
  <w:footnote w:id="5">
    <w:p w14:paraId="089CFE68" w14:textId="77777777" w:rsidR="0099103B" w:rsidRPr="00EC1AD6" w:rsidRDefault="0099103B" w:rsidP="0099103B">
      <w:pPr>
        <w:pStyle w:val="Textonotapie"/>
        <w:ind w:firstLine="708"/>
        <w:jc w:val="both"/>
        <w:rPr>
          <w:rFonts w:ascii="Geomanist Light" w:hAnsi="Geomanist Light" w:cs="Arial"/>
          <w:color w:val="000000" w:themeColor="text1"/>
          <w:sz w:val="19"/>
          <w:szCs w:val="19"/>
        </w:rPr>
      </w:pPr>
      <w:r w:rsidRPr="00EC1AD6">
        <w:rPr>
          <w:rStyle w:val="Refdenotaalpie"/>
          <w:rFonts w:ascii="Geomanist Light" w:hAnsi="Geomanist Light"/>
          <w:sz w:val="19"/>
          <w:szCs w:val="19"/>
        </w:rPr>
        <w:footnoteRef/>
      </w:r>
      <w:r w:rsidRPr="00EC1AD6">
        <w:rPr>
          <w:rFonts w:ascii="Geomanist Light" w:hAnsi="Geomanist Light"/>
          <w:sz w:val="19"/>
          <w:szCs w:val="19"/>
        </w:rPr>
        <w:t xml:space="preserve"> </w:t>
      </w:r>
      <w:r w:rsidRPr="00EC1AD6">
        <w:rPr>
          <w:rFonts w:ascii="Geomanist Light" w:hAnsi="Geomanist Light" w:cs="Arial"/>
          <w:color w:val="000000" w:themeColor="text1"/>
          <w:sz w:val="19"/>
          <w:szCs w:val="19"/>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09D8988D" w14:textId="77777777" w:rsidR="0099103B" w:rsidRPr="00EC1AD6" w:rsidRDefault="0099103B" w:rsidP="0099103B">
      <w:pPr>
        <w:pStyle w:val="Textonotapie"/>
        <w:ind w:firstLine="708"/>
        <w:jc w:val="both"/>
        <w:rPr>
          <w:rFonts w:ascii="Geomanist Light" w:hAnsi="Geomanist Light" w:cs="Arial"/>
          <w:color w:val="000000" w:themeColor="text1"/>
          <w:sz w:val="19"/>
          <w:szCs w:val="19"/>
        </w:rPr>
      </w:pPr>
      <w:r w:rsidRPr="00EC1AD6">
        <w:rPr>
          <w:rFonts w:ascii="Geomanist Light" w:hAnsi="Geomanist Light" w:cs="Arial"/>
          <w:color w:val="000000" w:themeColor="text1"/>
          <w:sz w:val="19"/>
          <w:szCs w:val="19"/>
        </w:rPr>
        <w:t>»El segundo sobre deberá incluir únicamente la propuesta económica de conformidad con todos los requisitos exigidos en el pliego de condiciones.</w:t>
      </w:r>
    </w:p>
    <w:p w14:paraId="5561189C" w14:textId="77777777" w:rsidR="0099103B" w:rsidRPr="00EC1AD6" w:rsidRDefault="0099103B" w:rsidP="0099103B">
      <w:pPr>
        <w:pStyle w:val="Textonotapie"/>
        <w:ind w:firstLine="708"/>
        <w:jc w:val="both"/>
        <w:rPr>
          <w:rFonts w:ascii="Geomanist Light" w:hAnsi="Geomanist Light" w:cs="Arial"/>
          <w:color w:val="000000" w:themeColor="text1"/>
          <w:sz w:val="19"/>
          <w:szCs w:val="19"/>
        </w:rPr>
      </w:pPr>
      <w:r w:rsidRPr="00EC1AD6">
        <w:rPr>
          <w:rFonts w:ascii="Geomanist Light" w:hAnsi="Geomanist Light" w:cs="Arial"/>
          <w:color w:val="000000" w:themeColor="text1"/>
          <w:sz w:val="19"/>
          <w:szCs w:val="19"/>
        </w:rPr>
        <w:t>[…]».</w:t>
      </w:r>
    </w:p>
    <w:p w14:paraId="08FA0C24" w14:textId="77777777" w:rsidR="0099103B" w:rsidRPr="00EC1AD6" w:rsidRDefault="0099103B" w:rsidP="0099103B">
      <w:pPr>
        <w:pStyle w:val="Textonotapie"/>
        <w:rPr>
          <w:rFonts w:ascii="Geomanist Light" w:hAnsi="Geomanist Light"/>
          <w:sz w:val="19"/>
          <w:szCs w:val="19"/>
          <w:lang w:val="es-CO"/>
        </w:rPr>
      </w:pPr>
    </w:p>
  </w:footnote>
  <w:footnote w:id="6">
    <w:p w14:paraId="7BB07107" w14:textId="77777777" w:rsidR="0099103B" w:rsidRPr="00EC1AD6" w:rsidRDefault="0099103B" w:rsidP="0099103B">
      <w:pPr>
        <w:pStyle w:val="Textonotapie"/>
        <w:ind w:firstLine="708"/>
        <w:jc w:val="both"/>
        <w:rPr>
          <w:rFonts w:ascii="Geomanist Light" w:hAnsi="Geomanist Light" w:cs="Arial"/>
          <w:color w:val="000000" w:themeColor="text1"/>
          <w:sz w:val="19"/>
          <w:szCs w:val="19"/>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color w:val="000000" w:themeColor="text1"/>
          <w:sz w:val="19"/>
          <w:szCs w:val="19"/>
        </w:rPr>
        <w:t>Consejo de Estado. Sección Tercera. Sentencia del 27 de abril de 2011. Exp. 18.293. C.P. Ruth Stella Correa Palacio.</w:t>
      </w:r>
    </w:p>
    <w:p w14:paraId="3AED2356" w14:textId="77777777" w:rsidR="0099103B" w:rsidRPr="00EC1AD6" w:rsidRDefault="0099103B" w:rsidP="0099103B">
      <w:pPr>
        <w:pStyle w:val="Textonotapie"/>
        <w:ind w:firstLine="708"/>
        <w:jc w:val="both"/>
        <w:rPr>
          <w:rFonts w:ascii="Geomanist Light" w:eastAsia="Calibri" w:hAnsi="Geomanist Light" w:cs="Arial"/>
          <w:sz w:val="19"/>
          <w:szCs w:val="19"/>
          <w:lang w:val="es-CO"/>
        </w:rPr>
      </w:pPr>
    </w:p>
  </w:footnote>
  <w:footnote w:id="7">
    <w:p w14:paraId="057F29B3" w14:textId="77777777" w:rsidR="00D47633" w:rsidRPr="00EC1AD6" w:rsidRDefault="00D47633" w:rsidP="00D47633">
      <w:pPr>
        <w:pStyle w:val="Textonotapie"/>
        <w:ind w:firstLine="708"/>
        <w:jc w:val="both"/>
        <w:rPr>
          <w:rFonts w:ascii="Geomanist Light" w:hAnsi="Geomanist Light" w:cs="Arial"/>
          <w:sz w:val="19"/>
          <w:szCs w:val="19"/>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El numeral 1.15 del documento base establece: «1.15 Causales de rechazo. </w:t>
      </w:r>
    </w:p>
    <w:p w14:paraId="7A6F626F" w14:textId="77777777" w:rsidR="00D47633" w:rsidRPr="00EC1AD6" w:rsidRDefault="00D47633" w:rsidP="00D47633">
      <w:pPr>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Son causales de rechazo de las propuestas las siguientes </w:t>
      </w:r>
      <w:r w:rsidRPr="00EC1AD6">
        <w:rPr>
          <w:rFonts w:ascii="Geomanist Light" w:eastAsia="Calibri" w:hAnsi="Geomanist Light" w:cs="Arial"/>
          <w:color w:val="000000"/>
          <w:sz w:val="19"/>
          <w:szCs w:val="19"/>
          <w:highlight w:val="lightGray"/>
        </w:rPr>
        <w:t>[Las entidades no podrán incluir causales de rechazo distintas a las señaladas en la presente sección]</w:t>
      </w:r>
      <w:r w:rsidRPr="00EC1AD6">
        <w:rPr>
          <w:rFonts w:ascii="Geomanist Light" w:eastAsia="Calibri" w:hAnsi="Geomanist Light" w:cs="Arial"/>
          <w:color w:val="000000"/>
          <w:sz w:val="19"/>
          <w:szCs w:val="19"/>
        </w:rPr>
        <w:t>:</w:t>
      </w:r>
    </w:p>
    <w:p w14:paraId="1E20353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proponente o alguno de los integrantes del proponente plural esté incurso en causal de inhabilidad, incompatibilidad o prohibición previstas en la legislación para contratar.</w:t>
      </w:r>
    </w:p>
    <w:p w14:paraId="54A52576" w14:textId="77777777" w:rsidR="00D47633" w:rsidRPr="00EC1AD6" w:rsidRDefault="00D47633" w:rsidP="00D47633">
      <w:pPr>
        <w:spacing w:after="160"/>
        <w:ind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[Cuando en el mismo proceso de contratación se presentan oferentes en la situación descrita por los literales g) y h) del numeral 1 del artículo 8 de la Ley 80 de 1993, la entidad solo admitirá la oferta presentada primero en el tiempo]</w:t>
      </w:r>
    </w:p>
    <w:p w14:paraId="5E9B1474"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Cuando una misma persona natural o jurídica, o integrante de un proponente plural presente o haga parte en más de una propuesta para el presente proceso de contratación.</w:t>
      </w:r>
    </w:p>
    <w:p w14:paraId="7E6C9841" w14:textId="77777777" w:rsidR="00D47633" w:rsidRPr="00EC1AD6" w:rsidRDefault="00D47633" w:rsidP="00D47633">
      <w:pPr>
        <w:spacing w:after="160"/>
        <w:ind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EC1AD6">
        <w:rPr>
          <w:rFonts w:ascii="Geomanist Light" w:eastAsia="Calibri" w:hAnsi="Geomanist Light" w:cs="Arial"/>
          <w:color w:val="000000"/>
          <w:sz w:val="19"/>
          <w:szCs w:val="19"/>
        </w:rPr>
        <w:t xml:space="preserve"> </w:t>
      </w:r>
    </w:p>
    <w:p w14:paraId="2719E7F5"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proponente o alguno de los integrantes del proponente plural esté reportado en el Boletín de Responsables Fiscales emitido por la Contraloría General de la República.</w:t>
      </w:r>
    </w:p>
    <w:p w14:paraId="27E45CAD"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la persona jurídica proponente individual o integrante del proponente plural esté incursa en la situación descrita en el numeral 1 del artículo 38 de la Ley 1116 de 2006.</w:t>
      </w:r>
    </w:p>
    <w:p w14:paraId="7EC414F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proponente no aclare, subsane o aporte documentos necesarios para cumplir un requisito habilitante o aportándolos no lo haga de forma correcta, en los términos establecidos en la sección 1.6.</w:t>
      </w:r>
    </w:p>
    <w:p w14:paraId="43642EF4"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la inscripción en el Registro Único de Proponentes (RUP) que realice el proponente, por primera vez o cuando han cesado los efectos y debe volver a inscribirse, no esté en firme en la fecha prevista para el cierre del proceso de contratación.</w:t>
      </w:r>
    </w:p>
    <w:p w14:paraId="756A128A"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0156386A"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proponente aporte información inexacta sobre la cual pueda existir una posible falsedad en los términos de la sección 1.11.</w:t>
      </w:r>
    </w:p>
    <w:p w14:paraId="63BEECC8"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proponente se encuentre inmerso en un conflicto de interés previsto en una norma de rango constitucional o legal o en la causal prevista en el numeral 1.14 del pliego de condiciones.</w:t>
      </w:r>
    </w:p>
    <w:p w14:paraId="2E8EB04A"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[Incluir esta causal cuando las ofertas se presente en el SECOP I]</w:t>
      </w:r>
      <w:r w:rsidRPr="00EC1AD6">
        <w:rPr>
          <w:rFonts w:ascii="Geomanist Light" w:eastAsia="Calibri" w:hAnsi="Geomanist Light" w:cs="Arial"/>
          <w:color w:val="000000"/>
          <w:sz w:val="19"/>
          <w:szCs w:val="19"/>
        </w:rPr>
        <w:t xml:space="preserve"> Que la propuesta económica no se aporte firmada.</w:t>
      </w:r>
    </w:p>
    <w:p w14:paraId="330DE0F3"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No entregar la Garantía de seriedad de la oferta junto con la propuesta.</w:t>
      </w:r>
    </w:p>
    <w:p w14:paraId="367B8A7E"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objeto social del proponente o el de sus integrantes no le permita ejecutar el objeto del contrato.</w:t>
      </w:r>
    </w:p>
    <w:p w14:paraId="3C7CD0CD"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Que el valor total de la oferta o aquel revisado en la audiencia efectiva de adjudicación exceda el presupuesto oficial estimado para el proceso de contratación.</w:t>
      </w:r>
    </w:p>
    <w:p w14:paraId="1B6317D3"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Presentar la oferta con tachaduras o enmendaduras en alguno de los documentos que acreditan los requisitos habilitantes o los factores de evaluación de la oferta y no estén convalidadas en la forma indicada en la sección 2.3 del Pliego de Condiciones, sin perjuicio de la posibilidad de subsanar los primeros en los términos del numeral 1.6.</w:t>
      </w:r>
    </w:p>
    <w:p w14:paraId="4395BAD7"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622DA4FE"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[Incluir solo cuando la forma de pago sea por precios unitarios]</w:t>
      </w:r>
      <w:r w:rsidRPr="00EC1AD6">
        <w:rPr>
          <w:rFonts w:ascii="Geomanist Light" w:eastAsia="Calibri" w:hAnsi="Geomanist Light" w:cs="Arial"/>
          <w:color w:val="000000"/>
          <w:sz w:val="19"/>
          <w:szCs w:val="19"/>
        </w:rPr>
        <w:t xml:space="preserve"> No ofrecer el valor de un precio unitario u ofrecerlo en cero (0) pesos. </w:t>
      </w:r>
    </w:p>
    <w:p w14:paraId="0C1F8AC7"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[Incluir solo cuando la forma de pago sea por precios unitarios</w:t>
      </w:r>
      <w:r w:rsidRPr="00EC1AD6">
        <w:rPr>
          <w:rFonts w:ascii="Geomanist Light" w:eastAsia="Calibri" w:hAnsi="Geomanist Light" w:cs="Arial"/>
          <w:color w:val="000000"/>
          <w:sz w:val="19"/>
          <w:szCs w:val="19"/>
        </w:rPr>
        <w:t>] Superar el valor unitario de alguno o algunos de los siguientes ítems ofrecidos con respecto al valor establecido para cada ítem del presupuesto oficial: [</w:t>
      </w:r>
      <w:r w:rsidRPr="00EC1AD6">
        <w:rPr>
          <w:rFonts w:ascii="Geomanist Light" w:eastAsia="Calibri" w:hAnsi="Geomanist Light" w:cs="Arial"/>
          <w:color w:val="000000"/>
          <w:sz w:val="19"/>
          <w:szCs w:val="19"/>
          <w:highlight w:val="lightGray"/>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EC1AD6">
        <w:rPr>
          <w:rFonts w:ascii="Geomanist Light" w:eastAsia="Calibri" w:hAnsi="Geomanist Light" w:cs="Arial"/>
          <w:color w:val="000000"/>
          <w:sz w:val="19"/>
          <w:szCs w:val="19"/>
        </w:rPr>
        <w:t xml:space="preserve">]. </w:t>
      </w:r>
    </w:p>
    <w:p w14:paraId="311BBA5A" w14:textId="77777777" w:rsidR="00D47633" w:rsidRPr="00EC1AD6" w:rsidRDefault="00D47633" w:rsidP="00D47633">
      <w:pPr>
        <w:spacing w:after="160"/>
        <w:ind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Para la aplicación de esta causal la entidad debe tener en cuenta que el valor unitario establecido en el Formulario 1 – Formulario de Presupuesto Oficial incluye el valor de AIU] </w:t>
      </w:r>
    </w:p>
    <w:p w14:paraId="0FC8E22B"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[Esta causal aplica de acuerdo con la configuración de la oferta económica por parte de la entidad</w:t>
      </w:r>
      <w:r w:rsidRPr="00EC1AD6">
        <w:rPr>
          <w:rFonts w:ascii="Geomanist Light" w:eastAsia="Calibri" w:hAnsi="Geomanist Light" w:cs="Arial"/>
          <w:color w:val="000000"/>
          <w:sz w:val="19"/>
          <w:szCs w:val="19"/>
        </w:rPr>
        <w:t xml:space="preserve">] No discriminar en la oferta económica el porcentaje de AIU en la forma como lo establece el Pliego de Condiciones y el Formulario 1 – Formulario de presupuesto oficial. </w:t>
      </w:r>
      <w:r w:rsidRPr="00EC1AD6">
        <w:rPr>
          <w:rFonts w:ascii="Geomanist Light" w:eastAsia="Calibri" w:hAnsi="Geomanist Light" w:cs="Arial"/>
          <w:color w:val="000000"/>
          <w:sz w:val="19"/>
          <w:szCs w:val="19"/>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28994C7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Ofrecer como AIU un porcentaje cuya sumatoria sea superior al establecido por la Entidad en el </w:t>
      </w:r>
      <w:r w:rsidRPr="00EC1AD6">
        <w:rPr>
          <w:rFonts w:ascii="Geomanist Light" w:eastAsia="Calibri" w:hAnsi="Geomanist Light" w:cs="Arial"/>
          <w:color w:val="000000"/>
          <w:sz w:val="19"/>
          <w:szCs w:val="19"/>
        </w:rPr>
        <w:fldChar w:fldCharType="begin"/>
      </w:r>
      <w:r w:rsidRPr="00EC1AD6">
        <w:rPr>
          <w:rFonts w:ascii="Geomanist Light" w:eastAsia="Calibri" w:hAnsi="Geomanist Light" w:cs="Arial"/>
          <w:color w:val="000000"/>
          <w:sz w:val="19"/>
          <w:szCs w:val="19"/>
        </w:rPr>
        <w:instrText xml:space="preserve"> REF _Ref57725061 \h  \* MERGEFORMAT </w:instrText>
      </w:r>
      <w:r w:rsidRPr="00EC1AD6">
        <w:rPr>
          <w:rFonts w:ascii="Geomanist Light" w:eastAsia="Calibri" w:hAnsi="Geomanist Light" w:cs="Arial"/>
          <w:color w:val="000000"/>
          <w:sz w:val="19"/>
          <w:szCs w:val="19"/>
        </w:rPr>
      </w:r>
      <w:r w:rsidRPr="00EC1AD6">
        <w:rPr>
          <w:rFonts w:ascii="Geomanist Light" w:eastAsia="Calibri" w:hAnsi="Geomanist Light" w:cs="Arial"/>
          <w:color w:val="000000"/>
          <w:sz w:val="19"/>
          <w:szCs w:val="19"/>
        </w:rPr>
        <w:fldChar w:fldCharType="separate"/>
      </w:r>
      <w:r w:rsidRPr="00EC1AD6">
        <w:rPr>
          <w:rFonts w:ascii="Geomanist Light" w:eastAsia="Calibri" w:hAnsi="Geomanist Light" w:cs="Arial"/>
          <w:color w:val="000000"/>
          <w:sz w:val="19"/>
          <w:szCs w:val="19"/>
        </w:rPr>
        <w:t>Formulario 1– Formulario de Presupuesto Oficial</w:t>
      </w:r>
      <w:r w:rsidRPr="00EC1AD6">
        <w:rPr>
          <w:rFonts w:ascii="Geomanist Light" w:eastAsia="Calibri" w:hAnsi="Geomanist Light" w:cs="Arial"/>
          <w:color w:val="000000"/>
          <w:sz w:val="19"/>
          <w:szCs w:val="19"/>
        </w:rPr>
        <w:fldChar w:fldCharType="end"/>
      </w:r>
      <w:r w:rsidRPr="00EC1AD6">
        <w:rPr>
          <w:rFonts w:ascii="Geomanist Light" w:eastAsia="Calibri" w:hAnsi="Geomanist Light" w:cs="Arial"/>
          <w:color w:val="000000"/>
          <w:sz w:val="19"/>
          <w:szCs w:val="19"/>
        </w:rPr>
        <w:t>.</w:t>
      </w:r>
    </w:p>
    <w:p w14:paraId="1C161CBD"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Cuando se presente propuesta condicionada para la adjudicación del contrato.</w:t>
      </w:r>
    </w:p>
    <w:p w14:paraId="17592D0B"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Presentar la oferta extemporáneamente.</w:t>
      </w:r>
    </w:p>
    <w:p w14:paraId="5321C32E"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No presentar oferta económica. Entregar la información de la propuesta económica en el sobre que no corresponda.</w:t>
      </w:r>
    </w:p>
    <w:p w14:paraId="5149A0CA"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Presentar más de una oferta económica con valores distintos en el Sobre 2. </w:t>
      </w:r>
      <w:r w:rsidRPr="00EC1AD6">
        <w:rPr>
          <w:rFonts w:ascii="Geomanist Light" w:eastAsia="Calibri" w:hAnsi="Geomanist Light" w:cs="Arial"/>
          <w:color w:val="000000"/>
          <w:sz w:val="19"/>
          <w:szCs w:val="19"/>
          <w:highlight w:val="lightGray"/>
        </w:rPr>
        <w:t>[Cuando el proceso se estructure por lotes o grupos reemplazar el texto anterior por el siguiente: Presentar más de una oferta económica con valores distintos para el mismo lote o grupo]</w:t>
      </w:r>
    </w:p>
    <w:p w14:paraId="10AA408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Cuando se determine que el valor total de la oferta es artificialmente bajo, de acuerdo con lo establecido en la sección 4.1.3 </w:t>
      </w:r>
    </w:p>
    <w:p w14:paraId="6E791D2E"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Cuando se presenten propuestas parciales y esta posibilidad no haya sido establecida en el pliego de condiciones.</w:t>
      </w:r>
    </w:p>
    <w:p w14:paraId="37614DC5"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No informar todos los contratos que el proponente tenga en ejecución antes del cierre, necesarios para acreditar su capacidad residual conforme a la sección 3.10.</w:t>
      </w:r>
    </w:p>
    <w:p w14:paraId="2AF1535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Ofrecer un plazo superior al señalado por la entidad en el Anexo 1 – Anexo Técnico.</w:t>
      </w:r>
    </w:p>
    <w:p w14:paraId="0715E840"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6E7B9DF6"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highlight w:val="lightGray"/>
        </w:rPr>
        <w:t>[Incluir cuando la convocatoria del Proceso de Contratación esté limitada a Mipyme]</w:t>
      </w:r>
      <w:r w:rsidRPr="00EC1AD6">
        <w:rPr>
          <w:rFonts w:ascii="Geomanist Light" w:eastAsia="Calibri" w:hAnsi="Geomanist Light" w:cs="Arial"/>
          <w:color w:val="000000"/>
          <w:sz w:val="19"/>
          <w:szCs w:val="19"/>
        </w:rPr>
        <w:t xml:space="preserve"> Cuando el que presenta oferta o alguno de los miembros del Proponente Plural no acredita la condición de Mipyme y, en consecuencia, no aporta el RUP vigente y en firme al momento de su presentación y no subsana su entrega en los términos del numeral 1.6.</w:t>
      </w:r>
    </w:p>
    <w:p w14:paraId="1767E7D9" w14:textId="77777777" w:rsidR="00D47633" w:rsidRPr="00EC1AD6" w:rsidRDefault="00D47633" w:rsidP="00D47633">
      <w:pPr>
        <w:numPr>
          <w:ilvl w:val="0"/>
          <w:numId w:val="18"/>
        </w:numPr>
        <w:spacing w:after="160"/>
        <w:ind w:left="0" w:firstLine="284"/>
        <w:contextualSpacing/>
        <w:jc w:val="both"/>
        <w:rPr>
          <w:rFonts w:ascii="Geomanist Light" w:eastAsia="Calibri" w:hAnsi="Geomanist Light" w:cs="Arial"/>
          <w:color w:val="000000"/>
          <w:sz w:val="19"/>
          <w:szCs w:val="19"/>
        </w:rPr>
      </w:pPr>
      <w:r w:rsidRPr="00EC1AD6">
        <w:rPr>
          <w:rFonts w:ascii="Geomanist Light" w:eastAsia="Calibri" w:hAnsi="Geomanist Light" w:cs="Arial"/>
          <w:color w:val="000000"/>
          <w:sz w:val="19"/>
          <w:szCs w:val="19"/>
        </w:rPr>
        <w:t xml:space="preserve">Las demás previstas en la ley. </w:t>
      </w:r>
    </w:p>
  </w:footnote>
  <w:footnote w:id="8">
    <w:p w14:paraId="08361E84" w14:textId="77777777" w:rsidR="00D47633" w:rsidRPr="00EC1AD6" w:rsidRDefault="00D47633" w:rsidP="00D47633">
      <w:pPr>
        <w:pStyle w:val="Textonotapie"/>
        <w:ind w:firstLine="708"/>
        <w:jc w:val="both"/>
        <w:rPr>
          <w:rFonts w:ascii="Geomanist Light" w:hAnsi="Geomanist Light" w:cs="Arial"/>
          <w:sz w:val="19"/>
          <w:szCs w:val="19"/>
          <w:lang w:val="es-CO"/>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1F3D67A6" w14:textId="77777777" w:rsidR="00D47633" w:rsidRPr="00EC1AD6" w:rsidRDefault="00D47633" w:rsidP="00D47633">
      <w:pPr>
        <w:pStyle w:val="Textonotapie"/>
        <w:jc w:val="both"/>
        <w:rPr>
          <w:rFonts w:ascii="Geomanist Light" w:hAnsi="Geomanist Light" w:cs="Arial"/>
          <w:sz w:val="19"/>
          <w:szCs w:val="19"/>
          <w:lang w:val="es-CO"/>
        </w:rPr>
      </w:pPr>
    </w:p>
  </w:footnote>
  <w:footnote w:id="9">
    <w:p w14:paraId="14BD6ACF" w14:textId="77777777" w:rsidR="00E10A61" w:rsidRPr="00EC1AD6" w:rsidRDefault="00E10A61" w:rsidP="00E10A61">
      <w:pPr>
        <w:pStyle w:val="Textonotapie"/>
        <w:ind w:firstLine="709"/>
        <w:jc w:val="both"/>
        <w:rPr>
          <w:rFonts w:ascii="Geomanist Light" w:hAnsi="Geomanist Light" w:cs="Arial"/>
          <w:sz w:val="19"/>
          <w:szCs w:val="19"/>
          <w:lang w:val="es-ES"/>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sz w:val="19"/>
          <w:szCs w:val="19"/>
          <w:lang w:val="es-ES"/>
        </w:rPr>
        <w:t xml:space="preserve">Según el Diccionario de la Real Academia Española, una </w:t>
      </w:r>
      <w:r w:rsidRPr="00EC1AD6">
        <w:rPr>
          <w:rFonts w:ascii="Geomanist Light" w:hAnsi="Geomanist Light" w:cs="Arial"/>
          <w:i/>
          <w:iCs/>
          <w:sz w:val="19"/>
          <w:szCs w:val="19"/>
          <w:lang w:val="es-ES"/>
        </w:rPr>
        <w:t>operación</w:t>
      </w:r>
      <w:r w:rsidRPr="00EC1AD6">
        <w:rPr>
          <w:rFonts w:ascii="Geomanist Light" w:hAnsi="Geomanist Light" w:cs="Arial"/>
          <w:sz w:val="19"/>
          <w:szCs w:val="19"/>
          <w:lang w:val="es-ES"/>
        </w:rPr>
        <w:t xml:space="preserve">, en las matemáticas, es el «Conjunto de reglas que permiten, partiendo de una o varias cantidades o expresiones, llamadas datos, obtener otras cantidades o expresiones llamadas resultados». </w:t>
      </w:r>
    </w:p>
    <w:p w14:paraId="41B73189" w14:textId="77777777" w:rsidR="00E10A61" w:rsidRPr="00EC1AD6" w:rsidRDefault="00E10A61" w:rsidP="00E10A61">
      <w:pPr>
        <w:pStyle w:val="Textonotapie"/>
        <w:ind w:firstLine="709"/>
        <w:jc w:val="both"/>
        <w:rPr>
          <w:rFonts w:ascii="Geomanist Light" w:hAnsi="Geomanist Light" w:cs="Arial"/>
          <w:sz w:val="19"/>
          <w:szCs w:val="19"/>
          <w:lang w:val="es-ES"/>
        </w:rPr>
      </w:pPr>
      <w:r w:rsidRPr="00EC1AD6">
        <w:rPr>
          <w:rFonts w:ascii="Geomanist Light" w:hAnsi="Geomanist Light" w:cs="Arial"/>
          <w:sz w:val="19"/>
          <w:szCs w:val="19"/>
          <w:lang w:val="es-ES"/>
        </w:rPr>
        <w:t>En: https://dle.rae.es/operaci%C3%B3n?m=form</w:t>
      </w:r>
    </w:p>
    <w:p w14:paraId="2BF4204C" w14:textId="77777777" w:rsidR="00E10A61" w:rsidRPr="00EC1AD6" w:rsidRDefault="00E10A61" w:rsidP="00E10A61">
      <w:pPr>
        <w:pStyle w:val="Textonotapie"/>
        <w:ind w:firstLine="709"/>
        <w:jc w:val="both"/>
        <w:rPr>
          <w:rFonts w:ascii="Geomanist Light" w:hAnsi="Geomanist Light" w:cs="Arial"/>
          <w:sz w:val="19"/>
          <w:szCs w:val="19"/>
          <w:lang w:val="es-ES"/>
        </w:rPr>
      </w:pPr>
    </w:p>
  </w:footnote>
  <w:footnote w:id="10">
    <w:p w14:paraId="4F87E10B" w14:textId="77777777" w:rsidR="00E10A61" w:rsidRPr="00EC1AD6" w:rsidRDefault="00E10A61" w:rsidP="00E10A61">
      <w:pPr>
        <w:pStyle w:val="Textonotapie"/>
        <w:ind w:firstLine="709"/>
        <w:jc w:val="both"/>
        <w:rPr>
          <w:rFonts w:ascii="Geomanist Light" w:hAnsi="Geomanist Light" w:cs="Arial"/>
          <w:sz w:val="19"/>
          <w:szCs w:val="19"/>
          <w:lang w:val="es-ES"/>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sz w:val="19"/>
          <w:szCs w:val="19"/>
          <w:lang w:val="es-ES"/>
        </w:rPr>
        <w:t xml:space="preserve">Corte Constitucional. Sentencia T-875 de 2000. Magistrado Ponente: Eduardo Cifuentes Muñoz. </w:t>
      </w:r>
    </w:p>
  </w:footnote>
  <w:footnote w:id="11">
    <w:p w14:paraId="2AD1503E" w14:textId="77777777" w:rsidR="00E10A61" w:rsidRPr="00EC1AD6" w:rsidRDefault="00E10A61" w:rsidP="00E10A61">
      <w:pPr>
        <w:pStyle w:val="Textonotapie"/>
        <w:ind w:firstLine="709"/>
        <w:jc w:val="both"/>
        <w:rPr>
          <w:rFonts w:ascii="Geomanist Light" w:hAnsi="Geomanist Light" w:cs="Arial"/>
          <w:sz w:val="19"/>
          <w:szCs w:val="19"/>
          <w:lang w:val="es-ES"/>
        </w:rPr>
      </w:pPr>
      <w:r w:rsidRPr="00EC1AD6">
        <w:rPr>
          <w:rStyle w:val="Refdenotaalpie"/>
          <w:rFonts w:ascii="Geomanist Light" w:hAnsi="Geomanist Light" w:cs="Arial"/>
          <w:sz w:val="19"/>
          <w:szCs w:val="19"/>
        </w:rPr>
        <w:footnoteRef/>
      </w:r>
      <w:r w:rsidRPr="00EC1AD6">
        <w:rPr>
          <w:rFonts w:ascii="Geomanist Light" w:hAnsi="Geomanist Light" w:cs="Arial"/>
          <w:sz w:val="19"/>
          <w:szCs w:val="19"/>
        </w:rPr>
        <w:t xml:space="preserve"> </w:t>
      </w:r>
      <w:r w:rsidRPr="00EC1AD6">
        <w:rPr>
          <w:rFonts w:ascii="Geomanist Light" w:hAnsi="Geomanist Light" w:cs="Arial"/>
          <w:sz w:val="19"/>
          <w:szCs w:val="19"/>
          <w:lang w:val="es-ES"/>
        </w:rPr>
        <w:t>Aquí se estaba haciendo referencia a los literales A y B del numeral 4.1.2. del Documento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1BF74B6F" w:rsidR="00F14E00" w:rsidRDefault="00F14E00">
    <w:pPr>
      <w:pStyle w:val="Encabezado"/>
    </w:pPr>
  </w:p>
  <w:p w14:paraId="6A4C7F2C" w14:textId="6C4A18B6" w:rsidR="00F14E00" w:rsidRDefault="009B729B">
    <w:pPr>
      <w:pStyle w:val="Encabezado"/>
    </w:pPr>
    <w:r>
      <w:rPr>
        <w:noProof/>
        <w:lang w:val="en-US"/>
      </w:rPr>
      <w:drawing>
        <wp:anchor distT="0" distB="0" distL="114300" distR="114300" simplePos="0" relativeHeight="251659264" behindDoc="0" locked="0" layoutInCell="1" allowOverlap="1" wp14:anchorId="5F22AEE3" wp14:editId="11E84054">
          <wp:simplePos x="0" y="0"/>
          <wp:positionH relativeFrom="column">
            <wp:posOffset>4090737</wp:posOffset>
          </wp:positionH>
          <wp:positionV relativeFrom="paragraph">
            <wp:posOffset>185420</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p w14:paraId="055F2E1F" w14:textId="182F5E87" w:rsidR="00F14E00" w:rsidRDefault="00F14E00">
    <w:pPr>
      <w:pStyle w:val="Encabezado"/>
    </w:pP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2442D"/>
    <w:multiLevelType w:val="multilevel"/>
    <w:tmpl w:val="863C213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CD2E12"/>
    <w:multiLevelType w:val="hybridMultilevel"/>
    <w:tmpl w:val="58D8A8AC"/>
    <w:lvl w:ilvl="0" w:tplc="2A58EF6A">
      <w:start w:val="1"/>
      <w:numFmt w:val="upperLetter"/>
      <w:lvlText w:val="%1."/>
      <w:lvlJc w:val="left"/>
      <w:pPr>
        <w:ind w:left="1141" w:hanging="432"/>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584921DB"/>
    <w:multiLevelType w:val="multilevel"/>
    <w:tmpl w:val="F468BAA4"/>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6C1365D9"/>
    <w:multiLevelType w:val="hybridMultilevel"/>
    <w:tmpl w:val="0C34695E"/>
    <w:lvl w:ilvl="0" w:tplc="DAAC72D6">
      <w:start w:val="1"/>
      <w:numFmt w:val="decimal"/>
      <w:lvlText w:val="%1."/>
      <w:lvlJc w:val="left"/>
      <w:pPr>
        <w:ind w:left="100" w:hanging="267"/>
      </w:pPr>
      <w:rPr>
        <w:rFonts w:ascii="Arial MT" w:eastAsia="Arial MT" w:hAnsi="Arial MT" w:cs="Arial MT" w:hint="default"/>
        <w:w w:val="100"/>
        <w:sz w:val="24"/>
        <w:szCs w:val="24"/>
        <w:lang w:val="es-ES" w:eastAsia="en-US" w:bidi="ar-SA"/>
      </w:rPr>
    </w:lvl>
    <w:lvl w:ilvl="1" w:tplc="117C21AC">
      <w:numFmt w:val="bullet"/>
      <w:lvlText w:val="•"/>
      <w:lvlJc w:val="left"/>
      <w:pPr>
        <w:ind w:left="1036" w:hanging="267"/>
      </w:pPr>
      <w:rPr>
        <w:rFonts w:hint="default"/>
        <w:lang w:val="es-ES" w:eastAsia="en-US" w:bidi="ar-SA"/>
      </w:rPr>
    </w:lvl>
    <w:lvl w:ilvl="2" w:tplc="23528DE0">
      <w:numFmt w:val="bullet"/>
      <w:lvlText w:val="•"/>
      <w:lvlJc w:val="left"/>
      <w:pPr>
        <w:ind w:left="1972" w:hanging="267"/>
      </w:pPr>
      <w:rPr>
        <w:rFonts w:hint="default"/>
        <w:lang w:val="es-ES" w:eastAsia="en-US" w:bidi="ar-SA"/>
      </w:rPr>
    </w:lvl>
    <w:lvl w:ilvl="3" w:tplc="31808A10">
      <w:numFmt w:val="bullet"/>
      <w:lvlText w:val="•"/>
      <w:lvlJc w:val="left"/>
      <w:pPr>
        <w:ind w:left="2908" w:hanging="267"/>
      </w:pPr>
      <w:rPr>
        <w:rFonts w:hint="default"/>
        <w:lang w:val="es-ES" w:eastAsia="en-US" w:bidi="ar-SA"/>
      </w:rPr>
    </w:lvl>
    <w:lvl w:ilvl="4" w:tplc="0ACEBBC8">
      <w:numFmt w:val="bullet"/>
      <w:lvlText w:val="•"/>
      <w:lvlJc w:val="left"/>
      <w:pPr>
        <w:ind w:left="3844" w:hanging="267"/>
      </w:pPr>
      <w:rPr>
        <w:rFonts w:hint="default"/>
        <w:lang w:val="es-ES" w:eastAsia="en-US" w:bidi="ar-SA"/>
      </w:rPr>
    </w:lvl>
    <w:lvl w:ilvl="5" w:tplc="6B146B28">
      <w:numFmt w:val="bullet"/>
      <w:lvlText w:val="•"/>
      <w:lvlJc w:val="left"/>
      <w:pPr>
        <w:ind w:left="4780" w:hanging="267"/>
      </w:pPr>
      <w:rPr>
        <w:rFonts w:hint="default"/>
        <w:lang w:val="es-ES" w:eastAsia="en-US" w:bidi="ar-SA"/>
      </w:rPr>
    </w:lvl>
    <w:lvl w:ilvl="6" w:tplc="5F2EE72C">
      <w:numFmt w:val="bullet"/>
      <w:lvlText w:val="•"/>
      <w:lvlJc w:val="left"/>
      <w:pPr>
        <w:ind w:left="5716" w:hanging="267"/>
      </w:pPr>
      <w:rPr>
        <w:rFonts w:hint="default"/>
        <w:lang w:val="es-ES" w:eastAsia="en-US" w:bidi="ar-SA"/>
      </w:rPr>
    </w:lvl>
    <w:lvl w:ilvl="7" w:tplc="4612B440">
      <w:numFmt w:val="bullet"/>
      <w:lvlText w:val="•"/>
      <w:lvlJc w:val="left"/>
      <w:pPr>
        <w:ind w:left="6652" w:hanging="267"/>
      </w:pPr>
      <w:rPr>
        <w:rFonts w:hint="default"/>
        <w:lang w:val="es-ES" w:eastAsia="en-US" w:bidi="ar-SA"/>
      </w:rPr>
    </w:lvl>
    <w:lvl w:ilvl="8" w:tplc="8D16151A">
      <w:numFmt w:val="bullet"/>
      <w:lvlText w:val="•"/>
      <w:lvlJc w:val="left"/>
      <w:pPr>
        <w:ind w:left="7588" w:hanging="267"/>
      </w:pPr>
      <w:rPr>
        <w:rFonts w:hint="default"/>
        <w:lang w:val="es-ES" w:eastAsia="en-US" w:bidi="ar-SA"/>
      </w:rPr>
    </w:lvl>
  </w:abstractNum>
  <w:abstractNum w:abstractNumId="19"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0" w15:restartNumberingAfterBreak="0">
    <w:nsid w:val="6E1F5B36"/>
    <w:multiLevelType w:val="hybridMultilevel"/>
    <w:tmpl w:val="77E27D3C"/>
    <w:lvl w:ilvl="0" w:tplc="2CB0B4BE">
      <w:start w:val="23"/>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2"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121B22"/>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426772608">
    <w:abstractNumId w:val="7"/>
  </w:num>
  <w:num w:numId="2" w16cid:durableId="2118982832">
    <w:abstractNumId w:val="6"/>
  </w:num>
  <w:num w:numId="3" w16cid:durableId="1629817662">
    <w:abstractNumId w:val="10"/>
  </w:num>
  <w:num w:numId="4" w16cid:durableId="1831673984">
    <w:abstractNumId w:val="14"/>
  </w:num>
  <w:num w:numId="5" w16cid:durableId="833255309">
    <w:abstractNumId w:val="17"/>
  </w:num>
  <w:num w:numId="6" w16cid:durableId="19460352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895589">
    <w:abstractNumId w:val="4"/>
  </w:num>
  <w:num w:numId="8" w16cid:durableId="717169269">
    <w:abstractNumId w:val="19"/>
  </w:num>
  <w:num w:numId="9" w16cid:durableId="986975614">
    <w:abstractNumId w:val="4"/>
    <w:lvlOverride w:ilvl="0">
      <w:startOverride w:val="1"/>
    </w:lvlOverride>
  </w:num>
  <w:num w:numId="10" w16cid:durableId="901908555">
    <w:abstractNumId w:val="21"/>
  </w:num>
  <w:num w:numId="11" w16cid:durableId="1326131066">
    <w:abstractNumId w:val="5"/>
  </w:num>
  <w:num w:numId="12" w16cid:durableId="1926497261">
    <w:abstractNumId w:val="22"/>
  </w:num>
  <w:num w:numId="13" w16cid:durableId="1104883109">
    <w:abstractNumId w:val="13"/>
  </w:num>
  <w:num w:numId="14" w16cid:durableId="260988791">
    <w:abstractNumId w:val="15"/>
  </w:num>
  <w:num w:numId="15" w16cid:durableId="680355654">
    <w:abstractNumId w:val="1"/>
  </w:num>
  <w:num w:numId="16" w16cid:durableId="1351686618">
    <w:abstractNumId w:val="2"/>
  </w:num>
  <w:num w:numId="17" w16cid:durableId="1222867617">
    <w:abstractNumId w:val="16"/>
  </w:num>
  <w:num w:numId="18" w16cid:durableId="1202982440">
    <w:abstractNumId w:val="8"/>
  </w:num>
  <w:num w:numId="19" w16cid:durableId="800269076">
    <w:abstractNumId w:val="18"/>
  </w:num>
  <w:num w:numId="20" w16cid:durableId="613751212">
    <w:abstractNumId w:val="9"/>
  </w:num>
  <w:num w:numId="21" w16cid:durableId="2029791114">
    <w:abstractNumId w:val="20"/>
  </w:num>
  <w:num w:numId="22" w16cid:durableId="729768725">
    <w:abstractNumId w:val="23"/>
  </w:num>
  <w:num w:numId="23" w16cid:durableId="381565655">
    <w:abstractNumId w:val="12"/>
  </w:num>
  <w:num w:numId="24" w16cid:durableId="1402634052">
    <w:abstractNumId w:val="3"/>
  </w:num>
  <w:num w:numId="25" w16cid:durableId="1341204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14F3"/>
    <w:rsid w:val="0000268F"/>
    <w:rsid w:val="00003409"/>
    <w:rsid w:val="0000404B"/>
    <w:rsid w:val="0000645E"/>
    <w:rsid w:val="0000651A"/>
    <w:rsid w:val="00006C9C"/>
    <w:rsid w:val="00010563"/>
    <w:rsid w:val="00010D56"/>
    <w:rsid w:val="00011ADD"/>
    <w:rsid w:val="000126BB"/>
    <w:rsid w:val="00012A1B"/>
    <w:rsid w:val="00013517"/>
    <w:rsid w:val="000136DC"/>
    <w:rsid w:val="00013A51"/>
    <w:rsid w:val="00016F33"/>
    <w:rsid w:val="00016FAC"/>
    <w:rsid w:val="0001726A"/>
    <w:rsid w:val="0001795B"/>
    <w:rsid w:val="000201EA"/>
    <w:rsid w:val="00020801"/>
    <w:rsid w:val="00022BE7"/>
    <w:rsid w:val="00023441"/>
    <w:rsid w:val="00023549"/>
    <w:rsid w:val="000244AB"/>
    <w:rsid w:val="00024BE5"/>
    <w:rsid w:val="0002665B"/>
    <w:rsid w:val="00026AD9"/>
    <w:rsid w:val="000271AD"/>
    <w:rsid w:val="00027940"/>
    <w:rsid w:val="00027F74"/>
    <w:rsid w:val="000303EC"/>
    <w:rsid w:val="00032695"/>
    <w:rsid w:val="00032DA3"/>
    <w:rsid w:val="000365C0"/>
    <w:rsid w:val="00036CA8"/>
    <w:rsid w:val="00037112"/>
    <w:rsid w:val="00037BF5"/>
    <w:rsid w:val="00042AC5"/>
    <w:rsid w:val="00044E56"/>
    <w:rsid w:val="000503A1"/>
    <w:rsid w:val="0005095B"/>
    <w:rsid w:val="00050E8C"/>
    <w:rsid w:val="00051882"/>
    <w:rsid w:val="00051B81"/>
    <w:rsid w:val="00055733"/>
    <w:rsid w:val="00056024"/>
    <w:rsid w:val="00056BF7"/>
    <w:rsid w:val="00057953"/>
    <w:rsid w:val="0006054C"/>
    <w:rsid w:val="0006293E"/>
    <w:rsid w:val="0006625D"/>
    <w:rsid w:val="00066C3F"/>
    <w:rsid w:val="0006738C"/>
    <w:rsid w:val="00070770"/>
    <w:rsid w:val="00070A22"/>
    <w:rsid w:val="00071D4B"/>
    <w:rsid w:val="00071D6E"/>
    <w:rsid w:val="00072969"/>
    <w:rsid w:val="0007590A"/>
    <w:rsid w:val="00080D35"/>
    <w:rsid w:val="00081AF3"/>
    <w:rsid w:val="0008260E"/>
    <w:rsid w:val="000827F2"/>
    <w:rsid w:val="00084278"/>
    <w:rsid w:val="00084DC0"/>
    <w:rsid w:val="00085CC3"/>
    <w:rsid w:val="00085D36"/>
    <w:rsid w:val="00087888"/>
    <w:rsid w:val="00090683"/>
    <w:rsid w:val="00091301"/>
    <w:rsid w:val="000939E0"/>
    <w:rsid w:val="00093D35"/>
    <w:rsid w:val="000942EB"/>
    <w:rsid w:val="0009440D"/>
    <w:rsid w:val="0009651A"/>
    <w:rsid w:val="00096EAB"/>
    <w:rsid w:val="000970A3"/>
    <w:rsid w:val="000970AA"/>
    <w:rsid w:val="0009712F"/>
    <w:rsid w:val="000972BA"/>
    <w:rsid w:val="00097B7F"/>
    <w:rsid w:val="000A15CB"/>
    <w:rsid w:val="000A1B81"/>
    <w:rsid w:val="000A2169"/>
    <w:rsid w:val="000A2C01"/>
    <w:rsid w:val="000A3536"/>
    <w:rsid w:val="000A44E8"/>
    <w:rsid w:val="000A5189"/>
    <w:rsid w:val="000A668C"/>
    <w:rsid w:val="000A7091"/>
    <w:rsid w:val="000A7E46"/>
    <w:rsid w:val="000B0831"/>
    <w:rsid w:val="000B103F"/>
    <w:rsid w:val="000B1C28"/>
    <w:rsid w:val="000B1DCE"/>
    <w:rsid w:val="000B26E7"/>
    <w:rsid w:val="000B37A1"/>
    <w:rsid w:val="000B3893"/>
    <w:rsid w:val="000B4FC6"/>
    <w:rsid w:val="000B53D0"/>
    <w:rsid w:val="000C0B7C"/>
    <w:rsid w:val="000C1091"/>
    <w:rsid w:val="000C2DD2"/>
    <w:rsid w:val="000C4F67"/>
    <w:rsid w:val="000C4F79"/>
    <w:rsid w:val="000C5A1F"/>
    <w:rsid w:val="000C6043"/>
    <w:rsid w:val="000C6347"/>
    <w:rsid w:val="000D0AFA"/>
    <w:rsid w:val="000D228B"/>
    <w:rsid w:val="000D5E6D"/>
    <w:rsid w:val="000E00A8"/>
    <w:rsid w:val="000E1761"/>
    <w:rsid w:val="000E1F13"/>
    <w:rsid w:val="000E2241"/>
    <w:rsid w:val="000E2297"/>
    <w:rsid w:val="000E2B3A"/>
    <w:rsid w:val="000E496F"/>
    <w:rsid w:val="000E68FA"/>
    <w:rsid w:val="000E6962"/>
    <w:rsid w:val="000E6D84"/>
    <w:rsid w:val="000E7A1E"/>
    <w:rsid w:val="000F07B8"/>
    <w:rsid w:val="000F13A2"/>
    <w:rsid w:val="000F14E8"/>
    <w:rsid w:val="000F2007"/>
    <w:rsid w:val="000F3B04"/>
    <w:rsid w:val="000F6869"/>
    <w:rsid w:val="000F7AE4"/>
    <w:rsid w:val="0010045F"/>
    <w:rsid w:val="001010FA"/>
    <w:rsid w:val="001015E9"/>
    <w:rsid w:val="001017F1"/>
    <w:rsid w:val="001019CA"/>
    <w:rsid w:val="00102AA1"/>
    <w:rsid w:val="00103915"/>
    <w:rsid w:val="00103D3D"/>
    <w:rsid w:val="00106085"/>
    <w:rsid w:val="001065D1"/>
    <w:rsid w:val="00106B75"/>
    <w:rsid w:val="00110012"/>
    <w:rsid w:val="00110E52"/>
    <w:rsid w:val="001112CF"/>
    <w:rsid w:val="00111438"/>
    <w:rsid w:val="00111636"/>
    <w:rsid w:val="00112192"/>
    <w:rsid w:val="00112B4A"/>
    <w:rsid w:val="00112D2F"/>
    <w:rsid w:val="00114236"/>
    <w:rsid w:val="00114D72"/>
    <w:rsid w:val="001152BA"/>
    <w:rsid w:val="0011561C"/>
    <w:rsid w:val="00115D3E"/>
    <w:rsid w:val="001164BB"/>
    <w:rsid w:val="001170AB"/>
    <w:rsid w:val="001214FF"/>
    <w:rsid w:val="0012201D"/>
    <w:rsid w:val="0012244A"/>
    <w:rsid w:val="001229C6"/>
    <w:rsid w:val="00122B23"/>
    <w:rsid w:val="00123AA4"/>
    <w:rsid w:val="00124CE3"/>
    <w:rsid w:val="00124E73"/>
    <w:rsid w:val="00124EC3"/>
    <w:rsid w:val="00125291"/>
    <w:rsid w:val="0012570E"/>
    <w:rsid w:val="00125D4C"/>
    <w:rsid w:val="0012754A"/>
    <w:rsid w:val="00130333"/>
    <w:rsid w:val="00130544"/>
    <w:rsid w:val="0013063B"/>
    <w:rsid w:val="0013236F"/>
    <w:rsid w:val="00132C50"/>
    <w:rsid w:val="001332D0"/>
    <w:rsid w:val="00133BB0"/>
    <w:rsid w:val="001344AA"/>
    <w:rsid w:val="001349B6"/>
    <w:rsid w:val="00137BA1"/>
    <w:rsid w:val="00137FFA"/>
    <w:rsid w:val="001425C5"/>
    <w:rsid w:val="001428CF"/>
    <w:rsid w:val="001448B5"/>
    <w:rsid w:val="00146179"/>
    <w:rsid w:val="00146E1D"/>
    <w:rsid w:val="00150BF0"/>
    <w:rsid w:val="00152609"/>
    <w:rsid w:val="0015382E"/>
    <w:rsid w:val="00154263"/>
    <w:rsid w:val="001550CF"/>
    <w:rsid w:val="001554A4"/>
    <w:rsid w:val="00155B6E"/>
    <w:rsid w:val="00155BFC"/>
    <w:rsid w:val="00156A50"/>
    <w:rsid w:val="00156DAF"/>
    <w:rsid w:val="00157821"/>
    <w:rsid w:val="00157CA4"/>
    <w:rsid w:val="0016135A"/>
    <w:rsid w:val="0016149E"/>
    <w:rsid w:val="0016152C"/>
    <w:rsid w:val="00161D78"/>
    <w:rsid w:val="0016240C"/>
    <w:rsid w:val="00163B50"/>
    <w:rsid w:val="00164225"/>
    <w:rsid w:val="0016511A"/>
    <w:rsid w:val="00165EA8"/>
    <w:rsid w:val="00165F08"/>
    <w:rsid w:val="0016658C"/>
    <w:rsid w:val="0016680A"/>
    <w:rsid w:val="00167B9D"/>
    <w:rsid w:val="00167F0C"/>
    <w:rsid w:val="00170733"/>
    <w:rsid w:val="00172E0A"/>
    <w:rsid w:val="0017360F"/>
    <w:rsid w:val="001736CF"/>
    <w:rsid w:val="00174107"/>
    <w:rsid w:val="00175343"/>
    <w:rsid w:val="001755EC"/>
    <w:rsid w:val="00175795"/>
    <w:rsid w:val="00177BAA"/>
    <w:rsid w:val="00180B3B"/>
    <w:rsid w:val="00184E93"/>
    <w:rsid w:val="001900CF"/>
    <w:rsid w:val="001918D6"/>
    <w:rsid w:val="00191FB4"/>
    <w:rsid w:val="00192B77"/>
    <w:rsid w:val="001939B7"/>
    <w:rsid w:val="00193B03"/>
    <w:rsid w:val="001963C6"/>
    <w:rsid w:val="00196917"/>
    <w:rsid w:val="0019745D"/>
    <w:rsid w:val="00197AAA"/>
    <w:rsid w:val="001A08F7"/>
    <w:rsid w:val="001A0DF1"/>
    <w:rsid w:val="001A0EC0"/>
    <w:rsid w:val="001A27D7"/>
    <w:rsid w:val="001A3721"/>
    <w:rsid w:val="001A387A"/>
    <w:rsid w:val="001A4138"/>
    <w:rsid w:val="001A569E"/>
    <w:rsid w:val="001A70EF"/>
    <w:rsid w:val="001B0A86"/>
    <w:rsid w:val="001B1BE7"/>
    <w:rsid w:val="001B2EA0"/>
    <w:rsid w:val="001B3306"/>
    <w:rsid w:val="001B464A"/>
    <w:rsid w:val="001B4A46"/>
    <w:rsid w:val="001B4BEB"/>
    <w:rsid w:val="001B528A"/>
    <w:rsid w:val="001B53B4"/>
    <w:rsid w:val="001B6044"/>
    <w:rsid w:val="001B686F"/>
    <w:rsid w:val="001B68B7"/>
    <w:rsid w:val="001B71FD"/>
    <w:rsid w:val="001B7618"/>
    <w:rsid w:val="001B7DEA"/>
    <w:rsid w:val="001C1F29"/>
    <w:rsid w:val="001C219D"/>
    <w:rsid w:val="001C33CB"/>
    <w:rsid w:val="001C4297"/>
    <w:rsid w:val="001C54B1"/>
    <w:rsid w:val="001C6128"/>
    <w:rsid w:val="001C722C"/>
    <w:rsid w:val="001D172E"/>
    <w:rsid w:val="001D1BD8"/>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314"/>
    <w:rsid w:val="001F25A1"/>
    <w:rsid w:val="001F25AA"/>
    <w:rsid w:val="001F2AD0"/>
    <w:rsid w:val="001F384E"/>
    <w:rsid w:val="001F3C7B"/>
    <w:rsid w:val="001F3D53"/>
    <w:rsid w:val="001F416A"/>
    <w:rsid w:val="001F5546"/>
    <w:rsid w:val="001F6AAC"/>
    <w:rsid w:val="001F6D45"/>
    <w:rsid w:val="001F790E"/>
    <w:rsid w:val="001F7C9F"/>
    <w:rsid w:val="002005CC"/>
    <w:rsid w:val="00203F1A"/>
    <w:rsid w:val="00204114"/>
    <w:rsid w:val="00204C65"/>
    <w:rsid w:val="002059AF"/>
    <w:rsid w:val="0020637E"/>
    <w:rsid w:val="002107F4"/>
    <w:rsid w:val="002131AD"/>
    <w:rsid w:val="0021327A"/>
    <w:rsid w:val="002135F3"/>
    <w:rsid w:val="002146C0"/>
    <w:rsid w:val="00214DF8"/>
    <w:rsid w:val="0021564F"/>
    <w:rsid w:val="0021571D"/>
    <w:rsid w:val="00216478"/>
    <w:rsid w:val="00216F1A"/>
    <w:rsid w:val="0021759E"/>
    <w:rsid w:val="00220CE5"/>
    <w:rsid w:val="002215FF"/>
    <w:rsid w:val="00221BD0"/>
    <w:rsid w:val="00222935"/>
    <w:rsid w:val="002236DB"/>
    <w:rsid w:val="00224570"/>
    <w:rsid w:val="0022655C"/>
    <w:rsid w:val="00233365"/>
    <w:rsid w:val="00233A24"/>
    <w:rsid w:val="0023484E"/>
    <w:rsid w:val="00234B84"/>
    <w:rsid w:val="00235341"/>
    <w:rsid w:val="00235EAA"/>
    <w:rsid w:val="00237329"/>
    <w:rsid w:val="00237CB3"/>
    <w:rsid w:val="002403EB"/>
    <w:rsid w:val="002412CB"/>
    <w:rsid w:val="002416BA"/>
    <w:rsid w:val="00242EFF"/>
    <w:rsid w:val="00244CC4"/>
    <w:rsid w:val="002457FD"/>
    <w:rsid w:val="00245C7E"/>
    <w:rsid w:val="0024604B"/>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672EC"/>
    <w:rsid w:val="00270234"/>
    <w:rsid w:val="0027071C"/>
    <w:rsid w:val="00272C62"/>
    <w:rsid w:val="00273DED"/>
    <w:rsid w:val="00275701"/>
    <w:rsid w:val="00276521"/>
    <w:rsid w:val="00283380"/>
    <w:rsid w:val="0028382A"/>
    <w:rsid w:val="00284F66"/>
    <w:rsid w:val="00285D7E"/>
    <w:rsid w:val="00285FED"/>
    <w:rsid w:val="00286A53"/>
    <w:rsid w:val="00286EB7"/>
    <w:rsid w:val="00287542"/>
    <w:rsid w:val="002877E9"/>
    <w:rsid w:val="00287A79"/>
    <w:rsid w:val="0029159E"/>
    <w:rsid w:val="00292CD9"/>
    <w:rsid w:val="00294801"/>
    <w:rsid w:val="00295418"/>
    <w:rsid w:val="0029573E"/>
    <w:rsid w:val="002A01C4"/>
    <w:rsid w:val="002A0763"/>
    <w:rsid w:val="002A3730"/>
    <w:rsid w:val="002A4E44"/>
    <w:rsid w:val="002A4F10"/>
    <w:rsid w:val="002A63F4"/>
    <w:rsid w:val="002B0564"/>
    <w:rsid w:val="002B0BD2"/>
    <w:rsid w:val="002B4907"/>
    <w:rsid w:val="002B50DA"/>
    <w:rsid w:val="002B5BCA"/>
    <w:rsid w:val="002B7DD1"/>
    <w:rsid w:val="002C0725"/>
    <w:rsid w:val="002C087E"/>
    <w:rsid w:val="002C27C5"/>
    <w:rsid w:val="002C2B17"/>
    <w:rsid w:val="002C2BF2"/>
    <w:rsid w:val="002C43B5"/>
    <w:rsid w:val="002C5940"/>
    <w:rsid w:val="002C5D89"/>
    <w:rsid w:val="002C7CF0"/>
    <w:rsid w:val="002D17B8"/>
    <w:rsid w:val="002D3456"/>
    <w:rsid w:val="002D4BB3"/>
    <w:rsid w:val="002D6190"/>
    <w:rsid w:val="002D696B"/>
    <w:rsid w:val="002D7E62"/>
    <w:rsid w:val="002D7F92"/>
    <w:rsid w:val="002E0A18"/>
    <w:rsid w:val="002E0AA8"/>
    <w:rsid w:val="002E0FAD"/>
    <w:rsid w:val="002E1964"/>
    <w:rsid w:val="002E19A6"/>
    <w:rsid w:val="002E1E7E"/>
    <w:rsid w:val="002E2947"/>
    <w:rsid w:val="002E35BE"/>
    <w:rsid w:val="002E6B6F"/>
    <w:rsid w:val="002E6F7C"/>
    <w:rsid w:val="002F0602"/>
    <w:rsid w:val="002F0800"/>
    <w:rsid w:val="002F3606"/>
    <w:rsid w:val="002F436E"/>
    <w:rsid w:val="002F4BC7"/>
    <w:rsid w:val="002F5131"/>
    <w:rsid w:val="002F6EDA"/>
    <w:rsid w:val="002F6EE0"/>
    <w:rsid w:val="002F70EB"/>
    <w:rsid w:val="002F779E"/>
    <w:rsid w:val="002F7BFE"/>
    <w:rsid w:val="0030086F"/>
    <w:rsid w:val="00301AA8"/>
    <w:rsid w:val="003033BA"/>
    <w:rsid w:val="003038BC"/>
    <w:rsid w:val="00303EFC"/>
    <w:rsid w:val="003046D6"/>
    <w:rsid w:val="003103C3"/>
    <w:rsid w:val="00310895"/>
    <w:rsid w:val="003112B5"/>
    <w:rsid w:val="00311919"/>
    <w:rsid w:val="0031293C"/>
    <w:rsid w:val="00313BBA"/>
    <w:rsid w:val="00313D9F"/>
    <w:rsid w:val="00314010"/>
    <w:rsid w:val="00314899"/>
    <w:rsid w:val="00314A89"/>
    <w:rsid w:val="00315623"/>
    <w:rsid w:val="00316182"/>
    <w:rsid w:val="0032072B"/>
    <w:rsid w:val="00320C7F"/>
    <w:rsid w:val="00320DFD"/>
    <w:rsid w:val="00320E68"/>
    <w:rsid w:val="00326F22"/>
    <w:rsid w:val="0033002D"/>
    <w:rsid w:val="00332906"/>
    <w:rsid w:val="00332C3C"/>
    <w:rsid w:val="00333BE1"/>
    <w:rsid w:val="00334B76"/>
    <w:rsid w:val="00336644"/>
    <w:rsid w:val="00337299"/>
    <w:rsid w:val="0033763C"/>
    <w:rsid w:val="0034149E"/>
    <w:rsid w:val="003415A9"/>
    <w:rsid w:val="00341CE5"/>
    <w:rsid w:val="00342202"/>
    <w:rsid w:val="003429C9"/>
    <w:rsid w:val="00343DF1"/>
    <w:rsid w:val="00344889"/>
    <w:rsid w:val="0034680A"/>
    <w:rsid w:val="00347661"/>
    <w:rsid w:val="003478E7"/>
    <w:rsid w:val="00347C6A"/>
    <w:rsid w:val="00351383"/>
    <w:rsid w:val="0035216C"/>
    <w:rsid w:val="00352927"/>
    <w:rsid w:val="00353FDF"/>
    <w:rsid w:val="0035453F"/>
    <w:rsid w:val="00354545"/>
    <w:rsid w:val="003555B4"/>
    <w:rsid w:val="00355951"/>
    <w:rsid w:val="003567B6"/>
    <w:rsid w:val="00361375"/>
    <w:rsid w:val="00361B65"/>
    <w:rsid w:val="00361FDA"/>
    <w:rsid w:val="00362486"/>
    <w:rsid w:val="0036497E"/>
    <w:rsid w:val="00364F1A"/>
    <w:rsid w:val="003650C9"/>
    <w:rsid w:val="00366C32"/>
    <w:rsid w:val="00370640"/>
    <w:rsid w:val="003707D2"/>
    <w:rsid w:val="0037099D"/>
    <w:rsid w:val="00372A55"/>
    <w:rsid w:val="003739E6"/>
    <w:rsid w:val="00374F25"/>
    <w:rsid w:val="003776F1"/>
    <w:rsid w:val="00377AD6"/>
    <w:rsid w:val="00381A7D"/>
    <w:rsid w:val="00381B41"/>
    <w:rsid w:val="00383DDA"/>
    <w:rsid w:val="00384AFA"/>
    <w:rsid w:val="00384B44"/>
    <w:rsid w:val="00385EC9"/>
    <w:rsid w:val="00386456"/>
    <w:rsid w:val="00387241"/>
    <w:rsid w:val="0039010E"/>
    <w:rsid w:val="003901D8"/>
    <w:rsid w:val="00391496"/>
    <w:rsid w:val="003914FA"/>
    <w:rsid w:val="00391D93"/>
    <w:rsid w:val="00393184"/>
    <w:rsid w:val="0039340C"/>
    <w:rsid w:val="003934DD"/>
    <w:rsid w:val="0039489C"/>
    <w:rsid w:val="00395A3E"/>
    <w:rsid w:val="003960C7"/>
    <w:rsid w:val="003962C5"/>
    <w:rsid w:val="003966FF"/>
    <w:rsid w:val="00396D23"/>
    <w:rsid w:val="003A02EB"/>
    <w:rsid w:val="003A046A"/>
    <w:rsid w:val="003A25E4"/>
    <w:rsid w:val="003A2C66"/>
    <w:rsid w:val="003A3528"/>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D5728"/>
    <w:rsid w:val="003D711A"/>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82A"/>
    <w:rsid w:val="003F7E6A"/>
    <w:rsid w:val="00400083"/>
    <w:rsid w:val="0040059A"/>
    <w:rsid w:val="00400A4C"/>
    <w:rsid w:val="00402C55"/>
    <w:rsid w:val="00404A20"/>
    <w:rsid w:val="00407BD2"/>
    <w:rsid w:val="0041043C"/>
    <w:rsid w:val="00411B85"/>
    <w:rsid w:val="00411D1B"/>
    <w:rsid w:val="00411F9D"/>
    <w:rsid w:val="00412972"/>
    <w:rsid w:val="004129E3"/>
    <w:rsid w:val="004142FF"/>
    <w:rsid w:val="00414B1E"/>
    <w:rsid w:val="00415610"/>
    <w:rsid w:val="00416511"/>
    <w:rsid w:val="004200BB"/>
    <w:rsid w:val="00420667"/>
    <w:rsid w:val="004207E3"/>
    <w:rsid w:val="00420D01"/>
    <w:rsid w:val="0042321C"/>
    <w:rsid w:val="00423267"/>
    <w:rsid w:val="004240BB"/>
    <w:rsid w:val="00424744"/>
    <w:rsid w:val="004250CD"/>
    <w:rsid w:val="004252E8"/>
    <w:rsid w:val="004268C3"/>
    <w:rsid w:val="00426EEE"/>
    <w:rsid w:val="00426F4A"/>
    <w:rsid w:val="00430975"/>
    <w:rsid w:val="0043155D"/>
    <w:rsid w:val="004323D3"/>
    <w:rsid w:val="00432915"/>
    <w:rsid w:val="004359A4"/>
    <w:rsid w:val="00435AA2"/>
    <w:rsid w:val="004363BC"/>
    <w:rsid w:val="00436BC5"/>
    <w:rsid w:val="00436C94"/>
    <w:rsid w:val="0043754D"/>
    <w:rsid w:val="00437BF5"/>
    <w:rsid w:val="00437BF8"/>
    <w:rsid w:val="004422D6"/>
    <w:rsid w:val="00442BFD"/>
    <w:rsid w:val="004440EF"/>
    <w:rsid w:val="00444A46"/>
    <w:rsid w:val="004453FD"/>
    <w:rsid w:val="00445EE4"/>
    <w:rsid w:val="00447095"/>
    <w:rsid w:val="00447ADC"/>
    <w:rsid w:val="004507CF"/>
    <w:rsid w:val="0045342C"/>
    <w:rsid w:val="00454B0F"/>
    <w:rsid w:val="00456B0F"/>
    <w:rsid w:val="00457983"/>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16D"/>
    <w:rsid w:val="004838AB"/>
    <w:rsid w:val="00483C47"/>
    <w:rsid w:val="00485F24"/>
    <w:rsid w:val="004878C1"/>
    <w:rsid w:val="0049189C"/>
    <w:rsid w:val="00491F45"/>
    <w:rsid w:val="0049331C"/>
    <w:rsid w:val="0049505C"/>
    <w:rsid w:val="00496626"/>
    <w:rsid w:val="0049684A"/>
    <w:rsid w:val="00496EEE"/>
    <w:rsid w:val="00497B27"/>
    <w:rsid w:val="004A183E"/>
    <w:rsid w:val="004A34D2"/>
    <w:rsid w:val="004A40FC"/>
    <w:rsid w:val="004A411B"/>
    <w:rsid w:val="004A4319"/>
    <w:rsid w:val="004A488B"/>
    <w:rsid w:val="004A5C48"/>
    <w:rsid w:val="004B1AF2"/>
    <w:rsid w:val="004B219E"/>
    <w:rsid w:val="004B2A5D"/>
    <w:rsid w:val="004B3A6A"/>
    <w:rsid w:val="004B40DB"/>
    <w:rsid w:val="004B4A0E"/>
    <w:rsid w:val="004B5ECB"/>
    <w:rsid w:val="004B6DE0"/>
    <w:rsid w:val="004C003F"/>
    <w:rsid w:val="004C05CA"/>
    <w:rsid w:val="004C0993"/>
    <w:rsid w:val="004C1226"/>
    <w:rsid w:val="004C1F44"/>
    <w:rsid w:val="004C1F93"/>
    <w:rsid w:val="004C247D"/>
    <w:rsid w:val="004C3FAA"/>
    <w:rsid w:val="004C5092"/>
    <w:rsid w:val="004C7AC2"/>
    <w:rsid w:val="004D2B08"/>
    <w:rsid w:val="004D2C64"/>
    <w:rsid w:val="004D3473"/>
    <w:rsid w:val="004D35E1"/>
    <w:rsid w:val="004D3644"/>
    <w:rsid w:val="004D40F7"/>
    <w:rsid w:val="004D4556"/>
    <w:rsid w:val="004D4E15"/>
    <w:rsid w:val="004D7A98"/>
    <w:rsid w:val="004E1E4A"/>
    <w:rsid w:val="004E2973"/>
    <w:rsid w:val="004E4142"/>
    <w:rsid w:val="004E49CB"/>
    <w:rsid w:val="004E5102"/>
    <w:rsid w:val="004E5B78"/>
    <w:rsid w:val="004E77C8"/>
    <w:rsid w:val="004F0B50"/>
    <w:rsid w:val="004F1050"/>
    <w:rsid w:val="004F32CC"/>
    <w:rsid w:val="004F4EB9"/>
    <w:rsid w:val="00500564"/>
    <w:rsid w:val="0050066F"/>
    <w:rsid w:val="005019B6"/>
    <w:rsid w:val="00502467"/>
    <w:rsid w:val="005024C1"/>
    <w:rsid w:val="00502929"/>
    <w:rsid w:val="00502A2B"/>
    <w:rsid w:val="00502F06"/>
    <w:rsid w:val="005037CD"/>
    <w:rsid w:val="00503872"/>
    <w:rsid w:val="0050454C"/>
    <w:rsid w:val="00504EAC"/>
    <w:rsid w:val="005053B0"/>
    <w:rsid w:val="005102EF"/>
    <w:rsid w:val="0051074C"/>
    <w:rsid w:val="0051089A"/>
    <w:rsid w:val="00510975"/>
    <w:rsid w:val="00510BB6"/>
    <w:rsid w:val="0051288D"/>
    <w:rsid w:val="00513A69"/>
    <w:rsid w:val="00513AE4"/>
    <w:rsid w:val="00513AF2"/>
    <w:rsid w:val="0051420E"/>
    <w:rsid w:val="005148C5"/>
    <w:rsid w:val="005152C2"/>
    <w:rsid w:val="0051623D"/>
    <w:rsid w:val="00517A9B"/>
    <w:rsid w:val="005200B5"/>
    <w:rsid w:val="0052099D"/>
    <w:rsid w:val="005216BC"/>
    <w:rsid w:val="00521B54"/>
    <w:rsid w:val="00522109"/>
    <w:rsid w:val="00522B0F"/>
    <w:rsid w:val="0052307C"/>
    <w:rsid w:val="005232BB"/>
    <w:rsid w:val="00523A3E"/>
    <w:rsid w:val="00523A7E"/>
    <w:rsid w:val="00524F8D"/>
    <w:rsid w:val="00525253"/>
    <w:rsid w:val="00526831"/>
    <w:rsid w:val="0052715F"/>
    <w:rsid w:val="00527891"/>
    <w:rsid w:val="00532AC6"/>
    <w:rsid w:val="0053307D"/>
    <w:rsid w:val="00533367"/>
    <w:rsid w:val="0053422D"/>
    <w:rsid w:val="0053424F"/>
    <w:rsid w:val="00535161"/>
    <w:rsid w:val="0053606E"/>
    <w:rsid w:val="00536424"/>
    <w:rsid w:val="005369F6"/>
    <w:rsid w:val="00536C27"/>
    <w:rsid w:val="005379F9"/>
    <w:rsid w:val="005418FA"/>
    <w:rsid w:val="0054413A"/>
    <w:rsid w:val="005443C9"/>
    <w:rsid w:val="00545144"/>
    <w:rsid w:val="00545326"/>
    <w:rsid w:val="00545604"/>
    <w:rsid w:val="005457A0"/>
    <w:rsid w:val="0054784F"/>
    <w:rsid w:val="00550551"/>
    <w:rsid w:val="00550E5E"/>
    <w:rsid w:val="005530C0"/>
    <w:rsid w:val="00554C0F"/>
    <w:rsid w:val="00555AA7"/>
    <w:rsid w:val="005564CA"/>
    <w:rsid w:val="0055768B"/>
    <w:rsid w:val="00561510"/>
    <w:rsid w:val="005620AD"/>
    <w:rsid w:val="005626E7"/>
    <w:rsid w:val="00562799"/>
    <w:rsid w:val="00563CEC"/>
    <w:rsid w:val="0056664B"/>
    <w:rsid w:val="00566BCB"/>
    <w:rsid w:val="00567165"/>
    <w:rsid w:val="005678D7"/>
    <w:rsid w:val="00571897"/>
    <w:rsid w:val="00571E3F"/>
    <w:rsid w:val="005731B5"/>
    <w:rsid w:val="0057389B"/>
    <w:rsid w:val="00573E10"/>
    <w:rsid w:val="00574D20"/>
    <w:rsid w:val="0057593D"/>
    <w:rsid w:val="00575B77"/>
    <w:rsid w:val="00575D08"/>
    <w:rsid w:val="00576B7C"/>
    <w:rsid w:val="005770F6"/>
    <w:rsid w:val="005811F1"/>
    <w:rsid w:val="00582241"/>
    <w:rsid w:val="00582A95"/>
    <w:rsid w:val="00584A15"/>
    <w:rsid w:val="00584E86"/>
    <w:rsid w:val="0058545D"/>
    <w:rsid w:val="00586344"/>
    <w:rsid w:val="005872E0"/>
    <w:rsid w:val="00590DD9"/>
    <w:rsid w:val="005911A7"/>
    <w:rsid w:val="0059266D"/>
    <w:rsid w:val="00592B47"/>
    <w:rsid w:val="005938AB"/>
    <w:rsid w:val="005946C7"/>
    <w:rsid w:val="005977A4"/>
    <w:rsid w:val="005A0585"/>
    <w:rsid w:val="005A0B35"/>
    <w:rsid w:val="005A14E0"/>
    <w:rsid w:val="005A1570"/>
    <w:rsid w:val="005A34F0"/>
    <w:rsid w:val="005A456B"/>
    <w:rsid w:val="005A4A4C"/>
    <w:rsid w:val="005A5272"/>
    <w:rsid w:val="005A5275"/>
    <w:rsid w:val="005A5AF7"/>
    <w:rsid w:val="005A5BF9"/>
    <w:rsid w:val="005A6DCD"/>
    <w:rsid w:val="005A79FE"/>
    <w:rsid w:val="005A7B03"/>
    <w:rsid w:val="005B1089"/>
    <w:rsid w:val="005B2AF3"/>
    <w:rsid w:val="005B4AA6"/>
    <w:rsid w:val="005B6435"/>
    <w:rsid w:val="005B6A46"/>
    <w:rsid w:val="005B7215"/>
    <w:rsid w:val="005B7515"/>
    <w:rsid w:val="005B7A2F"/>
    <w:rsid w:val="005C0D43"/>
    <w:rsid w:val="005C1FFD"/>
    <w:rsid w:val="005C24FC"/>
    <w:rsid w:val="005C266E"/>
    <w:rsid w:val="005C31C3"/>
    <w:rsid w:val="005C51A7"/>
    <w:rsid w:val="005C5A22"/>
    <w:rsid w:val="005C5B5C"/>
    <w:rsid w:val="005C5E73"/>
    <w:rsid w:val="005D269B"/>
    <w:rsid w:val="005D29B5"/>
    <w:rsid w:val="005D2A61"/>
    <w:rsid w:val="005D3445"/>
    <w:rsid w:val="005D4609"/>
    <w:rsid w:val="005D474D"/>
    <w:rsid w:val="005D552E"/>
    <w:rsid w:val="005E0D61"/>
    <w:rsid w:val="005E1D1D"/>
    <w:rsid w:val="005E2F44"/>
    <w:rsid w:val="005E3788"/>
    <w:rsid w:val="005E605B"/>
    <w:rsid w:val="005E67FC"/>
    <w:rsid w:val="005E7572"/>
    <w:rsid w:val="005E7A0B"/>
    <w:rsid w:val="005E7B38"/>
    <w:rsid w:val="005F0C78"/>
    <w:rsid w:val="005F1050"/>
    <w:rsid w:val="005F3431"/>
    <w:rsid w:val="005F4AAF"/>
    <w:rsid w:val="005F4BF5"/>
    <w:rsid w:val="005F7903"/>
    <w:rsid w:val="0060010B"/>
    <w:rsid w:val="006007CC"/>
    <w:rsid w:val="00601496"/>
    <w:rsid w:val="00601616"/>
    <w:rsid w:val="00601C07"/>
    <w:rsid w:val="00601FCA"/>
    <w:rsid w:val="006030AA"/>
    <w:rsid w:val="00603BDE"/>
    <w:rsid w:val="00604673"/>
    <w:rsid w:val="00604948"/>
    <w:rsid w:val="0060549B"/>
    <w:rsid w:val="00605CEA"/>
    <w:rsid w:val="00610457"/>
    <w:rsid w:val="00610C94"/>
    <w:rsid w:val="0061135A"/>
    <w:rsid w:val="00611D3C"/>
    <w:rsid w:val="00612BDB"/>
    <w:rsid w:val="00612E94"/>
    <w:rsid w:val="006134DB"/>
    <w:rsid w:val="006159E5"/>
    <w:rsid w:val="00617D73"/>
    <w:rsid w:val="00620CBF"/>
    <w:rsid w:val="00620E47"/>
    <w:rsid w:val="00621206"/>
    <w:rsid w:val="006212BE"/>
    <w:rsid w:val="0062567A"/>
    <w:rsid w:val="00625C29"/>
    <w:rsid w:val="00626B4F"/>
    <w:rsid w:val="006334A8"/>
    <w:rsid w:val="00634CC6"/>
    <w:rsid w:val="00635BA5"/>
    <w:rsid w:val="006367B1"/>
    <w:rsid w:val="00637235"/>
    <w:rsid w:val="00637830"/>
    <w:rsid w:val="0063788B"/>
    <w:rsid w:val="006404C9"/>
    <w:rsid w:val="00640F40"/>
    <w:rsid w:val="00641EB9"/>
    <w:rsid w:val="00642694"/>
    <w:rsid w:val="00642D57"/>
    <w:rsid w:val="00645ADA"/>
    <w:rsid w:val="00647622"/>
    <w:rsid w:val="00651D31"/>
    <w:rsid w:val="00651D4E"/>
    <w:rsid w:val="00651D50"/>
    <w:rsid w:val="006524BE"/>
    <w:rsid w:val="00652A5C"/>
    <w:rsid w:val="006533F8"/>
    <w:rsid w:val="00654EE4"/>
    <w:rsid w:val="00655360"/>
    <w:rsid w:val="00655371"/>
    <w:rsid w:val="006563C3"/>
    <w:rsid w:val="0065641E"/>
    <w:rsid w:val="006568E8"/>
    <w:rsid w:val="006573B0"/>
    <w:rsid w:val="0066112F"/>
    <w:rsid w:val="006622BE"/>
    <w:rsid w:val="006623E2"/>
    <w:rsid w:val="00666AF7"/>
    <w:rsid w:val="00667C72"/>
    <w:rsid w:val="00667EBB"/>
    <w:rsid w:val="00670B1B"/>
    <w:rsid w:val="00671F22"/>
    <w:rsid w:val="00672EEC"/>
    <w:rsid w:val="00673789"/>
    <w:rsid w:val="00673AB7"/>
    <w:rsid w:val="0067584A"/>
    <w:rsid w:val="00676664"/>
    <w:rsid w:val="00677F77"/>
    <w:rsid w:val="0068250F"/>
    <w:rsid w:val="00683085"/>
    <w:rsid w:val="00683332"/>
    <w:rsid w:val="0068338B"/>
    <w:rsid w:val="0068394B"/>
    <w:rsid w:val="00690AB4"/>
    <w:rsid w:val="0069158F"/>
    <w:rsid w:val="00691C58"/>
    <w:rsid w:val="00693CC2"/>
    <w:rsid w:val="0069660F"/>
    <w:rsid w:val="0069678A"/>
    <w:rsid w:val="00697665"/>
    <w:rsid w:val="00697D73"/>
    <w:rsid w:val="006A01DD"/>
    <w:rsid w:val="006A12F4"/>
    <w:rsid w:val="006A143D"/>
    <w:rsid w:val="006A1A12"/>
    <w:rsid w:val="006A1F61"/>
    <w:rsid w:val="006A20BE"/>
    <w:rsid w:val="006A25AB"/>
    <w:rsid w:val="006A27C9"/>
    <w:rsid w:val="006A2F2D"/>
    <w:rsid w:val="006A3206"/>
    <w:rsid w:val="006A3CD1"/>
    <w:rsid w:val="006A454C"/>
    <w:rsid w:val="006A58B8"/>
    <w:rsid w:val="006A64A9"/>
    <w:rsid w:val="006A6650"/>
    <w:rsid w:val="006A7FD0"/>
    <w:rsid w:val="006B161A"/>
    <w:rsid w:val="006B2195"/>
    <w:rsid w:val="006B2265"/>
    <w:rsid w:val="006B34D7"/>
    <w:rsid w:val="006B55C5"/>
    <w:rsid w:val="006C084F"/>
    <w:rsid w:val="006C12CA"/>
    <w:rsid w:val="006C1636"/>
    <w:rsid w:val="006C4A30"/>
    <w:rsid w:val="006C5364"/>
    <w:rsid w:val="006C68E5"/>
    <w:rsid w:val="006C7FED"/>
    <w:rsid w:val="006D07CF"/>
    <w:rsid w:val="006D2391"/>
    <w:rsid w:val="006D23BA"/>
    <w:rsid w:val="006D2CB8"/>
    <w:rsid w:val="006D3287"/>
    <w:rsid w:val="006D40DC"/>
    <w:rsid w:val="006D48E8"/>
    <w:rsid w:val="006D4F07"/>
    <w:rsid w:val="006D5386"/>
    <w:rsid w:val="006D6AB0"/>
    <w:rsid w:val="006D7687"/>
    <w:rsid w:val="006D7E35"/>
    <w:rsid w:val="006E0385"/>
    <w:rsid w:val="006E0572"/>
    <w:rsid w:val="006E1324"/>
    <w:rsid w:val="006E1CCF"/>
    <w:rsid w:val="006E3872"/>
    <w:rsid w:val="006E5FAC"/>
    <w:rsid w:val="006E6D63"/>
    <w:rsid w:val="006E6E42"/>
    <w:rsid w:val="006F10DD"/>
    <w:rsid w:val="006F27FF"/>
    <w:rsid w:val="006F3DAA"/>
    <w:rsid w:val="006F3EF7"/>
    <w:rsid w:val="006F4573"/>
    <w:rsid w:val="006F5980"/>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3CA6"/>
    <w:rsid w:val="007252B4"/>
    <w:rsid w:val="00725AC2"/>
    <w:rsid w:val="00726DBE"/>
    <w:rsid w:val="00727A8F"/>
    <w:rsid w:val="00727EAE"/>
    <w:rsid w:val="00727FB6"/>
    <w:rsid w:val="007300F3"/>
    <w:rsid w:val="007305C3"/>
    <w:rsid w:val="00731139"/>
    <w:rsid w:val="0073364E"/>
    <w:rsid w:val="00733865"/>
    <w:rsid w:val="007348A0"/>
    <w:rsid w:val="00734D43"/>
    <w:rsid w:val="00736214"/>
    <w:rsid w:val="007363BD"/>
    <w:rsid w:val="0073763F"/>
    <w:rsid w:val="007404BC"/>
    <w:rsid w:val="00742DD2"/>
    <w:rsid w:val="00745106"/>
    <w:rsid w:val="00745E02"/>
    <w:rsid w:val="00752568"/>
    <w:rsid w:val="00752A9B"/>
    <w:rsid w:val="00752FBE"/>
    <w:rsid w:val="00753620"/>
    <w:rsid w:val="00754621"/>
    <w:rsid w:val="0075475B"/>
    <w:rsid w:val="007554BF"/>
    <w:rsid w:val="00755EFB"/>
    <w:rsid w:val="0075647A"/>
    <w:rsid w:val="00757862"/>
    <w:rsid w:val="00757A66"/>
    <w:rsid w:val="00761319"/>
    <w:rsid w:val="007634AD"/>
    <w:rsid w:val="00764CD2"/>
    <w:rsid w:val="0076566F"/>
    <w:rsid w:val="007656E6"/>
    <w:rsid w:val="00765BE2"/>
    <w:rsid w:val="007673F0"/>
    <w:rsid w:val="00767D99"/>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86DDC"/>
    <w:rsid w:val="007900BE"/>
    <w:rsid w:val="00791C0F"/>
    <w:rsid w:val="00793845"/>
    <w:rsid w:val="0079520D"/>
    <w:rsid w:val="00795BA3"/>
    <w:rsid w:val="00796EC8"/>
    <w:rsid w:val="00797AAA"/>
    <w:rsid w:val="00797DF7"/>
    <w:rsid w:val="007A0D0E"/>
    <w:rsid w:val="007A2E32"/>
    <w:rsid w:val="007A4C5A"/>
    <w:rsid w:val="007A4CB6"/>
    <w:rsid w:val="007A615D"/>
    <w:rsid w:val="007B0486"/>
    <w:rsid w:val="007B0646"/>
    <w:rsid w:val="007B0854"/>
    <w:rsid w:val="007B09F4"/>
    <w:rsid w:val="007B0F58"/>
    <w:rsid w:val="007B192E"/>
    <w:rsid w:val="007B24B5"/>
    <w:rsid w:val="007B3AE4"/>
    <w:rsid w:val="007B4C6A"/>
    <w:rsid w:val="007B5442"/>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4B8A"/>
    <w:rsid w:val="007D55E9"/>
    <w:rsid w:val="007D5E0B"/>
    <w:rsid w:val="007D632C"/>
    <w:rsid w:val="007D698F"/>
    <w:rsid w:val="007D7559"/>
    <w:rsid w:val="007E01FC"/>
    <w:rsid w:val="007E39F0"/>
    <w:rsid w:val="007E44A3"/>
    <w:rsid w:val="007E5F95"/>
    <w:rsid w:val="007E750C"/>
    <w:rsid w:val="007E7722"/>
    <w:rsid w:val="007F0C9F"/>
    <w:rsid w:val="007F0D40"/>
    <w:rsid w:val="007F168F"/>
    <w:rsid w:val="007F367B"/>
    <w:rsid w:val="007F3D1F"/>
    <w:rsid w:val="007F4347"/>
    <w:rsid w:val="007F505E"/>
    <w:rsid w:val="007F72CB"/>
    <w:rsid w:val="007F7BDE"/>
    <w:rsid w:val="008024C6"/>
    <w:rsid w:val="00802872"/>
    <w:rsid w:val="008028A1"/>
    <w:rsid w:val="00802A13"/>
    <w:rsid w:val="00802EB9"/>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62A"/>
    <w:rsid w:val="00815851"/>
    <w:rsid w:val="008159D3"/>
    <w:rsid w:val="00816302"/>
    <w:rsid w:val="00817578"/>
    <w:rsid w:val="00817CA8"/>
    <w:rsid w:val="0082159E"/>
    <w:rsid w:val="00822D58"/>
    <w:rsid w:val="0082378E"/>
    <w:rsid w:val="008238AB"/>
    <w:rsid w:val="008259B9"/>
    <w:rsid w:val="00826A9D"/>
    <w:rsid w:val="008272F1"/>
    <w:rsid w:val="008273B8"/>
    <w:rsid w:val="0083119B"/>
    <w:rsid w:val="0083133A"/>
    <w:rsid w:val="00832123"/>
    <w:rsid w:val="008322B3"/>
    <w:rsid w:val="0083271F"/>
    <w:rsid w:val="00836134"/>
    <w:rsid w:val="0083614B"/>
    <w:rsid w:val="008362A4"/>
    <w:rsid w:val="008366AF"/>
    <w:rsid w:val="00836EAB"/>
    <w:rsid w:val="00841280"/>
    <w:rsid w:val="0084152B"/>
    <w:rsid w:val="00841639"/>
    <w:rsid w:val="00841A7A"/>
    <w:rsid w:val="00842535"/>
    <w:rsid w:val="00842F23"/>
    <w:rsid w:val="008437E8"/>
    <w:rsid w:val="00843BC4"/>
    <w:rsid w:val="00843E6C"/>
    <w:rsid w:val="00845FF9"/>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6AF9"/>
    <w:rsid w:val="00857F63"/>
    <w:rsid w:val="00860B10"/>
    <w:rsid w:val="00861408"/>
    <w:rsid w:val="008617E0"/>
    <w:rsid w:val="0086272D"/>
    <w:rsid w:val="00862B2A"/>
    <w:rsid w:val="00865967"/>
    <w:rsid w:val="00865C91"/>
    <w:rsid w:val="00867771"/>
    <w:rsid w:val="008705DE"/>
    <w:rsid w:val="00872A3B"/>
    <w:rsid w:val="00873BCF"/>
    <w:rsid w:val="00874031"/>
    <w:rsid w:val="00874CC0"/>
    <w:rsid w:val="00876B53"/>
    <w:rsid w:val="00877366"/>
    <w:rsid w:val="00881730"/>
    <w:rsid w:val="008817ED"/>
    <w:rsid w:val="0088243F"/>
    <w:rsid w:val="008844BE"/>
    <w:rsid w:val="0088457C"/>
    <w:rsid w:val="00884E4C"/>
    <w:rsid w:val="00885AA7"/>
    <w:rsid w:val="00886201"/>
    <w:rsid w:val="00886412"/>
    <w:rsid w:val="008871CF"/>
    <w:rsid w:val="00887B15"/>
    <w:rsid w:val="00890882"/>
    <w:rsid w:val="008927A8"/>
    <w:rsid w:val="00893165"/>
    <w:rsid w:val="0089412F"/>
    <w:rsid w:val="00897B7A"/>
    <w:rsid w:val="008A024E"/>
    <w:rsid w:val="008A0A11"/>
    <w:rsid w:val="008A2225"/>
    <w:rsid w:val="008A257A"/>
    <w:rsid w:val="008A265F"/>
    <w:rsid w:val="008A3228"/>
    <w:rsid w:val="008A3DB4"/>
    <w:rsid w:val="008A4852"/>
    <w:rsid w:val="008A53F7"/>
    <w:rsid w:val="008A54C1"/>
    <w:rsid w:val="008A575E"/>
    <w:rsid w:val="008A5AC8"/>
    <w:rsid w:val="008A69BA"/>
    <w:rsid w:val="008B1A31"/>
    <w:rsid w:val="008B2549"/>
    <w:rsid w:val="008B436F"/>
    <w:rsid w:val="008B438D"/>
    <w:rsid w:val="008B4D79"/>
    <w:rsid w:val="008B7B06"/>
    <w:rsid w:val="008B7E23"/>
    <w:rsid w:val="008C0AF6"/>
    <w:rsid w:val="008C1555"/>
    <w:rsid w:val="008C26E3"/>
    <w:rsid w:val="008C41C5"/>
    <w:rsid w:val="008C4724"/>
    <w:rsid w:val="008C7BC2"/>
    <w:rsid w:val="008D11FF"/>
    <w:rsid w:val="008D1692"/>
    <w:rsid w:val="008D17B2"/>
    <w:rsid w:val="008D1B84"/>
    <w:rsid w:val="008D2CE8"/>
    <w:rsid w:val="008D3411"/>
    <w:rsid w:val="008D3FBB"/>
    <w:rsid w:val="008D4225"/>
    <w:rsid w:val="008D4C63"/>
    <w:rsid w:val="008D5317"/>
    <w:rsid w:val="008D55E9"/>
    <w:rsid w:val="008D56F0"/>
    <w:rsid w:val="008D63A0"/>
    <w:rsid w:val="008D6B0E"/>
    <w:rsid w:val="008D76C2"/>
    <w:rsid w:val="008D776A"/>
    <w:rsid w:val="008E08B2"/>
    <w:rsid w:val="008E1C15"/>
    <w:rsid w:val="008E315A"/>
    <w:rsid w:val="008E3219"/>
    <w:rsid w:val="008E4625"/>
    <w:rsid w:val="008E4B4C"/>
    <w:rsid w:val="008E6F70"/>
    <w:rsid w:val="008F14CC"/>
    <w:rsid w:val="008F1588"/>
    <w:rsid w:val="008F1D84"/>
    <w:rsid w:val="008F2734"/>
    <w:rsid w:val="008F4227"/>
    <w:rsid w:val="008F51F5"/>
    <w:rsid w:val="008F5C25"/>
    <w:rsid w:val="008F646E"/>
    <w:rsid w:val="008F6E4A"/>
    <w:rsid w:val="008F7FDF"/>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38D4"/>
    <w:rsid w:val="00914EC4"/>
    <w:rsid w:val="00914F02"/>
    <w:rsid w:val="00916C89"/>
    <w:rsid w:val="009176F3"/>
    <w:rsid w:val="00917700"/>
    <w:rsid w:val="00920389"/>
    <w:rsid w:val="0092143E"/>
    <w:rsid w:val="00921659"/>
    <w:rsid w:val="00921683"/>
    <w:rsid w:val="009216FB"/>
    <w:rsid w:val="0092382D"/>
    <w:rsid w:val="00923DC9"/>
    <w:rsid w:val="00924541"/>
    <w:rsid w:val="0092462A"/>
    <w:rsid w:val="0092465E"/>
    <w:rsid w:val="0092478E"/>
    <w:rsid w:val="00924D2F"/>
    <w:rsid w:val="00926500"/>
    <w:rsid w:val="009278F1"/>
    <w:rsid w:val="0093065B"/>
    <w:rsid w:val="00931310"/>
    <w:rsid w:val="0093193A"/>
    <w:rsid w:val="00931B7E"/>
    <w:rsid w:val="00932FBD"/>
    <w:rsid w:val="00935661"/>
    <w:rsid w:val="00936908"/>
    <w:rsid w:val="00937BFF"/>
    <w:rsid w:val="0094078C"/>
    <w:rsid w:val="009409CA"/>
    <w:rsid w:val="009440DE"/>
    <w:rsid w:val="00944A1C"/>
    <w:rsid w:val="00944EA4"/>
    <w:rsid w:val="00945536"/>
    <w:rsid w:val="009465F7"/>
    <w:rsid w:val="00946737"/>
    <w:rsid w:val="00946CFA"/>
    <w:rsid w:val="00947DB5"/>
    <w:rsid w:val="00950258"/>
    <w:rsid w:val="0095385A"/>
    <w:rsid w:val="00955CAC"/>
    <w:rsid w:val="009568DA"/>
    <w:rsid w:val="00956C80"/>
    <w:rsid w:val="00956E82"/>
    <w:rsid w:val="0095760E"/>
    <w:rsid w:val="00957BB0"/>
    <w:rsid w:val="0096196C"/>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3D2A"/>
    <w:rsid w:val="009859D0"/>
    <w:rsid w:val="009866C8"/>
    <w:rsid w:val="009874B4"/>
    <w:rsid w:val="009877AC"/>
    <w:rsid w:val="00987F32"/>
    <w:rsid w:val="00990A2F"/>
    <w:rsid w:val="00990EBD"/>
    <w:rsid w:val="0099103B"/>
    <w:rsid w:val="00991706"/>
    <w:rsid w:val="00992278"/>
    <w:rsid w:val="009967F8"/>
    <w:rsid w:val="009A28F6"/>
    <w:rsid w:val="009A2E0F"/>
    <w:rsid w:val="009A353C"/>
    <w:rsid w:val="009A77CC"/>
    <w:rsid w:val="009A7A2E"/>
    <w:rsid w:val="009B0CB9"/>
    <w:rsid w:val="009B1BF2"/>
    <w:rsid w:val="009B29F8"/>
    <w:rsid w:val="009B4391"/>
    <w:rsid w:val="009B6E85"/>
    <w:rsid w:val="009B729B"/>
    <w:rsid w:val="009C24BD"/>
    <w:rsid w:val="009C2A57"/>
    <w:rsid w:val="009C376A"/>
    <w:rsid w:val="009C3794"/>
    <w:rsid w:val="009C6A4B"/>
    <w:rsid w:val="009C72DF"/>
    <w:rsid w:val="009C782E"/>
    <w:rsid w:val="009D0923"/>
    <w:rsid w:val="009D0FC4"/>
    <w:rsid w:val="009D19A0"/>
    <w:rsid w:val="009D3049"/>
    <w:rsid w:val="009D424F"/>
    <w:rsid w:val="009D54EC"/>
    <w:rsid w:val="009E0D1B"/>
    <w:rsid w:val="009E2882"/>
    <w:rsid w:val="009E2A67"/>
    <w:rsid w:val="009E48B1"/>
    <w:rsid w:val="009E4B29"/>
    <w:rsid w:val="009E59EA"/>
    <w:rsid w:val="009E5CE5"/>
    <w:rsid w:val="009E7320"/>
    <w:rsid w:val="009E7C61"/>
    <w:rsid w:val="009F2377"/>
    <w:rsid w:val="009F396F"/>
    <w:rsid w:val="009F48F0"/>
    <w:rsid w:val="009F4F93"/>
    <w:rsid w:val="009F6B3F"/>
    <w:rsid w:val="009F6F22"/>
    <w:rsid w:val="00A0237A"/>
    <w:rsid w:val="00A02449"/>
    <w:rsid w:val="00A028FC"/>
    <w:rsid w:val="00A03556"/>
    <w:rsid w:val="00A035A4"/>
    <w:rsid w:val="00A036C4"/>
    <w:rsid w:val="00A044A1"/>
    <w:rsid w:val="00A04F43"/>
    <w:rsid w:val="00A059F9"/>
    <w:rsid w:val="00A06181"/>
    <w:rsid w:val="00A07446"/>
    <w:rsid w:val="00A07B99"/>
    <w:rsid w:val="00A10100"/>
    <w:rsid w:val="00A10135"/>
    <w:rsid w:val="00A11267"/>
    <w:rsid w:val="00A118A0"/>
    <w:rsid w:val="00A121B7"/>
    <w:rsid w:val="00A132F2"/>
    <w:rsid w:val="00A14F3C"/>
    <w:rsid w:val="00A154AF"/>
    <w:rsid w:val="00A16ACF"/>
    <w:rsid w:val="00A206D3"/>
    <w:rsid w:val="00A24560"/>
    <w:rsid w:val="00A267B5"/>
    <w:rsid w:val="00A26900"/>
    <w:rsid w:val="00A26969"/>
    <w:rsid w:val="00A26D28"/>
    <w:rsid w:val="00A2737D"/>
    <w:rsid w:val="00A27715"/>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778E5"/>
    <w:rsid w:val="00A814D6"/>
    <w:rsid w:val="00A8216B"/>
    <w:rsid w:val="00A8281A"/>
    <w:rsid w:val="00A82C85"/>
    <w:rsid w:val="00A83B73"/>
    <w:rsid w:val="00A8432B"/>
    <w:rsid w:val="00A84361"/>
    <w:rsid w:val="00A84904"/>
    <w:rsid w:val="00A852F0"/>
    <w:rsid w:val="00A87C40"/>
    <w:rsid w:val="00A97342"/>
    <w:rsid w:val="00A97AEB"/>
    <w:rsid w:val="00AA03C4"/>
    <w:rsid w:val="00AA0F9D"/>
    <w:rsid w:val="00AA13E4"/>
    <w:rsid w:val="00AA18DB"/>
    <w:rsid w:val="00AA24CE"/>
    <w:rsid w:val="00AA3DEF"/>
    <w:rsid w:val="00AA442B"/>
    <w:rsid w:val="00AA52D5"/>
    <w:rsid w:val="00AA6CC1"/>
    <w:rsid w:val="00AA76F2"/>
    <w:rsid w:val="00AB00BD"/>
    <w:rsid w:val="00AB05AF"/>
    <w:rsid w:val="00AB09DD"/>
    <w:rsid w:val="00AB0D4D"/>
    <w:rsid w:val="00AB0E2B"/>
    <w:rsid w:val="00AB0FFD"/>
    <w:rsid w:val="00AB14CE"/>
    <w:rsid w:val="00AB196B"/>
    <w:rsid w:val="00AB1AC8"/>
    <w:rsid w:val="00AB246E"/>
    <w:rsid w:val="00AB27FD"/>
    <w:rsid w:val="00AB30DF"/>
    <w:rsid w:val="00AB3E40"/>
    <w:rsid w:val="00AB3F4B"/>
    <w:rsid w:val="00AB47E2"/>
    <w:rsid w:val="00AB4DF6"/>
    <w:rsid w:val="00AB513F"/>
    <w:rsid w:val="00AC038C"/>
    <w:rsid w:val="00AC0EEB"/>
    <w:rsid w:val="00AC1646"/>
    <w:rsid w:val="00AC3414"/>
    <w:rsid w:val="00AC3ACC"/>
    <w:rsid w:val="00AC4527"/>
    <w:rsid w:val="00AC4C3C"/>
    <w:rsid w:val="00AC65A4"/>
    <w:rsid w:val="00AC74B4"/>
    <w:rsid w:val="00AD0308"/>
    <w:rsid w:val="00AD0B1D"/>
    <w:rsid w:val="00AD22FC"/>
    <w:rsid w:val="00AD2F7B"/>
    <w:rsid w:val="00AD3331"/>
    <w:rsid w:val="00AD47FB"/>
    <w:rsid w:val="00AD48B1"/>
    <w:rsid w:val="00AD4DD0"/>
    <w:rsid w:val="00AD5E7A"/>
    <w:rsid w:val="00AD60A5"/>
    <w:rsid w:val="00AD6135"/>
    <w:rsid w:val="00AD7298"/>
    <w:rsid w:val="00AD7C52"/>
    <w:rsid w:val="00AE1289"/>
    <w:rsid w:val="00AE19FC"/>
    <w:rsid w:val="00AE4119"/>
    <w:rsid w:val="00AE4B6E"/>
    <w:rsid w:val="00AE4E69"/>
    <w:rsid w:val="00AE5B43"/>
    <w:rsid w:val="00AE65B9"/>
    <w:rsid w:val="00AE6D68"/>
    <w:rsid w:val="00AE74B3"/>
    <w:rsid w:val="00AE7F59"/>
    <w:rsid w:val="00AF0BB9"/>
    <w:rsid w:val="00AF1383"/>
    <w:rsid w:val="00AF1ED8"/>
    <w:rsid w:val="00AF201D"/>
    <w:rsid w:val="00AF34FC"/>
    <w:rsid w:val="00AF376E"/>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789"/>
    <w:rsid w:val="00B118E9"/>
    <w:rsid w:val="00B120C2"/>
    <w:rsid w:val="00B140BD"/>
    <w:rsid w:val="00B16E58"/>
    <w:rsid w:val="00B1743F"/>
    <w:rsid w:val="00B17763"/>
    <w:rsid w:val="00B20A74"/>
    <w:rsid w:val="00B21D6C"/>
    <w:rsid w:val="00B22E22"/>
    <w:rsid w:val="00B230FE"/>
    <w:rsid w:val="00B23606"/>
    <w:rsid w:val="00B243F7"/>
    <w:rsid w:val="00B258A0"/>
    <w:rsid w:val="00B32C0B"/>
    <w:rsid w:val="00B32DE6"/>
    <w:rsid w:val="00B33519"/>
    <w:rsid w:val="00B33D08"/>
    <w:rsid w:val="00B34B73"/>
    <w:rsid w:val="00B36E67"/>
    <w:rsid w:val="00B371E9"/>
    <w:rsid w:val="00B41170"/>
    <w:rsid w:val="00B439B4"/>
    <w:rsid w:val="00B43C9B"/>
    <w:rsid w:val="00B441D5"/>
    <w:rsid w:val="00B4473B"/>
    <w:rsid w:val="00B46402"/>
    <w:rsid w:val="00B47D0B"/>
    <w:rsid w:val="00B50315"/>
    <w:rsid w:val="00B50DB8"/>
    <w:rsid w:val="00B512C3"/>
    <w:rsid w:val="00B5146F"/>
    <w:rsid w:val="00B5178D"/>
    <w:rsid w:val="00B525CB"/>
    <w:rsid w:val="00B531D7"/>
    <w:rsid w:val="00B53F68"/>
    <w:rsid w:val="00B548D8"/>
    <w:rsid w:val="00B54E40"/>
    <w:rsid w:val="00B5554D"/>
    <w:rsid w:val="00B5556E"/>
    <w:rsid w:val="00B55682"/>
    <w:rsid w:val="00B556C7"/>
    <w:rsid w:val="00B56262"/>
    <w:rsid w:val="00B5777C"/>
    <w:rsid w:val="00B57F79"/>
    <w:rsid w:val="00B60926"/>
    <w:rsid w:val="00B60E51"/>
    <w:rsid w:val="00B613B9"/>
    <w:rsid w:val="00B613EE"/>
    <w:rsid w:val="00B6143C"/>
    <w:rsid w:val="00B623D7"/>
    <w:rsid w:val="00B6256D"/>
    <w:rsid w:val="00B6341F"/>
    <w:rsid w:val="00B637F3"/>
    <w:rsid w:val="00B63CB2"/>
    <w:rsid w:val="00B64278"/>
    <w:rsid w:val="00B6444C"/>
    <w:rsid w:val="00B66F75"/>
    <w:rsid w:val="00B67883"/>
    <w:rsid w:val="00B71561"/>
    <w:rsid w:val="00B71CAB"/>
    <w:rsid w:val="00B71E68"/>
    <w:rsid w:val="00B73B11"/>
    <w:rsid w:val="00B73E64"/>
    <w:rsid w:val="00B748E6"/>
    <w:rsid w:val="00B754CA"/>
    <w:rsid w:val="00B75BAA"/>
    <w:rsid w:val="00B75C7C"/>
    <w:rsid w:val="00B76DD3"/>
    <w:rsid w:val="00B80316"/>
    <w:rsid w:val="00B80794"/>
    <w:rsid w:val="00B80D60"/>
    <w:rsid w:val="00B81364"/>
    <w:rsid w:val="00B81C71"/>
    <w:rsid w:val="00B81F14"/>
    <w:rsid w:val="00B82E58"/>
    <w:rsid w:val="00B8385C"/>
    <w:rsid w:val="00B856A2"/>
    <w:rsid w:val="00B86751"/>
    <w:rsid w:val="00B87BF8"/>
    <w:rsid w:val="00B90205"/>
    <w:rsid w:val="00B90546"/>
    <w:rsid w:val="00B90B34"/>
    <w:rsid w:val="00B90BEC"/>
    <w:rsid w:val="00B914C4"/>
    <w:rsid w:val="00B91C2E"/>
    <w:rsid w:val="00B93287"/>
    <w:rsid w:val="00B94B3C"/>
    <w:rsid w:val="00BA0E6C"/>
    <w:rsid w:val="00BA1433"/>
    <w:rsid w:val="00BA2F75"/>
    <w:rsid w:val="00BA4904"/>
    <w:rsid w:val="00BA4B5B"/>
    <w:rsid w:val="00BA549C"/>
    <w:rsid w:val="00BA54F0"/>
    <w:rsid w:val="00BA67BE"/>
    <w:rsid w:val="00BA73DE"/>
    <w:rsid w:val="00BA7C2F"/>
    <w:rsid w:val="00BA7D19"/>
    <w:rsid w:val="00BB10FB"/>
    <w:rsid w:val="00BB37BD"/>
    <w:rsid w:val="00BB5C7A"/>
    <w:rsid w:val="00BB78E0"/>
    <w:rsid w:val="00BC0144"/>
    <w:rsid w:val="00BC0980"/>
    <w:rsid w:val="00BC0C49"/>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5B50"/>
    <w:rsid w:val="00C0683D"/>
    <w:rsid w:val="00C06C24"/>
    <w:rsid w:val="00C07969"/>
    <w:rsid w:val="00C07EFC"/>
    <w:rsid w:val="00C1063D"/>
    <w:rsid w:val="00C108FF"/>
    <w:rsid w:val="00C14D47"/>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688B"/>
    <w:rsid w:val="00C474F7"/>
    <w:rsid w:val="00C50FFB"/>
    <w:rsid w:val="00C51383"/>
    <w:rsid w:val="00C51D0E"/>
    <w:rsid w:val="00C52026"/>
    <w:rsid w:val="00C527CB"/>
    <w:rsid w:val="00C52AA0"/>
    <w:rsid w:val="00C54884"/>
    <w:rsid w:val="00C56658"/>
    <w:rsid w:val="00C606C0"/>
    <w:rsid w:val="00C61197"/>
    <w:rsid w:val="00C62DD6"/>
    <w:rsid w:val="00C63537"/>
    <w:rsid w:val="00C63B97"/>
    <w:rsid w:val="00C65F11"/>
    <w:rsid w:val="00C65F27"/>
    <w:rsid w:val="00C662E6"/>
    <w:rsid w:val="00C67675"/>
    <w:rsid w:val="00C713D7"/>
    <w:rsid w:val="00C729E2"/>
    <w:rsid w:val="00C72CD4"/>
    <w:rsid w:val="00C74D7F"/>
    <w:rsid w:val="00C75515"/>
    <w:rsid w:val="00C76EB0"/>
    <w:rsid w:val="00C8023B"/>
    <w:rsid w:val="00C81AC2"/>
    <w:rsid w:val="00C82754"/>
    <w:rsid w:val="00C83121"/>
    <w:rsid w:val="00C83D45"/>
    <w:rsid w:val="00C8433B"/>
    <w:rsid w:val="00C845E6"/>
    <w:rsid w:val="00C8556C"/>
    <w:rsid w:val="00C85B4E"/>
    <w:rsid w:val="00C878E8"/>
    <w:rsid w:val="00C87EC4"/>
    <w:rsid w:val="00C87FB1"/>
    <w:rsid w:val="00C92306"/>
    <w:rsid w:val="00C93C7B"/>
    <w:rsid w:val="00C9425D"/>
    <w:rsid w:val="00C96171"/>
    <w:rsid w:val="00C97546"/>
    <w:rsid w:val="00CA0486"/>
    <w:rsid w:val="00CA0C3E"/>
    <w:rsid w:val="00CA1540"/>
    <w:rsid w:val="00CA287E"/>
    <w:rsid w:val="00CA44C0"/>
    <w:rsid w:val="00CA44E6"/>
    <w:rsid w:val="00CA5926"/>
    <w:rsid w:val="00CA5FFD"/>
    <w:rsid w:val="00CA6253"/>
    <w:rsid w:val="00CA6B80"/>
    <w:rsid w:val="00CA73A8"/>
    <w:rsid w:val="00CB084F"/>
    <w:rsid w:val="00CB1DAE"/>
    <w:rsid w:val="00CB21C6"/>
    <w:rsid w:val="00CB28A7"/>
    <w:rsid w:val="00CB3DAB"/>
    <w:rsid w:val="00CB3E07"/>
    <w:rsid w:val="00CB4B63"/>
    <w:rsid w:val="00CB532E"/>
    <w:rsid w:val="00CB78EB"/>
    <w:rsid w:val="00CB7FCB"/>
    <w:rsid w:val="00CC00CD"/>
    <w:rsid w:val="00CC2A26"/>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8F9"/>
    <w:rsid w:val="00CE3953"/>
    <w:rsid w:val="00CE5EC3"/>
    <w:rsid w:val="00CE7849"/>
    <w:rsid w:val="00CF298B"/>
    <w:rsid w:val="00CF2CA1"/>
    <w:rsid w:val="00CF2EF6"/>
    <w:rsid w:val="00CF4690"/>
    <w:rsid w:val="00CF5D8B"/>
    <w:rsid w:val="00CF6B14"/>
    <w:rsid w:val="00CF7584"/>
    <w:rsid w:val="00CF7DE3"/>
    <w:rsid w:val="00D004A0"/>
    <w:rsid w:val="00D01C8B"/>
    <w:rsid w:val="00D03273"/>
    <w:rsid w:val="00D0349B"/>
    <w:rsid w:val="00D035F8"/>
    <w:rsid w:val="00D04268"/>
    <w:rsid w:val="00D04F45"/>
    <w:rsid w:val="00D054BD"/>
    <w:rsid w:val="00D063D2"/>
    <w:rsid w:val="00D06D43"/>
    <w:rsid w:val="00D1185B"/>
    <w:rsid w:val="00D11E53"/>
    <w:rsid w:val="00D1318F"/>
    <w:rsid w:val="00D13CF4"/>
    <w:rsid w:val="00D15396"/>
    <w:rsid w:val="00D15D40"/>
    <w:rsid w:val="00D16345"/>
    <w:rsid w:val="00D16516"/>
    <w:rsid w:val="00D16E36"/>
    <w:rsid w:val="00D16E39"/>
    <w:rsid w:val="00D2094E"/>
    <w:rsid w:val="00D20C61"/>
    <w:rsid w:val="00D23634"/>
    <w:rsid w:val="00D24BCF"/>
    <w:rsid w:val="00D24CC2"/>
    <w:rsid w:val="00D250D0"/>
    <w:rsid w:val="00D26C96"/>
    <w:rsid w:val="00D30246"/>
    <w:rsid w:val="00D30769"/>
    <w:rsid w:val="00D319E3"/>
    <w:rsid w:val="00D31F4A"/>
    <w:rsid w:val="00D32C9D"/>
    <w:rsid w:val="00D348D5"/>
    <w:rsid w:val="00D35D5C"/>
    <w:rsid w:val="00D361D0"/>
    <w:rsid w:val="00D36A8C"/>
    <w:rsid w:val="00D36EF3"/>
    <w:rsid w:val="00D376C1"/>
    <w:rsid w:val="00D40D90"/>
    <w:rsid w:val="00D40DDB"/>
    <w:rsid w:val="00D4187C"/>
    <w:rsid w:val="00D4245F"/>
    <w:rsid w:val="00D42812"/>
    <w:rsid w:val="00D441C6"/>
    <w:rsid w:val="00D44651"/>
    <w:rsid w:val="00D44846"/>
    <w:rsid w:val="00D45AF8"/>
    <w:rsid w:val="00D4685A"/>
    <w:rsid w:val="00D4690E"/>
    <w:rsid w:val="00D4754F"/>
    <w:rsid w:val="00D47633"/>
    <w:rsid w:val="00D47ADA"/>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67C1A"/>
    <w:rsid w:val="00D70679"/>
    <w:rsid w:val="00D710DF"/>
    <w:rsid w:val="00D729F6"/>
    <w:rsid w:val="00D72E9D"/>
    <w:rsid w:val="00D73A21"/>
    <w:rsid w:val="00D73D62"/>
    <w:rsid w:val="00D74389"/>
    <w:rsid w:val="00D74E75"/>
    <w:rsid w:val="00D757EB"/>
    <w:rsid w:val="00D76689"/>
    <w:rsid w:val="00D76722"/>
    <w:rsid w:val="00D80EB6"/>
    <w:rsid w:val="00D8209A"/>
    <w:rsid w:val="00D82CE5"/>
    <w:rsid w:val="00D831F9"/>
    <w:rsid w:val="00D848A7"/>
    <w:rsid w:val="00D84D9D"/>
    <w:rsid w:val="00D853DA"/>
    <w:rsid w:val="00D856F4"/>
    <w:rsid w:val="00D85DDD"/>
    <w:rsid w:val="00D864FC"/>
    <w:rsid w:val="00D87C9A"/>
    <w:rsid w:val="00D9054B"/>
    <w:rsid w:val="00D921B5"/>
    <w:rsid w:val="00D9294F"/>
    <w:rsid w:val="00D945B8"/>
    <w:rsid w:val="00DA01E8"/>
    <w:rsid w:val="00DA0FB4"/>
    <w:rsid w:val="00DA0FD1"/>
    <w:rsid w:val="00DA1498"/>
    <w:rsid w:val="00DA1E8F"/>
    <w:rsid w:val="00DA2FF5"/>
    <w:rsid w:val="00DA3452"/>
    <w:rsid w:val="00DA4638"/>
    <w:rsid w:val="00DA4710"/>
    <w:rsid w:val="00DA49C5"/>
    <w:rsid w:val="00DA5414"/>
    <w:rsid w:val="00DA5AB1"/>
    <w:rsid w:val="00DA6EE1"/>
    <w:rsid w:val="00DA72B4"/>
    <w:rsid w:val="00DB04FC"/>
    <w:rsid w:val="00DB12BD"/>
    <w:rsid w:val="00DB2DFB"/>
    <w:rsid w:val="00DB2EB1"/>
    <w:rsid w:val="00DB31D9"/>
    <w:rsid w:val="00DB3448"/>
    <w:rsid w:val="00DB4398"/>
    <w:rsid w:val="00DB44D8"/>
    <w:rsid w:val="00DB49AA"/>
    <w:rsid w:val="00DB5ED4"/>
    <w:rsid w:val="00DB6619"/>
    <w:rsid w:val="00DB768D"/>
    <w:rsid w:val="00DC2B28"/>
    <w:rsid w:val="00DC32BD"/>
    <w:rsid w:val="00DC3D67"/>
    <w:rsid w:val="00DC536B"/>
    <w:rsid w:val="00DC5522"/>
    <w:rsid w:val="00DC578F"/>
    <w:rsid w:val="00DC62E5"/>
    <w:rsid w:val="00DC6ACC"/>
    <w:rsid w:val="00DC753E"/>
    <w:rsid w:val="00DD0196"/>
    <w:rsid w:val="00DD0A90"/>
    <w:rsid w:val="00DD160B"/>
    <w:rsid w:val="00DD1C18"/>
    <w:rsid w:val="00DD2075"/>
    <w:rsid w:val="00DD278E"/>
    <w:rsid w:val="00DD31A9"/>
    <w:rsid w:val="00DD3432"/>
    <w:rsid w:val="00DD3F40"/>
    <w:rsid w:val="00DD70F8"/>
    <w:rsid w:val="00DD735D"/>
    <w:rsid w:val="00DD7D8D"/>
    <w:rsid w:val="00DE035A"/>
    <w:rsid w:val="00DE0618"/>
    <w:rsid w:val="00DE1FEF"/>
    <w:rsid w:val="00DE2858"/>
    <w:rsid w:val="00DE2B79"/>
    <w:rsid w:val="00DE3119"/>
    <w:rsid w:val="00DE3A59"/>
    <w:rsid w:val="00DE62DC"/>
    <w:rsid w:val="00DE6953"/>
    <w:rsid w:val="00DE6B11"/>
    <w:rsid w:val="00DE6E79"/>
    <w:rsid w:val="00DE70DC"/>
    <w:rsid w:val="00DE7D58"/>
    <w:rsid w:val="00DF02B2"/>
    <w:rsid w:val="00DF0A9C"/>
    <w:rsid w:val="00DF0AB4"/>
    <w:rsid w:val="00DF16DA"/>
    <w:rsid w:val="00DF1DAA"/>
    <w:rsid w:val="00DF236B"/>
    <w:rsid w:val="00DF4B95"/>
    <w:rsid w:val="00DF5090"/>
    <w:rsid w:val="00DF54DE"/>
    <w:rsid w:val="00DF6ACD"/>
    <w:rsid w:val="00E000C8"/>
    <w:rsid w:val="00E009B9"/>
    <w:rsid w:val="00E00C21"/>
    <w:rsid w:val="00E01453"/>
    <w:rsid w:val="00E017C4"/>
    <w:rsid w:val="00E0224A"/>
    <w:rsid w:val="00E036D0"/>
    <w:rsid w:val="00E04C9B"/>
    <w:rsid w:val="00E056B2"/>
    <w:rsid w:val="00E06F42"/>
    <w:rsid w:val="00E07843"/>
    <w:rsid w:val="00E10A61"/>
    <w:rsid w:val="00E10A6D"/>
    <w:rsid w:val="00E10FCB"/>
    <w:rsid w:val="00E13AB8"/>
    <w:rsid w:val="00E13FD3"/>
    <w:rsid w:val="00E14299"/>
    <w:rsid w:val="00E144AB"/>
    <w:rsid w:val="00E163A8"/>
    <w:rsid w:val="00E16874"/>
    <w:rsid w:val="00E17C49"/>
    <w:rsid w:val="00E17EE1"/>
    <w:rsid w:val="00E21494"/>
    <w:rsid w:val="00E214EB"/>
    <w:rsid w:val="00E21C23"/>
    <w:rsid w:val="00E2338D"/>
    <w:rsid w:val="00E233CC"/>
    <w:rsid w:val="00E23732"/>
    <w:rsid w:val="00E240E7"/>
    <w:rsid w:val="00E24319"/>
    <w:rsid w:val="00E2553E"/>
    <w:rsid w:val="00E26B49"/>
    <w:rsid w:val="00E27565"/>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46983"/>
    <w:rsid w:val="00E50B01"/>
    <w:rsid w:val="00E50B32"/>
    <w:rsid w:val="00E52D01"/>
    <w:rsid w:val="00E5380E"/>
    <w:rsid w:val="00E55371"/>
    <w:rsid w:val="00E5543D"/>
    <w:rsid w:val="00E5557F"/>
    <w:rsid w:val="00E5588F"/>
    <w:rsid w:val="00E55CA3"/>
    <w:rsid w:val="00E57442"/>
    <w:rsid w:val="00E60196"/>
    <w:rsid w:val="00E60756"/>
    <w:rsid w:val="00E60BE9"/>
    <w:rsid w:val="00E61299"/>
    <w:rsid w:val="00E61E09"/>
    <w:rsid w:val="00E62192"/>
    <w:rsid w:val="00E621BC"/>
    <w:rsid w:val="00E63396"/>
    <w:rsid w:val="00E64B60"/>
    <w:rsid w:val="00E657D4"/>
    <w:rsid w:val="00E66E98"/>
    <w:rsid w:val="00E66ECC"/>
    <w:rsid w:val="00E67DCC"/>
    <w:rsid w:val="00E67E83"/>
    <w:rsid w:val="00E70BAB"/>
    <w:rsid w:val="00E737A7"/>
    <w:rsid w:val="00E74C96"/>
    <w:rsid w:val="00E7681B"/>
    <w:rsid w:val="00E768B7"/>
    <w:rsid w:val="00E76FA8"/>
    <w:rsid w:val="00E80C3F"/>
    <w:rsid w:val="00E832F8"/>
    <w:rsid w:val="00E83789"/>
    <w:rsid w:val="00E87315"/>
    <w:rsid w:val="00E874AC"/>
    <w:rsid w:val="00E911EE"/>
    <w:rsid w:val="00E91306"/>
    <w:rsid w:val="00E91477"/>
    <w:rsid w:val="00E915AC"/>
    <w:rsid w:val="00E9178F"/>
    <w:rsid w:val="00E91DA5"/>
    <w:rsid w:val="00E91E80"/>
    <w:rsid w:val="00E921B1"/>
    <w:rsid w:val="00E92892"/>
    <w:rsid w:val="00E939A8"/>
    <w:rsid w:val="00E939C0"/>
    <w:rsid w:val="00E93C78"/>
    <w:rsid w:val="00E96EC1"/>
    <w:rsid w:val="00E9754A"/>
    <w:rsid w:val="00E9760B"/>
    <w:rsid w:val="00E97732"/>
    <w:rsid w:val="00E97CC7"/>
    <w:rsid w:val="00EA04EF"/>
    <w:rsid w:val="00EA1131"/>
    <w:rsid w:val="00EA189B"/>
    <w:rsid w:val="00EA1ADA"/>
    <w:rsid w:val="00EA3483"/>
    <w:rsid w:val="00EA4DB3"/>
    <w:rsid w:val="00EA538A"/>
    <w:rsid w:val="00EA6B95"/>
    <w:rsid w:val="00EA704D"/>
    <w:rsid w:val="00EA79EB"/>
    <w:rsid w:val="00EB0D81"/>
    <w:rsid w:val="00EB0DF1"/>
    <w:rsid w:val="00EB2933"/>
    <w:rsid w:val="00EB351D"/>
    <w:rsid w:val="00EB666E"/>
    <w:rsid w:val="00EB76EE"/>
    <w:rsid w:val="00EC0082"/>
    <w:rsid w:val="00EC100B"/>
    <w:rsid w:val="00EC171C"/>
    <w:rsid w:val="00EC19AB"/>
    <w:rsid w:val="00EC1AD6"/>
    <w:rsid w:val="00EC249E"/>
    <w:rsid w:val="00EC44C2"/>
    <w:rsid w:val="00EC5F41"/>
    <w:rsid w:val="00EC60CB"/>
    <w:rsid w:val="00EC7B4C"/>
    <w:rsid w:val="00ED0667"/>
    <w:rsid w:val="00ED0F19"/>
    <w:rsid w:val="00ED23D4"/>
    <w:rsid w:val="00ED2580"/>
    <w:rsid w:val="00ED2ED4"/>
    <w:rsid w:val="00ED2EFF"/>
    <w:rsid w:val="00ED3BF4"/>
    <w:rsid w:val="00ED3C6D"/>
    <w:rsid w:val="00ED4234"/>
    <w:rsid w:val="00ED55E1"/>
    <w:rsid w:val="00ED65D6"/>
    <w:rsid w:val="00ED6E42"/>
    <w:rsid w:val="00ED741C"/>
    <w:rsid w:val="00ED7F90"/>
    <w:rsid w:val="00EE094E"/>
    <w:rsid w:val="00EE1CCD"/>
    <w:rsid w:val="00EE3377"/>
    <w:rsid w:val="00EE4DB7"/>
    <w:rsid w:val="00EE5189"/>
    <w:rsid w:val="00EE776B"/>
    <w:rsid w:val="00EF0EE1"/>
    <w:rsid w:val="00EF1522"/>
    <w:rsid w:val="00EF15DA"/>
    <w:rsid w:val="00EF16DD"/>
    <w:rsid w:val="00EF2829"/>
    <w:rsid w:val="00EF5251"/>
    <w:rsid w:val="00EF66D5"/>
    <w:rsid w:val="00EF66D6"/>
    <w:rsid w:val="00F02695"/>
    <w:rsid w:val="00F033DB"/>
    <w:rsid w:val="00F03853"/>
    <w:rsid w:val="00F03D6F"/>
    <w:rsid w:val="00F04CC2"/>
    <w:rsid w:val="00F05499"/>
    <w:rsid w:val="00F058FE"/>
    <w:rsid w:val="00F060C6"/>
    <w:rsid w:val="00F06B15"/>
    <w:rsid w:val="00F0755F"/>
    <w:rsid w:val="00F109B1"/>
    <w:rsid w:val="00F1157D"/>
    <w:rsid w:val="00F11EDA"/>
    <w:rsid w:val="00F12344"/>
    <w:rsid w:val="00F1301C"/>
    <w:rsid w:val="00F13DF7"/>
    <w:rsid w:val="00F14E00"/>
    <w:rsid w:val="00F155B7"/>
    <w:rsid w:val="00F172AE"/>
    <w:rsid w:val="00F237C9"/>
    <w:rsid w:val="00F24361"/>
    <w:rsid w:val="00F26E22"/>
    <w:rsid w:val="00F277D0"/>
    <w:rsid w:val="00F306C1"/>
    <w:rsid w:val="00F30701"/>
    <w:rsid w:val="00F317BC"/>
    <w:rsid w:val="00F36E11"/>
    <w:rsid w:val="00F379A3"/>
    <w:rsid w:val="00F42730"/>
    <w:rsid w:val="00F43415"/>
    <w:rsid w:val="00F449FE"/>
    <w:rsid w:val="00F44CA3"/>
    <w:rsid w:val="00F46903"/>
    <w:rsid w:val="00F472E1"/>
    <w:rsid w:val="00F479E0"/>
    <w:rsid w:val="00F47B8F"/>
    <w:rsid w:val="00F50F9E"/>
    <w:rsid w:val="00F52504"/>
    <w:rsid w:val="00F52A68"/>
    <w:rsid w:val="00F55AA3"/>
    <w:rsid w:val="00F562BD"/>
    <w:rsid w:val="00F57B5D"/>
    <w:rsid w:val="00F608B9"/>
    <w:rsid w:val="00F60DB7"/>
    <w:rsid w:val="00F60DF8"/>
    <w:rsid w:val="00F60E91"/>
    <w:rsid w:val="00F62C3C"/>
    <w:rsid w:val="00F70D8C"/>
    <w:rsid w:val="00F71570"/>
    <w:rsid w:val="00F72BAE"/>
    <w:rsid w:val="00F74127"/>
    <w:rsid w:val="00F74374"/>
    <w:rsid w:val="00F74FD2"/>
    <w:rsid w:val="00F7558E"/>
    <w:rsid w:val="00F76205"/>
    <w:rsid w:val="00F803F1"/>
    <w:rsid w:val="00F8177B"/>
    <w:rsid w:val="00F81A22"/>
    <w:rsid w:val="00F81B47"/>
    <w:rsid w:val="00F823C6"/>
    <w:rsid w:val="00F835D8"/>
    <w:rsid w:val="00F83B75"/>
    <w:rsid w:val="00F84899"/>
    <w:rsid w:val="00F858AD"/>
    <w:rsid w:val="00F859F0"/>
    <w:rsid w:val="00F859FC"/>
    <w:rsid w:val="00F8789E"/>
    <w:rsid w:val="00F90DB5"/>
    <w:rsid w:val="00F92E29"/>
    <w:rsid w:val="00F93C66"/>
    <w:rsid w:val="00F9407E"/>
    <w:rsid w:val="00F942DB"/>
    <w:rsid w:val="00F94B56"/>
    <w:rsid w:val="00FA06A3"/>
    <w:rsid w:val="00FA0FB5"/>
    <w:rsid w:val="00FA188E"/>
    <w:rsid w:val="00FA22B3"/>
    <w:rsid w:val="00FA310C"/>
    <w:rsid w:val="00FA3B5A"/>
    <w:rsid w:val="00FA40C0"/>
    <w:rsid w:val="00FA4A30"/>
    <w:rsid w:val="00FA540E"/>
    <w:rsid w:val="00FA562B"/>
    <w:rsid w:val="00FA633C"/>
    <w:rsid w:val="00FA6587"/>
    <w:rsid w:val="00FA69B7"/>
    <w:rsid w:val="00FA79D2"/>
    <w:rsid w:val="00FB0D40"/>
    <w:rsid w:val="00FB0E35"/>
    <w:rsid w:val="00FB27D9"/>
    <w:rsid w:val="00FB301D"/>
    <w:rsid w:val="00FB309D"/>
    <w:rsid w:val="00FB3707"/>
    <w:rsid w:val="00FB42FF"/>
    <w:rsid w:val="00FB47F3"/>
    <w:rsid w:val="00FB516F"/>
    <w:rsid w:val="00FC3726"/>
    <w:rsid w:val="00FC4DE5"/>
    <w:rsid w:val="00FC639D"/>
    <w:rsid w:val="00FC711A"/>
    <w:rsid w:val="00FD0DE4"/>
    <w:rsid w:val="00FD2533"/>
    <w:rsid w:val="00FD3213"/>
    <w:rsid w:val="00FD39C2"/>
    <w:rsid w:val="00FD3A2E"/>
    <w:rsid w:val="00FD3BB4"/>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5B"/>
    <w:rsid w:val="00FE5ECC"/>
    <w:rsid w:val="00FE674D"/>
    <w:rsid w:val="00FE6C6F"/>
    <w:rsid w:val="00FE78CB"/>
    <w:rsid w:val="00FE793C"/>
    <w:rsid w:val="00FF3657"/>
    <w:rsid w:val="00FF417D"/>
    <w:rsid w:val="00FF4A50"/>
    <w:rsid w:val="00FF588E"/>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9AA5CD62-4DB0-4438-9B21-DB19E451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 w:type="paragraph" w:styleId="Textoindependiente">
    <w:name w:val="Body Text"/>
    <w:basedOn w:val="Normal"/>
    <w:link w:val="TextoindependienteCar"/>
    <w:uiPriority w:val="1"/>
    <w:qFormat/>
    <w:rsid w:val="00050E8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50E8C"/>
    <w:rPr>
      <w:rFonts w:ascii="Arial" w:eastAsia="Arial" w:hAnsi="Arial" w:cs="Arial"/>
      <w:lang w:val="es-ES"/>
    </w:rPr>
  </w:style>
  <w:style w:type="character" w:customStyle="1" w:styleId="apple-converted-space">
    <w:name w:val="apple-converted-space"/>
    <w:basedOn w:val="Fuentedeprrafopredeter"/>
    <w:rsid w:val="003D5728"/>
  </w:style>
  <w:style w:type="character" w:customStyle="1" w:styleId="Mencinsinresolver3">
    <w:name w:val="Mención sin resolver3"/>
    <w:basedOn w:val="Fuentedeprrafopredeter"/>
    <w:uiPriority w:val="99"/>
    <w:semiHidden/>
    <w:unhideWhenUsed/>
    <w:rsid w:val="000D5E6D"/>
    <w:rPr>
      <w:color w:val="605E5C"/>
      <w:shd w:val="clear" w:color="auto" w:fill="E1DFDD"/>
    </w:rPr>
  </w:style>
  <w:style w:type="table" w:customStyle="1" w:styleId="Tablaconcuadrcula11">
    <w:name w:val="Tabla con cuadrícula11"/>
    <w:basedOn w:val="Tablanormal"/>
    <w:next w:val="Tablaconcuadrcula"/>
    <w:uiPriority w:val="59"/>
    <w:rsid w:val="0066112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645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3C0AECE9-BDC8-4B0A-8424-D0E440AC5F8F}">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C313893-27C2-4C2D-9D25-B6204A4E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21</Pages>
  <Words>7316</Words>
  <Characters>40243</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Ana Maria Velez Arteaga</cp:lastModifiedBy>
  <cp:revision>8</cp:revision>
  <dcterms:created xsi:type="dcterms:W3CDTF">2023-03-02T13:41:00Z</dcterms:created>
  <dcterms:modified xsi:type="dcterms:W3CDTF">2023-03-02T13:51:00Z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