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E3DF" w14:textId="77777777" w:rsidR="00B353AD" w:rsidRPr="001C0886" w:rsidRDefault="00B353AD" w:rsidP="00B353AD">
      <w:pPr>
        <w:jc w:val="both"/>
        <w:rPr>
          <w:rFonts w:ascii="Geomanist Light" w:eastAsia="Calibri" w:hAnsi="Geomanist Light" w:cs="Arial"/>
          <w:b/>
          <w:bCs/>
          <w:color w:val="000000" w:themeColor="text1"/>
          <w:sz w:val="22"/>
          <w:lang w:val="es-ES_tradnl"/>
        </w:rPr>
      </w:pPr>
      <w:bookmarkStart w:id="0" w:name="_Hlk96417464"/>
      <w:r w:rsidRPr="001C0886">
        <w:rPr>
          <w:rFonts w:ascii="Geomanist Light" w:eastAsia="Calibri" w:hAnsi="Geomanist Light" w:cs="Arial"/>
          <w:b/>
          <w:bCs/>
          <w:color w:val="000000" w:themeColor="text1"/>
          <w:sz w:val="22"/>
          <w:lang w:val="es-ES_tradnl"/>
        </w:rPr>
        <w:t xml:space="preserve">RÉGIMEN DE INHABILIDADES E INCOMPATIBILIDADES </w:t>
      </w:r>
      <w:r w:rsidRPr="001C0886">
        <w:rPr>
          <w:rFonts w:ascii="Geomanist Light" w:eastAsia="Calibri" w:hAnsi="Geomanist Light" w:cs="Arial"/>
          <w:b/>
          <w:color w:val="000000" w:themeColor="text1"/>
          <w:sz w:val="22"/>
        </w:rPr>
        <w:t>–</w:t>
      </w:r>
      <w:r w:rsidRPr="001C0886">
        <w:rPr>
          <w:rFonts w:ascii="Geomanist Light" w:eastAsia="Calibri" w:hAnsi="Geomanist Light" w:cs="Arial"/>
          <w:b/>
          <w:bCs/>
          <w:color w:val="000000" w:themeColor="text1"/>
          <w:sz w:val="22"/>
          <w:lang w:val="es-ES_tradnl"/>
        </w:rPr>
        <w:t xml:space="preserve"> </w:t>
      </w:r>
      <w:r w:rsidRPr="00E36368">
        <w:rPr>
          <w:rFonts w:ascii="Geomanist Light" w:eastAsia="Calibri" w:hAnsi="Geomanist Light" w:cs="Arial"/>
          <w:b/>
          <w:bCs/>
          <w:color w:val="000000" w:themeColor="text1"/>
          <w:sz w:val="22"/>
          <w:lang w:val="es-ES_tradnl"/>
        </w:rPr>
        <w:t>Concepto</w:t>
      </w:r>
      <w:r w:rsidRPr="001C0886">
        <w:rPr>
          <w:rFonts w:ascii="Geomanist Light" w:eastAsia="Calibri" w:hAnsi="Geomanist Light" w:cs="Arial"/>
          <w:b/>
          <w:bCs/>
          <w:color w:val="000000" w:themeColor="text1"/>
          <w:sz w:val="22"/>
          <w:lang w:val="es-ES_tradnl"/>
        </w:rPr>
        <w:t xml:space="preserve"> </w:t>
      </w:r>
      <w:r w:rsidRPr="001C0886">
        <w:rPr>
          <w:rFonts w:ascii="Geomanist Light" w:eastAsia="Calibri" w:hAnsi="Geomanist Light" w:cs="Arial"/>
          <w:b/>
          <w:color w:val="000000" w:themeColor="text1"/>
          <w:sz w:val="22"/>
        </w:rPr>
        <w:t>–</w:t>
      </w:r>
      <w:r w:rsidRPr="001C0886">
        <w:rPr>
          <w:rFonts w:ascii="Geomanist Light" w:eastAsia="Calibri" w:hAnsi="Geomanist Light" w:cs="Arial"/>
          <w:b/>
          <w:bCs/>
          <w:color w:val="000000" w:themeColor="text1"/>
          <w:sz w:val="22"/>
          <w:lang w:val="es-ES_tradnl"/>
        </w:rPr>
        <w:t xml:space="preserve"> Principio de legalidad </w:t>
      </w:r>
      <w:r w:rsidRPr="001C0886">
        <w:rPr>
          <w:rFonts w:ascii="Geomanist Light" w:eastAsia="Calibri" w:hAnsi="Geomanist Light" w:cs="Arial"/>
          <w:b/>
          <w:color w:val="000000" w:themeColor="text1"/>
          <w:sz w:val="22"/>
        </w:rPr>
        <w:t>–</w:t>
      </w:r>
      <w:r w:rsidRPr="001C0886">
        <w:rPr>
          <w:rFonts w:ascii="Geomanist Light" w:eastAsia="Calibri" w:hAnsi="Geomanist Light" w:cs="Arial"/>
          <w:b/>
          <w:bCs/>
          <w:color w:val="000000" w:themeColor="text1"/>
          <w:sz w:val="22"/>
          <w:lang w:val="es-ES_tradnl"/>
        </w:rPr>
        <w:t xml:space="preserve"> Interpretación restrictiva</w:t>
      </w:r>
    </w:p>
    <w:p w14:paraId="0292C1C6" w14:textId="77777777" w:rsidR="00B353AD" w:rsidRPr="001C0886" w:rsidRDefault="00B353AD" w:rsidP="00B353AD">
      <w:pPr>
        <w:jc w:val="both"/>
        <w:rPr>
          <w:rFonts w:ascii="Geomanist Light" w:eastAsia="Calibri" w:hAnsi="Geomanist Light" w:cs="Arial"/>
          <w:b/>
          <w:bCs/>
          <w:color w:val="000000" w:themeColor="text1"/>
          <w:sz w:val="22"/>
          <w:lang w:val="es-ES_tradnl"/>
        </w:rPr>
      </w:pPr>
    </w:p>
    <w:p w14:paraId="532081A6" w14:textId="77777777" w:rsidR="00B353AD" w:rsidRPr="001C0886" w:rsidRDefault="00B353AD" w:rsidP="00B353AD">
      <w:pPr>
        <w:jc w:val="both"/>
        <w:rPr>
          <w:rFonts w:ascii="Geomanist Light" w:eastAsia="Calibri" w:hAnsi="Geomanist Light" w:cs="Arial"/>
          <w:color w:val="000000" w:themeColor="text1"/>
          <w:sz w:val="22"/>
          <w:lang w:val="es-ES_tradnl"/>
        </w:rPr>
      </w:pPr>
      <w:r w:rsidRPr="001C0886">
        <w:rPr>
          <w:rFonts w:ascii="Geomanist Light" w:eastAsia="Calibri" w:hAnsi="Geomanist Light" w:cs="Arial"/>
          <w:color w:val="000000" w:themeColor="text1"/>
          <w:sz w:val="22"/>
          <w:lang w:val="es-ES_tradnl"/>
        </w:rPr>
        <w:t xml:space="preserve">Las </w:t>
      </w:r>
      <w:r w:rsidRPr="001C0886">
        <w:rPr>
          <w:rFonts w:ascii="Geomanist Light" w:eastAsia="Calibri" w:hAnsi="Geomanist Light" w:cs="Arial"/>
          <w:i/>
          <w:iCs/>
          <w:color w:val="000000" w:themeColor="text1"/>
          <w:sz w:val="22"/>
          <w:lang w:val="es-ES_tradnl"/>
        </w:rPr>
        <w:t>inhabilidades</w:t>
      </w:r>
      <w:r w:rsidRPr="001C0886">
        <w:rPr>
          <w:rFonts w:ascii="Geomanist Light" w:eastAsia="Calibri" w:hAnsi="Geomanist Light" w:cs="Arial"/>
          <w:color w:val="000000" w:themeColor="text1"/>
          <w:sz w:val="22"/>
          <w:lang w:val="es-ES_tradnl"/>
        </w:rPr>
        <w:t xml:space="preserve"> son prohibiciones para concurrir a los procedimientos de selección y para contratar con el Estado, que se derivan de i) de la existencia de comportamientos reprochables o de sanciones anteriormente impuestas, </w:t>
      </w:r>
      <w:proofErr w:type="spellStart"/>
      <w:r w:rsidRPr="001C0886">
        <w:rPr>
          <w:rFonts w:ascii="Geomanist Light" w:eastAsia="Calibri" w:hAnsi="Geomanist Light" w:cs="Arial"/>
          <w:color w:val="000000" w:themeColor="text1"/>
          <w:sz w:val="22"/>
          <w:lang w:val="es-ES_tradnl"/>
        </w:rPr>
        <w:t>ii</w:t>
      </w:r>
      <w:proofErr w:type="spellEnd"/>
      <w:r w:rsidRPr="001C0886">
        <w:rPr>
          <w:rFonts w:ascii="Geomanist Light" w:eastAsia="Calibri" w:hAnsi="Geomanist Light" w:cs="Arial"/>
          <w:color w:val="000000" w:themeColor="text1"/>
          <w:sz w:val="22"/>
          <w:lang w:val="es-ES_tradnl"/>
        </w:rPr>
        <w:t xml:space="preserve">) de vínculos personales relativos al parentesco o al estado civil o </w:t>
      </w:r>
      <w:proofErr w:type="spellStart"/>
      <w:r w:rsidRPr="001C0886">
        <w:rPr>
          <w:rFonts w:ascii="Geomanist Light" w:eastAsia="Calibri" w:hAnsi="Geomanist Light" w:cs="Arial"/>
          <w:color w:val="000000" w:themeColor="text1"/>
          <w:sz w:val="22"/>
          <w:lang w:val="es-ES_tradnl"/>
        </w:rPr>
        <w:t>iii</w:t>
      </w:r>
      <w:proofErr w:type="spellEnd"/>
      <w:r w:rsidRPr="001C0886">
        <w:rPr>
          <w:rFonts w:ascii="Geomanist Light" w:eastAsia="Calibri" w:hAnsi="Geomanist Light" w:cs="Arial"/>
          <w:color w:val="000000" w:themeColor="text1"/>
          <w:sz w:val="22"/>
          <w:lang w:val="es-ES_tradnl"/>
        </w:rPr>
        <w:t xml:space="preserve">) de una actividad u oficio que se desempeñó en el pasado. De otro lado, las </w:t>
      </w:r>
      <w:r w:rsidRPr="001C0886">
        <w:rPr>
          <w:rFonts w:ascii="Geomanist Light" w:eastAsia="Calibri" w:hAnsi="Geomanist Light" w:cs="Arial"/>
          <w:i/>
          <w:iCs/>
          <w:color w:val="000000" w:themeColor="text1"/>
          <w:sz w:val="22"/>
          <w:lang w:val="es-ES_tradnl"/>
        </w:rPr>
        <w:t>incompatibilidades</w:t>
      </w:r>
      <w:r w:rsidRPr="001C0886">
        <w:rPr>
          <w:rFonts w:ascii="Geomanist Light" w:eastAsia="Calibri" w:hAnsi="Geomanist Light" w:cs="Arial"/>
          <w:color w:val="000000" w:themeColor="text1"/>
          <w:sz w:val="22"/>
          <w:lang w:val="es-ES_tradnl"/>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211AAA68" w14:textId="77777777" w:rsidR="00B353AD" w:rsidRPr="001C0886" w:rsidRDefault="00B353AD" w:rsidP="00B353AD">
      <w:pPr>
        <w:jc w:val="both"/>
        <w:rPr>
          <w:rFonts w:ascii="Geomanist Light" w:eastAsia="Calibri" w:hAnsi="Geomanist Light" w:cs="Arial"/>
          <w:color w:val="000000" w:themeColor="text1"/>
          <w:sz w:val="22"/>
          <w:lang w:val="es-ES_tradnl"/>
        </w:rPr>
      </w:pPr>
    </w:p>
    <w:p w14:paraId="17080DE2" w14:textId="77777777" w:rsidR="00B353AD" w:rsidRPr="001A51F7" w:rsidRDefault="00B353AD" w:rsidP="00B353AD">
      <w:pPr>
        <w:jc w:val="both"/>
        <w:rPr>
          <w:rFonts w:ascii="Geomanist Light" w:eastAsia="Calibri" w:hAnsi="Geomanist Light" w:cs="Arial"/>
          <w:b/>
          <w:bCs/>
          <w:color w:val="000000" w:themeColor="text1"/>
          <w:sz w:val="22"/>
          <w:lang w:val="es-ES_tradnl"/>
        </w:rPr>
      </w:pPr>
      <w:r w:rsidRPr="001C0886">
        <w:rPr>
          <w:rFonts w:ascii="Geomanist Light" w:eastAsia="Calibri" w:hAnsi="Geomanist Light" w:cs="Arial"/>
          <w:b/>
          <w:bCs/>
          <w:color w:val="000000" w:themeColor="text1"/>
          <w:sz w:val="22"/>
          <w:lang w:val="es-ES_tradnl"/>
        </w:rPr>
        <w:t xml:space="preserve">INHABILIDADES </w:t>
      </w:r>
      <w:r w:rsidRPr="001C0886">
        <w:rPr>
          <w:rFonts w:ascii="Courier New" w:eastAsia="Calibri" w:hAnsi="Courier New" w:cs="Courier New"/>
          <w:b/>
          <w:bCs/>
          <w:color w:val="000000" w:themeColor="text1"/>
          <w:sz w:val="22"/>
          <w:lang w:val="es-ES_tradnl"/>
        </w:rPr>
        <w:t>―</w:t>
      </w:r>
      <w:r w:rsidRPr="001C0886">
        <w:rPr>
          <w:rFonts w:ascii="Geomanist Light" w:eastAsia="Calibri" w:hAnsi="Geomanist Light" w:cs="Arial"/>
          <w:b/>
          <w:bCs/>
          <w:color w:val="000000" w:themeColor="text1"/>
          <w:sz w:val="22"/>
          <w:lang w:val="es-ES_tradnl"/>
        </w:rPr>
        <w:t xml:space="preserve"> </w:t>
      </w:r>
      <w:r w:rsidRPr="00E36368">
        <w:rPr>
          <w:rFonts w:ascii="Geomanist Light" w:eastAsia="Calibri" w:hAnsi="Geomanist Light" w:cs="Arial"/>
          <w:b/>
          <w:bCs/>
          <w:color w:val="000000" w:themeColor="text1"/>
          <w:sz w:val="22"/>
          <w:lang w:val="es-ES_tradnl"/>
        </w:rPr>
        <w:t>Interpretaci</w:t>
      </w:r>
      <w:r w:rsidRPr="00E36368">
        <w:rPr>
          <w:rFonts w:ascii="Geomanist Light" w:eastAsia="Calibri" w:hAnsi="Geomanist Light" w:cs="Geomanist Light"/>
          <w:b/>
          <w:bCs/>
          <w:color w:val="000000" w:themeColor="text1"/>
          <w:sz w:val="22"/>
          <w:lang w:val="es-ES_tradnl"/>
        </w:rPr>
        <w:t>ó</w:t>
      </w:r>
      <w:r w:rsidRPr="00E36368">
        <w:rPr>
          <w:rFonts w:ascii="Geomanist Light" w:eastAsia="Calibri" w:hAnsi="Geomanist Light" w:cs="Arial"/>
          <w:b/>
          <w:bCs/>
          <w:color w:val="000000" w:themeColor="text1"/>
          <w:sz w:val="22"/>
          <w:lang w:val="es-ES_tradnl"/>
        </w:rPr>
        <w:t>n restrictiva</w:t>
      </w:r>
      <w:r w:rsidRPr="001A51F7">
        <w:rPr>
          <w:rFonts w:ascii="Geomanist Light" w:eastAsia="Calibri" w:hAnsi="Geomanist Light" w:cs="Arial"/>
          <w:b/>
          <w:bCs/>
          <w:color w:val="000000" w:themeColor="text1"/>
          <w:sz w:val="22"/>
          <w:lang w:val="es-ES_tradnl"/>
        </w:rPr>
        <w:t xml:space="preserve"> </w:t>
      </w:r>
      <w:r w:rsidRPr="001A51F7">
        <w:rPr>
          <w:rFonts w:ascii="Courier New" w:eastAsia="Calibri" w:hAnsi="Courier New" w:cs="Courier New"/>
          <w:b/>
          <w:bCs/>
          <w:color w:val="000000" w:themeColor="text1"/>
          <w:sz w:val="22"/>
          <w:lang w:val="es-ES_tradnl"/>
        </w:rPr>
        <w:t>―</w:t>
      </w:r>
      <w:r w:rsidRPr="001A51F7">
        <w:rPr>
          <w:rFonts w:ascii="Geomanist Light" w:eastAsia="Calibri" w:hAnsi="Geomanist Light" w:cs="Arial"/>
          <w:b/>
          <w:bCs/>
          <w:color w:val="000000" w:themeColor="text1"/>
          <w:sz w:val="22"/>
          <w:lang w:val="es-ES_tradnl"/>
        </w:rPr>
        <w:t xml:space="preserve"> Principio pro </w:t>
      </w:r>
      <w:proofErr w:type="spellStart"/>
      <w:r w:rsidRPr="001A51F7">
        <w:rPr>
          <w:rFonts w:ascii="Geomanist Light" w:eastAsia="Calibri" w:hAnsi="Geomanist Light" w:cs="Arial"/>
          <w:b/>
          <w:bCs/>
          <w:color w:val="000000" w:themeColor="text1"/>
          <w:sz w:val="22"/>
          <w:lang w:val="es-ES_tradnl"/>
        </w:rPr>
        <w:t>libertate</w:t>
      </w:r>
      <w:proofErr w:type="spellEnd"/>
    </w:p>
    <w:p w14:paraId="2B095020" w14:textId="77777777" w:rsidR="00B353AD" w:rsidRPr="001C0886" w:rsidRDefault="00B353AD" w:rsidP="00B353AD">
      <w:pPr>
        <w:jc w:val="both"/>
        <w:rPr>
          <w:rFonts w:ascii="Geomanist Light" w:eastAsia="Calibri" w:hAnsi="Geomanist Light" w:cs="Arial"/>
          <w:color w:val="000000" w:themeColor="text1"/>
          <w:sz w:val="22"/>
          <w:lang w:val="es-ES_tradnl"/>
        </w:rPr>
      </w:pPr>
    </w:p>
    <w:p w14:paraId="1F5397DF" w14:textId="77777777" w:rsidR="00B353AD" w:rsidRPr="001C0886" w:rsidRDefault="00B353AD" w:rsidP="00B353AD">
      <w:pPr>
        <w:jc w:val="both"/>
        <w:rPr>
          <w:rFonts w:ascii="Geomanist Light" w:eastAsia="Calibri" w:hAnsi="Geomanist Light" w:cs="Arial"/>
          <w:color w:val="000000" w:themeColor="text1"/>
          <w:sz w:val="22"/>
          <w:lang w:val="es-ES_tradnl"/>
        </w:rPr>
      </w:pPr>
      <w:r w:rsidRPr="001C0886">
        <w:rPr>
          <w:rFonts w:ascii="Geomanist Light" w:eastAsia="Calibri" w:hAnsi="Geomanist Light" w:cs="Arial"/>
          <w:color w:val="000000" w:themeColor="text1"/>
          <w:sz w:val="22"/>
          <w:lang w:val="es-ES_tradnl"/>
        </w:rPr>
        <w:t>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En efecto,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w:t>
      </w:r>
    </w:p>
    <w:p w14:paraId="64F5FAFC" w14:textId="77777777" w:rsidR="00B353AD" w:rsidRPr="001C0886" w:rsidRDefault="00B353AD" w:rsidP="00B353AD">
      <w:pPr>
        <w:jc w:val="both"/>
        <w:rPr>
          <w:rFonts w:ascii="Geomanist Light" w:eastAsia="Calibri" w:hAnsi="Geomanist Light" w:cs="Arial"/>
          <w:color w:val="000000" w:themeColor="text1"/>
          <w:sz w:val="22"/>
          <w:lang w:val="es-ES_tradnl"/>
        </w:rPr>
      </w:pPr>
    </w:p>
    <w:p w14:paraId="4BAA7F7F" w14:textId="77777777" w:rsidR="00B353AD" w:rsidRPr="001C0886" w:rsidRDefault="00B353AD" w:rsidP="00B353AD">
      <w:pPr>
        <w:jc w:val="both"/>
        <w:rPr>
          <w:rFonts w:ascii="Geomanist Light" w:eastAsia="Calibri" w:hAnsi="Geomanist Light" w:cs="Arial"/>
          <w:color w:val="000000" w:themeColor="text1"/>
          <w:sz w:val="22"/>
          <w:lang w:val="es-ES_tradnl"/>
        </w:rPr>
      </w:pPr>
      <w:r w:rsidRPr="001C0886">
        <w:rPr>
          <w:rFonts w:ascii="Geomanist Light" w:eastAsia="Calibri" w:hAnsi="Geomanist Light" w:cs="Arial"/>
          <w:color w:val="000000" w:themeColor="text1"/>
          <w:sz w:val="22"/>
          <w:lang w:val="es-ES_tradnl"/>
        </w:rPr>
        <w:t xml:space="preserve">Como se aprecia, el principio </w:t>
      </w:r>
      <w:r w:rsidRPr="001C0886">
        <w:rPr>
          <w:rFonts w:ascii="Geomanist Light" w:eastAsia="Calibri" w:hAnsi="Geomanist Light" w:cs="Arial"/>
          <w:i/>
          <w:iCs/>
          <w:color w:val="000000" w:themeColor="text1"/>
          <w:sz w:val="22"/>
          <w:lang w:val="es-ES_tradnl"/>
        </w:rPr>
        <w:t xml:space="preserve">pro </w:t>
      </w:r>
      <w:proofErr w:type="spellStart"/>
      <w:r w:rsidRPr="001C0886">
        <w:rPr>
          <w:rFonts w:ascii="Geomanist Light" w:eastAsia="Calibri" w:hAnsi="Geomanist Light" w:cs="Arial"/>
          <w:i/>
          <w:iCs/>
          <w:color w:val="000000" w:themeColor="text1"/>
          <w:sz w:val="22"/>
          <w:lang w:val="es-ES_tradnl"/>
        </w:rPr>
        <w:t>libertate</w:t>
      </w:r>
      <w:proofErr w:type="spellEnd"/>
      <w:r w:rsidRPr="001C0886">
        <w:rPr>
          <w:rFonts w:ascii="Geomanist Light" w:eastAsia="Calibri" w:hAnsi="Geomanist Light" w:cs="Arial"/>
          <w:color w:val="000000" w:themeColor="text1"/>
          <w:sz w:val="22"/>
          <w:lang w:val="es-ES_tradnl"/>
        </w:rPr>
        <w:t xml:space="preserve"> es el que debe dirigir la interpretación de las disposiciones normativas que consagran restricciones de derechos, como sucede con las causales de inhabilidad e incompatibilidad en la contratación estatal. </w:t>
      </w:r>
    </w:p>
    <w:p w14:paraId="66E9FED4" w14:textId="77777777" w:rsidR="00B353AD" w:rsidRPr="001C0886" w:rsidRDefault="00B353AD" w:rsidP="00B353AD">
      <w:pPr>
        <w:jc w:val="both"/>
        <w:rPr>
          <w:rFonts w:ascii="Geomanist Light" w:eastAsia="Calibri" w:hAnsi="Geomanist Light" w:cs="Arial"/>
          <w:color w:val="000000" w:themeColor="text1"/>
          <w:sz w:val="22"/>
          <w:lang w:val="es-ES_tradnl"/>
        </w:rPr>
      </w:pPr>
    </w:p>
    <w:p w14:paraId="39E20719" w14:textId="77777777" w:rsidR="00B353AD" w:rsidRPr="001C0886" w:rsidRDefault="00B353AD" w:rsidP="00B353AD">
      <w:pPr>
        <w:jc w:val="both"/>
        <w:rPr>
          <w:rFonts w:ascii="Geomanist Light" w:hAnsi="Geomanist Light" w:cs="Arial"/>
          <w:b/>
          <w:bCs/>
          <w:color w:val="000000" w:themeColor="text1"/>
          <w:sz w:val="22"/>
          <w:lang w:val="es-ES_tradnl"/>
        </w:rPr>
      </w:pPr>
      <w:r w:rsidRPr="001C0886">
        <w:rPr>
          <w:rFonts w:ascii="Geomanist Light" w:hAnsi="Geomanist Light" w:cs="Arial"/>
          <w:b/>
          <w:bCs/>
          <w:color w:val="000000" w:themeColor="text1"/>
          <w:sz w:val="22"/>
          <w:lang w:val="es-ES_tradnl"/>
        </w:rPr>
        <w:t xml:space="preserve">CONTRATO DE PRESTACIÓN DE SERVICIOS PROFESIONALES </w:t>
      </w:r>
      <w:r w:rsidRPr="001C0886">
        <w:rPr>
          <w:rFonts w:ascii="Geomanist Light" w:eastAsia="Calibri" w:hAnsi="Geomanist Light" w:cs="Arial"/>
          <w:b/>
          <w:color w:val="000000" w:themeColor="text1"/>
          <w:sz w:val="22"/>
        </w:rPr>
        <w:t>–</w:t>
      </w:r>
      <w:r w:rsidRPr="001C0886">
        <w:rPr>
          <w:rFonts w:ascii="Geomanist Light" w:hAnsi="Geomanist Light" w:cs="Arial"/>
          <w:b/>
          <w:bCs/>
          <w:color w:val="000000" w:themeColor="text1"/>
          <w:sz w:val="22"/>
          <w:lang w:val="es-ES_tradnl"/>
        </w:rPr>
        <w:t xml:space="preserve"> </w:t>
      </w:r>
      <w:r w:rsidRPr="00E36368">
        <w:rPr>
          <w:rFonts w:ascii="Geomanist Light" w:hAnsi="Geomanist Light" w:cs="Arial"/>
          <w:b/>
          <w:bCs/>
          <w:color w:val="000000" w:themeColor="text1"/>
          <w:sz w:val="22"/>
          <w:lang w:val="es-ES_tradnl"/>
        </w:rPr>
        <w:t>Concepto</w:t>
      </w:r>
      <w:r w:rsidRPr="001C0886">
        <w:rPr>
          <w:rFonts w:ascii="Geomanist Light" w:hAnsi="Geomanist Light" w:cs="Arial"/>
          <w:b/>
          <w:bCs/>
          <w:color w:val="000000" w:themeColor="text1"/>
          <w:sz w:val="22"/>
          <w:lang w:val="es-ES_tradnl"/>
        </w:rPr>
        <w:t xml:space="preserve"> </w:t>
      </w:r>
      <w:r w:rsidRPr="001C0886">
        <w:rPr>
          <w:rFonts w:ascii="Geomanist Light" w:eastAsia="Calibri" w:hAnsi="Geomanist Light" w:cs="Arial"/>
          <w:b/>
          <w:color w:val="000000" w:themeColor="text1"/>
          <w:sz w:val="22"/>
        </w:rPr>
        <w:t>–</w:t>
      </w:r>
      <w:r w:rsidRPr="001C0886">
        <w:rPr>
          <w:rFonts w:ascii="Geomanist Light" w:hAnsi="Geomanist Light" w:cs="Arial"/>
          <w:b/>
          <w:bCs/>
          <w:color w:val="000000" w:themeColor="text1"/>
          <w:sz w:val="22"/>
          <w:lang w:val="es-ES_tradnl"/>
        </w:rPr>
        <w:t xml:space="preserve"> Objeto</w:t>
      </w:r>
    </w:p>
    <w:p w14:paraId="2F371C21" w14:textId="77777777" w:rsidR="00B353AD" w:rsidRPr="001C0886" w:rsidRDefault="00B353AD" w:rsidP="00B353AD">
      <w:pPr>
        <w:jc w:val="both"/>
        <w:rPr>
          <w:rFonts w:ascii="Geomanist Light" w:hAnsi="Geomanist Light" w:cs="Arial"/>
          <w:color w:val="000000" w:themeColor="text1"/>
          <w:sz w:val="22"/>
          <w:lang w:val="es-ES_tradnl"/>
        </w:rPr>
      </w:pPr>
    </w:p>
    <w:p w14:paraId="703EF3DA" w14:textId="77777777" w:rsidR="00B353AD" w:rsidRPr="001C0886" w:rsidRDefault="00B353AD" w:rsidP="00B353AD">
      <w:pPr>
        <w:jc w:val="both"/>
        <w:rPr>
          <w:rFonts w:ascii="Geomanist Light" w:eastAsia="Calibri" w:hAnsi="Geomanist Light" w:cs="Arial"/>
          <w:sz w:val="22"/>
          <w:lang w:val="es-ES_tradnl"/>
        </w:rPr>
      </w:pPr>
      <w:r w:rsidRPr="001C0886">
        <w:rPr>
          <w:rFonts w:ascii="Geomanist Light" w:eastAsia="Calibri" w:hAnsi="Geomanist Light" w:cs="Arial"/>
          <w:sz w:val="22"/>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1C0886">
        <w:rPr>
          <w:rFonts w:ascii="Geomanist Light" w:eastAsia="Calibri" w:hAnsi="Geomanist Light" w:cs="Arial"/>
          <w:sz w:val="22"/>
          <w:lang w:val="es-ES_tradnl"/>
        </w:rPr>
        <w:t xml:space="preserve"> La celebración de dicho contrato debe efectuarse a través de la modalidad de contratación directa. </w:t>
      </w:r>
    </w:p>
    <w:p w14:paraId="3A1DF88B" w14:textId="77777777" w:rsidR="00B353AD" w:rsidRPr="001C0886" w:rsidRDefault="00B353AD" w:rsidP="00B353AD">
      <w:pPr>
        <w:jc w:val="both"/>
        <w:rPr>
          <w:rFonts w:ascii="Geomanist Light" w:hAnsi="Geomanist Light" w:cs="Arial"/>
          <w:color w:val="000000" w:themeColor="text1"/>
          <w:sz w:val="22"/>
          <w:lang w:val="es-ES_tradnl"/>
        </w:rPr>
      </w:pPr>
    </w:p>
    <w:p w14:paraId="46E79E04" w14:textId="77777777" w:rsidR="001F333E" w:rsidRPr="00AB690B" w:rsidRDefault="001F333E" w:rsidP="00CA3AE5">
      <w:pPr>
        <w:spacing w:line="276" w:lineRule="auto"/>
        <w:jc w:val="both"/>
        <w:rPr>
          <w:rFonts w:ascii="Arial" w:eastAsia="Calibri" w:hAnsi="Arial" w:cs="Arial"/>
          <w:sz w:val="20"/>
          <w:szCs w:val="20"/>
          <w:lang w:val="es-ES_tradnl"/>
        </w:rPr>
      </w:pPr>
    </w:p>
    <w:p w14:paraId="3A8CBD47" w14:textId="77777777" w:rsidR="00B353AD" w:rsidRDefault="00B353AD" w:rsidP="00CA3AE5">
      <w:pPr>
        <w:spacing w:line="276" w:lineRule="auto"/>
        <w:jc w:val="both"/>
        <w:rPr>
          <w:rFonts w:ascii="Arial" w:eastAsia="Calibri" w:hAnsi="Arial" w:cs="Arial"/>
          <w:sz w:val="20"/>
          <w:szCs w:val="20"/>
          <w:lang w:val="es-ES_tradnl"/>
        </w:rPr>
      </w:pPr>
    </w:p>
    <w:p w14:paraId="51872F0F" w14:textId="77777777" w:rsidR="00B353AD" w:rsidRDefault="00B353AD" w:rsidP="00CA3AE5">
      <w:pPr>
        <w:spacing w:line="276" w:lineRule="auto"/>
        <w:jc w:val="both"/>
        <w:rPr>
          <w:rFonts w:ascii="Arial" w:eastAsia="Calibri" w:hAnsi="Arial" w:cs="Arial"/>
          <w:sz w:val="20"/>
          <w:szCs w:val="20"/>
          <w:lang w:val="es-ES_tradnl"/>
        </w:rPr>
      </w:pPr>
    </w:p>
    <w:p w14:paraId="0F93DF63" w14:textId="77777777" w:rsidR="00B353AD" w:rsidRDefault="00B353AD" w:rsidP="00CA3AE5">
      <w:pPr>
        <w:spacing w:line="276" w:lineRule="auto"/>
        <w:jc w:val="both"/>
        <w:rPr>
          <w:rFonts w:ascii="Arial" w:eastAsia="Calibri" w:hAnsi="Arial" w:cs="Arial"/>
          <w:sz w:val="20"/>
          <w:szCs w:val="20"/>
          <w:lang w:val="es-ES_tradnl"/>
        </w:rPr>
      </w:pPr>
    </w:p>
    <w:p w14:paraId="506B7128" w14:textId="77777777" w:rsidR="00B353AD" w:rsidRDefault="00B353AD" w:rsidP="00CA3AE5">
      <w:pPr>
        <w:spacing w:line="276" w:lineRule="auto"/>
        <w:jc w:val="both"/>
        <w:rPr>
          <w:rFonts w:ascii="Arial" w:eastAsia="Calibri" w:hAnsi="Arial" w:cs="Arial"/>
          <w:sz w:val="20"/>
          <w:szCs w:val="20"/>
          <w:lang w:val="es-ES_tradnl"/>
        </w:rPr>
      </w:pPr>
    </w:p>
    <w:p w14:paraId="51FBBDD3" w14:textId="39C22011" w:rsidR="0043584B" w:rsidRDefault="0043584B" w:rsidP="00CA3AE5">
      <w:pPr>
        <w:spacing w:line="276" w:lineRule="auto"/>
        <w:jc w:val="both"/>
        <w:rPr>
          <w:rFonts w:ascii="Arial" w:eastAsia="Calibri" w:hAnsi="Arial" w:cs="Arial"/>
          <w:sz w:val="20"/>
          <w:szCs w:val="20"/>
          <w:lang w:val="es-ES_tradnl"/>
        </w:rPr>
      </w:pPr>
      <w:r w:rsidRPr="00AB690B">
        <w:rPr>
          <w:rFonts w:ascii="Arial" w:eastAsia="Calibri" w:hAnsi="Arial" w:cs="Arial"/>
          <w:sz w:val="20"/>
          <w:szCs w:val="20"/>
          <w:lang w:val="es-ES_tradnl"/>
        </w:rPr>
        <w:t>Señor</w:t>
      </w:r>
    </w:p>
    <w:p w14:paraId="41AE2397" w14:textId="41EFECF5" w:rsidR="0043584B" w:rsidRPr="0048782F" w:rsidRDefault="00AF2D89" w:rsidP="00CA3AE5">
      <w:pPr>
        <w:spacing w:line="276" w:lineRule="auto"/>
        <w:jc w:val="both"/>
        <w:rPr>
          <w:rFonts w:ascii="Arial" w:eastAsia="Calibri" w:hAnsi="Arial" w:cs="Arial"/>
          <w:sz w:val="20"/>
          <w:szCs w:val="20"/>
          <w:lang w:val="es-ES_tradnl"/>
        </w:rPr>
      </w:pPr>
      <w:r>
        <w:rPr>
          <w:rFonts w:ascii="Arial" w:eastAsia="Calibri" w:hAnsi="Arial" w:cs="Arial"/>
          <w:sz w:val="20"/>
          <w:szCs w:val="20"/>
          <w:lang w:val="es-ES_tradnl"/>
        </w:rPr>
        <w:t xml:space="preserve">                                                                    </w:t>
      </w:r>
      <w:r w:rsidR="0048782F">
        <w:rPr>
          <w:rFonts w:ascii="Arial" w:eastAsia="Calibri" w:hAnsi="Arial" w:cs="Arial"/>
          <w:sz w:val="20"/>
          <w:szCs w:val="20"/>
          <w:lang w:val="es-ES_tradnl"/>
        </w:rPr>
        <w:t xml:space="preserve">  </w:t>
      </w:r>
      <w:r w:rsidR="0048782F" w:rsidRPr="0048782F">
        <w:rPr>
          <w:rFonts w:ascii="Arial" w:eastAsia="Calibri" w:hAnsi="Arial" w:cs="Arial"/>
          <w:noProof/>
          <w:sz w:val="20"/>
          <w:szCs w:val="20"/>
          <w:lang w:val="es-ES_tradnl"/>
        </w:rPr>
        <w:drawing>
          <wp:inline distT="0" distB="0" distL="0" distR="0" wp14:anchorId="17456BF8" wp14:editId="15DFEEAA">
            <wp:extent cx="2935605" cy="6000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5605" cy="600075"/>
                    </a:xfrm>
                    <a:prstGeom prst="rect">
                      <a:avLst/>
                    </a:prstGeom>
                    <a:noFill/>
                    <a:ln>
                      <a:noFill/>
                    </a:ln>
                  </pic:spPr>
                </pic:pic>
              </a:graphicData>
            </a:graphic>
          </wp:inline>
        </w:drawing>
      </w:r>
      <w:r w:rsidR="0043584B" w:rsidRPr="00AB690B">
        <w:rPr>
          <w:rFonts w:ascii="Arial" w:eastAsia="Calibri" w:hAnsi="Arial" w:cs="Arial"/>
          <w:b/>
          <w:sz w:val="20"/>
          <w:szCs w:val="20"/>
          <w:lang w:val="es-ES_tradnl"/>
        </w:rPr>
        <w:t xml:space="preserve">Efraín López </w:t>
      </w:r>
      <w:proofErr w:type="spellStart"/>
      <w:r w:rsidR="0043584B" w:rsidRPr="00AB690B">
        <w:rPr>
          <w:rFonts w:ascii="Arial" w:eastAsia="Calibri" w:hAnsi="Arial" w:cs="Arial"/>
          <w:b/>
          <w:sz w:val="20"/>
          <w:szCs w:val="20"/>
          <w:lang w:val="es-ES_tradnl"/>
        </w:rPr>
        <w:t>Amarís</w:t>
      </w:r>
      <w:proofErr w:type="spellEnd"/>
    </w:p>
    <w:p w14:paraId="07F118BE" w14:textId="4B611139" w:rsidR="0043584B" w:rsidRPr="00AB690B" w:rsidRDefault="0043584B" w:rsidP="00CA3AE5">
      <w:pPr>
        <w:spacing w:line="276" w:lineRule="auto"/>
        <w:jc w:val="both"/>
        <w:rPr>
          <w:rFonts w:ascii="Arial" w:eastAsia="Calibri" w:hAnsi="Arial" w:cs="Arial"/>
          <w:b/>
          <w:sz w:val="20"/>
          <w:szCs w:val="20"/>
          <w:lang w:val="es-ES_tradnl"/>
        </w:rPr>
      </w:pPr>
      <w:r w:rsidRPr="00AB690B">
        <w:rPr>
          <w:rFonts w:ascii="Arial" w:eastAsia="Calibri" w:hAnsi="Arial" w:cs="Arial"/>
          <w:sz w:val="20"/>
          <w:szCs w:val="20"/>
          <w:lang w:val="es-ES_tradnl"/>
        </w:rPr>
        <w:t>Bogotá D.C.</w:t>
      </w:r>
    </w:p>
    <w:p w14:paraId="474EE6E6" w14:textId="716AA1A8" w:rsidR="0043584B" w:rsidRPr="00AB690B" w:rsidRDefault="0043584B" w:rsidP="00CA3AE5">
      <w:pPr>
        <w:spacing w:line="276" w:lineRule="auto"/>
        <w:jc w:val="both"/>
        <w:rPr>
          <w:rFonts w:ascii="Arial" w:eastAsia="Calibri" w:hAnsi="Arial" w:cs="Arial"/>
          <w:b/>
          <w:sz w:val="20"/>
          <w:szCs w:val="20"/>
          <w:lang w:val="es-ES_tradnl"/>
        </w:rPr>
      </w:pPr>
      <w:r w:rsidRPr="00AB690B">
        <w:rPr>
          <w:rFonts w:ascii="Arial" w:eastAsia="Calibri" w:hAnsi="Arial" w:cs="Arial"/>
          <w:b/>
          <w:sz w:val="20"/>
          <w:szCs w:val="20"/>
          <w:lang w:val="es-ES_tradnl"/>
        </w:rPr>
        <w:t xml:space="preserve">                                            Concepto C – 783 de 202</w:t>
      </w:r>
      <w:r w:rsidR="00CA3AE5" w:rsidRPr="00AB690B">
        <w:rPr>
          <w:rFonts w:ascii="Arial" w:eastAsia="Calibri" w:hAnsi="Arial" w:cs="Arial"/>
          <w:b/>
          <w:sz w:val="20"/>
          <w:szCs w:val="20"/>
          <w:lang w:val="es-ES_tradnl"/>
        </w:rPr>
        <w:t>2</w:t>
      </w:r>
    </w:p>
    <w:p w14:paraId="38FCD009" w14:textId="17914E54" w:rsidR="0043584B" w:rsidRDefault="0043584B" w:rsidP="00CA3AE5">
      <w:pPr>
        <w:spacing w:line="276" w:lineRule="auto"/>
        <w:jc w:val="both"/>
        <w:rPr>
          <w:rFonts w:ascii="Arial" w:eastAsia="Calibri" w:hAnsi="Arial" w:cs="Arial"/>
          <w:sz w:val="20"/>
          <w:szCs w:val="20"/>
          <w:lang w:val="es-ES_tradnl"/>
        </w:rPr>
      </w:pPr>
    </w:p>
    <w:p w14:paraId="3C769CFF" w14:textId="2D71AA1F" w:rsidR="00F3129C" w:rsidRDefault="00F3129C" w:rsidP="00CA3AE5">
      <w:pPr>
        <w:spacing w:line="276" w:lineRule="auto"/>
        <w:jc w:val="both"/>
        <w:rPr>
          <w:rFonts w:ascii="Arial" w:eastAsia="Calibri" w:hAnsi="Arial" w:cs="Arial"/>
          <w:sz w:val="20"/>
          <w:szCs w:val="20"/>
          <w:lang w:val="es-ES_tradnl"/>
        </w:rPr>
      </w:pPr>
    </w:p>
    <w:p w14:paraId="7C9825AC" w14:textId="77777777" w:rsidR="00F3129C" w:rsidRPr="00AB690B" w:rsidRDefault="00F3129C" w:rsidP="00CA3AE5">
      <w:pPr>
        <w:spacing w:line="276" w:lineRule="auto"/>
        <w:jc w:val="both"/>
        <w:rPr>
          <w:rFonts w:ascii="Arial" w:eastAsia="Calibri" w:hAnsi="Arial" w:cs="Arial"/>
          <w:sz w:val="20"/>
          <w:szCs w:val="20"/>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3584B" w:rsidRPr="00AB690B" w14:paraId="2CFBDC83" w14:textId="77777777" w:rsidTr="00883947">
        <w:tc>
          <w:tcPr>
            <w:tcW w:w="2689" w:type="dxa"/>
            <w:hideMark/>
          </w:tcPr>
          <w:p w14:paraId="55C5B1E0" w14:textId="77777777" w:rsidR="0043584B" w:rsidRPr="00AB690B" w:rsidRDefault="0043584B" w:rsidP="00CA3AE5">
            <w:pPr>
              <w:spacing w:line="276" w:lineRule="auto"/>
              <w:rPr>
                <w:rFonts w:ascii="Arial" w:eastAsia="Calibri" w:hAnsi="Arial" w:cs="Arial"/>
                <w:sz w:val="20"/>
                <w:szCs w:val="20"/>
                <w:lang w:val="es-ES_tradnl"/>
              </w:rPr>
            </w:pPr>
            <w:r w:rsidRPr="00AB690B">
              <w:rPr>
                <w:rFonts w:ascii="Arial" w:eastAsia="Calibri" w:hAnsi="Arial" w:cs="Arial"/>
                <w:b/>
                <w:sz w:val="20"/>
                <w:szCs w:val="20"/>
                <w:lang w:val="es-ES_tradnl"/>
              </w:rPr>
              <w:t>Temas:</w:t>
            </w:r>
            <w:r w:rsidRPr="00AB690B">
              <w:rPr>
                <w:rFonts w:ascii="Arial" w:eastAsia="Calibri" w:hAnsi="Arial" w:cs="Arial"/>
                <w:sz w:val="20"/>
                <w:szCs w:val="20"/>
                <w:lang w:val="es-ES_tradnl"/>
              </w:rPr>
              <w:t xml:space="preserve">           </w:t>
            </w:r>
          </w:p>
          <w:p w14:paraId="1C45B897" w14:textId="77777777" w:rsidR="0043584B" w:rsidRPr="00AB690B" w:rsidRDefault="0043584B" w:rsidP="00CA3AE5">
            <w:pPr>
              <w:spacing w:line="276" w:lineRule="auto"/>
              <w:rPr>
                <w:rFonts w:ascii="Arial" w:eastAsia="Calibri" w:hAnsi="Arial" w:cs="Arial"/>
                <w:sz w:val="20"/>
                <w:szCs w:val="20"/>
                <w:lang w:val="es-ES_tradnl"/>
              </w:rPr>
            </w:pPr>
            <w:r w:rsidRPr="00AB690B">
              <w:rPr>
                <w:rFonts w:ascii="Arial" w:eastAsia="Calibri" w:hAnsi="Arial" w:cs="Arial"/>
                <w:sz w:val="20"/>
                <w:szCs w:val="20"/>
                <w:lang w:val="es-ES_tradnl"/>
              </w:rPr>
              <w:t xml:space="preserve">                           </w:t>
            </w:r>
          </w:p>
        </w:tc>
        <w:tc>
          <w:tcPr>
            <w:tcW w:w="6237" w:type="dxa"/>
            <w:hideMark/>
          </w:tcPr>
          <w:p w14:paraId="39C74702" w14:textId="6F382AA9" w:rsidR="0043584B" w:rsidRPr="00AB690B" w:rsidRDefault="001F333E" w:rsidP="008F76EE">
            <w:pPr>
              <w:spacing w:after="120" w:line="276" w:lineRule="auto"/>
              <w:rPr>
                <w:rFonts w:ascii="Arial" w:eastAsia="Calibri" w:hAnsi="Arial" w:cs="Arial"/>
                <w:sz w:val="20"/>
                <w:szCs w:val="20"/>
                <w:lang w:val="es-ES_tradnl"/>
              </w:rPr>
            </w:pPr>
            <w:r w:rsidRPr="00AB690B">
              <w:rPr>
                <w:rFonts w:ascii="Arial" w:eastAsia="Calibri" w:hAnsi="Arial" w:cs="Arial"/>
                <w:sz w:val="20"/>
                <w:szCs w:val="20"/>
                <w:lang w:val="es-ES_tradnl"/>
              </w:rPr>
              <w:t>RÉGIMEN</w:t>
            </w:r>
            <w:r w:rsidR="0043584B" w:rsidRPr="00AB690B">
              <w:rPr>
                <w:rFonts w:ascii="Arial" w:eastAsia="Calibri" w:hAnsi="Arial" w:cs="Arial"/>
                <w:sz w:val="20"/>
                <w:szCs w:val="20"/>
                <w:lang w:val="es-ES_tradnl"/>
              </w:rPr>
              <w:t xml:space="preserve"> DE INHABILIDADES E INCOMPATIBILIDADES </w:t>
            </w:r>
            <w:r w:rsidR="009132B2" w:rsidRPr="00AB690B">
              <w:rPr>
                <w:rFonts w:ascii="Arial" w:eastAsia="Calibri" w:hAnsi="Arial" w:cs="Arial"/>
                <w:sz w:val="20"/>
                <w:szCs w:val="20"/>
                <w:lang w:val="es-ES_tradnl"/>
              </w:rPr>
              <w:t xml:space="preserve">– Limitación a la capacidad / RÉGIMEN DE INHABILIDADES E INCOMPATIBILIDADES – </w:t>
            </w:r>
            <w:r w:rsidR="0043584B" w:rsidRPr="00AB690B">
              <w:rPr>
                <w:rFonts w:ascii="Arial" w:eastAsia="Calibri" w:hAnsi="Arial" w:cs="Arial"/>
                <w:sz w:val="20"/>
                <w:szCs w:val="20"/>
                <w:lang w:val="es-ES_tradnl"/>
              </w:rPr>
              <w:t>Principio de legalidad</w:t>
            </w:r>
            <w:r w:rsidR="009132B2" w:rsidRPr="00AB690B">
              <w:rPr>
                <w:rFonts w:ascii="Arial" w:eastAsia="Calibri" w:hAnsi="Arial" w:cs="Arial"/>
                <w:sz w:val="20"/>
                <w:szCs w:val="20"/>
                <w:lang w:val="es-ES_tradnl"/>
              </w:rPr>
              <w:t xml:space="preserve"> / RÉGIMEN DE INHABILIDADES E INCOMPATIBILIDADES – Interpretación restrictiva</w:t>
            </w:r>
            <w:r w:rsidR="0043584B" w:rsidRPr="00AB690B">
              <w:rPr>
                <w:rFonts w:ascii="Arial" w:eastAsia="Calibri" w:hAnsi="Arial" w:cs="Arial"/>
                <w:sz w:val="20"/>
                <w:szCs w:val="20"/>
                <w:lang w:val="es-ES_tradnl"/>
              </w:rPr>
              <w:t xml:space="preserve"> </w:t>
            </w:r>
            <w:r w:rsidR="009132B2" w:rsidRPr="00AB690B">
              <w:rPr>
                <w:rFonts w:ascii="Arial" w:eastAsia="Calibri" w:hAnsi="Arial" w:cs="Arial"/>
                <w:sz w:val="20"/>
                <w:szCs w:val="20"/>
                <w:lang w:val="es-ES_tradnl"/>
              </w:rPr>
              <w:t xml:space="preserve">/ RÉGIMEN DE CONTROL DISCIPLINARIO – Ámbito de aplicación – Destinatarios / RÉGIMEN DE CONTROL DISCIPLINARIO – </w:t>
            </w:r>
            <w:r w:rsidR="00CA3AE5" w:rsidRPr="00AB690B">
              <w:rPr>
                <w:rFonts w:ascii="Arial" w:eastAsia="Calibri" w:hAnsi="Arial" w:cs="Arial"/>
                <w:sz w:val="20"/>
                <w:szCs w:val="20"/>
                <w:lang w:val="es-ES_tradnl"/>
              </w:rPr>
              <w:t xml:space="preserve">Aplicabilidad a los contratistas del Estado </w:t>
            </w:r>
          </w:p>
        </w:tc>
      </w:tr>
      <w:tr w:rsidR="0043584B" w:rsidRPr="00AB690B" w14:paraId="53913274" w14:textId="77777777" w:rsidTr="00883947">
        <w:tc>
          <w:tcPr>
            <w:tcW w:w="2689" w:type="dxa"/>
          </w:tcPr>
          <w:p w14:paraId="55475DB0" w14:textId="77777777" w:rsidR="0043584B" w:rsidRPr="00AB690B" w:rsidRDefault="0043584B" w:rsidP="00CA3AE5">
            <w:pPr>
              <w:spacing w:line="276" w:lineRule="auto"/>
              <w:rPr>
                <w:rFonts w:ascii="Arial" w:eastAsia="Calibri" w:hAnsi="Arial" w:cs="Arial"/>
                <w:b/>
                <w:sz w:val="20"/>
                <w:szCs w:val="20"/>
                <w:lang w:val="es-ES_tradnl"/>
              </w:rPr>
            </w:pPr>
            <w:r w:rsidRPr="00AB690B">
              <w:rPr>
                <w:rFonts w:ascii="Arial" w:eastAsia="Calibri" w:hAnsi="Arial" w:cs="Arial"/>
                <w:b/>
                <w:sz w:val="20"/>
                <w:szCs w:val="20"/>
                <w:lang w:val="es-ES_tradnl"/>
              </w:rPr>
              <w:t>Radicación:</w:t>
            </w:r>
            <w:r w:rsidRPr="00AB690B">
              <w:rPr>
                <w:rFonts w:ascii="Arial" w:eastAsia="Calibri" w:hAnsi="Arial" w:cs="Arial"/>
                <w:sz w:val="20"/>
                <w:szCs w:val="20"/>
                <w:lang w:val="es-ES_tradnl"/>
              </w:rPr>
              <w:t xml:space="preserve">                              </w:t>
            </w:r>
          </w:p>
        </w:tc>
        <w:tc>
          <w:tcPr>
            <w:tcW w:w="6237" w:type="dxa"/>
          </w:tcPr>
          <w:p w14:paraId="2DE20972" w14:textId="0426004A" w:rsidR="0043584B" w:rsidRPr="00AB690B" w:rsidRDefault="0043584B" w:rsidP="00CA3AE5">
            <w:pPr>
              <w:spacing w:line="276" w:lineRule="auto"/>
              <w:rPr>
                <w:rFonts w:ascii="Arial" w:eastAsia="Calibri" w:hAnsi="Arial" w:cs="Arial"/>
                <w:sz w:val="20"/>
                <w:szCs w:val="20"/>
                <w:lang w:val="es-ES_tradnl"/>
              </w:rPr>
            </w:pPr>
            <w:r w:rsidRPr="00AB690B">
              <w:rPr>
                <w:rFonts w:ascii="Arial" w:eastAsia="Calibri" w:hAnsi="Arial" w:cs="Arial"/>
                <w:sz w:val="20"/>
                <w:szCs w:val="20"/>
                <w:lang w:val="es-ES_tradnl"/>
              </w:rPr>
              <w:t>Respuesta a consulta P20221005010045</w:t>
            </w:r>
            <w:r w:rsidR="00F47791" w:rsidRPr="00AB690B">
              <w:rPr>
                <w:rFonts w:ascii="Arial" w:eastAsia="Calibri" w:hAnsi="Arial" w:cs="Arial"/>
                <w:sz w:val="20"/>
                <w:szCs w:val="20"/>
                <w:lang w:val="es-ES_tradnl"/>
              </w:rPr>
              <w:t xml:space="preserve"> y P20221013010361</w:t>
            </w:r>
          </w:p>
        </w:tc>
      </w:tr>
    </w:tbl>
    <w:p w14:paraId="114FA389" w14:textId="77777777" w:rsidR="0043584B" w:rsidRPr="00AB690B" w:rsidRDefault="0043584B" w:rsidP="00CA3AE5">
      <w:pPr>
        <w:spacing w:line="276" w:lineRule="auto"/>
        <w:jc w:val="both"/>
        <w:rPr>
          <w:rFonts w:ascii="Arial" w:eastAsia="Calibri" w:hAnsi="Arial" w:cs="Arial"/>
          <w:sz w:val="20"/>
          <w:szCs w:val="20"/>
          <w:lang w:val="es-ES_tradnl"/>
        </w:rPr>
      </w:pPr>
    </w:p>
    <w:p w14:paraId="37418401" w14:textId="77777777" w:rsidR="0043584B" w:rsidRPr="00AB690B" w:rsidRDefault="0043584B" w:rsidP="00CA3AE5">
      <w:pPr>
        <w:spacing w:line="276" w:lineRule="auto"/>
        <w:jc w:val="both"/>
        <w:rPr>
          <w:rFonts w:ascii="Arial" w:eastAsia="Calibri" w:hAnsi="Arial" w:cs="Arial"/>
          <w:sz w:val="20"/>
          <w:szCs w:val="20"/>
          <w:lang w:val="es-ES_tradnl"/>
        </w:rPr>
      </w:pPr>
      <w:r w:rsidRPr="00AB690B">
        <w:rPr>
          <w:rFonts w:ascii="Arial" w:eastAsia="Calibri" w:hAnsi="Arial" w:cs="Arial"/>
          <w:sz w:val="20"/>
          <w:szCs w:val="20"/>
          <w:lang w:val="es-ES_tradnl"/>
        </w:rPr>
        <w:t xml:space="preserve">Estimado señor López </w:t>
      </w:r>
      <w:proofErr w:type="spellStart"/>
      <w:r w:rsidRPr="00AB690B">
        <w:rPr>
          <w:rFonts w:ascii="Arial" w:eastAsia="Calibri" w:hAnsi="Arial" w:cs="Arial"/>
          <w:sz w:val="20"/>
          <w:szCs w:val="20"/>
          <w:lang w:val="es-ES_tradnl"/>
        </w:rPr>
        <w:t>Amarís</w:t>
      </w:r>
      <w:proofErr w:type="spellEnd"/>
      <w:r w:rsidRPr="00AB690B">
        <w:rPr>
          <w:rFonts w:ascii="Arial" w:eastAsia="Calibri" w:hAnsi="Arial" w:cs="Arial"/>
          <w:sz w:val="20"/>
          <w:szCs w:val="20"/>
          <w:lang w:val="es-ES_tradnl"/>
        </w:rPr>
        <w:t>:</w:t>
      </w:r>
    </w:p>
    <w:p w14:paraId="6771EDE8" w14:textId="77777777" w:rsidR="0043584B" w:rsidRPr="00AB690B" w:rsidRDefault="0043584B" w:rsidP="00CA3AE5">
      <w:pPr>
        <w:spacing w:line="276" w:lineRule="auto"/>
        <w:jc w:val="both"/>
        <w:rPr>
          <w:rFonts w:ascii="Arial" w:eastAsia="Calibri" w:hAnsi="Arial" w:cs="Arial"/>
          <w:sz w:val="20"/>
          <w:szCs w:val="20"/>
          <w:lang w:val="es-ES_tradnl"/>
        </w:rPr>
      </w:pPr>
    </w:p>
    <w:p w14:paraId="18C0CB6E" w14:textId="3A08D9E8" w:rsidR="0043584B" w:rsidRPr="00AB690B" w:rsidRDefault="0043584B" w:rsidP="00CA3AE5">
      <w:pPr>
        <w:spacing w:line="276" w:lineRule="auto"/>
        <w:jc w:val="both"/>
        <w:rPr>
          <w:rFonts w:ascii="Arial" w:eastAsia="Calibri" w:hAnsi="Arial" w:cs="Arial"/>
          <w:sz w:val="20"/>
          <w:szCs w:val="20"/>
          <w:lang w:val="es-ES_tradnl"/>
        </w:rPr>
      </w:pPr>
      <w:r w:rsidRPr="00AB690B">
        <w:rPr>
          <w:rFonts w:ascii="Arial" w:eastAsia="Calibri" w:hAnsi="Arial" w:cs="Arial"/>
          <w:sz w:val="20"/>
          <w:szCs w:val="20"/>
          <w:lang w:val="es-ES_tradnl"/>
        </w:rPr>
        <w:t>En ejercicio de la competencia otorgada por los artículos 11, numeral 8º, y 3º, numeral 5º, del Decreto Ley 4170 de 2011, la Agencia Nacional de Contratación Pública―Colombia Compra Eficiente responde su</w:t>
      </w:r>
      <w:r w:rsidR="00F47791" w:rsidRPr="00AB690B">
        <w:rPr>
          <w:rFonts w:ascii="Arial" w:eastAsia="Calibri" w:hAnsi="Arial" w:cs="Arial"/>
          <w:sz w:val="20"/>
          <w:szCs w:val="20"/>
          <w:lang w:val="es-ES_tradnl"/>
        </w:rPr>
        <w:t xml:space="preserve">s peticiones de consulta del 13 de octubre de 2022. </w:t>
      </w:r>
    </w:p>
    <w:p w14:paraId="3748EEE3" w14:textId="77777777" w:rsidR="0043584B" w:rsidRPr="00AB690B" w:rsidRDefault="0043584B" w:rsidP="00CA3AE5">
      <w:pPr>
        <w:spacing w:line="276" w:lineRule="auto"/>
        <w:jc w:val="both"/>
        <w:rPr>
          <w:rFonts w:ascii="Arial" w:eastAsia="Calibri" w:hAnsi="Arial" w:cs="Arial"/>
          <w:sz w:val="20"/>
          <w:szCs w:val="20"/>
          <w:lang w:val="es-ES_tradnl"/>
        </w:rPr>
      </w:pPr>
    </w:p>
    <w:p w14:paraId="59AB6C1E" w14:textId="3383F852" w:rsidR="00E35F9F" w:rsidRPr="00AB690B" w:rsidRDefault="0043584B" w:rsidP="008F76EE">
      <w:pPr>
        <w:pStyle w:val="Prrafodelista"/>
        <w:numPr>
          <w:ilvl w:val="0"/>
          <w:numId w:val="3"/>
        </w:numPr>
        <w:spacing w:line="276" w:lineRule="auto"/>
        <w:ind w:left="426"/>
        <w:jc w:val="both"/>
        <w:rPr>
          <w:rFonts w:ascii="Arial" w:eastAsia="Calibri" w:hAnsi="Arial" w:cs="Arial"/>
          <w:b/>
          <w:sz w:val="20"/>
          <w:szCs w:val="20"/>
        </w:rPr>
      </w:pPr>
      <w:r w:rsidRPr="00AB690B">
        <w:rPr>
          <w:rFonts w:ascii="Arial" w:eastAsia="Calibri" w:hAnsi="Arial" w:cs="Arial"/>
          <w:b/>
          <w:sz w:val="20"/>
          <w:szCs w:val="20"/>
        </w:rPr>
        <w:t xml:space="preserve">Problemas planteados </w:t>
      </w:r>
    </w:p>
    <w:p w14:paraId="4156EE28" w14:textId="77777777" w:rsidR="0043584B" w:rsidRPr="00AB690B" w:rsidRDefault="0043584B" w:rsidP="00E35F9F">
      <w:pPr>
        <w:spacing w:line="276" w:lineRule="auto"/>
        <w:ind w:left="360"/>
        <w:jc w:val="both"/>
        <w:rPr>
          <w:rFonts w:ascii="Arial" w:eastAsia="Calibri" w:hAnsi="Arial" w:cs="Arial"/>
          <w:b/>
          <w:sz w:val="20"/>
          <w:szCs w:val="20"/>
          <w:lang w:val="es-MX"/>
        </w:rPr>
      </w:pPr>
    </w:p>
    <w:p w14:paraId="4D808421" w14:textId="42335ED6" w:rsidR="0043584B" w:rsidRPr="00AB690B" w:rsidRDefault="0043584B" w:rsidP="008F76EE">
      <w:pPr>
        <w:spacing w:line="276" w:lineRule="auto"/>
        <w:jc w:val="both"/>
        <w:rPr>
          <w:rFonts w:ascii="Arial" w:eastAsia="Calibri" w:hAnsi="Arial" w:cs="Arial"/>
          <w:sz w:val="20"/>
          <w:szCs w:val="20"/>
          <w:lang w:val="es-MX"/>
        </w:rPr>
      </w:pPr>
      <w:r w:rsidRPr="00AB690B">
        <w:rPr>
          <w:rFonts w:ascii="Arial" w:eastAsia="Calibri" w:hAnsi="Arial" w:cs="Arial"/>
          <w:sz w:val="20"/>
          <w:szCs w:val="20"/>
          <w:lang w:val="es-MX"/>
        </w:rPr>
        <w:t>Usted realiza la siguiente</w:t>
      </w:r>
      <w:r w:rsidR="001F333E" w:rsidRPr="00AB690B">
        <w:rPr>
          <w:rFonts w:ascii="Arial" w:eastAsia="Calibri" w:hAnsi="Arial" w:cs="Arial"/>
          <w:sz w:val="20"/>
          <w:szCs w:val="20"/>
          <w:lang w:val="es-MX"/>
        </w:rPr>
        <w:t xml:space="preserve"> consulta</w:t>
      </w:r>
      <w:r w:rsidRPr="00AB690B">
        <w:rPr>
          <w:rFonts w:ascii="Arial" w:eastAsia="Calibri" w:hAnsi="Arial" w:cs="Arial"/>
          <w:sz w:val="20"/>
          <w:szCs w:val="20"/>
          <w:lang w:val="es-MX"/>
        </w:rPr>
        <w:t>:</w:t>
      </w:r>
      <w:bookmarkStart w:id="1" w:name="_Hlk63944432"/>
      <w:r w:rsidR="001F333E" w:rsidRPr="00AB690B">
        <w:rPr>
          <w:rFonts w:ascii="Arial" w:eastAsia="Calibri" w:hAnsi="Arial" w:cs="Arial"/>
          <w:sz w:val="20"/>
          <w:szCs w:val="20"/>
          <w:lang w:val="es-MX"/>
        </w:rPr>
        <w:t xml:space="preserve"> </w:t>
      </w:r>
      <w:r w:rsidRPr="00AB690B">
        <w:rPr>
          <w:rFonts w:ascii="Arial" w:eastAsia="Calibri" w:hAnsi="Arial" w:cs="Arial"/>
          <w:sz w:val="20"/>
          <w:szCs w:val="20"/>
          <w:lang w:val="es-MX"/>
        </w:rPr>
        <w:t xml:space="preserve">«¿Las inhabilidades de que tratan el artículo 3 de la Ley 1474 de 2011 (que modificó el </w:t>
      </w:r>
      <w:proofErr w:type="spellStart"/>
      <w:r w:rsidRPr="00AB690B">
        <w:rPr>
          <w:rFonts w:ascii="Arial" w:eastAsia="Calibri" w:hAnsi="Arial" w:cs="Arial"/>
          <w:sz w:val="20"/>
          <w:szCs w:val="20"/>
          <w:lang w:val="es-MX"/>
        </w:rPr>
        <w:t>num</w:t>
      </w:r>
      <w:proofErr w:type="spellEnd"/>
      <w:r w:rsidRPr="00AB690B">
        <w:rPr>
          <w:rFonts w:ascii="Arial" w:eastAsia="Calibri" w:hAnsi="Arial" w:cs="Arial"/>
          <w:sz w:val="20"/>
          <w:szCs w:val="20"/>
          <w:lang w:val="es-MX"/>
        </w:rPr>
        <w:t xml:space="preserve">. 22 del art. 35 de la Ley 734 de 2002), y el numeral 4 del artículo 56 de la Ley 1952 de 2019 aplican para contratistas?».  </w:t>
      </w:r>
      <w:bookmarkEnd w:id="1"/>
    </w:p>
    <w:p w14:paraId="621C4F14" w14:textId="77777777" w:rsidR="0043584B" w:rsidRPr="00AB690B" w:rsidRDefault="0043584B" w:rsidP="00CA3AE5">
      <w:pPr>
        <w:jc w:val="both"/>
        <w:rPr>
          <w:rFonts w:ascii="Arial" w:hAnsi="Arial" w:cs="Arial"/>
          <w:color w:val="000000" w:themeColor="text1"/>
          <w:sz w:val="20"/>
          <w:szCs w:val="20"/>
          <w:lang w:val="es-MX"/>
        </w:rPr>
      </w:pPr>
    </w:p>
    <w:p w14:paraId="7C33D012" w14:textId="6B391D57" w:rsidR="0043584B" w:rsidRPr="00AB690B" w:rsidRDefault="0043584B" w:rsidP="001F333E">
      <w:pPr>
        <w:pStyle w:val="NormalWeb"/>
        <w:numPr>
          <w:ilvl w:val="0"/>
          <w:numId w:val="3"/>
        </w:numPr>
        <w:spacing w:before="0" w:beforeAutospacing="0" w:after="0" w:afterAutospacing="0"/>
        <w:ind w:left="426" w:right="709"/>
        <w:contextualSpacing/>
        <w:rPr>
          <w:rFonts w:ascii="Arial" w:eastAsia="Calibri" w:hAnsi="Arial" w:cs="Arial"/>
          <w:b/>
          <w:sz w:val="20"/>
          <w:szCs w:val="20"/>
        </w:rPr>
      </w:pPr>
      <w:r w:rsidRPr="00AB690B">
        <w:rPr>
          <w:rFonts w:ascii="Arial" w:eastAsia="Calibri" w:hAnsi="Arial" w:cs="Arial"/>
          <w:b/>
          <w:sz w:val="20"/>
          <w:szCs w:val="20"/>
        </w:rPr>
        <w:t>Consideraciones</w:t>
      </w:r>
    </w:p>
    <w:p w14:paraId="0927796A" w14:textId="77777777" w:rsidR="001F333E" w:rsidRPr="00AB690B" w:rsidRDefault="001F333E" w:rsidP="008F76EE">
      <w:pPr>
        <w:pStyle w:val="NormalWeb"/>
        <w:spacing w:before="0" w:beforeAutospacing="0" w:after="0" w:afterAutospacing="0"/>
        <w:ind w:left="426" w:right="709"/>
        <w:contextualSpacing/>
        <w:rPr>
          <w:rFonts w:ascii="Arial" w:eastAsia="Calibri" w:hAnsi="Arial" w:cs="Arial"/>
          <w:b/>
          <w:sz w:val="20"/>
          <w:szCs w:val="20"/>
        </w:rPr>
      </w:pPr>
    </w:p>
    <w:p w14:paraId="2A30F280" w14:textId="77777777" w:rsidR="0043584B" w:rsidRPr="00AB690B" w:rsidRDefault="0043584B" w:rsidP="008F76EE">
      <w:pPr>
        <w:spacing w:line="276" w:lineRule="auto"/>
        <w:jc w:val="both"/>
        <w:rPr>
          <w:rFonts w:ascii="Arial" w:eastAsia="Calibri" w:hAnsi="Arial" w:cs="Arial"/>
          <w:color w:val="000000" w:themeColor="text1"/>
          <w:sz w:val="20"/>
          <w:szCs w:val="20"/>
          <w:lang w:val="es-ES"/>
        </w:rPr>
      </w:pPr>
      <w:bookmarkStart w:id="2" w:name="_Hlk96420298"/>
      <w:bookmarkStart w:id="3" w:name="_Hlk57650395"/>
      <w:r w:rsidRPr="00AB690B">
        <w:rPr>
          <w:rFonts w:ascii="Arial" w:eastAsia="Calibri" w:hAnsi="Arial" w:cs="Arial"/>
          <w:bCs/>
          <w:color w:val="000000" w:themeColor="text1"/>
          <w:sz w:val="20"/>
          <w:szCs w:val="20"/>
        </w:rPr>
        <w:t xml:space="preserve">En ejercicio de las competencias establecidas en los artículos 3.5 y 11.8 del Decreto 4170 de 2011, la Agencia Nacional de Contratación Pública </w:t>
      </w:r>
      <w:bookmarkStart w:id="4" w:name="_Hlk99611965"/>
      <w:r w:rsidRPr="00AB690B">
        <w:rPr>
          <w:rFonts w:ascii="Arial" w:eastAsia="Calibri" w:hAnsi="Arial" w:cs="Arial"/>
          <w:bCs/>
          <w:color w:val="000000" w:themeColor="text1"/>
          <w:sz w:val="20"/>
          <w:szCs w:val="20"/>
        </w:rPr>
        <w:t>–</w:t>
      </w:r>
      <w:bookmarkEnd w:id="4"/>
      <w:r w:rsidRPr="00AB690B">
        <w:rPr>
          <w:rFonts w:ascii="Arial" w:eastAsia="Calibri" w:hAnsi="Arial" w:cs="Arial"/>
          <w:bCs/>
          <w:color w:val="000000" w:themeColor="text1"/>
          <w:sz w:val="20"/>
          <w:szCs w:val="20"/>
        </w:rPr>
        <w:t xml:space="preserve"> Colombia Compra Eficiente resuelve consultas sobre </w:t>
      </w:r>
      <w:bookmarkStart w:id="5" w:name="_Hlk61026958"/>
      <w:bookmarkStart w:id="6" w:name="_Hlk61701014"/>
      <w:bookmarkStart w:id="7" w:name="_Hlk62136649"/>
      <w:r w:rsidRPr="00AB690B">
        <w:rPr>
          <w:rFonts w:ascii="Arial" w:eastAsia="Calibri" w:hAnsi="Arial" w:cs="Arial"/>
          <w:color w:val="000000" w:themeColor="text1"/>
          <w:sz w:val="20"/>
          <w:szCs w:val="20"/>
          <w:lang w:val="es-ES"/>
        </w:rPr>
        <w:t xml:space="preserve">la aplicación de normas de carácter general en materia de compras y contratación pública. En ese </w:t>
      </w:r>
      <w:r w:rsidRPr="00AB690B">
        <w:rPr>
          <w:rFonts w:ascii="Arial" w:eastAsia="Calibri" w:hAnsi="Arial" w:cs="Arial"/>
          <w:color w:val="000000" w:themeColor="text1"/>
          <w:sz w:val="20"/>
          <w:szCs w:val="20"/>
          <w:lang w:val="es-ES"/>
        </w:rPr>
        <w:lastRenderedPageBreak/>
        <w:t>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AB690B">
        <w:rPr>
          <w:rFonts w:ascii="Arial" w:eastAsia="Calibri" w:hAnsi="Arial" w:cs="Arial"/>
          <w:bCs/>
          <w:color w:val="000000" w:themeColor="text1"/>
          <w:sz w:val="20"/>
          <w:szCs w:val="20"/>
        </w:rPr>
        <w:t xml:space="preserve"> de todos los partícipes de la contratación estatal ni para interpretar el alcance de cualquier norma vigente en el ordenamiento jurídico.</w:t>
      </w:r>
    </w:p>
    <w:bookmarkEnd w:id="5"/>
    <w:bookmarkEnd w:id="6"/>
    <w:bookmarkEnd w:id="7"/>
    <w:p w14:paraId="32D3D32C" w14:textId="233877DB" w:rsidR="0043584B" w:rsidRPr="00AB690B" w:rsidRDefault="0043584B" w:rsidP="00CA3AE5">
      <w:pPr>
        <w:spacing w:before="120" w:line="276" w:lineRule="auto"/>
        <w:ind w:firstLine="708"/>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Sin perjuicio de lo anterior, la Agencia –dentro de los límites de sus atribuciones– resolverá la consulta conforme a las normas generales en materia de contratación estatal. En este sentido, se analizará</w:t>
      </w:r>
      <w:r w:rsidR="001F333E" w:rsidRPr="00AB690B">
        <w:rPr>
          <w:rFonts w:ascii="Arial" w:eastAsia="Calibri" w:hAnsi="Arial" w:cs="Arial"/>
          <w:color w:val="000000" w:themeColor="text1"/>
          <w:sz w:val="20"/>
          <w:szCs w:val="20"/>
        </w:rPr>
        <w:t xml:space="preserve">n los </w:t>
      </w:r>
      <w:proofErr w:type="gramStart"/>
      <w:r w:rsidR="001F333E" w:rsidRPr="00AB690B">
        <w:rPr>
          <w:rFonts w:ascii="Arial" w:eastAsia="Calibri" w:hAnsi="Arial" w:cs="Arial"/>
          <w:color w:val="000000" w:themeColor="text1"/>
          <w:sz w:val="20"/>
          <w:szCs w:val="20"/>
        </w:rPr>
        <w:t>siguiente temas</w:t>
      </w:r>
      <w:proofErr w:type="gramEnd"/>
      <w:r w:rsidR="001F333E" w:rsidRPr="00AB690B">
        <w:rPr>
          <w:rFonts w:ascii="Arial" w:eastAsia="Calibri" w:hAnsi="Arial" w:cs="Arial"/>
          <w:color w:val="000000" w:themeColor="text1"/>
          <w:sz w:val="20"/>
          <w:szCs w:val="20"/>
        </w:rPr>
        <w:t xml:space="preserve">: i) régimen jurídico de las inhabilidades e incompatibilidades en la contratación estatal; y </w:t>
      </w:r>
      <w:proofErr w:type="spellStart"/>
      <w:r w:rsidR="001F333E" w:rsidRPr="00AB690B">
        <w:rPr>
          <w:rFonts w:ascii="Arial" w:eastAsia="Calibri" w:hAnsi="Arial" w:cs="Arial"/>
          <w:color w:val="000000" w:themeColor="text1"/>
          <w:sz w:val="20"/>
          <w:szCs w:val="20"/>
        </w:rPr>
        <w:t>ii</w:t>
      </w:r>
      <w:proofErr w:type="spellEnd"/>
      <w:r w:rsidR="001F333E" w:rsidRPr="00AB690B">
        <w:rPr>
          <w:rFonts w:ascii="Arial" w:eastAsia="Calibri" w:hAnsi="Arial" w:cs="Arial"/>
          <w:color w:val="000000" w:themeColor="text1"/>
          <w:sz w:val="20"/>
          <w:szCs w:val="20"/>
        </w:rPr>
        <w:t>) aplicabilidad del régimen jurídico de control disciplinario a la contratación estatal.</w:t>
      </w:r>
      <w:r w:rsidRPr="00AB690B">
        <w:rPr>
          <w:rFonts w:ascii="Arial" w:eastAsia="Calibri" w:hAnsi="Arial" w:cs="Arial"/>
          <w:color w:val="000000" w:themeColor="text1"/>
          <w:sz w:val="20"/>
          <w:szCs w:val="20"/>
        </w:rPr>
        <w:t xml:space="preserve"> </w:t>
      </w:r>
    </w:p>
    <w:p w14:paraId="0358FB15" w14:textId="5DDCBEE3" w:rsidR="0043584B" w:rsidRPr="00AB690B" w:rsidRDefault="001F333E" w:rsidP="0096799C">
      <w:pPr>
        <w:spacing w:before="120" w:line="276" w:lineRule="auto"/>
        <w:ind w:firstLine="708"/>
        <w:jc w:val="both"/>
        <w:rPr>
          <w:rFonts w:ascii="Arial" w:eastAsia="Calibri" w:hAnsi="Arial" w:cs="Arial"/>
          <w:color w:val="000000" w:themeColor="text1"/>
          <w:sz w:val="20"/>
          <w:szCs w:val="20"/>
          <w:lang w:val="es-ES"/>
        </w:rPr>
      </w:pPr>
      <w:r w:rsidRPr="00AB690B">
        <w:rPr>
          <w:rFonts w:ascii="Arial" w:hAnsi="Arial" w:cs="Arial"/>
          <w:color w:val="000000"/>
          <w:sz w:val="20"/>
          <w:szCs w:val="20"/>
          <w:lang w:val="es-ES_tradnl"/>
        </w:rPr>
        <w:t xml:space="preserve">La Agencia Nacional de Contratación Pública – Colombia Compra Eficiente, Eficiente analizó desde una perspectiva general el régimen de inhabilidades e incompatibilidades en la contratación pública, en los conceptos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w:t>
      </w:r>
      <w:r w:rsidRPr="00AB690B">
        <w:rPr>
          <w:rFonts w:ascii="Arial" w:hAnsi="Arial" w:cs="Arial"/>
          <w:noProof/>
          <w:sz w:val="20"/>
          <w:szCs w:val="20"/>
          <w:lang w:val="es-ES_tradnl"/>
        </w:rPr>
        <w:t xml:space="preserve">C-321 del 2 de julio de 2021, </w:t>
      </w:r>
      <w:r w:rsidRPr="00AB690B">
        <w:rPr>
          <w:rFonts w:ascii="Arial" w:hAnsi="Arial" w:cs="Arial"/>
          <w:color w:val="000000"/>
          <w:sz w:val="20"/>
          <w:szCs w:val="20"/>
          <w:lang w:val="es-ES_tradnl"/>
        </w:rPr>
        <w:t>C-410 del 7 de julio del 2021,</w:t>
      </w:r>
      <w:r w:rsidRPr="00AB690B">
        <w:rPr>
          <w:rFonts w:ascii="Arial" w:hAnsi="Arial" w:cs="Arial"/>
          <w:noProof/>
          <w:sz w:val="20"/>
          <w:szCs w:val="20"/>
          <w:lang w:val="es-ES_tradnl"/>
        </w:rPr>
        <w:t xml:space="preserve"> C-491 del 14 de septiembre de 2021, </w:t>
      </w:r>
      <w:r w:rsidR="0096799C" w:rsidRPr="00AB690B">
        <w:rPr>
          <w:rFonts w:ascii="Arial" w:hAnsi="Arial" w:cs="Arial"/>
          <w:noProof/>
          <w:sz w:val="20"/>
          <w:szCs w:val="20"/>
          <w:lang w:val="es-ES_tradnl"/>
        </w:rPr>
        <w:t>C-128 de 28 de marzo de 2022, C-252 del 3 de mayo de 2022, C-318 del 18 de mayo de 2022, C-457 del 12 de julio de 2022, C-570 del 13 de septiembre de 2022, C-674 del 14 de octubre de 2022, entre otros</w:t>
      </w:r>
      <w:r w:rsidR="0096799C" w:rsidRPr="00AB690B">
        <w:rPr>
          <w:rStyle w:val="Refdenotaalpie"/>
          <w:rFonts w:ascii="Arial" w:hAnsi="Arial" w:cs="Arial"/>
          <w:noProof/>
          <w:sz w:val="20"/>
          <w:szCs w:val="20"/>
          <w:lang w:val="es-ES_tradnl"/>
        </w:rPr>
        <w:footnoteReference w:id="1"/>
      </w:r>
      <w:r w:rsidR="0096799C" w:rsidRPr="00AB690B">
        <w:rPr>
          <w:rFonts w:ascii="Arial" w:hAnsi="Arial" w:cs="Arial"/>
          <w:noProof/>
          <w:sz w:val="20"/>
          <w:szCs w:val="20"/>
          <w:lang w:val="es-ES_tradnl"/>
        </w:rPr>
        <w:t>.</w:t>
      </w:r>
      <w:r w:rsidR="0096799C" w:rsidRPr="00AB690B">
        <w:rPr>
          <w:rFonts w:ascii="Arial" w:eastAsia="Calibri" w:hAnsi="Arial" w:cs="Arial"/>
          <w:color w:val="000000" w:themeColor="text1"/>
          <w:sz w:val="20"/>
          <w:szCs w:val="20"/>
          <w:lang w:val="es-ES"/>
        </w:rPr>
        <w:t xml:space="preserve"> Los argumentos expuestos en estos conceptos se reiteran y complementan a continuación.</w:t>
      </w:r>
    </w:p>
    <w:p w14:paraId="07A4FBAC" w14:textId="77777777" w:rsidR="0043584B" w:rsidRPr="00AB690B" w:rsidRDefault="0043584B" w:rsidP="008F76EE">
      <w:pPr>
        <w:spacing w:line="276" w:lineRule="auto"/>
        <w:ind w:firstLine="708"/>
        <w:jc w:val="both"/>
        <w:rPr>
          <w:rFonts w:ascii="Arial" w:eastAsia="Calibri" w:hAnsi="Arial" w:cs="Arial"/>
          <w:color w:val="000000" w:themeColor="text1"/>
          <w:sz w:val="20"/>
          <w:szCs w:val="20"/>
          <w:lang w:val="es-ES_tradnl"/>
        </w:rPr>
      </w:pPr>
    </w:p>
    <w:bookmarkEnd w:id="2"/>
    <w:p w14:paraId="5F579AF2" w14:textId="3CC04491" w:rsidR="0043584B" w:rsidRPr="00AB690B" w:rsidRDefault="0043584B" w:rsidP="008F76EE">
      <w:pPr>
        <w:spacing w:line="276" w:lineRule="auto"/>
        <w:jc w:val="both"/>
        <w:rPr>
          <w:rFonts w:ascii="Arial" w:eastAsia="Calibri" w:hAnsi="Arial" w:cs="Arial"/>
          <w:b/>
          <w:bCs/>
          <w:color w:val="000000" w:themeColor="text1"/>
          <w:sz w:val="20"/>
          <w:szCs w:val="20"/>
        </w:rPr>
      </w:pPr>
      <w:r w:rsidRPr="00AB690B">
        <w:rPr>
          <w:rFonts w:ascii="Arial" w:eastAsia="Calibri" w:hAnsi="Arial" w:cs="Arial"/>
          <w:b/>
          <w:bCs/>
          <w:color w:val="000000" w:themeColor="text1"/>
          <w:sz w:val="20"/>
          <w:szCs w:val="20"/>
        </w:rPr>
        <w:t>2.1. Régimen jurídico de las inhabilidades e incompatibilidades en la contratación estatal</w:t>
      </w:r>
    </w:p>
    <w:p w14:paraId="3EE02F39" w14:textId="77777777" w:rsidR="0043584B" w:rsidRPr="00AB690B" w:rsidRDefault="0043584B" w:rsidP="00CA3AE5">
      <w:pPr>
        <w:spacing w:line="276" w:lineRule="auto"/>
        <w:ind w:firstLine="708"/>
        <w:jc w:val="both"/>
        <w:rPr>
          <w:rFonts w:ascii="Arial" w:eastAsia="Calibri" w:hAnsi="Arial" w:cs="Arial"/>
          <w:b/>
          <w:bCs/>
          <w:color w:val="000000" w:themeColor="text1"/>
          <w:sz w:val="20"/>
          <w:szCs w:val="20"/>
        </w:rPr>
      </w:pPr>
    </w:p>
    <w:p w14:paraId="30C45566" w14:textId="69EBE028" w:rsidR="0043584B" w:rsidRPr="00AB690B" w:rsidRDefault="0043584B" w:rsidP="008F76EE">
      <w:pPr>
        <w:spacing w:after="120" w:line="276" w:lineRule="auto"/>
        <w:jc w:val="both"/>
        <w:rPr>
          <w:rFonts w:ascii="Arial" w:eastAsia="Calibri" w:hAnsi="Arial" w:cs="Arial"/>
          <w:color w:val="000000" w:themeColor="text1"/>
          <w:sz w:val="20"/>
          <w:szCs w:val="20"/>
          <w:lang w:val="es-ES_tradnl"/>
        </w:rPr>
      </w:pPr>
      <w:r w:rsidRPr="00AB690B">
        <w:rPr>
          <w:rFonts w:ascii="Arial" w:eastAsia="Calibri" w:hAnsi="Arial" w:cs="Arial"/>
          <w:color w:val="000000" w:themeColor="text1"/>
          <w:sz w:val="20"/>
          <w:szCs w:val="20"/>
          <w:lang w:val="es-ES_tradnl"/>
        </w:rPr>
        <w:t xml:space="preserve">En la contratación estatal, la </w:t>
      </w:r>
      <w:r w:rsidRPr="00AB690B">
        <w:rPr>
          <w:rFonts w:ascii="Arial" w:eastAsia="Calibri" w:hAnsi="Arial" w:cs="Arial"/>
          <w:i/>
          <w:iCs/>
          <w:color w:val="000000" w:themeColor="text1"/>
          <w:sz w:val="20"/>
          <w:szCs w:val="20"/>
          <w:lang w:val="es-ES_tradnl"/>
        </w:rPr>
        <w:t>capacidad</w:t>
      </w:r>
      <w:r w:rsidRPr="00AB690B">
        <w:rPr>
          <w:rFonts w:ascii="Arial" w:eastAsia="Calibri" w:hAnsi="Arial" w:cs="Arial"/>
          <w:color w:val="000000" w:themeColor="text1"/>
          <w:sz w:val="20"/>
          <w:szCs w:val="20"/>
          <w:lang w:val="es-ES_tradnl"/>
        </w:rPr>
        <w:t xml:space="preserve"> también es un requisito de validez de los contratos, tanto en el régimen de las entidades sujetas al Estatuto General de Contratación de la Administración Pública</w:t>
      </w:r>
      <w:r w:rsidRPr="00AB690B">
        <w:rPr>
          <w:rFonts w:ascii="Arial" w:eastAsia="Calibri" w:hAnsi="Arial" w:cs="Arial"/>
          <w:color w:val="000000" w:themeColor="text1"/>
          <w:sz w:val="20"/>
          <w:szCs w:val="20"/>
          <w:vertAlign w:val="superscript"/>
          <w:lang w:val="es-ES_tradnl"/>
        </w:rPr>
        <w:footnoteReference w:id="2"/>
      </w:r>
      <w:r w:rsidRPr="00AB690B">
        <w:rPr>
          <w:rFonts w:ascii="Arial" w:eastAsia="Calibri" w:hAnsi="Arial" w:cs="Arial"/>
          <w:color w:val="000000" w:themeColor="text1"/>
          <w:sz w:val="20"/>
          <w:szCs w:val="20"/>
          <w:lang w:val="es-ES_tradnl"/>
        </w:rPr>
        <w:t xml:space="preserve"> como en el de las entidades exceptuadas de aquel</w:t>
      </w:r>
      <w:r w:rsidRPr="00AB690B">
        <w:rPr>
          <w:rFonts w:ascii="Arial" w:eastAsia="Calibri" w:hAnsi="Arial" w:cs="Arial"/>
          <w:color w:val="000000" w:themeColor="text1"/>
          <w:sz w:val="20"/>
          <w:szCs w:val="20"/>
          <w:vertAlign w:val="superscript"/>
          <w:lang w:val="es-ES_tradnl"/>
        </w:rPr>
        <w:footnoteReference w:id="3"/>
      </w:r>
      <w:r w:rsidRPr="00AB690B">
        <w:rPr>
          <w:rFonts w:ascii="Arial" w:eastAsia="Calibri" w:hAnsi="Arial" w:cs="Arial"/>
          <w:color w:val="000000" w:themeColor="text1"/>
          <w:sz w:val="20"/>
          <w:szCs w:val="20"/>
          <w:lang w:val="es-ES_tradnl"/>
        </w:rPr>
        <w:t xml:space="preserve">. Si bien la regulación de la capacidad se integra </w:t>
      </w:r>
      <w:r w:rsidRPr="00AB690B">
        <w:rPr>
          <w:rFonts w:ascii="Arial" w:eastAsia="Calibri" w:hAnsi="Arial" w:cs="Arial"/>
          <w:color w:val="000000" w:themeColor="text1"/>
          <w:sz w:val="20"/>
          <w:szCs w:val="20"/>
          <w:lang w:val="es-ES_tradnl"/>
        </w:rPr>
        <w:lastRenderedPageBreak/>
        <w:t>por varias disposiciones y exigencias especiales –como el requisito de inscribirse, por regla general, en el Registro Único de Proponentes RUP), establecido en el artículo 6 de la Ley 1150 de 2007, modificado por el artículo 221 del Decreto</w:t>
      </w:r>
      <w:r w:rsidR="00F83D50" w:rsidRPr="00AB690B">
        <w:rPr>
          <w:rFonts w:ascii="Arial" w:eastAsia="Calibri" w:hAnsi="Arial" w:cs="Arial"/>
          <w:color w:val="000000" w:themeColor="text1"/>
          <w:sz w:val="20"/>
          <w:szCs w:val="20"/>
          <w:lang w:val="es-ES_tradnl"/>
        </w:rPr>
        <w:t>-Ley</w:t>
      </w:r>
      <w:r w:rsidRPr="00AB690B">
        <w:rPr>
          <w:rFonts w:ascii="Arial" w:eastAsia="Calibri" w:hAnsi="Arial" w:cs="Arial"/>
          <w:color w:val="000000" w:themeColor="text1"/>
          <w:sz w:val="20"/>
          <w:szCs w:val="20"/>
          <w:lang w:val="es-ES_tradnl"/>
        </w:rPr>
        <w:t xml:space="preserve"> 19 de 2012</w:t>
      </w:r>
      <w:r w:rsidRPr="00AB690B">
        <w:rPr>
          <w:rFonts w:ascii="Arial" w:eastAsia="Calibri" w:hAnsi="Arial" w:cs="Arial"/>
          <w:color w:val="000000" w:themeColor="text1"/>
          <w:sz w:val="20"/>
          <w:szCs w:val="20"/>
          <w:vertAlign w:val="superscript"/>
          <w:lang w:val="es-ES_tradnl"/>
        </w:rPr>
        <w:footnoteReference w:id="4"/>
      </w:r>
      <w:r w:rsidRPr="00AB690B">
        <w:rPr>
          <w:rFonts w:ascii="Arial" w:eastAsia="Calibri" w:hAnsi="Arial" w:cs="Arial"/>
          <w:color w:val="000000" w:themeColor="text1"/>
          <w:sz w:val="20"/>
          <w:szCs w:val="20"/>
          <w:lang w:val="es-ES_tradnl"/>
        </w:rPr>
        <w:t>–,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AB690B">
        <w:rPr>
          <w:rFonts w:ascii="Arial" w:eastAsia="Calibri" w:hAnsi="Arial" w:cs="Arial"/>
          <w:color w:val="000000" w:themeColor="text1"/>
          <w:sz w:val="20"/>
          <w:szCs w:val="20"/>
          <w:vertAlign w:val="superscript"/>
          <w:lang w:val="es-ES_tradnl"/>
        </w:rPr>
        <w:footnoteReference w:id="5"/>
      </w:r>
      <w:r w:rsidRPr="00AB690B">
        <w:rPr>
          <w:rFonts w:ascii="Arial" w:eastAsia="Calibri" w:hAnsi="Arial" w:cs="Arial"/>
          <w:color w:val="000000" w:themeColor="text1"/>
          <w:sz w:val="20"/>
          <w:szCs w:val="20"/>
          <w:lang w:val="es-ES_tradnl"/>
        </w:rPr>
        <w:t>.</w:t>
      </w:r>
      <w:r w:rsidR="00F83D50" w:rsidRPr="00AB690B">
        <w:rPr>
          <w:rFonts w:ascii="Arial" w:eastAsia="Calibri" w:hAnsi="Arial" w:cs="Arial"/>
          <w:color w:val="000000" w:themeColor="text1"/>
          <w:sz w:val="20"/>
          <w:szCs w:val="20"/>
          <w:lang w:val="es-ES_tradnl"/>
        </w:rPr>
        <w:t xml:space="preserve"> Este régimen de inhabilidades e incompatibilidades aplica, incluso en el marco de los contratos no sometidos a la Ley 80 de 1993, en los términos del artículo 13 de la Ley 1150 de 2007.</w:t>
      </w:r>
    </w:p>
    <w:p w14:paraId="5E97B184" w14:textId="77777777" w:rsidR="00575269" w:rsidRPr="00AB690B" w:rsidRDefault="0043584B" w:rsidP="008F76EE">
      <w:pPr>
        <w:spacing w:after="120" w:line="276" w:lineRule="auto"/>
        <w:ind w:firstLine="709"/>
        <w:jc w:val="both"/>
        <w:rPr>
          <w:rFonts w:ascii="Arial" w:eastAsia="Calibri" w:hAnsi="Arial" w:cs="Arial"/>
          <w:color w:val="000000" w:themeColor="text1"/>
          <w:sz w:val="20"/>
          <w:szCs w:val="20"/>
          <w:lang w:val="es-ES_tradnl"/>
        </w:rPr>
      </w:pPr>
      <w:r w:rsidRPr="00AB690B">
        <w:rPr>
          <w:rFonts w:ascii="Arial" w:eastAsia="Calibri" w:hAnsi="Arial" w:cs="Arial"/>
          <w:color w:val="000000" w:themeColor="text1"/>
          <w:sz w:val="20"/>
          <w:szCs w:val="20"/>
          <w:lang w:val="es-ES_tradnl"/>
        </w:rPr>
        <w:t>Las inhabilidades son prohibiciones para concurrir a los procedimientos de selección y para contratar con el Estado, que se derivan i) de la existencia de comportamientos reprochables o de sanciones anteriormente impuestas</w:t>
      </w:r>
      <w:r w:rsidRPr="00AB690B">
        <w:rPr>
          <w:rFonts w:ascii="Arial" w:eastAsia="Calibri" w:hAnsi="Arial" w:cs="Arial"/>
          <w:color w:val="000000" w:themeColor="text1"/>
          <w:sz w:val="20"/>
          <w:szCs w:val="20"/>
          <w:vertAlign w:val="superscript"/>
          <w:lang w:val="es-ES_tradnl"/>
        </w:rPr>
        <w:footnoteReference w:id="6"/>
      </w:r>
      <w:r w:rsidRPr="00AB690B">
        <w:rPr>
          <w:rFonts w:ascii="Arial" w:eastAsia="Calibri" w:hAnsi="Arial" w:cs="Arial"/>
          <w:color w:val="000000" w:themeColor="text1"/>
          <w:sz w:val="20"/>
          <w:szCs w:val="20"/>
          <w:lang w:val="es-ES_tradnl"/>
        </w:rPr>
        <w:t xml:space="preserve">, </w:t>
      </w:r>
      <w:proofErr w:type="spellStart"/>
      <w:r w:rsidRPr="00AB690B">
        <w:rPr>
          <w:rFonts w:ascii="Arial" w:eastAsia="Calibri" w:hAnsi="Arial" w:cs="Arial"/>
          <w:color w:val="000000" w:themeColor="text1"/>
          <w:sz w:val="20"/>
          <w:szCs w:val="20"/>
          <w:lang w:val="es-ES_tradnl"/>
        </w:rPr>
        <w:t>ii</w:t>
      </w:r>
      <w:proofErr w:type="spellEnd"/>
      <w:r w:rsidRPr="00AB690B">
        <w:rPr>
          <w:rFonts w:ascii="Arial" w:eastAsia="Calibri" w:hAnsi="Arial" w:cs="Arial"/>
          <w:color w:val="000000" w:themeColor="text1"/>
          <w:sz w:val="20"/>
          <w:szCs w:val="20"/>
          <w:lang w:val="es-ES_tradnl"/>
        </w:rPr>
        <w:t xml:space="preserve">) de vínculos personales relativos al parentesco o al estado </w:t>
      </w:r>
    </w:p>
    <w:p w14:paraId="34E67C50" w14:textId="7C81F7A1" w:rsidR="0043584B" w:rsidRPr="00AB690B" w:rsidRDefault="0043584B" w:rsidP="008F76EE">
      <w:pPr>
        <w:spacing w:after="120" w:line="276" w:lineRule="auto"/>
        <w:ind w:firstLine="709"/>
        <w:jc w:val="both"/>
        <w:rPr>
          <w:rFonts w:ascii="Arial" w:eastAsia="Calibri" w:hAnsi="Arial" w:cs="Arial"/>
          <w:color w:val="000000" w:themeColor="text1"/>
          <w:sz w:val="20"/>
          <w:szCs w:val="20"/>
          <w:lang w:val="es-ES_tradnl"/>
        </w:rPr>
      </w:pPr>
      <w:r w:rsidRPr="00AB690B">
        <w:rPr>
          <w:rFonts w:ascii="Arial" w:eastAsia="Calibri" w:hAnsi="Arial" w:cs="Arial"/>
          <w:color w:val="000000" w:themeColor="text1"/>
          <w:sz w:val="20"/>
          <w:szCs w:val="20"/>
          <w:lang w:val="es-ES_tradnl"/>
        </w:rPr>
        <w:lastRenderedPageBreak/>
        <w:t>civil</w:t>
      </w:r>
      <w:r w:rsidRPr="00AB690B">
        <w:rPr>
          <w:rFonts w:ascii="Arial" w:eastAsia="Calibri" w:hAnsi="Arial" w:cs="Arial"/>
          <w:color w:val="000000" w:themeColor="text1"/>
          <w:sz w:val="20"/>
          <w:szCs w:val="20"/>
          <w:vertAlign w:val="superscript"/>
          <w:lang w:val="es-ES_tradnl"/>
        </w:rPr>
        <w:footnoteReference w:id="7"/>
      </w:r>
      <w:r w:rsidRPr="00AB690B">
        <w:rPr>
          <w:rFonts w:ascii="Arial" w:eastAsia="Calibri" w:hAnsi="Arial" w:cs="Arial"/>
          <w:color w:val="000000" w:themeColor="text1"/>
          <w:sz w:val="20"/>
          <w:szCs w:val="20"/>
          <w:lang w:val="es-ES_tradnl"/>
        </w:rPr>
        <w:t xml:space="preserve"> o </w:t>
      </w:r>
      <w:proofErr w:type="spellStart"/>
      <w:r w:rsidRPr="00AB690B">
        <w:rPr>
          <w:rFonts w:ascii="Arial" w:eastAsia="Calibri" w:hAnsi="Arial" w:cs="Arial"/>
          <w:color w:val="000000" w:themeColor="text1"/>
          <w:sz w:val="20"/>
          <w:szCs w:val="20"/>
          <w:lang w:val="es-ES_tradnl"/>
        </w:rPr>
        <w:t>iii</w:t>
      </w:r>
      <w:proofErr w:type="spellEnd"/>
      <w:r w:rsidRPr="00AB690B">
        <w:rPr>
          <w:rFonts w:ascii="Arial" w:eastAsia="Calibri" w:hAnsi="Arial" w:cs="Arial"/>
          <w:color w:val="000000" w:themeColor="text1"/>
          <w:sz w:val="20"/>
          <w:szCs w:val="20"/>
          <w:lang w:val="es-ES_tradnl"/>
        </w:rPr>
        <w:t>) de una actividad u oficio que se desempeñó en el pasado</w:t>
      </w:r>
      <w:r w:rsidRPr="00AB690B">
        <w:rPr>
          <w:rFonts w:ascii="Arial" w:eastAsia="Calibri" w:hAnsi="Arial" w:cs="Arial"/>
          <w:color w:val="000000" w:themeColor="text1"/>
          <w:sz w:val="20"/>
          <w:szCs w:val="20"/>
          <w:vertAlign w:val="superscript"/>
          <w:lang w:val="es-ES_tradnl"/>
        </w:rPr>
        <w:footnoteReference w:id="8"/>
      </w:r>
      <w:r w:rsidRPr="00AB690B">
        <w:rPr>
          <w:rFonts w:ascii="Arial" w:eastAsia="Calibri" w:hAnsi="Arial" w:cs="Arial"/>
          <w:color w:val="000000" w:themeColor="text1"/>
          <w:sz w:val="20"/>
          <w:szCs w:val="20"/>
          <w:lang w:val="es-ES_tradnl"/>
        </w:rPr>
        <w:t>.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AB690B">
        <w:rPr>
          <w:rFonts w:ascii="Arial" w:eastAsia="Calibri" w:hAnsi="Arial" w:cs="Arial"/>
          <w:color w:val="000000" w:themeColor="text1"/>
          <w:sz w:val="20"/>
          <w:szCs w:val="20"/>
          <w:vertAlign w:val="superscript"/>
          <w:lang w:val="es-ES_tradnl"/>
        </w:rPr>
        <w:footnoteReference w:id="9"/>
      </w:r>
      <w:r w:rsidRPr="00AB690B">
        <w:rPr>
          <w:rFonts w:ascii="Arial" w:eastAsia="Calibri" w:hAnsi="Arial" w:cs="Arial"/>
          <w:color w:val="000000" w:themeColor="text1"/>
          <w:sz w:val="20"/>
          <w:szCs w:val="20"/>
          <w:lang w:val="es-ES_tradnl"/>
        </w:rPr>
        <w:t xml:space="preserve">. </w:t>
      </w:r>
    </w:p>
    <w:p w14:paraId="093BD4AB" w14:textId="084CBC46" w:rsidR="0043584B" w:rsidRPr="00AB690B" w:rsidRDefault="0043584B" w:rsidP="008F76EE">
      <w:pPr>
        <w:spacing w:after="120" w:line="276" w:lineRule="auto"/>
        <w:ind w:firstLine="709"/>
        <w:jc w:val="both"/>
        <w:rPr>
          <w:rFonts w:ascii="Arial" w:eastAsia="Calibri" w:hAnsi="Arial" w:cs="Arial"/>
          <w:color w:val="000000" w:themeColor="text1"/>
          <w:sz w:val="20"/>
          <w:szCs w:val="20"/>
          <w:lang w:val="es-ES_tradnl"/>
        </w:rPr>
      </w:pPr>
      <w:r w:rsidRPr="00AB690B">
        <w:rPr>
          <w:rFonts w:ascii="Arial" w:eastAsia="Calibri" w:hAnsi="Arial" w:cs="Arial"/>
          <w:color w:val="000000" w:themeColor="text1"/>
          <w:sz w:val="20"/>
          <w:szCs w:val="20"/>
          <w:lang w:val="es-ES_tradnl"/>
        </w:rPr>
        <w:lastRenderedPageBreak/>
        <w:t xml:space="preserve">El régimen de inhabilidades e incompatibilidades en la contratación pública responde a la tendencia de asegurar que la provisión de los bienes y servicios por parte de las entidades estatales se efectúe cumpliendo con los principios de la función administrativa y de la gestión fiscal, especialmente con probidad y transparencia. Es por eso </w:t>
      </w:r>
      <w:proofErr w:type="gramStart"/>
      <w:r w:rsidRPr="00AB690B">
        <w:rPr>
          <w:rFonts w:ascii="Arial" w:eastAsia="Calibri" w:hAnsi="Arial" w:cs="Arial"/>
          <w:color w:val="000000" w:themeColor="text1"/>
          <w:sz w:val="20"/>
          <w:szCs w:val="20"/>
          <w:lang w:val="es-ES_tradnl"/>
        </w:rPr>
        <w:t>que</w:t>
      </w:r>
      <w:proofErr w:type="gramEnd"/>
      <w:r w:rsidRPr="00AB690B">
        <w:rPr>
          <w:rFonts w:ascii="Arial" w:eastAsia="Calibri" w:hAnsi="Arial" w:cs="Arial"/>
          <w:color w:val="000000" w:themeColor="text1"/>
          <w:sz w:val="20"/>
          <w:szCs w:val="20"/>
          <w:lang w:val="es-ES_tradnl"/>
        </w:rPr>
        <w:t>, como lo ha destacado la doctrina, las inhabilidades e incompatibilidades son herramientas en la lucha contra la corrupción, adoptando paulatinamente un carácter sancionatorio o «</w:t>
      </w:r>
      <w:proofErr w:type="spellStart"/>
      <w:r w:rsidRPr="00AB690B">
        <w:rPr>
          <w:rFonts w:ascii="Arial" w:eastAsia="Calibri" w:hAnsi="Arial" w:cs="Arial"/>
          <w:color w:val="000000" w:themeColor="text1"/>
          <w:sz w:val="20"/>
          <w:szCs w:val="20"/>
          <w:lang w:val="es-ES_tradnl"/>
        </w:rPr>
        <w:t>neopunitivo</w:t>
      </w:r>
      <w:proofErr w:type="spellEnd"/>
      <w:r w:rsidRPr="00AB690B">
        <w:rPr>
          <w:rFonts w:ascii="Arial" w:eastAsia="Calibri" w:hAnsi="Arial" w:cs="Arial"/>
          <w:color w:val="000000" w:themeColor="text1"/>
          <w:sz w:val="20"/>
          <w:szCs w:val="20"/>
          <w:lang w:val="es-ES_tradnl"/>
        </w:rPr>
        <w:t>»</w:t>
      </w:r>
      <w:r w:rsidRPr="00AB690B">
        <w:rPr>
          <w:rFonts w:ascii="Arial" w:eastAsia="Calibri" w:hAnsi="Arial" w:cs="Arial"/>
          <w:color w:val="000000" w:themeColor="text1"/>
          <w:sz w:val="20"/>
          <w:szCs w:val="20"/>
          <w:vertAlign w:val="superscript"/>
          <w:lang w:val="es-ES_tradnl"/>
        </w:rPr>
        <w:footnoteReference w:id="10"/>
      </w:r>
      <w:r w:rsidRPr="00AB690B">
        <w:rPr>
          <w:rFonts w:ascii="Arial" w:eastAsia="Calibri" w:hAnsi="Arial" w:cs="Arial"/>
          <w:color w:val="000000" w:themeColor="text1"/>
          <w:sz w:val="20"/>
          <w:szCs w:val="20"/>
          <w:lang w:val="es-ES_tradnl"/>
        </w:rPr>
        <w:t xml:space="preserve">. </w:t>
      </w:r>
    </w:p>
    <w:p w14:paraId="575A6229" w14:textId="05DDFC1F" w:rsidR="0043584B" w:rsidRPr="00AB690B" w:rsidRDefault="0043584B" w:rsidP="008F76EE">
      <w:pPr>
        <w:spacing w:after="120" w:line="276" w:lineRule="auto"/>
        <w:ind w:firstLine="709"/>
        <w:jc w:val="both"/>
        <w:rPr>
          <w:rFonts w:ascii="Arial" w:eastAsia="Calibri" w:hAnsi="Arial" w:cs="Arial"/>
          <w:color w:val="000000" w:themeColor="text1"/>
          <w:sz w:val="20"/>
          <w:szCs w:val="20"/>
          <w:lang w:val="es-ES_tradnl"/>
        </w:rPr>
      </w:pPr>
      <w:r w:rsidRPr="00AB690B">
        <w:rPr>
          <w:rFonts w:ascii="Arial" w:eastAsia="Calibri" w:hAnsi="Arial" w:cs="Arial"/>
          <w:color w:val="000000" w:themeColor="text1"/>
          <w:sz w:val="20"/>
          <w:szCs w:val="20"/>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AB690B">
        <w:rPr>
          <w:rFonts w:ascii="Arial" w:eastAsia="Calibri" w:hAnsi="Arial" w:cs="Arial"/>
          <w:i/>
          <w:iCs/>
          <w:color w:val="000000" w:themeColor="text1"/>
          <w:sz w:val="20"/>
          <w:szCs w:val="20"/>
          <w:lang w:val="es-ES_tradnl"/>
        </w:rPr>
        <w:t>restrictiva</w:t>
      </w:r>
      <w:r w:rsidRPr="00AB690B">
        <w:rPr>
          <w:rFonts w:ascii="Arial" w:eastAsia="Calibri" w:hAnsi="Arial" w:cs="Arial"/>
          <w:color w:val="000000" w:themeColor="text1"/>
          <w:sz w:val="20"/>
          <w:szCs w:val="20"/>
          <w:vertAlign w:val="superscript"/>
          <w:lang w:val="es-ES_tradnl"/>
        </w:rPr>
        <w:footnoteReference w:id="11"/>
      </w:r>
      <w:r w:rsidRPr="00AB690B">
        <w:rPr>
          <w:rFonts w:ascii="Arial" w:eastAsia="Calibri" w:hAnsi="Arial" w:cs="Arial"/>
          <w:color w:val="000000" w:themeColor="text1"/>
          <w:sz w:val="20"/>
          <w:szCs w:val="20"/>
          <w:lang w:val="es-ES_tradnl"/>
        </w:rPr>
        <w:t xml:space="preserve">. En efecto,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4174A805" w14:textId="66EF9468" w:rsidR="0043584B" w:rsidRPr="00AB690B" w:rsidRDefault="0043584B" w:rsidP="008F76EE">
      <w:pPr>
        <w:spacing w:line="276" w:lineRule="auto"/>
        <w:ind w:firstLine="709"/>
        <w:jc w:val="both"/>
        <w:rPr>
          <w:rFonts w:ascii="Arial" w:eastAsia="Calibri" w:hAnsi="Arial" w:cs="Arial"/>
          <w:color w:val="000000" w:themeColor="text1"/>
          <w:sz w:val="20"/>
          <w:szCs w:val="20"/>
          <w:lang w:val="es-ES_tradnl"/>
        </w:rPr>
      </w:pPr>
      <w:r w:rsidRPr="00AB690B">
        <w:rPr>
          <w:rFonts w:ascii="Arial" w:eastAsia="Calibri" w:hAnsi="Arial" w:cs="Arial"/>
          <w:color w:val="000000" w:themeColor="text1"/>
          <w:sz w:val="20"/>
          <w:szCs w:val="20"/>
          <w:lang w:val="es-ES_tradnl"/>
        </w:rPr>
        <w:t xml:space="preserve">En efecto, </w:t>
      </w:r>
      <w:r w:rsidR="00956731" w:rsidRPr="00AB690B">
        <w:rPr>
          <w:rFonts w:ascii="Arial" w:eastAsia="Calibri" w:hAnsi="Arial" w:cs="Arial"/>
          <w:color w:val="000000" w:themeColor="text1"/>
          <w:sz w:val="20"/>
          <w:szCs w:val="20"/>
          <w:lang w:val="es-ES_tradnl"/>
        </w:rPr>
        <w:t>la Corte</w:t>
      </w:r>
      <w:r w:rsidRPr="00AB690B">
        <w:rPr>
          <w:rFonts w:ascii="Arial" w:eastAsia="Calibri" w:hAnsi="Arial" w:cs="Arial"/>
          <w:color w:val="000000" w:themeColor="text1"/>
          <w:sz w:val="20"/>
          <w:szCs w:val="20"/>
          <w:lang w:val="es-ES_tradnl"/>
        </w:rPr>
        <w:t xml:space="preserve"> </w:t>
      </w:r>
      <w:r w:rsidR="00956731" w:rsidRPr="00AB690B">
        <w:rPr>
          <w:rFonts w:ascii="Arial" w:eastAsia="Calibri" w:hAnsi="Arial" w:cs="Arial"/>
          <w:color w:val="000000" w:themeColor="text1"/>
          <w:sz w:val="20"/>
          <w:szCs w:val="20"/>
          <w:lang w:val="es-ES_tradnl"/>
        </w:rPr>
        <w:t>C</w:t>
      </w:r>
      <w:r w:rsidRPr="00AB690B">
        <w:rPr>
          <w:rFonts w:ascii="Arial" w:eastAsia="Calibri" w:hAnsi="Arial" w:cs="Arial"/>
          <w:color w:val="000000" w:themeColor="text1"/>
          <w:sz w:val="20"/>
          <w:szCs w:val="20"/>
          <w:lang w:val="es-ES_tradnl"/>
        </w:rPr>
        <w:t>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AB690B">
        <w:rPr>
          <w:rFonts w:ascii="Arial" w:eastAsia="Calibri" w:hAnsi="Arial" w:cs="Arial"/>
          <w:color w:val="000000" w:themeColor="text1"/>
          <w:sz w:val="20"/>
          <w:szCs w:val="20"/>
          <w:vertAlign w:val="superscript"/>
          <w:lang w:val="es-ES_tradnl"/>
        </w:rPr>
        <w:footnoteReference w:id="12"/>
      </w:r>
      <w:r w:rsidRPr="00AB690B">
        <w:rPr>
          <w:rFonts w:ascii="Arial" w:eastAsia="Calibri" w:hAnsi="Arial" w:cs="Arial"/>
          <w:color w:val="000000" w:themeColor="text1"/>
          <w:sz w:val="20"/>
          <w:szCs w:val="20"/>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AB690B">
        <w:rPr>
          <w:rFonts w:ascii="Arial" w:eastAsia="Calibri" w:hAnsi="Arial" w:cs="Arial"/>
          <w:color w:val="000000" w:themeColor="text1"/>
          <w:sz w:val="20"/>
          <w:szCs w:val="20"/>
          <w:vertAlign w:val="superscript"/>
          <w:lang w:val="es-ES_tradnl"/>
        </w:rPr>
        <w:footnoteReference w:id="13"/>
      </w:r>
      <w:r w:rsidRPr="00AB690B">
        <w:rPr>
          <w:rFonts w:ascii="Arial" w:eastAsia="Calibri" w:hAnsi="Arial" w:cs="Arial"/>
          <w:color w:val="000000" w:themeColor="text1"/>
          <w:sz w:val="20"/>
          <w:szCs w:val="20"/>
          <w:lang w:val="es-ES_tradnl"/>
        </w:rPr>
        <w:t>. En tal sentido, la Sección Tercera ha señalado que:</w:t>
      </w:r>
    </w:p>
    <w:p w14:paraId="4BFEA4AC" w14:textId="77777777" w:rsidR="00956731" w:rsidRPr="00AB690B" w:rsidRDefault="00956731" w:rsidP="00CA3AE5">
      <w:pPr>
        <w:jc w:val="both"/>
        <w:rPr>
          <w:rFonts w:ascii="Arial" w:eastAsia="Calibri" w:hAnsi="Arial" w:cs="Arial"/>
          <w:color w:val="000000" w:themeColor="text1"/>
          <w:sz w:val="20"/>
          <w:szCs w:val="20"/>
          <w:lang w:val="es-ES_tradnl"/>
        </w:rPr>
      </w:pPr>
    </w:p>
    <w:p w14:paraId="13E6479F" w14:textId="77777777" w:rsidR="00466AA8" w:rsidRPr="00AB690B" w:rsidRDefault="0043584B" w:rsidP="00CA3AE5">
      <w:pPr>
        <w:ind w:left="708" w:right="709"/>
        <w:jc w:val="both"/>
        <w:rPr>
          <w:rFonts w:ascii="Arial" w:eastAsia="Calibri" w:hAnsi="Arial" w:cs="Arial"/>
          <w:color w:val="000000" w:themeColor="text1"/>
          <w:sz w:val="20"/>
          <w:szCs w:val="20"/>
          <w:lang w:val="es-ES_tradnl"/>
        </w:rPr>
      </w:pPr>
      <w:r w:rsidRPr="00AB690B">
        <w:rPr>
          <w:rFonts w:ascii="Arial" w:eastAsia="Calibri" w:hAnsi="Arial" w:cs="Arial"/>
          <w:color w:val="000000" w:themeColor="text1"/>
          <w:sz w:val="20"/>
          <w:szCs w:val="20"/>
          <w:lang w:val="es-ES_tradnl"/>
        </w:rPr>
        <w:lastRenderedPageBreak/>
        <w:t xml:space="preserve">[…] de conformidad con la jurisprudencia uniforme y reiterada de esta Corporación, la aplicación de las normas que contemplan inhabilidades e incompatibilidades, como en general de todas aquellas que comportan prohibiciones o limitaciones, </w:t>
      </w:r>
    </w:p>
    <w:p w14:paraId="4F83A62E" w14:textId="05867FED" w:rsidR="0043584B" w:rsidRPr="00AB690B" w:rsidRDefault="0043584B" w:rsidP="00CA3AE5">
      <w:pPr>
        <w:ind w:left="708" w:right="709"/>
        <w:jc w:val="both"/>
        <w:rPr>
          <w:rFonts w:ascii="Arial" w:eastAsia="Calibri" w:hAnsi="Arial" w:cs="Arial"/>
          <w:color w:val="000000" w:themeColor="text1"/>
          <w:sz w:val="20"/>
          <w:szCs w:val="20"/>
          <w:lang w:val="es-ES_tradnl"/>
        </w:rPr>
      </w:pPr>
      <w:r w:rsidRPr="00AB690B">
        <w:rPr>
          <w:rFonts w:ascii="Arial" w:eastAsia="Calibri" w:hAnsi="Arial" w:cs="Arial"/>
          <w:color w:val="000000" w:themeColor="text1"/>
          <w:sz w:val="20"/>
          <w:szCs w:val="20"/>
          <w:lang w:val="es-ES_tradnl"/>
        </w:rPr>
        <w:t>deben responder a una interpretación restrictiva que no permite su extensión, por vía de la figura de la analogía, a supuestos no contemplados por el ordenamiento</w:t>
      </w:r>
      <w:r w:rsidRPr="00AB690B">
        <w:rPr>
          <w:rFonts w:ascii="Arial" w:eastAsia="Calibri" w:hAnsi="Arial" w:cs="Arial"/>
          <w:color w:val="000000" w:themeColor="text1"/>
          <w:sz w:val="20"/>
          <w:szCs w:val="20"/>
          <w:vertAlign w:val="superscript"/>
          <w:lang w:val="es-ES_tradnl"/>
        </w:rPr>
        <w:footnoteReference w:id="14"/>
      </w:r>
      <w:r w:rsidRPr="00AB690B">
        <w:rPr>
          <w:rFonts w:ascii="Arial" w:eastAsia="Calibri" w:hAnsi="Arial" w:cs="Arial"/>
          <w:color w:val="000000" w:themeColor="text1"/>
          <w:sz w:val="20"/>
          <w:szCs w:val="20"/>
          <w:lang w:val="es-ES_tradnl"/>
        </w:rPr>
        <w:t>.</w:t>
      </w:r>
    </w:p>
    <w:p w14:paraId="088B00A4" w14:textId="77777777" w:rsidR="0043584B" w:rsidRPr="00AB690B" w:rsidRDefault="0043584B" w:rsidP="00CA3AE5">
      <w:pPr>
        <w:spacing w:line="276" w:lineRule="auto"/>
        <w:ind w:firstLine="708"/>
        <w:jc w:val="both"/>
        <w:rPr>
          <w:rFonts w:ascii="Arial" w:eastAsia="Calibri" w:hAnsi="Arial" w:cs="Arial"/>
          <w:bCs/>
          <w:color w:val="000000" w:themeColor="text1"/>
          <w:sz w:val="20"/>
          <w:szCs w:val="20"/>
          <w:lang w:val="es-ES_tradnl"/>
        </w:rPr>
      </w:pPr>
    </w:p>
    <w:p w14:paraId="57A44375" w14:textId="77777777" w:rsidR="0043584B" w:rsidRPr="00AB690B" w:rsidRDefault="0043584B" w:rsidP="00CA3AE5">
      <w:pPr>
        <w:spacing w:line="276" w:lineRule="auto"/>
        <w:ind w:firstLine="708"/>
        <w:jc w:val="both"/>
        <w:rPr>
          <w:rFonts w:ascii="Arial" w:eastAsia="Calibri" w:hAnsi="Arial" w:cs="Arial"/>
          <w:color w:val="000000" w:themeColor="text1"/>
          <w:sz w:val="20"/>
          <w:szCs w:val="20"/>
          <w:lang w:val="es-ES_tradnl"/>
        </w:rPr>
      </w:pPr>
      <w:r w:rsidRPr="00AB690B">
        <w:rPr>
          <w:rFonts w:ascii="Arial" w:eastAsia="Calibri" w:hAnsi="Arial" w:cs="Arial"/>
          <w:color w:val="000000" w:themeColor="text1"/>
          <w:sz w:val="20"/>
          <w:szCs w:val="20"/>
          <w:lang w:val="es-ES_tradnl"/>
        </w:rPr>
        <w:t>También ha dicho que:</w:t>
      </w:r>
    </w:p>
    <w:p w14:paraId="53BCBBF7" w14:textId="77777777" w:rsidR="0043584B" w:rsidRPr="00AB690B" w:rsidRDefault="0043584B" w:rsidP="00CA3AE5">
      <w:pPr>
        <w:spacing w:line="276" w:lineRule="auto"/>
        <w:ind w:firstLine="708"/>
        <w:jc w:val="both"/>
        <w:rPr>
          <w:rFonts w:ascii="Arial" w:eastAsia="Calibri" w:hAnsi="Arial" w:cs="Arial"/>
          <w:color w:val="000000" w:themeColor="text1"/>
          <w:sz w:val="20"/>
          <w:szCs w:val="20"/>
          <w:lang w:val="es-ES_tradnl"/>
        </w:rPr>
      </w:pPr>
    </w:p>
    <w:p w14:paraId="0A83D21E" w14:textId="77777777" w:rsidR="0043584B" w:rsidRPr="00AB690B" w:rsidRDefault="0043584B" w:rsidP="00CA3AE5">
      <w:pPr>
        <w:ind w:left="708" w:right="709"/>
        <w:jc w:val="both"/>
        <w:rPr>
          <w:rFonts w:ascii="Arial" w:eastAsia="Calibri" w:hAnsi="Arial" w:cs="Arial"/>
          <w:color w:val="000000" w:themeColor="text1"/>
          <w:sz w:val="20"/>
          <w:szCs w:val="20"/>
          <w:lang w:val="es-ES_tradnl"/>
        </w:rPr>
      </w:pPr>
      <w:r w:rsidRPr="00AB690B">
        <w:rPr>
          <w:rFonts w:ascii="Arial" w:eastAsia="Calibri" w:hAnsi="Arial" w:cs="Arial"/>
          <w:color w:val="000000" w:themeColor="text1"/>
          <w:sz w:val="20"/>
          <w:szCs w:val="20"/>
          <w:lang w:val="es-ES_tradnl"/>
        </w:rPr>
        <w:t xml:space="preserve">[…] la aplicación de estos preceptos exige una interpretación restrictiva, dado que según el principio hermenéutico </w:t>
      </w:r>
      <w:r w:rsidRPr="00AB690B">
        <w:rPr>
          <w:rFonts w:ascii="Arial" w:eastAsia="Calibri" w:hAnsi="Arial" w:cs="Arial"/>
          <w:i/>
          <w:iCs/>
          <w:color w:val="000000" w:themeColor="text1"/>
          <w:sz w:val="20"/>
          <w:szCs w:val="20"/>
          <w:lang w:val="es-ES_tradnl"/>
        </w:rPr>
        <w:t xml:space="preserve">pro </w:t>
      </w:r>
      <w:proofErr w:type="spellStart"/>
      <w:r w:rsidRPr="00AB690B">
        <w:rPr>
          <w:rFonts w:ascii="Arial" w:eastAsia="Calibri" w:hAnsi="Arial" w:cs="Arial"/>
          <w:i/>
          <w:iCs/>
          <w:color w:val="000000" w:themeColor="text1"/>
          <w:sz w:val="20"/>
          <w:szCs w:val="20"/>
          <w:lang w:val="es-ES_tradnl"/>
        </w:rPr>
        <w:t>libertate</w:t>
      </w:r>
      <w:proofErr w:type="spellEnd"/>
      <w:r w:rsidRPr="00AB690B">
        <w:rPr>
          <w:rFonts w:ascii="Arial" w:eastAsia="Calibri" w:hAnsi="Arial" w:cs="Arial"/>
          <w:color w:val="000000" w:themeColor="text1"/>
          <w:sz w:val="20"/>
          <w:szCs w:val="20"/>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AB690B">
        <w:rPr>
          <w:rFonts w:ascii="Arial" w:eastAsia="Calibri" w:hAnsi="Arial" w:cs="Arial"/>
          <w:color w:val="000000" w:themeColor="text1"/>
          <w:sz w:val="20"/>
          <w:szCs w:val="20"/>
          <w:vertAlign w:val="superscript"/>
          <w:lang w:val="es-ES_tradnl"/>
        </w:rPr>
        <w:footnoteReference w:id="15"/>
      </w:r>
      <w:r w:rsidRPr="00AB690B">
        <w:rPr>
          <w:rFonts w:ascii="Arial" w:eastAsia="Calibri" w:hAnsi="Arial" w:cs="Arial"/>
          <w:color w:val="000000" w:themeColor="text1"/>
          <w:sz w:val="20"/>
          <w:szCs w:val="20"/>
          <w:lang w:val="es-ES_tradnl"/>
        </w:rPr>
        <w:t>.</w:t>
      </w:r>
    </w:p>
    <w:p w14:paraId="7E208523" w14:textId="77777777" w:rsidR="0043584B" w:rsidRPr="00AB690B" w:rsidRDefault="0043584B" w:rsidP="00CA3AE5">
      <w:pPr>
        <w:ind w:firstLine="708"/>
        <w:jc w:val="both"/>
        <w:rPr>
          <w:rFonts w:ascii="Arial" w:eastAsia="Calibri" w:hAnsi="Arial" w:cs="Arial"/>
          <w:color w:val="000000" w:themeColor="text1"/>
          <w:sz w:val="20"/>
          <w:szCs w:val="20"/>
          <w:lang w:val="es-ES_tradnl"/>
        </w:rPr>
      </w:pPr>
    </w:p>
    <w:p w14:paraId="4BFCAF26" w14:textId="03004928" w:rsidR="0043584B" w:rsidRPr="00AB690B" w:rsidRDefault="0043584B" w:rsidP="008F76EE">
      <w:pPr>
        <w:spacing w:after="120" w:line="276" w:lineRule="auto"/>
        <w:ind w:firstLine="709"/>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lang w:val="es-ES_tradnl"/>
        </w:rPr>
        <w:t xml:space="preserve">Como se aprecia, el principio </w:t>
      </w:r>
      <w:r w:rsidRPr="00AB690B">
        <w:rPr>
          <w:rFonts w:ascii="Arial" w:eastAsia="Calibri" w:hAnsi="Arial" w:cs="Arial"/>
          <w:i/>
          <w:iCs/>
          <w:color w:val="000000" w:themeColor="text1"/>
          <w:sz w:val="20"/>
          <w:szCs w:val="20"/>
          <w:lang w:val="es-ES_tradnl"/>
        </w:rPr>
        <w:t xml:space="preserve">pro </w:t>
      </w:r>
      <w:proofErr w:type="spellStart"/>
      <w:r w:rsidRPr="00AB690B">
        <w:rPr>
          <w:rFonts w:ascii="Arial" w:eastAsia="Calibri" w:hAnsi="Arial" w:cs="Arial"/>
          <w:i/>
          <w:iCs/>
          <w:color w:val="000000" w:themeColor="text1"/>
          <w:sz w:val="20"/>
          <w:szCs w:val="20"/>
          <w:lang w:val="es-ES_tradnl"/>
        </w:rPr>
        <w:t>libertate</w:t>
      </w:r>
      <w:proofErr w:type="spellEnd"/>
      <w:r w:rsidRPr="00AB690B">
        <w:rPr>
          <w:rFonts w:ascii="Arial" w:eastAsia="Calibri" w:hAnsi="Arial" w:cs="Arial"/>
          <w:color w:val="000000" w:themeColor="text1"/>
          <w:sz w:val="20"/>
          <w:szCs w:val="20"/>
          <w:lang w:val="es-ES_tradnl"/>
        </w:rPr>
        <w:t xml:space="preserve"> es el que debe dirigir la interpretación de las disposiciones normativas que consagran restricciones de derechos, como sucede con las causales de inhabilidad e incompatibilidad en la contratación estatal. El carácter reconocidamente taxativo y restrictivo de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w:t>
      </w:r>
      <w:r w:rsidRPr="00AB690B">
        <w:rPr>
          <w:rFonts w:ascii="Arial" w:eastAsia="Calibri" w:hAnsi="Arial" w:cs="Arial"/>
          <w:color w:val="000000" w:themeColor="text1"/>
          <w:sz w:val="20"/>
          <w:szCs w:val="20"/>
        </w:rPr>
        <w:t xml:space="preserve">. </w:t>
      </w:r>
    </w:p>
    <w:p w14:paraId="7F9BEBAF" w14:textId="275EAA07" w:rsidR="0007502A" w:rsidRPr="00AB690B" w:rsidRDefault="0007502A" w:rsidP="00CA3AE5">
      <w:pPr>
        <w:spacing w:line="276" w:lineRule="auto"/>
        <w:ind w:firstLine="708"/>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 xml:space="preserve">Finalmente, resulta importante aclarar que el régimen jurídico de inhabilidades e incompatibilidades aplicable a la contratación estatal se encuentra en los artículos 8 y siguientes de la Ley 80 de 1993. De manera que, como se pasa a explicar en el acápite siguiente, por regla general no resulta extrapolable a la contratación estatal la normativa en materia de control disciplinario establecida en la Ley 734 de 2002 y en la </w:t>
      </w:r>
      <w:r w:rsidRPr="00AB690B">
        <w:rPr>
          <w:rFonts w:ascii="Arial" w:eastAsia="Calibri" w:hAnsi="Arial" w:cs="Arial"/>
          <w:color w:val="000000" w:themeColor="text1"/>
          <w:sz w:val="20"/>
          <w:szCs w:val="20"/>
          <w:lang w:val="es-MX"/>
        </w:rPr>
        <w:t>Ley 1952 de 2019</w:t>
      </w:r>
      <w:r w:rsidRPr="00AB690B">
        <w:rPr>
          <w:rFonts w:ascii="Arial" w:eastAsia="Calibri" w:hAnsi="Arial" w:cs="Arial"/>
          <w:color w:val="000000" w:themeColor="text1"/>
          <w:sz w:val="20"/>
          <w:szCs w:val="20"/>
        </w:rPr>
        <w:t>, a excepción de las excepciones específicas establecidas en dicha normativa y en la jurisprudencia.</w:t>
      </w:r>
    </w:p>
    <w:p w14:paraId="0766258C" w14:textId="75AD865D" w:rsidR="0007502A" w:rsidRPr="00AB690B" w:rsidRDefault="0007502A" w:rsidP="00CA3AE5">
      <w:pPr>
        <w:ind w:firstLine="708"/>
        <w:jc w:val="both"/>
        <w:rPr>
          <w:rFonts w:ascii="Arial" w:eastAsia="Calibri" w:hAnsi="Arial" w:cs="Arial"/>
          <w:color w:val="000000" w:themeColor="text1"/>
          <w:sz w:val="20"/>
          <w:szCs w:val="20"/>
        </w:rPr>
      </w:pPr>
    </w:p>
    <w:p w14:paraId="1D0883FD" w14:textId="754ADFB4" w:rsidR="0007502A" w:rsidRPr="00AB690B" w:rsidRDefault="001F333E" w:rsidP="008F76EE">
      <w:pPr>
        <w:jc w:val="both"/>
        <w:rPr>
          <w:rFonts w:ascii="Arial" w:eastAsia="Calibri" w:hAnsi="Arial" w:cs="Arial"/>
          <w:b/>
          <w:bCs/>
          <w:color w:val="000000" w:themeColor="text1"/>
          <w:sz w:val="20"/>
          <w:szCs w:val="20"/>
        </w:rPr>
      </w:pPr>
      <w:r w:rsidRPr="00AB690B">
        <w:rPr>
          <w:rFonts w:ascii="Arial" w:eastAsia="Calibri" w:hAnsi="Arial" w:cs="Arial"/>
          <w:b/>
          <w:bCs/>
          <w:color w:val="000000" w:themeColor="text1"/>
          <w:sz w:val="20"/>
          <w:szCs w:val="20"/>
        </w:rPr>
        <w:t xml:space="preserve">2.2. </w:t>
      </w:r>
      <w:r w:rsidR="0007502A" w:rsidRPr="00AB690B">
        <w:rPr>
          <w:rFonts w:ascii="Arial" w:eastAsia="Calibri" w:hAnsi="Arial" w:cs="Arial"/>
          <w:b/>
          <w:bCs/>
          <w:color w:val="000000" w:themeColor="text1"/>
          <w:sz w:val="20"/>
          <w:szCs w:val="20"/>
        </w:rPr>
        <w:t xml:space="preserve">Aplicabilidad del régimen jurídico de control disciplinario </w:t>
      </w:r>
      <w:r w:rsidRPr="00AB690B">
        <w:rPr>
          <w:rFonts w:ascii="Arial" w:eastAsia="Calibri" w:hAnsi="Arial" w:cs="Arial"/>
          <w:b/>
          <w:bCs/>
          <w:color w:val="000000" w:themeColor="text1"/>
          <w:sz w:val="20"/>
          <w:szCs w:val="20"/>
        </w:rPr>
        <w:t>en</w:t>
      </w:r>
      <w:r w:rsidR="0007502A" w:rsidRPr="00AB690B">
        <w:rPr>
          <w:rFonts w:ascii="Arial" w:eastAsia="Calibri" w:hAnsi="Arial" w:cs="Arial"/>
          <w:b/>
          <w:bCs/>
          <w:color w:val="000000" w:themeColor="text1"/>
          <w:sz w:val="20"/>
          <w:szCs w:val="20"/>
        </w:rPr>
        <w:t xml:space="preserve"> la contratación estatal</w:t>
      </w:r>
    </w:p>
    <w:p w14:paraId="3AB095C8" w14:textId="77777777" w:rsidR="0007502A" w:rsidRPr="00AB690B" w:rsidRDefault="0007502A" w:rsidP="00CA3AE5">
      <w:pPr>
        <w:pStyle w:val="Prrafodelista"/>
        <w:ind w:left="1068"/>
        <w:jc w:val="both"/>
        <w:rPr>
          <w:rFonts w:ascii="Arial" w:eastAsia="Calibri" w:hAnsi="Arial" w:cs="Arial"/>
          <w:b/>
          <w:bCs/>
          <w:color w:val="000000" w:themeColor="text1"/>
          <w:sz w:val="20"/>
          <w:szCs w:val="20"/>
        </w:rPr>
      </w:pPr>
    </w:p>
    <w:p w14:paraId="30C8E950" w14:textId="29BE1A09" w:rsidR="00870F97" w:rsidRPr="00AB690B" w:rsidRDefault="002D4666" w:rsidP="008F76EE">
      <w:pPr>
        <w:spacing w:line="276" w:lineRule="auto"/>
        <w:jc w:val="both"/>
        <w:rPr>
          <w:rFonts w:ascii="Arial" w:eastAsia="Calibri" w:hAnsi="Arial" w:cs="Arial"/>
          <w:color w:val="000000" w:themeColor="text1"/>
          <w:sz w:val="20"/>
          <w:szCs w:val="20"/>
          <w:lang w:val="es-MX"/>
        </w:rPr>
      </w:pPr>
      <w:r w:rsidRPr="00AB690B">
        <w:rPr>
          <w:rFonts w:ascii="Arial" w:eastAsia="Calibri" w:hAnsi="Arial" w:cs="Arial"/>
          <w:color w:val="000000" w:themeColor="text1"/>
          <w:sz w:val="20"/>
          <w:szCs w:val="20"/>
        </w:rPr>
        <w:t>El</w:t>
      </w:r>
      <w:r w:rsidR="0007502A" w:rsidRPr="00AB690B">
        <w:rPr>
          <w:rFonts w:ascii="Arial" w:eastAsia="Calibri" w:hAnsi="Arial" w:cs="Arial"/>
          <w:color w:val="000000" w:themeColor="text1"/>
          <w:sz w:val="20"/>
          <w:szCs w:val="20"/>
        </w:rPr>
        <w:t xml:space="preserve"> régimen de control disciplinario </w:t>
      </w:r>
      <w:r w:rsidRPr="00AB690B">
        <w:rPr>
          <w:rFonts w:ascii="Arial" w:eastAsia="Calibri" w:hAnsi="Arial" w:cs="Arial"/>
          <w:color w:val="000000" w:themeColor="text1"/>
          <w:sz w:val="20"/>
          <w:szCs w:val="20"/>
        </w:rPr>
        <w:t xml:space="preserve">recae sobre los servidores públicos y los particulares que cumplen funciones públicas o labores de interventoría en los contratos estatales. </w:t>
      </w:r>
      <w:r w:rsidR="004E6691" w:rsidRPr="00AB690B">
        <w:rPr>
          <w:rFonts w:ascii="Arial" w:eastAsia="Calibri" w:hAnsi="Arial" w:cs="Arial"/>
          <w:color w:val="000000" w:themeColor="text1"/>
          <w:sz w:val="20"/>
          <w:szCs w:val="20"/>
        </w:rPr>
        <w:t>Sobre el particular,</w:t>
      </w:r>
      <w:r w:rsidRPr="00AB690B">
        <w:rPr>
          <w:rFonts w:ascii="Arial" w:eastAsia="Calibri" w:hAnsi="Arial" w:cs="Arial"/>
          <w:color w:val="000000" w:themeColor="text1"/>
          <w:sz w:val="20"/>
          <w:szCs w:val="20"/>
        </w:rPr>
        <w:t xml:space="preserve"> el artículo 25 de la Ley </w:t>
      </w:r>
      <w:r w:rsidRPr="00AB690B">
        <w:rPr>
          <w:rFonts w:ascii="Arial" w:eastAsia="Calibri" w:hAnsi="Arial" w:cs="Arial"/>
          <w:color w:val="000000" w:themeColor="text1"/>
          <w:sz w:val="20"/>
          <w:szCs w:val="20"/>
          <w:lang w:val="es-MX"/>
        </w:rPr>
        <w:t xml:space="preserve">1952 de 2019 </w:t>
      </w:r>
      <w:r w:rsidR="004E6691" w:rsidRPr="00AB690B">
        <w:rPr>
          <w:rFonts w:ascii="Arial" w:eastAsia="Calibri" w:hAnsi="Arial" w:cs="Arial"/>
          <w:color w:val="000000" w:themeColor="text1"/>
          <w:sz w:val="20"/>
          <w:szCs w:val="20"/>
          <w:lang w:val="es-MX"/>
        </w:rPr>
        <w:t>establece los sujetos pasivos de la acción disciplinaria:</w:t>
      </w:r>
      <w:r w:rsidRPr="00AB690B">
        <w:rPr>
          <w:rFonts w:ascii="Arial" w:eastAsia="Calibri" w:hAnsi="Arial" w:cs="Arial"/>
          <w:color w:val="000000" w:themeColor="text1"/>
          <w:sz w:val="20"/>
          <w:szCs w:val="20"/>
          <w:lang w:val="es-MX"/>
        </w:rPr>
        <w:t xml:space="preserve"> </w:t>
      </w:r>
    </w:p>
    <w:p w14:paraId="7CF9A1CF" w14:textId="0FC17A8A" w:rsidR="004E6691" w:rsidRPr="00AB690B" w:rsidRDefault="004E6691" w:rsidP="00CA3AE5">
      <w:pPr>
        <w:ind w:firstLine="708"/>
        <w:jc w:val="both"/>
        <w:rPr>
          <w:rFonts w:ascii="Arial" w:eastAsia="Calibri" w:hAnsi="Arial" w:cs="Arial"/>
          <w:color w:val="000000" w:themeColor="text1"/>
          <w:sz w:val="20"/>
          <w:szCs w:val="20"/>
          <w:lang w:val="es-MX"/>
        </w:rPr>
      </w:pPr>
    </w:p>
    <w:p w14:paraId="30F6F428" w14:textId="72D3E985" w:rsidR="004E6691" w:rsidRPr="00AB690B" w:rsidRDefault="009132B2" w:rsidP="00CA3AE5">
      <w:pPr>
        <w:ind w:left="708" w:right="709"/>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lastRenderedPageBreak/>
        <w:t xml:space="preserve">Artículo </w:t>
      </w:r>
      <w:r w:rsidR="004E6691" w:rsidRPr="00AB690B">
        <w:rPr>
          <w:rFonts w:ascii="Arial" w:eastAsia="Calibri" w:hAnsi="Arial" w:cs="Arial"/>
          <w:color w:val="000000" w:themeColor="text1"/>
          <w:sz w:val="20"/>
          <w:szCs w:val="20"/>
        </w:rPr>
        <w:t>25. Destinatarios de la ley disciplinaria. Son destinatarios de la ley disciplinari</w:t>
      </w:r>
      <w:r w:rsidR="00F06C20" w:rsidRPr="00AB690B">
        <w:rPr>
          <w:rFonts w:ascii="Arial" w:eastAsia="Calibri" w:hAnsi="Arial" w:cs="Arial"/>
          <w:color w:val="000000" w:themeColor="text1"/>
          <w:sz w:val="20"/>
          <w:szCs w:val="20"/>
        </w:rPr>
        <w:t>a</w:t>
      </w:r>
      <w:r w:rsidR="004E6691" w:rsidRPr="00AB690B">
        <w:rPr>
          <w:rFonts w:ascii="Arial" w:eastAsia="Calibri" w:hAnsi="Arial" w:cs="Arial"/>
          <w:color w:val="000000" w:themeColor="text1"/>
          <w:sz w:val="20"/>
          <w:szCs w:val="20"/>
        </w:rPr>
        <w:t xml:space="preserve"> los servidores públicos, aunque se encuentren retirados del servicio y los particulares contemplados en esta ley.</w:t>
      </w:r>
    </w:p>
    <w:p w14:paraId="25942879" w14:textId="77777777" w:rsidR="0096799C" w:rsidRPr="00AB690B" w:rsidRDefault="0096799C" w:rsidP="00CA3AE5">
      <w:pPr>
        <w:ind w:left="708" w:right="709"/>
        <w:jc w:val="both"/>
        <w:rPr>
          <w:rFonts w:ascii="Arial" w:eastAsia="Calibri" w:hAnsi="Arial" w:cs="Arial"/>
          <w:color w:val="000000" w:themeColor="text1"/>
          <w:sz w:val="20"/>
          <w:szCs w:val="20"/>
        </w:rPr>
      </w:pPr>
    </w:p>
    <w:p w14:paraId="0D017EB2" w14:textId="77777777" w:rsidR="004E6691" w:rsidRPr="00AB690B" w:rsidRDefault="004E6691" w:rsidP="00CA3AE5">
      <w:pPr>
        <w:ind w:left="708" w:right="709"/>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Para los efectos de esta ley y en concordancia con el artículo 38 de la ley 489 de 1998, son servidores públicos disciplinables los gerentes de cooperativas, fundaciones, corporaciones y asociaciones que se creen y organicen por el Estado o con su participación mayoritaria.</w:t>
      </w:r>
    </w:p>
    <w:p w14:paraId="745D2598" w14:textId="77777777" w:rsidR="0096799C" w:rsidRPr="00AB690B" w:rsidRDefault="0096799C" w:rsidP="00CA3AE5">
      <w:pPr>
        <w:ind w:left="708" w:right="709"/>
        <w:jc w:val="both"/>
        <w:rPr>
          <w:rFonts w:ascii="Arial" w:eastAsia="Calibri" w:hAnsi="Arial" w:cs="Arial"/>
          <w:color w:val="000000" w:themeColor="text1"/>
          <w:sz w:val="20"/>
          <w:szCs w:val="20"/>
        </w:rPr>
      </w:pPr>
    </w:p>
    <w:p w14:paraId="0C86A8D3" w14:textId="67063647" w:rsidR="004E6691" w:rsidRPr="00AB690B" w:rsidRDefault="004E6691" w:rsidP="00CA3AE5">
      <w:pPr>
        <w:ind w:left="708" w:right="709"/>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Los indígenas que ejerzan funciones públicas o administren recursos del Estado, serán disciplinados conforme a este código.</w:t>
      </w:r>
    </w:p>
    <w:p w14:paraId="2026BB8E" w14:textId="08F5FF7F" w:rsidR="004E6691" w:rsidRPr="00AB690B" w:rsidRDefault="004E6691" w:rsidP="00CA3AE5">
      <w:pPr>
        <w:ind w:left="708" w:right="709"/>
        <w:jc w:val="both"/>
        <w:rPr>
          <w:rFonts w:ascii="Arial" w:eastAsia="Calibri" w:hAnsi="Arial" w:cs="Arial"/>
          <w:color w:val="000000" w:themeColor="text1"/>
          <w:sz w:val="20"/>
          <w:szCs w:val="20"/>
        </w:rPr>
      </w:pPr>
    </w:p>
    <w:p w14:paraId="7839E18D" w14:textId="5474EBBC" w:rsidR="00015FB9" w:rsidRPr="00AB690B" w:rsidRDefault="0096799C" w:rsidP="008F76EE">
      <w:pPr>
        <w:spacing w:line="276" w:lineRule="auto"/>
        <w:ind w:firstLine="708"/>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Conforme a esto</w:t>
      </w:r>
      <w:r w:rsidR="004E6691" w:rsidRPr="00AB690B">
        <w:rPr>
          <w:rFonts w:ascii="Arial" w:eastAsia="Calibri" w:hAnsi="Arial" w:cs="Arial"/>
          <w:color w:val="000000" w:themeColor="text1"/>
          <w:sz w:val="20"/>
          <w:szCs w:val="20"/>
        </w:rPr>
        <w:t>, por regla general</w:t>
      </w:r>
      <w:r w:rsidRPr="00AB690B">
        <w:rPr>
          <w:rFonts w:ascii="Arial" w:eastAsia="Calibri" w:hAnsi="Arial" w:cs="Arial"/>
          <w:color w:val="000000" w:themeColor="text1"/>
          <w:sz w:val="20"/>
          <w:szCs w:val="20"/>
        </w:rPr>
        <w:t>,</w:t>
      </w:r>
      <w:r w:rsidR="004E6691" w:rsidRPr="00AB690B">
        <w:rPr>
          <w:rFonts w:ascii="Arial" w:eastAsia="Calibri" w:hAnsi="Arial" w:cs="Arial"/>
          <w:color w:val="000000" w:themeColor="text1"/>
          <w:sz w:val="20"/>
          <w:szCs w:val="20"/>
        </w:rPr>
        <w:t xml:space="preserve"> son responsables disciplinariamente los servidores públicos. Excepcionalmente, en las hipótesis consagradas en la ley, los particulares. Al respecto, el</w:t>
      </w:r>
      <w:r w:rsidR="00015FB9" w:rsidRPr="00AB690B">
        <w:rPr>
          <w:rFonts w:ascii="Arial" w:eastAsia="Calibri" w:hAnsi="Arial" w:cs="Arial"/>
          <w:color w:val="000000" w:themeColor="text1"/>
          <w:sz w:val="20"/>
          <w:szCs w:val="20"/>
        </w:rPr>
        <w:t xml:space="preserve"> título 1 del libro 3 de la mencionada ley establece el régimen aplicable a los particulares, y explica con mayor detalle en su artículo 70 qué particulares deben responder disciplinariamente:</w:t>
      </w:r>
    </w:p>
    <w:p w14:paraId="03C77214" w14:textId="77777777" w:rsidR="00015FB9" w:rsidRPr="00AB690B" w:rsidRDefault="00015FB9" w:rsidP="00CA3AE5">
      <w:pPr>
        <w:spacing w:line="276" w:lineRule="auto"/>
        <w:jc w:val="both"/>
        <w:rPr>
          <w:rFonts w:ascii="Arial" w:eastAsia="Calibri" w:hAnsi="Arial" w:cs="Arial"/>
          <w:color w:val="000000" w:themeColor="text1"/>
          <w:sz w:val="20"/>
          <w:szCs w:val="20"/>
        </w:rPr>
      </w:pPr>
    </w:p>
    <w:p w14:paraId="2442D13D" w14:textId="5FD05D8D" w:rsidR="00015FB9" w:rsidRPr="00AB690B" w:rsidRDefault="00015FB9" w:rsidP="00CA3AE5">
      <w:pPr>
        <w:ind w:left="708" w:right="709"/>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 xml:space="preserve">ARTÍCULO 70. Sujetos disciplinables. El presente régimen se aplica a los particulares que ejerzan funciones públicas de manera permanente o transitoria; que administren recursos públicos; </w:t>
      </w:r>
      <w:r w:rsidRPr="00AB690B">
        <w:rPr>
          <w:rFonts w:ascii="Arial" w:eastAsia="Calibri" w:hAnsi="Arial" w:cs="Arial"/>
          <w:i/>
          <w:iCs/>
          <w:color w:val="000000" w:themeColor="text1"/>
          <w:sz w:val="20"/>
          <w:szCs w:val="20"/>
        </w:rPr>
        <w:t>que cumplan labores de interventoría o supervisión en los contratos estatales y a los auxiliares de la justicia</w:t>
      </w:r>
      <w:r w:rsidRPr="00AB690B">
        <w:rPr>
          <w:rFonts w:ascii="Arial" w:eastAsia="Calibri" w:hAnsi="Arial" w:cs="Arial"/>
          <w:color w:val="000000" w:themeColor="text1"/>
          <w:sz w:val="20"/>
          <w:szCs w:val="20"/>
        </w:rPr>
        <w:t>.</w:t>
      </w:r>
    </w:p>
    <w:p w14:paraId="57A1C39D" w14:textId="77777777" w:rsidR="0096799C" w:rsidRPr="00AB690B" w:rsidRDefault="0096799C" w:rsidP="00CA3AE5">
      <w:pPr>
        <w:ind w:left="708" w:right="709"/>
        <w:jc w:val="both"/>
        <w:rPr>
          <w:rFonts w:ascii="Arial" w:eastAsia="Calibri" w:hAnsi="Arial" w:cs="Arial"/>
          <w:color w:val="000000" w:themeColor="text1"/>
          <w:sz w:val="20"/>
          <w:szCs w:val="20"/>
        </w:rPr>
      </w:pPr>
    </w:p>
    <w:p w14:paraId="708CDBA9" w14:textId="7969C31B" w:rsidR="00015FB9" w:rsidRPr="00AB690B" w:rsidRDefault="00015FB9" w:rsidP="00CA3AE5">
      <w:pPr>
        <w:ind w:left="708" w:right="709"/>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Los auxiliares de la justicia serán disciplinables conforme a este Código, sin perjuicio del poder correctivo del juez ante cuyo despacho intervengan.</w:t>
      </w:r>
    </w:p>
    <w:p w14:paraId="696ED0BA" w14:textId="77777777" w:rsidR="0096799C" w:rsidRPr="00AB690B" w:rsidRDefault="0096799C" w:rsidP="00CA3AE5">
      <w:pPr>
        <w:ind w:left="708" w:right="709"/>
        <w:jc w:val="both"/>
        <w:rPr>
          <w:rFonts w:ascii="Arial" w:eastAsia="Calibri" w:hAnsi="Arial" w:cs="Arial"/>
          <w:color w:val="000000" w:themeColor="text1"/>
          <w:sz w:val="20"/>
          <w:szCs w:val="20"/>
        </w:rPr>
      </w:pPr>
    </w:p>
    <w:p w14:paraId="66D3E72A" w14:textId="5CCC9E1D" w:rsidR="00015FB9" w:rsidRPr="00AB690B" w:rsidRDefault="00015FB9" w:rsidP="00CA3AE5">
      <w:pPr>
        <w:ind w:left="708" w:right="709"/>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Se entiende que ejerce función pública aquel particular que, por disposición legal, acto administrativo, convenio o contrato, desarrolle o realice prerrogativas exclusivas de los órganos del Estado. No serán disciplinables aquellos particulares que presten servicios públicos, salvo que en ejercicio de dichas actividades desempeñen funciones públicas, evento en el cual resultarán destinatarios de las normas disciplinarias.</w:t>
      </w:r>
    </w:p>
    <w:p w14:paraId="30DAA4BD" w14:textId="77777777" w:rsidR="0096799C" w:rsidRPr="00AB690B" w:rsidRDefault="0096799C" w:rsidP="00CA3AE5">
      <w:pPr>
        <w:ind w:left="708" w:right="709"/>
        <w:jc w:val="both"/>
        <w:rPr>
          <w:rFonts w:ascii="Arial" w:eastAsia="Calibri" w:hAnsi="Arial" w:cs="Arial"/>
          <w:color w:val="000000" w:themeColor="text1"/>
          <w:sz w:val="20"/>
          <w:szCs w:val="20"/>
        </w:rPr>
      </w:pPr>
    </w:p>
    <w:p w14:paraId="6A58315D" w14:textId="77777777" w:rsidR="00015FB9" w:rsidRPr="00AB690B" w:rsidRDefault="00015FB9" w:rsidP="00CA3AE5">
      <w:pPr>
        <w:ind w:left="708" w:right="709"/>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 xml:space="preserve">Administran recursos públicos aquellos particulares que recaudan, custodian, liquidan o disponen el uso de rentas parafiscales, de rentas que hacen parte del presupuesto de las entidades públicas o que estas últimas han destinado para su utilización con fines </w:t>
      </w:r>
      <w:proofErr w:type="spellStart"/>
      <w:r w:rsidRPr="00AB690B">
        <w:rPr>
          <w:rFonts w:ascii="Arial" w:eastAsia="Calibri" w:hAnsi="Arial" w:cs="Arial"/>
          <w:color w:val="000000" w:themeColor="text1"/>
          <w:sz w:val="20"/>
          <w:szCs w:val="20"/>
        </w:rPr>
        <w:t>especificos</w:t>
      </w:r>
      <w:proofErr w:type="spellEnd"/>
      <w:r w:rsidRPr="00AB690B">
        <w:rPr>
          <w:rFonts w:ascii="Arial" w:eastAsia="Calibri" w:hAnsi="Arial" w:cs="Arial"/>
          <w:color w:val="000000" w:themeColor="text1"/>
          <w:sz w:val="20"/>
          <w:szCs w:val="20"/>
        </w:rPr>
        <w:t>.</w:t>
      </w:r>
    </w:p>
    <w:p w14:paraId="450C7D79" w14:textId="77777777" w:rsidR="0096799C" w:rsidRPr="00AB690B" w:rsidRDefault="0096799C" w:rsidP="00CA3AE5">
      <w:pPr>
        <w:ind w:left="708" w:right="709"/>
        <w:jc w:val="both"/>
        <w:rPr>
          <w:rFonts w:ascii="Arial" w:eastAsia="Calibri" w:hAnsi="Arial" w:cs="Arial"/>
          <w:color w:val="000000" w:themeColor="text1"/>
          <w:sz w:val="20"/>
          <w:szCs w:val="20"/>
        </w:rPr>
      </w:pPr>
    </w:p>
    <w:p w14:paraId="11EAE814" w14:textId="34CE5FD2" w:rsidR="00015FB9" w:rsidRPr="00AB690B" w:rsidRDefault="00015FB9" w:rsidP="00CA3AE5">
      <w:pPr>
        <w:ind w:left="708" w:right="709"/>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Cuando se trate de personas jurídicas la responsabilidad disciplinaria será exigible tanto al representante legal como a los miembros de la Junta Directiva, según el caso.</w:t>
      </w:r>
      <w:r w:rsidR="0096799C" w:rsidRPr="00AB690B">
        <w:rPr>
          <w:rFonts w:ascii="Arial" w:eastAsia="Calibri" w:hAnsi="Arial" w:cs="Arial"/>
          <w:color w:val="000000" w:themeColor="text1"/>
          <w:sz w:val="20"/>
          <w:szCs w:val="20"/>
        </w:rPr>
        <w:t xml:space="preserve"> (Énfasis fuera de texto).</w:t>
      </w:r>
    </w:p>
    <w:p w14:paraId="39ACE05F" w14:textId="38287920" w:rsidR="00015FB9" w:rsidRPr="00AB690B" w:rsidRDefault="00015FB9" w:rsidP="00CA3AE5">
      <w:pPr>
        <w:ind w:right="709"/>
        <w:jc w:val="both"/>
        <w:rPr>
          <w:rFonts w:ascii="Arial" w:eastAsia="Calibri" w:hAnsi="Arial" w:cs="Arial"/>
          <w:color w:val="000000" w:themeColor="text1"/>
          <w:sz w:val="20"/>
          <w:szCs w:val="20"/>
        </w:rPr>
      </w:pPr>
    </w:p>
    <w:p w14:paraId="03BB8796" w14:textId="7438790B" w:rsidR="00015FB9" w:rsidRPr="00AB690B" w:rsidRDefault="00015FB9" w:rsidP="008F76EE">
      <w:pPr>
        <w:spacing w:after="120" w:line="276" w:lineRule="auto"/>
        <w:ind w:firstLine="709"/>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Conforme lo anterior</w:t>
      </w:r>
      <w:r w:rsidR="000B0B66" w:rsidRPr="00AB690B">
        <w:rPr>
          <w:rFonts w:ascii="Arial" w:eastAsia="Calibri" w:hAnsi="Arial" w:cs="Arial"/>
          <w:color w:val="000000" w:themeColor="text1"/>
          <w:sz w:val="20"/>
          <w:szCs w:val="20"/>
        </w:rPr>
        <w:t>,</w:t>
      </w:r>
      <w:r w:rsidR="00E66C48" w:rsidRPr="00AB690B">
        <w:rPr>
          <w:rFonts w:ascii="Arial" w:eastAsia="Calibri" w:hAnsi="Arial" w:cs="Arial"/>
          <w:color w:val="000000" w:themeColor="text1"/>
          <w:sz w:val="20"/>
          <w:szCs w:val="20"/>
        </w:rPr>
        <w:t xml:space="preserve"> </w:t>
      </w:r>
      <w:r w:rsidRPr="00AB690B">
        <w:rPr>
          <w:rFonts w:ascii="Arial" w:eastAsia="Calibri" w:hAnsi="Arial" w:cs="Arial"/>
          <w:color w:val="000000" w:themeColor="text1"/>
          <w:sz w:val="20"/>
          <w:szCs w:val="20"/>
        </w:rPr>
        <w:t xml:space="preserve">en el marco de la contratación estatal solo serán responsables disciplinariamente los interventores de contratos estatales y quienes ejerzan funciones públicas ya sea de manera transitoria o permanente. Sobre este último punto, la misma norma señala que se entiende que se ejerce función cuando en virtud de una disposición legal, acto administrativo, </w:t>
      </w:r>
      <w:r w:rsidRPr="00AB690B">
        <w:rPr>
          <w:rFonts w:ascii="Arial" w:eastAsia="Calibri" w:hAnsi="Arial" w:cs="Arial"/>
          <w:color w:val="000000" w:themeColor="text1"/>
          <w:sz w:val="20"/>
          <w:szCs w:val="20"/>
        </w:rPr>
        <w:lastRenderedPageBreak/>
        <w:t>convenio o contrato, se ejercen prerrogativas exclusivas de los órganos del Estado.</w:t>
      </w:r>
      <w:r w:rsidR="00487310" w:rsidRPr="00AB690B">
        <w:rPr>
          <w:rFonts w:ascii="Arial" w:eastAsia="Calibri" w:hAnsi="Arial" w:cs="Arial"/>
          <w:color w:val="000000" w:themeColor="text1"/>
          <w:sz w:val="20"/>
          <w:szCs w:val="20"/>
        </w:rPr>
        <w:t xml:space="preserve"> Además, serán sujetos disciplinables los particulares que presten servicios públicos, siempre que desempeñen funciones públic</w:t>
      </w:r>
      <w:r w:rsidR="0075544F" w:rsidRPr="00AB690B">
        <w:rPr>
          <w:rFonts w:ascii="Arial" w:eastAsia="Calibri" w:hAnsi="Arial" w:cs="Arial"/>
          <w:color w:val="000000" w:themeColor="text1"/>
          <w:sz w:val="20"/>
          <w:szCs w:val="20"/>
        </w:rPr>
        <w:t>as.</w:t>
      </w:r>
    </w:p>
    <w:p w14:paraId="7B9E399D" w14:textId="5987FC7F" w:rsidR="00AC591F" w:rsidRPr="00AB690B" w:rsidRDefault="00AC591F" w:rsidP="008F76EE">
      <w:pPr>
        <w:spacing w:line="276" w:lineRule="auto"/>
        <w:ind w:firstLine="708"/>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 xml:space="preserve">Frente a este punto la Corte Constitucional se pronunció en sentencia C-037 del 2003 de la siguiente manera: </w:t>
      </w:r>
    </w:p>
    <w:p w14:paraId="4E10FFA3" w14:textId="7D2BF870" w:rsidR="00AC591F" w:rsidRPr="00AB690B" w:rsidRDefault="00AC591F" w:rsidP="00CA3AE5">
      <w:pPr>
        <w:spacing w:line="276" w:lineRule="auto"/>
        <w:ind w:right="709"/>
        <w:jc w:val="both"/>
        <w:rPr>
          <w:rFonts w:ascii="Arial" w:eastAsia="Calibri" w:hAnsi="Arial" w:cs="Arial"/>
          <w:color w:val="000000" w:themeColor="text1"/>
          <w:sz w:val="20"/>
          <w:szCs w:val="20"/>
        </w:rPr>
      </w:pPr>
    </w:p>
    <w:p w14:paraId="78E440D0" w14:textId="33B3F141" w:rsidR="00AC591F" w:rsidRPr="00AB690B" w:rsidRDefault="00AC591F" w:rsidP="00D80A29">
      <w:pPr>
        <w:ind w:left="708" w:right="709"/>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De la evolución jurisprudencial que se ha destacado se desprende entonces que el criterio esencial para determinar si un particular puede ser sujeto o no del control disciplinario, lo constituye el hecho de que este cumpla o no funciones públicas. […] [S]i bien en un sentido amplio podría considerarse como función pública todo lo que atañe al Estado, cabe precisar que la Constitución distingue claramente los conceptos de función pública y de servicio público y les asigna contenidos y ámbitos normativos diferentes que impiden asimilar dichas nociones, lo que implica específicamente que no se pueda confundir el ejercicio de función pública, con la prestación de servicios públicos. […] El servicio público se manifiesta esencialmente en prestaciones a particulares. La función pública se manifiesta a través de otros mecanismos que requieren de las potestades públicas y que significan, en general, ejercicio de autoridad inherente del Estado […] [las cuales] se traducen generalmente en señalamiento de conductas, expedición de actos unilaterales y ejercicio de coerción.</w:t>
      </w:r>
      <w:r w:rsidR="00874106" w:rsidRPr="00AB690B">
        <w:rPr>
          <w:rStyle w:val="Refdenotaalpie"/>
          <w:rFonts w:ascii="Arial" w:eastAsia="Calibri" w:hAnsi="Arial" w:cs="Arial"/>
          <w:color w:val="000000" w:themeColor="text1"/>
          <w:sz w:val="20"/>
          <w:szCs w:val="20"/>
        </w:rPr>
        <w:footnoteReference w:id="16"/>
      </w:r>
    </w:p>
    <w:p w14:paraId="33147DBB" w14:textId="6487668B" w:rsidR="00AC591F" w:rsidRPr="00AB690B" w:rsidRDefault="00AC591F" w:rsidP="00CA3AE5">
      <w:pPr>
        <w:spacing w:line="276" w:lineRule="auto"/>
        <w:ind w:right="709"/>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 xml:space="preserve"> </w:t>
      </w:r>
    </w:p>
    <w:p w14:paraId="4A58D344" w14:textId="49920CDE" w:rsidR="00BA1EB7" w:rsidRPr="00AB690B" w:rsidRDefault="00AC591F" w:rsidP="008F76EE">
      <w:pPr>
        <w:spacing w:after="120" w:line="276" w:lineRule="auto"/>
        <w:ind w:firstLine="709"/>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 xml:space="preserve">En </w:t>
      </w:r>
      <w:r w:rsidR="00BA1EB7" w:rsidRPr="00AB690B">
        <w:rPr>
          <w:rFonts w:ascii="Arial" w:eastAsia="Calibri" w:hAnsi="Arial" w:cs="Arial"/>
          <w:color w:val="000000" w:themeColor="text1"/>
          <w:sz w:val="20"/>
          <w:szCs w:val="20"/>
        </w:rPr>
        <w:t xml:space="preserve">ese </w:t>
      </w:r>
      <w:r w:rsidRPr="00AB690B">
        <w:rPr>
          <w:rFonts w:ascii="Arial" w:eastAsia="Calibri" w:hAnsi="Arial" w:cs="Arial"/>
          <w:color w:val="000000" w:themeColor="text1"/>
          <w:sz w:val="20"/>
          <w:szCs w:val="20"/>
        </w:rPr>
        <w:t xml:space="preserve">sentido, solo cuando </w:t>
      </w:r>
      <w:r w:rsidR="00BA1EB7" w:rsidRPr="00AB690B">
        <w:rPr>
          <w:rFonts w:ascii="Arial" w:eastAsia="Calibri" w:hAnsi="Arial" w:cs="Arial"/>
          <w:color w:val="000000" w:themeColor="text1"/>
          <w:sz w:val="20"/>
          <w:szCs w:val="20"/>
        </w:rPr>
        <w:t xml:space="preserve">se trate de un contrato de interventoría o cuando </w:t>
      </w:r>
      <w:r w:rsidRPr="00AB690B">
        <w:rPr>
          <w:rFonts w:ascii="Arial" w:eastAsia="Calibri" w:hAnsi="Arial" w:cs="Arial"/>
          <w:color w:val="000000" w:themeColor="text1"/>
          <w:sz w:val="20"/>
          <w:szCs w:val="20"/>
        </w:rPr>
        <w:t>el contratista ejer</w:t>
      </w:r>
      <w:r w:rsidR="00BA1EB7" w:rsidRPr="00AB690B">
        <w:rPr>
          <w:rFonts w:ascii="Arial" w:eastAsia="Calibri" w:hAnsi="Arial" w:cs="Arial"/>
          <w:color w:val="000000" w:themeColor="text1"/>
          <w:sz w:val="20"/>
          <w:szCs w:val="20"/>
        </w:rPr>
        <w:t>za</w:t>
      </w:r>
      <w:r w:rsidRPr="00AB690B">
        <w:rPr>
          <w:rFonts w:ascii="Arial" w:eastAsia="Calibri" w:hAnsi="Arial" w:cs="Arial"/>
          <w:color w:val="000000" w:themeColor="text1"/>
          <w:sz w:val="20"/>
          <w:szCs w:val="20"/>
        </w:rPr>
        <w:t xml:space="preserve"> potestades inherentes al Estado</w:t>
      </w:r>
      <w:r w:rsidR="00BA1EB7" w:rsidRPr="00AB690B">
        <w:rPr>
          <w:rFonts w:ascii="Arial" w:eastAsia="Calibri" w:hAnsi="Arial" w:cs="Arial"/>
          <w:color w:val="000000" w:themeColor="text1"/>
          <w:sz w:val="20"/>
          <w:szCs w:val="20"/>
        </w:rPr>
        <w:t>,</w:t>
      </w:r>
      <w:r w:rsidRPr="00AB690B">
        <w:rPr>
          <w:rFonts w:ascii="Arial" w:eastAsia="Calibri" w:hAnsi="Arial" w:cs="Arial"/>
          <w:color w:val="000000" w:themeColor="text1"/>
          <w:sz w:val="20"/>
          <w:szCs w:val="20"/>
        </w:rPr>
        <w:t xml:space="preserve"> </w:t>
      </w:r>
      <w:r w:rsidR="00BA1EB7" w:rsidRPr="00AB690B">
        <w:rPr>
          <w:rFonts w:ascii="Arial" w:eastAsia="Calibri" w:hAnsi="Arial" w:cs="Arial"/>
          <w:color w:val="000000" w:themeColor="text1"/>
          <w:sz w:val="20"/>
          <w:szCs w:val="20"/>
        </w:rPr>
        <w:t xml:space="preserve">se debe dar aplicación </w:t>
      </w:r>
      <w:r w:rsidRPr="00AB690B">
        <w:rPr>
          <w:rFonts w:ascii="Arial" w:eastAsia="Calibri" w:hAnsi="Arial" w:cs="Arial"/>
          <w:color w:val="000000" w:themeColor="text1"/>
          <w:sz w:val="20"/>
          <w:szCs w:val="20"/>
        </w:rPr>
        <w:t>al régimen disciplinario.</w:t>
      </w:r>
      <w:r w:rsidR="00BA1EB7" w:rsidRPr="00AB690B">
        <w:rPr>
          <w:rFonts w:ascii="Arial" w:eastAsia="Calibri" w:hAnsi="Arial" w:cs="Arial"/>
          <w:color w:val="000000" w:themeColor="text1"/>
          <w:sz w:val="20"/>
          <w:szCs w:val="20"/>
        </w:rPr>
        <w:t xml:space="preserve"> Para la generalidad de los contratos estatales el artículo 52 de la Ley 80 de 1993 establece que los contratistas del Estado responderán civil y penalmente por sus acciones y omisiones. </w:t>
      </w:r>
    </w:p>
    <w:p w14:paraId="7613D493" w14:textId="1428D537" w:rsidR="00BA1EB7" w:rsidRPr="00AB690B" w:rsidRDefault="00BA1EB7" w:rsidP="008F76EE">
      <w:pPr>
        <w:spacing w:after="120" w:line="276" w:lineRule="auto"/>
        <w:ind w:firstLine="709"/>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Los contratistas</w:t>
      </w:r>
      <w:r w:rsidR="00CA3AE5" w:rsidRPr="00AB690B">
        <w:rPr>
          <w:rFonts w:ascii="Arial" w:eastAsia="Calibri" w:hAnsi="Arial" w:cs="Arial"/>
          <w:color w:val="000000" w:themeColor="text1"/>
          <w:sz w:val="20"/>
          <w:szCs w:val="20"/>
        </w:rPr>
        <w:t xml:space="preserve"> de prestación de servicios</w:t>
      </w:r>
      <w:r w:rsidRPr="00AB690B">
        <w:rPr>
          <w:rFonts w:ascii="Arial" w:eastAsia="Calibri" w:hAnsi="Arial" w:cs="Arial"/>
          <w:color w:val="000000" w:themeColor="text1"/>
          <w:sz w:val="20"/>
          <w:szCs w:val="20"/>
        </w:rPr>
        <w:t xml:space="preserve">, al no ser servidores públicos -por no encontrarse en una relación laboral con el Estado- no se les aplica </w:t>
      </w:r>
      <w:r w:rsidR="00874106" w:rsidRPr="00AB690B">
        <w:rPr>
          <w:rFonts w:ascii="Arial" w:eastAsia="Calibri" w:hAnsi="Arial" w:cs="Arial"/>
          <w:color w:val="000000" w:themeColor="text1"/>
          <w:sz w:val="20"/>
          <w:szCs w:val="20"/>
        </w:rPr>
        <w:t>la normativa disciplinaria, salvo los casos antes expuestos. De aquí que su relación contractual este regulada por las disposiciones contenidas en la Ley 80 de 1993 y afines.</w:t>
      </w:r>
    </w:p>
    <w:p w14:paraId="5C73C856" w14:textId="23C366D1" w:rsidR="00AF4914" w:rsidRPr="00AB690B" w:rsidRDefault="005750E5" w:rsidP="008F76EE">
      <w:pPr>
        <w:spacing w:after="120" w:line="276" w:lineRule="auto"/>
        <w:ind w:firstLine="709"/>
        <w:jc w:val="both"/>
        <w:rPr>
          <w:rFonts w:ascii="Arial" w:eastAsia="Calibri" w:hAnsi="Arial" w:cs="Arial"/>
          <w:sz w:val="20"/>
          <w:szCs w:val="20"/>
          <w:lang w:val="es-MX"/>
        </w:rPr>
      </w:pPr>
      <w:r w:rsidRPr="00AB690B">
        <w:rPr>
          <w:rFonts w:ascii="Arial" w:eastAsia="Calibri" w:hAnsi="Arial" w:cs="Arial"/>
          <w:color w:val="000000" w:themeColor="text1"/>
          <w:sz w:val="20"/>
          <w:szCs w:val="20"/>
        </w:rPr>
        <w:t xml:space="preserve">Ahora bien, </w:t>
      </w:r>
      <w:r w:rsidR="00393621" w:rsidRPr="00AB690B">
        <w:rPr>
          <w:rFonts w:ascii="Arial" w:eastAsia="Calibri" w:hAnsi="Arial" w:cs="Arial"/>
          <w:sz w:val="20"/>
          <w:szCs w:val="20"/>
          <w:lang w:val="es-MX"/>
        </w:rPr>
        <w:t xml:space="preserve">el artículo 8 de la Ley </w:t>
      </w:r>
      <w:r w:rsidR="00A41F26" w:rsidRPr="00AB690B">
        <w:rPr>
          <w:rFonts w:ascii="Arial" w:eastAsia="Calibri" w:hAnsi="Arial" w:cs="Arial"/>
          <w:sz w:val="20"/>
          <w:szCs w:val="20"/>
          <w:lang w:val="es-MX"/>
        </w:rPr>
        <w:t>8</w:t>
      </w:r>
      <w:r w:rsidR="00393621" w:rsidRPr="00AB690B">
        <w:rPr>
          <w:rFonts w:ascii="Arial" w:eastAsia="Calibri" w:hAnsi="Arial" w:cs="Arial"/>
          <w:sz w:val="20"/>
          <w:szCs w:val="20"/>
          <w:lang w:val="es-MX"/>
        </w:rPr>
        <w:t>0 de 1993 en su numeral 1, literal a, establece que serán inhábiles para celebrar contratos estatales las personas que ya se hallen previamente inhabilitadas para contratar según la Constitución y las leyes -</w:t>
      </w:r>
      <w:r w:rsidR="00E35F9F" w:rsidRPr="00AB690B">
        <w:rPr>
          <w:rFonts w:ascii="Arial" w:eastAsia="Calibri" w:hAnsi="Arial" w:cs="Arial"/>
          <w:sz w:val="20"/>
          <w:szCs w:val="20"/>
          <w:lang w:val="es-MX"/>
        </w:rPr>
        <w:t xml:space="preserve">entre ellas el </w:t>
      </w:r>
      <w:r w:rsidR="00393621" w:rsidRPr="00AB690B">
        <w:rPr>
          <w:rFonts w:ascii="Arial" w:eastAsia="Calibri" w:hAnsi="Arial" w:cs="Arial"/>
          <w:sz w:val="20"/>
          <w:szCs w:val="20"/>
          <w:lang w:val="es-MX"/>
        </w:rPr>
        <w:t>régimen</w:t>
      </w:r>
      <w:r w:rsidR="00E35F9F" w:rsidRPr="00AB690B">
        <w:rPr>
          <w:rFonts w:ascii="Arial" w:eastAsia="Calibri" w:hAnsi="Arial" w:cs="Arial"/>
          <w:sz w:val="20"/>
          <w:szCs w:val="20"/>
          <w:lang w:val="es-MX"/>
        </w:rPr>
        <w:t xml:space="preserve"> jurídico del Código General</w:t>
      </w:r>
      <w:r w:rsidR="00393621" w:rsidRPr="00AB690B">
        <w:rPr>
          <w:rFonts w:ascii="Arial" w:eastAsia="Calibri" w:hAnsi="Arial" w:cs="Arial"/>
          <w:sz w:val="20"/>
          <w:szCs w:val="20"/>
          <w:lang w:val="es-MX"/>
        </w:rPr>
        <w:t xml:space="preserve"> </w:t>
      </w:r>
      <w:r w:rsidR="00E35F9F" w:rsidRPr="00AB690B">
        <w:rPr>
          <w:rFonts w:ascii="Arial" w:eastAsia="Calibri" w:hAnsi="Arial" w:cs="Arial"/>
          <w:sz w:val="20"/>
          <w:szCs w:val="20"/>
          <w:lang w:val="es-MX"/>
        </w:rPr>
        <w:t>D</w:t>
      </w:r>
      <w:r w:rsidR="00393621" w:rsidRPr="00AB690B">
        <w:rPr>
          <w:rFonts w:ascii="Arial" w:eastAsia="Calibri" w:hAnsi="Arial" w:cs="Arial"/>
          <w:sz w:val="20"/>
          <w:szCs w:val="20"/>
          <w:lang w:val="es-MX"/>
        </w:rPr>
        <w:t xml:space="preserve">isciplinario-. De manera que la aplicabilidad del régimen jurídico de inhabilidades e incompatibilidades consagrado en el </w:t>
      </w:r>
      <w:r w:rsidR="00393621" w:rsidRPr="00AB690B">
        <w:rPr>
          <w:rFonts w:ascii="Arial" w:eastAsia="Calibri" w:hAnsi="Arial" w:cs="Arial"/>
          <w:color w:val="000000" w:themeColor="text1"/>
          <w:sz w:val="20"/>
          <w:szCs w:val="20"/>
          <w:lang w:val="es-ES_tradnl"/>
        </w:rPr>
        <w:t>Estatuto General de Contratación de la Administración Pública</w:t>
      </w:r>
      <w:r w:rsidR="00393621" w:rsidRPr="00AB690B">
        <w:rPr>
          <w:rFonts w:ascii="Arial" w:eastAsia="Calibri" w:hAnsi="Arial" w:cs="Arial"/>
          <w:sz w:val="20"/>
          <w:szCs w:val="20"/>
          <w:lang w:val="es-MX"/>
        </w:rPr>
        <w:t xml:space="preserve"> no excluye en sentido alguno </w:t>
      </w:r>
      <w:r w:rsidR="00393621" w:rsidRPr="00AB690B">
        <w:rPr>
          <w:rFonts w:ascii="Arial" w:eastAsia="Calibri" w:hAnsi="Arial" w:cs="Arial"/>
          <w:color w:val="000000" w:themeColor="text1"/>
          <w:sz w:val="20"/>
          <w:szCs w:val="20"/>
        </w:rPr>
        <w:t xml:space="preserve">a responsabilidad disciplinaria de los sujetos que incurran en las causales establecidas en el </w:t>
      </w:r>
      <w:r w:rsidR="00393621" w:rsidRPr="00AB690B">
        <w:rPr>
          <w:rFonts w:ascii="Arial" w:eastAsia="Calibri" w:hAnsi="Arial" w:cs="Arial"/>
          <w:sz w:val="20"/>
          <w:szCs w:val="20"/>
          <w:lang w:val="es-MX"/>
        </w:rPr>
        <w:t xml:space="preserve">artículo 56 de la Ley 1952 de 2019. Los </w:t>
      </w:r>
      <w:r w:rsidR="00393621" w:rsidRPr="00AB690B">
        <w:rPr>
          <w:rFonts w:ascii="Arial" w:eastAsia="Calibri" w:hAnsi="Arial" w:cs="Arial"/>
          <w:color w:val="000000" w:themeColor="text1"/>
          <w:sz w:val="20"/>
          <w:szCs w:val="20"/>
        </w:rPr>
        <w:t xml:space="preserve">contratistas de prestación de servicios que al mismo tiempo tengan la calidad de </w:t>
      </w:r>
      <w:proofErr w:type="gramStart"/>
      <w:r w:rsidR="00393621" w:rsidRPr="00AB690B">
        <w:rPr>
          <w:rFonts w:ascii="Arial" w:eastAsia="Calibri" w:hAnsi="Arial" w:cs="Arial"/>
          <w:color w:val="000000" w:themeColor="text1"/>
          <w:sz w:val="20"/>
          <w:szCs w:val="20"/>
        </w:rPr>
        <w:t>ex servidores</w:t>
      </w:r>
      <w:proofErr w:type="gramEnd"/>
      <w:r w:rsidR="00393621" w:rsidRPr="00AB690B">
        <w:rPr>
          <w:rFonts w:ascii="Arial" w:eastAsia="Calibri" w:hAnsi="Arial" w:cs="Arial"/>
          <w:color w:val="000000" w:themeColor="text1"/>
          <w:sz w:val="20"/>
          <w:szCs w:val="20"/>
        </w:rPr>
        <w:t xml:space="preserve"> públicos y</w:t>
      </w:r>
      <w:r w:rsidRPr="00AB690B">
        <w:rPr>
          <w:rFonts w:ascii="Arial" w:eastAsia="Calibri" w:hAnsi="Arial" w:cs="Arial"/>
          <w:sz w:val="20"/>
          <w:szCs w:val="20"/>
          <w:lang w:val="es-MX"/>
        </w:rPr>
        <w:t xml:space="preserve"> brinde</w:t>
      </w:r>
      <w:r w:rsidR="00393621" w:rsidRPr="00AB690B">
        <w:rPr>
          <w:rFonts w:ascii="Arial" w:eastAsia="Calibri" w:hAnsi="Arial" w:cs="Arial"/>
          <w:sz w:val="20"/>
          <w:szCs w:val="20"/>
          <w:lang w:val="es-MX"/>
        </w:rPr>
        <w:t>n</w:t>
      </w:r>
      <w:r w:rsidRPr="00AB690B">
        <w:rPr>
          <w:rFonts w:ascii="Arial" w:eastAsia="Calibri" w:hAnsi="Arial" w:cs="Arial"/>
          <w:sz w:val="20"/>
          <w:szCs w:val="20"/>
          <w:lang w:val="es-MX"/>
        </w:rPr>
        <w:t xml:space="preserve"> asistencia, representación o asesoría en asuntos relacionados con las funciones propias del cargo</w:t>
      </w:r>
      <w:r w:rsidR="00AF4914" w:rsidRPr="00AB690B">
        <w:rPr>
          <w:rFonts w:ascii="Arial" w:eastAsia="Calibri" w:hAnsi="Arial" w:cs="Arial"/>
          <w:sz w:val="20"/>
          <w:szCs w:val="20"/>
          <w:lang w:val="es-MX"/>
        </w:rPr>
        <w:t xml:space="preserve"> que </w:t>
      </w:r>
      <w:r w:rsidR="00AF4914" w:rsidRPr="00AB690B">
        <w:rPr>
          <w:rFonts w:ascii="Arial" w:eastAsia="Calibri" w:hAnsi="Arial" w:cs="Arial"/>
          <w:sz w:val="20"/>
          <w:szCs w:val="20"/>
          <w:lang w:val="es-MX"/>
        </w:rPr>
        <w:lastRenderedPageBreak/>
        <w:t>desempeñ</w:t>
      </w:r>
      <w:r w:rsidR="00A41F26" w:rsidRPr="00AB690B">
        <w:rPr>
          <w:rFonts w:ascii="Arial" w:eastAsia="Calibri" w:hAnsi="Arial" w:cs="Arial"/>
          <w:sz w:val="20"/>
          <w:szCs w:val="20"/>
          <w:lang w:val="es-MX"/>
        </w:rPr>
        <w:t>an</w:t>
      </w:r>
      <w:r w:rsidRPr="00AB690B">
        <w:rPr>
          <w:rFonts w:ascii="Arial" w:eastAsia="Calibri" w:hAnsi="Arial" w:cs="Arial"/>
          <w:sz w:val="20"/>
          <w:szCs w:val="20"/>
          <w:lang w:val="es-MX"/>
        </w:rPr>
        <w:t xml:space="preserve">, </w:t>
      </w:r>
      <w:r w:rsidR="00393621" w:rsidRPr="00AB690B">
        <w:rPr>
          <w:rFonts w:ascii="Arial" w:eastAsia="Calibri" w:hAnsi="Arial" w:cs="Arial"/>
          <w:sz w:val="20"/>
          <w:szCs w:val="20"/>
          <w:lang w:val="es-MX"/>
        </w:rPr>
        <w:t>serán entonces sujetos disciplinables conforme lo dispone el numeral 4 del artículo 56 de la Ley 1952 de 2019.</w:t>
      </w:r>
      <w:r w:rsidR="0050715F" w:rsidRPr="00AB690B">
        <w:rPr>
          <w:rFonts w:ascii="Arial" w:eastAsia="Calibri" w:hAnsi="Arial" w:cs="Arial"/>
          <w:sz w:val="20"/>
          <w:szCs w:val="20"/>
          <w:lang w:val="es-MX"/>
        </w:rPr>
        <w:t xml:space="preserve"> </w:t>
      </w:r>
    </w:p>
    <w:p w14:paraId="7F02F824" w14:textId="08DA7A20" w:rsidR="0050715F" w:rsidRPr="00AB690B" w:rsidRDefault="005D6EAF" w:rsidP="008F76EE">
      <w:pPr>
        <w:spacing w:after="120" w:line="276" w:lineRule="auto"/>
        <w:ind w:firstLine="709"/>
        <w:jc w:val="both"/>
        <w:rPr>
          <w:rFonts w:ascii="Arial" w:eastAsia="Calibri" w:hAnsi="Arial" w:cs="Arial"/>
          <w:sz w:val="20"/>
          <w:szCs w:val="20"/>
          <w:lang w:val="es-MX"/>
        </w:rPr>
      </w:pPr>
      <w:r w:rsidRPr="00AB690B">
        <w:rPr>
          <w:rFonts w:ascii="Arial" w:eastAsia="Calibri" w:hAnsi="Arial" w:cs="Arial"/>
          <w:sz w:val="20"/>
          <w:szCs w:val="20"/>
          <w:lang w:val="es-MX"/>
        </w:rPr>
        <w:t xml:space="preserve">Es por ello </w:t>
      </w:r>
      <w:r w:rsidR="00AF4914" w:rsidRPr="00AB690B">
        <w:rPr>
          <w:rFonts w:ascii="Arial" w:eastAsia="Calibri" w:hAnsi="Arial" w:cs="Arial"/>
          <w:sz w:val="20"/>
          <w:szCs w:val="20"/>
          <w:lang w:val="es-MX"/>
        </w:rPr>
        <w:t>que el artículo 4 de la Ley 1474 de 2011 adicionó una causal adicional al artículo 8 de la Ley 80 de 1993 para que</w:t>
      </w:r>
      <w:r w:rsidR="00424979" w:rsidRPr="00AB690B">
        <w:rPr>
          <w:rFonts w:ascii="Arial" w:eastAsia="Calibri" w:hAnsi="Arial" w:cs="Arial"/>
          <w:sz w:val="20"/>
          <w:szCs w:val="20"/>
          <w:lang w:val="es-MX"/>
        </w:rPr>
        <w:t xml:space="preserve"> </w:t>
      </w:r>
      <w:r w:rsidR="0060640E" w:rsidRPr="00AB690B">
        <w:rPr>
          <w:rFonts w:ascii="Arial" w:eastAsia="Calibri" w:hAnsi="Arial" w:cs="Arial"/>
          <w:sz w:val="20"/>
          <w:szCs w:val="20"/>
          <w:lang w:val="es-MX"/>
        </w:rPr>
        <w:t>–</w:t>
      </w:r>
      <w:r w:rsidR="00424979" w:rsidRPr="00AB690B">
        <w:rPr>
          <w:rFonts w:ascii="Arial" w:eastAsia="Calibri" w:hAnsi="Arial" w:cs="Arial"/>
          <w:sz w:val="20"/>
          <w:szCs w:val="20"/>
          <w:lang w:val="es-MX"/>
        </w:rPr>
        <w:t>incluso desde este régimen de inhabilidades e incompatibilidades en materia de contratación estatal</w:t>
      </w:r>
      <w:r w:rsidR="0060640E" w:rsidRPr="00AB690B">
        <w:rPr>
          <w:rFonts w:ascii="Arial" w:eastAsia="Calibri" w:hAnsi="Arial" w:cs="Arial"/>
          <w:sz w:val="20"/>
          <w:szCs w:val="20"/>
          <w:lang w:val="es-MX"/>
        </w:rPr>
        <w:t>–</w:t>
      </w:r>
      <w:r w:rsidR="00AF4914" w:rsidRPr="00AB690B">
        <w:rPr>
          <w:rFonts w:ascii="Arial" w:eastAsia="Calibri" w:hAnsi="Arial" w:cs="Arial"/>
          <w:sz w:val="20"/>
          <w:szCs w:val="20"/>
          <w:lang w:val="es-MX"/>
        </w:rPr>
        <w:t xml:space="preserve"> </w:t>
      </w:r>
      <w:r w:rsidR="00424979" w:rsidRPr="00AB690B">
        <w:rPr>
          <w:rFonts w:ascii="Arial" w:eastAsia="Calibri" w:hAnsi="Arial" w:cs="Arial"/>
          <w:sz w:val="20"/>
          <w:szCs w:val="20"/>
          <w:lang w:val="es-MX"/>
        </w:rPr>
        <w:t>tampoco sea posible</w:t>
      </w:r>
      <w:r w:rsidR="00AF4914" w:rsidRPr="00AB690B">
        <w:rPr>
          <w:rFonts w:ascii="Arial" w:eastAsia="Calibri" w:hAnsi="Arial" w:cs="Arial"/>
          <w:sz w:val="20"/>
          <w:szCs w:val="20"/>
          <w:lang w:val="es-MX"/>
        </w:rPr>
        <w:t xml:space="preserve"> </w:t>
      </w:r>
      <w:r w:rsidR="00424979" w:rsidRPr="00AB690B">
        <w:rPr>
          <w:rFonts w:ascii="Arial" w:eastAsia="Calibri" w:hAnsi="Arial" w:cs="Arial"/>
          <w:sz w:val="20"/>
          <w:szCs w:val="20"/>
          <w:lang w:val="es-MX"/>
        </w:rPr>
        <w:t xml:space="preserve">que </w:t>
      </w:r>
      <w:r w:rsidR="00AF4914" w:rsidRPr="00AB690B">
        <w:rPr>
          <w:rFonts w:ascii="Arial" w:eastAsia="Calibri" w:hAnsi="Arial" w:cs="Arial"/>
          <w:sz w:val="20"/>
          <w:szCs w:val="20"/>
          <w:lang w:val="es-MX"/>
        </w:rPr>
        <w:t>los ex empleados públicos del nivel directivo y sus familiares en primer grado de consanguinidad, primero de afinidad, o primero civil</w:t>
      </w:r>
      <w:r w:rsidR="00424979" w:rsidRPr="00AB690B">
        <w:rPr>
          <w:rFonts w:ascii="Arial" w:eastAsia="Calibri" w:hAnsi="Arial" w:cs="Arial"/>
          <w:sz w:val="20"/>
          <w:szCs w:val="20"/>
          <w:lang w:val="es-MX"/>
        </w:rPr>
        <w:t xml:space="preserve"> puedan contratar con el estado en asuntos relacionados con el sector al cual prestaron sus servicios durante los dos (2) años siguientes al retiro del ejercicio del cargo público</w:t>
      </w:r>
      <w:r w:rsidR="0060640E" w:rsidRPr="00AB690B">
        <w:rPr>
          <w:rStyle w:val="Refdenotaalpie"/>
          <w:rFonts w:ascii="Arial" w:eastAsia="Calibri" w:hAnsi="Arial" w:cs="Arial"/>
          <w:sz w:val="20"/>
          <w:szCs w:val="20"/>
          <w:lang w:val="es-MX"/>
        </w:rPr>
        <w:footnoteReference w:id="17"/>
      </w:r>
      <w:r w:rsidR="00AF4914" w:rsidRPr="00AB690B">
        <w:rPr>
          <w:rFonts w:ascii="Arial" w:eastAsia="Calibri" w:hAnsi="Arial" w:cs="Arial"/>
          <w:sz w:val="20"/>
          <w:szCs w:val="20"/>
          <w:lang w:val="es-MX"/>
        </w:rPr>
        <w:t xml:space="preserve">. </w:t>
      </w:r>
    </w:p>
    <w:p w14:paraId="3F0747F0" w14:textId="493BB6C2" w:rsidR="00424979" w:rsidRPr="00AB690B" w:rsidRDefault="00424979" w:rsidP="0050715F">
      <w:pPr>
        <w:spacing w:line="276" w:lineRule="auto"/>
        <w:ind w:firstLine="708"/>
        <w:jc w:val="both"/>
        <w:rPr>
          <w:rFonts w:ascii="Arial" w:eastAsia="Calibri" w:hAnsi="Arial" w:cs="Arial"/>
          <w:sz w:val="20"/>
          <w:szCs w:val="20"/>
          <w:lang w:val="es-MX"/>
        </w:rPr>
      </w:pPr>
      <w:r w:rsidRPr="00AB690B">
        <w:rPr>
          <w:rFonts w:ascii="Arial" w:eastAsia="Calibri" w:hAnsi="Arial" w:cs="Arial"/>
          <w:sz w:val="20"/>
          <w:szCs w:val="20"/>
          <w:lang w:val="es-MX"/>
        </w:rPr>
        <w:t>A juicio de la Corte Constitucional</w:t>
      </w:r>
      <w:r w:rsidR="005D6EAF" w:rsidRPr="00AB690B">
        <w:rPr>
          <w:rStyle w:val="Refdenotaalpie"/>
          <w:rFonts w:ascii="Arial" w:eastAsia="Calibri" w:hAnsi="Arial" w:cs="Arial"/>
          <w:sz w:val="20"/>
          <w:szCs w:val="20"/>
          <w:lang w:val="es-MX"/>
        </w:rPr>
        <w:footnoteReference w:id="18"/>
      </w:r>
      <w:r w:rsidRPr="00AB690B">
        <w:rPr>
          <w:rFonts w:ascii="Arial" w:eastAsia="Calibri" w:hAnsi="Arial" w:cs="Arial"/>
          <w:sz w:val="20"/>
          <w:szCs w:val="20"/>
          <w:lang w:val="es-MX"/>
        </w:rPr>
        <w:t xml:space="preserve">, la validez constitucional de estas </w:t>
      </w:r>
      <w:r w:rsidR="0060640E" w:rsidRPr="00AB690B">
        <w:rPr>
          <w:rFonts w:ascii="Arial" w:eastAsia="Calibri" w:hAnsi="Arial" w:cs="Arial"/>
          <w:sz w:val="20"/>
          <w:szCs w:val="20"/>
          <w:lang w:val="es-MX"/>
        </w:rPr>
        <w:t>disposiciones</w:t>
      </w:r>
      <w:r w:rsidRPr="00AB690B">
        <w:rPr>
          <w:rFonts w:ascii="Arial" w:eastAsia="Calibri" w:hAnsi="Arial" w:cs="Arial"/>
          <w:sz w:val="20"/>
          <w:szCs w:val="20"/>
          <w:lang w:val="es-MX"/>
        </w:rPr>
        <w:t xml:space="preserve"> se sustenta en la necesidad de evitar lesiones a los principios de moralidad, convivencia pacífica, igualdad y transparencia en la función administrativa, y de contera garantizar la prevalencia del interés general frente a los intereses de los particulares de quienes están o han estado al servicio del Estado.</w:t>
      </w:r>
    </w:p>
    <w:p w14:paraId="37D8302E" w14:textId="70A7AAE8" w:rsidR="0043584B" w:rsidRPr="00AB690B" w:rsidRDefault="0050715F" w:rsidP="00CA3AE5">
      <w:pPr>
        <w:jc w:val="both"/>
        <w:rPr>
          <w:rFonts w:ascii="Arial" w:eastAsia="Calibri" w:hAnsi="Arial" w:cs="Arial"/>
          <w:b/>
          <w:bCs/>
          <w:color w:val="000000" w:themeColor="text1"/>
          <w:sz w:val="20"/>
          <w:szCs w:val="20"/>
          <w:lang w:val="es-ES_tradnl"/>
        </w:rPr>
      </w:pPr>
      <w:r w:rsidRPr="00AB690B">
        <w:rPr>
          <w:rFonts w:ascii="Arial" w:eastAsia="Calibri" w:hAnsi="Arial" w:cs="Arial"/>
          <w:sz w:val="20"/>
          <w:szCs w:val="20"/>
          <w:lang w:val="es-MX"/>
        </w:rPr>
        <w:t xml:space="preserve"> </w:t>
      </w:r>
    </w:p>
    <w:p w14:paraId="7BBD1359" w14:textId="77777777" w:rsidR="0043584B" w:rsidRPr="00AB690B" w:rsidRDefault="0043584B" w:rsidP="00B43C80">
      <w:pPr>
        <w:jc w:val="both"/>
        <w:rPr>
          <w:rFonts w:ascii="Arial" w:eastAsia="Calibri" w:hAnsi="Arial" w:cs="Arial"/>
          <w:b/>
          <w:bCs/>
          <w:color w:val="000000" w:themeColor="text1"/>
          <w:sz w:val="20"/>
          <w:szCs w:val="20"/>
          <w:lang w:val="es-ES_tradnl"/>
        </w:rPr>
      </w:pPr>
      <w:r w:rsidRPr="00AB690B">
        <w:rPr>
          <w:rFonts w:ascii="Arial" w:eastAsia="Calibri" w:hAnsi="Arial" w:cs="Arial"/>
          <w:b/>
          <w:bCs/>
          <w:color w:val="000000" w:themeColor="text1"/>
          <w:sz w:val="20"/>
          <w:szCs w:val="20"/>
          <w:lang w:val="es-ES_tradnl"/>
        </w:rPr>
        <w:t>3. Respuesta</w:t>
      </w:r>
    </w:p>
    <w:p w14:paraId="1F9C37D8" w14:textId="77777777" w:rsidR="0043584B" w:rsidRPr="00AB690B" w:rsidRDefault="0043584B" w:rsidP="00CA3AE5">
      <w:pPr>
        <w:ind w:firstLine="708"/>
        <w:jc w:val="both"/>
        <w:rPr>
          <w:rFonts w:ascii="Arial" w:eastAsia="Calibri" w:hAnsi="Arial" w:cs="Arial"/>
          <w:b/>
          <w:bCs/>
          <w:color w:val="000000" w:themeColor="text1"/>
          <w:sz w:val="20"/>
          <w:szCs w:val="20"/>
          <w:lang w:val="es-ES_tradnl"/>
        </w:rPr>
      </w:pPr>
    </w:p>
    <w:p w14:paraId="50DCBB42" w14:textId="77777777" w:rsidR="00874106" w:rsidRPr="00AB690B" w:rsidRDefault="00874106" w:rsidP="00CA3AE5">
      <w:pPr>
        <w:ind w:left="708" w:right="709"/>
        <w:jc w:val="both"/>
        <w:rPr>
          <w:rFonts w:ascii="Arial" w:eastAsia="Calibri" w:hAnsi="Arial" w:cs="Arial"/>
          <w:sz w:val="20"/>
          <w:szCs w:val="20"/>
          <w:lang w:val="es-MX"/>
        </w:rPr>
      </w:pPr>
      <w:r w:rsidRPr="00AB690B">
        <w:rPr>
          <w:rFonts w:ascii="Arial" w:eastAsia="Calibri" w:hAnsi="Arial" w:cs="Arial"/>
          <w:sz w:val="20"/>
          <w:szCs w:val="20"/>
          <w:lang w:val="es-MX"/>
        </w:rPr>
        <w:t xml:space="preserve">«¿Las inhabilidades de que tratan el artículo 3 de la Ley 1474 de 2011 (que modificó el </w:t>
      </w:r>
      <w:proofErr w:type="spellStart"/>
      <w:r w:rsidRPr="00AB690B">
        <w:rPr>
          <w:rFonts w:ascii="Arial" w:eastAsia="Calibri" w:hAnsi="Arial" w:cs="Arial"/>
          <w:sz w:val="20"/>
          <w:szCs w:val="20"/>
          <w:lang w:val="es-MX"/>
        </w:rPr>
        <w:t>num</w:t>
      </w:r>
      <w:proofErr w:type="spellEnd"/>
      <w:r w:rsidRPr="00AB690B">
        <w:rPr>
          <w:rFonts w:ascii="Arial" w:eastAsia="Calibri" w:hAnsi="Arial" w:cs="Arial"/>
          <w:sz w:val="20"/>
          <w:szCs w:val="20"/>
          <w:lang w:val="es-MX"/>
        </w:rPr>
        <w:t xml:space="preserve">. 22 del art. 35 de la Ley 734 de 2002), y el numeral 4 del artículo 56 de la Ley 1952 de 2019 aplican para contratistas?».  </w:t>
      </w:r>
    </w:p>
    <w:p w14:paraId="1BD711C2" w14:textId="77777777" w:rsidR="0043584B" w:rsidRPr="00AB690B" w:rsidRDefault="0043584B" w:rsidP="00CA3AE5">
      <w:pPr>
        <w:ind w:firstLine="708"/>
        <w:jc w:val="both"/>
        <w:rPr>
          <w:rFonts w:ascii="Arial" w:eastAsia="Calibri" w:hAnsi="Arial" w:cs="Arial"/>
          <w:b/>
          <w:bCs/>
          <w:color w:val="000000" w:themeColor="text1"/>
          <w:sz w:val="20"/>
          <w:szCs w:val="20"/>
          <w:lang w:val="es-MX"/>
        </w:rPr>
      </w:pPr>
    </w:p>
    <w:p w14:paraId="639AB680" w14:textId="7B9F4AC3" w:rsidR="00CA3AE5" w:rsidRPr="00AB690B" w:rsidRDefault="00157AB6" w:rsidP="008F76EE">
      <w:pPr>
        <w:spacing w:after="120" w:line="276" w:lineRule="auto"/>
        <w:jc w:val="both"/>
        <w:rPr>
          <w:rFonts w:ascii="Arial" w:eastAsia="Calibri" w:hAnsi="Arial" w:cs="Arial"/>
          <w:color w:val="000000" w:themeColor="text1"/>
          <w:sz w:val="20"/>
          <w:szCs w:val="20"/>
        </w:rPr>
      </w:pPr>
      <w:r w:rsidRPr="00AB690B">
        <w:rPr>
          <w:rFonts w:ascii="Arial" w:eastAsia="Calibri" w:hAnsi="Arial" w:cs="Arial"/>
          <w:color w:val="000000" w:themeColor="text1"/>
          <w:sz w:val="20"/>
          <w:szCs w:val="20"/>
        </w:rPr>
        <w:t>Conforme a lo expuesto, las disposiciones indicadas hacen parte de</w:t>
      </w:r>
      <w:r w:rsidR="00874106" w:rsidRPr="00AB690B">
        <w:rPr>
          <w:rFonts w:ascii="Arial" w:eastAsia="Calibri" w:hAnsi="Arial" w:cs="Arial"/>
          <w:color w:val="000000" w:themeColor="text1"/>
          <w:sz w:val="20"/>
          <w:szCs w:val="20"/>
        </w:rPr>
        <w:t>l régimen de control disciplinario</w:t>
      </w:r>
      <w:r w:rsidRPr="00AB690B">
        <w:rPr>
          <w:rFonts w:ascii="Arial" w:eastAsia="Calibri" w:hAnsi="Arial" w:cs="Arial"/>
          <w:color w:val="000000" w:themeColor="text1"/>
          <w:sz w:val="20"/>
          <w:szCs w:val="20"/>
        </w:rPr>
        <w:t>, el cual</w:t>
      </w:r>
      <w:r w:rsidR="00874106" w:rsidRPr="00AB690B">
        <w:rPr>
          <w:rFonts w:ascii="Arial" w:eastAsia="Calibri" w:hAnsi="Arial" w:cs="Arial"/>
          <w:color w:val="000000" w:themeColor="text1"/>
          <w:sz w:val="20"/>
          <w:szCs w:val="20"/>
        </w:rPr>
        <w:t xml:space="preserve"> recae</w:t>
      </w:r>
      <w:r w:rsidRPr="00AB690B">
        <w:rPr>
          <w:rFonts w:ascii="Arial" w:eastAsia="Calibri" w:hAnsi="Arial" w:cs="Arial"/>
          <w:color w:val="000000" w:themeColor="text1"/>
          <w:sz w:val="20"/>
          <w:szCs w:val="20"/>
        </w:rPr>
        <w:t>,</w:t>
      </w:r>
      <w:r w:rsidR="00CA3AE5" w:rsidRPr="00AB690B">
        <w:rPr>
          <w:rFonts w:ascii="Arial" w:eastAsia="Calibri" w:hAnsi="Arial" w:cs="Arial"/>
          <w:color w:val="000000" w:themeColor="text1"/>
          <w:sz w:val="20"/>
          <w:szCs w:val="20"/>
        </w:rPr>
        <w:t xml:space="preserve"> por regla general</w:t>
      </w:r>
      <w:r w:rsidRPr="00AB690B">
        <w:rPr>
          <w:rFonts w:ascii="Arial" w:eastAsia="Calibri" w:hAnsi="Arial" w:cs="Arial"/>
          <w:color w:val="000000" w:themeColor="text1"/>
          <w:sz w:val="20"/>
          <w:szCs w:val="20"/>
        </w:rPr>
        <w:t>,</w:t>
      </w:r>
      <w:r w:rsidR="00874106" w:rsidRPr="00AB690B">
        <w:rPr>
          <w:rFonts w:ascii="Arial" w:eastAsia="Calibri" w:hAnsi="Arial" w:cs="Arial"/>
          <w:color w:val="000000" w:themeColor="text1"/>
          <w:sz w:val="20"/>
          <w:szCs w:val="20"/>
        </w:rPr>
        <w:t xml:space="preserve"> sobre los servidores públicos y</w:t>
      </w:r>
      <w:r w:rsidR="00CA3AE5" w:rsidRPr="00AB690B">
        <w:rPr>
          <w:rFonts w:ascii="Arial" w:eastAsia="Calibri" w:hAnsi="Arial" w:cs="Arial"/>
          <w:color w:val="000000" w:themeColor="text1"/>
          <w:sz w:val="20"/>
          <w:szCs w:val="20"/>
        </w:rPr>
        <w:t>, excepcionalmente, sobre contratistas del Estado siempre que ejerzan</w:t>
      </w:r>
      <w:r w:rsidR="00874106" w:rsidRPr="00AB690B">
        <w:rPr>
          <w:rFonts w:ascii="Arial" w:eastAsia="Calibri" w:hAnsi="Arial" w:cs="Arial"/>
          <w:color w:val="000000" w:themeColor="text1"/>
          <w:sz w:val="20"/>
          <w:szCs w:val="20"/>
        </w:rPr>
        <w:t xml:space="preserve"> funciones públicas o labores de interventoría</w:t>
      </w:r>
      <w:r w:rsidR="00CA3AE5" w:rsidRPr="00AB690B">
        <w:rPr>
          <w:rFonts w:ascii="Arial" w:eastAsia="Calibri" w:hAnsi="Arial" w:cs="Arial"/>
          <w:color w:val="000000" w:themeColor="text1"/>
          <w:sz w:val="20"/>
          <w:szCs w:val="20"/>
        </w:rPr>
        <w:t xml:space="preserve">, conforme lo establecen los artículos 25 y 70 de la </w:t>
      </w:r>
      <w:r w:rsidR="005D6EAF" w:rsidRPr="00AB690B">
        <w:rPr>
          <w:rFonts w:ascii="Arial" w:eastAsia="Calibri" w:hAnsi="Arial" w:cs="Arial"/>
          <w:sz w:val="20"/>
          <w:szCs w:val="20"/>
          <w:lang w:val="es-MX"/>
        </w:rPr>
        <w:t>Ley 1952 de 2019</w:t>
      </w:r>
      <w:r w:rsidR="00874106" w:rsidRPr="00AB690B">
        <w:rPr>
          <w:rFonts w:ascii="Arial" w:eastAsia="Calibri" w:hAnsi="Arial" w:cs="Arial"/>
          <w:color w:val="000000" w:themeColor="text1"/>
          <w:sz w:val="20"/>
          <w:szCs w:val="20"/>
        </w:rPr>
        <w:t>.</w:t>
      </w:r>
      <w:r w:rsidR="00CA3AE5" w:rsidRPr="00AB690B">
        <w:rPr>
          <w:rFonts w:ascii="Arial" w:eastAsia="Calibri" w:hAnsi="Arial" w:cs="Arial"/>
          <w:color w:val="000000" w:themeColor="text1"/>
          <w:sz w:val="20"/>
          <w:szCs w:val="20"/>
        </w:rPr>
        <w:t xml:space="preserve"> Los contratistas de prestación de servicios, al no ser servidores públicos </w:t>
      </w:r>
      <w:r w:rsidRPr="00AB690B">
        <w:rPr>
          <w:rFonts w:ascii="Arial" w:eastAsia="Calibri" w:hAnsi="Arial" w:cs="Arial"/>
          <w:color w:val="000000" w:themeColor="text1"/>
          <w:sz w:val="20"/>
          <w:szCs w:val="20"/>
        </w:rPr>
        <w:t>–</w:t>
      </w:r>
      <w:r w:rsidR="00CA3AE5" w:rsidRPr="00AB690B">
        <w:rPr>
          <w:rFonts w:ascii="Arial" w:eastAsia="Calibri" w:hAnsi="Arial" w:cs="Arial"/>
          <w:color w:val="000000" w:themeColor="text1"/>
          <w:sz w:val="20"/>
          <w:szCs w:val="20"/>
        </w:rPr>
        <w:t>por no encontrarse en una relación laboral con el Estado</w:t>
      </w:r>
      <w:r w:rsidRPr="00AB690B">
        <w:rPr>
          <w:rFonts w:ascii="Arial" w:eastAsia="Calibri" w:hAnsi="Arial" w:cs="Arial"/>
          <w:color w:val="000000" w:themeColor="text1"/>
          <w:sz w:val="20"/>
          <w:szCs w:val="20"/>
        </w:rPr>
        <w:t>–</w:t>
      </w:r>
      <w:r w:rsidR="00CA3AE5" w:rsidRPr="00AB690B">
        <w:rPr>
          <w:rFonts w:ascii="Arial" w:eastAsia="Calibri" w:hAnsi="Arial" w:cs="Arial"/>
          <w:color w:val="000000" w:themeColor="text1"/>
          <w:sz w:val="20"/>
          <w:szCs w:val="20"/>
        </w:rPr>
        <w:t>, no se les aplica la normativa disciplinaria, salvo los casos mencionados, sino las disposiciones de la Ley 80 de 1993 y afines.</w:t>
      </w:r>
    </w:p>
    <w:p w14:paraId="56DF4241" w14:textId="7302EAC9" w:rsidR="00236E9F" w:rsidRPr="00AB690B" w:rsidRDefault="00236E9F" w:rsidP="00157AB6">
      <w:pPr>
        <w:spacing w:line="276" w:lineRule="auto"/>
        <w:ind w:firstLine="708"/>
        <w:jc w:val="both"/>
        <w:rPr>
          <w:rFonts w:ascii="Arial" w:eastAsia="Calibri" w:hAnsi="Arial" w:cs="Arial"/>
          <w:sz w:val="20"/>
          <w:szCs w:val="20"/>
          <w:lang w:val="es-MX"/>
        </w:rPr>
      </w:pPr>
      <w:r w:rsidRPr="00AB690B">
        <w:rPr>
          <w:rFonts w:ascii="Arial" w:eastAsia="Calibri" w:hAnsi="Arial" w:cs="Arial"/>
          <w:color w:val="000000" w:themeColor="text1"/>
          <w:sz w:val="20"/>
          <w:szCs w:val="20"/>
        </w:rPr>
        <w:t xml:space="preserve">Ahora bien, </w:t>
      </w:r>
      <w:r w:rsidRPr="00AB690B">
        <w:rPr>
          <w:rFonts w:ascii="Arial" w:eastAsia="Calibri" w:hAnsi="Arial" w:cs="Arial"/>
          <w:sz w:val="20"/>
          <w:szCs w:val="20"/>
          <w:lang w:val="es-MX"/>
        </w:rPr>
        <w:t>el artículo 8 de la Ley 80 de 1993 en su numeral 1, literal a</w:t>
      </w:r>
      <w:r w:rsidR="00157AB6" w:rsidRPr="00AB690B">
        <w:rPr>
          <w:rFonts w:ascii="Arial" w:eastAsia="Calibri" w:hAnsi="Arial" w:cs="Arial"/>
          <w:sz w:val="20"/>
          <w:szCs w:val="20"/>
          <w:lang w:val="es-MX"/>
        </w:rPr>
        <w:t>)</w:t>
      </w:r>
      <w:r w:rsidRPr="00AB690B">
        <w:rPr>
          <w:rFonts w:ascii="Arial" w:eastAsia="Calibri" w:hAnsi="Arial" w:cs="Arial"/>
          <w:sz w:val="20"/>
          <w:szCs w:val="20"/>
          <w:lang w:val="es-MX"/>
        </w:rPr>
        <w:t xml:space="preserve">, establece que serán inhábiles para celebrar contratos estatales las personas que ya se hallen previamente inhabilitadas para contratar según la Constitución y las leyes </w:t>
      </w:r>
      <w:r w:rsidR="00157AB6" w:rsidRPr="00AB690B">
        <w:rPr>
          <w:rFonts w:ascii="Arial" w:eastAsia="Calibri" w:hAnsi="Arial" w:cs="Arial"/>
          <w:sz w:val="20"/>
          <w:szCs w:val="20"/>
          <w:lang w:val="es-MX"/>
        </w:rPr>
        <w:t>–</w:t>
      </w:r>
      <w:r w:rsidRPr="00AB690B">
        <w:rPr>
          <w:rFonts w:ascii="Arial" w:eastAsia="Calibri" w:hAnsi="Arial" w:cs="Arial"/>
          <w:sz w:val="20"/>
          <w:szCs w:val="20"/>
          <w:lang w:val="es-MX"/>
        </w:rPr>
        <w:t>entre ellas el régimen jurídico del Código General Disciplinario</w:t>
      </w:r>
      <w:r w:rsidR="00157AB6" w:rsidRPr="00AB690B">
        <w:rPr>
          <w:rFonts w:ascii="Arial" w:eastAsia="Calibri" w:hAnsi="Arial" w:cs="Arial"/>
          <w:sz w:val="20"/>
          <w:szCs w:val="20"/>
          <w:lang w:val="es-MX"/>
        </w:rPr>
        <w:t>–</w:t>
      </w:r>
      <w:r w:rsidRPr="00AB690B">
        <w:rPr>
          <w:rFonts w:ascii="Arial" w:eastAsia="Calibri" w:hAnsi="Arial" w:cs="Arial"/>
          <w:sz w:val="20"/>
          <w:szCs w:val="20"/>
          <w:lang w:val="es-MX"/>
        </w:rPr>
        <w:t xml:space="preserve">. De manera que la aplicabilidad del régimen jurídico de inhabilidades e incompatibilidades consagrado en el </w:t>
      </w:r>
      <w:r w:rsidRPr="00AB690B">
        <w:rPr>
          <w:rFonts w:ascii="Arial" w:eastAsia="Calibri" w:hAnsi="Arial" w:cs="Arial"/>
          <w:color w:val="000000" w:themeColor="text1"/>
          <w:sz w:val="20"/>
          <w:szCs w:val="20"/>
          <w:lang w:val="es-ES_tradnl"/>
        </w:rPr>
        <w:t>Estatuto General de Contratación de la Administración Pública</w:t>
      </w:r>
      <w:r w:rsidRPr="00AB690B">
        <w:rPr>
          <w:rFonts w:ascii="Arial" w:eastAsia="Calibri" w:hAnsi="Arial" w:cs="Arial"/>
          <w:sz w:val="20"/>
          <w:szCs w:val="20"/>
          <w:lang w:val="es-MX"/>
        </w:rPr>
        <w:t xml:space="preserve"> no excluye en sentido alguno </w:t>
      </w:r>
      <w:r w:rsidR="00157AB6" w:rsidRPr="00AB690B">
        <w:rPr>
          <w:rFonts w:ascii="Arial" w:eastAsia="Calibri" w:hAnsi="Arial" w:cs="Arial"/>
          <w:color w:val="000000" w:themeColor="text1"/>
          <w:sz w:val="20"/>
          <w:szCs w:val="20"/>
        </w:rPr>
        <w:t>la</w:t>
      </w:r>
      <w:r w:rsidRPr="00AB690B">
        <w:rPr>
          <w:rFonts w:ascii="Arial" w:eastAsia="Calibri" w:hAnsi="Arial" w:cs="Arial"/>
          <w:color w:val="000000" w:themeColor="text1"/>
          <w:sz w:val="20"/>
          <w:szCs w:val="20"/>
        </w:rPr>
        <w:t xml:space="preserve"> responsabilidad disciplinaria de los sujetos que incurran en las causales establecidas en el </w:t>
      </w:r>
      <w:r w:rsidRPr="00AB690B">
        <w:rPr>
          <w:rFonts w:ascii="Arial" w:eastAsia="Calibri" w:hAnsi="Arial" w:cs="Arial"/>
          <w:sz w:val="20"/>
          <w:szCs w:val="20"/>
          <w:lang w:val="es-MX"/>
        </w:rPr>
        <w:t xml:space="preserve">artículo 56 de la Ley 1952 de 2019. Los </w:t>
      </w:r>
      <w:r w:rsidRPr="00AB690B">
        <w:rPr>
          <w:rFonts w:ascii="Arial" w:eastAsia="Calibri" w:hAnsi="Arial" w:cs="Arial"/>
          <w:color w:val="000000" w:themeColor="text1"/>
          <w:sz w:val="20"/>
          <w:szCs w:val="20"/>
        </w:rPr>
        <w:t xml:space="preserve">contratistas de prestación de </w:t>
      </w:r>
      <w:r w:rsidRPr="00AB690B">
        <w:rPr>
          <w:rFonts w:ascii="Arial" w:eastAsia="Calibri" w:hAnsi="Arial" w:cs="Arial"/>
          <w:color w:val="000000" w:themeColor="text1"/>
          <w:sz w:val="20"/>
          <w:szCs w:val="20"/>
        </w:rPr>
        <w:lastRenderedPageBreak/>
        <w:t xml:space="preserve">servicios que al mismo tiempo tengan la calidad de </w:t>
      </w:r>
      <w:proofErr w:type="gramStart"/>
      <w:r w:rsidRPr="00AB690B">
        <w:rPr>
          <w:rFonts w:ascii="Arial" w:eastAsia="Calibri" w:hAnsi="Arial" w:cs="Arial"/>
          <w:color w:val="000000" w:themeColor="text1"/>
          <w:sz w:val="20"/>
          <w:szCs w:val="20"/>
        </w:rPr>
        <w:t>ex servidores</w:t>
      </w:r>
      <w:proofErr w:type="gramEnd"/>
      <w:r w:rsidRPr="00AB690B">
        <w:rPr>
          <w:rFonts w:ascii="Arial" w:eastAsia="Calibri" w:hAnsi="Arial" w:cs="Arial"/>
          <w:color w:val="000000" w:themeColor="text1"/>
          <w:sz w:val="20"/>
          <w:szCs w:val="20"/>
        </w:rPr>
        <w:t xml:space="preserve"> públicos y</w:t>
      </w:r>
      <w:r w:rsidRPr="00AB690B">
        <w:rPr>
          <w:rFonts w:ascii="Arial" w:eastAsia="Calibri" w:hAnsi="Arial" w:cs="Arial"/>
          <w:sz w:val="20"/>
          <w:szCs w:val="20"/>
          <w:lang w:val="es-MX"/>
        </w:rPr>
        <w:t xml:space="preserve"> brinden asistencia, representación o asesoría en asuntos relacionados con las funciones propias del cargo que desempeñan, serán entonces sujetos disciplinables conforme lo dispone el numeral 4 del artículo 56 de la Ley 1952 de 2019. </w:t>
      </w:r>
    </w:p>
    <w:p w14:paraId="30169C75" w14:textId="77777777" w:rsidR="00874106" w:rsidRPr="00AB690B" w:rsidRDefault="00874106" w:rsidP="008F76EE">
      <w:pPr>
        <w:spacing w:line="276" w:lineRule="auto"/>
        <w:ind w:firstLine="708"/>
        <w:jc w:val="both"/>
        <w:rPr>
          <w:rFonts w:ascii="Arial" w:hAnsi="Arial" w:cs="Arial"/>
          <w:color w:val="242424"/>
          <w:sz w:val="20"/>
          <w:szCs w:val="20"/>
          <w:shd w:val="clear" w:color="auto" w:fill="FFFFFF"/>
        </w:rPr>
      </w:pPr>
    </w:p>
    <w:p w14:paraId="53A0FDDA" w14:textId="77777777" w:rsidR="00FD1A66" w:rsidRPr="00AB690B" w:rsidRDefault="00FD1A66" w:rsidP="008F76EE">
      <w:pPr>
        <w:spacing w:line="276" w:lineRule="auto"/>
        <w:jc w:val="both"/>
        <w:rPr>
          <w:rFonts w:ascii="Arial" w:eastAsia="Calibri" w:hAnsi="Arial" w:cs="Arial"/>
          <w:sz w:val="20"/>
          <w:szCs w:val="20"/>
        </w:rPr>
      </w:pPr>
    </w:p>
    <w:p w14:paraId="03304413" w14:textId="1BC0EF17" w:rsidR="0043584B" w:rsidRPr="00AB690B" w:rsidRDefault="0043584B" w:rsidP="008F76EE">
      <w:pPr>
        <w:spacing w:line="276" w:lineRule="auto"/>
        <w:jc w:val="both"/>
        <w:rPr>
          <w:rFonts w:ascii="Arial" w:hAnsi="Arial" w:cs="Arial"/>
          <w:sz w:val="20"/>
          <w:szCs w:val="20"/>
          <w:lang w:eastAsia="es-ES_tradnl"/>
        </w:rPr>
      </w:pPr>
      <w:r w:rsidRPr="00AB690B">
        <w:rPr>
          <w:rFonts w:ascii="Arial" w:eastAsia="Calibri" w:hAnsi="Arial" w:cs="Arial"/>
          <w:sz w:val="20"/>
          <w:szCs w:val="20"/>
        </w:rPr>
        <w:t>Este concepto tiene el alcance previsto en el artículo 28 del Código de Procedimiento Administrativo y de lo Contencioso Administrativo.</w:t>
      </w:r>
    </w:p>
    <w:p w14:paraId="6DB044CC" w14:textId="77777777" w:rsidR="0043584B" w:rsidRPr="00AB690B" w:rsidRDefault="0043584B" w:rsidP="00CA3AE5">
      <w:pPr>
        <w:jc w:val="both"/>
        <w:rPr>
          <w:rFonts w:ascii="Arial" w:hAnsi="Arial" w:cs="Arial"/>
          <w:sz w:val="20"/>
          <w:szCs w:val="20"/>
          <w:lang w:eastAsia="es-ES_tradnl"/>
        </w:rPr>
      </w:pPr>
    </w:p>
    <w:p w14:paraId="1E4C3349" w14:textId="77777777" w:rsidR="0043584B" w:rsidRPr="00AB690B" w:rsidRDefault="0043584B" w:rsidP="00CA3AE5">
      <w:pPr>
        <w:jc w:val="both"/>
        <w:rPr>
          <w:rFonts w:ascii="Arial" w:hAnsi="Arial" w:cs="Arial"/>
          <w:sz w:val="20"/>
          <w:szCs w:val="20"/>
          <w:lang w:eastAsia="es-CO"/>
        </w:rPr>
      </w:pPr>
      <w:r w:rsidRPr="00AB690B">
        <w:rPr>
          <w:rFonts w:ascii="Arial" w:hAnsi="Arial" w:cs="Arial"/>
          <w:sz w:val="20"/>
          <w:szCs w:val="20"/>
          <w:lang w:eastAsia="es-CO"/>
        </w:rPr>
        <w:t>Atentamente,</w:t>
      </w:r>
      <w:bookmarkEnd w:id="0"/>
      <w:bookmarkEnd w:id="3"/>
    </w:p>
    <w:p w14:paraId="6C583495" w14:textId="1B5A732E" w:rsidR="0043584B" w:rsidRDefault="00FA3FC8" w:rsidP="00CA3AE5">
      <w:pPr>
        <w:jc w:val="center"/>
        <w:rPr>
          <w:rFonts w:ascii="Arial" w:hAnsi="Arial" w:cs="Arial"/>
          <w:sz w:val="20"/>
          <w:szCs w:val="20"/>
          <w:lang w:eastAsia="es-CO"/>
        </w:rPr>
      </w:pPr>
      <w:r>
        <w:rPr>
          <w:noProof/>
        </w:rPr>
        <w:drawing>
          <wp:inline distT="0" distB="0" distL="0" distR="0" wp14:anchorId="00E42995" wp14:editId="4C1BD873">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78017BF5" w14:textId="77777777" w:rsidR="00FA3FC8" w:rsidRPr="00AB690B" w:rsidRDefault="00FA3FC8" w:rsidP="00CA3AE5">
      <w:pPr>
        <w:jc w:val="center"/>
        <w:rPr>
          <w:rFonts w:ascii="Arial" w:hAnsi="Arial" w:cs="Arial"/>
          <w:sz w:val="20"/>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4413"/>
      </w:tblGrid>
      <w:tr w:rsidR="00CA3AE5" w:rsidRPr="00AB690B" w14:paraId="3574F564" w14:textId="77777777" w:rsidTr="00883947">
        <w:trPr>
          <w:trHeight w:val="315"/>
        </w:trPr>
        <w:tc>
          <w:tcPr>
            <w:tcW w:w="812" w:type="dxa"/>
            <w:vAlign w:val="center"/>
          </w:tcPr>
          <w:p w14:paraId="2E0F2650" w14:textId="77777777" w:rsidR="00CA3AE5" w:rsidRPr="00AB690B" w:rsidRDefault="00CA3AE5" w:rsidP="00883947">
            <w:pPr>
              <w:rPr>
                <w:rFonts w:ascii="Arial" w:hAnsi="Arial" w:cs="Arial"/>
                <w:sz w:val="20"/>
                <w:szCs w:val="20"/>
                <w:lang w:eastAsia="es-ES"/>
              </w:rPr>
            </w:pPr>
            <w:r w:rsidRPr="00AB690B">
              <w:rPr>
                <w:rFonts w:ascii="Arial" w:hAnsi="Arial" w:cs="Arial"/>
                <w:sz w:val="20"/>
                <w:szCs w:val="20"/>
                <w:lang w:eastAsia="es-ES"/>
              </w:rPr>
              <w:t>Elaboró:</w:t>
            </w:r>
          </w:p>
        </w:tc>
        <w:tc>
          <w:tcPr>
            <w:tcW w:w="4413" w:type="dxa"/>
            <w:tcBorders>
              <w:bottom w:val="dotted" w:sz="4" w:space="0" w:color="7F7F7F" w:themeColor="text1" w:themeTint="80"/>
            </w:tcBorders>
            <w:vAlign w:val="center"/>
          </w:tcPr>
          <w:p w14:paraId="00C20B03" w14:textId="77777777" w:rsidR="00B43C80" w:rsidRPr="00AB690B" w:rsidRDefault="00B43C80" w:rsidP="00B43C80">
            <w:pPr>
              <w:rPr>
                <w:rFonts w:ascii="Arial" w:hAnsi="Arial" w:cs="Arial"/>
                <w:color w:val="000000" w:themeColor="text1"/>
                <w:sz w:val="20"/>
                <w:szCs w:val="20"/>
                <w:lang w:val="es-ES_tradnl" w:eastAsia="es-ES"/>
              </w:rPr>
            </w:pPr>
            <w:r w:rsidRPr="00AB690B">
              <w:rPr>
                <w:rFonts w:ascii="Arial" w:hAnsi="Arial" w:cs="Arial"/>
                <w:color w:val="000000" w:themeColor="text1"/>
                <w:sz w:val="20"/>
                <w:szCs w:val="20"/>
                <w:lang w:val="es-ES_tradnl" w:eastAsia="es-ES"/>
              </w:rPr>
              <w:t xml:space="preserve">María Valeska Medellín Mora </w:t>
            </w:r>
          </w:p>
          <w:p w14:paraId="529EE99C" w14:textId="01B8150C" w:rsidR="00CA3AE5" w:rsidRPr="00AB690B" w:rsidRDefault="00B43C80" w:rsidP="00883947">
            <w:pPr>
              <w:rPr>
                <w:rFonts w:ascii="Arial" w:hAnsi="Arial" w:cs="Arial"/>
                <w:sz w:val="20"/>
                <w:szCs w:val="20"/>
                <w:lang w:eastAsia="es-ES"/>
              </w:rPr>
            </w:pPr>
            <w:r w:rsidRPr="00AB690B">
              <w:rPr>
                <w:rFonts w:ascii="Arial" w:hAnsi="Arial" w:cs="Arial"/>
                <w:color w:val="000000" w:themeColor="text1"/>
                <w:sz w:val="20"/>
                <w:szCs w:val="20"/>
                <w:lang w:val="es-ES_tradnl" w:eastAsia="es-ES"/>
              </w:rPr>
              <w:t>Gestor T1-15 de la Subdirección de Gestión Contractual</w:t>
            </w:r>
          </w:p>
        </w:tc>
      </w:tr>
      <w:tr w:rsidR="00CA3AE5" w:rsidRPr="00AB690B" w14:paraId="54022565" w14:textId="77777777" w:rsidTr="00883947">
        <w:trPr>
          <w:trHeight w:val="330"/>
        </w:trPr>
        <w:tc>
          <w:tcPr>
            <w:tcW w:w="812" w:type="dxa"/>
            <w:vAlign w:val="center"/>
          </w:tcPr>
          <w:p w14:paraId="62F6D07F" w14:textId="77777777" w:rsidR="00CA3AE5" w:rsidRPr="00AB690B" w:rsidRDefault="00CA3AE5" w:rsidP="00883947">
            <w:pPr>
              <w:rPr>
                <w:rFonts w:ascii="Arial" w:hAnsi="Arial" w:cs="Arial"/>
                <w:sz w:val="20"/>
                <w:szCs w:val="20"/>
                <w:lang w:eastAsia="es-ES"/>
              </w:rPr>
            </w:pPr>
            <w:r w:rsidRPr="00AB690B">
              <w:rPr>
                <w:rFonts w:ascii="Arial" w:hAnsi="Arial" w:cs="Arial"/>
                <w:sz w:val="20"/>
                <w:szCs w:val="20"/>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31A989CE" w14:textId="6FB37D82" w:rsidR="00CA3AE5" w:rsidRPr="00AB690B" w:rsidRDefault="00B43C80" w:rsidP="00883947">
            <w:pPr>
              <w:rPr>
                <w:rFonts w:ascii="Arial" w:hAnsi="Arial" w:cs="Arial"/>
                <w:sz w:val="20"/>
                <w:szCs w:val="20"/>
                <w:lang w:eastAsia="es-ES"/>
              </w:rPr>
            </w:pPr>
            <w:r w:rsidRPr="00AB690B">
              <w:rPr>
                <w:rFonts w:ascii="Arial" w:hAnsi="Arial" w:cs="Arial"/>
                <w:sz w:val="20"/>
                <w:szCs w:val="20"/>
                <w:lang w:eastAsia="es-ES"/>
              </w:rPr>
              <w:t>Nina María Padrón Ballestas</w:t>
            </w:r>
          </w:p>
          <w:p w14:paraId="50186C5E" w14:textId="758563E6" w:rsidR="00CA3AE5" w:rsidRPr="00AB690B" w:rsidRDefault="00B43C80" w:rsidP="00883947">
            <w:pPr>
              <w:rPr>
                <w:rFonts w:ascii="Arial" w:hAnsi="Arial" w:cs="Arial"/>
                <w:sz w:val="20"/>
                <w:szCs w:val="20"/>
                <w:lang w:eastAsia="es-ES"/>
              </w:rPr>
            </w:pPr>
            <w:r w:rsidRPr="00AB690B">
              <w:rPr>
                <w:rFonts w:ascii="Arial" w:hAnsi="Arial" w:cs="Arial"/>
                <w:sz w:val="20"/>
                <w:szCs w:val="20"/>
                <w:lang w:eastAsia="es-ES"/>
              </w:rPr>
              <w:t>Contratista</w:t>
            </w:r>
            <w:r w:rsidR="00CA3AE5" w:rsidRPr="00AB690B">
              <w:rPr>
                <w:rFonts w:ascii="Arial" w:hAnsi="Arial" w:cs="Arial"/>
                <w:sz w:val="20"/>
                <w:szCs w:val="20"/>
                <w:lang w:eastAsia="es-ES"/>
              </w:rPr>
              <w:t xml:space="preserve"> de la Subdirección de Gestión Contractual</w:t>
            </w:r>
          </w:p>
        </w:tc>
      </w:tr>
      <w:tr w:rsidR="00CA3AE5" w:rsidRPr="00AB690B" w14:paraId="04A5DAA7" w14:textId="77777777" w:rsidTr="00883947">
        <w:trPr>
          <w:trHeight w:val="300"/>
        </w:trPr>
        <w:tc>
          <w:tcPr>
            <w:tcW w:w="812" w:type="dxa"/>
            <w:vAlign w:val="center"/>
          </w:tcPr>
          <w:p w14:paraId="716165F6" w14:textId="77777777" w:rsidR="00CA3AE5" w:rsidRPr="00AB690B" w:rsidRDefault="00CA3AE5" w:rsidP="00883947">
            <w:pPr>
              <w:rPr>
                <w:rFonts w:ascii="Arial" w:hAnsi="Arial" w:cs="Arial"/>
                <w:sz w:val="20"/>
                <w:szCs w:val="20"/>
                <w:lang w:eastAsia="es-ES"/>
              </w:rPr>
            </w:pPr>
            <w:r w:rsidRPr="00AB690B">
              <w:rPr>
                <w:rFonts w:ascii="Arial" w:hAnsi="Arial" w:cs="Arial"/>
                <w:sz w:val="20"/>
                <w:szCs w:val="20"/>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40917924" w14:textId="77777777" w:rsidR="00CA3AE5" w:rsidRPr="00AB690B" w:rsidRDefault="00CA3AE5" w:rsidP="00883947">
            <w:pPr>
              <w:rPr>
                <w:rFonts w:ascii="Arial" w:eastAsia="Calibri" w:hAnsi="Arial" w:cs="Arial"/>
                <w:sz w:val="20"/>
                <w:szCs w:val="20"/>
                <w:lang w:val="pt-BR" w:eastAsia="es-ES"/>
              </w:rPr>
            </w:pPr>
            <w:proofErr w:type="spellStart"/>
            <w:r w:rsidRPr="00AB690B">
              <w:rPr>
                <w:rFonts w:ascii="Arial" w:eastAsia="Calibri" w:hAnsi="Arial" w:cs="Arial"/>
                <w:sz w:val="20"/>
                <w:szCs w:val="20"/>
                <w:lang w:val="pt-BR" w:eastAsia="es-ES"/>
              </w:rPr>
              <w:t>Nohelia</w:t>
            </w:r>
            <w:proofErr w:type="spellEnd"/>
            <w:r w:rsidRPr="00AB690B">
              <w:rPr>
                <w:rFonts w:ascii="Arial" w:eastAsia="Calibri" w:hAnsi="Arial" w:cs="Arial"/>
                <w:sz w:val="20"/>
                <w:szCs w:val="20"/>
                <w:lang w:val="pt-BR" w:eastAsia="es-ES"/>
              </w:rPr>
              <w:t xml:space="preserve"> </w:t>
            </w:r>
            <w:proofErr w:type="spellStart"/>
            <w:r w:rsidRPr="00AB690B">
              <w:rPr>
                <w:rFonts w:ascii="Arial" w:eastAsia="Calibri" w:hAnsi="Arial" w:cs="Arial"/>
                <w:sz w:val="20"/>
                <w:szCs w:val="20"/>
                <w:lang w:val="pt-BR" w:eastAsia="es-ES"/>
              </w:rPr>
              <w:t>del</w:t>
            </w:r>
            <w:proofErr w:type="spellEnd"/>
            <w:r w:rsidRPr="00AB690B">
              <w:rPr>
                <w:rFonts w:ascii="Arial" w:eastAsia="Calibri" w:hAnsi="Arial" w:cs="Arial"/>
                <w:sz w:val="20"/>
                <w:szCs w:val="20"/>
                <w:lang w:val="pt-BR" w:eastAsia="es-ES"/>
              </w:rPr>
              <w:t xml:space="preserve"> Carmen </w:t>
            </w:r>
            <w:proofErr w:type="spellStart"/>
            <w:r w:rsidRPr="00AB690B">
              <w:rPr>
                <w:rFonts w:ascii="Arial" w:eastAsia="Calibri" w:hAnsi="Arial" w:cs="Arial"/>
                <w:sz w:val="20"/>
                <w:szCs w:val="20"/>
                <w:lang w:val="pt-BR" w:eastAsia="es-ES"/>
              </w:rPr>
              <w:t>Zawady</w:t>
            </w:r>
            <w:proofErr w:type="spellEnd"/>
            <w:r w:rsidRPr="00AB690B">
              <w:rPr>
                <w:rFonts w:ascii="Arial" w:eastAsia="Calibri" w:hAnsi="Arial" w:cs="Arial"/>
                <w:sz w:val="20"/>
                <w:szCs w:val="20"/>
                <w:lang w:val="pt-BR" w:eastAsia="es-ES"/>
              </w:rPr>
              <w:t xml:space="preserve"> Palacio</w:t>
            </w:r>
          </w:p>
          <w:p w14:paraId="27E12DC6" w14:textId="77777777" w:rsidR="00CA3AE5" w:rsidRPr="00AB690B" w:rsidRDefault="00CA3AE5" w:rsidP="00883947">
            <w:pPr>
              <w:rPr>
                <w:rFonts w:ascii="Arial" w:hAnsi="Arial" w:cs="Arial"/>
                <w:sz w:val="20"/>
                <w:szCs w:val="20"/>
                <w:lang w:eastAsia="es-ES"/>
              </w:rPr>
            </w:pPr>
            <w:r w:rsidRPr="00AB690B">
              <w:rPr>
                <w:rFonts w:ascii="Arial" w:eastAsia="Calibri" w:hAnsi="Arial" w:cs="Arial"/>
                <w:sz w:val="20"/>
                <w:szCs w:val="20"/>
                <w:lang w:eastAsia="es-ES"/>
              </w:rPr>
              <w:t xml:space="preserve">Subdirectora de Gestión Contractual </w:t>
            </w:r>
          </w:p>
        </w:tc>
      </w:tr>
    </w:tbl>
    <w:p w14:paraId="0463AB99" w14:textId="77777777" w:rsidR="00651A7A" w:rsidRPr="00AB690B" w:rsidRDefault="00651A7A" w:rsidP="00CA3AE5">
      <w:pPr>
        <w:jc w:val="both"/>
        <w:rPr>
          <w:rFonts w:ascii="Arial" w:hAnsi="Arial" w:cs="Arial"/>
          <w:sz w:val="20"/>
          <w:szCs w:val="20"/>
        </w:rPr>
      </w:pPr>
    </w:p>
    <w:sectPr w:rsidR="00651A7A" w:rsidRPr="00AB690B" w:rsidSect="008F76EE">
      <w:headerReference w:type="default" r:id="rId13"/>
      <w:footerReference w:type="default" r:id="rId14"/>
      <w:pgSz w:w="12240" w:h="15840"/>
      <w:pgMar w:top="408" w:right="1701" w:bottom="1276"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9F73" w14:textId="77777777" w:rsidR="007F0F3F" w:rsidRDefault="007F0F3F" w:rsidP="0043584B">
      <w:r>
        <w:separator/>
      </w:r>
    </w:p>
  </w:endnote>
  <w:endnote w:type="continuationSeparator" w:id="0">
    <w:p w14:paraId="2C701B79" w14:textId="77777777" w:rsidR="007F0F3F" w:rsidRDefault="007F0F3F" w:rsidP="0043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Courier New">
    <w:panose1 w:val="02070309020205020404"/>
    <w:charset w:val="00"/>
    <w:family w:val="modern"/>
    <w:pitch w:val="fixed"/>
    <w:sig w:usb0="E0002EFF" w:usb1="C0007843" w:usb2="00000009" w:usb3="00000000" w:csb0="000001FF" w:csb1="00000000"/>
  </w:font>
  <w:font w:name="Geomanist Bold">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2FFA" w14:textId="77777777" w:rsidR="00993A2A" w:rsidRDefault="00D133D4" w:rsidP="00993A2A">
    <w:pPr>
      <w:pStyle w:val="Piedepgina"/>
      <w:spacing w:after="0"/>
    </w:pPr>
    <w:r>
      <w:rPr>
        <w:noProof/>
        <w:lang w:val="en-US"/>
      </w:rPr>
      <w:drawing>
        <wp:inline distT="0" distB="0" distL="0" distR="0" wp14:anchorId="3D2B058D" wp14:editId="3680C76B">
          <wp:extent cx="5742143" cy="892175"/>
          <wp:effectExtent l="0" t="0" r="0" b="3175"/>
          <wp:docPr id="11" name="Imagen 1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93A2A" w:rsidRPr="00080DA3" w14:paraId="3A1AF7F5" w14:textId="77777777" w:rsidTr="00993A2A">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70C452B" w14:textId="77777777" w:rsidR="00993A2A" w:rsidRPr="00080DA3" w:rsidRDefault="00D133D4" w:rsidP="00993A2A">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CC630B3" w14:textId="77777777" w:rsidR="00993A2A" w:rsidRPr="00080DA3" w:rsidRDefault="00D133D4" w:rsidP="00993A2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A473810" w14:textId="77777777" w:rsidR="00993A2A" w:rsidRPr="00080DA3" w:rsidRDefault="00D133D4" w:rsidP="00993A2A">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93EB386" w14:textId="77777777" w:rsidR="00993A2A" w:rsidRPr="004B6B0E" w:rsidRDefault="00D133D4" w:rsidP="00993A2A">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57A033A" w14:textId="77777777" w:rsidR="00993A2A" w:rsidRPr="00080DA3" w:rsidRDefault="00D133D4" w:rsidP="00993A2A">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4DAC978" w14:textId="77777777" w:rsidR="00993A2A" w:rsidRPr="00080DA3" w:rsidRDefault="00D133D4" w:rsidP="00993A2A">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86FF51C" w14:textId="77777777" w:rsidR="00993A2A" w:rsidRPr="00080DA3" w:rsidRDefault="00D133D4" w:rsidP="00993A2A">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37A7421A" w14:textId="77777777" w:rsidR="00412132" w:rsidRPr="007B0854" w:rsidRDefault="00E36368" w:rsidP="00993A2A">
    <w:pPr>
      <w:pStyle w:val="Piedepgina"/>
      <w:spacing w:after="0" w:line="120" w:lineRule="auto"/>
      <w:rPr>
        <w:lang w:val="es-ES"/>
      </w:rPr>
    </w:pPr>
  </w:p>
  <w:p w14:paraId="269FBFF4" w14:textId="77777777" w:rsidR="00F7361C" w:rsidRDefault="00E36368"/>
  <w:p w14:paraId="5993CBAE" w14:textId="77777777" w:rsidR="00F7361C" w:rsidRDefault="00E36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4A86" w14:textId="77777777" w:rsidR="007F0F3F" w:rsidRDefault="007F0F3F" w:rsidP="0043584B">
      <w:r>
        <w:separator/>
      </w:r>
    </w:p>
  </w:footnote>
  <w:footnote w:type="continuationSeparator" w:id="0">
    <w:p w14:paraId="1E0A32E9" w14:textId="77777777" w:rsidR="007F0F3F" w:rsidRDefault="007F0F3F" w:rsidP="0043584B">
      <w:r>
        <w:continuationSeparator/>
      </w:r>
    </w:p>
  </w:footnote>
  <w:footnote w:id="1">
    <w:p w14:paraId="3E056E8B" w14:textId="6744A658" w:rsidR="0096799C" w:rsidRPr="008F76EE" w:rsidRDefault="0096799C" w:rsidP="008F76EE">
      <w:pPr>
        <w:pStyle w:val="Textonotapie"/>
        <w:ind w:firstLine="708"/>
        <w:jc w:val="both"/>
        <w:rPr>
          <w:sz w:val="18"/>
          <w:szCs w:val="18"/>
          <w:lang w:val="es-MX"/>
        </w:rPr>
      </w:pPr>
      <w:r w:rsidRPr="008F76EE">
        <w:rPr>
          <w:rStyle w:val="Refdenotaalpie"/>
          <w:sz w:val="18"/>
          <w:szCs w:val="18"/>
        </w:rPr>
        <w:footnoteRef/>
      </w:r>
      <w:r w:rsidRPr="008F76EE">
        <w:rPr>
          <w:sz w:val="18"/>
          <w:szCs w:val="18"/>
        </w:rPr>
        <w:t xml:space="preserve"> Estos y los demás conceptos sobre el tema expedidos por la Agencia Nacional de Contratación Pública se encuentran disponibles para consulta en el portal web de relatoría, al cual se puede acceder a través del siguiente enlace: </w:t>
      </w:r>
      <w:hyperlink r:id="rId1" w:history="1">
        <w:r w:rsidRPr="008F76EE">
          <w:rPr>
            <w:rStyle w:val="Hipervnculo"/>
            <w:sz w:val="18"/>
            <w:szCs w:val="18"/>
          </w:rPr>
          <w:t xml:space="preserve">https://relatoria.colombiacompra.gov.co/ </w:t>
        </w:r>
      </w:hyperlink>
      <w:r w:rsidRPr="008F76EE">
        <w:rPr>
          <w:sz w:val="18"/>
          <w:szCs w:val="18"/>
        </w:rPr>
        <w:t xml:space="preserve"> </w:t>
      </w:r>
    </w:p>
  </w:footnote>
  <w:footnote w:id="2">
    <w:p w14:paraId="6AF77987" w14:textId="1BA61B1D" w:rsidR="0043584B" w:rsidRPr="0016786B" w:rsidRDefault="0043584B" w:rsidP="0043584B">
      <w:pPr>
        <w:pStyle w:val="Textonotapie"/>
        <w:ind w:firstLine="709"/>
        <w:jc w:val="both"/>
        <w:rPr>
          <w:color w:val="000000" w:themeColor="text1"/>
          <w:sz w:val="16"/>
          <w:szCs w:val="16"/>
        </w:rPr>
      </w:pPr>
      <w:r w:rsidRPr="0016786B">
        <w:rPr>
          <w:rStyle w:val="Refdenotaalpie"/>
          <w:color w:val="000000" w:themeColor="text1"/>
          <w:sz w:val="16"/>
          <w:szCs w:val="16"/>
        </w:rPr>
        <w:footnoteRef/>
      </w:r>
      <w:r w:rsidRPr="0016786B">
        <w:rPr>
          <w:color w:val="000000" w:themeColor="text1"/>
          <w:sz w:val="16"/>
          <w:szCs w:val="16"/>
        </w:rPr>
        <w:t xml:space="preserve"> El artículo 6 de la Ley 80 de 1993</w:t>
      </w:r>
      <w:r w:rsidR="00F83D50" w:rsidRPr="0016786B">
        <w:rPr>
          <w:color w:val="000000" w:themeColor="text1"/>
          <w:sz w:val="16"/>
          <w:szCs w:val="16"/>
        </w:rPr>
        <w:t>, modificado por el artículo 1 de la Ley 2160 de 2021</w:t>
      </w:r>
      <w:r w:rsidRPr="0016786B">
        <w:rPr>
          <w:color w:val="000000" w:themeColor="text1"/>
          <w:sz w:val="16"/>
          <w:szCs w:val="16"/>
        </w:rPr>
        <w:t xml:space="preserve"> expresa: </w:t>
      </w:r>
      <w:proofErr w:type="gramStart"/>
      <w:r w:rsidRPr="0016786B">
        <w:rPr>
          <w:color w:val="000000" w:themeColor="text1"/>
          <w:sz w:val="16"/>
          <w:szCs w:val="16"/>
        </w:rPr>
        <w:t>«</w:t>
      </w:r>
      <w:r w:rsidR="00F83D50" w:rsidRPr="0016786B">
        <w:rPr>
          <w:color w:val="000000" w:themeColor="text1"/>
          <w:sz w:val="16"/>
          <w:szCs w:val="16"/>
        </w:rPr>
        <w:t xml:space="preserve"> Pueden</w:t>
      </w:r>
      <w:proofErr w:type="gramEnd"/>
      <w:r w:rsidR="00F83D50" w:rsidRPr="0016786B">
        <w:rPr>
          <w:color w:val="000000" w:themeColor="text1"/>
          <w:sz w:val="16"/>
          <w:szCs w:val="16"/>
        </w:rPr>
        <w:t xml:space="preserve">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w:t>
      </w:r>
      <w:hyperlink r:id="rId2" w:anchor="INICIO" w:history="1">
        <w:r w:rsidR="00F83D50" w:rsidRPr="0016786B">
          <w:rPr>
            <w:rStyle w:val="Hipervnculo"/>
            <w:color w:val="000000" w:themeColor="text1"/>
            <w:sz w:val="16"/>
            <w:szCs w:val="16"/>
          </w:rPr>
          <w:t>70</w:t>
        </w:r>
      </w:hyperlink>
      <w:r w:rsidR="00F83D50" w:rsidRPr="0016786B">
        <w:rPr>
          <w:color w:val="000000" w:themeColor="text1"/>
          <w:sz w:val="16"/>
          <w:szCs w:val="16"/>
        </w:rPr>
        <w:t> de 1993</w:t>
      </w:r>
    </w:p>
    <w:p w14:paraId="4519584B" w14:textId="77777777" w:rsidR="00F83D50" w:rsidRPr="0016786B" w:rsidRDefault="0043584B" w:rsidP="0043584B">
      <w:pPr>
        <w:pStyle w:val="Textonotapie"/>
        <w:ind w:firstLine="709"/>
        <w:jc w:val="both"/>
        <w:rPr>
          <w:color w:val="000000" w:themeColor="text1"/>
          <w:sz w:val="16"/>
          <w:szCs w:val="16"/>
        </w:rPr>
      </w:pPr>
      <w:r w:rsidRPr="0016786B">
        <w:rPr>
          <w:color w:val="000000" w:themeColor="text1"/>
          <w:sz w:val="16"/>
          <w:szCs w:val="16"/>
        </w:rPr>
        <w:t>»</w:t>
      </w:r>
      <w:r w:rsidR="00F83D50" w:rsidRPr="0016786B">
        <w:rPr>
          <w:color w:val="000000" w:themeColor="text1"/>
          <w:sz w:val="16"/>
          <w:szCs w:val="16"/>
        </w:rPr>
        <w:t xml:space="preserve"> 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los consorcios y uniones temporales.</w:t>
      </w:r>
    </w:p>
    <w:p w14:paraId="32FE3112" w14:textId="03A83B80" w:rsidR="0043584B" w:rsidRPr="0016786B" w:rsidRDefault="00F83D50" w:rsidP="0043584B">
      <w:pPr>
        <w:pStyle w:val="Textonotapie"/>
        <w:ind w:firstLine="709"/>
        <w:jc w:val="both"/>
        <w:rPr>
          <w:color w:val="000000" w:themeColor="text1"/>
          <w:sz w:val="16"/>
          <w:szCs w:val="16"/>
        </w:rPr>
      </w:pPr>
      <w:r w:rsidRPr="0016786B">
        <w:rPr>
          <w:color w:val="000000" w:themeColor="text1"/>
          <w:sz w:val="16"/>
          <w:szCs w:val="16"/>
        </w:rPr>
        <w:t xml:space="preserve">» </w:t>
      </w:r>
      <w:r w:rsidR="0043584B" w:rsidRPr="0016786B">
        <w:rPr>
          <w:color w:val="000000" w:themeColor="text1"/>
          <w:sz w:val="16"/>
          <w:szCs w:val="16"/>
        </w:rPr>
        <w:t>Las personas jurídicas nacionales y extranjeras deberán acreditar que su duración no será inferior a la del plazo del contrato y un año más».</w:t>
      </w:r>
    </w:p>
    <w:p w14:paraId="5CAD5149" w14:textId="77777777" w:rsidR="0043584B" w:rsidRPr="0016786B" w:rsidRDefault="0043584B" w:rsidP="0043584B">
      <w:pPr>
        <w:pStyle w:val="Textonotapie"/>
        <w:ind w:firstLine="709"/>
        <w:jc w:val="both"/>
        <w:rPr>
          <w:color w:val="000000" w:themeColor="text1"/>
          <w:sz w:val="16"/>
          <w:szCs w:val="16"/>
        </w:rPr>
      </w:pPr>
    </w:p>
  </w:footnote>
  <w:footnote w:id="3">
    <w:p w14:paraId="00143DE2" w14:textId="77777777" w:rsidR="0043584B" w:rsidRPr="0016786B" w:rsidRDefault="0043584B" w:rsidP="0043584B">
      <w:pPr>
        <w:pStyle w:val="Textonotapie"/>
        <w:ind w:firstLine="709"/>
        <w:jc w:val="both"/>
        <w:rPr>
          <w:color w:val="000000" w:themeColor="text1"/>
          <w:sz w:val="16"/>
          <w:szCs w:val="16"/>
        </w:rPr>
      </w:pPr>
      <w:r w:rsidRPr="0016786B">
        <w:rPr>
          <w:rStyle w:val="Refdenotaalpie"/>
          <w:color w:val="000000" w:themeColor="text1"/>
          <w:sz w:val="16"/>
          <w:szCs w:val="16"/>
        </w:rPr>
        <w:footnoteRef/>
      </w:r>
      <w:r w:rsidRPr="0016786B">
        <w:rPr>
          <w:color w:val="000000" w:themeColor="text1"/>
          <w:sz w:val="16"/>
          <w:szCs w:val="16"/>
        </w:rPr>
        <w:t xml:space="preserve"> El artículo 1502 del Código Civil prevé la capacidad legal como requisito para obligarse contractualmente, en los siguientes términos: «Para que una persona se obligue a otra por un acto o declaración de voluntad, es necesario:</w:t>
      </w:r>
    </w:p>
    <w:p w14:paraId="2396AAD8" w14:textId="77777777" w:rsidR="0043584B" w:rsidRPr="0016786B" w:rsidRDefault="0043584B" w:rsidP="0043584B">
      <w:pPr>
        <w:pStyle w:val="Textonotapie"/>
        <w:ind w:firstLine="709"/>
        <w:jc w:val="both"/>
        <w:rPr>
          <w:color w:val="000000" w:themeColor="text1"/>
          <w:sz w:val="16"/>
          <w:szCs w:val="16"/>
        </w:rPr>
      </w:pPr>
      <w:r w:rsidRPr="0016786B">
        <w:rPr>
          <w:color w:val="000000" w:themeColor="text1"/>
          <w:sz w:val="16"/>
          <w:szCs w:val="16"/>
        </w:rPr>
        <w:t>»1o.) que sea legalmente capaz.</w:t>
      </w:r>
    </w:p>
    <w:p w14:paraId="6624EC98" w14:textId="77777777" w:rsidR="0043584B" w:rsidRPr="0016786B" w:rsidRDefault="0043584B" w:rsidP="0043584B">
      <w:pPr>
        <w:pStyle w:val="Textonotapie"/>
        <w:ind w:firstLine="709"/>
        <w:jc w:val="both"/>
        <w:rPr>
          <w:color w:val="000000" w:themeColor="text1"/>
          <w:sz w:val="16"/>
          <w:szCs w:val="16"/>
        </w:rPr>
      </w:pPr>
      <w:r w:rsidRPr="0016786B">
        <w:rPr>
          <w:color w:val="000000" w:themeColor="text1"/>
          <w:sz w:val="16"/>
          <w:szCs w:val="16"/>
        </w:rPr>
        <w:t>[…]</w:t>
      </w:r>
    </w:p>
    <w:p w14:paraId="31957FAD" w14:textId="77777777" w:rsidR="0043584B" w:rsidRPr="0016786B" w:rsidRDefault="0043584B" w:rsidP="0043584B">
      <w:pPr>
        <w:pStyle w:val="Textonotapie"/>
        <w:ind w:firstLine="709"/>
        <w:jc w:val="both"/>
        <w:rPr>
          <w:color w:val="000000" w:themeColor="text1"/>
          <w:sz w:val="16"/>
          <w:szCs w:val="16"/>
        </w:rPr>
      </w:pPr>
      <w:r w:rsidRPr="0016786B">
        <w:rPr>
          <w:color w:val="000000" w:themeColor="text1"/>
          <w:sz w:val="16"/>
          <w:szCs w:val="16"/>
        </w:rPr>
        <w:t>»La capacidad legal de una persona consiste en poderse obligar por sí misma, sin el ministerio o la autorización de otra».</w:t>
      </w:r>
    </w:p>
    <w:p w14:paraId="4F4FDE5F" w14:textId="77777777" w:rsidR="0043584B" w:rsidRPr="0016786B" w:rsidRDefault="0043584B" w:rsidP="0043584B">
      <w:pPr>
        <w:pStyle w:val="Textonotapie"/>
        <w:ind w:firstLine="709"/>
        <w:jc w:val="both"/>
        <w:rPr>
          <w:color w:val="000000" w:themeColor="text1"/>
          <w:sz w:val="16"/>
          <w:szCs w:val="16"/>
          <w:lang w:val="es-CO"/>
        </w:rPr>
      </w:pPr>
    </w:p>
  </w:footnote>
  <w:footnote w:id="4">
    <w:p w14:paraId="4612CA23" w14:textId="77777777" w:rsidR="0043584B" w:rsidRPr="0016786B" w:rsidRDefault="0043584B" w:rsidP="0043584B">
      <w:pPr>
        <w:pStyle w:val="Textonotapie"/>
        <w:ind w:firstLine="709"/>
        <w:jc w:val="both"/>
        <w:rPr>
          <w:color w:val="000000" w:themeColor="text1"/>
          <w:sz w:val="16"/>
          <w:szCs w:val="16"/>
        </w:rPr>
      </w:pPr>
      <w:r w:rsidRPr="0016786B">
        <w:rPr>
          <w:rStyle w:val="Refdenotaalpie"/>
          <w:color w:val="000000" w:themeColor="text1"/>
          <w:sz w:val="16"/>
          <w:szCs w:val="16"/>
        </w:rPr>
        <w:footnoteRef/>
      </w:r>
      <w:r w:rsidRPr="0016786B">
        <w:rPr>
          <w:color w:val="000000" w:themeColor="text1"/>
          <w:sz w:val="16"/>
          <w:szCs w:val="16"/>
        </w:rPr>
        <w:t xml:space="preserve"> Los incisos 1 y 2 de dicho artículo disponen: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9E18292" w14:textId="77777777" w:rsidR="0043584B" w:rsidRPr="0016786B" w:rsidRDefault="0043584B" w:rsidP="0043584B">
      <w:pPr>
        <w:pStyle w:val="Textonotapie"/>
        <w:ind w:firstLine="709"/>
        <w:jc w:val="both"/>
        <w:rPr>
          <w:color w:val="000000" w:themeColor="text1"/>
          <w:sz w:val="16"/>
          <w:szCs w:val="16"/>
        </w:rPr>
      </w:pPr>
      <w:r w:rsidRPr="0016786B">
        <w:rPr>
          <w:color w:val="000000" w:themeColor="text1"/>
          <w:sz w:val="16"/>
          <w:szCs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B5AFD6C" w14:textId="77777777" w:rsidR="0043584B" w:rsidRPr="0016786B" w:rsidRDefault="0043584B" w:rsidP="0043584B">
      <w:pPr>
        <w:pStyle w:val="Textonotapie"/>
        <w:ind w:firstLine="709"/>
        <w:jc w:val="both"/>
        <w:rPr>
          <w:color w:val="000000" w:themeColor="text1"/>
          <w:sz w:val="16"/>
          <w:szCs w:val="16"/>
          <w:lang w:val="es-CO"/>
        </w:rPr>
      </w:pPr>
    </w:p>
  </w:footnote>
  <w:footnote w:id="5">
    <w:p w14:paraId="2CB8DEAB" w14:textId="77777777" w:rsidR="0043584B" w:rsidRPr="0016786B" w:rsidRDefault="0043584B" w:rsidP="0043584B">
      <w:pPr>
        <w:pStyle w:val="Textonotapie"/>
        <w:ind w:firstLine="709"/>
        <w:jc w:val="both"/>
        <w:rPr>
          <w:color w:val="000000" w:themeColor="text1"/>
          <w:sz w:val="16"/>
          <w:szCs w:val="16"/>
        </w:rPr>
      </w:pPr>
      <w:r w:rsidRPr="0016786B">
        <w:rPr>
          <w:rStyle w:val="Refdenotaalpie"/>
          <w:color w:val="000000" w:themeColor="text1"/>
          <w:sz w:val="16"/>
          <w:szCs w:val="16"/>
        </w:rPr>
        <w:footnoteRef/>
      </w:r>
      <w:r w:rsidRPr="0016786B">
        <w:rPr>
          <w:color w:val="000000" w:themeColor="text1"/>
          <w:sz w:val="16"/>
          <w:szCs w:val="16"/>
        </w:rPr>
        <w:t xml:space="preserve"> En tal sentido, José Luis Benavides comenta que «Aunque la mayoría de las reglas limitativas de la responsabilidad contractual se aplican a la administración, existen también algunas restricciones importantes a la capacidad de los contratistas: </w:t>
      </w:r>
      <w:r w:rsidRPr="0016786B">
        <w:rPr>
          <w:i/>
          <w:iCs/>
          <w:color w:val="000000" w:themeColor="text1"/>
          <w:sz w:val="16"/>
          <w:szCs w:val="16"/>
        </w:rPr>
        <w:t>el régimen de inhabilidades e incompatibilidades</w:t>
      </w:r>
      <w:r w:rsidRPr="0016786B">
        <w:rPr>
          <w:color w:val="000000" w:themeColor="text1"/>
          <w:sz w:val="16"/>
          <w:szCs w:val="16"/>
        </w:rPr>
        <w:t xml:space="preserve"> (1) y la obligación de ciertos proponentes de inscribirse en el </w:t>
      </w:r>
      <w:r w:rsidRPr="0016786B">
        <w:rPr>
          <w:i/>
          <w:iCs/>
          <w:color w:val="000000" w:themeColor="text1"/>
          <w:sz w:val="16"/>
          <w:szCs w:val="16"/>
        </w:rPr>
        <w:t>registro único</w:t>
      </w:r>
      <w:r w:rsidRPr="0016786B">
        <w:rPr>
          <w:color w:val="000000" w:themeColor="text1"/>
          <w:sz w:val="16"/>
          <w:szCs w:val="16"/>
        </w:rPr>
        <w:t xml:space="preserve"> (2)» (BENAVIDES, José Luis. El contrato estatal. Entre el Derecho público y el Derecho privado. 2ª ed. Bogotá: Universidad Externado de Colombia, 2004. p. 278). </w:t>
      </w:r>
    </w:p>
    <w:p w14:paraId="4B431612" w14:textId="77777777" w:rsidR="0043584B" w:rsidRPr="0016786B" w:rsidRDefault="0043584B" w:rsidP="0043584B">
      <w:pPr>
        <w:pStyle w:val="Textonotapie"/>
        <w:ind w:firstLine="709"/>
        <w:jc w:val="both"/>
        <w:rPr>
          <w:color w:val="000000" w:themeColor="text1"/>
          <w:sz w:val="16"/>
          <w:szCs w:val="16"/>
        </w:rPr>
      </w:pPr>
    </w:p>
  </w:footnote>
  <w:footnote w:id="6">
    <w:p w14:paraId="465CA974" w14:textId="0C559664" w:rsidR="0043584B" w:rsidRPr="0016786B" w:rsidRDefault="0043584B" w:rsidP="0043584B">
      <w:pPr>
        <w:ind w:firstLine="709"/>
        <w:jc w:val="both"/>
        <w:rPr>
          <w:rFonts w:ascii="Arial" w:hAnsi="Arial" w:cs="Arial"/>
          <w:color w:val="000000" w:themeColor="text1"/>
          <w:sz w:val="16"/>
          <w:szCs w:val="16"/>
          <w:lang w:val="es-ES"/>
        </w:rPr>
      </w:pPr>
      <w:r w:rsidRPr="0016786B">
        <w:rPr>
          <w:rStyle w:val="Refdenotaalpie"/>
          <w:rFonts w:ascii="Arial" w:hAnsi="Arial" w:cs="Arial"/>
          <w:color w:val="000000" w:themeColor="text1"/>
          <w:sz w:val="16"/>
          <w:szCs w:val="16"/>
        </w:rPr>
        <w:footnoteRef/>
      </w:r>
      <w:r w:rsidRPr="0016786B">
        <w:rPr>
          <w:rFonts w:ascii="Arial" w:hAnsi="Arial" w:cs="Arial"/>
          <w:color w:val="000000" w:themeColor="text1"/>
          <w:sz w:val="16"/>
          <w:szCs w:val="16"/>
        </w:rPr>
        <w:t xml:space="preserve"> </w:t>
      </w:r>
      <w:r w:rsidRPr="0016786B">
        <w:rPr>
          <w:rFonts w:ascii="Arial" w:hAnsi="Arial" w:cs="Arial"/>
          <w:color w:val="000000" w:themeColor="text1"/>
          <w:sz w:val="16"/>
          <w:szCs w:val="16"/>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14:paraId="4A773AC4" w14:textId="77777777" w:rsidR="0096799C" w:rsidRPr="0016786B" w:rsidRDefault="0096799C" w:rsidP="0043584B">
      <w:pPr>
        <w:ind w:firstLine="709"/>
        <w:jc w:val="both"/>
        <w:rPr>
          <w:rFonts w:ascii="Arial" w:hAnsi="Arial" w:cs="Arial"/>
          <w:color w:val="000000" w:themeColor="text1"/>
          <w:sz w:val="16"/>
          <w:szCs w:val="16"/>
          <w:lang w:val="es-ES"/>
        </w:rPr>
      </w:pPr>
    </w:p>
  </w:footnote>
  <w:footnote w:id="7">
    <w:p w14:paraId="6BDDB0A3" w14:textId="77777777" w:rsidR="0043584B" w:rsidRPr="0016786B" w:rsidRDefault="0043584B" w:rsidP="0043584B">
      <w:pPr>
        <w:pStyle w:val="Textonotapie"/>
        <w:ind w:firstLine="709"/>
        <w:jc w:val="both"/>
        <w:rPr>
          <w:color w:val="000000" w:themeColor="text1"/>
          <w:sz w:val="16"/>
          <w:szCs w:val="16"/>
        </w:rPr>
      </w:pPr>
      <w:r w:rsidRPr="0016786B">
        <w:rPr>
          <w:rStyle w:val="Refdenotaalpie"/>
          <w:color w:val="000000" w:themeColor="text1"/>
          <w:sz w:val="16"/>
          <w:szCs w:val="16"/>
        </w:rPr>
        <w:footnoteRef/>
      </w:r>
      <w:r w:rsidRPr="0016786B">
        <w:rPr>
          <w:color w:val="000000" w:themeColor="text1"/>
          <w:sz w:val="16"/>
          <w:szCs w:val="16"/>
        </w:rPr>
        <w:t xml:space="preserve"> 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32CE53D4" w14:textId="77777777" w:rsidR="0043584B" w:rsidRPr="0016786B" w:rsidRDefault="0043584B" w:rsidP="0043584B">
      <w:pPr>
        <w:pStyle w:val="Textonotapie"/>
        <w:ind w:firstLine="709"/>
        <w:jc w:val="both"/>
        <w:rPr>
          <w:color w:val="000000" w:themeColor="text1"/>
          <w:sz w:val="16"/>
          <w:szCs w:val="16"/>
          <w:lang w:val="es-CO"/>
        </w:rPr>
      </w:pPr>
    </w:p>
  </w:footnote>
  <w:footnote w:id="8">
    <w:p w14:paraId="3072B42C" w14:textId="77777777" w:rsidR="0043584B" w:rsidRPr="0016786B" w:rsidRDefault="0043584B" w:rsidP="0043584B">
      <w:pPr>
        <w:pStyle w:val="Textonotapie"/>
        <w:ind w:firstLine="709"/>
        <w:jc w:val="both"/>
        <w:rPr>
          <w:color w:val="000000" w:themeColor="text1"/>
          <w:sz w:val="16"/>
          <w:szCs w:val="16"/>
        </w:rPr>
      </w:pPr>
      <w:r w:rsidRPr="0016786B">
        <w:rPr>
          <w:rStyle w:val="Refdenotaalpie"/>
          <w:color w:val="000000" w:themeColor="text1"/>
          <w:sz w:val="16"/>
          <w:szCs w:val="16"/>
        </w:rPr>
        <w:footnoteRef/>
      </w:r>
      <w:r w:rsidRPr="0016786B">
        <w:rPr>
          <w:color w:val="000000" w:themeColor="text1"/>
          <w:sz w:val="16"/>
          <w:szCs w:val="16"/>
        </w:rPr>
        <w:t xml:space="preserve"> 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num. 1º, lit. k), Ley 80/93, modificado por el art. 33, Ley 1778/16); «Quienes fueron miembros de la junta o consejo directivo o servidores públicos de la entidad contratante» (art. 8, num. 2º, lit.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 [a pesar de que la norma la califica como una incompatibilidad, en realidad se trata de una inhabilidad, ya que en dicha causal no existe concurrencia de calidades en un sujeto]. </w:t>
      </w:r>
    </w:p>
    <w:p w14:paraId="3B76D2C0" w14:textId="77777777" w:rsidR="0043584B" w:rsidRPr="0016786B" w:rsidRDefault="0043584B" w:rsidP="0043584B">
      <w:pPr>
        <w:pStyle w:val="Textonotapie"/>
        <w:ind w:firstLine="709"/>
        <w:jc w:val="both"/>
        <w:rPr>
          <w:color w:val="000000" w:themeColor="text1"/>
          <w:sz w:val="16"/>
          <w:szCs w:val="16"/>
          <w:lang w:val="es-CO"/>
        </w:rPr>
      </w:pPr>
      <w:r w:rsidRPr="0016786B">
        <w:rPr>
          <w:color w:val="000000" w:themeColor="text1"/>
          <w:sz w:val="16"/>
          <w:szCs w:val="16"/>
        </w:rPr>
        <w:t xml:space="preserve">  </w:t>
      </w:r>
    </w:p>
  </w:footnote>
  <w:footnote w:id="9">
    <w:p w14:paraId="40254106" w14:textId="2C8FB338" w:rsidR="0043584B" w:rsidRPr="0016786B" w:rsidRDefault="0043584B" w:rsidP="00956731">
      <w:pPr>
        <w:ind w:firstLine="709"/>
        <w:jc w:val="both"/>
        <w:rPr>
          <w:rFonts w:ascii="Arial" w:hAnsi="Arial" w:cs="Arial"/>
          <w:color w:val="000000" w:themeColor="text1"/>
          <w:sz w:val="16"/>
          <w:szCs w:val="16"/>
          <w:lang w:val="es-ES"/>
        </w:rPr>
      </w:pPr>
      <w:r w:rsidRPr="0016786B">
        <w:rPr>
          <w:rStyle w:val="Refdenotaalpie"/>
          <w:rFonts w:ascii="Arial" w:hAnsi="Arial" w:cs="Arial"/>
          <w:color w:val="000000" w:themeColor="text1"/>
          <w:sz w:val="16"/>
          <w:szCs w:val="16"/>
        </w:rPr>
        <w:footnoteRef/>
      </w:r>
      <w:r w:rsidRPr="0016786B">
        <w:rPr>
          <w:rFonts w:ascii="Arial" w:hAnsi="Arial" w:cs="Arial"/>
          <w:color w:val="000000" w:themeColor="text1"/>
          <w:sz w:val="16"/>
          <w:szCs w:val="16"/>
        </w:rPr>
        <w:t xml:space="preserve"> </w:t>
      </w:r>
      <w:r w:rsidRPr="0016786B">
        <w:rPr>
          <w:rFonts w:ascii="Arial" w:hAnsi="Arial" w:cs="Arial"/>
          <w:color w:val="000000" w:themeColor="text1"/>
          <w:sz w:val="16"/>
          <w:szCs w:val="16"/>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14:paraId="1FDB38AC" w14:textId="77777777" w:rsidR="009132B2" w:rsidRPr="0016786B" w:rsidRDefault="009132B2" w:rsidP="00956731">
      <w:pPr>
        <w:ind w:firstLine="709"/>
        <w:jc w:val="both"/>
        <w:rPr>
          <w:rFonts w:ascii="Arial" w:hAnsi="Arial" w:cs="Arial"/>
          <w:color w:val="000000" w:themeColor="text1"/>
          <w:sz w:val="16"/>
          <w:szCs w:val="16"/>
          <w:lang w:val="es-ES"/>
        </w:rPr>
      </w:pPr>
    </w:p>
  </w:footnote>
  <w:footnote w:id="10">
    <w:p w14:paraId="703C6868" w14:textId="77777777" w:rsidR="0043584B" w:rsidRPr="0016786B" w:rsidRDefault="0043584B" w:rsidP="0043584B">
      <w:pPr>
        <w:pStyle w:val="Textonotapie"/>
        <w:ind w:firstLine="709"/>
        <w:jc w:val="both"/>
        <w:rPr>
          <w:color w:val="000000" w:themeColor="text1"/>
          <w:sz w:val="16"/>
          <w:szCs w:val="16"/>
        </w:rPr>
      </w:pPr>
      <w:r w:rsidRPr="0016786B">
        <w:rPr>
          <w:rStyle w:val="Refdenotaalpie"/>
          <w:color w:val="000000" w:themeColor="text1"/>
          <w:sz w:val="16"/>
          <w:szCs w:val="16"/>
        </w:rPr>
        <w:footnoteRef/>
      </w:r>
      <w:r w:rsidRPr="0016786B">
        <w:rPr>
          <w:color w:val="000000" w:themeColor="text1"/>
          <w:sz w:val="16"/>
          <w:szCs w:val="16"/>
        </w:rPr>
        <w:t xml:space="preserve"> 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587E46D4" w14:textId="77777777" w:rsidR="0043584B" w:rsidRPr="0016786B" w:rsidRDefault="0043584B" w:rsidP="0043584B">
      <w:pPr>
        <w:pStyle w:val="Textonotapie"/>
        <w:ind w:firstLine="709"/>
        <w:jc w:val="both"/>
        <w:rPr>
          <w:color w:val="000000" w:themeColor="text1"/>
          <w:sz w:val="16"/>
          <w:szCs w:val="16"/>
        </w:rPr>
      </w:pPr>
    </w:p>
  </w:footnote>
  <w:footnote w:id="11">
    <w:p w14:paraId="7F702654" w14:textId="77777777" w:rsidR="0043584B" w:rsidRPr="0016786B" w:rsidRDefault="0043584B" w:rsidP="0043584B">
      <w:pPr>
        <w:pStyle w:val="Textonotapie"/>
        <w:ind w:firstLine="709"/>
        <w:jc w:val="both"/>
        <w:rPr>
          <w:color w:val="000000" w:themeColor="text1"/>
          <w:sz w:val="16"/>
          <w:szCs w:val="16"/>
        </w:rPr>
      </w:pPr>
      <w:r w:rsidRPr="0016786B">
        <w:rPr>
          <w:rStyle w:val="Refdenotaalpie"/>
          <w:color w:val="000000" w:themeColor="text1"/>
          <w:sz w:val="16"/>
          <w:szCs w:val="16"/>
        </w:rPr>
        <w:footnoteRef/>
      </w:r>
      <w:r w:rsidRPr="0016786B">
        <w:rPr>
          <w:color w:val="000000" w:themeColor="text1"/>
          <w:sz w:val="16"/>
          <w:szCs w:val="16"/>
        </w:rPr>
        <w:t xml:space="preserve"> </w:t>
      </w:r>
      <w:r w:rsidRPr="0016786B">
        <w:rPr>
          <w:i/>
          <w:iCs/>
          <w:color w:val="000000" w:themeColor="text1"/>
          <w:sz w:val="16"/>
          <w:szCs w:val="16"/>
        </w:rPr>
        <w:t>Ibíd</w:t>
      </w:r>
      <w:r w:rsidRPr="0016786B">
        <w:rPr>
          <w:color w:val="000000" w:themeColor="text1"/>
          <w:sz w:val="16"/>
          <w:szCs w:val="16"/>
        </w:rPr>
        <w:t>., p. 69.</w:t>
      </w:r>
    </w:p>
    <w:p w14:paraId="0C7B5343" w14:textId="77777777" w:rsidR="0043584B" w:rsidRPr="0016786B" w:rsidRDefault="0043584B" w:rsidP="0043584B">
      <w:pPr>
        <w:pStyle w:val="Textonotapie"/>
        <w:ind w:firstLine="709"/>
        <w:jc w:val="both"/>
        <w:rPr>
          <w:color w:val="000000" w:themeColor="text1"/>
          <w:sz w:val="16"/>
          <w:szCs w:val="16"/>
        </w:rPr>
      </w:pPr>
    </w:p>
  </w:footnote>
  <w:footnote w:id="12">
    <w:p w14:paraId="7235F6CC" w14:textId="77777777" w:rsidR="0043584B" w:rsidRPr="0016786B" w:rsidRDefault="0043584B" w:rsidP="0043584B">
      <w:pPr>
        <w:pStyle w:val="Textonotapie"/>
        <w:ind w:firstLine="709"/>
        <w:jc w:val="both"/>
        <w:rPr>
          <w:color w:val="000000" w:themeColor="text1"/>
          <w:sz w:val="16"/>
          <w:szCs w:val="16"/>
        </w:rPr>
      </w:pPr>
      <w:r w:rsidRPr="0016786B">
        <w:rPr>
          <w:rStyle w:val="Refdenotaalpie"/>
          <w:color w:val="000000" w:themeColor="text1"/>
          <w:sz w:val="16"/>
          <w:szCs w:val="16"/>
        </w:rPr>
        <w:footnoteRef/>
      </w:r>
      <w:r w:rsidRPr="0016786B">
        <w:rPr>
          <w:color w:val="000000" w:themeColor="text1"/>
          <w:sz w:val="16"/>
          <w:szCs w:val="16"/>
        </w:rPr>
        <w:t xml:space="preserve"> 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1B49D890" w14:textId="77777777" w:rsidR="0043584B" w:rsidRPr="0016786B" w:rsidRDefault="0043584B" w:rsidP="0043584B">
      <w:pPr>
        <w:pStyle w:val="Textonotapie"/>
        <w:ind w:firstLine="709"/>
        <w:jc w:val="both"/>
        <w:rPr>
          <w:color w:val="000000" w:themeColor="text1"/>
          <w:sz w:val="16"/>
          <w:szCs w:val="16"/>
        </w:rPr>
      </w:pPr>
    </w:p>
  </w:footnote>
  <w:footnote w:id="13">
    <w:p w14:paraId="7B05C7E1" w14:textId="77777777" w:rsidR="0043584B" w:rsidRPr="0016786B" w:rsidRDefault="0043584B" w:rsidP="0043584B">
      <w:pPr>
        <w:pStyle w:val="Textonotapie"/>
        <w:ind w:firstLine="709"/>
        <w:jc w:val="both"/>
        <w:rPr>
          <w:color w:val="000000" w:themeColor="text1"/>
          <w:sz w:val="16"/>
          <w:szCs w:val="16"/>
        </w:rPr>
      </w:pPr>
      <w:r w:rsidRPr="0016786B">
        <w:rPr>
          <w:rStyle w:val="Refdenotaalpie"/>
          <w:color w:val="000000" w:themeColor="text1"/>
          <w:sz w:val="16"/>
          <w:szCs w:val="16"/>
        </w:rPr>
        <w:footnoteRef/>
      </w:r>
      <w:r w:rsidRPr="0016786B">
        <w:rPr>
          <w:color w:val="000000" w:themeColor="text1"/>
          <w:sz w:val="16"/>
          <w:szCs w:val="16"/>
        </w:rPr>
        <w:t xml:space="preserve"> Consejo de Estado. Sala de Consulta y Servicio Civil. Concepto del 30 de abril de 2015. Expediente: 2251. Consejero Ponente: Álvaro Namén Vargas.</w:t>
      </w:r>
    </w:p>
    <w:p w14:paraId="27D1EC17" w14:textId="77777777" w:rsidR="0043584B" w:rsidRPr="0016786B" w:rsidRDefault="0043584B" w:rsidP="0043584B">
      <w:pPr>
        <w:pStyle w:val="Textonotapie"/>
        <w:ind w:firstLine="709"/>
        <w:jc w:val="both"/>
        <w:rPr>
          <w:color w:val="000000" w:themeColor="text1"/>
          <w:sz w:val="16"/>
          <w:szCs w:val="16"/>
        </w:rPr>
      </w:pPr>
    </w:p>
  </w:footnote>
  <w:footnote w:id="14">
    <w:p w14:paraId="3B5AF0D1" w14:textId="77777777" w:rsidR="0043584B" w:rsidRPr="0016786B" w:rsidRDefault="0043584B" w:rsidP="0043584B">
      <w:pPr>
        <w:pStyle w:val="Textonotapie"/>
        <w:ind w:firstLine="709"/>
        <w:jc w:val="both"/>
        <w:rPr>
          <w:color w:val="000000" w:themeColor="text1"/>
          <w:sz w:val="16"/>
          <w:szCs w:val="16"/>
        </w:rPr>
      </w:pPr>
      <w:r w:rsidRPr="0016786B">
        <w:rPr>
          <w:rStyle w:val="Refdenotaalpie"/>
          <w:color w:val="000000" w:themeColor="text1"/>
          <w:sz w:val="16"/>
          <w:szCs w:val="16"/>
        </w:rPr>
        <w:footnoteRef/>
      </w:r>
      <w:r w:rsidRPr="0016786B">
        <w:rPr>
          <w:color w:val="000000" w:themeColor="text1"/>
          <w:sz w:val="16"/>
          <w:szCs w:val="16"/>
        </w:rPr>
        <w:t xml:space="preserve"> Consejo de Estado. Sección Tercera. Subsección A. Sentencia del 24 de junio de 2015. Exp. 40.635. Consejero Ponente: Hernán Andrade Rincón (E).</w:t>
      </w:r>
    </w:p>
    <w:p w14:paraId="2AD56030" w14:textId="77777777" w:rsidR="0043584B" w:rsidRPr="0016786B" w:rsidRDefault="0043584B" w:rsidP="0043584B">
      <w:pPr>
        <w:pStyle w:val="Textonotapie"/>
        <w:ind w:firstLine="709"/>
        <w:jc w:val="both"/>
        <w:rPr>
          <w:color w:val="000000" w:themeColor="text1"/>
          <w:sz w:val="16"/>
          <w:szCs w:val="16"/>
        </w:rPr>
      </w:pPr>
    </w:p>
  </w:footnote>
  <w:footnote w:id="15">
    <w:p w14:paraId="56D7D83E" w14:textId="77777777" w:rsidR="0043584B" w:rsidRPr="0016786B" w:rsidRDefault="0043584B" w:rsidP="0043584B">
      <w:pPr>
        <w:pStyle w:val="Textonotapie"/>
        <w:ind w:firstLine="709"/>
        <w:jc w:val="both"/>
        <w:rPr>
          <w:color w:val="000000" w:themeColor="text1"/>
          <w:sz w:val="16"/>
          <w:szCs w:val="16"/>
        </w:rPr>
      </w:pPr>
      <w:r w:rsidRPr="0016786B">
        <w:rPr>
          <w:rStyle w:val="Refdenotaalpie"/>
          <w:color w:val="000000" w:themeColor="text1"/>
          <w:sz w:val="16"/>
          <w:szCs w:val="16"/>
        </w:rPr>
        <w:footnoteRef/>
      </w:r>
      <w:r w:rsidRPr="0016786B">
        <w:rPr>
          <w:color w:val="000000" w:themeColor="text1"/>
          <w:sz w:val="16"/>
          <w:szCs w:val="16"/>
        </w:rPr>
        <w:t xml:space="preserve"> Consejo de Estado. Sección Tercera. Subsección C. Sentencia del 22 de mayo de 2013. Exp. 24.057. Consejera Ponente: Olga Melida Valle De De La Hoz.</w:t>
      </w:r>
    </w:p>
    <w:p w14:paraId="318FB551" w14:textId="77777777" w:rsidR="0043584B" w:rsidRPr="0016786B" w:rsidRDefault="0043584B" w:rsidP="0043584B">
      <w:pPr>
        <w:pStyle w:val="Textonotapie"/>
        <w:ind w:firstLine="709"/>
        <w:jc w:val="both"/>
        <w:rPr>
          <w:color w:val="000000" w:themeColor="text1"/>
          <w:sz w:val="16"/>
          <w:szCs w:val="16"/>
        </w:rPr>
      </w:pPr>
    </w:p>
  </w:footnote>
  <w:footnote w:id="16">
    <w:p w14:paraId="193B194A" w14:textId="6ACCD4CC" w:rsidR="00874106" w:rsidRPr="0016786B" w:rsidRDefault="00874106" w:rsidP="008F76EE">
      <w:pPr>
        <w:pStyle w:val="Textonotapie"/>
        <w:ind w:firstLine="708"/>
        <w:jc w:val="both"/>
        <w:rPr>
          <w:color w:val="000000" w:themeColor="text1"/>
          <w:sz w:val="16"/>
          <w:szCs w:val="16"/>
        </w:rPr>
      </w:pPr>
      <w:r w:rsidRPr="0016786B">
        <w:rPr>
          <w:rStyle w:val="Refdenotaalpie"/>
          <w:color w:val="000000" w:themeColor="text1"/>
          <w:sz w:val="16"/>
          <w:szCs w:val="16"/>
        </w:rPr>
        <w:footnoteRef/>
      </w:r>
      <w:r w:rsidRPr="0016786B">
        <w:rPr>
          <w:color w:val="000000" w:themeColor="text1"/>
          <w:sz w:val="16"/>
          <w:szCs w:val="16"/>
        </w:rPr>
        <w:t xml:space="preserve"> Corte Constitucional. Sentencia C-037 </w:t>
      </w:r>
      <w:r w:rsidR="0096799C" w:rsidRPr="0016786B">
        <w:rPr>
          <w:color w:val="000000" w:themeColor="text1"/>
          <w:sz w:val="16"/>
          <w:szCs w:val="16"/>
        </w:rPr>
        <w:t xml:space="preserve">de </w:t>
      </w:r>
      <w:r w:rsidRPr="0016786B">
        <w:rPr>
          <w:color w:val="000000" w:themeColor="text1"/>
          <w:sz w:val="16"/>
          <w:szCs w:val="16"/>
        </w:rPr>
        <w:t xml:space="preserve">2003. Magistrado Ponente: </w:t>
      </w:r>
      <w:r w:rsidR="0060640E" w:rsidRPr="0016786B">
        <w:rPr>
          <w:color w:val="000000" w:themeColor="text1"/>
          <w:sz w:val="16"/>
          <w:szCs w:val="16"/>
        </w:rPr>
        <w:t>Álvaro</w:t>
      </w:r>
      <w:r w:rsidRPr="0016786B">
        <w:rPr>
          <w:color w:val="000000" w:themeColor="text1"/>
          <w:sz w:val="16"/>
          <w:szCs w:val="16"/>
        </w:rPr>
        <w:t xml:space="preserve"> Tafur Galvis.</w:t>
      </w:r>
    </w:p>
  </w:footnote>
  <w:footnote w:id="17">
    <w:p w14:paraId="7A79EAED" w14:textId="54010A4F" w:rsidR="0060640E" w:rsidRPr="0016786B" w:rsidRDefault="0060640E" w:rsidP="0060640E">
      <w:pPr>
        <w:pStyle w:val="Textonotapie"/>
        <w:ind w:firstLine="708"/>
        <w:jc w:val="both"/>
        <w:rPr>
          <w:sz w:val="16"/>
          <w:szCs w:val="16"/>
        </w:rPr>
      </w:pPr>
      <w:r w:rsidRPr="0016786B">
        <w:rPr>
          <w:rStyle w:val="Refdenotaalpie"/>
          <w:sz w:val="16"/>
          <w:szCs w:val="16"/>
        </w:rPr>
        <w:footnoteRef/>
      </w:r>
      <w:r w:rsidRPr="0016786B">
        <w:rPr>
          <w:sz w:val="16"/>
          <w:szCs w:val="16"/>
        </w:rPr>
        <w:t xml:space="preserve"> Sobre el alcance de la inhabilidad introducida por el artículo 4 de la Ley 1474 de 2011 se pronunció esta Subdirección en el concepto C-570 del 13 de septiembre de 2022, Radicado No. RS20220913011145. Disponible en: </w:t>
      </w:r>
      <w:hyperlink r:id="rId3" w:history="1">
        <w:r w:rsidRPr="0016786B">
          <w:rPr>
            <w:rStyle w:val="Hipervnculo"/>
            <w:sz w:val="16"/>
            <w:szCs w:val="16"/>
          </w:rPr>
          <w:t>https://relatoria.colombiacompra.gov.co/</w:t>
        </w:r>
      </w:hyperlink>
      <w:r w:rsidRPr="0016786B">
        <w:rPr>
          <w:sz w:val="16"/>
          <w:szCs w:val="16"/>
        </w:rPr>
        <w:t xml:space="preserve"> </w:t>
      </w:r>
    </w:p>
    <w:p w14:paraId="413A284F" w14:textId="26B4A064" w:rsidR="0060640E" w:rsidRPr="0016786B" w:rsidRDefault="0060640E" w:rsidP="008F76EE">
      <w:pPr>
        <w:pStyle w:val="Textonotapie"/>
        <w:ind w:firstLine="708"/>
        <w:jc w:val="both"/>
        <w:rPr>
          <w:sz w:val="16"/>
          <w:szCs w:val="16"/>
          <w:lang w:val="es-MX"/>
        </w:rPr>
      </w:pPr>
      <w:r w:rsidRPr="0016786B">
        <w:rPr>
          <w:sz w:val="16"/>
          <w:szCs w:val="16"/>
        </w:rPr>
        <w:t xml:space="preserve"> </w:t>
      </w:r>
    </w:p>
  </w:footnote>
  <w:footnote w:id="18">
    <w:p w14:paraId="54D63021" w14:textId="3E690B5E" w:rsidR="005D6EAF" w:rsidRPr="0016786B" w:rsidRDefault="005D6EAF" w:rsidP="008F76EE">
      <w:pPr>
        <w:pStyle w:val="Textonotapie"/>
        <w:ind w:firstLine="708"/>
        <w:jc w:val="both"/>
        <w:rPr>
          <w:color w:val="000000" w:themeColor="text1"/>
          <w:sz w:val="16"/>
          <w:szCs w:val="16"/>
        </w:rPr>
      </w:pPr>
      <w:r w:rsidRPr="0016786B">
        <w:rPr>
          <w:rStyle w:val="Refdenotaalpie"/>
          <w:color w:val="000000" w:themeColor="text1"/>
          <w:sz w:val="16"/>
          <w:szCs w:val="16"/>
        </w:rPr>
        <w:footnoteRef/>
      </w:r>
      <w:r w:rsidRPr="0016786B">
        <w:rPr>
          <w:color w:val="000000" w:themeColor="text1"/>
          <w:sz w:val="16"/>
          <w:szCs w:val="16"/>
        </w:rPr>
        <w:t xml:space="preserve"> Corte Constitucional. Sentencia C-257 del 7 de mayo de 2013. Magistrado Ponente: Jaime Córdoba Triviño. Cfr. Corte Constitucional. Sentencia C-893 del 7 de octubre de 2003. Magistrado Ponente: Alfredo Beltrán Sierra.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CC29" w14:textId="77777777" w:rsidR="00B80D63" w:rsidRDefault="00B80D63" w:rsidP="00993A2A">
    <w:pPr>
      <w:rPr>
        <w:rFonts w:ascii="Geomanist Bold" w:hAnsi="Geomanist Bold"/>
        <w:color w:val="002060"/>
      </w:rPr>
    </w:pPr>
  </w:p>
  <w:p w14:paraId="61D8C171" w14:textId="24C646CC" w:rsidR="00712B28" w:rsidRDefault="00F3129C" w:rsidP="00993A2A">
    <w:pPr>
      <w:rPr>
        <w:rFonts w:ascii="Geomanist Bold" w:hAnsi="Geomanist Bold"/>
        <w:color w:val="002060"/>
      </w:rPr>
    </w:pPr>
    <w:r w:rsidRPr="008614E5">
      <w:rPr>
        <w:rFonts w:ascii="Geomanist Bold" w:hAnsi="Geomanist Bold"/>
        <w:color w:val="002060"/>
      </w:rPr>
      <w:t>FORMATO PQRSD</w:t>
    </w:r>
  </w:p>
  <w:p w14:paraId="6813E419" w14:textId="389E00B1" w:rsidR="00993A2A" w:rsidRPr="003F58A1" w:rsidRDefault="00D133D4" w:rsidP="00993A2A">
    <w:pPr>
      <w:rPr>
        <w:rFonts w:ascii="Geomanist Bold" w:hAnsi="Geomanist Bold"/>
        <w:color w:val="002060"/>
      </w:rPr>
    </w:pPr>
    <w:r w:rsidRPr="008614E5">
      <w:rPr>
        <w:rFonts w:eastAsia="Arial Nova" w:cs="Arial Nova"/>
        <w:noProof/>
        <w:lang w:val="en-US"/>
      </w:rPr>
      <w:drawing>
        <wp:anchor distT="0" distB="0" distL="0" distR="0" simplePos="0" relativeHeight="251659264" behindDoc="1" locked="0" layoutInCell="1" hidden="0" allowOverlap="1" wp14:anchorId="28BFC413" wp14:editId="5FD1D222">
          <wp:simplePos x="0" y="0"/>
          <wp:positionH relativeFrom="margin">
            <wp:align>right</wp:align>
          </wp:positionH>
          <wp:positionV relativeFrom="paragraph">
            <wp:posOffset>6985</wp:posOffset>
          </wp:positionV>
          <wp:extent cx="1657350" cy="676275"/>
          <wp:effectExtent l="0" t="0" r="0" b="9525"/>
          <wp:wrapNone/>
          <wp:docPr id="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5857935C" w14:textId="77777777" w:rsidTr="00B53489">
      <w:tc>
        <w:tcPr>
          <w:tcW w:w="6756" w:type="dxa"/>
        </w:tcPr>
        <w:p w14:paraId="5E228DAA" w14:textId="77777777" w:rsidR="00993A2A" w:rsidRPr="006478E3" w:rsidRDefault="00D133D4" w:rsidP="00993A2A">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6EA192E3" w14:textId="77777777" w:rsidR="00993A2A" w:rsidRPr="0057618A" w:rsidRDefault="00D133D4" w:rsidP="00993A2A">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478D1064" w14:textId="77777777" w:rsidR="00993A2A" w:rsidRPr="00367110" w:rsidRDefault="00E36368" w:rsidP="00993A2A">
          <w:pPr>
            <w:jc w:val="right"/>
            <w:rPr>
              <w:rFonts w:eastAsia="Arial Nova" w:cs="Arial Nova"/>
              <w:lang w:eastAsia="es-CO"/>
            </w:rPr>
          </w:pPr>
        </w:p>
      </w:tc>
      <w:tc>
        <w:tcPr>
          <w:tcW w:w="1324" w:type="dxa"/>
        </w:tcPr>
        <w:p w14:paraId="09BAA4F9" w14:textId="77777777" w:rsidR="00993A2A" w:rsidRPr="00367110" w:rsidRDefault="00E36368" w:rsidP="00993A2A">
          <w:pPr>
            <w:jc w:val="right"/>
            <w:rPr>
              <w:rFonts w:eastAsia="Arial Nova" w:cs="Arial Nova"/>
              <w:lang w:eastAsia="es-CO"/>
            </w:rPr>
          </w:pPr>
        </w:p>
      </w:tc>
    </w:tr>
  </w:tbl>
  <w:p w14:paraId="32BD2563" w14:textId="77777777" w:rsidR="00993A2A" w:rsidRPr="00906B3C" w:rsidRDefault="00D133D4" w:rsidP="00993A2A">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0F775C43" wp14:editId="711B3E1E">
          <wp:simplePos x="0" y="0"/>
          <wp:positionH relativeFrom="column">
            <wp:posOffset>62866</wp:posOffset>
          </wp:positionH>
          <wp:positionV relativeFrom="paragraph">
            <wp:posOffset>1905</wp:posOffset>
          </wp:positionV>
          <wp:extent cx="3238500" cy="762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69ACB2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28C0398"/>
    <w:multiLevelType w:val="multilevel"/>
    <w:tmpl w:val="5530801A"/>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91165310">
    <w:abstractNumId w:val="1"/>
  </w:num>
  <w:num w:numId="2" w16cid:durableId="129015958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511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4B"/>
    <w:rsid w:val="00015FB9"/>
    <w:rsid w:val="000250AD"/>
    <w:rsid w:val="0007502A"/>
    <w:rsid w:val="000B0B66"/>
    <w:rsid w:val="00144BB7"/>
    <w:rsid w:val="00157AB6"/>
    <w:rsid w:val="0016786B"/>
    <w:rsid w:val="001A51F7"/>
    <w:rsid w:val="001F333E"/>
    <w:rsid w:val="00236E9F"/>
    <w:rsid w:val="002C64BF"/>
    <w:rsid w:val="002D4666"/>
    <w:rsid w:val="00393621"/>
    <w:rsid w:val="003A3498"/>
    <w:rsid w:val="003E19E4"/>
    <w:rsid w:val="00424979"/>
    <w:rsid w:val="0043584B"/>
    <w:rsid w:val="00466AA8"/>
    <w:rsid w:val="00487310"/>
    <w:rsid w:val="0048782F"/>
    <w:rsid w:val="004E6691"/>
    <w:rsid w:val="0050715F"/>
    <w:rsid w:val="005241D8"/>
    <w:rsid w:val="005750E5"/>
    <w:rsid w:val="00575269"/>
    <w:rsid w:val="005D6EAF"/>
    <w:rsid w:val="005E44B2"/>
    <w:rsid w:val="0060640E"/>
    <w:rsid w:val="00633C03"/>
    <w:rsid w:val="00651A7A"/>
    <w:rsid w:val="00692F96"/>
    <w:rsid w:val="00712B28"/>
    <w:rsid w:val="0075544F"/>
    <w:rsid w:val="007F0F3F"/>
    <w:rsid w:val="0085671C"/>
    <w:rsid w:val="00870F97"/>
    <w:rsid w:val="00874106"/>
    <w:rsid w:val="008976EF"/>
    <w:rsid w:val="008F76EE"/>
    <w:rsid w:val="009132B2"/>
    <w:rsid w:val="00956731"/>
    <w:rsid w:val="009633F9"/>
    <w:rsid w:val="0096799C"/>
    <w:rsid w:val="00A41F26"/>
    <w:rsid w:val="00AB690B"/>
    <w:rsid w:val="00AC591F"/>
    <w:rsid w:val="00AD4670"/>
    <w:rsid w:val="00AF1DDE"/>
    <w:rsid w:val="00AF2D89"/>
    <w:rsid w:val="00AF4914"/>
    <w:rsid w:val="00B07756"/>
    <w:rsid w:val="00B353AD"/>
    <w:rsid w:val="00B43C80"/>
    <w:rsid w:val="00B80D63"/>
    <w:rsid w:val="00BA1EB7"/>
    <w:rsid w:val="00BB3089"/>
    <w:rsid w:val="00BD2D93"/>
    <w:rsid w:val="00C8582E"/>
    <w:rsid w:val="00CA3AE5"/>
    <w:rsid w:val="00CA6FEC"/>
    <w:rsid w:val="00CB0E0C"/>
    <w:rsid w:val="00CE04D9"/>
    <w:rsid w:val="00D133D4"/>
    <w:rsid w:val="00D80A29"/>
    <w:rsid w:val="00DE48A5"/>
    <w:rsid w:val="00E35F9F"/>
    <w:rsid w:val="00E36368"/>
    <w:rsid w:val="00E53418"/>
    <w:rsid w:val="00E66C48"/>
    <w:rsid w:val="00ED2C50"/>
    <w:rsid w:val="00F06C20"/>
    <w:rsid w:val="00F3129C"/>
    <w:rsid w:val="00F47791"/>
    <w:rsid w:val="00F736AE"/>
    <w:rsid w:val="00F83D50"/>
    <w:rsid w:val="00FA3FC8"/>
    <w:rsid w:val="00FB5B05"/>
    <w:rsid w:val="00FD1A66"/>
    <w:rsid w:val="00FE0E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6E9B"/>
  <w15:chartTrackingRefBased/>
  <w15:docId w15:val="{D8E8B09D-9D89-1A40-B7A3-C1796C47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B9"/>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3584B"/>
    <w:pPr>
      <w:tabs>
        <w:tab w:val="center" w:pos="4419"/>
        <w:tab w:val="right" w:pos="8838"/>
      </w:tabs>
      <w:spacing w:after="20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43584B"/>
    <w:rPr>
      <w:szCs w:val="22"/>
      <w:lang w:val="es-MX"/>
    </w:rPr>
  </w:style>
  <w:style w:type="paragraph" w:styleId="Encabezado">
    <w:name w:val="header"/>
    <w:basedOn w:val="Normal"/>
    <w:link w:val="EncabezadoCar"/>
    <w:uiPriority w:val="99"/>
    <w:unhideWhenUsed/>
    <w:rsid w:val="0043584B"/>
    <w:pPr>
      <w:tabs>
        <w:tab w:val="center" w:pos="4252"/>
        <w:tab w:val="right" w:pos="8504"/>
      </w:tabs>
      <w:spacing w:after="20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43584B"/>
    <w:rPr>
      <w:szCs w:val="22"/>
      <w:lang w:val="es-MX"/>
    </w:rPr>
  </w:style>
  <w:style w:type="table" w:styleId="Tablaconcuadrcula">
    <w:name w:val="Table Grid"/>
    <w:basedOn w:val="Tablanormal"/>
    <w:uiPriority w:val="59"/>
    <w:qFormat/>
    <w:rsid w:val="0043584B"/>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43584B"/>
    <w:pPr>
      <w:spacing w:before="100" w:beforeAutospacing="1" w:after="100" w:afterAutospacing="1" w:line="276" w:lineRule="auto"/>
      <w:jc w:val="both"/>
    </w:pPr>
    <w:rPr>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43584B"/>
    <w:rPr>
      <w:vertAlign w:val="superscript"/>
    </w:rPr>
  </w:style>
  <w:style w:type="paragraph" w:customStyle="1" w:styleId="Appelnotedebasde">
    <w:name w:val="Appel note de bas de..."/>
    <w:basedOn w:val="Normal"/>
    <w:link w:val="Refdenotaalpie"/>
    <w:uiPriority w:val="99"/>
    <w:rsid w:val="0043584B"/>
    <w:pPr>
      <w:spacing w:after="160" w:line="240" w:lineRule="exact"/>
      <w:jc w:val="both"/>
    </w:pPr>
    <w:rPr>
      <w:rFonts w:asciiTheme="minorHAnsi" w:eastAsiaTheme="minorHAnsi" w:hAnsiTheme="minorHAnsi" w:cstheme="minorBidi"/>
      <w:vertAlign w:val="superscript"/>
      <w:lang w:eastAsia="en-US"/>
    </w:rPr>
  </w:style>
  <w:style w:type="character" w:customStyle="1" w:styleId="NormalWebCar">
    <w:name w:val="Normal (Web) Car"/>
    <w:link w:val="NormalWeb"/>
    <w:uiPriority w:val="99"/>
    <w:locked/>
    <w:rsid w:val="0043584B"/>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4358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43584B"/>
    <w:pPr>
      <w:ind w:left="720"/>
      <w:contextualSpacing/>
    </w:pPr>
    <w:rPr>
      <w:rFonts w:asciiTheme="minorHAnsi" w:eastAsiaTheme="minorHAnsi" w:hAnsiTheme="minorHAnsi" w:cstheme="minorBidi"/>
      <w:lang w:eastAsia="en-US"/>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3584B"/>
    <w:pPr>
      <w:widowControl w:val="0"/>
      <w:autoSpaceDE w:val="0"/>
      <w:autoSpaceDN w:val="0"/>
    </w:pPr>
    <w:rPr>
      <w:rFonts w:ascii="Arial" w:eastAsia="Arial" w:hAnsi="Arial" w:cs="Arial"/>
      <w:sz w:val="20"/>
      <w:szCs w:val="20"/>
      <w:lang w:val="es-ES" w:eastAsia="en-U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43584B"/>
    <w:rPr>
      <w:rFonts w:ascii="Arial" w:eastAsia="Arial" w:hAnsi="Arial" w:cs="Arial"/>
      <w:sz w:val="20"/>
      <w:szCs w:val="20"/>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3584B"/>
  </w:style>
  <w:style w:type="character" w:styleId="Hipervnculo">
    <w:name w:val="Hyperlink"/>
    <w:basedOn w:val="Fuentedeprrafopredeter"/>
    <w:uiPriority w:val="99"/>
    <w:unhideWhenUsed/>
    <w:rsid w:val="0043584B"/>
    <w:rPr>
      <w:color w:val="0563C1" w:themeColor="hyperlink"/>
      <w:u w:val="single"/>
    </w:rPr>
  </w:style>
  <w:style w:type="character" w:styleId="Textoennegrita">
    <w:name w:val="Strong"/>
    <w:basedOn w:val="Fuentedeprrafopredeter"/>
    <w:uiPriority w:val="22"/>
    <w:qFormat/>
    <w:rsid w:val="002D4666"/>
    <w:rPr>
      <w:b/>
      <w:bCs/>
    </w:rPr>
  </w:style>
  <w:style w:type="character" w:styleId="nfasis">
    <w:name w:val="Emphasis"/>
    <w:basedOn w:val="Fuentedeprrafopredeter"/>
    <w:uiPriority w:val="20"/>
    <w:qFormat/>
    <w:rsid w:val="002D4666"/>
    <w:rPr>
      <w:i/>
      <w:iCs/>
    </w:rPr>
  </w:style>
  <w:style w:type="paragraph" w:customStyle="1" w:styleId="nueve">
    <w:name w:val="nueve"/>
    <w:basedOn w:val="Normal"/>
    <w:rsid w:val="002D4666"/>
    <w:pPr>
      <w:spacing w:before="100" w:beforeAutospacing="1" w:after="100" w:afterAutospacing="1"/>
    </w:pPr>
  </w:style>
  <w:style w:type="paragraph" w:styleId="Revisin">
    <w:name w:val="Revision"/>
    <w:hidden/>
    <w:uiPriority w:val="99"/>
    <w:semiHidden/>
    <w:rsid w:val="00F83D50"/>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E53418"/>
    <w:rPr>
      <w:sz w:val="16"/>
      <w:szCs w:val="16"/>
    </w:rPr>
  </w:style>
  <w:style w:type="paragraph" w:styleId="Textocomentario">
    <w:name w:val="annotation text"/>
    <w:basedOn w:val="Normal"/>
    <w:link w:val="TextocomentarioCar"/>
    <w:uiPriority w:val="99"/>
    <w:semiHidden/>
    <w:unhideWhenUsed/>
    <w:rsid w:val="00E53418"/>
    <w:rPr>
      <w:sz w:val="20"/>
      <w:szCs w:val="20"/>
    </w:rPr>
  </w:style>
  <w:style w:type="character" w:customStyle="1" w:styleId="TextocomentarioCar">
    <w:name w:val="Texto comentario Car"/>
    <w:basedOn w:val="Fuentedeprrafopredeter"/>
    <w:link w:val="Textocomentario"/>
    <w:uiPriority w:val="99"/>
    <w:semiHidden/>
    <w:rsid w:val="00E53418"/>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53418"/>
    <w:rPr>
      <w:b/>
      <w:bCs/>
    </w:rPr>
  </w:style>
  <w:style w:type="character" w:customStyle="1" w:styleId="AsuntodelcomentarioCar">
    <w:name w:val="Asunto del comentario Car"/>
    <w:basedOn w:val="TextocomentarioCar"/>
    <w:link w:val="Asuntodelcomentario"/>
    <w:uiPriority w:val="99"/>
    <w:semiHidden/>
    <w:rsid w:val="00E53418"/>
    <w:rPr>
      <w:rFonts w:ascii="Times New Roman" w:eastAsia="Times New Roman" w:hAnsi="Times New Roman" w:cs="Times New Roman"/>
      <w:b/>
      <w:bCs/>
      <w:sz w:val="20"/>
      <w:szCs w:val="20"/>
      <w:lang w:eastAsia="es-MX"/>
    </w:rPr>
  </w:style>
  <w:style w:type="character" w:styleId="Mencinsinresolver">
    <w:name w:val="Unresolved Mention"/>
    <w:basedOn w:val="Fuentedeprrafopredeter"/>
    <w:uiPriority w:val="99"/>
    <w:semiHidden/>
    <w:unhideWhenUsed/>
    <w:rsid w:val="00967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1590">
      <w:bodyDiv w:val="1"/>
      <w:marLeft w:val="0"/>
      <w:marRight w:val="0"/>
      <w:marTop w:val="0"/>
      <w:marBottom w:val="0"/>
      <w:divBdr>
        <w:top w:val="none" w:sz="0" w:space="0" w:color="auto"/>
        <w:left w:val="none" w:sz="0" w:space="0" w:color="auto"/>
        <w:bottom w:val="none" w:sz="0" w:space="0" w:color="auto"/>
        <w:right w:val="none" w:sz="0" w:space="0" w:color="auto"/>
      </w:divBdr>
    </w:div>
    <w:div w:id="1217543608">
      <w:bodyDiv w:val="1"/>
      <w:marLeft w:val="0"/>
      <w:marRight w:val="0"/>
      <w:marTop w:val="0"/>
      <w:marBottom w:val="0"/>
      <w:divBdr>
        <w:top w:val="none" w:sz="0" w:space="0" w:color="auto"/>
        <w:left w:val="none" w:sz="0" w:space="0" w:color="auto"/>
        <w:bottom w:val="none" w:sz="0" w:space="0" w:color="auto"/>
        <w:right w:val="none" w:sz="0" w:space="0" w:color="auto"/>
      </w:divBdr>
    </w:div>
    <w:div w:id="1503396984">
      <w:bodyDiv w:val="1"/>
      <w:marLeft w:val="0"/>
      <w:marRight w:val="0"/>
      <w:marTop w:val="0"/>
      <w:marBottom w:val="0"/>
      <w:divBdr>
        <w:top w:val="none" w:sz="0" w:space="0" w:color="auto"/>
        <w:left w:val="none" w:sz="0" w:space="0" w:color="auto"/>
        <w:bottom w:val="none" w:sz="0" w:space="0" w:color="auto"/>
        <w:right w:val="none" w:sz="0" w:space="0" w:color="auto"/>
      </w:divBdr>
    </w:div>
    <w:div w:id="1638757601">
      <w:bodyDiv w:val="1"/>
      <w:marLeft w:val="0"/>
      <w:marRight w:val="0"/>
      <w:marTop w:val="0"/>
      <w:marBottom w:val="0"/>
      <w:divBdr>
        <w:top w:val="none" w:sz="0" w:space="0" w:color="auto"/>
        <w:left w:val="none" w:sz="0" w:space="0" w:color="auto"/>
        <w:bottom w:val="none" w:sz="0" w:space="0" w:color="auto"/>
        <w:right w:val="none" w:sz="0" w:space="0" w:color="auto"/>
      </w:divBdr>
    </w:div>
    <w:div w:id="1650553978">
      <w:bodyDiv w:val="1"/>
      <w:marLeft w:val="0"/>
      <w:marRight w:val="0"/>
      <w:marTop w:val="0"/>
      <w:marBottom w:val="0"/>
      <w:divBdr>
        <w:top w:val="none" w:sz="0" w:space="0" w:color="auto"/>
        <w:left w:val="none" w:sz="0" w:space="0" w:color="auto"/>
        <w:bottom w:val="none" w:sz="0" w:space="0" w:color="auto"/>
        <w:right w:val="none" w:sz="0" w:space="0" w:color="auto"/>
      </w:divBdr>
    </w:div>
    <w:div w:id="1806925723">
      <w:bodyDiv w:val="1"/>
      <w:marLeft w:val="0"/>
      <w:marRight w:val="0"/>
      <w:marTop w:val="0"/>
      <w:marBottom w:val="0"/>
      <w:divBdr>
        <w:top w:val="none" w:sz="0" w:space="0" w:color="auto"/>
        <w:left w:val="none" w:sz="0" w:space="0" w:color="auto"/>
        <w:bottom w:val="none" w:sz="0" w:space="0" w:color="auto"/>
        <w:right w:val="none" w:sz="0" w:space="0" w:color="auto"/>
      </w:divBdr>
    </w:div>
    <w:div w:id="1936133877">
      <w:bodyDiv w:val="1"/>
      <w:marLeft w:val="0"/>
      <w:marRight w:val="0"/>
      <w:marTop w:val="0"/>
      <w:marBottom w:val="0"/>
      <w:divBdr>
        <w:top w:val="none" w:sz="0" w:space="0" w:color="auto"/>
        <w:left w:val="none" w:sz="0" w:space="0" w:color="auto"/>
        <w:bottom w:val="none" w:sz="0" w:space="0" w:color="auto"/>
        <w:right w:val="none" w:sz="0" w:space="0" w:color="auto"/>
      </w:divBdr>
      <w:divsChild>
        <w:div w:id="19408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relatoria.colombiacompra.gov.co/" TargetMode="External"/><Relationship Id="rId2" Type="http://schemas.openxmlformats.org/officeDocument/2006/relationships/hyperlink" Target="http://www.secretariasenado.gov.co/senado/basedoc/ley_0070_1993.html" TargetMode="External"/><Relationship Id="rId1" Type="http://schemas.openxmlformats.org/officeDocument/2006/relationships/hyperlink" Target="https://relatoria.colombiacompr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4B7B5-14FD-49E6-BCA0-2890A1FE5695}">
  <ds:schemaRefs>
    <ds:schemaRef ds:uri="http://www.w3.org/XML/1998/namespace"/>
    <ds:schemaRef ds:uri="http://schemas.microsoft.com/office/2006/metadata/properties"/>
    <ds:schemaRef ds:uri="http://purl.org/dc/elements/1.1/"/>
    <ds:schemaRef ds:uri="http://schemas.openxmlformats.org/package/2006/metadata/core-properties"/>
    <ds:schemaRef ds:uri="http://purl.org/dc/terms/"/>
    <ds:schemaRef ds:uri="a6cb9e4b-f1d1-4245-83ec-6cad768d538a"/>
    <ds:schemaRef ds:uri="http://purl.org/dc/dcmitype/"/>
    <ds:schemaRef ds:uri="http://schemas.microsoft.com/office/2006/documentManagement/types"/>
    <ds:schemaRef ds:uri="9d85dbaf-23eb-4e57-a637-93dcacc8b1a1"/>
    <ds:schemaRef ds:uri="http://schemas.microsoft.com/office/infopath/2007/PartnerControls"/>
  </ds:schemaRefs>
</ds:datastoreItem>
</file>

<file path=customXml/itemProps2.xml><?xml version="1.0" encoding="utf-8"?>
<ds:datastoreItem xmlns:ds="http://schemas.openxmlformats.org/officeDocument/2006/customXml" ds:itemID="{21F35E0C-350D-6E44-B50F-34F641E62E53}">
  <ds:schemaRefs>
    <ds:schemaRef ds:uri="http://schemas.openxmlformats.org/officeDocument/2006/bibliography"/>
  </ds:schemaRefs>
</ds:datastoreItem>
</file>

<file path=customXml/itemProps3.xml><?xml version="1.0" encoding="utf-8"?>
<ds:datastoreItem xmlns:ds="http://schemas.openxmlformats.org/officeDocument/2006/customXml" ds:itemID="{F9CCECFB-EB2B-4E8F-8CEA-328EC03BD246}">
  <ds:schemaRefs>
    <ds:schemaRef ds:uri="http://schemas.microsoft.com/sharepoint/v3/contenttype/forms"/>
  </ds:schemaRefs>
</ds:datastoreItem>
</file>

<file path=customXml/itemProps4.xml><?xml version="1.0" encoding="utf-8"?>
<ds:datastoreItem xmlns:ds="http://schemas.openxmlformats.org/officeDocument/2006/customXml" ds:itemID="{7FE1B600-A30A-42BB-9D27-D8DA7EC7A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3371</Words>
  <Characters>18543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Ana Maria Velez Arteaga</cp:lastModifiedBy>
  <cp:revision>6</cp:revision>
  <dcterms:created xsi:type="dcterms:W3CDTF">2023-03-02T13:58:00Z</dcterms:created>
  <dcterms:modified xsi:type="dcterms:W3CDTF">2023-03-02T14:05:00Z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